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Ficino Platonic Theology Volume I Lexicon</w:t>
      </w:r>
    </w:p>
    <w:p>
      <w:pPr>
        <w:pStyle w:val="Subtitle"/>
      </w:pPr>
      <w:r>
        <w:t>A Philological and Philosophical Reading Companion</w:t>
      </w:r>
    </w:p>
    <w:p>
      <w:r>
        <w:t>October 2026</w:t>
      </w:r>
    </w:p>
    <w:p>
      <w:r>
        <w:t>Authorial Proem and Books I–IV</w:t>
        <w:br/>
        <w:t>Diotimos bilingual edition · August 2026 editorial proof</w:t>
      </w:r>
    </w:p>
    <w:p>
      <w:r>
        <w:br w:type="page"/>
      </w:r>
    </w:p>
    <w:p>
      <w:bookmarkStart w:id="1" w:name="contents"/>
      <w:pPr>
        <w:pStyle w:val="Heading1"/>
      </w:pPr>
      <w:r>
        <w:rPr>
          <w:b w:val="0"/>
          <w:i w:val="0"/>
        </w:rPr>
        <w:t>Contents</w:t>
      </w:r>
      <w:bookmarkEnd w:id="1"/>
    </w:p>
    <w:p>
      <w:pPr>
        <w:widowControl/>
      </w:pPr>
      <w:hyperlink w:anchor="introduction">
        <w:r>
          <w:rPr>
            <w:color w:val="000000"/>
          </w:rPr>
          <w:t xml:space="preserve">Introduction</w:t>
        </w:r>
      </w:hyperlink>
      <w:r>
        <w:rPr>
          <w:b w:val="0"/>
          <w:i w:val="0"/>
        </w:rPr>
        <w:t xml:space="preserve"> · </w:t>
      </w:r>
      <w:hyperlink w:anchor="argument-map">
        <w:r>
          <w:rPr>
            <w:color w:val="000000"/>
          </w:rPr>
          <w:t xml:space="preserve">Argument map</w:t>
        </w:r>
      </w:hyperlink>
      <w:r>
        <w:rPr>
          <w:b w:val="0"/>
          <w:i w:val="0"/>
        </w:rPr>
        <w:t xml:space="preserve"> · </w:t>
      </w:r>
      <w:hyperlink w:anchor="close-reading-distinctions">
        <w:r>
          <w:rPr>
            <w:color w:val="000000"/>
          </w:rPr>
          <w:t xml:space="preserve">Close-reading distinctions</w:t>
        </w:r>
      </w:hyperlink>
      <w:r>
        <w:rPr>
          <w:b w:val="0"/>
          <w:i w:val="0"/>
        </w:rPr>
        <w:t xml:space="preserve"> · </w:t>
      </w:r>
      <w:hyperlink w:anchor="article-directory">
        <w:r>
          <w:rPr>
            <w:color w:val="000000"/>
          </w:rPr>
          <w:t xml:space="preserve">Article directory</w:t>
        </w:r>
      </w:hyperlink>
      <w:r>
        <w:rPr>
          <w:b w:val="0"/>
          <w:i w:val="0"/>
        </w:rPr>
        <w:t xml:space="preserve"> · </w:t>
      </w:r>
      <w:hyperlink w:anchor="lexicon">
        <w:r>
          <w:rPr>
            <w:color w:val="000000"/>
          </w:rPr>
          <w:t xml:space="preserve">Lexicon</w:t>
        </w:r>
      </w:hyperlink>
      <w:r>
        <w:rPr>
          <w:b w:val="0"/>
          <w:i w:val="0"/>
        </w:rPr>
        <w:t xml:space="preserve"> · </w:t>
      </w:r>
      <w:hyperlink w:anchor="latin-vocabulary-register">
        <w:r>
          <w:rPr>
            <w:color w:val="000000"/>
          </w:rPr>
          <w:t xml:space="preserve">Latin vocabulary register</w:t>
        </w:r>
      </w:hyperlink>
      <w:r>
        <w:rPr>
          <w:b w:val="0"/>
          <w:i w:val="0"/>
        </w:rPr>
        <w:t xml:space="preserve"> · </w:t>
      </w:r>
      <w:hyperlink w:anchor="greek-quotations">
        <w:r>
          <w:rPr>
            <w:color w:val="000000"/>
          </w:rPr>
          <w:t xml:space="preserve">Greek quotations</w:t>
        </w:r>
      </w:hyperlink>
      <w:r>
        <w:rPr>
          <w:b w:val="0"/>
          <w:i w:val="0"/>
        </w:rPr>
        <w:t xml:space="preserve"> · </w:t>
      </w:r>
      <w:hyperlink w:anchor="printed-form-lookup">
        <w:r>
          <w:rPr>
            <w:color w:val="000000"/>
          </w:rPr>
          <w:t xml:space="preserve">Printed-form lookup</w:t>
        </w:r>
      </w:hyperlink>
      <w:r>
        <w:rPr>
          <w:b w:val="0"/>
          <w:i w:val="0"/>
        </w:rPr>
        <w:t xml:space="preserve"> · </w:t>
      </w:r>
      <w:hyperlink w:anchor="passage-index">
        <w:r>
          <w:rPr>
            <w:color w:val="000000"/>
          </w:rPr>
          <w:t xml:space="preserve">Passage index</w:t>
        </w:r>
      </w:hyperlink>
      <w:r>
        <w:rPr>
          <w:b w:val="0"/>
          <w:i w:val="0"/>
        </w:rPr>
        <w:t xml:space="preserve"> · </w:t>
      </w:r>
      <w:hyperlink w:anchor="thematic-index">
        <w:r>
          <w:rPr>
            <w:color w:val="000000"/>
          </w:rPr>
          <w:t xml:space="preserve">Thematic index</w:t>
        </w:r>
      </w:hyperlink>
    </w:p>
    <w:p>
      <w:bookmarkStart w:id="2" w:name="introduction"/>
      <w:pPr>
        <w:pStyle w:val="Heading1"/>
      </w:pPr>
      <w:r>
        <w:rPr>
          <w:b w:val="0"/>
          <w:i w:val="0"/>
        </w:rPr>
        <w:t>Introduction</w:t>
      </w:r>
      <w:bookmarkEnd w:id="2"/>
    </w:p>
    <w:p>
      <w:bookmarkStart w:id="3" w:name="scope-and-purpose"/>
      <w:pPr>
        <w:pStyle w:val="Heading2"/>
      </w:pPr>
      <w:r>
        <w:rPr>
          <w:b w:val="0"/>
          <w:i w:val="0"/>
        </w:rPr>
        <w:t>Scope and purpose</w:t>
      </w:r>
      <w:bookmarkEnd w:id="3"/>
    </w:p>
    <w:p>
      <w:pPr>
        <w:widowControl/>
      </w:pPr>
      <w:r>
        <w:rPr>
          <w:b w:val="0"/>
          <w:i w:val="0"/>
        </w:rPr>
        <w:t xml:space="preserve">This lexicon accompanies the Authorial Proem and Books I–IV of Marsilio Ficino’s </w:t>
      </w:r>
      <w:r>
        <w:rPr>
          <w:b w:val="0"/>
          <w:i/>
        </w:rPr>
        <w:t>Platonic Theology on the Immortality of Souls</w:t>
      </w:r>
      <w:r>
        <w:rPr>
          <w:b w:val="0"/>
          <w:i w:val="0"/>
        </w:rPr>
        <w:t>, in the supplied Diotimos bilingual editorial proof of August 2026. It explains the Latin vocabulary, the English translation’s choices, the distinctions on which the arguments turn, and the ordinary objects and actions that give those arguments their shape. Its scope is this volume, not the complete eighteen-book work.</w:t>
      </w:r>
    </w:p>
    <w:p>
      <w:pPr>
        <w:widowControl/>
      </w:pPr>
      <w:r>
        <w:rPr>
          <w:b w:val="0"/>
          <w:i w:val="0"/>
        </w:rPr>
        <w:t>Ficino’s opening question is why human beings, whose restlessness and bodily fragility can make their earthly condition worse than that of other animals, should nevertheless be understood as capable of blessedness. He begins from that problem and constructs a hierarchy of body, quality, soul, angelic mind and God. The first four books do not simply repeat one proof of immortality. They establish the levels, describe the divine principle, place soul between the extremes, and distinguish kinds and activities of soul. A term’s place in that movement matters as much as its most familiar English equivalent.</w:t>
      </w:r>
    </w:p>
    <w:p>
      <w:pPr>
        <w:widowControl/>
      </w:pPr>
      <w:r>
        <w:rPr>
          <w:b w:val="0"/>
          <w:i w:val="0"/>
        </w:rPr>
        <w:t xml:space="preserve">The Latin </w:t>
      </w:r>
      <w:r>
        <w:rPr>
          <w:b w:val="0"/>
          <w:i/>
        </w:rPr>
        <w:t>ratio</w:t>
      </w:r>
      <w:r>
        <w:rPr>
          <w:b w:val="0"/>
          <w:i w:val="0"/>
        </w:rPr>
        <w:t xml:space="preserve"> can concern a reason, an account, a formative principle or rational activity. </w:t>
      </w:r>
      <w:r>
        <w:rPr>
          <w:b w:val="0"/>
          <w:i/>
        </w:rPr>
        <w:t>Virtus</w:t>
      </w:r>
      <w:r>
        <w:rPr>
          <w:b w:val="0"/>
          <w:i w:val="0"/>
        </w:rPr>
        <w:t xml:space="preserve"> often means effective power rather than moral virtue. </w:t>
      </w:r>
      <w:r>
        <w:rPr>
          <w:b w:val="0"/>
          <w:i/>
        </w:rPr>
        <w:t>Species</w:t>
      </w:r>
      <w:r>
        <w:rPr>
          <w:b w:val="0"/>
          <w:i w:val="0"/>
        </w:rPr>
        <w:t xml:space="preserve"> can designate an intelligible form, an appearance, a natural kind or a form received by a knower. </w:t>
      </w:r>
      <w:r>
        <w:rPr>
          <w:b w:val="0"/>
          <w:i/>
        </w:rPr>
        <w:t>Spiritus</w:t>
      </w:r>
      <w:r>
        <w:rPr>
          <w:b w:val="0"/>
          <w:i w:val="0"/>
        </w:rPr>
        <w:t xml:space="preserve"> must be distinguished from soul and mind. A useful reading companion should make these changes accessible without pretending that one English word settles them. It should also explain the smaller verbs and images: receiving, imparting, turning, touching, weaving, making and being made can carry an argument that a list of abstract nouns would miss.</w:t>
      </w:r>
    </w:p>
    <w:p>
      <w:pPr>
        <w:widowControl/>
      </w:pPr>
      <w:r>
        <w:rPr>
          <w:b w:val="0"/>
          <w:i w:val="0"/>
        </w:rPr>
        <w:t xml:space="preserve">This edition develops the earlier lexicon through the same close-reading approach used for the </w:t>
      </w:r>
      <w:r>
        <w:rPr>
          <w:b w:val="0"/>
          <w:i/>
        </w:rPr>
        <w:t>Charmides</w:t>
      </w:r>
      <w:r>
        <w:rPr>
          <w:b w:val="0"/>
          <w:i w:val="0"/>
        </w:rPr>
        <w:t xml:space="preserve"> companion. Extended articles remain central, but they are joined by independently explained Latin vocabulary records, annotated passages, an argument map and several routes for lookup. The aim is substantial coverage of meaningful words and uses. Inflections are not counted as new concepts, and an index redirect is not represented as a definition.</w:t>
      </w:r>
    </w:p>
    <w:p>
      <w:bookmarkStart w:id="4" w:name="how-to-use-the-articles"/>
      <w:pPr>
        <w:pStyle w:val="Heading2"/>
      </w:pPr>
      <w:r>
        <w:rPr>
          <w:b w:val="0"/>
          <w:i w:val="0"/>
        </w:rPr>
        <w:t>How to use the articles</w:t>
      </w:r>
      <w:bookmarkEnd w:id="4"/>
    </w:p>
    <w:p>
      <w:pPr>
        <w:widowControl/>
      </w:pPr>
      <w:r>
        <w:rPr>
          <w:b/>
          <w:i w:val="0"/>
        </w:rPr>
        <w:t>The word</w:t>
      </w:r>
      <w:r>
        <w:rPr>
          <w:b w:val="0"/>
          <w:i w:val="0"/>
        </w:rPr>
        <w:t xml:space="preserve"> identifies a Latin lemma, phrase or family and explains the senses that the passages require. English article headings are editorial finding aids. A heading that gathers several Latin expressions does not claim that they are interchangeable, and an English term need not reproduce a single Latin technical label.</w:t>
      </w:r>
    </w:p>
    <w:p>
      <w:pPr>
        <w:widowControl/>
      </w:pPr>
      <w:r>
        <w:rPr>
          <w:b/>
          <w:i w:val="0"/>
        </w:rPr>
        <w:t>In the Platonic Theology</w:t>
      </w:r>
      <w:r>
        <w:rPr>
          <w:b w:val="0"/>
          <w:i w:val="0"/>
        </w:rPr>
        <w:t xml:space="preserve"> follows the word through this volume’s reasoning, imagery and attributions. It distinguishes an assertion Ficino defends from a position he reports, a premise granted temporarily, an objection, a comparison and a promised later demonstration. Related passages are brought together without making their differences disappear.</w:t>
      </w:r>
    </w:p>
    <w:p>
      <w:pPr>
        <w:widowControl/>
      </w:pPr>
      <w:r>
        <w:rPr>
          <w:b/>
          <w:i w:val="0"/>
        </w:rPr>
        <w:t>The places</w:t>
      </w:r>
      <w:r>
        <w:rPr>
          <w:b w:val="0"/>
          <w:i w:val="0"/>
        </w:rPr>
        <w:t xml:space="preserve"> supplies annotated comparison-unit references. Further references preserve the earlier lexicon’s useful reading routes. A selection of places is not an exhaustive concordance of every occurrence. The complete passage index offers a route through all 533 units, including those whose most useful treatment is in the vocabulary register rather than an extended article.</w:t>
      </w:r>
    </w:p>
    <w:p>
      <w:pPr>
        <w:widowControl/>
      </w:pPr>
      <w:r>
        <w:rPr>
          <w:b/>
          <w:i w:val="0"/>
        </w:rPr>
        <w:t>In this edition</w:t>
      </w:r>
      <w:r>
        <w:rPr>
          <w:b w:val="0"/>
          <w:i w:val="0"/>
        </w:rPr>
        <w:t xml:space="preserve"> explains a local translation choice or a textual qualification that affects reading. Dictionary citation forms and exact printed attestations are different. The proof’s punctuation and editorial divisions are evidence about this edition, not evidence that Ficino himself numbered or divided every argument in that way.</w:t>
      </w:r>
    </w:p>
    <w:p>
      <w:pPr>
        <w:widowControl/>
      </w:pPr>
      <w:r>
        <w:rPr>
          <w:b/>
          <w:i w:val="0"/>
        </w:rPr>
        <w:t>See also</w:t>
      </w:r>
      <w:r>
        <w:rPr>
          <w:b w:val="0"/>
          <w:i w:val="0"/>
        </w:rPr>
        <w:t xml:space="preserve"> links continuations, contrasts and related examples. A link does not identify two concepts. In particular, soul and spirit, will and appetite, thought and imagination, actuality and operation, and divine necessity and external compulsion must remain distinguishable.</w:t>
      </w:r>
    </w:p>
    <w:p>
      <w:pPr>
        <w:widowControl/>
      </w:pPr>
      <w:r>
        <w:rPr>
          <w:b w:val="0"/>
          <w:i w:val="0"/>
        </w:rPr>
        <w:t>The Latin vocabulary register gives each retained record a definition, a local explanation and a source reference. Several records can belong to one larger article. A record may concern a lexical family or a significant phrase rather than a different dictionary lemma. The original-form and English lookup indexes supplement those explanations; their counts should not be added together as though they measured distinct words.</w:t>
      </w:r>
    </w:p>
    <w:p>
      <w:bookmarkStart w:id="5" w:name="references-and-edition"/>
      <w:pPr>
        <w:pStyle w:val="Heading2"/>
      </w:pPr>
      <w:r>
        <w:rPr>
          <w:b w:val="0"/>
          <w:i w:val="0"/>
        </w:rPr>
        <w:t>References and edition</w:t>
      </w:r>
      <w:bookmarkEnd w:id="5"/>
    </w:p>
    <w:p>
      <w:pPr>
        <w:widowControl/>
      </w:pPr>
      <w:r>
        <w:rPr>
          <w:b w:val="0"/>
          <w:i w:val="0"/>
        </w:rPr>
        <w:t xml:space="preserve">A reference such as </w:t>
      </w:r>
      <w:r>
        <w:rPr>
          <w:b/>
          <w:i w:val="0"/>
        </w:rPr>
        <w:t>III.2.29</w:t>
      </w:r>
      <w:r>
        <w:rPr>
          <w:b w:val="0"/>
          <w:i w:val="0"/>
        </w:rPr>
        <w:t xml:space="preserve"> identifies Book III, chapter 2, comparison unit 29 in the supplied Diotimos edition. </w:t>
      </w:r>
      <w:r>
        <w:rPr>
          <w:b/>
          <w:i w:val="0"/>
        </w:rPr>
        <w:t>Proem.4</w:t>
      </w:r>
      <w:r>
        <w:rPr>
          <w:b w:val="0"/>
          <w:i w:val="0"/>
        </w:rPr>
        <w:t xml:space="preserve"> identifies the fourth Proem unit. These are editorial anchors. A sentence or inference can run across an anchor, so the cited unit should be read with its neighbours. Source page references identify the supplied 417-page PDF, not the folios and pages of the early printed witnesses named in its footers. In the numbered comparison units, the Latin normally appears on an even-numbered PDF page and its facing English on the following odd-numbered page.</w:t>
      </w:r>
    </w:p>
    <w:p>
      <w:pPr>
        <w:widowControl/>
      </w:pPr>
      <w:r>
        <w:rPr>
          <w:b w:val="0"/>
          <w:i w:val="0"/>
        </w:rPr>
        <w:t>The source describes its Latin as a conservatively normalized reading text based on the Florence printing of 1482 and principally collated against Paris 1559, with a Paris 1641 printing as a later control. Those are the edition’s statements. This lexicon checks the supplied Latin against its facing English and apparatus; it does not claim a new collation of those witnesses. Nor does it silently substitute the wording or paragraph numbers of a modern scholarly edition.</w:t>
      </w:r>
    </w:p>
    <w:p>
      <w:pPr>
        <w:widowControl/>
      </w:pPr>
      <w:r>
        <w:rPr>
          <w:b w:val="0"/>
          <w:i w:val="0"/>
        </w:rPr>
        <w:t xml:space="preserve">For historical orientation, Ficino composed the </w:t>
      </w:r>
      <w:r>
        <w:rPr>
          <w:b w:val="0"/>
          <w:i/>
        </w:rPr>
        <w:t>Platonic Theology</w:t>
      </w:r>
      <w:r>
        <w:rPr>
          <w:b w:val="0"/>
          <w:i w:val="0"/>
        </w:rPr>
        <w:t xml:space="preserve"> between 1469 and 1474; it first appeared in print in 1482. Its effort to connect philosophy with religion belongs to his broader project of interpreting Platonic traditions within a Christian understanding of truth.</w:t>
      </w:r>
      <w:r>
        <w:footnoteReference w:id="1"/>
      </w:r>
    </w:p>
    <w:p>
      <w:bookmarkStart w:id="6" w:name="reading-the-qualifications"/>
      <w:pPr>
        <w:pStyle w:val="Heading2"/>
      </w:pPr>
      <w:r>
        <w:rPr>
          <w:b w:val="0"/>
          <w:i w:val="0"/>
        </w:rPr>
        <w:t>Reading the qualifications</w:t>
      </w:r>
      <w:bookmarkEnd w:id="6"/>
    </w:p>
    <w:p>
      <w:pPr>
        <w:widowControl/>
      </w:pPr>
      <w:r>
        <w:rPr>
          <w:b w:val="0"/>
          <w:i w:val="0"/>
        </w:rPr>
        <w:t>The book repeatedly names Plato, Plotinus, Aristotle, Pythagoreans, Hermetic writers and other authorities. What matters first for this companion is what Ficino says they maintain and how he uses the claim. His attribution is not automatically a verified quotation from an independently consulted ancient work. Familiar names can occur within a reported classification rather than as an endorsement of every doctrine associated with that name.</w:t>
      </w:r>
    </w:p>
    <w:p>
      <w:pPr>
        <w:widowControl/>
      </w:pPr>
      <w:r>
        <w:rPr>
          <w:b w:val="0"/>
          <w:i w:val="0"/>
        </w:rPr>
        <w:t>The unnumbered authorial reservation printed before Book I, on source page 13, states that Ficino wishes his assertions here and elsewhere to extend only as far as the Church approves. The edition reports this reservation from its 1482 witness. It governs the reading of the work alongside the local qualifications.</w:t>
      </w:r>
    </w:p>
    <w:p>
      <w:pPr>
        <w:widowControl/>
      </w:pPr>
      <w:r>
        <w:rPr>
          <w:b w:val="0"/>
          <w:i w:val="0"/>
        </w:rPr>
        <w:t xml:space="preserve">Several passages require particular care. The mental-presence account in </w:t>
      </w:r>
      <w:r>
        <w:rPr>
          <w:b/>
          <w:i w:val="0"/>
        </w:rPr>
        <w:t>II.6.14–24</w:t>
      </w:r>
      <w:r>
        <w:rPr>
          <w:b w:val="0"/>
          <w:i w:val="0"/>
        </w:rPr>
        <w:t xml:space="preserve"> is reported through earlier thinkers. The account of divine self-production in </w:t>
      </w:r>
      <w:r>
        <w:rPr>
          <w:b/>
          <w:i w:val="0"/>
        </w:rPr>
        <w:t>II.12.8–11</w:t>
      </w:r>
      <w:r>
        <w:rPr>
          <w:b w:val="0"/>
          <w:i w:val="0"/>
        </w:rPr>
        <w:t xml:space="preserve"> is reserved and attributed. The discussion in </w:t>
      </w:r>
      <w:r>
        <w:rPr>
          <w:b/>
          <w:i w:val="0"/>
        </w:rPr>
        <w:t>IV.1.40–52</w:t>
      </w:r>
      <w:r>
        <w:rPr>
          <w:b w:val="0"/>
          <w:i w:val="0"/>
        </w:rPr>
        <w:t xml:space="preserve"> is a Pythagorean excursion, and its concluding qualification must not vanish when the passage is summarized. </w:t>
      </w:r>
      <w:r>
        <w:rPr>
          <w:b/>
          <w:i w:val="0"/>
        </w:rPr>
        <w:t>IV.1.96</w:t>
      </w:r>
      <w:r>
        <w:rPr>
          <w:b w:val="0"/>
          <w:i w:val="0"/>
        </w:rPr>
        <w:t xml:space="preserve"> makes the sphere-soul account conditional on Christian theological approval. These are part of the argument’s meaning, not marginal disclaimers.</w:t>
      </w:r>
    </w:p>
    <w:p>
      <w:pPr>
        <w:widowControl/>
      </w:pPr>
      <w:r>
        <w:rPr>
          <w:b w:val="0"/>
          <w:i w:val="0"/>
        </w:rPr>
        <w:t>Natural examples also need historical distance. Ficino uses the powers of stones, celestial influence, spontaneous generation, physiological effects and the supposed actions of animals as explanations or analogies. This lexicon reports their work in his reasoning. It does not endorse them as contemporary science or offer practical medical or astrological advice.</w:t>
      </w:r>
    </w:p>
    <w:p>
      <w:pPr>
        <w:widowControl/>
      </w:pPr>
      <w:r>
        <w:rPr>
          <w:b w:val="0"/>
          <w:i w:val="0"/>
        </w:rPr>
        <w:t xml:space="preserve">Several local source problems remain important. At </w:t>
      </w:r>
      <w:r>
        <w:rPr>
          <w:b/>
          <w:i w:val="0"/>
        </w:rPr>
        <w:t>IV.1.11</w:t>
      </w:r>
      <w:r>
        <w:rPr>
          <w:b w:val="0"/>
          <w:i w:val="0"/>
        </w:rPr>
        <w:t xml:space="preserve">, the facing English reverses the relation between a vivifying and motive power and the natural seeds with which it is imbued; the articles follow the Latin relation. The difficult wording at </w:t>
      </w:r>
      <w:r>
        <w:rPr>
          <w:b/>
          <w:i w:val="0"/>
        </w:rPr>
        <w:t>II.11.17</w:t>
      </w:r>
      <w:r>
        <w:rPr>
          <w:b w:val="0"/>
          <w:i w:val="0"/>
        </w:rPr>
        <w:t xml:space="preserve"> and </w:t>
      </w:r>
      <w:r>
        <w:rPr>
          <w:b/>
          <w:i w:val="0"/>
        </w:rPr>
        <w:t>III.2.29</w:t>
      </w:r>
      <w:r>
        <w:rPr>
          <w:b w:val="0"/>
          <w:i w:val="0"/>
        </w:rPr>
        <w:t xml:space="preserve"> remains unresolved here. </w:t>
      </w:r>
      <w:r>
        <w:rPr>
          <w:b/>
          <w:i w:val="0"/>
        </w:rPr>
        <w:t>II.12.7</w:t>
      </w:r>
      <w:r>
        <w:rPr>
          <w:b w:val="0"/>
          <w:i w:val="0"/>
        </w:rPr>
        <w:t xml:space="preserve"> also admits a subject-and-scope question in its account of freedom. The source notes explain these cases. A plausible repair is not printed as an established reading.</w:t>
      </w:r>
    </w:p>
    <w:p>
      <w:bookmarkStart w:id="7" w:name="coverage-and-its-limits"/>
      <w:pPr>
        <w:pStyle w:val="Heading2"/>
      </w:pPr>
      <w:r>
        <w:rPr>
          <w:b w:val="0"/>
          <w:i w:val="0"/>
        </w:rPr>
        <w:t>Coverage and its limits</w:t>
      </w:r>
      <w:bookmarkEnd w:id="7"/>
    </w:p>
    <w:p>
      <w:pPr>
        <w:widowControl/>
      </w:pPr>
      <w:r>
        <w:rPr>
          <w:b w:val="0"/>
          <w:i w:val="0"/>
        </w:rPr>
        <w:t>The primary reading coverage comprises all 533 numbered units of the supplied Proem and Books I–IV: 11 in the Proem, 109 in Book I, 228 in Book II, 62 in Book III and 123 in Book IV. The unnumbered authorial reservation, editorial apparatus, locator register and translation glossary were also consulted. The passage index includes every numbered unit, with direct routes to the explanations.</w:t>
      </w:r>
    </w:p>
    <w:p>
      <w:pPr>
        <w:widowControl/>
      </w:pPr>
      <w:r>
        <w:rPr>
          <w:b w:val="0"/>
          <w:i w:val="0"/>
        </w:rPr>
        <w:t>There are 234 extended five-part articles. The Latin register contains 1,291 explained lemma, family and phrase records, bringing together 1,335 local records from the source sections. Its 3,039 distinct printed-form strings include phrases as well as single forms. These are different, overlapping measures of access and explanation, not counts to add together as distinct words. A separate set of 22 passage records explains the Greek expressions quoted in the Latin through Ficino’s accompanying glosses.</w:t>
      </w:r>
    </w:p>
    <w:p>
      <w:pPr>
        <w:widowControl/>
      </w:pPr>
      <w:r>
        <w:rPr>
          <w:b w:val="0"/>
          <w:i w:val="0"/>
        </w:rPr>
        <w:t xml:space="preserve">The vocabulary review distinguished exact attestations, contextually explained families, ordinary grammar and words not separately expanded. Dictionary forms were kept distinct from printed inflections. Similar spelling alone was not accepted as evidence that words have the same meaning: forms of thinking and compelling, dwelling and habitual possession, or the sun and restrictive </w:t>
      </w:r>
      <w:r>
        <w:t>“</w:t>
      </w:r>
      <w:r>
        <w:rPr>
          <w:b w:val="0"/>
          <w:i w:val="0"/>
        </w:rPr>
        <w:t>only</w:t>
      </w:r>
      <w:r>
        <w:t>”</w:t>
      </w:r>
      <w:r>
        <w:rPr>
          <w:b w:val="0"/>
          <w:i w:val="0"/>
        </w:rPr>
        <w:t xml:space="preserve"> required different treatment. The register supplies its own definitions and local explanations rather than merely directing the reader to a broad article. Nevertheless, this is a substantial reading lexicon, not a complete morphological dictionary or a concordance of every ordinary repetition.</w:t>
      </w:r>
    </w:p>
    <w:p>
      <w:pPr>
        <w:widowControl/>
      </w:pPr>
      <w:r>
        <w:rPr>
          <w:b w:val="0"/>
          <w:i w:val="0"/>
        </w:rPr>
        <w:t>The earlier 117 articles remain represented, with their supported substantive explanations retained and new lexical, passage and edition commentary added. Related new headings have been consolidated where they explain the same vocabulary, while distinct examples and senses remain visible. Preserving an article’s title alone was not treated as preservation of its analysis.</w:t>
      </w:r>
    </w:p>
    <w:p>
      <w:bookmarkStart w:id="8" w:name="argument-map"/>
      <w:pPr>
        <w:pStyle w:val="Heading1"/>
      </w:pPr>
      <w:r>
        <w:rPr>
          <w:b w:val="0"/>
          <w:i w:val="0"/>
        </w:rPr>
        <w:t>Argument map</w:t>
      </w:r>
      <w:bookmarkEnd w:id="8"/>
    </w:p>
    <w:p>
      <w:bookmarkStart w:id="9" w:name="proem"/>
      <w:pPr>
        <w:pStyle w:val="Heading2"/>
      </w:pPr>
      <w:r>
        <w:rPr>
          <w:b w:val="0"/>
          <w:i w:val="0"/>
        </w:rPr>
        <w:t>Proem</w:t>
      </w:r>
      <w:bookmarkEnd w:id="9"/>
    </w:p>
    <w:p>
      <w:pPr>
        <w:widowControl/>
      </w:pPr>
      <w:r>
        <w:rPr>
          <w:b/>
          <w:i w:val="0"/>
        </w:rPr>
        <w:t>Proem.1–11 — Philosophy directed toward divine truth.</w:t>
      </w:r>
      <w:r>
        <w:rPr>
          <w:b w:val="0"/>
          <w:i w:val="0"/>
        </w:rPr>
        <w:t xml:space="preserve"> Ficino presents Plato as joining inquiry to purification, contemplation and worship. Self-knowledge opens a route toward the soul’s dignity; Augustine authorizes the project’s Christian orientation. The Proem’s language of image, mirror, light, shadow and return sets up patterns that recur in the arguments. Proem.10 submits the work’s claims to divine law; Proem.11 then dedicates the work to Lorenzo and links philosophical leisure with public authority.</w:t>
      </w:r>
    </w:p>
    <w:p>
      <w:bookmarkStart w:id="10" w:name="book-i"/>
      <w:pPr>
        <w:pStyle w:val="Heading2"/>
      </w:pPr>
      <w:r>
        <w:rPr>
          <w:b w:val="0"/>
          <w:i w:val="0"/>
        </w:rPr>
        <w:t>Book I</w:t>
      </w:r>
      <w:bookmarkEnd w:id="10"/>
    </w:p>
    <w:p>
      <w:pPr>
        <w:widowControl/>
      </w:pPr>
      <w:r>
        <w:rPr>
          <w:b/>
          <w:i w:val="0"/>
        </w:rPr>
        <w:t>I.1 — Human misery and the need for a higher account.</w:t>
      </w:r>
      <w:r>
        <w:rPr>
          <w:b w:val="0"/>
          <w:i w:val="0"/>
        </w:rPr>
        <w:t xml:space="preserve"> The opening contrast between earthly vulnerability and the capacity for blessedness motivates the inquiry. Body, quality, soul, angel and God begin to appear as levels to be distinguished rather than interchangeable names for one kind of thing.</w:t>
      </w:r>
    </w:p>
    <w:p>
      <w:pPr>
        <w:widowControl/>
      </w:pPr>
      <w:r>
        <w:rPr>
          <w:b/>
          <w:i w:val="0"/>
        </w:rPr>
        <w:t>I.2 — Body and the source of bodily action.</w:t>
      </w:r>
      <w:r>
        <w:rPr>
          <w:b w:val="0"/>
          <w:i w:val="0"/>
        </w:rPr>
        <w:t xml:space="preserve"> Body considered as matter and quantity is divisible and passive. Its actions therefore require explanatory principles beyond bare bulk. Physical examples test the difference between a thing’s size and its effective power.</w:t>
      </w:r>
    </w:p>
    <w:p>
      <w:pPr>
        <w:widowControl/>
      </w:pPr>
      <w:r>
        <w:rPr>
          <w:b/>
          <w:i w:val="0"/>
        </w:rPr>
        <w:t>I.3 — Quality and the need for an indivisible principle.</w:t>
      </w:r>
      <w:r>
        <w:rPr>
          <w:b w:val="0"/>
          <w:i w:val="0"/>
        </w:rPr>
        <w:t xml:space="preserve"> A form divided in body does not explain its own efficacy or unity. Ficino compares the limitations of bodily quality with the kind of source required to produce and maintain it. Contrasts between extent, intensity and indivisibility carry the ascent. The argument also differentiates natural, mathematical and metaphysical forms by their relation to matter, and dimensions, points, numbers and unity by their relation to parts and position (I.3.12–16).</w:t>
      </w:r>
    </w:p>
    <w:p>
      <w:pPr>
        <w:widowControl/>
      </w:pPr>
      <w:r>
        <w:rPr>
          <w:b/>
          <w:i w:val="0"/>
        </w:rPr>
        <w:t>I.4 — Soul as a stable source of changing effects.</w:t>
      </w:r>
      <w:r>
        <w:rPr>
          <w:b w:val="0"/>
          <w:i w:val="0"/>
        </w:rPr>
        <w:t xml:space="preserve"> Quality changes in essence, power and operation. The cause of these effects cannot simply repeat all its dependent features. Soul is introduced through a more stable mode of being that can nevertheless give rise to succession.</w:t>
      </w:r>
    </w:p>
    <w:p>
      <w:pPr>
        <w:widowControl/>
      </w:pPr>
      <w:r>
        <w:rPr>
          <w:b/>
          <w:i w:val="0"/>
        </w:rPr>
        <w:t>I.5 — From soul to angelic mind.</w:t>
      </w:r>
      <w:r>
        <w:rPr>
          <w:b w:val="0"/>
          <w:i w:val="0"/>
        </w:rPr>
        <w:t xml:space="preserve"> Soul’s stable essence, natural power, acquired dispositions and successive operations must be separated. An intellect that understands together rather than discursively supplies the next level. Ficino explores divisions and rankings without making angelic mind independent of a higher cause.</w:t>
      </w:r>
    </w:p>
    <w:p>
      <w:pPr>
        <w:widowControl/>
      </w:pPr>
      <w:r>
        <w:rPr>
          <w:b/>
          <w:i w:val="0"/>
        </w:rPr>
        <w:t>I.6 — Beyond angel to unity truth and goodness.</w:t>
      </w:r>
      <w:r>
        <w:rPr>
          <w:b w:val="0"/>
          <w:i w:val="0"/>
        </w:rPr>
        <w:t xml:space="preserve"> Angelic mind remains multiple and dependent. Arguments from mediation, truth and goodness take the inquiry beyond it. The ascent does not end by turning an especially powerful created mind into God.</w:t>
      </w:r>
    </w:p>
    <w:p>
      <w:bookmarkStart w:id="11" w:name="book-ii"/>
      <w:pPr>
        <w:pStyle w:val="Heading2"/>
      </w:pPr>
      <w:r>
        <w:rPr>
          <w:b w:val="0"/>
          <w:i w:val="0"/>
        </w:rPr>
        <w:t>Book II</w:t>
      </w:r>
      <w:bookmarkEnd w:id="11"/>
    </w:p>
    <w:p>
      <w:pPr>
        <w:widowControl/>
      </w:pPr>
      <w:r>
        <w:rPr>
          <w:b/>
          <w:i w:val="0"/>
        </w:rPr>
        <w:t>II.1 — Unity, truth and goodness as the highest principle.</w:t>
      </w:r>
      <w:r>
        <w:rPr>
          <w:b w:val="0"/>
          <w:i w:val="0"/>
        </w:rPr>
        <w:t xml:space="preserve"> Ficino identifies the three names reached by the preceding ascent as one divine source. Pure wine illustrates the connection between unity, genuineness and goodness. Things bear traces of these perfections and desire them as their source. The remaining arguments ask whether anything could stand above unity, truth or goodness: a proposed superior would either depend upon the very perfection it supposedly surpassed, or lack what would make it a genuine and desirable principle.</w:t>
      </w:r>
    </w:p>
    <w:p>
      <w:pPr>
        <w:widowControl/>
      </w:pPr>
      <w:r>
        <w:rPr>
          <w:b/>
          <w:i w:val="0"/>
        </w:rPr>
        <w:t>II.2 — Why the first principle is one.</w:t>
      </w:r>
      <w:r>
        <w:rPr>
          <w:b w:val="0"/>
          <w:i w:val="0"/>
        </w:rPr>
        <w:t xml:space="preserve"> Hypothetical rival principles are tested by relations of superiority, equality, difference and commonality. A temporary concession that there are two gods is a step in an objection and reply, not a settled assertion.</w:t>
      </w:r>
    </w:p>
    <w:p>
      <w:pPr>
        <w:widowControl/>
      </w:pPr>
      <w:r>
        <w:rPr>
          <w:b/>
          <w:i w:val="0"/>
        </w:rPr>
        <w:t>II.3 — Why there is no endless hierarchy of gods.</w:t>
      </w:r>
      <w:r>
        <w:rPr>
          <w:b w:val="0"/>
          <w:i w:val="0"/>
        </w:rPr>
        <w:t xml:space="preserve"> An infinite sequence of superior causes is challenged through its consequences for effects, order and causal priority. The different senses of infinity should not be collapsed into one numerical puzzle.</w:t>
      </w:r>
    </w:p>
    <w:p>
      <w:pPr>
        <w:widowControl/>
      </w:pPr>
      <w:r>
        <w:rPr>
          <w:b/>
          <w:i w:val="0"/>
        </w:rPr>
        <w:t>II.4 — Infinite divine power.</w:t>
      </w:r>
      <w:r>
        <w:rPr>
          <w:b w:val="0"/>
          <w:i w:val="0"/>
        </w:rPr>
        <w:t xml:space="preserve"> Pure act is contrasted with receptive potency and limitation. The source’s effective power is not simply the greatest measurable degree among bodily strengths. Examples of limits and dependence explain the distinction.</w:t>
      </w:r>
    </w:p>
    <w:p>
      <w:pPr>
        <w:widowControl/>
      </w:pPr>
      <w:r>
        <w:rPr>
          <w:b/>
          <w:i w:val="0"/>
        </w:rPr>
        <w:t>II.5 — Eternity.</w:t>
      </w:r>
      <w:r>
        <w:rPr>
          <w:b w:val="0"/>
          <w:i w:val="0"/>
        </w:rPr>
        <w:t xml:space="preserve"> Duration, truth and the priority of a first cause support the claim that God neither begins nor ceases. Eternity is not introduced as a very long life exposed to ordinary temporal change.</w:t>
      </w:r>
    </w:p>
    <w:p>
      <w:pPr>
        <w:widowControl/>
      </w:pPr>
      <w:r>
        <w:rPr>
          <w:b/>
          <w:i w:val="0"/>
        </w:rPr>
        <w:t>II.6 — Presence without spatial extension.</w:t>
      </w:r>
      <w:r>
        <w:rPr>
          <w:b w:val="0"/>
          <w:i w:val="0"/>
        </w:rPr>
        <w:t xml:space="preserve"> Divine power is everywhere without becoming a body spread through space. Contact by power differs from contact by dimensions. The extended report about minds and their contents requires careful attribution and does not erase differences among minds.</w:t>
      </w:r>
    </w:p>
    <w:p>
      <w:pPr>
        <w:widowControl/>
      </w:pPr>
      <w:r>
        <w:rPr>
          <w:b/>
          <w:i w:val="0"/>
        </w:rPr>
        <w:t>II.7 — Making and preserving.</w:t>
      </w:r>
      <w:r>
        <w:rPr>
          <w:b w:val="0"/>
          <w:i w:val="0"/>
        </w:rPr>
        <w:t xml:space="preserve"> Created composites depend upon the divine principle. Preservation is not merely the absence of a later destructive event; the argument concerns the continuing dependence of a thing’s being and activity.</w:t>
      </w:r>
    </w:p>
    <w:p>
      <w:pPr>
        <w:widowControl/>
      </w:pPr>
      <w:r>
        <w:rPr>
          <w:b/>
          <w:i w:val="0"/>
        </w:rPr>
        <w:t>II.8 — Activity without toil.</w:t>
      </w:r>
      <w:r>
        <w:rPr>
          <w:b w:val="0"/>
          <w:i w:val="0"/>
        </w:rPr>
        <w:t xml:space="preserve"> Ficino answers the objection that extensive divine activity would require burdensome deliberation or labour. Analogies with effortless or inward activity help distinguish the divine source from a craftsman fatigued by successive tasks.</w:t>
      </w:r>
    </w:p>
    <w:p>
      <w:pPr>
        <w:widowControl/>
      </w:pPr>
      <w:r>
        <w:rPr>
          <w:b/>
          <w:i w:val="0"/>
        </w:rPr>
        <w:t>II.9 — Divine understanding, self-knowledge and particulars.</w:t>
      </w:r>
      <w:r>
        <w:rPr>
          <w:b w:val="0"/>
          <w:i w:val="0"/>
        </w:rPr>
        <w:t xml:space="preserve"> Separation from matter makes forms intelligible and supports Ficino’s argument for divine understanding. Perfect self-knowledge depends on no external object that could complete God. Intellectual names apply to God through causal eminence rather than membership in the created genus of minds. In knowing himself as the source of every mode of being, God knows individual things distinctly, including the least. Ficino first illustrates knowledge through a sequence of causes, then expressly denies that God must inspect those causes outside himself. Knowledge of universal order includes its particular parts and relations.</w:t>
      </w:r>
    </w:p>
    <w:p>
      <w:pPr>
        <w:widowControl/>
      </w:pPr>
      <w:r>
        <w:rPr>
          <w:b/>
          <w:i w:val="0"/>
        </w:rPr>
        <w:t>II.10 — Knowing infinity without enumeration.</w:t>
      </w:r>
      <w:r>
        <w:rPr>
          <w:b w:val="0"/>
          <w:i w:val="0"/>
        </w:rPr>
        <w:t xml:space="preserve"> Ficino extends divine knowledge from individual things to an unlimited range of actual and possible objects. Infinite power, the potential progressions of nature and number, the inexhaustible divine exemplar, and the human intellect’s ability to pass beyond any assigned total supply distinct arguments. An objection equates comprehension with confinement within limits. Ficino replies that infinite self-comprehension imposes no external boundary and requires no successive counting. When he says the infinite is known </w:t>
      </w:r>
      <w:r>
        <w:t>“</w:t>
      </w:r>
      <w:r>
        <w:rPr>
          <w:b w:val="0"/>
          <w:i w:val="0"/>
        </w:rPr>
        <w:t>as finite,</w:t>
      </w:r>
      <w:r>
        <w:t>”</w:t>
      </w:r>
      <w:r>
        <w:rPr>
          <w:b w:val="0"/>
          <w:i w:val="0"/>
        </w:rPr>
        <w:t xml:space="preserve"> he immediately explains this as simplicity in essence together with multiplicity in a qualified respect.</w:t>
      </w:r>
    </w:p>
    <w:p>
      <w:pPr>
        <w:widowControl/>
      </w:pPr>
      <w:r>
        <w:rPr>
          <w:b/>
          <w:i w:val="0"/>
        </w:rPr>
        <w:t>II.11 — Forms ideas and willing production.</w:t>
      </w:r>
      <w:r>
        <w:rPr>
          <w:b w:val="0"/>
          <w:i w:val="0"/>
        </w:rPr>
        <w:t xml:space="preserve"> The forms of effects must be present in their cause, but this does not make God an aggregate of forms or compel creation by a blind necessity. Crafts, images, relations and affect help distinguish divine understanding, will and external production. The difficult wording at II.11.17 remains visible.</w:t>
      </w:r>
    </w:p>
    <w:p>
      <w:pPr>
        <w:widowControl/>
      </w:pPr>
      <w:r>
        <w:rPr>
          <w:b/>
          <w:i w:val="0"/>
        </w:rPr>
        <w:t>II.12 — Necessity and freedom.</w:t>
      </w:r>
      <w:r>
        <w:rPr>
          <w:b w:val="0"/>
          <w:i w:val="0"/>
        </w:rPr>
        <w:t xml:space="preserve"> Ficino asks how divine willing can be necessary and free together. External compulsion differs from willing in accordance with one’s own nature. The passage’s qualified language of self-production should not be converted into the claim that God comes into existence after not existing.</w:t>
      </w:r>
    </w:p>
    <w:p>
      <w:pPr>
        <w:widowControl/>
      </w:pPr>
      <w:r>
        <w:rPr>
          <w:b/>
          <w:i w:val="0"/>
        </w:rPr>
        <w:t>II.13 — Love and providential care.</w:t>
      </w:r>
      <w:r>
        <w:rPr>
          <w:b w:val="0"/>
          <w:i w:val="0"/>
        </w:rPr>
        <w:t xml:space="preserve"> Divine delight in the divine good extends to images and works. Love, ordering, and the care of lower things complete the book’s account of the first principle, without making every creature equal in kind or perfection. The closing discussion distinguishes foreknowledge of an action’s free manner from compulsion, and preserves rational judgement among particular means (II.13.25–30).</w:t>
      </w:r>
    </w:p>
    <w:p>
      <w:bookmarkStart w:id="12" w:name="book-iii"/>
      <w:pPr>
        <w:pStyle w:val="Heading2"/>
      </w:pPr>
      <w:r>
        <w:rPr>
          <w:b w:val="0"/>
          <w:i w:val="0"/>
        </w:rPr>
        <w:t>Book III</w:t>
      </w:r>
      <w:bookmarkEnd w:id="12"/>
    </w:p>
    <w:p>
      <w:pPr>
        <w:widowControl/>
      </w:pPr>
      <w:r>
        <w:rPr>
          <w:b/>
          <w:i w:val="0"/>
        </w:rPr>
        <w:t>III.1 — Comparing the five levels.</w:t>
      </w:r>
      <w:r>
        <w:rPr>
          <w:b w:val="0"/>
          <w:i w:val="0"/>
        </w:rPr>
        <w:t xml:space="preserve"> The ascent is retraced as a descent. Number, motion, simplicity, power and dependence are compared across levels. The same general word can designate markedly different modes of possession and activity at different levels.</w:t>
      </w:r>
    </w:p>
    <w:p>
      <w:pPr>
        <w:widowControl/>
      </w:pPr>
      <w:r>
        <w:rPr>
          <w:b/>
          <w:i w:val="0"/>
        </w:rPr>
        <w:t>III.2 — Soul in the middle.</w:t>
      </w:r>
      <w:r>
        <w:rPr>
          <w:b w:val="0"/>
          <w:i w:val="0"/>
        </w:rPr>
        <w:t xml:space="preserve"> Soul connects the extremes through understanding, desire and animation. Its middle position is an explanatory role rather than a spatial location. Images of bond, centre and union illuminate the role, but cannot be used to turn an incorporeal soul into an extended piece of matter. The wording at III.2.29 remains unresolved.</w:t>
      </w:r>
    </w:p>
    <w:p>
      <w:bookmarkStart w:id="13" w:name="book-iv"/>
      <w:pPr>
        <w:pStyle w:val="Heading2"/>
      </w:pPr>
      <w:r>
        <w:rPr>
          <w:b w:val="0"/>
          <w:i w:val="0"/>
        </w:rPr>
        <w:t>Book IV</w:t>
      </w:r>
      <w:bookmarkEnd w:id="13"/>
    </w:p>
    <w:p>
      <w:pPr>
        <w:widowControl/>
      </w:pPr>
      <w:r>
        <w:rPr>
          <w:b/>
          <w:i w:val="0"/>
        </w:rPr>
        <w:t>IV.1.1–9 — Earthly life and a proximate living source.</w:t>
      </w:r>
      <w:r>
        <w:rPr>
          <w:b w:val="0"/>
          <w:i w:val="0"/>
        </w:rPr>
        <w:t xml:space="preserve"> After placing rational soul in the middle of the five grades, Ficino turns to its ranks. The earth’s and water’s supposed generation, nourishment and growth of living things become evidence of their animation. A remote celestial influence is an accident, so cannot alone explain the production of living substance. An inward living source must receive and specify the general influence, dispose matter, and supply the determinate principles of vines, flies and other products. The argument depends upon the natural philosophy presented in the text, including spontaneous generation.</w:t>
      </w:r>
    </w:p>
    <w:p>
      <w:pPr>
        <w:widowControl/>
      </w:pPr>
      <w:r>
        <w:rPr>
          <w:b/>
          <w:i w:val="0"/>
        </w:rPr>
        <w:t>IV.1.10–19 — Inward natural art and productive seeds.</w:t>
      </w:r>
      <w:r>
        <w:rPr>
          <w:b w:val="0"/>
          <w:i w:val="0"/>
        </w:rPr>
        <w:t xml:space="preserve"> Nature is compared with a craft operating within its material. The carpenter within wood and the geometer shaping imagination explain how intellectual principles can direct inward production. Natural art is then distinguished from human art by its substantial forms and essential principles. Spiritual, life-giving seeds account for determinate results where bodily seeds are absent or insufficient. The fire example separates a remote bodily possibility from an adequate actual producer. At IV.1.11, the Latin makes the vivifying and motive power receive natural seeds; the facing English reverses this relation.</w:t>
      </w:r>
    </w:p>
    <w:p>
      <w:pPr>
        <w:widowControl/>
      </w:pPr>
      <w:r>
        <w:rPr>
          <w:b/>
          <w:i w:val="0"/>
        </w:rPr>
        <w:t>IV.1.20–28 — Extraordinary powers and the distinction from God.</w:t>
      </w:r>
      <w:r>
        <w:rPr>
          <w:b w:val="0"/>
          <w:i w:val="0"/>
        </w:rPr>
        <w:t xml:space="preserve"> Powers attributed to herbs and stones are offered as further evidence of an animating nature superior to bare bodily qualities. These are historical claims, not verified remedies or physical effects. Ficino then rejects the identification of a sphere’s life, or the world’s life, with God: a life bound to an animated body is not the self-subsistent first life. God is neither the form of matter nor one component of a cosmic living being, and the changing life of a sphere requires a stable higher guide.</w:t>
      </w:r>
    </w:p>
    <w:p>
      <w:pPr>
        <w:widowControl/>
      </w:pPr>
      <w:r>
        <w:rPr>
          <w:b/>
          <w:i w:val="0"/>
        </w:rPr>
        <w:t>IV.1.29–40 — Soul between mind and body; spheres and inhabitants.</w:t>
      </w:r>
      <w:r>
        <w:rPr>
          <w:b w:val="0"/>
          <w:i w:val="0"/>
        </w:rPr>
        <w:t xml:space="preserve"> Angelic mind cannot serve as the body’s immediately joined life. Soul provides the required middle, sharing indivisibility with mind while bringing forms into mutable and temporal activity. The transparent-medium image clarifies this mediation. Ficino distinguishes the souls of the elemental and heavenly spheres from the proper souls of their inhabitants, including stars, beasts and human beings. He argues that sphere-souls are rational and reports accounts of daemons and their bodies. The opening of IV.1.40 completes this discussion before announcing a temporary Pythagorean excursion.</w:t>
      </w:r>
    </w:p>
    <w:p>
      <w:pPr>
        <w:widowControl/>
      </w:pPr>
      <w:r>
        <w:rPr>
          <w:b/>
          <w:i w:val="0"/>
        </w:rPr>
        <w:t>IV.1.40–52 — A qualified Pythagorean twelvefold scheme.</w:t>
      </w:r>
      <w:r>
        <w:rPr>
          <w:b w:val="0"/>
          <w:i w:val="0"/>
        </w:rPr>
        <w:t xml:space="preserve"> Within the announced excursion, many souls are gathered under twelve principal souls in each sphere. The zodiacal figures and twelve modes of human life supply corresponding signs at the highest and lowest spheres. Human lives are differentiated by the precedence of reason, anger and desire. The ascent then passes from souls through minds to the One and Good, interpreted through the name Apollo. The ruling minds are introduced with </w:t>
      </w:r>
      <w:r>
        <w:t>“</w:t>
      </w:r>
      <w:r>
        <w:rPr>
          <w:b w:val="0"/>
          <w:i w:val="0"/>
        </w:rPr>
        <w:t>perhaps,</w:t>
      </w:r>
      <w:r>
        <w:t>”</w:t>
      </w:r>
      <w:r>
        <w:rPr>
          <w:b w:val="0"/>
          <w:i w:val="0"/>
        </w:rPr>
        <w:t xml:space="preserve"> and the final sentence expressly leaves the Pythagorean conversation and resumes the Platonic order. This scheme must retain those limits.</w:t>
      </w:r>
    </w:p>
    <w:p>
      <w:pPr>
        <w:widowControl/>
      </w:pPr>
      <w:r>
        <w:rPr>
          <w:b/>
          <w:i w:val="0"/>
        </w:rPr>
        <w:t>IV.1.53–63 — A new argument from celestial motion.</w:t>
      </w:r>
      <w:r>
        <w:rPr>
          <w:b w:val="0"/>
          <w:i w:val="0"/>
        </w:rPr>
        <w:t xml:space="preserve"> Ficino now begins another proof of the spheres’ life. A first moved sphere requires an inward source of motion. Bodily quality, fixed to a determinate operation and position, is judged insufficient for heaven’s uniform yet varied and returning activity. God cannot be one sphere’s particular mover alongside other proportionate movers; as goodness, he moves as the desired end. An inward form possessed of life and reason must desire that end and produce the bodily movement. Even the comparison with Archimedes’ mechanical spheres is redirected toward a living and rational source.</w:t>
      </w:r>
    </w:p>
    <w:p>
      <w:pPr>
        <w:widowControl/>
      </w:pPr>
      <w:r>
        <w:rPr>
          <w:b/>
          <w:i w:val="0"/>
        </w:rPr>
        <w:t>IV.1.64–73 — The self-moving middle and the celestial living being.</w:t>
      </w:r>
      <w:r>
        <w:rPr>
          <w:b w:val="0"/>
          <w:i w:val="0"/>
        </w:rPr>
        <w:t xml:space="preserve"> The immediate mover cannot be an unmoved angel. A self-moving soul connects stable angelic activity with a body moved by another. Its power is indivisible and wholly present throughout its sphere, without being confined like a geometrical point. Heaven’s generative and circular activity supplies further arguments for life. Ficino then treats soul and sphere as one enduring living being, using the supposed purity and balance of celestial bodies to explain their fitness for animation and knowledge. </w:t>
      </w:r>
      <w:r>
        <w:t>“</w:t>
      </w:r>
      <w:r>
        <w:rPr>
          <w:b w:val="0"/>
          <w:i w:val="0"/>
        </w:rPr>
        <w:t>Almost spiritual</w:t>
      </w:r>
      <w:r>
        <w:t>”</w:t>
      </w:r>
      <w:r>
        <w:rPr>
          <w:b w:val="0"/>
          <w:i w:val="0"/>
        </w:rPr>
        <w:t xml:space="preserve"> still describes bodies.</w:t>
      </w:r>
    </w:p>
    <w:p>
      <w:pPr>
        <w:widowControl/>
      </w:pPr>
      <w:r>
        <w:rPr>
          <w:b/>
          <w:i w:val="0"/>
        </w:rPr>
        <w:t>IV.1.74–79 — Elemental movement and the limits of apparent self-motion.</w:t>
      </w:r>
      <w:r>
        <w:rPr>
          <w:b w:val="0"/>
          <w:i w:val="0"/>
        </w:rPr>
        <w:t xml:space="preserve"> The Platonist account extends animation to the elements. As a magnet draws iron, a sphere’s soul is said to recall separated particles. Apparent spontaneous movement therefore need not be movement through a body’s own power. Proper circular motion within a natural place is distinguished from straight-line restoration to it. Earth is still treated as resting, with an alternative attributed to Egelias. Plants and stones are distinguished from beasts and humans by their dependence on the earth, and differences among bodies support corresponding distinctions among their souls.</w:t>
      </w:r>
    </w:p>
    <w:p>
      <w:pPr>
        <w:widowControl/>
      </w:pPr>
      <w:r>
        <w:rPr>
          <w:b/>
          <w:i w:val="0"/>
        </w:rPr>
        <w:t>IV.1.79–83 — Arguments for one world-soul.</w:t>
      </w:r>
      <w:r>
        <w:rPr>
          <w:b w:val="0"/>
          <w:i w:val="0"/>
        </w:rPr>
        <w:t xml:space="preserve"> The chapter moves from distinct bodily souls to one soul above the individual spheres. One living maker is said to require one living work; the common primary matter receives a corresponding common soul; and the cooperation of contrary and separated members points to one animating source. The human soul’s whole presence in each bodily part supplies the analogy for the world-soul’s undivided presence. These arguments connect the world’s parts without identifying the subordinate souls with one another or identifying the world-soul with God.</w:t>
      </w:r>
    </w:p>
    <w:p>
      <w:pPr>
        <w:widowControl/>
      </w:pPr>
      <w:r>
        <w:rPr>
          <w:b/>
          <w:i w:val="0"/>
        </w:rPr>
        <w:t>IV.1.84–87 — Rational order and different causal contributions.</w:t>
      </w:r>
      <w:r>
        <w:rPr>
          <w:b w:val="0"/>
          <w:i w:val="0"/>
        </w:rPr>
        <w:t xml:space="preserve"> Celestial regularity is attributed to unerring wisdom rather than lifeless necessity. Heaven’s instrumental preparation of bodies for intellectual souls supplies a further argument for intelligent direction. Ficino reports the Magian names Oromasis, Mitris and Arimanis as God, mind and soul, assigning unity, order and motion to them respectively. Natural kinds receive being, unity, order and perpetuity from higher stable causes, while their multiplication and change proceed through soul and heaven. A kind’s continued succession is therefore different from its individuals’ permanence.</w:t>
      </w:r>
    </w:p>
    <w:p>
      <w:pPr>
        <w:widowControl/>
      </w:pPr>
      <w:r>
        <w:rPr>
          <w:b/>
          <w:i w:val="0"/>
        </w:rPr>
        <w:t>IV.1.88–93 — Reported agreement and the elemental objection.</w:t>
      </w:r>
      <w:r>
        <w:rPr>
          <w:b w:val="0"/>
          <w:i w:val="0"/>
        </w:rPr>
        <w:t xml:space="preserve"> Ficino names Peripatetic as well as Platonic and Christian authorities in discussing heavenly animation. The elemental spheres are a separate point of dispute. The Platonist reply distinguishes complete elements, which serve the whole world, from particles mixed for particular bodies. Complete elements mediate influences to lower things. Purity, mixture and balance then explain differing capacities for extraordinary operations, life, sensation and reason within this historical account. A well-proportioned mixture can be beneficial; mixture is not uniformly a term of blame.</w:t>
      </w:r>
    </w:p>
    <w:p>
      <w:pPr>
        <w:widowControl/>
      </w:pPr>
      <w:r>
        <w:rPr>
          <w:b/>
          <w:i w:val="0"/>
        </w:rPr>
        <w:t>IV.1.94–96 — Paired powers, three ranks and a final reservation.</w:t>
      </w:r>
      <w:r>
        <w:rPr>
          <w:b w:val="0"/>
          <w:i w:val="0"/>
        </w:rPr>
        <w:t xml:space="preserve"> The reported Orphic names distinguish each cosmic soul’s knowing power from its life-giving and governing power. The nine Bacchus–Muse pairs include the world-soul’s pair and should not be confused with the twelve-sphere count. Ficino concludes with three ranks: world-soul, twelve sphere-souls, and the many souls within the spheres. He subjects the Platonist account of sphere-souls to examination and approval by Christian theologians. The closing quotation attributed to Plato retains the alternative that soul is present to, or dwells within, each celestial body.</w:t>
      </w:r>
    </w:p>
    <w:p>
      <w:pPr>
        <w:widowControl/>
      </w:pPr>
      <w:r>
        <w:rPr>
          <w:b/>
          <w:i w:val="0"/>
        </w:rPr>
        <w:t>IV.2 — How souls move bodies and spheres.</w:t>
      </w:r>
      <w:r>
        <w:rPr>
          <w:b w:val="0"/>
          <w:i w:val="0"/>
        </w:rPr>
        <w:t xml:space="preserve"> Thought and appetite explain purposive motion; changing effects require a cause capable of varied activity. Ficino compares stable angelic activity with the succession of soul. The treatment of celestial motion must retain its qualifications rather than becoming a simple claim that all things move or that created motion is independent of God.</w:t>
      </w:r>
    </w:p>
    <w:p>
      <w:bookmarkStart w:id="14" w:name="close-reading-distinctions"/>
      <w:pPr>
        <w:pStyle w:val="Heading1"/>
      </w:pPr>
      <w:r>
        <w:rPr>
          <w:b w:val="0"/>
          <w:i w:val="0"/>
        </w:rPr>
        <w:t>Distinctions for close reading</w:t>
      </w:r>
      <w:bookmarkEnd w:id="14"/>
    </w:p>
    <w:p>
      <w:pPr>
        <w:widowControl/>
      </w:pPr>
      <w:r>
        <w:rPr>
          <w:b/>
          <w:i w:val="0"/>
        </w:rPr>
        <w:t>Body and matter.</w:t>
      </w:r>
      <w:r>
        <w:rPr>
          <w:b w:val="0"/>
          <w:i w:val="0"/>
        </w:rPr>
        <w:t xml:space="preserve"> Body is treated through matter and quantity. The lowest level of the fivefold ascent is therefore often named body; replacing it everywhere with matter would conceal the role of extension and division in the opening arguments.</w:t>
      </w:r>
    </w:p>
    <w:p>
      <w:pPr>
        <w:widowControl/>
      </w:pPr>
      <w:r>
        <w:rPr>
          <w:b/>
          <w:i w:val="0"/>
        </w:rPr>
        <w:t>Extent and intensity.</w:t>
      </w:r>
      <w:r>
        <w:rPr>
          <w:b w:val="0"/>
          <w:i w:val="0"/>
        </w:rPr>
        <w:t xml:space="preserve"> A larger body need not possess a more intense quality. A diminution of extent differs from remission of intensity. The distinction helps explain why quantity does not suffice as a cause of activity.</w:t>
      </w:r>
    </w:p>
    <w:p>
      <w:pPr>
        <w:widowControl/>
      </w:pPr>
      <w:r>
        <w:rPr>
          <w:b/>
          <w:i w:val="0"/>
        </w:rPr>
        <w:t>Essence power and operation.</w:t>
      </w:r>
      <w:r>
        <w:rPr>
          <w:b w:val="0"/>
          <w:i w:val="0"/>
        </w:rPr>
        <w:t xml:space="preserve"> These three can vary differently. Soul can remain stable in essence while its operations follow one another. An acquired habit is not the same as a natural power, and the possession of a habit need not exclude its actual exercise.</w:t>
      </w:r>
    </w:p>
    <w:p>
      <w:pPr>
        <w:widowControl/>
      </w:pPr>
      <w:r>
        <w:rPr>
          <w:b/>
          <w:i w:val="0"/>
        </w:rPr>
        <w:t>Actual habitual and potential possession.</w:t>
      </w:r>
      <w:r>
        <w:rPr>
          <w:b w:val="0"/>
          <w:i w:val="0"/>
        </w:rPr>
        <w:t xml:space="preserve"> Angel, soul and matter are compared through modes of possessing forms or principles. These are not simply different quantities of the same information. Matter’s confused potential reception differs from soul’s habitual possession and angelic actual understanding.</w:t>
      </w:r>
    </w:p>
    <w:p>
      <w:pPr>
        <w:widowControl/>
      </w:pPr>
      <w:r>
        <w:rPr>
          <w:b/>
          <w:i w:val="0"/>
        </w:rPr>
        <w:t>Independence and stability.</w:t>
      </w:r>
      <w:r>
        <w:rPr>
          <w:b w:val="0"/>
          <w:i w:val="0"/>
        </w:rPr>
        <w:t xml:space="preserve"> A created intellect’s stable activity does not make it self-caused or independent. Divine simplicity and the stability attributed to angelic mind must remain distinct.</w:t>
      </w:r>
    </w:p>
    <w:p>
      <w:pPr>
        <w:widowControl/>
      </w:pPr>
      <w:r>
        <w:rPr>
          <w:b/>
          <w:i w:val="0"/>
        </w:rPr>
        <w:t>Image and identity.</w:t>
      </w:r>
      <w:r>
        <w:rPr>
          <w:b w:val="0"/>
          <w:i w:val="0"/>
        </w:rPr>
        <w:t xml:space="preserve"> Mirror, light, shadow, statue and portrait can explain dependence, appearance, cognition or likeness. The relation changes with the example. An image does not become its exemplar merely because it communicates something of it.</w:t>
      </w:r>
    </w:p>
    <w:p>
      <w:pPr>
        <w:widowControl/>
      </w:pPr>
      <w:r>
        <w:rPr>
          <w:b/>
          <w:i w:val="0"/>
        </w:rPr>
        <w:t>Priority and chronology.</w:t>
      </w:r>
      <w:r>
        <w:rPr>
          <w:b w:val="0"/>
          <w:i w:val="0"/>
        </w:rPr>
        <w:t xml:space="preserve"> What is prior by nature or causal dependence need not occur earlier in time. Words for beginning, proceeding and returning must be read in their local construction rather than automatically turned into a chronological narrative.</w:t>
      </w:r>
    </w:p>
    <w:p>
      <w:pPr>
        <w:widowControl/>
      </w:pPr>
      <w:r>
        <w:rPr>
          <w:b/>
          <w:i w:val="0"/>
        </w:rPr>
        <w:t>An argument’s assumption and its conclusion.</w:t>
      </w:r>
      <w:r>
        <w:rPr>
          <w:b w:val="0"/>
          <w:i w:val="0"/>
        </w:rPr>
        <w:t xml:space="preserve"> Ficino frequently grants an opponent’s proposal to expose its consequences. Questions, commands to suppose, statements introduced as someone else’s opinion and concluding qualifications are substantive reading vocabulary.</w:t>
      </w:r>
    </w:p>
    <w:p>
      <w:bookmarkStart w:id="15" w:name="article-directory"/>
      <w:pPr>
        <w:pStyle w:val="Heading1"/>
      </w:pPr>
      <w:r>
        <w:rPr>
          <w:b w:val="0"/>
          <w:i w:val="0"/>
        </w:rPr>
        <w:t>Article directory</w:t>
      </w:r>
      <w:bookmarkEnd w:id="15"/>
    </w:p>
    <w:p>
      <w:pPr>
        <w:widowControl/>
      </w:pPr>
      <w:r>
        <w:rPr>
          <w:b/>
          <w:i w:val="0"/>
        </w:rPr>
        <w:t>A</w:t>
      </w:r>
      <w:r>
        <w:br/>
      </w:r>
      <w:hyperlink w:anchor="act-and-operation">
        <w:r>
          <w:rPr>
            <w:color w:val="000000"/>
          </w:rPr>
          <w:t xml:space="preserve">Act and operation</w:t>
        </w:r>
      </w:hyperlink>
      <w:r>
        <w:t xml:space="preserve"> (p. </w:t>
      </w:r>
      <w:fldSimple w:instr=" PAGEREF &quot;act-and-operation&quot; \h ">
        <w:r>
          <w:t>13</w:t>
        </w:r>
      </w:fldSimple>
      <w:r>
        <w:t>)</w:t>
      </w:r>
      <w:r>
        <w:rPr>
          <w:b w:val="0"/>
          <w:i w:val="0"/>
        </w:rPr>
        <w:t xml:space="preserve"> · </w:t>
      </w:r>
      <w:hyperlink w:anchor="affect">
        <w:r>
          <w:rPr>
            <w:color w:val="000000"/>
          </w:rPr>
          <w:t xml:space="preserve">Affect</w:t>
        </w:r>
      </w:hyperlink>
      <w:r>
        <w:t xml:space="preserve"> (p. </w:t>
      </w:r>
      <w:fldSimple w:instr=" PAGEREF &quot;affect&quot; \h ">
        <w:r>
          <w:t>14</w:t>
        </w:r>
      </w:fldSimple>
      <w:r>
        <w:t>)</w:t>
      </w:r>
      <w:r>
        <w:rPr>
          <w:b w:val="0"/>
          <w:i w:val="0"/>
        </w:rPr>
        <w:t xml:space="preserve"> · </w:t>
      </w:r>
      <w:hyperlink w:anchor="affection-and-passivity">
        <w:r>
          <w:rPr>
            <w:color w:val="000000"/>
          </w:rPr>
          <w:t xml:space="preserve">Affection and passivity</w:t>
        </w:r>
      </w:hyperlink>
      <w:r>
        <w:t xml:space="preserve"> (p. </w:t>
      </w:r>
      <w:fldSimple w:instr=" PAGEREF &quot;affection-and-passivity&quot; \h ">
        <w:r>
          <w:t>15</w:t>
        </w:r>
      </w:fldSimple>
      <w:r>
        <w:t>)</w:t>
      </w:r>
      <w:r>
        <w:rPr>
          <w:b w:val="0"/>
          <w:i w:val="0"/>
        </w:rPr>
        <w:t xml:space="preserve"> · </w:t>
      </w:r>
      <w:hyperlink w:anchor="agreement-and-hypothetical-concession">
        <w:r>
          <w:rPr>
            <w:color w:val="000000"/>
          </w:rPr>
          <w:t xml:space="preserve">Agreement and hypothetical concession</w:t>
        </w:r>
      </w:hyperlink>
      <w:r>
        <w:t xml:space="preserve"> (p. </w:t>
      </w:r>
      <w:fldSimple w:instr=" PAGEREF &quot;agreement-and-hypothetical-concession&quot; \h ">
        <w:r>
          <w:t>16</w:t>
        </w:r>
      </w:fldSimple>
      <w:r>
        <w:t>)</w:t>
      </w:r>
      <w:r>
        <w:rPr>
          <w:b w:val="0"/>
          <w:i w:val="0"/>
        </w:rPr>
        <w:t xml:space="preserve"> · </w:t>
      </w:r>
      <w:hyperlink w:anchor="always-and-everywhere">
        <w:r>
          <w:rPr>
            <w:color w:val="000000"/>
          </w:rPr>
          <w:t xml:space="preserve">Always and everywhere</w:t>
        </w:r>
      </w:hyperlink>
      <w:r>
        <w:t xml:space="preserve"> (p. </w:t>
      </w:r>
      <w:fldSimple w:instr=" PAGEREF &quot;always-and-everywhere&quot; \h ">
        <w:r>
          <w:t>17</w:t>
        </w:r>
      </w:fldSimple>
      <w:r>
        <w:t>)</w:t>
      </w:r>
      <w:r>
        <w:rPr>
          <w:b w:val="0"/>
          <w:i w:val="0"/>
        </w:rPr>
        <w:t xml:space="preserve"> · </w:t>
      </w:r>
      <w:hyperlink w:anchor="anebon-abamon-and-the-mental-presence-authorities">
        <w:r>
          <w:rPr>
            <w:color w:val="000000"/>
          </w:rPr>
          <w:t xml:space="preserve">Anebon Abamon and the mental-presence authorities</w:t>
        </w:r>
      </w:hyperlink>
      <w:r>
        <w:t xml:space="preserve"> (p. </w:t>
      </w:r>
      <w:fldSimple w:instr=" PAGEREF &quot;anebon-abamon-and-the-mental-presence-authorities&quot; \h ">
        <w:r>
          <w:t>18</w:t>
        </w:r>
      </w:fldSimple>
      <w:r>
        <w:t>)</w:t>
      </w:r>
      <w:r>
        <w:rPr>
          <w:b w:val="0"/>
          <w:i w:val="0"/>
        </w:rPr>
        <w:t xml:space="preserve"> · </w:t>
      </w:r>
      <w:hyperlink w:anchor="angel">
        <w:r>
          <w:rPr>
            <w:color w:val="000000"/>
          </w:rPr>
          <w:t xml:space="preserve">Angel</w:t>
        </w:r>
      </w:hyperlink>
      <w:r>
        <w:t xml:space="preserve"> (p. </w:t>
      </w:r>
      <w:fldSimple w:instr=" PAGEREF &quot;angel&quot; \h ">
        <w:r>
          <w:t>18</w:t>
        </w:r>
      </w:fldSimple>
      <w:r>
        <w:t>)</w:t>
      </w:r>
      <w:r>
        <w:rPr>
          <w:b w:val="0"/>
          <w:i w:val="0"/>
        </w:rPr>
        <w:t xml:space="preserve"> · </w:t>
      </w:r>
      <w:hyperlink w:anchor="animating-and-animal">
        <w:r>
          <w:rPr>
            <w:color w:val="000000"/>
          </w:rPr>
          <w:t xml:space="preserve">Animating and animal</w:t>
        </w:r>
      </w:hyperlink>
      <w:r>
        <w:t xml:space="preserve"> (p. </w:t>
      </w:r>
      <w:fldSimple w:instr=" PAGEREF &quot;animating-and-animal&quot; \h ">
        <w:r>
          <w:t>20</w:t>
        </w:r>
      </w:fldSimple>
      <w:r>
        <w:t>)</w:t>
      </w:r>
      <w:r>
        <w:rPr>
          <w:b w:val="0"/>
          <w:i w:val="0"/>
        </w:rPr>
        <w:t xml:space="preserve"> · </w:t>
      </w:r>
      <w:hyperlink w:anchor="apelles-and-the-meadow">
        <w:r>
          <w:rPr>
            <w:color w:val="000000"/>
          </w:rPr>
          <w:t xml:space="preserve">Apelles and the meadow</w:t>
        </w:r>
      </w:hyperlink>
      <w:r>
        <w:t xml:space="preserve"> (p. </w:t>
      </w:r>
      <w:fldSimple w:instr=" PAGEREF &quot;apelles-and-the-meadow&quot; \h ">
        <w:r>
          <w:t>21</w:t>
        </w:r>
      </w:fldSimple>
      <w:r>
        <w:t>)</w:t>
      </w:r>
      <w:r>
        <w:rPr>
          <w:b w:val="0"/>
          <w:i w:val="0"/>
        </w:rPr>
        <w:t xml:space="preserve"> · </w:t>
      </w:r>
      <w:hyperlink w:anchor="apollo">
        <w:r>
          <w:rPr>
            <w:color w:val="000000"/>
          </w:rPr>
          <w:t xml:space="preserve">Apollo</w:t>
        </w:r>
      </w:hyperlink>
      <w:r>
        <w:t xml:space="preserve"> (p. </w:t>
      </w:r>
      <w:fldSimple w:instr=" PAGEREF &quot;apollo&quot; \h ">
        <w:r>
          <w:t>21</w:t>
        </w:r>
      </w:fldSimple>
      <w:r>
        <w:t>)</w:t>
      </w:r>
      <w:r>
        <w:rPr>
          <w:b w:val="0"/>
          <w:i w:val="0"/>
        </w:rPr>
        <w:t xml:space="preserve"> · </w:t>
      </w:r>
      <w:hyperlink w:anchor="appetite-and-desire">
        <w:r>
          <w:rPr>
            <w:color w:val="000000"/>
          </w:rPr>
          <w:t xml:space="preserve">Appetite and desire</w:t>
        </w:r>
      </w:hyperlink>
      <w:r>
        <w:t xml:space="preserve"> (p. </w:t>
      </w:r>
      <w:fldSimple w:instr=" PAGEREF &quot;appetite-and-desire&quot; \h ">
        <w:r>
          <w:t>22</w:t>
        </w:r>
      </w:fldSimple>
      <w:r>
        <w:t>)</w:t>
      </w:r>
      <w:r>
        <w:rPr>
          <w:b w:val="0"/>
          <w:i w:val="0"/>
        </w:rPr>
        <w:t xml:space="preserve"> · </w:t>
      </w:r>
      <w:hyperlink w:anchor="archer-and-target">
        <w:r>
          <w:rPr>
            <w:color w:val="000000"/>
          </w:rPr>
          <w:t xml:space="preserve">Archer and target</w:t>
        </w:r>
      </w:hyperlink>
      <w:r>
        <w:t xml:space="preserve"> (p. </w:t>
      </w:r>
      <w:fldSimple w:instr=" PAGEREF &quot;archer-and-target&quot; \h ">
        <w:r>
          <w:t>24</w:t>
        </w:r>
      </w:fldSimple>
      <w:r>
        <w:t>)</w:t>
      </w:r>
      <w:r>
        <w:rPr>
          <w:b w:val="0"/>
          <w:i w:val="0"/>
        </w:rPr>
        <w:t xml:space="preserve"> · </w:t>
      </w:r>
      <w:hyperlink w:anchor="archimedes-and-bronze-spheres">
        <w:r>
          <w:rPr>
            <w:color w:val="000000"/>
          </w:rPr>
          <w:t xml:space="preserve">Archimedes and the bronze spheres</w:t>
        </w:r>
      </w:hyperlink>
      <w:r>
        <w:t xml:space="preserve"> (p. </w:t>
      </w:r>
      <w:fldSimple w:instr=" PAGEREF &quot;archimedes-and-bronze-spheres&quot; \h ">
        <w:r>
          <w:t>25</w:t>
        </w:r>
      </w:fldSimple>
      <w:r>
        <w:t>)</w:t>
      </w:r>
      <w:r>
        <w:rPr>
          <w:b w:val="0"/>
          <w:i w:val="0"/>
        </w:rPr>
        <w:t xml:space="preserve"> · </w:t>
      </w:r>
      <w:hyperlink w:anchor="architect-and-house">
        <w:r>
          <w:rPr>
            <w:color w:val="000000"/>
          </w:rPr>
          <w:t xml:space="preserve">Architect, house and decoration</w:t>
        </w:r>
      </w:hyperlink>
      <w:r>
        <w:t xml:space="preserve"> (p. </w:t>
      </w:r>
      <w:fldSimple w:instr=" PAGEREF &quot;architect-and-house&quot; \h ">
        <w:r>
          <w:t>25</w:t>
        </w:r>
      </w:fldSimple>
      <w:r>
        <w:t>)</w:t>
      </w:r>
      <w:r>
        <w:rPr>
          <w:b w:val="0"/>
          <w:i w:val="0"/>
        </w:rPr>
        <w:t xml:space="preserve"> · </w:t>
      </w:r>
      <w:hyperlink w:anchor="aristotle-avicenna-and-counting-minds">
        <w:r>
          <w:rPr>
            <w:color w:val="000000"/>
          </w:rPr>
          <w:t xml:space="preserve">Aristotle, Avicenna and counting minds</w:t>
        </w:r>
      </w:hyperlink>
      <w:r>
        <w:t xml:space="preserve"> (p. </w:t>
      </w:r>
      <w:fldSimple w:instr=" PAGEREF &quot;aristotle-avicenna-and-counting-minds&quot; \h ">
        <w:r>
          <w:t>26</w:t>
        </w:r>
      </w:fldSimple>
      <w:r>
        <w:t>)</w:t>
      </w:r>
      <w:r>
        <w:rPr>
          <w:b w:val="0"/>
          <w:i w:val="0"/>
        </w:rPr>
        <w:t xml:space="preserve"> · </w:t>
      </w:r>
      <w:hyperlink w:anchor="army-and-commander">
        <w:r>
          <w:rPr>
            <w:color w:val="000000"/>
          </w:rPr>
          <w:t xml:space="preserve">Army and commander</w:t>
        </w:r>
      </w:hyperlink>
      <w:r>
        <w:t xml:space="preserve"> (p. </w:t>
      </w:r>
      <w:fldSimple w:instr=" PAGEREF &quot;army-and-commander&quot; \h ">
        <w:r>
          <w:t>27</w:t>
        </w:r>
      </w:fldSimple>
      <w:r>
        <w:t>)</w:t>
      </w:r>
      <w:r>
        <w:rPr>
          <w:b w:val="0"/>
          <w:i w:val="0"/>
        </w:rPr>
        <w:t xml:space="preserve"> · </w:t>
      </w:r>
      <w:hyperlink w:anchor="art-and-nature">
        <w:r>
          <w:rPr>
            <w:color w:val="000000"/>
          </w:rPr>
          <w:t xml:space="preserve">Art and nature</w:t>
        </w:r>
      </w:hyperlink>
      <w:r>
        <w:t xml:space="preserve"> (p. </w:t>
      </w:r>
      <w:fldSimple w:instr=" PAGEREF &quot;art-and-nature&quot; \h ">
        <w:r>
          <w:t>28</w:t>
        </w:r>
      </w:fldSimple>
      <w:r>
        <w:t>)</w:t>
      </w:r>
      <w:r>
        <w:rPr>
          <w:b w:val="0"/>
          <w:i w:val="0"/>
        </w:rPr>
        <w:t xml:space="preserve"> · </w:t>
      </w:r>
      <w:hyperlink w:anchor="artifact-and-natural-work">
        <w:r>
          <w:rPr>
            <w:color w:val="000000"/>
          </w:rPr>
          <w:t xml:space="preserve">Artifact and natural work</w:t>
        </w:r>
      </w:hyperlink>
      <w:r>
        <w:t xml:space="preserve"> (p. </w:t>
      </w:r>
      <w:fldSimple w:instr=" PAGEREF &quot;artifact-and-natural-work&quot; \h ">
        <w:r>
          <w:t>30</w:t>
        </w:r>
      </w:fldSimple>
      <w:r>
        <w:t>)</w:t>
      </w:r>
      <w:r>
        <w:rPr>
          <w:b w:val="0"/>
          <w:i w:val="0"/>
        </w:rPr>
        <w:t xml:space="preserve"> · </w:t>
      </w:r>
      <w:hyperlink w:anchor="ascent">
        <w:r>
          <w:rPr>
            <w:color w:val="000000"/>
          </w:rPr>
          <w:t xml:space="preserve">Ascent</w:t>
        </w:r>
      </w:hyperlink>
      <w:r>
        <w:t xml:space="preserve"> (p. </w:t>
      </w:r>
      <w:fldSimple w:instr=" PAGEREF &quot;ascent&quot; \h ">
        <w:r>
          <w:t>31</w:t>
        </w:r>
      </w:fldSimple>
      <w:r>
        <w:t>)</w:t>
      </w:r>
      <w:r>
        <w:rPr>
          <w:b w:val="0"/>
          <w:i w:val="0"/>
        </w:rPr>
        <w:t xml:space="preserve"> · </w:t>
      </w:r>
      <w:hyperlink w:anchor="assent-and-approval">
        <w:r>
          <w:rPr>
            <w:color w:val="000000"/>
          </w:rPr>
          <w:t xml:space="preserve">Assent of will</w:t>
        </w:r>
      </w:hyperlink>
      <w:r>
        <w:t xml:space="preserve"> (p. </w:t>
      </w:r>
      <w:fldSimple w:instr=" PAGEREF &quot;assent-and-approval&quot; \h ">
        <w:r>
          <w:t>31</w:t>
        </w:r>
      </w:fldSimple>
      <w:r>
        <w:t>)</w:t>
      </w:r>
      <w:r>
        <w:rPr>
          <w:b w:val="0"/>
          <w:i w:val="0"/>
        </w:rPr>
        <w:t xml:space="preserve"> · </w:t>
      </w:r>
      <w:hyperlink w:anchor="assent-approval-and-belief">
        <w:r>
          <w:rPr>
            <w:color w:val="000000"/>
          </w:rPr>
          <w:t xml:space="preserve">Assent, approval and belief</w:t>
        </w:r>
      </w:hyperlink>
      <w:r>
        <w:t xml:space="preserve"> (p. </w:t>
      </w:r>
      <w:fldSimple w:instr=" PAGEREF &quot;assent-approval-and-belief&quot; \h ">
        <w:r>
          <w:t>32</w:t>
        </w:r>
      </w:fldSimple>
      <w:r>
        <w:t>)</w:t>
      </w:r>
      <w:r>
        <w:rPr>
          <w:b w:val="0"/>
          <w:i w:val="0"/>
        </w:rPr>
        <w:t xml:space="preserve"> · </w:t>
      </w:r>
      <w:hyperlink w:anchor="assertion-report-and-reservation">
        <w:r>
          <w:rPr>
            <w:color w:val="000000"/>
          </w:rPr>
          <w:t xml:space="preserve">Assertion, report, and reservation</w:t>
        </w:r>
      </w:hyperlink>
      <w:r>
        <w:t xml:space="preserve"> (p. </w:t>
      </w:r>
      <w:fldSimple w:instr=" PAGEREF &quot;assertion-report-and-reservation&quot; \h ">
        <w:r>
          <w:t>33</w:t>
        </w:r>
      </w:fldSimple>
      <w:r>
        <w:t>)</w:t>
      </w:r>
      <w:r>
        <w:rPr>
          <w:b w:val="0"/>
          <w:i w:val="0"/>
        </w:rPr>
        <w:t xml:space="preserve"> · </w:t>
      </w:r>
      <w:hyperlink w:anchor="augustine-and-christian-proximity">
        <w:r>
          <w:rPr>
            <w:color w:val="000000"/>
          </w:rPr>
          <w:t xml:space="preserve">Augustine and Christian proximity</w:t>
        </w:r>
      </w:hyperlink>
      <w:r>
        <w:t xml:space="preserve"> (p. </w:t>
      </w:r>
      <w:fldSimple w:instr=" PAGEREF &quot;augustine-and-christian-proximity&quot; \h ">
        <w:r>
          <w:t>34</w:t>
        </w:r>
      </w:fldSimple>
      <w:r>
        <w:t>)</w:t>
      </w:r>
    </w:p>
    <w:p>
      <w:pPr>
        <w:widowControl/>
      </w:pPr>
      <w:r>
        <w:rPr>
          <w:b/>
          <w:i w:val="0"/>
        </w:rPr>
        <w:t>B</w:t>
      </w:r>
      <w:r>
        <w:br/>
      </w:r>
      <w:hyperlink w:anchor="bacchus-and-the-muses">
        <w:r>
          <w:rPr>
            <w:color w:val="000000"/>
          </w:rPr>
          <w:t xml:space="preserve">Bacchus and the Muses</w:t>
        </w:r>
      </w:hyperlink>
      <w:r>
        <w:t xml:space="preserve"> (p. </w:t>
      </w:r>
      <w:fldSimple w:instr=" PAGEREF &quot;bacchus-and-the-muses&quot; \h ">
        <w:r>
          <w:t>35</w:t>
        </w:r>
      </w:fldSimple>
      <w:r>
        <w:t>)</w:t>
      </w:r>
      <w:r>
        <w:rPr>
          <w:b w:val="0"/>
          <w:i w:val="0"/>
        </w:rPr>
        <w:t xml:space="preserve"> · </w:t>
      </w:r>
      <w:hyperlink w:anchor="beauty-and-fittingness">
        <w:r>
          <w:rPr>
            <w:color w:val="000000"/>
          </w:rPr>
          <w:t xml:space="preserve">Beauty and fittingness</w:t>
        </w:r>
      </w:hyperlink>
      <w:r>
        <w:t xml:space="preserve"> (p. </w:t>
      </w:r>
      <w:fldSimple w:instr=" PAGEREF &quot;beauty-and-fittingness&quot; \h ">
        <w:r>
          <w:t>36</w:t>
        </w:r>
      </w:fldSimple>
      <w:r>
        <w:t>)</w:t>
      </w:r>
      <w:r>
        <w:rPr>
          <w:b w:val="0"/>
          <w:i w:val="0"/>
        </w:rPr>
        <w:t xml:space="preserve"> · </w:t>
      </w:r>
      <w:hyperlink w:anchor="before-and-after-in-nature">
        <w:r>
          <w:rPr>
            <w:color w:val="000000"/>
          </w:rPr>
          <w:t xml:space="preserve">Before and after in nature</w:t>
        </w:r>
      </w:hyperlink>
      <w:r>
        <w:t xml:space="preserve"> (p. </w:t>
      </w:r>
      <w:fldSimple w:instr=" PAGEREF &quot;before-and-after-in-nature&quot; \h ">
        <w:r>
          <w:t>37</w:t>
        </w:r>
      </w:fldSimple>
      <w:r>
        <w:t>)</w:t>
      </w:r>
      <w:r>
        <w:rPr>
          <w:b w:val="0"/>
          <w:i w:val="0"/>
        </w:rPr>
        <w:t xml:space="preserve"> · </w:t>
      </w:r>
      <w:hyperlink w:anchor="beginning-and-ceasing">
        <w:r>
          <w:rPr>
            <w:color w:val="000000"/>
          </w:rPr>
          <w:t xml:space="preserve">Beginning and ceasing</w:t>
        </w:r>
      </w:hyperlink>
      <w:r>
        <w:t xml:space="preserve"> (p. </w:t>
      </w:r>
      <w:fldSimple w:instr=" PAGEREF &quot;beginning-and-ceasing&quot; \h ">
        <w:r>
          <w:t>38</w:t>
        </w:r>
      </w:fldSimple>
      <w:r>
        <w:t>)</w:t>
      </w:r>
      <w:r>
        <w:rPr>
          <w:b w:val="0"/>
          <w:i w:val="0"/>
        </w:rPr>
        <w:t xml:space="preserve"> · </w:t>
      </w:r>
      <w:hyperlink w:anchor="being">
        <w:r>
          <w:rPr>
            <w:color w:val="000000"/>
          </w:rPr>
          <w:t xml:space="preserve">Being</w:t>
        </w:r>
      </w:hyperlink>
      <w:r>
        <w:t xml:space="preserve"> (p. </w:t>
      </w:r>
      <w:fldSimple w:instr=" PAGEREF &quot;being&quot; \h ">
        <w:r>
          <w:t>39</w:t>
        </w:r>
      </w:fldSimple>
      <w:r>
        <w:t>)</w:t>
      </w:r>
      <w:r>
        <w:rPr>
          <w:b w:val="0"/>
          <w:i w:val="0"/>
        </w:rPr>
        <w:t xml:space="preserve"> · </w:t>
      </w:r>
      <w:hyperlink w:anchor="blessedness">
        <w:r>
          <w:rPr>
            <w:color w:val="000000"/>
          </w:rPr>
          <w:t xml:space="preserve">Blessedness</w:t>
        </w:r>
      </w:hyperlink>
      <w:r>
        <w:t xml:space="preserve"> (p. </w:t>
      </w:r>
      <w:fldSimple w:instr=" PAGEREF &quot;blessedness&quot; \h ">
        <w:r>
          <w:t>40</w:t>
        </w:r>
      </w:fldSimple>
      <w:r>
        <w:t>)</w:t>
      </w:r>
      <w:r>
        <w:rPr>
          <w:b w:val="0"/>
          <w:i w:val="0"/>
        </w:rPr>
        <w:t xml:space="preserve"> · </w:t>
      </w:r>
      <w:hyperlink w:anchor="body-and-bulk">
        <w:r>
          <w:rPr>
            <w:color w:val="000000"/>
          </w:rPr>
          <w:t xml:space="preserve">Body and bulk</w:t>
        </w:r>
      </w:hyperlink>
      <w:r>
        <w:t xml:space="preserve"> (p. </w:t>
      </w:r>
      <w:fldSimple w:instr=" PAGEREF &quot;body-and-bulk&quot; \h ">
        <w:r>
          <w:t>41</w:t>
        </w:r>
      </w:fldSimple>
      <w:r>
        <w:t>)</w:t>
      </w:r>
      <w:r>
        <w:rPr>
          <w:b w:val="0"/>
          <w:i w:val="0"/>
        </w:rPr>
        <w:t xml:space="preserve"> · </w:t>
      </w:r>
      <w:hyperlink w:anchor="bond-knot-and-chain">
        <w:r>
          <w:rPr>
            <w:color w:val="000000"/>
          </w:rPr>
          <w:t xml:space="preserve">Bond knot and chain</w:t>
        </w:r>
      </w:hyperlink>
      <w:r>
        <w:t xml:space="preserve"> (p. </w:t>
      </w:r>
      <w:fldSimple w:instr=" PAGEREF &quot;bond-knot-and-chain&quot; \h ">
        <w:r>
          <w:t>42</w:t>
        </w:r>
      </w:fldSimple>
      <w:r>
        <w:t>)</w:t>
      </w:r>
      <w:r>
        <w:rPr>
          <w:b w:val="0"/>
          <w:i w:val="0"/>
        </w:rPr>
        <w:t xml:space="preserve"> · </w:t>
      </w:r>
      <w:hyperlink w:anchor="borrowing-and-assistance">
        <w:r>
          <w:rPr>
            <w:color w:val="000000"/>
          </w:rPr>
          <w:t xml:space="preserve">Borrowing and assistance</w:t>
        </w:r>
      </w:hyperlink>
      <w:r>
        <w:t xml:space="preserve"> (p. </w:t>
      </w:r>
      <w:fldSimple w:instr=" PAGEREF &quot;borrowing-and-assistance&quot; \h ">
        <w:r>
          <w:t>43</w:t>
        </w:r>
      </w:fldSimple>
      <w:r>
        <w:t>)</w:t>
      </w:r>
      <w:r>
        <w:rPr>
          <w:b w:val="0"/>
          <w:i w:val="0"/>
        </w:rPr>
        <w:t xml:space="preserve"> · </w:t>
      </w:r>
      <w:hyperlink w:anchor="bounds-and-restriction">
        <w:r>
          <w:rPr>
            <w:color w:val="000000"/>
          </w:rPr>
          <w:t xml:space="preserve">Bounds and restriction</w:t>
        </w:r>
      </w:hyperlink>
      <w:r>
        <w:t xml:space="preserve"> (p. </w:t>
      </w:r>
      <w:fldSimple w:instr=" PAGEREF &quot;bounds-and-restriction&quot; \h ">
        <w:r>
          <w:t>44</w:t>
        </w:r>
      </w:fldSimple>
      <w:r>
        <w:t>)</w:t>
      </w:r>
      <w:r>
        <w:rPr>
          <w:b w:val="0"/>
          <w:i w:val="0"/>
        </w:rPr>
        <w:t xml:space="preserve"> · </w:t>
      </w:r>
      <w:hyperlink w:anchor="burden-labor-and-ease">
        <w:r>
          <w:rPr>
            <w:color w:val="000000"/>
          </w:rPr>
          <w:t xml:space="preserve">Burden labor and ease</w:t>
        </w:r>
      </w:hyperlink>
      <w:r>
        <w:t xml:space="preserve"> (p. </w:t>
      </w:r>
      <w:fldSimple w:instr=" PAGEREF &quot;burden-labor-and-ease&quot; \h ">
        <w:r>
          <w:t>45</w:t>
        </w:r>
      </w:fldSimple>
      <w:r>
        <w:t>)</w:t>
      </w:r>
    </w:p>
    <w:p>
      <w:pPr>
        <w:widowControl/>
      </w:pPr>
      <w:r>
        <w:rPr>
          <w:b/>
          <w:i w:val="0"/>
        </w:rPr>
        <w:t>C</w:t>
      </w:r>
      <w:r>
        <w:br/>
      </w:r>
      <w:hyperlink w:anchor="candles-and-the-hall">
        <w:r>
          <w:rPr>
            <w:color w:val="000000"/>
          </w:rPr>
          <w:t xml:space="preserve">Candles and the hall</w:t>
        </w:r>
      </w:hyperlink>
      <w:r>
        <w:t xml:space="preserve"> (p. </w:t>
      </w:r>
      <w:fldSimple w:instr=" PAGEREF &quot;candles-and-the-hall&quot; \h ">
        <w:r>
          <w:t>45</w:t>
        </w:r>
      </w:fldSimple>
      <w:r>
        <w:t>)</w:t>
      </w:r>
      <w:r>
        <w:rPr>
          <w:b w:val="0"/>
          <w:i w:val="0"/>
        </w:rPr>
        <w:t xml:space="preserve"> · </w:t>
      </w:r>
      <w:hyperlink w:anchor="care-and-custody">
        <w:r>
          <w:rPr>
            <w:color w:val="000000"/>
          </w:rPr>
          <w:t xml:space="preserve">Care and custody</w:t>
        </w:r>
      </w:hyperlink>
      <w:r>
        <w:t xml:space="preserve"> (p. </w:t>
      </w:r>
      <w:fldSimple w:instr=" PAGEREF &quot;care-and-custody&quot; \h ">
        <w:r>
          <w:t>46</w:t>
        </w:r>
      </w:fldSimple>
      <w:r>
        <w:t>)</w:t>
      </w:r>
      <w:r>
        <w:rPr>
          <w:b w:val="0"/>
          <w:i w:val="0"/>
        </w:rPr>
        <w:t xml:space="preserve"> · </w:t>
      </w:r>
      <w:hyperlink w:anchor="carpenter-and-geometer">
        <w:r>
          <w:rPr>
            <w:color w:val="000000"/>
          </w:rPr>
          <w:t xml:space="preserve">Carpenter and geometer</w:t>
        </w:r>
      </w:hyperlink>
      <w:r>
        <w:t xml:space="preserve"> (p. </w:t>
      </w:r>
      <w:fldSimple w:instr=" PAGEREF &quot;carpenter-and-geometer&quot; \h ">
        <w:r>
          <w:t>47</w:t>
        </w:r>
      </w:fldSimple>
      <w:r>
        <w:t>)</w:t>
      </w:r>
      <w:r>
        <w:rPr>
          <w:b w:val="0"/>
          <w:i w:val="0"/>
        </w:rPr>
        <w:t xml:space="preserve"> · </w:t>
      </w:r>
      <w:hyperlink w:anchor="cause">
        <w:r>
          <w:rPr>
            <w:color w:val="000000"/>
          </w:rPr>
          <w:t xml:space="preserve">Cause</w:t>
        </w:r>
      </w:hyperlink>
      <w:r>
        <w:t xml:space="preserve"> (p. </w:t>
      </w:r>
      <w:fldSimple w:instr=" PAGEREF &quot;cause&quot; \h ">
        <w:r>
          <w:t>48</w:t>
        </w:r>
      </w:fldSimple>
      <w:r>
        <w:t>)</w:t>
      </w:r>
      <w:r>
        <w:rPr>
          <w:b w:val="0"/>
          <w:i w:val="0"/>
        </w:rPr>
        <w:t xml:space="preserve"> · </w:t>
      </w:r>
      <w:hyperlink w:anchor="celestial-influence">
        <w:r>
          <w:rPr>
            <w:color w:val="000000"/>
          </w:rPr>
          <w:t xml:space="preserve">Celestial influence</w:t>
        </w:r>
      </w:hyperlink>
      <w:r>
        <w:t xml:space="preserve"> (p. </w:t>
      </w:r>
      <w:fldSimple w:instr=" PAGEREF &quot;celestial-influence&quot; \h ">
        <w:r>
          <w:t>49</w:t>
        </w:r>
      </w:fldSimple>
      <w:r>
        <w:t>)</w:t>
      </w:r>
      <w:r>
        <w:rPr>
          <w:b w:val="0"/>
          <w:i w:val="0"/>
        </w:rPr>
        <w:t xml:space="preserve"> · </w:t>
      </w:r>
      <w:hyperlink w:anchor="chance">
        <w:r>
          <w:rPr>
            <w:color w:val="000000"/>
          </w:rPr>
          <w:t xml:space="preserve">Chance</w:t>
        </w:r>
      </w:hyperlink>
      <w:r>
        <w:t xml:space="preserve"> (p. </w:t>
      </w:r>
      <w:fldSimple w:instr=" PAGEREF &quot;chance&quot; \h ">
        <w:r>
          <w:t>50</w:t>
        </w:r>
      </w:fldSimple>
      <w:r>
        <w:t>)</w:t>
      </w:r>
      <w:r>
        <w:rPr>
          <w:b w:val="0"/>
          <w:i w:val="0"/>
        </w:rPr>
        <w:t xml:space="preserve"> · </w:t>
      </w:r>
      <w:hyperlink w:anchor="choice-and-deliberation">
        <w:r>
          <w:rPr>
            <w:color w:val="000000"/>
          </w:rPr>
          <w:t xml:space="preserve">Choice and deliberation</w:t>
        </w:r>
      </w:hyperlink>
      <w:r>
        <w:t xml:space="preserve"> (p. </w:t>
      </w:r>
      <w:fldSimple w:instr=" PAGEREF &quot;choice-and-deliberation&quot; \h ">
        <w:r>
          <w:t>51</w:t>
        </w:r>
      </w:fldSimple>
      <w:r>
        <w:t>)</w:t>
      </w:r>
      <w:r>
        <w:rPr>
          <w:b w:val="0"/>
          <w:i w:val="0"/>
        </w:rPr>
        <w:t xml:space="preserve"> · </w:t>
      </w:r>
      <w:hyperlink w:anchor="choice-and-free-judgment">
        <w:r>
          <w:rPr>
            <w:color w:val="000000"/>
          </w:rPr>
          <w:t xml:space="preserve">Choice and free judgment</w:t>
        </w:r>
      </w:hyperlink>
      <w:r>
        <w:t xml:space="preserve"> (p. </w:t>
      </w:r>
      <w:fldSimple w:instr=" PAGEREF &quot;choice-and-free-judgment&quot; \h ">
        <w:r>
          <w:t>52</w:t>
        </w:r>
      </w:fldSimple>
      <w:r>
        <w:t>)</w:t>
      </w:r>
      <w:r>
        <w:rPr>
          <w:b w:val="0"/>
          <w:i w:val="0"/>
        </w:rPr>
        <w:t xml:space="preserve"> · </w:t>
      </w:r>
      <w:hyperlink w:anchor="circularity-and-return">
        <w:r>
          <w:rPr>
            <w:color w:val="000000"/>
          </w:rPr>
          <w:t xml:space="preserve">Circularity and return</w:t>
        </w:r>
      </w:hyperlink>
      <w:r>
        <w:t xml:space="preserve"> (p. </w:t>
      </w:r>
      <w:fldSimple w:instr=" PAGEREF &quot;circularity-and-return&quot; \h ">
        <w:r>
          <w:t>53</w:t>
        </w:r>
      </w:fldSimple>
      <w:r>
        <w:t>)</w:t>
      </w:r>
      <w:r>
        <w:rPr>
          <w:b w:val="0"/>
          <w:i w:val="0"/>
        </w:rPr>
        <w:t xml:space="preserve"> · </w:t>
      </w:r>
      <w:hyperlink w:anchor="common-and-proper">
        <w:r>
          <w:rPr>
            <w:color w:val="000000"/>
          </w:rPr>
          <w:t xml:space="preserve">Common and proper</w:t>
        </w:r>
      </w:hyperlink>
      <w:r>
        <w:t xml:space="preserve"> (p. </w:t>
      </w:r>
      <w:fldSimple w:instr=" PAGEREF &quot;common-and-proper&quot; \h ">
        <w:r>
          <w:t>54</w:t>
        </w:r>
      </w:fldSimple>
      <w:r>
        <w:t>)</w:t>
      </w:r>
      <w:r>
        <w:rPr>
          <w:b w:val="0"/>
          <w:i w:val="0"/>
        </w:rPr>
        <w:t xml:space="preserve"> · </w:t>
      </w:r>
      <w:hyperlink w:anchor="communication-and-imparting">
        <w:r>
          <w:rPr>
            <w:color w:val="000000"/>
          </w:rPr>
          <w:t xml:space="preserve">Communication and imparting</w:t>
        </w:r>
      </w:hyperlink>
      <w:r>
        <w:t xml:space="preserve"> (p. </w:t>
      </w:r>
      <w:fldSimple w:instr=" PAGEREF &quot;communication-and-imparting&quot; \h ">
        <w:r>
          <w:t>55</w:t>
        </w:r>
      </w:fldSimple>
      <w:r>
        <w:t>)</w:t>
      </w:r>
      <w:r>
        <w:rPr>
          <w:b w:val="0"/>
          <w:i w:val="0"/>
        </w:rPr>
        <w:t xml:space="preserve"> · </w:t>
      </w:r>
      <w:hyperlink w:anchor="comparing-resembling-and-equalling">
        <w:r>
          <w:rPr>
            <w:color w:val="000000"/>
          </w:rPr>
          <w:t xml:space="preserve">Comparing, resembling and equalling</w:t>
        </w:r>
      </w:hyperlink>
      <w:r>
        <w:t xml:space="preserve"> (p. </w:t>
      </w:r>
      <w:fldSimple w:instr=" PAGEREF &quot;comparing-resembling-and-equalling&quot; \h ">
        <w:r>
          <w:t>57</w:t>
        </w:r>
      </w:fldSimple>
      <w:r>
        <w:t>)</w:t>
      </w:r>
      <w:r>
        <w:rPr>
          <w:b w:val="0"/>
          <w:i w:val="0"/>
        </w:rPr>
        <w:t xml:space="preserve"> · </w:t>
      </w:r>
      <w:hyperlink w:anchor="concord-and-convergence">
        <w:r>
          <w:rPr>
            <w:color w:val="000000"/>
          </w:rPr>
          <w:t xml:space="preserve">Concord and convergence</w:t>
        </w:r>
      </w:hyperlink>
      <w:r>
        <w:t xml:space="preserve"> (p. </w:t>
      </w:r>
      <w:fldSimple w:instr=" PAGEREF &quot;concord-and-convergence&quot; \h ">
        <w:r>
          <w:t>57</w:t>
        </w:r>
      </w:fldSimple>
      <w:r>
        <w:t>)</w:t>
      </w:r>
      <w:r>
        <w:rPr>
          <w:b w:val="0"/>
          <w:i w:val="0"/>
        </w:rPr>
        <w:t xml:space="preserve"> · </w:t>
      </w:r>
      <w:hyperlink w:anchor="conservation-and-preservation">
        <w:r>
          <w:rPr>
            <w:color w:val="000000"/>
          </w:rPr>
          <w:t xml:space="preserve">Conservation and preservation</w:t>
        </w:r>
      </w:hyperlink>
      <w:r>
        <w:t xml:space="preserve"> (p. </w:t>
      </w:r>
      <w:fldSimple w:instr=" PAGEREF &quot;conservation-and-preservation&quot; \h ">
        <w:r>
          <w:t>58</w:t>
        </w:r>
      </w:fldSimple>
      <w:r>
        <w:t>)</w:t>
      </w:r>
      <w:r>
        <w:rPr>
          <w:b w:val="0"/>
          <w:i w:val="0"/>
        </w:rPr>
        <w:t xml:space="preserve"> · </w:t>
      </w:r>
      <w:hyperlink w:anchor="containing-receiving-and-lacking">
        <w:r>
          <w:rPr>
            <w:color w:val="000000"/>
          </w:rPr>
          <w:t xml:space="preserve">Containing, receiving and lacking</w:t>
        </w:r>
      </w:hyperlink>
      <w:r>
        <w:t xml:space="preserve"> (p. </w:t>
      </w:r>
      <w:fldSimple w:instr=" PAGEREF &quot;containing-receiving-and-lacking&quot; \h ">
        <w:r>
          <w:t>59</w:t>
        </w:r>
      </w:fldSimple>
      <w:r>
        <w:t>)</w:t>
      </w:r>
      <w:r>
        <w:rPr>
          <w:b w:val="0"/>
          <w:i w:val="0"/>
        </w:rPr>
        <w:t xml:space="preserve"> · </w:t>
      </w:r>
      <w:hyperlink w:anchor="contingency">
        <w:r>
          <w:rPr>
            <w:color w:val="000000"/>
          </w:rPr>
          <w:t xml:space="preserve">Contingency</w:t>
        </w:r>
      </w:hyperlink>
      <w:r>
        <w:t xml:space="preserve"> (p. </w:t>
      </w:r>
      <w:fldSimple w:instr=" PAGEREF &quot;contingency&quot; \h ">
        <w:r>
          <w:t>60</w:t>
        </w:r>
      </w:fldSimple>
      <w:r>
        <w:t>)</w:t>
      </w:r>
      <w:r>
        <w:rPr>
          <w:b w:val="0"/>
          <w:i w:val="0"/>
        </w:rPr>
        <w:t xml:space="preserve"> · </w:t>
      </w:r>
      <w:hyperlink w:anchor="contraction-and-determination">
        <w:r>
          <w:rPr>
            <w:color w:val="000000"/>
          </w:rPr>
          <w:t xml:space="preserve">Contraction and determination</w:t>
        </w:r>
      </w:hyperlink>
      <w:r>
        <w:t xml:space="preserve"> (p. </w:t>
      </w:r>
      <w:fldSimple w:instr=" PAGEREF &quot;contraction-and-determination&quot; \h ">
        <w:r>
          <w:t>61</w:t>
        </w:r>
      </w:fldSimple>
      <w:r>
        <w:t>)</w:t>
      </w:r>
      <w:r>
        <w:rPr>
          <w:b w:val="0"/>
          <w:i w:val="0"/>
        </w:rPr>
        <w:t xml:space="preserve"> · </w:t>
      </w:r>
      <w:hyperlink w:anchor="contradiction-and-possibility">
        <w:r>
          <w:rPr>
            <w:color w:val="000000"/>
          </w:rPr>
          <w:t xml:space="preserve">Contradiction and possibility</w:t>
        </w:r>
      </w:hyperlink>
      <w:r>
        <w:t xml:space="preserve"> (p. </w:t>
      </w:r>
      <w:fldSimple w:instr=" PAGEREF &quot;contradiction-and-possibility&quot; \h ">
        <w:r>
          <w:t>62</w:t>
        </w:r>
      </w:fldSimple>
      <w:r>
        <w:t>)</w:t>
      </w:r>
      <w:r>
        <w:rPr>
          <w:b w:val="0"/>
          <w:i w:val="0"/>
        </w:rPr>
        <w:t xml:space="preserve"> · </w:t>
      </w:r>
      <w:hyperlink w:anchor="contraries-and-opposition">
        <w:r>
          <w:rPr>
            <w:color w:val="000000"/>
          </w:rPr>
          <w:t xml:space="preserve">Contraries and opposition</w:t>
        </w:r>
      </w:hyperlink>
      <w:r>
        <w:t xml:space="preserve"> (p. </w:t>
      </w:r>
      <w:fldSimple w:instr=" PAGEREF &quot;contraries-and-opposition&quot; \h ">
        <w:r>
          <w:t>62</w:t>
        </w:r>
      </w:fldSimple>
      <w:r>
        <w:t>)</w:t>
      </w:r>
      <w:r>
        <w:rPr>
          <w:b w:val="0"/>
          <w:i w:val="0"/>
        </w:rPr>
        <w:t xml:space="preserve"> · </w:t>
      </w:r>
      <w:hyperlink w:anchor="counsel-and-settled-skill">
        <w:r>
          <w:rPr>
            <w:color w:val="000000"/>
          </w:rPr>
          <w:t xml:space="preserve">Counsel and settled skill</w:t>
        </w:r>
      </w:hyperlink>
      <w:r>
        <w:t xml:space="preserve"> (p. </w:t>
      </w:r>
      <w:fldSimple w:instr=" PAGEREF &quot;counsel-and-settled-skill&quot; \h ">
        <w:r>
          <w:t>63</w:t>
        </w:r>
      </w:fldSimple>
      <w:r>
        <w:t>)</w:t>
      </w:r>
      <w:r>
        <w:rPr>
          <w:b w:val="0"/>
          <w:i w:val="0"/>
        </w:rPr>
        <w:t xml:space="preserve"> · </w:t>
      </w:r>
      <w:hyperlink w:anchor="counting-and-collective-intuition">
        <w:r>
          <w:rPr>
            <w:color w:val="000000"/>
          </w:rPr>
          <w:t xml:space="preserve">Counting and collective intuition</w:t>
        </w:r>
      </w:hyperlink>
      <w:r>
        <w:t xml:space="preserve"> (p. </w:t>
      </w:r>
      <w:fldSimple w:instr=" PAGEREF &quot;counting-and-collective-intuition&quot; \h ">
        <w:r>
          <w:t>64</w:t>
        </w:r>
      </w:fldSimple>
      <w:r>
        <w:t>)</w:t>
      </w:r>
      <w:r>
        <w:rPr>
          <w:b w:val="0"/>
          <w:i w:val="0"/>
        </w:rPr>
        <w:t xml:space="preserve"> · </w:t>
      </w:r>
      <w:hyperlink w:anchor="craftsman-and-father">
        <w:r>
          <w:rPr>
            <w:color w:val="000000"/>
          </w:rPr>
          <w:t xml:space="preserve">Craftsman and father</w:t>
        </w:r>
      </w:hyperlink>
      <w:r>
        <w:t xml:space="preserve"> (p. </w:t>
      </w:r>
      <w:fldSimple w:instr=" PAGEREF &quot;craftsman-and-father&quot; \h ">
        <w:r>
          <w:t>65</w:t>
        </w:r>
      </w:fldSimple>
      <w:r>
        <w:t>)</w:t>
      </w:r>
      <w:r>
        <w:rPr>
          <w:b w:val="0"/>
          <w:i w:val="0"/>
        </w:rPr>
        <w:t xml:space="preserve"> · </w:t>
      </w:r>
      <w:hyperlink w:anchor="creation">
        <w:r>
          <w:rPr>
            <w:color w:val="000000"/>
          </w:rPr>
          <w:t xml:space="preserve">Creation</w:t>
        </w:r>
      </w:hyperlink>
      <w:r>
        <w:t xml:space="preserve"> (p. </w:t>
      </w:r>
      <w:fldSimple w:instr=" PAGEREF &quot;creation&quot; \h ">
        <w:r>
          <w:t>66</w:t>
        </w:r>
      </w:fldSimple>
      <w:r>
        <w:t>)</w:t>
      </w:r>
    </w:p>
    <w:p>
      <w:pPr>
        <w:widowControl/>
      </w:pPr>
      <w:r>
        <w:rPr>
          <w:b/>
          <w:i w:val="0"/>
        </w:rPr>
        <w:t>D</w:t>
      </w:r>
      <w:r>
        <w:br/>
      </w:r>
      <w:hyperlink w:anchor="daemons">
        <w:r>
          <w:rPr>
            <w:color w:val="000000"/>
          </w:rPr>
          <w:t xml:space="preserve">Daemons</w:t>
        </w:r>
      </w:hyperlink>
      <w:r>
        <w:t xml:space="preserve"> (p. </w:t>
      </w:r>
      <w:fldSimple w:instr=" PAGEREF &quot;daemons&quot; \h ">
        <w:r>
          <w:t>66</w:t>
        </w:r>
      </w:fldSimple>
      <w:r>
        <w:t>)</w:t>
      </w:r>
      <w:r>
        <w:rPr>
          <w:b w:val="0"/>
          <w:i w:val="0"/>
        </w:rPr>
        <w:t xml:space="preserve"> · </w:t>
      </w:r>
      <w:hyperlink w:anchor="degree-and-mediation">
        <w:r>
          <w:rPr>
            <w:color w:val="000000"/>
          </w:rPr>
          <w:t xml:space="preserve">Degree and mediation</w:t>
        </w:r>
      </w:hyperlink>
      <w:r>
        <w:t xml:space="preserve"> (p. </w:t>
      </w:r>
      <w:fldSimple w:instr=" PAGEREF &quot;degree-and-mediation&quot; \h ">
        <w:r>
          <w:t>68</w:t>
        </w:r>
      </w:fldSimple>
      <w:r>
        <w:t>)</w:t>
      </w:r>
      <w:r>
        <w:rPr>
          <w:b w:val="0"/>
          <w:i w:val="0"/>
        </w:rPr>
        <w:t xml:space="preserve"> · </w:t>
      </w:r>
      <w:hyperlink w:anchor="dependence-and-receiving">
        <w:r>
          <w:rPr>
            <w:color w:val="000000"/>
          </w:rPr>
          <w:t xml:space="preserve">Dependence and receiving</w:t>
        </w:r>
      </w:hyperlink>
      <w:r>
        <w:t xml:space="preserve"> (p. </w:t>
      </w:r>
      <w:fldSimple w:instr=" PAGEREF &quot;dependence-and-receiving&quot; \h ">
        <w:r>
          <w:t>69</w:t>
        </w:r>
      </w:fldSimple>
      <w:r>
        <w:t>)</w:t>
      </w:r>
      <w:r>
        <w:rPr>
          <w:b w:val="0"/>
          <w:i w:val="0"/>
        </w:rPr>
        <w:t xml:space="preserve"> · </w:t>
      </w:r>
      <w:hyperlink w:anchor="dionysius-daniel-and-numerical-orders">
        <w:r>
          <w:rPr>
            <w:color w:val="000000"/>
          </w:rPr>
          <w:t xml:space="preserve">Dionysius, Daniel and numerical orders</w:t>
        </w:r>
      </w:hyperlink>
      <w:r>
        <w:t xml:space="preserve"> (p. </w:t>
      </w:r>
      <w:fldSimple w:instr=" PAGEREF &quot;dionysius-daniel-and-numerical-orders&quot; \h ">
        <w:r>
          <w:t>70</w:t>
        </w:r>
      </w:fldSimple>
      <w:r>
        <w:t>)</w:t>
      </w:r>
      <w:r>
        <w:rPr>
          <w:b w:val="0"/>
          <w:i w:val="0"/>
        </w:rPr>
        <w:t xml:space="preserve"> · </w:t>
      </w:r>
      <w:hyperlink w:anchor="dispersion-and-concentration">
        <w:r>
          <w:rPr>
            <w:color w:val="000000"/>
          </w:rPr>
          <w:t xml:space="preserve">Dispersion and concentration</w:t>
        </w:r>
      </w:hyperlink>
      <w:r>
        <w:t xml:space="preserve"> (p. </w:t>
      </w:r>
      <w:fldSimple w:instr=" PAGEREF &quot;dispersion-and-concentration&quot; \h ">
        <w:r>
          <w:t>71</w:t>
        </w:r>
      </w:fldSimple>
      <w:r>
        <w:t>)</w:t>
      </w:r>
      <w:r>
        <w:rPr>
          <w:b w:val="0"/>
          <w:i w:val="0"/>
        </w:rPr>
        <w:t xml:space="preserve"> · </w:t>
      </w:r>
      <w:hyperlink w:anchor="divinity-and-the-divine">
        <w:r>
          <w:rPr>
            <w:color w:val="000000"/>
          </w:rPr>
          <w:t xml:space="preserve">Divinity and the divine</w:t>
        </w:r>
      </w:hyperlink>
      <w:r>
        <w:t xml:space="preserve"> (p. </w:t>
      </w:r>
      <w:fldSimple w:instr=" PAGEREF &quot;divinity-and-the-divine&quot; \h ">
        <w:r>
          <w:t>71</w:t>
        </w:r>
      </w:fldSimple>
      <w:r>
        <w:t>)</w:t>
      </w:r>
    </w:p>
    <w:p>
      <w:pPr>
        <w:widowControl/>
      </w:pPr>
      <w:r>
        <w:rPr>
          <w:b/>
          <w:i w:val="0"/>
        </w:rPr>
        <w:t>E</w:t>
      </w:r>
      <w:r>
        <w:br/>
      </w:r>
      <w:hyperlink w:anchor="earth-as-mother">
        <w:r>
          <w:rPr>
            <w:color w:val="000000"/>
          </w:rPr>
          <w:t xml:space="preserve">Earth as mother</w:t>
        </w:r>
      </w:hyperlink>
      <w:r>
        <w:t xml:space="preserve"> (p. </w:t>
      </w:r>
      <w:fldSimple w:instr=" PAGEREF &quot;earth-as-mother&quot; \h ">
        <w:r>
          <w:t>72</w:t>
        </w:r>
      </w:fldSimple>
      <w:r>
        <w:t>)</w:t>
      </w:r>
      <w:r>
        <w:rPr>
          <w:b w:val="0"/>
          <w:i w:val="0"/>
        </w:rPr>
        <w:t xml:space="preserve"> · </w:t>
      </w:r>
      <w:hyperlink w:anchor="earth-soul">
        <w:r>
          <w:rPr>
            <w:color w:val="000000"/>
          </w:rPr>
          <w:t xml:space="preserve">Earth soul</w:t>
        </w:r>
      </w:hyperlink>
      <w:r>
        <w:t xml:space="preserve"> (p. </w:t>
      </w:r>
      <w:fldSimple w:instr=" PAGEREF &quot;earth-soul&quot; \h ">
        <w:r>
          <w:t>73</w:t>
        </w:r>
      </w:fldSimple>
      <w:r>
        <w:t>)</w:t>
      </w:r>
      <w:r>
        <w:rPr>
          <w:b w:val="0"/>
          <w:i w:val="0"/>
        </w:rPr>
        <w:t xml:space="preserve"> · </w:t>
      </w:r>
      <w:hyperlink w:anchor="elements-and-their-spheres">
        <w:r>
          <w:rPr>
            <w:color w:val="000000"/>
          </w:rPr>
          <w:t xml:space="preserve">Elements and their spheres</w:t>
        </w:r>
      </w:hyperlink>
      <w:r>
        <w:t xml:space="preserve"> (p. </w:t>
      </w:r>
      <w:fldSimple w:instr=" PAGEREF &quot;elements-and-their-spheres&quot; \h ">
        <w:r>
          <w:t>74</w:t>
        </w:r>
      </w:fldSimple>
      <w:r>
        <w:t>)</w:t>
      </w:r>
      <w:r>
        <w:rPr>
          <w:b w:val="0"/>
          <w:i w:val="0"/>
        </w:rPr>
        <w:t xml:space="preserve"> · </w:t>
      </w:r>
      <w:hyperlink w:anchor="empyrean-heaven">
        <w:r>
          <w:rPr>
            <w:color w:val="000000"/>
          </w:rPr>
          <w:t xml:space="preserve">Empyrean heaven</w:t>
        </w:r>
      </w:hyperlink>
      <w:r>
        <w:t xml:space="preserve"> (p. </w:t>
      </w:r>
      <w:fldSimple w:instr=" PAGEREF &quot;empyrean-heaven&quot; \h ">
        <w:r>
          <w:t>75</w:t>
        </w:r>
      </w:fldSimple>
      <w:r>
        <w:t>)</w:t>
      </w:r>
      <w:r>
        <w:rPr>
          <w:b w:val="0"/>
          <w:i w:val="0"/>
        </w:rPr>
        <w:t xml:space="preserve"> · </w:t>
      </w:r>
      <w:hyperlink w:anchor="end-and-limit">
        <w:r>
          <w:rPr>
            <w:color w:val="000000"/>
          </w:rPr>
          <w:t xml:space="preserve">End and limit</w:t>
        </w:r>
      </w:hyperlink>
      <w:r>
        <w:t xml:space="preserve"> (p. </w:t>
      </w:r>
      <w:fldSimple w:instr=" PAGEREF &quot;end-and-limit&quot; \h ">
        <w:r>
          <w:t>76</w:t>
        </w:r>
      </w:fldSimple>
      <w:r>
        <w:t>)</w:t>
      </w:r>
      <w:r>
        <w:rPr>
          <w:b w:val="0"/>
          <w:i w:val="0"/>
        </w:rPr>
        <w:t xml:space="preserve"> · </w:t>
      </w:r>
      <w:hyperlink w:anchor="enfolding-and-unfolding">
        <w:r>
          <w:rPr>
            <w:color w:val="000000"/>
          </w:rPr>
          <w:t xml:space="preserve">Enfolding and unfolding</w:t>
        </w:r>
      </w:hyperlink>
      <w:r>
        <w:t xml:space="preserve"> (p. </w:t>
      </w:r>
      <w:fldSimple w:instr=" PAGEREF &quot;enfolding-and-unfolding&quot; \h ">
        <w:r>
          <w:t>77</w:t>
        </w:r>
      </w:fldSimple>
      <w:r>
        <w:t>)</w:t>
      </w:r>
      <w:r>
        <w:rPr>
          <w:b w:val="0"/>
          <w:i w:val="0"/>
        </w:rPr>
        <w:t xml:space="preserve"> · </w:t>
      </w:r>
      <w:hyperlink w:anchor="essence-and-substance">
        <w:r>
          <w:rPr>
            <w:color w:val="000000"/>
          </w:rPr>
          <w:t xml:space="preserve">Essence and substance</w:t>
        </w:r>
      </w:hyperlink>
      <w:r>
        <w:t xml:space="preserve"> (p. </w:t>
      </w:r>
      <w:fldSimple w:instr=" PAGEREF &quot;essence-and-substance&quot; \h ">
        <w:r>
          <w:t>78</w:t>
        </w:r>
      </w:fldSimple>
      <w:r>
        <w:t>)</w:t>
      </w:r>
      <w:r>
        <w:rPr>
          <w:b w:val="0"/>
          <w:i w:val="0"/>
        </w:rPr>
        <w:t xml:space="preserve"> · </w:t>
      </w:r>
      <w:hyperlink w:anchor="eternity-and-time">
        <w:r>
          <w:rPr>
            <w:color w:val="000000"/>
          </w:rPr>
          <w:t xml:space="preserve">Eternity and time</w:t>
        </w:r>
      </w:hyperlink>
      <w:r>
        <w:t xml:space="preserve"> (p. </w:t>
      </w:r>
      <w:fldSimple w:instr=" PAGEREF &quot;eternity-and-time&quot; \h ">
        <w:r>
          <w:t>79</w:t>
        </w:r>
      </w:fldSimple>
      <w:r>
        <w:t>)</w:t>
      </w:r>
      <w:r>
        <w:rPr>
          <w:b w:val="0"/>
          <w:i w:val="0"/>
        </w:rPr>
        <w:t xml:space="preserve"> · </w:t>
      </w:r>
      <w:hyperlink w:anchor="ethereal-garment">
        <w:r>
          <w:rPr>
            <w:color w:val="000000"/>
          </w:rPr>
          <w:t xml:space="preserve">Ethereal garment</w:t>
        </w:r>
      </w:hyperlink>
      <w:r>
        <w:t xml:space="preserve"> (p. </w:t>
      </w:r>
      <w:fldSimple w:instr=" PAGEREF &quot;ethereal-garment&quot; \h ">
        <w:r>
          <w:t>81</w:t>
        </w:r>
      </w:fldSimple>
      <w:r>
        <w:t>)</w:t>
      </w:r>
      <w:r>
        <w:rPr>
          <w:b w:val="0"/>
          <w:i w:val="0"/>
        </w:rPr>
        <w:t xml:space="preserve"> · </w:t>
      </w:r>
      <w:hyperlink w:anchor="euclid-and-the-lantern">
        <w:r>
          <w:rPr>
            <w:color w:val="000000"/>
          </w:rPr>
          <w:t xml:space="preserve">Euclid and the lantern</w:t>
        </w:r>
      </w:hyperlink>
      <w:r>
        <w:t xml:space="preserve"> (p. </w:t>
      </w:r>
      <w:fldSimple w:instr=" PAGEREF &quot;euclid-and-the-lantern&quot; \h ">
        <w:r>
          <w:t>81</w:t>
        </w:r>
      </w:fldSimple>
      <w:r>
        <w:t>)</w:t>
      </w:r>
      <w:r>
        <w:rPr>
          <w:b w:val="0"/>
          <w:i w:val="0"/>
        </w:rPr>
        <w:t xml:space="preserve"> · </w:t>
      </w:r>
      <w:hyperlink w:anchor="exchange-and-reconciliation">
        <w:r>
          <w:rPr>
            <w:color w:val="000000"/>
          </w:rPr>
          <w:t xml:space="preserve">Exchange and reconciliation</w:t>
        </w:r>
      </w:hyperlink>
      <w:r>
        <w:t xml:space="preserve"> (p. </w:t>
      </w:r>
      <w:fldSimple w:instr=" PAGEREF &quot;exchange-and-reconciliation&quot; \h ">
        <w:r>
          <w:t>82</w:t>
        </w:r>
      </w:fldSimple>
      <w:r>
        <w:t>)</w:t>
      </w:r>
      <w:r>
        <w:rPr>
          <w:b w:val="0"/>
          <w:i w:val="0"/>
        </w:rPr>
        <w:t xml:space="preserve"> · </w:t>
      </w:r>
      <w:hyperlink w:anchor="eye-and-gaze">
        <w:r>
          <w:rPr>
            <w:color w:val="000000"/>
          </w:rPr>
          <w:t xml:space="preserve">Eye and gaze</w:t>
        </w:r>
      </w:hyperlink>
      <w:r>
        <w:t xml:space="preserve"> (p. </w:t>
      </w:r>
      <w:fldSimple w:instr=" PAGEREF &quot;eye-and-gaze&quot; \h ">
        <w:r>
          <w:t>83</w:t>
        </w:r>
      </w:fldSimple>
      <w:r>
        <w:t>)</w:t>
      </w:r>
      <w:r>
        <w:rPr>
          <w:b w:val="0"/>
          <w:i w:val="0"/>
        </w:rPr>
        <w:t xml:space="preserve"> · </w:t>
      </w:r>
      <w:hyperlink w:anchor="eye-and-imagined-enlargement">
        <w:r>
          <w:rPr>
            <w:color w:val="000000"/>
          </w:rPr>
          <w:t xml:space="preserve">Eye and imagined enlargement</w:t>
        </w:r>
      </w:hyperlink>
      <w:r>
        <w:t xml:space="preserve"> (p. </w:t>
      </w:r>
      <w:fldSimple w:instr=" PAGEREF &quot;eye-and-imagined-enlargement&quot; \h ">
        <w:r>
          <w:t>84</w:t>
        </w:r>
      </w:fldSimple>
      <w:r>
        <w:t>)</w:t>
      </w:r>
    </w:p>
    <w:p>
      <w:pPr>
        <w:widowControl/>
      </w:pPr>
      <w:r>
        <w:rPr>
          <w:b/>
          <w:i w:val="0"/>
        </w:rPr>
        <w:t>F</w:t>
      </w:r>
      <w:r>
        <w:br/>
      </w:r>
      <w:hyperlink w:anchor="failure-weariness-and-endurance">
        <w:r>
          <w:rPr>
            <w:color w:val="000000"/>
          </w:rPr>
          <w:t xml:space="preserve">Failure weariness and endurance</w:t>
        </w:r>
      </w:hyperlink>
      <w:r>
        <w:t xml:space="preserve"> (p. </w:t>
      </w:r>
      <w:fldSimple w:instr=" PAGEREF &quot;failure-weariness-and-endurance&quot; \h ">
        <w:r>
          <w:t>85</w:t>
        </w:r>
      </w:fldSimple>
      <w:r>
        <w:t>)</w:t>
      </w:r>
      <w:r>
        <w:rPr>
          <w:b w:val="0"/>
          <w:i w:val="0"/>
        </w:rPr>
        <w:t xml:space="preserve"> · </w:t>
      </w:r>
      <w:hyperlink w:anchor="fate">
        <w:r>
          <w:rPr>
            <w:color w:val="000000"/>
          </w:rPr>
          <w:t xml:space="preserve">Fate</w:t>
        </w:r>
      </w:hyperlink>
      <w:r>
        <w:t xml:space="preserve"> (p. </w:t>
      </w:r>
      <w:fldSimple w:instr=" PAGEREF &quot;fate&quot; \h ">
        <w:r>
          <w:t>85</w:t>
        </w:r>
      </w:fldSimple>
      <w:r>
        <w:t>)</w:t>
      </w:r>
      <w:r>
        <w:rPr>
          <w:b w:val="0"/>
          <w:i w:val="0"/>
        </w:rPr>
        <w:t xml:space="preserve"> · </w:t>
      </w:r>
      <w:hyperlink w:anchor="fire-and-variable-materials">
        <w:r>
          <w:rPr>
            <w:color w:val="000000"/>
          </w:rPr>
          <w:t xml:space="preserve">Fire and variable materials</w:t>
        </w:r>
      </w:hyperlink>
      <w:r>
        <w:t xml:space="preserve"> (p. </w:t>
      </w:r>
      <w:fldSimple w:instr=" PAGEREF &quot;fire-and-variable-materials&quot; \h ">
        <w:r>
          <w:t>86</w:t>
        </w:r>
      </w:fldSimple>
      <w:r>
        <w:t>)</w:t>
      </w:r>
      <w:r>
        <w:rPr>
          <w:b w:val="0"/>
          <w:i w:val="0"/>
        </w:rPr>
        <w:t xml:space="preserve"> · </w:t>
      </w:r>
      <w:hyperlink w:anchor="fire-spark-lightning-and-cannon">
        <w:r>
          <w:rPr>
            <w:color w:val="000000"/>
          </w:rPr>
          <w:t xml:space="preserve">Fire, spark, lightning and cannon</w:t>
        </w:r>
      </w:hyperlink>
      <w:r>
        <w:t xml:space="preserve"> (p. </w:t>
      </w:r>
      <w:fldSimple w:instr=" PAGEREF &quot;fire-spark-lightning-and-cannon&quot; \h ">
        <w:r>
          <w:t>87</w:t>
        </w:r>
      </w:fldSimple>
      <w:r>
        <w:t>)</w:t>
      </w:r>
      <w:r>
        <w:rPr>
          <w:b w:val="0"/>
          <w:i w:val="0"/>
        </w:rPr>
        <w:t xml:space="preserve"> · </w:t>
      </w:r>
      <w:hyperlink w:anchor="first-movable">
        <w:r>
          <w:rPr>
            <w:color w:val="000000"/>
          </w:rPr>
          <w:t xml:space="preserve">First movable</w:t>
        </w:r>
      </w:hyperlink>
      <w:r>
        <w:t xml:space="preserve"> (p. </w:t>
      </w:r>
      <w:fldSimple w:instr=" PAGEREF &quot;first-movable&quot; \h ">
        <w:r>
          <w:t>88</w:t>
        </w:r>
      </w:fldSimple>
      <w:r>
        <w:t>)</w:t>
      </w:r>
      <w:r>
        <w:rPr>
          <w:b w:val="0"/>
          <w:i w:val="0"/>
        </w:rPr>
        <w:t xml:space="preserve"> · </w:t>
      </w:r>
      <w:hyperlink w:anchor="fitting-and-correspondence">
        <w:r>
          <w:rPr>
            <w:color w:val="000000"/>
          </w:rPr>
          <w:t xml:space="preserve">Fitting and correspondence</w:t>
        </w:r>
      </w:hyperlink>
      <w:r>
        <w:t xml:space="preserve"> (p. </w:t>
      </w:r>
      <w:fldSimple w:instr=" PAGEREF &quot;fitting-and-correspondence&quot; \h ">
        <w:r>
          <w:t>89</w:t>
        </w:r>
      </w:fldSimple>
      <w:r>
        <w:t>)</w:t>
      </w:r>
      <w:r>
        <w:rPr>
          <w:b w:val="0"/>
          <w:i w:val="0"/>
        </w:rPr>
        <w:t xml:space="preserve"> · </w:t>
      </w:r>
      <w:hyperlink w:anchor="florentine-mechanism">
        <w:r>
          <w:rPr>
            <w:color w:val="000000"/>
          </w:rPr>
          <w:t xml:space="preserve">Florentine mechanism</w:t>
        </w:r>
      </w:hyperlink>
      <w:r>
        <w:t xml:space="preserve"> (p. </w:t>
      </w:r>
      <w:fldSimple w:instr=" PAGEREF &quot;florentine-mechanism&quot; \h ">
        <w:r>
          <w:t>90</w:t>
        </w:r>
      </w:fldSimple>
      <w:r>
        <w:t>)</w:t>
      </w:r>
      <w:r>
        <w:rPr>
          <w:b w:val="0"/>
          <w:i w:val="0"/>
        </w:rPr>
        <w:t xml:space="preserve"> · </w:t>
      </w:r>
      <w:hyperlink w:anchor="foreknowledge">
        <w:r>
          <w:rPr>
            <w:color w:val="000000"/>
          </w:rPr>
          <w:t xml:space="preserve">Foreknowledge</w:t>
        </w:r>
      </w:hyperlink>
      <w:r>
        <w:t xml:space="preserve"> (p. </w:t>
      </w:r>
      <w:fldSimple w:instr=" PAGEREF &quot;foreknowledge&quot; \h ">
        <w:r>
          <w:t>90</w:t>
        </w:r>
      </w:fldSimple>
      <w:r>
        <w:t>)</w:t>
      </w:r>
      <w:r>
        <w:rPr>
          <w:b w:val="0"/>
          <w:i w:val="0"/>
        </w:rPr>
        <w:t xml:space="preserve"> · </w:t>
      </w:r>
      <w:hyperlink w:anchor="form">
        <w:r>
          <w:rPr>
            <w:color w:val="000000"/>
          </w:rPr>
          <w:t xml:space="preserve">Form</w:t>
        </w:r>
      </w:hyperlink>
      <w:r>
        <w:t xml:space="preserve"> (p. </w:t>
      </w:r>
      <w:fldSimple w:instr=" PAGEREF &quot;form&quot; \h ">
        <w:r>
          <w:t>91</w:t>
        </w:r>
      </w:fldSimple>
      <w:r>
        <w:t>)</w:t>
      </w:r>
      <w:r>
        <w:rPr>
          <w:b w:val="0"/>
          <w:i w:val="0"/>
        </w:rPr>
        <w:t xml:space="preserve"> · </w:t>
      </w:r>
      <w:hyperlink w:anchor="fountain-womb-and-offspring">
        <w:r>
          <w:rPr>
            <w:color w:val="000000"/>
          </w:rPr>
          <w:t xml:space="preserve">Fountain, womb and offspring</w:t>
        </w:r>
      </w:hyperlink>
      <w:r>
        <w:t xml:space="preserve"> (p. </w:t>
      </w:r>
      <w:fldSimple w:instr=" PAGEREF &quot;fountain-womb-and-offspring&quot; \h ">
        <w:r>
          <w:t>93</w:t>
        </w:r>
      </w:fldSimple>
      <w:r>
        <w:t>)</w:t>
      </w:r>
      <w:r>
        <w:rPr>
          <w:b w:val="0"/>
          <w:i w:val="0"/>
        </w:rPr>
        <w:t xml:space="preserve"> · </w:t>
      </w:r>
      <w:hyperlink w:anchor="freedom-and-necessity">
        <w:r>
          <w:rPr>
            <w:color w:val="000000"/>
          </w:rPr>
          <w:t xml:space="preserve">Freedom and necessity</w:t>
        </w:r>
      </w:hyperlink>
      <w:r>
        <w:t xml:space="preserve"> (p. </w:t>
      </w:r>
      <w:fldSimple w:instr=" PAGEREF &quot;freedom-and-necessity&quot; \h ">
        <w:r>
          <w:t>94</w:t>
        </w:r>
      </w:fldSimple>
      <w:r>
        <w:t>)</w:t>
      </w:r>
    </w:p>
    <w:p>
      <w:pPr>
        <w:widowControl/>
      </w:pPr>
      <w:r>
        <w:rPr>
          <w:b/>
          <w:i w:val="0"/>
        </w:rPr>
        <w:t>G</w:t>
      </w:r>
      <w:r>
        <w:br/>
      </w:r>
      <w:hyperlink w:anchor="generation-and-corruption">
        <w:r>
          <w:rPr>
            <w:color w:val="000000"/>
          </w:rPr>
          <w:t xml:space="preserve">Generation and corruption</w:t>
        </w:r>
      </w:hyperlink>
      <w:r>
        <w:t xml:space="preserve"> (p. </w:t>
      </w:r>
      <w:fldSimple w:instr=" PAGEREF &quot;generation-and-corruption&quot; \h ">
        <w:r>
          <w:t>96</w:t>
        </w:r>
      </w:fldSimple>
      <w:r>
        <w:t>)</w:t>
      </w:r>
      <w:r>
        <w:rPr>
          <w:b w:val="0"/>
          <w:i w:val="0"/>
        </w:rPr>
        <w:t xml:space="preserve"> · </w:t>
      </w:r>
      <w:hyperlink w:anchor="glass-and-colored-radiance">
        <w:r>
          <w:rPr>
            <w:color w:val="000000"/>
          </w:rPr>
          <w:t xml:space="preserve">Glass and colored radiance</w:t>
        </w:r>
      </w:hyperlink>
      <w:r>
        <w:t xml:space="preserve"> (p. </w:t>
      </w:r>
      <w:fldSimple w:instr=" PAGEREF &quot;glass-and-colored-radiance&quot; \h ">
        <w:r>
          <w:t>97</w:t>
        </w:r>
      </w:fldSimple>
      <w:r>
        <w:t>)</w:t>
      </w:r>
      <w:r>
        <w:rPr>
          <w:b w:val="0"/>
          <w:i w:val="0"/>
        </w:rPr>
        <w:t xml:space="preserve"> · </w:t>
      </w:r>
      <w:hyperlink w:anchor="god">
        <w:r>
          <w:rPr>
            <w:color w:val="000000"/>
          </w:rPr>
          <w:t xml:space="preserve">God</w:t>
        </w:r>
      </w:hyperlink>
      <w:r>
        <w:t xml:space="preserve"> (p. </w:t>
      </w:r>
      <w:fldSimple w:instr=" PAGEREF &quot;god&quot; \h ">
        <w:r>
          <w:t>98</w:t>
        </w:r>
      </w:fldSimple>
      <w:r>
        <w:t>)</w:t>
      </w:r>
      <w:r>
        <w:rPr>
          <w:b w:val="0"/>
          <w:i w:val="0"/>
        </w:rPr>
        <w:t xml:space="preserve"> · </w:t>
      </w:r>
      <w:hyperlink w:anchor="good-and-goodness">
        <w:r>
          <w:rPr>
            <w:color w:val="000000"/>
          </w:rPr>
          <w:t xml:space="preserve">Good and goodness</w:t>
        </w:r>
      </w:hyperlink>
      <w:r>
        <w:t xml:space="preserve"> (p. </w:t>
      </w:r>
      <w:fldSimple w:instr=" PAGEREF &quot;good-and-goodness&quot; \h ">
        <w:r>
          <w:t>99</w:t>
        </w:r>
      </w:fldSimple>
      <w:r>
        <w:t>)</w:t>
      </w:r>
      <w:r>
        <w:rPr>
          <w:b w:val="0"/>
          <w:i w:val="0"/>
        </w:rPr>
        <w:t xml:space="preserve"> · </w:t>
      </w:r>
      <w:hyperlink w:anchor="governing-serving-and-dominion">
        <w:r>
          <w:rPr>
            <w:color w:val="000000"/>
          </w:rPr>
          <w:t xml:space="preserve">Governing, serving and dominion</w:t>
        </w:r>
      </w:hyperlink>
      <w:r>
        <w:t xml:space="preserve"> (p. </w:t>
      </w:r>
      <w:fldSimple w:instr=" PAGEREF &quot;governing-serving-and-dominion&quot; \h ">
        <w:r>
          <w:t>101</w:t>
        </w:r>
      </w:fldSimple>
      <w:r>
        <w:t>)</w:t>
      </w:r>
      <w:r>
        <w:rPr>
          <w:b w:val="0"/>
          <w:i w:val="0"/>
        </w:rPr>
        <w:t xml:space="preserve"> · </w:t>
      </w:r>
      <w:hyperlink w:anchor="great-year">
        <w:r>
          <w:rPr>
            <w:color w:val="000000"/>
          </w:rPr>
          <w:t xml:space="preserve">Great year</w:t>
        </w:r>
      </w:hyperlink>
      <w:r>
        <w:t xml:space="preserve"> (p. </w:t>
      </w:r>
      <w:fldSimple w:instr=" PAGEREF &quot;great-year&quot; \h ">
        <w:r>
          <w:t>103</w:t>
        </w:r>
      </w:fldSimple>
      <w:r>
        <w:t>)</w:t>
      </w:r>
    </w:p>
    <w:p>
      <w:pPr>
        <w:widowControl/>
      </w:pPr>
      <w:r>
        <w:rPr>
          <w:b/>
          <w:i w:val="0"/>
        </w:rPr>
        <w:t>H</w:t>
      </w:r>
      <w:r>
        <w:br/>
      </w:r>
      <w:hyperlink w:anchor="habitual-possession">
        <w:r>
          <w:rPr>
            <w:color w:val="000000"/>
          </w:rPr>
          <w:t xml:space="preserve">Habitual possession</w:t>
        </w:r>
      </w:hyperlink>
      <w:r>
        <w:t xml:space="preserve"> (p. </w:t>
      </w:r>
      <w:fldSimple w:instr=" PAGEREF &quot;habitual-possession&quot; \h ">
        <w:r>
          <w:t>103</w:t>
        </w:r>
      </w:fldSimple>
      <w:r>
        <w:t>)</w:t>
      </w:r>
      <w:r>
        <w:rPr>
          <w:b w:val="0"/>
          <w:i w:val="0"/>
        </w:rPr>
        <w:t xml:space="preserve"> · </w:t>
      </w:r>
      <w:hyperlink w:anchor="head-heart-and-members">
        <w:r>
          <w:rPr>
            <w:color w:val="000000"/>
          </w:rPr>
          <w:t xml:space="preserve">Head, heart, and members</w:t>
        </w:r>
      </w:hyperlink>
      <w:r>
        <w:t xml:space="preserve"> (p. </w:t>
      </w:r>
      <w:fldSimple w:instr=" PAGEREF &quot;head-heart-and-members&quot; \h ">
        <w:r>
          <w:t>104</w:t>
        </w:r>
      </w:fldSimple>
      <w:r>
        <w:t>)</w:t>
      </w:r>
      <w:r>
        <w:rPr>
          <w:b w:val="0"/>
          <w:i w:val="0"/>
        </w:rPr>
        <w:t xml:space="preserve"> · </w:t>
      </w:r>
      <w:hyperlink w:anchor="heart-and-mistaken-location">
        <w:r>
          <w:rPr>
            <w:color w:val="000000"/>
          </w:rPr>
          <w:t xml:space="preserve">Heart and mistaken location</w:t>
        </w:r>
      </w:hyperlink>
      <w:r>
        <w:t xml:space="preserve"> (p. </w:t>
      </w:r>
      <w:fldSimple w:instr=" PAGEREF &quot;heart-and-mistaken-location&quot; \h ">
        <w:r>
          <w:t>105</w:t>
        </w:r>
      </w:fldSimple>
      <w:r>
        <w:t>)</w:t>
      </w:r>
      <w:r>
        <w:rPr>
          <w:b w:val="0"/>
          <w:i w:val="0"/>
        </w:rPr>
        <w:t xml:space="preserve"> · </w:t>
      </w:r>
      <w:hyperlink w:anchor="here-there-and-antipodes">
        <w:r>
          <w:rPr>
            <w:color w:val="000000"/>
          </w:rPr>
          <w:t xml:space="preserve">Here, there, and the Antipodes</w:t>
        </w:r>
      </w:hyperlink>
      <w:r>
        <w:t xml:space="preserve"> (p. </w:t>
      </w:r>
      <w:fldSimple w:instr=" PAGEREF &quot;here-there-and-antipodes&quot; \h ">
        <w:r>
          <w:t>106</w:t>
        </w:r>
      </w:fldSimple>
      <w:r>
        <w:t>)</w:t>
      </w:r>
      <w:r>
        <w:rPr>
          <w:b w:val="0"/>
          <w:i w:val="0"/>
        </w:rPr>
        <w:t xml:space="preserve"> · </w:t>
      </w:r>
      <w:hyperlink w:anchor="hermetic-theologians-and-the-magi">
        <w:r>
          <w:rPr>
            <w:color w:val="000000"/>
          </w:rPr>
          <w:t xml:space="preserve">Hermetic theologians and the Magi</w:t>
        </w:r>
      </w:hyperlink>
      <w:r>
        <w:t xml:space="preserve"> (p. </w:t>
      </w:r>
      <w:fldSimple w:instr=" PAGEREF &quot;hermetic-theologians-and-the-magi&quot; \h ">
        <w:r>
          <w:t>107</w:t>
        </w:r>
      </w:fldSimple>
      <w:r>
        <w:t>)</w:t>
      </w:r>
      <w:r>
        <w:rPr>
          <w:b w:val="0"/>
          <w:i w:val="0"/>
        </w:rPr>
        <w:t xml:space="preserve"> · </w:t>
      </w:r>
      <w:hyperlink w:anchor="hidden-mover-and-magnet">
        <w:r>
          <w:rPr>
            <w:color w:val="000000"/>
          </w:rPr>
          <w:t xml:space="preserve">Hidden mover and magnet</w:t>
        </w:r>
      </w:hyperlink>
      <w:r>
        <w:t xml:space="preserve"> (p. </w:t>
      </w:r>
      <w:fldSimple w:instr=" PAGEREF &quot;hidden-mover-and-magnet&quot; \h ">
        <w:r>
          <w:t>108</w:t>
        </w:r>
      </w:fldSimple>
      <w:r>
        <w:t>)</w:t>
      </w:r>
      <w:r>
        <w:rPr>
          <w:b w:val="0"/>
          <w:i w:val="0"/>
        </w:rPr>
        <w:t xml:space="preserve"> · </w:t>
      </w:r>
      <w:hyperlink w:anchor="hierobotanum-and-mineral-powers">
        <w:r>
          <w:rPr>
            <w:color w:val="000000"/>
          </w:rPr>
          <w:t xml:space="preserve">Hierobotanum and mineral powers</w:t>
        </w:r>
      </w:hyperlink>
      <w:r>
        <w:t xml:space="preserve"> (p. </w:t>
      </w:r>
      <w:fldSimple w:instr=" PAGEREF &quot;hierobotanum-and-mineral-powers&quot; \h ">
        <w:r>
          <w:t>108</w:t>
        </w:r>
      </w:fldSimple>
      <w:r>
        <w:t>)</w:t>
      </w:r>
      <w:r>
        <w:rPr>
          <w:b w:val="0"/>
          <w:i w:val="0"/>
        </w:rPr>
        <w:t xml:space="preserve"> · </w:t>
      </w:r>
      <w:hyperlink w:anchor="hinge-and-center">
        <w:r>
          <w:rPr>
            <w:color w:val="000000"/>
          </w:rPr>
          <w:t xml:space="preserve">Hinge and center</w:t>
        </w:r>
      </w:hyperlink>
      <w:r>
        <w:t xml:space="preserve"> (p. </w:t>
      </w:r>
      <w:fldSimple w:instr=" PAGEREF &quot;hinge-and-center&quot; \h ">
        <w:r>
          <w:t>109</w:t>
        </w:r>
      </w:fldSimple>
      <w:r>
        <w:t>)</w:t>
      </w:r>
      <w:r>
        <w:rPr>
          <w:b w:val="0"/>
          <w:i w:val="0"/>
        </w:rPr>
        <w:t xml:space="preserve"> · </w:t>
      </w:r>
      <w:hyperlink w:anchor="honey-whiteness-and-the-wall">
        <w:r>
          <w:rPr>
            <w:color w:val="000000"/>
          </w:rPr>
          <w:t xml:space="preserve">Honey, whiteness and the wall</w:t>
        </w:r>
      </w:hyperlink>
      <w:r>
        <w:t xml:space="preserve"> (p. </w:t>
      </w:r>
      <w:fldSimple w:instr=" PAGEREF &quot;honey-whiteness-and-the-wall&quot; \h ">
        <w:r>
          <w:t>110</w:t>
        </w:r>
      </w:fldSimple>
      <w:r>
        <w:t>)</w:t>
      </w:r>
    </w:p>
    <w:p>
      <w:pPr>
        <w:widowControl/>
      </w:pPr>
      <w:r>
        <w:rPr>
          <w:b/>
          <w:i w:val="0"/>
        </w:rPr>
        <w:t>I</w:t>
      </w:r>
      <w:r>
        <w:br/>
      </w:r>
      <w:hyperlink w:anchor="ideas-and-exemplars">
        <w:r>
          <w:rPr>
            <w:color w:val="000000"/>
          </w:rPr>
          <w:t xml:space="preserve">Ideas and exemplars</w:t>
        </w:r>
      </w:hyperlink>
      <w:r>
        <w:t xml:space="preserve"> (p. </w:t>
      </w:r>
      <w:fldSimple w:instr=" PAGEREF &quot;ideas-and-exemplars&quot; \h ">
        <w:r>
          <w:t>111</w:t>
        </w:r>
      </w:fldSimple>
      <w:r>
        <w:t>)</w:t>
      </w:r>
      <w:r>
        <w:rPr>
          <w:b w:val="0"/>
          <w:i w:val="0"/>
        </w:rPr>
        <w:t xml:space="preserve"> · </w:t>
      </w:r>
      <w:hyperlink w:anchor="image-and-likeness">
        <w:r>
          <w:rPr>
            <w:color w:val="000000"/>
          </w:rPr>
          <w:t xml:space="preserve">Image and likeness</w:t>
        </w:r>
      </w:hyperlink>
      <w:r>
        <w:t xml:space="preserve"> (p. </w:t>
      </w:r>
      <w:fldSimple w:instr=" PAGEREF &quot;image-and-likeness&quot; \h ">
        <w:r>
          <w:t>112</w:t>
        </w:r>
      </w:fldSimple>
      <w:r>
        <w:t>)</w:t>
      </w:r>
      <w:r>
        <w:rPr>
          <w:b w:val="0"/>
          <w:i w:val="0"/>
        </w:rPr>
        <w:t xml:space="preserve"> · </w:t>
      </w:r>
      <w:hyperlink w:anchor="imagination-and-deceptive-clothing">
        <w:r>
          <w:rPr>
            <w:color w:val="000000"/>
          </w:rPr>
          <w:t xml:space="preserve">Imagination and deceptive clothing</w:t>
        </w:r>
      </w:hyperlink>
      <w:r>
        <w:t xml:space="preserve"> (p. </w:t>
      </w:r>
      <w:fldSimple w:instr=" PAGEREF &quot;imagination-and-deceptive-clothing&quot; \h ">
        <w:r>
          <w:t>114</w:t>
        </w:r>
      </w:fldSimple>
      <w:r>
        <w:t>)</w:t>
      </w:r>
      <w:r>
        <w:rPr>
          <w:b w:val="0"/>
          <w:i w:val="0"/>
        </w:rPr>
        <w:t xml:space="preserve"> · </w:t>
      </w:r>
      <w:hyperlink w:anchor="immortality">
        <w:r>
          <w:rPr>
            <w:color w:val="000000"/>
          </w:rPr>
          <w:t xml:space="preserve">Immortality</w:t>
        </w:r>
      </w:hyperlink>
      <w:r>
        <w:t xml:space="preserve"> (p. </w:t>
      </w:r>
      <w:fldSimple w:instr=" PAGEREF &quot;immortality&quot; \h ">
        <w:r>
          <w:t>115</w:t>
        </w:r>
      </w:fldSimple>
      <w:r>
        <w:t>)</w:t>
      </w:r>
      <w:r>
        <w:rPr>
          <w:b w:val="0"/>
          <w:i w:val="0"/>
        </w:rPr>
        <w:t xml:space="preserve"> · </w:t>
      </w:r>
      <w:hyperlink w:anchor="impression-and-effacement">
        <w:r>
          <w:rPr>
            <w:color w:val="000000"/>
          </w:rPr>
          <w:t xml:space="preserve">Impression and effacement</w:t>
        </w:r>
      </w:hyperlink>
      <w:r>
        <w:t xml:space="preserve"> (p. </w:t>
      </w:r>
      <w:fldSimple w:instr=" PAGEREF &quot;impression-and-effacement&quot; \h ">
        <w:r>
          <w:t>116</w:t>
        </w:r>
      </w:fldSimple>
      <w:r>
        <w:t>)</w:t>
      </w:r>
      <w:r>
        <w:rPr>
          <w:b w:val="0"/>
          <w:i w:val="0"/>
        </w:rPr>
        <w:t xml:space="preserve"> · </w:t>
      </w:r>
      <w:hyperlink w:anchor="incorporeal-and-immaterial">
        <w:r>
          <w:rPr>
            <w:color w:val="000000"/>
          </w:rPr>
          <w:t xml:space="preserve">Incorporeal and immaterial</w:t>
        </w:r>
      </w:hyperlink>
      <w:r>
        <w:t xml:space="preserve"> (p. </w:t>
      </w:r>
      <w:fldSimple w:instr=" PAGEREF &quot;incorporeal-and-immaterial&quot; \h ">
        <w:r>
          <w:t>116</w:t>
        </w:r>
      </w:fldSimple>
      <w:r>
        <w:t>)</w:t>
      </w:r>
      <w:r>
        <w:rPr>
          <w:b w:val="0"/>
          <w:i w:val="0"/>
        </w:rPr>
        <w:t xml:space="preserve"> · </w:t>
      </w:r>
      <w:hyperlink w:anchor="indivisibility">
        <w:r>
          <w:rPr>
            <w:color w:val="000000"/>
          </w:rPr>
          <w:t xml:space="preserve">Indivisibility</w:t>
        </w:r>
      </w:hyperlink>
      <w:r>
        <w:t xml:space="preserve"> (p. </w:t>
      </w:r>
      <w:fldSimple w:instr=" PAGEREF &quot;indivisibility&quot; \h ">
        <w:r>
          <w:t>117</w:t>
        </w:r>
      </w:fldSimple>
      <w:r>
        <w:t>)</w:t>
      </w:r>
      <w:r>
        <w:rPr>
          <w:b w:val="0"/>
          <w:i w:val="0"/>
        </w:rPr>
        <w:t xml:space="preserve"> · </w:t>
      </w:r>
      <w:hyperlink w:anchor="indwelling-and-presence">
        <w:r>
          <w:rPr>
            <w:color w:val="000000"/>
          </w:rPr>
          <w:t xml:space="preserve">Indwelling and presence</w:t>
        </w:r>
      </w:hyperlink>
      <w:r>
        <w:t xml:space="preserve"> (p. </w:t>
      </w:r>
      <w:fldSimple w:instr=" PAGEREF &quot;indwelling-and-presence&quot; \h ">
        <w:r>
          <w:t>118</w:t>
        </w:r>
      </w:fldSimple>
      <w:r>
        <w:t>)</w:t>
      </w:r>
      <w:r>
        <w:rPr>
          <w:b w:val="0"/>
          <w:i w:val="0"/>
        </w:rPr>
        <w:t xml:space="preserve"> · </w:t>
      </w:r>
      <w:hyperlink w:anchor="infection-lameness-and-lethe">
        <w:r>
          <w:rPr>
            <w:color w:val="000000"/>
          </w:rPr>
          <w:t xml:space="preserve">Infection, lameness and Lethe</w:t>
        </w:r>
      </w:hyperlink>
      <w:r>
        <w:t xml:space="preserve"> (p. </w:t>
      </w:r>
      <w:fldSimple w:instr=" PAGEREF &quot;infection-lameness-and-lethe&quot; \h ">
        <w:r>
          <w:t>120</w:t>
        </w:r>
      </w:fldSimple>
      <w:r>
        <w:t>)</w:t>
      </w:r>
      <w:r>
        <w:rPr>
          <w:b w:val="0"/>
          <w:i w:val="0"/>
        </w:rPr>
        <w:t xml:space="preserve"> · </w:t>
      </w:r>
      <w:hyperlink w:anchor="infinity">
        <w:r>
          <w:rPr>
            <w:color w:val="000000"/>
          </w:rPr>
          <w:t xml:space="preserve">Infinity</w:t>
        </w:r>
      </w:hyperlink>
      <w:r>
        <w:t xml:space="preserve"> (p. </w:t>
      </w:r>
      <w:fldSimple w:instr=" PAGEREF &quot;infinity&quot; \h ">
        <w:r>
          <w:t>120</w:t>
        </w:r>
      </w:fldSimple>
      <w:r>
        <w:t>)</w:t>
      </w:r>
      <w:r>
        <w:rPr>
          <w:b w:val="0"/>
          <w:i w:val="0"/>
        </w:rPr>
        <w:t xml:space="preserve"> · </w:t>
      </w:r>
      <w:hyperlink w:anchor="instrument">
        <w:r>
          <w:rPr>
            <w:color w:val="000000"/>
          </w:rPr>
          <w:t xml:space="preserve">Instrument</w:t>
        </w:r>
      </w:hyperlink>
      <w:r>
        <w:t xml:space="preserve"> (p. </w:t>
      </w:r>
      <w:fldSimple w:instr=" PAGEREF &quot;instrument&quot; \h ">
        <w:r>
          <w:t>122</w:t>
        </w:r>
      </w:fldSimple>
      <w:r>
        <w:t>)</w:t>
      </w:r>
      <w:r>
        <w:rPr>
          <w:b w:val="0"/>
          <w:i w:val="0"/>
        </w:rPr>
        <w:t xml:space="preserve"> · </w:t>
      </w:r>
      <w:hyperlink w:anchor="insults-and-rebuke">
        <w:r>
          <w:rPr>
            <w:color w:val="000000"/>
          </w:rPr>
          <w:t xml:space="preserve">Insults and rebuke</w:t>
        </w:r>
      </w:hyperlink>
      <w:r>
        <w:t xml:space="preserve"> (p. </w:t>
      </w:r>
      <w:fldSimple w:instr=" PAGEREF &quot;insults-and-rebuke&quot; \h ">
        <w:r>
          <w:t>124</w:t>
        </w:r>
      </w:fldSimple>
      <w:r>
        <w:t>)</w:t>
      </w:r>
      <w:r>
        <w:rPr>
          <w:b w:val="0"/>
          <w:i w:val="0"/>
        </w:rPr>
        <w:t xml:space="preserve"> · </w:t>
      </w:r>
      <w:hyperlink w:anchor="intellect-and-intellection">
        <w:r>
          <w:rPr>
            <w:color w:val="000000"/>
          </w:rPr>
          <w:t xml:space="preserve">Intellect and intellection</w:t>
        </w:r>
      </w:hyperlink>
      <w:r>
        <w:t xml:space="preserve"> (p. </w:t>
      </w:r>
      <w:fldSimple w:instr=" PAGEREF &quot;intellect-and-intellection&quot; \h ">
        <w:r>
          <w:t>125</w:t>
        </w:r>
      </w:fldSimple>
      <w:r>
        <w:t>)</w:t>
      </w:r>
      <w:r>
        <w:rPr>
          <w:b w:val="0"/>
          <w:i w:val="0"/>
        </w:rPr>
        <w:t xml:space="preserve"> · </w:t>
      </w:r>
      <w:hyperlink w:anchor="intellectual-and-animating-powers">
        <w:r>
          <w:rPr>
            <w:color w:val="000000"/>
          </w:rPr>
          <w:t xml:space="preserve">Intellectual and animating powers</w:t>
        </w:r>
      </w:hyperlink>
      <w:r>
        <w:t xml:space="preserve"> (p. </w:t>
      </w:r>
      <w:fldSimple w:instr=" PAGEREF &quot;intellectual-and-animating-powers&quot; \h ">
        <w:r>
          <w:t>126</w:t>
        </w:r>
      </w:fldSimple>
      <w:r>
        <w:t>)</w:t>
      </w:r>
      <w:r>
        <w:rPr>
          <w:b w:val="0"/>
          <w:i w:val="0"/>
        </w:rPr>
        <w:t xml:space="preserve"> · </w:t>
      </w:r>
      <w:hyperlink w:anchor="intention">
        <w:r>
          <w:rPr>
            <w:color w:val="000000"/>
          </w:rPr>
          <w:t xml:space="preserve">Intention</w:t>
        </w:r>
      </w:hyperlink>
      <w:r>
        <w:t xml:space="preserve"> (p. </w:t>
      </w:r>
      <w:fldSimple w:instr=" PAGEREF &quot;intention&quot; \h ">
        <w:r>
          <w:t>127</w:t>
        </w:r>
      </w:fldSimple>
      <w:r>
        <w:t>)</w:t>
      </w:r>
      <w:r>
        <w:rPr>
          <w:b w:val="0"/>
          <w:i w:val="0"/>
        </w:rPr>
        <w:t xml:space="preserve"> · </w:t>
      </w:r>
      <w:hyperlink w:anchor="intuition-and-comprehension">
        <w:r>
          <w:rPr>
            <w:color w:val="000000"/>
          </w:rPr>
          <w:t xml:space="preserve">Intuition and comprehension</w:t>
        </w:r>
      </w:hyperlink>
      <w:r>
        <w:t xml:space="preserve"> (p. </w:t>
      </w:r>
      <w:fldSimple w:instr=" PAGEREF &quot;intuition-and-comprehension&quot; \h ">
        <w:r>
          <w:t>128</w:t>
        </w:r>
      </w:fldSimple>
      <w:r>
        <w:t>)</w:t>
      </w:r>
      <w:r>
        <w:rPr>
          <w:b w:val="0"/>
          <w:i w:val="0"/>
        </w:rPr>
        <w:t xml:space="preserve"> · </w:t>
      </w:r>
      <w:hyperlink w:anchor="intuition-and-discourse">
        <w:r>
          <w:rPr>
            <w:color w:val="000000"/>
          </w:rPr>
          <w:t xml:space="preserve">Intuition and discourse</w:t>
        </w:r>
      </w:hyperlink>
      <w:r>
        <w:t xml:space="preserve"> (p. </w:t>
      </w:r>
      <w:fldSimple w:instr=" PAGEREF &quot;intuition-and-discourse&quot; \h ">
        <w:r>
          <w:t>129</w:t>
        </w:r>
      </w:fldSimple>
      <w:r>
        <w:t>)</w:t>
      </w:r>
    </w:p>
    <w:p>
      <w:pPr>
        <w:widowControl/>
      </w:pPr>
      <w:r>
        <w:rPr>
          <w:b/>
          <w:i w:val="0"/>
        </w:rPr>
        <w:t>J</w:t>
      </w:r>
      <w:r>
        <w:br/>
      </w:r>
      <w:hyperlink w:anchor="john-and-amelius">
        <w:r>
          <w:rPr>
            <w:color w:val="000000"/>
          </w:rPr>
          <w:t xml:space="preserve">John and Amelius</w:t>
        </w:r>
      </w:hyperlink>
      <w:r>
        <w:t xml:space="preserve"> (p. </w:t>
      </w:r>
      <w:fldSimple w:instr=" PAGEREF &quot;john-and-amelius&quot; \h ">
        <w:r>
          <w:t>130</w:t>
        </w:r>
      </w:fldSimple>
      <w:r>
        <w:t>)</w:t>
      </w:r>
    </w:p>
    <w:p>
      <w:pPr>
        <w:widowControl/>
      </w:pPr>
      <w:r>
        <w:rPr>
          <w:b/>
          <w:i w:val="0"/>
        </w:rPr>
        <w:t>K</w:t>
      </w:r>
      <w:r>
        <w:br/>
      </w:r>
      <w:hyperlink w:anchor="kinship-and-separation">
        <w:r>
          <w:rPr>
            <w:color w:val="000000"/>
          </w:rPr>
          <w:t xml:space="preserve">Kinship and separation</w:t>
        </w:r>
      </w:hyperlink>
      <w:r>
        <w:t xml:space="preserve"> (p. </w:t>
      </w:r>
      <w:fldSimple w:instr=" PAGEREF &quot;kinship-and-separation&quot; \h ">
        <w:r>
          <w:t>131</w:t>
        </w:r>
      </w:fldSimple>
      <w:r>
        <w:t>)</w:t>
      </w:r>
    </w:p>
    <w:p>
      <w:pPr>
        <w:widowControl/>
      </w:pPr>
      <w:r>
        <w:rPr>
          <w:b/>
          <w:i w:val="0"/>
        </w:rPr>
        <w:t>L</w:t>
      </w:r>
      <w:r>
        <w:br/>
      </w:r>
      <w:hyperlink w:anchor="least-natural-degree">
        <w:r>
          <w:rPr>
            <w:color w:val="000000"/>
          </w:rPr>
          <w:t xml:space="preserve">Least natural degree</w:t>
        </w:r>
      </w:hyperlink>
      <w:r>
        <w:t xml:space="preserve"> (p. </w:t>
      </w:r>
      <w:fldSimple w:instr=" PAGEREF &quot;least-natural-degree&quot; \h ">
        <w:r>
          <w:t>132</w:t>
        </w:r>
      </w:fldSimple>
      <w:r>
        <w:t>)</w:t>
      </w:r>
      <w:r>
        <w:rPr>
          <w:b w:val="0"/>
          <w:i w:val="0"/>
        </w:rPr>
        <w:t xml:space="preserve"> · </w:t>
      </w:r>
      <w:hyperlink w:anchor="leisure">
        <w:r>
          <w:rPr>
            <w:color w:val="000000"/>
          </w:rPr>
          <w:t xml:space="preserve">Leisure</w:t>
        </w:r>
      </w:hyperlink>
      <w:r>
        <w:t xml:space="preserve"> (p. </w:t>
      </w:r>
      <w:fldSimple w:instr=" PAGEREF &quot;leisure&quot; \h ">
        <w:r>
          <w:t>132</w:t>
        </w:r>
      </w:fldSimple>
      <w:r>
        <w:t>)</w:t>
      </w:r>
      <w:r>
        <w:rPr>
          <w:b w:val="0"/>
          <w:i w:val="0"/>
        </w:rPr>
        <w:t xml:space="preserve"> · </w:t>
      </w:r>
      <w:hyperlink w:anchor="life">
        <w:r>
          <w:rPr>
            <w:color w:val="000000"/>
          </w:rPr>
          <w:t xml:space="preserve">Life</w:t>
        </w:r>
      </w:hyperlink>
      <w:r>
        <w:t xml:space="preserve"> (p. </w:t>
      </w:r>
      <w:fldSimple w:instr=" PAGEREF &quot;life&quot; \h ">
        <w:r>
          <w:t>133</w:t>
        </w:r>
      </w:fldSimple>
      <w:r>
        <w:t>)</w:t>
      </w:r>
      <w:r>
        <w:rPr>
          <w:b w:val="0"/>
          <w:i w:val="0"/>
        </w:rPr>
        <w:t xml:space="preserve"> · </w:t>
      </w:r>
      <w:hyperlink w:anchor="light-and-illumination">
        <w:r>
          <w:rPr>
            <w:color w:val="000000"/>
          </w:rPr>
          <w:t xml:space="preserve">Light and illumination</w:t>
        </w:r>
      </w:hyperlink>
      <w:r>
        <w:t xml:space="preserve"> (p. </w:t>
      </w:r>
      <w:fldSimple w:instr=" PAGEREF &quot;light-and-illumination&quot; \h ">
        <w:r>
          <w:t>135</w:t>
        </w:r>
      </w:fldSimple>
      <w:r>
        <w:t>)</w:t>
      </w:r>
      <w:r>
        <w:rPr>
          <w:b w:val="0"/>
          <w:i w:val="0"/>
        </w:rPr>
        <w:t xml:space="preserve"> · </w:t>
      </w:r>
      <w:hyperlink w:anchor="looking-and-recognizing">
        <w:r>
          <w:rPr>
            <w:color w:val="000000"/>
          </w:rPr>
          <w:t xml:space="preserve">Looking and recognizing</w:t>
        </w:r>
      </w:hyperlink>
      <w:r>
        <w:t xml:space="preserve"> (p. </w:t>
      </w:r>
      <w:fldSimple w:instr=" PAGEREF &quot;looking-and-recognizing&quot; \h ">
        <w:r>
          <w:t>137</w:t>
        </w:r>
      </w:fldSimple>
      <w:r>
        <w:t>)</w:t>
      </w:r>
      <w:r>
        <w:rPr>
          <w:b w:val="0"/>
          <w:i w:val="0"/>
        </w:rPr>
        <w:t xml:space="preserve"> · </w:t>
      </w:r>
      <w:hyperlink w:anchor="lorenzo-dedication-and-public-authority">
        <w:r>
          <w:rPr>
            <w:color w:val="000000"/>
          </w:rPr>
          <w:t xml:space="preserve">Lorenzo, dedication and public authority</w:t>
        </w:r>
      </w:hyperlink>
      <w:r>
        <w:t xml:space="preserve"> (p. </w:t>
      </w:r>
      <w:fldSimple w:instr=" PAGEREF &quot;lorenzo-dedication-and-public-authority&quot; \h ">
        <w:r>
          <w:t>138</w:t>
        </w:r>
      </w:fldSimple>
      <w:r>
        <w:t>)</w:t>
      </w:r>
      <w:r>
        <w:rPr>
          <w:b w:val="0"/>
          <w:i w:val="0"/>
        </w:rPr>
        <w:t xml:space="preserve"> · </w:t>
      </w:r>
      <w:hyperlink w:anchor="love-and-pleasure">
        <w:r>
          <w:rPr>
            <w:color w:val="000000"/>
          </w:rPr>
          <w:t xml:space="preserve">Love and pleasure</w:t>
        </w:r>
      </w:hyperlink>
      <w:r>
        <w:t xml:space="preserve"> (p. </w:t>
      </w:r>
      <w:fldSimple w:instr=" PAGEREF &quot;love-and-pleasure&quot; \h ">
        <w:r>
          <w:t>138</w:t>
        </w:r>
      </w:fldSimple>
      <w:r>
        <w:t>)</w:t>
      </w:r>
      <w:r>
        <w:rPr>
          <w:b w:val="0"/>
          <w:i w:val="0"/>
        </w:rPr>
        <w:t xml:space="preserve"> · </w:t>
      </w:r>
      <w:hyperlink w:anchor="lucretius">
        <w:r>
          <w:rPr>
            <w:color w:val="000000"/>
          </w:rPr>
          <w:t xml:space="preserve">Lucretius</w:t>
        </w:r>
      </w:hyperlink>
      <w:r>
        <w:t xml:space="preserve"> (p. </w:t>
      </w:r>
      <w:fldSimple w:instr=" PAGEREF &quot;lucretius&quot; \h ">
        <w:r>
          <w:t>139</w:t>
        </w:r>
      </w:fldSimple>
      <w:r>
        <w:t>)</w:t>
      </w:r>
    </w:p>
    <w:p>
      <w:pPr>
        <w:widowControl/>
      </w:pPr>
      <w:r>
        <w:rPr>
          <w:b/>
          <w:i w:val="0"/>
        </w:rPr>
        <w:t>M</w:t>
      </w:r>
      <w:r>
        <w:br/>
      </w:r>
      <w:hyperlink w:anchor="manichaeans-and-gnostic-philosophers">
        <w:r>
          <w:rPr>
            <w:color w:val="000000"/>
          </w:rPr>
          <w:t xml:space="preserve">Manichaeans and Gnostic philosophers</w:t>
        </w:r>
      </w:hyperlink>
      <w:r>
        <w:t xml:space="preserve"> (p. </w:t>
      </w:r>
      <w:fldSimple w:instr=" PAGEREF &quot;manichaeans-and-gnostic-philosophers&quot; \h ">
        <w:r>
          <w:t>140</w:t>
        </w:r>
      </w:fldSimple>
      <w:r>
        <w:t>)</w:t>
      </w:r>
      <w:r>
        <w:rPr>
          <w:b w:val="0"/>
          <w:i w:val="0"/>
        </w:rPr>
        <w:t xml:space="preserve"> · </w:t>
      </w:r>
      <w:hyperlink w:anchor="matter">
        <w:r>
          <w:rPr>
            <w:color w:val="000000"/>
          </w:rPr>
          <w:t xml:space="preserve">Matter</w:t>
        </w:r>
      </w:hyperlink>
      <w:r>
        <w:t xml:space="preserve"> (p. </w:t>
      </w:r>
      <w:fldSimple w:instr=" PAGEREF &quot;matter&quot; \h ">
        <w:r>
          <w:t>141</w:t>
        </w:r>
      </w:fldSimple>
      <w:r>
        <w:t>)</w:t>
      </w:r>
      <w:r>
        <w:rPr>
          <w:b w:val="0"/>
          <w:i w:val="0"/>
        </w:rPr>
        <w:t xml:space="preserve"> · </w:t>
      </w:r>
      <w:hyperlink w:anchor="measure-and-degree">
        <w:r>
          <w:rPr>
            <w:color w:val="000000"/>
          </w:rPr>
          <w:t xml:space="preserve">Measure and degree</w:t>
        </w:r>
      </w:hyperlink>
      <w:r>
        <w:t xml:space="preserve"> (p. </w:t>
      </w:r>
      <w:fldSimple w:instr=" PAGEREF &quot;measure-and-degree&quot; \h ">
        <w:r>
          <w:t>142</w:t>
        </w:r>
      </w:fldSimple>
      <w:r>
        <w:t>)</w:t>
      </w:r>
      <w:r>
        <w:rPr>
          <w:b w:val="0"/>
          <w:i w:val="0"/>
        </w:rPr>
        <w:t xml:space="preserve"> · </w:t>
      </w:r>
      <w:hyperlink w:anchor="mind">
        <w:r>
          <w:rPr>
            <w:color w:val="000000"/>
          </w:rPr>
          <w:t xml:space="preserve">Mind</w:t>
        </w:r>
      </w:hyperlink>
      <w:r>
        <w:t xml:space="preserve"> (p. </w:t>
      </w:r>
      <w:fldSimple w:instr=" PAGEREF &quot;mind&quot; \h ">
        <w:r>
          <w:t>143</w:t>
        </w:r>
      </w:fldSimple>
      <w:r>
        <w:t>)</w:t>
      </w:r>
      <w:r>
        <w:rPr>
          <w:b w:val="0"/>
          <w:i w:val="0"/>
        </w:rPr>
        <w:t xml:space="preserve"> · </w:t>
      </w:r>
      <w:hyperlink w:anchor="motion-and-stability">
        <w:r>
          <w:rPr>
            <w:color w:val="000000"/>
          </w:rPr>
          <w:t xml:space="preserve">Motion and stability</w:t>
        </w:r>
      </w:hyperlink>
      <w:r>
        <w:t xml:space="preserve"> (p. </w:t>
      </w:r>
      <w:fldSimple w:instr=" PAGEREF &quot;motion-and-stability&quot; \h ">
        <w:r>
          <w:t>145</w:t>
        </w:r>
      </w:fldSimple>
      <w:r>
        <w:t>)</w:t>
      </w:r>
    </w:p>
    <w:p>
      <w:pPr>
        <w:widowControl/>
      </w:pPr>
      <w:r>
        <w:rPr>
          <w:b/>
          <w:i w:val="0"/>
        </w:rPr>
        <w:t>N</w:t>
      </w:r>
      <w:r>
        <w:br/>
      </w:r>
      <w:hyperlink w:anchor="naming-and-defining">
        <w:r>
          <w:rPr>
            <w:color w:val="000000"/>
          </w:rPr>
          <w:t xml:space="preserve">Naming and defining</w:t>
        </w:r>
      </w:hyperlink>
      <w:r>
        <w:t xml:space="preserve"> (p. </w:t>
      </w:r>
      <w:fldSimple w:instr=" PAGEREF &quot;naming-and-defining&quot; \h ">
        <w:r>
          <w:t>147</w:t>
        </w:r>
      </w:fldSimple>
      <w:r>
        <w:t>)</w:t>
      </w:r>
      <w:r>
        <w:rPr>
          <w:b w:val="0"/>
          <w:i w:val="0"/>
        </w:rPr>
        <w:t xml:space="preserve"> · </w:t>
      </w:r>
      <w:hyperlink w:anchor="naming-by-cause">
        <w:r>
          <w:rPr>
            <w:color w:val="000000"/>
          </w:rPr>
          <w:t xml:space="preserve">Naming by cause</w:t>
        </w:r>
      </w:hyperlink>
      <w:r>
        <w:t xml:space="preserve"> (p. </w:t>
      </w:r>
      <w:fldSimple w:instr=" PAGEREF &quot;naming-by-cause&quot; \h ">
        <w:r>
          <w:t>148</w:t>
        </w:r>
      </w:fldSimple>
      <w:r>
        <w:t>)</w:t>
      </w:r>
      <w:r>
        <w:rPr>
          <w:b w:val="0"/>
          <w:i w:val="0"/>
        </w:rPr>
        <w:t xml:space="preserve"> · </w:t>
      </w:r>
      <w:hyperlink w:anchor="natural-motion-and-natural-place">
        <w:r>
          <w:rPr>
            <w:color w:val="000000"/>
          </w:rPr>
          <w:t xml:space="preserve">Natural motion and natural place</w:t>
        </w:r>
      </w:hyperlink>
      <w:r>
        <w:t xml:space="preserve"> (p. </w:t>
      </w:r>
      <w:fldSimple w:instr=" PAGEREF &quot;natural-motion-and-natural-place&quot; \h ">
        <w:r>
          <w:t>149</w:t>
        </w:r>
      </w:fldSimple>
      <w:r>
        <w:t>)</w:t>
      </w:r>
      <w:r>
        <w:rPr>
          <w:b w:val="0"/>
          <w:i w:val="0"/>
        </w:rPr>
        <w:t xml:space="preserve"> · </w:t>
      </w:r>
      <w:hyperlink w:anchor="natural-species-and-succession">
        <w:r>
          <w:rPr>
            <w:color w:val="000000"/>
          </w:rPr>
          <w:t xml:space="preserve">Natural species and succession</w:t>
        </w:r>
      </w:hyperlink>
      <w:r>
        <w:t xml:space="preserve"> (p. </w:t>
      </w:r>
      <w:fldSimple w:instr=" PAGEREF &quot;natural-species-and-succession&quot; \h ">
        <w:r>
          <w:t>151</w:t>
        </w:r>
      </w:fldSimple>
      <w:r>
        <w:t>)</w:t>
      </w:r>
      <w:r>
        <w:rPr>
          <w:b w:val="0"/>
          <w:i w:val="0"/>
        </w:rPr>
        <w:t xml:space="preserve"> · </w:t>
      </w:r>
      <w:hyperlink w:anchor="need-and-sufficiency">
        <w:r>
          <w:rPr>
            <w:color w:val="000000"/>
          </w:rPr>
          <w:t xml:space="preserve">Need and sufficiency</w:t>
        </w:r>
      </w:hyperlink>
      <w:r>
        <w:t xml:space="preserve"> (p. </w:t>
      </w:r>
      <w:fldSimple w:instr=" PAGEREF &quot;need-and-sufficiency&quot; \h ">
        <w:r>
          <w:t>152</w:t>
        </w:r>
      </w:fldSimple>
      <w:r>
        <w:t>)</w:t>
      </w:r>
      <w:r>
        <w:rPr>
          <w:b w:val="0"/>
          <w:i w:val="0"/>
        </w:rPr>
        <w:t xml:space="preserve"> · </w:t>
      </w:r>
      <w:hyperlink w:anchor="nothing-and-nonbeing">
        <w:r>
          <w:rPr>
            <w:color w:val="000000"/>
          </w:rPr>
          <w:t xml:space="preserve">Nothing and nonbeing</w:t>
        </w:r>
      </w:hyperlink>
      <w:r>
        <w:t xml:space="preserve"> (p. </w:t>
      </w:r>
      <w:fldSimple w:instr=" PAGEREF &quot;nothing-and-nonbeing&quot; \h ">
        <w:r>
          <w:t>153</w:t>
        </w:r>
      </w:fldSimple>
      <w:r>
        <w:t>)</w:t>
      </w:r>
      <w:r>
        <w:rPr>
          <w:b w:val="0"/>
          <w:i w:val="0"/>
        </w:rPr>
        <w:t xml:space="preserve"> · </w:t>
      </w:r>
      <w:hyperlink w:anchor="nourishment-digestion-and-growth">
        <w:r>
          <w:rPr>
            <w:color w:val="000000"/>
          </w:rPr>
          <w:t xml:space="preserve">Nourishment, digestion and growth</w:t>
        </w:r>
      </w:hyperlink>
      <w:r>
        <w:t xml:space="preserve"> (p. </w:t>
      </w:r>
      <w:fldSimple w:instr=" PAGEREF &quot;nourishment-digestion-and-growth&quot; \h ">
        <w:r>
          <w:t>154</w:t>
        </w:r>
      </w:fldSimple>
      <w:r>
        <w:t>)</w:t>
      </w:r>
      <w:r>
        <w:rPr>
          <w:b w:val="0"/>
          <w:i w:val="0"/>
        </w:rPr>
        <w:t xml:space="preserve"> · </w:t>
      </w:r>
      <w:hyperlink w:anchor="number">
        <w:r>
          <w:rPr>
            <w:color w:val="000000"/>
          </w:rPr>
          <w:t xml:space="preserve">Number</w:t>
        </w:r>
      </w:hyperlink>
      <w:r>
        <w:t xml:space="preserve"> (p. </w:t>
      </w:r>
      <w:fldSimple w:instr=" PAGEREF &quot;number&quot; \h ">
        <w:r>
          <w:t>156</w:t>
        </w:r>
      </w:fldSimple>
      <w:r>
        <w:t>)</w:t>
      </w:r>
    </w:p>
    <w:p>
      <w:pPr>
        <w:widowControl/>
      </w:pPr>
      <w:r>
        <w:rPr>
          <w:b/>
          <w:i w:val="0"/>
        </w:rPr>
        <w:t>O</w:t>
      </w:r>
      <w:r>
        <w:br/>
      </w:r>
      <w:hyperlink w:anchor="object-and-adequate-object">
        <w:r>
          <w:rPr>
            <w:color w:val="000000"/>
          </w:rPr>
          <w:t xml:space="preserve">Object and adequate object</w:t>
        </w:r>
      </w:hyperlink>
      <w:r>
        <w:t xml:space="preserve"> (p. </w:t>
      </w:r>
      <w:fldSimple w:instr=" PAGEREF &quot;object-and-adequate-object&quot; \h ">
        <w:r>
          <w:t>157</w:t>
        </w:r>
      </w:fldSimple>
      <w:r>
        <w:t>)</w:t>
      </w:r>
      <w:r>
        <w:rPr>
          <w:b w:val="0"/>
          <w:i w:val="0"/>
        </w:rPr>
        <w:t xml:space="preserve"> · </w:t>
      </w:r>
      <w:hyperlink w:anchor="omnipresence-and-place">
        <w:r>
          <w:rPr>
            <w:color w:val="000000"/>
          </w:rPr>
          <w:t xml:space="preserve">Omnipresence and place</w:t>
        </w:r>
      </w:hyperlink>
      <w:r>
        <w:t xml:space="preserve"> (p. </w:t>
      </w:r>
      <w:fldSimple w:instr=" PAGEREF &quot;omnipresence-and-place&quot; \h ">
        <w:r>
          <w:t>158</w:t>
        </w:r>
      </w:fldSimple>
      <w:r>
        <w:t>)</w:t>
      </w:r>
      <w:r>
        <w:rPr>
          <w:b w:val="0"/>
          <w:i w:val="0"/>
        </w:rPr>
        <w:t xml:space="preserve"> · </w:t>
      </w:r>
      <w:hyperlink w:anchor="order-and-harmony">
        <w:r>
          <w:rPr>
            <w:color w:val="000000"/>
          </w:rPr>
          <w:t xml:space="preserve">Order and harmony</w:t>
        </w:r>
      </w:hyperlink>
      <w:r>
        <w:t xml:space="preserve"> (p. </w:t>
      </w:r>
      <w:fldSimple w:instr=" PAGEREF &quot;order-and-harmony&quot; \h ">
        <w:r>
          <w:t>160</w:t>
        </w:r>
      </w:fldSimple>
      <w:r>
        <w:t>)</w:t>
      </w:r>
      <w:r>
        <w:rPr>
          <w:b w:val="0"/>
          <w:i w:val="0"/>
        </w:rPr>
        <w:t xml:space="preserve"> · </w:t>
      </w:r>
      <w:hyperlink w:anchor="orpheus-and-divine-names">
        <w:r>
          <w:rPr>
            <w:color w:val="000000"/>
          </w:rPr>
          <w:t xml:space="preserve">Orpheus and divine names</w:t>
        </w:r>
      </w:hyperlink>
      <w:r>
        <w:t xml:space="preserve"> (p. </w:t>
      </w:r>
      <w:fldSimple w:instr=" PAGEREF &quot;orpheus-and-divine-names&quot; \h ">
        <w:r>
          <w:t>161</w:t>
        </w:r>
      </w:fldSimple>
      <w:r>
        <w:t>)</w:t>
      </w:r>
      <w:r>
        <w:rPr>
          <w:b w:val="0"/>
          <w:i w:val="0"/>
        </w:rPr>
        <w:t xml:space="preserve"> · </w:t>
      </w:r>
      <w:hyperlink w:anchor="ostrich-and-egg">
        <w:r>
          <w:rPr>
            <w:color w:val="000000"/>
          </w:rPr>
          <w:t xml:space="preserve">Ostrich and egg</w:t>
        </w:r>
      </w:hyperlink>
      <w:r>
        <w:t xml:space="preserve"> (p. </w:t>
      </w:r>
      <w:fldSimple w:instr=" PAGEREF &quot;ostrich-and-egg&quot; \h ">
        <w:r>
          <w:t>162</w:t>
        </w:r>
      </w:fldSimple>
      <w:r>
        <w:t>)</w:t>
      </w:r>
    </w:p>
    <w:p>
      <w:pPr>
        <w:widowControl/>
      </w:pPr>
      <w:r>
        <w:rPr>
          <w:b/>
          <w:i w:val="0"/>
        </w:rPr>
        <w:t>P</w:t>
      </w:r>
      <w:r>
        <w:br/>
      </w:r>
      <w:hyperlink w:anchor="parmenides-and-the-summary-formula">
        <w:r>
          <w:rPr>
            <w:color w:val="000000"/>
          </w:rPr>
          <w:t xml:space="preserve">Parmenides and the summary formula</w:t>
        </w:r>
      </w:hyperlink>
      <w:r>
        <w:t xml:space="preserve"> (p. </w:t>
      </w:r>
      <w:fldSimple w:instr=" PAGEREF &quot;parmenides-and-the-summary-formula&quot; \h ">
        <w:r>
          <w:t>163</w:t>
        </w:r>
      </w:fldSimple>
      <w:r>
        <w:t>)</w:t>
      </w:r>
      <w:r>
        <w:rPr>
          <w:b w:val="0"/>
          <w:i w:val="0"/>
        </w:rPr>
        <w:t xml:space="preserve"> · </w:t>
      </w:r>
      <w:hyperlink w:anchor="participation">
        <w:r>
          <w:rPr>
            <w:color w:val="000000"/>
          </w:rPr>
          <w:t xml:space="preserve">Participation</w:t>
        </w:r>
      </w:hyperlink>
      <w:r>
        <w:t xml:space="preserve"> (p. </w:t>
      </w:r>
      <w:fldSimple w:instr=" PAGEREF &quot;participation&quot; \h ">
        <w:r>
          <w:t>163</w:t>
        </w:r>
      </w:fldSimple>
      <w:r>
        <w:t>)</w:t>
      </w:r>
      <w:r>
        <w:rPr>
          <w:b w:val="0"/>
          <w:i w:val="0"/>
        </w:rPr>
        <w:t xml:space="preserve"> · </w:t>
      </w:r>
      <w:hyperlink w:anchor="paths-and-prescribed-ends">
        <w:r>
          <w:rPr>
            <w:color w:val="000000"/>
          </w:rPr>
          <w:t xml:space="preserve">Paths and prescribed ends</w:t>
        </w:r>
      </w:hyperlink>
      <w:r>
        <w:t xml:space="preserve"> (p. </w:t>
      </w:r>
      <w:fldSimple w:instr=" PAGEREF &quot;paths-and-prescribed-ends&quot; \h ">
        <w:r>
          <w:t>165</w:t>
        </w:r>
      </w:fldSimple>
      <w:r>
        <w:t>)</w:t>
      </w:r>
      <w:r>
        <w:rPr>
          <w:b w:val="0"/>
          <w:i w:val="0"/>
        </w:rPr>
        <w:t xml:space="preserve"> · </w:t>
      </w:r>
      <w:hyperlink w:anchor="perfection">
        <w:r>
          <w:rPr>
            <w:color w:val="000000"/>
          </w:rPr>
          <w:t xml:space="preserve">Perfection</w:t>
        </w:r>
      </w:hyperlink>
      <w:r>
        <w:t xml:space="preserve"> (p. </w:t>
      </w:r>
      <w:fldSimple w:instr=" PAGEREF &quot;perfection&quot; \h ">
        <w:r>
          <w:t>165</w:t>
        </w:r>
      </w:fldSimple>
      <w:r>
        <w:t>)</w:t>
      </w:r>
      <w:r>
        <w:rPr>
          <w:b w:val="0"/>
          <w:i w:val="0"/>
        </w:rPr>
        <w:t xml:space="preserve"> · </w:t>
      </w:r>
      <w:hyperlink w:anchor="permanence-and-the-hour-test">
        <w:r>
          <w:rPr>
            <w:color w:val="000000"/>
          </w:rPr>
          <w:t xml:space="preserve">Permanence and the hour test</w:t>
        </w:r>
      </w:hyperlink>
      <w:r>
        <w:t xml:space="preserve"> (p. </w:t>
      </w:r>
      <w:fldSimple w:instr=" PAGEREF &quot;permanence-and-the-hour-test&quot; \h ">
        <w:r>
          <w:t>167</w:t>
        </w:r>
      </w:fldSimple>
      <w:r>
        <w:t>)</w:t>
      </w:r>
      <w:r>
        <w:rPr>
          <w:b w:val="0"/>
          <w:i w:val="0"/>
        </w:rPr>
        <w:t xml:space="preserve"> · </w:t>
      </w:r>
      <w:hyperlink w:anchor="persuasion-and-compulsion">
        <w:r>
          <w:rPr>
            <w:color w:val="000000"/>
          </w:rPr>
          <w:t xml:space="preserve">Persuasion and compulsion</w:t>
        </w:r>
      </w:hyperlink>
      <w:r>
        <w:t xml:space="preserve"> (p. </w:t>
      </w:r>
      <w:fldSimple w:instr=" PAGEREF &quot;persuasion-and-compulsion&quot; \h ">
        <w:r>
          <w:t>168</w:t>
        </w:r>
      </w:fldSimple>
      <w:r>
        <w:t>)</w:t>
      </w:r>
      <w:r>
        <w:rPr>
          <w:b w:val="0"/>
          <w:i w:val="0"/>
        </w:rPr>
        <w:t xml:space="preserve"> · </w:t>
      </w:r>
      <w:hyperlink w:anchor="philosophers-and-stopping-points">
        <w:r>
          <w:rPr>
            <w:color w:val="000000"/>
          </w:rPr>
          <w:t xml:space="preserve">Philosophers and stopping points</w:t>
        </w:r>
      </w:hyperlink>
      <w:r>
        <w:t xml:space="preserve"> (p. </w:t>
      </w:r>
      <w:fldSimple w:instr=" PAGEREF &quot;philosophers-and-stopping-points&quot; \h ">
        <w:r>
          <w:t>168</w:t>
        </w:r>
      </w:fldSimple>
      <w:r>
        <w:t>)</w:t>
      </w:r>
      <w:r>
        <w:rPr>
          <w:b w:val="0"/>
          <w:i w:val="0"/>
        </w:rPr>
        <w:t xml:space="preserve"> · </w:t>
      </w:r>
      <w:hyperlink w:anchor="philosophy-and-theology">
        <w:r>
          <w:rPr>
            <w:color w:val="000000"/>
          </w:rPr>
          <w:t xml:space="preserve">Philosophy and theology</w:t>
        </w:r>
      </w:hyperlink>
      <w:r>
        <w:t xml:space="preserve"> (p. </w:t>
      </w:r>
      <w:fldSimple w:instr=" PAGEREF &quot;philosophy-and-theology&quot; \h ">
        <w:r>
          <w:t>169</w:t>
        </w:r>
      </w:fldSimple>
      <w:r>
        <w:t>)</w:t>
      </w:r>
      <w:r>
        <w:rPr>
          <w:b w:val="0"/>
          <w:i w:val="0"/>
        </w:rPr>
        <w:t xml:space="preserve"> · </w:t>
      </w:r>
      <w:hyperlink w:anchor="point-and-position">
        <w:r>
          <w:rPr>
            <w:color w:val="000000"/>
          </w:rPr>
          <w:t xml:space="preserve">Point and position</w:t>
        </w:r>
      </w:hyperlink>
      <w:r>
        <w:t xml:space="preserve"> (p. </w:t>
      </w:r>
      <w:fldSimple w:instr=" PAGEREF &quot;point-and-position&quot; \h ">
        <w:r>
          <w:t>170</w:t>
        </w:r>
      </w:fldSimple>
      <w:r>
        <w:t>)</w:t>
      </w:r>
      <w:r>
        <w:rPr>
          <w:b w:val="0"/>
          <w:i w:val="0"/>
        </w:rPr>
        <w:t xml:space="preserve"> · </w:t>
      </w:r>
      <w:hyperlink w:anchor="point-position-and-mathematical-ascent">
        <w:r>
          <w:rPr>
            <w:color w:val="000000"/>
          </w:rPr>
          <w:t xml:space="preserve">Point, position and mathematical ascent</w:t>
        </w:r>
      </w:hyperlink>
      <w:r>
        <w:t xml:space="preserve"> (p. </w:t>
      </w:r>
      <w:fldSimple w:instr=" PAGEREF &quot;point-position-and-mathematical-ascent&quot; \h ">
        <w:r>
          <w:t>171</w:t>
        </w:r>
      </w:fldSimple>
      <w:r>
        <w:t>)</w:t>
      </w:r>
      <w:r>
        <w:rPr>
          <w:b w:val="0"/>
          <w:i w:val="0"/>
        </w:rPr>
        <w:t xml:space="preserve"> · </w:t>
      </w:r>
      <w:hyperlink w:anchor="possession-and-privation">
        <w:r>
          <w:rPr>
            <w:color w:val="000000"/>
          </w:rPr>
          <w:t xml:space="preserve">Possession and privation</w:t>
        </w:r>
      </w:hyperlink>
      <w:r>
        <w:t xml:space="preserve"> (p. </w:t>
      </w:r>
      <w:fldSimple w:instr=" PAGEREF &quot;possession-and-privation&quot; \h ">
        <w:r>
          <w:t>172</w:t>
        </w:r>
      </w:fldSimple>
      <w:r>
        <w:t>)</w:t>
      </w:r>
      <w:r>
        <w:rPr>
          <w:b w:val="0"/>
          <w:i w:val="0"/>
        </w:rPr>
        <w:t xml:space="preserve"> · </w:t>
      </w:r>
      <w:hyperlink w:anchor="power-and-potency">
        <w:r>
          <w:rPr>
            <w:color w:val="000000"/>
          </w:rPr>
          <w:t xml:space="preserve">Power and potency</w:t>
        </w:r>
      </w:hyperlink>
      <w:r>
        <w:t xml:space="preserve"> (p. </w:t>
      </w:r>
      <w:fldSimple w:instr=" PAGEREF &quot;power-and-potency&quot; \h ">
        <w:r>
          <w:t>172</w:t>
        </w:r>
      </w:fldSimple>
      <w:r>
        <w:t>)</w:t>
      </w:r>
      <w:r>
        <w:rPr>
          <w:b w:val="0"/>
          <w:i w:val="0"/>
        </w:rPr>
        <w:t xml:space="preserve"> · </w:t>
      </w:r>
      <w:hyperlink w:anchor="precedence-and-causal-regress">
        <w:r>
          <w:rPr>
            <w:color w:val="000000"/>
          </w:rPr>
          <w:t xml:space="preserve">Precedence and causal regress</w:t>
        </w:r>
      </w:hyperlink>
      <w:r>
        <w:t xml:space="preserve"> (p. </w:t>
      </w:r>
      <w:fldSimple w:instr=" PAGEREF &quot;precedence-and-causal-regress&quot; \h ">
        <w:r>
          <w:t>174</w:t>
        </w:r>
      </w:fldSimple>
      <w:r>
        <w:t>)</w:t>
      </w:r>
      <w:r>
        <w:rPr>
          <w:b w:val="0"/>
          <w:i w:val="0"/>
        </w:rPr>
        <w:t xml:space="preserve"> · </w:t>
      </w:r>
      <w:hyperlink w:anchor="precious-and-lowly">
        <w:r>
          <w:rPr>
            <w:color w:val="000000"/>
          </w:rPr>
          <w:t xml:space="preserve">Precious and lowly</w:t>
        </w:r>
      </w:hyperlink>
      <w:r>
        <w:t xml:space="preserve"> (p. </w:t>
      </w:r>
      <w:fldSimple w:instr=" PAGEREF &quot;precious-and-lowly&quot; \h ">
        <w:r>
          <w:t>175</w:t>
        </w:r>
      </w:fldSimple>
      <w:r>
        <w:t>)</w:t>
      </w:r>
      <w:r>
        <w:rPr>
          <w:b w:val="0"/>
          <w:i w:val="0"/>
        </w:rPr>
        <w:t xml:space="preserve"> · </w:t>
      </w:r>
      <w:hyperlink w:anchor="principle">
        <w:r>
          <w:rPr>
            <w:color w:val="000000"/>
          </w:rPr>
          <w:t xml:space="preserve">Principle</w:t>
        </w:r>
      </w:hyperlink>
      <w:r>
        <w:t xml:space="preserve"> (p. </w:t>
      </w:r>
      <w:fldSimple w:instr=" PAGEREF &quot;principle&quot; \h ">
        <w:r>
          <w:t>176</w:t>
        </w:r>
      </w:fldSimple>
      <w:r>
        <w:t>)</w:t>
      </w:r>
      <w:r>
        <w:rPr>
          <w:b w:val="0"/>
          <w:i w:val="0"/>
        </w:rPr>
        <w:t xml:space="preserve"> · </w:t>
      </w:r>
      <w:hyperlink w:anchor="prison-and-homeland">
        <w:r>
          <w:rPr>
            <w:color w:val="000000"/>
          </w:rPr>
          <w:t xml:space="preserve">Prison and homeland</w:t>
        </w:r>
      </w:hyperlink>
      <w:r>
        <w:t xml:space="preserve"> (p. </w:t>
      </w:r>
      <w:fldSimple w:instr=" PAGEREF &quot;prison-and-homeland&quot; \h ">
        <w:r>
          <w:t>177</w:t>
        </w:r>
      </w:fldSimple>
      <w:r>
        <w:t>)</w:t>
      </w:r>
      <w:r>
        <w:rPr>
          <w:b w:val="0"/>
          <w:i w:val="0"/>
        </w:rPr>
        <w:t xml:space="preserve"> · </w:t>
      </w:r>
      <w:hyperlink w:anchor="procession-and-return">
        <w:r>
          <w:rPr>
            <w:color w:val="000000"/>
          </w:rPr>
          <w:t xml:space="preserve">Procession and return</w:t>
        </w:r>
      </w:hyperlink>
      <w:r>
        <w:t xml:space="preserve"> (p. </w:t>
      </w:r>
      <w:fldSimple w:instr=" PAGEREF &quot;procession-and-return&quot; \h ">
        <w:r>
          <w:t>178</w:t>
        </w:r>
      </w:fldSimple>
      <w:r>
        <w:t>)</w:t>
      </w:r>
      <w:r>
        <w:rPr>
          <w:b w:val="0"/>
          <w:i w:val="0"/>
        </w:rPr>
        <w:t xml:space="preserve"> · </w:t>
      </w:r>
      <w:hyperlink w:anchor="proclus-syrianus-and-extending-matter">
        <w:r>
          <w:rPr>
            <w:color w:val="000000"/>
          </w:rPr>
          <w:t xml:space="preserve">Proclus, Syrianus and extending matter</w:t>
        </w:r>
      </w:hyperlink>
      <w:r>
        <w:t xml:space="preserve"> (p. </w:t>
      </w:r>
      <w:fldSimple w:instr=" PAGEREF &quot;proclus-syrianus-and-extending-matter&quot; \h ">
        <w:r>
          <w:t>179</w:t>
        </w:r>
      </w:fldSimple>
      <w:r>
        <w:t>)</w:t>
      </w:r>
      <w:r>
        <w:rPr>
          <w:b w:val="0"/>
          <w:i w:val="0"/>
        </w:rPr>
        <w:t xml:space="preserve"> · </w:t>
      </w:r>
      <w:hyperlink w:anchor="productive-and-designing-power">
        <w:r>
          <w:rPr>
            <w:color w:val="000000"/>
          </w:rPr>
          <w:t xml:space="preserve">Productive and designing power</w:t>
        </w:r>
      </w:hyperlink>
      <w:r>
        <w:t xml:space="preserve"> (p. </w:t>
      </w:r>
      <w:fldSimple w:instr=" PAGEREF &quot;productive-and-designing-power&quot; \h ">
        <w:r>
          <w:t>180</w:t>
        </w:r>
      </w:fldSimple>
      <w:r>
        <w:t>)</w:t>
      </w:r>
      <w:r>
        <w:rPr>
          <w:b w:val="0"/>
          <w:i w:val="0"/>
        </w:rPr>
        <w:t xml:space="preserve"> · </w:t>
      </w:r>
      <w:hyperlink w:anchor="proof-signs-and-qualification">
        <w:r>
          <w:rPr>
            <w:color w:val="000000"/>
          </w:rPr>
          <w:t xml:space="preserve">Proof, signs and qualification</w:t>
        </w:r>
      </w:hyperlink>
      <w:r>
        <w:t xml:space="preserve"> (p. </w:t>
      </w:r>
      <w:fldSimple w:instr=" PAGEREF &quot;proof-signs-and-qualification&quot; \h ">
        <w:r>
          <w:t>181</w:t>
        </w:r>
      </w:fldSimple>
      <w:r>
        <w:t>)</w:t>
      </w:r>
      <w:r>
        <w:rPr>
          <w:b w:val="0"/>
          <w:i w:val="0"/>
        </w:rPr>
        <w:t xml:space="preserve"> · </w:t>
      </w:r>
      <w:hyperlink w:anchor="proportion-and-analogy">
        <w:r>
          <w:rPr>
            <w:color w:val="000000"/>
          </w:rPr>
          <w:t xml:space="preserve">Proportion and analogy</w:t>
        </w:r>
      </w:hyperlink>
      <w:r>
        <w:t xml:space="preserve"> (p. </w:t>
      </w:r>
      <w:fldSimple w:instr=" PAGEREF &quot;proportion-and-analogy&quot; \h ">
        <w:r>
          <w:t>181</w:t>
        </w:r>
      </w:fldSimple>
      <w:r>
        <w:t>)</w:t>
      </w:r>
      <w:r>
        <w:rPr>
          <w:b w:val="0"/>
          <w:i w:val="0"/>
        </w:rPr>
        <w:t xml:space="preserve"> · </w:t>
      </w:r>
      <w:hyperlink w:anchor="proteus">
        <w:r>
          <w:rPr>
            <w:color w:val="000000"/>
          </w:rPr>
          <w:t xml:space="preserve">Proteus</w:t>
        </w:r>
      </w:hyperlink>
      <w:r>
        <w:t xml:space="preserve"> (p. </w:t>
      </w:r>
      <w:fldSimple w:instr=" PAGEREF &quot;proteus&quot; \h ">
        <w:r>
          <w:t>182</w:t>
        </w:r>
      </w:fldSimple>
      <w:r>
        <w:t>)</w:t>
      </w:r>
      <w:r>
        <w:rPr>
          <w:b w:val="0"/>
          <w:i w:val="0"/>
        </w:rPr>
        <w:t xml:space="preserve"> · </w:t>
      </w:r>
      <w:hyperlink w:anchor="providence">
        <w:r>
          <w:rPr>
            <w:color w:val="000000"/>
          </w:rPr>
          <w:t xml:space="preserve">Providence</w:t>
        </w:r>
      </w:hyperlink>
      <w:r>
        <w:t xml:space="preserve"> (p. </w:t>
      </w:r>
      <w:fldSimple w:instr=" PAGEREF &quot;providence&quot; \h ">
        <w:r>
          <w:t>183</w:t>
        </w:r>
      </w:fldSimple>
      <w:r>
        <w:t>)</w:t>
      </w:r>
      <w:r>
        <w:rPr>
          <w:b w:val="0"/>
          <w:i w:val="0"/>
        </w:rPr>
        <w:t xml:space="preserve"> · </w:t>
      </w:r>
      <w:hyperlink w:anchor="nourishment-and-provision">
        <w:r>
          <w:rPr>
            <w:color w:val="000000"/>
          </w:rPr>
          <w:t xml:space="preserve">Providential provision</w:t>
        </w:r>
      </w:hyperlink>
      <w:r>
        <w:t xml:space="preserve"> (p. </w:t>
      </w:r>
      <w:fldSimple w:instr=" PAGEREF &quot;nourishment-and-provision&quot; \h ">
        <w:r>
          <w:t>184</w:t>
        </w:r>
      </w:fldSimple>
      <w:r>
        <w:t>)</w:t>
      </w:r>
      <w:r>
        <w:rPr>
          <w:b w:val="0"/>
          <w:i w:val="0"/>
        </w:rPr>
        <w:t xml:space="preserve"> · </w:t>
      </w:r>
      <w:hyperlink w:anchor="proximity-and-causal-presence">
        <w:r>
          <w:rPr>
            <w:color w:val="000000"/>
          </w:rPr>
          <w:t xml:space="preserve">Proximity and causal presence</w:t>
        </w:r>
      </w:hyperlink>
      <w:r>
        <w:t xml:space="preserve"> (p. </w:t>
      </w:r>
      <w:fldSimple w:instr=" PAGEREF &quot;proximity-and-causal-presence&quot; \h ">
        <w:r>
          <w:t>185</w:t>
        </w:r>
      </w:fldSimple>
      <w:r>
        <w:t>)</w:t>
      </w:r>
      <w:r>
        <w:rPr>
          <w:b w:val="0"/>
          <w:i w:val="0"/>
        </w:rPr>
        <w:t xml:space="preserve"> · </w:t>
      </w:r>
      <w:hyperlink w:anchor="purity-and-mixture">
        <w:r>
          <w:rPr>
            <w:color w:val="000000"/>
          </w:rPr>
          <w:t xml:space="preserve">Purity and mixture</w:t>
        </w:r>
      </w:hyperlink>
      <w:r>
        <w:t xml:space="preserve"> (p. </w:t>
      </w:r>
      <w:fldSimple w:instr=" PAGEREF &quot;purity-and-mixture&quot; \h ">
        <w:r>
          <w:t>186</w:t>
        </w:r>
      </w:fldSimple>
      <w:r>
        <w:t>)</w:t>
      </w:r>
      <w:r>
        <w:rPr>
          <w:b w:val="0"/>
          <w:i w:val="0"/>
        </w:rPr>
        <w:t xml:space="preserve"> · </w:t>
      </w:r>
      <w:hyperlink w:anchor="putrefaction-and-propagation">
        <w:r>
          <w:rPr>
            <w:color w:val="000000"/>
          </w:rPr>
          <w:t xml:space="preserve">Putrefaction and propagation</w:t>
        </w:r>
      </w:hyperlink>
      <w:r>
        <w:t xml:space="preserve"> (p. </w:t>
      </w:r>
      <w:fldSimple w:instr=" PAGEREF &quot;putrefaction-and-propagation&quot; \h ">
        <w:r>
          <w:t>187</w:t>
        </w:r>
      </w:fldSimple>
      <w:r>
        <w:t>)</w:t>
      </w:r>
    </w:p>
    <w:p>
      <w:pPr>
        <w:widowControl/>
      </w:pPr>
      <w:r>
        <w:rPr>
          <w:b/>
          <w:i w:val="0"/>
        </w:rPr>
        <w:t>Q</w:t>
      </w:r>
      <w:r>
        <w:br/>
      </w:r>
      <w:hyperlink w:anchor="qualification-and-attribution">
        <w:r>
          <w:rPr>
            <w:color w:val="000000"/>
          </w:rPr>
          <w:t xml:space="preserve">Qualification and attribution</w:t>
        </w:r>
      </w:hyperlink>
      <w:r>
        <w:t xml:space="preserve"> (p. </w:t>
      </w:r>
      <w:fldSimple w:instr=" PAGEREF &quot;qualification-and-attribution&quot; \h ">
        <w:r>
          <w:t>188</w:t>
        </w:r>
      </w:fldSimple>
      <w:r>
        <w:t>)</w:t>
      </w:r>
      <w:r>
        <w:rPr>
          <w:b w:val="0"/>
          <w:i w:val="0"/>
        </w:rPr>
        <w:t xml:space="preserve"> · </w:t>
      </w:r>
      <w:hyperlink w:anchor="quality">
        <w:r>
          <w:rPr>
            <w:color w:val="000000"/>
          </w:rPr>
          <w:t xml:space="preserve">Quality</w:t>
        </w:r>
      </w:hyperlink>
      <w:r>
        <w:t xml:space="preserve"> (p. </w:t>
      </w:r>
      <w:fldSimple w:instr=" PAGEREF &quot;quality&quot; \h ">
        <w:r>
          <w:t>189</w:t>
        </w:r>
      </w:fldSimple>
      <w:r>
        <w:t>)</w:t>
      </w:r>
      <w:r>
        <w:rPr>
          <w:b w:val="0"/>
          <w:i w:val="0"/>
        </w:rPr>
        <w:t xml:space="preserve"> · </w:t>
      </w:r>
      <w:hyperlink w:anchor="quantity-and-dimension">
        <w:r>
          <w:rPr>
            <w:color w:val="000000"/>
          </w:rPr>
          <w:t xml:space="preserve">Quantity and dimension</w:t>
        </w:r>
      </w:hyperlink>
      <w:r>
        <w:t xml:space="preserve"> (p. </w:t>
      </w:r>
      <w:fldSimple w:instr=" PAGEREF &quot;quantity-and-dimension&quot; \h ">
        <w:r>
          <w:t>191</w:t>
        </w:r>
      </w:fldSimple>
      <w:r>
        <w:t>)</w:t>
      </w:r>
    </w:p>
    <w:p>
      <w:pPr>
        <w:widowControl/>
      </w:pPr>
      <w:r>
        <w:rPr>
          <w:b/>
          <w:i w:val="0"/>
        </w:rPr>
        <w:t>R</w:t>
      </w:r>
      <w:r>
        <w:br/>
      </w:r>
      <w:hyperlink w:anchor="reason-and-account">
        <w:r>
          <w:rPr>
            <w:color w:val="000000"/>
          </w:rPr>
          <w:t xml:space="preserve">Reason and account</w:t>
        </w:r>
      </w:hyperlink>
      <w:r>
        <w:t xml:space="preserve"> (p. </w:t>
      </w:r>
      <w:fldSimple w:instr=" PAGEREF &quot;reason-and-account&quot; \h ">
        <w:r>
          <w:t>192</w:t>
        </w:r>
      </w:fldSimple>
      <w:r>
        <w:t>)</w:t>
      </w:r>
      <w:r>
        <w:rPr>
          <w:b w:val="0"/>
          <w:i w:val="0"/>
        </w:rPr>
        <w:t xml:space="preserve"> · </w:t>
      </w:r>
      <w:hyperlink w:anchor="reason-anger-and-desire">
        <w:r>
          <w:rPr>
            <w:color w:val="000000"/>
          </w:rPr>
          <w:t xml:space="preserve">Reason anger and desire</w:t>
        </w:r>
      </w:hyperlink>
      <w:r>
        <w:t xml:space="preserve"> (p. </w:t>
      </w:r>
      <w:fldSimple w:instr=" PAGEREF &quot;reason-anger-and-desire&quot; \h ">
        <w:r>
          <w:t>193</w:t>
        </w:r>
      </w:fldSimple>
      <w:r>
        <w:t>)</w:t>
      </w:r>
      <w:r>
        <w:rPr>
          <w:b w:val="0"/>
          <w:i w:val="0"/>
        </w:rPr>
        <w:t xml:space="preserve"> · </w:t>
      </w:r>
      <w:hyperlink w:anchor="receiving-and-giving">
        <w:r>
          <w:rPr>
            <w:color w:val="000000"/>
          </w:rPr>
          <w:t xml:space="preserve">Receiving and giving</w:t>
        </w:r>
      </w:hyperlink>
      <w:r>
        <w:t xml:space="preserve"> (p. </w:t>
      </w:r>
      <w:fldSimple w:instr=" PAGEREF &quot;receiving-and-giving&quot; \h ">
        <w:r>
          <w:t>194</w:t>
        </w:r>
      </w:fldSimple>
      <w:r>
        <w:t>)</w:t>
      </w:r>
      <w:r>
        <w:rPr>
          <w:b w:val="0"/>
          <w:i w:val="0"/>
        </w:rPr>
        <w:t xml:space="preserve"> · </w:t>
      </w:r>
      <w:hyperlink w:anchor="redundancy-and-uselessness">
        <w:r>
          <w:rPr>
            <w:color w:val="000000"/>
          </w:rPr>
          <w:t xml:space="preserve">Redundancy and uselessness</w:t>
        </w:r>
      </w:hyperlink>
      <w:r>
        <w:t xml:space="preserve"> (p. </w:t>
      </w:r>
      <w:fldSimple w:instr=" PAGEREF &quot;redundancy-and-uselessness&quot; \h ">
        <w:r>
          <w:t>195</w:t>
        </w:r>
      </w:fldSimple>
      <w:r>
        <w:t>)</w:t>
      </w:r>
      <w:r>
        <w:rPr>
          <w:b w:val="0"/>
          <w:i w:val="0"/>
        </w:rPr>
        <w:t xml:space="preserve"> · </w:t>
      </w:r>
      <w:hyperlink w:anchor="relations-and-respects">
        <w:r>
          <w:rPr>
            <w:color w:val="000000"/>
          </w:rPr>
          <w:t xml:space="preserve">Relations and respects</w:t>
        </w:r>
      </w:hyperlink>
      <w:r>
        <w:t xml:space="preserve"> (p. </w:t>
      </w:r>
      <w:fldSimple w:instr=" PAGEREF &quot;relations-and-respects&quot; \h ">
        <w:r>
          <w:t>196</w:t>
        </w:r>
      </w:fldSimple>
      <w:r>
        <w:t>)</w:t>
      </w:r>
      <w:r>
        <w:rPr>
          <w:b w:val="0"/>
          <w:i w:val="0"/>
        </w:rPr>
        <w:t xml:space="preserve"> · </w:t>
      </w:r>
      <w:hyperlink w:anchor="returning-referring-and-reducing">
        <w:r>
          <w:rPr>
            <w:color w:val="000000"/>
          </w:rPr>
          <w:t xml:space="preserve">Returning, referring and reducing</w:t>
        </w:r>
      </w:hyperlink>
      <w:r>
        <w:t xml:space="preserve"> (p. </w:t>
      </w:r>
      <w:fldSimple w:instr=" PAGEREF &quot;returning-referring-and-reducing&quot; \h ">
        <w:r>
          <w:t>197</w:t>
        </w:r>
      </w:fldSimple>
      <w:r>
        <w:t>)</w:t>
      </w:r>
    </w:p>
    <w:p>
      <w:pPr>
        <w:widowControl/>
      </w:pPr>
      <w:r>
        <w:rPr>
          <w:b/>
          <w:i w:val="0"/>
        </w:rPr>
        <w:t>S</w:t>
      </w:r>
      <w:r>
        <w:br/>
      </w:r>
      <w:hyperlink w:anchor="second-mind">
        <w:r>
          <w:rPr>
            <w:color w:val="000000"/>
          </w:rPr>
          <w:t xml:space="preserve">Second mind</w:t>
        </w:r>
      </w:hyperlink>
      <w:r>
        <w:t xml:space="preserve"> (p. </w:t>
      </w:r>
      <w:fldSimple w:instr=" PAGEREF &quot;second-mind&quot; \h ">
        <w:r>
          <w:t>198</w:t>
        </w:r>
      </w:fldSimple>
      <w:r>
        <w:t>)</w:t>
      </w:r>
      <w:r>
        <w:rPr>
          <w:b w:val="0"/>
          <w:i w:val="0"/>
        </w:rPr>
        <w:t xml:space="preserve"> · </w:t>
      </w:r>
      <w:hyperlink w:anchor="seeds">
        <w:r>
          <w:rPr>
            <w:color w:val="000000"/>
          </w:rPr>
          <w:t xml:space="preserve">Seeds</w:t>
        </w:r>
      </w:hyperlink>
      <w:r>
        <w:t xml:space="preserve"> (p. </w:t>
      </w:r>
      <w:fldSimple w:instr=" PAGEREF &quot;seeds&quot; \h ">
        <w:r>
          <w:t>198</w:t>
        </w:r>
      </w:fldSimple>
      <w:r>
        <w:t>)</w:t>
      </w:r>
      <w:r>
        <w:rPr>
          <w:b w:val="0"/>
          <w:i w:val="0"/>
        </w:rPr>
        <w:t xml:space="preserve"> · </w:t>
      </w:r>
      <w:hyperlink w:anchor="seeking-possessing-and-distraction">
        <w:r>
          <w:rPr>
            <w:color w:val="000000"/>
          </w:rPr>
          <w:t xml:space="preserve">Seeking possessing and distraction</w:t>
        </w:r>
      </w:hyperlink>
      <w:r>
        <w:t xml:space="preserve"> (p. </w:t>
      </w:r>
      <w:fldSimple w:instr=" PAGEREF &quot;seeking-possessing-and-distraction&quot; \h ">
        <w:r>
          <w:t>200</w:t>
        </w:r>
      </w:fldSimple>
      <w:r>
        <w:t>)</w:t>
      </w:r>
      <w:r>
        <w:rPr>
          <w:b w:val="0"/>
          <w:i w:val="0"/>
        </w:rPr>
        <w:t xml:space="preserve"> · </w:t>
      </w:r>
      <w:hyperlink w:anchor="seeming-and-evidence">
        <w:r>
          <w:rPr>
            <w:color w:val="000000"/>
          </w:rPr>
          <w:t xml:space="preserve">Seeming and evidence</w:t>
        </w:r>
      </w:hyperlink>
      <w:r>
        <w:t xml:space="preserve"> (p. </w:t>
      </w:r>
      <w:fldSimple w:instr=" PAGEREF &quot;seeming-and-evidence&quot; \h ">
        <w:r>
          <w:t>200</w:t>
        </w:r>
      </w:fldSimple>
      <w:r>
        <w:t>)</w:t>
      </w:r>
      <w:r>
        <w:rPr>
          <w:b w:val="0"/>
          <w:i w:val="0"/>
        </w:rPr>
        <w:t xml:space="preserve"> · </w:t>
      </w:r>
      <w:hyperlink w:anchor="self-knowledge">
        <w:r>
          <w:rPr>
            <w:color w:val="000000"/>
          </w:rPr>
          <w:t xml:space="preserve">Self knowledge</w:t>
        </w:r>
      </w:hyperlink>
      <w:r>
        <w:t xml:space="preserve"> (p. </w:t>
      </w:r>
      <w:fldSimple w:instr=" PAGEREF &quot;self-knowledge&quot; \h ">
        <w:r>
          <w:t>201</w:t>
        </w:r>
      </w:fldSimple>
      <w:r>
        <w:t>)</w:t>
      </w:r>
      <w:r>
        <w:rPr>
          <w:b w:val="0"/>
          <w:i w:val="0"/>
        </w:rPr>
        <w:t xml:space="preserve"> · </w:t>
      </w:r>
      <w:hyperlink w:anchor="self-production-and-reservation">
        <w:r>
          <w:rPr>
            <w:color w:val="000000"/>
          </w:rPr>
          <w:t xml:space="preserve">Self-production and reservation</w:t>
        </w:r>
      </w:hyperlink>
      <w:r>
        <w:t xml:space="preserve"> (p. </w:t>
      </w:r>
      <w:fldSimple w:instr=" PAGEREF &quot;self-production-and-reservation&quot; \h ">
        <w:r>
          <w:t>203</w:t>
        </w:r>
      </w:fldSimple>
      <w:r>
        <w:t>)</w:t>
      </w:r>
      <w:r>
        <w:rPr>
          <w:b w:val="0"/>
          <w:i w:val="0"/>
        </w:rPr>
        <w:t xml:space="preserve"> · </w:t>
      </w:r>
      <w:hyperlink w:anchor="sense-and-imagination">
        <w:r>
          <w:rPr>
            <w:color w:val="000000"/>
          </w:rPr>
          <w:t xml:space="preserve">Sense and imagination</w:t>
        </w:r>
      </w:hyperlink>
      <w:r>
        <w:t xml:space="preserve"> (p. </w:t>
      </w:r>
      <w:fldSimple w:instr=" PAGEREF &quot;sense-and-imagination&quot; \h ">
        <w:r>
          <w:t>204</w:t>
        </w:r>
      </w:fldSimple>
      <w:r>
        <w:t>)</w:t>
      </w:r>
      <w:r>
        <w:rPr>
          <w:b w:val="0"/>
          <w:i w:val="0"/>
        </w:rPr>
        <w:t xml:space="preserve"> · </w:t>
      </w:r>
      <w:hyperlink w:anchor="separation-and-abstraction">
        <w:r>
          <w:rPr>
            <w:color w:val="000000"/>
          </w:rPr>
          <w:t xml:space="preserve">Separation and abstraction</w:t>
        </w:r>
      </w:hyperlink>
      <w:r>
        <w:t xml:space="preserve"> (p. </w:t>
      </w:r>
      <w:fldSimple w:instr=" PAGEREF &quot;separation-and-abstraction&quot; \h ">
        <w:r>
          <w:t>205</w:t>
        </w:r>
      </w:fldSimple>
      <w:r>
        <w:t>)</w:t>
      </w:r>
      <w:r>
        <w:rPr>
          <w:b w:val="0"/>
          <w:i w:val="0"/>
        </w:rPr>
        <w:t xml:space="preserve"> · </w:t>
      </w:r>
      <w:hyperlink w:anchor="shadow-and-mirror">
        <w:r>
          <w:rPr>
            <w:color w:val="000000"/>
          </w:rPr>
          <w:t xml:space="preserve">Shadow and mirror</w:t>
        </w:r>
      </w:hyperlink>
      <w:r>
        <w:t xml:space="preserve"> (p. </w:t>
      </w:r>
      <w:fldSimple w:instr=" PAGEREF &quot;shadow-and-mirror&quot; \h ">
        <w:r>
          <w:t>206</w:t>
        </w:r>
      </w:fldSimple>
      <w:r>
        <w:t>)</w:t>
      </w:r>
      <w:r>
        <w:rPr>
          <w:b w:val="0"/>
          <w:i w:val="0"/>
        </w:rPr>
        <w:t xml:space="preserve"> · </w:t>
      </w:r>
      <w:hyperlink w:anchor="shadows-and-dependence">
        <w:r>
          <w:rPr>
            <w:color w:val="000000"/>
          </w:rPr>
          <w:t xml:space="preserve">Shadows and dependence</w:t>
        </w:r>
      </w:hyperlink>
      <w:r>
        <w:t xml:space="preserve"> (p. </w:t>
      </w:r>
      <w:fldSimple w:instr=" PAGEREF &quot;shadows-and-dependence&quot; \h ">
        <w:r>
          <w:t>207</w:t>
        </w:r>
      </w:fldSimple>
      <w:r>
        <w:t>)</w:t>
      </w:r>
      <w:r>
        <w:rPr>
          <w:b w:val="0"/>
          <w:i w:val="0"/>
        </w:rPr>
        <w:t xml:space="preserve"> · </w:t>
      </w:r>
      <w:hyperlink w:anchor="simplicity-and-composition">
        <w:r>
          <w:rPr>
            <w:color w:val="000000"/>
          </w:rPr>
          <w:t xml:space="preserve">Simplicity and composition</w:t>
        </w:r>
      </w:hyperlink>
      <w:r>
        <w:t xml:space="preserve"> (p. </w:t>
      </w:r>
      <w:fldSimple w:instr=" PAGEREF &quot;simplicity-and-composition&quot; \h ">
        <w:r>
          <w:t>208</w:t>
        </w:r>
      </w:fldSimple>
      <w:r>
        <w:t>)</w:t>
      </w:r>
      <w:r>
        <w:rPr>
          <w:b w:val="0"/>
          <w:i w:val="0"/>
        </w:rPr>
        <w:t xml:space="preserve"> · </w:t>
      </w:r>
      <w:hyperlink w:anchor="soul">
        <w:r>
          <w:rPr>
            <w:color w:val="000000"/>
          </w:rPr>
          <w:t xml:space="preserve">Soul</w:t>
        </w:r>
      </w:hyperlink>
      <w:r>
        <w:t xml:space="preserve"> (p. </w:t>
      </w:r>
      <w:fldSimple w:instr=" PAGEREF &quot;soul&quot; \h ">
        <w:r>
          <w:t>209</w:t>
        </w:r>
      </w:fldSimple>
      <w:r>
        <w:t>)</w:t>
      </w:r>
      <w:r>
        <w:rPr>
          <w:b w:val="0"/>
          <w:i w:val="0"/>
        </w:rPr>
        <w:t xml:space="preserve"> · </w:t>
      </w:r>
      <w:hyperlink w:anchor="sowing-and-weaving">
        <w:r>
          <w:rPr>
            <w:color w:val="000000"/>
          </w:rPr>
          <w:t xml:space="preserve">Sowing and weaving</w:t>
        </w:r>
      </w:hyperlink>
      <w:r>
        <w:t xml:space="preserve"> (p. </w:t>
      </w:r>
      <w:fldSimple w:instr=" PAGEREF &quot;sowing-and-weaving&quot; \h ">
        <w:r>
          <w:t>211</w:t>
        </w:r>
      </w:fldSimple>
      <w:r>
        <w:t>)</w:t>
      </w:r>
      <w:r>
        <w:rPr>
          <w:b w:val="0"/>
          <w:i w:val="0"/>
        </w:rPr>
        <w:t xml:space="preserve"> · </w:t>
      </w:r>
      <w:hyperlink w:anchor="species">
        <w:r>
          <w:rPr>
            <w:color w:val="000000"/>
          </w:rPr>
          <w:t xml:space="preserve">Species</w:t>
        </w:r>
      </w:hyperlink>
      <w:r>
        <w:t xml:space="preserve"> (p. </w:t>
      </w:r>
      <w:fldSimple w:instr=" PAGEREF &quot;species&quot; \h ">
        <w:r>
          <w:t>212</w:t>
        </w:r>
      </w:fldSimple>
      <w:r>
        <w:t>)</w:t>
      </w:r>
      <w:r>
        <w:rPr>
          <w:b w:val="0"/>
          <w:i w:val="0"/>
        </w:rPr>
        <w:t xml:space="preserve"> · </w:t>
      </w:r>
      <w:hyperlink w:anchor="spheres-and-stars">
        <w:r>
          <w:rPr>
            <w:color w:val="000000"/>
          </w:rPr>
          <w:t xml:space="preserve">Spheres and stars</w:t>
        </w:r>
      </w:hyperlink>
      <w:r>
        <w:t xml:space="preserve"> (p. </w:t>
      </w:r>
      <w:fldSimple w:instr=" PAGEREF &quot;spheres-and-stars&quot; \h ">
        <w:r>
          <w:t>212</w:t>
        </w:r>
      </w:fldSimple>
      <w:r>
        <w:t>)</w:t>
      </w:r>
      <w:r>
        <w:rPr>
          <w:b w:val="0"/>
          <w:i w:val="0"/>
        </w:rPr>
        <w:t xml:space="preserve"> · </w:t>
      </w:r>
      <w:hyperlink w:anchor="spirit">
        <w:r>
          <w:rPr>
            <w:color w:val="000000"/>
          </w:rPr>
          <w:t xml:space="preserve">Spirit</w:t>
        </w:r>
      </w:hyperlink>
      <w:r>
        <w:t xml:space="preserve"> (p. </w:t>
      </w:r>
      <w:fldSimple w:instr=" PAGEREF &quot;spirit&quot; \h ">
        <w:r>
          <w:t>214</w:t>
        </w:r>
      </w:fldSimple>
      <w:r>
        <w:t>)</w:t>
      </w:r>
      <w:r>
        <w:rPr>
          <w:b w:val="0"/>
          <w:i w:val="0"/>
        </w:rPr>
        <w:t xml:space="preserve"> · </w:t>
      </w:r>
      <w:hyperlink w:anchor="spiritual-union">
        <w:r>
          <w:rPr>
            <w:color w:val="000000"/>
          </w:rPr>
          <w:t xml:space="preserve">Spiritual union</w:t>
        </w:r>
      </w:hyperlink>
      <w:r>
        <w:t xml:space="preserve"> (p. </w:t>
      </w:r>
      <w:fldSimple w:instr=" PAGEREF &quot;spiritual-union&quot; \h ">
        <w:r>
          <w:t>214</w:t>
        </w:r>
      </w:fldSimple>
      <w:r>
        <w:t>)</w:t>
      </w:r>
      <w:r>
        <w:rPr>
          <w:b w:val="0"/>
          <w:i w:val="0"/>
        </w:rPr>
        <w:t xml:space="preserve"> · </w:t>
      </w:r>
      <w:hyperlink w:anchor="spring-and-flow">
        <w:r>
          <w:rPr>
            <w:color w:val="000000"/>
          </w:rPr>
          <w:t xml:space="preserve">Spring and flow</w:t>
        </w:r>
      </w:hyperlink>
      <w:r>
        <w:t xml:space="preserve"> (p. </w:t>
      </w:r>
      <w:fldSimple w:instr=" PAGEREF &quot;spring-and-flow&quot; \h ">
        <w:r>
          <w:t>215</w:t>
        </w:r>
      </w:fldSimple>
      <w:r>
        <w:t>)</w:t>
      </w:r>
      <w:r>
        <w:rPr>
          <w:b w:val="0"/>
          <w:i w:val="0"/>
        </w:rPr>
        <w:t xml:space="preserve"> · </w:t>
      </w:r>
      <w:hyperlink w:anchor="statue-and-solidity">
        <w:r>
          <w:rPr>
            <w:color w:val="000000"/>
          </w:rPr>
          <w:t xml:space="preserve">Statue and solidity</w:t>
        </w:r>
      </w:hyperlink>
      <w:r>
        <w:t xml:space="preserve"> (p. </w:t>
      </w:r>
      <w:fldSimple w:instr=" PAGEREF &quot;statue-and-solidity&quot; \h ">
        <w:r>
          <w:t>216</w:t>
        </w:r>
      </w:fldSimple>
      <w:r>
        <w:t>)</w:t>
      </w:r>
      <w:r>
        <w:rPr>
          <w:b w:val="0"/>
          <w:i w:val="0"/>
        </w:rPr>
        <w:t xml:space="preserve"> · </w:t>
      </w:r>
      <w:hyperlink w:anchor="staying-and-preserving">
        <w:r>
          <w:rPr>
            <w:color w:val="000000"/>
          </w:rPr>
          <w:t xml:space="preserve">Staying and preserving</w:t>
        </w:r>
      </w:hyperlink>
      <w:r>
        <w:t xml:space="preserve"> (p. </w:t>
      </w:r>
      <w:fldSimple w:instr=" PAGEREF &quot;staying-and-preserving&quot; \h ">
        <w:r>
          <w:t>217</w:t>
        </w:r>
      </w:fldSimple>
      <w:r>
        <w:t>)</w:t>
      </w:r>
      <w:r>
        <w:rPr>
          <w:b w:val="0"/>
          <w:i w:val="0"/>
        </w:rPr>
        <w:t xml:space="preserve"> · </w:t>
      </w:r>
      <w:hyperlink w:anchor="strato-chrysippus-and-almariani">
        <w:r>
          <w:rPr>
            <w:color w:val="000000"/>
          </w:rPr>
          <w:t xml:space="preserve">Strato, Chrysippus, and the Almariani</w:t>
        </w:r>
      </w:hyperlink>
      <w:r>
        <w:t xml:space="preserve"> (p. </w:t>
      </w:r>
      <w:fldSimple w:instr=" PAGEREF &quot;strato-chrysippus-and-almariani&quot; \h ">
        <w:r>
          <w:t>218</w:t>
        </w:r>
      </w:fldSimple>
      <w:r>
        <w:t>)</w:t>
      </w:r>
      <w:r>
        <w:rPr>
          <w:b w:val="0"/>
          <w:i w:val="0"/>
        </w:rPr>
        <w:t xml:space="preserve"> · </w:t>
      </w:r>
      <w:hyperlink w:anchor="striving-and-enjoyment">
        <w:r>
          <w:rPr>
            <w:color w:val="000000"/>
          </w:rPr>
          <w:t xml:space="preserve">Striving and enjoyment</w:t>
        </w:r>
      </w:hyperlink>
      <w:r>
        <w:t xml:space="preserve"> (p. </w:t>
      </w:r>
      <w:fldSimple w:instr=" PAGEREF &quot;striving-and-enjoyment&quot; \h ">
        <w:r>
          <w:t>218</w:t>
        </w:r>
      </w:fldSimple>
      <w:r>
        <w:t>)</w:t>
      </w:r>
      <w:r>
        <w:rPr>
          <w:b w:val="0"/>
          <w:i w:val="0"/>
        </w:rPr>
        <w:t xml:space="preserve"> · </w:t>
      </w:r>
      <w:hyperlink w:anchor="substance-and-accident">
        <w:r>
          <w:rPr>
            <w:color w:val="000000"/>
          </w:rPr>
          <w:t xml:space="preserve">Substance and accident</w:t>
        </w:r>
      </w:hyperlink>
      <w:r>
        <w:t xml:space="preserve"> (p. </w:t>
      </w:r>
      <w:fldSimple w:instr=" PAGEREF &quot;substance-and-accident&quot; \h ">
        <w:r>
          <w:t>219</w:t>
        </w:r>
      </w:fldSimple>
      <w:r>
        <w:t>)</w:t>
      </w:r>
      <w:r>
        <w:rPr>
          <w:b w:val="0"/>
          <w:i w:val="0"/>
        </w:rPr>
        <w:t xml:space="preserve"> · </w:t>
      </w:r>
      <w:hyperlink w:anchor="sun-mercury-and-moon">
        <w:r>
          <w:rPr>
            <w:color w:val="000000"/>
          </w:rPr>
          <w:t xml:space="preserve">Sun, Mercury and moon</w:t>
        </w:r>
      </w:hyperlink>
      <w:r>
        <w:t xml:space="preserve"> (p. </w:t>
      </w:r>
      <w:fldSimple w:instr=" PAGEREF &quot;sun-mercury-and-moon&quot; \h ">
        <w:r>
          <w:t>220</w:t>
        </w:r>
      </w:fldSimple>
      <w:r>
        <w:t>)</w:t>
      </w:r>
      <w:r>
        <w:rPr>
          <w:b w:val="0"/>
          <w:i w:val="0"/>
        </w:rPr>
        <w:t xml:space="preserve"> · </w:t>
      </w:r>
      <w:hyperlink w:anchor="support-inherence-and-dependence">
        <w:r>
          <w:rPr>
            <w:color w:val="000000"/>
          </w:rPr>
          <w:t xml:space="preserve">Support, inherence and dependence</w:t>
        </w:r>
      </w:hyperlink>
      <w:r>
        <w:t xml:space="preserve"> (p. </w:t>
      </w:r>
      <w:fldSimple w:instr=" PAGEREF &quot;support-inherence-and-dependence&quot; \h ">
        <w:r>
          <w:t>221</w:t>
        </w:r>
      </w:fldSimple>
      <w:r>
        <w:t>)</w:t>
      </w:r>
      <w:r>
        <w:rPr>
          <w:b w:val="0"/>
          <w:i w:val="0"/>
        </w:rPr>
        <w:t xml:space="preserve"> · </w:t>
      </w:r>
      <w:hyperlink w:anchor="surface-and-depth">
        <w:r>
          <w:rPr>
            <w:color w:val="000000"/>
          </w:rPr>
          <w:t xml:space="preserve">Surface and depth</w:t>
        </w:r>
      </w:hyperlink>
      <w:r>
        <w:t xml:space="preserve"> (p. </w:t>
      </w:r>
      <w:fldSimple w:instr=" PAGEREF &quot;surface-and-depth&quot; \h ">
        <w:r>
          <w:t>222</w:t>
        </w:r>
      </w:fldSimple>
      <w:r>
        <w:t>)</w:t>
      </w:r>
      <w:r>
        <w:rPr>
          <w:b w:val="0"/>
          <w:i w:val="0"/>
        </w:rPr>
        <w:t xml:space="preserve"> · </w:t>
      </w:r>
      <w:hyperlink w:anchor="surpassing-and-comparison">
        <w:r>
          <w:rPr>
            <w:color w:val="000000"/>
          </w:rPr>
          <w:t xml:space="preserve">Surpassing and comparison</w:t>
        </w:r>
      </w:hyperlink>
      <w:r>
        <w:t xml:space="preserve"> (p. </w:t>
      </w:r>
      <w:fldSimple w:instr=" PAGEREF &quot;surpassing-and-comparison&quot; \h ">
        <w:r>
          <w:t>223</w:t>
        </w:r>
      </w:fldSimple>
      <w:r>
        <w:t>)</w:t>
      </w:r>
      <w:r>
        <w:rPr>
          <w:b w:val="0"/>
          <w:i w:val="0"/>
        </w:rPr>
        <w:t xml:space="preserve"> · </w:t>
      </w:r>
      <w:hyperlink w:anchor="sympathy">
        <w:r>
          <w:rPr>
            <w:color w:val="000000"/>
          </w:rPr>
          <w:t xml:space="preserve">Sympathy</w:t>
        </w:r>
      </w:hyperlink>
      <w:r>
        <w:t xml:space="preserve"> (p. </w:t>
      </w:r>
      <w:fldSimple w:instr=" PAGEREF &quot;sympathy&quot; \h ">
        <w:r>
          <w:t>223</w:t>
        </w:r>
      </w:fldSimple>
      <w:r>
        <w:t>)</w:t>
      </w:r>
    </w:p>
    <w:p>
      <w:pPr>
        <w:widowControl/>
      </w:pPr>
      <w:r>
        <w:rPr>
          <w:b/>
          <w:i w:val="0"/>
        </w:rPr>
        <w:t>T</w:t>
      </w:r>
      <w:r>
        <w:br/>
      </w:r>
      <w:hyperlink w:anchor="through-itself-and-through-another">
        <w:r>
          <w:rPr>
            <w:color w:val="000000"/>
          </w:rPr>
          <w:t xml:space="preserve">Through itself and through another</w:t>
        </w:r>
      </w:hyperlink>
      <w:r>
        <w:t xml:space="preserve"> (p. </w:t>
      </w:r>
      <w:fldSimple w:instr=" PAGEREF &quot;through-itself-and-through-another&quot; \h ">
        <w:r>
          <w:t>224</w:t>
        </w:r>
      </w:fldSimple>
      <w:r>
        <w:t>)</w:t>
      </w:r>
      <w:r>
        <w:rPr>
          <w:b w:val="0"/>
          <w:i w:val="0"/>
        </w:rPr>
        <w:t xml:space="preserve"> · </w:t>
      </w:r>
      <w:hyperlink w:anchor="touch-and-penetration">
        <w:r>
          <w:rPr>
            <w:color w:val="000000"/>
          </w:rPr>
          <w:t xml:space="preserve">Touch and penetration</w:t>
        </w:r>
      </w:hyperlink>
      <w:r>
        <w:t xml:space="preserve"> (p. </w:t>
      </w:r>
      <w:fldSimple w:instr=" PAGEREF &quot;touch-and-penetration&quot; \h ">
        <w:r>
          <w:t>225</w:t>
        </w:r>
      </w:fldSimple>
      <w:r>
        <w:t>)</w:t>
      </w:r>
      <w:r>
        <w:rPr>
          <w:b w:val="0"/>
          <w:i w:val="0"/>
        </w:rPr>
        <w:t xml:space="preserve"> · </w:t>
      </w:r>
      <w:hyperlink w:anchor="traces">
        <w:r>
          <w:rPr>
            <w:color w:val="000000"/>
          </w:rPr>
          <w:t xml:space="preserve">Traces</w:t>
        </w:r>
      </w:hyperlink>
      <w:r>
        <w:t xml:space="preserve"> (p. </w:t>
      </w:r>
      <w:fldSimple w:instr=" PAGEREF &quot;traces&quot; \h ">
        <w:r>
          <w:t>226</w:t>
        </w:r>
      </w:fldSimple>
      <w:r>
        <w:t>)</w:t>
      </w:r>
      <w:r>
        <w:rPr>
          <w:b w:val="0"/>
          <w:i w:val="0"/>
        </w:rPr>
        <w:t xml:space="preserve"> · </w:t>
      </w:r>
      <w:hyperlink w:anchor="transparency-and-opacity">
        <w:r>
          <w:rPr>
            <w:color w:val="000000"/>
          </w:rPr>
          <w:t xml:space="preserve">Transparency and opacity</w:t>
        </w:r>
      </w:hyperlink>
      <w:r>
        <w:t xml:space="preserve"> (p. </w:t>
      </w:r>
      <w:fldSimple w:instr=" PAGEREF &quot;transparency-and-opacity&quot; \h ">
        <w:r>
          <w:t>227</w:t>
        </w:r>
      </w:fldSimple>
      <w:r>
        <w:t>)</w:t>
      </w:r>
      <w:r>
        <w:rPr>
          <w:b w:val="0"/>
          <w:i w:val="0"/>
        </w:rPr>
        <w:t xml:space="preserve"> · </w:t>
      </w:r>
      <w:hyperlink w:anchor="truth">
        <w:r>
          <w:rPr>
            <w:color w:val="000000"/>
          </w:rPr>
          <w:t xml:space="preserve">Truth</w:t>
        </w:r>
      </w:hyperlink>
      <w:r>
        <w:t xml:space="preserve"> (p. </w:t>
      </w:r>
      <w:fldSimple w:instr=" PAGEREF &quot;truth&quot; \h ">
        <w:r>
          <w:t>228</w:t>
        </w:r>
      </w:fldSimple>
      <w:r>
        <w:t>)</w:t>
      </w:r>
      <w:r>
        <w:rPr>
          <w:b w:val="0"/>
          <w:i w:val="0"/>
        </w:rPr>
        <w:t xml:space="preserve"> · </w:t>
      </w:r>
      <w:hyperlink w:anchor="turning-and-direction">
        <w:r>
          <w:rPr>
            <w:color w:val="000000"/>
          </w:rPr>
          <w:t xml:space="preserve">Turning and direction</w:t>
        </w:r>
      </w:hyperlink>
      <w:r>
        <w:t xml:space="preserve"> (p. </w:t>
      </w:r>
      <w:fldSimple w:instr=" PAGEREF &quot;turning-and-direction&quot; \h ">
        <w:r>
          <w:t>229</w:t>
        </w:r>
      </w:fldSimple>
      <w:r>
        <w:t>)</w:t>
      </w:r>
      <w:r>
        <w:rPr>
          <w:b w:val="0"/>
          <w:i w:val="0"/>
        </w:rPr>
        <w:t xml:space="preserve"> · </w:t>
      </w:r>
      <w:hyperlink w:anchor="twelve">
        <w:r>
          <w:rPr>
            <w:color w:val="000000"/>
          </w:rPr>
          <w:t xml:space="preserve">Twelve</w:t>
        </w:r>
      </w:hyperlink>
      <w:r>
        <w:t xml:space="preserve"> (p. </w:t>
      </w:r>
      <w:fldSimple w:instr=" PAGEREF &quot;twelve&quot; \h ">
        <w:r>
          <w:t>230</w:t>
        </w:r>
      </w:fldSimple>
      <w:r>
        <w:t>)</w:t>
      </w:r>
    </w:p>
    <w:p>
      <w:pPr>
        <w:widowControl/>
      </w:pPr>
      <w:r>
        <w:rPr>
          <w:b/>
          <w:i w:val="0"/>
        </w:rPr>
        <w:t>U</w:t>
      </w:r>
      <w:r>
        <w:br/>
      </w:r>
      <w:hyperlink w:anchor="unity-and-multiplicity">
        <w:r>
          <w:rPr>
            <w:color w:val="000000"/>
          </w:rPr>
          <w:t xml:space="preserve">Unity and multiplicity</w:t>
        </w:r>
      </w:hyperlink>
      <w:r>
        <w:t xml:space="preserve"> (p. </w:t>
      </w:r>
      <w:fldSimple w:instr=" PAGEREF &quot;unity-and-multiplicity&quot; \h ">
        <w:r>
          <w:t>231</w:t>
        </w:r>
      </w:fldSimple>
      <w:r>
        <w:t>)</w:t>
      </w:r>
      <w:r>
        <w:rPr>
          <w:b w:val="0"/>
          <w:i w:val="0"/>
        </w:rPr>
        <w:t xml:space="preserve"> · </w:t>
      </w:r>
      <w:hyperlink w:anchor="universals-and-individuals">
        <w:r>
          <w:rPr>
            <w:color w:val="000000"/>
          </w:rPr>
          <w:t xml:space="preserve">Universals and individuals</w:t>
        </w:r>
      </w:hyperlink>
      <w:r>
        <w:t xml:space="preserve"> (p. </w:t>
      </w:r>
      <w:fldSimple w:instr=" PAGEREF &quot;universals-and-individuals&quot; \h ">
        <w:r>
          <w:t>233</w:t>
        </w:r>
      </w:fldSimple>
      <w:r>
        <w:t>)</w:t>
      </w:r>
      <w:r>
        <w:rPr>
          <w:b w:val="0"/>
          <w:i w:val="0"/>
        </w:rPr>
        <w:t xml:space="preserve"> · </w:t>
      </w:r>
      <w:hyperlink w:anchor="utterance-and-meaning">
        <w:r>
          <w:rPr>
            <w:color w:val="000000"/>
          </w:rPr>
          <w:t xml:space="preserve">Utterance and meaning</w:t>
        </w:r>
      </w:hyperlink>
      <w:r>
        <w:t xml:space="preserve"> (p. </w:t>
      </w:r>
      <w:fldSimple w:instr=" PAGEREF &quot;utterance-and-meaning&quot; \h ">
        <w:r>
          <w:t>234</w:t>
        </w:r>
      </w:fldSimple>
      <w:r>
        <w:t>)</w:t>
      </w:r>
    </w:p>
    <w:p>
      <w:pPr>
        <w:widowControl/>
      </w:pPr>
      <w:r>
        <w:rPr>
          <w:b/>
          <w:i w:val="0"/>
        </w:rPr>
        <w:t>V</w:t>
      </w:r>
      <w:r>
        <w:br/>
      </w:r>
      <w:hyperlink w:anchor="vine-and-grape-seed">
        <w:r>
          <w:rPr>
            <w:color w:val="000000"/>
          </w:rPr>
          <w:t xml:space="preserve">Vine and grape seed</w:t>
        </w:r>
      </w:hyperlink>
      <w:r>
        <w:t xml:space="preserve"> (p. </w:t>
      </w:r>
      <w:fldSimple w:instr=" PAGEREF &quot;vine-and-grape-seed&quot; \h ">
        <w:r>
          <w:t>234</w:t>
        </w:r>
      </w:fldSimple>
      <w:r>
        <w:t>)</w:t>
      </w:r>
    </w:p>
    <w:p>
      <w:pPr>
        <w:widowControl/>
      </w:pPr>
      <w:r>
        <w:rPr>
          <w:b/>
          <w:i w:val="0"/>
        </w:rPr>
        <w:t>W</w:t>
      </w:r>
      <w:r>
        <w:br/>
      </w:r>
      <w:hyperlink w:anchor="weariness-and-agility">
        <w:r>
          <w:rPr>
            <w:color w:val="000000"/>
          </w:rPr>
          <w:t xml:space="preserve">Weariness and agility</w:t>
        </w:r>
      </w:hyperlink>
      <w:r>
        <w:t xml:space="preserve"> (p. </w:t>
      </w:r>
      <w:fldSimple w:instr=" PAGEREF &quot;weariness-and-agility&quot; \h ">
        <w:r>
          <w:t>235</w:t>
        </w:r>
      </w:fldSimple>
      <w:r>
        <w:t>)</w:t>
      </w:r>
      <w:r>
        <w:rPr>
          <w:b w:val="0"/>
          <w:i w:val="0"/>
        </w:rPr>
        <w:t xml:space="preserve"> · </w:t>
      </w:r>
      <w:hyperlink w:anchor="weaving-and-world-fabric">
        <w:r>
          <w:rPr>
            <w:color w:val="000000"/>
          </w:rPr>
          <w:t xml:space="preserve">Weaving and world fabric</w:t>
        </w:r>
      </w:hyperlink>
      <w:r>
        <w:t xml:space="preserve"> (p. </w:t>
      </w:r>
      <w:fldSimple w:instr=" PAGEREF &quot;weaving-and-world-fabric&quot; \h ">
        <w:r>
          <w:t>236</w:t>
        </w:r>
      </w:fldSimple>
      <w:r>
        <w:t>)</w:t>
      </w:r>
      <w:r>
        <w:rPr>
          <w:b w:val="0"/>
          <w:i w:val="0"/>
        </w:rPr>
        <w:t xml:space="preserve"> · </w:t>
      </w:r>
      <w:hyperlink w:anchor="whole-and-parts">
        <w:r>
          <w:rPr>
            <w:color w:val="000000"/>
          </w:rPr>
          <w:t xml:space="preserve">Whole and parts</w:t>
        </w:r>
      </w:hyperlink>
      <w:r>
        <w:t xml:space="preserve"> (p. </w:t>
      </w:r>
      <w:fldSimple w:instr=" PAGEREF &quot;whole-and-parts&quot; \h ">
        <w:r>
          <w:t>237</w:t>
        </w:r>
      </w:fldSimple>
      <w:r>
        <w:t>)</w:t>
      </w:r>
      <w:r>
        <w:rPr>
          <w:b w:val="0"/>
          <w:i w:val="0"/>
        </w:rPr>
        <w:t xml:space="preserve"> · </w:t>
      </w:r>
      <w:hyperlink w:anchor="will">
        <w:r>
          <w:rPr>
            <w:color w:val="000000"/>
          </w:rPr>
          <w:t xml:space="preserve">Will</w:t>
        </w:r>
      </w:hyperlink>
      <w:r>
        <w:t xml:space="preserve"> (p. </w:t>
      </w:r>
      <w:fldSimple w:instr=" PAGEREF &quot;will&quot; \h ">
        <w:r>
          <w:t>238</w:t>
        </w:r>
      </w:fldSimple>
      <w:r>
        <w:t>)</w:t>
      </w:r>
      <w:r>
        <w:rPr>
          <w:b w:val="0"/>
          <w:i w:val="0"/>
        </w:rPr>
        <w:t xml:space="preserve"> · </w:t>
      </w:r>
      <w:hyperlink w:anchor="wishing-refusing-and-the-good">
        <w:r>
          <w:rPr>
            <w:color w:val="000000"/>
          </w:rPr>
          <w:t xml:space="preserve">Wishing, refusing and the good</w:t>
        </w:r>
      </w:hyperlink>
      <w:r>
        <w:t xml:space="preserve"> (p. </w:t>
      </w:r>
      <w:fldSimple w:instr=" PAGEREF &quot;wishing-refusing-and-the-good&quot; \h ">
        <w:r>
          <w:t>239</w:t>
        </w:r>
      </w:fldSimple>
      <w:r>
        <w:t>)</w:t>
      </w:r>
      <w:r>
        <w:rPr>
          <w:b w:val="0"/>
          <w:i w:val="0"/>
        </w:rPr>
        <w:t xml:space="preserve"> · </w:t>
      </w:r>
      <w:hyperlink w:anchor="wonder-and-familiarity">
        <w:r>
          <w:rPr>
            <w:color w:val="000000"/>
          </w:rPr>
          <w:t xml:space="preserve">Wonder and familiarity</w:t>
        </w:r>
      </w:hyperlink>
      <w:r>
        <w:t xml:space="preserve"> (p. </w:t>
      </w:r>
      <w:fldSimple w:instr=" PAGEREF &quot;wonder-and-familiarity&quot; \h ">
        <w:r>
          <w:t>240</w:t>
        </w:r>
      </w:fldSimple>
      <w:r>
        <w:t>)</w:t>
      </w:r>
      <w:r>
        <w:rPr>
          <w:b w:val="0"/>
          <w:i w:val="0"/>
        </w:rPr>
        <w:t xml:space="preserve"> · </w:t>
      </w:r>
      <w:hyperlink w:anchor="word-and-meaning">
        <w:r>
          <w:rPr>
            <w:color w:val="000000"/>
          </w:rPr>
          <w:t xml:space="preserve">Word and meaning</w:t>
        </w:r>
      </w:hyperlink>
      <w:r>
        <w:t xml:space="preserve"> (p. </w:t>
      </w:r>
      <w:fldSimple w:instr=" PAGEREF &quot;word-and-meaning&quot; \h ">
        <w:r>
          <w:t>241</w:t>
        </w:r>
      </w:fldSimple>
      <w:r>
        <w:t>)</w:t>
      </w:r>
      <w:r>
        <w:rPr>
          <w:b w:val="0"/>
          <w:i w:val="0"/>
        </w:rPr>
        <w:t xml:space="preserve"> · </w:t>
      </w:r>
      <w:hyperlink w:anchor="world-and-universe">
        <w:r>
          <w:rPr>
            <w:color w:val="000000"/>
          </w:rPr>
          <w:t xml:space="preserve">World and universe</w:t>
        </w:r>
      </w:hyperlink>
      <w:r>
        <w:t xml:space="preserve"> (p. </w:t>
      </w:r>
      <w:fldSimple w:instr=" PAGEREF &quot;world-and-universe&quot; \h ">
        <w:r>
          <w:t>242</w:t>
        </w:r>
      </w:fldSimple>
      <w:r>
        <w:t>)</w:t>
      </w:r>
      <w:r>
        <w:rPr>
          <w:b w:val="0"/>
          <w:i w:val="0"/>
        </w:rPr>
        <w:t xml:space="preserve"> · </w:t>
      </w:r>
      <w:hyperlink w:anchor="world-soul">
        <w:r>
          <w:rPr>
            <w:color w:val="000000"/>
          </w:rPr>
          <w:t xml:space="preserve">World soul</w:t>
        </w:r>
      </w:hyperlink>
      <w:r>
        <w:t xml:space="preserve"> (p. </w:t>
      </w:r>
      <w:fldSimple w:instr=" PAGEREF &quot;world-soul&quot; \h ">
        <w:r>
          <w:t>242</w:t>
        </w:r>
      </w:fldSimple>
      <w:r>
        <w:t>)</w:t>
      </w:r>
      <w:r>
        <w:rPr>
          <w:b w:val="0"/>
          <w:i w:val="0"/>
        </w:rPr>
        <w:t xml:space="preserve"> · </w:t>
      </w:r>
      <w:hyperlink w:anchor="worship-and-piety">
        <w:r>
          <w:rPr>
            <w:color w:val="000000"/>
          </w:rPr>
          <w:t xml:space="preserve">Worship and piety</w:t>
        </w:r>
      </w:hyperlink>
      <w:r>
        <w:t xml:space="preserve"> (p. </w:t>
      </w:r>
      <w:fldSimple w:instr=" PAGEREF &quot;worship-and-piety&quot; \h ">
        <w:r>
          <w:t>244</w:t>
        </w:r>
      </w:fldSimple>
      <w:r>
        <w:t>)</w:t>
      </w:r>
    </w:p>
    <w:p>
      <w:pPr>
        <w:widowControl/>
      </w:pPr>
      <w:r>
        <w:rPr>
          <w:b/>
          <w:i w:val="0"/>
        </w:rPr>
        <w:t>X</w:t>
      </w:r>
      <w:r>
        <w:br/>
      </w:r>
      <w:hyperlink w:anchor="xenocrates-and-the-riddle">
        <w:r>
          <w:rPr>
            <w:color w:val="000000"/>
          </w:rPr>
          <w:t xml:space="preserve">Xenocrates and the riddle</w:t>
        </w:r>
      </w:hyperlink>
      <w:r>
        <w:t xml:space="preserve"> (p. </w:t>
      </w:r>
      <w:fldSimple w:instr=" PAGEREF &quot;xenocrates-and-the-riddle&quot; \h ">
        <w:r>
          <w:t>244</w:t>
        </w:r>
      </w:fldSimple>
      <w:r>
        <w:t>)</w:t>
      </w:r>
    </w:p>
    <w:p>
      <w:pPr>
        <w:widowControl/>
      </w:pPr>
      <w:r>
        <w:rPr>
          <w:b/>
          <w:i w:val="0"/>
        </w:rPr>
        <w:t>Z</w:t>
      </w:r>
      <w:r>
        <w:br/>
      </w:r>
      <w:hyperlink w:anchor="zodiac">
        <w:r>
          <w:rPr>
            <w:color w:val="000000"/>
          </w:rPr>
          <w:t xml:space="preserve">Zodiac</w:t>
        </w:r>
      </w:hyperlink>
      <w:r>
        <w:t xml:space="preserve"> (p. </w:t>
      </w:r>
      <w:fldSimple w:instr=" PAGEREF &quot;zodiac&quot; \h ">
        <w:r>
          <w:t>245</w:t>
        </w:r>
      </w:fldSimple>
      <w:r>
        <w:t>)</w:t>
      </w:r>
    </w:p>
    <w:p>
      <w:bookmarkStart w:id="16" w:name="lexicon"/>
      <w:pPr>
        <w:pStyle w:val="Heading1"/>
      </w:pPr>
      <w:r>
        <w:rPr>
          <w:b w:val="0"/>
          <w:i w:val="0"/>
        </w:rPr>
        <w:t>Lexicon</w:t>
      </w:r>
      <w:bookmarkEnd w:id="16"/>
    </w:p>
    <w:p>
      <w:bookmarkStart w:id="17" w:name="act-and-operation"/>
      <w:pPr>
        <w:pStyle w:val="Heading2"/>
      </w:pPr>
      <w:r>
        <w:rPr>
          <w:b w:val="0"/>
          <w:i w:val="0"/>
        </w:rPr>
        <w:t>Act and operation</w:t>
      </w:r>
      <w:bookmarkEnd w:id="17"/>
    </w:p>
    <w:p>
      <w:pPr>
        <w:keepNext/>
        <w:widowControl/>
      </w:pPr>
      <w:r>
        <w:rPr>
          <w:b/>
          <w:i w:val="0"/>
        </w:rPr>
        <w:t>Latin:</w:t>
      </w:r>
      <w:r>
        <w:rPr>
          <w:b w:val="0"/>
          <w:i w:val="0"/>
        </w:rPr>
        <w:t xml:space="preserve"> </w:t>
      </w:r>
      <w:r>
        <w:rPr>
          <w:b w:val="0"/>
          <w:i/>
        </w:rPr>
        <w:t>actus</w:t>
      </w:r>
      <w:r>
        <w:rPr>
          <w:b w:val="0"/>
          <w:i w:val="0"/>
        </w:rPr>
        <w:t xml:space="preserve">; </w:t>
      </w:r>
      <w:r>
        <w:rPr>
          <w:b w:val="0"/>
          <w:i/>
        </w:rPr>
        <w:t>actio</w:t>
      </w:r>
      <w:r>
        <w:rPr>
          <w:b w:val="0"/>
          <w:i w:val="0"/>
        </w:rPr>
        <w:t xml:space="preserve">; </w:t>
      </w:r>
      <w:r>
        <w:rPr>
          <w:b w:val="0"/>
          <w:i/>
        </w:rPr>
        <w:t>operatio</w:t>
      </w:r>
      <w:r>
        <w:rPr>
          <w:b w:val="0"/>
          <w:i w:val="0"/>
        </w:rPr>
        <w:t xml:space="preserve">; </w:t>
      </w:r>
      <w:r>
        <w:rPr>
          <w:b w:val="0"/>
          <w:i/>
        </w:rPr>
        <w:t>agere</w:t>
      </w:r>
      <w:r>
        <w:rPr>
          <w:b w:val="0"/>
          <w:i w:val="0"/>
        </w:rPr>
        <w:t xml:space="preserve">; </w:t>
      </w:r>
      <w:r>
        <w:rPr>
          <w:b w:val="0"/>
          <w:i/>
        </w:rPr>
        <w:t>operari</w:t>
      </w:r>
      <w:r>
        <w:rPr>
          <w:b w:val="0"/>
          <w:i w:val="0"/>
        </w:rPr>
        <w:t xml:space="preserve">; </w:t>
      </w:r>
      <w:r>
        <w:rPr>
          <w:b w:val="0"/>
          <w:i/>
        </w:rPr>
        <w:t>actus primus</w:t>
      </w:r>
      <w:r>
        <w:rPr>
          <w:b w:val="0"/>
          <w:i w:val="0"/>
        </w:rPr>
        <w:t xml:space="preserve">; </w:t>
      </w:r>
      <w:r>
        <w:rPr>
          <w:b w:val="0"/>
          <w:i/>
        </w:rPr>
        <w:t>potentia</w:t>
      </w:r>
      <w:r>
        <w:rPr>
          <w:b w:val="0"/>
          <w:i w:val="0"/>
        </w:rPr>
        <w:t xml:space="preserve">; </w:t>
      </w:r>
      <w:r>
        <w:rPr>
          <w:b w:val="0"/>
          <w:i/>
        </w:rPr>
        <w:t>purus actus</w:t>
      </w:r>
      <w:r>
        <w:rPr>
          <w:b w:val="0"/>
          <w:i w:val="0"/>
        </w:rPr>
        <w:t xml:space="preserve">; </w:t>
      </w:r>
      <w:r>
        <w:rPr>
          <w:b w:val="0"/>
          <w:i/>
        </w:rPr>
        <w:t>merus actus</w:t>
      </w:r>
      <w:r>
        <w:rPr>
          <w:b w:val="0"/>
          <w:i w:val="0"/>
        </w:rPr>
        <w:t xml:space="preserve">; </w:t>
      </w:r>
      <w:r>
        <w:rPr>
          <w:b w:val="0"/>
          <w:i/>
        </w:rPr>
        <w:t>potentia susceptiva atque passiva</w:t>
      </w:r>
      <w:r>
        <w:rPr>
          <w:b w:val="0"/>
          <w:i w:val="0"/>
        </w:rPr>
        <w:t xml:space="preserve">; </w:t>
      </w:r>
      <w:r>
        <w:rPr>
          <w:b w:val="0"/>
          <w:i/>
        </w:rPr>
        <w:t>vigor agendi</w:t>
      </w:r>
      <w:r>
        <w:rPr>
          <w:b w:val="0"/>
          <w:i w:val="0"/>
        </w:rPr>
        <w:t xml:space="preserve">; </w:t>
      </w:r>
      <w:r>
        <w:rPr>
          <w:b w:val="0"/>
          <w:i/>
        </w:rPr>
        <w:t>actum</w:t>
      </w:r>
      <w:r>
        <w:rPr>
          <w:b w:val="0"/>
          <w:i w:val="0"/>
        </w:rPr>
        <w:t xml:space="preserve">; </w:t>
      </w:r>
      <w:r>
        <w:rPr>
          <w:b w:val="0"/>
          <w:i/>
        </w:rPr>
        <w:t>actu</w:t>
      </w:r>
    </w:p>
    <w:p>
      <w:pPr>
        <w:keepNext/>
        <w:widowControl/>
      </w:pPr>
      <w:r>
        <w:rPr>
          <w:b/>
          <w:i w:val="0"/>
        </w:rPr>
        <w:t>The word.</w:t>
      </w:r>
    </w:p>
    <w:p>
      <w:pPr>
        <w:widowControl/>
      </w:pPr>
      <w:r>
        <w:rPr>
          <w:b w:val="0"/>
          <w:i w:val="0"/>
        </w:rPr>
        <w:t>Actus may denote actuality, a present act, or the realized exercise of a capacity. Actio and operatio emphasize an agent’s doing, including both inward cognition and outward production. They must be distinguished from potentia and from habitus, a settled possession.</w:t>
      </w:r>
    </w:p>
    <w:p>
      <w:pPr>
        <w:keepNext/>
        <w:widowControl/>
      </w:pPr>
      <w:r>
        <w:rPr>
          <w:b/>
          <w:i w:val="0"/>
        </w:rPr>
        <w:t>In the Platonic Theology.</w:t>
      </w:r>
    </w:p>
    <w:p>
      <w:pPr>
        <w:widowControl/>
      </w:pPr>
      <w:r>
        <w:rPr>
          <w:b w:val="0"/>
          <w:i/>
        </w:rPr>
        <w:t>Actus</w:t>
      </w:r>
      <w:r>
        <w:rPr>
          <w:b w:val="0"/>
          <w:i w:val="0"/>
        </w:rPr>
        <w:t xml:space="preserve"> can mean actuality, realized being, a present act, or the exercise of a power. </w:t>
      </w:r>
      <w:r>
        <w:rPr>
          <w:b w:val="0"/>
          <w:i/>
        </w:rPr>
        <w:t>Actio</w:t>
      </w:r>
      <w:r>
        <w:rPr>
          <w:b w:val="0"/>
          <w:i w:val="0"/>
        </w:rPr>
        <w:t xml:space="preserve"> and </w:t>
      </w:r>
      <w:r>
        <w:rPr>
          <w:b w:val="0"/>
          <w:i/>
        </w:rPr>
        <w:t>operatio</w:t>
      </w:r>
      <w:r>
        <w:rPr>
          <w:b w:val="0"/>
          <w:i w:val="0"/>
        </w:rPr>
        <w:t xml:space="preserve"> ordinarily emphasize what an agent does. Their relation is clearest in the triad essence, power, operation: the soul remains stable in essence while its operations occur successively; quality changes in all three respects. An operation such as heating water takes time, whereas a superior stable operation completes its work without succession. Natural philosophers also call form act because form supplies determinate being and efficacy. These uses differ from the soul’s acquired power passing from potency into act and then into habit.</w:t>
      </w:r>
    </w:p>
    <w:p>
      <w:pPr>
        <w:widowControl/>
      </w:pPr>
      <w:r>
        <w:rPr>
          <w:b w:val="0"/>
          <w:i w:val="0"/>
        </w:rPr>
        <w:t>The opposition to potency becomes a measure of dependence. Matter is pure receptive capacity, while quality, soul, and angel combine actuality with reception: quality receives bodily division, soul acquires what it previously lacked, and angel receives being, illumination, and intelligible forms. Angelic potency does not require bodily matter. God’s act alone contains no passive or receptive component. Ficino reasons that act considered in itself is not limited; limits arise from a receiving subject or a limiting cause. A second pure act could not differ from the first without an addition compromising its purity. Colored light illustrates the difference: red or green light is light qualified by something further. Matter contains forms confusedly as possibilities, whereas God contains them distinctly and actually.</w:t>
      </w:r>
    </w:p>
    <w:p>
      <w:pPr>
        <w:widowControl/>
      </w:pPr>
      <w:r>
        <w:rPr>
          <w:b w:val="0"/>
          <w:i w:val="0"/>
        </w:rPr>
        <w:t>Book IV applies the distinction to production and possession. A transition from potency to act requires a cause already possessing the corresponding act, or an equal or superior one; the remote possibility of fire in colliding cold bodies is insufficient by itself to explain its production. Angel holds principles actually and together, soul habitually, and matter potentially. These are modes of holding content, not three unrelated inventories. The lower powers of celestial soul actualize their seeds successively rather than all at once.</w:t>
      </w:r>
    </w:p>
    <w:p>
      <w:pPr>
        <w:widowControl/>
      </w:pPr>
      <w:r>
        <w:rPr>
          <w:b w:val="0"/>
          <w:i w:val="0"/>
        </w:rPr>
        <w:t xml:space="preserve">In II.4.6, </w:t>
      </w:r>
      <w:r>
        <w:rPr>
          <w:b w:val="0"/>
          <w:i/>
        </w:rPr>
        <w:t>actus primus</w:t>
      </w:r>
      <w:r>
        <w:rPr>
          <w:b w:val="0"/>
          <w:i w:val="0"/>
        </w:rPr>
        <w:t xml:space="preserve"> names the divine act on which primary matter and the essences of minds and souls depend. Divine operation is identical with divine essence and understanding, not an acquired activity that perfects a previously incomplete God. Ficino distinguishes activity remaining within the agent, such as knowing and desire, from activity passing into external matter. This distinction does not deny divine external effects. Creation, indeed, exceeds the actualization of a receptive material: nothingness is not even a passive capacity. Finally, action is prior to the passion of being acted upon, supporting the argument for agents that move without being moved. Context therefore determines whether </w:t>
      </w:r>
      <w:r>
        <w:rPr>
          <w:b w:val="0"/>
          <w:i/>
        </w:rPr>
        <w:t>actus</w:t>
      </w:r>
      <w:r>
        <w:rPr>
          <w:b w:val="0"/>
          <w:i w:val="0"/>
        </w:rPr>
        <w:t xml:space="preserve"> names achieved being, inward activity, an outward operation, or a power’s present exercise.</w:t>
      </w:r>
    </w:p>
    <w:p>
      <w:pPr>
        <w:keepNext/>
        <w:widowControl/>
      </w:pPr>
      <w:r>
        <w:rPr>
          <w:b/>
          <w:i w:val="0"/>
        </w:rPr>
        <w:t>The places.</w:t>
      </w:r>
    </w:p>
    <w:p>
      <w:pPr>
        <w:ind w:left="187" w:hanging="187"/>
      </w:pPr>
      <w:r>
        <w:t xml:space="preserve">• </w:t>
      </w:r>
      <w:r>
        <w:rPr>
          <w:b/>
          <w:i w:val="0"/>
        </w:rPr>
        <w:t>I.4.1–5, PDF 54–59</w:t>
      </w:r>
      <w:r>
        <w:rPr>
          <w:b w:val="0"/>
          <w:i w:val="0"/>
        </w:rPr>
        <w:t>. Essence, power and operation distinguish wholly changing quality from the partially stable third essence.</w:t>
      </w:r>
    </w:p>
    <w:p>
      <w:pPr>
        <w:ind w:left="187" w:hanging="187"/>
      </w:pPr>
      <w:r>
        <w:t xml:space="preserve">• </w:t>
      </w:r>
      <w:r>
        <w:rPr>
          <w:b/>
          <w:i w:val="0"/>
        </w:rPr>
        <w:t>I.5.1–4, PDF 60–63</w:t>
      </w:r>
      <w:r>
        <w:rPr>
          <w:b w:val="0"/>
          <w:i w:val="0"/>
        </w:rPr>
        <w:t>. Potency, act and habit govern acquired power; perpetual act is contrasted with inactivity.</w:t>
      </w:r>
    </w:p>
    <w:p>
      <w:pPr>
        <w:ind w:left="187" w:hanging="187"/>
      </w:pPr>
      <w:r>
        <w:t xml:space="preserve">• </w:t>
      </w:r>
      <w:r>
        <w:rPr>
          <w:b/>
          <w:i w:val="0"/>
        </w:rPr>
        <w:t>II.8.5, PDF 162–163</w:t>
      </w:r>
      <w:r>
        <w:rPr>
          <w:b w:val="0"/>
          <w:i w:val="0"/>
        </w:rPr>
        <w:t>. Pure being, essential power and deliberation are distinguished as modes of acting.</w:t>
      </w:r>
    </w:p>
    <w:p>
      <w:pPr>
        <w:ind w:left="187" w:hanging="187"/>
      </w:pPr>
      <w:r>
        <w:t xml:space="preserve">• </w:t>
      </w:r>
      <w:r>
        <w:rPr>
          <w:b/>
          <w:i w:val="0"/>
        </w:rPr>
        <w:t>II.9.13, PDF 168–169</w:t>
      </w:r>
      <w:r>
        <w:rPr>
          <w:b w:val="0"/>
          <w:i w:val="0"/>
        </w:rPr>
        <w:t>. Divine voluntary cognition and operation are identified without excluding effects outside God.</w:t>
      </w:r>
    </w:p>
    <w:p>
      <w:pPr>
        <w:widowControl/>
      </w:pPr>
      <w:r>
        <w:rPr>
          <w:b/>
          <w:i w:val="0"/>
        </w:rPr>
        <w:t>Further passage references.</w:t>
      </w:r>
      <w:r>
        <w:rPr>
          <w:b w:val="0"/>
          <w:i w:val="0"/>
        </w:rPr>
        <w:t xml:space="preserve"> I.3.1 (PDF pp. 28–29); I.4.1, I.4.5 (pp. 54–55, 58–59); I.5.1–I.5.4 (pp. 60–63); I.5.19 (pp. 74–75); II.4.1–6, pp. 122–125; II.8.4–5, pp. 160–163; II.9.5–8, pp. 166–167; II.9.13, pp. 168–169; II.11.1, PDF 182–183; III.1.9–12, PDF 244–249; IV.1.15, pp. 288–289; IV.1.19, pp. 290–291; IV.1.87, pp. 326–327; IV.2.9–IV.2.12, pp. 336–341; IV.2.19, pp. 344–345</w:t>
      </w:r>
    </w:p>
    <w:p>
      <w:pPr>
        <w:keepNext/>
        <w:widowControl/>
      </w:pPr>
      <w:r>
        <w:rPr>
          <w:b/>
          <w:i w:val="0"/>
        </w:rPr>
        <w:t>In this edition.</w:t>
      </w:r>
    </w:p>
    <w:p>
      <w:pPr>
        <w:widowControl/>
      </w:pPr>
      <w:r>
        <w:rPr>
          <w:b w:val="0"/>
          <w:i w:val="0"/>
        </w:rPr>
        <w:t xml:space="preserve">The translation’s </w:t>
      </w:r>
      <w:r>
        <w:t>“</w:t>
      </w:r>
      <w:r>
        <w:rPr>
          <w:b w:val="0"/>
          <w:i w:val="0"/>
        </w:rPr>
        <w:t>act,</w:t>
      </w:r>
      <w:r>
        <w:t>”</w:t>
      </w:r>
      <w:r>
        <w:rPr>
          <w:b w:val="0"/>
          <w:i w:val="0"/>
        </w:rPr>
        <w:t xml:space="preserve"> </w:t>
      </w:r>
      <w:r>
        <w:t>“</w:t>
      </w:r>
      <w:r>
        <w:rPr>
          <w:b w:val="0"/>
          <w:i w:val="0"/>
        </w:rPr>
        <w:t>activity,</w:t>
      </w:r>
      <w:r>
        <w:t>”</w:t>
      </w:r>
      <w:r>
        <w:rPr>
          <w:b w:val="0"/>
          <w:i w:val="0"/>
        </w:rPr>
        <w:t xml:space="preserve"> </w:t>
      </w:r>
      <w:r>
        <w:t>“</w:t>
      </w:r>
      <w:r>
        <w:rPr>
          <w:b w:val="0"/>
          <w:i w:val="0"/>
        </w:rPr>
        <w:t>operation</w:t>
      </w:r>
      <w:r>
        <w:t>”</w:t>
      </w:r>
      <w:r>
        <w:rPr>
          <w:b w:val="0"/>
          <w:i w:val="0"/>
        </w:rPr>
        <w:t xml:space="preserve"> and </w:t>
      </w:r>
      <w:r>
        <w:t>“</w:t>
      </w:r>
      <w:r>
        <w:rPr>
          <w:b w:val="0"/>
          <w:i w:val="0"/>
        </w:rPr>
        <w:t>actuality</w:t>
      </w:r>
      <w:r>
        <w:t>”</w:t>
      </w:r>
      <w:r>
        <w:rPr>
          <w:b w:val="0"/>
          <w:i w:val="0"/>
        </w:rPr>
        <w:t xml:space="preserve"> reflect different objects and contrasts. I.5.1’s transition into habit must not be erased by treating habitus as another occurrence of present activity. In II.8.5 acting through being means pure being only of the first agent; subordinate agents act through an essential power.</w:t>
      </w:r>
    </w:p>
    <w:p>
      <w:pPr>
        <w:keepNext/>
        <w:widowControl/>
      </w:pPr>
      <w:r>
        <w:rPr>
          <w:b/>
          <w:i w:val="0"/>
        </w:rPr>
        <w:t>See also.</w:t>
      </w:r>
    </w:p>
    <w:p>
      <w:pPr>
        <w:widowControl/>
      </w:pPr>
      <w:hyperlink w:anchor="power-and-potency">
        <w:r>
          <w:rPr>
            <w:color w:val="000000"/>
          </w:rPr>
          <w:t xml:space="preserve">Power and potency</w:t>
        </w:r>
      </w:hyperlink>
      <w:r>
        <w:rPr>
          <w:b w:val="0"/>
          <w:i w:val="0"/>
        </w:rPr>
        <w:t xml:space="preserve">; </w:t>
      </w:r>
      <w:hyperlink w:anchor="motion-and-stability">
        <w:r>
          <w:rPr>
            <w:color w:val="000000"/>
          </w:rPr>
          <w:t xml:space="preserve">Motion and stability</w:t>
        </w:r>
      </w:hyperlink>
      <w:r>
        <w:rPr>
          <w:b w:val="0"/>
          <w:i w:val="0"/>
        </w:rPr>
        <w:t xml:space="preserve">; </w:t>
      </w:r>
      <w:hyperlink w:anchor="form">
        <w:r>
          <w:rPr>
            <w:color w:val="000000"/>
          </w:rPr>
          <w:t xml:space="preserve">Form</w:t>
        </w:r>
      </w:hyperlink>
      <w:r>
        <w:rPr>
          <w:b w:val="0"/>
          <w:i w:val="0"/>
        </w:rPr>
        <w:t xml:space="preserve">; </w:t>
      </w:r>
      <w:hyperlink w:anchor="essence-and-substance">
        <w:r>
          <w:rPr>
            <w:color w:val="000000"/>
          </w:rPr>
          <w:t xml:space="preserve">Essence and substance</w:t>
        </w:r>
      </w:hyperlink>
      <w:r>
        <w:rPr>
          <w:b w:val="0"/>
          <w:i w:val="0"/>
        </w:rPr>
        <w:t xml:space="preserve">; </w:t>
      </w:r>
      <w:hyperlink w:anchor="matter">
        <w:r>
          <w:rPr>
            <w:color w:val="000000"/>
          </w:rPr>
          <w:t xml:space="preserve">Matter</w:t>
        </w:r>
      </w:hyperlink>
      <w:r>
        <w:rPr>
          <w:b w:val="0"/>
          <w:i w:val="0"/>
        </w:rPr>
        <w:t xml:space="preserve">; </w:t>
      </w:r>
      <w:hyperlink w:anchor="being">
        <w:r>
          <w:rPr>
            <w:color w:val="000000"/>
          </w:rPr>
          <w:t xml:space="preserve">Being</w:t>
        </w:r>
      </w:hyperlink>
      <w:r>
        <w:rPr>
          <w:b w:val="0"/>
          <w:i w:val="0"/>
        </w:rPr>
        <w:t xml:space="preserve">; </w:t>
      </w:r>
      <w:hyperlink w:anchor="choice-and-deliberation">
        <w:r>
          <w:rPr>
            <w:color w:val="000000"/>
          </w:rPr>
          <w:t xml:space="preserve">Choice and deliberation</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body-and-bulk">
        <w:r>
          <w:rPr>
            <w:color w:val="000000"/>
          </w:rPr>
          <w:t xml:space="preserve">Body and bulk</w:t>
        </w:r>
      </w:hyperlink>
      <w:r>
        <w:rPr>
          <w:b w:val="0"/>
          <w:i w:val="0"/>
        </w:rPr>
        <w:t xml:space="preserve">; </w:t>
      </w:r>
      <w:hyperlink w:anchor="creation">
        <w:r>
          <w:rPr>
            <w:color w:val="000000"/>
          </w:rPr>
          <w:t xml:space="preserve">Creation</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w:t>
      </w:r>
      <w:hyperlink w:anchor="habitual-possession">
        <w:r>
          <w:rPr>
            <w:color w:val="000000"/>
          </w:rPr>
          <w:t xml:space="preserve">Habitual possession</w:t>
        </w:r>
      </w:hyperlink>
      <w:r>
        <w:rPr>
          <w:b w:val="0"/>
          <w:i w:val="0"/>
        </w:rPr>
        <w:t xml:space="preserve">; </w:t>
      </w:r>
      <w:hyperlink w:anchor="seeds">
        <w:r>
          <w:rPr>
            <w:color w:val="000000"/>
          </w:rPr>
          <w:t xml:space="preserve">Seeds</w:t>
        </w:r>
      </w:hyperlink>
    </w:p>
    <w:p>
      <w:bookmarkStart w:id="18" w:name="affect"/>
      <w:pPr>
        <w:pStyle w:val="Heading2"/>
      </w:pPr>
      <w:r>
        <w:rPr>
          <w:b w:val="0"/>
          <w:i w:val="0"/>
        </w:rPr>
        <w:t>Affect</w:t>
      </w:r>
      <w:bookmarkEnd w:id="18"/>
    </w:p>
    <w:p>
      <w:pPr>
        <w:keepNext/>
        <w:widowControl/>
      </w:pPr>
      <w:r>
        <w:rPr>
          <w:b/>
          <w:i w:val="0"/>
        </w:rPr>
        <w:t>Latin:</w:t>
      </w:r>
      <w:r>
        <w:rPr>
          <w:b w:val="0"/>
          <w:i w:val="0"/>
        </w:rPr>
        <w:t xml:space="preserve"> </w:t>
      </w:r>
      <w:r>
        <w:rPr>
          <w:b w:val="0"/>
          <w:i/>
        </w:rPr>
        <w:t>affectus</w:t>
      </w:r>
      <w:r>
        <w:rPr>
          <w:b w:val="0"/>
          <w:i w:val="0"/>
        </w:rPr>
        <w:t xml:space="preserve">; </w:t>
      </w:r>
      <w:r>
        <w:rPr>
          <w:b w:val="0"/>
          <w:i/>
        </w:rPr>
        <w:t>affectum</w:t>
      </w:r>
      <w:r>
        <w:rPr>
          <w:b w:val="0"/>
          <w:i w:val="0"/>
        </w:rPr>
        <w:t xml:space="preserve">; </w:t>
      </w:r>
      <w:r>
        <w:rPr>
          <w:b w:val="0"/>
          <w:i/>
        </w:rPr>
        <w:t>afficit</w:t>
      </w:r>
      <w:r>
        <w:rPr>
          <w:b w:val="0"/>
          <w:i w:val="0"/>
        </w:rPr>
        <w:t xml:space="preserve">; </w:t>
      </w:r>
      <w:r>
        <w:rPr>
          <w:b w:val="0"/>
          <w:i/>
        </w:rPr>
        <w:t>voluntatis affectum</w:t>
      </w:r>
      <w:r>
        <w:rPr>
          <w:b w:val="0"/>
          <w:i w:val="0"/>
        </w:rPr>
        <w:t xml:space="preserve">; </w:t>
      </w:r>
      <w:r>
        <w:rPr>
          <w:b w:val="0"/>
          <w:i/>
        </w:rPr>
        <w:t>affectu</w:t>
      </w:r>
      <w:r>
        <w:rPr>
          <w:b w:val="0"/>
          <w:i w:val="0"/>
        </w:rPr>
        <w:t xml:space="preserve">; </w:t>
      </w:r>
      <w:r>
        <w:rPr>
          <w:b w:val="0"/>
          <w:i/>
        </w:rPr>
        <w:t>affectiones</w:t>
      </w:r>
    </w:p>
    <w:p>
      <w:pPr>
        <w:keepNext/>
        <w:widowControl/>
      </w:pPr>
      <w:r>
        <w:rPr>
          <w:b/>
          <w:i w:val="0"/>
        </w:rPr>
        <w:t>The word.</w:t>
      </w:r>
    </w:p>
    <w:p>
      <w:pPr>
        <w:widowControl/>
      </w:pPr>
      <w:r>
        <w:rPr>
          <w:b w:val="0"/>
          <w:i w:val="0"/>
        </w:rPr>
        <w:t>Affectus is an inclination or engagement, not necessarily a passing emotion. Psychological affectio overlaps with this use, while afficere can more generally mean to modify or affect.</w:t>
      </w:r>
    </w:p>
    <w:p>
      <w:pPr>
        <w:keepNext/>
        <w:widowControl/>
      </w:pPr>
      <w:r>
        <w:rPr>
          <w:b/>
          <w:i w:val="0"/>
        </w:rPr>
        <w:t>In the Platonic Theology.</w:t>
      </w:r>
    </w:p>
    <w:p>
      <w:pPr>
        <w:widowControl/>
      </w:pPr>
      <w:r>
        <w:rPr>
          <w:b w:val="0"/>
          <w:i w:val="0"/>
        </w:rPr>
        <w:t>Affect names an inclination or engagement through which cognition becomes effective, rather than merely a passing emotion or fondness. In II.11.31–33, Ficino compares cognition in creatures to an image that produces no substantial effect without an affective movement. The movement appears more essential, and the force of its action corresponds to its strength. He extends this analogy to divine intelligence: divine will must possess an immensely powerful and delightful affective engagement. Affect is then connected with the beginning of generation in creatures and the origin of creation in God. His illustration of an ostrich gazing intently at its egg belongs to the passage’s natural lore, not to an independently validated account of incubation.</w:t>
      </w:r>
    </w:p>
    <w:p>
      <w:pPr>
        <w:widowControl/>
      </w:pPr>
      <w:r>
        <w:rPr>
          <w:b w:val="0"/>
          <w:i w:val="0"/>
        </w:rPr>
        <w:t>In IV.2.15–18, psychological affection connects the activities of souls to changing bodily and cosmic effects. Vigorous thought and affect are said to stir human spirits and humors; analogously, a varied succession of cosmic effects requires a varied succession of affections in the producing souls. A wholly stable cause considered by itself produces a stable work, while a moved soul mediates changing effects. This does not attribute human emotional disorders to celestial souls, whose administration is elsewhere described as orderly and unwearied. The comparison concerns directed psychic activity, its bodily consequences, and its succession.</w:t>
      </w:r>
    </w:p>
    <w:p>
      <w:pPr>
        <w:widowControl/>
      </w:pPr>
      <w:r>
        <w:rPr>
          <w:b w:val="0"/>
          <w:i w:val="0"/>
        </w:rPr>
        <w:t xml:space="preserve">The Latin families overlap, but their contexts matter. </w:t>
      </w:r>
      <w:r>
        <w:rPr>
          <w:b w:val="0"/>
          <w:i/>
        </w:rPr>
        <w:t>Affectus</w:t>
      </w:r>
      <w:r>
        <w:rPr>
          <w:b w:val="0"/>
          <w:i w:val="0"/>
        </w:rPr>
        <w:t xml:space="preserve"> and the psychological uses of </w:t>
      </w:r>
      <w:r>
        <w:rPr>
          <w:b w:val="0"/>
          <w:i/>
        </w:rPr>
        <w:t>affectio</w:t>
      </w:r>
      <w:r>
        <w:rPr>
          <w:b w:val="0"/>
          <w:i w:val="0"/>
        </w:rPr>
        <w:t xml:space="preserve"> here concern inclination and soul-condition. The more general passive modification designated by </w:t>
      </w:r>
      <w:r>
        <w:rPr>
          <w:b w:val="0"/>
          <w:i/>
        </w:rPr>
        <w:t>affectio</w:t>
      </w:r>
      <w:r>
        <w:rPr>
          <w:b w:val="0"/>
          <w:i w:val="0"/>
        </w:rPr>
        <w:t xml:space="preserve"> and </w:t>
      </w:r>
      <w:r>
        <w:rPr>
          <w:b w:val="0"/>
          <w:i/>
        </w:rPr>
        <w:t>passio</w:t>
      </w:r>
      <w:r>
        <w:rPr>
          <w:b w:val="0"/>
          <w:i w:val="0"/>
        </w:rPr>
        <w:t xml:space="preserve"> elsewhere is treated under Affection and passivity; not every affected thing feels an emotion.</w:t>
      </w:r>
    </w:p>
    <w:p>
      <w:pPr>
        <w:keepNext/>
        <w:widowControl/>
      </w:pPr>
      <w:r>
        <w:rPr>
          <w:b/>
          <w:i w:val="0"/>
        </w:rPr>
        <w:t>The places.</w:t>
      </w:r>
    </w:p>
    <w:p>
      <w:pPr>
        <w:ind w:left="187" w:hanging="187"/>
      </w:pPr>
      <w:r>
        <w:t xml:space="preserve">• </w:t>
      </w:r>
      <w:r>
        <w:rPr>
          <w:b/>
          <w:i w:val="0"/>
        </w:rPr>
        <w:t>II.11.31–33, PDF 196–199</w:t>
      </w:r>
      <w:r>
        <w:rPr>
          <w:b w:val="0"/>
          <w:i w:val="0"/>
        </w:rPr>
        <w:t>. Affective engagement is presented as making cognition effective and as connecting will with pleasure and production.</w:t>
      </w:r>
    </w:p>
    <w:p>
      <w:pPr>
        <w:ind w:left="187" w:hanging="187"/>
      </w:pPr>
      <w:r>
        <w:t xml:space="preserve">• </w:t>
      </w:r>
      <w:r>
        <w:rPr>
          <w:b/>
          <w:i w:val="0"/>
        </w:rPr>
        <w:t>IV.2.16, PDF 342–343</w:t>
      </w:r>
      <w:r>
        <w:rPr>
          <w:b w:val="0"/>
          <w:i w:val="0"/>
        </w:rPr>
        <w:t>. Thought and affect are compared with changes in spirits and humours to explain successive cosmic effects.</w:t>
      </w:r>
    </w:p>
    <w:p>
      <w:pPr>
        <w:widowControl/>
      </w:pPr>
      <w:r>
        <w:rPr>
          <w:b/>
          <w:i w:val="0"/>
        </w:rPr>
        <w:t>Further passage references.</w:t>
      </w:r>
      <w:r>
        <w:rPr>
          <w:b w:val="0"/>
          <w:i w:val="0"/>
        </w:rPr>
        <w:t xml:space="preserve"> II.11.31–33, PDF 196–199; IV.2.15–IV.2.18, pp. 342–343</w:t>
      </w:r>
    </w:p>
    <w:p>
      <w:pPr>
        <w:keepNext/>
        <w:widowControl/>
      </w:pPr>
      <w:r>
        <w:rPr>
          <w:b/>
          <w:i w:val="0"/>
        </w:rPr>
        <w:t>In this edition.</w:t>
      </w:r>
    </w:p>
    <w:p>
      <w:pPr>
        <w:widowControl/>
      </w:pPr>
      <w:r>
        <w:t>“</w:t>
      </w:r>
      <w:r>
        <w:rPr>
          <w:b w:val="0"/>
          <w:i w:val="0"/>
        </w:rPr>
        <w:t>Affect</w:t>
      </w:r>
      <w:r>
        <w:t>”</w:t>
      </w:r>
      <w:r>
        <w:rPr>
          <w:b w:val="0"/>
          <w:i w:val="0"/>
        </w:rPr>
        <w:t xml:space="preserve"> and </w:t>
      </w:r>
      <w:r>
        <w:t>“</w:t>
      </w:r>
      <w:r>
        <w:rPr>
          <w:b w:val="0"/>
          <w:i w:val="0"/>
        </w:rPr>
        <w:t>affection</w:t>
      </w:r>
      <w:r>
        <w:t>”</w:t>
      </w:r>
      <w:r>
        <w:rPr>
          <w:b w:val="0"/>
          <w:i w:val="0"/>
        </w:rPr>
        <w:t xml:space="preserve"> require their context: the ostrich example describes a supposed connection between directed cognition and generation, not verified physiology. The language of changing celestial affections concerns successive directed activity rather than automatically attributing human emotional disorder to heaven.</w:t>
      </w:r>
    </w:p>
    <w:p>
      <w:pPr>
        <w:keepNext/>
        <w:widowControl/>
      </w:pPr>
      <w:r>
        <w:rPr>
          <w:b/>
          <w:i w:val="0"/>
        </w:rPr>
        <w:t>See also.</w:t>
      </w:r>
    </w:p>
    <w:p>
      <w:pPr>
        <w:widowControl/>
      </w:pPr>
      <w:hyperlink w:anchor="appetite-and-desire">
        <w:r>
          <w:rPr>
            <w:color w:val="000000"/>
          </w:rPr>
          <w:t xml:space="preserve">Appetite and desire</w:t>
        </w:r>
      </w:hyperlink>
      <w:r>
        <w:rPr>
          <w:b w:val="0"/>
          <w:i w:val="0"/>
        </w:rPr>
        <w:t xml:space="preserve">; </w:t>
      </w:r>
      <w:hyperlink w:anchor="love-and-pleasure">
        <w:r>
          <w:rPr>
            <w:color w:val="000000"/>
          </w:rPr>
          <w:t xml:space="preserve">Love and pleasure</w:t>
        </w:r>
      </w:hyperlink>
      <w:r>
        <w:rPr>
          <w:b w:val="0"/>
          <w:i w:val="0"/>
        </w:rPr>
        <w:t xml:space="preserve">; </w:t>
      </w:r>
      <w:hyperlink w:anchor="will">
        <w:r>
          <w:rPr>
            <w:color w:val="000000"/>
          </w:rPr>
          <w:t xml:space="preserve">Will</w:t>
        </w:r>
      </w:hyperlink>
      <w:r>
        <w:rPr>
          <w:b w:val="0"/>
          <w:i w:val="0"/>
        </w:rPr>
        <w:t xml:space="preserve">; </w:t>
      </w:r>
      <w:hyperlink w:anchor="sense-and-imagination">
        <w:r>
          <w:rPr>
            <w:color w:val="000000"/>
          </w:rPr>
          <w:t xml:space="preserve">Sense and imagination</w:t>
        </w:r>
      </w:hyperlink>
      <w:r>
        <w:rPr>
          <w:b w:val="0"/>
          <w:i w:val="0"/>
        </w:rPr>
        <w:t xml:space="preserve">; </w:t>
      </w:r>
      <w:hyperlink w:anchor="fate">
        <w:r>
          <w:rPr>
            <w:color w:val="000000"/>
          </w:rPr>
          <w:t xml:space="preserve">Fate</w:t>
        </w:r>
      </w:hyperlink>
      <w:r>
        <w:rPr>
          <w:b w:val="0"/>
          <w:i w:val="0"/>
        </w:rPr>
        <w:t xml:space="preserve">; </w:t>
      </w:r>
      <w:hyperlink w:anchor="spirit">
        <w:r>
          <w:rPr>
            <w:color w:val="000000"/>
          </w:rPr>
          <w:t xml:space="preserve">Spirit</w:t>
        </w:r>
      </w:hyperlink>
      <w:r>
        <w:rPr>
          <w:b w:val="0"/>
          <w:i w:val="0"/>
        </w:rPr>
        <w:t xml:space="preserve">; </w:t>
      </w:r>
      <w:hyperlink w:anchor="affection-and-passivity">
        <w:r>
          <w:rPr>
            <w:color w:val="000000"/>
          </w:rPr>
          <w:t xml:space="preserve">Affection and passivity</w:t>
        </w:r>
      </w:hyperlink>
    </w:p>
    <w:p>
      <w:bookmarkStart w:id="19" w:name="affection-and-passivity"/>
      <w:pPr>
        <w:pStyle w:val="Heading2"/>
      </w:pPr>
      <w:r>
        <w:rPr>
          <w:b w:val="0"/>
          <w:i w:val="0"/>
        </w:rPr>
        <w:t>Affection and passivity</w:t>
      </w:r>
      <w:bookmarkEnd w:id="19"/>
    </w:p>
    <w:p>
      <w:pPr>
        <w:keepNext/>
        <w:widowControl/>
      </w:pPr>
      <w:r>
        <w:rPr>
          <w:b/>
          <w:i w:val="0"/>
        </w:rPr>
        <w:t>Latin:</w:t>
      </w:r>
      <w:r>
        <w:rPr>
          <w:b w:val="0"/>
          <w:i w:val="0"/>
        </w:rPr>
        <w:t xml:space="preserve"> </w:t>
      </w:r>
      <w:r>
        <w:rPr>
          <w:b w:val="0"/>
          <w:i/>
        </w:rPr>
        <w:t>affectio</w:t>
      </w:r>
      <w:r>
        <w:rPr>
          <w:b w:val="0"/>
          <w:i w:val="0"/>
        </w:rPr>
        <w:t xml:space="preserve">; </w:t>
      </w:r>
      <w:r>
        <w:rPr>
          <w:b w:val="0"/>
          <w:i/>
        </w:rPr>
        <w:t>passio</w:t>
      </w:r>
      <w:r>
        <w:rPr>
          <w:b w:val="0"/>
          <w:i w:val="0"/>
        </w:rPr>
        <w:t xml:space="preserve">; </w:t>
      </w:r>
      <w:r>
        <w:rPr>
          <w:b w:val="0"/>
          <w:i/>
        </w:rPr>
        <w:t>affici</w:t>
      </w:r>
      <w:r>
        <w:rPr>
          <w:b w:val="0"/>
          <w:i w:val="0"/>
        </w:rPr>
        <w:t xml:space="preserve">; </w:t>
      </w:r>
      <w:r>
        <w:rPr>
          <w:b w:val="0"/>
          <w:i/>
        </w:rPr>
        <w:t>pati</w:t>
      </w:r>
      <w:r>
        <w:rPr>
          <w:b w:val="0"/>
          <w:i w:val="0"/>
        </w:rPr>
        <w:t xml:space="preserve">; </w:t>
      </w:r>
      <w:r>
        <w:rPr>
          <w:b w:val="0"/>
          <w:i/>
        </w:rPr>
        <w:t>patiens</w:t>
      </w:r>
    </w:p>
    <w:p>
      <w:pPr>
        <w:keepNext/>
        <w:widowControl/>
      </w:pPr>
      <w:r>
        <w:rPr>
          <w:b/>
          <w:i w:val="0"/>
        </w:rPr>
        <w:t>The word.</w:t>
      </w:r>
    </w:p>
    <w:p>
      <w:pPr>
        <w:widowControl/>
      </w:pPr>
      <w:r>
        <w:rPr>
          <w:b w:val="0"/>
          <w:i w:val="0"/>
        </w:rPr>
        <w:t>Passio is undergoing action or passivity; patiens is its recipient. Affectio is often a bodily condition or modification, while affici means to be affected. Neither noun must denote an emotion.</w:t>
      </w:r>
    </w:p>
    <w:p>
      <w:pPr>
        <w:keepNext/>
        <w:widowControl/>
      </w:pPr>
      <w:r>
        <w:rPr>
          <w:b/>
          <w:i w:val="0"/>
        </w:rPr>
        <w:t>In the Platonic Theology.</w:t>
      </w:r>
    </w:p>
    <w:p>
      <w:pPr>
        <w:widowControl/>
      </w:pPr>
      <w:r>
        <w:rPr>
          <w:b w:val="0"/>
          <w:i w:val="0"/>
        </w:rPr>
        <w:t xml:space="preserve">An </w:t>
      </w:r>
      <w:r>
        <w:rPr>
          <w:b w:val="0"/>
          <w:i/>
        </w:rPr>
        <w:t>affectio</w:t>
      </w:r>
      <w:r>
        <w:rPr>
          <w:b w:val="0"/>
          <w:i w:val="0"/>
        </w:rPr>
        <w:t xml:space="preserve"> here is often a condition or modification, not an emotion. A body’s extension and its being affected are called kinds of </w:t>
      </w:r>
      <w:r>
        <w:rPr>
          <w:b w:val="0"/>
          <w:i/>
        </w:rPr>
        <w:t>passio</w:t>
      </w:r>
      <w:r>
        <w:rPr>
          <w:b w:val="0"/>
          <w:i w:val="0"/>
        </w:rPr>
        <w:t xml:space="preserve">: passivity or undergoing action. The </w:t>
      </w:r>
      <w:r>
        <w:rPr>
          <w:b w:val="0"/>
          <w:i/>
        </w:rPr>
        <w:t>patiens</w:t>
      </w:r>
      <w:r>
        <w:rPr>
          <w:b w:val="0"/>
          <w:i w:val="0"/>
        </w:rPr>
        <w:t xml:space="preserve"> is the recipient of action, paired with the </w:t>
      </w:r>
      <w:r>
        <w:rPr>
          <w:b w:val="0"/>
          <w:i/>
        </w:rPr>
        <w:t>agens</w:t>
      </w:r>
      <w:r>
        <w:rPr>
          <w:b w:val="0"/>
          <w:i w:val="0"/>
        </w:rPr>
        <w:t xml:space="preserve">, the agent. Ficino initially denies that body precisely as body acts, then assigns bodily effects to form and quality. In reporting Plotinus, he describes dimensions and qualities as the earliest passive conditions of matter; he also reports a different distinction under which quality acts upon both its own and foreign matter, though insufficiently. The passage thus compares different philosophical formulations rather than offering one unqualified definition. In the argument for angels, action and passion are asymmetric: moving is prior to being moved, and Ficino reasons that the former may exist without the latter. </w:t>
      </w:r>
      <w:r>
        <w:t>“</w:t>
      </w:r>
      <w:r>
        <w:rPr>
          <w:b w:val="0"/>
          <w:i w:val="0"/>
        </w:rPr>
        <w:t>Passion</w:t>
      </w:r>
      <w:r>
        <w:t>”</w:t>
      </w:r>
      <w:r>
        <w:rPr>
          <w:b w:val="0"/>
          <w:i w:val="0"/>
        </w:rPr>
        <w:t xml:space="preserve"> in this discussion does not normally mean a strong feeling or moral vice.</w:t>
      </w:r>
    </w:p>
    <w:p>
      <w:pPr>
        <w:keepNext/>
        <w:widowControl/>
      </w:pPr>
      <w:r>
        <w:rPr>
          <w:b/>
          <w:i w:val="0"/>
        </w:rPr>
        <w:t>The places.</w:t>
      </w:r>
    </w:p>
    <w:p>
      <w:pPr>
        <w:ind w:left="187" w:hanging="187"/>
      </w:pPr>
      <w:r>
        <w:t xml:space="preserve">• </w:t>
      </w:r>
      <w:r>
        <w:rPr>
          <w:b/>
          <w:i w:val="0"/>
        </w:rPr>
        <w:t>I.2.1–4, PDF 18–21</w:t>
      </w:r>
      <w:r>
        <w:rPr>
          <w:b w:val="0"/>
          <w:i w:val="0"/>
        </w:rPr>
        <w:t>. Body as body is passive; quantitative separation impedes agent, recipient and transmission.</w:t>
      </w:r>
    </w:p>
    <w:p>
      <w:pPr>
        <w:ind w:left="187" w:hanging="187"/>
      </w:pPr>
      <w:r>
        <w:t xml:space="preserve">• </w:t>
      </w:r>
      <w:r>
        <w:rPr>
          <w:b/>
          <w:i w:val="0"/>
        </w:rPr>
        <w:t>I.3.19–20, PDF 42–43</w:t>
      </w:r>
      <w:r>
        <w:rPr>
          <w:b w:val="0"/>
          <w:i w:val="0"/>
        </w:rPr>
        <w:t>. Different attributed accounts agree that bodily quality is not a sufficient first source of action.</w:t>
      </w:r>
    </w:p>
    <w:p>
      <w:pPr>
        <w:ind w:left="187" w:hanging="187"/>
      </w:pPr>
      <w:r>
        <w:t xml:space="preserve">• </w:t>
      </w:r>
      <w:r>
        <w:rPr>
          <w:b/>
          <w:i w:val="0"/>
        </w:rPr>
        <w:t>I.5.19, PDF 74–75</w:t>
      </w:r>
      <w:r>
        <w:rPr>
          <w:b w:val="0"/>
          <w:i w:val="0"/>
        </w:rPr>
        <w:t>. Moving is an action distinct from being moved, supporting the inference to unmoved movers.</w:t>
      </w:r>
    </w:p>
    <w:p>
      <w:pPr>
        <w:widowControl/>
      </w:pPr>
      <w:r>
        <w:rPr>
          <w:b/>
          <w:i w:val="0"/>
        </w:rPr>
        <w:t>Further passage references.</w:t>
      </w:r>
      <w:r>
        <w:rPr>
          <w:b w:val="0"/>
          <w:i w:val="0"/>
        </w:rPr>
        <w:t xml:space="preserve"> I.2.1–I.2.4 (PDF pp. 18–21); I.3.19–I.3.20 (pp. 42–43); I.4.2 (pp. 56–57); I.5.19 (pp. 74–75)</w:t>
      </w:r>
    </w:p>
    <w:p>
      <w:pPr>
        <w:keepNext/>
        <w:widowControl/>
      </w:pPr>
      <w:r>
        <w:rPr>
          <w:b/>
          <w:i w:val="0"/>
        </w:rPr>
        <w:t>In this edition.</w:t>
      </w:r>
    </w:p>
    <w:p>
      <w:pPr>
        <w:widowControl/>
      </w:pPr>
      <w:r>
        <w:rPr>
          <w:b w:val="0"/>
          <w:i w:val="0"/>
        </w:rPr>
        <w:t>The agent/patient wording preserves a causal opposition. At I.3.19, distinguish Ficino’s report of Plotinus from the alternative account introduced afterward; the two accounts assign different degrees of activity to quantity and quality.</w:t>
      </w:r>
    </w:p>
    <w:p>
      <w:pPr>
        <w:keepNext/>
        <w:widowControl/>
      </w:pPr>
      <w:r>
        <w:rPr>
          <w:b/>
          <w:i w:val="0"/>
        </w:rPr>
        <w:t>See also.</w:t>
      </w:r>
    </w:p>
    <w:p>
      <w:pPr>
        <w:widowControl/>
      </w:pPr>
      <w:hyperlink w:anchor="act-and-operation">
        <w:r>
          <w:rPr>
            <w:color w:val="000000"/>
          </w:rPr>
          <w:t xml:space="preserve">Act and operation</w:t>
        </w:r>
      </w:hyperlink>
      <w:r>
        <w:rPr>
          <w:b w:val="0"/>
          <w:i w:val="0"/>
        </w:rPr>
        <w:t xml:space="preserve">; </w:t>
      </w:r>
      <w:hyperlink w:anchor="body-and-bulk">
        <w:r>
          <w:rPr>
            <w:color w:val="000000"/>
          </w:rPr>
          <w:t xml:space="preserve">Body and bulk</w:t>
        </w:r>
      </w:hyperlink>
      <w:r>
        <w:rPr>
          <w:b w:val="0"/>
          <w:i w:val="0"/>
        </w:rPr>
        <w:t xml:space="preserve">; </w:t>
      </w:r>
      <w:hyperlink w:anchor="quality">
        <w:r>
          <w:rPr>
            <w:color w:val="000000"/>
          </w:rPr>
          <w:t xml:space="preserve">Quality</w:t>
        </w:r>
      </w:hyperlink>
      <w:r>
        <w:rPr>
          <w:b w:val="0"/>
          <w:i w:val="0"/>
        </w:rPr>
        <w:t xml:space="preserve">; </w:t>
      </w:r>
      <w:hyperlink w:anchor="motion-and-stability">
        <w:r>
          <w:rPr>
            <w:color w:val="000000"/>
          </w:rPr>
          <w:t xml:space="preserve">Motion and stability</w:t>
        </w:r>
      </w:hyperlink>
    </w:p>
    <w:p>
      <w:bookmarkStart w:id="20" w:name="agreement-and-hypothetical-concession"/>
      <w:pPr>
        <w:pStyle w:val="Heading2"/>
      </w:pPr>
      <w:r>
        <w:rPr>
          <w:b w:val="0"/>
          <w:i w:val="0"/>
        </w:rPr>
        <w:t>Agreement and hypothetical concession</w:t>
      </w:r>
      <w:bookmarkEnd w:id="20"/>
    </w:p>
    <w:p>
      <w:pPr>
        <w:keepNext/>
        <w:widowControl/>
      </w:pPr>
      <w:r>
        <w:rPr>
          <w:b/>
          <w:i w:val="0"/>
        </w:rPr>
        <w:t>Latin:</w:t>
      </w:r>
      <w:r>
        <w:rPr>
          <w:b w:val="0"/>
          <w:i w:val="0"/>
        </w:rPr>
        <w:t xml:space="preserve"> sint, si placet; concedetur; admittimus; detur; concedet forsitan; si primum detur; si concedatur alterum</w:t>
      </w:r>
    </w:p>
    <w:p>
      <w:pPr>
        <w:keepNext/>
        <w:widowControl/>
      </w:pPr>
      <w:r>
        <w:rPr>
          <w:b/>
          <w:i w:val="0"/>
        </w:rPr>
        <w:t>The word.</w:t>
      </w:r>
    </w:p>
    <w:p>
      <w:pPr>
        <w:widowControl/>
      </w:pPr>
      <w:r>
        <w:rPr>
          <w:b w:val="0"/>
          <w:i w:val="0"/>
        </w:rPr>
        <w:t xml:space="preserve">Concedere and admittere can grant a claim for examination without affirming its truth. Detur, </w:t>
      </w:r>
      <w:r>
        <w:t>“</w:t>
      </w:r>
      <w:r>
        <w:rPr>
          <w:b w:val="0"/>
          <w:i w:val="0"/>
        </w:rPr>
        <w:t>let it be granted,</w:t>
      </w:r>
      <w:r>
        <w:t>”</w:t>
      </w:r>
      <w:r>
        <w:rPr>
          <w:b w:val="0"/>
          <w:i w:val="0"/>
        </w:rPr>
        <w:t xml:space="preserve"> marks a branch of an argument. Ficino also uses the subjunctive sint with si placet to invite a deliberately temporary supposition.</w:t>
      </w:r>
    </w:p>
    <w:p>
      <w:pPr>
        <w:keepNext/>
        <w:widowControl/>
      </w:pPr>
      <w:r>
        <w:rPr>
          <w:b/>
          <w:i w:val="0"/>
        </w:rPr>
        <w:t>In the Platonic Theology.</w:t>
      </w:r>
    </w:p>
    <w:p>
      <w:pPr>
        <w:widowControl/>
      </w:pPr>
      <w:r>
        <w:rPr>
          <w:b w:val="0"/>
          <w:i w:val="0"/>
        </w:rPr>
        <w:t xml:space="preserve">The invitation to posit </w:t>
      </w:r>
      <w:r>
        <w:t>“</w:t>
      </w:r>
      <w:r>
        <w:rPr>
          <w:b w:val="0"/>
          <w:i w:val="0"/>
        </w:rPr>
        <w:t>twin gods</w:t>
      </w:r>
      <w:r>
        <w:t>”</w:t>
      </w:r>
      <w:r>
        <w:rPr>
          <w:b w:val="0"/>
          <w:i w:val="0"/>
        </w:rPr>
        <w:t xml:space="preserve"> begins a refutation, not a second theological position. The branches then test complete difference, complete agreement, and partial agreement. The language of granting keeps the reader oriented through this exhaustive division. When Ficino says a first alternative will not be conceded, he has supplied reasons why it cannot serve the opponent’s proposal.</w:t>
      </w:r>
    </w:p>
    <w:p>
      <w:pPr>
        <w:widowControl/>
      </w:pPr>
      <w:r>
        <w:rPr>
          <w:b w:val="0"/>
          <w:i w:val="0"/>
        </w:rPr>
        <w:t xml:space="preserve">A new imagined interlocutor in II.3 may accept one God above the angel while maintaining an endless sequence of higher gods. That limited concession is precisely what the next chapter contests. Elsewhere the alternatives </w:t>
      </w:r>
      <w:r>
        <w:t>“</w:t>
      </w:r>
      <w:r>
        <w:rPr>
          <w:b w:val="0"/>
          <w:i w:val="0"/>
        </w:rPr>
        <w:t>from its own necessity</w:t>
      </w:r>
      <w:r>
        <w:t>”</w:t>
      </w:r>
      <w:r>
        <w:rPr>
          <w:b w:val="0"/>
          <w:i w:val="0"/>
        </w:rPr>
        <w:t xml:space="preserve"> and </w:t>
      </w:r>
      <w:r>
        <w:t>“</w:t>
      </w:r>
      <w:r>
        <w:rPr>
          <w:b w:val="0"/>
          <w:i w:val="0"/>
        </w:rPr>
        <w:t>from elsewhere</w:t>
      </w:r>
      <w:r>
        <w:t>”</w:t>
      </w:r>
      <w:r>
        <w:rPr>
          <w:b w:val="0"/>
          <w:i w:val="0"/>
        </w:rPr>
        <w:t xml:space="preserve"> test the angel’s proposed independence. The conditional grammar must survive abridgment: a conclusion within a rejected hypothesis is not a claim Ficino adopts about the actual world.</w:t>
      </w:r>
    </w:p>
    <w:p>
      <w:pPr>
        <w:keepNext/>
        <w:widowControl/>
      </w:pPr>
      <w:r>
        <w:rPr>
          <w:b/>
          <w:i w:val="0"/>
        </w:rPr>
        <w:t>The places.</w:t>
      </w:r>
    </w:p>
    <w:p>
      <w:pPr>
        <w:ind w:left="187" w:hanging="187"/>
      </w:pPr>
      <w:r>
        <w:t xml:space="preserve">• </w:t>
      </w:r>
      <w:r>
        <w:rPr>
          <w:b w:val="0"/>
          <w:i w:val="0"/>
        </w:rPr>
        <w:t>II.2.1, II.2.2 (PDF pp. 104–105): The provisional two-god hypothesis and its three alternatives</w:t>
      </w:r>
    </w:p>
    <w:p>
      <w:pPr>
        <w:ind w:left="187" w:hanging="187"/>
      </w:pPr>
      <w:r>
        <w:t xml:space="preserve">• </w:t>
      </w:r>
      <w:r>
        <w:rPr>
          <w:b w:val="0"/>
          <w:i w:val="0"/>
        </w:rPr>
        <w:t>II.3.1 (PDF pp. 116–117): A supposed concession introduces the infinite hierarchy to be refuted</w:t>
      </w:r>
    </w:p>
    <w:p>
      <w:pPr>
        <w:ind w:left="187" w:hanging="187"/>
      </w:pPr>
      <w:r>
        <w:t xml:space="preserve">• </w:t>
      </w:r>
      <w:r>
        <w:rPr>
          <w:b w:val="0"/>
          <w:i w:val="0"/>
        </w:rPr>
        <w:t>II.7.14 (PDF pp. 148–149): Alternative grants test the origin of an angel’s distinguishing property</w:t>
      </w:r>
    </w:p>
    <w:p>
      <w:pPr>
        <w:keepNext/>
        <w:widowControl/>
      </w:pPr>
      <w:r>
        <w:rPr>
          <w:b/>
          <w:i w:val="0"/>
        </w:rPr>
        <w:t>In this edition.</w:t>
      </w:r>
    </w:p>
    <w:p>
      <w:pPr>
        <w:widowControl/>
      </w:pPr>
      <w:r>
        <w:rPr>
          <w:b w:val="0"/>
          <w:i w:val="0"/>
        </w:rPr>
        <w:t xml:space="preserve">The translation’s </w:t>
      </w:r>
      <w:r>
        <w:t>“</w:t>
      </w:r>
      <w:r>
        <w:rPr>
          <w:b w:val="0"/>
          <w:i w:val="0"/>
        </w:rPr>
        <w:t>if you please,</w:t>
      </w:r>
      <w:r>
        <w:t>”</w:t>
      </w:r>
      <w:r>
        <w:rPr>
          <w:b w:val="0"/>
          <w:i w:val="0"/>
        </w:rPr>
        <w:t xml:space="preserve"> </w:t>
      </w:r>
      <w:r>
        <w:t>“</w:t>
      </w:r>
      <w:r>
        <w:rPr>
          <w:b w:val="0"/>
          <w:i w:val="0"/>
        </w:rPr>
        <w:t>if … is granted,</w:t>
      </w:r>
      <w:r>
        <w:t>”</w:t>
      </w:r>
      <w:r>
        <w:rPr>
          <w:b w:val="0"/>
          <w:i w:val="0"/>
        </w:rPr>
        <w:t xml:space="preserve"> and </w:t>
      </w:r>
      <w:r>
        <w:t>“</w:t>
      </w:r>
      <w:r>
        <w:rPr>
          <w:b w:val="0"/>
          <w:i w:val="0"/>
        </w:rPr>
        <w:t>perhaps someone will grant</w:t>
      </w:r>
      <w:r>
        <w:t>”</w:t>
      </w:r>
      <w:r>
        <w:rPr>
          <w:b w:val="0"/>
          <w:i w:val="0"/>
        </w:rPr>
        <w:t xml:space="preserve"> preserve differences between an invitation, a logical assumption, and an imagined opponent’s position. </w:t>
      </w:r>
      <w:r>
        <w:t>“</w:t>
      </w:r>
      <w:r>
        <w:rPr>
          <w:b w:val="0"/>
          <w:i w:val="0"/>
        </w:rPr>
        <w:t>We desire</w:t>
      </w:r>
      <w:r>
        <w:t>”</w:t>
      </w:r>
      <w:r>
        <w:rPr>
          <w:b w:val="0"/>
          <w:i w:val="0"/>
        </w:rPr>
        <w:t xml:space="preserve"> in II.2.2 identifies the desired result of the proof; it does not turn that result into an unsupported premise.</w:t>
      </w:r>
    </w:p>
    <w:p>
      <w:pPr>
        <w:keepNext/>
        <w:widowControl/>
      </w:pPr>
      <w:r>
        <w:rPr>
          <w:b/>
          <w:i w:val="0"/>
        </w:rPr>
        <w:t>See also.</w:t>
      </w:r>
    </w:p>
    <w:p>
      <w:pPr>
        <w:widowControl/>
      </w:pPr>
      <w:hyperlink w:anchor="common-and-proper">
        <w:r>
          <w:rPr>
            <w:color w:val="000000"/>
          </w:rPr>
          <w:t xml:space="preserve">Common and proper</w:t>
        </w:r>
      </w:hyperlink>
      <w:r>
        <w:rPr>
          <w:b w:val="0"/>
          <w:i w:val="0"/>
        </w:rPr>
        <w:t xml:space="preserve">; </w:t>
      </w:r>
      <w:hyperlink w:anchor="redundancy-and-uselessness">
        <w:r>
          <w:rPr>
            <w:color w:val="000000"/>
          </w:rPr>
          <w:t xml:space="preserve">Redundancy and uselessness</w:t>
        </w:r>
      </w:hyperlink>
      <w:r>
        <w:rPr>
          <w:b w:val="0"/>
          <w:i w:val="0"/>
        </w:rPr>
        <w:t xml:space="preserve">; </w:t>
      </w:r>
      <w:hyperlink w:anchor="god">
        <w:r>
          <w:rPr>
            <w:color w:val="000000"/>
          </w:rPr>
          <w:t xml:space="preserve">God</w:t>
        </w:r>
      </w:hyperlink>
      <w:r>
        <w:rPr>
          <w:b w:val="0"/>
          <w:i w:val="0"/>
        </w:rPr>
        <w:t>.</w:t>
      </w:r>
    </w:p>
    <w:p>
      <w:bookmarkStart w:id="21" w:name="always-and-everywhere"/>
      <w:pPr>
        <w:pStyle w:val="Heading2"/>
      </w:pPr>
      <w:r>
        <w:rPr>
          <w:b w:val="0"/>
          <w:i w:val="0"/>
        </w:rPr>
        <w:t>Always and everywhere</w:t>
      </w:r>
      <w:bookmarkEnd w:id="21"/>
    </w:p>
    <w:p>
      <w:pPr>
        <w:keepNext/>
        <w:widowControl/>
      </w:pPr>
      <w:r>
        <w:rPr>
          <w:b/>
          <w:i w:val="0"/>
        </w:rPr>
        <w:t>Latin:</w:t>
      </w:r>
      <w:r>
        <w:rPr>
          <w:b w:val="0"/>
          <w:i w:val="0"/>
        </w:rPr>
        <w:t xml:space="preserve"> semper; ipsum semper; sempiternitatem; ubi; ubique; ipsum ubique; nusquam; usquam</w:t>
      </w:r>
    </w:p>
    <w:p>
      <w:pPr>
        <w:keepNext/>
        <w:widowControl/>
      </w:pPr>
      <w:r>
        <w:rPr>
          <w:b/>
          <w:i w:val="0"/>
        </w:rPr>
        <w:t>The word.</w:t>
      </w:r>
    </w:p>
    <w:p>
      <w:pPr>
        <w:widowControl/>
      </w:pPr>
      <w:r>
        <w:rPr>
          <w:b w:val="0"/>
          <w:i w:val="0"/>
        </w:rPr>
        <w:t xml:space="preserve">Semper ordinarily means always, ubi where, ubique everywhere, and nusquam nowhere. Ficino also substantivizes these adverbs: ipsum semper and ipsum ubique become </w:t>
      </w:r>
      <w:r>
        <w:t>“</w:t>
      </w:r>
      <w:r>
        <w:rPr>
          <w:b w:val="0"/>
          <w:i w:val="0"/>
        </w:rPr>
        <w:t>the very always</w:t>
      </w:r>
      <w:r>
        <w:t>”</w:t>
      </w:r>
      <w:r>
        <w:rPr>
          <w:b w:val="0"/>
          <w:i w:val="0"/>
        </w:rPr>
        <w:t xml:space="preserve"> and </w:t>
      </w:r>
      <w:r>
        <w:t>“</w:t>
      </w:r>
      <w:r>
        <w:rPr>
          <w:b w:val="0"/>
          <w:i w:val="0"/>
        </w:rPr>
        <w:t>everywhere itself.</w:t>
      </w:r>
      <w:r>
        <w:t>”</w:t>
      </w:r>
      <w:r>
        <w:rPr>
          <w:b w:val="0"/>
          <w:i w:val="0"/>
        </w:rPr>
        <w:t xml:space="preserve"> This grammatical move distinguishes a condition of duration or presence from one item lasting or occupying a place.</w:t>
      </w:r>
    </w:p>
    <w:p>
      <w:pPr>
        <w:keepNext/>
        <w:widowControl/>
      </w:pPr>
      <w:r>
        <w:rPr>
          <w:b/>
          <w:i w:val="0"/>
        </w:rPr>
        <w:t>In the Platonic Theology.</w:t>
      </w:r>
    </w:p>
    <w:p>
      <w:pPr>
        <w:widowControl/>
      </w:pPr>
      <w:r>
        <w:rPr>
          <w:b w:val="0"/>
          <w:i w:val="0"/>
        </w:rPr>
        <w:t xml:space="preserve">God is not simply one of the things that last always. In II.5.4 he is identified with sempiternity and with always itself. II.6 makes the spatial counterpart: things are in God, and even the </w:t>
      </w:r>
      <w:r>
        <w:t>“</w:t>
      </w:r>
      <w:r>
        <w:rPr>
          <w:b w:val="0"/>
          <w:i w:val="0"/>
        </w:rPr>
        <w:t>where</w:t>
      </w:r>
      <w:r>
        <w:t>”</w:t>
      </w:r>
      <w:r>
        <w:rPr>
          <w:b w:val="0"/>
          <w:i w:val="0"/>
        </w:rPr>
        <w:t xml:space="preserve"> exists through God. Thus God can be said to be nowhere in the sense of being contained by no place and nowhere absent in the sense that nothing exists independently of him.</w:t>
      </w:r>
    </w:p>
    <w:p>
      <w:pPr>
        <w:widowControl/>
      </w:pPr>
      <w:r>
        <w:rPr>
          <w:b w:val="0"/>
          <w:i w:val="0"/>
        </w:rPr>
        <w:t xml:space="preserve">The dramatic exchange between reason and imagination develops this distinction. Imagination takes everywhere to mean the total bodily extension and then doubts that God fills it. Reason instead makes that extension dependent upon a more comprehensive reality. This is why the statements </w:t>
      </w:r>
      <w:r>
        <w:t>“</w:t>
      </w:r>
      <w:r>
        <w:rPr>
          <w:b w:val="0"/>
          <w:i w:val="0"/>
        </w:rPr>
        <w:t>in all things</w:t>
      </w:r>
      <w:r>
        <w:t>”</w:t>
      </w:r>
      <w:r>
        <w:rPr>
          <w:b w:val="0"/>
          <w:i w:val="0"/>
        </w:rPr>
        <w:t xml:space="preserve"> and </w:t>
      </w:r>
      <w:r>
        <w:t>“</w:t>
      </w:r>
      <w:r>
        <w:rPr>
          <w:b w:val="0"/>
          <w:i w:val="0"/>
        </w:rPr>
        <w:t>all things in him</w:t>
      </w:r>
      <w:r>
        <w:t>”</w:t>
      </w:r>
      <w:r>
        <w:rPr>
          <w:b w:val="0"/>
          <w:i w:val="0"/>
        </w:rPr>
        <w:t xml:space="preserve"> should be read together. Neither a giant spatial body nor a divine object located outside a container captures the chapter’s intended relation.</w:t>
      </w:r>
    </w:p>
    <w:p>
      <w:pPr>
        <w:keepNext/>
        <w:widowControl/>
      </w:pPr>
      <w:r>
        <w:rPr>
          <w:b/>
          <w:i w:val="0"/>
        </w:rPr>
        <w:t>The places.</w:t>
      </w:r>
    </w:p>
    <w:p>
      <w:pPr>
        <w:ind w:left="187" w:hanging="187"/>
      </w:pPr>
      <w:r>
        <w:t xml:space="preserve">• </w:t>
      </w:r>
      <w:r>
        <w:rPr>
          <w:b w:val="0"/>
          <w:i w:val="0"/>
        </w:rPr>
        <w:t>II.5.2, II.5.3, II.5.4 (PDF pp. 126–127): Simple duration is distinguished from temporal flux and named the very always</w:t>
      </w:r>
    </w:p>
    <w:p>
      <w:pPr>
        <w:ind w:left="187" w:hanging="187"/>
      </w:pPr>
      <w:r>
        <w:t xml:space="preserve">• </w:t>
      </w:r>
      <w:r>
        <w:rPr>
          <w:b w:val="0"/>
          <w:i w:val="0"/>
        </w:rPr>
        <w:t>II.6.8 (PDF pp. 130–131): Nowhere as uncontained and nowhere absent as universally sustaining</w:t>
      </w:r>
    </w:p>
    <w:p>
      <w:pPr>
        <w:ind w:left="187" w:hanging="187"/>
      </w:pPr>
      <w:r>
        <w:t xml:space="preserve">• </w:t>
      </w:r>
      <w:r>
        <w:rPr>
          <w:b w:val="0"/>
          <w:i w:val="0"/>
        </w:rPr>
        <w:t>II.6.12, II.6.13 (PDF pp. 132–135): Everywhere itself is distinguished from the corporeal extension imagination supplies</w:t>
      </w:r>
    </w:p>
    <w:p>
      <w:pPr>
        <w:keepNext/>
        <w:widowControl/>
      </w:pPr>
      <w:r>
        <w:rPr>
          <w:b/>
          <w:i w:val="0"/>
        </w:rPr>
        <w:t>In this edition.</w:t>
      </w:r>
    </w:p>
    <w:p>
      <w:pPr>
        <w:widowControl/>
      </w:pPr>
      <w:r>
        <w:rPr>
          <w:b w:val="0"/>
          <w:i w:val="0"/>
        </w:rPr>
        <w:t xml:space="preserve">The English quotation marks around </w:t>
      </w:r>
      <w:r>
        <w:t>“</w:t>
      </w:r>
      <w:r>
        <w:rPr>
          <w:b w:val="0"/>
          <w:i w:val="0"/>
        </w:rPr>
        <w:t>always,</w:t>
      </w:r>
      <w:r>
        <w:t>”</w:t>
      </w:r>
      <w:r>
        <w:rPr>
          <w:b w:val="0"/>
          <w:i w:val="0"/>
        </w:rPr>
        <w:t xml:space="preserve"> </w:t>
      </w:r>
      <w:r>
        <w:t>“</w:t>
      </w:r>
      <w:r>
        <w:rPr>
          <w:b w:val="0"/>
          <w:i w:val="0"/>
        </w:rPr>
        <w:t>where,</w:t>
      </w:r>
      <w:r>
        <w:t>”</w:t>
      </w:r>
      <w:r>
        <w:rPr>
          <w:b w:val="0"/>
          <w:i w:val="0"/>
        </w:rPr>
        <w:t xml:space="preserve"> and </w:t>
      </w:r>
      <w:r>
        <w:t>“</w:t>
      </w:r>
      <w:r>
        <w:rPr>
          <w:b w:val="0"/>
          <w:i w:val="0"/>
        </w:rPr>
        <w:t>everywhere</w:t>
      </w:r>
      <w:r>
        <w:t>”</w:t>
      </w:r>
      <w:r>
        <w:rPr>
          <w:b w:val="0"/>
          <w:i w:val="0"/>
        </w:rPr>
        <w:t xml:space="preserve"> mark adverbs treated as names. Sempiternitas here is not safely defined as merely endless successive time, since the text calls it simple and abiding.</w:t>
      </w:r>
    </w:p>
    <w:p>
      <w:pPr>
        <w:keepNext/>
        <w:widowControl/>
      </w:pPr>
      <w:r>
        <w:rPr>
          <w:b/>
          <w:i w:val="0"/>
        </w:rPr>
        <w:t>See also.</w:t>
      </w:r>
    </w:p>
    <w:p>
      <w:pPr>
        <w:widowControl/>
      </w:pPr>
      <w:hyperlink w:anchor="omnipresence-and-place">
        <w:r>
          <w:rPr>
            <w:color w:val="000000"/>
          </w:rPr>
          <w:t xml:space="preserve">Omnipresence and place</w:t>
        </w:r>
      </w:hyperlink>
      <w:r>
        <w:rPr>
          <w:b w:val="0"/>
          <w:i w:val="0"/>
        </w:rPr>
        <w:t xml:space="preserve">; </w:t>
      </w:r>
      <w:hyperlink w:anchor="eternity-and-time">
        <w:r>
          <w:rPr>
            <w:color w:val="000000"/>
          </w:rPr>
          <w:t xml:space="preserve">Eternity and time</w:t>
        </w:r>
      </w:hyperlink>
      <w:r>
        <w:rPr>
          <w:b w:val="0"/>
          <w:i w:val="0"/>
        </w:rPr>
        <w:t xml:space="preserve">; </w:t>
      </w:r>
      <w:hyperlink w:anchor="imagination-and-deceptive-clothing">
        <w:r>
          <w:rPr>
            <w:color w:val="000000"/>
          </w:rPr>
          <w:t xml:space="preserve">Imagination and deceptive clothing</w:t>
        </w:r>
      </w:hyperlink>
      <w:r>
        <w:rPr>
          <w:b w:val="0"/>
          <w:i w:val="0"/>
        </w:rPr>
        <w:t xml:space="preserve">; </w:t>
      </w:r>
      <w:hyperlink w:anchor="indwelling-and-presence">
        <w:r>
          <w:rPr>
            <w:color w:val="000000"/>
          </w:rPr>
          <w:t xml:space="preserve">Indwelling and presence</w:t>
        </w:r>
      </w:hyperlink>
      <w:r>
        <w:rPr>
          <w:b w:val="0"/>
          <w:i w:val="0"/>
        </w:rPr>
        <w:t>.</w:t>
      </w:r>
    </w:p>
    <w:p>
      <w:bookmarkStart w:id="22" w:name="anebon-abamon-and-the-mental-presence-authorities"/>
      <w:pPr>
        <w:pStyle w:val="Heading2"/>
      </w:pPr>
      <w:r>
        <w:rPr>
          <w:b w:val="0"/>
          <w:i w:val="0"/>
        </w:rPr>
        <w:t>Anebon Abamon and the mental-presence authorities</w:t>
      </w:r>
      <w:bookmarkEnd w:id="22"/>
    </w:p>
    <w:p>
      <w:pPr>
        <w:keepNext/>
        <w:widowControl/>
      </w:pPr>
      <w:r>
        <w:rPr>
          <w:b/>
          <w:i w:val="0"/>
        </w:rPr>
        <w:t>Latin:</w:t>
      </w:r>
      <w:r>
        <w:rPr>
          <w:b w:val="0"/>
          <w:i w:val="0"/>
        </w:rPr>
        <w:t xml:space="preserve"> Anebon et Abamon Aegyptii sacerdotes; Plotinus; Iamblicusque; Iulianus Platonici; voluerunt; Quorum sententia; Haec illi de mente</w:t>
      </w:r>
    </w:p>
    <w:p>
      <w:pPr>
        <w:keepNext/>
        <w:widowControl/>
      </w:pPr>
      <w:r>
        <w:rPr>
          <w:b/>
          <w:i w:val="0"/>
        </w:rPr>
        <w:t>The word.</w:t>
      </w:r>
    </w:p>
    <w:p>
      <w:pPr>
        <w:widowControl/>
      </w:pPr>
      <w:r>
        <w:rPr>
          <w:b w:val="0"/>
          <w:i w:val="0"/>
        </w:rPr>
        <w:t xml:space="preserve">The two first names are identified as Egyptian priests; Plotinus, Iamblichus, and Julian as Platonists. Voluerunt here reports what they maintained, rather than a wish. Quorum sententia, </w:t>
      </w:r>
      <w:r>
        <w:t>“</w:t>
      </w:r>
      <w:r>
        <w:rPr>
          <w:b w:val="0"/>
          <w:i w:val="0"/>
        </w:rPr>
        <w:t>their position,</w:t>
      </w:r>
      <w:r>
        <w:t>”</w:t>
      </w:r>
      <w:r>
        <w:rPr>
          <w:b w:val="0"/>
          <w:i w:val="0"/>
        </w:rPr>
        <w:t xml:space="preserve"> and Haec illi de mente, </w:t>
      </w:r>
      <w:r>
        <w:t>“</w:t>
      </w:r>
      <w:r>
        <w:rPr>
          <w:b w:val="0"/>
          <w:i w:val="0"/>
        </w:rPr>
        <w:t>so much for their account of mind,</w:t>
      </w:r>
      <w:r>
        <w:t>”</w:t>
      </w:r>
      <w:r>
        <w:rPr>
          <w:b w:val="0"/>
          <w:i w:val="0"/>
        </w:rPr>
        <w:t xml:space="preserve"> frame the exposition.</w:t>
      </w:r>
    </w:p>
    <w:p>
      <w:pPr>
        <w:keepNext/>
        <w:widowControl/>
      </w:pPr>
      <w:r>
        <w:rPr>
          <w:b/>
          <w:i w:val="0"/>
        </w:rPr>
        <w:t>In the Platonic Theology.</w:t>
      </w:r>
    </w:p>
    <w:p>
      <w:pPr>
        <w:widowControl/>
      </w:pPr>
      <w:r>
        <w:rPr>
          <w:b w:val="0"/>
          <w:i w:val="0"/>
        </w:rPr>
        <w:t>Ficino attributes to these authorities the view that every angelic or animating mind spreads whole throughout immensity without mutual confusion. The following arguments appeal to independence from matter, analogies between eternity and space, immunity from change, mind as divine expression, the range of thought and desire, and mind’s essential inclination toward God. The final candle example explains how universal presence could coexist with conspicuous activity in a particular region.</w:t>
      </w:r>
    </w:p>
    <w:p>
      <w:pPr>
        <w:widowControl/>
      </w:pPr>
      <w:r>
        <w:rPr>
          <w:b w:val="0"/>
          <w:i w:val="0"/>
        </w:rPr>
        <w:t>The opening of II.6.14 first continues Ficino’s account of God. Its later naming clause introduces the broader theory of every mind; the chapter’s last sentence then returns to God. This precise transition matters more than loosely labeling the whole chapter either Ficino’s doctrine or a quotation. No independent identification of Julian, or historical reconstruction of the priestly names, is needed to explain their local function.</w:t>
      </w:r>
    </w:p>
    <w:p>
      <w:pPr>
        <w:keepNext/>
        <w:widowControl/>
      </w:pPr>
      <w:r>
        <w:rPr>
          <w:b/>
          <w:i w:val="0"/>
        </w:rPr>
        <w:t>The places.</w:t>
      </w:r>
    </w:p>
    <w:p>
      <w:pPr>
        <w:ind w:left="187" w:hanging="187"/>
      </w:pPr>
      <w:r>
        <w:t xml:space="preserve">• </w:t>
      </w:r>
      <w:r>
        <w:rPr>
          <w:b w:val="0"/>
          <w:i w:val="0"/>
        </w:rPr>
        <w:t xml:space="preserve">II.6.14, II.6.15 (PDF pp. 136–137): The named authorities and </w:t>
      </w:r>
      <w:r>
        <w:t>“</w:t>
      </w:r>
      <w:r>
        <w:rPr>
          <w:b w:val="0"/>
          <w:i w:val="0"/>
        </w:rPr>
        <w:t>their position</w:t>
      </w:r>
      <w:r>
        <w:t>”</w:t>
      </w:r>
      <w:r>
        <w:rPr>
          <w:b w:val="0"/>
          <w:i w:val="0"/>
        </w:rPr>
        <w:t xml:space="preserve"> open the reported argument</w:t>
      </w:r>
    </w:p>
    <w:p>
      <w:pPr>
        <w:ind w:left="187" w:hanging="187"/>
      </w:pPr>
      <w:r>
        <w:t xml:space="preserve">• </w:t>
      </w:r>
      <w:r>
        <w:rPr>
          <w:b w:val="0"/>
          <w:i w:val="0"/>
        </w:rPr>
        <w:t>II.6.16, II.6.20, II.6.23 (PDF pp. 136–141): Temporal, linguistic, and essential-inclination grounds develop that position</w:t>
      </w:r>
    </w:p>
    <w:p>
      <w:pPr>
        <w:ind w:left="187" w:hanging="187"/>
      </w:pPr>
      <w:r>
        <w:t xml:space="preserve">• </w:t>
      </w:r>
      <w:r>
        <w:rPr>
          <w:b w:val="0"/>
          <w:i w:val="0"/>
        </w:rPr>
        <w:t>II.6.24 (PDF pp. 142–143): The candle illustration closes with an explicit return from their account to God</w:t>
      </w:r>
    </w:p>
    <w:p>
      <w:pPr>
        <w:keepNext/>
        <w:widowControl/>
      </w:pPr>
      <w:r>
        <w:rPr>
          <w:b/>
          <w:i w:val="0"/>
        </w:rPr>
        <w:t>In this edition.</w:t>
      </w:r>
    </w:p>
    <w:p>
      <w:pPr>
        <w:widowControl/>
      </w:pPr>
      <w:r>
        <w:t>“</w:t>
      </w:r>
      <w:r>
        <w:rPr>
          <w:b w:val="0"/>
          <w:i w:val="0"/>
        </w:rPr>
        <w:t>Animating</w:t>
      </w:r>
      <w:r>
        <w:t>”</w:t>
      </w:r>
      <w:r>
        <w:rPr>
          <w:b w:val="0"/>
          <w:i w:val="0"/>
        </w:rPr>
        <w:t xml:space="preserve"> for animalem and animales is essential: these are minds belonging to soul or giving life, not minds confined to nonhuman animals. The apparatus (PDF p. 370) notes Iamblicusque in the base text and a different form in later witnesses; the English uses the conventional Iamblichus. This is an apparatus report, not a new collation. The remaining supplied names are retained without conjectural identification.</w:t>
      </w:r>
    </w:p>
    <w:p>
      <w:pPr>
        <w:keepNext/>
        <w:widowControl/>
      </w:pPr>
      <w:r>
        <w:rPr>
          <w:b/>
          <w:i w:val="0"/>
        </w:rPr>
        <w:t>See also.</w:t>
      </w:r>
    </w:p>
    <w:p>
      <w:pPr>
        <w:widowControl/>
      </w:pPr>
      <w:hyperlink w:anchor="mind">
        <w:r>
          <w:rPr>
            <w:color w:val="000000"/>
          </w:rPr>
          <w:t xml:space="preserve">Mind</w:t>
        </w:r>
      </w:hyperlink>
      <w:r>
        <w:rPr>
          <w:b w:val="0"/>
          <w:i w:val="0"/>
        </w:rPr>
        <w:t xml:space="preserve">; </w:t>
      </w:r>
      <w:hyperlink w:anchor="word-and-meaning">
        <w:r>
          <w:rPr>
            <w:color w:val="000000"/>
          </w:rPr>
          <w:t xml:space="preserve">Word and meaning</w:t>
        </w:r>
      </w:hyperlink>
      <w:r>
        <w:rPr>
          <w:b w:val="0"/>
          <w:i w:val="0"/>
        </w:rPr>
        <w:t xml:space="preserve">; </w:t>
      </w:r>
      <w:hyperlink w:anchor="candles-and-the-hall">
        <w:r>
          <w:rPr>
            <w:color w:val="000000"/>
          </w:rPr>
          <w:t xml:space="preserve">Candles and the hall</w:t>
        </w:r>
      </w:hyperlink>
      <w:r>
        <w:rPr>
          <w:b w:val="0"/>
          <w:i w:val="0"/>
        </w:rPr>
        <w:t xml:space="preserve">; </w:t>
      </w:r>
      <w:hyperlink w:anchor="heart-and-mistaken-location">
        <w:r>
          <w:rPr>
            <w:color w:val="000000"/>
          </w:rPr>
          <w:t xml:space="preserve">Heart and mistaken location</w:t>
        </w:r>
      </w:hyperlink>
      <w:r>
        <w:rPr>
          <w:b w:val="0"/>
          <w:i w:val="0"/>
        </w:rPr>
        <w:t>.</w:t>
      </w:r>
    </w:p>
    <w:p>
      <w:bookmarkStart w:id="23" w:name="angel"/>
      <w:pPr>
        <w:pStyle w:val="Heading2"/>
      </w:pPr>
      <w:r>
        <w:rPr>
          <w:b w:val="0"/>
          <w:i w:val="0"/>
        </w:rPr>
        <w:t>Angel</w:t>
      </w:r>
      <w:bookmarkEnd w:id="23"/>
    </w:p>
    <w:p>
      <w:pPr>
        <w:keepNext/>
        <w:widowControl/>
      </w:pPr>
      <w:r>
        <w:rPr>
          <w:b/>
          <w:i w:val="0"/>
        </w:rPr>
        <w:t>Latin:</w:t>
      </w:r>
      <w:r>
        <w:rPr>
          <w:b w:val="0"/>
          <w:i w:val="0"/>
        </w:rPr>
        <w:t xml:space="preserve"> </w:t>
      </w:r>
      <w:r>
        <w:rPr>
          <w:b w:val="0"/>
          <w:i/>
        </w:rPr>
        <w:t>angelus</w:t>
      </w:r>
      <w:r>
        <w:rPr>
          <w:b w:val="0"/>
          <w:i w:val="0"/>
        </w:rPr>
        <w:t xml:space="preserve">; </w:t>
      </w:r>
      <w:r>
        <w:rPr>
          <w:b w:val="0"/>
          <w:i/>
        </w:rPr>
        <w:t>angeli</w:t>
      </w:r>
      <w:r>
        <w:rPr>
          <w:b w:val="0"/>
          <w:i w:val="0"/>
        </w:rPr>
        <w:t xml:space="preserve">; </w:t>
      </w:r>
      <w:r>
        <w:rPr>
          <w:b w:val="0"/>
          <w:i/>
        </w:rPr>
        <w:t>mens angelica</w:t>
      </w:r>
      <w:r>
        <w:rPr>
          <w:b w:val="0"/>
          <w:i w:val="0"/>
        </w:rPr>
        <w:t xml:space="preserve">; </w:t>
      </w:r>
      <w:r>
        <w:rPr>
          <w:b w:val="0"/>
          <w:i/>
        </w:rPr>
        <w:t>mentes</w:t>
      </w:r>
      <w:r>
        <w:rPr>
          <w:b w:val="0"/>
          <w:i w:val="0"/>
        </w:rPr>
        <w:t xml:space="preserve">; </w:t>
      </w:r>
      <w:r>
        <w:rPr>
          <w:b w:val="0"/>
          <w:i/>
        </w:rPr>
        <w:t>nuntii</w:t>
      </w:r>
      <w:r>
        <w:rPr>
          <w:b w:val="0"/>
          <w:i w:val="0"/>
        </w:rPr>
        <w:t xml:space="preserve">; </w:t>
      </w:r>
      <w:r>
        <w:rPr>
          <w:b w:val="0"/>
          <w:i/>
        </w:rPr>
        <w:t>angelicae vitae</w:t>
      </w:r>
      <w:r>
        <w:rPr>
          <w:b w:val="0"/>
          <w:i w:val="0"/>
        </w:rPr>
        <w:t xml:space="preserve">; </w:t>
      </w:r>
      <w:r>
        <w:rPr>
          <w:b w:val="0"/>
          <w:i/>
        </w:rPr>
        <w:t>mens</w:t>
      </w:r>
    </w:p>
    <w:p>
      <w:pPr>
        <w:keepNext/>
        <w:widowControl/>
      </w:pPr>
      <w:r>
        <w:rPr>
          <w:b/>
          <w:i w:val="0"/>
        </w:rPr>
        <w:t>The word.</w:t>
      </w:r>
    </w:p>
    <w:p>
      <w:pPr>
        <w:widowControl/>
      </w:pPr>
      <w:r>
        <w:rPr>
          <w:b w:val="0"/>
          <w:i w:val="0"/>
        </w:rPr>
        <w:t xml:space="preserve">Angelus names a separate intellectual nature; mens can name either such a nature or the intellectual part of soul. Nuntius is </w:t>
      </w:r>
      <w:r>
        <w:t>“</w:t>
      </w:r>
      <w:r>
        <w:rPr>
          <w:b w:val="0"/>
          <w:i w:val="0"/>
        </w:rPr>
        <w:t>messenger,</w:t>
      </w:r>
      <w:r>
        <w:t>”</w:t>
      </w:r>
      <w:r>
        <w:rPr>
          <w:b w:val="0"/>
          <w:i w:val="0"/>
        </w:rPr>
        <w:t xml:space="preserve"> the interpretive naming joined to angelus.</w:t>
      </w:r>
    </w:p>
    <w:p>
      <w:pPr>
        <w:keepNext/>
        <w:widowControl/>
      </w:pPr>
      <w:r>
        <w:rPr>
          <w:b/>
          <w:i w:val="0"/>
        </w:rPr>
        <w:t>In the Platonic Theology.</w:t>
      </w:r>
    </w:p>
    <w:p>
      <w:pPr>
        <w:widowControl/>
      </w:pPr>
      <w:r>
        <w:rPr>
          <w:b w:val="0"/>
          <w:i w:val="0"/>
        </w:rPr>
        <w:t>Angel names the fourth level of the ascending hierarchy: above soul and below God. In the Platonist account developed in Book I, the angel is indivisible and immutable in essence, power, and operation. Its understanding apprehends its objects together rather than through the soul’s successive thoughts, and it can move a body without itself being moved with that body. Ficino explicitly marks this complete immobility as what the Platonists say, with other positions deferred.</w:t>
      </w:r>
    </w:p>
    <w:p>
      <w:pPr>
        <w:widowControl/>
      </w:pPr>
      <w:r>
        <w:rPr>
          <w:b w:val="0"/>
          <w:i w:val="0"/>
        </w:rPr>
        <w:t>Immobility does not make the angel absolutely simple or self-sufficient. It is an immobile multiplicity, containing essence, being, the power and act of understanding, and numerous understood forms. IV.2.6 further qualifies its stability: the angel can be called mutable insofar as it depends on another, yet its immediate origin from God and return to divine stability make it stable. Angelic immutability thus differs from divine independence. The imagined transformation of an entire soul into pure mind illustrates angelic cognition; it is not an account of a human soul literally changing into an angel.</w:t>
      </w:r>
    </w:p>
    <w:p>
      <w:pPr>
        <w:widowControl/>
      </w:pPr>
      <w:r>
        <w:rPr>
          <w:b w:val="0"/>
          <w:i w:val="0"/>
        </w:rPr>
        <w:t xml:space="preserve">Ficino calls the separate minds discussed through Aristotle </w:t>
      </w:r>
      <w:r>
        <w:t>‘</w:t>
      </w:r>
      <w:r>
        <w:rPr>
          <w:b w:val="0"/>
          <w:i w:val="0"/>
        </w:rPr>
        <w:t>angels and messengers,</w:t>
      </w:r>
      <w:r>
        <w:t>’</w:t>
      </w:r>
      <w:r>
        <w:rPr>
          <w:b w:val="0"/>
          <w:i w:val="0"/>
        </w:rPr>
        <w:t xml:space="preserve"> presenting that terminology as Hebrew and later philosophical usage. He argues for very many, virtually innumerable, angelic species and questions counting them solely by celestial motions. Not every angel is assigned to move a sphere. Nor is an angel the sphere’s immediately indwelling life. That role requires soul, which resembles angel in indivisibility and freedom from place but resembles body through changing activity and a relation to time. Soul mediates the angelic forms and order into divisible matter.</w:t>
      </w:r>
    </w:p>
    <w:p>
      <w:pPr>
        <w:widowControl/>
      </w:pPr>
      <w:r>
        <w:rPr>
          <w:b w:val="0"/>
          <w:i w:val="0"/>
        </w:rPr>
        <w:t xml:space="preserve">The distinction remains important within celestial psychology. A sphere’s soul has an intellectual part that can hold its ideas simultaneously, and that part is called a mind. Consequently, not every </w:t>
      </w:r>
      <w:r>
        <w:rPr>
          <w:b w:val="0"/>
          <w:i/>
        </w:rPr>
        <w:t>mens</w:t>
      </w:r>
      <w:r>
        <w:rPr>
          <w:b w:val="0"/>
          <w:i w:val="0"/>
        </w:rPr>
        <w:t xml:space="preserve"> is an independently subsisting angel: mind within soul, soul animating its body, and angelic mind above soul remain different levels and functions.</w:t>
      </w:r>
    </w:p>
    <w:p>
      <w:pPr>
        <w:keepNext/>
        <w:widowControl/>
      </w:pPr>
      <w:r>
        <w:rPr>
          <w:b/>
          <w:i w:val="0"/>
        </w:rPr>
        <w:t>The places.</w:t>
      </w:r>
    </w:p>
    <w:p>
      <w:pPr>
        <w:ind w:left="187" w:hanging="187"/>
      </w:pPr>
      <w:r>
        <w:t xml:space="preserve">• </w:t>
      </w:r>
      <w:r>
        <w:rPr>
          <w:b/>
          <w:i w:val="0"/>
        </w:rPr>
        <w:t>I.5.19–22, PDF 74–77</w:t>
      </w:r>
      <w:r>
        <w:rPr>
          <w:b w:val="0"/>
          <w:i w:val="0"/>
        </w:rPr>
        <w:t>. Unmoved minds are distinguished from bodily movers and from a fixed census based only on motions.</w:t>
      </w:r>
    </w:p>
    <w:p>
      <w:pPr>
        <w:ind w:left="187" w:hanging="187"/>
      </w:pPr>
      <w:r>
        <w:t xml:space="preserve">• </w:t>
      </w:r>
      <w:r>
        <w:rPr>
          <w:b/>
          <w:i w:val="0"/>
        </w:rPr>
        <w:t>I.6.1–6, PDF 82–85</w:t>
      </w:r>
      <w:r>
        <w:rPr>
          <w:b w:val="0"/>
          <w:i w:val="0"/>
        </w:rPr>
        <w:t>. Angelic stability coexists with intellectual multiplicity and dependence on a higher unity.</w:t>
      </w:r>
    </w:p>
    <w:p>
      <w:pPr>
        <w:ind w:left="187" w:hanging="187"/>
      </w:pPr>
      <w:r>
        <w:t xml:space="preserve">• </w:t>
      </w:r>
      <w:r>
        <w:rPr>
          <w:b/>
          <w:i w:val="0"/>
        </w:rPr>
        <w:t>I.6.8–10, PDF 86–89</w:t>
      </w:r>
      <w:r>
        <w:rPr>
          <w:b w:val="0"/>
          <w:i w:val="0"/>
        </w:rPr>
        <w:t>. The enlarged-eye and pure-mind analogies distinguish an angel’s reception of truth from identity with truth.</w:t>
      </w:r>
    </w:p>
    <w:p>
      <w:pPr>
        <w:ind w:left="187" w:hanging="187"/>
      </w:pPr>
      <w:r>
        <w:t xml:space="preserve">• </w:t>
      </w:r>
      <w:r>
        <w:rPr>
          <w:b/>
          <w:i w:val="0"/>
        </w:rPr>
        <w:t>IV.1.31, PDF 296–297</w:t>
      </w:r>
      <w:r>
        <w:rPr>
          <w:b w:val="0"/>
          <w:i w:val="0"/>
        </w:rPr>
        <w:t>. Angelic life is intellectual alone, unlike sphere-souls’ intellectual and animating powers.</w:t>
      </w:r>
    </w:p>
    <w:p>
      <w:pPr>
        <w:widowControl/>
      </w:pPr>
      <w:r>
        <w:rPr>
          <w:b/>
          <w:i w:val="0"/>
        </w:rPr>
        <w:t>Further passage references.</w:t>
      </w:r>
      <w:r>
        <w:rPr>
          <w:b w:val="0"/>
          <w:i w:val="0"/>
        </w:rPr>
        <w:t xml:space="preserve"> I.1.5–I.1.7 (PDF pp. 16–17); I.5.14–I.5.28 (pp. 68–81); I.6.1–I.6.6 (pp. 82–85); IV.1.29–IV.1.33, pp. 296–299; IV.1.64–IV.1.67, pp. 314–317; IV.2.6–IV.2.11, pp. 336–339; I.6.9, PDF pp. 86–87</w:t>
      </w:r>
    </w:p>
    <w:p>
      <w:pPr>
        <w:keepNext/>
        <w:widowControl/>
      </w:pPr>
      <w:r>
        <w:rPr>
          <w:b/>
          <w:i w:val="0"/>
        </w:rPr>
        <w:t>In this edition.</w:t>
      </w:r>
    </w:p>
    <w:p>
      <w:pPr>
        <w:widowControl/>
      </w:pPr>
      <w:r>
        <w:rPr>
          <w:b w:val="0"/>
          <w:i w:val="0"/>
        </w:rPr>
        <w:t xml:space="preserve">I.5.20 expressly calls </w:t>
      </w:r>
      <w:r>
        <w:t>“</w:t>
      </w:r>
      <w:r>
        <w:rPr>
          <w:b w:val="0"/>
          <w:i w:val="0"/>
        </w:rPr>
        <w:t>angels and messengers</w:t>
      </w:r>
      <w:r>
        <w:t>”</w:t>
      </w:r>
      <w:r>
        <w:rPr>
          <w:b w:val="0"/>
          <w:i w:val="0"/>
        </w:rPr>
        <w:t xml:space="preserve"> Hebrew and later philosophical names for the minds under discussion. I.6.1 marks complete angelic immobility as Platonist doctrine and defers other opinions. The hypothetical pure mind in I.6.9 is an explanatory comparison, not literal human metamorphosis.</w:t>
      </w:r>
    </w:p>
    <w:p>
      <w:pPr>
        <w:keepNext/>
        <w:widowControl/>
      </w:pPr>
      <w:r>
        <w:rPr>
          <w:b/>
          <w:i w:val="0"/>
        </w:rPr>
        <w:t>See also.</w:t>
      </w:r>
    </w:p>
    <w:p>
      <w:pPr>
        <w:widowControl/>
      </w:pPr>
      <w:hyperlink w:anchor="mind">
        <w:r>
          <w:rPr>
            <w:color w:val="000000"/>
          </w:rPr>
          <w:t xml:space="preserve">Mind</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unity-and-multiplicity">
        <w:r>
          <w:rPr>
            <w:color w:val="000000"/>
          </w:rPr>
          <w:t xml:space="preserve">Unity and multiplicity</w:t>
        </w:r>
      </w:hyperlink>
      <w:r>
        <w:rPr>
          <w:b w:val="0"/>
          <w:i w:val="0"/>
        </w:rPr>
        <w:t xml:space="preserve">; </w:t>
      </w:r>
      <w:hyperlink w:anchor="number">
        <w:r>
          <w:rPr>
            <w:color w:val="000000"/>
          </w:rPr>
          <w:t xml:space="preserve">Number</w:t>
        </w:r>
      </w:hyperlink>
      <w:r>
        <w:rPr>
          <w:b w:val="0"/>
          <w:i w:val="0"/>
        </w:rPr>
        <w:t xml:space="preserve">; </w:t>
      </w:r>
      <w:hyperlink w:anchor="order-and-harmony">
        <w:r>
          <w:rPr>
            <w:color w:val="000000"/>
          </w:rPr>
          <w:t xml:space="preserve">Order and harmony</w:t>
        </w:r>
      </w:hyperlink>
      <w:r>
        <w:rPr>
          <w:b w:val="0"/>
          <w:i w:val="0"/>
        </w:rPr>
        <w:t xml:space="preserve">; </w:t>
      </w:r>
      <w:hyperlink w:anchor="degree-and-mediation">
        <w:r>
          <w:rPr>
            <w:color w:val="000000"/>
          </w:rPr>
          <w:t xml:space="preserve">Degree and mediation</w:t>
        </w:r>
      </w:hyperlink>
      <w:r>
        <w:rPr>
          <w:b w:val="0"/>
          <w:i w:val="0"/>
        </w:rPr>
        <w:t xml:space="preserve">; </w:t>
      </w:r>
      <w:hyperlink w:anchor="soul">
        <w:r>
          <w:rPr>
            <w:color w:val="000000"/>
          </w:rPr>
          <w:t xml:space="preserve">Soul</w:t>
        </w:r>
      </w:hyperlink>
      <w:r>
        <w:rPr>
          <w:b w:val="0"/>
          <w:i w:val="0"/>
        </w:rPr>
        <w:t xml:space="preserve">; </w:t>
      </w:r>
      <w:hyperlink w:anchor="whole-and-parts">
        <w:r>
          <w:rPr>
            <w:color w:val="000000"/>
          </w:rPr>
          <w:t xml:space="preserve">Whole and parts</w:t>
        </w:r>
      </w:hyperlink>
      <w:r>
        <w:rPr>
          <w:b w:val="0"/>
          <w:i w:val="0"/>
        </w:rPr>
        <w:t xml:space="preserve">; </w:t>
      </w:r>
      <w:hyperlink w:anchor="intellectual-and-animating-powers">
        <w:r>
          <w:rPr>
            <w:color w:val="000000"/>
          </w:rPr>
          <w:t xml:space="preserve">Intellectual and animating powers</w:t>
        </w:r>
      </w:hyperlink>
    </w:p>
    <w:p>
      <w:bookmarkStart w:id="24" w:name="animating-and-animal"/>
      <w:pPr>
        <w:pStyle w:val="Heading2"/>
      </w:pPr>
      <w:r>
        <w:rPr>
          <w:b w:val="0"/>
          <w:i w:val="0"/>
        </w:rPr>
        <w:t>Animating and animal</w:t>
      </w:r>
      <w:bookmarkEnd w:id="24"/>
    </w:p>
    <w:p>
      <w:pPr>
        <w:keepNext/>
        <w:widowControl/>
      </w:pPr>
      <w:r>
        <w:rPr>
          <w:b/>
          <w:i w:val="0"/>
        </w:rPr>
        <w:t>Latin:</w:t>
      </w:r>
      <w:r>
        <w:rPr>
          <w:b w:val="0"/>
          <w:i w:val="0"/>
        </w:rPr>
        <w:t xml:space="preserve"> </w:t>
      </w:r>
      <w:r>
        <w:rPr>
          <w:b w:val="0"/>
          <w:i/>
        </w:rPr>
        <w:t>animalis</w:t>
      </w:r>
      <w:r>
        <w:rPr>
          <w:b w:val="0"/>
          <w:i w:val="0"/>
        </w:rPr>
        <w:t xml:space="preserve">; </w:t>
      </w:r>
      <w:r>
        <w:rPr>
          <w:b w:val="0"/>
          <w:i/>
        </w:rPr>
        <w:t>animales vires</w:t>
      </w:r>
      <w:r>
        <w:rPr>
          <w:b w:val="0"/>
          <w:i w:val="0"/>
        </w:rPr>
        <w:t xml:space="preserve">; </w:t>
      </w:r>
      <w:r>
        <w:rPr>
          <w:b w:val="0"/>
          <w:i/>
        </w:rPr>
        <w:t>animalia</w:t>
      </w:r>
      <w:r>
        <w:rPr>
          <w:b w:val="0"/>
          <w:i w:val="0"/>
        </w:rPr>
        <w:t xml:space="preserve">; </w:t>
      </w:r>
      <w:r>
        <w:rPr>
          <w:b w:val="0"/>
          <w:i/>
        </w:rPr>
        <w:t>animal</w:t>
      </w:r>
      <w:r>
        <w:rPr>
          <w:b w:val="0"/>
          <w:i w:val="0"/>
        </w:rPr>
        <w:t xml:space="preserve">; </w:t>
      </w:r>
      <w:r>
        <w:rPr>
          <w:b w:val="0"/>
          <w:i/>
        </w:rPr>
        <w:t>animantes</w:t>
      </w:r>
    </w:p>
    <w:p>
      <w:pPr>
        <w:keepNext/>
        <w:widowControl/>
      </w:pPr>
      <w:r>
        <w:rPr>
          <w:b/>
          <w:i w:val="0"/>
        </w:rPr>
        <w:t>The word.</w:t>
      </w:r>
    </w:p>
    <w:p>
      <w:pPr>
        <w:widowControl/>
      </w:pPr>
      <w:r>
        <w:rPr>
          <w:b w:val="0"/>
          <w:i w:val="0"/>
        </w:rPr>
        <w:t>Animal means a living being, potentially including humans and cosmic living wholes. Animalis can mean belonging to an animated body or its life-giving powers; it does not necessarily mean beast-like.</w:t>
      </w:r>
    </w:p>
    <w:p>
      <w:pPr>
        <w:keepNext/>
        <w:widowControl/>
      </w:pPr>
      <w:r>
        <w:rPr>
          <w:b/>
          <w:i w:val="0"/>
        </w:rPr>
        <w:t>In the Platonic Theology.</w:t>
      </w:r>
    </w:p>
    <w:p>
      <w:pPr>
        <w:widowControl/>
      </w:pPr>
      <w:r>
        <w:rPr>
          <w:b w:val="0"/>
          <w:i w:val="0"/>
        </w:rPr>
        <w:t xml:space="preserve">The family of words should not automatically be restricted to nonhuman beasts. At IV.1.31 the </w:t>
      </w:r>
      <w:r>
        <w:rPr>
          <w:b w:val="0"/>
          <w:i/>
        </w:rPr>
        <w:t>animales vires</w:t>
      </w:r>
      <w:r>
        <w:rPr>
          <w:b w:val="0"/>
          <w:i w:val="0"/>
        </w:rPr>
        <w:t xml:space="preserve"> are the powers through which particular human minds reach and move their bodies; the apparatus expressly explains </w:t>
      </w:r>
      <w:r>
        <w:rPr>
          <w:b w:val="0"/>
          <w:i/>
        </w:rPr>
        <w:t>animalis</w:t>
      </w:r>
      <w:r>
        <w:rPr>
          <w:b w:val="0"/>
          <w:i w:val="0"/>
        </w:rPr>
        <w:t xml:space="preserve"> as belonging to or animating a living body. Likewise, </w:t>
      </w:r>
      <w:r>
        <w:rPr>
          <w:b w:val="0"/>
          <w:i/>
        </w:rPr>
        <w:t>animalia</w:t>
      </w:r>
      <w:r>
        <w:rPr>
          <w:b w:val="0"/>
          <w:i w:val="0"/>
        </w:rPr>
        <w:t xml:space="preserve"> includes human beings in IV.1.37, where flight, buildings, and machines establish independence from the earth. Ficino also calls the world a vast </w:t>
      </w:r>
      <w:r>
        <w:rPr>
          <w:b w:val="0"/>
          <w:i/>
        </w:rPr>
        <w:t>animal</w:t>
      </w:r>
      <w:r>
        <w:rPr>
          <w:b w:val="0"/>
          <w:i w:val="0"/>
        </w:rPr>
        <w:t xml:space="preserve"> and describes spheres with their souls as indissoluble living beings. The semantic range thus extends from familiar organisms to the cosmos as an organized living unity. </w:t>
      </w:r>
      <w:r>
        <w:t>“</w:t>
      </w:r>
      <w:r>
        <w:rPr>
          <w:b w:val="0"/>
          <w:i w:val="0"/>
        </w:rPr>
        <w:t>Animal</w:t>
      </w:r>
      <w:r>
        <w:t>”</w:t>
      </w:r>
      <w:r>
        <w:rPr>
          <w:b w:val="0"/>
          <w:i w:val="0"/>
        </w:rPr>
        <w:t xml:space="preserve"> can be retained when the historical breadth is clear, but </w:t>
      </w:r>
      <w:r>
        <w:t>“</w:t>
      </w:r>
      <w:r>
        <w:rPr>
          <w:b w:val="0"/>
          <w:i w:val="0"/>
        </w:rPr>
        <w:t>living being</w:t>
      </w:r>
      <w:r>
        <w:t>”</w:t>
      </w:r>
      <w:r>
        <w:rPr>
          <w:b w:val="0"/>
          <w:i w:val="0"/>
        </w:rPr>
        <w:t xml:space="preserve"> often prevents an unintended contrast with humans. His cosmic use is a substantive philosophical claim supported by analogies of parts, life, and governance; it is not merely decorative personification.</w:t>
      </w:r>
    </w:p>
    <w:p>
      <w:pPr>
        <w:keepNext/>
        <w:widowControl/>
      </w:pPr>
      <w:r>
        <w:rPr>
          <w:b/>
          <w:i w:val="0"/>
        </w:rPr>
        <w:t>The places.</w:t>
      </w:r>
    </w:p>
    <w:p>
      <w:pPr>
        <w:ind w:left="187" w:hanging="187"/>
      </w:pPr>
      <w:r>
        <w:t xml:space="preserve">• </w:t>
      </w:r>
      <w:r>
        <w:rPr>
          <w:b/>
          <w:i w:val="0"/>
        </w:rPr>
        <w:t>I.1.1, PDF 14–15</w:t>
      </w:r>
      <w:r>
        <w:rPr>
          <w:b w:val="0"/>
          <w:i w:val="0"/>
        </w:rPr>
        <w:t>. Human beings are included in the comparison among animals while distinguished from beasts.</w:t>
      </w:r>
    </w:p>
    <w:p>
      <w:pPr>
        <w:ind w:left="187" w:hanging="187"/>
      </w:pPr>
      <w:r>
        <w:t xml:space="preserve">• </w:t>
      </w:r>
      <w:r>
        <w:rPr>
          <w:b/>
          <w:i w:val="0"/>
        </w:rPr>
        <w:t>IV.1.31, PDF 296–297</w:t>
      </w:r>
      <w:r>
        <w:rPr>
          <w:b w:val="0"/>
          <w:i w:val="0"/>
        </w:rPr>
        <w:t>. Animales vires are the body-reaching and body-moving powers mediated through soul.</w:t>
      </w:r>
    </w:p>
    <w:p>
      <w:pPr>
        <w:ind w:left="187" w:hanging="187"/>
      </w:pPr>
      <w:r>
        <w:t xml:space="preserve">• </w:t>
      </w:r>
      <w:r>
        <w:rPr>
          <w:b/>
          <w:i w:val="0"/>
        </w:rPr>
        <w:t>IV.1.38, PDF 300–301</w:t>
      </w:r>
      <w:r>
        <w:rPr>
          <w:b w:val="0"/>
          <w:i w:val="0"/>
        </w:rPr>
        <w:t>. Animalia includes celestial living beings as well as earthly and aquatic creatures.</w:t>
      </w:r>
    </w:p>
    <w:p>
      <w:pPr>
        <w:widowControl/>
      </w:pPr>
      <w:r>
        <w:rPr>
          <w:b/>
          <w:i w:val="0"/>
        </w:rPr>
        <w:t>Further passage references.</w:t>
      </w:r>
      <w:r>
        <w:rPr>
          <w:b w:val="0"/>
          <w:i w:val="0"/>
        </w:rPr>
        <w:t xml:space="preserve"> IV.1.31, pp. 296–297; IV.1.37, pp. 300–301; IV.1.71–IV.1.73, pp. 318–319; IV.1.82–IV.1.83, pp. 324–325; apparatus p. 390</w:t>
      </w:r>
    </w:p>
    <w:p>
      <w:pPr>
        <w:keepNext/>
        <w:widowControl/>
      </w:pPr>
      <w:r>
        <w:rPr>
          <w:b/>
          <w:i w:val="0"/>
        </w:rPr>
        <w:t>In this edition.</w:t>
      </w:r>
    </w:p>
    <w:p>
      <w:pPr>
        <w:widowControl/>
      </w:pPr>
      <w:r>
        <w:rPr>
          <w:b w:val="0"/>
          <w:i w:val="0"/>
        </w:rPr>
        <w:t xml:space="preserve">The English </w:t>
      </w:r>
      <w:r>
        <w:t>“</w:t>
      </w:r>
      <w:r>
        <w:rPr>
          <w:b w:val="0"/>
          <w:i w:val="0"/>
        </w:rPr>
        <w:t>animal powers</w:t>
      </w:r>
      <w:r>
        <w:t>”</w:t>
      </w:r>
      <w:r>
        <w:rPr>
          <w:b w:val="0"/>
          <w:i w:val="0"/>
        </w:rPr>
        <w:t xml:space="preserve"> at IV.1.31 can mislead if read as irrational or nonhuman powers: the Latin expressly explains them as the souls through which human minds reach their bodies. Keep the adjective’s animating sense beside the noun’s broader living-being sense.</w:t>
      </w:r>
    </w:p>
    <w:p>
      <w:pPr>
        <w:keepNext/>
        <w:widowControl/>
      </w:pPr>
      <w:r>
        <w:rPr>
          <w:b/>
          <w:i w:val="0"/>
        </w:rPr>
        <w:t>See also.</w:t>
      </w:r>
    </w:p>
    <w:p>
      <w:pPr>
        <w:widowControl/>
      </w:pPr>
      <w:hyperlink w:anchor="life">
        <w:r>
          <w:rPr>
            <w:color w:val="000000"/>
          </w:rPr>
          <w:t xml:space="preserve">Life</w:t>
        </w:r>
      </w:hyperlink>
      <w:r>
        <w:rPr>
          <w:b w:val="0"/>
          <w:i w:val="0"/>
        </w:rPr>
        <w:t xml:space="preserve">; </w:t>
      </w:r>
      <w:hyperlink w:anchor="world-soul">
        <w:r>
          <w:rPr>
            <w:color w:val="000000"/>
          </w:rPr>
          <w:t xml:space="preserve">World soul</w:t>
        </w:r>
      </w:hyperlink>
      <w:r>
        <w:rPr>
          <w:b w:val="0"/>
          <w:i w:val="0"/>
        </w:rPr>
        <w:t xml:space="preserve">; </w:t>
      </w:r>
      <w:hyperlink w:anchor="intellectual-and-animating-powers">
        <w:r>
          <w:rPr>
            <w:color w:val="000000"/>
          </w:rPr>
          <w:t xml:space="preserve">Intellectual and animating powers</w:t>
        </w:r>
      </w:hyperlink>
    </w:p>
    <w:p>
      <w:bookmarkStart w:id="25" w:name="apelles-and-the-meadow"/>
      <w:pPr>
        <w:pStyle w:val="Heading2"/>
      </w:pPr>
      <w:r>
        <w:rPr>
          <w:b w:val="0"/>
          <w:i w:val="0"/>
        </w:rPr>
        <w:t>Apelles and the meadow</w:t>
      </w:r>
      <w:bookmarkEnd w:id="25"/>
    </w:p>
    <w:p>
      <w:pPr>
        <w:keepNext/>
        <w:widowControl/>
      </w:pPr>
      <w:r>
        <w:rPr>
          <w:b/>
          <w:i w:val="0"/>
        </w:rPr>
        <w:t>Latin:</w:t>
      </w:r>
      <w:r>
        <w:rPr>
          <w:b w:val="0"/>
          <w:i w:val="0"/>
        </w:rPr>
        <w:t xml:space="preserve"> </w:t>
      </w:r>
      <w:r>
        <w:rPr>
          <w:b w:val="0"/>
          <w:i/>
        </w:rPr>
        <w:t>Apelles; pratum; tabula; pingere; flos; herba; exprimere; paulatim; subito</w:t>
      </w:r>
    </w:p>
    <w:p>
      <w:pPr>
        <w:keepNext/>
        <w:widowControl/>
      </w:pPr>
      <w:r>
        <w:rPr>
          <w:b/>
          <w:i w:val="0"/>
        </w:rPr>
        <w:t>The word.</w:t>
      </w:r>
    </w:p>
    <w:p>
      <w:pPr>
        <w:widowControl/>
      </w:pPr>
      <w:r>
        <w:rPr>
          <w:b w:val="0"/>
          <w:i w:val="0"/>
        </w:rPr>
        <w:t>Apelles is the named painter; pratum is a meadow, tabula a panel, pingere painting, and exprimere representing or reproducing. Subito and paulatim distinguish the immediate presentation from gradual work.</w:t>
      </w:r>
    </w:p>
    <w:p>
      <w:pPr>
        <w:keepNext/>
        <w:widowControl/>
      </w:pPr>
      <w:r>
        <w:rPr>
          <w:b/>
          <w:i w:val="0"/>
        </w:rPr>
        <w:t>In the Platonic Theology.</w:t>
      </w:r>
    </w:p>
    <w:p>
      <w:pPr>
        <w:widowControl/>
      </w:pPr>
      <w:r>
        <w:rPr>
          <w:b w:val="0"/>
          <w:i w:val="0"/>
        </w:rPr>
        <w:t>The example answers a precise objection: if higher causes move soul, how can soul move itself? The whole meadow presents itself and kindles Apelles’s desire at once. His observing individual flowers and painting them proceeds gradually. Ficino assigns the beginning and end of the activity to the meadow, but its successive temporal manner to the painter’s soul. The external source and object do not remove the inward source of sequence. He then applies the comparison to soul’s wish to paint itself in the likeness of God and angel through contemplation, character, and action. The application joins intellectual and ethical formation; it is not merely an account of visual copying. Self-motion is thus compatible with received direction while remaining distinct from independence of any higher source.</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III.1.27 (Latin PDF p. 256; English PDF p. 257).</w:t>
      </w:r>
      <w:r>
        <w:rPr>
          <w:b w:val="0"/>
          <w:i w:val="0"/>
        </w:rPr>
        <w:t xml:space="preserve"> The painter is introduced to answer the self-motion objection.</w:t>
      </w:r>
    </w:p>
    <w:p>
      <w:pPr>
        <w:ind w:left="187" w:hanging="187"/>
      </w:pPr>
      <w:r>
        <w:t xml:space="preserve">• </w:t>
      </w:r>
      <w:r>
        <w:rPr>
          <w:b/>
          <w:i w:val="0"/>
        </w:rPr>
        <w:t>III.1.28 (Latin PDF p. 258; English PDF p. 259).</w:t>
      </w:r>
      <w:r>
        <w:rPr>
          <w:b w:val="0"/>
          <w:i w:val="0"/>
        </w:rPr>
        <w:t xml:space="preserve"> Presentation and kindling are acts; gradual consideration and painting are motions.</w:t>
      </w:r>
    </w:p>
    <w:p>
      <w:pPr>
        <w:ind w:left="187" w:hanging="187"/>
      </w:pPr>
      <w:r>
        <w:t xml:space="preserve">• </w:t>
      </w:r>
      <w:r>
        <w:rPr>
          <w:b/>
          <w:i w:val="0"/>
        </w:rPr>
        <w:t>III.1.30 (Latin PDF p. 258; English PDF p. 259).</w:t>
      </w:r>
      <w:r>
        <w:rPr>
          <w:b w:val="0"/>
          <w:i w:val="0"/>
        </w:rPr>
        <w:t xml:space="preserve"> The meadow is beginning and end; soul is the spring of succession.</w:t>
      </w:r>
    </w:p>
    <w:p>
      <w:pPr>
        <w:ind w:left="187" w:hanging="187"/>
      </w:pPr>
      <w:r>
        <w:t xml:space="preserve">• </w:t>
      </w:r>
      <w:r>
        <w:rPr>
          <w:b/>
          <w:i w:val="0"/>
        </w:rPr>
        <w:t>III.1.31 (Latin PDF p. 258; English PDF p. 259).</w:t>
      </w:r>
      <w:r>
        <w:rPr>
          <w:b w:val="0"/>
          <w:i w:val="0"/>
        </w:rPr>
        <w:t xml:space="preserve"> Self-painting extends the analogy to contemplation, character, and action.</w:t>
      </w:r>
    </w:p>
    <w:p>
      <w:pPr>
        <w:keepNext/>
        <w:widowControl/>
      </w:pPr>
      <w:r>
        <w:rPr>
          <w:b/>
          <w:i w:val="0"/>
        </w:rPr>
        <w:t>In this edition.</w:t>
      </w:r>
    </w:p>
    <w:p>
      <w:pPr>
        <w:widowControl/>
      </w:pPr>
      <w:r>
        <w:rPr>
          <w:b w:val="0"/>
          <w:i w:val="0"/>
        </w:rPr>
        <w:t xml:space="preserve">This is an illustrative scene narrated by Ficino. The supplied passage does not independently establish a historical painting or event in Apelles’s life. </w:t>
      </w:r>
      <w:r>
        <w:t>“</w:t>
      </w:r>
      <w:r>
        <w:rPr>
          <w:b w:val="0"/>
          <w:i w:val="0"/>
        </w:rPr>
        <w:t>Panel</w:t>
      </w:r>
      <w:r>
        <w:t>”</w:t>
      </w:r>
      <w:r>
        <w:rPr>
          <w:b w:val="0"/>
          <w:i w:val="0"/>
        </w:rPr>
        <w:t xml:space="preserve"> keeps tabula’s material sense, while </w:t>
      </w:r>
      <w:r>
        <w:t>“</w:t>
      </w:r>
      <w:r>
        <w:rPr>
          <w:b w:val="0"/>
          <w:i w:val="0"/>
        </w:rPr>
        <w:t>paint itself</w:t>
      </w:r>
      <w:r>
        <w:t>”</w:t>
      </w:r>
      <w:r>
        <w:rPr>
          <w:b w:val="0"/>
          <w:i w:val="0"/>
        </w:rPr>
        <w:t xml:space="preserve"> preserves the deliberately extended metaphor.</w:t>
      </w:r>
    </w:p>
    <w:p>
      <w:pPr>
        <w:keepNext/>
        <w:widowControl/>
      </w:pPr>
      <w:r>
        <w:rPr>
          <w:b/>
          <w:i w:val="0"/>
        </w:rPr>
        <w:t>See also.</w:t>
      </w:r>
    </w:p>
    <w:p>
      <w:pPr>
        <w:widowControl/>
      </w:pPr>
      <w:hyperlink w:anchor="motion-and-stability">
        <w:r>
          <w:rPr>
            <w:color w:val="000000"/>
          </w:rPr>
          <w:t xml:space="preserve">Motion and stability</w:t>
        </w:r>
      </w:hyperlink>
      <w:r>
        <w:rPr>
          <w:b w:val="0"/>
          <w:i w:val="0"/>
        </w:rPr>
        <w:t xml:space="preserve">; </w:t>
      </w:r>
      <w:hyperlink w:anchor="self-knowledge">
        <w:r>
          <w:rPr>
            <w:color w:val="000000"/>
          </w:rPr>
          <w:t xml:space="preserve">Self knowledge</w:t>
        </w:r>
      </w:hyperlink>
      <w:r>
        <w:rPr>
          <w:b w:val="0"/>
          <w:i w:val="0"/>
        </w:rPr>
        <w:t xml:space="preserve">; </w:t>
      </w:r>
      <w:hyperlink w:anchor="art-and-nature">
        <w:r>
          <w:rPr>
            <w:color w:val="000000"/>
          </w:rPr>
          <w:t xml:space="preserve">Art and nature</w:t>
        </w:r>
      </w:hyperlink>
      <w:r>
        <w:rPr>
          <w:b w:val="0"/>
          <w:i w:val="0"/>
        </w:rPr>
        <w:t xml:space="preserve">; </w:t>
      </w:r>
      <w:hyperlink w:anchor="principle">
        <w:r>
          <w:rPr>
            <w:color w:val="000000"/>
          </w:rPr>
          <w:t xml:space="preserve">Principle</w:t>
        </w:r>
      </w:hyperlink>
      <w:r>
        <w:rPr>
          <w:b w:val="0"/>
          <w:i w:val="0"/>
        </w:rPr>
        <w:t>.</w:t>
      </w:r>
    </w:p>
    <w:p>
      <w:bookmarkStart w:id="26" w:name="apollo"/>
      <w:pPr>
        <w:pStyle w:val="Heading2"/>
      </w:pPr>
      <w:r>
        <w:rPr>
          <w:b w:val="0"/>
          <w:i w:val="0"/>
        </w:rPr>
        <w:t>Apollo</w:t>
      </w:r>
      <w:bookmarkEnd w:id="26"/>
    </w:p>
    <w:p>
      <w:pPr>
        <w:keepNext/>
        <w:widowControl/>
      </w:pPr>
      <w:r>
        <w:rPr>
          <w:b/>
          <w:i w:val="0"/>
        </w:rPr>
        <w:t>Latin:</w:t>
      </w:r>
      <w:r>
        <w:rPr>
          <w:b w:val="0"/>
          <w:i w:val="0"/>
        </w:rPr>
        <w:t xml:space="preserve"> </w:t>
      </w:r>
      <w:r>
        <w:rPr>
          <w:b w:val="0"/>
          <w:i/>
        </w:rPr>
        <w:t>universalis Apollo</w:t>
      </w:r>
      <w:r>
        <w:rPr>
          <w:b w:val="0"/>
          <w:i w:val="0"/>
        </w:rPr>
        <w:t xml:space="preserve">; </w:t>
      </w:r>
      <w:r>
        <w:rPr>
          <w:b w:val="0"/>
          <w:i/>
        </w:rPr>
        <w:t>Apollinem</w:t>
      </w:r>
      <w:r>
        <w:rPr>
          <w:b w:val="0"/>
          <w:i w:val="0"/>
        </w:rPr>
        <w:t xml:space="preserve">; </w:t>
      </w:r>
      <w:r>
        <w:rPr>
          <w:b w:val="0"/>
          <w:i/>
        </w:rPr>
        <w:t>unum ipsum</w:t>
      </w:r>
      <w:r>
        <w:rPr>
          <w:b w:val="0"/>
          <w:i w:val="0"/>
        </w:rPr>
        <w:t xml:space="preserve">; </w:t>
      </w:r>
      <w:r>
        <w:rPr>
          <w:b w:val="0"/>
          <w:i/>
        </w:rPr>
        <w:t>ipsum bonum</w:t>
      </w:r>
    </w:p>
    <w:p>
      <w:pPr>
        <w:keepNext/>
        <w:widowControl/>
      </w:pPr>
      <w:r>
        <w:rPr>
          <w:b/>
          <w:i w:val="0"/>
        </w:rPr>
        <w:t>The word.</w:t>
      </w:r>
    </w:p>
    <w:p>
      <w:pPr>
        <w:widowControl/>
      </w:pPr>
      <w:r>
        <w:rPr>
          <w:b w:val="0"/>
          <w:i w:val="0"/>
        </w:rPr>
        <w:t>Apollo is a divine name used at different levels of the reported cosmology. Universalis Apollo identifies unity itself in the Pythagorean exposition; the particular Phoebus in the zodiac list has a different, restricted role.</w:t>
      </w:r>
    </w:p>
    <w:p>
      <w:pPr>
        <w:keepNext/>
        <w:widowControl/>
      </w:pPr>
      <w:r>
        <w:rPr>
          <w:b/>
          <w:i w:val="0"/>
        </w:rPr>
        <w:t>In the Platonic Theology.</w:t>
      </w:r>
    </w:p>
    <w:p>
      <w:pPr>
        <w:widowControl/>
      </w:pPr>
      <w:r>
        <w:rPr>
          <w:b w:val="0"/>
          <w:i w:val="0"/>
        </w:rPr>
        <w:t xml:space="preserve">In the explicitly Pythagorean interlude, Apollo names unity beyond any particular unified thing. One mind still combines mind with oneness; Ficino’s ascent passes beyond it to the One without qualification. He reports a wordplay relating Apollo to simplicity and separation from multiplicity, and then identifies the first One with the first Good. This is an attributed philosophical interpretation of a divine name rather than an independently established etymology. The passage’s Greek is editorially regularized according to Ficino’s Latin glosses, as the apparatus explains. Apollo also appears as the ruler whose musical command orders the chorus of Muses, and later as the splendor of an invisible sun around which Muses and Bacchuses revel. These meanings must be distinguished from the </w:t>
      </w:r>
      <w:r>
        <w:t>“</w:t>
      </w:r>
      <w:r>
        <w:rPr>
          <w:b w:val="0"/>
          <w:i w:val="0"/>
        </w:rPr>
        <w:t>particular Phoebus</w:t>
      </w:r>
      <w:r>
        <w:t>”</w:t>
      </w:r>
      <w:r>
        <w:rPr>
          <w:b w:val="0"/>
          <w:i w:val="0"/>
        </w:rPr>
        <w:t xml:space="preserve"> assigned to Gemini in the zodiacal list. The name’s level and function vary with context.</w:t>
      </w:r>
    </w:p>
    <w:p>
      <w:pPr>
        <w:keepNext/>
        <w:widowControl/>
      </w:pPr>
      <w:r>
        <w:rPr>
          <w:b/>
          <w:i w:val="0"/>
        </w:rPr>
        <w:t>The places.</w:t>
      </w:r>
    </w:p>
    <w:p>
      <w:pPr>
        <w:ind w:left="187" w:hanging="187"/>
      </w:pPr>
      <w:r>
        <w:t xml:space="preserve">• </w:t>
      </w:r>
      <w:r>
        <w:rPr>
          <w:b/>
          <w:i w:val="0"/>
        </w:rPr>
        <w:t>IV.1.43, PDF 304–305</w:t>
      </w:r>
      <w:r>
        <w:rPr>
          <w:b w:val="0"/>
          <w:i w:val="0"/>
        </w:rPr>
        <w:t>. A particular Phoebus is assigned to Gemini, distinct from the universal Apollo.</w:t>
      </w:r>
    </w:p>
    <w:p>
      <w:pPr>
        <w:ind w:left="187" w:hanging="187"/>
      </w:pPr>
      <w:r>
        <w:t xml:space="preserve">• </w:t>
      </w:r>
      <w:r>
        <w:rPr>
          <w:b/>
          <w:i w:val="0"/>
        </w:rPr>
        <w:t>IV.1.51, PDF 306–307</w:t>
      </w:r>
      <w:r>
        <w:rPr>
          <w:b w:val="0"/>
          <w:i w:val="0"/>
        </w:rPr>
        <w:t>. Universal Apollo names the One beyond a mind that is merely one, and is identified with the Good.</w:t>
      </w:r>
    </w:p>
    <w:p>
      <w:pPr>
        <w:ind w:left="187" w:hanging="187"/>
      </w:pPr>
      <w:r>
        <w:t xml:space="preserve">• </w:t>
      </w:r>
      <w:r>
        <w:rPr>
          <w:b/>
          <w:i w:val="0"/>
        </w:rPr>
        <w:t>IV.1.95, PDF 332–333</w:t>
      </w:r>
      <w:r>
        <w:rPr>
          <w:b w:val="0"/>
          <w:i w:val="0"/>
        </w:rPr>
        <w:t>. Apollo becomes the splendour of the invisible sun around which the Bacchuses and Muses revel.</w:t>
      </w:r>
    </w:p>
    <w:p>
      <w:pPr>
        <w:widowControl/>
      </w:pPr>
      <w:r>
        <w:rPr>
          <w:b/>
          <w:i w:val="0"/>
        </w:rPr>
        <w:t>Further passage references.</w:t>
      </w:r>
      <w:r>
        <w:rPr>
          <w:b w:val="0"/>
          <w:i w:val="0"/>
        </w:rPr>
        <w:t xml:space="preserve"> IV.1.43, pp. 304–305; IV.1.51–IV.1.52, pp. 306–309; IV.1.95, pp. 332–333; apparatus p. 391</w:t>
      </w:r>
    </w:p>
    <w:p>
      <w:pPr>
        <w:keepNext/>
        <w:widowControl/>
      </w:pPr>
      <w:r>
        <w:rPr>
          <w:b/>
          <w:i w:val="0"/>
        </w:rPr>
        <w:t>In this edition.</w:t>
      </w:r>
    </w:p>
    <w:p>
      <w:pPr>
        <w:widowControl/>
      </w:pPr>
      <w:r>
        <w:rPr>
          <w:b w:val="0"/>
          <w:i w:val="0"/>
        </w:rPr>
        <w:t>The proposed connections of Apollo’s name with simplicity and separation from the many are attributed wordplay, not an independently established etymology. The supplied Greek and Latin glosses belong to the edition’s treatment; they should not silently be made proof of historical derivation.</w:t>
      </w:r>
    </w:p>
    <w:p>
      <w:pPr>
        <w:keepNext/>
        <w:widowControl/>
      </w:pPr>
      <w:r>
        <w:rPr>
          <w:b/>
          <w:i w:val="0"/>
        </w:rPr>
        <w:t>See also.</w:t>
      </w:r>
    </w:p>
    <w:p>
      <w:pPr>
        <w:widowControl/>
      </w:pPr>
      <w:hyperlink w:anchor="good-and-goodness">
        <w:r>
          <w:rPr>
            <w:color w:val="000000"/>
          </w:rPr>
          <w:t xml:space="preserve">Good and goodness</w:t>
        </w:r>
      </w:hyperlink>
      <w:r>
        <w:rPr>
          <w:b w:val="0"/>
          <w:i w:val="0"/>
        </w:rPr>
        <w:t xml:space="preserve">; </w:t>
      </w:r>
      <w:hyperlink w:anchor="twelve">
        <w:r>
          <w:rPr>
            <w:color w:val="000000"/>
          </w:rPr>
          <w:t xml:space="preserve">Twelve</w:t>
        </w:r>
      </w:hyperlink>
      <w:r>
        <w:rPr>
          <w:b w:val="0"/>
          <w:i w:val="0"/>
        </w:rPr>
        <w:t xml:space="preserve">; </w:t>
      </w:r>
      <w:hyperlink w:anchor="bacchus-and-the-muses">
        <w:r>
          <w:rPr>
            <w:color w:val="000000"/>
          </w:rPr>
          <w:t xml:space="preserve">Bacchus and the Muses</w:t>
        </w:r>
      </w:hyperlink>
    </w:p>
    <w:p>
      <w:bookmarkStart w:id="27" w:name="appetite-and-desire"/>
      <w:pPr>
        <w:pStyle w:val="Heading2"/>
      </w:pPr>
      <w:r>
        <w:rPr>
          <w:b w:val="0"/>
          <w:i w:val="0"/>
        </w:rPr>
        <w:t>Appetite and desire</w:t>
      </w:r>
      <w:bookmarkEnd w:id="27"/>
    </w:p>
    <w:p>
      <w:pPr>
        <w:keepNext/>
        <w:widowControl/>
      </w:pPr>
      <w:r>
        <w:rPr>
          <w:b/>
          <w:i w:val="0"/>
        </w:rPr>
        <w:t>Latin:</w:t>
      </w:r>
      <w:r>
        <w:rPr>
          <w:b w:val="0"/>
          <w:i w:val="0"/>
        </w:rPr>
        <w:t xml:space="preserve"> </w:t>
      </w:r>
      <w:r>
        <w:rPr>
          <w:b w:val="0"/>
          <w:i/>
        </w:rPr>
        <w:t>appetitus</w:t>
      </w:r>
      <w:r>
        <w:rPr>
          <w:b w:val="0"/>
          <w:i w:val="0"/>
        </w:rPr>
        <w:t xml:space="preserve">; </w:t>
      </w:r>
      <w:r>
        <w:rPr>
          <w:b w:val="0"/>
          <w:i/>
        </w:rPr>
        <w:t>appetere</w:t>
      </w:r>
      <w:r>
        <w:rPr>
          <w:b w:val="0"/>
          <w:i w:val="0"/>
        </w:rPr>
        <w:t xml:space="preserve">; </w:t>
      </w:r>
      <w:r>
        <w:rPr>
          <w:b w:val="0"/>
          <w:i/>
        </w:rPr>
        <w:t>cupere</w:t>
      </w:r>
      <w:r>
        <w:rPr>
          <w:b w:val="0"/>
          <w:i w:val="0"/>
        </w:rPr>
        <w:t xml:space="preserve">; </w:t>
      </w:r>
      <w:r>
        <w:rPr>
          <w:b w:val="0"/>
          <w:i/>
        </w:rPr>
        <w:t>expetere</w:t>
      </w:r>
      <w:r>
        <w:rPr>
          <w:b w:val="0"/>
          <w:i w:val="0"/>
        </w:rPr>
        <w:t xml:space="preserve">; </w:t>
      </w:r>
      <w:r>
        <w:rPr>
          <w:b w:val="0"/>
          <w:i/>
        </w:rPr>
        <w:t>nixus</w:t>
      </w:r>
      <w:r>
        <w:rPr>
          <w:b w:val="0"/>
          <w:i w:val="0"/>
        </w:rPr>
        <w:t xml:space="preserve">; </w:t>
      </w:r>
      <w:r>
        <w:rPr>
          <w:b w:val="0"/>
          <w:i/>
        </w:rPr>
        <w:t>appetibile</w:t>
      </w:r>
      <w:r>
        <w:rPr>
          <w:b w:val="0"/>
          <w:i w:val="0"/>
        </w:rPr>
        <w:t xml:space="preserve">; </w:t>
      </w:r>
      <w:r>
        <w:rPr>
          <w:b w:val="0"/>
          <w:i/>
        </w:rPr>
        <w:t>amor</w:t>
      </w:r>
      <w:r>
        <w:rPr>
          <w:b w:val="0"/>
          <w:i w:val="0"/>
        </w:rPr>
        <w:t xml:space="preserve">; </w:t>
      </w:r>
      <w:r>
        <w:rPr>
          <w:b w:val="0"/>
          <w:i/>
        </w:rPr>
        <w:t>appetitio</w:t>
      </w:r>
      <w:r>
        <w:rPr>
          <w:b w:val="0"/>
          <w:i w:val="0"/>
        </w:rPr>
        <w:t xml:space="preserve">; </w:t>
      </w:r>
      <w:r>
        <w:rPr>
          <w:b w:val="0"/>
          <w:i/>
        </w:rPr>
        <w:t>inclinatio</w:t>
      </w:r>
      <w:r>
        <w:rPr>
          <w:b w:val="0"/>
          <w:i w:val="0"/>
        </w:rPr>
        <w:t xml:space="preserve">; </w:t>
      </w:r>
      <w:r>
        <w:rPr>
          <w:b w:val="0"/>
          <w:i/>
        </w:rPr>
        <w:t>incitamentum boni</w:t>
      </w:r>
      <w:r>
        <w:rPr>
          <w:b w:val="0"/>
          <w:i w:val="0"/>
        </w:rPr>
        <w:t xml:space="preserve">; </w:t>
      </w:r>
      <w:r>
        <w:rPr>
          <w:b w:val="0"/>
          <w:i/>
        </w:rPr>
        <w:t>cupiditas</w:t>
      </w:r>
      <w:r>
        <w:rPr>
          <w:b w:val="0"/>
          <w:i w:val="0"/>
        </w:rPr>
        <w:t xml:space="preserve">; </w:t>
      </w:r>
      <w:r>
        <w:rPr>
          <w:b w:val="0"/>
          <w:i/>
        </w:rPr>
        <w:t>aviditas</w:t>
      </w:r>
      <w:r>
        <w:rPr>
          <w:b w:val="0"/>
          <w:i w:val="0"/>
        </w:rPr>
        <w:t xml:space="preserve">; </w:t>
      </w:r>
      <w:r>
        <w:rPr>
          <w:b w:val="0"/>
          <w:i/>
        </w:rPr>
        <w:t>appetit</w:t>
      </w:r>
    </w:p>
    <w:p>
      <w:pPr>
        <w:keepNext/>
        <w:widowControl/>
      </w:pPr>
      <w:r>
        <w:rPr>
          <w:b/>
          <w:i w:val="0"/>
        </w:rPr>
        <w:t>The word.</w:t>
      </w:r>
    </w:p>
    <w:p>
      <w:pPr>
        <w:widowControl/>
      </w:pPr>
      <w:r>
        <w:rPr>
          <w:b w:val="0"/>
          <w:i w:val="0"/>
        </w:rPr>
        <w:t>Appetitus is directed desire or tendency toward good; appetere, cupere and expetere name kinds of seeking. Nixus and incitamentum emphasize striving or prompting. Appetite is broader than hunger and does not always imply deliberation.</w:t>
      </w:r>
    </w:p>
    <w:p>
      <w:pPr>
        <w:keepNext/>
        <w:widowControl/>
      </w:pPr>
      <w:r>
        <w:rPr>
          <w:b/>
          <w:i w:val="0"/>
        </w:rPr>
        <w:t>In the Platonic Theology.</w:t>
      </w:r>
    </w:p>
    <w:p>
      <w:pPr>
        <w:widowControl/>
      </w:pPr>
      <w:r>
        <w:rPr>
          <w:b w:val="0"/>
          <w:i w:val="0"/>
        </w:rPr>
        <w:t>Appetite is directed tendency toward good, whether the good is absent and sought or present and embraced. It extends beyond bodily hunger and conscious human wishes. Ficino distinguishes insentient nature’s inclination, sensation’s appetite, and intellect’s will. An object moves desire as good rather than simply as large or numerous: among things judged bad, people prefer the fewer or smaller. A thing in motion likewise seeks a completion it lacks, revealing dependence upon a more perfect source.</w:t>
      </w:r>
    </w:p>
    <w:p>
      <w:pPr>
        <w:widowControl/>
      </w:pPr>
      <w:r>
        <w:rPr>
          <w:b w:val="0"/>
          <w:i w:val="0"/>
        </w:rPr>
        <w:t>The universal orientation of desire supports an argument about origin and end. Effects seek the goodness from which they receive being, preservation, and perfection. All things desire good, whereas not all can attain or desire mind. Goodness thus has wider scope than intelligence, and the mind itself seeks understanding because it is good. A proposed principle beyond goodness would either be undesired or desirable through goodness, defeating its supposed superiority. A first source and final end supply what moves and settles appetite; an endless sequence of higher goals would leave it without ultimate orientation. In the reported account of mind’s presence, essential, vital, and intellectual inclinations toward God are distinguishable, with essential orientation preceding deliberate thought.</w:t>
      </w:r>
    </w:p>
    <w:p>
      <w:pPr>
        <w:widowControl/>
      </w:pPr>
      <w:r>
        <w:rPr>
          <w:b w:val="0"/>
          <w:i w:val="0"/>
        </w:rPr>
        <w:t>This necessity does not make each particular judgment correct. A person can seek a harmful thing under an apparent good, or choose among means while remaining necessarily oriented toward goodness as such. Ficino compares appetite to sight finding light in every color: the common object does not erase differences among particular objects. Even a wish to desire nothing presents freedom from desire as a good. Apparent wisdom may satisfy someone who lacks it, although life requires possession of what that person actually judges beneficial.</w:t>
      </w:r>
    </w:p>
    <w:p>
      <w:pPr>
        <w:widowControl/>
      </w:pPr>
      <w:r>
        <w:rPr>
          <w:b w:val="0"/>
          <w:i w:val="0"/>
        </w:rPr>
        <w:t>Book IV gives desire a cosmological role. God moves heaven as a desired end, while an interior living form desires that good and brings about bodily movement. Celestial desire is portrayed as rational rather than blind like a stone’s tendency or irrational like a beast’s appetite. Thought arouses appetite within the soul’s ordered or fated activity. Euclid’s projected journey illustrates the difference between a general plan and particular execution: imagination presents a step, appetite selects it, and the feet perform it.</w:t>
      </w:r>
    </w:p>
    <w:p>
      <w:pPr>
        <w:widowControl/>
      </w:pPr>
      <w:r>
        <w:rPr>
          <w:b w:val="0"/>
          <w:i w:val="0"/>
        </w:rPr>
        <w:t>Ficino also attributes desire to matter and celestial bodies without implying human-like deliberation. Matter seeks forms it cannot possess simultaneously, so succession offers a qualified fulfillment. Saturn’s sphere seeks through movement to enjoy everywhere the soul that is already wholly present everywhere. Desire here expresses an inferior mode of being’s orientation toward fuller realization; the subject and object determine its particular meaning.</w:t>
      </w:r>
    </w:p>
    <w:p>
      <w:pPr>
        <w:keepNext/>
        <w:widowControl/>
      </w:pPr>
      <w:r>
        <w:rPr>
          <w:b/>
          <w:i w:val="0"/>
        </w:rPr>
        <w:t>The places.</w:t>
      </w:r>
    </w:p>
    <w:p>
      <w:pPr>
        <w:ind w:left="187" w:hanging="187"/>
      </w:pPr>
      <w:r>
        <w:t xml:space="preserve">• </w:t>
      </w:r>
      <w:r>
        <w:rPr>
          <w:b/>
          <w:i w:val="0"/>
        </w:rPr>
        <w:t>I.2.14, PDF 24–25</w:t>
      </w:r>
      <w:r>
        <w:rPr>
          <w:b w:val="0"/>
          <w:i w:val="0"/>
        </w:rPr>
        <w:t>. Choosing smaller or fewer bad things shows that quantity alone is not desire’s object.</w:t>
      </w:r>
    </w:p>
    <w:p>
      <w:pPr>
        <w:ind w:left="187" w:hanging="187"/>
      </w:pPr>
      <w:r>
        <w:t xml:space="preserve">• </w:t>
      </w:r>
      <w:r>
        <w:rPr>
          <w:b/>
          <w:i w:val="0"/>
        </w:rPr>
        <w:t>I.5.4–6, PDF 62–63</w:t>
      </w:r>
      <w:r>
        <w:rPr>
          <w:b w:val="0"/>
          <w:i w:val="0"/>
        </w:rPr>
        <w:t>. Motion seeks a completion lacking in the moving thing.</w:t>
      </w:r>
    </w:p>
    <w:p>
      <w:pPr>
        <w:ind w:left="187" w:hanging="187"/>
      </w:pPr>
      <w:r>
        <w:t xml:space="preserve">• </w:t>
      </w:r>
      <w:r>
        <w:rPr>
          <w:b/>
          <w:i w:val="0"/>
        </w:rPr>
        <w:t>I.6.16–19, PDF 92–95</w:t>
      </w:r>
      <w:r>
        <w:rPr>
          <w:b w:val="0"/>
          <w:i w:val="0"/>
        </w:rPr>
        <w:t>. Desire for the Good has wider scope and greater priority than desire for mind.</w:t>
      </w:r>
    </w:p>
    <w:p>
      <w:pPr>
        <w:ind w:left="187" w:hanging="187"/>
      </w:pPr>
      <w:r>
        <w:t xml:space="preserve">• </w:t>
      </w:r>
      <w:r>
        <w:rPr>
          <w:b/>
          <w:i w:val="0"/>
        </w:rPr>
        <w:t>II.13.30, PDF 236–237</w:t>
      </w:r>
      <w:r>
        <w:rPr>
          <w:b w:val="0"/>
          <w:i w:val="0"/>
        </w:rPr>
        <w:t>. Free judgement selects among means to the good rather than cancelling the basic orientation toward good.</w:t>
      </w:r>
    </w:p>
    <w:p>
      <w:pPr>
        <w:widowControl/>
      </w:pPr>
      <w:r>
        <w:rPr>
          <w:b/>
          <w:i w:val="0"/>
        </w:rPr>
        <w:t>Further passage references.</w:t>
      </w:r>
      <w:r>
        <w:rPr>
          <w:b w:val="0"/>
          <w:i w:val="0"/>
        </w:rPr>
        <w:t xml:space="preserve"> I.2.14 (PDF pp. 24–25); I.5.4–I.5.6 (pp. 62–63); I.6.14, I.6.16–I.6.19 (pp. 90–95); II.1.2, pp. 98–99; II.1.6–7, pp. 102–103; II.3.9–10, pp. 120–121; II.6.23, pp. 140–141; II.7.4–5, pp. 144–145; II.11.29–30, PDF 196–197; II.12.5–6, PDF 204–205; II.13.29–30, PDF 236–237; IV.1.61–IV.1.62, pp. 312–315; IV.2.1–IV.2.2, pp. 334–335; IV.2.13–IV.2.16, pp. 340–343; IV.2.20, pp. 344–345; IV.2.25, pp. 348–349</w:t>
      </w:r>
    </w:p>
    <w:p>
      <w:pPr>
        <w:keepNext/>
        <w:widowControl/>
      </w:pPr>
      <w:r>
        <w:rPr>
          <w:b/>
          <w:i w:val="0"/>
        </w:rPr>
        <w:t>In this edition.</w:t>
      </w:r>
    </w:p>
    <w:p>
      <w:pPr>
        <w:widowControl/>
      </w:pPr>
      <w:r>
        <w:rPr>
          <w:b w:val="0"/>
          <w:i w:val="0"/>
        </w:rPr>
        <w:t xml:space="preserve">The translation distinguishes desire, inclination, appetite and will according to the subject and object. </w:t>
      </w:r>
      <w:r>
        <w:t>“</w:t>
      </w:r>
      <w:r>
        <w:rPr>
          <w:b w:val="0"/>
          <w:i w:val="0"/>
        </w:rPr>
        <w:t>As good</w:t>
      </w:r>
      <w:r>
        <w:t>”</w:t>
      </w:r>
      <w:r>
        <w:rPr>
          <w:b w:val="0"/>
          <w:i w:val="0"/>
        </w:rPr>
        <w:t xml:space="preserve"> or </w:t>
      </w:r>
      <w:r>
        <w:t>“</w:t>
      </w:r>
      <w:r>
        <w:rPr>
          <w:b w:val="0"/>
          <w:i w:val="0"/>
        </w:rPr>
        <w:t>in respect of good</w:t>
      </w:r>
      <w:r>
        <w:t>”</w:t>
      </w:r>
      <w:r>
        <w:rPr>
          <w:b w:val="0"/>
          <w:i w:val="0"/>
        </w:rPr>
        <w:t xml:space="preserve"> translates ratione boni: an apparent good may be pursued without the agent’s judgement being correct.</w:t>
      </w:r>
    </w:p>
    <w:p>
      <w:pPr>
        <w:keepNext/>
        <w:widowControl/>
      </w:pPr>
      <w:r>
        <w:rPr>
          <w:b/>
          <w:i w:val="0"/>
        </w:rPr>
        <w:t>See also.</w:t>
      </w:r>
    </w:p>
    <w:p>
      <w:pPr>
        <w:widowControl/>
      </w:pPr>
      <w:hyperlink w:anchor="good-and-goodness">
        <w:r>
          <w:rPr>
            <w:color w:val="000000"/>
          </w:rPr>
          <w:t xml:space="preserve">Good and goodness</w:t>
        </w:r>
      </w:hyperlink>
      <w:r>
        <w:rPr>
          <w:b w:val="0"/>
          <w:i w:val="0"/>
        </w:rPr>
        <w:t xml:space="preserve">; </w:t>
      </w:r>
      <w:hyperlink w:anchor="freedom-and-necessity">
        <w:r>
          <w:rPr>
            <w:color w:val="000000"/>
          </w:rPr>
          <w:t xml:space="preserve">Freedom and necessity</w:t>
        </w:r>
      </w:hyperlink>
      <w:r>
        <w:rPr>
          <w:b w:val="0"/>
          <w:i w:val="0"/>
        </w:rPr>
        <w:t xml:space="preserve">; </w:t>
      </w:r>
      <w:hyperlink w:anchor="need-and-sufficiency">
        <w:r>
          <w:rPr>
            <w:color w:val="000000"/>
          </w:rPr>
          <w:t xml:space="preserve">Need and sufficiency</w:t>
        </w:r>
      </w:hyperlink>
      <w:r>
        <w:rPr>
          <w:b w:val="0"/>
          <w:i w:val="0"/>
        </w:rPr>
        <w:t xml:space="preserve">; </w:t>
      </w:r>
      <w:hyperlink w:anchor="end-and-limit">
        <w:r>
          <w:rPr>
            <w:color w:val="000000"/>
          </w:rPr>
          <w:t xml:space="preserve">End and limit</w:t>
        </w:r>
      </w:hyperlink>
      <w:r>
        <w:rPr>
          <w:b w:val="0"/>
          <w:i w:val="0"/>
        </w:rPr>
        <w:t xml:space="preserve">; </w:t>
      </w:r>
      <w:hyperlink w:anchor="principle">
        <w:r>
          <w:rPr>
            <w:color w:val="000000"/>
          </w:rPr>
          <w:t xml:space="preserve">Principle</w:t>
        </w:r>
      </w:hyperlink>
      <w:r>
        <w:rPr>
          <w:b w:val="0"/>
          <w:i w:val="0"/>
        </w:rPr>
        <w:t xml:space="preserve">; </w:t>
      </w:r>
      <w:hyperlink w:anchor="communication-and-imparting">
        <w:r>
          <w:rPr>
            <w:color w:val="000000"/>
          </w:rPr>
          <w:t xml:space="preserve">Communication and imparting</w:t>
        </w:r>
      </w:hyperlink>
      <w:r>
        <w:rPr>
          <w:b w:val="0"/>
          <w:i w:val="0"/>
        </w:rPr>
        <w:t xml:space="preserve">; </w:t>
      </w:r>
      <w:hyperlink w:anchor="mind">
        <w:r>
          <w:rPr>
            <w:color w:val="000000"/>
          </w:rPr>
          <w:t xml:space="preserve">Mind</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will">
        <w:r>
          <w:rPr>
            <w:color w:val="000000"/>
          </w:rPr>
          <w:t xml:space="preserve">Will</w:t>
        </w:r>
      </w:hyperlink>
      <w:r>
        <w:rPr>
          <w:b w:val="0"/>
          <w:i w:val="0"/>
        </w:rPr>
        <w:t xml:space="preserve">; </w:t>
      </w:r>
      <w:hyperlink w:anchor="fate">
        <w:r>
          <w:rPr>
            <w:color w:val="000000"/>
          </w:rPr>
          <w:t xml:space="preserve">Fate</w:t>
        </w:r>
      </w:hyperlink>
      <w:r>
        <w:rPr>
          <w:b w:val="0"/>
          <w:i w:val="0"/>
        </w:rPr>
        <w:t xml:space="preserve">; </w:t>
      </w:r>
      <w:hyperlink w:anchor="sense-and-imagination">
        <w:r>
          <w:rPr>
            <w:color w:val="000000"/>
          </w:rPr>
          <w:t xml:space="preserve">Sense and imagination</w:t>
        </w:r>
      </w:hyperlink>
      <w:r>
        <w:rPr>
          <w:b w:val="0"/>
          <w:i w:val="0"/>
        </w:rPr>
        <w:t xml:space="preserve">; </w:t>
      </w:r>
      <w:hyperlink w:anchor="matter">
        <w:r>
          <w:rPr>
            <w:color w:val="000000"/>
          </w:rPr>
          <w:t xml:space="preserve">Matter</w:t>
        </w:r>
      </w:hyperlink>
    </w:p>
    <w:p>
      <w:bookmarkStart w:id="28" w:name="archer-and-target"/>
      <w:pPr>
        <w:pStyle w:val="Heading2"/>
      </w:pPr>
      <w:r>
        <w:rPr>
          <w:b w:val="0"/>
          <w:i w:val="0"/>
        </w:rPr>
        <w:t>Archer and target</w:t>
      </w:r>
      <w:bookmarkEnd w:id="28"/>
    </w:p>
    <w:p>
      <w:pPr>
        <w:keepNext/>
        <w:widowControl/>
      </w:pPr>
      <w:r>
        <w:rPr>
          <w:b/>
          <w:i w:val="0"/>
        </w:rPr>
        <w:t>Latin:</w:t>
      </w:r>
      <w:r>
        <w:rPr>
          <w:b w:val="0"/>
          <w:i w:val="0"/>
        </w:rPr>
        <w:t xml:space="preserve"> </w:t>
      </w:r>
      <w:r>
        <w:rPr>
          <w:b w:val="0"/>
          <w:i/>
        </w:rPr>
        <w:t>sagitta; sagittarius; signum; prudentia; dirigere; praescribere</w:t>
      </w:r>
    </w:p>
    <w:p>
      <w:pPr>
        <w:keepNext/>
        <w:widowControl/>
      </w:pPr>
      <w:r>
        <w:rPr>
          <w:b/>
          <w:i w:val="0"/>
        </w:rPr>
        <w:t>The word.</w:t>
      </w:r>
    </w:p>
    <w:p>
      <w:pPr>
        <w:widowControl/>
      </w:pPr>
      <w:r>
        <w:rPr>
          <w:b w:val="0"/>
          <w:i w:val="0"/>
        </w:rPr>
        <w:t>Sagitta is an arrow, sagittarius an archer, and signum here a mark or target. Prudentia names the archer’s intelligent skill. It is not the same use of signum as a piece of evidence or a constellation.</w:t>
      </w:r>
    </w:p>
    <w:p>
      <w:pPr>
        <w:keepNext/>
        <w:widowControl/>
      </w:pPr>
      <w:r>
        <w:rPr>
          <w:b/>
          <w:i w:val="0"/>
        </w:rPr>
        <w:t>In the Platonic Theology.</w:t>
      </w:r>
    </w:p>
    <w:p>
      <w:pPr>
        <w:widowControl/>
      </w:pPr>
      <w:r>
        <w:rPr>
          <w:b w:val="0"/>
          <w:i w:val="0"/>
        </w:rPr>
        <w:t>The analogy follows the claim that natural bodies repeatedly reach definite ends while remaining ignorant of their own movement. Since they cannot prescribe their own end, Ficino concludes that another source prescribes it, just as the archer directs arrows toward the mark. The point is the distinction between directed movement and the mover’s knowledge of the direction. A body’s reaching an end does not prove that the body itself consciously deliberated. Conversely, the comparison is not the whole account of providence: Ficino soon emphasizes inward governance through each nature, and says that souls are attracted and persuaded rather than dragged. An arrow’s externally directed flight therefore must not become an indiscriminate model for human choice.</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II.13.9 (Latin PDF p. 220; English PDF p. 221).</w:t>
      </w:r>
      <w:r>
        <w:rPr>
          <w:b w:val="0"/>
          <w:i w:val="0"/>
        </w:rPr>
        <w:t xml:space="preserve"> The arrow comparison explains assigned ends in unknowing bodies.</w:t>
      </w:r>
    </w:p>
    <w:p>
      <w:pPr>
        <w:ind w:left="187" w:hanging="187"/>
      </w:pPr>
      <w:r>
        <w:t xml:space="preserve">• </w:t>
      </w:r>
      <w:r>
        <w:rPr>
          <w:b/>
          <w:i w:val="0"/>
        </w:rPr>
        <w:t>II.13.12 (Latin PDF p. 224; English PDF p. 225).</w:t>
      </w:r>
      <w:r>
        <w:rPr>
          <w:b w:val="0"/>
          <w:i w:val="0"/>
        </w:rPr>
        <w:t xml:space="preserve"> Inward presence qualifies any model of an external operator.</w:t>
      </w:r>
    </w:p>
    <w:p>
      <w:pPr>
        <w:ind w:left="187" w:hanging="187"/>
      </w:pPr>
      <w:r>
        <w:t xml:space="preserve">• </w:t>
      </w:r>
      <w:r>
        <w:rPr>
          <w:b/>
          <w:i w:val="0"/>
        </w:rPr>
        <w:t>II.13.26 (Latin PDF p. 234; English PDF p. 235).</w:t>
      </w:r>
      <w:r>
        <w:rPr>
          <w:b w:val="0"/>
          <w:i w:val="0"/>
        </w:rPr>
        <w:t xml:space="preserve"> Souls are governed in a manner preserving their freedom.</w:t>
      </w:r>
    </w:p>
    <w:p>
      <w:pPr>
        <w:keepNext/>
        <w:widowControl/>
      </w:pPr>
      <w:r>
        <w:rPr>
          <w:b/>
          <w:i w:val="0"/>
        </w:rPr>
        <w:t>In this edition.</w:t>
      </w:r>
    </w:p>
    <w:p>
      <w:pPr>
        <w:widowControl/>
      </w:pPr>
      <w:r>
        <w:rPr>
          <w:b w:val="0"/>
          <w:i w:val="0"/>
        </w:rPr>
        <w:t xml:space="preserve">The translation’s </w:t>
      </w:r>
      <w:r>
        <w:t>“</w:t>
      </w:r>
      <w:r>
        <w:rPr>
          <w:b w:val="0"/>
          <w:i w:val="0"/>
        </w:rPr>
        <w:t>mark</w:t>
      </w:r>
      <w:r>
        <w:t>”</w:t>
      </w:r>
      <w:r>
        <w:rPr>
          <w:b w:val="0"/>
          <w:i w:val="0"/>
        </w:rPr>
        <w:t xml:space="preserve"> accurately selects the target-sense of signum. </w:t>
      </w:r>
      <w:r>
        <w:t>“</w:t>
      </w:r>
      <w:r>
        <w:rPr>
          <w:b w:val="0"/>
          <w:i w:val="0"/>
        </w:rPr>
        <w:t>Skill</w:t>
      </w:r>
      <w:r>
        <w:t>”</w:t>
      </w:r>
      <w:r>
        <w:rPr>
          <w:b w:val="0"/>
          <w:i w:val="0"/>
        </w:rPr>
        <w:t xml:space="preserve"> renders prudentia contextually; </w:t>
      </w:r>
      <w:r>
        <w:t>“</w:t>
      </w:r>
      <w:r>
        <w:rPr>
          <w:b w:val="0"/>
          <w:i w:val="0"/>
        </w:rPr>
        <w:t>prudence</w:t>
      </w:r>
      <w:r>
        <w:t>”</w:t>
      </w:r>
      <w:r>
        <w:rPr>
          <w:b w:val="0"/>
          <w:i w:val="0"/>
        </w:rPr>
        <w:t xml:space="preserve"> without explanation might misleadingly imply a separate ethical discussion.</w:t>
      </w:r>
    </w:p>
    <w:p>
      <w:pPr>
        <w:keepNext/>
        <w:widowControl/>
      </w:pPr>
      <w:r>
        <w:rPr>
          <w:b/>
          <w:i w:val="0"/>
        </w:rPr>
        <w:t>See also.</w:t>
      </w:r>
    </w:p>
    <w:p>
      <w:pPr>
        <w:widowControl/>
      </w:pPr>
      <w:hyperlink w:anchor="paths-and-prescribed-ends">
        <w:r>
          <w:rPr>
            <w:color w:val="000000"/>
          </w:rPr>
          <w:t xml:space="preserve">Paths and prescribed ends</w:t>
        </w:r>
      </w:hyperlink>
      <w:r>
        <w:rPr>
          <w:b w:val="0"/>
          <w:i w:val="0"/>
        </w:rPr>
        <w:t xml:space="preserve">; </w:t>
      </w:r>
      <w:hyperlink w:anchor="intention">
        <w:r>
          <w:rPr>
            <w:color w:val="000000"/>
          </w:rPr>
          <w:t xml:space="preserve">Intention</w:t>
        </w:r>
      </w:hyperlink>
      <w:r>
        <w:rPr>
          <w:b w:val="0"/>
          <w:i w:val="0"/>
        </w:rPr>
        <w:t xml:space="preserve">; </w:t>
      </w:r>
      <w:hyperlink w:anchor="providence">
        <w:r>
          <w:rPr>
            <w:color w:val="000000"/>
          </w:rPr>
          <w:t xml:space="preserve">Providence</w:t>
        </w:r>
      </w:hyperlink>
      <w:r>
        <w:rPr>
          <w:b w:val="0"/>
          <w:i w:val="0"/>
        </w:rPr>
        <w:t xml:space="preserve">; </w:t>
      </w:r>
      <w:hyperlink w:anchor="persuasion-and-compulsion">
        <w:r>
          <w:rPr>
            <w:color w:val="000000"/>
          </w:rPr>
          <w:t xml:space="preserve">Persuasion and compulsion</w:t>
        </w:r>
      </w:hyperlink>
      <w:r>
        <w:rPr>
          <w:b w:val="0"/>
          <w:i w:val="0"/>
        </w:rPr>
        <w:t>.</w:t>
      </w:r>
    </w:p>
    <w:p>
      <w:bookmarkStart w:id="29" w:name="archimedes-and-bronze-spheres"/>
      <w:pPr>
        <w:pStyle w:val="Heading2"/>
      </w:pPr>
      <w:r>
        <w:rPr>
          <w:b w:val="0"/>
          <w:i w:val="0"/>
        </w:rPr>
        <w:t>Archimedes and the bronze spheres</w:t>
      </w:r>
      <w:bookmarkEnd w:id="29"/>
    </w:p>
    <w:p>
      <w:pPr>
        <w:keepNext/>
        <w:widowControl/>
      </w:pPr>
      <w:r>
        <w:rPr>
          <w:b/>
          <w:i w:val="0"/>
        </w:rPr>
        <w:t>Latin:</w:t>
      </w:r>
      <w:r>
        <w:rPr>
          <w:b w:val="0"/>
          <w:i w:val="0"/>
        </w:rPr>
        <w:t xml:space="preserve"> </w:t>
      </w:r>
      <w:r>
        <w:rPr>
          <w:b w:val="0"/>
          <w:i/>
        </w:rPr>
        <w:t>aeneae … Archimedis … sphaerae</w:t>
      </w:r>
      <w:r>
        <w:rPr>
          <w:b w:val="0"/>
          <w:i w:val="0"/>
        </w:rPr>
        <w:t xml:space="preserve">, </w:t>
      </w:r>
      <w:r>
        <w:rPr>
          <w:b w:val="0"/>
          <w:i/>
        </w:rPr>
        <w:t>temperatione</w:t>
      </w:r>
      <w:r>
        <w:rPr>
          <w:b w:val="0"/>
          <w:i w:val="0"/>
        </w:rPr>
        <w:t xml:space="preserve">, </w:t>
      </w:r>
      <w:r>
        <w:rPr>
          <w:b w:val="0"/>
          <w:i/>
        </w:rPr>
        <w:t>aequabilior</w:t>
      </w:r>
      <w:r>
        <w:rPr>
          <w:b w:val="0"/>
          <w:i w:val="0"/>
        </w:rPr>
        <w:t>.</w:t>
      </w:r>
    </w:p>
    <w:p>
      <w:pPr>
        <w:keepNext/>
        <w:widowControl/>
      </w:pPr>
      <w:r>
        <w:rPr>
          <w:b/>
          <w:i w:val="0"/>
        </w:rPr>
        <w:t>The word.</w:t>
      </w:r>
    </w:p>
    <w:p>
      <w:pPr>
        <w:widowControl/>
      </w:pPr>
      <w:r>
        <w:rPr>
          <w:b w:val="0"/>
          <w:i/>
        </w:rPr>
        <w:t>Aeneus</w:t>
      </w:r>
      <w:r>
        <w:rPr>
          <w:b w:val="0"/>
          <w:i w:val="0"/>
        </w:rPr>
        <w:t xml:space="preserve"> means made of bronze or copper alloy. </w:t>
      </w:r>
      <w:r>
        <w:rPr>
          <w:b w:val="0"/>
          <w:i/>
        </w:rPr>
        <w:t>Temperatio</w:t>
      </w:r>
      <w:r>
        <w:rPr>
          <w:b w:val="0"/>
          <w:i w:val="0"/>
        </w:rPr>
        <w:t xml:space="preserve"> is an arrangement, balanced constitution, or temperament; the context determines how physical or technical the term is. </w:t>
      </w:r>
      <w:r>
        <w:rPr>
          <w:b w:val="0"/>
          <w:i/>
        </w:rPr>
        <w:t>Aequabilis</w:t>
      </w:r>
      <w:r>
        <w:rPr>
          <w:b w:val="0"/>
          <w:i w:val="0"/>
        </w:rPr>
        <w:t xml:space="preserve"> means even or uniform, not necessarily numerically equal to another thing.</w:t>
      </w:r>
    </w:p>
    <w:p>
      <w:pPr>
        <w:keepNext/>
        <w:widowControl/>
      </w:pPr>
      <w:r>
        <w:rPr>
          <w:b/>
          <w:i w:val="0"/>
        </w:rPr>
        <w:t>In the Platonic Theology.</w:t>
      </w:r>
    </w:p>
    <w:p>
      <w:pPr>
        <w:widowControl/>
      </w:pPr>
      <w:r>
        <w:rPr>
          <w:b w:val="0"/>
          <w:i w:val="0"/>
        </w:rPr>
        <w:t>Archimedes’ revolving bronze spheres enter as a hypothetical alternative explanation: suppose the heavens move by a certain arrangement as those spheres once did. Ficino’s reply does not provide a mechanical description of the device. It insists that the heavenly arrangement must be at least as substantial, living, and rational as the constitution that moves earthly animals’ limbs, since heaven is nearer first substance, life, and reason and more uniform in nature and motion. The example is therefore absorbed into his hierarchical argument rather than establishing autonomous machinery as the sufficient cosmic cause.</w:t>
      </w:r>
    </w:p>
    <w:p>
      <w:pPr>
        <w:widowControl/>
      </w:pPr>
      <w:r>
        <w:rPr>
          <w:b w:val="0"/>
          <w:i w:val="0"/>
        </w:rPr>
        <w:t xml:space="preserve">The next question asks whether this living principle is an angel and rejects that identification. Celestial life accompanies its body in a certain manner, while angelic mind is unmoved. </w:t>
      </w:r>
      <w:r>
        <w:t>“</w:t>
      </w:r>
      <w:r>
        <w:rPr>
          <w:b w:val="0"/>
          <w:i w:val="0"/>
        </w:rPr>
        <w:t>Temperament</w:t>
      </w:r>
      <w:r>
        <w:t>”</w:t>
      </w:r>
      <w:r>
        <w:rPr>
          <w:b w:val="0"/>
          <w:i w:val="0"/>
        </w:rPr>
        <w:t xml:space="preserve"> consequently does not end the inquiry; the relation of the proposed principle to living soul and superior mind remains to be specified.</w:t>
      </w:r>
    </w:p>
    <w:p>
      <w:pPr>
        <w:keepNext/>
        <w:widowControl/>
      </w:pPr>
      <w:r>
        <w:rPr>
          <w:b/>
          <w:i w:val="0"/>
        </w:rPr>
        <w:t>The places.</w:t>
      </w:r>
    </w:p>
    <w:p>
      <w:pPr>
        <w:ind w:left="187" w:hanging="187"/>
      </w:pPr>
      <w:r>
        <w:t xml:space="preserve">• </w:t>
      </w:r>
      <w:r>
        <w:rPr>
          <w:b/>
          <w:i w:val="0"/>
        </w:rPr>
        <w:t>IV.1.63, PDF pp. 314–315:</w:t>
      </w:r>
      <w:r>
        <w:rPr>
          <w:b w:val="0"/>
          <w:i w:val="0"/>
        </w:rPr>
        <w:t xml:space="preserve"> the bronze spheres provide a hypothetical model of heavenly movement</w:t>
      </w:r>
    </w:p>
    <w:p>
      <w:pPr>
        <w:ind w:left="187" w:hanging="187"/>
      </w:pPr>
      <w:r>
        <w:t xml:space="preserve">• </w:t>
      </w:r>
      <w:r>
        <w:rPr>
          <w:b/>
          <w:i w:val="0"/>
        </w:rPr>
        <w:t>IV.1.64–67, pp. 314–317:</w:t>
      </w:r>
      <w:r>
        <w:rPr>
          <w:b w:val="0"/>
          <w:i w:val="0"/>
        </w:rPr>
        <w:t xml:space="preserve"> the immediate moving principle is distinguished from angel and identified as soul</w:t>
      </w:r>
    </w:p>
    <w:p>
      <w:pPr>
        <w:keepNext/>
        <w:widowControl/>
      </w:pPr>
      <w:r>
        <w:rPr>
          <w:b/>
          <w:i w:val="0"/>
        </w:rPr>
        <w:t>In this edition.</w:t>
      </w:r>
    </w:p>
    <w:p>
      <w:pPr>
        <w:widowControl/>
      </w:pPr>
      <w:r>
        <w:t>“</w:t>
      </w:r>
      <w:r>
        <w:rPr>
          <w:b w:val="0"/>
          <w:i w:val="0"/>
        </w:rPr>
        <w:t>A certain temperament</w:t>
      </w:r>
      <w:r>
        <w:t>”</w:t>
      </w:r>
      <w:r>
        <w:rPr>
          <w:b w:val="0"/>
          <w:i w:val="0"/>
        </w:rPr>
        <w:t xml:space="preserve"> keeps the abstract </w:t>
      </w:r>
      <w:r>
        <w:rPr>
          <w:b w:val="0"/>
          <w:i/>
        </w:rPr>
        <w:t>temperatione quadam</w:t>
      </w:r>
      <w:r>
        <w:rPr>
          <w:b w:val="0"/>
          <w:i w:val="0"/>
        </w:rPr>
        <w:t>. The source supplies neither construction details nor a claim that Archimedes’ device had a soul. The living and rational conclusion concerns the heavenly arrangement within Ficino’s reply.</w:t>
      </w:r>
    </w:p>
    <w:p>
      <w:pPr>
        <w:keepNext/>
        <w:widowControl/>
      </w:pPr>
      <w:r>
        <w:rPr>
          <w:b/>
          <w:i w:val="0"/>
        </w:rPr>
        <w:t>See also.</w:t>
      </w:r>
    </w:p>
    <w:p>
      <w:pPr>
        <w:widowControl/>
      </w:pPr>
      <w:hyperlink w:anchor="art-and-nature">
        <w:r>
          <w:rPr>
            <w:color w:val="000000"/>
          </w:rPr>
          <w:t xml:space="preserve">Art and nature</w:t>
        </w:r>
      </w:hyperlink>
      <w:r>
        <w:rPr>
          <w:b w:val="0"/>
          <w:i w:val="0"/>
        </w:rPr>
        <w:t xml:space="preserve">; </w:t>
      </w:r>
      <w:hyperlink w:anchor="motion-and-stability">
        <w:r>
          <w:rPr>
            <w:color w:val="000000"/>
          </w:rPr>
          <w:t xml:space="preserve">Motion and stability</w:t>
        </w:r>
      </w:hyperlink>
      <w:r>
        <w:rPr>
          <w:b w:val="0"/>
          <w:i w:val="0"/>
        </w:rPr>
        <w:t xml:space="preserve">; </w:t>
      </w:r>
      <w:hyperlink w:anchor="purity-and-mixture">
        <w:r>
          <w:rPr>
            <w:color w:val="000000"/>
          </w:rPr>
          <w:t xml:space="preserve">Purity and mixture</w:t>
        </w:r>
      </w:hyperlink>
      <w:r>
        <w:rPr>
          <w:b w:val="0"/>
          <w:i w:val="0"/>
        </w:rPr>
        <w:t xml:space="preserve">; </w:t>
      </w:r>
      <w:hyperlink w:anchor="proportion-and-analogy">
        <w:r>
          <w:rPr>
            <w:color w:val="000000"/>
          </w:rPr>
          <w:t xml:space="preserve">Proportion and analogy</w:t>
        </w:r>
      </w:hyperlink>
      <w:r>
        <w:rPr>
          <w:b w:val="0"/>
          <w:i w:val="0"/>
        </w:rPr>
        <w:t>.</w:t>
      </w:r>
    </w:p>
    <w:p>
      <w:bookmarkStart w:id="30" w:name="architect-and-house"/>
      <w:pPr>
        <w:pStyle w:val="Heading2"/>
      </w:pPr>
      <w:r>
        <w:rPr>
          <w:b w:val="0"/>
          <w:i w:val="0"/>
        </w:rPr>
        <w:t>Architect, house and decoration</w:t>
      </w:r>
      <w:bookmarkEnd w:id="30"/>
    </w:p>
    <w:p>
      <w:pPr>
        <w:keepNext/>
        <w:widowControl/>
      </w:pPr>
      <w:r>
        <w:rPr>
          <w:b/>
          <w:i w:val="0"/>
        </w:rPr>
        <w:t>Latin:</w:t>
      </w:r>
      <w:r>
        <w:rPr>
          <w:b w:val="0"/>
          <w:i w:val="0"/>
        </w:rPr>
        <w:t xml:space="preserve"> </w:t>
      </w:r>
      <w:r>
        <w:rPr>
          <w:b w:val="0"/>
          <w:i/>
        </w:rPr>
        <w:t>architectus; minister; aedificium; domus; picturae; opifex; artifex</w:t>
      </w:r>
    </w:p>
    <w:p>
      <w:pPr>
        <w:keepNext/>
        <w:widowControl/>
      </w:pPr>
      <w:r>
        <w:rPr>
          <w:b/>
          <w:i w:val="0"/>
        </w:rPr>
        <w:t>The word.</w:t>
      </w:r>
    </w:p>
    <w:p>
      <w:pPr>
        <w:widowControl/>
      </w:pPr>
      <w:r>
        <w:rPr>
          <w:b w:val="0"/>
          <w:i w:val="0"/>
        </w:rPr>
        <w:t>An architectus directs a construction; a minister serves under that direction. Domus is the house, aedificium the building, and picturae its paintings or painted decoration. The terms distinguish a coordinating skill from subordinate work and distinguish an original construction from later additions.</w:t>
      </w:r>
    </w:p>
    <w:p>
      <w:pPr>
        <w:keepNext/>
        <w:widowControl/>
      </w:pPr>
      <w:r>
        <w:rPr>
          <w:b/>
          <w:i w:val="0"/>
        </w:rPr>
        <w:t>In the Platonic Theology.</w:t>
      </w:r>
    </w:p>
    <w:p>
      <w:pPr>
        <w:widowControl/>
      </w:pPr>
      <w:r>
        <w:rPr>
          <w:b w:val="0"/>
          <w:i w:val="0"/>
        </w:rPr>
        <w:t>Ficino uses the architect twice in different arguments. First, an agent restricted to a particular natural good stands to intellectual nature as a servant to an architect: local efficacy does not supply the whole plan. Second, the architect cannot conceive the building without the proper accounts of its parts. The analogy supports the presence of particular intelligible accounts within the divine idea of universal order. It does not make divine simplicity a collection of drawings. The house then differentiates accidents accompanying the work from the outset from paintings added once it is complete. The former follow the original house-form; the latter call for other ideas. Finally, random handling of stones is contrasted with constructing beautiful, useful, interconnected walls. This last case tests purposive arrangement, rather than the earlier question of how many ideas are required.</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II.11.14 (Latin PDF p. 188; English PDF p. 189).</w:t>
      </w:r>
      <w:r>
        <w:rPr>
          <w:b w:val="0"/>
          <w:i w:val="0"/>
        </w:rPr>
        <w:t xml:space="preserve"> The servant–architect comparison orders particular and universal agency.</w:t>
      </w:r>
    </w:p>
    <w:p>
      <w:pPr>
        <w:ind w:left="187" w:hanging="187"/>
      </w:pPr>
      <w:r>
        <w:t xml:space="preserve">• </w:t>
      </w:r>
      <w:r>
        <w:rPr>
          <w:b/>
          <w:i w:val="0"/>
        </w:rPr>
        <w:t>II.11.18 (Latin PDF p. 190; English PDF p. 191).</w:t>
      </w:r>
      <w:r>
        <w:rPr>
          <w:b w:val="0"/>
          <w:i w:val="0"/>
        </w:rPr>
        <w:t xml:space="preserve"> The plan of a whole requires accounts of its parts.</w:t>
      </w:r>
    </w:p>
    <w:p>
      <w:pPr>
        <w:ind w:left="187" w:hanging="187"/>
      </w:pPr>
      <w:r>
        <w:t xml:space="preserve">• </w:t>
      </w:r>
      <w:r>
        <w:rPr>
          <w:b/>
          <w:i w:val="0"/>
        </w:rPr>
        <w:t>II.11.21 (Latin PDF p. 192; English PDF p. 193).</w:t>
      </w:r>
      <w:r>
        <w:rPr>
          <w:b w:val="0"/>
          <w:i w:val="0"/>
        </w:rPr>
        <w:t xml:space="preserve"> Original features and later paintings have different explanatory places.</w:t>
      </w:r>
    </w:p>
    <w:p>
      <w:pPr>
        <w:ind w:left="187" w:hanging="187"/>
      </w:pPr>
      <w:r>
        <w:t xml:space="preserve">• </w:t>
      </w:r>
      <w:r>
        <w:rPr>
          <w:b/>
          <w:i w:val="0"/>
        </w:rPr>
        <w:t>II.13.15 (Latin PDF p. 226; English PDF p. 227).</w:t>
      </w:r>
      <w:r>
        <w:rPr>
          <w:b w:val="0"/>
          <w:i w:val="0"/>
        </w:rPr>
        <w:t xml:space="preserve"> Random stone-handling fails to provide an ordered building.</w:t>
      </w:r>
    </w:p>
    <w:p>
      <w:pPr>
        <w:keepNext/>
        <w:widowControl/>
      </w:pPr>
      <w:r>
        <w:rPr>
          <w:b/>
          <w:i w:val="0"/>
        </w:rPr>
        <w:t>In this edition.</w:t>
      </w:r>
    </w:p>
    <w:p>
      <w:pPr>
        <w:widowControl/>
      </w:pPr>
      <w:r>
        <w:rPr>
          <w:b w:val="0"/>
          <w:i w:val="0"/>
        </w:rPr>
        <w:t xml:space="preserve">The English alternates </w:t>
      </w:r>
      <w:r>
        <w:t>“</w:t>
      </w:r>
      <w:r>
        <w:rPr>
          <w:b w:val="0"/>
          <w:i w:val="0"/>
        </w:rPr>
        <w:t>architect,</w:t>
      </w:r>
      <w:r>
        <w:t>”</w:t>
      </w:r>
      <w:r>
        <w:rPr>
          <w:b w:val="0"/>
          <w:i w:val="0"/>
        </w:rPr>
        <w:t xml:space="preserve"> </w:t>
      </w:r>
      <w:r>
        <w:t>“</w:t>
      </w:r>
      <w:r>
        <w:rPr>
          <w:b w:val="0"/>
          <w:i w:val="0"/>
        </w:rPr>
        <w:t>maker,</w:t>
      </w:r>
      <w:r>
        <w:t>”</w:t>
      </w:r>
      <w:r>
        <w:rPr>
          <w:b w:val="0"/>
          <w:i w:val="0"/>
        </w:rPr>
        <w:t xml:space="preserve"> and </w:t>
      </w:r>
      <w:r>
        <w:t>“</w:t>
      </w:r>
      <w:r>
        <w:rPr>
          <w:b w:val="0"/>
          <w:i w:val="0"/>
        </w:rPr>
        <w:t>artisan</w:t>
      </w:r>
      <w:r>
        <w:t>”</w:t>
      </w:r>
      <w:r>
        <w:rPr>
          <w:b w:val="0"/>
          <w:i w:val="0"/>
        </w:rPr>
        <w:t xml:space="preserve"> with the Latin roles. </w:t>
      </w:r>
      <w:r>
        <w:t>“</w:t>
      </w:r>
      <w:r>
        <w:rPr>
          <w:b w:val="0"/>
          <w:i w:val="0"/>
        </w:rPr>
        <w:t>Accidental features</w:t>
      </w:r>
      <w:r>
        <w:t>”</w:t>
      </w:r>
      <w:r>
        <w:rPr>
          <w:b w:val="0"/>
          <w:i w:val="0"/>
        </w:rPr>
        <w:t xml:space="preserve"> in the house example means features of an already constituted substance; it does not mean features acquired by chance. The paintings are a counterexample to treating every subsequent addition as contained in precisely the same way in the initial house-plan.</w:t>
      </w:r>
    </w:p>
    <w:p>
      <w:pPr>
        <w:keepNext/>
        <w:widowControl/>
      </w:pPr>
      <w:r>
        <w:rPr>
          <w:b/>
          <w:i w:val="0"/>
        </w:rPr>
        <w:t>See also.</w:t>
      </w:r>
    </w:p>
    <w:p>
      <w:pPr>
        <w:widowControl/>
      </w:pPr>
      <w:hyperlink w:anchor="art-and-nature">
        <w:r>
          <w:rPr>
            <w:color w:val="000000"/>
          </w:rPr>
          <w:t xml:space="preserve">Art and nature</w:t>
        </w:r>
      </w:hyperlink>
      <w:r>
        <w:rPr>
          <w:b w:val="0"/>
          <w:i w:val="0"/>
        </w:rPr>
        <w:t xml:space="preserve">; </w:t>
      </w:r>
      <w:hyperlink w:anchor="ideas-and-exemplars">
        <w:r>
          <w:rPr>
            <w:color w:val="000000"/>
          </w:rPr>
          <w:t xml:space="preserve">Ideas and exemplars</w:t>
        </w:r>
      </w:hyperlink>
      <w:r>
        <w:rPr>
          <w:b w:val="0"/>
          <w:i w:val="0"/>
        </w:rPr>
        <w:t xml:space="preserve">; </w:t>
      </w:r>
      <w:hyperlink w:anchor="substance-and-accident">
        <w:r>
          <w:rPr>
            <w:color w:val="000000"/>
          </w:rPr>
          <w:t xml:space="preserve">Substance and accident</w:t>
        </w:r>
      </w:hyperlink>
      <w:r>
        <w:rPr>
          <w:b w:val="0"/>
          <w:i w:val="0"/>
        </w:rPr>
        <w:t xml:space="preserve">; </w:t>
      </w:r>
      <w:hyperlink w:anchor="order-and-harmony">
        <w:r>
          <w:rPr>
            <w:color w:val="000000"/>
          </w:rPr>
          <w:t xml:space="preserve">Order and harmony</w:t>
        </w:r>
      </w:hyperlink>
      <w:r>
        <w:rPr>
          <w:b w:val="0"/>
          <w:i w:val="0"/>
        </w:rPr>
        <w:t>.</w:t>
      </w:r>
    </w:p>
    <w:p>
      <w:bookmarkStart w:id="31" w:name="aristotle-avicenna-and-counting-minds"/>
      <w:pPr>
        <w:pStyle w:val="Heading2"/>
      </w:pPr>
      <w:r>
        <w:rPr>
          <w:b w:val="0"/>
          <w:i w:val="0"/>
        </w:rPr>
        <w:t>Aristotle, Avicenna and counting minds</w:t>
      </w:r>
      <w:bookmarkEnd w:id="31"/>
    </w:p>
    <w:p>
      <w:pPr>
        <w:keepNext/>
        <w:widowControl/>
      </w:pPr>
      <w:r>
        <w:rPr>
          <w:b/>
          <w:i w:val="0"/>
        </w:rPr>
        <w:t>Latin:</w:t>
      </w:r>
      <w:r>
        <w:rPr>
          <w:b w:val="0"/>
          <w:i w:val="0"/>
        </w:rPr>
        <w:t xml:space="preserve"> </w:t>
      </w:r>
      <w:r>
        <w:rPr>
          <w:b w:val="0"/>
          <w:i/>
        </w:rPr>
        <w:t>Aristoteles</w:t>
      </w:r>
      <w:r>
        <w:rPr>
          <w:b w:val="0"/>
          <w:i w:val="0"/>
        </w:rPr>
        <w:t xml:space="preserve">; </w:t>
      </w:r>
      <w:r>
        <w:rPr>
          <w:b w:val="0"/>
          <w:i/>
        </w:rPr>
        <w:t>Avicenna</w:t>
      </w:r>
      <w:r>
        <w:rPr>
          <w:b w:val="0"/>
          <w:i w:val="0"/>
        </w:rPr>
        <w:t xml:space="preserve">; </w:t>
      </w:r>
      <w:r>
        <w:rPr>
          <w:b w:val="0"/>
          <w:i/>
        </w:rPr>
        <w:t>probabili … ratione</w:t>
      </w:r>
      <w:r>
        <w:rPr>
          <w:b w:val="0"/>
          <w:i w:val="0"/>
        </w:rPr>
        <w:t xml:space="preserve">; </w:t>
      </w:r>
      <w:r>
        <w:rPr>
          <w:b w:val="0"/>
          <w:i/>
        </w:rPr>
        <w:t>sapientioribus se dimittere</w:t>
      </w:r>
      <w:r>
        <w:rPr>
          <w:b w:val="0"/>
          <w:i w:val="0"/>
        </w:rPr>
        <w:t xml:space="preserve">; </w:t>
      </w:r>
      <w:r>
        <w:rPr>
          <w:b w:val="0"/>
          <w:i/>
        </w:rPr>
        <w:t>forte</w:t>
      </w:r>
      <w:r>
        <w:rPr>
          <w:b w:val="0"/>
          <w:i w:val="0"/>
        </w:rPr>
        <w:t xml:space="preserve">; </w:t>
      </w:r>
      <w:r>
        <w:rPr>
          <w:b w:val="0"/>
          <w:i/>
        </w:rPr>
        <w:t>dinumerandae</w:t>
      </w:r>
      <w:r>
        <w:rPr>
          <w:b w:val="0"/>
          <w:i w:val="0"/>
        </w:rPr>
        <w:t>.</w:t>
      </w:r>
    </w:p>
    <w:p>
      <w:pPr>
        <w:keepNext/>
        <w:widowControl/>
      </w:pPr>
      <w:r>
        <w:rPr>
          <w:b/>
          <w:i w:val="0"/>
        </w:rPr>
        <w:t>The word.</w:t>
      </w:r>
    </w:p>
    <w:p>
      <w:pPr>
        <w:widowControl/>
      </w:pPr>
      <w:r>
        <w:rPr>
          <w:b w:val="0"/>
          <w:i/>
        </w:rPr>
        <w:t>Numerare</w:t>
      </w:r>
      <w:r>
        <w:rPr>
          <w:b w:val="0"/>
          <w:i w:val="0"/>
        </w:rPr>
        <w:t xml:space="preserve"> or </w:t>
      </w:r>
      <w:r>
        <w:rPr>
          <w:b w:val="0"/>
          <w:i/>
        </w:rPr>
        <w:t>dinumerare</w:t>
      </w:r>
      <w:r>
        <w:rPr>
          <w:b w:val="0"/>
          <w:i w:val="0"/>
        </w:rPr>
        <w:t xml:space="preserve"> counts; </w:t>
      </w:r>
      <w:r>
        <w:rPr>
          <w:b w:val="0"/>
          <w:i/>
        </w:rPr>
        <w:t>computare</w:t>
      </w:r>
      <w:r>
        <w:rPr>
          <w:b w:val="0"/>
          <w:i w:val="0"/>
        </w:rPr>
        <w:t xml:space="preserve"> calculates. </w:t>
      </w:r>
      <w:r>
        <w:rPr>
          <w:b w:val="0"/>
          <w:i/>
        </w:rPr>
        <w:t>Probabilis</w:t>
      </w:r>
      <w:r>
        <w:rPr>
          <w:b w:val="0"/>
          <w:i w:val="0"/>
        </w:rPr>
        <w:t xml:space="preserve"> marks the offered reasoning’s status. </w:t>
      </w:r>
      <w:r>
        <w:rPr>
          <w:b w:val="0"/>
          <w:i/>
        </w:rPr>
        <w:t>Se dimittere</w:t>
      </w:r>
      <w:r>
        <w:rPr>
          <w:b w:val="0"/>
          <w:i w:val="0"/>
        </w:rPr>
        <w:t xml:space="preserve"> here concerns deferring to others, as the translation makes explicit. </w:t>
      </w:r>
      <w:r>
        <w:t>“</w:t>
      </w:r>
      <w:r>
        <w:rPr>
          <w:b w:val="0"/>
          <w:i w:val="0"/>
        </w:rPr>
        <w:t>Angels</w:t>
      </w:r>
      <w:r>
        <w:t>”</w:t>
      </w:r>
      <w:r>
        <w:rPr>
          <w:b w:val="0"/>
          <w:i w:val="0"/>
        </w:rPr>
        <w:t xml:space="preserve"> and </w:t>
      </w:r>
      <w:r>
        <w:t>“</w:t>
      </w:r>
      <w:r>
        <w:rPr>
          <w:b w:val="0"/>
          <w:i w:val="0"/>
        </w:rPr>
        <w:t>messengers</w:t>
      </w:r>
      <w:r>
        <w:t>”</w:t>
      </w:r>
      <w:r>
        <w:rPr>
          <w:b w:val="0"/>
          <w:i w:val="0"/>
        </w:rPr>
        <w:t xml:space="preserve"> are introduced as later names for the separate minds, not presented as Aristotle’s own terminology.</w:t>
      </w:r>
    </w:p>
    <w:p>
      <w:pPr>
        <w:keepNext/>
        <w:widowControl/>
      </w:pPr>
      <w:r>
        <w:rPr>
          <w:b/>
          <w:i w:val="0"/>
        </w:rPr>
        <w:t>In the Platonic Theology.</w:t>
      </w:r>
    </w:p>
    <w:p>
      <w:pPr>
        <w:widowControl/>
      </w:pPr>
      <w:r>
        <w:rPr>
          <w:b w:val="0"/>
          <w:i w:val="0"/>
        </w:rPr>
        <w:t xml:space="preserve">Ficino reports Aristotle’s reasoning from diverse, orderly, enduring celestial motions to unmoved minds, then notes that the number was calculated probably. Avicenna is said in one place to posit at least ten principal minds, while seeming elsewhere to indicate more. Ficino then reads the deference to wiser judges as suggesting that minds should perhaps be counted by their proper activity, understanding, rather than their common and secondary task of moving bodies. The repeated </w:t>
      </w:r>
      <w:r>
        <w:rPr>
          <w:b w:val="0"/>
          <w:i/>
        </w:rPr>
        <w:t>forte</w:t>
      </w:r>
      <w:r>
        <w:rPr>
          <w:b w:val="0"/>
          <w:i w:val="0"/>
        </w:rPr>
        <w:t xml:space="preserve"> marks this reconstruction as tentative. It supports his own claim that many minds may have no assigned moving task and that intellectual species exceed bodily ones. The passage distinguishes a minimum number derived from motions from the total abundance of minds.</w:t>
      </w:r>
    </w:p>
    <w:p>
      <w:pPr>
        <w:keepNext/>
        <w:widowControl/>
      </w:pPr>
      <w:r>
        <w:rPr>
          <w:b/>
          <w:i w:val="0"/>
        </w:rPr>
        <w:t>The places.</w:t>
      </w:r>
    </w:p>
    <w:p>
      <w:pPr>
        <w:ind w:left="187" w:hanging="187"/>
      </w:pPr>
      <w:r>
        <w:t xml:space="preserve">• </w:t>
      </w:r>
      <w:r>
        <w:rPr>
          <w:b/>
          <w:i w:val="0"/>
        </w:rPr>
        <w:t>I.5.20, PDF 74–75.</w:t>
      </w:r>
      <w:r>
        <w:rPr>
          <w:b w:val="0"/>
          <w:i w:val="0"/>
        </w:rPr>
        <w:t xml:space="preserve"> Aristotle’s mover argument, later naming, Avicenna’s differing numerical indications and probable calculation</w:t>
      </w:r>
    </w:p>
    <w:p>
      <w:pPr>
        <w:ind w:left="187" w:hanging="187"/>
      </w:pPr>
      <w:r>
        <w:t xml:space="preserve">• </w:t>
      </w:r>
      <w:r>
        <w:rPr>
          <w:b/>
          <w:i w:val="0"/>
        </w:rPr>
        <w:t>I.5.21–22, PDF 74–77.</w:t>
      </w:r>
      <w:r>
        <w:rPr>
          <w:b w:val="0"/>
          <w:i w:val="0"/>
        </w:rPr>
        <w:t xml:space="preserve"> A short editorial unit continues the preceding sentence; Ficino interprets its deference conjecturally</w:t>
      </w:r>
    </w:p>
    <w:p>
      <w:pPr>
        <w:ind w:left="187" w:hanging="187"/>
      </w:pPr>
      <w:r>
        <w:t xml:space="preserve">• </w:t>
      </w:r>
      <w:r>
        <w:rPr>
          <w:b/>
          <w:i w:val="0"/>
        </w:rPr>
        <w:t>I.5.23–26, PDF 76–79.</w:t>
      </w:r>
      <w:r>
        <w:rPr>
          <w:b w:val="0"/>
          <w:i w:val="0"/>
        </w:rPr>
        <w:t xml:space="preserve"> Ficino supplies further arguments for intellectual abundance</w:t>
      </w:r>
    </w:p>
    <w:p>
      <w:pPr>
        <w:keepNext/>
        <w:widowControl/>
      </w:pPr>
      <w:r>
        <w:rPr>
          <w:b/>
          <w:i w:val="0"/>
        </w:rPr>
        <w:t>In this edition.</w:t>
      </w:r>
    </w:p>
    <w:p>
      <w:pPr>
        <w:widowControl/>
      </w:pPr>
      <w:r>
        <w:rPr>
          <w:b w:val="0"/>
          <w:i w:val="0"/>
        </w:rPr>
        <w:t xml:space="preserve">I.5.21 should be read with I.5.20, not as a complete independent proof. The designation </w:t>
      </w:r>
      <w:r>
        <w:t>“</w:t>
      </w:r>
      <w:r>
        <w:rPr>
          <w:b w:val="0"/>
          <w:i w:val="0"/>
        </w:rPr>
        <w:t>Book XI of his work on divine things</w:t>
      </w:r>
      <w:r>
        <w:t>”</w:t>
      </w:r>
      <w:r>
        <w:rPr>
          <w:b w:val="0"/>
          <w:i w:val="0"/>
        </w:rPr>
        <w:t xml:space="preserve"> reproduces Ficino’s reference system; this article does not silently replace it with a modern book number. </w:t>
      </w:r>
      <w:r>
        <w:t>“</w:t>
      </w:r>
      <w:r>
        <w:rPr>
          <w:b w:val="0"/>
          <w:i w:val="0"/>
        </w:rPr>
        <w:t>Principal</w:t>
      </w:r>
      <w:r>
        <w:t>”</w:t>
      </w:r>
      <w:r>
        <w:rPr>
          <w:b w:val="0"/>
          <w:i w:val="0"/>
        </w:rPr>
        <w:t xml:space="preserve"> qualifies the minds said to be no fewer than ten.</w:t>
      </w:r>
    </w:p>
    <w:p>
      <w:pPr>
        <w:keepNext/>
        <w:widowControl/>
      </w:pPr>
      <w:r>
        <w:rPr>
          <w:b/>
          <w:i w:val="0"/>
        </w:rPr>
        <w:t>See also.</w:t>
      </w:r>
    </w:p>
    <w:p>
      <w:pPr>
        <w:widowControl/>
      </w:pPr>
      <w:hyperlink w:anchor="angel">
        <w:r>
          <w:rPr>
            <w:color w:val="000000"/>
          </w:rPr>
          <w:t xml:space="preserve">Angel</w:t>
        </w:r>
      </w:hyperlink>
      <w:r>
        <w:rPr>
          <w:b w:val="0"/>
          <w:i w:val="0"/>
        </w:rPr>
        <w:t xml:space="preserve">; </w:t>
      </w:r>
      <w:hyperlink w:anchor="number">
        <w:r>
          <w:rPr>
            <w:color w:val="000000"/>
          </w:rPr>
          <w:t xml:space="preserve">Number</w:t>
        </w:r>
      </w:hyperlink>
      <w:r>
        <w:rPr>
          <w:b w:val="0"/>
          <w:i w:val="0"/>
        </w:rPr>
        <w:t xml:space="preserve">; </w:t>
      </w:r>
      <w:hyperlink w:anchor="proof-signs-and-qualification">
        <w:r>
          <w:rPr>
            <w:color w:val="000000"/>
          </w:rPr>
          <w:t xml:space="preserve">Proof, signs and qualification</w:t>
        </w:r>
      </w:hyperlink>
      <w:r>
        <w:rPr>
          <w:b w:val="0"/>
          <w:i w:val="0"/>
        </w:rPr>
        <w:t xml:space="preserve">; </w:t>
      </w:r>
      <w:hyperlink w:anchor="end-and-limit">
        <w:r>
          <w:rPr>
            <w:color w:val="000000"/>
          </w:rPr>
          <w:t xml:space="preserve">End and limit</w:t>
        </w:r>
      </w:hyperlink>
      <w:r>
        <w:rPr>
          <w:b w:val="0"/>
          <w:i w:val="0"/>
        </w:rPr>
        <w:t>.</w:t>
      </w:r>
    </w:p>
    <w:p>
      <w:bookmarkStart w:id="32" w:name="army-and-commander"/>
      <w:pPr>
        <w:pStyle w:val="Heading2"/>
      </w:pPr>
      <w:r>
        <w:rPr>
          <w:b w:val="0"/>
          <w:i w:val="0"/>
        </w:rPr>
        <w:t>Army and commander</w:t>
      </w:r>
      <w:bookmarkEnd w:id="32"/>
    </w:p>
    <w:p>
      <w:pPr>
        <w:keepNext/>
        <w:widowControl/>
      </w:pPr>
      <w:r>
        <w:rPr>
          <w:b/>
          <w:i w:val="0"/>
        </w:rPr>
        <w:t>Latin:</w:t>
      </w:r>
      <w:r>
        <w:rPr>
          <w:b w:val="0"/>
          <w:i w:val="0"/>
        </w:rPr>
        <w:t xml:space="preserve"> exercitus; ducem unum; ordinatore; dirigente; ducem; dux; </w:t>
      </w:r>
      <w:r>
        <w:rPr>
          <w:b w:val="0"/>
          <w:i/>
        </w:rPr>
        <w:t>exercitus; dux; princeps; ordo partium; ordo totius</w:t>
      </w:r>
    </w:p>
    <w:p>
      <w:pPr>
        <w:keepNext/>
        <w:widowControl/>
      </w:pPr>
      <w:r>
        <w:rPr>
          <w:b/>
          <w:i w:val="0"/>
        </w:rPr>
        <w:t>The word.</w:t>
      </w:r>
    </w:p>
    <w:p>
      <w:pPr>
        <w:widowControl/>
      </w:pPr>
      <w:r>
        <w:rPr>
          <w:b w:val="0"/>
          <w:i/>
        </w:rPr>
        <w:t>Exercitus</w:t>
      </w:r>
      <w:r>
        <w:rPr>
          <w:b w:val="0"/>
          <w:i w:val="0"/>
        </w:rPr>
        <w:t xml:space="preserve"> is an army; </w:t>
      </w:r>
      <w:r>
        <w:rPr>
          <w:b w:val="0"/>
          <w:i/>
        </w:rPr>
        <w:t>dux</w:t>
      </w:r>
      <w:r>
        <w:rPr>
          <w:b w:val="0"/>
          <w:i w:val="0"/>
        </w:rPr>
        <w:t xml:space="preserve"> a commander, leader or guide; </w:t>
      </w:r>
      <w:r>
        <w:rPr>
          <w:b w:val="0"/>
          <w:i/>
        </w:rPr>
        <w:t>princeps</w:t>
      </w:r>
      <w:r>
        <w:rPr>
          <w:b w:val="0"/>
          <w:i w:val="0"/>
        </w:rPr>
        <w:t xml:space="preserve"> the ruling head; and </w:t>
      </w:r>
      <w:r>
        <w:rPr>
          <w:b w:val="0"/>
          <w:i/>
        </w:rPr>
        <w:t>ordinator</w:t>
      </w:r>
      <w:r>
        <w:rPr>
          <w:b w:val="0"/>
          <w:i w:val="0"/>
        </w:rPr>
        <w:t xml:space="preserve"> one who arranges. </w:t>
      </w:r>
      <w:r>
        <w:rPr>
          <w:b w:val="0"/>
          <w:i/>
        </w:rPr>
        <w:t>Dirigere</w:t>
      </w:r>
      <w:r>
        <w:rPr>
          <w:b w:val="0"/>
          <w:i w:val="0"/>
        </w:rPr>
        <w:t xml:space="preserve"> emphasizes direction toward a destination or end. The two order-relations distinguish the mutual arrangement of a collective body’s parts from the orientation of the whole toward its leader. Military vocabulary can therefore supply a metaphysical comparison without making every occurrence of </w:t>
      </w:r>
      <w:r>
        <w:rPr>
          <w:b w:val="0"/>
          <w:i/>
        </w:rPr>
        <w:t>dux</w:t>
      </w:r>
      <w:r>
        <w:rPr>
          <w:b w:val="0"/>
          <w:i w:val="0"/>
        </w:rPr>
        <w:t xml:space="preserve"> military.</w:t>
      </w:r>
    </w:p>
    <w:p>
      <w:pPr>
        <w:keepNext/>
        <w:widowControl/>
      </w:pPr>
      <w:r>
        <w:rPr>
          <w:b/>
          <w:i w:val="0"/>
        </w:rPr>
        <w:t>In the Platonic Theology.</w:t>
      </w:r>
    </w:p>
    <w:p>
      <w:pPr>
        <w:widowControl/>
      </w:pPr>
      <w:r>
        <w:rPr>
          <w:b w:val="0"/>
          <w:i w:val="0"/>
        </w:rPr>
        <w:t>The army supplies a relational example: its parts are ordered to one another because the entire army is ordered to one commander. The point is not merely that a powerful ruler imposes obedience. It is that one common orientation explains how mutually diverse parts belong to a single arrangement.</w:t>
      </w:r>
    </w:p>
    <w:p>
      <w:pPr>
        <w:widowControl/>
      </w:pPr>
      <w:r>
        <w:rPr>
          <w:b w:val="0"/>
          <w:i w:val="0"/>
        </w:rPr>
        <w:t>The vocabulary then broadens. God is the world’s single arranger; God as guide and light enables action and seeking; God is a common rather than a private guide. These images explain universal causal scope. They do not make the divine cause a bodily commander standing beside the cosmic army or turn the philosophical example into advice about political government.</w:t>
      </w:r>
    </w:p>
    <w:p>
      <w:pPr>
        <w:widowControl/>
      </w:pPr>
      <w:r>
        <w:rPr>
          <w:b w:val="0"/>
          <w:i w:val="0"/>
        </w:rPr>
        <w:t xml:space="preserve">Ficino attributes to Aristotle an army comparison: relations among the army’s parts and their relation to the whole proceed from the whole’s ordering toward one commander. The world’s parts likewise derive their common coordination from the whole’s relation to God. The next unit says that the army’s order is </w:t>
      </w:r>
      <w:r>
        <w:t>“</w:t>
      </w:r>
      <w:r>
        <w:rPr>
          <w:b w:val="0"/>
          <w:i w:val="0"/>
        </w:rPr>
        <w:t>in</w:t>
      </w:r>
      <w:r>
        <w:t>”</w:t>
      </w:r>
      <w:r>
        <w:rPr>
          <w:b w:val="0"/>
          <w:i w:val="0"/>
        </w:rPr>
        <w:t xml:space="preserve"> the commander, providing a model for the whole world’s order being in God. This is an explanatory </w:t>
      </w:r>
      <w:r>
        <w:t>“</w:t>
      </w:r>
      <w:r>
        <w:rPr>
          <w:b w:val="0"/>
          <w:i w:val="0"/>
        </w:rPr>
        <w:t>in,</w:t>
      </w:r>
      <w:r>
        <w:t>”</w:t>
      </w:r>
      <w:r>
        <w:rPr>
          <w:b w:val="0"/>
          <w:i w:val="0"/>
        </w:rPr>
        <w:t xml:space="preserve"> concerning intelligible direction; the troops are not bodily contained in the commander. The analogy establishes how many different agents can act within one order without becoming identical. It also points toward the later question whether subordinate angelic or psychic governance displaces the first ruler. Ficino’s answer is that such governance remains dependent on God.</w:t>
      </w:r>
    </w:p>
    <w:p>
      <w:pPr>
        <w:keepNext/>
        <w:widowControl/>
      </w:pPr>
      <w:r>
        <w:rPr>
          <w:b/>
          <w:i w:val="0"/>
        </w:rPr>
        <w:t>The places.</w:t>
      </w:r>
    </w:p>
    <w:p>
      <w:pPr>
        <w:ind w:left="187" w:hanging="187"/>
      </w:pPr>
      <w:r>
        <w:t xml:space="preserve">• </w:t>
      </w:r>
      <w:r>
        <w:rPr>
          <w:b w:val="0"/>
          <w:i w:val="0"/>
        </w:rPr>
        <w:t>II.2.8 (PDF pp. 108–109): Mutual order among army parts depends on the whole army’s relation to one commander</w:t>
      </w:r>
    </w:p>
    <w:p>
      <w:pPr>
        <w:ind w:left="187" w:hanging="187"/>
      </w:pPr>
      <w:r>
        <w:t xml:space="preserve">• </w:t>
      </w:r>
      <w:r>
        <w:rPr>
          <w:b w:val="0"/>
          <w:i w:val="0"/>
        </w:rPr>
        <w:t>II.2.10 (PDF pp. 110–111): The world’s unity is referred to one arranger</w:t>
      </w:r>
    </w:p>
    <w:p>
      <w:pPr>
        <w:ind w:left="187" w:hanging="187"/>
      </w:pPr>
      <w:r>
        <w:t xml:space="preserve">• </w:t>
      </w:r>
      <w:r>
        <w:rPr>
          <w:b w:val="0"/>
          <w:i w:val="0"/>
        </w:rPr>
        <w:t>II.6.9, II.7.6 (PDF pp. 130–131, 146–147): Guide becomes an image of universal enabling and common causal office</w:t>
      </w:r>
    </w:p>
    <w:p>
      <w:pPr>
        <w:widowControl/>
        <w:keepNext/>
      </w:pPr>
      <w:r>
        <w:rPr>
          <w:b w:val="0"/>
          <w:i w:val="0"/>
        </w:rPr>
        <w:t>Selected annotated passages.</w:t>
      </w:r>
    </w:p>
    <w:p>
      <w:pPr>
        <w:ind w:left="187" w:hanging="187"/>
      </w:pPr>
      <w:r>
        <w:t xml:space="preserve">• </w:t>
      </w:r>
      <w:r>
        <w:rPr>
          <w:b/>
          <w:i w:val="0"/>
        </w:rPr>
        <w:t>II.13.8 (Latin PDF p. 220; English PDF p. 221).</w:t>
      </w:r>
      <w:r>
        <w:rPr>
          <w:b w:val="0"/>
          <w:i w:val="0"/>
        </w:rPr>
        <w:t xml:space="preserve"> The comparison is attributed to Aristotle’s books on divine matters.</w:t>
      </w:r>
    </w:p>
    <w:p>
      <w:pPr>
        <w:ind w:left="187" w:hanging="187"/>
      </w:pPr>
      <w:r>
        <w:t xml:space="preserve">• </w:t>
      </w:r>
      <w:r>
        <w:rPr>
          <w:b/>
          <w:i w:val="0"/>
        </w:rPr>
        <w:t>II.13.9 (Latin PDF p. 220; English PDF p. 221).</w:t>
      </w:r>
      <w:r>
        <w:rPr>
          <w:b w:val="0"/>
          <w:i w:val="0"/>
        </w:rPr>
        <w:t xml:space="preserve"> The army’s order in its commander models cosmic order in God.</w:t>
      </w:r>
    </w:p>
    <w:p>
      <w:pPr>
        <w:ind w:left="187" w:hanging="187"/>
      </w:pPr>
      <w:r>
        <w:t xml:space="preserve">• </w:t>
      </w:r>
      <w:r>
        <w:rPr>
          <w:b/>
          <w:i w:val="0"/>
        </w:rPr>
        <w:t>II.13.10 (Latin PDF p. 222; English PDF p. 223).</w:t>
      </w:r>
      <w:r>
        <w:rPr>
          <w:b w:val="0"/>
          <w:i w:val="0"/>
        </w:rPr>
        <w:t xml:space="preserve"> Subordinate rule is retained within dependence on the first ruler.</w:t>
      </w:r>
    </w:p>
    <w:p>
      <w:pPr>
        <w:keepNext/>
        <w:widowControl/>
      </w:pPr>
      <w:r>
        <w:rPr>
          <w:b/>
          <w:i w:val="0"/>
        </w:rPr>
        <w:t>In this edition.</w:t>
      </w:r>
    </w:p>
    <w:p>
      <w:pPr>
        <w:widowControl/>
      </w:pPr>
      <w:r>
        <w:rPr>
          <w:b w:val="0"/>
          <w:i w:val="0"/>
        </w:rPr>
        <w:t xml:space="preserve">The rendering </w:t>
      </w:r>
      <w:r>
        <w:t>“</w:t>
      </w:r>
      <w:r>
        <w:rPr>
          <w:b w:val="0"/>
          <w:i w:val="0"/>
        </w:rPr>
        <w:t>guide</w:t>
      </w:r>
      <w:r>
        <w:t>”</w:t>
      </w:r>
      <w:r>
        <w:rPr>
          <w:b w:val="0"/>
          <w:i w:val="0"/>
        </w:rPr>
        <w:t xml:space="preserve"> rather than </w:t>
      </w:r>
      <w:r>
        <w:t>“</w:t>
      </w:r>
      <w:r>
        <w:rPr>
          <w:b w:val="0"/>
          <w:i w:val="0"/>
        </w:rPr>
        <w:t>commander</w:t>
      </w:r>
      <w:r>
        <w:t>”</w:t>
      </w:r>
      <w:r>
        <w:rPr>
          <w:b w:val="0"/>
          <w:i w:val="0"/>
        </w:rPr>
        <w:t xml:space="preserve"> in II.6.9 and II.7.6 suits those wider contexts. In II.13.8, </w:t>
      </w:r>
      <w:r>
        <w:t>“</w:t>
      </w:r>
      <w:r>
        <w:rPr>
          <w:b w:val="0"/>
          <w:i w:val="0"/>
        </w:rPr>
        <w:t>books on divine matters</w:t>
      </w:r>
      <w:r>
        <w:t>”</w:t>
      </w:r>
      <w:r>
        <w:rPr>
          <w:b w:val="0"/>
          <w:i w:val="0"/>
        </w:rPr>
        <w:t xml:space="preserve"> represents </w:t>
      </w:r>
      <w:r>
        <w:rPr>
          <w:b w:val="0"/>
          <w:i/>
        </w:rPr>
        <w:t>in libris divinorum</w:t>
      </w:r>
      <w:r>
        <w:rPr>
          <w:b w:val="0"/>
          <w:i w:val="0"/>
        </w:rPr>
        <w:t>. This article reports Ficino’s attribution and his use of the comparison; it does not independently certify a precise Aristotelian quotation or identify a modern military doctrine.</w:t>
      </w:r>
    </w:p>
    <w:p>
      <w:pPr>
        <w:keepNext/>
        <w:widowControl/>
      </w:pPr>
      <w:r>
        <w:rPr>
          <w:b/>
          <w:i w:val="0"/>
        </w:rPr>
        <w:t>See also.</w:t>
      </w:r>
    </w:p>
    <w:p>
      <w:pPr>
        <w:widowControl/>
      </w:pPr>
      <w:hyperlink w:anchor="concord-and-convergence">
        <w:r>
          <w:rPr>
            <w:color w:val="000000"/>
          </w:rPr>
          <w:t xml:space="preserve">Concord and convergence</w:t>
        </w:r>
      </w:hyperlink>
      <w:r>
        <w:rPr>
          <w:b w:val="0"/>
          <w:i w:val="0"/>
        </w:rPr>
        <w:t xml:space="preserve">; </w:t>
      </w:r>
      <w:hyperlink w:anchor="order-and-harmony">
        <w:r>
          <w:rPr>
            <w:color w:val="000000"/>
          </w:rPr>
          <w:t xml:space="preserve">Order and harmony</w:t>
        </w:r>
      </w:hyperlink>
      <w:r>
        <w:rPr>
          <w:b w:val="0"/>
          <w:i w:val="0"/>
        </w:rPr>
        <w:t xml:space="preserve">; </w:t>
      </w:r>
      <w:hyperlink w:anchor="communication-and-imparting">
        <w:r>
          <w:rPr>
            <w:color w:val="000000"/>
          </w:rPr>
          <w:t xml:space="preserve">Communication and imparting</w:t>
        </w:r>
      </w:hyperlink>
      <w:r>
        <w:rPr>
          <w:b w:val="0"/>
          <w:i w:val="0"/>
        </w:rPr>
        <w:t>.</w:t>
      </w:r>
    </w:p>
    <w:p>
      <w:pPr>
        <w:widowControl/>
      </w:pP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 xml:space="preserve">; </w:t>
      </w:r>
      <w:hyperlink w:anchor="governing-serving-and-dominion">
        <w:r>
          <w:rPr>
            <w:color w:val="000000"/>
          </w:rPr>
          <w:t xml:space="preserve">Mastery and service</w:t>
        </w:r>
      </w:hyperlink>
      <w:r>
        <w:rPr>
          <w:b w:val="0"/>
          <w:i w:val="0"/>
        </w:rPr>
        <w:t xml:space="preserve">; </w:t>
      </w:r>
      <w:hyperlink w:anchor="archer-and-target">
        <w:r>
          <w:rPr>
            <w:color w:val="000000"/>
          </w:rPr>
          <w:t xml:space="preserve">Archer and target</w:t>
        </w:r>
      </w:hyperlink>
      <w:r>
        <w:rPr>
          <w:b w:val="0"/>
          <w:i w:val="0"/>
        </w:rPr>
        <w:t>.</w:t>
      </w:r>
    </w:p>
    <w:p>
      <w:bookmarkStart w:id="33" w:name="art-and-nature"/>
      <w:pPr>
        <w:pStyle w:val="Heading2"/>
      </w:pPr>
      <w:r>
        <w:rPr>
          <w:b w:val="0"/>
          <w:i w:val="0"/>
        </w:rPr>
        <w:t>Art and nature</w:t>
      </w:r>
      <w:bookmarkEnd w:id="33"/>
    </w:p>
    <w:p>
      <w:pPr>
        <w:keepNext/>
        <w:widowControl/>
      </w:pPr>
      <w:r>
        <w:rPr>
          <w:b/>
          <w:i w:val="0"/>
        </w:rPr>
        <w:t>Latin:</w:t>
      </w:r>
      <w:r>
        <w:rPr>
          <w:b w:val="0"/>
          <w:i w:val="0"/>
        </w:rPr>
        <w:t xml:space="preserve"> </w:t>
      </w:r>
      <w:r>
        <w:rPr>
          <w:b w:val="0"/>
          <w:i/>
        </w:rPr>
        <w:t>natura</w:t>
      </w:r>
      <w:r>
        <w:rPr>
          <w:b w:val="0"/>
          <w:i w:val="0"/>
        </w:rPr>
        <w:t xml:space="preserve">; </w:t>
      </w:r>
      <w:r>
        <w:rPr>
          <w:b w:val="0"/>
          <w:i/>
        </w:rPr>
        <w:t>naturalis</w:t>
      </w:r>
      <w:r>
        <w:rPr>
          <w:b w:val="0"/>
          <w:i w:val="0"/>
        </w:rPr>
        <w:t xml:space="preserve">; </w:t>
      </w:r>
      <w:r>
        <w:rPr>
          <w:b w:val="0"/>
          <w:i/>
        </w:rPr>
        <w:t>ars</w:t>
      </w:r>
      <w:r>
        <w:rPr>
          <w:b w:val="0"/>
          <w:i w:val="0"/>
        </w:rPr>
        <w:t xml:space="preserve">; </w:t>
      </w:r>
      <w:r>
        <w:rPr>
          <w:b w:val="0"/>
          <w:i/>
        </w:rPr>
        <w:t>artificium</w:t>
      </w:r>
      <w:r>
        <w:rPr>
          <w:b w:val="0"/>
          <w:i w:val="0"/>
        </w:rPr>
        <w:t xml:space="preserve">; </w:t>
      </w:r>
      <w:r>
        <w:rPr>
          <w:b w:val="0"/>
          <w:i/>
        </w:rPr>
        <w:t>opifex</w:t>
      </w:r>
      <w:r>
        <w:rPr>
          <w:b w:val="0"/>
          <w:i w:val="0"/>
        </w:rPr>
        <w:t xml:space="preserve">; </w:t>
      </w:r>
      <w:r>
        <w:rPr>
          <w:b w:val="0"/>
          <w:i/>
        </w:rPr>
        <w:t>architectus</w:t>
      </w:r>
      <w:r>
        <w:rPr>
          <w:b w:val="0"/>
          <w:i w:val="0"/>
        </w:rPr>
        <w:t xml:space="preserve">; </w:t>
      </w:r>
      <w:r>
        <w:rPr>
          <w:b w:val="0"/>
          <w:i/>
        </w:rPr>
        <w:t>artifex</w:t>
      </w:r>
      <w:r>
        <w:rPr>
          <w:b w:val="0"/>
          <w:i w:val="0"/>
        </w:rPr>
        <w:t xml:space="preserve">; </w:t>
      </w:r>
      <w:r>
        <w:rPr>
          <w:b w:val="0"/>
          <w:i/>
        </w:rPr>
        <w:t>faber</w:t>
      </w:r>
      <w:r>
        <w:rPr>
          <w:b w:val="0"/>
          <w:i w:val="0"/>
        </w:rPr>
        <w:t xml:space="preserve">; </w:t>
      </w:r>
      <w:r>
        <w:rPr>
          <w:b w:val="0"/>
          <w:i/>
        </w:rPr>
        <w:t>consilium</w:t>
      </w:r>
      <w:r>
        <w:rPr>
          <w:b w:val="0"/>
          <w:i w:val="0"/>
        </w:rPr>
        <w:t xml:space="preserve">; </w:t>
      </w:r>
      <w:r>
        <w:rPr>
          <w:b w:val="0"/>
          <w:i/>
        </w:rPr>
        <w:t>instrumenta</w:t>
      </w:r>
      <w:r>
        <w:rPr>
          <w:b w:val="0"/>
          <w:i w:val="0"/>
        </w:rPr>
        <w:t xml:space="preserve">; </w:t>
      </w:r>
      <w:r>
        <w:rPr>
          <w:b w:val="0"/>
          <w:i/>
        </w:rPr>
        <w:t>natura nuda</w:t>
      </w:r>
      <w:r>
        <w:rPr>
          <w:b w:val="0"/>
          <w:i w:val="0"/>
        </w:rPr>
        <w:t xml:space="preserve">; </w:t>
      </w:r>
      <w:r>
        <w:rPr>
          <w:b w:val="0"/>
          <w:i/>
        </w:rPr>
        <w:t>natura intellectualis</w:t>
      </w:r>
      <w:r>
        <w:rPr>
          <w:b w:val="0"/>
          <w:i w:val="0"/>
        </w:rPr>
        <w:t xml:space="preserve">; </w:t>
      </w:r>
      <w:r>
        <w:rPr>
          <w:b w:val="0"/>
          <w:i/>
        </w:rPr>
        <w:t>naturalis instinctus</w:t>
      </w:r>
      <w:r>
        <w:rPr>
          <w:b w:val="0"/>
          <w:i w:val="0"/>
        </w:rPr>
        <w:t xml:space="preserve">; </w:t>
      </w:r>
      <w:r>
        <w:rPr>
          <w:b w:val="0"/>
          <w:i/>
        </w:rPr>
        <w:t>naturae necessitas</w:t>
      </w:r>
      <w:r>
        <w:rPr>
          <w:b w:val="0"/>
          <w:i w:val="0"/>
        </w:rPr>
        <w:t xml:space="preserve">; </w:t>
      </w:r>
      <w:r>
        <w:rPr>
          <w:b w:val="0"/>
          <w:i/>
        </w:rPr>
        <w:t>ars humana</w:t>
      </w:r>
      <w:r>
        <w:rPr>
          <w:b w:val="0"/>
          <w:i w:val="0"/>
        </w:rPr>
        <w:t xml:space="preserve">; </w:t>
      </w:r>
      <w:r>
        <w:rPr>
          <w:b w:val="0"/>
          <w:i/>
        </w:rPr>
        <w:t>ars naturalis</w:t>
      </w:r>
      <w:r>
        <w:rPr>
          <w:b w:val="0"/>
          <w:i w:val="0"/>
        </w:rPr>
        <w:t xml:space="preserve">; </w:t>
      </w:r>
      <w:r>
        <w:rPr>
          <w:b w:val="0"/>
          <w:i/>
        </w:rPr>
        <w:t>naturae opus</w:t>
      </w:r>
    </w:p>
    <w:p>
      <w:pPr>
        <w:keepNext/>
        <w:widowControl/>
      </w:pPr>
      <w:r>
        <w:rPr>
          <w:b/>
          <w:i w:val="0"/>
        </w:rPr>
        <w:t>The word.</w:t>
      </w:r>
    </w:p>
    <w:p>
      <w:pPr>
        <w:widowControl/>
      </w:pPr>
      <w:r>
        <w:rPr>
          <w:b w:val="0"/>
          <w:i w:val="0"/>
        </w:rPr>
        <w:t>Ars means purposive skill or craft; artificium its work. Natura can be a thing’s constitution, an inward productive power, or the universal natural order. Opifex and architectus provide maker analogies.</w:t>
      </w:r>
    </w:p>
    <w:p>
      <w:pPr>
        <w:keepNext/>
        <w:widowControl/>
      </w:pPr>
      <w:r>
        <w:rPr>
          <w:b/>
          <w:i w:val="0"/>
        </w:rPr>
        <w:t>In the Platonic Theology.</w:t>
      </w:r>
    </w:p>
    <w:p>
      <w:pPr>
        <w:widowControl/>
      </w:pPr>
      <w:r>
        <w:rPr>
          <w:b w:val="0"/>
          <w:i/>
        </w:rPr>
        <w:t>Ars</w:t>
      </w:r>
      <w:r>
        <w:rPr>
          <w:b w:val="0"/>
          <w:i w:val="0"/>
        </w:rPr>
        <w:t xml:space="preserve"> means purposive skill or craft, not only the fine arts. </w:t>
      </w:r>
      <w:r>
        <w:rPr>
          <w:b w:val="0"/>
          <w:i/>
        </w:rPr>
        <w:t>Natura</w:t>
      </w:r>
      <w:r>
        <w:rPr>
          <w:b w:val="0"/>
          <w:i w:val="0"/>
        </w:rPr>
        <w:t xml:space="preserve"> can name a thing’s constitution, a non-deliberative operative power, or the broader organized order of beings. Ficino uses craft to distinguish intelligent direction from the undirected capacities of material: fire’s ability to heat does not explain the arrangement of a complete building. An architect knows parts through a plan of the whole; an accomplished artisan acts readily through settled skill. Divine counsel, on this analogy, need not imply hesitation or successive planning. God also differs decisively from a human craftsman by producing matter itself rather than borrowing it.</w:t>
      </w:r>
    </w:p>
    <w:p>
      <w:pPr>
        <w:widowControl/>
      </w:pPr>
      <w:r>
        <w:rPr>
          <w:b w:val="0"/>
          <w:i w:val="0"/>
        </w:rPr>
        <w:t>Book I argues that material does not give itself an artifact’s form and therefore cannot be the sufficient source of natural form. Nature’s superior control of its matter implies a formative source both more intimately present to it and more independent in substance. A maker wholly mingled with and limited by its work could not be the first architect. These comparisons concern causal dependence, not a physical divine artisan standing outside the universe with tools.</w:t>
      </w:r>
    </w:p>
    <w:p>
      <w:pPr>
        <w:widowControl/>
      </w:pPr>
      <w:r>
        <w:rPr>
          <w:b w:val="0"/>
          <w:i w:val="0"/>
        </w:rPr>
        <w:t>Book IV develops the contrast between external human art and inward natural art. Human art is described as a kind of nature acting externally upon matter; nature is art ordering matter internally. The carpenter imagined within wood and the geometer forming figures in imagination model this intimacy. Drawing on the ground remains an external operation. An artifact is the craftsman’s mind in matter separated from that craftsman; a natural work is nature’s mind in matter joined to nature. Human art imposes contingent forms, while natural art produces substantial forms through lasting essential principles. Ficino argues from the life, beauty, and completeness of natural products that their source cannot be less intelligently equipped than human craftsmanship.</w:t>
      </w:r>
    </w:p>
    <w:p>
      <w:pPr>
        <w:widowControl/>
      </w:pPr>
      <w:r>
        <w:rPr>
          <w:b w:val="0"/>
          <w:i w:val="0"/>
        </w:rPr>
        <w:t>Other craft examples refine the causal account. A house’s original structural features belong to its plan, while added paintings may require other plans. A Florentine mechanical display, in which one ball coordinates diverse figures and sounds, illustrates unified direction of varied effects. The examples link ideas, instruments, ends, and providential order without identifying divine action with ordinary manufacture.</w:t>
      </w:r>
    </w:p>
    <w:p>
      <w:pPr>
        <w:widowControl/>
      </w:pPr>
      <w:r>
        <w:t>‘</w:t>
      </w:r>
      <w:r>
        <w:rPr>
          <w:b w:val="0"/>
          <w:i w:val="0"/>
        </w:rPr>
        <w:t>Bare nature</w:t>
      </w:r>
      <w:r>
        <w:t>’</w:t>
      </w:r>
      <w:r>
        <w:rPr>
          <w:b w:val="0"/>
          <w:i w:val="0"/>
        </w:rPr>
        <w:t xml:space="preserve"> has a narrower meaning in II.11: a fixed power exerting its available force toward a determinate effect. Fire heats differently because materials and conditions vary, not because it intelligently selects them. This cannot explain God’s full range of effects, yet Ficino does not oppose nature to intellect without qualification: he attributes intellectual nature and natural intelligence to God. Providence preserves each creature’s proper nature rather than making every level act alike. A further local use distinguishes a body’s natural tendency toward rest from rational soul’s circular activity. The particular use of </w:t>
      </w:r>
      <w:r>
        <w:t>‘</w:t>
      </w:r>
      <w:r>
        <w:rPr>
          <w:b w:val="0"/>
          <w:i w:val="0"/>
        </w:rPr>
        <w:t>nature</w:t>
      </w:r>
      <w:r>
        <w:t>’</w:t>
      </w:r>
      <w:r>
        <w:rPr>
          <w:b w:val="0"/>
          <w:i w:val="0"/>
        </w:rPr>
        <w:t xml:space="preserve"> therefore determines whether the contrast is with craft, deliberation, intelligence, or psychic motion.</w:t>
      </w:r>
    </w:p>
    <w:p>
      <w:pPr>
        <w:keepNext/>
        <w:widowControl/>
      </w:pPr>
      <w:r>
        <w:rPr>
          <w:b/>
          <w:i w:val="0"/>
        </w:rPr>
        <w:t>The places.</w:t>
      </w:r>
    </w:p>
    <w:p>
      <w:pPr>
        <w:ind w:left="187" w:hanging="187"/>
      </w:pPr>
      <w:r>
        <w:t xml:space="preserve">• </w:t>
      </w:r>
      <w:r>
        <w:rPr>
          <w:b/>
          <w:i w:val="0"/>
        </w:rPr>
        <w:t>I.3.6, PDF 32–33</w:t>
      </w:r>
      <w:r>
        <w:rPr>
          <w:b w:val="0"/>
          <w:i w:val="0"/>
        </w:rPr>
        <w:t>. Craft matter cannot give itself an artifact’s form, supporting the need for a natural formative source.</w:t>
      </w:r>
    </w:p>
    <w:p>
      <w:pPr>
        <w:ind w:left="187" w:hanging="187"/>
      </w:pPr>
      <w:r>
        <w:t xml:space="preserve">• </w:t>
      </w:r>
      <w:r>
        <w:rPr>
          <w:b/>
          <w:i w:val="0"/>
        </w:rPr>
        <w:t>I.3.17, PDF 40–41</w:t>
      </w:r>
      <w:r>
        <w:rPr>
          <w:b w:val="0"/>
          <w:i w:val="0"/>
        </w:rPr>
        <w:t>. Nature’s superior efficacy implies both more intimate presence and greater substantial independence than art.</w:t>
      </w:r>
    </w:p>
    <w:p>
      <w:pPr>
        <w:ind w:left="187" w:hanging="187"/>
      </w:pPr>
      <w:r>
        <w:t xml:space="preserve">• </w:t>
      </w:r>
      <w:r>
        <w:rPr>
          <w:b/>
          <w:i w:val="0"/>
        </w:rPr>
        <w:t>I.3.32, PDF 52–53</w:t>
      </w:r>
      <w:r>
        <w:rPr>
          <w:b w:val="0"/>
          <w:i w:val="0"/>
        </w:rPr>
        <w:t>. A maker tainted by its own material work cannot be the first independent architect.</w:t>
      </w:r>
    </w:p>
    <w:p>
      <w:pPr>
        <w:ind w:left="187" w:hanging="187"/>
      </w:pPr>
      <w:r>
        <w:t xml:space="preserve">• </w:t>
      </w:r>
      <w:r>
        <w:rPr>
          <w:b/>
          <w:i w:val="0"/>
        </w:rPr>
        <w:t>II.13.17, PDF 228–229</w:t>
      </w:r>
      <w:r>
        <w:rPr>
          <w:b w:val="0"/>
          <w:i w:val="0"/>
        </w:rPr>
        <w:t>. Natural regularity and fitting products are compared with intelligent human design.</w:t>
      </w:r>
    </w:p>
    <w:p>
      <w:pPr>
        <w:widowControl/>
      </w:pPr>
      <w:r>
        <w:rPr>
          <w:b/>
          <w:i w:val="0"/>
        </w:rPr>
        <w:t>Further passage references.</w:t>
      </w:r>
      <w:r>
        <w:rPr>
          <w:b w:val="0"/>
          <w:i w:val="0"/>
        </w:rPr>
        <w:t xml:space="preserve"> I.2.1–I.2.9 (PDF pp. 18–23); I.3.6, I.3.17–I.3.18, I.3.32 (pp. 32–33, 40–41, 52–53); I.5.11–I.5.12, I.5.17 (pp. 66–67, 72–73); II.11.14, 18, 21, PDF 188–193; II.13.2, 5, 13–18, PDF 216–229; II.11.8–16, PDF 184–189; II.13.5–19, 26, PDF 218–235; III.1.17–23, PDF 250–255; IV.1.9–IV.1.13, pp. 286–289; IV.1.56, pp. 310–311; IV.1.75, pp. 320–321</w:t>
      </w:r>
    </w:p>
    <w:p>
      <w:pPr>
        <w:keepNext/>
        <w:widowControl/>
      </w:pPr>
      <w:r>
        <w:rPr>
          <w:b/>
          <w:i w:val="0"/>
        </w:rPr>
        <w:t>In this edition.</w:t>
      </w:r>
    </w:p>
    <w:p>
      <w:pPr>
        <w:widowControl/>
      </w:pPr>
      <w:r>
        <w:t>“</w:t>
      </w:r>
      <w:r>
        <w:rPr>
          <w:b w:val="0"/>
          <w:i w:val="0"/>
        </w:rPr>
        <w:t>Nature</w:t>
      </w:r>
      <w:r>
        <w:t>”</w:t>
      </w:r>
      <w:r>
        <w:rPr>
          <w:b w:val="0"/>
          <w:i w:val="0"/>
        </w:rPr>
        <w:t xml:space="preserve"> should not always be read as the total environment, nor </w:t>
      </w:r>
      <w:r>
        <w:t>“</w:t>
      </w:r>
      <w:r>
        <w:rPr>
          <w:b w:val="0"/>
          <w:i w:val="0"/>
        </w:rPr>
        <w:t>art</w:t>
      </w:r>
      <w:r>
        <w:t>”</w:t>
      </w:r>
      <w:r>
        <w:rPr>
          <w:b w:val="0"/>
          <w:i w:val="0"/>
        </w:rPr>
        <w:t xml:space="preserve"> restricted to fine art. The maker analogy distinguishes externally imposed form, inward natural formation and divine production of matter itself; it does not give God a bodily workshop.</w:t>
      </w:r>
    </w:p>
    <w:p>
      <w:pPr>
        <w:keepNext/>
        <w:widowControl/>
      </w:pPr>
      <w:r>
        <w:rPr>
          <w:b/>
          <w:i w:val="0"/>
        </w:rPr>
        <w:t>See also.</w:t>
      </w:r>
    </w:p>
    <w:p>
      <w:pPr>
        <w:widowControl/>
      </w:pPr>
      <w:hyperlink w:anchor="form">
        <w:r>
          <w:rPr>
            <w:color w:val="000000"/>
          </w:rPr>
          <w:t xml:space="preserve">Form</w:t>
        </w:r>
      </w:hyperlink>
      <w:r>
        <w:rPr>
          <w:b w:val="0"/>
          <w:i w:val="0"/>
        </w:rPr>
        <w:t xml:space="preserve">; </w:t>
      </w:r>
      <w:hyperlink w:anchor="cause">
        <w:r>
          <w:rPr>
            <w:color w:val="000000"/>
          </w:rPr>
          <w:t xml:space="preserve">Cause</w:t>
        </w:r>
      </w:hyperlink>
      <w:r>
        <w:rPr>
          <w:b w:val="0"/>
          <w:i w:val="0"/>
        </w:rPr>
        <w:t xml:space="preserve">; </w:t>
      </w:r>
      <w:hyperlink w:anchor="instrument">
        <w:r>
          <w:rPr>
            <w:color w:val="000000"/>
          </w:rPr>
          <w:t xml:space="preserve">Instrument</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ideas-and-exemplars">
        <w:r>
          <w:rPr>
            <w:color w:val="000000"/>
          </w:rPr>
          <w:t xml:space="preserve">Ideas and exemplars</w:t>
        </w:r>
      </w:hyperlink>
      <w:r>
        <w:rPr>
          <w:b w:val="0"/>
          <w:i w:val="0"/>
        </w:rPr>
        <w:t xml:space="preserve">; </w:t>
      </w:r>
      <w:hyperlink w:anchor="intuition-and-discourse">
        <w:r>
          <w:rPr>
            <w:color w:val="000000"/>
          </w:rPr>
          <w:t xml:space="preserve">Intuition and discourse</w:t>
        </w:r>
      </w:hyperlink>
      <w:r>
        <w:rPr>
          <w:b w:val="0"/>
          <w:i w:val="0"/>
        </w:rPr>
        <w:t xml:space="preserve">; </w:t>
      </w:r>
      <w:hyperlink w:anchor="providence">
        <w:r>
          <w:rPr>
            <w:color w:val="000000"/>
          </w:rPr>
          <w:t xml:space="preserve">Providence</w:t>
        </w:r>
      </w:hyperlink>
      <w:r>
        <w:rPr>
          <w:b w:val="0"/>
          <w:i w:val="0"/>
        </w:rPr>
        <w:t xml:space="preserve">; </w:t>
      </w:r>
      <w:hyperlink w:anchor="contingency">
        <w:r>
          <w:rPr>
            <w:color w:val="000000"/>
          </w:rPr>
          <w:t xml:space="preserve">Contingency</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principle">
        <w:r>
          <w:rPr>
            <w:color w:val="000000"/>
          </w:rPr>
          <w:t xml:space="preserve">Principle</w:t>
        </w:r>
      </w:hyperlink>
      <w:r>
        <w:rPr>
          <w:b w:val="0"/>
          <w:i w:val="0"/>
        </w:rPr>
        <w:t xml:space="preserve">; </w:t>
      </w:r>
      <w:hyperlink w:anchor="sense-and-imagination">
        <w:r>
          <w:rPr>
            <w:color w:val="000000"/>
          </w:rPr>
          <w:t xml:space="preserve">Sense and imagination</w:t>
        </w:r>
      </w:hyperlink>
      <w:r>
        <w:rPr>
          <w:b w:val="0"/>
          <w:i w:val="0"/>
        </w:rPr>
        <w:t xml:space="preserve">; </w:t>
      </w:r>
      <w:hyperlink w:anchor="natural-motion-and-natural-place">
        <w:r>
          <w:rPr>
            <w:color w:val="000000"/>
          </w:rPr>
          <w:t xml:space="preserve">Natural motion and natural place</w:t>
        </w:r>
      </w:hyperlink>
    </w:p>
    <w:p>
      <w:bookmarkStart w:id="34" w:name="artifact-and-natural-work"/>
      <w:pPr>
        <w:pStyle w:val="Heading2"/>
      </w:pPr>
      <w:r>
        <w:rPr>
          <w:b w:val="0"/>
          <w:i w:val="0"/>
        </w:rPr>
        <w:t>Artifact and natural work</w:t>
      </w:r>
      <w:bookmarkEnd w:id="34"/>
    </w:p>
    <w:p>
      <w:pPr>
        <w:keepNext/>
        <w:widowControl/>
      </w:pPr>
      <w:r>
        <w:rPr>
          <w:b/>
          <w:i w:val="0"/>
        </w:rPr>
        <w:t>Latin:</w:t>
      </w:r>
      <w:r>
        <w:rPr>
          <w:b w:val="0"/>
          <w:i w:val="0"/>
        </w:rPr>
        <w:t xml:space="preserve"> </w:t>
      </w:r>
      <w:r>
        <w:rPr>
          <w:b w:val="0"/>
          <w:i/>
        </w:rPr>
        <w:t>artificium</w:t>
      </w:r>
      <w:r>
        <w:rPr>
          <w:b w:val="0"/>
          <w:i w:val="0"/>
        </w:rPr>
        <w:t xml:space="preserve">, </w:t>
      </w:r>
      <w:r>
        <w:rPr>
          <w:b w:val="0"/>
          <w:i/>
        </w:rPr>
        <w:t>naturae opus</w:t>
      </w:r>
      <w:r>
        <w:rPr>
          <w:b w:val="0"/>
          <w:i w:val="0"/>
        </w:rPr>
        <w:t xml:space="preserve">, </w:t>
      </w:r>
      <w:r>
        <w:rPr>
          <w:b w:val="0"/>
          <w:i/>
        </w:rPr>
        <w:t>mens artificis</w:t>
      </w:r>
      <w:r>
        <w:rPr>
          <w:b w:val="0"/>
          <w:i w:val="0"/>
        </w:rPr>
        <w:t xml:space="preserve">, </w:t>
      </w:r>
      <w:r>
        <w:rPr>
          <w:b w:val="0"/>
          <w:i/>
        </w:rPr>
        <w:t>materia separata</w:t>
      </w:r>
      <w:r>
        <w:rPr>
          <w:b w:val="0"/>
          <w:i w:val="0"/>
        </w:rPr>
        <w:t xml:space="preserve">, </w:t>
      </w:r>
      <w:r>
        <w:rPr>
          <w:b w:val="0"/>
          <w:i/>
        </w:rPr>
        <w:t>coniuncta materia</w:t>
      </w:r>
      <w:r>
        <w:rPr>
          <w:b w:val="0"/>
          <w:i w:val="0"/>
        </w:rPr>
        <w:t xml:space="preserve">, </w:t>
      </w:r>
      <w:r>
        <w:rPr>
          <w:b w:val="0"/>
          <w:i/>
        </w:rPr>
        <w:t>formae contingentes</w:t>
      </w:r>
      <w:r>
        <w:rPr>
          <w:b w:val="0"/>
          <w:i w:val="0"/>
        </w:rPr>
        <w:t xml:space="preserve"> (the text has </w:t>
      </w:r>
      <w:r>
        <w:rPr>
          <w:b w:val="0"/>
          <w:i/>
        </w:rPr>
        <w:t>formas … contingentes</w:t>
      </w:r>
      <w:r>
        <w:rPr>
          <w:b w:val="0"/>
          <w:i w:val="0"/>
        </w:rPr>
        <w:t>).</w:t>
      </w:r>
    </w:p>
    <w:p>
      <w:pPr>
        <w:keepNext/>
        <w:widowControl/>
      </w:pPr>
      <w:r>
        <w:rPr>
          <w:b/>
          <w:i w:val="0"/>
        </w:rPr>
        <w:t>The word.</w:t>
      </w:r>
    </w:p>
    <w:p>
      <w:pPr>
        <w:widowControl/>
      </w:pPr>
      <w:r>
        <w:rPr>
          <w:b w:val="0"/>
          <w:i/>
        </w:rPr>
        <w:t>Artificium</w:t>
      </w:r>
      <w:r>
        <w:rPr>
          <w:b w:val="0"/>
          <w:i w:val="0"/>
        </w:rPr>
        <w:t xml:space="preserve"> here is a crafted product or artifact, not deceit. </w:t>
      </w:r>
      <w:r>
        <w:rPr>
          <w:b w:val="0"/>
          <w:i/>
        </w:rPr>
        <w:t>Opus</w:t>
      </w:r>
      <w:r>
        <w:rPr>
          <w:b w:val="0"/>
          <w:i w:val="0"/>
        </w:rPr>
        <w:t xml:space="preserve"> is a work or result; </w:t>
      </w:r>
      <w:r>
        <w:rPr>
          <w:b w:val="0"/>
          <w:i/>
        </w:rPr>
        <w:t>artifex</w:t>
      </w:r>
      <w:r>
        <w:rPr>
          <w:b w:val="0"/>
          <w:i w:val="0"/>
        </w:rPr>
        <w:t xml:space="preserve"> the maker. </w:t>
      </w:r>
      <w:r>
        <w:t>“</w:t>
      </w:r>
      <w:r>
        <w:rPr>
          <w:b w:val="0"/>
          <w:i w:val="0"/>
        </w:rPr>
        <w:t>Separated</w:t>
      </w:r>
      <w:r>
        <w:t>”</w:t>
      </w:r>
      <w:r>
        <w:rPr>
          <w:b w:val="0"/>
          <w:i w:val="0"/>
        </w:rPr>
        <w:t xml:space="preserve"> and </w:t>
      </w:r>
      <w:r>
        <w:t>“</w:t>
      </w:r>
      <w:r>
        <w:rPr>
          <w:b w:val="0"/>
          <w:i w:val="0"/>
        </w:rPr>
        <w:t>conjoined</w:t>
      </w:r>
      <w:r>
        <w:t>”</w:t>
      </w:r>
      <w:r>
        <w:rPr>
          <w:b w:val="0"/>
          <w:i w:val="0"/>
        </w:rPr>
        <w:t xml:space="preserve"> matter describe the material’s relation to its forming cause, not two unrelated chemical materials.</w:t>
      </w:r>
    </w:p>
    <w:p>
      <w:pPr>
        <w:keepNext/>
        <w:widowControl/>
      </w:pPr>
      <w:r>
        <w:rPr>
          <w:b/>
          <w:i w:val="0"/>
        </w:rPr>
        <w:t>In the Platonic Theology.</w:t>
      </w:r>
    </w:p>
    <w:p>
      <w:pPr>
        <w:widowControl/>
      </w:pPr>
      <w:r>
        <w:rPr>
          <w:b w:val="0"/>
          <w:i w:val="0"/>
        </w:rPr>
        <w:t>Ficino defines the artifact as the maker’s mind in matter separated from him, and the natural work as nature’s mind in matter joined to it. The first formulation is an explanatory compression: the artifact displays a rational order produced by the maker, rather than containing the maker’s whole personal mind. Natural production is said to express its inward formative order more closely because nature has greater command of its material. The relation between plan and result is therefore graded.</w:t>
      </w:r>
    </w:p>
    <w:p>
      <w:pPr>
        <w:widowControl/>
      </w:pPr>
      <w:r>
        <w:rPr>
          <w:b w:val="0"/>
          <w:i w:val="0"/>
        </w:rPr>
        <w:t>The following contrast assigns contingent principles and forms to human craft, essential and perpetual principles to natural art. The relevant division concerns producing an arrangement at the surface and generating or bringing out substantial form. It should not be exaggerated into a denial that artifacts have real order, nor read as though every natural individual lives forever. The eternity belongs to the formative principles, while later passages distinguish the continuity of a species from its changing individuals.</w:t>
      </w:r>
    </w:p>
    <w:p>
      <w:pPr>
        <w:keepNext/>
        <w:widowControl/>
      </w:pPr>
      <w:r>
        <w:rPr>
          <w:b/>
          <w:i w:val="0"/>
        </w:rPr>
        <w:t>The places.</w:t>
      </w:r>
    </w:p>
    <w:p>
      <w:pPr>
        <w:ind w:left="187" w:hanging="187"/>
      </w:pPr>
      <w:r>
        <w:t xml:space="preserve">• </w:t>
      </w:r>
      <w:r>
        <w:rPr>
          <w:b/>
          <w:i w:val="0"/>
        </w:rPr>
        <w:t>IV.1.10–13, PDF pp. 286–289:</w:t>
      </w:r>
      <w:r>
        <w:rPr>
          <w:b w:val="0"/>
          <w:i w:val="0"/>
        </w:rPr>
        <w:t xml:space="preserve"> the definitions and the contrast between contingent and substantial formation</w:t>
      </w:r>
    </w:p>
    <w:p>
      <w:pPr>
        <w:ind w:left="187" w:hanging="187"/>
      </w:pPr>
      <w:r>
        <w:t xml:space="preserve">• </w:t>
      </w:r>
      <w:r>
        <w:rPr>
          <w:b/>
          <w:i w:val="0"/>
        </w:rPr>
        <w:t>IV.1.86–87, pp. 326–327:</w:t>
      </w:r>
      <w:r>
        <w:rPr>
          <w:b w:val="0"/>
          <w:i w:val="0"/>
        </w:rPr>
        <w:t xml:space="preserve"> stable principles are distinguished from mutable effects and the succession of individuals</w:t>
      </w:r>
    </w:p>
    <w:p>
      <w:pPr>
        <w:ind w:left="187" w:hanging="187"/>
      </w:pPr>
      <w:r>
        <w:t xml:space="preserve">• </w:t>
      </w:r>
      <w:r>
        <w:rPr>
          <w:b/>
          <w:i w:val="0"/>
        </w:rPr>
        <w:t>IV.2.15, pp. 342–343:</w:t>
      </w:r>
      <w:r>
        <w:rPr>
          <w:b w:val="0"/>
          <w:i w:val="0"/>
        </w:rPr>
        <w:t xml:space="preserve"> the cosmic soul aims to imitate the first artisan through its own worldly work</w:t>
      </w:r>
    </w:p>
    <w:p>
      <w:pPr>
        <w:keepNext/>
        <w:widowControl/>
      </w:pPr>
      <w:r>
        <w:rPr>
          <w:b/>
          <w:i w:val="0"/>
        </w:rPr>
        <w:t>In this edition.</w:t>
      </w:r>
    </w:p>
    <w:p>
      <w:pPr>
        <w:widowControl/>
      </w:pPr>
      <w:r>
        <w:t>“</w:t>
      </w:r>
      <w:r>
        <w:rPr>
          <w:b w:val="0"/>
          <w:i w:val="0"/>
        </w:rPr>
        <w:t>Artifact</w:t>
      </w:r>
      <w:r>
        <w:t>”</w:t>
      </w:r>
      <w:r>
        <w:rPr>
          <w:b w:val="0"/>
          <w:i w:val="0"/>
        </w:rPr>
        <w:t xml:space="preserve"> renders </w:t>
      </w:r>
      <w:r>
        <w:rPr>
          <w:b w:val="0"/>
          <w:i/>
        </w:rPr>
        <w:t>artificium</w:t>
      </w:r>
      <w:r>
        <w:rPr>
          <w:b w:val="0"/>
          <w:i w:val="0"/>
        </w:rPr>
        <w:t xml:space="preserve"> precisely in the definition. </w:t>
      </w:r>
      <w:r>
        <w:t>“</w:t>
      </w:r>
      <w:r>
        <w:rPr>
          <w:b w:val="0"/>
          <w:i w:val="0"/>
        </w:rPr>
        <w:t>Mind … in matter</w:t>
      </w:r>
      <w:r>
        <w:t>”</w:t>
      </w:r>
      <w:r>
        <w:rPr>
          <w:b w:val="0"/>
          <w:i w:val="0"/>
        </w:rPr>
        <w:t xml:space="preserve"> should be read with the surrounding comparisons, and the English </w:t>
      </w:r>
      <w:r>
        <w:t>“</w:t>
      </w:r>
      <w:r>
        <w:rPr>
          <w:b w:val="0"/>
          <w:i w:val="0"/>
        </w:rPr>
        <w:t>draws substantial forms from the depths</w:t>
      </w:r>
      <w:r>
        <w:t>”</w:t>
      </w:r>
      <w:r>
        <w:rPr>
          <w:b w:val="0"/>
          <w:i w:val="0"/>
        </w:rPr>
        <w:t xml:space="preserve"> preserves an alternative to straightforward making.</w:t>
      </w:r>
    </w:p>
    <w:p>
      <w:pPr>
        <w:keepNext/>
        <w:widowControl/>
      </w:pPr>
      <w:r>
        <w:rPr>
          <w:b/>
          <w:i w:val="0"/>
        </w:rPr>
        <w:t>See also.</w:t>
      </w:r>
    </w:p>
    <w:p>
      <w:pPr>
        <w:widowControl/>
      </w:pPr>
      <w:hyperlink w:anchor="art-and-nature">
        <w:r>
          <w:rPr>
            <w:color w:val="000000"/>
          </w:rPr>
          <w:t xml:space="preserve">Art and nature</w:t>
        </w:r>
      </w:hyperlink>
      <w:r>
        <w:rPr>
          <w:b w:val="0"/>
          <w:i w:val="0"/>
        </w:rPr>
        <w:t xml:space="preserve">; </w:t>
      </w:r>
      <w:hyperlink w:anchor="carpenter-and-geometer">
        <w:r>
          <w:rPr>
            <w:color w:val="000000"/>
          </w:rPr>
          <w:t xml:space="preserve">Carpenter and geometer</w:t>
        </w:r>
      </w:hyperlink>
      <w:r>
        <w:rPr>
          <w:b w:val="0"/>
          <w:i w:val="0"/>
        </w:rPr>
        <w:t xml:space="preserve">; </w:t>
      </w:r>
      <w:hyperlink w:anchor="surface-and-depth">
        <w:r>
          <w:rPr>
            <w:color w:val="000000"/>
          </w:rPr>
          <w:t xml:space="preserve">Surface and depth</w:t>
        </w:r>
      </w:hyperlink>
      <w:r>
        <w:rPr>
          <w:b w:val="0"/>
          <w:i w:val="0"/>
        </w:rPr>
        <w:t xml:space="preserve">; </w:t>
      </w:r>
      <w:hyperlink w:anchor="natural-species-and-succession">
        <w:r>
          <w:rPr>
            <w:color w:val="000000"/>
          </w:rPr>
          <w:t xml:space="preserve">Natural species and succession</w:t>
        </w:r>
      </w:hyperlink>
      <w:r>
        <w:rPr>
          <w:b w:val="0"/>
          <w:i w:val="0"/>
        </w:rPr>
        <w:t>.</w:t>
      </w:r>
    </w:p>
    <w:p>
      <w:bookmarkStart w:id="35" w:name="ascent"/>
      <w:pPr>
        <w:pStyle w:val="Heading2"/>
      </w:pPr>
      <w:r>
        <w:rPr>
          <w:b w:val="0"/>
          <w:i w:val="0"/>
        </w:rPr>
        <w:t>Ascent</w:t>
      </w:r>
      <w:bookmarkEnd w:id="35"/>
    </w:p>
    <w:p>
      <w:pPr>
        <w:keepNext/>
        <w:widowControl/>
      </w:pPr>
      <w:r>
        <w:rPr>
          <w:b/>
          <w:i w:val="0"/>
        </w:rPr>
        <w:t>Latin:</w:t>
      </w:r>
      <w:r>
        <w:rPr>
          <w:b w:val="0"/>
          <w:i w:val="0"/>
        </w:rPr>
        <w:t xml:space="preserve"> </w:t>
      </w:r>
      <w:r>
        <w:rPr>
          <w:b w:val="0"/>
          <w:i/>
        </w:rPr>
        <w:t>ascendere</w:t>
      </w:r>
      <w:r>
        <w:rPr>
          <w:b w:val="0"/>
          <w:i w:val="0"/>
        </w:rPr>
        <w:t xml:space="preserve">; </w:t>
      </w:r>
      <w:r>
        <w:rPr>
          <w:b w:val="0"/>
          <w:i/>
        </w:rPr>
        <w:t>ascensus</w:t>
      </w:r>
      <w:r>
        <w:rPr>
          <w:b w:val="0"/>
          <w:i w:val="0"/>
        </w:rPr>
        <w:t xml:space="preserve">; </w:t>
      </w:r>
      <w:r>
        <w:rPr>
          <w:b w:val="0"/>
          <w:i/>
        </w:rPr>
        <w:t>gradus</w:t>
      </w:r>
      <w:r>
        <w:rPr>
          <w:b w:val="0"/>
          <w:i w:val="0"/>
        </w:rPr>
        <w:t xml:space="preserve">; </w:t>
      </w:r>
      <w:r>
        <w:rPr>
          <w:b w:val="0"/>
          <w:i/>
        </w:rPr>
        <w:t>transcendere</w:t>
      </w:r>
    </w:p>
    <w:p>
      <w:pPr>
        <w:keepNext/>
        <w:widowControl/>
      </w:pPr>
      <w:r>
        <w:rPr>
          <w:b/>
          <w:i w:val="0"/>
        </w:rPr>
        <w:t>The word.</w:t>
      </w:r>
    </w:p>
    <w:p>
      <w:pPr>
        <w:widowControl/>
      </w:pPr>
      <w:r>
        <w:rPr>
          <w:b w:val="0"/>
          <w:i w:val="0"/>
        </w:rPr>
        <w:t>Ascendere and transcendere name climbing or passing beyond; ascensus is the ascent and gradus its step, rank or degree. The argument uses the movement to order explanations and objects of attention.</w:t>
      </w:r>
    </w:p>
    <w:p>
      <w:pPr>
        <w:keepNext/>
        <w:widowControl/>
      </w:pPr>
      <w:r>
        <w:rPr>
          <w:b/>
          <w:i w:val="0"/>
        </w:rPr>
        <w:t>In the Platonic Theology.</w:t>
      </w:r>
    </w:p>
    <w:p>
      <w:pPr>
        <w:widowControl/>
      </w:pPr>
      <w:r>
        <w:rPr>
          <w:b w:val="0"/>
          <w:i w:val="0"/>
        </w:rPr>
        <w:t xml:space="preserve">Book I announces an ascent </w:t>
      </w:r>
      <w:r>
        <w:t>“</w:t>
      </w:r>
      <w:r>
        <w:rPr>
          <w:b w:val="0"/>
          <w:i w:val="0"/>
        </w:rPr>
        <w:t>as far as God.</w:t>
      </w:r>
      <w:r>
        <w:t>”</w:t>
      </w:r>
      <w:r>
        <w:rPr>
          <w:b w:val="0"/>
          <w:i w:val="0"/>
        </w:rPr>
        <w:t xml:space="preserve"> Its steps are not movements through physical space but ordered comparisons of body, quality, soul, angel, and God. Ficino argues that a lower level’s limitations require a superior source: bodily passivity points toward quality, quality’s dependence toward an incorporeal form, the soul’s temporal operation toward angelic stability, and the angel’s multiplicity toward divine unity. The ascent also has a cognitive aspect. The mind moves from particular forms to universal forms, from natural through mathematical to metaphysical objects, and from dimensions through points and numbers to unity. The narrative language of climbing therefore joins a method of reasoning with a transformation in what the reader attends to. Ficino places earlier philosophers at different stopping points in this ascent. His classifications organize the argument rather than provide a comprehensive history of those philosophers.</w:t>
      </w:r>
    </w:p>
    <w:p>
      <w:pPr>
        <w:keepNext/>
        <w:widowControl/>
      </w:pPr>
      <w:r>
        <w:rPr>
          <w:b/>
          <w:i w:val="0"/>
        </w:rPr>
        <w:t>The places.</w:t>
      </w:r>
    </w:p>
    <w:p>
      <w:pPr>
        <w:ind w:left="187" w:hanging="187"/>
      </w:pPr>
      <w:r>
        <w:t xml:space="preserve">• </w:t>
      </w:r>
      <w:r>
        <w:rPr>
          <w:b/>
          <w:i w:val="0"/>
        </w:rPr>
        <w:t>I.1.3–7, PDF 14–17</w:t>
      </w:r>
      <w:r>
        <w:rPr>
          <w:b w:val="0"/>
          <w:i w:val="0"/>
        </w:rPr>
        <w:t>. Five grades and named philosophical stopping points organize the announced ascent.</w:t>
      </w:r>
    </w:p>
    <w:p>
      <w:pPr>
        <w:ind w:left="187" w:hanging="187"/>
      </w:pPr>
      <w:r>
        <w:t xml:space="preserve">• </w:t>
      </w:r>
      <w:r>
        <w:rPr>
          <w:b/>
          <w:i w:val="0"/>
        </w:rPr>
        <w:t>I.3.12–16, PDF 36–39</w:t>
      </w:r>
      <w:r>
        <w:rPr>
          <w:b w:val="0"/>
          <w:i w:val="0"/>
        </w:rPr>
        <w:t>. Mental abstraction and increasingly independent principles give the ascent cognitive and ontological aspects.</w:t>
      </w:r>
    </w:p>
    <w:p>
      <w:pPr>
        <w:ind w:left="187" w:hanging="187"/>
      </w:pPr>
      <w:r>
        <w:t xml:space="preserve">• </w:t>
      </w:r>
      <w:r>
        <w:rPr>
          <w:b/>
          <w:i w:val="0"/>
        </w:rPr>
        <w:t>I.3.33, PDF 52–53</w:t>
      </w:r>
      <w:r>
        <w:rPr>
          <w:b w:val="0"/>
          <w:i w:val="0"/>
        </w:rPr>
        <w:t>. The reader is urged beyond bodily form to the third essence.</w:t>
      </w:r>
    </w:p>
    <w:p>
      <w:pPr>
        <w:ind w:left="187" w:hanging="187"/>
      </w:pPr>
      <w:r>
        <w:t xml:space="preserve">• </w:t>
      </w:r>
      <w:r>
        <w:rPr>
          <w:b/>
          <w:i w:val="0"/>
        </w:rPr>
        <w:t>I.6.1–6, PDF 82–85</w:t>
      </w:r>
      <w:r>
        <w:rPr>
          <w:b w:val="0"/>
          <w:i w:val="0"/>
        </w:rPr>
        <w:t>. The ascent must pass beyond even immobile angelic mind to simple unity.</w:t>
      </w:r>
    </w:p>
    <w:p>
      <w:pPr>
        <w:widowControl/>
      </w:pPr>
      <w:r>
        <w:rPr>
          <w:b/>
          <w:i w:val="0"/>
        </w:rPr>
        <w:t>Further passage references.</w:t>
      </w:r>
      <w:r>
        <w:rPr>
          <w:b w:val="0"/>
          <w:i w:val="0"/>
        </w:rPr>
        <w:t xml:space="preserve"> Book I title (PDF p. 13); I.1.3–I.1.7 (pp. 14–17); I.3.12–I.3.16, I.3.33 (pp. 36–39, 52–53); I.6.1 (pp. 82–83)</w:t>
      </w:r>
    </w:p>
    <w:p>
      <w:pPr>
        <w:keepNext/>
        <w:widowControl/>
      </w:pPr>
      <w:r>
        <w:rPr>
          <w:b/>
          <w:i w:val="0"/>
        </w:rPr>
        <w:t>In this edition.</w:t>
      </w:r>
    </w:p>
    <w:p>
      <w:pPr>
        <w:widowControl/>
      </w:pPr>
      <w:r>
        <w:rPr>
          <w:b w:val="0"/>
          <w:i w:val="0"/>
        </w:rPr>
        <w:t>The future programme and repeated exhortations should remain distinct from proofs already delivered. Ficino’s distribution of earlier philosophers among stopping points is his philosophical classification, not a comprehensive history of their doctrines.</w:t>
      </w:r>
    </w:p>
    <w:p>
      <w:pPr>
        <w:keepNext/>
        <w:widowControl/>
      </w:pPr>
      <w:r>
        <w:rPr>
          <w:b/>
          <w:i w:val="0"/>
        </w:rPr>
        <w:t>See also.</w:t>
      </w:r>
    </w:p>
    <w:p>
      <w:pPr>
        <w:widowControl/>
      </w:pPr>
      <w:hyperlink w:anchor="degree-and-mediation">
        <w:r>
          <w:rPr>
            <w:color w:val="000000"/>
          </w:rPr>
          <w:t xml:space="preserve">Degree and mediation</w:t>
        </w:r>
      </w:hyperlink>
      <w:r>
        <w:rPr>
          <w:b w:val="0"/>
          <w:i w:val="0"/>
        </w:rPr>
        <w:t xml:space="preserve">; </w:t>
      </w:r>
      <w:hyperlink w:anchor="philosophy-and-theology">
        <w:r>
          <w:rPr>
            <w:color w:val="000000"/>
          </w:rPr>
          <w:t xml:space="preserve">Philosophy and theology</w:t>
        </w:r>
      </w:hyperlink>
      <w:r>
        <w:rPr>
          <w:b w:val="0"/>
          <w:i w:val="0"/>
        </w:rPr>
        <w:t xml:space="preserve">; </w:t>
      </w:r>
      <w:hyperlink w:anchor="reason-and-account">
        <w:r>
          <w:rPr>
            <w:color w:val="000000"/>
          </w:rPr>
          <w:t xml:space="preserve">Reason and account</w:t>
        </w:r>
      </w:hyperlink>
      <w:r>
        <w:rPr>
          <w:b w:val="0"/>
          <w:i w:val="0"/>
        </w:rPr>
        <w:t xml:space="preserve">; </w:t>
      </w:r>
      <w:hyperlink w:anchor="perfection">
        <w:r>
          <w:rPr>
            <w:color w:val="000000"/>
          </w:rPr>
          <w:t xml:space="preserve">Perfection</w:t>
        </w:r>
      </w:hyperlink>
    </w:p>
    <w:p>
      <w:bookmarkStart w:id="36" w:name="assent-and-approval"/>
      <w:pPr>
        <w:pStyle w:val="Heading2"/>
      </w:pPr>
      <w:r>
        <w:rPr>
          <w:b w:val="0"/>
          <w:i w:val="0"/>
        </w:rPr>
        <w:t>Assent of will</w:t>
      </w:r>
      <w:bookmarkEnd w:id="36"/>
    </w:p>
    <w:p>
      <w:pPr>
        <w:keepNext/>
        <w:widowControl/>
      </w:pPr>
      <w:r>
        <w:rPr>
          <w:b/>
          <w:i w:val="0"/>
        </w:rPr>
        <w:t>Latin:</w:t>
      </w:r>
      <w:r>
        <w:rPr>
          <w:b w:val="0"/>
          <w:i w:val="0"/>
        </w:rPr>
        <w:t xml:space="preserve"> </w:t>
      </w:r>
      <w:r>
        <w:rPr>
          <w:b w:val="0"/>
          <w:i/>
        </w:rPr>
        <w:t>assensus; approbare; eligere; anticipare; discernere; metiri</w:t>
      </w:r>
    </w:p>
    <w:p>
      <w:pPr>
        <w:keepNext/>
        <w:widowControl/>
      </w:pPr>
      <w:r>
        <w:rPr>
          <w:b/>
          <w:i w:val="0"/>
        </w:rPr>
        <w:t>The word.</w:t>
      </w:r>
    </w:p>
    <w:p>
      <w:pPr>
        <w:widowControl/>
      </w:pPr>
      <w:r>
        <w:rPr>
          <w:b w:val="0"/>
          <w:i w:val="0"/>
        </w:rPr>
        <w:t>Assensus is assent; approbare is to approve. Eligere selects among alternatives. Anticipare, discernere, and metiri respectively anticipate, distinguish, and measure. Together they differentiate knowing an end and means from approving an end and choosing a route.</w:t>
      </w:r>
    </w:p>
    <w:p>
      <w:pPr>
        <w:keepNext/>
        <w:widowControl/>
      </w:pPr>
      <w:r>
        <w:rPr>
          <w:b/>
          <w:i w:val="0"/>
        </w:rPr>
        <w:t>In the Platonic Theology.</w:t>
      </w:r>
    </w:p>
    <w:p>
      <w:pPr>
        <w:widowControl/>
      </w:pPr>
      <w:r>
        <w:rPr>
          <w:b w:val="0"/>
          <w:i w:val="0"/>
        </w:rPr>
        <w:t>After arguing against production by bare nature, Ficino announces that intelligence alone is insufficient for external effects unless the assent of will is added. Intellect anticipates the best end, distinguishes paths, and measures their proportion to it; will approves the end and chooses one path rather than another. This is an explanatory analysis of directed action. Applied to God, it cannot be a temporal committee meeting of independent faculties, since the surrounding argument identifies divine being, intelligence, and will. The later account of human judgment retains genuine deliberation among proposed alternatives. Thus approval and choice should neither be collapsed into mere awareness nor always be given the same temporal mode in God and a human soul.</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II.11.24 (Latin PDF p. 194; English PDF p. 195).</w:t>
      </w:r>
      <w:r>
        <w:rPr>
          <w:b w:val="0"/>
          <w:i w:val="0"/>
        </w:rPr>
        <w:t xml:space="preserve"> The new stage requires the assent of will for external effects.</w:t>
      </w:r>
    </w:p>
    <w:p>
      <w:pPr>
        <w:ind w:left="187" w:hanging="187"/>
      </w:pPr>
      <w:r>
        <w:t xml:space="preserve">• </w:t>
      </w:r>
      <w:r>
        <w:rPr>
          <w:b/>
          <w:i w:val="0"/>
        </w:rPr>
        <w:t>II.11.25 (Latin PDF p. 194; English PDF p. 195).</w:t>
      </w:r>
      <w:r>
        <w:rPr>
          <w:b w:val="0"/>
          <w:i w:val="0"/>
        </w:rPr>
        <w:t xml:space="preserve"> Intellectual anticipation and measurement precede approval in the exposition.</w:t>
      </w:r>
    </w:p>
    <w:p>
      <w:pPr>
        <w:ind w:left="187" w:hanging="187"/>
      </w:pPr>
      <w:r>
        <w:t xml:space="preserve">• </w:t>
      </w:r>
      <w:r>
        <w:rPr>
          <w:b/>
          <w:i w:val="0"/>
        </w:rPr>
        <w:t>II.11.26 (Latin PDF p. 194; English PDF p. 195).</w:t>
      </w:r>
      <w:r>
        <w:rPr>
          <w:b w:val="0"/>
          <w:i w:val="0"/>
        </w:rPr>
        <w:t xml:space="preserve"> Choice selects the fitting route.</w:t>
      </w:r>
    </w:p>
    <w:p>
      <w:pPr>
        <w:ind w:left="187" w:hanging="187"/>
      </w:pPr>
      <w:r>
        <w:t xml:space="preserve">• </w:t>
      </w:r>
      <w:r>
        <w:rPr>
          <w:b/>
          <w:i w:val="0"/>
        </w:rPr>
        <w:t>II.13.30 (Latin PDF p. 236; English PDF p. 237).</w:t>
      </w:r>
      <w:r>
        <w:rPr>
          <w:b w:val="0"/>
          <w:i w:val="0"/>
        </w:rPr>
        <w:t xml:space="preserve"> Human judgment deliberates and chooses among alternatives.</w:t>
      </w:r>
    </w:p>
    <w:p>
      <w:pPr>
        <w:keepNext/>
        <w:widowControl/>
      </w:pPr>
      <w:r>
        <w:rPr>
          <w:b/>
          <w:i w:val="0"/>
        </w:rPr>
        <w:t>In this edition.</w:t>
      </w:r>
    </w:p>
    <w:p>
      <w:pPr>
        <w:widowControl/>
      </w:pPr>
      <w:r>
        <w:t>“</w:t>
      </w:r>
      <w:r>
        <w:rPr>
          <w:b w:val="0"/>
          <w:i w:val="0"/>
        </w:rPr>
        <w:t>Assent</w:t>
      </w:r>
      <w:r>
        <w:t>”</w:t>
      </w:r>
      <w:r>
        <w:rPr>
          <w:b w:val="0"/>
          <w:i w:val="0"/>
        </w:rPr>
        <w:t xml:space="preserve"> here is practical willing rather than simply agreeing that a proposition is true. The English </w:t>
      </w:r>
      <w:r>
        <w:t>“</w:t>
      </w:r>
      <w:r>
        <w:rPr>
          <w:b w:val="0"/>
          <w:i w:val="0"/>
        </w:rPr>
        <w:t>then by will</w:t>
      </w:r>
      <w:r>
        <w:t>”</w:t>
      </w:r>
      <w:r>
        <w:rPr>
          <w:b w:val="0"/>
          <w:i w:val="0"/>
        </w:rPr>
        <w:t xml:space="preserve"> follows rursus in II.11.25 but should not alone establish elapsed time within divine action.</w:t>
      </w:r>
    </w:p>
    <w:p>
      <w:pPr>
        <w:keepNext/>
        <w:widowControl/>
      </w:pPr>
      <w:r>
        <w:rPr>
          <w:b/>
          <w:i w:val="0"/>
        </w:rPr>
        <w:t>See also.</w:t>
      </w:r>
    </w:p>
    <w:p>
      <w:pPr>
        <w:widowControl/>
      </w:pPr>
      <w:hyperlink w:anchor="will">
        <w:r>
          <w:rPr>
            <w:color w:val="000000"/>
          </w:rPr>
          <w:t xml:space="preserve">Will</w:t>
        </w:r>
      </w:hyperlink>
      <w:r>
        <w:rPr>
          <w:b w:val="0"/>
          <w:i w:val="0"/>
        </w:rPr>
        <w:t xml:space="preserve">; </w:t>
      </w:r>
      <w:hyperlink w:anchor="choice-and-deliberation">
        <w:r>
          <w:rPr>
            <w:color w:val="000000"/>
          </w:rPr>
          <w:t xml:space="preserve">Choice and deliberation</w:t>
        </w:r>
      </w:hyperlink>
      <w:r>
        <w:rPr>
          <w:b w:val="0"/>
          <w:i w:val="0"/>
        </w:rPr>
        <w:t xml:space="preserve">; </w:t>
      </w:r>
      <w:hyperlink w:anchor="intention">
        <w:r>
          <w:rPr>
            <w:color w:val="000000"/>
          </w:rPr>
          <w:t xml:space="preserve">Intention</w:t>
        </w:r>
      </w:hyperlink>
      <w:r>
        <w:rPr>
          <w:b w:val="0"/>
          <w:i w:val="0"/>
        </w:rPr>
        <w:t xml:space="preserve">; </w:t>
      </w:r>
      <w:hyperlink w:anchor="paths-and-prescribed-ends">
        <w:r>
          <w:rPr>
            <w:color w:val="000000"/>
          </w:rPr>
          <w:t xml:space="preserve">Paths and prescribed ends</w:t>
        </w:r>
      </w:hyperlink>
      <w:r>
        <w:rPr>
          <w:b w:val="0"/>
          <w:i w:val="0"/>
        </w:rPr>
        <w:t>.</w:t>
      </w:r>
    </w:p>
    <w:p>
      <w:bookmarkStart w:id="37" w:name="assent-approval-and-belief"/>
      <w:pPr>
        <w:pStyle w:val="Heading2"/>
      </w:pPr>
      <w:r>
        <w:rPr>
          <w:b w:val="0"/>
          <w:i w:val="0"/>
        </w:rPr>
        <w:t>Assent, approval and belief</w:t>
      </w:r>
      <w:bookmarkEnd w:id="37"/>
    </w:p>
    <w:p>
      <w:pPr>
        <w:keepNext/>
        <w:widowControl/>
      </w:pPr>
      <w:r>
        <w:rPr>
          <w:b/>
          <w:i w:val="0"/>
        </w:rPr>
        <w:t>Latin:</w:t>
      </w:r>
      <w:r>
        <w:rPr>
          <w:b w:val="0"/>
          <w:i w:val="0"/>
        </w:rPr>
        <w:t xml:space="preserve"> </w:t>
      </w:r>
      <w:r>
        <w:rPr>
          <w:b w:val="0"/>
          <w:i/>
        </w:rPr>
        <w:t>acquiescant</w:t>
      </w:r>
      <w:r>
        <w:rPr>
          <w:b w:val="0"/>
          <w:i w:val="0"/>
        </w:rPr>
        <w:t xml:space="preserve">; </w:t>
      </w:r>
      <w:r>
        <w:rPr>
          <w:b w:val="0"/>
          <w:i/>
        </w:rPr>
        <w:t>cedunt</w:t>
      </w:r>
      <w:r>
        <w:rPr>
          <w:b w:val="0"/>
          <w:i w:val="0"/>
        </w:rPr>
        <w:t xml:space="preserve">; </w:t>
      </w:r>
      <w:r>
        <w:rPr>
          <w:b w:val="0"/>
          <w:i/>
        </w:rPr>
        <w:t>suffragantibus</w:t>
      </w:r>
      <w:r>
        <w:rPr>
          <w:b w:val="0"/>
          <w:i w:val="0"/>
        </w:rPr>
        <w:t xml:space="preserve">; </w:t>
      </w:r>
      <w:r>
        <w:rPr>
          <w:b w:val="0"/>
          <w:i/>
        </w:rPr>
        <w:t>reor</w:t>
      </w:r>
      <w:r>
        <w:rPr>
          <w:b w:val="0"/>
          <w:i w:val="0"/>
        </w:rPr>
        <w:t xml:space="preserve">; </w:t>
      </w:r>
      <w:r>
        <w:rPr>
          <w:b w:val="0"/>
          <w:i/>
        </w:rPr>
        <w:t>fides</w:t>
      </w:r>
      <w:r>
        <w:rPr>
          <w:b w:val="0"/>
          <w:i w:val="0"/>
        </w:rPr>
        <w:t xml:space="preserve">; </w:t>
      </w:r>
      <w:r>
        <w:rPr>
          <w:b w:val="0"/>
          <w:i/>
        </w:rPr>
        <w:t>probatum</w:t>
      </w:r>
      <w:r>
        <w:rPr>
          <w:b w:val="0"/>
          <w:i w:val="0"/>
        </w:rPr>
        <w:t xml:space="preserve">; </w:t>
      </w:r>
      <w:r>
        <w:rPr>
          <w:b w:val="0"/>
          <w:i/>
        </w:rPr>
        <w:t>comprobet</w:t>
      </w:r>
      <w:r>
        <w:rPr>
          <w:b w:val="0"/>
          <w:i w:val="0"/>
        </w:rPr>
        <w:t xml:space="preserve">; </w:t>
      </w:r>
      <w:r>
        <w:rPr>
          <w:b w:val="0"/>
          <w:i/>
        </w:rPr>
        <w:t>diffidere</w:t>
      </w:r>
      <w:r>
        <w:rPr>
          <w:b w:val="0"/>
          <w:i w:val="0"/>
        </w:rPr>
        <w:t>.</w:t>
      </w:r>
    </w:p>
    <w:p>
      <w:pPr>
        <w:keepNext/>
        <w:widowControl/>
      </w:pPr>
      <w:r>
        <w:rPr>
          <w:b/>
          <w:i w:val="0"/>
        </w:rPr>
        <w:t>The word.</w:t>
      </w:r>
    </w:p>
    <w:p>
      <w:pPr>
        <w:widowControl/>
      </w:pPr>
      <w:r>
        <w:rPr>
          <w:b w:val="0"/>
          <w:i/>
        </w:rPr>
        <w:t>Acquiescere</w:t>
      </w:r>
      <w:r>
        <w:rPr>
          <w:b w:val="0"/>
          <w:i w:val="0"/>
        </w:rPr>
        <w:t xml:space="preserve"> is to rest satisfied or acquiesce; with an argument it concerns assent. </w:t>
      </w:r>
      <w:r>
        <w:rPr>
          <w:b w:val="0"/>
          <w:i/>
        </w:rPr>
        <w:t>Cedere</w:t>
      </w:r>
      <w:r>
        <w:rPr>
          <w:b w:val="0"/>
          <w:i w:val="0"/>
        </w:rPr>
        <w:t xml:space="preserve"> is to yield. </w:t>
      </w:r>
      <w:r>
        <w:rPr>
          <w:b w:val="0"/>
          <w:i/>
        </w:rPr>
        <w:t>Suffragari</w:t>
      </w:r>
      <w:r>
        <w:rPr>
          <w:b w:val="0"/>
          <w:i w:val="0"/>
        </w:rPr>
        <w:t xml:space="preserve"> means to support or favour a cause. </w:t>
      </w:r>
      <w:r>
        <w:rPr>
          <w:b w:val="0"/>
          <w:i/>
        </w:rPr>
        <w:t>Probare</w:t>
      </w:r>
      <w:r>
        <w:rPr>
          <w:b w:val="0"/>
          <w:i w:val="0"/>
        </w:rPr>
        <w:t xml:space="preserve"> and </w:t>
      </w:r>
      <w:r>
        <w:rPr>
          <w:b w:val="0"/>
          <w:i/>
        </w:rPr>
        <w:t>comprobare</w:t>
      </w:r>
      <w:r>
        <w:rPr>
          <w:b w:val="0"/>
          <w:i w:val="0"/>
        </w:rPr>
        <w:t xml:space="preserve"> concern approving or establishing, with the subject and object determining the force. </w:t>
      </w:r>
      <w:r>
        <w:rPr>
          <w:b w:val="0"/>
          <w:i/>
        </w:rPr>
        <w:t>Fides</w:t>
      </w:r>
      <w:r>
        <w:rPr>
          <w:b w:val="0"/>
          <w:i w:val="0"/>
        </w:rPr>
        <w:t xml:space="preserve"> is confidence or faith here; </w:t>
      </w:r>
      <w:r>
        <w:rPr>
          <w:b w:val="0"/>
          <w:i/>
        </w:rPr>
        <w:t>diffidere</w:t>
      </w:r>
      <w:r>
        <w:rPr>
          <w:b w:val="0"/>
          <w:i w:val="0"/>
        </w:rPr>
        <w:t xml:space="preserve"> is to distrust. These are related attitudes toward a claim or authority, not interchangeable names for demonstration.</w:t>
      </w:r>
    </w:p>
    <w:p>
      <w:pPr>
        <w:keepNext/>
        <w:widowControl/>
      </w:pPr>
      <w:r>
        <w:rPr>
          <w:b/>
          <w:i w:val="0"/>
        </w:rPr>
        <w:t>In the Platonic Theology.</w:t>
      </w:r>
    </w:p>
    <w:p>
      <w:pPr>
        <w:widowControl/>
      </w:pPr>
      <w:r>
        <w:rPr>
          <w:b w:val="0"/>
          <w:i w:val="0"/>
        </w:rPr>
        <w:t xml:space="preserve">Ficino envisages readers who do not readily yield to the authority of divine law but may assent to Platonic reasons supporting religion. The distinction is between routes to acceptance within his religious project; he does not say that a reader’s assent by itself demonstrates the reasons’ truth. His confident </w:t>
      </w:r>
      <w:r>
        <w:rPr>
          <w:b w:val="0"/>
          <w:i/>
        </w:rPr>
        <w:t>reor</w:t>
      </w:r>
      <w:r>
        <w:rPr>
          <w:b w:val="0"/>
          <w:i w:val="0"/>
        </w:rPr>
        <w:t xml:space="preserve"> and </w:t>
      </w:r>
      <w:r>
        <w:rPr>
          <w:b w:val="0"/>
          <w:i/>
        </w:rPr>
        <w:t>nec vana fides</w:t>
      </w:r>
      <w:r>
        <w:rPr>
          <w:b w:val="0"/>
          <w:i w:val="0"/>
        </w:rPr>
        <w:t xml:space="preserve"> introduce what he believes providence has decreed. At the close of the Proem, his wish that divine law approve whatever he approves makes the theological constraint explicit. The following exhortation presents distrust of the soul’s divinity as a consequence of confinement to bodily darkness. That diagnosis belongs to Ficino’s address to the reader, not to a neutral classification of every possible objection.</w:t>
      </w:r>
    </w:p>
    <w:p>
      <w:pPr>
        <w:keepNext/>
        <w:widowControl/>
      </w:pPr>
      <w:r>
        <w:rPr>
          <w:b/>
          <w:i w:val="0"/>
        </w:rPr>
        <w:t>The places.</w:t>
      </w:r>
    </w:p>
    <w:p>
      <w:pPr>
        <w:ind w:left="187" w:hanging="187"/>
      </w:pPr>
      <w:r>
        <w:t xml:space="preserve">• </w:t>
      </w:r>
      <w:r>
        <w:rPr>
          <w:b/>
          <w:i w:val="0"/>
        </w:rPr>
        <w:t>Proem.8, PDF 8–9.</w:t>
      </w:r>
      <w:r>
        <w:rPr>
          <w:b w:val="0"/>
          <w:i w:val="0"/>
        </w:rPr>
        <w:t xml:space="preserve"> Yielding to law, assenting to reasons, and reasons supporting religion have different grammatical subjects and objects</w:t>
      </w:r>
    </w:p>
    <w:p>
      <w:pPr>
        <w:ind w:left="187" w:hanging="187"/>
      </w:pPr>
      <w:r>
        <w:t xml:space="preserve">• </w:t>
      </w:r>
      <w:r>
        <w:rPr>
          <w:b/>
          <w:i w:val="0"/>
        </w:rPr>
        <w:t>Proem.10, PDF 10–11.</w:t>
      </w:r>
      <w:r>
        <w:rPr>
          <w:b w:val="0"/>
          <w:i w:val="0"/>
        </w:rPr>
        <w:t xml:space="preserve"> Human approval is subordinated to divine law’s approval</w:t>
      </w:r>
    </w:p>
    <w:p>
      <w:pPr>
        <w:ind w:left="187" w:hanging="187"/>
      </w:pPr>
      <w:r>
        <w:t xml:space="preserve">• </w:t>
      </w:r>
      <w:r>
        <w:rPr>
          <w:b/>
          <w:i w:val="0"/>
        </w:rPr>
        <w:t>I.1.2, PDF 14–15.</w:t>
      </w:r>
      <w:r>
        <w:rPr>
          <w:b w:val="0"/>
          <w:i w:val="0"/>
        </w:rPr>
        <w:t xml:space="preserve"> </w:t>
      </w:r>
      <w:r>
        <w:rPr>
          <w:b w:val="0"/>
          <w:i/>
        </w:rPr>
        <w:t>Diffidere</w:t>
      </w:r>
      <w:r>
        <w:rPr>
          <w:b w:val="0"/>
          <w:i w:val="0"/>
        </w:rPr>
        <w:t xml:space="preserve"> identifies the distrust the opening exhortation seeks to overcome</w:t>
      </w:r>
    </w:p>
    <w:p>
      <w:pPr>
        <w:keepNext/>
        <w:widowControl/>
      </w:pPr>
      <w:r>
        <w:rPr>
          <w:b/>
          <w:i w:val="0"/>
        </w:rPr>
        <w:t>In this edition.</w:t>
      </w:r>
    </w:p>
    <w:p>
      <w:pPr>
        <w:widowControl/>
      </w:pPr>
      <w:r>
        <w:t>“</w:t>
      </w:r>
      <w:r>
        <w:rPr>
          <w:b w:val="0"/>
          <w:i w:val="0"/>
        </w:rPr>
        <w:t>Assent,</w:t>
      </w:r>
      <w:r>
        <w:t>”</w:t>
      </w:r>
      <w:r>
        <w:rPr>
          <w:b w:val="0"/>
          <w:i w:val="0"/>
        </w:rPr>
        <w:t xml:space="preserve"> </w:t>
      </w:r>
      <w:r>
        <w:t>“</w:t>
      </w:r>
      <w:r>
        <w:rPr>
          <w:b w:val="0"/>
          <w:i w:val="0"/>
        </w:rPr>
        <w:t>yield,</w:t>
      </w:r>
      <w:r>
        <w:t>”</w:t>
      </w:r>
      <w:r>
        <w:rPr>
          <w:b w:val="0"/>
          <w:i w:val="0"/>
        </w:rPr>
        <w:t xml:space="preserve"> </w:t>
      </w:r>
      <w:r>
        <w:t>“</w:t>
      </w:r>
      <w:r>
        <w:rPr>
          <w:b w:val="0"/>
          <w:i w:val="0"/>
        </w:rPr>
        <w:t>support,</w:t>
      </w:r>
      <w:r>
        <w:t>”</w:t>
      </w:r>
      <w:r>
        <w:rPr>
          <w:b w:val="0"/>
          <w:i w:val="0"/>
        </w:rPr>
        <w:t xml:space="preserve"> </w:t>
      </w:r>
      <w:r>
        <w:t>“</w:t>
      </w:r>
      <w:r>
        <w:rPr>
          <w:b w:val="0"/>
          <w:i w:val="0"/>
        </w:rPr>
        <w:t>believe,</w:t>
      </w:r>
      <w:r>
        <w:t>”</w:t>
      </w:r>
      <w:r>
        <w:rPr>
          <w:b w:val="0"/>
          <w:i w:val="0"/>
        </w:rPr>
        <w:t xml:space="preserve"> and </w:t>
      </w:r>
      <w:r>
        <w:t>“</w:t>
      </w:r>
      <w:r>
        <w:rPr>
          <w:b w:val="0"/>
          <w:i w:val="0"/>
        </w:rPr>
        <w:t>approve</w:t>
      </w:r>
      <w:r>
        <w:t>”</w:t>
      </w:r>
      <w:r>
        <w:rPr>
          <w:b w:val="0"/>
          <w:i w:val="0"/>
        </w:rPr>
        <w:t xml:space="preserve"> retain useful distinctions. </w:t>
      </w:r>
      <w:r>
        <w:rPr>
          <w:b w:val="0"/>
          <w:i/>
        </w:rPr>
        <w:t>Probatum</w:t>
      </w:r>
      <w:r>
        <w:rPr>
          <w:b w:val="0"/>
          <w:i w:val="0"/>
        </w:rPr>
        <w:t xml:space="preserve"> in the Proem should not automatically be translated mentally as </w:t>
      </w:r>
      <w:r>
        <w:t>“</w:t>
      </w:r>
      <w:r>
        <w:rPr>
          <w:b w:val="0"/>
          <w:i w:val="0"/>
        </w:rPr>
        <w:t>formally proved</w:t>
      </w:r>
      <w:r>
        <w:t>”</w:t>
      </w:r>
      <w:r>
        <w:rPr>
          <w:b w:val="0"/>
          <w:i w:val="0"/>
        </w:rPr>
        <w:t xml:space="preserve"> just because later </w:t>
      </w:r>
      <w:r>
        <w:rPr>
          <w:b w:val="0"/>
          <w:i/>
        </w:rPr>
        <w:t>probare</w:t>
      </w:r>
      <w:r>
        <w:rPr>
          <w:b w:val="0"/>
          <w:i w:val="0"/>
        </w:rPr>
        <w:t xml:space="preserve"> introduces philosophical demonstrations.</w:t>
      </w:r>
    </w:p>
    <w:p>
      <w:pPr>
        <w:keepNext/>
        <w:widowControl/>
      </w:pPr>
      <w:r>
        <w:rPr>
          <w:b/>
          <w:i w:val="0"/>
        </w:rPr>
        <w:t>See also.</w:t>
      </w:r>
    </w:p>
    <w:p>
      <w:pPr>
        <w:widowControl/>
      </w:pPr>
      <w:hyperlink w:anchor="worship-and-piety">
        <w:r>
          <w:rPr>
            <w:color w:val="000000"/>
          </w:rPr>
          <w:t xml:space="preserve">Worship and piety</w:t>
        </w:r>
      </w:hyperlink>
      <w:r>
        <w:rPr>
          <w:b w:val="0"/>
          <w:i w:val="0"/>
        </w:rPr>
        <w:t xml:space="preserve">; </w:t>
      </w:r>
      <w:hyperlink w:anchor="philosophy-and-theology">
        <w:r>
          <w:rPr>
            <w:color w:val="000000"/>
          </w:rPr>
          <w:t xml:space="preserve">Philosophy and theology</w:t>
        </w:r>
      </w:hyperlink>
      <w:r>
        <w:rPr>
          <w:b w:val="0"/>
          <w:i w:val="0"/>
        </w:rPr>
        <w:t xml:space="preserve">; </w:t>
      </w:r>
      <w:hyperlink w:anchor="proof-signs-and-qualification">
        <w:r>
          <w:rPr>
            <w:color w:val="000000"/>
          </w:rPr>
          <w:t xml:space="preserve">Proof, signs and qualification</w:t>
        </w:r>
      </w:hyperlink>
      <w:r>
        <w:rPr>
          <w:b w:val="0"/>
          <w:i w:val="0"/>
        </w:rPr>
        <w:t>.</w:t>
      </w:r>
    </w:p>
    <w:p>
      <w:bookmarkStart w:id="38" w:name="assertion-report-and-reservation"/>
      <w:pPr>
        <w:pStyle w:val="Heading2"/>
      </w:pPr>
      <w:r>
        <w:rPr>
          <w:b w:val="0"/>
          <w:i w:val="0"/>
        </w:rPr>
        <w:t>Assertion, report, and reservation</w:t>
      </w:r>
      <w:bookmarkEnd w:id="38"/>
    </w:p>
    <w:p>
      <w:pPr>
        <w:keepNext/>
        <w:widowControl/>
      </w:pPr>
      <w:r>
        <w:rPr>
          <w:b/>
          <w:i w:val="0"/>
        </w:rPr>
        <w:t>Latin:</w:t>
      </w:r>
      <w:r>
        <w:rPr>
          <w:b w:val="0"/>
          <w:i w:val="0"/>
        </w:rPr>
        <w:t xml:space="preserve"> </w:t>
      </w:r>
      <w:r>
        <w:rPr>
          <w:b w:val="0"/>
          <w:i/>
        </w:rPr>
        <w:t>placet Platonicis</w:t>
      </w:r>
      <w:r>
        <w:rPr>
          <w:b w:val="0"/>
          <w:i w:val="0"/>
        </w:rPr>
        <w:t xml:space="preserve">, </w:t>
      </w:r>
      <w:r>
        <w:rPr>
          <w:b w:val="0"/>
          <w:i/>
        </w:rPr>
        <w:t>arbitrantur</w:t>
      </w:r>
      <w:r>
        <w:rPr>
          <w:b w:val="0"/>
          <w:i w:val="0"/>
        </w:rPr>
        <w:t xml:space="preserve">, </w:t>
      </w:r>
      <w:r>
        <w:rPr>
          <w:b w:val="0"/>
          <w:i/>
        </w:rPr>
        <w:t>forsitan</w:t>
      </w:r>
      <w:r>
        <w:rPr>
          <w:b w:val="0"/>
          <w:i w:val="0"/>
        </w:rPr>
        <w:t xml:space="preserve">, </w:t>
      </w:r>
      <w:r>
        <w:rPr>
          <w:b w:val="0"/>
          <w:i/>
        </w:rPr>
        <w:t>forte</w:t>
      </w:r>
      <w:r>
        <w:rPr>
          <w:b w:val="0"/>
          <w:i w:val="0"/>
        </w:rPr>
        <w:t xml:space="preserve">, </w:t>
      </w:r>
      <w:r>
        <w:rPr>
          <w:b w:val="0"/>
          <w:i/>
        </w:rPr>
        <w:t>liceat … confabulari</w:t>
      </w:r>
      <w:r>
        <w:rPr>
          <w:b w:val="0"/>
          <w:i w:val="0"/>
        </w:rPr>
        <w:t xml:space="preserve">, </w:t>
      </w:r>
      <w:r>
        <w:rPr>
          <w:b w:val="0"/>
          <w:i/>
        </w:rPr>
        <w:t>ex … opinione narrata</w:t>
      </w:r>
      <w:r>
        <w:rPr>
          <w:b w:val="0"/>
          <w:i w:val="0"/>
        </w:rPr>
        <w:t xml:space="preserve">, </w:t>
      </w:r>
      <w:r>
        <w:rPr>
          <w:b w:val="0"/>
          <w:i/>
        </w:rPr>
        <w:t>tunc demum affirmanda</w:t>
      </w:r>
      <w:r>
        <w:rPr>
          <w:b w:val="0"/>
          <w:i w:val="0"/>
        </w:rPr>
        <w:t xml:space="preserve">, </w:t>
      </w:r>
      <w:r>
        <w:rPr>
          <w:b w:val="0"/>
          <w:i/>
        </w:rPr>
        <w:t>cum … placuerint</w:t>
      </w:r>
      <w:r>
        <w:rPr>
          <w:b w:val="0"/>
          <w:i w:val="0"/>
        </w:rPr>
        <w:t>.</w:t>
      </w:r>
    </w:p>
    <w:p>
      <w:pPr>
        <w:keepNext/>
        <w:widowControl/>
      </w:pPr>
      <w:r>
        <w:rPr>
          <w:b/>
          <w:i w:val="0"/>
        </w:rPr>
        <w:t>The word.</w:t>
      </w:r>
    </w:p>
    <w:p>
      <w:pPr>
        <w:widowControl/>
      </w:pPr>
      <w:r>
        <w:rPr>
          <w:b w:val="0"/>
          <w:i/>
        </w:rPr>
        <w:t>Placere</w:t>
      </w:r>
      <w:r>
        <w:rPr>
          <w:b w:val="0"/>
          <w:i w:val="0"/>
        </w:rPr>
        <w:t xml:space="preserve"> can mean finding a view acceptable, not simply enjoying it; </w:t>
      </w:r>
      <w:r>
        <w:rPr>
          <w:b w:val="0"/>
          <w:i/>
        </w:rPr>
        <w:t>arbitrari</w:t>
      </w:r>
      <w:r>
        <w:rPr>
          <w:b w:val="0"/>
          <w:i w:val="0"/>
        </w:rPr>
        <w:t xml:space="preserve"> judges or holds; </w:t>
      </w:r>
      <w:r>
        <w:rPr>
          <w:b w:val="0"/>
          <w:i/>
        </w:rPr>
        <w:t>narrare</w:t>
      </w:r>
      <w:r>
        <w:rPr>
          <w:b w:val="0"/>
          <w:i w:val="0"/>
        </w:rPr>
        <w:t xml:space="preserve"> relates an account. </w:t>
      </w:r>
      <w:r>
        <w:rPr>
          <w:b w:val="0"/>
          <w:i/>
        </w:rPr>
        <w:t>Forsitan</w:t>
      </w:r>
      <w:r>
        <w:rPr>
          <w:b w:val="0"/>
          <w:i w:val="0"/>
        </w:rPr>
        <w:t xml:space="preserve"> and </w:t>
      </w:r>
      <w:r>
        <w:rPr>
          <w:b w:val="0"/>
          <w:i/>
        </w:rPr>
        <w:t>forte</w:t>
      </w:r>
      <w:r>
        <w:rPr>
          <w:b w:val="0"/>
          <w:i w:val="0"/>
        </w:rPr>
        <w:t xml:space="preserve"> qualify a claim as possible or tentative. </w:t>
      </w:r>
      <w:r>
        <w:rPr>
          <w:b w:val="0"/>
          <w:i/>
        </w:rPr>
        <w:t>Affirmanda</w:t>
      </w:r>
      <w:r>
        <w:rPr>
          <w:b w:val="0"/>
          <w:i w:val="0"/>
        </w:rPr>
        <w:t xml:space="preserve"> marks what is to be affirmed, and </w:t>
      </w:r>
      <w:r>
        <w:rPr>
          <w:b w:val="0"/>
          <w:i/>
        </w:rPr>
        <w:t>tunc demum … cum</w:t>
      </w:r>
      <w:r>
        <w:rPr>
          <w:b w:val="0"/>
          <w:i w:val="0"/>
        </w:rPr>
        <w:t xml:space="preserve"> restricts affirmation to the fulfillment of a condition.</w:t>
      </w:r>
    </w:p>
    <w:p>
      <w:pPr>
        <w:keepNext/>
        <w:widowControl/>
      </w:pPr>
      <w:r>
        <w:rPr>
          <w:b/>
          <w:i w:val="0"/>
        </w:rPr>
        <w:t>In the Platonic Theology.</w:t>
      </w:r>
    </w:p>
    <w:p>
      <w:pPr>
        <w:widowControl/>
      </w:pPr>
      <w:r>
        <w:rPr>
          <w:b w:val="0"/>
          <w:i w:val="0"/>
        </w:rPr>
        <w:t xml:space="preserve">Book IV often reconstructs what the Platonists will reply or hold. These formulas locate an argument within an attributed philosophical account even where Ficino develops it forcefully. A temporary conversation with the Pythagoreans is expressly opened and closed. Its twelvefold scheme cannot be treated as an unmarked continuation at exactly the same evidential level; </w:t>
      </w:r>
      <w:r>
        <w:t>“</w:t>
      </w:r>
      <w:r>
        <w:rPr>
          <w:b w:val="0"/>
          <w:i w:val="0"/>
        </w:rPr>
        <w:t>perhaps</w:t>
      </w:r>
      <w:r>
        <w:t>”</w:t>
      </w:r>
      <w:r>
        <w:rPr>
          <w:b w:val="0"/>
          <w:i w:val="0"/>
        </w:rPr>
        <w:t xml:space="preserve"> further qualifies the twelve ruling minds. Earlier </w:t>
      </w:r>
      <w:r>
        <w:rPr>
          <w:b w:val="0"/>
          <w:i/>
        </w:rPr>
        <w:t>forsitan</w:t>
      </w:r>
      <w:r>
        <w:rPr>
          <w:b w:val="0"/>
          <w:i w:val="0"/>
        </w:rPr>
        <w:t xml:space="preserve"> allows some multiplicity immediately from unity without conceding the immediate production of destructive contraries.</w:t>
      </w:r>
    </w:p>
    <w:p>
      <w:pPr>
        <w:widowControl/>
      </w:pPr>
      <w:r>
        <w:rPr>
          <w:b w:val="0"/>
          <w:i w:val="0"/>
        </w:rPr>
        <w:t xml:space="preserve">The chapter’s concluding reservation has wider scope than a minor aside. Everything related concerning sphere-souls according to the Platonists’ opinion is to be affirmed only after careful examination and approval by Christian theologians. The condition is not reported as already fulfilled. The final </w:t>
      </w:r>
      <w:r>
        <w:rPr>
          <w:b w:val="0"/>
          <w:i/>
        </w:rPr>
        <w:t>Epinomis</w:t>
      </w:r>
      <w:r>
        <w:rPr>
          <w:b w:val="0"/>
          <w:i w:val="0"/>
        </w:rPr>
        <w:t xml:space="preserve"> quotation itself leaves two alternatives: a soul present to each body or dwelling within it. Strong arguments, reports, tentative numerical elaboration, and conditional doctrinal endorsement therefore coexist. They must remain distinct.</w:t>
      </w:r>
    </w:p>
    <w:p>
      <w:pPr>
        <w:keepNext/>
        <w:widowControl/>
      </w:pPr>
      <w:r>
        <w:rPr>
          <w:b/>
          <w:i w:val="0"/>
        </w:rPr>
        <w:t>The places.</w:t>
      </w:r>
    </w:p>
    <w:p>
      <w:pPr>
        <w:ind w:left="187" w:hanging="187"/>
      </w:pPr>
      <w:r>
        <w:t xml:space="preserve">• </w:t>
      </w:r>
      <w:r>
        <w:rPr>
          <w:b/>
          <w:i w:val="0"/>
        </w:rPr>
        <w:t>IV.1.23 and IV.1.33, PDF pp. 292–299:</w:t>
      </w:r>
      <w:r>
        <w:rPr>
          <w:b w:val="0"/>
          <w:i w:val="0"/>
        </w:rPr>
        <w:t xml:space="preserve"> a tentative possibility and an explicitly Platonic causal hierarchy</w:t>
      </w:r>
    </w:p>
    <w:p>
      <w:pPr>
        <w:ind w:left="187" w:hanging="187"/>
      </w:pPr>
      <w:r>
        <w:t xml:space="preserve">• </w:t>
      </w:r>
      <w:r>
        <w:rPr>
          <w:b/>
          <w:i w:val="0"/>
        </w:rPr>
        <w:t>IV.1.40–52, pp. 302–309:</w:t>
      </w:r>
      <w:r>
        <w:rPr>
          <w:b w:val="0"/>
          <w:i w:val="0"/>
        </w:rPr>
        <w:t xml:space="preserve"> the marked Pythagorean conversation, its qualified twelve minds, and its closure</w:t>
      </w:r>
    </w:p>
    <w:p>
      <w:pPr>
        <w:ind w:left="187" w:hanging="187"/>
      </w:pPr>
      <w:r>
        <w:t xml:space="preserve">• </w:t>
      </w:r>
      <w:r>
        <w:rPr>
          <w:b/>
          <w:i w:val="0"/>
        </w:rPr>
        <w:t>IV.1.88–91, pp. 328–329:</w:t>
      </w:r>
      <w:r>
        <w:rPr>
          <w:b w:val="0"/>
          <w:i w:val="0"/>
        </w:rPr>
        <w:t xml:space="preserve"> differing Peripatetic positions and a reconstructed Platonic response</w:t>
      </w:r>
    </w:p>
    <w:p>
      <w:pPr>
        <w:ind w:left="187" w:hanging="187"/>
      </w:pPr>
      <w:r>
        <w:t xml:space="preserve">• </w:t>
      </w:r>
      <w:r>
        <w:rPr>
          <w:b/>
          <w:i w:val="0"/>
        </w:rPr>
        <w:t>IV.1.96, pp. 332–333:</w:t>
      </w:r>
      <w:r>
        <w:rPr>
          <w:b w:val="0"/>
          <w:i w:val="0"/>
        </w:rPr>
        <w:t xml:space="preserve"> conditional theological affirmation and the presence/indwelling alternative</w:t>
      </w:r>
    </w:p>
    <w:p>
      <w:pPr>
        <w:ind w:left="187" w:hanging="187"/>
      </w:pPr>
      <w:r>
        <w:t xml:space="preserve">• </w:t>
      </w:r>
      <w:r>
        <w:rPr>
          <w:b/>
          <w:i w:val="0"/>
        </w:rPr>
        <w:t>IV.2.12, pp. 340–341:</w:t>
      </w:r>
      <w:r>
        <w:rPr>
          <w:b w:val="0"/>
          <w:i w:val="0"/>
        </w:rPr>
        <w:t xml:space="preserve"> Ficino’s own </w:t>
      </w:r>
      <w:r>
        <w:t>“</w:t>
      </w:r>
      <w:r>
        <w:rPr>
          <w:b w:val="0"/>
          <w:i w:val="0"/>
        </w:rPr>
        <w:t>I believe</w:t>
      </w:r>
      <w:r>
        <w:t>”</w:t>
      </w:r>
      <w:r>
        <w:rPr>
          <w:b w:val="0"/>
          <w:i w:val="0"/>
        </w:rPr>
        <w:t xml:space="preserve"> regarding Proteus is distinguished from recurrence claims assigned to Zoroaster and others</w:t>
      </w:r>
    </w:p>
    <w:p>
      <w:pPr>
        <w:keepNext/>
        <w:widowControl/>
      </w:pPr>
      <w:r>
        <w:rPr>
          <w:b/>
          <w:i w:val="0"/>
        </w:rPr>
        <w:t>In this edition.</w:t>
      </w:r>
    </w:p>
    <w:p>
      <w:pPr>
        <w:widowControl/>
      </w:pPr>
      <w:r>
        <w:t>“</w:t>
      </w:r>
      <w:r>
        <w:rPr>
          <w:b w:val="0"/>
          <w:i w:val="0"/>
        </w:rPr>
        <w:t>Only when</w:t>
      </w:r>
      <w:r>
        <w:t>”</w:t>
      </w:r>
      <w:r>
        <w:rPr>
          <w:b w:val="0"/>
          <w:i w:val="0"/>
        </w:rPr>
        <w:t xml:space="preserve"> at IV.1.96 translates the restrictive </w:t>
      </w:r>
      <w:r>
        <w:rPr>
          <w:b w:val="0"/>
          <w:i/>
        </w:rPr>
        <w:t>tunc demum … cum</w:t>
      </w:r>
      <w:r>
        <w:rPr>
          <w:b w:val="0"/>
          <w:i w:val="0"/>
        </w:rPr>
        <w:t>. The English does not say that approval has occurred. The article’s title is an analytical finding aid, not a technical phrase coined by Ficino.</w:t>
      </w:r>
    </w:p>
    <w:p>
      <w:pPr>
        <w:keepNext/>
        <w:widowControl/>
      </w:pPr>
      <w:r>
        <w:rPr>
          <w:b/>
          <w:i w:val="0"/>
        </w:rPr>
        <w:t>See also.</w:t>
      </w:r>
    </w:p>
    <w:p>
      <w:pPr>
        <w:widowControl/>
      </w:pPr>
      <w:hyperlink w:anchor="philosophy-and-theology">
        <w:r>
          <w:rPr>
            <w:color w:val="000000"/>
          </w:rPr>
          <w:t xml:space="preserve">Philosophy and theology</w:t>
        </w:r>
      </w:hyperlink>
      <w:r>
        <w:rPr>
          <w:b w:val="0"/>
          <w:i w:val="0"/>
        </w:rPr>
        <w:t xml:space="preserve">; </w:t>
      </w:r>
      <w:hyperlink w:anchor="twelve">
        <w:r>
          <w:rPr>
            <w:color w:val="000000"/>
          </w:rPr>
          <w:t xml:space="preserve">Twelve</w:t>
        </w:r>
      </w:hyperlink>
      <w:r>
        <w:rPr>
          <w:b w:val="0"/>
          <w:i w:val="0"/>
        </w:rPr>
        <w:t xml:space="preserve">; </w:t>
      </w:r>
      <w:hyperlink w:anchor="indwelling-and-presence">
        <w:r>
          <w:rPr>
            <w:color w:val="000000"/>
          </w:rPr>
          <w:t xml:space="preserve">Indwelling and presence</w:t>
        </w:r>
      </w:hyperlink>
      <w:r>
        <w:rPr>
          <w:b w:val="0"/>
          <w:i w:val="0"/>
        </w:rPr>
        <w:t xml:space="preserve">; </w:t>
      </w:r>
      <w:hyperlink w:anchor="great-year">
        <w:r>
          <w:rPr>
            <w:color w:val="000000"/>
          </w:rPr>
          <w:t xml:space="preserve">Great year</w:t>
        </w:r>
      </w:hyperlink>
      <w:r>
        <w:rPr>
          <w:b w:val="0"/>
          <w:i w:val="0"/>
        </w:rPr>
        <w:t>.</w:t>
      </w:r>
    </w:p>
    <w:p>
      <w:bookmarkStart w:id="39" w:name="augustine-and-christian-proximity"/>
      <w:pPr>
        <w:pStyle w:val="Heading2"/>
      </w:pPr>
      <w:r>
        <w:rPr>
          <w:b w:val="0"/>
          <w:i w:val="0"/>
        </w:rPr>
        <w:t>Augustine and Christian proximity</w:t>
      </w:r>
      <w:bookmarkEnd w:id="39"/>
    </w:p>
    <w:p>
      <w:pPr>
        <w:keepNext/>
        <w:widowControl/>
      </w:pPr>
      <w:r>
        <w:rPr>
          <w:b/>
          <w:i w:val="0"/>
        </w:rPr>
        <w:t>Latin:</w:t>
      </w:r>
      <w:r>
        <w:rPr>
          <w:b w:val="0"/>
          <w:i w:val="0"/>
        </w:rPr>
        <w:t xml:space="preserve"> </w:t>
      </w:r>
      <w:r>
        <w:rPr>
          <w:b w:val="0"/>
          <w:i/>
        </w:rPr>
        <w:t>Aurelius Augustinus</w:t>
      </w:r>
      <w:r>
        <w:rPr>
          <w:b w:val="0"/>
          <w:i w:val="0"/>
        </w:rPr>
        <w:t xml:space="preserve">; </w:t>
      </w:r>
      <w:r>
        <w:rPr>
          <w:b w:val="0"/>
          <w:i/>
        </w:rPr>
        <w:t>Aureliana auctoritate</w:t>
      </w:r>
      <w:r>
        <w:rPr>
          <w:b w:val="0"/>
          <w:i w:val="0"/>
        </w:rPr>
        <w:t xml:space="preserve">; </w:t>
      </w:r>
      <w:r>
        <w:rPr>
          <w:b w:val="0"/>
          <w:i/>
        </w:rPr>
        <w:t>Christianae veritati</w:t>
      </w:r>
      <w:r>
        <w:rPr>
          <w:b w:val="0"/>
          <w:i w:val="0"/>
        </w:rPr>
        <w:t xml:space="preserve">; </w:t>
      </w:r>
      <w:r>
        <w:rPr>
          <w:b w:val="0"/>
          <w:i/>
        </w:rPr>
        <w:t>mutatis paucis</w:t>
      </w:r>
      <w:r>
        <w:rPr>
          <w:b w:val="0"/>
          <w:i w:val="0"/>
        </w:rPr>
        <w:t xml:space="preserve">; </w:t>
      </w:r>
      <w:r>
        <w:rPr>
          <w:b w:val="0"/>
          <w:i/>
        </w:rPr>
        <w:t>simillimum</w:t>
      </w:r>
      <w:r>
        <w:rPr>
          <w:b w:val="0"/>
          <w:i w:val="0"/>
        </w:rPr>
        <w:t>.</w:t>
      </w:r>
    </w:p>
    <w:p>
      <w:pPr>
        <w:keepNext/>
        <w:widowControl/>
      </w:pPr>
      <w:r>
        <w:rPr>
          <w:b/>
          <w:i w:val="0"/>
        </w:rPr>
        <w:t>The word.</w:t>
      </w:r>
    </w:p>
    <w:p>
      <w:pPr>
        <w:widowControl/>
      </w:pPr>
      <w:r>
        <w:rPr>
          <w:b w:val="0"/>
          <w:i/>
        </w:rPr>
        <w:t>Aureliana</w:t>
      </w:r>
      <w:r>
        <w:rPr>
          <w:b w:val="0"/>
          <w:i w:val="0"/>
        </w:rPr>
        <w:t xml:space="preserve"> is an adjective referring back to Aurelius Augustine in the preceding unit. </w:t>
      </w:r>
      <w:r>
        <w:rPr>
          <w:b w:val="0"/>
          <w:i/>
        </w:rPr>
        <w:t>Proximus</w:t>
      </w:r>
      <w:r>
        <w:rPr>
          <w:b w:val="0"/>
          <w:i w:val="0"/>
        </w:rPr>
        <w:t xml:space="preserve"> and </w:t>
      </w:r>
      <w:r>
        <w:rPr>
          <w:b w:val="0"/>
          <w:i/>
        </w:rPr>
        <w:t>simillimus</w:t>
      </w:r>
      <w:r>
        <w:rPr>
          <w:b w:val="0"/>
          <w:i w:val="0"/>
        </w:rPr>
        <w:t xml:space="preserve"> indicate nearness and very close likeness; neither means identity. </w:t>
      </w:r>
      <w:r>
        <w:rPr>
          <w:b w:val="0"/>
          <w:i/>
        </w:rPr>
        <w:t>Mutatis paucis</w:t>
      </w:r>
      <w:r>
        <w:rPr>
          <w:b w:val="0"/>
          <w:i w:val="0"/>
        </w:rPr>
        <w:t xml:space="preserve"> means </w:t>
      </w:r>
      <w:r>
        <w:t>“</w:t>
      </w:r>
      <w:r>
        <w:rPr>
          <w:b w:val="0"/>
          <w:i w:val="0"/>
        </w:rPr>
        <w:t>with a few things changed,</w:t>
      </w:r>
      <w:r>
        <w:t>”</w:t>
      </w:r>
      <w:r>
        <w:rPr>
          <w:b w:val="0"/>
          <w:i w:val="0"/>
        </w:rPr>
        <w:t xml:space="preserve"> leaving a qualification within the reported judgement.</w:t>
      </w:r>
    </w:p>
    <w:p>
      <w:pPr>
        <w:keepNext/>
        <w:widowControl/>
      </w:pPr>
      <w:r>
        <w:rPr>
          <w:b/>
          <w:i w:val="0"/>
        </w:rPr>
        <w:t>In the Platonic Theology.</w:t>
      </w:r>
    </w:p>
    <w:p>
      <w:pPr>
        <w:widowControl/>
      </w:pPr>
      <w:r>
        <w:rPr>
          <w:b w:val="0"/>
          <w:i w:val="0"/>
        </w:rPr>
        <w:t xml:space="preserve">Ficino invokes Augustine as warrant for treating Plato as the philosopher nearest Christian truth and as a model to imitate. He then describes his own undertaking as fashioning a likeness of Plato as close as possible to that truth. The movement from </w:t>
      </w:r>
      <w:r>
        <w:rPr>
          <w:b w:val="0"/>
          <w:i/>
        </w:rPr>
        <w:t>proximus</w:t>
      </w:r>
      <w:r>
        <w:rPr>
          <w:b w:val="0"/>
          <w:i w:val="0"/>
        </w:rPr>
        <w:t xml:space="preserve"> to </w:t>
      </w:r>
      <w:r>
        <w:rPr>
          <w:b w:val="0"/>
          <w:i/>
        </w:rPr>
        <w:t>simillimum</w:t>
      </w:r>
      <w:r>
        <w:rPr>
          <w:b w:val="0"/>
          <w:i w:val="0"/>
        </w:rPr>
        <w:t xml:space="preserve"> is consequential: the first is a judgement attributed to Augustine; the second identifies Ficino’s constructive aim. The Proem does not merely claim to reproduce Plato without mediation. Nor does the phrase about changing a few things enumerate the changes or establish that every Platonic doctrine has been accepted. Ficino’s final submission to divine law gives the project a stated standard of approval.</w:t>
      </w:r>
    </w:p>
    <w:p>
      <w:pPr>
        <w:keepNext/>
        <w:widowControl/>
      </w:pPr>
      <w:r>
        <w:rPr>
          <w:b/>
          <w:i w:val="0"/>
        </w:rPr>
        <w:t>The places.</w:t>
      </w:r>
    </w:p>
    <w:p>
      <w:pPr>
        <w:ind w:left="187" w:hanging="187"/>
      </w:pPr>
      <w:r>
        <w:t xml:space="preserve">• </w:t>
      </w:r>
      <w:r>
        <w:rPr>
          <w:b/>
          <w:i w:val="0"/>
        </w:rPr>
        <w:t>Proem.6, PDF 8–9.</w:t>
      </w:r>
      <w:r>
        <w:rPr>
          <w:b w:val="0"/>
          <w:i w:val="0"/>
        </w:rPr>
        <w:t xml:space="preserve"> Augustine’s reported judgement and its </w:t>
      </w:r>
      <w:r>
        <w:t>“</w:t>
      </w:r>
      <w:r>
        <w:rPr>
          <w:b w:val="0"/>
          <w:i w:val="0"/>
        </w:rPr>
        <w:t>few changes</w:t>
      </w:r>
      <w:r>
        <w:t>”</w:t>
      </w:r>
      <w:r>
        <w:rPr>
          <w:b w:val="0"/>
          <w:i w:val="0"/>
        </w:rPr>
        <w:t xml:space="preserve"> qualification</w:t>
      </w:r>
    </w:p>
    <w:p>
      <w:pPr>
        <w:ind w:left="187" w:hanging="187"/>
      </w:pPr>
      <w:r>
        <w:t xml:space="preserve">• </w:t>
      </w:r>
      <w:r>
        <w:rPr>
          <w:b/>
          <w:i w:val="0"/>
        </w:rPr>
        <w:t>Proem.7, PDF 8–9.</w:t>
      </w:r>
      <w:r>
        <w:rPr>
          <w:b w:val="0"/>
          <w:i w:val="0"/>
        </w:rPr>
        <w:t xml:space="preserve"> Ficino relies on that authority in constructing his likeness of Plato</w:t>
      </w:r>
    </w:p>
    <w:p>
      <w:pPr>
        <w:ind w:left="187" w:hanging="187"/>
      </w:pPr>
      <w:r>
        <w:t xml:space="preserve">• </w:t>
      </w:r>
      <w:r>
        <w:rPr>
          <w:b/>
          <w:i w:val="0"/>
        </w:rPr>
        <w:t>Proem.10, PDF 10–11.</w:t>
      </w:r>
      <w:r>
        <w:rPr>
          <w:b w:val="0"/>
          <w:i w:val="0"/>
        </w:rPr>
        <w:t xml:space="preserve"> The resulting work is expressly subjected to divine law</w:t>
      </w:r>
    </w:p>
    <w:p>
      <w:pPr>
        <w:keepNext/>
        <w:widowControl/>
      </w:pPr>
      <w:r>
        <w:rPr>
          <w:b/>
          <w:i w:val="0"/>
        </w:rPr>
        <w:t>In this edition.</w:t>
      </w:r>
    </w:p>
    <w:p>
      <w:pPr>
        <w:widowControl/>
      </w:pPr>
      <w:r>
        <w:t>“</w:t>
      </w:r>
      <w:r>
        <w:rPr>
          <w:b w:val="0"/>
          <w:i w:val="0"/>
        </w:rPr>
        <w:t>Augustine’s authority</w:t>
      </w:r>
      <w:r>
        <w:t>”</w:t>
      </w:r>
      <w:r>
        <w:rPr>
          <w:b w:val="0"/>
          <w:i w:val="0"/>
        </w:rPr>
        <w:t xml:space="preserve"> correctly resolves the compressed </w:t>
      </w:r>
      <w:r>
        <w:rPr>
          <w:b w:val="0"/>
          <w:i/>
        </w:rPr>
        <w:t>Aureliana auctoritate</w:t>
      </w:r>
      <w:r>
        <w:rPr>
          <w:b w:val="0"/>
          <w:i w:val="0"/>
        </w:rPr>
        <w:t xml:space="preserve">. </w:t>
      </w:r>
      <w:r>
        <w:t>“</w:t>
      </w:r>
      <w:r>
        <w:rPr>
          <w:b w:val="0"/>
          <w:i w:val="0"/>
        </w:rPr>
        <w:t>A certain likeness</w:t>
      </w:r>
      <w:r>
        <w:t>”</w:t>
      </w:r>
      <w:r>
        <w:rPr>
          <w:b w:val="0"/>
          <w:i w:val="0"/>
        </w:rPr>
        <w:t xml:space="preserve"> preserves </w:t>
      </w:r>
      <w:r>
        <w:rPr>
          <w:b w:val="0"/>
          <w:i/>
        </w:rPr>
        <w:t>simulacrum quoddam</w:t>
      </w:r>
      <w:r>
        <w:rPr>
          <w:b w:val="0"/>
          <w:i w:val="0"/>
        </w:rPr>
        <w:t>: the noun need not mean a deceptive counterfeit in this passage. This article explains Ficino’s report; it does not claim independent verification of Augustine’s wording or its original location.</w:t>
      </w:r>
    </w:p>
    <w:p>
      <w:pPr>
        <w:keepNext/>
        <w:widowControl/>
      </w:pPr>
      <w:r>
        <w:rPr>
          <w:b/>
          <w:i w:val="0"/>
        </w:rPr>
        <w:t>See also.</w:t>
      </w:r>
    </w:p>
    <w:p>
      <w:pPr>
        <w:widowControl/>
      </w:pPr>
      <w:hyperlink w:anchor="image-and-likeness">
        <w:r>
          <w:rPr>
            <w:color w:val="000000"/>
          </w:rPr>
          <w:t xml:space="preserve">Image and likeness</w:t>
        </w:r>
      </w:hyperlink>
      <w:r>
        <w:rPr>
          <w:b w:val="0"/>
          <w:i w:val="0"/>
        </w:rPr>
        <w:t xml:space="preserve">; </w:t>
      </w:r>
      <w:hyperlink w:anchor="philosophy-and-theology">
        <w:r>
          <w:rPr>
            <w:color w:val="000000"/>
          </w:rPr>
          <w:t xml:space="preserve">Philosophy and theology</w:t>
        </w:r>
      </w:hyperlink>
      <w:r>
        <w:rPr>
          <w:b w:val="0"/>
          <w:i w:val="0"/>
        </w:rPr>
        <w:t xml:space="preserve">; </w:t>
      </w:r>
      <w:hyperlink w:anchor="assent-approval-and-belief">
        <w:r>
          <w:rPr>
            <w:color w:val="000000"/>
          </w:rPr>
          <w:t xml:space="preserve">Assent, approval and belief</w:t>
        </w:r>
      </w:hyperlink>
      <w:r>
        <w:rPr>
          <w:b w:val="0"/>
          <w:i w:val="0"/>
        </w:rPr>
        <w:t>.</w:t>
      </w:r>
    </w:p>
    <w:p>
      <w:bookmarkStart w:id="40" w:name="bacchus-and-the-muses"/>
      <w:pPr>
        <w:pStyle w:val="Heading2"/>
      </w:pPr>
      <w:r>
        <w:rPr>
          <w:b w:val="0"/>
          <w:i w:val="0"/>
        </w:rPr>
        <w:t>Bacchus and the Muses</w:t>
      </w:r>
      <w:bookmarkEnd w:id="40"/>
    </w:p>
    <w:p>
      <w:pPr>
        <w:keepNext/>
        <w:widowControl/>
      </w:pPr>
      <w:r>
        <w:rPr>
          <w:b/>
          <w:i w:val="0"/>
        </w:rPr>
        <w:t>Latin:</w:t>
      </w:r>
      <w:r>
        <w:rPr>
          <w:b w:val="0"/>
          <w:i w:val="0"/>
        </w:rPr>
        <w:t xml:space="preserve"> </w:t>
      </w:r>
      <w:r>
        <w:rPr>
          <w:b w:val="0"/>
          <w:i/>
        </w:rPr>
        <w:t>Bacchus</w:t>
      </w:r>
      <w:r>
        <w:rPr>
          <w:b w:val="0"/>
          <w:i w:val="0"/>
        </w:rPr>
        <w:t xml:space="preserve">; </w:t>
      </w:r>
      <w:r>
        <w:rPr>
          <w:b w:val="0"/>
          <w:i/>
        </w:rPr>
        <w:t>Musae</w:t>
      </w:r>
      <w:r>
        <w:rPr>
          <w:b w:val="0"/>
          <w:i w:val="0"/>
        </w:rPr>
        <w:t xml:space="preserve">; </w:t>
      </w:r>
      <w:r>
        <w:rPr>
          <w:b w:val="0"/>
          <w:i/>
        </w:rPr>
        <w:t>vis gemina</w:t>
      </w:r>
      <w:r>
        <w:rPr>
          <w:b w:val="0"/>
          <w:i w:val="0"/>
        </w:rPr>
        <w:t xml:space="preserve">; </w:t>
      </w:r>
      <w:r>
        <w:rPr>
          <w:b w:val="0"/>
          <w:i/>
        </w:rPr>
        <w:t>cognoscendo</w:t>
      </w:r>
      <w:r>
        <w:rPr>
          <w:b w:val="0"/>
          <w:i w:val="0"/>
        </w:rPr>
        <w:t xml:space="preserve">; </w:t>
      </w:r>
      <w:r>
        <w:rPr>
          <w:b w:val="0"/>
          <w:i/>
        </w:rPr>
        <w:t>vivificando atque regendo</w:t>
      </w:r>
    </w:p>
    <w:p>
      <w:pPr>
        <w:keepNext/>
        <w:widowControl/>
      </w:pPr>
      <w:r>
        <w:rPr>
          <w:b/>
          <w:i w:val="0"/>
        </w:rPr>
        <w:t>The word.</w:t>
      </w:r>
    </w:p>
    <w:p>
      <w:pPr>
        <w:widowControl/>
      </w:pPr>
      <w:r>
        <w:rPr>
          <w:b w:val="0"/>
          <w:i w:val="0"/>
        </w:rPr>
        <w:t>The paired names identify knowing and life-giving powers within cosmic souls. Vis gemina means a twofold power; cognoscendo and vivificando atque regendo specify its distinct activities.</w:t>
      </w:r>
    </w:p>
    <w:p>
      <w:pPr>
        <w:widowControl/>
      </w:pPr>
      <w:r>
        <w:rPr>
          <w:b w:val="0"/>
          <w:i w:val="0"/>
        </w:rPr>
        <w:t xml:space="preserve">The local vocabulary includes </w:t>
      </w:r>
      <w:r>
        <w:rPr>
          <w:b w:val="0"/>
          <w:i/>
        </w:rPr>
        <w:t>nectare ebriae</w:t>
      </w:r>
      <w:r>
        <w:rPr>
          <w:b w:val="0"/>
          <w:i w:val="0"/>
        </w:rPr>
        <w:t xml:space="preserve">, </w:t>
      </w:r>
      <w:r>
        <w:rPr>
          <w:b w:val="0"/>
          <w:i/>
        </w:rPr>
        <w:t>debacchantur</w:t>
      </w:r>
      <w:r>
        <w:rPr>
          <w:b w:val="0"/>
          <w:i w:val="0"/>
        </w:rPr>
        <w:t xml:space="preserve">, </w:t>
      </w:r>
      <w:r>
        <w:rPr>
          <w:b w:val="0"/>
          <w:i/>
        </w:rPr>
        <w:t>chorea</w:t>
      </w:r>
      <w:r>
        <w:rPr>
          <w:b w:val="0"/>
          <w:i w:val="0"/>
        </w:rPr>
        <w:t xml:space="preserve">, </w:t>
      </w:r>
      <w:r>
        <w:rPr>
          <w:b w:val="0"/>
          <w:i/>
        </w:rPr>
        <w:t>modulis</w:t>
      </w:r>
      <w:r>
        <w:rPr>
          <w:b w:val="0"/>
          <w:i w:val="0"/>
        </w:rPr>
        <w:t xml:space="preserve">, </w:t>
      </w:r>
      <w:r>
        <w:rPr>
          <w:b w:val="0"/>
          <w:i/>
        </w:rPr>
        <w:t>cithara</w:t>
      </w:r>
      <w:r>
        <w:rPr>
          <w:b w:val="0"/>
          <w:i w:val="0"/>
        </w:rPr>
        <w:t xml:space="preserve">, </w:t>
      </w:r>
      <w:r>
        <w:rPr>
          <w:b w:val="0"/>
          <w:i/>
        </w:rPr>
        <w:t>temperas</w:t>
      </w:r>
      <w:r>
        <w:rPr>
          <w:b w:val="0"/>
          <w:i w:val="0"/>
        </w:rPr>
        <w:t>. Intoxication, reveling, dancing chorus, musical measures, lyre, and tuning provide a connected expressive vocabulary without making all its words literal bodily activities of incorporeal powers.</w:t>
      </w:r>
    </w:p>
    <w:p>
      <w:pPr>
        <w:keepNext/>
        <w:widowControl/>
      </w:pPr>
      <w:r>
        <w:rPr>
          <w:b/>
          <w:i w:val="0"/>
        </w:rPr>
        <w:t>In the Platonic Theology.</w:t>
      </w:r>
    </w:p>
    <w:p>
      <w:pPr>
        <w:widowControl/>
      </w:pPr>
      <w:r>
        <w:rPr>
          <w:b w:val="0"/>
          <w:i w:val="0"/>
        </w:rPr>
        <w:t>Ficino reports an Orphic naming scheme in which each cosmic soul has a knowing power and a bodily life-giving and governing power. In the four elements the pairs are Pluto/Proserpina, Oceanus/Thetis, Jupiter the Thunderer/Juno, and Phanetas/Aurora. For the lunar sphere through the eighth sphere, the pairs are Bacchus Licnitus/Thalia, Bacchus Silenus/Euterpe, Lysius/Erato, Trietericus/Melpomene, Bassareus/Clio, Sabasius/Terpsichore, Amphietus/Polyhymnia, and Pericionius/Urania. World-soul has Bacchus Eribromus/Calliope. The subsequent image of the Muses drunk with divine knowledge explains the relation: their powers receive the higher knowing power’s nectar. These names thus serve as a vocabulary of coordinated functions rather than a collection of disconnected mythological characters. The edition retains Ficino’s source spellings while giving conventional nominatives in English; it does not warrant silently equating every epithet with a modern reconstruction of an ancient cult name. The nine Bacchuses and nine Muses include the world-soul pair.</w:t>
      </w:r>
    </w:p>
    <w:p>
      <w:pPr>
        <w:widowControl/>
      </w:pPr>
      <w:r>
        <w:rPr>
          <w:b w:val="0"/>
          <w:i w:val="0"/>
        </w:rPr>
        <w:t>Two musical scenes should remain distinct. IV.1.52 closes the Pythagorean hierarchy with the Muses’ perpetual singing and dancing at Apollo’s command. IV.1.94–95 assigns paired names to the knowing and animating powers of sphere-souls, then says that each Muse’s power is drunk with the nectar of divine knowledge supplied under its Bacchus. The subsequent revel around the invisible sun’s splendor explains dependence and coordination through ecstatic imagery. It does not equate knowledge with ordinary alcoholic intoxication. The pairs also have different spheres and must not be moved from one list to another because a divine name recurs.</w:t>
      </w:r>
    </w:p>
    <w:p>
      <w:pPr>
        <w:keepNext/>
        <w:widowControl/>
      </w:pPr>
      <w:r>
        <w:rPr>
          <w:b/>
          <w:i w:val="0"/>
        </w:rPr>
        <w:t>The places.</w:t>
      </w:r>
    </w:p>
    <w:p>
      <w:pPr>
        <w:ind w:left="187" w:hanging="187"/>
      </w:pPr>
      <w:r>
        <w:t xml:space="preserve">• </w:t>
      </w:r>
      <w:r>
        <w:rPr>
          <w:b/>
          <w:i w:val="0"/>
        </w:rPr>
        <w:t>IV.1.94, PDF 330–331</w:t>
      </w:r>
      <w:r>
        <w:rPr>
          <w:b w:val="0"/>
          <w:i w:val="0"/>
        </w:rPr>
        <w:t>. The Orphic naming scheme maps two powers across elements, eight heavens and world-soul.</w:t>
      </w:r>
    </w:p>
    <w:p>
      <w:pPr>
        <w:ind w:left="187" w:hanging="187"/>
      </w:pPr>
      <w:r>
        <w:t xml:space="preserve">• </w:t>
      </w:r>
      <w:r>
        <w:rPr>
          <w:b/>
          <w:i w:val="0"/>
        </w:rPr>
        <w:t>IV.1.95, PDF 332–333</w:t>
      </w:r>
      <w:r>
        <w:rPr>
          <w:b w:val="0"/>
          <w:i w:val="0"/>
        </w:rPr>
        <w:t>. Nectar and intoxication portray the lower powers’ reception of higher divine knowledge.</w:t>
      </w:r>
    </w:p>
    <w:p>
      <w:pPr>
        <w:widowControl/>
      </w:pPr>
      <w:r>
        <w:rPr>
          <w:b/>
          <w:i w:val="0"/>
        </w:rPr>
        <w:t>Further passage references.</w:t>
      </w:r>
      <w:r>
        <w:rPr>
          <w:b w:val="0"/>
          <w:i w:val="0"/>
        </w:rPr>
        <w:t xml:space="preserve"> IV.1.94–IV.1.95, pp. 330–333; apparatus pp. 393–394</w:t>
      </w:r>
    </w:p>
    <w:p>
      <w:pPr>
        <w:ind w:left="187" w:hanging="187"/>
      </w:pPr>
      <w:r>
        <w:t xml:space="preserve">• </w:t>
      </w:r>
      <w:r>
        <w:rPr>
          <w:b/>
          <w:i w:val="0"/>
        </w:rPr>
        <w:t>IV.1.52, PDF pp. 308–309:</w:t>
      </w:r>
      <w:r>
        <w:rPr>
          <w:b w:val="0"/>
          <w:i w:val="0"/>
        </w:rPr>
        <w:t xml:space="preserve"> the lyre tunes the cosmic chorus at the close of the marked excursion</w:t>
      </w:r>
    </w:p>
    <w:p>
      <w:pPr>
        <w:ind w:left="187" w:hanging="187"/>
      </w:pPr>
      <w:r>
        <w:t xml:space="preserve">• </w:t>
      </w:r>
      <w:r>
        <w:rPr>
          <w:b/>
          <w:i w:val="0"/>
        </w:rPr>
        <w:t>IV.1.94–95, pp. 330–333:</w:t>
      </w:r>
      <w:r>
        <w:rPr>
          <w:b w:val="0"/>
          <w:i w:val="0"/>
        </w:rPr>
        <w:t xml:space="preserve"> named pairs distinguish cognition from bodily animation; nectar explains the animating powers’ dependence on divine knowledge</w:t>
      </w:r>
    </w:p>
    <w:p>
      <w:pPr>
        <w:keepNext/>
        <w:widowControl/>
      </w:pPr>
      <w:r>
        <w:rPr>
          <w:b/>
          <w:i w:val="0"/>
        </w:rPr>
        <w:t>In this edition.</w:t>
      </w:r>
    </w:p>
    <w:p>
      <w:pPr>
        <w:widowControl/>
      </w:pPr>
      <w:r>
        <w:rPr>
          <w:b w:val="0"/>
          <w:i w:val="0"/>
        </w:rPr>
        <w:t>The Latin gives accusative forms and Ficino’s source spellings, while English uses conventional name forms. Preserve the paired functions and the world-soul pair; the nine Bacchuses and nine Muses are not nine unrelated mythological anecdotes.</w:t>
      </w:r>
    </w:p>
    <w:p>
      <w:pPr>
        <w:widowControl/>
      </w:pPr>
      <w:r>
        <w:t>“</w:t>
      </w:r>
      <w:r>
        <w:rPr>
          <w:b w:val="0"/>
          <w:i w:val="0"/>
        </w:rPr>
        <w:t>Revel</w:t>
      </w:r>
      <w:r>
        <w:t>”</w:t>
      </w:r>
      <w:r>
        <w:rPr>
          <w:b w:val="0"/>
          <w:i w:val="0"/>
        </w:rPr>
        <w:t xml:space="preserve"> and </w:t>
      </w:r>
      <w:r>
        <w:t>“</w:t>
      </w:r>
      <w:r>
        <w:rPr>
          <w:b w:val="0"/>
          <w:i w:val="0"/>
        </w:rPr>
        <w:t>drunk with the nectar</w:t>
      </w:r>
      <w:r>
        <w:t>”</w:t>
      </w:r>
      <w:r>
        <w:rPr>
          <w:b w:val="0"/>
          <w:i w:val="0"/>
        </w:rPr>
        <w:t xml:space="preserve"> preserve the metaphor. The Latin passage itself supplies the interpretation through </w:t>
      </w:r>
      <w:r>
        <w:rPr>
          <w:b w:val="0"/>
          <w:i/>
        </w:rPr>
        <w:t>designantur</w:t>
      </w:r>
      <w:r>
        <w:rPr>
          <w:b w:val="0"/>
          <w:i w:val="0"/>
        </w:rPr>
        <w:t xml:space="preserve">, </w:t>
      </w:r>
      <w:r>
        <w:t>“</w:t>
      </w:r>
      <w:r>
        <w:rPr>
          <w:b w:val="0"/>
          <w:i w:val="0"/>
        </w:rPr>
        <w:t>are signified,</w:t>
      </w:r>
      <w:r>
        <w:t>”</w:t>
      </w:r>
      <w:r>
        <w:rPr>
          <w:b w:val="0"/>
          <w:i w:val="0"/>
        </w:rPr>
        <w:t xml:space="preserve"> so the imagery need not be silently literalized or erased.</w:t>
      </w:r>
    </w:p>
    <w:p>
      <w:pPr>
        <w:keepNext/>
        <w:widowControl/>
      </w:pPr>
      <w:r>
        <w:rPr>
          <w:b/>
          <w:i w:val="0"/>
        </w:rPr>
        <w:t>See also.</w:t>
      </w:r>
    </w:p>
    <w:p>
      <w:pPr>
        <w:widowControl/>
      </w:pPr>
      <w:hyperlink w:anchor="intellectual-and-animating-powers">
        <w:r>
          <w:rPr>
            <w:color w:val="000000"/>
          </w:rPr>
          <w:t xml:space="preserve">Intellectual and animating powers</w:t>
        </w:r>
      </w:hyperlink>
      <w:r>
        <w:rPr>
          <w:b w:val="0"/>
          <w:i w:val="0"/>
        </w:rPr>
        <w:t xml:space="preserve">; </w:t>
      </w:r>
      <w:hyperlink w:anchor="apollo">
        <w:r>
          <w:rPr>
            <w:color w:val="000000"/>
          </w:rPr>
          <w:t xml:space="preserve">Apollo</w:t>
        </w:r>
      </w:hyperlink>
      <w:r>
        <w:rPr>
          <w:b w:val="0"/>
          <w:i w:val="0"/>
        </w:rPr>
        <w:t xml:space="preserve">; </w:t>
      </w:r>
      <w:hyperlink w:anchor="spheres-and-stars">
        <w:r>
          <w:rPr>
            <w:color w:val="000000"/>
          </w:rPr>
          <w:t xml:space="preserve">Spheres and stars</w:t>
        </w:r>
      </w:hyperlink>
      <w:r>
        <w:rPr>
          <w:b w:val="0"/>
          <w:i w:val="0"/>
        </w:rPr>
        <w:t xml:space="preserve">; </w:t>
      </w:r>
      <w:hyperlink w:anchor="world-soul">
        <w:r>
          <w:rPr>
            <w:color w:val="000000"/>
          </w:rPr>
          <w:t xml:space="preserve">World soul</w:t>
        </w:r>
      </w:hyperlink>
    </w:p>
    <w:p>
      <w:pPr>
        <w:widowControl/>
      </w:pPr>
      <w:hyperlink w:anchor="apollo">
        <w:r>
          <w:rPr>
            <w:color w:val="000000"/>
          </w:rPr>
          <w:t xml:space="preserve">Apollo</w:t>
        </w:r>
      </w:hyperlink>
      <w:r>
        <w:rPr>
          <w:b w:val="0"/>
          <w:i w:val="0"/>
        </w:rPr>
        <w:t xml:space="preserve">; </w:t>
      </w:r>
      <w:hyperlink w:anchor="governing-serving-and-dominion">
        <w:r>
          <w:rPr>
            <w:color w:val="000000"/>
          </w:rPr>
          <w:t xml:space="preserve">Ruling and following</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order-and-harmony">
        <w:r>
          <w:rPr>
            <w:color w:val="000000"/>
          </w:rPr>
          <w:t xml:space="preserve">Order and harmony</w:t>
        </w:r>
      </w:hyperlink>
      <w:r>
        <w:rPr>
          <w:b w:val="0"/>
          <w:i w:val="0"/>
        </w:rPr>
        <w:t>.</w:t>
      </w:r>
    </w:p>
    <w:p>
      <w:bookmarkStart w:id="41" w:name="beauty-and-fittingness"/>
      <w:pPr>
        <w:pStyle w:val="Heading2"/>
      </w:pPr>
      <w:r>
        <w:rPr>
          <w:b w:val="0"/>
          <w:i w:val="0"/>
        </w:rPr>
        <w:t>Beauty and fittingness</w:t>
      </w:r>
      <w:bookmarkEnd w:id="41"/>
    </w:p>
    <w:p>
      <w:pPr>
        <w:keepNext/>
        <w:widowControl/>
      </w:pPr>
      <w:r>
        <w:rPr>
          <w:b/>
          <w:i w:val="0"/>
        </w:rPr>
        <w:t>Latin:</w:t>
      </w:r>
      <w:r>
        <w:rPr>
          <w:b w:val="0"/>
          <w:i w:val="0"/>
        </w:rPr>
        <w:t xml:space="preserve"> </w:t>
      </w:r>
      <w:r>
        <w:rPr>
          <w:b w:val="0"/>
          <w:i/>
        </w:rPr>
        <w:t>decor</w:t>
      </w:r>
      <w:r>
        <w:rPr>
          <w:b w:val="0"/>
          <w:i w:val="0"/>
        </w:rPr>
        <w:t xml:space="preserve">; </w:t>
      </w:r>
      <w:r>
        <w:rPr>
          <w:b w:val="0"/>
          <w:i/>
        </w:rPr>
        <w:t>decorum</w:t>
      </w:r>
      <w:r>
        <w:rPr>
          <w:b w:val="0"/>
          <w:i w:val="0"/>
        </w:rPr>
        <w:t xml:space="preserve">; </w:t>
      </w:r>
      <w:r>
        <w:rPr>
          <w:b w:val="0"/>
          <w:i/>
        </w:rPr>
        <w:t>decet</w:t>
      </w:r>
      <w:r>
        <w:rPr>
          <w:b w:val="0"/>
          <w:i w:val="0"/>
        </w:rPr>
        <w:t xml:space="preserve">; </w:t>
      </w:r>
      <w:r>
        <w:rPr>
          <w:b w:val="0"/>
          <w:i/>
        </w:rPr>
        <w:t>decentia</w:t>
      </w:r>
      <w:r>
        <w:rPr>
          <w:b w:val="0"/>
          <w:i w:val="0"/>
        </w:rPr>
        <w:t xml:space="preserve">; </w:t>
      </w:r>
      <w:r>
        <w:rPr>
          <w:b w:val="0"/>
          <w:i/>
        </w:rPr>
        <w:t>pulcherrime</w:t>
      </w:r>
      <w:r>
        <w:rPr>
          <w:b w:val="0"/>
          <w:i w:val="0"/>
        </w:rPr>
        <w:t xml:space="preserve">; </w:t>
      </w:r>
      <w:r>
        <w:rPr>
          <w:b w:val="0"/>
          <w:i/>
        </w:rPr>
        <w:t>formosissimi ordinis</w:t>
      </w:r>
      <w:r>
        <w:rPr>
          <w:b w:val="0"/>
          <w:i w:val="0"/>
        </w:rPr>
        <w:t xml:space="preserve">; </w:t>
      </w:r>
      <w:r>
        <w:rPr>
          <w:b w:val="0"/>
          <w:i/>
        </w:rPr>
        <w:t>ornamentum</w:t>
      </w:r>
      <w:r>
        <w:rPr>
          <w:b w:val="0"/>
          <w:i w:val="0"/>
        </w:rPr>
        <w:t xml:space="preserve">; </w:t>
      </w:r>
      <w:r>
        <w:rPr>
          <w:b w:val="0"/>
          <w:i/>
        </w:rPr>
        <w:t>decuit; decet; decorum; decor; decentia</w:t>
      </w:r>
    </w:p>
    <w:p>
      <w:pPr>
        <w:keepNext/>
        <w:widowControl/>
      </w:pPr>
      <w:r>
        <w:rPr>
          <w:b/>
          <w:i w:val="0"/>
        </w:rPr>
        <w:t>The word.</w:t>
      </w:r>
    </w:p>
    <w:p>
      <w:pPr>
        <w:widowControl/>
      </w:pPr>
      <w:r>
        <w:rPr>
          <w:b w:val="0"/>
          <w:i w:val="0"/>
        </w:rPr>
        <w:t xml:space="preserve">Decor and decorum concern beauty and fittingness; decet means </w:t>
      </w:r>
      <w:r>
        <w:t>“</w:t>
      </w:r>
      <w:r>
        <w:rPr>
          <w:b w:val="0"/>
          <w:i w:val="0"/>
        </w:rPr>
        <w:t>it is fitting.</w:t>
      </w:r>
      <w:r>
        <w:t>”</w:t>
      </w:r>
      <w:r>
        <w:rPr>
          <w:b w:val="0"/>
          <w:i w:val="0"/>
        </w:rPr>
        <w:t xml:space="preserve"> Ornamentum is adornment, and pulchre expresses beautiful execution. The family joins proportion and suitability with visual attractiveness.</w:t>
      </w:r>
    </w:p>
    <w:p>
      <w:pPr>
        <w:widowControl/>
      </w:pPr>
      <w:r>
        <w:rPr>
          <w:b w:val="0"/>
          <w:i w:val="0"/>
        </w:rPr>
        <w:t>The impersonal decet means it is fitting; decuit is its past tense. Decorum names what is fitting, decor beauty or fitting splendor, and decentia fitting things. The family enables a verbal shift from fitting action to its divine source.</w:t>
      </w:r>
    </w:p>
    <w:p>
      <w:pPr>
        <w:keepNext/>
        <w:widowControl/>
      </w:pPr>
      <w:r>
        <w:rPr>
          <w:b/>
          <w:i w:val="0"/>
        </w:rPr>
        <w:t>In the Platonic Theology.</w:t>
      </w:r>
    </w:p>
    <w:p>
      <w:pPr>
        <w:widowControl/>
      </w:pPr>
      <w:r>
        <w:rPr>
          <w:b w:val="0"/>
          <w:i w:val="0"/>
        </w:rPr>
        <w:t>The language of beauty is closely joined here to suitability, proportion, and order. In II.12.3, Ficino moves from what befits God to fittingness or beauty itself, which he identifies with God. In the providence chapter, the world’s beauty lies in parts disposed for one another and for the whole, acting at suitable times and toward suitable ends. The vocabulary therefore includes utility and coherent arrangement rather than isolating beauty as an observer’s pleasure in appearance.</w:t>
      </w:r>
    </w:p>
    <w:p>
      <w:pPr>
        <w:widowControl/>
      </w:pPr>
      <w:r>
        <w:rPr>
          <w:b w:val="0"/>
          <w:i w:val="0"/>
        </w:rPr>
        <w:t>This connection becomes especially important when something appears defective on its own. Ficino asks the reader to consider whether it contributes to the whole’s good and adornment. That is his theological explanation of apparently disordered or unattractive particulars, not an identification of a benefit in every instance of suffering. The whole world also need not possess God’s absolute perfection: its created beauty sufficiently indicates a higher source within the limits of a created work.</w:t>
      </w:r>
    </w:p>
    <w:p>
      <w:pPr>
        <w:widowControl/>
      </w:pPr>
      <w:r>
        <w:rPr>
          <w:b w:val="0"/>
          <w:i w:val="0"/>
        </w:rPr>
        <w:t xml:space="preserve">The correction from ut decuit to immo ut decet moves from </w:t>
      </w:r>
      <w:r>
        <w:t>“</w:t>
      </w:r>
      <w:r>
        <w:rPr>
          <w:b w:val="0"/>
          <w:i w:val="0"/>
        </w:rPr>
        <w:t>as was fitting</w:t>
      </w:r>
      <w:r>
        <w:t>”</w:t>
      </w:r>
      <w:r>
        <w:rPr>
          <w:b w:val="0"/>
          <w:i w:val="0"/>
        </w:rPr>
        <w:t xml:space="preserve"> to </w:t>
      </w:r>
      <w:r>
        <w:t>“</w:t>
      </w:r>
      <w:r>
        <w:rPr>
          <w:b w:val="0"/>
          <w:i w:val="0"/>
        </w:rPr>
        <w:t>as is fitting,</w:t>
      </w:r>
      <w:r>
        <w:t>”</w:t>
      </w:r>
      <w:r>
        <w:rPr>
          <w:b w:val="0"/>
          <w:i w:val="0"/>
        </w:rPr>
        <w:t xml:space="preserve"> avoiding the impression of a past standard that once governed God. Ficino then locates the source of fittingness in God as decor itself. The grammar contributes to the argument about underived necessity rather than merely decorating a statement about beauty.</w:t>
      </w:r>
    </w:p>
    <w:p>
      <w:pPr>
        <w:keepNext/>
        <w:widowControl/>
      </w:pPr>
      <w:r>
        <w:rPr>
          <w:b/>
          <w:i w:val="0"/>
        </w:rPr>
        <w:t>The places.</w:t>
      </w:r>
    </w:p>
    <w:p>
      <w:pPr>
        <w:ind w:left="187" w:hanging="187"/>
      </w:pPr>
      <w:r>
        <w:t xml:space="preserve">• </w:t>
      </w:r>
      <w:r>
        <w:rPr>
          <w:b/>
          <w:i w:val="0"/>
        </w:rPr>
        <w:t>II.12.3, PDF 202–203</w:t>
      </w:r>
      <w:r>
        <w:rPr>
          <w:b w:val="0"/>
          <w:i w:val="0"/>
        </w:rPr>
        <w:t>. What befits God is traced to fittingness or beauty itself.</w:t>
      </w:r>
    </w:p>
    <w:p>
      <w:pPr>
        <w:ind w:left="187" w:hanging="187"/>
      </w:pPr>
      <w:r>
        <w:t xml:space="preserve">• </w:t>
      </w:r>
      <w:r>
        <w:rPr>
          <w:b/>
          <w:i w:val="0"/>
        </w:rPr>
        <w:t>II.13.17, PDF 228–229</w:t>
      </w:r>
      <w:r>
        <w:rPr>
          <w:b w:val="0"/>
          <w:i w:val="0"/>
        </w:rPr>
        <w:t>. Natural beauty is joined to correct times, appointed forms and useful ends.</w:t>
      </w:r>
    </w:p>
    <w:p>
      <w:pPr>
        <w:ind w:left="187" w:hanging="187"/>
      </w:pPr>
      <w:r>
        <w:t xml:space="preserve">• </w:t>
      </w:r>
      <w:r>
        <w:rPr>
          <w:b/>
          <w:i w:val="0"/>
        </w:rPr>
        <w:t>II.13.24, PDF 232–233</w:t>
      </w:r>
      <w:r>
        <w:rPr>
          <w:b w:val="0"/>
          <w:i w:val="0"/>
        </w:rPr>
        <w:t>. Apparently defective parts are interpreted through the whole’s beauty and good.</w:t>
      </w:r>
    </w:p>
    <w:p>
      <w:pPr>
        <w:widowControl/>
      </w:pPr>
      <w:r>
        <w:rPr>
          <w:b/>
          <w:i w:val="0"/>
        </w:rPr>
        <w:t>Further passage references.</w:t>
      </w:r>
      <w:r>
        <w:rPr>
          <w:b w:val="0"/>
          <w:i w:val="0"/>
        </w:rPr>
        <w:t xml:space="preserve"> II.12.3, PDF 202–203; II.13.14, 16–18, 20, 23–24, PDF 226–233</w:t>
      </w:r>
    </w:p>
    <w:p>
      <w:pPr>
        <w:widowControl/>
        <w:keepNext/>
      </w:pPr>
      <w:r>
        <w:rPr>
          <w:b w:val="0"/>
          <w:i w:val="0"/>
        </w:rPr>
        <w:t>Selected annotated passages.</w:t>
      </w:r>
    </w:p>
    <w:p>
      <w:pPr>
        <w:ind w:left="187" w:hanging="187"/>
      </w:pPr>
      <w:r>
        <w:t xml:space="preserve">• </w:t>
      </w:r>
      <w:r>
        <w:rPr>
          <w:b/>
          <w:i w:val="0"/>
        </w:rPr>
        <w:t>II.12.3 (Latin PDF p. 202; English PDF p. 203).</w:t>
      </w:r>
      <w:r>
        <w:rPr>
          <w:b w:val="0"/>
          <w:i w:val="0"/>
        </w:rPr>
        <w:t xml:space="preserve"> The tense correction and progression through the decor-family connect fitting action to God as its source.</w:t>
      </w:r>
    </w:p>
    <w:p>
      <w:pPr>
        <w:keepNext/>
        <w:widowControl/>
      </w:pPr>
      <w:r>
        <w:rPr>
          <w:b/>
          <w:i w:val="0"/>
        </w:rPr>
        <w:t>In this edition.</w:t>
      </w:r>
    </w:p>
    <w:p>
      <w:pPr>
        <w:widowControl/>
      </w:pPr>
      <w:r>
        <w:rPr>
          <w:b w:val="0"/>
          <w:i w:val="0"/>
        </w:rPr>
        <w:t xml:space="preserve">II.12.3 deliberately moves through decuit, decet, decorum and decor. The English </w:t>
      </w:r>
      <w:r>
        <w:t>“</w:t>
      </w:r>
      <w:r>
        <w:rPr>
          <w:b w:val="0"/>
          <w:i w:val="0"/>
        </w:rPr>
        <w:t>fitting</w:t>
      </w:r>
      <w:r>
        <w:t>”</w:t>
      </w:r>
      <w:r>
        <w:rPr>
          <w:b w:val="0"/>
          <w:i w:val="0"/>
        </w:rPr>
        <w:t xml:space="preserve"> and </w:t>
      </w:r>
      <w:r>
        <w:t>“</w:t>
      </w:r>
      <w:r>
        <w:rPr>
          <w:b w:val="0"/>
          <w:i w:val="0"/>
        </w:rPr>
        <w:t>Beauty</w:t>
      </w:r>
      <w:r>
        <w:t>”</w:t>
      </w:r>
      <w:r>
        <w:rPr>
          <w:b w:val="0"/>
          <w:i w:val="0"/>
        </w:rPr>
        <w:t xml:space="preserve"> should retain that progression without treating every use of decet as an aesthetic observation. The providential claim about the whole is Ficino’s explanation, not a demonstrated benefit of each particular misfortune.</w:t>
      </w:r>
    </w:p>
    <w:p>
      <w:pPr>
        <w:widowControl/>
      </w:pPr>
      <w:r>
        <w:rPr>
          <w:b w:val="0"/>
          <w:i w:val="0"/>
        </w:rPr>
        <w:t xml:space="preserve">The supplied English uses </w:t>
      </w:r>
      <w:r>
        <w:t>“</w:t>
      </w:r>
      <w:r>
        <w:rPr>
          <w:b w:val="0"/>
          <w:i w:val="0"/>
        </w:rPr>
        <w:t>beautiful</w:t>
      </w:r>
      <w:r>
        <w:t>”</w:t>
      </w:r>
      <w:r>
        <w:rPr>
          <w:b w:val="0"/>
          <w:i w:val="0"/>
        </w:rPr>
        <w:t xml:space="preserve"> for decorum and </w:t>
      </w:r>
      <w:r>
        <w:t>“</w:t>
      </w:r>
      <w:r>
        <w:rPr>
          <w:b w:val="0"/>
          <w:i w:val="0"/>
        </w:rPr>
        <w:t>Beauty itself</w:t>
      </w:r>
      <w:r>
        <w:t>”</w:t>
      </w:r>
      <w:r>
        <w:rPr>
          <w:b w:val="0"/>
          <w:i w:val="0"/>
        </w:rPr>
        <w:t xml:space="preserve"> for decor. The Latin link with what befits or is appropriate remains important alongside aesthetic beauty.</w:t>
      </w:r>
    </w:p>
    <w:p>
      <w:pPr>
        <w:keepNext/>
        <w:widowControl/>
      </w:pPr>
      <w:r>
        <w:rPr>
          <w:b/>
          <w:i w:val="0"/>
        </w:rPr>
        <w:t>See also.</w:t>
      </w:r>
    </w:p>
    <w:p>
      <w:pPr>
        <w:widowControl/>
      </w:pPr>
      <w:hyperlink w:anchor="good-and-goodness">
        <w:r>
          <w:rPr>
            <w:color w:val="000000"/>
          </w:rPr>
          <w:t xml:space="preserve">Good and goodness</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rovidence">
        <w:r>
          <w:rPr>
            <w:color w:val="000000"/>
          </w:rPr>
          <w:t xml:space="preserve">Providence</w:t>
        </w:r>
      </w:hyperlink>
    </w:p>
    <w:p>
      <w:pPr>
        <w:widowControl/>
      </w:pPr>
      <w:hyperlink w:anchor="freedom-and-necessity">
        <w:r>
          <w:rPr>
            <w:color w:val="000000"/>
          </w:rPr>
          <w:t xml:space="preserve">Freedom and necessity</w:t>
        </w:r>
      </w:hyperlink>
      <w:r>
        <w:rPr>
          <w:b w:val="0"/>
          <w:i w:val="0"/>
        </w:rPr>
        <w:t xml:space="preserve">; </w:t>
      </w:r>
      <w:hyperlink w:anchor="order-and-harmony">
        <w:r>
          <w:rPr>
            <w:color w:val="000000"/>
          </w:rPr>
          <w:t xml:space="preserve">Order and harmony</w:t>
        </w:r>
      </w:hyperlink>
      <w:r>
        <w:rPr>
          <w:b w:val="0"/>
          <w:i w:val="0"/>
        </w:rPr>
        <w:t>.</w:t>
      </w:r>
    </w:p>
    <w:p>
      <w:bookmarkStart w:id="42" w:name="before-and-after-in-nature"/>
      <w:pPr>
        <w:pStyle w:val="Heading2"/>
      </w:pPr>
      <w:r>
        <w:rPr>
          <w:b w:val="0"/>
          <w:i w:val="0"/>
        </w:rPr>
        <w:t>Before and after in nature</w:t>
      </w:r>
      <w:bookmarkEnd w:id="42"/>
    </w:p>
    <w:p>
      <w:pPr>
        <w:keepNext/>
        <w:widowControl/>
      </w:pPr>
      <w:r>
        <w:rPr>
          <w:b/>
          <w:i w:val="0"/>
        </w:rPr>
        <w:t>Latin:</w:t>
      </w:r>
      <w:r>
        <w:rPr>
          <w:b w:val="0"/>
          <w:i w:val="0"/>
        </w:rPr>
        <w:t xml:space="preserve"> prius; posterius; secundum naturam; ab initio naturaliter; ante; deinde; ultimum</w:t>
      </w:r>
    </w:p>
    <w:p>
      <w:pPr>
        <w:keepNext/>
        <w:widowControl/>
      </w:pPr>
      <w:r>
        <w:rPr>
          <w:b/>
          <w:i w:val="0"/>
        </w:rPr>
        <w:t>The word.</w:t>
      </w:r>
    </w:p>
    <w:p>
      <w:pPr>
        <w:widowControl/>
      </w:pPr>
      <w:r>
        <w:rPr>
          <w:b w:val="0"/>
          <w:i w:val="0"/>
        </w:rPr>
        <w:t>Prius and posterius can indicate temporal succession or explanatory order. Secundum naturam explicitly marks the latter. Antecedere and sequi likewise need not mean events separated by clock-time.</w:t>
      </w:r>
    </w:p>
    <w:p>
      <w:pPr>
        <w:keepNext/>
        <w:widowControl/>
      </w:pPr>
      <w:r>
        <w:rPr>
          <w:b/>
          <w:i w:val="0"/>
        </w:rPr>
        <w:t>In the Platonic Theology.</w:t>
      </w:r>
    </w:p>
    <w:p>
      <w:pPr>
        <w:widowControl/>
      </w:pPr>
      <w:r>
        <w:rPr>
          <w:b w:val="0"/>
          <w:i w:val="0"/>
        </w:rPr>
        <w:t>The preservation argument calls nonbeing prior to an effect’s being because considered without its cause the effect would not exist. This is an analysis of dependence, not a report of a datable period when an eternal world failed to exist. Ficino has just allowed the conditional case of a world that always existed.</w:t>
      </w:r>
    </w:p>
    <w:p>
      <w:pPr>
        <w:widowControl/>
      </w:pPr>
      <w:r>
        <w:rPr>
          <w:b w:val="0"/>
          <w:i w:val="0"/>
        </w:rPr>
        <w:t>In the hierarchy of effects, a thing first is, then is this or that and has this or that character. Being is also described as the last thing lost: a particular determination can disappear while being remains. The trace analogy subsequently says the first cause’s impression is earlier and effaced later. These expressions concern how determinations presuppose being. The argument does not require that a creature existed as undifferentiated being during an earlier moment before acquiring every specific character.</w:t>
      </w:r>
    </w:p>
    <w:p>
      <w:pPr>
        <w:keepNext/>
        <w:widowControl/>
      </w:pPr>
      <w:r>
        <w:rPr>
          <w:b/>
          <w:i w:val="0"/>
        </w:rPr>
        <w:t>The places.</w:t>
      </w:r>
    </w:p>
    <w:p>
      <w:pPr>
        <w:ind w:left="187" w:hanging="187"/>
      </w:pPr>
      <w:r>
        <w:t xml:space="preserve">• </w:t>
      </w:r>
      <w:r>
        <w:rPr>
          <w:b w:val="0"/>
          <w:i w:val="0"/>
        </w:rPr>
        <w:t>II.7.18, II.7.20, II.7.21 (PDF pp. 152–153): Beginningless duration is compatible with natural priority of causal dependence</w:t>
      </w:r>
    </w:p>
    <w:p>
      <w:pPr>
        <w:ind w:left="187" w:hanging="187"/>
      </w:pPr>
      <w:r>
        <w:t xml:space="preserve">• </w:t>
      </w:r>
      <w:r>
        <w:rPr>
          <w:b w:val="0"/>
          <w:i w:val="0"/>
        </w:rPr>
        <w:t>II.7.28, II.7.29 (PDF pp. 156–157): Being is first in nature and last lost relative to its determinations</w:t>
      </w:r>
    </w:p>
    <w:p>
      <w:pPr>
        <w:ind w:left="187" w:hanging="187"/>
      </w:pPr>
      <w:r>
        <w:t xml:space="preserve">• </w:t>
      </w:r>
      <w:r>
        <w:rPr>
          <w:b w:val="0"/>
          <w:i w:val="0"/>
        </w:rPr>
        <w:t>II.7.32 (PDF pp. 158–159): Earlier impression and later effacement extend that order into a trace-image</w:t>
      </w:r>
    </w:p>
    <w:p>
      <w:pPr>
        <w:keepNext/>
        <w:widowControl/>
      </w:pPr>
      <w:r>
        <w:rPr>
          <w:b/>
          <w:i w:val="0"/>
        </w:rPr>
        <w:t>In this edition.</w:t>
      </w:r>
    </w:p>
    <w:p>
      <w:pPr>
        <w:widowControl/>
      </w:pPr>
      <w:r>
        <w:rPr>
          <w:b w:val="0"/>
          <w:i w:val="0"/>
        </w:rPr>
        <w:t xml:space="preserve">The English </w:t>
      </w:r>
      <w:r>
        <w:t>“</w:t>
      </w:r>
      <w:r>
        <w:rPr>
          <w:b w:val="0"/>
          <w:i w:val="0"/>
        </w:rPr>
        <w:t>first in the order of nature</w:t>
      </w:r>
      <w:r>
        <w:t>”</w:t>
      </w:r>
      <w:r>
        <w:rPr>
          <w:b w:val="0"/>
          <w:i w:val="0"/>
        </w:rPr>
        <w:t xml:space="preserve"> explicates secundum naturam and should be retained. Read II.7.28 with the opening </w:t>
      </w:r>
      <w:r>
        <w:t>“</w:t>
      </w:r>
      <w:r>
        <w:rPr>
          <w:b w:val="0"/>
          <w:i w:val="0"/>
        </w:rPr>
        <w:t>Then</w:t>
      </w:r>
      <w:r>
        <w:t>”</w:t>
      </w:r>
      <w:r>
        <w:rPr>
          <w:b w:val="0"/>
          <w:i w:val="0"/>
        </w:rPr>
        <w:t xml:space="preserve"> in II.7.29: the editorial division interrupts one contrast.</w:t>
      </w:r>
    </w:p>
    <w:p>
      <w:pPr>
        <w:keepNext/>
        <w:widowControl/>
      </w:pPr>
      <w:r>
        <w:rPr>
          <w:b/>
          <w:i w:val="0"/>
        </w:rPr>
        <w:t>See also.</w:t>
      </w:r>
    </w:p>
    <w:p>
      <w:pPr>
        <w:widowControl/>
      </w:pPr>
      <w:hyperlink w:anchor="being">
        <w:r>
          <w:rPr>
            <w:color w:val="000000"/>
          </w:rPr>
          <w:t xml:space="preserve">Being</w:t>
        </w:r>
      </w:hyperlink>
      <w:r>
        <w:rPr>
          <w:b w:val="0"/>
          <w:i w:val="0"/>
        </w:rPr>
        <w:t xml:space="preserve">; </w:t>
      </w:r>
      <w:hyperlink w:anchor="beginning-and-ceasing">
        <w:r>
          <w:rPr>
            <w:color w:val="000000"/>
          </w:rPr>
          <w:t xml:space="preserve">Beginning and ceasing</w:t>
        </w:r>
      </w:hyperlink>
      <w:r>
        <w:rPr>
          <w:b w:val="0"/>
          <w:i w:val="0"/>
        </w:rPr>
        <w:t xml:space="preserve">; </w:t>
      </w:r>
      <w:hyperlink w:anchor="impression-and-effacement">
        <w:r>
          <w:rPr>
            <w:color w:val="000000"/>
          </w:rPr>
          <w:t xml:space="preserve">Impression and effacement</w:t>
        </w:r>
      </w:hyperlink>
      <w:r>
        <w:rPr>
          <w:b w:val="0"/>
          <w:i w:val="0"/>
        </w:rPr>
        <w:t xml:space="preserve">; </w:t>
      </w:r>
      <w:hyperlink w:anchor="cause">
        <w:r>
          <w:rPr>
            <w:color w:val="000000"/>
          </w:rPr>
          <w:t xml:space="preserve">Cause</w:t>
        </w:r>
      </w:hyperlink>
      <w:r>
        <w:rPr>
          <w:b w:val="0"/>
          <w:i w:val="0"/>
        </w:rPr>
        <w:t>.</w:t>
      </w:r>
    </w:p>
    <w:p>
      <w:bookmarkStart w:id="43" w:name="beginning-and-ceasing"/>
      <w:pPr>
        <w:pStyle w:val="Heading2"/>
      </w:pPr>
      <w:r>
        <w:rPr>
          <w:b w:val="0"/>
          <w:i w:val="0"/>
        </w:rPr>
        <w:t>Beginning and ceasing</w:t>
      </w:r>
      <w:bookmarkEnd w:id="43"/>
    </w:p>
    <w:p>
      <w:pPr>
        <w:keepNext/>
        <w:widowControl/>
      </w:pPr>
      <w:r>
        <w:rPr>
          <w:b/>
          <w:i w:val="0"/>
        </w:rPr>
        <w:t>Latin:</w:t>
      </w:r>
      <w:r>
        <w:rPr>
          <w:b w:val="0"/>
          <w:i w:val="0"/>
        </w:rPr>
        <w:t xml:space="preserve"> initium; incipere; desinere; incepturam; desivisse; nascitur; resolvitur; nuper; aliquando; semper</w:t>
      </w:r>
    </w:p>
    <w:p>
      <w:pPr>
        <w:keepNext/>
        <w:widowControl/>
      </w:pPr>
      <w:r>
        <w:rPr>
          <w:b/>
          <w:i w:val="0"/>
        </w:rPr>
        <w:t>The word.</w:t>
      </w:r>
    </w:p>
    <w:p>
      <w:pPr>
        <w:widowControl/>
      </w:pPr>
      <w:r>
        <w:rPr>
          <w:b w:val="0"/>
          <w:i w:val="0"/>
        </w:rPr>
        <w:t>Incipere is to begin, desinere to cease, nasci to arise or be born, and resolvi to be dissolved or resolved into constituents. Aliquando means at some time; nuper indicates a new or recent production in its local alternative. These temporal expressions must be separated from explanatory priority.</w:t>
      </w:r>
    </w:p>
    <w:p>
      <w:pPr>
        <w:keepNext/>
        <w:widowControl/>
      </w:pPr>
      <w:r>
        <w:rPr>
          <w:b/>
          <w:i w:val="0"/>
        </w:rPr>
        <w:t>In the Platonic Theology.</w:t>
      </w:r>
    </w:p>
    <w:p>
      <w:pPr>
        <w:widowControl/>
      </w:pPr>
      <w:r>
        <w:rPr>
          <w:b w:val="0"/>
          <w:i w:val="0"/>
        </w:rPr>
        <w:t>The eternity argument asks whether truth can begin or end. Before its supposed beginning, Ficino says, it would already be true that it was going to begin; after its supposed end, it would still be true that it had ended. The tense shifts carry the argument. He also reasons that what arises comes from something prior, and what is dissolved resolves into something more ancient, so the first principle cannot have either fate.</w:t>
      </w:r>
    </w:p>
    <w:p>
      <w:pPr>
        <w:widowControl/>
      </w:pPr>
      <w:r>
        <w:rPr>
          <w:b w:val="0"/>
          <w:i w:val="0"/>
        </w:rPr>
        <w:t xml:space="preserve">The world’s temporal origin remains a separate question in the preservation argument. Whether it always existed or began at some time, it depends continually on God. Similarly, II.4.6 offers production anew from nothing alongside continual production without a prior subject. These alternatives do not authorize reading every use of </w:t>
      </w:r>
      <w:r>
        <w:t>“</w:t>
      </w:r>
      <w:r>
        <w:rPr>
          <w:b w:val="0"/>
          <w:i w:val="0"/>
        </w:rPr>
        <w:t>first</w:t>
      </w:r>
      <w:r>
        <w:t>”</w:t>
      </w:r>
      <w:r>
        <w:rPr>
          <w:b w:val="0"/>
          <w:i w:val="0"/>
        </w:rPr>
        <w:t xml:space="preserve"> as an earliest instant.</w:t>
      </w:r>
    </w:p>
    <w:p>
      <w:pPr>
        <w:keepNext/>
        <w:widowControl/>
      </w:pPr>
      <w:r>
        <w:rPr>
          <w:b/>
          <w:i w:val="0"/>
        </w:rPr>
        <w:t>The places.</w:t>
      </w:r>
    </w:p>
    <w:p>
      <w:pPr>
        <w:ind w:left="187" w:hanging="187"/>
      </w:pPr>
      <w:r>
        <w:t xml:space="preserve">• </w:t>
      </w:r>
      <w:r>
        <w:rPr>
          <w:b w:val="0"/>
          <w:i w:val="0"/>
        </w:rPr>
        <w:t>II.4.6 (PDF pp. 124–125): New production and continuing production are alternative cases</w:t>
      </w:r>
    </w:p>
    <w:p>
      <w:pPr>
        <w:ind w:left="187" w:hanging="187"/>
      </w:pPr>
      <w:r>
        <w:t xml:space="preserve">• </w:t>
      </w:r>
      <w:r>
        <w:rPr>
          <w:b w:val="0"/>
          <w:i w:val="0"/>
        </w:rPr>
        <w:t>II.5.1 (PDF pp. 126–127): Future and past truth frame the impossible beginning or ceasing of truth</w:t>
      </w:r>
    </w:p>
    <w:p>
      <w:pPr>
        <w:ind w:left="187" w:hanging="187"/>
      </w:pPr>
      <w:r>
        <w:t xml:space="preserve">• </w:t>
      </w:r>
      <w:r>
        <w:rPr>
          <w:b w:val="0"/>
          <w:i w:val="0"/>
        </w:rPr>
        <w:t>II.7.18, II.7.19 (PDF pp. 152–153): Preservation is required whether the world began or always existed</w:t>
      </w:r>
    </w:p>
    <w:p>
      <w:pPr>
        <w:keepNext/>
        <w:widowControl/>
      </w:pPr>
      <w:r>
        <w:rPr>
          <w:b/>
          <w:i w:val="0"/>
        </w:rPr>
        <w:t>In this edition.</w:t>
      </w:r>
    </w:p>
    <w:p>
      <w:pPr>
        <w:widowControl/>
      </w:pPr>
      <w:r>
        <w:rPr>
          <w:b w:val="0"/>
          <w:i w:val="0"/>
        </w:rPr>
        <w:t xml:space="preserve">Keep the English future-in-the-past </w:t>
      </w:r>
      <w:r>
        <w:t>“</w:t>
      </w:r>
      <w:r>
        <w:rPr>
          <w:b w:val="0"/>
          <w:i w:val="0"/>
        </w:rPr>
        <w:t>would begin</w:t>
      </w:r>
      <w:r>
        <w:t>”</w:t>
      </w:r>
      <w:r>
        <w:rPr>
          <w:b w:val="0"/>
          <w:i w:val="0"/>
        </w:rPr>
        <w:t xml:space="preserve"> and perfect </w:t>
      </w:r>
      <w:r>
        <w:t>“</w:t>
      </w:r>
      <w:r>
        <w:rPr>
          <w:b w:val="0"/>
          <w:i w:val="0"/>
        </w:rPr>
        <w:t>had ceased</w:t>
      </w:r>
      <w:r>
        <w:t>”</w:t>
      </w:r>
      <w:r>
        <w:rPr>
          <w:b w:val="0"/>
          <w:i w:val="0"/>
        </w:rPr>
        <w:t xml:space="preserve"> distinct. Their temporal relations matter to the proof; the labels </w:t>
      </w:r>
      <w:r>
        <w:t>“</w:t>
      </w:r>
      <w:r>
        <w:rPr>
          <w:b w:val="0"/>
          <w:i w:val="0"/>
        </w:rPr>
        <w:t>creation</w:t>
      </w:r>
      <w:r>
        <w:t>”</w:t>
      </w:r>
      <w:r>
        <w:rPr>
          <w:b w:val="0"/>
          <w:i w:val="0"/>
        </w:rPr>
        <w:t xml:space="preserve"> and </w:t>
      </w:r>
      <w:r>
        <w:t>“</w:t>
      </w:r>
      <w:r>
        <w:rPr>
          <w:b w:val="0"/>
          <w:i w:val="0"/>
        </w:rPr>
        <w:t>eternity</w:t>
      </w:r>
      <w:r>
        <w:t>”</w:t>
      </w:r>
      <w:r>
        <w:rPr>
          <w:b w:val="0"/>
          <w:i w:val="0"/>
        </w:rPr>
        <w:t xml:space="preserve"> alone do not display it.</w:t>
      </w:r>
    </w:p>
    <w:p>
      <w:pPr>
        <w:keepNext/>
        <w:widowControl/>
      </w:pPr>
      <w:r>
        <w:rPr>
          <w:b/>
          <w:i w:val="0"/>
        </w:rPr>
        <w:t>See also.</w:t>
      </w:r>
    </w:p>
    <w:p>
      <w:pPr>
        <w:widowControl/>
      </w:pPr>
      <w:hyperlink w:anchor="eternity-and-time">
        <w:r>
          <w:rPr>
            <w:color w:val="000000"/>
          </w:rPr>
          <w:t xml:space="preserve">Eternity and time</w:t>
        </w:r>
      </w:hyperlink>
      <w:r>
        <w:rPr>
          <w:b w:val="0"/>
          <w:i w:val="0"/>
        </w:rPr>
        <w:t xml:space="preserve">; </w:t>
      </w:r>
      <w:hyperlink w:anchor="truth">
        <w:r>
          <w:rPr>
            <w:color w:val="000000"/>
          </w:rPr>
          <w:t xml:space="preserve">Truth</w:t>
        </w:r>
      </w:hyperlink>
      <w:r>
        <w:rPr>
          <w:b w:val="0"/>
          <w:i w:val="0"/>
        </w:rPr>
        <w:t xml:space="preserve">; </w:t>
      </w:r>
      <w:hyperlink w:anchor="creation">
        <w:r>
          <w:rPr>
            <w:color w:val="000000"/>
          </w:rPr>
          <w:t xml:space="preserve">Creation</w:t>
        </w:r>
      </w:hyperlink>
      <w:r>
        <w:rPr>
          <w:b w:val="0"/>
          <w:i w:val="0"/>
        </w:rPr>
        <w:t xml:space="preserve">; </w:t>
      </w:r>
      <w:hyperlink w:anchor="before-and-after-in-nature">
        <w:r>
          <w:rPr>
            <w:color w:val="000000"/>
          </w:rPr>
          <w:t xml:space="preserve">Before and after in nature</w:t>
        </w:r>
      </w:hyperlink>
      <w:r>
        <w:rPr>
          <w:b w:val="0"/>
          <w:i w:val="0"/>
        </w:rPr>
        <w:t>.</w:t>
      </w:r>
    </w:p>
    <w:p>
      <w:bookmarkStart w:id="44" w:name="being"/>
      <w:pPr>
        <w:pStyle w:val="Heading2"/>
      </w:pPr>
      <w:r>
        <w:rPr>
          <w:b w:val="0"/>
          <w:i w:val="0"/>
        </w:rPr>
        <w:t>Being</w:t>
      </w:r>
      <w:bookmarkEnd w:id="44"/>
    </w:p>
    <w:p>
      <w:pPr>
        <w:keepNext/>
        <w:widowControl/>
      </w:pPr>
      <w:r>
        <w:rPr>
          <w:b/>
          <w:i w:val="0"/>
        </w:rPr>
        <w:t>Latin:</w:t>
      </w:r>
      <w:r>
        <w:rPr>
          <w:b w:val="0"/>
          <w:i w:val="0"/>
        </w:rPr>
        <w:t xml:space="preserve"> </w:t>
      </w:r>
      <w:r>
        <w:rPr>
          <w:b w:val="0"/>
          <w:i/>
        </w:rPr>
        <w:t>esse</w:t>
      </w:r>
      <w:r>
        <w:rPr>
          <w:b w:val="0"/>
          <w:i w:val="0"/>
        </w:rPr>
        <w:t xml:space="preserve">; </w:t>
      </w:r>
      <w:r>
        <w:rPr>
          <w:b w:val="0"/>
          <w:i/>
        </w:rPr>
        <w:t>ipsum esse</w:t>
      </w:r>
      <w:r>
        <w:rPr>
          <w:b w:val="0"/>
          <w:i w:val="0"/>
        </w:rPr>
        <w:t xml:space="preserve">; </w:t>
      </w:r>
      <w:r>
        <w:rPr>
          <w:b w:val="0"/>
          <w:i/>
        </w:rPr>
        <w:t>esse ipsum</w:t>
      </w:r>
      <w:r>
        <w:rPr>
          <w:b w:val="0"/>
          <w:i w:val="0"/>
        </w:rPr>
        <w:t xml:space="preserve">; </w:t>
      </w:r>
      <w:r>
        <w:rPr>
          <w:b w:val="0"/>
          <w:i/>
        </w:rPr>
        <w:t>esse purum</w:t>
      </w:r>
      <w:r>
        <w:rPr>
          <w:b w:val="0"/>
          <w:i w:val="0"/>
        </w:rPr>
        <w:t xml:space="preserve">; </w:t>
      </w:r>
      <w:r>
        <w:rPr>
          <w:b w:val="0"/>
          <w:i/>
        </w:rPr>
        <w:t>esse tale</w:t>
      </w:r>
      <w:r>
        <w:rPr>
          <w:b w:val="0"/>
          <w:i w:val="0"/>
        </w:rPr>
        <w:t xml:space="preserve">; </w:t>
      </w:r>
      <w:r>
        <w:rPr>
          <w:b w:val="0"/>
          <w:i/>
        </w:rPr>
        <w:t>essendi modus</w:t>
      </w:r>
    </w:p>
    <w:p>
      <w:pPr>
        <w:keepNext/>
        <w:widowControl/>
      </w:pPr>
      <w:r>
        <w:rPr>
          <w:b/>
          <w:i w:val="0"/>
        </w:rPr>
        <w:t>The word.</w:t>
      </w:r>
    </w:p>
    <w:p>
      <w:pPr>
        <w:widowControl/>
      </w:pPr>
      <w:r>
        <w:rPr>
          <w:b w:val="0"/>
          <w:i w:val="0"/>
        </w:rPr>
        <w:t xml:space="preserve">Esse is often the nominal infinitive </w:t>
      </w:r>
      <w:r>
        <w:t>“</w:t>
      </w:r>
      <w:r>
        <w:rPr>
          <w:b w:val="0"/>
          <w:i w:val="0"/>
        </w:rPr>
        <w:t>being</w:t>
      </w:r>
      <w:r>
        <w:t>”</w:t>
      </w:r>
      <w:r>
        <w:rPr>
          <w:b w:val="0"/>
          <w:i w:val="0"/>
        </w:rPr>
        <w:t xml:space="preserve"> or the act of being, while esse tale and essendi modus concern being of a certain character or in a certain manner. It is not interchangeable with a particular ens.</w:t>
      </w:r>
    </w:p>
    <w:p>
      <w:pPr>
        <w:keepNext/>
        <w:widowControl/>
      </w:pPr>
      <w:r>
        <w:rPr>
          <w:b/>
          <w:i w:val="0"/>
        </w:rPr>
        <w:t>In the Platonic Theology.</w:t>
      </w:r>
    </w:p>
    <w:p>
      <w:pPr>
        <w:widowControl/>
      </w:pPr>
      <w:r>
        <w:rPr>
          <w:b w:val="0"/>
          <w:i/>
        </w:rPr>
        <w:t>Esse</w:t>
      </w:r>
      <w:r>
        <w:rPr>
          <w:b w:val="0"/>
          <w:i w:val="0"/>
        </w:rPr>
        <w:t xml:space="preserve"> is often the substantivized infinitive, meaning the fact or act of being rather than an individual existing thing. Ficino calls being the common effect of the universal cause. Other agents produce this or that determinate being, whereas God gives the being presupposed by every determination. Being is first in the order of nature and last to be lost: losing a quality or a particular condition does not immediately mean ceasing to be altogether. This priority is explanatory and need not describe successive instants in the production of a thing. In God, being, understanding, and operation are identical; in other agents, acting through being means acting through a natural power inherent in their constitution. The distinction matters because </w:t>
      </w:r>
      <w:r>
        <w:rPr>
          <w:b w:val="0"/>
          <w:i/>
        </w:rPr>
        <w:t>esse purum</w:t>
      </w:r>
      <w:r>
        <w:rPr>
          <w:b w:val="0"/>
          <w:i w:val="0"/>
        </w:rPr>
        <w:t xml:space="preserve"> belongs to the first agent in a stronger sense. Ficino also treats pure being as excluding both actual privation of being and the capacity not to be, connecting the word to divine necessity and eternity.</w:t>
      </w:r>
    </w:p>
    <w:p>
      <w:pPr>
        <w:widowControl/>
      </w:pPr>
      <w:r>
        <w:rPr>
          <w:b w:val="0"/>
          <w:i w:val="0"/>
        </w:rPr>
        <w:t xml:space="preserve">The distinction between being and a mode of being appears concretely in the account of corporeal change. Lower bodies pass into and out of existence; of higher bodies Ficino first says they change from one being into another, then qualifies this as change between modes of being. The editorial division between II.7.7 and II.7.8 can obscure that correction if either paragraph is read alone. Similarly, when Ficino says non-being belongs to a product </w:t>
      </w:r>
      <w:r>
        <w:t>“</w:t>
      </w:r>
      <w:r>
        <w:rPr>
          <w:b w:val="0"/>
          <w:i w:val="0"/>
        </w:rPr>
        <w:t>before</w:t>
      </w:r>
      <w:r>
        <w:t>”</w:t>
      </w:r>
      <w:r>
        <w:rPr>
          <w:b w:val="0"/>
          <w:i w:val="0"/>
        </w:rPr>
        <w:t xml:space="preserve"> being does, his surrounding argument concerns what the effect has from itself and what it has from its cause. It is therefore safer to explain this as an order of dependence than to turn it into a universal chronological story in which each possible effect first spends time in nonexistence.</w:t>
      </w:r>
    </w:p>
    <w:p>
      <w:pPr>
        <w:keepNext/>
        <w:widowControl/>
      </w:pPr>
      <w:r>
        <w:rPr>
          <w:b/>
          <w:i w:val="0"/>
        </w:rPr>
        <w:t>The places.</w:t>
      </w:r>
    </w:p>
    <w:p>
      <w:pPr>
        <w:ind w:left="187" w:hanging="187"/>
      </w:pPr>
      <w:r>
        <w:t xml:space="preserve">• </w:t>
      </w:r>
      <w:r>
        <w:rPr>
          <w:b/>
          <w:i w:val="0"/>
        </w:rPr>
        <w:t>II.6.2, PDF 128–129</w:t>
      </w:r>
      <w:r>
        <w:rPr>
          <w:b w:val="0"/>
          <w:i w:val="0"/>
        </w:rPr>
        <w:t>. Being is the universal effect of the universal cause.</w:t>
      </w:r>
    </w:p>
    <w:p>
      <w:pPr>
        <w:ind w:left="187" w:hanging="187"/>
      </w:pPr>
      <w:r>
        <w:t xml:space="preserve">• </w:t>
      </w:r>
      <w:r>
        <w:rPr>
          <w:b/>
          <w:i w:val="0"/>
        </w:rPr>
        <w:t>II.7.7–8, PDF 146–147</w:t>
      </w:r>
      <w:r>
        <w:rPr>
          <w:b w:val="0"/>
          <w:i w:val="0"/>
        </w:rPr>
        <w:t>. Change of being is qualified as change in mode of being for higher bodies.</w:t>
      </w:r>
    </w:p>
    <w:p>
      <w:pPr>
        <w:ind w:left="187" w:hanging="187"/>
      </w:pPr>
      <w:r>
        <w:t xml:space="preserve">• </w:t>
      </w:r>
      <w:r>
        <w:rPr>
          <w:b/>
          <w:i w:val="0"/>
        </w:rPr>
        <w:t>II.8.5, PDF 162–163</w:t>
      </w:r>
      <w:r>
        <w:rPr>
          <w:b w:val="0"/>
          <w:i w:val="0"/>
        </w:rPr>
        <w:t>. The first agent acts through pure being; other agents act through an inherent power.</w:t>
      </w:r>
    </w:p>
    <w:p>
      <w:pPr>
        <w:ind w:left="187" w:hanging="187"/>
      </w:pPr>
      <w:r>
        <w:t xml:space="preserve">• </w:t>
      </w:r>
      <w:r>
        <w:rPr>
          <w:b/>
          <w:i w:val="0"/>
        </w:rPr>
        <w:t>II.9.13, PDF 168–169</w:t>
      </w:r>
      <w:r>
        <w:rPr>
          <w:b w:val="0"/>
          <w:i w:val="0"/>
        </w:rPr>
        <w:t>. Divine being and understanding are identified through simplicity.</w:t>
      </w:r>
    </w:p>
    <w:p>
      <w:pPr>
        <w:widowControl/>
      </w:pPr>
      <w:r>
        <w:rPr>
          <w:b/>
          <w:i w:val="0"/>
        </w:rPr>
        <w:t>Further passage references.</w:t>
      </w:r>
      <w:r>
        <w:rPr>
          <w:b w:val="0"/>
          <w:i w:val="0"/>
        </w:rPr>
        <w:t xml:space="preserve"> II.4.2–3, pp. 122–123; II.7.6–9, pp. 146–147; II.7.26–32, pp. 154–159; II.8.5, pp. 162–163; II.9.7, pp. 166–167</w:t>
      </w:r>
    </w:p>
    <w:p>
      <w:pPr>
        <w:keepNext/>
        <w:widowControl/>
      </w:pPr>
      <w:r>
        <w:rPr>
          <w:b/>
          <w:i w:val="0"/>
        </w:rPr>
        <w:t>In this edition.</w:t>
      </w:r>
    </w:p>
    <w:p>
      <w:pPr>
        <w:widowControl/>
      </w:pPr>
      <w:r>
        <w:rPr>
          <w:b w:val="0"/>
          <w:i w:val="0"/>
        </w:rPr>
        <w:t xml:space="preserve">Read II.7.7 with II.7.8: the English </w:t>
      </w:r>
      <w:r>
        <w:t>“</w:t>
      </w:r>
      <w:r>
        <w:rPr>
          <w:b w:val="0"/>
          <w:i w:val="0"/>
        </w:rPr>
        <w:t>or rather</w:t>
      </w:r>
      <w:r>
        <w:t>”</w:t>
      </w:r>
      <w:r>
        <w:rPr>
          <w:b w:val="0"/>
          <w:i w:val="0"/>
        </w:rPr>
        <w:t xml:space="preserve"> preserves Ficino’s immediate qualification from </w:t>
      </w:r>
      <w:r>
        <w:t>“</w:t>
      </w:r>
      <w:r>
        <w:rPr>
          <w:b w:val="0"/>
          <w:i w:val="0"/>
        </w:rPr>
        <w:t>another being</w:t>
      </w:r>
      <w:r>
        <w:t>”</w:t>
      </w:r>
      <w:r>
        <w:rPr>
          <w:b w:val="0"/>
          <w:i w:val="0"/>
        </w:rPr>
        <w:t xml:space="preserve"> to </w:t>
      </w:r>
      <w:r>
        <w:t>“</w:t>
      </w:r>
      <w:r>
        <w:rPr>
          <w:b w:val="0"/>
          <w:i w:val="0"/>
        </w:rPr>
        <w:t>another mode of being.</w:t>
      </w:r>
      <w:r>
        <w:t>”</w:t>
      </w:r>
      <w:r>
        <w:rPr>
          <w:b w:val="0"/>
          <w:i w:val="0"/>
        </w:rPr>
        <w:t xml:space="preserve"> Pure being in II.8.5 is expressly stronger than the subordinate agent’s action through its natural power.</w:t>
      </w:r>
    </w:p>
    <w:p>
      <w:pPr>
        <w:keepNext/>
        <w:widowControl/>
      </w:pPr>
      <w:r>
        <w:rPr>
          <w:b/>
          <w:i w:val="0"/>
        </w:rPr>
        <w:t>See also.</w:t>
      </w:r>
    </w:p>
    <w:p>
      <w:pPr>
        <w:widowControl/>
      </w:pPr>
      <w:hyperlink w:anchor="essence-and-substance">
        <w:r>
          <w:rPr>
            <w:color w:val="000000"/>
          </w:rPr>
          <w:t xml:space="preserve">Essence and substance</w:t>
        </w:r>
      </w:hyperlink>
      <w:r>
        <w:rPr>
          <w:b w:val="0"/>
          <w:i w:val="0"/>
        </w:rPr>
        <w:t xml:space="preserve">; </w:t>
      </w:r>
      <w:hyperlink w:anchor="freedom-and-necessity">
        <w:r>
          <w:rPr>
            <w:color w:val="000000"/>
          </w:rPr>
          <w:t xml:space="preserve">Freedom and necessity</w:t>
        </w:r>
      </w:hyperlink>
      <w:r>
        <w:rPr>
          <w:b w:val="0"/>
          <w:i w:val="0"/>
        </w:rPr>
        <w:t xml:space="preserve">; </w:t>
      </w:r>
      <w:hyperlink w:anchor="act-and-operation">
        <w:r>
          <w:rPr>
            <w:color w:val="000000"/>
          </w:rPr>
          <w:t xml:space="preserve">Act and operation</w:t>
        </w:r>
      </w:hyperlink>
      <w:r>
        <w:rPr>
          <w:b w:val="0"/>
          <w:i w:val="0"/>
        </w:rPr>
        <w:t xml:space="preserve">; </w:t>
      </w:r>
      <w:hyperlink w:anchor="nothing-and-nonbeing">
        <w:r>
          <w:rPr>
            <w:color w:val="000000"/>
          </w:rPr>
          <w:t xml:space="preserve">Nothing and nonbeing</w:t>
        </w:r>
      </w:hyperlink>
      <w:r>
        <w:rPr>
          <w:b w:val="0"/>
          <w:i w:val="0"/>
        </w:rPr>
        <w:t xml:space="preserve">; </w:t>
      </w:r>
      <w:hyperlink w:anchor="cause">
        <w:r>
          <w:rPr>
            <w:color w:val="000000"/>
          </w:rPr>
          <w:t xml:space="preserve">Cause</w:t>
        </w:r>
      </w:hyperlink>
    </w:p>
    <w:p>
      <w:bookmarkStart w:id="45" w:name="blessedness"/>
      <w:pPr>
        <w:pStyle w:val="Heading2"/>
      </w:pPr>
      <w:r>
        <w:rPr>
          <w:b w:val="0"/>
          <w:i w:val="0"/>
        </w:rPr>
        <w:t>Blessedness</w:t>
      </w:r>
      <w:bookmarkEnd w:id="45"/>
    </w:p>
    <w:p>
      <w:pPr>
        <w:keepNext/>
        <w:widowControl/>
      </w:pPr>
      <w:r>
        <w:rPr>
          <w:b/>
          <w:i w:val="0"/>
        </w:rPr>
        <w:t>Latin:</w:t>
      </w:r>
      <w:r>
        <w:rPr>
          <w:b w:val="0"/>
          <w:i w:val="0"/>
        </w:rPr>
        <w:t xml:space="preserve"> </w:t>
      </w:r>
      <w:r>
        <w:rPr>
          <w:b w:val="0"/>
          <w:i/>
        </w:rPr>
        <w:t>beatitudo</w:t>
      </w:r>
      <w:r>
        <w:rPr>
          <w:b w:val="0"/>
          <w:i w:val="0"/>
        </w:rPr>
        <w:t xml:space="preserve">; </w:t>
      </w:r>
      <w:r>
        <w:rPr>
          <w:b w:val="0"/>
          <w:i/>
        </w:rPr>
        <w:t>beatus</w:t>
      </w:r>
      <w:r>
        <w:rPr>
          <w:b w:val="0"/>
          <w:i w:val="0"/>
        </w:rPr>
        <w:t xml:space="preserve">; </w:t>
      </w:r>
      <w:r>
        <w:rPr>
          <w:b w:val="0"/>
          <w:i/>
        </w:rPr>
        <w:t>beatissimus</w:t>
      </w:r>
      <w:r>
        <w:rPr>
          <w:b w:val="0"/>
          <w:i w:val="0"/>
        </w:rPr>
        <w:t xml:space="preserve">; </w:t>
      </w:r>
      <w:r>
        <w:rPr>
          <w:b w:val="0"/>
          <w:i/>
        </w:rPr>
        <w:t>felicitas</w:t>
      </w:r>
      <w:r>
        <w:rPr>
          <w:b w:val="0"/>
          <w:i w:val="0"/>
        </w:rPr>
        <w:t xml:space="preserve">; </w:t>
      </w:r>
      <w:r>
        <w:rPr>
          <w:b w:val="0"/>
          <w:i/>
        </w:rPr>
        <w:t>felix</w:t>
      </w:r>
      <w:r>
        <w:rPr>
          <w:b w:val="0"/>
          <w:i w:val="0"/>
        </w:rPr>
        <w:t xml:space="preserve">; </w:t>
      </w:r>
      <w:r>
        <w:rPr>
          <w:b w:val="0"/>
          <w:i/>
        </w:rPr>
        <w:t>infelix</w:t>
      </w:r>
    </w:p>
    <w:p>
      <w:pPr>
        <w:keepNext/>
        <w:widowControl/>
      </w:pPr>
      <w:r>
        <w:rPr>
          <w:b/>
          <w:i w:val="0"/>
        </w:rPr>
        <w:t>The word.</w:t>
      </w:r>
    </w:p>
    <w:p>
      <w:pPr>
        <w:widowControl/>
      </w:pPr>
      <w:r>
        <w:rPr>
          <w:b w:val="0"/>
          <w:i w:val="0"/>
        </w:rPr>
        <w:t>Beatitudo and felicitas name fulfilled happiness; beatus and felix describe it, while infelix names misery or failure of fulfilment. Frui adds enjoyment or fulfilled possession, not merely a pleasant episode.</w:t>
      </w:r>
    </w:p>
    <w:p>
      <w:pPr>
        <w:keepNext/>
        <w:widowControl/>
      </w:pPr>
      <w:r>
        <w:rPr>
          <w:b/>
          <w:i w:val="0"/>
        </w:rPr>
        <w:t>In the Platonic Theology.</w:t>
      </w:r>
    </w:p>
    <w:p>
      <w:pPr>
        <w:widowControl/>
      </w:pPr>
      <w:r>
        <w:rPr>
          <w:b w:val="0"/>
          <w:i w:val="0"/>
        </w:rPr>
        <w:t xml:space="preserve">The opening argument connects immortality with the possibility of blessedness. Ficino emphasizes the restless soul, frail body, and extensive human needs, then reasons that a being drawing near God through worship cannot finally be the most miserable animal. God is the author of blessedness, and the soul’s fuller good is sought beyond bodily death. In the five-level prospectus, the soul is called most blessed insofar as it enters into divine things. Blessedness also figures in the rejection of a composite God: a being lacking its whole self in each supposed part would not enjoy itself as fully as an utterly simple being. The term thus concerns complete enjoyment and fulfillment, not only a passing pleasant feeling. </w:t>
      </w:r>
      <w:r>
        <w:rPr>
          <w:b w:val="0"/>
          <w:i/>
        </w:rPr>
        <w:t>Felicitas</w:t>
      </w:r>
      <w:r>
        <w:rPr>
          <w:b w:val="0"/>
          <w:i w:val="0"/>
        </w:rPr>
        <w:t xml:space="preserve"> in the Proem is tied to apprehending things and ordering life. The supplied passages support a relation among knowledge, worship, and happiness without reducing every one of these terms to a single technical synonym.</w:t>
      </w:r>
    </w:p>
    <w:p>
      <w:pPr>
        <w:keepNext/>
        <w:widowControl/>
      </w:pPr>
      <w:r>
        <w:rPr>
          <w:b/>
          <w:i w:val="0"/>
        </w:rPr>
        <w:t>The places.</w:t>
      </w:r>
    </w:p>
    <w:p>
      <w:pPr>
        <w:ind w:left="187" w:hanging="187"/>
      </w:pPr>
      <w:r>
        <w:t xml:space="preserve">• </w:t>
      </w:r>
      <w:r>
        <w:rPr>
          <w:b/>
          <w:i w:val="0"/>
        </w:rPr>
        <w:t>Proem.6, PDF 8–9</w:t>
      </w:r>
      <w:r>
        <w:rPr>
          <w:b w:val="0"/>
          <w:i w:val="0"/>
        </w:rPr>
        <w:t>. Happiness is joined to apprehension and the ordering of life.</w:t>
      </w:r>
    </w:p>
    <w:p>
      <w:pPr>
        <w:ind w:left="187" w:hanging="187"/>
      </w:pPr>
      <w:r>
        <w:t xml:space="preserve">• </w:t>
      </w:r>
      <w:r>
        <w:rPr>
          <w:b/>
          <w:i w:val="0"/>
        </w:rPr>
        <w:t>I.1.1–3, PDF 14–15</w:t>
      </w:r>
      <w:r>
        <w:rPr>
          <w:b w:val="0"/>
          <w:i w:val="0"/>
        </w:rPr>
        <w:t>. Human restlessness and worship motivate the argument for a good beyond bodily death.</w:t>
      </w:r>
    </w:p>
    <w:p>
      <w:pPr>
        <w:ind w:left="187" w:hanging="187"/>
      </w:pPr>
      <w:r>
        <w:t xml:space="preserve">• </w:t>
      </w:r>
      <w:r>
        <w:rPr>
          <w:b/>
          <w:i w:val="0"/>
        </w:rPr>
        <w:t>I.1.7, PDF 16–17</w:t>
      </w:r>
      <w:r>
        <w:rPr>
          <w:b w:val="0"/>
          <w:i w:val="0"/>
        </w:rPr>
        <w:t>. Soul’s blessedness is linked to entry into divine things.</w:t>
      </w:r>
    </w:p>
    <w:p>
      <w:pPr>
        <w:ind w:left="187" w:hanging="187"/>
      </w:pPr>
      <w:r>
        <w:t xml:space="preserve">• </w:t>
      </w:r>
      <w:r>
        <w:rPr>
          <w:b/>
          <w:i w:val="0"/>
        </w:rPr>
        <w:t>I.6.6, PDF 84–85</w:t>
      </w:r>
      <w:r>
        <w:rPr>
          <w:b w:val="0"/>
          <w:i w:val="0"/>
        </w:rPr>
        <w:t>. Supreme blessedness requires complete self-presence and self-enjoyment.</w:t>
      </w:r>
    </w:p>
    <w:p>
      <w:pPr>
        <w:widowControl/>
      </w:pPr>
      <w:r>
        <w:rPr>
          <w:b/>
          <w:i w:val="0"/>
        </w:rPr>
        <w:t>Further passage references.</w:t>
      </w:r>
      <w:r>
        <w:rPr>
          <w:b w:val="0"/>
          <w:i w:val="0"/>
        </w:rPr>
        <w:t xml:space="preserve"> Proem.6 (PDF pp. 8–9); I.1.1–I.1.3, I.1.7 (pp. 14–17); I.6.6 (pp. 84–85)</w:t>
      </w:r>
    </w:p>
    <w:p>
      <w:pPr>
        <w:keepNext/>
        <w:widowControl/>
      </w:pPr>
      <w:r>
        <w:rPr>
          <w:b/>
          <w:i w:val="0"/>
        </w:rPr>
        <w:t>In this edition.</w:t>
      </w:r>
    </w:p>
    <w:p>
      <w:pPr>
        <w:widowControl/>
      </w:pPr>
      <w:r>
        <w:rPr>
          <w:b w:val="0"/>
          <w:i w:val="0"/>
        </w:rPr>
        <w:t xml:space="preserve">The superlatives and comparatives are argumentative: </w:t>
      </w:r>
      <w:r>
        <w:t>“</w:t>
      </w:r>
      <w:r>
        <w:rPr>
          <w:b w:val="0"/>
          <w:i w:val="0"/>
        </w:rPr>
        <w:t>more blessed</w:t>
      </w:r>
      <w:r>
        <w:t>”</w:t>
      </w:r>
      <w:r>
        <w:rPr>
          <w:b w:val="0"/>
          <w:i w:val="0"/>
        </w:rPr>
        <w:t xml:space="preserve"> after bodily death and </w:t>
      </w:r>
      <w:r>
        <w:t>“</w:t>
      </w:r>
      <w:r>
        <w:rPr>
          <w:b w:val="0"/>
          <w:i w:val="0"/>
        </w:rPr>
        <w:t>most miserable</w:t>
      </w:r>
      <w:r>
        <w:t>”</w:t>
      </w:r>
      <w:r>
        <w:rPr>
          <w:b w:val="0"/>
          <w:i w:val="0"/>
        </w:rPr>
        <w:t xml:space="preserve"> in the opening have specified conditions. I.6.6’s self-enjoyment is tested within a rejected composite-God hypothesis, not an assertion of actual divine bodily members.</w:t>
      </w:r>
    </w:p>
    <w:p>
      <w:pPr>
        <w:keepNext/>
        <w:widowControl/>
      </w:pPr>
      <w:r>
        <w:rPr>
          <w:b/>
          <w:i w:val="0"/>
        </w:rPr>
        <w:t>See also.</w:t>
      </w:r>
    </w:p>
    <w:p>
      <w:pPr>
        <w:widowControl/>
      </w:pPr>
      <w:hyperlink w:anchor="immortality">
        <w:r>
          <w:rPr>
            <w:color w:val="000000"/>
          </w:rPr>
          <w:t xml:space="preserve">Immortality</w:t>
        </w:r>
      </w:hyperlink>
      <w:r>
        <w:rPr>
          <w:b w:val="0"/>
          <w:i w:val="0"/>
        </w:rPr>
        <w:t xml:space="preserve">; </w:t>
      </w:r>
      <w:hyperlink w:anchor="good-and-goodness">
        <w:r>
          <w:rPr>
            <w:color w:val="000000"/>
          </w:rPr>
          <w:t xml:space="preserve">Good and goodness</w:t>
        </w:r>
      </w:hyperlink>
      <w:r>
        <w:rPr>
          <w:b w:val="0"/>
          <w:i w:val="0"/>
        </w:rPr>
        <w:t xml:space="preserve">; </w:t>
      </w:r>
      <w:hyperlink w:anchor="worship-and-piety">
        <w:r>
          <w:rPr>
            <w:color w:val="000000"/>
          </w:rPr>
          <w:t xml:space="preserve">Worship and piety</w:t>
        </w:r>
      </w:hyperlink>
      <w:r>
        <w:rPr>
          <w:b w:val="0"/>
          <w:i w:val="0"/>
        </w:rPr>
        <w:t xml:space="preserve">; </w:t>
      </w:r>
      <w:hyperlink w:anchor="need-and-sufficiency">
        <w:r>
          <w:rPr>
            <w:color w:val="000000"/>
          </w:rPr>
          <w:t xml:space="preserve">Need and sufficiency</w:t>
        </w:r>
      </w:hyperlink>
      <w:r>
        <w:rPr>
          <w:b w:val="0"/>
          <w:i w:val="0"/>
        </w:rPr>
        <w:t xml:space="preserve">; </w:t>
      </w:r>
      <w:hyperlink w:anchor="god">
        <w:r>
          <w:rPr>
            <w:color w:val="000000"/>
          </w:rPr>
          <w:t xml:space="preserve">God</w:t>
        </w:r>
      </w:hyperlink>
    </w:p>
    <w:p>
      <w:bookmarkStart w:id="46" w:name="body-and-bulk"/>
      <w:pPr>
        <w:pStyle w:val="Heading2"/>
      </w:pPr>
      <w:r>
        <w:rPr>
          <w:b w:val="0"/>
          <w:i w:val="0"/>
        </w:rPr>
        <w:t>Body and bulk</w:t>
      </w:r>
      <w:bookmarkEnd w:id="46"/>
    </w:p>
    <w:p>
      <w:pPr>
        <w:keepNext/>
        <w:widowControl/>
      </w:pPr>
      <w:r>
        <w:rPr>
          <w:b/>
          <w:i w:val="0"/>
        </w:rPr>
        <w:t>Latin:</w:t>
      </w:r>
      <w:r>
        <w:rPr>
          <w:b w:val="0"/>
          <w:i w:val="0"/>
        </w:rPr>
        <w:t xml:space="preserve"> </w:t>
      </w:r>
      <w:r>
        <w:rPr>
          <w:b w:val="0"/>
          <w:i/>
        </w:rPr>
        <w:t>corpus</w:t>
      </w:r>
      <w:r>
        <w:rPr>
          <w:b w:val="0"/>
          <w:i w:val="0"/>
        </w:rPr>
        <w:t xml:space="preserve">; </w:t>
      </w:r>
      <w:r>
        <w:rPr>
          <w:b w:val="0"/>
          <w:i/>
        </w:rPr>
        <w:t>moles</w:t>
      </w:r>
      <w:r>
        <w:rPr>
          <w:b w:val="0"/>
          <w:i w:val="0"/>
        </w:rPr>
        <w:t xml:space="preserve">; </w:t>
      </w:r>
      <w:r>
        <w:rPr>
          <w:b w:val="0"/>
          <w:i/>
        </w:rPr>
        <w:t>moles corporis</w:t>
      </w:r>
      <w:r>
        <w:rPr>
          <w:b w:val="0"/>
          <w:i w:val="0"/>
        </w:rPr>
        <w:t xml:space="preserve">; </w:t>
      </w:r>
      <w:r>
        <w:rPr>
          <w:b w:val="0"/>
          <w:i/>
        </w:rPr>
        <w:t>corporis moles</w:t>
      </w:r>
      <w:r>
        <w:rPr>
          <w:b w:val="0"/>
          <w:i w:val="0"/>
        </w:rPr>
        <w:t xml:space="preserve">; </w:t>
      </w:r>
      <w:r>
        <w:rPr>
          <w:b w:val="0"/>
          <w:i/>
        </w:rPr>
        <w:t>corporalis</w:t>
      </w:r>
      <w:r>
        <w:rPr>
          <w:b w:val="0"/>
          <w:i w:val="0"/>
        </w:rPr>
        <w:t xml:space="preserve">; </w:t>
      </w:r>
      <w:r>
        <w:rPr>
          <w:b w:val="0"/>
          <w:i/>
        </w:rPr>
        <w:t>corporeus</w:t>
      </w:r>
      <w:r>
        <w:rPr>
          <w:b w:val="0"/>
          <w:i w:val="0"/>
        </w:rPr>
        <w:t xml:space="preserve">; </w:t>
      </w:r>
      <w:r>
        <w:rPr>
          <w:b w:val="0"/>
          <w:i/>
        </w:rPr>
        <w:t>corpora</w:t>
      </w:r>
      <w:r>
        <w:rPr>
          <w:b w:val="0"/>
          <w:i w:val="0"/>
        </w:rPr>
        <w:t xml:space="preserve">; </w:t>
      </w:r>
      <w:r>
        <w:rPr>
          <w:b w:val="0"/>
          <w:i/>
        </w:rPr>
        <w:t>natura corporalis</w:t>
      </w:r>
      <w:r>
        <w:rPr>
          <w:b w:val="0"/>
          <w:i w:val="0"/>
        </w:rPr>
        <w:t xml:space="preserve">; </w:t>
      </w:r>
      <w:r>
        <w:rPr>
          <w:b w:val="0"/>
          <w:i/>
        </w:rPr>
        <w:t>quantitas</w:t>
      </w:r>
    </w:p>
    <w:p>
      <w:pPr>
        <w:keepNext/>
        <w:widowControl/>
      </w:pPr>
      <w:r>
        <w:rPr>
          <w:b/>
          <w:i w:val="0"/>
        </w:rPr>
        <w:t>The word.</w:t>
      </w:r>
    </w:p>
    <w:p>
      <w:pPr>
        <w:widowControl/>
      </w:pPr>
      <w:r>
        <w:rPr>
          <w:b w:val="0"/>
          <w:i w:val="0"/>
        </w:rPr>
        <w:t>Corpus is body; moles emphasizes extended mass or bulk. Corporalis and corporeus qualify what belongs to body. Quantity gives bodily division and place, but a body’s operative qualities are not identical with bulk.</w:t>
      </w:r>
    </w:p>
    <w:p>
      <w:pPr>
        <w:keepNext/>
        <w:widowControl/>
      </w:pPr>
      <w:r>
        <w:rPr>
          <w:b/>
          <w:i w:val="0"/>
        </w:rPr>
        <w:t>In the Platonic Theology.</w:t>
      </w:r>
    </w:p>
    <w:p>
      <w:pPr>
        <w:widowControl/>
      </w:pPr>
      <w:r>
        <w:rPr>
          <w:b w:val="0"/>
          <w:i w:val="0"/>
        </w:rPr>
        <w:t>Body is the lowest of the five principal grades and is analyzed through matter and quantity. Ficino’s claim that body does nothing by its own nature concerns body precisely as body: extended bulk receives, divides, and is moved by another. Ordinary bodies nevertheless heat, cool, nourish, and move through their qualities and living powers. His account locates the active source beyond mere bulk rather than denying the observable effects of heated bodies or living animals.</w:t>
      </w:r>
    </w:p>
    <w:p>
      <w:pPr>
        <w:widowControl/>
      </w:pPr>
      <w:r>
        <w:rPr>
          <w:b w:val="0"/>
          <w:i w:val="0"/>
        </w:rPr>
        <w:t>Bulk disperses efficacy across parts, delays motion, and obstructs interpenetration. Fire, air, sparks, density, and falling wood illustrate these claims within Ficino’s natural philosophy. Bodily quantity also makes one part occupy one position and another part another. This establishes the contrast with soul, which neither touches only a single bodily point nor distributes separate portions of itself among bodily portions. Body and soul consequently differ in their mode of existence and causal presence, not simply as visible and invisible objects. Bodily divisibility also differs from the temporal succession of soul’s operations.</w:t>
      </w:r>
    </w:p>
    <w:p>
      <w:pPr>
        <w:widowControl/>
      </w:pPr>
      <w:r>
        <w:rPr>
          <w:b w:val="0"/>
          <w:i w:val="0"/>
        </w:rPr>
        <w:t>In the opening exhortation, the human body is described as a dark prison from which philosophical contemplation can turn toward the soul’s divine origin and destiny. This evaluative image has a different function from the technical analysis of extension. The account of bodily matter and quantity supplies metaphysical distinctions; the prison image gives the reader an exhortatory orientation toward the inquiry.</w:t>
      </w:r>
    </w:p>
    <w:p>
      <w:pPr>
        <w:keepNext/>
        <w:widowControl/>
      </w:pPr>
      <w:r>
        <w:rPr>
          <w:b/>
          <w:i w:val="0"/>
        </w:rPr>
        <w:t>The places.</w:t>
      </w:r>
    </w:p>
    <w:p>
      <w:pPr>
        <w:ind w:left="187" w:hanging="187"/>
      </w:pPr>
      <w:r>
        <w:t xml:space="preserve">• </w:t>
      </w:r>
      <w:r>
        <w:rPr>
          <w:b/>
          <w:i w:val="0"/>
        </w:rPr>
        <w:t>I.1.1–3, PDF 14–15</w:t>
      </w:r>
      <w:r>
        <w:rPr>
          <w:b w:val="0"/>
          <w:i w:val="0"/>
        </w:rPr>
        <w:t>. Bodily prison language gives the inquiry an exhortatory orientation.</w:t>
      </w:r>
    </w:p>
    <w:p>
      <w:pPr>
        <w:ind w:left="187" w:hanging="187"/>
      </w:pPr>
      <w:r>
        <w:t xml:space="preserve">• </w:t>
      </w:r>
      <w:r>
        <w:rPr>
          <w:b/>
          <w:i w:val="0"/>
        </w:rPr>
        <w:t>I.2.1–5, PDF 18–21</w:t>
      </w:r>
      <w:r>
        <w:rPr>
          <w:b w:val="0"/>
          <w:i w:val="0"/>
        </w:rPr>
        <w:t>. Extension, dispersion, density and delay make bulk a source of passivity and obstruction.</w:t>
      </w:r>
    </w:p>
    <w:p>
      <w:pPr>
        <w:ind w:left="187" w:hanging="187"/>
      </w:pPr>
      <w:r>
        <w:t xml:space="preserve">• </w:t>
      </w:r>
      <w:r>
        <w:rPr>
          <w:b/>
          <w:i w:val="0"/>
        </w:rPr>
        <w:t>I.2.8–13, PDF 22–25</w:t>
      </w:r>
      <w:r>
        <w:rPr>
          <w:b w:val="0"/>
          <w:i w:val="0"/>
        </w:rPr>
        <w:t>. Ordinary bodily effects are explained through form and quality rather than denied.</w:t>
      </w:r>
    </w:p>
    <w:p>
      <w:pPr>
        <w:ind w:left="187" w:hanging="187"/>
      </w:pPr>
      <w:r>
        <w:t xml:space="preserve">• </w:t>
      </w:r>
      <w:r>
        <w:rPr>
          <w:b/>
          <w:i w:val="0"/>
        </w:rPr>
        <w:t>I.3.33, PDF 52–53</w:t>
      </w:r>
      <w:r>
        <w:rPr>
          <w:b w:val="0"/>
          <w:i w:val="0"/>
        </w:rPr>
        <w:t>. Independence from bodily parts and material support marks the higher third essence.</w:t>
      </w:r>
    </w:p>
    <w:p>
      <w:pPr>
        <w:widowControl/>
      </w:pPr>
      <w:r>
        <w:rPr>
          <w:b/>
          <w:i w:val="0"/>
        </w:rPr>
        <w:t>Further passage references.</w:t>
      </w:r>
      <w:r>
        <w:rPr>
          <w:b w:val="0"/>
          <w:i w:val="0"/>
        </w:rPr>
        <w:t xml:space="preserve"> I.1.1–I.1.3, I.1.7 (PDF pp. 14–17); I.2.1–I.2.10 (pp. 18–23); I.3.33 (pp. 52–53); III.1.1–3, 9, 16, 19–23, PDF 240–255; III.2.9–18, PDF 268–273</w:t>
      </w:r>
    </w:p>
    <w:p>
      <w:pPr>
        <w:keepNext/>
        <w:widowControl/>
      </w:pPr>
      <w:r>
        <w:rPr>
          <w:b/>
          <w:i w:val="0"/>
        </w:rPr>
        <w:t>In this edition.</w:t>
      </w:r>
    </w:p>
    <w:p>
      <w:pPr>
        <w:widowControl/>
      </w:pPr>
      <w:r>
        <w:t>“</w:t>
      </w:r>
      <w:r>
        <w:rPr>
          <w:b w:val="0"/>
          <w:i w:val="0"/>
        </w:rPr>
        <w:t>Body precisely as body</w:t>
      </w:r>
      <w:r>
        <w:t>”</w:t>
      </w:r>
      <w:r>
        <w:rPr>
          <w:b w:val="0"/>
          <w:i w:val="0"/>
        </w:rPr>
        <w:t xml:space="preserve"> preserves quatenus corpus at I.2.1. Omitting that restriction makes the denial of bodily action contradict the subsequent examples unnecessarily. The prison metaphor and the technical matter/quantity analysis answer different questions.</w:t>
      </w:r>
    </w:p>
    <w:p>
      <w:pPr>
        <w:keepNext/>
        <w:widowControl/>
      </w:pPr>
      <w:r>
        <w:rPr>
          <w:b/>
          <w:i w:val="0"/>
        </w:rPr>
        <w:t>See also.</w:t>
      </w:r>
    </w:p>
    <w:p>
      <w:pPr>
        <w:widowControl/>
      </w:pPr>
      <w:hyperlink w:anchor="matter">
        <w:r>
          <w:rPr>
            <w:color w:val="000000"/>
          </w:rPr>
          <w:t xml:space="preserve">Matter</w:t>
        </w:r>
      </w:hyperlink>
      <w:r>
        <w:rPr>
          <w:b w:val="0"/>
          <w:i w:val="0"/>
        </w:rPr>
        <w:t xml:space="preserve">; </w:t>
      </w:r>
      <w:hyperlink w:anchor="quantity-and-dimension">
        <w:r>
          <w:rPr>
            <w:color w:val="000000"/>
          </w:rPr>
          <w:t xml:space="preserve">Quantity and dimension</w:t>
        </w:r>
      </w:hyperlink>
      <w:r>
        <w:rPr>
          <w:b w:val="0"/>
          <w:i w:val="0"/>
        </w:rPr>
        <w:t xml:space="preserve">; </w:t>
      </w:r>
      <w:hyperlink w:anchor="quality">
        <w:r>
          <w:rPr>
            <w:color w:val="000000"/>
          </w:rPr>
          <w:t xml:space="preserve">Quality</w:t>
        </w:r>
      </w:hyperlink>
      <w:r>
        <w:rPr>
          <w:b w:val="0"/>
          <w:i w:val="0"/>
        </w:rPr>
        <w:t xml:space="preserve">; </w:t>
      </w:r>
      <w:hyperlink w:anchor="prison-and-homeland">
        <w:r>
          <w:rPr>
            <w:color w:val="000000"/>
          </w:rPr>
          <w:t xml:space="preserve">Prison and homeland</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soul">
        <w:r>
          <w:rPr>
            <w:color w:val="000000"/>
          </w:rPr>
          <w:t xml:space="preserve">Soul</w:t>
        </w:r>
      </w:hyperlink>
    </w:p>
    <w:p>
      <w:bookmarkStart w:id="47" w:name="bond-knot-and-chain"/>
      <w:pPr>
        <w:pStyle w:val="Heading2"/>
      </w:pPr>
      <w:r>
        <w:rPr>
          <w:b w:val="0"/>
          <w:i w:val="0"/>
        </w:rPr>
        <w:t>Bond knot and chain</w:t>
      </w:r>
      <w:bookmarkEnd w:id="47"/>
    </w:p>
    <w:p>
      <w:pPr>
        <w:keepNext/>
        <w:widowControl/>
      </w:pPr>
      <w:r>
        <w:rPr>
          <w:b/>
          <w:i w:val="0"/>
        </w:rPr>
        <w:t>Latin:</w:t>
      </w:r>
      <w:r>
        <w:rPr>
          <w:b w:val="0"/>
          <w:i w:val="0"/>
        </w:rPr>
        <w:t xml:space="preserve"> </w:t>
      </w:r>
      <w:r>
        <w:rPr>
          <w:b w:val="0"/>
          <w:i/>
        </w:rPr>
        <w:t>vinculum</w:t>
      </w:r>
      <w:r>
        <w:rPr>
          <w:b w:val="0"/>
          <w:i w:val="0"/>
        </w:rPr>
        <w:t xml:space="preserve">; </w:t>
      </w:r>
      <w:r>
        <w:rPr>
          <w:b w:val="0"/>
          <w:i/>
        </w:rPr>
        <w:t>nodus</w:t>
      </w:r>
      <w:r>
        <w:rPr>
          <w:b w:val="0"/>
          <w:i w:val="0"/>
        </w:rPr>
        <w:t xml:space="preserve">; </w:t>
      </w:r>
      <w:r>
        <w:rPr>
          <w:b w:val="0"/>
          <w:i/>
        </w:rPr>
        <w:t>copula mundi</w:t>
      </w:r>
      <w:r>
        <w:rPr>
          <w:b w:val="0"/>
          <w:i w:val="0"/>
        </w:rPr>
        <w:t xml:space="preserve">; </w:t>
      </w:r>
      <w:r>
        <w:rPr>
          <w:b w:val="0"/>
          <w:i/>
        </w:rPr>
        <w:t>connexio</w:t>
      </w:r>
      <w:r>
        <w:rPr>
          <w:b w:val="0"/>
          <w:i w:val="0"/>
        </w:rPr>
        <w:t xml:space="preserve">; </w:t>
      </w:r>
      <w:r>
        <w:rPr>
          <w:b w:val="0"/>
          <w:i/>
        </w:rPr>
        <w:t>mundi series</w:t>
      </w:r>
      <w:r>
        <w:rPr>
          <w:b w:val="0"/>
          <w:i w:val="0"/>
        </w:rPr>
        <w:t xml:space="preserve">; </w:t>
      </w:r>
      <w:r>
        <w:rPr>
          <w:b w:val="0"/>
          <w:i/>
        </w:rPr>
        <w:t>conglutinare; copulare; connectere; colligare; deserere</w:t>
      </w:r>
    </w:p>
    <w:p>
      <w:pPr>
        <w:keepNext/>
        <w:widowControl/>
      </w:pPr>
      <w:r>
        <w:rPr>
          <w:b/>
          <w:i w:val="0"/>
        </w:rPr>
        <w:t>The word.</w:t>
      </w:r>
    </w:p>
    <w:p>
      <w:pPr>
        <w:widowControl/>
      </w:pPr>
      <w:r>
        <w:rPr>
          <w:b w:val="0"/>
          <w:i w:val="0"/>
        </w:rPr>
        <w:t>Vinculum, nodus, copula and connexio name bonds, knots and connections; series can name an ordered chain. The figures convey active mediation and preservation, not literal cords or links.</w:t>
      </w:r>
    </w:p>
    <w:p>
      <w:pPr>
        <w:widowControl/>
      </w:pPr>
      <w:r>
        <w:rPr>
          <w:b w:val="0"/>
          <w:i w:val="0"/>
        </w:rPr>
        <w:t>The connecting verbs range from gluing together to linking or binding. Deserere means abandoning: its repeated negation explains the bond’s ability to retain relations to both extremes.</w:t>
      </w:r>
    </w:p>
    <w:p>
      <w:pPr>
        <w:keepNext/>
        <w:widowControl/>
      </w:pPr>
      <w:r>
        <w:rPr>
          <w:b/>
          <w:i w:val="0"/>
        </w:rPr>
        <w:t>In the Platonic Theology.</w:t>
      </w:r>
    </w:p>
    <w:p>
      <w:pPr>
        <w:widowControl/>
      </w:pPr>
      <w:r>
        <w:rPr>
          <w:b w:val="0"/>
          <w:i w:val="0"/>
        </w:rPr>
        <w:t>The text’s linking words explain how a universe of unequal grades can form one work. Soul is the bond joining eternal and temporal things, the connection of higher and lower, and ultimately the knot and bond of the world. Its capacity to maintain both attachments distinguishes it from angel, oriented wholly upward, and quality, joined to body. The linkage is consequently active and reciprocal in direction: knowledge of higher realities and communication of life to lower ones belong to the same intermediate nature.</w:t>
      </w:r>
    </w:p>
    <w:p>
      <w:pPr>
        <w:widowControl/>
      </w:pPr>
      <w:r>
        <w:rPr>
          <w:b w:val="0"/>
          <w:i w:val="0"/>
        </w:rPr>
        <w:t xml:space="preserve">A related but distinct knot appears in III.1.5. There the </w:t>
      </w:r>
      <w:r>
        <w:t>“</w:t>
      </w:r>
      <w:r>
        <w:rPr>
          <w:b w:val="0"/>
          <w:i w:val="0"/>
        </w:rPr>
        <w:t>divine knot</w:t>
      </w:r>
      <w:r>
        <w:t>”</w:t>
      </w:r>
      <w:r>
        <w:rPr>
          <w:b w:val="0"/>
          <w:i w:val="0"/>
        </w:rPr>
        <w:t xml:space="preserve"> is God’s preservation of beings that might otherwise be dissoluble, through the predominance of unity and stability over multiplicity and movement. It should not automatically be treated as another name for soul in that sentence. Likewise, </w:t>
      </w:r>
      <w:r>
        <w:rPr>
          <w:b w:val="0"/>
          <w:i/>
        </w:rPr>
        <w:t>mundi series</w:t>
      </w:r>
      <w:r>
        <w:rPr>
          <w:b w:val="0"/>
          <w:i w:val="0"/>
        </w:rPr>
        <w:t>, rendered the world’s chain, belongs to the final cluster of relational descriptions of soul; the text does not invite the reader to imagine a literal material chain. Keeping the different occurrences distinct preserves both divine conservation and psychic mediation.</w:t>
      </w:r>
    </w:p>
    <w:p>
      <w:pPr>
        <w:widowControl/>
      </w:pPr>
      <w:r>
        <w:rPr>
          <w:b w:val="0"/>
          <w:i w:val="0"/>
        </w:rPr>
        <w:t>III.2.6 describes a many-membered work as most perfect when glued into a coherent whole. At III.2.8 soul’s mediation is defined negatively as well as positively: in ascending it does not desert lower things, and in descending it does not leave higher things. A one-way departure would make it another extreme. The light analogy therefore tests maintained connection, not a journey ending in abandonment.</w:t>
      </w:r>
    </w:p>
    <w:p>
      <w:pPr>
        <w:keepNext/>
        <w:widowControl/>
      </w:pPr>
      <w:r>
        <w:rPr>
          <w:b/>
          <w:i w:val="0"/>
        </w:rPr>
        <w:t>The places.</w:t>
      </w:r>
    </w:p>
    <w:p>
      <w:pPr>
        <w:ind w:left="187" w:hanging="187"/>
      </w:pPr>
      <w:r>
        <w:t xml:space="preserve">• </w:t>
      </w:r>
      <w:r>
        <w:rPr>
          <w:b/>
          <w:i w:val="0"/>
        </w:rPr>
        <w:t>I.1.7, PDF 16–17</w:t>
      </w:r>
      <w:r>
        <w:rPr>
          <w:b w:val="0"/>
          <w:i w:val="0"/>
        </w:rPr>
        <w:t>. Rational soul is the bond of nature through joining higher and lower grades.</w:t>
      </w:r>
    </w:p>
    <w:p>
      <w:pPr>
        <w:ind w:left="187" w:hanging="187"/>
      </w:pPr>
      <w:r>
        <w:t xml:space="preserve">• </w:t>
      </w:r>
      <w:r>
        <w:rPr>
          <w:b/>
          <w:i w:val="0"/>
        </w:rPr>
        <w:t>III.1.5, PDF 240–241</w:t>
      </w:r>
      <w:r>
        <w:rPr>
          <w:b w:val="0"/>
          <w:i w:val="0"/>
        </w:rPr>
        <w:t>. The divine knot preserves beings whose components could otherwise be dissolved.</w:t>
      </w:r>
    </w:p>
    <w:p>
      <w:pPr>
        <w:ind w:left="187" w:hanging="187"/>
      </w:pPr>
      <w:r>
        <w:t xml:space="preserve">• </w:t>
      </w:r>
      <w:r>
        <w:rPr>
          <w:b/>
          <w:i w:val="0"/>
        </w:rPr>
        <w:t>III.2.23, PDF 274–275</w:t>
      </w:r>
      <w:r>
        <w:rPr>
          <w:b w:val="0"/>
          <w:i w:val="0"/>
        </w:rPr>
        <w:t>. Soul’s middle office receives a cluster of relational names, including chain, knot and bond.</w:t>
      </w:r>
    </w:p>
    <w:p>
      <w:pPr>
        <w:widowControl/>
      </w:pPr>
      <w:r>
        <w:rPr>
          <w:b/>
          <w:i w:val="0"/>
        </w:rPr>
        <w:t>Further passage references.</w:t>
      </w:r>
      <w:r>
        <w:rPr>
          <w:b w:val="0"/>
          <w:i w:val="0"/>
        </w:rPr>
        <w:t xml:space="preserve"> III.1.5, PDF 240–241; III.2.3, 7–8, 22–23, PDF 262–275</w:t>
      </w:r>
    </w:p>
    <w:p>
      <w:pPr>
        <w:widowControl/>
        <w:keepNext/>
      </w:pPr>
      <w:r>
        <w:rPr>
          <w:b w:val="0"/>
          <w:i w:val="0"/>
        </w:rPr>
        <w:t>Selected annotated passages.</w:t>
      </w:r>
    </w:p>
    <w:p>
      <w:pPr>
        <w:ind w:left="187" w:hanging="187"/>
      </w:pPr>
      <w:r>
        <w:t xml:space="preserve">• </w:t>
      </w:r>
      <w:r>
        <w:rPr>
          <w:b/>
          <w:i w:val="0"/>
        </w:rPr>
        <w:t>III.2.6 (Latin PDF p. 264; English PDF p. 265).</w:t>
      </w:r>
      <w:r>
        <w:rPr>
          <w:b w:val="0"/>
          <w:i w:val="0"/>
        </w:rPr>
        <w:t xml:space="preserve"> Gluing models unity among differentiated members.</w:t>
      </w:r>
    </w:p>
    <w:p>
      <w:pPr>
        <w:ind w:left="187" w:hanging="187"/>
      </w:pPr>
      <w:r>
        <w:t xml:space="preserve">• </w:t>
      </w:r>
      <w:r>
        <w:rPr>
          <w:b/>
          <w:i w:val="0"/>
        </w:rPr>
        <w:t>III.2.8 (Latin PDF p. 266; English PDF p. 267).</w:t>
      </w:r>
      <w:r>
        <w:rPr>
          <w:b w:val="0"/>
          <w:i w:val="0"/>
        </w:rPr>
        <w:t xml:space="preserve"> Repeated non-abandonment distinguishes true mediation from movement into one extreme.</w:t>
      </w:r>
    </w:p>
    <w:p>
      <w:pPr>
        <w:keepNext/>
        <w:widowControl/>
      </w:pPr>
      <w:r>
        <w:rPr>
          <w:b/>
          <w:i w:val="0"/>
        </w:rPr>
        <w:t>In this edition.</w:t>
      </w:r>
    </w:p>
    <w:p>
      <w:pPr>
        <w:widowControl/>
      </w:pPr>
      <w:r>
        <w:rPr>
          <w:b w:val="0"/>
          <w:i w:val="0"/>
        </w:rPr>
        <w:t xml:space="preserve">Distinguish the </w:t>
      </w:r>
      <w:r>
        <w:t>“</w:t>
      </w:r>
      <w:r>
        <w:rPr>
          <w:b w:val="0"/>
          <w:i w:val="0"/>
        </w:rPr>
        <w:t>divine knot</w:t>
      </w:r>
      <w:r>
        <w:t>”</w:t>
      </w:r>
      <w:r>
        <w:rPr>
          <w:b w:val="0"/>
          <w:i w:val="0"/>
        </w:rPr>
        <w:t xml:space="preserve"> preserving otherwise dissoluble things in III.1.5 from the </w:t>
      </w:r>
      <w:r>
        <w:t>“</w:t>
      </w:r>
      <w:r>
        <w:rPr>
          <w:b w:val="0"/>
          <w:i w:val="0"/>
        </w:rPr>
        <w:t>knot and bond of the world</w:t>
      </w:r>
      <w:r>
        <w:t>”</w:t>
      </w:r>
      <w:r>
        <w:rPr>
          <w:b w:val="0"/>
          <w:i w:val="0"/>
        </w:rPr>
        <w:t xml:space="preserve"> applied to soul in III.2.23. Sharing an image does not make God’s preserving action and soul’s mediating nature identical.</w:t>
      </w:r>
    </w:p>
    <w:p>
      <w:pPr>
        <w:widowControl/>
      </w:pPr>
      <w:r>
        <w:rPr>
          <w:b w:val="0"/>
          <w:i w:val="0"/>
        </w:rPr>
        <w:t xml:space="preserve">The English </w:t>
      </w:r>
      <w:r>
        <w:t>“</w:t>
      </w:r>
      <w:r>
        <w:rPr>
          <w:b w:val="0"/>
          <w:i w:val="0"/>
        </w:rPr>
        <w:t>joined,</w:t>
      </w:r>
      <w:r>
        <w:t>”</w:t>
      </w:r>
      <w:r>
        <w:rPr>
          <w:b w:val="0"/>
          <w:i w:val="0"/>
        </w:rPr>
        <w:t xml:space="preserve"> </w:t>
      </w:r>
      <w:r>
        <w:t>“</w:t>
      </w:r>
      <w:r>
        <w:rPr>
          <w:b w:val="0"/>
          <w:i w:val="0"/>
        </w:rPr>
        <w:t>connection,</w:t>
      </w:r>
      <w:r>
        <w:t>”</w:t>
      </w:r>
      <w:r>
        <w:rPr>
          <w:b w:val="0"/>
          <w:i w:val="0"/>
        </w:rPr>
        <w:t xml:space="preserve"> and </w:t>
      </w:r>
      <w:r>
        <w:t>“</w:t>
      </w:r>
      <w:r>
        <w:rPr>
          <w:b w:val="0"/>
          <w:i w:val="0"/>
        </w:rPr>
        <w:t>bond</w:t>
      </w:r>
      <w:r>
        <w:t>”</w:t>
      </w:r>
      <w:r>
        <w:rPr>
          <w:b w:val="0"/>
          <w:i w:val="0"/>
        </w:rPr>
        <w:t xml:space="preserve"> translate a varied family. The metaphor of gluing does not require material adhesion between soul and God.</w:t>
      </w:r>
    </w:p>
    <w:p>
      <w:pPr>
        <w:keepNext/>
        <w:widowControl/>
      </w:pPr>
      <w:r>
        <w:rPr>
          <w:b/>
          <w:i w:val="0"/>
        </w:rPr>
        <w:t>See also.</w:t>
      </w:r>
    </w:p>
    <w:p>
      <w:pPr>
        <w:widowControl/>
      </w:pPr>
      <w:hyperlink w:anchor="degree-and-mediation">
        <w:r>
          <w:rPr>
            <w:color w:val="000000"/>
          </w:rPr>
          <w:t xml:space="preserve">Degree and mediation</w:t>
        </w:r>
      </w:hyperlink>
      <w:r>
        <w:rPr>
          <w:b w:val="0"/>
          <w:i w:val="0"/>
        </w:rPr>
        <w:t xml:space="preserve">; </w:t>
      </w:r>
      <w:hyperlink w:anchor="indwelling-and-presence">
        <w:r>
          <w:rPr>
            <w:color w:val="000000"/>
          </w:rPr>
          <w:t xml:space="preserve">Indwelling and presence</w:t>
        </w:r>
      </w:hyperlink>
      <w:r>
        <w:rPr>
          <w:b w:val="0"/>
          <w:i w:val="0"/>
        </w:rPr>
        <w:t xml:space="preserve">; </w:t>
      </w:r>
      <w:hyperlink w:anchor="order-and-harmony">
        <w:r>
          <w:rPr>
            <w:color w:val="000000"/>
          </w:rPr>
          <w:t xml:space="preserve">Order and harmony</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p>
    <w:p>
      <w:pPr>
        <w:widowControl/>
      </w:pPr>
      <w:hyperlink w:anchor="soul">
        <w:r>
          <w:rPr>
            <w:color w:val="000000"/>
          </w:rPr>
          <w:t xml:space="preserve">Soul</w:t>
        </w:r>
      </w:hyperlink>
      <w:r>
        <w:rPr>
          <w:b w:val="0"/>
          <w:i w:val="0"/>
        </w:rPr>
        <w:t xml:space="preserve">; </w:t>
      </w:r>
      <w:hyperlink w:anchor="ascent">
        <w:r>
          <w:rPr>
            <w:color w:val="000000"/>
          </w:rPr>
          <w:t xml:space="preserve">Ascent</w:t>
        </w:r>
      </w:hyperlink>
      <w:r>
        <w:rPr>
          <w:b w:val="0"/>
          <w:i w:val="0"/>
        </w:rPr>
        <w:t xml:space="preserve">; </w:t>
      </w:r>
      <w:hyperlink w:anchor="indwelling-and-presence">
        <w:r>
          <w:rPr>
            <w:color w:val="000000"/>
          </w:rPr>
          <w:t xml:space="preserve">Indwelling and presence</w:t>
        </w:r>
      </w:hyperlink>
      <w:r>
        <w:rPr>
          <w:b w:val="0"/>
          <w:i w:val="0"/>
        </w:rPr>
        <w:t>.</w:t>
      </w:r>
    </w:p>
    <w:p>
      <w:bookmarkStart w:id="48" w:name="borrowing-and-assistance"/>
      <w:pPr>
        <w:pStyle w:val="Heading2"/>
      </w:pPr>
      <w:r>
        <w:rPr>
          <w:b w:val="0"/>
          <w:i w:val="0"/>
        </w:rPr>
        <w:t>Borrowing and assistance</w:t>
      </w:r>
      <w:bookmarkEnd w:id="48"/>
    </w:p>
    <w:p>
      <w:pPr>
        <w:keepNext/>
        <w:widowControl/>
      </w:pPr>
      <w:r>
        <w:rPr>
          <w:b/>
          <w:i w:val="0"/>
        </w:rPr>
        <w:t>Latin:</w:t>
      </w:r>
      <w:r>
        <w:rPr>
          <w:b w:val="0"/>
          <w:i w:val="0"/>
        </w:rPr>
        <w:t xml:space="preserve"> auxilio indigere; materiam mutuari; mutuant invicem naturas; subsidio indiget; adiuvante Deo</w:t>
      </w:r>
    </w:p>
    <w:p>
      <w:pPr>
        <w:keepNext/>
        <w:widowControl/>
      </w:pPr>
      <w:r>
        <w:rPr>
          <w:b/>
          <w:i w:val="0"/>
        </w:rPr>
        <w:t>The word.</w:t>
      </w:r>
    </w:p>
    <w:p>
      <w:pPr>
        <w:widowControl/>
      </w:pPr>
      <w:r>
        <w:rPr>
          <w:b w:val="0"/>
          <w:i w:val="0"/>
        </w:rPr>
        <w:t>Mutuari is to borrow or draw from another; auxilium and subsidium are aid or support. Indigere marks need. The related mutuant in the cosmic-order passage describes exchanging natures, showing that the vocabulary is wider than monetary lending.</w:t>
      </w:r>
    </w:p>
    <w:p>
      <w:pPr>
        <w:keepNext/>
        <w:widowControl/>
      </w:pPr>
      <w:r>
        <w:rPr>
          <w:b/>
          <w:i w:val="0"/>
        </w:rPr>
        <w:t>In the Platonic Theology.</w:t>
      </w:r>
    </w:p>
    <w:p>
      <w:pPr>
        <w:widowControl/>
      </w:pPr>
      <w:r>
        <w:rPr>
          <w:b w:val="0"/>
          <w:i w:val="0"/>
        </w:rPr>
        <w:t>God is called cause in the proper sense because he produces a whole thing without needing another’s assistance or borrowing matter. Created agents work with powers and materials they have not independently supplied. Their need does not make their action fictitious; it identifies its dependence and restricted scope.</w:t>
      </w:r>
    </w:p>
    <w:p>
      <w:pPr>
        <w:widowControl/>
      </w:pPr>
      <w:r>
        <w:rPr>
          <w:b w:val="0"/>
          <w:i w:val="0"/>
        </w:rPr>
        <w:t xml:space="preserve">The phrase </w:t>
      </w:r>
      <w:r>
        <w:t>“</w:t>
      </w:r>
      <w:r>
        <w:rPr>
          <w:b w:val="0"/>
          <w:i w:val="0"/>
        </w:rPr>
        <w:t>with God’s aid</w:t>
      </w:r>
      <w:r>
        <w:t>”</w:t>
      </w:r>
      <w:r>
        <w:rPr>
          <w:b w:val="0"/>
          <w:i w:val="0"/>
        </w:rPr>
        <w:t xml:space="preserve"> in II.7.30 accompanies subordinate agents’ differentiation of universal divine action. It should not suggest two independent contractors who each supply a missing part: the next unit says divine power differentiates itself through various intermediaries. Conversely, the recipient’s continual need for support does not mean only occasional rescue after a mishap. The shadow comparison makes the support constitutive of continuing being.</w:t>
      </w:r>
    </w:p>
    <w:p>
      <w:pPr>
        <w:keepNext/>
        <w:widowControl/>
      </w:pPr>
      <w:r>
        <w:rPr>
          <w:b/>
          <w:i w:val="0"/>
        </w:rPr>
        <w:t>The places.</w:t>
      </w:r>
    </w:p>
    <w:p>
      <w:pPr>
        <w:ind w:left="187" w:hanging="187"/>
      </w:pPr>
      <w:r>
        <w:t xml:space="preserve">• </w:t>
      </w:r>
      <w:r>
        <w:rPr>
          <w:b w:val="0"/>
          <w:i w:val="0"/>
        </w:rPr>
        <w:t>II.2.9 (PDF pp. 110–111): Cosmic parts exchange natures in the mutual order of the world</w:t>
      </w:r>
    </w:p>
    <w:p>
      <w:pPr>
        <w:ind w:left="187" w:hanging="187"/>
      </w:pPr>
      <w:r>
        <w:t xml:space="preserve">• </w:t>
      </w:r>
      <w:r>
        <w:rPr>
          <w:b w:val="0"/>
          <w:i w:val="0"/>
        </w:rPr>
        <w:t>II.7.21, II.7.22 (PDF pp. 152–155): The first cause borrows no matter; the whole effect requires continual support</w:t>
      </w:r>
    </w:p>
    <w:p>
      <w:pPr>
        <w:ind w:left="187" w:hanging="187"/>
      </w:pPr>
      <w:r>
        <w:t xml:space="preserve">• </w:t>
      </w:r>
      <w:r>
        <w:rPr>
          <w:b w:val="0"/>
          <w:i w:val="0"/>
        </w:rPr>
        <w:t>II.7.30, II.7.31 (PDF pp. 156–159): Divine aid and mediated differentiation belong to one dependent causal order</w:t>
      </w:r>
    </w:p>
    <w:p>
      <w:pPr>
        <w:keepNext/>
        <w:widowControl/>
      </w:pPr>
      <w:r>
        <w:rPr>
          <w:b/>
          <w:i w:val="0"/>
        </w:rPr>
        <w:t>In this edition.</w:t>
      </w:r>
    </w:p>
    <w:p>
      <w:pPr>
        <w:widowControl/>
      </w:pPr>
      <w:r>
        <w:rPr>
          <w:b w:val="0"/>
          <w:i w:val="0"/>
        </w:rPr>
        <w:t xml:space="preserve">The translation’s </w:t>
      </w:r>
      <w:r>
        <w:t>“</w:t>
      </w:r>
      <w:r>
        <w:rPr>
          <w:b w:val="0"/>
          <w:i w:val="0"/>
        </w:rPr>
        <w:t>borrow matter</w:t>
      </w:r>
      <w:r>
        <w:t>”</w:t>
      </w:r>
      <w:r>
        <w:rPr>
          <w:b w:val="0"/>
          <w:i w:val="0"/>
        </w:rPr>
        <w:t xml:space="preserve"> preserves a deliberate ordinary-life comparison. </w:t>
      </w:r>
      <w:r>
        <w:t>“</w:t>
      </w:r>
      <w:r>
        <w:rPr>
          <w:b w:val="0"/>
          <w:i w:val="0"/>
        </w:rPr>
        <w:t>Aid</w:t>
      </w:r>
      <w:r>
        <w:t>”</w:t>
      </w:r>
      <w:r>
        <w:rPr>
          <w:b w:val="0"/>
          <w:i w:val="0"/>
        </w:rPr>
        <w:t xml:space="preserve"> should be read beside the claim that God gives being, power, and action, rather than as assistance added to an otherwise self-sufficient agent.</w:t>
      </w:r>
    </w:p>
    <w:p>
      <w:pPr>
        <w:keepNext/>
        <w:widowControl/>
      </w:pPr>
      <w:r>
        <w:rPr>
          <w:b/>
          <w:i w:val="0"/>
        </w:rPr>
        <w:t>See also.</w:t>
      </w:r>
    </w:p>
    <w:p>
      <w:pPr>
        <w:widowControl/>
      </w:pPr>
      <w:hyperlink w:anchor="cause">
        <w:r>
          <w:rPr>
            <w:color w:val="000000"/>
          </w:rPr>
          <w:t xml:space="preserve">Cause</w:t>
        </w:r>
      </w:hyperlink>
      <w:r>
        <w:rPr>
          <w:b w:val="0"/>
          <w:i w:val="0"/>
        </w:rPr>
        <w:t xml:space="preserve">; </w:t>
      </w:r>
      <w:hyperlink w:anchor="instrument">
        <w:r>
          <w:rPr>
            <w:color w:val="000000"/>
          </w:rPr>
          <w:t xml:space="preserve">Instrument</w:t>
        </w:r>
      </w:hyperlink>
      <w:r>
        <w:rPr>
          <w:b w:val="0"/>
          <w:i w:val="0"/>
        </w:rPr>
        <w:t xml:space="preserve">; </w:t>
      </w:r>
      <w:hyperlink w:anchor="dependence-and-receiving">
        <w:r>
          <w:rPr>
            <w:color w:val="000000"/>
          </w:rPr>
          <w:t xml:space="preserve">Dependence and receiving</w:t>
        </w:r>
      </w:hyperlink>
      <w:r>
        <w:rPr>
          <w:b w:val="0"/>
          <w:i w:val="0"/>
        </w:rPr>
        <w:t xml:space="preserve">; </w:t>
      </w:r>
      <w:hyperlink w:anchor="creation">
        <w:r>
          <w:rPr>
            <w:color w:val="000000"/>
          </w:rPr>
          <w:t xml:space="preserve">Creation</w:t>
        </w:r>
      </w:hyperlink>
      <w:r>
        <w:rPr>
          <w:b w:val="0"/>
          <w:i w:val="0"/>
        </w:rPr>
        <w:t>.</w:t>
      </w:r>
    </w:p>
    <w:p>
      <w:bookmarkStart w:id="49" w:name="bounds-and-restriction"/>
      <w:pPr>
        <w:pStyle w:val="Heading2"/>
      </w:pPr>
      <w:r>
        <w:rPr>
          <w:b w:val="0"/>
          <w:i w:val="0"/>
        </w:rPr>
        <w:t>Bounds and restriction</w:t>
      </w:r>
      <w:bookmarkEnd w:id="49"/>
    </w:p>
    <w:p>
      <w:pPr>
        <w:keepNext/>
        <w:widowControl/>
      </w:pPr>
      <w:r>
        <w:rPr>
          <w:b/>
          <w:i w:val="0"/>
        </w:rPr>
        <w:t>Latin:</w:t>
      </w:r>
      <w:r>
        <w:rPr>
          <w:b w:val="0"/>
          <w:i w:val="0"/>
        </w:rPr>
        <w:t xml:space="preserve"> angustiis circumscribitur; limite coarctatur; cohiberi; terminante; finiri; terminum; capiant; alligantur</w:t>
      </w:r>
    </w:p>
    <w:p>
      <w:pPr>
        <w:keepNext/>
        <w:widowControl/>
      </w:pPr>
      <w:r>
        <w:rPr>
          <w:b/>
          <w:i w:val="0"/>
        </w:rPr>
        <w:t>The word.</w:t>
      </w:r>
    </w:p>
    <w:p>
      <w:pPr>
        <w:widowControl/>
      </w:pPr>
      <w:r>
        <w:rPr>
          <w:b w:val="0"/>
          <w:i w:val="0"/>
        </w:rPr>
        <w:t>Circumscribere marks drawing a boundary around; coarctare narrows or constrains; cohibere holds within bounds; alligare binds. Terminare and finire can limit a thing’s scope or determine its character. None is restricted to a drawn line in physical space.</w:t>
      </w:r>
    </w:p>
    <w:p>
      <w:pPr>
        <w:keepNext/>
        <w:widowControl/>
      </w:pPr>
      <w:r>
        <w:rPr>
          <w:b/>
          <w:i w:val="0"/>
        </w:rPr>
        <w:t>In the Platonic Theology.</w:t>
      </w:r>
    </w:p>
    <w:p>
      <w:pPr>
        <w:widowControl/>
      </w:pPr>
      <w:r>
        <w:rPr>
          <w:b w:val="0"/>
          <w:i w:val="0"/>
        </w:rPr>
        <w:t>A common nature received in different things is confined within their limits, unlike unity subsisting in itself. Act and being receive limits, Ficino argues, from a receptive subject or a limiting cause; these are metaphysical restrictions, not necessarily external walls. Divine power lacks both.</w:t>
      </w:r>
    </w:p>
    <w:p>
      <w:pPr>
        <w:widowControl/>
      </w:pPr>
      <w:r>
        <w:rPr>
          <w:b w:val="0"/>
          <w:i w:val="0"/>
        </w:rPr>
        <w:t xml:space="preserve">The omnipresence chapter distinguishes a boundary of place around a thing from a boundary of dignity within it. The paired expressions prevent </w:t>
      </w:r>
      <w:r>
        <w:t>“</w:t>
      </w:r>
      <w:r>
        <w:rPr>
          <w:b w:val="0"/>
          <w:i w:val="0"/>
        </w:rPr>
        <w:t>infinite</w:t>
      </w:r>
      <w:r>
        <w:t>”</w:t>
      </w:r>
      <w:r>
        <w:rPr>
          <w:b w:val="0"/>
          <w:i w:val="0"/>
        </w:rPr>
        <w:t xml:space="preserve"> from being read only as enormous extension. In the reported account of rational spirits, lower forms are restricted to the matters from which they arise, while rational spirits are neither dimensioned nor bound to a dimension. The latter inference belongs to the authorities’ position and does not erase the chapter’s distinction between God and created mind.</w:t>
      </w:r>
    </w:p>
    <w:p>
      <w:pPr>
        <w:keepNext/>
        <w:widowControl/>
      </w:pPr>
      <w:r>
        <w:rPr>
          <w:b/>
          <w:i w:val="0"/>
        </w:rPr>
        <w:t>The places.</w:t>
      </w:r>
    </w:p>
    <w:p>
      <w:pPr>
        <w:ind w:left="187" w:hanging="187"/>
      </w:pPr>
      <w:r>
        <w:t xml:space="preserve">• </w:t>
      </w:r>
      <w:r>
        <w:rPr>
          <w:b w:val="0"/>
          <w:i w:val="0"/>
        </w:rPr>
        <w:t>II.2.4 (PDF pp. 106–107): Received common nature is circumscribed while unity itself is unconstrained</w:t>
      </w:r>
    </w:p>
    <w:p>
      <w:pPr>
        <w:ind w:left="187" w:hanging="187"/>
      </w:pPr>
      <w:r>
        <w:t xml:space="preserve">• </w:t>
      </w:r>
      <w:r>
        <w:rPr>
          <w:b w:val="0"/>
          <w:i w:val="0"/>
        </w:rPr>
        <w:t>II.4.1, II.4.2 (PDF pp. 122–123): Subject and cause are identified as sources of limitation</w:t>
      </w:r>
    </w:p>
    <w:p>
      <w:pPr>
        <w:ind w:left="187" w:hanging="187"/>
      </w:pPr>
      <w:r>
        <w:t xml:space="preserve">• </w:t>
      </w:r>
      <w:r>
        <w:rPr>
          <w:b w:val="0"/>
          <w:i w:val="0"/>
        </w:rPr>
        <w:t>II.6.4, II.6.15 (PDF pp. 128–129, 136–137): Spatial limits are distinguished from limits of dignity and from material attachment</w:t>
      </w:r>
    </w:p>
    <w:p>
      <w:pPr>
        <w:keepNext/>
        <w:widowControl/>
      </w:pPr>
      <w:r>
        <w:rPr>
          <w:b/>
          <w:i w:val="0"/>
        </w:rPr>
        <w:t>In this edition.</w:t>
      </w:r>
    </w:p>
    <w:p>
      <w:pPr>
        <w:widowControl/>
      </w:pPr>
      <w:r>
        <w:rPr>
          <w:b w:val="0"/>
          <w:i w:val="0"/>
        </w:rPr>
        <w:t xml:space="preserve">The local English uses </w:t>
      </w:r>
      <w:r>
        <w:t>“</w:t>
      </w:r>
      <w:r>
        <w:rPr>
          <w:b w:val="0"/>
          <w:i w:val="0"/>
        </w:rPr>
        <w:t>bounded,</w:t>
      </w:r>
      <w:r>
        <w:t>”</w:t>
      </w:r>
      <w:r>
        <w:rPr>
          <w:b w:val="0"/>
          <w:i w:val="0"/>
        </w:rPr>
        <w:t xml:space="preserve"> </w:t>
      </w:r>
      <w:r>
        <w:t>“</w:t>
      </w:r>
      <w:r>
        <w:rPr>
          <w:b w:val="0"/>
          <w:i w:val="0"/>
        </w:rPr>
        <w:t>confined,</w:t>
      </w:r>
      <w:r>
        <w:t>”</w:t>
      </w:r>
      <w:r>
        <w:rPr>
          <w:b w:val="0"/>
          <w:i w:val="0"/>
        </w:rPr>
        <w:t xml:space="preserve"> </w:t>
      </w:r>
      <w:r>
        <w:t>“</w:t>
      </w:r>
      <w:r>
        <w:rPr>
          <w:b w:val="0"/>
          <w:i w:val="0"/>
        </w:rPr>
        <w:t>constrained,</w:t>
      </w:r>
      <w:r>
        <w:t>”</w:t>
      </w:r>
      <w:r>
        <w:rPr>
          <w:b w:val="0"/>
          <w:i w:val="0"/>
        </w:rPr>
        <w:t xml:space="preserve"> and </w:t>
      </w:r>
      <w:r>
        <w:t>“</w:t>
      </w:r>
      <w:r>
        <w:rPr>
          <w:b w:val="0"/>
          <w:i w:val="0"/>
        </w:rPr>
        <w:t>bound.</w:t>
      </w:r>
      <w:r>
        <w:t>”</w:t>
      </w:r>
      <w:r>
        <w:rPr>
          <w:b w:val="0"/>
          <w:i w:val="0"/>
        </w:rPr>
        <w:t xml:space="preserve"> A limiting subject in II.4 is a recipient or bearer, not a knowing subject in the modern psychological sense.</w:t>
      </w:r>
    </w:p>
    <w:p>
      <w:pPr>
        <w:keepNext/>
        <w:widowControl/>
      </w:pPr>
      <w:r>
        <w:rPr>
          <w:b/>
          <w:i w:val="0"/>
        </w:rPr>
        <w:t>See also.</w:t>
      </w:r>
    </w:p>
    <w:p>
      <w:pPr>
        <w:widowControl/>
      </w:pPr>
      <w:hyperlink w:anchor="end-and-limit">
        <w:r>
          <w:rPr>
            <w:color w:val="000000"/>
          </w:rPr>
          <w:t xml:space="preserve">End and limit</w:t>
        </w:r>
      </w:hyperlink>
      <w:r>
        <w:rPr>
          <w:b w:val="0"/>
          <w:i w:val="0"/>
        </w:rPr>
        <w:t xml:space="preserve">; </w:t>
      </w:r>
      <w:hyperlink w:anchor="power-and-potency">
        <w:r>
          <w:rPr>
            <w:color w:val="000000"/>
          </w:rPr>
          <w:t xml:space="preserve">Power and potency</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infinity">
        <w:r>
          <w:rPr>
            <w:color w:val="000000"/>
          </w:rPr>
          <w:t xml:space="preserve">Infinity</w:t>
        </w:r>
      </w:hyperlink>
      <w:r>
        <w:rPr>
          <w:b w:val="0"/>
          <w:i w:val="0"/>
        </w:rPr>
        <w:t>.</w:t>
      </w:r>
    </w:p>
    <w:p>
      <w:bookmarkStart w:id="50" w:name="burden-labor-and-ease"/>
      <w:pPr>
        <w:pStyle w:val="Heading2"/>
      </w:pPr>
      <w:r>
        <w:rPr>
          <w:b w:val="0"/>
          <w:i w:val="0"/>
        </w:rPr>
        <w:t>Burden labor and ease</w:t>
      </w:r>
      <w:bookmarkEnd w:id="50"/>
    </w:p>
    <w:p>
      <w:pPr>
        <w:keepNext/>
        <w:widowControl/>
      </w:pPr>
      <w:r>
        <w:rPr>
          <w:b/>
          <w:i w:val="0"/>
        </w:rPr>
        <w:t>Latin:</w:t>
      </w:r>
      <w:r>
        <w:rPr>
          <w:b w:val="0"/>
          <w:i w:val="0"/>
        </w:rPr>
        <w:t xml:space="preserve"> sollicitari; onerari; cura; labore; sollicitudine; facillime; facillimo nutu; vibrat</w:t>
      </w:r>
    </w:p>
    <w:p>
      <w:pPr>
        <w:keepNext/>
        <w:widowControl/>
      </w:pPr>
      <w:r>
        <w:rPr>
          <w:b/>
          <w:i w:val="0"/>
        </w:rPr>
        <w:t>The word.</w:t>
      </w:r>
    </w:p>
    <w:p>
      <w:pPr>
        <w:widowControl/>
      </w:pPr>
      <w:r>
        <w:rPr>
          <w:b w:val="0"/>
          <w:i w:val="0"/>
        </w:rPr>
        <w:t>Sollicitari means to be troubled or made anxious; onerari to be burdened. Cura can be care or concern, labor effort or toil, and nutus a nod or directive gesture. Facillime and facillimo emphasize ease.</w:t>
      </w:r>
    </w:p>
    <w:p>
      <w:pPr>
        <w:keepNext/>
        <w:widowControl/>
      </w:pPr>
      <w:r>
        <w:rPr>
          <w:b/>
          <w:i w:val="0"/>
        </w:rPr>
        <w:t>In the Platonic Theology.</w:t>
      </w:r>
    </w:p>
    <w:p>
      <w:pPr>
        <w:widowControl/>
      </w:pPr>
      <w:r>
        <w:rPr>
          <w:b w:val="0"/>
          <w:i w:val="0"/>
        </w:rPr>
        <w:t>The Epicurean objection imagines divine action as burdensome planning and work. Ficino answers by distinguishing action through being from an additional process of deliberation. Sunlight, fire’s heating, and soul’s bodily nutrition illustrate operations that do not wait for choices about every effect. Divine action is easier still, since it proceeds through pure being rather than an essential power distinguished from being.</w:t>
      </w:r>
    </w:p>
    <w:p>
      <w:pPr>
        <w:widowControl/>
      </w:pPr>
      <w:r>
        <w:rPr>
          <w:b w:val="0"/>
          <w:i w:val="0"/>
        </w:rPr>
        <w:t xml:space="preserve">The </w:t>
      </w:r>
      <w:r>
        <w:t>“</w:t>
      </w:r>
      <w:r>
        <w:rPr>
          <w:b w:val="0"/>
          <w:i w:val="0"/>
        </w:rPr>
        <w:t>easiest nod</w:t>
      </w:r>
      <w:r>
        <w:t>”</w:t>
      </w:r>
      <w:r>
        <w:rPr>
          <w:b w:val="0"/>
          <w:i w:val="0"/>
        </w:rPr>
        <w:t xml:space="preserve"> is an image of effortless direction. God’s being is likened to a simple center from which dependent things extend like lines; a minimal gesture sets them in motion. The phrasing should not be literalized into a bodily head or into intermittent commands. Nor does the rejection of burden deny intelligence: II.9.13 identifies divine operation with voluntary cognition.</w:t>
      </w:r>
    </w:p>
    <w:p>
      <w:pPr>
        <w:keepNext/>
        <w:widowControl/>
      </w:pPr>
      <w:r>
        <w:rPr>
          <w:b/>
          <w:i w:val="0"/>
        </w:rPr>
        <w:t>The places.</w:t>
      </w:r>
    </w:p>
    <w:p>
      <w:pPr>
        <w:ind w:left="187" w:hanging="187"/>
      </w:pPr>
      <w:r>
        <w:t xml:space="preserve">• </w:t>
      </w:r>
      <w:r>
        <w:rPr>
          <w:b w:val="0"/>
          <w:i w:val="0"/>
        </w:rPr>
        <w:t>II.8.1, II.8.4 (PDF pp. 160–161): The anticipated Epicurean objection and the response from unlabored natural action</w:t>
      </w:r>
    </w:p>
    <w:p>
      <w:pPr>
        <w:ind w:left="187" w:hanging="187"/>
      </w:pPr>
      <w:r>
        <w:t xml:space="preserve">• </w:t>
      </w:r>
      <w:r>
        <w:rPr>
          <w:b w:val="0"/>
          <w:i w:val="0"/>
        </w:rPr>
        <w:t>II.8.5 (PDF pp. 162–163): The nod and center images explain effortless action through pure being</w:t>
      </w:r>
    </w:p>
    <w:p>
      <w:pPr>
        <w:ind w:left="187" w:hanging="187"/>
      </w:pPr>
      <w:r>
        <w:t xml:space="preserve">• </w:t>
      </w:r>
      <w:r>
        <w:rPr>
          <w:b w:val="0"/>
          <w:i w:val="0"/>
        </w:rPr>
        <w:t>II.9.13 (PDF pp. 168–169): Voluntary cognition prevents ease from becoming mindless action</w:t>
      </w:r>
    </w:p>
    <w:p>
      <w:pPr>
        <w:keepNext/>
        <w:widowControl/>
      </w:pPr>
      <w:r>
        <w:rPr>
          <w:b/>
          <w:i w:val="0"/>
        </w:rPr>
        <w:t>In this edition.</w:t>
      </w:r>
    </w:p>
    <w:p>
      <w:pPr>
        <w:widowControl/>
      </w:pPr>
      <w:r>
        <w:t>“</w:t>
      </w:r>
      <w:r>
        <w:rPr>
          <w:b w:val="0"/>
          <w:i w:val="0"/>
        </w:rPr>
        <w:t>Deliberation</w:t>
      </w:r>
      <w:r>
        <w:t>”</w:t>
      </w:r>
      <w:r>
        <w:rPr>
          <w:b w:val="0"/>
          <w:i w:val="0"/>
        </w:rPr>
        <w:t xml:space="preserve"> and </w:t>
      </w:r>
      <w:r>
        <w:t>“</w:t>
      </w:r>
      <w:r>
        <w:rPr>
          <w:b w:val="0"/>
          <w:i w:val="0"/>
        </w:rPr>
        <w:t>choice</w:t>
      </w:r>
      <w:r>
        <w:t>”</w:t>
      </w:r>
      <w:r>
        <w:rPr>
          <w:b w:val="0"/>
          <w:i w:val="0"/>
        </w:rPr>
        <w:t xml:space="preserve"> are unnecessary as separate supplements to divine being in this argument. The passage does not license replacing </w:t>
      </w:r>
      <w:r>
        <w:t>“</w:t>
      </w:r>
      <w:r>
        <w:rPr>
          <w:b w:val="0"/>
          <w:i w:val="0"/>
        </w:rPr>
        <w:t>intelligent</w:t>
      </w:r>
      <w:r>
        <w:t>”</w:t>
      </w:r>
      <w:r>
        <w:rPr>
          <w:b w:val="0"/>
          <w:i w:val="0"/>
        </w:rPr>
        <w:t xml:space="preserve"> with </w:t>
      </w:r>
      <w:r>
        <w:t>“</w:t>
      </w:r>
      <w:r>
        <w:rPr>
          <w:b w:val="0"/>
          <w:i w:val="0"/>
        </w:rPr>
        <w:t>automatic</w:t>
      </w:r>
      <w:r>
        <w:t>”</w:t>
      </w:r>
      <w:r>
        <w:rPr>
          <w:b w:val="0"/>
          <w:i w:val="0"/>
        </w:rPr>
        <w:t xml:space="preserve"> in a modern technological sense.</w:t>
      </w:r>
    </w:p>
    <w:p>
      <w:pPr>
        <w:keepNext/>
        <w:widowControl/>
      </w:pPr>
      <w:r>
        <w:rPr>
          <w:b/>
          <w:i w:val="0"/>
        </w:rPr>
        <w:t>See also.</w:t>
      </w:r>
    </w:p>
    <w:p>
      <w:pPr>
        <w:widowControl/>
      </w:pPr>
      <w:hyperlink w:anchor="choice-and-deliberation">
        <w:r>
          <w:rPr>
            <w:color w:val="000000"/>
          </w:rPr>
          <w:t xml:space="preserve">Choice and deliberation</w:t>
        </w:r>
      </w:hyperlink>
      <w:r>
        <w:rPr>
          <w:b w:val="0"/>
          <w:i w:val="0"/>
        </w:rPr>
        <w:t xml:space="preserve">; </w:t>
      </w:r>
      <w:hyperlink w:anchor="act-and-operation">
        <w:r>
          <w:rPr>
            <w:color w:val="000000"/>
          </w:rPr>
          <w:t xml:space="preserve">Act and operation</w:t>
        </w:r>
      </w:hyperlink>
      <w:r>
        <w:rPr>
          <w:b w:val="0"/>
          <w:i w:val="0"/>
        </w:rPr>
        <w:t xml:space="preserve">; </w:t>
      </w:r>
      <w:hyperlink w:anchor="hinge-and-center">
        <w:r>
          <w:rPr>
            <w:color w:val="000000"/>
          </w:rPr>
          <w:t xml:space="preserve">Hinge and center</w:t>
        </w:r>
      </w:hyperlink>
      <w:r>
        <w:rPr>
          <w:b w:val="0"/>
          <w:i w:val="0"/>
        </w:rPr>
        <w:t xml:space="preserve">; </w:t>
      </w:r>
      <w:hyperlink w:anchor="nourishment-digestion-and-growth">
        <w:r>
          <w:rPr>
            <w:color w:val="000000"/>
          </w:rPr>
          <w:t xml:space="preserve">Nutrition and digestion</w:t>
        </w:r>
      </w:hyperlink>
      <w:r>
        <w:rPr>
          <w:b w:val="0"/>
          <w:i w:val="0"/>
        </w:rPr>
        <w:t>.</w:t>
      </w:r>
    </w:p>
    <w:p>
      <w:bookmarkStart w:id="51" w:name="candles-and-the-hall"/>
      <w:pPr>
        <w:pStyle w:val="Heading2"/>
      </w:pPr>
      <w:r>
        <w:rPr>
          <w:b w:val="0"/>
          <w:i w:val="0"/>
        </w:rPr>
        <w:t>Candles and the hall</w:t>
      </w:r>
      <w:bookmarkEnd w:id="51"/>
    </w:p>
    <w:p>
      <w:pPr>
        <w:keepNext/>
        <w:widowControl/>
      </w:pPr>
      <w:r>
        <w:rPr>
          <w:b/>
          <w:i w:val="0"/>
        </w:rPr>
        <w:t>Latin:</w:t>
      </w:r>
      <w:r>
        <w:rPr>
          <w:b w:val="0"/>
          <w:i w:val="0"/>
        </w:rPr>
        <w:t xml:space="preserve"> candelae; aula; lumina; iuncta; non permixta; separari; diriguntur</w:t>
      </w:r>
    </w:p>
    <w:p>
      <w:pPr>
        <w:keepNext/>
        <w:widowControl/>
      </w:pPr>
      <w:r>
        <w:rPr>
          <w:b/>
          <w:i w:val="0"/>
        </w:rPr>
        <w:t>The word.</w:t>
      </w:r>
    </w:p>
    <w:p>
      <w:pPr>
        <w:widowControl/>
      </w:pPr>
      <w:r>
        <w:rPr>
          <w:b w:val="0"/>
          <w:i w:val="0"/>
        </w:rPr>
        <w:t>Candelae are candles, aula a hall, and lumina their lights. Iungere joins; permiscere mingles. The contrast means that co-presence does not itself abolish distinguishable sources. Dirigi marks the relation of each light to its own candle.</w:t>
      </w:r>
    </w:p>
    <w:p>
      <w:pPr>
        <w:keepNext/>
        <w:widowControl/>
      </w:pPr>
      <w:r>
        <w:rPr>
          <w:b/>
          <w:i w:val="0"/>
        </w:rPr>
        <w:t>In the Platonic Theology.</w:t>
      </w:r>
    </w:p>
    <w:p>
      <w:pPr>
        <w:widowControl/>
      </w:pPr>
      <w:r>
        <w:rPr>
          <w:b w:val="0"/>
          <w:i w:val="0"/>
        </w:rPr>
        <w:t>In the reported mental-presence theory, many candles illuminate the same whole hall. Their lights coexist and are joined, but are not confused into a single indistinguishable source: one can be separated from another. Each remains referred to its own candle even though its illumination extends beyond that candle’s immediate position.</w:t>
      </w:r>
    </w:p>
    <w:p>
      <w:pPr>
        <w:widowControl/>
      </w:pPr>
      <w:r>
        <w:rPr>
          <w:b w:val="0"/>
          <w:i w:val="0"/>
        </w:rPr>
        <w:t>This explains a distinction between the range of a mind’s presence and the region where some of its actions are more manifest. Angelic minds govern; animating minds give life. The example is not a proof that lights or souls are literally fused, and it does not say all minds exercise identical functions everywhere. It works within the earlier thinkers’ theory, which Ficino explicitly closes at the end of the unit.</w:t>
      </w:r>
    </w:p>
    <w:p>
      <w:pPr>
        <w:keepNext/>
        <w:widowControl/>
      </w:pPr>
      <w:r>
        <w:rPr>
          <w:b/>
          <w:i w:val="0"/>
        </w:rPr>
        <w:t>The places.</w:t>
      </w:r>
    </w:p>
    <w:p>
      <w:pPr>
        <w:ind w:left="187" w:hanging="187"/>
      </w:pPr>
      <w:r>
        <w:t xml:space="preserve">• </w:t>
      </w:r>
      <w:r>
        <w:rPr>
          <w:b w:val="0"/>
          <w:i w:val="0"/>
        </w:rPr>
        <w:t>II.6.24 (PDF pp. 142–143): Joined lights with distinct sources model universal presence and localized manifestation</w:t>
      </w:r>
    </w:p>
    <w:p>
      <w:pPr>
        <w:ind w:left="187" w:hanging="187"/>
      </w:pPr>
      <w:r>
        <w:t xml:space="preserve">• </w:t>
      </w:r>
      <w:r>
        <w:rPr>
          <w:b w:val="0"/>
          <w:i w:val="0"/>
        </w:rPr>
        <w:t>II.6.14 (PDF pp. 136–137): Distinct virtue-habits and color-images first illustrate presence without confusion</w:t>
      </w:r>
    </w:p>
    <w:p>
      <w:pPr>
        <w:keepNext/>
        <w:widowControl/>
      </w:pPr>
      <w:r>
        <w:rPr>
          <w:b/>
          <w:i w:val="0"/>
        </w:rPr>
        <w:t>In this edition.</w:t>
      </w:r>
    </w:p>
    <w:p>
      <w:pPr>
        <w:widowControl/>
      </w:pPr>
      <w:r>
        <w:rPr>
          <w:b w:val="0"/>
          <w:i w:val="0"/>
        </w:rPr>
        <w:t xml:space="preserve">The edition distinguishes </w:t>
      </w:r>
      <w:r>
        <w:t>“</w:t>
      </w:r>
      <w:r>
        <w:rPr>
          <w:b w:val="0"/>
          <w:i w:val="0"/>
        </w:rPr>
        <w:t>joined</w:t>
      </w:r>
      <w:r>
        <w:t>”</w:t>
      </w:r>
      <w:r>
        <w:rPr>
          <w:b w:val="0"/>
          <w:i w:val="0"/>
        </w:rPr>
        <w:t xml:space="preserve"> from </w:t>
      </w:r>
      <w:r>
        <w:t>“</w:t>
      </w:r>
      <w:r>
        <w:rPr>
          <w:b w:val="0"/>
          <w:i w:val="0"/>
        </w:rPr>
        <w:t>mingled,</w:t>
      </w:r>
      <w:r>
        <w:t>”</w:t>
      </w:r>
      <w:r>
        <w:rPr>
          <w:b w:val="0"/>
          <w:i w:val="0"/>
        </w:rPr>
        <w:t xml:space="preserve"> and </w:t>
      </w:r>
      <w:r>
        <w:t>“</w:t>
      </w:r>
      <w:r>
        <w:rPr>
          <w:b w:val="0"/>
          <w:i w:val="0"/>
        </w:rPr>
        <w:t>more manifestly</w:t>
      </w:r>
      <w:r>
        <w:t>”</w:t>
      </w:r>
      <w:r>
        <w:rPr>
          <w:b w:val="0"/>
          <w:i w:val="0"/>
        </w:rPr>
        <w:t xml:space="preserve"> must remain with the regional actions. Removing either qualifier turns the comparison into a stronger identity or localization claim.</w:t>
      </w:r>
    </w:p>
    <w:p>
      <w:pPr>
        <w:keepNext/>
        <w:widowControl/>
      </w:pPr>
      <w:r>
        <w:rPr>
          <w:b/>
          <w:i w:val="0"/>
        </w:rPr>
        <w:t>See also.</w:t>
      </w:r>
    </w:p>
    <w:p>
      <w:pPr>
        <w:widowControl/>
      </w:pPr>
      <w:hyperlink w:anchor="light-and-illumination">
        <w:r>
          <w:rPr>
            <w:color w:val="000000"/>
          </w:rPr>
          <w:t xml:space="preserve">Light and illumination</w:t>
        </w:r>
      </w:hyperlink>
      <w:r>
        <w:rPr>
          <w:b w:val="0"/>
          <w:i w:val="0"/>
        </w:rPr>
        <w:t xml:space="preserve">; </w:t>
      </w:r>
      <w:hyperlink w:anchor="anebon-abamon-and-the-mental-presence-authorities">
        <w:r>
          <w:rPr>
            <w:color w:val="000000"/>
          </w:rPr>
          <w:t xml:space="preserve">Anebon Abamon and the mental-presence authorities</w:t>
        </w:r>
      </w:hyperlink>
      <w:r>
        <w:rPr>
          <w:b w:val="0"/>
          <w:i w:val="0"/>
        </w:rPr>
        <w:t xml:space="preserve">; </w:t>
      </w:r>
      <w:hyperlink w:anchor="heart-and-mistaken-location">
        <w:r>
          <w:rPr>
            <w:color w:val="000000"/>
          </w:rPr>
          <w:t xml:space="preserve">Heart and mistaken location</w:t>
        </w:r>
      </w:hyperlink>
      <w:r>
        <w:rPr>
          <w:b w:val="0"/>
          <w:i w:val="0"/>
        </w:rPr>
        <w:t xml:space="preserve">; </w:t>
      </w:r>
      <w:hyperlink w:anchor="purity-and-mixture">
        <w:r>
          <w:rPr>
            <w:color w:val="000000"/>
          </w:rPr>
          <w:t xml:space="preserve">Purity and mixture</w:t>
        </w:r>
      </w:hyperlink>
      <w:r>
        <w:rPr>
          <w:b w:val="0"/>
          <w:i w:val="0"/>
        </w:rPr>
        <w:t>.</w:t>
      </w:r>
    </w:p>
    <w:p>
      <w:bookmarkStart w:id="52" w:name="care-and-custody"/>
      <w:pPr>
        <w:pStyle w:val="Heading2"/>
      </w:pPr>
      <w:r>
        <w:rPr>
          <w:b w:val="0"/>
          <w:i w:val="0"/>
        </w:rPr>
        <w:t>Care and custody</w:t>
      </w:r>
      <w:bookmarkEnd w:id="52"/>
    </w:p>
    <w:p>
      <w:pPr>
        <w:keepNext/>
        <w:widowControl/>
      </w:pPr>
      <w:r>
        <w:rPr>
          <w:b/>
          <w:i w:val="0"/>
        </w:rPr>
        <w:t>Latin:</w:t>
      </w:r>
      <w:r>
        <w:rPr>
          <w:b w:val="0"/>
          <w:i w:val="0"/>
        </w:rPr>
        <w:t xml:space="preserve"> </w:t>
      </w:r>
      <w:r>
        <w:rPr>
          <w:b w:val="0"/>
          <w:i/>
        </w:rPr>
        <w:t>diligentia; custodire; procurator; cura; neglegere; conservare</w:t>
      </w:r>
    </w:p>
    <w:p>
      <w:pPr>
        <w:keepNext/>
        <w:widowControl/>
      </w:pPr>
      <w:r>
        <w:rPr>
          <w:b/>
          <w:i w:val="0"/>
        </w:rPr>
        <w:t>The word.</w:t>
      </w:r>
    </w:p>
    <w:p>
      <w:pPr>
        <w:widowControl/>
      </w:pPr>
      <w:r>
        <w:rPr>
          <w:b w:val="0"/>
          <w:i w:val="0"/>
        </w:rPr>
        <w:t>Diligentia is attentive care, custodia’s verb custodire to guard or preserve, and procurator one who looks after what is entrusted to him. Cura names concern or care. Neglect and preservation form the practical contrast.</w:t>
      </w:r>
    </w:p>
    <w:p>
      <w:pPr>
        <w:keepNext/>
        <w:widowControl/>
      </w:pPr>
      <w:r>
        <w:rPr>
          <w:b/>
          <w:i w:val="0"/>
        </w:rPr>
        <w:t>In the Platonic Theology.</w:t>
      </w:r>
    </w:p>
    <w:p>
      <w:pPr>
        <w:widowControl/>
      </w:pPr>
      <w:r>
        <w:rPr>
          <w:b w:val="0"/>
          <w:i w:val="0"/>
        </w:rPr>
        <w:t>Providence is introduced through a maker’s care for what he has made. Productive fruitfulness and diligence in preserving the product share their source in the first agent. God is called the procurator of things as children: the image supplies continuing care rather than merely an original act of making. Ficino later distinguishes the abilities to make, consider, and conserve, arguing that an intelligent creator can also preserve his works and does not begrudge their well-being after giving being. Care for the whole is then used to reject neglect of any part, because the whole’s best condition depends on its constituents. This does not remove the subsequent argument that a part’s appropriate perfection is measured by its contribution to the whole.</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II.13.2 (Latin PDF p. 216; English PDF p. 217).</w:t>
      </w:r>
      <w:r>
        <w:rPr>
          <w:b w:val="0"/>
          <w:i w:val="0"/>
        </w:rPr>
        <w:t xml:space="preserve"> Creative fruitfulness is joined to diligence in preservation.</w:t>
      </w:r>
    </w:p>
    <w:p>
      <w:pPr>
        <w:ind w:left="187" w:hanging="187"/>
      </w:pPr>
      <w:r>
        <w:t xml:space="preserve">• </w:t>
      </w:r>
      <w:r>
        <w:rPr>
          <w:b/>
          <w:i w:val="0"/>
        </w:rPr>
        <w:t>II.13.11 (Latin PDF p. 222; English PDF p. 223).</w:t>
      </w:r>
      <w:r>
        <w:rPr>
          <w:b w:val="0"/>
          <w:i w:val="0"/>
        </w:rPr>
        <w:t xml:space="preserve"> Making, observing, conserving, and willing well-being are distinguished.</w:t>
      </w:r>
    </w:p>
    <w:p>
      <w:pPr>
        <w:ind w:left="187" w:hanging="187"/>
      </w:pPr>
      <w:r>
        <w:t xml:space="preserve">• </w:t>
      </w:r>
      <w:r>
        <w:rPr>
          <w:b/>
          <w:i w:val="0"/>
        </w:rPr>
        <w:t>II.13.21 (Latin PDF p. 230; English PDF p. 231).</w:t>
      </w:r>
      <w:r>
        <w:rPr>
          <w:b w:val="0"/>
          <w:i w:val="0"/>
        </w:rPr>
        <w:t xml:space="preserve"> Care of the whole is said to exclude neglect of its parts.</w:t>
      </w:r>
    </w:p>
    <w:p>
      <w:pPr>
        <w:ind w:left="187" w:hanging="187"/>
      </w:pPr>
      <w:r>
        <w:t xml:space="preserve">• </w:t>
      </w:r>
      <w:r>
        <w:rPr>
          <w:b/>
          <w:i w:val="0"/>
        </w:rPr>
        <w:t>II.13.23 (Latin PDF p. 232; English PDF p. 233).</w:t>
      </w:r>
      <w:r>
        <w:rPr>
          <w:b w:val="0"/>
          <w:i w:val="0"/>
        </w:rPr>
        <w:t xml:space="preserve"> A part’s perfection remains relative to the whole’s order.</w:t>
      </w:r>
    </w:p>
    <w:p>
      <w:pPr>
        <w:keepNext/>
        <w:widowControl/>
      </w:pPr>
      <w:r>
        <w:rPr>
          <w:b/>
          <w:i w:val="0"/>
        </w:rPr>
        <w:t>In this edition.</w:t>
      </w:r>
    </w:p>
    <w:p>
      <w:pPr>
        <w:widowControl/>
      </w:pPr>
      <w:r>
        <w:t>“</w:t>
      </w:r>
      <w:r>
        <w:rPr>
          <w:b w:val="0"/>
          <w:i w:val="0"/>
        </w:rPr>
        <w:t>Watches over them all as his children</w:t>
      </w:r>
      <w:r>
        <w:t>”</w:t>
      </w:r>
      <w:r>
        <w:rPr>
          <w:b w:val="0"/>
          <w:i w:val="0"/>
        </w:rPr>
        <w:t xml:space="preserve"> conveys procuratoris without turning it into a modern legal office. The printed II.13.21 has negligit; the register distinguishes that attested spelling from the conventional lemma neglegere. </w:t>
      </w:r>
      <w:r>
        <w:t>“</w:t>
      </w:r>
      <w:r>
        <w:rPr>
          <w:b w:val="0"/>
          <w:i w:val="0"/>
        </w:rPr>
        <w:t>Well-being</w:t>
      </w:r>
      <w:r>
        <w:t>”</w:t>
      </w:r>
      <w:r>
        <w:rPr>
          <w:b w:val="0"/>
          <w:i w:val="0"/>
        </w:rPr>
        <w:t xml:space="preserve"> concerns bene esse, a fuller gift than existence alone.</w:t>
      </w:r>
    </w:p>
    <w:p>
      <w:pPr>
        <w:keepNext/>
        <w:widowControl/>
      </w:pPr>
      <w:r>
        <w:rPr>
          <w:b/>
          <w:i w:val="0"/>
        </w:rPr>
        <w:t>See also.</w:t>
      </w:r>
    </w:p>
    <w:p>
      <w:pPr>
        <w:widowControl/>
      </w:pPr>
      <w:hyperlink w:anchor="providence">
        <w:r>
          <w:rPr>
            <w:color w:val="000000"/>
          </w:rPr>
          <w:t xml:space="preserve">Providence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craftsman-and-father">
        <w:r>
          <w:rPr>
            <w:color w:val="000000"/>
          </w:rPr>
          <w:t xml:space="preserve">Craftsman and father</w:t>
        </w:r>
      </w:hyperlink>
      <w:r>
        <w:rPr>
          <w:b w:val="0"/>
          <w:i w:val="0"/>
        </w:rPr>
        <w:t xml:space="preserve">; </w:t>
      </w:r>
      <w:hyperlink w:anchor="whole-and-parts">
        <w:r>
          <w:rPr>
            <w:color w:val="000000"/>
          </w:rPr>
          <w:t xml:space="preserve">Whole and parts</w:t>
        </w:r>
      </w:hyperlink>
      <w:r>
        <w:rPr>
          <w:b w:val="0"/>
          <w:i w:val="0"/>
        </w:rPr>
        <w:t>.</w:t>
      </w:r>
    </w:p>
    <w:p>
      <w:bookmarkStart w:id="53" w:name="carpenter-and-geometer"/>
      <w:pPr>
        <w:pStyle w:val="Heading2"/>
      </w:pPr>
      <w:r>
        <w:rPr>
          <w:b w:val="0"/>
          <w:i w:val="0"/>
        </w:rPr>
        <w:t>Carpenter and geometer</w:t>
      </w:r>
      <w:bookmarkEnd w:id="53"/>
    </w:p>
    <w:p>
      <w:pPr>
        <w:keepNext/>
        <w:widowControl/>
      </w:pPr>
      <w:r>
        <w:rPr>
          <w:b/>
          <w:i w:val="0"/>
        </w:rPr>
        <w:t>Latin:</w:t>
      </w:r>
      <w:r>
        <w:rPr>
          <w:b w:val="0"/>
          <w:i w:val="0"/>
        </w:rPr>
        <w:t xml:space="preserve"> </w:t>
      </w:r>
      <w:r>
        <w:rPr>
          <w:b w:val="0"/>
          <w:i/>
        </w:rPr>
        <w:t>faber lignarius</w:t>
      </w:r>
      <w:r>
        <w:rPr>
          <w:b w:val="0"/>
          <w:i w:val="0"/>
        </w:rPr>
        <w:t xml:space="preserve">, </w:t>
      </w:r>
      <w:r>
        <w:rPr>
          <w:b w:val="0"/>
          <w:i/>
        </w:rPr>
        <w:t>in ligno</w:t>
      </w:r>
      <w:r>
        <w:rPr>
          <w:b w:val="0"/>
          <w:i w:val="0"/>
        </w:rPr>
        <w:t xml:space="preserve">, </w:t>
      </w:r>
      <w:r>
        <w:rPr>
          <w:b w:val="0"/>
          <w:i/>
        </w:rPr>
        <w:t>geometrae anima</w:t>
      </w:r>
      <w:r>
        <w:rPr>
          <w:b w:val="0"/>
          <w:i w:val="0"/>
        </w:rPr>
        <w:t xml:space="preserve">, </w:t>
      </w:r>
      <w:r>
        <w:rPr>
          <w:b w:val="0"/>
          <w:i/>
        </w:rPr>
        <w:t>pulverem</w:t>
      </w:r>
      <w:r>
        <w:rPr>
          <w:b w:val="0"/>
          <w:i w:val="0"/>
        </w:rPr>
        <w:t xml:space="preserve">, </w:t>
      </w:r>
      <w:r>
        <w:rPr>
          <w:b w:val="0"/>
          <w:i/>
        </w:rPr>
        <w:t>figuras describit</w:t>
      </w:r>
      <w:r>
        <w:rPr>
          <w:b w:val="0"/>
          <w:i w:val="0"/>
        </w:rPr>
        <w:t xml:space="preserve">, </w:t>
      </w:r>
      <w:r>
        <w:rPr>
          <w:b w:val="0"/>
          <w:i/>
        </w:rPr>
        <w:t>geometrica mens</w:t>
      </w:r>
      <w:r>
        <w:rPr>
          <w:b w:val="0"/>
          <w:i w:val="0"/>
        </w:rPr>
        <w:t xml:space="preserve">, </w:t>
      </w:r>
      <w:r>
        <w:rPr>
          <w:b w:val="0"/>
          <w:i/>
        </w:rPr>
        <w:t>secum ipsa volutat</w:t>
      </w:r>
      <w:r>
        <w:rPr>
          <w:b w:val="0"/>
          <w:i w:val="0"/>
        </w:rPr>
        <w:t>.</w:t>
      </w:r>
    </w:p>
    <w:p>
      <w:pPr>
        <w:keepNext/>
        <w:widowControl/>
      </w:pPr>
      <w:r>
        <w:rPr>
          <w:b/>
          <w:i w:val="0"/>
        </w:rPr>
        <w:t>The word.</w:t>
      </w:r>
    </w:p>
    <w:p>
      <w:pPr>
        <w:widowControl/>
      </w:pPr>
      <w:r>
        <w:rPr>
          <w:b w:val="0"/>
          <w:i/>
        </w:rPr>
        <w:t>Faber lignarius</w:t>
      </w:r>
      <w:r>
        <w:rPr>
          <w:b w:val="0"/>
          <w:i w:val="0"/>
        </w:rPr>
        <w:t xml:space="preserve"> is a woodworker or carpenter; </w:t>
      </w:r>
      <w:r>
        <w:rPr>
          <w:b w:val="0"/>
          <w:i/>
        </w:rPr>
        <w:t>lignum</w:t>
      </w:r>
      <w:r>
        <w:rPr>
          <w:b w:val="0"/>
          <w:i w:val="0"/>
        </w:rPr>
        <w:t xml:space="preserve"> wood. The geometer can </w:t>
      </w:r>
      <w:r>
        <w:rPr>
          <w:b w:val="0"/>
          <w:i/>
        </w:rPr>
        <w:t>describere</w:t>
      </w:r>
      <w:r>
        <w:rPr>
          <w:b w:val="0"/>
          <w:i w:val="0"/>
        </w:rPr>
        <w:t xml:space="preserve"> figures on a surface, while </w:t>
      </w:r>
      <w:r>
        <w:rPr>
          <w:b w:val="0"/>
          <w:i/>
        </w:rPr>
        <w:t>volutare secum</w:t>
      </w:r>
      <w:r>
        <w:rPr>
          <w:b w:val="0"/>
          <w:i w:val="0"/>
        </w:rPr>
        <w:t xml:space="preserve"> means turning something over inwardly in thought. These are different senses of forming and turning.</w:t>
      </w:r>
    </w:p>
    <w:p>
      <w:pPr>
        <w:keepNext/>
        <w:widowControl/>
      </w:pPr>
      <w:r>
        <w:rPr>
          <w:b/>
          <w:i w:val="0"/>
        </w:rPr>
        <w:t>In the Platonic Theology.</w:t>
      </w:r>
    </w:p>
    <w:p>
      <w:pPr>
        <w:widowControl/>
      </w:pPr>
      <w:r>
        <w:t>“</w:t>
      </w:r>
      <w:r>
        <w:rPr>
          <w:b w:val="0"/>
          <w:i w:val="0"/>
        </w:rPr>
        <w:t>As though the carpenter were inside the wood</w:t>
      </w:r>
      <w:r>
        <w:t>”</w:t>
      </w:r>
      <w:r>
        <w:rPr>
          <w:b w:val="0"/>
          <w:i w:val="0"/>
        </w:rPr>
        <w:t xml:space="preserve"> is a deliberately impossible human-craft picture that clarifies what Ficino means by nature working inwardly. Human craft normally acts upon a material outside its maker. The geometer supplies a closer analogy: drawing in dust touches a surface, whereas thinking geometrical principles shapes imagination from within and through it the imaginative spirit. The progression moves from an external instrument to an inwardly formed medium.</w:t>
      </w:r>
    </w:p>
    <w:p>
      <w:pPr>
        <w:widowControl/>
      </w:pPr>
      <w:r>
        <w:rPr>
          <w:b w:val="0"/>
          <w:i w:val="0"/>
        </w:rPr>
        <w:t>The next comparison concerns natural art. Divine wisdom acts through intellectual principles, imbuing the conjoined vivifying and motive power with natural seeds; through that power it inwardly shapes matter. It is essential to preserve which thing receives what. The comparison is not a claim that geometry literally manufactures living organisms, nor does it identify the geometer with the Euclid who later travels to hear Socrates. It is an account of different modes of mediation and productive presence.</w:t>
      </w:r>
    </w:p>
    <w:p>
      <w:pPr>
        <w:keepNext/>
        <w:widowControl/>
      </w:pPr>
      <w:r>
        <w:rPr>
          <w:b/>
          <w:i w:val="0"/>
        </w:rPr>
        <w:t>The places.</w:t>
      </w:r>
    </w:p>
    <w:p>
      <w:pPr>
        <w:ind w:left="187" w:hanging="187"/>
      </w:pPr>
      <w:r>
        <w:t xml:space="preserve">• </w:t>
      </w:r>
      <w:r>
        <w:rPr>
          <w:b/>
          <w:i w:val="0"/>
        </w:rPr>
        <w:t>IV.1.10–11, PDF pp. 286–287:</w:t>
      </w:r>
      <w:r>
        <w:rPr>
          <w:b w:val="0"/>
          <w:i w:val="0"/>
        </w:rPr>
        <w:t xml:space="preserve"> craft as imitation of nature, the carpenter within wood, and external versus imaginative geometry</w:t>
      </w:r>
    </w:p>
    <w:p>
      <w:pPr>
        <w:ind w:left="187" w:hanging="187"/>
      </w:pPr>
      <w:r>
        <w:t xml:space="preserve">• </w:t>
      </w:r>
      <w:r>
        <w:rPr>
          <w:b/>
          <w:i w:val="0"/>
        </w:rPr>
        <w:t>IV.1.12–13, pp. 288–289:</w:t>
      </w:r>
      <w:r>
        <w:rPr>
          <w:b w:val="0"/>
          <w:i w:val="0"/>
        </w:rPr>
        <w:t xml:space="preserve"> the contrast continues through artifact, natural work, and substantial formation</w:t>
      </w:r>
    </w:p>
    <w:p>
      <w:pPr>
        <w:ind w:left="187" w:hanging="187"/>
      </w:pPr>
      <w:r>
        <w:t xml:space="preserve">• </w:t>
      </w:r>
      <w:r>
        <w:rPr>
          <w:b/>
          <w:i w:val="0"/>
        </w:rPr>
        <w:t>IV.2.13–15, pp. 340–343:</w:t>
      </w:r>
      <w:r>
        <w:rPr>
          <w:b w:val="0"/>
          <w:i w:val="0"/>
        </w:rPr>
        <w:t xml:space="preserve"> the separate Euclid example concerns execution of a journey, not geometric construction</w:t>
      </w:r>
    </w:p>
    <w:p>
      <w:pPr>
        <w:keepNext/>
        <w:widowControl/>
      </w:pPr>
      <w:r>
        <w:rPr>
          <w:b/>
          <w:i w:val="0"/>
        </w:rPr>
        <w:t>In this edition.</w:t>
      </w:r>
    </w:p>
    <w:p>
      <w:pPr>
        <w:widowControl/>
      </w:pPr>
      <w:r>
        <w:rPr>
          <w:b w:val="0"/>
          <w:i w:val="0"/>
        </w:rPr>
        <w:t xml:space="preserve">At IV.1.11 the facing English reverses the recipient and content of </w:t>
      </w:r>
      <w:r>
        <w:rPr>
          <w:b w:val="0"/>
          <w:i/>
        </w:rPr>
        <w:t>imbuit</w:t>
      </w:r>
      <w:r>
        <w:rPr>
          <w:b w:val="0"/>
          <w:i w:val="0"/>
        </w:rPr>
        <w:t xml:space="preserve">: the Latin has </w:t>
      </w:r>
      <w:r>
        <w:rPr>
          <w:b w:val="0"/>
          <w:i/>
        </w:rPr>
        <w:t>vim ipsam vivificam et motricem</w:t>
      </w:r>
      <w:r>
        <w:rPr>
          <w:b w:val="0"/>
          <w:i w:val="0"/>
        </w:rPr>
        <w:t xml:space="preserve"> as object and </w:t>
      </w:r>
      <w:r>
        <w:rPr>
          <w:b w:val="0"/>
          <w:i/>
        </w:rPr>
        <w:t>naturalibus seminibus</w:t>
      </w:r>
      <w:r>
        <w:rPr>
          <w:b w:val="0"/>
          <w:i w:val="0"/>
        </w:rPr>
        <w:t xml:space="preserve"> as what is supplied. This article follows the Latin. </w:t>
      </w:r>
      <w:r>
        <w:t>“</w:t>
      </w:r>
      <w:r>
        <w:rPr>
          <w:b w:val="0"/>
          <w:i w:val="0"/>
        </w:rPr>
        <w:t>Without labor or deliberation</w:t>
      </w:r>
      <w:r>
        <w:t>”</w:t>
      </w:r>
      <w:r>
        <w:rPr>
          <w:b w:val="0"/>
          <w:i w:val="0"/>
        </w:rPr>
        <w:t xml:space="preserve"> applies to the comparison’s inward formation; it does not suppress the articulated differences among mind, imagination, and motive power.</w:t>
      </w:r>
    </w:p>
    <w:p>
      <w:pPr>
        <w:keepNext/>
        <w:widowControl/>
      </w:pPr>
      <w:r>
        <w:rPr>
          <w:b/>
          <w:i w:val="0"/>
        </w:rPr>
        <w:t>See also.</w:t>
      </w:r>
    </w:p>
    <w:p>
      <w:pPr>
        <w:widowControl/>
      </w:pPr>
      <w:hyperlink w:anchor="art-and-nature">
        <w:r>
          <w:rPr>
            <w:color w:val="000000"/>
          </w:rPr>
          <w:t xml:space="preserve">Art and nature</w:t>
        </w:r>
      </w:hyperlink>
      <w:r>
        <w:rPr>
          <w:b w:val="0"/>
          <w:i w:val="0"/>
        </w:rPr>
        <w:t xml:space="preserve">; </w:t>
      </w:r>
      <w:hyperlink w:anchor="artifact-and-natural-work">
        <w:r>
          <w:rPr>
            <w:color w:val="000000"/>
          </w:rPr>
          <w:t xml:space="preserve">Artifact and natural work</w:t>
        </w:r>
      </w:hyperlink>
      <w:r>
        <w:rPr>
          <w:b w:val="0"/>
          <w:i w:val="0"/>
        </w:rPr>
        <w:t xml:space="preserve">; </w:t>
      </w:r>
      <w:hyperlink w:anchor="sense-and-imagination">
        <w:r>
          <w:rPr>
            <w:color w:val="000000"/>
          </w:rPr>
          <w:t xml:space="preserve">Sense and imagination</w:t>
        </w:r>
      </w:hyperlink>
      <w:r>
        <w:rPr>
          <w:b w:val="0"/>
          <w:i w:val="0"/>
        </w:rPr>
        <w:t xml:space="preserve">; </w:t>
      </w:r>
      <w:hyperlink w:anchor="seeds">
        <w:r>
          <w:rPr>
            <w:color w:val="000000"/>
          </w:rPr>
          <w:t xml:space="preserve">Seeds</w:t>
        </w:r>
      </w:hyperlink>
      <w:r>
        <w:rPr>
          <w:b w:val="0"/>
          <w:i w:val="0"/>
        </w:rPr>
        <w:t>.</w:t>
      </w:r>
    </w:p>
    <w:p>
      <w:bookmarkStart w:id="54" w:name="cause"/>
      <w:pPr>
        <w:pStyle w:val="Heading2"/>
      </w:pPr>
      <w:r>
        <w:rPr>
          <w:b w:val="0"/>
          <w:i w:val="0"/>
        </w:rPr>
        <w:t>Cause</w:t>
      </w:r>
      <w:bookmarkEnd w:id="54"/>
    </w:p>
    <w:p>
      <w:pPr>
        <w:keepNext/>
        <w:widowControl/>
      </w:pPr>
      <w:r>
        <w:rPr>
          <w:b/>
          <w:i w:val="0"/>
        </w:rPr>
        <w:t>Latin:</w:t>
      </w:r>
      <w:r>
        <w:rPr>
          <w:b w:val="0"/>
          <w:i w:val="0"/>
        </w:rPr>
        <w:t xml:space="preserve"> </w:t>
      </w:r>
      <w:r>
        <w:rPr>
          <w:b w:val="0"/>
          <w:i/>
        </w:rPr>
        <w:t>causa</w:t>
      </w:r>
      <w:r>
        <w:rPr>
          <w:b w:val="0"/>
          <w:i w:val="0"/>
        </w:rPr>
        <w:t xml:space="preserve">; </w:t>
      </w:r>
      <w:r>
        <w:rPr>
          <w:b w:val="0"/>
          <w:i/>
        </w:rPr>
        <w:t>principium</w:t>
      </w:r>
      <w:r>
        <w:rPr>
          <w:b w:val="0"/>
          <w:i w:val="0"/>
        </w:rPr>
        <w:t xml:space="preserve">; </w:t>
      </w:r>
      <w:r>
        <w:rPr>
          <w:b w:val="0"/>
          <w:i/>
        </w:rPr>
        <w:t>efficiens</w:t>
      </w:r>
      <w:r>
        <w:rPr>
          <w:b w:val="0"/>
          <w:i w:val="0"/>
        </w:rPr>
        <w:t xml:space="preserve">; </w:t>
      </w:r>
      <w:r>
        <w:rPr>
          <w:b w:val="0"/>
          <w:i/>
        </w:rPr>
        <w:t>effectus</w:t>
      </w:r>
      <w:r>
        <w:rPr>
          <w:b w:val="0"/>
          <w:i w:val="0"/>
        </w:rPr>
        <w:t xml:space="preserve">; </w:t>
      </w:r>
      <w:r>
        <w:rPr>
          <w:b w:val="0"/>
          <w:i/>
        </w:rPr>
        <w:t>causa prima</w:t>
      </w:r>
      <w:r>
        <w:rPr>
          <w:b w:val="0"/>
          <w:i w:val="0"/>
        </w:rPr>
        <w:t xml:space="preserve">; </w:t>
      </w:r>
      <w:r>
        <w:rPr>
          <w:b w:val="0"/>
          <w:i/>
        </w:rPr>
        <w:t>causa superior</w:t>
      </w:r>
      <w:r>
        <w:rPr>
          <w:b w:val="0"/>
          <w:i w:val="0"/>
        </w:rPr>
        <w:t xml:space="preserve">; </w:t>
      </w:r>
      <w:r>
        <w:rPr>
          <w:b w:val="0"/>
          <w:i/>
        </w:rPr>
        <w:t>causa universalis</w:t>
      </w:r>
      <w:r>
        <w:rPr>
          <w:b w:val="0"/>
          <w:i w:val="0"/>
        </w:rPr>
        <w:t xml:space="preserve">; </w:t>
      </w:r>
      <w:r>
        <w:rPr>
          <w:b w:val="0"/>
          <w:i/>
        </w:rPr>
        <w:t>causae mediae atque proximae</w:t>
      </w:r>
      <w:r>
        <w:rPr>
          <w:b w:val="0"/>
          <w:i w:val="0"/>
        </w:rPr>
        <w:t xml:space="preserve">; </w:t>
      </w:r>
      <w:r>
        <w:rPr>
          <w:b w:val="0"/>
          <w:i/>
        </w:rPr>
        <w:t>agens</w:t>
      </w:r>
      <w:r>
        <w:rPr>
          <w:b w:val="0"/>
          <w:i w:val="0"/>
        </w:rPr>
        <w:t xml:space="preserve">; </w:t>
      </w:r>
      <w:r>
        <w:rPr>
          <w:b w:val="0"/>
          <w:i/>
        </w:rPr>
        <w:t>finalem, efficientem, formalem causam</w:t>
      </w:r>
    </w:p>
    <w:p>
      <w:pPr>
        <w:keepNext/>
        <w:widowControl/>
      </w:pPr>
      <w:r>
        <w:rPr>
          <w:b/>
          <w:i w:val="0"/>
        </w:rPr>
        <w:t>The word.</w:t>
      </w:r>
    </w:p>
    <w:p>
      <w:pPr>
        <w:widowControl/>
      </w:pPr>
      <w:r>
        <w:rPr>
          <w:b w:val="0"/>
          <w:i w:val="0"/>
        </w:rPr>
        <w:t>Causa identifies a source explaining being, determination, activity or an end. Efficiens is a producer; effectus its product. Principium is an initiating or governing principle and need not be a temporally earlier event.</w:t>
      </w:r>
    </w:p>
    <w:p>
      <w:pPr>
        <w:keepNext/>
        <w:widowControl/>
      </w:pPr>
      <w:r>
        <w:rPr>
          <w:b/>
          <w:i w:val="0"/>
        </w:rPr>
        <w:t>In the Platonic Theology.</w:t>
      </w:r>
    </w:p>
    <w:p>
      <w:pPr>
        <w:widowControl/>
      </w:pPr>
      <w:r>
        <w:rPr>
          <w:b w:val="0"/>
          <w:i w:val="0"/>
        </w:rPr>
        <w:t>A cause explains a thing’s being, determination, powers, or activity, not merely an event immediately preceding another event. The Proem directs inquiry toward the cause of causes. Book I distinguishes a local producer from the first cause adequate to an entire kind. A particular fire can generate another, yet it is itself generated and dependent. The first cause of a kind must account for that kind as a whole. Something can therefore be an effect in one relation and an agent or instrument in another. What generates must precede its product, and nothing can originate itself before it exists. This does not reduce causality to a chronological chain: an earlier local fire may already be extinguished while the present fire continues acting. A sufficient higher source explains the dependent agent’s continuing efficacy and regularity.</w:t>
      </w:r>
    </w:p>
    <w:p>
      <w:pPr>
        <w:widowControl/>
      </w:pPr>
      <w:r>
        <w:rPr>
          <w:b w:val="0"/>
          <w:i w:val="0"/>
        </w:rPr>
        <w:t>The first cause gives being itself, while intermediate causes determine this being in particular ways. Higher causes reach farther into their effects; their contribution is presupposed by, and outlasts, more particular determinations. Sunlight passing through red and green glass illustrates one power differently manifested through intermediaries. Another comparison describes the most fundamental contribution as a trace impressed earlier and erased later than other traces. Its priority is explanatory rather than a literal inscription or a numerical measure of force. Subordinate agents have a narrower range of operation, but their distinctive contributions remain genuine. God produces an angel’s work more fundamentally than the angel while the angel remains its proximate agent.</w:t>
      </w:r>
    </w:p>
    <w:p>
      <w:pPr>
        <w:widowControl/>
      </w:pPr>
      <w:r>
        <w:rPr>
          <w:b w:val="0"/>
          <w:i w:val="0"/>
        </w:rPr>
        <w:t>Calling God cause in the fullest sense means that he produces the whole effect, including its material and the powers of subordinate agents. He neither supplies an initial fragment that creatures finish independently nor gives a first impulse to a self-maintaining mechanism. A natural agent such as fire works upon conditions it has not arranged; God causes forms, materials, their order, and their degrees. An infinite regress of dependent causes would never supply this first source of their efficacy.</w:t>
      </w:r>
    </w:p>
    <w:p>
      <w:pPr>
        <w:widowControl/>
      </w:pPr>
      <w:r>
        <w:rPr>
          <w:b w:val="0"/>
          <w:i w:val="0"/>
        </w:rPr>
        <w:t>Ficino also reports Plato’s emphasis on formal, efficient, and final causes. His round-earth illustration distinguishes the idea of roundness, the wisdom producing conformity to that idea, and the good for whose sake the order exists. Effects ordinarily follow the mode of their nearer causes even though the entire order depends on God. First causation therefore preserves intermediate causal levels rather than cancelling them. God’s knowledge of causes likewise includes their effects, but does not require inspecting intermediate causes outside himself: both the causal order and its intelligibility depend on his unified productive and cognitive power.</w:t>
      </w:r>
    </w:p>
    <w:p>
      <w:pPr>
        <w:keepNext/>
        <w:widowControl/>
      </w:pPr>
      <w:r>
        <w:rPr>
          <w:b/>
          <w:i w:val="0"/>
        </w:rPr>
        <w:t>The places.</w:t>
      </w:r>
    </w:p>
    <w:p>
      <w:pPr>
        <w:ind w:left="187" w:hanging="187"/>
      </w:pPr>
      <w:r>
        <w:t xml:space="preserve">• </w:t>
      </w:r>
      <w:r>
        <w:rPr>
          <w:b/>
          <w:i w:val="0"/>
        </w:rPr>
        <w:t>Proem.3, PDF 6–7</w:t>
      </w:r>
      <w:r>
        <w:rPr>
          <w:b w:val="0"/>
          <w:i w:val="0"/>
        </w:rPr>
        <w:t>. Investigation of causes is directed toward the cause of causes.</w:t>
      </w:r>
    </w:p>
    <w:p>
      <w:pPr>
        <w:ind w:left="187" w:hanging="187"/>
      </w:pPr>
      <w:r>
        <w:t xml:space="preserve">• </w:t>
      </w:r>
      <w:r>
        <w:rPr>
          <w:b/>
          <w:i w:val="0"/>
        </w:rPr>
        <w:t>I.3.5–11, PDF 30–37</w:t>
      </w:r>
      <w:r>
        <w:rPr>
          <w:b w:val="0"/>
          <w:i w:val="0"/>
        </w:rPr>
        <w:t>. Origin, dependence and stable generation distinguish local producers from adequate higher causes.</w:t>
      </w:r>
    </w:p>
    <w:p>
      <w:pPr>
        <w:ind w:left="187" w:hanging="187"/>
      </w:pPr>
      <w:r>
        <w:t xml:space="preserve">• </w:t>
      </w:r>
      <w:r>
        <w:rPr>
          <w:b/>
          <w:i w:val="0"/>
        </w:rPr>
        <w:t>II.6.2, PDF 128–129</w:t>
      </w:r>
      <w:r>
        <w:rPr>
          <w:b w:val="0"/>
          <w:i w:val="0"/>
        </w:rPr>
        <w:t>. Universal cause is present to being as its universal effect.</w:t>
      </w:r>
    </w:p>
    <w:p>
      <w:pPr>
        <w:ind w:left="187" w:hanging="187"/>
      </w:pPr>
      <w:r>
        <w:t xml:space="preserve">• </w:t>
      </w:r>
      <w:r>
        <w:rPr>
          <w:b/>
          <w:i w:val="0"/>
        </w:rPr>
        <w:t>II.12.20, PDF 214–215</w:t>
      </w:r>
      <w:r>
        <w:rPr>
          <w:b w:val="0"/>
          <w:i w:val="0"/>
        </w:rPr>
        <w:t>. Effects retain the variable modes of proximate causes within universal order.</w:t>
      </w:r>
    </w:p>
    <w:p>
      <w:pPr>
        <w:widowControl/>
      </w:pPr>
      <w:r>
        <w:rPr>
          <w:b/>
          <w:i w:val="0"/>
        </w:rPr>
        <w:t>Further passage references.</w:t>
      </w:r>
      <w:r>
        <w:rPr>
          <w:b w:val="0"/>
          <w:i w:val="0"/>
        </w:rPr>
        <w:t xml:space="preserve"> Proem.3 (PDF pp. 6–7); I.3.3–I.3.11, I.3.24, I.3.32 (pp. 30–37, 46–47, 52–53); I.6.16 (pp. 92–93); II.3.1–3, pp. 116–117; II.6.2, pp. 128–129; II.7.21–32, pp. 152–159; II.9.14–15, pp. 170–171; II.11.1, 8–18, 25–27, PDF 182–195; II.12.20, PDF 214–215; II.13.2–12, PDF 216–225</w:t>
      </w:r>
    </w:p>
    <w:p>
      <w:pPr>
        <w:keepNext/>
        <w:widowControl/>
      </w:pPr>
      <w:r>
        <w:rPr>
          <w:b/>
          <w:i w:val="0"/>
        </w:rPr>
        <w:t>In this edition.</w:t>
      </w:r>
    </w:p>
    <w:p>
      <w:pPr>
        <w:widowControl/>
      </w:pPr>
      <w:r>
        <w:rPr>
          <w:b w:val="0"/>
          <w:i w:val="0"/>
        </w:rPr>
        <w:t>Keep first, superior, proximate and universal causes distinct. A particular fire can be both effect and producing instrument. The source’s causal priority is not reducible to the earlier extinguished fire in the same material series.</w:t>
      </w:r>
    </w:p>
    <w:p>
      <w:pPr>
        <w:keepNext/>
        <w:widowControl/>
      </w:pPr>
      <w:r>
        <w:rPr>
          <w:b/>
          <w:i w:val="0"/>
        </w:rPr>
        <w:t>See also.</w:t>
      </w:r>
    </w:p>
    <w:p>
      <w:pPr>
        <w:widowControl/>
      </w:pPr>
      <w:hyperlink w:anchor="instrument">
        <w:r>
          <w:rPr>
            <w:color w:val="000000"/>
          </w:rPr>
          <w:t xml:space="preserve">Instrument</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perfection">
        <w:r>
          <w:rPr>
            <w:color w:val="000000"/>
          </w:rPr>
          <w:t xml:space="preserve">Perfection</w:t>
        </w:r>
      </w:hyperlink>
      <w:r>
        <w:rPr>
          <w:b w:val="0"/>
          <w:i w:val="0"/>
        </w:rPr>
        <w:t xml:space="preserve">; </w:t>
      </w:r>
      <w:hyperlink w:anchor="order-and-harmony">
        <w:r>
          <w:rPr>
            <w:color w:val="000000"/>
          </w:rPr>
          <w:t xml:space="preserve">Order and harmony</w:t>
        </w:r>
      </w:hyperlink>
      <w:r>
        <w:rPr>
          <w:b w:val="0"/>
          <w:i w:val="0"/>
        </w:rPr>
        <w:t xml:space="preserve">; </w:t>
      </w:r>
      <w:hyperlink w:anchor="good-and-goodness">
        <w:r>
          <w:rPr>
            <w:color w:val="000000"/>
          </w:rPr>
          <w:t xml:space="preserve">Good and goodness</w:t>
        </w:r>
      </w:hyperlink>
      <w:r>
        <w:rPr>
          <w:b w:val="0"/>
          <w:i w:val="0"/>
        </w:rPr>
        <w:t xml:space="preserve">; </w:t>
      </w:r>
      <w:hyperlink w:anchor="principle">
        <w:r>
          <w:rPr>
            <w:color w:val="000000"/>
          </w:rPr>
          <w:t xml:space="preserve">Principle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being">
        <w:r>
          <w:rPr>
            <w:color w:val="000000"/>
          </w:rPr>
          <w:t xml:space="preserve">Being</w:t>
        </w:r>
      </w:hyperlink>
      <w:r>
        <w:rPr>
          <w:b w:val="0"/>
          <w:i w:val="0"/>
        </w:rPr>
        <w:t xml:space="preserve">; </w:t>
      </w:r>
      <w:hyperlink w:anchor="self-knowledge">
        <w:r>
          <w:rPr>
            <w:color w:val="000000"/>
          </w:rPr>
          <w:t xml:space="preserve">Self knowledge</w:t>
        </w:r>
      </w:hyperlink>
      <w:r>
        <w:rPr>
          <w:b w:val="0"/>
          <w:i w:val="0"/>
        </w:rPr>
        <w:t xml:space="preserve">; </w:t>
      </w:r>
      <w:hyperlink w:anchor="art-and-nature">
        <w:r>
          <w:rPr>
            <w:color w:val="000000"/>
          </w:rPr>
          <w:t xml:space="preserve">Art and nature</w:t>
        </w:r>
      </w:hyperlink>
      <w:r>
        <w:rPr>
          <w:b w:val="0"/>
          <w:i w:val="0"/>
        </w:rPr>
        <w:t xml:space="preserve">; </w:t>
      </w:r>
      <w:hyperlink w:anchor="contingency">
        <w:r>
          <w:rPr>
            <w:color w:val="000000"/>
          </w:rPr>
          <w:t xml:space="preserve">Contingency</w:t>
        </w:r>
      </w:hyperlink>
      <w:r>
        <w:rPr>
          <w:b w:val="0"/>
          <w:i w:val="0"/>
        </w:rPr>
        <w:t xml:space="preserve">; </w:t>
      </w:r>
      <w:hyperlink w:anchor="end-and-limit">
        <w:r>
          <w:rPr>
            <w:color w:val="000000"/>
          </w:rPr>
          <w:t xml:space="preserve">End and limit</w:t>
        </w:r>
      </w:hyperlink>
      <w:r>
        <w:rPr>
          <w:b w:val="0"/>
          <w:i w:val="0"/>
        </w:rPr>
        <w:t xml:space="preserve">; </w:t>
      </w:r>
      <w:hyperlink w:anchor="form">
        <w:r>
          <w:rPr>
            <w:color w:val="000000"/>
          </w:rPr>
          <w:t xml:space="preserve">Form</w:t>
        </w:r>
      </w:hyperlink>
      <w:r>
        <w:rPr>
          <w:b w:val="0"/>
          <w:i w:val="0"/>
        </w:rPr>
        <w:t xml:space="preserve">; </w:t>
      </w:r>
      <w:hyperlink w:anchor="through-itself-and-through-another">
        <w:r>
          <w:rPr>
            <w:color w:val="000000"/>
          </w:rPr>
          <w:t xml:space="preserve">Through itself and through another</w:t>
        </w:r>
      </w:hyperlink>
    </w:p>
    <w:p>
      <w:bookmarkStart w:id="55" w:name="celestial-influence"/>
      <w:pPr>
        <w:pStyle w:val="Heading2"/>
      </w:pPr>
      <w:r>
        <w:rPr>
          <w:b w:val="0"/>
          <w:i w:val="0"/>
        </w:rPr>
        <w:t>Celestial influence</w:t>
      </w:r>
      <w:bookmarkEnd w:id="55"/>
    </w:p>
    <w:p>
      <w:pPr>
        <w:keepNext/>
        <w:widowControl/>
      </w:pPr>
      <w:r>
        <w:rPr>
          <w:b/>
          <w:i w:val="0"/>
        </w:rPr>
        <w:t>Latin:</w:t>
      </w:r>
      <w:r>
        <w:rPr>
          <w:b w:val="0"/>
          <w:i w:val="0"/>
        </w:rPr>
        <w:t xml:space="preserve"> </w:t>
      </w:r>
      <w:r>
        <w:rPr>
          <w:b w:val="0"/>
          <w:i/>
        </w:rPr>
        <w:t>influxus</w:t>
      </w:r>
      <w:r>
        <w:rPr>
          <w:b w:val="0"/>
          <w:i w:val="0"/>
        </w:rPr>
        <w:t xml:space="preserve">; </w:t>
      </w:r>
      <w:r>
        <w:rPr>
          <w:b w:val="0"/>
          <w:i/>
        </w:rPr>
        <w:t>influxibus</w:t>
      </w:r>
      <w:r>
        <w:rPr>
          <w:b w:val="0"/>
          <w:i w:val="0"/>
        </w:rPr>
        <w:t xml:space="preserve">; </w:t>
      </w:r>
      <w:r>
        <w:rPr>
          <w:b w:val="0"/>
          <w:i/>
        </w:rPr>
        <w:t>caelestis instinctus</w:t>
      </w:r>
      <w:r>
        <w:rPr>
          <w:b w:val="0"/>
          <w:i w:val="0"/>
        </w:rPr>
        <w:t xml:space="preserve">; </w:t>
      </w:r>
      <w:r>
        <w:rPr>
          <w:b w:val="0"/>
          <w:i/>
        </w:rPr>
        <w:t>mundanos instinctus</w:t>
      </w:r>
    </w:p>
    <w:p>
      <w:pPr>
        <w:keepNext/>
        <w:widowControl/>
      </w:pPr>
      <w:r>
        <w:rPr>
          <w:b/>
          <w:i w:val="0"/>
        </w:rPr>
        <w:t>The word.</w:t>
      </w:r>
    </w:p>
    <w:p>
      <w:pPr>
        <w:widowControl/>
      </w:pPr>
      <w:r>
        <w:rPr>
          <w:b w:val="0"/>
          <w:i w:val="0"/>
        </w:rPr>
        <w:t>Influxus is an influx or communicated causal influence; instinctus is a directing impulse. Contrahere can specify a universal influence to a local recipient rather than physically compress it.</w:t>
      </w:r>
    </w:p>
    <w:p>
      <w:pPr>
        <w:keepNext/>
        <w:widowControl/>
      </w:pPr>
      <w:r>
        <w:rPr>
          <w:b/>
          <w:i w:val="0"/>
        </w:rPr>
        <w:t>In the Platonic Theology.</w:t>
      </w:r>
    </w:p>
    <w:p>
      <w:pPr>
        <w:widowControl/>
      </w:pPr>
      <w:r>
        <w:rPr>
          <w:b w:val="0"/>
          <w:i w:val="0"/>
        </w:rPr>
        <w:t xml:space="preserve">An </w:t>
      </w:r>
      <w:r>
        <w:rPr>
          <w:b w:val="0"/>
          <w:i/>
        </w:rPr>
        <w:t>instinctus</w:t>
      </w:r>
      <w:r>
        <w:rPr>
          <w:b w:val="0"/>
          <w:i w:val="0"/>
        </w:rPr>
        <w:t xml:space="preserve"> in these passages is an impulse arriving from celestial souls, not simply an animal’s innate behavior. Such an influence is common or general until an intermediary makes it appropriate to a determinate lower effect. Ficino’s earth-soul contracts celestial and universal impulses into earthly and particular lives; a fitting middle must be earthly and universal at once. </w:t>
      </w:r>
      <w:r>
        <w:t>“</w:t>
      </w:r>
      <w:r>
        <w:rPr>
          <w:b w:val="0"/>
          <w:i w:val="0"/>
        </w:rPr>
        <w:t>Contracting</w:t>
      </w:r>
      <w:r>
        <w:t>”</w:t>
      </w:r>
      <w:r>
        <w:rPr>
          <w:b w:val="0"/>
          <w:i w:val="0"/>
        </w:rPr>
        <w:t xml:space="preserve"> here describes causal specification, rather than spatial compression. His account preserves both celestial influence and a genuinely present earthly source: the influx cannot independently supply a living substance because it is itself an accident. Later the whole elemental spheres receive influences from higher minds and spheres, and transmit them to particles and mixed bodies. The passage about parts of air and fire answering to stars makes this cosmology particularly explicit. This is the causal architecture of the Platonist exposition, rather than an account of physical radiation.</w:t>
      </w:r>
    </w:p>
    <w:p>
      <w:pPr>
        <w:keepNext/>
        <w:widowControl/>
      </w:pPr>
      <w:r>
        <w:rPr>
          <w:b/>
          <w:i w:val="0"/>
        </w:rPr>
        <w:t>The places.</w:t>
      </w:r>
    </w:p>
    <w:p>
      <w:pPr>
        <w:ind w:left="187" w:hanging="187"/>
      </w:pPr>
      <w:r>
        <w:t xml:space="preserve">• </w:t>
      </w:r>
      <w:r>
        <w:rPr>
          <w:b/>
          <w:i w:val="0"/>
        </w:rPr>
        <w:t>IV.1.7, PDF 284–285</w:t>
      </w:r>
      <w:r>
        <w:rPr>
          <w:b w:val="0"/>
          <w:i w:val="0"/>
        </w:rPr>
        <w:t>. Earth-soul mediates universal celestial impulses into particular earthly life.</w:t>
      </w:r>
    </w:p>
    <w:p>
      <w:pPr>
        <w:ind w:left="187" w:hanging="187"/>
      </w:pPr>
      <w:r>
        <w:t xml:space="preserve">• </w:t>
      </w:r>
      <w:r>
        <w:rPr>
          <w:b/>
          <w:i w:val="0"/>
        </w:rPr>
        <w:t>IV.1.91–92, PDF 328–331</w:t>
      </w:r>
      <w:r>
        <w:rPr>
          <w:b w:val="0"/>
          <w:i w:val="0"/>
        </w:rPr>
        <w:t>. Whole elements receive higher influxes before parts; selected regions of air and fire answer to stars.</w:t>
      </w:r>
    </w:p>
    <w:p>
      <w:pPr>
        <w:ind w:left="187" w:hanging="187"/>
      </w:pPr>
      <w:r>
        <w:t xml:space="preserve">• </w:t>
      </w:r>
      <w:r>
        <w:rPr>
          <w:b/>
          <w:i w:val="0"/>
        </w:rPr>
        <w:t>IV.1.96, PDF 332–333</w:t>
      </w:r>
      <w:r>
        <w:rPr>
          <w:b w:val="0"/>
          <w:i w:val="0"/>
        </w:rPr>
        <w:t>. Ficino subjects the reported sphere-soul account to theological examination.</w:t>
      </w:r>
    </w:p>
    <w:p>
      <w:pPr>
        <w:widowControl/>
      </w:pPr>
      <w:r>
        <w:rPr>
          <w:b/>
          <w:i w:val="0"/>
        </w:rPr>
        <w:t>Further passage references.</w:t>
      </w:r>
      <w:r>
        <w:rPr>
          <w:b w:val="0"/>
          <w:i w:val="0"/>
        </w:rPr>
        <w:t xml:space="preserve"> IV.1.3–IV.1.9, pp. 282–287; IV.1.91–IV.1.93, pp. 328–331; apparatus pp. 388, 393</w:t>
      </w:r>
    </w:p>
    <w:p>
      <w:pPr>
        <w:keepNext/>
        <w:widowControl/>
      </w:pPr>
      <w:r>
        <w:rPr>
          <w:b/>
          <w:i w:val="0"/>
        </w:rPr>
        <w:t>In this edition.</w:t>
      </w:r>
    </w:p>
    <w:p>
      <w:pPr>
        <w:widowControl/>
      </w:pPr>
      <w:r>
        <w:rPr>
          <w:b w:val="0"/>
          <w:i w:val="0"/>
        </w:rPr>
        <w:t xml:space="preserve">The translation’s </w:t>
      </w:r>
      <w:r>
        <w:t>“</w:t>
      </w:r>
      <w:r>
        <w:rPr>
          <w:b w:val="0"/>
          <w:i w:val="0"/>
        </w:rPr>
        <w:t>contracted</w:t>
      </w:r>
      <w:r>
        <w:t>”</w:t>
      </w:r>
      <w:r>
        <w:rPr>
          <w:b w:val="0"/>
          <w:i w:val="0"/>
        </w:rPr>
        <w:t xml:space="preserve"> at IV.1.7 concerns specification from celestial/universal to earthly/particular through an earthly/universal middle. The claims about stellar reception and animated elements belong to the attributed cosmology and its chapter-end reservation.</w:t>
      </w:r>
    </w:p>
    <w:p>
      <w:pPr>
        <w:keepNext/>
        <w:widowControl/>
      </w:pPr>
      <w:r>
        <w:rPr>
          <w:b/>
          <w:i w:val="0"/>
        </w:rPr>
        <w:t>See also.</w:t>
      </w:r>
    </w:p>
    <w:p>
      <w:pPr>
        <w:widowControl/>
      </w:pPr>
      <w:hyperlink w:anchor="substance-and-accident">
        <w:r>
          <w:rPr>
            <w:color w:val="000000"/>
          </w:rPr>
          <w:t xml:space="preserve">Substance and accident</w:t>
        </w:r>
      </w:hyperlink>
      <w:r>
        <w:rPr>
          <w:b w:val="0"/>
          <w:i w:val="0"/>
        </w:rPr>
        <w:t xml:space="preserve">; </w:t>
      </w:r>
      <w:hyperlink w:anchor="instrument">
        <w:r>
          <w:rPr>
            <w:color w:val="000000"/>
          </w:rPr>
          <w:t xml:space="preserve">Instrument</w:t>
        </w:r>
      </w:hyperlink>
      <w:r>
        <w:rPr>
          <w:b w:val="0"/>
          <w:i w:val="0"/>
        </w:rPr>
        <w:t xml:space="preserve">; </w:t>
      </w:r>
      <w:hyperlink w:anchor="earth-soul">
        <w:r>
          <w:rPr>
            <w:color w:val="000000"/>
          </w:rPr>
          <w:t xml:space="preserve">Earth soul</w:t>
        </w:r>
      </w:hyperlink>
      <w:r>
        <w:rPr>
          <w:b w:val="0"/>
          <w:i w:val="0"/>
        </w:rPr>
        <w:t xml:space="preserve">; </w:t>
      </w:r>
      <w:hyperlink w:anchor="degree-and-mediation">
        <w:r>
          <w:rPr>
            <w:color w:val="000000"/>
          </w:rPr>
          <w:t xml:space="preserve">Degree and mediation</w:t>
        </w:r>
      </w:hyperlink>
    </w:p>
    <w:p>
      <w:bookmarkStart w:id="56" w:name="chance"/>
      <w:pPr>
        <w:pStyle w:val="Heading2"/>
      </w:pPr>
      <w:r>
        <w:rPr>
          <w:b w:val="0"/>
          <w:i w:val="0"/>
        </w:rPr>
        <w:t>Chance</w:t>
      </w:r>
      <w:bookmarkEnd w:id="56"/>
    </w:p>
    <w:p>
      <w:pPr>
        <w:keepNext/>
        <w:widowControl/>
      </w:pPr>
      <w:r>
        <w:rPr>
          <w:b/>
          <w:i w:val="0"/>
        </w:rPr>
        <w:t>Latin:</w:t>
      </w:r>
      <w:r>
        <w:rPr>
          <w:b w:val="0"/>
          <w:i w:val="0"/>
        </w:rPr>
        <w:t xml:space="preserve"> </w:t>
      </w:r>
      <w:r>
        <w:rPr>
          <w:b w:val="0"/>
          <w:i/>
        </w:rPr>
        <w:t>casus</w:t>
      </w:r>
      <w:r>
        <w:rPr>
          <w:b w:val="0"/>
          <w:i w:val="0"/>
        </w:rPr>
        <w:t xml:space="preserve">; </w:t>
      </w:r>
      <w:r>
        <w:rPr>
          <w:b w:val="0"/>
          <w:i/>
        </w:rPr>
        <w:t>fortuna</w:t>
      </w:r>
      <w:r>
        <w:rPr>
          <w:b w:val="0"/>
          <w:i w:val="0"/>
        </w:rPr>
        <w:t xml:space="preserve">; </w:t>
      </w:r>
      <w:r>
        <w:rPr>
          <w:b w:val="0"/>
          <w:i/>
        </w:rPr>
        <w:t>fortuitum</w:t>
      </w:r>
      <w:r>
        <w:rPr>
          <w:b w:val="0"/>
          <w:i w:val="0"/>
        </w:rPr>
        <w:t xml:space="preserve">; </w:t>
      </w:r>
      <w:r>
        <w:rPr>
          <w:b w:val="0"/>
          <w:i/>
        </w:rPr>
        <w:t>sors</w:t>
      </w:r>
      <w:r>
        <w:rPr>
          <w:b w:val="0"/>
          <w:i w:val="0"/>
        </w:rPr>
        <w:t xml:space="preserve">; </w:t>
      </w:r>
      <w:r>
        <w:rPr>
          <w:b w:val="0"/>
          <w:i/>
        </w:rPr>
        <w:t>privatio rationis sive defectus</w:t>
      </w:r>
    </w:p>
    <w:p>
      <w:pPr>
        <w:keepNext/>
        <w:widowControl/>
      </w:pPr>
      <w:r>
        <w:rPr>
          <w:b/>
          <w:i w:val="0"/>
        </w:rPr>
        <w:t>The word.</w:t>
      </w:r>
    </w:p>
    <w:p>
      <w:pPr>
        <w:widowControl/>
      </w:pPr>
      <w:r>
        <w:rPr>
          <w:b w:val="0"/>
          <w:i w:val="0"/>
        </w:rPr>
        <w:t>Casus, fortuna and fortuitum concern chance or an outcome lacking the rational ordering proposed by Ficino. Contingency, by contrast, can be a permitted variable mode within providence.</w:t>
      </w:r>
    </w:p>
    <w:p>
      <w:pPr>
        <w:keepNext/>
        <w:widowControl/>
      </w:pPr>
      <w:r>
        <w:rPr>
          <w:b/>
          <w:i w:val="0"/>
        </w:rPr>
        <w:t>In the Platonic Theology.</w:t>
      </w:r>
    </w:p>
    <w:p>
      <w:pPr>
        <w:widowControl/>
      </w:pPr>
      <w:r>
        <w:rPr>
          <w:b w:val="0"/>
          <w:i w:val="0"/>
        </w:rPr>
        <w:t>Chance means a happening without the purposive and intelligible ordering that Ficino finds in the world. He calls fortune a privation or failure of reason and argues that it cannot account for either God or the world’s sustained arrangement. His polemic addresses Lucretius by name and contrasts random handling of stones with constructing a useful, coordinated building. The repeated ends reached by living things and the stable relations among their organs supply further examples.</w:t>
      </w:r>
    </w:p>
    <w:p>
      <w:pPr>
        <w:widowControl/>
      </w:pPr>
      <w:r>
        <w:rPr>
          <w:b w:val="0"/>
          <w:i w:val="0"/>
        </w:rPr>
        <w:t xml:space="preserve">This strong rejection of chance as the ultimate explanation of the universe should not be collapsed into a denial of every contingent occurrence. In II.12.20–21, Ficino explicitly allows God to will contingent modes of events within an ordered universe. The difference is between treating lack of order as the source of order and admitting variable effects arising through created causes. </w:t>
      </w:r>
      <w:r>
        <w:t>“</w:t>
      </w:r>
      <w:r>
        <w:rPr>
          <w:b w:val="0"/>
          <w:i w:val="0"/>
        </w:rPr>
        <w:t>Chance</w:t>
      </w:r>
      <w:r>
        <w:t>”</w:t>
      </w:r>
      <w:r>
        <w:rPr>
          <w:b w:val="0"/>
          <w:i w:val="0"/>
        </w:rPr>
        <w:t xml:space="preserve"> is therefore not automatically an interchangeable translation of every occurrence of </w:t>
      </w:r>
      <w:r>
        <w:rPr>
          <w:b w:val="0"/>
          <w:i/>
        </w:rPr>
        <w:t>contingentia</w:t>
      </w:r>
      <w:r>
        <w:rPr>
          <w:b w:val="0"/>
          <w:i w:val="0"/>
        </w:rPr>
        <w:t>.</w:t>
      </w:r>
    </w:p>
    <w:p>
      <w:pPr>
        <w:keepNext/>
        <w:widowControl/>
      </w:pPr>
      <w:r>
        <w:rPr>
          <w:b/>
          <w:i w:val="0"/>
        </w:rPr>
        <w:t>The places.</w:t>
      </w:r>
    </w:p>
    <w:p>
      <w:pPr>
        <w:ind w:left="187" w:hanging="187"/>
      </w:pPr>
      <w:r>
        <w:t xml:space="preserve">• </w:t>
      </w:r>
      <w:r>
        <w:rPr>
          <w:b/>
          <w:i w:val="0"/>
        </w:rPr>
        <w:t>II.12.3, PDF 202–203</w:t>
      </w:r>
      <w:r>
        <w:rPr>
          <w:b w:val="0"/>
          <w:i w:val="0"/>
        </w:rPr>
        <w:t>. God’s being and acting are denied to arise as chance happened to determine.</w:t>
      </w:r>
    </w:p>
    <w:p>
      <w:pPr>
        <w:ind w:left="187" w:hanging="187"/>
      </w:pPr>
      <w:r>
        <w:t xml:space="preserve">• </w:t>
      </w:r>
      <w:r>
        <w:rPr>
          <w:b/>
          <w:i w:val="0"/>
        </w:rPr>
        <w:t>II.13.17, PDF 228–229</w:t>
      </w:r>
      <w:r>
        <w:rPr>
          <w:b w:val="0"/>
          <w:i w:val="0"/>
        </w:rPr>
        <w:t>. The regularity of species, organs and motions is argued to require ordering counsel.</w:t>
      </w:r>
    </w:p>
    <w:p>
      <w:pPr>
        <w:ind w:left="187" w:hanging="187"/>
      </w:pPr>
      <w:r>
        <w:t xml:space="preserve">• </w:t>
      </w:r>
      <w:r>
        <w:rPr>
          <w:b/>
          <w:i w:val="0"/>
        </w:rPr>
        <w:t>II.12.20, PDF 214–215</w:t>
      </w:r>
      <w:r>
        <w:rPr>
          <w:b w:val="0"/>
          <w:i w:val="0"/>
        </w:rPr>
        <w:t>. Variable effects of mobile proximate causes retain a place in exact universal order.</w:t>
      </w:r>
    </w:p>
    <w:p>
      <w:pPr>
        <w:widowControl/>
      </w:pPr>
      <w:r>
        <w:rPr>
          <w:b/>
          <w:i w:val="0"/>
        </w:rPr>
        <w:t>Further passage references.</w:t>
      </w:r>
      <w:r>
        <w:rPr>
          <w:b w:val="0"/>
          <w:i w:val="0"/>
        </w:rPr>
        <w:t xml:space="preserve"> II.11.17–18, 26, PDF 190–195; II.12.2–3, PDF 202–203; II.13.14–20, PDF 226–231; II.12.20–21, PDF pp. 214–215</w:t>
      </w:r>
    </w:p>
    <w:p>
      <w:pPr>
        <w:keepNext/>
        <w:widowControl/>
      </w:pPr>
      <w:r>
        <w:rPr>
          <w:b/>
          <w:i w:val="0"/>
        </w:rPr>
        <w:t>In this edition.</w:t>
      </w:r>
    </w:p>
    <w:p>
      <w:pPr>
        <w:widowControl/>
      </w:pPr>
      <w:r>
        <w:rPr>
          <w:b w:val="0"/>
          <w:i w:val="0"/>
        </w:rPr>
        <w:t>Do not turn the polemic against fortune as first cause into a denial of every contingent created event. The latter vocabulary is expressly admitted in II.12.20–21, while II.12.3 rejects contingency as the explanation of God’s own being.</w:t>
      </w:r>
    </w:p>
    <w:p>
      <w:pPr>
        <w:keepNext/>
        <w:widowControl/>
      </w:pPr>
      <w:r>
        <w:rPr>
          <w:b/>
          <w:i w:val="0"/>
        </w:rPr>
        <w:t>See also.</w:t>
      </w:r>
    </w:p>
    <w:p>
      <w:pPr>
        <w:widowControl/>
      </w:pPr>
      <w:hyperlink w:anchor="contingency">
        <w:r>
          <w:rPr>
            <w:color w:val="000000"/>
          </w:rPr>
          <w:t xml:space="preserve">Contingency</w:t>
        </w:r>
      </w:hyperlink>
      <w:r>
        <w:rPr>
          <w:b w:val="0"/>
          <w:i w:val="0"/>
        </w:rPr>
        <w:t xml:space="preserve">; </w:t>
      </w:r>
      <w:hyperlink w:anchor="intuition-and-discourse">
        <w:r>
          <w:rPr>
            <w:color w:val="000000"/>
          </w:rPr>
          <w:t xml:space="preserve">Intuition and discourse</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p>
    <w:p>
      <w:bookmarkStart w:id="57" w:name="choice-and-deliberation"/>
      <w:pPr>
        <w:pStyle w:val="Heading2"/>
      </w:pPr>
      <w:r>
        <w:rPr>
          <w:b w:val="0"/>
          <w:i w:val="0"/>
        </w:rPr>
        <w:t>Choice and deliberation</w:t>
      </w:r>
      <w:bookmarkEnd w:id="57"/>
    </w:p>
    <w:p>
      <w:pPr>
        <w:keepNext/>
        <w:widowControl/>
      </w:pPr>
      <w:r>
        <w:rPr>
          <w:b/>
          <w:i w:val="0"/>
        </w:rPr>
        <w:t>Latin:</w:t>
      </w:r>
      <w:r>
        <w:rPr>
          <w:b w:val="0"/>
          <w:i w:val="0"/>
        </w:rPr>
        <w:t xml:space="preserve"> </w:t>
      </w:r>
      <w:r>
        <w:rPr>
          <w:b w:val="0"/>
          <w:i/>
        </w:rPr>
        <w:t>electio</w:t>
      </w:r>
      <w:r>
        <w:rPr>
          <w:b w:val="0"/>
          <w:i w:val="0"/>
        </w:rPr>
        <w:t xml:space="preserve">; </w:t>
      </w:r>
      <w:r>
        <w:rPr>
          <w:b w:val="0"/>
          <w:i/>
        </w:rPr>
        <w:t>consilium</w:t>
      </w:r>
      <w:r>
        <w:rPr>
          <w:b w:val="0"/>
          <w:i w:val="0"/>
        </w:rPr>
        <w:t xml:space="preserve">; </w:t>
      </w:r>
      <w:r>
        <w:rPr>
          <w:b w:val="0"/>
          <w:i/>
        </w:rPr>
        <w:t>voluntaria cognitio</w:t>
      </w:r>
      <w:r>
        <w:rPr>
          <w:b w:val="0"/>
          <w:i w:val="0"/>
        </w:rPr>
        <w:t xml:space="preserve">; </w:t>
      </w:r>
      <w:r>
        <w:rPr>
          <w:b w:val="0"/>
          <w:i/>
        </w:rPr>
        <w:t>velle</w:t>
      </w:r>
      <w:r>
        <w:rPr>
          <w:b w:val="0"/>
          <w:i w:val="0"/>
        </w:rPr>
        <w:t xml:space="preserve">; </w:t>
      </w:r>
      <w:r>
        <w:rPr>
          <w:b w:val="0"/>
          <w:i/>
        </w:rPr>
        <w:t>nolle</w:t>
      </w:r>
    </w:p>
    <w:p>
      <w:pPr>
        <w:keepNext/>
        <w:widowControl/>
      </w:pPr>
      <w:r>
        <w:rPr>
          <w:b/>
          <w:i w:val="0"/>
        </w:rPr>
        <w:t>The word.</w:t>
      </w:r>
    </w:p>
    <w:p>
      <w:pPr>
        <w:widowControl/>
      </w:pPr>
      <w:r>
        <w:rPr>
          <w:b w:val="0"/>
          <w:i w:val="0"/>
        </w:rPr>
        <w:t>Electio selects; consilium is counsel, a plan or deliberation. Velle and nolle concern willing and refusing. The absence of laborious planning does not by itself mean absence of intelligence or will.</w:t>
      </w:r>
    </w:p>
    <w:p>
      <w:pPr>
        <w:keepNext/>
        <w:widowControl/>
      </w:pPr>
      <w:r>
        <w:rPr>
          <w:b/>
          <w:i w:val="0"/>
        </w:rPr>
        <w:t>In the Platonic Theology.</w:t>
      </w:r>
    </w:p>
    <w:p>
      <w:pPr>
        <w:widowControl/>
      </w:pPr>
      <w:r>
        <w:rPr>
          <w:b w:val="0"/>
          <w:i w:val="0"/>
        </w:rPr>
        <w:t xml:space="preserve">Ficino rejects the suggestion, attributed to an Epicurean objection, that producing many things would burden God with planning and work. Divine being is already sufficient for action; no separate deliberative mechanism must be added to it. His argument begins with activities occurring without choice: fire heats, the sun illuminates, and soul gives life to the body. Choice itself also arises from the soul’s being without another preceding choice, since an infinite series of choices before every action would prevent action from beginning. Ficino orders deliberative operation below operation through essential power and, finally, operation through pure being. This is not a denial of divine intelligence or all willing. In II.9.13 he explicitly identifies God’s operation with </w:t>
      </w:r>
      <w:r>
        <w:rPr>
          <w:b w:val="0"/>
          <w:i/>
        </w:rPr>
        <w:t>voluntaria cognitio</w:t>
      </w:r>
      <w:r>
        <w:rPr>
          <w:b w:val="0"/>
          <w:i w:val="0"/>
        </w:rPr>
        <w:t xml:space="preserve">. The distinction concerns laborious or supplementary deliberation and God’s simple intelligent activity. </w:t>
      </w:r>
      <w:r>
        <w:rPr>
          <w:b w:val="0"/>
          <w:i/>
        </w:rPr>
        <w:t>Consilium</w:t>
      </w:r>
      <w:r>
        <w:rPr>
          <w:b w:val="0"/>
          <w:i w:val="0"/>
        </w:rPr>
        <w:t xml:space="preserve"> also means counsel in the reported account of mind as signifying God’s nature and intentions, a broader sense than a laborious psychological process.</w:t>
      </w:r>
    </w:p>
    <w:p>
      <w:pPr>
        <w:keepNext/>
        <w:widowControl/>
      </w:pPr>
      <w:r>
        <w:rPr>
          <w:b/>
          <w:i w:val="0"/>
        </w:rPr>
        <w:t>The places.</w:t>
      </w:r>
    </w:p>
    <w:p>
      <w:pPr>
        <w:ind w:left="187" w:hanging="187"/>
      </w:pPr>
      <w:r>
        <w:t xml:space="preserve">• </w:t>
      </w:r>
      <w:r>
        <w:rPr>
          <w:b/>
          <w:i w:val="0"/>
        </w:rPr>
        <w:t>II.8.1, PDF 160–161</w:t>
      </w:r>
      <w:r>
        <w:rPr>
          <w:b w:val="0"/>
          <w:i w:val="0"/>
        </w:rPr>
        <w:t>. The Epicurean objection about burdensome divine labour is rejected.</w:t>
      </w:r>
    </w:p>
    <w:p>
      <w:pPr>
        <w:ind w:left="187" w:hanging="187"/>
      </w:pPr>
      <w:r>
        <w:t xml:space="preserve">• </w:t>
      </w:r>
      <w:r>
        <w:rPr>
          <w:b/>
          <w:i w:val="0"/>
        </w:rPr>
        <w:t>II.8.5, PDF 162–163</w:t>
      </w:r>
      <w:r>
        <w:rPr>
          <w:b w:val="0"/>
          <w:i w:val="0"/>
        </w:rPr>
        <w:t>. Deliberative action is distinguished from action through essential power and pure being.</w:t>
      </w:r>
    </w:p>
    <w:p>
      <w:pPr>
        <w:ind w:left="187" w:hanging="187"/>
      </w:pPr>
      <w:r>
        <w:t xml:space="preserve">• </w:t>
      </w:r>
      <w:r>
        <w:rPr>
          <w:b/>
          <w:i w:val="0"/>
        </w:rPr>
        <w:t>II.9.13, PDF 168–169</w:t>
      </w:r>
      <w:r>
        <w:rPr>
          <w:b w:val="0"/>
          <w:i w:val="0"/>
        </w:rPr>
        <w:t>. Voluntary cognition and operation are identical in the simple God.</w:t>
      </w:r>
    </w:p>
    <w:p>
      <w:pPr>
        <w:widowControl/>
      </w:pPr>
      <w:r>
        <w:rPr>
          <w:b/>
          <w:i w:val="0"/>
        </w:rPr>
        <w:t>Further passage references.</w:t>
      </w:r>
      <w:r>
        <w:rPr>
          <w:b w:val="0"/>
          <w:i w:val="0"/>
        </w:rPr>
        <w:t xml:space="preserve"> II.2.14, pp. 112–113; II.6.20, pp. 138–139; II.8.1–5, pp. 160–163; II.9.13, pp. 168–169</w:t>
      </w:r>
    </w:p>
    <w:p>
      <w:pPr>
        <w:keepNext/>
        <w:widowControl/>
      </w:pPr>
      <w:r>
        <w:rPr>
          <w:b/>
          <w:i w:val="0"/>
        </w:rPr>
        <w:t>In this edition.</w:t>
      </w:r>
    </w:p>
    <w:p>
      <w:pPr>
        <w:widowControl/>
      </w:pPr>
      <w:r>
        <w:rPr>
          <w:b w:val="0"/>
          <w:i w:val="0"/>
        </w:rPr>
        <w:t>Read II.8.1’s denial of need for consilium and electio beside II.9.13’s voluntaria cognitio. These are distinct descriptions of divine action, not an unnoticed shift from wholly unwilling action to willing action.</w:t>
      </w:r>
    </w:p>
    <w:p>
      <w:pPr>
        <w:keepNext/>
        <w:widowControl/>
      </w:pPr>
      <w:r>
        <w:rPr>
          <w:b/>
          <w:i w:val="0"/>
        </w:rPr>
        <w:t>See also.</w:t>
      </w:r>
    </w:p>
    <w:p>
      <w:pPr>
        <w:widowControl/>
      </w:pPr>
      <w:hyperlink w:anchor="act-and-operation">
        <w:r>
          <w:rPr>
            <w:color w:val="000000"/>
          </w:rPr>
          <w:t xml:space="preserve">Act and operation</w:t>
        </w:r>
      </w:hyperlink>
      <w:r>
        <w:rPr>
          <w:b w:val="0"/>
          <w:i w:val="0"/>
        </w:rPr>
        <w:t xml:space="preserve">; </w:t>
      </w:r>
      <w:hyperlink w:anchor="being">
        <w:r>
          <w:rPr>
            <w:color w:val="000000"/>
          </w:rPr>
          <w:t xml:space="preserve">Being</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self-knowledge">
        <w:r>
          <w:rPr>
            <w:color w:val="000000"/>
          </w:rPr>
          <w:t xml:space="preserve">Self knowledge</w:t>
        </w:r>
      </w:hyperlink>
    </w:p>
    <w:p>
      <w:bookmarkStart w:id="58" w:name="choice-and-free-judgment"/>
      <w:pPr>
        <w:pStyle w:val="Heading2"/>
      </w:pPr>
      <w:r>
        <w:rPr>
          <w:b w:val="0"/>
          <w:i w:val="0"/>
        </w:rPr>
        <w:t>Choice and free judgment</w:t>
      </w:r>
      <w:bookmarkEnd w:id="58"/>
    </w:p>
    <w:p>
      <w:pPr>
        <w:keepNext/>
        <w:widowControl/>
      </w:pPr>
      <w:r>
        <w:rPr>
          <w:b/>
          <w:i w:val="0"/>
        </w:rPr>
        <w:t>Latin:</w:t>
      </w:r>
      <w:r>
        <w:rPr>
          <w:b w:val="0"/>
          <w:i w:val="0"/>
        </w:rPr>
        <w:t xml:space="preserve"> </w:t>
      </w:r>
      <w:r>
        <w:rPr>
          <w:b w:val="0"/>
          <w:i/>
        </w:rPr>
        <w:t>electio</w:t>
      </w:r>
      <w:r>
        <w:rPr>
          <w:b w:val="0"/>
          <w:i w:val="0"/>
        </w:rPr>
        <w:t xml:space="preserve">; </w:t>
      </w:r>
      <w:r>
        <w:rPr>
          <w:b w:val="0"/>
          <w:i/>
        </w:rPr>
        <w:t>eligere</w:t>
      </w:r>
      <w:r>
        <w:rPr>
          <w:b w:val="0"/>
          <w:i w:val="0"/>
        </w:rPr>
        <w:t xml:space="preserve">; </w:t>
      </w:r>
      <w:r>
        <w:rPr>
          <w:b w:val="0"/>
          <w:i/>
        </w:rPr>
        <w:t>arbitrii libertas</w:t>
      </w:r>
      <w:r>
        <w:rPr>
          <w:b w:val="0"/>
          <w:i w:val="0"/>
        </w:rPr>
        <w:t xml:space="preserve">; </w:t>
      </w:r>
      <w:r>
        <w:rPr>
          <w:b w:val="0"/>
          <w:i/>
        </w:rPr>
        <w:t>iudicium liberum</w:t>
      </w:r>
      <w:r>
        <w:rPr>
          <w:b w:val="0"/>
          <w:i w:val="0"/>
        </w:rPr>
        <w:t xml:space="preserve">; </w:t>
      </w:r>
      <w:r>
        <w:rPr>
          <w:b w:val="0"/>
          <w:i/>
        </w:rPr>
        <w:t>nostri iudicii libertatem</w:t>
      </w:r>
    </w:p>
    <w:p>
      <w:pPr>
        <w:keepNext/>
        <w:widowControl/>
      </w:pPr>
      <w:r>
        <w:rPr>
          <w:b/>
          <w:i w:val="0"/>
        </w:rPr>
        <w:t>The word.</w:t>
      </w:r>
    </w:p>
    <w:p>
      <w:pPr>
        <w:widowControl/>
      </w:pPr>
      <w:r>
        <w:rPr>
          <w:b w:val="0"/>
          <w:i w:val="0"/>
        </w:rPr>
        <w:t>Electio and eligere concern selection; iudicium liberum and arbitrii libertas concern the capacity to assess alternatives and choose. Their objects are particular acts or means, unlike desire for good as such.</w:t>
      </w:r>
    </w:p>
    <w:p>
      <w:pPr>
        <w:keepNext/>
        <w:widowControl/>
      </w:pPr>
      <w:r>
        <w:rPr>
          <w:b/>
          <w:i w:val="0"/>
        </w:rPr>
        <w:t>In the Platonic Theology.</w:t>
      </w:r>
    </w:p>
    <w:p>
      <w:pPr>
        <w:widowControl/>
      </w:pPr>
      <w:r>
        <w:rPr>
          <w:b w:val="0"/>
          <w:i w:val="0"/>
        </w:rPr>
        <w:t>Choice is the selection of a particular action or means; free judgment is the rational capacity that weighs alternatives. Ficino differentiates this freedom from the basic orientation toward the good. Souls necessarily desire the good as such, yet God leaves their judgment free to deliberate about actions, assess which alternative is better, and choose what they consider more suitable. Consequently, the text’s necessity of desire does not mean that only one concrete option is available to a human agent.</w:t>
      </w:r>
    </w:p>
    <w:p>
      <w:pPr>
        <w:widowControl/>
      </w:pPr>
      <w:r>
        <w:rPr>
          <w:b w:val="0"/>
          <w:i w:val="0"/>
        </w:rPr>
        <w:t>The application of choice to God is qualified. God produces some possible things and not others, so Ficino speaks of free election, but adds that divine election does not differ from divine essence. God is not a composite decision-maker whose choice is an additional accidental state. Providence likewise preserves human modes of acting: divine foreknowledge includes both what a person does and that person’s voluntary, free manner of doing it. Ficino’s argument is that a conditional necessity of foreknown events confirms rather than eliminates their mode. This is Ficino’s proposed reconciliation of foreknowledge and freedom.</w:t>
      </w:r>
    </w:p>
    <w:p>
      <w:pPr>
        <w:keepNext/>
        <w:widowControl/>
      </w:pPr>
      <w:r>
        <w:rPr>
          <w:b/>
          <w:i w:val="0"/>
        </w:rPr>
        <w:t>The places.</w:t>
      </w:r>
    </w:p>
    <w:p>
      <w:pPr>
        <w:ind w:left="187" w:hanging="187"/>
      </w:pPr>
      <w:r>
        <w:t xml:space="preserve">• </w:t>
      </w:r>
      <w:r>
        <w:rPr>
          <w:b/>
          <w:i w:val="0"/>
        </w:rPr>
        <w:t>II.12.15–17, PDF 210–213</w:t>
      </w:r>
      <w:r>
        <w:rPr>
          <w:b w:val="0"/>
          <w:i w:val="0"/>
        </w:rPr>
        <w:t>. God’s willing is not exhausted by the creatures that actually exist, and effects are not absolutely necessary.</w:t>
      </w:r>
    </w:p>
    <w:p>
      <w:pPr>
        <w:ind w:left="187" w:hanging="187"/>
      </w:pPr>
      <w:r>
        <w:t xml:space="preserve">• </w:t>
      </w:r>
      <w:r>
        <w:rPr>
          <w:b/>
          <w:i w:val="0"/>
        </w:rPr>
        <w:t>II.13.25–26, PDF 234–235</w:t>
      </w:r>
      <w:r>
        <w:rPr>
          <w:b w:val="0"/>
          <w:i w:val="0"/>
        </w:rPr>
        <w:t>. Foreknowledge includes voluntary mode and governance preserves each nature.</w:t>
      </w:r>
    </w:p>
    <w:p>
      <w:pPr>
        <w:ind w:left="187" w:hanging="187"/>
      </w:pPr>
      <w:r>
        <w:t xml:space="preserve">• </w:t>
      </w:r>
      <w:r>
        <w:rPr>
          <w:b/>
          <w:i w:val="0"/>
        </w:rPr>
        <w:t>II.13.30, PDF 236–237</w:t>
      </w:r>
      <w:r>
        <w:rPr>
          <w:b w:val="0"/>
          <w:i w:val="0"/>
        </w:rPr>
        <w:t>. The soul deliberates, compares alternatives and chooses means judged apt for attaining good.</w:t>
      </w:r>
    </w:p>
    <w:p>
      <w:pPr>
        <w:widowControl/>
      </w:pPr>
      <w:r>
        <w:rPr>
          <w:b/>
          <w:i w:val="0"/>
        </w:rPr>
        <w:t>Further passage references.</w:t>
      </w:r>
      <w:r>
        <w:rPr>
          <w:b w:val="0"/>
          <w:i w:val="0"/>
        </w:rPr>
        <w:t xml:space="preserve"> II.12.17–21, PDF 212–215; II.13.24–30, PDF 232–237</w:t>
      </w:r>
    </w:p>
    <w:p>
      <w:pPr>
        <w:keepNext/>
        <w:widowControl/>
      </w:pPr>
      <w:r>
        <w:rPr>
          <w:b/>
          <w:i w:val="0"/>
        </w:rPr>
        <w:t>In this edition.</w:t>
      </w:r>
    </w:p>
    <w:p>
      <w:pPr>
        <w:widowControl/>
      </w:pPr>
      <w:r>
        <w:t>“</w:t>
      </w:r>
      <w:r>
        <w:rPr>
          <w:b w:val="0"/>
          <w:i w:val="0"/>
        </w:rPr>
        <w:t>Freedom of judgment</w:t>
      </w:r>
      <w:r>
        <w:t>”</w:t>
      </w:r>
      <w:r>
        <w:rPr>
          <w:b w:val="0"/>
          <w:i w:val="0"/>
        </w:rPr>
        <w:t xml:space="preserve"> preserves a specified faculty and mode. II.13.30’s comparative melius and aptius concern the agent’s assessment, not an assertion that every freely selected option is objectively best.</w:t>
      </w:r>
    </w:p>
    <w:p>
      <w:pPr>
        <w:keepNext/>
        <w:widowControl/>
      </w:pPr>
      <w:r>
        <w:rPr>
          <w:b/>
          <w:i w:val="0"/>
        </w:rPr>
        <w:t>See also.</w:t>
      </w:r>
    </w:p>
    <w:p>
      <w:pPr>
        <w:widowControl/>
      </w:pPr>
      <w:hyperlink w:anchor="contingency">
        <w:r>
          <w:rPr>
            <w:color w:val="000000"/>
          </w:rPr>
          <w:t xml:space="preserve">Contingency</w:t>
        </w:r>
      </w:hyperlink>
      <w:r>
        <w:rPr>
          <w:b w:val="0"/>
          <w:i w:val="0"/>
        </w:rPr>
        <w:t xml:space="preserve">;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providence">
        <w:r>
          <w:rPr>
            <w:color w:val="000000"/>
          </w:rPr>
          <w:t xml:space="preserve">Providence</w:t>
        </w:r>
      </w:hyperlink>
      <w:r>
        <w:rPr>
          <w:b w:val="0"/>
          <w:i w:val="0"/>
        </w:rPr>
        <w:t xml:space="preserve">; </w:t>
      </w:r>
      <w:hyperlink w:anchor="will">
        <w:r>
          <w:rPr>
            <w:color w:val="000000"/>
          </w:rPr>
          <w:t xml:space="preserve">Will</w:t>
        </w:r>
      </w:hyperlink>
    </w:p>
    <w:p>
      <w:bookmarkStart w:id="59" w:name="circularity-and-return"/>
      <w:pPr>
        <w:pStyle w:val="Heading2"/>
      </w:pPr>
      <w:r>
        <w:rPr>
          <w:b w:val="0"/>
          <w:i w:val="0"/>
        </w:rPr>
        <w:t>Circularity and return</w:t>
      </w:r>
      <w:bookmarkEnd w:id="59"/>
    </w:p>
    <w:p>
      <w:pPr>
        <w:keepNext/>
        <w:widowControl/>
      </w:pPr>
      <w:r>
        <w:rPr>
          <w:b/>
          <w:i w:val="0"/>
        </w:rPr>
        <w:t>Latin:</w:t>
      </w:r>
      <w:r>
        <w:rPr>
          <w:b w:val="0"/>
          <w:i w:val="0"/>
        </w:rPr>
        <w:t xml:space="preserve"> </w:t>
      </w:r>
      <w:r>
        <w:rPr>
          <w:b w:val="0"/>
          <w:i/>
        </w:rPr>
        <w:t>circuitus</w:t>
      </w:r>
      <w:r>
        <w:rPr>
          <w:b w:val="0"/>
          <w:i w:val="0"/>
        </w:rPr>
        <w:t xml:space="preserve">; </w:t>
      </w:r>
      <w:r>
        <w:rPr>
          <w:b w:val="0"/>
          <w:i/>
        </w:rPr>
        <w:t>circulo reflectatur</w:t>
      </w:r>
      <w:r>
        <w:rPr>
          <w:b w:val="0"/>
          <w:i w:val="0"/>
        </w:rPr>
        <w:t xml:space="preserve">; </w:t>
      </w:r>
      <w:r>
        <w:rPr>
          <w:b w:val="0"/>
          <w:i/>
        </w:rPr>
        <w:t>revolvitur</w:t>
      </w:r>
      <w:r>
        <w:rPr>
          <w:b w:val="0"/>
          <w:i w:val="0"/>
        </w:rPr>
        <w:t xml:space="preserve">; </w:t>
      </w:r>
      <w:r>
        <w:rPr>
          <w:b w:val="0"/>
          <w:i/>
        </w:rPr>
        <w:t>explicando</w:t>
      </w:r>
      <w:r>
        <w:rPr>
          <w:b w:val="0"/>
          <w:i w:val="0"/>
        </w:rPr>
        <w:t xml:space="preserve">; </w:t>
      </w:r>
      <w:r>
        <w:rPr>
          <w:b w:val="0"/>
          <w:i/>
        </w:rPr>
        <w:t>replicando</w:t>
      </w:r>
      <w:r>
        <w:rPr>
          <w:b w:val="0"/>
          <w:i w:val="0"/>
        </w:rPr>
        <w:t xml:space="preserve">; </w:t>
      </w:r>
      <w:r>
        <w:rPr>
          <w:b w:val="0"/>
          <w:i/>
        </w:rPr>
        <w:t>circulus</w:t>
      </w:r>
      <w:r>
        <w:rPr>
          <w:b w:val="0"/>
          <w:i w:val="0"/>
        </w:rPr>
        <w:t xml:space="preserve">; </w:t>
      </w:r>
      <w:r>
        <w:rPr>
          <w:b w:val="0"/>
          <w:i/>
        </w:rPr>
        <w:t>in circulum</w:t>
      </w:r>
      <w:r>
        <w:rPr>
          <w:b w:val="0"/>
          <w:i w:val="0"/>
        </w:rPr>
        <w:t xml:space="preserve">; </w:t>
      </w:r>
      <w:r>
        <w:rPr>
          <w:b w:val="0"/>
          <w:i/>
        </w:rPr>
        <w:t>revolutio</w:t>
      </w:r>
      <w:r>
        <w:rPr>
          <w:b w:val="0"/>
          <w:i w:val="0"/>
        </w:rPr>
        <w:t xml:space="preserve">; </w:t>
      </w:r>
      <w:r>
        <w:rPr>
          <w:b w:val="0"/>
          <w:i/>
        </w:rPr>
        <w:t>redit</w:t>
      </w:r>
      <w:r>
        <w:rPr>
          <w:b w:val="0"/>
          <w:i w:val="0"/>
        </w:rPr>
        <w:t xml:space="preserve">; </w:t>
      </w:r>
      <w:r>
        <w:rPr>
          <w:b w:val="0"/>
          <w:i/>
        </w:rPr>
        <w:t>refluit</w:t>
      </w:r>
      <w:r>
        <w:rPr>
          <w:b w:val="0"/>
          <w:i w:val="0"/>
        </w:rPr>
        <w:t xml:space="preserve">; </w:t>
      </w:r>
      <w:r>
        <w:rPr>
          <w:b w:val="0"/>
          <w:i/>
        </w:rPr>
        <w:t>convertitur</w:t>
      </w:r>
      <w:r>
        <w:rPr>
          <w:b w:val="0"/>
          <w:i w:val="0"/>
        </w:rPr>
        <w:t xml:space="preserve">; </w:t>
      </w:r>
      <w:r>
        <w:rPr>
          <w:b w:val="0"/>
          <w:i/>
        </w:rPr>
        <w:t>recurrere</w:t>
      </w:r>
    </w:p>
    <w:p>
      <w:pPr>
        <w:keepNext/>
        <w:widowControl/>
      </w:pPr>
      <w:r>
        <w:rPr>
          <w:b/>
          <w:i w:val="0"/>
        </w:rPr>
        <w:t>The word.</w:t>
      </w:r>
    </w:p>
    <w:p>
      <w:pPr>
        <w:widowControl/>
      </w:pPr>
      <w:r>
        <w:rPr>
          <w:b w:val="0"/>
          <w:i w:val="0"/>
        </w:rPr>
        <w:t>Circuitus, circulus and revolutio name a circuit, circle or revolution. Redire, refluere and converti name return, flow back or turning. A bodily circuit and an intellectual return have different subjects and modes.</w:t>
      </w:r>
    </w:p>
    <w:p>
      <w:pPr>
        <w:keepNext/>
        <w:widowControl/>
      </w:pPr>
      <w:r>
        <w:rPr>
          <w:b/>
          <w:i w:val="0"/>
        </w:rPr>
        <w:t>In the Platonic Theology.</w:t>
      </w:r>
    </w:p>
    <w:p>
      <w:pPr>
        <w:widowControl/>
      </w:pPr>
      <w:r>
        <w:rPr>
          <w:b w:val="0"/>
          <w:i w:val="0"/>
        </w:rPr>
        <w:t>Circularity relates a movement’s end to its beginning and provides Ficino with a model of return to a source. In Book III, he calls circular motion the most perfect motion: it remains close to its source, joins beginning and end, and repeats without meeting the boundary that stops a straight course. From this cosmological premise he reasons that soul’s first proper movement returns upon itself. Its powers unfold from higher through intermediate to lower levels and fold back upward. Because a self-returning spiritual nature attends to itself and its contents, this return supports an argument for intellectual self-awareness. The circuit is a structure of activity, not a measurable circle inside a head.</w:t>
      </w:r>
    </w:p>
    <w:p>
      <w:pPr>
        <w:widowControl/>
      </w:pPr>
      <w:r>
        <w:rPr>
          <w:b w:val="0"/>
          <w:i w:val="0"/>
        </w:rPr>
        <w:t>Book IV differentiates the figures by their subjects. God is called one circle because beginning and end are within himself; an angel has two circuits, returning to its author and contemplating itself; soul has three, turning to God, considering itself, and descending from causes to effects before ascending back. These descriptions do not attribute geometrical shapes to incorporeal beings. An angel’s return to its author occurs through understanding and love. The rational part of celestial soul passes from God through unity and mind and returns through mind and unity to God; its approach is described through natural desire, understanding, intellectual love, and loving union. Since this ordered return can be completed in a moment, a sequence of relations need not constitute an ordinary temporal journey.</w:t>
      </w:r>
    </w:p>
    <w:p>
      <w:pPr>
        <w:widowControl/>
      </w:pPr>
      <w:r>
        <w:rPr>
          <w:b w:val="0"/>
          <w:i w:val="0"/>
        </w:rPr>
        <w:t>Bodily heaven, by contrast, turns spatially while imitating its higher causes. Circular movement is close to stability because a sphere need not leave its general location or change its substance and natural quality, even as its parts change position. Ficino thus calls it almost non-motion. Several explanations accumulate: heaven imitates higher beings; its continuous parts draw and press one another into a circuit; it remains in its natural place; and equal affinity for different positions prevents satisfaction in one fixed position. Saturn’s sphere is also said to seek everywhere the enjoyment of a soul already wholly present everywhere. Bodily succession approximates, without becoming, soul’s simultaneous presence.</w:t>
      </w:r>
    </w:p>
    <w:p>
      <w:pPr>
        <w:widowControl/>
      </w:pPr>
      <w:r>
        <w:rPr>
          <w:b w:val="0"/>
          <w:i w:val="0"/>
        </w:rPr>
        <w:t>Return can additionally describe the renewed traversal of seminal contents after a cosmic cycle. This possible repetition differs from intellectual self-return and physical rotation, though they share a pattern of departure and recovery. Nor does circularity make the moving soul the ultimate source of cosmic action. The chapter closes by referring both moving body and moved mover to a stable principle and end. Its claims about everlasting circular movement belong to Ficino’s cosmological argument rather than modern mechanics.</w:t>
      </w:r>
    </w:p>
    <w:p>
      <w:pPr>
        <w:keepNext/>
        <w:widowControl/>
      </w:pPr>
      <w:r>
        <w:rPr>
          <w:b/>
          <w:i w:val="0"/>
        </w:rPr>
        <w:t>The places.</w:t>
      </w:r>
    </w:p>
    <w:p>
      <w:pPr>
        <w:ind w:left="187" w:hanging="187"/>
      </w:pPr>
      <w:r>
        <w:t xml:space="preserve">• </w:t>
      </w:r>
      <w:r>
        <w:rPr>
          <w:b/>
          <w:i w:val="0"/>
        </w:rPr>
        <w:t>III.2.25, PDF 276–277</w:t>
      </w:r>
      <w:r>
        <w:rPr>
          <w:b w:val="0"/>
          <w:i w:val="0"/>
        </w:rPr>
        <w:t>. Circular movement is judged most perfect because it remains closest to source and foundation.</w:t>
      </w:r>
    </w:p>
    <w:p>
      <w:pPr>
        <w:ind w:left="187" w:hanging="187"/>
      </w:pPr>
      <w:r>
        <w:t xml:space="preserve">• </w:t>
      </w:r>
      <w:r>
        <w:rPr>
          <w:b/>
          <w:i w:val="0"/>
        </w:rPr>
        <w:t>IV.2.21, PDF 346–347</w:t>
      </w:r>
      <w:r>
        <w:rPr>
          <w:b w:val="0"/>
          <w:i w:val="0"/>
        </w:rPr>
        <w:t>. One, two and three circles describe the different relations of God, angel and soul.</w:t>
      </w:r>
    </w:p>
    <w:p>
      <w:pPr>
        <w:ind w:left="187" w:hanging="187"/>
      </w:pPr>
      <w:r>
        <w:t xml:space="preserve">• </w:t>
      </w:r>
      <w:r>
        <w:rPr>
          <w:b/>
          <w:i w:val="0"/>
        </w:rPr>
        <w:t>IV.2.26–27, PDF 348–351</w:t>
      </w:r>
      <w:r>
        <w:rPr>
          <w:b w:val="0"/>
          <w:i w:val="0"/>
        </w:rPr>
        <w:t>. Bodily circulation is related to soul and finally to a stable higher principle and end.</w:t>
      </w:r>
    </w:p>
    <w:p>
      <w:pPr>
        <w:widowControl/>
      </w:pPr>
      <w:r>
        <w:rPr>
          <w:b/>
          <w:i w:val="0"/>
        </w:rPr>
        <w:t>Further passage references.</w:t>
      </w:r>
      <w:r>
        <w:rPr>
          <w:b w:val="0"/>
          <w:i w:val="0"/>
        </w:rPr>
        <w:t xml:space="preserve"> III.2.25–30, PDF 276–279; IV.1.56–IV.1.57, pp. 310–311; IV.2.21–IV.2.27, pp. 346–351; IV.2.6, pp. 336–337; IV.2.11–IV.2.12, pp. 338–341; IV.2.21–IV.2.26, pp. 346–349</w:t>
      </w:r>
    </w:p>
    <w:p>
      <w:pPr>
        <w:keepNext/>
        <w:widowControl/>
      </w:pPr>
      <w:r>
        <w:rPr>
          <w:b/>
          <w:i w:val="0"/>
        </w:rPr>
        <w:t>In this edition.</w:t>
      </w:r>
    </w:p>
    <w:p>
      <w:pPr>
        <w:widowControl/>
      </w:pPr>
      <w:r>
        <w:t>“</w:t>
      </w:r>
      <w:r>
        <w:rPr>
          <w:b w:val="0"/>
          <w:i w:val="0"/>
        </w:rPr>
        <w:t>Circle</w:t>
      </w:r>
      <w:r>
        <w:t>”</w:t>
      </w:r>
      <w:r>
        <w:rPr>
          <w:b w:val="0"/>
          <w:i w:val="0"/>
        </w:rPr>
        <w:t xml:space="preserve"> does not give God or soul a geometrical body. IV.2.21 explicitly assigns different returns to God, angel and soul, while the bodily sphere’s parts subsequently rotate in place. Preserve that change of subject.</w:t>
      </w:r>
    </w:p>
    <w:p>
      <w:pPr>
        <w:keepNext/>
        <w:widowControl/>
      </w:pPr>
      <w:r>
        <w:rPr>
          <w:b/>
          <w:i w:val="0"/>
        </w:rPr>
        <w:t>See also.</w:t>
      </w:r>
    </w:p>
    <w:p>
      <w:pPr>
        <w:widowControl/>
      </w:pPr>
      <w:hyperlink w:anchor="intellect-and-intellection">
        <w:r>
          <w:rPr>
            <w:color w:val="000000"/>
          </w:rPr>
          <w:t xml:space="preserve">Intellect and intellection</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spiritual-union">
        <w:r>
          <w:rPr>
            <w:color w:val="000000"/>
          </w:rPr>
          <w:t xml:space="preserve">Spiritual union</w:t>
        </w:r>
      </w:hyperlink>
      <w:r>
        <w:rPr>
          <w:b w:val="0"/>
          <w:i w:val="0"/>
        </w:rPr>
        <w:t xml:space="preserve">; </w:t>
      </w:r>
      <w:hyperlink w:anchor="procession-and-return">
        <w:r>
          <w:rPr>
            <w:color w:val="000000"/>
          </w:rPr>
          <w:t xml:space="preserve">Procession and return</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love-and-pleasure">
        <w:r>
          <w:rPr>
            <w:color w:val="000000"/>
          </w:rPr>
          <w:t xml:space="preserve">Love and pleasure</w:t>
        </w:r>
      </w:hyperlink>
      <w:r>
        <w:rPr>
          <w:b w:val="0"/>
          <w:i w:val="0"/>
        </w:rPr>
        <w:t xml:space="preserve">; </w:t>
      </w:r>
      <w:hyperlink w:anchor="great-year">
        <w:r>
          <w:rPr>
            <w:color w:val="000000"/>
          </w:rPr>
          <w:t xml:space="preserve">Great year</w:t>
        </w:r>
      </w:hyperlink>
      <w:r>
        <w:rPr>
          <w:b w:val="0"/>
          <w:i w:val="0"/>
        </w:rPr>
        <w:t xml:space="preserve">; </w:t>
      </w:r>
      <w:hyperlink w:anchor="eternity-and-time">
        <w:r>
          <w:rPr>
            <w:color w:val="000000"/>
          </w:rPr>
          <w:t xml:space="preserve">Eternity and time</w:t>
        </w:r>
      </w:hyperlink>
    </w:p>
    <w:p>
      <w:bookmarkStart w:id="60" w:name="common-and-proper"/>
      <w:pPr>
        <w:pStyle w:val="Heading2"/>
      </w:pPr>
      <w:r>
        <w:rPr>
          <w:b w:val="0"/>
          <w:i w:val="0"/>
        </w:rPr>
        <w:t>Common and proper</w:t>
      </w:r>
      <w:bookmarkEnd w:id="60"/>
    </w:p>
    <w:p>
      <w:pPr>
        <w:keepNext/>
        <w:widowControl/>
      </w:pPr>
      <w:r>
        <w:rPr>
          <w:b/>
          <w:i w:val="0"/>
        </w:rPr>
        <w:t>Latin:</w:t>
      </w:r>
      <w:r>
        <w:rPr>
          <w:b w:val="0"/>
          <w:i w:val="0"/>
        </w:rPr>
        <w:t xml:space="preserve"> communis; propriae; proprietate; propria; commune; proprius; proprium; </w:t>
      </w:r>
      <w:r>
        <w:rPr>
          <w:b w:val="0"/>
          <w:i/>
        </w:rPr>
        <w:t>proprius</w:t>
      </w:r>
      <w:r>
        <w:rPr>
          <w:b w:val="0"/>
          <w:i w:val="0"/>
        </w:rPr>
        <w:t xml:space="preserve">, </w:t>
      </w:r>
      <w:r>
        <w:rPr>
          <w:b w:val="0"/>
          <w:i/>
        </w:rPr>
        <w:t>propriis</w:t>
      </w:r>
      <w:r>
        <w:rPr>
          <w:b w:val="0"/>
          <w:i w:val="0"/>
        </w:rPr>
        <w:t xml:space="preserve">, </w:t>
      </w:r>
      <w:r>
        <w:rPr>
          <w:b w:val="0"/>
          <w:i/>
        </w:rPr>
        <w:t>communis</w:t>
      </w:r>
      <w:r>
        <w:rPr>
          <w:b w:val="0"/>
          <w:i w:val="0"/>
        </w:rPr>
        <w:t xml:space="preserve">, </w:t>
      </w:r>
      <w:r>
        <w:rPr>
          <w:b w:val="0"/>
          <w:i/>
        </w:rPr>
        <w:t>communes</w:t>
      </w:r>
      <w:r>
        <w:rPr>
          <w:b w:val="0"/>
          <w:i w:val="0"/>
        </w:rPr>
        <w:t xml:space="preserve">, </w:t>
      </w:r>
      <w:r>
        <w:rPr>
          <w:b w:val="0"/>
          <w:i/>
        </w:rPr>
        <w:t>universalis</w:t>
      </w:r>
      <w:r>
        <w:rPr>
          <w:b w:val="0"/>
          <w:i w:val="0"/>
        </w:rPr>
        <w:t xml:space="preserve">, </w:t>
      </w:r>
      <w:r>
        <w:rPr>
          <w:b w:val="0"/>
          <w:i/>
        </w:rPr>
        <w:t>particularis</w:t>
      </w:r>
      <w:r>
        <w:rPr>
          <w:b w:val="0"/>
          <w:i w:val="0"/>
        </w:rPr>
        <w:t>.</w:t>
      </w:r>
    </w:p>
    <w:p>
      <w:pPr>
        <w:keepNext/>
        <w:widowControl/>
      </w:pPr>
      <w:r>
        <w:rPr>
          <w:b/>
          <w:i w:val="0"/>
        </w:rPr>
        <w:t>The word.</w:t>
      </w:r>
    </w:p>
    <w:p>
      <w:pPr>
        <w:widowControl/>
      </w:pPr>
      <w:r>
        <w:rPr>
          <w:b w:val="0"/>
          <w:i/>
        </w:rPr>
        <w:t>Communis</w:t>
      </w:r>
      <w:r>
        <w:rPr>
          <w:b w:val="0"/>
          <w:i w:val="0"/>
        </w:rPr>
        <w:t xml:space="preserve"> means shared or common to several. </w:t>
      </w:r>
      <w:r>
        <w:rPr>
          <w:b w:val="0"/>
          <w:i/>
        </w:rPr>
        <w:t>Proprius</w:t>
      </w:r>
      <w:r>
        <w:rPr>
          <w:b w:val="0"/>
          <w:i w:val="0"/>
        </w:rPr>
        <w:t xml:space="preserve"> means one’s own, specifically belonging to something, characteristic of it, or suited to it; </w:t>
      </w:r>
      <w:r>
        <w:rPr>
          <w:b w:val="0"/>
          <w:i/>
        </w:rPr>
        <w:t>proprietas</w:t>
      </w:r>
      <w:r>
        <w:rPr>
          <w:b w:val="0"/>
          <w:i w:val="0"/>
        </w:rPr>
        <w:t xml:space="preserve"> can be a distinguishing feature rather than legal ownership. A common nature differs from an individual’s differentiating property. </w:t>
      </w:r>
      <w:r>
        <w:rPr>
          <w:b w:val="0"/>
          <w:i/>
        </w:rPr>
        <w:t>Universalis</w:t>
      </w:r>
      <w:r>
        <w:rPr>
          <w:b w:val="0"/>
          <w:i w:val="0"/>
        </w:rPr>
        <w:t xml:space="preserve"> concerns general scope and </w:t>
      </w:r>
      <w:r>
        <w:rPr>
          <w:b w:val="0"/>
          <w:i/>
        </w:rPr>
        <w:t>particularis</w:t>
      </w:r>
      <w:r>
        <w:rPr>
          <w:b w:val="0"/>
          <w:i w:val="0"/>
        </w:rPr>
        <w:t xml:space="preserve"> an individual or restricted instance. These related contrasts cannot be substituted for one another in every construction.</w:t>
      </w:r>
    </w:p>
    <w:p>
      <w:pPr>
        <w:keepNext/>
        <w:widowControl/>
      </w:pPr>
      <w:r>
        <w:rPr>
          <w:b/>
          <w:i w:val="0"/>
        </w:rPr>
        <w:t>In the Platonic Theology.</w:t>
      </w:r>
    </w:p>
    <w:p>
      <w:pPr>
        <w:widowControl/>
      </w:pPr>
      <w:r>
        <w:rPr>
          <w:b w:val="0"/>
          <w:i w:val="0"/>
        </w:rPr>
        <w:t>In the test of two equal first principles, what the pair share cannot explain what distinguishes them. Ficino supposes a common nature plus two proper features, then argues that the resulting composition depends on a unifier. The proper natures also need an origin: if identical unrestricted nature produced each feature in the same way, their claimed difference would disappear.</w:t>
      </w:r>
    </w:p>
    <w:p>
      <w:pPr>
        <w:widowControl/>
      </w:pPr>
      <w:r>
        <w:rPr>
          <w:b w:val="0"/>
          <w:i w:val="0"/>
        </w:rPr>
        <w:t xml:space="preserve">The same family changes emphasis when God is called no thing’s </w:t>
      </w:r>
      <w:r>
        <w:t>“</w:t>
      </w:r>
      <w:r>
        <w:rPr>
          <w:b w:val="0"/>
          <w:i w:val="0"/>
        </w:rPr>
        <w:t>private guide</w:t>
      </w:r>
      <w:r>
        <w:t>”</w:t>
      </w:r>
      <w:r>
        <w:rPr>
          <w:b w:val="0"/>
          <w:i w:val="0"/>
        </w:rPr>
        <w:t xml:space="preserve"> but the common guide. Here the contrast concerns the scope of causation, and a common office is assigned the common effect, being. By contrast, </w:t>
      </w:r>
      <w:r>
        <w:t>“</w:t>
      </w:r>
      <w:r>
        <w:rPr>
          <w:b w:val="0"/>
          <w:i w:val="0"/>
        </w:rPr>
        <w:t>the proper effect</w:t>
      </w:r>
      <w:r>
        <w:t>”</w:t>
      </w:r>
      <w:r>
        <w:rPr>
          <w:b w:val="0"/>
          <w:i w:val="0"/>
        </w:rPr>
        <w:t xml:space="preserve"> at II.7.29 means the effect especially corresponding to the first agent. At II.9.8 and II.9.10, proper intelligence and proper object identify what belongs to divine knowing without dependence on something external. These are related claims of belonging, not one technical definition mechanically repeated.</w:t>
      </w:r>
    </w:p>
    <w:p>
      <w:pPr>
        <w:widowControl/>
      </w:pPr>
      <w:r>
        <w:rPr>
          <w:b w:val="0"/>
          <w:i w:val="0"/>
        </w:rPr>
        <w:t xml:space="preserve">A cause proper to vines need not be a vine’s separate personal soul. The principle may reside in the common soul of earth. Conversely, the animals that move independently and live apart from earth have souls of their own. The spheres themselves have common souls, and stars can have proper souls within their spheres. </w:t>
      </w:r>
      <w:r>
        <w:t>“</w:t>
      </w:r>
      <w:r>
        <w:rPr>
          <w:b w:val="0"/>
          <w:i w:val="0"/>
        </w:rPr>
        <w:t>Common</w:t>
      </w:r>
      <w:r>
        <w:t>”</w:t>
      </w:r>
      <w:r>
        <w:rPr>
          <w:b w:val="0"/>
          <w:i w:val="0"/>
        </w:rPr>
        <w:t xml:space="preserve"> thus specifies a range of governance rather than numerical identity of every governed soul.</w:t>
      </w:r>
    </w:p>
    <w:p>
      <w:pPr>
        <w:widowControl/>
      </w:pPr>
      <w:r>
        <w:rPr>
          <w:b w:val="0"/>
          <w:i w:val="0"/>
        </w:rPr>
        <w:t>The same vocabulary governs the rejection of God as the proper mover of only one sphere: his causation is common to all, while each differentiated sphere requires an intimately corresponding mover. In the Pythagorean excursion, a particular Phoebus and a particular Jupiter belong to zodiacal positions; they must not be silently substituted for every universal divine name. In the lantern example a general plan cannot produce a particular step without a particular intervening cognition. The opposition moves among ownership, appropriate causation, scale of rule, and scope of thought.</w:t>
      </w:r>
    </w:p>
    <w:p>
      <w:pPr>
        <w:keepNext/>
        <w:widowControl/>
      </w:pPr>
      <w:r>
        <w:rPr>
          <w:b/>
          <w:i w:val="0"/>
        </w:rPr>
        <w:t>The places.</w:t>
      </w:r>
    </w:p>
    <w:p>
      <w:pPr>
        <w:ind w:left="187" w:hanging="187"/>
      </w:pPr>
      <w:r>
        <w:t xml:space="preserve">• </w:t>
      </w:r>
      <w:r>
        <w:rPr>
          <w:b w:val="0"/>
          <w:i w:val="0"/>
        </w:rPr>
        <w:t>II.2.2, II.2.3, II.2.4 (PDF pp. 104–107): Shared nature and distinctive properties in the two-principle argument</w:t>
      </w:r>
    </w:p>
    <w:p>
      <w:pPr>
        <w:ind w:left="187" w:hanging="187"/>
      </w:pPr>
      <w:r>
        <w:t xml:space="preserve">• </w:t>
      </w:r>
      <w:r>
        <w:rPr>
          <w:b w:val="0"/>
          <w:i w:val="0"/>
        </w:rPr>
        <w:t>II.7.6, II.7.29 (PDF pp. 146–147, 156–157): Common office and the first agent’s proper effect</w:t>
      </w:r>
    </w:p>
    <w:p>
      <w:pPr>
        <w:ind w:left="187" w:hanging="187"/>
      </w:pPr>
      <w:r>
        <w:t xml:space="preserve">• </w:t>
      </w:r>
      <w:r>
        <w:rPr>
          <w:b w:val="0"/>
          <w:i w:val="0"/>
        </w:rPr>
        <w:t>II.9.8, II.9.10 (PDF pp. 166–169): The characteristic intelligence and adequate object of divine self-knowledge</w:t>
      </w:r>
    </w:p>
    <w:p>
      <w:pPr>
        <w:ind w:left="187" w:hanging="187"/>
      </w:pPr>
      <w:r>
        <w:t xml:space="preserve">• </w:t>
      </w:r>
      <w:r>
        <w:rPr>
          <w:b/>
          <w:i w:val="0"/>
        </w:rPr>
        <w:t>IV.1.7–9, PDF pp. 284–287:</w:t>
      </w:r>
      <w:r>
        <w:rPr>
          <w:b w:val="0"/>
          <w:i w:val="0"/>
        </w:rPr>
        <w:t xml:space="preserve"> proper causes operate within a common earthly life</w:t>
      </w:r>
    </w:p>
    <w:p>
      <w:pPr>
        <w:ind w:left="187" w:hanging="187"/>
      </w:pPr>
      <w:r>
        <w:t xml:space="preserve">• </w:t>
      </w:r>
      <w:r>
        <w:rPr>
          <w:b/>
          <w:i w:val="0"/>
        </w:rPr>
        <w:t>IV.1.31 and IV.1.35–39, pp. 296–303:</w:t>
      </w:r>
      <w:r>
        <w:rPr>
          <w:b w:val="0"/>
          <w:i w:val="0"/>
        </w:rPr>
        <w:t xml:space="preserve"> human, elemental, stellar, and other souls have different scopes</w:t>
      </w:r>
    </w:p>
    <w:p>
      <w:pPr>
        <w:ind w:left="187" w:hanging="187"/>
      </w:pPr>
      <w:r>
        <w:t xml:space="preserve">• </w:t>
      </w:r>
      <w:r>
        <w:rPr>
          <w:b/>
          <w:i w:val="0"/>
        </w:rPr>
        <w:t>IV.1.43 and IV.1.59, pp. 304–305 and 312–313:</w:t>
      </w:r>
      <w:r>
        <w:rPr>
          <w:b w:val="0"/>
          <w:i w:val="0"/>
        </w:rPr>
        <w:t xml:space="preserve"> particular divine designations and particular movers have limited assignments</w:t>
      </w:r>
    </w:p>
    <w:p>
      <w:pPr>
        <w:ind w:left="187" w:hanging="187"/>
      </w:pPr>
      <w:r>
        <w:t xml:space="preserve">• </w:t>
      </w:r>
      <w:r>
        <w:rPr>
          <w:b/>
          <w:i w:val="0"/>
        </w:rPr>
        <w:t>IV.2.13–15, pp. 340–343:</w:t>
      </w:r>
      <w:r>
        <w:rPr>
          <w:b w:val="0"/>
          <w:i w:val="0"/>
        </w:rPr>
        <w:t xml:space="preserve"> a general purpose requires particular cognition for execution</w:t>
      </w:r>
    </w:p>
    <w:p>
      <w:pPr>
        <w:keepNext/>
        <w:widowControl/>
      </w:pPr>
      <w:r>
        <w:rPr>
          <w:b/>
          <w:i w:val="0"/>
        </w:rPr>
        <w:t>In this edition.</w:t>
      </w:r>
    </w:p>
    <w:p>
      <w:pPr>
        <w:widowControl/>
      </w:pPr>
      <w:r>
        <w:t>“</w:t>
      </w:r>
      <w:r>
        <w:rPr>
          <w:b w:val="0"/>
          <w:i w:val="0"/>
        </w:rPr>
        <w:t>Proper,</w:t>
      </w:r>
      <w:r>
        <w:t>”</w:t>
      </w:r>
      <w:r>
        <w:rPr>
          <w:b w:val="0"/>
          <w:i w:val="0"/>
        </w:rPr>
        <w:t xml:space="preserve"> </w:t>
      </w:r>
      <w:r>
        <w:t>“</w:t>
      </w:r>
      <w:r>
        <w:rPr>
          <w:b w:val="0"/>
          <w:i w:val="0"/>
        </w:rPr>
        <w:t>private,</w:t>
      </w:r>
      <w:r>
        <w:t>”</w:t>
      </w:r>
      <w:r>
        <w:rPr>
          <w:b w:val="0"/>
          <w:i w:val="0"/>
        </w:rPr>
        <w:t xml:space="preserve"> </w:t>
      </w:r>
      <w:r>
        <w:t>“</w:t>
      </w:r>
      <w:r>
        <w:rPr>
          <w:b w:val="0"/>
          <w:i w:val="0"/>
        </w:rPr>
        <w:t>of their own,</w:t>
      </w:r>
      <w:r>
        <w:t>”</w:t>
      </w:r>
      <w:r>
        <w:rPr>
          <w:b w:val="0"/>
          <w:i w:val="0"/>
        </w:rPr>
        <w:t xml:space="preserve"> </w:t>
      </w:r>
      <w:r>
        <w:t>“</w:t>
      </w:r>
      <w:r>
        <w:rPr>
          <w:b w:val="0"/>
          <w:i w:val="0"/>
        </w:rPr>
        <w:t>particular,</w:t>
      </w:r>
      <w:r>
        <w:t>”</w:t>
      </w:r>
      <w:r>
        <w:rPr>
          <w:b w:val="0"/>
          <w:i w:val="0"/>
        </w:rPr>
        <w:t xml:space="preserve"> </w:t>
      </w:r>
      <w:r>
        <w:t>“</w:t>
      </w:r>
      <w:r>
        <w:rPr>
          <w:b w:val="0"/>
          <w:i w:val="0"/>
        </w:rPr>
        <w:t>common,</w:t>
      </w:r>
      <w:r>
        <w:t>”</w:t>
      </w:r>
      <w:r>
        <w:rPr>
          <w:b w:val="0"/>
          <w:i w:val="0"/>
        </w:rPr>
        <w:t xml:space="preserve"> and </w:t>
      </w:r>
      <w:r>
        <w:t>“</w:t>
      </w:r>
      <w:r>
        <w:rPr>
          <w:b w:val="0"/>
          <w:i w:val="0"/>
        </w:rPr>
        <w:t>universal</w:t>
      </w:r>
      <w:r>
        <w:t>”</w:t>
      </w:r>
      <w:r>
        <w:rPr>
          <w:b w:val="0"/>
          <w:i w:val="0"/>
        </w:rPr>
        <w:t xml:space="preserve"> are contextual choices. At II.7.6, private means restricted to one recipient, not concealed. At II.2.3, property means a feature contributing to composition, not real estate. The Book IV discussion likewise distinguishes a sphere’s common soul from the proper souls of its inhabitants. A single standardized English label would obscure those changes.</w:t>
      </w:r>
    </w:p>
    <w:p>
      <w:pPr>
        <w:keepNext/>
        <w:widowControl/>
      </w:pPr>
      <w:r>
        <w:rPr>
          <w:b/>
          <w:i w:val="0"/>
        </w:rPr>
        <w:t>See also.</w:t>
      </w:r>
    </w:p>
    <w:p>
      <w:pPr>
        <w:widowControl/>
      </w:pPr>
      <w:hyperlink w:anchor="simplicity-and-composition">
        <w:r>
          <w:rPr>
            <w:color w:val="000000"/>
          </w:rPr>
          <w:t xml:space="preserve">Simplicity and composition</w:t>
        </w:r>
      </w:hyperlink>
      <w:r>
        <w:rPr>
          <w:b w:val="0"/>
          <w:i w:val="0"/>
        </w:rPr>
        <w:t xml:space="preserve">; </w:t>
      </w:r>
      <w:hyperlink w:anchor="cause">
        <w:r>
          <w:rPr>
            <w:color w:val="000000"/>
          </w:rPr>
          <w:t xml:space="preserve">Cause</w:t>
        </w:r>
      </w:hyperlink>
      <w:r>
        <w:rPr>
          <w:b w:val="0"/>
          <w:i w:val="0"/>
        </w:rPr>
        <w:t xml:space="preserve">; </w:t>
      </w:r>
      <w:hyperlink w:anchor="object-and-adequate-object">
        <w:r>
          <w:rPr>
            <w:color w:val="000000"/>
          </w:rPr>
          <w:t xml:space="preserve">Object and adequate object</w:t>
        </w:r>
      </w:hyperlink>
      <w:r>
        <w:rPr>
          <w:b w:val="0"/>
          <w:i w:val="0"/>
        </w:rPr>
        <w:t xml:space="preserve">; </w:t>
      </w:r>
      <w:hyperlink w:anchor="communication-and-imparting">
        <w:r>
          <w:rPr>
            <w:color w:val="000000"/>
          </w:rPr>
          <w:t xml:space="preserve">Communication and imparting</w:t>
        </w:r>
      </w:hyperlink>
      <w:r>
        <w:rPr>
          <w:b w:val="0"/>
          <w:i w:val="0"/>
        </w:rPr>
        <w:t>.</w:t>
      </w:r>
    </w:p>
    <w:p>
      <w:pPr>
        <w:widowControl/>
      </w:pPr>
      <w:hyperlink w:anchor="universals-and-individuals">
        <w:r>
          <w:rPr>
            <w:color w:val="000000"/>
          </w:rPr>
          <w:t xml:space="preserve">Universals and individuals</w:t>
        </w:r>
      </w:hyperlink>
      <w:r>
        <w:rPr>
          <w:b w:val="0"/>
          <w:i w:val="0"/>
        </w:rPr>
        <w:t xml:space="preserve">; </w:t>
      </w:r>
      <w:hyperlink w:anchor="soul">
        <w:r>
          <w:rPr>
            <w:color w:val="000000"/>
          </w:rPr>
          <w:t xml:space="preserve">Soul</w:t>
        </w:r>
      </w:hyperlink>
      <w:r>
        <w:rPr>
          <w:b w:val="0"/>
          <w:i w:val="0"/>
        </w:rPr>
        <w:t xml:space="preserve">; </w:t>
      </w:r>
      <w:hyperlink w:anchor="zodiac">
        <w:r>
          <w:rPr>
            <w:color w:val="000000"/>
          </w:rPr>
          <w:t xml:space="preserve">Zodiac</w:t>
        </w:r>
      </w:hyperlink>
      <w:r>
        <w:rPr>
          <w:b w:val="0"/>
          <w:i w:val="0"/>
        </w:rPr>
        <w:t xml:space="preserve">; </w:t>
      </w:r>
      <w:hyperlink w:anchor="euclid-and-the-lantern">
        <w:r>
          <w:rPr>
            <w:color w:val="000000"/>
          </w:rPr>
          <w:t xml:space="preserve">Euclid and the lantern</w:t>
        </w:r>
      </w:hyperlink>
      <w:r>
        <w:rPr>
          <w:b w:val="0"/>
          <w:i w:val="0"/>
        </w:rPr>
        <w:t>.</w:t>
      </w:r>
    </w:p>
    <w:p>
      <w:bookmarkStart w:id="61" w:name="communication-and-imparting"/>
      <w:pPr>
        <w:pStyle w:val="Heading2"/>
      </w:pPr>
      <w:r>
        <w:rPr>
          <w:b w:val="0"/>
          <w:i w:val="0"/>
        </w:rPr>
        <w:t>Communication and imparting</w:t>
      </w:r>
      <w:bookmarkEnd w:id="61"/>
    </w:p>
    <w:p>
      <w:pPr>
        <w:keepNext/>
        <w:widowControl/>
      </w:pPr>
      <w:r>
        <w:rPr>
          <w:b/>
          <w:i w:val="0"/>
        </w:rPr>
        <w:t>Latin:</w:t>
      </w:r>
      <w:r>
        <w:rPr>
          <w:b w:val="0"/>
          <w:i w:val="0"/>
        </w:rPr>
        <w:t xml:space="preserve"> </w:t>
      </w:r>
      <w:r>
        <w:rPr>
          <w:b w:val="0"/>
          <w:i/>
        </w:rPr>
        <w:t>communicare</w:t>
      </w:r>
      <w:r>
        <w:rPr>
          <w:b w:val="0"/>
          <w:i w:val="0"/>
        </w:rPr>
        <w:t xml:space="preserve">; </w:t>
      </w:r>
      <w:r>
        <w:rPr>
          <w:b w:val="0"/>
          <w:i/>
        </w:rPr>
        <w:t>impertire</w:t>
      </w:r>
      <w:r>
        <w:rPr>
          <w:b w:val="0"/>
          <w:i w:val="0"/>
        </w:rPr>
        <w:t xml:space="preserve">; </w:t>
      </w:r>
      <w:r>
        <w:rPr>
          <w:b w:val="0"/>
          <w:i/>
        </w:rPr>
        <w:t>impartire</w:t>
      </w:r>
      <w:r>
        <w:rPr>
          <w:b w:val="0"/>
          <w:i w:val="0"/>
        </w:rPr>
        <w:t xml:space="preserve">; </w:t>
      </w:r>
      <w:r>
        <w:rPr>
          <w:b w:val="0"/>
          <w:i/>
        </w:rPr>
        <w:t>munus</w:t>
      </w:r>
      <w:r>
        <w:rPr>
          <w:b w:val="0"/>
          <w:i w:val="0"/>
        </w:rPr>
        <w:t xml:space="preserve">; </w:t>
      </w:r>
      <w:r>
        <w:rPr>
          <w:b w:val="0"/>
          <w:i/>
        </w:rPr>
        <w:t>largiri</w:t>
      </w:r>
      <w:r>
        <w:rPr>
          <w:b w:val="0"/>
          <w:i w:val="0"/>
        </w:rPr>
        <w:t xml:space="preserve">; </w:t>
      </w:r>
      <w:r>
        <w:rPr>
          <w:b w:val="0"/>
          <w:i/>
        </w:rPr>
        <w:t>communis</w:t>
      </w:r>
      <w:r>
        <w:rPr>
          <w:b w:val="0"/>
          <w:i w:val="0"/>
        </w:rPr>
        <w:t>; munus; munere; impertiet; impertit; largietur; commune munus</w:t>
      </w:r>
    </w:p>
    <w:p>
      <w:pPr>
        <w:keepNext/>
        <w:widowControl/>
      </w:pPr>
      <w:r>
        <w:rPr>
          <w:b/>
          <w:i w:val="0"/>
        </w:rPr>
        <w:t>The word.</w:t>
      </w:r>
    </w:p>
    <w:p>
      <w:pPr>
        <w:widowControl/>
      </w:pPr>
      <w:r>
        <w:rPr>
          <w:b w:val="0"/>
          <w:i w:val="0"/>
        </w:rPr>
        <w:t>Communicare, impertire and largiri give a share or bestow; they need not transmit information. Munus can be a gift or office, and communis what is shared across recipients.</w:t>
      </w:r>
    </w:p>
    <w:p>
      <w:pPr>
        <w:widowControl/>
      </w:pPr>
      <w:r>
        <w:rPr>
          <w:b w:val="0"/>
          <w:i w:val="0"/>
        </w:rPr>
        <w:t>Munus can mean a gift bestowed or an office performed. The same noun therefore moves between what a cause gives and the task appropriate to a cause’s scope.</w:t>
      </w:r>
    </w:p>
    <w:p>
      <w:pPr>
        <w:keepNext/>
        <w:widowControl/>
      </w:pPr>
      <w:r>
        <w:rPr>
          <w:b/>
          <w:i w:val="0"/>
        </w:rPr>
        <w:t>In the Platonic Theology.</w:t>
      </w:r>
    </w:p>
    <w:p>
      <w:pPr>
        <w:widowControl/>
      </w:pPr>
      <w:r>
        <w:rPr>
          <w:b w:val="0"/>
          <w:i w:val="0"/>
        </w:rPr>
        <w:t>To communicate goodness or being is to give others a share in it, not to transmit information. Ficino makes self-communication characteristic of goodness: what is good acts according to its power, produces likenesses of itself, and does so for the good. Supreme goodness therefore acts always and upon every species because it is not restricted to one. The language of gifts expresses causal dependence. Higher causes give something to lower things, and each effect’s received good points back to its source. Yet God’s universality is also described as an office: because he is no particular thing’s private guide, his common task is giving being, common to all. Communication does not mean a divisible divine stock is exhausted or parcelled out. Diverse creatures correspond to diverse modes in which divine goodness can be communicated, while God knows these modes through self-knowledge. This word cluster joins generosity imagery with an argument about the origin and intelligibility of distinctions.</w:t>
      </w:r>
    </w:p>
    <w:p>
      <w:pPr>
        <w:widowControl/>
      </w:pPr>
      <w:r>
        <w:rPr>
          <w:b w:val="0"/>
          <w:i w:val="0"/>
        </w:rPr>
        <w:t>The shift is particularly instructive across II.1 and II.7. A proposed principle higher than goodness would have to bestow a superior munus, but whatever made the gift better would already involve goodness. Later, God’s commune munus follows from his being a common rather than private guide: being itself is the effect common to all. The first use tests the alleged superiority of a gift; the second matches universal responsibility to universal effect. Both support divine primacy, but by different routes.</w:t>
      </w:r>
    </w:p>
    <w:p>
      <w:pPr>
        <w:keepNext/>
        <w:widowControl/>
      </w:pPr>
      <w:r>
        <w:rPr>
          <w:b/>
          <w:i w:val="0"/>
        </w:rPr>
        <w:t>The places.</w:t>
      </w:r>
    </w:p>
    <w:p>
      <w:pPr>
        <w:ind w:left="187" w:hanging="187"/>
      </w:pPr>
      <w:r>
        <w:t xml:space="preserve">• </w:t>
      </w:r>
      <w:r>
        <w:rPr>
          <w:b/>
          <w:i w:val="0"/>
        </w:rPr>
        <w:t>II.1.5, PDF 100–101</w:t>
      </w:r>
      <w:r>
        <w:rPr>
          <w:b w:val="0"/>
          <w:i w:val="0"/>
        </w:rPr>
        <w:t>. Goodness gives each thing a share of goodness, testing any proposed principle above it.</w:t>
      </w:r>
    </w:p>
    <w:p>
      <w:pPr>
        <w:ind w:left="187" w:hanging="187"/>
      </w:pPr>
      <w:r>
        <w:t xml:space="preserve">• </w:t>
      </w:r>
      <w:r>
        <w:rPr>
          <w:b/>
          <w:i w:val="0"/>
        </w:rPr>
        <w:t>II.6.6, PDF 130–131</w:t>
      </w:r>
      <w:r>
        <w:rPr>
          <w:b w:val="0"/>
          <w:i w:val="0"/>
        </w:rPr>
        <w:t>. The Platonists’ image of the whole Good poured throughout immensity emphasizes undivided presence.</w:t>
      </w:r>
    </w:p>
    <w:p>
      <w:pPr>
        <w:ind w:left="187" w:hanging="187"/>
      </w:pPr>
      <w:r>
        <w:t xml:space="preserve">• </w:t>
      </w:r>
      <w:r>
        <w:rPr>
          <w:b/>
          <w:i w:val="0"/>
        </w:rPr>
        <w:t>II.9.15, PDF 170–171</w:t>
      </w:r>
      <w:r>
        <w:rPr>
          <w:b w:val="0"/>
          <w:i w:val="0"/>
        </w:rPr>
        <w:t>. Knowledge of the modes of communicating goodness accounts for divine knowledge of distinct particulars.</w:t>
      </w:r>
    </w:p>
    <w:p>
      <w:pPr>
        <w:widowControl/>
      </w:pPr>
      <w:r>
        <w:rPr>
          <w:b/>
          <w:i w:val="0"/>
        </w:rPr>
        <w:t>Further passage references.</w:t>
      </w:r>
      <w:r>
        <w:rPr>
          <w:b w:val="0"/>
          <w:i w:val="0"/>
        </w:rPr>
        <w:t xml:space="preserve"> II.1.5–6, pp. 100–103; II.3.9, pp. 120–121; II.6.6–7, pp. 130–131; II.7.4–6, pp. 144–147; II.9.15, pp. 170–171</w:t>
      </w:r>
    </w:p>
    <w:p>
      <w:pPr>
        <w:ind w:left="187" w:hanging="187"/>
      </w:pPr>
      <w:r>
        <w:t xml:space="preserve">• </w:t>
      </w:r>
      <w:r>
        <w:rPr>
          <w:b w:val="0"/>
          <w:i w:val="0"/>
        </w:rPr>
        <w:t>II.1.5, II.1.6 (PDF pp. 100–103): Munus is the allegedly superior gift whose goodness makes the hypothesis fail</w:t>
      </w:r>
    </w:p>
    <w:p>
      <w:pPr>
        <w:ind w:left="187" w:hanging="187"/>
      </w:pPr>
      <w:r>
        <w:t xml:space="preserve">• </w:t>
      </w:r>
      <w:r>
        <w:rPr>
          <w:b w:val="0"/>
          <w:i w:val="0"/>
        </w:rPr>
        <w:t>II.3.9 (PDF pp. 120–121): Infinite gifts expose a consequence of an endless causal hierarchy</w:t>
      </w:r>
    </w:p>
    <w:p>
      <w:pPr>
        <w:ind w:left="187" w:hanging="187"/>
      </w:pPr>
      <w:r>
        <w:t xml:space="preserve">• </w:t>
      </w:r>
      <w:r>
        <w:rPr>
          <w:b w:val="0"/>
          <w:i w:val="0"/>
        </w:rPr>
        <w:t>II.7.6 (PDF pp. 146–147): Munus becomes the common office of giving being</w:t>
      </w:r>
    </w:p>
    <w:p>
      <w:pPr>
        <w:keepNext/>
        <w:widowControl/>
      </w:pPr>
      <w:r>
        <w:rPr>
          <w:b/>
          <w:i w:val="0"/>
        </w:rPr>
        <w:t>In this edition.</w:t>
      </w:r>
    </w:p>
    <w:p>
      <w:pPr>
        <w:widowControl/>
      </w:pPr>
      <w:r>
        <w:t>“</w:t>
      </w:r>
      <w:r>
        <w:rPr>
          <w:b w:val="0"/>
          <w:i w:val="0"/>
        </w:rPr>
        <w:t>Communication</w:t>
      </w:r>
      <w:r>
        <w:t>”</w:t>
      </w:r>
      <w:r>
        <w:rPr>
          <w:b w:val="0"/>
          <w:i w:val="0"/>
        </w:rPr>
        <w:t xml:space="preserve"> concerns received being or goodness. Divine self-communication is not a divisible supply exhausted by distribution. The finite variety of creatures corresponds to different possible modes of receiving, not to pieces of divine substance.</w:t>
      </w:r>
    </w:p>
    <w:p>
      <w:pPr>
        <w:widowControl/>
      </w:pPr>
      <w:r>
        <w:rPr>
          <w:b w:val="0"/>
          <w:i w:val="0"/>
        </w:rPr>
        <w:t xml:space="preserve">The English </w:t>
      </w:r>
      <w:r>
        <w:t>“</w:t>
      </w:r>
      <w:r>
        <w:rPr>
          <w:b w:val="0"/>
          <w:i w:val="0"/>
        </w:rPr>
        <w:t>gift</w:t>
      </w:r>
      <w:r>
        <w:t>”</w:t>
      </w:r>
      <w:r>
        <w:rPr>
          <w:b w:val="0"/>
          <w:i w:val="0"/>
        </w:rPr>
        <w:t xml:space="preserve"> and </w:t>
      </w:r>
      <w:r>
        <w:t>“</w:t>
      </w:r>
      <w:r>
        <w:rPr>
          <w:b w:val="0"/>
          <w:i w:val="0"/>
        </w:rPr>
        <w:t>office</w:t>
      </w:r>
      <w:r>
        <w:t>”</w:t>
      </w:r>
      <w:r>
        <w:rPr>
          <w:b w:val="0"/>
          <w:i w:val="0"/>
        </w:rPr>
        <w:t xml:space="preserve"> preserve a real local difference in munus. A Latin register should include both senses rather than supplying one generic equivalent.</w:t>
      </w:r>
    </w:p>
    <w:p>
      <w:pPr>
        <w:keepNext/>
        <w:widowControl/>
      </w:pPr>
      <w:r>
        <w:rPr>
          <w:b/>
          <w:i w:val="0"/>
        </w:rPr>
        <w:t>See also.</w:t>
      </w:r>
    </w:p>
    <w:p>
      <w:pPr>
        <w:widowControl/>
      </w:pPr>
      <w:hyperlink w:anchor="participation">
        <w:r>
          <w:rPr>
            <w:color w:val="000000"/>
          </w:rPr>
          <w:t xml:space="preserve">Participation</w:t>
        </w:r>
      </w:hyperlink>
      <w:r>
        <w:rPr>
          <w:b w:val="0"/>
          <w:i w:val="0"/>
        </w:rPr>
        <w:t xml:space="preserve">; </w:t>
      </w:r>
      <w:hyperlink w:anchor="good-and-goodness">
        <w:r>
          <w:rPr>
            <w:color w:val="000000"/>
          </w:rPr>
          <w:t xml:space="preserve">Good and goodness</w:t>
        </w:r>
      </w:hyperlink>
      <w:r>
        <w:rPr>
          <w:b w:val="0"/>
          <w:i w:val="0"/>
        </w:rPr>
        <w:t xml:space="preserve">; </w:t>
      </w:r>
      <w:hyperlink w:anchor="cause">
        <w:r>
          <w:rPr>
            <w:color w:val="000000"/>
          </w:rPr>
          <w:t xml:space="preserve">Cause</w:t>
        </w:r>
      </w:hyperlink>
      <w:r>
        <w:rPr>
          <w:b w:val="0"/>
          <w:i w:val="0"/>
        </w:rPr>
        <w:t xml:space="preserve">; </w:t>
      </w:r>
      <w:hyperlink w:anchor="ideas-and-exemplars">
        <w:r>
          <w:rPr>
            <w:color w:val="000000"/>
          </w:rPr>
          <w:t xml:space="preserve">Ideas and exemplars</w:t>
        </w:r>
      </w:hyperlink>
      <w:r>
        <w:rPr>
          <w:b w:val="0"/>
          <w:i w:val="0"/>
        </w:rPr>
        <w:t xml:space="preserve">; </w:t>
      </w:r>
      <w:hyperlink w:anchor="power-and-potency">
        <w:r>
          <w:rPr>
            <w:color w:val="000000"/>
          </w:rPr>
          <w:t xml:space="preserve">Power and potency</w:t>
        </w:r>
      </w:hyperlink>
    </w:p>
    <w:p>
      <w:pPr>
        <w:widowControl/>
      </w:pPr>
      <w:hyperlink w:anchor="common-and-proper">
        <w:r>
          <w:rPr>
            <w:color w:val="000000"/>
          </w:rPr>
          <w:t xml:space="preserve">Common and proper</w:t>
        </w:r>
      </w:hyperlink>
      <w:r>
        <w:rPr>
          <w:b w:val="0"/>
          <w:i w:val="0"/>
        </w:rPr>
        <w:t xml:space="preserve">; </w:t>
      </w:r>
      <w:hyperlink w:anchor="good-and-goodness">
        <w:r>
          <w:rPr>
            <w:color w:val="000000"/>
          </w:rPr>
          <w:t xml:space="preserve">Good and goodness</w:t>
        </w:r>
      </w:hyperlink>
      <w:r>
        <w:rPr>
          <w:b w:val="0"/>
          <w:i w:val="0"/>
        </w:rPr>
        <w:t xml:space="preserve">; </w:t>
      </w:r>
      <w:hyperlink w:anchor="dependence-and-receiving">
        <w:r>
          <w:rPr>
            <w:color w:val="000000"/>
          </w:rPr>
          <w:t xml:space="preserve">Dependence and receiving</w:t>
        </w:r>
      </w:hyperlink>
      <w:r>
        <w:rPr>
          <w:b w:val="0"/>
          <w:i w:val="0"/>
        </w:rPr>
        <w:t>.</w:t>
      </w:r>
    </w:p>
    <w:p>
      <w:bookmarkStart w:id="62" w:name="comparing-resembling-and-equalling"/>
      <w:pPr>
        <w:pStyle w:val="Heading2"/>
      </w:pPr>
      <w:r>
        <w:rPr>
          <w:b w:val="0"/>
          <w:i w:val="0"/>
        </w:rPr>
        <w:t>Comparing, resembling and equalling</w:t>
      </w:r>
      <w:bookmarkEnd w:id="62"/>
    </w:p>
    <w:p>
      <w:pPr>
        <w:keepNext/>
        <w:widowControl/>
      </w:pPr>
      <w:r>
        <w:rPr>
          <w:b/>
          <w:i w:val="0"/>
        </w:rPr>
        <w:t>Latin:</w:t>
      </w:r>
      <w:r>
        <w:rPr>
          <w:b w:val="0"/>
          <w:i w:val="0"/>
        </w:rPr>
        <w:t xml:space="preserve"> </w:t>
      </w:r>
      <w:r>
        <w:rPr>
          <w:b w:val="0"/>
          <w:i/>
        </w:rPr>
        <w:t>comparabimus</w:t>
      </w:r>
      <w:r>
        <w:rPr>
          <w:b w:val="0"/>
          <w:i w:val="0"/>
        </w:rPr>
        <w:t xml:space="preserve">; </w:t>
      </w:r>
      <w:r>
        <w:rPr>
          <w:b w:val="0"/>
          <w:i/>
        </w:rPr>
        <w:t>comparata</w:t>
      </w:r>
      <w:r>
        <w:rPr>
          <w:b w:val="0"/>
          <w:i w:val="0"/>
        </w:rPr>
        <w:t xml:space="preserve">; </w:t>
      </w:r>
      <w:r>
        <w:rPr>
          <w:b w:val="0"/>
          <w:i/>
        </w:rPr>
        <w:t>similes</w:t>
      </w:r>
      <w:r>
        <w:rPr>
          <w:b w:val="0"/>
          <w:i w:val="0"/>
        </w:rPr>
        <w:t xml:space="preserve">; </w:t>
      </w:r>
      <w:r>
        <w:rPr>
          <w:b w:val="0"/>
          <w:i/>
        </w:rPr>
        <w:t>aequales</w:t>
      </w:r>
      <w:r>
        <w:rPr>
          <w:b w:val="0"/>
          <w:i w:val="0"/>
        </w:rPr>
        <w:t xml:space="preserve">; </w:t>
      </w:r>
      <w:r>
        <w:rPr>
          <w:b w:val="0"/>
          <w:i/>
        </w:rPr>
        <w:t>persimiles</w:t>
      </w:r>
      <w:r>
        <w:rPr>
          <w:b w:val="0"/>
          <w:i w:val="0"/>
        </w:rPr>
        <w:t xml:space="preserve">; </w:t>
      </w:r>
      <w:r>
        <w:rPr>
          <w:b w:val="0"/>
          <w:i/>
        </w:rPr>
        <w:t>proportionem</w:t>
      </w:r>
      <w:r>
        <w:rPr>
          <w:b w:val="0"/>
          <w:i w:val="0"/>
        </w:rPr>
        <w:t xml:space="preserve">; </w:t>
      </w:r>
      <w:r>
        <w:rPr>
          <w:b w:val="0"/>
          <w:i/>
        </w:rPr>
        <w:t>par</w:t>
      </w:r>
      <w:r>
        <w:rPr>
          <w:b w:val="0"/>
          <w:i w:val="0"/>
        </w:rPr>
        <w:t xml:space="preserve">; </w:t>
      </w:r>
      <w:r>
        <w:rPr>
          <w:b w:val="0"/>
          <w:i/>
        </w:rPr>
        <w:t>impar</w:t>
      </w:r>
      <w:r>
        <w:rPr>
          <w:b w:val="0"/>
          <w:i w:val="0"/>
        </w:rPr>
        <w:t>.</w:t>
      </w:r>
    </w:p>
    <w:p>
      <w:pPr>
        <w:keepNext/>
        <w:widowControl/>
      </w:pPr>
      <w:r>
        <w:rPr>
          <w:b/>
          <w:i w:val="0"/>
        </w:rPr>
        <w:t>The word.</w:t>
      </w:r>
    </w:p>
    <w:p>
      <w:pPr>
        <w:widowControl/>
      </w:pPr>
      <w:r>
        <w:rPr>
          <w:b w:val="0"/>
          <w:i/>
        </w:rPr>
        <w:t>Comparare</w:t>
      </w:r>
      <w:r>
        <w:rPr>
          <w:b w:val="0"/>
          <w:i w:val="0"/>
        </w:rPr>
        <w:t xml:space="preserve"> brings things into a comparison; </w:t>
      </w:r>
      <w:r>
        <w:rPr>
          <w:b w:val="0"/>
          <w:i/>
        </w:rPr>
        <w:t>similis</w:t>
      </w:r>
      <w:r>
        <w:rPr>
          <w:b w:val="0"/>
          <w:i w:val="0"/>
        </w:rPr>
        <w:t xml:space="preserve"> names likeness, whereas </w:t>
      </w:r>
      <w:r>
        <w:rPr>
          <w:b w:val="0"/>
          <w:i/>
        </w:rPr>
        <w:t>aequalis</w:t>
      </w:r>
      <w:r>
        <w:rPr>
          <w:b w:val="0"/>
          <w:i w:val="0"/>
        </w:rPr>
        <w:t xml:space="preserve"> and </w:t>
      </w:r>
      <w:r>
        <w:rPr>
          <w:b w:val="0"/>
          <w:i/>
        </w:rPr>
        <w:t>par</w:t>
      </w:r>
      <w:r>
        <w:rPr>
          <w:b w:val="0"/>
          <w:i w:val="0"/>
        </w:rPr>
        <w:t xml:space="preserve"> name equality. </w:t>
      </w:r>
      <w:r>
        <w:rPr>
          <w:b w:val="0"/>
          <w:i/>
        </w:rPr>
        <w:t>Proportio</w:t>
      </w:r>
      <w:r>
        <w:rPr>
          <w:b w:val="0"/>
          <w:i w:val="0"/>
        </w:rPr>
        <w:t xml:space="preserve"> concerns a relation or relative arrangement. The respect of comparison must be supplied: likeness in quality, equality in magnitude, equality of causal power, and proportion between kinds are different claims.</w:t>
      </w:r>
    </w:p>
    <w:p>
      <w:pPr>
        <w:keepNext/>
        <w:widowControl/>
      </w:pPr>
      <w:r>
        <w:rPr>
          <w:b/>
          <w:i w:val="0"/>
        </w:rPr>
        <w:t>In the Platonic Theology.</w:t>
      </w:r>
    </w:p>
    <w:p>
      <w:pPr>
        <w:widowControl/>
      </w:pPr>
      <w:r>
        <w:rPr>
          <w:b w:val="0"/>
          <w:i w:val="0"/>
        </w:rPr>
        <w:t xml:space="preserve">The announced comparison of five levels is designed to expose differences in dependence and perfection. A particularly concrete distinction appears in natural generation: an effect resembles its cause qualitatively before it equals it quantitatively. Children resemble their parents in constitution and shape before, and more often than, matching their size. This is an example in Ficino’s argument that action proceeds through qualities, not a claim that resemblance and equality are synonyms. The same precision matters in the hour-long bodily-condition test: equal powers are said to produce equal effects, so an unchanged power would preserve the condition for another equal period. Finally, form’s greater </w:t>
      </w:r>
      <w:r>
        <w:rPr>
          <w:b w:val="0"/>
          <w:i/>
        </w:rPr>
        <w:t>proportio</w:t>
      </w:r>
      <w:r>
        <w:rPr>
          <w:b w:val="0"/>
          <w:i w:val="0"/>
        </w:rPr>
        <w:t xml:space="preserve"> to matter than quantity supplies an argument about separability, not a numerical ratio measured in the passage.</w:t>
      </w:r>
    </w:p>
    <w:p>
      <w:pPr>
        <w:keepNext/>
        <w:widowControl/>
      </w:pPr>
      <w:r>
        <w:rPr>
          <w:b/>
          <w:i w:val="0"/>
        </w:rPr>
        <w:t>The places.</w:t>
      </w:r>
    </w:p>
    <w:p>
      <w:pPr>
        <w:ind w:left="187" w:hanging="187"/>
      </w:pPr>
      <w:r>
        <w:t xml:space="preserve">• </w:t>
      </w:r>
      <w:r>
        <w:rPr>
          <w:b/>
          <w:i w:val="0"/>
        </w:rPr>
        <w:t>I.1.7, PDF 16–17.</w:t>
      </w:r>
      <w:r>
        <w:rPr>
          <w:b w:val="0"/>
          <w:i w:val="0"/>
        </w:rPr>
        <w:t xml:space="preserve"> The five grades are to be compared with one another</w:t>
      </w:r>
    </w:p>
    <w:p>
      <w:pPr>
        <w:ind w:left="187" w:hanging="187"/>
      </w:pPr>
      <w:r>
        <w:t xml:space="preserve">• </w:t>
      </w:r>
      <w:r>
        <w:rPr>
          <w:b/>
          <w:i w:val="0"/>
        </w:rPr>
        <w:t>I.2.12, PDF 24–25.</w:t>
      </w:r>
      <w:r>
        <w:rPr>
          <w:b w:val="0"/>
          <w:i w:val="0"/>
        </w:rPr>
        <w:t xml:space="preserve"> Qualitative resemblance is distinguished from quantitative equality through parents and children</w:t>
      </w:r>
    </w:p>
    <w:p>
      <w:pPr>
        <w:ind w:left="187" w:hanging="187"/>
      </w:pPr>
      <w:r>
        <w:t xml:space="preserve">• </w:t>
      </w:r>
      <w:r>
        <w:rPr>
          <w:b/>
          <w:i w:val="0"/>
        </w:rPr>
        <w:t>I.3.27, PDF 48–49.</w:t>
      </w:r>
      <w:r>
        <w:rPr>
          <w:b w:val="0"/>
          <w:i w:val="0"/>
        </w:rPr>
        <w:t xml:space="preserve"> Form’s relation to matter supports an inference about quantity</w:t>
      </w:r>
    </w:p>
    <w:p>
      <w:pPr>
        <w:ind w:left="187" w:hanging="187"/>
      </w:pPr>
      <w:r>
        <w:t xml:space="preserve">• </w:t>
      </w:r>
      <w:r>
        <w:rPr>
          <w:b/>
          <w:i w:val="0"/>
        </w:rPr>
        <w:t>I.4.2, PDF 56–57.</w:t>
      </w:r>
      <w:r>
        <w:rPr>
          <w:b w:val="0"/>
          <w:i w:val="0"/>
        </w:rPr>
        <w:t xml:space="preserve"> Equal and unequal power structure the persistence dilemma</w:t>
      </w:r>
    </w:p>
    <w:p>
      <w:pPr>
        <w:keepNext/>
        <w:widowControl/>
      </w:pPr>
      <w:r>
        <w:rPr>
          <w:b/>
          <w:i w:val="0"/>
        </w:rPr>
        <w:t>In this edition.</w:t>
      </w:r>
    </w:p>
    <w:p>
      <w:pPr>
        <w:widowControl/>
      </w:pPr>
      <w:r>
        <w:t>“</w:t>
      </w:r>
      <w:r>
        <w:rPr>
          <w:b w:val="0"/>
          <w:i w:val="0"/>
        </w:rPr>
        <w:t>Like</w:t>
      </w:r>
      <w:r>
        <w:t>”</w:t>
      </w:r>
      <w:r>
        <w:rPr>
          <w:b w:val="0"/>
          <w:i w:val="0"/>
        </w:rPr>
        <w:t xml:space="preserve"> and </w:t>
      </w:r>
      <w:r>
        <w:t>“</w:t>
      </w:r>
      <w:r>
        <w:rPr>
          <w:b w:val="0"/>
          <w:i w:val="0"/>
        </w:rPr>
        <w:t>equal</w:t>
      </w:r>
      <w:r>
        <w:t>”</w:t>
      </w:r>
      <w:r>
        <w:rPr>
          <w:b w:val="0"/>
          <w:i w:val="0"/>
        </w:rPr>
        <w:t xml:space="preserve"> should remain distinct. </w:t>
      </w:r>
      <w:r>
        <w:t>“</w:t>
      </w:r>
      <w:r>
        <w:rPr>
          <w:b w:val="0"/>
          <w:i w:val="0"/>
        </w:rPr>
        <w:t>Constitution</w:t>
      </w:r>
      <w:r>
        <w:t>”</w:t>
      </w:r>
      <w:r>
        <w:rPr>
          <w:b w:val="0"/>
          <w:i w:val="0"/>
        </w:rPr>
        <w:t xml:space="preserve"> renders </w:t>
      </w:r>
      <w:r>
        <w:rPr>
          <w:b w:val="0"/>
          <w:i/>
        </w:rPr>
        <w:t>complexio</w:t>
      </w:r>
      <w:r>
        <w:rPr>
          <w:b w:val="0"/>
          <w:i w:val="0"/>
        </w:rPr>
        <w:t xml:space="preserve"> in the parental comparison; the resemblance includes a bodily condition, not just visible facial similarity. The passage’s </w:t>
      </w:r>
      <w:r>
        <w:rPr>
          <w:b w:val="0"/>
          <w:i/>
        </w:rPr>
        <w:t>rarius et posterius</w:t>
      </w:r>
      <w:r>
        <w:rPr>
          <w:b w:val="0"/>
          <w:i w:val="0"/>
        </w:rPr>
        <w:t xml:space="preserve"> says that equality is less frequent and later, not impossible.</w:t>
      </w:r>
    </w:p>
    <w:p>
      <w:pPr>
        <w:keepNext/>
        <w:widowControl/>
      </w:pPr>
      <w:r>
        <w:rPr>
          <w:b/>
          <w:i w:val="0"/>
        </w:rPr>
        <w:t>See also.</w:t>
      </w:r>
    </w:p>
    <w:p>
      <w:pPr>
        <w:widowControl/>
      </w:pPr>
      <w:hyperlink w:anchor="image-and-likeness">
        <w:r>
          <w:rPr>
            <w:color w:val="000000"/>
          </w:rPr>
          <w:t xml:space="preserve">Image and likeness</w:t>
        </w:r>
      </w:hyperlink>
      <w:r>
        <w:rPr>
          <w:b w:val="0"/>
          <w:i w:val="0"/>
        </w:rPr>
        <w:t xml:space="preserve">; </w:t>
      </w:r>
      <w:hyperlink w:anchor="quantity-and-dimension">
        <w:r>
          <w:rPr>
            <w:color w:val="000000"/>
          </w:rPr>
          <w:t xml:space="preserve">Quantity and dimension</w:t>
        </w:r>
      </w:hyperlink>
      <w:r>
        <w:rPr>
          <w:b w:val="0"/>
          <w:i w:val="0"/>
        </w:rPr>
        <w:t xml:space="preserve">; </w:t>
      </w:r>
      <w:hyperlink w:anchor="quality">
        <w:r>
          <w:rPr>
            <w:color w:val="000000"/>
          </w:rPr>
          <w:t xml:space="preserve">Quality</w:t>
        </w:r>
      </w:hyperlink>
      <w:r>
        <w:rPr>
          <w:b w:val="0"/>
          <w:i w:val="0"/>
        </w:rPr>
        <w:t xml:space="preserve">; </w:t>
      </w:r>
      <w:hyperlink w:anchor="permanence-and-the-hour-test">
        <w:r>
          <w:rPr>
            <w:color w:val="000000"/>
          </w:rPr>
          <w:t xml:space="preserve">Permanence and the hour test</w:t>
        </w:r>
      </w:hyperlink>
      <w:r>
        <w:rPr>
          <w:b w:val="0"/>
          <w:i w:val="0"/>
        </w:rPr>
        <w:t>.</w:t>
      </w:r>
    </w:p>
    <w:p>
      <w:bookmarkStart w:id="63" w:name="concord-and-convergence"/>
      <w:pPr>
        <w:pStyle w:val="Heading2"/>
      </w:pPr>
      <w:r>
        <w:rPr>
          <w:b w:val="0"/>
          <w:i w:val="0"/>
        </w:rPr>
        <w:t>Concord and convergence</w:t>
      </w:r>
      <w:bookmarkEnd w:id="63"/>
    </w:p>
    <w:p>
      <w:pPr>
        <w:keepNext/>
        <w:widowControl/>
      </w:pPr>
      <w:r>
        <w:rPr>
          <w:b/>
          <w:i w:val="0"/>
        </w:rPr>
        <w:t>Latin:</w:t>
      </w:r>
      <w:r>
        <w:rPr>
          <w:b w:val="0"/>
          <w:i w:val="0"/>
        </w:rPr>
        <w:t xml:space="preserve"> conveniant; congruerent; consentire; dissentire; conspirant; conciliantur; communione; concurrunt; conspirationem</w:t>
      </w:r>
    </w:p>
    <w:p>
      <w:pPr>
        <w:keepNext/>
        <w:widowControl/>
      </w:pPr>
      <w:r>
        <w:rPr>
          <w:b/>
          <w:i w:val="0"/>
        </w:rPr>
        <w:t>The word.</w:t>
      </w:r>
    </w:p>
    <w:p>
      <w:pPr>
        <w:widowControl/>
      </w:pPr>
      <w:r>
        <w:rPr>
          <w:b w:val="0"/>
          <w:i w:val="0"/>
        </w:rPr>
        <w:t>Convenire and congruere mean agreeing, matching, or belonging suitably; consentire and dissentire mark agreement and disagreement. Conspirare describes coordinated tendency, while concurrere means coming or working together toward an outcome. These need not denote conscious agreement.</w:t>
      </w:r>
    </w:p>
    <w:p>
      <w:pPr>
        <w:keepNext/>
        <w:widowControl/>
      </w:pPr>
      <w:r>
        <w:rPr>
          <w:b/>
          <w:i w:val="0"/>
        </w:rPr>
        <w:t>In the Platonic Theology.</w:t>
      </w:r>
    </w:p>
    <w:p>
      <w:pPr>
        <w:widowControl/>
      </w:pPr>
      <w:r>
        <w:rPr>
          <w:b w:val="0"/>
          <w:i w:val="0"/>
        </w:rPr>
        <w:t>Ficino moves from the hypothetical agreement of two gods to the actual mutual order he sees among diverse cosmic parts. An army’s coordinated arrangement illustrates how relations between parts can depend on their common relation to a commander. Mere differences among the parts do not, on his argument, suffice to produce their concord. The world’s recurrent order rules out chance as its explanation in his account.</w:t>
      </w:r>
    </w:p>
    <w:p>
      <w:pPr>
        <w:widowControl/>
      </w:pPr>
      <w:r>
        <w:rPr>
          <w:b w:val="0"/>
          <w:i w:val="0"/>
        </w:rPr>
        <w:t>In II.7 the language becomes causal. Parts must be reconciled for a compound to exist; agents converge on being as a common effect. Their unity is not identity of individual nature: they remain diverse agents whose work depends upon one first agent and one end. In the two-god dilemma, however, willing and refusing the same result are genuinely opposed acts. The reader should distinguish coordination among natural agents from agreement between hypothetical wills.</w:t>
      </w:r>
    </w:p>
    <w:p>
      <w:pPr>
        <w:keepNext/>
        <w:widowControl/>
      </w:pPr>
      <w:r>
        <w:rPr>
          <w:b/>
          <w:i w:val="0"/>
        </w:rPr>
        <w:t>The places.</w:t>
      </w:r>
    </w:p>
    <w:p>
      <w:pPr>
        <w:ind w:left="187" w:hanging="187"/>
      </w:pPr>
      <w:r>
        <w:t xml:space="preserve">• </w:t>
      </w:r>
      <w:r>
        <w:rPr>
          <w:b w:val="0"/>
          <w:i w:val="0"/>
        </w:rPr>
        <w:t>II.2.2, II.2.8, II.2.9 (PDF pp. 104–105, 108–111): Agreement of natures and mutual cosmic coordination</w:t>
      </w:r>
    </w:p>
    <w:p>
      <w:pPr>
        <w:ind w:left="187" w:hanging="187"/>
      </w:pPr>
      <w:r>
        <w:t xml:space="preserve">• </w:t>
      </w:r>
      <w:r>
        <w:rPr>
          <w:b w:val="0"/>
          <w:i w:val="0"/>
        </w:rPr>
        <w:t>II.2.14 (PDF pp. 112–113): Willing and refusing become opposed alternatives</w:t>
      </w:r>
    </w:p>
    <w:p>
      <w:pPr>
        <w:ind w:left="187" w:hanging="187"/>
      </w:pPr>
      <w:r>
        <w:t xml:space="preserve">• </w:t>
      </w:r>
      <w:r>
        <w:rPr>
          <w:b w:val="0"/>
          <w:i w:val="0"/>
        </w:rPr>
        <w:t>II.7.9, II.7.27 (PDF pp. 146–147, 156–157): Composition and subordinate agency depend on a prior source of unity</w:t>
      </w:r>
    </w:p>
    <w:p>
      <w:pPr>
        <w:keepNext/>
        <w:widowControl/>
      </w:pPr>
      <w:r>
        <w:rPr>
          <w:b/>
          <w:i w:val="0"/>
        </w:rPr>
        <w:t>In this edition.</w:t>
      </w:r>
    </w:p>
    <w:p>
      <w:pPr>
        <w:widowControl/>
      </w:pPr>
      <w:r>
        <w:rPr>
          <w:b w:val="0"/>
          <w:i w:val="0"/>
        </w:rPr>
        <w:t xml:space="preserve">English </w:t>
      </w:r>
      <w:r>
        <w:t>“</w:t>
      </w:r>
      <w:r>
        <w:rPr>
          <w:b w:val="0"/>
          <w:i w:val="0"/>
        </w:rPr>
        <w:t>conspire</w:t>
      </w:r>
      <w:r>
        <w:t>”</w:t>
      </w:r>
      <w:r>
        <w:rPr>
          <w:b w:val="0"/>
          <w:i w:val="0"/>
        </w:rPr>
        <w:t xml:space="preserve"> retains the Latin image of concerted action; it does not imply a secret plot. </w:t>
      </w:r>
      <w:r>
        <w:t>“</w:t>
      </w:r>
      <w:r>
        <w:rPr>
          <w:b w:val="0"/>
          <w:i w:val="0"/>
        </w:rPr>
        <w:t>Belongs to</w:t>
      </w:r>
      <w:r>
        <w:t>”</w:t>
      </w:r>
      <w:r>
        <w:rPr>
          <w:b w:val="0"/>
          <w:i w:val="0"/>
        </w:rPr>
        <w:t xml:space="preserve"> elsewhere can translate convenit, so that word should not everywhere be indexed only as agreement.</w:t>
      </w:r>
    </w:p>
    <w:p>
      <w:pPr>
        <w:keepNext/>
        <w:widowControl/>
      </w:pPr>
      <w:r>
        <w:rPr>
          <w:b/>
          <w:i w:val="0"/>
        </w:rPr>
        <w:t>See also.</w:t>
      </w:r>
    </w:p>
    <w:p>
      <w:pPr>
        <w:widowControl/>
      </w:pPr>
      <w:hyperlink w:anchor="army-and-commander">
        <w:r>
          <w:rPr>
            <w:color w:val="000000"/>
          </w:rPr>
          <w:t xml:space="preserve">Army and commander</w:t>
        </w:r>
      </w:hyperlink>
      <w:r>
        <w:rPr>
          <w:b w:val="0"/>
          <w:i w:val="0"/>
        </w:rPr>
        <w:t xml:space="preserve">; </w:t>
      </w:r>
      <w:hyperlink w:anchor="order-and-harmony">
        <w:r>
          <w:rPr>
            <w:color w:val="000000"/>
          </w:rPr>
          <w:t xml:space="preserve">Order and harmony</w:t>
        </w:r>
      </w:hyperlink>
      <w:r>
        <w:rPr>
          <w:b w:val="0"/>
          <w:i w:val="0"/>
        </w:rPr>
        <w:t xml:space="preserve">; </w:t>
      </w:r>
      <w:hyperlink w:anchor="common-and-proper">
        <w:r>
          <w:rPr>
            <w:color w:val="000000"/>
          </w:rPr>
          <w:t xml:space="preserve">Common and proper</w:t>
        </w:r>
      </w:hyperlink>
      <w:r>
        <w:rPr>
          <w:b w:val="0"/>
          <w:i w:val="0"/>
        </w:rPr>
        <w:t xml:space="preserve">; </w:t>
      </w:r>
      <w:hyperlink w:anchor="simplicity-and-composition">
        <w:r>
          <w:rPr>
            <w:color w:val="000000"/>
          </w:rPr>
          <w:t xml:space="preserve">Simplicity and composition</w:t>
        </w:r>
      </w:hyperlink>
      <w:r>
        <w:rPr>
          <w:b w:val="0"/>
          <w:i w:val="0"/>
        </w:rPr>
        <w:t>.</w:t>
      </w:r>
    </w:p>
    <w:p>
      <w:bookmarkStart w:id="64" w:name="conservation-and-preservation"/>
      <w:pPr>
        <w:pStyle w:val="Heading2"/>
      </w:pPr>
      <w:r>
        <w:rPr>
          <w:b w:val="0"/>
          <w:i w:val="0"/>
        </w:rPr>
        <w:t>Conservation and preservation</w:t>
      </w:r>
      <w:bookmarkEnd w:id="64"/>
    </w:p>
    <w:p>
      <w:pPr>
        <w:keepNext/>
        <w:widowControl/>
      </w:pPr>
      <w:r>
        <w:rPr>
          <w:b/>
          <w:i w:val="0"/>
        </w:rPr>
        <w:t>Latin:</w:t>
      </w:r>
      <w:r>
        <w:rPr>
          <w:b w:val="0"/>
          <w:i w:val="0"/>
        </w:rPr>
        <w:t xml:space="preserve"> </w:t>
      </w:r>
      <w:r>
        <w:rPr>
          <w:b w:val="0"/>
          <w:i/>
        </w:rPr>
        <w:t>servare</w:t>
      </w:r>
      <w:r>
        <w:rPr>
          <w:b w:val="0"/>
          <w:i w:val="0"/>
        </w:rPr>
        <w:t xml:space="preserve">; </w:t>
      </w:r>
      <w:r>
        <w:rPr>
          <w:b w:val="0"/>
          <w:i/>
        </w:rPr>
        <w:t>conservare</w:t>
      </w:r>
      <w:r>
        <w:rPr>
          <w:b w:val="0"/>
          <w:i w:val="0"/>
        </w:rPr>
        <w:t xml:space="preserve">; </w:t>
      </w:r>
      <w:r>
        <w:rPr>
          <w:b w:val="0"/>
          <w:i/>
        </w:rPr>
        <w:t>conservator</w:t>
      </w:r>
      <w:r>
        <w:rPr>
          <w:b w:val="0"/>
          <w:i w:val="0"/>
        </w:rPr>
        <w:t xml:space="preserve">; </w:t>
      </w:r>
      <w:r>
        <w:rPr>
          <w:b w:val="0"/>
          <w:i/>
        </w:rPr>
        <w:t>influxus</w:t>
      </w:r>
      <w:r>
        <w:rPr>
          <w:b w:val="0"/>
          <w:i w:val="0"/>
        </w:rPr>
        <w:t xml:space="preserve">; </w:t>
      </w:r>
      <w:r>
        <w:rPr>
          <w:b w:val="0"/>
          <w:i/>
        </w:rPr>
        <w:t>permanere</w:t>
      </w:r>
      <w:r>
        <w:rPr>
          <w:b w:val="0"/>
          <w:i w:val="0"/>
        </w:rPr>
        <w:t xml:space="preserve">; </w:t>
      </w:r>
      <w:r>
        <w:rPr>
          <w:b w:val="0"/>
          <w:i/>
        </w:rPr>
        <w:t>perseverare</w:t>
      </w:r>
    </w:p>
    <w:p>
      <w:pPr>
        <w:keepNext/>
        <w:widowControl/>
      </w:pPr>
      <w:r>
        <w:rPr>
          <w:b/>
          <w:i w:val="0"/>
        </w:rPr>
        <w:t>The word.</w:t>
      </w:r>
    </w:p>
    <w:p>
      <w:pPr>
        <w:widowControl/>
      </w:pPr>
      <w:r>
        <w:rPr>
          <w:b w:val="0"/>
          <w:i w:val="0"/>
        </w:rPr>
        <w:t>Servare and conservare keep or preserve; conservator is the preserving cause. Permanere and perseverare describe the dependent thing’s continued existence, which is not the same as self-sufficient causation.</w:t>
      </w:r>
    </w:p>
    <w:p>
      <w:pPr>
        <w:keepNext/>
        <w:widowControl/>
      </w:pPr>
      <w:r>
        <w:rPr>
          <w:b/>
          <w:i w:val="0"/>
        </w:rPr>
        <w:t>In the Platonic Theology.</w:t>
      </w:r>
    </w:p>
    <w:p>
      <w:pPr>
        <w:widowControl/>
      </w:pPr>
      <w:r>
        <w:rPr>
          <w:b w:val="0"/>
          <w:i w:val="0"/>
        </w:rPr>
        <w:t>Preservation is the continuing gift of existence, not merely protection against accidental damage. Ficino argues that a dependent thing cannot maintain itself independently once it has been produced. If God’s universe existed always, there would be no privileged first moment in which it received being; it must receive being at every moment. If it began, it needs the same preservation. Thus the argument deliberately covers both alternatives rather than settling the world’s temporal beginning here. The analogy of a statue distinguishes levels: an artwork endures because natural stone or bronze remains solid; natural things endure through divine influx. Shadow and mirror-image analogies then emphasize constant dependence upon a source. The world is not simply an artifact abandoned by its maker. Ficino extends the point from existence to agency: God preserves the angel’s being, power, and action, and therefore remains active in what the angel does. Continuous dependence is the organizing force of the vocabulary.</w:t>
      </w:r>
    </w:p>
    <w:p>
      <w:pPr>
        <w:keepNext/>
        <w:widowControl/>
      </w:pPr>
      <w:r>
        <w:rPr>
          <w:b/>
          <w:i w:val="0"/>
        </w:rPr>
        <w:t>The places.</w:t>
      </w:r>
    </w:p>
    <w:p>
      <w:pPr>
        <w:ind w:left="187" w:hanging="187"/>
      </w:pPr>
      <w:r>
        <w:t xml:space="preserve">• </w:t>
      </w:r>
      <w:r>
        <w:rPr>
          <w:b/>
          <w:i w:val="0"/>
        </w:rPr>
        <w:t>I.3.18, PDF 40–41</w:t>
      </w:r>
      <w:r>
        <w:rPr>
          <w:b w:val="0"/>
          <w:i w:val="0"/>
        </w:rPr>
        <w:t>. Matter’s making and preservation require a form not inhering in matter.</w:t>
      </w:r>
    </w:p>
    <w:p>
      <w:pPr>
        <w:ind w:left="187" w:hanging="187"/>
      </w:pPr>
      <w:r>
        <w:t xml:space="preserve">• </w:t>
      </w:r>
      <w:r>
        <w:rPr>
          <w:b/>
          <w:i w:val="0"/>
        </w:rPr>
        <w:t>II.4.6, PDF 124–125</w:t>
      </w:r>
      <w:r>
        <w:rPr>
          <w:b w:val="0"/>
          <w:i w:val="0"/>
        </w:rPr>
        <w:t>. Production without a prior subject is joined to continual preservation.</w:t>
      </w:r>
    </w:p>
    <w:p>
      <w:pPr>
        <w:ind w:left="187" w:hanging="187"/>
      </w:pPr>
      <w:r>
        <w:t xml:space="preserve">• </w:t>
      </w:r>
      <w:r>
        <w:rPr>
          <w:b/>
          <w:i w:val="0"/>
        </w:rPr>
        <w:t>II.7.18–19, PDF 152–153</w:t>
      </w:r>
      <w:r>
        <w:rPr>
          <w:b w:val="0"/>
          <w:i w:val="0"/>
        </w:rPr>
        <w:t>. Both temporal-origin alternatives require ongoing divine preservation.</w:t>
      </w:r>
    </w:p>
    <w:p>
      <w:pPr>
        <w:ind w:left="187" w:hanging="187"/>
      </w:pPr>
      <w:r>
        <w:t xml:space="preserve">• </w:t>
      </w:r>
      <w:r>
        <w:rPr>
          <w:b/>
          <w:i w:val="0"/>
        </w:rPr>
        <w:t>II.7.24, PDF 154–155</w:t>
      </w:r>
      <w:r>
        <w:rPr>
          <w:b w:val="0"/>
          <w:i w:val="0"/>
        </w:rPr>
        <w:t>. Angelic action operates through the received divine power as an instrument does through its maker.</w:t>
      </w:r>
    </w:p>
    <w:p>
      <w:pPr>
        <w:widowControl/>
      </w:pPr>
      <w:r>
        <w:rPr>
          <w:b/>
          <w:i w:val="0"/>
        </w:rPr>
        <w:t>Further passage references.</w:t>
      </w:r>
      <w:r>
        <w:rPr>
          <w:b w:val="0"/>
          <w:i w:val="0"/>
        </w:rPr>
        <w:t xml:space="preserve"> II.4.6, pp. 124–125; II.6.11, pp. 132–133; II.7.17–25, pp. 150–155</w:t>
      </w:r>
    </w:p>
    <w:p>
      <w:pPr>
        <w:keepNext/>
        <w:widowControl/>
      </w:pPr>
      <w:r>
        <w:rPr>
          <w:b/>
          <w:i w:val="0"/>
        </w:rPr>
        <w:t>In this edition.</w:t>
      </w:r>
    </w:p>
    <w:p>
      <w:pPr>
        <w:widowControl/>
      </w:pPr>
      <w:r>
        <w:rPr>
          <w:b w:val="0"/>
          <w:i w:val="0"/>
        </w:rPr>
        <w:t>II.7.18–19 deliberately covers both an always-existing world and one that began. Do not convert this preservation argument into a decision about the world’s first temporal moment. The continuous gift concerns being, not only protection from damage.</w:t>
      </w:r>
    </w:p>
    <w:p>
      <w:pPr>
        <w:keepNext/>
        <w:widowControl/>
      </w:pPr>
      <w:r>
        <w:rPr>
          <w:b/>
          <w:i w:val="0"/>
        </w:rPr>
        <w:t>See also.</w:t>
      </w:r>
    </w:p>
    <w:p>
      <w:pPr>
        <w:widowControl/>
      </w:pPr>
      <w:hyperlink w:anchor="creation">
        <w:r>
          <w:rPr>
            <w:color w:val="000000"/>
          </w:rPr>
          <w:t xml:space="preserve">Creation</w:t>
        </w:r>
      </w:hyperlink>
      <w:r>
        <w:rPr>
          <w:b w:val="0"/>
          <w:i w:val="0"/>
        </w:rPr>
        <w:t xml:space="preserve">; </w:t>
      </w:r>
      <w:hyperlink w:anchor="cause">
        <w:r>
          <w:rPr>
            <w:color w:val="000000"/>
          </w:rPr>
          <w:t xml:space="preserve">Cause</w:t>
        </w:r>
      </w:hyperlink>
      <w:r>
        <w:rPr>
          <w:b w:val="0"/>
          <w:i w:val="0"/>
        </w:rPr>
        <w:t xml:space="preserve">; </w:t>
      </w:r>
      <w:hyperlink w:anchor="instrument">
        <w:r>
          <w:rPr>
            <w:color w:val="000000"/>
          </w:rPr>
          <w:t xml:space="preserve">Instrument</w:t>
        </w:r>
      </w:hyperlink>
      <w:r>
        <w:rPr>
          <w:b w:val="0"/>
          <w:i w:val="0"/>
        </w:rPr>
        <w:t xml:space="preserve">; </w:t>
      </w:r>
      <w:hyperlink w:anchor="motion-and-stability">
        <w:r>
          <w:rPr>
            <w:color w:val="000000"/>
          </w:rPr>
          <w:t xml:space="preserve">Motion and stability</w:t>
        </w:r>
      </w:hyperlink>
      <w:r>
        <w:rPr>
          <w:b w:val="0"/>
          <w:i w:val="0"/>
        </w:rPr>
        <w:t xml:space="preserve">; </w:t>
      </w:r>
      <w:hyperlink w:anchor="being">
        <w:r>
          <w:rPr>
            <w:color w:val="000000"/>
          </w:rPr>
          <w:t xml:space="preserve">Being</w:t>
        </w:r>
      </w:hyperlink>
    </w:p>
    <w:p>
      <w:bookmarkStart w:id="65" w:name="containing-receiving-and-lacking"/>
      <w:pPr>
        <w:pStyle w:val="Heading2"/>
      </w:pPr>
      <w:r>
        <w:rPr>
          <w:b w:val="0"/>
          <w:i w:val="0"/>
        </w:rPr>
        <w:t>Containing, receiving and lacking</w:t>
      </w:r>
      <w:bookmarkEnd w:id="65"/>
    </w:p>
    <w:p>
      <w:pPr>
        <w:keepNext/>
        <w:widowControl/>
      </w:pPr>
      <w:r>
        <w:rPr>
          <w:b/>
          <w:i w:val="0"/>
        </w:rPr>
        <w:t>Latin:</w:t>
      </w:r>
      <w:r>
        <w:rPr>
          <w:b w:val="0"/>
          <w:i w:val="0"/>
        </w:rPr>
        <w:t xml:space="preserve"> </w:t>
      </w:r>
      <w:r>
        <w:rPr>
          <w:b w:val="0"/>
          <w:i/>
        </w:rPr>
        <w:t>continet</w:t>
      </w:r>
      <w:r>
        <w:rPr>
          <w:b w:val="0"/>
          <w:i w:val="0"/>
        </w:rPr>
        <w:t xml:space="preserve">; </w:t>
      </w:r>
      <w:r>
        <w:rPr>
          <w:b w:val="0"/>
          <w:i/>
        </w:rPr>
        <w:t>complectitur</w:t>
      </w:r>
      <w:r>
        <w:rPr>
          <w:b w:val="0"/>
          <w:i w:val="0"/>
        </w:rPr>
        <w:t xml:space="preserve">; </w:t>
      </w:r>
      <w:r>
        <w:rPr>
          <w:b w:val="0"/>
          <w:i/>
        </w:rPr>
        <w:t>capiunt</w:t>
      </w:r>
      <w:r>
        <w:rPr>
          <w:b w:val="0"/>
          <w:i w:val="0"/>
        </w:rPr>
        <w:t xml:space="preserve">; </w:t>
      </w:r>
      <w:r>
        <w:rPr>
          <w:b w:val="0"/>
          <w:i/>
        </w:rPr>
        <w:t>capax</w:t>
      </w:r>
      <w:r>
        <w:rPr>
          <w:b w:val="0"/>
          <w:i w:val="0"/>
        </w:rPr>
        <w:t xml:space="preserve">; </w:t>
      </w:r>
      <w:r>
        <w:rPr>
          <w:b w:val="0"/>
          <w:i/>
        </w:rPr>
        <w:t>accipiet</w:t>
      </w:r>
      <w:r>
        <w:rPr>
          <w:b w:val="0"/>
          <w:i w:val="0"/>
        </w:rPr>
        <w:t xml:space="preserve">; </w:t>
      </w:r>
      <w:r>
        <w:rPr>
          <w:b w:val="0"/>
          <w:i/>
        </w:rPr>
        <w:t>caret</w:t>
      </w:r>
      <w:r>
        <w:rPr>
          <w:b w:val="0"/>
          <w:i w:val="0"/>
        </w:rPr>
        <w:t xml:space="preserve">; </w:t>
      </w:r>
      <w:r>
        <w:rPr>
          <w:b w:val="0"/>
          <w:i/>
        </w:rPr>
        <w:t>deest</w:t>
      </w:r>
      <w:r>
        <w:rPr>
          <w:b w:val="0"/>
          <w:i w:val="0"/>
        </w:rPr>
        <w:t xml:space="preserve">; </w:t>
      </w:r>
      <w:r>
        <w:rPr>
          <w:b w:val="0"/>
          <w:i/>
        </w:rPr>
        <w:t>indiget</w:t>
      </w:r>
      <w:r>
        <w:rPr>
          <w:b w:val="0"/>
          <w:i w:val="0"/>
        </w:rPr>
        <w:t>.</w:t>
      </w:r>
    </w:p>
    <w:p>
      <w:pPr>
        <w:keepNext/>
        <w:widowControl/>
      </w:pPr>
      <w:r>
        <w:rPr>
          <w:b/>
          <w:i w:val="0"/>
        </w:rPr>
        <w:t>The word.</w:t>
      </w:r>
    </w:p>
    <w:p>
      <w:pPr>
        <w:widowControl/>
      </w:pPr>
      <w:r>
        <w:rPr>
          <w:b w:val="0"/>
          <w:i/>
        </w:rPr>
        <w:t>Continere</w:t>
      </w:r>
      <w:r>
        <w:rPr>
          <w:b w:val="0"/>
          <w:i w:val="0"/>
        </w:rPr>
        <w:t xml:space="preserve"> and </w:t>
      </w:r>
      <w:r>
        <w:rPr>
          <w:b w:val="0"/>
          <w:i/>
        </w:rPr>
        <w:t>complecti</w:t>
      </w:r>
      <w:r>
        <w:rPr>
          <w:b w:val="0"/>
          <w:i w:val="0"/>
        </w:rPr>
        <w:t xml:space="preserve"> can mean to contain or embrace; </w:t>
      </w:r>
      <w:r>
        <w:rPr>
          <w:b w:val="0"/>
          <w:i/>
        </w:rPr>
        <w:t>capere</w:t>
      </w:r>
      <w:r>
        <w:rPr>
          <w:b w:val="0"/>
          <w:i w:val="0"/>
        </w:rPr>
        <w:t xml:space="preserve"> can be to receive or apprehend. </w:t>
      </w:r>
      <w:r>
        <w:rPr>
          <w:b w:val="0"/>
          <w:i/>
        </w:rPr>
        <w:t>Capax</w:t>
      </w:r>
      <w:r>
        <w:rPr>
          <w:b w:val="0"/>
          <w:i w:val="0"/>
        </w:rPr>
        <w:t xml:space="preserve"> is receptive or capable of receiving. </w:t>
      </w:r>
      <w:r>
        <w:rPr>
          <w:b w:val="0"/>
          <w:i/>
        </w:rPr>
        <w:t>Carere</w:t>
      </w:r>
      <w:r>
        <w:rPr>
          <w:b w:val="0"/>
          <w:i w:val="0"/>
        </w:rPr>
        <w:t xml:space="preserve">, </w:t>
      </w:r>
      <w:r>
        <w:rPr>
          <w:b w:val="0"/>
          <w:i/>
        </w:rPr>
        <w:t>deesse</w:t>
      </w:r>
      <w:r>
        <w:rPr>
          <w:b w:val="0"/>
          <w:i w:val="0"/>
        </w:rPr>
        <w:t xml:space="preserve">, and </w:t>
      </w:r>
      <w:r>
        <w:rPr>
          <w:b w:val="0"/>
          <w:i/>
        </w:rPr>
        <w:t>indigere</w:t>
      </w:r>
      <w:r>
        <w:rPr>
          <w:b w:val="0"/>
          <w:i w:val="0"/>
        </w:rPr>
        <w:t xml:space="preserve"> indicate absence or need, with different constructions. None implies that an incorporeal mind is a physical receptacle.</w:t>
      </w:r>
    </w:p>
    <w:p>
      <w:pPr>
        <w:keepNext/>
        <w:widowControl/>
      </w:pPr>
      <w:r>
        <w:rPr>
          <w:b/>
          <w:i w:val="0"/>
        </w:rPr>
        <w:t>In the Platonic Theology.</w:t>
      </w:r>
    </w:p>
    <w:p>
      <w:pPr>
        <w:widowControl/>
      </w:pPr>
      <w:r>
        <w:rPr>
          <w:b w:val="0"/>
          <w:i w:val="0"/>
        </w:rPr>
        <w:t>The first member of a kind is said to contain the following members and to lack none of that kind’s perfection. The claim concerns causal fullness, not a box containing every individual. Conversely, inferior luminous things do not receive the entire fullness of light. In the eye analogy, a bodily eye is a capacity receptive to light, not light itself. Enlarging the eye increases its reception without abolishing its dependence; likewise, the imagined pure mind receives truth more abundantly but is still distinct from truth. The vocabulary therefore helps distinguish possession from identity. God’s simplicity is argued in part through complete self-presence: a composite would not embrace its whole self in each member and would be absent from itself in some respect. These are steps in Ficino’s argument, not literal anatomical descriptions of God.</w:t>
      </w:r>
    </w:p>
    <w:p>
      <w:pPr>
        <w:keepNext/>
        <w:widowControl/>
      </w:pPr>
      <w:r>
        <w:rPr>
          <w:b/>
          <w:i w:val="0"/>
        </w:rPr>
        <w:t>The places.</w:t>
      </w:r>
    </w:p>
    <w:p>
      <w:pPr>
        <w:ind w:left="187" w:hanging="187"/>
      </w:pPr>
      <w:r>
        <w:t xml:space="preserve">• </w:t>
      </w:r>
      <w:r>
        <w:rPr>
          <w:b/>
          <w:i w:val="0"/>
        </w:rPr>
        <w:t>I.3.3, PDF 30–31.</w:t>
      </w:r>
      <w:r>
        <w:rPr>
          <w:b w:val="0"/>
          <w:i w:val="0"/>
        </w:rPr>
        <w:t xml:space="preserve"> Causal fullness contrasted with partial reception</w:t>
      </w:r>
    </w:p>
    <w:p>
      <w:pPr>
        <w:ind w:left="187" w:hanging="187"/>
      </w:pPr>
      <w:r>
        <w:t xml:space="preserve">• </w:t>
      </w:r>
      <w:r>
        <w:rPr>
          <w:b/>
          <w:i w:val="0"/>
        </w:rPr>
        <w:t>I.6.6, PDF 84–85.</w:t>
      </w:r>
      <w:r>
        <w:rPr>
          <w:b w:val="0"/>
          <w:i w:val="0"/>
        </w:rPr>
        <w:t xml:space="preserve"> Embracing the whole self versus lacking oneself in the hypothetical composite God</w:t>
      </w:r>
    </w:p>
    <w:p>
      <w:pPr>
        <w:ind w:left="187" w:hanging="187"/>
      </w:pPr>
      <w:r>
        <w:t xml:space="preserve">• </w:t>
      </w:r>
      <w:r>
        <w:rPr>
          <w:b/>
          <w:i w:val="0"/>
        </w:rPr>
        <w:t>I.6.7–9, PDF 86–87.</w:t>
      </w:r>
      <w:r>
        <w:rPr>
          <w:b w:val="0"/>
          <w:i w:val="0"/>
        </w:rPr>
        <w:t xml:space="preserve"> Receptivity remains after the eye or mind is imagined enlarged</w:t>
      </w:r>
    </w:p>
    <w:p>
      <w:pPr>
        <w:ind w:left="187" w:hanging="187"/>
      </w:pPr>
      <w:r>
        <w:t xml:space="preserve">• </w:t>
      </w:r>
      <w:r>
        <w:rPr>
          <w:b/>
          <w:i w:val="0"/>
        </w:rPr>
        <w:t>I.6.10–12, PDF 88–89.</w:t>
      </w:r>
      <w:r>
        <w:rPr>
          <w:b w:val="0"/>
          <w:i w:val="0"/>
        </w:rPr>
        <w:t xml:space="preserve"> Mind needs truth, whereas truth does not need a receiving mind</w:t>
      </w:r>
    </w:p>
    <w:p>
      <w:pPr>
        <w:keepNext/>
        <w:widowControl/>
      </w:pPr>
      <w:r>
        <w:rPr>
          <w:b/>
          <w:i w:val="0"/>
        </w:rPr>
        <w:t>In this edition.</w:t>
      </w:r>
    </w:p>
    <w:p>
      <w:pPr>
        <w:widowControl/>
      </w:pPr>
      <w:r>
        <w:t>“</w:t>
      </w:r>
      <w:r>
        <w:rPr>
          <w:b w:val="0"/>
          <w:i w:val="0"/>
        </w:rPr>
        <w:t>Apprehend</w:t>
      </w:r>
      <w:r>
        <w:t>”</w:t>
      </w:r>
      <w:r>
        <w:rPr>
          <w:b w:val="0"/>
          <w:i w:val="0"/>
        </w:rPr>
        <w:t xml:space="preserve"> is suitable for intellectual </w:t>
      </w:r>
      <w:r>
        <w:rPr>
          <w:b w:val="0"/>
          <w:i/>
        </w:rPr>
        <w:t>capere</w:t>
      </w:r>
      <w:r>
        <w:rPr>
          <w:b w:val="0"/>
          <w:i w:val="0"/>
        </w:rPr>
        <w:t xml:space="preserve">; </w:t>
      </w:r>
      <w:r>
        <w:t>“</w:t>
      </w:r>
      <w:r>
        <w:rPr>
          <w:b w:val="0"/>
          <w:i w:val="0"/>
        </w:rPr>
        <w:t>receive</w:t>
      </w:r>
      <w:r>
        <w:t>”</w:t>
      </w:r>
      <w:r>
        <w:rPr>
          <w:b w:val="0"/>
          <w:i w:val="0"/>
        </w:rPr>
        <w:t xml:space="preserve"> better displays the illumination analogy. The changing English should not conceal the shared relation of reception. </w:t>
      </w:r>
      <w:r>
        <w:t>“</w:t>
      </w:r>
      <w:r>
        <w:rPr>
          <w:b w:val="0"/>
          <w:i w:val="0"/>
        </w:rPr>
        <w:t>Comprehend</w:t>
      </w:r>
      <w:r>
        <w:t>”</w:t>
      </w:r>
      <w:r>
        <w:rPr>
          <w:b w:val="0"/>
          <w:i w:val="0"/>
        </w:rPr>
        <w:t xml:space="preserve"> elsewhere can mean encompass rather than supply a separate technical cognitive faculty.</w:t>
      </w:r>
    </w:p>
    <w:p>
      <w:pPr>
        <w:keepNext/>
        <w:widowControl/>
      </w:pPr>
      <w:r>
        <w:rPr>
          <w:b/>
          <w:i w:val="0"/>
        </w:rPr>
        <w:t>See also.</w:t>
      </w:r>
    </w:p>
    <w:p>
      <w:pPr>
        <w:widowControl/>
      </w:pPr>
      <w:hyperlink w:anchor="need-and-sufficiency">
        <w:r>
          <w:rPr>
            <w:color w:val="000000"/>
          </w:rPr>
          <w:t xml:space="preserve">Need and sufficiency</w:t>
        </w:r>
      </w:hyperlink>
      <w:r>
        <w:rPr>
          <w:b w:val="0"/>
          <w:i w:val="0"/>
        </w:rPr>
        <w:t xml:space="preserve">; </w:t>
      </w:r>
      <w:hyperlink w:anchor="participation">
        <w:r>
          <w:rPr>
            <w:color w:val="000000"/>
          </w:rPr>
          <w:t xml:space="preserve">Participation</w:t>
        </w:r>
      </w:hyperlink>
      <w:r>
        <w:rPr>
          <w:b w:val="0"/>
          <w:i w:val="0"/>
        </w:rPr>
        <w:t xml:space="preserve">; </w:t>
      </w:r>
      <w:hyperlink w:anchor="truth">
        <w:r>
          <w:rPr>
            <w:color w:val="000000"/>
          </w:rPr>
          <w:t xml:space="preserve">Truth</w:t>
        </w:r>
      </w:hyperlink>
      <w:r>
        <w:rPr>
          <w:b w:val="0"/>
          <w:i w:val="0"/>
        </w:rPr>
        <w:t xml:space="preserve">; </w:t>
      </w:r>
      <w:hyperlink w:anchor="eye-and-imagined-enlargement">
        <w:r>
          <w:rPr>
            <w:color w:val="000000"/>
          </w:rPr>
          <w:t xml:space="preserve">Eye and imagined enlargement</w:t>
        </w:r>
      </w:hyperlink>
      <w:r>
        <w:rPr>
          <w:b w:val="0"/>
          <w:i w:val="0"/>
        </w:rPr>
        <w:t>.</w:t>
      </w:r>
    </w:p>
    <w:p>
      <w:bookmarkStart w:id="66" w:name="contingency"/>
      <w:pPr>
        <w:pStyle w:val="Heading2"/>
      </w:pPr>
      <w:r>
        <w:rPr>
          <w:b w:val="0"/>
          <w:i w:val="0"/>
        </w:rPr>
        <w:t>Contingency</w:t>
      </w:r>
      <w:bookmarkEnd w:id="66"/>
    </w:p>
    <w:p>
      <w:pPr>
        <w:keepNext/>
        <w:widowControl/>
      </w:pPr>
      <w:r>
        <w:rPr>
          <w:b/>
          <w:i w:val="0"/>
        </w:rPr>
        <w:t>Latin:</w:t>
      </w:r>
      <w:r>
        <w:rPr>
          <w:b w:val="0"/>
          <w:i w:val="0"/>
        </w:rPr>
        <w:t xml:space="preserve"> </w:t>
      </w:r>
      <w:r>
        <w:rPr>
          <w:b w:val="0"/>
          <w:i/>
        </w:rPr>
        <w:t>contingentia</w:t>
      </w:r>
      <w:r>
        <w:rPr>
          <w:b w:val="0"/>
          <w:i w:val="0"/>
        </w:rPr>
        <w:t xml:space="preserve">; </w:t>
      </w:r>
      <w:r>
        <w:rPr>
          <w:b w:val="0"/>
          <w:i/>
        </w:rPr>
        <w:t>contingentes</w:t>
      </w:r>
      <w:r>
        <w:rPr>
          <w:b w:val="0"/>
          <w:i w:val="0"/>
        </w:rPr>
        <w:t xml:space="preserve">; </w:t>
      </w:r>
      <w:r>
        <w:rPr>
          <w:b w:val="0"/>
          <w:i/>
        </w:rPr>
        <w:t>secundum contingentiam</w:t>
      </w:r>
      <w:r>
        <w:rPr>
          <w:b w:val="0"/>
          <w:i w:val="0"/>
        </w:rPr>
        <w:t xml:space="preserve">; </w:t>
      </w:r>
      <w:r>
        <w:rPr>
          <w:b w:val="0"/>
          <w:i/>
        </w:rPr>
        <w:t>essendi modos</w:t>
      </w:r>
      <w:r>
        <w:rPr>
          <w:b w:val="0"/>
          <w:i w:val="0"/>
        </w:rPr>
        <w:t xml:space="preserve">; </w:t>
      </w:r>
      <w:r>
        <w:rPr>
          <w:b w:val="0"/>
          <w:i/>
        </w:rPr>
        <w:t>proximarum causarum</w:t>
      </w:r>
    </w:p>
    <w:p>
      <w:pPr>
        <w:keepNext/>
        <w:widowControl/>
      </w:pPr>
      <w:r>
        <w:rPr>
          <w:b/>
          <w:i w:val="0"/>
        </w:rPr>
        <w:t>The word.</w:t>
      </w:r>
    </w:p>
    <w:p>
      <w:pPr>
        <w:widowControl/>
      </w:pPr>
      <w:r>
        <w:rPr>
          <w:b w:val="0"/>
          <w:i w:val="0"/>
        </w:rPr>
        <w:t>Contingentia and contingens mark a variable or non-necessary created mode. Essendi modus is the manner of a thing’s being; proximate causes supply its particular mode of occurrence.</w:t>
      </w:r>
    </w:p>
    <w:p>
      <w:pPr>
        <w:keepNext/>
        <w:widowControl/>
      </w:pPr>
      <w:r>
        <w:rPr>
          <w:b/>
          <w:i w:val="0"/>
        </w:rPr>
        <w:t>In the Platonic Theology.</w:t>
      </w:r>
    </w:p>
    <w:p>
      <w:pPr>
        <w:widowControl/>
      </w:pPr>
      <w:r>
        <w:rPr>
          <w:b w:val="0"/>
          <w:i w:val="0"/>
        </w:rPr>
        <w:t>Contingency describes a created event’s variable mode of occurrence, rather than a deficiency that must remove it from providence. Ficino denies that God’s own being or activity results from contingency, but later says that exact universal order requires a range of causes: stable causes, mobile causes, and effects varying with those mobile causes. Because effects imitate their proximate causes, variation belongs to the created order itself.</w:t>
      </w:r>
    </w:p>
    <w:p>
      <w:pPr>
        <w:widowControl/>
      </w:pPr>
      <w:r>
        <w:rPr>
          <w:b w:val="0"/>
          <w:i w:val="0"/>
        </w:rPr>
        <w:t>God wills not only things but also their appropriate modes of being. Ficino consequently reports the theologians’ formula that God chooses an event to occur contingently. Nothing thereby escapes providence or destroys universal order. This distinction is the important reading aid: an event can be contingent in its own created mode while belonging to an order governed by God. Related arguments concern free human actions, whose known mode remains voluntary. The terminology does not supply a modern probability theory and should not be recast as statistical randomness. Nor should divine contingency be inferred from the legitimate contingency of created effects.</w:t>
      </w:r>
    </w:p>
    <w:p>
      <w:pPr>
        <w:keepNext/>
        <w:widowControl/>
      </w:pPr>
      <w:r>
        <w:rPr>
          <w:b/>
          <w:i w:val="0"/>
        </w:rPr>
        <w:t>The places.</w:t>
      </w:r>
    </w:p>
    <w:p>
      <w:pPr>
        <w:ind w:left="187" w:hanging="187"/>
      </w:pPr>
      <w:r>
        <w:t xml:space="preserve">• </w:t>
      </w:r>
      <w:r>
        <w:rPr>
          <w:b/>
          <w:i w:val="0"/>
        </w:rPr>
        <w:t>II.12.3, PDF 202–203</w:t>
      </w:r>
      <w:r>
        <w:rPr>
          <w:b w:val="0"/>
          <w:i w:val="0"/>
        </w:rPr>
        <w:t>. Contingency is rejected as the ground of God’s own being and operation.</w:t>
      </w:r>
    </w:p>
    <w:p>
      <w:pPr>
        <w:ind w:left="187" w:hanging="187"/>
      </w:pPr>
      <w:r>
        <w:t xml:space="preserve">• </w:t>
      </w:r>
      <w:r>
        <w:rPr>
          <w:b/>
          <w:i w:val="0"/>
        </w:rPr>
        <w:t>II.12.20–21, PDF 214–215</w:t>
      </w:r>
      <w:r>
        <w:rPr>
          <w:b w:val="0"/>
          <w:i w:val="0"/>
        </w:rPr>
        <w:t>. God wills things with their appropriate modes, including contingent effects through mobile causes.</w:t>
      </w:r>
    </w:p>
    <w:p>
      <w:pPr>
        <w:ind w:left="187" w:hanging="187"/>
      </w:pPr>
      <w:r>
        <w:t xml:space="preserve">• </w:t>
      </w:r>
      <w:r>
        <w:rPr>
          <w:b/>
          <w:i w:val="0"/>
        </w:rPr>
        <w:t>II.13.25, PDF 234–235</w:t>
      </w:r>
      <w:r>
        <w:rPr>
          <w:b w:val="0"/>
          <w:i w:val="0"/>
        </w:rPr>
        <w:t>. Foreknowledge includes causes and free modes rather than merely bare outcomes.</w:t>
      </w:r>
    </w:p>
    <w:p>
      <w:pPr>
        <w:widowControl/>
      </w:pPr>
      <w:r>
        <w:rPr>
          <w:b/>
          <w:i w:val="0"/>
        </w:rPr>
        <w:t>Further passage references.</w:t>
      </w:r>
      <w:r>
        <w:rPr>
          <w:b w:val="0"/>
          <w:i w:val="0"/>
        </w:rPr>
        <w:t xml:space="preserve"> II.12.2–3, 19–21, PDF 202–203, 212–215; II.13.25–30, PDF 234–237</w:t>
      </w:r>
    </w:p>
    <w:p>
      <w:pPr>
        <w:keepNext/>
        <w:widowControl/>
      </w:pPr>
      <w:r>
        <w:rPr>
          <w:b/>
          <w:i w:val="0"/>
        </w:rPr>
        <w:t>In this edition.</w:t>
      </w:r>
    </w:p>
    <w:p>
      <w:pPr>
        <w:widowControl/>
      </w:pPr>
      <w:r>
        <w:rPr>
          <w:b w:val="0"/>
          <w:i w:val="0"/>
        </w:rPr>
        <w:t>The qualification quodammodo in II.12.20 makes contingency a specified respect, not absence from every order. It is distinct from chance as a sufficient first explanation and from a statistical probability calculation.</w:t>
      </w:r>
    </w:p>
    <w:p>
      <w:pPr>
        <w:keepNext/>
        <w:widowControl/>
      </w:pPr>
      <w:r>
        <w:rPr>
          <w:b/>
          <w:i w:val="0"/>
        </w:rPr>
        <w:t>See also.</w:t>
      </w:r>
    </w:p>
    <w:p>
      <w:pPr>
        <w:widowControl/>
      </w:pPr>
      <w:hyperlink w:anchor="cause">
        <w:r>
          <w:rPr>
            <w:color w:val="000000"/>
          </w:rPr>
          <w:t xml:space="preserve">Cause</w:t>
        </w:r>
      </w:hyperlink>
      <w:r>
        <w:rPr>
          <w:b w:val="0"/>
          <w:i w:val="0"/>
        </w:rPr>
        <w:t xml:space="preserve">; </w:t>
      </w:r>
      <w:hyperlink w:anchor="chance">
        <w:r>
          <w:rPr>
            <w:color w:val="000000"/>
          </w:rPr>
          <w:t xml:space="preserve">Chance</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freedom-and-necessity">
        <w:r>
          <w:rPr>
            <w:color w:val="000000"/>
          </w:rPr>
          <w:t xml:space="preserve">Freedom and necessity</w:t>
        </w:r>
      </w:hyperlink>
      <w:r>
        <w:rPr>
          <w:b w:val="0"/>
          <w:i w:val="0"/>
        </w:rPr>
        <w:t xml:space="preserve">; </w:t>
      </w:r>
      <w:hyperlink w:anchor="providence">
        <w:r>
          <w:rPr>
            <w:color w:val="000000"/>
          </w:rPr>
          <w:t xml:space="preserve">Providence</w:t>
        </w:r>
      </w:hyperlink>
    </w:p>
    <w:p>
      <w:bookmarkStart w:id="67" w:name="contraction-and-determination"/>
      <w:pPr>
        <w:pStyle w:val="Heading2"/>
      </w:pPr>
      <w:r>
        <w:rPr>
          <w:b w:val="0"/>
          <w:i w:val="0"/>
        </w:rPr>
        <w:t>Contraction and determination</w:t>
      </w:r>
      <w:bookmarkEnd w:id="67"/>
    </w:p>
    <w:p>
      <w:pPr>
        <w:keepNext/>
        <w:widowControl/>
      </w:pPr>
      <w:r>
        <w:rPr>
          <w:b/>
          <w:i w:val="0"/>
        </w:rPr>
        <w:t>Latin:</w:t>
      </w:r>
      <w:r>
        <w:rPr>
          <w:b w:val="0"/>
          <w:i w:val="0"/>
        </w:rPr>
        <w:t xml:space="preserve"> </w:t>
      </w:r>
      <w:r>
        <w:rPr>
          <w:b w:val="0"/>
          <w:i/>
        </w:rPr>
        <w:t>determinatur</w:t>
      </w:r>
      <w:r>
        <w:rPr>
          <w:b w:val="0"/>
          <w:i w:val="0"/>
        </w:rPr>
        <w:t xml:space="preserve">, </w:t>
      </w:r>
      <w:r>
        <w:rPr>
          <w:b w:val="0"/>
          <w:i/>
        </w:rPr>
        <w:t>determinet</w:t>
      </w:r>
      <w:r>
        <w:rPr>
          <w:b w:val="0"/>
          <w:i w:val="0"/>
        </w:rPr>
        <w:t xml:space="preserve">, </w:t>
      </w:r>
      <w:r>
        <w:rPr>
          <w:b w:val="0"/>
          <w:i/>
        </w:rPr>
        <w:t>contrahi</w:t>
      </w:r>
      <w:r>
        <w:rPr>
          <w:b w:val="0"/>
          <w:i w:val="0"/>
        </w:rPr>
        <w:t xml:space="preserve">, </w:t>
      </w:r>
      <w:r>
        <w:rPr>
          <w:b w:val="0"/>
          <w:i/>
        </w:rPr>
        <w:t>contrahit</w:t>
      </w:r>
      <w:r>
        <w:rPr>
          <w:b w:val="0"/>
          <w:i w:val="0"/>
        </w:rPr>
        <w:t xml:space="preserve">, </w:t>
      </w:r>
      <w:r>
        <w:rPr>
          <w:b w:val="0"/>
          <w:i/>
        </w:rPr>
        <w:t>disposita</w:t>
      </w:r>
      <w:r>
        <w:rPr>
          <w:b w:val="0"/>
          <w:i w:val="0"/>
        </w:rPr>
        <w:t xml:space="preserve">, </w:t>
      </w:r>
      <w:r>
        <w:rPr>
          <w:b w:val="0"/>
          <w:i/>
        </w:rPr>
        <w:t>disponendam</w:t>
      </w:r>
      <w:r>
        <w:rPr>
          <w:b w:val="0"/>
          <w:i w:val="0"/>
        </w:rPr>
        <w:t xml:space="preserve">, </w:t>
      </w:r>
      <w:r>
        <w:rPr>
          <w:b w:val="0"/>
          <w:i/>
        </w:rPr>
        <w:t>ordinet</w:t>
      </w:r>
      <w:r>
        <w:rPr>
          <w:b w:val="0"/>
          <w:i w:val="0"/>
        </w:rPr>
        <w:t>.</w:t>
      </w:r>
    </w:p>
    <w:p>
      <w:pPr>
        <w:keepNext/>
        <w:widowControl/>
      </w:pPr>
      <w:r>
        <w:rPr>
          <w:b/>
          <w:i w:val="0"/>
        </w:rPr>
        <w:t>The word.</w:t>
      </w:r>
    </w:p>
    <w:p>
      <w:pPr>
        <w:widowControl/>
      </w:pPr>
      <w:r>
        <w:rPr>
          <w:b w:val="0"/>
          <w:i/>
        </w:rPr>
        <w:t>Determinare</w:t>
      </w:r>
      <w:r>
        <w:rPr>
          <w:b w:val="0"/>
          <w:i w:val="0"/>
        </w:rPr>
        <w:t xml:space="preserve"> bounds or directs something to a determinate result. </w:t>
      </w:r>
      <w:r>
        <w:rPr>
          <w:b w:val="0"/>
          <w:i/>
        </w:rPr>
        <w:t>Contrahere</w:t>
      </w:r>
      <w:r>
        <w:rPr>
          <w:b w:val="0"/>
          <w:i w:val="0"/>
        </w:rPr>
        <w:t xml:space="preserve"> gathers or narrows a more general power to a particular realization. </w:t>
      </w:r>
      <w:r>
        <w:rPr>
          <w:b w:val="0"/>
          <w:i/>
        </w:rPr>
        <w:t>Disponere</w:t>
      </w:r>
      <w:r>
        <w:rPr>
          <w:b w:val="0"/>
          <w:i w:val="0"/>
        </w:rPr>
        <w:t xml:space="preserve"> arranges or prepares a recipient; </w:t>
      </w:r>
      <w:r>
        <w:rPr>
          <w:b w:val="0"/>
          <w:i/>
        </w:rPr>
        <w:t>ordinare</w:t>
      </w:r>
      <w:r>
        <w:rPr>
          <w:b w:val="0"/>
          <w:i w:val="0"/>
        </w:rPr>
        <w:t xml:space="preserve"> puts causes into an order. Contraction here need not involve material shrinking.</w:t>
      </w:r>
    </w:p>
    <w:p>
      <w:pPr>
        <w:keepNext/>
        <w:widowControl/>
      </w:pPr>
      <w:r>
        <w:rPr>
          <w:b/>
          <w:i w:val="0"/>
        </w:rPr>
        <w:t>In the Platonic Theology.</w:t>
      </w:r>
    </w:p>
    <w:p>
      <w:pPr>
        <w:widowControl/>
      </w:pPr>
      <w:r>
        <w:rPr>
          <w:b w:val="0"/>
          <w:i w:val="0"/>
        </w:rPr>
        <w:t>A celestial impulse is common to every element. Ficino makes an element’s common life determine it toward a particular generated life. Even if one initially assigns the cause to celestial souls, an earthly universal medium must contract their common impulses into earthly particulars. Nor will an unexplained meeting of many agents suffice: their convergence itself requires a cause organizing them toward this effect. The verbs articulate why mere plurality of contributing conditions does not yet explain a determinate product.</w:t>
      </w:r>
    </w:p>
    <w:p>
      <w:pPr>
        <w:widowControl/>
      </w:pPr>
      <w:r>
        <w:rPr>
          <w:b w:val="0"/>
          <w:i w:val="0"/>
        </w:rPr>
        <w:t>The soul of earth is then said to produce vines through the vine’s principle and flies through the principle of flies. It also arranges matter beforehand by contracting the world’s impulses in the needed manner. Preparing the material and producing the form therefore belong to a coordinated account. The preparatory verbs should not be taken to identify matter with the formative principle or to imply that an externally imposed shape exhausts natural generation.</w:t>
      </w:r>
    </w:p>
    <w:p>
      <w:pPr>
        <w:keepNext/>
        <w:widowControl/>
      </w:pPr>
      <w:r>
        <w:rPr>
          <w:b/>
          <w:i w:val="0"/>
        </w:rPr>
        <w:t>The places.</w:t>
      </w:r>
    </w:p>
    <w:p>
      <w:pPr>
        <w:ind w:left="187" w:hanging="187"/>
      </w:pPr>
      <w:r>
        <w:t xml:space="preserve">• </w:t>
      </w:r>
      <w:r>
        <w:rPr>
          <w:b/>
          <w:i w:val="0"/>
        </w:rPr>
        <w:t>IV.1.4, PDF pp. 282–283:</w:t>
      </w:r>
      <w:r>
        <w:rPr>
          <w:b w:val="0"/>
          <w:i w:val="0"/>
        </w:rPr>
        <w:t xml:space="preserve"> a common celestial impulse is determined within an element</w:t>
      </w:r>
    </w:p>
    <w:p>
      <w:pPr>
        <w:ind w:left="187" w:hanging="187"/>
      </w:pPr>
      <w:r>
        <w:t xml:space="preserve">• </w:t>
      </w:r>
      <w:r>
        <w:rPr>
          <w:b/>
          <w:i w:val="0"/>
        </w:rPr>
        <w:t>IV.1.7–9, pp. 284–287:</w:t>
      </w:r>
      <w:r>
        <w:rPr>
          <w:b w:val="0"/>
          <w:i w:val="0"/>
        </w:rPr>
        <w:t xml:space="preserve"> contraction, convergence, ordering, and material disposition explain particular effects</w:t>
      </w:r>
    </w:p>
    <w:p>
      <w:pPr>
        <w:ind w:left="187" w:hanging="187"/>
      </w:pPr>
      <w:r>
        <w:t xml:space="preserve">• </w:t>
      </w:r>
      <w:r>
        <w:rPr>
          <w:b/>
          <w:i w:val="0"/>
        </w:rPr>
        <w:t>IV.1.85, pp. 326–327:</w:t>
      </w:r>
      <w:r>
        <w:rPr>
          <w:b w:val="0"/>
          <w:i w:val="0"/>
        </w:rPr>
        <w:t xml:space="preserve"> bodily heaven’s arranging activity is instrumental in the production of a higher kind of living recipient</w:t>
      </w:r>
    </w:p>
    <w:p>
      <w:pPr>
        <w:ind w:left="187" w:hanging="187"/>
      </w:pPr>
      <w:r>
        <w:t xml:space="preserve">• </w:t>
      </w:r>
      <w:r>
        <w:rPr>
          <w:b/>
          <w:i w:val="0"/>
        </w:rPr>
        <w:t>IV.2.15, pp. 342–343:</w:t>
      </w:r>
      <w:r>
        <w:rPr>
          <w:b w:val="0"/>
          <w:i w:val="0"/>
        </w:rPr>
        <w:t xml:space="preserve"> one seed-kind is brought forward for particular execution under a general intellectual plan</w:t>
      </w:r>
    </w:p>
    <w:p>
      <w:pPr>
        <w:keepNext/>
        <w:widowControl/>
      </w:pPr>
      <w:r>
        <w:rPr>
          <w:b/>
          <w:i w:val="0"/>
        </w:rPr>
        <w:t>In this edition.</w:t>
      </w:r>
    </w:p>
    <w:p>
      <w:pPr>
        <w:widowControl/>
      </w:pPr>
      <w:r>
        <w:t>“</w:t>
      </w:r>
      <w:r>
        <w:rPr>
          <w:b w:val="0"/>
          <w:i w:val="0"/>
        </w:rPr>
        <w:t>Contract</w:t>
      </w:r>
      <w:r>
        <w:t>”</w:t>
      </w:r>
      <w:r>
        <w:rPr>
          <w:b w:val="0"/>
          <w:i w:val="0"/>
        </w:rPr>
        <w:t xml:space="preserve"> is technical in these contexts: the narrowing concerns the scope and mode of causation. The reiterated </w:t>
      </w:r>
      <w:r>
        <w:t>“</w:t>
      </w:r>
      <w:r>
        <w:rPr>
          <w:b w:val="0"/>
          <w:i w:val="0"/>
        </w:rPr>
        <w:t>in this way or that</w:t>
      </w:r>
      <w:r>
        <w:t>”</w:t>
      </w:r>
      <w:r>
        <w:rPr>
          <w:b w:val="0"/>
          <w:i w:val="0"/>
        </w:rPr>
        <w:t xml:space="preserve"> in IV.1.9 preserves the specificity of material preparation rather than mere rhetorical indecision.</w:t>
      </w:r>
    </w:p>
    <w:p>
      <w:pPr>
        <w:keepNext/>
        <w:widowControl/>
      </w:pPr>
      <w:r>
        <w:rPr>
          <w:b/>
          <w:i w:val="0"/>
        </w:rPr>
        <w:t>See also.</w:t>
      </w:r>
    </w:p>
    <w:p>
      <w:pPr>
        <w:widowControl/>
      </w:pPr>
      <w:hyperlink w:anchor="cause">
        <w:r>
          <w:rPr>
            <w:color w:val="000000"/>
          </w:rPr>
          <w:t xml:space="preserve">Cause</w:t>
        </w:r>
      </w:hyperlink>
      <w:r>
        <w:rPr>
          <w:b w:val="0"/>
          <w:i w:val="0"/>
        </w:rPr>
        <w:t xml:space="preserve">; </w:t>
      </w:r>
      <w:hyperlink w:anchor="celestial-influence">
        <w:r>
          <w:rPr>
            <w:color w:val="000000"/>
          </w:rPr>
          <w:t xml:space="preserve">Celestial influence</w:t>
        </w:r>
      </w:hyperlink>
      <w:r>
        <w:rPr>
          <w:b w:val="0"/>
          <w:i w:val="0"/>
        </w:rPr>
        <w:t xml:space="preserve">; </w:t>
      </w:r>
      <w:hyperlink w:anchor="seeds">
        <w:r>
          <w:rPr>
            <w:color w:val="000000"/>
          </w:rPr>
          <w:t xml:space="preserve">Seeds</w:t>
        </w:r>
      </w:hyperlink>
      <w:r>
        <w:rPr>
          <w:b w:val="0"/>
          <w:i w:val="0"/>
        </w:rPr>
        <w:t xml:space="preserve">; </w:t>
      </w:r>
      <w:hyperlink w:anchor="euclid-and-the-lantern">
        <w:r>
          <w:rPr>
            <w:color w:val="000000"/>
          </w:rPr>
          <w:t xml:space="preserve">Euclid and the lantern</w:t>
        </w:r>
      </w:hyperlink>
      <w:r>
        <w:rPr>
          <w:b w:val="0"/>
          <w:i w:val="0"/>
        </w:rPr>
        <w:t>.</w:t>
      </w:r>
    </w:p>
    <w:p>
      <w:bookmarkStart w:id="68" w:name="contradiction-and-possibility"/>
      <w:pPr>
        <w:pStyle w:val="Heading2"/>
      </w:pPr>
      <w:r>
        <w:rPr>
          <w:b w:val="0"/>
          <w:i w:val="0"/>
        </w:rPr>
        <w:t>Contradiction and possibility</w:t>
      </w:r>
      <w:bookmarkEnd w:id="68"/>
    </w:p>
    <w:p>
      <w:pPr>
        <w:keepNext/>
        <w:widowControl/>
      </w:pPr>
      <w:r>
        <w:rPr>
          <w:b/>
          <w:i w:val="0"/>
        </w:rPr>
        <w:t>Latin:</w:t>
      </w:r>
      <w:r>
        <w:rPr>
          <w:b w:val="0"/>
          <w:i w:val="0"/>
        </w:rPr>
        <w:t xml:space="preserve"> </w:t>
      </w:r>
      <w:r>
        <w:rPr>
          <w:b w:val="0"/>
          <w:i/>
        </w:rPr>
        <w:t>contradictio; repugnare; adversari; ratio entis; potentia entis; non ens</w:t>
      </w:r>
    </w:p>
    <w:p>
      <w:pPr>
        <w:keepNext/>
        <w:widowControl/>
      </w:pPr>
      <w:r>
        <w:rPr>
          <w:b/>
          <w:i w:val="0"/>
        </w:rPr>
        <w:t>The word.</w:t>
      </w:r>
    </w:p>
    <w:p>
      <w:pPr>
        <w:widowControl/>
      </w:pPr>
      <w:r>
        <w:rPr>
          <w:b w:val="0"/>
          <w:i w:val="0"/>
        </w:rPr>
        <w:t>Contradictio is contradiction; repugnare and adversari oppose or conflict with something. Ratio entis is the intelligible character of being, while potentia entis concerns what can be. The logical exclusion is narrower than ordinary difference or contrary qualities.</w:t>
      </w:r>
    </w:p>
    <w:p>
      <w:pPr>
        <w:keepNext/>
        <w:widowControl/>
      </w:pPr>
      <w:r>
        <w:rPr>
          <w:b/>
          <w:i w:val="0"/>
        </w:rPr>
        <w:t>In the Platonic Theology.</w:t>
      </w:r>
    </w:p>
    <w:p>
      <w:pPr>
        <w:widowControl/>
      </w:pPr>
      <w:r>
        <w:rPr>
          <w:b w:val="0"/>
          <w:i w:val="0"/>
        </w:rPr>
        <w:t>Ficino argues that whatever does not conflict with being’s character lies within its possibility. Contradiction alone includes the character of nonbeing, and he attributes to the Peripatetics the inclusion of noncontradictory things within the potency of being. The mind’s ability to range over that breadth supports a corresponding scope for divine productive power. The next paragraph is essential: possible changes in number, magnitude, and stellar distances need never occur in the actual order. God’s ability therefore exceeds what God makes. This does not say that any arbitrary collection of words identifies a coherent possibility. Nor does the presence of physical contraries, such as heat and cold, amount to the contradiction excluded from possible being. Contraries are elsewhere reconciled and ordered in one world.</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II.12.16 (Latin PDF p. 210; English PDF p. 211).</w:t>
      </w:r>
      <w:r>
        <w:rPr>
          <w:b w:val="0"/>
          <w:i w:val="0"/>
        </w:rPr>
        <w:t xml:space="preserve"> The argument moves from corporeal possibility to the character of being.</w:t>
      </w:r>
    </w:p>
    <w:p>
      <w:pPr>
        <w:ind w:left="187" w:hanging="187"/>
      </w:pPr>
      <w:r>
        <w:t xml:space="preserve">• </w:t>
      </w:r>
      <w:r>
        <w:rPr>
          <w:b/>
          <w:i w:val="0"/>
        </w:rPr>
        <w:t>II.12.17 (Latin PDF p. 212; English PDF p. 213).</w:t>
      </w:r>
      <w:r>
        <w:rPr>
          <w:b w:val="0"/>
          <w:i w:val="0"/>
        </w:rPr>
        <w:t xml:space="preserve"> Contradiction is excluded; the Peripatetic attribution is explicit.</w:t>
      </w:r>
    </w:p>
    <w:p>
      <w:pPr>
        <w:ind w:left="187" w:hanging="187"/>
      </w:pPr>
      <w:r>
        <w:t xml:space="preserve">• </w:t>
      </w:r>
      <w:r>
        <w:rPr>
          <w:b/>
          <w:i w:val="0"/>
        </w:rPr>
        <w:t>II.12.18 (Latin PDF p. 212; English PDF p. 213).</w:t>
      </w:r>
      <w:r>
        <w:rPr>
          <w:b w:val="0"/>
          <w:i w:val="0"/>
        </w:rPr>
        <w:t xml:space="preserve"> Unactualized possibilities ground the distinction between power and choice.</w:t>
      </w:r>
    </w:p>
    <w:p>
      <w:pPr>
        <w:keepNext/>
        <w:widowControl/>
      </w:pPr>
      <w:r>
        <w:rPr>
          <w:b/>
          <w:i w:val="0"/>
        </w:rPr>
        <w:t>In this edition.</w:t>
      </w:r>
    </w:p>
    <w:p>
      <w:pPr>
        <w:widowControl/>
      </w:pPr>
      <w:r>
        <w:t>“</w:t>
      </w:r>
      <w:r>
        <w:rPr>
          <w:b w:val="0"/>
          <w:i w:val="0"/>
        </w:rPr>
        <w:t>Conflicts with</w:t>
      </w:r>
      <w:r>
        <w:t>”</w:t>
      </w:r>
      <w:r>
        <w:rPr>
          <w:b w:val="0"/>
          <w:i w:val="0"/>
        </w:rPr>
        <w:t xml:space="preserve"> and </w:t>
      </w:r>
      <w:r>
        <w:t>“</w:t>
      </w:r>
      <w:r>
        <w:rPr>
          <w:b w:val="0"/>
          <w:i w:val="0"/>
        </w:rPr>
        <w:t>opposite</w:t>
      </w:r>
      <w:r>
        <w:t>”</w:t>
      </w:r>
      <w:r>
        <w:rPr>
          <w:b w:val="0"/>
          <w:i w:val="0"/>
        </w:rPr>
        <w:t xml:space="preserve"> must be interpreted through the next unit’s explicit contradictio. The text does not enumerate a modern formal logic or prove that every mentally pictured object is possible. The examples of stars concern Ficino’s modal argument, not observations of alternative universes.</w:t>
      </w:r>
    </w:p>
    <w:p>
      <w:pPr>
        <w:keepNext/>
        <w:widowControl/>
      </w:pPr>
      <w:r>
        <w:rPr>
          <w:b/>
          <w:i w:val="0"/>
        </w:rPr>
        <w:t>See also.</w:t>
      </w:r>
    </w:p>
    <w:p>
      <w:pPr>
        <w:widowControl/>
      </w:pPr>
      <w:hyperlink w:anchor="nothing-and-nonbeing">
        <w:r>
          <w:rPr>
            <w:color w:val="000000"/>
          </w:rPr>
          <w:t xml:space="preserve">Nothing and nonbeing</w:t>
        </w:r>
      </w:hyperlink>
      <w:r>
        <w:rPr>
          <w:b w:val="0"/>
          <w:i w:val="0"/>
        </w:rPr>
        <w:t xml:space="preserve">; </w:t>
      </w:r>
      <w:hyperlink w:anchor="power-and-potency">
        <w:r>
          <w:rPr>
            <w:color w:val="000000"/>
          </w:rPr>
          <w:t xml:space="preserve">Power and potency</w:t>
        </w:r>
      </w:hyperlink>
      <w:r>
        <w:rPr>
          <w:b w:val="0"/>
          <w:i w:val="0"/>
        </w:rPr>
        <w:t xml:space="preserve">; </w:t>
      </w:r>
      <w:hyperlink w:anchor="productive-and-designing-power">
        <w:r>
          <w:rPr>
            <w:color w:val="000000"/>
          </w:rPr>
          <w:t xml:space="preserve">Productive and designing power</w:t>
        </w:r>
      </w:hyperlink>
      <w:r>
        <w:rPr>
          <w:b w:val="0"/>
          <w:i w:val="0"/>
        </w:rPr>
        <w:t xml:space="preserve">; </w:t>
      </w:r>
      <w:hyperlink w:anchor="contraries-and-opposition">
        <w:r>
          <w:rPr>
            <w:color w:val="000000"/>
          </w:rPr>
          <w:t xml:space="preserve">Contraries and opposition</w:t>
        </w:r>
      </w:hyperlink>
      <w:r>
        <w:rPr>
          <w:b w:val="0"/>
          <w:i w:val="0"/>
        </w:rPr>
        <w:t>.</w:t>
      </w:r>
    </w:p>
    <w:p>
      <w:bookmarkStart w:id="69" w:name="contraries-and-opposition"/>
      <w:pPr>
        <w:pStyle w:val="Heading2"/>
      </w:pPr>
      <w:r>
        <w:rPr>
          <w:b w:val="0"/>
          <w:i w:val="0"/>
        </w:rPr>
        <w:t>Contraries and opposition</w:t>
      </w:r>
      <w:bookmarkEnd w:id="69"/>
    </w:p>
    <w:p>
      <w:pPr>
        <w:keepNext/>
        <w:widowControl/>
      </w:pPr>
      <w:r>
        <w:rPr>
          <w:b/>
          <w:i w:val="0"/>
        </w:rPr>
        <w:t>Latin:</w:t>
      </w:r>
      <w:r>
        <w:rPr>
          <w:b w:val="0"/>
          <w:i w:val="0"/>
        </w:rPr>
        <w:t xml:space="preserve"> </w:t>
      </w:r>
      <w:r>
        <w:rPr>
          <w:b w:val="0"/>
          <w:i/>
        </w:rPr>
        <w:t>contrarium</w:t>
      </w:r>
      <w:r>
        <w:rPr>
          <w:b w:val="0"/>
          <w:i w:val="0"/>
        </w:rPr>
        <w:t xml:space="preserve">; </w:t>
      </w:r>
      <w:r>
        <w:rPr>
          <w:b w:val="0"/>
          <w:i/>
        </w:rPr>
        <w:t>contraria</w:t>
      </w:r>
      <w:r>
        <w:rPr>
          <w:b w:val="0"/>
          <w:i w:val="0"/>
        </w:rPr>
        <w:t xml:space="preserve">; </w:t>
      </w:r>
      <w:r>
        <w:rPr>
          <w:b w:val="0"/>
          <w:i/>
        </w:rPr>
        <w:t>oppositio</w:t>
      </w:r>
      <w:r>
        <w:rPr>
          <w:b w:val="0"/>
          <w:i w:val="0"/>
        </w:rPr>
        <w:t xml:space="preserve">; </w:t>
      </w:r>
      <w:r>
        <w:rPr>
          <w:b w:val="0"/>
          <w:i/>
        </w:rPr>
        <w:t>opponere</w:t>
      </w:r>
      <w:r>
        <w:rPr>
          <w:b w:val="0"/>
          <w:i w:val="0"/>
        </w:rPr>
        <w:t xml:space="preserve">; </w:t>
      </w:r>
      <w:r>
        <w:rPr>
          <w:b w:val="0"/>
          <w:i/>
        </w:rPr>
        <w:t>pugnantia</w:t>
      </w:r>
    </w:p>
    <w:p>
      <w:pPr>
        <w:keepNext/>
        <w:widowControl/>
      </w:pPr>
      <w:r>
        <w:rPr>
          <w:b/>
          <w:i w:val="0"/>
        </w:rPr>
        <w:t>The word.</w:t>
      </w:r>
    </w:p>
    <w:p>
      <w:pPr>
        <w:widowControl/>
      </w:pPr>
      <w:r>
        <w:rPr>
          <w:b w:val="0"/>
          <w:i w:val="0"/>
        </w:rPr>
        <w:t>Contrarium and oppositio identify opposition; pugnantia are things in conflict. The relation can concern bodily qualities, physiological constituents, or paired conceptual distinctions in the hierarchy.</w:t>
      </w:r>
    </w:p>
    <w:p>
      <w:pPr>
        <w:keepNext/>
        <w:widowControl/>
      </w:pPr>
      <w:r>
        <w:rPr>
          <w:b/>
          <w:i w:val="0"/>
        </w:rPr>
        <w:t>In the Platonic Theology.</w:t>
      </w:r>
    </w:p>
    <w:p>
      <w:pPr>
        <w:widowControl/>
      </w:pPr>
      <w:r>
        <w:rPr>
          <w:b w:val="0"/>
          <w:i w:val="0"/>
        </w:rPr>
        <w:t>Opposition performs more than one job in Book I. Among natural bodies, Ficino places effective opposition in qualities rather than bare matter or quantity: heat and cold provide his recurring examples. A quality may affect another thing through such opposition, yet its own dependence and exposure to material dispersion prevent it from being a sufficient first cause. At a higher explanatory level, living power reconciles conflicting constituents and holds them together in one organism. In the argument from angel to God, the oppositions are conceptual: immobility opposes mobility, and unity opposes multiplicity. Since a mobile multiplicity and an immobile unity differ in both respects, Ficino argues for an intermediary, the immobile multiplicity of angelic mind. The word therefore does more than supply a generic metaphor of conflict. Its meaning depends on whether Ficino is discussing natural qualities, an organism’s constituents, or paired distinctions within the hierarchy of being.</w:t>
      </w:r>
    </w:p>
    <w:p>
      <w:pPr>
        <w:keepNext/>
        <w:widowControl/>
      </w:pPr>
      <w:r>
        <w:rPr>
          <w:b/>
          <w:i w:val="0"/>
        </w:rPr>
        <w:t>The places.</w:t>
      </w:r>
    </w:p>
    <w:p>
      <w:pPr>
        <w:ind w:left="187" w:hanging="187"/>
      </w:pPr>
      <w:r>
        <w:t xml:space="preserve">• </w:t>
      </w:r>
      <w:r>
        <w:rPr>
          <w:b/>
          <w:i w:val="0"/>
        </w:rPr>
        <w:t>I.2.8, PDF 22–23</w:t>
      </w:r>
      <w:r>
        <w:rPr>
          <w:b w:val="0"/>
          <w:i w:val="0"/>
        </w:rPr>
        <w:t>. Qualitative contraries are located as sources of natural bodily action.</w:t>
      </w:r>
    </w:p>
    <w:p>
      <w:pPr>
        <w:ind w:left="187" w:hanging="187"/>
      </w:pPr>
      <w:r>
        <w:t xml:space="preserve">• </w:t>
      </w:r>
      <w:r>
        <w:rPr>
          <w:b/>
          <w:i w:val="0"/>
        </w:rPr>
        <w:t>I.3.23, PDF 44–45</w:t>
      </w:r>
      <w:r>
        <w:rPr>
          <w:b w:val="0"/>
          <w:i w:val="0"/>
        </w:rPr>
        <w:t>. Life reconciles conflicting constituents within an organism.</w:t>
      </w:r>
    </w:p>
    <w:p>
      <w:pPr>
        <w:ind w:left="187" w:hanging="187"/>
      </w:pPr>
      <w:r>
        <w:t xml:space="preserve">• </w:t>
      </w:r>
      <w:r>
        <w:rPr>
          <w:b/>
          <w:i w:val="0"/>
        </w:rPr>
        <w:t>I.6.1–3, PDF 82–83</w:t>
      </w:r>
      <w:r>
        <w:rPr>
          <w:b w:val="0"/>
          <w:i w:val="0"/>
        </w:rPr>
        <w:t>. Immobile multiplicity mediates between mobile multiplicity and immobile unity.</w:t>
      </w:r>
    </w:p>
    <w:p>
      <w:pPr>
        <w:widowControl/>
      </w:pPr>
      <w:r>
        <w:rPr>
          <w:b/>
          <w:i w:val="0"/>
        </w:rPr>
        <w:t>Further passage references.</w:t>
      </w:r>
      <w:r>
        <w:rPr>
          <w:b w:val="0"/>
          <w:i w:val="0"/>
        </w:rPr>
        <w:t xml:space="preserve"> I.2.8 (PDF pp. 22–23); I.3.9, I.3.23, I.3.33 (pp. 34–35, 44–45, 52–53); I.6.1–I.6.3 (pp. 82–83)</w:t>
      </w:r>
    </w:p>
    <w:p>
      <w:pPr>
        <w:keepNext/>
        <w:widowControl/>
      </w:pPr>
      <w:r>
        <w:rPr>
          <w:b/>
          <w:i w:val="0"/>
        </w:rPr>
        <w:t>In this edition.</w:t>
      </w:r>
    </w:p>
    <w:p>
      <w:pPr>
        <w:widowControl/>
      </w:pPr>
      <w:r>
        <w:t>“</w:t>
      </w:r>
      <w:r>
        <w:rPr>
          <w:b w:val="0"/>
          <w:i w:val="0"/>
        </w:rPr>
        <w:t>Opposed</w:t>
      </w:r>
      <w:r>
        <w:t>”</w:t>
      </w:r>
      <w:r>
        <w:rPr>
          <w:b w:val="0"/>
          <w:i w:val="0"/>
        </w:rPr>
        <w:t xml:space="preserve"> should retain the relevant respect. Heat versus cold differs from unity versus multiplicity and from mobility versus immobility; I.6.1 needs two independent contrasts to motivate an intermediate.</w:t>
      </w:r>
    </w:p>
    <w:p>
      <w:pPr>
        <w:keepNext/>
        <w:widowControl/>
      </w:pPr>
      <w:r>
        <w:rPr>
          <w:b/>
          <w:i w:val="0"/>
        </w:rPr>
        <w:t>See also.</w:t>
      </w:r>
    </w:p>
    <w:p>
      <w:pPr>
        <w:widowControl/>
      </w:pPr>
      <w:hyperlink w:anchor="quality">
        <w:r>
          <w:rPr>
            <w:color w:val="000000"/>
          </w:rPr>
          <w:t xml:space="preserve">Quality</w:t>
        </w:r>
      </w:hyperlink>
      <w:r>
        <w:rPr>
          <w:b w:val="0"/>
          <w:i w:val="0"/>
        </w:rPr>
        <w:t xml:space="preserve">; </w:t>
      </w:r>
      <w:hyperlink w:anchor="life">
        <w:r>
          <w:rPr>
            <w:color w:val="000000"/>
          </w:rPr>
          <w:t xml:space="preserve">Life</w:t>
        </w:r>
      </w:hyperlink>
      <w:r>
        <w:rPr>
          <w:b w:val="0"/>
          <w:i w:val="0"/>
        </w:rPr>
        <w:t xml:space="preserve">; </w:t>
      </w:r>
      <w:hyperlink w:anchor="degree-and-mediation">
        <w:r>
          <w:rPr>
            <w:color w:val="000000"/>
          </w:rPr>
          <w:t xml:space="preserve">Degree and mediation</w:t>
        </w:r>
      </w:hyperlink>
      <w:r>
        <w:rPr>
          <w:b w:val="0"/>
          <w:i w:val="0"/>
        </w:rPr>
        <w:t xml:space="preserve">; </w:t>
      </w:r>
      <w:hyperlink w:anchor="unity-and-multiplicity">
        <w:r>
          <w:rPr>
            <w:color w:val="000000"/>
          </w:rPr>
          <w:t xml:space="preserve">Unity and multiplicity</w:t>
        </w:r>
      </w:hyperlink>
    </w:p>
    <w:p>
      <w:bookmarkStart w:id="70" w:name="counsel-and-settled-skill"/>
      <w:pPr>
        <w:pStyle w:val="Heading2"/>
      </w:pPr>
      <w:r>
        <w:rPr>
          <w:b w:val="0"/>
          <w:i w:val="0"/>
        </w:rPr>
        <w:t>Counsel and settled skill</w:t>
      </w:r>
      <w:bookmarkEnd w:id="70"/>
    </w:p>
    <w:p>
      <w:pPr>
        <w:keepNext/>
        <w:widowControl/>
      </w:pPr>
      <w:r>
        <w:rPr>
          <w:b/>
          <w:i w:val="0"/>
        </w:rPr>
        <w:t>Latin:</w:t>
      </w:r>
      <w:r>
        <w:rPr>
          <w:b w:val="0"/>
          <w:i w:val="0"/>
        </w:rPr>
        <w:t xml:space="preserve"> </w:t>
      </w:r>
      <w:r>
        <w:rPr>
          <w:b w:val="0"/>
          <w:i/>
        </w:rPr>
        <w:t>consilium; consultare; callere; habitus; mora; transgressio; retractatio; per translationem</w:t>
      </w:r>
    </w:p>
    <w:p>
      <w:pPr>
        <w:keepNext/>
        <w:widowControl/>
      </w:pPr>
      <w:r>
        <w:rPr>
          <w:b/>
          <w:i w:val="0"/>
        </w:rPr>
        <w:t>The word.</w:t>
      </w:r>
    </w:p>
    <w:p>
      <w:pPr>
        <w:widowControl/>
      </w:pPr>
      <w:r>
        <w:rPr>
          <w:b w:val="0"/>
          <w:i w:val="0"/>
        </w:rPr>
        <w:t>Consilium is counsel or deliberative planning; consultare is to deliberate; callere to be thoroughly skilled. Habitus names settled acquired proficiency. Per translationem explicitly marks a transfer of expression or metaphor.</w:t>
      </w:r>
    </w:p>
    <w:p>
      <w:pPr>
        <w:keepNext/>
        <w:widowControl/>
      </w:pPr>
      <w:r>
        <w:rPr>
          <w:b/>
          <w:i w:val="0"/>
        </w:rPr>
        <w:t>In the Platonic Theology.</w:t>
      </w:r>
    </w:p>
    <w:p>
      <w:pPr>
        <w:widowControl/>
      </w:pPr>
      <w:r>
        <w:rPr>
          <w:b w:val="0"/>
          <w:i w:val="0"/>
        </w:rPr>
        <w:t xml:space="preserve">Ficino anticipates a difficulty in calling natural order the result of counsel. Human deliberation can imply uncertainty, delay, departure from a plan, and reconsideration. He denies those features to the directing intelligence. </w:t>
      </w:r>
      <w:r>
        <w:t>“</w:t>
      </w:r>
      <w:r>
        <w:rPr>
          <w:b w:val="0"/>
          <w:i w:val="0"/>
        </w:rPr>
        <w:t>Counsel</w:t>
      </w:r>
      <w:r>
        <w:t>”</w:t>
      </w:r>
      <w:r>
        <w:rPr>
          <w:b w:val="0"/>
          <w:i w:val="0"/>
        </w:rPr>
        <w:t xml:space="preserve"> is used by metaphor because some things are done for the sake of others, not because the maker investigates one thing from another. The accomplished craftsperson supplies an intermediate example: a perfected skill acts readily from its settled disposition, whereas the unskilled deliberate. This does not deny all human reasoning or claim that any impulsive action is expert. Its purpose is to separate intelligent purposiveness from hesitant, successive inquiry. Human rational soul will still be defined as knowing through temporal discourse.</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II.13.17 (Latin PDF p. 228; English PDF p. 229).</w:t>
      </w:r>
      <w:r>
        <w:rPr>
          <w:b w:val="0"/>
          <w:i w:val="0"/>
        </w:rPr>
        <w:t xml:space="preserve"> Better counsel than the imagined human planner is inferred from natural order.</w:t>
      </w:r>
    </w:p>
    <w:p>
      <w:pPr>
        <w:ind w:left="187" w:hanging="187"/>
      </w:pPr>
      <w:r>
        <w:t xml:space="preserve">• </w:t>
      </w:r>
      <w:r>
        <w:rPr>
          <w:b/>
          <w:i w:val="0"/>
        </w:rPr>
        <w:t>II.13.18 (Latin PDF p. 228; English PDF p. 229).</w:t>
      </w:r>
      <w:r>
        <w:rPr>
          <w:b w:val="0"/>
          <w:i w:val="0"/>
        </w:rPr>
        <w:t xml:space="preserve"> Ficino expressly defines the metaphor and contrasts acquired skill with deliberation.</w:t>
      </w:r>
    </w:p>
    <w:p>
      <w:pPr>
        <w:ind w:left="187" w:hanging="187"/>
      </w:pPr>
      <w:r>
        <w:t xml:space="preserve">• </w:t>
      </w:r>
      <w:r>
        <w:rPr>
          <w:b/>
          <w:i w:val="0"/>
        </w:rPr>
        <w:t>III.2.29 (Latin PDF p. 278; English PDF p. 279).</w:t>
      </w:r>
      <w:r>
        <w:rPr>
          <w:b w:val="0"/>
          <w:i w:val="0"/>
        </w:rPr>
        <w:t xml:space="preserve"> Temporal discourse remains proper to rational soul’s operation.</w:t>
      </w:r>
    </w:p>
    <w:p>
      <w:pPr>
        <w:keepNext/>
        <w:widowControl/>
      </w:pPr>
      <w:r>
        <w:rPr>
          <w:b/>
          <w:i w:val="0"/>
        </w:rPr>
        <w:t>In this edition.</w:t>
      </w:r>
    </w:p>
    <w:p>
      <w:pPr>
        <w:widowControl/>
      </w:pPr>
      <w:r>
        <w:rPr>
          <w:b w:val="0"/>
          <w:i w:val="0"/>
        </w:rPr>
        <w:t xml:space="preserve">The edition’s </w:t>
      </w:r>
      <w:r>
        <w:t>“</w:t>
      </w:r>
      <w:r>
        <w:rPr>
          <w:b w:val="0"/>
          <w:i w:val="0"/>
        </w:rPr>
        <w:t>settled skill</w:t>
      </w:r>
      <w:r>
        <w:t>”</w:t>
      </w:r>
      <w:r>
        <w:rPr>
          <w:b w:val="0"/>
          <w:i w:val="0"/>
        </w:rPr>
        <w:t xml:space="preserve"> for habitu distinguishes this use from </w:t>
      </w:r>
      <w:r>
        <w:t>“</w:t>
      </w:r>
      <w:r>
        <w:rPr>
          <w:b w:val="0"/>
          <w:i w:val="0"/>
        </w:rPr>
        <w:t>possession</w:t>
      </w:r>
      <w:r>
        <w:t>”</w:t>
      </w:r>
      <w:r>
        <w:rPr>
          <w:b w:val="0"/>
          <w:i w:val="0"/>
        </w:rPr>
        <w:t xml:space="preserve"> and </w:t>
      </w:r>
      <w:r>
        <w:t>“</w:t>
      </w:r>
      <w:r>
        <w:rPr>
          <w:b w:val="0"/>
          <w:i w:val="0"/>
        </w:rPr>
        <w:t>state</w:t>
      </w:r>
      <w:r>
        <w:t>”</w:t>
      </w:r>
      <w:r>
        <w:rPr>
          <w:b w:val="0"/>
          <w:i w:val="0"/>
        </w:rPr>
        <w:t xml:space="preserve"> elsewhere. </w:t>
      </w:r>
      <w:r>
        <w:t>“</w:t>
      </w:r>
      <w:r>
        <w:rPr>
          <w:b w:val="0"/>
          <w:i w:val="0"/>
        </w:rPr>
        <w:t>Intuition</w:t>
      </w:r>
      <w:r>
        <w:t>”</w:t>
      </w:r>
      <w:r>
        <w:rPr>
          <w:b w:val="0"/>
          <w:i w:val="0"/>
        </w:rPr>
        <w:t xml:space="preserve"> here translates intuitus, a direct intellectual apprehension; it need not mean an unsupported hunch.</w:t>
      </w:r>
    </w:p>
    <w:p>
      <w:pPr>
        <w:keepNext/>
        <w:widowControl/>
      </w:pPr>
      <w:r>
        <w:rPr>
          <w:b/>
          <w:i w:val="0"/>
        </w:rPr>
        <w:t>See also.</w:t>
      </w:r>
    </w:p>
    <w:p>
      <w:pPr>
        <w:widowControl/>
      </w:pPr>
      <w:hyperlink w:anchor="intuition-and-discourse">
        <w:r>
          <w:rPr>
            <w:color w:val="000000"/>
          </w:rPr>
          <w:t xml:space="preserve">Intuition and discourse</w:t>
        </w:r>
      </w:hyperlink>
      <w:r>
        <w:rPr>
          <w:b w:val="0"/>
          <w:i w:val="0"/>
        </w:rPr>
        <w:t xml:space="preserve">; </w:t>
      </w:r>
      <w:hyperlink w:anchor="habitual-possession">
        <w:r>
          <w:rPr>
            <w:color w:val="000000"/>
          </w:rPr>
          <w:t xml:space="preserve">Habitual possession</w:t>
        </w:r>
      </w:hyperlink>
      <w:r>
        <w:rPr>
          <w:b w:val="0"/>
          <w:i w:val="0"/>
        </w:rPr>
        <w:t xml:space="preserve">; </w:t>
      </w:r>
      <w:hyperlink w:anchor="art-and-nature">
        <w:r>
          <w:rPr>
            <w:color w:val="000000"/>
          </w:rPr>
          <w:t xml:space="preserve">Art and nature</w:t>
        </w:r>
      </w:hyperlink>
      <w:r>
        <w:rPr>
          <w:b w:val="0"/>
          <w:i w:val="0"/>
        </w:rPr>
        <w:t xml:space="preserve">; </w:t>
      </w:r>
      <w:hyperlink w:anchor="possession-and-privation">
        <w:r>
          <w:rPr>
            <w:color w:val="000000"/>
          </w:rPr>
          <w:t xml:space="preserve">Possession and privation</w:t>
        </w:r>
      </w:hyperlink>
      <w:r>
        <w:rPr>
          <w:b w:val="0"/>
          <w:i w:val="0"/>
        </w:rPr>
        <w:t>.</w:t>
      </w:r>
    </w:p>
    <w:p>
      <w:bookmarkStart w:id="71" w:name="counting-and-collective-intuition"/>
      <w:pPr>
        <w:pStyle w:val="Heading2"/>
      </w:pPr>
      <w:r>
        <w:rPr>
          <w:b w:val="0"/>
          <w:i w:val="0"/>
        </w:rPr>
        <w:t>Counting and collective intuition</w:t>
      </w:r>
      <w:bookmarkEnd w:id="71"/>
    </w:p>
    <w:p>
      <w:pPr>
        <w:keepNext/>
        <w:widowControl/>
      </w:pPr>
      <w:r>
        <w:rPr>
          <w:b/>
          <w:i w:val="0"/>
        </w:rPr>
        <w:t>Latin:</w:t>
      </w:r>
      <w:r>
        <w:rPr>
          <w:b w:val="0"/>
          <w:i w:val="0"/>
        </w:rPr>
        <w:t xml:space="preserve"> gradatim enumerando; intuendo summatim; actu unico; ratione multiplicem; omniformem; unicolor; omnicolorem</w:t>
      </w:r>
    </w:p>
    <w:p>
      <w:pPr>
        <w:keepNext/>
        <w:widowControl/>
      </w:pPr>
      <w:r>
        <w:rPr>
          <w:b/>
          <w:i w:val="0"/>
        </w:rPr>
        <w:t>The word.</w:t>
      </w:r>
    </w:p>
    <w:p>
      <w:pPr>
        <w:widowControl/>
      </w:pPr>
      <w:r>
        <w:rPr>
          <w:b w:val="0"/>
          <w:i w:val="0"/>
        </w:rPr>
        <w:t>Enumerare counts off or lists; gradatim means step by step; summatim can mean collectively or in a gathered view. Omniformis is containing every form, not shapeless; unicolor and omnicolor make the corresponding contrast of one color and every color.</w:t>
      </w:r>
    </w:p>
    <w:p>
      <w:pPr>
        <w:keepNext/>
        <w:widowControl/>
      </w:pPr>
      <w:r>
        <w:rPr>
          <w:b/>
          <w:i w:val="0"/>
        </w:rPr>
        <w:t>In the Platonic Theology.</w:t>
      </w:r>
    </w:p>
    <w:p>
      <w:pPr>
        <w:widowControl/>
      </w:pPr>
      <w:r>
        <w:rPr>
          <w:b w:val="0"/>
          <w:i w:val="0"/>
        </w:rPr>
        <w:t xml:space="preserve">The final response in II.10 distinguishes an infinite multitude of objects from an infinite task performed by successive counting. God does not enumerate them one after another. He sees them through one form in one act, as simple in essence while in a certain respect multiple according to reason. </w:t>
      </w:r>
      <w:r>
        <w:t>“</w:t>
      </w:r>
      <w:r>
        <w:rPr>
          <w:b w:val="0"/>
          <w:i w:val="0"/>
        </w:rPr>
        <w:t>As finite</w:t>
      </w:r>
      <w:r>
        <w:t>”</w:t>
      </w:r>
      <w:r>
        <w:rPr>
          <w:b w:val="0"/>
          <w:i w:val="0"/>
        </w:rPr>
        <w:t xml:space="preserve"> is immediately glossed by this distinction; it is not the claim that an infinite collection has suddenly acquired a last member.</w:t>
      </w:r>
    </w:p>
    <w:p>
      <w:pPr>
        <w:widowControl/>
      </w:pPr>
      <w:r>
        <w:rPr>
          <w:b w:val="0"/>
          <w:i w:val="0"/>
        </w:rPr>
        <w:t xml:space="preserve">The solar analogy makes the point differently: light, called one-colored </w:t>
      </w:r>
      <w:r>
        <w:t>“</w:t>
      </w:r>
      <w:r>
        <w:rPr>
          <w:b w:val="0"/>
          <w:i w:val="0"/>
        </w:rPr>
        <w:t>so to speak,</w:t>
      </w:r>
      <w:r>
        <w:t>”</w:t>
      </w:r>
      <w:r>
        <w:rPr>
          <w:b w:val="0"/>
          <w:i w:val="0"/>
        </w:rPr>
        <w:t xml:space="preserve"> might perceive itself as every-colored because it is the source of colors. Similarly, God’s one form is regarded as all-formed through power and a certain respect. Both qualifications matter: the passage distinguishes productive capacity and intelligible relation from an aggregate of separate formal pieces.</w:t>
      </w:r>
    </w:p>
    <w:p>
      <w:pPr>
        <w:keepNext/>
        <w:widowControl/>
      </w:pPr>
      <w:r>
        <w:rPr>
          <w:b/>
          <w:i w:val="0"/>
        </w:rPr>
        <w:t>The places.</w:t>
      </w:r>
    </w:p>
    <w:p>
      <w:pPr>
        <w:ind w:left="187" w:hanging="187"/>
      </w:pPr>
      <w:r>
        <w:t xml:space="preserve">• </w:t>
      </w:r>
      <w:r>
        <w:rPr>
          <w:b w:val="0"/>
          <w:i w:val="0"/>
        </w:rPr>
        <w:t>II.10.8, II.10.9 (PDF pp. 178–179): Self-comprehension is distinguished from being bounded by another</w:t>
      </w:r>
    </w:p>
    <w:p>
      <w:pPr>
        <w:ind w:left="187" w:hanging="187"/>
      </w:pPr>
      <w:r>
        <w:t xml:space="preserve">• </w:t>
      </w:r>
      <w:r>
        <w:rPr>
          <w:b w:val="0"/>
          <w:i w:val="0"/>
        </w:rPr>
        <w:t>II.10.10, II.10.11, II.10.12 (PDF pp. 180–181): Collective intuition, all-form, and the one-colored/all-colored analogy close the answer</w:t>
      </w:r>
    </w:p>
    <w:p>
      <w:pPr>
        <w:keepNext/>
        <w:widowControl/>
      </w:pPr>
      <w:r>
        <w:rPr>
          <w:b/>
          <w:i w:val="0"/>
        </w:rPr>
        <w:t>In this edition.</w:t>
      </w:r>
    </w:p>
    <w:p>
      <w:pPr>
        <w:widowControl/>
      </w:pPr>
      <w:r>
        <w:t>“</w:t>
      </w:r>
      <w:r>
        <w:rPr>
          <w:b w:val="0"/>
          <w:i w:val="0"/>
        </w:rPr>
        <w:t>Collectively by intuition</w:t>
      </w:r>
      <w:r>
        <w:t>”</w:t>
      </w:r>
      <w:r>
        <w:rPr>
          <w:b w:val="0"/>
          <w:i w:val="0"/>
        </w:rPr>
        <w:t xml:space="preserve"> renders intuendo summatim. Summatim should not imply a vague summary omitting details: the preceding argument repeatedly insists on distinct knowledge. </w:t>
      </w:r>
      <w:r>
        <w:t>“</w:t>
      </w:r>
      <w:r>
        <w:rPr>
          <w:b w:val="0"/>
          <w:i w:val="0"/>
        </w:rPr>
        <w:t>So to speak</w:t>
      </w:r>
      <w:r>
        <w:t>”</w:t>
      </w:r>
      <w:r>
        <w:rPr>
          <w:b w:val="0"/>
          <w:i w:val="0"/>
        </w:rPr>
        <w:t xml:space="preserve"> qualifies unicolor in the Latin.</w:t>
      </w:r>
    </w:p>
    <w:p>
      <w:pPr>
        <w:keepNext/>
        <w:widowControl/>
      </w:pPr>
      <w:r>
        <w:rPr>
          <w:b/>
          <w:i w:val="0"/>
        </w:rPr>
        <w:t>See also.</w:t>
      </w:r>
    </w:p>
    <w:p>
      <w:pPr>
        <w:widowControl/>
      </w:pPr>
      <w:hyperlink w:anchor="infinity">
        <w:r>
          <w:rPr>
            <w:color w:val="000000"/>
          </w:rPr>
          <w:t xml:space="preserve">Infinity</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form">
        <w:r>
          <w:rPr>
            <w:color w:val="000000"/>
          </w:rPr>
          <w:t xml:space="preserve">Form</w:t>
        </w:r>
      </w:hyperlink>
      <w:r>
        <w:rPr>
          <w:b w:val="0"/>
          <w:i w:val="0"/>
        </w:rPr>
        <w:t xml:space="preserve">; </w:t>
      </w:r>
      <w:hyperlink w:anchor="light-and-illumination">
        <w:r>
          <w:rPr>
            <w:color w:val="000000"/>
          </w:rPr>
          <w:t xml:space="preserve">Light and illumination</w:t>
        </w:r>
      </w:hyperlink>
      <w:r>
        <w:rPr>
          <w:b w:val="0"/>
          <w:i w:val="0"/>
        </w:rPr>
        <w:t>.</w:t>
      </w:r>
    </w:p>
    <w:p>
      <w:bookmarkStart w:id="72" w:name="craftsman-and-father"/>
      <w:pPr>
        <w:pStyle w:val="Heading2"/>
      </w:pPr>
      <w:r>
        <w:rPr>
          <w:b w:val="0"/>
          <w:i w:val="0"/>
        </w:rPr>
        <w:t>Craftsman and father</w:t>
      </w:r>
      <w:bookmarkEnd w:id="72"/>
    </w:p>
    <w:p>
      <w:pPr>
        <w:keepNext/>
        <w:widowControl/>
      </w:pPr>
      <w:r>
        <w:rPr>
          <w:b/>
          <w:i w:val="0"/>
        </w:rPr>
        <w:t>Latin:</w:t>
      </w:r>
      <w:r>
        <w:rPr>
          <w:b w:val="0"/>
          <w:i w:val="0"/>
        </w:rPr>
        <w:t xml:space="preserve"> </w:t>
      </w:r>
      <w:r>
        <w:rPr>
          <w:b w:val="0"/>
          <w:i/>
        </w:rPr>
        <w:t>faber; genitor; filius; materia externa; materia intrinseca; fecunditas; proclivitas</w:t>
      </w:r>
    </w:p>
    <w:p>
      <w:pPr>
        <w:keepNext/>
        <w:widowControl/>
      </w:pPr>
      <w:r>
        <w:rPr>
          <w:b/>
          <w:i w:val="0"/>
        </w:rPr>
        <w:t>The word.</w:t>
      </w:r>
    </w:p>
    <w:p>
      <w:pPr>
        <w:widowControl/>
      </w:pPr>
      <w:r>
        <w:rPr>
          <w:b w:val="0"/>
          <w:i w:val="0"/>
        </w:rPr>
        <w:t>Faber is a craftsman; genitor a begetter or father; filius a son. External and internal material distinguish what a maker works on from what a parent supplies in generation. Fecunditas is fruitfulness; proclivitas an inclination or readiness to act.</w:t>
      </w:r>
    </w:p>
    <w:p>
      <w:pPr>
        <w:keepNext/>
        <w:widowControl/>
      </w:pPr>
      <w:r>
        <w:rPr>
          <w:b/>
          <w:i w:val="0"/>
        </w:rPr>
        <w:t>In the Platonic Theology.</w:t>
      </w:r>
    </w:p>
    <w:p>
      <w:pPr>
        <w:widowControl/>
      </w:pPr>
      <w:r>
        <w:rPr>
          <w:b w:val="0"/>
          <w:i w:val="0"/>
        </w:rPr>
        <w:t>Ficino builds an ascending comparison of attachment to a product. The craftsman loves what he has made from external material. The father loves the son more, having begotten him from internal material, although that material was itself received through eating. God’s relation is fuller still, because he makes both the matter and the form rather than receiving either elsewhere. The comparison supports care as well as production: the cause of the complete work wills the work’s good. Its force depends on a contrast, not an identification. God is not said here to eat or generate bodies from a bodily substance of his own. The account of parental material belongs to Ficino’s historical physiology and is not evidence for a modern account of reproduction.</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II.13.1 (Latin PDF p. 216; English PDF p. 217).</w:t>
      </w:r>
      <w:r>
        <w:rPr>
          <w:b w:val="0"/>
          <w:i w:val="0"/>
        </w:rPr>
        <w:t xml:space="preserve"> Love of divine works follows from divine self-love.</w:t>
      </w:r>
    </w:p>
    <w:p>
      <w:pPr>
        <w:ind w:left="187" w:hanging="187"/>
      </w:pPr>
      <w:r>
        <w:t xml:space="preserve">• </w:t>
      </w:r>
      <w:r>
        <w:rPr>
          <w:b/>
          <w:i w:val="0"/>
        </w:rPr>
        <w:t>II.13.2 (Latin PDF p. 216; English PDF p. 217).</w:t>
      </w:r>
      <w:r>
        <w:rPr>
          <w:b w:val="0"/>
          <w:i w:val="0"/>
        </w:rPr>
        <w:t xml:space="preserve"> Craftsman, father, and creator supply three different relations to material and product.</w:t>
      </w:r>
    </w:p>
    <w:p>
      <w:pPr>
        <w:keepNext/>
        <w:widowControl/>
      </w:pPr>
      <w:r>
        <w:rPr>
          <w:b/>
          <w:i w:val="0"/>
        </w:rPr>
        <w:t>In this edition.</w:t>
      </w:r>
    </w:p>
    <w:p>
      <w:pPr>
        <w:widowControl/>
      </w:pPr>
      <w:r>
        <w:rPr>
          <w:b w:val="0"/>
          <w:i w:val="0"/>
        </w:rPr>
        <w:t xml:space="preserve">The translation’s </w:t>
      </w:r>
      <w:r>
        <w:t>“</w:t>
      </w:r>
      <w:r>
        <w:rPr>
          <w:b w:val="0"/>
          <w:i w:val="0"/>
        </w:rPr>
        <w:t>material within himself</w:t>
      </w:r>
      <w:r>
        <w:t>”</w:t>
      </w:r>
      <w:r>
        <w:rPr>
          <w:b w:val="0"/>
          <w:i w:val="0"/>
        </w:rPr>
        <w:t xml:space="preserve"> preserves intrinseca while retaining the next qualification that the parent received it from elsewhere. Omitting that qualification would erase precisely the dependence that distinguishes the father from the creator.</w:t>
      </w:r>
    </w:p>
    <w:p>
      <w:pPr>
        <w:keepNext/>
        <w:widowControl/>
      </w:pPr>
      <w:r>
        <w:rPr>
          <w:b/>
          <w:i w:val="0"/>
        </w:rPr>
        <w:t>See also.</w:t>
      </w:r>
    </w:p>
    <w:p>
      <w:pPr>
        <w:widowControl/>
      </w:pPr>
      <w:hyperlink w:anchor="creation">
        <w:r>
          <w:rPr>
            <w:color w:val="000000"/>
          </w:rPr>
          <w:t xml:space="preserve">Creation</w:t>
        </w:r>
      </w:hyperlink>
      <w:r>
        <w:rPr>
          <w:b w:val="0"/>
          <w:i w:val="0"/>
        </w:rPr>
        <w:t xml:space="preserve">; </w:t>
      </w:r>
      <w:hyperlink w:anchor="care-and-custody">
        <w:r>
          <w:rPr>
            <w:color w:val="000000"/>
          </w:rPr>
          <w:t xml:space="preserve">Care and custody</w:t>
        </w:r>
      </w:hyperlink>
      <w:r>
        <w:rPr>
          <w:b w:val="0"/>
          <w:i w:val="0"/>
        </w:rPr>
        <w:t xml:space="preserve">; </w:t>
      </w:r>
      <w:hyperlink w:anchor="love-and-pleasure">
        <w:r>
          <w:rPr>
            <w:color w:val="000000"/>
          </w:rPr>
          <w:t xml:space="preserve">Love and pleasure</w:t>
        </w:r>
      </w:hyperlink>
      <w:r>
        <w:rPr>
          <w:b w:val="0"/>
          <w:i w:val="0"/>
        </w:rPr>
        <w:t xml:space="preserve">; </w:t>
      </w:r>
      <w:hyperlink w:anchor="art-and-nature">
        <w:r>
          <w:rPr>
            <w:color w:val="000000"/>
          </w:rPr>
          <w:t xml:space="preserve">Art and nature</w:t>
        </w:r>
      </w:hyperlink>
      <w:r>
        <w:rPr>
          <w:b w:val="0"/>
          <w:i w:val="0"/>
        </w:rPr>
        <w:t>.</w:t>
      </w:r>
    </w:p>
    <w:p>
      <w:bookmarkStart w:id="73" w:name="creation"/>
      <w:pPr>
        <w:pStyle w:val="Heading2"/>
      </w:pPr>
      <w:r>
        <w:rPr>
          <w:b w:val="0"/>
          <w:i w:val="0"/>
        </w:rPr>
        <w:t>Creation</w:t>
      </w:r>
      <w:bookmarkEnd w:id="73"/>
    </w:p>
    <w:p>
      <w:pPr>
        <w:keepNext/>
        <w:widowControl/>
      </w:pPr>
      <w:r>
        <w:rPr>
          <w:b/>
          <w:i w:val="0"/>
        </w:rPr>
        <w:t>Latin:</w:t>
      </w:r>
      <w:r>
        <w:rPr>
          <w:b w:val="0"/>
          <w:i w:val="0"/>
        </w:rPr>
        <w:t xml:space="preserve"> </w:t>
      </w:r>
      <w:r>
        <w:rPr>
          <w:b w:val="0"/>
          <w:i/>
        </w:rPr>
        <w:t>creare</w:t>
      </w:r>
      <w:r>
        <w:rPr>
          <w:b w:val="0"/>
          <w:i w:val="0"/>
        </w:rPr>
        <w:t xml:space="preserve">; </w:t>
      </w:r>
      <w:r>
        <w:rPr>
          <w:b w:val="0"/>
          <w:i/>
        </w:rPr>
        <w:t>creatio</w:t>
      </w:r>
      <w:r>
        <w:rPr>
          <w:b w:val="0"/>
          <w:i w:val="0"/>
        </w:rPr>
        <w:t xml:space="preserve">; </w:t>
      </w:r>
      <w:r>
        <w:rPr>
          <w:b w:val="0"/>
          <w:i/>
        </w:rPr>
        <w:t>ex nihilo</w:t>
      </w:r>
      <w:r>
        <w:rPr>
          <w:b w:val="0"/>
          <w:i w:val="0"/>
        </w:rPr>
        <w:t xml:space="preserve">; </w:t>
      </w:r>
      <w:r>
        <w:rPr>
          <w:b w:val="0"/>
          <w:i/>
        </w:rPr>
        <w:t>ex nullo antiquiore subiecto</w:t>
      </w:r>
      <w:r>
        <w:rPr>
          <w:b w:val="0"/>
          <w:i w:val="0"/>
        </w:rPr>
        <w:t xml:space="preserve">; </w:t>
      </w:r>
      <w:r>
        <w:rPr>
          <w:b w:val="0"/>
          <w:i/>
        </w:rPr>
        <w:t>efficere</w:t>
      </w:r>
    </w:p>
    <w:p>
      <w:pPr>
        <w:keepNext/>
        <w:widowControl/>
      </w:pPr>
      <w:r>
        <w:rPr>
          <w:b/>
          <w:i w:val="0"/>
        </w:rPr>
        <w:t>The word.</w:t>
      </w:r>
    </w:p>
    <w:p>
      <w:pPr>
        <w:widowControl/>
      </w:pPr>
      <w:r>
        <w:rPr>
          <w:b w:val="0"/>
          <w:i w:val="0"/>
        </w:rPr>
        <w:t>Creare and creatio concern divine production; ex nihilo and ex nullo antiquiore subiecto specify the absence of prior material. Efficere is broader and can also name subordinate production.</w:t>
      </w:r>
    </w:p>
    <w:p>
      <w:pPr>
        <w:keepNext/>
        <w:widowControl/>
      </w:pPr>
      <w:r>
        <w:rPr>
          <w:b/>
          <w:i w:val="0"/>
        </w:rPr>
        <w:t>In the Platonic Theology.</w:t>
      </w:r>
    </w:p>
    <w:p>
      <w:pPr>
        <w:widowControl/>
      </w:pPr>
      <w:r>
        <w:rPr>
          <w:b w:val="0"/>
          <w:i w:val="0"/>
        </w:rPr>
        <w:t xml:space="preserve">Ficino distinguishes divine production from an agent’s alteration of material already available to it. Heating water presupposes a receptive capacity; what does not exist has no capacity waiting to receive actuality. God therefore requires immeasurable power to produce without a prior subject. His formulation allows either creating something anew out of nothing or continuously bringing forth and preserving primary matter and the essence of minds and souls. Consequently, </w:t>
      </w:r>
      <w:r>
        <w:rPr>
          <w:b w:val="0"/>
          <w:i/>
        </w:rPr>
        <w:t>ex nihilo</w:t>
      </w:r>
      <w:r>
        <w:rPr>
          <w:b w:val="0"/>
          <w:i w:val="0"/>
        </w:rPr>
        <w:t xml:space="preserve"> in this argument does not by itself specify a dated first event. The central point is radical dependence without borrowed material. II.6.2 links this distinctive causality to divine presence: wherever primary matter or spiritual essence subsists through God alone, their cause must be present. In II.7.21 God is called cause in the proper sense because he makes each thing wholly without another’s assistance or a loan of matter. Created things can themselves act, but do so by powers and being they receive.</w:t>
      </w:r>
    </w:p>
    <w:p>
      <w:pPr>
        <w:keepNext/>
        <w:widowControl/>
      </w:pPr>
      <w:r>
        <w:rPr>
          <w:b/>
          <w:i w:val="0"/>
        </w:rPr>
        <w:t>The places.</w:t>
      </w:r>
    </w:p>
    <w:p>
      <w:pPr>
        <w:ind w:left="187" w:hanging="187"/>
      </w:pPr>
      <w:r>
        <w:t xml:space="preserve">• </w:t>
      </w:r>
      <w:r>
        <w:rPr>
          <w:b/>
          <w:i w:val="0"/>
        </w:rPr>
        <w:t>II.4.5–6, PDF 124–125</w:t>
      </w:r>
      <w:r>
        <w:rPr>
          <w:b w:val="0"/>
          <w:i w:val="0"/>
        </w:rPr>
        <w:t>. No capacity to receive actuality belongs to what does not exist; production without prior subject exceeds material alteration.</w:t>
      </w:r>
    </w:p>
    <w:p>
      <w:pPr>
        <w:ind w:left="187" w:hanging="187"/>
      </w:pPr>
      <w:r>
        <w:t xml:space="preserve">• </w:t>
      </w:r>
      <w:r>
        <w:rPr>
          <w:b/>
          <w:i w:val="0"/>
        </w:rPr>
        <w:t>II.6.2, PDF 128–129</w:t>
      </w:r>
      <w:r>
        <w:rPr>
          <w:b w:val="0"/>
          <w:i w:val="0"/>
        </w:rPr>
        <w:t>. Primary matter and spiritual essence require God’s immediate creative presence.</w:t>
      </w:r>
    </w:p>
    <w:p>
      <w:pPr>
        <w:ind w:left="187" w:hanging="187"/>
      </w:pPr>
      <w:r>
        <w:t xml:space="preserve">• </w:t>
      </w:r>
      <w:r>
        <w:rPr>
          <w:b/>
          <w:i w:val="0"/>
        </w:rPr>
        <w:t>II.7.18–19, PDF 152–153</w:t>
      </w:r>
      <w:r>
        <w:rPr>
          <w:b w:val="0"/>
          <w:i w:val="0"/>
        </w:rPr>
        <w:t>. Beginningless duration is distinguished from independence of a preserving cause.</w:t>
      </w:r>
    </w:p>
    <w:p>
      <w:pPr>
        <w:widowControl/>
      </w:pPr>
      <w:r>
        <w:rPr>
          <w:b/>
          <w:i w:val="0"/>
        </w:rPr>
        <w:t>Further passage references.</w:t>
      </w:r>
      <w:r>
        <w:rPr>
          <w:b w:val="0"/>
          <w:i w:val="0"/>
        </w:rPr>
        <w:t xml:space="preserve"> II.4.5–6, pp. 124–125; II.6.2, pp. 128–129; II.7.18–21, pp. 152–153</w:t>
      </w:r>
    </w:p>
    <w:p>
      <w:pPr>
        <w:keepNext/>
        <w:widowControl/>
      </w:pPr>
      <w:r>
        <w:rPr>
          <w:b/>
          <w:i w:val="0"/>
        </w:rPr>
        <w:t>In this edition.</w:t>
      </w:r>
    </w:p>
    <w:p>
      <w:pPr>
        <w:widowControl/>
      </w:pPr>
      <w:r>
        <w:t>“</w:t>
      </w:r>
      <w:r>
        <w:rPr>
          <w:b w:val="0"/>
          <w:i w:val="0"/>
        </w:rPr>
        <w:t>Out of nothing</w:t>
      </w:r>
      <w:r>
        <w:t>”</w:t>
      </w:r>
      <w:r>
        <w:rPr>
          <w:b w:val="0"/>
          <w:i w:val="0"/>
        </w:rPr>
        <w:t xml:space="preserve"> does not make nothing a passive substrate. II.4.6 permits either newly creating or continuously producing and preserving without a prior subject, so the phrase alone does not settle a date of cosmic origin.</w:t>
      </w:r>
    </w:p>
    <w:p>
      <w:pPr>
        <w:keepNext/>
        <w:widowControl/>
      </w:pPr>
      <w:r>
        <w:rPr>
          <w:b/>
          <w:i w:val="0"/>
        </w:rPr>
        <w:t>See also.</w:t>
      </w:r>
    </w:p>
    <w:p>
      <w:pPr>
        <w:widowControl/>
      </w:pPr>
      <w:hyperlink w:anchor="matter">
        <w:r>
          <w:rPr>
            <w:color w:val="000000"/>
          </w:rPr>
          <w:t xml:space="preserve">Matter</w:t>
        </w:r>
      </w:hyperlink>
      <w:r>
        <w:rPr>
          <w:b w:val="0"/>
          <w:i w:val="0"/>
        </w:rPr>
        <w:t xml:space="preserve">; </w:t>
      </w:r>
      <w:hyperlink w:anchor="nothing-and-nonbeing">
        <w:r>
          <w:rPr>
            <w:color w:val="000000"/>
          </w:rPr>
          <w:t xml:space="preserve">Nothing and nonbeing</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cause">
        <w:r>
          <w:rPr>
            <w:color w:val="000000"/>
          </w:rPr>
          <w:t xml:space="preserve">Cause</w:t>
        </w:r>
      </w:hyperlink>
      <w:r>
        <w:rPr>
          <w:b w:val="0"/>
          <w:i w:val="0"/>
        </w:rPr>
        <w:t xml:space="preserve">; </w:t>
      </w:r>
      <w:hyperlink w:anchor="power-and-potency">
        <w:r>
          <w:rPr>
            <w:color w:val="000000"/>
          </w:rPr>
          <w:t xml:space="preserve">Power and potency</w:t>
        </w:r>
      </w:hyperlink>
    </w:p>
    <w:p>
      <w:bookmarkStart w:id="74" w:name="daemons"/>
      <w:pPr>
        <w:pStyle w:val="Heading2"/>
      </w:pPr>
      <w:r>
        <w:rPr>
          <w:b w:val="0"/>
          <w:i w:val="0"/>
        </w:rPr>
        <w:t>Daemons</w:t>
      </w:r>
      <w:bookmarkEnd w:id="74"/>
    </w:p>
    <w:p>
      <w:pPr>
        <w:keepNext/>
        <w:widowControl/>
      </w:pPr>
      <w:r>
        <w:rPr>
          <w:b/>
          <w:i w:val="0"/>
        </w:rPr>
        <w:t>Latin:</w:t>
      </w:r>
      <w:r>
        <w:rPr>
          <w:b w:val="0"/>
          <w:i w:val="0"/>
        </w:rPr>
        <w:t xml:space="preserve"> </w:t>
      </w:r>
      <w:r>
        <w:rPr>
          <w:b w:val="0"/>
          <w:i/>
        </w:rPr>
        <w:t>daemones</w:t>
      </w:r>
      <w:r>
        <w:rPr>
          <w:b w:val="0"/>
          <w:i w:val="0"/>
        </w:rPr>
        <w:t xml:space="preserve">; </w:t>
      </w:r>
      <w:r>
        <w:rPr>
          <w:b w:val="0"/>
          <w:i/>
        </w:rPr>
        <w:t>daemones aquei</w:t>
      </w:r>
      <w:r>
        <w:rPr>
          <w:b w:val="0"/>
          <w:i w:val="0"/>
        </w:rPr>
        <w:t xml:space="preserve">; </w:t>
      </w:r>
      <w:r>
        <w:rPr>
          <w:b w:val="0"/>
          <w:i/>
        </w:rPr>
        <w:t>Nereides</w:t>
      </w:r>
      <w:r>
        <w:rPr>
          <w:b w:val="0"/>
          <w:i w:val="0"/>
        </w:rPr>
        <w:t xml:space="preserve">; </w:t>
      </w:r>
      <w:r>
        <w:rPr>
          <w:b w:val="0"/>
          <w:i/>
        </w:rPr>
        <w:t>daemonum</w:t>
      </w:r>
    </w:p>
    <w:p>
      <w:pPr>
        <w:keepNext/>
        <w:widowControl/>
      </w:pPr>
      <w:r>
        <w:rPr>
          <w:b/>
          <w:i w:val="0"/>
        </w:rPr>
        <w:t>The word.</w:t>
      </w:r>
    </w:p>
    <w:p>
      <w:pPr>
        <w:widowControl/>
      </w:pPr>
      <w:r>
        <w:rPr>
          <w:b w:val="0"/>
          <w:i w:val="0"/>
        </w:rPr>
        <w:t>Daemon names an intermediate rational spirit within Ficino’s reported graded cosmology. Its body can be airy or watery; the term does not by itself mean a morally evil being.</w:t>
      </w:r>
    </w:p>
    <w:p>
      <w:pPr>
        <w:widowControl/>
      </w:pPr>
      <w:r>
        <w:rPr>
          <w:b w:val="0"/>
          <w:i w:val="0"/>
        </w:rPr>
        <w:t xml:space="preserve">The local vocabulary includes </w:t>
      </w:r>
      <w:r>
        <w:rPr>
          <w:b w:val="0"/>
          <w:i/>
        </w:rPr>
        <w:t>Nereides</w:t>
      </w:r>
      <w:r>
        <w:rPr>
          <w:b w:val="0"/>
          <w:i w:val="0"/>
        </w:rPr>
        <w:t xml:space="preserve">, </w:t>
      </w:r>
      <w:r>
        <w:rPr>
          <w:b w:val="0"/>
          <w:i/>
        </w:rPr>
        <w:t>exhalationibus</w:t>
      </w:r>
      <w:r>
        <w:rPr>
          <w:b w:val="0"/>
          <w:i w:val="0"/>
        </w:rPr>
        <w:t xml:space="preserve">, </w:t>
      </w:r>
      <w:r>
        <w:rPr>
          <w:b w:val="0"/>
          <w:i/>
        </w:rPr>
        <w:t>acutioribus oculis</w:t>
      </w:r>
      <w:r>
        <w:rPr>
          <w:b w:val="0"/>
          <w:i w:val="0"/>
        </w:rPr>
        <w:t xml:space="preserve">, </w:t>
      </w:r>
      <w:r>
        <w:rPr>
          <w:b w:val="0"/>
          <w:i/>
        </w:rPr>
        <w:t>videri</w:t>
      </w:r>
      <w:r>
        <w:rPr>
          <w:b w:val="0"/>
          <w:i w:val="0"/>
        </w:rPr>
        <w:t xml:space="preserve">, </w:t>
      </w:r>
      <w:r>
        <w:rPr>
          <w:b w:val="0"/>
          <w:i/>
        </w:rPr>
        <w:t>tangi</w:t>
      </w:r>
      <w:r>
        <w:rPr>
          <w:b w:val="0"/>
          <w:i w:val="0"/>
        </w:rPr>
        <w:t xml:space="preserve">, </w:t>
      </w:r>
      <w:r>
        <w:rPr>
          <w:b w:val="0"/>
          <w:i/>
        </w:rPr>
        <w:t>Perside</w:t>
      </w:r>
      <w:r>
        <w:rPr>
          <w:b w:val="0"/>
          <w:i w:val="0"/>
        </w:rPr>
        <w:t xml:space="preserve">, </w:t>
      </w:r>
      <w:r>
        <w:rPr>
          <w:b w:val="0"/>
          <w:i/>
        </w:rPr>
        <w:t>Africa</w:t>
      </w:r>
      <w:r>
        <w:rPr>
          <w:b w:val="0"/>
          <w:i w:val="0"/>
        </w:rPr>
        <w:t xml:space="preserve">, </w:t>
      </w:r>
      <w:r>
        <w:rPr>
          <w:b w:val="0"/>
          <w:i/>
        </w:rPr>
        <w:t>Tuscos</w:t>
      </w:r>
      <w:r>
        <w:rPr>
          <w:b w:val="0"/>
          <w:i w:val="0"/>
        </w:rPr>
        <w:t>: named beings, bodily constituents, perceptual conditions, and places of attributed reports are different lexical functions.</w:t>
      </w:r>
    </w:p>
    <w:p>
      <w:pPr>
        <w:keepNext/>
        <w:widowControl/>
      </w:pPr>
      <w:r>
        <w:rPr>
          <w:b/>
          <w:i w:val="0"/>
        </w:rPr>
        <w:t>In the Platonic Theology.</w:t>
      </w:r>
    </w:p>
    <w:p>
      <w:pPr>
        <w:widowControl/>
      </w:pPr>
      <w:r>
        <w:rPr>
          <w:b w:val="0"/>
          <w:i w:val="0"/>
        </w:rPr>
        <w:t xml:space="preserve">Book IV places rational living beings in different cosmic regions and presents aqueous daemons as examples in the purer exhalations of water. Their visibility or tangibility is explained through bodily composition: Ficino attributes claims about fiery content, earthly admixture, and regional appearances to Zoroaster and Porphyry. The point of the passage is to extend the gradation of purity, body, and rational soul beyond familiar land and aquatic animals. </w:t>
      </w:r>
      <w:r>
        <w:t>“</w:t>
      </w:r>
      <w:r>
        <w:rPr>
          <w:b w:val="0"/>
          <w:i w:val="0"/>
        </w:rPr>
        <w:t>Daemon</w:t>
      </w:r>
      <w:r>
        <w:t>”</w:t>
      </w:r>
      <w:r>
        <w:rPr>
          <w:b w:val="0"/>
          <w:i w:val="0"/>
        </w:rPr>
        <w:t xml:space="preserve"> should accordingly be retained as a historically situated category; the paragraph does not characterize these beings as evil in the modern sense suggested by </w:t>
      </w:r>
      <w:r>
        <w:t>“</w:t>
      </w:r>
      <w:r>
        <w:rPr>
          <w:b w:val="0"/>
          <w:i w:val="0"/>
        </w:rPr>
        <w:t>demon.</w:t>
      </w:r>
      <w:r>
        <w:t>”</w:t>
      </w:r>
      <w:r>
        <w:rPr>
          <w:b w:val="0"/>
          <w:i w:val="0"/>
        </w:rPr>
        <w:t xml:space="preserve"> They remain embodied souls, distinct from the unmixed intellectual lives called angels. They reappear in the closing circular-motion analogy alongside spheres, stars, and humans. The passage reports these beings within its graded cosmology without developing a comprehensive theory of spirits.</w:t>
      </w:r>
    </w:p>
    <w:p>
      <w:pPr>
        <w:widowControl/>
      </w:pPr>
      <w:r>
        <w:rPr>
          <w:b w:val="0"/>
          <w:i w:val="0"/>
        </w:rPr>
        <w:t>The Nereids are the watery daemons Orpheus is said to name. Zoroaster is assigned the claim that some are visible to sharper eyes, especially in Persia and Africa. Porphyry adds a distinction: fire in the watery body explains visibility, and added earth explains tangibility, with Tuscan examples placed in his own time. A lexicon should retain who supplies which part of the report. The neighboring assertion that all creatures above water possess reason rests on a separate argument about the absence of dense/rarefied divisions in those spheres.</w:t>
      </w:r>
    </w:p>
    <w:p>
      <w:pPr>
        <w:keepNext/>
        <w:widowControl/>
      </w:pPr>
      <w:r>
        <w:rPr>
          <w:b/>
          <w:i w:val="0"/>
        </w:rPr>
        <w:t>The places.</w:t>
      </w:r>
    </w:p>
    <w:p>
      <w:pPr>
        <w:ind w:left="187" w:hanging="187"/>
      </w:pPr>
      <w:r>
        <w:t xml:space="preserve">• </w:t>
      </w:r>
      <w:r>
        <w:rPr>
          <w:b/>
          <w:i w:val="0"/>
        </w:rPr>
        <w:t>IV.1.38–39, PDF 300–303</w:t>
      </w:r>
      <w:r>
        <w:rPr>
          <w:b w:val="0"/>
          <w:i w:val="0"/>
        </w:rPr>
        <w:t>. Elemental constitution is used to explain invisible, visible and tangible living beings, with named attributions.</w:t>
      </w:r>
    </w:p>
    <w:p>
      <w:pPr>
        <w:ind w:left="187" w:hanging="187"/>
      </w:pPr>
      <w:r>
        <w:t xml:space="preserve">• </w:t>
      </w:r>
      <w:r>
        <w:rPr>
          <w:b/>
          <w:i w:val="0"/>
        </w:rPr>
        <w:t>IV.1.96, PDF 332–333</w:t>
      </w:r>
      <w:r>
        <w:rPr>
          <w:b w:val="0"/>
          <w:i w:val="0"/>
        </w:rPr>
        <w:t>. The broader account of sphere-souls remains subject to theological approval.</w:t>
      </w:r>
    </w:p>
    <w:p>
      <w:pPr>
        <w:ind w:left="187" w:hanging="187"/>
      </w:pPr>
      <w:r>
        <w:t xml:space="preserve">• </w:t>
      </w:r>
      <w:r>
        <w:rPr>
          <w:b/>
          <w:i w:val="0"/>
        </w:rPr>
        <w:t>IV.2.26, PDF 348–349</w:t>
      </w:r>
      <w:r>
        <w:rPr>
          <w:b w:val="0"/>
          <w:i w:val="0"/>
        </w:rPr>
        <w:t>. Daemons recur among embodied rational souls in the circular-motion analogy.</w:t>
      </w:r>
    </w:p>
    <w:p>
      <w:pPr>
        <w:widowControl/>
      </w:pPr>
      <w:r>
        <w:rPr>
          <w:b/>
          <w:i w:val="0"/>
        </w:rPr>
        <w:t>Further passage references.</w:t>
      </w:r>
      <w:r>
        <w:rPr>
          <w:b w:val="0"/>
          <w:i w:val="0"/>
        </w:rPr>
        <w:t xml:space="preserve"> IV.1.38–IV.1.40, pp. 300–303; IV.2.26, pp. 348–349; apparatus pp. 390–391</w:t>
      </w:r>
    </w:p>
    <w:p>
      <w:pPr>
        <w:ind w:left="187" w:hanging="187"/>
      </w:pPr>
      <w:r>
        <w:t xml:space="preserve">• </w:t>
      </w:r>
      <w:r>
        <w:rPr>
          <w:b/>
          <w:i w:val="0"/>
        </w:rPr>
        <w:t>IV.1.38–40, PDF pp. 300–303:</w:t>
      </w:r>
      <w:r>
        <w:rPr>
          <w:b w:val="0"/>
          <w:i w:val="0"/>
        </w:rPr>
        <w:t xml:space="preserve"> ordinary visibility criteria precede the named reports and the rationality inference</w:t>
      </w:r>
    </w:p>
    <w:p>
      <w:pPr>
        <w:keepNext/>
        <w:widowControl/>
      </w:pPr>
      <w:r>
        <w:rPr>
          <w:b/>
          <w:i w:val="0"/>
        </w:rPr>
        <w:t>In this edition.</w:t>
      </w:r>
    </w:p>
    <w:p>
      <w:pPr>
        <w:widowControl/>
      </w:pPr>
      <w:r>
        <w:rPr>
          <w:b w:val="0"/>
          <w:i w:val="0"/>
        </w:rPr>
        <w:t xml:space="preserve">The retained English </w:t>
      </w:r>
      <w:r>
        <w:t>“</w:t>
      </w:r>
      <w:r>
        <w:rPr>
          <w:b w:val="0"/>
          <w:i w:val="0"/>
        </w:rPr>
        <w:t>daemon</w:t>
      </w:r>
      <w:r>
        <w:t>”</w:t>
      </w:r>
      <w:r>
        <w:rPr>
          <w:b w:val="0"/>
          <w:i w:val="0"/>
        </w:rPr>
        <w:t xml:space="preserve"> avoids automatically importing the sense of an evil demon. The accounts of visibility and touch are attributed to Zoroaster and Porphyry, and are not verified observations of such beings.</w:t>
      </w:r>
    </w:p>
    <w:p>
      <w:pPr>
        <w:widowControl/>
      </w:pPr>
      <w:r>
        <w:t>“</w:t>
      </w:r>
      <w:r>
        <w:rPr>
          <w:b w:val="0"/>
          <w:i w:val="0"/>
        </w:rPr>
        <w:t>Seen</w:t>
      </w:r>
      <w:r>
        <w:t>”</w:t>
      </w:r>
      <w:r>
        <w:rPr>
          <w:b w:val="0"/>
          <w:i w:val="0"/>
        </w:rPr>
        <w:t xml:space="preserve"> and </w:t>
      </w:r>
      <w:r>
        <w:t>“</w:t>
      </w:r>
      <w:r>
        <w:rPr>
          <w:b w:val="0"/>
          <w:i w:val="0"/>
        </w:rPr>
        <w:t>touched</w:t>
      </w:r>
      <w:r>
        <w:t>”</w:t>
      </w:r>
      <w:r>
        <w:rPr>
          <w:b w:val="0"/>
          <w:i w:val="0"/>
        </w:rPr>
        <w:t xml:space="preserve"> are not interchangeable. The text gives neither a modern identification of the reported beings nor independent confirmation of the regional claims.</w:t>
      </w:r>
    </w:p>
    <w:p>
      <w:pPr>
        <w:keepNext/>
        <w:widowControl/>
      </w:pPr>
      <w:r>
        <w:rPr>
          <w:b/>
          <w:i w:val="0"/>
        </w:rPr>
        <w:t>See also.</w:t>
      </w:r>
    </w:p>
    <w:p>
      <w:pPr>
        <w:widowControl/>
      </w:pPr>
      <w:hyperlink w:anchor="spheres-and-stars">
        <w:r>
          <w:rPr>
            <w:color w:val="000000"/>
          </w:rPr>
          <w:t xml:space="preserve">Spheres and stars</w:t>
        </w:r>
      </w:hyperlink>
      <w:r>
        <w:rPr>
          <w:b w:val="0"/>
          <w:i w:val="0"/>
        </w:rPr>
        <w:t xml:space="preserve">; </w:t>
      </w:r>
      <w:hyperlink w:anchor="purity-and-mixture">
        <w:r>
          <w:rPr>
            <w:color w:val="000000"/>
          </w:rPr>
          <w:t xml:space="preserve">Purity and mixture</w:t>
        </w:r>
      </w:hyperlink>
      <w:r>
        <w:rPr>
          <w:b w:val="0"/>
          <w:i w:val="0"/>
        </w:rPr>
        <w:t xml:space="preserve">; </w:t>
      </w:r>
      <w:hyperlink w:anchor="ethereal-garment">
        <w:r>
          <w:rPr>
            <w:color w:val="000000"/>
          </w:rPr>
          <w:t xml:space="preserve">Ethereal garment</w:t>
        </w:r>
      </w:hyperlink>
      <w:r>
        <w:rPr>
          <w:b w:val="0"/>
          <w:i w:val="0"/>
        </w:rPr>
        <w:t xml:space="preserve">; </w:t>
      </w:r>
      <w:hyperlink w:anchor="angel">
        <w:r>
          <w:rPr>
            <w:color w:val="000000"/>
          </w:rPr>
          <w:t xml:space="preserve">Angel</w:t>
        </w:r>
      </w:hyperlink>
    </w:p>
    <w:p>
      <w:pPr>
        <w:widowControl/>
      </w:pPr>
      <w:hyperlink w:anchor="seeming-and-evidence">
        <w:r>
          <w:rPr>
            <w:color w:val="000000"/>
          </w:rPr>
          <w:t xml:space="preserve">Seeming and evidence</w:t>
        </w:r>
      </w:hyperlink>
      <w:r>
        <w:rPr>
          <w:b w:val="0"/>
          <w:i w:val="0"/>
        </w:rPr>
        <w:t xml:space="preserve">; </w:t>
      </w:r>
      <w:hyperlink w:anchor="purity-and-mixture">
        <w:r>
          <w:rPr>
            <w:color w:val="000000"/>
          </w:rPr>
          <w:t xml:space="preserve">Purity and mixture</w:t>
        </w:r>
      </w:hyperlink>
      <w:r>
        <w:rPr>
          <w:b w:val="0"/>
          <w:i w:val="0"/>
        </w:rPr>
        <w:t xml:space="preserve">; </w:t>
      </w:r>
      <w:hyperlink w:anchor="spirit">
        <w:r>
          <w:rPr>
            <w:color w:val="000000"/>
          </w:rPr>
          <w:t xml:space="preserve">Spirit</w:t>
        </w:r>
      </w:hyperlink>
      <w:r>
        <w:rPr>
          <w:b w:val="0"/>
          <w:i w:val="0"/>
        </w:rPr>
        <w:t>.</w:t>
      </w:r>
    </w:p>
    <w:p>
      <w:bookmarkStart w:id="75" w:name="degree-and-mediation"/>
      <w:pPr>
        <w:pStyle w:val="Heading2"/>
      </w:pPr>
      <w:r>
        <w:rPr>
          <w:b w:val="0"/>
          <w:i w:val="0"/>
        </w:rPr>
        <w:t>Degree and mediation</w:t>
      </w:r>
      <w:bookmarkEnd w:id="75"/>
    </w:p>
    <w:p>
      <w:pPr>
        <w:keepNext/>
        <w:widowControl/>
      </w:pPr>
      <w:r>
        <w:rPr>
          <w:b/>
          <w:i w:val="0"/>
        </w:rPr>
        <w:t>Latin:</w:t>
      </w:r>
      <w:r>
        <w:rPr>
          <w:b w:val="0"/>
          <w:i w:val="0"/>
        </w:rPr>
        <w:t xml:space="preserve"> </w:t>
      </w:r>
      <w:r>
        <w:rPr>
          <w:b w:val="0"/>
          <w:i/>
        </w:rPr>
        <w:t>gradus</w:t>
      </w:r>
      <w:r>
        <w:rPr>
          <w:b w:val="0"/>
          <w:i w:val="0"/>
        </w:rPr>
        <w:t xml:space="preserve">; </w:t>
      </w:r>
      <w:r>
        <w:rPr>
          <w:b w:val="0"/>
          <w:i/>
        </w:rPr>
        <w:t>medium</w:t>
      </w:r>
      <w:r>
        <w:rPr>
          <w:b w:val="0"/>
          <w:i w:val="0"/>
        </w:rPr>
        <w:t xml:space="preserve">; </w:t>
      </w:r>
      <w:r>
        <w:rPr>
          <w:b w:val="0"/>
          <w:i/>
        </w:rPr>
        <w:t>medius</w:t>
      </w:r>
      <w:r>
        <w:rPr>
          <w:b w:val="0"/>
          <w:i w:val="0"/>
        </w:rPr>
        <w:t xml:space="preserve">; </w:t>
      </w:r>
      <w:r>
        <w:rPr>
          <w:b w:val="0"/>
          <w:i/>
        </w:rPr>
        <w:t>extremum</w:t>
      </w:r>
      <w:r>
        <w:rPr>
          <w:b w:val="0"/>
          <w:i w:val="0"/>
        </w:rPr>
        <w:t xml:space="preserve">; </w:t>
      </w:r>
      <w:r>
        <w:rPr>
          <w:b w:val="0"/>
          <w:i/>
        </w:rPr>
        <w:t>intervallum</w:t>
      </w:r>
      <w:r>
        <w:rPr>
          <w:b w:val="0"/>
          <w:i w:val="0"/>
        </w:rPr>
        <w:t xml:space="preserve">; </w:t>
      </w:r>
      <w:r>
        <w:rPr>
          <w:b w:val="0"/>
          <w:i/>
        </w:rPr>
        <w:t>essentia tertia ac media</w:t>
      </w:r>
      <w:r>
        <w:rPr>
          <w:b w:val="0"/>
          <w:i w:val="0"/>
        </w:rPr>
        <w:t xml:space="preserve">; </w:t>
      </w:r>
      <w:r>
        <w:rPr>
          <w:b w:val="0"/>
          <w:i/>
        </w:rPr>
        <w:t>extrema</w:t>
      </w:r>
      <w:r>
        <w:rPr>
          <w:b w:val="0"/>
          <w:i w:val="0"/>
        </w:rPr>
        <w:t xml:space="preserve">; </w:t>
      </w:r>
      <w:r>
        <w:rPr>
          <w:b w:val="0"/>
          <w:i/>
        </w:rPr>
        <w:t>superiora</w:t>
      </w:r>
      <w:r>
        <w:rPr>
          <w:b w:val="0"/>
          <w:i w:val="0"/>
        </w:rPr>
        <w:t xml:space="preserve">; </w:t>
      </w:r>
      <w:r>
        <w:rPr>
          <w:b w:val="0"/>
          <w:i/>
        </w:rPr>
        <w:t>inferiora</w:t>
      </w:r>
      <w:r>
        <w:rPr>
          <w:b w:val="0"/>
          <w:i w:val="0"/>
        </w:rPr>
        <w:t xml:space="preserve">; </w:t>
      </w:r>
      <w:r>
        <w:rPr>
          <w:b w:val="0"/>
          <w:i/>
        </w:rPr>
        <w:t>medium competens</w:t>
      </w:r>
      <w:r>
        <w:rPr>
          <w:b w:val="0"/>
          <w:i w:val="0"/>
        </w:rPr>
        <w:t xml:space="preserve">; </w:t>
      </w:r>
      <w:r>
        <w:rPr>
          <w:b w:val="0"/>
          <w:i/>
        </w:rPr>
        <w:t>natura media</w:t>
      </w:r>
      <w:r>
        <w:rPr>
          <w:b w:val="0"/>
          <w:i w:val="0"/>
        </w:rPr>
        <w:t xml:space="preserve">; </w:t>
      </w:r>
      <w:r>
        <w:rPr>
          <w:b w:val="0"/>
          <w:i/>
        </w:rPr>
        <w:t>anima perspicua</w:t>
      </w:r>
      <w:r>
        <w:rPr>
          <w:b w:val="0"/>
          <w:i w:val="0"/>
        </w:rPr>
        <w:t xml:space="preserve">; </w:t>
      </w:r>
      <w:r>
        <w:rPr>
          <w:b w:val="0"/>
          <w:i/>
        </w:rPr>
        <w:t>intercesserit</w:t>
      </w:r>
    </w:p>
    <w:p>
      <w:pPr>
        <w:keepNext/>
        <w:widowControl/>
      </w:pPr>
      <w:r>
        <w:rPr>
          <w:b/>
          <w:i w:val="0"/>
        </w:rPr>
        <w:t>The word.</w:t>
      </w:r>
    </w:p>
    <w:p>
      <w:pPr>
        <w:widowControl/>
      </w:pPr>
      <w:r>
        <w:rPr>
          <w:b w:val="0"/>
          <w:i w:val="0"/>
        </w:rPr>
        <w:t>Gradus is a rank or degree; medium is an intermediate, while extremum marks an extreme. Intervallum expresses separation in the order, not necessarily measured physical distance.</w:t>
      </w:r>
    </w:p>
    <w:p>
      <w:pPr>
        <w:keepNext/>
        <w:widowControl/>
      </w:pPr>
      <w:r>
        <w:rPr>
          <w:b/>
          <w:i w:val="0"/>
        </w:rPr>
        <w:t>In the Platonic Theology.</w:t>
      </w:r>
    </w:p>
    <w:p>
      <w:pPr>
        <w:widowControl/>
      </w:pPr>
      <w:r>
        <w:rPr>
          <w:b w:val="0"/>
          <w:i/>
        </w:rPr>
        <w:t>Gradus</w:t>
      </w:r>
      <w:r>
        <w:rPr>
          <w:b w:val="0"/>
          <w:i w:val="0"/>
        </w:rPr>
        <w:t xml:space="preserve"> can mean a rank, a level of being, or a degree of intensity. The principal sequence is body, quality, soul, angel, and God in ascent, reversed in Book III’s deliberate descent. Soul is third in either direction. These are not equally spaced rungs: the distinction between divine unity and angelic multiplicity places God infinitely beyond the rest, while the interval from soul to matter is described as finite. The intervals express dependence and perfection rather than measured spatial distances.</w:t>
      </w:r>
    </w:p>
    <w:p>
      <w:pPr>
        <w:widowControl/>
      </w:pPr>
      <w:r>
        <w:rPr>
          <w:b w:val="0"/>
          <w:i w:val="0"/>
        </w:rPr>
        <w:t>The ranks are differentiated through their characteristic activities. Body is moved; quality moves body while being moved by another; soul moves itself; angel acts while stable through God; God acts and is stable through himself. Soul’s middle position therefore means more than being third in a list. It shares stability with higher beings and changing activity with lower ones, connecting knowing and life-giving within one independently subsisting nature. It is not a mixture of halves or a compromise lacking its own constitution.</w:t>
      </w:r>
    </w:p>
    <w:p>
      <w:pPr>
        <w:widowControl/>
      </w:pPr>
      <w:r>
        <w:rPr>
          <w:b w:val="0"/>
          <w:i w:val="0"/>
        </w:rPr>
        <w:t>Ficino repeatedly reasons that extremes require a proportionate intermediate. Quality mediates between bare body and incorporeal form; soul connects wholly changing quality with angelic stability; angelic immobile multiplicity connects mobile soul with immobile divine unity. Seasons supply an ordinary example of transition through an intermediate. Book IV gives soul the image of a transparent medium between luminous and opaque things. Indivisible and above place like angelic mind, but mutable and related to time, soul transmits forms into body, where they are received divisibly. The image explains causal function rather than physical transparency.</w:t>
      </w:r>
    </w:p>
    <w:p>
      <w:pPr>
        <w:widowControl/>
      </w:pPr>
      <w:r>
        <w:rPr>
          <w:b w:val="0"/>
          <w:i w:val="0"/>
        </w:rPr>
        <w:t>Mediation also explains the earth-soul: it is earthly like its particular products and universal like the celestial impulses it receives and specifies. A self-moving soul similarly connects an unmoved angel to a body moved by another. Making God the world’s indwelling life would subordinate the independent first principle to an animated body; making an angel that life would join unmixed intellectual stability immediately to temporal matter. Soul’s combined stability and changing activity is the middle required by Ficino’s argument, not another name for either extreme.</w:t>
      </w:r>
    </w:p>
    <w:p>
      <w:pPr>
        <w:keepNext/>
        <w:widowControl/>
      </w:pPr>
      <w:r>
        <w:rPr>
          <w:b/>
          <w:i w:val="0"/>
        </w:rPr>
        <w:t>The places.</w:t>
      </w:r>
    </w:p>
    <w:p>
      <w:pPr>
        <w:ind w:left="187" w:hanging="187"/>
      </w:pPr>
      <w:r>
        <w:t xml:space="preserve">• </w:t>
      </w:r>
      <w:r>
        <w:rPr>
          <w:b/>
          <w:i w:val="0"/>
        </w:rPr>
        <w:t>I.1.7, PDF 16–17</w:t>
      </w:r>
      <w:r>
        <w:rPr>
          <w:b w:val="0"/>
          <w:i w:val="0"/>
        </w:rPr>
        <w:t>. The five grades make rational soul the mediating bond.</w:t>
      </w:r>
    </w:p>
    <w:p>
      <w:pPr>
        <w:ind w:left="187" w:hanging="187"/>
      </w:pPr>
      <w:r>
        <w:t xml:space="preserve">• </w:t>
      </w:r>
      <w:r>
        <w:rPr>
          <w:b/>
          <w:i w:val="0"/>
        </w:rPr>
        <w:t>I.4.3–5, PDF 56–59</w:t>
      </w:r>
      <w:r>
        <w:rPr>
          <w:b w:val="0"/>
          <w:i w:val="0"/>
        </w:rPr>
        <w:t>. Seasonal transitions illustrate the intermediate between wholly mobile and wholly stable natures.</w:t>
      </w:r>
    </w:p>
    <w:p>
      <w:pPr>
        <w:ind w:left="187" w:hanging="187"/>
      </w:pPr>
      <w:r>
        <w:t xml:space="preserve">• </w:t>
      </w:r>
      <w:r>
        <w:rPr>
          <w:b/>
          <w:i w:val="0"/>
        </w:rPr>
        <w:t>I.6.1–3, PDF 82–83</w:t>
      </w:r>
      <w:r>
        <w:rPr>
          <w:b w:val="0"/>
          <w:i w:val="0"/>
        </w:rPr>
        <w:t>. Angel joins soul’s multiplicity to the immobility of the higher principle.</w:t>
      </w:r>
    </w:p>
    <w:p>
      <w:pPr>
        <w:ind w:left="187" w:hanging="187"/>
      </w:pPr>
      <w:r>
        <w:t xml:space="preserve">• </w:t>
      </w:r>
      <w:r>
        <w:rPr>
          <w:b/>
          <w:i w:val="0"/>
        </w:rPr>
        <w:t>IV.1.7, PDF 284–285</w:t>
      </w:r>
      <w:r>
        <w:rPr>
          <w:b w:val="0"/>
          <w:i w:val="0"/>
        </w:rPr>
        <w:t>. Earth-soul is earthly and universal, mediating between celestial universality and earthly particulars.</w:t>
      </w:r>
    </w:p>
    <w:p>
      <w:pPr>
        <w:widowControl/>
      </w:pPr>
      <w:r>
        <w:rPr>
          <w:b/>
          <w:i w:val="0"/>
        </w:rPr>
        <w:t>Further passage references.</w:t>
      </w:r>
      <w:r>
        <w:rPr>
          <w:b w:val="0"/>
          <w:i w:val="0"/>
        </w:rPr>
        <w:t xml:space="preserve"> I.1.7 (PDF pp. 16–17); I.3.19, I.3.27, I.3.33 (pp. 42–43, 48–49, 52–53); I.4.3 (pp. 56–57); I.5.15 (pp. 70–71); I.6.1–I.6.3 (pp. 82–83); Book III argument, PDF 239; III.1.1–5, 14–23, PDF 240–255; III.2.1–8, 20–24, PDF 262–275; IV.1.7, pp. 284–285; IV.1.29–IV.1.33, pp. 296–299; IV.1.65–IV.1.67, pp. 314–317</w:t>
      </w:r>
    </w:p>
    <w:p>
      <w:pPr>
        <w:keepNext/>
        <w:widowControl/>
      </w:pPr>
      <w:r>
        <w:rPr>
          <w:b/>
          <w:i w:val="0"/>
        </w:rPr>
        <w:t>In this edition.</w:t>
      </w:r>
    </w:p>
    <w:p>
      <w:pPr>
        <w:widowControl/>
      </w:pPr>
      <w:r>
        <w:rPr>
          <w:b w:val="0"/>
          <w:i w:val="0"/>
        </w:rPr>
        <w:t xml:space="preserve">Soul’s </w:t>
      </w:r>
      <w:r>
        <w:t>“</w:t>
      </w:r>
      <w:r>
        <w:rPr>
          <w:b w:val="0"/>
          <w:i w:val="0"/>
        </w:rPr>
        <w:t>third</w:t>
      </w:r>
      <w:r>
        <w:t>”</w:t>
      </w:r>
      <w:r>
        <w:rPr>
          <w:b w:val="0"/>
          <w:i w:val="0"/>
        </w:rPr>
        <w:t xml:space="preserve"> position is not a mixture of two half-natures. Its stable essence and changing action supply specified likenesses to both sides. The seasonal comparison is an analogy supporting mediation, not a measured scale of ontological distances.</w:t>
      </w:r>
    </w:p>
    <w:p>
      <w:pPr>
        <w:keepNext/>
        <w:widowControl/>
      </w:pPr>
      <w:r>
        <w:rPr>
          <w:b/>
          <w:i w:val="0"/>
        </w:rPr>
        <w:t>See also.</w:t>
      </w:r>
    </w:p>
    <w:p>
      <w:pPr>
        <w:widowControl/>
      </w:pPr>
      <w:hyperlink w:anchor="ascent">
        <w:r>
          <w:rPr>
            <w:color w:val="000000"/>
          </w:rPr>
          <w:t xml:space="preserve">Ascent</w:t>
        </w:r>
      </w:hyperlink>
      <w:r>
        <w:rPr>
          <w:b w:val="0"/>
          <w:i w:val="0"/>
        </w:rPr>
        <w:t xml:space="preserve">; </w:t>
      </w:r>
      <w:hyperlink w:anchor="soul">
        <w:r>
          <w:rPr>
            <w:color w:val="000000"/>
          </w:rPr>
          <w:t xml:space="preserve">Soul</w:t>
        </w:r>
      </w:hyperlink>
      <w:r>
        <w:rPr>
          <w:b w:val="0"/>
          <w:i w:val="0"/>
        </w:rPr>
        <w:t xml:space="preserve">; </w:t>
      </w:r>
      <w:hyperlink w:anchor="motion-and-stability">
        <w:r>
          <w:rPr>
            <w:color w:val="000000"/>
          </w:rPr>
          <w:t xml:space="preserve">Motion and stability</w:t>
        </w:r>
      </w:hyperlink>
      <w:r>
        <w:rPr>
          <w:b w:val="0"/>
          <w:i w:val="0"/>
        </w:rPr>
        <w:t xml:space="preserve">; </w:t>
      </w:r>
      <w:hyperlink w:anchor="participation">
        <w:r>
          <w:rPr>
            <w:color w:val="000000"/>
          </w:rPr>
          <w:t xml:space="preserve">Participation</w:t>
        </w:r>
      </w:hyperlink>
      <w:r>
        <w:rPr>
          <w:b w:val="0"/>
          <w:i w:val="0"/>
        </w:rPr>
        <w:t xml:space="preserve">; </w:t>
      </w:r>
      <w:hyperlink w:anchor="act-and-operation">
        <w:r>
          <w:rPr>
            <w:color w:val="000000"/>
          </w:rPr>
          <w:t xml:space="preserve">Act and operation</w:t>
        </w:r>
      </w:hyperlink>
      <w:r>
        <w:rPr>
          <w:b w:val="0"/>
          <w:i w:val="0"/>
        </w:rPr>
        <w:t xml:space="preserve">; </w:t>
      </w:r>
      <w:hyperlink w:anchor="quality">
        <w:r>
          <w:rPr>
            <w:color w:val="000000"/>
          </w:rPr>
          <w:t xml:space="preserve">Quality</w:t>
        </w:r>
      </w:hyperlink>
      <w:r>
        <w:rPr>
          <w:b w:val="0"/>
          <w:i w:val="0"/>
        </w:rPr>
        <w:t xml:space="preserve">; </w:t>
      </w:r>
      <w:hyperlink w:anchor="unity-and-multiplicity">
        <w:r>
          <w:rPr>
            <w:color w:val="000000"/>
          </w:rPr>
          <w:t xml:space="preserve">Unity and multiplicity</w:t>
        </w:r>
      </w:hyperlink>
      <w:r>
        <w:rPr>
          <w:b w:val="0"/>
          <w:i w:val="0"/>
        </w:rPr>
        <w:t xml:space="preserve">; </w:t>
      </w:r>
      <w:hyperlink w:anchor="angel">
        <w:r>
          <w:rPr>
            <w:color w:val="000000"/>
          </w:rPr>
          <w:t xml:space="preserve">Angel</w:t>
        </w:r>
      </w:hyperlink>
      <w:r>
        <w:rPr>
          <w:b w:val="0"/>
          <w:i w:val="0"/>
        </w:rPr>
        <w:t xml:space="preserve">; </w:t>
      </w:r>
      <w:hyperlink w:anchor="celestial-influence">
        <w:r>
          <w:rPr>
            <w:color w:val="000000"/>
          </w:rPr>
          <w:t xml:space="preserve">Celestial influence</w:t>
        </w:r>
      </w:hyperlink>
    </w:p>
    <w:p>
      <w:bookmarkStart w:id="76" w:name="dependence-and-receiving"/>
      <w:pPr>
        <w:pStyle w:val="Heading2"/>
      </w:pPr>
      <w:r>
        <w:rPr>
          <w:b w:val="0"/>
          <w:i w:val="0"/>
        </w:rPr>
        <w:t>Dependence and receiving</w:t>
      </w:r>
      <w:bookmarkEnd w:id="76"/>
    </w:p>
    <w:p>
      <w:pPr>
        <w:keepNext/>
        <w:widowControl/>
      </w:pPr>
      <w:r>
        <w:rPr>
          <w:b/>
          <w:i w:val="0"/>
        </w:rPr>
        <w:t>Latin:</w:t>
      </w:r>
      <w:r>
        <w:rPr>
          <w:b w:val="0"/>
          <w:i w:val="0"/>
        </w:rPr>
        <w:t xml:space="preserve"> pendet; pendentem; dependebit; accipit; capiunt; suscipit; sortitur; adipiscitur; nanciscitur; largitur</w:t>
      </w:r>
    </w:p>
    <w:p>
      <w:pPr>
        <w:keepNext/>
        <w:widowControl/>
      </w:pPr>
      <w:r>
        <w:rPr>
          <w:b/>
          <w:i w:val="0"/>
        </w:rPr>
        <w:t>The word.</w:t>
      </w:r>
    </w:p>
    <w:p>
      <w:pPr>
        <w:widowControl/>
      </w:pPr>
      <w:r>
        <w:rPr>
          <w:b w:val="0"/>
          <w:i w:val="0"/>
        </w:rPr>
        <w:t>Pendere and dependere mark dependence, literally evoking hanging from a support. Accipere, suscipere, and capere receive or take; sortiri obtains as a lot or share; adipisci and nancisci acquire or attain. Largiri names the corresponding generous bestowal.</w:t>
      </w:r>
    </w:p>
    <w:p>
      <w:pPr>
        <w:keepNext/>
        <w:widowControl/>
      </w:pPr>
      <w:r>
        <w:rPr>
          <w:b/>
          <w:i w:val="0"/>
        </w:rPr>
        <w:t>In the Platonic Theology.</w:t>
      </w:r>
    </w:p>
    <w:p>
      <w:pPr>
        <w:widowControl/>
      </w:pPr>
      <w:r>
        <w:rPr>
          <w:b w:val="0"/>
          <w:i w:val="0"/>
        </w:rPr>
        <w:t>A recipient’s possession does not establish independence. A supposed supreme principle that receives unity or a distinctive property from another would already be composite and dependent. Ficino repeatedly asks where a thing obtains what makes it what it is, not merely where it was located when an event occurred.</w:t>
      </w:r>
    </w:p>
    <w:p>
      <w:pPr>
        <w:widowControl/>
      </w:pPr>
      <w:r>
        <w:rPr>
          <w:b w:val="0"/>
          <w:i w:val="0"/>
        </w:rPr>
        <w:t xml:space="preserve">Receiving also concerns continuing efficacy. God gives and preserves an angel’s being, act, power of action, and action itself. The angel remains a subordinate agent, not a passive name for God; yet it cannot detach its activity from the source that enables it. The vocabulary is therefore more exact than </w:t>
      </w:r>
      <w:r>
        <w:t>“</w:t>
      </w:r>
      <w:r>
        <w:rPr>
          <w:b w:val="0"/>
          <w:i w:val="0"/>
        </w:rPr>
        <w:t>one thing affects another</w:t>
      </w:r>
      <w:r>
        <w:t>”</w:t>
      </w:r>
      <w:r>
        <w:rPr>
          <w:b w:val="0"/>
          <w:i w:val="0"/>
        </w:rPr>
        <w:t>: it distinguishes receiving a constitution, obtaining a power, exercising that power, and continually depending on its preservation.</w:t>
      </w:r>
    </w:p>
    <w:p>
      <w:pPr>
        <w:keepNext/>
        <w:widowControl/>
      </w:pPr>
      <w:r>
        <w:rPr>
          <w:b/>
          <w:i w:val="0"/>
        </w:rPr>
        <w:t>The places.</w:t>
      </w:r>
    </w:p>
    <w:p>
      <w:pPr>
        <w:ind w:left="187" w:hanging="187"/>
      </w:pPr>
      <w:r>
        <w:t xml:space="preserve">• </w:t>
      </w:r>
      <w:r>
        <w:rPr>
          <w:b w:val="0"/>
          <w:i w:val="0"/>
        </w:rPr>
        <w:t>II.1.3, II.2.5 (PDF pp. 100–101, 106–107): Receiving from a higher source excludes an alleged principle’s self-sufficiency</w:t>
      </w:r>
    </w:p>
    <w:p>
      <w:pPr>
        <w:ind w:left="187" w:hanging="187"/>
      </w:pPr>
      <w:r>
        <w:t xml:space="preserve">• </w:t>
      </w:r>
      <w:r>
        <w:rPr>
          <w:b w:val="0"/>
          <w:i w:val="0"/>
        </w:rPr>
        <w:t>II.7.14, II.7.15 (PDF pp. 148–151): An acquired distinguishing property reveals dependence</w:t>
      </w:r>
    </w:p>
    <w:p>
      <w:pPr>
        <w:ind w:left="187" w:hanging="187"/>
      </w:pPr>
      <w:r>
        <w:t xml:space="preserve">• </w:t>
      </w:r>
      <w:r>
        <w:rPr>
          <w:b w:val="0"/>
          <w:i w:val="0"/>
        </w:rPr>
        <w:t>II.7.23, II.7.24, II.7.25 (PDF pp. 154–155): Bestowal and preservation extend from being to subordinate action</w:t>
      </w:r>
    </w:p>
    <w:p>
      <w:pPr>
        <w:keepNext/>
        <w:widowControl/>
      </w:pPr>
      <w:r>
        <w:rPr>
          <w:b/>
          <w:i w:val="0"/>
        </w:rPr>
        <w:t>In this edition.</w:t>
      </w:r>
    </w:p>
    <w:p>
      <w:pPr>
        <w:widowControl/>
      </w:pPr>
      <w:r>
        <w:rPr>
          <w:b w:val="0"/>
          <w:i w:val="0"/>
        </w:rPr>
        <w:t xml:space="preserve">Sortitur in II.2.5 is </w:t>
      </w:r>
      <w:r>
        <w:t>“</w:t>
      </w:r>
      <w:r>
        <w:rPr>
          <w:b w:val="0"/>
          <w:i w:val="0"/>
        </w:rPr>
        <w:t>obtains,</w:t>
      </w:r>
      <w:r>
        <w:t>”</w:t>
      </w:r>
      <w:r>
        <w:rPr>
          <w:b w:val="0"/>
          <w:i w:val="0"/>
        </w:rPr>
        <w:t xml:space="preserve"> not a claim that essence is distributed by chance or lottery. The repeated largitur in II.7.23 deliberately separates what is given even as the causal dependence is unified.</w:t>
      </w:r>
    </w:p>
    <w:p>
      <w:pPr>
        <w:keepNext/>
        <w:widowControl/>
      </w:pPr>
      <w:r>
        <w:rPr>
          <w:b/>
          <w:i w:val="0"/>
        </w:rPr>
        <w:t>See also.</w:t>
      </w:r>
    </w:p>
    <w:p>
      <w:pPr>
        <w:widowControl/>
      </w:pPr>
      <w:hyperlink w:anchor="through-itself-and-through-another">
        <w:r>
          <w:rPr>
            <w:color w:val="000000"/>
          </w:rPr>
          <w:t xml:space="preserve">Through itself and through another</w:t>
        </w:r>
      </w:hyperlink>
      <w:r>
        <w:rPr>
          <w:b w:val="0"/>
          <w:i w:val="0"/>
        </w:rPr>
        <w:t xml:space="preserve">; </w:t>
      </w:r>
      <w:hyperlink w:anchor="participation">
        <w:r>
          <w:rPr>
            <w:color w:val="000000"/>
          </w:rPr>
          <w:t xml:space="preserve">Participation</w:t>
        </w:r>
      </w:hyperlink>
      <w:r>
        <w:rPr>
          <w:b w:val="0"/>
          <w:i w:val="0"/>
        </w:rPr>
        <w:t xml:space="preserve">; </w:t>
      </w:r>
      <w:hyperlink w:anchor="cause">
        <w:r>
          <w:rPr>
            <w:color w:val="000000"/>
          </w:rPr>
          <w:t xml:space="preserve">Cause</w:t>
        </w:r>
      </w:hyperlink>
      <w:r>
        <w:rPr>
          <w:b w:val="0"/>
          <w:i w:val="0"/>
        </w:rPr>
        <w:t xml:space="preserve">; </w:t>
      </w:r>
      <w:hyperlink w:anchor="communication-and-imparting">
        <w:r>
          <w:rPr>
            <w:color w:val="000000"/>
          </w:rPr>
          <w:t xml:space="preserve">Communication and imparting</w:t>
        </w:r>
      </w:hyperlink>
      <w:r>
        <w:rPr>
          <w:b w:val="0"/>
          <w:i w:val="0"/>
        </w:rPr>
        <w:t>.</w:t>
      </w:r>
    </w:p>
    <w:p>
      <w:bookmarkStart w:id="77" w:name="dionysius-daniel-and-numerical-orders"/>
      <w:pPr>
        <w:pStyle w:val="Heading2"/>
      </w:pPr>
      <w:r>
        <w:rPr>
          <w:b w:val="0"/>
          <w:i w:val="0"/>
        </w:rPr>
        <w:t>Dionysius, Daniel and numerical orders</w:t>
      </w:r>
      <w:bookmarkEnd w:id="77"/>
    </w:p>
    <w:p>
      <w:pPr>
        <w:keepNext/>
        <w:widowControl/>
      </w:pPr>
      <w:r>
        <w:rPr>
          <w:b/>
          <w:i w:val="0"/>
        </w:rPr>
        <w:t>Latin:</w:t>
      </w:r>
      <w:r>
        <w:rPr>
          <w:b w:val="0"/>
          <w:i w:val="0"/>
        </w:rPr>
        <w:t xml:space="preserve"> </w:t>
      </w:r>
      <w:r>
        <w:rPr>
          <w:b w:val="0"/>
          <w:i/>
        </w:rPr>
        <w:t>Dionysius Areopagita</w:t>
      </w:r>
      <w:r>
        <w:rPr>
          <w:b w:val="0"/>
          <w:i w:val="0"/>
        </w:rPr>
        <w:t xml:space="preserve">; </w:t>
      </w:r>
      <w:r>
        <w:rPr>
          <w:b w:val="0"/>
          <w:i/>
        </w:rPr>
        <w:t>Danielis prophetae</w:t>
      </w:r>
      <w:r>
        <w:rPr>
          <w:b w:val="0"/>
          <w:i w:val="0"/>
        </w:rPr>
        <w:t xml:space="preserve">; </w:t>
      </w:r>
      <w:r>
        <w:rPr>
          <w:b w:val="0"/>
          <w:i/>
        </w:rPr>
        <w:t>ternario novenarioque</w:t>
      </w:r>
      <w:r>
        <w:rPr>
          <w:b w:val="0"/>
          <w:i w:val="0"/>
        </w:rPr>
        <w:t xml:space="preserve">; </w:t>
      </w:r>
      <w:r>
        <w:rPr>
          <w:b w:val="0"/>
          <w:i/>
        </w:rPr>
        <w:t>septenario</w:t>
      </w:r>
      <w:r>
        <w:rPr>
          <w:b w:val="0"/>
          <w:i w:val="0"/>
        </w:rPr>
        <w:t xml:space="preserve">; </w:t>
      </w:r>
      <w:r>
        <w:rPr>
          <w:b w:val="0"/>
          <w:i/>
        </w:rPr>
        <w:t>duodenarium</w:t>
      </w:r>
      <w:r>
        <w:rPr>
          <w:b w:val="0"/>
          <w:i w:val="0"/>
        </w:rPr>
        <w:t xml:space="preserve">; </w:t>
      </w:r>
      <w:r>
        <w:rPr>
          <w:b w:val="0"/>
          <w:i/>
        </w:rPr>
        <w:t>Iamblichus Proclusque</w:t>
      </w:r>
      <w:r>
        <w:rPr>
          <w:b w:val="0"/>
          <w:i w:val="0"/>
        </w:rPr>
        <w:t>.</w:t>
      </w:r>
    </w:p>
    <w:p>
      <w:pPr>
        <w:keepNext/>
        <w:widowControl/>
      </w:pPr>
      <w:r>
        <w:rPr>
          <w:b/>
          <w:i w:val="0"/>
        </w:rPr>
        <w:t>The word.</w:t>
      </w:r>
    </w:p>
    <w:p>
      <w:pPr>
        <w:widowControl/>
      </w:pPr>
      <w:r>
        <w:rPr>
          <w:b w:val="0"/>
          <w:i w:val="0"/>
        </w:rPr>
        <w:t xml:space="preserve">The numerical adjectives refer to three, nine, seven and twelve as ways of distinguishing orders. </w:t>
      </w:r>
      <w:r>
        <w:rPr>
          <w:b w:val="0"/>
          <w:i/>
        </w:rPr>
        <w:t>Ordo</w:t>
      </w:r>
      <w:r>
        <w:rPr>
          <w:b w:val="0"/>
          <w:i w:val="0"/>
        </w:rPr>
        <w:t xml:space="preserve"> is a rank or arrangement, not automatically an individual angel. </w:t>
      </w:r>
      <w:r>
        <w:rPr>
          <w:b w:val="0"/>
          <w:i/>
        </w:rPr>
        <w:t>Milia milium</w:t>
      </w:r>
      <w:r>
        <w:rPr>
          <w:b w:val="0"/>
          <w:i w:val="0"/>
        </w:rPr>
        <w:t xml:space="preserve"> is the phrase quoted for an immense company of attendants.</w:t>
      </w:r>
    </w:p>
    <w:p>
      <w:pPr>
        <w:keepNext/>
        <w:widowControl/>
      </w:pPr>
      <w:r>
        <w:rPr>
          <w:b/>
          <w:i w:val="0"/>
        </w:rPr>
        <w:t>In the Platonic Theology.</w:t>
      </w:r>
    </w:p>
    <w:p>
      <w:pPr>
        <w:widowControl/>
      </w:pPr>
      <w:r>
        <w:rPr>
          <w:b w:val="0"/>
          <w:i w:val="0"/>
        </w:rPr>
        <w:t xml:space="preserve">After arguing that separated intellectual species exceed corporeal species, Ficino invokes Dionysius as a witness and quotes Daniel’s multitude of ministers. He connects the likeness of creation to its creator with an abundance of separate minds, which he regards as most like that creator. He then places Christian numerical orders beside classifications attributed to Iamblichus and Proclus. The juxtaposition supports his concordant presentation of theology and Platonism. The statement that the latter philosophers came </w:t>
      </w:r>
      <w:r>
        <w:t>“</w:t>
      </w:r>
      <w:r>
        <w:rPr>
          <w:b w:val="0"/>
          <w:i w:val="0"/>
        </w:rPr>
        <w:t>after Dionysius</w:t>
      </w:r>
      <w:r>
        <w:t>”</w:t>
      </w:r>
      <w:r>
        <w:rPr>
          <w:b w:val="0"/>
          <w:i w:val="0"/>
        </w:rPr>
        <w:t xml:space="preserve"> is Ficino’s historical ordering within the passage; it is not independently established here. Nor should the different numbers be summed as though the text supplied an unambiguous census of individual angels. The following unit reports that some correlate angelic orders with orders of souls and bodies, and postpones more detail.</w:t>
      </w:r>
    </w:p>
    <w:p>
      <w:pPr>
        <w:keepNext/>
        <w:widowControl/>
      </w:pPr>
      <w:r>
        <w:rPr>
          <w:b/>
          <w:i w:val="0"/>
        </w:rPr>
        <w:t>The places.</w:t>
      </w:r>
    </w:p>
    <w:p>
      <w:pPr>
        <w:ind w:left="187" w:hanging="187"/>
      </w:pPr>
      <w:r>
        <w:t xml:space="preserve">• </w:t>
      </w:r>
      <w:r>
        <w:rPr>
          <w:b/>
          <w:i w:val="0"/>
        </w:rPr>
        <w:t>I.5.27, PDF 80–81.</w:t>
      </w:r>
      <w:r>
        <w:rPr>
          <w:b w:val="0"/>
          <w:i w:val="0"/>
        </w:rPr>
        <w:t xml:space="preserve"> Dionysius and Daniel support abundance; numerical orders are compared across the named authorities</w:t>
      </w:r>
    </w:p>
    <w:p>
      <w:pPr>
        <w:ind w:left="187" w:hanging="187"/>
      </w:pPr>
      <w:r>
        <w:t xml:space="preserve">• </w:t>
      </w:r>
      <w:r>
        <w:rPr>
          <w:b/>
          <w:i w:val="0"/>
        </w:rPr>
        <w:t>I.5.28, PDF 80–81.</w:t>
      </w:r>
      <w:r>
        <w:rPr>
          <w:b w:val="0"/>
          <w:i w:val="0"/>
        </w:rPr>
        <w:t xml:space="preserve"> An alternative correspondence with souls and bodies is reported and deferred</w:t>
      </w:r>
    </w:p>
    <w:p>
      <w:pPr>
        <w:keepNext/>
        <w:widowControl/>
      </w:pPr>
      <w:r>
        <w:rPr>
          <w:b/>
          <w:i w:val="0"/>
        </w:rPr>
        <w:t>In this edition.</w:t>
      </w:r>
    </w:p>
    <w:p>
      <w:pPr>
        <w:widowControl/>
      </w:pPr>
      <w:r>
        <w:rPr>
          <w:b w:val="0"/>
          <w:i w:val="0"/>
        </w:rPr>
        <w:t xml:space="preserve">In the Latin, </w:t>
      </w:r>
      <w:r>
        <w:rPr>
          <w:b w:val="0"/>
          <w:i/>
        </w:rPr>
        <w:t>supremos enim et medios angelos ternario et novenario dividunt</w:t>
      </w:r>
      <w:r>
        <w:rPr>
          <w:b w:val="0"/>
          <w:i w:val="0"/>
        </w:rPr>
        <w:t xml:space="preserve"> groups highest and middle angels with the two numbers. The English distributes them as highest by three and middle by nine. The supplied apparatus expressly identifies this as its distributive rendering (PDF 364); it is an interpretation of the compressed coordination and should not be mistaken for more explicit Latin syntax. No independent historical identification of the Dionysian author is supplied by the source unit.</w:t>
      </w:r>
    </w:p>
    <w:p>
      <w:pPr>
        <w:keepNext/>
        <w:widowControl/>
      </w:pPr>
      <w:r>
        <w:rPr>
          <w:b/>
          <w:i w:val="0"/>
        </w:rPr>
        <w:t>See also.</w:t>
      </w:r>
    </w:p>
    <w:p>
      <w:pPr>
        <w:widowControl/>
      </w:pPr>
      <w:hyperlink w:anchor="angel">
        <w:r>
          <w:rPr>
            <w:color w:val="000000"/>
          </w:rPr>
          <w:t xml:space="preserve">Angel</w:t>
        </w:r>
      </w:hyperlink>
      <w:r>
        <w:rPr>
          <w:b w:val="0"/>
          <w:i w:val="0"/>
        </w:rPr>
        <w:t xml:space="preserve">; </w:t>
      </w:r>
      <w:hyperlink w:anchor="number">
        <w:r>
          <w:rPr>
            <w:color w:val="000000"/>
          </w:rPr>
          <w:t xml:space="preserve">Number</w:t>
        </w:r>
      </w:hyperlink>
      <w:r>
        <w:rPr>
          <w:b w:val="0"/>
          <w:i w:val="0"/>
        </w:rPr>
        <w:t xml:space="preserve">; </w:t>
      </w:r>
      <w:hyperlink w:anchor="twelve">
        <w:r>
          <w:rPr>
            <w:color w:val="000000"/>
          </w:rPr>
          <w:t xml:space="preserve">Twelve</w:t>
        </w:r>
      </w:hyperlink>
      <w:r>
        <w:rPr>
          <w:b w:val="0"/>
          <w:i w:val="0"/>
        </w:rPr>
        <w:t xml:space="preserve">; </w:t>
      </w:r>
      <w:hyperlink w:anchor="image-and-likeness">
        <w:r>
          <w:rPr>
            <w:color w:val="000000"/>
          </w:rPr>
          <w:t xml:space="preserve">Image and likeness</w:t>
        </w:r>
      </w:hyperlink>
      <w:r>
        <w:rPr>
          <w:b w:val="0"/>
          <w:i w:val="0"/>
        </w:rPr>
        <w:t>.</w:t>
      </w:r>
    </w:p>
    <w:p>
      <w:bookmarkStart w:id="78" w:name="dispersion-and-concentration"/>
      <w:pPr>
        <w:pStyle w:val="Heading2"/>
      </w:pPr>
      <w:r>
        <w:rPr>
          <w:b w:val="0"/>
          <w:i w:val="0"/>
        </w:rPr>
        <w:t>Dispersion and concentration</w:t>
      </w:r>
      <w:bookmarkEnd w:id="78"/>
    </w:p>
    <w:p>
      <w:pPr>
        <w:keepNext/>
        <w:widowControl/>
      </w:pPr>
      <w:r>
        <w:rPr>
          <w:b/>
          <w:i w:val="0"/>
        </w:rPr>
        <w:t>Latin:</w:t>
      </w:r>
      <w:r>
        <w:rPr>
          <w:b w:val="0"/>
          <w:i w:val="0"/>
        </w:rPr>
        <w:t xml:space="preserve"> </w:t>
      </w:r>
      <w:r>
        <w:rPr>
          <w:b w:val="0"/>
          <w:i/>
        </w:rPr>
        <w:t>dispersa</w:t>
      </w:r>
      <w:r>
        <w:rPr>
          <w:b w:val="0"/>
          <w:i w:val="0"/>
        </w:rPr>
        <w:t xml:space="preserve">; </w:t>
      </w:r>
      <w:r>
        <w:rPr>
          <w:b w:val="0"/>
          <w:i/>
        </w:rPr>
        <w:t>distracta</w:t>
      </w:r>
      <w:r>
        <w:rPr>
          <w:b w:val="0"/>
          <w:i w:val="0"/>
        </w:rPr>
        <w:t xml:space="preserve">; </w:t>
      </w:r>
      <w:r>
        <w:rPr>
          <w:b w:val="0"/>
          <w:i/>
        </w:rPr>
        <w:t>dispergit</w:t>
      </w:r>
      <w:r>
        <w:rPr>
          <w:b w:val="0"/>
          <w:i w:val="0"/>
        </w:rPr>
        <w:t xml:space="preserve">; </w:t>
      </w:r>
      <w:r>
        <w:rPr>
          <w:b w:val="0"/>
          <w:i/>
        </w:rPr>
        <w:t>coarctet</w:t>
      </w:r>
      <w:r>
        <w:rPr>
          <w:b w:val="0"/>
          <w:i w:val="0"/>
        </w:rPr>
        <w:t xml:space="preserve">; </w:t>
      </w:r>
      <w:r>
        <w:rPr>
          <w:b w:val="0"/>
          <w:i/>
        </w:rPr>
        <w:t>rarefaciat</w:t>
      </w:r>
      <w:r>
        <w:rPr>
          <w:b w:val="0"/>
          <w:i w:val="0"/>
        </w:rPr>
        <w:t xml:space="preserve">; </w:t>
      </w:r>
      <w:r>
        <w:rPr>
          <w:b w:val="0"/>
          <w:i/>
        </w:rPr>
        <w:t>in angustum coactae</w:t>
      </w:r>
      <w:r>
        <w:rPr>
          <w:b w:val="0"/>
          <w:i w:val="0"/>
        </w:rPr>
        <w:t xml:space="preserve">; </w:t>
      </w:r>
      <w:r>
        <w:rPr>
          <w:b w:val="0"/>
          <w:i/>
        </w:rPr>
        <w:t>ad punctum colligitur</w:t>
      </w:r>
      <w:r>
        <w:rPr>
          <w:b w:val="0"/>
          <w:i w:val="0"/>
        </w:rPr>
        <w:t>.</w:t>
      </w:r>
    </w:p>
    <w:p>
      <w:pPr>
        <w:keepNext/>
        <w:widowControl/>
      </w:pPr>
      <w:r>
        <w:rPr>
          <w:b/>
          <w:i w:val="0"/>
        </w:rPr>
        <w:t>The word.</w:t>
      </w:r>
    </w:p>
    <w:p>
      <w:pPr>
        <w:widowControl/>
      </w:pPr>
      <w:r>
        <w:rPr>
          <w:b w:val="0"/>
          <w:i/>
        </w:rPr>
        <w:t>Dispergere</w:t>
      </w:r>
      <w:r>
        <w:rPr>
          <w:b w:val="0"/>
          <w:i w:val="0"/>
        </w:rPr>
        <w:t xml:space="preserve"> scatters; </w:t>
      </w:r>
      <w:r>
        <w:rPr>
          <w:b w:val="0"/>
          <w:i/>
        </w:rPr>
        <w:t>distrahere</w:t>
      </w:r>
      <w:r>
        <w:rPr>
          <w:b w:val="0"/>
          <w:i w:val="0"/>
        </w:rPr>
        <w:t xml:space="preserve"> draws apart. </w:t>
      </w:r>
      <w:r>
        <w:rPr>
          <w:b w:val="0"/>
          <w:i/>
        </w:rPr>
        <w:t>Coarctare</w:t>
      </w:r>
      <w:r>
        <w:rPr>
          <w:b w:val="0"/>
          <w:i w:val="0"/>
        </w:rPr>
        <w:t xml:space="preserve"> compresses; </w:t>
      </w:r>
      <w:r>
        <w:rPr>
          <w:b w:val="0"/>
          <w:i/>
        </w:rPr>
        <w:t>cogere</w:t>
      </w:r>
      <w:r>
        <w:rPr>
          <w:b w:val="0"/>
          <w:i w:val="0"/>
        </w:rPr>
        <w:t xml:space="preserve"> can collect or force together; </w:t>
      </w:r>
      <w:r>
        <w:rPr>
          <w:b w:val="0"/>
          <w:i/>
        </w:rPr>
        <w:t>colligere</w:t>
      </w:r>
      <w:r>
        <w:rPr>
          <w:b w:val="0"/>
          <w:i w:val="0"/>
        </w:rPr>
        <w:t xml:space="preserve"> gathers. </w:t>
      </w:r>
      <w:r>
        <w:rPr>
          <w:b w:val="0"/>
          <w:i/>
        </w:rPr>
        <w:t>Rarefacere</w:t>
      </w:r>
      <w:r>
        <w:rPr>
          <w:b w:val="0"/>
          <w:i w:val="0"/>
        </w:rPr>
        <w:t xml:space="preserve"> makes less dense. Their objects matter: gathering an argument’s results is not the same operation as concentrating heat.</w:t>
      </w:r>
    </w:p>
    <w:p>
      <w:pPr>
        <w:keepNext/>
        <w:widowControl/>
      </w:pPr>
      <w:r>
        <w:rPr>
          <w:b/>
          <w:i w:val="0"/>
        </w:rPr>
        <w:t>In the Platonic Theology.</w:t>
      </w:r>
    </w:p>
    <w:p>
      <w:pPr>
        <w:widowControl/>
      </w:pPr>
      <w:r>
        <w:rPr>
          <w:b w:val="0"/>
          <w:i w:val="0"/>
        </w:rPr>
        <w:t xml:space="preserve">Ficino’s initial case against bulk turns on a trade-off. Concentrating bodily parts strengthens their united power but increases thickness, making penetration more difficult; rarefaction facilitates movement and penetration but disperses power. Body therefore cannot, in his model, fully satisfy all conditions of perfect action at once. Concentrated heat illustrates why force follows quality rather than mere size. The </w:t>
      </w:r>
      <w:r>
        <w:t>“</w:t>
      </w:r>
      <w:r>
        <w:rPr>
          <w:b w:val="0"/>
          <w:i w:val="0"/>
        </w:rPr>
        <w:t>point</w:t>
      </w:r>
      <w:r>
        <w:t>”</w:t>
      </w:r>
      <w:r>
        <w:rPr>
          <w:b w:val="0"/>
          <w:i w:val="0"/>
        </w:rPr>
        <w:t xml:space="preserve"> marks maximum concentration in the comparison, not a claim that a geometrical point is a miniature flame. Later the language becomes temporal: the soul’s life is drawn away from itself across successive acts, unlike angelic life, which is wholly together. Spatial scattering and temporal succession are analogous limitations, but remain distinct.</w:t>
      </w:r>
    </w:p>
    <w:p>
      <w:pPr>
        <w:keepNext/>
        <w:widowControl/>
      </w:pPr>
      <w:r>
        <w:rPr>
          <w:b/>
          <w:i w:val="0"/>
        </w:rPr>
        <w:t>The places.</w:t>
      </w:r>
    </w:p>
    <w:p>
      <w:pPr>
        <w:ind w:left="187" w:hanging="187"/>
      </w:pPr>
      <w:r>
        <w:t xml:space="preserve">• </w:t>
      </w:r>
      <w:r>
        <w:rPr>
          <w:b/>
          <w:i w:val="0"/>
        </w:rPr>
        <w:t>I.2.2–4, PDF 18–21.</w:t>
      </w:r>
      <w:r>
        <w:rPr>
          <w:b w:val="0"/>
          <w:i w:val="0"/>
        </w:rPr>
        <w:t xml:space="preserve"> Compression, rarefaction, separation of agent and patient, and delay enter the trade-off</w:t>
      </w:r>
    </w:p>
    <w:p>
      <w:pPr>
        <w:ind w:left="187" w:hanging="187"/>
      </w:pPr>
      <w:r>
        <w:t xml:space="preserve">• </w:t>
      </w:r>
      <w:r>
        <w:rPr>
          <w:b/>
          <w:i w:val="0"/>
        </w:rPr>
        <w:t>I.2.11, PDF 24–25.</w:t>
      </w:r>
      <w:r>
        <w:rPr>
          <w:b w:val="0"/>
          <w:i w:val="0"/>
        </w:rPr>
        <w:t xml:space="preserve"> Heat concentrated into a point explains greater burning power</w:t>
      </w:r>
    </w:p>
    <w:p>
      <w:pPr>
        <w:ind w:left="187" w:hanging="187"/>
      </w:pPr>
      <w:r>
        <w:t xml:space="preserve">• </w:t>
      </w:r>
      <w:r>
        <w:rPr>
          <w:b/>
          <w:i w:val="0"/>
        </w:rPr>
        <w:t>I.2.17, PDF 26–27.</w:t>
      </w:r>
      <w:r>
        <w:rPr>
          <w:b w:val="0"/>
          <w:i w:val="0"/>
        </w:rPr>
        <w:t xml:space="preserve"> Dispersion weakens quality; contraction emphasizes its non-bodily source</w:t>
      </w:r>
    </w:p>
    <w:p>
      <w:pPr>
        <w:ind w:left="187" w:hanging="187"/>
      </w:pPr>
      <w:r>
        <w:t xml:space="preserve">• </w:t>
      </w:r>
      <w:r>
        <w:rPr>
          <w:b/>
          <w:i w:val="0"/>
        </w:rPr>
        <w:t>I.5.2, PDF 60–61.</w:t>
      </w:r>
      <w:r>
        <w:rPr>
          <w:b w:val="0"/>
          <w:i w:val="0"/>
        </w:rPr>
        <w:t xml:space="preserve"> A life dispersed through time is contrasted with a life wholly united at once</w:t>
      </w:r>
    </w:p>
    <w:p>
      <w:pPr>
        <w:keepNext/>
        <w:widowControl/>
      </w:pPr>
      <w:r>
        <w:rPr>
          <w:b/>
          <w:i w:val="0"/>
        </w:rPr>
        <w:t>In this edition.</w:t>
      </w:r>
    </w:p>
    <w:p>
      <w:pPr>
        <w:widowControl/>
      </w:pPr>
      <w:r>
        <w:t>“</w:t>
      </w:r>
      <w:r>
        <w:rPr>
          <w:b w:val="0"/>
          <w:i w:val="0"/>
        </w:rPr>
        <w:t>Dispersed,</w:t>
      </w:r>
      <w:r>
        <w:t>”</w:t>
      </w:r>
      <w:r>
        <w:rPr>
          <w:b w:val="0"/>
          <w:i w:val="0"/>
        </w:rPr>
        <w:t xml:space="preserve"> </w:t>
      </w:r>
      <w:r>
        <w:t>“</w:t>
      </w:r>
      <w:r>
        <w:rPr>
          <w:b w:val="0"/>
          <w:i w:val="0"/>
        </w:rPr>
        <w:t>drawn apart,</w:t>
      </w:r>
      <w:r>
        <w:t>”</w:t>
      </w:r>
      <w:r>
        <w:rPr>
          <w:b w:val="0"/>
          <w:i w:val="0"/>
        </w:rPr>
        <w:t xml:space="preserve"> </w:t>
      </w:r>
      <w:r>
        <w:t>“</w:t>
      </w:r>
      <w:r>
        <w:rPr>
          <w:b w:val="0"/>
          <w:i w:val="0"/>
        </w:rPr>
        <w:t>compressed,</w:t>
      </w:r>
      <w:r>
        <w:t>”</w:t>
      </w:r>
      <w:r>
        <w:rPr>
          <w:b w:val="0"/>
          <w:i w:val="0"/>
        </w:rPr>
        <w:t xml:space="preserve"> and </w:t>
      </w:r>
      <w:r>
        <w:t>“</w:t>
      </w:r>
      <w:r>
        <w:rPr>
          <w:b w:val="0"/>
          <w:i w:val="0"/>
        </w:rPr>
        <w:t>rarefies</w:t>
      </w:r>
      <w:r>
        <w:t>”</w:t>
      </w:r>
      <w:r>
        <w:rPr>
          <w:b w:val="0"/>
          <w:i w:val="0"/>
        </w:rPr>
        <w:t xml:space="preserve"> preserve an argument with several different operations. </w:t>
      </w:r>
      <w:r>
        <w:t>“</w:t>
      </w:r>
      <w:r>
        <w:rPr>
          <w:b w:val="0"/>
          <w:i w:val="0"/>
        </w:rPr>
        <w:t>Quantity</w:t>
      </w:r>
      <w:r>
        <w:t>”</w:t>
      </w:r>
      <w:r>
        <w:rPr>
          <w:b w:val="0"/>
          <w:i w:val="0"/>
        </w:rPr>
        <w:t xml:space="preserve"> should not be treated as a modern measurement of energy; the natural examples belong to Ficino’s theory of efficacy.</w:t>
      </w:r>
    </w:p>
    <w:p>
      <w:pPr>
        <w:keepNext/>
        <w:widowControl/>
      </w:pPr>
      <w:r>
        <w:rPr>
          <w:b/>
          <w:i w:val="0"/>
        </w:rPr>
        <w:t>See also.</w:t>
      </w:r>
    </w:p>
    <w:p>
      <w:pPr>
        <w:widowControl/>
      </w:pPr>
      <w:hyperlink w:anchor="body-and-bulk">
        <w:r>
          <w:rPr>
            <w:color w:val="000000"/>
          </w:rPr>
          <w:t xml:space="preserve">Body and bulk</w:t>
        </w:r>
      </w:hyperlink>
      <w:r>
        <w:rPr>
          <w:b w:val="0"/>
          <w:i w:val="0"/>
        </w:rPr>
        <w:t xml:space="preserve">; </w:t>
      </w:r>
      <w:hyperlink w:anchor="quality">
        <w:r>
          <w:rPr>
            <w:color w:val="000000"/>
          </w:rPr>
          <w:t xml:space="preserve">Quality</w:t>
        </w:r>
      </w:hyperlink>
      <w:r>
        <w:rPr>
          <w:b w:val="0"/>
          <w:i w:val="0"/>
        </w:rPr>
        <w:t xml:space="preserve">; </w:t>
      </w:r>
      <w:hyperlink w:anchor="unity-and-multiplicity">
        <w:r>
          <w:rPr>
            <w:color w:val="000000"/>
          </w:rPr>
          <w:t xml:space="preserve">Unity and multiplicity</w:t>
        </w:r>
      </w:hyperlink>
      <w:r>
        <w:rPr>
          <w:b w:val="0"/>
          <w:i w:val="0"/>
        </w:rPr>
        <w:t xml:space="preserve">; </w:t>
      </w:r>
      <w:hyperlink w:anchor="eternity-and-time">
        <w:r>
          <w:rPr>
            <w:color w:val="000000"/>
          </w:rPr>
          <w:t xml:space="preserve">Eternity and time</w:t>
        </w:r>
      </w:hyperlink>
      <w:r>
        <w:rPr>
          <w:b w:val="0"/>
          <w:i w:val="0"/>
        </w:rPr>
        <w:t>.</w:t>
      </w:r>
    </w:p>
    <w:p>
      <w:bookmarkStart w:id="79" w:name="divinity-and-the-divine"/>
      <w:pPr>
        <w:pStyle w:val="Heading2"/>
      </w:pPr>
      <w:r>
        <w:rPr>
          <w:b w:val="0"/>
          <w:i w:val="0"/>
        </w:rPr>
        <w:t>Divinity and the divine</w:t>
      </w:r>
      <w:bookmarkEnd w:id="79"/>
    </w:p>
    <w:p>
      <w:pPr>
        <w:keepNext/>
        <w:widowControl/>
      </w:pPr>
      <w:r>
        <w:rPr>
          <w:b/>
          <w:i w:val="0"/>
        </w:rPr>
        <w:t>Latin:</w:t>
      </w:r>
      <w:r>
        <w:rPr>
          <w:b w:val="0"/>
          <w:i w:val="0"/>
        </w:rPr>
        <w:t xml:space="preserve"> </w:t>
      </w:r>
      <w:r>
        <w:rPr>
          <w:b w:val="0"/>
          <w:i/>
        </w:rPr>
        <w:t>divinitas</w:t>
      </w:r>
      <w:r>
        <w:rPr>
          <w:b w:val="0"/>
          <w:i w:val="0"/>
        </w:rPr>
        <w:t xml:space="preserve">; </w:t>
      </w:r>
      <w:r>
        <w:rPr>
          <w:b w:val="0"/>
          <w:i/>
        </w:rPr>
        <w:t>divinus</w:t>
      </w:r>
      <w:r>
        <w:rPr>
          <w:b w:val="0"/>
          <w:i w:val="0"/>
        </w:rPr>
        <w:t xml:space="preserve">; </w:t>
      </w:r>
      <w:r>
        <w:rPr>
          <w:b w:val="0"/>
          <w:i/>
        </w:rPr>
        <w:t>animorum divinitas</w:t>
      </w:r>
      <w:r>
        <w:rPr>
          <w:b w:val="0"/>
          <w:i w:val="0"/>
        </w:rPr>
        <w:t xml:space="preserve">; </w:t>
      </w:r>
      <w:r>
        <w:rPr>
          <w:b w:val="0"/>
          <w:i/>
        </w:rPr>
        <w:t>creatae mentis divinitas</w:t>
      </w:r>
    </w:p>
    <w:p>
      <w:pPr>
        <w:keepNext/>
        <w:widowControl/>
      </w:pPr>
      <w:r>
        <w:rPr>
          <w:b/>
          <w:i w:val="0"/>
        </w:rPr>
        <w:t>The word.</w:t>
      </w:r>
    </w:p>
    <w:p>
      <w:pPr>
        <w:widowControl/>
      </w:pPr>
      <w:r>
        <w:rPr>
          <w:b w:val="0"/>
          <w:i w:val="0"/>
        </w:rPr>
        <w:t>Divinitas is divinity; divinus can describe God, a created thing’s relation to God, or an honorific religious quality. Creatae mentis divinitas expressly qualifies the mind’s divinity as created.</w:t>
      </w:r>
    </w:p>
    <w:p>
      <w:pPr>
        <w:keepNext/>
        <w:widowControl/>
      </w:pPr>
      <w:r>
        <w:rPr>
          <w:b/>
          <w:i w:val="0"/>
        </w:rPr>
        <w:t>In the Platonic Theology.</w:t>
      </w:r>
    </w:p>
    <w:p>
      <w:pPr>
        <w:widowControl/>
      </w:pPr>
      <w:r>
        <w:rPr>
          <w:b w:val="0"/>
          <w:i w:val="0"/>
        </w:rPr>
        <w:t xml:space="preserve">The Proem identifies the divinity of souls, together with worship of God, as a principal benefit of reading Plato. Ficino then specifies the </w:t>
      </w:r>
      <w:r>
        <w:t>“</w:t>
      </w:r>
      <w:r>
        <w:rPr>
          <w:b w:val="0"/>
          <w:i w:val="0"/>
        </w:rPr>
        <w:t>divinity of the created mind.</w:t>
      </w:r>
      <w:r>
        <w:t>”</w:t>
      </w:r>
      <w:r>
        <w:rPr>
          <w:b w:val="0"/>
          <w:i w:val="0"/>
        </w:rPr>
        <w:t xml:space="preserve"> The qualification matters: the mind can be divine in dignity, likeness, or participation while remaining created and dependent. It is not thereby identical with the supreme God. The five-level structure makes this distinction explicit, placing both soul and angel below God. Divine vocabulary can also serve honorific or interpretive uses. Plato is called divine, and his teaching theology, because Ficino presents his inquiries as returning to contemplation and worship of God. An occurrence can therefore describe God, a created being’s relation to God, or a philosopher’s religious orientation. Created mind remains distinct from the divine origin of mind.</w:t>
      </w:r>
    </w:p>
    <w:p>
      <w:pPr>
        <w:keepNext/>
        <w:widowControl/>
      </w:pPr>
      <w:r>
        <w:rPr>
          <w:b/>
          <w:i w:val="0"/>
        </w:rPr>
        <w:t>The places.</w:t>
      </w:r>
    </w:p>
    <w:p>
      <w:pPr>
        <w:ind w:left="187" w:hanging="187"/>
      </w:pPr>
      <w:r>
        <w:t xml:space="preserve">• </w:t>
      </w:r>
      <w:r>
        <w:rPr>
          <w:b/>
          <w:i w:val="0"/>
        </w:rPr>
        <w:t>Proem.3, PDF 6–7</w:t>
      </w:r>
      <w:r>
        <w:rPr>
          <w:b w:val="0"/>
          <w:i w:val="0"/>
        </w:rPr>
        <w:t>. Plato’s return of every subject to contemplation and worship explains the divine title.</w:t>
      </w:r>
    </w:p>
    <w:p>
      <w:pPr>
        <w:ind w:left="187" w:hanging="187"/>
      </w:pPr>
      <w:r>
        <w:t xml:space="preserve">• </w:t>
      </w:r>
      <w:r>
        <w:rPr>
          <w:b/>
          <w:i w:val="0"/>
        </w:rPr>
        <w:t>Proem.5–7, PDF 6–9</w:t>
      </w:r>
      <w:r>
        <w:rPr>
          <w:b w:val="0"/>
          <w:i w:val="0"/>
        </w:rPr>
        <w:t>. Divinity of souls becomes an organizing benefit and the created mind a divine mirror.</w:t>
      </w:r>
    </w:p>
    <w:p>
      <w:pPr>
        <w:ind w:left="187" w:hanging="187"/>
      </w:pPr>
      <w:r>
        <w:t xml:space="preserve">• </w:t>
      </w:r>
      <w:r>
        <w:rPr>
          <w:b/>
          <w:i w:val="0"/>
        </w:rPr>
        <w:t>I.6.5–13, PDF 84–91</w:t>
      </w:r>
      <w:r>
        <w:rPr>
          <w:b w:val="0"/>
          <w:i w:val="0"/>
        </w:rPr>
        <w:t>. Divine simplicity and qualified intellectual names distinguish God from created mind.</w:t>
      </w:r>
    </w:p>
    <w:p>
      <w:pPr>
        <w:widowControl/>
      </w:pPr>
      <w:r>
        <w:rPr>
          <w:b/>
          <w:i w:val="0"/>
        </w:rPr>
        <w:t>Further passage references.</w:t>
      </w:r>
      <w:r>
        <w:rPr>
          <w:b w:val="0"/>
          <w:i w:val="0"/>
        </w:rPr>
        <w:t xml:space="preserve"> Proem.3–Proem.7 (PDF pp. 6–9); I.1.1–I.1.7 (pp. 14–17); I.6.5–I.6.13 (pp. 84–91)</w:t>
      </w:r>
    </w:p>
    <w:p>
      <w:pPr>
        <w:keepNext/>
        <w:widowControl/>
      </w:pPr>
      <w:r>
        <w:rPr>
          <w:b/>
          <w:i w:val="0"/>
        </w:rPr>
        <w:t>In this edition.</w:t>
      </w:r>
    </w:p>
    <w:p>
      <w:pPr>
        <w:widowControl/>
      </w:pPr>
      <w:r>
        <w:rPr>
          <w:b w:val="0"/>
          <w:i w:val="0"/>
        </w:rPr>
        <w:t xml:space="preserve">Do not omit </w:t>
      </w:r>
      <w:r>
        <w:t>“</w:t>
      </w:r>
      <w:r>
        <w:rPr>
          <w:b w:val="0"/>
          <w:i w:val="0"/>
        </w:rPr>
        <w:t>created</w:t>
      </w:r>
      <w:r>
        <w:t>”</w:t>
      </w:r>
      <w:r>
        <w:rPr>
          <w:b w:val="0"/>
          <w:i w:val="0"/>
        </w:rPr>
        <w:t xml:space="preserve"> in Proem.7. Plato being called </w:t>
      </w:r>
      <w:r>
        <w:t>“</w:t>
      </w:r>
      <w:r>
        <w:rPr>
          <w:b w:val="0"/>
          <w:i w:val="0"/>
        </w:rPr>
        <w:t>divine</w:t>
      </w:r>
      <w:r>
        <w:t>”</w:t>
      </w:r>
      <w:r>
        <w:rPr>
          <w:b w:val="0"/>
          <w:i w:val="0"/>
        </w:rPr>
        <w:t xml:space="preserve"> and the soul possessing </w:t>
      </w:r>
      <w:r>
        <w:t>“</w:t>
      </w:r>
      <w:r>
        <w:rPr>
          <w:b w:val="0"/>
          <w:i w:val="0"/>
        </w:rPr>
        <w:t>divinity</w:t>
      </w:r>
      <w:r>
        <w:t>”</w:t>
      </w:r>
      <w:r>
        <w:rPr>
          <w:b w:val="0"/>
          <w:i w:val="0"/>
        </w:rPr>
        <w:t xml:space="preserve"> do not make either identical with the supreme first principle; the following hierarchy explicitly preserves their dependence.</w:t>
      </w:r>
    </w:p>
    <w:p>
      <w:pPr>
        <w:keepNext/>
        <w:widowControl/>
      </w:pPr>
      <w:r>
        <w:rPr>
          <w:b/>
          <w:i w:val="0"/>
        </w:rPr>
        <w:t>See also.</w:t>
      </w:r>
    </w:p>
    <w:p>
      <w:pPr>
        <w:widowControl/>
      </w:pPr>
      <w:hyperlink w:anchor="mind">
        <w:r>
          <w:rPr>
            <w:color w:val="000000"/>
          </w:rPr>
          <w:t xml:space="preserve">Mind</w:t>
        </w:r>
      </w:hyperlink>
      <w:r>
        <w:rPr>
          <w:b w:val="0"/>
          <w:i w:val="0"/>
        </w:rPr>
        <w:t xml:space="preserve">; </w:t>
      </w:r>
      <w:hyperlink w:anchor="soul">
        <w:r>
          <w:rPr>
            <w:color w:val="000000"/>
          </w:rPr>
          <w:t xml:space="preserve">Soul</w:t>
        </w:r>
      </w:hyperlink>
      <w:r>
        <w:rPr>
          <w:b w:val="0"/>
          <w:i w:val="0"/>
        </w:rPr>
        <w:t xml:space="preserve">; </w:t>
      </w:r>
      <w:hyperlink w:anchor="god">
        <w:r>
          <w:rPr>
            <w:color w:val="000000"/>
          </w:rPr>
          <w:t xml:space="preserve">God</w:t>
        </w:r>
      </w:hyperlink>
      <w:r>
        <w:rPr>
          <w:b w:val="0"/>
          <w:i w:val="0"/>
        </w:rPr>
        <w:t xml:space="preserve">; </w:t>
      </w:r>
      <w:hyperlink w:anchor="participation">
        <w:r>
          <w:rPr>
            <w:color w:val="000000"/>
          </w:rPr>
          <w:t xml:space="preserve">Participation</w:t>
        </w:r>
      </w:hyperlink>
      <w:r>
        <w:rPr>
          <w:b w:val="0"/>
          <w:i w:val="0"/>
        </w:rPr>
        <w:t xml:space="preserve">; </w:t>
      </w:r>
      <w:hyperlink w:anchor="philosophy-and-theology">
        <w:r>
          <w:rPr>
            <w:color w:val="000000"/>
          </w:rPr>
          <w:t xml:space="preserve">Philosophy and theology</w:t>
        </w:r>
      </w:hyperlink>
    </w:p>
    <w:p>
      <w:bookmarkStart w:id="80" w:name="earth-as-mother"/>
      <w:pPr>
        <w:pStyle w:val="Heading2"/>
      </w:pPr>
      <w:r>
        <w:rPr>
          <w:b w:val="0"/>
          <w:i w:val="0"/>
        </w:rPr>
        <w:t>Earth as mother</w:t>
      </w:r>
      <w:bookmarkEnd w:id="80"/>
    </w:p>
    <w:p>
      <w:pPr>
        <w:keepNext/>
        <w:widowControl/>
      </w:pPr>
      <w:r>
        <w:rPr>
          <w:b/>
          <w:i w:val="0"/>
        </w:rPr>
        <w:t>Latin:</w:t>
      </w:r>
      <w:r>
        <w:rPr>
          <w:b w:val="0"/>
          <w:i w:val="0"/>
        </w:rPr>
        <w:t xml:space="preserve"> </w:t>
      </w:r>
      <w:r>
        <w:rPr>
          <w:b w:val="0"/>
          <w:i/>
        </w:rPr>
        <w:t>feminae huius ventrem</w:t>
      </w:r>
      <w:r>
        <w:rPr>
          <w:b w:val="0"/>
          <w:i w:val="0"/>
        </w:rPr>
        <w:t xml:space="preserve">, </w:t>
      </w:r>
      <w:r>
        <w:rPr>
          <w:b w:val="0"/>
          <w:i/>
        </w:rPr>
        <w:t>parit fetus et alit</w:t>
      </w:r>
      <w:r>
        <w:rPr>
          <w:b w:val="0"/>
          <w:i w:val="0"/>
        </w:rPr>
        <w:t xml:space="preserve">, </w:t>
      </w:r>
      <w:r>
        <w:rPr>
          <w:b w:val="0"/>
          <w:i/>
        </w:rPr>
        <w:t>dorsum</w:t>
      </w:r>
      <w:r>
        <w:rPr>
          <w:b w:val="0"/>
          <w:i w:val="0"/>
        </w:rPr>
        <w:t xml:space="preserve">, </w:t>
      </w:r>
      <w:r>
        <w:rPr>
          <w:b w:val="0"/>
          <w:i/>
        </w:rPr>
        <w:t>dentes</w:t>
      </w:r>
      <w:r>
        <w:rPr>
          <w:b w:val="0"/>
          <w:i w:val="0"/>
        </w:rPr>
        <w:t xml:space="preserve">, </w:t>
      </w:r>
      <w:r>
        <w:rPr>
          <w:b w:val="0"/>
          <w:i/>
        </w:rPr>
        <w:t>pilos</w:t>
      </w:r>
      <w:r>
        <w:rPr>
          <w:b w:val="0"/>
          <w:i w:val="0"/>
        </w:rPr>
        <w:t xml:space="preserve">, </w:t>
      </w:r>
      <w:r>
        <w:rPr>
          <w:b w:val="0"/>
          <w:i/>
        </w:rPr>
        <w:t>parturiunt</w:t>
      </w:r>
      <w:r>
        <w:rPr>
          <w:b w:val="0"/>
          <w:i w:val="0"/>
        </w:rPr>
        <w:t xml:space="preserve">, </w:t>
      </w:r>
      <w:r>
        <w:rPr>
          <w:b w:val="0"/>
          <w:i/>
        </w:rPr>
        <w:t>terrae visceribus</w:t>
      </w:r>
      <w:r>
        <w:rPr>
          <w:b w:val="0"/>
          <w:i w:val="0"/>
        </w:rPr>
        <w:t>.</w:t>
      </w:r>
    </w:p>
    <w:p>
      <w:pPr>
        <w:keepNext/>
        <w:widowControl/>
      </w:pPr>
      <w:r>
        <w:rPr>
          <w:b/>
          <w:i w:val="0"/>
        </w:rPr>
        <w:t>The word.</w:t>
      </w:r>
    </w:p>
    <w:p>
      <w:pPr>
        <w:widowControl/>
      </w:pPr>
      <w:r>
        <w:rPr>
          <w:b w:val="0"/>
          <w:i/>
        </w:rPr>
        <w:t>Venter</w:t>
      </w:r>
      <w:r>
        <w:rPr>
          <w:b w:val="0"/>
          <w:i w:val="0"/>
        </w:rPr>
        <w:t xml:space="preserve"> is belly or womb; </w:t>
      </w:r>
      <w:r>
        <w:rPr>
          <w:b w:val="0"/>
          <w:i/>
        </w:rPr>
        <w:t>fetus</w:t>
      </w:r>
      <w:r>
        <w:rPr>
          <w:b w:val="0"/>
          <w:i w:val="0"/>
        </w:rPr>
        <w:t xml:space="preserve"> offspring; </w:t>
      </w:r>
      <w:r>
        <w:rPr>
          <w:b w:val="0"/>
          <w:i/>
        </w:rPr>
        <w:t>parere</w:t>
      </w:r>
      <w:r>
        <w:rPr>
          <w:b w:val="0"/>
          <w:i w:val="0"/>
        </w:rPr>
        <w:t xml:space="preserve"> giving birth; </w:t>
      </w:r>
      <w:r>
        <w:rPr>
          <w:b w:val="0"/>
          <w:i/>
        </w:rPr>
        <w:t>alere</w:t>
      </w:r>
      <w:r>
        <w:rPr>
          <w:b w:val="0"/>
          <w:i w:val="0"/>
        </w:rPr>
        <w:t xml:space="preserve"> nourishing. </w:t>
      </w:r>
      <w:r>
        <w:rPr>
          <w:b w:val="0"/>
          <w:i/>
        </w:rPr>
        <w:t>Dorsum</w:t>
      </w:r>
      <w:r>
        <w:rPr>
          <w:b w:val="0"/>
          <w:i w:val="0"/>
        </w:rPr>
        <w:t xml:space="preserve"> is the back, </w:t>
      </w:r>
      <w:r>
        <w:rPr>
          <w:b w:val="0"/>
          <w:i/>
        </w:rPr>
        <w:t>viscera</w:t>
      </w:r>
      <w:r>
        <w:rPr>
          <w:b w:val="0"/>
          <w:i w:val="0"/>
        </w:rPr>
        <w:t xml:space="preserve"> the inward parts or entrails. The anatomical vocabulary is transferred to earth without making every transferred noun a separate bodily organ in a fully worked-out cosmic anatomy.</w:t>
      </w:r>
    </w:p>
    <w:p>
      <w:pPr>
        <w:keepNext/>
        <w:widowControl/>
      </w:pPr>
      <w:r>
        <w:rPr>
          <w:b/>
          <w:i w:val="0"/>
        </w:rPr>
        <w:t>In the Platonic Theology.</w:t>
      </w:r>
    </w:p>
    <w:p>
      <w:pPr>
        <w:widowControl/>
      </w:pPr>
      <w:r>
        <w:rPr>
          <w:b w:val="0"/>
          <w:i w:val="0"/>
        </w:rPr>
        <w:t>The opening question asks who could deny life to this female’s womb when it gives birth, nourishes offspring, and sustains itself. Stones are like teeth and plants like hair. The comparisons join fertility with continued attachment: what grows from earth appears to Ficino to stand to it as a living body’s outgrowths stand to that body. Their explanatory force depends on the preceding argument from nourishment and generation, not simply on a poetic preference for calling earth a mother. Higher spheres subsequently foster earth and water as they give birth. Maternal imagery thus coexists with a hierarchy of causes.</w:t>
      </w:r>
    </w:p>
    <w:p>
      <w:pPr>
        <w:widowControl/>
      </w:pPr>
      <w:r>
        <w:rPr>
          <w:b w:val="0"/>
          <w:i w:val="0"/>
        </w:rPr>
        <w:t>The later wind within earth’s entrails belongs to a different argument. Ficino uses the alleged ability of enclosed wind to shake mountains to make a celestial soul’s easy movement of subtle bodies less astonishing. The womb image argues for an indwelling life; the entrails image locates an ordinary physical comparison. These uses should not be flattened into one mythological doctrine.</w:t>
      </w:r>
    </w:p>
    <w:p>
      <w:pPr>
        <w:keepNext/>
        <w:widowControl/>
      </w:pPr>
      <w:r>
        <w:rPr>
          <w:b/>
          <w:i w:val="0"/>
        </w:rPr>
        <w:t>The places.</w:t>
      </w:r>
    </w:p>
    <w:p>
      <w:pPr>
        <w:ind w:left="187" w:hanging="187"/>
      </w:pPr>
      <w:r>
        <w:t xml:space="preserve">• </w:t>
      </w:r>
      <w:r>
        <w:rPr>
          <w:b/>
          <w:i w:val="0"/>
        </w:rPr>
        <w:t>IV.1.2, PDF pp. 282–283:</w:t>
      </w:r>
      <w:r>
        <w:rPr>
          <w:b w:val="0"/>
          <w:i w:val="0"/>
        </w:rPr>
        <w:t xml:space="preserve"> teeth, hair, womb, back, and offspring support the argument for the life of earth</w:t>
      </w:r>
    </w:p>
    <w:p>
      <w:pPr>
        <w:ind w:left="187" w:hanging="187"/>
      </w:pPr>
      <w:r>
        <w:t xml:space="preserve">• </w:t>
      </w:r>
      <w:r>
        <w:rPr>
          <w:b/>
          <w:i w:val="0"/>
        </w:rPr>
        <w:t>IV.1.36, pp. 300–301:</w:t>
      </w:r>
      <w:r>
        <w:rPr>
          <w:b w:val="0"/>
          <w:i w:val="0"/>
        </w:rPr>
        <w:t xml:space="preserve"> earth and water give birth under the fostering of higher spheres</w:t>
      </w:r>
    </w:p>
    <w:p>
      <w:pPr>
        <w:ind w:left="187" w:hanging="187"/>
      </w:pPr>
      <w:r>
        <w:t xml:space="preserve">• </w:t>
      </w:r>
      <w:r>
        <w:rPr>
          <w:b/>
          <w:i w:val="0"/>
        </w:rPr>
        <w:t>IV.2.19, pp. 344–345:</w:t>
      </w:r>
      <w:r>
        <w:rPr>
          <w:b w:val="0"/>
          <w:i w:val="0"/>
        </w:rPr>
        <w:t xml:space="preserve"> wind in earth’s entrails illustrates the movement of massive bodies by something subtle</w:t>
      </w:r>
    </w:p>
    <w:p>
      <w:pPr>
        <w:keepNext/>
        <w:widowControl/>
      </w:pPr>
      <w:r>
        <w:rPr>
          <w:b/>
          <w:i w:val="0"/>
        </w:rPr>
        <w:t>In this edition.</w:t>
      </w:r>
    </w:p>
    <w:p>
      <w:pPr>
        <w:widowControl/>
      </w:pPr>
      <w:r>
        <w:rPr>
          <w:b w:val="0"/>
          <w:i w:val="0"/>
        </w:rPr>
        <w:t xml:space="preserve">The English keeps </w:t>
      </w:r>
      <w:r>
        <w:t>“</w:t>
      </w:r>
      <w:r>
        <w:rPr>
          <w:b w:val="0"/>
          <w:i w:val="0"/>
        </w:rPr>
        <w:t>like its teeth</w:t>
      </w:r>
      <w:r>
        <w:t>”</w:t>
      </w:r>
      <w:r>
        <w:rPr>
          <w:b w:val="0"/>
          <w:i w:val="0"/>
        </w:rPr>
        <w:t xml:space="preserve"> and </w:t>
      </w:r>
      <w:r>
        <w:t>“</w:t>
      </w:r>
      <w:r>
        <w:rPr>
          <w:b w:val="0"/>
          <w:i w:val="0"/>
        </w:rPr>
        <w:t>like its hairs,</w:t>
      </w:r>
      <w:r>
        <w:t>”</w:t>
      </w:r>
      <w:r>
        <w:rPr>
          <w:b w:val="0"/>
          <w:i w:val="0"/>
        </w:rPr>
        <w:t xml:space="preserve"> preserving the explicit </w:t>
      </w:r>
      <w:r>
        <w:rPr>
          <w:b w:val="0"/>
          <w:i/>
        </w:rPr>
        <w:t>quasi</w:t>
      </w:r>
      <w:r>
        <w:rPr>
          <w:b w:val="0"/>
          <w:i w:val="0"/>
        </w:rPr>
        <w:t xml:space="preserve">. The subsequent </w:t>
      </w:r>
      <w:r>
        <w:t>“</w:t>
      </w:r>
      <w:r>
        <w:rPr>
          <w:b w:val="0"/>
          <w:i w:val="0"/>
        </w:rPr>
        <w:t>womb of this female</w:t>
      </w:r>
      <w:r>
        <w:t>”</w:t>
      </w:r>
      <w:r>
        <w:rPr>
          <w:b w:val="0"/>
          <w:i w:val="0"/>
        </w:rPr>
        <w:t xml:space="preserve"> is the text’s personifying question. Reading either as modern anatomy would mistake the mode of the argument.</w:t>
      </w:r>
    </w:p>
    <w:p>
      <w:pPr>
        <w:keepNext/>
        <w:widowControl/>
      </w:pPr>
      <w:r>
        <w:rPr>
          <w:b/>
          <w:i w:val="0"/>
        </w:rPr>
        <w:t>See also.</w:t>
      </w:r>
    </w:p>
    <w:p>
      <w:pPr>
        <w:widowControl/>
      </w:pPr>
      <w:hyperlink w:anchor="earth-soul">
        <w:r>
          <w:rPr>
            <w:color w:val="000000"/>
          </w:rPr>
          <w:t xml:space="preserve">Earth soul</w:t>
        </w:r>
      </w:hyperlink>
      <w:r>
        <w:rPr>
          <w:b w:val="0"/>
          <w:i w:val="0"/>
        </w:rPr>
        <w:t xml:space="preserve">; </w:t>
      </w:r>
      <w:hyperlink w:anchor="nourishment-digestion-and-growth">
        <w:r>
          <w:rPr>
            <w:color w:val="000000"/>
          </w:rPr>
          <w:t xml:space="preserve">Nourishment and growth</w:t>
        </w:r>
      </w:hyperlink>
      <w:r>
        <w:rPr>
          <w:b w:val="0"/>
          <w:i w:val="0"/>
        </w:rPr>
        <w:t xml:space="preserve">; </w:t>
      </w:r>
      <w:hyperlink w:anchor="head-heart-and-members">
        <w:r>
          <w:rPr>
            <w:color w:val="000000"/>
          </w:rPr>
          <w:t xml:space="preserve">Head, heart, and members</w:t>
        </w:r>
      </w:hyperlink>
      <w:r>
        <w:rPr>
          <w:b w:val="0"/>
          <w:i w:val="0"/>
        </w:rPr>
        <w:t xml:space="preserve">; </w:t>
      </w:r>
      <w:hyperlink w:anchor="weariness-and-agility">
        <w:r>
          <w:rPr>
            <w:color w:val="000000"/>
          </w:rPr>
          <w:t xml:space="preserve">Weariness and agility</w:t>
        </w:r>
      </w:hyperlink>
      <w:r>
        <w:rPr>
          <w:b w:val="0"/>
          <w:i w:val="0"/>
        </w:rPr>
        <w:t>.</w:t>
      </w:r>
    </w:p>
    <w:p>
      <w:bookmarkStart w:id="81" w:name="earth-soul"/>
      <w:pPr>
        <w:pStyle w:val="Heading2"/>
      </w:pPr>
      <w:r>
        <w:rPr>
          <w:b w:val="0"/>
          <w:i w:val="0"/>
        </w:rPr>
        <w:t>Earth soul</w:t>
      </w:r>
      <w:bookmarkEnd w:id="81"/>
    </w:p>
    <w:p>
      <w:pPr>
        <w:keepNext/>
        <w:widowControl/>
      </w:pPr>
      <w:r>
        <w:rPr>
          <w:b/>
          <w:i w:val="0"/>
        </w:rPr>
        <w:t>Latin:</w:t>
      </w:r>
      <w:r>
        <w:rPr>
          <w:b w:val="0"/>
          <w:i w:val="0"/>
        </w:rPr>
        <w:t xml:space="preserve"> </w:t>
      </w:r>
      <w:r>
        <w:rPr>
          <w:b w:val="0"/>
          <w:i/>
        </w:rPr>
        <w:t>anima terrae</w:t>
      </w:r>
      <w:r>
        <w:rPr>
          <w:b w:val="0"/>
          <w:i w:val="0"/>
        </w:rPr>
        <w:t xml:space="preserve">; </w:t>
      </w:r>
      <w:r>
        <w:rPr>
          <w:b w:val="0"/>
          <w:i/>
        </w:rPr>
        <w:t>terrena vita</w:t>
      </w:r>
      <w:r>
        <w:rPr>
          <w:b w:val="0"/>
          <w:i w:val="0"/>
        </w:rPr>
        <w:t xml:space="preserve">; </w:t>
      </w:r>
      <w:r>
        <w:rPr>
          <w:b w:val="0"/>
          <w:i/>
        </w:rPr>
        <w:t>universalis terrae anima</w:t>
      </w:r>
    </w:p>
    <w:p>
      <w:pPr>
        <w:keepNext/>
        <w:widowControl/>
      </w:pPr>
      <w:r>
        <w:rPr>
          <w:b/>
          <w:i w:val="0"/>
        </w:rPr>
        <w:t>The word.</w:t>
      </w:r>
    </w:p>
    <w:p>
      <w:pPr>
        <w:widowControl/>
      </w:pPr>
      <w:r>
        <w:rPr>
          <w:b w:val="0"/>
          <w:i w:val="0"/>
        </w:rPr>
        <w:t>Anima terrae and terrena vita name the earth’s own living principle. Universalis terrae anima is universal relative to earthly particulars, not automatically the one world-soul.</w:t>
      </w:r>
    </w:p>
    <w:p>
      <w:pPr>
        <w:keepNext/>
        <w:widowControl/>
      </w:pPr>
      <w:r>
        <w:rPr>
          <w:b/>
          <w:i w:val="0"/>
        </w:rPr>
        <w:t>In the Platonic Theology.</w:t>
      </w:r>
    </w:p>
    <w:p>
      <w:pPr>
        <w:widowControl/>
      </w:pPr>
      <w:r>
        <w:rPr>
          <w:b w:val="0"/>
          <w:i w:val="0"/>
        </w:rPr>
        <w:t>Ficino infers an earth-soul from the earth’s purported generation, nourishment, and growth of living things. His striking image presents earth as a female body whose stones are teeth and plants are hair. Within the argument, earth-soul is the proximate living source that can receive general celestial impulses and direct them toward specifically earthly products. It contains the principles of vines and flies, disposes matter, and accounts for organisms that seem to arise without bodily seed. Later it also calls detached particles back toward their sphere, as a magnet draws iron. It is therefore more than a poetic name for fertility. Ficino distinguishes it from the proper souls of beasts and humans, which can sustain their bodies apart from the earth; he denies plants and stones such independence in this discussion. These conclusions depend on his inherited natural philosophy and belong under the chapter’s final theological reservation.</w:t>
      </w:r>
    </w:p>
    <w:p>
      <w:pPr>
        <w:widowControl/>
      </w:pPr>
      <w:r>
        <w:rPr>
          <w:b w:val="0"/>
          <w:i w:val="0"/>
        </w:rPr>
        <w:t>The claim that the earth’s soul is rational receives its own argument. Some earthly creatures possess reason, and the earth’s products are judged more beautiful than human works; Ficino therefore refuses a lower status to their common productive source. Yet the earth’s common soul is not the world’s one soul, nor the same soul as every organism dwelling on earth. Bodies separate in place, nature, figure, quantity, motion, and species are given corresponding separate souls. The distinction lets him maintain a hierarchy of animation without treating each visible fragment of earth as an autonomous rational being.</w:t>
      </w:r>
    </w:p>
    <w:p>
      <w:pPr>
        <w:keepNext/>
        <w:widowControl/>
      </w:pPr>
      <w:r>
        <w:rPr>
          <w:b/>
          <w:i w:val="0"/>
        </w:rPr>
        <w:t>The places.</w:t>
      </w:r>
    </w:p>
    <w:p>
      <w:pPr>
        <w:ind w:left="187" w:hanging="187"/>
      </w:pPr>
      <w:r>
        <w:t xml:space="preserve">• </w:t>
      </w:r>
      <w:r>
        <w:rPr>
          <w:b/>
          <w:i w:val="0"/>
        </w:rPr>
        <w:t>IV.1.1–2, PDF 282–283</w:t>
      </w:r>
      <w:r>
        <w:rPr>
          <w:b w:val="0"/>
          <w:i w:val="0"/>
        </w:rPr>
        <w:t>. Generation, nourishment, growth and the earth-as-female image motivate animation.</w:t>
      </w:r>
    </w:p>
    <w:p>
      <w:pPr>
        <w:ind w:left="187" w:hanging="187"/>
      </w:pPr>
      <w:r>
        <w:t xml:space="preserve">• </w:t>
      </w:r>
      <w:r>
        <w:rPr>
          <w:b/>
          <w:i w:val="0"/>
        </w:rPr>
        <w:t>IV.1.7, PDF 284–285</w:t>
      </w:r>
      <w:r>
        <w:rPr>
          <w:b w:val="0"/>
          <w:i w:val="0"/>
        </w:rPr>
        <w:t>. Earth-soul mediates heavenly impulses into local lives.</w:t>
      </w:r>
    </w:p>
    <w:p>
      <w:pPr>
        <w:ind w:left="187" w:hanging="187"/>
      </w:pPr>
      <w:r>
        <w:t xml:space="preserve">• </w:t>
      </w:r>
      <w:r>
        <w:rPr>
          <w:b/>
          <w:i w:val="0"/>
        </w:rPr>
        <w:t>IV.1.39, PDF 302–303</w:t>
      </w:r>
      <w:r>
        <w:rPr>
          <w:b w:val="0"/>
          <w:i w:val="0"/>
        </w:rPr>
        <w:t>. Reason in earthly products and beauty of their production support rationality of their source.</w:t>
      </w:r>
    </w:p>
    <w:p>
      <w:pPr>
        <w:ind w:left="187" w:hanging="187"/>
      </w:pPr>
      <w:r>
        <w:t xml:space="preserve">• </w:t>
      </w:r>
      <w:r>
        <w:rPr>
          <w:b/>
          <w:i w:val="0"/>
        </w:rPr>
        <w:t>IV.1.96, PDF 332–333</w:t>
      </w:r>
      <w:r>
        <w:rPr>
          <w:b w:val="0"/>
          <w:i w:val="0"/>
        </w:rPr>
        <w:t>. The account receives an explicit theological reservation.</w:t>
      </w:r>
    </w:p>
    <w:p>
      <w:pPr>
        <w:widowControl/>
      </w:pPr>
      <w:r>
        <w:rPr>
          <w:b/>
          <w:i w:val="0"/>
        </w:rPr>
        <w:t>Further passage references.</w:t>
      </w:r>
      <w:r>
        <w:rPr>
          <w:b w:val="0"/>
          <w:i w:val="0"/>
        </w:rPr>
        <w:t xml:space="preserve"> IV.1.1–IV.1.9, pp. 282–287; IV.1.35–IV.1.39, pp. 298–303; IV.1.74–IV.1.80, pp. 320–323; IV.1.96, pp. 332–333</w:t>
      </w:r>
    </w:p>
    <w:p>
      <w:pPr>
        <w:keepNext/>
        <w:widowControl/>
      </w:pPr>
      <w:r>
        <w:rPr>
          <w:b/>
          <w:i w:val="0"/>
        </w:rPr>
        <w:t>In this edition.</w:t>
      </w:r>
    </w:p>
    <w:p>
      <w:pPr>
        <w:widowControl/>
      </w:pPr>
      <w:r>
        <w:rPr>
          <w:b w:val="0"/>
          <w:i w:val="0"/>
        </w:rPr>
        <w:t xml:space="preserve">The claim of generation from putrefaction carries apparent or reported observation and belongs to Ficino’s natural philosophy. </w:t>
      </w:r>
      <w:r>
        <w:t>“</w:t>
      </w:r>
      <w:r>
        <w:rPr>
          <w:b w:val="0"/>
          <w:i w:val="0"/>
        </w:rPr>
        <w:t>Contracted</w:t>
      </w:r>
      <w:r>
        <w:t>”</w:t>
      </w:r>
      <w:r>
        <w:rPr>
          <w:b w:val="0"/>
          <w:i w:val="0"/>
        </w:rPr>
        <w:t xml:space="preserve"> celestial influences at IV.1.7 are made earthly and particular through a fitting causal middle, not physically squeezed.</w:t>
      </w:r>
    </w:p>
    <w:p>
      <w:pPr>
        <w:keepNext/>
        <w:widowControl/>
      </w:pPr>
      <w:r>
        <w:rPr>
          <w:b/>
          <w:i w:val="0"/>
        </w:rPr>
        <w:t>See also.</w:t>
      </w:r>
    </w:p>
    <w:p>
      <w:pPr>
        <w:widowControl/>
      </w:pPr>
      <w:hyperlink w:anchor="generation-and-corruption">
        <w:r>
          <w:rPr>
            <w:color w:val="000000"/>
          </w:rPr>
          <w:t xml:space="preserve">Generation and corruption</w:t>
        </w:r>
      </w:hyperlink>
      <w:r>
        <w:rPr>
          <w:b w:val="0"/>
          <w:i w:val="0"/>
        </w:rPr>
        <w:t xml:space="preserve">; </w:t>
      </w:r>
      <w:hyperlink w:anchor="seeds">
        <w:r>
          <w:rPr>
            <w:color w:val="000000"/>
          </w:rPr>
          <w:t xml:space="preserve">Seeds</w:t>
        </w:r>
      </w:hyperlink>
      <w:r>
        <w:rPr>
          <w:b w:val="0"/>
          <w:i w:val="0"/>
        </w:rPr>
        <w:t xml:space="preserve">; </w:t>
      </w:r>
      <w:hyperlink w:anchor="celestial-influence">
        <w:r>
          <w:rPr>
            <w:color w:val="000000"/>
          </w:rPr>
          <w:t xml:space="preserve">Celestial influence</w:t>
        </w:r>
      </w:hyperlink>
      <w:r>
        <w:rPr>
          <w:b w:val="0"/>
          <w:i w:val="0"/>
        </w:rPr>
        <w:t xml:space="preserve">; </w:t>
      </w:r>
      <w:hyperlink w:anchor="world-soul">
        <w:r>
          <w:rPr>
            <w:color w:val="000000"/>
          </w:rPr>
          <w:t xml:space="preserve">World soul</w:t>
        </w:r>
      </w:hyperlink>
    </w:p>
    <w:p>
      <w:bookmarkStart w:id="82" w:name="elements-and-their-spheres"/>
      <w:pPr>
        <w:pStyle w:val="Heading2"/>
      </w:pPr>
      <w:r>
        <w:rPr>
          <w:b w:val="0"/>
          <w:i w:val="0"/>
        </w:rPr>
        <w:t>Elements and their spheres</w:t>
      </w:r>
      <w:bookmarkEnd w:id="82"/>
    </w:p>
    <w:p>
      <w:pPr>
        <w:keepNext/>
        <w:widowControl/>
      </w:pPr>
      <w:r>
        <w:rPr>
          <w:b/>
          <w:i w:val="0"/>
        </w:rPr>
        <w:t>Latin:</w:t>
      </w:r>
      <w:r>
        <w:rPr>
          <w:b w:val="0"/>
          <w:i w:val="0"/>
        </w:rPr>
        <w:t xml:space="preserve"> </w:t>
      </w:r>
      <w:r>
        <w:rPr>
          <w:b w:val="0"/>
          <w:i/>
        </w:rPr>
        <w:t>elementa</w:t>
      </w:r>
      <w:r>
        <w:rPr>
          <w:b w:val="0"/>
          <w:i w:val="0"/>
        </w:rPr>
        <w:t xml:space="preserve">; </w:t>
      </w:r>
      <w:r>
        <w:rPr>
          <w:b w:val="0"/>
          <w:i/>
        </w:rPr>
        <w:t>sphaerae elementorum</w:t>
      </w:r>
      <w:r>
        <w:rPr>
          <w:b w:val="0"/>
          <w:i w:val="0"/>
        </w:rPr>
        <w:t xml:space="preserve">; </w:t>
      </w:r>
      <w:r>
        <w:rPr>
          <w:b w:val="0"/>
          <w:i/>
        </w:rPr>
        <w:t>integra elementa</w:t>
      </w:r>
      <w:r>
        <w:rPr>
          <w:b w:val="0"/>
          <w:i w:val="0"/>
        </w:rPr>
        <w:t xml:space="preserve">; </w:t>
      </w:r>
      <w:r>
        <w:rPr>
          <w:b w:val="0"/>
          <w:i/>
        </w:rPr>
        <w:t>particulae</w:t>
      </w:r>
    </w:p>
    <w:p>
      <w:pPr>
        <w:keepNext/>
        <w:widowControl/>
      </w:pPr>
      <w:r>
        <w:rPr>
          <w:b/>
          <w:i w:val="0"/>
        </w:rPr>
        <w:t>The word.</w:t>
      </w:r>
    </w:p>
    <w:p>
      <w:pPr>
        <w:widowControl/>
      </w:pPr>
      <w:r>
        <w:rPr>
          <w:b w:val="0"/>
          <w:i w:val="0"/>
        </w:rPr>
        <w:t>Elementa names earth, water, air and fire; integra elementa and sphaerae designate their wholes, while particulae are separated portions entering mixtures. Whole and particle have different purposes and causal roles.</w:t>
      </w:r>
    </w:p>
    <w:p>
      <w:pPr>
        <w:keepNext/>
        <w:widowControl/>
      </w:pPr>
      <w:r>
        <w:rPr>
          <w:b/>
          <w:i w:val="0"/>
        </w:rPr>
        <w:t>In the Platonic Theology.</w:t>
      </w:r>
    </w:p>
    <w:p>
      <w:pPr>
        <w:widowControl/>
      </w:pPr>
      <w:r>
        <w:rPr>
          <w:b w:val="0"/>
          <w:i w:val="0"/>
        </w:rPr>
        <w:t>Earth, water, air, and fire belong to the lower cosmic spheres. The crucial distinction is between an entire elemental sphere and a detached particle or mixture. Objections that elements are inferior because they serve composite bodies miss, Ficino argues, the purpose of their wholes: complete spheres serve the world itself, whereas separated particles are mixed for the sake of particular bodies. The wholes also mediate divine and celestial influences before these descend to mixed bodies. A sphere’s common soul must therefore be distinguished from the souls of creatures living within it. IV.1.36 adds the four elemental spheres to eight heavens, explaining the later total of twelve cosmic spheres; eight and twelve are not inconsistent counts of the same category. Descriptions of their location, purity, and animacy are part of the stated cosmology, rather than current scientific classification. The text’s distinction between whole and particle does important argumentative work throughout.</w:t>
      </w:r>
    </w:p>
    <w:p>
      <w:pPr>
        <w:keepNext/>
        <w:widowControl/>
      </w:pPr>
      <w:r>
        <w:rPr>
          <w:b/>
          <w:i w:val="0"/>
        </w:rPr>
        <w:t>The places.</w:t>
      </w:r>
    </w:p>
    <w:p>
      <w:pPr>
        <w:ind w:left="187" w:hanging="187"/>
      </w:pPr>
      <w:r>
        <w:t xml:space="preserve">• </w:t>
      </w:r>
      <w:r>
        <w:rPr>
          <w:b/>
          <w:i w:val="0"/>
        </w:rPr>
        <w:t>IV.1.36, PDF 300–301</w:t>
      </w:r>
      <w:r>
        <w:rPr>
          <w:b w:val="0"/>
          <w:i w:val="0"/>
        </w:rPr>
        <w:t>. Air and fire receive the same animating argument as earth and water, alongside eight heavens.</w:t>
      </w:r>
    </w:p>
    <w:p>
      <w:pPr>
        <w:ind w:left="187" w:hanging="187"/>
      </w:pPr>
      <w:r>
        <w:t xml:space="preserve">• </w:t>
      </w:r>
      <w:r>
        <w:rPr>
          <w:b/>
          <w:i w:val="0"/>
        </w:rPr>
        <w:t>IV.1.89–91, PDF 328–329</w:t>
      </w:r>
      <w:r>
        <w:rPr>
          <w:b w:val="0"/>
          <w:i w:val="0"/>
        </w:rPr>
        <w:t>. The objection about inferiority is answered by distinguishing the cosmic whole from mixed particles.</w:t>
      </w:r>
    </w:p>
    <w:p>
      <w:pPr>
        <w:ind w:left="187" w:hanging="187"/>
      </w:pPr>
      <w:r>
        <w:t xml:space="preserve">• </w:t>
      </w:r>
      <w:r>
        <w:rPr>
          <w:b/>
          <w:i w:val="0"/>
        </w:rPr>
        <w:t>IV.1.96, PDF 332–333</w:t>
      </w:r>
      <w:r>
        <w:rPr>
          <w:b w:val="0"/>
          <w:i w:val="0"/>
        </w:rPr>
        <w:t>. Twelve sphere-souls are distinguished from one world-soul and many souls within spheres.</w:t>
      </w:r>
    </w:p>
    <w:p>
      <w:pPr>
        <w:widowControl/>
      </w:pPr>
      <w:r>
        <w:rPr>
          <w:b/>
          <w:i w:val="0"/>
        </w:rPr>
        <w:t>Further passage references.</w:t>
      </w:r>
      <w:r>
        <w:rPr>
          <w:b w:val="0"/>
          <w:i w:val="0"/>
        </w:rPr>
        <w:t xml:space="preserve"> IV.1.35–IV.1.39, pp. 298–303; IV.1.50, pp. 306–307; IV.1.89–IV.1.93, pp. 328–331</w:t>
      </w:r>
    </w:p>
    <w:p>
      <w:pPr>
        <w:keepNext/>
        <w:widowControl/>
      </w:pPr>
      <w:r>
        <w:rPr>
          <w:b/>
          <w:i w:val="0"/>
        </w:rPr>
        <w:t>In this edition.</w:t>
      </w:r>
    </w:p>
    <w:p>
      <w:pPr>
        <w:widowControl/>
      </w:pPr>
      <w:r>
        <w:rPr>
          <w:b w:val="0"/>
          <w:i w:val="0"/>
        </w:rPr>
        <w:t xml:space="preserve">Eight heavens and twelve total spheres are compatible counts because the four elemental spheres are added. </w:t>
      </w:r>
      <w:r>
        <w:t>“</w:t>
      </w:r>
      <w:r>
        <w:rPr>
          <w:b w:val="0"/>
          <w:i w:val="0"/>
        </w:rPr>
        <w:t>Complete elements</w:t>
      </w:r>
      <w:r>
        <w:t>”</w:t>
      </w:r>
      <w:r>
        <w:rPr>
          <w:b w:val="0"/>
          <w:i w:val="0"/>
        </w:rPr>
        <w:t xml:space="preserve"> should not be replaced by every small sample of earth or water; the whole/particle distinction is the response to the objection.</w:t>
      </w:r>
    </w:p>
    <w:p>
      <w:pPr>
        <w:keepNext/>
        <w:widowControl/>
      </w:pPr>
      <w:r>
        <w:rPr>
          <w:b/>
          <w:i w:val="0"/>
        </w:rPr>
        <w:t>See also.</w:t>
      </w:r>
    </w:p>
    <w:p>
      <w:pPr>
        <w:widowControl/>
      </w:pPr>
      <w:hyperlink w:anchor="spheres-and-stars">
        <w:r>
          <w:rPr>
            <w:color w:val="000000"/>
          </w:rPr>
          <w:t xml:space="preserve">Spheres and stars</w:t>
        </w:r>
      </w:hyperlink>
      <w:r>
        <w:rPr>
          <w:b w:val="0"/>
          <w:i w:val="0"/>
        </w:rPr>
        <w:t xml:space="preserve">; </w:t>
      </w:r>
      <w:hyperlink w:anchor="whole-and-parts">
        <w:r>
          <w:rPr>
            <w:color w:val="000000"/>
          </w:rPr>
          <w:t xml:space="preserve">Whole and parts</w:t>
        </w:r>
      </w:hyperlink>
      <w:r>
        <w:rPr>
          <w:b w:val="0"/>
          <w:i w:val="0"/>
        </w:rPr>
        <w:t xml:space="preserve">; </w:t>
      </w:r>
      <w:hyperlink w:anchor="purity-and-mixture">
        <w:r>
          <w:rPr>
            <w:color w:val="000000"/>
          </w:rPr>
          <w:t xml:space="preserve">Purity and mixture</w:t>
        </w:r>
      </w:hyperlink>
      <w:r>
        <w:rPr>
          <w:b w:val="0"/>
          <w:i w:val="0"/>
        </w:rPr>
        <w:t xml:space="preserve">; </w:t>
      </w:r>
      <w:hyperlink w:anchor="soul">
        <w:r>
          <w:rPr>
            <w:color w:val="000000"/>
          </w:rPr>
          <w:t xml:space="preserve">Soul</w:t>
        </w:r>
      </w:hyperlink>
    </w:p>
    <w:p>
      <w:bookmarkStart w:id="83" w:name="empyrean-heaven"/>
      <w:pPr>
        <w:pStyle w:val="Heading2"/>
      </w:pPr>
      <w:r>
        <w:rPr>
          <w:b w:val="0"/>
          <w:i w:val="0"/>
        </w:rPr>
        <w:t>Empyrean heaven</w:t>
      </w:r>
      <w:bookmarkEnd w:id="83"/>
    </w:p>
    <w:p>
      <w:pPr>
        <w:keepNext/>
        <w:widowControl/>
      </w:pPr>
      <w:r>
        <w:rPr>
          <w:b/>
          <w:i w:val="0"/>
        </w:rPr>
        <w:t>Latin:</w:t>
      </w:r>
      <w:r>
        <w:rPr>
          <w:b w:val="0"/>
          <w:i w:val="0"/>
        </w:rPr>
        <w:t xml:space="preserve"> </w:t>
      </w:r>
      <w:r>
        <w:rPr>
          <w:b w:val="0"/>
          <w:i/>
        </w:rPr>
        <w:t>caelum empyreum; prorsus immobile; in aeternitate; sunt et qui</w:t>
      </w:r>
    </w:p>
    <w:p>
      <w:pPr>
        <w:keepNext/>
        <w:widowControl/>
      </w:pPr>
      <w:r>
        <w:rPr>
          <w:b/>
          <w:i w:val="0"/>
        </w:rPr>
        <w:t>The word.</w:t>
      </w:r>
    </w:p>
    <w:p>
      <w:pPr>
        <w:widowControl/>
      </w:pPr>
      <w:r>
        <w:rPr>
          <w:b w:val="0"/>
          <w:i w:val="0"/>
        </w:rPr>
        <w:t xml:space="preserve">Caelum empyreum is the named heaven; prorsus immobile means wholly motionless. Sunt et qui, </w:t>
      </w:r>
      <w:r>
        <w:t>“</w:t>
      </w:r>
      <w:r>
        <w:rPr>
          <w:b w:val="0"/>
          <w:i w:val="0"/>
        </w:rPr>
        <w:t>there are also those who,</w:t>
      </w:r>
      <w:r>
        <w:t>”</w:t>
      </w:r>
      <w:r>
        <w:rPr>
          <w:b w:val="0"/>
          <w:i w:val="0"/>
        </w:rPr>
        <w:t xml:space="preserve"> introduces a reported classification. The passage supplies the term’s classificatory role without explaining its etymology.</w:t>
      </w:r>
    </w:p>
    <w:p>
      <w:pPr>
        <w:keepNext/>
        <w:widowControl/>
      </w:pPr>
      <w:r>
        <w:rPr>
          <w:b/>
          <w:i w:val="0"/>
        </w:rPr>
        <w:t>In the Platonic Theology.</w:t>
      </w:r>
    </w:p>
    <w:p>
      <w:pPr>
        <w:widowControl/>
      </w:pPr>
      <w:r>
        <w:rPr>
          <w:b w:val="0"/>
          <w:i w:val="0"/>
        </w:rPr>
        <w:t>After describing soul as a bond between eternal and temporal things, Ficino reports those who place the empyrean in eternity as wholly motionless, other spheres in eternity and time together, and composite things in time alone. A corresponding classification of pure intellects, ensouled intellects, and bodily souls follows. This is an analogy of ways of being related to eternity and time. It is not a fresh unqualified assertion that every sphere is motionless, nor a reason to add an extra sphere indiscriminately to every other enumeration in the work. The initial attribution governs the linked classification and must not disappear when the short sentence is quoted alone.</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III.2.3 (Latin PDF p. 262; English PDF p. 263).</w:t>
      </w:r>
      <w:r>
        <w:rPr>
          <w:b w:val="0"/>
          <w:i w:val="0"/>
        </w:rPr>
        <w:t xml:space="preserve"> Soul’s intermediate relation to eternal and temporal beings prepares the comparison.</w:t>
      </w:r>
    </w:p>
    <w:p>
      <w:pPr>
        <w:ind w:left="187" w:hanging="187"/>
      </w:pPr>
      <w:r>
        <w:t xml:space="preserve">• </w:t>
      </w:r>
      <w:r>
        <w:rPr>
          <w:b/>
          <w:i w:val="0"/>
        </w:rPr>
        <w:t>III.2.4 (Latin PDF p. 262; English PDF p. 263).</w:t>
      </w:r>
      <w:r>
        <w:rPr>
          <w:b w:val="0"/>
          <w:i w:val="0"/>
        </w:rPr>
        <w:t xml:space="preserve"> An unnamed group places the empyrean in eternity as motionless.</w:t>
      </w:r>
    </w:p>
    <w:p>
      <w:pPr>
        <w:ind w:left="187" w:hanging="187"/>
      </w:pPr>
      <w:r>
        <w:t xml:space="preserve">• </w:t>
      </w:r>
      <w:r>
        <w:rPr>
          <w:b/>
          <w:i w:val="0"/>
        </w:rPr>
        <w:t>III.2.5 (Latin PDF p. 264; English PDF p. 265).</w:t>
      </w:r>
      <w:r>
        <w:rPr>
          <w:b w:val="0"/>
          <w:i w:val="0"/>
        </w:rPr>
        <w:t xml:space="preserve"> The reported classification assigns other spheres to eternity and time.</w:t>
      </w:r>
    </w:p>
    <w:p>
      <w:pPr>
        <w:ind w:left="187" w:hanging="187"/>
      </w:pPr>
      <w:r>
        <w:t xml:space="preserve">• </w:t>
      </w:r>
      <w:r>
        <w:rPr>
          <w:b/>
          <w:i w:val="0"/>
        </w:rPr>
        <w:t>III.2.6 (Latin PDF p. 264; English PDF p. 265).</w:t>
      </w:r>
      <w:r>
        <w:rPr>
          <w:b w:val="0"/>
          <w:i w:val="0"/>
        </w:rPr>
        <w:t xml:space="preserve"> The classification concludes with bodily souls before the argument resumes.</w:t>
      </w:r>
    </w:p>
    <w:p>
      <w:pPr>
        <w:keepNext/>
        <w:widowControl/>
      </w:pPr>
      <w:r>
        <w:rPr>
          <w:b/>
          <w:i w:val="0"/>
        </w:rPr>
        <w:t>In this edition.</w:t>
      </w:r>
    </w:p>
    <w:p>
      <w:pPr>
        <w:widowControl/>
      </w:pPr>
      <w:r>
        <w:rPr>
          <w:b w:val="0"/>
          <w:i w:val="0"/>
        </w:rPr>
        <w:t xml:space="preserve">The supplied Latin and English have </w:t>
      </w:r>
      <w:r>
        <w:t>“</w:t>
      </w:r>
      <w:r>
        <w:rPr>
          <w:b w:val="0"/>
          <w:i w:val="0"/>
        </w:rPr>
        <w:t>wholly motionless.</w:t>
      </w:r>
      <w:r>
        <w:t>”</w:t>
      </w:r>
      <w:r>
        <w:rPr>
          <w:b w:val="0"/>
          <w:i w:val="0"/>
        </w:rPr>
        <w:t xml:space="preserve"> The edition’s apparatus (PDF p. 385) reports prorsus immobile in M1482 and P1641 against prorsus mobile in G1559. This is the apparatus’s report, not a new collation. The opposite reading must not silently replace the text or erase its express attribution.</w:t>
      </w:r>
    </w:p>
    <w:p>
      <w:pPr>
        <w:keepNext/>
        <w:widowControl/>
      </w:pPr>
      <w:r>
        <w:rPr>
          <w:b/>
          <w:i w:val="0"/>
        </w:rPr>
        <w:t>See also.</w:t>
      </w:r>
    </w:p>
    <w:p>
      <w:pPr>
        <w:widowControl/>
      </w:pPr>
      <w:hyperlink w:anchor="eternity-and-time">
        <w:r>
          <w:rPr>
            <w:color w:val="000000"/>
          </w:rPr>
          <w:t xml:space="preserve">Eternity and time</w:t>
        </w:r>
      </w:hyperlink>
      <w:r>
        <w:rPr>
          <w:b w:val="0"/>
          <w:i w:val="0"/>
        </w:rPr>
        <w:t xml:space="preserve">; </w:t>
      </w:r>
      <w:hyperlink w:anchor="spheres-and-stars">
        <w:r>
          <w:rPr>
            <w:color w:val="000000"/>
          </w:rPr>
          <w:t xml:space="preserve">Spheres and stars</w:t>
        </w:r>
      </w:hyperlink>
      <w:r>
        <w:rPr>
          <w:b w:val="0"/>
          <w:i w:val="0"/>
        </w:rPr>
        <w:t xml:space="preserve">; </w:t>
      </w:r>
      <w:hyperlink w:anchor="soul">
        <w:r>
          <w:rPr>
            <w:color w:val="000000"/>
          </w:rPr>
          <w:t xml:space="preserve">Soul</w:t>
        </w:r>
      </w:hyperlink>
      <w:r>
        <w:rPr>
          <w:b w:val="0"/>
          <w:i w:val="0"/>
        </w:rPr>
        <w:t xml:space="preserve">; </w:t>
      </w:r>
      <w:hyperlink w:anchor="qualification-and-attribution">
        <w:r>
          <w:rPr>
            <w:color w:val="000000"/>
          </w:rPr>
          <w:t xml:space="preserve">Qualification and attribution</w:t>
        </w:r>
      </w:hyperlink>
      <w:r>
        <w:rPr>
          <w:b w:val="0"/>
          <w:i w:val="0"/>
        </w:rPr>
        <w:t>.</w:t>
      </w:r>
    </w:p>
    <w:p>
      <w:bookmarkStart w:id="84" w:name="end-and-limit"/>
      <w:pPr>
        <w:pStyle w:val="Heading2"/>
      </w:pPr>
      <w:r>
        <w:rPr>
          <w:b w:val="0"/>
          <w:i w:val="0"/>
        </w:rPr>
        <w:t>End and limit</w:t>
      </w:r>
      <w:bookmarkEnd w:id="84"/>
    </w:p>
    <w:p>
      <w:pPr>
        <w:keepNext/>
        <w:widowControl/>
      </w:pPr>
      <w:r>
        <w:rPr>
          <w:b/>
          <w:i w:val="0"/>
        </w:rPr>
        <w:t>Latin:</w:t>
      </w:r>
      <w:r>
        <w:rPr>
          <w:b w:val="0"/>
          <w:i w:val="0"/>
        </w:rPr>
        <w:t xml:space="preserve"> </w:t>
      </w:r>
      <w:r>
        <w:rPr>
          <w:b w:val="0"/>
          <w:i/>
        </w:rPr>
        <w:t>finis</w:t>
      </w:r>
      <w:r>
        <w:rPr>
          <w:b w:val="0"/>
          <w:i w:val="0"/>
        </w:rPr>
        <w:t xml:space="preserve">; </w:t>
      </w:r>
      <w:r>
        <w:rPr>
          <w:b w:val="0"/>
          <w:i/>
        </w:rPr>
        <w:t>terminus</w:t>
      </w:r>
      <w:r>
        <w:rPr>
          <w:b w:val="0"/>
          <w:i w:val="0"/>
        </w:rPr>
        <w:t xml:space="preserve">; </w:t>
      </w:r>
      <w:r>
        <w:rPr>
          <w:b w:val="0"/>
          <w:i/>
        </w:rPr>
        <w:t>terminare</w:t>
      </w:r>
      <w:r>
        <w:rPr>
          <w:b w:val="0"/>
          <w:i w:val="0"/>
        </w:rPr>
        <w:t xml:space="preserve">; </w:t>
      </w:r>
      <w:r>
        <w:rPr>
          <w:b w:val="0"/>
          <w:i/>
        </w:rPr>
        <w:t>determinare</w:t>
      </w:r>
      <w:r>
        <w:rPr>
          <w:b w:val="0"/>
          <w:i w:val="0"/>
        </w:rPr>
        <w:t xml:space="preserve">; </w:t>
      </w:r>
      <w:r>
        <w:rPr>
          <w:b w:val="0"/>
          <w:i/>
        </w:rPr>
        <w:t>scopus</w:t>
      </w:r>
      <w:r>
        <w:rPr>
          <w:b w:val="0"/>
          <w:i w:val="0"/>
        </w:rPr>
        <w:t xml:space="preserve">; </w:t>
      </w:r>
      <w:r>
        <w:rPr>
          <w:b w:val="0"/>
          <w:i/>
        </w:rPr>
        <w:t>ultimus finis</w:t>
      </w:r>
      <w:r>
        <w:rPr>
          <w:b w:val="0"/>
          <w:i w:val="0"/>
        </w:rPr>
        <w:t xml:space="preserve">; </w:t>
      </w:r>
      <w:r>
        <w:rPr>
          <w:b w:val="0"/>
          <w:i/>
        </w:rPr>
        <w:t>infinitus finis</w:t>
      </w:r>
      <w:r>
        <w:rPr>
          <w:b w:val="0"/>
          <w:i w:val="0"/>
        </w:rPr>
        <w:t xml:space="preserve">; </w:t>
      </w:r>
      <w:r>
        <w:rPr>
          <w:b w:val="0"/>
          <w:i/>
        </w:rPr>
        <w:t>finis ultimus</w:t>
      </w:r>
      <w:r>
        <w:rPr>
          <w:b w:val="0"/>
          <w:i w:val="0"/>
        </w:rPr>
        <w:t xml:space="preserve">; </w:t>
      </w:r>
      <w:r>
        <w:rPr>
          <w:b w:val="0"/>
          <w:i/>
        </w:rPr>
        <w:t>ad finem</w:t>
      </w:r>
      <w:r>
        <w:rPr>
          <w:b w:val="0"/>
          <w:i w:val="0"/>
        </w:rPr>
        <w:t xml:space="preserve">; </w:t>
      </w:r>
      <w:r>
        <w:rPr>
          <w:b w:val="0"/>
          <w:i/>
        </w:rPr>
        <w:t>cuius gratia</w:t>
      </w:r>
      <w:r>
        <w:rPr>
          <w:b w:val="0"/>
          <w:i w:val="0"/>
        </w:rPr>
        <w:t xml:space="preserve">; </w:t>
      </w:r>
      <w:r>
        <w:rPr>
          <w:b w:val="0"/>
          <w:i/>
        </w:rPr>
        <w:t>bonum</w:t>
      </w:r>
      <w:r>
        <w:rPr>
          <w:b w:val="0"/>
          <w:i w:val="0"/>
        </w:rPr>
        <w:t xml:space="preserve">; </w:t>
      </w:r>
      <w:r>
        <w:rPr>
          <w:b w:val="0"/>
          <w:i/>
        </w:rPr>
        <w:t>tamquam finis</w:t>
      </w:r>
      <w:r>
        <w:rPr>
          <w:b w:val="0"/>
          <w:i w:val="0"/>
        </w:rPr>
        <w:t xml:space="preserve">; </w:t>
      </w:r>
      <w:r>
        <w:rPr>
          <w:b w:val="0"/>
          <w:i/>
        </w:rPr>
        <w:t>motionum omnium fini</w:t>
      </w:r>
    </w:p>
    <w:p>
      <w:pPr>
        <w:keepNext/>
        <w:widowControl/>
      </w:pPr>
      <w:r>
        <w:rPr>
          <w:b/>
          <w:i w:val="0"/>
        </w:rPr>
        <w:t>The word.</w:t>
      </w:r>
    </w:p>
    <w:p>
      <w:pPr>
        <w:widowControl/>
      </w:pPr>
      <w:r>
        <w:rPr>
          <w:b w:val="0"/>
          <w:i w:val="0"/>
        </w:rPr>
        <w:t>Finis can be a goal or completion as well as an endpoint; terminus a boundary or determination; scopus an aim. Cuius gratia identifies what something is for. The relevant kind of end varies with the activity.</w:t>
      </w:r>
    </w:p>
    <w:p>
      <w:pPr>
        <w:keepNext/>
        <w:widowControl/>
      </w:pPr>
      <w:r>
        <w:rPr>
          <w:b/>
          <w:i w:val="0"/>
        </w:rPr>
        <w:t>In the Platonic Theology.</w:t>
      </w:r>
    </w:p>
    <w:p>
      <w:pPr>
        <w:widowControl/>
      </w:pPr>
      <w:r>
        <w:rPr>
          <w:b w:val="0"/>
          <w:i/>
        </w:rPr>
        <w:t>Finis</w:t>
      </w:r>
      <w:r>
        <w:rPr>
          <w:b w:val="0"/>
          <w:i w:val="0"/>
        </w:rPr>
        <w:t xml:space="preserve"> can mean a goal, a completion, or a boundary; </w:t>
      </w:r>
      <w:r>
        <w:rPr>
          <w:b w:val="0"/>
          <w:i/>
        </w:rPr>
        <w:t>terminus</w:t>
      </w:r>
      <w:r>
        <w:rPr>
          <w:b w:val="0"/>
          <w:i w:val="0"/>
        </w:rPr>
        <w:t xml:space="preserve"> can mark a limiting determination or completed state. Neither is restricted to the moment when an event stops. The opening </w:t>
      </w:r>
      <w:r>
        <w:rPr>
          <w:b w:val="0"/>
          <w:i/>
        </w:rPr>
        <w:t>terminus vivendi</w:t>
      </w:r>
      <w:r>
        <w:rPr>
          <w:b w:val="0"/>
          <w:i w:val="0"/>
        </w:rPr>
        <w:t xml:space="preserve"> concerns life’s endpoint, but most later arguments concern what an agent seeks or an activity is for. A moving thing seeks a completion it lacks and therefore depends on something more perfect; it does not rest in itself. Intellectual substances can be called the ends of corporeal things because lower things are ordered for their sake. Their role as ends also explains why angels need not be counted solely from the motions they govern.</w:t>
      </w:r>
    </w:p>
    <w:p>
      <w:pPr>
        <w:widowControl/>
      </w:pPr>
      <w:r>
        <w:rPr>
          <w:b w:val="0"/>
          <w:i w:val="0"/>
        </w:rPr>
        <w:t xml:space="preserve">The first principle and final end belong together: the same goodness that produces effects gives their appetite an ultimate orientation and perfects them through return. In the reported theory of mind, God is its </w:t>
      </w:r>
      <w:r>
        <w:rPr>
          <w:b w:val="0"/>
          <w:i/>
        </w:rPr>
        <w:t>scopus finisque</w:t>
      </w:r>
      <w:r>
        <w:rPr>
          <w:b w:val="0"/>
          <w:i w:val="0"/>
        </w:rPr>
        <w:t xml:space="preserve">, aim and end; fire’s upward tendency supplies an analogy. The designation </w:t>
      </w:r>
      <w:r>
        <w:rPr>
          <w:b w:val="0"/>
          <w:i/>
        </w:rPr>
        <w:t>infinitus finis</w:t>
      </w:r>
      <w:r>
        <w:rPr>
          <w:b w:val="0"/>
          <w:i w:val="0"/>
        </w:rPr>
        <w:t>, attributed to Orpheus, combines ultimate goal with unlimited power rather than enclosing God within a finite boundary.</w:t>
      </w:r>
    </w:p>
    <w:p>
      <w:pPr>
        <w:widowControl/>
      </w:pPr>
      <w:r>
        <w:rPr>
          <w:b w:val="0"/>
          <w:i w:val="0"/>
        </w:rPr>
        <w:t>An end also links intellect and will. Intelligence apprehends the good to be attained and understands suitable routes; will approves the end and selects a route. Knowing a possible form does not alone explain its actual production. God’s ultimate end cannot be a good outside God, which would make him dependent. He wills his own goodness, with creatures ordered toward its manifestation. Yet divine goodness needs no creatures. The necessity of willing this end consequently differs from the conditional or absent necessity of particular created means. Human beings likewise necessarily seek goodness as such while retaining judgment about particular goods and ways of pursuing them. In providential action, an end can already be present in intention even when the natural bodies directed toward it do not themselves know it.</w:t>
      </w:r>
    </w:p>
    <w:p>
      <w:pPr>
        <w:widowControl/>
      </w:pPr>
      <w:r>
        <w:rPr>
          <w:b w:val="0"/>
          <w:i w:val="0"/>
        </w:rPr>
        <w:t xml:space="preserve">In the celestial account, God moves heaven as goodness moves appetite: as its desired end. Immediate bodily movement still requires an inner living form that desires and acts. The distinction separates final direction from a proximate mover’s operation. Neither heaven’s moving body nor its moved soul is the ultimate principle and end. IV.2.18’s </w:t>
      </w:r>
      <w:r>
        <w:t>‘</w:t>
      </w:r>
      <w:r>
        <w:rPr>
          <w:b w:val="0"/>
          <w:i w:val="0"/>
        </w:rPr>
        <w:t>end of all motions</w:t>
      </w:r>
      <w:r>
        <w:t>’</w:t>
      </w:r>
      <w:r>
        <w:rPr>
          <w:b w:val="0"/>
          <w:i w:val="0"/>
        </w:rPr>
        <w:t xml:space="preserve"> is read by the supplied apparatus as an apposition to the infinite stable state; it does not simply announce a temporal halt in cosmic activity.</w:t>
      </w:r>
    </w:p>
    <w:p>
      <w:pPr>
        <w:keepNext/>
        <w:widowControl/>
      </w:pPr>
      <w:r>
        <w:rPr>
          <w:b/>
          <w:i w:val="0"/>
        </w:rPr>
        <w:t>The places.</w:t>
      </w:r>
    </w:p>
    <w:p>
      <w:pPr>
        <w:ind w:left="187" w:hanging="187"/>
      </w:pPr>
      <w:r>
        <w:t xml:space="preserve">• </w:t>
      </w:r>
      <w:r>
        <w:rPr>
          <w:b/>
          <w:i w:val="0"/>
        </w:rPr>
        <w:t>I.1.1, PDF 14–15</w:t>
      </w:r>
      <w:r>
        <w:rPr>
          <w:b w:val="0"/>
          <w:i w:val="0"/>
        </w:rPr>
        <w:t>. Terminus vivendi is the conditional endpoint of mortal life.</w:t>
      </w:r>
    </w:p>
    <w:p>
      <w:pPr>
        <w:ind w:left="187" w:hanging="187"/>
      </w:pPr>
      <w:r>
        <w:t xml:space="preserve">• </w:t>
      </w:r>
      <w:r>
        <w:rPr>
          <w:b/>
          <w:i w:val="0"/>
        </w:rPr>
        <w:t>I.5.4–6, PDF 62–63</w:t>
      </w:r>
      <w:r>
        <w:rPr>
          <w:b w:val="0"/>
          <w:i w:val="0"/>
        </w:rPr>
        <w:t>. A moving thing seeks its missing completion from a fuller source.</w:t>
      </w:r>
    </w:p>
    <w:p>
      <w:pPr>
        <w:ind w:left="187" w:hanging="187"/>
      </w:pPr>
      <w:r>
        <w:t xml:space="preserve">• </w:t>
      </w:r>
      <w:r>
        <w:rPr>
          <w:b/>
          <w:i w:val="0"/>
        </w:rPr>
        <w:t>I.5.22, I.5.26, PDF 76–79</w:t>
      </w:r>
      <w:r>
        <w:rPr>
          <w:b w:val="0"/>
          <w:i w:val="0"/>
        </w:rPr>
        <w:t>. Minds are ends of motions and corporeal things, exceeding their instrumental tasks.</w:t>
      </w:r>
    </w:p>
    <w:p>
      <w:pPr>
        <w:ind w:left="187" w:hanging="187"/>
      </w:pPr>
      <w:r>
        <w:t xml:space="preserve">• </w:t>
      </w:r>
      <w:r>
        <w:rPr>
          <w:b/>
          <w:i w:val="0"/>
        </w:rPr>
        <w:t>II.13.30, PDF 236–237</w:t>
      </w:r>
      <w:r>
        <w:rPr>
          <w:b w:val="0"/>
          <w:i w:val="0"/>
        </w:rPr>
        <w:t>. Free judgement selects means toward the good.</w:t>
      </w:r>
    </w:p>
    <w:p>
      <w:pPr>
        <w:widowControl/>
      </w:pPr>
      <w:r>
        <w:rPr>
          <w:b/>
          <w:i w:val="0"/>
        </w:rPr>
        <w:t>Further passage references.</w:t>
      </w:r>
      <w:r>
        <w:rPr>
          <w:b w:val="0"/>
          <w:i w:val="0"/>
        </w:rPr>
        <w:t xml:space="preserve"> I.1.1 (PDF pp. 14–15); I.5.4–I.5.6 (pp. 62–63); I.5.22, I.5.25–I.5.26 (pp. 76–79); II.3.9–10, pp. 120–121; II.4.8, pp. 124–125; II.6.23, pp. 140–141; II.7.16, pp. 150–151; II.7.29, pp. 156–157; II.11.25–27, 33–38, PDF 194–201; II.12.12–15, PDF 208–211; II.13.3, 8–9, 25–30, PDF 216–237; IV.1.61–IV.1.62, pp. 312–315; IV.2.18, pp. 342–343; IV.2.27, pp. 350–351; apparatus pp. 395–396</w:t>
      </w:r>
    </w:p>
    <w:p>
      <w:pPr>
        <w:keepNext/>
        <w:widowControl/>
      </w:pPr>
      <w:r>
        <w:rPr>
          <w:b/>
          <w:i w:val="0"/>
        </w:rPr>
        <w:t>In this edition.</w:t>
      </w:r>
    </w:p>
    <w:p>
      <w:pPr>
        <w:widowControl/>
      </w:pPr>
      <w:r>
        <w:rPr>
          <w:b w:val="0"/>
          <w:i w:val="0"/>
        </w:rPr>
        <w:t xml:space="preserve">The endpoint of life in I.1.1 differs from a final cause. Angels as the </w:t>
      </w:r>
      <w:r>
        <w:t>“</w:t>
      </w:r>
      <w:r>
        <w:rPr>
          <w:b w:val="0"/>
          <w:i w:val="0"/>
        </w:rPr>
        <w:t>ends</w:t>
      </w:r>
      <w:r>
        <w:t>”</w:t>
      </w:r>
      <w:r>
        <w:rPr>
          <w:b w:val="0"/>
          <w:i w:val="0"/>
        </w:rPr>
        <w:t xml:space="preserve"> of motions need not mark a temporal stopping time; their finality is one reason not to count them solely by motions. Preserve such object-specific uses.</w:t>
      </w:r>
    </w:p>
    <w:p>
      <w:pPr>
        <w:keepNext/>
        <w:widowControl/>
      </w:pPr>
      <w:r>
        <w:rPr>
          <w:b/>
          <w:i w:val="0"/>
        </w:rPr>
        <w:t>See also.</w:t>
      </w:r>
    </w:p>
    <w:p>
      <w:pPr>
        <w:widowControl/>
      </w:pPr>
      <w:hyperlink w:anchor="appetite-and-desire">
        <w:r>
          <w:rPr>
            <w:color w:val="000000"/>
          </w:rPr>
          <w:t xml:space="preserve">Appetite and desire</w:t>
        </w:r>
      </w:hyperlink>
      <w:r>
        <w:rPr>
          <w:b w:val="0"/>
          <w:i w:val="0"/>
        </w:rPr>
        <w:t xml:space="preserve">; </w:t>
      </w:r>
      <w:hyperlink w:anchor="need-and-sufficiency">
        <w:r>
          <w:rPr>
            <w:color w:val="000000"/>
          </w:rPr>
          <w:t xml:space="preserve">Need and sufficiency</w:t>
        </w:r>
      </w:hyperlink>
      <w:r>
        <w:rPr>
          <w:b w:val="0"/>
          <w:i w:val="0"/>
        </w:rPr>
        <w:t xml:space="preserve">; </w:t>
      </w:r>
      <w:hyperlink w:anchor="perfection">
        <w:r>
          <w:rPr>
            <w:color w:val="000000"/>
          </w:rPr>
          <w:t xml:space="preserve">Perfection</w:t>
        </w:r>
      </w:hyperlink>
      <w:r>
        <w:rPr>
          <w:b w:val="0"/>
          <w:i w:val="0"/>
        </w:rPr>
        <w:t xml:space="preserve">; </w:t>
      </w:r>
      <w:hyperlink w:anchor="angel">
        <w:r>
          <w:rPr>
            <w:color w:val="000000"/>
          </w:rPr>
          <w:t xml:space="preserve">Angel</w:t>
        </w:r>
      </w:hyperlink>
      <w:r>
        <w:rPr>
          <w:b w:val="0"/>
          <w:i w:val="0"/>
        </w:rPr>
        <w:t xml:space="preserve">; </w:t>
      </w:r>
      <w:hyperlink w:anchor="principle">
        <w:r>
          <w:rPr>
            <w:color w:val="000000"/>
          </w:rPr>
          <w:t xml:space="preserve">Principle</w:t>
        </w:r>
      </w:hyperlink>
      <w:r>
        <w:rPr>
          <w:b w:val="0"/>
          <w:i w:val="0"/>
        </w:rPr>
        <w:t xml:space="preserve">; </w:t>
      </w:r>
      <w:hyperlink w:anchor="infinity">
        <w:r>
          <w:rPr>
            <w:color w:val="000000"/>
          </w:rPr>
          <w:t xml:space="preserve">Infinity</w:t>
        </w:r>
      </w:hyperlink>
      <w:r>
        <w:rPr>
          <w:b w:val="0"/>
          <w:i w:val="0"/>
        </w:rPr>
        <w:t xml:space="preserve">; </w:t>
      </w:r>
      <w:hyperlink w:anchor="good-and-goodness">
        <w:r>
          <w:rPr>
            <w:color w:val="000000"/>
          </w:rPr>
          <w:t xml:space="preserve">Good and goodness</w:t>
        </w:r>
      </w:hyperlink>
      <w:r>
        <w:rPr>
          <w:b w:val="0"/>
          <w:i w:val="0"/>
        </w:rPr>
        <w:t xml:space="preserve">; </w:t>
      </w:r>
      <w:hyperlink w:anchor="cause">
        <w:r>
          <w:rPr>
            <w:color w:val="000000"/>
          </w:rPr>
          <w:t xml:space="preserve">Cause</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will">
        <w:r>
          <w:rPr>
            <w:color w:val="000000"/>
          </w:rPr>
          <w:t xml:space="preserve">Will</w:t>
        </w:r>
      </w:hyperlink>
      <w:r>
        <w:rPr>
          <w:b w:val="0"/>
          <w:i w:val="0"/>
        </w:rPr>
        <w:t xml:space="preserve">; </w:t>
      </w:r>
      <w:hyperlink w:anchor="motion-and-stability">
        <w:r>
          <w:rPr>
            <w:color w:val="000000"/>
          </w:rPr>
          <w:t xml:space="preserve">Motion and stability</w:t>
        </w:r>
      </w:hyperlink>
      <w:r>
        <w:rPr>
          <w:b w:val="0"/>
          <w:i w:val="0"/>
        </w:rPr>
        <w:t xml:space="preserve">; </w:t>
      </w:r>
      <w:hyperlink w:anchor="god">
        <w:r>
          <w:rPr>
            <w:color w:val="000000"/>
          </w:rPr>
          <w:t xml:space="preserve">God</w:t>
        </w:r>
      </w:hyperlink>
    </w:p>
    <w:p>
      <w:bookmarkStart w:id="85" w:name="enfolding-and-unfolding"/>
      <w:pPr>
        <w:pStyle w:val="Heading2"/>
      </w:pPr>
      <w:r>
        <w:rPr>
          <w:b w:val="0"/>
          <w:i w:val="0"/>
        </w:rPr>
        <w:t>Enfolding and unfolding</w:t>
      </w:r>
      <w:bookmarkEnd w:id="85"/>
    </w:p>
    <w:p>
      <w:pPr>
        <w:keepNext/>
        <w:widowControl/>
      </w:pPr>
      <w:r>
        <w:rPr>
          <w:b/>
          <w:i w:val="0"/>
        </w:rPr>
        <w:t>Latin:</w:t>
      </w:r>
      <w:r>
        <w:rPr>
          <w:b w:val="0"/>
          <w:i w:val="0"/>
        </w:rPr>
        <w:t xml:space="preserve"> implicat; explicat; effundit; refluunt; reformantur; restituuntur; replicatur; explicatur</w:t>
      </w:r>
    </w:p>
    <w:p>
      <w:pPr>
        <w:keepNext/>
        <w:widowControl/>
      </w:pPr>
      <w:r>
        <w:rPr>
          <w:b/>
          <w:i w:val="0"/>
        </w:rPr>
        <w:t>The word.</w:t>
      </w:r>
    </w:p>
    <w:p>
      <w:pPr>
        <w:widowControl/>
      </w:pPr>
      <w:r>
        <w:rPr>
          <w:b w:val="0"/>
          <w:i w:val="0"/>
        </w:rPr>
        <w:t>Implicare can fold or gather together, explicare unfold or set forth, and replicare fold back or repeat. Ficino uses this related vocabulary to describe unity and developed plurality. The passive reformantur and restituuntur emphasize being re-formed and restored.</w:t>
      </w:r>
    </w:p>
    <w:p>
      <w:pPr>
        <w:keepNext/>
        <w:widowControl/>
      </w:pPr>
      <w:r>
        <w:rPr>
          <w:b/>
          <w:i w:val="0"/>
        </w:rPr>
        <w:t>In the Platonic Theology.</w:t>
      </w:r>
    </w:p>
    <w:p>
      <w:pPr>
        <w:widowControl/>
      </w:pPr>
      <w:r>
        <w:rPr>
          <w:b w:val="0"/>
          <w:i w:val="0"/>
        </w:rPr>
        <w:t>At the close of II.3, unity enfolds, truth unfolds, and goodness pours forth. Return reverses the direction: things flow back through goodness, are re-formed through truth, and restored into one through unity. The sequence assigns explanatory roles to the one substance already identified as God. It does not narrate three substances creating in successive stages.</w:t>
      </w:r>
    </w:p>
    <w:p>
      <w:pPr>
        <w:widowControl/>
      </w:pPr>
      <w:r>
        <w:rPr>
          <w:b w:val="0"/>
          <w:i w:val="0"/>
        </w:rPr>
        <w:t>II.6.13 uses folding language in a discussion of magnitude: what is truly great is wholly great in everything within and wholly manifested throughout what is without. The wording responds to imagination’s assumption that only bodily extension can be vast. The image of folds is useful precisely because it need not parcel the source into spatial fragments. It should not be taken as a description of physical surfaces inside a divine body.</w:t>
      </w:r>
    </w:p>
    <w:p>
      <w:pPr>
        <w:keepNext/>
        <w:widowControl/>
      </w:pPr>
      <w:r>
        <w:rPr>
          <w:b/>
          <w:i w:val="0"/>
        </w:rPr>
        <w:t>The places.</w:t>
      </w:r>
    </w:p>
    <w:p>
      <w:pPr>
        <w:ind w:left="187" w:hanging="187"/>
      </w:pPr>
      <w:r>
        <w:t xml:space="preserve">• </w:t>
      </w:r>
      <w:r>
        <w:rPr>
          <w:b w:val="0"/>
          <w:i w:val="0"/>
        </w:rPr>
        <w:t>II.3.10 (PDF pp. 120–121): Enfolding, unfolding, outpouring, and the threefold return close the argument for one principle</w:t>
      </w:r>
    </w:p>
    <w:p>
      <w:pPr>
        <w:ind w:left="187" w:hanging="187"/>
      </w:pPr>
      <w:r>
        <w:t xml:space="preserve">• </w:t>
      </w:r>
      <w:r>
        <w:rPr>
          <w:b w:val="0"/>
          <w:i w:val="0"/>
        </w:rPr>
        <w:t>II.6.13 (PDF pp. 134–135): Whole presence within and without counters the model of divisible magnitude</w:t>
      </w:r>
    </w:p>
    <w:p>
      <w:pPr>
        <w:keepNext/>
        <w:widowControl/>
      </w:pPr>
      <w:r>
        <w:rPr>
          <w:b/>
          <w:i w:val="0"/>
        </w:rPr>
        <w:t>In this edition.</w:t>
      </w:r>
    </w:p>
    <w:p>
      <w:pPr>
        <w:widowControl/>
      </w:pPr>
      <w:r>
        <w:rPr>
          <w:b w:val="0"/>
          <w:i w:val="0"/>
        </w:rPr>
        <w:t xml:space="preserve">The translation renders replicatur </w:t>
      </w:r>
      <w:r>
        <w:t>“</w:t>
      </w:r>
      <w:r>
        <w:rPr>
          <w:b w:val="0"/>
          <w:i w:val="0"/>
        </w:rPr>
        <w:t>is enfolded</w:t>
      </w:r>
      <w:r>
        <w:t>”</w:t>
      </w:r>
      <w:r>
        <w:rPr>
          <w:b w:val="0"/>
          <w:i w:val="0"/>
        </w:rPr>
        <w:t xml:space="preserve"> and explicatur </w:t>
      </w:r>
      <w:r>
        <w:t>“</w:t>
      </w:r>
      <w:r>
        <w:rPr>
          <w:b w:val="0"/>
          <w:i w:val="0"/>
        </w:rPr>
        <w:t>is unfolded</w:t>
      </w:r>
      <w:r>
        <w:t>”</w:t>
      </w:r>
      <w:r>
        <w:rPr>
          <w:b w:val="0"/>
          <w:i w:val="0"/>
        </w:rPr>
        <w:t xml:space="preserve"> in II.6.13. The Latin word-family is a reading aid, not proof that the two passages offer a complete technical doctrine with invariant terminology.</w:t>
      </w:r>
    </w:p>
    <w:p>
      <w:pPr>
        <w:keepNext/>
        <w:widowControl/>
      </w:pPr>
      <w:r>
        <w:rPr>
          <w:b/>
          <w:i w:val="0"/>
        </w:rPr>
        <w:t>See also.</w:t>
      </w:r>
    </w:p>
    <w:p>
      <w:pPr>
        <w:widowControl/>
      </w:pPr>
      <w:hyperlink w:anchor="unity-and-multiplicity">
        <w:r>
          <w:rPr>
            <w:color w:val="000000"/>
          </w:rPr>
          <w:t xml:space="preserve">Unity and multiplicity</w:t>
        </w:r>
      </w:hyperlink>
      <w:r>
        <w:rPr>
          <w:b w:val="0"/>
          <w:i w:val="0"/>
        </w:rPr>
        <w:t xml:space="preserve">; </w:t>
      </w:r>
      <w:hyperlink w:anchor="procession-and-return">
        <w:r>
          <w:rPr>
            <w:color w:val="000000"/>
          </w:rPr>
          <w:t xml:space="preserve">Procession and return</w:t>
        </w:r>
      </w:hyperlink>
      <w:r>
        <w:rPr>
          <w:b w:val="0"/>
          <w:i w:val="0"/>
        </w:rPr>
        <w:t xml:space="preserve">; </w:t>
      </w:r>
      <w:hyperlink w:anchor="whole-and-parts">
        <w:r>
          <w:rPr>
            <w:color w:val="000000"/>
          </w:rPr>
          <w:t xml:space="preserve">Whole and parts</w:t>
        </w:r>
      </w:hyperlink>
      <w:r>
        <w:rPr>
          <w:b w:val="0"/>
          <w:i w:val="0"/>
        </w:rPr>
        <w:t xml:space="preserve">; </w:t>
      </w:r>
      <w:hyperlink w:anchor="omnipresence-and-place">
        <w:r>
          <w:rPr>
            <w:color w:val="000000"/>
          </w:rPr>
          <w:t xml:space="preserve">Omnipresence and place</w:t>
        </w:r>
      </w:hyperlink>
      <w:r>
        <w:rPr>
          <w:b w:val="0"/>
          <w:i w:val="0"/>
        </w:rPr>
        <w:t>.</w:t>
      </w:r>
    </w:p>
    <w:p>
      <w:bookmarkStart w:id="86" w:name="essence-and-substance"/>
      <w:pPr>
        <w:pStyle w:val="Heading2"/>
      </w:pPr>
      <w:r>
        <w:rPr>
          <w:b w:val="0"/>
          <w:i w:val="0"/>
        </w:rPr>
        <w:t>Essence and substance</w:t>
      </w:r>
      <w:bookmarkEnd w:id="86"/>
    </w:p>
    <w:p>
      <w:pPr>
        <w:keepNext/>
        <w:widowControl/>
      </w:pPr>
      <w:r>
        <w:rPr>
          <w:b/>
          <w:i w:val="0"/>
        </w:rPr>
        <w:t>Latin:</w:t>
      </w:r>
      <w:r>
        <w:rPr>
          <w:b w:val="0"/>
          <w:i w:val="0"/>
        </w:rPr>
        <w:t xml:space="preserve"> </w:t>
      </w:r>
      <w:r>
        <w:rPr>
          <w:b w:val="0"/>
          <w:i/>
        </w:rPr>
        <w:t>essentia</w:t>
      </w:r>
      <w:r>
        <w:rPr>
          <w:b w:val="0"/>
          <w:i w:val="0"/>
        </w:rPr>
        <w:t xml:space="preserve">; </w:t>
      </w:r>
      <w:r>
        <w:rPr>
          <w:b w:val="0"/>
          <w:i/>
        </w:rPr>
        <w:t>esse</w:t>
      </w:r>
      <w:r>
        <w:rPr>
          <w:b w:val="0"/>
          <w:i w:val="0"/>
        </w:rPr>
        <w:t xml:space="preserve">; </w:t>
      </w:r>
      <w:r>
        <w:rPr>
          <w:b w:val="0"/>
          <w:i/>
        </w:rPr>
        <w:t>exsistere</w:t>
      </w:r>
      <w:r>
        <w:rPr>
          <w:b w:val="0"/>
          <w:i w:val="0"/>
        </w:rPr>
        <w:t xml:space="preserve">; </w:t>
      </w:r>
      <w:r>
        <w:rPr>
          <w:b w:val="0"/>
          <w:i/>
        </w:rPr>
        <w:t>subsistere</w:t>
      </w:r>
      <w:r>
        <w:rPr>
          <w:b w:val="0"/>
          <w:i w:val="0"/>
        </w:rPr>
        <w:t xml:space="preserve">; </w:t>
      </w:r>
      <w:r>
        <w:rPr>
          <w:b w:val="0"/>
          <w:i/>
        </w:rPr>
        <w:t>substantia</w:t>
      </w:r>
      <w:r>
        <w:rPr>
          <w:b w:val="0"/>
          <w:i w:val="0"/>
        </w:rPr>
        <w:t xml:space="preserve">; </w:t>
      </w:r>
      <w:r>
        <w:rPr>
          <w:b w:val="0"/>
          <w:i/>
        </w:rPr>
        <w:t>essentialis</w:t>
      </w:r>
      <w:r>
        <w:rPr>
          <w:b w:val="0"/>
          <w:i w:val="0"/>
        </w:rPr>
        <w:t xml:space="preserve">; </w:t>
      </w:r>
      <w:r>
        <w:rPr>
          <w:b w:val="0"/>
          <w:i/>
        </w:rPr>
        <w:t>per se subsistens</w:t>
      </w:r>
      <w:r>
        <w:rPr>
          <w:b w:val="0"/>
          <w:i w:val="0"/>
        </w:rPr>
        <w:t xml:space="preserve">; </w:t>
      </w:r>
      <w:r>
        <w:rPr>
          <w:b w:val="0"/>
          <w:i/>
        </w:rPr>
        <w:t>accidens</w:t>
      </w:r>
      <w:r>
        <w:rPr>
          <w:b w:val="0"/>
          <w:i w:val="0"/>
        </w:rPr>
        <w:t xml:space="preserve">; </w:t>
      </w:r>
      <w:r>
        <w:rPr>
          <w:b w:val="0"/>
          <w:i/>
        </w:rPr>
        <w:t>accidentia</w:t>
      </w:r>
      <w:r>
        <w:rPr>
          <w:b w:val="0"/>
          <w:i w:val="0"/>
        </w:rPr>
        <w:t xml:space="preserve">; </w:t>
      </w:r>
      <w:r>
        <w:rPr>
          <w:b w:val="0"/>
          <w:i/>
        </w:rPr>
        <w:t>subiectum</w:t>
      </w:r>
      <w:r>
        <w:rPr>
          <w:b w:val="0"/>
          <w:i w:val="0"/>
        </w:rPr>
        <w:t xml:space="preserve">; </w:t>
      </w:r>
      <w:r>
        <w:rPr>
          <w:b w:val="0"/>
          <w:i/>
        </w:rPr>
        <w:t>essentia tertia</w:t>
      </w:r>
    </w:p>
    <w:p>
      <w:pPr>
        <w:keepNext/>
        <w:widowControl/>
      </w:pPr>
      <w:r>
        <w:rPr>
          <w:b/>
          <w:i w:val="0"/>
        </w:rPr>
        <w:t>The word.</w:t>
      </w:r>
    </w:p>
    <w:p>
      <w:pPr>
        <w:widowControl/>
      </w:pPr>
      <w:r>
        <w:rPr>
          <w:b w:val="0"/>
          <w:i w:val="0"/>
        </w:rPr>
        <w:t>Essentia concerns what a reality is; substantia identifies subsisting reality, not merely physical stuff. Esse is being, and subsistere means existing in a way not merely inhering in another. These terms are related without being interchangeable.</w:t>
      </w:r>
    </w:p>
    <w:p>
      <w:pPr>
        <w:keepNext/>
        <w:widowControl/>
      </w:pPr>
      <w:r>
        <w:rPr>
          <w:b/>
          <w:i w:val="0"/>
        </w:rPr>
        <w:t>In the Platonic Theology.</w:t>
      </w:r>
    </w:p>
    <w:p>
      <w:pPr>
        <w:widowControl/>
      </w:pPr>
      <w:r>
        <w:rPr>
          <w:b w:val="0"/>
          <w:i/>
        </w:rPr>
        <w:t>Essentia</w:t>
      </w:r>
      <w:r>
        <w:rPr>
          <w:b w:val="0"/>
          <w:i w:val="0"/>
        </w:rPr>
        <w:t xml:space="preserve"> concerns what a thing is or its ontological constitution; </w:t>
      </w:r>
      <w:r>
        <w:rPr>
          <w:b w:val="0"/>
          <w:i/>
        </w:rPr>
        <w:t>substantia</w:t>
      </w:r>
      <w:r>
        <w:rPr>
          <w:b w:val="0"/>
          <w:i w:val="0"/>
        </w:rPr>
        <w:t xml:space="preserve"> marks a subsisting reality, especially in contrast to dependent accidents. </w:t>
      </w:r>
      <w:r>
        <w:rPr>
          <w:b w:val="0"/>
          <w:i/>
        </w:rPr>
        <w:t>Esse</w:t>
      </w:r>
      <w:r>
        <w:rPr>
          <w:b w:val="0"/>
          <w:i w:val="0"/>
        </w:rPr>
        <w:t xml:space="preserve">, being, is related but not interchangeable. Ficino expressly lists essence and being among the distinctions in angelic intellect. These words do not reproduce a modern contrast between abstract definition and material stuff: an incorporeal substance can be more fundamental than a body. </w:t>
      </w:r>
      <w:r>
        <w:rPr>
          <w:b w:val="0"/>
          <w:i/>
        </w:rPr>
        <w:t>Subsistere</w:t>
      </w:r>
      <w:r>
        <w:rPr>
          <w:b w:val="0"/>
          <w:i w:val="0"/>
        </w:rPr>
        <w:t xml:space="preserve"> often means standing or existing through itself rather than inhering in a material subject. Such independence from matter does not remove every causal dependence; soul and angel remain below God.</w:t>
      </w:r>
    </w:p>
    <w:p>
      <w:pPr>
        <w:widowControl/>
      </w:pPr>
      <w:r>
        <w:rPr>
          <w:b w:val="0"/>
          <w:i w:val="0"/>
        </w:rPr>
        <w:t xml:space="preserve">Essence is the first member of the triad essence, power, operation. Soul’s substance remains while its operations change; quality changes in essence as well as activity. The </w:t>
      </w:r>
      <w:r>
        <w:t>‘</w:t>
      </w:r>
      <w:r>
        <w:rPr>
          <w:b w:val="0"/>
          <w:i w:val="0"/>
        </w:rPr>
        <w:t>third essence</w:t>
      </w:r>
      <w:r>
        <w:t>’</w:t>
      </w:r>
      <w:r>
        <w:rPr>
          <w:b w:val="0"/>
          <w:i w:val="0"/>
        </w:rPr>
        <w:t xml:space="preserve"> is rational soul, third between the two higher and two lower grades, not an additional kind beyond soul. Angelic essence is receptive of illumination and intelligible form, so stable incorporeal existence does not entail divine simplicity.</w:t>
      </w:r>
    </w:p>
    <w:p>
      <w:pPr>
        <w:widowControl/>
      </w:pPr>
      <w:r>
        <w:rPr>
          <w:b w:val="0"/>
          <w:i w:val="0"/>
        </w:rPr>
        <w:t>The dependency of substance and accident is asymmetric: an accident needs a substance, whereas substance does not depend upon an accident in the same fashion. God cannot receive additional qualities, and the many forms of his effects cannot be separate substances or accidental additions within him. They are understood through his own single substance. Divine essence and operation are identical; he is not an intelligence perfected by an object outside himself.</w:t>
      </w:r>
    </w:p>
    <w:p>
      <w:pPr>
        <w:widowControl/>
      </w:pPr>
      <w:r>
        <w:rPr>
          <w:b w:val="0"/>
          <w:i w:val="0"/>
        </w:rPr>
        <w:t xml:space="preserve">II.7.15 criticizes accounts that make matter, world, and mind dependent on God in operation but independent in essence. Ficino argues that what needs an external end to complete its activity cannot be wholly self-sufficient in its being. </w:t>
      </w:r>
      <w:r>
        <w:rPr>
          <w:b w:val="0"/>
          <w:i/>
        </w:rPr>
        <w:t>Essentialis</w:t>
      </w:r>
      <w:r>
        <w:rPr>
          <w:b w:val="0"/>
          <w:i w:val="0"/>
        </w:rPr>
        <w:t xml:space="preserve"> can meanwhile identify the inherent natural power of a subordinate agent or mind’s fundamental inclination, prior to vital and intellectual activity. Constitution, subsistence, causal dependence, and operation thus remain connected without becoming synonymous.</w:t>
      </w:r>
    </w:p>
    <w:p>
      <w:pPr>
        <w:keepNext/>
        <w:widowControl/>
      </w:pPr>
      <w:r>
        <w:rPr>
          <w:b/>
          <w:i w:val="0"/>
        </w:rPr>
        <w:t>The places.</w:t>
      </w:r>
    </w:p>
    <w:p>
      <w:pPr>
        <w:ind w:left="187" w:hanging="187"/>
      </w:pPr>
      <w:r>
        <w:t xml:space="preserve">• </w:t>
      </w:r>
      <w:r>
        <w:rPr>
          <w:b/>
          <w:i w:val="0"/>
        </w:rPr>
        <w:t>I.3.4, PDF 30–31</w:t>
      </w:r>
      <w:r>
        <w:rPr>
          <w:b w:val="0"/>
          <w:i w:val="0"/>
        </w:rPr>
        <w:t>. Quality’s inherence and dependence contrast with self-subsistence.</w:t>
      </w:r>
    </w:p>
    <w:p>
      <w:pPr>
        <w:ind w:left="187" w:hanging="187"/>
      </w:pPr>
      <w:r>
        <w:t xml:space="preserve">• </w:t>
      </w:r>
      <w:r>
        <w:rPr>
          <w:b/>
          <w:i w:val="0"/>
        </w:rPr>
        <w:t>I.3.13, I.3.25, PDF 36–37, 46–47</w:t>
      </w:r>
      <w:r>
        <w:rPr>
          <w:b w:val="0"/>
          <w:i w:val="0"/>
        </w:rPr>
        <w:t>. Substantial unity grounds accidents and is prior to quantity by nature and dignity.</w:t>
      </w:r>
    </w:p>
    <w:p>
      <w:pPr>
        <w:ind w:left="187" w:hanging="187"/>
      </w:pPr>
      <w:r>
        <w:t xml:space="preserve">• </w:t>
      </w:r>
      <w:r>
        <w:rPr>
          <w:b/>
          <w:i w:val="0"/>
        </w:rPr>
        <w:t>I.3.33–I.4.5, PDF 52–59</w:t>
      </w:r>
      <w:r>
        <w:rPr>
          <w:b w:val="0"/>
          <w:i w:val="0"/>
        </w:rPr>
        <w:t>. Third essence is named and its stable essence distinguished from changing operation.</w:t>
      </w:r>
    </w:p>
    <w:p>
      <w:pPr>
        <w:ind w:left="187" w:hanging="187"/>
      </w:pPr>
      <w:r>
        <w:t xml:space="preserve">• </w:t>
      </w:r>
      <w:r>
        <w:rPr>
          <w:b/>
          <w:i w:val="0"/>
        </w:rPr>
        <w:t>I.6.4, PDF 82–83</w:t>
      </w:r>
      <w:r>
        <w:rPr>
          <w:b w:val="0"/>
          <w:i w:val="0"/>
        </w:rPr>
        <w:t>. Essence and being contribute to angelic multiplicity.</w:t>
      </w:r>
    </w:p>
    <w:p>
      <w:pPr>
        <w:widowControl/>
      </w:pPr>
      <w:r>
        <w:rPr>
          <w:b/>
          <w:i w:val="0"/>
        </w:rPr>
        <w:t>Further passage references.</w:t>
      </w:r>
      <w:r>
        <w:rPr>
          <w:b w:val="0"/>
          <w:i w:val="0"/>
        </w:rPr>
        <w:t xml:space="preserve"> I.3.4, I.3.13, I.3.25, I.3.33 (PDF pp. 30–31, 36–37, 46–47, 52–53); I.4.1–I.4.5 (pp. 54–59); I.6.4 (pp. 82–83); II.6.2, pp. 128–129; II.6.23, pp. 140–141; II.7.9–16, pp. 146–151; II.8.5, pp. 162–163; II.9.5–8, pp. 166–167; II.11.2–7, PDF 182–185; II.12.8, 15, PDF 206–211; III.1.12–17, PDF 248–251; III.2.1–2, 17–23, PDF 262–275</w:t>
      </w:r>
    </w:p>
    <w:p>
      <w:pPr>
        <w:keepNext/>
        <w:widowControl/>
      </w:pPr>
      <w:r>
        <w:rPr>
          <w:b/>
          <w:i w:val="0"/>
        </w:rPr>
        <w:t>In this edition.</w:t>
      </w:r>
    </w:p>
    <w:p>
      <w:pPr>
        <w:widowControl/>
      </w:pPr>
      <w:r>
        <w:rPr>
          <w:b w:val="0"/>
          <w:i w:val="0"/>
        </w:rPr>
        <w:t xml:space="preserve">I.6.4 expressly distinguishes essentiam atque esse in angel. </w:t>
      </w:r>
      <w:r>
        <w:t>“</w:t>
      </w:r>
      <w:r>
        <w:rPr>
          <w:b w:val="0"/>
          <w:i w:val="0"/>
        </w:rPr>
        <w:t>Third essence</w:t>
      </w:r>
      <w:r>
        <w:t>”</w:t>
      </w:r>
      <w:r>
        <w:rPr>
          <w:b w:val="0"/>
          <w:i w:val="0"/>
        </w:rPr>
        <w:t xml:space="preserve"> names rational soul in the graded order, not a sixth substance added to the five grades. Independence from material support must remain distinct from independence of every higher cause.</w:t>
      </w:r>
    </w:p>
    <w:p>
      <w:pPr>
        <w:keepNext/>
        <w:widowControl/>
      </w:pPr>
      <w:r>
        <w:rPr>
          <w:b/>
          <w:i w:val="0"/>
        </w:rPr>
        <w:t>See also.</w:t>
      </w:r>
    </w:p>
    <w:p>
      <w:pPr>
        <w:widowControl/>
      </w:pPr>
      <w:hyperlink w:anchor="substance-and-accident">
        <w:r>
          <w:rPr>
            <w:color w:val="000000"/>
          </w:rPr>
          <w:t xml:space="preserve">Substance and accident</w:t>
        </w:r>
      </w:hyperlink>
      <w:r>
        <w:rPr>
          <w:b w:val="0"/>
          <w:i w:val="0"/>
        </w:rPr>
        <w:t xml:space="preserve">; </w:t>
      </w:r>
      <w:hyperlink w:anchor="soul">
        <w:r>
          <w:rPr>
            <w:color w:val="000000"/>
          </w:rPr>
          <w:t xml:space="preserve">Soul</w:t>
        </w:r>
      </w:hyperlink>
      <w:r>
        <w:rPr>
          <w:b w:val="0"/>
          <w:i w:val="0"/>
        </w:rPr>
        <w:t xml:space="preserve">; </w:t>
      </w:r>
      <w:hyperlink w:anchor="act-and-operation">
        <w:r>
          <w:rPr>
            <w:color w:val="000000"/>
          </w:rPr>
          <w:t xml:space="preserve">Act and operation</w:t>
        </w:r>
      </w:hyperlink>
      <w:r>
        <w:rPr>
          <w:b w:val="0"/>
          <w:i w:val="0"/>
        </w:rPr>
        <w:t xml:space="preserve">; </w:t>
      </w:r>
      <w:hyperlink w:anchor="form">
        <w:r>
          <w:rPr>
            <w:color w:val="000000"/>
          </w:rPr>
          <w:t xml:space="preserve">Form</w:t>
        </w:r>
      </w:hyperlink>
      <w:r>
        <w:rPr>
          <w:b w:val="0"/>
          <w:i w:val="0"/>
        </w:rPr>
        <w:t xml:space="preserve">; </w:t>
      </w:r>
      <w:hyperlink w:anchor="being">
        <w:r>
          <w:rPr>
            <w:color w:val="000000"/>
          </w:rPr>
          <w:t xml:space="preserve">Being</w:t>
        </w:r>
      </w:hyperlink>
      <w:r>
        <w:rPr>
          <w:b w:val="0"/>
          <w:i w:val="0"/>
        </w:rPr>
        <w:t xml:space="preserve">; </w:t>
      </w:r>
      <w:hyperlink w:anchor="freedom-and-necessity">
        <w:r>
          <w:rPr>
            <w:color w:val="000000"/>
          </w:rPr>
          <w:t xml:space="preserve">Freedom and necessity</w:t>
        </w:r>
      </w:hyperlink>
      <w:r>
        <w:rPr>
          <w:b w:val="0"/>
          <w:i w:val="0"/>
        </w:rPr>
        <w:t xml:space="preserve">; </w:t>
      </w:r>
      <w:hyperlink w:anchor="mind">
        <w:r>
          <w:rPr>
            <w:color w:val="000000"/>
          </w:rPr>
          <w:t xml:space="preserve">Mind</w:t>
        </w:r>
      </w:hyperlink>
      <w:r>
        <w:rPr>
          <w:b w:val="0"/>
          <w:i w:val="0"/>
        </w:rPr>
        <w:t xml:space="preserve">; </w:t>
      </w:r>
      <w:hyperlink w:anchor="degree-and-mediation">
        <w:r>
          <w:rPr>
            <w:color w:val="000000"/>
          </w:rPr>
          <w:t xml:space="preserve">Degree and mediation</w:t>
        </w:r>
      </w:hyperlink>
      <w:r>
        <w:rPr>
          <w:b w:val="0"/>
          <w:i w:val="0"/>
        </w:rPr>
        <w:t xml:space="preserve">; </w:t>
      </w:r>
      <w:hyperlink w:anchor="motion-and-stability">
        <w:r>
          <w:rPr>
            <w:color w:val="000000"/>
          </w:rPr>
          <w:t xml:space="preserve">Motion and stability</w:t>
        </w:r>
      </w:hyperlink>
    </w:p>
    <w:p>
      <w:bookmarkStart w:id="87" w:name="eternity-and-time"/>
      <w:pPr>
        <w:pStyle w:val="Heading2"/>
      </w:pPr>
      <w:r>
        <w:rPr>
          <w:b w:val="0"/>
          <w:i w:val="0"/>
        </w:rPr>
        <w:t>Eternity and time</w:t>
      </w:r>
      <w:bookmarkEnd w:id="87"/>
    </w:p>
    <w:p>
      <w:pPr>
        <w:keepNext/>
        <w:widowControl/>
      </w:pPr>
      <w:r>
        <w:rPr>
          <w:b/>
          <w:i w:val="0"/>
        </w:rPr>
        <w:t>Latin:</w:t>
      </w:r>
      <w:r>
        <w:rPr>
          <w:b w:val="0"/>
          <w:i w:val="0"/>
        </w:rPr>
        <w:t xml:space="preserve"> </w:t>
      </w:r>
      <w:r>
        <w:rPr>
          <w:b w:val="0"/>
          <w:i/>
        </w:rPr>
        <w:t>aeternitas</w:t>
      </w:r>
      <w:r>
        <w:rPr>
          <w:b w:val="0"/>
          <w:i w:val="0"/>
        </w:rPr>
        <w:t xml:space="preserve">; </w:t>
      </w:r>
      <w:r>
        <w:rPr>
          <w:b w:val="0"/>
          <w:i/>
        </w:rPr>
        <w:t>tempus</w:t>
      </w:r>
      <w:r>
        <w:rPr>
          <w:b w:val="0"/>
          <w:i w:val="0"/>
        </w:rPr>
        <w:t xml:space="preserve">; </w:t>
      </w:r>
      <w:r>
        <w:rPr>
          <w:b w:val="0"/>
          <w:i/>
        </w:rPr>
        <w:t>sempiternus</w:t>
      </w:r>
      <w:r>
        <w:rPr>
          <w:b w:val="0"/>
          <w:i w:val="0"/>
        </w:rPr>
        <w:t xml:space="preserve">; </w:t>
      </w:r>
      <w:r>
        <w:rPr>
          <w:b w:val="0"/>
          <w:i/>
        </w:rPr>
        <w:t>perennis</w:t>
      </w:r>
      <w:r>
        <w:rPr>
          <w:b w:val="0"/>
          <w:i w:val="0"/>
        </w:rPr>
        <w:t xml:space="preserve">; </w:t>
      </w:r>
      <w:r>
        <w:rPr>
          <w:b w:val="0"/>
          <w:i/>
        </w:rPr>
        <w:t>momentum</w:t>
      </w:r>
      <w:r>
        <w:rPr>
          <w:b w:val="0"/>
          <w:i w:val="0"/>
        </w:rPr>
        <w:t xml:space="preserve">; </w:t>
      </w:r>
      <w:r>
        <w:rPr>
          <w:b w:val="0"/>
          <w:i/>
        </w:rPr>
        <w:t>sempiternitas</w:t>
      </w:r>
      <w:r>
        <w:rPr>
          <w:b w:val="0"/>
          <w:i w:val="0"/>
        </w:rPr>
        <w:t xml:space="preserve">; </w:t>
      </w:r>
      <w:r>
        <w:rPr>
          <w:b w:val="0"/>
          <w:i/>
        </w:rPr>
        <w:t>semper</w:t>
      </w:r>
      <w:r>
        <w:rPr>
          <w:b w:val="0"/>
          <w:i w:val="0"/>
        </w:rPr>
        <w:t xml:space="preserve">; </w:t>
      </w:r>
      <w:r>
        <w:rPr>
          <w:b w:val="0"/>
          <w:i/>
        </w:rPr>
        <w:t>duratio</w:t>
      </w:r>
      <w:r>
        <w:rPr>
          <w:b w:val="0"/>
          <w:i w:val="0"/>
        </w:rPr>
        <w:t xml:space="preserve">; </w:t>
      </w:r>
      <w:r>
        <w:rPr>
          <w:b w:val="0"/>
          <w:i/>
        </w:rPr>
        <w:t>temporalis</w:t>
      </w:r>
      <w:r>
        <w:rPr>
          <w:b w:val="0"/>
          <w:i w:val="0"/>
        </w:rPr>
        <w:t xml:space="preserve">; </w:t>
      </w:r>
      <w:r>
        <w:rPr>
          <w:b w:val="0"/>
          <w:i/>
        </w:rPr>
        <w:t>aevum</w:t>
      </w:r>
      <w:r>
        <w:rPr>
          <w:b w:val="0"/>
          <w:i w:val="0"/>
        </w:rPr>
        <w:t xml:space="preserve">; </w:t>
      </w:r>
      <w:r>
        <w:rPr>
          <w:b w:val="0"/>
          <w:i/>
        </w:rPr>
        <w:t>perpetuus</w:t>
      </w:r>
      <w:r>
        <w:rPr>
          <w:b w:val="0"/>
          <w:i w:val="0"/>
        </w:rPr>
        <w:t xml:space="preserve">; </w:t>
      </w:r>
      <w:r>
        <w:rPr>
          <w:b w:val="0"/>
          <w:i/>
        </w:rPr>
        <w:t>aeternitatis punctum</w:t>
      </w:r>
      <w:r>
        <w:rPr>
          <w:b w:val="0"/>
          <w:i w:val="0"/>
        </w:rPr>
        <w:t xml:space="preserve">; </w:t>
      </w:r>
      <w:r>
        <w:rPr>
          <w:b w:val="0"/>
          <w:i/>
        </w:rPr>
        <w:t>tempus primum</w:t>
      </w:r>
      <w:r>
        <w:rPr>
          <w:b w:val="0"/>
          <w:i w:val="0"/>
        </w:rPr>
        <w:t xml:space="preserve">; </w:t>
      </w:r>
      <w:r>
        <w:rPr>
          <w:b w:val="0"/>
          <w:i/>
        </w:rPr>
        <w:t>momenta</w:t>
      </w:r>
      <w:r>
        <w:rPr>
          <w:b w:val="0"/>
          <w:i w:val="0"/>
        </w:rPr>
        <w:t xml:space="preserve">; </w:t>
      </w:r>
      <w:r>
        <w:rPr>
          <w:b w:val="0"/>
          <w:i/>
        </w:rPr>
        <w:t>motus aeternus</w:t>
      </w:r>
      <w:r>
        <w:rPr>
          <w:b w:val="0"/>
          <w:i w:val="0"/>
        </w:rPr>
        <w:t xml:space="preserve">; </w:t>
      </w:r>
      <w:r>
        <w:rPr>
          <w:b w:val="0"/>
          <w:i/>
        </w:rPr>
        <w:t>motus temporalis</w:t>
      </w:r>
    </w:p>
    <w:p>
      <w:pPr>
        <w:keepNext/>
        <w:widowControl/>
      </w:pPr>
      <w:r>
        <w:rPr>
          <w:b/>
          <w:i w:val="0"/>
        </w:rPr>
        <w:t>The word.</w:t>
      </w:r>
    </w:p>
    <w:p>
      <w:pPr>
        <w:widowControl/>
      </w:pPr>
      <w:r>
        <w:rPr>
          <w:b w:val="0"/>
          <w:i w:val="0"/>
        </w:rPr>
        <w:t>Tempus concerns succession; aeternitas names enduring fullness beyond such succession. Semper, perennis, sempiternus and perpetuus mark persistence but require their subject and mode. Momentum can be an instant contrasted with extended operation.</w:t>
      </w:r>
    </w:p>
    <w:p>
      <w:pPr>
        <w:widowControl/>
      </w:pPr>
      <w:r>
        <w:rPr>
          <w:b w:val="0"/>
          <w:i w:val="0"/>
        </w:rPr>
        <w:t xml:space="preserve">The local vocabulary includes </w:t>
      </w:r>
      <w:r>
        <w:rPr>
          <w:b w:val="0"/>
          <w:i/>
        </w:rPr>
        <w:t>momentum</w:t>
      </w:r>
      <w:r>
        <w:rPr>
          <w:b w:val="0"/>
          <w:i w:val="0"/>
        </w:rPr>
        <w:t xml:space="preserve">, </w:t>
      </w:r>
      <w:r>
        <w:rPr>
          <w:b w:val="0"/>
          <w:i/>
        </w:rPr>
        <w:t>nutu oculi</w:t>
      </w:r>
      <w:r>
        <w:rPr>
          <w:b w:val="0"/>
          <w:i w:val="0"/>
        </w:rPr>
        <w:t xml:space="preserve">, </w:t>
      </w:r>
      <w:r>
        <w:rPr>
          <w:b w:val="0"/>
          <w:i/>
        </w:rPr>
        <w:t>comes</w:t>
      </w:r>
      <w:r>
        <w:rPr>
          <w:b w:val="0"/>
          <w:i w:val="0"/>
        </w:rPr>
        <w:t xml:space="preserve">, </w:t>
      </w:r>
      <w:r>
        <w:rPr>
          <w:b w:val="0"/>
          <w:i/>
        </w:rPr>
        <w:t>intervallum</w:t>
      </w:r>
      <w:r>
        <w:rPr>
          <w:b w:val="0"/>
          <w:i w:val="0"/>
        </w:rPr>
        <w:t xml:space="preserve">, </w:t>
      </w:r>
      <w:r>
        <w:rPr>
          <w:b w:val="0"/>
          <w:i/>
        </w:rPr>
        <w:t>motus aeternus</w:t>
      </w:r>
      <w:r>
        <w:rPr>
          <w:b w:val="0"/>
          <w:i w:val="0"/>
        </w:rPr>
        <w:t>: a moment, the blink of an eye, an attendant, a measured interval, and eternal motion are different constructions within the account.</w:t>
      </w:r>
    </w:p>
    <w:p>
      <w:pPr>
        <w:keepNext/>
        <w:widowControl/>
      </w:pPr>
      <w:r>
        <w:rPr>
          <w:b/>
          <w:i w:val="0"/>
        </w:rPr>
        <w:t>In the Platonic Theology.</w:t>
      </w:r>
    </w:p>
    <w:p>
      <w:pPr>
        <w:widowControl/>
      </w:pPr>
      <w:r>
        <w:rPr>
          <w:b w:val="0"/>
          <w:i w:val="0"/>
        </w:rPr>
        <w:t xml:space="preserve">Time names succession, whereas eternity names stable fullness. Ficino places rational soul between them: its essence remains, but it thinks and performs living operations through successive acts. Angelic life is wholly united at once. An everlasting sequence can still be temporal, so the contrast is more than temporary versus endlessly long-lasting. </w:t>
      </w:r>
      <w:r>
        <w:rPr>
          <w:b w:val="0"/>
          <w:i/>
        </w:rPr>
        <w:t>Momentum</w:t>
      </w:r>
      <w:r>
        <w:rPr>
          <w:b w:val="0"/>
          <w:i w:val="0"/>
        </w:rPr>
        <w:t xml:space="preserve"> can identify an instant in which a superior operation is completed, opposed to an operation extending through time.</w:t>
      </w:r>
    </w:p>
    <w:p>
      <w:pPr>
        <w:widowControl/>
      </w:pPr>
      <w:r>
        <w:rPr>
          <w:b w:val="0"/>
          <w:i w:val="0"/>
        </w:rPr>
        <w:t xml:space="preserve">Book II argues for God’s everlasting being through infinite power, the impossibility that truth begins or ceases, priority to change, and necessary existence. It warns that imagination misrepresents simple duration when it pictures a flowing sequence. God is not merely very long-lived but </w:t>
      </w:r>
      <w:r>
        <w:rPr>
          <w:b w:val="0"/>
          <w:i/>
        </w:rPr>
        <w:t>ipsum semper</w:t>
      </w:r>
      <w:r>
        <w:rPr>
          <w:b w:val="0"/>
          <w:i w:val="0"/>
        </w:rPr>
        <w:t xml:space="preserve">, the very </w:t>
      </w:r>
      <w:r>
        <w:t>‘</w:t>
      </w:r>
      <w:r>
        <w:rPr>
          <w:b w:val="0"/>
          <w:i w:val="0"/>
        </w:rPr>
        <w:t>always.</w:t>
      </w:r>
      <w:r>
        <w:t>’</w:t>
      </w:r>
      <w:r>
        <w:rPr>
          <w:b w:val="0"/>
          <w:i w:val="0"/>
        </w:rPr>
        <w:t xml:space="preserve"> The text also uses </w:t>
      </w:r>
      <w:r>
        <w:rPr>
          <w:b w:val="0"/>
          <w:i/>
        </w:rPr>
        <w:t>sempiternitas</w:t>
      </w:r>
      <w:r>
        <w:rPr>
          <w:b w:val="0"/>
          <w:i w:val="0"/>
        </w:rPr>
        <w:t xml:space="preserve"> for this abiding divine duration, preventing a rigid rule that the word must everywhere mean endless successive time. In the reported account of mind’s presence, indivisible eternity is met by every temporal moment as indivisible spirit is present throughout space. This is an analogy, not a measure of divine temporal magnitude.</w:t>
      </w:r>
    </w:p>
    <w:p>
      <w:pPr>
        <w:widowControl/>
      </w:pPr>
      <w:r>
        <w:rPr>
          <w:b w:val="0"/>
          <w:i w:val="0"/>
        </w:rPr>
        <w:t>Book III differentiates existence during part of time, throughout all time, through the eternal age (</w:t>
      </w:r>
      <w:r>
        <w:rPr>
          <w:b w:val="0"/>
          <w:i/>
        </w:rPr>
        <w:t>aevum</w:t>
      </w:r>
      <w:r>
        <w:rPr>
          <w:b w:val="0"/>
          <w:i w:val="0"/>
        </w:rPr>
        <w:t xml:space="preserve">), and the eternal age itself. Some placements of heavens and intellects are expressly reported as the views of others. The angel’s receiving being and intellectual formation in a certain ordered </w:t>
      </w:r>
      <w:r>
        <w:t>‘</w:t>
      </w:r>
      <w:r>
        <w:rPr>
          <w:b w:val="0"/>
          <w:i w:val="0"/>
        </w:rPr>
        <w:t>before</w:t>
      </w:r>
      <w:r>
        <w:t>’</w:t>
      </w:r>
      <w:r>
        <w:rPr>
          <w:b w:val="0"/>
          <w:i w:val="0"/>
        </w:rPr>
        <w:t xml:space="preserve"> and </w:t>
      </w:r>
      <w:r>
        <w:t>‘</w:t>
      </w:r>
      <w:r>
        <w:rPr>
          <w:b w:val="0"/>
          <w:i w:val="0"/>
        </w:rPr>
        <w:t>after</w:t>
      </w:r>
      <w:r>
        <w:t>’</w:t>
      </w:r>
      <w:r>
        <w:rPr>
          <w:b w:val="0"/>
          <w:i w:val="0"/>
        </w:rPr>
        <w:t xml:space="preserve"> cannot therefore automatically be read as a clock sequence. Similarly, Book I calls prime matter everlasting while treating it as made and preserved by a prior incorporeal form. Causal dependence and beginningless duration are distinct questions; Book II’s preservation argument deliberately covers a world that always existed as well as one that began.</w:t>
      </w:r>
    </w:p>
    <w:p>
      <w:pPr>
        <w:widowControl/>
      </w:pPr>
      <w:r>
        <w:rPr>
          <w:b w:val="0"/>
          <w:i w:val="0"/>
        </w:rPr>
        <w:t>Book IV places temporal multiplicity before spatial multiplicity in the descent from unity. Soul varies through moments without becoming divided among places; matter is extended through both. Time accompanies spiritual activity, place accompanies body. Within celestial soul, intellectual return can be termed eternal motion because its ordered movement is completed in a moment. The lower power’s successive actualization of seeds, however, constitutes first motion, whose interval is first time; the world’s other times follow that course. Soul’s perpetual circular life therefore does not simply become angelic immobility. The great-year account explores what continued activity means when its stock of seminal contents is finite. These usages distinguish different sources and modes of temporal order rather than supplying one physical clock for all beings.</w:t>
      </w:r>
    </w:p>
    <w:p>
      <w:pPr>
        <w:widowControl/>
      </w:pPr>
      <w:r>
        <w:rPr>
          <w:b w:val="0"/>
          <w:i w:val="0"/>
        </w:rPr>
        <w:t xml:space="preserve">In IV.2.5 one-in-moment means possessing together what could ever be possessed, illustrated as the blink of an eye. It should not be interpreted as a minute but finite acquisition process. IV.2.8 calls time an attendant of spiritual activity and place an attendant of body: priority of time to place is an explanatory descent, not an earlier date. IV.2.11 then explicitly allows ordered action through intermediaries to be called motion even when completed in a single moment. </w:t>
      </w:r>
      <w:r>
        <w:t>“</w:t>
      </w:r>
      <w:r>
        <w:rPr>
          <w:b w:val="0"/>
          <w:i w:val="0"/>
        </w:rPr>
        <w:t>Eternal motion</w:t>
      </w:r>
      <w:r>
        <w:t>”</w:t>
      </w:r>
      <w:r>
        <w:rPr>
          <w:b w:val="0"/>
          <w:i w:val="0"/>
        </w:rPr>
        <w:t xml:space="preserve"> preserves order without temporal succession. The lowest power’s successive course, by contrast, supplies first motion and its interval first time in IV.2.12. These two uses cannot be collapsed.</w:t>
      </w:r>
    </w:p>
    <w:p>
      <w:pPr>
        <w:keepNext/>
        <w:widowControl/>
      </w:pPr>
      <w:r>
        <w:rPr>
          <w:b/>
          <w:i w:val="0"/>
        </w:rPr>
        <w:t>The places.</w:t>
      </w:r>
    </w:p>
    <w:p>
      <w:pPr>
        <w:ind w:left="187" w:hanging="187"/>
      </w:pPr>
      <w:r>
        <w:t xml:space="preserve">• </w:t>
      </w:r>
      <w:r>
        <w:rPr>
          <w:b/>
          <w:i w:val="0"/>
        </w:rPr>
        <w:t>I.5.1–2, PDF 60–61</w:t>
      </w:r>
      <w:r>
        <w:rPr>
          <w:b w:val="0"/>
          <w:i w:val="0"/>
        </w:rPr>
        <w:t>. Soul’s successive operations contrast with life wholly together at once.</w:t>
      </w:r>
    </w:p>
    <w:p>
      <w:pPr>
        <w:ind w:left="187" w:hanging="187"/>
      </w:pPr>
      <w:r>
        <w:t xml:space="preserve">• </w:t>
      </w:r>
      <w:r>
        <w:rPr>
          <w:b/>
          <w:i w:val="0"/>
        </w:rPr>
        <w:t>I.5.9, I.5.15, PDF 64–65, 70–71</w:t>
      </w:r>
      <w:r>
        <w:rPr>
          <w:b w:val="0"/>
          <w:i w:val="0"/>
        </w:rPr>
        <w:t>. Everlasting matter and soul between eternity and time distinguish duration from independence.</w:t>
      </w:r>
    </w:p>
    <w:p>
      <w:pPr>
        <w:ind w:left="187" w:hanging="187"/>
      </w:pPr>
      <w:r>
        <w:t xml:space="preserve">• </w:t>
      </w:r>
      <w:r>
        <w:rPr>
          <w:b/>
          <w:i w:val="0"/>
        </w:rPr>
        <w:t>II.7.18–19, PDF 152–153</w:t>
      </w:r>
      <w:r>
        <w:rPr>
          <w:b w:val="0"/>
          <w:i w:val="0"/>
        </w:rPr>
        <w:t>. Either temporal-origin alternative requires continuous preservation.</w:t>
      </w:r>
    </w:p>
    <w:p>
      <w:pPr>
        <w:ind w:left="187" w:hanging="187"/>
      </w:pPr>
      <w:r>
        <w:t xml:space="preserve">• </w:t>
      </w:r>
      <w:r>
        <w:rPr>
          <w:b/>
          <w:i w:val="0"/>
        </w:rPr>
        <w:t>IV.2.12, PDF 340–341</w:t>
      </w:r>
      <w:r>
        <w:rPr>
          <w:b w:val="0"/>
          <w:i w:val="0"/>
        </w:rPr>
        <w:t>. Successive actualization of seeds is called first motion, whose interval is first time.</w:t>
      </w:r>
    </w:p>
    <w:p>
      <w:pPr>
        <w:widowControl/>
      </w:pPr>
      <w:r>
        <w:rPr>
          <w:b/>
          <w:i w:val="0"/>
        </w:rPr>
        <w:t>Further passage references.</w:t>
      </w:r>
      <w:r>
        <w:rPr>
          <w:b w:val="0"/>
          <w:i w:val="0"/>
        </w:rPr>
        <w:t xml:space="preserve"> I.3.32–I.3.33 (PDF pp. 52–53); I.4.1–I.4.2 (pp. 54–57); I.5.1–I.5.2, I.5.9, I.5.15 (pp. 60–61, 64–65, 70–71); II.5.1–4, pp. 126–127; II.6.16–20, pp. 136–139; II.7.18–19, pp. 152–153; III.1.7, 12, 28–32, PDF 242–249, 258–261; III.2.2–5, 19–21, 25–30, PDF 262–279; IV.2.5–IV.2.12, pp. 334–341</w:t>
      </w:r>
    </w:p>
    <w:p>
      <w:pPr>
        <w:ind w:left="187" w:hanging="187"/>
      </w:pPr>
      <w:r>
        <w:t xml:space="preserve">• </w:t>
      </w:r>
      <w:r>
        <w:rPr>
          <w:b/>
          <w:i w:val="0"/>
        </w:rPr>
        <w:t>IV.2.5–8, PDF pp. 334–337:</w:t>
      </w:r>
      <w:r>
        <w:rPr>
          <w:b w:val="0"/>
          <w:i w:val="0"/>
        </w:rPr>
        <w:t xml:space="preserve"> essence, point, and moment organize degrees of unity and the priority of time to place</w:t>
      </w:r>
    </w:p>
    <w:p>
      <w:pPr>
        <w:ind w:left="187" w:hanging="187"/>
      </w:pPr>
      <w:r>
        <w:t xml:space="preserve">• </w:t>
      </w:r>
      <w:r>
        <w:rPr>
          <w:b/>
          <w:i w:val="0"/>
        </w:rPr>
        <w:t>IV.2.11–12, pp. 338–341:</w:t>
      </w:r>
      <w:r>
        <w:rPr>
          <w:b w:val="0"/>
          <w:i w:val="0"/>
        </w:rPr>
        <w:t xml:space="preserve"> simultaneous ordered return is distinguished from the lower power’s successive productive course</w:t>
      </w:r>
    </w:p>
    <w:p>
      <w:pPr>
        <w:keepNext/>
        <w:widowControl/>
      </w:pPr>
      <w:r>
        <w:rPr>
          <w:b/>
          <w:i w:val="0"/>
        </w:rPr>
        <w:t>In this edition.</w:t>
      </w:r>
    </w:p>
    <w:p>
      <w:pPr>
        <w:widowControl/>
      </w:pPr>
      <w:r>
        <w:rPr>
          <w:b w:val="0"/>
          <w:i w:val="0"/>
        </w:rPr>
        <w:t>Do not force every sempiternus into a single contrast with aeternus: context determines whether endless succession or simple abiding is at issue. Prime matter’s being called everlasting in I.5.9 does not remove the causal dependence argued elsewhere.</w:t>
      </w:r>
    </w:p>
    <w:p>
      <w:pPr>
        <w:widowControl/>
      </w:pPr>
      <w:r>
        <w:t>“</w:t>
      </w:r>
      <w:r>
        <w:rPr>
          <w:b w:val="0"/>
          <w:i w:val="0"/>
        </w:rPr>
        <w:t>Companion</w:t>
      </w:r>
      <w:r>
        <w:t>”</w:t>
      </w:r>
      <w:r>
        <w:rPr>
          <w:b w:val="0"/>
          <w:i w:val="0"/>
        </w:rPr>
        <w:t xml:space="preserve"> for </w:t>
      </w:r>
      <w:r>
        <w:rPr>
          <w:b w:val="0"/>
          <w:i/>
        </w:rPr>
        <w:t>comes</w:t>
      </w:r>
      <w:r>
        <w:rPr>
          <w:b w:val="0"/>
          <w:i w:val="0"/>
        </w:rPr>
        <w:t xml:space="preserve"> is a relational metaphor. </w:t>
      </w:r>
      <w:r>
        <w:t>“</w:t>
      </w:r>
      <w:r>
        <w:rPr>
          <w:b w:val="0"/>
          <w:i w:val="0"/>
        </w:rPr>
        <w:t>In a single moment</w:t>
      </w:r>
      <w:r>
        <w:t>”</w:t>
      </w:r>
      <w:r>
        <w:rPr>
          <w:b w:val="0"/>
          <w:i w:val="0"/>
        </w:rPr>
        <w:t xml:space="preserve"> is explicitly contrasted with </w:t>
      </w:r>
      <w:r>
        <w:t>“</w:t>
      </w:r>
      <w:r>
        <w:rPr>
          <w:b w:val="0"/>
          <w:i w:val="0"/>
        </w:rPr>
        <w:t>in time</w:t>
      </w:r>
      <w:r>
        <w:t>”</w:t>
      </w:r>
      <w:r>
        <w:rPr>
          <w:b w:val="0"/>
          <w:i w:val="0"/>
        </w:rPr>
        <w:t>; the explanation should preserve that contrast rather than make every motion a duration.</w:t>
      </w:r>
    </w:p>
    <w:p>
      <w:pPr>
        <w:keepNext/>
        <w:widowControl/>
      </w:pPr>
      <w:r>
        <w:rPr>
          <w:b/>
          <w:i w:val="0"/>
        </w:rPr>
        <w:t>See also.</w:t>
      </w:r>
    </w:p>
    <w:p>
      <w:pPr>
        <w:widowControl/>
      </w:pPr>
      <w:hyperlink w:anchor="motion-and-stability">
        <w:r>
          <w:rPr>
            <w:color w:val="000000"/>
          </w:rPr>
          <w:t xml:space="preserve">Motion and stability</w:t>
        </w:r>
      </w:hyperlink>
      <w:r>
        <w:rPr>
          <w:b w:val="0"/>
          <w:i w:val="0"/>
        </w:rPr>
        <w:t xml:space="preserve">; </w:t>
      </w:r>
      <w:hyperlink w:anchor="life">
        <w:r>
          <w:rPr>
            <w:color w:val="000000"/>
          </w:rPr>
          <w:t xml:space="preserve">Life</w:t>
        </w:r>
      </w:hyperlink>
      <w:r>
        <w:rPr>
          <w:b w:val="0"/>
          <w:i w:val="0"/>
        </w:rPr>
        <w:t xml:space="preserve">; </w:t>
      </w:r>
      <w:hyperlink w:anchor="essence-and-substance">
        <w:r>
          <w:rPr>
            <w:color w:val="000000"/>
          </w:rPr>
          <w:t xml:space="preserve">Essence and substance</w:t>
        </w:r>
      </w:hyperlink>
      <w:r>
        <w:rPr>
          <w:b w:val="0"/>
          <w:i w:val="0"/>
        </w:rPr>
        <w:t xml:space="preserve">; </w:t>
      </w:r>
      <w:hyperlink w:anchor="immortality">
        <w:r>
          <w:rPr>
            <w:color w:val="000000"/>
          </w:rPr>
          <w:t xml:space="preserve">Immortality</w:t>
        </w:r>
      </w:hyperlink>
      <w:r>
        <w:rPr>
          <w:b w:val="0"/>
          <w:i w:val="0"/>
        </w:rPr>
        <w:t xml:space="preserve">; </w:t>
      </w:r>
      <w:hyperlink w:anchor="sense-and-imagination">
        <w:r>
          <w:rPr>
            <w:color w:val="000000"/>
          </w:rPr>
          <w:t xml:space="preserve">Sense and imagination</w:t>
        </w:r>
      </w:hyperlink>
      <w:r>
        <w:rPr>
          <w:b w:val="0"/>
          <w:i w:val="0"/>
        </w:rPr>
        <w:t xml:space="preserve">; </w:t>
      </w:r>
      <w:hyperlink w:anchor="omnipresence-and-place">
        <w:r>
          <w:rPr>
            <w:color w:val="000000"/>
          </w:rPr>
          <w:t xml:space="preserve">Omnipresence and place</w:t>
        </w:r>
      </w:hyperlink>
      <w:r>
        <w:rPr>
          <w:b w:val="0"/>
          <w:i w:val="0"/>
        </w:rPr>
        <w:t xml:space="preserve">; </w:t>
      </w:r>
      <w:hyperlink w:anchor="freedom-and-necessity">
        <w:r>
          <w:rPr>
            <w:color w:val="000000"/>
          </w:rPr>
          <w:t xml:space="preserve">Freedom and necessity</w:t>
        </w:r>
      </w:hyperlink>
      <w:r>
        <w:rPr>
          <w:b w:val="0"/>
          <w:i w:val="0"/>
        </w:rPr>
        <w:t xml:space="preserve">; </w:t>
      </w:r>
      <w:hyperlink w:anchor="infinity">
        <w:r>
          <w:rPr>
            <w:color w:val="000000"/>
          </w:rPr>
          <w:t xml:space="preserve">Infinity</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circularity-and-return">
        <w:r>
          <w:rPr>
            <w:color w:val="000000"/>
          </w:rPr>
          <w:t xml:space="preserve">Circularity and return</w:t>
        </w:r>
      </w:hyperlink>
      <w:r>
        <w:rPr>
          <w:b w:val="0"/>
          <w:i w:val="0"/>
        </w:rPr>
        <w:t xml:space="preserve">; </w:t>
      </w:r>
      <w:hyperlink w:anchor="contingency">
        <w:r>
          <w:rPr>
            <w:color w:val="000000"/>
          </w:rPr>
          <w:t xml:space="preserve">Contingency</w:t>
        </w:r>
      </w:hyperlink>
      <w:r>
        <w:rPr>
          <w:b w:val="0"/>
          <w:i w:val="0"/>
        </w:rPr>
        <w:t xml:space="preserve">; </w:t>
      </w:r>
      <w:hyperlink w:anchor="intuition-and-discourse">
        <w:r>
          <w:rPr>
            <w:color w:val="000000"/>
          </w:rPr>
          <w:t xml:space="preserve">Intuition and discourse</w:t>
        </w:r>
      </w:hyperlink>
      <w:r>
        <w:rPr>
          <w:b w:val="0"/>
          <w:i w:val="0"/>
        </w:rPr>
        <w:t xml:space="preserve">; </w:t>
      </w:r>
      <w:hyperlink w:anchor="soul">
        <w:r>
          <w:rPr>
            <w:color w:val="000000"/>
          </w:rPr>
          <w:t xml:space="preserve">Soul</w:t>
        </w:r>
      </w:hyperlink>
      <w:r>
        <w:rPr>
          <w:b w:val="0"/>
          <w:i w:val="0"/>
        </w:rPr>
        <w:t xml:space="preserve">; </w:t>
      </w:r>
      <w:hyperlink w:anchor="whole-and-parts">
        <w:r>
          <w:rPr>
            <w:color w:val="000000"/>
          </w:rPr>
          <w:t xml:space="preserve">Whole and parts</w:t>
        </w:r>
      </w:hyperlink>
      <w:r>
        <w:rPr>
          <w:b w:val="0"/>
          <w:i w:val="0"/>
        </w:rPr>
        <w:t xml:space="preserve">; </w:t>
      </w:r>
      <w:hyperlink w:anchor="habitual-possession">
        <w:r>
          <w:rPr>
            <w:color w:val="000000"/>
          </w:rPr>
          <w:t xml:space="preserve">Habitual possession</w:t>
        </w:r>
      </w:hyperlink>
      <w:r>
        <w:rPr>
          <w:b w:val="0"/>
          <w:i w:val="0"/>
        </w:rPr>
        <w:t xml:space="preserve">; </w:t>
      </w:r>
      <w:hyperlink w:anchor="great-year">
        <w:r>
          <w:rPr>
            <w:color w:val="000000"/>
          </w:rPr>
          <w:t xml:space="preserve">Great year</w:t>
        </w:r>
      </w:hyperlink>
      <w:r>
        <w:rPr>
          <w:b w:val="0"/>
          <w:i w:val="0"/>
        </w:rPr>
        <w:t xml:space="preserve">; </w:t>
      </w:r>
      <w:hyperlink w:anchor="seeds">
        <w:r>
          <w:rPr>
            <w:color w:val="000000"/>
          </w:rPr>
          <w:t xml:space="preserve">Seeds</w:t>
        </w:r>
      </w:hyperlink>
    </w:p>
    <w:p>
      <w:pPr>
        <w:widowControl/>
      </w:pPr>
      <w:hyperlink w:anchor="whole-and-parts">
        <w:r>
          <w:rPr>
            <w:color w:val="000000"/>
          </w:rPr>
          <w:t xml:space="preserve">Whole and parts</w:t>
        </w:r>
      </w:hyperlink>
      <w:r>
        <w:rPr>
          <w:b w:val="0"/>
          <w:i w:val="0"/>
        </w:rPr>
        <w:t xml:space="preserve">; </w:t>
      </w:r>
      <w:hyperlink w:anchor="motion-and-stability">
        <w:r>
          <w:rPr>
            <w:color w:val="000000"/>
          </w:rPr>
          <w:t xml:space="preserve">Motion and stability</w:t>
        </w:r>
      </w:hyperlink>
      <w:r>
        <w:rPr>
          <w:b w:val="0"/>
          <w:i w:val="0"/>
        </w:rPr>
        <w:t xml:space="preserve">; </w:t>
      </w:r>
      <w:hyperlink w:anchor="sowing-and-weaving">
        <w:r>
          <w:rPr>
            <w:color w:val="000000"/>
          </w:rPr>
          <w:t xml:space="preserve">Sowing and weaving</w:t>
        </w:r>
      </w:hyperlink>
      <w:r>
        <w:rPr>
          <w:b w:val="0"/>
          <w:i w:val="0"/>
        </w:rPr>
        <w:t>.</w:t>
      </w:r>
    </w:p>
    <w:p>
      <w:bookmarkStart w:id="88" w:name="ethereal-garment"/>
      <w:pPr>
        <w:pStyle w:val="Heading2"/>
      </w:pPr>
      <w:r>
        <w:rPr>
          <w:b w:val="0"/>
          <w:i w:val="0"/>
        </w:rPr>
        <w:t>Ethereal garment</w:t>
      </w:r>
      <w:bookmarkEnd w:id="88"/>
    </w:p>
    <w:p>
      <w:pPr>
        <w:keepNext/>
        <w:widowControl/>
      </w:pPr>
      <w:r>
        <w:rPr>
          <w:b/>
          <w:i w:val="0"/>
        </w:rPr>
        <w:t>Latin:</w:t>
      </w:r>
      <w:r>
        <w:rPr>
          <w:b w:val="0"/>
          <w:i w:val="0"/>
        </w:rPr>
        <w:t xml:space="preserve"> </w:t>
      </w:r>
      <w:r>
        <w:rPr>
          <w:b w:val="0"/>
          <w:i/>
        </w:rPr>
        <w:t>aethereo animae indumento</w:t>
      </w:r>
    </w:p>
    <w:p>
      <w:pPr>
        <w:keepNext/>
        <w:widowControl/>
      </w:pPr>
      <w:r>
        <w:rPr>
          <w:b/>
          <w:i w:val="0"/>
        </w:rPr>
        <w:t>The word.</w:t>
      </w:r>
    </w:p>
    <w:p>
      <w:pPr>
        <w:widowControl/>
      </w:pPr>
      <w:r>
        <w:rPr>
          <w:b w:val="0"/>
          <w:i w:val="0"/>
        </w:rPr>
        <w:t>Aethereum indumentum is an ethereal clothing or covering of soul. The material metaphor names a subtler embodiment in contrast to the gross body, without detailing its composition in this passage.</w:t>
      </w:r>
    </w:p>
    <w:p>
      <w:pPr>
        <w:keepNext/>
        <w:widowControl/>
      </w:pPr>
      <w:r>
        <w:rPr>
          <w:b/>
          <w:i w:val="0"/>
        </w:rPr>
        <w:t>In the Platonic Theology.</w:t>
      </w:r>
    </w:p>
    <w:p>
      <w:pPr>
        <w:widowControl/>
      </w:pPr>
      <w:r>
        <w:rPr>
          <w:b w:val="0"/>
          <w:i w:val="0"/>
        </w:rPr>
        <w:t>At the close of the discussion of circular motion, Ficino says that the reciprocal relation of soul and body may be less apparent in the gross human body but is present in soul’s ethereal garment. He immediately promises discussion elsewhere, and IV.2.27 continues the reference by attributing to Zoroaster the view that this garment turns continually within us. The image therefore names a subtler mode of embodiment invoked to preserve the analogy between human and cosmic soul-body relations. It should not be treated as a fully explained doctrine in this volume: the passage supplies neither a detailed composition nor an account of its origin, persistence, or posthumous role. The operative contrast supplied here is between a gross body and an ethereal covering in which circular movement is more intelligible.</w:t>
      </w:r>
    </w:p>
    <w:p>
      <w:pPr>
        <w:keepNext/>
        <w:widowControl/>
      </w:pPr>
      <w:r>
        <w:rPr>
          <w:b/>
          <w:i w:val="0"/>
        </w:rPr>
        <w:t>The places.</w:t>
      </w:r>
    </w:p>
    <w:p>
      <w:pPr>
        <w:ind w:left="187" w:hanging="187"/>
      </w:pPr>
      <w:r>
        <w:t xml:space="preserve">• </w:t>
      </w:r>
      <w:r>
        <w:rPr>
          <w:b/>
          <w:i w:val="0"/>
        </w:rPr>
        <w:t>IV.2.26, PDF 348–349</w:t>
      </w:r>
      <w:r>
        <w:rPr>
          <w:b w:val="0"/>
          <w:i w:val="0"/>
        </w:rPr>
        <w:t>. The garment is invoked where the circular-motion analogy seems less clear in gross embodiment.</w:t>
      </w:r>
    </w:p>
    <w:p>
      <w:pPr>
        <w:ind w:left="187" w:hanging="187"/>
      </w:pPr>
      <w:r>
        <w:t xml:space="preserve">• </w:t>
      </w:r>
      <w:r>
        <w:rPr>
          <w:b/>
          <w:i w:val="0"/>
        </w:rPr>
        <w:t>IV.2.27, PDF 350–351</w:t>
      </w:r>
      <w:r>
        <w:rPr>
          <w:b w:val="0"/>
          <w:i w:val="0"/>
        </w:rPr>
        <w:t>. Continual turning is attributed to Zoroaster before the discussion returns to a stable principle.</w:t>
      </w:r>
    </w:p>
    <w:p>
      <w:pPr>
        <w:widowControl/>
      </w:pPr>
      <w:r>
        <w:rPr>
          <w:b/>
          <w:i w:val="0"/>
        </w:rPr>
        <w:t>Further passage references.</w:t>
      </w:r>
      <w:r>
        <w:rPr>
          <w:b w:val="0"/>
          <w:i w:val="0"/>
        </w:rPr>
        <w:t xml:space="preserve"> IV.2.26–IV.2.27, pp. 348–351; apparatus p. 395</w:t>
      </w:r>
    </w:p>
    <w:p>
      <w:pPr>
        <w:keepNext/>
        <w:widowControl/>
      </w:pPr>
      <w:r>
        <w:rPr>
          <w:b/>
          <w:i w:val="0"/>
        </w:rPr>
        <w:t>In this edition.</w:t>
      </w:r>
    </w:p>
    <w:p>
      <w:pPr>
        <w:widowControl/>
      </w:pPr>
      <w:r>
        <w:rPr>
          <w:b w:val="0"/>
          <w:i w:val="0"/>
        </w:rPr>
        <w:t>The relative Quod opening IV.2.27 continues the garment in IV.2.26. Read across the unit boundary. Ficino promises fuller discussion elsewhere, so the two units should not be expanded into an unqualified theory of its origin or posthumous career.</w:t>
      </w:r>
    </w:p>
    <w:p>
      <w:pPr>
        <w:keepNext/>
        <w:widowControl/>
      </w:pPr>
      <w:r>
        <w:rPr>
          <w:b/>
          <w:i w:val="0"/>
        </w:rPr>
        <w:t>See also.</w:t>
      </w:r>
    </w:p>
    <w:p>
      <w:pPr>
        <w:widowControl/>
      </w:pPr>
      <w:hyperlink w:anchor="circularity-and-return">
        <w:r>
          <w:rPr>
            <w:color w:val="000000"/>
          </w:rPr>
          <w:t xml:space="preserve">Circularity and return</w:t>
        </w:r>
      </w:hyperlink>
      <w:r>
        <w:rPr>
          <w:b w:val="0"/>
          <w:i w:val="0"/>
        </w:rPr>
        <w:t xml:space="preserve">; </w:t>
      </w:r>
      <w:hyperlink w:anchor="spirit">
        <w:r>
          <w:rPr>
            <w:color w:val="000000"/>
          </w:rPr>
          <w:t xml:space="preserve">Spirit</w:t>
        </w:r>
      </w:hyperlink>
      <w:r>
        <w:rPr>
          <w:b w:val="0"/>
          <w:i w:val="0"/>
        </w:rPr>
        <w:t xml:space="preserve">; </w:t>
      </w:r>
      <w:hyperlink w:anchor="daemons">
        <w:r>
          <w:rPr>
            <w:color w:val="000000"/>
          </w:rPr>
          <w:t xml:space="preserve">Daemons</w:t>
        </w:r>
      </w:hyperlink>
      <w:r>
        <w:rPr>
          <w:b w:val="0"/>
          <w:i w:val="0"/>
        </w:rPr>
        <w:t xml:space="preserve">; </w:t>
      </w:r>
      <w:hyperlink w:anchor="body-and-bulk">
        <w:r>
          <w:rPr>
            <w:color w:val="000000"/>
          </w:rPr>
          <w:t xml:space="preserve">Body and bulk</w:t>
        </w:r>
      </w:hyperlink>
    </w:p>
    <w:p>
      <w:bookmarkStart w:id="89" w:name="euclid-and-the-lantern"/>
      <w:pPr>
        <w:pStyle w:val="Heading2"/>
      </w:pPr>
      <w:r>
        <w:rPr>
          <w:b w:val="0"/>
          <w:i w:val="0"/>
        </w:rPr>
        <w:t>Euclid and the lantern</w:t>
      </w:r>
      <w:bookmarkEnd w:id="89"/>
    </w:p>
    <w:p>
      <w:pPr>
        <w:keepNext/>
        <w:widowControl/>
      </w:pPr>
      <w:r>
        <w:rPr>
          <w:b/>
          <w:i w:val="0"/>
        </w:rPr>
        <w:t>Latin:</w:t>
      </w:r>
      <w:r>
        <w:rPr>
          <w:b w:val="0"/>
          <w:i w:val="0"/>
        </w:rPr>
        <w:t xml:space="preserve"> </w:t>
      </w:r>
      <w:r>
        <w:rPr>
          <w:b w:val="0"/>
          <w:i/>
        </w:rPr>
        <w:t>Euclides</w:t>
      </w:r>
      <w:r>
        <w:rPr>
          <w:b w:val="0"/>
          <w:i w:val="0"/>
        </w:rPr>
        <w:t xml:space="preserve">, </w:t>
      </w:r>
      <w:r>
        <w:rPr>
          <w:b w:val="0"/>
          <w:i/>
        </w:rPr>
        <w:t>Megaris</w:t>
      </w:r>
      <w:r>
        <w:rPr>
          <w:b w:val="0"/>
          <w:i w:val="0"/>
        </w:rPr>
        <w:t xml:space="preserve">, </w:t>
      </w:r>
      <w:r>
        <w:rPr>
          <w:b w:val="0"/>
          <w:i/>
        </w:rPr>
        <w:t>Athenas</w:t>
      </w:r>
      <w:r>
        <w:rPr>
          <w:b w:val="0"/>
          <w:i w:val="0"/>
        </w:rPr>
        <w:t xml:space="preserve">, </w:t>
      </w:r>
      <w:r>
        <w:rPr>
          <w:b w:val="0"/>
          <w:i/>
        </w:rPr>
        <w:t>Socratem auditurus</w:t>
      </w:r>
      <w:r>
        <w:rPr>
          <w:b w:val="0"/>
          <w:i w:val="0"/>
        </w:rPr>
        <w:t xml:space="preserve">, </w:t>
      </w:r>
      <w:r>
        <w:rPr>
          <w:b w:val="0"/>
          <w:i/>
        </w:rPr>
        <w:t>laternam</w:t>
      </w:r>
      <w:r>
        <w:rPr>
          <w:b w:val="0"/>
          <w:i w:val="0"/>
        </w:rPr>
        <w:t xml:space="preserve">, </w:t>
      </w:r>
      <w:r>
        <w:rPr>
          <w:b w:val="0"/>
          <w:i/>
        </w:rPr>
        <w:t>iter</w:t>
      </w:r>
      <w:r>
        <w:rPr>
          <w:b w:val="0"/>
          <w:i w:val="0"/>
        </w:rPr>
        <w:t xml:space="preserve">, </w:t>
      </w:r>
      <w:r>
        <w:rPr>
          <w:b w:val="0"/>
          <w:i/>
        </w:rPr>
        <w:t>passus</w:t>
      </w:r>
      <w:r>
        <w:rPr>
          <w:b w:val="0"/>
          <w:i w:val="0"/>
        </w:rPr>
        <w:t xml:space="preserve">, </w:t>
      </w:r>
      <w:r>
        <w:rPr>
          <w:b w:val="0"/>
          <w:i/>
        </w:rPr>
        <w:t>praescribit</w:t>
      </w:r>
      <w:r>
        <w:rPr>
          <w:b w:val="0"/>
          <w:i w:val="0"/>
        </w:rPr>
        <w:t xml:space="preserve">, </w:t>
      </w:r>
      <w:r>
        <w:rPr>
          <w:b w:val="0"/>
          <w:i/>
        </w:rPr>
        <w:t>designans</w:t>
      </w:r>
      <w:r>
        <w:rPr>
          <w:b w:val="0"/>
          <w:i w:val="0"/>
        </w:rPr>
        <w:t xml:space="preserve">, </w:t>
      </w:r>
      <w:r>
        <w:rPr>
          <w:b w:val="0"/>
          <w:i/>
        </w:rPr>
        <w:t>peragunt</w:t>
      </w:r>
      <w:r>
        <w:rPr>
          <w:b w:val="0"/>
          <w:i w:val="0"/>
        </w:rPr>
        <w:t>.</w:t>
      </w:r>
    </w:p>
    <w:p>
      <w:pPr>
        <w:keepNext/>
        <w:widowControl/>
      </w:pPr>
      <w:r>
        <w:rPr>
          <w:b/>
          <w:i w:val="0"/>
        </w:rPr>
        <w:t>The word.</w:t>
      </w:r>
    </w:p>
    <w:p>
      <w:pPr>
        <w:widowControl/>
      </w:pPr>
      <w:r>
        <w:rPr>
          <w:b w:val="0"/>
          <w:i/>
        </w:rPr>
        <w:t>Iter</w:t>
      </w:r>
      <w:r>
        <w:rPr>
          <w:b w:val="0"/>
          <w:i w:val="0"/>
        </w:rPr>
        <w:t xml:space="preserve"> is the whole journey or route; </w:t>
      </w:r>
      <w:r>
        <w:rPr>
          <w:b w:val="0"/>
          <w:i/>
        </w:rPr>
        <w:t>passus</w:t>
      </w:r>
      <w:r>
        <w:rPr>
          <w:b w:val="0"/>
          <w:i w:val="0"/>
        </w:rPr>
        <w:t xml:space="preserve"> an individual step. </w:t>
      </w:r>
      <w:r>
        <w:rPr>
          <w:b w:val="0"/>
          <w:i/>
        </w:rPr>
        <w:t>Praescribere</w:t>
      </w:r>
      <w:r>
        <w:rPr>
          <w:b w:val="0"/>
          <w:i w:val="0"/>
        </w:rPr>
        <w:t xml:space="preserve"> traces out or prescribes a plan; </w:t>
      </w:r>
      <w:r>
        <w:rPr>
          <w:b w:val="0"/>
          <w:i/>
        </w:rPr>
        <w:t>designare</w:t>
      </w:r>
      <w:r>
        <w:rPr>
          <w:b w:val="0"/>
          <w:i w:val="0"/>
        </w:rPr>
        <w:t xml:space="preserve"> marks a particular action; </w:t>
      </w:r>
      <w:r>
        <w:rPr>
          <w:b w:val="0"/>
          <w:i/>
        </w:rPr>
        <w:t>peragere</w:t>
      </w:r>
      <w:r>
        <w:rPr>
          <w:b w:val="0"/>
          <w:i w:val="0"/>
        </w:rPr>
        <w:t xml:space="preserve"> carries it through. The printed </w:t>
      </w:r>
      <w:r>
        <w:rPr>
          <w:b w:val="0"/>
          <w:i/>
        </w:rPr>
        <w:t>laterna</w:t>
      </w:r>
      <w:r>
        <w:rPr>
          <w:b w:val="0"/>
          <w:i w:val="0"/>
        </w:rPr>
        <w:t xml:space="preserve"> means lantern. The named Euclid is characterized here by departure from Megara to hear Socrates in Athens.</w:t>
      </w:r>
    </w:p>
    <w:p>
      <w:pPr>
        <w:keepNext/>
        <w:widowControl/>
      </w:pPr>
      <w:r>
        <w:rPr>
          <w:b/>
          <w:i w:val="0"/>
        </w:rPr>
        <w:t>In the Platonic Theology.</w:t>
      </w:r>
    </w:p>
    <w:p>
      <w:pPr>
        <w:widowControl/>
      </w:pPr>
      <w:r>
        <w:rPr>
          <w:b w:val="0"/>
          <w:i w:val="0"/>
        </w:rPr>
        <w:t>Ficino offers the night journey to make celestial movement easier to understand. Euclid has a general conception of the whole route, but that conception alone produces no particular step. The lantern reveals a first step; imagination conceives it; appetite selects it; feet execute it. Then the process is repeated. The example separates knowing a general purpose from supplying its determinate, successive realization. Its explanatory work does not depend on turning the story into verified biography.</w:t>
      </w:r>
    </w:p>
    <w:p>
      <w:pPr>
        <w:widowControl/>
      </w:pPr>
      <w:r>
        <w:rPr>
          <w:b w:val="0"/>
          <w:i w:val="0"/>
        </w:rPr>
        <w:t>The celestial analogy is correspondingly specific. Mind and reason formulate the broad undertaking; the lowest motive power brings forward one seed-kind like a lantern; attached imagination considers and desires it and unfolds its effect. Fate belongs to the ordered succession of seeds, while desire belongs to the directing thought. The analogy explains differentiated execution under a general order without reducing every psychic function to imagination or every cause to fate. This Euclid should not be silently identified with the geometer in IV.1.11.</w:t>
      </w:r>
    </w:p>
    <w:p>
      <w:pPr>
        <w:keepNext/>
        <w:widowControl/>
      </w:pPr>
      <w:r>
        <w:rPr>
          <w:b/>
          <w:i w:val="0"/>
        </w:rPr>
        <w:t>The places.</w:t>
      </w:r>
    </w:p>
    <w:p>
      <w:pPr>
        <w:ind w:left="187" w:hanging="187"/>
      </w:pPr>
      <w:r>
        <w:t xml:space="preserve">• </w:t>
      </w:r>
      <w:r>
        <w:rPr>
          <w:b/>
          <w:i w:val="0"/>
        </w:rPr>
        <w:t>IV.2.13, PDF pp. 340–341:</w:t>
      </w:r>
      <w:r>
        <w:rPr>
          <w:b w:val="0"/>
          <w:i w:val="0"/>
        </w:rPr>
        <w:t xml:space="preserve"> person, places, night, purpose, lantern, and whole-route conception establish the example</w:t>
      </w:r>
    </w:p>
    <w:p>
      <w:pPr>
        <w:ind w:left="187" w:hanging="187"/>
      </w:pPr>
      <w:r>
        <w:t xml:space="preserve">• </w:t>
      </w:r>
      <w:r>
        <w:rPr>
          <w:b/>
          <w:i w:val="0"/>
        </w:rPr>
        <w:t>IV.2.14, pp. 340–341:</w:t>
      </w:r>
      <w:r>
        <w:rPr>
          <w:b w:val="0"/>
          <w:i w:val="0"/>
        </w:rPr>
        <w:t xml:space="preserve"> the first and second steps distinguish illumination, cognition, choice, and execution</w:t>
      </w:r>
    </w:p>
    <w:p>
      <w:pPr>
        <w:ind w:left="187" w:hanging="187"/>
      </w:pPr>
      <w:r>
        <w:t xml:space="preserve">• </w:t>
      </w:r>
      <w:r>
        <w:rPr>
          <w:b/>
          <w:i w:val="0"/>
        </w:rPr>
        <w:t>IV.2.15–16, pp. 342–343:</w:t>
      </w:r>
      <w:r>
        <w:rPr>
          <w:b w:val="0"/>
          <w:i w:val="0"/>
        </w:rPr>
        <w:t xml:space="preserve"> the sequence is transferred to celestial seed-activation and the relation of fate to desire</w:t>
      </w:r>
    </w:p>
    <w:p>
      <w:pPr>
        <w:keepNext/>
        <w:widowControl/>
      </w:pPr>
      <w:r>
        <w:rPr>
          <w:b/>
          <w:i w:val="0"/>
        </w:rPr>
        <w:t>In this edition.</w:t>
      </w:r>
    </w:p>
    <w:p>
      <w:pPr>
        <w:widowControl/>
      </w:pPr>
      <w:r>
        <w:t>“</w:t>
      </w:r>
      <w:r>
        <w:rPr>
          <w:b w:val="0"/>
          <w:i w:val="0"/>
        </w:rPr>
        <w:t>Decides</w:t>
      </w:r>
      <w:r>
        <w:t>”</w:t>
      </w:r>
      <w:r>
        <w:rPr>
          <w:b w:val="0"/>
          <w:i w:val="0"/>
        </w:rPr>
        <w:t xml:space="preserve"> at IV.2.13 renders </w:t>
      </w:r>
      <w:r>
        <w:rPr>
          <w:b w:val="0"/>
          <w:i/>
        </w:rPr>
        <w:t>cogitat</w:t>
      </w:r>
      <w:r>
        <w:rPr>
          <w:b w:val="0"/>
          <w:i w:val="0"/>
        </w:rPr>
        <w:t xml:space="preserve"> in its practical context; the same family also appears as conceiving a particular step. </w:t>
      </w:r>
      <w:r>
        <w:t>“</w:t>
      </w:r>
      <w:r>
        <w:rPr>
          <w:b w:val="0"/>
          <w:i w:val="0"/>
        </w:rPr>
        <w:t>Appetite chooses</w:t>
      </w:r>
      <w:r>
        <w:t>”</w:t>
      </w:r>
      <w:r>
        <w:rPr>
          <w:b w:val="0"/>
          <w:i w:val="0"/>
        </w:rPr>
        <w:t xml:space="preserve"> is the text’s </w:t>
      </w:r>
      <w:r>
        <w:rPr>
          <w:b w:val="0"/>
          <w:i/>
        </w:rPr>
        <w:t>hunc eligit appetitus</w:t>
      </w:r>
      <w:r>
        <w:rPr>
          <w:b w:val="0"/>
          <w:i w:val="0"/>
        </w:rPr>
        <w:t xml:space="preserve">, so choice here is not an exclusively intellectual label. </w:t>
      </w:r>
      <w:r>
        <w:t>“</w:t>
      </w:r>
      <w:r>
        <w:rPr>
          <w:b w:val="0"/>
          <w:i w:val="0"/>
        </w:rPr>
        <w:t>As a lantern</w:t>
      </w:r>
      <w:r>
        <w:t>”</w:t>
      </w:r>
      <w:r>
        <w:rPr>
          <w:b w:val="0"/>
          <w:i w:val="0"/>
        </w:rPr>
        <w:t xml:space="preserve"> preserves the comparison rather than positing a literal heavenly lamp.</w:t>
      </w:r>
    </w:p>
    <w:p>
      <w:pPr>
        <w:keepNext/>
        <w:widowControl/>
      </w:pPr>
      <w:r>
        <w:rPr>
          <w:b/>
          <w:i w:val="0"/>
        </w:rPr>
        <w:t>See also.</w:t>
      </w:r>
    </w:p>
    <w:p>
      <w:pPr>
        <w:widowControl/>
      </w:pPr>
      <w:hyperlink w:anchor="fate">
        <w:r>
          <w:rPr>
            <w:color w:val="000000"/>
          </w:rPr>
          <w:t xml:space="preserve">Fate</w:t>
        </w:r>
      </w:hyperlink>
      <w:r>
        <w:rPr>
          <w:b w:val="0"/>
          <w:i w:val="0"/>
        </w:rPr>
        <w:t xml:space="preserve">; </w:t>
      </w:r>
      <w:hyperlink w:anchor="sense-and-imagination">
        <w:r>
          <w:rPr>
            <w:color w:val="000000"/>
          </w:rPr>
          <w:t xml:space="preserve">Sense and imagination</w:t>
        </w:r>
      </w:hyperlink>
      <w:r>
        <w:rPr>
          <w:b w:val="0"/>
          <w:i w:val="0"/>
        </w:rPr>
        <w:t xml:space="preserve">; </w:t>
      </w:r>
      <w:hyperlink w:anchor="common-and-proper">
        <w:r>
          <w:rPr>
            <w:color w:val="000000"/>
          </w:rPr>
          <w:t xml:space="preserve">Proper and common</w:t>
        </w:r>
      </w:hyperlink>
      <w:r>
        <w:rPr>
          <w:b w:val="0"/>
          <w:i w:val="0"/>
        </w:rPr>
        <w:t xml:space="preserve">; </w:t>
      </w:r>
      <w:hyperlink w:anchor="carpenter-and-geometer">
        <w:r>
          <w:rPr>
            <w:color w:val="000000"/>
          </w:rPr>
          <w:t xml:space="preserve">Carpenter and geometer</w:t>
        </w:r>
      </w:hyperlink>
      <w:r>
        <w:rPr>
          <w:b w:val="0"/>
          <w:i w:val="0"/>
        </w:rPr>
        <w:t>.</w:t>
      </w:r>
    </w:p>
    <w:p>
      <w:bookmarkStart w:id="90" w:name="exchange-and-reconciliation"/>
      <w:pPr>
        <w:pStyle w:val="Heading2"/>
      </w:pPr>
      <w:r>
        <w:rPr>
          <w:b w:val="0"/>
          <w:i w:val="0"/>
        </w:rPr>
        <w:t>Exchange and reconciliation</w:t>
      </w:r>
      <w:bookmarkEnd w:id="90"/>
    </w:p>
    <w:p>
      <w:pPr>
        <w:keepNext/>
        <w:widowControl/>
      </w:pPr>
      <w:r>
        <w:rPr>
          <w:b/>
          <w:i w:val="0"/>
        </w:rPr>
        <w:t>Latin:</w:t>
      </w:r>
      <w:r>
        <w:rPr>
          <w:b w:val="0"/>
          <w:i w:val="0"/>
        </w:rPr>
        <w:t xml:space="preserve"> </w:t>
      </w:r>
      <w:r>
        <w:rPr>
          <w:b w:val="0"/>
          <w:i/>
        </w:rPr>
        <w:t>mutuare; mutuari; vicissim; conciliare; repugnantia; interimere; copulare</w:t>
      </w:r>
    </w:p>
    <w:p>
      <w:pPr>
        <w:keepNext/>
        <w:widowControl/>
      </w:pPr>
      <w:r>
        <w:rPr>
          <w:b/>
          <w:i w:val="0"/>
        </w:rPr>
        <w:t>The word.</w:t>
      </w:r>
    </w:p>
    <w:p>
      <w:pPr>
        <w:widowControl/>
      </w:pPr>
      <w:r>
        <w:rPr>
          <w:b w:val="0"/>
          <w:i w:val="0"/>
        </w:rPr>
        <w:t>Mutuare and mutuari express lending or giving and borrowing or receiving; vicissim marks reciprocity. Conciliare reconciles, interimere destroys, and copulare joins. Reciprocity is distinct from simple sameness.</w:t>
      </w:r>
    </w:p>
    <w:p>
      <w:pPr>
        <w:keepNext/>
        <w:widowControl/>
      </w:pPr>
      <w:r>
        <w:rPr>
          <w:b/>
          <w:i w:val="0"/>
        </w:rPr>
        <w:t>In the Platonic Theology.</w:t>
      </w:r>
    </w:p>
    <w:p>
      <w:pPr>
        <w:widowControl/>
      </w:pPr>
      <w:r>
        <w:rPr>
          <w:b w:val="0"/>
          <w:i w:val="0"/>
        </w:rPr>
        <w:t>The world’s opposed members exchange natures and motions, giving as well as receiving. Ficino asks what enables contrary powers to remain connected rather than separating according to weight and place or destroying one another. Their own opposition cannot, in his argument, explain their common ordered life; a superior unity must bind them. The subsequent reconciliation claim specifies the benefit: contending things are directed together toward good ends instead of mutually abolishing one another. The heat-and-cold comparison differentiates a power’s ordinary effect from the fitting measure of that effect within a coordinated whole. These passages therefore require both difference and cooperation. Making all elements identical would remove the very oppositions that providence is said to coordinate.</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II.13.4 (Latin PDF p. 218; English PDF p. 219).</w:t>
      </w:r>
      <w:r>
        <w:rPr>
          <w:b w:val="0"/>
          <w:i w:val="0"/>
        </w:rPr>
        <w:t xml:space="preserve"> The paired active and deponent verbs articulate giving and receiving.</w:t>
      </w:r>
    </w:p>
    <w:p>
      <w:pPr>
        <w:ind w:left="187" w:hanging="187"/>
      </w:pPr>
      <w:r>
        <w:t xml:space="preserve">• </w:t>
      </w:r>
      <w:r>
        <w:rPr>
          <w:b/>
          <w:i w:val="0"/>
        </w:rPr>
        <w:t>II.13.7 (Latin PDF p. 218; English PDF p. 219).</w:t>
      </w:r>
      <w:r>
        <w:rPr>
          <w:b w:val="0"/>
          <w:i w:val="0"/>
        </w:rPr>
        <w:t xml:space="preserve"> Heat and cold have contrasting effects.</w:t>
      </w:r>
    </w:p>
    <w:p>
      <w:pPr>
        <w:ind w:left="187" w:hanging="187"/>
      </w:pPr>
      <w:r>
        <w:t xml:space="preserve">• </w:t>
      </w:r>
      <w:r>
        <w:rPr>
          <w:b/>
          <w:i w:val="0"/>
        </w:rPr>
        <w:t>II.13.10 (Latin PDF p. 222; English PDF p. 223).</w:t>
      </w:r>
      <w:r>
        <w:rPr>
          <w:b w:val="0"/>
          <w:i w:val="0"/>
        </w:rPr>
        <w:t xml:space="preserve"> Providence reconciles opposing things so they do not destroy each other.</w:t>
      </w:r>
    </w:p>
    <w:p>
      <w:pPr>
        <w:keepNext/>
        <w:widowControl/>
      </w:pPr>
      <w:r>
        <w:rPr>
          <w:b/>
          <w:i w:val="0"/>
        </w:rPr>
        <w:t>In this edition.</w:t>
      </w:r>
    </w:p>
    <w:p>
      <w:pPr>
        <w:widowControl/>
      </w:pPr>
      <w:r>
        <w:rPr>
          <w:b w:val="0"/>
          <w:i w:val="0"/>
        </w:rPr>
        <w:t xml:space="preserve">The supplied English’s </w:t>
      </w:r>
      <w:r>
        <w:t>“</w:t>
      </w:r>
      <w:r>
        <w:rPr>
          <w:b w:val="0"/>
          <w:i w:val="0"/>
        </w:rPr>
        <w:t>both giving and receiving</w:t>
      </w:r>
      <w:r>
        <w:t>”</w:t>
      </w:r>
      <w:r>
        <w:rPr>
          <w:b w:val="0"/>
          <w:i w:val="0"/>
        </w:rPr>
        <w:t xml:space="preserve"> is an explanatory rendering of mutuarent … et mutuarentur. It makes a real grammatical distinction audible. The physical claims about elements’ places and effects remain Ficino’s premises.</w:t>
      </w:r>
    </w:p>
    <w:p>
      <w:pPr>
        <w:keepNext/>
        <w:widowControl/>
      </w:pPr>
      <w:r>
        <w:rPr>
          <w:b/>
          <w:i w:val="0"/>
        </w:rPr>
        <w:t>See also.</w:t>
      </w:r>
    </w:p>
    <w:p>
      <w:pPr>
        <w:widowControl/>
      </w:pPr>
      <w:hyperlink w:anchor="contraries-and-opposition">
        <w:r>
          <w:rPr>
            <w:color w:val="000000"/>
          </w:rPr>
          <w:t xml:space="preserve">Contraries and opposition</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 xml:space="preserve">; </w:t>
      </w:r>
      <w:hyperlink w:anchor="elements-and-their-spheres">
        <w:r>
          <w:rPr>
            <w:color w:val="000000"/>
          </w:rPr>
          <w:t xml:space="preserve">Elements and their spheres</w:t>
        </w:r>
      </w:hyperlink>
      <w:r>
        <w:rPr>
          <w:b w:val="0"/>
          <w:i w:val="0"/>
        </w:rPr>
        <w:t>.</w:t>
      </w:r>
    </w:p>
    <w:p>
      <w:bookmarkStart w:id="91" w:name="eye-and-gaze"/>
      <w:pPr>
        <w:pStyle w:val="Heading2"/>
      </w:pPr>
      <w:r>
        <w:rPr>
          <w:b w:val="0"/>
          <w:i w:val="0"/>
        </w:rPr>
        <w:t>Eye and gaze</w:t>
      </w:r>
      <w:bookmarkEnd w:id="91"/>
    </w:p>
    <w:p>
      <w:pPr>
        <w:keepNext/>
        <w:widowControl/>
      </w:pPr>
      <w:r>
        <w:rPr>
          <w:b/>
          <w:i w:val="0"/>
        </w:rPr>
        <w:t>Latin:</w:t>
      </w:r>
      <w:r>
        <w:rPr>
          <w:b w:val="0"/>
          <w:i w:val="0"/>
        </w:rPr>
        <w:t xml:space="preserve"> oculus; oculi; intuitu; contuetur; inspicit; cernere; oculus infinitus; Iovis perfectus oculus</w:t>
      </w:r>
    </w:p>
    <w:p>
      <w:pPr>
        <w:keepNext/>
        <w:widowControl/>
      </w:pPr>
      <w:r>
        <w:rPr>
          <w:b/>
          <w:i w:val="0"/>
        </w:rPr>
        <w:t>The word.</w:t>
      </w:r>
    </w:p>
    <w:p>
      <w:pPr>
        <w:widowControl/>
      </w:pPr>
      <w:r>
        <w:rPr>
          <w:b w:val="0"/>
          <w:i w:val="0"/>
        </w:rPr>
        <w:t>Oculus is an eye; intuitus a look or gaze; contueri and inspicere can behold or inspect. Ficino applies visual words to intellectual knowledge while retaining the difference between a sensory illustration and the divine mode of knowing.</w:t>
      </w:r>
    </w:p>
    <w:p>
      <w:pPr>
        <w:keepNext/>
        <w:widowControl/>
      </w:pPr>
      <w:r>
        <w:rPr>
          <w:b/>
          <w:i w:val="0"/>
        </w:rPr>
        <w:t>In the Platonic Theology.</w:t>
      </w:r>
    </w:p>
    <w:p>
      <w:pPr>
        <w:widowControl/>
      </w:pPr>
      <w:r>
        <w:rPr>
          <w:b w:val="0"/>
          <w:i w:val="0"/>
        </w:rPr>
        <w:t xml:space="preserve">An eye beholding many stars in one glance illustrates how a single act need not alternate between each object. The analogy answers distraction; it does not establish that God has bodily eyes. Orphic language then supplies the </w:t>
      </w:r>
      <w:r>
        <w:t>“</w:t>
      </w:r>
      <w:r>
        <w:rPr>
          <w:b w:val="0"/>
          <w:i w:val="0"/>
        </w:rPr>
        <w:t>perfect eye</w:t>
      </w:r>
      <w:r>
        <w:t>”</w:t>
      </w:r>
      <w:r>
        <w:rPr>
          <w:b w:val="0"/>
          <w:i w:val="0"/>
        </w:rPr>
        <w:t xml:space="preserve"> of Jove and the </w:t>
      </w:r>
      <w:r>
        <w:t>“</w:t>
      </w:r>
      <w:r>
        <w:rPr>
          <w:b w:val="0"/>
          <w:i w:val="0"/>
        </w:rPr>
        <w:t>infinite eye.</w:t>
      </w:r>
      <w:r>
        <w:t>”</w:t>
      </w:r>
      <w:r>
        <w:rPr>
          <w:b w:val="0"/>
          <w:i w:val="0"/>
        </w:rPr>
        <w:t xml:space="preserve"> These expressions praise comprehensive and unbounded cognition as Ficino presents the hymnic authorities.</w:t>
      </w:r>
    </w:p>
    <w:p>
      <w:pPr>
        <w:widowControl/>
      </w:pPr>
      <w:r>
        <w:rPr>
          <w:b w:val="0"/>
          <w:i w:val="0"/>
        </w:rPr>
        <w:t>The argument for infinite knowledge distinguishes this gaze from enumeration. An infinite knower comprehends itself without being bounded by another. It sees many through one form and one act. Thus the imagery is not incidental ornament: it expresses unity of act, while the nearby reasoning supplies the qualifications that ordinary vision cannot itself furnish.</w:t>
      </w:r>
    </w:p>
    <w:p>
      <w:pPr>
        <w:keepNext/>
        <w:widowControl/>
      </w:pPr>
      <w:r>
        <w:rPr>
          <w:b/>
          <w:i w:val="0"/>
        </w:rPr>
        <w:t>The places.</w:t>
      </w:r>
    </w:p>
    <w:p>
      <w:pPr>
        <w:ind w:left="187" w:hanging="187"/>
      </w:pPr>
      <w:r>
        <w:t xml:space="preserve">• </w:t>
      </w:r>
      <w:r>
        <w:rPr>
          <w:b w:val="0"/>
          <w:i w:val="0"/>
        </w:rPr>
        <w:t>II.9.18, II.9.19 (PDF pp. 172–173): The perfect eye and Jove’s mind appear in an attributed Orphic saying</w:t>
      </w:r>
    </w:p>
    <w:p>
      <w:pPr>
        <w:ind w:left="187" w:hanging="187"/>
      </w:pPr>
      <w:r>
        <w:t xml:space="preserve">• </w:t>
      </w:r>
      <w:r>
        <w:rPr>
          <w:b w:val="0"/>
          <w:i w:val="0"/>
        </w:rPr>
        <w:t>II.9.21 (PDF pp. 174–175): One glance at many stars illustrates unified attention</w:t>
      </w:r>
    </w:p>
    <w:p>
      <w:pPr>
        <w:ind w:left="187" w:hanging="187"/>
      </w:pPr>
      <w:r>
        <w:t xml:space="preserve">• </w:t>
      </w:r>
      <w:r>
        <w:rPr>
          <w:b w:val="0"/>
          <w:i w:val="0"/>
        </w:rPr>
        <w:t>II.10.7, II.10.10 (PDF pp. 178–181): The infinite eye and collective intuition oppose a finite count of objects</w:t>
      </w:r>
    </w:p>
    <w:p>
      <w:pPr>
        <w:keepNext/>
        <w:widowControl/>
      </w:pPr>
      <w:r>
        <w:rPr>
          <w:b/>
          <w:i w:val="0"/>
        </w:rPr>
        <w:t>In this edition.</w:t>
      </w:r>
    </w:p>
    <w:p>
      <w:pPr>
        <w:widowControl/>
      </w:pPr>
      <w:r>
        <w:rPr>
          <w:b w:val="0"/>
          <w:i w:val="0"/>
        </w:rPr>
        <w:t xml:space="preserve">II.9.18–19 divides the quoted material and its explanation between units; read them together. The English eye-language is metaphorical when applied to God even where no explicit </w:t>
      </w:r>
      <w:r>
        <w:t>“</w:t>
      </w:r>
      <w:r>
        <w:rPr>
          <w:b w:val="0"/>
          <w:i w:val="0"/>
        </w:rPr>
        <w:t>as if</w:t>
      </w:r>
      <w:r>
        <w:t>”</w:t>
      </w:r>
      <w:r>
        <w:rPr>
          <w:b w:val="0"/>
          <w:i w:val="0"/>
        </w:rPr>
        <w:t xml:space="preserve"> appears in the name.</w:t>
      </w:r>
    </w:p>
    <w:p>
      <w:pPr>
        <w:keepNext/>
        <w:widowControl/>
      </w:pPr>
      <w:r>
        <w:rPr>
          <w:b/>
          <w:i w:val="0"/>
        </w:rPr>
        <w:t>See also.</w:t>
      </w:r>
    </w:p>
    <w:p>
      <w:pPr>
        <w:widowControl/>
      </w:pPr>
      <w:hyperlink w:anchor="intuition-and-comprehension">
        <w:r>
          <w:rPr>
            <w:color w:val="000000"/>
          </w:rPr>
          <w:t xml:space="preserve">Intuition and comprehension</w:t>
        </w:r>
      </w:hyperlink>
      <w:r>
        <w:rPr>
          <w:b w:val="0"/>
          <w:i w:val="0"/>
        </w:rPr>
        <w:t xml:space="preserve">; </w:t>
      </w:r>
      <w:hyperlink w:anchor="counting-and-collective-intuition">
        <w:r>
          <w:rPr>
            <w:color w:val="000000"/>
          </w:rPr>
          <w:t xml:space="preserve">Counting and collective intuition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orpheus-and-divine-names">
        <w:r>
          <w:rPr>
            <w:color w:val="000000"/>
          </w:rPr>
          <w:t xml:space="preserve">Orpheus and divine names</w:t>
        </w:r>
      </w:hyperlink>
      <w:r>
        <w:rPr>
          <w:b w:val="0"/>
          <w:i w:val="0"/>
        </w:rPr>
        <w:t>.</w:t>
      </w:r>
    </w:p>
    <w:p>
      <w:bookmarkStart w:id="92" w:name="eye-and-imagined-enlargement"/>
      <w:pPr>
        <w:pStyle w:val="Heading2"/>
      </w:pPr>
      <w:r>
        <w:rPr>
          <w:b w:val="0"/>
          <w:i w:val="0"/>
        </w:rPr>
        <w:t>Eye and imagined enlargement</w:t>
      </w:r>
      <w:bookmarkEnd w:id="92"/>
    </w:p>
    <w:p>
      <w:pPr>
        <w:keepNext/>
        <w:widowControl/>
      </w:pPr>
      <w:r>
        <w:rPr>
          <w:b/>
          <w:i w:val="0"/>
        </w:rPr>
        <w:t>Latin:</w:t>
      </w:r>
      <w:r>
        <w:rPr>
          <w:b w:val="0"/>
          <w:i w:val="0"/>
        </w:rPr>
        <w:t xml:space="preserve"> </w:t>
      </w:r>
      <w:r>
        <w:rPr>
          <w:b w:val="0"/>
          <w:i/>
        </w:rPr>
        <w:t>oculus</w:t>
      </w:r>
      <w:r>
        <w:rPr>
          <w:b w:val="0"/>
          <w:i w:val="0"/>
        </w:rPr>
        <w:t xml:space="preserve">; </w:t>
      </w:r>
      <w:r>
        <w:rPr>
          <w:b w:val="0"/>
          <w:i/>
        </w:rPr>
        <w:t>visus</w:t>
      </w:r>
      <w:r>
        <w:rPr>
          <w:b w:val="0"/>
          <w:i w:val="0"/>
        </w:rPr>
        <w:t xml:space="preserve">; </w:t>
      </w:r>
      <w:r>
        <w:rPr>
          <w:b w:val="0"/>
          <w:i/>
        </w:rPr>
        <w:t>Finge animo</w:t>
      </w:r>
      <w:r>
        <w:rPr>
          <w:b w:val="0"/>
          <w:i w:val="0"/>
        </w:rPr>
        <w:t xml:space="preserve">; </w:t>
      </w:r>
      <w:r>
        <w:rPr>
          <w:b w:val="0"/>
          <w:i/>
        </w:rPr>
        <w:t>excrescere</w:t>
      </w:r>
      <w:r>
        <w:rPr>
          <w:b w:val="0"/>
          <w:i w:val="0"/>
        </w:rPr>
        <w:t xml:space="preserve">; </w:t>
      </w:r>
      <w:r>
        <w:rPr>
          <w:b w:val="0"/>
          <w:i/>
        </w:rPr>
        <w:t>uno prospectu</w:t>
      </w:r>
      <w:r>
        <w:rPr>
          <w:b w:val="0"/>
          <w:i w:val="0"/>
        </w:rPr>
        <w:t xml:space="preserve">; </w:t>
      </w:r>
      <w:r>
        <w:rPr>
          <w:b w:val="0"/>
          <w:i/>
        </w:rPr>
        <w:t>unico intuitu</w:t>
      </w:r>
      <w:r>
        <w:rPr>
          <w:b w:val="0"/>
          <w:i w:val="0"/>
        </w:rPr>
        <w:t xml:space="preserve">; </w:t>
      </w:r>
      <w:r>
        <w:rPr>
          <w:b w:val="0"/>
          <w:i/>
        </w:rPr>
        <w:t>aucupabitur</w:t>
      </w:r>
      <w:r>
        <w:rPr>
          <w:b w:val="0"/>
          <w:i w:val="0"/>
        </w:rPr>
        <w:t>.</w:t>
      </w:r>
    </w:p>
    <w:p>
      <w:pPr>
        <w:keepNext/>
        <w:widowControl/>
      </w:pPr>
      <w:r>
        <w:rPr>
          <w:b/>
          <w:i w:val="0"/>
        </w:rPr>
        <w:t>The word.</w:t>
      </w:r>
    </w:p>
    <w:p>
      <w:pPr>
        <w:widowControl/>
      </w:pPr>
      <w:r>
        <w:rPr>
          <w:b w:val="0"/>
          <w:i/>
        </w:rPr>
        <w:t>Oculus</w:t>
      </w:r>
      <w:r>
        <w:rPr>
          <w:b w:val="0"/>
          <w:i w:val="0"/>
        </w:rPr>
        <w:t xml:space="preserve"> is an eye; </w:t>
      </w:r>
      <w:r>
        <w:rPr>
          <w:b w:val="0"/>
          <w:i/>
        </w:rPr>
        <w:t>visus</w:t>
      </w:r>
      <w:r>
        <w:rPr>
          <w:b w:val="0"/>
          <w:i w:val="0"/>
        </w:rPr>
        <w:t xml:space="preserve"> can mean sight or the visual capacity. </w:t>
      </w:r>
      <w:r>
        <w:rPr>
          <w:b w:val="0"/>
          <w:i/>
        </w:rPr>
        <w:t>Fingere animo</w:t>
      </w:r>
      <w:r>
        <w:rPr>
          <w:b w:val="0"/>
          <w:i w:val="0"/>
        </w:rPr>
        <w:t xml:space="preserve"> asks the reader to imagine or fashion a supposition mentally. </w:t>
      </w:r>
      <w:r>
        <w:rPr>
          <w:b w:val="0"/>
          <w:i/>
        </w:rPr>
        <w:t>Prospectus</w:t>
      </w:r>
      <w:r>
        <w:rPr>
          <w:b w:val="0"/>
          <w:i w:val="0"/>
        </w:rPr>
        <w:t xml:space="preserve"> and </w:t>
      </w:r>
      <w:r>
        <w:rPr>
          <w:b w:val="0"/>
          <w:i/>
        </w:rPr>
        <w:t>intuitus</w:t>
      </w:r>
      <w:r>
        <w:rPr>
          <w:b w:val="0"/>
          <w:i w:val="0"/>
        </w:rPr>
        <w:t xml:space="preserve"> identify a view or apprehension. </w:t>
      </w:r>
      <w:r>
        <w:rPr>
          <w:b w:val="0"/>
          <w:i/>
        </w:rPr>
        <w:t>Aucupari</w:t>
      </w:r>
      <w:r>
        <w:rPr>
          <w:b w:val="0"/>
          <w:i w:val="0"/>
        </w:rPr>
        <w:t>, literally a hunting word, here depicts seeking one object and then another.</w:t>
      </w:r>
    </w:p>
    <w:p>
      <w:pPr>
        <w:keepNext/>
        <w:widowControl/>
      </w:pPr>
      <w:r>
        <w:rPr>
          <w:b/>
          <w:i w:val="0"/>
        </w:rPr>
        <w:t>In the Platonic Theology.</w:t>
      </w:r>
    </w:p>
    <w:p>
      <w:pPr>
        <w:widowControl/>
      </w:pPr>
      <w:r>
        <w:rPr>
          <w:b w:val="0"/>
          <w:i w:val="0"/>
        </w:rPr>
        <w:t xml:space="preserve">Ficino invites two linked imaginary enlargements. First the eye grows to fill the whole body, removing the variety of bodily members. It sees all colours at once without turning but still receives the same sunlight and remains other than that light. Then mind takes the place of every other psychic faculty, leaving a pure mind which Ficino calls an angel. It apprehends all true things in one intuition rather than hunting them successively. The parallel is designed to preserve the distinction between recipient and truth even at the highest created intellectual level. It does not describe a biological transformation or prescribe the literal destruction of bodily or psychic functions. Nor does </w:t>
      </w:r>
      <w:r>
        <w:t>“</w:t>
      </w:r>
      <w:r>
        <w:rPr>
          <w:b w:val="0"/>
          <w:i w:val="0"/>
        </w:rPr>
        <w:t>the same truth</w:t>
      </w:r>
      <w:r>
        <w:t>”</w:t>
      </w:r>
      <w:r>
        <w:rPr>
          <w:b w:val="0"/>
          <w:i w:val="0"/>
        </w:rPr>
        <w:t xml:space="preserve"> mean the same limited amount of apprehension: reception becomes more abundant while its source remains the same.</w:t>
      </w:r>
    </w:p>
    <w:p>
      <w:pPr>
        <w:keepNext/>
        <w:widowControl/>
      </w:pPr>
      <w:r>
        <w:rPr>
          <w:b/>
          <w:i w:val="0"/>
        </w:rPr>
        <w:t>The places.</w:t>
      </w:r>
    </w:p>
    <w:p>
      <w:pPr>
        <w:ind w:left="187" w:hanging="187"/>
      </w:pPr>
      <w:r>
        <w:t xml:space="preserve">• </w:t>
      </w:r>
      <w:r>
        <w:rPr>
          <w:b/>
          <w:i w:val="0"/>
        </w:rPr>
        <w:t>I.6.7, PDF 86–87.</w:t>
      </w:r>
      <w:r>
        <w:rPr>
          <w:b w:val="0"/>
          <w:i w:val="0"/>
        </w:rPr>
        <w:t xml:space="preserve"> Mind is established as the soul’s eye</w:t>
      </w:r>
    </w:p>
    <w:p>
      <w:pPr>
        <w:ind w:left="187" w:hanging="187"/>
      </w:pPr>
      <w:r>
        <w:t xml:space="preserve">• </w:t>
      </w:r>
      <w:r>
        <w:rPr>
          <w:b/>
          <w:i w:val="0"/>
        </w:rPr>
        <w:t>I.6.8, PDF 86–87.</w:t>
      </w:r>
      <w:r>
        <w:rPr>
          <w:b w:val="0"/>
          <w:i w:val="0"/>
        </w:rPr>
        <w:t xml:space="preserve"> The eye thought experiment separates greater reception from identity with light</w:t>
      </w:r>
    </w:p>
    <w:p>
      <w:pPr>
        <w:ind w:left="187" w:hanging="187"/>
      </w:pPr>
      <w:r>
        <w:t xml:space="preserve">• </w:t>
      </w:r>
      <w:r>
        <w:rPr>
          <w:b/>
          <w:i w:val="0"/>
        </w:rPr>
        <w:t>I.6.9, PDF 86–87.</w:t>
      </w:r>
      <w:r>
        <w:rPr>
          <w:b w:val="0"/>
          <w:i w:val="0"/>
        </w:rPr>
        <w:t xml:space="preserve"> The parallel pure-mind supposition illustrates angelic understanding</w:t>
      </w:r>
    </w:p>
    <w:p>
      <w:pPr>
        <w:ind w:left="187" w:hanging="187"/>
      </w:pPr>
      <w:r>
        <w:t xml:space="preserve">• </w:t>
      </w:r>
      <w:r>
        <w:rPr>
          <w:b/>
          <w:i w:val="0"/>
        </w:rPr>
        <w:t>I.6.10–13, PDF 88–91.</w:t>
      </w:r>
      <w:r>
        <w:rPr>
          <w:b w:val="0"/>
          <w:i w:val="0"/>
        </w:rPr>
        <w:t xml:space="preserve"> The recipient/source distinction supports the ascent beyond mind</w:t>
      </w:r>
    </w:p>
    <w:p>
      <w:pPr>
        <w:keepNext/>
        <w:widowControl/>
      </w:pPr>
      <w:r>
        <w:rPr>
          <w:b/>
          <w:i w:val="0"/>
        </w:rPr>
        <w:t>In this edition.</w:t>
      </w:r>
    </w:p>
    <w:p>
      <w:pPr>
        <w:widowControl/>
      </w:pPr>
      <w:r>
        <w:rPr>
          <w:b w:val="0"/>
          <w:i w:val="0"/>
        </w:rPr>
        <w:t xml:space="preserve">Both </w:t>
      </w:r>
      <w:r>
        <w:t>“</w:t>
      </w:r>
      <w:r>
        <w:rPr>
          <w:b w:val="0"/>
          <w:i w:val="0"/>
        </w:rPr>
        <w:t>Imagine</w:t>
      </w:r>
      <w:r>
        <w:t>”</w:t>
      </w:r>
      <w:r>
        <w:rPr>
          <w:b w:val="0"/>
          <w:i w:val="0"/>
        </w:rPr>
        <w:t xml:space="preserve"> imperatives translate </w:t>
      </w:r>
      <w:r>
        <w:rPr>
          <w:b w:val="0"/>
          <w:i/>
        </w:rPr>
        <w:t>finge</w:t>
      </w:r>
      <w:r>
        <w:rPr>
          <w:b w:val="0"/>
          <w:i w:val="0"/>
        </w:rPr>
        <w:t xml:space="preserve">. </w:t>
      </w:r>
      <w:r>
        <w:t>“</w:t>
      </w:r>
      <w:r>
        <w:rPr>
          <w:b w:val="0"/>
          <w:i w:val="0"/>
        </w:rPr>
        <w:t>Hunting</w:t>
      </w:r>
      <w:r>
        <w:t>”</w:t>
      </w:r>
      <w:r>
        <w:rPr>
          <w:b w:val="0"/>
          <w:i w:val="0"/>
        </w:rPr>
        <w:t xml:space="preserve"> preserves the vividness of </w:t>
      </w:r>
      <w:r>
        <w:rPr>
          <w:b w:val="0"/>
          <w:i/>
        </w:rPr>
        <w:t>aucupabitur</w:t>
      </w:r>
      <w:r>
        <w:rPr>
          <w:b w:val="0"/>
          <w:i w:val="0"/>
        </w:rPr>
        <w:t xml:space="preserve">, whereas </w:t>
      </w:r>
      <w:r>
        <w:t>“</w:t>
      </w:r>
      <w:r>
        <w:rPr>
          <w:b w:val="0"/>
          <w:i w:val="0"/>
        </w:rPr>
        <w:t>a single intuition</w:t>
      </w:r>
      <w:r>
        <w:t>”</w:t>
      </w:r>
      <w:r>
        <w:rPr>
          <w:b w:val="0"/>
          <w:i w:val="0"/>
        </w:rPr>
        <w:t xml:space="preserve"> translates the cognitive </w:t>
      </w:r>
      <w:r>
        <w:rPr>
          <w:b w:val="0"/>
          <w:i/>
        </w:rPr>
        <w:t>unico intuitu</w:t>
      </w:r>
      <w:r>
        <w:rPr>
          <w:b w:val="0"/>
          <w:i w:val="0"/>
        </w:rPr>
        <w:t xml:space="preserve">. These are figurative aids to an argument, not evidence that </w:t>
      </w:r>
      <w:r>
        <w:rPr>
          <w:b w:val="0"/>
          <w:i/>
        </w:rPr>
        <w:t>intuitus</w:t>
      </w:r>
      <w:r>
        <w:rPr>
          <w:b w:val="0"/>
          <w:i w:val="0"/>
        </w:rPr>
        <w:t xml:space="preserve"> always names a separate faculty.</w:t>
      </w:r>
    </w:p>
    <w:p>
      <w:pPr>
        <w:keepNext/>
        <w:widowControl/>
      </w:pPr>
      <w:r>
        <w:rPr>
          <w:b/>
          <w:i w:val="0"/>
        </w:rPr>
        <w:t>See also.</w:t>
      </w:r>
    </w:p>
    <w:p>
      <w:pPr>
        <w:widowControl/>
      </w:pP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containing-receiving-and-lacking">
        <w:r>
          <w:rPr>
            <w:color w:val="000000"/>
          </w:rPr>
          <w:t xml:space="preserve">Containing, receiving and lacking</w:t>
        </w:r>
      </w:hyperlink>
      <w:r>
        <w:rPr>
          <w:b w:val="0"/>
          <w:i w:val="0"/>
        </w:rPr>
        <w:t>.</w:t>
      </w:r>
    </w:p>
    <w:p>
      <w:bookmarkStart w:id="93" w:name="failure-weariness-and-endurance"/>
      <w:pPr>
        <w:pStyle w:val="Heading2"/>
      </w:pPr>
      <w:r>
        <w:rPr>
          <w:b w:val="0"/>
          <w:i w:val="0"/>
        </w:rPr>
        <w:t>Failure weariness and endurance</w:t>
      </w:r>
      <w:bookmarkEnd w:id="93"/>
    </w:p>
    <w:p>
      <w:pPr>
        <w:keepNext/>
        <w:widowControl/>
      </w:pPr>
      <w:r>
        <w:rPr>
          <w:b/>
          <w:i w:val="0"/>
        </w:rPr>
        <w:t>Latin:</w:t>
      </w:r>
      <w:r>
        <w:rPr>
          <w:b w:val="0"/>
          <w:i w:val="0"/>
        </w:rPr>
        <w:t xml:space="preserve"> imbecillitas; debilitetur; deficere; fatigatur; claudicat; infatigabilem; diuturnior; permanet</w:t>
      </w:r>
    </w:p>
    <w:p>
      <w:pPr>
        <w:keepNext/>
        <w:widowControl/>
      </w:pPr>
      <w:r>
        <w:rPr>
          <w:b/>
          <w:i w:val="0"/>
        </w:rPr>
        <w:t>The word.</w:t>
      </w:r>
    </w:p>
    <w:p>
      <w:pPr>
        <w:widowControl/>
      </w:pPr>
      <w:r>
        <w:rPr>
          <w:b w:val="0"/>
          <w:i w:val="0"/>
        </w:rPr>
        <w:t>Imbecillitas is weakness; debilitari to become weaker; deficere to fail or fall short. Fatigari is to grow tired and claudicare literally to limp or falter. Permanere means remaining or enduring; diuturnior means longer-lasting.</w:t>
      </w:r>
    </w:p>
    <w:p>
      <w:pPr>
        <w:keepNext/>
        <w:widowControl/>
      </w:pPr>
      <w:r>
        <w:rPr>
          <w:b/>
          <w:i w:val="0"/>
        </w:rPr>
        <w:t>In the Platonic Theology.</w:t>
      </w:r>
    </w:p>
    <w:p>
      <w:pPr>
        <w:widowControl/>
      </w:pPr>
      <w:r>
        <w:rPr>
          <w:b w:val="0"/>
          <w:i w:val="0"/>
        </w:rPr>
        <w:t xml:space="preserve">The descent through less perfect causes is described as a gradual weakening that must eventually fail. The argument’s vocabulary links intensity, efficacy, and causal rank. These assertions belong to Ficino’s case against an endless hierarchy; they are not deductions from the dictionary sense of </w:t>
      </w:r>
      <w:r>
        <w:t>“</w:t>
      </w:r>
      <w:r>
        <w:rPr>
          <w:b w:val="0"/>
          <w:i w:val="0"/>
        </w:rPr>
        <w:t>decrease.</w:t>
      </w:r>
      <w:r>
        <w:t>”</w:t>
      </w:r>
    </w:p>
    <w:p>
      <w:pPr>
        <w:widowControl/>
      </w:pPr>
      <w:r>
        <w:rPr>
          <w:b w:val="0"/>
          <w:i w:val="0"/>
        </w:rPr>
        <w:t>In the proof of divine infinity, finite power is said eventually to tire and falter, whereas the uniform motion of the vast world displays an indefatigable governor. The next chapter connects stronger preserving power with longer endurance. The imagery of fatigue makes the contrast vivid, but does not imply a divine body with muscles or an experimentally established physical law of energy. Its role is to connect dependence, continuance, and the first cause’s inexhaustibility.</w:t>
      </w:r>
    </w:p>
    <w:p>
      <w:pPr>
        <w:keepNext/>
        <w:widowControl/>
      </w:pPr>
      <w:r>
        <w:rPr>
          <w:b/>
          <w:i w:val="0"/>
        </w:rPr>
        <w:t>The places.</w:t>
      </w:r>
    </w:p>
    <w:p>
      <w:pPr>
        <w:ind w:left="187" w:hanging="187"/>
      </w:pPr>
      <w:r>
        <w:t xml:space="preserve">• </w:t>
      </w:r>
      <w:r>
        <w:rPr>
          <w:b w:val="0"/>
          <w:i w:val="0"/>
        </w:rPr>
        <w:t>II.3.3 (PDF pp. 116–117): Descending efficacy is said to weaken until it fails</w:t>
      </w:r>
    </w:p>
    <w:p>
      <w:pPr>
        <w:ind w:left="187" w:hanging="187"/>
      </w:pPr>
      <w:r>
        <w:t xml:space="preserve">• </w:t>
      </w:r>
      <w:r>
        <w:rPr>
          <w:b w:val="0"/>
          <w:i w:val="0"/>
        </w:rPr>
        <w:t>II.4.1, II.4.7 (PDF pp. 122–125): Dispersed weakness contrasts with unified power and the unwearied governor</w:t>
      </w:r>
    </w:p>
    <w:p>
      <w:pPr>
        <w:ind w:left="187" w:hanging="187"/>
      </w:pPr>
      <w:r>
        <w:t xml:space="preserve">• </w:t>
      </w:r>
      <w:r>
        <w:rPr>
          <w:b w:val="0"/>
          <w:i w:val="0"/>
        </w:rPr>
        <w:t>II.5.1 (PDF pp. 126–127): Duration is related to the strength of preserving power</w:t>
      </w:r>
    </w:p>
    <w:p>
      <w:pPr>
        <w:keepNext/>
        <w:widowControl/>
      </w:pPr>
      <w:r>
        <w:rPr>
          <w:b/>
          <w:i w:val="0"/>
        </w:rPr>
        <w:t>In this edition.</w:t>
      </w:r>
    </w:p>
    <w:p>
      <w:pPr>
        <w:widowControl/>
      </w:pPr>
      <w:r>
        <w:t>“</w:t>
      </w:r>
      <w:r>
        <w:rPr>
          <w:b w:val="0"/>
          <w:i w:val="0"/>
        </w:rPr>
        <w:t>Falters</w:t>
      </w:r>
      <w:r>
        <w:t>”</w:t>
      </w:r>
      <w:r>
        <w:rPr>
          <w:b w:val="0"/>
          <w:i w:val="0"/>
        </w:rPr>
        <w:t xml:space="preserve"> keeps the figurative claudicat legible. </w:t>
      </w:r>
      <w:r>
        <w:t>“</w:t>
      </w:r>
      <w:r>
        <w:rPr>
          <w:b w:val="0"/>
          <w:i w:val="0"/>
        </w:rPr>
        <w:t>Endures</w:t>
      </w:r>
      <w:r>
        <w:t>”</w:t>
      </w:r>
      <w:r>
        <w:rPr>
          <w:b w:val="0"/>
          <w:i w:val="0"/>
        </w:rPr>
        <w:t xml:space="preserve"> for permanet stresses continuity, whereas servatur adds preservation by a cause; their conjunction should not be flattened into simple longevity.</w:t>
      </w:r>
    </w:p>
    <w:p>
      <w:pPr>
        <w:keepNext/>
        <w:widowControl/>
      </w:pPr>
      <w:r>
        <w:rPr>
          <w:b/>
          <w:i w:val="0"/>
        </w:rPr>
        <w:t>See also.</w:t>
      </w:r>
    </w:p>
    <w:p>
      <w:pPr>
        <w:widowControl/>
      </w:pPr>
      <w:hyperlink w:anchor="power-and-potency">
        <w:r>
          <w:rPr>
            <w:color w:val="000000"/>
          </w:rPr>
          <w:t xml:space="preserve">Power and potency</w:t>
        </w:r>
      </w:hyperlink>
      <w:r>
        <w:rPr>
          <w:b w:val="0"/>
          <w:i w:val="0"/>
        </w:rPr>
        <w:t xml:space="preserve">; </w:t>
      </w:r>
      <w:hyperlink w:anchor="weaving-and-world-fabric">
        <w:r>
          <w:rPr>
            <w:color w:val="000000"/>
          </w:rPr>
          <w:t xml:space="preserve">Weaving and world fabric</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eternity-and-time">
        <w:r>
          <w:rPr>
            <w:color w:val="000000"/>
          </w:rPr>
          <w:t xml:space="preserve">Eternity and time</w:t>
        </w:r>
      </w:hyperlink>
      <w:r>
        <w:rPr>
          <w:b w:val="0"/>
          <w:i w:val="0"/>
        </w:rPr>
        <w:t>.</w:t>
      </w:r>
    </w:p>
    <w:p>
      <w:bookmarkStart w:id="94" w:name="fate"/>
      <w:pPr>
        <w:pStyle w:val="Heading2"/>
      </w:pPr>
      <w:r>
        <w:rPr>
          <w:b w:val="0"/>
          <w:i w:val="0"/>
        </w:rPr>
        <w:t>Fate</w:t>
      </w:r>
      <w:bookmarkEnd w:id="94"/>
    </w:p>
    <w:p>
      <w:pPr>
        <w:keepNext/>
        <w:widowControl/>
      </w:pPr>
      <w:r>
        <w:rPr>
          <w:b/>
          <w:i w:val="0"/>
        </w:rPr>
        <w:t>Latin:</w:t>
      </w:r>
      <w:r>
        <w:rPr>
          <w:b w:val="0"/>
          <w:i w:val="0"/>
        </w:rPr>
        <w:t xml:space="preserve"> </w:t>
      </w:r>
      <w:r>
        <w:rPr>
          <w:b w:val="0"/>
          <w:i/>
        </w:rPr>
        <w:t>fatum</w:t>
      </w:r>
      <w:r>
        <w:rPr>
          <w:b w:val="0"/>
          <w:i w:val="0"/>
        </w:rPr>
        <w:t xml:space="preserve">; </w:t>
      </w:r>
      <w:r>
        <w:rPr>
          <w:b w:val="0"/>
          <w:i/>
        </w:rPr>
        <w:t>lex fatalis</w:t>
      </w:r>
      <w:r>
        <w:rPr>
          <w:b w:val="0"/>
          <w:i w:val="0"/>
        </w:rPr>
        <w:t xml:space="preserve">; </w:t>
      </w:r>
      <w:r>
        <w:rPr>
          <w:b w:val="0"/>
          <w:i/>
        </w:rPr>
        <w:t>fatali … lege</w:t>
      </w:r>
      <w:r>
        <w:rPr>
          <w:b w:val="0"/>
          <w:i w:val="0"/>
        </w:rPr>
        <w:t xml:space="preserve">; </w:t>
      </w:r>
      <w:r>
        <w:rPr>
          <w:b w:val="0"/>
          <w:i/>
        </w:rPr>
        <w:t>series successionis</w:t>
      </w:r>
    </w:p>
    <w:p>
      <w:pPr>
        <w:keepNext/>
        <w:widowControl/>
      </w:pPr>
      <w:r>
        <w:rPr>
          <w:b/>
          <w:i w:val="0"/>
        </w:rPr>
        <w:t>The word.</w:t>
      </w:r>
    </w:p>
    <w:p>
      <w:pPr>
        <w:widowControl/>
      </w:pPr>
      <w:r>
        <w:rPr>
          <w:b w:val="0"/>
          <w:i w:val="0"/>
        </w:rPr>
        <w:t>Fatum and lex fatalis name a causal law of ordered succession; series successionis identifies the sequence itself. Desire belongs to the thought associated with that sequence, rather than being identical with the sequence.</w:t>
      </w:r>
    </w:p>
    <w:p>
      <w:pPr>
        <w:keepNext/>
        <w:widowControl/>
      </w:pPr>
      <w:r>
        <w:rPr>
          <w:b/>
          <w:i w:val="0"/>
        </w:rPr>
        <w:t>In the Platonic Theology.</w:t>
      </w:r>
    </w:p>
    <w:p>
      <w:pPr>
        <w:widowControl/>
      </w:pPr>
      <w:r>
        <w:rPr>
          <w:b w:val="0"/>
          <w:i w:val="0"/>
        </w:rPr>
        <w:t>Ficino defines the law of fate within the serial actualization of a celestial soul’s seeds. Its mind and reason apprehend a general design, but its motive power presents one kind of seed after another for imagination, desire, and production. Fate consists in that succession, while desire belongs to the corresponding thought. The definition therefore links law, cognition, and movement instead of making fate a bare external force. The Euclid-and-lantern analogy illustrates why a universal plan needs particular successive acts to become bodily action. IV.2.2 attributes an everlasting will and necessity to a traditional account of heaven, but IV.1.84 had already contrasted consistent cosmic order with lifeless necessity: unerring wisdom, rather than absence of life, explains regularity. This account explains celestial motion within the larger hierarchy of causes; it does not itself settle every question of human freedom.</w:t>
      </w:r>
    </w:p>
    <w:p>
      <w:pPr>
        <w:widowControl/>
      </w:pPr>
      <w:r>
        <w:rPr>
          <w:b w:val="0"/>
          <w:i w:val="0"/>
        </w:rPr>
        <w:t>The sequence also explains why a wholly general intention does not move a body one determinate step. A sphere’s mind and reason intend to reproduce, as far as possible, the Ideas seen in angelic mind; one class of seeds must then prevail in the lower power before imagination and appetite produce its particular effect. Euclid’s whole projected journey likewise remains different from the first step lit by his lantern. Fate is located in the order of successive particulars, rather than substituted for every level of planning and causation. The same architecture allows Ficino to speak of regular cosmic action through living agency while distinguishing the soul’s changing acts from their stable higher sources.</w:t>
      </w:r>
    </w:p>
    <w:p>
      <w:pPr>
        <w:keepNext/>
        <w:widowControl/>
      </w:pPr>
      <w:r>
        <w:rPr>
          <w:b/>
          <w:i w:val="0"/>
        </w:rPr>
        <w:t>The places.</w:t>
      </w:r>
    </w:p>
    <w:p>
      <w:pPr>
        <w:ind w:left="187" w:hanging="187"/>
      </w:pPr>
      <w:r>
        <w:t xml:space="preserve">• </w:t>
      </w:r>
      <w:r>
        <w:rPr>
          <w:b/>
          <w:i w:val="0"/>
        </w:rPr>
        <w:t>IV.2.12, PDF 340–341</w:t>
      </w:r>
      <w:r>
        <w:rPr>
          <w:b w:val="0"/>
          <w:i w:val="0"/>
        </w:rPr>
        <w:t>. The lowest cosmic power successively actualizes a finite stock of seeds.</w:t>
      </w:r>
    </w:p>
    <w:p>
      <w:pPr>
        <w:ind w:left="187" w:hanging="187"/>
      </w:pPr>
      <w:r>
        <w:t xml:space="preserve">• </w:t>
      </w:r>
      <w:r>
        <w:rPr>
          <w:b/>
          <w:i w:val="0"/>
        </w:rPr>
        <w:t>IV.2.16, PDF 342–343</w:t>
      </w:r>
      <w:r>
        <w:rPr>
          <w:b w:val="0"/>
          <w:i w:val="0"/>
        </w:rPr>
        <w:t>. Fate is located in the ordered series, desire in the associated thought.</w:t>
      </w:r>
    </w:p>
    <w:p>
      <w:pPr>
        <w:ind w:left="187" w:hanging="187"/>
      </w:pPr>
      <w:r>
        <w:t xml:space="preserve">• </w:t>
      </w:r>
      <w:r>
        <w:rPr>
          <w:b/>
          <w:i w:val="0"/>
        </w:rPr>
        <w:t>IV.2.27, PDF 350–351</w:t>
      </w:r>
      <w:r>
        <w:rPr>
          <w:b w:val="0"/>
          <w:i w:val="0"/>
        </w:rPr>
        <w:t>. The moved mover remains subordinate to the stable ultimate principle and end.</w:t>
      </w:r>
    </w:p>
    <w:p>
      <w:pPr>
        <w:widowControl/>
      </w:pPr>
      <w:r>
        <w:rPr>
          <w:b/>
          <w:i w:val="0"/>
        </w:rPr>
        <w:t>Further passage references.</w:t>
      </w:r>
      <w:r>
        <w:rPr>
          <w:b w:val="0"/>
          <w:i w:val="0"/>
        </w:rPr>
        <w:t xml:space="preserve"> IV.1.84, pp. 324–325; IV.2.1–IV.2.2, pp. 334–335; IV.2.12–IV.2.17, pp. 340–343</w:t>
      </w:r>
    </w:p>
    <w:p>
      <w:pPr>
        <w:keepNext/>
        <w:widowControl/>
      </w:pPr>
      <w:r>
        <w:rPr>
          <w:b/>
          <w:i w:val="0"/>
        </w:rPr>
        <w:t>In this edition.</w:t>
      </w:r>
    </w:p>
    <w:p>
      <w:pPr>
        <w:widowControl/>
      </w:pPr>
      <w:r>
        <w:rPr>
          <w:b w:val="0"/>
          <w:i w:val="0"/>
        </w:rPr>
        <w:t xml:space="preserve">The phrase </w:t>
      </w:r>
      <w:r>
        <w:t>“</w:t>
      </w:r>
      <w:r>
        <w:rPr>
          <w:b w:val="0"/>
          <w:i w:val="0"/>
        </w:rPr>
        <w:t>law of fate</w:t>
      </w:r>
      <w:r>
        <w:t>”</w:t>
      </w:r>
      <w:r>
        <w:rPr>
          <w:b w:val="0"/>
          <w:i w:val="0"/>
        </w:rPr>
        <w:t xml:space="preserve"> has an explicit local definition in IV.2.16. It should not become an unexplained external force or a complete theory of human moral responsibility. Successive actualization is distinguished from the higher simultaneous grasp of principles.</w:t>
      </w:r>
    </w:p>
    <w:p>
      <w:pPr>
        <w:keepNext/>
        <w:widowControl/>
      </w:pPr>
      <w:r>
        <w:rPr>
          <w:b/>
          <w:i w:val="0"/>
        </w:rPr>
        <w:t>See also.</w:t>
      </w:r>
    </w:p>
    <w:p>
      <w:pPr>
        <w:widowControl/>
      </w:pPr>
      <w:hyperlink w:anchor="seeds">
        <w:r>
          <w:rPr>
            <w:color w:val="000000"/>
          </w:rPr>
          <w:t xml:space="preserve">Seeds</w:t>
        </w:r>
      </w:hyperlink>
      <w:r>
        <w:rPr>
          <w:b w:val="0"/>
          <w:i w:val="0"/>
        </w:rPr>
        <w:t xml:space="preserve">; </w:t>
      </w:r>
      <w:hyperlink w:anchor="appetite-and-desire">
        <w:r>
          <w:rPr>
            <w:color w:val="000000"/>
          </w:rPr>
          <w:t xml:space="preserve">Appetite and desire</w:t>
        </w:r>
      </w:hyperlink>
      <w:r>
        <w:rPr>
          <w:b w:val="0"/>
          <w:i w:val="0"/>
        </w:rPr>
        <w:t xml:space="preserve">; </w:t>
      </w:r>
      <w:hyperlink w:anchor="sense-and-imagination">
        <w:r>
          <w:rPr>
            <w:color w:val="000000"/>
          </w:rPr>
          <w:t xml:space="preserve">Sense and imagination</w:t>
        </w:r>
      </w:hyperlink>
      <w:r>
        <w:rPr>
          <w:b w:val="0"/>
          <w:i w:val="0"/>
        </w:rPr>
        <w:t xml:space="preserve">; </w:t>
      </w:r>
      <w:hyperlink w:anchor="order-and-harmony">
        <w:r>
          <w:rPr>
            <w:color w:val="000000"/>
          </w:rPr>
          <w:t xml:space="preserve">Order and harmony</w:t>
        </w:r>
      </w:hyperlink>
      <w:r>
        <w:rPr>
          <w:b w:val="0"/>
          <w:i w:val="0"/>
        </w:rPr>
        <w:t xml:space="preserve">; </w:t>
      </w:r>
      <w:hyperlink w:anchor="great-year">
        <w:r>
          <w:rPr>
            <w:color w:val="000000"/>
          </w:rPr>
          <w:t xml:space="preserve">Great year</w:t>
        </w:r>
      </w:hyperlink>
    </w:p>
    <w:p>
      <w:bookmarkStart w:id="95" w:name="fire-and-variable-materials"/>
      <w:pPr>
        <w:pStyle w:val="Heading2"/>
      </w:pPr>
      <w:r>
        <w:rPr>
          <w:b w:val="0"/>
          <w:i w:val="0"/>
        </w:rPr>
        <w:t>Fire and variable materials</w:t>
      </w:r>
      <w:bookmarkEnd w:id="95"/>
    </w:p>
    <w:p>
      <w:pPr>
        <w:keepNext/>
        <w:widowControl/>
      </w:pPr>
      <w:r>
        <w:rPr>
          <w:b/>
          <w:i w:val="0"/>
        </w:rPr>
        <w:t>Latin:</w:t>
      </w:r>
      <w:r>
        <w:rPr>
          <w:b w:val="0"/>
          <w:i w:val="0"/>
        </w:rPr>
        <w:t xml:space="preserve"> </w:t>
      </w:r>
      <w:r>
        <w:rPr>
          <w:b w:val="0"/>
          <w:i/>
        </w:rPr>
        <w:t>ignis; calefacere; calor; praeparationes materiarum; gradus; se toto; quantum in se est</w:t>
      </w:r>
    </w:p>
    <w:p>
      <w:pPr>
        <w:keepNext/>
        <w:widowControl/>
      </w:pPr>
      <w:r>
        <w:rPr>
          <w:b/>
          <w:i w:val="0"/>
        </w:rPr>
        <w:t>The word.</w:t>
      </w:r>
    </w:p>
    <w:p>
      <w:pPr>
        <w:widowControl/>
      </w:pPr>
      <w:r>
        <w:rPr>
          <w:b w:val="0"/>
          <w:i w:val="0"/>
        </w:rPr>
        <w:t>Calefacere means to heat; calor is heat; praeparatio is a material’s preparation or disposition to receive an effect. Se toto says that an agent acts with its whole being, whereas quantum in se est means so far as depends on it.</w:t>
      </w:r>
    </w:p>
    <w:p>
      <w:pPr>
        <w:keepNext/>
        <w:widowControl/>
      </w:pPr>
      <w:r>
        <w:rPr>
          <w:b/>
          <w:i w:val="0"/>
        </w:rPr>
        <w:t>In the Platonic Theology.</w:t>
      </w:r>
    </w:p>
    <w:p>
      <w:pPr>
        <w:widowControl/>
      </w:pPr>
      <w:r>
        <w:rPr>
          <w:b w:val="0"/>
          <w:i w:val="0"/>
        </w:rPr>
        <w:t>Fire supplies a deliberately limited agent. Ficino says it heats with its available impetus and does not decide which recipient shall acquire which degree of heat. Different results arise from differences in materials or intervening media. With equal subjects it produces equal heat; without any diversity of medium or subject it would produce either one result or highly similar results. God, by contrast, produces the forms, subjects, differences, and their order. The inference requires this contrast between causing an effect and being author of the conditions that differentiate effects. Ficino does not argue that ordinary fires always make every encountered object equally hot. His own qualification assigns observed inequality to the prepared recipients. Heat and cold return in the providence chapter as powers whose dissolving and condensing do not by themselves explain useful, measured coordination.</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II.11.8 (Latin PDF p. 184; English PDF p. 185).</w:t>
      </w:r>
      <w:r>
        <w:rPr>
          <w:b w:val="0"/>
          <w:i w:val="0"/>
        </w:rPr>
        <w:t xml:space="preserve"> Recipient preparations account for unequal degrees of heating.</w:t>
      </w:r>
    </w:p>
    <w:p>
      <w:pPr>
        <w:ind w:left="187" w:hanging="187"/>
      </w:pPr>
      <w:r>
        <w:t xml:space="preserve">• </w:t>
      </w:r>
      <w:r>
        <w:rPr>
          <w:b/>
          <w:i w:val="0"/>
        </w:rPr>
        <w:t>II.11.9 (Latin PDF p. 186; English PDF p. 187).</w:t>
      </w:r>
      <w:r>
        <w:rPr>
          <w:b w:val="0"/>
          <w:i w:val="0"/>
        </w:rPr>
        <w:t xml:space="preserve"> The equal-subject and absent-medium cases isolate the natural agent’s contribution.</w:t>
      </w:r>
    </w:p>
    <w:p>
      <w:pPr>
        <w:ind w:left="187" w:hanging="187"/>
      </w:pPr>
      <w:r>
        <w:t xml:space="preserve">• </w:t>
      </w:r>
      <w:r>
        <w:rPr>
          <w:b/>
          <w:i w:val="0"/>
        </w:rPr>
        <w:t>II.13.7 (Latin PDF p. 218; English PDF p. 219).</w:t>
      </w:r>
      <w:r>
        <w:rPr>
          <w:b w:val="0"/>
          <w:i w:val="0"/>
        </w:rPr>
        <w:t xml:space="preserve"> Heat dissolves and cold condenses within the historical physical account.</w:t>
      </w:r>
    </w:p>
    <w:p>
      <w:pPr>
        <w:ind w:left="187" w:hanging="187"/>
      </w:pPr>
      <w:r>
        <w:t xml:space="preserve">• </w:t>
      </w:r>
      <w:r>
        <w:rPr>
          <w:b/>
          <w:i w:val="0"/>
        </w:rPr>
        <w:t>II.13.8 (Latin PDF p. 220; English PDF p. 221).</w:t>
      </w:r>
      <w:r>
        <w:rPr>
          <w:b w:val="0"/>
          <w:i w:val="0"/>
        </w:rPr>
        <w:t xml:space="preserve"> Useful coordination requires a further source of order.</w:t>
      </w:r>
    </w:p>
    <w:p>
      <w:pPr>
        <w:keepNext/>
        <w:widowControl/>
      </w:pPr>
      <w:r>
        <w:rPr>
          <w:b/>
          <w:i w:val="0"/>
        </w:rPr>
        <w:t>In this edition.</w:t>
      </w:r>
    </w:p>
    <w:p>
      <w:pPr>
        <w:widowControl/>
      </w:pPr>
      <w:r>
        <w:rPr>
          <w:b w:val="0"/>
          <w:i w:val="0"/>
        </w:rPr>
        <w:t xml:space="preserve">The supplied English’s </w:t>
      </w:r>
      <w:r>
        <w:t>“</w:t>
      </w:r>
      <w:r>
        <w:rPr>
          <w:b w:val="0"/>
          <w:i w:val="0"/>
        </w:rPr>
        <w:t>same intensity</w:t>
      </w:r>
      <w:r>
        <w:t>”</w:t>
      </w:r>
      <w:r>
        <w:rPr>
          <w:b w:val="0"/>
          <w:i w:val="0"/>
        </w:rPr>
        <w:t xml:space="preserve"> and </w:t>
      </w:r>
      <w:r>
        <w:t>“</w:t>
      </w:r>
      <w:r>
        <w:rPr>
          <w:b w:val="0"/>
          <w:i w:val="0"/>
        </w:rPr>
        <w:t>every degree</w:t>
      </w:r>
      <w:r>
        <w:t>”</w:t>
      </w:r>
      <w:r>
        <w:rPr>
          <w:b w:val="0"/>
          <w:i w:val="0"/>
        </w:rPr>
        <w:t xml:space="preserve"> should be read with the qualification </w:t>
      </w:r>
      <w:r>
        <w:t>“</w:t>
      </w:r>
      <w:r>
        <w:rPr>
          <w:b w:val="0"/>
          <w:i w:val="0"/>
        </w:rPr>
        <w:t>so far as lies in it.</w:t>
      </w:r>
      <w:r>
        <w:t>”</w:t>
      </w:r>
      <w:r>
        <w:rPr>
          <w:b w:val="0"/>
          <w:i w:val="0"/>
        </w:rPr>
        <w:t xml:space="preserve"> These are Ficino’s causal and physical claims, not a modern experimental account of heat transfer. Praeparationes does not necessarily imply a human preparer.</w:t>
      </w:r>
    </w:p>
    <w:p>
      <w:pPr>
        <w:keepNext/>
        <w:widowControl/>
      </w:pPr>
      <w:r>
        <w:rPr>
          <w:b/>
          <w:i w:val="0"/>
        </w:rPr>
        <w:t>See also.</w:t>
      </w:r>
    </w:p>
    <w:p>
      <w:pPr>
        <w:widowControl/>
      </w:pPr>
      <w:hyperlink w:anchor="art-and-nature">
        <w:r>
          <w:rPr>
            <w:color w:val="000000"/>
          </w:rPr>
          <w:t xml:space="preserve">Art and nature</w:t>
        </w:r>
      </w:hyperlink>
      <w:r>
        <w:rPr>
          <w:b w:val="0"/>
          <w:i w:val="0"/>
        </w:rPr>
        <w:t xml:space="preserve">; </w:t>
      </w:r>
      <w:hyperlink w:anchor="cause">
        <w:r>
          <w:rPr>
            <w:color w:val="000000"/>
          </w:rPr>
          <w:t xml:space="preserve">Cause</w:t>
        </w:r>
      </w:hyperlink>
      <w:r>
        <w:rPr>
          <w:b w:val="0"/>
          <w:i w:val="0"/>
        </w:rPr>
        <w:t xml:space="preserve">; </w:t>
      </w:r>
      <w:hyperlink w:anchor="measure-and-degree">
        <w:r>
          <w:rPr>
            <w:color w:val="000000"/>
          </w:rPr>
          <w:t xml:space="preserve">Measure and degree</w:t>
        </w:r>
      </w:hyperlink>
      <w:r>
        <w:rPr>
          <w:b w:val="0"/>
          <w:i w:val="0"/>
        </w:rPr>
        <w:t xml:space="preserve">; </w:t>
      </w:r>
      <w:hyperlink w:anchor="quality">
        <w:r>
          <w:rPr>
            <w:color w:val="000000"/>
          </w:rPr>
          <w:t xml:space="preserve">Quality</w:t>
        </w:r>
      </w:hyperlink>
      <w:r>
        <w:rPr>
          <w:b w:val="0"/>
          <w:i w:val="0"/>
        </w:rPr>
        <w:t>.</w:t>
      </w:r>
    </w:p>
    <w:p>
      <w:bookmarkStart w:id="96" w:name="fire-spark-lightning-and-cannon"/>
      <w:pPr>
        <w:pStyle w:val="Heading2"/>
      </w:pPr>
      <w:r>
        <w:rPr>
          <w:b w:val="0"/>
          <w:i w:val="0"/>
        </w:rPr>
        <w:t>Fire, spark, lightning and cannon</w:t>
      </w:r>
      <w:bookmarkEnd w:id="96"/>
    </w:p>
    <w:p>
      <w:pPr>
        <w:keepNext/>
        <w:widowControl/>
      </w:pPr>
      <w:r>
        <w:rPr>
          <w:b/>
          <w:i w:val="0"/>
        </w:rPr>
        <w:t>Latin:</w:t>
      </w:r>
      <w:r>
        <w:rPr>
          <w:b w:val="0"/>
          <w:i w:val="0"/>
        </w:rPr>
        <w:t xml:space="preserve"> </w:t>
      </w:r>
      <w:r>
        <w:rPr>
          <w:b w:val="0"/>
          <w:i/>
        </w:rPr>
        <w:t>ignis</w:t>
      </w:r>
      <w:r>
        <w:rPr>
          <w:b w:val="0"/>
          <w:i w:val="0"/>
        </w:rPr>
        <w:t xml:space="preserve">; </w:t>
      </w:r>
      <w:r>
        <w:rPr>
          <w:b w:val="0"/>
          <w:i/>
        </w:rPr>
        <w:t>scintilla</w:t>
      </w:r>
      <w:r>
        <w:rPr>
          <w:b w:val="0"/>
          <w:i w:val="0"/>
        </w:rPr>
        <w:t xml:space="preserve">; </w:t>
      </w:r>
      <w:r>
        <w:rPr>
          <w:b w:val="0"/>
          <w:i/>
        </w:rPr>
        <w:t>flamma</w:t>
      </w:r>
      <w:r>
        <w:rPr>
          <w:b w:val="0"/>
          <w:i w:val="0"/>
        </w:rPr>
        <w:t xml:space="preserve">; </w:t>
      </w:r>
      <w:r>
        <w:rPr>
          <w:b w:val="0"/>
          <w:i/>
        </w:rPr>
        <w:t>fulgur</w:t>
      </w:r>
      <w:r>
        <w:rPr>
          <w:b w:val="0"/>
          <w:i w:val="0"/>
        </w:rPr>
        <w:t xml:space="preserve">; </w:t>
      </w:r>
      <w:r>
        <w:rPr>
          <w:b w:val="0"/>
          <w:i/>
        </w:rPr>
        <w:t>bombarda</w:t>
      </w:r>
      <w:r>
        <w:rPr>
          <w:b w:val="0"/>
          <w:i w:val="0"/>
        </w:rPr>
        <w:t xml:space="preserve">; </w:t>
      </w:r>
      <w:r>
        <w:rPr>
          <w:b w:val="0"/>
          <w:i/>
        </w:rPr>
        <w:t>tenuitas</w:t>
      </w:r>
      <w:r>
        <w:rPr>
          <w:b w:val="0"/>
          <w:i w:val="0"/>
        </w:rPr>
        <w:t xml:space="preserve">; </w:t>
      </w:r>
      <w:r>
        <w:rPr>
          <w:b w:val="0"/>
          <w:i/>
        </w:rPr>
        <w:t>ferventissimus</w:t>
      </w:r>
      <w:r>
        <w:rPr>
          <w:b w:val="0"/>
          <w:i w:val="0"/>
        </w:rPr>
        <w:t>.</w:t>
      </w:r>
    </w:p>
    <w:p>
      <w:pPr>
        <w:keepNext/>
        <w:widowControl/>
      </w:pPr>
      <w:r>
        <w:rPr>
          <w:b/>
          <w:i w:val="0"/>
        </w:rPr>
        <w:t>The word.</w:t>
      </w:r>
    </w:p>
    <w:p>
      <w:pPr>
        <w:widowControl/>
      </w:pPr>
      <w:r>
        <w:rPr>
          <w:b w:val="0"/>
          <w:i/>
        </w:rPr>
        <w:t>Ignis</w:t>
      </w:r>
      <w:r>
        <w:rPr>
          <w:b w:val="0"/>
          <w:i w:val="0"/>
        </w:rPr>
        <w:t xml:space="preserve"> names fire; </w:t>
      </w:r>
      <w:r>
        <w:rPr>
          <w:b w:val="0"/>
          <w:i/>
        </w:rPr>
        <w:t>scintilla</w:t>
      </w:r>
      <w:r>
        <w:rPr>
          <w:b w:val="0"/>
          <w:i w:val="0"/>
        </w:rPr>
        <w:t xml:space="preserve"> a spark; </w:t>
      </w:r>
      <w:r>
        <w:rPr>
          <w:b w:val="0"/>
          <w:i/>
        </w:rPr>
        <w:t>flamma</w:t>
      </w:r>
      <w:r>
        <w:rPr>
          <w:b w:val="0"/>
          <w:i w:val="0"/>
        </w:rPr>
        <w:t xml:space="preserve"> a flame. </w:t>
      </w:r>
      <w:r>
        <w:rPr>
          <w:b w:val="0"/>
          <w:i/>
        </w:rPr>
        <w:t>Fulgur</w:t>
      </w:r>
      <w:r>
        <w:rPr>
          <w:b w:val="0"/>
          <w:i w:val="0"/>
        </w:rPr>
        <w:t xml:space="preserve"> is lightning and </w:t>
      </w:r>
      <w:r>
        <w:rPr>
          <w:b w:val="0"/>
          <w:i/>
        </w:rPr>
        <w:t>bombarda</w:t>
      </w:r>
      <w:r>
        <w:rPr>
          <w:b w:val="0"/>
          <w:i w:val="0"/>
        </w:rPr>
        <w:t xml:space="preserve"> the cannon named in the supplied translation. </w:t>
      </w:r>
      <w:r>
        <w:rPr>
          <w:b w:val="0"/>
          <w:i/>
        </w:rPr>
        <w:t>Tenuis</w:t>
      </w:r>
      <w:r>
        <w:rPr>
          <w:b w:val="0"/>
          <w:i w:val="0"/>
        </w:rPr>
        <w:t xml:space="preserve"> describes fineness or thinness; it is distinct from the intensity named by </w:t>
      </w:r>
      <w:r>
        <w:rPr>
          <w:b w:val="0"/>
          <w:i/>
        </w:rPr>
        <w:t>ferventissimus</w:t>
      </w:r>
      <w:r>
        <w:rPr>
          <w:b w:val="0"/>
          <w:i w:val="0"/>
        </w:rPr>
        <w:t xml:space="preserve">, </w:t>
      </w:r>
      <w:r>
        <w:t>“</w:t>
      </w:r>
      <w:r>
        <w:rPr>
          <w:b w:val="0"/>
          <w:i w:val="0"/>
        </w:rPr>
        <w:t>very hot.</w:t>
      </w:r>
      <w:r>
        <w:t>”</w:t>
      </w:r>
    </w:p>
    <w:p>
      <w:pPr>
        <w:keepNext/>
        <w:widowControl/>
      </w:pPr>
      <w:r>
        <w:rPr>
          <w:b/>
          <w:i w:val="0"/>
        </w:rPr>
        <w:t>In the Platonic Theology.</w:t>
      </w:r>
    </w:p>
    <w:p>
      <w:pPr>
        <w:widowControl/>
      </w:pPr>
      <w:r>
        <w:rPr>
          <w:b w:val="0"/>
          <w:i w:val="0"/>
        </w:rPr>
        <w:t>Fire carries several arguments and cannot be assigned one unchanging symbolic meaning. A spark’s rapid ascent contrasts with a larger flame; fire’s fineness, swift effects and expansive spread exemplify activity associated with reduced bodily bulk. Lightning and cannon fire are invoked as conspicuous demonstrations of fire and air’s force. Later, concentrated heat rather than size explains burning. Yet Ficino then denies that any particular fire is the sufficient first cause of its own kind: it was generated, may outlast its producer, and acts as an instrument of a higher source. Finally, making fire in wool illustrates a distinction between accidental heating and production of a substantial form. The example that first demonstrates quality’s efficacy therefore later demonstrates its insufficiency.</w:t>
      </w:r>
    </w:p>
    <w:p>
      <w:pPr>
        <w:keepNext/>
        <w:widowControl/>
      </w:pPr>
      <w:r>
        <w:rPr>
          <w:b/>
          <w:i w:val="0"/>
        </w:rPr>
        <w:t>The places.</w:t>
      </w:r>
    </w:p>
    <w:p>
      <w:pPr>
        <w:ind w:left="187" w:hanging="187"/>
      </w:pPr>
      <w:r>
        <w:t xml:space="preserve">• </w:t>
      </w:r>
      <w:r>
        <w:rPr>
          <w:b/>
          <w:i w:val="0"/>
        </w:rPr>
        <w:t>I.2.2, PDF 18–19.</w:t>
      </w:r>
      <w:r>
        <w:rPr>
          <w:b w:val="0"/>
          <w:i w:val="0"/>
        </w:rPr>
        <w:t xml:space="preserve"> Spark and flame illustrate a claim about lightness and speed</w:t>
      </w:r>
    </w:p>
    <w:p>
      <w:pPr>
        <w:ind w:left="187" w:hanging="187"/>
      </w:pPr>
      <w:r>
        <w:t xml:space="preserve">• </w:t>
      </w:r>
      <w:r>
        <w:rPr>
          <w:b/>
          <w:i w:val="0"/>
        </w:rPr>
        <w:t>I.2.5, PDF 20–21.</w:t>
      </w:r>
      <w:r>
        <w:rPr>
          <w:b w:val="0"/>
          <w:i w:val="0"/>
        </w:rPr>
        <w:t xml:space="preserve"> Fire, lightning and cannon support the claim that reduced density aids activity</w:t>
      </w:r>
    </w:p>
    <w:p>
      <w:pPr>
        <w:ind w:left="187" w:hanging="187"/>
      </w:pPr>
      <w:r>
        <w:t xml:space="preserve">• </w:t>
      </w:r>
      <w:r>
        <w:rPr>
          <w:b/>
          <w:i w:val="0"/>
        </w:rPr>
        <w:t>I.2.11, PDF 24–25.</w:t>
      </w:r>
      <w:r>
        <w:rPr>
          <w:b w:val="0"/>
          <w:i w:val="0"/>
        </w:rPr>
        <w:t xml:space="preserve"> Burning is assigned to intense heat, not great size</w:t>
      </w:r>
    </w:p>
    <w:p>
      <w:pPr>
        <w:ind w:left="187" w:hanging="187"/>
      </w:pPr>
      <w:r>
        <w:t xml:space="preserve">• </w:t>
      </w:r>
      <w:r>
        <w:rPr>
          <w:b/>
          <w:i w:val="0"/>
        </w:rPr>
        <w:t>I.3.7–9, PDF 34–35.</w:t>
      </w:r>
      <w:r>
        <w:rPr>
          <w:b w:val="0"/>
          <w:i w:val="0"/>
        </w:rPr>
        <w:t xml:space="preserve"> Particular fires are effects and dependent instruments</w:t>
      </w:r>
    </w:p>
    <w:p>
      <w:pPr>
        <w:ind w:left="187" w:hanging="187"/>
      </w:pPr>
      <w:r>
        <w:t xml:space="preserve">• </w:t>
      </w:r>
      <w:r>
        <w:rPr>
          <w:b/>
          <w:i w:val="0"/>
        </w:rPr>
        <w:t>I.3.22, PDF 44–45.</w:t>
      </w:r>
      <w:r>
        <w:rPr>
          <w:b w:val="0"/>
          <w:i w:val="0"/>
        </w:rPr>
        <w:t xml:space="preserve"> Accidental heating of wool is distinguished from substantial generation of fire</w:t>
      </w:r>
    </w:p>
    <w:p>
      <w:pPr>
        <w:keepNext/>
        <w:widowControl/>
      </w:pPr>
      <w:r>
        <w:rPr>
          <w:b/>
          <w:i w:val="0"/>
        </w:rPr>
        <w:t>In this edition.</w:t>
      </w:r>
    </w:p>
    <w:p>
      <w:pPr>
        <w:widowControl/>
      </w:pPr>
      <w:r>
        <w:t>“</w:t>
      </w:r>
      <w:r>
        <w:rPr>
          <w:b w:val="0"/>
          <w:i w:val="0"/>
        </w:rPr>
        <w:t>Cannon</w:t>
      </w:r>
      <w:r>
        <w:t>”</w:t>
      </w:r>
      <w:r>
        <w:rPr>
          <w:b w:val="0"/>
          <w:i w:val="0"/>
        </w:rPr>
        <w:t xml:space="preserve"> gives the historical weapon in the example without claiming a specification of its mechanism. The unusual printed phrase about air in a vessel in I.2.5 is rendered as air supporting a stone-laden vessel on water; the apparatus explains the two phrases as the vessel’s upper part and the water’s surface (PDF 357). This is the supplied editor’s explanation; it is not a newly reconstructed experiment.</w:t>
      </w:r>
    </w:p>
    <w:p>
      <w:pPr>
        <w:keepNext/>
        <w:widowControl/>
      </w:pPr>
      <w:r>
        <w:rPr>
          <w:b/>
          <w:i w:val="0"/>
        </w:rPr>
        <w:t>See also.</w:t>
      </w:r>
    </w:p>
    <w:p>
      <w:pPr>
        <w:widowControl/>
      </w:pPr>
      <w:hyperlink w:anchor="instrument">
        <w:r>
          <w:rPr>
            <w:color w:val="000000"/>
          </w:rPr>
          <w:t xml:space="preserve">Instrument</w:t>
        </w:r>
      </w:hyperlink>
      <w:r>
        <w:rPr>
          <w:b w:val="0"/>
          <w:i w:val="0"/>
        </w:rPr>
        <w:t xml:space="preserve">; </w:t>
      </w:r>
      <w:hyperlink w:anchor="quality">
        <w:r>
          <w:rPr>
            <w:color w:val="000000"/>
          </w:rPr>
          <w:t xml:space="preserve">Quality</w:t>
        </w:r>
      </w:hyperlink>
      <w:r>
        <w:rPr>
          <w:b w:val="0"/>
          <w:i w:val="0"/>
        </w:rPr>
        <w:t xml:space="preserve">; </w:t>
      </w:r>
      <w:hyperlink w:anchor="dispersion-and-concentration">
        <w:r>
          <w:rPr>
            <w:color w:val="000000"/>
          </w:rPr>
          <w:t xml:space="preserve">Dispersion and concentration</w:t>
        </w:r>
      </w:hyperlink>
      <w:r>
        <w:rPr>
          <w:b w:val="0"/>
          <w:i w:val="0"/>
        </w:rPr>
        <w:t xml:space="preserve">; </w:t>
      </w:r>
      <w:hyperlink w:anchor="seeds">
        <w:r>
          <w:rPr>
            <w:color w:val="000000"/>
          </w:rPr>
          <w:t xml:space="preserve">Seeds</w:t>
        </w:r>
      </w:hyperlink>
      <w:r>
        <w:rPr>
          <w:b w:val="0"/>
          <w:i w:val="0"/>
        </w:rPr>
        <w:t>.</w:t>
      </w:r>
    </w:p>
    <w:p>
      <w:bookmarkStart w:id="97" w:name="first-movable"/>
      <w:pPr>
        <w:pStyle w:val="Heading2"/>
      </w:pPr>
      <w:r>
        <w:rPr>
          <w:b w:val="0"/>
          <w:i w:val="0"/>
        </w:rPr>
        <w:t>First movable</w:t>
      </w:r>
      <w:bookmarkEnd w:id="97"/>
    </w:p>
    <w:p>
      <w:pPr>
        <w:keepNext/>
        <w:widowControl/>
      </w:pPr>
      <w:r>
        <w:rPr>
          <w:b/>
          <w:i w:val="0"/>
        </w:rPr>
        <w:t>Latin:</w:t>
      </w:r>
      <w:r>
        <w:rPr>
          <w:b w:val="0"/>
          <w:i w:val="0"/>
        </w:rPr>
        <w:t xml:space="preserve"> </w:t>
      </w:r>
      <w:r>
        <w:rPr>
          <w:b w:val="0"/>
          <w:i/>
        </w:rPr>
        <w:t>primum mobile</w:t>
      </w:r>
      <w:r>
        <w:rPr>
          <w:b w:val="0"/>
          <w:i w:val="0"/>
        </w:rPr>
        <w:t xml:space="preserve">; </w:t>
      </w:r>
      <w:r>
        <w:rPr>
          <w:b w:val="0"/>
          <w:i/>
        </w:rPr>
        <w:t>primum quod mobile</w:t>
      </w:r>
    </w:p>
    <w:p>
      <w:pPr>
        <w:keepNext/>
        <w:widowControl/>
      </w:pPr>
      <w:r>
        <w:rPr>
          <w:b/>
          <w:i w:val="0"/>
        </w:rPr>
        <w:t>The word.</w:t>
      </w:r>
    </w:p>
    <w:p>
      <w:pPr>
        <w:widowControl/>
      </w:pPr>
      <w:r>
        <w:rPr>
          <w:b w:val="0"/>
          <w:i w:val="0"/>
        </w:rPr>
        <w:t>Primum mobile or primum quod mobile means the first nature encountered as movable in the descent from God. Here it is soul, not simply the name of an outer physical sphere.</w:t>
      </w:r>
    </w:p>
    <w:p>
      <w:pPr>
        <w:keepNext/>
        <w:widowControl/>
      </w:pPr>
      <w:r>
        <w:rPr>
          <w:b/>
          <w:i w:val="0"/>
        </w:rPr>
        <w:t>In the Platonic Theology.</w:t>
      </w:r>
    </w:p>
    <w:p>
      <w:pPr>
        <w:widowControl/>
      </w:pPr>
      <w:r>
        <w:rPr>
          <w:b w:val="0"/>
          <w:i w:val="0"/>
        </w:rPr>
        <w:t>When Ficino descends from God through angel, the first movable nature he reaches is soul. He therefore calls soul the first movable and argues that it is movable through itself. Here the expression identifies soul’s rank and its role as the source of temporal operation; it does not simply name an outer physical sphere. The claim remains compatible with soul’s dependence on higher causes for actuality and direction. Its own nature supplies the successive manner in which its activity unfolds.</w:t>
      </w:r>
    </w:p>
    <w:p>
      <w:pPr>
        <w:keepNext/>
        <w:widowControl/>
      </w:pPr>
      <w:r>
        <w:rPr>
          <w:b/>
          <w:i w:val="0"/>
        </w:rPr>
        <w:t>The places.</w:t>
      </w:r>
    </w:p>
    <w:p>
      <w:pPr>
        <w:ind w:left="187" w:hanging="187"/>
      </w:pPr>
      <w:r>
        <w:t xml:space="preserve">• </w:t>
      </w:r>
      <w:r>
        <w:rPr>
          <w:b/>
          <w:i w:val="0"/>
        </w:rPr>
        <w:t>III.1.23, PDF 254–255</w:t>
      </w:r>
      <w:r>
        <w:rPr>
          <w:b w:val="0"/>
          <w:i w:val="0"/>
        </w:rPr>
        <w:t>. Soul is the first movable after God and angel, with bodily self-motion as a sign.</w:t>
      </w:r>
    </w:p>
    <w:p>
      <w:pPr>
        <w:ind w:left="187" w:hanging="187"/>
      </w:pPr>
      <w:r>
        <w:t xml:space="preserve">• </w:t>
      </w:r>
      <w:r>
        <w:rPr>
          <w:b/>
          <w:i w:val="0"/>
        </w:rPr>
        <w:t>III.1.25–26, PDF 254–257</w:t>
      </w:r>
      <w:r>
        <w:rPr>
          <w:b w:val="0"/>
          <w:i w:val="0"/>
        </w:rPr>
        <w:t>. Regress and mediation arguments require a nature that moves itself and awakens inert body.</w:t>
      </w:r>
    </w:p>
    <w:p>
      <w:pPr>
        <w:widowControl/>
      </w:pPr>
      <w:r>
        <w:rPr>
          <w:b/>
          <w:i w:val="0"/>
        </w:rPr>
        <w:t>Further passage references.</w:t>
      </w:r>
      <w:r>
        <w:rPr>
          <w:b w:val="0"/>
          <w:i w:val="0"/>
        </w:rPr>
        <w:t xml:space="preserve"> III.1.23–26 (PDF pp.254–257); III.1.28–31, PDF pp. 258–259</w:t>
      </w:r>
    </w:p>
    <w:p>
      <w:pPr>
        <w:keepNext/>
        <w:widowControl/>
      </w:pPr>
      <w:r>
        <w:rPr>
          <w:b/>
          <w:i w:val="0"/>
        </w:rPr>
        <w:t>In this edition.</w:t>
      </w:r>
    </w:p>
    <w:p>
      <w:pPr>
        <w:widowControl/>
      </w:pPr>
      <w:r>
        <w:t>“</w:t>
      </w:r>
      <w:r>
        <w:rPr>
          <w:b w:val="0"/>
          <w:i w:val="0"/>
        </w:rPr>
        <w:t>Movable through itself</w:t>
      </w:r>
      <w:r>
        <w:t>”</w:t>
      </w:r>
      <w:r>
        <w:rPr>
          <w:b w:val="0"/>
          <w:i w:val="0"/>
        </w:rPr>
        <w:t xml:space="preserve"> describes soul’s intrinsic mode and does not remove its dependence on higher causes. III.1.23 explicitly glosses the Pythagorean self-moving number as manifold nature mutable through its own property.</w:t>
      </w:r>
    </w:p>
    <w:p>
      <w:pPr>
        <w:keepNext/>
        <w:widowControl/>
      </w:pPr>
      <w:r>
        <w:rPr>
          <w:b/>
          <w:i w:val="0"/>
        </w:rPr>
        <w:t>See also.</w:t>
      </w:r>
    </w:p>
    <w:p>
      <w:pPr>
        <w:widowControl/>
      </w:pP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spheres-and-stars">
        <w:r>
          <w:rPr>
            <w:color w:val="000000"/>
          </w:rPr>
          <w:t xml:space="preserve">Spheres and stars</w:t>
        </w:r>
      </w:hyperlink>
    </w:p>
    <w:p>
      <w:bookmarkStart w:id="98" w:name="fitting-and-correspondence"/>
      <w:pPr>
        <w:pStyle w:val="Heading2"/>
      </w:pPr>
      <w:r>
        <w:rPr>
          <w:b w:val="0"/>
          <w:i w:val="0"/>
        </w:rPr>
        <w:t>Fitting and correspondence</w:t>
      </w:r>
      <w:bookmarkEnd w:id="98"/>
    </w:p>
    <w:p>
      <w:pPr>
        <w:keepNext/>
        <w:widowControl/>
      </w:pPr>
      <w:r>
        <w:rPr>
          <w:b/>
          <w:i w:val="0"/>
        </w:rPr>
        <w:t>Latin:</w:t>
      </w:r>
      <w:r>
        <w:rPr>
          <w:b w:val="0"/>
          <w:i w:val="0"/>
        </w:rPr>
        <w:t xml:space="preserve"> </w:t>
      </w:r>
      <w:r>
        <w:rPr>
          <w:b w:val="0"/>
          <w:i/>
        </w:rPr>
        <w:t>quadrant</w:t>
      </w:r>
      <w:r>
        <w:rPr>
          <w:b w:val="0"/>
          <w:i w:val="0"/>
        </w:rPr>
        <w:t xml:space="preserve">, </w:t>
      </w:r>
      <w:r>
        <w:rPr>
          <w:b w:val="0"/>
          <w:i/>
        </w:rPr>
        <w:t>quadrabit</w:t>
      </w:r>
      <w:r>
        <w:rPr>
          <w:b w:val="0"/>
          <w:i w:val="0"/>
        </w:rPr>
        <w:t xml:space="preserve">, </w:t>
      </w:r>
      <w:r>
        <w:rPr>
          <w:b w:val="0"/>
          <w:i/>
        </w:rPr>
        <w:t>congruit</w:t>
      </w:r>
      <w:r>
        <w:rPr>
          <w:b w:val="0"/>
          <w:i w:val="0"/>
        </w:rPr>
        <w:t xml:space="preserve">, </w:t>
      </w:r>
      <w:r>
        <w:rPr>
          <w:b w:val="0"/>
          <w:i/>
        </w:rPr>
        <w:t>conveniunt</w:t>
      </w:r>
      <w:r>
        <w:rPr>
          <w:b w:val="0"/>
          <w:i w:val="0"/>
        </w:rPr>
        <w:t xml:space="preserve">, </w:t>
      </w:r>
      <w:r>
        <w:rPr>
          <w:b w:val="0"/>
          <w:i/>
        </w:rPr>
        <w:t>accommodata</w:t>
      </w:r>
      <w:r>
        <w:rPr>
          <w:b w:val="0"/>
          <w:i w:val="0"/>
        </w:rPr>
        <w:t xml:space="preserve">, </w:t>
      </w:r>
      <w:r>
        <w:rPr>
          <w:b w:val="0"/>
          <w:i/>
        </w:rPr>
        <w:t>competens</w:t>
      </w:r>
      <w:r>
        <w:rPr>
          <w:b w:val="0"/>
          <w:i w:val="0"/>
        </w:rPr>
        <w:t xml:space="preserve">, </w:t>
      </w:r>
      <w:r>
        <w:rPr>
          <w:b w:val="0"/>
          <w:i/>
        </w:rPr>
        <w:t>convenientiam</w:t>
      </w:r>
      <w:r>
        <w:rPr>
          <w:b w:val="0"/>
          <w:i w:val="0"/>
        </w:rPr>
        <w:t>.</w:t>
      </w:r>
    </w:p>
    <w:p>
      <w:pPr>
        <w:keepNext/>
        <w:widowControl/>
      </w:pPr>
      <w:r>
        <w:rPr>
          <w:b/>
          <w:i w:val="0"/>
        </w:rPr>
        <w:t>The word.</w:t>
      </w:r>
    </w:p>
    <w:p>
      <w:pPr>
        <w:widowControl/>
      </w:pPr>
      <w:r>
        <w:rPr>
          <w:b w:val="0"/>
          <w:i/>
        </w:rPr>
        <w:t>Quadrare</w:t>
      </w:r>
      <w:r>
        <w:rPr>
          <w:b w:val="0"/>
          <w:i w:val="0"/>
        </w:rPr>
        <w:t xml:space="preserve">, </w:t>
      </w:r>
      <w:r>
        <w:rPr>
          <w:b w:val="0"/>
          <w:i/>
        </w:rPr>
        <w:t>congruere</w:t>
      </w:r>
      <w:r>
        <w:rPr>
          <w:b w:val="0"/>
          <w:i w:val="0"/>
        </w:rPr>
        <w:t xml:space="preserve">, and </w:t>
      </w:r>
      <w:r>
        <w:rPr>
          <w:b w:val="0"/>
          <w:i/>
        </w:rPr>
        <w:t>convenire</w:t>
      </w:r>
      <w:r>
        <w:rPr>
          <w:b w:val="0"/>
          <w:i w:val="0"/>
        </w:rPr>
        <w:t xml:space="preserve"> concern fitting, agreeing, or corresponding. A </w:t>
      </w:r>
      <w:r>
        <w:rPr>
          <w:b w:val="0"/>
          <w:i/>
        </w:rPr>
        <w:t>medium competens</w:t>
      </w:r>
      <w:r>
        <w:rPr>
          <w:b w:val="0"/>
          <w:i w:val="0"/>
        </w:rPr>
        <w:t xml:space="preserve"> is a suitable intermediary, and something </w:t>
      </w:r>
      <w:r>
        <w:rPr>
          <w:b w:val="0"/>
          <w:i/>
        </w:rPr>
        <w:t>accommodatum</w:t>
      </w:r>
      <w:r>
        <w:rPr>
          <w:b w:val="0"/>
          <w:i w:val="0"/>
        </w:rPr>
        <w:t xml:space="preserve"> has been fitted or assigned to its recipient. Here these terms often name causal adequacy rather than aesthetic attractiveness or verbal agreement.</w:t>
      </w:r>
    </w:p>
    <w:p>
      <w:pPr>
        <w:keepNext/>
        <w:widowControl/>
      </w:pPr>
      <w:r>
        <w:rPr>
          <w:b/>
          <w:i w:val="0"/>
        </w:rPr>
        <w:t>In the Platonic Theology.</w:t>
      </w:r>
    </w:p>
    <w:p>
      <w:pPr>
        <w:widowControl/>
      </w:pPr>
      <w:r>
        <w:rPr>
          <w:b w:val="0"/>
          <w:i w:val="0"/>
        </w:rPr>
        <w:t>A natural cause produces a definite effect because it has a definite principle fitted to that effect. Otherwise, Ficino argues, it would have no reason to produce this rather than that. The earth’s universal soul fits between a universal celestial impulse and a particular earthly life because it combines earthly status with universal scope. Soul similarly fits angelic mind and body by sharing indivisibility with the former and mutable activity with the latter. The argument therefore uses agreement in one respect together with difference in another.</w:t>
      </w:r>
    </w:p>
    <w:p>
      <w:pPr>
        <w:widowControl/>
      </w:pPr>
      <w:r>
        <w:rPr>
          <w:b w:val="0"/>
          <w:i w:val="0"/>
        </w:rPr>
        <w:t>Fittingness also limits a proposed assignment of God as the first sphere’s mover. If the assignment places God and other minds in the same proportional series as their spheres, divine transcendence is lost. At the end of Book IV, the equal suitability of each part of Saturn’s sphere to each relevant place supports an argument for rotation. The repeated vocabulary thus does more than say that things go well together: it specifies relations of causal capacity, mediation, proportion, and local affinity.</w:t>
      </w:r>
    </w:p>
    <w:p>
      <w:pPr>
        <w:keepNext/>
        <w:widowControl/>
      </w:pPr>
      <w:r>
        <w:rPr>
          <w:b/>
          <w:i w:val="0"/>
        </w:rPr>
        <w:t>The places.</w:t>
      </w:r>
    </w:p>
    <w:p>
      <w:pPr>
        <w:ind w:left="187" w:hanging="187"/>
      </w:pPr>
      <w:r>
        <w:t xml:space="preserve">• </w:t>
      </w:r>
      <w:r>
        <w:rPr>
          <w:b/>
          <w:i w:val="0"/>
        </w:rPr>
        <w:t>IV.1.6–7, PDF pp. 284–285:</w:t>
      </w:r>
      <w:r>
        <w:rPr>
          <w:b w:val="0"/>
          <w:i w:val="0"/>
        </w:rPr>
        <w:t xml:space="preserve"> a determinate cause must fit a determinate effect; the intermediary must combine the relevant respects</w:t>
      </w:r>
    </w:p>
    <w:p>
      <w:pPr>
        <w:ind w:left="187" w:hanging="187"/>
      </w:pPr>
      <w:r>
        <w:t xml:space="preserve">• </w:t>
      </w:r>
      <w:r>
        <w:rPr>
          <w:b/>
          <w:i w:val="0"/>
        </w:rPr>
        <w:t>IV.1.32, pp. 298–299:</w:t>
      </w:r>
      <w:r>
        <w:rPr>
          <w:b w:val="0"/>
          <w:i w:val="0"/>
        </w:rPr>
        <w:t xml:space="preserve"> soul accords with both the immutable and the mutable</w:t>
      </w:r>
    </w:p>
    <w:p>
      <w:pPr>
        <w:ind w:left="187" w:hanging="187"/>
      </w:pPr>
      <w:r>
        <w:t xml:space="preserve">• </w:t>
      </w:r>
      <w:r>
        <w:rPr>
          <w:b/>
          <w:i w:val="0"/>
        </w:rPr>
        <w:t>IV.1.59–60, pp. 312–313:</w:t>
      </w:r>
      <w:r>
        <w:rPr>
          <w:b w:val="0"/>
          <w:i w:val="0"/>
        </w:rPr>
        <w:t xml:space="preserve"> placing God in a proportionate series of movers threatens simplicity and immeasurability</w:t>
      </w:r>
    </w:p>
    <w:p>
      <w:pPr>
        <w:ind w:left="187" w:hanging="187"/>
      </w:pPr>
      <w:r>
        <w:t xml:space="preserve">• </w:t>
      </w:r>
      <w:r>
        <w:rPr>
          <w:b/>
          <w:i w:val="0"/>
        </w:rPr>
        <w:t>IV.2.24–25, pp. 348–349:</w:t>
      </w:r>
      <w:r>
        <w:rPr>
          <w:b w:val="0"/>
          <w:i w:val="0"/>
        </w:rPr>
        <w:t xml:space="preserve"> equal affinity for different positions is used to motivate circular motion</w:t>
      </w:r>
    </w:p>
    <w:p>
      <w:pPr>
        <w:keepNext/>
        <w:widowControl/>
      </w:pPr>
      <w:r>
        <w:rPr>
          <w:b/>
          <w:i w:val="0"/>
        </w:rPr>
        <w:t>In this edition.</w:t>
      </w:r>
    </w:p>
    <w:p>
      <w:pPr>
        <w:widowControl/>
      </w:pPr>
      <w:r>
        <w:t>“</w:t>
      </w:r>
      <w:r>
        <w:rPr>
          <w:b w:val="0"/>
          <w:i w:val="0"/>
        </w:rPr>
        <w:t>Fitted,</w:t>
      </w:r>
      <w:r>
        <w:t>”</w:t>
      </w:r>
      <w:r>
        <w:rPr>
          <w:b w:val="0"/>
          <w:i w:val="0"/>
        </w:rPr>
        <w:t xml:space="preserve"> </w:t>
      </w:r>
      <w:r>
        <w:t>“</w:t>
      </w:r>
      <w:r>
        <w:rPr>
          <w:b w:val="0"/>
          <w:i w:val="0"/>
        </w:rPr>
        <w:t>accords,</w:t>
      </w:r>
      <w:r>
        <w:t>”</w:t>
      </w:r>
      <w:r>
        <w:rPr>
          <w:b w:val="0"/>
          <w:i w:val="0"/>
        </w:rPr>
        <w:t xml:space="preserve"> </w:t>
      </w:r>
      <w:r>
        <w:t>“</w:t>
      </w:r>
      <w:r>
        <w:rPr>
          <w:b w:val="0"/>
          <w:i w:val="0"/>
        </w:rPr>
        <w:t>agrees,</w:t>
      </w:r>
      <w:r>
        <w:t>”</w:t>
      </w:r>
      <w:r>
        <w:rPr>
          <w:b w:val="0"/>
          <w:i w:val="0"/>
        </w:rPr>
        <w:t xml:space="preserve"> </w:t>
      </w:r>
      <w:r>
        <w:t>“</w:t>
      </w:r>
      <w:r>
        <w:rPr>
          <w:b w:val="0"/>
          <w:i w:val="0"/>
        </w:rPr>
        <w:t>corresponds,</w:t>
      </w:r>
      <w:r>
        <w:t>”</w:t>
      </w:r>
      <w:r>
        <w:rPr>
          <w:b w:val="0"/>
          <w:i w:val="0"/>
        </w:rPr>
        <w:t xml:space="preserve"> and </w:t>
      </w:r>
      <w:r>
        <w:t>“</w:t>
      </w:r>
      <w:r>
        <w:rPr>
          <w:b w:val="0"/>
          <w:i w:val="0"/>
        </w:rPr>
        <w:t>affinity</w:t>
      </w:r>
      <w:r>
        <w:t>”</w:t>
      </w:r>
      <w:r>
        <w:rPr>
          <w:b w:val="0"/>
          <w:i w:val="0"/>
        </w:rPr>
        <w:t xml:space="preserve"> distribute one recurring relational vocabulary across different English constructions. The terms should not all be indexed solely under beauty.</w:t>
      </w:r>
    </w:p>
    <w:p>
      <w:pPr>
        <w:keepNext/>
        <w:widowControl/>
      </w:pPr>
      <w:r>
        <w:rPr>
          <w:b/>
          <w:i w:val="0"/>
        </w:rPr>
        <w:t>See also.</w:t>
      </w:r>
    </w:p>
    <w:p>
      <w:pPr>
        <w:widowControl/>
      </w:pPr>
      <w:hyperlink w:anchor="beauty-and-fittingness">
        <w:r>
          <w:rPr>
            <w:color w:val="000000"/>
          </w:rPr>
          <w:t xml:space="preserve">Beauty and fittingness</w:t>
        </w:r>
      </w:hyperlink>
      <w:r>
        <w:rPr>
          <w:b w:val="0"/>
          <w:i w:val="0"/>
        </w:rPr>
        <w:t xml:space="preserve">; </w:t>
      </w:r>
      <w:hyperlink w:anchor="degree-and-mediation">
        <w:r>
          <w:rPr>
            <w:color w:val="000000"/>
          </w:rPr>
          <w:t xml:space="preserve">Degree and mediation</w:t>
        </w:r>
      </w:hyperlink>
      <w:r>
        <w:rPr>
          <w:b w:val="0"/>
          <w:i w:val="0"/>
        </w:rPr>
        <w:t xml:space="preserve">; </w:t>
      </w:r>
      <w:hyperlink w:anchor="proportion-and-analogy">
        <w:r>
          <w:rPr>
            <w:color w:val="000000"/>
          </w:rPr>
          <w:t xml:space="preserve">Proportion and analogy</w:t>
        </w:r>
      </w:hyperlink>
      <w:r>
        <w:rPr>
          <w:b w:val="0"/>
          <w:i w:val="0"/>
        </w:rPr>
        <w:t xml:space="preserve">; </w:t>
      </w:r>
      <w:hyperlink w:anchor="here-there-and-antipodes">
        <w:r>
          <w:rPr>
            <w:color w:val="000000"/>
          </w:rPr>
          <w:t xml:space="preserve">Here, there, and the Antipodes</w:t>
        </w:r>
      </w:hyperlink>
      <w:r>
        <w:rPr>
          <w:b w:val="0"/>
          <w:i w:val="0"/>
        </w:rPr>
        <w:t>.</w:t>
      </w:r>
    </w:p>
    <w:p>
      <w:bookmarkStart w:id="99" w:name="florentine-mechanism"/>
      <w:pPr>
        <w:pStyle w:val="Heading2"/>
      </w:pPr>
      <w:r>
        <w:rPr>
          <w:b w:val="0"/>
          <w:i w:val="0"/>
        </w:rPr>
        <w:t>Florentine mechanism</w:t>
      </w:r>
      <w:bookmarkEnd w:id="99"/>
    </w:p>
    <w:p>
      <w:pPr>
        <w:keepNext/>
        <w:widowControl/>
      </w:pPr>
      <w:r>
        <w:rPr>
          <w:b/>
          <w:i w:val="0"/>
        </w:rPr>
        <w:t>Latin:</w:t>
      </w:r>
      <w:r>
        <w:rPr>
          <w:b w:val="0"/>
          <w:i w:val="0"/>
        </w:rPr>
        <w:t xml:space="preserve"> </w:t>
      </w:r>
      <w:r>
        <w:rPr>
          <w:b w:val="0"/>
          <w:i/>
        </w:rPr>
        <w:t>Florentiae; Germanus opifex; tabernaculum; statuae; pila; libratae; momentum; nutus</w:t>
      </w:r>
    </w:p>
    <w:p>
      <w:pPr>
        <w:keepNext/>
        <w:widowControl/>
      </w:pPr>
      <w:r>
        <w:rPr>
          <w:b/>
          <w:i w:val="0"/>
        </w:rPr>
        <w:t>The word.</w:t>
      </w:r>
    </w:p>
    <w:p>
      <w:pPr>
        <w:widowControl/>
      </w:pPr>
      <w:r>
        <w:rPr>
          <w:b w:val="0"/>
          <w:i w:val="0"/>
        </w:rPr>
        <w:t>Florentiae means at Florence. Tabernaculum here names a small constructed display; statuae are figures; pila a ball. Libratae indicates balanced or poised figures. Momentum concerns the ball’s movement, while nutus is a nod or slight directive gesture.</w:t>
      </w:r>
    </w:p>
    <w:p>
      <w:pPr>
        <w:keepNext/>
        <w:widowControl/>
      </w:pPr>
      <w:r>
        <w:rPr>
          <w:b/>
          <w:i w:val="0"/>
        </w:rPr>
        <w:t>In the Platonic Theology.</w:t>
      </w:r>
    </w:p>
    <w:p>
      <w:pPr>
        <w:widowControl/>
      </w:pPr>
      <w:r>
        <w:rPr>
          <w:b w:val="0"/>
          <w:i w:val="0"/>
        </w:rPr>
        <w:t>Ficino reports seeing a German craftsman’s display at Florence. Figures attached to one ball perform different motions together: running in opposite directions, rising, bending, crowning, and wounding. Trumpets, horns, and birdsong are also heard. The next unit adds that similar events follow one another from one ball’s movement. The example is therefore both simultaneous and successive, not simply a frozen array moved identically. One simple initiating motion can coordinate diverse results through an arranged mechanism. Ficino applies this to God’s effortless governance through a simple center from which other things depend. The analogy shows coordinated variety; it does not disclose the device’s construction or identify its unnamed maker. Nor does it erase the distinction between an artisan using borrowed matter and a creator causing matter itself.</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II.13.13 (Latin PDF p. 224; English PDF p. 225).</w:t>
      </w:r>
      <w:r>
        <w:rPr>
          <w:b w:val="0"/>
          <w:i w:val="0"/>
        </w:rPr>
        <w:t xml:space="preserve"> The report specifies the connected figures, contrasting motions, and sounds.</w:t>
      </w:r>
    </w:p>
    <w:p>
      <w:pPr>
        <w:ind w:left="187" w:hanging="187"/>
      </w:pPr>
      <w:r>
        <w:t xml:space="preserve">• </w:t>
      </w:r>
      <w:r>
        <w:rPr>
          <w:b/>
          <w:i w:val="0"/>
        </w:rPr>
        <w:t>II.13.14 (Latin PDF p. 226; English PDF p. 227).</w:t>
      </w:r>
      <w:r>
        <w:rPr>
          <w:b w:val="0"/>
          <w:i w:val="0"/>
        </w:rPr>
        <w:t xml:space="preserve"> One ball’s motion and the divine nod provide the comparison’s causal point.</w:t>
      </w:r>
    </w:p>
    <w:p>
      <w:pPr>
        <w:keepNext/>
        <w:widowControl/>
      </w:pPr>
      <w:r>
        <w:rPr>
          <w:b/>
          <w:i w:val="0"/>
        </w:rPr>
        <w:t>In this edition.</w:t>
      </w:r>
    </w:p>
    <w:p>
      <w:pPr>
        <w:widowControl/>
      </w:pPr>
      <w:r>
        <w:rPr>
          <w:b w:val="0"/>
          <w:i w:val="0"/>
        </w:rPr>
        <w:t xml:space="preserve">The supplied English calls tabernaculum a </w:t>
      </w:r>
      <w:r>
        <w:t>“</w:t>
      </w:r>
      <w:r>
        <w:rPr>
          <w:b w:val="0"/>
          <w:i w:val="0"/>
        </w:rPr>
        <w:t>mechanical display,</w:t>
      </w:r>
      <w:r>
        <w:t>”</w:t>
      </w:r>
      <w:r>
        <w:rPr>
          <w:b w:val="0"/>
          <w:i w:val="0"/>
        </w:rPr>
        <w:t xml:space="preserve"> an interpretive rendering warranted by the described actions. It should not be silently expanded into a named clock, church automaton, or historically identified invention. </w:t>
      </w:r>
      <w:r>
        <w:t>“</w:t>
      </w:r>
      <w:r>
        <w:rPr>
          <w:b w:val="0"/>
          <w:i w:val="0"/>
        </w:rPr>
        <w:t>At Florence we saw</w:t>
      </w:r>
      <w:r>
        <w:t>”</w:t>
      </w:r>
      <w:r>
        <w:rPr>
          <w:b w:val="0"/>
          <w:i w:val="0"/>
        </w:rPr>
        <w:t xml:space="preserve"> is Ficino’s reported observation, not a new verification.</w:t>
      </w:r>
    </w:p>
    <w:p>
      <w:pPr>
        <w:keepNext/>
        <w:widowControl/>
      </w:pPr>
      <w:r>
        <w:rPr>
          <w:b/>
          <w:i w:val="0"/>
        </w:rPr>
        <w:t>See also.</w:t>
      </w:r>
    </w:p>
    <w:p>
      <w:pPr>
        <w:widowControl/>
      </w:pPr>
      <w:hyperlink w:anchor="art-and-nature">
        <w:r>
          <w:rPr>
            <w:color w:val="000000"/>
          </w:rPr>
          <w:t xml:space="preserve">Art and nature</w:t>
        </w:r>
      </w:hyperlink>
      <w:r>
        <w:rPr>
          <w:b w:val="0"/>
          <w:i w:val="0"/>
        </w:rPr>
        <w:t xml:space="preserve">; </w:t>
      </w:r>
      <w:hyperlink w:anchor="hinge-and-center">
        <w:r>
          <w:rPr>
            <w:color w:val="000000"/>
          </w:rPr>
          <w:t xml:space="preserve">Hinge and center</w:t>
        </w:r>
      </w:hyperlink>
      <w:r>
        <w:rPr>
          <w:b w:val="0"/>
          <w:i w:val="0"/>
        </w:rPr>
        <w:t xml:space="preserve">; </w:t>
      </w:r>
      <w:hyperlink w:anchor="providence">
        <w:r>
          <w:rPr>
            <w:color w:val="000000"/>
          </w:rPr>
          <w:t xml:space="preserve">Providence</w:t>
        </w:r>
      </w:hyperlink>
      <w:r>
        <w:rPr>
          <w:b w:val="0"/>
          <w:i w:val="0"/>
        </w:rPr>
        <w:t xml:space="preserve">; </w:t>
      </w:r>
      <w:hyperlink w:anchor="army-and-commander">
        <w:r>
          <w:rPr>
            <w:color w:val="000000"/>
          </w:rPr>
          <w:t xml:space="preserve">Army and commander</w:t>
        </w:r>
      </w:hyperlink>
      <w:r>
        <w:rPr>
          <w:b w:val="0"/>
          <w:i w:val="0"/>
        </w:rPr>
        <w:t>.</w:t>
      </w:r>
    </w:p>
    <w:p>
      <w:bookmarkStart w:id="100" w:name="foreknowledge"/>
      <w:pPr>
        <w:pStyle w:val="Heading2"/>
      </w:pPr>
      <w:r>
        <w:rPr>
          <w:b w:val="0"/>
          <w:i w:val="0"/>
        </w:rPr>
        <w:t>Foreknowledge</w:t>
      </w:r>
      <w:bookmarkEnd w:id="100"/>
    </w:p>
    <w:p>
      <w:pPr>
        <w:keepNext/>
        <w:widowControl/>
      </w:pPr>
      <w:r>
        <w:rPr>
          <w:b/>
          <w:i w:val="0"/>
        </w:rPr>
        <w:t>Latin:</w:t>
      </w:r>
      <w:r>
        <w:rPr>
          <w:b w:val="0"/>
          <w:i w:val="0"/>
        </w:rPr>
        <w:t xml:space="preserve"> </w:t>
      </w:r>
      <w:r>
        <w:rPr>
          <w:b w:val="0"/>
          <w:i/>
        </w:rPr>
        <w:t>praescientia</w:t>
      </w:r>
      <w:r>
        <w:rPr>
          <w:b w:val="0"/>
          <w:i w:val="0"/>
        </w:rPr>
        <w:t xml:space="preserve">; </w:t>
      </w:r>
      <w:r>
        <w:rPr>
          <w:b w:val="0"/>
          <w:i/>
        </w:rPr>
        <w:t>praevisio</w:t>
      </w:r>
      <w:r>
        <w:rPr>
          <w:b w:val="0"/>
          <w:i w:val="0"/>
        </w:rPr>
        <w:t xml:space="preserve">; </w:t>
      </w:r>
      <w:r>
        <w:rPr>
          <w:b w:val="0"/>
          <w:i/>
        </w:rPr>
        <w:t>praevidere</w:t>
      </w:r>
      <w:r>
        <w:rPr>
          <w:b w:val="0"/>
          <w:i w:val="0"/>
        </w:rPr>
        <w:t xml:space="preserve">; </w:t>
      </w:r>
      <w:r>
        <w:rPr>
          <w:b w:val="0"/>
          <w:i/>
        </w:rPr>
        <w:t>scire</w:t>
      </w:r>
      <w:r>
        <w:rPr>
          <w:b w:val="0"/>
          <w:i w:val="0"/>
        </w:rPr>
        <w:t xml:space="preserve">; </w:t>
      </w:r>
      <w:r>
        <w:rPr>
          <w:b w:val="0"/>
          <w:i/>
        </w:rPr>
        <w:t>volendo</w:t>
      </w:r>
    </w:p>
    <w:p>
      <w:pPr>
        <w:keepNext/>
        <w:widowControl/>
      </w:pPr>
      <w:r>
        <w:rPr>
          <w:b/>
          <w:i w:val="0"/>
        </w:rPr>
        <w:t>The word.</w:t>
      </w:r>
    </w:p>
    <w:p>
      <w:pPr>
        <w:widowControl/>
      </w:pPr>
      <w:r>
        <w:rPr>
          <w:b w:val="0"/>
          <w:i w:val="0"/>
        </w:rPr>
        <w:t>Praescientia and praevisio concern knowledge or foresight of what is future; praevidere is to foresee. Scire and velle remain distinct: knowing an object need not produce it simply by knowing.</w:t>
      </w:r>
    </w:p>
    <w:p>
      <w:pPr>
        <w:keepNext/>
        <w:widowControl/>
      </w:pPr>
      <w:r>
        <w:rPr>
          <w:b/>
          <w:i w:val="0"/>
        </w:rPr>
        <w:t>In the Platonic Theology.</w:t>
      </w:r>
    </w:p>
    <w:p>
      <w:pPr>
        <w:widowControl/>
      </w:pPr>
      <w:r>
        <w:rPr>
          <w:b w:val="0"/>
          <w:i w:val="0"/>
        </w:rPr>
        <w:t>Foreknowledge is God’s knowledge of future events, including their causes and modes of occurrence. Ficino’s distinction between knowing and willing does important work here: if mere knowledge produced its object, God would produce all known things together and also produce evil. Will, rather than knowledge by itself, accounts for external production.</w:t>
      </w:r>
    </w:p>
    <w:p>
      <w:pPr>
        <w:widowControl/>
      </w:pPr>
      <w:r>
        <w:rPr>
          <w:b w:val="0"/>
          <w:i w:val="0"/>
        </w:rPr>
        <w:t>The issue of human freedom is addressed by specifying what is foreknown. God does not know merely that a person will perform an act; he also knows that the person performs it voluntarily and freely. If the supposition of divine foreknowledge makes the event necessary, Ficino argues, that same supposition confirms the event’s free mode. Thus he distinguishes a necessity conditional on what is known from a compulsion imposed on the acting soul. This is the argument offered by the text, not an independently demonstrated solution to all problems of foreknowledge. The following appeal to God’s preservation of each nature reinforces it: rational souls retain deliberation and judgment because governance operates through their proper capacities.</w:t>
      </w:r>
    </w:p>
    <w:p>
      <w:pPr>
        <w:keepNext/>
        <w:widowControl/>
      </w:pPr>
      <w:r>
        <w:rPr>
          <w:b/>
          <w:i w:val="0"/>
        </w:rPr>
        <w:t>The places.</w:t>
      </w:r>
    </w:p>
    <w:p>
      <w:pPr>
        <w:ind w:left="187" w:hanging="187"/>
      </w:pPr>
      <w:r>
        <w:t xml:space="preserve">• </w:t>
      </w:r>
      <w:r>
        <w:rPr>
          <w:b/>
          <w:i w:val="0"/>
        </w:rPr>
        <w:t>II.13.24–25, PDF 232–235</w:t>
      </w:r>
      <w:r>
        <w:rPr>
          <w:b w:val="0"/>
          <w:i w:val="0"/>
        </w:rPr>
        <w:t>. Knowing is distinguished from willing, and foresight includes causes and voluntary modes.</w:t>
      </w:r>
    </w:p>
    <w:p>
      <w:pPr>
        <w:ind w:left="187" w:hanging="187"/>
      </w:pPr>
      <w:r>
        <w:t xml:space="preserve">• </w:t>
      </w:r>
      <w:r>
        <w:rPr>
          <w:b/>
          <w:i w:val="0"/>
        </w:rPr>
        <w:t>II.13.26–27, PDF 234–235</w:t>
      </w:r>
      <w:r>
        <w:rPr>
          <w:b w:val="0"/>
          <w:i w:val="0"/>
        </w:rPr>
        <w:t>. Governance preserves proper natures and is described as persuasion rather than compulsion for souls.</w:t>
      </w:r>
    </w:p>
    <w:p>
      <w:pPr>
        <w:ind w:left="187" w:hanging="187"/>
      </w:pPr>
      <w:r>
        <w:t xml:space="preserve">• </w:t>
      </w:r>
      <w:r>
        <w:rPr>
          <w:b/>
          <w:i w:val="0"/>
        </w:rPr>
        <w:t>II.13.30, PDF 236–237</w:t>
      </w:r>
      <w:r>
        <w:rPr>
          <w:b w:val="0"/>
          <w:i w:val="0"/>
        </w:rPr>
        <w:t>. The soul retains deliberation and comparative judgement about acts.</w:t>
      </w:r>
    </w:p>
    <w:p>
      <w:pPr>
        <w:widowControl/>
      </w:pPr>
      <w:r>
        <w:rPr>
          <w:b/>
          <w:i w:val="0"/>
        </w:rPr>
        <w:t>Further passage references.</w:t>
      </w:r>
      <w:r>
        <w:rPr>
          <w:b w:val="0"/>
          <w:i w:val="0"/>
        </w:rPr>
        <w:t xml:space="preserve"> II.13.24–30, PDF 232–237</w:t>
      </w:r>
    </w:p>
    <w:p>
      <w:pPr>
        <w:keepNext/>
        <w:widowControl/>
      </w:pPr>
      <w:r>
        <w:rPr>
          <w:b/>
          <w:i w:val="0"/>
        </w:rPr>
        <w:t>In this edition.</w:t>
      </w:r>
    </w:p>
    <w:p>
      <w:pPr>
        <w:widowControl/>
      </w:pPr>
      <w:r>
        <w:rPr>
          <w:b w:val="0"/>
          <w:i w:val="0"/>
        </w:rPr>
        <w:t xml:space="preserve">II.13.25 says conditional necessity </w:t>
      </w:r>
      <w:r>
        <w:t>“</w:t>
      </w:r>
      <w:r>
        <w:rPr>
          <w:b w:val="0"/>
          <w:i w:val="0"/>
        </w:rPr>
        <w:t>confirms</w:t>
      </w:r>
      <w:r>
        <w:t>”</w:t>
      </w:r>
      <w:r>
        <w:rPr>
          <w:b w:val="0"/>
          <w:i w:val="0"/>
        </w:rPr>
        <w:t xml:space="preserve"> the known free mode. Present this as Ficino’s proposed reconciliation, preserving both the conditional clause and voluntarie libereque; the passage does not define freedom as absence of divine knowledge.</w:t>
      </w:r>
    </w:p>
    <w:p>
      <w:pPr>
        <w:keepNext/>
        <w:widowControl/>
      </w:pPr>
      <w:r>
        <w:rPr>
          <w:b/>
          <w:i w:val="0"/>
        </w:rPr>
        <w:t>See also.</w:t>
      </w:r>
    </w:p>
    <w:p>
      <w:pPr>
        <w:widowControl/>
      </w:pPr>
      <w:hyperlink w:anchor="choice-and-free-judgment">
        <w:r>
          <w:rPr>
            <w:color w:val="000000"/>
          </w:rPr>
          <w:t xml:space="preserve">Choice and free judgment</w:t>
        </w:r>
      </w:hyperlink>
      <w:r>
        <w:rPr>
          <w:b w:val="0"/>
          <w:i w:val="0"/>
        </w:rPr>
        <w:t xml:space="preserve">; </w:t>
      </w:r>
      <w:hyperlink w:anchor="contingency">
        <w:r>
          <w:rPr>
            <w:color w:val="000000"/>
          </w:rPr>
          <w:t xml:space="preserve">Contingency</w:t>
        </w:r>
      </w:hyperlink>
      <w:r>
        <w:rPr>
          <w:b w:val="0"/>
          <w:i w:val="0"/>
        </w:rPr>
        <w:t xml:space="preserve">; </w:t>
      </w:r>
      <w:hyperlink w:anchor="freedom-and-necessity">
        <w:r>
          <w:rPr>
            <w:color w:val="000000"/>
          </w:rPr>
          <w:t xml:space="preserve">Freedom and necessity</w:t>
        </w:r>
      </w:hyperlink>
      <w:r>
        <w:rPr>
          <w:b w:val="0"/>
          <w:i w:val="0"/>
        </w:rPr>
        <w:t xml:space="preserve">; </w:t>
      </w:r>
      <w:hyperlink w:anchor="providence">
        <w:r>
          <w:rPr>
            <w:color w:val="000000"/>
          </w:rPr>
          <w:t xml:space="preserve">Providence</w:t>
        </w:r>
      </w:hyperlink>
      <w:r>
        <w:rPr>
          <w:b w:val="0"/>
          <w:i w:val="0"/>
        </w:rPr>
        <w:t xml:space="preserve">; </w:t>
      </w:r>
      <w:hyperlink w:anchor="will">
        <w:r>
          <w:rPr>
            <w:color w:val="000000"/>
          </w:rPr>
          <w:t xml:space="preserve">Will</w:t>
        </w:r>
      </w:hyperlink>
    </w:p>
    <w:p>
      <w:bookmarkStart w:id="101" w:name="form"/>
      <w:pPr>
        <w:pStyle w:val="Heading2"/>
      </w:pPr>
      <w:r>
        <w:rPr>
          <w:b w:val="0"/>
          <w:i w:val="0"/>
        </w:rPr>
        <w:t>Form</w:t>
      </w:r>
      <w:bookmarkEnd w:id="101"/>
    </w:p>
    <w:p>
      <w:pPr>
        <w:keepNext/>
        <w:widowControl/>
      </w:pPr>
      <w:r>
        <w:rPr>
          <w:b/>
          <w:i w:val="0"/>
        </w:rPr>
        <w:t>Latin:</w:t>
      </w:r>
      <w:r>
        <w:rPr>
          <w:b w:val="0"/>
          <w:i w:val="0"/>
        </w:rPr>
        <w:t xml:space="preserve"> </w:t>
      </w:r>
      <w:r>
        <w:rPr>
          <w:b w:val="0"/>
          <w:i/>
        </w:rPr>
        <w:t>forma</w:t>
      </w:r>
      <w:r>
        <w:rPr>
          <w:b w:val="0"/>
          <w:i w:val="0"/>
        </w:rPr>
        <w:t xml:space="preserve">; </w:t>
      </w:r>
      <w:r>
        <w:rPr>
          <w:b w:val="0"/>
          <w:i/>
        </w:rPr>
        <w:t>forma corporea</w:t>
      </w:r>
      <w:r>
        <w:rPr>
          <w:b w:val="0"/>
          <w:i w:val="0"/>
        </w:rPr>
        <w:t xml:space="preserve">; </w:t>
      </w:r>
      <w:r>
        <w:rPr>
          <w:b w:val="0"/>
          <w:i/>
        </w:rPr>
        <w:t>forma substantialis</w:t>
      </w:r>
      <w:r>
        <w:rPr>
          <w:b w:val="0"/>
          <w:i w:val="0"/>
        </w:rPr>
        <w:t xml:space="preserve">; </w:t>
      </w:r>
      <w:r>
        <w:rPr>
          <w:b w:val="0"/>
          <w:i/>
        </w:rPr>
        <w:t>forma individua</w:t>
      </w:r>
      <w:r>
        <w:rPr>
          <w:b w:val="0"/>
          <w:i w:val="0"/>
        </w:rPr>
        <w:t xml:space="preserve">; </w:t>
      </w:r>
      <w:r>
        <w:rPr>
          <w:b w:val="0"/>
          <w:i/>
        </w:rPr>
        <w:t>species</w:t>
      </w:r>
      <w:r>
        <w:rPr>
          <w:b w:val="0"/>
          <w:i w:val="0"/>
        </w:rPr>
        <w:t xml:space="preserve">; </w:t>
      </w:r>
      <w:r>
        <w:rPr>
          <w:b w:val="0"/>
          <w:i/>
        </w:rPr>
        <w:t>genus</w:t>
      </w:r>
      <w:r>
        <w:rPr>
          <w:b w:val="0"/>
          <w:i w:val="0"/>
        </w:rPr>
        <w:t xml:space="preserve">; </w:t>
      </w:r>
      <w:r>
        <w:rPr>
          <w:b w:val="0"/>
          <w:i/>
        </w:rPr>
        <w:t>omniformis</w:t>
      </w:r>
      <w:r>
        <w:rPr>
          <w:b w:val="0"/>
          <w:i w:val="0"/>
        </w:rPr>
        <w:t xml:space="preserve">; </w:t>
      </w:r>
      <w:r>
        <w:rPr>
          <w:b w:val="0"/>
          <w:i/>
        </w:rPr>
        <w:t>formare</w:t>
      </w:r>
      <w:r>
        <w:rPr>
          <w:b w:val="0"/>
          <w:i w:val="0"/>
        </w:rPr>
        <w:t xml:space="preserve">; </w:t>
      </w:r>
      <w:r>
        <w:rPr>
          <w:b w:val="0"/>
          <w:i/>
        </w:rPr>
        <w:t>ratio formarum</w:t>
      </w:r>
      <w:r>
        <w:rPr>
          <w:b w:val="0"/>
          <w:i w:val="0"/>
        </w:rPr>
        <w:t xml:space="preserve">; </w:t>
      </w:r>
      <w:r>
        <w:rPr>
          <w:b w:val="0"/>
          <w:i/>
        </w:rPr>
        <w:t>uniformis</w:t>
      </w:r>
      <w:r>
        <w:rPr>
          <w:b w:val="0"/>
          <w:i w:val="0"/>
        </w:rPr>
        <w:t xml:space="preserve">; </w:t>
      </w:r>
      <w:r>
        <w:rPr>
          <w:b w:val="0"/>
          <w:i/>
        </w:rPr>
        <w:t>formae substantiales</w:t>
      </w:r>
      <w:r>
        <w:rPr>
          <w:b w:val="0"/>
          <w:i w:val="0"/>
        </w:rPr>
        <w:t xml:space="preserve">; </w:t>
      </w:r>
      <w:r>
        <w:rPr>
          <w:b w:val="0"/>
          <w:i/>
        </w:rPr>
        <w:t>formae contingentes</w:t>
      </w:r>
      <w:r>
        <w:rPr>
          <w:b w:val="0"/>
          <w:i w:val="0"/>
        </w:rPr>
        <w:t xml:space="preserve">; </w:t>
      </w:r>
      <w:r>
        <w:rPr>
          <w:b w:val="0"/>
          <w:i/>
        </w:rPr>
        <w:t>forma materiae</w:t>
      </w:r>
      <w:r>
        <w:rPr>
          <w:b w:val="0"/>
          <w:i w:val="0"/>
        </w:rPr>
        <w:t xml:space="preserve">; </w:t>
      </w:r>
      <w:r>
        <w:rPr>
          <w:b w:val="0"/>
          <w:i/>
        </w:rPr>
        <w:t>figurationes</w:t>
      </w:r>
      <w:r>
        <w:rPr>
          <w:b w:val="0"/>
          <w:i w:val="0"/>
        </w:rPr>
        <w:t xml:space="preserve">; </w:t>
      </w:r>
      <w:r>
        <w:rPr>
          <w:b w:val="0"/>
          <w:i/>
        </w:rPr>
        <w:t>decrementum</w:t>
      </w:r>
      <w:r>
        <w:rPr>
          <w:b w:val="0"/>
          <w:i w:val="0"/>
        </w:rPr>
        <w:t xml:space="preserve">; </w:t>
      </w:r>
      <w:r>
        <w:rPr>
          <w:b w:val="0"/>
          <w:i/>
        </w:rPr>
        <w:t>remissio</w:t>
      </w:r>
      <w:r>
        <w:rPr>
          <w:b w:val="0"/>
          <w:i w:val="0"/>
        </w:rPr>
        <w:t xml:space="preserve">; </w:t>
      </w:r>
      <w:r>
        <w:rPr>
          <w:b w:val="0"/>
          <w:i/>
        </w:rPr>
        <w:t>uniformis; omniformis; formator; Per hanc enim formam Dei</w:t>
      </w:r>
    </w:p>
    <w:p>
      <w:pPr>
        <w:keepNext/>
        <w:widowControl/>
      </w:pPr>
      <w:r>
        <w:rPr>
          <w:b/>
          <w:i w:val="0"/>
        </w:rPr>
        <w:t>The word.</w:t>
      </w:r>
    </w:p>
    <w:p>
      <w:pPr>
        <w:widowControl/>
      </w:pPr>
      <w:r>
        <w:rPr>
          <w:b w:val="0"/>
          <w:i w:val="0"/>
        </w:rPr>
        <w:t>Forma gives determinate being and efficacy, not merely outline. Species can be a kind or an intelligible form. Formare shapes or determines; substantial and accidental forms have different dependencies and modes of change.</w:t>
      </w:r>
    </w:p>
    <w:p>
      <w:pPr>
        <w:widowControl/>
      </w:pPr>
      <w:r>
        <w:rPr>
          <w:b w:val="0"/>
          <w:i w:val="0"/>
        </w:rPr>
        <w:t>Uniformis means having one form or uniform; omniformis containing every form; formator a producer of forms. The apparent opposition is resolved through a mode of intellectual containment, not by numerical aggregation.</w:t>
      </w:r>
    </w:p>
    <w:p>
      <w:pPr>
        <w:keepNext/>
        <w:widowControl/>
      </w:pPr>
      <w:r>
        <w:rPr>
          <w:b/>
          <w:i w:val="0"/>
        </w:rPr>
        <w:t>In the Platonic Theology.</w:t>
      </w:r>
    </w:p>
    <w:p>
      <w:pPr>
        <w:widowControl/>
      </w:pPr>
      <w:r>
        <w:rPr>
          <w:b w:val="0"/>
          <w:i w:val="0"/>
        </w:rPr>
        <w:t xml:space="preserve">Form supplies determinate being, intelligibility, and efficacy; it is not restricted to visible outline. In the definition attributed to Proclus, it is that by which something distinctly and actually is and acts. A body belongs to a kind and performs its characteristic operations through form rather than bulk. Yet </w:t>
      </w:r>
      <w:r>
        <w:rPr>
          <w:b w:val="0"/>
          <w:i/>
        </w:rPr>
        <w:t>forma</w:t>
      </w:r>
      <w:r>
        <w:rPr>
          <w:b w:val="0"/>
          <w:i w:val="0"/>
        </w:rPr>
        <w:t xml:space="preserve"> and </w:t>
      </w:r>
      <w:r>
        <w:rPr>
          <w:b w:val="0"/>
          <w:i/>
        </w:rPr>
        <w:t>species</w:t>
      </w:r>
      <w:r>
        <w:rPr>
          <w:b w:val="0"/>
          <w:i w:val="0"/>
        </w:rPr>
        <w:t xml:space="preserve"> vary by context: form can mean a substantial constituting principle, an accidental quality, an intelligible pattern in a cause, or a natural kind. Humans and horses belong to different species, whereas God’s knowing through </w:t>
      </w:r>
      <w:r>
        <w:rPr>
          <w:b w:val="0"/>
          <w:i/>
        </w:rPr>
        <w:t>unam speciem</w:t>
      </w:r>
      <w:r>
        <w:rPr>
          <w:b w:val="0"/>
          <w:i w:val="0"/>
        </w:rPr>
        <w:t xml:space="preserve"> concerns one intelligible form rather than one biological species.</w:t>
      </w:r>
    </w:p>
    <w:p>
      <w:pPr>
        <w:widowControl/>
      </w:pPr>
      <w:r>
        <w:rPr>
          <w:b w:val="0"/>
          <w:i w:val="0"/>
        </w:rPr>
        <w:t xml:space="preserve">Book I calls quality a form divided in body. Its material dependence, dispersion, and change make it an incomplete form, prompting the ascent toward a self-subsisting incorporeal form identified as rational soul. I.3.15 refines the distinction through </w:t>
      </w:r>
      <w:r>
        <w:rPr>
          <w:b w:val="0"/>
          <w:i/>
        </w:rPr>
        <w:t>decrementum</w:t>
      </w:r>
      <w:r>
        <w:rPr>
          <w:b w:val="0"/>
          <w:i w:val="0"/>
        </w:rPr>
        <w:t xml:space="preserve"> and </w:t>
      </w:r>
      <w:r>
        <w:rPr>
          <w:b w:val="0"/>
          <w:i/>
        </w:rPr>
        <w:t>remissio</w:t>
      </w:r>
      <w:r>
        <w:rPr>
          <w:b w:val="0"/>
          <w:i w:val="0"/>
        </w:rPr>
        <w:t>: decrease in extent differs from weakening of intensity. Quality admits both; substantial corporeal form can decrease without being remitted in intensity; the higher incorporeal substantial form is subject to neither. Divisibility, dependence, and variable intensity therefore do not name the same limitation. Nor does an incorporeal form’s independence entail spatial remoteness: it can penetrate bodies and govern their qualities while remaining separate in substance. The mind’s abstraction of forms belongs to the related cognitive argument for separateness.</w:t>
      </w:r>
    </w:p>
    <w:p>
      <w:pPr>
        <w:widowControl/>
      </w:pPr>
      <w:r>
        <w:rPr>
          <w:b w:val="0"/>
          <w:i w:val="0"/>
        </w:rPr>
        <w:t>The divine use requires further qualification. God is uniform because he transcends created forms and omniform because his power produces them all. Their presence in him is not like fire’s collection of heat, dryness, and lightness. Divine intelligence understands how one perfection can be imitated in different degrees, such as life without cognition in plants or cognition without intelligence in animals. Many exemplary relations are thus known in one divine essence. The analogy of a light containing many colors through causal power illustrates how multiplicity can be present without constituent parts. In IV.1.25, God is expressly denied to be the form of matter: such a form is a principle of being, whereas God is being itself.</w:t>
      </w:r>
    </w:p>
    <w:p>
      <w:pPr>
        <w:widowControl/>
      </w:pPr>
      <w:r>
        <w:rPr>
          <w:b w:val="0"/>
          <w:i w:val="0"/>
        </w:rPr>
        <w:t xml:space="preserve">Book IV also distinguishes contingent forms externally imposed by human art from substantial forms produced through nature’s inward activity. Its descending account says forms pass from one divine essence to </w:t>
      </w:r>
      <w:r>
        <w:t>‘</w:t>
      </w:r>
      <w:r>
        <w:rPr>
          <w:b w:val="0"/>
          <w:i w:val="0"/>
        </w:rPr>
        <w:t>manifold qualities</w:t>
      </w:r>
      <w:r>
        <w:t>’</w:t>
      </w:r>
      <w:r>
        <w:rPr>
          <w:b w:val="0"/>
          <w:i w:val="0"/>
        </w:rPr>
        <w:t xml:space="preserve"> in angel, from stability into effective motion in soul, and from living activity into passive alteration in body. The angel remains indivisible; this vocabulary concerns modes of reception and efficacy rather than a physical object’s descent through space. Forms received in angel, soul’s formative principles, material forms, and visible configurations consequently retain different roles. IV.2.15 even distinguishes configurations in heaven from forms produced in matter as different results of coordinated activity.</w:t>
      </w:r>
    </w:p>
    <w:p>
      <w:pPr>
        <w:widowControl/>
      </w:pPr>
      <w:r>
        <w:rPr>
          <w:b w:val="0"/>
          <w:i w:val="0"/>
        </w:rPr>
        <w:t>In II.11.17 God is above forms and maker of all forms. Ficino distinguishes imitations by their degree and manner: life without cognition gives the plant example; cognition without intelligence gives the animal example. Those are differences among possible likenesses, not components assembled inside God. The following account of one form and one gaze makes the intellectual mode explicit.</w:t>
      </w:r>
    </w:p>
    <w:p>
      <w:pPr>
        <w:keepNext/>
        <w:widowControl/>
      </w:pPr>
      <w:r>
        <w:rPr>
          <w:b/>
          <w:i w:val="0"/>
        </w:rPr>
        <w:t>The places.</w:t>
      </w:r>
    </w:p>
    <w:p>
      <w:pPr>
        <w:ind w:left="187" w:hanging="187"/>
      </w:pPr>
      <w:r>
        <w:t xml:space="preserve">• </w:t>
      </w:r>
      <w:r>
        <w:rPr>
          <w:b/>
          <w:i w:val="0"/>
        </w:rPr>
        <w:t>I.2.9–10, PDF 22–23</w:t>
      </w:r>
      <w:r>
        <w:rPr>
          <w:b w:val="0"/>
          <w:i w:val="0"/>
        </w:rPr>
        <w:t>. Form accounts for the body’s kind and characteristic operation.</w:t>
      </w:r>
    </w:p>
    <w:p>
      <w:pPr>
        <w:ind w:left="187" w:hanging="187"/>
      </w:pPr>
      <w:r>
        <w:t xml:space="preserve">• </w:t>
      </w:r>
      <w:r>
        <w:rPr>
          <w:b/>
          <w:i w:val="0"/>
        </w:rPr>
        <w:t>I.3.1–6, PDF 28–33</w:t>
      </w:r>
      <w:r>
        <w:rPr>
          <w:b w:val="0"/>
          <w:i w:val="0"/>
        </w:rPr>
        <w:t>. Material quality is incomplete form and cannot be its own adequate source.</w:t>
      </w:r>
    </w:p>
    <w:p>
      <w:pPr>
        <w:ind w:left="187" w:hanging="187"/>
      </w:pPr>
      <w:r>
        <w:t xml:space="preserve">• </w:t>
      </w:r>
      <w:r>
        <w:rPr>
          <w:b/>
          <w:i w:val="0"/>
        </w:rPr>
        <w:t>I.3.15, PDF 38–39</w:t>
      </w:r>
      <w:r>
        <w:rPr>
          <w:b w:val="0"/>
          <w:i w:val="0"/>
        </w:rPr>
        <w:t>. Decreased extent is distinguished from remitted intensity.</w:t>
      </w:r>
    </w:p>
    <w:p>
      <w:pPr>
        <w:ind w:left="187" w:hanging="187"/>
      </w:pPr>
      <w:r>
        <w:t xml:space="preserve">• </w:t>
      </w:r>
      <w:r>
        <w:rPr>
          <w:b/>
          <w:i w:val="0"/>
        </w:rPr>
        <w:t>I.3.28–29, PDF 48–51</w:t>
      </w:r>
      <w:r>
        <w:rPr>
          <w:b w:val="0"/>
          <w:i w:val="0"/>
        </w:rPr>
        <w:t>. The definition of form and the active/passive extension argument support dimensionless form.</w:t>
      </w:r>
    </w:p>
    <w:p>
      <w:pPr>
        <w:ind w:left="187" w:hanging="187"/>
      </w:pPr>
      <w:r>
        <w:t xml:space="preserve">• </w:t>
      </w:r>
      <w:r>
        <w:rPr>
          <w:b/>
          <w:i w:val="0"/>
        </w:rPr>
        <w:t>II.9.15, PDF 170–171</w:t>
      </w:r>
      <w:r>
        <w:rPr>
          <w:b w:val="0"/>
          <w:i w:val="0"/>
        </w:rPr>
        <w:t>. Diverse forms and properties are understood through modes of communicating divine goodness.</w:t>
      </w:r>
    </w:p>
    <w:p>
      <w:pPr>
        <w:widowControl/>
      </w:pPr>
      <w:r>
        <w:rPr>
          <w:b/>
          <w:i w:val="0"/>
        </w:rPr>
        <w:t>Further passage references.</w:t>
      </w:r>
      <w:r>
        <w:rPr>
          <w:b w:val="0"/>
          <w:i w:val="0"/>
        </w:rPr>
        <w:t xml:space="preserve"> I.2.9–I.2.10 (PDF pp. 22–23); I.3.1–I.3.6, I.3.14–I.3.18, I.3.24, I.3.28, I.3.33 (pp. 28–33, 38–41, 46–49, 52–53); II.2.7–8, pp. 108–109; II.9.1–4, pp. 164–165; II.9.12–15, pp. 168–171; II.10.10–12, pp. 180–181; II.11.1–23, PDF 182–193; III.1.2–4, 10–12, PDF 240–249; IV.1.10–IV.1.13, pp. 286–289; IV.1.25–IV.1.27, pp. 294–295; IV.1.32–IV.1.33, pp. 298–299; IV.2.15, pp. 342–343</w:t>
      </w:r>
    </w:p>
    <w:p>
      <w:pPr>
        <w:widowControl/>
        <w:keepNext/>
      </w:pPr>
      <w:r>
        <w:rPr>
          <w:b w:val="0"/>
          <w:i w:val="0"/>
        </w:rPr>
        <w:t>Selected annotated passages.</w:t>
      </w:r>
    </w:p>
    <w:p>
      <w:pPr>
        <w:ind w:left="187" w:hanging="187"/>
      </w:pPr>
      <w:r>
        <w:t xml:space="preserve">• </w:t>
      </w:r>
      <w:r>
        <w:rPr>
          <w:b/>
          <w:i w:val="0"/>
        </w:rPr>
        <w:t>II.11.17 (Latin PDF p. 190; English PDF p. 191).</w:t>
      </w:r>
      <w:r>
        <w:rPr>
          <w:b w:val="0"/>
          <w:i w:val="0"/>
        </w:rPr>
        <w:t xml:space="preserve"> Uniform and omniform are joined through intellectual nature and differentiated imitation.</w:t>
      </w:r>
    </w:p>
    <w:p>
      <w:pPr>
        <w:ind w:left="187" w:hanging="187"/>
      </w:pPr>
      <w:r>
        <w:t xml:space="preserve">• </w:t>
      </w:r>
      <w:r>
        <w:rPr>
          <w:b/>
          <w:i w:val="0"/>
        </w:rPr>
        <w:t>II.11.18 (Latin PDF p. 190; English PDF p. 191).</w:t>
      </w:r>
      <w:r>
        <w:rPr>
          <w:b w:val="0"/>
          <w:i w:val="0"/>
        </w:rPr>
        <w:t xml:space="preserve"> One form and one gaze preserve simplicity while the exemplary relations multiply.</w:t>
      </w:r>
    </w:p>
    <w:p>
      <w:pPr>
        <w:keepNext/>
        <w:widowControl/>
      </w:pPr>
      <w:r>
        <w:rPr>
          <w:b/>
          <w:i w:val="0"/>
        </w:rPr>
        <w:t>In this edition.</w:t>
      </w:r>
    </w:p>
    <w:p>
      <w:pPr>
        <w:widowControl/>
      </w:pPr>
      <w:r>
        <w:rPr>
          <w:b w:val="0"/>
          <w:i w:val="0"/>
        </w:rPr>
        <w:t xml:space="preserve">The definition attributed to Proclus does not expressly include dimension, though its </w:t>
      </w:r>
      <w:r>
        <w:t>“</w:t>
      </w:r>
      <w:r>
        <w:rPr>
          <w:b w:val="0"/>
          <w:i w:val="0"/>
        </w:rPr>
        <w:t>by which something</w:t>
      </w:r>
      <w:r>
        <w:t>”</w:t>
      </w:r>
      <w:r>
        <w:rPr>
          <w:b w:val="0"/>
          <w:i w:val="0"/>
        </w:rPr>
        <w:t xml:space="preserve"> may suggest a subject. Do not equate immaterial celestial form with incorporeal form. Decrementum, decrease in extent, differs from remissio, diminished intensity.</w:t>
      </w:r>
    </w:p>
    <w:p>
      <w:pPr>
        <w:widowControl/>
      </w:pPr>
      <w:r>
        <w:rPr>
          <w:b w:val="0"/>
          <w:i w:val="0"/>
        </w:rPr>
        <w:t xml:space="preserve">The supplied Latin reads Per hanc enim formam Dei se ipsam intuendo se concipit. The English construes </w:t>
      </w:r>
      <w:r>
        <w:t>“</w:t>
      </w:r>
      <w:r>
        <w:rPr>
          <w:b w:val="0"/>
          <w:i w:val="0"/>
        </w:rPr>
        <w:t>Through this form, then, God…</w:t>
      </w:r>
      <w:r>
        <w:t>”</w:t>
      </w:r>
      <w:r>
        <w:rPr>
          <w:b w:val="0"/>
          <w:i w:val="0"/>
        </w:rPr>
        <w:t xml:space="preserve"> That interpretation does not resolve the Latin construction. Preserve the printed wording and mark the difficulty; do not silently substitute forma Dei or Deus. The surrounding argument is intelligible without pretending that the local reading has been settled. The apparatus’s lexical note on II.11.17 (PDF p. 374) explains ratio as intelligible account or principle; it does not resolve the printed formam Dei construction.</w:t>
      </w:r>
    </w:p>
    <w:p>
      <w:pPr>
        <w:keepNext/>
        <w:widowControl/>
      </w:pPr>
      <w:r>
        <w:rPr>
          <w:b/>
          <w:i w:val="0"/>
        </w:rPr>
        <w:t>See also.</w:t>
      </w:r>
    </w:p>
    <w:p>
      <w:pPr>
        <w:widowControl/>
      </w:pPr>
      <w:hyperlink w:anchor="quality">
        <w:r>
          <w:rPr>
            <w:color w:val="000000"/>
          </w:rPr>
          <w:t xml:space="preserve">Quality</w:t>
        </w:r>
      </w:hyperlink>
      <w:r>
        <w:rPr>
          <w:b w:val="0"/>
          <w:i w:val="0"/>
        </w:rPr>
        <w:t xml:space="preserve">; </w:t>
      </w:r>
      <w:hyperlink w:anchor="species">
        <w:r>
          <w:rPr>
            <w:color w:val="000000"/>
          </w:rPr>
          <w:t xml:space="preserve">Species</w:t>
        </w:r>
      </w:hyperlink>
      <w:r>
        <w:rPr>
          <w:b w:val="0"/>
          <w:i w:val="0"/>
        </w:rPr>
        <w:t xml:space="preserve">; </w:t>
      </w:r>
      <w:hyperlink w:anchor="substance-and-accident">
        <w:r>
          <w:rPr>
            <w:color w:val="000000"/>
          </w:rPr>
          <w:t xml:space="preserve">Substance and accident</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art-and-nature">
        <w:r>
          <w:rPr>
            <w:color w:val="000000"/>
          </w:rPr>
          <w:t xml:space="preserve">Art and nature</w:t>
        </w:r>
      </w:hyperlink>
      <w:r>
        <w:rPr>
          <w:b w:val="0"/>
          <w:i w:val="0"/>
        </w:rPr>
        <w:t xml:space="preserve">; </w:t>
      </w:r>
      <w:hyperlink w:anchor="universals-and-individuals">
        <w:r>
          <w:rPr>
            <w:color w:val="000000"/>
          </w:rPr>
          <w:t xml:space="preserve">Universals and individuals</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ideas-and-exemplars">
        <w:r>
          <w:rPr>
            <w:color w:val="000000"/>
          </w:rPr>
          <w:t xml:space="preserve">Ideas and exemplars</w:t>
        </w:r>
      </w:hyperlink>
      <w:r>
        <w:rPr>
          <w:b w:val="0"/>
          <w:i w:val="0"/>
        </w:rPr>
        <w:t xml:space="preserve">; </w:t>
      </w:r>
      <w:hyperlink w:anchor="unity-and-multiplicity">
        <w:r>
          <w:rPr>
            <w:color w:val="000000"/>
          </w:rPr>
          <w:t xml:space="preserve">Unity and multiplicity</w:t>
        </w:r>
      </w:hyperlink>
      <w:r>
        <w:rPr>
          <w:b w:val="0"/>
          <w:i w:val="0"/>
        </w:rPr>
        <w:t xml:space="preserve">; </w:t>
      </w:r>
      <w:hyperlink w:anchor="light-and-illumination">
        <w:r>
          <w:rPr>
            <w:color w:val="000000"/>
          </w:rPr>
          <w:t xml:space="preserve">Light and illumination</w:t>
        </w:r>
      </w:hyperlink>
      <w:r>
        <w:rPr>
          <w:b w:val="0"/>
          <w:i w:val="0"/>
        </w:rPr>
        <w:t xml:space="preserve">; </w:t>
      </w:r>
      <w:hyperlink w:anchor="act-and-operation">
        <w:r>
          <w:rPr>
            <w:color w:val="000000"/>
          </w:rPr>
          <w:t xml:space="preserve">Act and operation</w:t>
        </w:r>
      </w:hyperlink>
      <w:r>
        <w:rPr>
          <w:b w:val="0"/>
          <w:i w:val="0"/>
        </w:rPr>
        <w:t xml:space="preserve">; </w:t>
      </w:r>
      <w:hyperlink w:anchor="image-and-likeness">
        <w:r>
          <w:rPr>
            <w:color w:val="000000"/>
          </w:rPr>
          <w:t xml:space="preserve">Image and likeness</w:t>
        </w:r>
      </w:hyperlink>
      <w:r>
        <w:rPr>
          <w:b w:val="0"/>
          <w:i w:val="0"/>
        </w:rPr>
        <w:t xml:space="preserve">; </w:t>
      </w:r>
      <w:hyperlink w:anchor="reason-and-account">
        <w:r>
          <w:rPr>
            <w:color w:val="000000"/>
          </w:rPr>
          <w:t xml:space="preserve">Reason and account</w:t>
        </w:r>
      </w:hyperlink>
      <w:r>
        <w:rPr>
          <w:b w:val="0"/>
          <w:i w:val="0"/>
        </w:rPr>
        <w:t xml:space="preserve">; </w:t>
      </w:r>
      <w:hyperlink w:anchor="matter">
        <w:r>
          <w:rPr>
            <w:color w:val="000000"/>
          </w:rPr>
          <w:t xml:space="preserve">Matter</w:t>
        </w:r>
      </w:hyperlink>
      <w:r>
        <w:rPr>
          <w:b w:val="0"/>
          <w:i w:val="0"/>
        </w:rPr>
        <w:t xml:space="preserve">; </w:t>
      </w:r>
      <w:hyperlink w:anchor="principle">
        <w:r>
          <w:rPr>
            <w:color w:val="000000"/>
          </w:rPr>
          <w:t xml:space="preserve">Principle</w:t>
        </w:r>
      </w:hyperlink>
    </w:p>
    <w:p>
      <w:pPr>
        <w:widowControl/>
      </w:pPr>
      <w:hyperlink w:anchor="ideas-and-exemplars">
        <w:r>
          <w:rPr>
            <w:color w:val="000000"/>
          </w:rPr>
          <w:t xml:space="preserve">Ideas and exemplars</w:t>
        </w:r>
      </w:hyperlink>
      <w:r>
        <w:rPr>
          <w:b w:val="0"/>
          <w:i w:val="0"/>
        </w:rPr>
        <w:t xml:space="preserve">; </w:t>
      </w:r>
      <w:hyperlink w:anchor="relations-and-respects">
        <w:r>
          <w:rPr>
            <w:color w:val="000000"/>
          </w:rPr>
          <w:t xml:space="preserve">Relations and respects</w:t>
        </w:r>
      </w:hyperlink>
      <w:r>
        <w:rPr>
          <w:b w:val="0"/>
          <w:i w:val="0"/>
        </w:rPr>
        <w:t>.</w:t>
      </w:r>
    </w:p>
    <w:p>
      <w:bookmarkStart w:id="102" w:name="fountain-womb-and-offspring"/>
      <w:pPr>
        <w:pStyle w:val="Heading2"/>
      </w:pPr>
      <w:r>
        <w:rPr>
          <w:b w:val="0"/>
          <w:i w:val="0"/>
        </w:rPr>
        <w:t>Fountain, womb and offspring</w:t>
      </w:r>
      <w:bookmarkEnd w:id="102"/>
    </w:p>
    <w:p>
      <w:pPr>
        <w:keepNext/>
        <w:widowControl/>
      </w:pPr>
      <w:r>
        <w:rPr>
          <w:b/>
          <w:i w:val="0"/>
        </w:rPr>
        <w:t>Latin:</w:t>
      </w:r>
      <w:r>
        <w:rPr>
          <w:b w:val="0"/>
          <w:i w:val="0"/>
        </w:rPr>
        <w:t xml:space="preserve"> </w:t>
      </w:r>
      <w:r>
        <w:rPr>
          <w:b w:val="0"/>
          <w:i/>
        </w:rPr>
        <w:t>fons</w:t>
      </w:r>
      <w:r>
        <w:rPr>
          <w:b w:val="0"/>
          <w:i w:val="0"/>
        </w:rPr>
        <w:t xml:space="preserve">; </w:t>
      </w:r>
      <w:r>
        <w:rPr>
          <w:b w:val="0"/>
          <w:i/>
        </w:rPr>
        <w:t>materiae … gremio</w:t>
      </w:r>
      <w:r>
        <w:rPr>
          <w:b w:val="0"/>
          <w:i w:val="0"/>
        </w:rPr>
        <w:t xml:space="preserve">; </w:t>
      </w:r>
      <w:r>
        <w:rPr>
          <w:b w:val="0"/>
          <w:i/>
        </w:rPr>
        <w:t>prolem</w:t>
      </w:r>
      <w:r>
        <w:rPr>
          <w:b w:val="0"/>
          <w:i w:val="0"/>
        </w:rPr>
        <w:t xml:space="preserve">; </w:t>
      </w:r>
      <w:r>
        <w:rPr>
          <w:b w:val="0"/>
          <w:i/>
        </w:rPr>
        <w:t>gignere</w:t>
      </w:r>
      <w:r>
        <w:rPr>
          <w:b w:val="0"/>
          <w:i w:val="0"/>
        </w:rPr>
        <w:t xml:space="preserve">; </w:t>
      </w:r>
      <w:r>
        <w:rPr>
          <w:b w:val="0"/>
          <w:i/>
        </w:rPr>
        <w:t>procreat</w:t>
      </w:r>
      <w:r>
        <w:rPr>
          <w:b w:val="0"/>
          <w:i w:val="0"/>
        </w:rPr>
        <w:t xml:space="preserve">; </w:t>
      </w:r>
      <w:r>
        <w:rPr>
          <w:b w:val="0"/>
          <w:i/>
        </w:rPr>
        <w:t>haurit</w:t>
      </w:r>
      <w:r>
        <w:rPr>
          <w:b w:val="0"/>
          <w:i w:val="0"/>
        </w:rPr>
        <w:t xml:space="preserve">; </w:t>
      </w:r>
      <w:r>
        <w:rPr>
          <w:b w:val="0"/>
          <w:i/>
        </w:rPr>
        <w:t>liquorem infundat</w:t>
      </w:r>
      <w:r>
        <w:rPr>
          <w:b w:val="0"/>
          <w:i w:val="0"/>
        </w:rPr>
        <w:t>.</w:t>
      </w:r>
    </w:p>
    <w:p>
      <w:pPr>
        <w:keepNext/>
        <w:widowControl/>
      </w:pPr>
      <w:r>
        <w:rPr>
          <w:b/>
          <w:i w:val="0"/>
        </w:rPr>
        <w:t>The word.</w:t>
      </w:r>
    </w:p>
    <w:p>
      <w:pPr>
        <w:widowControl/>
      </w:pPr>
      <w:r>
        <w:rPr>
          <w:b w:val="0"/>
          <w:i/>
        </w:rPr>
        <w:t>Fons</w:t>
      </w:r>
      <w:r>
        <w:rPr>
          <w:b w:val="0"/>
          <w:i w:val="0"/>
        </w:rPr>
        <w:t xml:space="preserve"> is a spring or source. </w:t>
      </w:r>
      <w:r>
        <w:rPr>
          <w:b w:val="0"/>
          <w:i/>
        </w:rPr>
        <w:t>Gremium</w:t>
      </w:r>
      <w:r>
        <w:rPr>
          <w:b w:val="0"/>
          <w:i w:val="0"/>
        </w:rPr>
        <w:t xml:space="preserve"> can be a lap, bosom or enclosing womb; the supplied translation uses </w:t>
      </w:r>
      <w:r>
        <w:t>“</w:t>
      </w:r>
      <w:r>
        <w:rPr>
          <w:b w:val="0"/>
          <w:i w:val="0"/>
        </w:rPr>
        <w:t>womb</w:t>
      </w:r>
      <w:r>
        <w:t>”</w:t>
      </w:r>
      <w:r>
        <w:rPr>
          <w:b w:val="0"/>
          <w:i w:val="0"/>
        </w:rPr>
        <w:t xml:space="preserve"> for matter. </w:t>
      </w:r>
      <w:r>
        <w:rPr>
          <w:b w:val="0"/>
          <w:i/>
        </w:rPr>
        <w:t>Proles</w:t>
      </w:r>
      <w:r>
        <w:rPr>
          <w:b w:val="0"/>
          <w:i w:val="0"/>
        </w:rPr>
        <w:t xml:space="preserve"> is offspring. </w:t>
      </w:r>
      <w:r>
        <w:rPr>
          <w:b w:val="0"/>
          <w:i/>
        </w:rPr>
        <w:t>Haurire</w:t>
      </w:r>
      <w:r>
        <w:rPr>
          <w:b w:val="0"/>
          <w:i w:val="0"/>
        </w:rPr>
        <w:t xml:space="preserve"> draws or drinks in; </w:t>
      </w:r>
      <w:r>
        <w:rPr>
          <w:b w:val="0"/>
          <w:i/>
        </w:rPr>
        <w:t>infundere</w:t>
      </w:r>
      <w:r>
        <w:rPr>
          <w:b w:val="0"/>
          <w:i w:val="0"/>
        </w:rPr>
        <w:t xml:space="preserve"> pours into. Ficino’s productive and receptive images shift between generation and flowing liquid.</w:t>
      </w:r>
    </w:p>
    <w:p>
      <w:pPr>
        <w:keepNext/>
        <w:widowControl/>
      </w:pPr>
      <w:r>
        <w:rPr>
          <w:b/>
          <w:i w:val="0"/>
        </w:rPr>
        <w:t>In the Platonic Theology.</w:t>
      </w:r>
    </w:p>
    <w:p>
      <w:pPr>
        <w:widowControl/>
      </w:pPr>
      <w:r>
        <w:rPr>
          <w:b w:val="0"/>
          <w:i w:val="0"/>
        </w:rPr>
        <w:t xml:space="preserve">Matter cannot supply form from itself: if it essentially possessed a sufficient productive power, it would be a fountain of forms rather than their substrate. Qualities, which exist in another, produce offspring no freer than themselves, in matter’s womb; a cause independent of that substrate is needed to make and preserve matter itself. The third essence is subsequently a fountain of changing qualities. At the end of Book I, mind </w:t>
      </w:r>
      <w:r>
        <w:t>“</w:t>
      </w:r>
      <w:r>
        <w:rPr>
          <w:b w:val="0"/>
          <w:i w:val="0"/>
        </w:rPr>
        <w:t>draws</w:t>
      </w:r>
      <w:r>
        <w:t>”</w:t>
      </w:r>
      <w:r>
        <w:rPr>
          <w:b w:val="0"/>
          <w:i w:val="0"/>
        </w:rPr>
        <w:t xml:space="preserve"> goodness from elsewhere, and the Good pours the liquor of its perfection into mind. These images give direction to dependency: source gives, recipient receives. They do not turn a non-bodily cause into a liquid or imply that it loses a divisible portion whenever something receives its perfection. The local metaphors also differ: biological generation explains a limitation inherited by an effect, whereas the fountain comparison stresses a superior productive source.</w:t>
      </w:r>
    </w:p>
    <w:p>
      <w:pPr>
        <w:keepNext/>
        <w:widowControl/>
      </w:pPr>
      <w:r>
        <w:rPr>
          <w:b/>
          <w:i w:val="0"/>
        </w:rPr>
        <w:t>The places.</w:t>
      </w:r>
    </w:p>
    <w:p>
      <w:pPr>
        <w:ind w:left="187" w:hanging="187"/>
      </w:pPr>
      <w:r>
        <w:t xml:space="preserve">• </w:t>
      </w:r>
      <w:r>
        <w:rPr>
          <w:b/>
          <w:i w:val="0"/>
        </w:rPr>
        <w:t>I.3.6, PDF 32–33.</w:t>
      </w:r>
      <w:r>
        <w:rPr>
          <w:b w:val="0"/>
          <w:i w:val="0"/>
        </w:rPr>
        <w:t xml:space="preserve"> Being a source of forms would contradict the role assigned to prime matter</w:t>
      </w:r>
    </w:p>
    <w:p>
      <w:pPr>
        <w:ind w:left="187" w:hanging="187"/>
      </w:pPr>
      <w:r>
        <w:t xml:space="preserve">• </w:t>
      </w:r>
      <w:r>
        <w:rPr>
          <w:b/>
          <w:i w:val="0"/>
        </w:rPr>
        <w:t>I.3.18, PDF 40–41.</w:t>
      </w:r>
      <w:r>
        <w:rPr>
          <w:b w:val="0"/>
          <w:i w:val="0"/>
        </w:rPr>
        <w:t xml:space="preserve"> Offspring in matter contrasts with the independent source of matter itself</w:t>
      </w:r>
    </w:p>
    <w:p>
      <w:pPr>
        <w:ind w:left="187" w:hanging="187"/>
      </w:pPr>
      <w:r>
        <w:t xml:space="preserve">• </w:t>
      </w:r>
      <w:r>
        <w:rPr>
          <w:b/>
          <w:i w:val="0"/>
        </w:rPr>
        <w:t>I.4.1, PDF 54–55.</w:t>
      </w:r>
      <w:r>
        <w:rPr>
          <w:b w:val="0"/>
          <w:i w:val="0"/>
        </w:rPr>
        <w:t xml:space="preserve"> Soul’s level is a source of flowing qualities</w:t>
      </w:r>
    </w:p>
    <w:p>
      <w:pPr>
        <w:ind w:left="187" w:hanging="187"/>
      </w:pPr>
      <w:r>
        <w:t xml:space="preserve">• </w:t>
      </w:r>
      <w:r>
        <w:rPr>
          <w:b/>
          <w:i w:val="0"/>
        </w:rPr>
        <w:t>I.6.17, PDF 92–93.</w:t>
      </w:r>
      <w:r>
        <w:rPr>
          <w:b w:val="0"/>
          <w:i w:val="0"/>
        </w:rPr>
        <w:t xml:space="preserve"> Mind’s reception of goodness is figured as drawing and being filled</w:t>
      </w:r>
    </w:p>
    <w:p>
      <w:pPr>
        <w:keepNext/>
        <w:widowControl/>
      </w:pPr>
      <w:r>
        <w:rPr>
          <w:b/>
          <w:i w:val="0"/>
        </w:rPr>
        <w:t>In this edition.</w:t>
      </w:r>
    </w:p>
    <w:p>
      <w:pPr>
        <w:widowControl/>
      </w:pPr>
      <w:r>
        <w:t>“</w:t>
      </w:r>
      <w:r>
        <w:rPr>
          <w:b w:val="0"/>
          <w:i w:val="0"/>
        </w:rPr>
        <w:t>Womb,</w:t>
      </w:r>
      <w:r>
        <w:t>”</w:t>
      </w:r>
      <w:r>
        <w:rPr>
          <w:b w:val="0"/>
          <w:i w:val="0"/>
        </w:rPr>
        <w:t xml:space="preserve"> </w:t>
      </w:r>
      <w:r>
        <w:t>“</w:t>
      </w:r>
      <w:r>
        <w:rPr>
          <w:b w:val="0"/>
          <w:i w:val="0"/>
        </w:rPr>
        <w:t>offspring,</w:t>
      </w:r>
      <w:r>
        <w:t>”</w:t>
      </w:r>
      <w:r>
        <w:rPr>
          <w:b w:val="0"/>
          <w:i w:val="0"/>
        </w:rPr>
        <w:t xml:space="preserve"> </w:t>
      </w:r>
      <w:r>
        <w:t>“</w:t>
      </w:r>
      <w:r>
        <w:rPr>
          <w:b w:val="0"/>
          <w:i w:val="0"/>
        </w:rPr>
        <w:t>fountain,</w:t>
      </w:r>
      <w:r>
        <w:t>”</w:t>
      </w:r>
      <w:r>
        <w:rPr>
          <w:b w:val="0"/>
          <w:i w:val="0"/>
        </w:rPr>
        <w:t xml:space="preserve"> and </w:t>
      </w:r>
      <w:r>
        <w:t>“</w:t>
      </w:r>
      <w:r>
        <w:rPr>
          <w:b w:val="0"/>
          <w:i w:val="0"/>
        </w:rPr>
        <w:t>liquor</w:t>
      </w:r>
      <w:r>
        <w:t>”</w:t>
      </w:r>
      <w:r>
        <w:rPr>
          <w:b w:val="0"/>
          <w:i w:val="0"/>
        </w:rPr>
        <w:t xml:space="preserve"> preserve changing images rather than one literal mechanism. </w:t>
      </w:r>
      <w:r>
        <w:rPr>
          <w:b w:val="0"/>
          <w:i/>
        </w:rPr>
        <w:t>Ut ita loquar</w:t>
      </w:r>
      <w:r>
        <w:rPr>
          <w:b w:val="0"/>
          <w:i w:val="0"/>
        </w:rPr>
        <w:t xml:space="preserve"> in I.6.14 similarly qualifies </w:t>
      </w:r>
      <w:r>
        <w:t>“</w:t>
      </w:r>
      <w:r>
        <w:rPr>
          <w:b w:val="0"/>
          <w:i w:val="0"/>
        </w:rPr>
        <w:t>seeds</w:t>
      </w:r>
      <w:r>
        <w:t>”</w:t>
      </w:r>
      <w:r>
        <w:rPr>
          <w:b w:val="0"/>
          <w:i w:val="0"/>
        </w:rPr>
        <w:t xml:space="preserve"> of forms latent in matter; it does not identify physical seeds already present there.</w:t>
      </w:r>
    </w:p>
    <w:p>
      <w:pPr>
        <w:keepNext/>
        <w:widowControl/>
      </w:pPr>
      <w:r>
        <w:rPr>
          <w:b/>
          <w:i w:val="0"/>
        </w:rPr>
        <w:t>See also.</w:t>
      </w:r>
    </w:p>
    <w:p>
      <w:pPr>
        <w:widowControl/>
      </w:pPr>
      <w:hyperlink w:anchor="cause">
        <w:r>
          <w:rPr>
            <w:color w:val="000000"/>
          </w:rPr>
          <w:t xml:space="preserve">Cause</w:t>
        </w:r>
      </w:hyperlink>
      <w:r>
        <w:rPr>
          <w:b w:val="0"/>
          <w:i w:val="0"/>
        </w:rPr>
        <w:t xml:space="preserve">; </w:t>
      </w:r>
      <w:hyperlink w:anchor="seeds">
        <w:r>
          <w:rPr>
            <w:color w:val="000000"/>
          </w:rPr>
          <w:t xml:space="preserve">Seeds</w:t>
        </w:r>
      </w:hyperlink>
      <w:r>
        <w:rPr>
          <w:b w:val="0"/>
          <w:i w:val="0"/>
        </w:rPr>
        <w:t xml:space="preserve">; </w:t>
      </w:r>
      <w:hyperlink w:anchor="communication-and-imparting">
        <w:r>
          <w:rPr>
            <w:color w:val="000000"/>
          </w:rPr>
          <w:t xml:space="preserve">Communication and imparting</w:t>
        </w:r>
      </w:hyperlink>
      <w:r>
        <w:rPr>
          <w:b w:val="0"/>
          <w:i w:val="0"/>
        </w:rPr>
        <w:t xml:space="preserve">; </w:t>
      </w:r>
      <w:hyperlink w:anchor="matter">
        <w:r>
          <w:rPr>
            <w:color w:val="000000"/>
          </w:rPr>
          <w:t xml:space="preserve">Matter</w:t>
        </w:r>
      </w:hyperlink>
      <w:r>
        <w:rPr>
          <w:b w:val="0"/>
          <w:i w:val="0"/>
        </w:rPr>
        <w:t>.</w:t>
      </w:r>
    </w:p>
    <w:p>
      <w:bookmarkStart w:id="103" w:name="freedom-and-necessity"/>
      <w:pPr>
        <w:pStyle w:val="Heading2"/>
      </w:pPr>
      <w:r>
        <w:rPr>
          <w:b w:val="0"/>
          <w:i w:val="0"/>
        </w:rPr>
        <w:t>Freedom and necessity</w:t>
      </w:r>
      <w:bookmarkEnd w:id="103"/>
    </w:p>
    <w:p>
      <w:pPr>
        <w:keepNext/>
        <w:widowControl/>
      </w:pPr>
      <w:r>
        <w:rPr>
          <w:b/>
          <w:i w:val="0"/>
        </w:rPr>
        <w:t>Latin:</w:t>
      </w:r>
      <w:r>
        <w:rPr>
          <w:b w:val="0"/>
          <w:i w:val="0"/>
        </w:rPr>
        <w:t xml:space="preserve"> </w:t>
      </w:r>
      <w:r>
        <w:rPr>
          <w:b w:val="0"/>
          <w:i/>
        </w:rPr>
        <w:t>libertas</w:t>
      </w:r>
      <w:r>
        <w:rPr>
          <w:b w:val="0"/>
          <w:i w:val="0"/>
        </w:rPr>
        <w:t xml:space="preserve">; </w:t>
      </w:r>
      <w:r>
        <w:rPr>
          <w:b w:val="0"/>
          <w:i/>
        </w:rPr>
        <w:t>necessitas</w:t>
      </w:r>
      <w:r>
        <w:rPr>
          <w:b w:val="0"/>
          <w:i w:val="0"/>
        </w:rPr>
        <w:t xml:space="preserve">; </w:t>
      </w:r>
      <w:r>
        <w:rPr>
          <w:b w:val="0"/>
          <w:i/>
        </w:rPr>
        <w:t>liber</w:t>
      </w:r>
      <w:r>
        <w:rPr>
          <w:b w:val="0"/>
          <w:i w:val="0"/>
        </w:rPr>
        <w:t xml:space="preserve">; </w:t>
      </w:r>
      <w:r>
        <w:rPr>
          <w:b w:val="0"/>
          <w:i/>
        </w:rPr>
        <w:t>voluntarius</w:t>
      </w:r>
      <w:r>
        <w:rPr>
          <w:b w:val="0"/>
          <w:i w:val="0"/>
        </w:rPr>
        <w:t xml:space="preserve">; </w:t>
      </w:r>
      <w:r>
        <w:rPr>
          <w:b w:val="0"/>
          <w:i/>
        </w:rPr>
        <w:t>nolle</w:t>
      </w:r>
      <w:r>
        <w:rPr>
          <w:b w:val="0"/>
          <w:i w:val="0"/>
        </w:rPr>
        <w:t xml:space="preserve">; </w:t>
      </w:r>
      <w:r>
        <w:rPr>
          <w:b w:val="0"/>
          <w:i/>
        </w:rPr>
        <w:t>velle</w:t>
      </w:r>
      <w:r>
        <w:rPr>
          <w:b w:val="0"/>
          <w:i w:val="0"/>
        </w:rPr>
        <w:t xml:space="preserve">; </w:t>
      </w:r>
      <w:r>
        <w:rPr>
          <w:b w:val="0"/>
          <w:i/>
        </w:rPr>
        <w:t>essendi necessitas</w:t>
      </w:r>
      <w:r>
        <w:rPr>
          <w:b w:val="0"/>
          <w:i w:val="0"/>
        </w:rPr>
        <w:t xml:space="preserve">; </w:t>
      </w:r>
      <w:r>
        <w:rPr>
          <w:b w:val="0"/>
          <w:i/>
        </w:rPr>
        <w:t>necessario per se ipsum</w:t>
      </w:r>
      <w:r>
        <w:rPr>
          <w:b w:val="0"/>
          <w:i w:val="0"/>
        </w:rPr>
        <w:t xml:space="preserve">; </w:t>
      </w:r>
      <w:r>
        <w:rPr>
          <w:b w:val="0"/>
          <w:i/>
        </w:rPr>
        <w:t>per se sufficiens</w:t>
      </w:r>
      <w:r>
        <w:rPr>
          <w:b w:val="0"/>
          <w:i w:val="0"/>
        </w:rPr>
        <w:t xml:space="preserve">; </w:t>
      </w:r>
      <w:r>
        <w:rPr>
          <w:b w:val="0"/>
          <w:i/>
        </w:rPr>
        <w:t>libera voluntas</w:t>
      </w:r>
      <w:r>
        <w:rPr>
          <w:b w:val="0"/>
          <w:i w:val="0"/>
        </w:rPr>
        <w:t xml:space="preserve">; </w:t>
      </w:r>
      <w:r>
        <w:rPr>
          <w:b w:val="0"/>
          <w:i/>
        </w:rPr>
        <w:t>necessitas absoluta</w:t>
      </w:r>
      <w:r>
        <w:rPr>
          <w:b w:val="0"/>
          <w:i w:val="0"/>
        </w:rPr>
        <w:t xml:space="preserve">; </w:t>
      </w:r>
      <w:r>
        <w:rPr>
          <w:b w:val="0"/>
          <w:i/>
        </w:rPr>
        <w:t>conditionali quadam necessitate</w:t>
      </w:r>
      <w:r>
        <w:rPr>
          <w:b w:val="0"/>
          <w:i w:val="0"/>
        </w:rPr>
        <w:t xml:space="preserve">; </w:t>
      </w:r>
      <w:r>
        <w:rPr>
          <w:b w:val="0"/>
          <w:i/>
        </w:rPr>
        <w:t>spontaneus</w:t>
      </w:r>
      <w:r>
        <w:rPr>
          <w:b w:val="0"/>
          <w:i w:val="0"/>
        </w:rPr>
        <w:t xml:space="preserve">; </w:t>
      </w:r>
      <w:r>
        <w:rPr>
          <w:b w:val="0"/>
          <w:i/>
        </w:rPr>
        <w:t>sui iuris</w:t>
      </w:r>
    </w:p>
    <w:p>
      <w:pPr>
        <w:keepNext/>
        <w:widowControl/>
      </w:pPr>
      <w:r>
        <w:rPr>
          <w:b/>
          <w:i w:val="0"/>
        </w:rPr>
        <w:t>The word.</w:t>
      </w:r>
    </w:p>
    <w:p>
      <w:pPr>
        <w:widowControl/>
      </w:pPr>
      <w:r>
        <w:rPr>
          <w:b w:val="0"/>
          <w:i w:val="0"/>
        </w:rPr>
        <w:t>Libertas is freedom; necessitas can be underived necessity, conditional necessity or imposed compulsion according to context. Voluntarius concerns willing acceptance, and liber can also describe release from bodily constraint.</w:t>
      </w:r>
    </w:p>
    <w:p>
      <w:pPr>
        <w:keepNext/>
        <w:widowControl/>
      </w:pPr>
      <w:r>
        <w:rPr>
          <w:b/>
          <w:i w:val="0"/>
        </w:rPr>
        <w:t>In the Platonic Theology.</w:t>
      </w:r>
    </w:p>
    <w:p>
      <w:pPr>
        <w:widowControl/>
      </w:pPr>
      <w:r>
        <w:rPr>
          <w:b w:val="0"/>
          <w:i w:val="0"/>
        </w:rPr>
        <w:t xml:space="preserve">Ficino joins necessity and freedom rather than defining every necessity as compulsion. God’s necessity of being means that he exists through himself and cannot fail to be; it is not imposed by a superior power. Things unable to determine themselves to being rather than nonbeing require such a source. A dependent incorporeal being would still need another cause, while a composite first being would depend upon its parts and their unifier and be exposed to dissolution. Supreme necessity therefore belongs to the simple divine being alone. An angel’s received existence is not that underived necessity. The name </w:t>
      </w:r>
      <w:r>
        <w:t>‘</w:t>
      </w:r>
      <w:r>
        <w:rPr>
          <w:b w:val="0"/>
          <w:i w:val="0"/>
        </w:rPr>
        <w:t>necessity</w:t>
      </w:r>
      <w:r>
        <w:t>’</w:t>
      </w:r>
      <w:r>
        <w:rPr>
          <w:b w:val="0"/>
          <w:i w:val="0"/>
        </w:rPr>
        <w:t xml:space="preserve"> attributed to Orpheus acquires its local force from this argument.</w:t>
      </w:r>
    </w:p>
    <w:p>
      <w:pPr>
        <w:widowControl/>
      </w:pPr>
      <w:r>
        <w:rPr>
          <w:b w:val="0"/>
          <w:i w:val="0"/>
        </w:rPr>
        <w:t>God’s will is likewise necessary and free. Being, understanding, and willing are identical in God; in creatures, willing depends on understanding, understanding upon the creature’s condition, and that condition upon a giver of being. God necessarily wills the perfect goodness that he is. An ability to abandon it for something worse would be deficiency rather than greater freedom. With no external necessity standing above him, this necessity coincides with complete self-possession. The end of Book I offers a related account of desire: nothing is more necessary or more voluntary than seeking good as good. This does not make every particular choice morally correct.</w:t>
      </w:r>
    </w:p>
    <w:p>
      <w:pPr>
        <w:widowControl/>
      </w:pPr>
      <w:r>
        <w:rPr>
          <w:b w:val="0"/>
          <w:i w:val="0"/>
        </w:rPr>
        <w:t>Necessary self-willing differs from necessity toward created effects. Divine goodness requires no creature, and innumerably many possible images of goodness remain uncreated; the actual world does not exhaust God’s capacity. In a distinction expressly attributed to Thomas Aquinas, Ficino admits conditional necessity once God wills an effect, because the will is immutable, while denying that effects are absolutely necessary as God himself is. Contingent effects can therefore belong to providence through their appropriate created causes.</w:t>
      </w:r>
    </w:p>
    <w:p>
      <w:pPr>
        <w:widowControl/>
      </w:pPr>
      <w:r>
        <w:rPr>
          <w:b w:val="0"/>
          <w:i w:val="0"/>
        </w:rPr>
        <w:t xml:space="preserve">Human souls necessarily seek goodness as the adequate object of appetite, yet retain free judgment among particular goods and means. Foreknowledge concerns both an action and its voluntary mode; Ficino argues that the necessity conditional on what God knows confirms that mode rather than replacing it with coercion. This is the text’s proposed reconciliation, distinct from a claim that every event is mechanically forced. </w:t>
      </w:r>
      <w:r>
        <w:t>‘</w:t>
      </w:r>
      <w:r>
        <w:rPr>
          <w:b w:val="0"/>
          <w:i w:val="0"/>
        </w:rPr>
        <w:t>Free</w:t>
      </w:r>
      <w:r>
        <w:t>’</w:t>
      </w:r>
      <w:r>
        <w:rPr>
          <w:b w:val="0"/>
          <w:i w:val="0"/>
        </w:rPr>
        <w:t xml:space="preserve"> also has ontological uses: a mind can be free or absolute insofar as it is not contracted to an embodied soul’s capacity or dependent on bodily movement. Intrinsic necessity, external compulsion, conditional necessity, rational selection, and release from material constraint consequently require separate attention.</w:t>
      </w:r>
    </w:p>
    <w:p>
      <w:pPr>
        <w:keepNext/>
        <w:widowControl/>
      </w:pPr>
      <w:r>
        <w:rPr>
          <w:b/>
          <w:i w:val="0"/>
        </w:rPr>
        <w:t>The places.</w:t>
      </w:r>
    </w:p>
    <w:p>
      <w:pPr>
        <w:ind w:left="187" w:hanging="187"/>
      </w:pPr>
      <w:r>
        <w:t xml:space="preserve">• </w:t>
      </w:r>
      <w:r>
        <w:rPr>
          <w:b/>
          <w:i w:val="0"/>
        </w:rPr>
        <w:t>I.6.19, PDF 94–95</w:t>
      </w:r>
      <w:r>
        <w:rPr>
          <w:b w:val="0"/>
          <w:i w:val="0"/>
        </w:rPr>
        <w:t>. Necessity and voluntary acceptance meet in desire for the Good as Good.</w:t>
      </w:r>
    </w:p>
    <w:p>
      <w:pPr>
        <w:ind w:left="187" w:hanging="187"/>
      </w:pPr>
      <w:r>
        <w:t xml:space="preserve">• </w:t>
      </w:r>
      <w:r>
        <w:rPr>
          <w:b/>
          <w:i w:val="0"/>
        </w:rPr>
        <w:t>II.12.3, PDF 202–203</w:t>
      </w:r>
      <w:r>
        <w:rPr>
          <w:b w:val="0"/>
          <w:i w:val="0"/>
        </w:rPr>
        <w:t>. No necessity above divine necessity is the stated ground of supreme freedom.</w:t>
      </w:r>
    </w:p>
    <w:p>
      <w:pPr>
        <w:ind w:left="187" w:hanging="187"/>
      </w:pPr>
      <w:r>
        <w:t xml:space="preserve">• </w:t>
      </w:r>
      <w:r>
        <w:rPr>
          <w:b/>
          <w:i w:val="0"/>
        </w:rPr>
        <w:t>II.12.15, PDF 210–211</w:t>
      </w:r>
      <w:r>
        <w:rPr>
          <w:b w:val="0"/>
          <w:i w:val="0"/>
        </w:rPr>
        <w:t>. Necessary divine self-willing differs from conditional necessity toward a willed effect.</w:t>
      </w:r>
    </w:p>
    <w:p>
      <w:pPr>
        <w:ind w:left="187" w:hanging="187"/>
      </w:pPr>
      <w:r>
        <w:t xml:space="preserve">• </w:t>
      </w:r>
      <w:r>
        <w:rPr>
          <w:b/>
          <w:i w:val="0"/>
        </w:rPr>
        <w:t>II.13.25–30, PDF 234–237</w:t>
      </w:r>
      <w:r>
        <w:rPr>
          <w:b w:val="0"/>
          <w:i w:val="0"/>
        </w:rPr>
        <w:t>. Foreknown voluntary action and free judgement are preserved within providence.</w:t>
      </w:r>
    </w:p>
    <w:p>
      <w:pPr>
        <w:widowControl/>
      </w:pPr>
      <w:r>
        <w:rPr>
          <w:b/>
          <w:i w:val="0"/>
        </w:rPr>
        <w:t>Further passage references.</w:t>
      </w:r>
      <w:r>
        <w:rPr>
          <w:b w:val="0"/>
          <w:i w:val="0"/>
        </w:rPr>
        <w:t xml:space="preserve"> I.5.14, I.5.17 (PDF pp. 68–69, 72–73); I.6.17–I.6.19 (pp. 92–95); II.2.3, pp. 104–105; II.5.1, pp. 126–127; II.7.8–16, pp. 146–151; II.12.1–21, PDF 202–215; II.13.24–30, PDF 232–237</w:t>
      </w:r>
    </w:p>
    <w:p>
      <w:pPr>
        <w:keepNext/>
        <w:widowControl/>
      </w:pPr>
      <w:r>
        <w:rPr>
          <w:b/>
          <w:i w:val="0"/>
        </w:rPr>
        <w:t>In this edition.</w:t>
      </w:r>
    </w:p>
    <w:p>
      <w:pPr>
        <w:widowControl/>
      </w:pPr>
      <w:r>
        <w:rPr>
          <w:b w:val="0"/>
          <w:i w:val="0"/>
        </w:rPr>
        <w:t xml:space="preserve">Keep </w:t>
      </w:r>
      <w:r>
        <w:t>“</w:t>
      </w:r>
      <w:r>
        <w:rPr>
          <w:b w:val="0"/>
          <w:i w:val="0"/>
        </w:rPr>
        <w:t>absolute</w:t>
      </w:r>
      <w:r>
        <w:t>”</w:t>
      </w:r>
      <w:r>
        <w:rPr>
          <w:b w:val="0"/>
          <w:i w:val="0"/>
        </w:rPr>
        <w:t xml:space="preserve"> and </w:t>
      </w:r>
      <w:r>
        <w:t>“</w:t>
      </w:r>
      <w:r>
        <w:rPr>
          <w:b w:val="0"/>
          <w:i w:val="0"/>
        </w:rPr>
        <w:t>conditional</w:t>
      </w:r>
      <w:r>
        <w:t>”</w:t>
      </w:r>
      <w:r>
        <w:rPr>
          <w:b w:val="0"/>
          <w:i w:val="0"/>
        </w:rPr>
        <w:t xml:space="preserve"> with necessity in II.12.15, where the distinction is attributed to Thomas Aquinas. The double negative non posse nolle in I.6.19 is meaningful: the will welcomes its inescapable orientation to good, without every particular option becoming compulsory.</w:t>
      </w:r>
    </w:p>
    <w:p>
      <w:pPr>
        <w:keepNext/>
        <w:widowControl/>
      </w:pPr>
      <w:r>
        <w:rPr>
          <w:b/>
          <w:i w:val="0"/>
        </w:rPr>
        <w:t>See also.</w:t>
      </w:r>
    </w:p>
    <w:p>
      <w:pPr>
        <w:widowControl/>
      </w:pPr>
      <w:hyperlink w:anchor="good-and-goodness">
        <w:r>
          <w:rPr>
            <w:color w:val="000000"/>
          </w:rPr>
          <w:t xml:space="preserve">Good and goodness</w:t>
        </w:r>
      </w:hyperlink>
      <w:r>
        <w:rPr>
          <w:b w:val="0"/>
          <w:i w:val="0"/>
        </w:rPr>
        <w:t xml:space="preserve">; </w:t>
      </w:r>
      <w:hyperlink w:anchor="appetite-and-desire">
        <w:r>
          <w:rPr>
            <w:color w:val="000000"/>
          </w:rPr>
          <w:t xml:space="preserve">Appetite and desire</w:t>
        </w:r>
      </w:hyperlink>
      <w:r>
        <w:rPr>
          <w:b w:val="0"/>
          <w:i w:val="0"/>
        </w:rPr>
        <w:t xml:space="preserve">; </w:t>
      </w:r>
      <w:hyperlink w:anchor="will">
        <w:r>
          <w:rPr>
            <w:color w:val="000000"/>
          </w:rPr>
          <w:t xml:space="preserve">Will</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being">
        <w:r>
          <w:rPr>
            <w:color w:val="000000"/>
          </w:rPr>
          <w:t xml:space="preserve">Being</w:t>
        </w:r>
      </w:hyperlink>
      <w:r>
        <w:rPr>
          <w:b w:val="0"/>
          <w:i w:val="0"/>
        </w:rPr>
        <w:t xml:space="preserve">; </w:t>
      </w:r>
      <w:hyperlink w:anchor="cause">
        <w:r>
          <w:rPr>
            <w:color w:val="000000"/>
          </w:rPr>
          <w:t xml:space="preserve">Cause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god">
        <w:r>
          <w:rPr>
            <w:color w:val="000000"/>
          </w:rPr>
          <w:t xml:space="preserve">God</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contingency">
        <w:r>
          <w:rPr>
            <w:color w:val="000000"/>
          </w:rPr>
          <w:t xml:space="preserve">Contingency</w:t>
        </w:r>
      </w:hyperlink>
      <w:r>
        <w:rPr>
          <w:b w:val="0"/>
          <w:i w:val="0"/>
        </w:rPr>
        <w:t xml:space="preserve">; </w:t>
      </w:r>
      <w:hyperlink w:anchor="end-and-limit">
        <w:r>
          <w:rPr>
            <w:color w:val="000000"/>
          </w:rPr>
          <w:t xml:space="preserve">End and limit</w:t>
        </w:r>
      </w:hyperlink>
    </w:p>
    <w:p>
      <w:bookmarkStart w:id="104" w:name="generation-and-corruption"/>
      <w:pPr>
        <w:pStyle w:val="Heading2"/>
      </w:pPr>
      <w:r>
        <w:rPr>
          <w:b w:val="0"/>
          <w:i w:val="0"/>
        </w:rPr>
        <w:t>Generation and corruption</w:t>
      </w:r>
      <w:bookmarkEnd w:id="104"/>
    </w:p>
    <w:p>
      <w:pPr>
        <w:keepNext/>
        <w:widowControl/>
      </w:pPr>
      <w:r>
        <w:rPr>
          <w:b/>
          <w:i w:val="0"/>
        </w:rPr>
        <w:t>Latin:</w:t>
      </w:r>
      <w:r>
        <w:rPr>
          <w:b w:val="0"/>
          <w:i w:val="0"/>
        </w:rPr>
        <w:t xml:space="preserve"> </w:t>
      </w:r>
      <w:r>
        <w:rPr>
          <w:b w:val="0"/>
          <w:i/>
        </w:rPr>
        <w:t>generatio</w:t>
      </w:r>
      <w:r>
        <w:rPr>
          <w:b w:val="0"/>
          <w:i w:val="0"/>
        </w:rPr>
        <w:t xml:space="preserve">; </w:t>
      </w:r>
      <w:r>
        <w:rPr>
          <w:b w:val="0"/>
          <w:i/>
        </w:rPr>
        <w:t>corruptio</w:t>
      </w:r>
      <w:r>
        <w:rPr>
          <w:b w:val="0"/>
          <w:i w:val="0"/>
        </w:rPr>
        <w:t xml:space="preserve">; </w:t>
      </w:r>
      <w:r>
        <w:rPr>
          <w:b w:val="0"/>
          <w:i/>
        </w:rPr>
        <w:t>generare</w:t>
      </w:r>
      <w:r>
        <w:rPr>
          <w:b w:val="0"/>
          <w:i w:val="0"/>
        </w:rPr>
        <w:t xml:space="preserve">; </w:t>
      </w:r>
      <w:r>
        <w:rPr>
          <w:b w:val="0"/>
          <w:i/>
        </w:rPr>
        <w:t>gignere</w:t>
      </w:r>
      <w:r>
        <w:rPr>
          <w:b w:val="0"/>
          <w:i w:val="0"/>
        </w:rPr>
        <w:t xml:space="preserve">; </w:t>
      </w:r>
      <w:r>
        <w:rPr>
          <w:b w:val="0"/>
          <w:i/>
        </w:rPr>
        <w:t>corrumpere</w:t>
      </w:r>
      <w:r>
        <w:rPr>
          <w:b w:val="0"/>
          <w:i w:val="0"/>
        </w:rPr>
        <w:t xml:space="preserve">; </w:t>
      </w:r>
      <w:r>
        <w:rPr>
          <w:b w:val="0"/>
          <w:i/>
        </w:rPr>
        <w:t>oriri</w:t>
      </w:r>
      <w:r>
        <w:rPr>
          <w:b w:val="0"/>
          <w:i w:val="0"/>
        </w:rPr>
        <w:t xml:space="preserve">; </w:t>
      </w:r>
      <w:r>
        <w:rPr>
          <w:b w:val="0"/>
          <w:i/>
        </w:rPr>
        <w:t>perire</w:t>
      </w:r>
      <w:r>
        <w:rPr>
          <w:b w:val="0"/>
          <w:i w:val="0"/>
        </w:rPr>
        <w:t xml:space="preserve">; </w:t>
      </w:r>
      <w:r>
        <w:rPr>
          <w:b w:val="0"/>
          <w:i/>
        </w:rPr>
        <w:t>creare</w:t>
      </w:r>
      <w:r>
        <w:rPr>
          <w:b w:val="0"/>
          <w:i w:val="0"/>
        </w:rPr>
        <w:t xml:space="preserve">; </w:t>
      </w:r>
      <w:r>
        <w:rPr>
          <w:b w:val="0"/>
          <w:i/>
        </w:rPr>
        <w:t>creatio</w:t>
      </w:r>
      <w:r>
        <w:rPr>
          <w:b w:val="0"/>
          <w:i w:val="0"/>
        </w:rPr>
        <w:t xml:space="preserve">; </w:t>
      </w:r>
      <w:r>
        <w:rPr>
          <w:b w:val="0"/>
          <w:i/>
        </w:rPr>
        <w:t>procreare</w:t>
      </w:r>
      <w:r>
        <w:rPr>
          <w:b w:val="0"/>
          <w:i w:val="0"/>
        </w:rPr>
        <w:t xml:space="preserve">; </w:t>
      </w:r>
      <w:r>
        <w:rPr>
          <w:b w:val="0"/>
          <w:i/>
        </w:rPr>
        <w:t>gignit</w:t>
      </w:r>
      <w:r>
        <w:rPr>
          <w:b w:val="0"/>
          <w:i w:val="0"/>
        </w:rPr>
        <w:t xml:space="preserve">; </w:t>
      </w:r>
      <w:r>
        <w:rPr>
          <w:b w:val="0"/>
          <w:i/>
        </w:rPr>
        <w:t>genitum</w:t>
      </w:r>
      <w:r>
        <w:rPr>
          <w:b w:val="0"/>
          <w:i w:val="0"/>
        </w:rPr>
        <w:t xml:space="preserve">; </w:t>
      </w:r>
      <w:r>
        <w:rPr>
          <w:b w:val="0"/>
          <w:i/>
        </w:rPr>
        <w:t>actus intra se manens</w:t>
      </w:r>
      <w:r>
        <w:rPr>
          <w:b w:val="0"/>
          <w:i w:val="0"/>
        </w:rPr>
        <w:t xml:space="preserve">; </w:t>
      </w:r>
      <w:r>
        <w:rPr>
          <w:b w:val="0"/>
          <w:i/>
        </w:rPr>
        <w:t>nutritio</w:t>
      </w:r>
      <w:r>
        <w:rPr>
          <w:b w:val="0"/>
          <w:i w:val="0"/>
        </w:rPr>
        <w:t xml:space="preserve">; </w:t>
      </w:r>
      <w:r>
        <w:rPr>
          <w:b w:val="0"/>
          <w:i/>
        </w:rPr>
        <w:t>augmentum</w:t>
      </w:r>
      <w:r>
        <w:rPr>
          <w:b w:val="0"/>
          <w:i w:val="0"/>
        </w:rPr>
        <w:t xml:space="preserve">; </w:t>
      </w:r>
      <w:r>
        <w:rPr>
          <w:b w:val="0"/>
          <w:i/>
        </w:rPr>
        <w:t>putrefactio</w:t>
      </w:r>
      <w:r>
        <w:rPr>
          <w:b w:val="0"/>
          <w:i w:val="0"/>
        </w:rPr>
        <w:t xml:space="preserve">; </w:t>
      </w:r>
      <w:r>
        <w:rPr>
          <w:b w:val="0"/>
          <w:i/>
        </w:rPr>
        <w:t>sola putrefactione</w:t>
      </w:r>
    </w:p>
    <w:p>
      <w:pPr>
        <w:keepNext/>
        <w:widowControl/>
      </w:pPr>
      <w:r>
        <w:rPr>
          <w:b/>
          <w:i w:val="0"/>
        </w:rPr>
        <w:t>The word.</w:t>
      </w:r>
    </w:p>
    <w:p>
      <w:pPr>
        <w:widowControl/>
      </w:pPr>
      <w:r>
        <w:rPr>
          <w:b w:val="0"/>
          <w:i w:val="0"/>
        </w:rPr>
        <w:t>Generatio and corruptio mean coming into being and passing away, not only reproduction and moral decay. Gignere, generare and procreare produce; oriri arises and perire perishes. Divine inward generation is a further, qualified use.</w:t>
      </w:r>
    </w:p>
    <w:p>
      <w:pPr>
        <w:keepNext/>
        <w:widowControl/>
      </w:pPr>
      <w:r>
        <w:rPr>
          <w:b/>
          <w:i w:val="0"/>
        </w:rPr>
        <w:t>In the Platonic Theology.</w:t>
      </w:r>
    </w:p>
    <w:p>
      <w:pPr>
        <w:widowControl/>
      </w:pPr>
      <w:r>
        <w:rPr>
          <w:b w:val="0"/>
          <w:i w:val="0"/>
        </w:rPr>
        <w:t>Generation and corruption are coming into being and passing away, not only reproduction and moral decay. They mark the instability of qualities: a quality’s essence arises and perishes, its strength changes, and its operation occurs through time. A particular fire can produce another without being the first sufficient cause of the whole kind. Regular succession therefore leads Ficino toward a stable higher source. Nutrition and growth exemplify production more broadly: new parts must arise, and nonliving food becomes living form through an ordered power exceeding simple fiery heat.</w:t>
      </w:r>
    </w:p>
    <w:p>
      <w:pPr>
        <w:widowControl/>
      </w:pPr>
      <w:r>
        <w:rPr>
          <w:b w:val="0"/>
          <w:i w:val="0"/>
        </w:rPr>
        <w:t xml:space="preserve">Book IV extends this argument to the earth and water. Ficino reports organisms arising from putrefaction without visible bodily seeds, while also recognizing ordinary propagation. Apparent growth in stones belongs to the same inherited natural account. These claims motivate a search for living incorporeal sources rather than a denial of causation. </w:t>
      </w:r>
      <w:r>
        <w:t>‘</w:t>
      </w:r>
      <w:r>
        <w:rPr>
          <w:b w:val="0"/>
          <w:i w:val="0"/>
        </w:rPr>
        <w:t>Without bodily seed</w:t>
      </w:r>
      <w:r>
        <w:t>’</w:t>
      </w:r>
      <w:r>
        <w:rPr>
          <w:b w:val="0"/>
          <w:i w:val="0"/>
        </w:rPr>
        <w:t xml:space="preserve"> means that spiritual life-giving seeds must produce directly or foster physical seeds left by organisms. The distinction is between visible propagation, unseen productive principles, and the requirement that determinate effects have determinate causes. The examples of spontaneous generation are part of Ficino’s historical theory, not established modern biological observations.</w:t>
      </w:r>
    </w:p>
    <w:p>
      <w:pPr>
        <w:widowControl/>
      </w:pPr>
      <w:r>
        <w:rPr>
          <w:b w:val="0"/>
          <w:i w:val="0"/>
        </w:rPr>
        <w:t>Divine creation differs from ordinary generation because it depends on no preexisting matter, instrument, or time. A father generates from matter received from elsewhere, and an artisan shapes available material, whereas God produces material as well as form. This total causality also supports Ficino’s account of God’s love and preservation of his whole work.</w:t>
      </w:r>
    </w:p>
    <w:p>
      <w:pPr>
        <w:widowControl/>
      </w:pPr>
      <w:r>
        <w:rPr>
          <w:b w:val="0"/>
          <w:i w:val="0"/>
        </w:rPr>
        <w:t xml:space="preserve">A separate use concerns divine inward production. Reporting an interpretation associated with Plotinus, Ficino describes an infinitely fruitful act, an infinite product, and God in some sense begetting or establishing himself. This does not describe God beginning to exist at a date. Ficino immediately reserves judgment to God and affirms only what is worthy of him. Inward divine generation consequently cannot simply be equated with external creation. Similarly, the angel’s receiving existence and illumination in an ordered </w:t>
      </w:r>
      <w:r>
        <w:t>‘</w:t>
      </w:r>
      <w:r>
        <w:rPr>
          <w:b w:val="0"/>
          <w:i w:val="0"/>
        </w:rPr>
        <w:t>first</w:t>
      </w:r>
      <w:r>
        <w:t>’</w:t>
      </w:r>
      <w:r>
        <w:rPr>
          <w:b w:val="0"/>
          <w:i w:val="0"/>
        </w:rPr>
        <w:t xml:space="preserve"> and </w:t>
      </w:r>
      <w:r>
        <w:t>‘</w:t>
      </w:r>
      <w:r>
        <w:rPr>
          <w:b w:val="0"/>
          <w:i w:val="0"/>
        </w:rPr>
        <w:t>after</w:t>
      </w:r>
      <w:r>
        <w:t>’</w:t>
      </w:r>
      <w:r>
        <w:rPr>
          <w:b w:val="0"/>
          <w:i w:val="0"/>
        </w:rPr>
        <w:t xml:space="preserve"> is explicitly qualified as priority in a certain sense, rather than straightforward temporal development.</w:t>
      </w:r>
    </w:p>
    <w:p>
      <w:pPr>
        <w:keepNext/>
        <w:widowControl/>
      </w:pPr>
      <w:r>
        <w:rPr>
          <w:b/>
          <w:i w:val="0"/>
        </w:rPr>
        <w:t>The places.</w:t>
      </w:r>
    </w:p>
    <w:p>
      <w:pPr>
        <w:ind w:left="187" w:hanging="187"/>
      </w:pPr>
      <w:r>
        <w:t xml:space="preserve">• </w:t>
      </w:r>
      <w:r>
        <w:rPr>
          <w:b/>
          <w:i w:val="0"/>
        </w:rPr>
        <w:t>I.3.5–11, PDF 30–37</w:t>
      </w:r>
      <w:r>
        <w:rPr>
          <w:b w:val="0"/>
          <w:i w:val="0"/>
        </w:rPr>
        <w:t>. Particular producers and qualities depend on a stable higher source of generation.</w:t>
      </w:r>
    </w:p>
    <w:p>
      <w:pPr>
        <w:ind w:left="187" w:hanging="187"/>
      </w:pPr>
      <w:r>
        <w:t xml:space="preserve">• </w:t>
      </w:r>
      <w:r>
        <w:rPr>
          <w:b/>
          <w:i w:val="0"/>
        </w:rPr>
        <w:t>I.3.22–23, PDF 44–45</w:t>
      </w:r>
      <w:r>
        <w:rPr>
          <w:b w:val="0"/>
          <w:i w:val="0"/>
        </w:rPr>
        <w:t>. Alleged spontaneous generation, ignition and digestion distinguish life-giving power from mere heat.</w:t>
      </w:r>
    </w:p>
    <w:p>
      <w:pPr>
        <w:ind w:left="187" w:hanging="187"/>
      </w:pPr>
      <w:r>
        <w:t xml:space="preserve">• </w:t>
      </w:r>
      <w:r>
        <w:rPr>
          <w:b/>
          <w:i w:val="0"/>
        </w:rPr>
        <w:t>II.12.8–11, PDF 206–209</w:t>
      </w:r>
      <w:r>
        <w:rPr>
          <w:b w:val="0"/>
          <w:i w:val="0"/>
        </w:rPr>
        <w:t>. A Plotinian account of inward divine production receives an explicit authorial reservation.</w:t>
      </w:r>
    </w:p>
    <w:p>
      <w:pPr>
        <w:ind w:left="187" w:hanging="187"/>
      </w:pPr>
      <w:r>
        <w:t xml:space="preserve">• </w:t>
      </w:r>
      <w:r>
        <w:rPr>
          <w:b/>
          <w:i w:val="0"/>
        </w:rPr>
        <w:t>IV.1.1–2, IV.1.7, PDF 282–285</w:t>
      </w:r>
      <w:r>
        <w:rPr>
          <w:b w:val="0"/>
          <w:i w:val="0"/>
        </w:rPr>
        <w:t>. Earthly generation and growth motivate earth-soul and determinate seminal causes.</w:t>
      </w:r>
    </w:p>
    <w:p>
      <w:pPr>
        <w:widowControl/>
      </w:pPr>
      <w:r>
        <w:rPr>
          <w:b/>
          <w:i w:val="0"/>
        </w:rPr>
        <w:t>Further passage references.</w:t>
      </w:r>
      <w:r>
        <w:rPr>
          <w:b w:val="0"/>
          <w:i w:val="0"/>
        </w:rPr>
        <w:t xml:space="preserve"> I.3.5–I.3.11, I.3.22–I.3.24 (PDF pp. 30–37, 44–47); I.4.1 (pp. 54–55); I.5.1 (pp. 60–61); II.11.9, 24, 31–38, PDF 186–201; II.12.8–11, PDF 206–209; II.13.2, PDF 216–217; III.1.12, PDF 248–249; IV.1.1–IV.1.2, pp. 282–283; IV.1.7, pp. 284–285; IV.1.14–IV.1.19, pp. 288–291; IV.1.78, pp. 322–323; apparatus pp. 388–389</w:t>
      </w:r>
    </w:p>
    <w:p>
      <w:pPr>
        <w:keepNext/>
        <w:widowControl/>
      </w:pPr>
      <w:r>
        <w:rPr>
          <w:b/>
          <w:i w:val="0"/>
        </w:rPr>
        <w:t>In this edition.</w:t>
      </w:r>
    </w:p>
    <w:p>
      <w:pPr>
        <w:widowControl/>
      </w:pPr>
      <w:r>
        <w:rPr>
          <w:b w:val="0"/>
          <w:i w:val="0"/>
        </w:rPr>
        <w:t xml:space="preserve">Spontaneous-generation and growing-stone examples are historical natural lore. </w:t>
      </w:r>
      <w:r>
        <w:t>“</w:t>
      </w:r>
      <w:r>
        <w:rPr>
          <w:b w:val="0"/>
          <w:i w:val="0"/>
        </w:rPr>
        <w:t>Without bodily seed</w:t>
      </w:r>
      <w:r>
        <w:t>”</w:t>
      </w:r>
      <w:r>
        <w:rPr>
          <w:b w:val="0"/>
          <w:i w:val="0"/>
        </w:rPr>
        <w:t xml:space="preserve"> does not mean without a cause in Ficino’s argument. II.12.8–11’s self-generation language is attributed and explicitly reserved to divine judgement; it is not a dated beginning of God.</w:t>
      </w:r>
    </w:p>
    <w:p>
      <w:pPr>
        <w:keepNext/>
        <w:widowControl/>
      </w:pPr>
      <w:r>
        <w:rPr>
          <w:b/>
          <w:i w:val="0"/>
        </w:rPr>
        <w:t>See also.</w:t>
      </w:r>
    </w:p>
    <w:p>
      <w:pPr>
        <w:widowControl/>
      </w:pPr>
      <w:hyperlink w:anchor="cause">
        <w:r>
          <w:rPr>
            <w:color w:val="000000"/>
          </w:rPr>
          <w:t xml:space="preserve">Cause</w:t>
        </w:r>
      </w:hyperlink>
      <w:r>
        <w:rPr>
          <w:b w:val="0"/>
          <w:i w:val="0"/>
        </w:rPr>
        <w:t xml:space="preserve">; </w:t>
      </w:r>
      <w:hyperlink w:anchor="life">
        <w:r>
          <w:rPr>
            <w:color w:val="000000"/>
          </w:rPr>
          <w:t xml:space="preserve">Life</w:t>
        </w:r>
      </w:hyperlink>
      <w:r>
        <w:rPr>
          <w:b w:val="0"/>
          <w:i w:val="0"/>
        </w:rPr>
        <w:t xml:space="preserve">; </w:t>
      </w:r>
      <w:hyperlink w:anchor="quality">
        <w:r>
          <w:rPr>
            <w:color w:val="000000"/>
          </w:rPr>
          <w:t xml:space="preserve">Quality</w:t>
        </w:r>
      </w:hyperlink>
      <w:r>
        <w:rPr>
          <w:b w:val="0"/>
          <w:i w:val="0"/>
        </w:rPr>
        <w:t xml:space="preserve">; </w:t>
      </w:r>
      <w:hyperlink w:anchor="motion-and-stability">
        <w:r>
          <w:rPr>
            <w:color w:val="000000"/>
          </w:rPr>
          <w:t xml:space="preserve">Motion and stability</w:t>
        </w:r>
      </w:hyperlink>
      <w:r>
        <w:rPr>
          <w:b w:val="0"/>
          <w:i w:val="0"/>
        </w:rPr>
        <w:t xml:space="preserve">; </w:t>
      </w:r>
      <w:hyperlink w:anchor="act-and-operation">
        <w:r>
          <w:rPr>
            <w:color w:val="000000"/>
          </w:rPr>
          <w:t xml:space="preserve">Act and operation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freedom-and-necessity">
        <w:r>
          <w:rPr>
            <w:color w:val="000000"/>
          </w:rPr>
          <w:t xml:space="preserve">Freedom and necessity</w:t>
        </w:r>
      </w:hyperlink>
      <w:r>
        <w:rPr>
          <w:b w:val="0"/>
          <w:i w:val="0"/>
        </w:rPr>
        <w:t xml:space="preserve">; </w:t>
      </w:r>
      <w:hyperlink w:anchor="will">
        <w:r>
          <w:rPr>
            <w:color w:val="000000"/>
          </w:rPr>
          <w:t xml:space="preserve">Will</w:t>
        </w:r>
      </w:hyperlink>
      <w:r>
        <w:rPr>
          <w:b w:val="0"/>
          <w:i w:val="0"/>
        </w:rPr>
        <w:t xml:space="preserve">; </w:t>
      </w:r>
      <w:hyperlink w:anchor="seeds">
        <w:r>
          <w:rPr>
            <w:color w:val="000000"/>
          </w:rPr>
          <w:t xml:space="preserve">Seeds</w:t>
        </w:r>
      </w:hyperlink>
      <w:r>
        <w:rPr>
          <w:b w:val="0"/>
          <w:i w:val="0"/>
        </w:rPr>
        <w:t xml:space="preserve">; </w:t>
      </w:r>
      <w:hyperlink w:anchor="earth-soul">
        <w:r>
          <w:rPr>
            <w:color w:val="000000"/>
          </w:rPr>
          <w:t xml:space="preserve">Earth soul</w:t>
        </w:r>
      </w:hyperlink>
      <w:r>
        <w:rPr>
          <w:b w:val="0"/>
          <w:i w:val="0"/>
        </w:rPr>
        <w:t xml:space="preserve">; </w:t>
      </w:r>
      <w:hyperlink w:anchor="natural-species-and-succession">
        <w:r>
          <w:rPr>
            <w:color w:val="000000"/>
          </w:rPr>
          <w:t xml:space="preserve">Natural species and succession</w:t>
        </w:r>
      </w:hyperlink>
      <w:r>
        <w:rPr>
          <w:b w:val="0"/>
          <w:i w:val="0"/>
        </w:rPr>
        <w:t xml:space="preserve">; </w:t>
      </w:r>
      <w:hyperlink w:anchor="art-and-nature">
        <w:r>
          <w:rPr>
            <w:color w:val="000000"/>
          </w:rPr>
          <w:t xml:space="preserve">Art and nature</w:t>
        </w:r>
      </w:hyperlink>
    </w:p>
    <w:p>
      <w:bookmarkStart w:id="105" w:name="glass-and-colored-radiance"/>
      <w:pPr>
        <w:pStyle w:val="Heading2"/>
      </w:pPr>
      <w:r>
        <w:rPr>
          <w:b w:val="0"/>
          <w:i w:val="0"/>
        </w:rPr>
        <w:t>Glass and colored radiance</w:t>
      </w:r>
      <w:bookmarkEnd w:id="105"/>
    </w:p>
    <w:p>
      <w:pPr>
        <w:keepNext/>
        <w:widowControl/>
      </w:pPr>
      <w:r>
        <w:rPr>
          <w:b/>
          <w:i w:val="0"/>
        </w:rPr>
        <w:t>Latin:</w:t>
      </w:r>
      <w:r>
        <w:rPr>
          <w:b w:val="0"/>
          <w:i w:val="0"/>
        </w:rPr>
        <w:t xml:space="preserve"> fenestras vitreas; rubra; viridis; pavimento; splendores; rubeus; vitrum; se format</w:t>
      </w:r>
    </w:p>
    <w:p>
      <w:pPr>
        <w:keepNext/>
        <w:widowControl/>
      </w:pPr>
      <w:r>
        <w:rPr>
          <w:b/>
          <w:i w:val="0"/>
        </w:rPr>
        <w:t>The word.</w:t>
      </w:r>
    </w:p>
    <w:p>
      <w:pPr>
        <w:widowControl/>
      </w:pPr>
      <w:r>
        <w:rPr>
          <w:b w:val="0"/>
          <w:i w:val="0"/>
        </w:rPr>
        <w:t>Vitrum is glass, vitreus glass-made, fenestra a window, and pavimentum a paved floor. Splendor is radiance or brightness. Rubeus and ruber mark red, viridis green; the variant red forms belong to the same color-description.</w:t>
      </w:r>
    </w:p>
    <w:p>
      <w:pPr>
        <w:keepNext/>
        <w:widowControl/>
      </w:pPr>
      <w:r>
        <w:rPr>
          <w:b/>
          <w:i w:val="0"/>
        </w:rPr>
        <w:t>In the Platonic Theology.</w:t>
      </w:r>
    </w:p>
    <w:p>
      <w:pPr>
        <w:widowControl/>
      </w:pPr>
      <w:r>
        <w:rPr>
          <w:b w:val="0"/>
          <w:i w:val="0"/>
        </w:rPr>
        <w:t>Sunlight passes through two colored windows and produces red and green radiances on the pavement. Both radiances owe their being light to sunlight. Their distinct colors also come from that light, but as passing through one particular glass or the other. The example therefore avoids assigning universal being to God and then treating specific determinations as independent products of other causes.</w:t>
      </w:r>
    </w:p>
    <w:p>
      <w:pPr>
        <w:widowControl/>
      </w:pPr>
      <w:r>
        <w:rPr>
          <w:b w:val="0"/>
          <w:i w:val="0"/>
        </w:rPr>
        <w:t>The immediate claim is that divine power differentiates itself through various intermediaries. The intermediaries matter: their differences shape the manifestation. Yet their contribution remains dependent on the first source. The image illustrates coordinated levels of causation rather than a choice between one cause doing everything and many causes acting autonomously. It is Ficino’s explanatory optical analogy, not a complete account of the physics of color.</w:t>
      </w:r>
    </w:p>
    <w:p>
      <w:pPr>
        <w:keepNext/>
        <w:widowControl/>
      </w:pPr>
      <w:r>
        <w:rPr>
          <w:b/>
          <w:i w:val="0"/>
        </w:rPr>
        <w:t>The places.</w:t>
      </w:r>
    </w:p>
    <w:p>
      <w:pPr>
        <w:ind w:left="187" w:hanging="187"/>
      </w:pPr>
      <w:r>
        <w:t xml:space="preserve">• </w:t>
      </w:r>
      <w:r>
        <w:rPr>
          <w:b w:val="0"/>
          <w:i w:val="0"/>
        </w:rPr>
        <w:t>II.7.30, II.7.31 (PDF pp. 156–159): Narrower agents differentiate universal action; colored windows illustrate how</w:t>
      </w:r>
    </w:p>
    <w:p>
      <w:pPr>
        <w:ind w:left="187" w:hanging="187"/>
      </w:pPr>
      <w:r>
        <w:t xml:space="preserve">• </w:t>
      </w:r>
      <w:r>
        <w:rPr>
          <w:b w:val="0"/>
          <w:i w:val="0"/>
        </w:rPr>
        <w:t>II.7.32 (PDF pp. 158–159): The following conclusion restates the dependence of subordinate powers and traces</w:t>
      </w:r>
    </w:p>
    <w:p>
      <w:pPr>
        <w:keepNext/>
        <w:widowControl/>
      </w:pPr>
      <w:r>
        <w:rPr>
          <w:b/>
          <w:i w:val="0"/>
        </w:rPr>
        <w:t>In this edition.</w:t>
      </w:r>
    </w:p>
    <w:p>
      <w:pPr>
        <w:widowControl/>
      </w:pPr>
      <w:r>
        <w:t>“</w:t>
      </w:r>
      <w:r>
        <w:rPr>
          <w:b w:val="0"/>
          <w:i w:val="0"/>
        </w:rPr>
        <w:t>Radiance</w:t>
      </w:r>
      <w:r>
        <w:t>”</w:t>
      </w:r>
      <w:r>
        <w:rPr>
          <w:b w:val="0"/>
          <w:i w:val="0"/>
        </w:rPr>
        <w:t xml:space="preserve"> renders splendor, while lumen is the light from which it proceeds. Preserve the qualification </w:t>
      </w:r>
      <w:r>
        <w:t>“</w:t>
      </w:r>
      <w:r>
        <w:rPr>
          <w:b w:val="0"/>
          <w:i w:val="0"/>
        </w:rPr>
        <w:t>insofar as</w:t>
      </w:r>
      <w:r>
        <w:t>”</w:t>
      </w:r>
      <w:r>
        <w:rPr>
          <w:b w:val="0"/>
          <w:i w:val="0"/>
        </w:rPr>
        <w:t xml:space="preserve"> the light passes through particular glass; without it the role of the intermediary disappears.</w:t>
      </w:r>
    </w:p>
    <w:p>
      <w:pPr>
        <w:keepNext/>
        <w:widowControl/>
      </w:pPr>
      <w:r>
        <w:rPr>
          <w:b/>
          <w:i w:val="0"/>
        </w:rPr>
        <w:t>See also.</w:t>
      </w:r>
    </w:p>
    <w:p>
      <w:pPr>
        <w:widowControl/>
      </w:pPr>
      <w:hyperlink w:anchor="light-and-illumination">
        <w:r>
          <w:rPr>
            <w:color w:val="000000"/>
          </w:rPr>
          <w:t xml:space="preserve">Light and illumination</w:t>
        </w:r>
      </w:hyperlink>
      <w:r>
        <w:rPr>
          <w:b w:val="0"/>
          <w:i w:val="0"/>
        </w:rPr>
        <w:t xml:space="preserve">; </w:t>
      </w:r>
      <w:hyperlink w:anchor="instrument">
        <w:r>
          <w:rPr>
            <w:color w:val="000000"/>
          </w:rPr>
          <w:t xml:space="preserve">Instrument</w:t>
        </w:r>
      </w:hyperlink>
      <w:r>
        <w:rPr>
          <w:b w:val="0"/>
          <w:i w:val="0"/>
        </w:rPr>
        <w:t xml:space="preserve">; </w:t>
      </w:r>
      <w:hyperlink w:anchor="cause">
        <w:r>
          <w:rPr>
            <w:color w:val="000000"/>
          </w:rPr>
          <w:t xml:space="preserve">Cause</w:t>
        </w:r>
      </w:hyperlink>
      <w:r>
        <w:rPr>
          <w:b w:val="0"/>
          <w:i w:val="0"/>
        </w:rPr>
        <w:t xml:space="preserve">; </w:t>
      </w:r>
      <w:hyperlink w:anchor="common-and-proper">
        <w:r>
          <w:rPr>
            <w:color w:val="000000"/>
          </w:rPr>
          <w:t xml:space="preserve">Common and proper</w:t>
        </w:r>
      </w:hyperlink>
      <w:r>
        <w:rPr>
          <w:b w:val="0"/>
          <w:i w:val="0"/>
        </w:rPr>
        <w:t>.</w:t>
      </w:r>
    </w:p>
    <w:p>
      <w:bookmarkStart w:id="106" w:name="god"/>
      <w:pPr>
        <w:pStyle w:val="Heading2"/>
      </w:pPr>
      <w:r>
        <w:rPr>
          <w:b w:val="0"/>
          <w:i w:val="0"/>
        </w:rPr>
        <w:t>God</w:t>
      </w:r>
      <w:bookmarkEnd w:id="106"/>
    </w:p>
    <w:p>
      <w:pPr>
        <w:keepNext/>
        <w:widowControl/>
      </w:pPr>
      <w:r>
        <w:rPr>
          <w:b/>
          <w:i w:val="0"/>
        </w:rPr>
        <w:t>Latin:</w:t>
      </w:r>
      <w:r>
        <w:rPr>
          <w:b w:val="0"/>
          <w:i w:val="0"/>
        </w:rPr>
        <w:t xml:space="preserve"> </w:t>
      </w:r>
      <w:r>
        <w:rPr>
          <w:b w:val="0"/>
          <w:i/>
        </w:rPr>
        <w:t>Deus</w:t>
      </w:r>
      <w:r>
        <w:rPr>
          <w:b w:val="0"/>
          <w:i w:val="0"/>
        </w:rPr>
        <w:t xml:space="preserve">; </w:t>
      </w:r>
      <w:r>
        <w:rPr>
          <w:b w:val="0"/>
          <w:i/>
        </w:rPr>
        <w:t>creator</w:t>
      </w:r>
      <w:r>
        <w:rPr>
          <w:b w:val="0"/>
          <w:i w:val="0"/>
        </w:rPr>
        <w:t xml:space="preserve">; </w:t>
      </w:r>
      <w:r>
        <w:rPr>
          <w:b w:val="0"/>
          <w:i/>
        </w:rPr>
        <w:t>primum principium</w:t>
      </w:r>
      <w:r>
        <w:rPr>
          <w:b w:val="0"/>
          <w:i w:val="0"/>
        </w:rPr>
        <w:t xml:space="preserve">; </w:t>
      </w:r>
      <w:r>
        <w:rPr>
          <w:b w:val="0"/>
          <w:i/>
        </w:rPr>
        <w:t>immobilis unitas</w:t>
      </w:r>
      <w:r>
        <w:rPr>
          <w:b w:val="0"/>
          <w:i w:val="0"/>
        </w:rPr>
        <w:t xml:space="preserve">; </w:t>
      </w:r>
      <w:r>
        <w:rPr>
          <w:b w:val="0"/>
          <w:i/>
        </w:rPr>
        <w:t>Deus unus, verusque et bonus</w:t>
      </w:r>
      <w:r>
        <w:rPr>
          <w:b w:val="0"/>
          <w:i w:val="0"/>
        </w:rPr>
        <w:t xml:space="preserve">; </w:t>
      </w:r>
      <w:r>
        <w:rPr>
          <w:b w:val="0"/>
          <w:i/>
        </w:rPr>
        <w:t>mens mentium</w:t>
      </w:r>
      <w:r>
        <w:rPr>
          <w:b w:val="0"/>
          <w:i w:val="0"/>
        </w:rPr>
        <w:t xml:space="preserve">; </w:t>
      </w:r>
      <w:r>
        <w:rPr>
          <w:b w:val="0"/>
          <w:i/>
        </w:rPr>
        <w:t>lumen luminum</w:t>
      </w:r>
    </w:p>
    <w:p>
      <w:pPr>
        <w:keepNext/>
        <w:widowControl/>
      </w:pPr>
      <w:r>
        <w:rPr>
          <w:b/>
          <w:i w:val="0"/>
        </w:rPr>
        <w:t>The word.</w:t>
      </w:r>
    </w:p>
    <w:p>
      <w:pPr>
        <w:widowControl/>
      </w:pPr>
      <w:r>
        <w:rPr>
          <w:b w:val="0"/>
          <w:i w:val="0"/>
        </w:rPr>
        <w:t xml:space="preserve">Deus, creator and primum principium name the first source; immobilis unitas stresses simple stability. </w:t>
      </w:r>
      <w:r>
        <w:t>“</w:t>
      </w:r>
      <w:r>
        <w:rPr>
          <w:b w:val="0"/>
          <w:i w:val="0"/>
        </w:rPr>
        <w:t>Mind of minds</w:t>
      </w:r>
      <w:r>
        <w:t>”</w:t>
      </w:r>
      <w:r>
        <w:rPr>
          <w:b w:val="0"/>
          <w:i w:val="0"/>
        </w:rPr>
        <w:t xml:space="preserve"> and </w:t>
      </w:r>
      <w:r>
        <w:t>“</w:t>
      </w:r>
      <w:r>
        <w:rPr>
          <w:b w:val="0"/>
          <w:i w:val="0"/>
        </w:rPr>
        <w:t>light of lights</w:t>
      </w:r>
      <w:r>
        <w:t>”</w:t>
      </w:r>
      <w:r>
        <w:rPr>
          <w:b w:val="0"/>
          <w:i w:val="0"/>
        </w:rPr>
        <w:t xml:space="preserve"> describe causal eminence rather than a merely superior member of a common created genus.</w:t>
      </w:r>
    </w:p>
    <w:p>
      <w:pPr>
        <w:keepNext/>
        <w:widowControl/>
      </w:pPr>
      <w:r>
        <w:rPr>
          <w:b/>
          <w:i w:val="0"/>
        </w:rPr>
        <w:t>In the Platonic Theology.</w:t>
      </w:r>
    </w:p>
    <w:p>
      <w:pPr>
        <w:widowControl/>
      </w:pPr>
      <w:r>
        <w:rPr>
          <w:b w:val="0"/>
          <w:i w:val="0"/>
        </w:rPr>
        <w:t>God is the destination of Book I’s ascent beyond angelic mind. Even an immobile angel contains multiplicity and therefore points to a higher unity. God is wholly simple, with power grounded in unity rather than assembled from cooperating parts. He exceeds mind without lacking understanding: truth and goodness reach things that do not possess intelligence, and God is described as truth entirely transparent to itself and the origin of intellectual light. Intellectual names remain qualified. Angel is properly mind, whereas God is above the genus of minds; such names apply to him primarily through causal eminence rather than a shared created form.</w:t>
      </w:r>
    </w:p>
    <w:p>
      <w:pPr>
        <w:widowControl/>
      </w:pPr>
      <w:r>
        <w:rPr>
          <w:b w:val="0"/>
          <w:i w:val="0"/>
        </w:rPr>
        <w:t xml:space="preserve">Book II develops this principle as supreme unity, truth, and goodness, all one God rather than three divine substances. It rejects both several equal first gods and an endless ascent through higher gods. </w:t>
      </w:r>
      <w:r>
        <w:t>‘</w:t>
      </w:r>
      <w:r>
        <w:rPr>
          <w:b w:val="0"/>
          <w:i w:val="0"/>
        </w:rPr>
        <w:t>God</w:t>
      </w:r>
      <w:r>
        <w:t>’</w:t>
      </w:r>
      <w:r>
        <w:rPr>
          <w:b w:val="0"/>
          <w:i w:val="0"/>
        </w:rPr>
        <w:t xml:space="preserve"> is thus not merely a title for the strongest member of a class. He is first, simple, infinitely powerful, eternal, everywhere present, giver and preserver of being, and the self-knowing source of knowledge of particular things and what is infinite. The statements distinguish his manner of possessing or causing a perfection from the received perfection of creatures. Shared vocabulary does not place them on the same categorical footing.</w:t>
      </w:r>
    </w:p>
    <w:p>
      <w:pPr>
        <w:widowControl/>
      </w:pPr>
      <w:r>
        <w:rPr>
          <w:b w:val="0"/>
          <w:i w:val="0"/>
        </w:rPr>
        <w:t>The Proem situates this inquiry within contemplation and worship of the Creator and subjects its claims to divine law. The authorial reservation before Book I also limits affirmation to what the Church approves. Ficino supports the exposition through named pagan and Christian authorities and the arguments he attributes to them; their conjunction is part of his philosophical synthesis. The qualifications concerning intellectual names and religious approval are integral to the presentation, rather than optional additions to a definition of the supreme being.</w:t>
      </w:r>
    </w:p>
    <w:p>
      <w:pPr>
        <w:keepNext/>
        <w:widowControl/>
      </w:pPr>
      <w:r>
        <w:rPr>
          <w:b/>
          <w:i w:val="0"/>
        </w:rPr>
        <w:t>The places.</w:t>
      </w:r>
    </w:p>
    <w:p>
      <w:pPr>
        <w:ind w:left="187" w:hanging="187"/>
      </w:pPr>
      <w:r>
        <w:t xml:space="preserve">• </w:t>
      </w:r>
      <w:r>
        <w:rPr>
          <w:b/>
          <w:i w:val="0"/>
        </w:rPr>
        <w:t>Proem.7–10, PDF 8–11</w:t>
      </w:r>
      <w:r>
        <w:rPr>
          <w:b w:val="0"/>
          <w:i w:val="0"/>
        </w:rPr>
        <w:t>. The Creator is contemplated through created mind, and the author subjects approval to divine law.</w:t>
      </w:r>
    </w:p>
    <w:p>
      <w:pPr>
        <w:ind w:left="187" w:hanging="187"/>
      </w:pPr>
      <w:r>
        <w:t xml:space="preserve">• </w:t>
      </w:r>
      <w:r>
        <w:rPr>
          <w:b/>
          <w:i w:val="0"/>
        </w:rPr>
        <w:t>I.6.5–13, PDF 84–91</w:t>
      </w:r>
      <w:r>
        <w:rPr>
          <w:b w:val="0"/>
          <w:i w:val="0"/>
        </w:rPr>
        <w:t>. The ascent reaches simplicity beyond angelic multiplicity and qualifies the names of divine cognition.</w:t>
      </w:r>
    </w:p>
    <w:p>
      <w:pPr>
        <w:ind w:left="187" w:hanging="187"/>
      </w:pPr>
      <w:r>
        <w:t xml:space="preserve">• </w:t>
      </w:r>
      <w:r>
        <w:rPr>
          <w:b/>
          <w:i w:val="0"/>
        </w:rPr>
        <w:t>II.3.10, PDF 120–121</w:t>
      </w:r>
      <w:r>
        <w:rPr>
          <w:b w:val="0"/>
          <w:i w:val="0"/>
        </w:rPr>
        <w:t>. Unity, truth and goodness are explicitly coordinated as one God.</w:t>
      </w:r>
    </w:p>
    <w:p>
      <w:pPr>
        <w:ind w:left="187" w:hanging="187"/>
      </w:pPr>
      <w:r>
        <w:t xml:space="preserve">• </w:t>
      </w:r>
      <w:r>
        <w:rPr>
          <w:b/>
          <w:i w:val="0"/>
        </w:rPr>
        <w:t>II.9.13, PDF 168–169</w:t>
      </w:r>
      <w:r>
        <w:rPr>
          <w:b w:val="0"/>
          <w:i w:val="0"/>
        </w:rPr>
        <w:t>. God stands above the genus of minds while knowing and operating through all particulars.</w:t>
      </w:r>
    </w:p>
    <w:p>
      <w:pPr>
        <w:widowControl/>
      </w:pPr>
      <w:r>
        <w:rPr>
          <w:b/>
          <w:i w:val="0"/>
        </w:rPr>
        <w:t>Further passage references.</w:t>
      </w:r>
      <w:r>
        <w:rPr>
          <w:b w:val="0"/>
          <w:i w:val="0"/>
        </w:rPr>
        <w:t xml:space="preserve"> Proem.1–Proem.10 (PDF pp. 6–11); authorial reservation (p. 13); I.1.7 (pp. 16–17); I.6.1–I.6.19 (pp. 82–95); Book II introduction, p. 97; II.1.7, pp. 102–103; II.2.1–15, pp. 104–115; II.3.10, pp. 120–121; II.9.12–13, pp. 168–169; II.4.1, pp. 122–123; II.5.1, pp. 126–127; II.6.1, pp. 128–129; II.7.18–19, pp. 152–153; II.9.15, pp. 170–171; II.10.1, pp. 176–177</w:t>
      </w:r>
    </w:p>
    <w:p>
      <w:pPr>
        <w:keepNext/>
        <w:widowControl/>
      </w:pPr>
      <w:r>
        <w:rPr>
          <w:b/>
          <w:i w:val="0"/>
        </w:rPr>
        <w:t>In this edition.</w:t>
      </w:r>
    </w:p>
    <w:p>
      <w:pPr>
        <w:widowControl/>
      </w:pPr>
      <w:r>
        <w:rPr>
          <w:b w:val="0"/>
          <w:i w:val="0"/>
        </w:rPr>
        <w:t>Intellectual names receive an explicit qualification in I.6.13. Divine truth, unity and goodness name one substance in II.3.10, not three separate first gods. Preserve Ficino’s Proem submission to divine law alongside the positive assertions.</w:t>
      </w:r>
    </w:p>
    <w:p>
      <w:pPr>
        <w:keepNext/>
        <w:widowControl/>
      </w:pPr>
      <w:r>
        <w:rPr>
          <w:b/>
          <w:i w:val="0"/>
        </w:rPr>
        <w:t>See also.</w:t>
      </w:r>
    </w:p>
    <w:p>
      <w:pPr>
        <w:widowControl/>
      </w:pPr>
      <w:hyperlink w:anchor="good-and-goodness">
        <w:r>
          <w:rPr>
            <w:color w:val="000000"/>
          </w:rPr>
          <w:t xml:space="preserve">Good and goodness</w:t>
        </w:r>
      </w:hyperlink>
      <w:r>
        <w:rPr>
          <w:b w:val="0"/>
          <w:i w:val="0"/>
        </w:rPr>
        <w:t xml:space="preserve">; </w:t>
      </w:r>
      <w:hyperlink w:anchor="truth">
        <w:r>
          <w:rPr>
            <w:color w:val="000000"/>
          </w:rPr>
          <w:t xml:space="preserve">Truth</w:t>
        </w:r>
      </w:hyperlink>
      <w:r>
        <w:rPr>
          <w:b w:val="0"/>
          <w:i w:val="0"/>
        </w:rPr>
        <w:t xml:space="preserve">; </w:t>
      </w:r>
      <w:hyperlink w:anchor="unity-and-multiplicity">
        <w:r>
          <w:rPr>
            <w:color w:val="000000"/>
          </w:rPr>
          <w:t xml:space="preserve">Unity and multiplicity</w:t>
        </w:r>
      </w:hyperlink>
      <w:r>
        <w:rPr>
          <w:b w:val="0"/>
          <w:i w:val="0"/>
        </w:rPr>
        <w:t xml:space="preserve">; </w:t>
      </w:r>
      <w:hyperlink w:anchor="light-and-illumination">
        <w:r>
          <w:rPr>
            <w:color w:val="000000"/>
          </w:rPr>
          <w:t xml:space="preserve">Light and illumination</w:t>
        </w:r>
      </w:hyperlink>
      <w:r>
        <w:rPr>
          <w:b w:val="0"/>
          <w:i w:val="0"/>
        </w:rPr>
        <w:t xml:space="preserve">; </w:t>
      </w:r>
      <w:hyperlink w:anchor="philosophy-and-theology">
        <w:r>
          <w:rPr>
            <w:color w:val="000000"/>
          </w:rPr>
          <w:t xml:space="preserve">Philosophy and theology</w:t>
        </w:r>
      </w:hyperlink>
      <w:r>
        <w:rPr>
          <w:b w:val="0"/>
          <w:i w:val="0"/>
        </w:rPr>
        <w:t xml:space="preserve">; </w:t>
      </w:r>
      <w:hyperlink w:anchor="principle">
        <w:r>
          <w:rPr>
            <w:color w:val="000000"/>
          </w:rPr>
          <w:t xml:space="preserve">Principle</w:t>
        </w:r>
      </w:hyperlink>
      <w:r>
        <w:rPr>
          <w:b w:val="0"/>
          <w:i w:val="0"/>
        </w:rPr>
        <w:t xml:space="preserve">; </w:t>
      </w:r>
      <w:hyperlink w:anchor="intellect-and-intellection">
        <w:r>
          <w:rPr>
            <w:color w:val="000000"/>
          </w:rPr>
          <w:t xml:space="preserve">Intellect and intellection</w:t>
        </w:r>
      </w:hyperlink>
    </w:p>
    <w:p>
      <w:bookmarkStart w:id="107" w:name="good-and-goodness"/>
      <w:pPr>
        <w:pStyle w:val="Heading2"/>
      </w:pPr>
      <w:r>
        <w:rPr>
          <w:b w:val="0"/>
          <w:i w:val="0"/>
        </w:rPr>
        <w:t>Good and goodness</w:t>
      </w:r>
      <w:bookmarkEnd w:id="107"/>
    </w:p>
    <w:p>
      <w:pPr>
        <w:keepNext/>
        <w:widowControl/>
      </w:pPr>
      <w:r>
        <w:rPr>
          <w:b/>
          <w:i w:val="0"/>
        </w:rPr>
        <w:t>Latin:</w:t>
      </w:r>
      <w:r>
        <w:rPr>
          <w:b w:val="0"/>
          <w:i w:val="0"/>
        </w:rPr>
        <w:t xml:space="preserve"> </w:t>
      </w:r>
      <w:r>
        <w:rPr>
          <w:b w:val="0"/>
          <w:i/>
        </w:rPr>
        <w:t>bonum</w:t>
      </w:r>
      <w:r>
        <w:rPr>
          <w:b w:val="0"/>
          <w:i w:val="0"/>
        </w:rPr>
        <w:t xml:space="preserve">; </w:t>
      </w:r>
      <w:r>
        <w:rPr>
          <w:b w:val="0"/>
          <w:i/>
        </w:rPr>
        <w:t>bonitas</w:t>
      </w:r>
      <w:r>
        <w:rPr>
          <w:b w:val="0"/>
          <w:i w:val="0"/>
        </w:rPr>
        <w:t xml:space="preserve">; </w:t>
      </w:r>
      <w:r>
        <w:rPr>
          <w:b w:val="0"/>
          <w:i/>
        </w:rPr>
        <w:t>bonum ipsum</w:t>
      </w:r>
      <w:r>
        <w:rPr>
          <w:b w:val="0"/>
          <w:i w:val="0"/>
        </w:rPr>
        <w:t xml:space="preserve">; </w:t>
      </w:r>
      <w:r>
        <w:rPr>
          <w:b w:val="0"/>
          <w:i/>
        </w:rPr>
        <w:t>infinitum bonum</w:t>
      </w:r>
      <w:r>
        <w:rPr>
          <w:b w:val="0"/>
          <w:i w:val="0"/>
        </w:rPr>
        <w:t xml:space="preserve">; </w:t>
      </w:r>
      <w:r>
        <w:rPr>
          <w:b w:val="0"/>
          <w:i/>
        </w:rPr>
        <w:t>summum bonum</w:t>
      </w:r>
      <w:r>
        <w:rPr>
          <w:b w:val="0"/>
          <w:i w:val="0"/>
        </w:rPr>
        <w:t xml:space="preserve">; </w:t>
      </w:r>
      <w:r>
        <w:rPr>
          <w:b w:val="0"/>
          <w:i/>
        </w:rPr>
        <w:t>summa bonitas</w:t>
      </w:r>
      <w:r>
        <w:rPr>
          <w:b w:val="0"/>
          <w:i w:val="0"/>
        </w:rPr>
        <w:t xml:space="preserve">; </w:t>
      </w:r>
      <w:r>
        <w:rPr>
          <w:b w:val="0"/>
          <w:i/>
        </w:rPr>
        <w:t>bene esse</w:t>
      </w:r>
      <w:r>
        <w:rPr>
          <w:b w:val="0"/>
          <w:i w:val="0"/>
        </w:rPr>
        <w:t xml:space="preserve">; </w:t>
      </w:r>
      <w:r>
        <w:rPr>
          <w:b w:val="0"/>
          <w:i/>
        </w:rPr>
        <w:t>universale bonum</w:t>
      </w:r>
      <w:r>
        <w:rPr>
          <w:b w:val="0"/>
          <w:i w:val="0"/>
        </w:rPr>
        <w:t xml:space="preserve">; </w:t>
      </w:r>
      <w:r>
        <w:rPr>
          <w:b w:val="0"/>
          <w:i/>
        </w:rPr>
        <w:t>bona particularia</w:t>
      </w:r>
      <w:r>
        <w:rPr>
          <w:b w:val="0"/>
          <w:i w:val="0"/>
        </w:rPr>
        <w:t xml:space="preserve">; </w:t>
      </w:r>
      <w:r>
        <w:rPr>
          <w:b w:val="0"/>
          <w:i/>
        </w:rPr>
        <w:t>unum simpliciter</w:t>
      </w:r>
      <w:r>
        <w:rPr>
          <w:b w:val="0"/>
          <w:i w:val="0"/>
        </w:rPr>
        <w:t xml:space="preserve">; </w:t>
      </w:r>
      <w:r>
        <w:rPr>
          <w:b w:val="0"/>
          <w:i/>
        </w:rPr>
        <w:t>unum ipsum</w:t>
      </w:r>
      <w:r>
        <w:rPr>
          <w:b w:val="0"/>
          <w:i w:val="0"/>
        </w:rPr>
        <w:t xml:space="preserve">; </w:t>
      </w:r>
      <w:r>
        <w:rPr>
          <w:b w:val="0"/>
          <w:i/>
        </w:rPr>
        <w:t>ipsum bonum</w:t>
      </w:r>
      <w:r>
        <w:rPr>
          <w:b w:val="0"/>
          <w:i w:val="0"/>
        </w:rPr>
        <w:t xml:space="preserve">; </w:t>
      </w:r>
      <w:r>
        <w:rPr>
          <w:b w:val="0"/>
          <w:i/>
        </w:rPr>
        <w:t>summa unitas</w:t>
      </w:r>
    </w:p>
    <w:p>
      <w:pPr>
        <w:keepNext/>
        <w:widowControl/>
      </w:pPr>
      <w:r>
        <w:rPr>
          <w:b/>
          <w:i w:val="0"/>
        </w:rPr>
        <w:t>The word.</w:t>
      </w:r>
    </w:p>
    <w:p>
      <w:pPr>
        <w:widowControl/>
      </w:pPr>
      <w:r>
        <w:rPr>
          <w:b w:val="0"/>
          <w:i w:val="0"/>
        </w:rPr>
        <w:t>Bonum can be a particular good, the respect under which something is desired, or the Good itself; bonitas is goodness. Bene esse means well-being and differs from bare esse. The related expressions should not be made invariant synonyms.</w:t>
      </w:r>
    </w:p>
    <w:p>
      <w:pPr>
        <w:keepNext/>
        <w:widowControl/>
      </w:pPr>
      <w:r>
        <w:rPr>
          <w:b/>
          <w:i w:val="0"/>
        </w:rPr>
        <w:t>In the Platonic Theology.</w:t>
      </w:r>
    </w:p>
    <w:p>
      <w:pPr>
        <w:widowControl/>
      </w:pPr>
      <w:r>
        <w:rPr>
          <w:b w:val="0"/>
          <w:i w:val="0"/>
        </w:rPr>
        <w:t>The good is the object of desire, the end of action, and the perfection whose first source is God. Ficino moves among particular goods, the aspect under which something is desired, and the Good itself. These uses are connected but not identical. Matter is good in a qualified sense because it desires form, can receive it, and is required by a good world. Goodness therefore extends beyond living and thinking things. Ficino argues that removing life would stop the world’s movement, whereas removing good would remove its existence. Mind itself seeks to become better through understanding and receives goodness from above.</w:t>
      </w:r>
    </w:p>
    <w:p>
      <w:pPr>
        <w:widowControl/>
      </w:pPr>
      <w:r>
        <w:rPr>
          <w:b w:val="0"/>
          <w:i w:val="0"/>
        </w:rPr>
        <w:t xml:space="preserve">Goodness is one with supreme unity and truth, while the three names describe different explanatory aspects of the same principle. A thing is good insofar as it is united with itself and its source rather than corrupted by inferior mixture. II.3.10 contrasts truth’s gift of being with goodness’s recalling effects to their source and granting well-being, </w:t>
      </w:r>
      <w:r>
        <w:rPr>
          <w:b w:val="0"/>
          <w:i/>
        </w:rPr>
        <w:t>bene esse</w:t>
      </w:r>
      <w:r>
        <w:rPr>
          <w:b w:val="0"/>
          <w:i w:val="0"/>
        </w:rPr>
        <w:t>. It does not divide divine functions among separate substances. Everything acts from, through, and toward good. Goodness is communicative as a source and attractive as an end, connecting production, preservation, perfection, and return. The inference that what all things seek is also their source belongs to Ficino’s metaphysics; it is not merely the everyday meaning of desire.</w:t>
      </w:r>
    </w:p>
    <w:p>
      <w:pPr>
        <w:widowControl/>
      </w:pPr>
      <w:r>
        <w:rPr>
          <w:b w:val="0"/>
          <w:i w:val="0"/>
        </w:rPr>
        <w:t>Book II tests whether anything could rank above goodness. A superior principle would give a better gift, but that superiority would already be a greater share of goodness. If its gift were not better, the claimed superiority would lose its basis. An absolutely evil supreme being likewise could neither act, know, live, nor exist, since these are goods. Even defeating the good would require superiority and power, themselves good. Evil and privation can therefore be known through goodness and possession without an independent divine exemplar of evil. These arguments do not imply that every actual choice or condition is good in every respect.</w:t>
      </w:r>
    </w:p>
    <w:p>
      <w:pPr>
        <w:widowControl/>
      </w:pPr>
      <w:r>
        <w:rPr>
          <w:b w:val="0"/>
          <w:i w:val="0"/>
        </w:rPr>
        <w:t>In God, goodness is not received, and no independent good outside him supplies his end. He wills his own complete goodness and needs no creature to complete it. Created goods imitate that goodness according to their natures; an ordered whole may manifest it more fully than an isolated advantage. Ficino’s appeal to the whole’s benefit does not make each part, considered alone, equally beneficial. Particular natural agents pursue particular goods, while intellectual nature can regard universal good. Human appetite always seeks some good or apparent good, but judgment about objects and means can be mistaken.</w:t>
      </w:r>
    </w:p>
    <w:p>
      <w:pPr>
        <w:widowControl/>
      </w:pPr>
      <w:r>
        <w:rPr>
          <w:b w:val="0"/>
          <w:i w:val="0"/>
        </w:rPr>
        <w:t>The Pythagorean exposition in Book IV identifies the first One with the first Good. A mind that is one still combines mind and oneness, so the ascent continues beyond one member of an order to unity without qualification. God cannot simply be the first sphere’s soul or one celestial mover among peers: that would give him a limited proportion to other beings and a composition of common and distinctive properties. Nor is his transcendence beyond every whole compatible with treating him as an aggregate. Supreme unity and goodness remain distinct from the lower beings that possess them by participation.</w:t>
      </w:r>
    </w:p>
    <w:p>
      <w:pPr>
        <w:keepNext/>
        <w:widowControl/>
      </w:pPr>
      <w:r>
        <w:rPr>
          <w:b/>
          <w:i w:val="0"/>
        </w:rPr>
        <w:t>The places.</w:t>
      </w:r>
    </w:p>
    <w:p>
      <w:pPr>
        <w:ind w:left="187" w:hanging="187"/>
      </w:pPr>
      <w:r>
        <w:t xml:space="preserve">• </w:t>
      </w:r>
      <w:r>
        <w:rPr>
          <w:b/>
          <w:i w:val="0"/>
        </w:rPr>
        <w:t>I.2.14, PDF 24–25</w:t>
      </w:r>
      <w:r>
        <w:rPr>
          <w:b w:val="0"/>
          <w:i w:val="0"/>
        </w:rPr>
        <w:t>. Desire follows perceived goodness rather than quantity alone.</w:t>
      </w:r>
    </w:p>
    <w:p>
      <w:pPr>
        <w:ind w:left="187" w:hanging="187"/>
      </w:pPr>
      <w:r>
        <w:t xml:space="preserve">• </w:t>
      </w:r>
      <w:r>
        <w:rPr>
          <w:b/>
          <w:i w:val="0"/>
        </w:rPr>
        <w:t>I.6.14–19, PDF 90–95</w:t>
      </w:r>
      <w:r>
        <w:rPr>
          <w:b w:val="0"/>
          <w:i w:val="0"/>
        </w:rPr>
        <w:t>. Goodness reaches formless matter and exceeds mind as universal source and desired end.</w:t>
      </w:r>
    </w:p>
    <w:p>
      <w:pPr>
        <w:ind w:left="187" w:hanging="187"/>
      </w:pPr>
      <w:r>
        <w:t xml:space="preserve">• </w:t>
      </w:r>
      <w:r>
        <w:rPr>
          <w:b/>
          <w:i w:val="0"/>
        </w:rPr>
        <w:t>II.1.5, PDF 100–101</w:t>
      </w:r>
      <w:r>
        <w:rPr>
          <w:b w:val="0"/>
          <w:i w:val="0"/>
        </w:rPr>
        <w:t>. Any proposed superior source would already act through the goodness it gives.</w:t>
      </w:r>
    </w:p>
    <w:p>
      <w:pPr>
        <w:ind w:left="187" w:hanging="187"/>
      </w:pPr>
      <w:r>
        <w:t xml:space="preserve">• </w:t>
      </w:r>
      <w:r>
        <w:rPr>
          <w:b/>
          <w:i w:val="0"/>
        </w:rPr>
        <w:t>II.3.10, PDF 120–121</w:t>
      </w:r>
      <w:r>
        <w:rPr>
          <w:b w:val="0"/>
          <w:i w:val="0"/>
        </w:rPr>
        <w:t>. Goodness recalls products to their source and gives well-being alongside truth’s gift of being.</w:t>
      </w:r>
    </w:p>
    <w:p>
      <w:pPr>
        <w:ind w:left="187" w:hanging="187"/>
      </w:pPr>
      <w:r>
        <w:t xml:space="preserve">• </w:t>
      </w:r>
      <w:r>
        <w:rPr>
          <w:b/>
          <w:i w:val="0"/>
        </w:rPr>
        <w:t>IV.1.51, PDF 306–307</w:t>
      </w:r>
      <w:r>
        <w:rPr>
          <w:b w:val="0"/>
          <w:i w:val="0"/>
        </w:rPr>
        <w:t>. The Pythagorean exposition identifies the first One and first Good.</w:t>
      </w:r>
    </w:p>
    <w:p>
      <w:pPr>
        <w:widowControl/>
      </w:pPr>
      <w:r>
        <w:rPr>
          <w:b/>
          <w:i w:val="0"/>
        </w:rPr>
        <w:t>Further passage references.</w:t>
      </w:r>
      <w:r>
        <w:rPr>
          <w:b w:val="0"/>
          <w:i w:val="0"/>
        </w:rPr>
        <w:t xml:space="preserve"> I.2.14 (PDF pp. 24–25); I.5.25 (pp. 78–79); I.6.14–I.6.19 (pp. 90–95); II.1.1–7, pp. 98–103; II.2.15, pp. 114–115; II.3.10, pp. 120–121; II.6.5–7, pp. 130–131; II.7.4–5, pp. 144–145; II.11.13–14, 29–38, PDF 188–201; II.12.3–19, PDF 202–213; II.13.1–3, 23–30, PDF 216–237; IV.1.23–IV.1.28, pp. 292–295; IV.1.51–IV.1.52, pp. 306–309; IV.1.59–IV.1.60, pp. 312–313; IV.2.3–IV.2.6, pp. 334–337; II.11.19, PDF pp. 192–193</w:t>
      </w:r>
    </w:p>
    <w:p>
      <w:pPr>
        <w:keepNext/>
        <w:widowControl/>
      </w:pPr>
      <w:r>
        <w:rPr>
          <w:b/>
          <w:i w:val="0"/>
        </w:rPr>
        <w:t>In this edition.</w:t>
      </w:r>
    </w:p>
    <w:p>
      <w:pPr>
        <w:widowControl/>
      </w:pPr>
      <w:r>
        <w:rPr>
          <w:b w:val="0"/>
          <w:i w:val="0"/>
        </w:rPr>
        <w:t xml:space="preserve">The qualifier </w:t>
      </w:r>
      <w:r>
        <w:t>“</w:t>
      </w:r>
      <w:r>
        <w:rPr>
          <w:b w:val="0"/>
          <w:i w:val="0"/>
        </w:rPr>
        <w:t>as good</w:t>
      </w:r>
      <w:r>
        <w:t>”</w:t>
      </w:r>
      <w:r>
        <w:rPr>
          <w:b w:val="0"/>
          <w:i w:val="0"/>
        </w:rPr>
        <w:t xml:space="preserve"> in appetite arguments and </w:t>
      </w:r>
      <w:r>
        <w:t>“</w:t>
      </w:r>
      <w:r>
        <w:rPr>
          <w:b w:val="0"/>
          <w:i w:val="0"/>
        </w:rPr>
        <w:t>in a certain measure</w:t>
      </w:r>
      <w:r>
        <w:t>”</w:t>
      </w:r>
      <w:r>
        <w:rPr>
          <w:b w:val="0"/>
          <w:i w:val="0"/>
        </w:rPr>
        <w:t xml:space="preserve"> of matter protect important differences. Divine goodness’s being the final source does not certify every judgement of benefit, nor equate an isolated part’s advantage with the whole’s good.</w:t>
      </w:r>
    </w:p>
    <w:p>
      <w:pPr>
        <w:keepNext/>
        <w:widowControl/>
      </w:pPr>
      <w:r>
        <w:rPr>
          <w:b/>
          <w:i w:val="0"/>
        </w:rPr>
        <w:t>See also.</w:t>
      </w:r>
    </w:p>
    <w:p>
      <w:pPr>
        <w:widowControl/>
      </w:pPr>
      <w:hyperlink w:anchor="appetite-and-desire">
        <w:r>
          <w:rPr>
            <w:color w:val="000000"/>
          </w:rPr>
          <w:t xml:space="preserve">Appetite and desire</w:t>
        </w:r>
      </w:hyperlink>
      <w:r>
        <w:rPr>
          <w:b w:val="0"/>
          <w:i w:val="0"/>
        </w:rPr>
        <w:t xml:space="preserve">; </w:t>
      </w:r>
      <w:hyperlink w:anchor="freedom-and-necessity">
        <w:r>
          <w:rPr>
            <w:color w:val="000000"/>
          </w:rPr>
          <w:t xml:space="preserve">Freedom and necessity</w:t>
        </w:r>
      </w:hyperlink>
      <w:r>
        <w:rPr>
          <w:b w:val="0"/>
          <w:i w:val="0"/>
        </w:rPr>
        <w:t xml:space="preserve">; </w:t>
      </w:r>
      <w:hyperlink w:anchor="god">
        <w:r>
          <w:rPr>
            <w:color w:val="000000"/>
          </w:rPr>
          <w:t xml:space="preserve">God</w:t>
        </w:r>
      </w:hyperlink>
      <w:r>
        <w:rPr>
          <w:b w:val="0"/>
          <w:i w:val="0"/>
        </w:rPr>
        <w:t xml:space="preserve">; </w:t>
      </w:r>
      <w:hyperlink w:anchor="matter">
        <w:r>
          <w:rPr>
            <w:color w:val="000000"/>
          </w:rPr>
          <w:t xml:space="preserve">Matter</w:t>
        </w:r>
      </w:hyperlink>
      <w:r>
        <w:rPr>
          <w:b w:val="0"/>
          <w:i w:val="0"/>
        </w:rPr>
        <w:t xml:space="preserve">; </w:t>
      </w:r>
      <w:hyperlink w:anchor="end-and-limit">
        <w:r>
          <w:rPr>
            <w:color w:val="000000"/>
          </w:rPr>
          <w:t xml:space="preserve">End and limit</w:t>
        </w:r>
      </w:hyperlink>
      <w:r>
        <w:rPr>
          <w:b w:val="0"/>
          <w:i w:val="0"/>
        </w:rPr>
        <w:t xml:space="preserve">; </w:t>
      </w:r>
      <w:hyperlink w:anchor="unity-and-multiplicity">
        <w:r>
          <w:rPr>
            <w:color w:val="000000"/>
          </w:rPr>
          <w:t xml:space="preserve">Unity and multiplicity</w:t>
        </w:r>
      </w:hyperlink>
      <w:r>
        <w:rPr>
          <w:b w:val="0"/>
          <w:i w:val="0"/>
        </w:rPr>
        <w:t xml:space="preserve">; </w:t>
      </w:r>
      <w:hyperlink w:anchor="truth">
        <w:r>
          <w:rPr>
            <w:color w:val="000000"/>
          </w:rPr>
          <w:t xml:space="preserve">Truth</w:t>
        </w:r>
      </w:hyperlink>
      <w:r>
        <w:rPr>
          <w:b w:val="0"/>
          <w:i w:val="0"/>
        </w:rPr>
        <w:t xml:space="preserve">; </w:t>
      </w:r>
      <w:hyperlink w:anchor="communication-and-imparting">
        <w:r>
          <w:rPr>
            <w:color w:val="000000"/>
          </w:rPr>
          <w:t xml:space="preserve">Communication and imparting</w:t>
        </w:r>
      </w:hyperlink>
      <w:r>
        <w:rPr>
          <w:b w:val="0"/>
          <w:i w:val="0"/>
        </w:rPr>
        <w:t xml:space="preserve">; </w:t>
      </w:r>
      <w:hyperlink w:anchor="nothing-and-nonbeing">
        <w:r>
          <w:rPr>
            <w:color w:val="000000"/>
          </w:rPr>
          <w:t xml:space="preserve">Nothing and nonbeing</w:t>
        </w:r>
      </w:hyperlink>
      <w:r>
        <w:rPr>
          <w:b w:val="0"/>
          <w:i w:val="0"/>
        </w:rPr>
        <w:t xml:space="preserve">; </w:t>
      </w:r>
      <w:hyperlink w:anchor="ideas-and-exemplars">
        <w:r>
          <w:rPr>
            <w:color w:val="000000"/>
          </w:rPr>
          <w:t xml:space="preserve">Ideas and exemplars</w:t>
        </w:r>
      </w:hyperlink>
      <w:r>
        <w:rPr>
          <w:b w:val="0"/>
          <w:i w:val="0"/>
        </w:rPr>
        <w:t xml:space="preserve">; </w:t>
      </w:r>
      <w:hyperlink w:anchor="love-and-pleasure">
        <w:r>
          <w:rPr>
            <w:color w:val="000000"/>
          </w:rPr>
          <w:t xml:space="preserve">Love and pleasure</w:t>
        </w:r>
      </w:hyperlink>
      <w:r>
        <w:rPr>
          <w:b w:val="0"/>
          <w:i w:val="0"/>
        </w:rPr>
        <w:t xml:space="preserve">; </w:t>
      </w:r>
      <w:hyperlink w:anchor="apollo">
        <w:r>
          <w:rPr>
            <w:color w:val="000000"/>
          </w:rPr>
          <w:t xml:space="preserve">Apollo</w:t>
        </w:r>
      </w:hyperlink>
      <w:r>
        <w:rPr>
          <w:b w:val="0"/>
          <w:i w:val="0"/>
        </w:rPr>
        <w:t xml:space="preserve">; </w:t>
      </w:r>
      <w:hyperlink w:anchor="whole-and-parts">
        <w:r>
          <w:rPr>
            <w:color w:val="000000"/>
          </w:rPr>
          <w:t xml:space="preserve">Whole and parts</w:t>
        </w:r>
      </w:hyperlink>
      <w:r>
        <w:rPr>
          <w:b w:val="0"/>
          <w:i w:val="0"/>
        </w:rPr>
        <w:t xml:space="preserve">; </w:t>
      </w:r>
      <w:hyperlink w:anchor="world-soul">
        <w:r>
          <w:rPr>
            <w:color w:val="000000"/>
          </w:rPr>
          <w:t xml:space="preserve">World soul</w:t>
        </w:r>
      </w:hyperlink>
    </w:p>
    <w:p>
      <w:bookmarkStart w:id="108" w:name="governing-serving-and-dominion"/>
      <w:pPr>
        <w:pStyle w:val="Heading2"/>
      </w:pPr>
      <w:r>
        <w:rPr>
          <w:b w:val="0"/>
          <w:i w:val="0"/>
        </w:rPr>
        <w:t>Governing, serving and dominion</w:t>
      </w:r>
      <w:bookmarkEnd w:id="108"/>
    </w:p>
    <w:p>
      <w:pPr>
        <w:keepNext/>
        <w:widowControl/>
      </w:pPr>
      <w:r>
        <w:rPr>
          <w:b/>
          <w:i w:val="0"/>
        </w:rPr>
        <w:t>Latin:</w:t>
      </w:r>
      <w:r>
        <w:rPr>
          <w:b w:val="0"/>
          <w:i w:val="0"/>
        </w:rPr>
        <w:t xml:space="preserve"> </w:t>
      </w:r>
      <w:r>
        <w:rPr>
          <w:b w:val="0"/>
          <w:i/>
        </w:rPr>
        <w:t>regit</w:t>
      </w:r>
      <w:r>
        <w:rPr>
          <w:b w:val="0"/>
          <w:i w:val="0"/>
        </w:rPr>
        <w:t xml:space="preserve">; </w:t>
      </w:r>
      <w:r>
        <w:rPr>
          <w:b w:val="0"/>
          <w:i/>
        </w:rPr>
        <w:t>praesidet</w:t>
      </w:r>
      <w:r>
        <w:rPr>
          <w:b w:val="0"/>
          <w:i w:val="0"/>
        </w:rPr>
        <w:t xml:space="preserve">; </w:t>
      </w:r>
      <w:r>
        <w:rPr>
          <w:b w:val="0"/>
          <w:i/>
        </w:rPr>
        <w:t>dominatur</w:t>
      </w:r>
      <w:r>
        <w:rPr>
          <w:b w:val="0"/>
          <w:i w:val="0"/>
        </w:rPr>
        <w:t xml:space="preserve">; </w:t>
      </w:r>
      <w:r>
        <w:rPr>
          <w:b w:val="0"/>
          <w:i/>
        </w:rPr>
        <w:t>imperat</w:t>
      </w:r>
      <w:r>
        <w:rPr>
          <w:b w:val="0"/>
          <w:i w:val="0"/>
        </w:rPr>
        <w:t xml:space="preserve">; </w:t>
      </w:r>
      <w:r>
        <w:rPr>
          <w:b w:val="0"/>
          <w:i/>
        </w:rPr>
        <w:t>rectores</w:t>
      </w:r>
      <w:r>
        <w:rPr>
          <w:b w:val="0"/>
          <w:i w:val="0"/>
        </w:rPr>
        <w:t xml:space="preserve">; </w:t>
      </w:r>
      <w:r>
        <w:rPr>
          <w:b w:val="0"/>
          <w:i/>
        </w:rPr>
        <w:t>ministrabant</w:t>
      </w:r>
      <w:r>
        <w:rPr>
          <w:b w:val="0"/>
          <w:i w:val="0"/>
        </w:rPr>
        <w:t xml:space="preserve">; </w:t>
      </w:r>
      <w:r>
        <w:rPr>
          <w:b w:val="0"/>
          <w:i/>
        </w:rPr>
        <w:t>imperium</w:t>
      </w:r>
      <w:r>
        <w:rPr>
          <w:b w:val="0"/>
          <w:i w:val="0"/>
        </w:rPr>
        <w:t xml:space="preserve">.; </w:t>
      </w:r>
      <w:r>
        <w:rPr>
          <w:b w:val="0"/>
          <w:i/>
        </w:rPr>
        <w:t>dominari; dominus; compos; sui iuris; servilia; servire; imperium</w:t>
      </w:r>
      <w:r>
        <w:rPr>
          <w:b w:val="0"/>
          <w:i w:val="0"/>
        </w:rPr>
        <w:t xml:space="preserve">; </w:t>
      </w:r>
      <w:r>
        <w:rPr>
          <w:b w:val="0"/>
          <w:i/>
        </w:rPr>
        <w:t>praeest</w:t>
      </w:r>
      <w:r>
        <w:rPr>
          <w:b w:val="0"/>
          <w:i w:val="0"/>
        </w:rPr>
        <w:t xml:space="preserve">, </w:t>
      </w:r>
      <w:r>
        <w:rPr>
          <w:b w:val="0"/>
          <w:i/>
        </w:rPr>
        <w:t>praesunt</w:t>
      </w:r>
      <w:r>
        <w:rPr>
          <w:b w:val="0"/>
          <w:i w:val="0"/>
        </w:rPr>
        <w:t xml:space="preserve">, </w:t>
      </w:r>
      <w:r>
        <w:rPr>
          <w:b w:val="0"/>
          <w:i/>
        </w:rPr>
        <w:t>ducunt</w:t>
      </w:r>
      <w:r>
        <w:rPr>
          <w:b w:val="0"/>
          <w:i w:val="0"/>
        </w:rPr>
        <w:t xml:space="preserve">, </w:t>
      </w:r>
      <w:r>
        <w:rPr>
          <w:b w:val="0"/>
          <w:i/>
        </w:rPr>
        <w:t>regit</w:t>
      </w:r>
      <w:r>
        <w:rPr>
          <w:b w:val="0"/>
          <w:i w:val="0"/>
        </w:rPr>
        <w:t xml:space="preserve">, </w:t>
      </w:r>
      <w:r>
        <w:rPr>
          <w:b w:val="0"/>
          <w:i/>
        </w:rPr>
        <w:t>imperium</w:t>
      </w:r>
      <w:r>
        <w:rPr>
          <w:b w:val="0"/>
          <w:i w:val="0"/>
        </w:rPr>
        <w:t xml:space="preserve">, </w:t>
      </w:r>
      <w:r>
        <w:rPr>
          <w:b w:val="0"/>
          <w:i/>
        </w:rPr>
        <w:t>nutus sequantur</w:t>
      </w:r>
      <w:r>
        <w:rPr>
          <w:b w:val="0"/>
          <w:i w:val="0"/>
        </w:rPr>
        <w:t xml:space="preserve">, </w:t>
      </w:r>
      <w:r>
        <w:rPr>
          <w:b w:val="0"/>
          <w:i/>
        </w:rPr>
        <w:t>servit</w:t>
      </w:r>
      <w:r>
        <w:rPr>
          <w:b w:val="0"/>
          <w:i w:val="0"/>
        </w:rPr>
        <w:t xml:space="preserve">, </w:t>
      </w:r>
      <w:r>
        <w:rPr>
          <w:b w:val="0"/>
          <w:i/>
        </w:rPr>
        <w:t>dominatur</w:t>
      </w:r>
      <w:r>
        <w:rPr>
          <w:b w:val="0"/>
          <w:i w:val="0"/>
        </w:rPr>
        <w:t>.</w:t>
      </w:r>
    </w:p>
    <w:p>
      <w:pPr>
        <w:keepNext/>
        <w:widowControl/>
      </w:pPr>
      <w:r>
        <w:rPr>
          <w:b/>
          <w:i w:val="0"/>
        </w:rPr>
        <w:t>The word.</w:t>
      </w:r>
    </w:p>
    <w:p>
      <w:pPr>
        <w:widowControl/>
      </w:pPr>
      <w:r>
        <w:rPr>
          <w:b w:val="0"/>
          <w:i/>
        </w:rPr>
        <w:t>Regere</w:t>
      </w:r>
      <w:r>
        <w:rPr>
          <w:b w:val="0"/>
          <w:i w:val="0"/>
        </w:rPr>
        <w:t xml:space="preserve"> governs or directs; </w:t>
      </w:r>
      <w:r>
        <w:rPr>
          <w:b w:val="0"/>
          <w:i/>
        </w:rPr>
        <w:t>praesidere</w:t>
      </w:r>
      <w:r>
        <w:rPr>
          <w:b w:val="0"/>
          <w:i w:val="0"/>
        </w:rPr>
        <w:t xml:space="preserve"> presides over; </w:t>
      </w:r>
      <w:r>
        <w:rPr>
          <w:b w:val="0"/>
          <w:i/>
        </w:rPr>
        <w:t>praeesse</w:t>
      </w:r>
      <w:r>
        <w:rPr>
          <w:b w:val="0"/>
          <w:i w:val="0"/>
        </w:rPr>
        <w:t xml:space="preserve"> stands at the head of; </w:t>
      </w:r>
      <w:r>
        <w:rPr>
          <w:b w:val="0"/>
          <w:i/>
        </w:rPr>
        <w:t>ducere</w:t>
      </w:r>
      <w:r>
        <w:rPr>
          <w:b w:val="0"/>
          <w:i w:val="0"/>
        </w:rPr>
        <w:t xml:space="preserve"> leads; </w:t>
      </w:r>
      <w:r>
        <w:rPr>
          <w:b w:val="0"/>
          <w:i/>
        </w:rPr>
        <w:t>dominari</w:t>
      </w:r>
      <w:r>
        <w:rPr>
          <w:b w:val="0"/>
          <w:i w:val="0"/>
        </w:rPr>
        <w:t xml:space="preserve"> exercises mastery; and </w:t>
      </w:r>
      <w:r>
        <w:rPr>
          <w:b w:val="0"/>
          <w:i/>
        </w:rPr>
        <w:t>imperare</w:t>
      </w:r>
      <w:r>
        <w:rPr>
          <w:b w:val="0"/>
          <w:i w:val="0"/>
        </w:rPr>
        <w:t xml:space="preserve"> commands. </w:t>
      </w:r>
      <w:r>
        <w:rPr>
          <w:b w:val="0"/>
          <w:i/>
        </w:rPr>
        <w:t>Imperium</w:t>
      </w:r>
      <w:r>
        <w:rPr>
          <w:b w:val="0"/>
          <w:i w:val="0"/>
        </w:rPr>
        <w:t xml:space="preserve"> can name command, dominion or the range of authority. </w:t>
      </w:r>
      <w:r>
        <w:rPr>
          <w:b w:val="0"/>
          <w:i/>
        </w:rPr>
        <w:t>Nutus</w:t>
      </w:r>
      <w:r>
        <w:rPr>
          <w:b w:val="0"/>
          <w:i w:val="0"/>
        </w:rPr>
        <w:t xml:space="preserve"> is a directing nod. </w:t>
      </w:r>
      <w:r>
        <w:rPr>
          <w:b w:val="0"/>
          <w:i/>
        </w:rPr>
        <w:t>Ministrare</w:t>
      </w:r>
      <w:r>
        <w:rPr>
          <w:b w:val="0"/>
          <w:i w:val="0"/>
        </w:rPr>
        <w:t xml:space="preserve"> and </w:t>
      </w:r>
      <w:r>
        <w:rPr>
          <w:b w:val="0"/>
          <w:i/>
        </w:rPr>
        <w:t>servire</w:t>
      </w:r>
      <w:r>
        <w:rPr>
          <w:b w:val="0"/>
          <w:i w:val="0"/>
        </w:rPr>
        <w:t xml:space="preserve"> describe service or subordination. </w:t>
      </w:r>
      <w:r>
        <w:rPr>
          <w:b w:val="0"/>
          <w:i/>
        </w:rPr>
        <w:t>Dominus</w:t>
      </w:r>
      <w:r>
        <w:rPr>
          <w:b w:val="0"/>
          <w:i w:val="0"/>
        </w:rPr>
        <w:t xml:space="preserve"> is a master, </w:t>
      </w:r>
      <w:r>
        <w:rPr>
          <w:b w:val="0"/>
          <w:i/>
        </w:rPr>
        <w:t>compos</w:t>
      </w:r>
      <w:r>
        <w:rPr>
          <w:b w:val="0"/>
          <w:i w:val="0"/>
        </w:rPr>
        <w:t xml:space="preserve"> one who possesses or has command, and </w:t>
      </w:r>
      <w:r>
        <w:rPr>
          <w:b w:val="0"/>
          <w:i/>
        </w:rPr>
        <w:t>sui iuris</w:t>
      </w:r>
      <w:r>
        <w:rPr>
          <w:b w:val="0"/>
          <w:i w:val="0"/>
        </w:rPr>
        <w:t xml:space="preserve"> expresses self-mastery. </w:t>
      </w:r>
      <w:r>
        <w:rPr>
          <w:b w:val="0"/>
          <w:i/>
        </w:rPr>
        <w:t>Servilia</w:t>
      </w:r>
      <w:r>
        <w:rPr>
          <w:b w:val="0"/>
          <w:i w:val="0"/>
        </w:rPr>
        <w:t xml:space="preserve"> figures dependence as servitude. These governmental expressions can describe relations among faculties or cosmic causes without naming political institutions.</w:t>
      </w:r>
    </w:p>
    <w:p>
      <w:pPr>
        <w:keepNext/>
        <w:widowControl/>
      </w:pPr>
      <w:r>
        <w:rPr>
          <w:b/>
          <w:i w:val="0"/>
        </w:rPr>
        <w:t>In the Platonic Theology.</w:t>
      </w:r>
    </w:p>
    <w:p>
      <w:pPr>
        <w:widowControl/>
      </w:pPr>
      <w:r>
        <w:rPr>
          <w:b w:val="0"/>
          <w:i w:val="0"/>
        </w:rPr>
        <w:t>Soul governs qualities and bodies while joining itself to higher realities. Its centrality is an active office, not merely a coordinate in a list. Quality, by contrast, does not master even its own matter because it depends on that matter for support; it therefore cannot independently master foreign matter. The mind within a human soul is similarly said not to command its soul’s effective power by thought alone, motivating an ascent to a more efficacious mind. The rulers in the saying attributed to Zoroaster are unmoved intellectual movers. At the book’s close, truth’s dominion reaches further than mind’s, and the Good’s dominion is at once necessary and willingly accepted. Ficino uses the range and mode of rule to distinguish causal ranks. None of this by itself establishes a programme for human political coercion.</w:t>
      </w:r>
    </w:p>
    <w:p>
      <w:pPr>
        <w:widowControl/>
      </w:pPr>
      <w:r>
        <w:rPr>
          <w:b w:val="0"/>
          <w:i w:val="0"/>
        </w:rPr>
        <w:t>Ficino measures a cause’s mastery by the range of the work it controls. Fire does not govern the whole effect because it does not arrange the recipient’s degrees; God governs forms and their ordering together. The later claim that God does not serve an alien good removes an external end that would determine divine action. Freedom then receives the language of becoming one’s own master as one approaches God. In God, mastery over intelligence and essence depends on the asserted identity of being, understanding, and willing. It is not a decision made by a will independent of what God is. Created agents remain free in a qualified respect, while the first cause is the unrestricted source and end of its activity. The social and juridical language makes degrees of dependence vivid without establishing a literal social hierarchy among human persons.</w:t>
      </w:r>
    </w:p>
    <w:p>
      <w:pPr>
        <w:widowControl/>
      </w:pPr>
      <w:r>
        <w:rPr>
          <w:b w:val="0"/>
          <w:i w:val="0"/>
        </w:rPr>
        <w:t>The twelvefold hierarchy repeatedly distributes ruling and subordinate souls, but the distribution remains within a marked Pythagorean conversation and becomes tentative at the level of twelve minds. Apollo’s command governs a singing, dancing chorus; political and musical language cooperate. The rankings of reason, anger, and desire similarly concern which faculty predominates and which serves, not the isolated existence of only one faculty.</w:t>
      </w:r>
    </w:p>
    <w:p>
      <w:pPr>
        <w:widowControl/>
      </w:pPr>
      <w:r>
        <w:rPr>
          <w:b w:val="0"/>
          <w:i w:val="0"/>
        </w:rPr>
        <w:t>In the world-soul argument, lower members follow the higher members’ nods while communicating powers within one living whole. Direction is therefore compatible with distributed activity. Soul itself is self-governing in one respect and directed by higher mind in another. The lexicon should preserve those relative scopes: being a ruler does not make a soul the first source, and following does not mean being inert.</w:t>
      </w:r>
    </w:p>
    <w:p>
      <w:pPr>
        <w:keepNext/>
        <w:widowControl/>
      </w:pPr>
      <w:r>
        <w:rPr>
          <w:b/>
          <w:i w:val="0"/>
        </w:rPr>
        <w:t>The places.</w:t>
      </w:r>
    </w:p>
    <w:p>
      <w:pPr>
        <w:ind w:left="187" w:hanging="187"/>
      </w:pPr>
      <w:r>
        <w:t xml:space="preserve">• </w:t>
      </w:r>
      <w:r>
        <w:rPr>
          <w:b/>
          <w:i w:val="0"/>
        </w:rPr>
        <w:t>I.1.7, PDF 16–17.</w:t>
      </w:r>
      <w:r>
        <w:rPr>
          <w:b w:val="0"/>
          <w:i w:val="0"/>
        </w:rPr>
        <w:t xml:space="preserve"> Soul presides over the world’s mechanism while linking its grades</w:t>
      </w:r>
    </w:p>
    <w:p>
      <w:pPr>
        <w:ind w:left="187" w:hanging="187"/>
      </w:pPr>
      <w:r>
        <w:t xml:space="preserve">• </w:t>
      </w:r>
      <w:r>
        <w:rPr>
          <w:b/>
          <w:i w:val="0"/>
        </w:rPr>
        <w:t>I.3.7, PDF 34–35.</w:t>
      </w:r>
      <w:r>
        <w:rPr>
          <w:b w:val="0"/>
          <w:i w:val="0"/>
        </w:rPr>
        <w:t xml:space="preserve"> Dependence on matter prevents independent mastery</w:t>
      </w:r>
    </w:p>
    <w:p>
      <w:pPr>
        <w:ind w:left="187" w:hanging="187"/>
      </w:pPr>
      <w:r>
        <w:t xml:space="preserve">• </w:t>
      </w:r>
      <w:r>
        <w:rPr>
          <w:b/>
          <w:i w:val="0"/>
        </w:rPr>
        <w:t>I.5.13, PDF 66–67.</w:t>
      </w:r>
      <w:r>
        <w:rPr>
          <w:b w:val="0"/>
          <w:i w:val="0"/>
        </w:rPr>
        <w:t xml:space="preserve"> Human intellectual activity does not by itself command effective power</w:t>
      </w:r>
    </w:p>
    <w:p>
      <w:pPr>
        <w:ind w:left="187" w:hanging="187"/>
      </w:pPr>
      <w:r>
        <w:t xml:space="preserve">• </w:t>
      </w:r>
      <w:r>
        <w:rPr>
          <w:b/>
          <w:i w:val="0"/>
        </w:rPr>
        <w:t>I.5.19, PDF 74–75; I.5.27, PDF 80–81.</w:t>
      </w:r>
      <w:r>
        <w:rPr>
          <w:b w:val="0"/>
          <w:i w:val="0"/>
        </w:rPr>
        <w:t xml:space="preserve"> Intellectual rulers and prophetic attendants supply different images</w:t>
      </w:r>
    </w:p>
    <w:p>
      <w:pPr>
        <w:ind w:left="187" w:hanging="187"/>
      </w:pPr>
      <w:r>
        <w:t xml:space="preserve">• </w:t>
      </w:r>
      <w:r>
        <w:rPr>
          <w:b/>
          <w:i w:val="0"/>
        </w:rPr>
        <w:t>I.6.11, PDF 88–89; I.6.19, PDF 94–95.</w:t>
      </w:r>
      <w:r>
        <w:rPr>
          <w:b w:val="0"/>
          <w:i w:val="0"/>
        </w:rPr>
        <w:t xml:space="preserve"> The dominions of truth and goodness exceed that of mind</w:t>
      </w:r>
    </w:p>
    <w:p>
      <w:pPr>
        <w:widowControl/>
        <w:keepNext/>
      </w:pPr>
      <w:r>
        <w:rPr>
          <w:b w:val="0"/>
          <w:i w:val="0"/>
        </w:rPr>
        <w:t>Selected annotated passages.</w:t>
      </w:r>
    </w:p>
    <w:p>
      <w:pPr>
        <w:ind w:left="187" w:hanging="187"/>
      </w:pPr>
      <w:r>
        <w:t xml:space="preserve">• </w:t>
      </w:r>
      <w:r>
        <w:rPr>
          <w:b/>
          <w:i w:val="0"/>
        </w:rPr>
        <w:t>II.11.8 (Latin PDF p. 184; English PDF p. 185).</w:t>
      </w:r>
      <w:r>
        <w:rPr>
          <w:b w:val="0"/>
          <w:i w:val="0"/>
        </w:rPr>
        <w:t xml:space="preserve"> Fire lacks mastery of the whole differentiated work.</w:t>
      </w:r>
    </w:p>
    <w:p>
      <w:pPr>
        <w:ind w:left="187" w:hanging="187"/>
      </w:pPr>
      <w:r>
        <w:t xml:space="preserve">• </w:t>
      </w:r>
      <w:r>
        <w:rPr>
          <w:b/>
          <w:i w:val="0"/>
        </w:rPr>
        <w:t>II.11.38 (Latin PDF p. 200; English PDF p. 201).</w:t>
      </w:r>
      <w:r>
        <w:rPr>
          <w:b w:val="0"/>
          <w:i w:val="0"/>
        </w:rPr>
        <w:t xml:space="preserve"> Mastery of production is linked with free disposal of effects.</w:t>
      </w:r>
    </w:p>
    <w:p>
      <w:pPr>
        <w:ind w:left="187" w:hanging="187"/>
      </w:pPr>
      <w:r>
        <w:t xml:space="preserve">• </w:t>
      </w:r>
      <w:r>
        <w:rPr>
          <w:b/>
          <w:i w:val="0"/>
        </w:rPr>
        <w:t>II.12.7 (Latin PDF p. 204; English PDF p. 205).</w:t>
      </w:r>
      <w:r>
        <w:rPr>
          <w:b w:val="0"/>
          <w:i w:val="0"/>
        </w:rPr>
        <w:t xml:space="preserve"> Sui iuris describes increasing self-mastery and divine supremacy.</w:t>
      </w:r>
    </w:p>
    <w:p>
      <w:pPr>
        <w:ind w:left="187" w:hanging="187"/>
      </w:pPr>
      <w:r>
        <w:t xml:space="preserve">• </w:t>
      </w:r>
      <w:r>
        <w:rPr>
          <w:b/>
          <w:i w:val="0"/>
        </w:rPr>
        <w:t>II.12.8 (Latin PDF p. 206; English PDF p. 207).</w:t>
      </w:r>
      <w:r>
        <w:rPr>
          <w:b w:val="0"/>
          <w:i w:val="0"/>
        </w:rPr>
        <w:t xml:space="preserve"> Compos concerns command of intelligence and essence under their identity in God.</w:t>
      </w:r>
    </w:p>
    <w:p>
      <w:pPr>
        <w:ind w:left="187" w:hanging="187"/>
      </w:pPr>
      <w:r>
        <w:t xml:space="preserve">• </w:t>
      </w:r>
      <w:r>
        <w:rPr>
          <w:b/>
          <w:i w:val="0"/>
        </w:rPr>
        <w:t>IV.1.44–52, PDF pp. 304–309:</w:t>
      </w:r>
      <w:r>
        <w:rPr>
          <w:b w:val="0"/>
          <w:i w:val="0"/>
        </w:rPr>
        <w:t xml:space="preserve"> faculties and governing souls are ranked; Apollo directs the cosmic chorus</w:t>
      </w:r>
    </w:p>
    <w:p>
      <w:pPr>
        <w:ind w:left="187" w:hanging="187"/>
      </w:pPr>
      <w:r>
        <w:t xml:space="preserve">• </w:t>
      </w:r>
      <w:r>
        <w:rPr>
          <w:b/>
          <w:i w:val="0"/>
        </w:rPr>
        <w:t>IV.1.65, pp. 314–315:</w:t>
      </w:r>
      <w:r>
        <w:rPr>
          <w:b w:val="0"/>
          <w:i w:val="0"/>
        </w:rPr>
        <w:t xml:space="preserve"> a self-moving thing governs itself while mediating stability and externally moved body</w:t>
      </w:r>
    </w:p>
    <w:p>
      <w:pPr>
        <w:ind w:left="187" w:hanging="187"/>
      </w:pPr>
      <w:r>
        <w:t xml:space="preserve">• </w:t>
      </w:r>
      <w:r>
        <w:rPr>
          <w:b/>
          <w:i w:val="0"/>
        </w:rPr>
        <w:t>IV.1.82 and IV.1.86, pp. 324–327:</w:t>
      </w:r>
      <w:r>
        <w:rPr>
          <w:b w:val="0"/>
          <w:i w:val="0"/>
        </w:rPr>
        <w:t xml:space="preserve"> cosmic cooperation receives higher direction and distributes unity, order, and motion</w:t>
      </w:r>
    </w:p>
    <w:p>
      <w:pPr>
        <w:ind w:left="187" w:hanging="187"/>
      </w:pPr>
      <w:r>
        <w:t xml:space="preserve">• </w:t>
      </w:r>
      <w:r>
        <w:rPr>
          <w:b/>
          <w:i w:val="0"/>
        </w:rPr>
        <w:t>IV.2.19, pp. 344–345:</w:t>
      </w:r>
      <w:r>
        <w:rPr>
          <w:b w:val="0"/>
          <w:i w:val="0"/>
        </w:rPr>
        <w:t xml:space="preserve"> the slightest nod figures the ease of a soul’s bodily direction</w:t>
      </w:r>
    </w:p>
    <w:p>
      <w:pPr>
        <w:keepNext/>
        <w:widowControl/>
      </w:pPr>
      <w:r>
        <w:rPr>
          <w:b/>
          <w:i w:val="0"/>
        </w:rPr>
        <w:t>In this edition.</w:t>
      </w:r>
    </w:p>
    <w:p>
      <w:pPr>
        <w:widowControl/>
      </w:pPr>
      <w:r>
        <w:t>“</w:t>
      </w:r>
      <w:r>
        <w:rPr>
          <w:b w:val="0"/>
          <w:i w:val="0"/>
        </w:rPr>
        <w:t>Rule,</w:t>
      </w:r>
      <w:r>
        <w:t>”</w:t>
      </w:r>
      <w:r>
        <w:rPr>
          <w:b w:val="0"/>
          <w:i w:val="0"/>
        </w:rPr>
        <w:t xml:space="preserve"> </w:t>
      </w:r>
      <w:r>
        <w:t>“</w:t>
      </w:r>
      <w:r>
        <w:rPr>
          <w:b w:val="0"/>
          <w:i w:val="0"/>
        </w:rPr>
        <w:t>preside,</w:t>
      </w:r>
      <w:r>
        <w:t>”</w:t>
      </w:r>
      <w:r>
        <w:rPr>
          <w:b w:val="0"/>
          <w:i w:val="0"/>
        </w:rPr>
        <w:t xml:space="preserve"> </w:t>
      </w:r>
      <w:r>
        <w:t>“</w:t>
      </w:r>
      <w:r>
        <w:rPr>
          <w:b w:val="0"/>
          <w:i w:val="0"/>
        </w:rPr>
        <w:t>guide,</w:t>
      </w:r>
      <w:r>
        <w:t>”</w:t>
      </w:r>
      <w:r>
        <w:rPr>
          <w:b w:val="0"/>
          <w:i w:val="0"/>
        </w:rPr>
        <w:t xml:space="preserve"> </w:t>
      </w:r>
      <w:r>
        <w:t>“</w:t>
      </w:r>
      <w:r>
        <w:rPr>
          <w:b w:val="0"/>
          <w:i w:val="0"/>
        </w:rPr>
        <w:t>command,</w:t>
      </w:r>
      <w:r>
        <w:t>”</w:t>
      </w:r>
      <w:r>
        <w:rPr>
          <w:b w:val="0"/>
          <w:i w:val="0"/>
        </w:rPr>
        <w:t xml:space="preserve"> and </w:t>
      </w:r>
      <w:r>
        <w:t>“</w:t>
      </w:r>
      <w:r>
        <w:rPr>
          <w:b w:val="0"/>
          <w:i w:val="0"/>
        </w:rPr>
        <w:t>dominion</w:t>
      </w:r>
      <w:r>
        <w:t>”</w:t>
      </w:r>
      <w:r>
        <w:rPr>
          <w:b w:val="0"/>
          <w:i w:val="0"/>
        </w:rPr>
        <w:t xml:space="preserve"> preserve distinctions that an unspecified </w:t>
      </w:r>
      <w:r>
        <w:t>“</w:t>
      </w:r>
      <w:r>
        <w:rPr>
          <w:b w:val="0"/>
          <w:i w:val="0"/>
        </w:rPr>
        <w:t>cause</w:t>
      </w:r>
      <w:r>
        <w:t>”</w:t>
      </w:r>
      <w:r>
        <w:rPr>
          <w:b w:val="0"/>
          <w:i w:val="0"/>
        </w:rPr>
        <w:t xml:space="preserve"> would lose, but do not all assert absolute sovereignty. </w:t>
      </w:r>
      <w:r>
        <w:rPr>
          <w:b w:val="0"/>
          <w:i/>
        </w:rPr>
        <w:t>Imperium</w:t>
      </w:r>
      <w:r>
        <w:rPr>
          <w:b w:val="0"/>
          <w:i w:val="0"/>
        </w:rPr>
        <w:t xml:space="preserve"> is not automatically an earthly empire. </w:t>
      </w:r>
      <w:r>
        <w:t>“</w:t>
      </w:r>
      <w:r>
        <w:rPr>
          <w:b w:val="0"/>
          <w:i w:val="0"/>
        </w:rPr>
        <w:t>His own master</w:t>
      </w:r>
      <w:r>
        <w:t>”</w:t>
      </w:r>
      <w:r>
        <w:rPr>
          <w:b w:val="0"/>
          <w:i w:val="0"/>
        </w:rPr>
        <w:t xml:space="preserve"> renders </w:t>
      </w:r>
      <w:r>
        <w:rPr>
          <w:b w:val="0"/>
          <w:i/>
        </w:rPr>
        <w:t>sui iuris</w:t>
      </w:r>
      <w:r>
        <w:rPr>
          <w:b w:val="0"/>
          <w:i w:val="0"/>
        </w:rPr>
        <w:t xml:space="preserve">; </w:t>
      </w:r>
      <w:r>
        <w:t>“</w:t>
      </w:r>
      <w:r>
        <w:rPr>
          <w:b w:val="0"/>
          <w:i w:val="0"/>
        </w:rPr>
        <w:t>command of will</w:t>
      </w:r>
      <w:r>
        <w:t>”</w:t>
      </w:r>
      <w:r>
        <w:rPr>
          <w:b w:val="0"/>
          <w:i w:val="0"/>
        </w:rPr>
        <w:t xml:space="preserve"> at II.12.1 renders </w:t>
      </w:r>
      <w:r>
        <w:rPr>
          <w:b w:val="0"/>
          <w:i/>
        </w:rPr>
        <w:t>voluntatis imperio</w:t>
      </w:r>
      <w:r>
        <w:rPr>
          <w:b w:val="0"/>
          <w:i w:val="0"/>
        </w:rPr>
        <w:t xml:space="preserve"> without requiring a spoken order or arbitrary decree. In IV.1.82, </w:t>
      </w:r>
      <w:r>
        <w:t>“</w:t>
      </w:r>
      <w:r>
        <w:rPr>
          <w:b w:val="0"/>
          <w:i w:val="0"/>
        </w:rPr>
        <w:t>commands</w:t>
      </w:r>
      <w:r>
        <w:t>”</w:t>
      </w:r>
      <w:r>
        <w:rPr>
          <w:b w:val="0"/>
          <w:i w:val="0"/>
        </w:rPr>
        <w:t xml:space="preserve"> interprets the plural </w:t>
      </w:r>
      <w:r>
        <w:rPr>
          <w:b w:val="0"/>
          <w:i/>
        </w:rPr>
        <w:t>nutus</w:t>
      </w:r>
      <w:r>
        <w:rPr>
          <w:b w:val="0"/>
          <w:i w:val="0"/>
        </w:rPr>
        <w:t xml:space="preserve"> as higher guidance. These expressions must remain alongside the distinctions between absolute freedom, conditioned freedom and subordinate agency.</w:t>
      </w:r>
    </w:p>
    <w:p>
      <w:pPr>
        <w:keepNext/>
        <w:widowControl/>
      </w:pPr>
      <w:r>
        <w:rPr>
          <w:b/>
          <w:i w:val="0"/>
        </w:rPr>
        <w:t>See also.</w:t>
      </w:r>
    </w:p>
    <w:p>
      <w:pPr>
        <w:widowControl/>
      </w:pPr>
      <w:hyperlink w:anchor="lorenzo-dedication-and-public-authority">
        <w:r>
          <w:rPr>
            <w:color w:val="000000"/>
          </w:rPr>
          <w:t xml:space="preserve">Lorenzo, dedication and public authority</w:t>
        </w:r>
      </w:hyperlink>
      <w:r>
        <w:rPr>
          <w:b w:val="0"/>
          <w:i w:val="0"/>
        </w:rPr>
        <w:t xml:space="preserve">; </w:t>
      </w:r>
      <w:hyperlink w:anchor="cause">
        <w:r>
          <w:rPr>
            <w:color w:val="000000"/>
          </w:rPr>
          <w:t xml:space="preserve">Cause</w:t>
        </w:r>
      </w:hyperlink>
      <w:r>
        <w:rPr>
          <w:b w:val="0"/>
          <w:i w:val="0"/>
        </w:rPr>
        <w:t xml:space="preserve">; </w:t>
      </w:r>
      <w:hyperlink w:anchor="good-and-goodness">
        <w:r>
          <w:rPr>
            <w:color w:val="000000"/>
          </w:rPr>
          <w:t xml:space="preserve">Good and goodness</w:t>
        </w:r>
      </w:hyperlink>
      <w:r>
        <w:rPr>
          <w:b w:val="0"/>
          <w:i w:val="0"/>
        </w:rPr>
        <w:t xml:space="preserve">; </w:t>
      </w:r>
      <w:hyperlink w:anchor="freedom-and-necessity">
        <w:r>
          <w:rPr>
            <w:color w:val="000000"/>
          </w:rPr>
          <w:t xml:space="preserve">Freedom and necessity</w:t>
        </w:r>
      </w:hyperlink>
      <w:r>
        <w:rPr>
          <w:b w:val="0"/>
          <w:i w:val="0"/>
        </w:rPr>
        <w:t>.</w:t>
      </w:r>
    </w:p>
    <w:p>
      <w:pPr>
        <w:widowControl/>
      </w:pPr>
      <w:hyperlink w:anchor="freedom-and-necessity">
        <w:r>
          <w:rPr>
            <w:color w:val="000000"/>
          </w:rPr>
          <w:t xml:space="preserve">Freedom and necessity</w:t>
        </w:r>
      </w:hyperlink>
      <w:r>
        <w:rPr>
          <w:b w:val="0"/>
          <w:i w:val="0"/>
        </w:rPr>
        <w:t xml:space="preserve">; </w:t>
      </w:r>
      <w:hyperlink w:anchor="will">
        <w:r>
          <w:rPr>
            <w:color w:val="000000"/>
          </w:rPr>
          <w:t xml:space="preserve">Will</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need-and-sufficiency">
        <w:r>
          <w:rPr>
            <w:color w:val="000000"/>
          </w:rPr>
          <w:t xml:space="preserve">Need and sufficiency</w:t>
        </w:r>
      </w:hyperlink>
      <w:r>
        <w:rPr>
          <w:b w:val="0"/>
          <w:i w:val="0"/>
        </w:rPr>
        <w:t>.</w:t>
      </w:r>
    </w:p>
    <w:p>
      <w:pPr>
        <w:widowControl/>
      </w:pPr>
      <w:hyperlink w:anchor="order-and-harmony">
        <w:r>
          <w:rPr>
            <w:color w:val="000000"/>
          </w:rPr>
          <w:t xml:space="preserve">Order and harmony</w:t>
        </w:r>
      </w:hyperlink>
      <w:r>
        <w:rPr>
          <w:b w:val="0"/>
          <w:i w:val="0"/>
        </w:rPr>
        <w:t xml:space="preserve">; </w:t>
      </w:r>
      <w:hyperlink w:anchor="twelve">
        <w:r>
          <w:rPr>
            <w:color w:val="000000"/>
          </w:rPr>
          <w:t xml:space="preserve">Twelve</w:t>
        </w:r>
      </w:hyperlink>
      <w:r>
        <w:rPr>
          <w:b w:val="0"/>
          <w:i w:val="0"/>
        </w:rPr>
        <w:t xml:space="preserve">; </w:t>
      </w:r>
      <w:hyperlink w:anchor="bacchus-and-the-muses">
        <w:r>
          <w:rPr>
            <w:color w:val="000000"/>
          </w:rPr>
          <w:t xml:space="preserve">Bacchus and the Muses</w:t>
        </w:r>
      </w:hyperlink>
      <w:r>
        <w:rPr>
          <w:b w:val="0"/>
          <w:i w:val="0"/>
        </w:rPr>
        <w:t xml:space="preserve">; </w:t>
      </w:r>
      <w:hyperlink w:anchor="through-itself-and-through-another">
        <w:r>
          <w:rPr>
            <w:color w:val="000000"/>
          </w:rPr>
          <w:t xml:space="preserve">Through itself and through another</w:t>
        </w:r>
      </w:hyperlink>
      <w:r>
        <w:rPr>
          <w:b w:val="0"/>
          <w:i w:val="0"/>
        </w:rPr>
        <w:t>.</w:t>
      </w:r>
    </w:p>
    <w:p>
      <w:bookmarkStart w:id="109" w:name="great-year"/>
      <w:pPr>
        <w:pStyle w:val="Heading2"/>
      </w:pPr>
      <w:r>
        <w:rPr>
          <w:b w:val="0"/>
          <w:i w:val="0"/>
        </w:rPr>
        <w:t>Great year</w:t>
      </w:r>
      <w:bookmarkEnd w:id="109"/>
    </w:p>
    <w:p>
      <w:pPr>
        <w:keepNext/>
        <w:widowControl/>
      </w:pPr>
      <w:r>
        <w:rPr>
          <w:b/>
          <w:i w:val="0"/>
        </w:rPr>
        <w:t>Latin:</w:t>
      </w:r>
      <w:r>
        <w:rPr>
          <w:b w:val="0"/>
          <w:i w:val="0"/>
        </w:rPr>
        <w:t xml:space="preserve"> </w:t>
      </w:r>
      <w:r>
        <w:rPr>
          <w:b w:val="0"/>
          <w:i/>
        </w:rPr>
        <w:t>magnus ac mundanus annus</w:t>
      </w:r>
      <w:r>
        <w:rPr>
          <w:b w:val="0"/>
          <w:i w:val="0"/>
        </w:rPr>
        <w:t xml:space="preserve">; </w:t>
      </w:r>
      <w:r>
        <w:rPr>
          <w:b w:val="0"/>
          <w:i/>
        </w:rPr>
        <w:t>mundi senium</w:t>
      </w:r>
      <w:r>
        <w:rPr>
          <w:b w:val="0"/>
          <w:i w:val="0"/>
        </w:rPr>
        <w:t xml:space="preserve">; </w:t>
      </w:r>
      <w:r>
        <w:rPr>
          <w:b w:val="0"/>
          <w:i/>
        </w:rPr>
        <w:t>mundi restitutio</w:t>
      </w:r>
    </w:p>
    <w:p>
      <w:pPr>
        <w:keepNext/>
        <w:widowControl/>
      </w:pPr>
      <w:r>
        <w:rPr>
          <w:b/>
          <w:i w:val="0"/>
        </w:rPr>
        <w:t>The word.</w:t>
      </w:r>
    </w:p>
    <w:p>
      <w:pPr>
        <w:widowControl/>
      </w:pPr>
      <w:r>
        <w:rPr>
          <w:b w:val="0"/>
          <w:i w:val="0"/>
        </w:rPr>
        <w:t>Magnus ac mundanus annus is the great or cosmic year; mundi senium the world’s old age, and mundi restitutio its restoration. The terms name a cosmological return, not an ordinary solar year.</w:t>
      </w:r>
    </w:p>
    <w:p>
      <w:pPr>
        <w:keepNext/>
        <w:widowControl/>
      </w:pPr>
      <w:r>
        <w:rPr>
          <w:b/>
          <w:i w:val="0"/>
        </w:rPr>
        <w:t>In the Platonic Theology.</w:t>
      </w:r>
    </w:p>
    <w:p>
      <w:pPr>
        <w:widowControl/>
      </w:pPr>
      <w:r>
        <w:rPr>
          <w:b w:val="0"/>
          <w:i w:val="0"/>
        </w:rPr>
        <w:t xml:space="preserve">IV.2.12 explains the great year through the finite number of a cosmic soul’s seminal contents and its continued activity. Having passed through all seeds, the soul must either rest, </w:t>
      </w:r>
      <w:r>
        <w:t>“</w:t>
      </w:r>
      <w:r>
        <w:rPr>
          <w:b w:val="0"/>
          <w:i w:val="0"/>
        </w:rPr>
        <w:t>as it seems to us,</w:t>
      </w:r>
      <w:r>
        <w:t>”</w:t>
      </w:r>
      <w:r>
        <w:rPr>
          <w:b w:val="0"/>
          <w:i w:val="0"/>
        </w:rPr>
        <w:t xml:space="preserve"> or traverse them again and reweave the sequence of generation. Ficino reports a cycle of thirty-six thousand solar years as the Platonists’ period for the universal circuit. He associates its end with Mercury’s world-old-age and Plato’s world-restoration, and attributes to Zoroaster and followers an argument for bodily resurrection based on the return of the same causes and effects. These attributions are part of the supplied primary text; the apparatus does not independently establish their ancient provenance. The passage preserves alternatives between rest and renewed traversal. Its numerical period is part of the attributed cosmological theory, not a measured astronomical result.</w:t>
      </w:r>
    </w:p>
    <w:p>
      <w:pPr>
        <w:keepNext/>
        <w:widowControl/>
      </w:pPr>
      <w:r>
        <w:rPr>
          <w:b/>
          <w:i w:val="0"/>
        </w:rPr>
        <w:t>The places.</w:t>
      </w:r>
    </w:p>
    <w:p>
      <w:pPr>
        <w:ind w:left="187" w:hanging="187"/>
      </w:pPr>
      <w:r>
        <w:t xml:space="preserve">• </w:t>
      </w:r>
      <w:r>
        <w:rPr>
          <w:b/>
          <w:i w:val="0"/>
        </w:rPr>
        <w:t>IV.2.12, PDF 340–341</w:t>
      </w:r>
      <w:r>
        <w:rPr>
          <w:b w:val="0"/>
          <w:i w:val="0"/>
        </w:rPr>
        <w:t>. A finite stock of seeds and continued psychic activity motivate either rest or recurring generation.</w:t>
      </w:r>
    </w:p>
    <w:p>
      <w:pPr>
        <w:ind w:left="187" w:hanging="187"/>
      </w:pPr>
      <w:r>
        <w:t xml:space="preserve">• </w:t>
      </w:r>
      <w:r>
        <w:rPr>
          <w:b/>
          <w:i w:val="0"/>
        </w:rPr>
        <w:t>IV.2.12, PDF 340–341</w:t>
      </w:r>
      <w:r>
        <w:rPr>
          <w:b w:val="0"/>
          <w:i w:val="0"/>
        </w:rPr>
        <w:t>. The period and names for its ending are expressly assigned to the Platonists, Mercury and Plato.</w:t>
      </w:r>
    </w:p>
    <w:p>
      <w:pPr>
        <w:widowControl/>
      </w:pPr>
      <w:r>
        <w:rPr>
          <w:b/>
          <w:i w:val="0"/>
        </w:rPr>
        <w:t>Further passage references.</w:t>
      </w:r>
      <w:r>
        <w:rPr>
          <w:b w:val="0"/>
          <w:i w:val="0"/>
        </w:rPr>
        <w:t xml:space="preserve"> IV.2.12, pp. 340–341</w:t>
      </w:r>
    </w:p>
    <w:p>
      <w:pPr>
        <w:keepNext/>
        <w:widowControl/>
      </w:pPr>
      <w:r>
        <w:rPr>
          <w:b/>
          <w:i w:val="0"/>
        </w:rPr>
        <w:t>In this edition.</w:t>
      </w:r>
    </w:p>
    <w:p>
      <w:pPr>
        <w:widowControl/>
      </w:pPr>
      <w:r>
        <w:rPr>
          <w:b w:val="0"/>
          <w:i w:val="0"/>
        </w:rPr>
        <w:t>The proposed period is thirty-six thousand solar years, attributed to the Platonists. Preserve vel … vel and ut nobis videtur: rest and renewed traversal are alternatives in the passage. The resurrection inference is reported as Zoroaster’s and followers’ reasoning, not independently proven here.</w:t>
      </w:r>
    </w:p>
    <w:p>
      <w:pPr>
        <w:keepNext/>
        <w:widowControl/>
      </w:pPr>
      <w:r>
        <w:rPr>
          <w:b/>
          <w:i w:val="0"/>
        </w:rPr>
        <w:t>See also.</w:t>
      </w:r>
    </w:p>
    <w:p>
      <w:pPr>
        <w:widowControl/>
      </w:pPr>
      <w:hyperlink w:anchor="fate">
        <w:r>
          <w:rPr>
            <w:color w:val="000000"/>
          </w:rPr>
          <w:t xml:space="preserve">Fate</w:t>
        </w:r>
      </w:hyperlink>
      <w:r>
        <w:rPr>
          <w:b w:val="0"/>
          <w:i w:val="0"/>
        </w:rPr>
        <w:t xml:space="preserve">; </w:t>
      </w:r>
      <w:hyperlink w:anchor="seeds">
        <w:r>
          <w:rPr>
            <w:color w:val="000000"/>
          </w:rPr>
          <w:t xml:space="preserve">Seeds</w:t>
        </w:r>
      </w:hyperlink>
      <w:r>
        <w:rPr>
          <w:b w:val="0"/>
          <w:i w:val="0"/>
        </w:rPr>
        <w:t xml:space="preserve">; </w:t>
      </w:r>
      <w:hyperlink w:anchor="eternity-and-time">
        <w:r>
          <w:rPr>
            <w:color w:val="000000"/>
          </w:rPr>
          <w:t xml:space="preserve">Eternity and time</w:t>
        </w:r>
      </w:hyperlink>
      <w:r>
        <w:rPr>
          <w:b w:val="0"/>
          <w:i w:val="0"/>
        </w:rPr>
        <w:t xml:space="preserve">; </w:t>
      </w:r>
      <w:hyperlink w:anchor="procession-and-return">
        <w:r>
          <w:rPr>
            <w:color w:val="000000"/>
          </w:rPr>
          <w:t xml:space="preserve">Procession and return</w:t>
        </w:r>
      </w:hyperlink>
      <w:r>
        <w:rPr>
          <w:b w:val="0"/>
          <w:i w:val="0"/>
        </w:rPr>
        <w:t xml:space="preserve">; </w:t>
      </w:r>
      <w:hyperlink w:anchor="proteus">
        <w:r>
          <w:rPr>
            <w:color w:val="000000"/>
          </w:rPr>
          <w:t xml:space="preserve">Proteus</w:t>
        </w:r>
      </w:hyperlink>
    </w:p>
    <w:p>
      <w:bookmarkStart w:id="110" w:name="habitual-possession"/>
      <w:pPr>
        <w:pStyle w:val="Heading2"/>
      </w:pPr>
      <w:r>
        <w:rPr>
          <w:b w:val="0"/>
          <w:i w:val="0"/>
        </w:rPr>
        <w:t>Habitual possession</w:t>
      </w:r>
      <w:bookmarkEnd w:id="110"/>
    </w:p>
    <w:p>
      <w:pPr>
        <w:keepNext/>
        <w:widowControl/>
      </w:pPr>
      <w:r>
        <w:rPr>
          <w:b/>
          <w:i w:val="0"/>
        </w:rPr>
        <w:t>Latin:</w:t>
      </w:r>
      <w:r>
        <w:rPr>
          <w:b w:val="0"/>
          <w:i w:val="0"/>
        </w:rPr>
        <w:t xml:space="preserve"> </w:t>
      </w:r>
      <w:r>
        <w:rPr>
          <w:b w:val="0"/>
          <w:i/>
        </w:rPr>
        <w:t>habitu</w:t>
      </w:r>
      <w:r>
        <w:rPr>
          <w:b w:val="0"/>
          <w:i w:val="0"/>
        </w:rPr>
        <w:t xml:space="preserve">; </w:t>
      </w:r>
      <w:r>
        <w:rPr>
          <w:b w:val="0"/>
          <w:i/>
        </w:rPr>
        <w:t>possessione et habitu</w:t>
      </w:r>
      <w:r>
        <w:rPr>
          <w:b w:val="0"/>
          <w:i w:val="0"/>
        </w:rPr>
        <w:t xml:space="preserve">; </w:t>
      </w:r>
      <w:r>
        <w:rPr>
          <w:b w:val="0"/>
          <w:i/>
        </w:rPr>
        <w:t>actu</w:t>
      </w:r>
      <w:r>
        <w:rPr>
          <w:b w:val="0"/>
          <w:i w:val="0"/>
        </w:rPr>
        <w:t xml:space="preserve">; </w:t>
      </w:r>
      <w:r>
        <w:rPr>
          <w:b w:val="0"/>
          <w:i/>
        </w:rPr>
        <w:t>potentia</w:t>
      </w:r>
    </w:p>
    <w:p>
      <w:pPr>
        <w:keepNext/>
        <w:widowControl/>
      </w:pPr>
      <w:r>
        <w:rPr>
          <w:b/>
          <w:i w:val="0"/>
        </w:rPr>
        <w:t>The word.</w:t>
      </w:r>
    </w:p>
    <w:p>
      <w:pPr>
        <w:widowControl/>
      </w:pPr>
      <w:r>
        <w:rPr>
          <w:b w:val="0"/>
          <w:i w:val="0"/>
        </w:rPr>
        <w:t>Habitus names an abiding possession or settled disposition, not only a repeated behavior. Habitu contrasts with actu, actual exercise or possession in act, and potentia, the capacity to receive or realize. The phrase possessione et habitu emphasizes that content is held even when it is not all exercised at once.</w:t>
      </w:r>
    </w:p>
    <w:p>
      <w:pPr>
        <w:keepNext/>
        <w:widowControl/>
      </w:pPr>
      <w:r>
        <w:rPr>
          <w:b/>
          <w:i w:val="0"/>
        </w:rPr>
        <w:t>In the Platonic Theology.</w:t>
      </w:r>
    </w:p>
    <w:p>
      <w:pPr>
        <w:widowControl/>
      </w:pPr>
      <w:r>
        <w:rPr>
          <w:b w:val="0"/>
          <w:i w:val="0"/>
        </w:rPr>
        <w:t>Habitual possession names content abidingly held without requiring its full exercise at every moment. It is more determinate than bare potency and differs from present actuality. Book I’s contrast of potency, act, and acquired habit helps establish this vocabulary: a capacity can become a settled ability without being continuously exercised. The word does not merely mean repeated behavior.</w:t>
      </w:r>
    </w:p>
    <w:p>
      <w:pPr>
        <w:widowControl/>
      </w:pPr>
      <w:r>
        <w:rPr>
          <w:b w:val="0"/>
          <w:i w:val="0"/>
        </w:rPr>
        <w:t xml:space="preserve">IV.2.9 says that angel possesses all principles in possession and actuality together; soul has them in possession, while matter holds them potentially and receives forms by succession. The next passage refines this contrast by distinguishing powers within celestial soul. Its intellectual part has ideas simultaneously in actuality, while its lowest motive powers hold the seeds of generated things without bringing them all into act together. Thus the claim that soul does not have all actually must not be generalized across every faculty. The supplied English renders </w:t>
      </w:r>
      <w:r>
        <w:rPr>
          <w:b w:val="0"/>
          <w:i/>
        </w:rPr>
        <w:t>habitu</w:t>
      </w:r>
      <w:r>
        <w:rPr>
          <w:b w:val="0"/>
          <w:i w:val="0"/>
        </w:rPr>
        <w:t xml:space="preserve"> as possession or disposition; </w:t>
      </w:r>
      <w:r>
        <w:rPr>
          <w:b w:val="0"/>
          <w:i/>
        </w:rPr>
        <w:t>possessione et habitu</w:t>
      </w:r>
      <w:r>
        <w:rPr>
          <w:b w:val="0"/>
          <w:i w:val="0"/>
        </w:rPr>
        <w:t xml:space="preserve"> makes the stable availability of content particularly explicit. The distinction concerns how intelligible or productive contents are possessed and activated, not simply whether they are present or absent.</w:t>
      </w:r>
    </w:p>
    <w:p>
      <w:pPr>
        <w:keepNext/>
        <w:widowControl/>
      </w:pPr>
      <w:r>
        <w:rPr>
          <w:b/>
          <w:i w:val="0"/>
        </w:rPr>
        <w:t>The places.</w:t>
      </w:r>
    </w:p>
    <w:p>
      <w:pPr>
        <w:ind w:left="187" w:hanging="187"/>
      </w:pPr>
      <w:r>
        <w:t xml:space="preserve">• </w:t>
      </w:r>
      <w:r>
        <w:rPr>
          <w:b/>
          <w:i w:val="0"/>
        </w:rPr>
        <w:t>I.5.1 (PDF pp. 60–61)</w:t>
      </w:r>
      <w:r>
        <w:rPr>
          <w:b w:val="0"/>
          <w:i w:val="0"/>
        </w:rPr>
        <w:t>. Acquired power passes among potency, act, and habit while natural power endures</w:t>
      </w:r>
    </w:p>
    <w:p>
      <w:pPr>
        <w:ind w:left="187" w:hanging="187"/>
      </w:pPr>
      <w:r>
        <w:t xml:space="preserve">• </w:t>
      </w:r>
      <w:r>
        <w:rPr>
          <w:b/>
          <w:i w:val="0"/>
        </w:rPr>
        <w:t>IV.2.9 (PDF pp. 336–337)</w:t>
      </w:r>
      <w:r>
        <w:rPr>
          <w:b w:val="0"/>
          <w:i w:val="0"/>
        </w:rPr>
        <w:t>. Angel, soul, and matter differ by actuality, habitual possession, and potency</w:t>
      </w:r>
    </w:p>
    <w:p>
      <w:pPr>
        <w:ind w:left="187" w:hanging="187"/>
      </w:pPr>
      <w:r>
        <w:t xml:space="preserve">• </w:t>
      </w:r>
      <w:r>
        <w:rPr>
          <w:b/>
          <w:i w:val="0"/>
        </w:rPr>
        <w:t>IV.2.10 (PDF pp. 338–339)</w:t>
      </w:r>
      <w:r>
        <w:rPr>
          <w:b w:val="0"/>
          <w:i w:val="0"/>
        </w:rPr>
        <w:t>. The intellectual part possesses ideas actually; the lowest motive powers hold seeds without actualizing all together</w:t>
      </w:r>
    </w:p>
    <w:p>
      <w:pPr>
        <w:widowControl/>
      </w:pPr>
      <w:r>
        <w:rPr>
          <w:b/>
          <w:i w:val="0"/>
        </w:rPr>
        <w:t>Further passage references.</w:t>
      </w:r>
      <w:r>
        <w:rPr>
          <w:b w:val="0"/>
          <w:i w:val="0"/>
        </w:rPr>
        <w:t xml:space="preserve"> IV.2.9–IV.2.12, pp. 336–341; apparatus p. 394; I.5.1, PDF pp. 60–61.</w:t>
      </w:r>
    </w:p>
    <w:p>
      <w:pPr>
        <w:keepNext/>
        <w:widowControl/>
      </w:pPr>
      <w:r>
        <w:rPr>
          <w:b/>
          <w:i w:val="0"/>
        </w:rPr>
        <w:t>In this edition.</w:t>
      </w:r>
    </w:p>
    <w:p>
      <w:pPr>
        <w:widowControl/>
      </w:pPr>
      <w:r>
        <w:rPr>
          <w:b w:val="0"/>
          <w:i w:val="0"/>
        </w:rPr>
        <w:t xml:space="preserve">The supplied translation renders habitu as </w:t>
      </w:r>
      <w:r>
        <w:t>“</w:t>
      </w:r>
      <w:r>
        <w:rPr>
          <w:b w:val="0"/>
          <w:i w:val="0"/>
        </w:rPr>
        <w:t>in possession</w:t>
      </w:r>
      <w:r>
        <w:t>”</w:t>
      </w:r>
      <w:r>
        <w:rPr>
          <w:b w:val="0"/>
          <w:i w:val="0"/>
        </w:rPr>
        <w:t xml:space="preserve"> in IV.2.9 and as </w:t>
      </w:r>
      <w:r>
        <w:t>“</w:t>
      </w:r>
      <w:r>
        <w:rPr>
          <w:b w:val="0"/>
          <w:i w:val="0"/>
        </w:rPr>
        <w:t>abiding possessions</w:t>
      </w:r>
      <w:r>
        <w:t>”</w:t>
      </w:r>
      <w:r>
        <w:rPr>
          <w:b w:val="0"/>
          <w:i w:val="0"/>
        </w:rPr>
        <w:t xml:space="preserve"> or </w:t>
      </w:r>
      <w:r>
        <w:t>“</w:t>
      </w:r>
      <w:r>
        <w:rPr>
          <w:b w:val="0"/>
          <w:i w:val="0"/>
        </w:rPr>
        <w:t>disposition</w:t>
      </w:r>
      <w:r>
        <w:t>”</w:t>
      </w:r>
      <w:r>
        <w:rPr>
          <w:b w:val="0"/>
          <w:i w:val="0"/>
        </w:rPr>
        <w:t xml:space="preserve"> in IV.2.10. These are contextual renderings of the same Latin. The latter passage distinguishes the soul’s intellectual and lowest motive powers, so possession without actuality must not be applied indiscriminately to every faculty.</w:t>
      </w:r>
    </w:p>
    <w:p>
      <w:pPr>
        <w:keepNext/>
        <w:widowControl/>
      </w:pPr>
      <w:r>
        <w:rPr>
          <w:b/>
          <w:i w:val="0"/>
        </w:rPr>
        <w:t>See also.</w:t>
      </w:r>
    </w:p>
    <w:p>
      <w:pPr>
        <w:widowControl/>
      </w:pPr>
      <w:hyperlink w:anchor="power-and-potency">
        <w:r>
          <w:rPr>
            <w:color w:val="000000"/>
          </w:rPr>
          <w:t xml:space="preserve">Power and potency</w:t>
        </w:r>
      </w:hyperlink>
      <w:r>
        <w:rPr>
          <w:b w:val="0"/>
          <w:i w:val="0"/>
        </w:rPr>
        <w:t xml:space="preserve">; </w:t>
      </w:r>
      <w:hyperlink w:anchor="act-and-operation">
        <w:r>
          <w:rPr>
            <w:color w:val="000000"/>
          </w:rPr>
          <w:t xml:space="preserve">Act and operation</w:t>
        </w:r>
      </w:hyperlink>
      <w:r>
        <w:rPr>
          <w:b w:val="0"/>
          <w:i w:val="0"/>
        </w:rPr>
        <w:t xml:space="preserve">; </w:t>
      </w:r>
      <w:hyperlink w:anchor="whole-and-parts">
        <w:r>
          <w:rPr>
            <w:color w:val="000000"/>
          </w:rPr>
          <w:t xml:space="preserve">Whole and parts</w:t>
        </w:r>
      </w:hyperlink>
      <w:r>
        <w:rPr>
          <w:b w:val="0"/>
          <w:i w:val="0"/>
        </w:rPr>
        <w:t xml:space="preserve">; </w:t>
      </w:r>
      <w:hyperlink w:anchor="seeds">
        <w:r>
          <w:rPr>
            <w:color w:val="000000"/>
          </w:rPr>
          <w:t xml:space="preserve">Seeds</w:t>
        </w:r>
      </w:hyperlink>
      <w:r>
        <w:rPr>
          <w:b w:val="0"/>
          <w:i w:val="0"/>
        </w:rPr>
        <w:t xml:space="preserve">; </w:t>
      </w:r>
      <w:hyperlink w:anchor="intellectual-and-animating-powers">
        <w:r>
          <w:rPr>
            <w:color w:val="000000"/>
          </w:rPr>
          <w:t xml:space="preserve">Intellectual and animating powers</w:t>
        </w:r>
      </w:hyperlink>
    </w:p>
    <w:p>
      <w:bookmarkStart w:id="111" w:name="head-heart-and-members"/>
      <w:pPr>
        <w:pStyle w:val="Heading2"/>
      </w:pPr>
      <w:r>
        <w:rPr>
          <w:b w:val="0"/>
          <w:i w:val="0"/>
        </w:rPr>
        <w:t>Head, heart, and members</w:t>
      </w:r>
      <w:bookmarkEnd w:id="111"/>
    </w:p>
    <w:p>
      <w:pPr>
        <w:keepNext/>
        <w:widowControl/>
      </w:pPr>
      <w:r>
        <w:rPr>
          <w:b/>
          <w:i w:val="0"/>
        </w:rPr>
        <w:t>Latin:</w:t>
      </w:r>
      <w:r>
        <w:rPr>
          <w:b w:val="0"/>
          <w:i w:val="0"/>
        </w:rPr>
        <w:t xml:space="preserve"> </w:t>
      </w:r>
      <w:r>
        <w:rPr>
          <w:b w:val="0"/>
          <w:i/>
        </w:rPr>
        <w:t>cor</w:t>
      </w:r>
      <w:r>
        <w:rPr>
          <w:b w:val="0"/>
          <w:i w:val="0"/>
        </w:rPr>
        <w:t xml:space="preserve">, </w:t>
      </w:r>
      <w:r>
        <w:rPr>
          <w:b w:val="0"/>
          <w:i/>
        </w:rPr>
        <w:t>corde</w:t>
      </w:r>
      <w:r>
        <w:rPr>
          <w:b w:val="0"/>
          <w:i w:val="0"/>
        </w:rPr>
        <w:t xml:space="preserve">, </w:t>
      </w:r>
      <w:r>
        <w:rPr>
          <w:b w:val="0"/>
          <w:i/>
        </w:rPr>
        <w:t>cerebro</w:t>
      </w:r>
      <w:r>
        <w:rPr>
          <w:b w:val="0"/>
          <w:i w:val="0"/>
        </w:rPr>
        <w:t xml:space="preserve">, </w:t>
      </w:r>
      <w:r>
        <w:rPr>
          <w:b w:val="0"/>
          <w:i/>
        </w:rPr>
        <w:t>iecori</w:t>
      </w:r>
      <w:r>
        <w:rPr>
          <w:b w:val="0"/>
          <w:i w:val="0"/>
        </w:rPr>
        <w:t xml:space="preserve">, </w:t>
      </w:r>
      <w:r>
        <w:rPr>
          <w:b w:val="0"/>
          <w:i/>
        </w:rPr>
        <w:t>artus</w:t>
      </w:r>
      <w:r>
        <w:rPr>
          <w:b w:val="0"/>
          <w:i w:val="0"/>
        </w:rPr>
        <w:t xml:space="preserve">, </w:t>
      </w:r>
      <w:r>
        <w:rPr>
          <w:b w:val="0"/>
          <w:i/>
        </w:rPr>
        <w:t>articulos</w:t>
      </w:r>
      <w:r>
        <w:rPr>
          <w:b w:val="0"/>
          <w:i w:val="0"/>
        </w:rPr>
        <w:t xml:space="preserve">, </w:t>
      </w:r>
      <w:r>
        <w:rPr>
          <w:b w:val="0"/>
          <w:i/>
        </w:rPr>
        <w:t>membra</w:t>
      </w:r>
      <w:r>
        <w:rPr>
          <w:b w:val="0"/>
          <w:i w:val="0"/>
        </w:rPr>
        <w:t xml:space="preserve">, </w:t>
      </w:r>
      <w:r>
        <w:rPr>
          <w:b w:val="0"/>
          <w:i/>
        </w:rPr>
        <w:t>caput</w:t>
      </w:r>
      <w:r>
        <w:rPr>
          <w:b w:val="0"/>
          <w:i w:val="0"/>
        </w:rPr>
        <w:t>.</w:t>
      </w:r>
    </w:p>
    <w:p>
      <w:pPr>
        <w:keepNext/>
        <w:widowControl/>
      </w:pPr>
      <w:r>
        <w:rPr>
          <w:b/>
          <w:i w:val="0"/>
        </w:rPr>
        <w:t>The word.</w:t>
      </w:r>
    </w:p>
    <w:p>
      <w:pPr>
        <w:widowControl/>
      </w:pPr>
      <w:r>
        <w:rPr>
          <w:b w:val="0"/>
          <w:i/>
        </w:rPr>
        <w:t>Cor</w:t>
      </w:r>
      <w:r>
        <w:rPr>
          <w:b w:val="0"/>
          <w:i w:val="0"/>
        </w:rPr>
        <w:t xml:space="preserve"> is heart, </w:t>
      </w:r>
      <w:r>
        <w:rPr>
          <w:b w:val="0"/>
          <w:i/>
        </w:rPr>
        <w:t>cerebrum</w:t>
      </w:r>
      <w:r>
        <w:rPr>
          <w:b w:val="0"/>
          <w:i w:val="0"/>
        </w:rPr>
        <w:t xml:space="preserve"> brain, </w:t>
      </w:r>
      <w:r>
        <w:rPr>
          <w:b w:val="0"/>
          <w:i/>
        </w:rPr>
        <w:t>iecur</w:t>
      </w:r>
      <w:r>
        <w:rPr>
          <w:b w:val="0"/>
          <w:i w:val="0"/>
        </w:rPr>
        <w:t xml:space="preserve"> liver; </w:t>
      </w:r>
      <w:r>
        <w:rPr>
          <w:b w:val="0"/>
          <w:i/>
        </w:rPr>
        <w:t>caput</w:t>
      </w:r>
      <w:r>
        <w:rPr>
          <w:b w:val="0"/>
          <w:i w:val="0"/>
        </w:rPr>
        <w:t xml:space="preserve"> head. </w:t>
      </w:r>
      <w:r>
        <w:rPr>
          <w:b w:val="0"/>
          <w:i/>
        </w:rPr>
        <w:t>Artus</w:t>
      </w:r>
      <w:r>
        <w:rPr>
          <w:b w:val="0"/>
          <w:i w:val="0"/>
        </w:rPr>
        <w:t xml:space="preserve"> and </w:t>
      </w:r>
      <w:r>
        <w:rPr>
          <w:b w:val="0"/>
          <w:i/>
        </w:rPr>
        <w:t>articuli</w:t>
      </w:r>
      <w:r>
        <w:rPr>
          <w:b w:val="0"/>
          <w:i w:val="0"/>
        </w:rPr>
        <w:t xml:space="preserve"> can name limbs and their joints, while </w:t>
      </w:r>
      <w:r>
        <w:rPr>
          <w:b w:val="0"/>
          <w:i/>
        </w:rPr>
        <w:t>membra</w:t>
      </w:r>
      <w:r>
        <w:rPr>
          <w:b w:val="0"/>
          <w:i w:val="0"/>
        </w:rPr>
        <w:t xml:space="preserve"> is a broader word for members. The bodily vocabulary provides both reported physiological assignments and comparisons of cosmic hierarchy.</w:t>
      </w:r>
    </w:p>
    <w:p>
      <w:pPr>
        <w:keepNext/>
        <w:widowControl/>
      </w:pPr>
      <w:r>
        <w:rPr>
          <w:b/>
          <w:i w:val="0"/>
        </w:rPr>
        <w:t>In the Platonic Theology.</w:t>
      </w:r>
    </w:p>
    <w:p>
      <w:pPr>
        <w:widowControl/>
      </w:pPr>
      <w:r>
        <w:rPr>
          <w:b w:val="0"/>
          <w:i w:val="0"/>
        </w:rPr>
        <w:t xml:space="preserve">The Pythagorean excursion compares the world’s twelve members and many joints with a descending organization of souls. A principal star is pictured as the heart of each zodiacal creature and the seat of its principal soul. In the immediately following classification of human lives, reason is assigned to brain, anger to heart, and desire to liver. These are different uses of </w:t>
      </w:r>
      <w:r>
        <w:t>“</w:t>
      </w:r>
      <w:r>
        <w:rPr>
          <w:b w:val="0"/>
          <w:i w:val="0"/>
        </w:rPr>
        <w:t>heart</w:t>
      </w:r>
      <w:r>
        <w:t>”</w:t>
      </w:r>
      <w:r>
        <w:rPr>
          <w:b w:val="0"/>
          <w:i w:val="0"/>
        </w:rPr>
        <w:t>: the zodiacal heart identifies a ruling center, while the human heart is assigned one faculty within a tripartite physiological arrangement.</w:t>
      </w:r>
    </w:p>
    <w:p>
      <w:pPr>
        <w:widowControl/>
      </w:pPr>
      <w:r>
        <w:rPr>
          <w:b w:val="0"/>
          <w:i w:val="0"/>
        </w:rPr>
        <w:t xml:space="preserve">Later the world’s contrary members cooperate through one life, and the parts of animal bodies are described as furnished with distinct organs. The </w:t>
      </w:r>
      <w:r>
        <w:t>“</w:t>
      </w:r>
      <w:r>
        <w:rPr>
          <w:b w:val="0"/>
          <w:i w:val="0"/>
        </w:rPr>
        <w:t>head</w:t>
      </w:r>
      <w:r>
        <w:t>”</w:t>
      </w:r>
      <w:r>
        <w:rPr>
          <w:b w:val="0"/>
          <w:i w:val="0"/>
        </w:rPr>
        <w:t xml:space="preserve"> of mind and reason in celestial soul is again hierarchical: soul’s unity is the head of its mind, and mind the head of reason. That language orders dependence rather than placing a literal brain inside an incorporeal soul.</w:t>
      </w:r>
    </w:p>
    <w:p>
      <w:pPr>
        <w:keepNext/>
        <w:widowControl/>
      </w:pPr>
      <w:r>
        <w:rPr>
          <w:b/>
          <w:i w:val="0"/>
        </w:rPr>
        <w:t>The places.</w:t>
      </w:r>
    </w:p>
    <w:p>
      <w:pPr>
        <w:ind w:left="187" w:hanging="187"/>
      </w:pPr>
      <w:r>
        <w:t xml:space="preserve">• </w:t>
      </w:r>
      <w:r>
        <w:rPr>
          <w:b/>
          <w:i w:val="0"/>
        </w:rPr>
        <w:t>IV.1.42–44, PDF pp. 302–305:</w:t>
      </w:r>
      <w:r>
        <w:rPr>
          <w:b w:val="0"/>
          <w:i w:val="0"/>
        </w:rPr>
        <w:t xml:space="preserve"> cosmic members, zodiacal hearts, and human brain-heart-liver assignments belong to the marked numerical excursion</w:t>
      </w:r>
    </w:p>
    <w:p>
      <w:pPr>
        <w:ind w:left="187" w:hanging="187"/>
      </w:pPr>
      <w:r>
        <w:t xml:space="preserve">• </w:t>
      </w:r>
      <w:r>
        <w:rPr>
          <w:b/>
          <w:i w:val="0"/>
        </w:rPr>
        <w:t>IV.1.79 and IV.1.82–83, pp. 322–325:</w:t>
      </w:r>
      <w:r>
        <w:rPr>
          <w:b w:val="0"/>
          <w:i w:val="0"/>
        </w:rPr>
        <w:t xml:space="preserve"> organs differentiate bodies while common life unites the world’s members</w:t>
      </w:r>
    </w:p>
    <w:p>
      <w:pPr>
        <w:ind w:left="187" w:hanging="187"/>
      </w:pPr>
      <w:r>
        <w:t xml:space="preserve">• </w:t>
      </w:r>
      <w:r>
        <w:rPr>
          <w:b/>
          <w:i w:val="0"/>
        </w:rPr>
        <w:t>IV.2.11, pp. 338–339:</w:t>
      </w:r>
      <w:r>
        <w:rPr>
          <w:b w:val="0"/>
          <w:i w:val="0"/>
        </w:rPr>
        <w:t xml:space="preserve"> </w:t>
      </w:r>
      <w:r>
        <w:t>“</w:t>
      </w:r>
      <w:r>
        <w:rPr>
          <w:b w:val="0"/>
          <w:i w:val="0"/>
        </w:rPr>
        <w:t>head</w:t>
      </w:r>
      <w:r>
        <w:t>”</w:t>
      </w:r>
      <w:r>
        <w:rPr>
          <w:b w:val="0"/>
          <w:i w:val="0"/>
        </w:rPr>
        <w:t xml:space="preserve"> marks higher direction within the returning celestial soul</w:t>
      </w:r>
    </w:p>
    <w:p>
      <w:pPr>
        <w:keepNext/>
        <w:widowControl/>
      </w:pPr>
      <w:r>
        <w:rPr>
          <w:b/>
          <w:i w:val="0"/>
        </w:rPr>
        <w:t>In this edition.</w:t>
      </w:r>
    </w:p>
    <w:p>
      <w:pPr>
        <w:widowControl/>
      </w:pPr>
      <w:r>
        <w:t>“</w:t>
      </w:r>
      <w:r>
        <w:rPr>
          <w:b w:val="0"/>
          <w:i w:val="0"/>
        </w:rPr>
        <w:t>Members,</w:t>
      </w:r>
      <w:r>
        <w:t>”</w:t>
      </w:r>
      <w:r>
        <w:rPr>
          <w:b w:val="0"/>
          <w:i w:val="0"/>
        </w:rPr>
        <w:t xml:space="preserve"> </w:t>
      </w:r>
      <w:r>
        <w:t>“</w:t>
      </w:r>
      <w:r>
        <w:rPr>
          <w:b w:val="0"/>
          <w:i w:val="0"/>
        </w:rPr>
        <w:t>joints,</w:t>
      </w:r>
      <w:r>
        <w:t>”</w:t>
      </w:r>
      <w:r>
        <w:rPr>
          <w:b w:val="0"/>
          <w:i w:val="0"/>
        </w:rPr>
        <w:t xml:space="preserve"> and </w:t>
      </w:r>
      <w:r>
        <w:t>“</w:t>
      </w:r>
      <w:r>
        <w:rPr>
          <w:b w:val="0"/>
          <w:i w:val="0"/>
        </w:rPr>
        <w:t>heart</w:t>
      </w:r>
      <w:r>
        <w:t>”</w:t>
      </w:r>
      <w:r>
        <w:rPr>
          <w:b w:val="0"/>
          <w:i w:val="0"/>
        </w:rPr>
        <w:t xml:space="preserve"> retain the bodily comparisons. They should not be silently converted into modern anatomical claims or conflated with an invariant occult correspondence system.</w:t>
      </w:r>
    </w:p>
    <w:p>
      <w:pPr>
        <w:keepNext/>
        <w:widowControl/>
      </w:pPr>
      <w:r>
        <w:rPr>
          <w:b/>
          <w:i w:val="0"/>
        </w:rPr>
        <w:t>See also.</w:t>
      </w:r>
    </w:p>
    <w:p>
      <w:pPr>
        <w:widowControl/>
      </w:pPr>
      <w:hyperlink w:anchor="reason-anger-and-desire">
        <w:r>
          <w:rPr>
            <w:color w:val="000000"/>
          </w:rPr>
          <w:t xml:space="preserve">Reason anger and desire</w:t>
        </w:r>
      </w:hyperlink>
      <w:r>
        <w:rPr>
          <w:b w:val="0"/>
          <w:i w:val="0"/>
        </w:rPr>
        <w:t xml:space="preserve">; </w:t>
      </w:r>
      <w:hyperlink w:anchor="zodiac">
        <w:r>
          <w:rPr>
            <w:color w:val="000000"/>
          </w:rPr>
          <w:t xml:space="preserve">Zodiac</w:t>
        </w:r>
      </w:hyperlink>
      <w:r>
        <w:rPr>
          <w:b w:val="0"/>
          <w:i w:val="0"/>
        </w:rPr>
        <w:t xml:space="preserve">; </w:t>
      </w:r>
      <w:hyperlink w:anchor="whole-and-parts">
        <w:r>
          <w:rPr>
            <w:color w:val="000000"/>
          </w:rPr>
          <w:t xml:space="preserve">Whole and parts</w:t>
        </w:r>
      </w:hyperlink>
      <w:r>
        <w:rPr>
          <w:b w:val="0"/>
          <w:i w:val="0"/>
        </w:rPr>
        <w:t xml:space="preserve">; </w:t>
      </w:r>
      <w:hyperlink w:anchor="sympathy">
        <w:r>
          <w:rPr>
            <w:color w:val="000000"/>
          </w:rPr>
          <w:t xml:space="preserve">Sympathy</w:t>
        </w:r>
      </w:hyperlink>
      <w:r>
        <w:rPr>
          <w:b w:val="0"/>
          <w:i w:val="0"/>
        </w:rPr>
        <w:t>.</w:t>
      </w:r>
    </w:p>
    <w:p>
      <w:bookmarkStart w:id="112" w:name="heart-and-mistaken-location"/>
      <w:pPr>
        <w:pStyle w:val="Heading2"/>
      </w:pPr>
      <w:r>
        <w:rPr>
          <w:b w:val="0"/>
          <w:i w:val="0"/>
        </w:rPr>
        <w:t>Heart and mistaken location</w:t>
      </w:r>
      <w:bookmarkEnd w:id="112"/>
    </w:p>
    <w:p>
      <w:pPr>
        <w:keepNext/>
        <w:widowControl/>
      </w:pPr>
      <w:r>
        <w:rPr>
          <w:b/>
          <w:i w:val="0"/>
        </w:rPr>
        <w:t>Latin:</w:t>
      </w:r>
      <w:r>
        <w:rPr>
          <w:b w:val="0"/>
          <w:i w:val="0"/>
        </w:rPr>
        <w:t xml:space="preserve"> corde; in corde tantum; putet; putat; regit; vivificando; gubernando</w:t>
      </w:r>
    </w:p>
    <w:p>
      <w:pPr>
        <w:keepNext/>
        <w:widowControl/>
      </w:pPr>
      <w:r>
        <w:rPr>
          <w:b/>
          <w:i w:val="0"/>
        </w:rPr>
        <w:t>The word.</w:t>
      </w:r>
    </w:p>
    <w:p>
      <w:pPr>
        <w:widowControl/>
      </w:pPr>
      <w:r>
        <w:rPr>
          <w:b w:val="0"/>
          <w:i w:val="0"/>
        </w:rPr>
        <w:t>Cor, attested as corde, means heart. Putare is thinking or supposing; tantum limits the supposition to the heart alone. Regere and gubernare concern directing or governing, while vivificare gives life.</w:t>
      </w:r>
    </w:p>
    <w:p>
      <w:pPr>
        <w:keepNext/>
        <w:widowControl/>
      </w:pPr>
      <w:r>
        <w:rPr>
          <w:b/>
          <w:i w:val="0"/>
        </w:rPr>
        <w:t>In the Platonic Theology.</w:t>
      </w:r>
    </w:p>
    <w:p>
      <w:pPr>
        <w:widowControl/>
      </w:pPr>
      <w:r>
        <w:rPr>
          <w:b w:val="0"/>
          <w:i w:val="0"/>
        </w:rPr>
        <w:t xml:space="preserve">The closing example of II.6 distinguishes a mind’s own location-belief from the range of its presence. A mind may suppose it exists only in the body it governs although, according to the theory under discussion, it reaches beyond that body. The comparison is to our mind, described as present throughout the body yet, </w:t>
      </w:r>
      <w:r>
        <w:t>“</w:t>
      </w:r>
      <w:r>
        <w:rPr>
          <w:b w:val="0"/>
          <w:i w:val="0"/>
        </w:rPr>
        <w:t>according to many philosophers,</w:t>
      </w:r>
      <w:r>
        <w:t>”</w:t>
      </w:r>
      <w:r>
        <w:rPr>
          <w:b w:val="0"/>
          <w:i w:val="0"/>
        </w:rPr>
        <w:t xml:space="preserve"> thinking itself confined to the heart.</w:t>
      </w:r>
    </w:p>
    <w:p>
      <w:pPr>
        <w:widowControl/>
      </w:pPr>
      <w:r>
        <w:rPr>
          <w:b w:val="0"/>
          <w:i w:val="0"/>
        </w:rPr>
        <w:t>The text thus contains two qualifications: a reported theory about immensity and an appeal to what many philosophers say about self-location. It is neither a direct observation of cardiac cognition nor a medical recommendation. The important lexical point is that governing a region, appearing more active there, and supposing oneself there are three different relations.</w:t>
      </w:r>
    </w:p>
    <w:p>
      <w:pPr>
        <w:keepNext/>
        <w:widowControl/>
      </w:pPr>
      <w:r>
        <w:rPr>
          <w:b/>
          <w:i w:val="0"/>
        </w:rPr>
        <w:t>The places.</w:t>
      </w:r>
    </w:p>
    <w:p>
      <w:pPr>
        <w:ind w:left="187" w:hanging="187"/>
      </w:pPr>
      <w:r>
        <w:t xml:space="preserve">• </w:t>
      </w:r>
      <w:r>
        <w:rPr>
          <w:b w:val="0"/>
          <w:i w:val="0"/>
        </w:rPr>
        <w:t>II.6.24 (PDF pp. 142–143): The heart comparison distinguishes actual presence in the account from a mind’s belief about itself</w:t>
      </w:r>
    </w:p>
    <w:p>
      <w:pPr>
        <w:keepNext/>
        <w:widowControl/>
      </w:pPr>
      <w:r>
        <w:rPr>
          <w:b/>
          <w:i w:val="0"/>
        </w:rPr>
        <w:t>In this edition.</w:t>
      </w:r>
    </w:p>
    <w:p>
      <w:pPr>
        <w:widowControl/>
      </w:pPr>
      <w:r>
        <w:rPr>
          <w:b w:val="0"/>
          <w:i w:val="0"/>
        </w:rPr>
        <w:t xml:space="preserve">The phrase </w:t>
      </w:r>
      <w:r>
        <w:t>“</w:t>
      </w:r>
      <w:r>
        <w:rPr>
          <w:b w:val="0"/>
          <w:i w:val="0"/>
        </w:rPr>
        <w:t>according to many philosophers</w:t>
      </w:r>
      <w:r>
        <w:t>”</w:t>
      </w:r>
      <w:r>
        <w:rPr>
          <w:b w:val="0"/>
          <w:i w:val="0"/>
        </w:rPr>
        <w:t xml:space="preserve"> modifies the heart illustration and should not disappear. Putat is rendered </w:t>
      </w:r>
      <w:r>
        <w:t>“</w:t>
      </w:r>
      <w:r>
        <w:rPr>
          <w:b w:val="0"/>
          <w:i w:val="0"/>
        </w:rPr>
        <w:t>thinks itself,</w:t>
      </w:r>
      <w:r>
        <w:t>”</w:t>
      </w:r>
      <w:r>
        <w:rPr>
          <w:b w:val="0"/>
          <w:i w:val="0"/>
        </w:rPr>
        <w:t xml:space="preserve"> preserving the possibility of mistaken self-description.</w:t>
      </w:r>
    </w:p>
    <w:p>
      <w:pPr>
        <w:keepNext/>
        <w:widowControl/>
      </w:pPr>
      <w:r>
        <w:rPr>
          <w:b/>
          <w:i w:val="0"/>
        </w:rPr>
        <w:t>See also.</w:t>
      </w:r>
    </w:p>
    <w:p>
      <w:pPr>
        <w:widowControl/>
      </w:pPr>
      <w:hyperlink w:anchor="candles-and-the-hall">
        <w:r>
          <w:rPr>
            <w:color w:val="000000"/>
          </w:rPr>
          <w:t xml:space="preserve">Candles and the hall</w:t>
        </w:r>
      </w:hyperlink>
      <w:r>
        <w:rPr>
          <w:b w:val="0"/>
          <w:i w:val="0"/>
        </w:rPr>
        <w:t xml:space="preserve">; </w:t>
      </w:r>
      <w:hyperlink w:anchor="mind">
        <w:r>
          <w:rPr>
            <w:color w:val="000000"/>
          </w:rPr>
          <w:t xml:space="preserve">Mind</w:t>
        </w:r>
      </w:hyperlink>
      <w:r>
        <w:rPr>
          <w:b w:val="0"/>
          <w:i w:val="0"/>
        </w:rPr>
        <w:t xml:space="preserve">; </w:t>
      </w:r>
      <w:hyperlink w:anchor="self-knowledge">
        <w:r>
          <w:rPr>
            <w:color w:val="000000"/>
          </w:rPr>
          <w:t xml:space="preserve">Self knowledge</w:t>
        </w:r>
      </w:hyperlink>
      <w:r>
        <w:rPr>
          <w:b w:val="0"/>
          <w:i w:val="0"/>
        </w:rPr>
        <w:t xml:space="preserve">; </w:t>
      </w:r>
      <w:hyperlink w:anchor="anebon-abamon-and-the-mental-presence-authorities">
        <w:r>
          <w:rPr>
            <w:color w:val="000000"/>
          </w:rPr>
          <w:t xml:space="preserve">Anebon Abamon and the mental-presence authorities</w:t>
        </w:r>
      </w:hyperlink>
      <w:r>
        <w:rPr>
          <w:b w:val="0"/>
          <w:i w:val="0"/>
        </w:rPr>
        <w:t>.</w:t>
      </w:r>
    </w:p>
    <w:p>
      <w:bookmarkStart w:id="113" w:name="here-there-and-antipodes"/>
      <w:pPr>
        <w:pStyle w:val="Heading2"/>
      </w:pPr>
      <w:r>
        <w:rPr>
          <w:b w:val="0"/>
          <w:i w:val="0"/>
        </w:rPr>
        <w:t>Here, there, and the Antipodes</w:t>
      </w:r>
      <w:bookmarkEnd w:id="113"/>
    </w:p>
    <w:p>
      <w:pPr>
        <w:keepNext/>
        <w:widowControl/>
      </w:pPr>
      <w:r>
        <w:rPr>
          <w:b/>
          <w:i w:val="0"/>
        </w:rPr>
        <w:t>Latin:</w:t>
      </w:r>
      <w:r>
        <w:rPr>
          <w:b w:val="0"/>
          <w:i w:val="0"/>
        </w:rPr>
        <w:t xml:space="preserve"> </w:t>
      </w:r>
      <w:r>
        <w:rPr>
          <w:b w:val="0"/>
          <w:i/>
        </w:rPr>
        <w:t>hic</w:t>
      </w:r>
      <w:r>
        <w:rPr>
          <w:b w:val="0"/>
          <w:i w:val="0"/>
        </w:rPr>
        <w:t xml:space="preserve">, </w:t>
      </w:r>
      <w:r>
        <w:rPr>
          <w:b w:val="0"/>
          <w:i/>
        </w:rPr>
        <w:t>illic</w:t>
      </w:r>
      <w:r>
        <w:rPr>
          <w:b w:val="0"/>
          <w:i w:val="0"/>
        </w:rPr>
        <w:t xml:space="preserve">, </w:t>
      </w:r>
      <w:r>
        <w:rPr>
          <w:b w:val="0"/>
          <w:i/>
        </w:rPr>
        <w:t>ibi</w:t>
      </w:r>
      <w:r>
        <w:rPr>
          <w:b w:val="0"/>
          <w:i w:val="0"/>
        </w:rPr>
        <w:t xml:space="preserve">, </w:t>
      </w:r>
      <w:r>
        <w:rPr>
          <w:b w:val="0"/>
          <w:i/>
        </w:rPr>
        <w:t>super caput nostrum</w:t>
      </w:r>
      <w:r>
        <w:rPr>
          <w:b w:val="0"/>
          <w:i w:val="0"/>
        </w:rPr>
        <w:t xml:space="preserve">, </w:t>
      </w:r>
      <w:r>
        <w:rPr>
          <w:b w:val="0"/>
          <w:i/>
        </w:rPr>
        <w:t>super caput Antipodum</w:t>
      </w:r>
      <w:r>
        <w:rPr>
          <w:b w:val="0"/>
          <w:i w:val="0"/>
        </w:rPr>
        <w:t xml:space="preserve">, </w:t>
      </w:r>
      <w:r>
        <w:rPr>
          <w:b w:val="0"/>
          <w:i/>
        </w:rPr>
        <w:t>semicirculus</w:t>
      </w:r>
      <w:r>
        <w:rPr>
          <w:b w:val="0"/>
          <w:i w:val="0"/>
        </w:rPr>
        <w:t xml:space="preserve">, </w:t>
      </w:r>
      <w:r>
        <w:rPr>
          <w:b w:val="0"/>
          <w:i/>
        </w:rPr>
        <w:t>concava superficies</w:t>
      </w:r>
      <w:r>
        <w:rPr>
          <w:b w:val="0"/>
          <w:i w:val="0"/>
        </w:rPr>
        <w:t xml:space="preserve">, </w:t>
      </w:r>
      <w:r>
        <w:rPr>
          <w:b w:val="0"/>
          <w:i/>
        </w:rPr>
        <w:t>locus naturalis</w:t>
      </w:r>
      <w:r>
        <w:rPr>
          <w:b w:val="0"/>
          <w:i w:val="0"/>
        </w:rPr>
        <w:t>.</w:t>
      </w:r>
    </w:p>
    <w:p>
      <w:pPr>
        <w:keepNext/>
        <w:widowControl/>
      </w:pPr>
      <w:r>
        <w:rPr>
          <w:b/>
          <w:i w:val="0"/>
        </w:rPr>
        <w:t>The word.</w:t>
      </w:r>
    </w:p>
    <w:p>
      <w:pPr>
        <w:widowControl/>
      </w:pPr>
      <w:r>
        <w:rPr>
          <w:b w:val="0"/>
          <w:i/>
        </w:rPr>
        <w:t>Hic</w:t>
      </w:r>
      <w:r>
        <w:rPr>
          <w:b w:val="0"/>
          <w:i w:val="0"/>
        </w:rPr>
        <w:t xml:space="preserve"> is here; </w:t>
      </w:r>
      <w:r>
        <w:rPr>
          <w:b w:val="0"/>
          <w:i/>
        </w:rPr>
        <w:t>illic</w:t>
      </w:r>
      <w:r>
        <w:rPr>
          <w:b w:val="0"/>
          <w:i w:val="0"/>
        </w:rPr>
        <w:t xml:space="preserve"> and </w:t>
      </w:r>
      <w:r>
        <w:rPr>
          <w:b w:val="0"/>
          <w:i/>
        </w:rPr>
        <w:t>ibi</w:t>
      </w:r>
      <w:r>
        <w:rPr>
          <w:b w:val="0"/>
          <w:i w:val="0"/>
        </w:rPr>
        <w:t xml:space="preserve"> there. The deictic contrast becomes argumentative when the text asks why an otherwise equivalent part should occupy this position rather than that. </w:t>
      </w:r>
      <w:r>
        <w:rPr>
          <w:b w:val="0"/>
          <w:i/>
        </w:rPr>
        <w:t>Antipodum</w:t>
      </w:r>
      <w:r>
        <w:rPr>
          <w:b w:val="0"/>
          <w:i w:val="0"/>
        </w:rPr>
        <w:t xml:space="preserve"> names the people on the opposite side in this imagined orientation. </w:t>
      </w:r>
      <w:r>
        <w:rPr>
          <w:b w:val="0"/>
          <w:i/>
        </w:rPr>
        <w:t>Semicirculus</w:t>
      </w:r>
      <w:r>
        <w:rPr>
          <w:b w:val="0"/>
          <w:i w:val="0"/>
        </w:rPr>
        <w:t xml:space="preserve"> here refers to the relevant half of the sphere.</w:t>
      </w:r>
    </w:p>
    <w:p>
      <w:pPr>
        <w:keepNext/>
        <w:widowControl/>
      </w:pPr>
      <w:r>
        <w:rPr>
          <w:b/>
          <w:i w:val="0"/>
        </w:rPr>
        <w:t>In the Platonic Theology.</w:t>
      </w:r>
    </w:p>
    <w:p>
      <w:pPr>
        <w:widowControl/>
      </w:pPr>
      <w:r>
        <w:rPr>
          <w:b w:val="0"/>
          <w:i w:val="0"/>
        </w:rPr>
        <w:t>Ficino asks a reader who wants heaven to stop to fix Saturn’s sphere on its axis. One half then stands over our heads and the other over the Antipodes. Because the sphere’s parts are alike in nature, he finds no reason one should belong here rather than there; each tends toward the equally fitting position. The subsequent description makes the concave surface of the eighth sphere Saturn’s natural place and explains its parts’ desire to contact all corresponding parts.</w:t>
      </w:r>
    </w:p>
    <w:p>
      <w:pPr>
        <w:widowControl/>
      </w:pPr>
      <w:r>
        <w:rPr>
          <w:b w:val="0"/>
          <w:i w:val="0"/>
        </w:rPr>
        <w:t>The distinction between the whole sphere’s place and its parts’ successive contacts is crucial. Circular motion retains the sphere within its proper enclosure while changing which part contacts which. The argument is part of the historical nested-sphere model; it is not a description of modern Saturnian motion. Its logic also differs from a simple observation of motion: the imposed rest is a thought experiment used to display the supposed absence of a privileged resting distribution.</w:t>
      </w:r>
    </w:p>
    <w:p>
      <w:pPr>
        <w:keepNext/>
        <w:widowControl/>
      </w:pPr>
      <w:r>
        <w:rPr>
          <w:b/>
          <w:i w:val="0"/>
        </w:rPr>
        <w:t>The places.</w:t>
      </w:r>
    </w:p>
    <w:p>
      <w:pPr>
        <w:ind w:left="187" w:hanging="187"/>
      </w:pPr>
      <w:r>
        <w:t xml:space="preserve">• </w:t>
      </w:r>
      <w:r>
        <w:rPr>
          <w:b/>
          <w:i w:val="0"/>
        </w:rPr>
        <w:t>IV.2.22–23, PDF pp. 346–347:</w:t>
      </w:r>
      <w:r>
        <w:rPr>
          <w:b w:val="0"/>
          <w:i w:val="0"/>
        </w:rPr>
        <w:t xml:space="preserve"> circular motion remains in the same place while differing minimally from stability</w:t>
      </w:r>
    </w:p>
    <w:p>
      <w:pPr>
        <w:ind w:left="187" w:hanging="187"/>
      </w:pPr>
      <w:r>
        <w:t xml:space="preserve">• </w:t>
      </w:r>
      <w:r>
        <w:rPr>
          <w:b/>
          <w:i w:val="0"/>
        </w:rPr>
        <w:t>IV.2.24, pp. 348–349:</w:t>
      </w:r>
      <w:r>
        <w:rPr>
          <w:b w:val="0"/>
          <w:i w:val="0"/>
        </w:rPr>
        <w:t xml:space="preserve"> the stopped sphere and the Antipodes frame the here/there argument</w:t>
      </w:r>
    </w:p>
    <w:p>
      <w:pPr>
        <w:ind w:left="187" w:hanging="187"/>
      </w:pPr>
      <w:r>
        <w:t xml:space="preserve">• </w:t>
      </w:r>
      <w:r>
        <w:rPr>
          <w:b/>
          <w:i w:val="0"/>
        </w:rPr>
        <w:t>IV.2.25, pp. 348–349:</w:t>
      </w:r>
      <w:r>
        <w:rPr>
          <w:b w:val="0"/>
          <w:i w:val="0"/>
        </w:rPr>
        <w:t xml:space="preserve"> surrounding concavity and changing contacts specify natural place</w:t>
      </w:r>
    </w:p>
    <w:p>
      <w:pPr>
        <w:keepNext/>
        <w:widowControl/>
      </w:pPr>
      <w:r>
        <w:rPr>
          <w:b/>
          <w:i w:val="0"/>
        </w:rPr>
        <w:t>In this edition.</w:t>
      </w:r>
    </w:p>
    <w:p>
      <w:pPr>
        <w:widowControl/>
      </w:pPr>
      <w:r>
        <w:rPr>
          <w:b w:val="0"/>
          <w:i w:val="0"/>
        </w:rPr>
        <w:t xml:space="preserve">The English explains the relevant outer surface of Saturn’s sphere in IV.2.25, while retaining the surrounding concave surface. </w:t>
      </w:r>
      <w:r>
        <w:t>“</w:t>
      </w:r>
      <w:r>
        <w:rPr>
          <w:b w:val="0"/>
          <w:i w:val="0"/>
        </w:rPr>
        <w:t>Here</w:t>
      </w:r>
      <w:r>
        <w:t>”</w:t>
      </w:r>
      <w:r>
        <w:rPr>
          <w:b w:val="0"/>
          <w:i w:val="0"/>
        </w:rPr>
        <w:t xml:space="preserve"> and </w:t>
      </w:r>
      <w:r>
        <w:t>“</w:t>
      </w:r>
      <w:r>
        <w:rPr>
          <w:b w:val="0"/>
          <w:i w:val="0"/>
        </w:rPr>
        <w:t>there</w:t>
      </w:r>
      <w:r>
        <w:t>”</w:t>
      </w:r>
      <w:r>
        <w:rPr>
          <w:b w:val="0"/>
          <w:i w:val="0"/>
        </w:rPr>
        <w:t xml:space="preserve"> are not dispensable filler: they carry the symmetry test.</w:t>
      </w:r>
    </w:p>
    <w:p>
      <w:pPr>
        <w:keepNext/>
        <w:widowControl/>
      </w:pPr>
      <w:r>
        <w:rPr>
          <w:b/>
          <w:i w:val="0"/>
        </w:rPr>
        <w:t>See also.</w:t>
      </w:r>
    </w:p>
    <w:p>
      <w:pPr>
        <w:widowControl/>
      </w:pPr>
      <w:hyperlink w:anchor="natural-motion-and-natural-place">
        <w:r>
          <w:rPr>
            <w:color w:val="000000"/>
          </w:rPr>
          <w:t xml:space="preserve">Natural motion and natural place</w:t>
        </w:r>
      </w:hyperlink>
      <w:r>
        <w:rPr>
          <w:b w:val="0"/>
          <w:i w:val="0"/>
        </w:rPr>
        <w:t xml:space="preserve">; </w:t>
      </w:r>
      <w:hyperlink w:anchor="spheres-and-stars">
        <w:r>
          <w:rPr>
            <w:color w:val="000000"/>
          </w:rPr>
          <w:t xml:space="preserve">Spheres and stars</w:t>
        </w:r>
      </w:hyperlink>
      <w:r>
        <w:rPr>
          <w:b w:val="0"/>
          <w:i w:val="0"/>
        </w:rPr>
        <w:t xml:space="preserve">; </w:t>
      </w:r>
      <w:hyperlink w:anchor="fitting-and-correspondence">
        <w:r>
          <w:rPr>
            <w:color w:val="000000"/>
          </w:rPr>
          <w:t xml:space="preserve">Fitting and correspondence</w:t>
        </w:r>
      </w:hyperlink>
      <w:r>
        <w:rPr>
          <w:b w:val="0"/>
          <w:i w:val="0"/>
        </w:rPr>
        <w:t xml:space="preserve">; </w:t>
      </w:r>
      <w:hyperlink w:anchor="striving-and-enjoyment">
        <w:r>
          <w:rPr>
            <w:color w:val="000000"/>
          </w:rPr>
          <w:t xml:space="preserve">Striving and enjoyment</w:t>
        </w:r>
      </w:hyperlink>
      <w:r>
        <w:rPr>
          <w:b w:val="0"/>
          <w:i w:val="0"/>
        </w:rPr>
        <w:t>.</w:t>
      </w:r>
    </w:p>
    <w:p>
      <w:bookmarkStart w:id="114" w:name="hermetic-theologians-and-the-magi"/>
      <w:pPr>
        <w:pStyle w:val="Heading2"/>
      </w:pPr>
      <w:r>
        <w:rPr>
          <w:b w:val="0"/>
          <w:i w:val="0"/>
        </w:rPr>
        <w:t>Hermetic theologians and the Magi</w:t>
      </w:r>
      <w:bookmarkEnd w:id="114"/>
    </w:p>
    <w:p>
      <w:pPr>
        <w:keepNext/>
        <w:widowControl/>
      </w:pPr>
      <w:r>
        <w:rPr>
          <w:b/>
          <w:i w:val="0"/>
        </w:rPr>
        <w:t>Latin:</w:t>
      </w:r>
      <w:r>
        <w:rPr>
          <w:b w:val="0"/>
          <w:i w:val="0"/>
        </w:rPr>
        <w:t xml:space="preserve"> </w:t>
      </w:r>
      <w:r>
        <w:rPr>
          <w:b w:val="0"/>
          <w:i/>
        </w:rPr>
        <w:t>Mercuriales theologi</w:t>
      </w:r>
      <w:r>
        <w:rPr>
          <w:b w:val="0"/>
          <w:i w:val="0"/>
        </w:rPr>
        <w:t xml:space="preserve">; </w:t>
      </w:r>
      <w:r>
        <w:rPr>
          <w:b w:val="0"/>
          <w:i/>
        </w:rPr>
        <w:t>magi</w:t>
      </w:r>
      <w:r>
        <w:rPr>
          <w:b w:val="0"/>
          <w:i w:val="0"/>
        </w:rPr>
        <w:t xml:space="preserve">; </w:t>
      </w:r>
      <w:r>
        <w:rPr>
          <w:b w:val="0"/>
          <w:i/>
        </w:rPr>
        <w:t>Zoroaster</w:t>
      </w:r>
      <w:r>
        <w:rPr>
          <w:b w:val="0"/>
          <w:i w:val="0"/>
        </w:rPr>
        <w:t xml:space="preserve">; </w:t>
      </w:r>
      <w:r>
        <w:rPr>
          <w:b w:val="0"/>
          <w:i/>
        </w:rPr>
        <w:t>Oromasis</w:t>
      </w:r>
      <w:r>
        <w:rPr>
          <w:b w:val="0"/>
          <w:i w:val="0"/>
        </w:rPr>
        <w:t xml:space="preserve">; </w:t>
      </w:r>
      <w:r>
        <w:rPr>
          <w:b w:val="0"/>
          <w:i/>
        </w:rPr>
        <w:t>Mitris</w:t>
      </w:r>
      <w:r>
        <w:rPr>
          <w:b w:val="0"/>
          <w:i w:val="0"/>
        </w:rPr>
        <w:t xml:space="preserve">; </w:t>
      </w:r>
      <w:r>
        <w:rPr>
          <w:b w:val="0"/>
          <w:i/>
        </w:rPr>
        <w:t>Arimanis</w:t>
      </w:r>
    </w:p>
    <w:p>
      <w:pPr>
        <w:keepNext/>
        <w:widowControl/>
      </w:pPr>
      <w:r>
        <w:rPr>
          <w:b/>
          <w:i w:val="0"/>
        </w:rPr>
        <w:t>The word.</w:t>
      </w:r>
    </w:p>
    <w:p>
      <w:pPr>
        <w:widowControl/>
      </w:pPr>
      <w:r>
        <w:rPr>
          <w:b w:val="0"/>
          <w:i w:val="0"/>
        </w:rPr>
        <w:t>Mercuriales theologi names the theologians associated by Ficino with Mercury or Hermes; magi names an attributed body of religious-philosophical authorities. The proper names Oromasis, Mitris, and Arimanis receive their local meanings from Ficino’s glosses God, mind, and soul, rather than from a modern etymological reconstruction.</w:t>
      </w:r>
    </w:p>
    <w:p>
      <w:pPr>
        <w:keepNext/>
        <w:widowControl/>
      </w:pPr>
      <w:r>
        <w:rPr>
          <w:b/>
          <w:i w:val="0"/>
        </w:rPr>
        <w:t>In the Platonic Theology.</w:t>
      </w:r>
    </w:p>
    <w:p>
      <w:pPr>
        <w:widowControl/>
      </w:pPr>
      <w:r>
        <w:rPr>
          <w:b w:val="0"/>
          <w:i w:val="0"/>
        </w:rPr>
        <w:t>At the beginning of Book IV, the Hermetic theologians supply the model for examining grades of rational soul. Later, Ficino attributes a threefold hierarchy to the Magi: Oromasis, Mitris, and Arimanis, glossed as God, mind, and soul. He assigns unity to God, order to mind, and motion to soul, giving the names distinct roles in his causal account. Other appeals to the Magi and Zoroaster concern natural powers, daemons, cosmic motion, and recurrence.</w:t>
      </w:r>
    </w:p>
    <w:p>
      <w:pPr>
        <w:widowControl/>
      </w:pPr>
      <w:r>
        <w:rPr>
          <w:b w:val="0"/>
          <w:i w:val="0"/>
        </w:rPr>
        <w:t>These are Ficino’s reported correspondences and claims of ancient authority. His assertion that ancient wisdom flowed from Zoroaster should be distinguished from independently established intellectual history. The supplied apparatus retains the source names Oromasis, Mitris, and Arimanis rather than substituting modernized equivalents. Their meaning within this argument is therefore best approached through Ficino’s own glosses. A reader should not silently replace his stated hierarchy with a modern reconstruction of another religious system, or treat every appeal to the Magi as evidence that all the associated teachings have the same provenance.</w:t>
      </w:r>
    </w:p>
    <w:p>
      <w:pPr>
        <w:keepNext/>
        <w:widowControl/>
      </w:pPr>
      <w:r>
        <w:rPr>
          <w:b/>
          <w:i w:val="0"/>
        </w:rPr>
        <w:t>The places.</w:t>
      </w:r>
    </w:p>
    <w:p>
      <w:pPr>
        <w:ind w:left="187" w:hanging="187"/>
      </w:pPr>
      <w:r>
        <w:t xml:space="preserve">• </w:t>
      </w:r>
      <w:r>
        <w:rPr>
          <w:b/>
          <w:i w:val="0"/>
        </w:rPr>
        <w:t>IV.1.1 (PDF pp. 282–283)</w:t>
      </w:r>
      <w:r>
        <w:rPr>
          <w:b w:val="0"/>
          <w:i w:val="0"/>
        </w:rPr>
        <w:t>. Hermetic theologians provide the model for investigating the grades of rational soul</w:t>
      </w:r>
    </w:p>
    <w:p>
      <w:pPr>
        <w:ind w:left="187" w:hanging="187"/>
      </w:pPr>
      <w:r>
        <w:t xml:space="preserve">• </w:t>
      </w:r>
      <w:r>
        <w:rPr>
          <w:b/>
          <w:i w:val="0"/>
        </w:rPr>
        <w:t>IV.1.86 (PDF pp. 326–327)</w:t>
      </w:r>
      <w:r>
        <w:rPr>
          <w:b w:val="0"/>
          <w:i w:val="0"/>
        </w:rPr>
        <w:t>. The Magian names are glossed through unity, order, and motion</w:t>
      </w:r>
    </w:p>
    <w:p>
      <w:pPr>
        <w:ind w:left="187" w:hanging="187"/>
      </w:pPr>
      <w:r>
        <w:t xml:space="preserve">• </w:t>
      </w:r>
      <w:r>
        <w:rPr>
          <w:b/>
          <w:i w:val="0"/>
        </w:rPr>
        <w:t>II.7.7 (PDF pp. 146–147)</w:t>
      </w:r>
      <w:r>
        <w:rPr>
          <w:b w:val="0"/>
          <w:i w:val="0"/>
        </w:rPr>
        <w:t>. Zoroaster’s one-fire saying is used mystically for the common source of things</w:t>
      </w:r>
    </w:p>
    <w:p>
      <w:pPr>
        <w:widowControl/>
      </w:pPr>
      <w:r>
        <w:rPr>
          <w:b/>
          <w:i w:val="0"/>
        </w:rPr>
        <w:t>Further passage references.</w:t>
      </w:r>
      <w:r>
        <w:rPr>
          <w:b w:val="0"/>
          <w:i w:val="0"/>
        </w:rPr>
        <w:t xml:space="preserve"> IV.1.1, pp. 282–283; IV.1.20, pp. 292–293; IV.1.39, pp. 302–303; IV.1.86, pp. 326–327; IV.2.2, pp. 334–335; apparatus pp. 388, 393.</w:t>
      </w:r>
    </w:p>
    <w:p>
      <w:pPr>
        <w:keepNext/>
        <w:widowControl/>
      </w:pPr>
      <w:r>
        <w:rPr>
          <w:b/>
          <w:i w:val="0"/>
        </w:rPr>
        <w:t>In this edition.</w:t>
      </w:r>
    </w:p>
    <w:p>
      <w:pPr>
        <w:widowControl/>
      </w:pPr>
      <w:r>
        <w:rPr>
          <w:b w:val="0"/>
          <w:i w:val="0"/>
        </w:rPr>
        <w:t xml:space="preserve">The edition retains the source’s Oromasis, Mitris, and Arimanis. The explanatory </w:t>
      </w:r>
      <w:r>
        <w:t>“</w:t>
      </w:r>
      <w:r>
        <w:rPr>
          <w:b w:val="0"/>
          <w:i w:val="0"/>
        </w:rPr>
        <w:t>that is, God, mind, and soul</w:t>
      </w:r>
      <w:r>
        <w:t>”</w:t>
      </w:r>
      <w:r>
        <w:rPr>
          <w:b w:val="0"/>
          <w:i w:val="0"/>
        </w:rPr>
        <w:t xml:space="preserve"> is in Ficino’s text. Attributions to Magi or Zoroaster should remain attributed; preserving these names does not independently authenticate the historical relationships asserted.</w:t>
      </w:r>
    </w:p>
    <w:p>
      <w:pPr>
        <w:keepNext/>
        <w:widowControl/>
      </w:pPr>
      <w:r>
        <w:rPr>
          <w:b/>
          <w:i w:val="0"/>
        </w:rPr>
        <w:t>See also.</w:t>
      </w:r>
    </w:p>
    <w:p>
      <w:pPr>
        <w:widowControl/>
      </w:pPr>
      <w:hyperlink w:anchor="unity-and-multiplicity">
        <w:r>
          <w:rPr>
            <w:color w:val="000000"/>
          </w:rPr>
          <w:t xml:space="preserve">Unity and multiplicity</w:t>
        </w:r>
      </w:hyperlink>
      <w:r>
        <w:rPr>
          <w:b w:val="0"/>
          <w:i w:val="0"/>
        </w:rPr>
        <w:t xml:space="preserve">; </w:t>
      </w:r>
      <w:hyperlink w:anchor="order-and-harmony">
        <w:r>
          <w:rPr>
            <w:color w:val="000000"/>
          </w:rPr>
          <w:t xml:space="preserve">Order and harmony</w:t>
        </w:r>
      </w:hyperlink>
      <w:r>
        <w:rPr>
          <w:b w:val="0"/>
          <w:i w:val="0"/>
        </w:rPr>
        <w:t xml:space="preserve">; </w:t>
      </w:r>
      <w:hyperlink w:anchor="motion-and-stability">
        <w:r>
          <w:rPr>
            <w:color w:val="000000"/>
          </w:rPr>
          <w:t xml:space="preserve">Motion and stability</w:t>
        </w:r>
      </w:hyperlink>
      <w:r>
        <w:rPr>
          <w:b w:val="0"/>
          <w:i w:val="0"/>
        </w:rPr>
        <w:t xml:space="preserve">; </w:t>
      </w:r>
      <w:hyperlink w:anchor="apollo">
        <w:r>
          <w:rPr>
            <w:color w:val="000000"/>
          </w:rPr>
          <w:t xml:space="preserve">Apollo</w:t>
        </w:r>
      </w:hyperlink>
      <w:r>
        <w:rPr>
          <w:b w:val="0"/>
          <w:i w:val="0"/>
        </w:rPr>
        <w:t xml:space="preserve">; </w:t>
      </w:r>
      <w:hyperlink w:anchor="daemons">
        <w:r>
          <w:rPr>
            <w:color w:val="000000"/>
          </w:rPr>
          <w:t xml:space="preserve">Daemons</w:t>
        </w:r>
      </w:hyperlink>
      <w:r>
        <w:rPr>
          <w:b w:val="0"/>
          <w:i w:val="0"/>
        </w:rPr>
        <w:t xml:space="preserve">; </w:t>
      </w:r>
      <w:hyperlink w:anchor="philosophy-and-theology">
        <w:r>
          <w:rPr>
            <w:color w:val="000000"/>
          </w:rPr>
          <w:t xml:space="preserve">Philosophy and theology</w:t>
        </w:r>
      </w:hyperlink>
    </w:p>
    <w:p>
      <w:bookmarkStart w:id="115" w:name="hidden-mover-and-magnet"/>
      <w:pPr>
        <w:pStyle w:val="Heading2"/>
      </w:pPr>
      <w:r>
        <w:rPr>
          <w:b w:val="0"/>
          <w:i w:val="0"/>
        </w:rPr>
        <w:t>Hidden mover and magnet</w:t>
      </w:r>
      <w:bookmarkEnd w:id="115"/>
    </w:p>
    <w:p>
      <w:pPr>
        <w:keepNext/>
        <w:widowControl/>
      </w:pPr>
      <w:r>
        <w:rPr>
          <w:b/>
          <w:i w:val="0"/>
        </w:rPr>
        <w:t>Latin:</w:t>
      </w:r>
      <w:r>
        <w:rPr>
          <w:b w:val="0"/>
          <w:i w:val="0"/>
        </w:rPr>
        <w:t xml:space="preserve"> </w:t>
      </w:r>
      <w:r>
        <w:rPr>
          <w:b w:val="0"/>
          <w:i/>
        </w:rPr>
        <w:t>magnes ferrum</w:t>
      </w:r>
      <w:r>
        <w:rPr>
          <w:b w:val="0"/>
          <w:i w:val="0"/>
        </w:rPr>
        <w:t xml:space="preserve">, </w:t>
      </w:r>
      <w:r>
        <w:rPr>
          <w:b w:val="0"/>
          <w:i/>
        </w:rPr>
        <w:t>revocat</w:t>
      </w:r>
      <w:r>
        <w:rPr>
          <w:b w:val="0"/>
          <w:i w:val="0"/>
        </w:rPr>
        <w:t xml:space="preserve">, </w:t>
      </w:r>
      <w:r>
        <w:rPr>
          <w:b w:val="0"/>
          <w:i/>
        </w:rPr>
        <w:t>rapiat</w:t>
      </w:r>
      <w:r>
        <w:rPr>
          <w:b w:val="0"/>
          <w:i w:val="0"/>
        </w:rPr>
        <w:t xml:space="preserve">, </w:t>
      </w:r>
      <w:r>
        <w:rPr>
          <w:b w:val="0"/>
          <w:i/>
        </w:rPr>
        <w:t>trahit</w:t>
      </w:r>
      <w:r>
        <w:rPr>
          <w:b w:val="0"/>
          <w:i w:val="0"/>
        </w:rPr>
        <w:t xml:space="preserve">, </w:t>
      </w:r>
      <w:r>
        <w:rPr>
          <w:b w:val="0"/>
          <w:i/>
        </w:rPr>
        <w:t>magnetem non viderent</w:t>
      </w:r>
      <w:r>
        <w:rPr>
          <w:b w:val="0"/>
          <w:i w:val="0"/>
        </w:rPr>
        <w:t xml:space="preserve">, </w:t>
      </w:r>
      <w:r>
        <w:rPr>
          <w:b w:val="0"/>
          <w:i/>
        </w:rPr>
        <w:t>ex se ipso moveri putarent</w:t>
      </w:r>
      <w:r>
        <w:rPr>
          <w:b w:val="0"/>
          <w:i w:val="0"/>
        </w:rPr>
        <w:t>.</w:t>
      </w:r>
    </w:p>
    <w:p>
      <w:pPr>
        <w:keepNext/>
        <w:widowControl/>
      </w:pPr>
      <w:r>
        <w:rPr>
          <w:b/>
          <w:i w:val="0"/>
        </w:rPr>
        <w:t>The word.</w:t>
      </w:r>
    </w:p>
    <w:p>
      <w:pPr>
        <w:widowControl/>
      </w:pPr>
      <w:r>
        <w:rPr>
          <w:b w:val="0"/>
          <w:i/>
        </w:rPr>
        <w:t>Trahere</w:t>
      </w:r>
      <w:r>
        <w:rPr>
          <w:b w:val="0"/>
          <w:i w:val="0"/>
        </w:rPr>
        <w:t xml:space="preserve"> draws; </w:t>
      </w:r>
      <w:r>
        <w:rPr>
          <w:b w:val="0"/>
          <w:i/>
        </w:rPr>
        <w:t>rapere</w:t>
      </w:r>
      <w:r>
        <w:rPr>
          <w:b w:val="0"/>
          <w:i w:val="0"/>
        </w:rPr>
        <w:t xml:space="preserve"> seizes or carries rapidly; </w:t>
      </w:r>
      <w:r>
        <w:rPr>
          <w:b w:val="0"/>
          <w:i/>
        </w:rPr>
        <w:t>revocare</w:t>
      </w:r>
      <w:r>
        <w:rPr>
          <w:b w:val="0"/>
          <w:i w:val="0"/>
        </w:rPr>
        <w:t xml:space="preserve"> calls back. These verbs distinguish active attraction from the moved body’s apparent self-motion. A </w:t>
      </w:r>
      <w:r>
        <w:rPr>
          <w:b w:val="0"/>
          <w:i/>
        </w:rPr>
        <w:t>magnes</w:t>
      </w:r>
      <w:r>
        <w:rPr>
          <w:b w:val="0"/>
          <w:i w:val="0"/>
        </w:rPr>
        <w:t xml:space="preserve"> is the magnet and </w:t>
      </w:r>
      <w:r>
        <w:rPr>
          <w:b w:val="0"/>
          <w:i/>
        </w:rPr>
        <w:t>ferrum</w:t>
      </w:r>
      <w:r>
        <w:rPr>
          <w:b w:val="0"/>
          <w:i w:val="0"/>
        </w:rPr>
        <w:t xml:space="preserve"> the iron drawn by it.</w:t>
      </w:r>
    </w:p>
    <w:p>
      <w:pPr>
        <w:keepNext/>
        <w:widowControl/>
      </w:pPr>
      <w:r>
        <w:rPr>
          <w:b/>
          <w:i w:val="0"/>
        </w:rPr>
        <w:t>In the Platonic Theology.</w:t>
      </w:r>
    </w:p>
    <w:p>
      <w:pPr>
        <w:widowControl/>
      </w:pPr>
      <w:r>
        <w:rPr>
          <w:b w:val="0"/>
          <w:i w:val="0"/>
        </w:rPr>
        <w:t>The Platonist account attributes rising and falling elemental bodies to the soul of their proper sphere, which recalls its particles as a magnet draws iron. The alleged increasing speed near the appropriate sphere is explained by stronger near attraction and by the cooperating world-soul. Ficino then changes from the physical analogy to an epistemic one: someone who saw moving iron but not its magnet would suppose the iron moved itself. Likewise, ignorance of sphere-souls invites a mistaken assignment of self-motion to bodies.</w:t>
      </w:r>
    </w:p>
    <w:p>
      <w:pPr>
        <w:widowControl/>
      </w:pPr>
      <w:r>
        <w:rPr>
          <w:b w:val="0"/>
          <w:i w:val="0"/>
        </w:rPr>
        <w:t>This analogy must not be confused with the earlier claim that a diamond defeats magnetic attraction. That is a natural-lore example of a mineral’s extraordinary power; this is an account of the difference between an unseen cause and no cause. The comparison also preserves the distinction between the local soul of a sphere and the one world-soul, since both are named as drawing toward the same destination.</w:t>
      </w:r>
    </w:p>
    <w:p>
      <w:pPr>
        <w:keepNext/>
        <w:widowControl/>
      </w:pPr>
      <w:r>
        <w:rPr>
          <w:b/>
          <w:i w:val="0"/>
        </w:rPr>
        <w:t>The places.</w:t>
      </w:r>
    </w:p>
    <w:p>
      <w:pPr>
        <w:ind w:left="187" w:hanging="187"/>
      </w:pPr>
      <w:r>
        <w:t xml:space="preserve">• </w:t>
      </w:r>
      <w:r>
        <w:rPr>
          <w:b/>
          <w:i w:val="0"/>
        </w:rPr>
        <w:t>IV.1.20, PDF pp. 292–293:</w:t>
      </w:r>
      <w:r>
        <w:rPr>
          <w:b w:val="0"/>
          <w:i w:val="0"/>
        </w:rPr>
        <w:t xml:space="preserve"> diamond and magnet occur in the separate mineral-power argument</w:t>
      </w:r>
    </w:p>
    <w:p>
      <w:pPr>
        <w:ind w:left="187" w:hanging="187"/>
      </w:pPr>
      <w:r>
        <w:t xml:space="preserve">• </w:t>
      </w:r>
      <w:r>
        <w:rPr>
          <w:b/>
          <w:i w:val="0"/>
        </w:rPr>
        <w:t>IV.1.74, pp. 320–321:</w:t>
      </w:r>
      <w:r>
        <w:rPr>
          <w:b w:val="0"/>
          <w:i w:val="0"/>
        </w:rPr>
        <w:t xml:space="preserve"> attraction explains the recall of elemental parts and the hidden-magnet thought experiment</w:t>
      </w:r>
    </w:p>
    <w:p>
      <w:pPr>
        <w:ind w:left="187" w:hanging="187"/>
      </w:pPr>
      <w:r>
        <w:t xml:space="preserve">• </w:t>
      </w:r>
      <w:r>
        <w:rPr>
          <w:b/>
          <w:i w:val="0"/>
        </w:rPr>
        <w:t>IV.1.75–77, pp. 320–323:</w:t>
      </w:r>
      <w:r>
        <w:rPr>
          <w:b w:val="0"/>
          <w:i w:val="0"/>
        </w:rPr>
        <w:t xml:space="preserve"> fixed paths and limits are used to deny independent self-motion to elemental parts</w:t>
      </w:r>
    </w:p>
    <w:p>
      <w:pPr>
        <w:keepNext/>
        <w:widowControl/>
      </w:pPr>
      <w:r>
        <w:rPr>
          <w:b/>
          <w:i w:val="0"/>
        </w:rPr>
        <w:t>In this edition.</w:t>
      </w:r>
    </w:p>
    <w:p>
      <w:pPr>
        <w:widowControl/>
      </w:pPr>
      <w:r>
        <w:t>“</w:t>
      </w:r>
      <w:r>
        <w:rPr>
          <w:b w:val="0"/>
          <w:i w:val="0"/>
        </w:rPr>
        <w:t>Calls … back,</w:t>
      </w:r>
      <w:r>
        <w:t>”</w:t>
      </w:r>
      <w:r>
        <w:rPr>
          <w:b w:val="0"/>
          <w:i w:val="0"/>
        </w:rPr>
        <w:t xml:space="preserve"> </w:t>
      </w:r>
      <w:r>
        <w:t>“</w:t>
      </w:r>
      <w:r>
        <w:rPr>
          <w:b w:val="0"/>
          <w:i w:val="0"/>
        </w:rPr>
        <w:t>seizes,</w:t>
      </w:r>
      <w:r>
        <w:t>”</w:t>
      </w:r>
      <w:r>
        <w:rPr>
          <w:b w:val="0"/>
          <w:i w:val="0"/>
        </w:rPr>
        <w:t xml:space="preserve"> and </w:t>
      </w:r>
      <w:r>
        <w:t>“</w:t>
      </w:r>
      <w:r>
        <w:rPr>
          <w:b w:val="0"/>
          <w:i w:val="0"/>
        </w:rPr>
        <w:t>draws</w:t>
      </w:r>
      <w:r>
        <w:t>”</w:t>
      </w:r>
      <w:r>
        <w:rPr>
          <w:b w:val="0"/>
          <w:i w:val="0"/>
        </w:rPr>
        <w:t xml:space="preserve"> preserve the variety of the Latin verbs. </w:t>
      </w:r>
      <w:r>
        <w:t>“</w:t>
      </w:r>
      <w:r>
        <w:rPr>
          <w:b w:val="0"/>
          <w:i w:val="0"/>
        </w:rPr>
        <w:t>Would think</w:t>
      </w:r>
      <w:r>
        <w:t>”</w:t>
      </w:r>
      <w:r>
        <w:rPr>
          <w:b w:val="0"/>
          <w:i w:val="0"/>
        </w:rPr>
        <w:t xml:space="preserve"> in the imagined observer’s inference marks an error explained by incomplete evidence, not an endorsed account of iron’s motion.</w:t>
      </w:r>
    </w:p>
    <w:p>
      <w:pPr>
        <w:keepNext/>
        <w:widowControl/>
      </w:pPr>
      <w:r>
        <w:rPr>
          <w:b/>
          <w:i w:val="0"/>
        </w:rPr>
        <w:t>See also.</w:t>
      </w:r>
    </w:p>
    <w:p>
      <w:pPr>
        <w:widowControl/>
      </w:pPr>
      <w:hyperlink w:anchor="natural-motion-and-natural-place">
        <w:r>
          <w:rPr>
            <w:color w:val="000000"/>
          </w:rPr>
          <w:t xml:space="preserve">Natural motion and natural place</w:t>
        </w:r>
      </w:hyperlink>
      <w:r>
        <w:rPr>
          <w:b w:val="0"/>
          <w:i w:val="0"/>
        </w:rPr>
        <w:t xml:space="preserve">; </w:t>
      </w:r>
      <w:hyperlink w:anchor="seeming-and-evidence">
        <w:r>
          <w:rPr>
            <w:color w:val="000000"/>
          </w:rPr>
          <w:t xml:space="preserve">Seeming and evidence</w:t>
        </w:r>
      </w:hyperlink>
      <w:r>
        <w:rPr>
          <w:b w:val="0"/>
          <w:i w:val="0"/>
        </w:rPr>
        <w:t xml:space="preserve">; </w:t>
      </w:r>
      <w:hyperlink w:anchor="world-soul">
        <w:r>
          <w:rPr>
            <w:color w:val="000000"/>
          </w:rPr>
          <w:t xml:space="preserve">World soul</w:t>
        </w:r>
      </w:hyperlink>
      <w:r>
        <w:rPr>
          <w:b w:val="0"/>
          <w:i w:val="0"/>
        </w:rPr>
        <w:t xml:space="preserve">; </w:t>
      </w:r>
      <w:hyperlink w:anchor="hierobotanum-and-mineral-powers">
        <w:r>
          <w:rPr>
            <w:color w:val="000000"/>
          </w:rPr>
          <w:t xml:space="preserve">Hierobotanum and mineral powers</w:t>
        </w:r>
      </w:hyperlink>
      <w:r>
        <w:rPr>
          <w:b w:val="0"/>
          <w:i w:val="0"/>
        </w:rPr>
        <w:t>.</w:t>
      </w:r>
    </w:p>
    <w:p>
      <w:bookmarkStart w:id="116" w:name="hierobotanum-and-mineral-powers"/>
      <w:pPr>
        <w:pStyle w:val="Heading2"/>
      </w:pPr>
      <w:r>
        <w:rPr>
          <w:b w:val="0"/>
          <w:i w:val="0"/>
        </w:rPr>
        <w:t>Hierobotanum and mineral powers</w:t>
      </w:r>
      <w:bookmarkEnd w:id="116"/>
    </w:p>
    <w:p>
      <w:pPr>
        <w:keepNext/>
        <w:widowControl/>
      </w:pPr>
      <w:r>
        <w:rPr>
          <w:b/>
          <w:i w:val="0"/>
        </w:rPr>
        <w:t>Latin:</w:t>
      </w:r>
      <w:r>
        <w:rPr>
          <w:b w:val="0"/>
          <w:i w:val="0"/>
        </w:rPr>
        <w:t xml:space="preserve"> </w:t>
      </w:r>
      <w:r>
        <w:rPr>
          <w:b w:val="0"/>
          <w:i/>
        </w:rPr>
        <w:t>hierobotanum</w:t>
      </w:r>
      <w:r>
        <w:rPr>
          <w:b w:val="0"/>
          <w:i w:val="0"/>
        </w:rPr>
        <w:t xml:space="preserve">, </w:t>
      </w:r>
      <w:r>
        <w:rPr>
          <w:b w:val="0"/>
          <w:i/>
        </w:rPr>
        <w:t>Achates</w:t>
      </w:r>
      <w:r>
        <w:rPr>
          <w:b w:val="0"/>
          <w:i w:val="0"/>
        </w:rPr>
        <w:t xml:space="preserve">, </w:t>
      </w:r>
      <w:r>
        <w:rPr>
          <w:b w:val="0"/>
          <w:i/>
        </w:rPr>
        <w:t>adamas</w:t>
      </w:r>
      <w:r>
        <w:rPr>
          <w:b w:val="0"/>
          <w:i w:val="0"/>
        </w:rPr>
        <w:t xml:space="preserve">, </w:t>
      </w:r>
      <w:r>
        <w:rPr>
          <w:b w:val="0"/>
          <w:i/>
        </w:rPr>
        <w:t>magneti</w:t>
      </w:r>
      <w:r>
        <w:rPr>
          <w:b w:val="0"/>
          <w:i w:val="0"/>
        </w:rPr>
        <w:t xml:space="preserve">, </w:t>
      </w:r>
      <w:r>
        <w:rPr>
          <w:b w:val="0"/>
          <w:i/>
        </w:rPr>
        <w:t>Corneola</w:t>
      </w:r>
      <w:r>
        <w:rPr>
          <w:b w:val="0"/>
          <w:i w:val="0"/>
        </w:rPr>
        <w:t xml:space="preserve">, </w:t>
      </w:r>
      <w:r>
        <w:rPr>
          <w:b w:val="0"/>
          <w:i/>
        </w:rPr>
        <w:t>Onyx</w:t>
      </w:r>
      <w:r>
        <w:rPr>
          <w:b w:val="0"/>
          <w:i w:val="0"/>
        </w:rPr>
        <w:t xml:space="preserve">, </w:t>
      </w:r>
      <w:r>
        <w:rPr>
          <w:b w:val="0"/>
          <w:i/>
        </w:rPr>
        <w:t>Corallus</w:t>
      </w:r>
      <w:r>
        <w:rPr>
          <w:b w:val="0"/>
          <w:i w:val="0"/>
        </w:rPr>
        <w:t xml:space="preserve">; </w:t>
      </w:r>
      <w:r>
        <w:rPr>
          <w:b w:val="0"/>
          <w:i/>
        </w:rPr>
        <w:t>fascinandos</w:t>
      </w:r>
      <w:r>
        <w:rPr>
          <w:b w:val="0"/>
          <w:i w:val="0"/>
        </w:rPr>
        <w:t xml:space="preserve">, </w:t>
      </w:r>
      <w:r>
        <w:rPr>
          <w:b w:val="0"/>
          <w:i/>
        </w:rPr>
        <w:t>roborandos</w:t>
      </w:r>
      <w:r>
        <w:rPr>
          <w:b w:val="0"/>
          <w:i w:val="0"/>
        </w:rPr>
        <w:t xml:space="preserve">, </w:t>
      </w:r>
      <w:r>
        <w:rPr>
          <w:b w:val="0"/>
          <w:i/>
        </w:rPr>
        <w:t>obtundit</w:t>
      </w:r>
      <w:r>
        <w:rPr>
          <w:b w:val="0"/>
          <w:i w:val="0"/>
        </w:rPr>
        <w:t xml:space="preserve">, </w:t>
      </w:r>
      <w:r>
        <w:rPr>
          <w:b w:val="0"/>
          <w:i/>
        </w:rPr>
        <w:t>sistit</w:t>
      </w:r>
      <w:r>
        <w:rPr>
          <w:b w:val="0"/>
          <w:i w:val="0"/>
        </w:rPr>
        <w:t xml:space="preserve">, </w:t>
      </w:r>
      <w:r>
        <w:rPr>
          <w:b w:val="0"/>
          <w:i/>
        </w:rPr>
        <w:t>mitigat</w:t>
      </w:r>
      <w:r>
        <w:rPr>
          <w:b w:val="0"/>
          <w:i w:val="0"/>
        </w:rPr>
        <w:t xml:space="preserve">, </w:t>
      </w:r>
      <w:r>
        <w:rPr>
          <w:b w:val="0"/>
          <w:i/>
        </w:rPr>
        <w:t>repellit</w:t>
      </w:r>
      <w:r>
        <w:rPr>
          <w:b w:val="0"/>
          <w:i w:val="0"/>
        </w:rPr>
        <w:t>.</w:t>
      </w:r>
    </w:p>
    <w:p>
      <w:pPr>
        <w:keepNext/>
        <w:widowControl/>
      </w:pPr>
      <w:r>
        <w:rPr>
          <w:b/>
          <w:i w:val="0"/>
        </w:rPr>
        <w:t>The word.</w:t>
      </w:r>
    </w:p>
    <w:p>
      <w:pPr>
        <w:widowControl/>
      </w:pPr>
      <w:r>
        <w:rPr>
          <w:b w:val="0"/>
          <w:i w:val="0"/>
        </w:rPr>
        <w:t xml:space="preserve">The passage names a herb and several stones, then gives distinct operative verbs: bewitching, strengthening, blunting, stopping, calming, and repelling. </w:t>
      </w:r>
      <w:r>
        <w:rPr>
          <w:b w:val="0"/>
          <w:i/>
        </w:rPr>
        <w:t>Virtus</w:t>
      </w:r>
      <w:r>
        <w:rPr>
          <w:b w:val="0"/>
          <w:i w:val="0"/>
        </w:rPr>
        <w:t xml:space="preserve"> in this setting means effective power, not moral virtue. The names are retained as the supplied text’s identifications rather than independently certified mineralogical or botanical classifications.</w:t>
      </w:r>
    </w:p>
    <w:p>
      <w:pPr>
        <w:keepNext/>
        <w:widowControl/>
      </w:pPr>
      <w:r>
        <w:rPr>
          <w:b/>
          <w:i w:val="0"/>
        </w:rPr>
        <w:t>In the Platonic Theology.</w:t>
      </w:r>
    </w:p>
    <w:p>
      <w:pPr>
        <w:widowControl/>
      </w:pPr>
      <w:r>
        <w:rPr>
          <w:b w:val="0"/>
          <w:i w:val="0"/>
        </w:rPr>
        <w:t>Ficino argues that dense mixed bodies cannot of themselves account for effects upon human souls and even storms; a stronger living and wise nature must work within them. He reports the Magi’s claim that hierobotanum aids physicians’ divinations. Agate is said to foster sight, blunt poison, and confer strength and fertility. A nearby diamond is said to deprive a magnet of what it attracts. Carnelian stops bleeding and calms anger; onyx inflames anger and frightens sleepers; coral, on the testimony attributed to Metrodorus and Zoroaster, banishes terrors and repels lightning and hail.</w:t>
      </w:r>
    </w:p>
    <w:p>
      <w:pPr>
        <w:widowControl/>
      </w:pPr>
      <w:r>
        <w:rPr>
          <w:b w:val="0"/>
          <w:i w:val="0"/>
        </w:rPr>
        <w:t>The opposing emotional effects of carnelian and onyx matter to the argument: these are allegedly determinate powers, not one undifferentiated beneficial influence. The conclusion concerns the rank of the nature said to produce them. These are historical natural-lore claims, not remedies or protections established here, and should not be used as medical or safety advice. The magnet reappears later in a different explanatory role, as an analogy for an invisible mover.</w:t>
      </w:r>
    </w:p>
    <w:p>
      <w:pPr>
        <w:keepNext/>
        <w:widowControl/>
      </w:pPr>
      <w:r>
        <w:rPr>
          <w:b/>
          <w:i w:val="0"/>
        </w:rPr>
        <w:t>The places.</w:t>
      </w:r>
    </w:p>
    <w:p>
      <w:pPr>
        <w:ind w:left="187" w:hanging="187"/>
      </w:pPr>
      <w:r>
        <w:t xml:space="preserve">• </w:t>
      </w:r>
      <w:r>
        <w:rPr>
          <w:b/>
          <w:i w:val="0"/>
        </w:rPr>
        <w:t>IV.1.19–20, PDF pp. 290–293:</w:t>
      </w:r>
      <w:r>
        <w:rPr>
          <w:b w:val="0"/>
          <w:i w:val="0"/>
        </w:rPr>
        <w:t xml:space="preserve"> sluggish bodily mixture is contrasted with alleged effects on souls; herb, agate, diamond, and magnet supply examples</w:t>
      </w:r>
    </w:p>
    <w:p>
      <w:pPr>
        <w:ind w:left="187" w:hanging="187"/>
      </w:pPr>
      <w:r>
        <w:t xml:space="preserve">• </w:t>
      </w:r>
      <w:r>
        <w:rPr>
          <w:b/>
          <w:i w:val="0"/>
        </w:rPr>
        <w:t>IV.1.21–22, pp. 292–293:</w:t>
      </w:r>
      <w:r>
        <w:rPr>
          <w:b w:val="0"/>
          <w:i w:val="0"/>
        </w:rPr>
        <w:t xml:space="preserve"> the stones’ differentiated effects support the inference to an infused superior nature</w:t>
      </w:r>
    </w:p>
    <w:p>
      <w:pPr>
        <w:ind w:left="187" w:hanging="187"/>
      </w:pPr>
      <w:r>
        <w:t xml:space="preserve">• </w:t>
      </w:r>
      <w:r>
        <w:rPr>
          <w:b/>
          <w:i w:val="0"/>
        </w:rPr>
        <w:t>IV.1.74, pp. 320–321:</w:t>
      </w:r>
      <w:r>
        <w:rPr>
          <w:b w:val="0"/>
          <w:i w:val="0"/>
        </w:rPr>
        <w:t xml:space="preserve"> magnetic attraction later illustrates a hidden cause, without repeating the diamond claim</w:t>
      </w:r>
    </w:p>
    <w:p>
      <w:pPr>
        <w:keepNext/>
        <w:widowControl/>
      </w:pPr>
      <w:r>
        <w:rPr>
          <w:b/>
          <w:i w:val="0"/>
        </w:rPr>
        <w:t>In this edition.</w:t>
      </w:r>
    </w:p>
    <w:p>
      <w:pPr>
        <w:widowControl/>
      </w:pPr>
      <w:r>
        <w:rPr>
          <w:b w:val="0"/>
          <w:i w:val="0"/>
        </w:rPr>
        <w:t xml:space="preserve">The reading </w:t>
      </w:r>
      <w:r>
        <w:rPr>
          <w:b w:val="0"/>
          <w:i/>
        </w:rPr>
        <w:t>fecundiam</w:t>
      </w:r>
      <w:r>
        <w:rPr>
          <w:b w:val="0"/>
          <w:i w:val="0"/>
        </w:rPr>
        <w:t xml:space="preserve"> is rendered </w:t>
      </w:r>
      <w:r>
        <w:t>“</w:t>
      </w:r>
      <w:r>
        <w:rPr>
          <w:b w:val="0"/>
          <w:i w:val="0"/>
        </w:rPr>
        <w:t>fertility.</w:t>
      </w:r>
      <w:r>
        <w:t>”</w:t>
      </w:r>
      <w:r>
        <w:rPr>
          <w:b w:val="0"/>
          <w:i w:val="0"/>
        </w:rPr>
        <w:t xml:space="preserve"> The prior lexicon reports an apparatus variant concerning eloquence; that later variant must not be silently added to the list of effects in this continuous reading text. Individual verbs preserve the diversity of the claims rather than an assertion that all the stones simply heal.</w:t>
      </w:r>
    </w:p>
    <w:p>
      <w:pPr>
        <w:keepNext/>
        <w:widowControl/>
      </w:pPr>
      <w:r>
        <w:rPr>
          <w:b/>
          <w:i w:val="0"/>
        </w:rPr>
        <w:t>See also.</w:t>
      </w:r>
    </w:p>
    <w:p>
      <w:pPr>
        <w:widowControl/>
      </w:pPr>
      <w:hyperlink w:anchor="power-and-potency">
        <w:r>
          <w:rPr>
            <w:color w:val="000000"/>
          </w:rPr>
          <w:t xml:space="preserve">Power and potency</w:t>
        </w:r>
      </w:hyperlink>
      <w:r>
        <w:rPr>
          <w:b w:val="0"/>
          <w:i w:val="0"/>
        </w:rPr>
        <w:t xml:space="preserve">; </w:t>
      </w:r>
      <w:hyperlink w:anchor="hermetic-theologians-and-the-magi">
        <w:r>
          <w:rPr>
            <w:color w:val="000000"/>
          </w:rPr>
          <w:t xml:space="preserve">Hermetic theologians and the Magi</w:t>
        </w:r>
      </w:hyperlink>
      <w:r>
        <w:rPr>
          <w:b w:val="0"/>
          <w:i w:val="0"/>
        </w:rPr>
        <w:t xml:space="preserve">; </w:t>
      </w:r>
      <w:hyperlink w:anchor="hidden-mover-and-magnet">
        <w:r>
          <w:rPr>
            <w:color w:val="000000"/>
          </w:rPr>
          <w:t xml:space="preserve">Hidden mover and magnet</w:t>
        </w:r>
      </w:hyperlink>
      <w:r>
        <w:rPr>
          <w:b w:val="0"/>
          <w:i w:val="0"/>
        </w:rPr>
        <w:t xml:space="preserve">; </w:t>
      </w:r>
      <w:hyperlink w:anchor="seeming-and-evidence">
        <w:r>
          <w:rPr>
            <w:color w:val="000000"/>
          </w:rPr>
          <w:t xml:space="preserve">Seeming and evidence</w:t>
        </w:r>
      </w:hyperlink>
      <w:r>
        <w:rPr>
          <w:b w:val="0"/>
          <w:i w:val="0"/>
        </w:rPr>
        <w:t>.</w:t>
      </w:r>
    </w:p>
    <w:p>
      <w:bookmarkStart w:id="117" w:name="hinge-and-center"/>
      <w:pPr>
        <w:pStyle w:val="Heading2"/>
      </w:pPr>
      <w:r>
        <w:rPr>
          <w:b w:val="0"/>
          <w:i w:val="0"/>
        </w:rPr>
        <w:t>Hinge and center</w:t>
      </w:r>
      <w:bookmarkEnd w:id="117"/>
    </w:p>
    <w:p>
      <w:pPr>
        <w:keepNext/>
        <w:widowControl/>
      </w:pPr>
      <w:r>
        <w:rPr>
          <w:b/>
          <w:i w:val="0"/>
        </w:rPr>
        <w:t>Latin:</w:t>
      </w:r>
      <w:r>
        <w:rPr>
          <w:b w:val="0"/>
          <w:i w:val="0"/>
        </w:rPr>
        <w:t xml:space="preserve"> </w:t>
      </w:r>
      <w:r>
        <w:rPr>
          <w:b w:val="0"/>
          <w:i/>
        </w:rPr>
        <w:t>cardo</w:t>
      </w:r>
      <w:r>
        <w:rPr>
          <w:b w:val="0"/>
          <w:i w:val="0"/>
        </w:rPr>
        <w:t xml:space="preserve">; </w:t>
      </w:r>
      <w:r>
        <w:rPr>
          <w:b w:val="0"/>
          <w:i/>
        </w:rPr>
        <w:t>centrum</w:t>
      </w:r>
      <w:r>
        <w:rPr>
          <w:b w:val="0"/>
          <w:i w:val="0"/>
        </w:rPr>
        <w:t xml:space="preserve">; </w:t>
      </w:r>
      <w:r>
        <w:rPr>
          <w:b w:val="0"/>
          <w:i/>
        </w:rPr>
        <w:t>lineae</w:t>
      </w:r>
      <w:r>
        <w:rPr>
          <w:b w:val="0"/>
          <w:i w:val="0"/>
        </w:rPr>
        <w:t xml:space="preserve">; </w:t>
      </w:r>
      <w:r>
        <w:rPr>
          <w:b w:val="0"/>
          <w:i/>
        </w:rPr>
        <w:t>circumferentia</w:t>
      </w:r>
      <w:r>
        <w:rPr>
          <w:b w:val="0"/>
          <w:i w:val="0"/>
        </w:rPr>
        <w:t xml:space="preserve">; </w:t>
      </w:r>
      <w:r>
        <w:rPr>
          <w:b w:val="0"/>
          <w:i/>
        </w:rPr>
        <w:t>punctum</w:t>
      </w:r>
    </w:p>
    <w:p>
      <w:pPr>
        <w:keepNext/>
        <w:widowControl/>
      </w:pPr>
      <w:r>
        <w:rPr>
          <w:b/>
          <w:i w:val="0"/>
        </w:rPr>
        <w:t>The word.</w:t>
      </w:r>
    </w:p>
    <w:p>
      <w:pPr>
        <w:widowControl/>
      </w:pPr>
      <w:r>
        <w:rPr>
          <w:b w:val="0"/>
          <w:i w:val="0"/>
        </w:rPr>
        <w:t>Cardo is a hinge, pivot, or axis; centrum the center; punctum a point; lineae rays or lines related to it. The images describe governing unity and relation to many effects. Their force depends on whether the subject is the first source, a subordinate order, or soul’s undivided presence.</w:t>
      </w:r>
    </w:p>
    <w:p>
      <w:pPr>
        <w:keepNext/>
        <w:widowControl/>
      </w:pPr>
      <w:r>
        <w:rPr>
          <w:b/>
          <w:i w:val="0"/>
        </w:rPr>
        <w:t>In the Platonic Theology.</w:t>
      </w:r>
    </w:p>
    <w:p>
      <w:pPr>
        <w:widowControl/>
      </w:pPr>
      <w:r>
        <w:rPr>
          <w:b w:val="0"/>
          <w:i w:val="0"/>
        </w:rPr>
        <w:t xml:space="preserve">The hinge or pivot, </w:t>
      </w:r>
      <w:r>
        <w:rPr>
          <w:b w:val="0"/>
          <w:i/>
        </w:rPr>
        <w:t>cardo</w:t>
      </w:r>
      <w:r>
        <w:rPr>
          <w:b w:val="0"/>
          <w:i w:val="0"/>
        </w:rPr>
        <w:t>, describes a governing point through which many subordinate movements are coordinated. God is the universal hinge, turning the subsequent orders of essence, life, mind, soul, nature, and matter. Ficino conditionally elaborates a Platonist formulation in which each order has its own proper hinge. The mechanical display driven by a single ball gives a concrete comparison for varied motion directed from one source.</w:t>
      </w:r>
    </w:p>
    <w:p>
      <w:pPr>
        <w:widowControl/>
      </w:pPr>
      <w:r>
        <w:rPr>
          <w:b w:val="0"/>
          <w:i w:val="0"/>
        </w:rPr>
        <w:t>The center image has more than one application. In II.13.14, God is the simplest center from which dependent realities issue like lines. In III.2, a circle’s center illustrates how an undivided point can stand in relation to many radii, unlike a point fixed to one peripheral location. This supports the account of soul’s undivided presence without making soul into a geometrical object. Calling soul the center of nature at III.2.23 then emphasizes its mediating position. A shared image therefore need not assign God and soul the same metaphysical status; the local relation being explained determines its force.</w:t>
      </w:r>
    </w:p>
    <w:p>
      <w:pPr>
        <w:keepNext/>
        <w:widowControl/>
      </w:pPr>
      <w:r>
        <w:rPr>
          <w:b/>
          <w:i w:val="0"/>
        </w:rPr>
        <w:t>The places.</w:t>
      </w:r>
    </w:p>
    <w:p>
      <w:pPr>
        <w:ind w:left="187" w:hanging="187"/>
      </w:pPr>
      <w:r>
        <w:t xml:space="preserve">• </w:t>
      </w:r>
      <w:r>
        <w:rPr>
          <w:b/>
          <w:i w:val="0"/>
        </w:rPr>
        <w:t>II.8.5 (PDF pp. 162–163)</w:t>
      </w:r>
      <w:r>
        <w:rPr>
          <w:b w:val="0"/>
          <w:i w:val="0"/>
        </w:rPr>
        <w:t>. The simplest center and dependent lines illustrate effortless action through being</w:t>
      </w:r>
    </w:p>
    <w:p>
      <w:pPr>
        <w:ind w:left="187" w:hanging="187"/>
      </w:pPr>
      <w:r>
        <w:t xml:space="preserve">• </w:t>
      </w:r>
      <w:r>
        <w:rPr>
          <w:b/>
          <w:i w:val="0"/>
        </w:rPr>
        <w:t>II.13.12 (PDF pp. 224–225)</w:t>
      </w:r>
      <w:r>
        <w:rPr>
          <w:b w:val="0"/>
          <w:i w:val="0"/>
        </w:rPr>
        <w:t>. The universal hinge coordinates subordinate orders, with a conditionally introduced Platonist elaboration</w:t>
      </w:r>
    </w:p>
    <w:p>
      <w:pPr>
        <w:ind w:left="187" w:hanging="187"/>
      </w:pPr>
      <w:r>
        <w:t xml:space="preserve">• </w:t>
      </w:r>
      <w:r>
        <w:rPr>
          <w:b/>
          <w:i w:val="0"/>
        </w:rPr>
        <w:t>II.13.14 (PDF pp. 226–227)</w:t>
      </w:r>
      <w:r>
        <w:rPr>
          <w:b w:val="0"/>
          <w:i w:val="0"/>
        </w:rPr>
        <w:t>. The center image recurs after the single-ball display</w:t>
      </w:r>
    </w:p>
    <w:p>
      <w:pPr>
        <w:ind w:left="187" w:hanging="187"/>
      </w:pPr>
      <w:r>
        <w:t xml:space="preserve">• </w:t>
      </w:r>
      <w:r>
        <w:rPr>
          <w:b/>
          <w:i w:val="0"/>
        </w:rPr>
        <w:t>III.2.19 (PDF pp. 272–273)</w:t>
      </w:r>
      <w:r>
        <w:rPr>
          <w:b w:val="0"/>
          <w:i w:val="0"/>
        </w:rPr>
        <w:t>. Soul is compared with a center related to every line and the whole circle</w:t>
      </w:r>
    </w:p>
    <w:p>
      <w:pPr>
        <w:widowControl/>
      </w:pPr>
      <w:r>
        <w:rPr>
          <w:b/>
          <w:i w:val="0"/>
        </w:rPr>
        <w:t>Further passage references.</w:t>
      </w:r>
      <w:r>
        <w:rPr>
          <w:b w:val="0"/>
          <w:i w:val="0"/>
        </w:rPr>
        <w:t xml:space="preserve"> II.13.12–14, PDF 224–227; III.2.13–19, 23, PDF 270–275.</w:t>
      </w:r>
    </w:p>
    <w:p>
      <w:pPr>
        <w:keepNext/>
        <w:widowControl/>
      </w:pPr>
      <w:r>
        <w:rPr>
          <w:b/>
          <w:i w:val="0"/>
        </w:rPr>
        <w:t>In this edition.</w:t>
      </w:r>
    </w:p>
    <w:p>
      <w:pPr>
        <w:widowControl/>
      </w:pPr>
      <w:r>
        <w:rPr>
          <w:b w:val="0"/>
          <w:i w:val="0"/>
        </w:rPr>
        <w:t xml:space="preserve">The English </w:t>
      </w:r>
      <w:r>
        <w:t>“</w:t>
      </w:r>
      <w:r>
        <w:rPr>
          <w:b w:val="0"/>
          <w:i w:val="0"/>
        </w:rPr>
        <w:t>hinge</w:t>
      </w:r>
      <w:r>
        <w:t>”</w:t>
      </w:r>
      <w:r>
        <w:rPr>
          <w:b w:val="0"/>
          <w:i w:val="0"/>
        </w:rPr>
        <w:t xml:space="preserve"> emphasizes coordinated turning; </w:t>
      </w:r>
      <w:r>
        <w:t>“</w:t>
      </w:r>
      <w:r>
        <w:rPr>
          <w:b w:val="0"/>
          <w:i w:val="0"/>
        </w:rPr>
        <w:t>center</w:t>
      </w:r>
      <w:r>
        <w:t>”</w:t>
      </w:r>
      <w:r>
        <w:rPr>
          <w:b w:val="0"/>
          <w:i w:val="0"/>
        </w:rPr>
        <w:t xml:space="preserve"> emphasizes a single source’s relation to many lines. The formula already occurs at II.8.5 and is repeated at II.13.14 with an explicit reference back. The conditional </w:t>
      </w:r>
      <w:r>
        <w:t>“</w:t>
      </w:r>
      <w:r>
        <w:rPr>
          <w:b w:val="0"/>
          <w:i w:val="0"/>
        </w:rPr>
        <w:t>as a Platonist might say</w:t>
      </w:r>
      <w:r>
        <w:t>”</w:t>
      </w:r>
      <w:r>
        <w:rPr>
          <w:b w:val="0"/>
          <w:i w:val="0"/>
        </w:rPr>
        <w:t xml:space="preserve"> at II.13.12 qualifies the elaborated hierarchy of hinges.</w:t>
      </w:r>
    </w:p>
    <w:p>
      <w:pPr>
        <w:keepNext/>
        <w:widowControl/>
      </w:pPr>
      <w:r>
        <w:rPr>
          <w:b/>
          <w:i w:val="0"/>
        </w:rPr>
        <w:t>See also.</w:t>
      </w:r>
    </w:p>
    <w:p>
      <w:pPr>
        <w:widowControl/>
      </w:pPr>
      <w:hyperlink w:anchor="bond-knot-and-chain">
        <w:r>
          <w:rPr>
            <w:color w:val="000000"/>
          </w:rPr>
          <w:t xml:space="preserve">Bond knot and chain</w:t>
        </w:r>
      </w:hyperlink>
      <w:r>
        <w:rPr>
          <w:b w:val="0"/>
          <w:i w:val="0"/>
        </w:rPr>
        <w:t xml:space="preserve">; </w:t>
      </w:r>
      <w:hyperlink w:anchor="indwelling-and-presence">
        <w:r>
          <w:rPr>
            <w:color w:val="000000"/>
          </w:rPr>
          <w:t xml:space="preserve">Indwelling and presence</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 xml:space="preserve">; </w:t>
      </w:r>
      <w:hyperlink w:anchor="soul">
        <w:r>
          <w:rPr>
            <w:color w:val="000000"/>
          </w:rPr>
          <w:t xml:space="preserve">Soul</w:t>
        </w:r>
      </w:hyperlink>
    </w:p>
    <w:p>
      <w:bookmarkStart w:id="118" w:name="honey-whiteness-and-the-wall"/>
      <w:pPr>
        <w:pStyle w:val="Heading2"/>
      </w:pPr>
      <w:r>
        <w:rPr>
          <w:b w:val="0"/>
          <w:i w:val="0"/>
        </w:rPr>
        <w:t>Honey, whiteness and the wall</w:t>
      </w:r>
      <w:bookmarkEnd w:id="118"/>
    </w:p>
    <w:p>
      <w:pPr>
        <w:keepNext/>
        <w:widowControl/>
      </w:pPr>
      <w:r>
        <w:rPr>
          <w:b/>
          <w:i w:val="0"/>
        </w:rPr>
        <w:t>Latin:</w:t>
      </w:r>
      <w:r>
        <w:rPr>
          <w:b w:val="0"/>
          <w:i w:val="0"/>
        </w:rPr>
        <w:t xml:space="preserve"> </w:t>
      </w:r>
      <w:r>
        <w:rPr>
          <w:b w:val="0"/>
          <w:i/>
        </w:rPr>
        <w:t>mel</w:t>
      </w:r>
      <w:r>
        <w:rPr>
          <w:b w:val="0"/>
          <w:i w:val="0"/>
        </w:rPr>
        <w:t xml:space="preserve">; </w:t>
      </w:r>
      <w:r>
        <w:rPr>
          <w:b w:val="0"/>
          <w:i/>
        </w:rPr>
        <w:t>mellis</w:t>
      </w:r>
      <w:r>
        <w:rPr>
          <w:b w:val="0"/>
          <w:i w:val="0"/>
        </w:rPr>
        <w:t xml:space="preserve">; </w:t>
      </w:r>
      <w:r>
        <w:rPr>
          <w:b w:val="0"/>
          <w:i/>
        </w:rPr>
        <w:t>guttula</w:t>
      </w:r>
      <w:r>
        <w:rPr>
          <w:b w:val="0"/>
          <w:i w:val="0"/>
        </w:rPr>
        <w:t xml:space="preserve">; </w:t>
      </w:r>
      <w:r>
        <w:rPr>
          <w:b w:val="0"/>
          <w:i/>
        </w:rPr>
        <w:t>color flavus</w:t>
      </w:r>
      <w:r>
        <w:rPr>
          <w:b w:val="0"/>
          <w:i w:val="0"/>
        </w:rPr>
        <w:t xml:space="preserve">; </w:t>
      </w:r>
      <w:r>
        <w:rPr>
          <w:b w:val="0"/>
          <w:i/>
        </w:rPr>
        <w:t>dulcedo</w:t>
      </w:r>
      <w:r>
        <w:rPr>
          <w:b w:val="0"/>
          <w:i w:val="0"/>
        </w:rPr>
        <w:t xml:space="preserve">; </w:t>
      </w:r>
      <w:r>
        <w:rPr>
          <w:b w:val="0"/>
          <w:i/>
        </w:rPr>
        <w:t>odor</w:t>
      </w:r>
      <w:r>
        <w:rPr>
          <w:b w:val="0"/>
          <w:i w:val="0"/>
        </w:rPr>
        <w:t xml:space="preserve">; </w:t>
      </w:r>
      <w:r>
        <w:rPr>
          <w:b w:val="0"/>
          <w:i/>
        </w:rPr>
        <w:t>albedo</w:t>
      </w:r>
      <w:r>
        <w:rPr>
          <w:b w:val="0"/>
          <w:i w:val="0"/>
        </w:rPr>
        <w:t xml:space="preserve">; </w:t>
      </w:r>
      <w:r>
        <w:rPr>
          <w:b w:val="0"/>
          <w:i/>
        </w:rPr>
        <w:t>paries</w:t>
      </w:r>
      <w:r>
        <w:rPr>
          <w:b w:val="0"/>
          <w:i w:val="0"/>
        </w:rPr>
        <w:t>.</w:t>
      </w:r>
    </w:p>
    <w:p>
      <w:pPr>
        <w:keepNext/>
        <w:widowControl/>
      </w:pPr>
      <w:r>
        <w:rPr>
          <w:b/>
          <w:i w:val="0"/>
        </w:rPr>
        <w:t>The word.</w:t>
      </w:r>
    </w:p>
    <w:p>
      <w:pPr>
        <w:widowControl/>
      </w:pPr>
      <w:r>
        <w:rPr>
          <w:b w:val="0"/>
          <w:i/>
        </w:rPr>
        <w:t>Mel</w:t>
      </w:r>
      <w:r>
        <w:rPr>
          <w:b w:val="0"/>
          <w:i w:val="0"/>
        </w:rPr>
        <w:t xml:space="preserve">, encountered as </w:t>
      </w:r>
      <w:r>
        <w:rPr>
          <w:b w:val="0"/>
          <w:i/>
        </w:rPr>
        <w:t>mellis</w:t>
      </w:r>
      <w:r>
        <w:rPr>
          <w:b w:val="0"/>
          <w:i w:val="0"/>
        </w:rPr>
        <w:t xml:space="preserve">, is honey; </w:t>
      </w:r>
      <w:r>
        <w:rPr>
          <w:b w:val="0"/>
          <w:i/>
        </w:rPr>
        <w:t>guttula</w:t>
      </w:r>
      <w:r>
        <w:rPr>
          <w:b w:val="0"/>
          <w:i w:val="0"/>
        </w:rPr>
        <w:t xml:space="preserve"> is a small drop. </w:t>
      </w:r>
      <w:r>
        <w:rPr>
          <w:b w:val="0"/>
          <w:i/>
        </w:rPr>
        <w:t>Dulcedo</w:t>
      </w:r>
      <w:r>
        <w:rPr>
          <w:b w:val="0"/>
          <w:i w:val="0"/>
        </w:rPr>
        <w:t xml:space="preserve"> is sweetness, </w:t>
      </w:r>
      <w:r>
        <w:rPr>
          <w:b w:val="0"/>
          <w:i/>
        </w:rPr>
        <w:t>odor</w:t>
      </w:r>
      <w:r>
        <w:rPr>
          <w:b w:val="0"/>
          <w:i w:val="0"/>
        </w:rPr>
        <w:t xml:space="preserve"> smell, </w:t>
      </w:r>
      <w:r>
        <w:rPr>
          <w:b w:val="0"/>
          <w:i/>
        </w:rPr>
        <w:t>albedo</w:t>
      </w:r>
      <w:r>
        <w:rPr>
          <w:b w:val="0"/>
          <w:i w:val="0"/>
        </w:rPr>
        <w:t xml:space="preserve"> whiteness, and </w:t>
      </w:r>
      <w:r>
        <w:rPr>
          <w:b w:val="0"/>
          <w:i/>
        </w:rPr>
        <w:t>paries</w:t>
      </w:r>
      <w:r>
        <w:rPr>
          <w:b w:val="0"/>
          <w:i w:val="0"/>
        </w:rPr>
        <w:t xml:space="preserve"> a wall. These ordinary nouns anchor distinct tests of quality; they are not interchangeable illustrations of sensation.</w:t>
      </w:r>
    </w:p>
    <w:p>
      <w:pPr>
        <w:keepNext/>
        <w:widowControl/>
      </w:pPr>
      <w:r>
        <w:rPr>
          <w:b/>
          <w:i w:val="0"/>
        </w:rPr>
        <w:t>In the Platonic Theology.</w:t>
      </w:r>
    </w:p>
    <w:p>
      <w:pPr>
        <w:widowControl/>
      </w:pPr>
      <w:r>
        <w:rPr>
          <w:b w:val="0"/>
          <w:i w:val="0"/>
        </w:rPr>
        <w:t xml:space="preserve">The wall tests access to size: one cannot judge its magnitude unless colour and light have first moved sight, and distance is said to impair judgement of size sooner than judgement of colour and light. Honey tests coexistence: each drop is coloured, sweet and fragrant, so multiple qualities occupy the same material where two bodies cannot occupy the same place without obstruction. Whiteness tests division. Dividing a white body leaves whiteness in each piece, with the same qualitative character and similar efficacy, though not the same extent. Ficino’s contrast is between </w:t>
      </w:r>
      <w:r>
        <w:t>“</w:t>
      </w:r>
      <w:r>
        <w:rPr>
          <w:b w:val="0"/>
          <w:i w:val="0"/>
        </w:rPr>
        <w:t>whiteness of a part</w:t>
      </w:r>
      <w:r>
        <w:t>”</w:t>
      </w:r>
      <w:r>
        <w:rPr>
          <w:b w:val="0"/>
          <w:i w:val="0"/>
        </w:rPr>
        <w:t xml:space="preserve"> and </w:t>
      </w:r>
      <w:r>
        <w:t>“</w:t>
      </w:r>
      <w:r>
        <w:rPr>
          <w:b w:val="0"/>
          <w:i w:val="0"/>
        </w:rPr>
        <w:t>part of whiteness.</w:t>
      </w:r>
      <w:r>
        <w:t>”</w:t>
      </w:r>
      <w:r>
        <w:rPr>
          <w:b w:val="0"/>
          <w:i w:val="0"/>
        </w:rPr>
        <w:t xml:space="preserve"> He does not say that the pieces are equal in size or that every qualitative intensity necessarily remains numerically identical under every material alteration.</w:t>
      </w:r>
    </w:p>
    <w:p>
      <w:pPr>
        <w:keepNext/>
        <w:widowControl/>
      </w:pPr>
      <w:r>
        <w:rPr>
          <w:b/>
          <w:i w:val="0"/>
        </w:rPr>
        <w:t>The places.</w:t>
      </w:r>
    </w:p>
    <w:p>
      <w:pPr>
        <w:ind w:left="187" w:hanging="187"/>
      </w:pPr>
      <w:r>
        <w:t xml:space="preserve">• </w:t>
      </w:r>
      <w:r>
        <w:rPr>
          <w:b/>
          <w:i w:val="0"/>
        </w:rPr>
        <w:t>I.2.13, PDF 24–25.</w:t>
      </w:r>
      <w:r>
        <w:rPr>
          <w:b w:val="0"/>
          <w:i w:val="0"/>
        </w:rPr>
        <w:t xml:space="preserve"> The wall’s magnitude is perceived through colour and light</w:t>
      </w:r>
    </w:p>
    <w:p>
      <w:pPr>
        <w:ind w:left="187" w:hanging="187"/>
      </w:pPr>
      <w:r>
        <w:t xml:space="preserve">• </w:t>
      </w:r>
      <w:r>
        <w:rPr>
          <w:b/>
          <w:i w:val="0"/>
        </w:rPr>
        <w:t>I.2.15, PDF 26–27.</w:t>
      </w:r>
      <w:r>
        <w:rPr>
          <w:b w:val="0"/>
          <w:i w:val="0"/>
        </w:rPr>
        <w:t xml:space="preserve"> A drop of honey contains several qualities together</w:t>
      </w:r>
    </w:p>
    <w:p>
      <w:pPr>
        <w:ind w:left="187" w:hanging="187"/>
      </w:pPr>
      <w:r>
        <w:t xml:space="preserve">• </w:t>
      </w:r>
      <w:r>
        <w:rPr>
          <w:b/>
          <w:i w:val="0"/>
        </w:rPr>
        <w:t>I.2.17, PDF 26–27.</w:t>
      </w:r>
      <w:r>
        <w:rPr>
          <w:b w:val="0"/>
          <w:i w:val="0"/>
        </w:rPr>
        <w:t xml:space="preserve"> The white body distinguishes qualitative character from quantitative division</w:t>
      </w:r>
    </w:p>
    <w:p>
      <w:pPr>
        <w:keepNext/>
        <w:widowControl/>
      </w:pPr>
      <w:r>
        <w:rPr>
          <w:b/>
          <w:i w:val="0"/>
        </w:rPr>
        <w:t>In this edition.</w:t>
      </w:r>
    </w:p>
    <w:p>
      <w:pPr>
        <w:widowControl/>
      </w:pPr>
      <w:r>
        <w:t>“</w:t>
      </w:r>
      <w:r>
        <w:rPr>
          <w:b w:val="0"/>
          <w:i w:val="0"/>
        </w:rPr>
        <w:t>Pleasing to the nostrils</w:t>
      </w:r>
      <w:r>
        <w:t>”</w:t>
      </w:r>
      <w:r>
        <w:rPr>
          <w:b w:val="0"/>
          <w:i w:val="0"/>
        </w:rPr>
        <w:t xml:space="preserve"> renders the olfactory </w:t>
      </w:r>
      <w:r>
        <w:rPr>
          <w:b w:val="0"/>
          <w:i/>
        </w:rPr>
        <w:t>naribusque suavis</w:t>
      </w:r>
      <w:r>
        <w:rPr>
          <w:b w:val="0"/>
          <w:i w:val="0"/>
        </w:rPr>
        <w:t xml:space="preserve">, not a fourth quality added to colour, sweetness and odour. In the whiteness passage, the reversal of </w:t>
      </w:r>
      <w:r>
        <w:rPr>
          <w:b w:val="0"/>
          <w:i/>
        </w:rPr>
        <w:t>partis albedo</w:t>
      </w:r>
      <w:r>
        <w:rPr>
          <w:b w:val="0"/>
          <w:i w:val="0"/>
        </w:rPr>
        <w:t xml:space="preserve"> and </w:t>
      </w:r>
      <w:r>
        <w:rPr>
          <w:b w:val="0"/>
          <w:i/>
        </w:rPr>
        <w:t>pars albedinis</w:t>
      </w:r>
      <w:r>
        <w:rPr>
          <w:b w:val="0"/>
          <w:i w:val="0"/>
        </w:rPr>
        <w:t xml:space="preserve"> is the argument’s lexical hinge and should remain visible.</w:t>
      </w:r>
    </w:p>
    <w:p>
      <w:pPr>
        <w:keepNext/>
        <w:widowControl/>
      </w:pPr>
      <w:r>
        <w:rPr>
          <w:b/>
          <w:i w:val="0"/>
        </w:rPr>
        <w:t>See also.</w:t>
      </w:r>
    </w:p>
    <w:p>
      <w:pPr>
        <w:widowControl/>
      </w:pPr>
      <w:hyperlink w:anchor="quality">
        <w:r>
          <w:rPr>
            <w:color w:val="000000"/>
          </w:rPr>
          <w:t xml:space="preserve">Quality</w:t>
        </w:r>
      </w:hyperlink>
      <w:r>
        <w:rPr>
          <w:b w:val="0"/>
          <w:i w:val="0"/>
        </w:rPr>
        <w:t xml:space="preserve">; </w:t>
      </w:r>
      <w:hyperlink w:anchor="sense-and-imagination">
        <w:r>
          <w:rPr>
            <w:color w:val="000000"/>
          </w:rPr>
          <w:t xml:space="preserve">Sense and imagination</w:t>
        </w:r>
      </w:hyperlink>
      <w:r>
        <w:rPr>
          <w:b w:val="0"/>
          <w:i w:val="0"/>
        </w:rPr>
        <w:t xml:space="preserve">; </w:t>
      </w:r>
      <w:hyperlink w:anchor="whole-and-parts">
        <w:r>
          <w:rPr>
            <w:color w:val="000000"/>
          </w:rPr>
          <w:t xml:space="preserve">Whole and parts</w:t>
        </w:r>
      </w:hyperlink>
      <w:r>
        <w:rPr>
          <w:b w:val="0"/>
          <w:i w:val="0"/>
        </w:rPr>
        <w:t xml:space="preserve">; </w:t>
      </w:r>
      <w:hyperlink w:anchor="quantity-and-dimension">
        <w:r>
          <w:rPr>
            <w:color w:val="000000"/>
          </w:rPr>
          <w:t xml:space="preserve">Quantity and dimension</w:t>
        </w:r>
      </w:hyperlink>
      <w:r>
        <w:rPr>
          <w:b w:val="0"/>
          <w:i w:val="0"/>
        </w:rPr>
        <w:t>.</w:t>
      </w:r>
    </w:p>
    <w:p>
      <w:bookmarkStart w:id="119" w:name="ideas-and-exemplars"/>
      <w:pPr>
        <w:pStyle w:val="Heading2"/>
      </w:pPr>
      <w:r>
        <w:rPr>
          <w:b w:val="0"/>
          <w:i w:val="0"/>
        </w:rPr>
        <w:t>Ideas and exemplars</w:t>
      </w:r>
      <w:bookmarkEnd w:id="119"/>
    </w:p>
    <w:p>
      <w:pPr>
        <w:keepNext/>
        <w:widowControl/>
      </w:pPr>
      <w:r>
        <w:rPr>
          <w:b/>
          <w:i w:val="0"/>
        </w:rPr>
        <w:t>Latin:</w:t>
      </w:r>
      <w:r>
        <w:rPr>
          <w:b w:val="0"/>
          <w:i w:val="0"/>
        </w:rPr>
        <w:t xml:space="preserve"> </w:t>
      </w:r>
      <w:r>
        <w:rPr>
          <w:b w:val="0"/>
          <w:i/>
        </w:rPr>
        <w:t>idea</w:t>
      </w:r>
      <w:r>
        <w:rPr>
          <w:b w:val="0"/>
          <w:i w:val="0"/>
        </w:rPr>
        <w:t xml:space="preserve">; </w:t>
      </w:r>
      <w:r>
        <w:rPr>
          <w:b w:val="0"/>
          <w:i/>
        </w:rPr>
        <w:t>exemplar</w:t>
      </w:r>
      <w:r>
        <w:rPr>
          <w:b w:val="0"/>
          <w:i w:val="0"/>
        </w:rPr>
        <w:t xml:space="preserve">; </w:t>
      </w:r>
      <w:r>
        <w:rPr>
          <w:b w:val="0"/>
          <w:i/>
        </w:rPr>
        <w:t>ratio</w:t>
      </w:r>
      <w:r>
        <w:rPr>
          <w:b w:val="0"/>
          <w:i w:val="0"/>
        </w:rPr>
        <w:t xml:space="preserve">; </w:t>
      </w:r>
      <w:r>
        <w:rPr>
          <w:b w:val="0"/>
          <w:i/>
        </w:rPr>
        <w:t>rationes propriae</w:t>
      </w:r>
      <w:r>
        <w:rPr>
          <w:b w:val="0"/>
          <w:i w:val="0"/>
        </w:rPr>
        <w:t xml:space="preserve">; </w:t>
      </w:r>
      <w:r>
        <w:rPr>
          <w:b w:val="0"/>
          <w:i/>
        </w:rPr>
        <w:t>respectus intellecti</w:t>
      </w:r>
      <w:r>
        <w:rPr>
          <w:b w:val="0"/>
          <w:i w:val="0"/>
        </w:rPr>
        <w:t xml:space="preserve">; </w:t>
      </w:r>
      <w:r>
        <w:rPr>
          <w:b w:val="0"/>
          <w:i/>
        </w:rPr>
        <w:t>species</w:t>
      </w:r>
      <w:r>
        <w:rPr>
          <w:b w:val="0"/>
          <w:i w:val="0"/>
        </w:rPr>
        <w:t xml:space="preserve">; </w:t>
      </w:r>
      <w:r>
        <w:rPr>
          <w:b w:val="0"/>
          <w:i/>
        </w:rPr>
        <w:t>reales respectus</w:t>
      </w:r>
      <w:r>
        <w:rPr>
          <w:b w:val="0"/>
          <w:i w:val="0"/>
        </w:rPr>
        <w:t xml:space="preserve">; </w:t>
      </w:r>
      <w:r>
        <w:rPr>
          <w:b w:val="0"/>
          <w:i/>
        </w:rPr>
        <w:t>rationes</w:t>
      </w:r>
      <w:r>
        <w:rPr>
          <w:b w:val="0"/>
          <w:i w:val="0"/>
        </w:rPr>
        <w:t xml:space="preserve">; </w:t>
      </w:r>
      <w:r>
        <w:rPr>
          <w:b w:val="0"/>
          <w:i/>
        </w:rPr>
        <w:t>ideae</w:t>
      </w:r>
      <w:r>
        <w:rPr>
          <w:b w:val="0"/>
          <w:i w:val="0"/>
        </w:rPr>
        <w:t xml:space="preserve">; </w:t>
      </w:r>
      <w:r>
        <w:rPr>
          <w:b w:val="0"/>
          <w:i/>
        </w:rPr>
        <w:t>exemplaria</w:t>
      </w:r>
      <w:r>
        <w:rPr>
          <w:b w:val="0"/>
          <w:i w:val="0"/>
        </w:rPr>
        <w:t xml:space="preserve">; </w:t>
      </w:r>
      <w:r>
        <w:rPr>
          <w:b w:val="0"/>
          <w:i/>
        </w:rPr>
        <w:t>conceptus</w:t>
      </w:r>
    </w:p>
    <w:p>
      <w:pPr>
        <w:keepNext/>
        <w:widowControl/>
      </w:pPr>
      <w:r>
        <w:rPr>
          <w:b/>
          <w:i w:val="0"/>
        </w:rPr>
        <w:t>The word.</w:t>
      </w:r>
    </w:p>
    <w:p>
      <w:pPr>
        <w:widowControl/>
      </w:pPr>
      <w:r>
        <w:rPr>
          <w:b w:val="0"/>
          <w:i w:val="0"/>
        </w:rPr>
        <w:t>Idea and exemplar name an intelligible pattern or model; ratio can name the determinate principle or account of a thing. Respectus is a relation or respect under which one essence is understood. These words distinguish a model, an intelligible determination, and the dependent likeness produced from it.</w:t>
      </w:r>
    </w:p>
    <w:p>
      <w:pPr>
        <w:keepNext/>
        <w:widowControl/>
      </w:pPr>
      <w:r>
        <w:rPr>
          <w:b/>
          <w:i w:val="0"/>
        </w:rPr>
        <w:t>In the Platonic Theology.</w:t>
      </w:r>
    </w:p>
    <w:p>
      <w:pPr>
        <w:widowControl/>
      </w:pPr>
      <w:r>
        <w:rPr>
          <w:b w:val="0"/>
          <w:i w:val="0"/>
        </w:rPr>
        <w:t>A divine idea is the divine essence considered as the exemplar of a particular kind, rather than a separate substance or added quality within God. Ficino explains plurality by the distinct ways in which the single divine perfection can be imitated. God understands those determinate relations through his own intellect; created things do not first produce the relations in him. Several ideas are therefore several intelligible accounts of one essence, contemplated through one form and a single act of vision. Ficino explicitly calls the relations intellectual rather than real relations of the kind by which persons are said to be distinguished. This comparison marks a difference in the status of the relations; it does not make created things independent constituents within God.</w:t>
      </w:r>
    </w:p>
    <w:p>
      <w:pPr>
        <w:widowControl/>
      </w:pPr>
      <w:r>
        <w:rPr>
          <w:b w:val="0"/>
          <w:i w:val="0"/>
        </w:rPr>
        <w:t>Universal order is the principal idea because the world’s ordered whole stands first in divine purpose. Knowing a whole requires the proper accounts of its parts, as an architect must conceive a building’s components. The idea of a house also explains features belonging to it from its original construction, whereas additions such as paintings can require further ideas. These distinctions allow specific patterns without sacrificing divine simplicity. Many things can be known and made under one idea, and not everything needs an independent idea on the same footing. Evil and privation are known through good and possession; a substance’s properties through its idea; common qualities are assigned proper ideas. Ficino reports, with the qualification that some think so, that matter is known through the idea of form.</w:t>
      </w:r>
    </w:p>
    <w:p>
      <w:pPr>
        <w:widowControl/>
      </w:pPr>
      <w:r>
        <w:rPr>
          <w:b w:val="0"/>
          <w:i w:val="0"/>
        </w:rPr>
        <w:t>The vocabulary changes its setting below God. Angel receives intellectual formation and ideas; soul possesses images of higher realities and exemplars of lower ones. Book IV then gives productive principles a determinate causal role: earth-soul generates vines through the vine’s natural idea and principle, and flies through the principle of flies. Natural art must possess patterns corresponding to its specific products, just as an artisan works according to designs. In celestial souls, the intellectual part possesses ideas together, while lower motive powers hold seeds that are realized successively. Idea, seed, and bodily form consequently name connected but differently situated modes of determination; they are not mechanically interchangeable or necessarily duplicate entities.</w:t>
      </w:r>
    </w:p>
    <w:p>
      <w:pPr>
        <w:widowControl/>
      </w:pPr>
      <w:r>
        <w:rPr>
          <w:b w:val="0"/>
          <w:i w:val="0"/>
        </w:rPr>
        <w:t xml:space="preserve">The Latin </w:t>
      </w:r>
      <w:r>
        <w:rPr>
          <w:b w:val="0"/>
          <w:i/>
        </w:rPr>
        <w:t>ratio</w:t>
      </w:r>
      <w:r>
        <w:rPr>
          <w:b w:val="0"/>
          <w:i w:val="0"/>
        </w:rPr>
        <w:t xml:space="preserve"> can name these productive principles, but also an account, an argument, or reason as a faculty. At IV.1.17 the base reading </w:t>
      </w:r>
      <w:r>
        <w:rPr>
          <w:b w:val="0"/>
          <w:i/>
        </w:rPr>
        <w:t>rationalibus</w:t>
      </w:r>
      <w:r>
        <w:rPr>
          <w:b w:val="0"/>
          <w:i w:val="0"/>
        </w:rPr>
        <w:t xml:space="preserve"> qualifies powers; the later reading </w:t>
      </w:r>
      <w:r>
        <w:rPr>
          <w:b w:val="0"/>
          <w:i/>
        </w:rPr>
        <w:t>rationibus</w:t>
      </w:r>
      <w:r>
        <w:rPr>
          <w:b w:val="0"/>
          <w:i w:val="0"/>
        </w:rPr>
        <w:t xml:space="preserve"> would name principles. The supplied edition retains the former and should not be cited as though its base text had the latter. Ficino strongly claims this account of ideas for Plato and the Platonists; that historical attribution remains his, distinct from an independent adjudication of every Platonic source.</w:t>
      </w:r>
    </w:p>
    <w:p>
      <w:pPr>
        <w:keepNext/>
        <w:widowControl/>
      </w:pPr>
      <w:r>
        <w:rPr>
          <w:b/>
          <w:i w:val="0"/>
        </w:rPr>
        <w:t>The places.</w:t>
      </w:r>
    </w:p>
    <w:p>
      <w:pPr>
        <w:ind w:left="187" w:hanging="187"/>
      </w:pPr>
      <w:r>
        <w:t xml:space="preserve">• </w:t>
      </w:r>
      <w:r>
        <w:rPr>
          <w:b/>
          <w:i w:val="0"/>
        </w:rPr>
        <w:t>II.10.5 (PDF pp. 176–177)</w:t>
      </w:r>
      <w:r>
        <w:rPr>
          <w:b w:val="0"/>
          <w:i w:val="0"/>
        </w:rPr>
        <w:t>. The infinite exemplar admits further possible likenesses beyond any finite collection</w:t>
      </w:r>
    </w:p>
    <w:p>
      <w:pPr>
        <w:ind w:left="187" w:hanging="187"/>
      </w:pPr>
      <w:r>
        <w:t xml:space="preserve">• </w:t>
      </w:r>
      <w:r>
        <w:rPr>
          <w:b/>
          <w:i w:val="0"/>
        </w:rPr>
        <w:t>II.11.18 (PDF pp. 190–191)</w:t>
      </w:r>
      <w:r>
        <w:rPr>
          <w:b w:val="0"/>
          <w:i w:val="0"/>
        </w:rPr>
        <w:t>. The divine essence is considered in distinct relations as an exemplar</w:t>
      </w:r>
    </w:p>
    <w:p>
      <w:pPr>
        <w:ind w:left="187" w:hanging="187"/>
      </w:pPr>
      <w:r>
        <w:t xml:space="preserve">• </w:t>
      </w:r>
      <w:r>
        <w:rPr>
          <w:b/>
          <w:i w:val="0"/>
        </w:rPr>
        <w:t>IV.1.17 (PDF pp. 290–291)</w:t>
      </w:r>
      <w:r>
        <w:rPr>
          <w:b w:val="0"/>
          <w:i w:val="0"/>
        </w:rPr>
        <w:t>. The rationalibus reading concerns the intellectual powers shaping substantial productions</w:t>
      </w:r>
    </w:p>
    <w:p>
      <w:pPr>
        <w:ind w:left="187" w:hanging="187"/>
      </w:pPr>
      <w:r>
        <w:t xml:space="preserve">• </w:t>
      </w:r>
      <w:r>
        <w:rPr>
          <w:b/>
          <w:i w:val="0"/>
        </w:rPr>
        <w:t>IV.2.10 (PDF pp. 338–339)</w:t>
      </w:r>
      <w:r>
        <w:rPr>
          <w:b w:val="0"/>
          <w:i w:val="0"/>
        </w:rPr>
        <w:t>. Ideas held in mind are distinguished from seeds held by the lowest motive powers</w:t>
      </w:r>
    </w:p>
    <w:p>
      <w:pPr>
        <w:widowControl/>
      </w:pPr>
      <w:r>
        <w:rPr>
          <w:b/>
          <w:i w:val="0"/>
        </w:rPr>
        <w:t>Further passage references.</w:t>
      </w:r>
      <w:r>
        <w:rPr>
          <w:b w:val="0"/>
          <w:i w:val="0"/>
        </w:rPr>
        <w:t xml:space="preserve"> II.11.17–22, PDF 190–193; II.12.15, PDF 210–211; III.1.12, PDF 248–249; III.2.23, PDF 274–275; IV.1.9–IV.1.13, pp. 286–289; IV.1.17, pp. 290–291; IV.2.9–IV.2.15, pp. 336–343; apparatus pp. 388–389.</w:t>
      </w:r>
    </w:p>
    <w:p>
      <w:pPr>
        <w:keepNext/>
        <w:widowControl/>
      </w:pPr>
      <w:r>
        <w:rPr>
          <w:b/>
          <w:i w:val="0"/>
        </w:rPr>
        <w:t>In this edition.</w:t>
      </w:r>
    </w:p>
    <w:p>
      <w:pPr>
        <w:widowControl/>
      </w:pPr>
      <w:r>
        <w:rPr>
          <w:b w:val="0"/>
          <w:i w:val="0"/>
        </w:rPr>
        <w:t>The prior discussion’s caution at II.11.17 is retained: its compressed wording must not be silently repaired. At IV.1.17 the supplied base text reads rationalibus, qualifying powers, rather than the alternative rationibus, which would name principles. The edition’s apparatus reports that difference; this lexicon has not newly collated the witnesses.</w:t>
      </w:r>
    </w:p>
    <w:p>
      <w:pPr>
        <w:keepNext/>
        <w:widowControl/>
      </w:pPr>
      <w:r>
        <w:rPr>
          <w:b/>
          <w:i w:val="0"/>
        </w:rPr>
        <w:t>See also.</w:t>
      </w:r>
    </w:p>
    <w:p>
      <w:pPr>
        <w:widowControl/>
      </w:pPr>
      <w:hyperlink w:anchor="art-and-nature">
        <w:r>
          <w:rPr>
            <w:color w:val="000000"/>
          </w:rPr>
          <w:t xml:space="preserve">Art and nature</w:t>
        </w:r>
      </w:hyperlink>
      <w:r>
        <w:rPr>
          <w:b w:val="0"/>
          <w:i w:val="0"/>
        </w:rPr>
        <w:t xml:space="preserve">; </w:t>
      </w:r>
      <w:hyperlink w:anchor="form">
        <w:r>
          <w:rPr>
            <w:color w:val="000000"/>
          </w:rPr>
          <w:t xml:space="preserve">Form</w:t>
        </w:r>
      </w:hyperlink>
      <w:r>
        <w:rPr>
          <w:b w:val="0"/>
          <w:i w:val="0"/>
        </w:rPr>
        <w:t xml:space="preserve">; </w:t>
      </w:r>
      <w:hyperlink w:anchor="good-and-goodness">
        <w:r>
          <w:rPr>
            <w:color w:val="000000"/>
          </w:rPr>
          <w:t xml:space="preserve">Good and goodness</w:t>
        </w:r>
      </w:hyperlink>
      <w:r>
        <w:rPr>
          <w:b w:val="0"/>
          <w:i w:val="0"/>
        </w:rPr>
        <w:t xml:space="preserve">; </w:t>
      </w:r>
      <w:hyperlink w:anchor="image-and-likeness">
        <w:r>
          <w:rPr>
            <w:color w:val="000000"/>
          </w:rPr>
          <w:t xml:space="preserve">Image and likeness</w:t>
        </w:r>
      </w:hyperlink>
      <w:r>
        <w:rPr>
          <w:b w:val="0"/>
          <w:i w:val="0"/>
        </w:rPr>
        <w:t xml:space="preserve">; </w:t>
      </w:r>
      <w:hyperlink w:anchor="reason-and-account">
        <w:r>
          <w:rPr>
            <w:color w:val="000000"/>
          </w:rPr>
          <w:t xml:space="preserve">Reason and account</w:t>
        </w:r>
      </w:hyperlink>
      <w:r>
        <w:rPr>
          <w:b w:val="0"/>
          <w:i w:val="0"/>
        </w:rPr>
        <w:t xml:space="preserve">; </w:t>
      </w:r>
      <w:hyperlink w:anchor="seeds">
        <w:r>
          <w:rPr>
            <w:color w:val="000000"/>
          </w:rPr>
          <w:t xml:space="preserve">Seeds</w:t>
        </w:r>
      </w:hyperlink>
      <w:r>
        <w:rPr>
          <w:b w:val="0"/>
          <w:i w:val="0"/>
        </w:rPr>
        <w:t xml:space="preserve">; </w:t>
      </w:r>
      <w:hyperlink w:anchor="habitual-possession">
        <w:r>
          <w:rPr>
            <w:color w:val="000000"/>
          </w:rPr>
          <w:t xml:space="preserve">Habitual possession</w:t>
        </w:r>
      </w:hyperlink>
      <w:r>
        <w:rPr>
          <w:b w:val="0"/>
          <w:i w:val="0"/>
        </w:rPr>
        <w:t xml:space="preserve">; </w:t>
      </w:r>
      <w:hyperlink w:anchor="intellectual-and-animating-powers">
        <w:r>
          <w:rPr>
            <w:color w:val="000000"/>
          </w:rPr>
          <w:t xml:space="preserve">Intellectual and animating powers</w:t>
        </w:r>
      </w:hyperlink>
    </w:p>
    <w:p>
      <w:bookmarkStart w:id="120" w:name="image-and-likeness"/>
      <w:pPr>
        <w:pStyle w:val="Heading2"/>
      </w:pPr>
      <w:r>
        <w:rPr>
          <w:b w:val="0"/>
          <w:i w:val="0"/>
        </w:rPr>
        <w:t>Image and likeness</w:t>
      </w:r>
      <w:bookmarkEnd w:id="120"/>
    </w:p>
    <w:p>
      <w:pPr>
        <w:keepNext/>
        <w:widowControl/>
      </w:pPr>
      <w:r>
        <w:rPr>
          <w:b/>
          <w:i w:val="0"/>
        </w:rPr>
        <w:t>Latin:</w:t>
      </w:r>
      <w:r>
        <w:rPr>
          <w:b w:val="0"/>
          <w:i w:val="0"/>
        </w:rPr>
        <w:t xml:space="preserve"> </w:t>
      </w:r>
      <w:r>
        <w:rPr>
          <w:b w:val="0"/>
          <w:i/>
        </w:rPr>
        <w:t>imago</w:t>
      </w:r>
      <w:r>
        <w:rPr>
          <w:b w:val="0"/>
          <w:i w:val="0"/>
        </w:rPr>
        <w:t xml:space="preserve">; </w:t>
      </w:r>
      <w:r>
        <w:rPr>
          <w:b w:val="0"/>
          <w:i/>
        </w:rPr>
        <w:t>simulacrum</w:t>
      </w:r>
      <w:r>
        <w:rPr>
          <w:b w:val="0"/>
          <w:i w:val="0"/>
        </w:rPr>
        <w:t xml:space="preserve">; </w:t>
      </w:r>
      <w:r>
        <w:rPr>
          <w:b w:val="0"/>
          <w:i/>
        </w:rPr>
        <w:t>similis</w:t>
      </w:r>
      <w:r>
        <w:rPr>
          <w:b w:val="0"/>
          <w:i w:val="0"/>
        </w:rPr>
        <w:t xml:space="preserve">; </w:t>
      </w:r>
      <w:r>
        <w:rPr>
          <w:b w:val="0"/>
          <w:i/>
        </w:rPr>
        <w:t>umbra</w:t>
      </w:r>
      <w:r>
        <w:rPr>
          <w:b w:val="0"/>
          <w:i w:val="0"/>
        </w:rPr>
        <w:t xml:space="preserve">; </w:t>
      </w:r>
      <w:r>
        <w:rPr>
          <w:b w:val="0"/>
          <w:i/>
        </w:rPr>
        <w:t>speculum</w:t>
      </w:r>
      <w:r>
        <w:rPr>
          <w:b w:val="0"/>
          <w:i w:val="0"/>
        </w:rPr>
        <w:t xml:space="preserve">; </w:t>
      </w:r>
      <w:r>
        <w:rPr>
          <w:b w:val="0"/>
          <w:i/>
        </w:rPr>
        <w:t>exemplar</w:t>
      </w:r>
      <w:r>
        <w:rPr>
          <w:b w:val="0"/>
          <w:i w:val="0"/>
        </w:rPr>
        <w:t xml:space="preserve">; </w:t>
      </w:r>
      <w:r>
        <w:rPr>
          <w:b w:val="0"/>
          <w:i/>
        </w:rPr>
        <w:t>similitudo</w:t>
      </w:r>
      <w:r>
        <w:rPr>
          <w:b w:val="0"/>
          <w:i w:val="0"/>
        </w:rPr>
        <w:t xml:space="preserve">; </w:t>
      </w:r>
      <w:r>
        <w:rPr>
          <w:b w:val="0"/>
          <w:i/>
        </w:rPr>
        <w:t>imitari</w:t>
      </w:r>
      <w:r>
        <w:rPr>
          <w:b w:val="0"/>
          <w:i w:val="0"/>
        </w:rPr>
        <w:t xml:space="preserve">; </w:t>
      </w:r>
      <w:r>
        <w:rPr>
          <w:b w:val="0"/>
          <w:i/>
        </w:rPr>
        <w:t>exprimere</w:t>
      </w:r>
      <w:r>
        <w:rPr>
          <w:b w:val="0"/>
          <w:i w:val="0"/>
        </w:rPr>
        <w:t xml:space="preserve">; </w:t>
      </w:r>
      <w:r>
        <w:rPr>
          <w:b w:val="0"/>
          <w:i/>
        </w:rPr>
        <w:t>vultus</w:t>
      </w:r>
    </w:p>
    <w:p>
      <w:pPr>
        <w:keepNext/>
        <w:widowControl/>
      </w:pPr>
      <w:r>
        <w:rPr>
          <w:b/>
          <w:i w:val="0"/>
        </w:rPr>
        <w:t>The word.</w:t>
      </w:r>
    </w:p>
    <w:p>
      <w:pPr>
        <w:widowControl/>
      </w:pPr>
      <w:r>
        <w:rPr>
          <w:b w:val="0"/>
          <w:i w:val="0"/>
        </w:rPr>
        <w:t>Imago and simulacrum mean image or likeness; similitudo the relation of resemblance; exemplar a model; umbra a shadow; speculum a mirror. An image can represent, manifest a source dependently, or illustrate continuing causal support. These uses should not be collapsed into a single theory of mental pictures.</w:t>
      </w:r>
    </w:p>
    <w:p>
      <w:pPr>
        <w:keepNext/>
        <w:widowControl/>
      </w:pPr>
      <w:r>
        <w:rPr>
          <w:b/>
          <w:i w:val="0"/>
        </w:rPr>
        <w:t>In the Platonic Theology.</w:t>
      </w:r>
    </w:p>
    <w:p>
      <w:pPr>
        <w:widowControl/>
      </w:pPr>
      <w:r>
        <w:rPr>
          <w:b w:val="0"/>
          <w:i w:val="0"/>
        </w:rPr>
        <w:t>An image discloses a source while possessing its character dependently and less completely. In the Proem, soul is a mirror of the divine countenance, and created mind a mirror at the center of things. Self-knowledge can accordingly direct the reader toward knowledge of God. In the hierarchy, a likeness preserves something of its cause without acquiring the cause’s full perfection: bodily ranks are presented as shadows of rational souls, whose ranks are images of angels.</w:t>
      </w:r>
    </w:p>
    <w:p>
      <w:pPr>
        <w:widowControl/>
      </w:pPr>
      <w:r>
        <w:rPr>
          <w:b w:val="0"/>
          <w:i w:val="0"/>
        </w:rPr>
        <w:t>Shadow often emphasizes diminution, but the imagery is not a simple opposition between good images and bad shadows. The sensible world can be mistakenly preferred to what is more real; transient qualities are likened, in a reported Plotinian account, to tree-shadows in flowing water; and irrational soul is called rational soul’s shadow. Such comparisons do not make bodily beings sheer nonexistence. They distinguish the mode and degree in which an effect manifests its cause.</w:t>
      </w:r>
    </w:p>
    <w:p>
      <w:pPr>
        <w:widowControl/>
      </w:pPr>
      <w:r>
        <w:rPr>
          <w:b w:val="0"/>
          <w:i w:val="0"/>
        </w:rPr>
        <w:t>God’s essence is the exemplar through which he knows all things. Its infinite perfection admits further possible modes of imitation beyond any single creature or finite collection, providing an argument that divine knowledge is not restricted to a finite total. These possible images are not independent models stored outside God, nor must all be actualized. Created goods express divine goodness in limited ways, while divine ideas specify their intelligible patterns. God himself does not learn through images received from creatures: he knows their source and possibilities in his own essence.</w:t>
      </w:r>
    </w:p>
    <w:p>
      <w:pPr>
        <w:widowControl/>
      </w:pPr>
      <w:r>
        <w:rPr>
          <w:b w:val="0"/>
          <w:i w:val="0"/>
        </w:rPr>
        <w:t>Reflection has another use in the argument for preservation. A mirror image continually depends on its source, just as the world continually depends on God. This dependence must be distinguished from representational images involved in cognition. Soul, meanwhile, possesses images of higher realities and principles or exemplars of lower ones; it is a mirror of divine things and the countenance of all things. The Apelles comparison makes likeness a task of active self-formation as well: rational soul models itself on higher realities through contemplation, character, and action. Its mirroring therefore does not imply mere passivity, since the same soul develops temporal operations and gives life to bodies.</w:t>
      </w:r>
    </w:p>
    <w:p>
      <w:pPr>
        <w:keepNext/>
        <w:widowControl/>
      </w:pPr>
      <w:r>
        <w:rPr>
          <w:b/>
          <w:i w:val="0"/>
        </w:rPr>
        <w:t>The places.</w:t>
      </w:r>
    </w:p>
    <w:p>
      <w:pPr>
        <w:ind w:left="187" w:hanging="187"/>
      </w:pPr>
      <w:r>
        <w:t xml:space="preserve">• </w:t>
      </w:r>
      <w:r>
        <w:rPr>
          <w:b/>
          <w:i w:val="0"/>
        </w:rPr>
        <w:t>II.7.22 (PDF pp. 154–155)</w:t>
      </w:r>
      <w:r>
        <w:rPr>
          <w:b w:val="0"/>
          <w:i w:val="0"/>
        </w:rPr>
        <w:t>. The shadow image expresses the effect’s relative dependence on its producing cause</w:t>
      </w:r>
    </w:p>
    <w:p>
      <w:pPr>
        <w:ind w:left="187" w:hanging="187"/>
      </w:pPr>
      <w:r>
        <w:t xml:space="preserve">• </w:t>
      </w:r>
      <w:r>
        <w:rPr>
          <w:b/>
          <w:i w:val="0"/>
        </w:rPr>
        <w:t>II.7.23 (PDF pp. 154–155)</w:t>
      </w:r>
      <w:r>
        <w:rPr>
          <w:b w:val="0"/>
          <w:i w:val="0"/>
        </w:rPr>
        <w:t>. A mirror-image illustrates both production and continual preservation</w:t>
      </w:r>
    </w:p>
    <w:p>
      <w:pPr>
        <w:ind w:left="187" w:hanging="187"/>
      </w:pPr>
      <w:r>
        <w:t xml:space="preserve">• </w:t>
      </w:r>
      <w:r>
        <w:rPr>
          <w:b/>
          <w:i w:val="0"/>
        </w:rPr>
        <w:t>II.9.20 (PDF pp. 172–173)</w:t>
      </w:r>
      <w:r>
        <w:rPr>
          <w:b w:val="0"/>
          <w:i w:val="0"/>
        </w:rPr>
        <w:t>. God knows through his essence rather than receiving images from things</w:t>
      </w:r>
    </w:p>
    <w:p>
      <w:pPr>
        <w:ind w:left="187" w:hanging="187"/>
      </w:pPr>
      <w:r>
        <w:t xml:space="preserve">• </w:t>
      </w:r>
      <w:r>
        <w:rPr>
          <w:b/>
          <w:i w:val="0"/>
        </w:rPr>
        <w:t>II.10.5 (PDF pp. 176–177)</w:t>
      </w:r>
      <w:r>
        <w:rPr>
          <w:b w:val="0"/>
          <w:i w:val="0"/>
        </w:rPr>
        <w:t>. Possible likenesses cannot exhaust the infinite exemplar’s perfection</w:t>
      </w:r>
    </w:p>
    <w:p>
      <w:pPr>
        <w:ind w:left="187" w:hanging="187"/>
      </w:pPr>
      <w:r>
        <w:t xml:space="preserve">• </w:t>
      </w:r>
      <w:r>
        <w:rPr>
          <w:b/>
          <w:i w:val="0"/>
        </w:rPr>
        <w:t>III.2.23 (PDF pp. 274–275)</w:t>
      </w:r>
      <w:r>
        <w:rPr>
          <w:b w:val="0"/>
          <w:i w:val="0"/>
        </w:rPr>
        <w:t>. Soul contains images of higher and principles or exemplars of lower realities</w:t>
      </w:r>
    </w:p>
    <w:p>
      <w:pPr>
        <w:widowControl/>
      </w:pPr>
      <w:r>
        <w:rPr>
          <w:b/>
          <w:i w:val="0"/>
        </w:rPr>
        <w:t>Further passage references.</w:t>
      </w:r>
      <w:r>
        <w:rPr>
          <w:b w:val="0"/>
          <w:i w:val="0"/>
        </w:rPr>
        <w:t xml:space="preserve"> Proem.4, Proem.7, Proem.9 (PDF pp. 6–9); I.3.19, I.3.33 (pp. 42–43, 52–53); I.4.1 (pp. 54–55); I.5.28 (pp. 80–81); II.7.22–23, pp. 154–155; II.9.20, pp. 172–173; II.10.5, pp. 176–177; II.10.10–12, pp. 180–181; II.11.17–18, 27, PDF 190–195; II.12.12–15, PDF 208–211; II.13.1, PDF 216–217; III.1.23, 31, PDF 254–259; III.2.8, 23, PDF 266–275.</w:t>
      </w:r>
    </w:p>
    <w:p>
      <w:pPr>
        <w:keepNext/>
        <w:widowControl/>
      </w:pPr>
      <w:r>
        <w:rPr>
          <w:b/>
          <w:i w:val="0"/>
        </w:rPr>
        <w:t>In this edition.</w:t>
      </w:r>
    </w:p>
    <w:p>
      <w:pPr>
        <w:widowControl/>
      </w:pPr>
      <w:r>
        <w:rPr>
          <w:b w:val="0"/>
          <w:i w:val="0"/>
        </w:rPr>
        <w:t xml:space="preserve">In II.7.22 imaginarium is rendered </w:t>
      </w:r>
      <w:r>
        <w:t>“</w:t>
      </w:r>
      <w:r>
        <w:rPr>
          <w:b w:val="0"/>
          <w:i w:val="0"/>
        </w:rPr>
        <w:t>image-like,</w:t>
      </w:r>
      <w:r>
        <w:t>”</w:t>
      </w:r>
      <w:r>
        <w:rPr>
          <w:b w:val="0"/>
          <w:i w:val="0"/>
        </w:rPr>
        <w:t xml:space="preserve"> preserving the comparison with the cause without declaring the world an illusion. The phrases </w:t>
      </w:r>
      <w:r>
        <w:t>“</w:t>
      </w:r>
      <w:r>
        <w:rPr>
          <w:b w:val="0"/>
          <w:i w:val="0"/>
        </w:rPr>
        <w:t>compared with</w:t>
      </w:r>
      <w:r>
        <w:t>”</w:t>
      </w:r>
      <w:r>
        <w:rPr>
          <w:b w:val="0"/>
          <w:i w:val="0"/>
        </w:rPr>
        <w:t xml:space="preserve"> and </w:t>
      </w:r>
      <w:r>
        <w:t>“</w:t>
      </w:r>
      <w:r>
        <w:rPr>
          <w:b w:val="0"/>
          <w:i w:val="0"/>
        </w:rPr>
        <w:t>as it were</w:t>
      </w:r>
      <w:r>
        <w:t>”</w:t>
      </w:r>
      <w:r>
        <w:rPr>
          <w:b w:val="0"/>
          <w:i w:val="0"/>
        </w:rPr>
        <w:t xml:space="preserve"> matter. At II.9.20 the denial of cognition through creatures’ images distinguishes divine self-knowledge from receptive representation.</w:t>
      </w:r>
    </w:p>
    <w:p>
      <w:pPr>
        <w:keepNext/>
        <w:widowControl/>
      </w:pPr>
      <w:r>
        <w:rPr>
          <w:b/>
          <w:i w:val="0"/>
        </w:rPr>
        <w:t>See also.</w:t>
      </w:r>
    </w:p>
    <w:p>
      <w:pPr>
        <w:widowControl/>
      </w:pPr>
      <w:hyperlink w:anchor="light-and-illumination">
        <w:r>
          <w:rPr>
            <w:color w:val="000000"/>
          </w:rPr>
          <w:t xml:space="preserve">Light and illumination</w:t>
        </w:r>
      </w:hyperlink>
      <w:r>
        <w:rPr>
          <w:b w:val="0"/>
          <w:i w:val="0"/>
        </w:rPr>
        <w:t xml:space="preserve">; </w:t>
      </w:r>
      <w:hyperlink w:anchor="participation">
        <w:r>
          <w:rPr>
            <w:color w:val="000000"/>
          </w:rPr>
          <w:t xml:space="preserve">Participation</w:t>
        </w:r>
      </w:hyperlink>
      <w:r>
        <w:rPr>
          <w:b w:val="0"/>
          <w:i w:val="0"/>
        </w:rPr>
        <w:t xml:space="preserve">; </w:t>
      </w:r>
      <w:hyperlink w:anchor="truth">
        <w:r>
          <w:rPr>
            <w:color w:val="000000"/>
          </w:rPr>
          <w:t xml:space="preserve">Truth</w:t>
        </w:r>
      </w:hyperlink>
      <w:r>
        <w:rPr>
          <w:b w:val="0"/>
          <w:i w:val="0"/>
        </w:rPr>
        <w:t xml:space="preserve">; </w:t>
      </w:r>
      <w:hyperlink w:anchor="soul">
        <w:r>
          <w:rPr>
            <w:color w:val="000000"/>
          </w:rPr>
          <w:t xml:space="preserve">Soul</w:t>
        </w:r>
      </w:hyperlink>
      <w:r>
        <w:rPr>
          <w:b w:val="0"/>
          <w:i w:val="0"/>
        </w:rPr>
        <w:t xml:space="preserve">; </w:t>
      </w:r>
      <w:hyperlink w:anchor="matter">
        <w:r>
          <w:rPr>
            <w:color w:val="000000"/>
          </w:rPr>
          <w:t xml:space="preserve">Matter</w:t>
        </w:r>
      </w:hyperlink>
      <w:r>
        <w:rPr>
          <w:b w:val="0"/>
          <w:i w:val="0"/>
        </w:rPr>
        <w:t xml:space="preserve">; </w:t>
      </w:r>
      <w:hyperlink w:anchor="self-knowledge">
        <w:r>
          <w:rPr>
            <w:color w:val="000000"/>
          </w:rPr>
          <w:t xml:space="preserve">Self knowledge</w:t>
        </w:r>
      </w:hyperlink>
      <w:r>
        <w:rPr>
          <w:b w:val="0"/>
          <w:i w:val="0"/>
        </w:rPr>
        <w:t xml:space="preserve">;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w:t>
      </w:r>
      <w:hyperlink w:anchor="infinity">
        <w:r>
          <w:rPr>
            <w:color w:val="000000"/>
          </w:rPr>
          <w:t xml:space="preserve">Infinity</w:t>
        </w:r>
      </w:hyperlink>
      <w:r>
        <w:rPr>
          <w:b w:val="0"/>
          <w:i w:val="0"/>
        </w:rPr>
        <w:t xml:space="preserve">; </w:t>
      </w:r>
      <w:hyperlink w:anchor="conservation-and-preservation">
        <w:r>
          <w:rPr>
            <w:color w:val="000000"/>
          </w:rPr>
          <w:t xml:space="preserve">Conservation and preservation</w:t>
        </w:r>
      </w:hyperlink>
    </w:p>
    <w:p>
      <w:bookmarkStart w:id="121" w:name="imagination-and-deceptive-clothing"/>
      <w:pPr>
        <w:pStyle w:val="Heading2"/>
      </w:pPr>
      <w:r>
        <w:rPr>
          <w:b w:val="0"/>
          <w:i w:val="0"/>
        </w:rPr>
        <w:t>Imagination and deceptive clothing</w:t>
      </w:r>
      <w:bookmarkEnd w:id="121"/>
    </w:p>
    <w:p>
      <w:pPr>
        <w:keepNext/>
        <w:widowControl/>
      </w:pPr>
      <w:r>
        <w:rPr>
          <w:b/>
          <w:i w:val="0"/>
        </w:rPr>
        <w:t>Latin:</w:t>
      </w:r>
      <w:r>
        <w:rPr>
          <w:b w:val="0"/>
          <w:i w:val="0"/>
        </w:rPr>
        <w:t xml:space="preserve"> phantasia; induit; confundit; fallit; involutus; praestigiis; persuadet; clamat; reclamat</w:t>
      </w:r>
    </w:p>
    <w:p>
      <w:pPr>
        <w:keepNext/>
        <w:widowControl/>
      </w:pPr>
      <w:r>
        <w:rPr>
          <w:b/>
          <w:i w:val="0"/>
        </w:rPr>
        <w:t>The word.</w:t>
      </w:r>
    </w:p>
    <w:p>
      <w:pPr>
        <w:widowControl/>
      </w:pPr>
      <w:r>
        <w:rPr>
          <w:b w:val="0"/>
          <w:i w:val="0"/>
        </w:rPr>
        <w:t>Phantasia is imagination, the power of presenting images. Induere means clothing or putting on; involutus means wrapped or enfolded. Praestigiae are illusions or deceptive appearances. Clamare and reclamare personify the competing claims of imagination and reason.</w:t>
      </w:r>
    </w:p>
    <w:p>
      <w:pPr>
        <w:keepNext/>
        <w:widowControl/>
      </w:pPr>
      <w:r>
        <w:rPr>
          <w:b/>
          <w:i w:val="0"/>
        </w:rPr>
        <w:t>In the Platonic Theology.</w:t>
      </w:r>
    </w:p>
    <w:p>
      <w:pPr>
        <w:widowControl/>
      </w:pPr>
      <w:r>
        <w:rPr>
          <w:b w:val="0"/>
          <w:i w:val="0"/>
        </w:rPr>
        <w:t>When the mind conceives simple duration, imagination immediately clothes it in manifold flux. What is divine eternity is consequently mistaken for time. The clothing image makes the mistake intelligible without saying the original intellectual object never appeared: God presents himself, but wrapped in time.</w:t>
      </w:r>
    </w:p>
    <w:p>
      <w:pPr>
        <w:widowControl/>
      </w:pPr>
      <w:r>
        <w:rPr>
          <w:b w:val="0"/>
          <w:i w:val="0"/>
        </w:rPr>
        <w:t>The same pattern governs space. A pure, unlimited capacity is replaced by lines of length, breadth, and depth, or by void. Imagination then treats divine fullness as an object placed inside other things. Reason protests against reducing nature to the bodily fabric. This is a local criticism of imagination’s inappropriate substitution, not a verdict that imagination is always deceptive. II.9.16 gives it a constructive role gathering what the separate senses receive, while intellect grasps both particulars and universal principles more clearly.</w:t>
      </w:r>
    </w:p>
    <w:p>
      <w:pPr>
        <w:keepNext/>
        <w:widowControl/>
      </w:pPr>
      <w:r>
        <w:rPr>
          <w:b/>
          <w:i w:val="0"/>
        </w:rPr>
        <w:t>The places.</w:t>
      </w:r>
    </w:p>
    <w:p>
      <w:pPr>
        <w:ind w:left="187" w:hanging="187"/>
      </w:pPr>
      <w:r>
        <w:t xml:space="preserve">• </w:t>
      </w:r>
      <w:r>
        <w:rPr>
          <w:b w:val="0"/>
          <w:i w:val="0"/>
        </w:rPr>
        <w:t>II.5.2, II.5.3 (PDF pp. 126–127): Imagination clothes stable duration in temporal flux</w:t>
      </w:r>
    </w:p>
    <w:p>
      <w:pPr>
        <w:ind w:left="187" w:hanging="187"/>
      </w:pPr>
      <w:r>
        <w:t xml:space="preserve">• </w:t>
      </w:r>
      <w:r>
        <w:rPr>
          <w:b w:val="0"/>
          <w:i w:val="0"/>
        </w:rPr>
        <w:t>II.6.12, II.6.13 (PDF pp. 132–135): The substitution of lines and void turns fullness into an imagined occupant</w:t>
      </w:r>
    </w:p>
    <w:p>
      <w:pPr>
        <w:ind w:left="187" w:hanging="187"/>
      </w:pPr>
      <w:r>
        <w:t xml:space="preserve">• </w:t>
      </w:r>
      <w:r>
        <w:rPr>
          <w:b w:val="0"/>
          <w:i w:val="0"/>
        </w:rPr>
        <w:t>II.9.16 (PDF pp. 172–173): Imagination also integrates the separate contributions of the senses</w:t>
      </w:r>
    </w:p>
    <w:p>
      <w:pPr>
        <w:keepNext/>
        <w:widowControl/>
      </w:pPr>
      <w:r>
        <w:rPr>
          <w:b/>
          <w:i w:val="0"/>
        </w:rPr>
        <w:t>In this edition.</w:t>
      </w:r>
    </w:p>
    <w:p>
      <w:pPr>
        <w:widowControl/>
      </w:pPr>
      <w:r>
        <w:rPr>
          <w:b w:val="0"/>
          <w:i w:val="0"/>
        </w:rPr>
        <w:t xml:space="preserve">The edition’s </w:t>
      </w:r>
      <w:r>
        <w:t>“</w:t>
      </w:r>
      <w:r>
        <w:rPr>
          <w:b w:val="0"/>
          <w:i w:val="0"/>
        </w:rPr>
        <w:t>illusions,</w:t>
      </w:r>
      <w:r>
        <w:t>”</w:t>
      </w:r>
      <w:r>
        <w:rPr>
          <w:b w:val="0"/>
          <w:i w:val="0"/>
        </w:rPr>
        <w:t xml:space="preserve"> </w:t>
      </w:r>
      <w:r>
        <w:t>“</w:t>
      </w:r>
      <w:r>
        <w:rPr>
          <w:b w:val="0"/>
          <w:i w:val="0"/>
        </w:rPr>
        <w:t>clothes,</w:t>
      </w:r>
      <w:r>
        <w:t>”</w:t>
      </w:r>
      <w:r>
        <w:rPr>
          <w:b w:val="0"/>
          <w:i w:val="0"/>
        </w:rPr>
        <w:t xml:space="preserve"> and </w:t>
      </w:r>
      <w:r>
        <w:t>“</w:t>
      </w:r>
      <w:r>
        <w:rPr>
          <w:b w:val="0"/>
          <w:i w:val="0"/>
        </w:rPr>
        <w:t>shrouded</w:t>
      </w:r>
      <w:r>
        <w:t>”</w:t>
      </w:r>
      <w:r>
        <w:rPr>
          <w:b w:val="0"/>
          <w:i w:val="0"/>
        </w:rPr>
        <w:t xml:space="preserve"> are source-grounded metaphors. </w:t>
      </w:r>
      <w:r>
        <w:t>“</w:t>
      </w:r>
      <w:r>
        <w:rPr>
          <w:b w:val="0"/>
          <w:i w:val="0"/>
        </w:rPr>
        <w:t>Reason protests</w:t>
      </w:r>
      <w:r>
        <w:t>”</w:t>
      </w:r>
      <w:r>
        <w:rPr>
          <w:b w:val="0"/>
          <w:i w:val="0"/>
        </w:rPr>
        <w:t xml:space="preserve"> translates the personifying reclamat, rather than introducing a new speaker in a dramatic dialogue.</w:t>
      </w:r>
    </w:p>
    <w:p>
      <w:pPr>
        <w:keepNext/>
        <w:widowControl/>
      </w:pPr>
      <w:r>
        <w:rPr>
          <w:b/>
          <w:i w:val="0"/>
        </w:rPr>
        <w:t>See also.</w:t>
      </w:r>
    </w:p>
    <w:p>
      <w:pPr>
        <w:widowControl/>
      </w:pPr>
      <w:hyperlink w:anchor="sense-and-imagination">
        <w:r>
          <w:rPr>
            <w:color w:val="000000"/>
          </w:rPr>
          <w:t xml:space="preserve">Sense and imagination</w:t>
        </w:r>
      </w:hyperlink>
      <w:r>
        <w:rPr>
          <w:b w:val="0"/>
          <w:i w:val="0"/>
        </w:rPr>
        <w:t xml:space="preserve">; </w:t>
      </w:r>
      <w:hyperlink w:anchor="always-and-everywhere">
        <w:r>
          <w:rPr>
            <w:color w:val="000000"/>
          </w:rPr>
          <w:t xml:space="preserve">Always and everywhere</w:t>
        </w:r>
      </w:hyperlink>
      <w:r>
        <w:rPr>
          <w:b w:val="0"/>
          <w:i w:val="0"/>
        </w:rPr>
        <w:t xml:space="preserve">; </w:t>
      </w:r>
      <w:hyperlink w:anchor="weaving-and-world-fabric">
        <w:r>
          <w:rPr>
            <w:color w:val="000000"/>
          </w:rPr>
          <w:t xml:space="preserve">Weaving and world fabric</w:t>
        </w:r>
      </w:hyperlink>
      <w:r>
        <w:rPr>
          <w:b w:val="0"/>
          <w:i w:val="0"/>
        </w:rPr>
        <w:t xml:space="preserve">; </w:t>
      </w:r>
      <w:hyperlink w:anchor="reason-and-account">
        <w:r>
          <w:rPr>
            <w:color w:val="000000"/>
          </w:rPr>
          <w:t xml:space="preserve">Reason and account</w:t>
        </w:r>
      </w:hyperlink>
      <w:r>
        <w:rPr>
          <w:b w:val="0"/>
          <w:i w:val="0"/>
        </w:rPr>
        <w:t>.</w:t>
      </w:r>
    </w:p>
    <w:p>
      <w:bookmarkStart w:id="122" w:name="immortality"/>
      <w:pPr>
        <w:pStyle w:val="Heading2"/>
      </w:pPr>
      <w:r>
        <w:rPr>
          <w:b w:val="0"/>
          <w:i w:val="0"/>
        </w:rPr>
        <w:t>Immortality</w:t>
      </w:r>
      <w:bookmarkEnd w:id="122"/>
    </w:p>
    <w:p>
      <w:pPr>
        <w:keepNext/>
        <w:widowControl/>
      </w:pPr>
      <w:r>
        <w:rPr>
          <w:b/>
          <w:i w:val="0"/>
        </w:rPr>
        <w:t>Latin:</w:t>
      </w:r>
      <w:r>
        <w:rPr>
          <w:b w:val="0"/>
          <w:i w:val="0"/>
        </w:rPr>
        <w:t xml:space="preserve"> </w:t>
      </w:r>
      <w:r>
        <w:rPr>
          <w:b w:val="0"/>
          <w:i/>
        </w:rPr>
        <w:t>immortalitas</w:t>
      </w:r>
      <w:r>
        <w:rPr>
          <w:b w:val="0"/>
          <w:i w:val="0"/>
        </w:rPr>
        <w:t xml:space="preserve">; </w:t>
      </w:r>
      <w:r>
        <w:rPr>
          <w:b w:val="0"/>
          <w:i/>
        </w:rPr>
        <w:t>immortalis</w:t>
      </w:r>
      <w:r>
        <w:rPr>
          <w:b w:val="0"/>
          <w:i w:val="0"/>
        </w:rPr>
        <w:t xml:space="preserve">; </w:t>
      </w:r>
      <w:r>
        <w:rPr>
          <w:b w:val="0"/>
          <w:i/>
        </w:rPr>
        <w:t>indissolubilis</w:t>
      </w:r>
    </w:p>
    <w:p>
      <w:pPr>
        <w:keepNext/>
        <w:widowControl/>
      </w:pPr>
      <w:r>
        <w:rPr>
          <w:b/>
          <w:i w:val="0"/>
        </w:rPr>
        <w:t>The word.</w:t>
      </w:r>
    </w:p>
    <w:p>
      <w:pPr>
        <w:widowControl/>
      </w:pPr>
      <w:r>
        <w:rPr>
          <w:b w:val="0"/>
          <w:i w:val="0"/>
        </w:rPr>
        <w:t>Immortalis means not subject to death; immortalitas the corresponding condition or thesis. Indissolubilis means not dissoluble into parts. They overlap in the argument but are not identical lexical claims: a thing may be preserved as undissolved by another rather than self-sufficient by nature.</w:t>
      </w:r>
    </w:p>
    <w:p>
      <w:pPr>
        <w:keepNext/>
        <w:widowControl/>
      </w:pPr>
      <w:r>
        <w:rPr>
          <w:b/>
          <w:i w:val="0"/>
        </w:rPr>
        <w:t>In the Platonic Theology.</w:t>
      </w:r>
    </w:p>
    <w:p>
      <w:pPr>
        <w:widowControl/>
      </w:pPr>
      <w:r>
        <w:rPr>
          <w:b w:val="0"/>
          <w:i w:val="0"/>
        </w:rPr>
        <w:t>The work’s title and opening identify the immortality of souls as the major problem. Book I first frames it through human misery: Ficino argues that a being capable of worshipping God should not be the most unfortunate mortal and therefore must have a prospect of blessedness beyond bodily death. The subsequent metaphysical ascent seeks a more structural foundation. The rational soul is not divided into material parts, does not vanish when deprived of a material subject, and is not mixed with a contrary form capable of corrupting it. As the middle bond of nature, it is also announced as indissoluble. Together these considerations constitute Ficino’s opening case for the thesis. Immortality does not mean immobility in every respect. The next chapter expressly distinguishes stable soul-substance from changing operations, preventing the claim of indestructibility from being mistaken for a denial that souls think, will, or act successively.</w:t>
      </w:r>
    </w:p>
    <w:p>
      <w:pPr>
        <w:widowControl/>
      </w:pPr>
      <w:r>
        <w:rPr>
          <w:b w:val="0"/>
          <w:i w:val="0"/>
        </w:rPr>
        <w:t>Book III extends the account through the divine gift of unity and stability. Some beings that would be dissoluble considered in themselves are preserved by the divine knot; their indissolubility does not make them self-sufficient first principles. Soul enters mortal things whole and withdraws whole, rather than being distributed into bodily pieces. These arguments belong to the opening development of the work’s thesis, not a claim that this first volume contains every later specialized proof.</w:t>
      </w:r>
    </w:p>
    <w:p>
      <w:pPr>
        <w:keepNext/>
        <w:widowControl/>
      </w:pPr>
      <w:r>
        <w:rPr>
          <w:b/>
          <w:i w:val="0"/>
        </w:rPr>
        <w:t>The places.</w:t>
      </w:r>
    </w:p>
    <w:p>
      <w:pPr>
        <w:ind w:left="187" w:hanging="187"/>
      </w:pPr>
      <w:r>
        <w:t xml:space="preserve">• </w:t>
      </w:r>
      <w:r>
        <w:rPr>
          <w:b/>
          <w:i w:val="0"/>
        </w:rPr>
        <w:t>I.3.33 (PDF pp. 52–53)</w:t>
      </w:r>
      <w:r>
        <w:rPr>
          <w:b w:val="0"/>
          <w:i w:val="0"/>
        </w:rPr>
        <w:t>. No dissoluble parts, removable material support, or corrupting contrary grounds the stated immortality</w:t>
      </w:r>
    </w:p>
    <w:p>
      <w:pPr>
        <w:ind w:left="187" w:hanging="187"/>
      </w:pPr>
      <w:r>
        <w:t xml:space="preserve">• </w:t>
      </w:r>
      <w:r>
        <w:rPr>
          <w:b/>
          <w:i w:val="0"/>
        </w:rPr>
        <w:t>I.4.1 (PDF pp. 54–55)</w:t>
      </w:r>
      <w:r>
        <w:rPr>
          <w:b w:val="0"/>
          <w:i w:val="0"/>
        </w:rPr>
        <w:t>. The question of changing operation follows and qualifies any inference from immortality to total immobility</w:t>
      </w:r>
    </w:p>
    <w:p>
      <w:pPr>
        <w:ind w:left="187" w:hanging="187"/>
      </w:pPr>
      <w:r>
        <w:t xml:space="preserve">• </w:t>
      </w:r>
      <w:r>
        <w:rPr>
          <w:b/>
          <w:i w:val="0"/>
        </w:rPr>
        <w:t>III.2.22 (PDF pp. 274–275)</w:t>
      </w:r>
      <w:r>
        <w:rPr>
          <w:b w:val="0"/>
          <w:i w:val="0"/>
        </w:rPr>
        <w:t>. Soul enters mortal things whole and withdraws whole without becoming mortal</w:t>
      </w:r>
    </w:p>
    <w:p>
      <w:pPr>
        <w:widowControl/>
      </w:pPr>
      <w:r>
        <w:rPr>
          <w:b/>
          <w:i w:val="0"/>
        </w:rPr>
        <w:t>Further passage references.</w:t>
      </w:r>
      <w:r>
        <w:rPr>
          <w:b w:val="0"/>
          <w:i w:val="0"/>
        </w:rPr>
        <w:t xml:space="preserve"> Proem.7 (PDF pp. 8–9); I.1.1–I.1.7 (pp. 14–17); I.3.33 (pp. 52–53); I.4.1–I.4.5 (pp. 54–59); III.1.5, PDF pp. 240–241; III.2.22, PDF pp. 274–275.</w:t>
      </w:r>
    </w:p>
    <w:p>
      <w:pPr>
        <w:keepNext/>
        <w:widowControl/>
      </w:pPr>
      <w:r>
        <w:rPr>
          <w:b/>
          <w:i w:val="0"/>
        </w:rPr>
        <w:t>In this edition.</w:t>
      </w:r>
    </w:p>
    <w:p>
      <w:pPr>
        <w:widowControl/>
      </w:pPr>
      <w:r>
        <w:rPr>
          <w:b w:val="0"/>
          <w:i w:val="0"/>
        </w:rPr>
        <w:t>The description of soul as true and immortal in I.3.33 is explicitly assigned to the Platonists. Its freedom from bodily dissolution does not remove all changing operation: I.4 immediately asks about mobility. The volume supplies an opening argument rather than every demonstration promised by the complete work.</w:t>
      </w:r>
    </w:p>
    <w:p>
      <w:pPr>
        <w:keepNext/>
        <w:widowControl/>
      </w:pPr>
      <w:r>
        <w:rPr>
          <w:b/>
          <w:i w:val="0"/>
        </w:rPr>
        <w:t>See also.</w:t>
      </w:r>
    </w:p>
    <w:p>
      <w:pPr>
        <w:widowControl/>
      </w:pPr>
      <w:hyperlink w:anchor="soul">
        <w:r>
          <w:rPr>
            <w:color w:val="000000"/>
          </w:rPr>
          <w:t xml:space="preserve">Soul</w:t>
        </w:r>
      </w:hyperlink>
      <w:r>
        <w:rPr>
          <w:b w:val="0"/>
          <w:i w:val="0"/>
        </w:rPr>
        <w:t xml:space="preserve">; </w:t>
      </w:r>
      <w:hyperlink w:anchor="indivisibility">
        <w:r>
          <w:rPr>
            <w:color w:val="000000"/>
          </w:rPr>
          <w:t xml:space="preserve">Indivisibility</w:t>
        </w:r>
      </w:hyperlink>
      <w:r>
        <w:rPr>
          <w:b w:val="0"/>
          <w:i w:val="0"/>
        </w:rPr>
        <w:t xml:space="preserve">; </w:t>
      </w:r>
      <w:hyperlink w:anchor="eternity-and-time">
        <w:r>
          <w:rPr>
            <w:color w:val="000000"/>
          </w:rPr>
          <w:t xml:space="preserve">Eternity and time</w:t>
        </w:r>
      </w:hyperlink>
      <w:r>
        <w:rPr>
          <w:b w:val="0"/>
          <w:i w:val="0"/>
        </w:rPr>
        <w:t xml:space="preserve">; </w:t>
      </w:r>
      <w:hyperlink w:anchor="blessedness">
        <w:r>
          <w:rPr>
            <w:color w:val="000000"/>
          </w:rPr>
          <w:t xml:space="preserve">Blessedness</w:t>
        </w:r>
      </w:hyperlink>
      <w:r>
        <w:rPr>
          <w:b w:val="0"/>
          <w:i w:val="0"/>
        </w:rPr>
        <w:t xml:space="preserve">; </w:t>
      </w:r>
      <w:hyperlink w:anchor="prison-and-homeland">
        <w:r>
          <w:rPr>
            <w:color w:val="000000"/>
          </w:rPr>
          <w:t xml:space="preserve">Prison and homeland</w:t>
        </w:r>
      </w:hyperlink>
      <w:r>
        <w:rPr>
          <w:b w:val="0"/>
          <w:i w:val="0"/>
        </w:rPr>
        <w:t xml:space="preserve">; </w:t>
      </w:r>
      <w:hyperlink w:anchor="bond-knot-and-chain">
        <w:r>
          <w:rPr>
            <w:color w:val="000000"/>
          </w:rPr>
          <w:t xml:space="preserve">Bond knot and chain</w:t>
        </w:r>
      </w:hyperlink>
    </w:p>
    <w:p>
      <w:bookmarkStart w:id="123" w:name="impression-and-effacement"/>
      <w:pPr>
        <w:pStyle w:val="Heading2"/>
      </w:pPr>
      <w:r>
        <w:rPr>
          <w:b w:val="0"/>
          <w:i w:val="0"/>
        </w:rPr>
        <w:t>Impression and effacement</w:t>
      </w:r>
      <w:bookmarkEnd w:id="123"/>
    </w:p>
    <w:p>
      <w:pPr>
        <w:keepNext/>
        <w:widowControl/>
      </w:pPr>
      <w:r>
        <w:rPr>
          <w:b/>
          <w:i w:val="0"/>
        </w:rPr>
        <w:t>Latin:</w:t>
      </w:r>
      <w:r>
        <w:rPr>
          <w:b w:val="0"/>
          <w:i w:val="0"/>
        </w:rPr>
        <w:t xml:space="preserve"> imprimitur; deletur; vestigium; firmant; fundant; stabiliunt</w:t>
      </w:r>
    </w:p>
    <w:p>
      <w:pPr>
        <w:keepNext/>
        <w:widowControl/>
      </w:pPr>
      <w:r>
        <w:rPr>
          <w:b/>
          <w:i w:val="0"/>
        </w:rPr>
        <w:t>The word.</w:t>
      </w:r>
    </w:p>
    <w:p>
      <w:pPr>
        <w:widowControl/>
      </w:pPr>
      <w:r>
        <w:rPr>
          <w:b w:val="0"/>
          <w:i w:val="0"/>
        </w:rPr>
        <w:t>Imprimere is to impress or stamp; delere to erase or efface. Firmare and stabilire make firm; fundare provides a foundation. The vocabulary converts an ordering of causes into an image of marks resting on a prior mark.</w:t>
      </w:r>
    </w:p>
    <w:p>
      <w:pPr>
        <w:keepNext/>
        <w:widowControl/>
      </w:pPr>
      <w:r>
        <w:rPr>
          <w:b/>
          <w:i w:val="0"/>
        </w:rPr>
        <w:t>In the Platonic Theology.</w:t>
      </w:r>
    </w:p>
    <w:p>
      <w:pPr>
        <w:widowControl/>
      </w:pPr>
      <w:r>
        <w:rPr>
          <w:b w:val="0"/>
          <w:i w:val="0"/>
        </w:rPr>
        <w:t xml:space="preserve">Ficino concludes that the first cause acts more powerfully in every effect because its trace, being, is impressed earlier and erased later than the traces of other causes. He adds quasi, </w:t>
      </w:r>
      <w:r>
        <w:t>“</w:t>
      </w:r>
      <w:r>
        <w:rPr>
          <w:b w:val="0"/>
          <w:i w:val="0"/>
        </w:rPr>
        <w:t>as though,</w:t>
      </w:r>
      <w:r>
        <w:t>”</w:t>
      </w:r>
      <w:r>
        <w:rPr>
          <w:b w:val="0"/>
          <w:i w:val="0"/>
        </w:rPr>
        <w:t xml:space="preserve"> when describing the stronger impression. The image makes explanatory priority and persistence intelligible without measuring a physical indentation.</w:t>
      </w:r>
    </w:p>
    <w:p>
      <w:pPr>
        <w:widowControl/>
      </w:pPr>
      <w:r>
        <w:rPr>
          <w:b w:val="0"/>
          <w:i w:val="0"/>
        </w:rPr>
        <w:t>Other causes establish their traces upon the first cause’s trace. In parallel, their works rest in its work and their powers and actions in its power and action. This does not deny subordinate causation: the other traces remain distinct. It explains why they cannot operate independently of the being and efficacy supplied by the first source.</w:t>
      </w:r>
    </w:p>
    <w:p>
      <w:pPr>
        <w:keepNext/>
        <w:widowControl/>
      </w:pPr>
      <w:r>
        <w:rPr>
          <w:b/>
          <w:i w:val="0"/>
        </w:rPr>
        <w:t>The places.</w:t>
      </w:r>
    </w:p>
    <w:p>
      <w:pPr>
        <w:ind w:left="187" w:hanging="187"/>
      </w:pPr>
      <w:r>
        <w:t xml:space="preserve">• </w:t>
      </w:r>
      <w:r>
        <w:rPr>
          <w:b w:val="0"/>
          <w:i w:val="0"/>
        </w:rPr>
        <w:t>II.7.28, II.7.29 (PDF pp. 156–157): The order of being and particular determinations supplies the comparison’s basis</w:t>
      </w:r>
    </w:p>
    <w:p>
      <w:pPr>
        <w:ind w:left="187" w:hanging="187"/>
      </w:pPr>
      <w:r>
        <w:t xml:space="preserve">• </w:t>
      </w:r>
      <w:r>
        <w:rPr>
          <w:b w:val="0"/>
          <w:i w:val="0"/>
        </w:rPr>
        <w:t>II.7.32 (PDF pp. 158–159): Impression, erasure, and foundation summarize the priority of first causation</w:t>
      </w:r>
    </w:p>
    <w:p>
      <w:pPr>
        <w:keepNext/>
        <w:widowControl/>
      </w:pPr>
      <w:r>
        <w:rPr>
          <w:b/>
          <w:i w:val="0"/>
        </w:rPr>
        <w:t>In this edition.</w:t>
      </w:r>
    </w:p>
    <w:p>
      <w:pPr>
        <w:widowControl/>
      </w:pPr>
      <w:r>
        <w:rPr>
          <w:b w:val="0"/>
          <w:i w:val="0"/>
        </w:rPr>
        <w:t xml:space="preserve">The translation’s </w:t>
      </w:r>
      <w:r>
        <w:t>“</w:t>
      </w:r>
      <w:r>
        <w:rPr>
          <w:b w:val="0"/>
          <w:i w:val="0"/>
        </w:rPr>
        <w:t>as though it were impressed more deeply</w:t>
      </w:r>
      <w:r>
        <w:t>”</w:t>
      </w:r>
      <w:r>
        <w:rPr>
          <w:b w:val="0"/>
          <w:i w:val="0"/>
        </w:rPr>
        <w:t xml:space="preserve"> interprets fortius imprimatur spatially. Fortius literally marks greater force or strength; </w:t>
      </w:r>
      <w:r>
        <w:t>“</w:t>
      </w:r>
      <w:r>
        <w:rPr>
          <w:b w:val="0"/>
          <w:i w:val="0"/>
        </w:rPr>
        <w:t>depth</w:t>
      </w:r>
      <w:r>
        <w:t>”</w:t>
      </w:r>
      <w:r>
        <w:rPr>
          <w:b w:val="0"/>
          <w:i w:val="0"/>
        </w:rPr>
        <w:t xml:space="preserve"> is the comparison’s English expression, not an additional Latin noun.</w:t>
      </w:r>
    </w:p>
    <w:p>
      <w:pPr>
        <w:keepNext/>
        <w:widowControl/>
      </w:pPr>
      <w:r>
        <w:rPr>
          <w:b/>
          <w:i w:val="0"/>
        </w:rPr>
        <w:t>See also.</w:t>
      </w:r>
    </w:p>
    <w:p>
      <w:pPr>
        <w:widowControl/>
      </w:pPr>
      <w:hyperlink w:anchor="traces">
        <w:r>
          <w:rPr>
            <w:color w:val="000000"/>
          </w:rPr>
          <w:t xml:space="preserve">Traces</w:t>
        </w:r>
      </w:hyperlink>
      <w:r>
        <w:rPr>
          <w:b w:val="0"/>
          <w:i w:val="0"/>
        </w:rPr>
        <w:t xml:space="preserve">; </w:t>
      </w:r>
      <w:hyperlink w:anchor="before-and-after-in-nature">
        <w:r>
          <w:rPr>
            <w:color w:val="000000"/>
          </w:rPr>
          <w:t xml:space="preserve">Before and after in nature</w:t>
        </w:r>
      </w:hyperlink>
      <w:r>
        <w:rPr>
          <w:b w:val="0"/>
          <w:i w:val="0"/>
        </w:rPr>
        <w:t xml:space="preserve">; </w:t>
      </w:r>
      <w:hyperlink w:anchor="cause">
        <w:r>
          <w:rPr>
            <w:color w:val="000000"/>
          </w:rPr>
          <w:t xml:space="preserve">Cause</w:t>
        </w:r>
      </w:hyperlink>
      <w:r>
        <w:rPr>
          <w:b w:val="0"/>
          <w:i w:val="0"/>
        </w:rPr>
        <w:t xml:space="preserve">; </w:t>
      </w:r>
      <w:hyperlink w:anchor="being">
        <w:r>
          <w:rPr>
            <w:color w:val="000000"/>
          </w:rPr>
          <w:t xml:space="preserve">Being</w:t>
        </w:r>
      </w:hyperlink>
      <w:r>
        <w:rPr>
          <w:b w:val="0"/>
          <w:i w:val="0"/>
        </w:rPr>
        <w:t>.</w:t>
      </w:r>
    </w:p>
    <w:p>
      <w:bookmarkStart w:id="124" w:name="incorporeal-and-immaterial"/>
      <w:pPr>
        <w:pStyle w:val="Heading2"/>
      </w:pPr>
      <w:r>
        <w:rPr>
          <w:b w:val="0"/>
          <w:i w:val="0"/>
        </w:rPr>
        <w:t>Incorporeal and immaterial</w:t>
      </w:r>
      <w:bookmarkEnd w:id="124"/>
    </w:p>
    <w:p>
      <w:pPr>
        <w:keepNext/>
        <w:widowControl/>
      </w:pPr>
      <w:r>
        <w:rPr>
          <w:b/>
          <w:i w:val="0"/>
        </w:rPr>
        <w:t>Latin:</w:t>
      </w:r>
      <w:r>
        <w:rPr>
          <w:b w:val="0"/>
          <w:i w:val="0"/>
        </w:rPr>
        <w:t xml:space="preserve"> </w:t>
      </w:r>
      <w:r>
        <w:rPr>
          <w:b w:val="0"/>
          <w:i/>
        </w:rPr>
        <w:t>incorporeus</w:t>
      </w:r>
      <w:r>
        <w:rPr>
          <w:b w:val="0"/>
          <w:i w:val="0"/>
        </w:rPr>
        <w:t xml:space="preserve">; </w:t>
      </w:r>
      <w:r>
        <w:rPr>
          <w:b w:val="0"/>
          <w:i/>
        </w:rPr>
        <w:t>incorporalis</w:t>
      </w:r>
      <w:r>
        <w:rPr>
          <w:b w:val="0"/>
          <w:i w:val="0"/>
        </w:rPr>
        <w:t xml:space="preserve">; </w:t>
      </w:r>
      <w:r>
        <w:rPr>
          <w:b w:val="0"/>
          <w:i/>
        </w:rPr>
        <w:t>immaterialis</w:t>
      </w:r>
      <w:r>
        <w:rPr>
          <w:b w:val="0"/>
          <w:i w:val="0"/>
        </w:rPr>
        <w:t xml:space="preserve">; </w:t>
      </w:r>
      <w:r>
        <w:rPr>
          <w:b w:val="0"/>
          <w:i/>
        </w:rPr>
        <w:t>sine materia</w:t>
      </w:r>
      <w:r>
        <w:rPr>
          <w:b w:val="0"/>
          <w:i w:val="0"/>
        </w:rPr>
        <w:t xml:space="preserve">; </w:t>
      </w:r>
      <w:r>
        <w:rPr>
          <w:b w:val="0"/>
          <w:i/>
        </w:rPr>
        <w:t>absque dimensione</w:t>
      </w:r>
    </w:p>
    <w:p>
      <w:pPr>
        <w:keepNext/>
        <w:widowControl/>
      </w:pPr>
      <w:r>
        <w:rPr>
          <w:b/>
          <w:i w:val="0"/>
        </w:rPr>
        <w:t>The word.</w:t>
      </w:r>
    </w:p>
    <w:p>
      <w:pPr>
        <w:widowControl/>
      </w:pPr>
      <w:r>
        <w:rPr>
          <w:b w:val="0"/>
          <w:i w:val="0"/>
        </w:rPr>
        <w:t>Incorporeus and incorporalis mean nonbodily. Immaterialis and sine materia mean without matter, while absque dimensione specifies absence of quantitative extension. The argument sometimes distinguishes these rather than treating them as synonyms: freedom from matter need not imply absence of every dimension in an attributed cosmology.</w:t>
      </w:r>
    </w:p>
    <w:p>
      <w:pPr>
        <w:keepNext/>
        <w:widowControl/>
      </w:pPr>
      <w:r>
        <w:rPr>
          <w:b/>
          <w:i w:val="0"/>
        </w:rPr>
        <w:t>In the Platonic Theology.</w:t>
      </w:r>
    </w:p>
    <w:p>
      <w:pPr>
        <w:widowControl/>
      </w:pPr>
      <w:r>
        <w:rPr>
          <w:b w:val="0"/>
          <w:i w:val="0"/>
        </w:rPr>
        <w:t xml:space="preserve">The supplied Latin uses both </w:t>
      </w:r>
      <w:r>
        <w:rPr>
          <w:b w:val="0"/>
          <w:i/>
        </w:rPr>
        <w:t>incorporeus</w:t>
      </w:r>
      <w:r>
        <w:rPr>
          <w:b w:val="0"/>
          <w:i w:val="0"/>
        </w:rPr>
        <w:t xml:space="preserve"> and </w:t>
      </w:r>
      <w:r>
        <w:rPr>
          <w:b w:val="0"/>
          <w:i/>
        </w:rPr>
        <w:t>incorporalis</w:t>
      </w:r>
      <w:r>
        <w:rPr>
          <w:b w:val="0"/>
          <w:i w:val="0"/>
        </w:rPr>
        <w:t xml:space="preserve"> for what is not bodily. This is not automatically equivalent to </w:t>
      </w:r>
      <w:r>
        <w:rPr>
          <w:b w:val="0"/>
          <w:i/>
        </w:rPr>
        <w:t>immaterialis</w:t>
      </w:r>
      <w:r>
        <w:rPr>
          <w:b w:val="0"/>
          <w:i w:val="0"/>
        </w:rPr>
        <w:t xml:space="preserve">, </w:t>
      </w:r>
      <w:r>
        <w:t>“</w:t>
      </w:r>
      <w:r>
        <w:rPr>
          <w:b w:val="0"/>
          <w:i w:val="0"/>
        </w:rPr>
        <w:t>without matter.</w:t>
      </w:r>
      <w:r>
        <w:t>”</w:t>
      </w:r>
      <w:r>
        <w:rPr>
          <w:b w:val="0"/>
          <w:i w:val="0"/>
        </w:rPr>
        <w:t xml:space="preserve"> In his reports of Averroes and Proclus, Ficino explicitly describes celestial bodies as having dimension while lacking matter in the relevant sense. Those passages make the distinction indispensable: something can be called immaterial without thereby being unextended or incorporeal. Elsewhere qualities are said not to be bodies because several can coincide in the same place and because extension is not essential to quality. Yet material qualities are still divided along with their subjects. The soul’s incorporeality is a stronger independence: it lacks bodily division and subsists without being tied to a material support. Nonbodily, separated, and immaterial consequently identify different kinds or degrees of independence within the ascent.</w:t>
      </w:r>
    </w:p>
    <w:p>
      <w:pPr>
        <w:keepNext/>
        <w:widowControl/>
      </w:pPr>
      <w:r>
        <w:rPr>
          <w:b/>
          <w:i w:val="0"/>
        </w:rPr>
        <w:t>The places.</w:t>
      </w:r>
    </w:p>
    <w:p>
      <w:pPr>
        <w:ind w:left="187" w:hanging="187"/>
      </w:pPr>
      <w:r>
        <w:t xml:space="preserve">• </w:t>
      </w:r>
      <w:r>
        <w:rPr>
          <w:b/>
          <w:i w:val="0"/>
        </w:rPr>
        <w:t>I.3.27 (PDF pp. 48–49)</w:t>
      </w:r>
      <w:r>
        <w:rPr>
          <w:b w:val="0"/>
          <w:i w:val="0"/>
        </w:rPr>
        <w:t>. The reported heavenly form lacks matter while retaining dimension</w:t>
      </w:r>
    </w:p>
    <w:p>
      <w:pPr>
        <w:ind w:left="187" w:hanging="187"/>
      </w:pPr>
      <w:r>
        <w:t xml:space="preserve">• </w:t>
      </w:r>
      <w:r>
        <w:rPr>
          <w:b/>
          <w:i w:val="0"/>
        </w:rPr>
        <w:t>I.3.28 (PDF pp. 48–49)</w:t>
      </w:r>
      <w:r>
        <w:rPr>
          <w:b w:val="0"/>
          <w:i w:val="0"/>
        </w:rPr>
        <w:t>. Proclus’s classification distinguishes material composition, elemental simplicity, and immaterial celestial body</w:t>
      </w:r>
    </w:p>
    <w:p>
      <w:pPr>
        <w:ind w:left="187" w:hanging="187"/>
      </w:pPr>
      <w:r>
        <w:t xml:space="preserve">• </w:t>
      </w:r>
      <w:r>
        <w:rPr>
          <w:b/>
          <w:i w:val="0"/>
        </w:rPr>
        <w:t>II.6.1 (PDF pp. 128–129)</w:t>
      </w:r>
      <w:r>
        <w:rPr>
          <w:b w:val="0"/>
          <w:i w:val="0"/>
        </w:rPr>
        <w:t>. Incorporeal substance touches through power rather than dimensions</w:t>
      </w:r>
    </w:p>
    <w:p>
      <w:pPr>
        <w:widowControl/>
      </w:pPr>
      <w:r>
        <w:rPr>
          <w:b/>
          <w:i w:val="0"/>
        </w:rPr>
        <w:t>Further passage references.</w:t>
      </w:r>
      <w:r>
        <w:rPr>
          <w:b w:val="0"/>
          <w:i w:val="0"/>
        </w:rPr>
        <w:t xml:space="preserve"> I.2.3–I.2.5, I.2.15–I.2.17 (PDF pp. 20–21, 26–27); I.3.24–I.3.29, I.3.33 (pp. 46–53).</w:t>
      </w:r>
    </w:p>
    <w:p>
      <w:pPr>
        <w:keepNext/>
        <w:widowControl/>
      </w:pPr>
      <w:r>
        <w:rPr>
          <w:b/>
          <w:i w:val="0"/>
        </w:rPr>
        <w:t>In this edition.</w:t>
      </w:r>
    </w:p>
    <w:p>
      <w:pPr>
        <w:widowControl/>
      </w:pPr>
      <w:r>
        <w:rPr>
          <w:b w:val="0"/>
          <w:i w:val="0"/>
        </w:rPr>
        <w:t xml:space="preserve">The supplied translation deliberately retains celestial bodies </w:t>
      </w:r>
      <w:r>
        <w:t>“</w:t>
      </w:r>
      <w:r>
        <w:rPr>
          <w:b w:val="0"/>
          <w:i w:val="0"/>
        </w:rPr>
        <w:t>with quantity, but without matter</w:t>
      </w:r>
      <w:r>
        <w:t>”</w:t>
      </w:r>
      <w:r>
        <w:rPr>
          <w:b w:val="0"/>
          <w:i w:val="0"/>
        </w:rPr>
        <w:t xml:space="preserve"> in I.3.27 and </w:t>
      </w:r>
      <w:r>
        <w:t>“</w:t>
      </w:r>
      <w:r>
        <w:rPr>
          <w:b w:val="0"/>
          <w:i w:val="0"/>
        </w:rPr>
        <w:t>simple and immaterial</w:t>
      </w:r>
      <w:r>
        <w:t>”</w:t>
      </w:r>
      <w:r>
        <w:rPr>
          <w:b w:val="0"/>
          <w:i w:val="0"/>
        </w:rPr>
        <w:t xml:space="preserve"> in I.3.28. These are the positions Ficino reports from Averroes and Proclus. They cannot be silently recast as claims that the heavens are incorporeal.</w:t>
      </w:r>
    </w:p>
    <w:p>
      <w:pPr>
        <w:keepNext/>
        <w:widowControl/>
      </w:pPr>
      <w:r>
        <w:rPr>
          <w:b/>
          <w:i w:val="0"/>
        </w:rPr>
        <w:t>See also.</w:t>
      </w:r>
    </w:p>
    <w:p>
      <w:pPr>
        <w:widowControl/>
      </w:pPr>
      <w:hyperlink w:anchor="matter">
        <w:r>
          <w:rPr>
            <w:color w:val="000000"/>
          </w:rPr>
          <w:t xml:space="preserve">Matter</w:t>
        </w:r>
      </w:hyperlink>
      <w:r>
        <w:rPr>
          <w:b w:val="0"/>
          <w:i w:val="0"/>
        </w:rPr>
        <w:t xml:space="preserve">; </w:t>
      </w:r>
      <w:hyperlink w:anchor="body-and-bulk">
        <w:r>
          <w:rPr>
            <w:color w:val="000000"/>
          </w:rPr>
          <w:t xml:space="preserve">Body and bulk</w:t>
        </w:r>
      </w:hyperlink>
      <w:r>
        <w:rPr>
          <w:b w:val="0"/>
          <w:i w:val="0"/>
        </w:rPr>
        <w:t xml:space="preserve">; </w:t>
      </w:r>
      <w:hyperlink w:anchor="quantity-and-dimension">
        <w:r>
          <w:rPr>
            <w:color w:val="000000"/>
          </w:rPr>
          <w:t xml:space="preserve">Quantity and dimension</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form">
        <w:r>
          <w:rPr>
            <w:color w:val="000000"/>
          </w:rPr>
          <w:t xml:space="preserve">Form</w:t>
        </w:r>
      </w:hyperlink>
    </w:p>
    <w:p>
      <w:bookmarkStart w:id="125" w:name="indivisibility"/>
      <w:pPr>
        <w:pStyle w:val="Heading2"/>
      </w:pPr>
      <w:r>
        <w:rPr>
          <w:b w:val="0"/>
          <w:i w:val="0"/>
        </w:rPr>
        <w:t>Indivisibility</w:t>
      </w:r>
      <w:bookmarkEnd w:id="125"/>
    </w:p>
    <w:p>
      <w:pPr>
        <w:keepNext/>
        <w:widowControl/>
      </w:pPr>
      <w:r>
        <w:rPr>
          <w:b/>
          <w:i w:val="0"/>
        </w:rPr>
        <w:t>Latin:</w:t>
      </w:r>
      <w:r>
        <w:rPr>
          <w:b w:val="0"/>
          <w:i w:val="0"/>
        </w:rPr>
        <w:t xml:space="preserve"> </w:t>
      </w:r>
      <w:r>
        <w:rPr>
          <w:b w:val="0"/>
          <w:i/>
        </w:rPr>
        <w:t>individuus</w:t>
      </w:r>
      <w:r>
        <w:rPr>
          <w:b w:val="0"/>
          <w:i w:val="0"/>
        </w:rPr>
        <w:t xml:space="preserve">; </w:t>
      </w:r>
      <w:r>
        <w:rPr>
          <w:b w:val="0"/>
          <w:i/>
        </w:rPr>
        <w:t>indivisibilis</w:t>
      </w:r>
      <w:r>
        <w:rPr>
          <w:b w:val="0"/>
          <w:i w:val="0"/>
        </w:rPr>
        <w:t xml:space="preserve">; </w:t>
      </w:r>
      <w:r>
        <w:rPr>
          <w:b w:val="0"/>
          <w:i/>
        </w:rPr>
        <w:t>dividuus</w:t>
      </w:r>
      <w:r>
        <w:rPr>
          <w:b w:val="0"/>
          <w:i w:val="0"/>
        </w:rPr>
        <w:t xml:space="preserve">; </w:t>
      </w:r>
      <w:r>
        <w:rPr>
          <w:b w:val="0"/>
          <w:i/>
        </w:rPr>
        <w:t>divisibilis</w:t>
      </w:r>
      <w:r>
        <w:rPr>
          <w:b w:val="0"/>
          <w:i w:val="0"/>
        </w:rPr>
        <w:t xml:space="preserve">; </w:t>
      </w:r>
      <w:r>
        <w:rPr>
          <w:b w:val="0"/>
          <w:i/>
        </w:rPr>
        <w:t>divisio</w:t>
      </w:r>
      <w:r>
        <w:rPr>
          <w:b w:val="0"/>
          <w:i w:val="0"/>
        </w:rPr>
        <w:t xml:space="preserve">; </w:t>
      </w:r>
      <w:r>
        <w:rPr>
          <w:b w:val="0"/>
          <w:i/>
        </w:rPr>
        <w:t>divisus</w:t>
      </w:r>
      <w:r>
        <w:rPr>
          <w:b w:val="0"/>
          <w:i w:val="0"/>
        </w:rPr>
        <w:t xml:space="preserve">; </w:t>
      </w:r>
      <w:r>
        <w:rPr>
          <w:b w:val="0"/>
          <w:i/>
        </w:rPr>
        <w:t>dimensione</w:t>
      </w:r>
      <w:r>
        <w:rPr>
          <w:b w:val="0"/>
          <w:i w:val="0"/>
        </w:rPr>
        <w:t xml:space="preserve">; </w:t>
      </w:r>
      <w:r>
        <w:rPr>
          <w:b w:val="0"/>
          <w:i/>
        </w:rPr>
        <w:t>temporali discursione</w:t>
      </w:r>
      <w:r>
        <w:rPr>
          <w:b w:val="0"/>
          <w:i w:val="0"/>
        </w:rPr>
        <w:t xml:space="preserve">; </w:t>
      </w:r>
      <w:r>
        <w:rPr>
          <w:b w:val="0"/>
          <w:i/>
        </w:rPr>
        <w:t>vitalem sui umbram</w:t>
      </w:r>
    </w:p>
    <w:p>
      <w:pPr>
        <w:keepNext/>
        <w:widowControl/>
      </w:pPr>
      <w:r>
        <w:rPr>
          <w:b/>
          <w:i w:val="0"/>
        </w:rPr>
        <w:t>The word.</w:t>
      </w:r>
    </w:p>
    <w:p>
      <w:pPr>
        <w:widowControl/>
      </w:pPr>
      <w:r>
        <w:rPr>
          <w:b w:val="0"/>
          <w:i w:val="0"/>
        </w:rPr>
        <w:t>Individuus and indivisibilis mean undivided or indivisible; dividuus and divisibilis the contrary. Individuus does not ordinarily mean an individual human here. Division may concern a spatial body, successive operations, or distinctions in an intelligible nature, and these senses cannot substitute for one another.</w:t>
      </w:r>
    </w:p>
    <w:p>
      <w:pPr>
        <w:keepNext/>
        <w:widowControl/>
      </w:pPr>
      <w:r>
        <w:rPr>
          <w:b/>
          <w:i w:val="0"/>
        </w:rPr>
        <w:t>In the Platonic Theology.</w:t>
      </w:r>
    </w:p>
    <w:p>
      <w:pPr>
        <w:widowControl/>
      </w:pPr>
      <w:r>
        <w:rPr>
          <w:b w:val="0"/>
          <w:i w:val="0"/>
        </w:rPr>
        <w:t xml:space="preserve">The Latin </w:t>
      </w:r>
      <w:r>
        <w:rPr>
          <w:b w:val="0"/>
          <w:i/>
        </w:rPr>
        <w:t>individuus</w:t>
      </w:r>
      <w:r>
        <w:rPr>
          <w:b w:val="0"/>
          <w:i w:val="0"/>
        </w:rPr>
        <w:t xml:space="preserve"> generally means undivided or indivisible here, rather than an individual person. Ficino distinguishes spatial division, temporal succession, qualitative determination, and intelligible composition; none should be substituted automatically for the others.</w:t>
      </w:r>
    </w:p>
    <w:p>
      <w:pPr>
        <w:widowControl/>
      </w:pPr>
      <w:r>
        <w:rPr>
          <w:b w:val="0"/>
          <w:i w:val="0"/>
        </w:rPr>
        <w:t>Quality supplies an initially qualified case. In I.2.17, dividing a white body leaves the character of whiteness in each piece, so the argument distinguishes the whiteness of a part from a part of whiteness. Yet quality remains dependent upon its bodily subject. III.2.11, explicitly appealing to natural philosophers, instead describes whiteness as extended and divided along with flesh, a larger portion of flesh containing a larger portion of whiteness. The first argument emphasizes the retained qualitative character, while the second invokes a received account of quantitative distribution. Their differing emphases and attribution should remain visible rather than being turned into one unqualified formula.</w:t>
      </w:r>
    </w:p>
    <w:p>
      <w:pPr>
        <w:widowControl/>
      </w:pPr>
      <w:r>
        <w:rPr>
          <w:b w:val="0"/>
          <w:i w:val="0"/>
        </w:rPr>
        <w:t>Soul’s indivisibility is substantial. It is wholly present to every bodily part, and its communicated life or vital shadow extends throughout the divided body without cutting the soul into portions. This helps explain its inability to dissolve into bodily components. Similarly, unity present throughout a whole cannot itself be portioned out without requiring another unifier. Nonetheless, indivisibility is not absolute divine simplicity: angelic nature can be free of bodily division while containing distinctions of essence, being, understanding, and objects understood.</w:t>
      </w:r>
    </w:p>
    <w:p>
      <w:pPr>
        <w:widowControl/>
      </w:pPr>
      <w:r>
        <w:rPr>
          <w:b w:val="0"/>
          <w:i w:val="0"/>
        </w:rPr>
        <w:t>Soul can also be called divisible in three qualified respects. Its vital shadow is communicated to a divisible body; its operations are distributed through successive moments; and it inclines toward lower realities that are themselves divided. Correspondingly it remains indivisible in its whole presence, stable substance, and orientation toward higher unified realities. The formula that soul is both divisible and indivisible identifies its middle status between beings divided by neither time nor dimension and lower things subject to both. Ficino relates it to Timaeus of Locri and Plato. It does not assert that soul’s substance is at once physically cut into pieces and uncut.</w:t>
      </w:r>
    </w:p>
    <w:p>
      <w:pPr>
        <w:keepNext/>
        <w:widowControl/>
      </w:pPr>
      <w:r>
        <w:rPr>
          <w:b/>
          <w:i w:val="0"/>
        </w:rPr>
        <w:t>The places.</w:t>
      </w:r>
    </w:p>
    <w:p>
      <w:pPr>
        <w:ind w:left="187" w:hanging="187"/>
      </w:pPr>
      <w:r>
        <w:t xml:space="preserve">• </w:t>
      </w:r>
      <w:r>
        <w:rPr>
          <w:b/>
          <w:i w:val="0"/>
        </w:rPr>
        <w:t>I.2.17 (PDF pp. 26–27)</w:t>
      </w:r>
      <w:r>
        <w:rPr>
          <w:b w:val="0"/>
          <w:i w:val="0"/>
        </w:rPr>
        <w:t>. Whiteness of each divided bodily part retains its qualitative character</w:t>
      </w:r>
    </w:p>
    <w:p>
      <w:pPr>
        <w:ind w:left="187" w:hanging="187"/>
      </w:pPr>
      <w:r>
        <w:t xml:space="preserve">• </w:t>
      </w:r>
      <w:r>
        <w:rPr>
          <w:b/>
          <w:i w:val="0"/>
        </w:rPr>
        <w:t>III.2.11 (PDF pp. 268–269)</w:t>
      </w:r>
      <w:r>
        <w:rPr>
          <w:b w:val="0"/>
          <w:i w:val="0"/>
        </w:rPr>
        <w:t>. The received account of whiteness distributed with flesh supplies a contrast to soul</w:t>
      </w:r>
    </w:p>
    <w:p>
      <w:pPr>
        <w:ind w:left="187" w:hanging="187"/>
      </w:pPr>
      <w:r>
        <w:t xml:space="preserve">• </w:t>
      </w:r>
      <w:r>
        <w:rPr>
          <w:b/>
          <w:i w:val="0"/>
        </w:rPr>
        <w:t>III.2.19 (PDF pp. 272–273)</w:t>
      </w:r>
      <w:r>
        <w:rPr>
          <w:b w:val="0"/>
          <w:i w:val="0"/>
        </w:rPr>
        <w:t>. Soul’s whole presence and stable substance coexist with divided bodily effects and successive activity</w:t>
      </w:r>
    </w:p>
    <w:p>
      <w:pPr>
        <w:ind w:left="187" w:hanging="187"/>
      </w:pPr>
      <w:r>
        <w:t xml:space="preserve">• </w:t>
      </w:r>
      <w:r>
        <w:rPr>
          <w:b/>
          <w:i w:val="0"/>
        </w:rPr>
        <w:t>III.2.22 (PDF pp. 274–275)</w:t>
      </w:r>
      <w:r>
        <w:rPr>
          <w:b w:val="0"/>
          <w:i w:val="0"/>
        </w:rPr>
        <w:t>. The divisible–indivisible formula is linked to Timaeus of Locri and Plato</w:t>
      </w:r>
    </w:p>
    <w:p>
      <w:pPr>
        <w:widowControl/>
      </w:pPr>
      <w:r>
        <w:rPr>
          <w:b/>
          <w:i w:val="0"/>
        </w:rPr>
        <w:t>Further passage references.</w:t>
      </w:r>
      <w:r>
        <w:rPr>
          <w:b w:val="0"/>
          <w:i w:val="0"/>
        </w:rPr>
        <w:t xml:space="preserve"> I.2.17 (PDF pp. 26–27); I.3.13–I.3.16, I.3.29–I.3.33 (pp. 36–39, 50–53); I.6.4–I.6.5 (pp. 82–85); III.1.2–5, PDF 240–241; III.2.9–22, PDF 268–275.</w:t>
      </w:r>
    </w:p>
    <w:p>
      <w:pPr>
        <w:keepNext/>
        <w:widowControl/>
      </w:pPr>
      <w:r>
        <w:rPr>
          <w:b/>
          <w:i w:val="0"/>
        </w:rPr>
        <w:t>In this edition.</w:t>
      </w:r>
    </w:p>
    <w:p>
      <w:pPr>
        <w:widowControl/>
      </w:pPr>
      <w:r>
        <w:rPr>
          <w:b w:val="0"/>
          <w:i w:val="0"/>
        </w:rPr>
        <w:t xml:space="preserve">I.2.17’s partis albedo, </w:t>
      </w:r>
      <w:r>
        <w:t>“</w:t>
      </w:r>
      <w:r>
        <w:rPr>
          <w:b w:val="0"/>
          <w:i w:val="0"/>
        </w:rPr>
        <w:t>whiteness of a part,</w:t>
      </w:r>
      <w:r>
        <w:t>”</w:t>
      </w:r>
      <w:r>
        <w:rPr>
          <w:b w:val="0"/>
          <w:i w:val="0"/>
        </w:rPr>
        <w:t xml:space="preserve"> is opposed to pars albedinis, </w:t>
      </w:r>
      <w:r>
        <w:t>“</w:t>
      </w:r>
      <w:r>
        <w:rPr>
          <w:b w:val="0"/>
          <w:i w:val="0"/>
        </w:rPr>
        <w:t>a part of whiteness.</w:t>
      </w:r>
      <w:r>
        <w:t>”</w:t>
      </w:r>
      <w:r>
        <w:rPr>
          <w:b w:val="0"/>
          <w:i w:val="0"/>
        </w:rPr>
        <w:t xml:space="preserve"> III.2.11 presents the latter language under secundum physicos, </w:t>
      </w:r>
      <w:r>
        <w:t>“</w:t>
      </w:r>
      <w:r>
        <w:rPr>
          <w:b w:val="0"/>
          <w:i w:val="0"/>
        </w:rPr>
        <w:t>according to natural philosophers.</w:t>
      </w:r>
      <w:r>
        <w:t>”</w:t>
      </w:r>
      <w:r>
        <w:rPr>
          <w:b w:val="0"/>
          <w:i w:val="0"/>
        </w:rPr>
        <w:t xml:space="preserve"> Keep that attribution and difference in argumentative emphasis rather than silently forcing both into one formula.</w:t>
      </w:r>
    </w:p>
    <w:p>
      <w:pPr>
        <w:keepNext/>
        <w:widowControl/>
      </w:pPr>
      <w:r>
        <w:rPr>
          <w:b/>
          <w:i w:val="0"/>
        </w:rPr>
        <w:t>See also.</w:t>
      </w:r>
    </w:p>
    <w:p>
      <w:pPr>
        <w:widowControl/>
      </w:pPr>
      <w:hyperlink w:anchor="unity-and-multiplicity">
        <w:r>
          <w:rPr>
            <w:color w:val="000000"/>
          </w:rPr>
          <w:t xml:space="preserve">Unity and multiplicity</w:t>
        </w:r>
      </w:hyperlink>
      <w:r>
        <w:rPr>
          <w:b w:val="0"/>
          <w:i w:val="0"/>
        </w:rPr>
        <w:t xml:space="preserve">; </w:t>
      </w:r>
      <w:hyperlink w:anchor="soul">
        <w:r>
          <w:rPr>
            <w:color w:val="000000"/>
          </w:rPr>
          <w:t xml:space="preserve">Soul</w:t>
        </w:r>
      </w:hyperlink>
      <w:r>
        <w:rPr>
          <w:b w:val="0"/>
          <w:i w:val="0"/>
        </w:rPr>
        <w:t xml:space="preserve">; </w:t>
      </w:r>
      <w:hyperlink w:anchor="angel">
        <w:r>
          <w:rPr>
            <w:color w:val="000000"/>
          </w:rPr>
          <w:t xml:space="preserve">Angel</w:t>
        </w:r>
      </w:hyperlink>
      <w:r>
        <w:rPr>
          <w:b w:val="0"/>
          <w:i w:val="0"/>
        </w:rPr>
        <w:t xml:space="preserve">; </w:t>
      </w:r>
      <w:hyperlink w:anchor="substance-and-accident">
        <w:r>
          <w:rPr>
            <w:color w:val="000000"/>
          </w:rPr>
          <w:t xml:space="preserve">Substance and accident</w:t>
        </w:r>
      </w:hyperlink>
      <w:r>
        <w:rPr>
          <w:b w:val="0"/>
          <w:i w:val="0"/>
        </w:rPr>
        <w:t xml:space="preserve">; </w:t>
      </w:r>
      <w:hyperlink w:anchor="quality">
        <w:r>
          <w:rPr>
            <w:color w:val="000000"/>
          </w:rPr>
          <w:t xml:space="preserve">Quality</w:t>
        </w:r>
      </w:hyperlink>
      <w:r>
        <w:rPr>
          <w:b w:val="0"/>
          <w:i w:val="0"/>
        </w:rPr>
        <w:t xml:space="preserve">; </w:t>
      </w:r>
      <w:hyperlink w:anchor="body-and-bulk">
        <w:r>
          <w:rPr>
            <w:color w:val="000000"/>
          </w:rPr>
          <w:t xml:space="preserve">Body and bulk</w:t>
        </w:r>
      </w:hyperlink>
      <w:r>
        <w:rPr>
          <w:b w:val="0"/>
          <w:i w:val="0"/>
        </w:rPr>
        <w:t xml:space="preserve">; </w:t>
      </w:r>
      <w:hyperlink w:anchor="indwelling-and-presence">
        <w:r>
          <w:rPr>
            <w:color w:val="000000"/>
          </w:rPr>
          <w:t xml:space="preserve">Indwelling and presence</w:t>
        </w:r>
      </w:hyperlink>
      <w:r>
        <w:rPr>
          <w:b w:val="0"/>
          <w:i w:val="0"/>
        </w:rPr>
        <w:t xml:space="preserve">; </w:t>
      </w:r>
      <w:hyperlink w:anchor="eternity-and-time">
        <w:r>
          <w:rPr>
            <w:color w:val="000000"/>
          </w:rPr>
          <w:t xml:space="preserve">Eternity and time</w:t>
        </w:r>
      </w:hyperlink>
    </w:p>
    <w:p>
      <w:bookmarkStart w:id="126" w:name="indwelling-and-presence"/>
      <w:pPr>
        <w:pStyle w:val="Heading2"/>
      </w:pPr>
      <w:r>
        <w:rPr>
          <w:b w:val="0"/>
          <w:i w:val="0"/>
        </w:rPr>
        <w:t>Indwelling and presence</w:t>
      </w:r>
      <w:bookmarkEnd w:id="126"/>
    </w:p>
    <w:p>
      <w:pPr>
        <w:keepNext/>
        <w:widowControl/>
      </w:pPr>
      <w:r>
        <w:rPr>
          <w:b/>
          <w:i w:val="0"/>
        </w:rPr>
        <w:t>Latin:</w:t>
      </w:r>
      <w:r>
        <w:rPr>
          <w:b w:val="0"/>
          <w:i w:val="0"/>
        </w:rPr>
        <w:t xml:space="preserve"> </w:t>
      </w:r>
      <w:r>
        <w:rPr>
          <w:b w:val="0"/>
          <w:i/>
        </w:rPr>
        <w:t>tota et indivisa</w:t>
      </w:r>
      <w:r>
        <w:rPr>
          <w:b w:val="0"/>
          <w:i w:val="0"/>
        </w:rPr>
        <w:t xml:space="preserve">; </w:t>
      </w:r>
      <w:r>
        <w:rPr>
          <w:b w:val="0"/>
          <w:i/>
        </w:rPr>
        <w:t>vis individua</w:t>
      </w:r>
      <w:r>
        <w:rPr>
          <w:b w:val="0"/>
          <w:i w:val="0"/>
        </w:rPr>
        <w:t xml:space="preserve">; </w:t>
      </w:r>
      <w:r>
        <w:rPr>
          <w:b w:val="0"/>
          <w:i/>
        </w:rPr>
        <w:t>latitudo quantitatis</w:t>
      </w:r>
      <w:r>
        <w:rPr>
          <w:b w:val="0"/>
          <w:i w:val="0"/>
        </w:rPr>
        <w:t xml:space="preserve">; </w:t>
      </w:r>
      <w:r>
        <w:rPr>
          <w:b w:val="0"/>
          <w:i/>
        </w:rPr>
        <w:t>punctum</w:t>
      </w:r>
      <w:r>
        <w:rPr>
          <w:b w:val="0"/>
          <w:i w:val="0"/>
        </w:rPr>
        <w:t xml:space="preserve">; </w:t>
      </w:r>
      <w:r>
        <w:rPr>
          <w:b w:val="0"/>
          <w:i/>
        </w:rPr>
        <w:t>centrum</w:t>
      </w:r>
      <w:r>
        <w:rPr>
          <w:b w:val="0"/>
          <w:i w:val="0"/>
        </w:rPr>
        <w:t xml:space="preserve">; </w:t>
      </w:r>
      <w:r>
        <w:rPr>
          <w:b w:val="0"/>
          <w:i/>
        </w:rPr>
        <w:t>situs</w:t>
      </w:r>
      <w:r>
        <w:rPr>
          <w:b w:val="0"/>
          <w:i w:val="0"/>
        </w:rPr>
        <w:t xml:space="preserve">; </w:t>
      </w:r>
      <w:r>
        <w:rPr>
          <w:b w:val="0"/>
          <w:i/>
        </w:rPr>
        <w:t>inesse</w:t>
      </w:r>
      <w:r>
        <w:rPr>
          <w:b w:val="0"/>
          <w:i w:val="0"/>
        </w:rPr>
        <w:t xml:space="preserve">; </w:t>
      </w:r>
      <w:r>
        <w:rPr>
          <w:b w:val="0"/>
          <w:i/>
        </w:rPr>
        <w:t>insita</w:t>
      </w:r>
      <w:r>
        <w:rPr>
          <w:b w:val="0"/>
          <w:i w:val="0"/>
        </w:rPr>
        <w:t xml:space="preserve">; </w:t>
      </w:r>
      <w:r>
        <w:rPr>
          <w:b w:val="0"/>
          <w:i/>
        </w:rPr>
        <w:t>praesentia</w:t>
      </w:r>
      <w:r>
        <w:rPr>
          <w:b w:val="0"/>
          <w:i w:val="0"/>
        </w:rPr>
        <w:t xml:space="preserve">; </w:t>
      </w:r>
      <w:r>
        <w:rPr>
          <w:b w:val="0"/>
          <w:i/>
        </w:rPr>
        <w:t>adsit aut insit</w:t>
      </w:r>
    </w:p>
    <w:p>
      <w:pPr>
        <w:keepNext/>
        <w:widowControl/>
      </w:pPr>
      <w:r>
        <w:rPr>
          <w:b/>
          <w:i w:val="0"/>
        </w:rPr>
        <w:t>The word.</w:t>
      </w:r>
    </w:p>
    <w:p>
      <w:pPr>
        <w:widowControl/>
      </w:pPr>
      <w:r>
        <w:rPr>
          <w:b w:val="0"/>
          <w:i w:val="0"/>
        </w:rPr>
        <w:t>Inesse is being in or inhering; adesse being present to; insitus implanted or inherent. Praesentia names presence, while situs names position. Tota et indivisa emphasizes whole undivided presence rather than spatial distribution. A source can be present to an effect without the precise relation of indwelling being settled.</w:t>
      </w:r>
    </w:p>
    <w:p>
      <w:pPr>
        <w:keepNext/>
        <w:widowControl/>
      </w:pPr>
      <w:r>
        <w:rPr>
          <w:b/>
          <w:i w:val="0"/>
        </w:rPr>
        <w:t>In the Platonic Theology.</w:t>
      </w:r>
    </w:p>
    <w:p>
      <w:pPr>
        <w:widowControl/>
      </w:pPr>
      <w:r>
        <w:rPr>
          <w:b w:val="0"/>
          <w:i w:val="0"/>
        </w:rPr>
        <w:t>Soul is wholly present to every part of its living body without acquiring bodily extension. Ficino rejects both contact with only one point, which would leave the remainder without life, and distribution like whiteness in flesh, which would divide soul with its subject and reduce it to quality. Soul touches through indivisible power, remaining entire in its communication to many bodily parts.</w:t>
      </w:r>
    </w:p>
    <w:p>
      <w:pPr>
        <w:widowControl/>
      </w:pPr>
      <w:r>
        <w:rPr>
          <w:b w:val="0"/>
          <w:i w:val="0"/>
        </w:rPr>
        <w:t>The geometrical comparisons sharpen the distinction. An endpoint fixed to one line is indivisible but still tied to a particular position. A center stands in relation to all radii and the circumference. Soul is likened to a living point freed from quantitative position, not identified with a mathematical point lodged in the body. An utterance and its meaning heard throughout a house provide another explicitly qualified likeness. The explanatory feature is freedom from spatial extension, not extreme smallness: a tiny spatial object would still occupy its own position.</w:t>
      </w:r>
    </w:p>
    <w:p>
      <w:pPr>
        <w:widowControl/>
      </w:pPr>
      <w:r>
        <w:rPr>
          <w:b w:val="0"/>
          <w:i w:val="0"/>
        </w:rPr>
        <w:t xml:space="preserve">Book IV repeatedly argues that a remote celestial influence alone cannot account for substantial living production. A proximate living source must be present, and soul’s indivisibility permits its whole presence throughout a sphere. Yet presence and indwelling are not everywhere identical formulations. The closing quotation attributed to Plato preserves a disjunction: soul must either be present to each celestial body or dwell within it, </w:t>
      </w:r>
      <w:r>
        <w:rPr>
          <w:b w:val="0"/>
          <w:i/>
        </w:rPr>
        <w:t>adsit aut insit</w:t>
      </w:r>
      <w:r>
        <w:rPr>
          <w:b w:val="0"/>
          <w:i w:val="0"/>
        </w:rPr>
        <w:t>. According to the supplied apparatus, later witnesses omit the first alternative, while this edition retains the broader base wording. The distinction matters when moving from an argument that celestial motion requires soul to an assertion about the precise mode of union.</w:t>
      </w:r>
    </w:p>
    <w:p>
      <w:pPr>
        <w:widowControl/>
      </w:pPr>
      <w:r>
        <w:rPr>
          <w:b w:val="0"/>
          <w:i w:val="0"/>
        </w:rPr>
        <w:t>That disjunction follows Ficino’s express reservation submitting the account of sphere-souls to Christian theological examination. It should not be suppressed in favor of an unqualified doctrine of immanence. Nor does a soul’s presence make God the world’s animating form; Ficino separately rejects that identification.</w:t>
      </w:r>
    </w:p>
    <w:p>
      <w:pPr>
        <w:keepNext/>
        <w:widowControl/>
      </w:pPr>
      <w:r>
        <w:rPr>
          <w:b/>
          <w:i w:val="0"/>
        </w:rPr>
        <w:t>The places.</w:t>
      </w:r>
    </w:p>
    <w:p>
      <w:pPr>
        <w:ind w:left="187" w:hanging="187"/>
      </w:pPr>
      <w:r>
        <w:t xml:space="preserve">• </w:t>
      </w:r>
      <w:r>
        <w:rPr>
          <w:b/>
          <w:i w:val="0"/>
        </w:rPr>
        <w:t>III.2.13 (PDF pp. 270–271)</w:t>
      </w:r>
      <w:r>
        <w:rPr>
          <w:b w:val="0"/>
          <w:i w:val="0"/>
        </w:rPr>
        <w:t>. Whole utterance and meaning in a house illustrate presence unlike quantitative extension</w:t>
      </w:r>
    </w:p>
    <w:p>
      <w:pPr>
        <w:ind w:left="187" w:hanging="187"/>
      </w:pPr>
      <w:r>
        <w:t xml:space="preserve">• </w:t>
      </w:r>
      <w:r>
        <w:rPr>
          <w:b/>
          <w:i w:val="0"/>
        </w:rPr>
        <w:t>III.2.19 (PDF pp. 272–273)</w:t>
      </w:r>
      <w:r>
        <w:rPr>
          <w:b w:val="0"/>
          <w:i w:val="0"/>
        </w:rPr>
        <w:t>. Soul touches no exclusive point but is related to the whole as center to circle</w:t>
      </w:r>
    </w:p>
    <w:p>
      <w:pPr>
        <w:ind w:left="187" w:hanging="187"/>
      </w:pPr>
      <w:r>
        <w:t xml:space="preserve">• </w:t>
      </w:r>
      <w:r>
        <w:rPr>
          <w:b/>
          <w:i w:val="0"/>
        </w:rPr>
        <w:t>IV.1.96 (PDF pp. 332–333)</w:t>
      </w:r>
      <w:r>
        <w:rPr>
          <w:b w:val="0"/>
          <w:i w:val="0"/>
        </w:rPr>
        <w:t>. Presence or indwelling remains a disjunction in the qualified closing quotation</w:t>
      </w:r>
    </w:p>
    <w:p>
      <w:pPr>
        <w:widowControl/>
      </w:pPr>
      <w:r>
        <w:rPr>
          <w:b/>
          <w:i w:val="0"/>
        </w:rPr>
        <w:t>Further passage references.</w:t>
      </w:r>
      <w:r>
        <w:rPr>
          <w:b w:val="0"/>
          <w:i w:val="0"/>
        </w:rPr>
        <w:t xml:space="preserve"> III.2.9–21, PDF 268–273; IV.1.5, pp. 284–285; IV.1.22–IV.1.28, pp. 292–295; IV.1.67, pp. 316–317; IV.1.96, pp. 332–333; apparatus p. 394.</w:t>
      </w:r>
    </w:p>
    <w:p>
      <w:pPr>
        <w:keepNext/>
        <w:widowControl/>
      </w:pPr>
      <w:r>
        <w:rPr>
          <w:b/>
          <w:i w:val="0"/>
        </w:rPr>
        <w:t>In this edition.</w:t>
      </w:r>
    </w:p>
    <w:p>
      <w:pPr>
        <w:widowControl/>
      </w:pPr>
      <w:r>
        <w:rPr>
          <w:b w:val="0"/>
          <w:i w:val="0"/>
        </w:rPr>
        <w:t xml:space="preserve">At IV.1.96 adsit aut insit is rendered </w:t>
      </w:r>
      <w:r>
        <w:t>“</w:t>
      </w:r>
      <w:r>
        <w:rPr>
          <w:b w:val="0"/>
          <w:i w:val="0"/>
        </w:rPr>
        <w:t>either present to or dwelling within.</w:t>
      </w:r>
      <w:r>
        <w:t>”</w:t>
      </w:r>
      <w:r>
        <w:rPr>
          <w:b w:val="0"/>
          <w:i w:val="0"/>
        </w:rPr>
        <w:t xml:space="preserve"> The supplied apparatus reports that later witnesses omit the first alternative; this edition retains both. That report is not a new witness collation here. The disjunction also follows Ficino’s explicit theological reservation.</w:t>
      </w:r>
    </w:p>
    <w:p>
      <w:pPr>
        <w:keepNext/>
        <w:widowControl/>
      </w:pPr>
      <w:r>
        <w:rPr>
          <w:b/>
          <w:i w:val="0"/>
        </w:rPr>
        <w:t>See also.</w:t>
      </w:r>
    </w:p>
    <w:p>
      <w:pPr>
        <w:widowControl/>
      </w:pPr>
      <w:hyperlink w:anchor="body-and-bulk">
        <w:r>
          <w:rPr>
            <w:color w:val="000000"/>
          </w:rPr>
          <w:t xml:space="preserve">Body and bulk</w:t>
        </w:r>
      </w:hyperlink>
      <w:r>
        <w:rPr>
          <w:b w:val="0"/>
          <w:i w:val="0"/>
        </w:rPr>
        <w:t xml:space="preserve">; </w:t>
      </w:r>
      <w:hyperlink w:anchor="indivisibility">
        <w:r>
          <w:rPr>
            <w:color w:val="000000"/>
          </w:rPr>
          <w:t xml:space="preserve">Indivisibility</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w:t>
      </w:r>
      <w:hyperlink w:anchor="spiritual-union">
        <w:r>
          <w:rPr>
            <w:color w:val="000000"/>
          </w:rPr>
          <w:t xml:space="preserve">Spiritual union</w:t>
        </w:r>
      </w:hyperlink>
      <w:r>
        <w:rPr>
          <w:b w:val="0"/>
          <w:i w:val="0"/>
        </w:rPr>
        <w:t xml:space="preserve">; </w:t>
      </w:r>
      <w:hyperlink w:anchor="degree-and-mediation">
        <w:r>
          <w:rPr>
            <w:color w:val="000000"/>
          </w:rPr>
          <w:t xml:space="preserve">Degree and mediation</w:t>
        </w:r>
      </w:hyperlink>
      <w:r>
        <w:rPr>
          <w:b w:val="0"/>
          <w:i w:val="0"/>
        </w:rPr>
        <w:t xml:space="preserve">; </w:t>
      </w:r>
      <w:hyperlink w:anchor="world-soul">
        <w:r>
          <w:rPr>
            <w:color w:val="000000"/>
          </w:rPr>
          <w:t xml:space="preserve">World soul</w:t>
        </w:r>
      </w:hyperlink>
      <w:r>
        <w:rPr>
          <w:b w:val="0"/>
          <w:i w:val="0"/>
        </w:rPr>
        <w:t xml:space="preserve">; </w:t>
      </w:r>
      <w:hyperlink w:anchor="angel">
        <w:r>
          <w:rPr>
            <w:color w:val="000000"/>
          </w:rPr>
          <w:t xml:space="preserve">Angel</w:t>
        </w:r>
      </w:hyperlink>
      <w:r>
        <w:rPr>
          <w:b w:val="0"/>
          <w:i w:val="0"/>
        </w:rPr>
        <w:t xml:space="preserve">; </w:t>
      </w:r>
      <w:hyperlink w:anchor="instrument">
        <w:r>
          <w:rPr>
            <w:color w:val="000000"/>
          </w:rPr>
          <w:t xml:space="preserve">Instrument</w:t>
        </w:r>
      </w:hyperlink>
      <w:r>
        <w:rPr>
          <w:b w:val="0"/>
          <w:i w:val="0"/>
        </w:rPr>
        <w:t xml:space="preserve">; </w:t>
      </w:r>
      <w:hyperlink w:anchor="philosophy-and-theology">
        <w:r>
          <w:rPr>
            <w:color w:val="000000"/>
          </w:rPr>
          <w:t xml:space="preserve">Philosophy and theology</w:t>
        </w:r>
      </w:hyperlink>
    </w:p>
    <w:p>
      <w:bookmarkStart w:id="127" w:name="infection-lameness-and-lethe"/>
      <w:pPr>
        <w:pStyle w:val="Heading2"/>
      </w:pPr>
      <w:r>
        <w:rPr>
          <w:b w:val="0"/>
          <w:i w:val="0"/>
        </w:rPr>
        <w:t>Infection, lameness and Lethe</w:t>
      </w:r>
      <w:bookmarkEnd w:id="127"/>
    </w:p>
    <w:p>
      <w:pPr>
        <w:keepNext/>
        <w:widowControl/>
      </w:pPr>
      <w:r>
        <w:rPr>
          <w:b/>
          <w:i w:val="0"/>
        </w:rPr>
        <w:t>Latin:</w:t>
      </w:r>
      <w:r>
        <w:rPr>
          <w:b w:val="0"/>
          <w:i w:val="0"/>
        </w:rPr>
        <w:t xml:space="preserve"> </w:t>
      </w:r>
      <w:r>
        <w:rPr>
          <w:b w:val="0"/>
          <w:i/>
        </w:rPr>
        <w:t>inficitur</w:t>
      </w:r>
      <w:r>
        <w:rPr>
          <w:b w:val="0"/>
          <w:i w:val="0"/>
        </w:rPr>
        <w:t xml:space="preserve">; </w:t>
      </w:r>
      <w:r>
        <w:rPr>
          <w:b w:val="0"/>
          <w:i/>
        </w:rPr>
        <w:t>inquinetur</w:t>
      </w:r>
      <w:r>
        <w:rPr>
          <w:b w:val="0"/>
          <w:i w:val="0"/>
        </w:rPr>
        <w:t xml:space="preserve">; </w:t>
      </w:r>
      <w:r>
        <w:rPr>
          <w:b w:val="0"/>
          <w:i/>
        </w:rPr>
        <w:t>claudicat</w:t>
      </w:r>
      <w:r>
        <w:rPr>
          <w:b w:val="0"/>
          <w:i w:val="0"/>
        </w:rPr>
        <w:t xml:space="preserve">; </w:t>
      </w:r>
      <w:r>
        <w:rPr>
          <w:b w:val="0"/>
          <w:i/>
        </w:rPr>
        <w:t>Letheo flumine</w:t>
      </w:r>
      <w:r>
        <w:rPr>
          <w:b w:val="0"/>
          <w:i w:val="0"/>
        </w:rPr>
        <w:t xml:space="preserve">; </w:t>
      </w:r>
      <w:r>
        <w:rPr>
          <w:b w:val="0"/>
          <w:i/>
        </w:rPr>
        <w:t>mergitur</w:t>
      </w:r>
      <w:r>
        <w:rPr>
          <w:b w:val="0"/>
          <w:i w:val="0"/>
        </w:rPr>
        <w:t xml:space="preserve">; </w:t>
      </w:r>
      <w:r>
        <w:rPr>
          <w:b w:val="0"/>
          <w:i/>
        </w:rPr>
        <w:t>roboratur</w:t>
      </w:r>
      <w:r>
        <w:rPr>
          <w:b w:val="0"/>
          <w:i w:val="0"/>
        </w:rPr>
        <w:t>.</w:t>
      </w:r>
    </w:p>
    <w:p>
      <w:pPr>
        <w:keepNext/>
        <w:widowControl/>
      </w:pPr>
      <w:r>
        <w:rPr>
          <w:b/>
          <w:i w:val="0"/>
        </w:rPr>
        <w:t>The word.</w:t>
      </w:r>
    </w:p>
    <w:p>
      <w:pPr>
        <w:widowControl/>
      </w:pPr>
      <w:r>
        <w:rPr>
          <w:b w:val="0"/>
          <w:i/>
        </w:rPr>
        <w:t>Inficere</w:t>
      </w:r>
      <w:r>
        <w:rPr>
          <w:b w:val="0"/>
          <w:i w:val="0"/>
        </w:rPr>
        <w:t xml:space="preserve"> can stain, imbue or infect; in these passages it describes form’s impairment in matter. </w:t>
      </w:r>
      <w:r>
        <w:rPr>
          <w:b w:val="0"/>
          <w:i/>
        </w:rPr>
        <w:t>Claudicare</w:t>
      </w:r>
      <w:r>
        <w:rPr>
          <w:b w:val="0"/>
          <w:i w:val="0"/>
        </w:rPr>
        <w:t xml:space="preserve"> is to limp, here to act inadequately. </w:t>
      </w:r>
      <w:r>
        <w:rPr>
          <w:b w:val="0"/>
          <w:i/>
        </w:rPr>
        <w:t>Mergere</w:t>
      </w:r>
      <w:r>
        <w:rPr>
          <w:b w:val="0"/>
          <w:i w:val="0"/>
        </w:rPr>
        <w:t xml:space="preserve"> plunges beneath a surface; </w:t>
      </w:r>
      <w:r>
        <w:rPr>
          <w:b w:val="0"/>
          <w:i/>
        </w:rPr>
        <w:t>roborare</w:t>
      </w:r>
      <w:r>
        <w:rPr>
          <w:b w:val="0"/>
          <w:i w:val="0"/>
        </w:rPr>
        <w:t xml:space="preserve"> strengthens. </w:t>
      </w:r>
      <w:r>
        <w:rPr>
          <w:b w:val="0"/>
          <w:i/>
        </w:rPr>
        <w:t>Letheo</w:t>
      </w:r>
      <w:r>
        <w:rPr>
          <w:b w:val="0"/>
          <w:i w:val="0"/>
        </w:rPr>
        <w:t xml:space="preserve"> qualifies a river used in an explicitly comparative image.</w:t>
      </w:r>
    </w:p>
    <w:p>
      <w:pPr>
        <w:keepNext/>
        <w:widowControl/>
      </w:pPr>
      <w:r>
        <w:rPr>
          <w:b/>
          <w:i w:val="0"/>
        </w:rPr>
        <w:t>In the Platonic Theology.</w:t>
      </w:r>
    </w:p>
    <w:p>
      <w:pPr>
        <w:widowControl/>
      </w:pPr>
      <w:r>
        <w:rPr>
          <w:b w:val="0"/>
          <w:i w:val="0"/>
        </w:rPr>
        <w:t xml:space="preserve">Quality retains form’s activity but is divided and impeded in the </w:t>
      </w:r>
      <w:r>
        <w:t>“</w:t>
      </w:r>
      <w:r>
        <w:rPr>
          <w:b w:val="0"/>
          <w:i w:val="0"/>
        </w:rPr>
        <w:t>womb of matter.</w:t>
      </w:r>
      <w:r>
        <w:t>”</w:t>
      </w:r>
      <w:r>
        <w:rPr>
          <w:b w:val="0"/>
          <w:i w:val="0"/>
        </w:rPr>
        <w:t xml:space="preserve"> Ficino calls this a taint: simplicity becomes divisibility, activity becomes liability to passion, and agility becomes ineptitude. He later says quality </w:t>
      </w:r>
      <w:r>
        <w:t>“</w:t>
      </w:r>
      <w:r>
        <w:rPr>
          <w:b w:val="0"/>
          <w:i w:val="0"/>
        </w:rPr>
        <w:t>limps</w:t>
      </w:r>
      <w:r>
        <w:t>”</w:t>
      </w:r>
      <w:r>
        <w:rPr>
          <w:b w:val="0"/>
          <w:i w:val="0"/>
        </w:rPr>
        <w:t xml:space="preserve"> because, from its birth, it is scattered through material dimensions and plunged </w:t>
      </w:r>
      <w:r>
        <w:t>“</w:t>
      </w:r>
      <w:r>
        <w:rPr>
          <w:b w:val="0"/>
          <w:i w:val="0"/>
        </w:rPr>
        <w:t>as it were</w:t>
      </w:r>
      <w:r>
        <w:t>”</w:t>
      </w:r>
      <w:r>
        <w:rPr>
          <w:b w:val="0"/>
          <w:i w:val="0"/>
        </w:rPr>
        <w:t xml:space="preserve"> into Lethe. The metaphor marks lost effective independence; the passage does not offer a literal river as a physical ingredient in matter. A higher living cause must strengthen and direct the impaired quality. The movement from infection and lameness to reinforcement gives a vivid causal account of why local action is real but insufficient.</w:t>
      </w:r>
    </w:p>
    <w:p>
      <w:pPr>
        <w:keepNext/>
        <w:widowControl/>
      </w:pPr>
      <w:r>
        <w:rPr>
          <w:b/>
          <w:i w:val="0"/>
        </w:rPr>
        <w:t>The places.</w:t>
      </w:r>
    </w:p>
    <w:p>
      <w:pPr>
        <w:ind w:left="187" w:hanging="187"/>
      </w:pPr>
      <w:r>
        <w:t xml:space="preserve">• </w:t>
      </w:r>
      <w:r>
        <w:rPr>
          <w:b/>
          <w:i w:val="0"/>
        </w:rPr>
        <w:t>I.3.1, PDF 28–29.</w:t>
      </w:r>
      <w:r>
        <w:rPr>
          <w:b w:val="0"/>
          <w:i w:val="0"/>
        </w:rPr>
        <w:t xml:space="preserve"> The contamination metaphor spells out three losses suffered by material form</w:t>
      </w:r>
    </w:p>
    <w:p>
      <w:pPr>
        <w:ind w:left="187" w:hanging="187"/>
      </w:pPr>
      <w:r>
        <w:t xml:space="preserve">• </w:t>
      </w:r>
      <w:r>
        <w:rPr>
          <w:b/>
          <w:i w:val="0"/>
        </w:rPr>
        <w:t>I.3.20–21, PDF 42–45.</w:t>
      </w:r>
      <w:r>
        <w:rPr>
          <w:b w:val="0"/>
          <w:i w:val="0"/>
        </w:rPr>
        <w:t xml:space="preserve"> Lameness and the Lethe simile characterize inadequate action</w:t>
      </w:r>
    </w:p>
    <w:p>
      <w:pPr>
        <w:ind w:left="187" w:hanging="187"/>
      </w:pPr>
      <w:r>
        <w:t xml:space="preserve">• </w:t>
      </w:r>
      <w:r>
        <w:rPr>
          <w:b/>
          <w:i w:val="0"/>
        </w:rPr>
        <w:t>I.3.22, PDF 44–45.</w:t>
      </w:r>
      <w:r>
        <w:rPr>
          <w:b w:val="0"/>
          <w:i w:val="0"/>
        </w:rPr>
        <w:t xml:space="preserve"> Strengthening by a living source answers the inadequacy</w:t>
      </w:r>
    </w:p>
    <w:p>
      <w:pPr>
        <w:ind w:left="187" w:hanging="187"/>
      </w:pPr>
      <w:r>
        <w:t xml:space="preserve">• </w:t>
      </w:r>
      <w:r>
        <w:rPr>
          <w:b/>
          <w:i w:val="0"/>
        </w:rPr>
        <w:t>I.3.32, PDF 52–53.</w:t>
      </w:r>
      <w:r>
        <w:rPr>
          <w:b w:val="0"/>
          <w:i w:val="0"/>
        </w:rPr>
        <w:t xml:space="preserve"> A maker mingled with and tainted by its work cannot be the supreme architect</w:t>
      </w:r>
    </w:p>
    <w:p>
      <w:pPr>
        <w:keepNext/>
        <w:widowControl/>
      </w:pPr>
      <w:r>
        <w:rPr>
          <w:b/>
          <w:i w:val="0"/>
        </w:rPr>
        <w:t>In this edition.</w:t>
      </w:r>
    </w:p>
    <w:p>
      <w:pPr>
        <w:widowControl/>
      </w:pPr>
      <w:r>
        <w:t>“</w:t>
      </w:r>
      <w:r>
        <w:rPr>
          <w:b w:val="0"/>
          <w:i w:val="0"/>
        </w:rPr>
        <w:t>Infect</w:t>
      </w:r>
      <w:r>
        <w:t>”</w:t>
      </w:r>
      <w:r>
        <w:rPr>
          <w:b w:val="0"/>
          <w:i w:val="0"/>
        </w:rPr>
        <w:t xml:space="preserve"> and </w:t>
      </w:r>
      <w:r>
        <w:t>“</w:t>
      </w:r>
      <w:r>
        <w:rPr>
          <w:b w:val="0"/>
          <w:i w:val="0"/>
        </w:rPr>
        <w:t>taint</w:t>
      </w:r>
      <w:r>
        <w:t>”</w:t>
      </w:r>
      <w:r>
        <w:rPr>
          <w:b w:val="0"/>
          <w:i w:val="0"/>
        </w:rPr>
        <w:t xml:space="preserve"> are causal metaphors, not diagnoses. The printed </w:t>
      </w:r>
      <w:r>
        <w:rPr>
          <w:b w:val="0"/>
          <w:i/>
        </w:rPr>
        <w:t>quasi</w:t>
      </w:r>
      <w:r>
        <w:rPr>
          <w:b w:val="0"/>
          <w:i w:val="0"/>
        </w:rPr>
        <w:t xml:space="preserve"> and </w:t>
      </w:r>
      <w:r>
        <w:rPr>
          <w:b w:val="0"/>
          <w:i/>
        </w:rPr>
        <w:t>quodammodo</w:t>
      </w:r>
      <w:r>
        <w:rPr>
          <w:b w:val="0"/>
          <w:i w:val="0"/>
        </w:rPr>
        <w:t xml:space="preserve"> constrain the Lethe comparison. The supplied passages name the river without explaining a full mythological narrative, so this article does not supply one as though Ficino had told it.</w:t>
      </w:r>
    </w:p>
    <w:p>
      <w:pPr>
        <w:keepNext/>
        <w:widowControl/>
      </w:pPr>
      <w:r>
        <w:rPr>
          <w:b/>
          <w:i w:val="0"/>
        </w:rPr>
        <w:t>See also.</w:t>
      </w:r>
    </w:p>
    <w:p>
      <w:pPr>
        <w:widowControl/>
      </w:pPr>
      <w:hyperlink w:anchor="purity-and-mixture">
        <w:r>
          <w:rPr>
            <w:color w:val="000000"/>
          </w:rPr>
          <w:t xml:space="preserve">Purity and mixture</w:t>
        </w:r>
      </w:hyperlink>
      <w:r>
        <w:rPr>
          <w:b w:val="0"/>
          <w:i w:val="0"/>
        </w:rPr>
        <w:t xml:space="preserve">; </w:t>
      </w:r>
      <w:hyperlink w:anchor="quality">
        <w:r>
          <w:rPr>
            <w:color w:val="000000"/>
          </w:rPr>
          <w:t xml:space="preserve">Quality</w:t>
        </w:r>
      </w:hyperlink>
      <w:r>
        <w:rPr>
          <w:b w:val="0"/>
          <w:i w:val="0"/>
        </w:rPr>
        <w:t xml:space="preserve">; </w:t>
      </w:r>
      <w:hyperlink w:anchor="life">
        <w:r>
          <w:rPr>
            <w:color w:val="000000"/>
          </w:rPr>
          <w:t xml:space="preserve">Life</w:t>
        </w:r>
      </w:hyperlink>
      <w:r>
        <w:rPr>
          <w:b w:val="0"/>
          <w:i w:val="0"/>
        </w:rPr>
        <w:t xml:space="preserve">; </w:t>
      </w:r>
      <w:hyperlink w:anchor="fountain-womb-and-offspring">
        <w:r>
          <w:rPr>
            <w:color w:val="000000"/>
          </w:rPr>
          <w:t xml:space="preserve">Fountain, womb and offspring</w:t>
        </w:r>
      </w:hyperlink>
      <w:r>
        <w:rPr>
          <w:b w:val="0"/>
          <w:i w:val="0"/>
        </w:rPr>
        <w:t>.</w:t>
      </w:r>
    </w:p>
    <w:p>
      <w:bookmarkStart w:id="128" w:name="infinity"/>
      <w:pPr>
        <w:pStyle w:val="Heading2"/>
      </w:pPr>
      <w:r>
        <w:rPr>
          <w:b w:val="0"/>
          <w:i w:val="0"/>
        </w:rPr>
        <w:t>Infinity</w:t>
      </w:r>
      <w:bookmarkEnd w:id="128"/>
    </w:p>
    <w:p>
      <w:pPr>
        <w:keepNext/>
        <w:widowControl/>
      </w:pPr>
      <w:r>
        <w:rPr>
          <w:b/>
          <w:i w:val="0"/>
        </w:rPr>
        <w:t>Latin:</w:t>
      </w:r>
      <w:r>
        <w:rPr>
          <w:b w:val="0"/>
          <w:i w:val="0"/>
        </w:rPr>
        <w:t xml:space="preserve"> </w:t>
      </w:r>
      <w:r>
        <w:rPr>
          <w:b w:val="0"/>
          <w:i/>
        </w:rPr>
        <w:t>infinitus</w:t>
      </w:r>
      <w:r>
        <w:rPr>
          <w:b w:val="0"/>
          <w:i w:val="0"/>
        </w:rPr>
        <w:t xml:space="preserve">; </w:t>
      </w:r>
      <w:r>
        <w:rPr>
          <w:b w:val="0"/>
          <w:i/>
        </w:rPr>
        <w:t>finitus</w:t>
      </w:r>
      <w:r>
        <w:rPr>
          <w:b w:val="0"/>
          <w:i w:val="0"/>
        </w:rPr>
        <w:t xml:space="preserve">; </w:t>
      </w:r>
      <w:r>
        <w:rPr>
          <w:b w:val="0"/>
          <w:i/>
        </w:rPr>
        <w:t>in infinitum</w:t>
      </w:r>
      <w:r>
        <w:rPr>
          <w:b w:val="0"/>
          <w:i w:val="0"/>
        </w:rPr>
        <w:t xml:space="preserve">; </w:t>
      </w:r>
      <w:r>
        <w:rPr>
          <w:b w:val="0"/>
          <w:i/>
        </w:rPr>
        <w:t>absque fine</w:t>
      </w:r>
      <w:r>
        <w:rPr>
          <w:b w:val="0"/>
          <w:i w:val="0"/>
        </w:rPr>
        <w:t xml:space="preserve">; </w:t>
      </w:r>
      <w:r>
        <w:rPr>
          <w:b w:val="0"/>
          <w:i/>
        </w:rPr>
        <w:t>absque termino</w:t>
      </w:r>
      <w:r>
        <w:rPr>
          <w:b w:val="0"/>
          <w:i w:val="0"/>
        </w:rPr>
        <w:t xml:space="preserve">; </w:t>
      </w:r>
      <w:r>
        <w:rPr>
          <w:b w:val="0"/>
          <w:i/>
        </w:rPr>
        <w:t>infinitas</w:t>
      </w:r>
      <w:r>
        <w:rPr>
          <w:b w:val="0"/>
          <w:i w:val="0"/>
        </w:rPr>
        <w:t xml:space="preserve">; </w:t>
      </w:r>
      <w:r>
        <w:rPr>
          <w:b w:val="0"/>
          <w:i/>
        </w:rPr>
        <w:t>immensus</w:t>
      </w:r>
      <w:r>
        <w:rPr>
          <w:b w:val="0"/>
          <w:i w:val="0"/>
        </w:rPr>
        <w:t xml:space="preserve">; </w:t>
      </w:r>
      <w:r>
        <w:rPr>
          <w:b w:val="0"/>
          <w:i/>
        </w:rPr>
        <w:t>innumerabilis</w:t>
      </w:r>
      <w:r>
        <w:rPr>
          <w:b w:val="0"/>
          <w:i w:val="0"/>
        </w:rPr>
        <w:t xml:space="preserve">; </w:t>
      </w:r>
      <w:r>
        <w:rPr>
          <w:b w:val="0"/>
          <w:i/>
        </w:rPr>
        <w:t>innumerus</w:t>
      </w:r>
      <w:r>
        <w:rPr>
          <w:b w:val="0"/>
          <w:i w:val="0"/>
        </w:rPr>
        <w:t xml:space="preserve">; </w:t>
      </w:r>
      <w:r>
        <w:rPr>
          <w:b w:val="0"/>
          <w:i/>
        </w:rPr>
        <w:t>interminatus</w:t>
      </w:r>
      <w:r>
        <w:rPr>
          <w:b w:val="0"/>
          <w:i w:val="0"/>
        </w:rPr>
        <w:t xml:space="preserve">; </w:t>
      </w:r>
      <w:r>
        <w:rPr>
          <w:b w:val="0"/>
          <w:i/>
        </w:rPr>
        <w:t>actu</w:t>
      </w:r>
      <w:r>
        <w:rPr>
          <w:b w:val="0"/>
          <w:i w:val="0"/>
        </w:rPr>
        <w:t xml:space="preserve">; </w:t>
      </w:r>
      <w:r>
        <w:rPr>
          <w:b w:val="0"/>
          <w:i/>
        </w:rPr>
        <w:t>potentia</w:t>
      </w:r>
      <w:r>
        <w:rPr>
          <w:b w:val="0"/>
          <w:i w:val="0"/>
        </w:rPr>
        <w:t xml:space="preserve">; </w:t>
      </w:r>
      <w:r>
        <w:rPr>
          <w:b w:val="0"/>
          <w:i/>
        </w:rPr>
        <w:t>potentia entis</w:t>
      </w:r>
      <w:r>
        <w:rPr>
          <w:b w:val="0"/>
          <w:i w:val="0"/>
        </w:rPr>
        <w:t xml:space="preserve">; </w:t>
      </w:r>
      <w:r>
        <w:rPr>
          <w:b w:val="0"/>
          <w:i/>
        </w:rPr>
        <w:t>potestas</w:t>
      </w:r>
      <w:r>
        <w:rPr>
          <w:b w:val="0"/>
          <w:i w:val="0"/>
        </w:rPr>
        <w:t xml:space="preserve">; </w:t>
      </w:r>
      <w:r>
        <w:rPr>
          <w:b w:val="0"/>
          <w:i/>
        </w:rPr>
        <w:t>contradictio</w:t>
      </w:r>
      <w:r>
        <w:rPr>
          <w:b w:val="0"/>
          <w:i w:val="0"/>
        </w:rPr>
        <w:t xml:space="preserve">; </w:t>
      </w:r>
      <w:r>
        <w:rPr>
          <w:b w:val="0"/>
          <w:i/>
        </w:rPr>
        <w:t>non ens</w:t>
      </w:r>
      <w:r>
        <w:rPr>
          <w:b w:val="0"/>
          <w:i w:val="0"/>
        </w:rPr>
        <w:t xml:space="preserve">; </w:t>
      </w:r>
      <w:r>
        <w:rPr>
          <w:b w:val="0"/>
          <w:i/>
        </w:rPr>
        <w:t>infinita</w:t>
      </w:r>
      <w:r>
        <w:rPr>
          <w:b w:val="0"/>
          <w:i w:val="0"/>
        </w:rPr>
        <w:t xml:space="preserve">; </w:t>
      </w:r>
      <w:r>
        <w:rPr>
          <w:b w:val="0"/>
          <w:i/>
        </w:rPr>
        <w:t>innumerabiles</w:t>
      </w:r>
      <w:r>
        <w:rPr>
          <w:b w:val="0"/>
          <w:i w:val="0"/>
        </w:rPr>
        <w:t>; potentia infinita; actu infinitas; capacitas; divisio continui; multiplicatio numeri; adaequari</w:t>
      </w:r>
    </w:p>
    <w:p>
      <w:pPr>
        <w:keepNext/>
        <w:widowControl/>
      </w:pPr>
      <w:r>
        <w:rPr>
          <w:b/>
          <w:i w:val="0"/>
        </w:rPr>
        <w:t>The word.</w:t>
      </w:r>
    </w:p>
    <w:p>
      <w:pPr>
        <w:widowControl/>
      </w:pPr>
      <w:r>
        <w:rPr>
          <w:b w:val="0"/>
          <w:i w:val="0"/>
        </w:rPr>
        <w:t>Infinitus and immensus mark what is unbounded or immeasurable; innumerus and innumerabilis concern number; interminatus lacks an assigned terminus. Infinity in act differs from an indefinitely extendable capacity or sequence. The same word can also name indeterminate potency opposed to limit.</w:t>
      </w:r>
    </w:p>
    <w:p>
      <w:pPr>
        <w:widowControl/>
      </w:pPr>
      <w:r>
        <w:rPr>
          <w:b w:val="0"/>
          <w:i w:val="0"/>
        </w:rPr>
        <w:t>Ficino distinguishes qualified or potential infinities from infinity in act. Adaequari means being equal or commensurate with; it does not mean being reduced to a finite measurement.</w:t>
      </w:r>
    </w:p>
    <w:p>
      <w:pPr>
        <w:keepNext/>
        <w:widowControl/>
      </w:pPr>
      <w:r>
        <w:rPr>
          <w:b/>
          <w:i w:val="0"/>
        </w:rPr>
        <w:t>In the Platonic Theology.</w:t>
      </w:r>
    </w:p>
    <w:p>
      <w:pPr>
        <w:widowControl/>
      </w:pPr>
      <w:r>
        <w:rPr>
          <w:b w:val="0"/>
          <w:i w:val="0"/>
        </w:rPr>
        <w:t>Infinity has several distinct meanings in the argument. Bodily matter is indefinitely divisible; this does not give any actual body infinite spatial extent. Matter can continue receiving forms, generation can succeed generation, time and motion can proceed, a continuum can be divided, and numbers can be multiplied without an assigned end. Such potential progression or reception differs from God’s actual infinity: divine power has no passive or externally imposed limit, and divine understanding knows without completing a sequence of enumeration.</w:t>
      </w:r>
    </w:p>
    <w:p>
      <w:pPr>
        <w:widowControl/>
      </w:pPr>
      <w:r>
        <w:rPr>
          <w:b w:val="0"/>
          <w:i w:val="0"/>
        </w:rPr>
        <w:t>Ficino rejects an infinite regress of derivative causes because it never supplies a sufficient first source, rather than rejecting every kind of infinity. His analogy of one flowing liquid unable finally to contain another explains the need for a stable basis. A first principle requires unlimited power to exist perpetually through itself, and the distance between souls and that source is called infinite, unlike their finite distance toward matter. These are hierarchical and causal comparisons, not distances measured through space. Likewise, the assertion that one infinite is neither broader nor narrower than another belongs to this setting, not a modern classification of mathematical infinities. Angelic abundance described as almost innumerable does not by itself establish an actually infinite population.</w:t>
      </w:r>
    </w:p>
    <w:p>
      <w:pPr>
        <w:widowControl/>
      </w:pPr>
      <w:r>
        <w:rPr>
          <w:b w:val="0"/>
          <w:i w:val="0"/>
        </w:rPr>
        <w:t>The finite intellect’s ability to think another number or figure supplies an argument for divine knowledge: God cannot be confined to a fixed total that human thought could surpass, nor have a further capacity left unrealized. God’s infinite essence is an inexhaustible exemplar of possible likenesses. But complete knowledge raises an apparent difficulty: if comprehension encloses within limits, can it comprehend the infinite? Ficino distinguishes being bounded by another from perfect self-presence. God knows himself without an external measure restricting him. Infinite multitude can thus be said to be known as finite only with the immediate qualification that it is simple in essence and multiple in a certain respect. The formulation describes unified cognition, not a finite correction of an infinite total.</w:t>
      </w:r>
    </w:p>
    <w:p>
      <w:pPr>
        <w:widowControl/>
      </w:pPr>
      <w:r>
        <w:rPr>
          <w:b w:val="0"/>
          <w:i w:val="0"/>
        </w:rPr>
        <w:t>Divine productive capacity also exceeds the actual world’s contents. Whatever involves no contradiction is within the potency of being and subject to divine power. Alternative numbers, magnitudes, and intervals of stars illustrate possibilities absent from the actual order. Realizing some and not others requires free selection; innumerable possible images need not all exist. Contradiction marks what fails to count as a possible being, rather than an independent power competing with God.</w:t>
      </w:r>
    </w:p>
    <w:p>
      <w:pPr>
        <w:widowControl/>
      </w:pPr>
      <w:r>
        <w:rPr>
          <w:b w:val="0"/>
          <w:i w:val="0"/>
        </w:rPr>
        <w:t>Finally, the infinite opposed to limit in Ficino’s interpretation of the Philebus is indeterminate potency. God is free of that infinite because he is pure act, without thereby becoming finite in power. Actual divine infinity, receptive indetermination, endlessly extendable thought, and an infinite chain of dependent causes must therefore remain distinct.</w:t>
      </w:r>
    </w:p>
    <w:p>
      <w:pPr>
        <w:widowControl/>
      </w:pPr>
      <w:r>
        <w:rPr>
          <w:b w:val="0"/>
          <w:i w:val="0"/>
        </w:rPr>
        <w:t>The list in II.10.3–4 includes matter’s receptivity, progression of motion and time, generational succession, division of a continuum, and multiplication of number. They are different ways an unending continuation is available, not interchangeable physical objects. God must know them and the limitless modes in which the infinite exemplar can be imitated. The response to the comprehension objection then turns on agency: being bounded by another differs from an infinite reality’s self-comprehension. Self-adequacy confirms rather than cancels infinity in Ficino’s account.</w:t>
      </w:r>
    </w:p>
    <w:p>
      <w:pPr>
        <w:keepNext/>
        <w:widowControl/>
      </w:pPr>
      <w:r>
        <w:rPr>
          <w:b/>
          <w:i w:val="0"/>
        </w:rPr>
        <w:t>The places.</w:t>
      </w:r>
    </w:p>
    <w:p>
      <w:pPr>
        <w:ind w:left="187" w:hanging="187"/>
      </w:pPr>
      <w:r>
        <w:t xml:space="preserve">• </w:t>
      </w:r>
      <w:r>
        <w:rPr>
          <w:b/>
          <w:i w:val="0"/>
        </w:rPr>
        <w:t>II.3.9 (PDF pp. 120–121)</w:t>
      </w:r>
      <w:r>
        <w:rPr>
          <w:b w:val="0"/>
          <w:i w:val="0"/>
        </w:rPr>
        <w:t>. An endless hierarchy would collapse distinctions of rank and the intelligibility of causes</w:t>
      </w:r>
    </w:p>
    <w:p>
      <w:pPr>
        <w:ind w:left="187" w:hanging="187"/>
      </w:pPr>
      <w:r>
        <w:t xml:space="preserve">• </w:t>
      </w:r>
      <w:r>
        <w:rPr>
          <w:b/>
          <w:i w:val="0"/>
        </w:rPr>
        <w:t>II.4.1 (PDF pp. 122–123)</w:t>
      </w:r>
      <w:r>
        <w:rPr>
          <w:b w:val="0"/>
          <w:i w:val="0"/>
        </w:rPr>
        <w:t>. Pure act is argued to lack a passive or externally imposed limit</w:t>
      </w:r>
    </w:p>
    <w:p>
      <w:pPr>
        <w:ind w:left="187" w:hanging="187"/>
      </w:pPr>
      <w:r>
        <w:t xml:space="preserve">• </w:t>
      </w:r>
      <w:r>
        <w:rPr>
          <w:b/>
          <w:i w:val="0"/>
        </w:rPr>
        <w:t>II.10.3 (PDF pp. 176–177)</w:t>
      </w:r>
      <w:r>
        <w:rPr>
          <w:b w:val="0"/>
          <w:i w:val="0"/>
        </w:rPr>
        <w:t>. Potential infinities include reception, succession, motion, and time</w:t>
      </w:r>
    </w:p>
    <w:p>
      <w:pPr>
        <w:ind w:left="187" w:hanging="187"/>
      </w:pPr>
      <w:r>
        <w:t xml:space="preserve">• </w:t>
      </w:r>
      <w:r>
        <w:rPr>
          <w:b/>
          <w:i w:val="0"/>
        </w:rPr>
        <w:t>II.10.10 (PDF pp. 180–181)</w:t>
      </w:r>
      <w:r>
        <w:rPr>
          <w:b w:val="0"/>
          <w:i w:val="0"/>
        </w:rPr>
        <w:t>. Infinite self-comprehension is distinguished from external bounding and successive enumeration</w:t>
      </w:r>
    </w:p>
    <w:p>
      <w:pPr>
        <w:ind w:left="187" w:hanging="187"/>
      </w:pPr>
      <w:r>
        <w:t xml:space="preserve">• </w:t>
      </w:r>
      <w:r>
        <w:rPr>
          <w:b/>
          <w:i w:val="0"/>
        </w:rPr>
        <w:t>III.1.11 (PDF pp. 246–247)</w:t>
      </w:r>
      <w:r>
        <w:rPr>
          <w:b w:val="0"/>
          <w:i w:val="0"/>
        </w:rPr>
        <w:t>. The limit–infinite pair is glossed as act–potency</w:t>
      </w:r>
    </w:p>
    <w:p>
      <w:pPr>
        <w:widowControl/>
      </w:pPr>
      <w:r>
        <w:rPr>
          <w:b/>
          <w:i w:val="0"/>
        </w:rPr>
        <w:t>Further passage references.</w:t>
      </w:r>
      <w:r>
        <w:rPr>
          <w:b w:val="0"/>
          <w:i w:val="0"/>
        </w:rPr>
        <w:t xml:space="preserve"> I.2.7 (PDF pp. 22–23); I.3.6, I.3.24, I.3.30–I.3.32 (pp. 32–33, 46–47, 50–53); I.5.15, I.5.20, I.5.23–I.5.25 (pp. 70–79); II.3.1–9, pp. 116–121; II.4.1–8, pp. 122–125; II.10.1–12, pp. 176–181; II.12.15–18, PDF 210–213; III.1.9–11, PDF 244–247.</w:t>
      </w:r>
    </w:p>
    <w:p>
      <w:pPr>
        <w:ind w:left="187" w:hanging="187"/>
      </w:pPr>
      <w:r>
        <w:t xml:space="preserve">• </w:t>
      </w:r>
      <w:r>
        <w:rPr>
          <w:b w:val="0"/>
          <w:i w:val="0"/>
        </w:rPr>
        <w:t>II.10.3, II.10.4 (PDF pp. 176–177): Five examples distinguish kinds of potential infinity</w:t>
      </w:r>
    </w:p>
    <w:p>
      <w:pPr>
        <w:ind w:left="187" w:hanging="187"/>
      </w:pPr>
      <w:r>
        <w:t xml:space="preserve">• </w:t>
      </w:r>
      <w:r>
        <w:rPr>
          <w:b w:val="0"/>
          <w:i w:val="0"/>
        </w:rPr>
        <w:t>II.10.5, II.10.7 (PDF pp. 176–179): The inexhaustible exemplar and human indefinite progress support unlimited divine knowledge</w:t>
      </w:r>
    </w:p>
    <w:p>
      <w:pPr>
        <w:ind w:left="187" w:hanging="187"/>
      </w:pPr>
      <w:r>
        <w:t xml:space="preserve">• </w:t>
      </w:r>
      <w:r>
        <w:rPr>
          <w:b w:val="0"/>
          <w:i w:val="0"/>
        </w:rPr>
        <w:t>II.10.8, II.10.9, II.10.10 (PDF pp. 178–181): Self-comprehension is distinguished from external bounding</w:t>
      </w:r>
    </w:p>
    <w:p>
      <w:pPr>
        <w:keepNext/>
        <w:widowControl/>
      </w:pPr>
      <w:r>
        <w:rPr>
          <w:b/>
          <w:i w:val="0"/>
        </w:rPr>
        <w:t>In this edition.</w:t>
      </w:r>
    </w:p>
    <w:p>
      <w:pPr>
        <w:widowControl/>
      </w:pPr>
      <w:r>
        <w:rPr>
          <w:b w:val="0"/>
          <w:i w:val="0"/>
        </w:rPr>
        <w:t xml:space="preserve">II.10.10 immediately explains </w:t>
      </w:r>
      <w:r>
        <w:t>“</w:t>
      </w:r>
      <w:r>
        <w:rPr>
          <w:b w:val="0"/>
          <w:i w:val="0"/>
        </w:rPr>
        <w:t>as finite</w:t>
      </w:r>
      <w:r>
        <w:t>”</w:t>
      </w:r>
      <w:r>
        <w:rPr>
          <w:b w:val="0"/>
          <w:i w:val="0"/>
        </w:rPr>
        <w:t xml:space="preserve"> by simplicity in essence and multiplicity in a certain rational respect. It does not reduce an infinite multitude to a finite count. In III.1.11 the </w:t>
      </w:r>
      <w:r>
        <w:t>“</w:t>
      </w:r>
      <w:r>
        <w:rPr>
          <w:b w:val="0"/>
          <w:i w:val="0"/>
        </w:rPr>
        <w:t>infinite</w:t>
      </w:r>
      <w:r>
        <w:t>”</w:t>
      </w:r>
      <w:r>
        <w:rPr>
          <w:b w:val="0"/>
          <w:i w:val="0"/>
        </w:rPr>
        <w:t xml:space="preserve"> interpreted through the Philebus is potency, so God’s freedom from it does not retract active divine infinity.</w:t>
      </w:r>
    </w:p>
    <w:p>
      <w:pPr>
        <w:widowControl/>
      </w:pPr>
      <w:r>
        <w:t>“</w:t>
      </w:r>
      <w:r>
        <w:rPr>
          <w:b w:val="0"/>
          <w:i w:val="0"/>
        </w:rPr>
        <w:t>Actually infinite things</w:t>
      </w:r>
      <w:r>
        <w:t>”</w:t>
      </w:r>
      <w:r>
        <w:rPr>
          <w:b w:val="0"/>
          <w:i w:val="0"/>
        </w:rPr>
        <w:t xml:space="preserve"> in II.10.7 concerns the stated scope and actuality of divine cognition. It should not be expanded without argument into an assertion that an actually infinite material universe exists.</w:t>
      </w:r>
    </w:p>
    <w:p>
      <w:pPr>
        <w:keepNext/>
        <w:widowControl/>
      </w:pPr>
      <w:r>
        <w:rPr>
          <w:b/>
          <w:i w:val="0"/>
        </w:rPr>
        <w:t>See also.</w:t>
      </w:r>
    </w:p>
    <w:p>
      <w:pPr>
        <w:widowControl/>
      </w:pPr>
      <w:hyperlink w:anchor="number">
        <w:r>
          <w:rPr>
            <w:color w:val="000000"/>
          </w:rPr>
          <w:t xml:space="preserve">Number</w:t>
        </w:r>
      </w:hyperlink>
      <w:r>
        <w:rPr>
          <w:b w:val="0"/>
          <w:i w:val="0"/>
        </w:rPr>
        <w:t xml:space="preserve">; </w:t>
      </w:r>
      <w:hyperlink w:anchor="unity-and-multiplicity">
        <w:r>
          <w:rPr>
            <w:color w:val="000000"/>
          </w:rPr>
          <w:t xml:space="preserve">Unity and multiplicity</w:t>
        </w:r>
      </w:hyperlink>
      <w:r>
        <w:rPr>
          <w:b w:val="0"/>
          <w:i w:val="0"/>
        </w:rPr>
        <w:t xml:space="preserve">; </w:t>
      </w:r>
      <w:hyperlink w:anchor="cause">
        <w:r>
          <w:rPr>
            <w:color w:val="000000"/>
          </w:rPr>
          <w:t xml:space="preserve">Cause</w:t>
        </w:r>
      </w:hyperlink>
      <w:r>
        <w:rPr>
          <w:b w:val="0"/>
          <w:i w:val="0"/>
        </w:rPr>
        <w:t xml:space="preserve">; </w:t>
      </w:r>
      <w:hyperlink w:anchor="perfection">
        <w:r>
          <w:rPr>
            <w:color w:val="000000"/>
          </w:rPr>
          <w:t xml:space="preserve">Perfection</w:t>
        </w:r>
      </w:hyperlink>
      <w:r>
        <w:rPr>
          <w:b w:val="0"/>
          <w:i w:val="0"/>
        </w:rPr>
        <w:t xml:space="preserve">; </w:t>
      </w:r>
      <w:hyperlink w:anchor="degree-and-mediation">
        <w:r>
          <w:rPr>
            <w:color w:val="000000"/>
          </w:rPr>
          <w:t xml:space="preserve">Degree and mediation</w:t>
        </w:r>
      </w:hyperlink>
      <w:r>
        <w:rPr>
          <w:b w:val="0"/>
          <w:i w:val="0"/>
        </w:rPr>
        <w:t xml:space="preserve">; </w:t>
      </w:r>
      <w:hyperlink w:anchor="power-and-potency">
        <w:r>
          <w:rPr>
            <w:color w:val="000000"/>
          </w:rPr>
          <w:t xml:space="preserve">Power and potency</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ideas-and-exemplars">
        <w:r>
          <w:rPr>
            <w:color w:val="000000"/>
          </w:rPr>
          <w:t xml:space="preserve">Ideas and exemplars</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freedom-and-necessity">
        <w:r>
          <w:rPr>
            <w:color w:val="000000"/>
          </w:rPr>
          <w:t xml:space="preserve">Freedom and necessity</w:t>
        </w:r>
      </w:hyperlink>
      <w:r>
        <w:rPr>
          <w:b w:val="0"/>
          <w:i w:val="0"/>
        </w:rPr>
        <w:t xml:space="preserve">; </w:t>
      </w:r>
      <w:hyperlink w:anchor="nothing-and-nonbeing">
        <w:r>
          <w:rPr>
            <w:color w:val="000000"/>
          </w:rPr>
          <w:t xml:space="preserve">Nothing and nonbeing</w:t>
        </w:r>
      </w:hyperlink>
    </w:p>
    <w:p>
      <w:pPr>
        <w:widowControl/>
      </w:pPr>
      <w:hyperlink w:anchor="counting-and-collective-intuition">
        <w:r>
          <w:rPr>
            <w:color w:val="000000"/>
          </w:rPr>
          <w:t xml:space="preserve">Counting and collective intuition</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number">
        <w:r>
          <w:rPr>
            <w:color w:val="000000"/>
          </w:rPr>
          <w:t xml:space="preserve">Number</w:t>
        </w:r>
      </w:hyperlink>
      <w:r>
        <w:rPr>
          <w:b w:val="0"/>
          <w:i w:val="0"/>
        </w:rPr>
        <w:t xml:space="preserve">; </w:t>
      </w:r>
      <w:hyperlink w:anchor="ideas-and-exemplars">
        <w:r>
          <w:rPr>
            <w:color w:val="000000"/>
          </w:rPr>
          <w:t xml:space="preserve">Ideas and exemplars</w:t>
        </w:r>
      </w:hyperlink>
      <w:r>
        <w:rPr>
          <w:b w:val="0"/>
          <w:i w:val="0"/>
        </w:rPr>
        <w:t>.</w:t>
      </w:r>
    </w:p>
    <w:p>
      <w:bookmarkStart w:id="129" w:name="instrument"/>
      <w:pPr>
        <w:pStyle w:val="Heading2"/>
      </w:pPr>
      <w:r>
        <w:rPr>
          <w:b w:val="0"/>
          <w:i w:val="0"/>
        </w:rPr>
        <w:t>Instrument</w:t>
      </w:r>
      <w:bookmarkEnd w:id="129"/>
    </w:p>
    <w:p>
      <w:pPr>
        <w:keepNext/>
        <w:widowControl/>
      </w:pPr>
      <w:r>
        <w:rPr>
          <w:b/>
          <w:i w:val="0"/>
        </w:rPr>
        <w:t>Latin:</w:t>
      </w:r>
      <w:r>
        <w:rPr>
          <w:b w:val="0"/>
          <w:i w:val="0"/>
        </w:rPr>
        <w:t xml:space="preserve"> </w:t>
      </w:r>
      <w:r>
        <w:rPr>
          <w:b w:val="0"/>
          <w:i/>
        </w:rPr>
        <w:t>instrumentum</w:t>
      </w:r>
      <w:r>
        <w:rPr>
          <w:b w:val="0"/>
          <w:i w:val="0"/>
        </w:rPr>
        <w:t xml:space="preserve">; </w:t>
      </w:r>
      <w:r>
        <w:rPr>
          <w:b w:val="0"/>
          <w:i/>
        </w:rPr>
        <w:t>opifex</w:t>
      </w:r>
      <w:r>
        <w:rPr>
          <w:b w:val="0"/>
          <w:i w:val="0"/>
        </w:rPr>
        <w:t xml:space="preserve">; </w:t>
      </w:r>
      <w:r>
        <w:rPr>
          <w:b w:val="0"/>
          <w:i/>
        </w:rPr>
        <w:t>agens</w:t>
      </w:r>
      <w:r>
        <w:rPr>
          <w:b w:val="0"/>
          <w:i w:val="0"/>
        </w:rPr>
        <w:t xml:space="preserve">; </w:t>
      </w:r>
      <w:r>
        <w:rPr>
          <w:b w:val="0"/>
          <w:i/>
        </w:rPr>
        <w:t>agentia</w:t>
      </w:r>
      <w:r>
        <w:rPr>
          <w:b w:val="0"/>
          <w:i w:val="0"/>
        </w:rPr>
        <w:t xml:space="preserve">; </w:t>
      </w:r>
      <w:r>
        <w:rPr>
          <w:b w:val="0"/>
          <w:i/>
        </w:rPr>
        <w:t>medium</w:t>
      </w:r>
      <w:r>
        <w:rPr>
          <w:b w:val="0"/>
          <w:i w:val="0"/>
        </w:rPr>
        <w:t xml:space="preserve">; </w:t>
      </w:r>
      <w:r>
        <w:rPr>
          <w:b w:val="0"/>
          <w:i/>
        </w:rPr>
        <w:t>media</w:t>
      </w:r>
      <w:r>
        <w:rPr>
          <w:b w:val="0"/>
          <w:i w:val="0"/>
        </w:rPr>
        <w:t xml:space="preserve">; </w:t>
      </w:r>
      <w:r>
        <w:rPr>
          <w:b w:val="0"/>
          <w:i/>
        </w:rPr>
        <w:t>instrumenta</w:t>
      </w:r>
      <w:r>
        <w:rPr>
          <w:b w:val="0"/>
          <w:i w:val="0"/>
        </w:rPr>
        <w:t xml:space="preserve">; </w:t>
      </w:r>
      <w:r>
        <w:rPr>
          <w:b w:val="0"/>
          <w:i/>
        </w:rPr>
        <w:t>artifex</w:t>
      </w:r>
    </w:p>
    <w:p>
      <w:pPr>
        <w:keepNext/>
        <w:widowControl/>
      </w:pPr>
      <w:r>
        <w:rPr>
          <w:b/>
          <w:i w:val="0"/>
        </w:rPr>
        <w:t>The word.</w:t>
      </w:r>
    </w:p>
    <w:p>
      <w:pPr>
        <w:widowControl/>
      </w:pPr>
      <w:r>
        <w:rPr>
          <w:b w:val="0"/>
          <w:i w:val="0"/>
        </w:rPr>
        <w:t>Instrumentum is a means or tool acting through the power of a principal agent; opifex and artifex name the maker or skilled worker. Medium is an intermediary, not necessarily an inert object. Instrumental dependence is a relation of efficacy, not proof that a subordinate cause does nothing.</w:t>
      </w:r>
    </w:p>
    <w:p>
      <w:pPr>
        <w:keepNext/>
        <w:widowControl/>
      </w:pPr>
      <w:r>
        <w:rPr>
          <w:b/>
          <w:i w:val="0"/>
        </w:rPr>
        <w:t>In the Platonic Theology.</w:t>
      </w:r>
    </w:p>
    <w:p>
      <w:pPr>
        <w:widowControl/>
      </w:pPr>
      <w:r>
        <w:rPr>
          <w:b w:val="0"/>
          <w:i w:val="0"/>
        </w:rPr>
        <w:t>An instrument is a real means of action whose efficacy depends on a principal agent. Its dependence does not make it causally useless. The question is whether its power suffices to account for the whole effect, including the effect’s form and ordering. A tool separated from its craftsman does not direct itself toward the intended work, and bodily qualities cannot independently explain the organized generation of living substance.</w:t>
      </w:r>
    </w:p>
    <w:p>
      <w:pPr>
        <w:widowControl/>
      </w:pPr>
      <w:r>
        <w:rPr>
          <w:b w:val="0"/>
          <w:i w:val="0"/>
        </w:rPr>
        <w:t>Book I uses this distinction to analyze fire producing fire. A particular fire is itself an effect before it acts as a producer. Neither another equal fire, the contrary elements, nor a distant heavenly body without an adequate intermediary supplies the sufficient account sought by the argument. Ficino arrives at an incorporeal substance that penetrates bodies, governs them, and employs their qualities as instruments. He does not deny that the qualities act; he denies that their efficacy is self-sufficient or that bare matter independently creates form.</w:t>
      </w:r>
    </w:p>
    <w:p>
      <w:pPr>
        <w:widowControl/>
      </w:pPr>
      <w:r>
        <w:rPr>
          <w:b w:val="0"/>
          <w:i w:val="0"/>
        </w:rPr>
        <w:t>The same relation explains angelic agency in Book II. God gives and preserves the angel’s being, capacity, and activity, so God is the more fundamental source of the angel’s works and their further effects. This is a causal comparison, not a claim that angel is materially constituted like a tool. Intermediaries nevertheless differentiate effects: one sunlight appears red or green through differently colored windows. God’s fundamental agency therefore does not erase subordinate causes. A related argument about divine cognition says that intelligent minds would be unfitting instruments of a first mover wholly devoid of intelligence.</w:t>
      </w:r>
    </w:p>
    <w:p>
      <w:pPr>
        <w:widowControl/>
      </w:pPr>
      <w:r>
        <w:rPr>
          <w:b w:val="0"/>
          <w:i w:val="0"/>
        </w:rPr>
        <w:t>In Book IV, celestial influence requires a proximate living substance to participate in producing substantial life. Heaven also functions as an instrument of divine mind when it prepares bodies for intellectual souls, an effect exceeding heaven’s independent bodily power. IV.1.68 adds a more specific premise: instruments through which living beings generate life are themselves alive, and heaven’s generative role is taken to imply life. That is an additional biological analogy within Ficino’s argument, not part of the word’s basic definition.</w:t>
      </w:r>
    </w:p>
    <w:p>
      <w:pPr>
        <w:keepNext/>
        <w:widowControl/>
      </w:pPr>
      <w:r>
        <w:rPr>
          <w:b/>
          <w:i w:val="0"/>
        </w:rPr>
        <w:t>The places.</w:t>
      </w:r>
    </w:p>
    <w:p>
      <w:pPr>
        <w:ind w:left="187" w:hanging="187"/>
      </w:pPr>
      <w:r>
        <w:t xml:space="preserve">• </w:t>
      </w:r>
      <w:r>
        <w:rPr>
          <w:b/>
          <w:i w:val="0"/>
        </w:rPr>
        <w:t>II.7.23 (PDF pp. 154–155)</w:t>
      </w:r>
      <w:r>
        <w:rPr>
          <w:b w:val="0"/>
          <w:i w:val="0"/>
        </w:rPr>
        <w:t>. God gives and preserves angelic being, power, and action</w:t>
      </w:r>
    </w:p>
    <w:p>
      <w:pPr>
        <w:ind w:left="187" w:hanging="187"/>
      </w:pPr>
      <w:r>
        <w:t xml:space="preserve">• </w:t>
      </w:r>
      <w:r>
        <w:rPr>
          <w:b/>
          <w:i w:val="0"/>
        </w:rPr>
        <w:t>II.7.24 (PDF pp. 154–155)</w:t>
      </w:r>
      <w:r>
        <w:rPr>
          <w:b w:val="0"/>
          <w:i w:val="0"/>
        </w:rPr>
        <w:t>. The craftsman’s tool illustrates the dependence of angelic efficacy</w:t>
      </w:r>
    </w:p>
    <w:p>
      <w:pPr>
        <w:ind w:left="187" w:hanging="187"/>
      </w:pPr>
      <w:r>
        <w:t xml:space="preserve">• </w:t>
      </w:r>
      <w:r>
        <w:rPr>
          <w:b/>
          <w:i w:val="0"/>
        </w:rPr>
        <w:t>II.7.31 (PDF pp. 158–159)</w:t>
      </w:r>
      <w:r>
        <w:rPr>
          <w:b w:val="0"/>
          <w:i w:val="0"/>
        </w:rPr>
        <w:t>. Colored glass differentiates one light into distinct effects</w:t>
      </w:r>
    </w:p>
    <w:p>
      <w:pPr>
        <w:ind w:left="187" w:hanging="187"/>
      </w:pPr>
      <w:r>
        <w:t xml:space="preserve">• </w:t>
      </w:r>
      <w:r>
        <w:rPr>
          <w:b/>
          <w:i w:val="0"/>
        </w:rPr>
        <w:t>II.9.5 (PDF pp. 166–167)</w:t>
      </w:r>
      <w:r>
        <w:rPr>
          <w:b w:val="0"/>
          <w:i w:val="0"/>
        </w:rPr>
        <w:t>. Intelligent instruments are used to argue against a mindless first mover</w:t>
      </w:r>
    </w:p>
    <w:p>
      <w:pPr>
        <w:widowControl/>
      </w:pPr>
      <w:r>
        <w:rPr>
          <w:b/>
          <w:i w:val="0"/>
        </w:rPr>
        <w:t>Further passage references.</w:t>
      </w:r>
      <w:r>
        <w:rPr>
          <w:b w:val="0"/>
          <w:i w:val="0"/>
        </w:rPr>
        <w:t xml:space="preserve"> I.3.7–I.3.11 (PDF pp. 34–37); I.3.18 (pp. 40–41); II.7.23–25, pp. 154–155; II.7.27–32, pp. 156–159; II.9.5, pp. 166–167; IV.1.3–IV.1.4, pp. 282–283; IV.1.68, pp. 316–317; IV.1.85, pp. 326–327.</w:t>
      </w:r>
    </w:p>
    <w:p>
      <w:pPr>
        <w:keepNext/>
        <w:widowControl/>
      </w:pPr>
      <w:r>
        <w:rPr>
          <w:b/>
          <w:i w:val="0"/>
        </w:rPr>
        <w:t>In this edition.</w:t>
      </w:r>
    </w:p>
    <w:p>
      <w:pPr>
        <w:widowControl/>
      </w:pPr>
      <w:r>
        <w:rPr>
          <w:b w:val="0"/>
          <w:i w:val="0"/>
        </w:rPr>
        <w:t xml:space="preserve">II.7.24’s tamquam, </w:t>
      </w:r>
      <w:r>
        <w:t>“</w:t>
      </w:r>
      <w:r>
        <w:rPr>
          <w:b w:val="0"/>
          <w:i w:val="0"/>
        </w:rPr>
        <w:t>just as,</w:t>
      </w:r>
      <w:r>
        <w:t>”</w:t>
      </w:r>
      <w:r>
        <w:rPr>
          <w:b w:val="0"/>
          <w:i w:val="0"/>
        </w:rPr>
        <w:t xml:space="preserve"> marks the tool comparison as analogical: angel is not said to be a material implement. II.7.31 retains both the contribution of sunlight and the difference made by particular glass, preserving dependent differentiation rather than autonomous secondary production.</w:t>
      </w:r>
    </w:p>
    <w:p>
      <w:pPr>
        <w:keepNext/>
        <w:widowControl/>
      </w:pPr>
      <w:r>
        <w:rPr>
          <w:b/>
          <w:i w:val="0"/>
        </w:rPr>
        <w:t>See also.</w:t>
      </w:r>
    </w:p>
    <w:p>
      <w:pPr>
        <w:widowControl/>
      </w:pPr>
      <w:hyperlink w:anchor="cause">
        <w:r>
          <w:rPr>
            <w:color w:val="000000"/>
          </w:rPr>
          <w:t xml:space="preserve">Cause</w:t>
        </w:r>
      </w:hyperlink>
      <w:r>
        <w:rPr>
          <w:b w:val="0"/>
          <w:i w:val="0"/>
        </w:rPr>
        <w:t xml:space="preserve">; </w:t>
      </w:r>
      <w:hyperlink w:anchor="quality">
        <w:r>
          <w:rPr>
            <w:color w:val="000000"/>
          </w:rPr>
          <w:t xml:space="preserve">Quality</w:t>
        </w:r>
      </w:hyperlink>
      <w:r>
        <w:rPr>
          <w:b w:val="0"/>
          <w:i w:val="0"/>
        </w:rPr>
        <w:t xml:space="preserve">; </w:t>
      </w:r>
      <w:hyperlink w:anchor="order-and-harmony">
        <w:r>
          <w:rPr>
            <w:color w:val="000000"/>
          </w:rPr>
          <w:t xml:space="preserve">Order and harmony</w:t>
        </w:r>
      </w:hyperlink>
      <w:r>
        <w:rPr>
          <w:b w:val="0"/>
          <w:i w:val="0"/>
        </w:rPr>
        <w:t xml:space="preserve">; </w:t>
      </w:r>
      <w:hyperlink w:anchor="art-and-nature">
        <w:r>
          <w:rPr>
            <w:color w:val="000000"/>
          </w:rPr>
          <w:t xml:space="preserve">Art and nature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power-and-potency">
        <w:r>
          <w:rPr>
            <w:color w:val="000000"/>
          </w:rPr>
          <w:t xml:space="preserve">Power and potency</w:t>
        </w:r>
      </w:hyperlink>
      <w:r>
        <w:rPr>
          <w:b w:val="0"/>
          <w:i w:val="0"/>
        </w:rPr>
        <w:t xml:space="preserve">; </w:t>
      </w:r>
      <w:hyperlink w:anchor="light-and-illumination">
        <w:r>
          <w:rPr>
            <w:color w:val="000000"/>
          </w:rPr>
          <w:t xml:space="preserve">Light and illumination</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substance-and-accident">
        <w:r>
          <w:rPr>
            <w:color w:val="000000"/>
          </w:rPr>
          <w:t xml:space="preserve">Substance and accident</w:t>
        </w:r>
      </w:hyperlink>
      <w:r>
        <w:rPr>
          <w:b w:val="0"/>
          <w:i w:val="0"/>
        </w:rPr>
        <w:t xml:space="preserve">; </w:t>
      </w:r>
      <w:hyperlink w:anchor="celestial-influence">
        <w:r>
          <w:rPr>
            <w:color w:val="000000"/>
          </w:rPr>
          <w:t xml:space="preserve">Celestial influence</w:t>
        </w:r>
      </w:hyperlink>
      <w:r>
        <w:rPr>
          <w:b w:val="0"/>
          <w:i w:val="0"/>
        </w:rPr>
        <w:t xml:space="preserve">; </w:t>
      </w:r>
      <w:hyperlink w:anchor="end-and-limit">
        <w:r>
          <w:rPr>
            <w:color w:val="000000"/>
          </w:rPr>
          <w:t xml:space="preserve">End and limit</w:t>
        </w:r>
      </w:hyperlink>
    </w:p>
    <w:p>
      <w:bookmarkStart w:id="130" w:name="insults-and-rebuke"/>
      <w:pPr>
        <w:pStyle w:val="Heading2"/>
      </w:pPr>
      <w:r>
        <w:rPr>
          <w:b w:val="0"/>
          <w:i w:val="0"/>
        </w:rPr>
        <w:t>Insults and rebuke</w:t>
      </w:r>
      <w:bookmarkEnd w:id="130"/>
    </w:p>
    <w:p>
      <w:pPr>
        <w:keepNext/>
        <w:widowControl/>
      </w:pPr>
      <w:r>
        <w:rPr>
          <w:b/>
          <w:i w:val="0"/>
        </w:rPr>
        <w:t>Latin:</w:t>
      </w:r>
      <w:r>
        <w:rPr>
          <w:b w:val="0"/>
          <w:i w:val="0"/>
        </w:rPr>
        <w:t xml:space="preserve"> </w:t>
      </w:r>
      <w:r>
        <w:rPr>
          <w:b w:val="0"/>
          <w:i/>
        </w:rPr>
        <w:t>canes; latrare; taceat; sensu carere; anima caret rationali</w:t>
      </w:r>
    </w:p>
    <w:p>
      <w:pPr>
        <w:keepNext/>
        <w:widowControl/>
      </w:pPr>
      <w:r>
        <w:rPr>
          <w:b/>
          <w:i w:val="0"/>
        </w:rPr>
        <w:t>The word.</w:t>
      </w:r>
    </w:p>
    <w:p>
      <w:pPr>
        <w:widowControl/>
      </w:pPr>
      <w:r>
        <w:rPr>
          <w:b w:val="0"/>
          <w:i w:val="0"/>
        </w:rPr>
        <w:t>Canes are dogs and latrare barking; these are polemical metaphors when applied to opponents. Carere means lacking, but a rebuke about lacking perception or rational soul need not function as a literal metaphysical classification.</w:t>
      </w:r>
    </w:p>
    <w:p>
      <w:pPr>
        <w:keepNext/>
        <w:widowControl/>
      </w:pPr>
      <w:r>
        <w:rPr>
          <w:b/>
          <w:i w:val="0"/>
        </w:rPr>
        <w:t>In the Platonic Theology.</w:t>
      </w:r>
    </w:p>
    <w:p>
      <w:pPr>
        <w:widowControl/>
      </w:pPr>
      <w:r>
        <w:rPr>
          <w:b w:val="0"/>
          <w:i w:val="0"/>
        </w:rPr>
        <w:t>Ficino calls dissenters barking dogs when asserting what he presents as the certain Platonic doctrine of Ideas. The targets remain unnamed in this passage. He later tells Lucretius to be silent and plays on sensus: anyone denying perception to the ordering source is himself said to lack sense. The final sentence of Book III likewise says that someone who fails to recognize the definition of rational soul lacks rational soul. These are rhetorical sanctions attached to contested or concluding claims. They express confidence, impatience, and pressure toward assent; they do not add independent evidence for the claims. In particular, the closing rebuke should not be treated as an exception excluding philosophical opponents from the metaphysical kind whose definition has just been defended.</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II.11.22 (Latin PDF p. 192; English PDF p. 193).</w:t>
      </w:r>
      <w:r>
        <w:rPr>
          <w:b w:val="0"/>
          <w:i w:val="0"/>
        </w:rPr>
        <w:t xml:space="preserve"> The barking-dogs image accompanies the claimed Platonic consensus.</w:t>
      </w:r>
    </w:p>
    <w:p>
      <w:pPr>
        <w:ind w:left="187" w:hanging="187"/>
      </w:pPr>
      <w:r>
        <w:t xml:space="preserve">• </w:t>
      </w:r>
      <w:r>
        <w:rPr>
          <w:b/>
          <w:i w:val="0"/>
        </w:rPr>
        <w:t>II.13.14 (Latin PDF p. 226; English PDF p. 227).</w:t>
      </w:r>
      <w:r>
        <w:rPr>
          <w:b w:val="0"/>
          <w:i w:val="0"/>
        </w:rPr>
        <w:t xml:space="preserve"> Taceat introduces the address against Lucretius.</w:t>
      </w:r>
    </w:p>
    <w:p>
      <w:pPr>
        <w:ind w:left="187" w:hanging="187"/>
      </w:pPr>
      <w:r>
        <w:t xml:space="preserve">• </w:t>
      </w:r>
      <w:r>
        <w:rPr>
          <w:b/>
          <w:i w:val="0"/>
        </w:rPr>
        <w:t>II.13.19 (Latin PDF p. 228; English PDF p. 229).</w:t>
      </w:r>
      <w:r>
        <w:rPr>
          <w:b w:val="0"/>
          <w:i w:val="0"/>
        </w:rPr>
        <w:t xml:space="preserve"> A repeated sensus-family rebuke links perception with rational ordering.</w:t>
      </w:r>
    </w:p>
    <w:p>
      <w:pPr>
        <w:ind w:left="187" w:hanging="187"/>
      </w:pPr>
      <w:r>
        <w:t xml:space="preserve">• </w:t>
      </w:r>
      <w:r>
        <w:rPr>
          <w:b/>
          <w:i w:val="0"/>
        </w:rPr>
        <w:t>III.2.30 (Latin PDF p. 278; English PDF p. 279).</w:t>
      </w:r>
      <w:r>
        <w:rPr>
          <w:b w:val="0"/>
          <w:i w:val="0"/>
        </w:rPr>
        <w:t xml:space="preserve"> The closing denial of rational soul functions as polemical emphasis.</w:t>
      </w:r>
    </w:p>
    <w:p>
      <w:pPr>
        <w:keepNext/>
        <w:widowControl/>
      </w:pPr>
      <w:r>
        <w:rPr>
          <w:b/>
          <w:i w:val="0"/>
        </w:rPr>
        <w:t>In this edition.</w:t>
      </w:r>
    </w:p>
    <w:p>
      <w:pPr>
        <w:widowControl/>
      </w:pPr>
      <w:r>
        <w:rPr>
          <w:b w:val="0"/>
          <w:i w:val="0"/>
        </w:rPr>
        <w:t xml:space="preserve">The translation retains the sharpness instead of neutralizing the voice. No individual should be identified as one of the </w:t>
      </w:r>
      <w:r>
        <w:t>“</w:t>
      </w:r>
      <w:r>
        <w:rPr>
          <w:b w:val="0"/>
          <w:i w:val="0"/>
        </w:rPr>
        <w:t>dogs</w:t>
      </w:r>
      <w:r>
        <w:t>”</w:t>
      </w:r>
      <w:r>
        <w:rPr>
          <w:b w:val="0"/>
          <w:i w:val="0"/>
        </w:rPr>
        <w:t xml:space="preserve"> without additional checked evidence. The ordinary negative verb and its argumentative use both belong in the lexical explanation.</w:t>
      </w:r>
    </w:p>
    <w:p>
      <w:pPr>
        <w:keepNext/>
        <w:widowControl/>
      </w:pPr>
      <w:r>
        <w:rPr>
          <w:b/>
          <w:i w:val="0"/>
        </w:rPr>
        <w:t>See also.</w:t>
      </w:r>
    </w:p>
    <w:p>
      <w:pPr>
        <w:widowControl/>
      </w:pPr>
      <w:hyperlink w:anchor="lucretius">
        <w:r>
          <w:rPr>
            <w:color w:val="000000"/>
          </w:rPr>
          <w:t xml:space="preserve">Lucretius</w:t>
        </w:r>
      </w:hyperlink>
      <w:r>
        <w:rPr>
          <w:b w:val="0"/>
          <w:i w:val="0"/>
        </w:rPr>
        <w:t xml:space="preserve">; </w:t>
      </w:r>
      <w:hyperlink w:anchor="sense-and-imagination">
        <w:r>
          <w:rPr>
            <w:color w:val="000000"/>
          </w:rPr>
          <w:t xml:space="preserve">Sense and imagination</w:t>
        </w:r>
      </w:hyperlink>
      <w:r>
        <w:rPr>
          <w:b w:val="0"/>
          <w:i w:val="0"/>
        </w:rPr>
        <w:t xml:space="preserve">; </w:t>
      </w:r>
      <w:hyperlink w:anchor="ideas-and-exemplars">
        <w:r>
          <w:rPr>
            <w:color w:val="000000"/>
          </w:rPr>
          <w:t xml:space="preserve">Ideas and exemplars</w:t>
        </w:r>
      </w:hyperlink>
      <w:r>
        <w:rPr>
          <w:b w:val="0"/>
          <w:i w:val="0"/>
        </w:rPr>
        <w:t xml:space="preserve">; </w:t>
      </w:r>
      <w:hyperlink w:anchor="soul">
        <w:r>
          <w:rPr>
            <w:color w:val="000000"/>
          </w:rPr>
          <w:t xml:space="preserve">Soul</w:t>
        </w:r>
      </w:hyperlink>
      <w:r>
        <w:rPr>
          <w:b w:val="0"/>
          <w:i w:val="0"/>
        </w:rPr>
        <w:t>.</w:t>
      </w:r>
    </w:p>
    <w:p>
      <w:bookmarkStart w:id="131" w:name="intellect-and-intellection"/>
      <w:pPr>
        <w:pStyle w:val="Heading2"/>
      </w:pPr>
      <w:r>
        <w:rPr>
          <w:b w:val="0"/>
          <w:i w:val="0"/>
        </w:rPr>
        <w:t>Intellect and intellection</w:t>
      </w:r>
      <w:bookmarkEnd w:id="131"/>
    </w:p>
    <w:p>
      <w:pPr>
        <w:keepNext/>
        <w:widowControl/>
      </w:pPr>
      <w:r>
        <w:rPr>
          <w:b/>
          <w:i w:val="0"/>
        </w:rPr>
        <w:t>Latin:</w:t>
      </w:r>
      <w:r>
        <w:rPr>
          <w:b w:val="0"/>
          <w:i w:val="0"/>
        </w:rPr>
        <w:t xml:space="preserve"> </w:t>
      </w:r>
      <w:r>
        <w:rPr>
          <w:b w:val="0"/>
          <w:i/>
        </w:rPr>
        <w:t>intellectus</w:t>
      </w:r>
      <w:r>
        <w:rPr>
          <w:b w:val="0"/>
          <w:i w:val="0"/>
        </w:rPr>
        <w:t xml:space="preserve">; </w:t>
      </w:r>
      <w:r>
        <w:rPr>
          <w:b w:val="0"/>
          <w:i/>
        </w:rPr>
        <w:t>intelligibile</w:t>
      </w:r>
      <w:r>
        <w:rPr>
          <w:b w:val="0"/>
          <w:i w:val="0"/>
        </w:rPr>
        <w:t xml:space="preserve">; </w:t>
      </w:r>
      <w:r>
        <w:rPr>
          <w:b w:val="0"/>
          <w:i/>
        </w:rPr>
        <w:t>intellectio</w:t>
      </w:r>
      <w:r>
        <w:rPr>
          <w:b w:val="0"/>
          <w:i w:val="0"/>
        </w:rPr>
        <w:t xml:space="preserve">; </w:t>
      </w:r>
      <w:r>
        <w:rPr>
          <w:b w:val="0"/>
          <w:i/>
        </w:rPr>
        <w:t>intelligentia</w:t>
      </w:r>
      <w:r>
        <w:rPr>
          <w:b w:val="0"/>
          <w:i w:val="0"/>
        </w:rPr>
        <w:t xml:space="preserve">; </w:t>
      </w:r>
      <w:r>
        <w:rPr>
          <w:b w:val="0"/>
          <w:i/>
        </w:rPr>
        <w:t>intelligere</w:t>
      </w:r>
      <w:r>
        <w:rPr>
          <w:b w:val="0"/>
          <w:i w:val="0"/>
        </w:rPr>
        <w:t xml:space="preserve">; </w:t>
      </w:r>
      <w:r>
        <w:rPr>
          <w:b w:val="0"/>
          <w:i/>
        </w:rPr>
        <w:t>intellectualis</w:t>
      </w:r>
      <w:r>
        <w:rPr>
          <w:b w:val="0"/>
          <w:i w:val="0"/>
        </w:rPr>
        <w:t xml:space="preserve">; </w:t>
      </w:r>
      <w:r>
        <w:rPr>
          <w:b w:val="0"/>
          <w:i/>
        </w:rPr>
        <w:t>mens</w:t>
      </w:r>
      <w:r>
        <w:rPr>
          <w:b w:val="0"/>
          <w:i w:val="0"/>
        </w:rPr>
        <w:t xml:space="preserve">; </w:t>
      </w:r>
      <w:r>
        <w:rPr>
          <w:b w:val="0"/>
          <w:i/>
        </w:rPr>
        <w:t>intelligibilis</w:t>
      </w:r>
      <w:r>
        <w:rPr>
          <w:b w:val="0"/>
          <w:i w:val="0"/>
        </w:rPr>
        <w:t xml:space="preserve">; </w:t>
      </w:r>
      <w:r>
        <w:rPr>
          <w:b w:val="0"/>
          <w:i/>
        </w:rPr>
        <w:t>cognitio</w:t>
      </w:r>
    </w:p>
    <w:p>
      <w:pPr>
        <w:keepNext/>
        <w:widowControl/>
      </w:pPr>
      <w:r>
        <w:rPr>
          <w:b/>
          <w:i w:val="0"/>
        </w:rPr>
        <w:t>The word.</w:t>
      </w:r>
    </w:p>
    <w:p>
      <w:pPr>
        <w:widowControl/>
      </w:pPr>
      <w:r>
        <w:rPr>
          <w:b w:val="0"/>
          <w:i w:val="0"/>
        </w:rPr>
        <w:t>Intellectus can name the intellectual power or knower; intelligibile what is understood; intellectio and intelligentia intellectual apprehension; intelligere its activity. Cognitio is broader and need not designate intellect alone. Mens may be a faculty within soul or a separate intellectual being.</w:t>
      </w:r>
    </w:p>
    <w:p>
      <w:pPr>
        <w:keepNext/>
        <w:widowControl/>
      </w:pPr>
      <w:r>
        <w:rPr>
          <w:b/>
          <w:i w:val="0"/>
        </w:rPr>
        <w:t>In the Platonic Theology.</w:t>
      </w:r>
    </w:p>
    <w:p>
      <w:pPr>
        <w:widowControl/>
      </w:pPr>
      <w:r>
        <w:rPr>
          <w:b w:val="0"/>
          <w:i w:val="0"/>
        </w:rPr>
        <w:t xml:space="preserve">Intellect is the knowing power or knower; the intelligible is what can be understood; intellection is the act of understanding. The related Latin words </w:t>
      </w:r>
      <w:r>
        <w:rPr>
          <w:b w:val="0"/>
          <w:i/>
        </w:rPr>
        <w:t>intellectus</w:t>
      </w:r>
      <w:r>
        <w:rPr>
          <w:b w:val="0"/>
          <w:i w:val="0"/>
        </w:rPr>
        <w:t xml:space="preserve">, </w:t>
      </w:r>
      <w:r>
        <w:rPr>
          <w:b w:val="0"/>
          <w:i/>
        </w:rPr>
        <w:t>intelligentia</w:t>
      </w:r>
      <w:r>
        <w:rPr>
          <w:b w:val="0"/>
          <w:i w:val="0"/>
        </w:rPr>
        <w:t xml:space="preserve">, </w:t>
      </w:r>
      <w:r>
        <w:rPr>
          <w:b w:val="0"/>
          <w:i/>
        </w:rPr>
        <w:t>mens</w:t>
      </w:r>
      <w:r>
        <w:rPr>
          <w:b w:val="0"/>
          <w:i w:val="0"/>
        </w:rPr>
        <w:t xml:space="preserve">, and </w:t>
      </w:r>
      <w:r>
        <w:rPr>
          <w:b w:val="0"/>
          <w:i/>
        </w:rPr>
        <w:t>cognitio</w:t>
      </w:r>
      <w:r>
        <w:rPr>
          <w:b w:val="0"/>
          <w:i w:val="0"/>
        </w:rPr>
        <w:t xml:space="preserve"> overlap without identifying three or four consistently separate faculties. Their particular force depends on whether the argument concerns a power, an activity, a separate intellectual being, or a mode of knowing. Cognition has the widest range here and includes sense: Ficino’s example of animals possessing cognition without intelligence requires that distinction.</w:t>
      </w:r>
    </w:p>
    <w:p>
      <w:pPr>
        <w:widowControl/>
      </w:pPr>
      <w:r>
        <w:rPr>
          <w:b w:val="0"/>
          <w:i w:val="0"/>
        </w:rPr>
        <w:t>The relation between knower and known is central. Forms become intelligible through separation from matter and its conditions, while still greater independence from matter supports a being’s capacity to understand. Ficino reasons from their kinship, not from a claim that any abstraction imagined by a person becomes an independently conscious mind. In the account of completely immaterial forms, intellect and intelligible coincide; nevertheless, angelic mind receives truth and has many intelligible contents. Human soul possesses mind as one power among others and normally knows successively. Its self-knowledge, however, concerns its spiritual essence, so a temporal mode of understanding does not make every object bodily.</w:t>
      </w:r>
    </w:p>
    <w:p>
      <w:pPr>
        <w:widowControl/>
      </w:pPr>
      <w:r>
        <w:rPr>
          <w:b w:val="0"/>
          <w:i w:val="0"/>
        </w:rPr>
        <w:t>The divine case requires a qualification stronger than these differences of degree. God is presented as intellection existing in itself and directed to itself, without an external object or a receiving faculty distinct from his essence. Yet even intellect, intelligible, and intellection are not fully proper names for God. Book II explains that intellectual language applies according to cause rather than form: angel belongs properly to the genus of minds, while God is its source and exceeds it. God is above mind without being ignorant, understanding in a mode above intelligence. The text therefore does not abandon its hierarchy when it attributes knowledge to the One.</w:t>
      </w:r>
    </w:p>
    <w:p>
      <w:pPr>
        <w:widowControl/>
      </w:pPr>
      <w:r>
        <w:rPr>
          <w:b w:val="0"/>
          <w:i w:val="0"/>
        </w:rPr>
        <w:t>Ficino supports that attribution in several ways. Intelligence is a desirable good that cannot be absent from the first Good’s perfection; intelligent minds cannot appropriately be instruments of a first mover wholly devoid of intelligence; and maximal separation from matter supports the most exact understanding. Divine being and understanding are identical, and God knows through one power everything available to human sense, imagination, and intellect, as well as every individual and infinitely many possibilities. He acquires no information from external things.</w:t>
      </w:r>
    </w:p>
    <w:p>
      <w:pPr>
        <w:widowControl/>
      </w:pPr>
      <w:r>
        <w:rPr>
          <w:b w:val="0"/>
          <w:i w:val="0"/>
        </w:rPr>
        <w:t xml:space="preserve">This unified cognition gives the forms and intelligent order required for creation, while will accounts for the production of selected external effects. Book III characterizes rational soul’s knowledge of itself, divine things, and bodily things as discursive. Book IV further differentiates faculties: celestial soul’s intellectual part possesses ideas simultaneously, while its lowest motive powers unfold productive seeds successively. A statement about soul’s characteristic temporal operation must not be made into a blanket denial of simultaneous intellectual possession within it. The surrounding account of spiritual union explains how its different objects can be apprehended without reducing cognition to material contact. Reading the English word </w:t>
      </w:r>
      <w:r>
        <w:t>“</w:t>
      </w:r>
      <w:r>
        <w:rPr>
          <w:b w:val="0"/>
          <w:i w:val="0"/>
        </w:rPr>
        <w:t>intelligence</w:t>
      </w:r>
      <w:r>
        <w:t>”</w:t>
      </w:r>
      <w:r>
        <w:rPr>
          <w:b w:val="0"/>
          <w:i w:val="0"/>
        </w:rPr>
        <w:t xml:space="preserve"> as a measurable personal aptitude would miss its metaphysical range across these passages.</w:t>
      </w:r>
    </w:p>
    <w:p>
      <w:pPr>
        <w:keepNext/>
        <w:widowControl/>
      </w:pPr>
      <w:r>
        <w:rPr>
          <w:b/>
          <w:i w:val="0"/>
        </w:rPr>
        <w:t>The places.</w:t>
      </w:r>
    </w:p>
    <w:p>
      <w:pPr>
        <w:ind w:left="187" w:hanging="187"/>
      </w:pPr>
      <w:r>
        <w:t xml:space="preserve">• </w:t>
      </w:r>
      <w:r>
        <w:rPr>
          <w:b/>
          <w:i w:val="0"/>
        </w:rPr>
        <w:t>I.6.13 (PDF pp. 90–91)</w:t>
      </w:r>
      <w:r>
        <w:rPr>
          <w:b w:val="0"/>
          <w:i w:val="0"/>
        </w:rPr>
        <w:t>. Even names such as intelligible and intellection are said not to apply to God wholly properly</w:t>
      </w:r>
    </w:p>
    <w:p>
      <w:pPr>
        <w:ind w:left="187" w:hanging="187"/>
      </w:pPr>
      <w:r>
        <w:t xml:space="preserve">• </w:t>
      </w:r>
      <w:r>
        <w:rPr>
          <w:b/>
          <w:i w:val="0"/>
        </w:rPr>
        <w:t>II.9.1 (PDF pp. 164–165)</w:t>
      </w:r>
      <w:r>
        <w:rPr>
          <w:b w:val="0"/>
          <w:i w:val="0"/>
        </w:rPr>
        <w:t>. Kinship and separation from matter link knowable form with intellectual capacity</w:t>
      </w:r>
    </w:p>
    <w:p>
      <w:pPr>
        <w:ind w:left="187" w:hanging="187"/>
      </w:pPr>
      <w:r>
        <w:t xml:space="preserve">• </w:t>
      </w:r>
      <w:r>
        <w:rPr>
          <w:b/>
          <w:i w:val="0"/>
        </w:rPr>
        <w:t>II.9.12 (PDF pp. 168–169)</w:t>
      </w:r>
      <w:r>
        <w:rPr>
          <w:b w:val="0"/>
          <w:i w:val="0"/>
        </w:rPr>
        <w:t>. Causal naming qualifies the attribution of intelligence to God</w:t>
      </w:r>
    </w:p>
    <w:p>
      <w:pPr>
        <w:ind w:left="187" w:hanging="187"/>
      </w:pPr>
      <w:r>
        <w:t xml:space="preserve">• </w:t>
      </w:r>
      <w:r>
        <w:rPr>
          <w:b/>
          <w:i w:val="0"/>
        </w:rPr>
        <w:t>II.9.16 (PDF pp. 172–173)</w:t>
      </w:r>
      <w:r>
        <w:rPr>
          <w:b w:val="0"/>
          <w:i w:val="0"/>
        </w:rPr>
        <w:t>. The hierarchy of sense, imagination, and intellect retains knowledge of individuals</w:t>
      </w:r>
    </w:p>
    <w:p>
      <w:pPr>
        <w:ind w:left="187" w:hanging="187"/>
      </w:pPr>
      <w:r>
        <w:t xml:space="preserve">• </w:t>
      </w:r>
      <w:r>
        <w:rPr>
          <w:b/>
          <w:i w:val="0"/>
        </w:rPr>
        <w:t>IV.2.10 (PDF pp. 338–339)</w:t>
      </w:r>
      <w:r>
        <w:rPr>
          <w:b w:val="0"/>
          <w:i w:val="0"/>
        </w:rPr>
        <w:t>. Celestial mind possesses ideas together while lower powers hold unrealized seeds</w:t>
      </w:r>
    </w:p>
    <w:p>
      <w:pPr>
        <w:widowControl/>
      </w:pPr>
      <w:r>
        <w:rPr>
          <w:b/>
          <w:i w:val="0"/>
        </w:rPr>
        <w:t>Further passage references.</w:t>
      </w:r>
      <w:r>
        <w:rPr>
          <w:b w:val="0"/>
          <w:i w:val="0"/>
        </w:rPr>
        <w:t xml:space="preserve"> I.5.10–I.5.14, I.5.20, I.5.24 (PDF pp. 64–69, 74–77); I.6.4, I.6.7–I.6.13 (pp. 82–91); II.9.1–13, pp. 164–169; II.9.16–20, pp. 172–173; II.10.6–7, pp. 178–179; II.11.11–18, 24–32, PDF 186–197; III.1.12, PDF 248–249; III.2.23–30, PDF 274–279; IV.2.9–IV.2.12, PDF pp. 336–341.</w:t>
      </w:r>
    </w:p>
    <w:p>
      <w:pPr>
        <w:keepNext/>
        <w:widowControl/>
      </w:pPr>
      <w:r>
        <w:rPr>
          <w:b/>
          <w:i w:val="0"/>
        </w:rPr>
        <w:t>In this edition.</w:t>
      </w:r>
    </w:p>
    <w:p>
      <w:pPr>
        <w:widowControl/>
      </w:pPr>
      <w:r>
        <w:rPr>
          <w:b w:val="0"/>
          <w:i w:val="0"/>
        </w:rPr>
        <w:t xml:space="preserve">II.9.1 explicitly distinguishes intelligenda or intelligibilis, what can be understood, from intelligens, what understands. At II.9.12 intellectual names apply to God </w:t>
      </w:r>
      <w:r>
        <w:t>“</w:t>
      </w:r>
      <w:r>
        <w:rPr>
          <w:b w:val="0"/>
          <w:i w:val="0"/>
        </w:rPr>
        <w:t>in respect of cause rather than form</w:t>
      </w:r>
      <w:r>
        <w:t>”</w:t>
      </w:r>
      <w:r>
        <w:rPr>
          <w:b w:val="0"/>
          <w:i w:val="0"/>
        </w:rPr>
        <w:t>; angel is properly mind. Neither the object–subject distinction nor that divine qualification should disappear in English paraphrase.</w:t>
      </w:r>
    </w:p>
    <w:p>
      <w:pPr>
        <w:keepNext/>
        <w:widowControl/>
      </w:pPr>
      <w:r>
        <w:rPr>
          <w:b/>
          <w:i w:val="0"/>
        </w:rPr>
        <w:t>See also.</w:t>
      </w:r>
    </w:p>
    <w:p>
      <w:pPr>
        <w:widowControl/>
      </w:pPr>
      <w:hyperlink w:anchor="mind">
        <w:r>
          <w:rPr>
            <w:color w:val="000000"/>
          </w:rPr>
          <w:t xml:space="preserve">Mind</w:t>
        </w:r>
      </w:hyperlink>
      <w:r>
        <w:rPr>
          <w:b w:val="0"/>
          <w:i w:val="0"/>
        </w:rPr>
        <w:t xml:space="preserve">; </w:t>
      </w:r>
      <w:hyperlink w:anchor="truth">
        <w:r>
          <w:rPr>
            <w:color w:val="000000"/>
          </w:rPr>
          <w:t xml:space="preserve">Truth</w:t>
        </w:r>
      </w:hyperlink>
      <w:r>
        <w:rPr>
          <w:b w:val="0"/>
          <w:i w:val="0"/>
        </w:rPr>
        <w:t xml:space="preserve">; </w:t>
      </w:r>
      <w:hyperlink w:anchor="angel">
        <w:r>
          <w:rPr>
            <w:color w:val="000000"/>
          </w:rPr>
          <w:t xml:space="preserve">Angel</w:t>
        </w:r>
      </w:hyperlink>
      <w:r>
        <w:rPr>
          <w:b w:val="0"/>
          <w:i w:val="0"/>
        </w:rPr>
        <w:t xml:space="preserve">; </w:t>
      </w:r>
      <w:hyperlink w:anchor="god">
        <w:r>
          <w:rPr>
            <w:color w:val="000000"/>
          </w:rPr>
          <w:t xml:space="preserve">God</w:t>
        </w:r>
      </w:hyperlink>
      <w:r>
        <w:rPr>
          <w:b w:val="0"/>
          <w:i w:val="0"/>
        </w:rPr>
        <w:t xml:space="preserve">; </w:t>
      </w:r>
      <w:hyperlink w:anchor="reason-and-account">
        <w:r>
          <w:rPr>
            <w:color w:val="000000"/>
          </w:rPr>
          <w:t xml:space="preserve">Reason and account</w:t>
        </w:r>
      </w:hyperlink>
      <w:r>
        <w:rPr>
          <w:b w:val="0"/>
          <w:i w:val="0"/>
        </w:rPr>
        <w:t xml:space="preserve">; </w:t>
      </w:r>
      <w:hyperlink w:anchor="self-knowledge">
        <w:r>
          <w:rPr>
            <w:color w:val="000000"/>
          </w:rPr>
          <w:t xml:space="preserve">Self knowledge</w:t>
        </w:r>
      </w:hyperlink>
      <w:r>
        <w:rPr>
          <w:b w:val="0"/>
          <w:i w:val="0"/>
        </w:rPr>
        <w:t xml:space="preserve">; </w:t>
      </w:r>
      <w:hyperlink w:anchor="sense-and-imagination">
        <w:r>
          <w:rPr>
            <w:color w:val="000000"/>
          </w:rPr>
          <w:t xml:space="preserve">Sense and imagination</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matter">
        <w:r>
          <w:rPr>
            <w:color w:val="000000"/>
          </w:rPr>
          <w:t xml:space="preserve">Matter</w:t>
        </w:r>
      </w:hyperlink>
      <w:r>
        <w:rPr>
          <w:b w:val="0"/>
          <w:i w:val="0"/>
        </w:rPr>
        <w:t xml:space="preserve">;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w:t>
      </w:r>
      <w:hyperlink w:anchor="intuition-and-discourse">
        <w:r>
          <w:rPr>
            <w:color w:val="000000"/>
          </w:rPr>
          <w:t xml:space="preserve">Intuition and discourse</w:t>
        </w:r>
      </w:hyperlink>
      <w:r>
        <w:rPr>
          <w:b w:val="0"/>
          <w:i w:val="0"/>
        </w:rPr>
        <w:t xml:space="preserve">; </w:t>
      </w:r>
      <w:hyperlink w:anchor="soul">
        <w:r>
          <w:rPr>
            <w:color w:val="000000"/>
          </w:rPr>
          <w:t xml:space="preserve">Soul</w:t>
        </w:r>
      </w:hyperlink>
      <w:r>
        <w:rPr>
          <w:b w:val="0"/>
          <w:i w:val="0"/>
        </w:rPr>
        <w:t xml:space="preserve">; </w:t>
      </w:r>
      <w:hyperlink w:anchor="spiritual-union">
        <w:r>
          <w:rPr>
            <w:color w:val="000000"/>
          </w:rPr>
          <w:t xml:space="preserve">Spiritual union</w:t>
        </w:r>
      </w:hyperlink>
      <w:r>
        <w:rPr>
          <w:b w:val="0"/>
          <w:i w:val="0"/>
        </w:rPr>
        <w:t xml:space="preserve">; </w:t>
      </w:r>
      <w:hyperlink w:anchor="will">
        <w:r>
          <w:rPr>
            <w:color w:val="000000"/>
          </w:rPr>
          <w:t xml:space="preserve">Will</w:t>
        </w:r>
      </w:hyperlink>
    </w:p>
    <w:p>
      <w:bookmarkStart w:id="132" w:name="intellectual-and-animating-powers"/>
      <w:pPr>
        <w:pStyle w:val="Heading2"/>
      </w:pPr>
      <w:r>
        <w:rPr>
          <w:b w:val="0"/>
          <w:i w:val="0"/>
        </w:rPr>
        <w:t>Intellectual and animating powers</w:t>
      </w:r>
      <w:bookmarkEnd w:id="132"/>
    </w:p>
    <w:p>
      <w:pPr>
        <w:keepNext/>
        <w:widowControl/>
      </w:pPr>
      <w:r>
        <w:rPr>
          <w:b/>
          <w:i w:val="0"/>
        </w:rPr>
        <w:t>Latin:</w:t>
      </w:r>
      <w:r>
        <w:rPr>
          <w:b w:val="0"/>
          <w:i w:val="0"/>
        </w:rPr>
        <w:t xml:space="preserve"> </w:t>
      </w:r>
      <w:r>
        <w:rPr>
          <w:b w:val="0"/>
          <w:i/>
        </w:rPr>
        <w:t>vis gemina</w:t>
      </w:r>
      <w:r>
        <w:rPr>
          <w:b w:val="0"/>
          <w:i w:val="0"/>
        </w:rPr>
        <w:t xml:space="preserve">; </w:t>
      </w:r>
      <w:r>
        <w:rPr>
          <w:b w:val="0"/>
          <w:i/>
        </w:rPr>
        <w:t>mens</w:t>
      </w:r>
      <w:r>
        <w:rPr>
          <w:b w:val="0"/>
          <w:i w:val="0"/>
        </w:rPr>
        <w:t xml:space="preserve">; </w:t>
      </w:r>
      <w:r>
        <w:rPr>
          <w:b w:val="0"/>
          <w:i/>
        </w:rPr>
        <w:t>ratio</w:t>
      </w:r>
      <w:r>
        <w:rPr>
          <w:b w:val="0"/>
          <w:i w:val="0"/>
        </w:rPr>
        <w:t xml:space="preserve">; </w:t>
      </w:r>
      <w:r>
        <w:rPr>
          <w:b w:val="0"/>
          <w:i/>
        </w:rPr>
        <w:t>potentiae infimae motrices corporum</w:t>
      </w:r>
      <w:r>
        <w:rPr>
          <w:b w:val="0"/>
          <w:i w:val="0"/>
        </w:rPr>
        <w:t xml:space="preserve">; </w:t>
      </w:r>
      <w:r>
        <w:rPr>
          <w:b w:val="0"/>
          <w:i/>
        </w:rPr>
        <w:t>vis vivifica et motrix</w:t>
      </w:r>
    </w:p>
    <w:p>
      <w:pPr>
        <w:keepNext/>
        <w:widowControl/>
      </w:pPr>
      <w:r>
        <w:rPr>
          <w:b/>
          <w:i w:val="0"/>
        </w:rPr>
        <w:t>The word.</w:t>
      </w:r>
    </w:p>
    <w:p>
      <w:pPr>
        <w:widowControl/>
      </w:pPr>
      <w:r>
        <w:rPr>
          <w:b w:val="0"/>
          <w:i w:val="0"/>
        </w:rPr>
        <w:t>Vis and potentia name a power; vivifica and motrix specify life-giving and moving functions. Mens and ratio distinguish intellectual apprehension from the middle reasoning power. These are functional aspects within soul, not detachable extended pieces. Animalis in this setting means animating or belonging to soul.</w:t>
      </w:r>
    </w:p>
    <w:p>
      <w:pPr>
        <w:keepNext/>
        <w:widowControl/>
      </w:pPr>
      <w:r>
        <w:rPr>
          <w:b/>
          <w:i w:val="0"/>
        </w:rPr>
        <w:t>In the Platonic Theology.</w:t>
      </w:r>
    </w:p>
    <w:p>
      <w:pPr>
        <w:widowControl/>
      </w:pPr>
      <w:r>
        <w:rPr>
          <w:b w:val="0"/>
          <w:i w:val="0"/>
        </w:rPr>
        <w:t>Cosmic soul combines knowing with vivifying and governing a body. Ficino first distinguishes these two powers and illustrates them through paired divine names. Chapter 2 supplies a finer structure: intellectual mind possesses ideas simultaneously; middle reason follows mind in celestial souls; the lowest motive powers actualize productive seeds successively. The celestial body’s comparatively undemanding administration can be handled by that lowest power, leaving reason free to be absorbed into mind. Human reason, by contrast, is occupied with the greater demands of bodily administration.</w:t>
      </w:r>
    </w:p>
    <w:p>
      <w:pPr>
        <w:widowControl/>
      </w:pPr>
      <w:r>
        <w:rPr>
          <w:b w:val="0"/>
          <w:i w:val="0"/>
        </w:rPr>
        <w:t>These parts are functional distinctions within an indivisible soul, not detachable spatial components. They explain how soul can participate in stable intellectual life while performing successive acts. They also qualify the general contrast between angel’s actuality, soul’s habitual possession, and matter’s potency. Saying that soul holds its contents without actualizing them all together describes its characteristic grade; the further distinction of faculties allows its intellectual part to possess ideas in actuality while its lowest productive power still acts successively. The reader must attend both to the grade and to the faculty under discussion.</w:t>
      </w:r>
    </w:p>
    <w:p>
      <w:pPr>
        <w:widowControl/>
      </w:pPr>
      <w:r>
        <w:rPr>
          <w:b w:val="0"/>
          <w:i w:val="0"/>
        </w:rPr>
        <w:t xml:space="preserve">In the associated language, </w:t>
      </w:r>
      <w:r>
        <w:t>“</w:t>
      </w:r>
      <w:r>
        <w:rPr>
          <w:b w:val="0"/>
          <w:i w:val="0"/>
        </w:rPr>
        <w:t>animal</w:t>
      </w:r>
      <w:r>
        <w:t>”</w:t>
      </w:r>
      <w:r>
        <w:rPr>
          <w:b w:val="0"/>
          <w:i w:val="0"/>
        </w:rPr>
        <w:t xml:space="preserve"> can mean belonging to soul or animation, rather than bestial or irrational. IV.1.11 connects the vivifying and motive power with natural seeds. The Latin makes that power the recipient which divine wisdom imbues with seeds; the supplied English reverses recipient and content. The Latin-supported relation accords with the later distinction between the intellectual possession of ideas and the motive power’s realization of seeds.</w:t>
      </w:r>
    </w:p>
    <w:p>
      <w:pPr>
        <w:keepNext/>
        <w:widowControl/>
      </w:pPr>
      <w:r>
        <w:rPr>
          <w:b/>
          <w:i w:val="0"/>
        </w:rPr>
        <w:t>The places.</w:t>
      </w:r>
    </w:p>
    <w:p>
      <w:pPr>
        <w:ind w:left="187" w:hanging="187"/>
      </w:pPr>
      <w:r>
        <w:t xml:space="preserve">• </w:t>
      </w:r>
      <w:r>
        <w:rPr>
          <w:b/>
          <w:i w:val="0"/>
        </w:rPr>
        <w:t>IV.1.11 (PDF pp. 286–287)</w:t>
      </w:r>
      <w:r>
        <w:rPr>
          <w:b w:val="0"/>
          <w:i w:val="0"/>
        </w:rPr>
        <w:t>. Intellectual principles imbue the life-giving and motive power with natural seeds</w:t>
      </w:r>
    </w:p>
    <w:p>
      <w:pPr>
        <w:ind w:left="187" w:hanging="187"/>
      </w:pPr>
      <w:r>
        <w:t xml:space="preserve">• </w:t>
      </w:r>
      <w:r>
        <w:rPr>
          <w:b/>
          <w:i w:val="0"/>
        </w:rPr>
        <w:t>IV.1.94 (PDF pp. 330–331)</w:t>
      </w:r>
      <w:r>
        <w:rPr>
          <w:b w:val="0"/>
          <w:i w:val="0"/>
        </w:rPr>
        <w:t>. The Orphic pairings distinguish knowing from giving life and governing</w:t>
      </w:r>
    </w:p>
    <w:p>
      <w:pPr>
        <w:ind w:left="187" w:hanging="187"/>
      </w:pPr>
      <w:r>
        <w:t xml:space="preserve">• </w:t>
      </w:r>
      <w:r>
        <w:rPr>
          <w:b/>
          <w:i w:val="0"/>
        </w:rPr>
        <w:t>IV.2.10 (PDF pp. 338–339)</w:t>
      </w:r>
      <w:r>
        <w:rPr>
          <w:b w:val="0"/>
          <w:i w:val="0"/>
        </w:rPr>
        <w:t>. Mind holds ideas actually while lowest powers possess seeds without simultaneous realization</w:t>
      </w:r>
    </w:p>
    <w:p>
      <w:pPr>
        <w:ind w:left="187" w:hanging="187"/>
      </w:pPr>
      <w:r>
        <w:t xml:space="preserve">• </w:t>
      </w:r>
      <w:r>
        <w:rPr>
          <w:b/>
          <w:i w:val="0"/>
        </w:rPr>
        <w:t>IV.2.11 (PDF pp. 338–339)</w:t>
      </w:r>
      <w:r>
        <w:rPr>
          <w:b w:val="0"/>
          <w:i w:val="0"/>
        </w:rPr>
        <w:t>. Celestial reason is freer from bodily administration than human reason</w:t>
      </w:r>
    </w:p>
    <w:p>
      <w:pPr>
        <w:widowControl/>
      </w:pPr>
      <w:r>
        <w:rPr>
          <w:b/>
          <w:i w:val="0"/>
        </w:rPr>
        <w:t>Further passage references.</w:t>
      </w:r>
      <w:r>
        <w:rPr>
          <w:b w:val="0"/>
          <w:i w:val="0"/>
        </w:rPr>
        <w:t xml:space="preserve"> IV.1.11, pp. 286–287; IV.1.31–IV.1.32, pp. 296–299; IV.1.94, pp. 330–331; IV.2.10–IV.2.12, pp. 338–341.</w:t>
      </w:r>
    </w:p>
    <w:p>
      <w:pPr>
        <w:keepNext/>
        <w:widowControl/>
      </w:pPr>
      <w:r>
        <w:rPr>
          <w:b/>
          <w:i w:val="0"/>
        </w:rPr>
        <w:t>In this edition.</w:t>
      </w:r>
    </w:p>
    <w:p>
      <w:pPr>
        <w:widowControl/>
      </w:pPr>
      <w:r>
        <w:rPr>
          <w:b w:val="0"/>
          <w:i w:val="0"/>
        </w:rPr>
        <w:t>At IV.1.11 the Latin makes vim ipsam vivificam et motricem the object of imbuit and naturalibus seminibus its content: wisdom imbues the power with seeds. The supplied English reverses that relationship. Preserve the prior correction. The animalis distinction is confirmed by the apparatus for II.6.14 and II.6.24.</w:t>
      </w:r>
    </w:p>
    <w:p>
      <w:pPr>
        <w:keepNext/>
        <w:widowControl/>
      </w:pPr>
      <w:r>
        <w:rPr>
          <w:b/>
          <w:i w:val="0"/>
        </w:rPr>
        <w:t>See also.</w:t>
      </w:r>
    </w:p>
    <w:p>
      <w:pPr>
        <w:widowControl/>
      </w:pPr>
      <w:hyperlink w:anchor="angel">
        <w:r>
          <w:rPr>
            <w:color w:val="000000"/>
          </w:rPr>
          <w:t xml:space="preserve">Angel</w:t>
        </w:r>
      </w:hyperlink>
      <w:r>
        <w:rPr>
          <w:b w:val="0"/>
          <w:i w:val="0"/>
        </w:rPr>
        <w:t xml:space="preserve">; </w:t>
      </w:r>
      <w:hyperlink w:anchor="habitual-possession">
        <w:r>
          <w:rPr>
            <w:color w:val="000000"/>
          </w:rPr>
          <w:t xml:space="preserve">Habitual possession</w:t>
        </w:r>
      </w:hyperlink>
      <w:r>
        <w:rPr>
          <w:b w:val="0"/>
          <w:i w:val="0"/>
        </w:rPr>
        <w:t xml:space="preserve">; </w:t>
      </w:r>
      <w:hyperlink w:anchor="reason-and-account">
        <w:r>
          <w:rPr>
            <w:color w:val="000000"/>
          </w:rPr>
          <w:t xml:space="preserve">Reason and account</w:t>
        </w:r>
      </w:hyperlink>
      <w:r>
        <w:rPr>
          <w:b w:val="0"/>
          <w:i w:val="0"/>
        </w:rPr>
        <w:t xml:space="preserve">; </w:t>
      </w:r>
      <w:hyperlink w:anchor="bacchus-and-the-muses">
        <w:r>
          <w:rPr>
            <w:color w:val="000000"/>
          </w:rPr>
          <w:t xml:space="preserve">Bacchus and the Muses</w:t>
        </w:r>
      </w:hyperlink>
      <w:r>
        <w:rPr>
          <w:b w:val="0"/>
          <w:i w:val="0"/>
        </w:rPr>
        <w:t xml:space="preserve">; </w:t>
      </w:r>
      <w:hyperlink w:anchor="animating-and-animal">
        <w:r>
          <w:rPr>
            <w:color w:val="000000"/>
          </w:rPr>
          <w:t xml:space="preserve">Animating and animal</w:t>
        </w:r>
      </w:hyperlink>
      <w:r>
        <w:rPr>
          <w:b w:val="0"/>
          <w:i w:val="0"/>
        </w:rPr>
        <w:t xml:space="preserve">; </w:t>
      </w:r>
      <w:hyperlink w:anchor="seeds">
        <w:r>
          <w:rPr>
            <w:color w:val="000000"/>
          </w:rPr>
          <w:t xml:space="preserve">Seeds</w:t>
        </w:r>
      </w:hyperlink>
      <w:r>
        <w:rPr>
          <w:b w:val="0"/>
          <w:i w:val="0"/>
        </w:rPr>
        <w:t xml:space="preserve">; </w:t>
      </w:r>
      <w:hyperlink w:anchor="soul">
        <w:r>
          <w:rPr>
            <w:color w:val="000000"/>
          </w:rPr>
          <w:t xml:space="preserve">Soul</w:t>
        </w:r>
      </w:hyperlink>
      <w:r>
        <w:rPr>
          <w:b w:val="0"/>
          <w:i w:val="0"/>
        </w:rPr>
        <w:t xml:space="preserve">; </w:t>
      </w:r>
      <w:hyperlink w:anchor="mind">
        <w:r>
          <w:rPr>
            <w:color w:val="000000"/>
          </w:rPr>
          <w:t xml:space="preserve">Mind</w:t>
        </w:r>
      </w:hyperlink>
    </w:p>
    <w:p>
      <w:bookmarkStart w:id="133" w:name="intention"/>
      <w:pPr>
        <w:pStyle w:val="Heading2"/>
      </w:pPr>
      <w:r>
        <w:rPr>
          <w:b w:val="0"/>
          <w:i w:val="0"/>
        </w:rPr>
        <w:t>Intention</w:t>
      </w:r>
      <w:bookmarkEnd w:id="133"/>
    </w:p>
    <w:p>
      <w:pPr>
        <w:keepNext/>
        <w:widowControl/>
      </w:pPr>
      <w:r>
        <w:rPr>
          <w:b/>
          <w:i w:val="0"/>
        </w:rPr>
        <w:t>Latin:</w:t>
      </w:r>
      <w:r>
        <w:rPr>
          <w:b w:val="0"/>
          <w:i w:val="0"/>
        </w:rPr>
        <w:t xml:space="preserve"> </w:t>
      </w:r>
      <w:r>
        <w:rPr>
          <w:b w:val="0"/>
          <w:i/>
        </w:rPr>
        <w:t>intentio</w:t>
      </w:r>
      <w:r>
        <w:rPr>
          <w:b w:val="0"/>
          <w:i w:val="0"/>
        </w:rPr>
        <w:t xml:space="preserve">; </w:t>
      </w:r>
      <w:r>
        <w:rPr>
          <w:b w:val="0"/>
          <w:i/>
        </w:rPr>
        <w:t>intentione quadam</w:t>
      </w:r>
      <w:r>
        <w:rPr>
          <w:b w:val="0"/>
          <w:i w:val="0"/>
        </w:rPr>
        <w:t xml:space="preserve">; </w:t>
      </w:r>
      <w:r>
        <w:rPr>
          <w:b w:val="0"/>
          <w:i/>
        </w:rPr>
        <w:t>secunda quadam intentione</w:t>
      </w:r>
    </w:p>
    <w:p>
      <w:pPr>
        <w:keepNext/>
        <w:widowControl/>
      </w:pPr>
      <w:r>
        <w:rPr>
          <w:b/>
          <w:i w:val="0"/>
        </w:rPr>
        <w:t>The word.</w:t>
      </w:r>
    </w:p>
    <w:p>
      <w:pPr>
        <w:widowControl/>
      </w:pPr>
      <w:r>
        <w:rPr>
          <w:b w:val="0"/>
          <w:i w:val="0"/>
        </w:rPr>
        <w:t>Intentio can be an orientation of purpose, but secunda quadam intentione locally means a secondary degree or remove. Its force is determined by the construction: the noun does not invariably signify a person’s deliberate choice or an additional act of will.</w:t>
      </w:r>
    </w:p>
    <w:p>
      <w:pPr>
        <w:keepNext/>
        <w:widowControl/>
      </w:pPr>
      <w:r>
        <w:rPr>
          <w:b/>
          <w:i w:val="0"/>
        </w:rPr>
        <w:t>In the Platonic Theology.</w:t>
      </w:r>
    </w:p>
    <w:p>
      <w:pPr>
        <w:widowControl/>
      </w:pPr>
      <w:r>
        <w:rPr>
          <w:b w:val="0"/>
          <w:i w:val="0"/>
        </w:rPr>
        <w:t>Intention does not have one fixed sense in these passages. In II.13.8 an end must precede, in intention, the movements directed toward it: the goal belongs to the explanatory ordering before its execution. In IV.2.7, however, soul’s dependence on the One secunda quadam intentione is rendered at a certain second remove. The latter concerns a secondary degree of dependence, not a second conscious decision. Both uses require the local construction rather than automatic translation as personal purpose.</w:t>
      </w:r>
    </w:p>
    <w:p>
      <w:pPr>
        <w:keepNext/>
        <w:widowControl/>
      </w:pPr>
      <w:r>
        <w:rPr>
          <w:b/>
          <w:i w:val="0"/>
        </w:rPr>
        <w:t>The places.</w:t>
      </w:r>
    </w:p>
    <w:p>
      <w:pPr>
        <w:ind w:left="187" w:hanging="187"/>
      </w:pPr>
      <w:r>
        <w:t xml:space="preserve">• </w:t>
      </w:r>
      <w:r>
        <w:rPr>
          <w:b/>
          <w:i w:val="0"/>
        </w:rPr>
        <w:t>II.13.8 (PDF pp. 220–221)</w:t>
      </w:r>
      <w:r>
        <w:rPr>
          <w:b w:val="0"/>
          <w:i w:val="0"/>
        </w:rPr>
        <w:t>. The end precedes movements directed toward it in intention</w:t>
      </w:r>
    </w:p>
    <w:p>
      <w:pPr>
        <w:ind w:left="187" w:hanging="187"/>
      </w:pPr>
      <w:r>
        <w:t xml:space="preserve">• </w:t>
      </w:r>
      <w:r>
        <w:rPr>
          <w:b/>
          <w:i w:val="0"/>
        </w:rPr>
        <w:t>IV.2.7 (PDF pp. 336–337)</w:t>
      </w:r>
      <w:r>
        <w:rPr>
          <w:b w:val="0"/>
          <w:i w:val="0"/>
        </w:rPr>
        <w:t>. Soul’s second remove from unity explains its stable essence and temporal variation</w:t>
      </w:r>
    </w:p>
    <w:p>
      <w:pPr>
        <w:widowControl/>
      </w:pPr>
      <w:r>
        <w:rPr>
          <w:b/>
          <w:i w:val="0"/>
        </w:rPr>
        <w:t>Further passage references.</w:t>
      </w:r>
      <w:r>
        <w:rPr>
          <w:b w:val="0"/>
          <w:i w:val="0"/>
        </w:rPr>
        <w:t xml:space="preserve"> II.13.8 (PDF pp.220–221); IV.2.7 (pp.336–337); apparatus p.394</w:t>
      </w:r>
    </w:p>
    <w:p>
      <w:pPr>
        <w:keepNext/>
        <w:widowControl/>
      </w:pPr>
      <w:r>
        <w:rPr>
          <w:b/>
          <w:i w:val="0"/>
        </w:rPr>
        <w:t>In this edition.</w:t>
      </w:r>
    </w:p>
    <w:p>
      <w:pPr>
        <w:widowControl/>
      </w:pPr>
      <w:r>
        <w:rPr>
          <w:b w:val="0"/>
          <w:i w:val="0"/>
        </w:rPr>
        <w:t xml:space="preserve">The translation gives </w:t>
      </w:r>
      <w:r>
        <w:t>“</w:t>
      </w:r>
      <w:r>
        <w:rPr>
          <w:b w:val="0"/>
          <w:i w:val="0"/>
        </w:rPr>
        <w:t>in intention</w:t>
      </w:r>
      <w:r>
        <w:t>”</w:t>
      </w:r>
      <w:r>
        <w:rPr>
          <w:b w:val="0"/>
          <w:i w:val="0"/>
        </w:rPr>
        <w:t xml:space="preserve"> at II.13.8 but </w:t>
      </w:r>
      <w:r>
        <w:t>“</w:t>
      </w:r>
      <w:r>
        <w:rPr>
          <w:b w:val="0"/>
          <w:i w:val="0"/>
        </w:rPr>
        <w:t>at a certain second remove</w:t>
      </w:r>
      <w:r>
        <w:t>”</w:t>
      </w:r>
      <w:r>
        <w:rPr>
          <w:b w:val="0"/>
          <w:i w:val="0"/>
        </w:rPr>
        <w:t xml:space="preserve"> at IV.2.7. The difference is explanatory, not inconsistency: one concerns the priority of an end, the other soul’s mediated dependence on the One.</w:t>
      </w:r>
    </w:p>
    <w:p>
      <w:pPr>
        <w:keepNext/>
        <w:widowControl/>
      </w:pPr>
      <w:r>
        <w:rPr>
          <w:b/>
          <w:i w:val="0"/>
        </w:rPr>
        <w:t>See also.</w:t>
      </w:r>
    </w:p>
    <w:p>
      <w:pPr>
        <w:widowControl/>
      </w:pPr>
      <w:hyperlink w:anchor="end-and-limit">
        <w:r>
          <w:rPr>
            <w:color w:val="000000"/>
          </w:rPr>
          <w:t xml:space="preserve">End and limit</w:t>
        </w:r>
      </w:hyperlink>
      <w:r>
        <w:rPr>
          <w:b w:val="0"/>
          <w:i w:val="0"/>
        </w:rPr>
        <w:t xml:space="preserve">; </w:t>
      </w:r>
      <w:hyperlink w:anchor="order-and-harmony">
        <w:r>
          <w:rPr>
            <w:color w:val="000000"/>
          </w:rPr>
          <w:t xml:space="preserve">Order and harmony</w:t>
        </w:r>
      </w:hyperlink>
      <w:r>
        <w:rPr>
          <w:b w:val="0"/>
          <w:i w:val="0"/>
        </w:rPr>
        <w:t xml:space="preserve">; </w:t>
      </w:r>
      <w:hyperlink w:anchor="whole-and-parts">
        <w:r>
          <w:rPr>
            <w:color w:val="000000"/>
          </w:rPr>
          <w:t xml:space="preserve">Whole and parts</w:t>
        </w:r>
      </w:hyperlink>
      <w:r>
        <w:rPr>
          <w:b w:val="0"/>
          <w:i w:val="0"/>
        </w:rPr>
        <w:t xml:space="preserve">; </w:t>
      </w:r>
      <w:hyperlink w:anchor="degree-and-mediation">
        <w:r>
          <w:rPr>
            <w:color w:val="000000"/>
          </w:rPr>
          <w:t xml:space="preserve">Degree and mediation</w:t>
        </w:r>
      </w:hyperlink>
    </w:p>
    <w:p>
      <w:bookmarkStart w:id="134" w:name="intuition-and-comprehension"/>
      <w:pPr>
        <w:pStyle w:val="Heading2"/>
      </w:pPr>
      <w:r>
        <w:rPr>
          <w:b w:val="0"/>
          <w:i w:val="0"/>
        </w:rPr>
        <w:t>Intuition and comprehension</w:t>
      </w:r>
      <w:bookmarkEnd w:id="134"/>
    </w:p>
    <w:p>
      <w:pPr>
        <w:keepNext/>
        <w:widowControl/>
      </w:pPr>
      <w:r>
        <w:rPr>
          <w:b/>
          <w:i w:val="0"/>
        </w:rPr>
        <w:t>Latin:</w:t>
      </w:r>
      <w:r>
        <w:rPr>
          <w:b w:val="0"/>
          <w:i w:val="0"/>
        </w:rPr>
        <w:t xml:space="preserve"> </w:t>
      </w:r>
      <w:r>
        <w:rPr>
          <w:b w:val="0"/>
          <w:i/>
        </w:rPr>
        <w:t>intuitus</w:t>
      </w:r>
      <w:r>
        <w:rPr>
          <w:b w:val="0"/>
          <w:i w:val="0"/>
        </w:rPr>
        <w:t xml:space="preserve">; </w:t>
      </w:r>
      <w:r>
        <w:rPr>
          <w:b w:val="0"/>
          <w:i/>
        </w:rPr>
        <w:t>intueri</w:t>
      </w:r>
      <w:r>
        <w:rPr>
          <w:b w:val="0"/>
          <w:i w:val="0"/>
        </w:rPr>
        <w:t xml:space="preserve">; </w:t>
      </w:r>
      <w:r>
        <w:rPr>
          <w:b w:val="0"/>
          <w:i/>
        </w:rPr>
        <w:t>comprehendere</w:t>
      </w:r>
      <w:r>
        <w:rPr>
          <w:b w:val="0"/>
          <w:i w:val="0"/>
        </w:rPr>
        <w:t xml:space="preserve">; </w:t>
      </w:r>
      <w:r>
        <w:rPr>
          <w:b w:val="0"/>
          <w:i/>
        </w:rPr>
        <w:t>cernere</w:t>
      </w:r>
      <w:r>
        <w:rPr>
          <w:b w:val="0"/>
          <w:i w:val="0"/>
        </w:rPr>
        <w:t xml:space="preserve">; </w:t>
      </w:r>
      <w:r>
        <w:rPr>
          <w:b w:val="0"/>
          <w:i/>
        </w:rPr>
        <w:t>intuendo summatim</w:t>
      </w:r>
    </w:p>
    <w:p>
      <w:pPr>
        <w:keepNext/>
        <w:widowControl/>
      </w:pPr>
      <w:r>
        <w:rPr>
          <w:b/>
          <w:i w:val="0"/>
        </w:rPr>
        <w:t>The word.</w:t>
      </w:r>
    </w:p>
    <w:p>
      <w:pPr>
        <w:widowControl/>
      </w:pPr>
      <w:r>
        <w:rPr>
          <w:b w:val="0"/>
          <w:i w:val="0"/>
        </w:rPr>
        <w:t>Intuitus and intueri designate a gaze or intellectual beholding. Comprehendere can grasp or encompass; the argument tests whether encompassing must impose a bound. Cernere sees or discriminates. Intuendo summatim indicates a gathered act, not an incomplete approximation.</w:t>
      </w:r>
    </w:p>
    <w:p>
      <w:pPr>
        <w:keepNext/>
        <w:widowControl/>
      </w:pPr>
      <w:r>
        <w:rPr>
          <w:b/>
          <w:i w:val="0"/>
        </w:rPr>
        <w:t>In the Platonic Theology.</w:t>
      </w:r>
    </w:p>
    <w:p>
      <w:pPr>
        <w:widowControl/>
      </w:pPr>
      <w:r>
        <w:rPr>
          <w:b w:val="0"/>
          <w:i w:val="0"/>
        </w:rPr>
        <w:t xml:space="preserve">Visual words explain the unity and immediacy of divine knowing. God does not search, enumerate, or move from an important object to a lesser one; he possesses knowledge and sees all in one gaze. Ficino compares this to an eye seeing many stars at once, while recognizing that a sensory comparison does not reproduce God’s mode of cognition. The disputed word </w:t>
      </w:r>
      <w:r>
        <w:rPr>
          <w:b w:val="0"/>
          <w:i/>
        </w:rPr>
        <w:t>comprehendere</w:t>
      </w:r>
      <w:r>
        <w:rPr>
          <w:b w:val="0"/>
          <w:i w:val="0"/>
        </w:rPr>
        <w:t xml:space="preserve"> is particularly important. An objection says that whatever is comprehended must be bounded and therefore finite. Ficino answers that the infinite would indeed not be encompassed by another, but may comprehend itself: divine self-knowledge is wholly commensurate with divine infinity and does not reduce it. The many are known through one form in one act. When he says infinite multitude is seen </w:t>
      </w:r>
      <w:r>
        <w:t>“</w:t>
      </w:r>
      <w:r>
        <w:rPr>
          <w:b w:val="0"/>
          <w:i w:val="0"/>
        </w:rPr>
        <w:t>as finite,</w:t>
      </w:r>
      <w:r>
        <w:t>”</w:t>
      </w:r>
      <w:r>
        <w:rPr>
          <w:b w:val="0"/>
          <w:i w:val="0"/>
        </w:rPr>
        <w:t xml:space="preserve"> he immediately explains this as simplicity in essence with multiplicity in a certain rational respect. The formulation describes the mode of divine knowledge, rather than any failure to recognize the extent of what is known.</w:t>
      </w:r>
    </w:p>
    <w:p>
      <w:pPr>
        <w:keepNext/>
        <w:widowControl/>
      </w:pPr>
      <w:r>
        <w:rPr>
          <w:b/>
          <w:i w:val="0"/>
        </w:rPr>
        <w:t>The places.</w:t>
      </w:r>
    </w:p>
    <w:p>
      <w:pPr>
        <w:ind w:left="187" w:hanging="187"/>
      </w:pPr>
      <w:r>
        <w:t xml:space="preserve">• </w:t>
      </w:r>
      <w:r>
        <w:rPr>
          <w:b/>
          <w:i w:val="0"/>
        </w:rPr>
        <w:t>II.9.20 (PDF pp. 172–173)</w:t>
      </w:r>
      <w:r>
        <w:rPr>
          <w:b w:val="0"/>
          <w:i w:val="0"/>
        </w:rPr>
        <w:t>. God possesses rather than seeks and is not distracted by multiple objects</w:t>
      </w:r>
    </w:p>
    <w:p>
      <w:pPr>
        <w:ind w:left="187" w:hanging="187"/>
      </w:pPr>
      <w:r>
        <w:t xml:space="preserve">• </w:t>
      </w:r>
      <w:r>
        <w:rPr>
          <w:b/>
          <w:i w:val="0"/>
        </w:rPr>
        <w:t>II.9.21 (PDF pp. 174–175)</w:t>
      </w:r>
      <w:r>
        <w:rPr>
          <w:b w:val="0"/>
          <w:i w:val="0"/>
        </w:rPr>
        <w:t>. One gaze at many stars illustrates simultaneous cognition</w:t>
      </w:r>
    </w:p>
    <w:p>
      <w:pPr>
        <w:ind w:left="187" w:hanging="187"/>
      </w:pPr>
      <w:r>
        <w:t xml:space="preserve">• </w:t>
      </w:r>
      <w:r>
        <w:rPr>
          <w:b/>
          <w:i w:val="0"/>
        </w:rPr>
        <w:t>II.10.8 (PDF pp. 178–179)</w:t>
      </w:r>
      <w:r>
        <w:rPr>
          <w:b w:val="0"/>
          <w:i w:val="0"/>
        </w:rPr>
        <w:t>. The objection associates being comprehended with being bounded</w:t>
      </w:r>
    </w:p>
    <w:p>
      <w:pPr>
        <w:ind w:left="187" w:hanging="187"/>
      </w:pPr>
      <w:r>
        <w:t xml:space="preserve">• </w:t>
      </w:r>
      <w:r>
        <w:rPr>
          <w:b/>
          <w:i w:val="0"/>
        </w:rPr>
        <w:t>II.10.9 (PDF pp. 178–179)</w:t>
      </w:r>
      <w:r>
        <w:rPr>
          <w:b w:val="0"/>
          <w:i w:val="0"/>
        </w:rPr>
        <w:t>. Self-comprehension is distinguished from an infinite thing’s enclosure by another</w:t>
      </w:r>
    </w:p>
    <w:p>
      <w:pPr>
        <w:ind w:left="187" w:hanging="187"/>
      </w:pPr>
      <w:r>
        <w:t xml:space="preserve">• </w:t>
      </w:r>
      <w:r>
        <w:rPr>
          <w:b/>
          <w:i w:val="0"/>
        </w:rPr>
        <w:t>II.10.10 (PDF pp. 180–181)</w:t>
      </w:r>
      <w:r>
        <w:rPr>
          <w:b w:val="0"/>
          <w:i w:val="0"/>
        </w:rPr>
        <w:t>. A single form and act encompass what is not counted successively</w:t>
      </w:r>
    </w:p>
    <w:p>
      <w:pPr>
        <w:widowControl/>
      </w:pPr>
      <w:r>
        <w:rPr>
          <w:b/>
          <w:i w:val="0"/>
        </w:rPr>
        <w:t>Further passage references.</w:t>
      </w:r>
      <w:r>
        <w:rPr>
          <w:b w:val="0"/>
          <w:i w:val="0"/>
        </w:rPr>
        <w:t xml:space="preserve"> II.9.20–22, pp. 172–175; II.10.8–12, pp. 178–181.</w:t>
      </w:r>
    </w:p>
    <w:p>
      <w:pPr>
        <w:keepNext/>
        <w:widowControl/>
      </w:pPr>
      <w:r>
        <w:rPr>
          <w:b/>
          <w:i w:val="0"/>
        </w:rPr>
        <w:t>In this edition.</w:t>
      </w:r>
    </w:p>
    <w:p>
      <w:pPr>
        <w:widowControl/>
      </w:pPr>
      <w:r>
        <w:t>“</w:t>
      </w:r>
      <w:r>
        <w:rPr>
          <w:b w:val="0"/>
          <w:i w:val="0"/>
        </w:rPr>
        <w:t>Comprehended</w:t>
      </w:r>
      <w:r>
        <w:t>”</w:t>
      </w:r>
      <w:r>
        <w:rPr>
          <w:b w:val="0"/>
          <w:i w:val="0"/>
        </w:rPr>
        <w:t xml:space="preserve"> should retain the objection’s possible bounding sense until Ficino distinguishes being encompassed by another from infinite self-comprehension. </w:t>
      </w:r>
      <w:r>
        <w:t>“</w:t>
      </w:r>
      <w:r>
        <w:rPr>
          <w:b w:val="0"/>
          <w:i w:val="0"/>
        </w:rPr>
        <w:t>As finite</w:t>
      </w:r>
      <w:r>
        <w:t>”</w:t>
      </w:r>
      <w:r>
        <w:rPr>
          <w:b w:val="0"/>
          <w:i w:val="0"/>
        </w:rPr>
        <w:t xml:space="preserve"> in II.10.10 comes with an immediate gloss about simplicity in essence, not a denial of the known plurality’s infinity.</w:t>
      </w:r>
    </w:p>
    <w:p>
      <w:pPr>
        <w:keepNext/>
        <w:widowControl/>
      </w:pPr>
      <w:r>
        <w:rPr>
          <w:b/>
          <w:i w:val="0"/>
        </w:rPr>
        <w:t>See also.</w:t>
      </w:r>
    </w:p>
    <w:p>
      <w:pPr>
        <w:widowControl/>
      </w:pPr>
      <w:hyperlink w:anchor="self-knowledge">
        <w:r>
          <w:rPr>
            <w:color w:val="000000"/>
          </w:rPr>
          <w:t xml:space="preserve">Self knowledge</w:t>
        </w:r>
      </w:hyperlink>
      <w:r>
        <w:rPr>
          <w:b w:val="0"/>
          <w:i w:val="0"/>
        </w:rPr>
        <w:t xml:space="preserve">; </w:t>
      </w:r>
      <w:hyperlink w:anchor="infinity">
        <w:r>
          <w:rPr>
            <w:color w:val="000000"/>
          </w:rPr>
          <w:t xml:space="preserve">Infinity</w:t>
        </w:r>
      </w:hyperlink>
      <w:r>
        <w:rPr>
          <w:b w:val="0"/>
          <w:i w:val="0"/>
        </w:rPr>
        <w:t xml:space="preserve">; </w:t>
      </w:r>
      <w:hyperlink w:anchor="reason-and-account">
        <w:r>
          <w:rPr>
            <w:color w:val="000000"/>
          </w:rPr>
          <w:t xml:space="preserve">Reason and account</w:t>
        </w:r>
      </w:hyperlink>
      <w:r>
        <w:rPr>
          <w:b w:val="0"/>
          <w:i w:val="0"/>
        </w:rPr>
        <w:t xml:space="preserve">; </w:t>
      </w:r>
      <w:hyperlink w:anchor="form">
        <w:r>
          <w:rPr>
            <w:color w:val="000000"/>
          </w:rPr>
          <w:t xml:space="preserve">Form</w:t>
        </w:r>
      </w:hyperlink>
      <w:r>
        <w:rPr>
          <w:b w:val="0"/>
          <w:i w:val="0"/>
        </w:rPr>
        <w:t xml:space="preserve">; </w:t>
      </w:r>
      <w:hyperlink w:anchor="species">
        <w:r>
          <w:rPr>
            <w:color w:val="000000"/>
          </w:rPr>
          <w:t xml:space="preserve">Species</w:t>
        </w:r>
      </w:hyperlink>
      <w:r>
        <w:rPr>
          <w:b w:val="0"/>
          <w:i w:val="0"/>
        </w:rPr>
        <w:t xml:space="preserve">; </w:t>
      </w:r>
      <w:hyperlink w:anchor="universals-and-individuals">
        <w:r>
          <w:rPr>
            <w:color w:val="000000"/>
          </w:rPr>
          <w:t xml:space="preserve">Universals and individuals</w:t>
        </w:r>
      </w:hyperlink>
      <w:r>
        <w:rPr>
          <w:b w:val="0"/>
          <w:i w:val="0"/>
        </w:rPr>
        <w:t xml:space="preserve">; </w:t>
      </w:r>
      <w:hyperlink w:anchor="intuition-and-discourse">
        <w:r>
          <w:rPr>
            <w:color w:val="000000"/>
          </w:rPr>
          <w:t xml:space="preserve">Intuition and discourse</w:t>
        </w:r>
      </w:hyperlink>
    </w:p>
    <w:p>
      <w:bookmarkStart w:id="135" w:name="intuition-and-discourse"/>
      <w:pPr>
        <w:pStyle w:val="Heading2"/>
      </w:pPr>
      <w:r>
        <w:rPr>
          <w:b w:val="0"/>
          <w:i w:val="0"/>
        </w:rPr>
        <w:t>Intuition and discourse</w:t>
      </w:r>
      <w:bookmarkEnd w:id="135"/>
    </w:p>
    <w:p>
      <w:pPr>
        <w:keepNext/>
        <w:widowControl/>
      </w:pPr>
      <w:r>
        <w:rPr>
          <w:b/>
          <w:i w:val="0"/>
        </w:rPr>
        <w:t>Latin:</w:t>
      </w:r>
      <w:r>
        <w:rPr>
          <w:b w:val="0"/>
          <w:i w:val="0"/>
        </w:rPr>
        <w:t xml:space="preserve"> </w:t>
      </w:r>
      <w:r>
        <w:rPr>
          <w:b w:val="0"/>
          <w:i/>
        </w:rPr>
        <w:t>intuitus</w:t>
      </w:r>
      <w:r>
        <w:rPr>
          <w:b w:val="0"/>
          <w:i w:val="0"/>
        </w:rPr>
        <w:t xml:space="preserve">; </w:t>
      </w:r>
      <w:r>
        <w:rPr>
          <w:b w:val="0"/>
          <w:i/>
        </w:rPr>
        <w:t>discursus</w:t>
      </w:r>
      <w:r>
        <w:rPr>
          <w:b w:val="0"/>
          <w:i w:val="0"/>
        </w:rPr>
        <w:t xml:space="preserve">; </w:t>
      </w:r>
      <w:r>
        <w:rPr>
          <w:b w:val="0"/>
          <w:i/>
        </w:rPr>
        <w:t>discurrendo</w:t>
      </w:r>
      <w:r>
        <w:rPr>
          <w:b w:val="0"/>
          <w:i w:val="0"/>
        </w:rPr>
        <w:t xml:space="preserve">; </w:t>
      </w:r>
      <w:r>
        <w:rPr>
          <w:b w:val="0"/>
          <w:i/>
        </w:rPr>
        <w:t>consilium</w:t>
      </w:r>
      <w:r>
        <w:rPr>
          <w:b w:val="0"/>
          <w:i w:val="0"/>
        </w:rPr>
        <w:t xml:space="preserve">; </w:t>
      </w:r>
      <w:r>
        <w:rPr>
          <w:b w:val="0"/>
          <w:i/>
        </w:rPr>
        <w:t>cognoscere</w:t>
      </w:r>
      <w:r>
        <w:rPr>
          <w:b w:val="0"/>
          <w:i w:val="0"/>
        </w:rPr>
        <w:t xml:space="preserve">; </w:t>
      </w:r>
      <w:r>
        <w:rPr>
          <w:b w:val="0"/>
          <w:i/>
        </w:rPr>
        <w:t>speculatio</w:t>
      </w:r>
    </w:p>
    <w:p>
      <w:pPr>
        <w:keepNext/>
        <w:widowControl/>
      </w:pPr>
      <w:r>
        <w:rPr>
          <w:b/>
          <w:i w:val="0"/>
        </w:rPr>
        <w:t>The word.</w:t>
      </w:r>
    </w:p>
    <w:p>
      <w:pPr>
        <w:widowControl/>
      </w:pPr>
      <w:r>
        <w:rPr>
          <w:b w:val="0"/>
          <w:i w:val="0"/>
        </w:rPr>
        <w:t>Discursus and discurrere can mean movement or ranging through successive acts; they do not chiefly mean conversation here. Intuitus is a unitary intellectual seeing rather than a hunch. Consilium can mean an intelligent plan without the hesitation associated with human deliberation.</w:t>
      </w:r>
    </w:p>
    <w:p>
      <w:pPr>
        <w:keepNext/>
        <w:widowControl/>
      </w:pPr>
      <w:r>
        <w:rPr>
          <w:b/>
          <w:i w:val="0"/>
        </w:rPr>
        <w:t>In the Platonic Theology.</w:t>
      </w:r>
    </w:p>
    <w:p>
      <w:pPr>
        <w:widowControl/>
      </w:pPr>
      <w:r>
        <w:rPr>
          <w:b w:val="0"/>
          <w:i w:val="0"/>
        </w:rPr>
        <w:t xml:space="preserve">Intuition in these passages means an immediate intellectual seeing; discourse is movement through a succession of acts or considerations. It does not mean conversation. When Ficino calls the world’s ordering principle </w:t>
      </w:r>
      <w:r>
        <w:t>“</w:t>
      </w:r>
      <w:r>
        <w:rPr>
          <w:b w:val="0"/>
          <w:i w:val="0"/>
        </w:rPr>
        <w:t>counsel,</w:t>
      </w:r>
      <w:r>
        <w:t>”</w:t>
      </w:r>
      <w:r>
        <w:rPr>
          <w:b w:val="0"/>
          <w:i w:val="0"/>
        </w:rPr>
        <w:t xml:space="preserve"> he expressly says that the word is metaphorical: one thing is made for the sake of another, but the divine craftsman is not uncertainly investigating one thing by means of another. Perfect skill supplies the analogy of action without hesitant deliberation.</w:t>
      </w:r>
    </w:p>
    <w:p>
      <w:pPr>
        <w:widowControl/>
      </w:pPr>
      <w:r>
        <w:rPr>
          <w:b w:val="0"/>
          <w:i w:val="0"/>
        </w:rPr>
        <w:t xml:space="preserve">Rational soul has the different mode of understanding by discourse. The painter Apelles attends to one plant and then another, although the meadow presents itself all at once. Likewise, soul’s temporal activity progressively receives and works through what comes from an undivided higher source. This difference helps explain how an immutable cause can be associated with changing effects without itself passing through the recipient’s sequence. Neither </w:t>
      </w:r>
      <w:r>
        <w:t>“</w:t>
      </w:r>
      <w:r>
        <w:rPr>
          <w:b w:val="0"/>
          <w:i w:val="0"/>
        </w:rPr>
        <w:t>intuition</w:t>
      </w:r>
      <w:r>
        <w:t>”</w:t>
      </w:r>
      <w:r>
        <w:rPr>
          <w:b w:val="0"/>
          <w:i w:val="0"/>
        </w:rPr>
        <w:t xml:space="preserve"> nor </w:t>
      </w:r>
      <w:r>
        <w:t>“</w:t>
      </w:r>
      <w:r>
        <w:rPr>
          <w:b w:val="0"/>
          <w:i w:val="0"/>
        </w:rPr>
        <w:t>discourse</w:t>
      </w:r>
      <w:r>
        <w:t>”</w:t>
      </w:r>
      <w:r>
        <w:rPr>
          <w:b w:val="0"/>
          <w:i w:val="0"/>
        </w:rPr>
        <w:t xml:space="preserve"> should be imported directly from modern popular usage: the first is not mere hunch, and the second is not principally speech. The contrast concerns simultaneity and succession in cognition and action.</w:t>
      </w:r>
    </w:p>
    <w:p>
      <w:pPr>
        <w:widowControl/>
      </w:pPr>
      <w:r>
        <w:rPr>
          <w:b w:val="0"/>
          <w:i w:val="0"/>
        </w:rPr>
        <w:t xml:space="preserve">The wider word family also describes temporal succession without requiring inferential reasoning. At III.2.21, </w:t>
      </w:r>
      <w:r>
        <w:rPr>
          <w:b w:val="0"/>
          <w:i/>
        </w:rPr>
        <w:t>discursio</w:t>
      </w:r>
      <w:r>
        <w:rPr>
          <w:b w:val="0"/>
          <w:i w:val="0"/>
        </w:rPr>
        <w:t xml:space="preserve"> is explicitly opposed to spatial division: soul’s activity is divided by a course through time, although its substance is not divided by bodily dimension. This operational use must be distinguished from the more specific account of reasoning from one consideration to another.</w:t>
      </w:r>
    </w:p>
    <w:p>
      <w:pPr>
        <w:keepNext/>
        <w:widowControl/>
      </w:pPr>
      <w:r>
        <w:rPr>
          <w:b/>
          <w:i w:val="0"/>
        </w:rPr>
        <w:t>The places.</w:t>
      </w:r>
    </w:p>
    <w:p>
      <w:pPr>
        <w:ind w:left="187" w:hanging="187"/>
      </w:pPr>
      <w:r>
        <w:t xml:space="preserve">• </w:t>
      </w:r>
      <w:r>
        <w:rPr>
          <w:b/>
          <w:i w:val="0"/>
        </w:rPr>
        <w:t>II.6.22 (PDF pp. 140–141)</w:t>
      </w:r>
      <w:r>
        <w:rPr>
          <w:b w:val="0"/>
          <w:i w:val="0"/>
        </w:rPr>
        <w:t>. Mind ranges through immensity in its operation within the attributed presence theory</w:t>
      </w:r>
    </w:p>
    <w:p>
      <w:pPr>
        <w:ind w:left="187" w:hanging="187"/>
      </w:pPr>
      <w:r>
        <w:t xml:space="preserve">• </w:t>
      </w:r>
      <w:r>
        <w:rPr>
          <w:b/>
          <w:i w:val="0"/>
        </w:rPr>
        <w:t>II.9.20 (PDF pp. 172–173)</w:t>
      </w:r>
      <w:r>
        <w:rPr>
          <w:b w:val="0"/>
          <w:i w:val="0"/>
        </w:rPr>
        <w:t>. Divine possession of knowledge differs from searching or diverting attention</w:t>
      </w:r>
    </w:p>
    <w:p>
      <w:pPr>
        <w:ind w:left="187" w:hanging="187"/>
      </w:pPr>
      <w:r>
        <w:t xml:space="preserve">• </w:t>
      </w:r>
      <w:r>
        <w:rPr>
          <w:b/>
          <w:i w:val="0"/>
        </w:rPr>
        <w:t>III.2.23 (PDF pp. 274–275)</w:t>
      </w:r>
      <w:r>
        <w:rPr>
          <w:b w:val="0"/>
          <w:i w:val="0"/>
        </w:rPr>
        <w:t>. Soul is characterized as understanding through time</w:t>
      </w:r>
    </w:p>
    <w:p>
      <w:pPr>
        <w:ind w:left="187" w:hanging="187"/>
      </w:pPr>
      <w:r>
        <w:t xml:space="preserve">• </w:t>
      </w:r>
      <w:r>
        <w:rPr>
          <w:b/>
          <w:i w:val="0"/>
        </w:rPr>
        <w:t>IV.2.11 (PDF pp. 338–339)</w:t>
      </w:r>
      <w:r>
        <w:rPr>
          <w:b w:val="0"/>
          <w:i w:val="0"/>
        </w:rPr>
        <w:t>. The account distinguishes motion through time from completion in a moment</w:t>
      </w:r>
    </w:p>
    <w:p>
      <w:pPr>
        <w:widowControl/>
      </w:pPr>
      <w:r>
        <w:rPr>
          <w:b/>
          <w:i w:val="0"/>
        </w:rPr>
        <w:t>Further passage references.</w:t>
      </w:r>
      <w:r>
        <w:rPr>
          <w:b w:val="0"/>
          <w:i w:val="0"/>
        </w:rPr>
        <w:t xml:space="preserve"> II.11.18, PDF 190–191; II.13.17–19, PDF 228–229; III.1.28–31, PDF 258–259; III.2.23, 28–30, PDF 274–279; III.2.21, PDF pp. 272–273.</w:t>
      </w:r>
    </w:p>
    <w:p>
      <w:pPr>
        <w:keepNext/>
        <w:widowControl/>
      </w:pPr>
      <w:r>
        <w:rPr>
          <w:b/>
          <w:i w:val="0"/>
        </w:rPr>
        <w:t>In this edition.</w:t>
      </w:r>
    </w:p>
    <w:p>
      <w:pPr>
        <w:widowControl/>
      </w:pPr>
      <w:r>
        <w:rPr>
          <w:b w:val="0"/>
          <w:i w:val="0"/>
        </w:rPr>
        <w:t>At IV.2.11 action passing through intermediaries is called motion; temporal passage and momentary completion distinguish temporal from eternal motion. This broad operational sense should not be confused with every narrower instance of discursive reasoning. The retained prior treatment explains the painter analogy separately.</w:t>
      </w:r>
    </w:p>
    <w:p>
      <w:pPr>
        <w:keepNext/>
        <w:widowControl/>
      </w:pPr>
      <w:r>
        <w:rPr>
          <w:b/>
          <w:i w:val="0"/>
        </w:rPr>
        <w:t>See also.</w:t>
      </w:r>
    </w:p>
    <w:p>
      <w:pPr>
        <w:widowControl/>
      </w:pPr>
      <w:hyperlink w:anchor="art-and-nature">
        <w:r>
          <w:rPr>
            <w:color w:val="000000"/>
          </w:rPr>
          <w:t xml:space="preserve">Art and nature</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motion-and-stability">
        <w:r>
          <w:rPr>
            <w:color w:val="000000"/>
          </w:rPr>
          <w:t xml:space="preserve">Motion and stability</w:t>
        </w:r>
      </w:hyperlink>
      <w:r>
        <w:rPr>
          <w:b w:val="0"/>
          <w:i w:val="0"/>
        </w:rPr>
        <w:t xml:space="preserve">; </w:t>
      </w:r>
      <w:hyperlink w:anchor="eternity-and-time">
        <w:r>
          <w:rPr>
            <w:color w:val="000000"/>
          </w:rPr>
          <w:t xml:space="preserve">Eternity and time</w:t>
        </w:r>
      </w:hyperlink>
      <w:r>
        <w:rPr>
          <w:b w:val="0"/>
          <w:i w:val="0"/>
        </w:rPr>
        <w:t xml:space="preserve">; </w:t>
      </w:r>
      <w:hyperlink w:anchor="indivisibility">
        <w:r>
          <w:rPr>
            <w:color w:val="000000"/>
          </w:rPr>
          <w:t xml:space="preserve">Indivisibility</w:t>
        </w:r>
      </w:hyperlink>
    </w:p>
    <w:p>
      <w:bookmarkStart w:id="136" w:name="john-and-amelius"/>
      <w:pPr>
        <w:pStyle w:val="Heading2"/>
      </w:pPr>
      <w:r>
        <w:rPr>
          <w:b w:val="0"/>
          <w:i w:val="0"/>
        </w:rPr>
        <w:t>John and Amelius</w:t>
      </w:r>
      <w:bookmarkEnd w:id="136"/>
    </w:p>
    <w:p>
      <w:pPr>
        <w:keepNext/>
        <w:widowControl/>
      </w:pPr>
      <w:r>
        <w:rPr>
          <w:b/>
          <w:i w:val="0"/>
        </w:rPr>
        <w:t>Latin:</w:t>
      </w:r>
      <w:r>
        <w:rPr>
          <w:b w:val="0"/>
          <w:i w:val="0"/>
        </w:rPr>
        <w:t xml:space="preserve"> Ioannis apostoli theologia; theologorum omnium divinissimi; Platonicus Amelius; amplectitur; principii rationem; principii rationalis amorem</w:t>
      </w:r>
    </w:p>
    <w:p>
      <w:pPr>
        <w:keepNext/>
        <w:widowControl/>
      </w:pPr>
      <w:r>
        <w:rPr>
          <w:b/>
          <w:i w:val="0"/>
        </w:rPr>
        <w:t>The word.</w:t>
      </w:r>
    </w:p>
    <w:p>
      <w:pPr>
        <w:widowControl/>
      </w:pPr>
      <w:r>
        <w:rPr>
          <w:b w:val="0"/>
          <w:i w:val="0"/>
        </w:rPr>
        <w:t>Ioannis apostoli identifies John the apostle; Amelius is called a Platonist. Amplecti literally evokes embracing and here conveys welcoming or accepting a teaching. Ratio in principii rationem is the reason of the principle, within a theological sequence of principle, reason, and love.</w:t>
      </w:r>
    </w:p>
    <w:p>
      <w:pPr>
        <w:keepNext/>
        <w:widowControl/>
      </w:pPr>
      <w:r>
        <w:rPr>
          <w:b/>
          <w:i w:val="0"/>
        </w:rPr>
        <w:t>In the Platonic Theology.</w:t>
      </w:r>
    </w:p>
    <w:p>
      <w:pPr>
        <w:widowControl/>
      </w:pPr>
      <w:r>
        <w:rPr>
          <w:b w:val="0"/>
          <w:i w:val="0"/>
        </w:rPr>
        <w:t>Ficino brings John’s theology and Amelius’s reception into his identification of unity, truth, and goodness as one divine substance. He aligns unity with principle, truth with the principle’s reason, and goodness with the love of the rational principle. He does not introduce three independent first causes. The surrounding inversions, true good unity, one good truth, and one true goodness, insist on the identity of the substance under these descriptions.</w:t>
      </w:r>
    </w:p>
    <w:p>
      <w:pPr>
        <w:widowControl/>
      </w:pPr>
      <w:r>
        <w:rPr>
          <w:b w:val="0"/>
          <w:i w:val="0"/>
        </w:rPr>
        <w:t>The names function as attributed authorities within Ficino’s synthesis. The supplied passage gives neither a direct Johannine chapter reference nor a work-title for Amelius. It should not be expanded into a verified history of transmission or a quotation of a specific biblical verse without further evidence.</w:t>
      </w:r>
    </w:p>
    <w:p>
      <w:pPr>
        <w:keepNext/>
        <w:widowControl/>
      </w:pPr>
      <w:r>
        <w:rPr>
          <w:b/>
          <w:i w:val="0"/>
        </w:rPr>
        <w:t>The places.</w:t>
      </w:r>
    </w:p>
    <w:p>
      <w:pPr>
        <w:ind w:left="187" w:hanging="187"/>
      </w:pPr>
      <w:r>
        <w:t xml:space="preserve">• </w:t>
      </w:r>
      <w:r>
        <w:rPr>
          <w:b w:val="0"/>
          <w:i w:val="0"/>
        </w:rPr>
        <w:t>II.3.10 (PDF pp. 120–121): John’s theology and Amelius’s acceptance accompany the principle–reason–love alignment</w:t>
      </w:r>
    </w:p>
    <w:p>
      <w:pPr>
        <w:keepNext/>
        <w:widowControl/>
      </w:pPr>
      <w:r>
        <w:rPr>
          <w:b/>
          <w:i w:val="0"/>
        </w:rPr>
        <w:t>In this edition.</w:t>
      </w:r>
    </w:p>
    <w:p>
      <w:pPr>
        <w:widowControl/>
      </w:pPr>
      <w:r>
        <w:rPr>
          <w:b w:val="0"/>
          <w:i w:val="0"/>
        </w:rPr>
        <w:t xml:space="preserve">The English </w:t>
      </w:r>
      <w:r>
        <w:t>“</w:t>
      </w:r>
      <w:r>
        <w:rPr>
          <w:b w:val="0"/>
          <w:i w:val="0"/>
        </w:rPr>
        <w:t>gladly embraces</w:t>
      </w:r>
      <w:r>
        <w:t>”</w:t>
      </w:r>
      <w:r>
        <w:rPr>
          <w:b w:val="0"/>
          <w:i w:val="0"/>
        </w:rPr>
        <w:t xml:space="preserve"> preserves the receptive force of amplectitur. The apparatus (PDF p. 369) explains that the translation makes unitatem vocat passive to avoid imposing an uncertain personal subject after the Johannine parenthesis. </w:t>
      </w:r>
      <w:r>
        <w:t>“</w:t>
      </w:r>
      <w:r>
        <w:rPr>
          <w:b w:val="0"/>
          <w:i w:val="0"/>
        </w:rPr>
        <w:t>Reason</w:t>
      </w:r>
      <w:r>
        <w:t>”</w:t>
      </w:r>
      <w:r>
        <w:rPr>
          <w:b w:val="0"/>
          <w:i w:val="0"/>
        </w:rPr>
        <w:t xml:space="preserve"> translates ratio; inserting </w:t>
      </w:r>
      <w:r>
        <w:t>“</w:t>
      </w:r>
      <w:r>
        <w:rPr>
          <w:b w:val="0"/>
          <w:i w:val="0"/>
        </w:rPr>
        <w:t>Word</w:t>
      </w:r>
      <w:r>
        <w:t>”</w:t>
      </w:r>
      <w:r>
        <w:rPr>
          <w:b w:val="0"/>
          <w:i w:val="0"/>
        </w:rPr>
        <w:t xml:space="preserve"> as though it were the printed Latin would obscure the difference from verbum in the later mental-presence account.</w:t>
      </w:r>
    </w:p>
    <w:p>
      <w:pPr>
        <w:keepNext/>
        <w:widowControl/>
      </w:pPr>
      <w:r>
        <w:rPr>
          <w:b/>
          <w:i w:val="0"/>
        </w:rPr>
        <w:t>See also.</w:t>
      </w:r>
    </w:p>
    <w:p>
      <w:pPr>
        <w:widowControl/>
      </w:pPr>
      <w:hyperlink w:anchor="principle">
        <w:r>
          <w:rPr>
            <w:color w:val="000000"/>
          </w:rPr>
          <w:t xml:space="preserve">Principle</w:t>
        </w:r>
      </w:hyperlink>
      <w:r>
        <w:rPr>
          <w:b w:val="0"/>
          <w:i w:val="0"/>
        </w:rPr>
        <w:t xml:space="preserve">; </w:t>
      </w:r>
      <w:hyperlink w:anchor="unity-and-multiplicity">
        <w:r>
          <w:rPr>
            <w:color w:val="000000"/>
          </w:rPr>
          <w:t xml:space="preserve">Unity and multiplicity</w:t>
        </w:r>
      </w:hyperlink>
      <w:r>
        <w:rPr>
          <w:b w:val="0"/>
          <w:i w:val="0"/>
        </w:rPr>
        <w:t xml:space="preserve">; </w:t>
      </w:r>
      <w:hyperlink w:anchor="truth">
        <w:r>
          <w:rPr>
            <w:color w:val="000000"/>
          </w:rPr>
          <w:t xml:space="preserve">Truth</w:t>
        </w:r>
      </w:hyperlink>
      <w:r>
        <w:rPr>
          <w:b w:val="0"/>
          <w:i w:val="0"/>
        </w:rPr>
        <w:t xml:space="preserve">; </w:t>
      </w:r>
      <w:hyperlink w:anchor="word-and-meaning">
        <w:r>
          <w:rPr>
            <w:color w:val="000000"/>
          </w:rPr>
          <w:t xml:space="preserve">Word and meaning</w:t>
        </w:r>
      </w:hyperlink>
      <w:r>
        <w:rPr>
          <w:b w:val="0"/>
          <w:i w:val="0"/>
        </w:rPr>
        <w:t>.</w:t>
      </w:r>
    </w:p>
    <w:p>
      <w:bookmarkStart w:id="137" w:name="kinship-and-separation"/>
      <w:pPr>
        <w:pStyle w:val="Heading2"/>
      </w:pPr>
      <w:r>
        <w:rPr>
          <w:b w:val="0"/>
          <w:i w:val="0"/>
        </w:rPr>
        <w:t>Kinship and separation</w:t>
      </w:r>
      <w:bookmarkEnd w:id="137"/>
    </w:p>
    <w:p>
      <w:pPr>
        <w:keepNext/>
        <w:widowControl/>
      </w:pPr>
      <w:r>
        <w:rPr>
          <w:b/>
          <w:i w:val="0"/>
        </w:rPr>
        <w:t>Latin:</w:t>
      </w:r>
      <w:r>
        <w:rPr>
          <w:b w:val="0"/>
          <w:i w:val="0"/>
        </w:rPr>
        <w:t xml:space="preserve"> cognatio; capax; proficit; discessus a materia; separari; semotum; seorsum; materiae conditionibus</w:t>
      </w:r>
    </w:p>
    <w:p>
      <w:pPr>
        <w:keepNext/>
        <w:widowControl/>
      </w:pPr>
      <w:r>
        <w:rPr>
          <w:b/>
          <w:i w:val="0"/>
        </w:rPr>
        <w:t>The word.</w:t>
      </w:r>
    </w:p>
    <w:p>
      <w:pPr>
        <w:widowControl/>
      </w:pPr>
      <w:r>
        <w:rPr>
          <w:b w:val="0"/>
          <w:i w:val="0"/>
        </w:rPr>
        <w:t>Cognatio is kinship or affinity; capax means capable of receiving or grasping. Discessus names a departure or separation, and seorsum means apart. In this argument separation concerns the conditions of intelligibility, not merely movement away from a physical object.</w:t>
      </w:r>
    </w:p>
    <w:p>
      <w:pPr>
        <w:keepNext/>
        <w:widowControl/>
      </w:pPr>
      <w:r>
        <w:rPr>
          <w:b/>
          <w:i w:val="0"/>
        </w:rPr>
        <w:t>In the Platonic Theology.</w:t>
      </w:r>
    </w:p>
    <w:p>
      <w:pPr>
        <w:widowControl/>
      </w:pPr>
      <w:r>
        <w:rPr>
          <w:b w:val="0"/>
          <w:i w:val="0"/>
        </w:rPr>
        <w:t>Ficino argues that intellect could not receive an intelligible object without some kinship with it. He then connects two claims: separation from matter makes a form intelligible, and more fundamentally freedom from matter makes a thing intelligent. The direction of the argument should remain visible. Becoming available as an object of thought and being a thinking subject are different achievements, even though he traces both to immateriality.</w:t>
      </w:r>
    </w:p>
    <w:p>
      <w:pPr>
        <w:widowControl/>
      </w:pPr>
      <w:r>
        <w:rPr>
          <w:b w:val="0"/>
          <w:i w:val="0"/>
        </w:rPr>
        <w:t xml:space="preserve">The passage next assigns the most exact understanding to God, who is most remote from matter. </w:t>
      </w:r>
      <w:r>
        <w:t>“</w:t>
      </w:r>
      <w:r>
        <w:rPr>
          <w:b w:val="0"/>
          <w:i w:val="0"/>
        </w:rPr>
        <w:t>Remote</w:t>
      </w:r>
      <w:r>
        <w:t>”</w:t>
      </w:r>
      <w:r>
        <w:rPr>
          <w:b w:val="0"/>
          <w:i w:val="0"/>
        </w:rPr>
        <w:t xml:space="preserve"> is not a distance measured beyond the last body. The text explicitly includes thinking things apart from matter and its conditions. It is thus concerned with the mode in which objects are known and with the nature of the knower.</w:t>
      </w:r>
    </w:p>
    <w:p>
      <w:pPr>
        <w:keepNext/>
        <w:widowControl/>
      </w:pPr>
      <w:r>
        <w:rPr>
          <w:b/>
          <w:i w:val="0"/>
        </w:rPr>
        <w:t>The places.</w:t>
      </w:r>
    </w:p>
    <w:p>
      <w:pPr>
        <w:ind w:left="187" w:hanging="187"/>
      </w:pPr>
      <w:r>
        <w:t xml:space="preserve">• </w:t>
      </w:r>
      <w:r>
        <w:rPr>
          <w:b w:val="0"/>
          <w:i w:val="0"/>
        </w:rPr>
        <w:t>II.9.1 (PDF pp. 164–165): Kinship links intelligible object and intellect, followed by the argument from separation</w:t>
      </w:r>
    </w:p>
    <w:p>
      <w:pPr>
        <w:ind w:left="187" w:hanging="187"/>
      </w:pPr>
      <w:r>
        <w:t xml:space="preserve">• </w:t>
      </w:r>
      <w:r>
        <w:rPr>
          <w:b w:val="0"/>
          <w:i w:val="0"/>
        </w:rPr>
        <w:t>II.9.2 (PDF pp. 164–165): God’s maximal remoteness from matter grounds exact understanding</w:t>
      </w:r>
    </w:p>
    <w:p>
      <w:pPr>
        <w:keepNext/>
        <w:widowControl/>
      </w:pPr>
      <w:r>
        <w:rPr>
          <w:b/>
          <w:i w:val="0"/>
        </w:rPr>
        <w:t>In this edition.</w:t>
      </w:r>
    </w:p>
    <w:p>
      <w:pPr>
        <w:widowControl/>
      </w:pPr>
      <w:r>
        <w:rPr>
          <w:b w:val="0"/>
          <w:i w:val="0"/>
        </w:rPr>
        <w:t>Intelligenda and intelligibilis are locally explained as what can properly be understood; intelligens identifies what understands. Preserving the contrast avoids confusing a comprehensible form with a knowing mind.</w:t>
      </w:r>
    </w:p>
    <w:p>
      <w:pPr>
        <w:keepNext/>
        <w:widowControl/>
      </w:pPr>
      <w:r>
        <w:rPr>
          <w:b/>
          <w:i w:val="0"/>
        </w:rPr>
        <w:t>See also.</w:t>
      </w:r>
    </w:p>
    <w:p>
      <w:pPr>
        <w:widowControl/>
      </w:pPr>
      <w:hyperlink w:anchor="separation-and-abstraction">
        <w:r>
          <w:rPr>
            <w:color w:val="000000"/>
          </w:rPr>
          <w:t xml:space="preserve">Separation and abstraction</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object-and-adequate-object">
        <w:r>
          <w:rPr>
            <w:color w:val="000000"/>
          </w:rPr>
          <w:t xml:space="preserve">Object and adequate object</w:t>
        </w:r>
      </w:hyperlink>
      <w:r>
        <w:rPr>
          <w:b w:val="0"/>
          <w:i w:val="0"/>
        </w:rPr>
        <w:t>.</w:t>
      </w:r>
    </w:p>
    <w:p>
      <w:bookmarkStart w:id="138" w:name="least-natural-degree"/>
      <w:pPr>
        <w:pStyle w:val="Heading2"/>
      </w:pPr>
      <w:r>
        <w:rPr>
          <w:b w:val="0"/>
          <w:i w:val="0"/>
        </w:rPr>
        <w:t>Least natural degree</w:t>
      </w:r>
      <w:bookmarkEnd w:id="138"/>
    </w:p>
    <w:p>
      <w:pPr>
        <w:keepNext/>
        <w:widowControl/>
      </w:pPr>
      <w:r>
        <w:rPr>
          <w:b/>
          <w:i w:val="0"/>
        </w:rPr>
        <w:t>Latin:</w:t>
      </w:r>
      <w:r>
        <w:rPr>
          <w:b w:val="0"/>
          <w:i w:val="0"/>
        </w:rPr>
        <w:t xml:space="preserve"> </w:t>
      </w:r>
      <w:r>
        <w:rPr>
          <w:b w:val="0"/>
          <w:i/>
        </w:rPr>
        <w:t>gradus minimus naturalis</w:t>
      </w:r>
    </w:p>
    <w:p>
      <w:pPr>
        <w:keepNext/>
        <w:widowControl/>
      </w:pPr>
      <w:r>
        <w:rPr>
          <w:b/>
          <w:i w:val="0"/>
        </w:rPr>
        <w:t>The word.</w:t>
      </w:r>
    </w:p>
    <w:p>
      <w:pPr>
        <w:widowControl/>
      </w:pPr>
      <w:r>
        <w:rPr>
          <w:b w:val="0"/>
          <w:i w:val="0"/>
        </w:rPr>
        <w:t>Gradus is a degree or rank; minimus the least; naturalis qualifies the degree belonging to natural form. The phrase names a comparatively indivisible point of reference within a kind, not a material atom or an independently explained physical minimum.</w:t>
      </w:r>
    </w:p>
    <w:p>
      <w:pPr>
        <w:keepNext/>
        <w:widowControl/>
      </w:pPr>
      <w:r>
        <w:rPr>
          <w:b/>
          <w:i w:val="0"/>
        </w:rPr>
        <w:t>In the Platonic Theology.</w:t>
      </w:r>
    </w:p>
    <w:p>
      <w:pPr>
        <w:widowControl/>
      </w:pPr>
      <w:r>
        <w:rPr>
          <w:b w:val="0"/>
          <w:i w:val="0"/>
        </w:rPr>
        <w:t>I.3.14 refers natural form to a least natural degree within an argument that each kind rests on something comparatively indivisible. The parallel examples are motion and time referred to an instant, geometrical dimensions to a point, and numbers to unity. This brief expression supports the further inference to indivisible substance. The supplied passage does not give a separate theory of natural minima or identify this degree with a material atom; a lexicon should not supply those additional claims.</w:t>
      </w:r>
    </w:p>
    <w:p>
      <w:pPr>
        <w:keepNext/>
        <w:widowControl/>
      </w:pPr>
      <w:r>
        <w:rPr>
          <w:b/>
          <w:i w:val="0"/>
        </w:rPr>
        <w:t>The places.</w:t>
      </w:r>
    </w:p>
    <w:p>
      <w:pPr>
        <w:ind w:left="187" w:hanging="187"/>
      </w:pPr>
      <w:r>
        <w:t xml:space="preserve">• </w:t>
      </w:r>
      <w:r>
        <w:rPr>
          <w:b/>
          <w:i w:val="0"/>
        </w:rPr>
        <w:t>I.3.14 (PDF pp. 38–39)</w:t>
      </w:r>
      <w:r>
        <w:rPr>
          <w:b w:val="0"/>
          <w:i w:val="0"/>
        </w:rPr>
        <w:t>. Natural form’s least degree is placed beside instant, geometric point, and numerical unity as a basis for the ascent to indivisible substance</w:t>
      </w:r>
    </w:p>
    <w:p>
      <w:pPr>
        <w:widowControl/>
      </w:pPr>
      <w:r>
        <w:rPr>
          <w:b/>
          <w:i w:val="0"/>
        </w:rPr>
        <w:t>Further passage references.</w:t>
      </w:r>
      <w:r>
        <w:rPr>
          <w:b w:val="0"/>
          <w:i w:val="0"/>
        </w:rPr>
        <w:t xml:space="preserve"> I.3.14 (PDF pp.38–39)</w:t>
      </w:r>
    </w:p>
    <w:p>
      <w:pPr>
        <w:keepNext/>
        <w:widowControl/>
      </w:pPr>
      <w:r>
        <w:rPr>
          <w:b/>
          <w:i w:val="0"/>
        </w:rPr>
        <w:t>In this edition.</w:t>
      </w:r>
    </w:p>
    <w:p>
      <w:pPr>
        <w:widowControl/>
      </w:pPr>
      <w:r>
        <w:rPr>
          <w:b w:val="0"/>
          <w:i w:val="0"/>
        </w:rPr>
        <w:t xml:space="preserve">The English </w:t>
      </w:r>
      <w:r>
        <w:t>“</w:t>
      </w:r>
      <w:r>
        <w:rPr>
          <w:b w:val="0"/>
          <w:i w:val="0"/>
        </w:rPr>
        <w:t>least natural degree</w:t>
      </w:r>
      <w:r>
        <w:t>”</w:t>
      </w:r>
      <w:r>
        <w:rPr>
          <w:b w:val="0"/>
          <w:i w:val="0"/>
        </w:rPr>
        <w:t xml:space="preserve"> closely follows gradum minimum naturalem. The only cited occurrence is brief and analogical. It does not supply the independent theory of minima that a reader might import from later or external natural philosophy.</w:t>
      </w:r>
    </w:p>
    <w:p>
      <w:pPr>
        <w:keepNext/>
        <w:widowControl/>
      </w:pPr>
      <w:r>
        <w:rPr>
          <w:b/>
          <w:i w:val="0"/>
        </w:rPr>
        <w:t>See also.</w:t>
      </w:r>
    </w:p>
    <w:p>
      <w:pPr>
        <w:widowControl/>
      </w:pPr>
      <w:hyperlink w:anchor="form">
        <w:r>
          <w:rPr>
            <w:color w:val="000000"/>
          </w:rPr>
          <w:t xml:space="preserve">Form</w:t>
        </w:r>
      </w:hyperlink>
      <w:r>
        <w:rPr>
          <w:b w:val="0"/>
          <w:i w:val="0"/>
        </w:rPr>
        <w:t xml:space="preserve">; </w:t>
      </w:r>
      <w:hyperlink w:anchor="indivisibility">
        <w:r>
          <w:rPr>
            <w:color w:val="000000"/>
          </w:rPr>
          <w:t xml:space="preserve">Indivisibility</w:t>
        </w:r>
      </w:hyperlink>
      <w:r>
        <w:rPr>
          <w:b w:val="0"/>
          <w:i w:val="0"/>
        </w:rPr>
        <w:t xml:space="preserve">; </w:t>
      </w:r>
      <w:hyperlink w:anchor="number">
        <w:r>
          <w:rPr>
            <w:color w:val="000000"/>
          </w:rPr>
          <w:t xml:space="preserve">Number</w:t>
        </w:r>
      </w:hyperlink>
      <w:r>
        <w:rPr>
          <w:b w:val="0"/>
          <w:i w:val="0"/>
        </w:rPr>
        <w:t xml:space="preserve">; </w:t>
      </w:r>
      <w:hyperlink w:anchor="degree-and-mediation">
        <w:r>
          <w:rPr>
            <w:color w:val="000000"/>
          </w:rPr>
          <w:t xml:space="preserve">Degree and mediation</w:t>
        </w:r>
      </w:hyperlink>
    </w:p>
    <w:p>
      <w:bookmarkStart w:id="139" w:name="leisure"/>
      <w:pPr>
        <w:pStyle w:val="Heading2"/>
      </w:pPr>
      <w:r>
        <w:rPr>
          <w:b w:val="0"/>
          <w:i w:val="0"/>
        </w:rPr>
        <w:t>Leisure</w:t>
      </w:r>
      <w:bookmarkEnd w:id="139"/>
    </w:p>
    <w:p>
      <w:pPr>
        <w:keepNext/>
        <w:widowControl/>
      </w:pPr>
      <w:r>
        <w:rPr>
          <w:b/>
          <w:i w:val="0"/>
        </w:rPr>
        <w:t>Latin:</w:t>
      </w:r>
      <w:r>
        <w:rPr>
          <w:b w:val="0"/>
          <w:i w:val="0"/>
        </w:rPr>
        <w:t xml:space="preserve"> </w:t>
      </w:r>
      <w:r>
        <w:rPr>
          <w:b w:val="0"/>
          <w:i/>
        </w:rPr>
        <w:t>otium</w:t>
      </w:r>
      <w:r>
        <w:rPr>
          <w:b w:val="0"/>
          <w:i w:val="0"/>
        </w:rPr>
        <w:t xml:space="preserve">; </w:t>
      </w:r>
      <w:r>
        <w:rPr>
          <w:b w:val="0"/>
          <w:i/>
        </w:rPr>
        <w:t>otium agere</w:t>
      </w:r>
      <w:r>
        <w:rPr>
          <w:b w:val="0"/>
          <w:i w:val="0"/>
        </w:rPr>
        <w:t xml:space="preserve">; </w:t>
      </w:r>
      <w:r>
        <w:rPr>
          <w:b w:val="0"/>
          <w:i/>
        </w:rPr>
        <w:t>id otium quo … philosophari</w:t>
      </w:r>
      <w:r>
        <w:rPr>
          <w:b w:val="0"/>
          <w:i w:val="0"/>
        </w:rPr>
        <w:t xml:space="preserve">; </w:t>
      </w:r>
      <w:r>
        <w:rPr>
          <w:b w:val="0"/>
          <w:i/>
        </w:rPr>
        <w:t>ex potentia et otio</w:t>
      </w:r>
      <w:r>
        <w:rPr>
          <w:b w:val="0"/>
          <w:i w:val="0"/>
        </w:rPr>
        <w:t xml:space="preserve">; </w:t>
      </w:r>
      <w:r>
        <w:rPr>
          <w:b w:val="0"/>
          <w:i/>
        </w:rPr>
        <w:t>ex otio … in actum</w:t>
      </w:r>
      <w:r>
        <w:rPr>
          <w:b w:val="0"/>
          <w:i w:val="0"/>
        </w:rPr>
        <w:t>.</w:t>
      </w:r>
    </w:p>
    <w:p>
      <w:pPr>
        <w:keepNext/>
        <w:widowControl/>
      </w:pPr>
      <w:r>
        <w:rPr>
          <w:b/>
          <w:i w:val="0"/>
        </w:rPr>
        <w:t>The word.</w:t>
      </w:r>
    </w:p>
    <w:p>
      <w:pPr>
        <w:widowControl/>
      </w:pPr>
      <w:r>
        <w:rPr>
          <w:b w:val="0"/>
          <w:i w:val="0"/>
        </w:rPr>
        <w:t>Otium is release from a competing occupation, allowing another activity; otium agere means enjoying that freedom. It need not be inactivity. The intellectual use here concerns freedom to philosophize or to attend to higher cognition without bodily administrative labor.</w:t>
      </w:r>
    </w:p>
    <w:p>
      <w:pPr>
        <w:widowControl/>
      </w:pPr>
      <w:r>
        <w:rPr>
          <w:b w:val="0"/>
          <w:i/>
        </w:rPr>
        <w:t>Otium</w:t>
      </w:r>
      <w:r>
        <w:rPr>
          <w:b w:val="0"/>
          <w:i w:val="0"/>
        </w:rPr>
        <w:t xml:space="preserve"> has two locally distinct senses: leisure enabling study and inactivity opposed to actual exercise. Neither should be mechanically substituted for the other.</w:t>
      </w:r>
    </w:p>
    <w:p>
      <w:pPr>
        <w:keepNext/>
        <w:widowControl/>
      </w:pPr>
      <w:r>
        <w:rPr>
          <w:b/>
          <w:i w:val="0"/>
        </w:rPr>
        <w:t>In the Platonic Theology.</w:t>
      </w:r>
    </w:p>
    <w:p>
      <w:pPr>
        <w:widowControl/>
      </w:pPr>
      <w:r>
        <w:rPr>
          <w:b w:val="0"/>
          <w:i w:val="0"/>
        </w:rPr>
        <w:t>Leisure names freedom for a kind of activity rather than sheer inactivity. In the dedication Ficino credits Lorenzo’s beneficence with providing the leisure to philosophize. In IV.2.11, celestial soul’s middle faculty is free from bodily labor because the lowest power can govern its nearly needless body; reason can therefore become stable in mind. Human reason is contrasted with this freedom because bodily administration occupies it. The two uses connect intellectual availability with release from competing demands without equating human leisure with celestial life.</w:t>
      </w:r>
    </w:p>
    <w:p>
      <w:pPr>
        <w:widowControl/>
      </w:pPr>
      <w:r>
        <w:rPr>
          <w:b w:val="0"/>
          <w:i w:val="0"/>
        </w:rPr>
        <w:t xml:space="preserve">In the dedication, leisure is the beneficial condition made possible by Lorenzo’s support. In the argument above soul, passing from </w:t>
      </w:r>
      <w:r>
        <w:rPr>
          <w:b w:val="0"/>
          <w:i/>
        </w:rPr>
        <w:t>otium</w:t>
      </w:r>
      <w:r>
        <w:rPr>
          <w:b w:val="0"/>
          <w:i w:val="0"/>
        </w:rPr>
        <w:t xml:space="preserve"> to act is a sign of incomplete actuality and dependence on a higher source. The first use praises freedom for philosophy; the second identifies a state to be exceeded in an ontological comparison. Ficino does not thereby condemn scholarly leisure as metaphysical defect.</w:t>
      </w:r>
    </w:p>
    <w:p>
      <w:pPr>
        <w:keepNext/>
        <w:widowControl/>
      </w:pPr>
      <w:r>
        <w:rPr>
          <w:b/>
          <w:i w:val="0"/>
        </w:rPr>
        <w:t>The places.</w:t>
      </w:r>
    </w:p>
    <w:p>
      <w:pPr>
        <w:ind w:left="187" w:hanging="187"/>
      </w:pPr>
      <w:r>
        <w:t xml:space="preserve">• </w:t>
      </w:r>
      <w:r>
        <w:rPr>
          <w:b/>
          <w:i w:val="0"/>
        </w:rPr>
        <w:t>Proem.11 (PDF pp. 10–11)</w:t>
      </w:r>
      <w:r>
        <w:rPr>
          <w:b w:val="0"/>
          <w:i w:val="0"/>
        </w:rPr>
        <w:t>. Lorenzo’s beneficence is credited with making philosophical work possible</w:t>
      </w:r>
    </w:p>
    <w:p>
      <w:pPr>
        <w:ind w:left="187" w:hanging="187"/>
      </w:pPr>
      <w:r>
        <w:t xml:space="preserve">• </w:t>
      </w:r>
      <w:r>
        <w:rPr>
          <w:b/>
          <w:i w:val="0"/>
        </w:rPr>
        <w:t>IV.2.11 (PDF pp. 338–339)</w:t>
      </w:r>
      <w:r>
        <w:rPr>
          <w:b w:val="0"/>
          <w:i w:val="0"/>
        </w:rPr>
        <w:t>. Celestial reason’s release from bodily administration permits stability in mind</w:t>
      </w:r>
    </w:p>
    <w:p>
      <w:pPr>
        <w:widowControl/>
      </w:pPr>
      <w:r>
        <w:rPr>
          <w:b/>
          <w:i w:val="0"/>
        </w:rPr>
        <w:t>Further passage references.</w:t>
      </w:r>
      <w:r>
        <w:rPr>
          <w:b w:val="0"/>
          <w:i w:val="0"/>
        </w:rPr>
        <w:t xml:space="preserve"> Proem.11 (PDF pp.10–11); IV.2.11 (pp.338–339)</w:t>
      </w:r>
    </w:p>
    <w:p>
      <w:pPr>
        <w:ind w:left="187" w:hanging="187"/>
      </w:pPr>
      <w:r>
        <w:t xml:space="preserve">• </w:t>
      </w:r>
      <w:r>
        <w:rPr>
          <w:b/>
          <w:i w:val="0"/>
        </w:rPr>
        <w:t>Proem.11, PDF 10–11.</w:t>
      </w:r>
      <w:r>
        <w:rPr>
          <w:b w:val="0"/>
          <w:i w:val="0"/>
        </w:rPr>
        <w:t xml:space="preserve"> Beneficence enables philosophical leisure</w:t>
      </w:r>
    </w:p>
    <w:p>
      <w:pPr>
        <w:ind w:left="187" w:hanging="187"/>
      </w:pPr>
      <w:r>
        <w:t xml:space="preserve">• </w:t>
      </w:r>
      <w:r>
        <w:rPr>
          <w:b/>
          <w:i w:val="0"/>
        </w:rPr>
        <w:t>I.5.4, PDF 62–63.</w:t>
      </w:r>
      <w:r>
        <w:rPr>
          <w:b w:val="0"/>
          <w:i w:val="0"/>
        </w:rPr>
        <w:t xml:space="preserve"> Inactivity is contrasted with full and perpetual act</w:t>
      </w:r>
    </w:p>
    <w:p>
      <w:pPr>
        <w:keepNext/>
        <w:widowControl/>
      </w:pPr>
      <w:r>
        <w:rPr>
          <w:b/>
          <w:i w:val="0"/>
        </w:rPr>
        <w:t>In this edition.</w:t>
      </w:r>
    </w:p>
    <w:p>
      <w:pPr>
        <w:widowControl/>
      </w:pPr>
      <w:r>
        <w:rPr>
          <w:b w:val="0"/>
          <w:i w:val="0"/>
        </w:rPr>
        <w:t xml:space="preserve">Proem.11’s </w:t>
      </w:r>
      <w:r>
        <w:t>“</w:t>
      </w:r>
      <w:r>
        <w:rPr>
          <w:b w:val="0"/>
          <w:i w:val="0"/>
        </w:rPr>
        <w:t>leisure</w:t>
      </w:r>
      <w:r>
        <w:t>”</w:t>
      </w:r>
      <w:r>
        <w:rPr>
          <w:b w:val="0"/>
          <w:i w:val="0"/>
        </w:rPr>
        <w:t xml:space="preserve"> and IV.2.11’s </w:t>
      </w:r>
      <w:r>
        <w:t>“</w:t>
      </w:r>
      <w:r>
        <w:rPr>
          <w:b w:val="0"/>
          <w:i w:val="0"/>
        </w:rPr>
        <w:t>free from bodily labor</w:t>
      </w:r>
      <w:r>
        <w:t>”</w:t>
      </w:r>
      <w:r>
        <w:rPr>
          <w:b w:val="0"/>
          <w:i w:val="0"/>
        </w:rPr>
        <w:t xml:space="preserve"> render the same otium family in different constructions. Human patronage and celestial psychic organization are distinct contexts; neither warrants treating leisure as simply doing nothing.</w:t>
      </w:r>
    </w:p>
    <w:p>
      <w:pPr>
        <w:widowControl/>
      </w:pPr>
      <w:r>
        <w:rPr>
          <w:b w:val="0"/>
          <w:i w:val="0"/>
        </w:rPr>
        <w:t xml:space="preserve">The translation’s shift from </w:t>
      </w:r>
      <w:r>
        <w:t>“</w:t>
      </w:r>
      <w:r>
        <w:rPr>
          <w:b w:val="0"/>
          <w:i w:val="0"/>
        </w:rPr>
        <w:t>leisure</w:t>
      </w:r>
      <w:r>
        <w:t>”</w:t>
      </w:r>
      <w:r>
        <w:rPr>
          <w:b w:val="0"/>
          <w:i w:val="0"/>
        </w:rPr>
        <w:t xml:space="preserve"> to </w:t>
      </w:r>
      <w:r>
        <w:t>“</w:t>
      </w:r>
      <w:r>
        <w:rPr>
          <w:b w:val="0"/>
          <w:i w:val="0"/>
        </w:rPr>
        <w:t>inactivity</w:t>
      </w:r>
      <w:r>
        <w:t>”</w:t>
      </w:r>
      <w:r>
        <w:rPr>
          <w:b w:val="0"/>
          <w:i w:val="0"/>
        </w:rPr>
        <w:t xml:space="preserve"> is necessary, not inconsistent. An English-only reader can use the Latin register to see the common word without losing its contextual difference.</w:t>
      </w:r>
    </w:p>
    <w:p>
      <w:pPr>
        <w:keepNext/>
        <w:widowControl/>
      </w:pPr>
      <w:r>
        <w:rPr>
          <w:b/>
          <w:i w:val="0"/>
        </w:rPr>
        <w:t>See also.</w:t>
      </w:r>
    </w:p>
    <w:p>
      <w:pPr>
        <w:widowControl/>
      </w:pPr>
      <w:hyperlink w:anchor="philosophy-and-theology">
        <w:r>
          <w:rPr>
            <w:color w:val="000000"/>
          </w:rPr>
          <w:t xml:space="preserve">Philosophy and theology</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need-and-sufficiency">
        <w:r>
          <w:rPr>
            <w:color w:val="000000"/>
          </w:rPr>
          <w:t xml:space="preserve">Need and sufficiency</w:t>
        </w:r>
      </w:hyperlink>
    </w:p>
    <w:p>
      <w:pPr>
        <w:widowControl/>
      </w:pPr>
      <w:hyperlink w:anchor="lorenzo-dedication-and-public-authority">
        <w:r>
          <w:rPr>
            <w:color w:val="000000"/>
          </w:rPr>
          <w:t xml:space="preserve">Lorenzo, dedication and public authority</w:t>
        </w:r>
      </w:hyperlink>
      <w:r>
        <w:rPr>
          <w:b w:val="0"/>
          <w:i w:val="0"/>
        </w:rPr>
        <w:t xml:space="preserve">; </w:t>
      </w:r>
      <w:hyperlink w:anchor="act-and-operation">
        <w:r>
          <w:rPr>
            <w:color w:val="000000"/>
          </w:rPr>
          <w:t xml:space="preserve">Act and operation</w:t>
        </w:r>
      </w:hyperlink>
      <w:r>
        <w:rPr>
          <w:b w:val="0"/>
          <w:i w:val="0"/>
        </w:rPr>
        <w:t xml:space="preserve">; </w:t>
      </w:r>
      <w:hyperlink w:anchor="need-and-sufficiency">
        <w:r>
          <w:rPr>
            <w:color w:val="000000"/>
          </w:rPr>
          <w:t xml:space="preserve">Need and sufficiency</w:t>
        </w:r>
      </w:hyperlink>
      <w:r>
        <w:rPr>
          <w:b w:val="0"/>
          <w:i w:val="0"/>
        </w:rPr>
        <w:t>.</w:t>
      </w:r>
    </w:p>
    <w:p>
      <w:bookmarkStart w:id="140" w:name="life"/>
      <w:pPr>
        <w:pStyle w:val="Heading2"/>
      </w:pPr>
      <w:r>
        <w:rPr>
          <w:b w:val="0"/>
          <w:i w:val="0"/>
        </w:rPr>
        <w:t>Life</w:t>
      </w:r>
      <w:bookmarkEnd w:id="140"/>
    </w:p>
    <w:p>
      <w:pPr>
        <w:keepNext/>
        <w:widowControl/>
      </w:pPr>
      <w:r>
        <w:rPr>
          <w:b/>
          <w:i w:val="0"/>
        </w:rPr>
        <w:t>Latin:</w:t>
      </w:r>
      <w:r>
        <w:rPr>
          <w:b w:val="0"/>
          <w:i w:val="0"/>
        </w:rPr>
        <w:t xml:space="preserve"> </w:t>
      </w:r>
      <w:r>
        <w:rPr>
          <w:b w:val="0"/>
          <w:i/>
        </w:rPr>
        <w:t>vita</w:t>
      </w:r>
      <w:r>
        <w:rPr>
          <w:b w:val="0"/>
          <w:i w:val="0"/>
        </w:rPr>
        <w:t xml:space="preserve">; </w:t>
      </w:r>
      <w:r>
        <w:rPr>
          <w:b w:val="0"/>
          <w:i/>
        </w:rPr>
        <w:t>vivus</w:t>
      </w:r>
      <w:r>
        <w:rPr>
          <w:b w:val="0"/>
          <w:i w:val="0"/>
        </w:rPr>
        <w:t xml:space="preserve">; </w:t>
      </w:r>
      <w:r>
        <w:rPr>
          <w:b w:val="0"/>
          <w:i/>
        </w:rPr>
        <w:t>vivificus</w:t>
      </w:r>
      <w:r>
        <w:rPr>
          <w:b w:val="0"/>
          <w:i w:val="0"/>
        </w:rPr>
        <w:t xml:space="preserve">; </w:t>
      </w:r>
      <w:r>
        <w:rPr>
          <w:b w:val="0"/>
          <w:i/>
        </w:rPr>
        <w:t>vitalis</w:t>
      </w:r>
      <w:r>
        <w:rPr>
          <w:b w:val="0"/>
          <w:i w:val="0"/>
        </w:rPr>
        <w:t xml:space="preserve">; </w:t>
      </w:r>
      <w:r>
        <w:rPr>
          <w:b w:val="0"/>
          <w:i/>
        </w:rPr>
        <w:t>virtus vivifica</w:t>
      </w:r>
      <w:r>
        <w:rPr>
          <w:b w:val="0"/>
          <w:i w:val="0"/>
        </w:rPr>
        <w:t xml:space="preserve">; </w:t>
      </w:r>
      <w:r>
        <w:rPr>
          <w:b w:val="0"/>
          <w:i/>
        </w:rPr>
        <w:t>motus vitalis</w:t>
      </w:r>
      <w:r>
        <w:rPr>
          <w:b w:val="0"/>
          <w:i w:val="0"/>
        </w:rPr>
        <w:t xml:space="preserve">; </w:t>
      </w:r>
      <w:r>
        <w:rPr>
          <w:b w:val="0"/>
          <w:i/>
        </w:rPr>
        <w:t>sine sensu</w:t>
      </w:r>
      <w:r>
        <w:rPr>
          <w:b w:val="0"/>
          <w:i w:val="0"/>
        </w:rPr>
        <w:t xml:space="preserve">; </w:t>
      </w:r>
      <w:r>
        <w:rPr>
          <w:b w:val="0"/>
          <w:i/>
        </w:rPr>
        <w:t>vivere</w:t>
      </w:r>
      <w:r>
        <w:rPr>
          <w:b w:val="0"/>
          <w:i w:val="0"/>
        </w:rPr>
        <w:t xml:space="preserve">; </w:t>
      </w:r>
      <w:r>
        <w:rPr>
          <w:b w:val="0"/>
          <w:i/>
        </w:rPr>
        <w:t>vivificare</w:t>
      </w:r>
      <w:r>
        <w:rPr>
          <w:b w:val="0"/>
          <w:i w:val="0"/>
        </w:rPr>
        <w:t xml:space="preserve">; </w:t>
      </w:r>
      <w:r>
        <w:rPr>
          <w:b w:val="0"/>
          <w:i/>
        </w:rPr>
        <w:t>vis interna movendi</w:t>
      </w:r>
      <w:r>
        <w:rPr>
          <w:b w:val="0"/>
          <w:i w:val="0"/>
        </w:rPr>
        <w:t xml:space="preserve">; </w:t>
      </w:r>
      <w:r>
        <w:rPr>
          <w:b w:val="0"/>
          <w:i/>
        </w:rPr>
        <w:t>vita vivificans corpora</w:t>
      </w:r>
      <w:r>
        <w:rPr>
          <w:b w:val="0"/>
          <w:i w:val="0"/>
        </w:rPr>
        <w:t xml:space="preserve">; </w:t>
      </w:r>
      <w:r>
        <w:rPr>
          <w:b w:val="0"/>
          <w:i/>
        </w:rPr>
        <w:t>vita insita</w:t>
      </w:r>
      <w:r>
        <w:rPr>
          <w:b w:val="0"/>
          <w:i w:val="0"/>
        </w:rPr>
        <w:t xml:space="preserve">; </w:t>
      </w:r>
      <w:r>
        <w:rPr>
          <w:b w:val="0"/>
          <w:i/>
        </w:rPr>
        <w:t>vita vitarum</w:t>
      </w:r>
    </w:p>
    <w:p>
      <w:pPr>
        <w:keepNext/>
        <w:widowControl/>
      </w:pPr>
      <w:r>
        <w:rPr>
          <w:b/>
          <w:i w:val="0"/>
        </w:rPr>
        <w:t>The word.</w:t>
      </w:r>
    </w:p>
    <w:p>
      <w:pPr>
        <w:widowControl/>
      </w:pPr>
      <w:r>
        <w:rPr>
          <w:b w:val="0"/>
          <w:i w:val="0"/>
        </w:rPr>
        <w:t>Vita is life; vivere living; vivificare giving life; vitalis life-related. Vis interna movendi identifies life as inward power of motion in the argument. Life, sensation, and intelligence are not coextensive: an animate power can nourish or generate without sensing or understanding.</w:t>
      </w:r>
    </w:p>
    <w:p>
      <w:pPr>
        <w:keepNext/>
        <w:widowControl/>
      </w:pPr>
      <w:r>
        <w:rPr>
          <w:b/>
          <w:i w:val="0"/>
        </w:rPr>
        <w:t>In the Platonic Theology.</w:t>
      </w:r>
    </w:p>
    <w:p>
      <w:pPr>
        <w:widowControl/>
      </w:pPr>
      <w:r>
        <w:rPr>
          <w:b w:val="0"/>
          <w:i w:val="0"/>
        </w:rPr>
        <w:t>Life is an inward organizing efficacy, not simply bodily heat or visible locomotion. Book I argues that an indivisible power explains how nutrition transforms nonliving food into living form, moves constituents against their ordinary tendencies, and reconciles opposed elements. Ficino extends the comparison from organisms to the universe. Ordered matter points to reason, and reason subsists in life. These are steps in his ascent to incorporeal causation rather than a modern biological definition. I.3.26 explicitly appeals to life existing without sensation, identified by the supplied apparatus as vegetative life: if life can exist without the later capacity of sensing, much more can substance, prior to quantity in both origin and dignity, exist apart from quantity. Life, sensation, and intellect consequently have different ranges.</w:t>
      </w:r>
    </w:p>
    <w:p>
      <w:pPr>
        <w:widowControl/>
      </w:pPr>
      <w:r>
        <w:rPr>
          <w:b w:val="0"/>
          <w:i w:val="0"/>
        </w:rPr>
        <w:t>The term also names inward operation and its mode of possession. A life united at once is more complete than activity dispersed over successive acts. Soul’s distinctive work is vital motion, whereas mind orders through forms, including forms of nonliving things; life and intellectual causality therefore do not have identical ranges. In Book III, life is expressly identified with inward power of motion. Plants and animals illustrate activity from within, and soul, as the first movable nature, possesses such life primarily and communicates it to bodies. Rational soul’s definition combines that vivifying power with understanding through time.</w:t>
      </w:r>
    </w:p>
    <w:p>
      <w:pPr>
        <w:widowControl/>
      </w:pPr>
      <w:r>
        <w:rPr>
          <w:b w:val="0"/>
          <w:i w:val="0"/>
        </w:rPr>
        <w:t>Cosmic applications require further distinctions. II.13 argues conditionally that a governing world-life establishes divine providence whether it is God or a subordinate acting under God. Book IV then distinguishes the life that depends upon and governs a sphere from the self-subsistent first life. The former is not God, who stands above derivative lives as life of lives. Angelic lives are intellectual alone; sphere-lives combine intellectual and animating powers. The argument for world-soul presents one living whole as requiring one life and one soul to explain the cooperation of its diverse members.</w:t>
      </w:r>
    </w:p>
    <w:p>
      <w:pPr>
        <w:widowControl/>
      </w:pPr>
      <w:r>
        <w:rPr>
          <w:b w:val="0"/>
          <w:i w:val="0"/>
        </w:rPr>
        <w:t>Life thus extends beyond ordinary biological usage without making every occurrence an identical entity or function. Earth can be animated despite its asserted stillness: its life is manifested in productive activity. Different souls have different bodily relations, and absence of local motion is not equivalent to absence of life. Conversely, describing a cosmic body as living depends on Ficino’s stated metaphysical and natural-philosophical premises, not on an independently established modern observation.</w:t>
      </w:r>
    </w:p>
    <w:p>
      <w:pPr>
        <w:keepNext/>
        <w:widowControl/>
      </w:pPr>
      <w:r>
        <w:rPr>
          <w:b/>
          <w:i w:val="0"/>
        </w:rPr>
        <w:t>The places.</w:t>
      </w:r>
    </w:p>
    <w:p>
      <w:pPr>
        <w:ind w:left="187" w:hanging="187"/>
      </w:pPr>
      <w:r>
        <w:t xml:space="preserve">• </w:t>
      </w:r>
      <w:r>
        <w:rPr>
          <w:b/>
          <w:i w:val="0"/>
        </w:rPr>
        <w:t>I.3.26 (PDF pp. 46–47)</w:t>
      </w:r>
      <w:r>
        <w:rPr>
          <w:b w:val="0"/>
          <w:i w:val="0"/>
        </w:rPr>
        <w:t>. Life without sensation supplies an analogy for substance independent of quantity</w:t>
      </w:r>
    </w:p>
    <w:p>
      <w:pPr>
        <w:ind w:left="187" w:hanging="187"/>
      </w:pPr>
      <w:r>
        <w:t xml:space="preserve">• </w:t>
      </w:r>
      <w:r>
        <w:rPr>
          <w:b/>
          <w:i w:val="0"/>
        </w:rPr>
        <w:t>II.6.5 (PDF pp. 130–131)</w:t>
      </w:r>
      <w:r>
        <w:rPr>
          <w:b w:val="0"/>
          <w:i w:val="0"/>
        </w:rPr>
        <w:t>. Goodness is argued to have a wider and more fundamental scope than life</w:t>
      </w:r>
    </w:p>
    <w:p>
      <w:pPr>
        <w:ind w:left="187" w:hanging="187"/>
      </w:pPr>
      <w:r>
        <w:t xml:space="preserve">• </w:t>
      </w:r>
      <w:r>
        <w:rPr>
          <w:b/>
          <w:i w:val="0"/>
        </w:rPr>
        <w:t>II.8.3 (PDF pp. 160–161)</w:t>
      </w:r>
      <w:r>
        <w:rPr>
          <w:b w:val="0"/>
          <w:i w:val="0"/>
        </w:rPr>
        <w:t>. Soul gives bodily life without selecting each act by choice</w:t>
      </w:r>
    </w:p>
    <w:p>
      <w:pPr>
        <w:ind w:left="187" w:hanging="187"/>
      </w:pPr>
      <w:r>
        <w:t xml:space="preserve">• </w:t>
      </w:r>
      <w:r>
        <w:rPr>
          <w:b/>
          <w:i w:val="0"/>
        </w:rPr>
        <w:t>IV.1.22 (PDF pp. 292–293)</w:t>
      </w:r>
      <w:r>
        <w:rPr>
          <w:b w:val="0"/>
          <w:i w:val="0"/>
        </w:rPr>
        <w:t>. A sphere’s dependent life is explicitly distinguished from God</w:t>
      </w:r>
    </w:p>
    <w:p>
      <w:pPr>
        <w:ind w:left="187" w:hanging="187"/>
      </w:pPr>
      <w:r>
        <w:t xml:space="preserve">• </w:t>
      </w:r>
      <w:r>
        <w:rPr>
          <w:b/>
          <w:i w:val="0"/>
        </w:rPr>
        <w:t>IV.2.11 (PDF pp. 338–339)</w:t>
      </w:r>
      <w:r>
        <w:rPr>
          <w:b w:val="0"/>
          <w:i w:val="0"/>
        </w:rPr>
        <w:t>. Knowing and bodily administration have different places within celestial soul</w:t>
      </w:r>
    </w:p>
    <w:p>
      <w:pPr>
        <w:widowControl/>
      </w:pPr>
      <w:r>
        <w:rPr>
          <w:b/>
          <w:i w:val="0"/>
        </w:rPr>
        <w:t>Further passage references.</w:t>
      </w:r>
      <w:r>
        <w:rPr>
          <w:b w:val="0"/>
          <w:i w:val="0"/>
        </w:rPr>
        <w:t xml:space="preserve"> I.3.22–I.3.23, I.3.26 (PDF pp. 44–47); I.5.2, I.5.17 (pp. 60–61, 72–73); I.6.14 (pp. 90–91); II.13.20–24, PDF 230–233; III.1.23, 26, 32, PDF 254–261; III.2.23–30, PDF 274–279; IV.1.1–IV.1.2, pp. 282–283; IV.1.22, pp. 292–293; IV.1.31, pp. 296–297; IV.1.69–IV.1.70, pp. 316–317; IV.1.79–IV.1.84, pp. 322–325.</w:t>
      </w:r>
    </w:p>
    <w:p>
      <w:pPr>
        <w:keepNext/>
        <w:widowControl/>
      </w:pPr>
      <w:r>
        <w:rPr>
          <w:b/>
          <w:i w:val="0"/>
        </w:rPr>
        <w:t>In this edition.</w:t>
      </w:r>
    </w:p>
    <w:p>
      <w:pPr>
        <w:widowControl/>
      </w:pPr>
      <w:r>
        <w:rPr>
          <w:b w:val="0"/>
          <w:i w:val="0"/>
        </w:rPr>
        <w:t xml:space="preserve">The supplied </w:t>
      </w:r>
      <w:r>
        <w:t>“</w:t>
      </w:r>
      <w:r>
        <w:rPr>
          <w:b w:val="0"/>
          <w:i w:val="0"/>
        </w:rPr>
        <w:t>life without sensation</w:t>
      </w:r>
      <w:r>
        <w:t>”</w:t>
      </w:r>
      <w:r>
        <w:rPr>
          <w:b w:val="0"/>
          <w:i w:val="0"/>
        </w:rPr>
        <w:t xml:space="preserve"> at I.3.26 should remain distinct from consciousness. At IV.1.22 life </w:t>
      </w:r>
      <w:r>
        <w:t>“</w:t>
      </w:r>
      <w:r>
        <w:rPr>
          <w:b w:val="0"/>
          <w:i w:val="0"/>
        </w:rPr>
        <w:t>belonging to another and existing in another</w:t>
      </w:r>
      <w:r>
        <w:t>”</w:t>
      </w:r>
      <w:r>
        <w:rPr>
          <w:b w:val="0"/>
          <w:i w:val="0"/>
        </w:rPr>
        <w:t xml:space="preserve"> differs from life subsisting in itself. Cosmic uses are Ficino’s philosophical claims and attributions, not modern biological classifications.</w:t>
      </w:r>
    </w:p>
    <w:p>
      <w:pPr>
        <w:keepNext/>
        <w:widowControl/>
      </w:pPr>
      <w:r>
        <w:rPr>
          <w:b/>
          <w:i w:val="0"/>
        </w:rPr>
        <w:t>See also.</w:t>
      </w:r>
    </w:p>
    <w:p>
      <w:pPr>
        <w:widowControl/>
      </w:pPr>
      <w:hyperlink w:anchor="seeds">
        <w:r>
          <w:rPr>
            <w:color w:val="000000"/>
          </w:rPr>
          <w:t xml:space="preserve">Seeds</w:t>
        </w:r>
      </w:hyperlink>
      <w:r>
        <w:rPr>
          <w:b w:val="0"/>
          <w:i w:val="0"/>
        </w:rPr>
        <w:t xml:space="preserve">; </w:t>
      </w:r>
      <w:hyperlink w:anchor="soul">
        <w:r>
          <w:rPr>
            <w:color w:val="000000"/>
          </w:rPr>
          <w:t xml:space="preserve">Soul</w:t>
        </w:r>
      </w:hyperlink>
      <w:r>
        <w:rPr>
          <w:b w:val="0"/>
          <w:i w:val="0"/>
        </w:rPr>
        <w:t xml:space="preserve">; </w:t>
      </w:r>
      <w:hyperlink w:anchor="order-and-harmony">
        <w:r>
          <w:rPr>
            <w:color w:val="000000"/>
          </w:rPr>
          <w:t xml:space="preserve">Order and harmony</w:t>
        </w:r>
      </w:hyperlink>
      <w:r>
        <w:rPr>
          <w:b w:val="0"/>
          <w:i w:val="0"/>
        </w:rPr>
        <w:t xml:space="preserve">; </w:t>
      </w:r>
      <w:hyperlink w:anchor="eternity-and-time">
        <w:r>
          <w:rPr>
            <w:color w:val="000000"/>
          </w:rPr>
          <w:t xml:space="preserve">Eternity and time</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degree-and-mediation">
        <w:r>
          <w:rPr>
            <w:color w:val="000000"/>
          </w:rPr>
          <w:t xml:space="preserve">Degree and mediation</w:t>
        </w:r>
      </w:hyperlink>
      <w:r>
        <w:rPr>
          <w:b w:val="0"/>
          <w:i w:val="0"/>
        </w:rPr>
        <w:t xml:space="preserve">; </w:t>
      </w:r>
      <w:hyperlink w:anchor="motion-and-stability">
        <w:r>
          <w:rPr>
            <w:color w:val="000000"/>
          </w:rPr>
          <w:t xml:space="preserve">Motion and stability</w:t>
        </w:r>
      </w:hyperlink>
      <w:r>
        <w:rPr>
          <w:b w:val="0"/>
          <w:i w:val="0"/>
        </w:rPr>
        <w:t xml:space="preserve">; </w:t>
      </w:r>
      <w:hyperlink w:anchor="providence">
        <w:r>
          <w:rPr>
            <w:color w:val="000000"/>
          </w:rPr>
          <w:t xml:space="preserve">Providence</w:t>
        </w:r>
      </w:hyperlink>
      <w:r>
        <w:rPr>
          <w:b w:val="0"/>
          <w:i w:val="0"/>
        </w:rPr>
        <w:t xml:space="preserve">; </w:t>
      </w:r>
      <w:hyperlink w:anchor="animating-and-animal">
        <w:r>
          <w:rPr>
            <w:color w:val="000000"/>
          </w:rPr>
          <w:t xml:space="preserve">Animating and animal</w:t>
        </w:r>
      </w:hyperlink>
      <w:r>
        <w:rPr>
          <w:b w:val="0"/>
          <w:i w:val="0"/>
        </w:rPr>
        <w:t xml:space="preserve">; </w:t>
      </w:r>
      <w:hyperlink w:anchor="world-soul">
        <w:r>
          <w:rPr>
            <w:color w:val="000000"/>
          </w:rPr>
          <w:t xml:space="preserve">World soul</w:t>
        </w:r>
      </w:hyperlink>
      <w:r>
        <w:rPr>
          <w:b w:val="0"/>
          <w:i w:val="0"/>
        </w:rPr>
        <w:t xml:space="preserve">; </w:t>
      </w:r>
      <w:hyperlink w:anchor="intellectual-and-animating-powers">
        <w:r>
          <w:rPr>
            <w:color w:val="000000"/>
          </w:rPr>
          <w:t xml:space="preserve">Intellectual and animating powers</w:t>
        </w:r>
      </w:hyperlink>
    </w:p>
    <w:p>
      <w:bookmarkStart w:id="141" w:name="light-and-illumination"/>
      <w:pPr>
        <w:pStyle w:val="Heading2"/>
      </w:pPr>
      <w:r>
        <w:rPr>
          <w:b w:val="0"/>
          <w:i w:val="0"/>
        </w:rPr>
        <w:t>Light and illumination</w:t>
      </w:r>
      <w:bookmarkEnd w:id="141"/>
    </w:p>
    <w:p>
      <w:pPr>
        <w:keepNext/>
        <w:widowControl/>
      </w:pPr>
      <w:r>
        <w:rPr>
          <w:b/>
          <w:i w:val="0"/>
        </w:rPr>
        <w:t>Latin:</w:t>
      </w:r>
      <w:r>
        <w:rPr>
          <w:b w:val="0"/>
          <w:i w:val="0"/>
        </w:rPr>
        <w:t xml:space="preserve"> </w:t>
      </w:r>
      <w:r>
        <w:rPr>
          <w:b w:val="0"/>
          <w:i/>
        </w:rPr>
        <w:t>lumen</w:t>
      </w:r>
      <w:r>
        <w:rPr>
          <w:b w:val="0"/>
          <w:i w:val="0"/>
        </w:rPr>
        <w:t xml:space="preserve">; </w:t>
      </w:r>
      <w:r>
        <w:rPr>
          <w:b w:val="0"/>
          <w:i/>
        </w:rPr>
        <w:t>lux</w:t>
      </w:r>
      <w:r>
        <w:rPr>
          <w:b w:val="0"/>
          <w:i w:val="0"/>
        </w:rPr>
        <w:t xml:space="preserve">; </w:t>
      </w:r>
      <w:r>
        <w:rPr>
          <w:b w:val="0"/>
          <w:i/>
        </w:rPr>
        <w:t>visus</w:t>
      </w:r>
      <w:r>
        <w:rPr>
          <w:b w:val="0"/>
          <w:i w:val="0"/>
        </w:rPr>
        <w:t xml:space="preserve">; </w:t>
      </w:r>
      <w:r>
        <w:rPr>
          <w:b w:val="0"/>
          <w:i/>
        </w:rPr>
        <w:t>oculus</w:t>
      </w:r>
      <w:r>
        <w:rPr>
          <w:b w:val="0"/>
          <w:i w:val="0"/>
        </w:rPr>
        <w:t xml:space="preserve">; </w:t>
      </w:r>
      <w:r>
        <w:rPr>
          <w:b w:val="0"/>
          <w:i/>
        </w:rPr>
        <w:t>acies</w:t>
      </w:r>
      <w:r>
        <w:rPr>
          <w:b w:val="0"/>
          <w:i w:val="0"/>
        </w:rPr>
        <w:t xml:space="preserve">; </w:t>
      </w:r>
      <w:r>
        <w:rPr>
          <w:b w:val="0"/>
          <w:i/>
        </w:rPr>
        <w:t>perspicacia</w:t>
      </w:r>
      <w:r>
        <w:rPr>
          <w:b w:val="0"/>
          <w:i w:val="0"/>
        </w:rPr>
        <w:t xml:space="preserve">; </w:t>
      </w:r>
      <w:r>
        <w:rPr>
          <w:b w:val="0"/>
          <w:i/>
        </w:rPr>
        <w:t>perspectio</w:t>
      </w:r>
      <w:r>
        <w:rPr>
          <w:b w:val="0"/>
          <w:i w:val="0"/>
        </w:rPr>
        <w:t xml:space="preserve">; </w:t>
      </w:r>
      <w:r>
        <w:rPr>
          <w:b w:val="0"/>
          <w:i/>
        </w:rPr>
        <w:t>splendor</w:t>
      </w:r>
      <w:r>
        <w:rPr>
          <w:b w:val="0"/>
          <w:i w:val="0"/>
        </w:rPr>
        <w:t xml:space="preserve">; </w:t>
      </w:r>
      <w:r>
        <w:rPr>
          <w:b w:val="0"/>
          <w:i/>
        </w:rPr>
        <w:t>radii</w:t>
      </w:r>
      <w:r>
        <w:rPr>
          <w:b w:val="0"/>
          <w:i w:val="0"/>
        </w:rPr>
        <w:t xml:space="preserve">; </w:t>
      </w:r>
      <w:r>
        <w:rPr>
          <w:b w:val="0"/>
          <w:i/>
        </w:rPr>
        <w:t>lumen invisibile</w:t>
      </w:r>
      <w:r>
        <w:rPr>
          <w:b w:val="0"/>
          <w:i w:val="0"/>
        </w:rPr>
        <w:t xml:space="preserve">; </w:t>
      </w:r>
      <w:r>
        <w:rPr>
          <w:b w:val="0"/>
          <w:i/>
        </w:rPr>
        <w:t>lumen luminum</w:t>
      </w:r>
      <w:r>
        <w:rPr>
          <w:b w:val="0"/>
          <w:i w:val="0"/>
        </w:rPr>
        <w:t xml:space="preserve">; </w:t>
      </w:r>
      <w:r>
        <w:rPr>
          <w:b w:val="0"/>
          <w:i/>
        </w:rPr>
        <w:t>illuminare</w:t>
      </w:r>
      <w:r>
        <w:rPr>
          <w:b w:val="0"/>
          <w:i w:val="0"/>
        </w:rPr>
        <w:t xml:space="preserve">; </w:t>
      </w:r>
      <w:r>
        <w:rPr>
          <w:b w:val="0"/>
          <w:i/>
        </w:rPr>
        <w:t>illustrare</w:t>
      </w:r>
      <w:r>
        <w:rPr>
          <w:b w:val="0"/>
          <w:i w:val="0"/>
        </w:rPr>
        <w:t xml:space="preserve">; </w:t>
      </w:r>
      <w:r>
        <w:rPr>
          <w:b w:val="0"/>
          <w:i/>
        </w:rPr>
        <w:t>umbra</w:t>
      </w:r>
      <w:r>
        <w:rPr>
          <w:b w:val="0"/>
          <w:i w:val="0"/>
        </w:rPr>
        <w:t xml:space="preserve">; </w:t>
      </w:r>
      <w:r>
        <w:rPr>
          <w:b w:val="0"/>
          <w:i/>
        </w:rPr>
        <w:t>infusio</w:t>
      </w:r>
      <w:r>
        <w:rPr>
          <w:b w:val="0"/>
          <w:i w:val="0"/>
        </w:rPr>
        <w:t xml:space="preserve">; </w:t>
      </w:r>
      <w:r>
        <w:rPr>
          <w:b w:val="0"/>
          <w:i/>
        </w:rPr>
        <w:t>serenior</w:t>
      </w:r>
      <w:r>
        <w:rPr>
          <w:b w:val="0"/>
          <w:i w:val="0"/>
        </w:rPr>
        <w:t xml:space="preserve">; </w:t>
      </w:r>
      <w:r>
        <w:rPr>
          <w:b w:val="0"/>
          <w:i/>
        </w:rPr>
        <w:t>mentis aciem</w:t>
      </w:r>
      <w:r>
        <w:rPr>
          <w:b w:val="0"/>
          <w:i w:val="0"/>
        </w:rPr>
        <w:t xml:space="preserve">; </w:t>
      </w:r>
      <w:r>
        <w:rPr>
          <w:b w:val="0"/>
          <w:i/>
        </w:rPr>
        <w:t>lucida</w:t>
      </w:r>
      <w:r>
        <w:rPr>
          <w:b w:val="0"/>
          <w:i w:val="0"/>
        </w:rPr>
        <w:t xml:space="preserve">; </w:t>
      </w:r>
      <w:r>
        <w:rPr>
          <w:b w:val="0"/>
          <w:i/>
        </w:rPr>
        <w:t>obscura</w:t>
      </w:r>
      <w:r>
        <w:rPr>
          <w:b w:val="0"/>
          <w:i w:val="0"/>
        </w:rPr>
        <w:t xml:space="preserve">; </w:t>
      </w:r>
      <w:r>
        <w:rPr>
          <w:b w:val="0"/>
          <w:i/>
        </w:rPr>
        <w:t>mutatque figuram</w:t>
      </w:r>
      <w:r>
        <w:rPr>
          <w:b w:val="0"/>
          <w:i w:val="0"/>
        </w:rPr>
        <w:t xml:space="preserve">; </w:t>
      </w:r>
      <w:r>
        <w:rPr>
          <w:b w:val="0"/>
          <w:i/>
        </w:rPr>
        <w:t>lux se ipsa videns</w:t>
      </w:r>
      <w:r>
        <w:rPr>
          <w:b w:val="0"/>
          <w:i w:val="0"/>
        </w:rPr>
        <w:t>.</w:t>
      </w:r>
    </w:p>
    <w:p>
      <w:pPr>
        <w:keepNext/>
        <w:widowControl/>
      </w:pPr>
      <w:r>
        <w:rPr>
          <w:b/>
          <w:i w:val="0"/>
        </w:rPr>
        <w:t>The word.</w:t>
      </w:r>
    </w:p>
    <w:p>
      <w:pPr>
        <w:widowControl/>
      </w:pPr>
      <w:r>
        <w:rPr>
          <w:b w:val="0"/>
          <w:i w:val="0"/>
        </w:rPr>
        <w:t>Lux and lumen both name light; splendor a radiance; radius a ray; illuminare or illustrare the activity of lighting. Visus, oculus, and perspicacia move from sight and eye to insight. The text does not establish an invariant technical division between lux and lumen.</w:t>
      </w:r>
    </w:p>
    <w:p>
      <w:pPr>
        <w:widowControl/>
      </w:pPr>
      <w:r>
        <w:rPr>
          <w:b w:val="0"/>
          <w:i w:val="0"/>
        </w:rPr>
        <w:t xml:space="preserve">Optical clarity, mental receptivity and divine illumination are connected but not identical senses. </w:t>
      </w:r>
      <w:r>
        <w:rPr>
          <w:b w:val="0"/>
          <w:i/>
        </w:rPr>
        <w:t>Acies</w:t>
      </w:r>
      <w:r>
        <w:rPr>
          <w:b w:val="0"/>
          <w:i w:val="0"/>
        </w:rPr>
        <w:t xml:space="preserve"> is the sharp gaze or directed visual power of mind here; </w:t>
      </w:r>
      <w:r>
        <w:rPr>
          <w:b w:val="0"/>
          <w:i/>
        </w:rPr>
        <w:t>serenior</w:t>
      </w:r>
      <w:r>
        <w:rPr>
          <w:b w:val="0"/>
          <w:i w:val="0"/>
        </w:rPr>
        <w:t xml:space="preserve"> describes the purified soul as clearer or more serene. </w:t>
      </w:r>
      <w:r>
        <w:rPr>
          <w:b w:val="0"/>
          <w:i/>
        </w:rPr>
        <w:t>Lux</w:t>
      </w:r>
      <w:r>
        <w:rPr>
          <w:b w:val="0"/>
          <w:i w:val="0"/>
        </w:rPr>
        <w:t xml:space="preserve"> and </w:t>
      </w:r>
      <w:r>
        <w:rPr>
          <w:b w:val="0"/>
          <w:i/>
        </w:rPr>
        <w:t>lumen</w:t>
      </w:r>
      <w:r>
        <w:rPr>
          <w:b w:val="0"/>
          <w:i w:val="0"/>
        </w:rPr>
        <w:t xml:space="preserve"> should be read locally rather than assigned a rigid metaphysical division unsupported by these units.</w:t>
      </w:r>
    </w:p>
    <w:p>
      <w:pPr>
        <w:keepNext/>
        <w:widowControl/>
      </w:pPr>
      <w:r>
        <w:rPr>
          <w:b/>
          <w:i w:val="0"/>
        </w:rPr>
        <w:t>In the Platonic Theology.</w:t>
      </w:r>
    </w:p>
    <w:p>
      <w:pPr>
        <w:widowControl/>
      </w:pPr>
      <w:r>
        <w:rPr>
          <w:b w:val="0"/>
          <w:i w:val="0"/>
        </w:rPr>
        <w:t>Light connects reception of truth, purity, causal diffusion, differentiated effects, and presence. The Proem’s governing analogy is that minds require God’s light as sight requires sunlight. Mind is the eye of soul: it apprehends truth but is not identical with truth. Book I imagines the whole body transformed into an eye to model angelic mind’s comprehensive reception without turning from object to object; even then, eye and light remain distinct. Divine self-knowledge exceeds that arrangement and is described as light seeing itself and sight shining by itself, with no separate receptive organ.</w:t>
      </w:r>
    </w:p>
    <w:p>
      <w:pPr>
        <w:widowControl/>
      </w:pPr>
      <w:r>
        <w:rPr>
          <w:b w:val="0"/>
          <w:i w:val="0"/>
        </w:rPr>
        <w:t>The natural and divine uses remain analogical. Sensible light appears in examples of fire and vision, while a comparison of two supposed supreme lights argues for purity: differentiation would require something other than pure light, undermining supremacy. Visible light’s diffusion supplies an image of unlimited invisible divine presence, but imagining divine rays as extended lines would falsely put God into bodily space. In the reported theory of universal mental presence, several candles illuminate the same hall while retaining distinct relations to their sources. In the causal argument, one sunlight appears red or green through differently colored windows; intermediaries explain differentiated effects without becoming independent sources. These comparisons serve different purposes rather than forming one physical identification of God with illumination.</w:t>
      </w:r>
    </w:p>
    <w:p>
      <w:pPr>
        <w:widowControl/>
      </w:pPr>
      <w:r>
        <w:rPr>
          <w:b w:val="0"/>
          <w:i w:val="0"/>
        </w:rPr>
        <w:t>Illumination also explains the communication of intellectual form and stable actuality. Angel receives intelligence by illumination; soul receives its stability from divine light while remaining multiple and temporally mutable through its lower grade. The creation-and-illumination account qualifies its priority as being so in a certain sense, so the reception should not automatically become an ordinary elapsed-time process in an otherwise immovable angel.</w:t>
      </w:r>
    </w:p>
    <w:p>
      <w:pPr>
        <w:widowControl/>
      </w:pPr>
      <w:r>
        <w:rPr>
          <w:b w:val="0"/>
          <w:i w:val="0"/>
        </w:rPr>
        <w:t>The Sun–Mercury–Moon analogy distinguishes an unchanged source from different modes of reception. The sun corresponds to God; Mercury, said to receive all its light completely, to angel; and the moon’s changing reception over time to soul. Ficino extends the comparison of Mercury to the superlunary stars. These astronomical assertions belong to his historical illustration. At III.2.8, sunlight’s continuing attachment to its source while filling what lies below further illustrates soul’s simultaneous relation to higher and lower realities.</w:t>
      </w:r>
    </w:p>
    <w:p>
      <w:pPr>
        <w:widowControl/>
      </w:pPr>
      <w:r>
        <w:rPr>
          <w:b w:val="0"/>
          <w:i w:val="0"/>
        </w:rPr>
        <w:t xml:space="preserve">Shadow emphasizes derivative limitation. God’s shadow is explained as being beneath God, not a literal dark substance or an independent evil principle. Soul’s vital shadow names life communicated throughout bodily division, not a soul cut into spatial pieces. Both </w:t>
      </w:r>
      <w:r>
        <w:rPr>
          <w:b w:val="0"/>
          <w:i/>
        </w:rPr>
        <w:t>lux</w:t>
      </w:r>
      <w:r>
        <w:rPr>
          <w:b w:val="0"/>
          <w:i w:val="0"/>
        </w:rPr>
        <w:t xml:space="preserve"> and </w:t>
      </w:r>
      <w:r>
        <w:rPr>
          <w:b w:val="0"/>
          <w:i/>
        </w:rPr>
        <w:t>lumen</w:t>
      </w:r>
      <w:r>
        <w:rPr>
          <w:b w:val="0"/>
          <w:i w:val="0"/>
        </w:rPr>
        <w:t xml:space="preserve"> occur in the related accounts, without a rigid distinction established by these passages. Their meaning, like that of vision and shadow, must be determined from the explanatory relation at issue.</w:t>
      </w:r>
    </w:p>
    <w:p>
      <w:pPr>
        <w:widowControl/>
      </w:pPr>
      <w:r>
        <w:rPr>
          <w:b w:val="0"/>
          <w:i w:val="0"/>
        </w:rPr>
        <w:t xml:space="preserve">The Proem’s sunlight analogy makes knowing dependent on divine illumination; purification prepares reception. The Magi’s riddle then distinguishes an entirely luminous thing, an entirely obscure thing and a mixed middle. Ficino supplies both a bodily mapping, star/air/moon, and a spiritual one, mind/irrational soul/rational soul. The rational soul’s changing reception is compared with the moon’s changing figure, whereas the angel always shines fully in the same manner with its sun’s light. At the final ascent, the </w:t>
      </w:r>
      <w:r>
        <w:t>“</w:t>
      </w:r>
      <w:r>
        <w:rPr>
          <w:b w:val="0"/>
          <w:i w:val="0"/>
        </w:rPr>
        <w:t>light seeing itself</w:t>
      </w:r>
      <w:r>
        <w:t>”</w:t>
      </w:r>
      <w:r>
        <w:rPr>
          <w:b w:val="0"/>
          <w:i w:val="0"/>
        </w:rPr>
        <w:t xml:space="preserve"> phrase deliberately cancels the separation of organ and light that characterized created mind. These are different uses within one developing argument.</w:t>
      </w:r>
    </w:p>
    <w:p>
      <w:pPr>
        <w:keepNext/>
        <w:widowControl/>
      </w:pPr>
      <w:r>
        <w:rPr>
          <w:b/>
          <w:i w:val="0"/>
        </w:rPr>
        <w:t>The places.</w:t>
      </w:r>
    </w:p>
    <w:p>
      <w:pPr>
        <w:ind w:left="187" w:hanging="187"/>
      </w:pPr>
      <w:r>
        <w:t xml:space="preserve">• </w:t>
      </w:r>
      <w:r>
        <w:rPr>
          <w:b/>
          <w:i w:val="0"/>
        </w:rPr>
        <w:t>I.6.12 (PDF pp. 88–89)</w:t>
      </w:r>
      <w:r>
        <w:rPr>
          <w:b w:val="0"/>
          <w:i w:val="0"/>
        </w:rPr>
        <w:t>. Light seeing itself and sight shining express divine self-knowledge without a separate organ</w:t>
      </w:r>
    </w:p>
    <w:p>
      <w:pPr>
        <w:ind w:left="187" w:hanging="187"/>
      </w:pPr>
      <w:r>
        <w:t xml:space="preserve">• </w:t>
      </w:r>
      <w:r>
        <w:rPr>
          <w:b/>
          <w:i w:val="0"/>
        </w:rPr>
        <w:t>II.6.11 (PDF pp. 132–133)</w:t>
      </w:r>
      <w:r>
        <w:rPr>
          <w:b w:val="0"/>
          <w:i w:val="0"/>
        </w:rPr>
        <w:t>. Visible diffusion illustrates invisible presence, while absence emphasizes dependence</w:t>
      </w:r>
    </w:p>
    <w:p>
      <w:pPr>
        <w:ind w:left="187" w:hanging="187"/>
      </w:pPr>
      <w:r>
        <w:t xml:space="preserve">• </w:t>
      </w:r>
      <w:r>
        <w:rPr>
          <w:b/>
          <w:i w:val="0"/>
        </w:rPr>
        <w:t>II.6.24 (PDF pp. 142–143)</w:t>
      </w:r>
      <w:r>
        <w:rPr>
          <w:b w:val="0"/>
          <w:i w:val="0"/>
        </w:rPr>
        <w:t>. Distinct candlelights model the authorities’ account of minds without confusion</w:t>
      </w:r>
    </w:p>
    <w:p>
      <w:pPr>
        <w:ind w:left="187" w:hanging="187"/>
      </w:pPr>
      <w:r>
        <w:t xml:space="preserve">• </w:t>
      </w:r>
      <w:r>
        <w:rPr>
          <w:b/>
          <w:i w:val="0"/>
        </w:rPr>
        <w:t>II.7.31 (PDF pp. 158–159)</w:t>
      </w:r>
      <w:r>
        <w:rPr>
          <w:b w:val="0"/>
          <w:i w:val="0"/>
        </w:rPr>
        <w:t>. Colored windows model differentiated effects through intermediaries</w:t>
      </w:r>
    </w:p>
    <w:p>
      <w:pPr>
        <w:ind w:left="187" w:hanging="187"/>
      </w:pPr>
      <w:r>
        <w:t xml:space="preserve">• </w:t>
      </w:r>
      <w:r>
        <w:rPr>
          <w:b/>
          <w:i w:val="0"/>
        </w:rPr>
        <w:t>II.10.12 (PDF pp. 180–181)</w:t>
      </w:r>
      <w:r>
        <w:rPr>
          <w:b w:val="0"/>
          <w:i w:val="0"/>
        </w:rPr>
        <w:t>. One-colored light imagined as every-colored illustrates an inexhaustible source</w:t>
      </w:r>
    </w:p>
    <w:p>
      <w:pPr>
        <w:widowControl/>
      </w:pPr>
      <w:r>
        <w:rPr>
          <w:b/>
          <w:i w:val="0"/>
        </w:rPr>
        <w:t>Further passage references.</w:t>
      </w:r>
      <w:r>
        <w:rPr>
          <w:b w:val="0"/>
          <w:i w:val="0"/>
        </w:rPr>
        <w:t xml:space="preserve"> Proem.1–Proem.4 (PDF pp. 6–7); I.1.2, I.1.6 (pp. 14–17); I.2.5, I.2.13 (pp. 20–25); I.5.14 (pp. 68–69); I.6.7–I.6.13 (pp. 86–91); II.2.5–6, pp. 106–107; II.6.11–14, pp. 132–137; II.6.24, pp. 142–143; II.7.31, pp. 158–159; II.9.13, pp. 168–169; II.10.11–12, pp. 180–181; II.11.30, PDF 196–197; III.1.12, 17–19, 31–32, PDF 248–261; III.2.8, 19, PDF 266–273.</w:t>
      </w:r>
    </w:p>
    <w:p>
      <w:pPr>
        <w:ind w:left="187" w:hanging="187"/>
      </w:pPr>
      <w:r>
        <w:t xml:space="preserve">• </w:t>
      </w:r>
      <w:r>
        <w:rPr>
          <w:b/>
          <w:i w:val="0"/>
        </w:rPr>
        <w:t>Proem.1–2, PDF 6–7.</w:t>
      </w:r>
      <w:r>
        <w:rPr>
          <w:b w:val="0"/>
          <w:i w:val="0"/>
        </w:rPr>
        <w:t xml:space="preserve"> Illumination and purification establish the programme</w:t>
      </w:r>
    </w:p>
    <w:p>
      <w:pPr>
        <w:ind w:left="187" w:hanging="187"/>
      </w:pPr>
      <w:r>
        <w:t xml:space="preserve">• </w:t>
      </w:r>
      <w:r>
        <w:rPr>
          <w:b/>
          <w:i w:val="0"/>
        </w:rPr>
        <w:t>I.1.6, PDF 16–17.</w:t>
      </w:r>
      <w:r>
        <w:rPr>
          <w:b w:val="0"/>
          <w:i w:val="0"/>
        </w:rPr>
        <w:t xml:space="preserve"> Mind’s purified gaze is directed toward the divine sun</w:t>
      </w:r>
    </w:p>
    <w:p>
      <w:pPr>
        <w:ind w:left="187" w:hanging="187"/>
      </w:pPr>
      <w:r>
        <w:t xml:space="preserve">• </w:t>
      </w:r>
      <w:r>
        <w:rPr>
          <w:b/>
          <w:i w:val="0"/>
        </w:rPr>
        <w:t>I.5.14, PDF 68–69.</w:t>
      </w:r>
      <w:r>
        <w:rPr>
          <w:b w:val="0"/>
          <w:i w:val="0"/>
        </w:rPr>
        <w:t xml:space="preserve"> The riddle receives bodily and spiritual interpretations</w:t>
      </w:r>
    </w:p>
    <w:p>
      <w:pPr>
        <w:ind w:left="187" w:hanging="187"/>
      </w:pPr>
      <w:r>
        <w:t xml:space="preserve">• </w:t>
      </w:r>
      <w:r>
        <w:rPr>
          <w:b/>
          <w:i w:val="0"/>
        </w:rPr>
        <w:t>I.6.12, PDF 88–89.</w:t>
      </w:r>
      <w:r>
        <w:rPr>
          <w:b w:val="0"/>
          <w:i w:val="0"/>
        </w:rPr>
        <w:t xml:space="preserve"> Divine self-seeing exceeds the eye’s reception of another’s light</w:t>
      </w:r>
    </w:p>
    <w:p>
      <w:pPr>
        <w:keepNext/>
        <w:widowControl/>
      </w:pPr>
      <w:r>
        <w:rPr>
          <w:b/>
          <w:i w:val="0"/>
        </w:rPr>
        <w:t>In this edition.</w:t>
      </w:r>
    </w:p>
    <w:p>
      <w:pPr>
        <w:widowControl/>
      </w:pPr>
      <w:r>
        <w:rPr>
          <w:b w:val="0"/>
          <w:i w:val="0"/>
        </w:rPr>
        <w:t xml:space="preserve">Keep the optical examples distinct: visible light’s spread, imagined divine rays, candlelight co-presence, and colored-window differentiation explain different relations. The II.6.14–24 candle theory remains attributed. At II.10.12 </w:t>
      </w:r>
      <w:r>
        <w:t>“</w:t>
      </w:r>
      <w:r>
        <w:rPr>
          <w:b w:val="0"/>
          <w:i w:val="0"/>
        </w:rPr>
        <w:t>so to speak</w:t>
      </w:r>
      <w:r>
        <w:t>”</w:t>
      </w:r>
      <w:r>
        <w:rPr>
          <w:b w:val="0"/>
          <w:i w:val="0"/>
        </w:rPr>
        <w:t xml:space="preserve"> qualifies the description of light as unicolor.</w:t>
      </w:r>
    </w:p>
    <w:p>
      <w:pPr>
        <w:widowControl/>
      </w:pPr>
      <w:r>
        <w:t>“</w:t>
      </w:r>
      <w:r>
        <w:rPr>
          <w:b w:val="0"/>
          <w:i w:val="0"/>
        </w:rPr>
        <w:t>Changes its form</w:t>
      </w:r>
      <w:r>
        <w:t>”</w:t>
      </w:r>
      <w:r>
        <w:rPr>
          <w:b w:val="0"/>
          <w:i w:val="0"/>
        </w:rPr>
        <w:t xml:space="preserve"> in the moon analogy renders </w:t>
      </w:r>
      <w:r>
        <w:rPr>
          <w:b w:val="0"/>
          <w:i/>
        </w:rPr>
        <w:t>mutatque figuram</w:t>
      </w:r>
      <w:r>
        <w:rPr>
          <w:b w:val="0"/>
          <w:i w:val="0"/>
        </w:rPr>
        <w:t xml:space="preserve"> and concerns the figure of reception in the comparison; it should not casually become a change in the rational soul’s substantial essence. The cosmological descriptions are Ficino’s model, not contemporary astronomy.</w:t>
      </w:r>
    </w:p>
    <w:p>
      <w:pPr>
        <w:keepNext/>
        <w:widowControl/>
      </w:pPr>
      <w:r>
        <w:rPr>
          <w:b/>
          <w:i w:val="0"/>
        </w:rPr>
        <w:t>See also.</w:t>
      </w:r>
    </w:p>
    <w:p>
      <w:pPr>
        <w:widowControl/>
      </w:pPr>
      <w:hyperlink w:anchor="truth">
        <w:r>
          <w:rPr>
            <w:color w:val="000000"/>
          </w:rPr>
          <w:t xml:space="preserve">Truth</w:t>
        </w:r>
      </w:hyperlink>
      <w:r>
        <w:rPr>
          <w:b w:val="0"/>
          <w:i w:val="0"/>
        </w:rPr>
        <w:t xml:space="preserve">; </w:t>
      </w:r>
      <w:hyperlink w:anchor="mind">
        <w:r>
          <w:rPr>
            <w:color w:val="000000"/>
          </w:rPr>
          <w:t xml:space="preserve">Mind</w:t>
        </w:r>
      </w:hyperlink>
      <w:r>
        <w:rPr>
          <w:b w:val="0"/>
          <w:i w:val="0"/>
        </w:rPr>
        <w:t xml:space="preserve">; </w:t>
      </w:r>
      <w:hyperlink w:anchor="god">
        <w:r>
          <w:rPr>
            <w:color w:val="000000"/>
          </w:rPr>
          <w:t xml:space="preserve">God</w:t>
        </w:r>
      </w:hyperlink>
      <w:r>
        <w:rPr>
          <w:b w:val="0"/>
          <w:i w:val="0"/>
        </w:rPr>
        <w:t xml:space="preserve">; </w:t>
      </w:r>
      <w:hyperlink w:anchor="image-and-likeness">
        <w:r>
          <w:rPr>
            <w:color w:val="000000"/>
          </w:rPr>
          <w:t xml:space="preserve">Image and likeness</w:t>
        </w:r>
      </w:hyperlink>
      <w:r>
        <w:rPr>
          <w:b w:val="0"/>
          <w:i w:val="0"/>
        </w:rPr>
        <w:t xml:space="preserve">; </w:t>
      </w:r>
      <w:hyperlink w:anchor="sense-and-imagination">
        <w:r>
          <w:rPr>
            <w:color w:val="000000"/>
          </w:rPr>
          <w:t xml:space="preserve">Sense and imagination</w:t>
        </w:r>
      </w:hyperlink>
      <w:r>
        <w:rPr>
          <w:b w:val="0"/>
          <w:i w:val="0"/>
        </w:rPr>
        <w:t xml:space="preserve">; </w:t>
      </w:r>
      <w:hyperlink w:anchor="purity-and-mixture">
        <w:r>
          <w:rPr>
            <w:color w:val="000000"/>
          </w:rPr>
          <w:t xml:space="preserve">Purity and mixture</w:t>
        </w:r>
      </w:hyperlink>
      <w:r>
        <w:rPr>
          <w:b w:val="0"/>
          <w:i w:val="0"/>
        </w:rPr>
        <w:t xml:space="preserve">; </w:t>
      </w:r>
      <w:hyperlink w:anchor="omnipresence-and-place">
        <w:r>
          <w:rPr>
            <w:color w:val="000000"/>
          </w:rPr>
          <w:t xml:space="preserve">Omnipresence and place</w:t>
        </w:r>
      </w:hyperlink>
      <w:r>
        <w:rPr>
          <w:b w:val="0"/>
          <w:i w:val="0"/>
        </w:rPr>
        <w:t xml:space="preserve">; </w:t>
      </w:r>
      <w:hyperlink w:anchor="instrument">
        <w:r>
          <w:rPr>
            <w:color w:val="000000"/>
          </w:rPr>
          <w:t xml:space="preserve">Instrument</w:t>
        </w:r>
      </w:hyperlink>
      <w:r>
        <w:rPr>
          <w:b w:val="0"/>
          <w:i w:val="0"/>
        </w:rPr>
        <w:t xml:space="preserve">; </w:t>
      </w:r>
      <w:hyperlink w:anchor="form">
        <w:r>
          <w:rPr>
            <w:color w:val="000000"/>
          </w:rPr>
          <w:t xml:space="preserve">Form</w:t>
        </w:r>
      </w:hyperlink>
      <w:r>
        <w:rPr>
          <w:b w:val="0"/>
          <w:i w:val="0"/>
        </w:rPr>
        <w:t xml:space="preserve">; </w:t>
      </w:r>
      <w:hyperlink w:anchor="species">
        <w:r>
          <w:rPr>
            <w:color w:val="000000"/>
          </w:rPr>
          <w:t xml:space="preserve">Species</w:t>
        </w:r>
      </w:hyperlink>
      <w:r>
        <w:rPr>
          <w:b w:val="0"/>
          <w:i w:val="0"/>
        </w:rPr>
        <w:t xml:space="preserve">; </w:t>
      </w:r>
      <w:hyperlink w:anchor="power-and-potency">
        <w:r>
          <w:rPr>
            <w:color w:val="000000"/>
          </w:rPr>
          <w:t xml:space="preserve">Power and potency</w:t>
        </w:r>
      </w:hyperlink>
      <w:r>
        <w:rPr>
          <w:b w:val="0"/>
          <w:i w:val="0"/>
        </w:rPr>
        <w:t xml:space="preserve">; </w:t>
      </w:r>
      <w:hyperlink w:anchor="indivisibility">
        <w:r>
          <w:rPr>
            <w:color w:val="000000"/>
          </w:rPr>
          <w:t xml:space="preserve">Indivisibility</w:t>
        </w:r>
      </w:hyperlink>
      <w:r>
        <w:rPr>
          <w:b w:val="0"/>
          <w:i w:val="0"/>
        </w:rPr>
        <w:t xml:space="preserve">; </w:t>
      </w:r>
      <w:hyperlink w:anchor="motion-and-stability">
        <w:r>
          <w:rPr>
            <w:color w:val="000000"/>
          </w:rPr>
          <w:t xml:space="preserve">Motion and stability</w:t>
        </w:r>
      </w:hyperlink>
    </w:p>
    <w:p>
      <w:pPr>
        <w:widowControl/>
      </w:pPr>
      <w:hyperlink w:anchor="eye-and-imagined-enlargement">
        <w:r>
          <w:rPr>
            <w:color w:val="000000"/>
          </w:rPr>
          <w:t xml:space="preserve">Eye and imagined enlargement</w:t>
        </w:r>
      </w:hyperlink>
      <w:r>
        <w:rPr>
          <w:b w:val="0"/>
          <w:i w:val="0"/>
        </w:rPr>
        <w:t xml:space="preserve">; </w:t>
      </w:r>
      <w:hyperlink w:anchor="hermetic-theologians-and-the-magi">
        <w:r>
          <w:rPr>
            <w:color w:val="000000"/>
          </w:rPr>
          <w:t xml:space="preserve">Hermetic theologians and the Magi</w:t>
        </w:r>
      </w:hyperlink>
      <w:r>
        <w:rPr>
          <w:b w:val="0"/>
          <w:i w:val="0"/>
        </w:rPr>
        <w:t xml:space="preserve">; </w:t>
      </w:r>
      <w:hyperlink w:anchor="purity-and-mixture">
        <w:r>
          <w:rPr>
            <w:color w:val="000000"/>
          </w:rPr>
          <w:t xml:space="preserve">Purity and mixture</w:t>
        </w:r>
      </w:hyperlink>
      <w:r>
        <w:rPr>
          <w:b w:val="0"/>
          <w:i w:val="0"/>
        </w:rPr>
        <w:t>.</w:t>
      </w:r>
    </w:p>
    <w:p>
      <w:bookmarkStart w:id="142" w:name="looking-and-recognizing"/>
      <w:pPr>
        <w:pStyle w:val="Heading2"/>
      </w:pPr>
      <w:r>
        <w:rPr>
          <w:b w:val="0"/>
          <w:i w:val="0"/>
        </w:rPr>
        <w:t>Looking and recognizing</w:t>
      </w:r>
      <w:bookmarkEnd w:id="142"/>
    </w:p>
    <w:p>
      <w:pPr>
        <w:keepNext/>
        <w:widowControl/>
      </w:pPr>
      <w:r>
        <w:rPr>
          <w:b/>
          <w:i w:val="0"/>
        </w:rPr>
        <w:t>Latin:</w:t>
      </w:r>
      <w:r>
        <w:rPr>
          <w:b w:val="0"/>
          <w:i w:val="0"/>
        </w:rPr>
        <w:t xml:space="preserve"> </w:t>
      </w:r>
      <w:r>
        <w:rPr>
          <w:b w:val="0"/>
          <w:i/>
        </w:rPr>
        <w:t>intueri; cernere; inspicere; animadvertere; agnoscere; suspicere; augurari</w:t>
      </w:r>
    </w:p>
    <w:p>
      <w:pPr>
        <w:keepNext/>
        <w:widowControl/>
      </w:pPr>
      <w:r>
        <w:rPr>
          <w:b/>
          <w:i w:val="0"/>
        </w:rPr>
        <w:t>The word.</w:t>
      </w:r>
    </w:p>
    <w:p>
      <w:pPr>
        <w:widowControl/>
      </w:pPr>
      <w:r>
        <w:rPr>
          <w:b w:val="0"/>
          <w:i w:val="0"/>
        </w:rPr>
        <w:t>These verbs span looking at, discerning, attending to, recognizing, looking upward, and divining or dimly apprehending. Their subjects and objects determine whether the attention is sensory, intellectual, or a metaphorical orientation toward higher realities.</w:t>
      </w:r>
    </w:p>
    <w:p>
      <w:pPr>
        <w:keepNext/>
        <w:widowControl/>
      </w:pPr>
      <w:r>
        <w:rPr>
          <w:b/>
          <w:i w:val="0"/>
        </w:rPr>
        <w:t>In the Platonic Theology.</w:t>
      </w:r>
    </w:p>
    <w:p>
      <w:pPr>
        <w:widowControl/>
      </w:pPr>
      <w:r>
        <w:rPr>
          <w:b w:val="0"/>
          <w:i w:val="0"/>
        </w:rPr>
        <w:t>The painter inspects one flower and then another; rational soul, in the parallel, thinks of or in some manner divines God and angel through a continuing light. Auguratur makes that latter description more qualified than a claim of exhaustive vision. Later, soul’s return into itself yields animadvertit, apprehension of itself and its contents; Ficino draws the inference from apprehension to cognition and from recognition of spiritual essence to intellection. The object’s character is crucial to that step. In the final vision example, a solid thing placed directly on the eyes prevents seeing, whereas an image joined through spirit permits it. Contact and cognition are thus distinguished even when the same broad looking-language extends across levels.</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III.1.28 (Latin PDF p. 258; English PDF p. 259).</w:t>
      </w:r>
      <w:r>
        <w:rPr>
          <w:b w:val="0"/>
          <w:i w:val="0"/>
        </w:rPr>
        <w:t xml:space="preserve"> Inspection of flowers exemplifies successive attention.</w:t>
      </w:r>
    </w:p>
    <w:p>
      <w:pPr>
        <w:ind w:left="187" w:hanging="187"/>
      </w:pPr>
      <w:r>
        <w:t xml:space="preserve">• </w:t>
      </w:r>
      <w:r>
        <w:rPr>
          <w:b/>
          <w:i w:val="0"/>
        </w:rPr>
        <w:t>III.1.31 (Latin PDF p. 258; English PDF p. 259).</w:t>
      </w:r>
      <w:r>
        <w:rPr>
          <w:b w:val="0"/>
          <w:i w:val="0"/>
        </w:rPr>
        <w:t xml:space="preserve"> Cogitat sive auguratur qualifies soul’s apprehension of higher beings.</w:t>
      </w:r>
    </w:p>
    <w:p>
      <w:pPr>
        <w:ind w:left="187" w:hanging="187"/>
      </w:pPr>
      <w:r>
        <w:t xml:space="preserve">• </w:t>
      </w:r>
      <w:r>
        <w:rPr>
          <w:b/>
          <w:i w:val="0"/>
        </w:rPr>
        <w:t>III.2.28 (Latin PDF p. 276; English PDF p. 277).</w:t>
      </w:r>
      <w:r>
        <w:rPr>
          <w:b w:val="0"/>
          <w:i w:val="0"/>
        </w:rPr>
        <w:t xml:space="preserve"> Apprehending, recognizing, and understanding form an explicit inference.</w:t>
      </w:r>
    </w:p>
    <w:p>
      <w:pPr>
        <w:ind w:left="187" w:hanging="187"/>
      </w:pPr>
      <w:r>
        <w:t xml:space="preserve">• </w:t>
      </w:r>
      <w:r>
        <w:rPr>
          <w:b/>
          <w:i w:val="0"/>
        </w:rPr>
        <w:t>III.2.29 (Latin PDF p. 278; English PDF p. 279).</w:t>
      </w:r>
      <w:r>
        <w:rPr>
          <w:b w:val="0"/>
          <w:i w:val="0"/>
        </w:rPr>
        <w:t xml:space="preserve"> Sight’s relation to an image contrasts with gross contact.</w:t>
      </w:r>
    </w:p>
    <w:p>
      <w:pPr>
        <w:keepNext/>
        <w:widowControl/>
      </w:pPr>
      <w:r>
        <w:rPr>
          <w:b/>
          <w:i w:val="0"/>
        </w:rPr>
        <w:t>In this edition.</w:t>
      </w:r>
    </w:p>
    <w:p>
      <w:pPr>
        <w:widowControl/>
      </w:pPr>
      <w:r>
        <w:t>“</w:t>
      </w:r>
      <w:r>
        <w:rPr>
          <w:b w:val="0"/>
          <w:i w:val="0"/>
        </w:rPr>
        <w:t>Divines</w:t>
      </w:r>
      <w:r>
        <w:t>”</w:t>
      </w:r>
      <w:r>
        <w:rPr>
          <w:b w:val="0"/>
          <w:i w:val="0"/>
        </w:rPr>
        <w:t xml:space="preserve"> for auguratur need not introduce fortune-telling in this context. The delicate printed phrase in corporalibus rerum speciebus rationibusque in III.2.29 remains unresolved; cognitive vocabulary does not authorize silently changing corporalibus to incorporalibus. The apparatus (PDF p. 387) explains animadvertit as </w:t>
      </w:r>
      <w:r>
        <w:t>“</w:t>
      </w:r>
      <w:r>
        <w:rPr>
          <w:b w:val="0"/>
          <w:i w:val="0"/>
        </w:rPr>
        <w:t>apprehends</w:t>
      </w:r>
      <w:r>
        <w:t>”</w:t>
      </w:r>
      <w:r>
        <w:rPr>
          <w:b w:val="0"/>
          <w:i w:val="0"/>
        </w:rPr>
        <w:t xml:space="preserve"> and species/rationes as </w:t>
      </w:r>
      <w:r>
        <w:t>“</w:t>
      </w:r>
      <w:r>
        <w:rPr>
          <w:b w:val="0"/>
          <w:i w:val="0"/>
        </w:rPr>
        <w:t>forms and principles</w:t>
      </w:r>
      <w:r>
        <w:t>”</w:t>
      </w:r>
      <w:r>
        <w:rPr>
          <w:b w:val="0"/>
          <w:i w:val="0"/>
        </w:rPr>
        <w:t>; those glosses are not a collation resolving the delicate Latin phrase.</w:t>
      </w:r>
    </w:p>
    <w:p>
      <w:pPr>
        <w:keepNext/>
        <w:widowControl/>
      </w:pPr>
      <w:r>
        <w:rPr>
          <w:b/>
          <w:i w:val="0"/>
        </w:rPr>
        <w:t>See also.</w:t>
      </w:r>
    </w:p>
    <w:p>
      <w:pPr>
        <w:widowControl/>
      </w:pPr>
      <w:hyperlink w:anchor="intuition-and-comprehension">
        <w:r>
          <w:rPr>
            <w:color w:val="000000"/>
          </w:rPr>
          <w:t xml:space="preserve">Intuition and comprehension</w:t>
        </w:r>
      </w:hyperlink>
      <w:r>
        <w:rPr>
          <w:b w:val="0"/>
          <w:i w:val="0"/>
        </w:rPr>
        <w:t xml:space="preserve">; </w:t>
      </w:r>
      <w:hyperlink w:anchor="self-knowledge">
        <w:r>
          <w:rPr>
            <w:color w:val="000000"/>
          </w:rPr>
          <w:t xml:space="preserve">Self knowledge</w:t>
        </w:r>
      </w:hyperlink>
      <w:r>
        <w:rPr>
          <w:b w:val="0"/>
          <w:i w:val="0"/>
        </w:rPr>
        <w:t xml:space="preserve">; </w:t>
      </w:r>
      <w:hyperlink w:anchor="spiritual-union">
        <w:r>
          <w:rPr>
            <w:color w:val="000000"/>
          </w:rPr>
          <w:t xml:space="preserve">Spiritual union</w:t>
        </w:r>
      </w:hyperlink>
      <w:r>
        <w:rPr>
          <w:b w:val="0"/>
          <w:i w:val="0"/>
        </w:rPr>
        <w:t xml:space="preserve">; </w:t>
      </w:r>
      <w:hyperlink w:anchor="apelles-and-the-meadow">
        <w:r>
          <w:rPr>
            <w:color w:val="000000"/>
          </w:rPr>
          <w:t xml:space="preserve">Apelles and the meadow</w:t>
        </w:r>
      </w:hyperlink>
      <w:r>
        <w:rPr>
          <w:b w:val="0"/>
          <w:i w:val="0"/>
        </w:rPr>
        <w:t>.</w:t>
      </w:r>
    </w:p>
    <w:p>
      <w:bookmarkStart w:id="143" w:name="lorenzo-dedication-and-public-authority"/>
      <w:pPr>
        <w:pStyle w:val="Heading2"/>
      </w:pPr>
      <w:r>
        <w:rPr>
          <w:b w:val="0"/>
          <w:i w:val="0"/>
        </w:rPr>
        <w:t>Lorenzo, dedication and public authority</w:t>
      </w:r>
      <w:bookmarkEnd w:id="143"/>
    </w:p>
    <w:p>
      <w:pPr>
        <w:keepNext/>
        <w:widowControl/>
      </w:pPr>
      <w:r>
        <w:rPr>
          <w:b/>
          <w:i w:val="0"/>
        </w:rPr>
        <w:t>Latin:</w:t>
      </w:r>
      <w:r>
        <w:rPr>
          <w:b w:val="0"/>
          <w:i w:val="0"/>
        </w:rPr>
        <w:t xml:space="preserve"> </w:t>
      </w:r>
      <w:r>
        <w:rPr>
          <w:b w:val="0"/>
          <w:i/>
        </w:rPr>
        <w:t>magnanime Laurenti</w:t>
      </w:r>
      <w:r>
        <w:rPr>
          <w:b w:val="0"/>
          <w:i w:val="0"/>
        </w:rPr>
        <w:t xml:space="preserve">; </w:t>
      </w:r>
      <w:r>
        <w:rPr>
          <w:b w:val="0"/>
          <w:i/>
        </w:rPr>
        <w:t>dedicandum</w:t>
      </w:r>
      <w:r>
        <w:rPr>
          <w:b w:val="0"/>
          <w:i w:val="0"/>
        </w:rPr>
        <w:t xml:space="preserve">; </w:t>
      </w:r>
      <w:r>
        <w:rPr>
          <w:b w:val="0"/>
          <w:i/>
        </w:rPr>
        <w:t>beneficio tuo</w:t>
      </w:r>
      <w:r>
        <w:rPr>
          <w:b w:val="0"/>
          <w:i w:val="0"/>
        </w:rPr>
        <w:t xml:space="preserve">; </w:t>
      </w:r>
      <w:r>
        <w:rPr>
          <w:b w:val="0"/>
          <w:i/>
        </w:rPr>
        <w:t>otium</w:t>
      </w:r>
      <w:r>
        <w:rPr>
          <w:b w:val="0"/>
          <w:i w:val="0"/>
        </w:rPr>
        <w:t xml:space="preserve">; </w:t>
      </w:r>
      <w:r>
        <w:rPr>
          <w:b w:val="0"/>
          <w:i/>
        </w:rPr>
        <w:t>officio</w:t>
      </w:r>
      <w:r>
        <w:rPr>
          <w:b w:val="0"/>
          <w:i w:val="0"/>
        </w:rPr>
        <w:t xml:space="preserve">; </w:t>
      </w:r>
      <w:r>
        <w:rPr>
          <w:b w:val="0"/>
          <w:i/>
        </w:rPr>
        <w:t>summa in rebus publicis auctoritate</w:t>
      </w:r>
      <w:r>
        <w:rPr>
          <w:b w:val="0"/>
          <w:i w:val="0"/>
        </w:rPr>
        <w:t>.</w:t>
      </w:r>
    </w:p>
    <w:p>
      <w:pPr>
        <w:keepNext/>
        <w:widowControl/>
      </w:pPr>
      <w:r>
        <w:rPr>
          <w:b/>
          <w:i w:val="0"/>
        </w:rPr>
        <w:t>The word.</w:t>
      </w:r>
    </w:p>
    <w:p>
      <w:pPr>
        <w:widowControl/>
      </w:pPr>
      <w:r>
        <w:rPr>
          <w:b w:val="0"/>
          <w:i/>
        </w:rPr>
        <w:t>Laurenti</w:t>
      </w:r>
      <w:r>
        <w:rPr>
          <w:b w:val="0"/>
          <w:i w:val="0"/>
        </w:rPr>
        <w:t xml:space="preserve"> is the vocative used to address Lorenzo. </w:t>
      </w:r>
      <w:r>
        <w:rPr>
          <w:b w:val="0"/>
          <w:i/>
        </w:rPr>
        <w:t>Magnanimus</w:t>
      </w:r>
      <w:r>
        <w:rPr>
          <w:b w:val="0"/>
          <w:i w:val="0"/>
        </w:rPr>
        <w:t xml:space="preserve"> praises greatness of spirit. </w:t>
      </w:r>
      <w:r>
        <w:rPr>
          <w:b w:val="0"/>
          <w:i/>
        </w:rPr>
        <w:t>Beneficium</w:t>
      </w:r>
      <w:r>
        <w:rPr>
          <w:b w:val="0"/>
          <w:i w:val="0"/>
        </w:rPr>
        <w:t xml:space="preserve"> is a benefit or act of beneficence; </w:t>
      </w:r>
      <w:r>
        <w:rPr>
          <w:b w:val="0"/>
          <w:i/>
        </w:rPr>
        <w:t>officium</w:t>
      </w:r>
      <w:r>
        <w:rPr>
          <w:b w:val="0"/>
          <w:i w:val="0"/>
        </w:rPr>
        <w:t xml:space="preserve"> a service or duty; </w:t>
      </w:r>
      <w:r>
        <w:rPr>
          <w:b w:val="0"/>
          <w:i/>
        </w:rPr>
        <w:t>auctoritas</w:t>
      </w:r>
      <w:r>
        <w:rPr>
          <w:b w:val="0"/>
          <w:i w:val="0"/>
        </w:rPr>
        <w:t xml:space="preserve"> authority or standing. </w:t>
      </w:r>
      <w:r>
        <w:rPr>
          <w:b w:val="0"/>
          <w:i/>
        </w:rPr>
        <w:t>Res publicae</w:t>
      </w:r>
      <w:r>
        <w:rPr>
          <w:b w:val="0"/>
          <w:i w:val="0"/>
        </w:rPr>
        <w:t xml:space="preserve"> here are public affairs. The vocabulary constructs a relationship between dedication, support and civic esteem.</w:t>
      </w:r>
    </w:p>
    <w:p>
      <w:pPr>
        <w:keepNext/>
        <w:widowControl/>
      </w:pPr>
      <w:r>
        <w:rPr>
          <w:b/>
          <w:i w:val="0"/>
        </w:rPr>
        <w:t>In the Platonic Theology.</w:t>
      </w:r>
    </w:p>
    <w:p>
      <w:pPr>
        <w:widowControl/>
      </w:pPr>
      <w:r>
        <w:rPr>
          <w:b w:val="0"/>
          <w:i w:val="0"/>
        </w:rPr>
        <w:t>Ficino opens and closes the Proem by addressing Lorenzo. He says the dedication is not needed to acquaint an ignorant patron with philosophy: Lorenzo is praised as already possessing unusual understanding. Ficino instead credits his beneficence with providing leisure for philosophical work. The dedication repays a benefit through an authorial duty and is presented as something Plato would welcome, because Lorenzo is said to unite philosophy with the highest authority in public affairs. These are Ficino’s encomiastic claims about the dedicatee. The passage alone does not establish a formal constitutional title, prove the justice of Lorenzo’s political position, or make every philosophical judgement in the book the patron’s own.</w:t>
      </w:r>
    </w:p>
    <w:p>
      <w:pPr>
        <w:keepNext/>
        <w:widowControl/>
      </w:pPr>
      <w:r>
        <w:rPr>
          <w:b/>
          <w:i w:val="0"/>
        </w:rPr>
        <w:t>The places.</w:t>
      </w:r>
    </w:p>
    <w:p>
      <w:pPr>
        <w:ind w:left="187" w:hanging="187"/>
      </w:pPr>
      <w:r>
        <w:t xml:space="preserve">• </w:t>
      </w:r>
      <w:r>
        <w:rPr>
          <w:b/>
          <w:i w:val="0"/>
        </w:rPr>
        <w:t>Proem.1, PDF 6–7.</w:t>
      </w:r>
      <w:r>
        <w:rPr>
          <w:b w:val="0"/>
          <w:i w:val="0"/>
        </w:rPr>
        <w:t xml:space="preserve"> The direct address places the opening account of Plato within a dedication</w:t>
      </w:r>
    </w:p>
    <w:p>
      <w:pPr>
        <w:ind w:left="187" w:hanging="187"/>
      </w:pPr>
      <w:r>
        <w:t xml:space="preserve">• </w:t>
      </w:r>
      <w:r>
        <w:rPr>
          <w:b/>
          <w:i w:val="0"/>
        </w:rPr>
        <w:t>Proem.11, PDF 10–11.</w:t>
      </w:r>
      <w:r>
        <w:rPr>
          <w:b w:val="0"/>
          <w:i w:val="0"/>
        </w:rPr>
        <w:t xml:space="preserve"> Philosophical attainment, beneficence, leisure, duty and public authority are joined</w:t>
      </w:r>
    </w:p>
    <w:p>
      <w:pPr>
        <w:keepNext/>
        <w:widowControl/>
      </w:pPr>
      <w:r>
        <w:rPr>
          <w:b/>
          <w:i w:val="0"/>
        </w:rPr>
        <w:t>In this edition.</w:t>
      </w:r>
    </w:p>
    <w:p>
      <w:pPr>
        <w:widowControl/>
      </w:pPr>
      <w:r>
        <w:t>“</w:t>
      </w:r>
      <w:r>
        <w:rPr>
          <w:b w:val="0"/>
          <w:i w:val="0"/>
        </w:rPr>
        <w:t>Magnanimous Lorenzo</w:t>
      </w:r>
      <w:r>
        <w:t>”</w:t>
      </w:r>
      <w:r>
        <w:rPr>
          <w:b w:val="0"/>
          <w:i w:val="0"/>
        </w:rPr>
        <w:t xml:space="preserve"> preserves the address; the prior name directory identifies the dedicatee as Lorenzo de’ Medici. </w:t>
      </w:r>
      <w:r>
        <w:t>“</w:t>
      </w:r>
      <w:r>
        <w:rPr>
          <w:b w:val="0"/>
          <w:i w:val="0"/>
        </w:rPr>
        <w:t>Authority in public affairs</w:t>
      </w:r>
      <w:r>
        <w:t>”</w:t>
      </w:r>
      <w:r>
        <w:rPr>
          <w:b w:val="0"/>
          <w:i w:val="0"/>
        </w:rPr>
        <w:t xml:space="preserve"> follows the broad Latin more closely than an invented office name. </w:t>
      </w:r>
      <w:r>
        <w:rPr>
          <w:b w:val="0"/>
          <w:i/>
        </w:rPr>
        <w:t>Otium</w:t>
      </w:r>
      <w:r>
        <w:rPr>
          <w:b w:val="0"/>
          <w:i w:val="0"/>
        </w:rPr>
        <w:t xml:space="preserve"> means the supported leisure enabling study here, unlike the inactivity contrasted with act in I.5.4.</w:t>
      </w:r>
    </w:p>
    <w:p>
      <w:pPr>
        <w:keepNext/>
        <w:widowControl/>
      </w:pPr>
      <w:r>
        <w:rPr>
          <w:b/>
          <w:i w:val="0"/>
        </w:rPr>
        <w:t>See also.</w:t>
      </w:r>
    </w:p>
    <w:p>
      <w:pPr>
        <w:widowControl/>
      </w:pPr>
      <w:hyperlink w:anchor="leisure">
        <w:r>
          <w:rPr>
            <w:color w:val="000000"/>
          </w:rPr>
          <w:t xml:space="preserve">Leisure</w:t>
        </w:r>
      </w:hyperlink>
      <w:r>
        <w:rPr>
          <w:b w:val="0"/>
          <w:i w:val="0"/>
        </w:rPr>
        <w:t xml:space="preserve">; </w:t>
      </w:r>
      <w:hyperlink w:anchor="philosophy-and-theology">
        <w:r>
          <w:rPr>
            <w:color w:val="000000"/>
          </w:rPr>
          <w:t xml:space="preserve">Philosophy and theology</w:t>
        </w:r>
      </w:hyperlink>
      <w:r>
        <w:rPr>
          <w:b w:val="0"/>
          <w:i w:val="0"/>
        </w:rPr>
        <w:t xml:space="preserve">; </w:t>
      </w:r>
      <w:hyperlink w:anchor="governing-serving-and-dominion">
        <w:r>
          <w:rPr>
            <w:color w:val="000000"/>
          </w:rPr>
          <w:t xml:space="preserve">Governing, serving and dominion</w:t>
        </w:r>
      </w:hyperlink>
      <w:r>
        <w:rPr>
          <w:b w:val="0"/>
          <w:i w:val="0"/>
        </w:rPr>
        <w:t>.</w:t>
      </w:r>
    </w:p>
    <w:p>
      <w:bookmarkStart w:id="144" w:name="love-and-pleasure"/>
      <w:pPr>
        <w:pStyle w:val="Heading2"/>
      </w:pPr>
      <w:r>
        <w:rPr>
          <w:b w:val="0"/>
          <w:i w:val="0"/>
        </w:rPr>
        <w:t>Love and pleasure</w:t>
      </w:r>
      <w:bookmarkEnd w:id="144"/>
    </w:p>
    <w:p>
      <w:pPr>
        <w:keepNext/>
        <w:widowControl/>
      </w:pPr>
      <w:r>
        <w:rPr>
          <w:b/>
          <w:i w:val="0"/>
        </w:rPr>
        <w:t>Latin:</w:t>
      </w:r>
      <w:r>
        <w:rPr>
          <w:b w:val="0"/>
          <w:i w:val="0"/>
        </w:rPr>
        <w:t xml:space="preserve"> </w:t>
      </w:r>
      <w:r>
        <w:rPr>
          <w:b w:val="0"/>
          <w:i/>
        </w:rPr>
        <w:t>amare</w:t>
      </w:r>
      <w:r>
        <w:rPr>
          <w:b w:val="0"/>
          <w:i w:val="0"/>
        </w:rPr>
        <w:t xml:space="preserve">; </w:t>
      </w:r>
      <w:r>
        <w:rPr>
          <w:b w:val="0"/>
          <w:i/>
        </w:rPr>
        <w:t>dilectio</w:t>
      </w:r>
      <w:r>
        <w:rPr>
          <w:b w:val="0"/>
          <w:i w:val="0"/>
        </w:rPr>
        <w:t xml:space="preserve">; </w:t>
      </w:r>
      <w:r>
        <w:rPr>
          <w:b w:val="0"/>
          <w:i/>
        </w:rPr>
        <w:t>diligere</w:t>
      </w:r>
      <w:r>
        <w:rPr>
          <w:b w:val="0"/>
          <w:i w:val="0"/>
        </w:rPr>
        <w:t xml:space="preserve">; </w:t>
      </w:r>
      <w:r>
        <w:rPr>
          <w:b w:val="0"/>
          <w:i/>
        </w:rPr>
        <w:t>voluptas</w:t>
      </w:r>
      <w:r>
        <w:rPr>
          <w:b w:val="0"/>
          <w:i w:val="0"/>
        </w:rPr>
        <w:t xml:space="preserve">; </w:t>
      </w:r>
      <w:r>
        <w:rPr>
          <w:b w:val="0"/>
          <w:i/>
        </w:rPr>
        <w:t>quies voluntatis in bono</w:t>
      </w:r>
      <w:r>
        <w:rPr>
          <w:b w:val="0"/>
          <w:i w:val="0"/>
        </w:rPr>
        <w:t xml:space="preserve">; </w:t>
      </w:r>
      <w:r>
        <w:rPr>
          <w:b w:val="0"/>
          <w:i/>
        </w:rPr>
        <w:t>dilatatio voluntatis in bonum</w:t>
      </w:r>
    </w:p>
    <w:p>
      <w:pPr>
        <w:keepNext/>
        <w:widowControl/>
      </w:pPr>
      <w:r>
        <w:rPr>
          <w:b/>
          <w:i w:val="0"/>
        </w:rPr>
        <w:t>The word.</w:t>
      </w:r>
    </w:p>
    <w:p>
      <w:pPr>
        <w:widowControl/>
      </w:pPr>
      <w:r>
        <w:rPr>
          <w:b w:val="0"/>
          <w:i w:val="0"/>
        </w:rPr>
        <w:t>Amare and diligere mean loving; dilectio love or attachment; voluptas pleasure. The relevant pleasure is described through will’s expansion toward and repose in good. Frui means enjoying or possessing the use of good; none of these words is restricted here to bodily gratification.</w:t>
      </w:r>
    </w:p>
    <w:p>
      <w:pPr>
        <w:keepNext/>
        <w:widowControl/>
      </w:pPr>
      <w:r>
        <w:rPr>
          <w:b/>
          <w:i w:val="0"/>
        </w:rPr>
        <w:t>In the Platonic Theology.</w:t>
      </w:r>
    </w:p>
    <w:p>
      <w:pPr>
        <w:widowControl/>
      </w:pPr>
      <w:r>
        <w:rPr>
          <w:b w:val="0"/>
          <w:i w:val="0"/>
        </w:rPr>
        <w:t>Love in these chapters is an intellectual or appetitive embrace of goodness. Pleasure is the will’s expansion toward, and repose in, good. Ficino uses this connection to argue that perfect divine cognition must not be imagined as an affectless awareness without enjoyment. God wills and loves his own goodness, and from that love extends love to his images and works.</w:t>
      </w:r>
    </w:p>
    <w:p>
      <w:pPr>
        <w:widowControl/>
      </w:pPr>
      <w:r>
        <w:rPr>
          <w:b w:val="0"/>
          <w:i w:val="0"/>
        </w:rPr>
        <w:t>The craftsman and father illustrate degrees of attachment to one’s production: God loves his works more fully because he has received neither their form nor their matter from another. This divine love leads directly to providence, the willing and preserving of their good. The language should not be reduced either to bodily pleasure or to changing human passions. Ficino qualifies divine desire as occurring in God’s own manner and identifies being, understanding, and willing in God. These terms therefore express the perfection and efficacy of divine good rather than need, deprivation, or dependence on a beloved object outside God.</w:t>
      </w:r>
    </w:p>
    <w:p>
      <w:pPr>
        <w:keepNext/>
        <w:widowControl/>
      </w:pPr>
      <w:r>
        <w:rPr>
          <w:b/>
          <w:i w:val="0"/>
        </w:rPr>
        <w:t>The places.</w:t>
      </w:r>
    </w:p>
    <w:p>
      <w:pPr>
        <w:ind w:left="187" w:hanging="187"/>
      </w:pPr>
      <w:r>
        <w:t xml:space="preserve">• </w:t>
      </w:r>
      <w:r>
        <w:rPr>
          <w:b/>
          <w:i w:val="0"/>
        </w:rPr>
        <w:t>II.9.2 (PDF pp. 164–165)</w:t>
      </w:r>
      <w:r>
        <w:rPr>
          <w:b w:val="0"/>
          <w:i w:val="0"/>
        </w:rPr>
        <w:t>. Intelligence is desirable because it allows enjoyment of self and other things</w:t>
      </w:r>
    </w:p>
    <w:p>
      <w:pPr>
        <w:ind w:left="187" w:hanging="187"/>
      </w:pPr>
      <w:r>
        <w:t xml:space="preserve">• </w:t>
      </w:r>
      <w:r>
        <w:rPr>
          <w:b/>
          <w:i w:val="0"/>
        </w:rPr>
        <w:t>II.11.30 (PDF pp. 196–197)</w:t>
      </w:r>
      <w:r>
        <w:rPr>
          <w:b w:val="0"/>
          <w:i w:val="0"/>
        </w:rPr>
        <w:t>. Divine will embraces its present good and connects outward production with goodness</w:t>
      </w:r>
    </w:p>
    <w:p>
      <w:pPr>
        <w:ind w:left="187" w:hanging="187"/>
      </w:pPr>
      <w:r>
        <w:t xml:space="preserve">• </w:t>
      </w:r>
      <w:r>
        <w:rPr>
          <w:b/>
          <w:i w:val="0"/>
        </w:rPr>
        <w:t>II.13.1 (PDF pp. 216–217)</w:t>
      </w:r>
      <w:r>
        <w:rPr>
          <w:b w:val="0"/>
          <w:i w:val="0"/>
        </w:rPr>
        <w:t>. Divine self-pleasure and self-love lead to love of images and works</w:t>
      </w:r>
    </w:p>
    <w:p>
      <w:pPr>
        <w:widowControl/>
      </w:pPr>
      <w:r>
        <w:rPr>
          <w:b/>
          <w:i w:val="0"/>
        </w:rPr>
        <w:t>Further passage references.</w:t>
      </w:r>
      <w:r>
        <w:rPr>
          <w:b w:val="0"/>
          <w:i w:val="0"/>
        </w:rPr>
        <w:t xml:space="preserve"> II.11.30–38, PDF 196–201; II.12.4–7, PDF 202–205; II.13.1–3, PDF 216–217.</w:t>
      </w:r>
    </w:p>
    <w:p>
      <w:pPr>
        <w:keepNext/>
        <w:widowControl/>
      </w:pPr>
      <w:r>
        <w:rPr>
          <w:b/>
          <w:i w:val="0"/>
        </w:rPr>
        <w:t>In this edition.</w:t>
      </w:r>
    </w:p>
    <w:p>
      <w:pPr>
        <w:widowControl/>
      </w:pPr>
      <w:r>
        <w:t>“</w:t>
      </w:r>
      <w:r>
        <w:rPr>
          <w:b w:val="0"/>
          <w:i w:val="0"/>
        </w:rPr>
        <w:t>Pleasure</w:t>
      </w:r>
      <w:r>
        <w:t>”</w:t>
      </w:r>
      <w:r>
        <w:rPr>
          <w:b w:val="0"/>
          <w:i w:val="0"/>
        </w:rPr>
        <w:t xml:space="preserve"> or </w:t>
      </w:r>
      <w:r>
        <w:t>“</w:t>
      </w:r>
      <w:r>
        <w:rPr>
          <w:b w:val="0"/>
          <w:i w:val="0"/>
        </w:rPr>
        <w:t>love</w:t>
      </w:r>
      <w:r>
        <w:t>”</w:t>
      </w:r>
      <w:r>
        <w:rPr>
          <w:b w:val="0"/>
          <w:i w:val="0"/>
        </w:rPr>
        <w:t xml:space="preserve"> should not import a fluctuating human passion into a passage that identifies divine being, knowing, and willing. In II.13.1 the paired amat and diligit connect self-love with love of images and works. Frui at II.9.2 describes the good of intellectual enjoyment.</w:t>
      </w:r>
    </w:p>
    <w:p>
      <w:pPr>
        <w:keepNext/>
        <w:widowControl/>
      </w:pPr>
      <w:r>
        <w:rPr>
          <w:b/>
          <w:i w:val="0"/>
        </w:rPr>
        <w:t>See also.</w:t>
      </w:r>
    </w:p>
    <w:p>
      <w:pPr>
        <w:widowControl/>
      </w:pPr>
      <w:hyperlink w:anchor="affect">
        <w:r>
          <w:rPr>
            <w:color w:val="000000"/>
          </w:rPr>
          <w:t xml:space="preserve">Affect</w:t>
        </w:r>
      </w:hyperlink>
      <w:r>
        <w:rPr>
          <w:b w:val="0"/>
          <w:i w:val="0"/>
        </w:rPr>
        <w:t xml:space="preserve">; </w:t>
      </w:r>
      <w:hyperlink w:anchor="appetite-and-desire">
        <w:r>
          <w:rPr>
            <w:color w:val="000000"/>
          </w:rPr>
          <w:t xml:space="preserve">Appetite and desire</w:t>
        </w:r>
      </w:hyperlink>
      <w:r>
        <w:rPr>
          <w:b w:val="0"/>
          <w:i w:val="0"/>
        </w:rPr>
        <w:t xml:space="preserve">; </w:t>
      </w:r>
      <w:hyperlink w:anchor="good-and-goodness">
        <w:r>
          <w:rPr>
            <w:color w:val="000000"/>
          </w:rPr>
          <w:t xml:space="preserve">Good and goodness</w:t>
        </w:r>
      </w:hyperlink>
      <w:r>
        <w:rPr>
          <w:b w:val="0"/>
          <w:i w:val="0"/>
        </w:rPr>
        <w:t xml:space="preserve">; </w:t>
      </w:r>
      <w:hyperlink w:anchor="providence">
        <w:r>
          <w:rPr>
            <w:color w:val="000000"/>
          </w:rPr>
          <w:t xml:space="preserve">Providence</w:t>
        </w:r>
      </w:hyperlink>
      <w:r>
        <w:rPr>
          <w:b w:val="0"/>
          <w:i w:val="0"/>
        </w:rPr>
        <w:t xml:space="preserve">; </w:t>
      </w:r>
      <w:hyperlink w:anchor="will">
        <w:r>
          <w:rPr>
            <w:color w:val="000000"/>
          </w:rPr>
          <w:t xml:space="preserve">Will</w:t>
        </w:r>
      </w:hyperlink>
    </w:p>
    <w:p>
      <w:bookmarkStart w:id="145" w:name="lucretius"/>
      <w:pPr>
        <w:pStyle w:val="Heading2"/>
      </w:pPr>
      <w:r>
        <w:rPr>
          <w:b w:val="0"/>
          <w:i w:val="0"/>
        </w:rPr>
        <w:t>Lucretius</w:t>
      </w:r>
      <w:bookmarkEnd w:id="145"/>
    </w:p>
    <w:p>
      <w:pPr>
        <w:keepNext/>
        <w:widowControl/>
      </w:pPr>
      <w:r>
        <w:rPr>
          <w:b/>
          <w:i w:val="0"/>
        </w:rPr>
        <w:t>Latin:</w:t>
      </w:r>
      <w:r>
        <w:rPr>
          <w:b w:val="0"/>
          <w:i w:val="0"/>
        </w:rPr>
        <w:t xml:space="preserve"> </w:t>
      </w:r>
      <w:r>
        <w:rPr>
          <w:b w:val="0"/>
          <w:i/>
        </w:rPr>
        <w:t>Lucretius Epicureus; Lucreti; taceat; casu; consilium</w:t>
      </w:r>
    </w:p>
    <w:p>
      <w:pPr>
        <w:keepNext/>
        <w:widowControl/>
      </w:pPr>
      <w:r>
        <w:rPr>
          <w:b/>
          <w:i w:val="0"/>
        </w:rPr>
        <w:t>The word.</w:t>
      </w:r>
    </w:p>
    <w:p>
      <w:pPr>
        <w:widowControl/>
      </w:pPr>
      <w:r>
        <w:rPr>
          <w:b w:val="0"/>
          <w:i w:val="0"/>
        </w:rPr>
        <w:t xml:space="preserve">Lucretius Epicureus identifies the author as Epicurean; Lucreti is direct address. Taceat, </w:t>
      </w:r>
      <w:r>
        <w:t>“</w:t>
      </w:r>
      <w:r>
        <w:rPr>
          <w:b w:val="0"/>
          <w:i w:val="0"/>
        </w:rPr>
        <w:t>let him be silent,</w:t>
      </w:r>
      <w:r>
        <w:t>”</w:t>
      </w:r>
      <w:r>
        <w:rPr>
          <w:b w:val="0"/>
          <w:i w:val="0"/>
        </w:rPr>
        <w:t xml:space="preserve"> opens an adversarial exchange. Casu and consilium frame the disagreement as chance against purposive direction.</w:t>
      </w:r>
    </w:p>
    <w:p>
      <w:pPr>
        <w:keepNext/>
        <w:widowControl/>
      </w:pPr>
      <w:r>
        <w:rPr>
          <w:b/>
          <w:i w:val="0"/>
        </w:rPr>
        <w:t>In the Platonic Theology.</w:t>
      </w:r>
    </w:p>
    <w:p>
      <w:pPr>
        <w:widowControl/>
      </w:pPr>
      <w:r>
        <w:rPr>
          <w:b w:val="0"/>
          <w:i w:val="0"/>
        </w:rPr>
        <w:t xml:space="preserve">Following the Florentine mechanism, Ficino tells Lucretius to be silent and represents his position as deriving stable, beautiful order from unstable absence of order. He then addresses him with questions about aimless travel, stone-handling, organic structures, and the world’s regularity. The apparent dialogue is an authorial apostrophe, not a report of an encounter. Its examples ask whether human activity without a plan would achieve the coordination Ficino finds in nature. The closing </w:t>
      </w:r>
      <w:r>
        <w:t>“</w:t>
      </w:r>
      <w:r>
        <w:rPr>
          <w:b w:val="0"/>
          <w:i w:val="0"/>
        </w:rPr>
        <w:t>let us confess</w:t>
      </w:r>
      <w:r>
        <w:t>”</w:t>
      </w:r>
      <w:r>
        <w:rPr>
          <w:b w:val="0"/>
          <w:i w:val="0"/>
        </w:rPr>
        <w:t xml:space="preserve"> presses the opponent toward providential life and intelligence. This identifies the polemical role of the name, but the passage supplies neither a detailed exposition of Epicurean mechanisms nor a quotation from Lucretius sufficient to settle whether Ficino represents them fairly.</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II.13.14 (Latin PDF p. 226; English PDF p. 227).</w:t>
      </w:r>
      <w:r>
        <w:rPr>
          <w:b w:val="0"/>
          <w:i w:val="0"/>
        </w:rPr>
        <w:t xml:space="preserve"> The name and command introduce the polemic against chance.</w:t>
      </w:r>
    </w:p>
    <w:p>
      <w:pPr>
        <w:ind w:left="187" w:hanging="187"/>
      </w:pPr>
      <w:r>
        <w:t xml:space="preserve">• </w:t>
      </w:r>
      <w:r>
        <w:rPr>
          <w:b/>
          <w:i w:val="0"/>
        </w:rPr>
        <w:t>II.13.15 (Latin PDF p. 226; English PDF p. 227).</w:t>
      </w:r>
      <w:r>
        <w:rPr>
          <w:b w:val="0"/>
          <w:i w:val="0"/>
        </w:rPr>
        <w:t xml:space="preserve"> Direct questions compare aimless movement and unplanned building.</w:t>
      </w:r>
    </w:p>
    <w:p>
      <w:pPr>
        <w:ind w:left="187" w:hanging="187"/>
      </w:pPr>
      <w:r>
        <w:t xml:space="preserve">• </w:t>
      </w:r>
      <w:r>
        <w:rPr>
          <w:b/>
          <w:i w:val="0"/>
        </w:rPr>
        <w:t>II.13.20 (Latin PDF p. 230; English PDF p. 231).</w:t>
      </w:r>
      <w:r>
        <w:rPr>
          <w:b w:val="0"/>
          <w:i w:val="0"/>
        </w:rPr>
        <w:t xml:space="preserve"> The apostrophe concludes with a demanded concession to providence.</w:t>
      </w:r>
    </w:p>
    <w:p>
      <w:pPr>
        <w:keepNext/>
        <w:widowControl/>
      </w:pPr>
      <w:r>
        <w:rPr>
          <w:b/>
          <w:i w:val="0"/>
        </w:rPr>
        <w:t>In this edition.</w:t>
      </w:r>
    </w:p>
    <w:p>
      <w:pPr>
        <w:widowControl/>
      </w:pPr>
      <w:r>
        <w:rPr>
          <w:b w:val="0"/>
          <w:i w:val="0"/>
        </w:rPr>
        <w:t>The vocative should remain visible as address. The historical and doctrinal report is Ficino’s characterization; a reading companion should not restate it as an independently established account of everything Lucretius argued.</w:t>
      </w:r>
    </w:p>
    <w:p>
      <w:pPr>
        <w:keepNext/>
        <w:widowControl/>
      </w:pPr>
      <w:r>
        <w:rPr>
          <w:b/>
          <w:i w:val="0"/>
        </w:rPr>
        <w:t>See also.</w:t>
      </w:r>
    </w:p>
    <w:p>
      <w:pPr>
        <w:widowControl/>
      </w:pPr>
      <w:hyperlink w:anchor="chance">
        <w:r>
          <w:rPr>
            <w:color w:val="000000"/>
          </w:rPr>
          <w:t xml:space="preserve">Chance</w:t>
        </w:r>
      </w:hyperlink>
      <w:r>
        <w:rPr>
          <w:b w:val="0"/>
          <w:i w:val="0"/>
        </w:rPr>
        <w:t xml:space="preserve">; </w:t>
      </w:r>
      <w:hyperlink w:anchor="wonder-and-familiarity">
        <w:r>
          <w:rPr>
            <w:color w:val="000000"/>
          </w:rPr>
          <w:t xml:space="preserve">Wonder and familiarity</w:t>
        </w:r>
      </w:hyperlink>
      <w:r>
        <w:rPr>
          <w:b w:val="0"/>
          <w:i w:val="0"/>
        </w:rPr>
        <w:t xml:space="preserve">; </w:t>
      </w:r>
      <w:hyperlink w:anchor="architect-and-house">
        <w:r>
          <w:rPr>
            <w:color w:val="000000"/>
          </w:rPr>
          <w:t xml:space="preserve">Architect, house and decoration</w:t>
        </w:r>
      </w:hyperlink>
      <w:r>
        <w:rPr>
          <w:b w:val="0"/>
          <w:i w:val="0"/>
        </w:rPr>
        <w:t xml:space="preserve">; </w:t>
      </w:r>
      <w:hyperlink w:anchor="insults-and-rebuke">
        <w:r>
          <w:rPr>
            <w:color w:val="000000"/>
          </w:rPr>
          <w:t xml:space="preserve">Insults and rebuke</w:t>
        </w:r>
      </w:hyperlink>
      <w:r>
        <w:rPr>
          <w:b w:val="0"/>
          <w:i w:val="0"/>
        </w:rPr>
        <w:t>.</w:t>
      </w:r>
    </w:p>
    <w:p>
      <w:bookmarkStart w:id="146" w:name="manichaeans-and-gnostic-philosophers"/>
      <w:pPr>
        <w:pStyle w:val="Heading2"/>
      </w:pPr>
      <w:r>
        <w:rPr>
          <w:b w:val="0"/>
          <w:i w:val="0"/>
        </w:rPr>
        <w:t>Manichaeans and Gnostic philosophers</w:t>
      </w:r>
      <w:bookmarkEnd w:id="146"/>
    </w:p>
    <w:p>
      <w:pPr>
        <w:keepNext/>
        <w:widowControl/>
      </w:pPr>
      <w:r>
        <w:rPr>
          <w:b/>
          <w:i w:val="0"/>
        </w:rPr>
        <w:t>Latin:</w:t>
      </w:r>
      <w:r>
        <w:rPr>
          <w:b w:val="0"/>
          <w:i w:val="0"/>
        </w:rPr>
        <w:t xml:space="preserve"> Manichaeis Gnosticisque philosophis; bonorum omnium auctor; summum malum; omni bono privatum</w:t>
      </w:r>
    </w:p>
    <w:p>
      <w:pPr>
        <w:keepNext/>
        <w:widowControl/>
      </w:pPr>
      <w:r>
        <w:rPr>
          <w:b/>
          <w:i w:val="0"/>
        </w:rPr>
        <w:t>The word.</w:t>
      </w:r>
    </w:p>
    <w:p>
      <w:pPr>
        <w:widowControl/>
      </w:pPr>
      <w:r>
        <w:rPr>
          <w:b w:val="0"/>
          <w:i w:val="0"/>
        </w:rPr>
        <w:t xml:space="preserve">The two group-names occur in the dative after assentiendum: the reader is told not to assent to them. Auctor means source or producer here. The opposed </w:t>
      </w:r>
      <w:r>
        <w:t>“</w:t>
      </w:r>
      <w:r>
        <w:rPr>
          <w:b w:val="0"/>
          <w:i w:val="0"/>
        </w:rPr>
        <w:t>supreme evil</w:t>
      </w:r>
      <w:r>
        <w:t>”</w:t>
      </w:r>
      <w:r>
        <w:rPr>
          <w:b w:val="0"/>
          <w:i w:val="0"/>
        </w:rPr>
        <w:t xml:space="preserve"> is defined by privation of every good within the position Ficino attacks.</w:t>
      </w:r>
    </w:p>
    <w:p>
      <w:pPr>
        <w:keepNext/>
        <w:widowControl/>
      </w:pPr>
      <w:r>
        <w:rPr>
          <w:b/>
          <w:i w:val="0"/>
        </w:rPr>
        <w:t>In the Platonic Theology.</w:t>
      </w:r>
    </w:p>
    <w:p>
      <w:pPr>
        <w:widowControl/>
      </w:pPr>
      <w:r>
        <w:rPr>
          <w:b w:val="0"/>
          <w:i w:val="0"/>
        </w:rPr>
        <w:t>Ficino concludes the two-god argument by naming Manichaean and Gnostic philosophers as advocates of two divine sources, one of goods and one of evils. He then tests a wholly evil first principle. Since existence, life, knowledge, and activity are counted as goods, something lacking every good could not possess any of them. It would therefore lack the ability to function as a rival creator at all.</w:t>
      </w:r>
    </w:p>
    <w:p>
      <w:pPr>
        <w:widowControl/>
      </w:pPr>
      <w:r>
        <w:rPr>
          <w:b w:val="0"/>
          <w:i w:val="0"/>
        </w:rPr>
        <w:t>The entry records the polemical role of these names in Ficino’s exposition. The few lines do not establish a complete account of either historical tradition, nor do they show that every person called Gnostic held the same teaching. His generalized attribution and his inference from absolute privation should remain distinguishable.</w:t>
      </w:r>
    </w:p>
    <w:p>
      <w:pPr>
        <w:keepNext/>
        <w:widowControl/>
      </w:pPr>
      <w:r>
        <w:rPr>
          <w:b/>
          <w:i w:val="0"/>
        </w:rPr>
        <w:t>The places.</w:t>
      </w:r>
    </w:p>
    <w:p>
      <w:pPr>
        <w:ind w:left="187" w:hanging="187"/>
      </w:pPr>
      <w:r>
        <w:t xml:space="preserve">• </w:t>
      </w:r>
      <w:r>
        <w:rPr>
          <w:b w:val="0"/>
          <w:i w:val="0"/>
        </w:rPr>
        <w:t>II.2.14 (PDF pp. 112–113): The named groups appear at the conclusion of the argument about rival wills</w:t>
      </w:r>
    </w:p>
    <w:p>
      <w:pPr>
        <w:ind w:left="187" w:hanging="187"/>
      </w:pPr>
      <w:r>
        <w:t xml:space="preserve">• </w:t>
      </w:r>
      <w:r>
        <w:rPr>
          <w:b w:val="0"/>
          <w:i w:val="0"/>
        </w:rPr>
        <w:t>II.2.15 (PDF pp. 114–115): The proposed evil source loses action, knowledge, life, and being because all are goods</w:t>
      </w:r>
    </w:p>
    <w:p>
      <w:pPr>
        <w:keepNext/>
        <w:widowControl/>
      </w:pPr>
      <w:r>
        <w:rPr>
          <w:b/>
          <w:i w:val="0"/>
        </w:rPr>
        <w:t>In this edition.</w:t>
      </w:r>
    </w:p>
    <w:p>
      <w:pPr>
        <w:widowControl/>
      </w:pPr>
      <w:r>
        <w:rPr>
          <w:b w:val="0"/>
          <w:i w:val="0"/>
        </w:rPr>
        <w:t xml:space="preserve">The translation preserves the scope </w:t>
      </w:r>
      <w:r>
        <w:t>“</w:t>
      </w:r>
      <w:r>
        <w:rPr>
          <w:b w:val="0"/>
          <w:i w:val="0"/>
        </w:rPr>
        <w:t>philosophers</w:t>
      </w:r>
      <w:r>
        <w:t>”</w:t>
      </w:r>
      <w:r>
        <w:rPr>
          <w:b w:val="0"/>
          <w:i w:val="0"/>
        </w:rPr>
        <w:t xml:space="preserve"> and the claim that there are two gods. The continuation in II.2.15 begins </w:t>
      </w:r>
      <w:r>
        <w:t>“</w:t>
      </w:r>
      <w:r>
        <w:rPr>
          <w:b w:val="0"/>
          <w:i w:val="0"/>
        </w:rPr>
        <w:t>Of these,</w:t>
      </w:r>
      <w:r>
        <w:t>”</w:t>
      </w:r>
      <w:r>
        <w:rPr>
          <w:b w:val="0"/>
          <w:i w:val="0"/>
        </w:rPr>
        <w:t xml:space="preserve"> so it must be read with the preceding unit rather than as a freestanding assertion of two gods.</w:t>
      </w:r>
    </w:p>
    <w:p>
      <w:pPr>
        <w:keepNext/>
        <w:widowControl/>
      </w:pPr>
      <w:r>
        <w:rPr>
          <w:b/>
          <w:i w:val="0"/>
        </w:rPr>
        <w:t>See also.</w:t>
      </w:r>
    </w:p>
    <w:p>
      <w:pPr>
        <w:widowControl/>
      </w:pPr>
      <w:hyperlink w:anchor="good-and-goodness">
        <w:r>
          <w:rPr>
            <w:color w:val="000000"/>
          </w:rPr>
          <w:t xml:space="preserve">Good and goodness</w:t>
        </w:r>
      </w:hyperlink>
      <w:r>
        <w:rPr>
          <w:b w:val="0"/>
          <w:i w:val="0"/>
        </w:rPr>
        <w:t xml:space="preserve">; </w:t>
      </w:r>
      <w:hyperlink w:anchor="nothing-and-nonbeing">
        <w:r>
          <w:rPr>
            <w:color w:val="000000"/>
          </w:rPr>
          <w:t xml:space="preserve">Nothing and nonbeing</w:t>
        </w:r>
      </w:hyperlink>
      <w:r>
        <w:rPr>
          <w:b w:val="0"/>
          <w:i w:val="0"/>
        </w:rPr>
        <w:t xml:space="preserve">; </w:t>
      </w:r>
      <w:hyperlink w:anchor="god">
        <w:r>
          <w:rPr>
            <w:color w:val="000000"/>
          </w:rPr>
          <w:t xml:space="preserve">God</w:t>
        </w:r>
      </w:hyperlink>
      <w:r>
        <w:rPr>
          <w:b w:val="0"/>
          <w:i w:val="0"/>
        </w:rPr>
        <w:t xml:space="preserve">; </w:t>
      </w:r>
      <w:hyperlink w:anchor="agreement-and-hypothetical-concession">
        <w:r>
          <w:rPr>
            <w:color w:val="000000"/>
          </w:rPr>
          <w:t xml:space="preserve">Agreement and hypothetical concession</w:t>
        </w:r>
      </w:hyperlink>
      <w:r>
        <w:rPr>
          <w:b w:val="0"/>
          <w:i w:val="0"/>
        </w:rPr>
        <w:t>.</w:t>
      </w:r>
    </w:p>
    <w:p>
      <w:bookmarkStart w:id="147" w:name="matter"/>
      <w:pPr>
        <w:pStyle w:val="Heading2"/>
      </w:pPr>
      <w:r>
        <w:rPr>
          <w:b w:val="0"/>
          <w:i w:val="0"/>
        </w:rPr>
        <w:t>Matter</w:t>
      </w:r>
      <w:bookmarkEnd w:id="147"/>
    </w:p>
    <w:p>
      <w:pPr>
        <w:keepNext/>
        <w:widowControl/>
      </w:pPr>
      <w:r>
        <w:rPr>
          <w:b/>
          <w:i w:val="0"/>
        </w:rPr>
        <w:t>Latin:</w:t>
      </w:r>
      <w:r>
        <w:rPr>
          <w:b w:val="0"/>
          <w:i w:val="0"/>
        </w:rPr>
        <w:t xml:space="preserve"> </w:t>
      </w:r>
      <w:r>
        <w:rPr>
          <w:b w:val="0"/>
          <w:i/>
        </w:rPr>
        <w:t>materia</w:t>
      </w:r>
      <w:r>
        <w:rPr>
          <w:b w:val="0"/>
          <w:i w:val="0"/>
        </w:rPr>
        <w:t xml:space="preserve">; </w:t>
      </w:r>
      <w:r>
        <w:rPr>
          <w:b w:val="0"/>
          <w:i/>
        </w:rPr>
        <w:t>materia prima</w:t>
      </w:r>
      <w:r>
        <w:rPr>
          <w:b w:val="0"/>
          <w:i w:val="0"/>
        </w:rPr>
        <w:t xml:space="preserve">; </w:t>
      </w:r>
      <w:r>
        <w:rPr>
          <w:b w:val="0"/>
          <w:i/>
        </w:rPr>
        <w:t>subiectum informe</w:t>
      </w:r>
      <w:r>
        <w:rPr>
          <w:b w:val="0"/>
          <w:i w:val="0"/>
        </w:rPr>
        <w:t xml:space="preserve">; </w:t>
      </w:r>
      <w:r>
        <w:rPr>
          <w:b w:val="0"/>
          <w:i/>
        </w:rPr>
        <w:t>subiectum</w:t>
      </w:r>
      <w:r>
        <w:rPr>
          <w:b w:val="0"/>
          <w:i w:val="0"/>
        </w:rPr>
        <w:t xml:space="preserve">; </w:t>
      </w:r>
      <w:r>
        <w:rPr>
          <w:b w:val="0"/>
          <w:i/>
        </w:rPr>
        <w:t>capacitas</w:t>
      </w:r>
      <w:r>
        <w:rPr>
          <w:b w:val="0"/>
          <w:i w:val="0"/>
        </w:rPr>
        <w:t xml:space="preserve">; </w:t>
      </w:r>
      <w:r>
        <w:rPr>
          <w:b w:val="0"/>
          <w:i/>
        </w:rPr>
        <w:t>patiens</w:t>
      </w:r>
      <w:r>
        <w:rPr>
          <w:b w:val="0"/>
          <w:i w:val="0"/>
        </w:rPr>
        <w:t xml:space="preserve">; </w:t>
      </w:r>
      <w:r>
        <w:rPr>
          <w:b w:val="0"/>
          <w:i/>
        </w:rPr>
        <w:t>prima et informis … materia</w:t>
      </w:r>
      <w:r>
        <w:rPr>
          <w:b w:val="0"/>
          <w:i w:val="0"/>
        </w:rPr>
        <w:t xml:space="preserve">; </w:t>
      </w:r>
      <w:r>
        <w:rPr>
          <w:b w:val="0"/>
          <w:i/>
        </w:rPr>
        <w:t>materia mundi</w:t>
      </w:r>
    </w:p>
    <w:p>
      <w:pPr>
        <w:keepNext/>
        <w:widowControl/>
      </w:pPr>
      <w:r>
        <w:rPr>
          <w:b/>
          <w:i w:val="0"/>
        </w:rPr>
        <w:t>The word.</w:t>
      </w:r>
    </w:p>
    <w:p>
      <w:pPr>
        <w:widowControl/>
      </w:pPr>
      <w:r>
        <w:rPr>
          <w:b w:val="0"/>
          <w:i w:val="0"/>
        </w:rPr>
        <w:t>Materia is the receptive material principle, not simply all visible objects. Subiectum names an underlying recipient or bearer; capacitas its receptivity; patiens that which undergoes or receives. Materia prima is primary matter without a prior material subject from which it is made.</w:t>
      </w:r>
    </w:p>
    <w:p>
      <w:pPr>
        <w:keepNext/>
        <w:widowControl/>
      </w:pPr>
      <w:r>
        <w:rPr>
          <w:b/>
          <w:i w:val="0"/>
        </w:rPr>
        <w:t>In the Platonic Theology.</w:t>
      </w:r>
    </w:p>
    <w:p>
      <w:pPr>
        <w:widowControl/>
      </w:pPr>
      <w:r>
        <w:rPr>
          <w:b w:val="0"/>
          <w:i w:val="0"/>
        </w:rPr>
        <w:t xml:space="preserve">Matter is the receptive subject of forms, rather than merely the collection of visible physical objects. Prime matter is common and formless, equally disposed in itself toward different forms and unable to produce the form it lacks. An intrinsic form-producing power would make it something other than prime matter in this sense. The word </w:t>
      </w:r>
      <w:r>
        <w:rPr>
          <w:b w:val="0"/>
          <w:i/>
        </w:rPr>
        <w:t>subiectum</w:t>
      </w:r>
      <w:r>
        <w:rPr>
          <w:b w:val="0"/>
          <w:i w:val="0"/>
        </w:rPr>
        <w:t xml:space="preserve"> marks what receives and supports a form, not the modern knowing subject. Because the material basis is common, differing natural effects require distinct forms and qualities rather than being explained by matter’s commonness alone.</w:t>
      </w:r>
    </w:p>
    <w:p>
      <w:pPr>
        <w:widowControl/>
      </w:pPr>
      <w:r>
        <w:rPr>
          <w:b w:val="0"/>
          <w:i w:val="0"/>
        </w:rPr>
        <w:t>In an account attributed to Mercury Trismegistus and Timaeus, matter is not nothing but next to nothing: its low rank expresses primary, unlimited receptivity. It is nevertheless good insofar as it desires form, can receive goodness, and belongs to a good world. Material dependence and quantitative extension must remain distinguishable, particularly in Ficino’s reports of celestial bodies that have dimension without matter in the relevant sense. The claims that prime matter is everlasting and that matter is caused and preserved by prior incorporeal form likewise concern different questions, duration and dependence, and should not be silently collapsed.</w:t>
      </w:r>
    </w:p>
    <w:p>
      <w:pPr>
        <w:widowControl/>
      </w:pPr>
      <w:r>
        <w:rPr>
          <w:b w:val="0"/>
          <w:i w:val="0"/>
        </w:rPr>
        <w:t xml:space="preserve">Book II locates prime matter under God’s creative and preserving causality. God borrows no prior subject from another maker. Ficino pairs matter in bodies with essence in spirits when discussing direct divine production, but does not thereby turn spiritual essence into bodily material. A receiving subject can limit an act through its potency; God’s self-subsisting actuality has no such limitation. In cognition, freedom from matter and its conditions makes form intelligible. Matter’s indefinite receptivity also exemplifies potential infinity, not an already complete collection of infinitely many actual bodies. The </w:t>
      </w:r>
      <w:r>
        <w:rPr>
          <w:b w:val="0"/>
          <w:i/>
        </w:rPr>
        <w:t>capacitas</w:t>
      </w:r>
      <w:r>
        <w:rPr>
          <w:b w:val="0"/>
          <w:i w:val="0"/>
        </w:rPr>
        <w:t xml:space="preserve"> imagined in discussion of divine presence has a different use: it names pure, unbounded capacity in thought and must not automatically be equated with prime matter.</w:t>
      </w:r>
    </w:p>
    <w:p>
      <w:pPr>
        <w:widowControl/>
      </w:pPr>
      <w:r>
        <w:rPr>
          <w:b w:val="0"/>
          <w:i w:val="0"/>
        </w:rPr>
        <w:t>Book IV invokes one common formless matter beneath the differentiated spheres in its argument for a corresponding world-soul. World-matter is one substance distributed through multiple places and moments, whereas soul’s unity is nonspatial. Matter possesses forms potentially and receives them successively, unlike actuality or habitual possession. IV.2.20 describes this receptivity appetitively: matter desires all forms as perfections, but mutually contrary forms cannot coexist, so change provides successively what cannot be had together. The claim does not confer soul’s intelligence or independent agency on matter. Its readiness to receive and be moved complements soul’s power to move, while formed bodily spheres remain distinguishable from their common underlying matter.</w:t>
      </w:r>
    </w:p>
    <w:p>
      <w:pPr>
        <w:keepNext/>
        <w:widowControl/>
      </w:pPr>
      <w:r>
        <w:rPr>
          <w:b/>
          <w:i w:val="0"/>
        </w:rPr>
        <w:t>The places.</w:t>
      </w:r>
    </w:p>
    <w:p>
      <w:pPr>
        <w:ind w:left="187" w:hanging="187"/>
      </w:pPr>
      <w:r>
        <w:t xml:space="preserve">• </w:t>
      </w:r>
      <w:r>
        <w:rPr>
          <w:b/>
          <w:i w:val="0"/>
        </w:rPr>
        <w:t>I.3.19 (PDF pp. 42–43)</w:t>
      </w:r>
      <w:r>
        <w:rPr>
          <w:b w:val="0"/>
          <w:i w:val="0"/>
        </w:rPr>
        <w:t>. The reported formless matter is maximally receptive but not nothing</w:t>
      </w:r>
    </w:p>
    <w:p>
      <w:pPr>
        <w:ind w:left="187" w:hanging="187"/>
      </w:pPr>
      <w:r>
        <w:t xml:space="preserve">• </w:t>
      </w:r>
      <w:r>
        <w:rPr>
          <w:b/>
          <w:i w:val="0"/>
        </w:rPr>
        <w:t>II.4.5 (PDF pp. 124–125)</w:t>
      </w:r>
      <w:r>
        <w:rPr>
          <w:b w:val="0"/>
          <w:i w:val="0"/>
        </w:rPr>
        <w:t>. Pure nonbeing has no capacity waiting to receive actuality</w:t>
      </w:r>
    </w:p>
    <w:p>
      <w:pPr>
        <w:ind w:left="187" w:hanging="187"/>
      </w:pPr>
      <w:r>
        <w:t xml:space="preserve">• </w:t>
      </w:r>
      <w:r>
        <w:rPr>
          <w:b/>
          <w:i w:val="0"/>
        </w:rPr>
        <w:t>II.4.6 (PDF pp. 124–125)</w:t>
      </w:r>
      <w:r>
        <w:rPr>
          <w:b w:val="0"/>
          <w:i w:val="0"/>
        </w:rPr>
        <w:t>. Primary matter is continually produced or preserved without an older subject</w:t>
      </w:r>
    </w:p>
    <w:p>
      <w:pPr>
        <w:ind w:left="187" w:hanging="187"/>
      </w:pPr>
      <w:r>
        <w:t xml:space="preserve">• </w:t>
      </w:r>
      <w:r>
        <w:rPr>
          <w:b/>
          <w:i w:val="0"/>
        </w:rPr>
        <w:t>II.6.5 (PDF pp. 130–131)</w:t>
      </w:r>
      <w:r>
        <w:rPr>
          <w:b w:val="0"/>
          <w:i w:val="0"/>
        </w:rPr>
        <w:t>. The first recipient contrasts with the first agent</w:t>
      </w:r>
    </w:p>
    <w:p>
      <w:pPr>
        <w:ind w:left="187" w:hanging="187"/>
      </w:pPr>
      <w:r>
        <w:t xml:space="preserve">• </w:t>
      </w:r>
      <w:r>
        <w:rPr>
          <w:b/>
          <w:i w:val="0"/>
        </w:rPr>
        <w:t>IV.2.20 (PDF pp. 344–345)</w:t>
      </w:r>
      <w:r>
        <w:rPr>
          <w:b w:val="0"/>
          <w:i w:val="0"/>
        </w:rPr>
        <w:t>. Matter receives contrary forms successively because it cannot possess all together</w:t>
      </w:r>
    </w:p>
    <w:p>
      <w:pPr>
        <w:widowControl/>
      </w:pPr>
      <w:r>
        <w:rPr>
          <w:b/>
          <w:i w:val="0"/>
        </w:rPr>
        <w:t>Further passage references.</w:t>
      </w:r>
      <w:r>
        <w:rPr>
          <w:b w:val="0"/>
          <w:i w:val="0"/>
        </w:rPr>
        <w:t xml:space="preserve"> I.2.1, I.2.6–I.2.9 (PDF pp. 18–23); I.3.6, I.3.18–I.3.19, I.3.27–I.3.29 (pp. 32–33, 40–43, 48–51); I.5.9 (pp. 64–65); I.6.11, I.6.14 (pp. 88–91); II.4.1–8, pp. 122–125; II.6.2, pp. 128–129; II.6.5, pp. 130–131; II.6.12, pp. 132–133; II.6.15, pp. 136–137; II.9.1, pp. 164–165; II.10.3, pp. 176–177; IV.1.81, pp. 324–325; IV.2.5–IV.2.9, pp. 334–337; IV.2.19–IV.2.20, pp. 344–345.</w:t>
      </w:r>
    </w:p>
    <w:p>
      <w:pPr>
        <w:keepNext/>
        <w:widowControl/>
      </w:pPr>
      <w:r>
        <w:rPr>
          <w:b/>
          <w:i w:val="0"/>
        </w:rPr>
        <w:t>In this edition.</w:t>
      </w:r>
    </w:p>
    <w:p>
      <w:pPr>
        <w:widowControl/>
      </w:pPr>
      <w:r>
        <w:rPr>
          <w:b w:val="0"/>
          <w:i w:val="0"/>
        </w:rPr>
        <w:t xml:space="preserve">The translation distinguishes </w:t>
      </w:r>
      <w:r>
        <w:t>“</w:t>
      </w:r>
      <w:r>
        <w:rPr>
          <w:b w:val="0"/>
          <w:i w:val="0"/>
        </w:rPr>
        <w:t>not nothing, but next to nothing</w:t>
      </w:r>
      <w:r>
        <w:t>”</w:t>
      </w:r>
      <w:r>
        <w:rPr>
          <w:b w:val="0"/>
          <w:i w:val="0"/>
        </w:rPr>
        <w:t xml:space="preserve"> at I.3.19. In II.6.5 primum patiens is </w:t>
      </w:r>
      <w:r>
        <w:t>“</w:t>
      </w:r>
      <w:r>
        <w:rPr>
          <w:b w:val="0"/>
          <w:i w:val="0"/>
        </w:rPr>
        <w:t>first recipient,</w:t>
      </w:r>
      <w:r>
        <w:t>”</w:t>
      </w:r>
      <w:r>
        <w:rPr>
          <w:b w:val="0"/>
          <w:i w:val="0"/>
        </w:rPr>
        <w:t xml:space="preserve"> as the supplied apparatus explains, not a medical patient or an emotional sufferer. Reception is not sheer nonexistence, and creation from nothing presupposes no such recipient.</w:t>
      </w:r>
    </w:p>
    <w:p>
      <w:pPr>
        <w:keepNext/>
        <w:widowControl/>
      </w:pPr>
      <w:r>
        <w:rPr>
          <w:b/>
          <w:i w:val="0"/>
        </w:rPr>
        <w:t>See also.</w:t>
      </w:r>
    </w:p>
    <w:p>
      <w:pPr>
        <w:widowControl/>
      </w:pPr>
      <w:hyperlink w:anchor="form">
        <w:r>
          <w:rPr>
            <w:color w:val="000000"/>
          </w:rPr>
          <w:t xml:space="preserve">Form</w:t>
        </w:r>
      </w:hyperlink>
      <w:r>
        <w:rPr>
          <w:b w:val="0"/>
          <w:i w:val="0"/>
        </w:rPr>
        <w:t xml:space="preserve">; </w:t>
      </w:r>
      <w:hyperlink w:anchor="substance-and-accident">
        <w:r>
          <w:rPr>
            <w:color w:val="000000"/>
          </w:rPr>
          <w:t xml:space="preserve">Substance and accident</w:t>
        </w:r>
      </w:hyperlink>
      <w:r>
        <w:rPr>
          <w:b w:val="0"/>
          <w:i w:val="0"/>
        </w:rPr>
        <w:t xml:space="preserve">; </w:t>
      </w:r>
      <w:hyperlink w:anchor="quantity-and-dimension">
        <w:r>
          <w:rPr>
            <w:color w:val="000000"/>
          </w:rPr>
          <w:t xml:space="preserve">Quantity and dimension</w:t>
        </w:r>
      </w:hyperlink>
      <w:r>
        <w:rPr>
          <w:b w:val="0"/>
          <w:i w:val="0"/>
        </w:rPr>
        <w:t xml:space="preserve">; </w:t>
      </w:r>
      <w:hyperlink w:anchor="good-and-goodness">
        <w:r>
          <w:rPr>
            <w:color w:val="000000"/>
          </w:rPr>
          <w:t xml:space="preserve">Good and goodness</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creation">
        <w:r>
          <w:rPr>
            <w:color w:val="000000"/>
          </w:rPr>
          <w:t xml:space="preserve">Creation</w:t>
        </w:r>
      </w:hyperlink>
      <w:r>
        <w:rPr>
          <w:b w:val="0"/>
          <w:i w:val="0"/>
        </w:rPr>
        <w:t xml:space="preserve">; </w:t>
      </w:r>
      <w:hyperlink w:anchor="act-and-operation">
        <w:r>
          <w:rPr>
            <w:color w:val="000000"/>
          </w:rPr>
          <w:t xml:space="preserve">Act and operation</w:t>
        </w:r>
      </w:hyperlink>
      <w:r>
        <w:rPr>
          <w:b w:val="0"/>
          <w:i w:val="0"/>
        </w:rPr>
        <w:t xml:space="preserve">; </w:t>
      </w:r>
      <w:hyperlink w:anchor="power-and-potency">
        <w:r>
          <w:rPr>
            <w:color w:val="000000"/>
          </w:rPr>
          <w:t xml:space="preserve">Power and potency</w:t>
        </w:r>
      </w:hyperlink>
      <w:r>
        <w:rPr>
          <w:b w:val="0"/>
          <w:i w:val="0"/>
        </w:rPr>
        <w:t xml:space="preserve">; </w:t>
      </w:r>
      <w:hyperlink w:anchor="infinity">
        <w:r>
          <w:rPr>
            <w:color w:val="000000"/>
          </w:rPr>
          <w:t xml:space="preserve">Infinity</w:t>
        </w:r>
      </w:hyperlink>
      <w:r>
        <w:rPr>
          <w:b w:val="0"/>
          <w:i w:val="0"/>
        </w:rPr>
        <w:t xml:space="preserve">; </w:t>
      </w:r>
      <w:hyperlink w:anchor="essence-and-substance">
        <w:r>
          <w:rPr>
            <w:color w:val="000000"/>
          </w:rPr>
          <w:t xml:space="preserve">Essence and substance</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whole-and-parts">
        <w:r>
          <w:rPr>
            <w:color w:val="000000"/>
          </w:rPr>
          <w:t xml:space="preserve">Whole and parts</w:t>
        </w:r>
      </w:hyperlink>
      <w:r>
        <w:rPr>
          <w:b w:val="0"/>
          <w:i w:val="0"/>
        </w:rPr>
        <w:t xml:space="preserve">; </w:t>
      </w:r>
      <w:hyperlink w:anchor="appetite-and-desire">
        <w:r>
          <w:rPr>
            <w:color w:val="000000"/>
          </w:rPr>
          <w:t xml:space="preserve">Appetite and desire</w:t>
        </w:r>
      </w:hyperlink>
      <w:r>
        <w:rPr>
          <w:b w:val="0"/>
          <w:i w:val="0"/>
        </w:rPr>
        <w:t xml:space="preserve">; </w:t>
      </w:r>
      <w:hyperlink w:anchor="habitual-possession">
        <w:r>
          <w:rPr>
            <w:color w:val="000000"/>
          </w:rPr>
          <w:t xml:space="preserve">Habitual possession</w:t>
        </w:r>
      </w:hyperlink>
      <w:r>
        <w:rPr>
          <w:b w:val="0"/>
          <w:i w:val="0"/>
        </w:rPr>
        <w:t xml:space="preserve">; </w:t>
      </w:r>
      <w:hyperlink w:anchor="world-soul">
        <w:r>
          <w:rPr>
            <w:color w:val="000000"/>
          </w:rPr>
          <w:t xml:space="preserve">World soul</w:t>
        </w:r>
      </w:hyperlink>
    </w:p>
    <w:p>
      <w:bookmarkStart w:id="148" w:name="measure-and-degree"/>
      <w:pPr>
        <w:pStyle w:val="Heading2"/>
      </w:pPr>
      <w:r>
        <w:rPr>
          <w:b w:val="0"/>
          <w:i w:val="0"/>
        </w:rPr>
        <w:t>Measure and degree</w:t>
      </w:r>
      <w:bookmarkEnd w:id="148"/>
    </w:p>
    <w:p>
      <w:pPr>
        <w:keepNext/>
        <w:widowControl/>
      </w:pPr>
      <w:r>
        <w:rPr>
          <w:b/>
          <w:i w:val="0"/>
        </w:rPr>
        <w:t>Latin:</w:t>
      </w:r>
      <w:r>
        <w:rPr>
          <w:b w:val="0"/>
          <w:i w:val="0"/>
        </w:rPr>
        <w:t xml:space="preserve"> </w:t>
      </w:r>
      <w:r>
        <w:rPr>
          <w:b w:val="0"/>
          <w:i/>
        </w:rPr>
        <w:t>mensura</w:t>
      </w:r>
      <w:r>
        <w:rPr>
          <w:b w:val="0"/>
          <w:i w:val="0"/>
        </w:rPr>
        <w:t xml:space="preserve">; </w:t>
      </w:r>
      <w:r>
        <w:rPr>
          <w:b w:val="0"/>
          <w:i/>
        </w:rPr>
        <w:t>ratio mensuraque idealis</w:t>
      </w:r>
      <w:r>
        <w:rPr>
          <w:b w:val="0"/>
          <w:i w:val="0"/>
        </w:rPr>
        <w:t xml:space="preserve">; </w:t>
      </w:r>
      <w:r>
        <w:rPr>
          <w:b w:val="0"/>
          <w:i/>
        </w:rPr>
        <w:t>gradus</w:t>
      </w:r>
      <w:r>
        <w:rPr>
          <w:b w:val="0"/>
          <w:i w:val="0"/>
        </w:rPr>
        <w:t xml:space="preserve">; </w:t>
      </w:r>
      <w:r>
        <w:rPr>
          <w:b w:val="0"/>
          <w:i/>
        </w:rPr>
        <w:t>intervallum</w:t>
      </w:r>
      <w:r>
        <w:rPr>
          <w:b w:val="0"/>
          <w:i w:val="0"/>
        </w:rPr>
        <w:t xml:space="preserve">; </w:t>
      </w:r>
      <w:r>
        <w:rPr>
          <w:b w:val="0"/>
          <w:i/>
        </w:rPr>
        <w:t>propinquior</w:t>
      </w:r>
    </w:p>
    <w:p>
      <w:pPr>
        <w:keepNext/>
        <w:widowControl/>
      </w:pPr>
      <w:r>
        <w:rPr>
          <w:b/>
          <w:i w:val="0"/>
        </w:rPr>
        <w:t>The word.</w:t>
      </w:r>
    </w:p>
    <w:p>
      <w:pPr>
        <w:widowControl/>
      </w:pPr>
      <w:r>
        <w:rPr>
          <w:b w:val="0"/>
          <w:i w:val="0"/>
        </w:rPr>
        <w:t>Mensura is measure or standard; gradus a step, degree, or rank; ratio can supply the account or standard of comparison. These terms measure excellence, causal scope, or participation as well as quantity. A graded hierarchy is not necessarily a measurable spatial ladder.</w:t>
      </w:r>
    </w:p>
    <w:p>
      <w:pPr>
        <w:keepNext/>
        <w:widowControl/>
      </w:pPr>
      <w:r>
        <w:rPr>
          <w:b/>
          <w:i w:val="0"/>
        </w:rPr>
        <w:t>In the Platonic Theology.</w:t>
      </w:r>
    </w:p>
    <w:p>
      <w:pPr>
        <w:widowControl/>
      </w:pPr>
      <w:r>
        <w:rPr>
          <w:b w:val="0"/>
          <w:i w:val="0"/>
        </w:rPr>
        <w:t xml:space="preserve">Ficino’s comparative vocabulary presupposes an ultimate measure of value. He asks why soul is judged better than body and answers that it is nearer supreme goodness. If there were no highest good, only an endless ascent, body and soul would each be infinitely distant from the supposed summit; no ideal measure would remain by which the one could be preferred. His inference depends on comparing levels of perfection by their relation to a highest good. Degrees also organize power and perfection. A finite effective power is bounded to certain degrees through a recipient or limiting cause, while pure divine power is not. Conversely, finite imitations of the infinite exemplar never exhaust all degrees or modes of likeness. The word group thus serves two connected purposes: comparing beings within a hierarchy and explaining why the first source exceeds any finite ranking. </w:t>
      </w:r>
      <w:r>
        <w:t>“</w:t>
      </w:r>
      <w:r>
        <w:rPr>
          <w:b w:val="0"/>
          <w:i w:val="0"/>
        </w:rPr>
        <w:t>Nearness</w:t>
      </w:r>
      <w:r>
        <w:t>”</w:t>
      </w:r>
      <w:r>
        <w:rPr>
          <w:b w:val="0"/>
          <w:i w:val="0"/>
        </w:rPr>
        <w:t xml:space="preserve"> here describes likeness and perfection rather than a distance through physical space.</w:t>
      </w:r>
    </w:p>
    <w:p>
      <w:pPr>
        <w:keepNext/>
        <w:widowControl/>
      </w:pPr>
      <w:r>
        <w:rPr>
          <w:b/>
          <w:i w:val="0"/>
        </w:rPr>
        <w:t>The places.</w:t>
      </w:r>
    </w:p>
    <w:p>
      <w:pPr>
        <w:ind w:left="187" w:hanging="187"/>
      </w:pPr>
      <w:r>
        <w:t xml:space="preserve">• </w:t>
      </w:r>
      <w:r>
        <w:rPr>
          <w:b/>
          <w:i w:val="0"/>
        </w:rPr>
        <w:t>II.3.4 (PDF pp. 118–119)</w:t>
      </w:r>
      <w:r>
        <w:rPr>
          <w:b w:val="0"/>
          <w:i w:val="0"/>
        </w:rPr>
        <w:t>. Soul’s superiority to body is framed through nearness to supreme goodness</w:t>
      </w:r>
    </w:p>
    <w:p>
      <w:pPr>
        <w:ind w:left="187" w:hanging="187"/>
      </w:pPr>
      <w:r>
        <w:t xml:space="preserve">• </w:t>
      </w:r>
      <w:r>
        <w:rPr>
          <w:b/>
          <w:i w:val="0"/>
        </w:rPr>
        <w:t>II.3.5 (PDF pp. 118–119)</w:t>
      </w:r>
      <w:r>
        <w:rPr>
          <w:b w:val="0"/>
          <w:i w:val="0"/>
        </w:rPr>
        <w:t>. An endless deferred summit would remove the ideal measure for ranking</w:t>
      </w:r>
    </w:p>
    <w:p>
      <w:pPr>
        <w:ind w:left="187" w:hanging="187"/>
      </w:pPr>
      <w:r>
        <w:t xml:space="preserve">• </w:t>
      </w:r>
      <w:r>
        <w:rPr>
          <w:b/>
          <w:i w:val="0"/>
        </w:rPr>
        <w:t>II.4.1 (PDF pp. 122–123)</w:t>
      </w:r>
      <w:r>
        <w:rPr>
          <w:b w:val="0"/>
          <w:i w:val="0"/>
        </w:rPr>
        <w:t>. Power considered as power includes no fixed number of degrees</w:t>
      </w:r>
    </w:p>
    <w:p>
      <w:pPr>
        <w:ind w:left="187" w:hanging="187"/>
      </w:pPr>
      <w:r>
        <w:t xml:space="preserve">• </w:t>
      </w:r>
      <w:r>
        <w:rPr>
          <w:b/>
          <w:i w:val="0"/>
        </w:rPr>
        <w:t>II.10.5 (PDF pp. 176–177)</w:t>
      </w:r>
      <w:r>
        <w:rPr>
          <w:b w:val="0"/>
          <w:i w:val="0"/>
        </w:rPr>
        <w:t>. Further modes of finite likeness leave the infinite exemplar inexhausted</w:t>
      </w:r>
    </w:p>
    <w:p>
      <w:pPr>
        <w:widowControl/>
      </w:pPr>
      <w:r>
        <w:rPr>
          <w:b/>
          <w:i w:val="0"/>
        </w:rPr>
        <w:t>Further passage references.</w:t>
      </w:r>
      <w:r>
        <w:rPr>
          <w:b w:val="0"/>
          <w:i w:val="0"/>
        </w:rPr>
        <w:t xml:space="preserve"> II.3.3–6, pp. 116–119; II.3.9, pp. 120–121; II.4.1–5, pp. 122–125; II.10.5, pp. 176–177.</w:t>
      </w:r>
    </w:p>
    <w:p>
      <w:pPr>
        <w:keepNext/>
        <w:widowControl/>
      </w:pPr>
      <w:r>
        <w:rPr>
          <w:b/>
          <w:i w:val="0"/>
        </w:rPr>
        <w:t>In this edition.</w:t>
      </w:r>
    </w:p>
    <w:p>
      <w:pPr>
        <w:widowControl/>
      </w:pPr>
      <w:r>
        <w:rPr>
          <w:b w:val="0"/>
          <w:i w:val="0"/>
        </w:rPr>
        <w:t xml:space="preserve">At II.3.5 </w:t>
      </w:r>
      <w:r>
        <w:t>“</w:t>
      </w:r>
      <w:r>
        <w:rPr>
          <w:b w:val="0"/>
          <w:i w:val="0"/>
        </w:rPr>
        <w:t>ideal standard and measure</w:t>
      </w:r>
      <w:r>
        <w:t>”</w:t>
      </w:r>
      <w:r>
        <w:rPr>
          <w:b w:val="0"/>
          <w:i w:val="0"/>
        </w:rPr>
        <w:t xml:space="preserve"> renders ratio mensuraque idealis. The passage’s comparison of infinite intervals belongs to Ficino’s metaphysical argument, not a modern theory of numerical infinities. </w:t>
      </w:r>
      <w:r>
        <w:t>“</w:t>
      </w:r>
      <w:r>
        <w:rPr>
          <w:b w:val="0"/>
          <w:i w:val="0"/>
        </w:rPr>
        <w:t>Degree</w:t>
      </w:r>
      <w:r>
        <w:t>”</w:t>
      </w:r>
      <w:r>
        <w:rPr>
          <w:b w:val="0"/>
          <w:i w:val="0"/>
        </w:rPr>
        <w:t xml:space="preserve"> in II.4 names conceivable efficacy rather than an empirically assigned unit.</w:t>
      </w:r>
    </w:p>
    <w:p>
      <w:pPr>
        <w:keepNext/>
        <w:widowControl/>
      </w:pPr>
      <w:r>
        <w:rPr>
          <w:b/>
          <w:i w:val="0"/>
        </w:rPr>
        <w:t>See also.</w:t>
      </w:r>
    </w:p>
    <w:p>
      <w:pPr>
        <w:widowControl/>
      </w:pPr>
      <w:hyperlink w:anchor="perfection">
        <w:r>
          <w:rPr>
            <w:color w:val="000000"/>
          </w:rPr>
          <w:t xml:space="preserve">Perfection</w:t>
        </w:r>
      </w:hyperlink>
      <w:r>
        <w:rPr>
          <w:b w:val="0"/>
          <w:i w:val="0"/>
        </w:rPr>
        <w:t xml:space="preserve">; </w:t>
      </w:r>
      <w:hyperlink w:anchor="good-and-goodness">
        <w:r>
          <w:rPr>
            <w:color w:val="000000"/>
          </w:rPr>
          <w:t xml:space="preserve">Good and goodness</w:t>
        </w:r>
      </w:hyperlink>
      <w:r>
        <w:rPr>
          <w:b w:val="0"/>
          <w:i w:val="0"/>
        </w:rPr>
        <w:t xml:space="preserve">; </w:t>
      </w:r>
      <w:hyperlink w:anchor="infinity">
        <w:r>
          <w:rPr>
            <w:color w:val="000000"/>
          </w:rPr>
          <w:t xml:space="preserve">Infinity</w:t>
        </w:r>
      </w:hyperlink>
      <w:r>
        <w:rPr>
          <w:b w:val="0"/>
          <w:i w:val="0"/>
        </w:rPr>
        <w:t xml:space="preserve">; </w:t>
      </w:r>
      <w:hyperlink w:anchor="order-and-harmony">
        <w:r>
          <w:rPr>
            <w:color w:val="000000"/>
          </w:rPr>
          <w:t xml:space="preserve">Order and harmony</w:t>
        </w:r>
      </w:hyperlink>
      <w:r>
        <w:rPr>
          <w:b w:val="0"/>
          <w:i w:val="0"/>
        </w:rPr>
        <w:t xml:space="preserve">; </w:t>
      </w:r>
      <w:hyperlink w:anchor="ideas-and-exemplars">
        <w:r>
          <w:rPr>
            <w:color w:val="000000"/>
          </w:rPr>
          <w:t xml:space="preserve">Ideas and exemplars</w:t>
        </w:r>
      </w:hyperlink>
      <w:r>
        <w:rPr>
          <w:b w:val="0"/>
          <w:i w:val="0"/>
        </w:rPr>
        <w:t xml:space="preserve">; </w:t>
      </w:r>
      <w:hyperlink w:anchor="degree-and-mediation">
        <w:r>
          <w:rPr>
            <w:color w:val="000000"/>
          </w:rPr>
          <w:t xml:space="preserve">Degree and mediation</w:t>
        </w:r>
      </w:hyperlink>
    </w:p>
    <w:p>
      <w:bookmarkStart w:id="149" w:name="mind"/>
      <w:pPr>
        <w:pStyle w:val="Heading2"/>
      </w:pPr>
      <w:r>
        <w:rPr>
          <w:b w:val="0"/>
          <w:i w:val="0"/>
        </w:rPr>
        <w:t>Mind</w:t>
      </w:r>
      <w:bookmarkEnd w:id="149"/>
    </w:p>
    <w:p>
      <w:pPr>
        <w:keepNext/>
        <w:widowControl/>
      </w:pPr>
      <w:r>
        <w:rPr>
          <w:b/>
          <w:i w:val="0"/>
        </w:rPr>
        <w:t>Latin:</w:t>
      </w:r>
      <w:r>
        <w:rPr>
          <w:b w:val="0"/>
          <w:i w:val="0"/>
        </w:rPr>
        <w:t xml:space="preserve"> </w:t>
      </w:r>
      <w:r>
        <w:rPr>
          <w:b w:val="0"/>
          <w:i/>
        </w:rPr>
        <w:t>mens</w:t>
      </w:r>
      <w:r>
        <w:rPr>
          <w:b w:val="0"/>
          <w:i w:val="0"/>
        </w:rPr>
        <w:t xml:space="preserve">; </w:t>
      </w:r>
      <w:r>
        <w:rPr>
          <w:b w:val="0"/>
          <w:i/>
        </w:rPr>
        <w:t>mens humana</w:t>
      </w:r>
      <w:r>
        <w:rPr>
          <w:b w:val="0"/>
          <w:i w:val="0"/>
        </w:rPr>
        <w:t xml:space="preserve">; </w:t>
      </w:r>
      <w:r>
        <w:rPr>
          <w:b w:val="0"/>
          <w:i/>
        </w:rPr>
        <w:t>mens angelica</w:t>
      </w:r>
      <w:r>
        <w:rPr>
          <w:b w:val="0"/>
          <w:i w:val="0"/>
        </w:rPr>
        <w:t xml:space="preserve">; </w:t>
      </w:r>
      <w:r>
        <w:rPr>
          <w:b w:val="0"/>
          <w:i/>
        </w:rPr>
        <w:t>mens in anima</w:t>
      </w:r>
      <w:r>
        <w:rPr>
          <w:b w:val="0"/>
          <w:i w:val="0"/>
        </w:rPr>
        <w:t xml:space="preserve">; </w:t>
      </w:r>
      <w:r>
        <w:rPr>
          <w:b w:val="0"/>
          <w:i/>
        </w:rPr>
        <w:t>spiritus rationalis</w:t>
      </w:r>
      <w:r>
        <w:rPr>
          <w:b w:val="0"/>
          <w:i w:val="0"/>
        </w:rPr>
        <w:t xml:space="preserve">; </w:t>
      </w:r>
      <w:r>
        <w:rPr>
          <w:b w:val="0"/>
          <w:i/>
        </w:rPr>
        <w:t>mentes angelicae</w:t>
      </w:r>
      <w:r>
        <w:rPr>
          <w:b w:val="0"/>
          <w:i w:val="0"/>
        </w:rPr>
        <w:t xml:space="preserve">; </w:t>
      </w:r>
      <w:r>
        <w:rPr>
          <w:b w:val="0"/>
          <w:i/>
        </w:rPr>
        <w:t>mentes animales</w:t>
      </w:r>
      <w:r>
        <w:rPr>
          <w:b w:val="0"/>
          <w:i w:val="0"/>
        </w:rPr>
        <w:t xml:space="preserve">; </w:t>
      </w:r>
      <w:r>
        <w:rPr>
          <w:b w:val="0"/>
          <w:i/>
        </w:rPr>
        <w:t>per immensum</w:t>
      </w:r>
    </w:p>
    <w:p>
      <w:pPr>
        <w:keepNext/>
        <w:widowControl/>
      </w:pPr>
      <w:r>
        <w:rPr>
          <w:b/>
          <w:i w:val="0"/>
        </w:rPr>
        <w:t>The word.</w:t>
      </w:r>
    </w:p>
    <w:p>
      <w:pPr>
        <w:widowControl/>
      </w:pPr>
      <w:r>
        <w:rPr>
          <w:b w:val="0"/>
          <w:i w:val="0"/>
        </w:rPr>
        <w:t>Mens names intellectual mind, but can designate a power of soul, an embodied intellectual subject, or an independently subsisting angelic mind. Spiritus rationalis means rational spirit. Animalis in mens animalis marks an animating or soul-mind rather than a merely nonhuman animal mind.</w:t>
      </w:r>
    </w:p>
    <w:p>
      <w:pPr>
        <w:keepNext/>
        <w:widowControl/>
      </w:pPr>
      <w:r>
        <w:rPr>
          <w:b/>
          <w:i w:val="0"/>
        </w:rPr>
        <w:t>In the Platonic Theology.</w:t>
      </w:r>
    </w:p>
    <w:p>
      <w:pPr>
        <w:widowControl/>
      </w:pPr>
      <w:r>
        <w:rPr>
          <w:b w:val="0"/>
          <w:i w:val="0"/>
        </w:rPr>
        <w:t xml:space="preserve">The Latin </w:t>
      </w:r>
      <w:r>
        <w:rPr>
          <w:b w:val="0"/>
          <w:i/>
        </w:rPr>
        <w:t>mens</w:t>
      </w:r>
      <w:r>
        <w:rPr>
          <w:b w:val="0"/>
          <w:i w:val="0"/>
        </w:rPr>
        <w:t xml:space="preserve"> is not always interchangeable with </w:t>
      </w:r>
      <w:r>
        <w:rPr>
          <w:b w:val="0"/>
          <w:i/>
        </w:rPr>
        <w:t>anima</w:t>
      </w:r>
      <w:r>
        <w:rPr>
          <w:b w:val="0"/>
          <w:i w:val="0"/>
        </w:rPr>
        <w:t>. The Proem can speak broadly of human minds, but the later analysis makes mind the highest part or eye of soul. Soul also has powers of imagination, sensation, generation, and bodily government, and is therefore not wholly mind. Ficino reasons from its partial possession of intelligence toward a higher being that is mind wholly and alone. Angel supplies that model, though it still receives truth and goodness from above.</w:t>
      </w:r>
    </w:p>
    <w:p>
      <w:pPr>
        <w:widowControl/>
      </w:pPr>
      <w:r>
        <w:rPr>
          <w:b w:val="0"/>
          <w:i w:val="0"/>
        </w:rPr>
        <w:t>A human intellectual faculty, the embodied subject possessing it, and a separate intellectual being are consequently distinct uses or applications within the discussion. Even incorporeal human mind operates under the conditions of an embodied soul and normally looks toward sensible things. Nor does mind have a uniform causal efficacy at every level: human understanding cannot produce every external effect or command every effective power of its soul merely by thinking. Ficino uses this limitation to argue for a more powerful intellectual cause above it. Translating every mind as soul, or every soul as mind, would conceal that transition.</w:t>
      </w:r>
    </w:p>
    <w:p>
      <w:pPr>
        <w:widowControl/>
      </w:pPr>
      <w:r>
        <w:rPr>
          <w:b w:val="0"/>
          <w:i w:val="0"/>
        </w:rPr>
        <w:t>Differences within soul must also remain visible. Book IV distinguishes the celestial soul’s intellectual possession of ideas together from the successive actualization of seeds in its lower animating power. Its middle reason can be absorbed into mind because the lowest power suffices to administer its perfect body; human reason remains more occupied with bodily demands. The temporal activity characteristic of soul therefore does not mean that every one of its powers must exercise every content successively.</w:t>
      </w:r>
    </w:p>
    <w:p>
      <w:pPr>
        <w:widowControl/>
      </w:pPr>
      <w:r>
        <w:rPr>
          <w:b w:val="0"/>
          <w:i w:val="0"/>
        </w:rPr>
        <w:t>A separate excursus in II.6.14–24 attributes to Anebon, Abamon, Plotinus, Iamblichus, and Julian the claim that every angelic or animating mind is wholly present throughout immensity without mutual confusion. Rational spirits, on that theory, have neither dimensions nor attachment to a determinate dimension; their activity reaches immeasurable objects and their essential inclination reaches God. Several candles filling one hall illustrate distinct sources whose illumination shares a space. Particular operations can be more manifest in particular regions: angelic minds govern and animating minds vivify. A mind might mistake its principal sphere of operation for its limit, as philosophers can locate themselves in the heart.</w:t>
      </w:r>
    </w:p>
    <w:p>
      <w:pPr>
        <w:widowControl/>
      </w:pPr>
      <w:r>
        <w:rPr>
          <w:b w:val="0"/>
          <w:i w:val="0"/>
        </w:rPr>
        <w:t xml:space="preserve">Ficino explicitly closes this as their account before returning to God. The attribution prevents the excursus from becoming an unqualified statement that every soul is demonstrably omnipresent. Here </w:t>
      </w:r>
      <w:r>
        <w:rPr>
          <w:b w:val="0"/>
          <w:i/>
        </w:rPr>
        <w:t>animales</w:t>
      </w:r>
      <w:r>
        <w:rPr>
          <w:b w:val="0"/>
          <w:i w:val="0"/>
        </w:rPr>
        <w:t xml:space="preserve"> means animating or belonging to soul, not exclusively nonhuman animal.</w:t>
      </w:r>
    </w:p>
    <w:p>
      <w:pPr>
        <w:keepNext/>
        <w:widowControl/>
      </w:pPr>
      <w:r>
        <w:rPr>
          <w:b/>
          <w:i w:val="0"/>
        </w:rPr>
        <w:t>The places.</w:t>
      </w:r>
    </w:p>
    <w:p>
      <w:pPr>
        <w:ind w:left="187" w:hanging="187"/>
      </w:pPr>
      <w:r>
        <w:t xml:space="preserve">• </w:t>
      </w:r>
      <w:r>
        <w:rPr>
          <w:b/>
          <w:i w:val="0"/>
        </w:rPr>
        <w:t>I.5.16 (PDF pp. 70–71)</w:t>
      </w:r>
      <w:r>
        <w:rPr>
          <w:b w:val="0"/>
          <w:i w:val="0"/>
        </w:rPr>
        <w:t>. Embodied minds are contrasted with separated intellectual beings</w:t>
      </w:r>
    </w:p>
    <w:p>
      <w:pPr>
        <w:ind w:left="187" w:hanging="187"/>
      </w:pPr>
      <w:r>
        <w:t xml:space="preserve">• </w:t>
      </w:r>
      <w:r>
        <w:rPr>
          <w:b/>
          <w:i w:val="0"/>
        </w:rPr>
        <w:t>II.6.14 (PDF pp. 136–137)</w:t>
      </w:r>
      <w:r>
        <w:rPr>
          <w:b w:val="0"/>
          <w:i w:val="0"/>
        </w:rPr>
        <w:t>. The named priests and Platonists introduce a theory of all minds present through immensity</w:t>
      </w:r>
    </w:p>
    <w:p>
      <w:pPr>
        <w:ind w:left="187" w:hanging="187"/>
      </w:pPr>
      <w:r>
        <w:t xml:space="preserve">• </w:t>
      </w:r>
      <w:r>
        <w:rPr>
          <w:b/>
          <w:i w:val="0"/>
        </w:rPr>
        <w:t>II.6.24 (PDF pp. 142–143)</w:t>
      </w:r>
      <w:r>
        <w:rPr>
          <w:b w:val="0"/>
          <w:i w:val="0"/>
        </w:rPr>
        <w:t>. Localized manifestation, candlelights, and heart-belief close the attributed theory</w:t>
      </w:r>
    </w:p>
    <w:p>
      <w:pPr>
        <w:ind w:left="187" w:hanging="187"/>
      </w:pPr>
      <w:r>
        <w:t xml:space="preserve">• </w:t>
      </w:r>
      <w:r>
        <w:rPr>
          <w:b/>
          <w:i w:val="0"/>
        </w:rPr>
        <w:t>II.9.12 (PDF pp. 168–169)</w:t>
      </w:r>
      <w:r>
        <w:rPr>
          <w:b w:val="0"/>
          <w:i w:val="0"/>
        </w:rPr>
        <w:t>. Angel is properly mind while divine naming is qualified</w:t>
      </w:r>
    </w:p>
    <w:p>
      <w:pPr>
        <w:ind w:left="187" w:hanging="187"/>
      </w:pPr>
      <w:r>
        <w:t xml:space="preserve">• </w:t>
      </w:r>
      <w:r>
        <w:rPr>
          <w:b/>
          <w:i w:val="0"/>
        </w:rPr>
        <w:t>IV.2.10 (PDF pp. 338–339)</w:t>
      </w:r>
      <w:r>
        <w:rPr>
          <w:b w:val="0"/>
          <w:i w:val="0"/>
        </w:rPr>
        <w:t>. The intellectual part of celestial soul differs from its lower motive powers</w:t>
      </w:r>
    </w:p>
    <w:p>
      <w:pPr>
        <w:widowControl/>
      </w:pPr>
      <w:r>
        <w:rPr>
          <w:b/>
          <w:i w:val="0"/>
        </w:rPr>
        <w:t>Further passage references.</w:t>
      </w:r>
      <w:r>
        <w:rPr>
          <w:b w:val="0"/>
          <w:i w:val="0"/>
        </w:rPr>
        <w:t xml:space="preserve"> Proem.1, Proem.7 (PDF pp. 6–9); I.5.10–I.5.17 (pp. 64–73); I.6.7–I.6.13 (pp. 86–91); II.6.14–24, pp. 136–143; IV.2.9–IV.2.12, PDF pp. 336–341.</w:t>
      </w:r>
    </w:p>
    <w:p>
      <w:pPr>
        <w:keepNext/>
        <w:widowControl/>
      </w:pPr>
      <w:r>
        <w:rPr>
          <w:b/>
          <w:i w:val="0"/>
        </w:rPr>
        <w:t>In this edition.</w:t>
      </w:r>
    </w:p>
    <w:p>
      <w:pPr>
        <w:widowControl/>
      </w:pPr>
      <w:r>
        <w:rPr>
          <w:b w:val="0"/>
          <w:i w:val="0"/>
        </w:rPr>
        <w:t xml:space="preserve">The apparatus confirms animalem and animales as animating rather than bestial. The universal-presence account begins with named authorities in II.6.14, is introduced as </w:t>
      </w:r>
      <w:r>
        <w:t>“</w:t>
      </w:r>
      <w:r>
        <w:rPr>
          <w:b w:val="0"/>
          <w:i w:val="0"/>
        </w:rPr>
        <w:t>their position</w:t>
      </w:r>
      <w:r>
        <w:t>”</w:t>
      </w:r>
      <w:r>
        <w:rPr>
          <w:b w:val="0"/>
          <w:i w:val="0"/>
        </w:rPr>
        <w:t xml:space="preserve"> in II.6.15, and ends </w:t>
      </w:r>
      <w:r>
        <w:t>“</w:t>
      </w:r>
      <w:r>
        <w:rPr>
          <w:b w:val="0"/>
          <w:i w:val="0"/>
        </w:rPr>
        <w:t>So much for their account of mind</w:t>
      </w:r>
      <w:r>
        <w:t>”</w:t>
      </w:r>
      <w:r>
        <w:rPr>
          <w:b w:val="0"/>
          <w:i w:val="0"/>
        </w:rPr>
        <w:t xml:space="preserve"> in II.6.24. That attribution is structurally indispensable.</w:t>
      </w:r>
    </w:p>
    <w:p>
      <w:pPr>
        <w:keepNext/>
        <w:widowControl/>
      </w:pPr>
      <w:r>
        <w:rPr>
          <w:b/>
          <w:i w:val="0"/>
        </w:rPr>
        <w:t>See also.</w:t>
      </w:r>
    </w:p>
    <w:p>
      <w:pPr>
        <w:widowControl/>
      </w:pPr>
      <w:hyperlink w:anchor="soul">
        <w:r>
          <w:rPr>
            <w:color w:val="000000"/>
          </w:rPr>
          <w:t xml:space="preserve">Soul</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angel">
        <w:r>
          <w:rPr>
            <w:color w:val="000000"/>
          </w:rPr>
          <w:t xml:space="preserve">Angel</w:t>
        </w:r>
      </w:hyperlink>
      <w:r>
        <w:rPr>
          <w:b w:val="0"/>
          <w:i w:val="0"/>
        </w:rPr>
        <w:t xml:space="preserve">; </w:t>
      </w:r>
      <w:hyperlink w:anchor="sense-and-imagination">
        <w:r>
          <w:rPr>
            <w:color w:val="000000"/>
          </w:rPr>
          <w:t xml:space="preserve">Sense and imagination</w:t>
        </w:r>
      </w:hyperlink>
      <w:r>
        <w:rPr>
          <w:b w:val="0"/>
          <w:i w:val="0"/>
        </w:rPr>
        <w:t xml:space="preserve">; </w:t>
      </w:r>
      <w:hyperlink w:anchor="truth">
        <w:r>
          <w:rPr>
            <w:color w:val="000000"/>
          </w:rPr>
          <w:t xml:space="preserve">Truth</w:t>
        </w:r>
      </w:hyperlink>
      <w:r>
        <w:rPr>
          <w:b w:val="0"/>
          <w:i w:val="0"/>
        </w:rPr>
        <w:t xml:space="preserve">; </w:t>
      </w:r>
      <w:hyperlink w:anchor="omnipresence-and-place">
        <w:r>
          <w:rPr>
            <w:color w:val="000000"/>
          </w:rPr>
          <w:t xml:space="preserve">Omnipresence and place</w:t>
        </w:r>
      </w:hyperlink>
      <w:r>
        <w:rPr>
          <w:b w:val="0"/>
          <w:i w:val="0"/>
        </w:rPr>
        <w:t xml:space="preserve">; </w:t>
      </w:r>
      <w:hyperlink w:anchor="light-and-illumination">
        <w:r>
          <w:rPr>
            <w:color w:val="000000"/>
          </w:rPr>
          <w:t xml:space="preserve">Light and illumination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eternity-and-time">
        <w:r>
          <w:rPr>
            <w:color w:val="000000"/>
          </w:rPr>
          <w:t xml:space="preserve">Eternity and time</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habitual-possession">
        <w:r>
          <w:rPr>
            <w:color w:val="000000"/>
          </w:rPr>
          <w:t xml:space="preserve">Habitual possession</w:t>
        </w:r>
      </w:hyperlink>
    </w:p>
    <w:p>
      <w:bookmarkStart w:id="150" w:name="motion-and-stability"/>
      <w:pPr>
        <w:pStyle w:val="Heading2"/>
      </w:pPr>
      <w:r>
        <w:rPr>
          <w:b w:val="0"/>
          <w:i w:val="0"/>
        </w:rPr>
        <w:t>Motion and stability</w:t>
      </w:r>
      <w:bookmarkEnd w:id="150"/>
    </w:p>
    <w:p>
      <w:pPr>
        <w:keepNext/>
        <w:widowControl/>
      </w:pPr>
      <w:r>
        <w:rPr>
          <w:b/>
          <w:i w:val="0"/>
        </w:rPr>
        <w:t>Latin:</w:t>
      </w:r>
      <w:r>
        <w:rPr>
          <w:b w:val="0"/>
          <w:i w:val="0"/>
        </w:rPr>
        <w:t xml:space="preserve"> </w:t>
      </w:r>
      <w:r>
        <w:rPr>
          <w:b w:val="0"/>
          <w:i/>
        </w:rPr>
        <w:t>motus</w:t>
      </w:r>
      <w:r>
        <w:rPr>
          <w:b w:val="0"/>
          <w:i w:val="0"/>
        </w:rPr>
        <w:t xml:space="preserve">; </w:t>
      </w:r>
      <w:r>
        <w:rPr>
          <w:b w:val="0"/>
          <w:i/>
        </w:rPr>
        <w:t>motio</w:t>
      </w:r>
      <w:r>
        <w:rPr>
          <w:b w:val="0"/>
          <w:i w:val="0"/>
        </w:rPr>
        <w:t xml:space="preserve">; </w:t>
      </w:r>
      <w:r>
        <w:rPr>
          <w:b w:val="0"/>
          <w:i/>
        </w:rPr>
        <w:t>mobilis</w:t>
      </w:r>
      <w:r>
        <w:rPr>
          <w:b w:val="0"/>
          <w:i w:val="0"/>
        </w:rPr>
        <w:t xml:space="preserve">; </w:t>
      </w:r>
      <w:r>
        <w:rPr>
          <w:b w:val="0"/>
          <w:i/>
        </w:rPr>
        <w:t>immobilis</w:t>
      </w:r>
      <w:r>
        <w:rPr>
          <w:b w:val="0"/>
          <w:i w:val="0"/>
        </w:rPr>
        <w:t xml:space="preserve">; </w:t>
      </w:r>
      <w:r>
        <w:rPr>
          <w:b w:val="0"/>
          <w:i/>
        </w:rPr>
        <w:t>status</w:t>
      </w:r>
      <w:r>
        <w:rPr>
          <w:b w:val="0"/>
          <w:i w:val="0"/>
        </w:rPr>
        <w:t xml:space="preserve">; </w:t>
      </w:r>
      <w:r>
        <w:rPr>
          <w:b w:val="0"/>
          <w:i/>
        </w:rPr>
        <w:t>stabilitas</w:t>
      </w:r>
      <w:r>
        <w:rPr>
          <w:b w:val="0"/>
          <w:i w:val="0"/>
        </w:rPr>
        <w:t xml:space="preserve">; </w:t>
      </w:r>
      <w:r>
        <w:rPr>
          <w:b w:val="0"/>
          <w:i/>
        </w:rPr>
        <w:t>quies</w:t>
      </w:r>
      <w:r>
        <w:rPr>
          <w:b w:val="0"/>
          <w:i w:val="0"/>
        </w:rPr>
        <w:t xml:space="preserve">; </w:t>
      </w:r>
      <w:r>
        <w:rPr>
          <w:b w:val="0"/>
          <w:i/>
        </w:rPr>
        <w:t>fluere</w:t>
      </w:r>
      <w:r>
        <w:rPr>
          <w:b w:val="0"/>
          <w:i w:val="0"/>
        </w:rPr>
        <w:t xml:space="preserve">; </w:t>
      </w:r>
      <w:r>
        <w:rPr>
          <w:b w:val="0"/>
          <w:i/>
        </w:rPr>
        <w:t>manare</w:t>
      </w:r>
      <w:r>
        <w:rPr>
          <w:b w:val="0"/>
          <w:i w:val="0"/>
        </w:rPr>
        <w:t xml:space="preserve">; </w:t>
      </w:r>
      <w:r>
        <w:rPr>
          <w:b w:val="0"/>
          <w:i/>
        </w:rPr>
        <w:t>emanare</w:t>
      </w:r>
      <w:r>
        <w:rPr>
          <w:b w:val="0"/>
          <w:i w:val="0"/>
        </w:rPr>
        <w:t xml:space="preserve">; </w:t>
      </w:r>
      <w:r>
        <w:rPr>
          <w:b w:val="0"/>
          <w:i/>
        </w:rPr>
        <w:t>effluxus</w:t>
      </w:r>
      <w:r>
        <w:rPr>
          <w:b w:val="0"/>
          <w:i w:val="0"/>
        </w:rPr>
        <w:t xml:space="preserve">; </w:t>
      </w:r>
      <w:r>
        <w:rPr>
          <w:b w:val="0"/>
          <w:i/>
        </w:rPr>
        <w:t>fluxus</w:t>
      </w:r>
      <w:r>
        <w:rPr>
          <w:b w:val="0"/>
          <w:i w:val="0"/>
        </w:rPr>
        <w:t xml:space="preserve">; </w:t>
      </w:r>
      <w:r>
        <w:rPr>
          <w:b w:val="0"/>
          <w:i/>
        </w:rPr>
        <w:t>fluitare</w:t>
      </w:r>
      <w:r>
        <w:rPr>
          <w:b w:val="0"/>
          <w:i w:val="0"/>
        </w:rPr>
        <w:t xml:space="preserve">; </w:t>
      </w:r>
      <w:r>
        <w:rPr>
          <w:b w:val="0"/>
          <w:i/>
        </w:rPr>
        <w:t>cardo</w:t>
      </w:r>
      <w:r>
        <w:rPr>
          <w:b w:val="0"/>
          <w:i w:val="0"/>
        </w:rPr>
        <w:t xml:space="preserve">; </w:t>
      </w:r>
      <w:r>
        <w:rPr>
          <w:b w:val="0"/>
          <w:i/>
        </w:rPr>
        <w:t>immutabilis</w:t>
      </w:r>
      <w:r>
        <w:rPr>
          <w:b w:val="0"/>
          <w:i w:val="0"/>
        </w:rPr>
        <w:t xml:space="preserve">; </w:t>
      </w:r>
      <w:r>
        <w:rPr>
          <w:b w:val="0"/>
          <w:i/>
        </w:rPr>
        <w:t>stabilis</w:t>
      </w:r>
      <w:r>
        <w:rPr>
          <w:b w:val="0"/>
          <w:i w:val="0"/>
        </w:rPr>
        <w:t xml:space="preserve">; </w:t>
      </w:r>
      <w:r>
        <w:rPr>
          <w:b w:val="0"/>
          <w:i/>
        </w:rPr>
        <w:t>stare</w:t>
      </w:r>
      <w:r>
        <w:rPr>
          <w:b w:val="0"/>
          <w:i w:val="0"/>
        </w:rPr>
        <w:t xml:space="preserve">; </w:t>
      </w:r>
      <w:r>
        <w:rPr>
          <w:b w:val="0"/>
          <w:i/>
        </w:rPr>
        <w:t>manere</w:t>
      </w:r>
      <w:r>
        <w:rPr>
          <w:b w:val="0"/>
          <w:i w:val="0"/>
        </w:rPr>
        <w:t xml:space="preserve">; </w:t>
      </w:r>
      <w:r>
        <w:rPr>
          <w:b w:val="0"/>
          <w:i/>
        </w:rPr>
        <w:t>moveri</w:t>
      </w:r>
      <w:r>
        <w:rPr>
          <w:b w:val="0"/>
          <w:i w:val="0"/>
        </w:rPr>
        <w:t xml:space="preserve">; </w:t>
      </w:r>
      <w:r>
        <w:rPr>
          <w:b w:val="0"/>
          <w:i/>
        </w:rPr>
        <w:t>mobilis per se</w:t>
      </w:r>
      <w:r>
        <w:rPr>
          <w:b w:val="0"/>
          <w:i w:val="0"/>
        </w:rPr>
        <w:t xml:space="preserve">; </w:t>
      </w:r>
      <w:r>
        <w:rPr>
          <w:b w:val="0"/>
          <w:i/>
        </w:rPr>
        <w:t>se movens</w:t>
      </w:r>
      <w:r>
        <w:rPr>
          <w:b w:val="0"/>
          <w:i w:val="0"/>
        </w:rPr>
        <w:t xml:space="preserve">; </w:t>
      </w:r>
      <w:r>
        <w:rPr>
          <w:b w:val="0"/>
          <w:i/>
        </w:rPr>
        <w:t>fons et principium motionis</w:t>
      </w:r>
      <w:r>
        <w:rPr>
          <w:b w:val="0"/>
          <w:i w:val="0"/>
        </w:rPr>
        <w:t xml:space="preserve">; </w:t>
      </w:r>
      <w:r>
        <w:rPr>
          <w:b w:val="0"/>
          <w:i/>
        </w:rPr>
        <w:t>operatio temporalis</w:t>
      </w:r>
      <w:r>
        <w:rPr>
          <w:b w:val="0"/>
          <w:i w:val="0"/>
        </w:rPr>
        <w:t xml:space="preserve">; </w:t>
      </w:r>
      <w:r>
        <w:rPr>
          <w:b w:val="0"/>
          <w:i/>
        </w:rPr>
        <w:t>mobile per se ipsum</w:t>
      </w:r>
      <w:r>
        <w:rPr>
          <w:b w:val="0"/>
          <w:i w:val="0"/>
        </w:rPr>
        <w:t xml:space="preserve">; </w:t>
      </w:r>
      <w:r>
        <w:rPr>
          <w:b w:val="0"/>
          <w:i/>
        </w:rPr>
        <w:t>per aliud mobilis</w:t>
      </w:r>
      <w:r>
        <w:rPr>
          <w:b w:val="0"/>
          <w:i w:val="0"/>
        </w:rPr>
        <w:t xml:space="preserve">; </w:t>
      </w:r>
      <w:r>
        <w:rPr>
          <w:b w:val="0"/>
          <w:i/>
        </w:rPr>
        <w:t>motor immobilis</w:t>
      </w:r>
      <w:r>
        <w:rPr>
          <w:b w:val="0"/>
          <w:i w:val="0"/>
        </w:rPr>
        <w:t xml:space="preserve">; </w:t>
      </w:r>
      <w:r>
        <w:rPr>
          <w:b w:val="0"/>
          <w:i/>
        </w:rPr>
        <w:t>movetur propter statum</w:t>
      </w:r>
      <w:r>
        <w:rPr>
          <w:b w:val="0"/>
          <w:i w:val="0"/>
        </w:rPr>
        <w:t xml:space="preserve">; </w:t>
      </w:r>
      <w:r>
        <w:rPr>
          <w:b w:val="0"/>
          <w:i/>
        </w:rPr>
        <w:t>stat in motu</w:t>
      </w:r>
      <w:r>
        <w:rPr>
          <w:b w:val="0"/>
          <w:i w:val="0"/>
        </w:rPr>
        <w:t xml:space="preserve">; </w:t>
      </w:r>
      <w:r>
        <w:rPr>
          <w:b w:val="0"/>
          <w:i/>
        </w:rPr>
        <w:t>norma</w:t>
      </w:r>
      <w:r>
        <w:rPr>
          <w:b w:val="0"/>
          <w:i w:val="0"/>
        </w:rPr>
        <w:t xml:space="preserve">; </w:t>
      </w:r>
      <w:r>
        <w:rPr>
          <w:b w:val="0"/>
          <w:i/>
        </w:rPr>
        <w:t>secundum … species</w:t>
      </w:r>
      <w:r>
        <w:rPr>
          <w:b w:val="0"/>
          <w:i w:val="0"/>
        </w:rPr>
        <w:t>.</w:t>
      </w:r>
    </w:p>
    <w:p>
      <w:pPr>
        <w:keepNext/>
        <w:widowControl/>
      </w:pPr>
      <w:r>
        <w:rPr>
          <w:b/>
          <w:i w:val="0"/>
        </w:rPr>
        <w:t>The word.</w:t>
      </w:r>
    </w:p>
    <w:p>
      <w:pPr>
        <w:widowControl/>
      </w:pPr>
      <w:r>
        <w:rPr>
          <w:b w:val="0"/>
          <w:i w:val="0"/>
        </w:rPr>
        <w:t>Motus and motio mean motion or change; movere moving; mutare alteration; status or stabilitas abiding stability. Changes of place, quality, being-mode, and successive operation are distinct. Stable essence can coexist with changing action; divine stability also differs from an angel’s received stability.</w:t>
      </w:r>
    </w:p>
    <w:p>
      <w:pPr>
        <w:widowControl/>
      </w:pPr>
      <w:r>
        <w:rPr>
          <w:b w:val="0"/>
          <w:i/>
        </w:rPr>
        <w:t>Status</w:t>
      </w:r>
      <w:r>
        <w:rPr>
          <w:b w:val="0"/>
          <w:i w:val="0"/>
        </w:rPr>
        <w:t xml:space="preserve"> can mean stability or a stable condition. </w:t>
      </w:r>
      <w:r>
        <w:rPr>
          <w:b w:val="0"/>
          <w:i/>
        </w:rPr>
        <w:t>Stare</w:t>
      </w:r>
      <w:r>
        <w:rPr>
          <w:b w:val="0"/>
          <w:i w:val="0"/>
        </w:rPr>
        <w:t xml:space="preserve"> does not everywhere mean the cessation of motion. The kind of motion is specified locally: change of substance, quantity, quality or place differs from the succession of thought.</w:t>
      </w:r>
    </w:p>
    <w:p>
      <w:pPr>
        <w:keepNext/>
        <w:widowControl/>
      </w:pPr>
      <w:r>
        <w:rPr>
          <w:b/>
          <w:i w:val="0"/>
        </w:rPr>
        <w:t>In the Platonic Theology.</w:t>
      </w:r>
    </w:p>
    <w:p>
      <w:pPr>
        <w:widowControl/>
      </w:pPr>
      <w:r>
        <w:rPr>
          <w:b w:val="0"/>
          <w:i w:val="0"/>
        </w:rPr>
        <w:t>Motion includes change of place, generation and corruption, increase and decrease of intensity, and successive activity such as thinking or self-formation. Stability may concern an underlying substance, an intellectual possession, an unwavering power, a regular pattern, or an ultimate source and end. The relevant respect must always be specified. Quality changes in essence, power, and operation; soul is stable in essence, mobile in operation, and partly stable and partly changeable in power. The claim in I.3.33 that soul is not subject to motion concerns the indivisible substance then under discussion, not a denial of its subsequent thoughts and acts.</w:t>
      </w:r>
    </w:p>
    <w:p>
      <w:pPr>
        <w:widowControl/>
      </w:pPr>
      <w:r>
        <w:rPr>
          <w:b w:val="0"/>
          <w:i w:val="0"/>
        </w:rPr>
        <w:t>Ficino argues that change itself requires stability: the changing subject must persist, and an enduring pattern of movement needs a stable moving power. Celestial revolutions are his principal cosmic example. Angelic immobility includes simultaneous intellectual comprehension, not inactivity; an unmoved mover can act. God is immovable because he lacks no better state, has no superior mover, is everywhere, and is perfectly simple. Angel receives fullness and stability from God rather than grounding them independently. To stand, in the relevant metaphysical sense, is to remain in the unity of one’s nature.</w:t>
      </w:r>
    </w:p>
    <w:p>
      <w:pPr>
        <w:widowControl/>
      </w:pPr>
      <w:r>
        <w:rPr>
          <w:b w:val="0"/>
          <w:i w:val="0"/>
        </w:rPr>
        <w:t>At III.1.28, motion is an act running through successive moments of time, contrasted with an immediate act that has effects without undergoing temporal succession. Book IV extends the terminology in a qualified way: an action passing through intermediates toward an end is called temporal motion when it unfolds in time and eternal motion when accomplished in a moment. This later formulation must not disappear under a blanket assertion that every occurrence of motion necessarily takes elapsed time. The same care applies within celestial soul: its intellectual power possesses ideas simultaneously, while its lowest motive powers bring productive seeds into act successively.</w:t>
      </w:r>
    </w:p>
    <w:p>
      <w:pPr>
        <w:widowControl/>
      </w:pPr>
      <w:r>
        <w:rPr>
          <w:b w:val="0"/>
          <w:i w:val="0"/>
        </w:rPr>
        <w:t>Self-motion identifies soul as the first movable nature and the inward source of its own temporal operation. It is not a claim that soul is uncreated or independent of God. The Apelles example distinguishes external beginning and end from internal unfolding: the meadow presents itself and prompts the desire to paint, while the painter’s soul supplies the gradual sequence of attention and representation. Higher realities similarly provide soul’s origin and object, while its own nature supplies the temporal manner of response. Soul bridges wholly stable beings and bodies moved through others. It is a fountain because it possesses motion inwardly and a principle because it communicates movement; animated bodies display an image of that capacity.</w:t>
      </w:r>
    </w:p>
    <w:p>
      <w:pPr>
        <w:widowControl/>
      </w:pPr>
      <w:r>
        <w:rPr>
          <w:b w:val="0"/>
          <w:i w:val="0"/>
        </w:rPr>
        <w:t>Book IV’s physical arguments maintain these distinctions. Heat produces heat, cold produces cold, and heaviness or lightness tends in a particular direction. A quality tied to bodily position does not independently reverse and return upon itself. Ficino contrasts this limited agency with heaven’s returning, uniform motion and varied effects, inferring a nonextended living power. The conclusion depends on his account of qualities and celestial behavior, not a general proposition that every curved trajectory proves consciousness. Apparently unprompted bodily movement is also not sufficient evidence of independent self-motion: iron is drawn by a magnet, and displaced stones are explained through the soul of their sphere.</w:t>
      </w:r>
    </w:p>
    <w:p>
      <w:pPr>
        <w:widowControl/>
      </w:pPr>
      <w:r>
        <w:rPr>
          <w:b w:val="0"/>
          <w:i w:val="0"/>
        </w:rPr>
        <w:t>Flowing words have a related but distinct role. They can signify derivation from a source or the instability of what does not possess being through itself. If all causes merely derived from others, Ficino argues, no stable ground for unity, likeness, order, or restoration would remain; one flowing liquid cannot finally contain another equally flowing liquid. Yet procession from God is not dissolution or physical leakage. Things are enfolded in unity, unfolded in truth, poured forth through goodness, and returned through those same principles. Their continuing dependence, expressed elsewhere as the danger of flowing away into nothing without conservation, does not deny their actual existence.</w:t>
      </w:r>
    </w:p>
    <w:p>
      <w:pPr>
        <w:widowControl/>
      </w:pPr>
      <w:r>
        <w:rPr>
          <w:b w:val="0"/>
          <w:i w:val="0"/>
        </w:rPr>
        <w:t>Finally, circular bodily motion can imitate stability by remaining in place while revolving. Celestial soul participates in repose through mind even as lower powers remain active. The moved mover still depends on the stable first source and end with which Book IV closes. Motion need not signify disorder, and stability need not signify inertness; the hierarchy connects their different forms without making them identical.</w:t>
      </w:r>
    </w:p>
    <w:p>
      <w:pPr>
        <w:widowControl/>
      </w:pPr>
      <w:r>
        <w:rPr>
          <w:b w:val="0"/>
          <w:i w:val="0"/>
        </w:rPr>
        <w:t xml:space="preserve">I.5.8 explains its own paradox. A thing </w:t>
      </w:r>
      <w:r>
        <w:t>“</w:t>
      </w:r>
      <w:r>
        <w:rPr>
          <w:b w:val="0"/>
          <w:i w:val="0"/>
        </w:rPr>
        <w:t>moves for the sake of stability</w:t>
      </w:r>
      <w:r>
        <w:t>”</w:t>
      </w:r>
      <w:r>
        <w:rPr>
          <w:b w:val="0"/>
          <w:i w:val="0"/>
        </w:rPr>
        <w:t xml:space="preserve"> because its moving power must remain vigorous; it </w:t>
      </w:r>
      <w:r>
        <w:t>“</w:t>
      </w:r>
      <w:r>
        <w:rPr>
          <w:b w:val="0"/>
          <w:i w:val="0"/>
        </w:rPr>
        <w:t>stands in motion</w:t>
      </w:r>
      <w:r>
        <w:t>”</w:t>
      </w:r>
      <w:r>
        <w:rPr>
          <w:b w:val="0"/>
          <w:i w:val="0"/>
        </w:rPr>
        <w:t xml:space="preserve"> by preserving the same, an equal or a similar pattern. The explanation concerns causal continuity and regularity, not the claim that a spatially moving thing occupies one fixed point. The surrounding discussion distinguishes the matter persisting through substantial change from the substance persisting through changes of quantity, quality or place. An account that makes soul wholly outside every kind of motion on the strength of I.3.33 must be qualified by I.4–5, where stable essence coexists with changing operation.</w:t>
      </w:r>
    </w:p>
    <w:p>
      <w:pPr>
        <w:keepNext/>
        <w:widowControl/>
      </w:pPr>
      <w:r>
        <w:rPr>
          <w:b/>
          <w:i w:val="0"/>
        </w:rPr>
        <w:t>The places.</w:t>
      </w:r>
    </w:p>
    <w:p>
      <w:pPr>
        <w:ind w:left="187" w:hanging="187"/>
      </w:pPr>
      <w:r>
        <w:t xml:space="preserve">• </w:t>
      </w:r>
      <w:r>
        <w:rPr>
          <w:b/>
          <w:i w:val="0"/>
        </w:rPr>
        <w:t>I.4.1 (PDF pp. 54–55)</w:t>
      </w:r>
      <w:r>
        <w:rPr>
          <w:b w:val="0"/>
          <w:i w:val="0"/>
        </w:rPr>
        <w:t>. Quality changes in essence, power, and temporally extended action</w:t>
      </w:r>
    </w:p>
    <w:p>
      <w:pPr>
        <w:ind w:left="187" w:hanging="187"/>
      </w:pPr>
      <w:r>
        <w:t xml:space="preserve">• </w:t>
      </w:r>
      <w:r>
        <w:rPr>
          <w:b/>
          <w:i w:val="0"/>
        </w:rPr>
        <w:t>I.5.1 (PDF pp. 60–61)</w:t>
      </w:r>
      <w:r>
        <w:rPr>
          <w:b w:val="0"/>
          <w:i w:val="0"/>
        </w:rPr>
        <w:t>. Soul retains essence and natural power while thoughts and acquired powers vary</w:t>
      </w:r>
    </w:p>
    <w:p>
      <w:pPr>
        <w:ind w:left="187" w:hanging="187"/>
      </w:pPr>
      <w:r>
        <w:t xml:space="preserve">• </w:t>
      </w:r>
      <w:r>
        <w:rPr>
          <w:b/>
          <w:i w:val="0"/>
        </w:rPr>
        <w:t>II.7.8 (PDF pp. 146–147)</w:t>
      </w:r>
      <w:r>
        <w:rPr>
          <w:b w:val="0"/>
          <w:i w:val="0"/>
        </w:rPr>
        <w:t>. Higher bodily change is clarified as change of being-mode</w:t>
      </w:r>
    </w:p>
    <w:p>
      <w:pPr>
        <w:ind w:left="187" w:hanging="187"/>
      </w:pPr>
      <w:r>
        <w:t xml:space="preserve">• </w:t>
      </w:r>
      <w:r>
        <w:rPr>
          <w:b/>
          <w:i w:val="0"/>
        </w:rPr>
        <w:t>III.1.23 (PDF pp. 254–255)</w:t>
      </w:r>
      <w:r>
        <w:rPr>
          <w:b w:val="0"/>
          <w:i w:val="0"/>
        </w:rPr>
        <w:t>. Soul is first movable through itself between stable mind and externally moved body</w:t>
      </w:r>
    </w:p>
    <w:p>
      <w:pPr>
        <w:ind w:left="187" w:hanging="187"/>
      </w:pPr>
      <w:r>
        <w:t xml:space="preserve">• </w:t>
      </w:r>
      <w:r>
        <w:rPr>
          <w:b/>
          <w:i w:val="0"/>
        </w:rPr>
        <w:t>IV.2.11 (PDF pp. 338–339)</w:t>
      </w:r>
      <w:r>
        <w:rPr>
          <w:b w:val="0"/>
          <w:i w:val="0"/>
        </w:rPr>
        <w:t>. Temporal and eternal motion differ by time versus momentary completion</w:t>
      </w:r>
    </w:p>
    <w:p>
      <w:pPr>
        <w:widowControl/>
      </w:pPr>
      <w:r>
        <w:rPr>
          <w:b/>
          <w:i w:val="0"/>
        </w:rPr>
        <w:t>Further passage references.</w:t>
      </w:r>
      <w:r>
        <w:rPr>
          <w:b w:val="0"/>
          <w:i w:val="0"/>
        </w:rPr>
        <w:t xml:space="preserve"> I.3.33 (PDF pp. 52–53); I.4.1–I.4.5 (pp. 54–59); I.5.1–I.5.10, I.5.18–I.5.20 (pp. 60–65, 72–75); I.6.1–I.6.3 (pp. 82–83); II.3.3, pp. 116–117; II.3.7–10, pp. 118–121; II.5.2, pp. 126–127; II.7.7–9, pp. 146–147; II.7.23, pp. 154–155; II.12.15, PDF 210–211; III.1.5–8, 13–22, PDF 240–253; III.2.2, PDF 262–263; III.1.16–32, PDF 250–261; III.2.1–3, 23–30, PDF 262–279; IV.1.53–IV.1.70, pp. 308–317; IV.1.74–IV.1.77, pp. 320–323; IV.2.11–IV.2.12, pp. 338–341; IV.2.27, pp. 350–351; IV.1.64–IV.1.65, pp. 314–315; IV.1.87, pp. 326–327; IV.2.6–IV.2.12, pp. 336–341; IV.2.18, pp. 342–343; IV.2.23–IV.2.27, pp. 346–351.</w:t>
      </w:r>
    </w:p>
    <w:p>
      <w:pPr>
        <w:ind w:left="187" w:hanging="187"/>
      </w:pPr>
      <w:r>
        <w:t xml:space="preserve">• </w:t>
      </w:r>
      <w:r>
        <w:rPr>
          <w:b/>
          <w:i w:val="0"/>
        </w:rPr>
        <w:t>I.4.5, PDF 58–59.</w:t>
      </w:r>
      <w:r>
        <w:rPr>
          <w:b w:val="0"/>
          <w:i w:val="0"/>
        </w:rPr>
        <w:t xml:space="preserve"> Essence, power and operation receive different kinds of stability</w:t>
      </w:r>
    </w:p>
    <w:p>
      <w:pPr>
        <w:ind w:left="187" w:hanging="187"/>
      </w:pPr>
      <w:r>
        <w:t xml:space="preserve">• </w:t>
      </w:r>
      <w:r>
        <w:rPr>
          <w:b/>
          <w:i w:val="0"/>
        </w:rPr>
        <w:t>I.5.7–9, PDF 62–65.</w:t>
      </w:r>
      <w:r>
        <w:rPr>
          <w:b w:val="0"/>
          <w:i w:val="0"/>
        </w:rPr>
        <w:t xml:space="preserve"> Ficino explicitly explains stability in motion and the subject preserved through change</w:t>
      </w:r>
    </w:p>
    <w:p>
      <w:pPr>
        <w:keepNext/>
        <w:widowControl/>
      </w:pPr>
      <w:r>
        <w:rPr>
          <w:b/>
          <w:i w:val="0"/>
        </w:rPr>
        <w:t>In this edition.</w:t>
      </w:r>
    </w:p>
    <w:p>
      <w:pPr>
        <w:widowControl/>
      </w:pPr>
      <w:r>
        <w:rPr>
          <w:b w:val="0"/>
          <w:i w:val="0"/>
        </w:rPr>
        <w:t xml:space="preserve">The triad essentia, virtus, actio in I.4.1 must remain explicit because quality changes in all three respects. At IV.2.11 </w:t>
      </w:r>
      <w:r>
        <w:t>“</w:t>
      </w:r>
      <w:r>
        <w:rPr>
          <w:b w:val="0"/>
          <w:i w:val="0"/>
        </w:rPr>
        <w:t>eternal motion</w:t>
      </w:r>
      <w:r>
        <w:t>”</w:t>
      </w:r>
      <w:r>
        <w:rPr>
          <w:b w:val="0"/>
          <w:i w:val="0"/>
        </w:rPr>
        <w:t xml:space="preserve"> means passage completed in a moment, not simply endless clock-time. The clarification </w:t>
      </w:r>
      <w:r>
        <w:t>“</w:t>
      </w:r>
      <w:r>
        <w:rPr>
          <w:b w:val="0"/>
          <w:i w:val="0"/>
        </w:rPr>
        <w:t>mode of being</w:t>
      </w:r>
      <w:r>
        <w:t>”</w:t>
      </w:r>
      <w:r>
        <w:rPr>
          <w:b w:val="0"/>
          <w:i w:val="0"/>
        </w:rPr>
        <w:t xml:space="preserve"> in II.7.8 corrects the preceding compressed wording.</w:t>
      </w:r>
    </w:p>
    <w:p>
      <w:pPr>
        <w:widowControl/>
      </w:pPr>
      <w:r>
        <w:rPr>
          <w:b w:val="0"/>
          <w:i w:val="0"/>
        </w:rPr>
        <w:t xml:space="preserve">The supplied I.5.9 reads </w:t>
      </w:r>
      <w:r>
        <w:rPr>
          <w:b w:val="0"/>
          <w:i/>
        </w:rPr>
        <w:t>dum admittit statum</w:t>
      </w:r>
      <w:r>
        <w:rPr>
          <w:b w:val="0"/>
          <w:i w:val="0"/>
        </w:rPr>
        <w:t xml:space="preserve"> and translates </w:t>
      </w:r>
      <w:r>
        <w:t>“</w:t>
      </w:r>
      <w:r>
        <w:rPr>
          <w:b w:val="0"/>
          <w:i w:val="0"/>
        </w:rPr>
        <w:t>when it admits a state of rest.</w:t>
      </w:r>
      <w:r>
        <w:t>”</w:t>
      </w:r>
      <w:r>
        <w:rPr>
          <w:b w:val="0"/>
          <w:i w:val="0"/>
        </w:rPr>
        <w:t xml:space="preserve"> The supplied apparatus explains this as a state of rest: a thing without persistence loses motion rather than changes while resting (PDF 362). Preserve that supplied reading and explanation; do not silently substitute a conjecture about </w:t>
      </w:r>
      <w:r>
        <w:t>“</w:t>
      </w:r>
      <w:r>
        <w:rPr>
          <w:b w:val="0"/>
          <w:i w:val="0"/>
        </w:rPr>
        <w:t>losing</w:t>
      </w:r>
      <w:r>
        <w:t>”</w:t>
      </w:r>
      <w:r>
        <w:rPr>
          <w:b w:val="0"/>
          <w:i w:val="0"/>
        </w:rPr>
        <w:t xml:space="preserve"> stability. The clear preceding argument is that total lack of persistence would preclude continued motion.</w:t>
      </w:r>
    </w:p>
    <w:p>
      <w:pPr>
        <w:keepNext/>
        <w:widowControl/>
      </w:pPr>
      <w:r>
        <w:rPr>
          <w:b/>
          <w:i w:val="0"/>
        </w:rPr>
        <w:t>See also.</w:t>
      </w:r>
    </w:p>
    <w:p>
      <w:pPr>
        <w:widowControl/>
      </w:pPr>
      <w:hyperlink w:anchor="act-and-operation">
        <w:r>
          <w:rPr>
            <w:color w:val="000000"/>
          </w:rPr>
          <w:t xml:space="preserve">Act and operation</w:t>
        </w:r>
      </w:hyperlink>
      <w:r>
        <w:rPr>
          <w:b w:val="0"/>
          <w:i w:val="0"/>
        </w:rPr>
        <w:t xml:space="preserve">; </w:t>
      </w:r>
      <w:hyperlink w:anchor="eternity-and-time">
        <w:r>
          <w:rPr>
            <w:color w:val="000000"/>
          </w:rPr>
          <w:t xml:space="preserve">Eternity and time</w:t>
        </w:r>
      </w:hyperlink>
      <w:r>
        <w:rPr>
          <w:b w:val="0"/>
          <w:i w:val="0"/>
        </w:rPr>
        <w:t xml:space="preserve">; </w:t>
      </w:r>
      <w:hyperlink w:anchor="soul">
        <w:r>
          <w:rPr>
            <w:color w:val="000000"/>
          </w:rPr>
          <w:t xml:space="preserve">Soul</w:t>
        </w:r>
      </w:hyperlink>
      <w:r>
        <w:rPr>
          <w:b w:val="0"/>
          <w:i w:val="0"/>
        </w:rPr>
        <w:t xml:space="preserve">; </w:t>
      </w:r>
      <w:hyperlink w:anchor="angel">
        <w:r>
          <w:rPr>
            <w:color w:val="000000"/>
          </w:rPr>
          <w:t xml:space="preserve">Angel</w:t>
        </w:r>
      </w:hyperlink>
      <w:r>
        <w:rPr>
          <w:b w:val="0"/>
          <w:i w:val="0"/>
        </w:rPr>
        <w:t xml:space="preserve">; </w:t>
      </w:r>
      <w:hyperlink w:anchor="order-and-harmony">
        <w:r>
          <w:rPr>
            <w:color w:val="000000"/>
          </w:rPr>
          <w:t xml:space="preserve">Order and harmony</w:t>
        </w:r>
      </w:hyperlink>
      <w:r>
        <w:rPr>
          <w:b w:val="0"/>
          <w:i w:val="0"/>
        </w:rPr>
        <w:t xml:space="preserve">; </w:t>
      </w:r>
      <w:hyperlink w:anchor="principle">
        <w:r>
          <w:rPr>
            <w:color w:val="000000"/>
          </w:rPr>
          <w:t xml:space="preserve">Principle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unity-and-multiplicity">
        <w:r>
          <w:rPr>
            <w:color w:val="000000"/>
          </w:rPr>
          <w:t xml:space="preserve">Unity and multiplicity</w:t>
        </w:r>
      </w:hyperlink>
      <w:r>
        <w:rPr>
          <w:b w:val="0"/>
          <w:i w:val="0"/>
        </w:rPr>
        <w:t xml:space="preserve">; </w:t>
      </w:r>
      <w:hyperlink w:anchor="good-and-goodness">
        <w:r>
          <w:rPr>
            <w:color w:val="000000"/>
          </w:rPr>
          <w:t xml:space="preserve">Good and goodness</w:t>
        </w:r>
      </w:hyperlink>
      <w:r>
        <w:rPr>
          <w:b w:val="0"/>
          <w:i w:val="0"/>
        </w:rPr>
        <w:t xml:space="preserve">; </w:t>
      </w:r>
      <w:hyperlink w:anchor="essence-and-substance">
        <w:r>
          <w:rPr>
            <w:color w:val="000000"/>
          </w:rPr>
          <w:t xml:space="preserve">Essence and substance</w:t>
        </w:r>
      </w:hyperlink>
      <w:r>
        <w:rPr>
          <w:b w:val="0"/>
          <w:i w:val="0"/>
        </w:rPr>
        <w:t xml:space="preserve">; </w:t>
      </w:r>
      <w:hyperlink w:anchor="freedom-and-necessity">
        <w:r>
          <w:rPr>
            <w:color w:val="000000"/>
          </w:rPr>
          <w:t xml:space="preserve">Freedom and necessity</w:t>
        </w:r>
      </w:hyperlink>
      <w:r>
        <w:rPr>
          <w:b w:val="0"/>
          <w:i w:val="0"/>
        </w:rPr>
        <w:t xml:space="preserve">; </w:t>
      </w:r>
      <w:hyperlink w:anchor="circularity-and-return">
        <w:r>
          <w:rPr>
            <w:color w:val="000000"/>
          </w:rPr>
          <w:t xml:space="preserve">Circularity and return</w:t>
        </w:r>
      </w:hyperlink>
      <w:r>
        <w:rPr>
          <w:b w:val="0"/>
          <w:i w:val="0"/>
        </w:rPr>
        <w:t xml:space="preserve">; </w:t>
      </w:r>
      <w:hyperlink w:anchor="degree-and-mediation">
        <w:r>
          <w:rPr>
            <w:color w:val="000000"/>
          </w:rPr>
          <w:t xml:space="preserve">Degree and mediation</w:t>
        </w:r>
      </w:hyperlink>
      <w:r>
        <w:rPr>
          <w:b w:val="0"/>
          <w:i w:val="0"/>
        </w:rPr>
        <w:t xml:space="preserve">; </w:t>
      </w:r>
      <w:hyperlink w:anchor="number">
        <w:r>
          <w:rPr>
            <w:color w:val="000000"/>
          </w:rPr>
          <w:t xml:space="preserve">Number</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end-and-limit">
        <w:r>
          <w:rPr>
            <w:color w:val="000000"/>
          </w:rPr>
          <w:t xml:space="preserve">End and limit</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procession-and-return">
        <w:r>
          <w:rPr>
            <w:color w:val="000000"/>
          </w:rPr>
          <w:t xml:space="preserve">Procession and return</w:t>
        </w:r>
      </w:hyperlink>
    </w:p>
    <w:p>
      <w:pPr>
        <w:widowControl/>
      </w:pPr>
      <w:hyperlink w:anchor="permanence-and-the-hour-test">
        <w:r>
          <w:rPr>
            <w:color w:val="000000"/>
          </w:rPr>
          <w:t xml:space="preserve">Permanence and the hour test</w:t>
        </w:r>
      </w:hyperlink>
      <w:r>
        <w:rPr>
          <w:b w:val="0"/>
          <w:i w:val="0"/>
        </w:rPr>
        <w:t xml:space="preserve">; </w:t>
      </w:r>
      <w:hyperlink w:anchor="eternity-and-time">
        <w:r>
          <w:rPr>
            <w:color w:val="000000"/>
          </w:rPr>
          <w:t xml:space="preserve">Eternity and time</w:t>
        </w:r>
      </w:hyperlink>
      <w:r>
        <w:rPr>
          <w:b w:val="0"/>
          <w:i w:val="0"/>
        </w:rPr>
        <w:t xml:space="preserve">; </w:t>
      </w:r>
      <w:hyperlink w:anchor="act-and-operation">
        <w:r>
          <w:rPr>
            <w:color w:val="000000"/>
          </w:rPr>
          <w:t xml:space="preserve">Act and operation</w:t>
        </w:r>
      </w:hyperlink>
      <w:r>
        <w:rPr>
          <w:b w:val="0"/>
          <w:i w:val="0"/>
        </w:rPr>
        <w:t>.</w:t>
      </w:r>
    </w:p>
    <w:p>
      <w:bookmarkStart w:id="151" w:name="naming-and-defining"/>
      <w:pPr>
        <w:pStyle w:val="Heading2"/>
      </w:pPr>
      <w:r>
        <w:rPr>
          <w:b w:val="0"/>
          <w:i w:val="0"/>
        </w:rPr>
        <w:t>Naming and defining</w:t>
      </w:r>
      <w:bookmarkEnd w:id="151"/>
    </w:p>
    <w:p>
      <w:pPr>
        <w:keepNext/>
        <w:widowControl/>
      </w:pPr>
      <w:r>
        <w:rPr>
          <w:b/>
          <w:i w:val="0"/>
        </w:rPr>
        <w:t>Latin:</w:t>
      </w:r>
      <w:r>
        <w:rPr>
          <w:b w:val="0"/>
          <w:i w:val="0"/>
        </w:rPr>
        <w:t xml:space="preserve"> </w:t>
      </w:r>
      <w:r>
        <w:rPr>
          <w:b w:val="0"/>
          <w:i/>
        </w:rPr>
        <w:t>appellamus</w:t>
      </w:r>
      <w:r>
        <w:rPr>
          <w:b w:val="0"/>
          <w:i w:val="0"/>
        </w:rPr>
        <w:t xml:space="preserve">; </w:t>
      </w:r>
      <w:r>
        <w:rPr>
          <w:b w:val="0"/>
          <w:i/>
        </w:rPr>
        <w:t>vocatur</w:t>
      </w:r>
      <w:r>
        <w:rPr>
          <w:b w:val="0"/>
          <w:i w:val="0"/>
        </w:rPr>
        <w:t xml:space="preserve">; </w:t>
      </w:r>
      <w:r>
        <w:rPr>
          <w:b w:val="0"/>
          <w:i/>
        </w:rPr>
        <w:t>nuncuparetur</w:t>
      </w:r>
      <w:r>
        <w:rPr>
          <w:b w:val="0"/>
          <w:i w:val="0"/>
        </w:rPr>
        <w:t xml:space="preserve">; </w:t>
      </w:r>
      <w:r>
        <w:rPr>
          <w:b w:val="0"/>
          <w:i/>
        </w:rPr>
        <w:t>nominatur</w:t>
      </w:r>
      <w:r>
        <w:rPr>
          <w:b w:val="0"/>
          <w:i w:val="0"/>
        </w:rPr>
        <w:t xml:space="preserve">; </w:t>
      </w:r>
      <w:r>
        <w:rPr>
          <w:b w:val="0"/>
          <w:i/>
        </w:rPr>
        <w:t>definitionem</w:t>
      </w:r>
      <w:r>
        <w:rPr>
          <w:b w:val="0"/>
          <w:i w:val="0"/>
        </w:rPr>
        <w:t xml:space="preserve">; </w:t>
      </w:r>
      <w:r>
        <w:rPr>
          <w:b w:val="0"/>
          <w:i/>
        </w:rPr>
        <w:t>haud propria omnino ratione</w:t>
      </w:r>
      <w:r>
        <w:rPr>
          <w:b w:val="0"/>
          <w:i w:val="0"/>
        </w:rPr>
        <w:t>.</w:t>
      </w:r>
    </w:p>
    <w:p>
      <w:pPr>
        <w:keepNext/>
        <w:widowControl/>
      </w:pPr>
      <w:r>
        <w:rPr>
          <w:b/>
          <w:i w:val="0"/>
        </w:rPr>
        <w:t>The word.</w:t>
      </w:r>
    </w:p>
    <w:p>
      <w:pPr>
        <w:widowControl/>
      </w:pPr>
      <w:r>
        <w:rPr>
          <w:b w:val="0"/>
          <w:i/>
        </w:rPr>
        <w:t>Appellare</w:t>
      </w:r>
      <w:r>
        <w:rPr>
          <w:b w:val="0"/>
          <w:i w:val="0"/>
        </w:rPr>
        <w:t xml:space="preserve">, </w:t>
      </w:r>
      <w:r>
        <w:rPr>
          <w:b w:val="0"/>
          <w:i/>
        </w:rPr>
        <w:t>vocare</w:t>
      </w:r>
      <w:r>
        <w:rPr>
          <w:b w:val="0"/>
          <w:i w:val="0"/>
        </w:rPr>
        <w:t xml:space="preserve">, </w:t>
      </w:r>
      <w:r>
        <w:rPr>
          <w:b w:val="0"/>
          <w:i/>
        </w:rPr>
        <w:t>nominare</w:t>
      </w:r>
      <w:r>
        <w:rPr>
          <w:b w:val="0"/>
          <w:i w:val="0"/>
        </w:rPr>
        <w:t xml:space="preserve"> and </w:t>
      </w:r>
      <w:r>
        <w:rPr>
          <w:b w:val="0"/>
          <w:i/>
        </w:rPr>
        <w:t>nuncupare</w:t>
      </w:r>
      <w:r>
        <w:rPr>
          <w:b w:val="0"/>
          <w:i w:val="0"/>
        </w:rPr>
        <w:t xml:space="preserve"> name or call something; they do not invariably announce a strict definition. </w:t>
      </w:r>
      <w:r>
        <w:rPr>
          <w:b w:val="0"/>
          <w:i/>
        </w:rPr>
        <w:t>Definitio</w:t>
      </w:r>
      <w:r>
        <w:rPr>
          <w:b w:val="0"/>
          <w:i w:val="0"/>
        </w:rPr>
        <w:t xml:space="preserve"> explicitly introduces a definition. </w:t>
      </w:r>
      <w:r>
        <w:rPr>
          <w:b w:val="0"/>
          <w:i/>
        </w:rPr>
        <w:t>Propria ratione</w:t>
      </w:r>
      <w:r>
        <w:rPr>
          <w:b w:val="0"/>
          <w:i w:val="0"/>
        </w:rPr>
        <w:t xml:space="preserve"> concerns whether a name applies in its proper sense.</w:t>
      </w:r>
    </w:p>
    <w:p>
      <w:pPr>
        <w:keepNext/>
        <w:widowControl/>
      </w:pPr>
      <w:r>
        <w:rPr>
          <w:b/>
          <w:i w:val="0"/>
        </w:rPr>
        <w:t>In the Platonic Theology.</w:t>
      </w:r>
    </w:p>
    <w:p>
      <w:pPr>
        <w:widowControl/>
      </w:pPr>
      <w:r>
        <w:rPr>
          <w:b w:val="0"/>
          <w:i w:val="0"/>
        </w:rPr>
        <w:t xml:space="preserve">Ficino marks a convention when he says that </w:t>
      </w:r>
      <w:r>
        <w:t>“</w:t>
      </w:r>
      <w:r>
        <w:rPr>
          <w:b w:val="0"/>
          <w:i w:val="0"/>
        </w:rPr>
        <w:t>in Platonic usage</w:t>
      </w:r>
      <w:r>
        <w:t>”</w:t>
      </w:r>
      <w:r>
        <w:rPr>
          <w:b w:val="0"/>
          <w:i w:val="0"/>
        </w:rPr>
        <w:t xml:space="preserve"> every form divided in body is called quality. He separately reports that natural philosophers often call form act. Later the form attributed to Proclus is explicitly defined as that by which something exists and acts distinctly and actually; the argument examines what is and is not included in that wording. The naming of rational soul is prospective: the third essence </w:t>
      </w:r>
      <w:r>
        <w:t>“</w:t>
      </w:r>
      <w:r>
        <w:rPr>
          <w:b w:val="0"/>
          <w:i w:val="0"/>
        </w:rPr>
        <w:t>we shall call</w:t>
      </w:r>
      <w:r>
        <w:t>”</w:t>
      </w:r>
      <w:r>
        <w:rPr>
          <w:b w:val="0"/>
          <w:i w:val="0"/>
        </w:rPr>
        <w:t xml:space="preserve"> rational soul receives fuller treatment later. At the top of the ascent, naming becomes qualified. Some prefer </w:t>
      </w:r>
      <w:r>
        <w:t>“</w:t>
      </w:r>
      <w:r>
        <w:rPr>
          <w:b w:val="0"/>
          <w:i w:val="0"/>
        </w:rPr>
        <w:t>intelligible</w:t>
      </w:r>
      <w:r>
        <w:t>”</w:t>
      </w:r>
      <w:r>
        <w:rPr>
          <w:b w:val="0"/>
          <w:i w:val="0"/>
        </w:rPr>
        <w:t xml:space="preserve"> or </w:t>
      </w:r>
      <w:r>
        <w:t>“</w:t>
      </w:r>
      <w:r>
        <w:rPr>
          <w:b w:val="0"/>
          <w:i w:val="0"/>
        </w:rPr>
        <w:t>intellection</w:t>
      </w:r>
      <w:r>
        <w:t>”</w:t>
      </w:r>
      <w:r>
        <w:rPr>
          <w:b w:val="0"/>
          <w:i w:val="0"/>
        </w:rPr>
        <w:t xml:space="preserve"> to </w:t>
      </w:r>
      <w:r>
        <w:t>“</w:t>
      </w:r>
      <w:r>
        <w:rPr>
          <w:b w:val="0"/>
          <w:i w:val="0"/>
        </w:rPr>
        <w:t>intellect</w:t>
      </w:r>
      <w:r>
        <w:t>”</w:t>
      </w:r>
      <w:r>
        <w:rPr>
          <w:b w:val="0"/>
          <w:i w:val="0"/>
        </w:rPr>
        <w:t xml:space="preserve"> for God, but Ficino adds that even these do not apply altogether properly. A useful lexicon must therefore retain the difference between a local convention, an attributed definition, a promised identification and a deliberately imperfect divine name.</w:t>
      </w:r>
    </w:p>
    <w:p>
      <w:pPr>
        <w:keepNext/>
        <w:widowControl/>
      </w:pPr>
      <w:r>
        <w:rPr>
          <w:b/>
          <w:i w:val="0"/>
        </w:rPr>
        <w:t>The places.</w:t>
      </w:r>
    </w:p>
    <w:p>
      <w:pPr>
        <w:ind w:left="187" w:hanging="187"/>
      </w:pPr>
      <w:r>
        <w:t xml:space="preserve">• </w:t>
      </w:r>
      <w:r>
        <w:rPr>
          <w:b/>
          <w:i w:val="0"/>
        </w:rPr>
        <w:t>Proem.3, PDF 6–7.</w:t>
      </w:r>
      <w:r>
        <w:rPr>
          <w:b w:val="0"/>
          <w:i w:val="0"/>
        </w:rPr>
        <w:t xml:space="preserve"> Ficino explains why Plato was called divine and his teaching theology</w:t>
      </w:r>
    </w:p>
    <w:p>
      <w:pPr>
        <w:ind w:left="187" w:hanging="187"/>
      </w:pPr>
      <w:r>
        <w:t xml:space="preserve">• </w:t>
      </w:r>
      <w:r>
        <w:rPr>
          <w:b/>
          <w:i w:val="0"/>
        </w:rPr>
        <w:t>I.3.1, PDF 28–29.</w:t>
      </w:r>
      <w:r>
        <w:rPr>
          <w:b w:val="0"/>
          <w:i w:val="0"/>
        </w:rPr>
        <w:t xml:space="preserve"> Platonic </w:t>
      </w:r>
      <w:r>
        <w:t>“</w:t>
      </w:r>
      <w:r>
        <w:rPr>
          <w:b w:val="0"/>
          <w:i w:val="0"/>
        </w:rPr>
        <w:t>quality</w:t>
      </w:r>
      <w:r>
        <w:t>”</w:t>
      </w:r>
      <w:r>
        <w:rPr>
          <w:b w:val="0"/>
          <w:i w:val="0"/>
        </w:rPr>
        <w:t xml:space="preserve"> and the natural philosophers’ </w:t>
      </w:r>
      <w:r>
        <w:t>“</w:t>
      </w:r>
      <w:r>
        <w:rPr>
          <w:b w:val="0"/>
          <w:i w:val="0"/>
        </w:rPr>
        <w:t>act</w:t>
      </w:r>
      <w:r>
        <w:t>”</w:t>
      </w:r>
      <w:r>
        <w:rPr>
          <w:b w:val="0"/>
          <w:i w:val="0"/>
        </w:rPr>
        <w:t xml:space="preserve"> are marked usages</w:t>
      </w:r>
    </w:p>
    <w:p>
      <w:pPr>
        <w:ind w:left="187" w:hanging="187"/>
      </w:pPr>
      <w:r>
        <w:t xml:space="preserve">• </w:t>
      </w:r>
      <w:r>
        <w:rPr>
          <w:b/>
          <w:i w:val="0"/>
        </w:rPr>
        <w:t>I.3.28, PDF 48–49.</w:t>
      </w:r>
      <w:r>
        <w:rPr>
          <w:b w:val="0"/>
          <w:i w:val="0"/>
        </w:rPr>
        <w:t xml:space="preserve"> Proclus’s definition of form is tested for its implications</w:t>
      </w:r>
    </w:p>
    <w:p>
      <w:pPr>
        <w:ind w:left="187" w:hanging="187"/>
      </w:pPr>
      <w:r>
        <w:t xml:space="preserve">• </w:t>
      </w:r>
      <w:r>
        <w:rPr>
          <w:b/>
          <w:i w:val="0"/>
        </w:rPr>
        <w:t>I.3.33, PDF 52–53.</w:t>
      </w:r>
      <w:r>
        <w:rPr>
          <w:b w:val="0"/>
          <w:i w:val="0"/>
        </w:rPr>
        <w:t xml:space="preserve"> The third essence is named before the promised fuller account</w:t>
      </w:r>
    </w:p>
    <w:p>
      <w:pPr>
        <w:ind w:left="187" w:hanging="187"/>
      </w:pPr>
      <w:r>
        <w:t xml:space="preserve">• </w:t>
      </w:r>
      <w:r>
        <w:rPr>
          <w:b/>
          <w:i w:val="0"/>
        </w:rPr>
        <w:t>I.6.13, PDF 90–91.</w:t>
      </w:r>
      <w:r>
        <w:rPr>
          <w:b w:val="0"/>
          <w:i w:val="0"/>
        </w:rPr>
        <w:t xml:space="preserve"> The names applied to God receive an explicit propriety qualification</w:t>
      </w:r>
    </w:p>
    <w:p>
      <w:pPr>
        <w:keepNext/>
        <w:widowControl/>
      </w:pPr>
      <w:r>
        <w:rPr>
          <w:b/>
          <w:i w:val="0"/>
        </w:rPr>
        <w:t>In this edition.</w:t>
      </w:r>
    </w:p>
    <w:p>
      <w:pPr>
        <w:widowControl/>
      </w:pPr>
      <w:r>
        <w:rPr>
          <w:b w:val="0"/>
          <w:i w:val="0"/>
        </w:rPr>
        <w:t xml:space="preserve">English </w:t>
      </w:r>
      <w:r>
        <w:t>“</w:t>
      </w:r>
      <w:r>
        <w:rPr>
          <w:b w:val="0"/>
          <w:i w:val="0"/>
        </w:rPr>
        <w:t>call</w:t>
      </w:r>
      <w:r>
        <w:t>”</w:t>
      </w:r>
      <w:r>
        <w:rPr>
          <w:b w:val="0"/>
          <w:i w:val="0"/>
        </w:rPr>
        <w:t xml:space="preserve"> can hide different speech acts. </w:t>
      </w:r>
      <w:r>
        <w:rPr>
          <w:b w:val="0"/>
          <w:i/>
        </w:rPr>
        <w:t>Haud propria omnino ratione</w:t>
      </w:r>
      <w:r>
        <w:rPr>
          <w:b w:val="0"/>
          <w:i w:val="0"/>
        </w:rPr>
        <w:t xml:space="preserve"> must not disappear when the divine names are indexed, and </w:t>
      </w:r>
      <w:r>
        <w:t>“</w:t>
      </w:r>
      <w:r>
        <w:rPr>
          <w:b w:val="0"/>
          <w:i w:val="0"/>
        </w:rPr>
        <w:t>as I might put it</w:t>
      </w:r>
      <w:r>
        <w:t>”</w:t>
      </w:r>
      <w:r>
        <w:rPr>
          <w:b w:val="0"/>
          <w:i w:val="0"/>
        </w:rPr>
        <w:t xml:space="preserve"> in I.3.4 similarly signals a qualified description rather than an unconditional new definition.</w:t>
      </w:r>
    </w:p>
    <w:p>
      <w:pPr>
        <w:keepNext/>
        <w:widowControl/>
      </w:pPr>
      <w:r>
        <w:rPr>
          <w:b/>
          <w:i w:val="0"/>
        </w:rPr>
        <w:t>See also.</w:t>
      </w:r>
    </w:p>
    <w:p>
      <w:pPr>
        <w:widowControl/>
      </w:pPr>
      <w:hyperlink w:anchor="form">
        <w:r>
          <w:rPr>
            <w:color w:val="000000"/>
          </w:rPr>
          <w:t xml:space="preserve">Form</w:t>
        </w:r>
      </w:hyperlink>
      <w:r>
        <w:rPr>
          <w:b w:val="0"/>
          <w:i w:val="0"/>
        </w:rPr>
        <w:t xml:space="preserve">; </w:t>
      </w:r>
      <w:hyperlink w:anchor="quality">
        <w:r>
          <w:rPr>
            <w:color w:val="000000"/>
          </w:rPr>
          <w:t xml:space="preserve">Quality</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proof-signs-and-qualification">
        <w:r>
          <w:rPr>
            <w:color w:val="000000"/>
          </w:rPr>
          <w:t xml:space="preserve">Proof, signs and qualification</w:t>
        </w:r>
      </w:hyperlink>
      <w:r>
        <w:rPr>
          <w:b w:val="0"/>
          <w:i w:val="0"/>
        </w:rPr>
        <w:t>.</w:t>
      </w:r>
    </w:p>
    <w:p>
      <w:bookmarkStart w:id="152" w:name="naming-by-cause"/>
      <w:pPr>
        <w:pStyle w:val="Heading2"/>
      </w:pPr>
      <w:r>
        <w:rPr>
          <w:b w:val="0"/>
          <w:i w:val="0"/>
        </w:rPr>
        <w:t>Naming by cause</w:t>
      </w:r>
      <w:bookmarkEnd w:id="152"/>
    </w:p>
    <w:p>
      <w:pPr>
        <w:keepNext/>
        <w:widowControl/>
      </w:pPr>
      <w:r>
        <w:rPr>
          <w:b/>
          <w:i w:val="0"/>
        </w:rPr>
        <w:t>Latin:</w:t>
      </w:r>
      <w:r>
        <w:rPr>
          <w:b w:val="0"/>
          <w:i w:val="0"/>
        </w:rPr>
        <w:t xml:space="preserve"> nomen tribuimus; appellationes; secundum causam; per formam; proprie; mens mentium; lumen luminum</w:t>
      </w:r>
    </w:p>
    <w:p>
      <w:pPr>
        <w:keepNext/>
        <w:widowControl/>
      </w:pPr>
      <w:r>
        <w:rPr>
          <w:b/>
          <w:i w:val="0"/>
        </w:rPr>
        <w:t>The word.</w:t>
      </w:r>
    </w:p>
    <w:p>
      <w:pPr>
        <w:widowControl/>
      </w:pPr>
      <w:r>
        <w:rPr>
          <w:b w:val="0"/>
          <w:i w:val="0"/>
        </w:rPr>
        <w:t>Tribuere a name is to attribute it; appellationes are designations. Secundum causam means with respect to cause, in contrast here to per formam, according to the form itself. Proprie marks the application regarded as proper or strict.</w:t>
      </w:r>
    </w:p>
    <w:p>
      <w:pPr>
        <w:keepNext/>
        <w:widowControl/>
      </w:pPr>
      <w:r>
        <w:rPr>
          <w:b/>
          <w:i w:val="0"/>
        </w:rPr>
        <w:t>In the Platonic Theology.</w:t>
      </w:r>
    </w:p>
    <w:p>
      <w:pPr>
        <w:widowControl/>
      </w:pPr>
      <w:r>
        <w:rPr>
          <w:b w:val="0"/>
          <w:i w:val="0"/>
        </w:rPr>
        <w:t xml:space="preserve">After arguing that God understands, Ficino qualifies the names intellect and intelligence. Angel is properly mind; God is above the genus of minds. Calling God mind therefore need not classify him as another member of that genus. He is </w:t>
      </w:r>
      <w:r>
        <w:t>“</w:t>
      </w:r>
      <w:r>
        <w:rPr>
          <w:b w:val="0"/>
          <w:i w:val="0"/>
        </w:rPr>
        <w:t>mind of minds</w:t>
      </w:r>
      <w:r>
        <w:t>”</w:t>
      </w:r>
      <w:r>
        <w:rPr>
          <w:b w:val="0"/>
          <w:i w:val="0"/>
        </w:rPr>
        <w:t xml:space="preserve"> and </w:t>
      </w:r>
      <w:r>
        <w:t>“</w:t>
      </w:r>
      <w:r>
        <w:rPr>
          <w:b w:val="0"/>
          <w:i w:val="0"/>
        </w:rPr>
        <w:t>light of lights,</w:t>
      </w:r>
      <w:r>
        <w:t>”</w:t>
      </w:r>
      <w:r>
        <w:rPr>
          <w:b w:val="0"/>
          <w:i w:val="0"/>
        </w:rPr>
        <w:t xml:space="preserve"> the source of the perfection named.</w:t>
      </w:r>
    </w:p>
    <w:p>
      <w:pPr>
        <w:widowControl/>
      </w:pPr>
      <w:r>
        <w:rPr>
          <w:b w:val="0"/>
          <w:i w:val="0"/>
        </w:rPr>
        <w:t xml:space="preserve">The qualification neither retracts divine knowledge nor simply makes it ordinary creaturely cognition magnified. The next sentence says God understands in a mode above intelligence and proceeds to argue that he knows individual things. This lexical caution should govern every later use of </w:t>
      </w:r>
      <w:r>
        <w:t>“</w:t>
      </w:r>
      <w:r>
        <w:rPr>
          <w:b w:val="0"/>
          <w:i w:val="0"/>
        </w:rPr>
        <w:t>divine mind</w:t>
      </w:r>
      <w:r>
        <w:t>”</w:t>
      </w:r>
      <w:r>
        <w:rPr>
          <w:b w:val="0"/>
          <w:i w:val="0"/>
        </w:rPr>
        <w:t>: the author can use the name while denying that its mode is exactly the one found in an angel or human intellect.</w:t>
      </w:r>
    </w:p>
    <w:p>
      <w:pPr>
        <w:keepNext/>
        <w:widowControl/>
      </w:pPr>
      <w:r>
        <w:rPr>
          <w:b/>
          <w:i w:val="0"/>
        </w:rPr>
        <w:t>The places.</w:t>
      </w:r>
    </w:p>
    <w:p>
      <w:pPr>
        <w:ind w:left="187" w:hanging="187"/>
      </w:pPr>
      <w:r>
        <w:t xml:space="preserve">• </w:t>
      </w:r>
      <w:r>
        <w:rPr>
          <w:b w:val="0"/>
          <w:i w:val="0"/>
        </w:rPr>
        <w:t>II.9.6 (PDF pp. 166–167): Cognition is affirmed as intelligence or something higher than intelligence</w:t>
      </w:r>
    </w:p>
    <w:p>
      <w:pPr>
        <w:ind w:left="187" w:hanging="187"/>
      </w:pPr>
      <w:r>
        <w:t xml:space="preserve">• </w:t>
      </w:r>
      <w:r>
        <w:rPr>
          <w:b w:val="0"/>
          <w:i w:val="0"/>
        </w:rPr>
        <w:t>II.9.12, II.9.13 (PDF pp. 168–169): Causal naming is distinguished from the form proper to angelic mind</w:t>
      </w:r>
    </w:p>
    <w:p>
      <w:pPr>
        <w:keepNext/>
        <w:widowControl/>
      </w:pPr>
      <w:r>
        <w:rPr>
          <w:b/>
          <w:i w:val="0"/>
        </w:rPr>
        <w:t>In this edition.</w:t>
      </w:r>
    </w:p>
    <w:p>
      <w:pPr>
        <w:widowControl/>
      </w:pPr>
      <w:r>
        <w:rPr>
          <w:b w:val="0"/>
          <w:i w:val="0"/>
        </w:rPr>
        <w:t xml:space="preserve">The supplied </w:t>
      </w:r>
      <w:r>
        <w:t>“</w:t>
      </w:r>
      <w:r>
        <w:rPr>
          <w:b w:val="0"/>
          <w:i w:val="0"/>
        </w:rPr>
        <w:t>in respect of cause rather than form</w:t>
      </w:r>
      <w:r>
        <w:t>”</w:t>
      </w:r>
      <w:r>
        <w:rPr>
          <w:b w:val="0"/>
          <w:i w:val="0"/>
        </w:rPr>
        <w:t xml:space="preserve"> retains the explicit contrast. It should not be replaced by an unexplained modern theological label as though that label were Ficino’s wording.</w:t>
      </w:r>
    </w:p>
    <w:p>
      <w:pPr>
        <w:keepNext/>
        <w:widowControl/>
      </w:pPr>
      <w:r>
        <w:rPr>
          <w:b/>
          <w:i w:val="0"/>
        </w:rPr>
        <w:t>See also.</w:t>
      </w:r>
    </w:p>
    <w:p>
      <w:pPr>
        <w:widowControl/>
      </w:pPr>
      <w:hyperlink w:anchor="god">
        <w:r>
          <w:rPr>
            <w:color w:val="000000"/>
          </w:rPr>
          <w:t xml:space="preserve">God</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mind">
        <w:r>
          <w:rPr>
            <w:color w:val="000000"/>
          </w:rPr>
          <w:t xml:space="preserve">Mind</w:t>
        </w:r>
      </w:hyperlink>
      <w:r>
        <w:rPr>
          <w:b w:val="0"/>
          <w:i w:val="0"/>
        </w:rPr>
        <w:t xml:space="preserve">; </w:t>
      </w:r>
      <w:hyperlink w:anchor="common-and-proper">
        <w:r>
          <w:rPr>
            <w:color w:val="000000"/>
          </w:rPr>
          <w:t xml:space="preserve">Common and proper</w:t>
        </w:r>
      </w:hyperlink>
      <w:r>
        <w:rPr>
          <w:b w:val="0"/>
          <w:i w:val="0"/>
        </w:rPr>
        <w:t>.</w:t>
      </w:r>
    </w:p>
    <w:p>
      <w:bookmarkStart w:id="153" w:name="natural-motion-and-natural-place"/>
      <w:pPr>
        <w:pStyle w:val="Heading2"/>
      </w:pPr>
      <w:r>
        <w:rPr>
          <w:b w:val="0"/>
          <w:i w:val="0"/>
        </w:rPr>
        <w:t>Natural motion and natural place</w:t>
      </w:r>
      <w:bookmarkEnd w:id="153"/>
    </w:p>
    <w:p>
      <w:pPr>
        <w:keepNext/>
        <w:widowControl/>
      </w:pPr>
      <w:r>
        <w:rPr>
          <w:b/>
          <w:i w:val="0"/>
        </w:rPr>
        <w:t>Latin:</w:t>
      </w:r>
      <w:r>
        <w:rPr>
          <w:b w:val="0"/>
          <w:i w:val="0"/>
        </w:rPr>
        <w:t xml:space="preserve"> </w:t>
      </w:r>
      <w:r>
        <w:rPr>
          <w:b w:val="0"/>
          <w:i/>
        </w:rPr>
        <w:t>motus naturalis</w:t>
      </w:r>
      <w:r>
        <w:rPr>
          <w:b w:val="0"/>
          <w:i w:val="0"/>
        </w:rPr>
        <w:t xml:space="preserve">; </w:t>
      </w:r>
      <w:r>
        <w:rPr>
          <w:b w:val="0"/>
          <w:i/>
        </w:rPr>
        <w:t>locus naturalis</w:t>
      </w:r>
      <w:r>
        <w:rPr>
          <w:b w:val="0"/>
          <w:i w:val="0"/>
        </w:rPr>
        <w:t xml:space="preserve">; </w:t>
      </w:r>
      <w:r>
        <w:rPr>
          <w:b w:val="0"/>
          <w:i/>
        </w:rPr>
        <w:t>restitutio</w:t>
      </w:r>
      <w:r>
        <w:rPr>
          <w:b w:val="0"/>
          <w:i w:val="0"/>
        </w:rPr>
        <w:t xml:space="preserve">; </w:t>
      </w:r>
      <w:r>
        <w:rPr>
          <w:b w:val="0"/>
          <w:i/>
        </w:rPr>
        <w:t>ascensus</w:t>
      </w:r>
      <w:r>
        <w:rPr>
          <w:b w:val="0"/>
          <w:i w:val="0"/>
        </w:rPr>
        <w:t xml:space="preserve">; </w:t>
      </w:r>
      <w:r>
        <w:rPr>
          <w:b w:val="0"/>
          <w:i/>
        </w:rPr>
        <w:t>descensus</w:t>
      </w:r>
      <w:r>
        <w:rPr>
          <w:b w:val="0"/>
          <w:i w:val="0"/>
        </w:rPr>
        <w:t xml:space="preserve">; </w:t>
      </w:r>
      <w:r>
        <w:rPr>
          <w:b w:val="0"/>
          <w:i/>
        </w:rPr>
        <w:t>cardo</w:t>
      </w:r>
      <w:r>
        <w:rPr>
          <w:b w:val="0"/>
          <w:i w:val="0"/>
        </w:rPr>
        <w:t>; flammula; concavum; evolaret; frueretur; scopus; instinctu; nititur</w:t>
      </w:r>
    </w:p>
    <w:p>
      <w:pPr>
        <w:keepNext/>
        <w:widowControl/>
      </w:pPr>
      <w:r>
        <w:rPr>
          <w:b/>
          <w:i w:val="0"/>
        </w:rPr>
        <w:t>The word.</w:t>
      </w:r>
    </w:p>
    <w:p>
      <w:pPr>
        <w:widowControl/>
      </w:pPr>
      <w:r>
        <w:rPr>
          <w:b w:val="0"/>
          <w:i w:val="0"/>
        </w:rPr>
        <w:t>Motus naturalis is a motion fitting a thing’s natural order; locus naturalis its proper place. Restitutio returns a displaced thing, while ascensus and descensus describe upward and downward paths. Cardo is the axis or pivot of circular movement in the relevant cosmological model.</w:t>
      </w:r>
    </w:p>
    <w:p>
      <w:pPr>
        <w:widowControl/>
      </w:pPr>
      <w:r>
        <w:rPr>
          <w:b w:val="0"/>
          <w:i w:val="0"/>
        </w:rPr>
        <w:t>Flammula is a little flame; concavum a hollow or concavity; evolare to fly up or away. Scopus is an aim, and frui to enjoy or have the use of something. Here natural orientation is extended by analogy to mind’s goal.</w:t>
      </w:r>
    </w:p>
    <w:p>
      <w:pPr>
        <w:widowControl/>
      </w:pPr>
      <w:r>
        <w:rPr>
          <w:b w:val="0"/>
          <w:i w:val="0"/>
        </w:rPr>
        <w:t xml:space="preserve">The local vocabulary includes </w:t>
      </w:r>
      <w:r>
        <w:rPr>
          <w:b w:val="0"/>
          <w:i/>
        </w:rPr>
        <w:t>cancelli</w:t>
      </w:r>
      <w:r>
        <w:rPr>
          <w:b w:val="0"/>
          <w:i w:val="0"/>
        </w:rPr>
        <w:t xml:space="preserve">, </w:t>
      </w:r>
      <w:r>
        <w:rPr>
          <w:b w:val="0"/>
          <w:i/>
        </w:rPr>
        <w:t>trames</w:t>
      </w:r>
      <w:r>
        <w:rPr>
          <w:b w:val="0"/>
          <w:i w:val="0"/>
        </w:rPr>
        <w:t xml:space="preserve">, </w:t>
      </w:r>
      <w:r>
        <w:rPr>
          <w:b w:val="0"/>
          <w:i/>
        </w:rPr>
        <w:t>restitutio</w:t>
      </w:r>
      <w:r>
        <w:rPr>
          <w:b w:val="0"/>
          <w:i w:val="0"/>
        </w:rPr>
        <w:t xml:space="preserve">, </w:t>
      </w:r>
      <w:r>
        <w:rPr>
          <w:b w:val="0"/>
          <w:i/>
        </w:rPr>
        <w:t>annixus</w:t>
      </w:r>
      <w:r>
        <w:rPr>
          <w:b w:val="0"/>
          <w:i w:val="0"/>
        </w:rPr>
        <w:t xml:space="preserve">, </w:t>
      </w:r>
      <w:r>
        <w:rPr>
          <w:b w:val="0"/>
          <w:i/>
        </w:rPr>
        <w:t>in praecipitium</w:t>
      </w:r>
      <w:r>
        <w:rPr>
          <w:b w:val="0"/>
          <w:i w:val="0"/>
        </w:rPr>
        <w:t>: bounds, path, restoration, pressing effort, and downward precipice make the argument’s spatial distinctions concrete.</w:t>
      </w:r>
    </w:p>
    <w:p>
      <w:pPr>
        <w:keepNext/>
        <w:widowControl/>
      </w:pPr>
      <w:r>
        <w:rPr>
          <w:b/>
          <w:i w:val="0"/>
        </w:rPr>
        <w:t>In the Platonic Theology.</w:t>
      </w:r>
    </w:p>
    <w:p>
      <w:pPr>
        <w:widowControl/>
      </w:pPr>
      <w:r>
        <w:rPr>
          <w:b w:val="0"/>
          <w:i w:val="0"/>
        </w:rPr>
        <w:t xml:space="preserve">Ficino distinguishes a body’s proper circuit within its own sphere from its straight-line return after displacement. Ascent and descent are therefore called restorations to natural place and motion, rather than natural motion in the strict sense. The sphere’s soul recalls detached parts, giving the magnet-and-iron analogy its explanatory role. This account should not be translated into modern gravitational language without qualification. In Chapter 2, natural place also helps explain why a heavenly sphere rotates rather than travels elsewhere: it remains within its appropriate encompassing surface while its parts seek equal access to all of it. Saturn’s sphere supplies the example, with the concave surface of the eighth sphere as its natural place. </w:t>
      </w:r>
      <w:r>
        <w:rPr>
          <w:b w:val="0"/>
          <w:i/>
        </w:rPr>
        <w:t>Cardo</w:t>
      </w:r>
      <w:r>
        <w:rPr>
          <w:b w:val="0"/>
          <w:i w:val="0"/>
        </w:rPr>
        <w:t xml:space="preserve"> there denotes the axis or governing pivot around which the circuit continues. The discussion assumes nested spheres and a bounded corporeal cosmos, which are features of the historical model.</w:t>
      </w:r>
    </w:p>
    <w:p>
      <w:pPr>
        <w:widowControl/>
      </w:pPr>
      <w:r>
        <w:rPr>
          <w:b w:val="0"/>
          <w:i w:val="0"/>
        </w:rPr>
        <w:t>An important apparent tension concerns the earth. IV.1.75 mentions Egelias as holding that it moves, but retains the prevailing assertion of its rest; Ficino nevertheless describes its parts as pressing continually around the world’s center. IV.2.22 again opposes unmoving earth to heaven’s ceaseless motion. Thus the treatment should not be recruited as an unqualified endorsement of terrestrial rotation. The edition deliberately preserves the obscure name Egelias without conjectural correction, and nothing in the supplied apparatus independently resolves that attribution.</w:t>
      </w:r>
    </w:p>
    <w:p>
      <w:pPr>
        <w:widowControl/>
      </w:pPr>
      <w:r>
        <w:rPr>
          <w:b w:val="0"/>
          <w:i w:val="0"/>
        </w:rPr>
        <w:t>The reported mental-presence account places fire’s goal at the concavity of the outermost heaven. A little flame would reach it if unimpeded, fill it if sufficiently large, and be wholly at every point if indivisible. These increasingly qualified suppositions model complete enjoyment of a natural end. Mind is then said to run toward true good first through essential, then vital, then intellectual instinct. The order distinguishes levels of orientation; it does not make deliberate thinking the origin of every inclination.</w:t>
      </w:r>
    </w:p>
    <w:p>
      <w:pPr>
        <w:widowControl/>
      </w:pPr>
      <w:r>
        <w:rPr>
          <w:b w:val="0"/>
          <w:i w:val="0"/>
        </w:rPr>
        <w:t xml:space="preserve">The </w:t>
      </w:r>
      <w:r>
        <w:t>“</w:t>
      </w:r>
      <w:r>
        <w:rPr>
          <w:b w:val="0"/>
          <w:i w:val="0"/>
        </w:rPr>
        <w:t>bounds of nature</w:t>
      </w:r>
      <w:r>
        <w:t>”</w:t>
      </w:r>
      <w:r>
        <w:rPr>
          <w:b w:val="0"/>
          <w:i w:val="0"/>
        </w:rPr>
        <w:t xml:space="preserve"> are not a literal fence but the limits of proper place and motion. Ascent and descent are treated as a quick straight-line restoration to that condition, rather than the fully natural perpetual circuit itself. In the following units, the restoration’s externally determined terminus and single path are evidence against independent self-motion in the parts. The hypothetical consequence matters: if those parts moved themselves in the relevant way, they could also stop of themselves or act otherwise. The text does not simply replace every bodily regularity with a freely choosing minute soul.</w:t>
      </w:r>
    </w:p>
    <w:p>
      <w:pPr>
        <w:keepNext/>
        <w:widowControl/>
      </w:pPr>
      <w:r>
        <w:rPr>
          <w:b/>
          <w:i w:val="0"/>
        </w:rPr>
        <w:t>The places.</w:t>
      </w:r>
    </w:p>
    <w:p>
      <w:pPr>
        <w:ind w:left="187" w:hanging="187"/>
      </w:pPr>
      <w:r>
        <w:t xml:space="preserve">• </w:t>
      </w:r>
      <w:r>
        <w:rPr>
          <w:b/>
          <w:i w:val="0"/>
        </w:rPr>
        <w:t>IV.1.75 (PDF pp. 320–321)</w:t>
      </w:r>
      <w:r>
        <w:rPr>
          <w:b w:val="0"/>
          <w:i w:val="0"/>
        </w:rPr>
        <w:t>. Proper circuit is distinguished from rectilinear return after displacement; earth’s motion remains qualified</w:t>
      </w:r>
    </w:p>
    <w:p>
      <w:pPr>
        <w:ind w:left="187" w:hanging="187"/>
      </w:pPr>
      <w:r>
        <w:t xml:space="preserve">• </w:t>
      </w:r>
      <w:r>
        <w:rPr>
          <w:b/>
          <w:i w:val="0"/>
        </w:rPr>
        <w:t>IV.1.76 (PDF pp. 322–323)</w:t>
      </w:r>
      <w:r>
        <w:rPr>
          <w:b w:val="0"/>
          <w:i w:val="0"/>
        </w:rPr>
        <w:t>. The determinate return-path indicates direction by another source</w:t>
      </w:r>
    </w:p>
    <w:p>
      <w:pPr>
        <w:ind w:left="187" w:hanging="187"/>
      </w:pPr>
      <w:r>
        <w:t xml:space="preserve">• </w:t>
      </w:r>
      <w:r>
        <w:rPr>
          <w:b/>
          <w:i w:val="0"/>
        </w:rPr>
        <w:t>IV.2.25 (PDF pp. 348–349)</w:t>
      </w:r>
      <w:r>
        <w:rPr>
          <w:b w:val="0"/>
          <w:i w:val="0"/>
        </w:rPr>
        <w:t>. Saturn’s sphere seeks fuller enjoyment of its encompassing place and wholly present soul</w:t>
      </w:r>
    </w:p>
    <w:p>
      <w:pPr>
        <w:ind w:left="187" w:hanging="187"/>
      </w:pPr>
      <w:r>
        <w:t xml:space="preserve">• </w:t>
      </w:r>
      <w:r>
        <w:rPr>
          <w:b/>
          <w:i w:val="0"/>
        </w:rPr>
        <w:t>II.6.23 (PDF pp. 140–141)</w:t>
      </w:r>
      <w:r>
        <w:rPr>
          <w:b w:val="0"/>
          <w:i w:val="0"/>
        </w:rPr>
        <w:t>. The earlier thinkers’ conditional flame analogy concerns orientation to a natural goal</w:t>
      </w:r>
    </w:p>
    <w:p>
      <w:pPr>
        <w:widowControl/>
      </w:pPr>
      <w:r>
        <w:rPr>
          <w:b/>
          <w:i w:val="0"/>
        </w:rPr>
        <w:t>Further passage references.</w:t>
      </w:r>
      <w:r>
        <w:rPr>
          <w:b w:val="0"/>
          <w:i w:val="0"/>
        </w:rPr>
        <w:t xml:space="preserve"> IV.1.74–IV.1.77, pp. 320–323; IV.2.19, pp. 344–345; IV.2.22–IV.2.26, pp. 346–349.</w:t>
      </w:r>
    </w:p>
    <w:p>
      <w:pPr>
        <w:ind w:left="187" w:hanging="187"/>
      </w:pPr>
      <w:r>
        <w:t xml:space="preserve">• </w:t>
      </w:r>
      <w:r>
        <w:rPr>
          <w:b w:val="0"/>
          <w:i w:val="0"/>
        </w:rPr>
        <w:t>II.6.23 (PDF pp. 140–141): The conditional flame comparison supports the earlier thinkers’ account of mind’s essential orientation</w:t>
      </w:r>
    </w:p>
    <w:p>
      <w:pPr>
        <w:ind w:left="187" w:hanging="187"/>
      </w:pPr>
      <w:r>
        <w:t xml:space="preserve">• </w:t>
      </w:r>
      <w:r>
        <w:rPr>
          <w:b/>
          <w:i w:val="0"/>
        </w:rPr>
        <w:t>IV.1.75–77, PDF pp. 320–323:</w:t>
      </w:r>
      <w:r>
        <w:rPr>
          <w:b w:val="0"/>
          <w:i w:val="0"/>
        </w:rPr>
        <w:t xml:space="preserve"> proper circuit, rectilinear restoration, fixed path, and hypothetical freedom distinguish kinds of motion</w:t>
      </w:r>
    </w:p>
    <w:p>
      <w:pPr>
        <w:keepNext/>
        <w:widowControl/>
      </w:pPr>
      <w:r>
        <w:rPr>
          <w:b/>
          <w:i w:val="0"/>
        </w:rPr>
        <w:t>In this edition.</w:t>
      </w:r>
    </w:p>
    <w:p>
      <w:pPr>
        <w:widowControl/>
      </w:pPr>
      <w:r>
        <w:rPr>
          <w:b w:val="0"/>
          <w:i w:val="0"/>
        </w:rPr>
        <w:t>IV.1.75 expressly calls ascent and descent restorations rather than natural motion in the strict sense. Its statement about earth is conditional and retains the prevailing claim of rest; the obscure source name Egelias is not silently corrected. These are historical cosmological claims, not modern gravitational explanations.</w:t>
      </w:r>
    </w:p>
    <w:p>
      <w:pPr>
        <w:widowControl/>
      </w:pPr>
      <w:r>
        <w:rPr>
          <w:b w:val="0"/>
          <w:i w:val="0"/>
        </w:rPr>
        <w:t xml:space="preserve">The heaven and flame statements are Ficino’s reported cosmological reasoning, not contemporary physics. The three </w:t>
      </w:r>
      <w:r>
        <w:t>“</w:t>
      </w:r>
      <w:r>
        <w:rPr>
          <w:b w:val="0"/>
          <w:i w:val="0"/>
        </w:rPr>
        <w:t>if</w:t>
      </w:r>
      <w:r>
        <w:t>”</w:t>
      </w:r>
      <w:r>
        <w:rPr>
          <w:b w:val="0"/>
          <w:i w:val="0"/>
        </w:rPr>
        <w:t xml:space="preserve"> conditions and the attribution framing II.6.14–24 must survive any shortened explanation. The apparatus (PDF p. 371) also explains that instinctu is understood after vitali and intellectuali; the English supplies the noun in each member.</w:t>
      </w:r>
    </w:p>
    <w:p>
      <w:pPr>
        <w:widowControl/>
      </w:pPr>
      <w:r>
        <w:rPr>
          <w:b w:val="0"/>
          <w:i w:val="0"/>
        </w:rPr>
        <w:t xml:space="preserve">The earth-moving proposal remains conditional and assigned to the retained name Egelias. </w:t>
      </w:r>
      <w:r>
        <w:t>“</w:t>
      </w:r>
      <w:r>
        <w:rPr>
          <w:b w:val="0"/>
          <w:i w:val="0"/>
        </w:rPr>
        <w:t>In a certain fashion</w:t>
      </w:r>
      <w:r>
        <w:t>”</w:t>
      </w:r>
      <w:r>
        <w:rPr>
          <w:b w:val="0"/>
          <w:i w:val="0"/>
        </w:rPr>
        <w:t xml:space="preserve"> qualifies the description of earth’s parts circling its center through mutual pressure.</w:t>
      </w:r>
    </w:p>
    <w:p>
      <w:pPr>
        <w:keepNext/>
        <w:widowControl/>
      </w:pPr>
      <w:r>
        <w:rPr>
          <w:b/>
          <w:i w:val="0"/>
        </w:rPr>
        <w:t>See also.</w:t>
      </w:r>
    </w:p>
    <w:p>
      <w:pPr>
        <w:widowControl/>
      </w:pPr>
      <w:hyperlink w:anchor="circularity-and-return">
        <w:r>
          <w:rPr>
            <w:color w:val="000000"/>
          </w:rPr>
          <w:t xml:space="preserve">Circularity and return</w:t>
        </w:r>
      </w:hyperlink>
      <w:r>
        <w:rPr>
          <w:b w:val="0"/>
          <w:i w:val="0"/>
        </w:rPr>
        <w:t xml:space="preserve">; </w:t>
      </w:r>
      <w:hyperlink w:anchor="spheres-and-stars">
        <w:r>
          <w:rPr>
            <w:color w:val="000000"/>
          </w:rPr>
          <w:t xml:space="preserve">Spheres and stars</w:t>
        </w:r>
      </w:hyperlink>
      <w:r>
        <w:rPr>
          <w:b w:val="0"/>
          <w:i w:val="0"/>
        </w:rPr>
        <w:t xml:space="preserve">; </w:t>
      </w:r>
      <w:hyperlink w:anchor="earth-soul">
        <w:r>
          <w:rPr>
            <w:color w:val="000000"/>
          </w:rPr>
          <w:t xml:space="preserve">Earth soul</w:t>
        </w:r>
      </w:hyperlink>
      <w:r>
        <w:rPr>
          <w:b w:val="0"/>
          <w:i w:val="0"/>
        </w:rPr>
        <w:t xml:space="preserve">; </w:t>
      </w:r>
      <w:hyperlink w:anchor="motion-and-stability">
        <w:r>
          <w:rPr>
            <w:color w:val="000000"/>
          </w:rPr>
          <w:t xml:space="preserve">Motion and stability</w:t>
        </w:r>
      </w:hyperlink>
      <w:r>
        <w:rPr>
          <w:b w:val="0"/>
          <w:i w:val="0"/>
        </w:rPr>
        <w:t xml:space="preserve">; </w:t>
      </w:r>
      <w:hyperlink w:anchor="hinge-and-center">
        <w:r>
          <w:rPr>
            <w:color w:val="000000"/>
          </w:rPr>
          <w:t xml:space="preserve">Hinge and center</w:t>
        </w:r>
      </w:hyperlink>
    </w:p>
    <w:p>
      <w:pPr>
        <w:widowControl/>
      </w:pPr>
      <w:hyperlink w:anchor="touch-and-penetration">
        <w:r>
          <w:rPr>
            <w:color w:val="000000"/>
          </w:rPr>
          <w:t xml:space="preserve">Touch and penetration</w:t>
        </w:r>
      </w:hyperlink>
      <w:r>
        <w:rPr>
          <w:b w:val="0"/>
          <w:i w:val="0"/>
        </w:rPr>
        <w:t xml:space="preserve">; </w:t>
      </w:r>
      <w:hyperlink w:anchor="appetite-and-desire">
        <w:r>
          <w:rPr>
            <w:color w:val="000000"/>
          </w:rPr>
          <w:t xml:space="preserve">Appetite and desire</w:t>
        </w:r>
      </w:hyperlink>
      <w:r>
        <w:rPr>
          <w:b w:val="0"/>
          <w:i w:val="0"/>
        </w:rPr>
        <w:t xml:space="preserve">; </w:t>
      </w:r>
      <w:hyperlink w:anchor="anebon-abamon-and-the-mental-presence-authorities">
        <w:r>
          <w:rPr>
            <w:color w:val="000000"/>
          </w:rPr>
          <w:t xml:space="preserve">Anebon Abamon and the mental-presence authorities</w:t>
        </w:r>
      </w:hyperlink>
      <w:r>
        <w:rPr>
          <w:b w:val="0"/>
          <w:i w:val="0"/>
        </w:rPr>
        <w:t>.</w:t>
      </w:r>
    </w:p>
    <w:p>
      <w:pPr>
        <w:widowControl/>
      </w:pPr>
      <w:hyperlink w:anchor="hidden-mover-and-magnet">
        <w:r>
          <w:rPr>
            <w:color w:val="000000"/>
          </w:rPr>
          <w:t xml:space="preserve">Hidden mover and magnet</w:t>
        </w:r>
      </w:hyperlink>
      <w:r>
        <w:rPr>
          <w:b w:val="0"/>
          <w:i w:val="0"/>
        </w:rPr>
        <w:t xml:space="preserve">; </w:t>
      </w:r>
      <w:hyperlink w:anchor="circularity-and-return">
        <w:r>
          <w:rPr>
            <w:color w:val="000000"/>
          </w:rPr>
          <w:t xml:space="preserve">Circularity and return</w:t>
        </w:r>
      </w:hyperlink>
      <w:r>
        <w:rPr>
          <w:b w:val="0"/>
          <w:i w:val="0"/>
        </w:rPr>
        <w:t xml:space="preserve">; </w:t>
      </w:r>
      <w:hyperlink w:anchor="assertion-report-and-reservation">
        <w:r>
          <w:rPr>
            <w:color w:val="000000"/>
          </w:rPr>
          <w:t xml:space="preserve">Assertion, report, and reservation</w:t>
        </w:r>
      </w:hyperlink>
      <w:r>
        <w:rPr>
          <w:b w:val="0"/>
          <w:i w:val="0"/>
        </w:rPr>
        <w:t>.</w:t>
      </w:r>
    </w:p>
    <w:p>
      <w:bookmarkStart w:id="154" w:name="natural-species-and-succession"/>
      <w:pPr>
        <w:pStyle w:val="Heading2"/>
      </w:pPr>
      <w:r>
        <w:rPr>
          <w:b w:val="0"/>
          <w:i w:val="0"/>
        </w:rPr>
        <w:t>Natural species and succession</w:t>
      </w:r>
      <w:bookmarkEnd w:id="154"/>
    </w:p>
    <w:p>
      <w:pPr>
        <w:keepNext/>
        <w:widowControl/>
      </w:pPr>
      <w:r>
        <w:rPr>
          <w:b/>
          <w:i w:val="0"/>
        </w:rPr>
        <w:t>Latin:</w:t>
      </w:r>
      <w:r>
        <w:rPr>
          <w:b w:val="0"/>
          <w:i w:val="0"/>
        </w:rPr>
        <w:t xml:space="preserve"> </w:t>
      </w:r>
      <w:r>
        <w:rPr>
          <w:b w:val="0"/>
          <w:i/>
        </w:rPr>
        <w:t>species naturalis</w:t>
      </w:r>
      <w:r>
        <w:rPr>
          <w:b w:val="0"/>
          <w:i w:val="0"/>
        </w:rPr>
        <w:t xml:space="preserve">; </w:t>
      </w:r>
      <w:r>
        <w:rPr>
          <w:b w:val="0"/>
          <w:i/>
        </w:rPr>
        <w:t>singula</w:t>
      </w:r>
      <w:r>
        <w:rPr>
          <w:b w:val="0"/>
          <w:i w:val="0"/>
        </w:rPr>
        <w:t xml:space="preserve">; </w:t>
      </w:r>
      <w:r>
        <w:rPr>
          <w:b w:val="0"/>
          <w:i/>
        </w:rPr>
        <w:t>continua singulorum successio</w:t>
      </w:r>
      <w:r>
        <w:rPr>
          <w:b w:val="0"/>
          <w:i w:val="0"/>
        </w:rPr>
        <w:t xml:space="preserve">; </w:t>
      </w:r>
      <w:r>
        <w:rPr>
          <w:b w:val="0"/>
          <w:i/>
        </w:rPr>
        <w:t>generationis successio</w:t>
      </w:r>
    </w:p>
    <w:p>
      <w:pPr>
        <w:keepNext/>
        <w:widowControl/>
      </w:pPr>
      <w:r>
        <w:rPr>
          <w:b/>
          <w:i w:val="0"/>
        </w:rPr>
        <w:t>The word.</w:t>
      </w:r>
    </w:p>
    <w:p>
      <w:pPr>
        <w:widowControl/>
      </w:pPr>
      <w:r>
        <w:rPr>
          <w:b w:val="0"/>
          <w:i w:val="0"/>
        </w:rPr>
        <w:t>Species naturalis names a natural kind or determining form; singula its individual instances. Successio is one thing following another. Perpetuity of a kind through successive individuals is therefore a different mode of persistence from an unchanging individual substance.</w:t>
      </w:r>
    </w:p>
    <w:p>
      <w:pPr>
        <w:keepNext/>
        <w:widowControl/>
      </w:pPr>
      <w:r>
        <w:rPr>
          <w:b/>
          <w:i w:val="0"/>
        </w:rPr>
        <w:t>In the Platonic Theology.</w:t>
      </w:r>
    </w:p>
    <w:p>
      <w:pPr>
        <w:widowControl/>
      </w:pPr>
      <w:r>
        <w:rPr>
          <w:b w:val="0"/>
          <w:i w:val="0"/>
        </w:rPr>
        <w:t xml:space="preserve">IV.1.86–IV.1.87 distinguishes what a natural species receives from different causal levels. Being and unity come from God, order from mind, and perpetuity from these stable causes; multiplicity among individuals and mutability come through soul and heaven. Species therefore display a kind of persistence through the succession of changing individuals. This is not the same mode of permanence possessed by mind and soul, which Ficino calls immutable in substance despite the changeable action of souls. Nor should </w:t>
      </w:r>
      <w:r>
        <w:rPr>
          <w:b w:val="0"/>
          <w:i/>
        </w:rPr>
        <w:t>species</w:t>
      </w:r>
      <w:r>
        <w:rPr>
          <w:b w:val="0"/>
          <w:i w:val="0"/>
        </w:rPr>
        <w:t xml:space="preserve"> here automatically be equated with the modern biological species concept. It participates in a wider vocabulary of form, intelligible determination, and the kind of thing produced. The passage is useful for readers trying to reconcile apparently perpetual nature with continual generation and corruption: the levels of causal dependence and the distinction between a kind and its instances do the explanatory work.</w:t>
      </w:r>
    </w:p>
    <w:p>
      <w:pPr>
        <w:keepNext/>
        <w:widowControl/>
      </w:pPr>
      <w:r>
        <w:rPr>
          <w:b/>
          <w:i w:val="0"/>
        </w:rPr>
        <w:t>The places.</w:t>
      </w:r>
    </w:p>
    <w:p>
      <w:pPr>
        <w:ind w:left="187" w:hanging="187"/>
      </w:pPr>
      <w:r>
        <w:t xml:space="preserve">• </w:t>
      </w:r>
      <w:r>
        <w:rPr>
          <w:b/>
          <w:i w:val="0"/>
        </w:rPr>
        <w:t>IV.1.86 (PDF pp. 326–327)</w:t>
      </w:r>
      <w:r>
        <w:rPr>
          <w:b w:val="0"/>
          <w:i w:val="0"/>
        </w:rPr>
        <w:t>. A natural species receives being and unity from God, order from mind, and perpetuity from stable sources</w:t>
      </w:r>
    </w:p>
    <w:p>
      <w:pPr>
        <w:ind w:left="187" w:hanging="187"/>
      </w:pPr>
      <w:r>
        <w:t xml:space="preserve">• </w:t>
      </w:r>
      <w:r>
        <w:rPr>
          <w:b/>
          <w:i w:val="0"/>
        </w:rPr>
        <w:t>IV.1.87 (PDF pp. 326–327)</w:t>
      </w:r>
      <w:r>
        <w:rPr>
          <w:b w:val="0"/>
          <w:i w:val="0"/>
        </w:rPr>
        <w:t>. Soul and heaven mediate multiplicity and change; individuals succeed one another continuously</w:t>
      </w:r>
    </w:p>
    <w:p>
      <w:pPr>
        <w:ind w:left="187" w:hanging="187"/>
      </w:pPr>
      <w:r>
        <w:t xml:space="preserve">• </w:t>
      </w:r>
      <w:r>
        <w:rPr>
          <w:b/>
          <w:i w:val="0"/>
        </w:rPr>
        <w:t>IV.2.20 (PDF pp. 344–345)</w:t>
      </w:r>
      <w:r>
        <w:rPr>
          <w:b w:val="0"/>
          <w:i w:val="0"/>
        </w:rPr>
        <w:t>. Matter attains through succession forms it cannot possess together</w:t>
      </w:r>
    </w:p>
    <w:p>
      <w:pPr>
        <w:widowControl/>
      </w:pPr>
      <w:r>
        <w:rPr>
          <w:b/>
          <w:i w:val="0"/>
        </w:rPr>
        <w:t>Further passage references.</w:t>
      </w:r>
      <w:r>
        <w:rPr>
          <w:b w:val="0"/>
          <w:i w:val="0"/>
        </w:rPr>
        <w:t xml:space="preserve"> IV.1.86–IV.1.87, pp. 326–327; IV.2.20, pp. 344–345; apparatus p. 393.</w:t>
      </w:r>
    </w:p>
    <w:p>
      <w:pPr>
        <w:keepNext/>
        <w:widowControl/>
      </w:pPr>
      <w:r>
        <w:rPr>
          <w:b/>
          <w:i w:val="0"/>
        </w:rPr>
        <w:t>In this edition.</w:t>
      </w:r>
    </w:p>
    <w:p>
      <w:pPr>
        <w:widowControl/>
      </w:pPr>
      <w:r>
        <w:rPr>
          <w:b w:val="0"/>
          <w:i w:val="0"/>
        </w:rPr>
        <w:t xml:space="preserve">The translation at IV.1.87 preserves </w:t>
      </w:r>
      <w:r>
        <w:t>“</w:t>
      </w:r>
      <w:r>
        <w:rPr>
          <w:b w:val="0"/>
          <w:i w:val="0"/>
        </w:rPr>
        <w:t>in some measure mutable even in substance</w:t>
      </w:r>
      <w:r>
        <w:t>”</w:t>
      </w:r>
      <w:r>
        <w:rPr>
          <w:b w:val="0"/>
          <w:i w:val="0"/>
        </w:rPr>
        <w:t xml:space="preserve"> and </w:t>
      </w:r>
      <w:r>
        <w:t>“</w:t>
      </w:r>
      <w:r>
        <w:rPr>
          <w:b w:val="0"/>
          <w:i w:val="0"/>
        </w:rPr>
        <w:t>appear perpetual.</w:t>
      </w:r>
      <w:r>
        <w:t>”</w:t>
      </w:r>
      <w:r>
        <w:rPr>
          <w:b w:val="0"/>
          <w:i w:val="0"/>
        </w:rPr>
        <w:t xml:space="preserve"> Neither qualification should disappear. The historical species language cannot simply be equated with a modern biological species concept or evolutionary mechanism.</w:t>
      </w:r>
    </w:p>
    <w:p>
      <w:pPr>
        <w:keepNext/>
        <w:widowControl/>
      </w:pPr>
      <w:r>
        <w:rPr>
          <w:b/>
          <w:i w:val="0"/>
        </w:rPr>
        <w:t>See also.</w:t>
      </w:r>
    </w:p>
    <w:p>
      <w:pPr>
        <w:widowControl/>
      </w:pPr>
      <w:hyperlink w:anchor="form">
        <w:r>
          <w:rPr>
            <w:color w:val="000000"/>
          </w:rPr>
          <w:t xml:space="preserve">Form</w:t>
        </w:r>
      </w:hyperlink>
      <w:r>
        <w:rPr>
          <w:b w:val="0"/>
          <w:i w:val="0"/>
        </w:rPr>
        <w:t xml:space="preserve">; </w:t>
      </w:r>
      <w:hyperlink w:anchor="species">
        <w:r>
          <w:rPr>
            <w:color w:val="000000"/>
          </w:rPr>
          <w:t xml:space="preserve">Species</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seeds">
        <w:r>
          <w:rPr>
            <w:color w:val="000000"/>
          </w:rPr>
          <w:t xml:space="preserve">Seeds</w:t>
        </w:r>
      </w:hyperlink>
      <w:r>
        <w:rPr>
          <w:b w:val="0"/>
          <w:i w:val="0"/>
        </w:rPr>
        <w:t xml:space="preserve">; </w:t>
      </w:r>
      <w:hyperlink w:anchor="motion-and-stability">
        <w:r>
          <w:rPr>
            <w:color w:val="000000"/>
          </w:rPr>
          <w:t xml:space="preserve">Motion and stability</w:t>
        </w:r>
      </w:hyperlink>
      <w:r>
        <w:rPr>
          <w:b w:val="0"/>
          <w:i w:val="0"/>
        </w:rPr>
        <w:t xml:space="preserve">; </w:t>
      </w:r>
      <w:hyperlink w:anchor="order-and-harmony">
        <w:r>
          <w:rPr>
            <w:color w:val="000000"/>
          </w:rPr>
          <w:t xml:space="preserve">Order and harmony</w:t>
        </w:r>
      </w:hyperlink>
    </w:p>
    <w:p>
      <w:bookmarkStart w:id="155" w:name="need-and-sufficiency"/>
      <w:pPr>
        <w:pStyle w:val="Heading2"/>
      </w:pPr>
      <w:r>
        <w:rPr>
          <w:b w:val="0"/>
          <w:i w:val="0"/>
        </w:rPr>
        <w:t>Need and sufficiency</w:t>
      </w:r>
      <w:bookmarkEnd w:id="155"/>
    </w:p>
    <w:p>
      <w:pPr>
        <w:keepNext/>
        <w:widowControl/>
      </w:pPr>
      <w:r>
        <w:rPr>
          <w:b/>
          <w:i w:val="0"/>
        </w:rPr>
        <w:t>Latin:</w:t>
      </w:r>
      <w:r>
        <w:rPr>
          <w:b w:val="0"/>
          <w:i w:val="0"/>
        </w:rPr>
        <w:t xml:space="preserve"> </w:t>
      </w:r>
      <w:r>
        <w:rPr>
          <w:b w:val="0"/>
          <w:i/>
        </w:rPr>
        <w:t>indigentia</w:t>
      </w:r>
      <w:r>
        <w:rPr>
          <w:b w:val="0"/>
          <w:i w:val="0"/>
        </w:rPr>
        <w:t xml:space="preserve">; </w:t>
      </w:r>
      <w:r>
        <w:rPr>
          <w:b w:val="0"/>
          <w:i/>
        </w:rPr>
        <w:t>indigere</w:t>
      </w:r>
      <w:r>
        <w:rPr>
          <w:b w:val="0"/>
          <w:i w:val="0"/>
        </w:rPr>
        <w:t xml:space="preserve">; </w:t>
      </w:r>
      <w:r>
        <w:rPr>
          <w:b w:val="0"/>
          <w:i/>
        </w:rPr>
        <w:t>egere</w:t>
      </w:r>
      <w:r>
        <w:rPr>
          <w:b w:val="0"/>
          <w:i w:val="0"/>
        </w:rPr>
        <w:t xml:space="preserve">; </w:t>
      </w:r>
      <w:r>
        <w:rPr>
          <w:b w:val="0"/>
          <w:i/>
        </w:rPr>
        <w:t>sufficientia</w:t>
      </w:r>
      <w:r>
        <w:rPr>
          <w:b w:val="0"/>
          <w:i w:val="0"/>
        </w:rPr>
        <w:t xml:space="preserve">; </w:t>
      </w:r>
      <w:r>
        <w:rPr>
          <w:b w:val="0"/>
          <w:i/>
        </w:rPr>
        <w:t>sufficere</w:t>
      </w:r>
      <w:r>
        <w:rPr>
          <w:b w:val="0"/>
          <w:i w:val="0"/>
        </w:rPr>
        <w:t xml:space="preserve">; </w:t>
      </w:r>
      <w:r>
        <w:rPr>
          <w:b w:val="0"/>
          <w:i/>
        </w:rPr>
        <w:t>indigere; sufficere; commodum; pro viribus</w:t>
      </w:r>
    </w:p>
    <w:p>
      <w:pPr>
        <w:keepNext/>
        <w:widowControl/>
      </w:pPr>
      <w:r>
        <w:rPr>
          <w:b/>
          <w:i w:val="0"/>
        </w:rPr>
        <w:t>The word.</w:t>
      </w:r>
    </w:p>
    <w:p>
      <w:pPr>
        <w:widowControl/>
      </w:pPr>
      <w:r>
        <w:rPr>
          <w:b w:val="0"/>
          <w:i w:val="0"/>
        </w:rPr>
        <w:t>Egere and indigere mean needing; indigentia need or lack; sufficere being enough for a purpose; sufficientia adequacy. The relation may concern subsistence, operation, or completion by an end, not an emotional state. Independence from matter is not necessarily independence from every cause.</w:t>
      </w:r>
    </w:p>
    <w:p>
      <w:pPr>
        <w:widowControl/>
      </w:pPr>
      <w:r>
        <w:rPr>
          <w:b w:val="0"/>
          <w:i w:val="0"/>
        </w:rPr>
        <w:t>Indigere needs; sufficere is enough for a specified end. Commodum denotes advantage or convenience; pro viribus qualifies something by its available powers.</w:t>
      </w:r>
    </w:p>
    <w:p>
      <w:pPr>
        <w:keepNext/>
        <w:widowControl/>
      </w:pPr>
      <w:r>
        <w:rPr>
          <w:b/>
          <w:i w:val="0"/>
        </w:rPr>
        <w:t>In the Platonic Theology.</w:t>
      </w:r>
    </w:p>
    <w:p>
      <w:pPr>
        <w:widowControl/>
      </w:pPr>
      <w:r>
        <w:rPr>
          <w:b w:val="0"/>
          <w:i w:val="0"/>
        </w:rPr>
        <w:t>Need is an explanatory category running from the opening account of human vulnerability to the argument for a supreme principle. Matter needs form; quality needs its subject and a higher source of action; a changing being seeks what it lacks; mind needs truth and goodness. Ficino repeatedly reasons from such dependence toward something more self-sufficient. A quality’s lack of sufficiency in existing prevents it from supplying a body with complete sufficiency in acting. Likewise, an intellect that seeks truth cannot itself be truth, and a mind that improves through understanding is not the Good itself. The vocabulary does not always signify emotional dissatisfaction or bodily deprivation. It often marks a structural relation: one thing cannot be what it is or do what it does without another. Even forms said to subsist through themselves can remain dependent on a higher cause, so local independence from matter should not be confused with God’s unrestricted self-sufficiency.</w:t>
      </w:r>
    </w:p>
    <w:p>
      <w:pPr>
        <w:widowControl/>
      </w:pPr>
      <w:r>
        <w:rPr>
          <w:b w:val="0"/>
          <w:i w:val="0"/>
        </w:rPr>
        <w:t>Divine goodness needs no creatures, which is crucial to distinguishing necessary willing of the end from contingent means. At II.13.23 the created world needs only the perfection sufficient to indicate its author’s higher perfection according to its powers. This is a standard of adequacy relative to the work’s purpose, not a claim that the world equals God or actualizes every possible perfection.</w:t>
      </w:r>
    </w:p>
    <w:p>
      <w:pPr>
        <w:keepNext/>
        <w:widowControl/>
      </w:pPr>
      <w:r>
        <w:rPr>
          <w:b/>
          <w:i w:val="0"/>
        </w:rPr>
        <w:t>The places.</w:t>
      </w:r>
    </w:p>
    <w:p>
      <w:pPr>
        <w:ind w:left="187" w:hanging="187"/>
      </w:pPr>
      <w:r>
        <w:t xml:space="preserve">• </w:t>
      </w:r>
      <w:r>
        <w:rPr>
          <w:b/>
          <w:i w:val="0"/>
        </w:rPr>
        <w:t>I.5.4 (PDF pp. 62–63)</w:t>
      </w:r>
      <w:r>
        <w:rPr>
          <w:b w:val="0"/>
          <w:i w:val="0"/>
        </w:rPr>
        <w:t>. Motion toward an end is interpreted as a sign of incompleteness</w:t>
      </w:r>
    </w:p>
    <w:p>
      <w:pPr>
        <w:ind w:left="187" w:hanging="187"/>
      </w:pPr>
      <w:r>
        <w:t xml:space="preserve">• </w:t>
      </w:r>
      <w:r>
        <w:rPr>
          <w:b/>
          <w:i w:val="0"/>
        </w:rPr>
        <w:t>I.6.17 (PDF pp. 92–93)</w:t>
      </w:r>
      <w:r>
        <w:rPr>
          <w:b w:val="0"/>
          <w:i w:val="0"/>
        </w:rPr>
        <w:t>. Mind’s striving to become better distinguishes it from goodness itself</w:t>
      </w:r>
    </w:p>
    <w:p>
      <w:pPr>
        <w:ind w:left="187" w:hanging="187"/>
      </w:pPr>
      <w:r>
        <w:t xml:space="preserve">• </w:t>
      </w:r>
      <w:r>
        <w:rPr>
          <w:b/>
          <w:i w:val="0"/>
        </w:rPr>
        <w:t>II.2.3 (PDF pp. 104–105)</w:t>
      </w:r>
      <w:r>
        <w:rPr>
          <w:b w:val="0"/>
          <w:i w:val="0"/>
        </w:rPr>
        <w:t>. A composed whole needs both parts and their unifying source</w:t>
      </w:r>
    </w:p>
    <w:p>
      <w:pPr>
        <w:ind w:left="187" w:hanging="187"/>
      </w:pPr>
      <w:r>
        <w:t xml:space="preserve">• </w:t>
      </w:r>
      <w:r>
        <w:rPr>
          <w:b/>
          <w:i w:val="0"/>
        </w:rPr>
        <w:t>II.7.16 (PDF pp. 150–151)</w:t>
      </w:r>
      <w:r>
        <w:rPr>
          <w:b w:val="0"/>
          <w:i w:val="0"/>
        </w:rPr>
        <w:t>. Operational dependence on an end is used to argue for dependence in essence</w:t>
      </w:r>
    </w:p>
    <w:p>
      <w:pPr>
        <w:widowControl/>
      </w:pPr>
      <w:r>
        <w:rPr>
          <w:b/>
          <w:i w:val="0"/>
        </w:rPr>
        <w:t>Further passage references.</w:t>
      </w:r>
      <w:r>
        <w:rPr>
          <w:b w:val="0"/>
          <w:i w:val="0"/>
        </w:rPr>
        <w:t xml:space="preserve"> I.1.1 (PDF pp. 14–15); I.3.4–I.3.9 (pp. 30–35); I.5.4–I.5.6, I.5.16 (pp. 62–63, 70–71); I.6.10–I.6.17 (pp. 88–93).</w:t>
      </w:r>
    </w:p>
    <w:p>
      <w:pPr>
        <w:widowControl/>
        <w:keepNext/>
      </w:pPr>
      <w:r>
        <w:rPr>
          <w:b w:val="0"/>
          <w:i w:val="0"/>
        </w:rPr>
        <w:t>Selected annotated passages.</w:t>
      </w:r>
    </w:p>
    <w:p>
      <w:pPr>
        <w:ind w:left="187" w:hanging="187"/>
      </w:pPr>
      <w:r>
        <w:t xml:space="preserve">• </w:t>
      </w:r>
      <w:r>
        <w:rPr>
          <w:b/>
          <w:i w:val="0"/>
        </w:rPr>
        <w:t>II.12.14 (Latin PDF p. 210; English PDF p. 211).</w:t>
      </w:r>
      <w:r>
        <w:rPr>
          <w:b w:val="0"/>
          <w:i w:val="0"/>
        </w:rPr>
        <w:t xml:space="preserve"> Lack of divine need supports the distinction between an end and optional means.</w:t>
      </w:r>
    </w:p>
    <w:p>
      <w:pPr>
        <w:ind w:left="187" w:hanging="187"/>
      </w:pPr>
      <w:r>
        <w:t xml:space="preserve">• </w:t>
      </w:r>
      <w:r>
        <w:rPr>
          <w:b/>
          <w:i w:val="0"/>
        </w:rPr>
        <w:t>II.13.23 (Latin PDF p. 232; English PDF p. 233).</w:t>
      </w:r>
      <w:r>
        <w:rPr>
          <w:b w:val="0"/>
          <w:i w:val="0"/>
        </w:rPr>
        <w:t xml:space="preserve"> Sufficiency is relative to the created work’s representational task.</w:t>
      </w:r>
    </w:p>
    <w:p>
      <w:pPr>
        <w:keepNext/>
        <w:widowControl/>
      </w:pPr>
      <w:r>
        <w:rPr>
          <w:b/>
          <w:i w:val="0"/>
        </w:rPr>
        <w:t>In this edition.</w:t>
      </w:r>
    </w:p>
    <w:p>
      <w:pPr>
        <w:widowControl/>
      </w:pPr>
      <w:r>
        <w:t>“</w:t>
      </w:r>
      <w:r>
        <w:rPr>
          <w:b w:val="0"/>
          <w:i w:val="0"/>
        </w:rPr>
        <w:t>Suffice for itself in acting</w:t>
      </w:r>
      <w:r>
        <w:t>”</w:t>
      </w:r>
      <w:r>
        <w:rPr>
          <w:b w:val="0"/>
          <w:i w:val="0"/>
        </w:rPr>
        <w:t xml:space="preserve"> and </w:t>
      </w:r>
      <w:r>
        <w:t>“</w:t>
      </w:r>
      <w:r>
        <w:rPr>
          <w:b w:val="0"/>
          <w:i w:val="0"/>
        </w:rPr>
        <w:t>suffice for itself in essence</w:t>
      </w:r>
      <w:r>
        <w:t>”</w:t>
      </w:r>
      <w:r>
        <w:rPr>
          <w:b w:val="0"/>
          <w:i w:val="0"/>
        </w:rPr>
        <w:t xml:space="preserve"> at II.7.16 preserve the distinction on which the inference depends. The given English </w:t>
      </w:r>
      <w:r>
        <w:t>“</w:t>
      </w:r>
      <w:r>
        <w:rPr>
          <w:b w:val="0"/>
          <w:i w:val="0"/>
        </w:rPr>
        <w:t>in need of nothing</w:t>
      </w:r>
      <w:r>
        <w:t>”</w:t>
      </w:r>
      <w:r>
        <w:rPr>
          <w:b w:val="0"/>
          <w:i w:val="0"/>
        </w:rPr>
        <w:t xml:space="preserve"> at II.9.8 concerns the perfection of knowledge nearest its object, not the absence of all differentiation among created beings.</w:t>
      </w:r>
    </w:p>
    <w:p>
      <w:pPr>
        <w:widowControl/>
      </w:pPr>
      <w:r>
        <w:rPr>
          <w:b w:val="0"/>
          <w:i w:val="0"/>
        </w:rPr>
        <w:t xml:space="preserve">The English </w:t>
      </w:r>
      <w:r>
        <w:t>“</w:t>
      </w:r>
      <w:r>
        <w:rPr>
          <w:b w:val="0"/>
          <w:i w:val="0"/>
        </w:rPr>
        <w:t>according to the work’s powers</w:t>
      </w:r>
      <w:r>
        <w:t>”</w:t>
      </w:r>
      <w:r>
        <w:rPr>
          <w:b w:val="0"/>
          <w:i w:val="0"/>
        </w:rPr>
        <w:t xml:space="preserve"> spells out pro viribus. The </w:t>
      </w:r>
      <w:r>
        <w:t>“</w:t>
      </w:r>
      <w:r>
        <w:rPr>
          <w:b w:val="0"/>
          <w:i w:val="0"/>
        </w:rPr>
        <w:t>apparent advantage</w:t>
      </w:r>
      <w:r>
        <w:t>”</w:t>
      </w:r>
      <w:r>
        <w:rPr>
          <w:b w:val="0"/>
          <w:i w:val="0"/>
        </w:rPr>
        <w:t xml:space="preserve"> of one part at II.12.19 is not automatically the good of the whole.</w:t>
      </w:r>
    </w:p>
    <w:p>
      <w:pPr>
        <w:keepNext/>
        <w:widowControl/>
      </w:pPr>
      <w:r>
        <w:rPr>
          <w:b/>
          <w:i w:val="0"/>
        </w:rPr>
        <w:t>See also.</w:t>
      </w:r>
    </w:p>
    <w:p>
      <w:pPr>
        <w:widowControl/>
      </w:pPr>
      <w:hyperlink w:anchor="cause">
        <w:r>
          <w:rPr>
            <w:color w:val="000000"/>
          </w:rPr>
          <w:t xml:space="preserve">Cause</w:t>
        </w:r>
      </w:hyperlink>
      <w:r>
        <w:rPr>
          <w:b w:val="0"/>
          <w:i w:val="0"/>
        </w:rPr>
        <w:t xml:space="preserve">; </w:t>
      </w:r>
      <w:hyperlink w:anchor="principle">
        <w:r>
          <w:rPr>
            <w:color w:val="000000"/>
          </w:rPr>
          <w:t xml:space="preserve">Principle</w:t>
        </w:r>
      </w:hyperlink>
      <w:r>
        <w:rPr>
          <w:b w:val="0"/>
          <w:i w:val="0"/>
        </w:rPr>
        <w:t xml:space="preserve">; </w:t>
      </w:r>
      <w:hyperlink w:anchor="perfection">
        <w:r>
          <w:rPr>
            <w:color w:val="000000"/>
          </w:rPr>
          <w:t xml:space="preserve">Perfection</w:t>
        </w:r>
      </w:hyperlink>
      <w:r>
        <w:rPr>
          <w:b w:val="0"/>
          <w:i w:val="0"/>
        </w:rPr>
        <w:t xml:space="preserve">; </w:t>
      </w:r>
      <w:hyperlink w:anchor="truth">
        <w:r>
          <w:rPr>
            <w:color w:val="000000"/>
          </w:rPr>
          <w:t xml:space="preserve">Truth</w:t>
        </w:r>
      </w:hyperlink>
      <w:r>
        <w:rPr>
          <w:b w:val="0"/>
          <w:i w:val="0"/>
        </w:rPr>
        <w:t xml:space="preserve">; </w:t>
      </w:r>
      <w:hyperlink w:anchor="good-and-goodness">
        <w:r>
          <w:rPr>
            <w:color w:val="000000"/>
          </w:rPr>
          <w:t xml:space="preserve">Good and goodness</w:t>
        </w:r>
      </w:hyperlink>
      <w:r>
        <w:rPr>
          <w:b w:val="0"/>
          <w:i w:val="0"/>
        </w:rPr>
        <w:t xml:space="preserve">; </w:t>
      </w:r>
      <w:hyperlink w:anchor="essence-and-substance">
        <w:r>
          <w:rPr>
            <w:color w:val="000000"/>
          </w:rPr>
          <w:t xml:space="preserve">Essence and substance</w:t>
        </w:r>
      </w:hyperlink>
      <w:r>
        <w:rPr>
          <w:b w:val="0"/>
          <w:i w:val="0"/>
        </w:rPr>
        <w:t xml:space="preserve">; </w:t>
      </w:r>
      <w:hyperlink w:anchor="being">
        <w:r>
          <w:rPr>
            <w:color w:val="000000"/>
          </w:rPr>
          <w:t xml:space="preserve">Being</w:t>
        </w:r>
      </w:hyperlink>
    </w:p>
    <w:p>
      <w:pPr>
        <w:widowControl/>
      </w:pPr>
      <w:hyperlink w:anchor="perfection">
        <w:r>
          <w:rPr>
            <w:color w:val="000000"/>
          </w:rPr>
          <w:t xml:space="preserve">Perfection</w:t>
        </w:r>
      </w:hyperlink>
      <w:r>
        <w:rPr>
          <w:b w:val="0"/>
          <w:i w:val="0"/>
        </w:rPr>
        <w:t xml:space="preserve">; </w:t>
      </w:r>
      <w:hyperlink w:anchor="freedom-and-necessity">
        <w:r>
          <w:rPr>
            <w:color w:val="000000"/>
          </w:rPr>
          <w:t xml:space="preserve">Freedom and necessity</w:t>
        </w:r>
      </w:hyperlink>
      <w:r>
        <w:rPr>
          <w:b w:val="0"/>
          <w:i w:val="0"/>
        </w:rPr>
        <w:t xml:space="preserve">; </w:t>
      </w:r>
      <w:hyperlink w:anchor="whole-and-parts">
        <w:r>
          <w:rPr>
            <w:color w:val="000000"/>
          </w:rPr>
          <w:t xml:space="preserve">Whole and parts</w:t>
        </w:r>
      </w:hyperlink>
      <w:r>
        <w:rPr>
          <w:b w:val="0"/>
          <w:i w:val="0"/>
        </w:rPr>
        <w:t>.</w:t>
      </w:r>
    </w:p>
    <w:p>
      <w:bookmarkStart w:id="156" w:name="nothing-and-nonbeing"/>
      <w:pPr>
        <w:pStyle w:val="Heading2"/>
      </w:pPr>
      <w:r>
        <w:rPr>
          <w:b w:val="0"/>
          <w:i w:val="0"/>
        </w:rPr>
        <w:t>Nothing and nonbeing</w:t>
      </w:r>
      <w:bookmarkEnd w:id="156"/>
    </w:p>
    <w:p>
      <w:pPr>
        <w:keepNext/>
        <w:widowControl/>
      </w:pPr>
      <w:r>
        <w:rPr>
          <w:b/>
          <w:i w:val="0"/>
        </w:rPr>
        <w:t>Latin:</w:t>
      </w:r>
      <w:r>
        <w:rPr>
          <w:b w:val="0"/>
          <w:i w:val="0"/>
        </w:rPr>
        <w:t xml:space="preserve"> </w:t>
      </w:r>
      <w:r>
        <w:rPr>
          <w:b w:val="0"/>
          <w:i/>
        </w:rPr>
        <w:t>nihil</w:t>
      </w:r>
      <w:r>
        <w:rPr>
          <w:b w:val="0"/>
          <w:i w:val="0"/>
        </w:rPr>
        <w:t xml:space="preserve">; </w:t>
      </w:r>
      <w:r>
        <w:rPr>
          <w:b w:val="0"/>
          <w:i/>
        </w:rPr>
        <w:t>nihilum</w:t>
      </w:r>
      <w:r>
        <w:rPr>
          <w:b w:val="0"/>
          <w:i w:val="0"/>
        </w:rPr>
        <w:t xml:space="preserve">; </w:t>
      </w:r>
      <w:r>
        <w:rPr>
          <w:b w:val="0"/>
          <w:i/>
        </w:rPr>
        <w:t>non esse</w:t>
      </w:r>
      <w:r>
        <w:rPr>
          <w:b w:val="0"/>
          <w:i w:val="0"/>
        </w:rPr>
        <w:t xml:space="preserve">; </w:t>
      </w:r>
      <w:r>
        <w:rPr>
          <w:b w:val="0"/>
          <w:i/>
        </w:rPr>
        <w:t>privatio essendi</w:t>
      </w:r>
      <w:r>
        <w:rPr>
          <w:b w:val="0"/>
          <w:i w:val="0"/>
        </w:rPr>
        <w:t xml:space="preserve">; </w:t>
      </w:r>
      <w:r>
        <w:rPr>
          <w:b w:val="0"/>
          <w:i/>
        </w:rPr>
        <w:t>potentia ad non essendum</w:t>
      </w:r>
      <w:r>
        <w:rPr>
          <w:b w:val="0"/>
          <w:i w:val="0"/>
        </w:rPr>
        <w:t xml:space="preserve">; </w:t>
      </w:r>
      <w:r>
        <w:rPr>
          <w:b w:val="0"/>
          <w:i/>
        </w:rPr>
        <w:t>malum</w:t>
      </w:r>
    </w:p>
    <w:p>
      <w:pPr>
        <w:keepNext/>
        <w:widowControl/>
      </w:pPr>
      <w:r>
        <w:rPr>
          <w:b/>
          <w:i w:val="0"/>
        </w:rPr>
        <w:t>The word.</w:t>
      </w:r>
    </w:p>
    <w:p>
      <w:pPr>
        <w:widowControl/>
      </w:pPr>
      <w:r>
        <w:rPr>
          <w:b w:val="0"/>
          <w:i w:val="0"/>
        </w:rPr>
        <w:t>Nihil or nihilum is nothing; non esse not being; privatio essendi deprivation of being. Potentia ad non essendum is a possibility of not existing, distinct from receptive potency toward a form. A thing’s counterfactual nonbeing without its cause is not its actual nonexistence while caused.</w:t>
      </w:r>
    </w:p>
    <w:p>
      <w:pPr>
        <w:keepNext/>
        <w:widowControl/>
      </w:pPr>
      <w:r>
        <w:rPr>
          <w:b/>
          <w:i w:val="0"/>
        </w:rPr>
        <w:t>In the Platonic Theology.</w:t>
      </w:r>
    </w:p>
    <w:p>
      <w:pPr>
        <w:widowControl/>
      </w:pPr>
      <w:r>
        <w:rPr>
          <w:b w:val="0"/>
          <w:i w:val="0"/>
        </w:rPr>
        <w:t xml:space="preserve">Ficino distinguishes the absence of existence from a recipient that has not yet acquired some actuality. Water not yet hot still has the capacity to receive heat; what does not exist at all has no such underlying capacity for existence. Creation without a prior subject therefore requires infinite power. Pure being, conversely, excludes both privation of being and any potency not to be. The phrase </w:t>
      </w:r>
      <w:r>
        <w:rPr>
          <w:b w:val="0"/>
          <w:i/>
        </w:rPr>
        <w:t>non esse</w:t>
      </w:r>
      <w:r>
        <w:rPr>
          <w:b w:val="0"/>
          <w:i w:val="0"/>
        </w:rPr>
        <w:t xml:space="preserve"> also expresses the dependence of effects: considered apart from their cause, they would not exist, and without continued preservation would not persist. This describes dependence, while still affirming that creatures exist through their cause. In the polemic against two opposed gods, Ficino argues that a wholly evil deity, deprived of every good, could neither act, know, live, nor exist, since these are goods. That argument concerns the incoherence of absolute evil as a first principle; it is not yet a complete account of every experienced evil.</w:t>
      </w:r>
    </w:p>
    <w:p>
      <w:pPr>
        <w:widowControl/>
      </w:pPr>
      <w:r>
        <w:rPr>
          <w:b w:val="0"/>
          <w:i w:val="0"/>
        </w:rPr>
        <w:t>In II.12.16–18, nonbeing enters a modal argument: contradiction alone includes the character of nonbeing, while what involves no contradiction falls within the potency of being and divine productive power. The actual order therefore does not exhaust what could be made. This use must be distinguished both from a thing’s lacking one determination and from prime matter’s lowly but nonzero status. Describing matter as next to nothing does not supply an underlying subject to creation from nothing.</w:t>
      </w:r>
    </w:p>
    <w:p>
      <w:pPr>
        <w:keepNext/>
        <w:widowControl/>
      </w:pPr>
      <w:r>
        <w:rPr>
          <w:b/>
          <w:i w:val="0"/>
        </w:rPr>
        <w:t>The places.</w:t>
      </w:r>
    </w:p>
    <w:p>
      <w:pPr>
        <w:ind w:left="187" w:hanging="187"/>
      </w:pPr>
      <w:r>
        <w:t xml:space="preserve">• </w:t>
      </w:r>
      <w:r>
        <w:rPr>
          <w:b/>
          <w:i w:val="0"/>
        </w:rPr>
        <w:t>II.2.15 (PDF pp. 114–115)</w:t>
      </w:r>
      <w:r>
        <w:rPr>
          <w:b w:val="0"/>
          <w:i w:val="0"/>
        </w:rPr>
        <w:t>. Absolute evil would lack every good, including existence and action</w:t>
      </w:r>
    </w:p>
    <w:p>
      <w:pPr>
        <w:ind w:left="187" w:hanging="187"/>
      </w:pPr>
      <w:r>
        <w:t xml:space="preserve">• </w:t>
      </w:r>
      <w:r>
        <w:rPr>
          <w:b/>
          <w:i w:val="0"/>
        </w:rPr>
        <w:t>II.4.3 (PDF pp. 122–123)</w:t>
      </w:r>
      <w:r>
        <w:rPr>
          <w:b w:val="0"/>
          <w:i w:val="0"/>
        </w:rPr>
        <w:t>. Pure being excludes both privation and potency not to be</w:t>
      </w:r>
    </w:p>
    <w:p>
      <w:pPr>
        <w:ind w:left="187" w:hanging="187"/>
      </w:pPr>
      <w:r>
        <w:t xml:space="preserve">• </w:t>
      </w:r>
      <w:r>
        <w:rPr>
          <w:b/>
          <w:i w:val="0"/>
        </w:rPr>
        <w:t>II.4.5 (PDF pp. 124–125)</w:t>
      </w:r>
      <w:r>
        <w:rPr>
          <w:b w:val="0"/>
          <w:i w:val="0"/>
        </w:rPr>
        <w:t>. Nothing lacks even the receptive capacity presupposed by ordinary alteration</w:t>
      </w:r>
    </w:p>
    <w:p>
      <w:pPr>
        <w:ind w:left="187" w:hanging="187"/>
      </w:pPr>
      <w:r>
        <w:t xml:space="preserve">• </w:t>
      </w:r>
      <w:r>
        <w:rPr>
          <w:b/>
          <w:i w:val="0"/>
        </w:rPr>
        <w:t>II.7.20 (PDF pp. 152–153)</w:t>
      </w:r>
      <w:r>
        <w:rPr>
          <w:b w:val="0"/>
          <w:i w:val="0"/>
        </w:rPr>
        <w:t>. An effect considered without its cause would not exist</w:t>
      </w:r>
    </w:p>
    <w:p>
      <w:pPr>
        <w:ind w:left="187" w:hanging="187"/>
      </w:pPr>
      <w:r>
        <w:t xml:space="preserve">• </w:t>
      </w:r>
      <w:r>
        <w:rPr>
          <w:b/>
          <w:i w:val="0"/>
        </w:rPr>
        <w:t>II.12.16 (PDF pp. 210–211)</w:t>
      </w:r>
      <w:r>
        <w:rPr>
          <w:b w:val="0"/>
          <w:i w:val="0"/>
        </w:rPr>
        <w:t>. The potency of being includes what does not oppose being’s principle</w:t>
      </w:r>
    </w:p>
    <w:p>
      <w:pPr>
        <w:widowControl/>
      </w:pPr>
      <w:r>
        <w:rPr>
          <w:b/>
          <w:i w:val="0"/>
        </w:rPr>
        <w:t>Further passage references.</w:t>
      </w:r>
      <w:r>
        <w:rPr>
          <w:b w:val="0"/>
          <w:i w:val="0"/>
        </w:rPr>
        <w:t xml:space="preserve"> II.2.14–15, pp. 112–115; II.4.2–6, pp. 122–125; II.7.7–10, pp. 146–149; II.7.20–23, pp. 152–155; II.12.16–II.12.18, PDF pp. 210–213.</w:t>
      </w:r>
    </w:p>
    <w:p>
      <w:pPr>
        <w:keepNext/>
        <w:widowControl/>
      </w:pPr>
      <w:r>
        <w:rPr>
          <w:b/>
          <w:i w:val="0"/>
        </w:rPr>
        <w:t>In this edition.</w:t>
      </w:r>
    </w:p>
    <w:p>
      <w:pPr>
        <w:widowControl/>
      </w:pPr>
      <w:r>
        <w:rPr>
          <w:b w:val="0"/>
          <w:i w:val="0"/>
        </w:rPr>
        <w:t xml:space="preserve">II.7.20’s priority of nonbeing is part of a causal argument just after both temporal-origin alternatives have been allowed. It should not force an earlier date of nonexistence on the hypothetical eternal world. </w:t>
      </w:r>
      <w:r>
        <w:t>“</w:t>
      </w:r>
      <w:r>
        <w:rPr>
          <w:b w:val="0"/>
          <w:i w:val="0"/>
        </w:rPr>
        <w:t>Next to nothing</w:t>
      </w:r>
      <w:r>
        <w:t>”</w:t>
      </w:r>
      <w:r>
        <w:rPr>
          <w:b w:val="0"/>
          <w:i w:val="0"/>
        </w:rPr>
        <w:t xml:space="preserve"> for matter at I.3.19 still affirms a recipient and must remain distinct.</w:t>
      </w:r>
    </w:p>
    <w:p>
      <w:pPr>
        <w:keepNext/>
        <w:widowControl/>
      </w:pPr>
      <w:r>
        <w:rPr>
          <w:b/>
          <w:i w:val="0"/>
        </w:rPr>
        <w:t>See also.</w:t>
      </w:r>
    </w:p>
    <w:p>
      <w:pPr>
        <w:widowControl/>
      </w:pPr>
      <w:hyperlink w:anchor="creation">
        <w:r>
          <w:rPr>
            <w:color w:val="000000"/>
          </w:rPr>
          <w:t xml:space="preserve">Creation</w:t>
        </w:r>
      </w:hyperlink>
      <w:r>
        <w:rPr>
          <w:b w:val="0"/>
          <w:i w:val="0"/>
        </w:rPr>
        <w:t xml:space="preserve">; </w:t>
      </w:r>
      <w:hyperlink w:anchor="good-and-goodness">
        <w:r>
          <w:rPr>
            <w:color w:val="000000"/>
          </w:rPr>
          <w:t xml:space="preserve">Good and goodness</w:t>
        </w:r>
      </w:hyperlink>
      <w:r>
        <w:rPr>
          <w:b w:val="0"/>
          <w:i w:val="0"/>
        </w:rPr>
        <w:t xml:space="preserve">; </w:t>
      </w:r>
      <w:hyperlink w:anchor="freedom-and-necessity">
        <w:r>
          <w:rPr>
            <w:color w:val="000000"/>
          </w:rPr>
          <w:t xml:space="preserve">Freedom and necessity</w:t>
        </w:r>
      </w:hyperlink>
      <w:r>
        <w:rPr>
          <w:b w:val="0"/>
          <w:i w:val="0"/>
        </w:rPr>
        <w:t xml:space="preserve">; </w:t>
      </w:r>
      <w:hyperlink w:anchor="being">
        <w:r>
          <w:rPr>
            <w:color w:val="000000"/>
          </w:rPr>
          <w:t xml:space="preserve">Being</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matter">
        <w:r>
          <w:rPr>
            <w:color w:val="000000"/>
          </w:rPr>
          <w:t xml:space="preserve">Matter</w:t>
        </w:r>
      </w:hyperlink>
      <w:r>
        <w:rPr>
          <w:b w:val="0"/>
          <w:i w:val="0"/>
        </w:rPr>
        <w:t xml:space="preserve">; </w:t>
      </w:r>
      <w:hyperlink w:anchor="infinity">
        <w:r>
          <w:rPr>
            <w:color w:val="000000"/>
          </w:rPr>
          <w:t xml:space="preserve">Infinity</w:t>
        </w:r>
      </w:hyperlink>
      <w:r>
        <w:rPr>
          <w:b w:val="0"/>
          <w:i w:val="0"/>
        </w:rPr>
        <w:t xml:space="preserve">; </w:t>
      </w:r>
      <w:hyperlink w:anchor="power-and-potency">
        <w:r>
          <w:rPr>
            <w:color w:val="000000"/>
          </w:rPr>
          <w:t xml:space="preserve">Power and potency</w:t>
        </w:r>
      </w:hyperlink>
    </w:p>
    <w:p>
      <w:bookmarkStart w:id="157" w:name="nourishment-digestion-and-growth"/>
      <w:pPr>
        <w:pStyle w:val="Heading2"/>
      </w:pPr>
      <w:r>
        <w:rPr>
          <w:b w:val="0"/>
          <w:i w:val="0"/>
        </w:rPr>
        <w:t>Nourishment, digestion and growth</w:t>
      </w:r>
      <w:bookmarkEnd w:id="157"/>
    </w:p>
    <w:p>
      <w:pPr>
        <w:keepNext/>
        <w:widowControl/>
      </w:pPr>
      <w:r>
        <w:rPr>
          <w:b/>
          <w:i w:val="0"/>
        </w:rPr>
        <w:t>Latin:</w:t>
      </w:r>
      <w:r>
        <w:rPr>
          <w:b w:val="0"/>
          <w:i w:val="0"/>
        </w:rPr>
        <w:t xml:space="preserve"> </w:t>
      </w:r>
      <w:r>
        <w:rPr>
          <w:b w:val="0"/>
          <w:i/>
        </w:rPr>
        <w:t>nutrimentum</w:t>
      </w:r>
      <w:r>
        <w:rPr>
          <w:b w:val="0"/>
          <w:i w:val="0"/>
        </w:rPr>
        <w:t xml:space="preserve">; </w:t>
      </w:r>
      <w:r>
        <w:rPr>
          <w:b w:val="0"/>
          <w:i/>
        </w:rPr>
        <w:t>concoquit</w:t>
      </w:r>
      <w:r>
        <w:rPr>
          <w:b w:val="0"/>
          <w:i w:val="0"/>
        </w:rPr>
        <w:t xml:space="preserve">; </w:t>
      </w:r>
      <w:r>
        <w:rPr>
          <w:b w:val="0"/>
          <w:i/>
        </w:rPr>
        <w:t>digerit</w:t>
      </w:r>
      <w:r>
        <w:rPr>
          <w:b w:val="0"/>
          <w:i w:val="0"/>
        </w:rPr>
        <w:t xml:space="preserve">; </w:t>
      </w:r>
      <w:r>
        <w:rPr>
          <w:b w:val="0"/>
          <w:i/>
        </w:rPr>
        <w:t>alimenta</w:t>
      </w:r>
      <w:r>
        <w:rPr>
          <w:b w:val="0"/>
          <w:i w:val="0"/>
        </w:rPr>
        <w:t xml:space="preserve">; </w:t>
      </w:r>
      <w:r>
        <w:rPr>
          <w:b w:val="0"/>
          <w:i/>
        </w:rPr>
        <w:t>suaviter et ordinate</w:t>
      </w:r>
      <w:r>
        <w:rPr>
          <w:b w:val="0"/>
          <w:i w:val="0"/>
        </w:rPr>
        <w:t xml:space="preserve">; </w:t>
      </w:r>
      <w:r>
        <w:rPr>
          <w:b w:val="0"/>
          <w:i/>
        </w:rPr>
        <w:t>conciliat</w:t>
      </w:r>
      <w:r>
        <w:rPr>
          <w:b w:val="0"/>
          <w:i w:val="0"/>
        </w:rPr>
        <w:t xml:space="preserve">; </w:t>
      </w:r>
      <w:r>
        <w:rPr>
          <w:b w:val="0"/>
          <w:i/>
        </w:rPr>
        <w:t>vivifica virtus</w:t>
      </w:r>
      <w:r>
        <w:rPr>
          <w:b w:val="0"/>
          <w:i w:val="0"/>
        </w:rPr>
        <w:t xml:space="preserve">.; alit; nutrit; digerit; dat vitam; sine electione; multa simul; </w:t>
      </w:r>
      <w:r>
        <w:rPr>
          <w:b w:val="0"/>
          <w:i/>
        </w:rPr>
        <w:t>nutritio</w:t>
      </w:r>
      <w:r>
        <w:rPr>
          <w:b w:val="0"/>
          <w:i w:val="0"/>
        </w:rPr>
        <w:t xml:space="preserve">, </w:t>
      </w:r>
      <w:r>
        <w:rPr>
          <w:b w:val="0"/>
          <w:i/>
        </w:rPr>
        <w:t>nutritionis</w:t>
      </w:r>
      <w:r>
        <w:rPr>
          <w:b w:val="0"/>
          <w:i w:val="0"/>
        </w:rPr>
        <w:t xml:space="preserve">, </w:t>
      </w:r>
      <w:r>
        <w:rPr>
          <w:b w:val="0"/>
          <w:i/>
        </w:rPr>
        <w:t>nutriri</w:t>
      </w:r>
      <w:r>
        <w:rPr>
          <w:b w:val="0"/>
          <w:i w:val="0"/>
        </w:rPr>
        <w:t xml:space="preserve">, </w:t>
      </w:r>
      <w:r>
        <w:rPr>
          <w:b w:val="0"/>
          <w:i/>
        </w:rPr>
        <w:t>nutrire</w:t>
      </w:r>
      <w:r>
        <w:rPr>
          <w:b w:val="0"/>
          <w:i w:val="0"/>
        </w:rPr>
        <w:t xml:space="preserve">, </w:t>
      </w:r>
      <w:r>
        <w:rPr>
          <w:b w:val="0"/>
          <w:i/>
        </w:rPr>
        <w:t>alit</w:t>
      </w:r>
      <w:r>
        <w:rPr>
          <w:b w:val="0"/>
          <w:i w:val="0"/>
        </w:rPr>
        <w:t xml:space="preserve">; </w:t>
      </w:r>
      <w:r>
        <w:rPr>
          <w:b w:val="0"/>
          <w:i/>
        </w:rPr>
        <w:t>augmentum</w:t>
      </w:r>
      <w:r>
        <w:rPr>
          <w:b w:val="0"/>
          <w:i w:val="0"/>
        </w:rPr>
        <w:t xml:space="preserve">, </w:t>
      </w:r>
      <w:r>
        <w:rPr>
          <w:b w:val="0"/>
          <w:i/>
        </w:rPr>
        <w:t>augmenti</w:t>
      </w:r>
      <w:r>
        <w:rPr>
          <w:b w:val="0"/>
          <w:i w:val="0"/>
        </w:rPr>
        <w:t xml:space="preserve">, </w:t>
      </w:r>
      <w:r>
        <w:rPr>
          <w:b w:val="0"/>
          <w:i/>
        </w:rPr>
        <w:t>augeri</w:t>
      </w:r>
      <w:r>
        <w:rPr>
          <w:b w:val="0"/>
          <w:i w:val="0"/>
        </w:rPr>
        <w:t xml:space="preserve">, </w:t>
      </w:r>
      <w:r>
        <w:rPr>
          <w:b w:val="0"/>
          <w:i/>
        </w:rPr>
        <w:t>augere</w:t>
      </w:r>
      <w:r>
        <w:rPr>
          <w:b w:val="0"/>
          <w:i w:val="0"/>
        </w:rPr>
        <w:t xml:space="preserve">, </w:t>
      </w:r>
      <w:r>
        <w:rPr>
          <w:b w:val="0"/>
          <w:i/>
        </w:rPr>
        <w:t>crescunt</w:t>
      </w:r>
      <w:r>
        <w:rPr>
          <w:b w:val="0"/>
          <w:i w:val="0"/>
        </w:rPr>
        <w:t xml:space="preserve">; </w:t>
      </w:r>
      <w:r>
        <w:rPr>
          <w:b w:val="0"/>
          <w:i/>
        </w:rPr>
        <w:t>fomentum</w:t>
      </w:r>
      <w:r>
        <w:rPr>
          <w:b w:val="0"/>
          <w:i w:val="0"/>
        </w:rPr>
        <w:t xml:space="preserve">, </w:t>
      </w:r>
      <w:r>
        <w:rPr>
          <w:b w:val="0"/>
          <w:i/>
        </w:rPr>
        <w:t>fovere</w:t>
      </w:r>
      <w:r>
        <w:rPr>
          <w:b w:val="0"/>
          <w:i w:val="0"/>
        </w:rPr>
        <w:t xml:space="preserve"> (dictionary infinitive), with the attested forms </w:t>
      </w:r>
      <w:r>
        <w:rPr>
          <w:b w:val="0"/>
          <w:i/>
        </w:rPr>
        <w:t>foveant</w:t>
      </w:r>
      <w:r>
        <w:rPr>
          <w:b w:val="0"/>
          <w:i w:val="0"/>
        </w:rPr>
        <w:t xml:space="preserve">, </w:t>
      </w:r>
      <w:r>
        <w:rPr>
          <w:b w:val="0"/>
          <w:i/>
        </w:rPr>
        <w:t>fomento</w:t>
      </w:r>
      <w:r>
        <w:rPr>
          <w:b w:val="0"/>
          <w:i w:val="0"/>
        </w:rPr>
        <w:t xml:space="preserve">, </w:t>
      </w:r>
      <w:r>
        <w:rPr>
          <w:b w:val="0"/>
          <w:i/>
        </w:rPr>
        <w:t>fovet</w:t>
      </w:r>
      <w:r>
        <w:rPr>
          <w:b w:val="0"/>
          <w:i w:val="0"/>
        </w:rPr>
        <w:t>.</w:t>
      </w:r>
    </w:p>
    <w:p>
      <w:pPr>
        <w:keepNext/>
        <w:widowControl/>
      </w:pPr>
      <w:r>
        <w:rPr>
          <w:b/>
          <w:i w:val="0"/>
        </w:rPr>
        <w:t>The word.</w:t>
      </w:r>
    </w:p>
    <w:p>
      <w:pPr>
        <w:widowControl/>
      </w:pPr>
      <w:r>
        <w:rPr>
          <w:b w:val="0"/>
          <w:i/>
        </w:rPr>
        <w:t>Concoquere</w:t>
      </w:r>
      <w:r>
        <w:rPr>
          <w:b w:val="0"/>
          <w:i w:val="0"/>
        </w:rPr>
        <w:t xml:space="preserve"> is to cook or digest; </w:t>
      </w:r>
      <w:r>
        <w:rPr>
          <w:b w:val="0"/>
          <w:i/>
        </w:rPr>
        <w:t>digerere</w:t>
      </w:r>
      <w:r>
        <w:rPr>
          <w:b w:val="0"/>
          <w:i w:val="0"/>
        </w:rPr>
        <w:t xml:space="preserve"> here digests or distributes into an ordered condition. </w:t>
      </w:r>
      <w:r>
        <w:rPr>
          <w:b w:val="0"/>
          <w:i/>
        </w:rPr>
        <w:t>Nutrimentum</w:t>
      </w:r>
      <w:r>
        <w:rPr>
          <w:b w:val="0"/>
          <w:i w:val="0"/>
        </w:rPr>
        <w:t xml:space="preserve"> and </w:t>
      </w:r>
      <w:r>
        <w:rPr>
          <w:b w:val="0"/>
          <w:i/>
        </w:rPr>
        <w:t>alimenta</w:t>
      </w:r>
      <w:r>
        <w:rPr>
          <w:b w:val="0"/>
          <w:i w:val="0"/>
        </w:rPr>
        <w:t xml:space="preserve"> name nourishment or food, while </w:t>
      </w:r>
      <w:r>
        <w:rPr>
          <w:b w:val="0"/>
          <w:i/>
        </w:rPr>
        <w:t>alere</w:t>
      </w:r>
      <w:r>
        <w:rPr>
          <w:b w:val="0"/>
          <w:i w:val="0"/>
        </w:rPr>
        <w:t xml:space="preserve"> and </w:t>
      </w:r>
      <w:r>
        <w:rPr>
          <w:b w:val="0"/>
          <w:i/>
        </w:rPr>
        <w:t>nutrire</w:t>
      </w:r>
      <w:r>
        <w:rPr>
          <w:b w:val="0"/>
          <w:i w:val="0"/>
        </w:rPr>
        <w:t xml:space="preserve"> nourish or sustain. </w:t>
      </w:r>
      <w:r>
        <w:rPr>
          <w:b w:val="0"/>
          <w:i/>
        </w:rPr>
        <w:t>Conciliare</w:t>
      </w:r>
      <w:r>
        <w:rPr>
          <w:b w:val="0"/>
          <w:i w:val="0"/>
        </w:rPr>
        <w:t xml:space="preserve"> brings opposed things into agreement. </w:t>
      </w:r>
      <w:r>
        <w:rPr>
          <w:b w:val="0"/>
          <w:i/>
        </w:rPr>
        <w:t>Nutritio</w:t>
      </w:r>
      <w:r>
        <w:rPr>
          <w:b w:val="0"/>
          <w:i w:val="0"/>
        </w:rPr>
        <w:t xml:space="preserve">, </w:t>
      </w:r>
      <w:r>
        <w:rPr>
          <w:b w:val="0"/>
          <w:i/>
        </w:rPr>
        <w:t>augmentum</w:t>
      </w:r>
      <w:r>
        <w:rPr>
          <w:b w:val="0"/>
          <w:i w:val="0"/>
        </w:rPr>
        <w:t xml:space="preserve"> and </w:t>
      </w:r>
      <w:r>
        <w:rPr>
          <w:b w:val="0"/>
          <w:i/>
        </w:rPr>
        <w:t>generatio</w:t>
      </w:r>
      <w:r>
        <w:rPr>
          <w:b w:val="0"/>
          <w:i w:val="0"/>
        </w:rPr>
        <w:t xml:space="preserve"> distinguish nourishment, growth and coming-to-be. </w:t>
      </w:r>
      <w:r>
        <w:rPr>
          <w:b w:val="0"/>
          <w:i/>
        </w:rPr>
        <w:t>Fovere</w:t>
      </w:r>
      <w:r>
        <w:rPr>
          <w:b w:val="0"/>
          <w:i w:val="0"/>
        </w:rPr>
        <w:t xml:space="preserve"> fosters or supports, with its object determining whether it concerns offspring, a seed, sight or a whole elemental globe. </w:t>
      </w:r>
      <w:r>
        <w:rPr>
          <w:b w:val="0"/>
          <w:i/>
        </w:rPr>
        <w:t>Dare vitam</w:t>
      </w:r>
      <w:r>
        <w:rPr>
          <w:b w:val="0"/>
          <w:i w:val="0"/>
        </w:rPr>
        <w:t xml:space="preserve"> gives life. These connected operations carry several arguments and should not be reduced to the mere consumption of fuel.</w:t>
      </w:r>
    </w:p>
    <w:p>
      <w:pPr>
        <w:keepNext/>
        <w:widowControl/>
      </w:pPr>
      <w:r>
        <w:rPr>
          <w:b/>
          <w:i w:val="0"/>
        </w:rPr>
        <w:t>In the Platonic Theology.</w:t>
      </w:r>
    </w:p>
    <w:p>
      <w:pPr>
        <w:widowControl/>
      </w:pPr>
      <w:r>
        <w:rPr>
          <w:b w:val="0"/>
          <w:i w:val="0"/>
        </w:rPr>
        <w:t xml:space="preserve">Ficino asks what transforms nonliving food into living form, transfers heavy and light materials against their usual directions as life requires, and reconciles constituents </w:t>
      </w:r>
      <w:r>
        <w:t>“</w:t>
      </w:r>
      <w:r>
        <w:rPr>
          <w:b w:val="0"/>
          <w:i w:val="0"/>
        </w:rPr>
        <w:t>at war</w:t>
      </w:r>
      <w:r>
        <w:t>”</w:t>
      </w:r>
      <w:r>
        <w:rPr>
          <w:b w:val="0"/>
          <w:i w:val="0"/>
        </w:rPr>
        <w:t xml:space="preserve"> with one another. He contrasts orderly, gentle digestion with violent destruction. Mere fiery heat, or one quality belonging to the conflicting constituents, cannot in his argument explain their coordinated transformation. He therefore identifies a higher, indivisible, life-giving power and asks the reader to consider the universe by analogy with the human case. This is an inference from his physiological model, not a modern account of metabolism. Later, nourishing, growing and generating the body exemplify the soul’s temporal operation: those processes take time even though he holds the soul’s essence stable.</w:t>
      </w:r>
    </w:p>
    <w:p>
      <w:pPr>
        <w:widowControl/>
      </w:pPr>
      <w:r>
        <w:rPr>
          <w:b w:val="0"/>
          <w:i w:val="0"/>
        </w:rPr>
        <w:t>The human soul does many things by choice but gives the body life without choice through its being. It also nourishes and digests many things at once without anxiety and labor. These are examples in a hierarchy of operations: deliberative action depends on essential activity, which in turn depends on the first cause’s pure being.</w:t>
      </w:r>
    </w:p>
    <w:p>
      <w:pPr>
        <w:widowControl/>
      </w:pPr>
      <w:r>
        <w:rPr>
          <w:b w:val="0"/>
          <w:i w:val="0"/>
        </w:rPr>
        <w:t>Ficino’s argument is not that every human action is involuntary, or that a person need not eat. Nor does the illustration supply a modern physiological explanation of digestion. Its philosophical role is to show that a source can sustain multiple operations without selecting each afresh, and that even choice itself must arise without an endless chain of preceding choices.</w:t>
      </w:r>
    </w:p>
    <w:p>
      <w:pPr>
        <w:widowControl/>
      </w:pPr>
      <w:r>
        <w:rPr>
          <w:b w:val="0"/>
          <w:i w:val="0"/>
        </w:rPr>
        <w:t>Book IV begins with an inference from the ordinary life of growing things to the life of earth and water. Nothing can be nourished or enlarged, Ficino says, without the generation of some of its parts. Consequently, what exhibits generation followed by nourishment and growth gives evidence of life and soul. The sequence matters: growth is not an additional invisible substance; it is an observed activity used to argue for a source. Plants and stones are treated as remaining dependent upon earth while rooted or attached, whereas animals continue living after bodily separation. That contrast supports his distinction between an element’s common soul and a creature’s proper soul.</w:t>
      </w:r>
    </w:p>
    <w:p>
      <w:pPr>
        <w:widowControl/>
      </w:pPr>
      <w:r>
        <w:rPr>
          <w:b w:val="0"/>
          <w:i w:val="0"/>
        </w:rPr>
        <w:t>Fostering also differentiates the roles of bodily and spiritual seeds. An abandoned bodily seed may receive an external fostering influence; the proposed living nature both produces where such seeds are absent and fosters seeds left by animals. The source therefore does not make every new organism an instance of generation without a bodily seed. Its claims about stones, unseeded plants, and spontaneous generation belong to this historical natural philosophy.</w:t>
      </w:r>
    </w:p>
    <w:p>
      <w:pPr>
        <w:keepNext/>
        <w:widowControl/>
      </w:pPr>
      <w:r>
        <w:rPr>
          <w:b/>
          <w:i w:val="0"/>
        </w:rPr>
        <w:t>The places.</w:t>
      </w:r>
    </w:p>
    <w:p>
      <w:pPr>
        <w:ind w:left="187" w:hanging="187"/>
      </w:pPr>
      <w:r>
        <w:t xml:space="preserve">• </w:t>
      </w:r>
      <w:r>
        <w:rPr>
          <w:b/>
          <w:i w:val="0"/>
        </w:rPr>
        <w:t>I.3.23, PDF 44–45.</w:t>
      </w:r>
      <w:r>
        <w:rPr>
          <w:b w:val="0"/>
          <w:i w:val="0"/>
        </w:rPr>
        <w:t xml:space="preserve"> Digestion becomes an example of coordinated life exceeding a single bodily quality</w:t>
      </w:r>
    </w:p>
    <w:p>
      <w:pPr>
        <w:ind w:left="187" w:hanging="187"/>
      </w:pPr>
      <w:r>
        <w:t xml:space="preserve">• </w:t>
      </w:r>
      <w:r>
        <w:rPr>
          <w:b/>
          <w:i w:val="0"/>
        </w:rPr>
        <w:t>I.5.1, PDF 60–61.</w:t>
      </w:r>
      <w:r>
        <w:rPr>
          <w:b w:val="0"/>
          <w:i w:val="0"/>
        </w:rPr>
        <w:t xml:space="preserve"> Nourishment, growth and generation distinguish temporal operation from stable essence</w:t>
      </w:r>
    </w:p>
    <w:p>
      <w:pPr>
        <w:ind w:left="187" w:hanging="187"/>
      </w:pPr>
      <w:r>
        <w:t xml:space="preserve">• </w:t>
      </w:r>
      <w:r>
        <w:rPr>
          <w:b w:val="0"/>
          <w:i w:val="0"/>
        </w:rPr>
        <w:t>II.8.2, II.8.3 (PDF pp. 160–161): Soul’s imparting life is distinguished from its chosen activities</w:t>
      </w:r>
    </w:p>
    <w:p>
      <w:pPr>
        <w:ind w:left="187" w:hanging="187"/>
      </w:pPr>
      <w:r>
        <w:t xml:space="preserve">• </w:t>
      </w:r>
      <w:r>
        <w:rPr>
          <w:b w:val="0"/>
          <w:i w:val="0"/>
        </w:rPr>
        <w:t>II.8.5 (PDF pp. 162–163): Simultaneous nutrition and digestion illustrate activity without anxious deliberation</w:t>
      </w:r>
    </w:p>
    <w:p>
      <w:pPr>
        <w:ind w:left="187" w:hanging="187"/>
      </w:pPr>
      <w:r>
        <w:t xml:space="preserve">• </w:t>
      </w:r>
      <w:r>
        <w:rPr>
          <w:b/>
          <w:i w:val="0"/>
        </w:rPr>
        <w:t>IV.1.1–2, PDF pp. 282–283:</w:t>
      </w:r>
      <w:r>
        <w:rPr>
          <w:b w:val="0"/>
          <w:i w:val="0"/>
        </w:rPr>
        <w:t xml:space="preserve"> generation of parts grounds nourishment and increase; earth is described as feeding its offspring</w:t>
      </w:r>
    </w:p>
    <w:p>
      <w:pPr>
        <w:ind w:left="187" w:hanging="187"/>
      </w:pPr>
      <w:r>
        <w:t xml:space="preserve">• </w:t>
      </w:r>
      <w:r>
        <w:rPr>
          <w:b/>
          <w:i w:val="0"/>
        </w:rPr>
        <w:t>IV.1.14–16, pp. 288–291:</w:t>
      </w:r>
      <w:r>
        <w:rPr>
          <w:b w:val="0"/>
          <w:i w:val="0"/>
        </w:rPr>
        <w:t xml:space="preserve"> external fostering and the nurture of abandoned bodily seeds are distinguished from production without them</w:t>
      </w:r>
    </w:p>
    <w:p>
      <w:pPr>
        <w:ind w:left="187" w:hanging="187"/>
      </w:pPr>
      <w:r>
        <w:t xml:space="preserve">• </w:t>
      </w:r>
      <w:r>
        <w:rPr>
          <w:b/>
          <w:i w:val="0"/>
        </w:rPr>
        <w:t>IV.1.78, pp. 322–323:</w:t>
      </w:r>
      <w:r>
        <w:rPr>
          <w:b w:val="0"/>
          <w:i w:val="0"/>
        </w:rPr>
        <w:t xml:space="preserve"> attachment to earth distinguishes the growth of plants and stones from the life of separated animals</w:t>
      </w:r>
    </w:p>
    <w:p>
      <w:pPr>
        <w:ind w:left="187" w:hanging="187"/>
      </w:pPr>
      <w:r>
        <w:t xml:space="preserve">• </w:t>
      </w:r>
      <w:r>
        <w:rPr>
          <w:b/>
          <w:i w:val="0"/>
        </w:rPr>
        <w:t>IV.2.20, pp. 344–345:</w:t>
      </w:r>
      <w:r>
        <w:rPr>
          <w:b w:val="0"/>
          <w:i w:val="0"/>
        </w:rPr>
        <w:t xml:space="preserve"> celestial alternation is said to illuminate and foster the elemental globe on all sides</w:t>
      </w:r>
    </w:p>
    <w:p>
      <w:pPr>
        <w:keepNext/>
        <w:widowControl/>
      </w:pPr>
      <w:r>
        <w:rPr>
          <w:b/>
          <w:i w:val="0"/>
        </w:rPr>
        <w:t>In this edition.</w:t>
      </w:r>
    </w:p>
    <w:p>
      <w:pPr>
        <w:widowControl/>
      </w:pPr>
      <w:r>
        <w:t>“</w:t>
      </w:r>
      <w:r>
        <w:rPr>
          <w:b w:val="0"/>
          <w:i w:val="0"/>
        </w:rPr>
        <w:t>Cooks and digests</w:t>
      </w:r>
      <w:r>
        <w:t>”</w:t>
      </w:r>
      <w:r>
        <w:rPr>
          <w:b w:val="0"/>
          <w:i w:val="0"/>
        </w:rPr>
        <w:t xml:space="preserve"> preserves the paired verbs at I.3.23. </w:t>
      </w:r>
      <w:r>
        <w:t>“</w:t>
      </w:r>
      <w:r>
        <w:rPr>
          <w:b w:val="0"/>
          <w:i w:val="0"/>
        </w:rPr>
        <w:t>Gently</w:t>
      </w:r>
      <w:r>
        <w:t>”</w:t>
      </w:r>
      <w:r>
        <w:rPr>
          <w:b w:val="0"/>
          <w:i w:val="0"/>
        </w:rPr>
        <w:t xml:space="preserve"> renders </w:t>
      </w:r>
      <w:r>
        <w:rPr>
          <w:b w:val="0"/>
          <w:i/>
        </w:rPr>
        <w:t>suaviter</w:t>
      </w:r>
      <w:r>
        <w:rPr>
          <w:b w:val="0"/>
          <w:i w:val="0"/>
        </w:rPr>
        <w:t xml:space="preserve"> in an argument about ordered assimilation, rather than offering dietary advice. The printed </w:t>
      </w:r>
      <w:r>
        <w:rPr>
          <w:b w:val="0"/>
          <w:i/>
        </w:rPr>
        <w:t>vincitque in unum</w:t>
      </w:r>
      <w:r>
        <w:rPr>
          <w:b w:val="0"/>
          <w:i w:val="0"/>
        </w:rPr>
        <w:t xml:space="preserve"> is rendered </w:t>
      </w:r>
      <w:r>
        <w:t>“</w:t>
      </w:r>
      <w:r>
        <w:rPr>
          <w:b w:val="0"/>
          <w:i w:val="0"/>
        </w:rPr>
        <w:t>binds them into one</w:t>
      </w:r>
      <w:r>
        <w:t>”</w:t>
      </w:r>
      <w:r>
        <w:rPr>
          <w:b w:val="0"/>
          <w:i w:val="0"/>
        </w:rPr>
        <w:t xml:space="preserve">; the supplied apparatus explicitly adopts this constructive sense (source PDF p. 360), and no conjectural replacement is silently introduced. The later shifts among </w:t>
      </w:r>
      <w:r>
        <w:t>“</w:t>
      </w:r>
      <w:r>
        <w:rPr>
          <w:b w:val="0"/>
          <w:i w:val="0"/>
        </w:rPr>
        <w:t>nourishes,</w:t>
      </w:r>
      <w:r>
        <w:t>”</w:t>
      </w:r>
      <w:r>
        <w:rPr>
          <w:b w:val="0"/>
          <w:i w:val="0"/>
        </w:rPr>
        <w:t xml:space="preserve"> </w:t>
      </w:r>
      <w:r>
        <w:t>“</w:t>
      </w:r>
      <w:r>
        <w:rPr>
          <w:b w:val="0"/>
          <w:i w:val="0"/>
        </w:rPr>
        <w:t>digests,</w:t>
      </w:r>
      <w:r>
        <w:t>”</w:t>
      </w:r>
      <w:r>
        <w:rPr>
          <w:b w:val="0"/>
          <w:i w:val="0"/>
        </w:rPr>
        <w:t xml:space="preserve"> </w:t>
      </w:r>
      <w:r>
        <w:t>“</w:t>
      </w:r>
      <w:r>
        <w:rPr>
          <w:b w:val="0"/>
          <w:i w:val="0"/>
        </w:rPr>
        <w:t>gives life,</w:t>
      </w:r>
      <w:r>
        <w:t>”</w:t>
      </w:r>
      <w:r>
        <w:rPr>
          <w:b w:val="0"/>
          <w:i w:val="0"/>
        </w:rPr>
        <w:t xml:space="preserve"> </w:t>
      </w:r>
      <w:r>
        <w:t>“</w:t>
      </w:r>
      <w:r>
        <w:rPr>
          <w:b w:val="0"/>
          <w:i w:val="0"/>
        </w:rPr>
        <w:t>grows</w:t>
      </w:r>
      <w:r>
        <w:t>”</w:t>
      </w:r>
      <w:r>
        <w:rPr>
          <w:b w:val="0"/>
          <w:i w:val="0"/>
        </w:rPr>
        <w:t xml:space="preserve"> and </w:t>
      </w:r>
      <w:r>
        <w:t>“</w:t>
      </w:r>
      <w:r>
        <w:rPr>
          <w:b w:val="0"/>
          <w:i w:val="0"/>
        </w:rPr>
        <w:t>fosters</w:t>
      </w:r>
      <w:r>
        <w:t>”</w:t>
      </w:r>
      <w:r>
        <w:rPr>
          <w:b w:val="0"/>
          <w:i w:val="0"/>
        </w:rPr>
        <w:t xml:space="preserve"> preserve distinct operations. Repeating the inference to an animating natural source does not endorse its historical biology.</w:t>
      </w:r>
    </w:p>
    <w:p>
      <w:pPr>
        <w:keepNext/>
        <w:widowControl/>
      </w:pPr>
      <w:r>
        <w:rPr>
          <w:b/>
          <w:i w:val="0"/>
        </w:rPr>
        <w:t>See also.</w:t>
      </w:r>
    </w:p>
    <w:p>
      <w:pPr>
        <w:widowControl/>
      </w:pPr>
      <w:hyperlink w:anchor="life">
        <w:r>
          <w:rPr>
            <w:color w:val="000000"/>
          </w:rPr>
          <w:t xml:space="preserve">Life</w:t>
        </w:r>
      </w:hyperlink>
      <w:r>
        <w:rPr>
          <w:b w:val="0"/>
          <w:i w:val="0"/>
        </w:rPr>
        <w:t xml:space="preserve">; </w:t>
      </w:r>
      <w:hyperlink w:anchor="order-and-harmony">
        <w:r>
          <w:rPr>
            <w:color w:val="000000"/>
          </w:rPr>
          <w:t xml:space="preserve">Order and harmony</w:t>
        </w:r>
      </w:hyperlink>
      <w:r>
        <w:rPr>
          <w:b w:val="0"/>
          <w:i w:val="0"/>
        </w:rPr>
        <w:t xml:space="preserve">; </w:t>
      </w:r>
      <w:hyperlink w:anchor="contraries-and-opposition">
        <w:r>
          <w:rPr>
            <w:color w:val="000000"/>
          </w:rPr>
          <w:t xml:space="preserve">Contraries and opposition</w:t>
        </w:r>
      </w:hyperlink>
      <w:r>
        <w:rPr>
          <w:b w:val="0"/>
          <w:i w:val="0"/>
        </w:rPr>
        <w:t xml:space="preserve">; </w:t>
      </w:r>
      <w:hyperlink w:anchor="act-and-operation">
        <w:r>
          <w:rPr>
            <w:color w:val="000000"/>
          </w:rPr>
          <w:t xml:space="preserve">Act and operation</w:t>
        </w:r>
      </w:hyperlink>
      <w:r>
        <w:rPr>
          <w:b w:val="0"/>
          <w:i w:val="0"/>
        </w:rPr>
        <w:t>.</w:t>
      </w:r>
    </w:p>
    <w:p>
      <w:pPr>
        <w:widowControl/>
      </w:pPr>
      <w:hyperlink w:anchor="life">
        <w:r>
          <w:rPr>
            <w:color w:val="000000"/>
          </w:rPr>
          <w:t xml:space="preserve">Life</w:t>
        </w:r>
      </w:hyperlink>
      <w:r>
        <w:rPr>
          <w:b w:val="0"/>
          <w:i w:val="0"/>
        </w:rPr>
        <w:t xml:space="preserve">; </w:t>
      </w:r>
      <w:hyperlink w:anchor="soul">
        <w:r>
          <w:rPr>
            <w:color w:val="000000"/>
          </w:rPr>
          <w:t xml:space="preserve">Soul</w:t>
        </w:r>
      </w:hyperlink>
      <w:r>
        <w:rPr>
          <w:b w:val="0"/>
          <w:i w:val="0"/>
        </w:rPr>
        <w:t xml:space="preserve">; </w:t>
      </w:r>
      <w:hyperlink w:anchor="choice-and-deliberation">
        <w:r>
          <w:rPr>
            <w:color w:val="000000"/>
          </w:rPr>
          <w:t xml:space="preserve">Choice and deliberation</w:t>
        </w:r>
      </w:hyperlink>
      <w:r>
        <w:rPr>
          <w:b w:val="0"/>
          <w:i w:val="0"/>
        </w:rPr>
        <w:t xml:space="preserve">; </w:t>
      </w:r>
      <w:hyperlink w:anchor="burden-labor-and-ease">
        <w:r>
          <w:rPr>
            <w:color w:val="000000"/>
          </w:rPr>
          <w:t xml:space="preserve">Burden labor and ease</w:t>
        </w:r>
      </w:hyperlink>
      <w:r>
        <w:rPr>
          <w:b w:val="0"/>
          <w:i w:val="0"/>
        </w:rPr>
        <w:t>.</w:t>
      </w:r>
    </w:p>
    <w:p>
      <w:pPr>
        <w:widowControl/>
      </w:pPr>
      <w:hyperlink w:anchor="generation-and-corruption">
        <w:r>
          <w:rPr>
            <w:color w:val="000000"/>
          </w:rPr>
          <w:t xml:space="preserve">Generation and corruption</w:t>
        </w:r>
      </w:hyperlink>
      <w:r>
        <w:rPr>
          <w:b w:val="0"/>
          <w:i w:val="0"/>
        </w:rPr>
        <w:t xml:space="preserve">; </w:t>
      </w:r>
      <w:hyperlink w:anchor="earth-soul">
        <w:r>
          <w:rPr>
            <w:color w:val="000000"/>
          </w:rPr>
          <w:t xml:space="preserve">Earth soul</w:t>
        </w:r>
      </w:hyperlink>
      <w:r>
        <w:rPr>
          <w:b w:val="0"/>
          <w:i w:val="0"/>
        </w:rPr>
        <w:t xml:space="preserve">; </w:t>
      </w:r>
      <w:hyperlink w:anchor="seeds">
        <w:r>
          <w:rPr>
            <w:color w:val="000000"/>
          </w:rPr>
          <w:t xml:space="preserve">Seeds</w:t>
        </w:r>
      </w:hyperlink>
      <w:r>
        <w:rPr>
          <w:b w:val="0"/>
          <w:i w:val="0"/>
        </w:rPr>
        <w:t xml:space="preserve">; </w:t>
      </w:r>
      <w:hyperlink w:anchor="earth-as-mother">
        <w:r>
          <w:rPr>
            <w:color w:val="000000"/>
          </w:rPr>
          <w:t xml:space="preserve">Earth as mother</w:t>
        </w:r>
      </w:hyperlink>
      <w:r>
        <w:rPr>
          <w:b w:val="0"/>
          <w:i w:val="0"/>
        </w:rPr>
        <w:t>.</w:t>
      </w:r>
    </w:p>
    <w:p>
      <w:bookmarkStart w:id="158" w:name="number"/>
      <w:pPr>
        <w:pStyle w:val="Heading2"/>
      </w:pPr>
      <w:r>
        <w:rPr>
          <w:b w:val="0"/>
          <w:i w:val="0"/>
        </w:rPr>
        <w:t>Number</w:t>
      </w:r>
      <w:bookmarkEnd w:id="158"/>
    </w:p>
    <w:p>
      <w:pPr>
        <w:keepNext/>
        <w:widowControl/>
      </w:pPr>
      <w:r>
        <w:rPr>
          <w:b/>
          <w:i w:val="0"/>
        </w:rPr>
        <w:t>Latin:</w:t>
      </w:r>
      <w:r>
        <w:rPr>
          <w:b w:val="0"/>
          <w:i w:val="0"/>
        </w:rPr>
        <w:t xml:space="preserve"> </w:t>
      </w:r>
      <w:r>
        <w:rPr>
          <w:b w:val="0"/>
          <w:i/>
        </w:rPr>
        <w:t>numerus</w:t>
      </w:r>
      <w:r>
        <w:rPr>
          <w:b w:val="0"/>
          <w:i w:val="0"/>
        </w:rPr>
        <w:t xml:space="preserve">; </w:t>
      </w:r>
      <w:r>
        <w:rPr>
          <w:b w:val="0"/>
          <w:i/>
        </w:rPr>
        <w:t>unitas</w:t>
      </w:r>
      <w:r>
        <w:rPr>
          <w:b w:val="0"/>
          <w:i w:val="0"/>
        </w:rPr>
        <w:t xml:space="preserve">; </w:t>
      </w:r>
      <w:r>
        <w:rPr>
          <w:b w:val="0"/>
          <w:i/>
        </w:rPr>
        <w:t>multitudo</w:t>
      </w:r>
      <w:r>
        <w:rPr>
          <w:b w:val="0"/>
          <w:i w:val="0"/>
        </w:rPr>
        <w:t xml:space="preserve">; </w:t>
      </w:r>
      <w:r>
        <w:rPr>
          <w:b w:val="0"/>
          <w:i/>
        </w:rPr>
        <w:t>innumerus</w:t>
      </w:r>
      <w:r>
        <w:rPr>
          <w:b w:val="0"/>
          <w:i w:val="0"/>
        </w:rPr>
        <w:t xml:space="preserve">; </w:t>
      </w:r>
      <w:r>
        <w:rPr>
          <w:b w:val="0"/>
          <w:i/>
        </w:rPr>
        <w:t>infinitus</w:t>
      </w:r>
      <w:r>
        <w:rPr>
          <w:b w:val="0"/>
          <w:i w:val="0"/>
        </w:rPr>
        <w:t xml:space="preserve">; </w:t>
      </w:r>
      <w:r>
        <w:rPr>
          <w:b w:val="0"/>
          <w:i/>
        </w:rPr>
        <w:t>ternario</w:t>
      </w:r>
      <w:r>
        <w:rPr>
          <w:b w:val="0"/>
          <w:i w:val="0"/>
        </w:rPr>
        <w:t xml:space="preserve">; </w:t>
      </w:r>
      <w:r>
        <w:rPr>
          <w:b w:val="0"/>
          <w:i/>
        </w:rPr>
        <w:t>novenario</w:t>
      </w:r>
      <w:r>
        <w:rPr>
          <w:b w:val="0"/>
          <w:i w:val="0"/>
        </w:rPr>
        <w:t xml:space="preserve">; </w:t>
      </w:r>
      <w:r>
        <w:rPr>
          <w:b w:val="0"/>
          <w:i/>
        </w:rPr>
        <w:t>septenario</w:t>
      </w:r>
      <w:r>
        <w:rPr>
          <w:b w:val="0"/>
          <w:i w:val="0"/>
        </w:rPr>
        <w:t xml:space="preserve">; </w:t>
      </w:r>
      <w:r>
        <w:rPr>
          <w:b w:val="0"/>
          <w:i/>
        </w:rPr>
        <w:t>duodenario</w:t>
      </w:r>
      <w:r>
        <w:rPr>
          <w:b w:val="0"/>
          <w:i w:val="0"/>
        </w:rPr>
        <w:t xml:space="preserve">; </w:t>
      </w:r>
      <w:r>
        <w:rPr>
          <w:b w:val="0"/>
          <w:i/>
        </w:rPr>
        <w:t>multiplicatio numeri</w:t>
      </w:r>
      <w:r>
        <w:rPr>
          <w:b w:val="0"/>
          <w:i w:val="0"/>
        </w:rPr>
        <w:t xml:space="preserve">; </w:t>
      </w:r>
      <w:r>
        <w:rPr>
          <w:b w:val="0"/>
          <w:i/>
        </w:rPr>
        <w:t>enumerare</w:t>
      </w:r>
      <w:r>
        <w:rPr>
          <w:b w:val="0"/>
          <w:i w:val="0"/>
        </w:rPr>
        <w:t xml:space="preserve">; </w:t>
      </w:r>
      <w:r>
        <w:rPr>
          <w:b w:val="0"/>
          <w:i/>
        </w:rPr>
        <w:t>species numerorum</w:t>
      </w:r>
      <w:r>
        <w:rPr>
          <w:b w:val="0"/>
          <w:i w:val="0"/>
        </w:rPr>
        <w:t xml:space="preserve">; </w:t>
      </w:r>
      <w:r>
        <w:rPr>
          <w:b w:val="0"/>
          <w:i/>
        </w:rPr>
        <w:t>numerum se moventem</w:t>
      </w:r>
      <w:r>
        <w:rPr>
          <w:b w:val="0"/>
          <w:i w:val="0"/>
        </w:rPr>
        <w:t xml:space="preserve">; </w:t>
      </w:r>
      <w:r>
        <w:rPr>
          <w:b w:val="0"/>
          <w:i/>
        </w:rPr>
        <w:t>naturam multiplicem</w:t>
      </w:r>
    </w:p>
    <w:p>
      <w:pPr>
        <w:keepNext/>
        <w:widowControl/>
      </w:pPr>
      <w:r>
        <w:rPr>
          <w:b/>
          <w:i w:val="0"/>
        </w:rPr>
        <w:t>The word.</w:t>
      </w:r>
    </w:p>
    <w:p>
      <w:pPr>
        <w:widowControl/>
      </w:pPr>
      <w:r>
        <w:rPr>
          <w:b w:val="0"/>
          <w:i w:val="0"/>
        </w:rPr>
        <w:t>Numerus is number; multitudo a multitude; innumerus and innumerabilis an unnumbered or uncountable plurality; enumerare counting off. Numerical unity, species-unity, and divine unity are not identical. In the self-moving-number formula, Ficino expressly glosses number as a manifold nature.</w:t>
      </w:r>
    </w:p>
    <w:p>
      <w:pPr>
        <w:keepNext/>
        <w:widowControl/>
      </w:pPr>
      <w:r>
        <w:rPr>
          <w:b/>
          <w:i w:val="0"/>
        </w:rPr>
        <w:t>In the Platonic Theology.</w:t>
      </w:r>
    </w:p>
    <w:p>
      <w:pPr>
        <w:widowControl/>
      </w:pPr>
      <w:r>
        <w:rPr>
          <w:b w:val="0"/>
          <w:i w:val="0"/>
        </w:rPr>
        <w:t>Number supports several different arguments concerning abstraction, multiplicity, infinity, and soul. In the ascent of Book I, numbers require parts but not spatial position, unlike bodily dimensions. The mind then rises beyond numerical unity, which is accidental, toward substantial unity. Angel likewise contains intelligible distinctions without bodily division, while God is above number as its unifying source. Ficino compares incorporeal number with bodily dimension to explain how intellectual abundance can exceed bodily greatness.</w:t>
      </w:r>
    </w:p>
    <w:p>
      <w:pPr>
        <w:widowControl/>
      </w:pPr>
      <w:r>
        <w:rPr>
          <w:b w:val="0"/>
          <w:i w:val="0"/>
        </w:rPr>
        <w:t>The numbers assigned to angels require careful interpretation. Ficino argues that angelic species far exceed bodily species and describes their multitude as almost or virtually innumerable. This does not itself establish a literally infinite population. Ficino cites Dionysius the Areopagite for the greater abundance of separate intellectual species and Daniel for angelic multitudes. He says that Dionysius uses three and nine chiefly, sometimes seven, and notes twelve in Christian mysteries. He then reports Iamblichus and Proclus dividing the highest angels by three, the middle by nine, the succeeding by seven, and the last into twelve orders. These assignments are attributed classifications rather than an independently established census; the passage does not justify silently treating their reported historical relations as independently verified chronology. A separate distinction concerns determinate species and the indefinitely numerous individuals referred to them; the unity of a kind and the number of its instances are different questions.</w:t>
      </w:r>
    </w:p>
    <w:p>
      <w:pPr>
        <w:widowControl/>
      </w:pPr>
      <w:r>
        <w:rPr>
          <w:b w:val="0"/>
          <w:i w:val="0"/>
        </w:rPr>
        <w:t>Endlessly extendable mathematical thought then supports the argument for infinite divine knowledge. Human mind can always think another number, proportion, or figure beyond a fixed total. If God’s knowledge stopped at a number but could proceed, it would retain unrealized capacity; if it could not proceed, human thought could exceed it. Unity is hypothetically imagined as knowing every number potentially contained in it. The image illustrates a source’s knowledge of its productive range, not a conscious creature called numerical unity. God does not count through items but knows collectively through one form and act. These uses distinguish enumeration and potential progression from unified divine cognition without offering modern set theory.</w:t>
      </w:r>
    </w:p>
    <w:p>
      <w:pPr>
        <w:widowControl/>
      </w:pPr>
      <w:r>
        <w:rPr>
          <w:b w:val="0"/>
          <w:i w:val="0"/>
        </w:rPr>
        <w:t>Finally, III.1.23 explains the Pythagorean riddle, used by Xenocrates, that soul is a self-moving number. Ficino glosses number as a manifold nature and self-moving as mutable through its own characteristic power. Soul is not absolutely simple unity as God is, and unlike angelic multiplicity it has temporal movement. The five grades are likewise distinguished by different relations of one and many. This particular numerical phrase therefore characterizes soul’s composition and activity; it does not reduce a person to an integer or require a hidden calculation.</w:t>
      </w:r>
    </w:p>
    <w:p>
      <w:pPr>
        <w:keepNext/>
        <w:widowControl/>
      </w:pPr>
      <w:r>
        <w:rPr>
          <w:b/>
          <w:i w:val="0"/>
        </w:rPr>
        <w:t>The places.</w:t>
      </w:r>
    </w:p>
    <w:p>
      <w:pPr>
        <w:ind w:left="187" w:hanging="187"/>
      </w:pPr>
      <w:r>
        <w:t xml:space="preserve">• </w:t>
      </w:r>
      <w:r>
        <w:rPr>
          <w:b/>
          <w:i w:val="0"/>
        </w:rPr>
        <w:t>II.2.7 (PDF pp. 108–109)</w:t>
      </w:r>
      <w:r>
        <w:rPr>
          <w:b w:val="0"/>
          <w:i w:val="0"/>
        </w:rPr>
        <w:t>. Many humans and horses are gathered under their respective species-unities</w:t>
      </w:r>
    </w:p>
    <w:p>
      <w:pPr>
        <w:ind w:left="187" w:hanging="187"/>
      </w:pPr>
      <w:r>
        <w:t xml:space="preserve">• </w:t>
      </w:r>
      <w:r>
        <w:rPr>
          <w:b/>
          <w:i w:val="0"/>
        </w:rPr>
        <w:t>II.10.4 (PDF pp. 176–177)</w:t>
      </w:r>
      <w:r>
        <w:rPr>
          <w:b w:val="0"/>
          <w:i w:val="0"/>
        </w:rPr>
        <w:t>. Unity is hypothetically imagined as knowing its potentially contained numbers</w:t>
      </w:r>
    </w:p>
    <w:p>
      <w:pPr>
        <w:ind w:left="187" w:hanging="187"/>
      </w:pPr>
      <w:r>
        <w:t xml:space="preserve">• </w:t>
      </w:r>
      <w:r>
        <w:rPr>
          <w:b/>
          <w:i w:val="0"/>
        </w:rPr>
        <w:t>II.10.7 (PDF pp. 178–179)</w:t>
      </w:r>
      <w:r>
        <w:rPr>
          <w:b w:val="0"/>
          <w:i w:val="0"/>
        </w:rPr>
        <w:t>. Indefinitely extendable human thought supports the argument against limited divine knowledge</w:t>
      </w:r>
    </w:p>
    <w:p>
      <w:pPr>
        <w:ind w:left="187" w:hanging="187"/>
      </w:pPr>
      <w:r>
        <w:t xml:space="preserve">• </w:t>
      </w:r>
      <w:r>
        <w:rPr>
          <w:b/>
          <w:i w:val="0"/>
        </w:rPr>
        <w:t>II.10.10 (PDF pp. 180–181)</w:t>
      </w:r>
      <w:r>
        <w:rPr>
          <w:b w:val="0"/>
          <w:i w:val="0"/>
        </w:rPr>
        <w:t>. Divine cognition does not enumerate step by step</w:t>
      </w:r>
    </w:p>
    <w:p>
      <w:pPr>
        <w:ind w:left="187" w:hanging="187"/>
      </w:pPr>
      <w:r>
        <w:t xml:space="preserve">• </w:t>
      </w:r>
      <w:r>
        <w:rPr>
          <w:b/>
          <w:i w:val="0"/>
        </w:rPr>
        <w:t>III.1.23 (PDF pp. 254–255)</w:t>
      </w:r>
      <w:r>
        <w:rPr>
          <w:b w:val="0"/>
          <w:i w:val="0"/>
        </w:rPr>
        <w:t>. Self-moving number is glossed as manifold nature mutable by its own property</w:t>
      </w:r>
    </w:p>
    <w:p>
      <w:pPr>
        <w:widowControl/>
      </w:pPr>
      <w:r>
        <w:rPr>
          <w:b/>
          <w:i w:val="0"/>
        </w:rPr>
        <w:t>Further passage references.</w:t>
      </w:r>
      <w:r>
        <w:rPr>
          <w:b w:val="0"/>
          <w:i w:val="0"/>
        </w:rPr>
        <w:t xml:space="preserve"> I.3.12–I.3.14 (PDF pp. 36–39); I.5.20–I.5.27 (pp. 74–81); I.6.4–I.6.5 (pp. 82–85); II.2.7–8, pp. 108–109; II.4.4, pp. 122–123; II.10.3–4, pp. 176–177; II.10.7–10, pp. 178–181; III.1.1–8, PDF 240–245; III.1.23, PDF 254–255.</w:t>
      </w:r>
    </w:p>
    <w:p>
      <w:pPr>
        <w:keepNext/>
        <w:widowControl/>
      </w:pPr>
      <w:r>
        <w:rPr>
          <w:b/>
          <w:i w:val="0"/>
        </w:rPr>
        <w:t>In this edition.</w:t>
      </w:r>
    </w:p>
    <w:p>
      <w:pPr>
        <w:widowControl/>
      </w:pPr>
      <w:r>
        <w:rPr>
          <w:b w:val="0"/>
          <w:i w:val="0"/>
        </w:rPr>
        <w:t>The formula numerum se moventem at III.1.23 is immediately explained, so it should not be literalized into a moving integer. At II.10.4 conscious numerical unity is hypothetical. At II.10.10 enumerando contrasts with a gathered intellectual act rather than proving the absence of distinctions.</w:t>
      </w:r>
    </w:p>
    <w:p>
      <w:pPr>
        <w:keepNext/>
        <w:widowControl/>
      </w:pPr>
      <w:r>
        <w:rPr>
          <w:b/>
          <w:i w:val="0"/>
        </w:rPr>
        <w:t>See also.</w:t>
      </w:r>
    </w:p>
    <w:p>
      <w:pPr>
        <w:widowControl/>
      </w:pPr>
      <w:hyperlink w:anchor="unity-and-multiplicity">
        <w:r>
          <w:rPr>
            <w:color w:val="000000"/>
          </w:rPr>
          <w:t xml:space="preserve">Unity and multiplicity</w:t>
        </w:r>
      </w:hyperlink>
      <w:r>
        <w:rPr>
          <w:b w:val="0"/>
          <w:i w:val="0"/>
        </w:rPr>
        <w:t xml:space="preserve">; </w:t>
      </w:r>
      <w:hyperlink w:anchor="quantity-and-dimension">
        <w:r>
          <w:rPr>
            <w:color w:val="000000"/>
          </w:rPr>
          <w:t xml:space="preserve">Quantity and dimension</w:t>
        </w:r>
      </w:hyperlink>
      <w:r>
        <w:rPr>
          <w:b w:val="0"/>
          <w:i w:val="0"/>
        </w:rPr>
        <w:t xml:space="preserve">; </w:t>
      </w:r>
      <w:hyperlink w:anchor="angel">
        <w:r>
          <w:rPr>
            <w:color w:val="000000"/>
          </w:rPr>
          <w:t xml:space="preserve">Angel</w:t>
        </w:r>
      </w:hyperlink>
      <w:r>
        <w:rPr>
          <w:b w:val="0"/>
          <w:i w:val="0"/>
        </w:rPr>
        <w:t xml:space="preserve">; </w:t>
      </w:r>
      <w:hyperlink w:anchor="infinity">
        <w:r>
          <w:rPr>
            <w:color w:val="000000"/>
          </w:rPr>
          <w:t xml:space="preserve">Infinity</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universals-and-individuals">
        <w:r>
          <w:rPr>
            <w:color w:val="000000"/>
          </w:rPr>
          <w:t xml:space="preserve">Universals and individuals</w:t>
        </w:r>
      </w:hyperlink>
      <w:r>
        <w:rPr>
          <w:b w:val="0"/>
          <w:i w:val="0"/>
        </w:rPr>
        <w:t xml:space="preserve">; </w:t>
      </w:r>
      <w:hyperlink w:anchor="degree-and-mediation">
        <w:r>
          <w:rPr>
            <w:color w:val="000000"/>
          </w:rPr>
          <w:t xml:space="preserve">Degree and mediation</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twelve">
        <w:r>
          <w:rPr>
            <w:color w:val="000000"/>
          </w:rPr>
          <w:t xml:space="preserve">Twelve</w:t>
        </w:r>
      </w:hyperlink>
    </w:p>
    <w:p>
      <w:bookmarkStart w:id="159" w:name="object-and-adequate-object"/>
      <w:pPr>
        <w:pStyle w:val="Heading2"/>
      </w:pPr>
      <w:r>
        <w:rPr>
          <w:b w:val="0"/>
          <w:i w:val="0"/>
        </w:rPr>
        <w:t>Object and adequate object</w:t>
      </w:r>
      <w:bookmarkEnd w:id="159"/>
    </w:p>
    <w:p>
      <w:pPr>
        <w:keepNext/>
        <w:widowControl/>
      </w:pPr>
      <w:r>
        <w:rPr>
          <w:b/>
          <w:i w:val="0"/>
        </w:rPr>
        <w:t>Latin:</w:t>
      </w:r>
      <w:r>
        <w:rPr>
          <w:b w:val="0"/>
          <w:i w:val="0"/>
        </w:rPr>
        <w:t xml:space="preserve"> </w:t>
      </w:r>
      <w:r>
        <w:rPr>
          <w:b w:val="0"/>
          <w:i/>
        </w:rPr>
        <w:t>obiectum</w:t>
      </w:r>
      <w:r>
        <w:rPr>
          <w:b w:val="0"/>
          <w:i w:val="0"/>
        </w:rPr>
        <w:t xml:space="preserve">; </w:t>
      </w:r>
      <w:r>
        <w:rPr>
          <w:b w:val="0"/>
          <w:i/>
        </w:rPr>
        <w:t>proprium obiectum</w:t>
      </w:r>
      <w:r>
        <w:rPr>
          <w:b w:val="0"/>
          <w:i w:val="0"/>
        </w:rPr>
        <w:t xml:space="preserve">; </w:t>
      </w:r>
      <w:r>
        <w:rPr>
          <w:b w:val="0"/>
          <w:i/>
        </w:rPr>
        <w:t>absolutum obiectum</w:t>
      </w:r>
      <w:r>
        <w:rPr>
          <w:b w:val="0"/>
          <w:i w:val="0"/>
        </w:rPr>
        <w:t xml:space="preserve">; </w:t>
      </w:r>
      <w:r>
        <w:rPr>
          <w:b w:val="0"/>
          <w:i/>
        </w:rPr>
        <w:t>adaequatum appetitus obiectum</w:t>
      </w:r>
      <w:r>
        <w:rPr>
          <w:b w:val="0"/>
          <w:i w:val="0"/>
        </w:rPr>
        <w:t>; obiecto; obiectum; quam proxima; rei cognoscendae; externa sequi</w:t>
      </w:r>
    </w:p>
    <w:p>
      <w:pPr>
        <w:keepNext/>
        <w:widowControl/>
      </w:pPr>
      <w:r>
        <w:rPr>
          <w:b/>
          <w:i w:val="0"/>
        </w:rPr>
        <w:t>The word.</w:t>
      </w:r>
    </w:p>
    <w:p>
      <w:pPr>
        <w:widowControl/>
      </w:pPr>
      <w:r>
        <w:rPr>
          <w:b w:val="0"/>
          <w:i w:val="0"/>
        </w:rPr>
        <w:t>Obiectum names what a cognitive or appetitive power is directed toward, whether bodily or not. Proprium marks the object characteristic of that power; absolutum unrestricted adequacy; adaequatum commensurateness. An object is not simply any physical item standing before an observer.</w:t>
      </w:r>
    </w:p>
    <w:p>
      <w:pPr>
        <w:widowControl/>
      </w:pPr>
      <w:r>
        <w:rPr>
          <w:b w:val="0"/>
          <w:i w:val="0"/>
        </w:rPr>
        <w:t>Obiectum is what a power apprehends or is directed toward; proximitas here is closeness of cognitive relation. An adequate object must be commensurate with the power, rather than merely physically near it.</w:t>
      </w:r>
    </w:p>
    <w:p>
      <w:pPr>
        <w:keepNext/>
        <w:widowControl/>
      </w:pPr>
      <w:r>
        <w:rPr>
          <w:b/>
          <w:i w:val="0"/>
        </w:rPr>
        <w:t>In the Platonic Theology.</w:t>
      </w:r>
    </w:p>
    <w:p>
      <w:pPr>
        <w:widowControl/>
      </w:pPr>
      <w:r>
        <w:rPr>
          <w:b w:val="0"/>
          <w:i w:val="0"/>
        </w:rPr>
        <w:t>An object is what a cognitive or appetitive power is directed toward, not necessarily a physical thing. Ficino argues that the proper object of divine intelligence cannot be external to God, and calls divine goodness its absolute object. In the analysis of desire, the Good is appetite’s adequate object: goodness explains the aspect under which anything is desired. Individual objects can consequently be chosen mistakenly as good without altering that general orientation. The word connects the scope of a power with what fulfills it.</w:t>
      </w:r>
    </w:p>
    <w:p>
      <w:pPr>
        <w:widowControl/>
      </w:pPr>
      <w:r>
        <w:rPr>
          <w:b w:val="0"/>
          <w:i w:val="0"/>
        </w:rPr>
        <w:t>The nearest knowledge is self-knowledge because knower and known are not separated by an external source of completion. Since divine understanding and essence are identical, an external object perfecting that understanding would also perfect divine essence and make God dependent on another. The following rhetorical question reverses the supposed order: external things follow divine mind to exist, so divine mind need not follow external things in order to know. The argument is about causal and cognitive dependence, not neglect of the world.</w:t>
      </w:r>
    </w:p>
    <w:p>
      <w:pPr>
        <w:keepNext/>
        <w:widowControl/>
      </w:pPr>
      <w:r>
        <w:rPr>
          <w:b/>
          <w:i w:val="0"/>
        </w:rPr>
        <w:t>The places.</w:t>
      </w:r>
    </w:p>
    <w:p>
      <w:pPr>
        <w:ind w:left="187" w:hanging="187"/>
      </w:pPr>
      <w:r>
        <w:t xml:space="preserve">• </w:t>
      </w:r>
      <w:r>
        <w:rPr>
          <w:b/>
          <w:i w:val="0"/>
        </w:rPr>
        <w:t>I.6.13 (PDF pp. 90–91)</w:t>
      </w:r>
      <w:r>
        <w:rPr>
          <w:b w:val="0"/>
          <w:i w:val="0"/>
        </w:rPr>
        <w:t>. The intelligible as object forms and perfects a receiving intellectual power</w:t>
      </w:r>
    </w:p>
    <w:p>
      <w:pPr>
        <w:ind w:left="187" w:hanging="187"/>
      </w:pPr>
      <w:r>
        <w:t xml:space="preserve">• </w:t>
      </w:r>
      <w:r>
        <w:rPr>
          <w:b/>
          <w:i w:val="0"/>
        </w:rPr>
        <w:t>II.9.8 (PDF pp. 166–167)</w:t>
      </w:r>
      <w:r>
        <w:rPr>
          <w:b w:val="0"/>
          <w:i w:val="0"/>
        </w:rPr>
        <w:t>. Self-knowledge avoids perfection by an external object</w:t>
      </w:r>
    </w:p>
    <w:p>
      <w:pPr>
        <w:ind w:left="187" w:hanging="187"/>
      </w:pPr>
      <w:r>
        <w:t xml:space="preserve">• </w:t>
      </w:r>
      <w:r>
        <w:rPr>
          <w:b/>
          <w:i w:val="0"/>
        </w:rPr>
        <w:t>II.9.10 (PDF pp. 168–169)</w:t>
      </w:r>
      <w:r>
        <w:rPr>
          <w:b w:val="0"/>
          <w:i w:val="0"/>
        </w:rPr>
        <w:t>. An external object cannot bound the proper scope of divine mind</w:t>
      </w:r>
    </w:p>
    <w:p>
      <w:pPr>
        <w:ind w:left="187" w:hanging="187"/>
      </w:pPr>
      <w:r>
        <w:t xml:space="preserve">• </w:t>
      </w:r>
      <w:r>
        <w:rPr>
          <w:b/>
          <w:i w:val="0"/>
        </w:rPr>
        <w:t>II.12.12 (PDF pp. 208–209)</w:t>
      </w:r>
      <w:r>
        <w:rPr>
          <w:b w:val="0"/>
          <w:i w:val="0"/>
        </w:rPr>
        <w:t>. Divine goodness is the absolute object of divine mind and will</w:t>
      </w:r>
    </w:p>
    <w:p>
      <w:pPr>
        <w:ind w:left="187" w:hanging="187"/>
      </w:pPr>
      <w:r>
        <w:t xml:space="preserve">• </w:t>
      </w:r>
      <w:r>
        <w:rPr>
          <w:b/>
          <w:i w:val="0"/>
        </w:rPr>
        <w:t>II.13.29 (PDF pp. 236–237)</w:t>
      </w:r>
      <w:r>
        <w:rPr>
          <w:b w:val="0"/>
          <w:i w:val="0"/>
        </w:rPr>
        <w:t>. Goodness is appetite’s adequate object even when one seeks freedom from desire</w:t>
      </w:r>
    </w:p>
    <w:p>
      <w:pPr>
        <w:widowControl/>
      </w:pPr>
      <w:r>
        <w:rPr>
          <w:b/>
          <w:i w:val="0"/>
        </w:rPr>
        <w:t>Further passage references.</w:t>
      </w:r>
      <w:r>
        <w:rPr>
          <w:b w:val="0"/>
          <w:i w:val="0"/>
        </w:rPr>
        <w:t xml:space="preserve"> I.6.12–13 (PDF pp.88–91); II.9.10–13 (pp.168–169); II.12.12 (pp.208–209); II.13.29 (pp.236–237)</w:t>
      </w:r>
    </w:p>
    <w:p>
      <w:pPr>
        <w:ind w:left="187" w:hanging="187"/>
      </w:pPr>
      <w:r>
        <w:t xml:space="preserve">• </w:t>
      </w:r>
      <w:r>
        <w:rPr>
          <w:b w:val="0"/>
          <w:i w:val="0"/>
        </w:rPr>
        <w:t>II.9.8, II.9.9 (PDF pp. 166–167): Self-knowledge avoids completion by an external object</w:t>
      </w:r>
    </w:p>
    <w:p>
      <w:pPr>
        <w:ind w:left="187" w:hanging="187"/>
      </w:pPr>
      <w:r>
        <w:t xml:space="preserve">• </w:t>
      </w:r>
      <w:r>
        <w:rPr>
          <w:b w:val="0"/>
          <w:i w:val="0"/>
        </w:rPr>
        <w:t>II.9.10, II.9.11 (PDF pp. 168–169): No externally bounded object can exhaust the unlimited divine power</w:t>
      </w:r>
    </w:p>
    <w:p>
      <w:pPr>
        <w:keepNext/>
        <w:widowControl/>
      </w:pPr>
      <w:r>
        <w:rPr>
          <w:b/>
          <w:i w:val="0"/>
        </w:rPr>
        <w:t>In this edition.</w:t>
      </w:r>
    </w:p>
    <w:p>
      <w:pPr>
        <w:widowControl/>
      </w:pPr>
      <w:r>
        <w:rPr>
          <w:b w:val="0"/>
          <w:i w:val="0"/>
        </w:rPr>
        <w:t xml:space="preserve">The repeated sequi in II.9.9 reverses the proposed dependence: external things follow divine mind in being, rather than mind following them to know. At II.13.29 </w:t>
      </w:r>
      <w:r>
        <w:t>“</w:t>
      </w:r>
      <w:r>
        <w:rPr>
          <w:b w:val="0"/>
          <w:i w:val="0"/>
        </w:rPr>
        <w:t>adequate object</w:t>
      </w:r>
      <w:r>
        <w:t>”</w:t>
      </w:r>
      <w:r>
        <w:rPr>
          <w:b w:val="0"/>
          <w:i w:val="0"/>
        </w:rPr>
        <w:t xml:space="preserve"> concerns goodness as the aspect under which anything is desired, not the claim that every desired particular is actually beneficial.</w:t>
      </w:r>
    </w:p>
    <w:p>
      <w:pPr>
        <w:widowControl/>
      </w:pPr>
      <w:r>
        <w:t>“</w:t>
      </w:r>
      <w:r>
        <w:rPr>
          <w:b w:val="0"/>
          <w:i w:val="0"/>
        </w:rPr>
        <w:t>Follows</w:t>
      </w:r>
      <w:r>
        <w:t>”</w:t>
      </w:r>
      <w:r>
        <w:rPr>
          <w:b w:val="0"/>
          <w:i w:val="0"/>
        </w:rPr>
        <w:t xml:space="preserve"> translates sequi in both directions of II.9.9. The repeated verb sharpens the reversal from knowledge following reality to dependent things following their intelligent cause.</w:t>
      </w:r>
    </w:p>
    <w:p>
      <w:pPr>
        <w:keepNext/>
        <w:widowControl/>
      </w:pPr>
      <w:r>
        <w:rPr>
          <w:b/>
          <w:i w:val="0"/>
        </w:rPr>
        <w:t>See also.</w:t>
      </w:r>
    </w:p>
    <w:p>
      <w:pPr>
        <w:widowControl/>
      </w:pPr>
      <w:hyperlink w:anchor="intellect-and-intellection">
        <w:r>
          <w:rPr>
            <w:color w:val="000000"/>
          </w:rPr>
          <w:t xml:space="preserve">Intellect and intellection</w:t>
        </w:r>
      </w:hyperlink>
      <w:r>
        <w:rPr>
          <w:b w:val="0"/>
          <w:i w:val="0"/>
        </w:rPr>
        <w:t xml:space="preserve">; </w:t>
      </w:r>
      <w:hyperlink w:anchor="self-knowledge">
        <w:r>
          <w:rPr>
            <w:color w:val="000000"/>
          </w:rPr>
          <w:t xml:space="preserve">Self knowledge</w:t>
        </w:r>
      </w:hyperlink>
      <w:r>
        <w:rPr>
          <w:b w:val="0"/>
          <w:i w:val="0"/>
        </w:rPr>
        <w:t xml:space="preserve">; </w:t>
      </w:r>
      <w:hyperlink w:anchor="appetite-and-desire">
        <w:r>
          <w:rPr>
            <w:color w:val="000000"/>
          </w:rPr>
          <w:t xml:space="preserve">Appetite and desire</w:t>
        </w:r>
      </w:hyperlink>
      <w:r>
        <w:rPr>
          <w:b w:val="0"/>
          <w:i w:val="0"/>
        </w:rPr>
        <w:t xml:space="preserve">; </w:t>
      </w:r>
      <w:hyperlink w:anchor="good-and-goodness">
        <w:r>
          <w:rPr>
            <w:color w:val="000000"/>
          </w:rPr>
          <w:t xml:space="preserve">Good and goodness</w:t>
        </w:r>
      </w:hyperlink>
    </w:p>
    <w:p>
      <w:pPr>
        <w:widowControl/>
      </w:pPr>
      <w:hyperlink w:anchor="self-knowledge">
        <w:r>
          <w:rPr>
            <w:color w:val="000000"/>
          </w:rPr>
          <w:t xml:space="preserve">Self knowledge</w:t>
        </w:r>
      </w:hyperlink>
      <w:r>
        <w:rPr>
          <w:b w:val="0"/>
          <w:i w:val="0"/>
        </w:rPr>
        <w:t xml:space="preserve">; </w:t>
      </w:r>
      <w:hyperlink w:anchor="naming-by-cause">
        <w:r>
          <w:rPr>
            <w:color w:val="000000"/>
          </w:rPr>
          <w:t xml:space="preserve">Naming by cause</w:t>
        </w:r>
      </w:hyperlink>
      <w:r>
        <w:rPr>
          <w:b w:val="0"/>
          <w:i w:val="0"/>
        </w:rPr>
        <w:t xml:space="preserve">; </w:t>
      </w:r>
      <w:hyperlink w:anchor="dependence-and-receiving">
        <w:r>
          <w:rPr>
            <w:color w:val="000000"/>
          </w:rPr>
          <w:t xml:space="preserve">Dependence and receiving</w:t>
        </w:r>
      </w:hyperlink>
      <w:r>
        <w:rPr>
          <w:b w:val="0"/>
          <w:i w:val="0"/>
        </w:rPr>
        <w:t>.</w:t>
      </w:r>
    </w:p>
    <w:p>
      <w:bookmarkStart w:id="160" w:name="omnipresence-and-place"/>
      <w:pPr>
        <w:pStyle w:val="Heading2"/>
      </w:pPr>
      <w:r>
        <w:rPr>
          <w:b w:val="0"/>
          <w:i w:val="0"/>
        </w:rPr>
        <w:t>Omnipresence and place</w:t>
      </w:r>
      <w:bookmarkEnd w:id="160"/>
    </w:p>
    <w:p>
      <w:pPr>
        <w:keepNext/>
        <w:widowControl/>
      </w:pPr>
      <w:r>
        <w:rPr>
          <w:b/>
          <w:i w:val="0"/>
        </w:rPr>
        <w:t>Latin:</w:t>
      </w:r>
      <w:r>
        <w:rPr>
          <w:b w:val="0"/>
          <w:i w:val="0"/>
        </w:rPr>
        <w:t xml:space="preserve"> </w:t>
      </w:r>
      <w:r>
        <w:rPr>
          <w:b w:val="0"/>
          <w:i/>
        </w:rPr>
        <w:t>ubique</w:t>
      </w:r>
      <w:r>
        <w:rPr>
          <w:b w:val="0"/>
          <w:i w:val="0"/>
        </w:rPr>
        <w:t xml:space="preserve">; </w:t>
      </w:r>
      <w:r>
        <w:rPr>
          <w:b w:val="0"/>
          <w:i/>
        </w:rPr>
        <w:t>nusquam</w:t>
      </w:r>
      <w:r>
        <w:rPr>
          <w:b w:val="0"/>
          <w:i w:val="0"/>
        </w:rPr>
        <w:t xml:space="preserve">; </w:t>
      </w:r>
      <w:r>
        <w:rPr>
          <w:b w:val="0"/>
          <w:i/>
        </w:rPr>
        <w:t>praesentia</w:t>
      </w:r>
      <w:r>
        <w:rPr>
          <w:b w:val="0"/>
          <w:i w:val="0"/>
        </w:rPr>
        <w:t xml:space="preserve">; </w:t>
      </w:r>
      <w:r>
        <w:rPr>
          <w:b w:val="0"/>
          <w:i/>
        </w:rPr>
        <w:t>locus</w:t>
      </w:r>
      <w:r>
        <w:rPr>
          <w:b w:val="0"/>
          <w:i w:val="0"/>
        </w:rPr>
        <w:t xml:space="preserve">; </w:t>
      </w:r>
      <w:r>
        <w:rPr>
          <w:b w:val="0"/>
          <w:i/>
        </w:rPr>
        <w:t>situs</w:t>
      </w:r>
      <w:r>
        <w:rPr>
          <w:b w:val="0"/>
          <w:i w:val="0"/>
        </w:rPr>
        <w:t xml:space="preserve">; </w:t>
      </w:r>
      <w:r>
        <w:rPr>
          <w:b w:val="0"/>
          <w:i/>
        </w:rPr>
        <w:t>spatium</w:t>
      </w:r>
      <w:r>
        <w:rPr>
          <w:b w:val="0"/>
          <w:i w:val="0"/>
        </w:rPr>
        <w:t xml:space="preserve">; </w:t>
      </w:r>
      <w:r>
        <w:rPr>
          <w:b w:val="0"/>
          <w:i/>
        </w:rPr>
        <w:t>dimensio</w:t>
      </w:r>
    </w:p>
    <w:p>
      <w:pPr>
        <w:keepNext/>
        <w:widowControl/>
      </w:pPr>
      <w:r>
        <w:rPr>
          <w:b/>
          <w:i w:val="0"/>
        </w:rPr>
        <w:t>The word.</w:t>
      </w:r>
    </w:p>
    <w:p>
      <w:pPr>
        <w:widowControl/>
      </w:pPr>
      <w:r>
        <w:rPr>
          <w:b w:val="0"/>
          <w:i w:val="0"/>
        </w:rPr>
        <w:t>Ubique is everywhere; nusquam nowhere; locus place; situs position; spatium spatial scope; praesentia presence. Ficino also treats ubi and ubique as names of the very condition of location. Presence through incorporeal power differs from the extension of a body within a container.</w:t>
      </w:r>
    </w:p>
    <w:p>
      <w:pPr>
        <w:keepNext/>
        <w:widowControl/>
      </w:pPr>
      <w:r>
        <w:rPr>
          <w:b/>
          <w:i w:val="0"/>
        </w:rPr>
        <w:t>In the Platonic Theology.</w:t>
      </w:r>
    </w:p>
    <w:p>
      <w:pPr>
        <w:widowControl/>
      </w:pPr>
      <w:r>
        <w:rPr>
          <w:b w:val="0"/>
          <w:i w:val="0"/>
        </w:rPr>
        <w:t xml:space="preserve">God is everywhere through unlimited incorporeal power, not by possessing an infinitely large body. Ficino compares bodily contact through dimensions with incorporeal presence through power. Wherever being, the universal effect, exists, its universal cause is present. He then qualifies the language: God is </w:t>
      </w:r>
      <w:r>
        <w:t>“</w:t>
      </w:r>
      <w:r>
        <w:rPr>
          <w:b w:val="0"/>
          <w:i w:val="0"/>
        </w:rPr>
        <w:t>nowhere</w:t>
      </w:r>
      <w:r>
        <w:t>”</w:t>
      </w:r>
      <w:r>
        <w:rPr>
          <w:b w:val="0"/>
          <w:i w:val="0"/>
        </w:rPr>
        <w:t xml:space="preserve"> insofar as no place or subject contains him, but absent nowhere because everything exists and is preserved in him. God is not extended through the world; the world is extended through God in the finite way it can attain divine presence. Imagination misleads when it makes God an occupant within a prior spatial container. The source’s unusually strong claim that </w:t>
      </w:r>
      <w:r>
        <w:t>“</w:t>
      </w:r>
      <w:r>
        <w:rPr>
          <w:b w:val="0"/>
          <w:i w:val="0"/>
        </w:rPr>
        <w:t>everywhere</w:t>
      </w:r>
      <w:r>
        <w:t>”</w:t>
      </w:r>
      <w:r>
        <w:rPr>
          <w:b w:val="0"/>
          <w:i w:val="0"/>
        </w:rPr>
        <w:t xml:space="preserve"> names the entire nature of things, which is God, accompanies an explicit rejection of identifying that nature with corporeal extension alone. Calling this simply an identity between God and the physical world would discard the chapter’s qualifications. The argument concerns the source and condition of place as well as presence within it.</w:t>
      </w:r>
    </w:p>
    <w:p>
      <w:pPr>
        <w:widowControl/>
      </w:pPr>
      <w:r>
        <w:rPr>
          <w:b w:val="0"/>
          <w:i w:val="0"/>
        </w:rPr>
        <w:t>The chapter supplies several arguments rather than one geometric proof. Presence everywhere is desirable as a good; the first Good lacks no good. An infinite active purity meets no barrier that could exclude it. The world needs God more fundamentally than a living body needs soul, so divine presence cannot be less adequate than the soul’s presence to its body. Finally, the mind can conceive beyond any assigned spatial limit, and its divine cause cannot be absent from the scope that its effect can reach. These are Ficino’s inferences and analogies. The contrast between body and soul does not, on its own, identify God with the world’s soul. Indeed, Ficino says goodness extends more widely than life and explicitly includes what is conceived outside the world, so the vocabulary of universal presence outruns the living cosmos used to illustrate it.</w:t>
      </w:r>
    </w:p>
    <w:p>
      <w:pPr>
        <w:keepNext/>
        <w:widowControl/>
      </w:pPr>
      <w:r>
        <w:rPr>
          <w:b/>
          <w:i w:val="0"/>
        </w:rPr>
        <w:t>The places.</w:t>
      </w:r>
    </w:p>
    <w:p>
      <w:pPr>
        <w:ind w:left="187" w:hanging="187"/>
      </w:pPr>
      <w:r>
        <w:t xml:space="preserve">• </w:t>
      </w:r>
      <w:r>
        <w:rPr>
          <w:b/>
          <w:i w:val="0"/>
        </w:rPr>
        <w:t>II.6.1 (PDF pp. 128–129)</w:t>
      </w:r>
      <w:r>
        <w:rPr>
          <w:b w:val="0"/>
          <w:i w:val="0"/>
        </w:rPr>
        <w:t>. Bodies touch by dimensions; incorporeal substance by power</w:t>
      </w:r>
    </w:p>
    <w:p>
      <w:pPr>
        <w:ind w:left="187" w:hanging="187"/>
      </w:pPr>
      <w:r>
        <w:t xml:space="preserve">• </w:t>
      </w:r>
      <w:r>
        <w:rPr>
          <w:b/>
          <w:i w:val="0"/>
        </w:rPr>
        <w:t>II.6.2 (PDF pp. 128–129)</w:t>
      </w:r>
      <w:r>
        <w:rPr>
          <w:b w:val="0"/>
          <w:i w:val="0"/>
        </w:rPr>
        <w:t>. The universal cause must be present wherever its universal effect subsists</w:t>
      </w:r>
    </w:p>
    <w:p>
      <w:pPr>
        <w:ind w:left="187" w:hanging="187"/>
      </w:pPr>
      <w:r>
        <w:t xml:space="preserve">• </w:t>
      </w:r>
      <w:r>
        <w:rPr>
          <w:b/>
          <w:i w:val="0"/>
        </w:rPr>
        <w:t>II.6.8 (PDF pp. 130–131)</w:t>
      </w:r>
      <w:r>
        <w:rPr>
          <w:b w:val="0"/>
          <w:i w:val="0"/>
        </w:rPr>
        <w:t>. Uncontained nowhere is distinguished from absent nowhere</w:t>
      </w:r>
    </w:p>
    <w:p>
      <w:pPr>
        <w:ind w:left="187" w:hanging="187"/>
      </w:pPr>
      <w:r>
        <w:t xml:space="preserve">• </w:t>
      </w:r>
      <w:r>
        <w:rPr>
          <w:b/>
          <w:i w:val="0"/>
        </w:rPr>
        <w:t>II.6.13 (PDF pp. 134–135)</w:t>
      </w:r>
      <w:r>
        <w:rPr>
          <w:b w:val="0"/>
          <w:i w:val="0"/>
        </w:rPr>
        <w:t>. Reason and imagination dispute whether everywhere is bodily extension</w:t>
      </w:r>
    </w:p>
    <w:p>
      <w:pPr>
        <w:ind w:left="187" w:hanging="187"/>
      </w:pPr>
      <w:r>
        <w:t xml:space="preserve">• </w:t>
      </w:r>
      <w:r>
        <w:rPr>
          <w:b/>
          <w:i w:val="0"/>
        </w:rPr>
        <w:t>II.6.14 (PDF pp. 136–137)</w:t>
      </w:r>
      <w:r>
        <w:rPr>
          <w:b w:val="0"/>
          <w:i w:val="0"/>
        </w:rPr>
        <w:t>. The world attains infinite divine presence through a finite site</w:t>
      </w:r>
    </w:p>
    <w:p>
      <w:pPr>
        <w:widowControl/>
      </w:pPr>
      <w:r>
        <w:rPr>
          <w:b/>
          <w:i w:val="0"/>
        </w:rPr>
        <w:t>Further passage references.</w:t>
      </w:r>
      <w:r>
        <w:rPr>
          <w:b w:val="0"/>
          <w:i w:val="0"/>
        </w:rPr>
        <w:t xml:space="preserve"> II.6.1–14, pp. 128–137.</w:t>
      </w:r>
    </w:p>
    <w:p>
      <w:pPr>
        <w:keepNext/>
        <w:widowControl/>
      </w:pPr>
      <w:r>
        <w:rPr>
          <w:b/>
          <w:i w:val="0"/>
        </w:rPr>
        <w:t>In this edition.</w:t>
      </w:r>
    </w:p>
    <w:p>
      <w:pPr>
        <w:widowControl/>
      </w:pPr>
      <w:r>
        <w:t>“</w:t>
      </w:r>
      <w:r>
        <w:rPr>
          <w:b w:val="0"/>
          <w:i w:val="0"/>
        </w:rPr>
        <w:t>Nowhere</w:t>
      </w:r>
      <w:r>
        <w:t>”</w:t>
      </w:r>
      <w:r>
        <w:rPr>
          <w:b w:val="0"/>
          <w:i w:val="0"/>
        </w:rPr>
        <w:t xml:space="preserve"> at II.6.8 means unconfined by place or subject, not nonexistent or absent everywhere. II.6.13’s strong identification of everywhere with the whole nature of things comes with a rejection of reducing that nature to the corporeal fabric. The qualifiers prevent a simple identity of God with physical extension.</w:t>
      </w:r>
    </w:p>
    <w:p>
      <w:pPr>
        <w:keepNext/>
        <w:widowControl/>
      </w:pPr>
      <w:r>
        <w:rPr>
          <w:b/>
          <w:i w:val="0"/>
        </w:rPr>
        <w:t>See also.</w:t>
      </w:r>
    </w:p>
    <w:p>
      <w:pPr>
        <w:widowControl/>
      </w:pPr>
      <w:hyperlink w:anchor="infinity">
        <w:r>
          <w:rPr>
            <w:color w:val="000000"/>
          </w:rPr>
          <w:t xml:space="preserve">Infinity</w:t>
        </w:r>
      </w:hyperlink>
      <w:r>
        <w:rPr>
          <w:b w:val="0"/>
          <w:i w:val="0"/>
        </w:rPr>
        <w:t xml:space="preserve">; </w:t>
      </w:r>
      <w:hyperlink w:anchor="light-and-illumination">
        <w:r>
          <w:rPr>
            <w:color w:val="000000"/>
          </w:rPr>
          <w:t xml:space="preserve">Light and illumination</w:t>
        </w:r>
      </w:hyperlink>
      <w:r>
        <w:rPr>
          <w:b w:val="0"/>
          <w:i w:val="0"/>
        </w:rPr>
        <w:t xml:space="preserve">; </w:t>
      </w:r>
      <w:hyperlink w:anchor="sense-and-imagination">
        <w:r>
          <w:rPr>
            <w:color w:val="000000"/>
          </w:rPr>
          <w:t xml:space="preserve">Sense and imagination</w:t>
        </w:r>
      </w:hyperlink>
      <w:r>
        <w:rPr>
          <w:b w:val="0"/>
          <w:i w:val="0"/>
        </w:rPr>
        <w:t xml:space="preserve">; </w:t>
      </w:r>
      <w:hyperlink w:anchor="mind">
        <w:r>
          <w:rPr>
            <w:color w:val="000000"/>
          </w:rPr>
          <w:t xml:space="preserve">Mind</w:t>
        </w:r>
      </w:hyperlink>
      <w:r>
        <w:rPr>
          <w:b w:val="0"/>
          <w:i w:val="0"/>
        </w:rPr>
        <w:t xml:space="preserve">; </w:t>
      </w:r>
      <w:hyperlink w:anchor="cause">
        <w:r>
          <w:rPr>
            <w:color w:val="000000"/>
          </w:rPr>
          <w:t xml:space="preserve">Cause</w:t>
        </w:r>
      </w:hyperlink>
      <w:r>
        <w:rPr>
          <w:b w:val="0"/>
          <w:i w:val="0"/>
        </w:rPr>
        <w:t xml:space="preserve">; </w:t>
      </w:r>
      <w:hyperlink w:anchor="indwelling-and-presence">
        <w:r>
          <w:rPr>
            <w:color w:val="000000"/>
          </w:rPr>
          <w:t xml:space="preserve">Indwelling and presence</w:t>
        </w:r>
      </w:hyperlink>
      <w:r>
        <w:rPr>
          <w:b w:val="0"/>
          <w:i w:val="0"/>
        </w:rPr>
        <w:t xml:space="preserve">; </w:t>
      </w:r>
      <w:hyperlink w:anchor="world-soul">
        <w:r>
          <w:rPr>
            <w:color w:val="000000"/>
          </w:rPr>
          <w:t xml:space="preserve">World soul</w:t>
        </w:r>
      </w:hyperlink>
    </w:p>
    <w:p>
      <w:bookmarkStart w:id="161" w:name="order-and-harmony"/>
      <w:pPr>
        <w:pStyle w:val="Heading2"/>
      </w:pPr>
      <w:r>
        <w:rPr>
          <w:b w:val="0"/>
          <w:i w:val="0"/>
        </w:rPr>
        <w:t>Order and harmony</w:t>
      </w:r>
      <w:bookmarkEnd w:id="161"/>
    </w:p>
    <w:p>
      <w:pPr>
        <w:keepNext/>
        <w:widowControl/>
      </w:pPr>
      <w:r>
        <w:rPr>
          <w:b/>
          <w:i w:val="0"/>
        </w:rPr>
        <w:t>Latin:</w:t>
      </w:r>
      <w:r>
        <w:rPr>
          <w:b w:val="0"/>
          <w:i w:val="0"/>
        </w:rPr>
        <w:t xml:space="preserve"> </w:t>
      </w:r>
      <w:r>
        <w:rPr>
          <w:b w:val="0"/>
          <w:i/>
        </w:rPr>
        <w:t>ordo</w:t>
      </w:r>
      <w:r>
        <w:rPr>
          <w:b w:val="0"/>
          <w:i w:val="0"/>
        </w:rPr>
        <w:t xml:space="preserve">; </w:t>
      </w:r>
      <w:r>
        <w:rPr>
          <w:b w:val="0"/>
          <w:i/>
        </w:rPr>
        <w:t>ordinatio</w:t>
      </w:r>
      <w:r>
        <w:rPr>
          <w:b w:val="0"/>
          <w:i w:val="0"/>
        </w:rPr>
        <w:t xml:space="preserve">; </w:t>
      </w:r>
      <w:r>
        <w:rPr>
          <w:b w:val="0"/>
          <w:i/>
        </w:rPr>
        <w:t>ordinare</w:t>
      </w:r>
      <w:r>
        <w:rPr>
          <w:b w:val="0"/>
          <w:i w:val="0"/>
        </w:rPr>
        <w:t xml:space="preserve">; </w:t>
      </w:r>
      <w:r>
        <w:rPr>
          <w:b w:val="0"/>
          <w:i/>
        </w:rPr>
        <w:t>lex</w:t>
      </w:r>
      <w:r>
        <w:rPr>
          <w:b w:val="0"/>
          <w:i w:val="0"/>
        </w:rPr>
        <w:t xml:space="preserve">; </w:t>
      </w:r>
      <w:r>
        <w:rPr>
          <w:b w:val="0"/>
          <w:i/>
        </w:rPr>
        <w:t>norma</w:t>
      </w:r>
      <w:r>
        <w:rPr>
          <w:b w:val="0"/>
          <w:i w:val="0"/>
        </w:rPr>
        <w:t xml:space="preserve">; </w:t>
      </w:r>
      <w:r>
        <w:rPr>
          <w:b w:val="0"/>
          <w:i/>
        </w:rPr>
        <w:t>concordia</w:t>
      </w:r>
      <w:r>
        <w:rPr>
          <w:b w:val="0"/>
          <w:i w:val="0"/>
        </w:rPr>
        <w:t xml:space="preserve">; </w:t>
      </w:r>
      <w:r>
        <w:rPr>
          <w:b w:val="0"/>
          <w:i/>
        </w:rPr>
        <w:t>communio</w:t>
      </w:r>
      <w:r>
        <w:rPr>
          <w:b w:val="0"/>
          <w:i w:val="0"/>
        </w:rPr>
        <w:t xml:space="preserve">; </w:t>
      </w:r>
      <w:r>
        <w:rPr>
          <w:b w:val="0"/>
          <w:i/>
        </w:rPr>
        <w:t>conspirare</w:t>
      </w:r>
      <w:r>
        <w:rPr>
          <w:b w:val="0"/>
          <w:i w:val="0"/>
        </w:rPr>
        <w:t xml:space="preserve">; </w:t>
      </w:r>
      <w:r>
        <w:rPr>
          <w:b w:val="0"/>
          <w:i/>
        </w:rPr>
        <w:t>proportio</w:t>
      </w:r>
      <w:r>
        <w:rPr>
          <w:b w:val="0"/>
          <w:i w:val="0"/>
        </w:rPr>
        <w:t xml:space="preserve">; </w:t>
      </w:r>
      <w:r>
        <w:rPr>
          <w:b w:val="0"/>
          <w:i/>
        </w:rPr>
        <w:t>ordinatus</w:t>
      </w:r>
      <w:r>
        <w:rPr>
          <w:b w:val="0"/>
          <w:i w:val="0"/>
        </w:rPr>
        <w:t xml:space="preserve">; </w:t>
      </w:r>
      <w:r>
        <w:rPr>
          <w:b w:val="0"/>
          <w:i/>
        </w:rPr>
        <w:t>ordo universi</w:t>
      </w:r>
      <w:r>
        <w:rPr>
          <w:b w:val="0"/>
          <w:i w:val="0"/>
        </w:rPr>
        <w:t xml:space="preserve">; </w:t>
      </w:r>
      <w:r>
        <w:rPr>
          <w:b w:val="0"/>
          <w:i/>
        </w:rPr>
        <w:t>gradus</w:t>
      </w:r>
      <w:r>
        <w:rPr>
          <w:b w:val="0"/>
          <w:i w:val="0"/>
        </w:rPr>
        <w:t xml:space="preserve">; </w:t>
      </w:r>
      <w:r>
        <w:rPr>
          <w:b w:val="0"/>
          <w:i/>
        </w:rPr>
        <w:t>ordinate</w:t>
      </w:r>
      <w:r>
        <w:rPr>
          <w:b w:val="0"/>
          <w:i w:val="0"/>
        </w:rPr>
        <w:t xml:space="preserve">; </w:t>
      </w:r>
      <w:r>
        <w:rPr>
          <w:b w:val="0"/>
          <w:i/>
        </w:rPr>
        <w:t>dispositio</w:t>
      </w:r>
      <w:r>
        <w:rPr>
          <w:b w:val="0"/>
          <w:i w:val="0"/>
        </w:rPr>
        <w:t xml:space="preserve">; </w:t>
      </w:r>
      <w:r>
        <w:rPr>
          <w:b w:val="0"/>
          <w:i/>
        </w:rPr>
        <w:t>ars integra</w:t>
      </w:r>
      <w:r>
        <w:rPr>
          <w:b w:val="0"/>
          <w:i w:val="0"/>
        </w:rPr>
        <w:t xml:space="preserve">; </w:t>
      </w:r>
      <w:r>
        <w:rPr>
          <w:b w:val="0"/>
          <w:i/>
        </w:rPr>
        <w:t>sapientia felix</w:t>
      </w:r>
    </w:p>
    <w:p>
      <w:pPr>
        <w:keepNext/>
        <w:widowControl/>
      </w:pPr>
      <w:r>
        <w:rPr>
          <w:b/>
          <w:i w:val="0"/>
        </w:rPr>
        <w:t>The word.</w:t>
      </w:r>
    </w:p>
    <w:p>
      <w:pPr>
        <w:widowControl/>
      </w:pPr>
      <w:r>
        <w:rPr>
          <w:b w:val="0"/>
          <w:i w:val="0"/>
        </w:rPr>
        <w:t>Ordo is arrangement, hierarchy, or rank; ordinare to arrange; concordia concord; communio shared relation; proportio proportion. Conspirare and consonare describe coordinated tendency or harmony, not necessarily a conscious agreement or literal sound. Lex can be governing law without implying a modern physical equation.</w:t>
      </w:r>
    </w:p>
    <w:p>
      <w:pPr>
        <w:keepNext/>
        <w:widowControl/>
      </w:pPr>
      <w:r>
        <w:rPr>
          <w:b/>
          <w:i w:val="0"/>
        </w:rPr>
        <w:t>In the Platonic Theology.</w:t>
      </w:r>
    </w:p>
    <w:p>
      <w:pPr>
        <w:widowControl/>
      </w:pPr>
      <w:r>
        <w:rPr>
          <w:b w:val="0"/>
          <w:i w:val="0"/>
        </w:rPr>
        <w:t>Order is the coordinated relation of differentiated parts, powers, causes, and ends. It includes regularity without being merely a repeated pattern noticed by an observer. The recurring production of forms at appointed times, orderly digestion, and celestial revolutions supply Ficino with evidence of a source more stable than the changing things governed. He traces order to reason, life, or mind according to the causal level. Mind’s distinctive ordering through forms extends beyond vital motion alone, while the heavens that regulate mutable elements themselves require a higher stable mover.</w:t>
      </w:r>
    </w:p>
    <w:p>
      <w:pPr>
        <w:widowControl/>
      </w:pPr>
      <w:r>
        <w:rPr>
          <w:b w:val="0"/>
          <w:i w:val="0"/>
        </w:rPr>
        <w:t>The parts of an army are mutually coordinated because the army is directed toward one commander. Similarly, Ficino argues, unlike parts cannot derive their shared ordering simply from the particular natures by which they differ. Common source and end explain their cooperation. Multiple causes converging on an effect therefore call for a determining cause that arranges their contribution. Fire supplies heat without itself accounting for the preparation, degree, and arrangement of everything heated; an architect’s plan provides relations that tools and materials alone do not. Universal order is consequently the principal divine idea, requiring knowledge of the proper accounts of every component.</w:t>
      </w:r>
    </w:p>
    <w:p>
      <w:pPr>
        <w:widowControl/>
      </w:pPr>
      <w:r>
        <w:rPr>
          <w:b w:val="0"/>
          <w:i w:val="0"/>
        </w:rPr>
        <w:t>Order is also a relation of value and knowledge. The good of the whole’s arrangement exceeds the isolated excellence of one part, and includes proportions between precious and apparently base things. Something unattractive in isolation may fit the whole; Ficino’s musical Apollo comparison reinforces that relational account. The argument explains why divine knowledge must reach lowly particulars rather than neglecting them. These are Ficino’s theological inferences from the patterns and relations he invokes, and should be distinguished from the patterns themselves.</w:t>
      </w:r>
    </w:p>
    <w:p>
      <w:pPr>
        <w:widowControl/>
      </w:pPr>
      <w:r>
        <w:rPr>
          <w:b w:val="0"/>
          <w:i w:val="0"/>
        </w:rPr>
        <w:t>The order thus defended does not require every creature to be equally perfect, stable, or necessary. Different grades and variable proximate causes belong to it; appropriate contingency and free human judgment are preserved rather than abolished. In Book IV, the regular direction of cosmic motions toward what is better and more beautiful is taken as evidence of rational soul and unerring wisdom, not lifeless necessity. The Magian triad is then interpreted causally: God gives unity, mind orders united parts, and soul supplies movement through higher power. Soul can be mobile in action yet constant in office. Harmony preserves difference and coordinated contribution rather than erasing them.</w:t>
      </w:r>
    </w:p>
    <w:p>
      <w:pPr>
        <w:widowControl/>
      </w:pPr>
      <w:r>
        <w:rPr>
          <w:b w:val="0"/>
          <w:i w:val="0"/>
        </w:rPr>
        <w:t xml:space="preserve">The vocabulary also has less specialized uses. </w:t>
      </w:r>
      <w:r>
        <w:rPr>
          <w:b w:val="0"/>
          <w:i/>
        </w:rPr>
        <w:t>Ordo</w:t>
      </w:r>
      <w:r>
        <w:rPr>
          <w:b w:val="0"/>
          <w:i w:val="0"/>
        </w:rPr>
        <w:t xml:space="preserve"> can mean a grade, rank, or angelic order rather than causal arrangement, while </w:t>
      </w:r>
      <w:r>
        <w:rPr>
          <w:b w:val="0"/>
          <w:i/>
        </w:rPr>
        <w:t>lex</w:t>
      </w:r>
      <w:r>
        <w:rPr>
          <w:b w:val="0"/>
          <w:i w:val="0"/>
        </w:rPr>
        <w:t xml:space="preserve"> ranges between the Proem’s divine religious law and the ordering associated with nature or the heavens. Neither word should be forced into the modern sense of a physical law. The context determines whether a passage discusses authority, rank, regularity, proportion, or intelligent government.</w:t>
      </w:r>
    </w:p>
    <w:p>
      <w:pPr>
        <w:keepNext/>
        <w:widowControl/>
      </w:pPr>
      <w:r>
        <w:rPr>
          <w:b/>
          <w:i w:val="0"/>
        </w:rPr>
        <w:t>The places.</w:t>
      </w:r>
    </w:p>
    <w:p>
      <w:pPr>
        <w:ind w:left="187" w:hanging="187"/>
      </w:pPr>
      <w:r>
        <w:t xml:space="preserve">• </w:t>
      </w:r>
      <w:r>
        <w:rPr>
          <w:b/>
          <w:i w:val="0"/>
        </w:rPr>
        <w:t>II.2.8 (PDF pp. 108–109)</w:t>
      </w:r>
      <w:r>
        <w:rPr>
          <w:b w:val="0"/>
          <w:i w:val="0"/>
        </w:rPr>
        <w:t>. The army’s mutual order depends on its shared orientation to one commander</w:t>
      </w:r>
    </w:p>
    <w:p>
      <w:pPr>
        <w:ind w:left="187" w:hanging="187"/>
      </w:pPr>
      <w:r>
        <w:t xml:space="preserve">• </w:t>
      </w:r>
      <w:r>
        <w:rPr>
          <w:b/>
          <w:i w:val="0"/>
        </w:rPr>
        <w:t>II.2.9 (PDF pp. 110–111)</w:t>
      </w:r>
      <w:r>
        <w:rPr>
          <w:b w:val="0"/>
          <w:i w:val="0"/>
        </w:rPr>
        <w:t>. Recurrent weaving illustrates an order Ficino refuses to attribute to chance</w:t>
      </w:r>
    </w:p>
    <w:p>
      <w:pPr>
        <w:ind w:left="187" w:hanging="187"/>
      </w:pPr>
      <w:r>
        <w:t xml:space="preserve">• </w:t>
      </w:r>
      <w:r>
        <w:rPr>
          <w:b/>
          <w:i w:val="0"/>
        </w:rPr>
        <w:t>II.7.27 (PDF pp. 156–157)</w:t>
      </w:r>
      <w:r>
        <w:rPr>
          <w:b w:val="0"/>
          <w:i w:val="0"/>
        </w:rPr>
        <w:t>. Diverse agents converge on being through one first source</w:t>
      </w:r>
    </w:p>
    <w:p>
      <w:pPr>
        <w:ind w:left="187" w:hanging="187"/>
      </w:pPr>
      <w:r>
        <w:t xml:space="preserve">• </w:t>
      </w:r>
      <w:r>
        <w:rPr>
          <w:b/>
          <w:i w:val="0"/>
        </w:rPr>
        <w:t>II.9.21 (PDF pp. 174–175)</w:t>
      </w:r>
      <w:r>
        <w:rPr>
          <w:b w:val="0"/>
          <w:i w:val="0"/>
        </w:rPr>
        <w:t>. Knowing the whole order requires distinguishing higher and lower parts</w:t>
      </w:r>
    </w:p>
    <w:p>
      <w:pPr>
        <w:ind w:left="187" w:hanging="187"/>
      </w:pPr>
      <w:r>
        <w:t xml:space="preserve">• </w:t>
      </w:r>
      <w:r>
        <w:rPr>
          <w:b/>
          <w:i w:val="0"/>
        </w:rPr>
        <w:t>IV.1.86 (PDF pp. 326–327)</w:t>
      </w:r>
      <w:r>
        <w:rPr>
          <w:b w:val="0"/>
          <w:i w:val="0"/>
        </w:rPr>
        <w:t>. God, mind, and soul are assigned unity, order, and motion without erasing dependence</w:t>
      </w:r>
    </w:p>
    <w:p>
      <w:pPr>
        <w:widowControl/>
      </w:pPr>
      <w:r>
        <w:rPr>
          <w:b/>
          <w:i w:val="0"/>
        </w:rPr>
        <w:t>Further passage references.</w:t>
      </w:r>
      <w:r>
        <w:rPr>
          <w:b w:val="0"/>
          <w:i w:val="0"/>
        </w:rPr>
        <w:t xml:space="preserve"> Proem.8, Proem.10 (PDF pp. 8–11); I.3.11–I.3.13, I.3.22–I.3.23 (pp. 36–37, 44–45); I.5.7–I.5.9, I.5.18, I.5.27–I.5.28 (pp. 62–65, 72–73, 80–81); I.6.14 (pp. 90–91); II.2.2, pp. 104–105; II.2.8–9, pp. 108–111; II.2.12–14, pp. 112–113; II.7.27, pp. 156–157; II.9.21–22, pp. 174–175; II.11.8–10, 18, 23–27, PDF 184–195; II.12.19–21, PDF 212–215; II.13.4–24, PDF 218–233; IV.1.8, pp. 284–285; IV.1.84–IV.1.87, pp. 324–327.</w:t>
      </w:r>
    </w:p>
    <w:p>
      <w:pPr>
        <w:keepNext/>
        <w:widowControl/>
      </w:pPr>
      <w:r>
        <w:rPr>
          <w:b/>
          <w:i w:val="0"/>
        </w:rPr>
        <w:t>In this edition.</w:t>
      </w:r>
    </w:p>
    <w:p>
      <w:pPr>
        <w:widowControl/>
      </w:pPr>
      <w:r>
        <w:t>“</w:t>
      </w:r>
      <w:r>
        <w:rPr>
          <w:b w:val="0"/>
          <w:i w:val="0"/>
        </w:rPr>
        <w:t>Conspire</w:t>
      </w:r>
      <w:r>
        <w:t>”</w:t>
      </w:r>
      <w:r>
        <w:rPr>
          <w:b w:val="0"/>
          <w:i w:val="0"/>
        </w:rPr>
        <w:t xml:space="preserve"> at II.2.8 means concerted coordination, not a secret scheme. </w:t>
      </w:r>
      <w:r>
        <w:t>“</w:t>
      </w:r>
      <w:r>
        <w:rPr>
          <w:b w:val="0"/>
          <w:i w:val="0"/>
        </w:rPr>
        <w:t>Commonly called</w:t>
      </w:r>
      <w:r>
        <w:t>”</w:t>
      </w:r>
      <w:r>
        <w:rPr>
          <w:b w:val="0"/>
          <w:i w:val="0"/>
        </w:rPr>
        <w:t xml:space="preserve"> and </w:t>
      </w:r>
      <w:r>
        <w:t>“</w:t>
      </w:r>
      <w:r>
        <w:rPr>
          <w:b w:val="0"/>
          <w:i w:val="0"/>
        </w:rPr>
        <w:t>considered in isolation</w:t>
      </w:r>
      <w:r>
        <w:t>”</w:t>
      </w:r>
      <w:r>
        <w:rPr>
          <w:b w:val="0"/>
          <w:i w:val="0"/>
        </w:rPr>
        <w:t xml:space="preserve"> at II.9.22 qualify lowly or unattractive things. The order’s goodness includes distinctions among parts; it does not assert that every part is equally excellent.</w:t>
      </w:r>
    </w:p>
    <w:p>
      <w:pPr>
        <w:keepNext/>
        <w:widowControl/>
      </w:pPr>
      <w:r>
        <w:rPr>
          <w:b/>
          <w:i w:val="0"/>
        </w:rPr>
        <w:t>See also.</w:t>
      </w:r>
    </w:p>
    <w:p>
      <w:pPr>
        <w:widowControl/>
      </w:pPr>
      <w:hyperlink w:anchor="reason-and-account">
        <w:r>
          <w:rPr>
            <w:color w:val="000000"/>
          </w:rPr>
          <w:t xml:space="preserve">Reason and account</w:t>
        </w:r>
      </w:hyperlink>
      <w:r>
        <w:rPr>
          <w:b w:val="0"/>
          <w:i w:val="0"/>
        </w:rPr>
        <w:t xml:space="preserve">; </w:t>
      </w:r>
      <w:hyperlink w:anchor="life">
        <w:r>
          <w:rPr>
            <w:color w:val="000000"/>
          </w:rPr>
          <w:t xml:space="preserve">Life</w:t>
        </w:r>
      </w:hyperlink>
      <w:r>
        <w:rPr>
          <w:b w:val="0"/>
          <w:i w:val="0"/>
        </w:rPr>
        <w:t xml:space="preserve">; </w:t>
      </w:r>
      <w:hyperlink w:anchor="mind">
        <w:r>
          <w:rPr>
            <w:color w:val="000000"/>
          </w:rPr>
          <w:t xml:space="preserve">Mind</w:t>
        </w:r>
      </w:hyperlink>
      <w:r>
        <w:rPr>
          <w:b w:val="0"/>
          <w:i w:val="0"/>
        </w:rPr>
        <w:t xml:space="preserve">; </w:t>
      </w:r>
      <w:hyperlink w:anchor="motion-and-stability">
        <w:r>
          <w:rPr>
            <w:color w:val="000000"/>
          </w:rPr>
          <w:t xml:space="preserve">Motion and stability</w:t>
        </w:r>
      </w:hyperlink>
      <w:r>
        <w:rPr>
          <w:b w:val="0"/>
          <w:i w:val="0"/>
        </w:rPr>
        <w:t xml:space="preserve">; </w:t>
      </w:r>
      <w:hyperlink w:anchor="angel">
        <w:r>
          <w:rPr>
            <w:color w:val="000000"/>
          </w:rPr>
          <w:t xml:space="preserve">Angel</w:t>
        </w:r>
      </w:hyperlink>
      <w:r>
        <w:rPr>
          <w:b w:val="0"/>
          <w:i w:val="0"/>
        </w:rPr>
        <w:t xml:space="preserve">; </w:t>
      </w:r>
      <w:hyperlink w:anchor="unity-and-multiplicity">
        <w:r>
          <w:rPr>
            <w:color w:val="000000"/>
          </w:rPr>
          <w:t xml:space="preserve">Unity and multiplicity</w:t>
        </w:r>
      </w:hyperlink>
      <w:r>
        <w:rPr>
          <w:b w:val="0"/>
          <w:i w:val="0"/>
        </w:rPr>
        <w:t xml:space="preserve">; </w:t>
      </w:r>
      <w:hyperlink w:anchor="whole-and-parts">
        <w:r>
          <w:rPr>
            <w:color w:val="000000"/>
          </w:rPr>
          <w:t xml:space="preserve">Whole and parts</w:t>
        </w:r>
      </w:hyperlink>
      <w:r>
        <w:rPr>
          <w:b w:val="0"/>
          <w:i w:val="0"/>
        </w:rPr>
        <w:t xml:space="preserve">; </w:t>
      </w:r>
      <w:hyperlink w:anchor="universals-and-individuals">
        <w:r>
          <w:rPr>
            <w:color w:val="000000"/>
          </w:rPr>
          <w:t xml:space="preserve">Universals and individuals</w:t>
        </w:r>
      </w:hyperlink>
      <w:r>
        <w:rPr>
          <w:b w:val="0"/>
          <w:i w:val="0"/>
        </w:rPr>
        <w:t xml:space="preserve">; </w:t>
      </w:r>
      <w:hyperlink w:anchor="perfection">
        <w:r>
          <w:rPr>
            <w:color w:val="000000"/>
          </w:rPr>
          <w:t xml:space="preserve">Perfection</w:t>
        </w:r>
      </w:hyperlink>
      <w:r>
        <w:rPr>
          <w:b w:val="0"/>
          <w:i w:val="0"/>
        </w:rPr>
        <w:t xml:space="preserve">; </w:t>
      </w:r>
      <w:hyperlink w:anchor="cause">
        <w:r>
          <w:rPr>
            <w:color w:val="000000"/>
          </w:rPr>
          <w:t xml:space="preserve">Cause</w:t>
        </w:r>
      </w:hyperlink>
      <w:r>
        <w:rPr>
          <w:b w:val="0"/>
          <w:i w:val="0"/>
        </w:rPr>
        <w:t xml:space="preserve">; </w:t>
      </w:r>
      <w:hyperlink w:anchor="contingency">
        <w:r>
          <w:rPr>
            <w:color w:val="000000"/>
          </w:rPr>
          <w:t xml:space="preserve">Contingency</w:t>
        </w:r>
      </w:hyperlink>
      <w:r>
        <w:rPr>
          <w:b w:val="0"/>
          <w:i w:val="0"/>
        </w:rPr>
        <w:t xml:space="preserve">; </w:t>
      </w:r>
      <w:hyperlink w:anchor="degree-and-mediation">
        <w:r>
          <w:rPr>
            <w:color w:val="000000"/>
          </w:rPr>
          <w:t xml:space="preserve">Degree and mediation</w:t>
        </w:r>
      </w:hyperlink>
      <w:r>
        <w:rPr>
          <w:b w:val="0"/>
          <w:i w:val="0"/>
        </w:rPr>
        <w:t xml:space="preserve">; </w:t>
      </w:r>
      <w:hyperlink w:anchor="ideas-and-exemplars">
        <w:r>
          <w:rPr>
            <w:color w:val="000000"/>
          </w:rPr>
          <w:t xml:space="preserve">Ideas and exemplars</w:t>
        </w:r>
      </w:hyperlink>
      <w:r>
        <w:rPr>
          <w:b w:val="0"/>
          <w:i w:val="0"/>
        </w:rPr>
        <w:t xml:space="preserve">; </w:t>
      </w:r>
      <w:hyperlink w:anchor="providence">
        <w:r>
          <w:rPr>
            <w:color w:val="000000"/>
          </w:rPr>
          <w:t xml:space="preserve">Providence</w:t>
        </w:r>
      </w:hyperlink>
      <w:r>
        <w:rPr>
          <w:b w:val="0"/>
          <w:i w:val="0"/>
        </w:rPr>
        <w:t xml:space="preserve">; </w:t>
      </w:r>
      <w:hyperlink w:anchor="fate">
        <w:r>
          <w:rPr>
            <w:color w:val="000000"/>
          </w:rPr>
          <w:t xml:space="preserve">Fate</w:t>
        </w:r>
      </w:hyperlink>
      <w:r>
        <w:rPr>
          <w:b w:val="0"/>
          <w:i w:val="0"/>
        </w:rPr>
        <w:t xml:space="preserve">; </w:t>
      </w:r>
      <w:hyperlink w:anchor="art-and-nature">
        <w:r>
          <w:rPr>
            <w:color w:val="000000"/>
          </w:rPr>
          <w:t xml:space="preserve">Art and nature</w:t>
        </w:r>
      </w:hyperlink>
      <w:r>
        <w:rPr>
          <w:b w:val="0"/>
          <w:i w:val="0"/>
        </w:rPr>
        <w:t xml:space="preserve">; </w:t>
      </w:r>
      <w:hyperlink w:anchor="hermetic-theologians-and-the-magi">
        <w:r>
          <w:rPr>
            <w:color w:val="000000"/>
          </w:rPr>
          <w:t xml:space="preserve">Hermetic theologians and the Magi</w:t>
        </w:r>
      </w:hyperlink>
      <w:r>
        <w:rPr>
          <w:b w:val="0"/>
          <w:i w:val="0"/>
        </w:rPr>
        <w:t xml:space="preserve">; </w:t>
      </w:r>
      <w:hyperlink w:anchor="apollo">
        <w:r>
          <w:rPr>
            <w:color w:val="000000"/>
          </w:rPr>
          <w:t xml:space="preserve">Apollo</w:t>
        </w:r>
      </w:hyperlink>
      <w:r>
        <w:rPr>
          <w:b w:val="0"/>
          <w:i w:val="0"/>
        </w:rPr>
        <w:t xml:space="preserve">; </w:t>
      </w:r>
      <w:hyperlink w:anchor="sympathy">
        <w:r>
          <w:rPr>
            <w:color w:val="000000"/>
          </w:rPr>
          <w:t xml:space="preserve">Sympathy</w:t>
        </w:r>
      </w:hyperlink>
    </w:p>
    <w:p>
      <w:bookmarkStart w:id="162" w:name="orpheus-and-divine-names"/>
      <w:pPr>
        <w:pStyle w:val="Heading2"/>
      </w:pPr>
      <w:r>
        <w:rPr>
          <w:b w:val="0"/>
          <w:i w:val="0"/>
        </w:rPr>
        <w:t>Orpheus and divine names</w:t>
      </w:r>
      <w:bookmarkEnd w:id="162"/>
    </w:p>
    <w:p>
      <w:pPr>
        <w:keepNext/>
        <w:widowControl/>
      </w:pPr>
      <w:r>
        <w:rPr>
          <w:b/>
          <w:i w:val="0"/>
        </w:rPr>
        <w:t>Latin:</w:t>
      </w:r>
      <w:r>
        <w:rPr>
          <w:b w:val="0"/>
          <w:i w:val="0"/>
        </w:rPr>
        <w:t xml:space="preserve"> Orpheo; Orpheus; ab Orphicis; infinitus finis; necessitatem; Iovis perfectus oculus; oculus infinitus; Saturni hymno; Apollinis hymno</w:t>
      </w:r>
    </w:p>
    <w:p>
      <w:pPr>
        <w:keepNext/>
        <w:widowControl/>
      </w:pPr>
      <w:r>
        <w:rPr>
          <w:b/>
          <w:i w:val="0"/>
        </w:rPr>
        <w:t>The word.</w:t>
      </w:r>
    </w:p>
    <w:p>
      <w:pPr>
        <w:widowControl/>
      </w:pPr>
      <w:r>
        <w:rPr>
          <w:b w:val="0"/>
          <w:i w:val="0"/>
        </w:rPr>
        <w:t>Orpheus and the Orphics are named authorities for divine descriptions and hymnic sayings. Finis can be end or goal; necessitas necessity; oculus eye. Their differing senses allow a series of compact divine names rather than one literal description.</w:t>
      </w:r>
    </w:p>
    <w:p>
      <w:pPr>
        <w:keepNext/>
        <w:widowControl/>
      </w:pPr>
      <w:r>
        <w:rPr>
          <w:b/>
          <w:i w:val="0"/>
        </w:rPr>
        <w:t>In the Platonic Theology.</w:t>
      </w:r>
    </w:p>
    <w:p>
      <w:pPr>
        <w:widowControl/>
      </w:pPr>
      <w:r>
        <w:rPr>
          <w:b w:val="0"/>
          <w:i w:val="0"/>
        </w:rPr>
        <w:t xml:space="preserve">The </w:t>
      </w:r>
      <w:r>
        <w:t>“</w:t>
      </w:r>
      <w:r>
        <w:rPr>
          <w:b w:val="0"/>
          <w:i w:val="0"/>
        </w:rPr>
        <w:t>infinite end</w:t>
      </w:r>
      <w:r>
        <w:t>”</w:t>
      </w:r>
      <w:r>
        <w:rPr>
          <w:b w:val="0"/>
          <w:i w:val="0"/>
        </w:rPr>
        <w:t xml:space="preserve"> caps the argument that potential or qualified infinities derive from infinity in act. The Saturn hymn supplies an inhabitant of all cosmic parts; the saying about mighty necessity supports God’s necessity of being; the perfect and infinite eyes support comprehensive knowing. Finally, the Apollo hymn describes universal bounds, care for beginning and end, flourishing, and harmony through a resounding lyre.</w:t>
      </w:r>
    </w:p>
    <w:p>
      <w:pPr>
        <w:widowControl/>
      </w:pPr>
      <w:r>
        <w:rPr>
          <w:b w:val="0"/>
          <w:i w:val="0"/>
        </w:rPr>
        <w:t>These citations perform distinct tasks within Ficino’s exposition. Their authority and attribution are reported as he gives them; no independent authorship claim or critical identification of fragments is made here. Likewise, necessity as the name of the self-subsisting source should not be flattened into external coercion, and the eye or lyre should not be read as bodily equipment of the divine cause.</w:t>
      </w:r>
    </w:p>
    <w:p>
      <w:pPr>
        <w:keepNext/>
        <w:widowControl/>
      </w:pPr>
      <w:r>
        <w:rPr>
          <w:b/>
          <w:i w:val="0"/>
        </w:rPr>
        <w:t>The places.</w:t>
      </w:r>
    </w:p>
    <w:p>
      <w:pPr>
        <w:ind w:left="187" w:hanging="187"/>
      </w:pPr>
      <w:r>
        <w:t xml:space="preserve">• </w:t>
      </w:r>
      <w:r>
        <w:rPr>
          <w:b w:val="0"/>
          <w:i w:val="0"/>
        </w:rPr>
        <w:t>II.4.8, II.6.11 (PDF pp. 124–125, 132–133): Infinite end and universal habitation support infinity and presence</w:t>
      </w:r>
    </w:p>
    <w:p>
      <w:pPr>
        <w:ind w:left="187" w:hanging="187"/>
      </w:pPr>
      <w:r>
        <w:t xml:space="preserve">• </w:t>
      </w:r>
      <w:r>
        <w:rPr>
          <w:b w:val="0"/>
          <w:i w:val="0"/>
        </w:rPr>
        <w:t>II.7.11 (PDF pp. 148–149): Mighty necessity accompanies the claim of necessary being</w:t>
      </w:r>
    </w:p>
    <w:p>
      <w:pPr>
        <w:ind w:left="187" w:hanging="187"/>
      </w:pPr>
      <w:r>
        <w:t xml:space="preserve">• </w:t>
      </w:r>
      <w:r>
        <w:rPr>
          <w:b w:val="0"/>
          <w:i w:val="0"/>
        </w:rPr>
        <w:t>II.9.18, II.9.19, II.9.22 (PDF pp. 172–175): Perfect sight and the Apollo hymn support knowledge and ordered harmony</w:t>
      </w:r>
    </w:p>
    <w:p>
      <w:pPr>
        <w:ind w:left="187" w:hanging="187"/>
      </w:pPr>
      <w:r>
        <w:t xml:space="preserve">• </w:t>
      </w:r>
      <w:r>
        <w:rPr>
          <w:b w:val="0"/>
          <w:i w:val="0"/>
        </w:rPr>
        <w:t>II.10.7 (PDF pp. 178–179): The infinite eye names unlimited divine knowledge</w:t>
      </w:r>
    </w:p>
    <w:p>
      <w:pPr>
        <w:keepNext/>
        <w:widowControl/>
      </w:pPr>
      <w:r>
        <w:rPr>
          <w:b/>
          <w:i w:val="0"/>
        </w:rPr>
        <w:t>In this edition.</w:t>
      </w:r>
    </w:p>
    <w:p>
      <w:pPr>
        <w:widowControl/>
      </w:pPr>
      <w:r>
        <w:rPr>
          <w:b w:val="0"/>
          <w:i w:val="0"/>
        </w:rPr>
        <w:t>The supplied Latin gives a gloss after each Greek citation, sometimes across editorial units. Preserve both the attribution and the immediate argument rather than treating the gloss as a new statement independently verified by this lexicon.</w:t>
      </w:r>
    </w:p>
    <w:p>
      <w:pPr>
        <w:keepNext/>
        <w:widowControl/>
      </w:pPr>
      <w:r>
        <w:rPr>
          <w:b/>
          <w:i w:val="0"/>
        </w:rPr>
        <w:t>See also.</w:t>
      </w:r>
    </w:p>
    <w:p>
      <w:pPr>
        <w:widowControl/>
      </w:pPr>
      <w:hyperlink w:anchor="end-and-limit">
        <w:r>
          <w:rPr>
            <w:color w:val="000000"/>
          </w:rPr>
          <w:t xml:space="preserve">End and limit</w:t>
        </w:r>
      </w:hyperlink>
      <w:r>
        <w:rPr>
          <w:b w:val="0"/>
          <w:i w:val="0"/>
        </w:rPr>
        <w:t xml:space="preserve">; </w:t>
      </w:r>
      <w:hyperlink w:anchor="freedom-and-necessity">
        <w:r>
          <w:rPr>
            <w:color w:val="000000"/>
          </w:rPr>
          <w:t xml:space="preserve">Freedom and necessity</w:t>
        </w:r>
      </w:hyperlink>
      <w:r>
        <w:rPr>
          <w:b w:val="0"/>
          <w:i w:val="0"/>
        </w:rPr>
        <w:t xml:space="preserve">; </w:t>
      </w:r>
      <w:hyperlink w:anchor="eye-and-gaze">
        <w:r>
          <w:rPr>
            <w:color w:val="000000"/>
          </w:rPr>
          <w:t xml:space="preserve">Eye and gaze</w:t>
        </w:r>
      </w:hyperlink>
      <w:r>
        <w:rPr>
          <w:b w:val="0"/>
          <w:i w:val="0"/>
        </w:rPr>
        <w:t xml:space="preserve">; </w:t>
      </w:r>
      <w:hyperlink w:anchor="apollo">
        <w:r>
          <w:rPr>
            <w:color w:val="000000"/>
          </w:rPr>
          <w:t xml:space="preserve">Apollo</w:t>
        </w:r>
      </w:hyperlink>
      <w:r>
        <w:rPr>
          <w:b w:val="0"/>
          <w:i w:val="0"/>
        </w:rPr>
        <w:t>.</w:t>
      </w:r>
    </w:p>
    <w:p>
      <w:bookmarkStart w:id="163" w:name="ostrich-and-egg"/>
      <w:pPr>
        <w:pStyle w:val="Heading2"/>
      </w:pPr>
      <w:r>
        <w:rPr>
          <w:b w:val="0"/>
          <w:i w:val="0"/>
        </w:rPr>
        <w:t>Ostrich and egg</w:t>
      </w:r>
      <w:bookmarkEnd w:id="163"/>
    </w:p>
    <w:p>
      <w:pPr>
        <w:keepNext/>
        <w:widowControl/>
      </w:pPr>
      <w:r>
        <w:rPr>
          <w:b/>
          <w:i w:val="0"/>
        </w:rPr>
        <w:t>Latin:</w:t>
      </w:r>
      <w:r>
        <w:rPr>
          <w:b w:val="0"/>
          <w:i w:val="0"/>
        </w:rPr>
        <w:t xml:space="preserve"> </w:t>
      </w:r>
      <w:r>
        <w:rPr>
          <w:b w:val="0"/>
          <w:i/>
        </w:rPr>
        <w:t>struthii oculus; ovum; intuitus; fovere; intentus; avidissime</w:t>
      </w:r>
    </w:p>
    <w:p>
      <w:pPr>
        <w:keepNext/>
        <w:widowControl/>
      </w:pPr>
      <w:r>
        <w:rPr>
          <w:b/>
          <w:i w:val="0"/>
        </w:rPr>
        <w:t>The word.</w:t>
      </w:r>
    </w:p>
    <w:p>
      <w:pPr>
        <w:widowControl/>
      </w:pPr>
      <w:r>
        <w:rPr>
          <w:b w:val="0"/>
          <w:i w:val="0"/>
        </w:rPr>
        <w:t>Struthii is the genitive identifying the ostrich; oculus is its eye, ovum its egg, and fovere warming or brooding. Intentus and avidissime characterize the eye as fixed with great eagerness. The vocabulary joins directed attention with affective force.</w:t>
      </w:r>
    </w:p>
    <w:p>
      <w:pPr>
        <w:keepNext/>
        <w:widowControl/>
      </w:pPr>
      <w:r>
        <w:rPr>
          <w:b/>
          <w:i w:val="0"/>
        </w:rPr>
        <w:t>In the Platonic Theology.</w:t>
      </w:r>
    </w:p>
    <w:p>
      <w:pPr>
        <w:widowControl/>
      </w:pPr>
      <w:r>
        <w:rPr>
          <w:b w:val="0"/>
          <w:i w:val="0"/>
        </w:rPr>
        <w:t xml:space="preserve">Ficino claims that cognition in creatures produces no substantial effect without affect, and invokes the ostrich’s eye fixed eagerly upon its egg as a qualified indication of that claim. He then reasons that divine intelligence, immeasurably more effective in creation than the ostrich’s gaze in brooding, must contain a most powerful affect of will. The inference is comparative and inferential: coniectari possumus says that </w:t>
      </w:r>
      <w:r>
        <w:t>“</w:t>
      </w:r>
      <w:r>
        <w:rPr>
          <w:b w:val="0"/>
          <w:i w:val="0"/>
        </w:rPr>
        <w:t>we can infer</w:t>
      </w:r>
      <w:r>
        <w:t>”</w:t>
      </w:r>
      <w:r>
        <w:rPr>
          <w:b w:val="0"/>
          <w:i w:val="0"/>
        </w:rPr>
        <w:t xml:space="preserve"> or conjecture, and quodammodo already limits the illustrative claim. Neither the anecdote nor its extension supplies an independent observation of the mechanism. The following appeal to divine delight is a second consideration, based on the perfection of intellect and object.</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II.11.31 (Latin PDF p. 196; English PDF p. 197).</w:t>
      </w:r>
      <w:r>
        <w:rPr>
          <w:b w:val="0"/>
          <w:i w:val="0"/>
        </w:rPr>
        <w:t xml:space="preserve"> The eye-and-egg example illustrates cognition operating through affect.</w:t>
      </w:r>
    </w:p>
    <w:p>
      <w:pPr>
        <w:ind w:left="187" w:hanging="187"/>
      </w:pPr>
      <w:r>
        <w:t xml:space="preserve">• </w:t>
      </w:r>
      <w:r>
        <w:rPr>
          <w:b/>
          <w:i w:val="0"/>
        </w:rPr>
        <w:t>II.11.32 (Latin PDF p. 196; English PDF p. 197).</w:t>
      </w:r>
      <w:r>
        <w:rPr>
          <w:b w:val="0"/>
          <w:i w:val="0"/>
        </w:rPr>
        <w:t xml:space="preserve"> A comparison supports the power and delight attributed to divine will.</w:t>
      </w:r>
    </w:p>
    <w:p>
      <w:pPr>
        <w:keepNext/>
        <w:widowControl/>
      </w:pPr>
      <w:r>
        <w:rPr>
          <w:b/>
          <w:i w:val="0"/>
        </w:rPr>
        <w:t>In this edition.</w:t>
      </w:r>
    </w:p>
    <w:p>
      <w:pPr>
        <w:widowControl/>
      </w:pPr>
      <w:r>
        <w:rPr>
          <w:b w:val="0"/>
          <w:i w:val="0"/>
        </w:rPr>
        <w:t xml:space="preserve">The English </w:t>
      </w:r>
      <w:r>
        <w:t>“</w:t>
      </w:r>
      <w:r>
        <w:rPr>
          <w:b w:val="0"/>
          <w:i w:val="0"/>
        </w:rPr>
        <w:t>brooding</w:t>
      </w:r>
      <w:r>
        <w:t>”</w:t>
      </w:r>
      <w:r>
        <w:rPr>
          <w:b w:val="0"/>
          <w:i w:val="0"/>
        </w:rPr>
        <w:t xml:space="preserve"> renders fovendo without confirming the efficacy of a gaze. This is natural lore invoked by Ficino, not verified information about ostrich incubation. Struthii is the printed form; a normalized dictionary name should be identified as supplied rather than substituted into the quotation.</w:t>
      </w:r>
    </w:p>
    <w:p>
      <w:pPr>
        <w:keepNext/>
        <w:widowControl/>
      </w:pPr>
      <w:r>
        <w:rPr>
          <w:b/>
          <w:i w:val="0"/>
        </w:rPr>
        <w:t>See also.</w:t>
      </w:r>
    </w:p>
    <w:p>
      <w:pPr>
        <w:widowControl/>
      </w:pPr>
      <w:hyperlink w:anchor="affect">
        <w:r>
          <w:rPr>
            <w:color w:val="000000"/>
          </w:rPr>
          <w:t xml:space="preserve">Affect</w:t>
        </w:r>
      </w:hyperlink>
      <w:r>
        <w:rPr>
          <w:b w:val="0"/>
          <w:i w:val="0"/>
        </w:rPr>
        <w:t xml:space="preserve">; </w:t>
      </w:r>
      <w:hyperlink w:anchor="will">
        <w:r>
          <w:rPr>
            <w:color w:val="000000"/>
          </w:rPr>
          <w:t xml:space="preserve">Will</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love-and-pleasure">
        <w:r>
          <w:rPr>
            <w:color w:val="000000"/>
          </w:rPr>
          <w:t xml:space="preserve">Love and pleasure</w:t>
        </w:r>
      </w:hyperlink>
      <w:r>
        <w:rPr>
          <w:b w:val="0"/>
          <w:i w:val="0"/>
        </w:rPr>
        <w:t>.</w:t>
      </w:r>
    </w:p>
    <w:p>
      <w:bookmarkStart w:id="164" w:name="parmenides-and-the-summary-formula"/>
      <w:pPr>
        <w:pStyle w:val="Heading2"/>
      </w:pPr>
      <w:r>
        <w:rPr>
          <w:b w:val="0"/>
          <w:i w:val="0"/>
        </w:rPr>
        <w:t>Parmenides and the summary formula</w:t>
      </w:r>
      <w:bookmarkEnd w:id="164"/>
    </w:p>
    <w:p>
      <w:pPr>
        <w:keepNext/>
        <w:widowControl/>
      </w:pPr>
      <w:r>
        <w:rPr>
          <w:b/>
          <w:i w:val="0"/>
        </w:rPr>
        <w:t>Latin:</w:t>
      </w:r>
      <w:r>
        <w:rPr>
          <w:b w:val="0"/>
          <w:i w:val="0"/>
        </w:rPr>
        <w:t xml:space="preserve"> Parmenides Pythagoreus; De veritate et opinione; ens unum immobile infinitum</w:t>
      </w:r>
    </w:p>
    <w:p>
      <w:pPr>
        <w:keepNext/>
        <w:widowControl/>
      </w:pPr>
      <w:r>
        <w:rPr>
          <w:b/>
          <w:i w:val="0"/>
        </w:rPr>
        <w:t>The word.</w:t>
      </w:r>
    </w:p>
    <w:p>
      <w:pPr>
        <w:widowControl/>
      </w:pPr>
      <w:r>
        <w:rPr>
          <w:b w:val="0"/>
          <w:i w:val="0"/>
        </w:rPr>
        <w:t xml:space="preserve">Ficino calls Parmenides Pythagorean and gives a work-title, De veritate et opinione, </w:t>
      </w:r>
      <w:r>
        <w:t>“</w:t>
      </w:r>
      <w:r>
        <w:rPr>
          <w:b w:val="0"/>
          <w:i w:val="0"/>
        </w:rPr>
        <w:t>On Truth and Opinion.</w:t>
      </w:r>
      <w:r>
        <w:t>”</w:t>
      </w:r>
      <w:r>
        <w:rPr>
          <w:b w:val="0"/>
          <w:i w:val="0"/>
        </w:rPr>
        <w:t xml:space="preserve"> The four-word Latin gloss describes being as one, unmoved, and infinite; it is the gloss of a Greek expression quoted in this edition.</w:t>
      </w:r>
    </w:p>
    <w:p>
      <w:pPr>
        <w:keepNext/>
        <w:widowControl/>
      </w:pPr>
      <w:r>
        <w:rPr>
          <w:b/>
          <w:i w:val="0"/>
        </w:rPr>
        <w:t>In the Platonic Theology.</w:t>
      </w:r>
    </w:p>
    <w:p>
      <w:pPr>
        <w:widowControl/>
      </w:pPr>
      <w:r>
        <w:rPr>
          <w:b w:val="0"/>
          <w:i w:val="0"/>
        </w:rPr>
        <w:t>The citation opens the transition from proofs of God’s existence, unity, primacy, and infinity to the argument that God acts and preserves all things. Ficino presents the earlier conclusions as confirming what Parmenides said about God. The name thus serves as a compressed authority for a sequence already argued, not as the sole premise of the next proof.</w:t>
      </w:r>
    </w:p>
    <w:p>
      <w:pPr>
        <w:widowControl/>
      </w:pPr>
      <w:r>
        <w:rPr>
          <w:b w:val="0"/>
          <w:i w:val="0"/>
        </w:rPr>
        <w:t>This article records Ficino’s identification and title as printed. It does not independently authenticate the quotation, identify a modern fragment number, or imply that Parmenides himself used Ficino’s developed Christian account of divine causation. The later claims should be read as Ficino’s interpretation of the authority.</w:t>
      </w:r>
    </w:p>
    <w:p>
      <w:pPr>
        <w:keepNext/>
        <w:widowControl/>
      </w:pPr>
      <w:r>
        <w:rPr>
          <w:b/>
          <w:i w:val="0"/>
        </w:rPr>
        <w:t>The places.</w:t>
      </w:r>
    </w:p>
    <w:p>
      <w:pPr>
        <w:ind w:left="187" w:hanging="187"/>
      </w:pPr>
      <w:r>
        <w:t xml:space="preserve">• </w:t>
      </w:r>
      <w:r>
        <w:rPr>
          <w:b w:val="0"/>
          <w:i w:val="0"/>
        </w:rPr>
        <w:t>II.7.1 (PDF pp. 144–145): The formula summarizes the preceding divine attributes before the proof of universal action</w:t>
      </w:r>
    </w:p>
    <w:p>
      <w:pPr>
        <w:keepNext/>
        <w:widowControl/>
      </w:pPr>
      <w:r>
        <w:rPr>
          <w:b/>
          <w:i w:val="0"/>
        </w:rPr>
        <w:t>In this edition.</w:t>
      </w:r>
    </w:p>
    <w:p>
      <w:pPr>
        <w:widowControl/>
      </w:pPr>
      <w:r>
        <w:rPr>
          <w:b w:val="0"/>
          <w:i w:val="0"/>
        </w:rPr>
        <w:t xml:space="preserve">The translation retains </w:t>
      </w:r>
      <w:r>
        <w:t>“</w:t>
      </w:r>
      <w:r>
        <w:rPr>
          <w:b w:val="0"/>
          <w:i w:val="0"/>
        </w:rPr>
        <w:t>Parmenides the Pythagorean.</w:t>
      </w:r>
      <w:r>
        <w:t>”</w:t>
      </w:r>
      <w:r>
        <w:rPr>
          <w:b w:val="0"/>
          <w:i w:val="0"/>
        </w:rPr>
        <w:t xml:space="preserve"> That label belongs to the source’s presentation and should be attributed rather than silently converted into an externally verified biographical classification.</w:t>
      </w:r>
    </w:p>
    <w:p>
      <w:pPr>
        <w:keepNext/>
        <w:widowControl/>
      </w:pPr>
      <w:r>
        <w:rPr>
          <w:b/>
          <w:i w:val="0"/>
        </w:rPr>
        <w:t>See also.</w:t>
      </w:r>
    </w:p>
    <w:p>
      <w:pPr>
        <w:widowControl/>
      </w:pPr>
      <w:hyperlink w:anchor="god">
        <w:r>
          <w:rPr>
            <w:color w:val="000000"/>
          </w:rPr>
          <w:t xml:space="preserve">God</w:t>
        </w:r>
      </w:hyperlink>
      <w:r>
        <w:rPr>
          <w:b w:val="0"/>
          <w:i w:val="0"/>
        </w:rPr>
        <w:t xml:space="preserve">; </w:t>
      </w:r>
      <w:hyperlink w:anchor="philosophy-and-theology">
        <w:r>
          <w:rPr>
            <w:color w:val="000000"/>
          </w:rPr>
          <w:t xml:space="preserve">Philosophy and theology</w:t>
        </w:r>
      </w:hyperlink>
      <w:r>
        <w:rPr>
          <w:b w:val="0"/>
          <w:i w:val="0"/>
        </w:rPr>
        <w:t xml:space="preserve">; </w:t>
      </w:r>
      <w:hyperlink w:anchor="infinity">
        <w:r>
          <w:rPr>
            <w:color w:val="000000"/>
          </w:rPr>
          <w:t xml:space="preserve">Infinity</w:t>
        </w:r>
      </w:hyperlink>
      <w:r>
        <w:rPr>
          <w:b w:val="0"/>
          <w:i w:val="0"/>
        </w:rPr>
        <w:t xml:space="preserve">; </w:t>
      </w:r>
      <w:hyperlink w:anchor="orpheus-and-divine-names">
        <w:r>
          <w:rPr>
            <w:color w:val="000000"/>
          </w:rPr>
          <w:t xml:space="preserve">Orpheus and divine names</w:t>
        </w:r>
      </w:hyperlink>
      <w:r>
        <w:rPr>
          <w:b w:val="0"/>
          <w:i w:val="0"/>
        </w:rPr>
        <w:t>.</w:t>
      </w:r>
    </w:p>
    <w:p>
      <w:bookmarkStart w:id="165" w:name="participation"/>
      <w:pPr>
        <w:pStyle w:val="Heading2"/>
      </w:pPr>
      <w:r>
        <w:rPr>
          <w:b w:val="0"/>
          <w:i w:val="0"/>
        </w:rPr>
        <w:t>Participation</w:t>
      </w:r>
      <w:bookmarkEnd w:id="165"/>
    </w:p>
    <w:p>
      <w:pPr>
        <w:keepNext/>
        <w:widowControl/>
      </w:pPr>
      <w:r>
        <w:rPr>
          <w:b/>
          <w:i w:val="0"/>
        </w:rPr>
        <w:t>Latin:</w:t>
      </w:r>
      <w:r>
        <w:rPr>
          <w:b w:val="0"/>
          <w:i w:val="0"/>
        </w:rPr>
        <w:t xml:space="preserve"> </w:t>
      </w:r>
      <w:r>
        <w:rPr>
          <w:b w:val="0"/>
          <w:i/>
        </w:rPr>
        <w:t>participatio</w:t>
      </w:r>
      <w:r>
        <w:rPr>
          <w:b w:val="0"/>
          <w:i w:val="0"/>
        </w:rPr>
        <w:t xml:space="preserve">, </w:t>
      </w:r>
      <w:r>
        <w:rPr>
          <w:b w:val="0"/>
          <w:i/>
        </w:rPr>
        <w:t>participare</w:t>
      </w:r>
      <w:r>
        <w:rPr>
          <w:b w:val="0"/>
          <w:i w:val="0"/>
        </w:rPr>
        <w:t xml:space="preserve">, </w:t>
      </w:r>
      <w:r>
        <w:rPr>
          <w:b w:val="0"/>
          <w:i/>
        </w:rPr>
        <w:t>particeps</w:t>
      </w:r>
      <w:r>
        <w:rPr>
          <w:b w:val="0"/>
          <w:i w:val="0"/>
        </w:rPr>
        <w:t xml:space="preserve">; </w:t>
      </w:r>
      <w:r>
        <w:rPr>
          <w:b w:val="0"/>
          <w:i/>
        </w:rPr>
        <w:t>participia</w:t>
      </w:r>
      <w:r>
        <w:rPr>
          <w:b w:val="0"/>
          <w:i w:val="0"/>
        </w:rPr>
        <w:t xml:space="preserve"> (shares or participations in the supplied text); </w:t>
      </w:r>
      <w:r>
        <w:rPr>
          <w:b w:val="0"/>
          <w:i/>
        </w:rPr>
        <w:t>portio</w:t>
      </w:r>
      <w:r>
        <w:rPr>
          <w:b w:val="0"/>
          <w:i w:val="0"/>
        </w:rPr>
        <w:t xml:space="preserve"> (share); </w:t>
      </w:r>
      <w:r>
        <w:rPr>
          <w:b w:val="0"/>
          <w:i/>
        </w:rPr>
        <w:t>vestigium</w:t>
      </w:r>
      <w:r>
        <w:rPr>
          <w:b w:val="0"/>
          <w:i w:val="0"/>
        </w:rPr>
        <w:t xml:space="preserve"> (trace)</w:t>
      </w:r>
    </w:p>
    <w:p>
      <w:pPr>
        <w:keepNext/>
        <w:widowControl/>
      </w:pPr>
      <w:r>
        <w:rPr>
          <w:b/>
          <w:i w:val="0"/>
        </w:rPr>
        <w:t>The word.</w:t>
      </w:r>
    </w:p>
    <w:p>
      <w:pPr>
        <w:widowControl/>
      </w:pPr>
      <w:r>
        <w:rPr>
          <w:b w:val="0"/>
          <w:i w:val="0"/>
        </w:rPr>
        <w:t>Participatio and participare describe received possession of a perfection; particeps names a participant. Portio is a share, and vestigium a trace. These expressions need not mean a physical fraction broken from the source.</w:t>
      </w:r>
    </w:p>
    <w:p>
      <w:pPr>
        <w:keepNext/>
        <w:widowControl/>
      </w:pPr>
      <w:r>
        <w:rPr>
          <w:b/>
          <w:i w:val="0"/>
        </w:rPr>
        <w:t>In the Platonic Theology.</w:t>
      </w:r>
    </w:p>
    <w:p>
      <w:pPr>
        <w:widowControl/>
      </w:pPr>
      <w:r>
        <w:rPr>
          <w:b w:val="0"/>
          <w:i w:val="0"/>
        </w:rPr>
        <w:t>Participation is dependent possession of a perfection, as distinct from being its full or underived source. The clearest comparison uses heat: wood is hot through participation, fire through form, and the sun in a more eminent causal manner. Ficino parallels these with soul’s partial possession of mind, the angel’s possession of mind’s form, and God as mind’s most effective origin. The contrast concerns different ways of possessing and causing a perfection; it does not physically divide intellectual nature among recipients.</w:t>
      </w:r>
    </w:p>
    <w:p>
      <w:pPr>
        <w:widowControl/>
      </w:pPr>
      <w:r>
        <w:rPr>
          <w:b w:val="0"/>
          <w:i w:val="0"/>
        </w:rPr>
        <w:t xml:space="preserve">The language also explains how creatures possess unity, truth, and goodness. Their received shares and traces point toward a source they desire and to which they return. If supreme unity itself received power from a higher cause, it would become a composite of unity and an addition, rather than unity itself. Similarly, something called better is better through a greater share of goodness, so it cannot surpass goodness independently of it. A </w:t>
      </w:r>
      <w:r>
        <w:rPr>
          <w:b w:val="0"/>
          <w:i/>
        </w:rPr>
        <w:t>portio</w:t>
      </w:r>
      <w:r>
        <w:rPr>
          <w:b w:val="0"/>
          <w:i w:val="0"/>
        </w:rPr>
        <w:t xml:space="preserve"> is consequently a limited possession of perfection rather than a divine fragment. Later the </w:t>
      </w:r>
      <w:r>
        <w:rPr>
          <w:b w:val="0"/>
          <w:i/>
        </w:rPr>
        <w:t>vestigium</w:t>
      </w:r>
      <w:r>
        <w:rPr>
          <w:b w:val="0"/>
          <w:i w:val="0"/>
        </w:rPr>
        <w:t>, or trace, of the first cause names being itself, on which subordinate causes establish further determinations.</w:t>
      </w:r>
    </w:p>
    <w:p>
      <w:pPr>
        <w:widowControl/>
      </w:pPr>
      <w:r>
        <w:rPr>
          <w:b w:val="0"/>
          <w:i w:val="0"/>
        </w:rPr>
        <w:t>Other applications make the relation concrete. Earth participates in the idea of roundness; a creature enjoys itself by participating in goodness; bodies live and move through soul’s communicated life. Celestial motion can participate in stability. What is received and how it is received vary with the example, so participation is more precise than generic membership in a class. Higher activity remains present in lower effects according to the recipient’s mode. Yet a unifying presence may be whole in each part rather than partitioned: soul communicates life without being cut into bodily pieces, and divine goodness is reflected in many creatures without becoming many independent divine substances.</w:t>
      </w:r>
    </w:p>
    <w:p>
      <w:pPr>
        <w:keepNext/>
        <w:widowControl/>
      </w:pPr>
      <w:r>
        <w:rPr>
          <w:b/>
          <w:i w:val="0"/>
        </w:rPr>
        <w:t>The places.</w:t>
      </w:r>
    </w:p>
    <w:p>
      <w:pPr>
        <w:ind w:left="187" w:hanging="187"/>
      </w:pPr>
      <w:r>
        <w:t xml:space="preserve">• </w:t>
      </w:r>
      <w:r>
        <w:rPr>
          <w:b/>
          <w:i w:val="0"/>
        </w:rPr>
        <w:t>I.3.14</w:t>
      </w:r>
      <w:r>
        <w:rPr>
          <w:b w:val="0"/>
          <w:i w:val="0"/>
        </w:rPr>
        <w:t>. Received inequality and divisible forms are referred toward more unified sources within the hierarchy.</w:t>
      </w:r>
    </w:p>
    <w:p>
      <w:pPr>
        <w:ind w:left="187" w:hanging="187"/>
      </w:pPr>
      <w:r>
        <w:t xml:space="preserve">• </w:t>
      </w:r>
      <w:r>
        <w:rPr>
          <w:b/>
          <w:i w:val="0"/>
        </w:rPr>
        <w:t>I.5.7</w:t>
      </w:r>
      <w:r>
        <w:rPr>
          <w:b w:val="0"/>
          <w:i w:val="0"/>
        </w:rPr>
        <w:t>. Ordered celestial motion participates in stability.</w:t>
      </w:r>
    </w:p>
    <w:p>
      <w:pPr>
        <w:ind w:left="187" w:hanging="187"/>
      </w:pPr>
      <w:r>
        <w:t xml:space="preserve">• </w:t>
      </w:r>
      <w:r>
        <w:rPr>
          <w:b/>
          <w:i w:val="0"/>
        </w:rPr>
        <w:t>II.11.27</w:t>
      </w:r>
      <w:r>
        <w:rPr>
          <w:b w:val="0"/>
          <w:i w:val="0"/>
        </w:rPr>
        <w:t>. Earth’s roundness is explained through participation in the idea of roundness.</w:t>
      </w:r>
    </w:p>
    <w:p>
      <w:pPr>
        <w:ind w:left="187" w:hanging="187"/>
      </w:pPr>
      <w:r>
        <w:t xml:space="preserve">• </w:t>
      </w:r>
      <w:r>
        <w:rPr>
          <w:b/>
          <w:i w:val="0"/>
        </w:rPr>
        <w:t>II.12.6</w:t>
      </w:r>
      <w:r>
        <w:rPr>
          <w:b w:val="0"/>
          <w:i w:val="0"/>
        </w:rPr>
        <w:t>. Participation in goodness explains increasing self-contentment.</w:t>
      </w:r>
    </w:p>
    <w:p>
      <w:pPr>
        <w:ind w:left="187" w:hanging="187"/>
      </w:pPr>
      <w:r>
        <w:t xml:space="preserve">• </w:t>
      </w:r>
      <w:r>
        <w:rPr>
          <w:b/>
          <w:i w:val="0"/>
        </w:rPr>
        <w:t>III.2.24</w:t>
      </w:r>
      <w:r>
        <w:rPr>
          <w:b w:val="0"/>
          <w:i w:val="0"/>
        </w:rPr>
        <w:t>. Bodies live and move through participation in soul’s life.</w:t>
      </w:r>
    </w:p>
    <w:p>
      <w:pPr>
        <w:widowControl/>
      </w:pPr>
      <w:r>
        <w:rPr>
          <w:b/>
          <w:i w:val="0"/>
        </w:rPr>
        <w:t>Further passage references.</w:t>
      </w:r>
      <w:r>
        <w:rPr>
          <w:b w:val="0"/>
          <w:i w:val="0"/>
        </w:rPr>
        <w:t xml:space="preserve"> I.3.14, I.3.30 (PDF pp. 38–39, 50–51); I.5.7, I.5.14 (pp. 62–63, 68–69); I.6.10, I.6.12 (pp. 88–89); II.1.2–7, pp. 98–103; II.7.32, pp. 158–159; II.11.27, PDF 194–195; II.12.6, PDF 204–205; III.2.24, PDF 274–275</w:t>
      </w:r>
    </w:p>
    <w:p>
      <w:pPr>
        <w:keepNext/>
        <w:widowControl/>
      </w:pPr>
      <w:r>
        <w:rPr>
          <w:b/>
          <w:i w:val="0"/>
        </w:rPr>
        <w:t>In this edition.</w:t>
      </w:r>
    </w:p>
    <w:p>
      <w:pPr>
        <w:widowControl/>
      </w:pPr>
      <w:r>
        <w:t>“</w:t>
      </w:r>
      <w:r>
        <w:rPr>
          <w:b w:val="0"/>
          <w:i w:val="0"/>
        </w:rPr>
        <w:t>Partake</w:t>
      </w:r>
      <w:r>
        <w:t>”</w:t>
      </w:r>
      <w:r>
        <w:rPr>
          <w:b w:val="0"/>
          <w:i w:val="0"/>
        </w:rPr>
        <w:t xml:space="preserve"> and </w:t>
      </w:r>
      <w:r>
        <w:t>“</w:t>
      </w:r>
      <w:r>
        <w:rPr>
          <w:b w:val="0"/>
          <w:i w:val="0"/>
        </w:rPr>
        <w:t>participate</w:t>
      </w:r>
      <w:r>
        <w:t>”</w:t>
      </w:r>
      <w:r>
        <w:rPr>
          <w:b w:val="0"/>
          <w:i w:val="0"/>
        </w:rPr>
        <w:t xml:space="preserve"> cover several grammatical constructions. At I.5.7 the moving heavens are particeps of stability; participation therefore need not exclude movement. At II.11.27 roundness is received through an Idea, while III.2.24 concerns bodies’ participation in life.</w:t>
      </w:r>
    </w:p>
    <w:p>
      <w:pPr>
        <w:keepNext/>
        <w:widowControl/>
      </w:pPr>
      <w:r>
        <w:rPr>
          <w:b/>
          <w:i w:val="0"/>
        </w:rPr>
        <w:t>See also.</w:t>
      </w:r>
    </w:p>
    <w:p>
      <w:pPr>
        <w:widowControl/>
      </w:pPr>
      <w:hyperlink w:anchor="divinity-and-the-divine">
        <w:r>
          <w:rPr>
            <w:color w:val="000000"/>
          </w:rPr>
          <w:t xml:space="preserve">Divinity and the divine</w:t>
        </w:r>
      </w:hyperlink>
      <w:r>
        <w:rPr>
          <w:b w:val="0"/>
          <w:i w:val="0"/>
        </w:rPr>
        <w:t xml:space="preserve">; </w:t>
      </w:r>
      <w:hyperlink w:anchor="unity-and-multiplicity">
        <w:r>
          <w:rPr>
            <w:color w:val="000000"/>
          </w:rPr>
          <w:t xml:space="preserve">Unity and multiplicity</w:t>
        </w:r>
      </w:hyperlink>
      <w:r>
        <w:rPr>
          <w:b w:val="0"/>
          <w:i w:val="0"/>
        </w:rPr>
        <w:t xml:space="preserve">; </w:t>
      </w:r>
      <w:hyperlink w:anchor="mind">
        <w:r>
          <w:rPr>
            <w:color w:val="000000"/>
          </w:rPr>
          <w:t xml:space="preserve">Mind</w:t>
        </w:r>
      </w:hyperlink>
      <w:r>
        <w:rPr>
          <w:b w:val="0"/>
          <w:i w:val="0"/>
        </w:rPr>
        <w:t xml:space="preserve">; </w:t>
      </w:r>
      <w:hyperlink w:anchor="form">
        <w:r>
          <w:rPr>
            <w:color w:val="000000"/>
          </w:rPr>
          <w:t xml:space="preserve">Form</w:t>
        </w:r>
      </w:hyperlink>
      <w:r>
        <w:rPr>
          <w:b w:val="0"/>
          <w:i w:val="0"/>
        </w:rPr>
        <w:t xml:space="preserve">; </w:t>
      </w:r>
      <w:hyperlink w:anchor="degree-and-mediation">
        <w:r>
          <w:rPr>
            <w:color w:val="000000"/>
          </w:rPr>
          <w:t xml:space="preserve">Degree and mediation</w:t>
        </w:r>
      </w:hyperlink>
      <w:r>
        <w:rPr>
          <w:b w:val="0"/>
          <w:i w:val="0"/>
        </w:rPr>
        <w:t xml:space="preserve">; </w:t>
      </w:r>
      <w:hyperlink w:anchor="communication-and-imparting">
        <w:r>
          <w:rPr>
            <w:color w:val="000000"/>
          </w:rPr>
          <w:t xml:space="preserve">Communication and imparting</w:t>
        </w:r>
      </w:hyperlink>
      <w:r>
        <w:rPr>
          <w:b w:val="0"/>
          <w:i w:val="0"/>
        </w:rPr>
        <w:t xml:space="preserve">; </w:t>
      </w:r>
      <w:hyperlink w:anchor="truth">
        <w:r>
          <w:rPr>
            <w:color w:val="000000"/>
          </w:rPr>
          <w:t xml:space="preserve">Truth</w:t>
        </w:r>
      </w:hyperlink>
      <w:r>
        <w:rPr>
          <w:b w:val="0"/>
          <w:i w:val="0"/>
        </w:rPr>
        <w:t xml:space="preserve">; </w:t>
      </w:r>
      <w:hyperlink w:anchor="good-and-goodness">
        <w:r>
          <w:rPr>
            <w:color w:val="000000"/>
          </w:rPr>
          <w:t xml:space="preserve">Good and goodness</w:t>
        </w:r>
      </w:hyperlink>
      <w:r>
        <w:rPr>
          <w:b w:val="0"/>
          <w:i w:val="0"/>
        </w:rPr>
        <w:t xml:space="preserve">; </w:t>
      </w:r>
      <w:hyperlink w:anchor="purity-and-mixture">
        <w:r>
          <w:rPr>
            <w:color w:val="000000"/>
          </w:rPr>
          <w:t xml:space="preserve">Purity and mixture</w:t>
        </w:r>
      </w:hyperlink>
      <w:r>
        <w:rPr>
          <w:b w:val="0"/>
          <w:i w:val="0"/>
        </w:rPr>
        <w:t xml:space="preserve">; </w:t>
      </w:r>
      <w:hyperlink w:anchor="power-and-potency">
        <w:r>
          <w:rPr>
            <w:color w:val="000000"/>
          </w:rPr>
          <w:t xml:space="preserve">Power and potency</w:t>
        </w:r>
      </w:hyperlink>
      <w:r>
        <w:rPr>
          <w:b w:val="0"/>
          <w:i w:val="0"/>
        </w:rPr>
        <w:t xml:space="preserve">; </w:t>
      </w:r>
      <w:hyperlink w:anchor="image-and-likeness">
        <w:r>
          <w:rPr>
            <w:color w:val="000000"/>
          </w:rPr>
          <w:t xml:space="preserve">Image and likeness</w:t>
        </w:r>
      </w:hyperlink>
      <w:r>
        <w:rPr>
          <w:b w:val="0"/>
          <w:i w:val="0"/>
        </w:rPr>
        <w:t xml:space="preserve">; </w:t>
      </w:r>
      <w:hyperlink w:anchor="indwelling-and-presence">
        <w:r>
          <w:rPr>
            <w:color w:val="000000"/>
          </w:rPr>
          <w:t xml:space="preserve">Indwelling and presence</w:t>
        </w:r>
      </w:hyperlink>
      <w:r>
        <w:rPr>
          <w:b w:val="0"/>
          <w:i w:val="0"/>
        </w:rPr>
        <w:t xml:space="preserve">; </w:t>
      </w:r>
      <w:hyperlink w:anchor="life">
        <w:r>
          <w:rPr>
            <w:color w:val="000000"/>
          </w:rPr>
          <w:t xml:space="preserve">Life</w:t>
        </w:r>
      </w:hyperlink>
    </w:p>
    <w:p>
      <w:bookmarkStart w:id="166" w:name="paths-and-prescribed-ends"/>
      <w:pPr>
        <w:pStyle w:val="Heading2"/>
      </w:pPr>
      <w:r>
        <w:rPr>
          <w:b w:val="0"/>
          <w:i w:val="0"/>
        </w:rPr>
        <w:t>Paths and prescribed ends</w:t>
      </w:r>
      <w:bookmarkEnd w:id="166"/>
    </w:p>
    <w:p>
      <w:pPr>
        <w:keepNext/>
        <w:widowControl/>
      </w:pPr>
      <w:r>
        <w:rPr>
          <w:b/>
          <w:i w:val="0"/>
        </w:rPr>
        <w:t>Latin:</w:t>
      </w:r>
      <w:r>
        <w:rPr>
          <w:b w:val="0"/>
          <w:i w:val="0"/>
        </w:rPr>
        <w:t xml:space="preserve"> </w:t>
      </w:r>
      <w:r>
        <w:rPr>
          <w:b w:val="0"/>
          <w:i/>
        </w:rPr>
        <w:t>via; trames; finis; terminus; praescribere; peragere; proficisci</w:t>
      </w:r>
    </w:p>
    <w:p>
      <w:pPr>
        <w:keepNext/>
        <w:widowControl/>
      </w:pPr>
      <w:r>
        <w:rPr>
          <w:b/>
          <w:i w:val="0"/>
        </w:rPr>
        <w:t>The word.</w:t>
      </w:r>
    </w:p>
    <w:p>
      <w:pPr>
        <w:widowControl/>
      </w:pPr>
      <w:r>
        <w:rPr>
          <w:b w:val="0"/>
          <w:i w:val="0"/>
        </w:rPr>
        <w:t>Via and trames are a way or path; finis and terminus can be an end, goal, or boundary. Praescribere appoints or sets an end in advance; peragere carries a work through. The road imagery makes directed completion visible.</w:t>
      </w:r>
    </w:p>
    <w:p>
      <w:pPr>
        <w:keepNext/>
        <w:widowControl/>
      </w:pPr>
      <w:r>
        <w:rPr>
          <w:b/>
          <w:i w:val="0"/>
        </w:rPr>
        <w:t>In the Platonic Theology.</w:t>
      </w:r>
    </w:p>
    <w:p>
      <w:pPr>
        <w:widowControl/>
      </w:pPr>
      <w:r>
        <w:rPr>
          <w:b w:val="0"/>
          <w:i w:val="0"/>
        </w:rPr>
        <w:t>An ordered agent needs a route proportioned to its end. Ficino’s address to Lucretius asks whether aimless movement repeatedly follows one straight path to one fixed destination. The contrast rests on stable orientation, not merely on the geometric straightness of any particular movement. Natural bodies are said to reach prescribed ends without understanding their own motion; the archer supplies their missing purposive source. Living structures likewise seek and return to fitting limits at fitting times. When soul turns into itself, however, end and beginning coincide: circular return rather than forward travel models its continuity. The vocabulary of an end must therefore be distinguished from a temporal cessation. A circuit can have a finis without its activity coming to an ultimate stop.</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II.11.25 (Latin PDF p. 194; English PDF p. 195).</w:t>
      </w:r>
      <w:r>
        <w:rPr>
          <w:b w:val="0"/>
          <w:i w:val="0"/>
        </w:rPr>
        <w:t xml:space="preserve"> Paths are measured relative to an anticipated end.</w:t>
      </w:r>
    </w:p>
    <w:p>
      <w:pPr>
        <w:ind w:left="187" w:hanging="187"/>
      </w:pPr>
      <w:r>
        <w:t xml:space="preserve">• </w:t>
      </w:r>
      <w:r>
        <w:rPr>
          <w:b/>
          <w:i w:val="0"/>
        </w:rPr>
        <w:t>II.13.9 (Latin PDF p. 220; English PDF p. 221).</w:t>
      </w:r>
      <w:r>
        <w:rPr>
          <w:b w:val="0"/>
          <w:i w:val="0"/>
        </w:rPr>
        <w:t xml:space="preserve"> Bodies have a prescribed end they cannot prescribe for themselves.</w:t>
      </w:r>
    </w:p>
    <w:p>
      <w:pPr>
        <w:ind w:left="187" w:hanging="187"/>
      </w:pPr>
      <w:r>
        <w:t xml:space="preserve">• </w:t>
      </w:r>
      <w:r>
        <w:rPr>
          <w:b/>
          <w:i w:val="0"/>
        </w:rPr>
        <w:t>II.13.15 (Latin PDF p. 226; English PDF p. 227).</w:t>
      </w:r>
      <w:r>
        <w:rPr>
          <w:b w:val="0"/>
          <w:i w:val="0"/>
        </w:rPr>
        <w:t xml:space="preserve"> Aimless wandering contrasts with a fixed route and destination.</w:t>
      </w:r>
    </w:p>
    <w:p>
      <w:pPr>
        <w:ind w:left="187" w:hanging="187"/>
      </w:pPr>
      <w:r>
        <w:t xml:space="preserve">• </w:t>
      </w:r>
      <w:r>
        <w:rPr>
          <w:b/>
          <w:i w:val="0"/>
        </w:rPr>
        <w:t>III.2.26 (Latin PDF p. 276; English PDF p. 277).</w:t>
      </w:r>
      <w:r>
        <w:rPr>
          <w:b w:val="0"/>
          <w:i w:val="0"/>
        </w:rPr>
        <w:t xml:space="preserve"> The same point functions as the circuit’s end and beginning.</w:t>
      </w:r>
    </w:p>
    <w:p>
      <w:pPr>
        <w:keepNext/>
        <w:widowControl/>
      </w:pPr>
      <w:r>
        <w:rPr>
          <w:b/>
          <w:i w:val="0"/>
        </w:rPr>
        <w:t>In this edition.</w:t>
      </w:r>
    </w:p>
    <w:p>
      <w:pPr>
        <w:widowControl/>
      </w:pPr>
      <w:r>
        <w:rPr>
          <w:b w:val="0"/>
          <w:i w:val="0"/>
        </w:rPr>
        <w:t xml:space="preserve">The translation uses </w:t>
      </w:r>
      <w:r>
        <w:t>“</w:t>
      </w:r>
      <w:r>
        <w:rPr>
          <w:b w:val="0"/>
          <w:i w:val="0"/>
        </w:rPr>
        <w:t>end,</w:t>
      </w:r>
      <w:r>
        <w:t>”</w:t>
      </w:r>
      <w:r>
        <w:rPr>
          <w:b w:val="0"/>
          <w:i w:val="0"/>
        </w:rPr>
        <w:t xml:space="preserve"> </w:t>
      </w:r>
      <w:r>
        <w:t>“</w:t>
      </w:r>
      <w:r>
        <w:rPr>
          <w:b w:val="0"/>
          <w:i w:val="0"/>
        </w:rPr>
        <w:t>destination,</w:t>
      </w:r>
      <w:r>
        <w:t>”</w:t>
      </w:r>
      <w:r>
        <w:rPr>
          <w:b w:val="0"/>
          <w:i w:val="0"/>
        </w:rPr>
        <w:t xml:space="preserve"> and </w:t>
      </w:r>
      <w:r>
        <w:t>“</w:t>
      </w:r>
      <w:r>
        <w:rPr>
          <w:b w:val="0"/>
          <w:i w:val="0"/>
        </w:rPr>
        <w:t>limit</w:t>
      </w:r>
      <w:r>
        <w:t>”</w:t>
      </w:r>
      <w:r>
        <w:rPr>
          <w:b w:val="0"/>
          <w:i w:val="0"/>
        </w:rPr>
        <w:t xml:space="preserve"> according to context. Praescriptus can mean assigned or prescribed; it does not establish a written law or verbal instruction received by a body.</w:t>
      </w:r>
    </w:p>
    <w:p>
      <w:pPr>
        <w:keepNext/>
        <w:widowControl/>
      </w:pPr>
      <w:r>
        <w:rPr>
          <w:b/>
          <w:i w:val="0"/>
        </w:rPr>
        <w:t>See also.</w:t>
      </w:r>
    </w:p>
    <w:p>
      <w:pPr>
        <w:widowControl/>
      </w:pPr>
      <w:hyperlink w:anchor="end-and-limit">
        <w:r>
          <w:rPr>
            <w:color w:val="000000"/>
          </w:rPr>
          <w:t xml:space="preserve">End and limit</w:t>
        </w:r>
      </w:hyperlink>
      <w:r>
        <w:rPr>
          <w:b w:val="0"/>
          <w:i w:val="0"/>
        </w:rPr>
        <w:t xml:space="preserve">; </w:t>
      </w:r>
      <w:hyperlink w:anchor="archer-and-target">
        <w:r>
          <w:rPr>
            <w:color w:val="000000"/>
          </w:rPr>
          <w:t xml:space="preserve">Archer and target</w:t>
        </w:r>
      </w:hyperlink>
      <w:r>
        <w:rPr>
          <w:b w:val="0"/>
          <w:i w:val="0"/>
        </w:rPr>
        <w:t xml:space="preserve">; </w:t>
      </w:r>
      <w:hyperlink w:anchor="circularity-and-return">
        <w:r>
          <w:rPr>
            <w:color w:val="000000"/>
          </w:rPr>
          <w:t xml:space="preserve">Circularity and return</w:t>
        </w:r>
      </w:hyperlink>
      <w:r>
        <w:rPr>
          <w:b w:val="0"/>
          <w:i w:val="0"/>
        </w:rPr>
        <w:t xml:space="preserve">; </w:t>
      </w:r>
      <w:hyperlink w:anchor="intention">
        <w:r>
          <w:rPr>
            <w:color w:val="000000"/>
          </w:rPr>
          <w:t xml:space="preserve">Intention</w:t>
        </w:r>
      </w:hyperlink>
      <w:r>
        <w:rPr>
          <w:b w:val="0"/>
          <w:i w:val="0"/>
        </w:rPr>
        <w:t>.</w:t>
      </w:r>
    </w:p>
    <w:p>
      <w:bookmarkStart w:id="167" w:name="perfection"/>
      <w:pPr>
        <w:pStyle w:val="Heading2"/>
      </w:pPr>
      <w:r>
        <w:rPr>
          <w:b w:val="0"/>
          <w:i w:val="0"/>
        </w:rPr>
        <w:t>Perfection</w:t>
      </w:r>
      <w:bookmarkEnd w:id="167"/>
    </w:p>
    <w:p>
      <w:pPr>
        <w:keepNext/>
        <w:widowControl/>
      </w:pPr>
      <w:r>
        <w:rPr>
          <w:b/>
          <w:i w:val="0"/>
        </w:rPr>
        <w:t>Latin:</w:t>
      </w:r>
      <w:r>
        <w:rPr>
          <w:b w:val="0"/>
          <w:i w:val="0"/>
        </w:rPr>
        <w:t xml:space="preserve"> </w:t>
      </w:r>
      <w:r>
        <w:rPr>
          <w:b w:val="0"/>
          <w:i/>
        </w:rPr>
        <w:t>perfectio</w:t>
      </w:r>
      <w:r>
        <w:rPr>
          <w:b w:val="0"/>
          <w:i w:val="0"/>
        </w:rPr>
        <w:t xml:space="preserve">, </w:t>
      </w:r>
      <w:r>
        <w:rPr>
          <w:b w:val="0"/>
          <w:i/>
        </w:rPr>
        <w:t>perfectus</w:t>
      </w:r>
      <w:r>
        <w:rPr>
          <w:b w:val="0"/>
          <w:i w:val="0"/>
        </w:rPr>
        <w:t xml:space="preserve">, </w:t>
      </w:r>
      <w:r>
        <w:rPr>
          <w:b w:val="0"/>
          <w:i/>
        </w:rPr>
        <w:t>imperfectus</w:t>
      </w:r>
      <w:r>
        <w:rPr>
          <w:b w:val="0"/>
          <w:i w:val="0"/>
        </w:rPr>
        <w:t xml:space="preserve">; </w:t>
      </w:r>
      <w:r>
        <w:rPr>
          <w:b w:val="0"/>
          <w:i/>
        </w:rPr>
        <w:t>integer</w:t>
      </w:r>
      <w:r>
        <w:rPr>
          <w:b w:val="0"/>
          <w:i w:val="0"/>
        </w:rPr>
        <w:t xml:space="preserve">, </w:t>
      </w:r>
      <w:r>
        <w:rPr>
          <w:b w:val="0"/>
          <w:i/>
        </w:rPr>
        <w:t>integerrimus</w:t>
      </w:r>
      <w:r>
        <w:rPr>
          <w:b w:val="0"/>
          <w:i w:val="0"/>
        </w:rPr>
        <w:t xml:space="preserve">; </w:t>
      </w:r>
      <w:r>
        <w:rPr>
          <w:b w:val="0"/>
          <w:i/>
        </w:rPr>
        <w:t>summum</w:t>
      </w:r>
      <w:r>
        <w:rPr>
          <w:b w:val="0"/>
          <w:i w:val="0"/>
        </w:rPr>
        <w:t xml:space="preserve">, </w:t>
      </w:r>
      <w:r>
        <w:rPr>
          <w:b w:val="0"/>
          <w:i/>
        </w:rPr>
        <w:t>praestantior</w:t>
      </w:r>
      <w:r>
        <w:rPr>
          <w:b w:val="0"/>
          <w:i w:val="0"/>
        </w:rPr>
        <w:t xml:space="preserve">; </w:t>
      </w:r>
      <w:r>
        <w:rPr>
          <w:b w:val="0"/>
          <w:i/>
        </w:rPr>
        <w:t>perficere</w:t>
      </w:r>
      <w:r>
        <w:rPr>
          <w:b w:val="0"/>
          <w:i w:val="0"/>
        </w:rPr>
        <w:t xml:space="preserve">, </w:t>
      </w:r>
      <w:r>
        <w:rPr>
          <w:b w:val="0"/>
          <w:i/>
        </w:rPr>
        <w:t>efficere</w:t>
      </w:r>
      <w:r>
        <w:rPr>
          <w:b w:val="0"/>
          <w:i w:val="0"/>
        </w:rPr>
        <w:t xml:space="preserve">; </w:t>
      </w:r>
      <w:r>
        <w:rPr>
          <w:b w:val="0"/>
          <w:i/>
        </w:rPr>
        <w:t>totum</w:t>
      </w:r>
      <w:r>
        <w:rPr>
          <w:b w:val="0"/>
          <w:i w:val="0"/>
        </w:rPr>
        <w:t xml:space="preserve">, </w:t>
      </w:r>
      <w:r>
        <w:rPr>
          <w:b w:val="0"/>
          <w:i/>
        </w:rPr>
        <w:t>partes</w:t>
      </w:r>
      <w:r>
        <w:rPr>
          <w:b w:val="0"/>
          <w:i w:val="0"/>
        </w:rPr>
        <w:t xml:space="preserve">, </w:t>
      </w:r>
      <w:r>
        <w:rPr>
          <w:b w:val="0"/>
          <w:i/>
        </w:rPr>
        <w:t>particula</w:t>
      </w:r>
      <w:r>
        <w:rPr>
          <w:b w:val="0"/>
          <w:i w:val="0"/>
        </w:rPr>
        <w:t xml:space="preserve">, </w:t>
      </w:r>
      <w:r>
        <w:rPr>
          <w:b w:val="0"/>
          <w:i/>
        </w:rPr>
        <w:t>compago</w:t>
      </w:r>
      <w:r>
        <w:rPr>
          <w:b w:val="0"/>
          <w:i w:val="0"/>
        </w:rPr>
        <w:t xml:space="preserve">, </w:t>
      </w:r>
      <w:r>
        <w:rPr>
          <w:b w:val="0"/>
          <w:i/>
        </w:rPr>
        <w:t>compositum</w:t>
      </w:r>
      <w:r>
        <w:rPr>
          <w:b w:val="0"/>
          <w:i w:val="0"/>
        </w:rPr>
        <w:t xml:space="preserve">, </w:t>
      </w:r>
      <w:r>
        <w:rPr>
          <w:b w:val="0"/>
          <w:i/>
        </w:rPr>
        <w:t>concinat</w:t>
      </w:r>
      <w:r>
        <w:rPr>
          <w:b w:val="0"/>
          <w:i w:val="0"/>
        </w:rPr>
        <w:t xml:space="preserve">, </w:t>
      </w:r>
      <w:r>
        <w:rPr>
          <w:b w:val="0"/>
          <w:i/>
        </w:rPr>
        <w:t>conducat</w:t>
      </w:r>
    </w:p>
    <w:p>
      <w:pPr>
        <w:keepNext/>
        <w:widowControl/>
      </w:pPr>
      <w:r>
        <w:rPr>
          <w:b/>
          <w:i w:val="0"/>
        </w:rPr>
        <w:t>The word.</w:t>
      </w:r>
    </w:p>
    <w:p>
      <w:pPr>
        <w:widowControl/>
      </w:pPr>
      <w:r>
        <w:rPr>
          <w:b w:val="0"/>
          <w:i w:val="0"/>
        </w:rPr>
        <w:t>Perfectio is completeness or fulfilled actuality; perfectus and integer describe what is complete or whole. Perficere brings to completion, whereas efficere brings about. A part’s adequate contribution and absolute perfection are different standards.</w:t>
      </w:r>
    </w:p>
    <w:p>
      <w:pPr>
        <w:keepNext/>
        <w:widowControl/>
      </w:pPr>
      <w:r>
        <w:rPr>
          <w:b/>
          <w:i w:val="0"/>
        </w:rPr>
        <w:t>In the Platonic Theology.</w:t>
      </w:r>
    </w:p>
    <w:p>
      <w:pPr>
        <w:widowControl/>
      </w:pPr>
      <w:r>
        <w:rPr>
          <w:b w:val="0"/>
          <w:i w:val="0"/>
        </w:rPr>
        <w:t>Perfection ordinarily means completeness or fullness of being and activity, rather than moral faultlessness alone. Ficino argues that what is first in a kind contains that kind’s perfections fully, while what possesses them incompletely depends on something more complete. This premise drives the ascent from quality to incorporeal form and from successive soul-life to simultaneous angelic life. An act completed stably at once is more perfect than one requiring time. Arguments for an abundance of separate intellectual substances likewise appeal to the fitting realization of excellent capacities in an ordered universe.</w:t>
      </w:r>
    </w:p>
    <w:p>
      <w:pPr>
        <w:widowControl/>
      </w:pPr>
      <w:r>
        <w:rPr>
          <w:b w:val="0"/>
          <w:i w:val="0"/>
        </w:rPr>
        <w:t xml:space="preserve">Supremacy adds purity and uniqueness. Two supposedly supreme lights, truths, or goodnesses would either coincide or differ through some additional and limiting element; in the latter case neither would be supreme. Perfection also links origin to goal: </w:t>
      </w:r>
      <w:r>
        <w:rPr>
          <w:b w:val="0"/>
          <w:i/>
        </w:rPr>
        <w:t>efficere</w:t>
      </w:r>
      <w:r>
        <w:rPr>
          <w:b w:val="0"/>
          <w:i w:val="0"/>
        </w:rPr>
        <w:t xml:space="preserve">, bringing into being, belongs to the same source as </w:t>
      </w:r>
      <w:r>
        <w:rPr>
          <w:b w:val="0"/>
          <w:i/>
        </w:rPr>
        <w:t>perficere</w:t>
      </w:r>
      <w:r>
        <w:rPr>
          <w:b w:val="0"/>
          <w:i w:val="0"/>
        </w:rPr>
        <w:t>, bringing to completion. An effect’s need for an end thus indicates its dependence upon a source of essence. Divine intelligence is perfect through knowing itself, without an external object supplying what it lacks. No finite created image or collection of images can exhaust the perfection of its divine exemplar.</w:t>
      </w:r>
    </w:p>
    <w:p>
      <w:pPr>
        <w:widowControl/>
      </w:pPr>
      <w:r>
        <w:rPr>
          <w:b w:val="0"/>
          <w:i w:val="0"/>
        </w:rPr>
        <w:t>Ficino nevertheless distinguishes the perfection of a whole from the perfection appropriate to a part. A created world need not possess God’s absolute perfection, nor does a well-ordered whole maximize every possible excellence in each component independently. A part is assessed through its fitting contribution to other parts and to the whole. This qualifies the language of cosmic fullness: the work needs the degree of perfection appropriate to indicating its maker’s higher goodness. In defending providence, Ficino argues that local defects or things appearing misshapen may contribute to a wider beauty and good. This is his account of a fitting order, not a finding that particular harms cease to matter. Book III applies the same concern for a unified composition to soul’s role as the bond between otherwise separated extremes.</w:t>
      </w:r>
    </w:p>
    <w:p>
      <w:pPr>
        <w:widowControl/>
      </w:pPr>
      <w:r>
        <w:rPr>
          <w:b w:val="0"/>
          <w:i w:val="0"/>
        </w:rPr>
        <w:t>This cosmic-order reasoning is qualified by II.12.15–18: innumerable images of divine goodness remain possible beyond the creatures actually made. God freely produces some of these possibilities without being compelled to realize all of them. Completeness of a created order and actualization of every conceivable object of divine power are therefore different claims.</w:t>
      </w:r>
    </w:p>
    <w:p>
      <w:pPr>
        <w:keepNext/>
        <w:widowControl/>
      </w:pPr>
      <w:r>
        <w:rPr>
          <w:b/>
          <w:i w:val="0"/>
        </w:rPr>
        <w:t>The places.</w:t>
      </w:r>
    </w:p>
    <w:p>
      <w:pPr>
        <w:ind w:left="187" w:hanging="187"/>
      </w:pPr>
      <w:r>
        <w:t xml:space="preserve">• </w:t>
      </w:r>
      <w:r>
        <w:rPr>
          <w:b/>
          <w:i w:val="0"/>
        </w:rPr>
        <w:t>I.3.15</w:t>
      </w:r>
      <w:r>
        <w:rPr>
          <w:b w:val="0"/>
          <w:i w:val="0"/>
        </w:rPr>
        <w:t>. The ascent distinguishes freedom from decrease and from remission of intensity.</w:t>
      </w:r>
    </w:p>
    <w:p>
      <w:pPr>
        <w:ind w:left="187" w:hanging="187"/>
      </w:pPr>
      <w:r>
        <w:t xml:space="preserve">• </w:t>
      </w:r>
      <w:r>
        <w:rPr>
          <w:b/>
          <w:i w:val="0"/>
        </w:rPr>
        <w:t>II.9.7–8</w:t>
      </w:r>
      <w:r>
        <w:rPr>
          <w:b w:val="0"/>
          <w:i w:val="0"/>
        </w:rPr>
        <w:t>. Divine intelligence is argued to be perfected through its own proper object.</w:t>
      </w:r>
    </w:p>
    <w:p>
      <w:pPr>
        <w:ind w:left="187" w:hanging="187"/>
      </w:pPr>
      <w:r>
        <w:t xml:space="preserve">• </w:t>
      </w:r>
      <w:r>
        <w:rPr>
          <w:b/>
          <w:i w:val="0"/>
        </w:rPr>
        <w:t>II.12.15–18</w:t>
      </w:r>
      <w:r>
        <w:rPr>
          <w:b w:val="0"/>
          <w:i w:val="0"/>
        </w:rPr>
        <w:t>. Possible images exceed actually produced creatures.</w:t>
      </w:r>
    </w:p>
    <w:p>
      <w:pPr>
        <w:ind w:left="187" w:hanging="187"/>
      </w:pPr>
      <w:r>
        <w:t xml:space="preserve">• </w:t>
      </w:r>
      <w:r>
        <w:rPr>
          <w:b/>
          <w:i w:val="0"/>
        </w:rPr>
        <w:t>II.13.23–24</w:t>
      </w:r>
      <w:r>
        <w:rPr>
          <w:b w:val="0"/>
          <w:i w:val="0"/>
        </w:rPr>
        <w:t>. The perfection of parts is assessed by concord with and benefit to the whole.</w:t>
      </w:r>
    </w:p>
    <w:p>
      <w:pPr>
        <w:ind w:left="187" w:hanging="187"/>
      </w:pPr>
      <w:r>
        <w:t xml:space="preserve">• </w:t>
      </w:r>
      <w:r>
        <w:rPr>
          <w:b/>
          <w:i w:val="0"/>
        </w:rPr>
        <w:t>III.2.6–8</w:t>
      </w:r>
      <w:r>
        <w:rPr>
          <w:b w:val="0"/>
          <w:i w:val="0"/>
        </w:rPr>
        <w:t>. A unified composition requires a fitting bond between extremes.</w:t>
      </w:r>
    </w:p>
    <w:p>
      <w:pPr>
        <w:widowControl/>
      </w:pPr>
      <w:r>
        <w:rPr>
          <w:b/>
          <w:i w:val="0"/>
        </w:rPr>
        <w:t>Further passage references.</w:t>
      </w:r>
      <w:r>
        <w:rPr>
          <w:b w:val="0"/>
          <w:i w:val="0"/>
        </w:rPr>
        <w:t xml:space="preserve"> I.3.1–I.3.3, I.3.15, I.3.25–I.3.26 (PDF pp. 28–31, 38–39, 46–47); I.5.2–I.5.6, I.5.16, I.5.25–I.5.27 (pp. 60–63, 70–71, 78–81); I.6.6, I.6.17 (pp. 84–85, 92–93); II.2.5–11, pp. 106–111; II.3.3–6, pp. 116–119; II.7.16, pp. 150–151; II.9.7–8, pp. 166–167; II.10.5, pp. 176–177; II.12.19–21, PDF 212–215; II.13.16–24, PDF 226–233; III.2.6–8, PDF 264–267; II.12.15–18, pp. 210–213</w:t>
      </w:r>
    </w:p>
    <w:p>
      <w:pPr>
        <w:keepNext/>
        <w:widowControl/>
      </w:pPr>
      <w:r>
        <w:rPr>
          <w:b/>
          <w:i w:val="0"/>
        </w:rPr>
        <w:t>In this edition.</w:t>
      </w:r>
    </w:p>
    <w:p>
      <w:pPr>
        <w:widowControl/>
      </w:pPr>
      <w:r>
        <w:rPr>
          <w:b w:val="0"/>
          <w:i w:val="0"/>
        </w:rPr>
        <w:t xml:space="preserve">The supplied </w:t>
      </w:r>
      <w:r>
        <w:t>“</w:t>
      </w:r>
      <w:r>
        <w:rPr>
          <w:b w:val="0"/>
          <w:i w:val="0"/>
        </w:rPr>
        <w:t>perfection</w:t>
      </w:r>
      <w:r>
        <w:t>”</w:t>
      </w:r>
      <w:r>
        <w:rPr>
          <w:b w:val="0"/>
          <w:i w:val="0"/>
        </w:rPr>
        <w:t xml:space="preserve"> is broader than moral faultlessness. Pro viribus at II.13.23 limits the created work’s representation of its author; quanta sufficit specifies sufficiency rather than maximal possible excellence in every part. The repeated </w:t>
      </w:r>
      <w:r>
        <w:t>“</w:t>
      </w:r>
      <w:r>
        <w:rPr>
          <w:b w:val="0"/>
          <w:i w:val="0"/>
        </w:rPr>
        <w:t>most perfect</w:t>
      </w:r>
      <w:r>
        <w:t>”</w:t>
      </w:r>
      <w:r>
        <w:rPr>
          <w:b w:val="0"/>
          <w:i w:val="0"/>
        </w:rPr>
        <w:t xml:space="preserve"> remains part of Ficino’s ranked argument.</w:t>
      </w:r>
    </w:p>
    <w:p>
      <w:pPr>
        <w:keepNext/>
        <w:widowControl/>
      </w:pPr>
      <w:r>
        <w:rPr>
          <w:b/>
          <w:i w:val="0"/>
        </w:rPr>
        <w:t>See also.</w:t>
      </w:r>
    </w:p>
    <w:p>
      <w:pPr>
        <w:widowControl/>
      </w:pPr>
      <w:hyperlink w:anchor="need-and-sufficiency">
        <w:r>
          <w:rPr>
            <w:color w:val="000000"/>
          </w:rPr>
          <w:t xml:space="preserve">Need and sufficiency</w:t>
        </w:r>
      </w:hyperlink>
      <w:r>
        <w:rPr>
          <w:b w:val="0"/>
          <w:i w:val="0"/>
        </w:rPr>
        <w:t xml:space="preserve">; </w:t>
      </w:r>
      <w:hyperlink w:anchor="cause">
        <w:r>
          <w:rPr>
            <w:color w:val="000000"/>
          </w:rPr>
          <w:t xml:space="preserve">Cause</w:t>
        </w:r>
      </w:hyperlink>
      <w:r>
        <w:rPr>
          <w:b w:val="0"/>
          <w:i w:val="0"/>
        </w:rPr>
        <w:t xml:space="preserve">; </w:t>
      </w:r>
      <w:hyperlink w:anchor="ascent">
        <w:r>
          <w:rPr>
            <w:color w:val="000000"/>
          </w:rPr>
          <w:t xml:space="preserve">Ascent</w:t>
        </w:r>
      </w:hyperlink>
      <w:r>
        <w:rPr>
          <w:b w:val="0"/>
          <w:i w:val="0"/>
        </w:rPr>
        <w:t xml:space="preserve">; </w:t>
      </w:r>
      <w:hyperlink w:anchor="act-and-operation">
        <w:r>
          <w:rPr>
            <w:color w:val="000000"/>
          </w:rPr>
          <w:t xml:space="preserve">Act and operation</w:t>
        </w:r>
      </w:hyperlink>
      <w:r>
        <w:rPr>
          <w:b w:val="0"/>
          <w:i w:val="0"/>
        </w:rPr>
        <w:t xml:space="preserve">; </w:t>
      </w:r>
      <w:hyperlink w:anchor="purity-and-mixture">
        <w:r>
          <w:rPr>
            <w:color w:val="000000"/>
          </w:rPr>
          <w:t xml:space="preserve">Purity and mixture</w:t>
        </w:r>
      </w:hyperlink>
      <w:r>
        <w:rPr>
          <w:b w:val="0"/>
          <w:i w:val="0"/>
        </w:rPr>
        <w:t xml:space="preserve">; </w:t>
      </w:r>
      <w:hyperlink w:anchor="measure-and-degree">
        <w:r>
          <w:rPr>
            <w:color w:val="000000"/>
          </w:rPr>
          <w:t xml:space="preserve">Measure and degree</w:t>
        </w:r>
      </w:hyperlink>
      <w:r>
        <w:rPr>
          <w:b w:val="0"/>
          <w:i w:val="0"/>
        </w:rPr>
        <w:t xml:space="preserve">; </w:t>
      </w:r>
      <w:hyperlink w:anchor="ideas-and-exemplars">
        <w:r>
          <w:rPr>
            <w:color w:val="000000"/>
          </w:rPr>
          <w:t xml:space="preserve">Ideas and exemplars</w:t>
        </w:r>
      </w:hyperlink>
      <w:r>
        <w:rPr>
          <w:b w:val="0"/>
          <w:i w:val="0"/>
        </w:rPr>
        <w:t xml:space="preserve">; </w:t>
      </w:r>
      <w:hyperlink w:anchor="end-and-limit">
        <w:r>
          <w:rPr>
            <w:color w:val="000000"/>
          </w:rPr>
          <w:t xml:space="preserve">End and limit</w:t>
        </w:r>
      </w:hyperlink>
      <w:r>
        <w:rPr>
          <w:b w:val="0"/>
          <w:i w:val="0"/>
        </w:rPr>
        <w:t xml:space="preserve">; </w:t>
      </w:r>
      <w:hyperlink w:anchor="self-knowledge">
        <w:r>
          <w:rPr>
            <w:color w:val="000000"/>
          </w:rPr>
          <w:t xml:space="preserve">Self knowledge</w:t>
        </w:r>
      </w:hyperlink>
      <w:r>
        <w:rPr>
          <w:b w:val="0"/>
          <w:i w:val="0"/>
        </w:rPr>
        <w:t xml:space="preserve">; </w:t>
      </w:r>
      <w:hyperlink w:anchor="beauty-and-fittingness">
        <w:r>
          <w:rPr>
            <w:color w:val="000000"/>
          </w:rPr>
          <w:t xml:space="preserve">Beauty and fittingness</w:t>
        </w:r>
      </w:hyperlink>
      <w:r>
        <w:rPr>
          <w:b w:val="0"/>
          <w:i w:val="0"/>
        </w:rPr>
        <w:t xml:space="preserve">; </w:t>
      </w:r>
      <w:hyperlink w:anchor="good-and-goodness">
        <w:r>
          <w:rPr>
            <w:color w:val="000000"/>
          </w:rPr>
          <w:t xml:space="preserve">Good and goodness</w:t>
        </w:r>
      </w:hyperlink>
      <w:r>
        <w:rPr>
          <w:b w:val="0"/>
          <w:i w:val="0"/>
        </w:rPr>
        <w:t xml:space="preserve">; </w:t>
      </w:r>
      <w:hyperlink w:anchor="degree-and-mediation">
        <w:r>
          <w:rPr>
            <w:color w:val="000000"/>
          </w:rPr>
          <w:t xml:space="preserve">Degree and mediation</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 xml:space="preserve">; </w:t>
      </w:r>
      <w:hyperlink w:anchor="freedom-and-necessity">
        <w:r>
          <w:rPr>
            <w:color w:val="000000"/>
          </w:rPr>
          <w:t xml:space="preserve">Freedom and necessity</w:t>
        </w:r>
      </w:hyperlink>
      <w:r>
        <w:rPr>
          <w:b w:val="0"/>
          <w:i w:val="0"/>
        </w:rPr>
        <w:t xml:space="preserve">; </w:t>
      </w:r>
      <w:hyperlink w:anchor="creation">
        <w:r>
          <w:rPr>
            <w:color w:val="000000"/>
          </w:rPr>
          <w:t xml:space="preserve">Creation</w:t>
        </w:r>
      </w:hyperlink>
    </w:p>
    <w:p>
      <w:bookmarkStart w:id="168" w:name="permanence-and-the-hour-test"/>
      <w:pPr>
        <w:pStyle w:val="Heading2"/>
      </w:pPr>
      <w:r>
        <w:rPr>
          <w:b w:val="0"/>
          <w:i w:val="0"/>
        </w:rPr>
        <w:t>Permanence and the hour test</w:t>
      </w:r>
      <w:bookmarkEnd w:id="168"/>
    </w:p>
    <w:p>
      <w:pPr>
        <w:keepNext/>
        <w:widowControl/>
      </w:pPr>
      <w:r>
        <w:rPr>
          <w:b/>
          <w:i w:val="0"/>
        </w:rPr>
        <w:t>Latin:</w:t>
      </w:r>
      <w:r>
        <w:rPr>
          <w:b w:val="0"/>
          <w:i w:val="0"/>
        </w:rPr>
        <w:t xml:space="preserve"> </w:t>
      </w:r>
      <w:r>
        <w:rPr>
          <w:b w:val="0"/>
          <w:i/>
        </w:rPr>
        <w:t>permanere</w:t>
      </w:r>
      <w:r>
        <w:rPr>
          <w:b w:val="0"/>
          <w:i w:val="0"/>
        </w:rPr>
        <w:t xml:space="preserve">; </w:t>
      </w:r>
      <w:r>
        <w:rPr>
          <w:b w:val="0"/>
          <w:i/>
        </w:rPr>
        <w:t>perdurabit</w:t>
      </w:r>
      <w:r>
        <w:rPr>
          <w:b w:val="0"/>
          <w:i w:val="0"/>
        </w:rPr>
        <w:t xml:space="preserve">; </w:t>
      </w:r>
      <w:r>
        <w:rPr>
          <w:b w:val="0"/>
          <w:i/>
        </w:rPr>
        <w:t>perseverant</w:t>
      </w:r>
      <w:r>
        <w:rPr>
          <w:b w:val="0"/>
          <w:i w:val="0"/>
        </w:rPr>
        <w:t xml:space="preserve">; </w:t>
      </w:r>
      <w:r>
        <w:rPr>
          <w:b w:val="0"/>
          <w:i/>
        </w:rPr>
        <w:t>stetit</w:t>
      </w:r>
      <w:r>
        <w:rPr>
          <w:b w:val="0"/>
          <w:i w:val="0"/>
        </w:rPr>
        <w:t xml:space="preserve">; </w:t>
      </w:r>
      <w:r>
        <w:rPr>
          <w:b w:val="0"/>
          <w:i/>
        </w:rPr>
        <w:t>hora</w:t>
      </w:r>
      <w:r>
        <w:rPr>
          <w:b w:val="0"/>
          <w:i w:val="0"/>
        </w:rPr>
        <w:t xml:space="preserve">; </w:t>
      </w:r>
      <w:r>
        <w:rPr>
          <w:b w:val="0"/>
          <w:i/>
        </w:rPr>
        <w:t>incipiunt atque desinunt</w:t>
      </w:r>
      <w:r>
        <w:rPr>
          <w:b w:val="0"/>
          <w:i w:val="0"/>
        </w:rPr>
        <w:t xml:space="preserve">; </w:t>
      </w:r>
      <w:r>
        <w:rPr>
          <w:b w:val="0"/>
          <w:i/>
        </w:rPr>
        <w:t>complexio</w:t>
      </w:r>
      <w:r>
        <w:rPr>
          <w:b w:val="0"/>
          <w:i w:val="0"/>
        </w:rPr>
        <w:t>.</w:t>
      </w:r>
    </w:p>
    <w:p>
      <w:pPr>
        <w:keepNext/>
        <w:widowControl/>
      </w:pPr>
      <w:r>
        <w:rPr>
          <w:b/>
          <w:i w:val="0"/>
        </w:rPr>
        <w:t>The word.</w:t>
      </w:r>
    </w:p>
    <w:p>
      <w:pPr>
        <w:widowControl/>
      </w:pPr>
      <w:r>
        <w:rPr>
          <w:b w:val="0"/>
          <w:i/>
        </w:rPr>
        <w:t>Permanere</w:t>
      </w:r>
      <w:r>
        <w:rPr>
          <w:b w:val="0"/>
          <w:i w:val="0"/>
        </w:rPr>
        <w:t xml:space="preserve"> remains or persists; </w:t>
      </w:r>
      <w:r>
        <w:rPr>
          <w:b w:val="0"/>
          <w:i/>
        </w:rPr>
        <w:t>perdurare</w:t>
      </w:r>
      <w:r>
        <w:rPr>
          <w:b w:val="0"/>
          <w:i w:val="0"/>
        </w:rPr>
        <w:t xml:space="preserve"> endures; </w:t>
      </w:r>
      <w:r>
        <w:rPr>
          <w:b w:val="0"/>
          <w:i/>
        </w:rPr>
        <w:t>perseverare</w:t>
      </w:r>
      <w:r>
        <w:rPr>
          <w:b w:val="0"/>
          <w:i w:val="0"/>
        </w:rPr>
        <w:t xml:space="preserve"> continues. </w:t>
      </w:r>
      <w:r>
        <w:rPr>
          <w:b w:val="0"/>
          <w:i/>
        </w:rPr>
        <w:t>Stare</w:t>
      </w:r>
      <w:r>
        <w:rPr>
          <w:b w:val="0"/>
          <w:i w:val="0"/>
        </w:rPr>
        <w:t xml:space="preserve"> in this argument is to stand unchanged, not merely occupy an upright posture. </w:t>
      </w:r>
      <w:r>
        <w:rPr>
          <w:b w:val="0"/>
          <w:i/>
        </w:rPr>
        <w:t>Complexio</w:t>
      </w:r>
      <w:r>
        <w:rPr>
          <w:b w:val="0"/>
          <w:i w:val="0"/>
        </w:rPr>
        <w:t xml:space="preserve"> is bodily constitution or temperament. The relevant sameness concerns the constitution’s power, not simply an observer’s ability to keep giving it the same name.</w:t>
      </w:r>
    </w:p>
    <w:p>
      <w:pPr>
        <w:keepNext/>
        <w:widowControl/>
      </w:pPr>
      <w:r>
        <w:rPr>
          <w:b/>
          <w:i w:val="0"/>
        </w:rPr>
        <w:t>In the Platonic Theology.</w:t>
      </w:r>
    </w:p>
    <w:p>
      <w:pPr>
        <w:widowControl/>
      </w:pPr>
      <w:r>
        <w:rPr>
          <w:b w:val="0"/>
          <w:i w:val="0"/>
        </w:rPr>
        <w:t>Ficino reports a Platonist interrogation of the claim that a fully developed bodily condition stays unchanged for an hour. If its power differs at the end, it did not remain unchanged. If it is equal, equal powers produce equal effects, so it should last another hour, and the same reasoning repeats. Since bodily constitutions do not persist forever, the argument denies a completely stable interval. Its purpose is to support quality’s lack of sufficient independent activity and to locate the needed stability in a higher cause. The test relies on the premise that the same power must yield the same persistence; it should be presented as Ficino’s reasoning rather than a directly observed measurement of continuous change. Book I later insists that motion nevertheless requires some persisting subject and a stable ordering power. The two passages distinguish changing bodily states from their underlying and causal continuities.</w:t>
      </w:r>
    </w:p>
    <w:p>
      <w:pPr>
        <w:keepNext/>
        <w:widowControl/>
      </w:pPr>
      <w:r>
        <w:rPr>
          <w:b/>
          <w:i w:val="0"/>
        </w:rPr>
        <w:t>The places.</w:t>
      </w:r>
    </w:p>
    <w:p>
      <w:pPr>
        <w:ind w:left="187" w:hanging="187"/>
      </w:pPr>
      <w:r>
        <w:t xml:space="preserve">• </w:t>
      </w:r>
      <w:r>
        <w:rPr>
          <w:b/>
          <w:i w:val="0"/>
        </w:rPr>
        <w:t>I.4.2, PDF 56–57.</w:t>
      </w:r>
      <w:r>
        <w:rPr>
          <w:b w:val="0"/>
          <w:i w:val="0"/>
        </w:rPr>
        <w:t xml:space="preserve"> The hour and half-hour dilemma concerns unchanged bodily power</w:t>
      </w:r>
    </w:p>
    <w:p>
      <w:pPr>
        <w:ind w:left="187" w:hanging="187"/>
      </w:pPr>
      <w:r>
        <w:t xml:space="preserve">• </w:t>
      </w:r>
      <w:r>
        <w:rPr>
          <w:b/>
          <w:i w:val="0"/>
        </w:rPr>
        <w:t>I.5.1, PDF 60–61.</w:t>
      </w:r>
      <w:r>
        <w:rPr>
          <w:b w:val="0"/>
          <w:i w:val="0"/>
        </w:rPr>
        <w:t xml:space="preserve"> Soul’s stable essence is distinguished from successive activity</w:t>
      </w:r>
    </w:p>
    <w:p>
      <w:pPr>
        <w:ind w:left="187" w:hanging="187"/>
      </w:pPr>
      <w:r>
        <w:t xml:space="preserve">• </w:t>
      </w:r>
      <w:r>
        <w:rPr>
          <w:b/>
          <w:i w:val="0"/>
        </w:rPr>
        <w:t>I.5.7–9, PDF 62–65.</w:t>
      </w:r>
      <w:r>
        <w:rPr>
          <w:b w:val="0"/>
          <w:i w:val="0"/>
        </w:rPr>
        <w:t xml:space="preserve"> Change requires a persisting subject and regularity in motion</w:t>
      </w:r>
    </w:p>
    <w:p>
      <w:pPr>
        <w:keepNext/>
        <w:widowControl/>
      </w:pPr>
      <w:r>
        <w:rPr>
          <w:b/>
          <w:i w:val="0"/>
        </w:rPr>
        <w:t>In this edition.</w:t>
      </w:r>
    </w:p>
    <w:p>
      <w:pPr>
        <w:widowControl/>
      </w:pPr>
      <w:r>
        <w:t>“</w:t>
      </w:r>
      <w:r>
        <w:rPr>
          <w:b w:val="0"/>
          <w:i w:val="0"/>
        </w:rPr>
        <w:t>Stand unchanged</w:t>
      </w:r>
      <w:r>
        <w:t>”</w:t>
      </w:r>
      <w:r>
        <w:rPr>
          <w:b w:val="0"/>
          <w:i w:val="0"/>
        </w:rPr>
        <w:t xml:space="preserve"> often makes the local </w:t>
      </w:r>
      <w:r>
        <w:rPr>
          <w:b w:val="0"/>
          <w:i/>
        </w:rPr>
        <w:t>stare</w:t>
      </w:r>
      <w:r>
        <w:rPr>
          <w:b w:val="0"/>
          <w:i w:val="0"/>
        </w:rPr>
        <w:t xml:space="preserve"> clearer than bare </w:t>
      </w:r>
      <w:r>
        <w:t>“</w:t>
      </w:r>
      <w:r>
        <w:rPr>
          <w:b w:val="0"/>
          <w:i w:val="0"/>
        </w:rPr>
        <w:t>stand.</w:t>
      </w:r>
      <w:r>
        <w:t>”</w:t>
      </w:r>
      <w:r>
        <w:rPr>
          <w:b w:val="0"/>
          <w:i w:val="0"/>
        </w:rPr>
        <w:t xml:space="preserve"> The phrase </w:t>
      </w:r>
      <w:r>
        <w:rPr>
          <w:b w:val="0"/>
          <w:i/>
        </w:rPr>
        <w:t>vix momentum</w:t>
      </w:r>
      <w:r>
        <w:rPr>
          <w:b w:val="0"/>
          <w:i w:val="0"/>
        </w:rPr>
        <w:t xml:space="preserve"> is </w:t>
      </w:r>
      <w:r>
        <w:t>“</w:t>
      </w:r>
      <w:r>
        <w:rPr>
          <w:b w:val="0"/>
          <w:i w:val="0"/>
        </w:rPr>
        <w:t>scarcely a moment,</w:t>
      </w:r>
      <w:r>
        <w:t>”</w:t>
      </w:r>
      <w:r>
        <w:rPr>
          <w:b w:val="0"/>
          <w:i w:val="0"/>
        </w:rPr>
        <w:t xml:space="preserve"> not a measured minimum duration. The argument’s hour is a hypothetical test interval.</w:t>
      </w:r>
    </w:p>
    <w:p>
      <w:pPr>
        <w:keepNext/>
        <w:widowControl/>
      </w:pPr>
      <w:r>
        <w:rPr>
          <w:b/>
          <w:i w:val="0"/>
        </w:rPr>
        <w:t>See also.</w:t>
      </w:r>
    </w:p>
    <w:p>
      <w:pPr>
        <w:widowControl/>
      </w:pPr>
      <w:hyperlink w:anchor="motion-and-stability">
        <w:r>
          <w:rPr>
            <w:color w:val="000000"/>
          </w:rPr>
          <w:t xml:space="preserve">Motion and stability</w:t>
        </w:r>
      </w:hyperlink>
      <w:r>
        <w:rPr>
          <w:b w:val="0"/>
          <w:i w:val="0"/>
        </w:rPr>
        <w:t xml:space="preserve">; </w:t>
      </w:r>
      <w:hyperlink w:anchor="eternity-and-time">
        <w:r>
          <w:rPr>
            <w:color w:val="000000"/>
          </w:rPr>
          <w:t xml:space="preserve">Eternity and time</w:t>
        </w:r>
      </w:hyperlink>
      <w:r>
        <w:rPr>
          <w:b w:val="0"/>
          <w:i w:val="0"/>
        </w:rPr>
        <w:t xml:space="preserve">; </w:t>
      </w:r>
      <w:hyperlink w:anchor="affection-and-passivity">
        <w:r>
          <w:rPr>
            <w:color w:val="000000"/>
          </w:rPr>
          <w:t xml:space="preserve">Affection and passivity</w:t>
        </w:r>
      </w:hyperlink>
      <w:r>
        <w:rPr>
          <w:b w:val="0"/>
          <w:i w:val="0"/>
        </w:rPr>
        <w:t xml:space="preserve">; </w:t>
      </w:r>
      <w:hyperlink w:anchor="comparing-resembling-and-equalling">
        <w:r>
          <w:rPr>
            <w:color w:val="000000"/>
          </w:rPr>
          <w:t xml:space="preserve">Comparing, resembling and equalling</w:t>
        </w:r>
      </w:hyperlink>
      <w:r>
        <w:rPr>
          <w:b w:val="0"/>
          <w:i w:val="0"/>
        </w:rPr>
        <w:t>.</w:t>
      </w:r>
    </w:p>
    <w:p>
      <w:bookmarkStart w:id="169" w:name="persuasion-and-compulsion"/>
      <w:pPr>
        <w:pStyle w:val="Heading2"/>
      </w:pPr>
      <w:r>
        <w:rPr>
          <w:b w:val="0"/>
          <w:i w:val="0"/>
        </w:rPr>
        <w:t>Persuasion and compulsion</w:t>
      </w:r>
      <w:bookmarkEnd w:id="169"/>
    </w:p>
    <w:p>
      <w:pPr>
        <w:keepNext/>
        <w:widowControl/>
      </w:pPr>
      <w:r>
        <w:rPr>
          <w:b/>
          <w:i w:val="0"/>
        </w:rPr>
        <w:t>Latin:</w:t>
      </w:r>
      <w:r>
        <w:rPr>
          <w:b w:val="0"/>
          <w:i w:val="0"/>
        </w:rPr>
        <w:t xml:space="preserve"> </w:t>
      </w:r>
      <w:r>
        <w:rPr>
          <w:b w:val="0"/>
          <w:i/>
        </w:rPr>
        <w:t>allicere; trahere; cogere; persuadere; pulsare; metus; persuasio; quasi</w:t>
      </w:r>
    </w:p>
    <w:p>
      <w:pPr>
        <w:keepNext/>
        <w:widowControl/>
      </w:pPr>
      <w:r>
        <w:rPr>
          <w:b/>
          <w:i w:val="0"/>
        </w:rPr>
        <w:t>The word.</w:t>
      </w:r>
    </w:p>
    <w:p>
      <w:pPr>
        <w:widowControl/>
      </w:pPr>
      <w:r>
        <w:rPr>
          <w:b w:val="0"/>
          <w:i w:val="0"/>
        </w:rPr>
        <w:t>Allicere attracts or entices, trahere drags or draws, cogere compels, and persuadere persuades. Pulsare strikes or impels. Quasi qualifies the apparent compulsion discussed after persuasion.</w:t>
      </w:r>
    </w:p>
    <w:p>
      <w:pPr>
        <w:keepNext/>
        <w:widowControl/>
      </w:pPr>
      <w:r>
        <w:rPr>
          <w:b/>
          <w:i w:val="0"/>
        </w:rPr>
        <w:t>In the Platonic Theology.</w:t>
      </w:r>
    </w:p>
    <w:p>
      <w:pPr>
        <w:widowControl/>
      </w:pPr>
      <w:r>
        <w:rPr>
          <w:b w:val="0"/>
          <w:i w:val="0"/>
        </w:rPr>
        <w:t xml:space="preserve">God governs each nature according to its mode: elements rise or fall, animals walk, and heavens revolve. Souls are impelled freely, attracted rather than dragged, persuaded rather than compelled. A saying attributed to Zoroaster supplies the contrast between fear and persuasion. Yet the next unit says that God </w:t>
      </w:r>
      <w:r>
        <w:t>“</w:t>
      </w:r>
      <w:r>
        <w:rPr>
          <w:b w:val="0"/>
          <w:i w:val="0"/>
        </w:rPr>
        <w:t>as it were</w:t>
      </w:r>
      <w:r>
        <w:t>”</w:t>
      </w:r>
      <w:r>
        <w:rPr>
          <w:b w:val="0"/>
          <w:i w:val="0"/>
        </w:rPr>
        <w:t xml:space="preserve"> compels souls toward the good, so that they cannot fail to will good itself. The two statements concern different levels. Necessary orientation toward goodness is retained; judgment among particular means remains free. Even a desire to cease desiring treats that cessation as good. Ficino’s reconciliation therefore requires the final paragraph’s deliberation and choice, not merely the attractive language of persuasion. It also prevents the qualified necessity of seeking good from certifying each particular choice as actually beneficial.</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II.13.26 (Latin PDF p. 234; English PDF p. 235).</w:t>
      </w:r>
      <w:r>
        <w:rPr>
          <w:b w:val="0"/>
          <w:i w:val="0"/>
        </w:rPr>
        <w:t xml:space="preserve"> Preservation of nature differentiates persuasion from dragging.</w:t>
      </w:r>
    </w:p>
    <w:p>
      <w:pPr>
        <w:ind w:left="187" w:hanging="187"/>
      </w:pPr>
      <w:r>
        <w:t xml:space="preserve">• </w:t>
      </w:r>
      <w:r>
        <w:rPr>
          <w:b/>
          <w:i w:val="0"/>
        </w:rPr>
        <w:t>II.13.27 (Latin PDF p. 234; English PDF p. 235).</w:t>
      </w:r>
      <w:r>
        <w:rPr>
          <w:b w:val="0"/>
          <w:i w:val="0"/>
        </w:rPr>
        <w:t xml:space="preserve"> The fear–persuasion saying is attributed to Zoroaster.</w:t>
      </w:r>
    </w:p>
    <w:p>
      <w:pPr>
        <w:ind w:left="187" w:hanging="187"/>
      </w:pPr>
      <w:r>
        <w:t xml:space="preserve">• </w:t>
      </w:r>
      <w:r>
        <w:rPr>
          <w:b/>
          <w:i w:val="0"/>
        </w:rPr>
        <w:t>II.13.28 (Latin PDF p. 234; English PDF p. 235).</w:t>
      </w:r>
      <w:r>
        <w:rPr>
          <w:b w:val="0"/>
          <w:i w:val="0"/>
        </w:rPr>
        <w:t xml:space="preserve"> Quasi marks the qualified compulsion toward good.</w:t>
      </w:r>
    </w:p>
    <w:p>
      <w:pPr>
        <w:ind w:left="187" w:hanging="187"/>
      </w:pPr>
      <w:r>
        <w:t xml:space="preserve">• </w:t>
      </w:r>
      <w:r>
        <w:rPr>
          <w:b/>
          <w:i w:val="0"/>
        </w:rPr>
        <w:t>II.13.30 (Latin PDF p. 236; English PDF p. 237).</w:t>
      </w:r>
      <w:r>
        <w:rPr>
          <w:b w:val="0"/>
          <w:i w:val="0"/>
        </w:rPr>
        <w:t xml:space="preserve"> Free judgment selects among particular proposed means.</w:t>
      </w:r>
    </w:p>
    <w:p>
      <w:pPr>
        <w:keepNext/>
        <w:widowControl/>
      </w:pPr>
      <w:r>
        <w:rPr>
          <w:b/>
          <w:i w:val="0"/>
        </w:rPr>
        <w:t>In this edition.</w:t>
      </w:r>
    </w:p>
    <w:p>
      <w:pPr>
        <w:widowControl/>
      </w:pPr>
      <w:r>
        <w:rPr>
          <w:b w:val="0"/>
          <w:i w:val="0"/>
        </w:rPr>
        <w:t xml:space="preserve">The English’s </w:t>
      </w:r>
      <w:r>
        <w:t>“</w:t>
      </w:r>
      <w:r>
        <w:rPr>
          <w:b w:val="0"/>
          <w:i w:val="0"/>
        </w:rPr>
        <w:t>in a certain sense compel</w:t>
      </w:r>
      <w:r>
        <w:t>”</w:t>
      </w:r>
      <w:r>
        <w:rPr>
          <w:b w:val="0"/>
          <w:i w:val="0"/>
        </w:rPr>
        <w:t xml:space="preserve"> preserves quasi. Leaving it out would make the apparent reversal sharper than the Latin. Alliciat expresses attraction here; it does not independently imply deception.</w:t>
      </w:r>
    </w:p>
    <w:p>
      <w:pPr>
        <w:keepNext/>
        <w:widowControl/>
      </w:pPr>
      <w:r>
        <w:rPr>
          <w:b/>
          <w:i w:val="0"/>
        </w:rPr>
        <w:t>See also.</w:t>
      </w:r>
    </w:p>
    <w:p>
      <w:pPr>
        <w:widowControl/>
      </w:pPr>
      <w:hyperlink w:anchor="freedom-and-necessity">
        <w:r>
          <w:rPr>
            <w:color w:val="000000"/>
          </w:rPr>
          <w:t xml:space="preserve">Freedom and necessity</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appetite-and-desire">
        <w:r>
          <w:rPr>
            <w:color w:val="000000"/>
          </w:rPr>
          <w:t xml:space="preserve">Appetite and desire</w:t>
        </w:r>
      </w:hyperlink>
      <w:r>
        <w:rPr>
          <w:b w:val="0"/>
          <w:i w:val="0"/>
        </w:rPr>
        <w:t xml:space="preserve">; </w:t>
      </w:r>
      <w:hyperlink w:anchor="providence">
        <w:r>
          <w:rPr>
            <w:color w:val="000000"/>
          </w:rPr>
          <w:t xml:space="preserve">Providence</w:t>
        </w:r>
      </w:hyperlink>
      <w:r>
        <w:rPr>
          <w:b w:val="0"/>
          <w:i w:val="0"/>
        </w:rPr>
        <w:t>.</w:t>
      </w:r>
    </w:p>
    <w:p>
      <w:bookmarkStart w:id="170" w:name="philosophers-and-stopping-points"/>
      <w:pPr>
        <w:pStyle w:val="Heading2"/>
      </w:pPr>
      <w:r>
        <w:rPr>
          <w:b w:val="0"/>
          <w:i w:val="0"/>
        </w:rPr>
        <w:t>Philosophers and stopping points</w:t>
      </w:r>
      <w:bookmarkEnd w:id="170"/>
    </w:p>
    <w:p>
      <w:pPr>
        <w:keepNext/>
        <w:widowControl/>
      </w:pPr>
      <w:r>
        <w:rPr>
          <w:b/>
          <w:i w:val="0"/>
        </w:rPr>
        <w:t>Latin:</w:t>
      </w:r>
      <w:r>
        <w:rPr>
          <w:b w:val="0"/>
          <w:i w:val="0"/>
        </w:rPr>
        <w:t xml:space="preserve"> </w:t>
      </w:r>
      <w:r>
        <w:rPr>
          <w:b w:val="0"/>
          <w:i/>
        </w:rPr>
        <w:t>Democritiorum</w:t>
      </w:r>
      <w:r>
        <w:rPr>
          <w:b w:val="0"/>
          <w:i w:val="0"/>
        </w:rPr>
        <w:t xml:space="preserve">; </w:t>
      </w:r>
      <w:r>
        <w:rPr>
          <w:b w:val="0"/>
          <w:i/>
        </w:rPr>
        <w:t>Cyrenaicorum</w:t>
      </w:r>
      <w:r>
        <w:rPr>
          <w:b w:val="0"/>
          <w:i w:val="0"/>
        </w:rPr>
        <w:t xml:space="preserve">; </w:t>
      </w:r>
      <w:r>
        <w:rPr>
          <w:b w:val="0"/>
          <w:i/>
        </w:rPr>
        <w:t>Epicureorum</w:t>
      </w:r>
      <w:r>
        <w:rPr>
          <w:b w:val="0"/>
          <w:i w:val="0"/>
        </w:rPr>
        <w:t xml:space="preserve">; </w:t>
      </w:r>
      <w:r>
        <w:rPr>
          <w:b w:val="0"/>
          <w:i/>
        </w:rPr>
        <w:t>Stoicorum Cynicorumque</w:t>
      </w:r>
      <w:r>
        <w:rPr>
          <w:b w:val="0"/>
          <w:i w:val="0"/>
        </w:rPr>
        <w:t xml:space="preserve">; </w:t>
      </w:r>
      <w:r>
        <w:rPr>
          <w:b w:val="0"/>
          <w:i/>
        </w:rPr>
        <w:t>Heraclitus</w:t>
      </w:r>
      <w:r>
        <w:rPr>
          <w:b w:val="0"/>
          <w:i w:val="0"/>
        </w:rPr>
        <w:t xml:space="preserve">; </w:t>
      </w:r>
      <w:r>
        <w:rPr>
          <w:b w:val="0"/>
          <w:i/>
        </w:rPr>
        <w:t>Marcus Varro</w:t>
      </w:r>
      <w:r>
        <w:rPr>
          <w:b w:val="0"/>
          <w:i w:val="0"/>
        </w:rPr>
        <w:t xml:space="preserve">; </w:t>
      </w:r>
      <w:r>
        <w:rPr>
          <w:b w:val="0"/>
          <w:i/>
        </w:rPr>
        <w:t>Marcus Manilius</w:t>
      </w:r>
      <w:r>
        <w:rPr>
          <w:b w:val="0"/>
          <w:i w:val="0"/>
        </w:rPr>
        <w:t xml:space="preserve">; </w:t>
      </w:r>
      <w:r>
        <w:rPr>
          <w:b w:val="0"/>
          <w:i/>
        </w:rPr>
        <w:t>Anaxagoras et Hermotimus</w:t>
      </w:r>
      <w:r>
        <w:rPr>
          <w:b w:val="0"/>
          <w:i w:val="0"/>
        </w:rPr>
        <w:t>.</w:t>
      </w:r>
    </w:p>
    <w:p>
      <w:pPr>
        <w:keepNext/>
        <w:widowControl/>
      </w:pPr>
      <w:r>
        <w:rPr>
          <w:b/>
          <w:i w:val="0"/>
        </w:rPr>
        <w:t>The word.</w:t>
      </w:r>
    </w:p>
    <w:p>
      <w:pPr>
        <w:widowControl/>
      </w:pPr>
      <w:r>
        <w:rPr>
          <w:b w:val="0"/>
          <w:i w:val="0"/>
        </w:rPr>
        <w:t xml:space="preserve">The first several names appear as group genitives: the followers or schools whose inquiry is described. </w:t>
      </w:r>
      <w:r>
        <w:rPr>
          <w:b w:val="0"/>
          <w:i/>
        </w:rPr>
        <w:t>Finiebatur</w:t>
      </w:r>
      <w:r>
        <w:rPr>
          <w:b w:val="0"/>
          <w:i w:val="0"/>
        </w:rPr>
        <w:t xml:space="preserve">, </w:t>
      </w:r>
      <w:r>
        <w:rPr>
          <w:b w:val="0"/>
          <w:i/>
        </w:rPr>
        <w:t>ascenderunt</w:t>
      </w:r>
      <w:r>
        <w:rPr>
          <w:b w:val="0"/>
          <w:i w:val="0"/>
        </w:rPr>
        <w:t xml:space="preserve"> and </w:t>
      </w:r>
      <w:r>
        <w:rPr>
          <w:b w:val="0"/>
          <w:i/>
        </w:rPr>
        <w:t>quievisse</w:t>
      </w:r>
      <w:r>
        <w:rPr>
          <w:b w:val="0"/>
          <w:i w:val="0"/>
        </w:rPr>
        <w:t xml:space="preserve"> mark limits, ascent and rest. Their apparently spatial language classifies philosophical achievements within Ficino’s hierarchy.</w:t>
      </w:r>
    </w:p>
    <w:p>
      <w:pPr>
        <w:keepNext/>
        <w:widowControl/>
      </w:pPr>
      <w:r>
        <w:rPr>
          <w:b/>
          <w:i w:val="0"/>
        </w:rPr>
        <w:t>In the Platonic Theology.</w:t>
      </w:r>
    </w:p>
    <w:p>
      <w:pPr>
        <w:widowControl/>
      </w:pPr>
      <w:r>
        <w:rPr>
          <w:b w:val="0"/>
          <w:i w:val="0"/>
        </w:rPr>
        <w:t xml:space="preserve">Ficino assigns the followers of Democritus, the Cyrenaics and Epicureans to bodily bulk; Stoics and Cynics to effective quality; Heraclitus, Varro and Manilius to rational soul; and Anaxagoras and Hermotimus to angelic mind. Plato directs the purified mind onward toward the divine sun. The list is a designed prospectus: the argument later revisits the stopping points and says why inquiry cannot halt there. It is not a comprehensive description of each thinker’s surviving works, nor independent evidence that the grouped schools all held identical theories. The shared task is to exceed what Ficino represents as an insufficient explanatory level. </w:t>
      </w:r>
      <w:r>
        <w:rPr>
          <w:b w:val="0"/>
          <w:i/>
        </w:rPr>
        <w:t>Videantur</w:t>
      </w:r>
      <w:r>
        <w:rPr>
          <w:b w:val="0"/>
          <w:i w:val="0"/>
        </w:rPr>
        <w:t xml:space="preserve"> in the Anaxagoras–Hermotimus clause also marks a presentation more qualified than an unqualified historical verdict.</w:t>
      </w:r>
    </w:p>
    <w:p>
      <w:pPr>
        <w:keepNext/>
        <w:widowControl/>
      </w:pPr>
      <w:r>
        <w:rPr>
          <w:b/>
          <w:i w:val="0"/>
        </w:rPr>
        <w:t>The places.</w:t>
      </w:r>
    </w:p>
    <w:p>
      <w:pPr>
        <w:ind w:left="187" w:hanging="187"/>
      </w:pPr>
      <w:r>
        <w:t xml:space="preserve">• </w:t>
      </w:r>
      <w:r>
        <w:rPr>
          <w:b/>
          <w:i w:val="0"/>
        </w:rPr>
        <w:t>I.1.3–6, PDF 14–17.</w:t>
      </w:r>
      <w:r>
        <w:rPr>
          <w:b w:val="0"/>
          <w:i w:val="0"/>
        </w:rPr>
        <w:t xml:space="preserve"> The historical names articulate the five-level prospectus</w:t>
      </w:r>
    </w:p>
    <w:p>
      <w:pPr>
        <w:ind w:left="187" w:hanging="187"/>
      </w:pPr>
      <w:r>
        <w:t xml:space="preserve">• </w:t>
      </w:r>
      <w:r>
        <w:rPr>
          <w:b/>
          <w:i w:val="0"/>
        </w:rPr>
        <w:t>I.2.8, PDF 22–23.</w:t>
      </w:r>
      <w:r>
        <w:rPr>
          <w:b w:val="0"/>
          <w:i w:val="0"/>
        </w:rPr>
        <w:t xml:space="preserve"> The bodily schools recur in the criticism of action from bulk</w:t>
      </w:r>
    </w:p>
    <w:p>
      <w:pPr>
        <w:ind w:left="187" w:hanging="187"/>
      </w:pPr>
      <w:r>
        <w:t xml:space="preserve">• </w:t>
      </w:r>
      <w:r>
        <w:rPr>
          <w:b/>
          <w:i w:val="0"/>
        </w:rPr>
        <w:t>I.3.1, PDF 28–29.</w:t>
      </w:r>
      <w:r>
        <w:rPr>
          <w:b w:val="0"/>
          <w:i w:val="0"/>
        </w:rPr>
        <w:t xml:space="preserve"> Ficino refuses to halt at the Stoic–Cynic quality level</w:t>
      </w:r>
    </w:p>
    <w:p>
      <w:pPr>
        <w:ind w:left="187" w:hanging="187"/>
      </w:pPr>
      <w:r>
        <w:t xml:space="preserve">• </w:t>
      </w:r>
      <w:r>
        <w:rPr>
          <w:b/>
          <w:i w:val="0"/>
        </w:rPr>
        <w:t>I.5.2, PDF 60–61; I.6.1, PDF 82–83.</w:t>
      </w:r>
      <w:r>
        <w:rPr>
          <w:b w:val="0"/>
          <w:i w:val="0"/>
        </w:rPr>
        <w:t xml:space="preserve"> The soul and angelic stopping points are revisited and exceeded</w:t>
      </w:r>
    </w:p>
    <w:p>
      <w:pPr>
        <w:keepNext/>
        <w:widowControl/>
      </w:pPr>
      <w:r>
        <w:rPr>
          <w:b/>
          <w:i w:val="0"/>
        </w:rPr>
        <w:t>In this edition.</w:t>
      </w:r>
    </w:p>
    <w:p>
      <w:pPr>
        <w:widowControl/>
      </w:pPr>
      <w:r>
        <w:t>“</w:t>
      </w:r>
      <w:r>
        <w:rPr>
          <w:b w:val="0"/>
          <w:i w:val="0"/>
        </w:rPr>
        <w:t>Followers of Democritus</w:t>
      </w:r>
      <w:r>
        <w:t>”</w:t>
      </w:r>
      <w:r>
        <w:rPr>
          <w:b w:val="0"/>
          <w:i w:val="0"/>
        </w:rPr>
        <w:t xml:space="preserve"> makes the school-name construction visible. </w:t>
      </w:r>
      <w:r>
        <w:t>“</w:t>
      </w:r>
      <w:r>
        <w:rPr>
          <w:b w:val="0"/>
          <w:i w:val="0"/>
        </w:rPr>
        <w:t>Seem to have come to rest</w:t>
      </w:r>
      <w:r>
        <w:t>”</w:t>
      </w:r>
      <w:r>
        <w:rPr>
          <w:b w:val="0"/>
          <w:i w:val="0"/>
        </w:rPr>
        <w:t xml:space="preserve"> retains </w:t>
      </w:r>
      <w:r>
        <w:rPr>
          <w:b w:val="0"/>
          <w:i/>
        </w:rPr>
        <w:t>videantur … quievisse</w:t>
      </w:r>
      <w:r>
        <w:rPr>
          <w:b w:val="0"/>
          <w:i w:val="0"/>
        </w:rPr>
        <w:t>. The names receive their local roles without unverified biographies or retrospective judgements about their whole philosophies.</w:t>
      </w:r>
    </w:p>
    <w:p>
      <w:pPr>
        <w:keepNext/>
        <w:widowControl/>
      </w:pPr>
      <w:r>
        <w:rPr>
          <w:b/>
          <w:i w:val="0"/>
        </w:rPr>
        <w:t>See also.</w:t>
      </w:r>
    </w:p>
    <w:p>
      <w:pPr>
        <w:widowControl/>
      </w:pPr>
      <w:hyperlink w:anchor="ascent">
        <w:r>
          <w:rPr>
            <w:color w:val="000000"/>
          </w:rPr>
          <w:t xml:space="preserve">Ascent</w:t>
        </w:r>
      </w:hyperlink>
      <w:r>
        <w:rPr>
          <w:b w:val="0"/>
          <w:i w:val="0"/>
        </w:rPr>
        <w:t xml:space="preserve">; </w:t>
      </w:r>
      <w:hyperlink w:anchor="body-and-bulk">
        <w:r>
          <w:rPr>
            <w:color w:val="000000"/>
          </w:rPr>
          <w:t xml:space="preserve">Body and bulk</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w:t>
      </w:r>
      <w:hyperlink w:anchor="angel">
        <w:r>
          <w:rPr>
            <w:color w:val="000000"/>
          </w:rPr>
          <w:t xml:space="preserve">Angel</w:t>
        </w:r>
      </w:hyperlink>
      <w:r>
        <w:rPr>
          <w:b w:val="0"/>
          <w:i w:val="0"/>
        </w:rPr>
        <w:t>.</w:t>
      </w:r>
    </w:p>
    <w:p>
      <w:bookmarkStart w:id="171" w:name="philosophy-and-theology"/>
      <w:pPr>
        <w:pStyle w:val="Heading2"/>
      </w:pPr>
      <w:r>
        <w:rPr>
          <w:b w:val="0"/>
          <w:i w:val="0"/>
        </w:rPr>
        <w:t>Philosophy and theology</w:t>
      </w:r>
      <w:bookmarkEnd w:id="171"/>
    </w:p>
    <w:p>
      <w:pPr>
        <w:keepNext/>
        <w:widowControl/>
      </w:pPr>
      <w:r>
        <w:rPr>
          <w:b/>
          <w:i w:val="0"/>
        </w:rPr>
        <w:t>Latin:</w:t>
      </w:r>
      <w:r>
        <w:rPr>
          <w:b w:val="0"/>
          <w:i w:val="0"/>
        </w:rPr>
        <w:t xml:space="preserve"> </w:t>
      </w:r>
      <w:r>
        <w:rPr>
          <w:b w:val="0"/>
          <w:i/>
        </w:rPr>
        <w:t>philosophia</w:t>
      </w:r>
      <w:r>
        <w:rPr>
          <w:b w:val="0"/>
          <w:i w:val="0"/>
        </w:rPr>
        <w:t xml:space="preserve">, </w:t>
      </w:r>
      <w:r>
        <w:rPr>
          <w:b w:val="0"/>
          <w:i/>
        </w:rPr>
        <w:t>theologia</w:t>
      </w:r>
      <w:r>
        <w:rPr>
          <w:b w:val="0"/>
          <w:i w:val="0"/>
        </w:rPr>
        <w:t xml:space="preserve">; </w:t>
      </w:r>
      <w:r>
        <w:rPr>
          <w:b w:val="0"/>
          <w:i/>
        </w:rPr>
        <w:t>philosophari</w:t>
      </w:r>
      <w:r>
        <w:rPr>
          <w:b w:val="0"/>
          <w:i w:val="0"/>
        </w:rPr>
        <w:t xml:space="preserve">; </w:t>
      </w:r>
      <w:r>
        <w:rPr>
          <w:b w:val="0"/>
          <w:i/>
        </w:rPr>
        <w:t>amor sapientiae</w:t>
      </w:r>
    </w:p>
    <w:p>
      <w:pPr>
        <w:keepNext/>
        <w:widowControl/>
      </w:pPr>
      <w:r>
        <w:rPr>
          <w:b/>
          <w:i w:val="0"/>
        </w:rPr>
        <w:t>The word.</w:t>
      </w:r>
    </w:p>
    <w:p>
      <w:pPr>
        <w:widowControl/>
      </w:pPr>
      <w:r>
        <w:rPr>
          <w:b w:val="0"/>
          <w:i w:val="0"/>
        </w:rPr>
        <w:t>Philosophia and philosophari concern philosophical inquiry and its practice; theologia concerns discourse and contemplation directed toward God. Amor sapientiae names love of wisdom. Their conjunction in the Proem is a stated purpose, not a lexical identity in every setting.</w:t>
      </w:r>
    </w:p>
    <w:p>
      <w:pPr>
        <w:keepNext/>
        <w:widowControl/>
      </w:pPr>
      <w:r>
        <w:rPr>
          <w:b/>
          <w:i w:val="0"/>
        </w:rPr>
        <w:t>In the Platonic Theology.</w:t>
      </w:r>
    </w:p>
    <w:p>
      <w:pPr>
        <w:widowControl/>
      </w:pPr>
      <w:r>
        <w:rPr>
          <w:b w:val="0"/>
          <w:i w:val="0"/>
        </w:rPr>
        <w:t>The Proem presents philosophical inquiry as directed toward knowledge and worship of God. Ficino praises Plato for bringing moral, dialectical, mathematical, and natural questions back to divine contemplation, and explains why his teaching could accordingly be called theology. The relation is not merely a decorative religious preface to an otherwise unrelated argument. Purification prepares the soul to perceive divine light, investigation seeks the cause of causes, and self-knowledge becomes a route toward knowledge of God. Ficino also states a conciliatory purpose: Platonic arguments may support religion for people not readily moved by scriptural authority alone. His project relies on Augustine’s authority as he reports it and seeks a likeness of Plato close to Christian truth. The Proem subjects the work’s claims to divine law; Book I’s prefatory reservation also invokes Church approval. These qualifications distinguish Ficino’s conciliatory project from a simple identification of every Platonic doctrine with Christian teaching.</w:t>
      </w:r>
    </w:p>
    <w:p>
      <w:pPr>
        <w:keepNext/>
        <w:widowControl/>
      </w:pPr>
      <w:r>
        <w:rPr>
          <w:b/>
          <w:i w:val="0"/>
        </w:rPr>
        <w:t>The places.</w:t>
      </w:r>
    </w:p>
    <w:p>
      <w:pPr>
        <w:ind w:left="187" w:hanging="187"/>
      </w:pPr>
      <w:r>
        <w:t xml:space="preserve">• </w:t>
      </w:r>
      <w:r>
        <w:rPr>
          <w:b/>
          <w:i w:val="0"/>
        </w:rPr>
        <w:t>Proem.1</w:t>
      </w:r>
      <w:r>
        <w:rPr>
          <w:b w:val="0"/>
          <w:i w:val="0"/>
        </w:rPr>
        <w:t>. The analogy of sight and sunlight directs the human mind toward its divine source.</w:t>
      </w:r>
    </w:p>
    <w:p>
      <w:pPr>
        <w:ind w:left="187" w:hanging="187"/>
      </w:pPr>
      <w:r>
        <w:t xml:space="preserve">• </w:t>
      </w:r>
      <w:r>
        <w:rPr>
          <w:b/>
          <w:i w:val="0"/>
        </w:rPr>
        <w:t>Proem.4</w:t>
      </w:r>
      <w:r>
        <w:rPr>
          <w:b w:val="0"/>
          <w:i w:val="0"/>
        </w:rPr>
        <w:t>. Self-knowledge is presented as a route toward divine knowledge.</w:t>
      </w:r>
    </w:p>
    <w:p>
      <w:pPr>
        <w:ind w:left="187" w:hanging="187"/>
      </w:pPr>
      <w:r>
        <w:t xml:space="preserve">• </w:t>
      </w:r>
      <w:r>
        <w:rPr>
          <w:b/>
          <w:i w:val="0"/>
        </w:rPr>
        <w:t>Proem.8–9</w:t>
      </w:r>
      <w:r>
        <w:rPr>
          <w:b w:val="0"/>
          <w:i w:val="0"/>
        </w:rPr>
        <w:t>. Platonic arguments are assigned a conciliatory religious function.</w:t>
      </w:r>
    </w:p>
    <w:p>
      <w:pPr>
        <w:ind w:left="187" w:hanging="187"/>
      </w:pPr>
      <w:r>
        <w:t xml:space="preserve">• </w:t>
      </w:r>
      <w:r>
        <w:rPr>
          <w:b/>
          <w:i w:val="0"/>
        </w:rPr>
        <w:t>Proem.11</w:t>
      </w:r>
      <w:r>
        <w:rPr>
          <w:b w:val="0"/>
          <w:i w:val="0"/>
        </w:rPr>
        <w:t>. The dedication connects philosophical leisure with Lorenzo’s support and public authority.</w:t>
      </w:r>
    </w:p>
    <w:p>
      <w:pPr>
        <w:widowControl/>
      </w:pPr>
      <w:r>
        <w:rPr>
          <w:b/>
          <w:i w:val="0"/>
        </w:rPr>
        <w:t>Further passage references.</w:t>
      </w:r>
      <w:r>
        <w:rPr>
          <w:b w:val="0"/>
          <w:i w:val="0"/>
        </w:rPr>
        <w:t xml:space="preserve"> Proem.1–Proem.11 (PDF pp. 6–11); authorial reservation (p. 13)</w:t>
      </w:r>
    </w:p>
    <w:p>
      <w:pPr>
        <w:keepNext/>
        <w:widowControl/>
      </w:pPr>
      <w:r>
        <w:rPr>
          <w:b/>
          <w:i w:val="0"/>
        </w:rPr>
        <w:t>In this edition.</w:t>
      </w:r>
    </w:p>
    <w:p>
      <w:pPr>
        <w:widowControl/>
      </w:pPr>
      <w:r>
        <w:rPr>
          <w:b w:val="0"/>
          <w:i w:val="0"/>
        </w:rPr>
        <w:t xml:space="preserve">The English </w:t>
      </w:r>
      <w:r>
        <w:t>“</w:t>
      </w:r>
      <w:r>
        <w:rPr>
          <w:b w:val="0"/>
          <w:i w:val="0"/>
        </w:rPr>
        <w:t>theology</w:t>
      </w:r>
      <w:r>
        <w:t>”</w:t>
      </w:r>
      <w:r>
        <w:rPr>
          <w:b w:val="0"/>
          <w:i w:val="0"/>
        </w:rPr>
        <w:t xml:space="preserve"> preserves the author’s theological designation of Plato’s teaching without certifying all attributed Platonic claims as Christian doctrine. The authorial reservations belong to the work’s framing and must remain distinct from the continuous philosophical proofs.</w:t>
      </w:r>
    </w:p>
    <w:p>
      <w:pPr>
        <w:keepNext/>
        <w:widowControl/>
      </w:pPr>
      <w:r>
        <w:rPr>
          <w:b/>
          <w:i w:val="0"/>
        </w:rPr>
        <w:t>See also.</w:t>
      </w:r>
    </w:p>
    <w:p>
      <w:pPr>
        <w:widowControl/>
      </w:pPr>
      <w:hyperlink w:anchor="worship-and-piety">
        <w:r>
          <w:rPr>
            <w:color w:val="000000"/>
          </w:rPr>
          <w:t xml:space="preserve">Worship and piety</w:t>
        </w:r>
      </w:hyperlink>
      <w:r>
        <w:rPr>
          <w:b w:val="0"/>
          <w:i w:val="0"/>
        </w:rPr>
        <w:t xml:space="preserve">; </w:t>
      </w:r>
      <w:hyperlink w:anchor="divinity-and-the-divine">
        <w:r>
          <w:rPr>
            <w:color w:val="000000"/>
          </w:rPr>
          <w:t xml:space="preserve">Divinity and the divine</w:t>
        </w:r>
      </w:hyperlink>
      <w:r>
        <w:rPr>
          <w:b w:val="0"/>
          <w:i w:val="0"/>
        </w:rPr>
        <w:t xml:space="preserve">; </w:t>
      </w:r>
      <w:hyperlink w:anchor="ascent">
        <w:r>
          <w:rPr>
            <w:color w:val="000000"/>
          </w:rPr>
          <w:t xml:space="preserve">Ascent</w:t>
        </w:r>
      </w:hyperlink>
      <w:r>
        <w:rPr>
          <w:b w:val="0"/>
          <w:i w:val="0"/>
        </w:rPr>
        <w:t xml:space="preserve">; </w:t>
      </w:r>
      <w:hyperlink w:anchor="light-and-illumination">
        <w:r>
          <w:rPr>
            <w:color w:val="000000"/>
          </w:rPr>
          <w:t xml:space="preserve">Light and illumination</w:t>
        </w:r>
      </w:hyperlink>
      <w:r>
        <w:rPr>
          <w:b w:val="0"/>
          <w:i w:val="0"/>
        </w:rPr>
        <w:t xml:space="preserve">; </w:t>
      </w:r>
      <w:hyperlink w:anchor="truth">
        <w:r>
          <w:rPr>
            <w:color w:val="000000"/>
          </w:rPr>
          <w:t xml:space="preserve">Truth</w:t>
        </w:r>
      </w:hyperlink>
    </w:p>
    <w:p>
      <w:bookmarkStart w:id="172" w:name="point-and-position"/>
      <w:pPr>
        <w:pStyle w:val="Heading2"/>
      </w:pPr>
      <w:r>
        <w:rPr>
          <w:b w:val="0"/>
          <w:i w:val="0"/>
        </w:rPr>
        <w:t>Point and position</w:t>
      </w:r>
      <w:bookmarkEnd w:id="172"/>
    </w:p>
    <w:p>
      <w:pPr>
        <w:keepNext/>
        <w:widowControl/>
      </w:pPr>
      <w:r>
        <w:rPr>
          <w:b/>
          <w:i w:val="0"/>
        </w:rPr>
        <w:t>Latin:</w:t>
      </w:r>
      <w:r>
        <w:rPr>
          <w:b w:val="0"/>
          <w:i w:val="0"/>
        </w:rPr>
        <w:t xml:space="preserve"> </w:t>
      </w:r>
      <w:r>
        <w:rPr>
          <w:b w:val="0"/>
          <w:i/>
        </w:rPr>
        <w:t>punctum; situs; affixus; centrum; circumferentia; tangere; adstare</w:t>
      </w:r>
    </w:p>
    <w:p>
      <w:pPr>
        <w:keepNext/>
        <w:widowControl/>
      </w:pPr>
      <w:r>
        <w:rPr>
          <w:b/>
          <w:i w:val="0"/>
        </w:rPr>
        <w:t>The word.</w:t>
      </w:r>
    </w:p>
    <w:p>
      <w:pPr>
        <w:widowControl/>
      </w:pPr>
      <w:r>
        <w:rPr>
          <w:b w:val="0"/>
          <w:i w:val="0"/>
        </w:rPr>
        <w:t>Punctum is a point; situs its position or placement. Affixus means fixed to something. Centrum and circumferentia distinguish center and circumference. Tangere is touching; adstare standing present. Indivisibility alone does not remove position.</w:t>
      </w:r>
    </w:p>
    <w:p>
      <w:pPr>
        <w:keepNext/>
        <w:widowControl/>
      </w:pPr>
      <w:r>
        <w:rPr>
          <w:b/>
          <w:i w:val="0"/>
        </w:rPr>
        <w:t>In the Platonic Theology.</w:t>
      </w:r>
    </w:p>
    <w:p>
      <w:pPr>
        <w:widowControl/>
      </w:pPr>
      <w:r>
        <w:rPr>
          <w:b w:val="0"/>
          <w:i w:val="0"/>
        </w:rPr>
        <w:t xml:space="preserve">Ficino first rejects soul’s touching only one bodily point: that would leave the rest lifeless. He then rejects its partition like whiteness in flesh. A point offers a useful but limited analogy: though indivisible, a point on a line is fixed to quantitative position and cannot be present everywhere. A center stands differently to the radial lines and surveys the circle equally, so it better illustrates one source’s relation to many parts. Still, soul is only </w:t>
      </w:r>
      <w:r>
        <w:t>“</w:t>
      </w:r>
      <w:r>
        <w:rPr>
          <w:b w:val="0"/>
          <w:i w:val="0"/>
        </w:rPr>
        <w:t>like</w:t>
      </w:r>
      <w:r>
        <w:t>”</w:t>
      </w:r>
      <w:r>
        <w:rPr>
          <w:b w:val="0"/>
          <w:i w:val="0"/>
        </w:rPr>
        <w:t xml:space="preserve"> a point living in itself and wholly released from quantity and position. The qualifications do the work. Soul is not a tiny spatial center hidden in the body. Its whole presence is attributed to indivisible power rather than breadth, and its supposed independence of position exceeds literal geometry.</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III.2.9 (Latin PDF p. 268; English PDF p. 269).</w:t>
      </w:r>
      <w:r>
        <w:rPr>
          <w:b w:val="0"/>
          <w:i w:val="0"/>
        </w:rPr>
        <w:t xml:space="preserve"> Single-point contact is rejected as inadequate to bodily animation.</w:t>
      </w:r>
    </w:p>
    <w:p>
      <w:pPr>
        <w:ind w:left="187" w:hanging="187"/>
      </w:pPr>
      <w:r>
        <w:t xml:space="preserve">• </w:t>
      </w:r>
      <w:r>
        <w:rPr>
          <w:b/>
          <w:i w:val="0"/>
        </w:rPr>
        <w:t>III.2.12 (Latin PDF p. 268; English PDF p. 269).</w:t>
      </w:r>
      <w:r>
        <w:rPr>
          <w:b w:val="0"/>
          <w:i w:val="0"/>
        </w:rPr>
        <w:t xml:space="preserve"> Power rather than quantitative breadth explains whole presence.</w:t>
      </w:r>
    </w:p>
    <w:p>
      <w:pPr>
        <w:ind w:left="187" w:hanging="187"/>
      </w:pPr>
      <w:r>
        <w:t xml:space="preserve">• </w:t>
      </w:r>
      <w:r>
        <w:rPr>
          <w:b/>
          <w:i w:val="0"/>
        </w:rPr>
        <w:t>III.2.15 (Latin PDF p. 270; English PDF p. 271).</w:t>
      </w:r>
      <w:r>
        <w:rPr>
          <w:b w:val="0"/>
          <w:i w:val="0"/>
        </w:rPr>
        <w:t xml:space="preserve"> The center differs from points assigned to particular lines or the circumference.</w:t>
      </w:r>
    </w:p>
    <w:p>
      <w:pPr>
        <w:ind w:left="187" w:hanging="187"/>
      </w:pPr>
      <w:r>
        <w:t xml:space="preserve">• </w:t>
      </w:r>
      <w:r>
        <w:rPr>
          <w:b/>
          <w:i w:val="0"/>
        </w:rPr>
        <w:t>III.2.18 (Latin PDF p. 272; English PDF p. 273).</w:t>
      </w:r>
      <w:r>
        <w:rPr>
          <w:b w:val="0"/>
          <w:i w:val="0"/>
        </w:rPr>
        <w:t xml:space="preserve"> Instar marks the living, position-free point as an analogy.</w:t>
      </w:r>
    </w:p>
    <w:p>
      <w:pPr>
        <w:keepNext/>
        <w:widowControl/>
      </w:pPr>
      <w:r>
        <w:rPr>
          <w:b/>
          <w:i w:val="0"/>
        </w:rPr>
        <w:t>In this edition.</w:t>
      </w:r>
    </w:p>
    <w:p>
      <w:pPr>
        <w:widowControl/>
      </w:pPr>
      <w:r>
        <w:rPr>
          <w:b w:val="0"/>
          <w:i w:val="0"/>
        </w:rPr>
        <w:t xml:space="preserve">The translation’s </w:t>
      </w:r>
      <w:r>
        <w:t>“</w:t>
      </w:r>
      <w:r>
        <w:rPr>
          <w:b w:val="0"/>
          <w:i w:val="0"/>
        </w:rPr>
        <w:t>like a point</w:t>
      </w:r>
      <w:r>
        <w:t>”</w:t>
      </w:r>
      <w:r>
        <w:rPr>
          <w:b w:val="0"/>
          <w:i w:val="0"/>
        </w:rPr>
        <w:t xml:space="preserve"> must retain instar. </w:t>
      </w:r>
      <w:r>
        <w:t>“</w:t>
      </w:r>
      <w:r>
        <w:rPr>
          <w:b w:val="0"/>
          <w:i w:val="0"/>
        </w:rPr>
        <w:t>Point</w:t>
      </w:r>
      <w:r>
        <w:t>”</w:t>
      </w:r>
      <w:r>
        <w:rPr>
          <w:b w:val="0"/>
          <w:i w:val="0"/>
        </w:rPr>
        <w:t xml:space="preserve"> and </w:t>
      </w:r>
      <w:r>
        <w:t>“</w:t>
      </w:r>
      <w:r>
        <w:rPr>
          <w:b w:val="0"/>
          <w:i w:val="0"/>
        </w:rPr>
        <w:t>position</w:t>
      </w:r>
      <w:r>
        <w:t>”</w:t>
      </w:r>
      <w:r>
        <w:rPr>
          <w:b w:val="0"/>
          <w:i w:val="0"/>
        </w:rPr>
        <w:t xml:space="preserve"> cannot be treated as synonyms: the argument expressly separates lack of parts from freedom from place.</w:t>
      </w:r>
    </w:p>
    <w:p>
      <w:pPr>
        <w:keepNext/>
        <w:widowControl/>
      </w:pPr>
      <w:r>
        <w:rPr>
          <w:b/>
          <w:i w:val="0"/>
        </w:rPr>
        <w:t>See also.</w:t>
      </w:r>
    </w:p>
    <w:p>
      <w:pPr>
        <w:widowControl/>
      </w:pPr>
      <w:hyperlink w:anchor="indivisibility">
        <w:r>
          <w:rPr>
            <w:color w:val="000000"/>
          </w:rPr>
          <w:t xml:space="preserve">Indivisibility</w:t>
        </w:r>
      </w:hyperlink>
      <w:r>
        <w:rPr>
          <w:b w:val="0"/>
          <w:i w:val="0"/>
        </w:rPr>
        <w:t xml:space="preserve">; </w:t>
      </w:r>
      <w:hyperlink w:anchor="quantity-and-dimension">
        <w:r>
          <w:rPr>
            <w:color w:val="000000"/>
          </w:rPr>
          <w:t xml:space="preserve">Quantity and dimension</w:t>
        </w:r>
      </w:hyperlink>
      <w:r>
        <w:rPr>
          <w:b w:val="0"/>
          <w:i w:val="0"/>
        </w:rPr>
        <w:t xml:space="preserve">; </w:t>
      </w:r>
      <w:hyperlink w:anchor="indwelling-and-presence">
        <w:r>
          <w:rPr>
            <w:color w:val="000000"/>
          </w:rPr>
          <w:t xml:space="preserve">Indwelling and presence</w:t>
        </w:r>
      </w:hyperlink>
      <w:r>
        <w:rPr>
          <w:b w:val="0"/>
          <w:i w:val="0"/>
        </w:rPr>
        <w:t xml:space="preserve">; </w:t>
      </w:r>
      <w:hyperlink w:anchor="hinge-and-center">
        <w:r>
          <w:rPr>
            <w:color w:val="000000"/>
          </w:rPr>
          <w:t xml:space="preserve">Hinge and center</w:t>
        </w:r>
      </w:hyperlink>
      <w:r>
        <w:rPr>
          <w:b w:val="0"/>
          <w:i w:val="0"/>
        </w:rPr>
        <w:t>.</w:t>
      </w:r>
    </w:p>
    <w:p>
      <w:bookmarkStart w:id="173" w:name="point-position-and-mathematical-ascent"/>
      <w:pPr>
        <w:pStyle w:val="Heading2"/>
      </w:pPr>
      <w:r>
        <w:rPr>
          <w:b w:val="0"/>
          <w:i w:val="0"/>
        </w:rPr>
        <w:t>Point, position and mathematical ascent</w:t>
      </w:r>
      <w:bookmarkEnd w:id="173"/>
    </w:p>
    <w:p>
      <w:pPr>
        <w:keepNext/>
        <w:widowControl/>
      </w:pPr>
      <w:r>
        <w:rPr>
          <w:b/>
          <w:i w:val="0"/>
        </w:rPr>
        <w:t>Latin:</w:t>
      </w:r>
      <w:r>
        <w:rPr>
          <w:b w:val="0"/>
          <w:i w:val="0"/>
        </w:rPr>
        <w:t xml:space="preserve"> </w:t>
      </w:r>
      <w:r>
        <w:rPr>
          <w:b w:val="0"/>
          <w:i/>
        </w:rPr>
        <w:t>punctum</w:t>
      </w:r>
      <w:r>
        <w:rPr>
          <w:b w:val="0"/>
          <w:i w:val="0"/>
        </w:rPr>
        <w:t xml:space="preserve">; </w:t>
      </w:r>
      <w:r>
        <w:rPr>
          <w:b w:val="0"/>
          <w:i/>
        </w:rPr>
        <w:t>signum</w:t>
      </w:r>
      <w:r>
        <w:rPr>
          <w:b w:val="0"/>
          <w:i w:val="0"/>
        </w:rPr>
        <w:t xml:space="preserve">; </w:t>
      </w:r>
      <w:r>
        <w:rPr>
          <w:b w:val="0"/>
          <w:i/>
        </w:rPr>
        <w:t>situs</w:t>
      </w:r>
      <w:r>
        <w:rPr>
          <w:b w:val="0"/>
          <w:i w:val="0"/>
        </w:rPr>
        <w:t xml:space="preserve">; </w:t>
      </w:r>
      <w:r>
        <w:rPr>
          <w:b w:val="0"/>
          <w:i/>
        </w:rPr>
        <w:t>dimensiones</w:t>
      </w:r>
      <w:r>
        <w:rPr>
          <w:b w:val="0"/>
          <w:i w:val="0"/>
        </w:rPr>
        <w:t xml:space="preserve">; </w:t>
      </w:r>
      <w:r>
        <w:rPr>
          <w:b w:val="0"/>
          <w:i/>
        </w:rPr>
        <w:t>numeri</w:t>
      </w:r>
      <w:r>
        <w:rPr>
          <w:b w:val="0"/>
          <w:i w:val="0"/>
        </w:rPr>
        <w:t xml:space="preserve">; </w:t>
      </w:r>
      <w:r>
        <w:rPr>
          <w:b w:val="0"/>
          <w:i/>
        </w:rPr>
        <w:t>unitas</w:t>
      </w:r>
      <w:r>
        <w:rPr>
          <w:b w:val="0"/>
          <w:i w:val="0"/>
        </w:rPr>
        <w:t xml:space="preserve">; </w:t>
      </w:r>
      <w:r>
        <w:rPr>
          <w:b w:val="0"/>
          <w:i/>
        </w:rPr>
        <w:t>accidentalem</w:t>
      </w:r>
      <w:r>
        <w:rPr>
          <w:b w:val="0"/>
          <w:i w:val="0"/>
        </w:rPr>
        <w:t xml:space="preserve">; </w:t>
      </w:r>
      <w:r>
        <w:rPr>
          <w:b w:val="0"/>
          <w:i/>
        </w:rPr>
        <w:t>substantialem</w:t>
      </w:r>
      <w:r>
        <w:rPr>
          <w:b w:val="0"/>
          <w:i w:val="0"/>
        </w:rPr>
        <w:t>.</w:t>
      </w:r>
    </w:p>
    <w:p>
      <w:pPr>
        <w:keepNext/>
        <w:widowControl/>
      </w:pPr>
      <w:r>
        <w:rPr>
          <w:b/>
          <w:i w:val="0"/>
        </w:rPr>
        <w:t>The word.</w:t>
      </w:r>
    </w:p>
    <w:p>
      <w:pPr>
        <w:widowControl/>
      </w:pPr>
      <w:r>
        <w:rPr>
          <w:b w:val="0"/>
          <w:i/>
        </w:rPr>
        <w:t>Punctum</w:t>
      </w:r>
      <w:r>
        <w:rPr>
          <w:b w:val="0"/>
          <w:i w:val="0"/>
        </w:rPr>
        <w:t xml:space="preserve"> and, in the geometrical example, </w:t>
      </w:r>
      <w:r>
        <w:rPr>
          <w:b w:val="0"/>
          <w:i/>
        </w:rPr>
        <w:t>signum</w:t>
      </w:r>
      <w:r>
        <w:rPr>
          <w:b w:val="0"/>
          <w:i w:val="0"/>
        </w:rPr>
        <w:t xml:space="preserve"> name a point. </w:t>
      </w:r>
      <w:r>
        <w:rPr>
          <w:b w:val="0"/>
          <w:i/>
        </w:rPr>
        <w:t>Situs</w:t>
      </w:r>
      <w:r>
        <w:rPr>
          <w:b w:val="0"/>
          <w:i w:val="0"/>
        </w:rPr>
        <w:t xml:space="preserve"> is position or placement, not the mere possession of parts. </w:t>
      </w:r>
      <w:r>
        <w:rPr>
          <w:b w:val="0"/>
          <w:i/>
        </w:rPr>
        <w:t>Dimensio</w:t>
      </w:r>
      <w:r>
        <w:rPr>
          <w:b w:val="0"/>
          <w:i w:val="0"/>
        </w:rPr>
        <w:t xml:space="preserve"> concerns extension. Number, unity and substance enter successive comparisons; </w:t>
      </w:r>
      <w:r>
        <w:t>“</w:t>
      </w:r>
      <w:r>
        <w:rPr>
          <w:b w:val="0"/>
          <w:i w:val="0"/>
        </w:rPr>
        <w:t>indivisible</w:t>
      </w:r>
      <w:r>
        <w:t>”</w:t>
      </w:r>
      <w:r>
        <w:rPr>
          <w:b w:val="0"/>
          <w:i w:val="0"/>
        </w:rPr>
        <w:t xml:space="preserve"> does not mean the same thing as </w:t>
      </w:r>
      <w:r>
        <w:t>“</w:t>
      </w:r>
      <w:r>
        <w:rPr>
          <w:b w:val="0"/>
          <w:i w:val="0"/>
        </w:rPr>
        <w:t>without position</w:t>
      </w:r>
      <w:r>
        <w:t>”</w:t>
      </w:r>
      <w:r>
        <w:rPr>
          <w:b w:val="0"/>
          <w:i w:val="0"/>
        </w:rPr>
        <w:t xml:space="preserve"> or </w:t>
      </w:r>
      <w:r>
        <w:t>“</w:t>
      </w:r>
      <w:r>
        <w:rPr>
          <w:b w:val="0"/>
          <w:i w:val="0"/>
        </w:rPr>
        <w:t>substantial.</w:t>
      </w:r>
      <w:r>
        <w:t>”</w:t>
      </w:r>
    </w:p>
    <w:p>
      <w:pPr>
        <w:keepNext/>
        <w:widowControl/>
      </w:pPr>
      <w:r>
        <w:rPr>
          <w:b/>
          <w:i w:val="0"/>
        </w:rPr>
        <w:t>In the Platonic Theology.</w:t>
      </w:r>
    </w:p>
    <w:p>
      <w:pPr>
        <w:widowControl/>
      </w:pPr>
      <w:r>
        <w:rPr>
          <w:b w:val="0"/>
          <w:i w:val="0"/>
        </w:rPr>
        <w:t>Ficino makes the mind’s everyday ascent explicit. Natural forms require determinate matter, mathematical forms only indeterminate matter, and metaphysical forms neither. Dimensions need both parts and position; a point lacks parts but remains in some way related to position; numbers need parts but no position; unity needs neither. He then rises beyond indivisible accidental unity to substantial unity, the stable ground of changing accidents. The sequence prevents a reader from treating every nonextended object as already an independently subsisting soul. A second list compares the reductions of motion to an instant, natural form to a least degree, dimensions to a point and numbers to unity. Those examples support an argument for indivisible substance rather than establish that all these limiting items are one object.</w:t>
      </w:r>
    </w:p>
    <w:p>
      <w:pPr>
        <w:keepNext/>
        <w:widowControl/>
      </w:pPr>
      <w:r>
        <w:rPr>
          <w:b/>
          <w:i w:val="0"/>
        </w:rPr>
        <w:t>The places.</w:t>
      </w:r>
    </w:p>
    <w:p>
      <w:pPr>
        <w:ind w:left="187" w:hanging="187"/>
      </w:pPr>
      <w:r>
        <w:t xml:space="preserve">• </w:t>
      </w:r>
      <w:r>
        <w:rPr>
          <w:b/>
          <w:i w:val="0"/>
        </w:rPr>
        <w:t>I.3.12–13, PDF 36–37.</w:t>
      </w:r>
      <w:r>
        <w:rPr>
          <w:b w:val="0"/>
          <w:i w:val="0"/>
        </w:rPr>
        <w:t xml:space="preserve"> Position, parts and substantiality are successively distinguished</w:t>
      </w:r>
    </w:p>
    <w:p>
      <w:pPr>
        <w:ind w:left="187" w:hanging="187"/>
      </w:pPr>
      <w:r>
        <w:t xml:space="preserve">• </w:t>
      </w:r>
      <w:r>
        <w:rPr>
          <w:b/>
          <w:i w:val="0"/>
        </w:rPr>
        <w:t>I.3.14, PDF 38–39.</w:t>
      </w:r>
      <w:r>
        <w:rPr>
          <w:b w:val="0"/>
          <w:i w:val="0"/>
        </w:rPr>
        <w:t xml:space="preserve"> The point and centre join an analogical argument about each genus’s principle</w:t>
      </w:r>
    </w:p>
    <w:p>
      <w:pPr>
        <w:ind w:left="187" w:hanging="187"/>
      </w:pPr>
      <w:r>
        <w:t xml:space="preserve">• </w:t>
      </w:r>
      <w:r>
        <w:rPr>
          <w:b/>
          <w:i w:val="0"/>
        </w:rPr>
        <w:t>I.5.24, PDF 76–77.</w:t>
      </w:r>
      <w:r>
        <w:rPr>
          <w:b w:val="0"/>
          <w:i w:val="0"/>
        </w:rPr>
        <w:t xml:space="preserve"> Mental extension of numerical and geometrical possibilities supports a further claim about intelligible abundance</w:t>
      </w:r>
    </w:p>
    <w:p>
      <w:pPr>
        <w:keepNext/>
        <w:widowControl/>
      </w:pPr>
      <w:r>
        <w:rPr>
          <w:b/>
          <w:i w:val="0"/>
        </w:rPr>
        <w:t>In this edition.</w:t>
      </w:r>
    </w:p>
    <w:p>
      <w:pPr>
        <w:widowControl/>
      </w:pPr>
      <w:r>
        <w:t>“</w:t>
      </w:r>
      <w:r>
        <w:rPr>
          <w:b w:val="0"/>
          <w:i w:val="0"/>
        </w:rPr>
        <w:t>Point</w:t>
      </w:r>
      <w:r>
        <w:t>”</w:t>
      </w:r>
      <w:r>
        <w:rPr>
          <w:b w:val="0"/>
          <w:i w:val="0"/>
        </w:rPr>
        <w:t xml:space="preserve"> translates both </w:t>
      </w:r>
      <w:r>
        <w:rPr>
          <w:b w:val="0"/>
          <w:i/>
        </w:rPr>
        <w:t>punctum</w:t>
      </w:r>
      <w:r>
        <w:rPr>
          <w:b w:val="0"/>
          <w:i w:val="0"/>
        </w:rPr>
        <w:t xml:space="preserve"> and geometrical </w:t>
      </w:r>
      <w:r>
        <w:rPr>
          <w:b w:val="0"/>
          <w:i/>
        </w:rPr>
        <w:t>signum</w:t>
      </w:r>
      <w:r>
        <w:rPr>
          <w:b w:val="0"/>
          <w:i w:val="0"/>
        </w:rPr>
        <w:t xml:space="preserve">. </w:t>
      </w:r>
      <w:r>
        <w:t>“</w:t>
      </w:r>
      <w:r>
        <w:rPr>
          <w:b w:val="0"/>
          <w:i w:val="0"/>
        </w:rPr>
        <w:t>Free</w:t>
      </w:r>
      <w:r>
        <w:t>”</w:t>
      </w:r>
      <w:r>
        <w:rPr>
          <w:b w:val="0"/>
          <w:i w:val="0"/>
        </w:rPr>
        <w:t xml:space="preserve"> for </w:t>
      </w:r>
      <w:r>
        <w:rPr>
          <w:b w:val="0"/>
          <w:i/>
        </w:rPr>
        <w:t>absolutas</w:t>
      </w:r>
      <w:r>
        <w:rPr>
          <w:b w:val="0"/>
          <w:i w:val="0"/>
        </w:rPr>
        <w:t xml:space="preserve"> in I.3.12 concerns release from particular constraints. It does not yet imply that every universal imagined by a human is a separately existing substance.</w:t>
      </w:r>
    </w:p>
    <w:p>
      <w:pPr>
        <w:keepNext/>
        <w:widowControl/>
      </w:pPr>
      <w:r>
        <w:rPr>
          <w:b/>
          <w:i w:val="0"/>
        </w:rPr>
        <w:t>See also.</w:t>
      </w:r>
    </w:p>
    <w:p>
      <w:pPr>
        <w:widowControl/>
      </w:pPr>
      <w:hyperlink w:anchor="number">
        <w:r>
          <w:rPr>
            <w:color w:val="000000"/>
          </w:rPr>
          <w:t xml:space="preserve">Number</w:t>
        </w:r>
      </w:hyperlink>
      <w:r>
        <w:rPr>
          <w:b w:val="0"/>
          <w:i w:val="0"/>
        </w:rPr>
        <w:t xml:space="preserve">; </w:t>
      </w:r>
      <w:hyperlink w:anchor="substance-and-accident">
        <w:r>
          <w:rPr>
            <w:color w:val="000000"/>
          </w:rPr>
          <w:t xml:space="preserve">Substance and accident</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least-natural-degree">
        <w:r>
          <w:rPr>
            <w:color w:val="000000"/>
          </w:rPr>
          <w:t xml:space="preserve">Least natural degree</w:t>
        </w:r>
      </w:hyperlink>
      <w:r>
        <w:rPr>
          <w:b w:val="0"/>
          <w:i w:val="0"/>
        </w:rPr>
        <w:t>.</w:t>
      </w:r>
    </w:p>
    <w:p>
      <w:bookmarkStart w:id="174" w:name="possession-and-privation"/>
      <w:pPr>
        <w:pStyle w:val="Heading2"/>
      </w:pPr>
      <w:r>
        <w:rPr>
          <w:b w:val="0"/>
          <w:i w:val="0"/>
        </w:rPr>
        <w:t>Possession and privation</w:t>
      </w:r>
      <w:bookmarkEnd w:id="174"/>
    </w:p>
    <w:p>
      <w:pPr>
        <w:keepNext/>
        <w:widowControl/>
      </w:pPr>
      <w:r>
        <w:rPr>
          <w:b/>
          <w:i w:val="0"/>
        </w:rPr>
        <w:t>Latin:</w:t>
      </w:r>
      <w:r>
        <w:rPr>
          <w:b w:val="0"/>
          <w:i w:val="0"/>
        </w:rPr>
        <w:t xml:space="preserve"> </w:t>
      </w:r>
      <w:r>
        <w:rPr>
          <w:b w:val="0"/>
          <w:i/>
        </w:rPr>
        <w:t>habitus; privatio; defectus; carere; expers</w:t>
      </w:r>
    </w:p>
    <w:p>
      <w:pPr>
        <w:keepNext/>
        <w:widowControl/>
      </w:pPr>
      <w:r>
        <w:rPr>
          <w:b/>
          <w:i w:val="0"/>
        </w:rPr>
        <w:t>The word.</w:t>
      </w:r>
    </w:p>
    <w:p>
      <w:pPr>
        <w:widowControl/>
      </w:pPr>
      <w:r>
        <w:rPr>
          <w:b w:val="0"/>
          <w:i w:val="0"/>
        </w:rPr>
        <w:t>Habitus may mean possession or a state; privatio a lack of what is opposed to such possession. Defectus is a deficiency. Carere and expers indicate lacking or being without. None of these expressions has one invariant psychological sense.</w:t>
      </w:r>
    </w:p>
    <w:p>
      <w:pPr>
        <w:keepNext/>
        <w:widowControl/>
      </w:pPr>
      <w:r>
        <w:rPr>
          <w:b/>
          <w:i w:val="0"/>
        </w:rPr>
        <w:t>In the Platonic Theology.</w:t>
      </w:r>
    </w:p>
    <w:p>
      <w:pPr>
        <w:widowControl/>
      </w:pPr>
      <w:r>
        <w:rPr>
          <w:b w:val="0"/>
          <w:i w:val="0"/>
        </w:rPr>
        <w:t>In the Ideas discussion, evil and privation are known through the idea of good and possession. The point concerns indirect intelligibility: knowing a positive determination can make its lack known, without requiring a separately productive idea of every defect. In the necessity argument, chance is called a privation or failure of reason. In the argument against divine change, past and future involve what no longer is and what is not yet; these are treated as privation incompatible with pure act. By contrast, a sphere departing from its present habitus leaves its present state or position, not a learned habit. The distinct sense of acting habitu in a perfected craft belongs to acquired skill. Keeping these uses apart prevents the general word habitus from importing the whole theory of settled ability into every occurrence.</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II.11.19 (Latin PDF p. 192; English PDF p. 193).</w:t>
      </w:r>
      <w:r>
        <w:rPr>
          <w:b w:val="0"/>
          <w:i w:val="0"/>
        </w:rPr>
        <w:t xml:space="preserve"> Good and possession provide intelligibility for evil and privation.</w:t>
      </w:r>
    </w:p>
    <w:p>
      <w:pPr>
        <w:ind w:left="187" w:hanging="187"/>
      </w:pPr>
      <w:r>
        <w:t xml:space="preserve">• </w:t>
      </w:r>
      <w:r>
        <w:rPr>
          <w:b/>
          <w:i w:val="0"/>
        </w:rPr>
        <w:t>II.12.2 (Latin PDF p. 202; English PDF p. 203).</w:t>
      </w:r>
      <w:r>
        <w:rPr>
          <w:b w:val="0"/>
          <w:i w:val="0"/>
        </w:rPr>
        <w:t xml:space="preserve"> Fortune is described as reason’s privation or defect.</w:t>
      </w:r>
    </w:p>
    <w:p>
      <w:pPr>
        <w:ind w:left="187" w:hanging="187"/>
      </w:pPr>
      <w:r>
        <w:t xml:space="preserve">• </w:t>
      </w:r>
      <w:r>
        <w:rPr>
          <w:b/>
          <w:i w:val="0"/>
        </w:rPr>
        <w:t>II.13.8 (Latin PDF p. 220; English PDF p. 221).</w:t>
      </w:r>
      <w:r>
        <w:rPr>
          <w:b w:val="0"/>
          <w:i w:val="0"/>
        </w:rPr>
        <w:t xml:space="preserve"> Habitus means the sphere’s current state.</w:t>
      </w:r>
    </w:p>
    <w:p>
      <w:pPr>
        <w:ind w:left="187" w:hanging="187"/>
      </w:pPr>
      <w:r>
        <w:t xml:space="preserve">• </w:t>
      </w:r>
      <w:r>
        <w:rPr>
          <w:b/>
          <w:i w:val="0"/>
        </w:rPr>
        <w:t>III.1.7 (Latin PDF p. 242; English PDF p. 243).</w:t>
      </w:r>
      <w:r>
        <w:rPr>
          <w:b w:val="0"/>
          <w:i w:val="0"/>
        </w:rPr>
        <w:t xml:space="preserve"> Temporal change is analyzed through not-yet and no-longer being.</w:t>
      </w:r>
    </w:p>
    <w:p>
      <w:pPr>
        <w:keepNext/>
        <w:widowControl/>
      </w:pPr>
      <w:r>
        <w:rPr>
          <w:b/>
          <w:i w:val="0"/>
        </w:rPr>
        <w:t>In this edition.</w:t>
      </w:r>
    </w:p>
    <w:p>
      <w:pPr>
        <w:widowControl/>
      </w:pPr>
      <w:r>
        <w:rPr>
          <w:b w:val="0"/>
          <w:i w:val="0"/>
        </w:rPr>
        <w:t xml:space="preserve">The translation distinguishes </w:t>
      </w:r>
      <w:r>
        <w:t>“</w:t>
      </w:r>
      <w:r>
        <w:rPr>
          <w:b w:val="0"/>
          <w:i w:val="0"/>
        </w:rPr>
        <w:t>possession,</w:t>
      </w:r>
      <w:r>
        <w:t>”</w:t>
      </w:r>
      <w:r>
        <w:rPr>
          <w:b w:val="0"/>
          <w:i w:val="0"/>
        </w:rPr>
        <w:t xml:space="preserve"> </w:t>
      </w:r>
      <w:r>
        <w:t>“</w:t>
      </w:r>
      <w:r>
        <w:rPr>
          <w:b w:val="0"/>
          <w:i w:val="0"/>
        </w:rPr>
        <w:t>state,</w:t>
      </w:r>
      <w:r>
        <w:t>”</w:t>
      </w:r>
      <w:r>
        <w:rPr>
          <w:b w:val="0"/>
          <w:i w:val="0"/>
        </w:rPr>
        <w:t xml:space="preserve"> and </w:t>
      </w:r>
      <w:r>
        <w:t>“</w:t>
      </w:r>
      <w:r>
        <w:rPr>
          <w:b w:val="0"/>
          <w:i w:val="0"/>
        </w:rPr>
        <w:t>settled skill</w:t>
      </w:r>
      <w:r>
        <w:t>”</w:t>
      </w:r>
      <w:r>
        <w:rPr>
          <w:b w:val="0"/>
          <w:i w:val="0"/>
        </w:rPr>
        <w:t xml:space="preserve"> for habitus in these contexts. They should remain distinct register senses even though they share a Latin family. Expers is also used of being without sensation or contradiction’s exclusion; it does not invariably imply a culpable deprivation.</w:t>
      </w:r>
    </w:p>
    <w:p>
      <w:pPr>
        <w:keepNext/>
        <w:widowControl/>
      </w:pPr>
      <w:r>
        <w:rPr>
          <w:b/>
          <w:i w:val="0"/>
        </w:rPr>
        <w:t>See also.</w:t>
      </w:r>
    </w:p>
    <w:p>
      <w:pPr>
        <w:widowControl/>
      </w:pPr>
      <w:hyperlink w:anchor="habitual-possession">
        <w:r>
          <w:rPr>
            <w:color w:val="000000"/>
          </w:rPr>
          <w:t xml:space="preserve">Habitual possession</w:t>
        </w:r>
      </w:hyperlink>
      <w:r>
        <w:rPr>
          <w:b w:val="0"/>
          <w:i w:val="0"/>
        </w:rPr>
        <w:t xml:space="preserve">; </w:t>
      </w:r>
      <w:hyperlink w:anchor="nothing-and-nonbeing">
        <w:r>
          <w:rPr>
            <w:color w:val="000000"/>
          </w:rPr>
          <w:t xml:space="preserve">Nothing and nonbeing</w:t>
        </w:r>
      </w:hyperlink>
      <w:r>
        <w:rPr>
          <w:b w:val="0"/>
          <w:i w:val="0"/>
        </w:rPr>
        <w:t xml:space="preserve">; </w:t>
      </w:r>
      <w:hyperlink w:anchor="chance">
        <w:r>
          <w:rPr>
            <w:color w:val="000000"/>
          </w:rPr>
          <w:t xml:space="preserve">Chance</w:t>
        </w:r>
      </w:hyperlink>
      <w:r>
        <w:rPr>
          <w:b w:val="0"/>
          <w:i w:val="0"/>
        </w:rPr>
        <w:t xml:space="preserve">; </w:t>
      </w:r>
      <w:hyperlink w:anchor="counsel-and-settled-skill">
        <w:r>
          <w:rPr>
            <w:color w:val="000000"/>
          </w:rPr>
          <w:t xml:space="preserve">Counsel and settled skill</w:t>
        </w:r>
      </w:hyperlink>
      <w:r>
        <w:rPr>
          <w:b w:val="0"/>
          <w:i w:val="0"/>
        </w:rPr>
        <w:t>.</w:t>
      </w:r>
    </w:p>
    <w:p>
      <w:bookmarkStart w:id="175" w:name="power-and-potency"/>
      <w:pPr>
        <w:pStyle w:val="Heading2"/>
      </w:pPr>
      <w:r>
        <w:rPr>
          <w:b w:val="0"/>
          <w:i w:val="0"/>
        </w:rPr>
        <w:t>Power and potency</w:t>
      </w:r>
      <w:bookmarkEnd w:id="175"/>
    </w:p>
    <w:p>
      <w:pPr>
        <w:keepNext/>
        <w:widowControl/>
      </w:pPr>
      <w:r>
        <w:rPr>
          <w:b/>
          <w:i w:val="0"/>
        </w:rPr>
        <w:t>Latin:</w:t>
      </w:r>
      <w:r>
        <w:rPr>
          <w:b w:val="0"/>
          <w:i w:val="0"/>
        </w:rPr>
        <w:t xml:space="preserve"> </w:t>
      </w:r>
      <w:r>
        <w:rPr>
          <w:b w:val="0"/>
          <w:i/>
        </w:rPr>
        <w:t>virtus</w:t>
      </w:r>
      <w:r>
        <w:rPr>
          <w:b w:val="0"/>
          <w:i w:val="0"/>
        </w:rPr>
        <w:t xml:space="preserve">, </w:t>
      </w:r>
      <w:r>
        <w:rPr>
          <w:b w:val="0"/>
          <w:i/>
        </w:rPr>
        <w:t>vis</w:t>
      </w:r>
      <w:r>
        <w:rPr>
          <w:b w:val="0"/>
          <w:i w:val="0"/>
        </w:rPr>
        <w:t xml:space="preserve">, </w:t>
      </w:r>
      <w:r>
        <w:rPr>
          <w:b w:val="0"/>
          <w:i/>
        </w:rPr>
        <w:t>vires</w:t>
      </w:r>
      <w:r>
        <w:rPr>
          <w:b w:val="0"/>
          <w:i w:val="0"/>
        </w:rPr>
        <w:t xml:space="preserve">, </w:t>
      </w:r>
      <w:r>
        <w:rPr>
          <w:b w:val="0"/>
          <w:i/>
        </w:rPr>
        <w:t>potentia</w:t>
      </w:r>
      <w:r>
        <w:rPr>
          <w:b w:val="0"/>
          <w:i w:val="0"/>
        </w:rPr>
        <w:t xml:space="preserve">, </w:t>
      </w:r>
      <w:r>
        <w:rPr>
          <w:b w:val="0"/>
          <w:i/>
        </w:rPr>
        <w:t>potestas</w:t>
      </w:r>
      <w:r>
        <w:rPr>
          <w:b w:val="0"/>
          <w:i w:val="0"/>
        </w:rPr>
        <w:t xml:space="preserve">, </w:t>
      </w:r>
      <w:r>
        <w:rPr>
          <w:b w:val="0"/>
          <w:i/>
        </w:rPr>
        <w:t>facultas</w:t>
      </w:r>
      <w:r>
        <w:rPr>
          <w:b w:val="0"/>
          <w:i w:val="0"/>
        </w:rPr>
        <w:t xml:space="preserve">, </w:t>
      </w:r>
      <w:r>
        <w:rPr>
          <w:b w:val="0"/>
          <w:i/>
        </w:rPr>
        <w:t>efficacia</w:t>
      </w:r>
      <w:r>
        <w:rPr>
          <w:b w:val="0"/>
          <w:i w:val="0"/>
        </w:rPr>
        <w:t xml:space="preserve">; </w:t>
      </w:r>
      <w:r>
        <w:rPr>
          <w:b w:val="0"/>
          <w:i/>
        </w:rPr>
        <w:t>virtus naturalis</w:t>
      </w:r>
      <w:r>
        <w:rPr>
          <w:b w:val="0"/>
          <w:i w:val="0"/>
        </w:rPr>
        <w:t xml:space="preserve">, </w:t>
      </w:r>
      <w:r>
        <w:rPr>
          <w:b w:val="0"/>
          <w:i/>
        </w:rPr>
        <w:t>virtus acquisita</w:t>
      </w:r>
      <w:r>
        <w:rPr>
          <w:b w:val="0"/>
          <w:i w:val="0"/>
        </w:rPr>
        <w:t xml:space="preserve">, </w:t>
      </w:r>
      <w:r>
        <w:rPr>
          <w:b w:val="0"/>
          <w:i/>
        </w:rPr>
        <w:t>habitus</w:t>
      </w:r>
      <w:r>
        <w:rPr>
          <w:b w:val="0"/>
          <w:i w:val="0"/>
        </w:rPr>
        <w:t xml:space="preserve">; </w:t>
      </w:r>
      <w:r>
        <w:rPr>
          <w:b w:val="0"/>
          <w:i/>
        </w:rPr>
        <w:t>potentia passiva</w:t>
      </w:r>
      <w:r>
        <w:rPr>
          <w:b w:val="0"/>
          <w:i w:val="0"/>
        </w:rPr>
        <w:t xml:space="preserve">; </w:t>
      </w:r>
      <w:r>
        <w:rPr>
          <w:b w:val="0"/>
          <w:i/>
        </w:rPr>
        <w:t>fascinandos</w:t>
      </w:r>
      <w:r>
        <w:rPr>
          <w:b w:val="0"/>
          <w:i w:val="0"/>
        </w:rPr>
        <w:t xml:space="preserve">, </w:t>
      </w:r>
      <w:r>
        <w:rPr>
          <w:b w:val="0"/>
          <w:i/>
        </w:rPr>
        <w:t>roborandos</w:t>
      </w:r>
    </w:p>
    <w:p>
      <w:pPr>
        <w:keepNext/>
        <w:widowControl/>
      </w:pPr>
      <w:r>
        <w:rPr>
          <w:b/>
          <w:i w:val="0"/>
        </w:rPr>
        <w:t>The word.</w:t>
      </w:r>
    </w:p>
    <w:p>
      <w:pPr>
        <w:widowControl/>
      </w:pPr>
      <w:r>
        <w:rPr>
          <w:b w:val="0"/>
          <w:i w:val="0"/>
        </w:rPr>
        <w:t>Virtus and vis can mean operative efficacy rather than ethical virtue. Potentia may be active capacity, receptive potency, or possibility; potestas emphasizes power, facultas an ability, and efficacia effectiveness. Habitus can designate an attained disposition distinct from presently exercising it.</w:t>
      </w:r>
    </w:p>
    <w:p>
      <w:pPr>
        <w:keepNext/>
        <w:widowControl/>
      </w:pPr>
      <w:r>
        <w:rPr>
          <w:b/>
          <w:i w:val="0"/>
        </w:rPr>
        <w:t>In the Platonic Theology.</w:t>
      </w:r>
    </w:p>
    <w:p>
      <w:pPr>
        <w:widowControl/>
      </w:pPr>
      <w:r>
        <w:t>“</w:t>
      </w:r>
      <w:r>
        <w:rPr>
          <w:b w:val="0"/>
          <w:i w:val="0"/>
        </w:rPr>
        <w:t>Power</w:t>
      </w:r>
      <w:r>
        <w:t>”</w:t>
      </w:r>
      <w:r>
        <w:rPr>
          <w:b w:val="0"/>
          <w:i w:val="0"/>
        </w:rPr>
        <w:t xml:space="preserve"> translates several related Latin words. </w:t>
      </w:r>
      <w:r>
        <w:rPr>
          <w:b w:val="0"/>
          <w:i/>
        </w:rPr>
        <w:t>Virtus</w:t>
      </w:r>
      <w:r>
        <w:rPr>
          <w:b w:val="0"/>
          <w:i w:val="0"/>
        </w:rPr>
        <w:t xml:space="preserve"> frequently means efficacy or operative capacity rather than moral virtue; </w:t>
      </w:r>
      <w:r>
        <w:rPr>
          <w:b w:val="0"/>
          <w:i/>
        </w:rPr>
        <w:t>vis</w:t>
      </w:r>
      <w:r>
        <w:rPr>
          <w:b w:val="0"/>
          <w:i w:val="0"/>
        </w:rPr>
        <w:t xml:space="preserve"> likewise names force or capacity. </w:t>
      </w:r>
      <w:r>
        <w:rPr>
          <w:b w:val="0"/>
          <w:i/>
        </w:rPr>
        <w:t>Potentia</w:t>
      </w:r>
      <w:r>
        <w:rPr>
          <w:b w:val="0"/>
          <w:i w:val="0"/>
        </w:rPr>
        <w:t xml:space="preserve"> can name an active ability, a receptive capacity awaiting actualization, or a possibility of being. The immediate contrast determines its sense. In particular, passive potency is the capacity to undergo an actuality, as water can receive heat; what does not exist at all has no underlying receptivity of that kind. Creation without a prior subject therefore requires a different scope of power from altering an existing body.</w:t>
      </w:r>
    </w:p>
    <w:p>
      <w:pPr>
        <w:widowControl/>
      </w:pPr>
      <w:r>
        <w:rPr>
          <w:b w:val="0"/>
          <w:i w:val="0"/>
        </w:rPr>
        <w:t xml:space="preserve">Power also occupies the middle place in Ficino’s essence–power–operation analysis. Soul remains in essence while changing in activity because its power has both a persistent natural vigor and a changeable acquired aspect. Acquired power can pass between potency, present act, and </w:t>
      </w:r>
      <w:r>
        <w:rPr>
          <w:b w:val="0"/>
          <w:i/>
        </w:rPr>
        <w:t>habitus</w:t>
      </w:r>
      <w:r>
        <w:rPr>
          <w:b w:val="0"/>
          <w:i w:val="0"/>
        </w:rPr>
        <w:t>, an attained disposition rather than merely an everyday routine. The hierarchy consequently cannot be reduced to a binary contrast between having no ability and presently exercising it.</w:t>
      </w:r>
    </w:p>
    <w:p>
      <w:pPr>
        <w:widowControl/>
      </w:pPr>
      <w:r>
        <w:rPr>
          <w:b w:val="0"/>
          <w:i w:val="0"/>
        </w:rPr>
        <w:t>Union strengthens power and dispersion weakens it, supporting the argument against bodily bulk as a sufficient source of effective action. Supreme undivided power lacks limits imposed by a receptive subject or superior cause; divine power is therefore infinite. Incorporeal presence is also explained through power rather than dimensions. God’s self-knowledge includes the entire range of his productive ability, while the human intellect’s ability to exceed any finite numerical bound becomes evidence that its divine source cannot be narrower. These arguments distinguish active efficacy, passive receptivity, and potential infinity. Ficino’s earlier appeals to excellent unrealized capacities concern the fitting order he is defending; they do not turn every conceivable possibility into a necessary actual creature.</w:t>
      </w:r>
    </w:p>
    <w:p>
      <w:pPr>
        <w:widowControl/>
      </w:pPr>
      <w:r>
        <w:rPr>
          <w:b w:val="0"/>
          <w:i w:val="0"/>
        </w:rPr>
        <w:t xml:space="preserve">Book IV uses </w:t>
      </w:r>
      <w:r>
        <w:rPr>
          <w:b w:val="0"/>
          <w:i/>
        </w:rPr>
        <w:t>virtus</w:t>
      </w:r>
      <w:r>
        <w:rPr>
          <w:b w:val="0"/>
          <w:i w:val="0"/>
        </w:rPr>
        <w:t xml:space="preserve"> for the extraordinary capacities attributed to plants and stones. Ficino reports that hierobotanum aids physicians’ divination, attributing the claim to the Magi. Agate strengthens sight, blunts poison, and confers strength and fertility. A nearby diamond deprives a magnet of what it attracts. Carnelian checks blood flow and calms anger; onyx provokes anger and terror in dreams. Coral banishes mad terrors and repels lightning and hail, according to the testimony Ficino attributes to Metrodorus and Zoroaster. These are historical natural-philosophical claims, not remedies or verified physical effects. Their argumentative role is to make a mixed body’s extraordinary efficacy evidence of a higher animating nature. A consequential variant concerns agate: the edition follows </w:t>
      </w:r>
      <w:r>
        <w:rPr>
          <w:b w:val="0"/>
          <w:i/>
        </w:rPr>
        <w:t>fecundiam</w:t>
      </w:r>
      <w:r>
        <w:rPr>
          <w:b w:val="0"/>
          <w:i w:val="0"/>
        </w:rPr>
        <w:t xml:space="preserve">, fertility, where later witnesses read </w:t>
      </w:r>
      <w:r>
        <w:rPr>
          <w:b w:val="0"/>
          <w:i/>
        </w:rPr>
        <w:t>facundiam</w:t>
      </w:r>
      <w:r>
        <w:rPr>
          <w:b w:val="0"/>
          <w:i w:val="0"/>
        </w:rPr>
        <w:t>, eloquence. The readings attribute different powers.</w:t>
      </w:r>
    </w:p>
    <w:p>
      <w:pPr>
        <w:widowControl/>
      </w:pPr>
      <w:r>
        <w:rPr>
          <w:b w:val="0"/>
          <w:i w:val="0"/>
        </w:rPr>
        <w:t>The scope of possibility is clarified in II.12.15–18. God can produce whatever involves no contradiction, but many possible things never occur in the created order; Ficino mentions number, magnitude, and distances between stars. God makes some things he can make and leaves others unmade through free choice. The earlier arguments from excellent capacities within a fitting cosmic order therefore cannot be generalized into a requirement that every divine potency be actualized.</w:t>
      </w:r>
    </w:p>
    <w:p>
      <w:pPr>
        <w:keepNext/>
        <w:widowControl/>
      </w:pPr>
      <w:r>
        <w:rPr>
          <w:b/>
          <w:i w:val="0"/>
        </w:rPr>
        <w:t>The places.</w:t>
      </w:r>
    </w:p>
    <w:p>
      <w:pPr>
        <w:ind w:left="187" w:hanging="187"/>
      </w:pPr>
      <w:r>
        <w:t xml:space="preserve">• </w:t>
      </w:r>
      <w:r>
        <w:rPr>
          <w:b/>
          <w:i w:val="0"/>
        </w:rPr>
        <w:t>I.4.1–5</w:t>
      </w:r>
      <w:r>
        <w:rPr>
          <w:b w:val="0"/>
          <w:i w:val="0"/>
        </w:rPr>
        <w:t>. Essence, power, and operation differentiate persistent and acquired capacities.</w:t>
      </w:r>
    </w:p>
    <w:p>
      <w:pPr>
        <w:ind w:left="187" w:hanging="187"/>
      </w:pPr>
      <w:r>
        <w:t xml:space="preserve">• </w:t>
      </w:r>
      <w:r>
        <w:rPr>
          <w:b/>
          <w:i w:val="0"/>
        </w:rPr>
        <w:t>II.4.1–8</w:t>
      </w:r>
      <w:r>
        <w:rPr>
          <w:b w:val="0"/>
          <w:i w:val="0"/>
        </w:rPr>
        <w:t>. Unlimited effective power is contrasted with receptivity and externally imposed limits.</w:t>
      </w:r>
    </w:p>
    <w:p>
      <w:pPr>
        <w:ind w:left="187" w:hanging="187"/>
      </w:pPr>
      <w:r>
        <w:t xml:space="preserve">• </w:t>
      </w:r>
      <w:r>
        <w:rPr>
          <w:b/>
          <w:i w:val="0"/>
        </w:rPr>
        <w:t>II.12.16–18</w:t>
      </w:r>
      <w:r>
        <w:rPr>
          <w:b w:val="0"/>
          <w:i w:val="0"/>
        </w:rPr>
        <w:t>. Noncontradictory possibility exceeds what is actually made.</w:t>
      </w:r>
    </w:p>
    <w:p>
      <w:pPr>
        <w:ind w:left="187" w:hanging="187"/>
      </w:pPr>
      <w:r>
        <w:t xml:space="preserve">• </w:t>
      </w:r>
      <w:r>
        <w:rPr>
          <w:b/>
          <w:i w:val="0"/>
        </w:rPr>
        <w:t>IV.1.19–22</w:t>
      </w:r>
      <w:r>
        <w:rPr>
          <w:b w:val="0"/>
          <w:i w:val="0"/>
        </w:rPr>
        <w:t>. Reported plant and stone powers support an argument for animating causes.</w:t>
      </w:r>
    </w:p>
    <w:p>
      <w:pPr>
        <w:widowControl/>
      </w:pPr>
      <w:r>
        <w:rPr>
          <w:b/>
          <w:i w:val="0"/>
        </w:rPr>
        <w:t>Further passage references.</w:t>
      </w:r>
      <w:r>
        <w:rPr>
          <w:b w:val="0"/>
          <w:i w:val="0"/>
        </w:rPr>
        <w:t xml:space="preserve"> I.2.2–I.2.7 (PDF pp. 18–23); I.3.25 (pp. 46–47); I.4.1–I.4.5 (pp. 54–59); I.5.1, I.5.4, I.5.25 (pp. 60–63, 78–79); II.4.1–8, pp. 122–125; II.6.1, pp. 128–129; II.7.23–32, pp. 154–159; II.10.2–7, pp. 176–179; IV.1.19–IV.1.22, pp. 290–293; apparatus p. 389; II.12.15–18, pp. 210–213</w:t>
      </w:r>
    </w:p>
    <w:p>
      <w:pPr>
        <w:keepNext/>
        <w:widowControl/>
      </w:pPr>
      <w:r>
        <w:rPr>
          <w:b/>
          <w:i w:val="0"/>
        </w:rPr>
        <w:t>In this edition.</w:t>
      </w:r>
    </w:p>
    <w:p>
      <w:pPr>
        <w:widowControl/>
      </w:pPr>
      <w:r>
        <w:rPr>
          <w:b w:val="0"/>
          <w:i w:val="0"/>
        </w:rPr>
        <w:t xml:space="preserve">A single English </w:t>
      </w:r>
      <w:r>
        <w:t>“</w:t>
      </w:r>
      <w:r>
        <w:rPr>
          <w:b w:val="0"/>
          <w:i w:val="0"/>
        </w:rPr>
        <w:t>power</w:t>
      </w:r>
      <w:r>
        <w:t>”</w:t>
      </w:r>
      <w:r>
        <w:rPr>
          <w:b w:val="0"/>
          <w:i w:val="0"/>
        </w:rPr>
        <w:t xml:space="preserve"> must not erase the active–receptive distinction. The edition’s IV.1.20 agate note reports fecundiam, fertility, against facundiam, eloquence: these would attribute different powers. The extraordinary medicinal and natural effects remain Ficino’s historical claims. II.12.17 keeps effectrix distinct from machinatrix.</w:t>
      </w:r>
    </w:p>
    <w:p>
      <w:pPr>
        <w:keepNext/>
        <w:widowControl/>
      </w:pPr>
      <w:r>
        <w:rPr>
          <w:b/>
          <w:i w:val="0"/>
        </w:rPr>
        <w:t>See also.</w:t>
      </w:r>
    </w:p>
    <w:p>
      <w:pPr>
        <w:widowControl/>
      </w:pPr>
      <w:hyperlink w:anchor="act-and-operation">
        <w:r>
          <w:rPr>
            <w:color w:val="000000"/>
          </w:rPr>
          <w:t xml:space="preserve">Act and operation</w:t>
        </w:r>
      </w:hyperlink>
      <w:r>
        <w:rPr>
          <w:b w:val="0"/>
          <w:i w:val="0"/>
        </w:rPr>
        <w:t xml:space="preserve">; </w:t>
      </w:r>
      <w:hyperlink w:anchor="motion-and-stability">
        <w:r>
          <w:rPr>
            <w:color w:val="000000"/>
          </w:rPr>
          <w:t xml:space="preserve">Motion and stability</w:t>
        </w:r>
      </w:hyperlink>
      <w:r>
        <w:rPr>
          <w:b w:val="0"/>
          <w:i w:val="0"/>
        </w:rPr>
        <w:t xml:space="preserve">; </w:t>
      </w:r>
      <w:hyperlink w:anchor="perfection">
        <w:r>
          <w:rPr>
            <w:color w:val="000000"/>
          </w:rPr>
          <w:t xml:space="preserve">Perfection</w:t>
        </w:r>
      </w:hyperlink>
      <w:r>
        <w:rPr>
          <w:b w:val="0"/>
          <w:i w:val="0"/>
        </w:rPr>
        <w:t xml:space="preserve">; </w:t>
      </w:r>
      <w:hyperlink w:anchor="unity-and-multiplicity">
        <w:r>
          <w:rPr>
            <w:color w:val="000000"/>
          </w:rPr>
          <w:t xml:space="preserve">Unity and multiplicity</w:t>
        </w:r>
      </w:hyperlink>
      <w:r>
        <w:rPr>
          <w:b w:val="0"/>
          <w:i w:val="0"/>
        </w:rPr>
        <w:t xml:space="preserve">; </w:t>
      </w:r>
      <w:hyperlink w:anchor="infinity">
        <w:r>
          <w:rPr>
            <w:color w:val="000000"/>
          </w:rPr>
          <w:t xml:space="preserve">Infinity</w:t>
        </w:r>
      </w:hyperlink>
      <w:r>
        <w:rPr>
          <w:b w:val="0"/>
          <w:i w:val="0"/>
        </w:rPr>
        <w:t xml:space="preserve">; </w:t>
      </w:r>
      <w:hyperlink w:anchor="matter">
        <w:r>
          <w:rPr>
            <w:color w:val="000000"/>
          </w:rPr>
          <w:t xml:space="preserve">Matter</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instrument">
        <w:r>
          <w:rPr>
            <w:color w:val="000000"/>
          </w:rPr>
          <w:t xml:space="preserve">Instrument</w:t>
        </w:r>
      </w:hyperlink>
      <w:r>
        <w:rPr>
          <w:b w:val="0"/>
          <w:i w:val="0"/>
        </w:rPr>
        <w:t xml:space="preserve">; </w:t>
      </w:r>
      <w:hyperlink w:anchor="life">
        <w:r>
          <w:rPr>
            <w:color w:val="000000"/>
          </w:rPr>
          <w:t xml:space="preserve">Life</w:t>
        </w:r>
      </w:hyperlink>
      <w:r>
        <w:rPr>
          <w:b w:val="0"/>
          <w:i w:val="0"/>
        </w:rPr>
        <w:t xml:space="preserve">; </w:t>
      </w:r>
      <w:hyperlink w:anchor="purity-and-mixture">
        <w:r>
          <w:rPr>
            <w:color w:val="000000"/>
          </w:rPr>
          <w:t xml:space="preserve">Purity and mixture</w:t>
        </w:r>
      </w:hyperlink>
      <w:r>
        <w:rPr>
          <w:b w:val="0"/>
          <w:i w:val="0"/>
        </w:rPr>
        <w:t xml:space="preserve">; </w:t>
      </w:r>
      <w:hyperlink w:anchor="earth-soul">
        <w:r>
          <w:rPr>
            <w:color w:val="000000"/>
          </w:rPr>
          <w:t xml:space="preserve">Earth soul</w:t>
        </w:r>
      </w:hyperlink>
      <w:r>
        <w:rPr>
          <w:b w:val="0"/>
          <w:i w:val="0"/>
        </w:rPr>
        <w:t xml:space="preserve">; </w:t>
      </w:r>
      <w:hyperlink w:anchor="celestial-influence">
        <w:r>
          <w:rPr>
            <w:color w:val="000000"/>
          </w:rPr>
          <w:t xml:space="preserve">Celestial influence</w:t>
        </w:r>
      </w:hyperlink>
      <w:r>
        <w:rPr>
          <w:b w:val="0"/>
          <w:i w:val="0"/>
        </w:rPr>
        <w:t xml:space="preserve">; </w:t>
      </w:r>
      <w:hyperlink w:anchor="habitual-possession">
        <w:r>
          <w:rPr>
            <w:color w:val="000000"/>
          </w:rPr>
          <w:t xml:space="preserve">Habitual possession</w:t>
        </w:r>
      </w:hyperlink>
      <w:r>
        <w:rPr>
          <w:b w:val="0"/>
          <w:i w:val="0"/>
        </w:rPr>
        <w:t xml:space="preserve">; </w:t>
      </w:r>
      <w:hyperlink w:anchor="creation">
        <w:r>
          <w:rPr>
            <w:color w:val="000000"/>
          </w:rPr>
          <w:t xml:space="preserve">Creation</w:t>
        </w:r>
      </w:hyperlink>
      <w:r>
        <w:rPr>
          <w:b w:val="0"/>
          <w:i w:val="0"/>
        </w:rPr>
        <w:t xml:space="preserve">; </w:t>
      </w:r>
      <w:hyperlink w:anchor="freedom-and-necessity">
        <w:r>
          <w:rPr>
            <w:color w:val="000000"/>
          </w:rPr>
          <w:t xml:space="preserve">Freedom and necessity</w:t>
        </w:r>
      </w:hyperlink>
    </w:p>
    <w:p>
      <w:bookmarkStart w:id="176" w:name="precedence-and-causal-regress"/>
      <w:pPr>
        <w:pStyle w:val="Heading2"/>
      </w:pPr>
      <w:r>
        <w:rPr>
          <w:b w:val="0"/>
          <w:i w:val="0"/>
        </w:rPr>
        <w:t>Precedence and causal regress</w:t>
      </w:r>
      <w:bookmarkEnd w:id="176"/>
    </w:p>
    <w:p>
      <w:pPr>
        <w:keepNext/>
        <w:widowControl/>
      </w:pPr>
      <w:r>
        <w:rPr>
          <w:b/>
          <w:i w:val="0"/>
        </w:rPr>
        <w:t>Latin:</w:t>
      </w:r>
      <w:r>
        <w:rPr>
          <w:b w:val="0"/>
          <w:i w:val="0"/>
        </w:rPr>
        <w:t xml:space="preserve"> </w:t>
      </w:r>
      <w:r>
        <w:rPr>
          <w:b w:val="0"/>
          <w:i/>
        </w:rPr>
        <w:t>praecedat</w:t>
      </w:r>
      <w:r>
        <w:rPr>
          <w:b w:val="0"/>
          <w:i w:val="0"/>
        </w:rPr>
        <w:t xml:space="preserve">; </w:t>
      </w:r>
      <w:r>
        <w:rPr>
          <w:b w:val="0"/>
          <w:i/>
        </w:rPr>
        <w:t>antecedit</w:t>
      </w:r>
      <w:r>
        <w:rPr>
          <w:b w:val="0"/>
          <w:i w:val="0"/>
        </w:rPr>
        <w:t xml:space="preserve">; </w:t>
      </w:r>
      <w:r>
        <w:rPr>
          <w:b w:val="0"/>
          <w:i/>
        </w:rPr>
        <w:t>prius</w:t>
      </w:r>
      <w:r>
        <w:rPr>
          <w:b w:val="0"/>
          <w:i w:val="0"/>
        </w:rPr>
        <w:t xml:space="preserve">; </w:t>
      </w:r>
      <w:r>
        <w:rPr>
          <w:b w:val="0"/>
          <w:i/>
        </w:rPr>
        <w:t>posterius</w:t>
      </w:r>
      <w:r>
        <w:rPr>
          <w:b w:val="0"/>
          <w:i w:val="0"/>
        </w:rPr>
        <w:t xml:space="preserve">; </w:t>
      </w:r>
      <w:r>
        <w:rPr>
          <w:b w:val="0"/>
          <w:i/>
        </w:rPr>
        <w:t>in infinitum progrediemur</w:t>
      </w:r>
      <w:r>
        <w:rPr>
          <w:b w:val="0"/>
          <w:i w:val="0"/>
        </w:rPr>
        <w:t xml:space="preserve">; </w:t>
      </w:r>
      <w:r>
        <w:rPr>
          <w:b w:val="0"/>
          <w:i/>
        </w:rPr>
        <w:t>progressio</w:t>
      </w:r>
      <w:r>
        <w:rPr>
          <w:b w:val="0"/>
          <w:i w:val="0"/>
        </w:rPr>
        <w:t xml:space="preserve">; </w:t>
      </w:r>
      <w:r>
        <w:rPr>
          <w:b w:val="0"/>
          <w:i/>
        </w:rPr>
        <w:t>ne frustra sit ista potentia</w:t>
      </w:r>
      <w:r>
        <w:rPr>
          <w:b w:val="0"/>
          <w:i w:val="0"/>
        </w:rPr>
        <w:t>.</w:t>
      </w:r>
    </w:p>
    <w:p>
      <w:pPr>
        <w:keepNext/>
        <w:widowControl/>
      </w:pPr>
      <w:r>
        <w:rPr>
          <w:b/>
          <w:i w:val="0"/>
        </w:rPr>
        <w:t>The word.</w:t>
      </w:r>
    </w:p>
    <w:p>
      <w:pPr>
        <w:widowControl/>
      </w:pPr>
      <w:r>
        <w:rPr>
          <w:b w:val="0"/>
          <w:i/>
        </w:rPr>
        <w:t>Praecedere</w:t>
      </w:r>
      <w:r>
        <w:rPr>
          <w:b w:val="0"/>
          <w:i w:val="0"/>
        </w:rPr>
        <w:t xml:space="preserve"> and </w:t>
      </w:r>
      <w:r>
        <w:rPr>
          <w:b w:val="0"/>
          <w:i/>
        </w:rPr>
        <w:t>antecedere</w:t>
      </w:r>
      <w:r>
        <w:rPr>
          <w:b w:val="0"/>
          <w:i w:val="0"/>
        </w:rPr>
        <w:t xml:space="preserve"> go before; </w:t>
      </w:r>
      <w:r>
        <w:rPr>
          <w:b w:val="0"/>
          <w:i/>
        </w:rPr>
        <w:t>prior</w:t>
      </w:r>
      <w:r>
        <w:rPr>
          <w:b w:val="0"/>
          <w:i w:val="0"/>
        </w:rPr>
        <w:t xml:space="preserve"> and </w:t>
      </w:r>
      <w:r>
        <w:rPr>
          <w:b w:val="0"/>
          <w:i/>
        </w:rPr>
        <w:t>posterior</w:t>
      </w:r>
      <w:r>
        <w:rPr>
          <w:b w:val="0"/>
          <w:i w:val="0"/>
        </w:rPr>
        <w:t xml:space="preserve"> mark an ordering whose basis must be specified. </w:t>
      </w:r>
      <w:r>
        <w:rPr>
          <w:b w:val="0"/>
          <w:i/>
        </w:rPr>
        <w:t>Progressio in infinitum</w:t>
      </w:r>
      <w:r>
        <w:rPr>
          <w:b w:val="0"/>
          <w:i w:val="0"/>
        </w:rPr>
        <w:t xml:space="preserve"> is an indefinitely continued explanatory sequence. </w:t>
      </w:r>
      <w:r>
        <w:rPr>
          <w:b w:val="0"/>
          <w:i/>
        </w:rPr>
        <w:t>Frustra</w:t>
      </w:r>
      <w:r>
        <w:rPr>
          <w:b w:val="0"/>
          <w:i w:val="0"/>
        </w:rPr>
        <w:t xml:space="preserve"> means in vain or without fulfilled purpose. Temporal order, rank and dependence must not be collapsed.</w:t>
      </w:r>
    </w:p>
    <w:p>
      <w:pPr>
        <w:keepNext/>
        <w:widowControl/>
      </w:pPr>
      <w:r>
        <w:rPr>
          <w:b/>
          <w:i w:val="0"/>
        </w:rPr>
        <w:t>In the Platonic Theology.</w:t>
      </w:r>
    </w:p>
    <w:p>
      <w:pPr>
        <w:widowControl/>
      </w:pPr>
      <w:r>
        <w:rPr>
          <w:b w:val="0"/>
          <w:i w:val="0"/>
        </w:rPr>
        <w:t>A generated thing cannot generate itself before it exists: the giving of its beginning must precede it. But the higher cause demanded for an acting fire is not merely the fire that happened earlier, since that producer may already be extinct or far away. The inquiry seeks a source adequate to the present action and the whole kind. In the matter argument, assigning productive power to matter through another power indefinitely fails to explain where such power originates; assigning it essentially would turn the alleged matter into a source of forms. Similar regress arguments require an unmixed form and an incorporeal unifier. A separate principle connects prior substance’s possibility of existing without quantity to its realization, lest a perfection remain forever empty. Ficino expressly bounds that claim to the principal order of the universe. It should not become the claim that every event anyone can imagine must occur.</w:t>
      </w:r>
    </w:p>
    <w:p>
      <w:pPr>
        <w:keepNext/>
        <w:widowControl/>
      </w:pPr>
      <w:r>
        <w:rPr>
          <w:b/>
          <w:i w:val="0"/>
        </w:rPr>
        <w:t>The places.</w:t>
      </w:r>
    </w:p>
    <w:p>
      <w:pPr>
        <w:ind w:left="187" w:hanging="187"/>
      </w:pPr>
      <w:r>
        <w:t xml:space="preserve">• </w:t>
      </w:r>
      <w:r>
        <w:rPr>
          <w:b/>
          <w:i w:val="0"/>
        </w:rPr>
        <w:t>I.3.5–6, PDF 30–33.</w:t>
      </w:r>
      <w:r>
        <w:rPr>
          <w:b w:val="0"/>
          <w:i w:val="0"/>
        </w:rPr>
        <w:t xml:space="preserve"> Generation and the dilemma about matter’s productive power</w:t>
      </w:r>
    </w:p>
    <w:p>
      <w:pPr>
        <w:ind w:left="187" w:hanging="187"/>
      </w:pPr>
      <w:r>
        <w:t xml:space="preserve">• </w:t>
      </w:r>
      <w:r>
        <w:rPr>
          <w:b/>
          <w:i w:val="0"/>
        </w:rPr>
        <w:t>I.3.8–9, PDF 34–35.</w:t>
      </w:r>
      <w:r>
        <w:rPr>
          <w:b w:val="0"/>
          <w:i w:val="0"/>
        </w:rPr>
        <w:t xml:space="preserve"> A past producer is distinguished from a sufficient superior cause</w:t>
      </w:r>
    </w:p>
    <w:p>
      <w:pPr>
        <w:ind w:left="187" w:hanging="187"/>
      </w:pPr>
      <w:r>
        <w:t xml:space="preserve">• </w:t>
      </w:r>
      <w:r>
        <w:rPr>
          <w:b/>
          <w:i w:val="0"/>
        </w:rPr>
        <w:t>I.3.24–25, PDF 46–47.</w:t>
      </w:r>
      <w:r>
        <w:rPr>
          <w:b w:val="0"/>
          <w:i w:val="0"/>
        </w:rPr>
        <w:t xml:space="preserve"> Regress is arrested at unmixed form; realized possibility receives a cosmic-order qualification</w:t>
      </w:r>
    </w:p>
    <w:p>
      <w:pPr>
        <w:ind w:left="187" w:hanging="187"/>
      </w:pPr>
      <w:r>
        <w:t xml:space="preserve">• </w:t>
      </w:r>
      <w:r>
        <w:rPr>
          <w:b/>
          <w:i w:val="0"/>
        </w:rPr>
        <w:t>I.3.30–32, PDF 50–53.</w:t>
      </w:r>
      <w:r>
        <w:rPr>
          <w:b w:val="0"/>
          <w:i w:val="0"/>
        </w:rPr>
        <w:t xml:space="preserve"> Unity and the first principle cannot depend on endless further unifiers or beginnings</w:t>
      </w:r>
    </w:p>
    <w:p>
      <w:pPr>
        <w:keepNext/>
        <w:widowControl/>
      </w:pPr>
      <w:r>
        <w:rPr>
          <w:b/>
          <w:i w:val="0"/>
        </w:rPr>
        <w:t>In this edition.</w:t>
      </w:r>
    </w:p>
    <w:p>
      <w:pPr>
        <w:widowControl/>
      </w:pPr>
      <w:r>
        <w:t>“</w:t>
      </w:r>
      <w:r>
        <w:rPr>
          <w:b w:val="0"/>
          <w:i w:val="0"/>
        </w:rPr>
        <w:t>Prior by nature,</w:t>
      </w:r>
      <w:r>
        <w:t>”</w:t>
      </w:r>
      <w:r>
        <w:rPr>
          <w:b w:val="0"/>
          <w:i w:val="0"/>
        </w:rPr>
        <w:t xml:space="preserve"> </w:t>
      </w:r>
      <w:r>
        <w:t>“</w:t>
      </w:r>
      <w:r>
        <w:rPr>
          <w:b w:val="0"/>
          <w:i w:val="0"/>
        </w:rPr>
        <w:t>prior in dignity,</w:t>
      </w:r>
      <w:r>
        <w:t>”</w:t>
      </w:r>
      <w:r>
        <w:rPr>
          <w:b w:val="0"/>
          <w:i w:val="0"/>
        </w:rPr>
        <w:t xml:space="preserve"> and </w:t>
      </w:r>
      <w:r>
        <w:t>“</w:t>
      </w:r>
      <w:r>
        <w:rPr>
          <w:b w:val="0"/>
          <w:i w:val="0"/>
        </w:rPr>
        <w:t>before</w:t>
      </w:r>
      <w:r>
        <w:t>”</w:t>
      </w:r>
      <w:r>
        <w:rPr>
          <w:b w:val="0"/>
          <w:i w:val="0"/>
        </w:rPr>
        <w:t xml:space="preserve"> should retain their qualifiers. </w:t>
      </w:r>
      <w:r>
        <w:t>“</w:t>
      </w:r>
      <w:r>
        <w:rPr>
          <w:b w:val="0"/>
          <w:i w:val="0"/>
        </w:rPr>
        <w:t>At some time</w:t>
      </w:r>
      <w:r>
        <w:t>”</w:t>
      </w:r>
      <w:r>
        <w:rPr>
          <w:b w:val="0"/>
          <w:i w:val="0"/>
        </w:rPr>
        <w:t xml:space="preserve"> in I.3.25 translates </w:t>
      </w:r>
      <w:r>
        <w:rPr>
          <w:b w:val="0"/>
          <w:i/>
        </w:rPr>
        <w:t>aliquando</w:t>
      </w:r>
      <w:r>
        <w:rPr>
          <w:b w:val="0"/>
          <w:i w:val="0"/>
        </w:rPr>
        <w:t>; the passage also gives the natural philosophers’ alternative that the relevant perfection already exists.</w:t>
      </w:r>
    </w:p>
    <w:p>
      <w:pPr>
        <w:keepNext/>
        <w:widowControl/>
      </w:pPr>
      <w:r>
        <w:rPr>
          <w:b/>
          <w:i w:val="0"/>
        </w:rPr>
        <w:t>See also.</w:t>
      </w:r>
    </w:p>
    <w:p>
      <w:pPr>
        <w:widowControl/>
      </w:pPr>
      <w:hyperlink w:anchor="cause">
        <w:r>
          <w:rPr>
            <w:color w:val="000000"/>
          </w:rPr>
          <w:t xml:space="preserve">Cause</w:t>
        </w:r>
      </w:hyperlink>
      <w:r>
        <w:rPr>
          <w:b w:val="0"/>
          <w:i w:val="0"/>
        </w:rPr>
        <w:t xml:space="preserve">; </w:t>
      </w:r>
      <w:hyperlink w:anchor="principle">
        <w:r>
          <w:rPr>
            <w:color w:val="000000"/>
          </w:rPr>
          <w:t xml:space="preserve">Principle</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power-and-potency">
        <w:r>
          <w:rPr>
            <w:color w:val="000000"/>
          </w:rPr>
          <w:t xml:space="preserve">Power and potency</w:t>
        </w:r>
      </w:hyperlink>
      <w:r>
        <w:rPr>
          <w:b w:val="0"/>
          <w:i w:val="0"/>
        </w:rPr>
        <w:t>.</w:t>
      </w:r>
    </w:p>
    <w:p>
      <w:bookmarkStart w:id="177" w:name="precious-and-lowly"/>
      <w:pPr>
        <w:pStyle w:val="Heading2"/>
      </w:pPr>
      <w:r>
        <w:rPr>
          <w:b w:val="0"/>
          <w:i w:val="0"/>
        </w:rPr>
        <w:t>Precious and lowly</w:t>
      </w:r>
      <w:bookmarkEnd w:id="177"/>
    </w:p>
    <w:p>
      <w:pPr>
        <w:keepNext/>
        <w:widowControl/>
      </w:pPr>
      <w:r>
        <w:rPr>
          <w:b/>
          <w:i w:val="0"/>
        </w:rPr>
        <w:t>Latin:</w:t>
      </w:r>
      <w:r>
        <w:rPr>
          <w:b w:val="0"/>
          <w:i w:val="0"/>
        </w:rPr>
        <w:t xml:space="preserve"> vilissimarum; viliora; pretiosiora; pretiosissima; nobilem; formosa; exactissima arte; aptissime consonare</w:t>
      </w:r>
    </w:p>
    <w:p>
      <w:pPr>
        <w:keepNext/>
        <w:widowControl/>
      </w:pPr>
      <w:r>
        <w:rPr>
          <w:b/>
          <w:i w:val="0"/>
        </w:rPr>
        <w:t>The word.</w:t>
      </w:r>
    </w:p>
    <w:p>
      <w:pPr>
        <w:widowControl/>
      </w:pPr>
      <w:r>
        <w:rPr>
          <w:b w:val="0"/>
          <w:i w:val="0"/>
        </w:rPr>
        <w:t>Vilis can mean cheap or lowly, pretiosus valuable or precious, and nobilis distinguished or excellent. Formosus concerns beauty. Here value-language ranks things in the universe and should not automatically be reduced to market prices.</w:t>
      </w:r>
    </w:p>
    <w:p>
      <w:pPr>
        <w:keepNext/>
        <w:widowControl/>
      </w:pPr>
      <w:r>
        <w:rPr>
          <w:b/>
          <w:i w:val="0"/>
        </w:rPr>
        <w:t>In the Platonic Theology.</w:t>
      </w:r>
    </w:p>
    <w:p>
      <w:pPr>
        <w:widowControl/>
      </w:pPr>
      <w:r>
        <w:rPr>
          <w:b w:val="0"/>
          <w:i w:val="0"/>
        </w:rPr>
        <w:t>Ficino refuses the objection, attributed to Epicurus and Averroes, that knowledge of the lowest things is beneath divine majesty. The good of the whole order is greater than the excellence of one isolated part; understanding that order requires distinguishing the higher and lower things whose intervals and proportions constitute it.</w:t>
      </w:r>
    </w:p>
    <w:p>
      <w:pPr>
        <w:widowControl/>
      </w:pPr>
      <w:r>
        <w:rPr>
          <w:b w:val="0"/>
          <w:i w:val="0"/>
        </w:rPr>
        <w:t>He then corrects ordinary appraisal. What people call lowest is made with exacting art, and what appears less beautiful in isolation harmonizes fittingly with itself and with other things in the whole. This does not assert that every part is equally beautiful or that all ranks disappear. The argument preserves difference while denying that lower rank excludes an object from divine knowledge.</w:t>
      </w:r>
    </w:p>
    <w:p>
      <w:pPr>
        <w:keepNext/>
        <w:widowControl/>
      </w:pPr>
      <w:r>
        <w:rPr>
          <w:b/>
          <w:i w:val="0"/>
        </w:rPr>
        <w:t>The places.</w:t>
      </w:r>
    </w:p>
    <w:p>
      <w:pPr>
        <w:ind w:left="187" w:hanging="187"/>
      </w:pPr>
      <w:r>
        <w:t xml:space="preserve">• </w:t>
      </w:r>
      <w:r>
        <w:rPr>
          <w:b w:val="0"/>
          <w:i w:val="0"/>
        </w:rPr>
        <w:t>II.9.20, II.9.21 (PDF pp. 172–175): The polemic turns from supposed unworthiness to knowledge of the whole order</w:t>
      </w:r>
    </w:p>
    <w:p>
      <w:pPr>
        <w:ind w:left="187" w:hanging="187"/>
      </w:pPr>
      <w:r>
        <w:t xml:space="preserve">• </w:t>
      </w:r>
      <w:r>
        <w:rPr>
          <w:b w:val="0"/>
          <w:i w:val="0"/>
        </w:rPr>
        <w:t>II.9.22 (PDF pp. 174–175): Exact craft and relational harmony qualify ordinary judgments of baseness</w:t>
      </w:r>
    </w:p>
    <w:p>
      <w:pPr>
        <w:keepNext/>
        <w:widowControl/>
      </w:pPr>
      <w:r>
        <w:rPr>
          <w:b/>
          <w:i w:val="0"/>
        </w:rPr>
        <w:t>In this edition.</w:t>
      </w:r>
    </w:p>
    <w:p>
      <w:pPr>
        <w:widowControl/>
      </w:pPr>
      <w:r>
        <w:t>“</w:t>
      </w:r>
      <w:r>
        <w:rPr>
          <w:b w:val="0"/>
          <w:i w:val="0"/>
        </w:rPr>
        <w:t>Commonly called</w:t>
      </w:r>
      <w:r>
        <w:t>”</w:t>
      </w:r>
      <w:r>
        <w:rPr>
          <w:b w:val="0"/>
          <w:i w:val="0"/>
        </w:rPr>
        <w:t xml:space="preserve"> and </w:t>
      </w:r>
      <w:r>
        <w:t>“</w:t>
      </w:r>
      <w:r>
        <w:rPr>
          <w:b w:val="0"/>
          <w:i w:val="0"/>
        </w:rPr>
        <w:t>when considered in isolation</w:t>
      </w:r>
      <w:r>
        <w:t>”</w:t>
      </w:r>
      <w:r>
        <w:rPr>
          <w:b w:val="0"/>
          <w:i w:val="0"/>
        </w:rPr>
        <w:t xml:space="preserve"> are indispensable qualifications. </w:t>
      </w:r>
      <w:r>
        <w:t>“</w:t>
      </w:r>
      <w:r>
        <w:rPr>
          <w:b w:val="0"/>
          <w:i w:val="0"/>
        </w:rPr>
        <w:t>Impious Averroes</w:t>
      </w:r>
      <w:r>
        <w:t>”</w:t>
      </w:r>
      <w:r>
        <w:rPr>
          <w:b w:val="0"/>
          <w:i w:val="0"/>
        </w:rPr>
        <w:t xml:space="preserve"> is Ficino’s polemical address, not the lexicon’s judgment or a neutral historical characterization.</w:t>
      </w:r>
    </w:p>
    <w:p>
      <w:pPr>
        <w:keepNext/>
        <w:widowControl/>
      </w:pPr>
      <w:r>
        <w:rPr>
          <w:b/>
          <w:i w:val="0"/>
        </w:rPr>
        <w:t>See also.</w:t>
      </w:r>
    </w:p>
    <w:p>
      <w:pPr>
        <w:widowControl/>
      </w:pPr>
      <w:hyperlink w:anchor="universals-and-individuals">
        <w:r>
          <w:rPr>
            <w:color w:val="000000"/>
          </w:rPr>
          <w:t xml:space="preserve">Universals and individuals</w:t>
        </w:r>
      </w:hyperlink>
      <w:r>
        <w:rPr>
          <w:b w:val="0"/>
          <w:i w:val="0"/>
        </w:rPr>
        <w:t xml:space="preserve">; </w:t>
      </w:r>
      <w:hyperlink w:anchor="order-and-harmony">
        <w:r>
          <w:rPr>
            <w:color w:val="000000"/>
          </w:rPr>
          <w:t xml:space="preserve">Order and harmony</w:t>
        </w:r>
      </w:hyperlink>
      <w:r>
        <w:rPr>
          <w:b w:val="0"/>
          <w:i w:val="0"/>
        </w:rPr>
        <w:t xml:space="preserve">; </w:t>
      </w:r>
      <w:hyperlink w:anchor="beauty-and-fittingness">
        <w:r>
          <w:rPr>
            <w:color w:val="000000"/>
          </w:rPr>
          <w:t xml:space="preserve">Beauty and fittingness</w:t>
        </w:r>
      </w:hyperlink>
      <w:r>
        <w:rPr>
          <w:b w:val="0"/>
          <w:i w:val="0"/>
        </w:rPr>
        <w:t xml:space="preserve">; </w:t>
      </w:r>
      <w:hyperlink w:anchor="seeking-possessing-and-distraction">
        <w:r>
          <w:rPr>
            <w:color w:val="000000"/>
          </w:rPr>
          <w:t xml:space="preserve">Seeking possessing and distraction</w:t>
        </w:r>
      </w:hyperlink>
      <w:r>
        <w:rPr>
          <w:b w:val="0"/>
          <w:i w:val="0"/>
        </w:rPr>
        <w:t>.</w:t>
      </w:r>
    </w:p>
    <w:p>
      <w:bookmarkStart w:id="178" w:name="principle"/>
      <w:pPr>
        <w:pStyle w:val="Heading2"/>
      </w:pPr>
      <w:r>
        <w:rPr>
          <w:b w:val="0"/>
          <w:i w:val="0"/>
        </w:rPr>
        <w:t>Principle</w:t>
      </w:r>
      <w:bookmarkEnd w:id="178"/>
    </w:p>
    <w:p>
      <w:pPr>
        <w:keepNext/>
        <w:widowControl/>
      </w:pPr>
      <w:r>
        <w:rPr>
          <w:b/>
          <w:i w:val="0"/>
        </w:rPr>
        <w:t>Latin:</w:t>
      </w:r>
      <w:r>
        <w:rPr>
          <w:b w:val="0"/>
          <w:i w:val="0"/>
        </w:rPr>
        <w:t xml:space="preserve"> </w:t>
      </w:r>
      <w:r>
        <w:rPr>
          <w:b w:val="0"/>
          <w:i/>
        </w:rPr>
        <w:t>principium</w:t>
      </w:r>
      <w:r>
        <w:rPr>
          <w:b w:val="0"/>
          <w:i w:val="0"/>
        </w:rPr>
        <w:t xml:space="preserve"> (principle, origin); </w:t>
      </w:r>
      <w:r>
        <w:rPr>
          <w:b w:val="0"/>
          <w:i/>
        </w:rPr>
        <w:t>primum</w:t>
      </w:r>
      <w:r>
        <w:rPr>
          <w:b w:val="0"/>
          <w:i w:val="0"/>
        </w:rPr>
        <w:t xml:space="preserve"> (first); </w:t>
      </w:r>
      <w:r>
        <w:rPr>
          <w:b w:val="0"/>
          <w:i/>
        </w:rPr>
        <w:t>origo</w:t>
      </w:r>
      <w:r>
        <w:rPr>
          <w:b w:val="0"/>
          <w:i w:val="0"/>
        </w:rPr>
        <w:t xml:space="preserve"> (origin); </w:t>
      </w:r>
      <w:r>
        <w:rPr>
          <w:b w:val="0"/>
          <w:i/>
        </w:rPr>
        <w:t>fons</w:t>
      </w:r>
      <w:r>
        <w:rPr>
          <w:b w:val="0"/>
          <w:i w:val="0"/>
        </w:rPr>
        <w:t xml:space="preserve"> (source, spring); </w:t>
      </w:r>
      <w:r>
        <w:rPr>
          <w:b w:val="0"/>
          <w:i/>
        </w:rPr>
        <w:t>cardo</w:t>
      </w:r>
      <w:r>
        <w:rPr>
          <w:b w:val="0"/>
          <w:i w:val="0"/>
        </w:rPr>
        <w:t xml:space="preserve"> (pivot); </w:t>
      </w:r>
      <w:r>
        <w:rPr>
          <w:b w:val="0"/>
          <w:i/>
        </w:rPr>
        <w:t>fons; principium; initium; finis</w:t>
      </w:r>
    </w:p>
    <w:p>
      <w:pPr>
        <w:keepNext/>
        <w:widowControl/>
      </w:pPr>
      <w:r>
        <w:rPr>
          <w:b/>
          <w:i w:val="0"/>
        </w:rPr>
        <w:t>The word.</w:t>
      </w:r>
    </w:p>
    <w:p>
      <w:pPr>
        <w:widowControl/>
      </w:pPr>
      <w:r>
        <w:rPr>
          <w:b w:val="0"/>
          <w:i w:val="0"/>
        </w:rPr>
        <w:t xml:space="preserve">Principium is an originating principle; primum identifies priority. Origo and fons name origin or spring, while cardo is a hinge or governing pivot. </w:t>
      </w:r>
      <w:r>
        <w:t>“</w:t>
      </w:r>
      <w:r>
        <w:rPr>
          <w:b w:val="0"/>
          <w:i w:val="0"/>
        </w:rPr>
        <w:t>First</w:t>
      </w:r>
      <w:r>
        <w:t>”</w:t>
      </w:r>
      <w:r>
        <w:rPr>
          <w:b w:val="0"/>
          <w:i w:val="0"/>
        </w:rPr>
        <w:t xml:space="preserve"> can mark explanatory source rather than earliest chronological occurrence.</w:t>
      </w:r>
    </w:p>
    <w:p>
      <w:pPr>
        <w:widowControl/>
      </w:pPr>
      <w:r>
        <w:rPr>
          <w:b w:val="0"/>
          <w:i w:val="0"/>
        </w:rPr>
        <w:t>Fons is a spring or fountain, principium an originating principle, initium a beginning, and finis an end. Their distinctions are locally explained rather than fixed by one universal hierarchy of synonyms.</w:t>
      </w:r>
    </w:p>
    <w:p>
      <w:pPr>
        <w:keepNext/>
        <w:widowControl/>
      </w:pPr>
      <w:r>
        <w:rPr>
          <w:b/>
          <w:i w:val="0"/>
        </w:rPr>
        <w:t>In the Platonic Theology.</w:t>
      </w:r>
    </w:p>
    <w:p>
      <w:pPr>
        <w:widowControl/>
      </w:pPr>
      <w:r>
        <w:rPr>
          <w:b w:val="0"/>
          <w:i w:val="0"/>
        </w:rPr>
        <w:t xml:space="preserve">The first principle is the underived source of things, not merely the earliest member of a temporal sequence or an abstract proposition. Ficino identifies it with supreme unity, truth, and goodness. There cannot be two independent equal first principles, since their common and differentiating features would entail composition or a higher source. Nor can principles rise without end, since an order entirely received from elsewhere would lack an originating and stabilizing source. This priority supports preservation as well as initial production. In II.3.10 Ficino combines philosophical and theological names, describing unity as principle, truth as the principle’s reason, and goodness as the love of the rational principle. He attributes the theology to the apostle John and mentions the Platonist Amelius’s reception of it. The alignment brings these named authorities into Ficino’s own theological synthesis. </w:t>
      </w:r>
      <w:r>
        <w:rPr>
          <w:b w:val="0"/>
          <w:i/>
        </w:rPr>
        <w:t>Fons</w:t>
      </w:r>
      <w:r>
        <w:rPr>
          <w:b w:val="0"/>
          <w:i w:val="0"/>
        </w:rPr>
        <w:t xml:space="preserve"> makes the causal meaning vivid: finite things have a source of essence rather than being their own inexhaustible springs.</w:t>
      </w:r>
    </w:p>
    <w:p>
      <w:pPr>
        <w:widowControl/>
      </w:pPr>
      <w:r>
        <w:rPr>
          <w:b w:val="0"/>
          <w:i w:val="0"/>
        </w:rPr>
        <w:t xml:space="preserve">III.1.26 distinguishes soul as fountain because it has motion from itself and as principle because it pours motion into others. The Apelles example then calls the meadow the beginning and end, while soul is the fountain accounting for the activity’s gradual mode. These local distinctions prevent </w:t>
      </w:r>
      <w:r>
        <w:t>“</w:t>
      </w:r>
      <w:r>
        <w:rPr>
          <w:b w:val="0"/>
          <w:i w:val="0"/>
        </w:rPr>
        <w:t>source</w:t>
      </w:r>
      <w:r>
        <w:t>”</w:t>
      </w:r>
      <w:r>
        <w:rPr>
          <w:b w:val="0"/>
          <w:i w:val="0"/>
        </w:rPr>
        <w:t xml:space="preserve"> from erasing the difference between object, final cause, external incitement, and inward temporal operation.</w:t>
      </w:r>
    </w:p>
    <w:p>
      <w:pPr>
        <w:keepNext/>
        <w:widowControl/>
      </w:pPr>
      <w:r>
        <w:rPr>
          <w:b/>
          <w:i w:val="0"/>
        </w:rPr>
        <w:t>The places.</w:t>
      </w:r>
    </w:p>
    <w:p>
      <w:pPr>
        <w:ind w:left="187" w:hanging="187"/>
      </w:pPr>
      <w:r>
        <w:t xml:space="preserve">• </w:t>
      </w:r>
      <w:r>
        <w:rPr>
          <w:b/>
          <w:i w:val="0"/>
        </w:rPr>
        <w:t>II.1.2–7</w:t>
      </w:r>
      <w:r>
        <w:rPr>
          <w:b w:val="0"/>
          <w:i w:val="0"/>
        </w:rPr>
        <w:t>. Received unities point toward a first unifying source.</w:t>
      </w:r>
    </w:p>
    <w:p>
      <w:pPr>
        <w:ind w:left="187" w:hanging="187"/>
      </w:pPr>
      <w:r>
        <w:t xml:space="preserve">• </w:t>
      </w:r>
      <w:r>
        <w:rPr>
          <w:b/>
          <w:i w:val="0"/>
        </w:rPr>
        <w:t>II.2.1–8</w:t>
      </w:r>
      <w:r>
        <w:rPr>
          <w:b w:val="0"/>
          <w:i w:val="0"/>
        </w:rPr>
        <w:t>. Competing equal first principles are rejected through dependence and composition.</w:t>
      </w:r>
    </w:p>
    <w:p>
      <w:pPr>
        <w:ind w:left="187" w:hanging="187"/>
      </w:pPr>
      <w:r>
        <w:t xml:space="preserve">• </w:t>
      </w:r>
      <w:r>
        <w:rPr>
          <w:b/>
          <w:i w:val="0"/>
        </w:rPr>
        <w:t>II.3.10</w:t>
      </w:r>
      <w:r>
        <w:rPr>
          <w:b w:val="0"/>
          <w:i w:val="0"/>
        </w:rPr>
        <w:t>. Unity, truth, and goodness are joined in the theological account of one source.</w:t>
      </w:r>
    </w:p>
    <w:p>
      <w:pPr>
        <w:ind w:left="187" w:hanging="187"/>
      </w:pPr>
      <w:r>
        <w:t xml:space="preserve">• </w:t>
      </w:r>
      <w:r>
        <w:rPr>
          <w:b/>
          <w:i w:val="0"/>
        </w:rPr>
        <w:t>II.7.16</w:t>
      </w:r>
      <w:r>
        <w:rPr>
          <w:b w:val="0"/>
          <w:i w:val="0"/>
        </w:rPr>
        <w:t>. Completion and origination are connected in causal explanation.</w:t>
      </w:r>
    </w:p>
    <w:p>
      <w:pPr>
        <w:widowControl/>
      </w:pPr>
      <w:r>
        <w:rPr>
          <w:b/>
          <w:i w:val="0"/>
        </w:rPr>
        <w:t>Further passage references.</w:t>
      </w:r>
      <w:r>
        <w:rPr>
          <w:b w:val="0"/>
          <w:i w:val="0"/>
        </w:rPr>
        <w:t xml:space="preserve"> II.1.2–7, pp. 98–103; II.2.1–8, pp. 104–109; II.3.1–10, pp. 116–121; II.7.16, pp. 150–151</w:t>
      </w:r>
    </w:p>
    <w:p>
      <w:pPr>
        <w:widowControl/>
        <w:keepNext/>
      </w:pPr>
      <w:r>
        <w:rPr>
          <w:b w:val="0"/>
          <w:i w:val="0"/>
        </w:rPr>
        <w:t>Selected annotated passages.</w:t>
      </w:r>
    </w:p>
    <w:p>
      <w:pPr>
        <w:ind w:left="187" w:hanging="187"/>
      </w:pPr>
      <w:r>
        <w:t xml:space="preserve">• </w:t>
      </w:r>
      <w:r>
        <w:rPr>
          <w:b/>
          <w:i w:val="0"/>
        </w:rPr>
        <w:t>III.1.26 (Latin PDF p. 256; English PDF p. 257).</w:t>
      </w:r>
      <w:r>
        <w:rPr>
          <w:b w:val="0"/>
          <w:i w:val="0"/>
        </w:rPr>
        <w:t xml:space="preserve"> Fountain and principle receive explicit, different glosses.</w:t>
      </w:r>
    </w:p>
    <w:p>
      <w:pPr>
        <w:ind w:left="187" w:hanging="187"/>
      </w:pPr>
      <w:r>
        <w:t xml:space="preserve">• </w:t>
      </w:r>
      <w:r>
        <w:rPr>
          <w:b/>
          <w:i w:val="0"/>
        </w:rPr>
        <w:t>III.1.30 (Latin PDF p. 258; English PDF p. 259).</w:t>
      </w:r>
      <w:r>
        <w:rPr>
          <w:b w:val="0"/>
          <w:i w:val="0"/>
        </w:rPr>
        <w:t xml:space="preserve"> Beginning and end belong to the meadow; the fountain of succession belongs to soul.</w:t>
      </w:r>
    </w:p>
    <w:p>
      <w:pPr>
        <w:keepNext/>
        <w:widowControl/>
      </w:pPr>
      <w:r>
        <w:rPr>
          <w:b/>
          <w:i w:val="0"/>
        </w:rPr>
        <w:t>In this edition.</w:t>
      </w:r>
    </w:p>
    <w:p>
      <w:pPr>
        <w:widowControl/>
      </w:pPr>
      <w:r>
        <w:rPr>
          <w:b w:val="0"/>
          <w:i w:val="0"/>
        </w:rPr>
        <w:t xml:space="preserve">The English’s </w:t>
      </w:r>
      <w:r>
        <w:t>“</w:t>
      </w:r>
      <w:r>
        <w:rPr>
          <w:b w:val="0"/>
          <w:i w:val="0"/>
        </w:rPr>
        <w:t>principle,</w:t>
      </w:r>
      <w:r>
        <w:t>”</w:t>
      </w:r>
      <w:r>
        <w:rPr>
          <w:b w:val="0"/>
          <w:i w:val="0"/>
        </w:rPr>
        <w:t xml:space="preserve"> </w:t>
      </w:r>
      <w:r>
        <w:t>“</w:t>
      </w:r>
      <w:r>
        <w:rPr>
          <w:b w:val="0"/>
          <w:i w:val="0"/>
        </w:rPr>
        <w:t>fountain,</w:t>
      </w:r>
      <w:r>
        <w:t>”</w:t>
      </w:r>
      <w:r>
        <w:rPr>
          <w:b w:val="0"/>
          <w:i w:val="0"/>
        </w:rPr>
        <w:t xml:space="preserve"> and </w:t>
      </w:r>
      <w:r>
        <w:t>“</w:t>
      </w:r>
      <w:r>
        <w:rPr>
          <w:b w:val="0"/>
          <w:i w:val="0"/>
        </w:rPr>
        <w:t>source</w:t>
      </w:r>
      <w:r>
        <w:t>”</w:t>
      </w:r>
      <w:r>
        <w:rPr>
          <w:b w:val="0"/>
          <w:i w:val="0"/>
        </w:rPr>
        <w:t xml:space="preserve"> overlap without being dispensable synonyms. II.3.10 attributes a theological alignment of principle, reason, and love to John as received by Amelius; this is Ficino’s report. III.1.26 explicitly differentiates fountain from principle.</w:t>
      </w:r>
    </w:p>
    <w:p>
      <w:pPr>
        <w:widowControl/>
      </w:pPr>
      <w:r>
        <w:rPr>
          <w:b w:val="0"/>
          <w:i w:val="0"/>
        </w:rPr>
        <w:t>The English’s several source-words should be kept visible. Calling soul a fountain of motion does not make it the first cause of its own being.</w:t>
      </w:r>
    </w:p>
    <w:p>
      <w:pPr>
        <w:keepNext/>
        <w:widowControl/>
      </w:pPr>
      <w:r>
        <w:rPr>
          <w:b/>
          <w:i w:val="0"/>
        </w:rPr>
        <w:t>See also.</w:t>
      </w:r>
    </w:p>
    <w:p>
      <w:pPr>
        <w:widowControl/>
      </w:pPr>
      <w:hyperlink w:anchor="cause">
        <w:r>
          <w:rPr>
            <w:color w:val="000000"/>
          </w:rPr>
          <w:t xml:space="preserve">Cause</w:t>
        </w:r>
      </w:hyperlink>
      <w:r>
        <w:rPr>
          <w:b w:val="0"/>
          <w:i w:val="0"/>
        </w:rPr>
        <w:t xml:space="preserve">; </w:t>
      </w:r>
      <w:hyperlink w:anchor="unity-and-multiplicity">
        <w:r>
          <w:rPr>
            <w:color w:val="000000"/>
          </w:rPr>
          <w:t xml:space="preserve">Unity and multiplicity</w:t>
        </w:r>
      </w:hyperlink>
      <w:r>
        <w:rPr>
          <w:b w:val="0"/>
          <w:i w:val="0"/>
        </w:rPr>
        <w:t xml:space="preserve">; </w:t>
      </w:r>
      <w:hyperlink w:anchor="truth">
        <w:r>
          <w:rPr>
            <w:color w:val="000000"/>
          </w:rPr>
          <w:t xml:space="preserve">Truth</w:t>
        </w:r>
      </w:hyperlink>
      <w:r>
        <w:rPr>
          <w:b w:val="0"/>
          <w:i w:val="0"/>
        </w:rPr>
        <w:t xml:space="preserve">; </w:t>
      </w:r>
      <w:hyperlink w:anchor="good-and-goodness">
        <w:r>
          <w:rPr>
            <w:color w:val="000000"/>
          </w:rPr>
          <w:t xml:space="preserve">Good and goodness</w:t>
        </w:r>
      </w:hyperlink>
      <w:r>
        <w:rPr>
          <w:b w:val="0"/>
          <w:i w:val="0"/>
        </w:rPr>
        <w:t xml:space="preserve">; </w:t>
      </w:r>
      <w:hyperlink w:anchor="end-and-limit">
        <w:r>
          <w:rPr>
            <w:color w:val="000000"/>
          </w:rPr>
          <w:t xml:space="preserve">End and limit</w:t>
        </w:r>
      </w:hyperlink>
      <w:r>
        <w:rPr>
          <w:b w:val="0"/>
          <w:i w:val="0"/>
        </w:rPr>
        <w:t xml:space="preserve">; </w:t>
      </w:r>
      <w:hyperlink w:anchor="motion-and-stability">
        <w:r>
          <w:rPr>
            <w:color w:val="000000"/>
          </w:rPr>
          <w:t xml:space="preserve">Motion and stability</w:t>
        </w:r>
      </w:hyperlink>
    </w:p>
    <w:p>
      <w:pPr>
        <w:widowControl/>
      </w:pPr>
      <w:hyperlink w:anchor="apelles-and-the-meadow">
        <w:r>
          <w:rPr>
            <w:color w:val="000000"/>
          </w:rPr>
          <w:t xml:space="preserve">Apelles and the meadow</w:t>
        </w:r>
      </w:hyperlink>
      <w:r>
        <w:rPr>
          <w:b w:val="0"/>
          <w:i w:val="0"/>
        </w:rPr>
        <w:t xml:space="preserve">; </w:t>
      </w:r>
      <w:hyperlink w:anchor="first-movable">
        <w:r>
          <w:rPr>
            <w:color w:val="000000"/>
          </w:rPr>
          <w:t xml:space="preserve">First movable</w:t>
        </w:r>
      </w:hyperlink>
      <w:r>
        <w:rPr>
          <w:b w:val="0"/>
          <w:i w:val="0"/>
        </w:rPr>
        <w:t xml:space="preserve">; </w:t>
      </w:r>
      <w:hyperlink w:anchor="through-itself-and-through-another">
        <w:r>
          <w:rPr>
            <w:color w:val="000000"/>
          </w:rPr>
          <w:t xml:space="preserve">Through itself and through another</w:t>
        </w:r>
      </w:hyperlink>
      <w:r>
        <w:rPr>
          <w:b w:val="0"/>
          <w:i w:val="0"/>
        </w:rPr>
        <w:t>.</w:t>
      </w:r>
    </w:p>
    <w:p>
      <w:bookmarkStart w:id="179" w:name="prison-and-homeland"/>
      <w:pPr>
        <w:pStyle w:val="Heading2"/>
      </w:pPr>
      <w:r>
        <w:rPr>
          <w:b w:val="0"/>
          <w:i w:val="0"/>
        </w:rPr>
        <w:t>Prison and homeland</w:t>
      </w:r>
      <w:bookmarkEnd w:id="179"/>
    </w:p>
    <w:p>
      <w:pPr>
        <w:keepNext/>
        <w:widowControl/>
      </w:pPr>
      <w:r>
        <w:rPr>
          <w:b/>
          <w:i w:val="0"/>
        </w:rPr>
        <w:t>Latin:</w:t>
      </w:r>
      <w:r>
        <w:rPr>
          <w:b w:val="0"/>
          <w:i w:val="0"/>
        </w:rPr>
        <w:t xml:space="preserve"> </w:t>
      </w:r>
      <w:r>
        <w:rPr>
          <w:b w:val="0"/>
          <w:i/>
        </w:rPr>
        <w:t>carcer</w:t>
      </w:r>
      <w:r>
        <w:rPr>
          <w:b w:val="0"/>
          <w:i w:val="0"/>
        </w:rPr>
        <w:t xml:space="preserve">, </w:t>
      </w:r>
      <w:r>
        <w:rPr>
          <w:b w:val="0"/>
          <w:i/>
        </w:rPr>
        <w:t>claustra</w:t>
      </w:r>
      <w:r>
        <w:rPr>
          <w:b w:val="0"/>
          <w:i w:val="0"/>
        </w:rPr>
        <w:t xml:space="preserve">, </w:t>
      </w:r>
      <w:r>
        <w:rPr>
          <w:b w:val="0"/>
          <w:i/>
        </w:rPr>
        <w:t>vincula</w:t>
      </w:r>
      <w:r>
        <w:rPr>
          <w:b w:val="0"/>
          <w:i w:val="0"/>
        </w:rPr>
        <w:t xml:space="preserve">, </w:t>
      </w:r>
      <w:r>
        <w:rPr>
          <w:b w:val="0"/>
          <w:i/>
        </w:rPr>
        <w:t>compedes</w:t>
      </w:r>
      <w:r>
        <w:rPr>
          <w:b w:val="0"/>
          <w:i w:val="0"/>
        </w:rPr>
        <w:t xml:space="preserve">; </w:t>
      </w:r>
      <w:r>
        <w:rPr>
          <w:b w:val="0"/>
          <w:i/>
        </w:rPr>
        <w:t>patria</w:t>
      </w:r>
      <w:r>
        <w:rPr>
          <w:b w:val="0"/>
          <w:i w:val="0"/>
        </w:rPr>
        <w:t xml:space="preserve">, </w:t>
      </w:r>
      <w:r>
        <w:rPr>
          <w:b w:val="0"/>
          <w:i/>
        </w:rPr>
        <w:t>sedes aetherea</w:t>
      </w:r>
      <w:r>
        <w:rPr>
          <w:b w:val="0"/>
          <w:i w:val="0"/>
        </w:rPr>
        <w:t xml:space="preserve">; </w:t>
      </w:r>
      <w:r>
        <w:rPr>
          <w:b w:val="0"/>
          <w:i/>
        </w:rPr>
        <w:t>carcere caeco</w:t>
      </w:r>
      <w:r>
        <w:rPr>
          <w:b w:val="0"/>
          <w:i w:val="0"/>
        </w:rPr>
        <w:t xml:space="preserve">; </w:t>
      </w:r>
      <w:r>
        <w:rPr>
          <w:b w:val="0"/>
          <w:i/>
        </w:rPr>
        <w:t>compedum terrenarum</w:t>
      </w:r>
      <w:r>
        <w:rPr>
          <w:b w:val="0"/>
          <w:i w:val="0"/>
        </w:rPr>
        <w:t xml:space="preserve">; </w:t>
      </w:r>
      <w:r>
        <w:rPr>
          <w:b w:val="0"/>
          <w:i/>
        </w:rPr>
        <w:t>alis … Platonicis</w:t>
      </w:r>
      <w:r>
        <w:rPr>
          <w:b w:val="0"/>
          <w:i w:val="0"/>
        </w:rPr>
        <w:t xml:space="preserve">; </w:t>
      </w:r>
      <w:r>
        <w:rPr>
          <w:b w:val="0"/>
          <w:i/>
        </w:rPr>
        <w:t>Deo duce</w:t>
      </w:r>
      <w:r>
        <w:rPr>
          <w:b w:val="0"/>
          <w:i w:val="0"/>
        </w:rPr>
        <w:t xml:space="preserve">; </w:t>
      </w:r>
      <w:r>
        <w:rPr>
          <w:b w:val="0"/>
          <w:i/>
        </w:rPr>
        <w:t>tamquam a patre</w:t>
      </w:r>
      <w:r>
        <w:rPr>
          <w:b w:val="0"/>
          <w:i w:val="0"/>
        </w:rPr>
        <w:t xml:space="preserve">; </w:t>
      </w:r>
      <w:r>
        <w:rPr>
          <w:b w:val="0"/>
          <w:i/>
        </w:rPr>
        <w:t>tamquam ad patriam</w:t>
      </w:r>
      <w:r>
        <w:rPr>
          <w:b w:val="0"/>
          <w:i w:val="0"/>
        </w:rPr>
        <w:t>.</w:t>
      </w:r>
    </w:p>
    <w:p>
      <w:pPr>
        <w:keepNext/>
        <w:widowControl/>
      </w:pPr>
      <w:r>
        <w:rPr>
          <w:b/>
          <w:i w:val="0"/>
        </w:rPr>
        <w:t>The word.</w:t>
      </w:r>
    </w:p>
    <w:p>
      <w:pPr>
        <w:widowControl/>
      </w:pPr>
      <w:r>
        <w:rPr>
          <w:b w:val="0"/>
          <w:i w:val="0"/>
        </w:rPr>
        <w:t>Carcer is a prison; claustra enclosing barriers; vincula bonds; compedes fetters. Patria is homeland, and sedes aetherea an ethereal seat or dwelling. These images provide an evaluative orientation rather than a literal anatomy of soul.</w:t>
      </w:r>
    </w:p>
    <w:p>
      <w:pPr>
        <w:widowControl/>
      </w:pPr>
      <w:r>
        <w:rPr>
          <w:b w:val="0"/>
          <w:i/>
        </w:rPr>
        <w:t>Carcer</w:t>
      </w:r>
      <w:r>
        <w:rPr>
          <w:b w:val="0"/>
          <w:i w:val="0"/>
        </w:rPr>
        <w:t xml:space="preserve"> is a prison; </w:t>
      </w:r>
      <w:r>
        <w:rPr>
          <w:b w:val="0"/>
          <w:i/>
        </w:rPr>
        <w:t>compedes</w:t>
      </w:r>
      <w:r>
        <w:rPr>
          <w:b w:val="0"/>
          <w:i w:val="0"/>
        </w:rPr>
        <w:t xml:space="preserve"> fetters; </w:t>
      </w:r>
      <w:r>
        <w:rPr>
          <w:b w:val="0"/>
          <w:i/>
        </w:rPr>
        <w:t>alae</w:t>
      </w:r>
      <w:r>
        <w:rPr>
          <w:b w:val="0"/>
          <w:i w:val="0"/>
        </w:rPr>
        <w:t xml:space="preserve"> wings; </w:t>
      </w:r>
      <w:r>
        <w:rPr>
          <w:b w:val="0"/>
          <w:i/>
        </w:rPr>
        <w:t>patria</w:t>
      </w:r>
      <w:r>
        <w:rPr>
          <w:b w:val="0"/>
          <w:i w:val="0"/>
        </w:rPr>
        <w:t xml:space="preserve"> homeland. </w:t>
      </w:r>
      <w:r>
        <w:rPr>
          <w:b w:val="0"/>
          <w:i/>
        </w:rPr>
        <w:t>Dux</w:t>
      </w:r>
      <w:r>
        <w:rPr>
          <w:b w:val="0"/>
          <w:i w:val="0"/>
        </w:rPr>
        <w:t xml:space="preserve"> supplies the guide. The family of images joins confinement, release and orientation rather than offering literal anatomy or geography.</w:t>
      </w:r>
    </w:p>
    <w:p>
      <w:pPr>
        <w:keepNext/>
        <w:widowControl/>
      </w:pPr>
      <w:r>
        <w:rPr>
          <w:b/>
          <w:i w:val="0"/>
        </w:rPr>
        <w:t>In the Platonic Theology.</w:t>
      </w:r>
    </w:p>
    <w:p>
      <w:pPr>
        <w:widowControl/>
      </w:pPr>
      <w:r>
        <w:rPr>
          <w:b w:val="0"/>
          <w:i w:val="0"/>
        </w:rPr>
        <w:t xml:space="preserve">The opening chapter describes souls as enclosed in a dark bodily prison and urges them to loosen earthly fetters, rise on Platonic wings, and contemplate their kind’s excellence under God’s guidance. This is the book’s exhortatory framework for a philosophical ascent. The following sentence explains the method as an argument showing how human minds can perceive immortality and attain blessedness. The immediate explanation links the imagery to purification, contemplation, and reasoning. Homeland imagery returns at the end of Book I when everything is said to aspire to the Good as to its homeland, just as it derives from the Good as from a father. The paired beginning and ending connect estrangement, intellectual return, and fulfillment. </w:t>
      </w:r>
      <w:r>
        <w:t>“</w:t>
      </w:r>
      <w:r>
        <w:rPr>
          <w:b w:val="0"/>
          <w:i w:val="0"/>
        </w:rPr>
        <w:t>Prison</w:t>
      </w:r>
      <w:r>
        <w:t>”</w:t>
      </w:r>
      <w:r>
        <w:rPr>
          <w:b w:val="0"/>
          <w:i w:val="0"/>
        </w:rPr>
        <w:t xml:space="preserve"> is an evaluative metaphor here, whereas </w:t>
      </w:r>
      <w:r>
        <w:t>“</w:t>
      </w:r>
      <w:r>
        <w:rPr>
          <w:b w:val="0"/>
          <w:i w:val="0"/>
        </w:rPr>
        <w:t>body</w:t>
      </w:r>
      <w:r>
        <w:t>”</w:t>
      </w:r>
      <w:r>
        <w:rPr>
          <w:b w:val="0"/>
          <w:i w:val="0"/>
        </w:rPr>
        <w:t xml:space="preserve"> in the technical chapters receives a detailed account in terms of matter and quantity.</w:t>
      </w:r>
    </w:p>
    <w:p>
      <w:pPr>
        <w:widowControl/>
      </w:pPr>
      <w:r>
        <w:rPr>
          <w:b w:val="0"/>
          <w:i w:val="0"/>
        </w:rPr>
        <w:t xml:space="preserve">The opening request to loosen earthly bonds is immediately followed by a plan of philosophical demonstration. Platonic wings and God as guide describe the contemplative ascent through arguments, not an instruction to harm the body or accelerate death. The first book closes with father and homeland as paired comparisons for the Good: all things derive their origin from it and aspire toward it. This return resolves the opening image within Ficino’s source-and-end argument. The </w:t>
      </w:r>
      <w:r>
        <w:t>“</w:t>
      </w:r>
      <w:r>
        <w:rPr>
          <w:b w:val="0"/>
          <w:i w:val="0"/>
        </w:rPr>
        <w:t>ethereal dwelling</w:t>
      </w:r>
      <w:r>
        <w:t>”</w:t>
      </w:r>
      <w:r>
        <w:rPr>
          <w:b w:val="0"/>
          <w:i w:val="0"/>
        </w:rPr>
        <w:t xml:space="preserve"> of the exhortation should not be identified without argument with the later, more specific </w:t>
      </w:r>
      <w:r>
        <w:t>“</w:t>
      </w:r>
      <w:r>
        <w:rPr>
          <w:b w:val="0"/>
          <w:i w:val="0"/>
        </w:rPr>
        <w:t>ethereal garment</w:t>
      </w:r>
      <w:r>
        <w:t>”</w:t>
      </w:r>
      <w:r>
        <w:rPr>
          <w:b w:val="0"/>
          <w:i w:val="0"/>
        </w:rPr>
        <w:t xml:space="preserve"> of soul.</w:t>
      </w:r>
    </w:p>
    <w:p>
      <w:pPr>
        <w:keepNext/>
        <w:widowControl/>
      </w:pPr>
      <w:r>
        <w:rPr>
          <w:b/>
          <w:i w:val="0"/>
        </w:rPr>
        <w:t>The places.</w:t>
      </w:r>
    </w:p>
    <w:p>
      <w:pPr>
        <w:ind w:left="187" w:hanging="187"/>
      </w:pPr>
      <w:r>
        <w:t xml:space="preserve">• </w:t>
      </w:r>
      <w:r>
        <w:rPr>
          <w:b/>
          <w:i w:val="0"/>
        </w:rPr>
        <w:t>I.1.1</w:t>
      </w:r>
      <w:r>
        <w:rPr>
          <w:b w:val="0"/>
          <w:i w:val="0"/>
        </w:rPr>
        <w:t>. The embodied condition is figured as confinement amid darkness.</w:t>
      </w:r>
    </w:p>
    <w:p>
      <w:pPr>
        <w:ind w:left="187" w:hanging="187"/>
      </w:pPr>
      <w:r>
        <w:t xml:space="preserve">• </w:t>
      </w:r>
      <w:r>
        <w:rPr>
          <w:b/>
          <w:i w:val="0"/>
        </w:rPr>
        <w:t>I.1.2–3</w:t>
      </w:r>
      <w:r>
        <w:rPr>
          <w:b w:val="0"/>
          <w:i w:val="0"/>
        </w:rPr>
        <w:t>. The exhortation turns to philosophical ascent and the intended argument.</w:t>
      </w:r>
    </w:p>
    <w:p>
      <w:pPr>
        <w:ind w:left="187" w:hanging="187"/>
      </w:pPr>
      <w:r>
        <w:t xml:space="preserve">• </w:t>
      </w:r>
      <w:r>
        <w:rPr>
          <w:b/>
          <w:i w:val="0"/>
        </w:rPr>
        <w:t>I.6.19</w:t>
      </w:r>
      <w:r>
        <w:rPr>
          <w:b w:val="0"/>
          <w:i w:val="0"/>
        </w:rPr>
        <w:t>. All things derive from the Good as father and aspire toward it as homeland.</w:t>
      </w:r>
    </w:p>
    <w:p>
      <w:pPr>
        <w:widowControl/>
      </w:pPr>
      <w:r>
        <w:rPr>
          <w:b/>
          <w:i w:val="0"/>
        </w:rPr>
        <w:t>Further passage references.</w:t>
      </w:r>
      <w:r>
        <w:rPr>
          <w:b w:val="0"/>
          <w:i w:val="0"/>
        </w:rPr>
        <w:t xml:space="preserve"> I.1.1–I.1.3 (PDF pp. 14–15); I.6.19 (pp. 94–95)</w:t>
      </w:r>
    </w:p>
    <w:p>
      <w:pPr>
        <w:ind w:left="187" w:hanging="187"/>
      </w:pPr>
      <w:r>
        <w:t xml:space="preserve">• </w:t>
      </w:r>
      <w:r>
        <w:rPr>
          <w:b/>
          <w:i w:val="0"/>
        </w:rPr>
        <w:t>I.1.1–3, PDF 14–15.</w:t>
      </w:r>
      <w:r>
        <w:rPr>
          <w:b w:val="0"/>
          <w:i w:val="0"/>
        </w:rPr>
        <w:t xml:space="preserve"> Mortality, confinement, release and the forthcoming argument form one continuous opening</w:t>
      </w:r>
    </w:p>
    <w:p>
      <w:pPr>
        <w:ind w:left="187" w:hanging="187"/>
      </w:pPr>
      <w:r>
        <w:t xml:space="preserve">• </w:t>
      </w:r>
      <w:r>
        <w:rPr>
          <w:b/>
          <w:i w:val="0"/>
        </w:rPr>
        <w:t>I.6.19, PDF 94–95.</w:t>
      </w:r>
      <w:r>
        <w:rPr>
          <w:b w:val="0"/>
          <w:i w:val="0"/>
        </w:rPr>
        <w:t xml:space="preserve"> Father and homeland identify the Good as source and end</w:t>
      </w:r>
    </w:p>
    <w:p>
      <w:pPr>
        <w:keepNext/>
        <w:widowControl/>
      </w:pPr>
      <w:r>
        <w:rPr>
          <w:b/>
          <w:i w:val="0"/>
        </w:rPr>
        <w:t>In this edition.</w:t>
      </w:r>
    </w:p>
    <w:p>
      <w:pPr>
        <w:widowControl/>
      </w:pPr>
      <w:r>
        <w:rPr>
          <w:b w:val="0"/>
          <w:i w:val="0"/>
        </w:rPr>
        <w:t>The opening English retains the force of the imprisonment imagery, but the next statement makes contemplation and argument the proposed mode of ascent. At I.6.19 the paired pater and patria sustain the father–homeland analogy linking origin and end.</w:t>
      </w:r>
    </w:p>
    <w:p>
      <w:pPr>
        <w:widowControl/>
      </w:pPr>
      <w:r>
        <w:rPr>
          <w:b w:val="0"/>
          <w:i w:val="0"/>
        </w:rPr>
        <w:t xml:space="preserve">The repeated </w:t>
      </w:r>
      <w:r>
        <w:t>“</w:t>
      </w:r>
      <w:r>
        <w:rPr>
          <w:b w:val="0"/>
          <w:i w:val="0"/>
        </w:rPr>
        <w:t>let us loosen</w:t>
      </w:r>
      <w:r>
        <w:t>”</w:t>
      </w:r>
      <w:r>
        <w:rPr>
          <w:b w:val="0"/>
          <w:i w:val="0"/>
        </w:rPr>
        <w:t xml:space="preserve"> retains the hortatory address. </w:t>
      </w:r>
      <w:r>
        <w:rPr>
          <w:b w:val="0"/>
          <w:i/>
        </w:rPr>
        <w:t>Tamquam</w:t>
      </w:r>
      <w:r>
        <w:rPr>
          <w:b w:val="0"/>
          <w:i w:val="0"/>
        </w:rPr>
        <w:t xml:space="preserve"> in the father and homeland comparison marks figurative relation; its retention avoids turning the passage into a claim about a physical birthplace.</w:t>
      </w:r>
    </w:p>
    <w:p>
      <w:pPr>
        <w:keepNext/>
        <w:widowControl/>
      </w:pPr>
      <w:r>
        <w:rPr>
          <w:b/>
          <w:i w:val="0"/>
        </w:rPr>
        <w:t>See also.</w:t>
      </w:r>
    </w:p>
    <w:p>
      <w:pPr>
        <w:widowControl/>
      </w:pPr>
      <w:hyperlink w:anchor="ascent">
        <w:r>
          <w:rPr>
            <w:color w:val="000000"/>
          </w:rPr>
          <w:t xml:space="preserve">Ascent</w:t>
        </w:r>
      </w:hyperlink>
      <w:r>
        <w:rPr>
          <w:b w:val="0"/>
          <w:i w:val="0"/>
        </w:rPr>
        <w:t xml:space="preserve">; </w:t>
      </w:r>
      <w:hyperlink w:anchor="immortality">
        <w:r>
          <w:rPr>
            <w:color w:val="000000"/>
          </w:rPr>
          <w:t xml:space="preserve">Immortality</w:t>
        </w:r>
      </w:hyperlink>
      <w:r>
        <w:rPr>
          <w:b w:val="0"/>
          <w:i w:val="0"/>
        </w:rPr>
        <w:t xml:space="preserve">; </w:t>
      </w:r>
      <w:hyperlink w:anchor="blessedness">
        <w:r>
          <w:rPr>
            <w:color w:val="000000"/>
          </w:rPr>
          <w:t xml:space="preserve">Blessedness</w:t>
        </w:r>
      </w:hyperlink>
      <w:r>
        <w:rPr>
          <w:b w:val="0"/>
          <w:i w:val="0"/>
        </w:rPr>
        <w:t xml:space="preserve">; </w:t>
      </w:r>
      <w:hyperlink w:anchor="good-and-goodness">
        <w:r>
          <w:rPr>
            <w:color w:val="000000"/>
          </w:rPr>
          <w:t xml:space="preserve">Good and goodness</w:t>
        </w:r>
      </w:hyperlink>
      <w:r>
        <w:rPr>
          <w:b w:val="0"/>
          <w:i w:val="0"/>
        </w:rPr>
        <w:t xml:space="preserve">; </w:t>
      </w:r>
      <w:hyperlink w:anchor="body-and-bulk">
        <w:r>
          <w:rPr>
            <w:color w:val="000000"/>
          </w:rPr>
          <w:t xml:space="preserve">Body and bulk</w:t>
        </w:r>
      </w:hyperlink>
    </w:p>
    <w:p>
      <w:pPr>
        <w:widowControl/>
      </w:pPr>
      <w:hyperlink w:anchor="ascent">
        <w:r>
          <w:rPr>
            <w:color w:val="000000"/>
          </w:rPr>
          <w:t xml:space="preserve">Ascent</w:t>
        </w:r>
      </w:hyperlink>
      <w:r>
        <w:rPr>
          <w:b w:val="0"/>
          <w:i w:val="0"/>
        </w:rPr>
        <w:t xml:space="preserve">; </w:t>
      </w:r>
      <w:hyperlink w:anchor="good-and-goodness">
        <w:r>
          <w:rPr>
            <w:color w:val="000000"/>
          </w:rPr>
          <w:t xml:space="preserve">Good and goodness</w:t>
        </w:r>
      </w:hyperlink>
      <w:r>
        <w:rPr>
          <w:b w:val="0"/>
          <w:i w:val="0"/>
        </w:rPr>
        <w:t xml:space="preserve">; </w:t>
      </w:r>
      <w:hyperlink w:anchor="procession-and-return">
        <w:r>
          <w:rPr>
            <w:color w:val="000000"/>
          </w:rPr>
          <w:t xml:space="preserve">Procession and return</w:t>
        </w:r>
      </w:hyperlink>
      <w:r>
        <w:rPr>
          <w:b w:val="0"/>
          <w:i w:val="0"/>
        </w:rPr>
        <w:t xml:space="preserve">; </w:t>
      </w:r>
      <w:hyperlink w:anchor="ethereal-garment">
        <w:r>
          <w:rPr>
            <w:color w:val="000000"/>
          </w:rPr>
          <w:t xml:space="preserve">Ethereal garment</w:t>
        </w:r>
      </w:hyperlink>
      <w:r>
        <w:rPr>
          <w:b w:val="0"/>
          <w:i w:val="0"/>
        </w:rPr>
        <w:t>.</w:t>
      </w:r>
    </w:p>
    <w:p>
      <w:bookmarkStart w:id="180" w:name="procession-and-return"/>
      <w:pPr>
        <w:pStyle w:val="Heading2"/>
      </w:pPr>
      <w:r>
        <w:rPr>
          <w:b w:val="0"/>
          <w:i w:val="0"/>
        </w:rPr>
        <w:t>Procession and return</w:t>
      </w:r>
      <w:bookmarkEnd w:id="180"/>
    </w:p>
    <w:p>
      <w:pPr>
        <w:keepNext/>
        <w:widowControl/>
      </w:pPr>
      <w:r>
        <w:rPr>
          <w:b/>
          <w:i w:val="0"/>
        </w:rPr>
        <w:t>Latin:</w:t>
      </w:r>
      <w:r>
        <w:rPr>
          <w:b w:val="0"/>
          <w:i w:val="0"/>
        </w:rPr>
        <w:t xml:space="preserve"> </w:t>
      </w:r>
      <w:r>
        <w:rPr>
          <w:b w:val="0"/>
          <w:i/>
        </w:rPr>
        <w:t>profectio</w:t>
      </w:r>
      <w:r>
        <w:rPr>
          <w:b w:val="0"/>
          <w:i w:val="0"/>
        </w:rPr>
        <w:t xml:space="preserve">, </w:t>
      </w:r>
      <w:r>
        <w:rPr>
          <w:b w:val="0"/>
          <w:i/>
        </w:rPr>
        <w:t>conversio</w:t>
      </w:r>
      <w:r>
        <w:rPr>
          <w:b w:val="0"/>
          <w:i w:val="0"/>
        </w:rPr>
        <w:t xml:space="preserve">; </w:t>
      </w:r>
      <w:r>
        <w:rPr>
          <w:b w:val="0"/>
          <w:i/>
        </w:rPr>
        <w:t>procedere</w:t>
      </w:r>
      <w:r>
        <w:rPr>
          <w:b w:val="0"/>
          <w:i w:val="0"/>
        </w:rPr>
        <w:t xml:space="preserve">, </w:t>
      </w:r>
      <w:r>
        <w:rPr>
          <w:b w:val="0"/>
          <w:i/>
        </w:rPr>
        <w:t>converti</w:t>
      </w:r>
      <w:r>
        <w:rPr>
          <w:b w:val="0"/>
          <w:i w:val="0"/>
        </w:rPr>
        <w:t xml:space="preserve">; </w:t>
      </w:r>
      <w:r>
        <w:rPr>
          <w:b w:val="0"/>
          <w:i/>
        </w:rPr>
        <w:t>implicare</w:t>
      </w:r>
      <w:r>
        <w:rPr>
          <w:b w:val="0"/>
          <w:i w:val="0"/>
        </w:rPr>
        <w:t xml:space="preserve">, </w:t>
      </w:r>
      <w:r>
        <w:rPr>
          <w:b w:val="0"/>
          <w:i/>
        </w:rPr>
        <w:t>explicare</w:t>
      </w:r>
      <w:r>
        <w:rPr>
          <w:b w:val="0"/>
          <w:i w:val="0"/>
        </w:rPr>
        <w:t xml:space="preserve">, </w:t>
      </w:r>
      <w:r>
        <w:rPr>
          <w:b w:val="0"/>
          <w:i/>
        </w:rPr>
        <w:t>effundere</w:t>
      </w:r>
      <w:r>
        <w:rPr>
          <w:b w:val="0"/>
          <w:i w:val="0"/>
        </w:rPr>
        <w:t xml:space="preserve">, </w:t>
      </w:r>
      <w:r>
        <w:rPr>
          <w:b w:val="0"/>
          <w:i/>
        </w:rPr>
        <w:t>refluere</w:t>
      </w:r>
      <w:r>
        <w:rPr>
          <w:b w:val="0"/>
          <w:i w:val="0"/>
        </w:rPr>
        <w:t xml:space="preserve">, </w:t>
      </w:r>
      <w:r>
        <w:rPr>
          <w:b w:val="0"/>
          <w:i/>
        </w:rPr>
        <w:t>reformare</w:t>
      </w:r>
      <w:r>
        <w:rPr>
          <w:b w:val="0"/>
          <w:i w:val="0"/>
        </w:rPr>
        <w:t xml:space="preserve">, </w:t>
      </w:r>
      <w:r>
        <w:rPr>
          <w:b w:val="0"/>
          <w:i/>
        </w:rPr>
        <w:t>restituere</w:t>
      </w:r>
    </w:p>
    <w:p>
      <w:pPr>
        <w:keepNext/>
        <w:widowControl/>
      </w:pPr>
      <w:r>
        <w:rPr>
          <w:b/>
          <w:i w:val="0"/>
        </w:rPr>
        <w:t>The word.</w:t>
      </w:r>
    </w:p>
    <w:p>
      <w:pPr>
        <w:widowControl/>
      </w:pPr>
      <w:r>
        <w:rPr>
          <w:b w:val="0"/>
          <w:i w:val="0"/>
        </w:rPr>
        <w:t>Profectio names going forth or derivation; conversio a turning toward. Implicare enfolds, explicare unfolds, effundere pours forth, refluere flows back, reformare re-forms, and restituere restores. Their causal use need not imply bodily displacement.</w:t>
      </w:r>
    </w:p>
    <w:p>
      <w:pPr>
        <w:keepNext/>
        <w:widowControl/>
      </w:pPr>
      <w:r>
        <w:rPr>
          <w:b/>
          <w:i w:val="0"/>
        </w:rPr>
        <w:t>In the Platonic Theology.</w:t>
      </w:r>
    </w:p>
    <w:p>
      <w:pPr>
        <w:widowControl/>
      </w:pPr>
      <w:r>
        <w:rPr>
          <w:b w:val="0"/>
          <w:i w:val="0"/>
        </w:rPr>
        <w:t xml:space="preserve">Ficino links the source of beings with the goal toward which they turn. The Proem says that mind receives everything from God and should direct everything back to God. At the close of Book I, a more general argument states that the procession of things comes from the point toward which their conversion is directed. Because all things desire the good, while not all desire mind, Ficino infers that the Good is their first cause. </w:t>
      </w:r>
      <w:r>
        <w:t>“</w:t>
      </w:r>
      <w:r>
        <w:rPr>
          <w:b w:val="0"/>
          <w:i w:val="0"/>
        </w:rPr>
        <w:t>Conversion</w:t>
      </w:r>
      <w:r>
        <w:t>”</w:t>
      </w:r>
      <w:r>
        <w:rPr>
          <w:b w:val="0"/>
          <w:i w:val="0"/>
        </w:rPr>
        <w:t xml:space="preserve"> here is a turning toward a source or end, not specifically a change of religious affiliation. </w:t>
      </w:r>
      <w:r>
        <w:t>“</w:t>
      </w:r>
      <w:r>
        <w:rPr>
          <w:b w:val="0"/>
          <w:i w:val="0"/>
        </w:rPr>
        <w:t>Procession</w:t>
      </w:r>
      <w:r>
        <w:t>”</w:t>
      </w:r>
      <w:r>
        <w:rPr>
          <w:b w:val="0"/>
          <w:i w:val="0"/>
        </w:rPr>
        <w:t xml:space="preserve"> names causal derivation rather than a march through physical space. The closing father-and-homeland comparison gives these relations a personal image: all things originate from the Good as from a father and aspire to it as to their homeland. The unity of origin and end is an asserted principle in the argument, not something established simply by the ordinary definitions of the words.</w:t>
      </w:r>
    </w:p>
    <w:p>
      <w:pPr>
        <w:widowControl/>
      </w:pPr>
      <w:r>
        <w:rPr>
          <w:b w:val="0"/>
          <w:i w:val="0"/>
        </w:rPr>
        <w:t>II.3.10 develops the relation through unity, truth, and goodness. God enfolds all things in unity, unfolds them in truth, and pours them forth through goodness. Things return through goodness, are re-formed through truth, and are restored into one through unity. The sequence differentiates ways of explaining the one source and its effects, rather than separating three gods or describing material streams. The imagery of flowing therefore belongs to a structured account of causality and perfection; it does not by itself establish involuntary production or a temporal succession within God.</w:t>
      </w:r>
    </w:p>
    <w:p>
      <w:pPr>
        <w:keepNext/>
        <w:widowControl/>
      </w:pPr>
      <w:r>
        <w:rPr>
          <w:b/>
          <w:i w:val="0"/>
        </w:rPr>
        <w:t>The places.</w:t>
      </w:r>
    </w:p>
    <w:p>
      <w:pPr>
        <w:ind w:left="187" w:hanging="187"/>
      </w:pPr>
      <w:r>
        <w:t xml:space="preserve">• </w:t>
      </w:r>
      <w:r>
        <w:rPr>
          <w:b/>
          <w:i w:val="0"/>
        </w:rPr>
        <w:t>Proem.1</w:t>
      </w:r>
      <w:r>
        <w:rPr>
          <w:b w:val="0"/>
          <w:i w:val="0"/>
        </w:rPr>
        <w:t>. Mind is directed to refer to God what it receives from God.</w:t>
      </w:r>
    </w:p>
    <w:p>
      <w:pPr>
        <w:ind w:left="187" w:hanging="187"/>
      </w:pPr>
      <w:r>
        <w:t xml:space="preserve">• </w:t>
      </w:r>
      <w:r>
        <w:rPr>
          <w:b/>
          <w:i w:val="0"/>
        </w:rPr>
        <w:t>I.6.16</w:t>
      </w:r>
      <w:r>
        <w:rPr>
          <w:b w:val="0"/>
          <w:i w:val="0"/>
        </w:rPr>
        <w:t>. The source of procession is linked with the goal of conversion.</w:t>
      </w:r>
    </w:p>
    <w:p>
      <w:pPr>
        <w:ind w:left="187" w:hanging="187"/>
      </w:pPr>
      <w:r>
        <w:t xml:space="preserve">• </w:t>
      </w:r>
      <w:r>
        <w:rPr>
          <w:b/>
          <w:i w:val="0"/>
        </w:rPr>
        <w:t>I.6.19</w:t>
      </w:r>
      <w:r>
        <w:rPr>
          <w:b w:val="0"/>
          <w:i w:val="0"/>
        </w:rPr>
        <w:t>. Father and homeland give origin and return a personal image.</w:t>
      </w:r>
    </w:p>
    <w:p>
      <w:pPr>
        <w:ind w:left="187" w:hanging="187"/>
      </w:pPr>
      <w:r>
        <w:t xml:space="preserve">• </w:t>
      </w:r>
      <w:r>
        <w:rPr>
          <w:b/>
          <w:i w:val="0"/>
        </w:rPr>
        <w:t>II.3.10</w:t>
      </w:r>
      <w:r>
        <w:rPr>
          <w:b w:val="0"/>
          <w:i w:val="0"/>
        </w:rPr>
        <w:t>. Enfolding, unfolding, outpouring, and return distinguish roles within one divine source.</w:t>
      </w:r>
    </w:p>
    <w:p>
      <w:pPr>
        <w:widowControl/>
      </w:pPr>
      <w:r>
        <w:rPr>
          <w:b/>
          <w:i w:val="0"/>
        </w:rPr>
        <w:t>Further passage references.</w:t>
      </w:r>
      <w:r>
        <w:rPr>
          <w:b w:val="0"/>
          <w:i w:val="0"/>
        </w:rPr>
        <w:t xml:space="preserve"> Proem.1 (PDF pp. 6–7); I.6.16, I.6.19 (pp. 92–95); II.3.10, pp. 120–121</w:t>
      </w:r>
    </w:p>
    <w:p>
      <w:pPr>
        <w:keepNext/>
        <w:widowControl/>
      </w:pPr>
      <w:r>
        <w:rPr>
          <w:b/>
          <w:i w:val="0"/>
        </w:rPr>
        <w:t>In this edition.</w:t>
      </w:r>
    </w:p>
    <w:p>
      <w:pPr>
        <w:widowControl/>
      </w:pPr>
      <w:r>
        <w:t>“</w:t>
      </w:r>
      <w:r>
        <w:rPr>
          <w:b w:val="0"/>
          <w:i w:val="0"/>
        </w:rPr>
        <w:t>Conversion</w:t>
      </w:r>
      <w:r>
        <w:t>”</w:t>
      </w:r>
      <w:r>
        <w:rPr>
          <w:b w:val="0"/>
          <w:i w:val="0"/>
        </w:rPr>
        <w:t xml:space="preserve"> means turning toward a source or end here, not necessarily religious conversion. The prefix contrasts in implicat/explicat and fluxerunt/refluunt structure II.3.10. Their sequence is explanatory and does not by itself establish successive events or involuntary production within God.</w:t>
      </w:r>
    </w:p>
    <w:p>
      <w:pPr>
        <w:keepNext/>
        <w:widowControl/>
      </w:pPr>
      <w:r>
        <w:rPr>
          <w:b/>
          <w:i w:val="0"/>
        </w:rPr>
        <w:t>See also.</w:t>
      </w:r>
    </w:p>
    <w:p>
      <w:pPr>
        <w:widowControl/>
      </w:pPr>
      <w:hyperlink w:anchor="good-and-goodness">
        <w:r>
          <w:rPr>
            <w:color w:val="000000"/>
          </w:rPr>
          <w:t xml:space="preserve">Good and goodness</w:t>
        </w:r>
      </w:hyperlink>
      <w:r>
        <w:rPr>
          <w:b w:val="0"/>
          <w:i w:val="0"/>
        </w:rPr>
        <w:t xml:space="preserve">; </w:t>
      </w:r>
      <w:hyperlink w:anchor="cause">
        <w:r>
          <w:rPr>
            <w:color w:val="000000"/>
          </w:rPr>
          <w:t xml:space="preserve">Cause</w:t>
        </w:r>
      </w:hyperlink>
      <w:r>
        <w:rPr>
          <w:b w:val="0"/>
          <w:i w:val="0"/>
        </w:rPr>
        <w:t xml:space="preserve">; </w:t>
      </w:r>
      <w:hyperlink w:anchor="end-and-limit">
        <w:r>
          <w:rPr>
            <w:color w:val="000000"/>
          </w:rPr>
          <w:t xml:space="preserve">End and limit</w:t>
        </w:r>
      </w:hyperlink>
      <w:r>
        <w:rPr>
          <w:b w:val="0"/>
          <w:i w:val="0"/>
        </w:rPr>
        <w:t xml:space="preserve">; </w:t>
      </w:r>
      <w:hyperlink w:anchor="appetite-and-desire">
        <w:r>
          <w:rPr>
            <w:color w:val="000000"/>
          </w:rPr>
          <w:t xml:space="preserve">Appetite and desire</w:t>
        </w:r>
      </w:hyperlink>
      <w:r>
        <w:rPr>
          <w:b w:val="0"/>
          <w:i w:val="0"/>
        </w:rPr>
        <w:t xml:space="preserve">; </w:t>
      </w:r>
      <w:hyperlink w:anchor="prison-and-homeland">
        <w:r>
          <w:rPr>
            <w:color w:val="000000"/>
          </w:rPr>
          <w:t xml:space="preserve">Prison and homeland</w:t>
        </w:r>
      </w:hyperlink>
      <w:r>
        <w:rPr>
          <w:b w:val="0"/>
          <w:i w:val="0"/>
        </w:rPr>
        <w:t xml:space="preserve">; </w:t>
      </w:r>
      <w:hyperlink w:anchor="unity-and-multiplicity">
        <w:r>
          <w:rPr>
            <w:color w:val="000000"/>
          </w:rPr>
          <w:t xml:space="preserve">Unity and multiplicity</w:t>
        </w:r>
      </w:hyperlink>
      <w:r>
        <w:rPr>
          <w:b w:val="0"/>
          <w:i w:val="0"/>
        </w:rPr>
        <w:t xml:space="preserve">; </w:t>
      </w:r>
      <w:hyperlink w:anchor="truth">
        <w:r>
          <w:rPr>
            <w:color w:val="000000"/>
          </w:rPr>
          <w:t xml:space="preserve">Truth</w:t>
        </w:r>
      </w:hyperlink>
      <w:r>
        <w:rPr>
          <w:b w:val="0"/>
          <w:i w:val="0"/>
        </w:rPr>
        <w:t xml:space="preserve">; </w:t>
      </w:r>
      <w:hyperlink w:anchor="circularity-and-return">
        <w:r>
          <w:rPr>
            <w:color w:val="000000"/>
          </w:rPr>
          <w:t xml:space="preserve">Circularity and return</w:t>
        </w:r>
      </w:hyperlink>
    </w:p>
    <w:p>
      <w:bookmarkStart w:id="181" w:name="proclus-syrianus-and-extending-matter"/>
      <w:pPr>
        <w:pStyle w:val="Heading2"/>
      </w:pPr>
      <w:r>
        <w:rPr>
          <w:b w:val="0"/>
          <w:i w:val="0"/>
        </w:rPr>
        <w:t>Proclus, Syrianus and extending matter</w:t>
      </w:r>
      <w:bookmarkEnd w:id="181"/>
    </w:p>
    <w:p>
      <w:pPr>
        <w:keepNext/>
        <w:widowControl/>
      </w:pPr>
      <w:r>
        <w:rPr>
          <w:b/>
          <w:i w:val="0"/>
        </w:rPr>
        <w:t>Latin:</w:t>
      </w:r>
      <w:r>
        <w:rPr>
          <w:b w:val="0"/>
          <w:i w:val="0"/>
        </w:rPr>
        <w:t xml:space="preserve"> </w:t>
      </w:r>
      <w:r>
        <w:rPr>
          <w:b w:val="0"/>
          <w:i/>
        </w:rPr>
        <w:t>Proclo</w:t>
      </w:r>
      <w:r>
        <w:rPr>
          <w:b w:val="0"/>
          <w:i w:val="0"/>
        </w:rPr>
        <w:t xml:space="preserve">; </w:t>
      </w:r>
      <w:r>
        <w:rPr>
          <w:b w:val="0"/>
          <w:i/>
        </w:rPr>
        <w:t>Proclus et Syrianus</w:t>
      </w:r>
      <w:r>
        <w:rPr>
          <w:b w:val="0"/>
          <w:i w:val="0"/>
        </w:rPr>
        <w:t xml:space="preserve">; </w:t>
      </w:r>
      <w:r>
        <w:rPr>
          <w:b w:val="0"/>
          <w:i/>
        </w:rPr>
        <w:t>extenditur</w:t>
      </w:r>
      <w:r>
        <w:rPr>
          <w:b w:val="0"/>
          <w:i w:val="0"/>
        </w:rPr>
        <w:t xml:space="preserve">; </w:t>
      </w:r>
      <w:r>
        <w:rPr>
          <w:b w:val="0"/>
          <w:i/>
        </w:rPr>
        <w:t>extendit</w:t>
      </w:r>
      <w:r>
        <w:rPr>
          <w:b w:val="0"/>
          <w:i w:val="0"/>
        </w:rPr>
        <w:t xml:space="preserve">; </w:t>
      </w:r>
      <w:r>
        <w:rPr>
          <w:b w:val="0"/>
          <w:i/>
        </w:rPr>
        <w:t>cogitari</w:t>
      </w:r>
      <w:r>
        <w:rPr>
          <w:b w:val="0"/>
          <w:i w:val="0"/>
        </w:rPr>
        <w:t xml:space="preserve">; </w:t>
      </w:r>
      <w:r>
        <w:rPr>
          <w:b w:val="0"/>
          <w:i/>
        </w:rPr>
        <w:t>esse</w:t>
      </w:r>
      <w:r>
        <w:rPr>
          <w:b w:val="0"/>
          <w:i w:val="0"/>
        </w:rPr>
        <w:t xml:space="preserve">; </w:t>
      </w:r>
      <w:r>
        <w:rPr>
          <w:b w:val="0"/>
          <w:i/>
        </w:rPr>
        <w:t>subiectum</w:t>
      </w:r>
      <w:r>
        <w:rPr>
          <w:b w:val="0"/>
          <w:i w:val="0"/>
        </w:rPr>
        <w:t>.</w:t>
      </w:r>
    </w:p>
    <w:p>
      <w:pPr>
        <w:keepNext/>
        <w:widowControl/>
      </w:pPr>
      <w:r>
        <w:rPr>
          <w:b/>
          <w:i w:val="0"/>
        </w:rPr>
        <w:t>The word.</w:t>
      </w:r>
    </w:p>
    <w:p>
      <w:pPr>
        <w:widowControl/>
      </w:pPr>
      <w:r>
        <w:rPr>
          <w:b w:val="0"/>
          <w:i w:val="0"/>
        </w:rPr>
        <w:t xml:space="preserve">The active </w:t>
      </w:r>
      <w:r>
        <w:rPr>
          <w:b w:val="0"/>
          <w:i/>
        </w:rPr>
        <w:t>extendit</w:t>
      </w:r>
      <w:r>
        <w:rPr>
          <w:b w:val="0"/>
          <w:i w:val="0"/>
        </w:rPr>
        <w:t xml:space="preserve"> and passive </w:t>
      </w:r>
      <w:r>
        <w:rPr>
          <w:b w:val="0"/>
          <w:i/>
        </w:rPr>
        <w:t>extenditur</w:t>
      </w:r>
      <w:r>
        <w:rPr>
          <w:b w:val="0"/>
          <w:i w:val="0"/>
        </w:rPr>
        <w:t xml:space="preserve"> distinguish what extends from what receives extension. </w:t>
      </w:r>
      <w:r>
        <w:rPr>
          <w:b w:val="0"/>
          <w:i/>
        </w:rPr>
        <w:t>Cogitari</w:t>
      </w:r>
      <w:r>
        <w:rPr>
          <w:b w:val="0"/>
          <w:i w:val="0"/>
        </w:rPr>
        <w:t xml:space="preserve"> means to be conceived; </w:t>
      </w:r>
      <w:r>
        <w:rPr>
          <w:b w:val="0"/>
          <w:i/>
        </w:rPr>
        <w:t>esse</w:t>
      </w:r>
      <w:r>
        <w:rPr>
          <w:b w:val="0"/>
          <w:i w:val="0"/>
        </w:rPr>
        <w:t xml:space="preserve"> to exist. </w:t>
      </w:r>
      <w:r>
        <w:rPr>
          <w:b w:val="0"/>
          <w:i/>
        </w:rPr>
        <w:t>Subiectum</w:t>
      </w:r>
      <w:r>
        <w:rPr>
          <w:b w:val="0"/>
          <w:i w:val="0"/>
        </w:rPr>
        <w:t xml:space="preserve"> is the underlying recipient in the definition being examined, not a modern conscious subject.</w:t>
      </w:r>
    </w:p>
    <w:p>
      <w:pPr>
        <w:keepNext/>
        <w:widowControl/>
      </w:pPr>
      <w:r>
        <w:rPr>
          <w:b/>
          <w:i w:val="0"/>
        </w:rPr>
        <w:t>In the Platonic Theology.</w:t>
      </w:r>
    </w:p>
    <w:p>
      <w:pPr>
        <w:widowControl/>
      </w:pPr>
      <w:r>
        <w:rPr>
          <w:b w:val="0"/>
          <w:i w:val="0"/>
        </w:rPr>
        <w:t xml:space="preserve">Ficino reports Proclus’s classifications of bodies and forms, including celestial bodies described as simple and immaterial while retaining dimensions. He then examines a definition of form that includes acting and determinate actuality but does not explicitly include dimensions. The accompanying argument with Syrianus separates the need for extension in a recipient from the condition of the cause that extends it. If matter can be conceived without division, the extending principle can all the more be conceived and exist without dimensions. The shift from conceivability to existence is the argument’s conclusion, not something the lexicon should hide behind the single word </w:t>
      </w:r>
      <w:r>
        <w:t>“</w:t>
      </w:r>
      <w:r>
        <w:rPr>
          <w:b w:val="0"/>
          <w:i w:val="0"/>
        </w:rPr>
        <w:t>separate.</w:t>
      </w:r>
      <w:r>
        <w:t>”</w:t>
      </w:r>
      <w:r>
        <w:rPr>
          <w:b w:val="0"/>
          <w:i w:val="0"/>
        </w:rPr>
        <w:t xml:space="preserve"> The surrounding arguments about whole, parts and unity continue Ficino’s case for incorporeal form; the precise boundary of attribution should be marked rather than assigning every later inference wholesale to both named authors.</w:t>
      </w:r>
    </w:p>
    <w:p>
      <w:pPr>
        <w:keepNext/>
        <w:widowControl/>
      </w:pPr>
      <w:r>
        <w:rPr>
          <w:b/>
          <w:i w:val="0"/>
        </w:rPr>
        <w:t>The places.</w:t>
      </w:r>
    </w:p>
    <w:p>
      <w:pPr>
        <w:ind w:left="187" w:hanging="187"/>
      </w:pPr>
      <w:r>
        <w:t xml:space="preserve">• </w:t>
      </w:r>
      <w:r>
        <w:rPr>
          <w:b/>
          <w:i w:val="0"/>
        </w:rPr>
        <w:t>I.3.28, PDF 48–49.</w:t>
      </w:r>
      <w:r>
        <w:rPr>
          <w:b w:val="0"/>
          <w:i w:val="0"/>
        </w:rPr>
        <w:t xml:space="preserve"> Proclus’s classifications and definition distinguish matter, dimension and form</w:t>
      </w:r>
    </w:p>
    <w:p>
      <w:pPr>
        <w:ind w:left="187" w:hanging="187"/>
      </w:pPr>
      <w:r>
        <w:t xml:space="preserve">• </w:t>
      </w:r>
      <w:r>
        <w:rPr>
          <w:b/>
          <w:i w:val="0"/>
        </w:rPr>
        <w:t>I.3.29, PDF 50–51.</w:t>
      </w:r>
      <w:r>
        <w:rPr>
          <w:b w:val="0"/>
          <w:i w:val="0"/>
        </w:rPr>
        <w:t xml:space="preserve"> Proclus and Syrianus are explicitly named for the extending/extended argument</w:t>
      </w:r>
    </w:p>
    <w:p>
      <w:pPr>
        <w:ind w:left="187" w:hanging="187"/>
      </w:pPr>
      <w:r>
        <w:t xml:space="preserve">• </w:t>
      </w:r>
      <w:r>
        <w:rPr>
          <w:b/>
          <w:i w:val="0"/>
        </w:rPr>
        <w:t>I.3.30–31, PDF 50–51.</w:t>
      </w:r>
      <w:r>
        <w:rPr>
          <w:b w:val="0"/>
          <w:i w:val="0"/>
        </w:rPr>
        <w:t xml:space="preserve"> Unity and whole–part arguments continue the local case</w:t>
      </w:r>
    </w:p>
    <w:p>
      <w:pPr>
        <w:keepNext/>
        <w:widowControl/>
      </w:pPr>
      <w:r>
        <w:rPr>
          <w:b/>
          <w:i w:val="0"/>
        </w:rPr>
        <w:t>In this edition.</w:t>
      </w:r>
    </w:p>
    <w:p>
      <w:pPr>
        <w:widowControl/>
      </w:pPr>
      <w:r>
        <w:t>“</w:t>
      </w:r>
      <w:r>
        <w:rPr>
          <w:b w:val="0"/>
          <w:i w:val="0"/>
        </w:rPr>
        <w:t>Can be conceived</w:t>
      </w:r>
      <w:r>
        <w:t>”</w:t>
      </w:r>
      <w:r>
        <w:rPr>
          <w:b w:val="0"/>
          <w:i w:val="0"/>
        </w:rPr>
        <w:t xml:space="preserve"> and </w:t>
      </w:r>
      <w:r>
        <w:t>“</w:t>
      </w:r>
      <w:r>
        <w:rPr>
          <w:b w:val="0"/>
          <w:i w:val="0"/>
        </w:rPr>
        <w:t>can exist</w:t>
      </w:r>
      <w:r>
        <w:t>”</w:t>
      </w:r>
      <w:r>
        <w:rPr>
          <w:b w:val="0"/>
          <w:i w:val="0"/>
        </w:rPr>
        <w:t xml:space="preserve"> preserve the explicit </w:t>
      </w:r>
      <w:r>
        <w:rPr>
          <w:b w:val="0"/>
          <w:i/>
        </w:rPr>
        <w:t>non modo … sed etiam</w:t>
      </w:r>
      <w:r>
        <w:rPr>
          <w:b w:val="0"/>
          <w:i w:val="0"/>
        </w:rPr>
        <w:t xml:space="preserve"> contrast. </w:t>
      </w:r>
      <w:r>
        <w:t>“</w:t>
      </w:r>
      <w:r>
        <w:rPr>
          <w:b w:val="0"/>
          <w:i w:val="0"/>
        </w:rPr>
        <w:t>Immaterial</w:t>
      </w:r>
      <w:r>
        <w:t>”</w:t>
      </w:r>
      <w:r>
        <w:rPr>
          <w:b w:val="0"/>
          <w:i w:val="0"/>
        </w:rPr>
        <w:t xml:space="preserve"> must not here be substituted for </w:t>
      </w:r>
      <w:r>
        <w:t>“</w:t>
      </w:r>
      <w:r>
        <w:rPr>
          <w:b w:val="0"/>
          <w:i w:val="0"/>
        </w:rPr>
        <w:t>incorporeal</w:t>
      </w:r>
      <w:r>
        <w:t>”</w:t>
      </w:r>
      <w:r>
        <w:rPr>
          <w:b w:val="0"/>
          <w:i w:val="0"/>
        </w:rPr>
        <w:t>: the passage expressly calls some bodies immaterial.</w:t>
      </w:r>
    </w:p>
    <w:p>
      <w:pPr>
        <w:keepNext/>
        <w:widowControl/>
      </w:pPr>
      <w:r>
        <w:rPr>
          <w:b/>
          <w:i w:val="0"/>
        </w:rPr>
        <w:t>See also.</w:t>
      </w:r>
    </w:p>
    <w:p>
      <w:pPr>
        <w:widowControl/>
      </w:pPr>
      <w:hyperlink w:anchor="incorporeal-and-immaterial">
        <w:r>
          <w:rPr>
            <w:color w:val="000000"/>
          </w:rPr>
          <w:t xml:space="preserve">Incorporeal and immaterial</w:t>
        </w:r>
      </w:hyperlink>
      <w:r>
        <w:rPr>
          <w:b w:val="0"/>
          <w:i w:val="0"/>
        </w:rPr>
        <w:t xml:space="preserve">; </w:t>
      </w:r>
      <w:hyperlink w:anchor="form">
        <w:r>
          <w:rPr>
            <w:color w:val="000000"/>
          </w:rPr>
          <w:t xml:space="preserve">Form</w:t>
        </w:r>
      </w:hyperlink>
      <w:r>
        <w:rPr>
          <w:b w:val="0"/>
          <w:i w:val="0"/>
        </w:rPr>
        <w:t xml:space="preserve">; </w:t>
      </w:r>
      <w:hyperlink w:anchor="whole-and-parts">
        <w:r>
          <w:rPr>
            <w:color w:val="000000"/>
          </w:rPr>
          <w:t xml:space="preserve">Whole and parts</w:t>
        </w:r>
      </w:hyperlink>
      <w:r>
        <w:rPr>
          <w:b w:val="0"/>
          <w:i w:val="0"/>
        </w:rPr>
        <w:t xml:space="preserve">; </w:t>
      </w:r>
      <w:hyperlink w:anchor="separation-and-abstraction">
        <w:r>
          <w:rPr>
            <w:color w:val="000000"/>
          </w:rPr>
          <w:t xml:space="preserve">Separation and abstraction</w:t>
        </w:r>
      </w:hyperlink>
      <w:r>
        <w:rPr>
          <w:b w:val="0"/>
          <w:i w:val="0"/>
        </w:rPr>
        <w:t>.</w:t>
      </w:r>
    </w:p>
    <w:p>
      <w:bookmarkStart w:id="182" w:name="productive-and-designing-power"/>
      <w:pPr>
        <w:pStyle w:val="Heading2"/>
      </w:pPr>
      <w:r>
        <w:rPr>
          <w:b w:val="0"/>
          <w:i w:val="0"/>
        </w:rPr>
        <w:t>Productive and designing power</w:t>
      </w:r>
      <w:bookmarkEnd w:id="182"/>
    </w:p>
    <w:p>
      <w:pPr>
        <w:keepNext/>
        <w:widowControl/>
      </w:pPr>
      <w:r>
        <w:rPr>
          <w:b/>
          <w:i w:val="0"/>
        </w:rPr>
        <w:t>Latin:</w:t>
      </w:r>
      <w:r>
        <w:rPr>
          <w:b w:val="0"/>
          <w:i w:val="0"/>
        </w:rPr>
        <w:t xml:space="preserve"> </w:t>
      </w:r>
      <w:r>
        <w:rPr>
          <w:b w:val="0"/>
          <w:i/>
        </w:rPr>
        <w:t>effectrix Dei potestas</w:t>
      </w:r>
      <w:r>
        <w:rPr>
          <w:b w:val="0"/>
          <w:i w:val="0"/>
        </w:rPr>
        <w:t xml:space="preserve">; </w:t>
      </w:r>
      <w:r>
        <w:rPr>
          <w:b w:val="0"/>
          <w:i/>
        </w:rPr>
        <w:t>mentis potentia machinatrix</w:t>
      </w:r>
    </w:p>
    <w:p>
      <w:pPr>
        <w:keepNext/>
        <w:widowControl/>
      </w:pPr>
      <w:r>
        <w:rPr>
          <w:b/>
          <w:i w:val="0"/>
        </w:rPr>
        <w:t>The word.</w:t>
      </w:r>
    </w:p>
    <w:p>
      <w:pPr>
        <w:widowControl/>
      </w:pPr>
      <w:r>
        <w:rPr>
          <w:b w:val="0"/>
          <w:i w:val="0"/>
        </w:rPr>
        <w:t>Effectrix is productive or bringing about; machinatrix is capable of devising or designing. Both qualify powers, but one concerns making and the other conceptual range. The feminine forms agree with potestas and potentia.</w:t>
      </w:r>
    </w:p>
    <w:p>
      <w:pPr>
        <w:keepNext/>
        <w:widowControl/>
      </w:pPr>
      <w:r>
        <w:rPr>
          <w:b/>
          <w:i w:val="0"/>
        </w:rPr>
        <w:t>In the Platonic Theology.</w:t>
      </w:r>
    </w:p>
    <w:p>
      <w:pPr>
        <w:widowControl/>
      </w:pPr>
      <w:r>
        <w:rPr>
          <w:b w:val="0"/>
          <w:i w:val="0"/>
        </w:rPr>
        <w:t>II.12.17 distinguishes God’s power to produce from the mind’s capacity to conceive or design. Ficino argues that, once contradiction is excluded, thought ranges through an immeasurable scope of possible being; the productive power of its divine source cannot be narrower. This supports possibilities beyond the existing world. It does not mean that every imagined object is coherent or that every possible thing is created. The paired terms concern different kinds of power, not a single act of mental invention producing its object.</w:t>
      </w:r>
    </w:p>
    <w:p>
      <w:pPr>
        <w:keepNext/>
        <w:widowControl/>
      </w:pPr>
      <w:r>
        <w:rPr>
          <w:b/>
          <w:i w:val="0"/>
        </w:rPr>
        <w:t>The places.</w:t>
      </w:r>
    </w:p>
    <w:p>
      <w:pPr>
        <w:ind w:left="187" w:hanging="187"/>
      </w:pPr>
      <w:r>
        <w:t xml:space="preserve">• </w:t>
      </w:r>
      <w:r>
        <w:rPr>
          <w:b/>
          <w:i w:val="0"/>
        </w:rPr>
        <w:t>II.12.16</w:t>
      </w:r>
      <w:r>
        <w:rPr>
          <w:b w:val="0"/>
          <w:i w:val="0"/>
        </w:rPr>
        <w:t>. The conceptual character of being provides the modal boundary.</w:t>
      </w:r>
    </w:p>
    <w:p>
      <w:pPr>
        <w:ind w:left="187" w:hanging="187"/>
      </w:pPr>
      <w:r>
        <w:t xml:space="preserve">• </w:t>
      </w:r>
      <w:r>
        <w:rPr>
          <w:b/>
          <w:i w:val="0"/>
        </w:rPr>
        <w:t>II.12.17</w:t>
      </w:r>
      <w:r>
        <w:rPr>
          <w:b w:val="0"/>
          <w:i w:val="0"/>
        </w:rPr>
        <w:t>. Productive divine power is compared with mind’s designing capacity.</w:t>
      </w:r>
    </w:p>
    <w:p>
      <w:pPr>
        <w:ind w:left="187" w:hanging="187"/>
      </w:pPr>
      <w:r>
        <w:t xml:space="preserve">• </w:t>
      </w:r>
      <w:r>
        <w:rPr>
          <w:b/>
          <w:i w:val="0"/>
        </w:rPr>
        <w:t>II.12.18</w:t>
      </w:r>
      <w:r>
        <w:rPr>
          <w:b w:val="0"/>
          <w:i w:val="0"/>
        </w:rPr>
        <w:t>. Possible but unactualized arrangements demonstrate the gap between ability and actual creation.</w:t>
      </w:r>
    </w:p>
    <w:p>
      <w:pPr>
        <w:widowControl/>
      </w:pPr>
      <w:r>
        <w:rPr>
          <w:b/>
          <w:i w:val="0"/>
        </w:rPr>
        <w:t>Further passage references.</w:t>
      </w:r>
      <w:r>
        <w:rPr>
          <w:b w:val="0"/>
          <w:i w:val="0"/>
        </w:rPr>
        <w:t xml:space="preserve"> II.12.16–18 (PDF pp.210–213); apparatus p.378</w:t>
      </w:r>
    </w:p>
    <w:p>
      <w:pPr>
        <w:keepNext/>
        <w:widowControl/>
      </w:pPr>
      <w:r>
        <w:rPr>
          <w:b/>
          <w:i w:val="0"/>
        </w:rPr>
        <w:t>In this edition.</w:t>
      </w:r>
    </w:p>
    <w:p>
      <w:pPr>
        <w:widowControl/>
      </w:pPr>
      <w:r>
        <w:rPr>
          <w:b w:val="0"/>
          <w:i w:val="0"/>
        </w:rPr>
        <w:t>The edition’s apparatus (PDF p. 378) explicitly retains productive and designing as distinct. Neither word licenses treating every imagined combination as coherent: the argument repeatedly excludes contradiction before comparing the scopes of mind and divine production.</w:t>
      </w:r>
    </w:p>
    <w:p>
      <w:pPr>
        <w:keepNext/>
        <w:widowControl/>
      </w:pPr>
      <w:r>
        <w:rPr>
          <w:b/>
          <w:i w:val="0"/>
        </w:rPr>
        <w:t>See also.</w:t>
      </w:r>
    </w:p>
    <w:p>
      <w:pPr>
        <w:widowControl/>
      </w:pPr>
      <w:hyperlink w:anchor="power-and-potency">
        <w:r>
          <w:rPr>
            <w:color w:val="000000"/>
          </w:rPr>
          <w:t xml:space="preserve">Power and potency</w:t>
        </w:r>
      </w:hyperlink>
      <w:r>
        <w:rPr>
          <w:b w:val="0"/>
          <w:i w:val="0"/>
        </w:rPr>
        <w:t xml:space="preserve">; </w:t>
      </w:r>
      <w:hyperlink w:anchor="infinity">
        <w:r>
          <w:rPr>
            <w:color w:val="000000"/>
          </w:rPr>
          <w:t xml:space="preserve">Infinity</w:t>
        </w:r>
      </w:hyperlink>
      <w:r>
        <w:rPr>
          <w:b w:val="0"/>
          <w:i w:val="0"/>
        </w:rPr>
        <w:t xml:space="preserve">; </w:t>
      </w:r>
      <w:hyperlink w:anchor="creation">
        <w:r>
          <w:rPr>
            <w:color w:val="000000"/>
          </w:rPr>
          <w:t xml:space="preserve">Creation</w:t>
        </w:r>
      </w:hyperlink>
      <w:r>
        <w:rPr>
          <w:b w:val="0"/>
          <w:i w:val="0"/>
        </w:rPr>
        <w:t xml:space="preserve">; </w:t>
      </w:r>
      <w:hyperlink w:anchor="choice-and-free-judgment">
        <w:r>
          <w:rPr>
            <w:color w:val="000000"/>
          </w:rPr>
          <w:t xml:space="preserve">Choice and free judgment</w:t>
        </w:r>
      </w:hyperlink>
    </w:p>
    <w:p>
      <w:bookmarkStart w:id="183" w:name="proof-signs-and-qualification"/>
      <w:pPr>
        <w:pStyle w:val="Heading2"/>
      </w:pPr>
      <w:r>
        <w:rPr>
          <w:b w:val="0"/>
          <w:i w:val="0"/>
        </w:rPr>
        <w:t>Proof, signs and qualification</w:t>
      </w:r>
      <w:bookmarkEnd w:id="183"/>
    </w:p>
    <w:p>
      <w:pPr>
        <w:keepNext/>
        <w:widowControl/>
      </w:pPr>
      <w:r>
        <w:rPr>
          <w:b/>
          <w:i w:val="0"/>
        </w:rPr>
        <w:t>Latin:</w:t>
      </w:r>
      <w:r>
        <w:rPr>
          <w:b w:val="0"/>
          <w:i w:val="0"/>
        </w:rPr>
        <w:t xml:space="preserve"> </w:t>
      </w:r>
      <w:r>
        <w:rPr>
          <w:b w:val="0"/>
          <w:i/>
        </w:rPr>
        <w:t>demonstrare</w:t>
      </w:r>
      <w:r>
        <w:rPr>
          <w:b w:val="0"/>
          <w:i w:val="0"/>
        </w:rPr>
        <w:t xml:space="preserve">; </w:t>
      </w:r>
      <w:r>
        <w:rPr>
          <w:b w:val="0"/>
          <w:i/>
        </w:rPr>
        <w:t>rationibus</w:t>
      </w:r>
      <w:r>
        <w:rPr>
          <w:b w:val="0"/>
          <w:i w:val="0"/>
        </w:rPr>
        <w:t xml:space="preserve">; </w:t>
      </w:r>
      <w:r>
        <w:rPr>
          <w:b w:val="0"/>
          <w:i/>
        </w:rPr>
        <w:t>argumentationibus</w:t>
      </w:r>
      <w:r>
        <w:rPr>
          <w:b w:val="0"/>
          <w:i w:val="0"/>
        </w:rPr>
        <w:t xml:space="preserve">; </w:t>
      </w:r>
      <w:r>
        <w:rPr>
          <w:b w:val="0"/>
          <w:i/>
        </w:rPr>
        <w:t>signis</w:t>
      </w:r>
      <w:r>
        <w:rPr>
          <w:b w:val="0"/>
          <w:i w:val="0"/>
        </w:rPr>
        <w:t xml:space="preserve">; </w:t>
      </w:r>
      <w:r>
        <w:rPr>
          <w:b w:val="0"/>
          <w:i/>
        </w:rPr>
        <w:t>solutionibus quaestionum</w:t>
      </w:r>
      <w:r>
        <w:rPr>
          <w:b w:val="0"/>
          <w:i w:val="0"/>
        </w:rPr>
        <w:t xml:space="preserve">; </w:t>
      </w:r>
      <w:r>
        <w:rPr>
          <w:b w:val="0"/>
          <w:i/>
        </w:rPr>
        <w:t>videtur</w:t>
      </w:r>
      <w:r>
        <w:rPr>
          <w:b w:val="0"/>
          <w:i w:val="0"/>
        </w:rPr>
        <w:t xml:space="preserve">; </w:t>
      </w:r>
      <w:r>
        <w:rPr>
          <w:b w:val="0"/>
          <w:i/>
        </w:rPr>
        <w:t>quodammodo</w:t>
      </w:r>
      <w:r>
        <w:rPr>
          <w:b w:val="0"/>
          <w:i w:val="0"/>
        </w:rPr>
        <w:t xml:space="preserve">; </w:t>
      </w:r>
      <w:r>
        <w:rPr>
          <w:b w:val="0"/>
          <w:i/>
        </w:rPr>
        <w:t>ut plurimum</w:t>
      </w:r>
      <w:r>
        <w:rPr>
          <w:b w:val="0"/>
          <w:i w:val="0"/>
        </w:rPr>
        <w:t xml:space="preserve">; </w:t>
      </w:r>
      <w:r>
        <w:rPr>
          <w:b w:val="0"/>
          <w:i/>
        </w:rPr>
        <w:t>alias</w:t>
      </w:r>
      <w:r>
        <w:rPr>
          <w:b w:val="0"/>
          <w:i w:val="0"/>
        </w:rPr>
        <w:t>.</w:t>
      </w:r>
    </w:p>
    <w:p>
      <w:pPr>
        <w:keepNext/>
        <w:widowControl/>
      </w:pPr>
      <w:r>
        <w:rPr>
          <w:b/>
          <w:i w:val="0"/>
        </w:rPr>
        <w:t>The word.</w:t>
      </w:r>
    </w:p>
    <w:p>
      <w:pPr>
        <w:widowControl/>
      </w:pPr>
      <w:r>
        <w:rPr>
          <w:b w:val="0"/>
          <w:i/>
        </w:rPr>
        <w:t>Demonstrare</w:t>
      </w:r>
      <w:r>
        <w:rPr>
          <w:b w:val="0"/>
          <w:i w:val="0"/>
        </w:rPr>
        <w:t xml:space="preserve"> aims to show or demonstrate; </w:t>
      </w:r>
      <w:r>
        <w:rPr>
          <w:b w:val="0"/>
          <w:i/>
        </w:rPr>
        <w:t>ratio</w:t>
      </w:r>
      <w:r>
        <w:rPr>
          <w:b w:val="0"/>
          <w:i w:val="0"/>
        </w:rPr>
        <w:t xml:space="preserve"> may be a reason, argument or explanatory principle; </w:t>
      </w:r>
      <w:r>
        <w:rPr>
          <w:b w:val="0"/>
          <w:i/>
        </w:rPr>
        <w:t>signum</w:t>
      </w:r>
      <w:r>
        <w:rPr>
          <w:b w:val="0"/>
          <w:i w:val="0"/>
        </w:rPr>
        <w:t xml:space="preserve"> can be evidence or a sign rather than a geometrical point. </w:t>
      </w:r>
      <w:r>
        <w:rPr>
          <w:b w:val="0"/>
          <w:i/>
        </w:rPr>
        <w:t>Solutio quaestionum</w:t>
      </w:r>
      <w:r>
        <w:rPr>
          <w:b w:val="0"/>
          <w:i w:val="0"/>
        </w:rPr>
        <w:t xml:space="preserve"> resolves questions or difficulties. </w:t>
      </w:r>
      <w:r>
        <w:rPr>
          <w:b w:val="0"/>
          <w:i/>
        </w:rPr>
        <w:t>Videtur</w:t>
      </w:r>
      <w:r>
        <w:rPr>
          <w:b w:val="0"/>
          <w:i w:val="0"/>
        </w:rPr>
        <w:t xml:space="preserve"> marks seeming, </w:t>
      </w:r>
      <w:r>
        <w:rPr>
          <w:b w:val="0"/>
          <w:i/>
        </w:rPr>
        <w:t>quodammodo</w:t>
      </w:r>
      <w:r>
        <w:rPr>
          <w:b w:val="0"/>
          <w:i w:val="0"/>
        </w:rPr>
        <w:t xml:space="preserve"> an </w:t>
      </w:r>
      <w:r>
        <w:t>“</w:t>
      </w:r>
      <w:r>
        <w:rPr>
          <w:b w:val="0"/>
          <w:i w:val="0"/>
        </w:rPr>
        <w:t>in a certain way</w:t>
      </w:r>
      <w:r>
        <w:t>”</w:t>
      </w:r>
      <w:r>
        <w:rPr>
          <w:b w:val="0"/>
          <w:i w:val="0"/>
        </w:rPr>
        <w:t xml:space="preserve"> qualification, </w:t>
      </w:r>
      <w:r>
        <w:rPr>
          <w:b w:val="0"/>
          <w:i/>
        </w:rPr>
        <w:t>ut plurimum</w:t>
      </w:r>
      <w:r>
        <w:rPr>
          <w:b w:val="0"/>
          <w:i w:val="0"/>
        </w:rPr>
        <w:t xml:space="preserve"> what happens for the most part, and </w:t>
      </w:r>
      <w:r>
        <w:rPr>
          <w:b w:val="0"/>
          <w:i/>
        </w:rPr>
        <w:t>alias</w:t>
      </w:r>
      <w:r>
        <w:rPr>
          <w:b w:val="0"/>
          <w:i w:val="0"/>
        </w:rPr>
        <w:t xml:space="preserve"> what is to be addressed elsewhere.</w:t>
      </w:r>
    </w:p>
    <w:p>
      <w:pPr>
        <w:keepNext/>
        <w:widowControl/>
      </w:pPr>
      <w:r>
        <w:rPr>
          <w:b/>
          <w:i w:val="0"/>
        </w:rPr>
        <w:t>In the Platonic Theology.</w:t>
      </w:r>
    </w:p>
    <w:p>
      <w:pPr>
        <w:widowControl/>
      </w:pPr>
      <w:r>
        <w:rPr>
          <w:b w:val="0"/>
          <w:i w:val="0"/>
        </w:rPr>
        <w:t xml:space="preserve">Book I’s prospectus distinguishes common reasons, arguments proper to soul, signs and resolutions of questions. They are announced routes of support, not four synonyms for one proof. Throughout the ascent, rhetorical confidence coexists with qualifications: soul’s mind is </w:t>
      </w:r>
      <w:r>
        <w:t>“</w:t>
      </w:r>
      <w:r>
        <w:rPr>
          <w:b w:val="0"/>
          <w:i w:val="0"/>
        </w:rPr>
        <w:t>in a certain way</w:t>
      </w:r>
      <w:r>
        <w:t>”</w:t>
      </w:r>
      <w:r>
        <w:rPr>
          <w:b w:val="0"/>
          <w:i w:val="0"/>
        </w:rPr>
        <w:t xml:space="preserve"> part of higher mind; embodied minds generally look to sensible things; the number of celestial movers is calculated by a probable argument. Promises to demonstrate matters elsewhere preserve the limits of the present exposition. Attributions matter equally: </w:t>
      </w:r>
      <w:r>
        <w:rPr>
          <w:b w:val="0"/>
          <w:i/>
        </w:rPr>
        <w:t>Haec Platonici</w:t>
      </w:r>
      <w:r>
        <w:rPr>
          <w:b w:val="0"/>
          <w:i w:val="0"/>
        </w:rPr>
        <w:t xml:space="preserve"> closes a stated Platonist account, and Ficino explicitly defers what others say about angelic immobility. A lexicon that drops these small expressions can turn a comparison, conjecture or reported view into a stronger universal assertion.</w:t>
      </w:r>
    </w:p>
    <w:p>
      <w:pPr>
        <w:keepNext/>
        <w:widowControl/>
      </w:pPr>
      <w:r>
        <w:rPr>
          <w:b/>
          <w:i w:val="0"/>
        </w:rPr>
        <w:t>The places.</w:t>
      </w:r>
    </w:p>
    <w:p>
      <w:pPr>
        <w:ind w:left="187" w:hanging="187"/>
      </w:pPr>
      <w:r>
        <w:t xml:space="preserve">• </w:t>
      </w:r>
      <w:r>
        <w:rPr>
          <w:b/>
          <w:i w:val="0"/>
        </w:rPr>
        <w:t>I.1.3, I.1.7, PDF 14–17.</w:t>
      </w:r>
      <w:r>
        <w:rPr>
          <w:b w:val="0"/>
          <w:i w:val="0"/>
        </w:rPr>
        <w:t xml:space="preserve"> The proposed demonstration and fourfold plan of support</w:t>
      </w:r>
    </w:p>
    <w:p>
      <w:pPr>
        <w:ind w:left="187" w:hanging="187"/>
      </w:pPr>
      <w:r>
        <w:t xml:space="preserve">• </w:t>
      </w:r>
      <w:r>
        <w:rPr>
          <w:b/>
          <w:i w:val="0"/>
        </w:rPr>
        <w:t>I.5.11, PDF 66–67; I.5.16, PDF 70–71.</w:t>
      </w:r>
      <w:r>
        <w:rPr>
          <w:b w:val="0"/>
          <w:i w:val="0"/>
        </w:rPr>
        <w:t xml:space="preserve"> Qualifications govern the relation of mind to soul and embodied cognition</w:t>
      </w:r>
    </w:p>
    <w:p>
      <w:pPr>
        <w:ind w:left="187" w:hanging="187"/>
      </w:pPr>
      <w:r>
        <w:t xml:space="preserve">• </w:t>
      </w:r>
      <w:r>
        <w:rPr>
          <w:b/>
          <w:i w:val="0"/>
        </w:rPr>
        <w:t>I.5.20–22, PDF 74–77.</w:t>
      </w:r>
      <w:r>
        <w:rPr>
          <w:b w:val="0"/>
          <w:i w:val="0"/>
        </w:rPr>
        <w:t xml:space="preserve"> Probable counting, deference and Ficino’s conjectural reconstruction</w:t>
      </w:r>
    </w:p>
    <w:p>
      <w:pPr>
        <w:ind w:left="187" w:hanging="187"/>
      </w:pPr>
      <w:r>
        <w:t xml:space="preserve">• </w:t>
      </w:r>
      <w:r>
        <w:rPr>
          <w:b/>
          <w:i w:val="0"/>
        </w:rPr>
        <w:t>I.6.1, PDF 82–83.</w:t>
      </w:r>
      <w:r>
        <w:rPr>
          <w:b w:val="0"/>
          <w:i w:val="0"/>
        </w:rPr>
        <w:t xml:space="preserve"> Complete angelic immobility is attributed to the Platonists; other positions are deferred</w:t>
      </w:r>
    </w:p>
    <w:p>
      <w:pPr>
        <w:keepNext/>
        <w:widowControl/>
      </w:pPr>
      <w:r>
        <w:rPr>
          <w:b/>
          <w:i w:val="0"/>
        </w:rPr>
        <w:t>In this edition.</w:t>
      </w:r>
    </w:p>
    <w:p>
      <w:pPr>
        <w:widowControl/>
      </w:pPr>
      <w:r>
        <w:t>“</w:t>
      </w:r>
      <w:r>
        <w:rPr>
          <w:b w:val="0"/>
          <w:i w:val="0"/>
        </w:rPr>
        <w:t>Seems,</w:t>
      </w:r>
      <w:r>
        <w:t>”</w:t>
      </w:r>
      <w:r>
        <w:rPr>
          <w:b w:val="0"/>
          <w:i w:val="0"/>
        </w:rPr>
        <w:t xml:space="preserve"> </w:t>
      </w:r>
      <w:r>
        <w:t>“</w:t>
      </w:r>
      <w:r>
        <w:rPr>
          <w:b w:val="0"/>
          <w:i w:val="0"/>
        </w:rPr>
        <w:t>in a certain sense,</w:t>
      </w:r>
      <w:r>
        <w:t>”</w:t>
      </w:r>
      <w:r>
        <w:rPr>
          <w:b w:val="0"/>
          <w:i w:val="0"/>
        </w:rPr>
        <w:t xml:space="preserve"> </w:t>
      </w:r>
      <w:r>
        <w:t>“</w:t>
      </w:r>
      <w:r>
        <w:rPr>
          <w:b w:val="0"/>
          <w:i w:val="0"/>
        </w:rPr>
        <w:t>for the most part,</w:t>
      </w:r>
      <w:r>
        <w:t>”</w:t>
      </w:r>
      <w:r>
        <w:rPr>
          <w:b w:val="0"/>
          <w:i w:val="0"/>
        </w:rPr>
        <w:t xml:space="preserve"> </w:t>
      </w:r>
      <w:r>
        <w:t>“</w:t>
      </w:r>
      <w:r>
        <w:rPr>
          <w:b w:val="0"/>
          <w:i w:val="0"/>
        </w:rPr>
        <w:t>perhaps,</w:t>
      </w:r>
      <w:r>
        <w:t>”</w:t>
      </w:r>
      <w:r>
        <w:rPr>
          <w:b w:val="0"/>
          <w:i w:val="0"/>
        </w:rPr>
        <w:t xml:space="preserve"> and </w:t>
      </w:r>
      <w:r>
        <w:t>“</w:t>
      </w:r>
      <w:r>
        <w:rPr>
          <w:b w:val="0"/>
          <w:i w:val="0"/>
        </w:rPr>
        <w:t>elsewhere</w:t>
      </w:r>
      <w:r>
        <w:t>”</w:t>
      </w:r>
      <w:r>
        <w:rPr>
          <w:b w:val="0"/>
          <w:i w:val="0"/>
        </w:rPr>
        <w:t xml:space="preserve"> should be indexed where they restrict a claim. </w:t>
      </w:r>
      <w:r>
        <w:rPr>
          <w:b w:val="0"/>
          <w:i/>
        </w:rPr>
        <w:t>Alias</w:t>
      </w:r>
      <w:r>
        <w:rPr>
          <w:b w:val="0"/>
          <w:i w:val="0"/>
        </w:rPr>
        <w:t xml:space="preserve"> is not permission to import an unchecked later demonstration into the present unit. </w:t>
      </w:r>
      <w:r>
        <w:rPr>
          <w:b w:val="0"/>
          <w:i/>
        </w:rPr>
        <w:t>Signis</w:t>
      </w:r>
      <w:r>
        <w:rPr>
          <w:b w:val="0"/>
          <w:i w:val="0"/>
        </w:rPr>
        <w:t xml:space="preserve"> in the prospectus and </w:t>
      </w:r>
      <w:r>
        <w:rPr>
          <w:b w:val="0"/>
          <w:i/>
        </w:rPr>
        <w:t>signum</w:t>
      </w:r>
      <w:r>
        <w:rPr>
          <w:b w:val="0"/>
          <w:i w:val="0"/>
        </w:rPr>
        <w:t xml:space="preserve"> in geometry have different local senses.</w:t>
      </w:r>
    </w:p>
    <w:p>
      <w:pPr>
        <w:keepNext/>
        <w:widowControl/>
      </w:pPr>
      <w:r>
        <w:rPr>
          <w:b/>
          <w:i w:val="0"/>
        </w:rPr>
        <w:t>See also.</w:t>
      </w:r>
    </w:p>
    <w:p>
      <w:pPr>
        <w:widowControl/>
      </w:pPr>
      <w:hyperlink w:anchor="reason-and-account">
        <w:r>
          <w:rPr>
            <w:color w:val="000000"/>
          </w:rPr>
          <w:t xml:space="preserve">Reason and account</w:t>
        </w:r>
      </w:hyperlink>
      <w:r>
        <w:rPr>
          <w:b w:val="0"/>
          <w:i w:val="0"/>
        </w:rPr>
        <w:t xml:space="preserve">; </w:t>
      </w:r>
      <w:hyperlink w:anchor="naming-and-defining">
        <w:r>
          <w:rPr>
            <w:color w:val="000000"/>
          </w:rPr>
          <w:t xml:space="preserve">Naming and defining</w:t>
        </w:r>
      </w:hyperlink>
      <w:r>
        <w:rPr>
          <w:b w:val="0"/>
          <w:i w:val="0"/>
        </w:rPr>
        <w:t xml:space="preserve">; </w:t>
      </w:r>
      <w:hyperlink w:anchor="aristotle-avicenna-and-counting-minds">
        <w:r>
          <w:rPr>
            <w:color w:val="000000"/>
          </w:rPr>
          <w:t xml:space="preserve">Aristotle, Avicenna and counting minds</w:t>
        </w:r>
      </w:hyperlink>
      <w:r>
        <w:rPr>
          <w:b w:val="0"/>
          <w:i w:val="0"/>
        </w:rPr>
        <w:t>.</w:t>
      </w:r>
    </w:p>
    <w:p>
      <w:bookmarkStart w:id="184" w:name="proportion-and-analogy"/>
      <w:pPr>
        <w:pStyle w:val="Heading2"/>
      </w:pPr>
      <w:r>
        <w:rPr>
          <w:b w:val="0"/>
          <w:i w:val="0"/>
        </w:rPr>
        <w:t>Proportion and analogy</w:t>
      </w:r>
      <w:bookmarkEnd w:id="184"/>
    </w:p>
    <w:p>
      <w:pPr>
        <w:keepNext/>
        <w:widowControl/>
      </w:pPr>
      <w:r>
        <w:rPr>
          <w:b/>
          <w:i w:val="0"/>
        </w:rPr>
        <w:t>Latin:</w:t>
      </w:r>
      <w:r>
        <w:rPr>
          <w:b w:val="0"/>
          <w:i w:val="0"/>
        </w:rPr>
        <w:t xml:space="preserve"> </w:t>
      </w:r>
      <w:r>
        <w:rPr>
          <w:b w:val="0"/>
          <w:i/>
        </w:rPr>
        <w:t>proportio</w:t>
      </w:r>
      <w:r>
        <w:rPr>
          <w:b w:val="0"/>
          <w:i w:val="0"/>
        </w:rPr>
        <w:t xml:space="preserve">, </w:t>
      </w:r>
      <w:r>
        <w:rPr>
          <w:b w:val="0"/>
          <w:i/>
        </w:rPr>
        <w:t>sicut … ita</w:t>
      </w:r>
      <w:r>
        <w:rPr>
          <w:b w:val="0"/>
          <w:i w:val="0"/>
        </w:rPr>
        <w:t xml:space="preserve">, </w:t>
      </w:r>
      <w:r>
        <w:rPr>
          <w:b w:val="0"/>
          <w:i/>
        </w:rPr>
        <w:t>quemadmodum</w:t>
      </w:r>
      <w:r>
        <w:rPr>
          <w:b w:val="0"/>
          <w:i w:val="0"/>
        </w:rPr>
        <w:t xml:space="preserve">, </w:t>
      </w:r>
      <w:r>
        <w:rPr>
          <w:b w:val="0"/>
          <w:i/>
        </w:rPr>
        <w:t>quanto … tanto</w:t>
      </w:r>
      <w:r>
        <w:rPr>
          <w:b w:val="0"/>
          <w:i w:val="0"/>
        </w:rPr>
        <w:t xml:space="preserve">, </w:t>
      </w:r>
      <w:r>
        <w:rPr>
          <w:b w:val="0"/>
          <w:i/>
        </w:rPr>
        <w:t>magis</w:t>
      </w:r>
      <w:r>
        <w:rPr>
          <w:b w:val="0"/>
          <w:i w:val="0"/>
        </w:rPr>
        <w:t xml:space="preserve">, </w:t>
      </w:r>
      <w:r>
        <w:rPr>
          <w:b w:val="0"/>
          <w:i/>
        </w:rPr>
        <w:t>multo magis</w:t>
      </w:r>
      <w:r>
        <w:rPr>
          <w:b w:val="0"/>
          <w:i w:val="0"/>
        </w:rPr>
        <w:t>.</w:t>
      </w:r>
    </w:p>
    <w:p>
      <w:pPr>
        <w:keepNext/>
        <w:widowControl/>
      </w:pPr>
      <w:r>
        <w:rPr>
          <w:b/>
          <w:i w:val="0"/>
        </w:rPr>
        <w:t>The word.</w:t>
      </w:r>
    </w:p>
    <w:p>
      <w:pPr>
        <w:widowControl/>
      </w:pPr>
      <w:r>
        <w:rPr>
          <w:b w:val="0"/>
          <w:i/>
        </w:rPr>
        <w:t>Proportio</w:t>
      </w:r>
      <w:r>
        <w:rPr>
          <w:b w:val="0"/>
          <w:i w:val="0"/>
        </w:rPr>
        <w:t xml:space="preserve"> names a correspondence of relations. The paired constructions </w:t>
      </w:r>
      <w:r>
        <w:t>“</w:t>
      </w:r>
      <w:r>
        <w:rPr>
          <w:b w:val="0"/>
          <w:i w:val="0"/>
        </w:rPr>
        <w:t>as … so</w:t>
      </w:r>
      <w:r>
        <w:t>”</w:t>
      </w:r>
      <w:r>
        <w:rPr>
          <w:b w:val="0"/>
          <w:i w:val="0"/>
        </w:rPr>
        <w:t xml:space="preserve"> and </w:t>
      </w:r>
      <w:r>
        <w:t>“</w:t>
      </w:r>
      <w:r>
        <w:rPr>
          <w:b w:val="0"/>
          <w:i w:val="0"/>
        </w:rPr>
        <w:t>the more … the more</w:t>
      </w:r>
      <w:r>
        <w:t>”</w:t>
      </w:r>
      <w:r>
        <w:rPr>
          <w:b w:val="0"/>
          <w:i w:val="0"/>
        </w:rPr>
        <w:t xml:space="preserve"> organize analogy and graded inference; </w:t>
      </w:r>
      <w:r>
        <w:rPr>
          <w:b w:val="0"/>
          <w:i/>
        </w:rPr>
        <w:t>multo magis</w:t>
      </w:r>
      <w:r>
        <w:rPr>
          <w:b w:val="0"/>
          <w:i w:val="0"/>
        </w:rPr>
        <w:t xml:space="preserve"> marks an a-fortiori step. Such expressions are argument-bearing grammar, not merely ornament.</w:t>
      </w:r>
    </w:p>
    <w:p>
      <w:pPr>
        <w:keepNext/>
        <w:widowControl/>
      </w:pPr>
      <w:r>
        <w:rPr>
          <w:b/>
          <w:i w:val="0"/>
        </w:rPr>
        <w:t>In the Platonic Theology.</w:t>
      </w:r>
    </w:p>
    <w:p>
      <w:pPr>
        <w:widowControl/>
      </w:pPr>
      <w:r>
        <w:rPr>
          <w:b w:val="0"/>
          <w:i w:val="0"/>
        </w:rPr>
        <w:t>Book IV repeatedly argues from lower to higher: if low, dense earth and water have lives, higher, purer spheres should have them still more; if small bodily instruments are alive, heaven as life’s instrument should be alive; if ordinary animals are governed by one soul, the more powerful world-animal should be unified at least as strongly. Each inference has a particular shared respect, such as causal efficacy, receptivity, or order. It does not identify every feature of the compared cases.</w:t>
      </w:r>
    </w:p>
    <w:p>
      <w:pPr>
        <w:widowControl/>
      </w:pPr>
      <w:r>
        <w:rPr>
          <w:b w:val="0"/>
          <w:i w:val="0"/>
        </w:rPr>
        <w:t xml:space="preserve">Proportion can also expose an unacceptable result. Assigning God to the first sphere and other intellects to the others risks making their relative superiority merely proportional to that of the spheres. Ficino rejects that limitation. The body-to-body and mover-to-mover correspondence later supports distinct souls for sufficiently distinct bodies, while universal soul is related to nature as nature to body. These arguments must be assessed through their stated premises; a repeated </w:t>
      </w:r>
      <w:r>
        <w:t>“</w:t>
      </w:r>
      <w:r>
        <w:rPr>
          <w:b w:val="0"/>
          <w:i w:val="0"/>
        </w:rPr>
        <w:t>as … so</w:t>
      </w:r>
      <w:r>
        <w:t>”</w:t>
      </w:r>
      <w:r>
        <w:rPr>
          <w:b w:val="0"/>
          <w:i w:val="0"/>
        </w:rPr>
        <w:t xml:space="preserve"> is not independent empirical confirmation.</w:t>
      </w:r>
    </w:p>
    <w:p>
      <w:pPr>
        <w:keepNext/>
        <w:widowControl/>
      </w:pPr>
      <w:r>
        <w:rPr>
          <w:b/>
          <w:i w:val="0"/>
        </w:rPr>
        <w:t>The places.</w:t>
      </w:r>
    </w:p>
    <w:p>
      <w:pPr>
        <w:ind w:left="187" w:hanging="187"/>
      </w:pPr>
      <w:r>
        <w:t xml:space="preserve">• </w:t>
      </w:r>
      <w:r>
        <w:rPr>
          <w:b/>
          <w:i w:val="0"/>
        </w:rPr>
        <w:t>IV.1.10–12 and IV.1.36, PDF pp. 286–289 and 300–301:</w:t>
      </w:r>
      <w:r>
        <w:rPr>
          <w:b w:val="0"/>
          <w:i w:val="0"/>
        </w:rPr>
        <w:t xml:space="preserve"> greater inward efficacy and higher bodily perfection ground a-fortiori inferences</w:t>
      </w:r>
    </w:p>
    <w:p>
      <w:pPr>
        <w:ind w:left="187" w:hanging="187"/>
      </w:pPr>
      <w:r>
        <w:t xml:space="preserve">• </w:t>
      </w:r>
      <w:r>
        <w:rPr>
          <w:b/>
          <w:i w:val="0"/>
        </w:rPr>
        <w:t>IV.1.59–60, pp. 312–313:</w:t>
      </w:r>
      <w:r>
        <w:rPr>
          <w:b w:val="0"/>
          <w:i w:val="0"/>
        </w:rPr>
        <w:t xml:space="preserve"> a proportional allocation would wrongly limit God</w:t>
      </w:r>
    </w:p>
    <w:p>
      <w:pPr>
        <w:ind w:left="187" w:hanging="187"/>
      </w:pPr>
      <w:r>
        <w:t xml:space="preserve">• </w:t>
      </w:r>
      <w:r>
        <w:rPr>
          <w:b/>
          <w:i w:val="0"/>
        </w:rPr>
        <w:t>IV.1.68 and IV.1.79–83, pp. 316–325:</w:t>
      </w:r>
      <w:r>
        <w:rPr>
          <w:b w:val="0"/>
          <w:i w:val="0"/>
        </w:rPr>
        <w:t xml:space="preserve"> living instruments, distinct bodies, and the world-animal supply different analogies</w:t>
      </w:r>
    </w:p>
    <w:p>
      <w:pPr>
        <w:ind w:left="187" w:hanging="187"/>
      </w:pPr>
      <w:r>
        <w:t xml:space="preserve">• </w:t>
      </w:r>
      <w:r>
        <w:rPr>
          <w:b/>
          <w:i w:val="0"/>
        </w:rPr>
        <w:t>IV.2.13–16, pp. 340–343:</w:t>
      </w:r>
      <w:r>
        <w:rPr>
          <w:b w:val="0"/>
          <w:i w:val="0"/>
        </w:rPr>
        <w:t xml:space="preserve"> the journey explains the succession of celestial operations by explicitly transferred comparison</w:t>
      </w:r>
    </w:p>
    <w:p>
      <w:pPr>
        <w:keepNext/>
        <w:widowControl/>
      </w:pPr>
      <w:r>
        <w:rPr>
          <w:b/>
          <w:i w:val="0"/>
        </w:rPr>
        <w:t>In this edition.</w:t>
      </w:r>
    </w:p>
    <w:p>
      <w:pPr>
        <w:widowControl/>
      </w:pPr>
      <w:r>
        <w:rPr>
          <w:b w:val="0"/>
          <w:i w:val="0"/>
        </w:rPr>
        <w:t xml:space="preserve">Comparative wording should be preserved rather than reduced to flat assertions. </w:t>
      </w:r>
      <w:r>
        <w:t>“</w:t>
      </w:r>
      <w:r>
        <w:rPr>
          <w:b w:val="0"/>
          <w:i w:val="0"/>
        </w:rPr>
        <w:t>By the same reasoning</w:t>
      </w:r>
      <w:r>
        <w:t>”</w:t>
      </w:r>
      <w:r>
        <w:rPr>
          <w:b w:val="0"/>
          <w:i w:val="0"/>
        </w:rPr>
        <w:t xml:space="preserve"> can signal extension of an argument, but the reader must still identify which relation is being carried over.</w:t>
      </w:r>
    </w:p>
    <w:p>
      <w:pPr>
        <w:keepNext/>
        <w:widowControl/>
      </w:pPr>
      <w:r>
        <w:rPr>
          <w:b/>
          <w:i w:val="0"/>
        </w:rPr>
        <w:t>See also.</w:t>
      </w:r>
    </w:p>
    <w:p>
      <w:pPr>
        <w:widowControl/>
      </w:pPr>
      <w:hyperlink w:anchor="cause">
        <w:r>
          <w:rPr>
            <w:color w:val="000000"/>
          </w:rPr>
          <w:t xml:space="preserve">Cause</w:t>
        </w:r>
      </w:hyperlink>
      <w:r>
        <w:rPr>
          <w:b w:val="0"/>
          <w:i w:val="0"/>
        </w:rPr>
        <w:t xml:space="preserve">; </w:t>
      </w:r>
      <w:hyperlink w:anchor="fitting-and-correspondence">
        <w:r>
          <w:rPr>
            <w:color w:val="000000"/>
          </w:rPr>
          <w:t xml:space="preserve">Fitting and correspondence</w:t>
        </w:r>
      </w:hyperlink>
      <w:r>
        <w:rPr>
          <w:b w:val="0"/>
          <w:i w:val="0"/>
        </w:rPr>
        <w:t xml:space="preserve">; </w:t>
      </w:r>
      <w:hyperlink w:anchor="euclid-and-the-lantern">
        <w:r>
          <w:rPr>
            <w:color w:val="000000"/>
          </w:rPr>
          <w:t xml:space="preserve">Euclid and the lantern</w:t>
        </w:r>
      </w:hyperlink>
      <w:r>
        <w:rPr>
          <w:b w:val="0"/>
          <w:i w:val="0"/>
        </w:rPr>
        <w:t xml:space="preserve">; </w:t>
      </w:r>
      <w:hyperlink w:anchor="whole-and-parts">
        <w:r>
          <w:rPr>
            <w:color w:val="000000"/>
          </w:rPr>
          <w:t xml:space="preserve">Whole and parts</w:t>
        </w:r>
      </w:hyperlink>
      <w:r>
        <w:rPr>
          <w:b w:val="0"/>
          <w:i w:val="0"/>
        </w:rPr>
        <w:t>.</w:t>
      </w:r>
    </w:p>
    <w:p>
      <w:bookmarkStart w:id="185" w:name="proteus"/>
      <w:pPr>
        <w:pStyle w:val="Heading2"/>
      </w:pPr>
      <w:r>
        <w:rPr>
          <w:b w:val="0"/>
          <w:i w:val="0"/>
        </w:rPr>
        <w:t>Proteus</w:t>
      </w:r>
      <w:bookmarkEnd w:id="185"/>
    </w:p>
    <w:p>
      <w:pPr>
        <w:keepNext/>
        <w:widowControl/>
      </w:pPr>
      <w:r>
        <w:rPr>
          <w:b/>
          <w:i w:val="0"/>
        </w:rPr>
        <w:t>Latin:</w:t>
      </w:r>
      <w:r>
        <w:rPr>
          <w:b w:val="0"/>
          <w:i w:val="0"/>
        </w:rPr>
        <w:t xml:space="preserve"> </w:t>
      </w:r>
      <w:r>
        <w:rPr>
          <w:b w:val="0"/>
          <w:i/>
        </w:rPr>
        <w:t>Protea</w:t>
      </w:r>
      <w:r>
        <w:rPr>
          <w:b w:val="0"/>
          <w:i w:val="0"/>
        </w:rPr>
        <w:t xml:space="preserve">, </w:t>
      </w:r>
      <w:r>
        <w:rPr>
          <w:b w:val="0"/>
          <w:i/>
        </w:rPr>
        <w:t>mutantem … formas</w:t>
      </w:r>
    </w:p>
    <w:p>
      <w:pPr>
        <w:keepNext/>
        <w:widowControl/>
      </w:pPr>
      <w:r>
        <w:rPr>
          <w:b/>
          <w:i w:val="0"/>
        </w:rPr>
        <w:t>The word.</w:t>
      </w:r>
    </w:p>
    <w:p>
      <w:pPr>
        <w:widowControl/>
      </w:pPr>
      <w:r>
        <w:rPr>
          <w:b w:val="0"/>
          <w:i w:val="0"/>
        </w:rPr>
        <w:t>Protea is the accusative of Proteus; mutantem … formas describes him changing forms. The name supplies a mythic interpretation of successive productive manifestations, not a new technical term for a distinct cosmic substance.</w:t>
      </w:r>
    </w:p>
    <w:p>
      <w:pPr>
        <w:keepNext/>
        <w:widowControl/>
      </w:pPr>
      <w:r>
        <w:rPr>
          <w:b/>
          <w:i w:val="0"/>
        </w:rPr>
        <w:t>In the Platonic Theology.</w:t>
      </w:r>
    </w:p>
    <w:p>
      <w:pPr>
        <w:widowControl/>
      </w:pPr>
      <w:r>
        <w:rPr>
          <w:b w:val="0"/>
          <w:i w:val="0"/>
        </w:rPr>
        <w:t>Proteus appears briefly when Ficino interprets the ceaseless activity of cosmic soul’s lowest power. That power holds all its seeds but cannot realize them simultaneously, so it turns successively toward one and then another. The resulting course is called first motion, and its interval first time. Ficino says that he believes this is the Proteus changing forms found in Orpheus. The phrasing marks the identification as his interpretive proposal rather than a definition supplied by the surrounding philosophical argument. The name’s function is to render a sequence of changing productive realizations imaginatively intelligible. Proteus here names the changing realization of productive forms rather than an additional cosmic agent distinct from the soul and its powers.</w:t>
      </w:r>
    </w:p>
    <w:p>
      <w:pPr>
        <w:keepNext/>
        <w:widowControl/>
      </w:pPr>
      <w:r>
        <w:rPr>
          <w:b/>
          <w:i w:val="0"/>
        </w:rPr>
        <w:t>The places.</w:t>
      </w:r>
    </w:p>
    <w:p>
      <w:pPr>
        <w:ind w:left="187" w:hanging="187"/>
      </w:pPr>
      <w:r>
        <w:t xml:space="preserve">• </w:t>
      </w:r>
      <w:r>
        <w:rPr>
          <w:b/>
          <w:i w:val="0"/>
        </w:rPr>
        <w:t>IV.2.12</w:t>
      </w:r>
      <w:r>
        <w:rPr>
          <w:b w:val="0"/>
          <w:i w:val="0"/>
        </w:rPr>
        <w:t>. The lower psychic power realizes seeds successively; Ficino interprets this through Proteus changing forms.</w:t>
      </w:r>
    </w:p>
    <w:p>
      <w:pPr>
        <w:ind w:left="187" w:hanging="187"/>
      </w:pPr>
      <w:r>
        <w:t xml:space="preserve">• </w:t>
      </w:r>
      <w:r>
        <w:rPr>
          <w:b/>
          <w:i w:val="0"/>
        </w:rPr>
        <w:t>IV.2.10–11</w:t>
      </w:r>
      <w:r>
        <w:rPr>
          <w:b w:val="0"/>
          <w:i w:val="0"/>
        </w:rPr>
        <w:t>. The preceding distinction between simultaneous intellectual possession and ordered operation supplies the example’s context.</w:t>
      </w:r>
    </w:p>
    <w:p>
      <w:pPr>
        <w:widowControl/>
      </w:pPr>
      <w:r>
        <w:rPr>
          <w:b/>
          <w:i w:val="0"/>
        </w:rPr>
        <w:t>Further passage references.</w:t>
      </w:r>
      <w:r>
        <w:rPr>
          <w:b w:val="0"/>
          <w:i w:val="0"/>
        </w:rPr>
        <w:t xml:space="preserve"> IV.2.12, pp. 340–341</w:t>
      </w:r>
    </w:p>
    <w:p>
      <w:pPr>
        <w:keepNext/>
        <w:widowControl/>
      </w:pPr>
      <w:r>
        <w:rPr>
          <w:b/>
          <w:i w:val="0"/>
        </w:rPr>
        <w:t>In this edition.</w:t>
      </w:r>
    </w:p>
    <w:p>
      <w:pPr>
        <w:widowControl/>
      </w:pPr>
      <w:r>
        <w:rPr>
          <w:b w:val="0"/>
          <w:i w:val="0"/>
        </w:rPr>
        <w:t xml:space="preserve">The supplied English retains </w:t>
      </w:r>
      <w:r>
        <w:t>“</w:t>
      </w:r>
      <w:r>
        <w:rPr>
          <w:b w:val="0"/>
          <w:i w:val="0"/>
        </w:rPr>
        <w:t>I believe</w:t>
      </w:r>
      <w:r>
        <w:t>”</w:t>
      </w:r>
      <w:r>
        <w:rPr>
          <w:b w:val="0"/>
          <w:i w:val="0"/>
        </w:rPr>
        <w:t xml:space="preserve"> for arbitror and the Orphic attribution. Those words mark Ficino’s proposed identification. Protea is the printed inflection; Proteus is the dictionary name supplied for lookup.</w:t>
      </w:r>
    </w:p>
    <w:p>
      <w:pPr>
        <w:keepNext/>
        <w:widowControl/>
      </w:pPr>
      <w:r>
        <w:rPr>
          <w:b/>
          <w:i w:val="0"/>
        </w:rPr>
        <w:t>See also.</w:t>
      </w:r>
    </w:p>
    <w:p>
      <w:pPr>
        <w:widowControl/>
      </w:pPr>
      <w:hyperlink w:anchor="seeds">
        <w:r>
          <w:rPr>
            <w:color w:val="000000"/>
          </w:rPr>
          <w:t xml:space="preserve">Seeds</w:t>
        </w:r>
      </w:hyperlink>
      <w:r>
        <w:rPr>
          <w:b w:val="0"/>
          <w:i w:val="0"/>
        </w:rPr>
        <w:t xml:space="preserve">; </w:t>
      </w:r>
      <w:hyperlink w:anchor="eternity-and-time">
        <w:r>
          <w:rPr>
            <w:color w:val="000000"/>
          </w:rPr>
          <w:t xml:space="preserve">Eternity and time</w:t>
        </w:r>
      </w:hyperlink>
      <w:r>
        <w:rPr>
          <w:b w:val="0"/>
          <w:i w:val="0"/>
        </w:rPr>
        <w:t xml:space="preserve">; </w:t>
      </w:r>
      <w:hyperlink w:anchor="great-year">
        <w:r>
          <w:rPr>
            <w:color w:val="000000"/>
          </w:rPr>
          <w:t xml:space="preserve">Great year</w:t>
        </w:r>
      </w:hyperlink>
      <w:r>
        <w:rPr>
          <w:b w:val="0"/>
          <w:i w:val="0"/>
        </w:rPr>
        <w:t xml:space="preserve">; </w:t>
      </w:r>
      <w:hyperlink w:anchor="fate">
        <w:r>
          <w:rPr>
            <w:color w:val="000000"/>
          </w:rPr>
          <w:t xml:space="preserve">Fate</w:t>
        </w:r>
      </w:hyperlink>
    </w:p>
    <w:p>
      <w:bookmarkStart w:id="186" w:name="providence"/>
      <w:pPr>
        <w:pStyle w:val="Heading2"/>
      </w:pPr>
      <w:r>
        <w:rPr>
          <w:b w:val="0"/>
          <w:i w:val="0"/>
        </w:rPr>
        <w:t>Providence</w:t>
      </w:r>
      <w:bookmarkEnd w:id="186"/>
    </w:p>
    <w:p>
      <w:pPr>
        <w:keepNext/>
        <w:widowControl/>
      </w:pPr>
      <w:r>
        <w:rPr>
          <w:b/>
          <w:i w:val="0"/>
        </w:rPr>
        <w:t>Latin:</w:t>
      </w:r>
      <w:r>
        <w:rPr>
          <w:b w:val="0"/>
          <w:i w:val="0"/>
        </w:rPr>
        <w:t xml:space="preserve"> </w:t>
      </w:r>
      <w:r>
        <w:rPr>
          <w:b w:val="0"/>
          <w:i/>
        </w:rPr>
        <w:t>providentia</w:t>
      </w:r>
      <w:r>
        <w:rPr>
          <w:b w:val="0"/>
          <w:i w:val="0"/>
        </w:rPr>
        <w:t xml:space="preserve">, </w:t>
      </w:r>
      <w:r>
        <w:rPr>
          <w:b w:val="0"/>
          <w:i/>
        </w:rPr>
        <w:t>providere</w:t>
      </w:r>
      <w:r>
        <w:rPr>
          <w:b w:val="0"/>
          <w:i w:val="0"/>
        </w:rPr>
        <w:t xml:space="preserve">, </w:t>
      </w:r>
      <w:r>
        <w:rPr>
          <w:b w:val="0"/>
          <w:i/>
        </w:rPr>
        <w:t>gubernare</w:t>
      </w:r>
      <w:r>
        <w:rPr>
          <w:b w:val="0"/>
          <w:i w:val="0"/>
        </w:rPr>
        <w:t xml:space="preserve">, </w:t>
      </w:r>
      <w:r>
        <w:rPr>
          <w:b w:val="0"/>
          <w:i/>
        </w:rPr>
        <w:t>regere</w:t>
      </w:r>
      <w:r>
        <w:rPr>
          <w:b w:val="0"/>
          <w:i w:val="0"/>
        </w:rPr>
        <w:t xml:space="preserve">, </w:t>
      </w:r>
      <w:r>
        <w:rPr>
          <w:b w:val="0"/>
          <w:i/>
        </w:rPr>
        <w:t>custodire</w:t>
      </w:r>
      <w:r>
        <w:rPr>
          <w:b w:val="0"/>
          <w:i w:val="0"/>
        </w:rPr>
        <w:t xml:space="preserve">, </w:t>
      </w:r>
      <w:r>
        <w:rPr>
          <w:b w:val="0"/>
          <w:i/>
        </w:rPr>
        <w:t>cura</w:t>
      </w:r>
      <w:r>
        <w:rPr>
          <w:b w:val="0"/>
          <w:i w:val="0"/>
        </w:rPr>
        <w:t xml:space="preserve">, </w:t>
      </w:r>
      <w:r>
        <w:rPr>
          <w:b w:val="0"/>
          <w:i/>
        </w:rPr>
        <w:t>praescientia</w:t>
      </w:r>
      <w:r>
        <w:rPr>
          <w:b w:val="0"/>
          <w:i w:val="0"/>
        </w:rPr>
        <w:t xml:space="preserve">, </w:t>
      </w:r>
      <w:r>
        <w:rPr>
          <w:b w:val="0"/>
          <w:i/>
        </w:rPr>
        <w:t>praevisio</w:t>
      </w:r>
    </w:p>
    <w:p>
      <w:pPr>
        <w:keepNext/>
        <w:widowControl/>
      </w:pPr>
      <w:r>
        <w:rPr>
          <w:b/>
          <w:i w:val="0"/>
        </w:rPr>
        <w:t>The word.</w:t>
      </w:r>
    </w:p>
    <w:p>
      <w:pPr>
        <w:widowControl/>
      </w:pPr>
      <w:r>
        <w:rPr>
          <w:b w:val="0"/>
          <w:i w:val="0"/>
        </w:rPr>
        <w:t>Providentia is intelligent provision and direction; providere can foresee or supply. Gubernare and regere govern, custodire guards, and cura cares. Praescientia and praevisio specify foreknowledge and foresight, narrower than the whole providential activity.</w:t>
      </w:r>
    </w:p>
    <w:p>
      <w:pPr>
        <w:keepNext/>
        <w:widowControl/>
      </w:pPr>
      <w:r>
        <w:rPr>
          <w:b/>
          <w:i w:val="0"/>
        </w:rPr>
        <w:t>In the Platonic Theology.</w:t>
      </w:r>
    </w:p>
    <w:p>
      <w:pPr>
        <w:widowControl/>
      </w:pPr>
      <w:r>
        <w:rPr>
          <w:b w:val="0"/>
          <w:i w:val="0"/>
        </w:rPr>
        <w:t>Providence is God’s intelligent, loving direction and preservation of his work toward good. Ficino derives it from creative love: the cause that produces both matter and form has a fuller relation to its work than a human artisan or parent, and therefore wills and cares for its good. Providence is not limited to noticing events in advance; it includes the order through which opposed elements coexist, living bodies function, and differing causes act appropriately.</w:t>
      </w:r>
    </w:p>
    <w:p>
      <w:pPr>
        <w:widowControl/>
      </w:pPr>
      <w:r>
        <w:rPr>
          <w:b w:val="0"/>
          <w:i w:val="0"/>
        </w:rPr>
        <w:t>Its mode is both universal and particular. God governs inwardly through the powers and natures he gives, rather than laboring over alien materials from outside. The image of a single hinge or a mechanism moved by one ball explains coordinated variety. Intermediate angelic or psychic governance remains dependent on God and does not displace divine providence. Because the whole consists of particular parts, care for the whole cannot simply ignore them, though Ficino evaluates their perfection by their contribution to the whole.</w:t>
      </w:r>
    </w:p>
    <w:p>
      <w:pPr>
        <w:widowControl/>
      </w:pPr>
      <w:r>
        <w:rPr>
          <w:b w:val="0"/>
          <w:i w:val="0"/>
        </w:rPr>
        <w:t>The final section confronts freedom. Foreknowledge contains not only an event but its cause and free mode. God preserves each nature: elements follow their proper motions, animals walk, and rational souls are persuaded rather than dragged. Their necessary orientation toward goodness remains compatible, in Ficino’s account, with free judgment of alternatives. This defended reconciliation distinguishes providence both from mechanical compulsion and from ungoverned chance.</w:t>
      </w:r>
    </w:p>
    <w:p>
      <w:pPr>
        <w:keepNext/>
        <w:widowControl/>
      </w:pPr>
      <w:r>
        <w:rPr>
          <w:b/>
          <w:i w:val="0"/>
        </w:rPr>
        <w:t>The places.</w:t>
      </w:r>
    </w:p>
    <w:p>
      <w:pPr>
        <w:ind w:left="187" w:hanging="187"/>
      </w:pPr>
      <w:r>
        <w:t xml:space="preserve">• </w:t>
      </w:r>
      <w:r>
        <w:rPr>
          <w:b/>
          <w:i w:val="0"/>
        </w:rPr>
        <w:t>II.13.1–3</w:t>
      </w:r>
      <w:r>
        <w:rPr>
          <w:b w:val="0"/>
          <w:i w:val="0"/>
        </w:rPr>
        <w:t>. Creative love grounds continuing provision for the complete work.</w:t>
      </w:r>
    </w:p>
    <w:p>
      <w:pPr>
        <w:ind w:left="187" w:hanging="187"/>
      </w:pPr>
      <w:r>
        <w:t xml:space="preserve">• </w:t>
      </w:r>
      <w:r>
        <w:rPr>
          <w:b/>
          <w:i w:val="0"/>
        </w:rPr>
        <w:t>II.13.8–14</w:t>
      </w:r>
      <w:r>
        <w:rPr>
          <w:b w:val="0"/>
          <w:i w:val="0"/>
        </w:rPr>
        <w:t>. Army, inward hinges, and mechanism illustrate unified direction of diverse effects.</w:t>
      </w:r>
    </w:p>
    <w:p>
      <w:pPr>
        <w:ind w:left="187" w:hanging="187"/>
      </w:pPr>
      <w:r>
        <w:t xml:space="preserve">• </w:t>
      </w:r>
      <w:r>
        <w:rPr>
          <w:b/>
          <w:i w:val="0"/>
        </w:rPr>
        <w:t>II.13.16–24</w:t>
      </w:r>
      <w:r>
        <w:rPr>
          <w:b w:val="0"/>
          <w:i w:val="0"/>
        </w:rPr>
        <w:t>. The argument moves from organic provision to whole–part perfection.</w:t>
      </w:r>
    </w:p>
    <w:p>
      <w:pPr>
        <w:ind w:left="187" w:hanging="187"/>
      </w:pPr>
      <w:r>
        <w:t xml:space="preserve">• </w:t>
      </w:r>
      <w:r>
        <w:rPr>
          <w:b/>
          <w:i w:val="0"/>
        </w:rPr>
        <w:t>II.13.25–30</w:t>
      </w:r>
      <w:r>
        <w:rPr>
          <w:b w:val="0"/>
          <w:i w:val="0"/>
        </w:rPr>
        <w:t>. Foreknowledge, natural modes, persuasion, and free judgment are reconciled.</w:t>
      </w:r>
    </w:p>
    <w:p>
      <w:pPr>
        <w:widowControl/>
      </w:pPr>
      <w:r>
        <w:rPr>
          <w:b/>
          <w:i w:val="0"/>
        </w:rPr>
        <w:t>Further passage references.</w:t>
      </w:r>
      <w:r>
        <w:rPr>
          <w:b w:val="0"/>
          <w:i w:val="0"/>
        </w:rPr>
        <w:t xml:space="preserve"> II.12.21, PDF 214–215; II.13.1–30, PDF 216–237</w:t>
      </w:r>
    </w:p>
    <w:p>
      <w:pPr>
        <w:keepNext/>
        <w:widowControl/>
      </w:pPr>
      <w:r>
        <w:rPr>
          <w:b/>
          <w:i w:val="0"/>
        </w:rPr>
        <w:t>In this edition.</w:t>
      </w:r>
    </w:p>
    <w:p>
      <w:pPr>
        <w:widowControl/>
      </w:pPr>
      <w:r>
        <w:rPr>
          <w:b w:val="0"/>
          <w:i w:val="0"/>
        </w:rPr>
        <w:t>The concrete provisa of food, places, and times in II.13.16 means provided, not merely predicted. In II.13.25 the conditional necessity of foreseen action preserves its known free mode. The final persuasion language must be read with quasi cogit and the retained freedom of particular judgment.</w:t>
      </w:r>
    </w:p>
    <w:p>
      <w:pPr>
        <w:keepNext/>
        <w:widowControl/>
      </w:pPr>
      <w:r>
        <w:rPr>
          <w:b/>
          <w:i w:val="0"/>
        </w:rPr>
        <w:t>See also.</w:t>
      </w:r>
    </w:p>
    <w:p>
      <w:pPr>
        <w:widowControl/>
      </w:pPr>
      <w:hyperlink w:anchor="chance">
        <w:r>
          <w:rPr>
            <w:color w:val="000000"/>
          </w:rPr>
          <w:t xml:space="preserve">Chance</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contingency">
        <w:r>
          <w:rPr>
            <w:color w:val="000000"/>
          </w:rPr>
          <w:t xml:space="preserve">Contingency</w:t>
        </w:r>
      </w:hyperlink>
      <w:r>
        <w:rPr>
          <w:b w:val="0"/>
          <w:i w:val="0"/>
        </w:rPr>
        <w:t xml:space="preserve">; </w:t>
      </w:r>
      <w:hyperlink w:anchor="love-and-pleasure">
        <w:r>
          <w:rPr>
            <w:color w:val="000000"/>
          </w:rPr>
          <w:t xml:space="preserve">Love and pleasure</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p>
    <w:p>
      <w:bookmarkStart w:id="187" w:name="nourishment-and-provision"/>
      <w:pPr>
        <w:pStyle w:val="Heading2"/>
      </w:pPr>
      <w:r>
        <w:rPr>
          <w:b w:val="0"/>
          <w:i w:val="0"/>
        </w:rPr>
        <w:t>Providential provision</w:t>
      </w:r>
      <w:bookmarkEnd w:id="187"/>
    </w:p>
    <w:p>
      <w:pPr>
        <w:keepNext/>
        <w:widowControl/>
      </w:pPr>
      <w:r>
        <w:rPr>
          <w:b/>
          <w:i w:val="0"/>
        </w:rPr>
        <w:t>Latin:</w:t>
      </w:r>
      <w:r>
        <w:rPr>
          <w:b w:val="0"/>
          <w:i w:val="0"/>
        </w:rPr>
        <w:t xml:space="preserve"> </w:t>
      </w:r>
      <w:r>
        <w:rPr>
          <w:b w:val="0"/>
          <w:i/>
        </w:rPr>
        <w:t>alimenta; providere; loca; tempora; instrumenta; instruere; temperare; semen</w:t>
      </w:r>
    </w:p>
    <w:p>
      <w:pPr>
        <w:keepNext/>
        <w:widowControl/>
      </w:pPr>
      <w:r>
        <w:rPr>
          <w:b/>
          <w:i w:val="0"/>
        </w:rPr>
        <w:t>The word.</w:t>
      </w:r>
    </w:p>
    <w:p>
      <w:pPr>
        <w:widowControl/>
      </w:pPr>
      <w:r>
        <w:rPr>
          <w:b w:val="0"/>
          <w:i w:val="0"/>
        </w:rPr>
        <w:t>Alimenta are nourishment or food; providere supplies or makes provision as well as foreseeing. Instrumenta are equipment or organs serving a function. Tempora here are fitting times or seasons, not an abstract definition of time.</w:t>
      </w:r>
    </w:p>
    <w:p>
      <w:pPr>
        <w:keepNext/>
        <w:widowControl/>
      </w:pPr>
      <w:r>
        <w:rPr>
          <w:b/>
          <w:i w:val="0"/>
        </w:rPr>
        <w:t>In the Platonic Theology.</w:t>
      </w:r>
    </w:p>
    <w:p>
      <w:pPr>
        <w:widowControl/>
      </w:pPr>
      <w:r>
        <w:rPr>
          <w:b w:val="0"/>
          <w:i w:val="0"/>
        </w:rPr>
        <w:t>The providence argument connects an organism’s internal arrangement with its external conditions. Its members serve one another and the composite whole; suitable instruments enable its natural work. Food, places, and times are provided, earth and water prepare nourishment, and heaven tempers earth and water. The following counterfactual imagines missing organs, wrong offspring, and mismatched limbs if no superior counsel ordered things. Seed, figure, season, and end together describe a regular production, rather than furnishing a separate biological classification. Ficino’s claims about the completeness of organic provision and the role of heaven belong to his defense of cosmic order. They should not be treated as a contemporary medical or ecological assurance that every living thing always receives what it needs.</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II.13.16 (Latin PDF p. 226; English PDF p. 227).</w:t>
      </w:r>
      <w:r>
        <w:rPr>
          <w:b w:val="0"/>
          <w:i w:val="0"/>
        </w:rPr>
        <w:t xml:space="preserve"> Organs, nourishment, places, and times form one provisioned order.</w:t>
      </w:r>
    </w:p>
    <w:p>
      <w:pPr>
        <w:ind w:left="187" w:hanging="187"/>
      </w:pPr>
      <w:r>
        <w:t xml:space="preserve">• </w:t>
      </w:r>
      <w:r>
        <w:rPr>
          <w:b/>
          <w:i w:val="0"/>
        </w:rPr>
        <w:t>II.13.17 (Latin PDF p. 228; English PDF p. 229).</w:t>
      </w:r>
      <w:r>
        <w:rPr>
          <w:b w:val="0"/>
          <w:i w:val="0"/>
        </w:rPr>
        <w:t xml:space="preserve"> Absent organs and mismatched offspring supply the counterfactual contrast.</w:t>
      </w:r>
    </w:p>
    <w:p>
      <w:pPr>
        <w:keepNext/>
        <w:widowControl/>
      </w:pPr>
      <w:r>
        <w:rPr>
          <w:b/>
          <w:i w:val="0"/>
        </w:rPr>
        <w:t>In this edition.</w:t>
      </w:r>
    </w:p>
    <w:p>
      <w:pPr>
        <w:widowControl/>
      </w:pPr>
      <w:r>
        <w:t>“</w:t>
      </w:r>
      <w:r>
        <w:rPr>
          <w:b w:val="0"/>
          <w:i w:val="0"/>
        </w:rPr>
        <w:t>Provided for</w:t>
      </w:r>
      <w:r>
        <w:t>”</w:t>
      </w:r>
      <w:r>
        <w:rPr>
          <w:b w:val="0"/>
          <w:i w:val="0"/>
        </w:rPr>
        <w:t xml:space="preserve"> preserves the concrete sense of provisa and provisurus. Its connection with providentia should remain audible, but translating every such occurrence as </w:t>
      </w:r>
      <w:r>
        <w:t>“</w:t>
      </w:r>
      <w:r>
        <w:rPr>
          <w:b w:val="0"/>
          <w:i w:val="0"/>
        </w:rPr>
        <w:t>foreknown</w:t>
      </w:r>
      <w:r>
        <w:t>”</w:t>
      </w:r>
      <w:r>
        <w:rPr>
          <w:b w:val="0"/>
          <w:i w:val="0"/>
        </w:rPr>
        <w:t xml:space="preserve"> would erase the supply of food and equipment.</w:t>
      </w:r>
    </w:p>
    <w:p>
      <w:pPr>
        <w:keepNext/>
        <w:widowControl/>
      </w:pPr>
      <w:r>
        <w:rPr>
          <w:b/>
          <w:i w:val="0"/>
        </w:rPr>
        <w:t>See also.</w:t>
      </w:r>
    </w:p>
    <w:p>
      <w:pPr>
        <w:widowControl/>
      </w:pPr>
      <w:hyperlink w:anchor="providence">
        <w:r>
          <w:rPr>
            <w:color w:val="000000"/>
          </w:rPr>
          <w:t xml:space="preserve">Providence</w:t>
        </w:r>
      </w:hyperlink>
      <w:r>
        <w:rPr>
          <w:b w:val="0"/>
          <w:i w:val="0"/>
        </w:rPr>
        <w:t xml:space="preserve">; </w:t>
      </w:r>
      <w:hyperlink w:anchor="seeds">
        <w:r>
          <w:rPr>
            <w:color w:val="000000"/>
          </w:rPr>
          <w:t xml:space="preserve">Seeds</w:t>
        </w:r>
      </w:hyperlink>
      <w:r>
        <w:rPr>
          <w:b w:val="0"/>
          <w:i w:val="0"/>
        </w:rPr>
        <w:t xml:space="preserve">; </w:t>
      </w:r>
      <w:hyperlink w:anchor="whole-and-parts">
        <w:r>
          <w:rPr>
            <w:color w:val="000000"/>
          </w:rPr>
          <w:t xml:space="preserve">Whole and parts</w:t>
        </w:r>
      </w:hyperlink>
      <w:r>
        <w:rPr>
          <w:b w:val="0"/>
          <w:i w:val="0"/>
        </w:rPr>
        <w:t xml:space="preserve">; </w:t>
      </w:r>
      <w:hyperlink w:anchor="instrument">
        <w:r>
          <w:rPr>
            <w:color w:val="000000"/>
          </w:rPr>
          <w:t xml:space="preserve">Instrument</w:t>
        </w:r>
      </w:hyperlink>
      <w:r>
        <w:rPr>
          <w:b w:val="0"/>
          <w:i w:val="0"/>
        </w:rPr>
        <w:t>.</w:t>
      </w:r>
    </w:p>
    <w:p>
      <w:bookmarkStart w:id="188" w:name="proximity-and-causal-presence"/>
      <w:pPr>
        <w:pStyle w:val="Heading2"/>
      </w:pPr>
      <w:r>
        <w:rPr>
          <w:b w:val="0"/>
          <w:i w:val="0"/>
        </w:rPr>
        <w:t>Proximity and causal presence</w:t>
      </w:r>
      <w:bookmarkEnd w:id="188"/>
    </w:p>
    <w:p>
      <w:pPr>
        <w:keepNext/>
        <w:widowControl/>
      </w:pPr>
      <w:r>
        <w:rPr>
          <w:b/>
          <w:i w:val="0"/>
        </w:rPr>
        <w:t>Latin:</w:t>
      </w:r>
      <w:r>
        <w:rPr>
          <w:b w:val="0"/>
          <w:i w:val="0"/>
        </w:rPr>
        <w:t xml:space="preserve"> </w:t>
      </w:r>
      <w:r>
        <w:rPr>
          <w:b w:val="0"/>
          <w:i/>
        </w:rPr>
        <w:t>proximae</w:t>
      </w:r>
      <w:r>
        <w:rPr>
          <w:b w:val="0"/>
          <w:i w:val="0"/>
        </w:rPr>
        <w:t xml:space="preserve">, </w:t>
      </w:r>
      <w:r>
        <w:rPr>
          <w:b w:val="0"/>
          <w:i/>
        </w:rPr>
        <w:t>praesentia</w:t>
      </w:r>
      <w:r>
        <w:rPr>
          <w:b w:val="0"/>
          <w:i w:val="0"/>
        </w:rPr>
        <w:t xml:space="preserve">, </w:t>
      </w:r>
      <w:r>
        <w:rPr>
          <w:b w:val="0"/>
          <w:i/>
        </w:rPr>
        <w:t>admovetur</w:t>
      </w:r>
      <w:r>
        <w:rPr>
          <w:b w:val="0"/>
          <w:i w:val="0"/>
        </w:rPr>
        <w:t xml:space="preserve">, </w:t>
      </w:r>
      <w:r>
        <w:rPr>
          <w:b w:val="0"/>
          <w:i/>
        </w:rPr>
        <w:t>penetrat</w:t>
      </w:r>
      <w:r>
        <w:rPr>
          <w:b w:val="0"/>
          <w:i w:val="0"/>
        </w:rPr>
        <w:t xml:space="preserve">, </w:t>
      </w:r>
      <w:r>
        <w:rPr>
          <w:b w:val="0"/>
          <w:i/>
        </w:rPr>
        <w:t>penetrante</w:t>
      </w:r>
      <w:r>
        <w:rPr>
          <w:b w:val="0"/>
          <w:i w:val="0"/>
        </w:rPr>
        <w:t xml:space="preserve">, </w:t>
      </w:r>
      <w:r>
        <w:rPr>
          <w:b w:val="0"/>
          <w:i/>
        </w:rPr>
        <w:t>familiaris</w:t>
      </w:r>
      <w:r>
        <w:rPr>
          <w:b w:val="0"/>
          <w:i w:val="0"/>
        </w:rPr>
        <w:t xml:space="preserve">, </w:t>
      </w:r>
      <w:r>
        <w:rPr>
          <w:b w:val="0"/>
          <w:i/>
        </w:rPr>
        <w:t>familiarissima</w:t>
      </w:r>
      <w:r>
        <w:rPr>
          <w:b w:val="0"/>
          <w:i w:val="0"/>
        </w:rPr>
        <w:t xml:space="preserve">, </w:t>
      </w:r>
      <w:r>
        <w:rPr>
          <w:b w:val="0"/>
          <w:i/>
        </w:rPr>
        <w:t>proxime</w:t>
      </w:r>
      <w:r>
        <w:rPr>
          <w:b w:val="0"/>
          <w:i w:val="0"/>
        </w:rPr>
        <w:t>.</w:t>
      </w:r>
    </w:p>
    <w:p>
      <w:pPr>
        <w:keepNext/>
        <w:widowControl/>
      </w:pPr>
      <w:r>
        <w:rPr>
          <w:b/>
          <w:i w:val="0"/>
        </w:rPr>
        <w:t>The word.</w:t>
      </w:r>
    </w:p>
    <w:p>
      <w:pPr>
        <w:widowControl/>
      </w:pPr>
      <w:r>
        <w:rPr>
          <w:b w:val="0"/>
          <w:i/>
        </w:rPr>
        <w:t>Proximus</w:t>
      </w:r>
      <w:r>
        <w:rPr>
          <w:b w:val="0"/>
          <w:i w:val="0"/>
        </w:rPr>
        <w:t xml:space="preserve"> is nearest, and </w:t>
      </w:r>
      <w:r>
        <w:rPr>
          <w:b w:val="0"/>
          <w:i/>
        </w:rPr>
        <w:t>proxime</w:t>
      </w:r>
      <w:r>
        <w:rPr>
          <w:b w:val="0"/>
          <w:i w:val="0"/>
        </w:rPr>
        <w:t xml:space="preserve"> immediately or most closely. </w:t>
      </w:r>
      <w:r>
        <w:rPr>
          <w:b w:val="0"/>
          <w:i/>
        </w:rPr>
        <w:t>Praesentia</w:t>
      </w:r>
      <w:r>
        <w:rPr>
          <w:b w:val="0"/>
          <w:i w:val="0"/>
        </w:rPr>
        <w:t xml:space="preserve"> is presence; </w:t>
      </w:r>
      <w:r>
        <w:rPr>
          <w:b w:val="0"/>
          <w:i/>
        </w:rPr>
        <w:t>admovēre</w:t>
      </w:r>
      <w:r>
        <w:rPr>
          <w:b w:val="0"/>
          <w:i w:val="0"/>
        </w:rPr>
        <w:t xml:space="preserve"> brings something near; </w:t>
      </w:r>
      <w:r>
        <w:rPr>
          <w:b w:val="0"/>
          <w:i/>
        </w:rPr>
        <w:t>penetrare</w:t>
      </w:r>
      <w:r>
        <w:rPr>
          <w:b w:val="0"/>
          <w:i w:val="0"/>
        </w:rPr>
        <w:t xml:space="preserve"> enters within. </w:t>
      </w:r>
      <w:r>
        <w:rPr>
          <w:b w:val="0"/>
          <w:i/>
        </w:rPr>
        <w:t>Familiaris</w:t>
      </w:r>
      <w:r>
        <w:rPr>
          <w:b w:val="0"/>
          <w:i w:val="0"/>
        </w:rPr>
        <w:t xml:space="preserve"> here frequently means intimately joined or specifically related, rather than socially friendly.</w:t>
      </w:r>
    </w:p>
    <w:p>
      <w:pPr>
        <w:keepNext/>
        <w:widowControl/>
      </w:pPr>
      <w:r>
        <w:rPr>
          <w:b/>
          <w:i w:val="0"/>
        </w:rPr>
        <w:t>In the Platonic Theology.</w:t>
      </w:r>
    </w:p>
    <w:p>
      <w:pPr>
        <w:widowControl/>
      </w:pPr>
      <w:r>
        <w:rPr>
          <w:b w:val="0"/>
          <w:i w:val="0"/>
        </w:rPr>
        <w:t>The argument from celestial influences turns on the proximity of a substantial agent. An influence far removed from its celestial living source cannot independently generate a living substance: it must serve a proximate living substance as its instrument. Simply moving one body alongside another is not enough, Ficino argues, because what enters is an accidental effect while the body’s substance remains outside. He therefore requires an incorporeal living agent capable of inward presence. Spatial approach and causal presence are distinguishable.</w:t>
      </w:r>
    </w:p>
    <w:p>
      <w:pPr>
        <w:widowControl/>
      </w:pPr>
      <w:r>
        <w:rPr>
          <w:b w:val="0"/>
          <w:i w:val="0"/>
        </w:rPr>
        <w:t xml:space="preserve">Later the same vocabulary protects both divine transcendence and the soul’s intimacy with its sphere. God is common to everything and cannot be the exclusively proper mover of one body. Angelic mind, too, cannot be a sphere’s immediately indwelling life. Soul supplies the familiar mover; higher causes supply order and stability. Consequently, </w:t>
      </w:r>
      <w:r>
        <w:t>“</w:t>
      </w:r>
      <w:r>
        <w:rPr>
          <w:b w:val="0"/>
          <w:i w:val="0"/>
        </w:rPr>
        <w:t>God does not move heaven immediately</w:t>
      </w:r>
      <w:r>
        <w:t>”</w:t>
      </w:r>
      <w:r>
        <w:rPr>
          <w:b w:val="0"/>
          <w:i w:val="0"/>
        </w:rPr>
        <w:t xml:space="preserve"> does not mean God has no causal role. It denies that the first cause occupies the same explanatory position as the soul’s conjoined motive power.</w:t>
      </w:r>
    </w:p>
    <w:p>
      <w:pPr>
        <w:keepNext/>
        <w:widowControl/>
      </w:pPr>
      <w:r>
        <w:rPr>
          <w:b/>
          <w:i w:val="0"/>
        </w:rPr>
        <w:t>The places.</w:t>
      </w:r>
    </w:p>
    <w:p>
      <w:pPr>
        <w:ind w:left="187" w:hanging="187"/>
      </w:pPr>
      <w:r>
        <w:t xml:space="preserve">• </w:t>
      </w:r>
      <w:r>
        <w:rPr>
          <w:b/>
          <w:i w:val="0"/>
        </w:rPr>
        <w:t>IV.1.3–5, PDF pp. 282–285:</w:t>
      </w:r>
      <w:r>
        <w:rPr>
          <w:b w:val="0"/>
          <w:i w:val="0"/>
        </w:rPr>
        <w:t xml:space="preserve"> a proximate substantial producer is distinguished from a remote influence and from bodily contact</w:t>
      </w:r>
    </w:p>
    <w:p>
      <w:pPr>
        <w:ind w:left="187" w:hanging="187"/>
      </w:pPr>
      <w:r>
        <w:t xml:space="preserve">• </w:t>
      </w:r>
      <w:r>
        <w:rPr>
          <w:b/>
          <w:i w:val="0"/>
        </w:rPr>
        <w:t>IV.1.29–32, pp. 296–299:</w:t>
      </w:r>
      <w:r>
        <w:rPr>
          <w:b w:val="0"/>
          <w:i w:val="0"/>
        </w:rPr>
        <w:t xml:space="preserve"> soul mediates between separated mind and body</w:t>
      </w:r>
    </w:p>
    <w:p>
      <w:pPr>
        <w:ind w:left="187" w:hanging="187"/>
      </w:pPr>
      <w:r>
        <w:t xml:space="preserve">• </w:t>
      </w:r>
      <w:r>
        <w:rPr>
          <w:b/>
          <w:i w:val="0"/>
        </w:rPr>
        <w:t>IV.1.54 and IV.1.59–64, pp. 308–315:</w:t>
      </w:r>
      <w:r>
        <w:rPr>
          <w:b w:val="0"/>
          <w:i w:val="0"/>
        </w:rPr>
        <w:t xml:space="preserve"> intimate movers are required without assigning God to one sphere as its proper governor</w:t>
      </w:r>
    </w:p>
    <w:p>
      <w:pPr>
        <w:ind w:left="187" w:hanging="187"/>
      </w:pPr>
      <w:r>
        <w:t xml:space="preserve">• </w:t>
      </w:r>
      <w:r>
        <w:rPr>
          <w:b/>
          <w:i w:val="0"/>
        </w:rPr>
        <w:t>IV.1.66–67, pp. 316–317:</w:t>
      </w:r>
      <w:r>
        <w:rPr>
          <w:b w:val="0"/>
          <w:i w:val="0"/>
        </w:rPr>
        <w:t xml:space="preserve"> the immediate motive power is present throughout heaven without bodily extension</w:t>
      </w:r>
    </w:p>
    <w:p>
      <w:pPr>
        <w:keepNext/>
        <w:widowControl/>
      </w:pPr>
      <w:r>
        <w:rPr>
          <w:b/>
          <w:i w:val="0"/>
        </w:rPr>
        <w:t>In this edition.</w:t>
      </w:r>
    </w:p>
    <w:p>
      <w:pPr>
        <w:widowControl/>
      </w:pPr>
      <w:r>
        <w:t>“</w:t>
      </w:r>
      <w:r>
        <w:rPr>
          <w:b w:val="0"/>
          <w:i w:val="0"/>
        </w:rPr>
        <w:t>Intimately joined,</w:t>
      </w:r>
      <w:r>
        <w:t>”</w:t>
      </w:r>
      <w:r>
        <w:rPr>
          <w:b w:val="0"/>
          <w:i w:val="0"/>
        </w:rPr>
        <w:t xml:space="preserve"> </w:t>
      </w:r>
      <w:r>
        <w:t>“</w:t>
      </w:r>
      <w:r>
        <w:rPr>
          <w:b w:val="0"/>
          <w:i w:val="0"/>
        </w:rPr>
        <w:t>proper,</w:t>
      </w:r>
      <w:r>
        <w:t>”</w:t>
      </w:r>
      <w:r>
        <w:rPr>
          <w:b w:val="0"/>
          <w:i w:val="0"/>
        </w:rPr>
        <w:t xml:space="preserve"> and </w:t>
      </w:r>
      <w:r>
        <w:t>“</w:t>
      </w:r>
      <w:r>
        <w:rPr>
          <w:b w:val="0"/>
          <w:i w:val="0"/>
        </w:rPr>
        <w:t>immediately</w:t>
      </w:r>
      <w:r>
        <w:t>”</w:t>
      </w:r>
      <w:r>
        <w:rPr>
          <w:b w:val="0"/>
          <w:i w:val="0"/>
        </w:rPr>
        <w:t xml:space="preserve"> are functionally precise translations. Their familiar English connotations should not erase the difference between spatial distance, hierarchical nearness, and causal mediation.</w:t>
      </w:r>
    </w:p>
    <w:p>
      <w:pPr>
        <w:keepNext/>
        <w:widowControl/>
      </w:pPr>
      <w:r>
        <w:rPr>
          <w:b/>
          <w:i w:val="0"/>
        </w:rPr>
        <w:t>See also.</w:t>
      </w:r>
    </w:p>
    <w:p>
      <w:pPr>
        <w:widowControl/>
      </w:pPr>
      <w:hyperlink w:anchor="indwelling-and-presence">
        <w:r>
          <w:rPr>
            <w:color w:val="000000"/>
          </w:rPr>
          <w:t xml:space="preserve">Indwelling and presence</w:t>
        </w:r>
      </w:hyperlink>
      <w:r>
        <w:rPr>
          <w:b w:val="0"/>
          <w:i w:val="0"/>
        </w:rPr>
        <w:t xml:space="preserve">; </w:t>
      </w:r>
      <w:hyperlink w:anchor="cause">
        <w:r>
          <w:rPr>
            <w:color w:val="000000"/>
          </w:rPr>
          <w:t xml:space="preserve">Cause</w:t>
        </w:r>
      </w:hyperlink>
      <w:r>
        <w:rPr>
          <w:b w:val="0"/>
          <w:i w:val="0"/>
        </w:rPr>
        <w:t xml:space="preserve">; </w:t>
      </w:r>
      <w:hyperlink w:anchor="instrument">
        <w:r>
          <w:rPr>
            <w:color w:val="000000"/>
          </w:rPr>
          <w:t xml:space="preserve">Instrument</w:t>
        </w:r>
      </w:hyperlink>
      <w:r>
        <w:rPr>
          <w:b w:val="0"/>
          <w:i w:val="0"/>
        </w:rPr>
        <w:t xml:space="preserve">; </w:t>
      </w:r>
      <w:hyperlink w:anchor="common-and-proper">
        <w:r>
          <w:rPr>
            <w:color w:val="000000"/>
          </w:rPr>
          <w:t xml:space="preserve">Proper and common</w:t>
        </w:r>
      </w:hyperlink>
      <w:r>
        <w:rPr>
          <w:b w:val="0"/>
          <w:i w:val="0"/>
        </w:rPr>
        <w:t>.</w:t>
      </w:r>
    </w:p>
    <w:p>
      <w:bookmarkStart w:id="189" w:name="purity-and-mixture"/>
      <w:pPr>
        <w:pStyle w:val="Heading2"/>
      </w:pPr>
      <w:r>
        <w:rPr>
          <w:b w:val="0"/>
          <w:i w:val="0"/>
        </w:rPr>
        <w:t>Purity and mixture</w:t>
      </w:r>
      <w:bookmarkEnd w:id="189"/>
    </w:p>
    <w:p>
      <w:pPr>
        <w:keepNext/>
        <w:widowControl/>
      </w:pPr>
      <w:r>
        <w:rPr>
          <w:b/>
          <w:i w:val="0"/>
        </w:rPr>
        <w:t>Latin:</w:t>
      </w:r>
      <w:r>
        <w:rPr>
          <w:b w:val="0"/>
          <w:i w:val="0"/>
        </w:rPr>
        <w:t xml:space="preserve"> </w:t>
      </w:r>
      <w:r>
        <w:rPr>
          <w:b w:val="0"/>
          <w:i/>
        </w:rPr>
        <w:t>purus</w:t>
      </w:r>
      <w:r>
        <w:rPr>
          <w:b w:val="0"/>
          <w:i w:val="0"/>
        </w:rPr>
        <w:t xml:space="preserve">, </w:t>
      </w:r>
      <w:r>
        <w:rPr>
          <w:b w:val="0"/>
          <w:i/>
        </w:rPr>
        <w:t>puritas</w:t>
      </w:r>
      <w:r>
        <w:rPr>
          <w:b w:val="0"/>
          <w:i w:val="0"/>
        </w:rPr>
        <w:t xml:space="preserve">; </w:t>
      </w:r>
      <w:r>
        <w:rPr>
          <w:b w:val="0"/>
          <w:i/>
        </w:rPr>
        <w:t>commiscere</w:t>
      </w:r>
      <w:r>
        <w:rPr>
          <w:b w:val="0"/>
          <w:i w:val="0"/>
        </w:rPr>
        <w:t xml:space="preserve">, </w:t>
      </w:r>
      <w:r>
        <w:rPr>
          <w:b w:val="0"/>
          <w:i/>
        </w:rPr>
        <w:t>miscere</w:t>
      </w:r>
      <w:r>
        <w:rPr>
          <w:b w:val="0"/>
          <w:i w:val="0"/>
        </w:rPr>
        <w:t xml:space="preserve">, </w:t>
      </w:r>
      <w:r>
        <w:rPr>
          <w:b w:val="0"/>
          <w:i/>
        </w:rPr>
        <w:t>commixtio</w:t>
      </w:r>
      <w:r>
        <w:rPr>
          <w:b w:val="0"/>
          <w:i w:val="0"/>
        </w:rPr>
        <w:t xml:space="preserve">, </w:t>
      </w:r>
      <w:r>
        <w:rPr>
          <w:b w:val="0"/>
          <w:i/>
        </w:rPr>
        <w:t>mixtio</w:t>
      </w:r>
      <w:r>
        <w:rPr>
          <w:b w:val="0"/>
          <w:i w:val="0"/>
        </w:rPr>
        <w:t xml:space="preserve">, </w:t>
      </w:r>
      <w:r>
        <w:rPr>
          <w:b w:val="0"/>
          <w:i/>
        </w:rPr>
        <w:t>inquinare</w:t>
      </w:r>
      <w:r>
        <w:rPr>
          <w:b w:val="0"/>
          <w:i w:val="0"/>
        </w:rPr>
        <w:t xml:space="preserve">, </w:t>
      </w:r>
      <w:r>
        <w:rPr>
          <w:b w:val="0"/>
          <w:i/>
        </w:rPr>
        <w:t>contagio</w:t>
      </w:r>
      <w:r>
        <w:rPr>
          <w:b w:val="0"/>
          <w:i w:val="0"/>
        </w:rPr>
        <w:t xml:space="preserve">; </w:t>
      </w:r>
      <w:r>
        <w:rPr>
          <w:b w:val="0"/>
          <w:i/>
        </w:rPr>
        <w:t>crassitudo</w:t>
      </w:r>
      <w:r>
        <w:rPr>
          <w:b w:val="0"/>
          <w:i w:val="0"/>
        </w:rPr>
        <w:t xml:space="preserve">, </w:t>
      </w:r>
      <w:r>
        <w:rPr>
          <w:b w:val="0"/>
          <w:i/>
        </w:rPr>
        <w:t>simplicitas</w:t>
      </w:r>
      <w:r>
        <w:rPr>
          <w:b w:val="0"/>
          <w:i w:val="0"/>
        </w:rPr>
        <w:t xml:space="preserve">, </w:t>
      </w:r>
      <w:r>
        <w:rPr>
          <w:b w:val="0"/>
          <w:i/>
        </w:rPr>
        <w:t>temperatio</w:t>
      </w:r>
      <w:r>
        <w:rPr>
          <w:b w:val="0"/>
          <w:i w:val="0"/>
        </w:rPr>
        <w:t xml:space="preserve">, </w:t>
      </w:r>
      <w:r>
        <w:rPr>
          <w:b w:val="0"/>
          <w:i/>
        </w:rPr>
        <w:t>temperantia</w:t>
      </w:r>
      <w:r>
        <w:rPr>
          <w:b w:val="0"/>
          <w:i w:val="0"/>
        </w:rPr>
        <w:t xml:space="preserve">, </w:t>
      </w:r>
      <w:r>
        <w:rPr>
          <w:b w:val="0"/>
          <w:i/>
        </w:rPr>
        <w:t>aequalitas</w:t>
      </w:r>
      <w:r>
        <w:rPr>
          <w:b w:val="0"/>
          <w:i w:val="0"/>
        </w:rPr>
        <w:t xml:space="preserve">, </w:t>
      </w:r>
      <w:r>
        <w:rPr>
          <w:b w:val="0"/>
          <w:i/>
        </w:rPr>
        <w:t>complexio</w:t>
      </w:r>
    </w:p>
    <w:p>
      <w:pPr>
        <w:keepNext/>
        <w:widowControl/>
      </w:pPr>
      <w:r>
        <w:rPr>
          <w:b/>
          <w:i w:val="0"/>
        </w:rPr>
        <w:t>The word.</w:t>
      </w:r>
    </w:p>
    <w:p>
      <w:pPr>
        <w:widowControl/>
      </w:pPr>
      <w:r>
        <w:rPr>
          <w:b w:val="0"/>
          <w:i w:val="0"/>
        </w:rPr>
        <w:t>Purus and puritas describe absence of an alien admixture. Miscere, commiscere, and mixtio concern mixing; inquinare and contagio mark taint. Temperatio and complexio can instead describe a well-proportioned bodily constitution. Mixture is not evaluatively identical in these uses.</w:t>
      </w:r>
    </w:p>
    <w:p>
      <w:pPr>
        <w:widowControl/>
      </w:pPr>
      <w:r>
        <w:rPr>
          <w:b w:val="0"/>
          <w:i w:val="0"/>
        </w:rPr>
        <w:t xml:space="preserve">The local vocabulary includes </w:t>
      </w:r>
      <w:r>
        <w:rPr>
          <w:b w:val="0"/>
          <w:i/>
        </w:rPr>
        <w:t>complexio</w:t>
      </w:r>
      <w:r>
        <w:rPr>
          <w:b w:val="0"/>
          <w:i w:val="0"/>
        </w:rPr>
        <w:t xml:space="preserve">, </w:t>
      </w:r>
      <w:r>
        <w:rPr>
          <w:b w:val="0"/>
          <w:i/>
        </w:rPr>
        <w:t>temperatio</w:t>
      </w:r>
      <w:r>
        <w:rPr>
          <w:b w:val="0"/>
          <w:i w:val="0"/>
        </w:rPr>
        <w:t xml:space="preserve">, </w:t>
      </w:r>
      <w:r>
        <w:rPr>
          <w:b w:val="0"/>
          <w:i/>
        </w:rPr>
        <w:t>temperantia</w:t>
      </w:r>
      <w:r>
        <w:rPr>
          <w:b w:val="0"/>
          <w:i w:val="0"/>
        </w:rPr>
        <w:t xml:space="preserve">, </w:t>
      </w:r>
      <w:r>
        <w:rPr>
          <w:b w:val="0"/>
          <w:i/>
        </w:rPr>
        <w:t>intemperantia</w:t>
      </w:r>
      <w:r>
        <w:rPr>
          <w:b w:val="0"/>
          <w:i w:val="0"/>
        </w:rPr>
        <w:t xml:space="preserve">, </w:t>
      </w:r>
      <w:r>
        <w:rPr>
          <w:b w:val="0"/>
          <w:i/>
        </w:rPr>
        <w:t>aequalitas</w:t>
      </w:r>
      <w:r>
        <w:rPr>
          <w:b w:val="0"/>
          <w:i w:val="0"/>
        </w:rPr>
        <w:t xml:space="preserve">, </w:t>
      </w:r>
      <w:r>
        <w:rPr>
          <w:b w:val="0"/>
          <w:i/>
        </w:rPr>
        <w:t>contemperat</w:t>
      </w:r>
      <w:r>
        <w:rPr>
          <w:b w:val="0"/>
          <w:i w:val="0"/>
        </w:rPr>
        <w:t xml:space="preserve">, and </w:t>
      </w:r>
      <w:r>
        <w:rPr>
          <w:b w:val="0"/>
          <w:i/>
        </w:rPr>
        <w:t>segregatae</w:t>
      </w:r>
      <w:r>
        <w:rPr>
          <w:b w:val="0"/>
          <w:i w:val="0"/>
        </w:rPr>
        <w:t>. Constitution, tempering, balanced condition, imbalance, equality, coordinated mixture, and separation name successive aspects of receptivity.</w:t>
      </w:r>
    </w:p>
    <w:p>
      <w:pPr>
        <w:keepNext/>
        <w:widowControl/>
      </w:pPr>
      <w:r>
        <w:rPr>
          <w:b/>
          <w:i w:val="0"/>
        </w:rPr>
        <w:t>In the Platonic Theology.</w:t>
      </w:r>
    </w:p>
    <w:p>
      <w:pPr>
        <w:widowControl/>
      </w:pPr>
      <w:r>
        <w:rPr>
          <w:b w:val="0"/>
          <w:i w:val="0"/>
        </w:rPr>
        <w:t>Purity has distinct metaphysical and bodily applications. In the arguments about God, it means possessing a nature without an alien addition that would restrict it. True wine as pure wine introduces the connection among unity, truth, and goodness. The pattern extends to supreme light, heat, goodness, and necessary being. If two supreme lights differed, their differentiating addition would make their light impure and less than supreme. An angel cannot possess pure necessity in the same unrestricted sense as God when an added property distinguishes it from God. These uses of mixture concern dependence and limitation rather than literal ingredients alone. Divine purity excludes passive potency, causal dependence, and composition.</w:t>
      </w:r>
    </w:p>
    <w:p>
      <w:pPr>
        <w:widowControl/>
      </w:pPr>
      <w:r>
        <w:rPr>
          <w:b w:val="0"/>
          <w:i w:val="0"/>
        </w:rPr>
        <w:t>Bodily purity and tempering concern fitness to receive life and knowledge. Here a well-balanced mixture can be beneficial: earthly mixed bodies become more capable of life as they approach the equilibrium and freedom from grossness attributed to heavenly bodies. Detached elemental parts can lose purity through disturbance; enduring, carefully balanced mixtures can regain an equality associated in this account with extraordinary operations, vegetable life, sensation, and reason. This is Ficino’s historical account of bodily receptivity, not a modern theory of biological development.</w:t>
      </w:r>
    </w:p>
    <w:p>
      <w:pPr>
        <w:widowControl/>
      </w:pPr>
      <w:r>
        <w:rPr>
          <w:b w:val="0"/>
          <w:i w:val="0"/>
        </w:rPr>
        <w:t xml:space="preserve">The difference matters because mixture is not simply condemned wherever the word occurs. An addition would contradict God’s supreme simplicity, whereas proportion among a body’s qualities can make that body a better instrument of higher powers. </w:t>
      </w:r>
      <w:r>
        <w:rPr>
          <w:b w:val="0"/>
          <w:i/>
        </w:rPr>
        <w:t>Temperatio</w:t>
      </w:r>
      <w:r>
        <w:rPr>
          <w:b w:val="0"/>
          <w:i w:val="0"/>
        </w:rPr>
        <w:t xml:space="preserve"> at IV.1.63 denotes a balanced constitution, not temperature, and </w:t>
      </w:r>
      <w:r>
        <w:rPr>
          <w:b w:val="0"/>
          <w:i/>
        </w:rPr>
        <w:t>complexio</w:t>
      </w:r>
      <w:r>
        <w:rPr>
          <w:b w:val="0"/>
          <w:i w:val="0"/>
        </w:rPr>
        <w:t xml:space="preserve"> denotes constitution rather than outward appearance alone. </w:t>
      </w:r>
      <w:r>
        <w:t>“</w:t>
      </w:r>
      <w:r>
        <w:rPr>
          <w:b w:val="0"/>
          <w:i w:val="0"/>
        </w:rPr>
        <w:t>Pure,</w:t>
      </w:r>
      <w:r>
        <w:t>”</w:t>
      </w:r>
      <w:r>
        <w:rPr>
          <w:b w:val="0"/>
          <w:i w:val="0"/>
        </w:rPr>
        <w:t xml:space="preserve"> </w:t>
      </w:r>
      <w:r>
        <w:t>“</w:t>
      </w:r>
      <w:r>
        <w:rPr>
          <w:b w:val="0"/>
          <w:i w:val="0"/>
        </w:rPr>
        <w:t>gross,</w:t>
      </w:r>
      <w:r>
        <w:t>”</w:t>
      </w:r>
      <w:r>
        <w:rPr>
          <w:b w:val="0"/>
          <w:i w:val="0"/>
        </w:rPr>
        <w:t xml:space="preserve"> and </w:t>
      </w:r>
      <w:r>
        <w:t>“</w:t>
      </w:r>
      <w:r>
        <w:rPr>
          <w:b w:val="0"/>
          <w:i w:val="0"/>
        </w:rPr>
        <w:t>tempered</w:t>
      </w:r>
      <w:r>
        <w:t>”</w:t>
      </w:r>
      <w:r>
        <w:rPr>
          <w:b w:val="0"/>
          <w:i w:val="0"/>
        </w:rPr>
        <w:t xml:space="preserve"> locate bodies within this explanatory hierarchy; they are not judgments of an individual person’s moral worth.</w:t>
      </w:r>
    </w:p>
    <w:p>
      <w:pPr>
        <w:widowControl/>
      </w:pPr>
      <w:r>
        <w:rPr>
          <w:b w:val="0"/>
          <w:i w:val="0"/>
        </w:rPr>
        <w:t xml:space="preserve">At IV.1.73 </w:t>
      </w:r>
      <w:r>
        <w:rPr>
          <w:b w:val="0"/>
          <w:i/>
        </w:rPr>
        <w:t>temperantia</w:t>
      </w:r>
      <w:r>
        <w:rPr>
          <w:b w:val="0"/>
          <w:i w:val="0"/>
        </w:rPr>
        <w:t xml:space="preserve"> describes the balance of heavenly bodies in contrast with elemental imbalance, not a separately attributed moral virtue. IV.1.89–93 then distinguishes complete elemental spheres from their separated particles. Whole spheres retain their cosmic place and relation to higher causes; scattered parts lose that dignity and purity under external impacts. Careful mixture can restore a balance like the spheres’ balance and thereby prepare successively for extraordinary operations, vegetal life, sensation, and reason. Ficino’s hierarchy concerns degrees and modes of preparedness, not the claim that simple physical purity automatically equals intelligence.</w:t>
      </w:r>
    </w:p>
    <w:p>
      <w:pPr>
        <w:keepNext/>
        <w:widowControl/>
      </w:pPr>
      <w:r>
        <w:rPr>
          <w:b/>
          <w:i w:val="0"/>
        </w:rPr>
        <w:t>The places.</w:t>
      </w:r>
    </w:p>
    <w:p>
      <w:pPr>
        <w:ind w:left="187" w:hanging="187"/>
      </w:pPr>
      <w:r>
        <w:t xml:space="preserve">• </w:t>
      </w:r>
      <w:r>
        <w:rPr>
          <w:b/>
          <w:i w:val="0"/>
        </w:rPr>
        <w:t>II.1.1–4</w:t>
      </w:r>
      <w:r>
        <w:rPr>
          <w:b w:val="0"/>
          <w:i w:val="0"/>
        </w:rPr>
        <w:t>. Pure wine and pure perfections connect unity with unmixed possession.</w:t>
      </w:r>
    </w:p>
    <w:p>
      <w:pPr>
        <w:ind w:left="187" w:hanging="187"/>
      </w:pPr>
      <w:r>
        <w:t xml:space="preserve">• </w:t>
      </w:r>
      <w:r>
        <w:rPr>
          <w:b/>
          <w:i w:val="0"/>
        </w:rPr>
        <w:t>II.7.12–14</w:t>
      </w:r>
      <w:r>
        <w:rPr>
          <w:b w:val="0"/>
          <w:i w:val="0"/>
        </w:rPr>
        <w:t>. Angelic being is distinguished from unrestricted pure necessity.</w:t>
      </w:r>
    </w:p>
    <w:p>
      <w:pPr>
        <w:ind w:left="187" w:hanging="187"/>
      </w:pPr>
      <w:r>
        <w:t xml:space="preserve">• </w:t>
      </w:r>
      <w:r>
        <w:rPr>
          <w:b/>
          <w:i w:val="0"/>
        </w:rPr>
        <w:t>IV.1.36–39</w:t>
      </w:r>
      <w:r>
        <w:rPr>
          <w:b w:val="0"/>
          <w:i w:val="0"/>
        </w:rPr>
        <w:t>. Balanced bodily constitution is linked with receptivity to life.</w:t>
      </w:r>
    </w:p>
    <w:p>
      <w:pPr>
        <w:ind w:left="187" w:hanging="187"/>
      </w:pPr>
      <w:r>
        <w:t xml:space="preserve">• </w:t>
      </w:r>
      <w:r>
        <w:rPr>
          <w:b/>
          <w:i w:val="0"/>
        </w:rPr>
        <w:t>IV.1.63</w:t>
      </w:r>
      <w:r>
        <w:rPr>
          <w:b w:val="0"/>
          <w:i w:val="0"/>
        </w:rPr>
        <w:t>. Temperatio is debated through the mechanism and animal-motion analogy.</w:t>
      </w:r>
    </w:p>
    <w:p>
      <w:pPr>
        <w:ind w:left="187" w:hanging="187"/>
      </w:pPr>
      <w:r>
        <w:t xml:space="preserve">• </w:t>
      </w:r>
      <w:r>
        <w:rPr>
          <w:b/>
          <w:i w:val="0"/>
        </w:rPr>
        <w:t>IV.1.92–93</w:t>
      </w:r>
      <w:r>
        <w:rPr>
          <w:b w:val="0"/>
          <w:i w:val="0"/>
        </w:rPr>
        <w:t>. The concluding physical classifications retain their historical and theological qualifications.</w:t>
      </w:r>
    </w:p>
    <w:p>
      <w:pPr>
        <w:widowControl/>
      </w:pPr>
      <w:r>
        <w:rPr>
          <w:b/>
          <w:i w:val="0"/>
        </w:rPr>
        <w:t>Further passage references.</w:t>
      </w:r>
      <w:r>
        <w:rPr>
          <w:b w:val="0"/>
          <w:i w:val="0"/>
        </w:rPr>
        <w:t xml:space="preserve"> II.1.1–4, pp. 98–101; II.2.5–11, pp. 106–111; II.4.1, pp. 122–123; II.7.12–14, pp. 148–149; IV.1.36–IV.1.39, pp. 300–303; IV.1.63, pp. 314–315; IV.1.72–IV.1.73, pp. 318–319; IV.1.79, pp. 322–323; IV.1.92–IV.1.93, pp. 330–331; apparatus p. 391</w:t>
      </w:r>
    </w:p>
    <w:p>
      <w:pPr>
        <w:ind w:left="187" w:hanging="187"/>
      </w:pPr>
      <w:r>
        <w:t xml:space="preserve">• </w:t>
      </w:r>
      <w:r>
        <w:rPr>
          <w:b/>
          <w:i w:val="0"/>
        </w:rPr>
        <w:t>IV.1.73, PDF pp. 318–319:</w:t>
      </w:r>
      <w:r>
        <w:rPr>
          <w:b w:val="0"/>
          <w:i w:val="0"/>
        </w:rPr>
        <w:t xml:space="preserve"> balance is linked with capacity for life and knowledge</w:t>
      </w:r>
    </w:p>
    <w:p>
      <w:pPr>
        <w:ind w:left="187" w:hanging="187"/>
      </w:pPr>
      <w:r>
        <w:t xml:space="preserve">• </w:t>
      </w:r>
      <w:r>
        <w:rPr>
          <w:b/>
          <w:i w:val="0"/>
        </w:rPr>
        <w:t>IV.1.79, pp. 322–323:</w:t>
      </w:r>
      <w:r>
        <w:rPr>
          <w:b w:val="0"/>
          <w:i w:val="0"/>
        </w:rPr>
        <w:t xml:space="preserve"> an organism’s constitution helps distinguish its proper soul from that of a sphere</w:t>
      </w:r>
    </w:p>
    <w:p>
      <w:pPr>
        <w:ind w:left="187" w:hanging="187"/>
      </w:pPr>
      <w:r>
        <w:t xml:space="preserve">• </w:t>
      </w:r>
      <w:r>
        <w:rPr>
          <w:b/>
          <w:i w:val="0"/>
        </w:rPr>
        <w:t>IV.1.89–93, pp. 328–331:</w:t>
      </w:r>
      <w:r>
        <w:rPr>
          <w:b w:val="0"/>
          <w:i w:val="0"/>
        </w:rPr>
        <w:t xml:space="preserve"> whole elements, separated particles, and rebalanced mixtures have different causal standing</w:t>
      </w:r>
    </w:p>
    <w:p>
      <w:pPr>
        <w:keepNext/>
        <w:widowControl/>
      </w:pPr>
      <w:r>
        <w:rPr>
          <w:b/>
          <w:i w:val="0"/>
        </w:rPr>
        <w:t>In this edition.</w:t>
      </w:r>
    </w:p>
    <w:p>
      <w:pPr>
        <w:widowControl/>
      </w:pPr>
      <w:r>
        <w:t>“</w:t>
      </w:r>
      <w:r>
        <w:rPr>
          <w:b w:val="0"/>
          <w:i w:val="0"/>
        </w:rPr>
        <w:t>Temperament</w:t>
      </w:r>
      <w:r>
        <w:t>”</w:t>
      </w:r>
      <w:r>
        <w:rPr>
          <w:b w:val="0"/>
          <w:i w:val="0"/>
        </w:rPr>
        <w:t xml:space="preserve"> or balanced constitution at IV.1.63 renders temperatio, not modern measured temperature. Complexio concerns constitution rather than complexion alone. Red or green light in III.1.10 illustrates qualified actuality; impurity there means addition, not moral guilt.</w:t>
      </w:r>
    </w:p>
    <w:p>
      <w:pPr>
        <w:widowControl/>
      </w:pPr>
      <w:r>
        <w:t>“</w:t>
      </w:r>
      <w:r>
        <w:rPr>
          <w:b w:val="0"/>
          <w:i w:val="0"/>
        </w:rPr>
        <w:t>Balance</w:t>
      </w:r>
      <w:r>
        <w:t>”</w:t>
      </w:r>
      <w:r>
        <w:rPr>
          <w:b w:val="0"/>
          <w:i w:val="0"/>
        </w:rPr>
        <w:t xml:space="preserve"> correctly prevents </w:t>
      </w:r>
      <w:r>
        <w:rPr>
          <w:b w:val="0"/>
          <w:i/>
        </w:rPr>
        <w:t>temperantia</w:t>
      </w:r>
      <w:r>
        <w:rPr>
          <w:b w:val="0"/>
          <w:i w:val="0"/>
        </w:rPr>
        <w:t xml:space="preserve"> from being read only as ethical temperance here. </w:t>
      </w:r>
      <w:r>
        <w:rPr>
          <w:b w:val="0"/>
          <w:i/>
        </w:rPr>
        <w:t>Animos non merentur</w:t>
      </w:r>
      <w:r>
        <w:rPr>
          <w:b w:val="0"/>
          <w:i w:val="0"/>
        </w:rPr>
        <w:t xml:space="preserve"> at IV.1.93 belongs to the historical claim about unsuitable recipients; </w:t>
      </w:r>
      <w:r>
        <w:t>“</w:t>
      </w:r>
      <w:r>
        <w:rPr>
          <w:b w:val="0"/>
          <w:i w:val="0"/>
        </w:rPr>
        <w:t>do not merit souls</w:t>
      </w:r>
      <w:r>
        <w:t>”</w:t>
      </w:r>
      <w:r>
        <w:rPr>
          <w:b w:val="0"/>
          <w:i w:val="0"/>
        </w:rPr>
        <w:t xml:space="preserve"> is a metaphor of fitness, not moral blame assigned to particles.</w:t>
      </w:r>
    </w:p>
    <w:p>
      <w:pPr>
        <w:keepNext/>
        <w:widowControl/>
      </w:pPr>
      <w:r>
        <w:rPr>
          <w:b/>
          <w:i w:val="0"/>
        </w:rPr>
        <w:t>See also.</w:t>
      </w:r>
    </w:p>
    <w:p>
      <w:pPr>
        <w:widowControl/>
      </w:pPr>
      <w:hyperlink w:anchor="simplicity-and-composition">
        <w:r>
          <w:rPr>
            <w:color w:val="000000"/>
          </w:rPr>
          <w:t xml:space="preserve">Simplicity and composition</w:t>
        </w:r>
      </w:hyperlink>
      <w:r>
        <w:rPr>
          <w:b w:val="0"/>
          <w:i w:val="0"/>
        </w:rPr>
        <w:t xml:space="preserve">; </w:t>
      </w:r>
      <w:hyperlink w:anchor="perfection">
        <w:r>
          <w:rPr>
            <w:color w:val="000000"/>
          </w:rPr>
          <w:t xml:space="preserve">Perfection</w:t>
        </w:r>
      </w:hyperlink>
      <w:r>
        <w:rPr>
          <w:b w:val="0"/>
          <w:i w:val="0"/>
        </w:rPr>
        <w:t xml:space="preserve">; </w:t>
      </w:r>
      <w:hyperlink w:anchor="truth">
        <w:r>
          <w:rPr>
            <w:color w:val="000000"/>
          </w:rPr>
          <w:t xml:space="preserve">Truth</w:t>
        </w:r>
      </w:hyperlink>
      <w:r>
        <w:rPr>
          <w:b w:val="0"/>
          <w:i w:val="0"/>
        </w:rPr>
        <w:t xml:space="preserve">; </w:t>
      </w:r>
      <w:hyperlink w:anchor="freedom-and-necessity">
        <w:r>
          <w:rPr>
            <w:color w:val="000000"/>
          </w:rPr>
          <w:t xml:space="preserve">Freedom and necessity</w:t>
        </w:r>
      </w:hyperlink>
      <w:r>
        <w:rPr>
          <w:b w:val="0"/>
          <w:i w:val="0"/>
        </w:rPr>
        <w:t xml:space="preserve">; </w:t>
      </w:r>
      <w:hyperlink w:anchor="light-and-illumination">
        <w:r>
          <w:rPr>
            <w:color w:val="000000"/>
          </w:rPr>
          <w:t xml:space="preserve">Light and illumination</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daemons">
        <w:r>
          <w:rPr>
            <w:color w:val="000000"/>
          </w:rPr>
          <w:t xml:space="preserve">Daemons</w:t>
        </w:r>
      </w:hyperlink>
      <w:r>
        <w:rPr>
          <w:b w:val="0"/>
          <w:i w:val="0"/>
        </w:rPr>
        <w:t xml:space="preserve">; </w:t>
      </w:r>
      <w:hyperlink w:anchor="life">
        <w:r>
          <w:rPr>
            <w:color w:val="000000"/>
          </w:rPr>
          <w:t xml:space="preserve">Life</w:t>
        </w:r>
      </w:hyperlink>
      <w:r>
        <w:rPr>
          <w:b w:val="0"/>
          <w:i w:val="0"/>
        </w:rPr>
        <w:t xml:space="preserve">; </w:t>
      </w:r>
      <w:hyperlink w:anchor="power-and-potency">
        <w:r>
          <w:rPr>
            <w:color w:val="000000"/>
          </w:rPr>
          <w:t xml:space="preserve">Power and potency</w:t>
        </w:r>
      </w:hyperlink>
    </w:p>
    <w:p>
      <w:pPr>
        <w:widowControl/>
      </w:pPr>
      <w:hyperlink w:anchor="fitting-and-correspondence">
        <w:r>
          <w:rPr>
            <w:color w:val="000000"/>
          </w:rPr>
          <w:t xml:space="preserve">Fitting and correspondence</w:t>
        </w:r>
      </w:hyperlink>
      <w:r>
        <w:rPr>
          <w:b w:val="0"/>
          <w:i w:val="0"/>
        </w:rPr>
        <w:t xml:space="preserve">; </w:t>
      </w:r>
      <w:hyperlink w:anchor="archimedes-and-bronze-spheres">
        <w:r>
          <w:rPr>
            <w:color w:val="000000"/>
          </w:rPr>
          <w:t xml:space="preserve">Archimedes and the bronze spheres</w:t>
        </w:r>
      </w:hyperlink>
      <w:r>
        <w:rPr>
          <w:b w:val="0"/>
          <w:i w:val="0"/>
        </w:rPr>
        <w:t xml:space="preserve">; </w:t>
      </w:r>
      <w:hyperlink w:anchor="elements-and-their-spheres">
        <w:r>
          <w:rPr>
            <w:color w:val="000000"/>
          </w:rPr>
          <w:t xml:space="preserve">Elements and their spheres</w:t>
        </w:r>
      </w:hyperlink>
      <w:r>
        <w:rPr>
          <w:b w:val="0"/>
          <w:i w:val="0"/>
        </w:rPr>
        <w:t>.</w:t>
      </w:r>
    </w:p>
    <w:p>
      <w:bookmarkStart w:id="190" w:name="putrefaction-and-propagation"/>
      <w:pPr>
        <w:pStyle w:val="Heading2"/>
      </w:pPr>
      <w:r>
        <w:rPr>
          <w:b w:val="0"/>
          <w:i w:val="0"/>
        </w:rPr>
        <w:t>Putrefaction and propagation</w:t>
      </w:r>
      <w:bookmarkEnd w:id="190"/>
    </w:p>
    <w:p>
      <w:pPr>
        <w:keepNext/>
        <w:widowControl/>
      </w:pPr>
      <w:r>
        <w:rPr>
          <w:b/>
          <w:i w:val="0"/>
        </w:rPr>
        <w:t>Latin:</w:t>
      </w:r>
      <w:r>
        <w:rPr>
          <w:b w:val="0"/>
          <w:i w:val="0"/>
        </w:rPr>
        <w:t xml:space="preserve"> </w:t>
      </w:r>
      <w:r>
        <w:rPr>
          <w:b w:val="0"/>
          <w:i/>
        </w:rPr>
        <w:t>putrefactione</w:t>
      </w:r>
      <w:r>
        <w:rPr>
          <w:b w:val="0"/>
          <w:i w:val="0"/>
        </w:rPr>
        <w:t xml:space="preserve">, </w:t>
      </w:r>
      <w:r>
        <w:rPr>
          <w:b w:val="0"/>
          <w:i/>
        </w:rPr>
        <w:t>propagatione</w:t>
      </w:r>
      <w:r>
        <w:rPr>
          <w:b w:val="0"/>
          <w:i w:val="0"/>
        </w:rPr>
        <w:t xml:space="preserve">, </w:t>
      </w:r>
      <w:r>
        <w:rPr>
          <w:b w:val="0"/>
          <w:i/>
        </w:rPr>
        <w:t>serendo</w:t>
      </w:r>
      <w:r>
        <w:rPr>
          <w:b w:val="0"/>
          <w:i w:val="0"/>
        </w:rPr>
        <w:t xml:space="preserve">, </w:t>
      </w:r>
      <w:r>
        <w:rPr>
          <w:b w:val="0"/>
          <w:i/>
        </w:rPr>
        <w:t>plantando</w:t>
      </w:r>
      <w:r>
        <w:rPr>
          <w:b w:val="0"/>
          <w:i w:val="0"/>
        </w:rPr>
        <w:t xml:space="preserve">, </w:t>
      </w:r>
      <w:r>
        <w:rPr>
          <w:b w:val="0"/>
          <w:i/>
        </w:rPr>
        <w:t>germine corporali</w:t>
      </w:r>
      <w:r>
        <w:rPr>
          <w:b w:val="0"/>
          <w:i w:val="0"/>
        </w:rPr>
        <w:t xml:space="preserve">, </w:t>
      </w:r>
      <w:r>
        <w:rPr>
          <w:b w:val="0"/>
          <w:i/>
        </w:rPr>
        <w:t>sponte nascuntur</w:t>
      </w:r>
      <w:r>
        <w:rPr>
          <w:b w:val="0"/>
          <w:i w:val="0"/>
        </w:rPr>
        <w:t xml:space="preserve">, </w:t>
      </w:r>
      <w:r>
        <w:rPr>
          <w:b w:val="0"/>
          <w:i/>
        </w:rPr>
        <w:t>coitum</w:t>
      </w:r>
      <w:r>
        <w:rPr>
          <w:b w:val="0"/>
          <w:i w:val="0"/>
        </w:rPr>
        <w:t>.</w:t>
      </w:r>
    </w:p>
    <w:p>
      <w:pPr>
        <w:keepNext/>
        <w:widowControl/>
      </w:pPr>
      <w:r>
        <w:rPr>
          <w:b/>
          <w:i w:val="0"/>
        </w:rPr>
        <w:t>The word.</w:t>
      </w:r>
    </w:p>
    <w:p>
      <w:pPr>
        <w:widowControl/>
      </w:pPr>
      <w:r>
        <w:rPr>
          <w:b w:val="0"/>
          <w:i/>
        </w:rPr>
        <w:t>Putrefactio</w:t>
      </w:r>
      <w:r>
        <w:rPr>
          <w:b w:val="0"/>
          <w:i w:val="0"/>
        </w:rPr>
        <w:t xml:space="preserve"> is decay or putrefaction; </w:t>
      </w:r>
      <w:r>
        <w:rPr>
          <w:b w:val="0"/>
          <w:i/>
        </w:rPr>
        <w:t>propagatio</w:t>
      </w:r>
      <w:r>
        <w:rPr>
          <w:b w:val="0"/>
          <w:i w:val="0"/>
        </w:rPr>
        <w:t xml:space="preserve"> propagation or reproduction. Sowing and planting describe deliberate cultivation, while </w:t>
      </w:r>
      <w:r>
        <w:rPr>
          <w:b w:val="0"/>
          <w:i/>
        </w:rPr>
        <w:t>germen</w:t>
      </w:r>
      <w:r>
        <w:rPr>
          <w:b w:val="0"/>
          <w:i w:val="0"/>
        </w:rPr>
        <w:t xml:space="preserve"> identifies a bodily shoot or germ. </w:t>
      </w:r>
      <w:r>
        <w:rPr>
          <w:b w:val="0"/>
          <w:i/>
        </w:rPr>
        <w:t>Sponte</w:t>
      </w:r>
      <w:r>
        <w:rPr>
          <w:b w:val="0"/>
          <w:i w:val="0"/>
        </w:rPr>
        <w:t xml:space="preserve"> can mean of itself or spontaneously; it does not, without more, mean without a cause.</w:t>
      </w:r>
    </w:p>
    <w:p>
      <w:pPr>
        <w:keepNext/>
        <w:widowControl/>
      </w:pPr>
      <w:r>
        <w:rPr>
          <w:b/>
          <w:i w:val="0"/>
        </w:rPr>
        <w:t>In the Platonic Theology.</w:t>
      </w:r>
    </w:p>
    <w:p>
      <w:pPr>
        <w:widowControl/>
      </w:pPr>
      <w:r>
        <w:rPr>
          <w:b w:val="0"/>
          <w:i w:val="0"/>
        </w:rPr>
        <w:t>Plants and creatures apparently arising from decay are contrasted with those generated by propagation. Ficino’s question is where the proper, determinate causes of the former reside. He rejects the inference that an absence of visible parental seed permits an absence of a specific formative cause. The proposed answer is the earth’s common life and its incorporeal seeds. Even sowing and planting are contrasted with alleged spontaneous appearances; external fostering may also account for seeds remaining inactive for a time. The argument moves from what appears unseeded to what must, in his account, have an appropriate productive principle.</w:t>
      </w:r>
    </w:p>
    <w:p>
      <w:pPr>
        <w:widowControl/>
      </w:pPr>
      <w:r>
        <w:rPr>
          <w:b w:val="0"/>
          <w:i w:val="0"/>
        </w:rPr>
        <w:t>The final chapter-summary repeats unseeded plants and animals generated without mating as evidence against depriving the world of life and sensation. These are Ficino’s examples under the Platonist account he reports. Neither the repetition nor the argument’s confidence validates spontaneous generation by contemporary standards.</w:t>
      </w:r>
    </w:p>
    <w:p>
      <w:pPr>
        <w:keepNext/>
        <w:widowControl/>
      </w:pPr>
      <w:r>
        <w:rPr>
          <w:b/>
          <w:i w:val="0"/>
        </w:rPr>
        <w:t>The places.</w:t>
      </w:r>
    </w:p>
    <w:p>
      <w:pPr>
        <w:ind w:left="187" w:hanging="187"/>
      </w:pPr>
      <w:r>
        <w:t xml:space="preserve">• </w:t>
      </w:r>
      <w:r>
        <w:rPr>
          <w:b/>
          <w:i w:val="0"/>
        </w:rPr>
        <w:t>IV.1.3 and IV.1.7, PDF pp. 282–285:</w:t>
      </w:r>
      <w:r>
        <w:rPr>
          <w:b w:val="0"/>
          <w:i w:val="0"/>
        </w:rPr>
        <w:t xml:space="preserve"> apparent lack of bodily seeds poses the question of proper living causes</w:t>
      </w:r>
    </w:p>
    <w:p>
      <w:pPr>
        <w:ind w:left="187" w:hanging="187"/>
      </w:pPr>
      <w:r>
        <w:t xml:space="preserve">• </w:t>
      </w:r>
      <w:r>
        <w:rPr>
          <w:b/>
          <w:i w:val="0"/>
        </w:rPr>
        <w:t>IV.1.14–16, pp. 288–291:</w:t>
      </w:r>
      <w:r>
        <w:rPr>
          <w:b w:val="0"/>
          <w:i w:val="0"/>
        </w:rPr>
        <w:t xml:space="preserve"> putrefaction, sowing, planting, bodily shoots, delayed fostering, and spiritual seeds are distinguished</w:t>
      </w:r>
    </w:p>
    <w:p>
      <w:pPr>
        <w:ind w:left="187" w:hanging="187"/>
      </w:pPr>
      <w:r>
        <w:t xml:space="preserve">• </w:t>
      </w:r>
      <w:r>
        <w:rPr>
          <w:b/>
          <w:i w:val="0"/>
        </w:rPr>
        <w:t>IV.1.96, pp. 332–333:</w:t>
      </w:r>
      <w:r>
        <w:rPr>
          <w:b w:val="0"/>
          <w:i w:val="0"/>
        </w:rPr>
        <w:t xml:space="preserve"> unseeded plants and creatures without mating return in the closing inference</w:t>
      </w:r>
    </w:p>
    <w:p>
      <w:pPr>
        <w:keepNext/>
        <w:widowControl/>
      </w:pPr>
      <w:r>
        <w:rPr>
          <w:b/>
          <w:i w:val="0"/>
        </w:rPr>
        <w:t>In this edition.</w:t>
      </w:r>
    </w:p>
    <w:p>
      <w:pPr>
        <w:widowControl/>
      </w:pPr>
      <w:r>
        <w:t>“</w:t>
      </w:r>
      <w:r>
        <w:rPr>
          <w:b w:val="0"/>
          <w:i w:val="0"/>
        </w:rPr>
        <w:t>Seem</w:t>
      </w:r>
      <w:r>
        <w:t>”</w:t>
      </w:r>
      <w:r>
        <w:rPr>
          <w:b w:val="0"/>
          <w:i w:val="0"/>
        </w:rPr>
        <w:t xml:space="preserve"> at IV.1.7 preserves </w:t>
      </w:r>
      <w:r>
        <w:rPr>
          <w:b w:val="0"/>
          <w:i/>
        </w:rPr>
        <w:t>videntur</w:t>
      </w:r>
      <w:r>
        <w:rPr>
          <w:b w:val="0"/>
          <w:i w:val="0"/>
        </w:rPr>
        <w:t xml:space="preserve">; it should not be silently dropped when describing the initial evidence. </w:t>
      </w:r>
      <w:r>
        <w:t>“</w:t>
      </w:r>
      <w:r>
        <w:rPr>
          <w:b w:val="0"/>
          <w:i w:val="0"/>
        </w:rPr>
        <w:t>Spontaneously</w:t>
      </w:r>
      <w:r>
        <w:t>”</w:t>
      </w:r>
      <w:r>
        <w:rPr>
          <w:b w:val="0"/>
          <w:i w:val="0"/>
        </w:rPr>
        <w:t xml:space="preserve"> concerns the apparent reproductive process, while the entire argument supplies a cause for it.</w:t>
      </w:r>
    </w:p>
    <w:p>
      <w:pPr>
        <w:keepNext/>
        <w:widowControl/>
      </w:pPr>
      <w:r>
        <w:rPr>
          <w:b/>
          <w:i w:val="0"/>
        </w:rPr>
        <w:t>See also.</w:t>
      </w:r>
    </w:p>
    <w:p>
      <w:pPr>
        <w:widowControl/>
      </w:pPr>
      <w:hyperlink w:anchor="seeds">
        <w:r>
          <w:rPr>
            <w:color w:val="000000"/>
          </w:rPr>
          <w:t xml:space="preserve">Seeds</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seeming-and-evidence">
        <w:r>
          <w:rPr>
            <w:color w:val="000000"/>
          </w:rPr>
          <w:t xml:space="preserve">Seeming and evidence</w:t>
        </w:r>
      </w:hyperlink>
      <w:r>
        <w:rPr>
          <w:b w:val="0"/>
          <w:i w:val="0"/>
        </w:rPr>
        <w:t>.</w:t>
      </w:r>
    </w:p>
    <w:p>
      <w:bookmarkStart w:id="191" w:name="qualification-and-attribution"/>
      <w:pPr>
        <w:pStyle w:val="Heading2"/>
      </w:pPr>
      <w:r>
        <w:rPr>
          <w:b w:val="0"/>
          <w:i w:val="0"/>
        </w:rPr>
        <w:t>Qualification and attribution</w:t>
      </w:r>
      <w:bookmarkEnd w:id="191"/>
    </w:p>
    <w:p>
      <w:pPr>
        <w:keepNext/>
        <w:widowControl/>
      </w:pPr>
      <w:r>
        <w:rPr>
          <w:b/>
          <w:i w:val="0"/>
        </w:rPr>
        <w:t>Latin:</w:t>
      </w:r>
      <w:r>
        <w:rPr>
          <w:b w:val="0"/>
          <w:i w:val="0"/>
        </w:rPr>
        <w:t xml:space="preserve"> </w:t>
      </w:r>
      <w:r>
        <w:rPr>
          <w:b w:val="0"/>
          <w:i/>
        </w:rPr>
        <w:t>quodammodo; ut ita dicam; ut ita loquar; forsitan; arbitror; a quibusdam; ut quidam putant; apud Platonicos</w:t>
      </w:r>
    </w:p>
    <w:p>
      <w:pPr>
        <w:keepNext/>
        <w:widowControl/>
      </w:pPr>
      <w:r>
        <w:rPr>
          <w:b/>
          <w:i w:val="0"/>
        </w:rPr>
        <w:t>The word.</w:t>
      </w:r>
    </w:p>
    <w:p>
      <w:pPr>
        <w:widowControl/>
      </w:pPr>
      <w:r>
        <w:rPr>
          <w:b w:val="0"/>
          <w:i w:val="0"/>
        </w:rPr>
        <w:t>These phrases limit a predication, introduce approximate wording, express a tentative judgment, or attribute a claim. They are small expressions with large effects on what the text actually asserts.</w:t>
      </w:r>
    </w:p>
    <w:p>
      <w:pPr>
        <w:keepNext/>
        <w:widowControl/>
      </w:pPr>
      <w:r>
        <w:rPr>
          <w:b/>
          <w:i w:val="0"/>
        </w:rPr>
        <w:t>In the Platonic Theology.</w:t>
      </w:r>
    </w:p>
    <w:p>
      <w:pPr>
        <w:widowControl/>
      </w:pPr>
      <w:r>
        <w:rPr>
          <w:b w:val="0"/>
          <w:i w:val="0"/>
        </w:rPr>
        <w:t>Quodammodo allows forms or powers to be predicated in a qualified respect. Ut ita dicam and ut ita loquar mark conscious adjustments of language, including imitation of divine form and the ordering of beings. Forsitan makes the proposed rationale for a Zoroastrian saying tentative. A quibusdam limits one formulation of the necessity of divine willing to unnamed thinkers; sunt et qui likewise introduces the empyrean classification. Arbitror marks Ficino’s assessment that an argument has been established or a riddle resolved. Such qualifications are neither all expressions of doubt nor all dispensable ornaments. Some mark a claim’s mode, some its source, and some the confidence with which it is advanced. The immediate context determines which.</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II.11.19 (Latin PDF p. 192; English PDF p. 193).</w:t>
      </w:r>
      <w:r>
        <w:rPr>
          <w:b w:val="0"/>
          <w:i w:val="0"/>
        </w:rPr>
        <w:t xml:space="preserve"> Ut quidam putant reserves one account of knowing matter through the idea of form.</w:t>
      </w:r>
    </w:p>
    <w:p>
      <w:pPr>
        <w:ind w:left="187" w:hanging="187"/>
      </w:pPr>
      <w:r>
        <w:t xml:space="preserve">• </w:t>
      </w:r>
      <w:r>
        <w:rPr>
          <w:b/>
          <w:i w:val="0"/>
        </w:rPr>
        <w:t>II.12.8 (Latin PDF p. 206; English PDF p. 207).</w:t>
      </w:r>
      <w:r>
        <w:rPr>
          <w:b w:val="0"/>
          <w:i w:val="0"/>
        </w:rPr>
        <w:t xml:space="preserve"> Forsitan and quodammodo qualify the self-production attribution.</w:t>
      </w:r>
    </w:p>
    <w:p>
      <w:pPr>
        <w:ind w:left="187" w:hanging="187"/>
      </w:pPr>
      <w:r>
        <w:t xml:space="preserve">• </w:t>
      </w:r>
      <w:r>
        <w:rPr>
          <w:b/>
          <w:i w:val="0"/>
        </w:rPr>
        <w:t>III.1.23 (Latin PDF p. 254; English PDF p. 255).</w:t>
      </w:r>
      <w:r>
        <w:rPr>
          <w:b w:val="0"/>
          <w:i w:val="0"/>
        </w:rPr>
        <w:t xml:space="preserve"> Arbitror marks the claimed solution of Xenocrates’s riddle.</w:t>
      </w:r>
    </w:p>
    <w:p>
      <w:pPr>
        <w:ind w:left="187" w:hanging="187"/>
      </w:pPr>
      <w:r>
        <w:t xml:space="preserve">• </w:t>
      </w:r>
      <w:r>
        <w:rPr>
          <w:b/>
          <w:i w:val="0"/>
        </w:rPr>
        <w:t>III.2.4 (Latin PDF p. 262; English PDF p. 263).</w:t>
      </w:r>
      <w:r>
        <w:rPr>
          <w:b w:val="0"/>
          <w:i w:val="0"/>
        </w:rPr>
        <w:t xml:space="preserve"> Sunt et qui introduces a reported cosmological classification.</w:t>
      </w:r>
    </w:p>
    <w:p>
      <w:pPr>
        <w:keepNext/>
        <w:widowControl/>
      </w:pPr>
      <w:r>
        <w:rPr>
          <w:b/>
          <w:i w:val="0"/>
        </w:rPr>
        <w:t>In this edition.</w:t>
      </w:r>
    </w:p>
    <w:p>
      <w:pPr>
        <w:widowControl/>
      </w:pPr>
      <w:r>
        <w:rPr>
          <w:b w:val="0"/>
          <w:i w:val="0"/>
        </w:rPr>
        <w:t xml:space="preserve">The translation usually preserves these as </w:t>
      </w:r>
      <w:r>
        <w:t>“</w:t>
      </w:r>
      <w:r>
        <w:rPr>
          <w:b w:val="0"/>
          <w:i w:val="0"/>
        </w:rPr>
        <w:t>in a certain sense,</w:t>
      </w:r>
      <w:r>
        <w:t>”</w:t>
      </w:r>
      <w:r>
        <w:rPr>
          <w:b w:val="0"/>
          <w:i w:val="0"/>
        </w:rPr>
        <w:t xml:space="preserve"> </w:t>
      </w:r>
      <w:r>
        <w:t>“</w:t>
      </w:r>
      <w:r>
        <w:rPr>
          <w:b w:val="0"/>
          <w:i w:val="0"/>
        </w:rPr>
        <w:t>so to speak,</w:t>
      </w:r>
      <w:r>
        <w:t>”</w:t>
      </w:r>
      <w:r>
        <w:rPr>
          <w:b w:val="0"/>
          <w:i w:val="0"/>
        </w:rPr>
        <w:t xml:space="preserve"> </w:t>
      </w:r>
      <w:r>
        <w:t>“</w:t>
      </w:r>
      <w:r>
        <w:rPr>
          <w:b w:val="0"/>
          <w:i w:val="0"/>
        </w:rPr>
        <w:t>perhaps,</w:t>
      </w:r>
      <w:r>
        <w:t>”</w:t>
      </w:r>
      <w:r>
        <w:rPr>
          <w:b w:val="0"/>
          <w:i w:val="0"/>
        </w:rPr>
        <w:t xml:space="preserve"> </w:t>
      </w:r>
      <w:r>
        <w:t>“</w:t>
      </w:r>
      <w:r>
        <w:rPr>
          <w:b w:val="0"/>
          <w:i w:val="0"/>
        </w:rPr>
        <w:t>some,</w:t>
      </w:r>
      <w:r>
        <w:t>”</w:t>
      </w:r>
      <w:r>
        <w:rPr>
          <w:b w:val="0"/>
          <w:i w:val="0"/>
        </w:rPr>
        <w:t xml:space="preserve"> or </w:t>
      </w:r>
      <w:r>
        <w:t>“</w:t>
      </w:r>
      <w:r>
        <w:rPr>
          <w:b w:val="0"/>
          <w:i w:val="0"/>
        </w:rPr>
        <w:t>I believe.</w:t>
      </w:r>
      <w:r>
        <w:t>”</w:t>
      </w:r>
      <w:r>
        <w:rPr>
          <w:b w:val="0"/>
          <w:i w:val="0"/>
        </w:rPr>
        <w:t xml:space="preserve"> A glossary or shortened quotation must retain the locally important restriction even when English can otherwise smooth it away.</w:t>
      </w:r>
    </w:p>
    <w:p>
      <w:pPr>
        <w:keepNext/>
        <w:widowControl/>
      </w:pPr>
      <w:r>
        <w:rPr>
          <w:b/>
          <w:i w:val="0"/>
        </w:rPr>
        <w:t>See also.</w:t>
      </w:r>
    </w:p>
    <w:p>
      <w:pPr>
        <w:widowControl/>
      </w:pPr>
      <w:hyperlink w:anchor="self-production-and-reservation">
        <w:r>
          <w:rPr>
            <w:color w:val="000000"/>
          </w:rPr>
          <w:t xml:space="preserve">Self-production and reservation</w:t>
        </w:r>
      </w:hyperlink>
      <w:r>
        <w:rPr>
          <w:b w:val="0"/>
          <w:i w:val="0"/>
        </w:rPr>
        <w:t xml:space="preserve">; </w:t>
      </w:r>
      <w:hyperlink w:anchor="empyrean-heaven">
        <w:r>
          <w:rPr>
            <w:color w:val="000000"/>
          </w:rPr>
          <w:t xml:space="preserve">Empyrean heaven</w:t>
        </w:r>
      </w:hyperlink>
      <w:r>
        <w:rPr>
          <w:b w:val="0"/>
          <w:i w:val="0"/>
        </w:rPr>
        <w:t xml:space="preserve">; </w:t>
      </w:r>
      <w:hyperlink w:anchor="relations-and-respects">
        <w:r>
          <w:rPr>
            <w:color w:val="000000"/>
          </w:rPr>
          <w:t xml:space="preserve">Relations and respects</w:t>
        </w:r>
      </w:hyperlink>
      <w:r>
        <w:rPr>
          <w:b w:val="0"/>
          <w:i w:val="0"/>
        </w:rPr>
        <w:t xml:space="preserve">; </w:t>
      </w:r>
      <w:hyperlink w:anchor="xenocrates-and-the-riddle">
        <w:r>
          <w:rPr>
            <w:color w:val="000000"/>
          </w:rPr>
          <w:t xml:space="preserve">Xenocrates and the riddle</w:t>
        </w:r>
      </w:hyperlink>
      <w:r>
        <w:rPr>
          <w:b w:val="0"/>
          <w:i w:val="0"/>
        </w:rPr>
        <w:t>.</w:t>
      </w:r>
    </w:p>
    <w:p>
      <w:bookmarkStart w:id="192" w:name="quality"/>
      <w:pPr>
        <w:pStyle w:val="Heading2"/>
      </w:pPr>
      <w:r>
        <w:rPr>
          <w:b w:val="0"/>
          <w:i w:val="0"/>
        </w:rPr>
        <w:t>Quality</w:t>
      </w:r>
      <w:bookmarkEnd w:id="192"/>
    </w:p>
    <w:p>
      <w:pPr>
        <w:keepNext/>
        <w:widowControl/>
      </w:pPr>
      <w:r>
        <w:rPr>
          <w:b/>
          <w:i w:val="0"/>
        </w:rPr>
        <w:t>Latin:</w:t>
      </w:r>
      <w:r>
        <w:rPr>
          <w:b w:val="0"/>
          <w:i w:val="0"/>
        </w:rPr>
        <w:t xml:space="preserve"> </w:t>
      </w:r>
      <w:r>
        <w:rPr>
          <w:b w:val="0"/>
          <w:i/>
        </w:rPr>
        <w:t>qualitas</w:t>
      </w:r>
      <w:r>
        <w:rPr>
          <w:b w:val="0"/>
          <w:i w:val="0"/>
        </w:rPr>
        <w:t xml:space="preserve">, </w:t>
      </w:r>
      <w:r>
        <w:rPr>
          <w:b w:val="0"/>
          <w:i/>
        </w:rPr>
        <w:t>qualitates</w:t>
      </w:r>
      <w:r>
        <w:rPr>
          <w:b w:val="0"/>
          <w:i w:val="0"/>
        </w:rPr>
        <w:t xml:space="preserve">; </w:t>
      </w:r>
      <w:r>
        <w:rPr>
          <w:b w:val="0"/>
          <w:i/>
        </w:rPr>
        <w:t>forma divisa in corpore</w:t>
      </w:r>
      <w:r>
        <w:rPr>
          <w:b w:val="0"/>
          <w:i w:val="0"/>
        </w:rPr>
        <w:t xml:space="preserve">; </w:t>
      </w:r>
      <w:r>
        <w:rPr>
          <w:b w:val="0"/>
          <w:i/>
        </w:rPr>
        <w:t>albedo</w:t>
      </w:r>
      <w:r>
        <w:rPr>
          <w:b w:val="0"/>
          <w:i w:val="0"/>
        </w:rPr>
        <w:t xml:space="preserve">, </w:t>
      </w:r>
      <w:r>
        <w:rPr>
          <w:b w:val="0"/>
          <w:i/>
        </w:rPr>
        <w:t>calor</w:t>
      </w:r>
      <w:r>
        <w:rPr>
          <w:b w:val="0"/>
          <w:i w:val="0"/>
        </w:rPr>
        <w:t xml:space="preserve">, </w:t>
      </w:r>
      <w:r>
        <w:rPr>
          <w:b w:val="0"/>
          <w:i/>
        </w:rPr>
        <w:t>accidentia</w:t>
      </w:r>
      <w:r>
        <w:rPr>
          <w:b w:val="0"/>
          <w:i w:val="0"/>
        </w:rPr>
        <w:t xml:space="preserve">; </w:t>
      </w:r>
      <w:r>
        <w:rPr>
          <w:b w:val="0"/>
          <w:i/>
        </w:rPr>
        <w:t>Letheo flumine</w:t>
      </w:r>
      <w:r>
        <w:rPr>
          <w:b w:val="0"/>
          <w:i w:val="0"/>
        </w:rPr>
        <w:t xml:space="preserve">; </w:t>
      </w:r>
      <w:r>
        <w:rPr>
          <w:b w:val="0"/>
          <w:i/>
        </w:rPr>
        <w:t>partis albedo</w:t>
      </w:r>
      <w:r>
        <w:rPr>
          <w:b w:val="0"/>
          <w:i w:val="0"/>
        </w:rPr>
        <w:t xml:space="preserve">; </w:t>
      </w:r>
      <w:r>
        <w:rPr>
          <w:b w:val="0"/>
          <w:i/>
        </w:rPr>
        <w:t>pars albedinis</w:t>
      </w:r>
      <w:r>
        <w:rPr>
          <w:b w:val="0"/>
          <w:i w:val="0"/>
        </w:rPr>
        <w:t xml:space="preserve">; </w:t>
      </w:r>
      <w:r>
        <w:rPr>
          <w:b w:val="0"/>
          <w:i/>
        </w:rPr>
        <w:t>in genere qualitatum</w:t>
      </w:r>
      <w:r>
        <w:rPr>
          <w:b w:val="0"/>
          <w:i w:val="0"/>
        </w:rPr>
        <w:t xml:space="preserve">; </w:t>
      </w:r>
      <w:r>
        <w:rPr>
          <w:b w:val="0"/>
          <w:i/>
        </w:rPr>
        <w:t>qualitatis … causa</w:t>
      </w:r>
      <w:r>
        <w:rPr>
          <w:b w:val="0"/>
          <w:i w:val="0"/>
        </w:rPr>
        <w:t>.</w:t>
      </w:r>
    </w:p>
    <w:p>
      <w:pPr>
        <w:keepNext/>
        <w:widowControl/>
      </w:pPr>
      <w:r>
        <w:rPr>
          <w:b/>
          <w:i w:val="0"/>
        </w:rPr>
        <w:t>The word.</w:t>
      </w:r>
    </w:p>
    <w:p>
      <w:pPr>
        <w:widowControl/>
      </w:pPr>
      <w:r>
        <w:rPr>
          <w:b w:val="0"/>
          <w:i w:val="0"/>
        </w:rPr>
        <w:t>Qualitas names a form divided in body in the stated Platonic use; albedo and calor provide whiteness and heat as examples. An accidens is a dependent determination. Quality is neither bodily bulk itself nor every conceivable kind of form.</w:t>
      </w:r>
    </w:p>
    <w:p>
      <w:pPr>
        <w:widowControl/>
      </w:pPr>
      <w:r>
        <w:rPr>
          <w:b w:val="0"/>
          <w:i w:val="0"/>
        </w:rPr>
        <w:t xml:space="preserve">The local convention in I.3.1 is broader than an ordinary property list: Ficino calls every form divided in body </w:t>
      </w:r>
      <w:r>
        <w:t>“</w:t>
      </w:r>
      <w:r>
        <w:rPr>
          <w:b w:val="0"/>
          <w:i w:val="0"/>
        </w:rPr>
        <w:t>quality</w:t>
      </w:r>
      <w:r>
        <w:t>”</w:t>
      </w:r>
      <w:r>
        <w:rPr>
          <w:b w:val="0"/>
          <w:i w:val="0"/>
        </w:rPr>
        <w:t xml:space="preserve"> in Platonic usage. Conversely, the argument that quality is not body does not prove that quality already has the soul’s full independent subsistence.</w:t>
      </w:r>
    </w:p>
    <w:p>
      <w:pPr>
        <w:keepNext/>
        <w:widowControl/>
      </w:pPr>
      <w:r>
        <w:rPr>
          <w:b/>
          <w:i w:val="0"/>
        </w:rPr>
        <w:t>In the Platonic Theology.</w:t>
      </w:r>
    </w:p>
    <w:p>
      <w:pPr>
        <w:widowControl/>
      </w:pPr>
      <w:r>
        <w:rPr>
          <w:b w:val="0"/>
          <w:i w:val="0"/>
        </w:rPr>
        <w:t>Ficino expressly defines quality, in Platonic usage, as every form divided in body. This is broader than a casual descriptive adjective, but narrower than form in every sense. Quality explains why bodies with the same underlying matter and dimension have different effects: water cools through coldness and fire heats through heat. It is not itself a body, since several qualities can coexist without bodily obstruction; honey’s color, sweetness, and fragrance provide the example. Yet a bodily quality depends upon a material subject and is divided with its extension. It thus holds the grade between soul and body, combining act with receptive potency.</w:t>
      </w:r>
    </w:p>
    <w:p>
      <w:pPr>
        <w:widowControl/>
      </w:pPr>
      <w:r>
        <w:rPr>
          <w:b w:val="0"/>
          <w:i w:val="0"/>
        </w:rPr>
        <w:t>The examples of whiteness emphasize different aspects of this dependence. In I.2.17, the whiteness of each divided piece retains the character of whiteness even though its extent changes. In III.2, Ficino presents the natural philosophers’ account in which a greater portion of flesh contains a greater portion of whiteness. These are distinct argumentative perspectives: preservation of a qualitative character through division is not the same claim as undivided spiritual presence throughout a body. Quality is in a sense incorporeal considered in itself but becomes corporeal through reception and division in matter.</w:t>
      </w:r>
    </w:p>
    <w:p>
      <w:pPr>
        <w:widowControl/>
      </w:pPr>
      <w:r>
        <w:rPr>
          <w:b w:val="0"/>
          <w:i w:val="0"/>
        </w:rPr>
        <w:t>The motion vocabulary makes its rank precise. Quality moves another and is moved by another; soul moves itself, while body has no activity through itself. Quality changes in essence and operation, unlike soul’s stable substance and changing operations. Its effective action is more fundamental than bodily bulk, but it is not a self-sufficient source. A body’s activity can therefore be attributed to quality as proximate instrument and to an incorporeal nature as its sufficient cause without these being rival explanations. In the divine discussion, God cannot receive qualities as accidental determinations in a changing subject. The word consequently neither names a modern rating of excellence nor reduces all formative causation to material properties.</w:t>
      </w:r>
    </w:p>
    <w:p>
      <w:pPr>
        <w:widowControl/>
      </w:pPr>
      <w:r>
        <w:rPr>
          <w:b w:val="0"/>
          <w:i w:val="0"/>
        </w:rPr>
        <w:t>The image of Lethe at I.3.21 makes quality’s limited efficacy vivid. Ficino says that as soon as quality is born it is scattered through matter’s breadth and depth and plunged, as it were, into the river Lethe. Matter thus overcomes its power before it acts independently; a higher living cause must strengthen and direct it. The river functions as an image of immersion and impaired activity in the argument, not a new physical cause alongside matter and soul.</w:t>
      </w:r>
    </w:p>
    <w:p>
      <w:pPr>
        <w:widowControl/>
      </w:pPr>
      <w:r>
        <w:rPr>
          <w:b w:val="0"/>
          <w:i w:val="0"/>
        </w:rPr>
        <w:t>Retain the prior treatment and sharpen the apparent reversal across I.2–3. Chapter 2 assigns real efficacy to quality against bulk; chapter 3 asks whether quality is sufficient to explain that efficacy. The answer is no because quality is supported by matter and unable to account independently for generation’s stable order. These conclusions are complementary. The part-whiteness distinction also gives a concrete lexical explanation of qualified indivisibility: what remains the same is the character of whiteness, with similar power and action, while extent changes.</w:t>
      </w:r>
    </w:p>
    <w:p>
      <w:pPr>
        <w:keepNext/>
        <w:widowControl/>
      </w:pPr>
      <w:r>
        <w:rPr>
          <w:b/>
          <w:i w:val="0"/>
        </w:rPr>
        <w:t>The places.</w:t>
      </w:r>
    </w:p>
    <w:p>
      <w:pPr>
        <w:ind w:left="187" w:hanging="187"/>
      </w:pPr>
      <w:r>
        <w:t xml:space="preserve">• </w:t>
      </w:r>
      <w:r>
        <w:rPr>
          <w:b/>
          <w:i w:val="0"/>
        </w:rPr>
        <w:t>I.2.8–17</w:t>
      </w:r>
      <w:r>
        <w:rPr>
          <w:b w:val="0"/>
          <w:i w:val="0"/>
        </w:rPr>
        <w:t>. Bodily qualities act while depending on and dividing with their subjects.</w:t>
      </w:r>
    </w:p>
    <w:p>
      <w:pPr>
        <w:ind w:left="187" w:hanging="187"/>
      </w:pPr>
      <w:r>
        <w:t xml:space="preserve">• </w:t>
      </w:r>
      <w:r>
        <w:rPr>
          <w:b/>
          <w:i w:val="0"/>
        </w:rPr>
        <w:t>I.3.21</w:t>
      </w:r>
      <w:r>
        <w:rPr>
          <w:b w:val="0"/>
          <w:i w:val="0"/>
        </w:rPr>
        <w:t>. The Lethe comparison figures quality’s limitation in matter.</w:t>
      </w:r>
    </w:p>
    <w:p>
      <w:pPr>
        <w:ind w:left="187" w:hanging="187"/>
      </w:pPr>
      <w:r>
        <w:t xml:space="preserve">• </w:t>
      </w:r>
      <w:r>
        <w:rPr>
          <w:b/>
          <w:i w:val="0"/>
        </w:rPr>
        <w:t>II.11.2–8</w:t>
      </w:r>
      <w:r>
        <w:rPr>
          <w:b w:val="0"/>
          <w:i w:val="0"/>
        </w:rPr>
        <w:t>. Received accidental qualities are excluded from the divine first agent.</w:t>
      </w:r>
    </w:p>
    <w:p>
      <w:pPr>
        <w:ind w:left="187" w:hanging="187"/>
      </w:pPr>
      <w:r>
        <w:t xml:space="preserve">• </w:t>
      </w:r>
      <w:r>
        <w:rPr>
          <w:b/>
          <w:i w:val="0"/>
        </w:rPr>
        <w:t>III.1.9–10</w:t>
      </w:r>
      <w:r>
        <w:rPr>
          <w:b w:val="0"/>
          <w:i w:val="0"/>
        </w:rPr>
        <w:t>. Quality combines actuality with reception and bodily division.</w:t>
      </w:r>
    </w:p>
    <w:p>
      <w:pPr>
        <w:ind w:left="187" w:hanging="187"/>
      </w:pPr>
      <w:r>
        <w:t xml:space="preserve">• </w:t>
      </w:r>
      <w:r>
        <w:rPr>
          <w:b/>
          <w:i w:val="0"/>
        </w:rPr>
        <w:t>III.2.10–12</w:t>
      </w:r>
      <w:r>
        <w:rPr>
          <w:b w:val="0"/>
          <w:i w:val="0"/>
        </w:rPr>
        <w:t>. Whiteness in flesh contrasts with soul’s undivided whole presence.</w:t>
      </w:r>
    </w:p>
    <w:p>
      <w:pPr>
        <w:widowControl/>
      </w:pPr>
      <w:r>
        <w:rPr>
          <w:b/>
          <w:i w:val="0"/>
        </w:rPr>
        <w:t>Further passage references.</w:t>
      </w:r>
      <w:r>
        <w:rPr>
          <w:b w:val="0"/>
          <w:i w:val="0"/>
        </w:rPr>
        <w:t xml:space="preserve"> I.2.8–I.2.17 (PDF pp. 22–27); I.3.1, I.3.4, I.3.7, I.3.19–I.3.21 (pp. 28–35, 42–45); I.4.1 (pp. 54–55); II.11.2–8, 19–21, PDF 182–193; III.1.1–3, 9–10, 16–23, PDF 240–255; III.2.9–17, PDF 268–271</w:t>
      </w:r>
    </w:p>
    <w:p>
      <w:pPr>
        <w:ind w:left="187" w:hanging="187"/>
      </w:pPr>
      <w:r>
        <w:t xml:space="preserve">• </w:t>
      </w:r>
      <w:r>
        <w:rPr>
          <w:b/>
          <w:i w:val="0"/>
        </w:rPr>
        <w:t>I.2.15–17, PDF 26–27.</w:t>
      </w:r>
      <w:r>
        <w:rPr>
          <w:b w:val="0"/>
          <w:i w:val="0"/>
        </w:rPr>
        <w:t xml:space="preserve"> Coexisting qualities and the white-body division establish nonidentity with body</w:t>
      </w:r>
    </w:p>
    <w:p>
      <w:pPr>
        <w:ind w:left="187" w:hanging="187"/>
      </w:pPr>
      <w:r>
        <w:t xml:space="preserve">• </w:t>
      </w:r>
      <w:r>
        <w:rPr>
          <w:b/>
          <w:i w:val="0"/>
        </w:rPr>
        <w:t>I.3.1, PDF 28–29.</w:t>
      </w:r>
      <w:r>
        <w:rPr>
          <w:b w:val="0"/>
          <w:i w:val="0"/>
        </w:rPr>
        <w:t xml:space="preserve"> The terminology is expressly labelled Platonic</w:t>
      </w:r>
    </w:p>
    <w:p>
      <w:pPr>
        <w:ind w:left="187" w:hanging="187"/>
      </w:pPr>
      <w:r>
        <w:t xml:space="preserve">• </w:t>
      </w:r>
      <w:r>
        <w:rPr>
          <w:b/>
          <w:i w:val="0"/>
        </w:rPr>
        <w:t>I.3.7–11, PDF 34–37.</w:t>
      </w:r>
      <w:r>
        <w:rPr>
          <w:b w:val="0"/>
          <w:i w:val="0"/>
        </w:rPr>
        <w:t xml:space="preserve"> Real but insufficient quality requires a higher ordering cause</w:t>
      </w:r>
    </w:p>
    <w:p>
      <w:pPr>
        <w:keepNext/>
        <w:widowControl/>
      </w:pPr>
      <w:r>
        <w:rPr>
          <w:b/>
          <w:i w:val="0"/>
        </w:rPr>
        <w:t>In this edition.</w:t>
      </w:r>
    </w:p>
    <w:p>
      <w:pPr>
        <w:widowControl/>
      </w:pPr>
      <w:r>
        <w:rPr>
          <w:b w:val="0"/>
          <w:i w:val="0"/>
        </w:rPr>
        <w:t xml:space="preserve">At I.2.17 the English preserves </w:t>
      </w:r>
      <w:r>
        <w:t>“</w:t>
      </w:r>
      <w:r>
        <w:rPr>
          <w:b w:val="0"/>
          <w:i w:val="0"/>
        </w:rPr>
        <w:t>whiteness of a part</w:t>
      </w:r>
      <w:r>
        <w:t>”</w:t>
      </w:r>
      <w:r>
        <w:rPr>
          <w:b w:val="0"/>
          <w:i w:val="0"/>
        </w:rPr>
        <w:t xml:space="preserve"> versus </w:t>
      </w:r>
      <w:r>
        <w:t>“</w:t>
      </w:r>
      <w:r>
        <w:rPr>
          <w:b w:val="0"/>
          <w:i w:val="0"/>
        </w:rPr>
        <w:t>part of whiteness</w:t>
      </w:r>
      <w:r>
        <w:t>”</w:t>
      </w:r>
      <w:r>
        <w:rPr>
          <w:b w:val="0"/>
          <w:i w:val="0"/>
        </w:rPr>
        <w:t>; at III.2.11 it reports the natural philosophers’ proportional partition of whiteness with flesh. These are different argumentative respects, not permission to suppress one passage. Lethe at I.3.21 remains an image of immersion and weakened power.</w:t>
      </w:r>
    </w:p>
    <w:p>
      <w:pPr>
        <w:widowControl/>
      </w:pPr>
      <w:r>
        <w:rPr>
          <w:b w:val="0"/>
          <w:i w:val="0"/>
        </w:rPr>
        <w:t xml:space="preserve">The word order in </w:t>
      </w:r>
      <w:r>
        <w:t>“</w:t>
      </w:r>
      <w:r>
        <w:rPr>
          <w:b w:val="0"/>
          <w:i w:val="0"/>
        </w:rPr>
        <w:t>whiteness of a part</w:t>
      </w:r>
      <w:r>
        <w:t>”</w:t>
      </w:r>
      <w:r>
        <w:rPr>
          <w:b w:val="0"/>
          <w:i w:val="0"/>
        </w:rPr>
        <w:t xml:space="preserve"> versus </w:t>
      </w:r>
      <w:r>
        <w:t>“</w:t>
      </w:r>
      <w:r>
        <w:rPr>
          <w:b w:val="0"/>
          <w:i w:val="0"/>
        </w:rPr>
        <w:t>part of whiteness</w:t>
      </w:r>
      <w:r>
        <w:t>”</w:t>
      </w:r>
      <w:r>
        <w:rPr>
          <w:b w:val="0"/>
          <w:i w:val="0"/>
        </w:rPr>
        <w:t xml:space="preserve"> must be retained. </w:t>
      </w:r>
      <w:r>
        <w:t>“</w:t>
      </w:r>
      <w:r>
        <w:rPr>
          <w:b w:val="0"/>
          <w:i w:val="0"/>
        </w:rPr>
        <w:t>In itself somehow indivisible</w:t>
      </w:r>
      <w:r>
        <w:t>”</w:t>
      </w:r>
      <w:r>
        <w:rPr>
          <w:b w:val="0"/>
          <w:i w:val="0"/>
        </w:rPr>
        <w:t xml:space="preserve"> in I.2.17 keeps </w:t>
      </w:r>
      <w:r>
        <w:rPr>
          <w:b w:val="0"/>
          <w:i/>
        </w:rPr>
        <w:t>quodammodo</w:t>
      </w:r>
      <w:r>
        <w:rPr>
          <w:b w:val="0"/>
          <w:i w:val="0"/>
        </w:rPr>
        <w:t xml:space="preserve"> and should not be abridged to </w:t>
      </w:r>
      <w:r>
        <w:t>“</w:t>
      </w:r>
      <w:r>
        <w:rPr>
          <w:b w:val="0"/>
          <w:i w:val="0"/>
        </w:rPr>
        <w:t>absolutely indivisible.</w:t>
      </w:r>
      <w:r>
        <w:t>”</w:t>
      </w:r>
    </w:p>
    <w:p>
      <w:pPr>
        <w:keepNext/>
        <w:widowControl/>
      </w:pPr>
      <w:r>
        <w:rPr>
          <w:b/>
          <w:i w:val="0"/>
        </w:rPr>
        <w:t>See also.</w:t>
      </w:r>
    </w:p>
    <w:p>
      <w:pPr>
        <w:widowControl/>
      </w:pPr>
      <w:hyperlink w:anchor="quantity-and-dimension">
        <w:r>
          <w:rPr>
            <w:color w:val="000000"/>
          </w:rPr>
          <w:t xml:space="preserve">Quantity and dimension</w:t>
        </w:r>
      </w:hyperlink>
      <w:r>
        <w:rPr>
          <w:b w:val="0"/>
          <w:i w:val="0"/>
        </w:rPr>
        <w:t xml:space="preserve">; </w:t>
      </w:r>
      <w:hyperlink w:anchor="form">
        <w:r>
          <w:rPr>
            <w:color w:val="000000"/>
          </w:rPr>
          <w:t xml:space="preserve">Form</w:t>
        </w:r>
      </w:hyperlink>
      <w:r>
        <w:rPr>
          <w:b w:val="0"/>
          <w:i w:val="0"/>
        </w:rPr>
        <w:t xml:space="preserve">; </w:t>
      </w:r>
      <w:hyperlink w:anchor="substance-and-accident">
        <w:r>
          <w:rPr>
            <w:color w:val="000000"/>
          </w:rPr>
          <w:t xml:space="preserve">Substance and accident</w:t>
        </w:r>
      </w:hyperlink>
      <w:r>
        <w:rPr>
          <w:b w:val="0"/>
          <w:i w:val="0"/>
        </w:rPr>
        <w:t xml:space="preserve">; </w:t>
      </w:r>
      <w:hyperlink w:anchor="instrument">
        <w:r>
          <w:rPr>
            <w:color w:val="000000"/>
          </w:rPr>
          <w:t xml:space="preserve">Instrument</w:t>
        </w:r>
      </w:hyperlink>
      <w:r>
        <w:rPr>
          <w:b w:val="0"/>
          <w:i w:val="0"/>
        </w:rPr>
        <w:t xml:space="preserve">; </w:t>
      </w:r>
      <w:hyperlink w:anchor="indivisibility">
        <w:r>
          <w:rPr>
            <w:color w:val="000000"/>
          </w:rPr>
          <w:t xml:space="preserve">Indivisibility</w:t>
        </w:r>
      </w:hyperlink>
      <w:r>
        <w:rPr>
          <w:b w:val="0"/>
          <w:i w:val="0"/>
        </w:rPr>
        <w:t xml:space="preserve">; </w:t>
      </w:r>
      <w:hyperlink w:anchor="power-and-potency">
        <w:r>
          <w:rPr>
            <w:color w:val="000000"/>
          </w:rPr>
          <w:t xml:space="preserve">Power and potency</w:t>
        </w:r>
      </w:hyperlink>
      <w:r>
        <w:rPr>
          <w:b w:val="0"/>
          <w:i w:val="0"/>
        </w:rPr>
        <w:t xml:space="preserve">; </w:t>
      </w:r>
      <w:hyperlink w:anchor="body-and-bulk">
        <w:r>
          <w:rPr>
            <w:color w:val="000000"/>
          </w:rPr>
          <w:t xml:space="preserve">Body and bulk</w:t>
        </w:r>
      </w:hyperlink>
      <w:r>
        <w:rPr>
          <w:b w:val="0"/>
          <w:i w:val="0"/>
        </w:rPr>
        <w:t xml:space="preserve">; </w:t>
      </w:r>
      <w:hyperlink w:anchor="essence-and-substance">
        <w:r>
          <w:rPr>
            <w:color w:val="000000"/>
          </w:rPr>
          <w:t xml:space="preserve">Essence and substance</w:t>
        </w:r>
      </w:hyperlink>
      <w:r>
        <w:rPr>
          <w:b w:val="0"/>
          <w:i w:val="0"/>
        </w:rPr>
        <w:t xml:space="preserve">; </w:t>
      </w:r>
      <w:hyperlink w:anchor="indwelling-and-presence">
        <w:r>
          <w:rPr>
            <w:color w:val="000000"/>
          </w:rPr>
          <w:t xml:space="preserve">Indwelling and presence</w:t>
        </w:r>
      </w:hyperlink>
    </w:p>
    <w:p>
      <w:pPr>
        <w:widowControl/>
      </w:pPr>
      <w:hyperlink w:anchor="honey-whiteness-and-the-wall">
        <w:r>
          <w:rPr>
            <w:color w:val="000000"/>
          </w:rPr>
          <w:t xml:space="preserve">Honey, whiteness and the wall</w:t>
        </w:r>
      </w:hyperlink>
      <w:r>
        <w:rPr>
          <w:b w:val="0"/>
          <w:i w:val="0"/>
        </w:rPr>
        <w:t xml:space="preserve">; </w:t>
      </w:r>
      <w:hyperlink w:anchor="support-inherence-and-dependence">
        <w:r>
          <w:rPr>
            <w:color w:val="000000"/>
          </w:rPr>
          <w:t xml:space="preserve">Support, inherence and dependence</w:t>
        </w:r>
      </w:hyperlink>
      <w:r>
        <w:rPr>
          <w:b w:val="0"/>
          <w:i w:val="0"/>
        </w:rPr>
        <w:t xml:space="preserve">; </w:t>
      </w:r>
      <w:hyperlink w:anchor="dispersion-and-concentration">
        <w:r>
          <w:rPr>
            <w:color w:val="000000"/>
          </w:rPr>
          <w:t xml:space="preserve">Dispersion and concentration</w:t>
        </w:r>
      </w:hyperlink>
      <w:r>
        <w:rPr>
          <w:b w:val="0"/>
          <w:i w:val="0"/>
        </w:rPr>
        <w:t>.</w:t>
      </w:r>
    </w:p>
    <w:p>
      <w:bookmarkStart w:id="193" w:name="quantity-and-dimension"/>
      <w:pPr>
        <w:pStyle w:val="Heading2"/>
      </w:pPr>
      <w:r>
        <w:rPr>
          <w:b w:val="0"/>
          <w:i w:val="0"/>
        </w:rPr>
        <w:t>Quantity and dimension</w:t>
      </w:r>
      <w:bookmarkEnd w:id="193"/>
    </w:p>
    <w:p>
      <w:pPr>
        <w:keepNext/>
        <w:widowControl/>
      </w:pPr>
      <w:r>
        <w:rPr>
          <w:b/>
          <w:i w:val="0"/>
        </w:rPr>
        <w:t>Latin:</w:t>
      </w:r>
      <w:r>
        <w:rPr>
          <w:b w:val="0"/>
          <w:i w:val="0"/>
        </w:rPr>
        <w:t xml:space="preserve"> </w:t>
      </w:r>
      <w:r>
        <w:rPr>
          <w:b w:val="0"/>
          <w:i/>
        </w:rPr>
        <w:t>quantitas</w:t>
      </w:r>
      <w:r>
        <w:rPr>
          <w:b w:val="0"/>
          <w:i w:val="0"/>
        </w:rPr>
        <w:t xml:space="preserve">, </w:t>
      </w:r>
      <w:r>
        <w:rPr>
          <w:b w:val="0"/>
          <w:i/>
        </w:rPr>
        <w:t>dimensio</w:t>
      </w:r>
      <w:r>
        <w:rPr>
          <w:b w:val="0"/>
          <w:i w:val="0"/>
        </w:rPr>
        <w:t xml:space="preserve">, </w:t>
      </w:r>
      <w:r>
        <w:rPr>
          <w:b w:val="0"/>
          <w:i/>
        </w:rPr>
        <w:t>extensio</w:t>
      </w:r>
      <w:r>
        <w:rPr>
          <w:b w:val="0"/>
          <w:i w:val="0"/>
        </w:rPr>
        <w:t xml:space="preserve">; </w:t>
      </w:r>
      <w:r>
        <w:rPr>
          <w:b w:val="0"/>
          <w:i/>
        </w:rPr>
        <w:t>magnitudo</w:t>
      </w:r>
      <w:r>
        <w:rPr>
          <w:b w:val="0"/>
          <w:i w:val="0"/>
        </w:rPr>
        <w:t xml:space="preserve">, </w:t>
      </w:r>
      <w:r>
        <w:rPr>
          <w:b w:val="0"/>
          <w:i/>
        </w:rPr>
        <w:t>amplitudo</w:t>
      </w:r>
      <w:r>
        <w:rPr>
          <w:b w:val="0"/>
          <w:i w:val="0"/>
        </w:rPr>
        <w:t xml:space="preserve">; </w:t>
      </w:r>
      <w:r>
        <w:rPr>
          <w:b w:val="0"/>
          <w:i/>
        </w:rPr>
        <w:t>decrementum</w:t>
      </w:r>
      <w:r>
        <w:rPr>
          <w:b w:val="0"/>
          <w:i w:val="0"/>
        </w:rPr>
        <w:t xml:space="preserve">, </w:t>
      </w:r>
      <w:r>
        <w:rPr>
          <w:b w:val="0"/>
          <w:i/>
        </w:rPr>
        <w:t>remissio</w:t>
      </w:r>
    </w:p>
    <w:p>
      <w:pPr>
        <w:keepNext/>
        <w:widowControl/>
      </w:pPr>
      <w:r>
        <w:rPr>
          <w:b/>
          <w:i w:val="0"/>
        </w:rPr>
        <w:t>The word.</w:t>
      </w:r>
    </w:p>
    <w:p>
      <w:pPr>
        <w:widowControl/>
      </w:pPr>
      <w:r>
        <w:rPr>
          <w:b w:val="0"/>
          <w:i w:val="0"/>
        </w:rPr>
        <w:t>Quantitas concerns amount and spatial extension; dimensio and extensio describe dimension and spreading. Magnitudo and amplitudo concern greatness or extent. Decrementum is decrease; remissio, in the technical contrast, diminution of intensity.</w:t>
      </w:r>
    </w:p>
    <w:p>
      <w:pPr>
        <w:keepNext/>
        <w:widowControl/>
      </w:pPr>
      <w:r>
        <w:rPr>
          <w:b/>
          <w:i w:val="0"/>
        </w:rPr>
        <w:t>In the Platonic Theology.</w:t>
      </w:r>
    </w:p>
    <w:p>
      <w:pPr>
        <w:widowControl/>
      </w:pPr>
      <w:r>
        <w:rPr>
          <w:b w:val="0"/>
          <w:i w:val="0"/>
        </w:rPr>
        <w:t xml:space="preserve">Quantity concerns extension and the multiplicity of spatial parts. Ficino considers whether it is simply matter’s extension or a form by which a higher cause extends matter. In either case, it does not explain effective action upon another body as quality does. The contrast is concrete: approaching something large does not make one large, whereas approaching something hot can make one hot. Quality can also move a sense before that sense judges quantity, as color and light make a wall’s magnitude perceptible. The argument carefully separates the amount of a quality from its character or intensity. A white body’s partition changes extent without necessarily changing the defining character of whiteness; concentrated heat can be more powerful than dispersed heat. </w:t>
      </w:r>
      <w:r>
        <w:t>“</w:t>
      </w:r>
      <w:r>
        <w:rPr>
          <w:b w:val="0"/>
          <w:i w:val="0"/>
        </w:rPr>
        <w:t>Dimension</w:t>
      </w:r>
      <w:r>
        <w:t>”</w:t>
      </w:r>
      <w:r>
        <w:rPr>
          <w:b w:val="0"/>
          <w:i w:val="0"/>
        </w:rPr>
        <w:t xml:space="preserve"> is also distinguished from matter in the discussion of celestial forms that possess the former without the latter. These are claims within Ficino’s argument, not a simple equation of quantity with modern mathematical measurement.</w:t>
      </w:r>
    </w:p>
    <w:p>
      <w:pPr>
        <w:widowControl/>
      </w:pPr>
      <w:r>
        <w:rPr>
          <w:b w:val="0"/>
          <w:i w:val="0"/>
        </w:rPr>
        <w:t xml:space="preserve">A related distinction at I.3.15 separates </w:t>
      </w:r>
      <w:r>
        <w:rPr>
          <w:b w:val="0"/>
          <w:i/>
        </w:rPr>
        <w:t>decrementum</w:t>
      </w:r>
      <w:r>
        <w:rPr>
          <w:b w:val="0"/>
          <w:i w:val="0"/>
        </w:rPr>
        <w:t xml:space="preserve">, decrease in extent, from </w:t>
      </w:r>
      <w:r>
        <w:rPr>
          <w:b w:val="0"/>
          <w:i/>
        </w:rPr>
        <w:t>remissio</w:t>
      </w:r>
      <w:r>
        <w:rPr>
          <w:b w:val="0"/>
          <w:i w:val="0"/>
        </w:rPr>
        <w:t xml:space="preserve">, weakening of intensity. Quality can undergo both; substantial corporeal form can decrease without undergoing the latter. Ficino uses the contrast to argue for incorporeal substantial form subject to neither kind of diminution. The fuller hierarchy of forms therefore depends on two distinct senses of </w:t>
      </w:r>
      <w:r>
        <w:t>“</w:t>
      </w:r>
      <w:r>
        <w:rPr>
          <w:b w:val="0"/>
          <w:i w:val="0"/>
        </w:rPr>
        <w:t>less,</w:t>
      </w:r>
      <w:r>
        <w:t>”</w:t>
      </w:r>
      <w:r>
        <w:rPr>
          <w:b w:val="0"/>
          <w:i w:val="0"/>
        </w:rPr>
        <w:t xml:space="preserve"> not two interchangeable labels for quantitative shrinking.</w:t>
      </w:r>
    </w:p>
    <w:p>
      <w:pPr>
        <w:keepNext/>
        <w:widowControl/>
      </w:pPr>
      <w:r>
        <w:rPr>
          <w:b/>
          <w:i w:val="0"/>
        </w:rPr>
        <w:t>The places.</w:t>
      </w:r>
    </w:p>
    <w:p>
      <w:pPr>
        <w:ind w:left="187" w:hanging="187"/>
      </w:pPr>
      <w:r>
        <w:t xml:space="preserve">• </w:t>
      </w:r>
      <w:r>
        <w:rPr>
          <w:b/>
          <w:i w:val="0"/>
        </w:rPr>
        <w:t>I.2.1–4</w:t>
      </w:r>
      <w:r>
        <w:rPr>
          <w:b w:val="0"/>
          <w:i w:val="0"/>
        </w:rPr>
        <w:t>. Matter, dimensions, and bodily bulk are distinguished from active efficacy.</w:t>
      </w:r>
    </w:p>
    <w:p>
      <w:pPr>
        <w:ind w:left="187" w:hanging="187"/>
      </w:pPr>
      <w:r>
        <w:t xml:space="preserve">• </w:t>
      </w:r>
      <w:r>
        <w:rPr>
          <w:b/>
          <w:i w:val="0"/>
        </w:rPr>
        <w:t>I.2.17</w:t>
      </w:r>
      <w:r>
        <w:rPr>
          <w:b w:val="0"/>
          <w:i w:val="0"/>
        </w:rPr>
        <w:t>. Partition changes extent without necessarily changing the character of whiteness.</w:t>
      </w:r>
    </w:p>
    <w:p>
      <w:pPr>
        <w:ind w:left="187" w:hanging="187"/>
      </w:pPr>
      <w:r>
        <w:t xml:space="preserve">• </w:t>
      </w:r>
      <w:r>
        <w:rPr>
          <w:b/>
          <w:i w:val="0"/>
        </w:rPr>
        <w:t>I.3.15</w:t>
      </w:r>
      <w:r>
        <w:rPr>
          <w:b w:val="0"/>
          <w:i w:val="0"/>
        </w:rPr>
        <w:t>. Decrease and remission distinguish three grades of form.</w:t>
      </w:r>
    </w:p>
    <w:p>
      <w:pPr>
        <w:ind w:left="187" w:hanging="187"/>
      </w:pPr>
      <w:r>
        <w:t xml:space="preserve">• </w:t>
      </w:r>
      <w:r>
        <w:rPr>
          <w:b/>
          <w:i w:val="0"/>
        </w:rPr>
        <w:t>I.5.26</w:t>
      </w:r>
      <w:r>
        <w:rPr>
          <w:b w:val="0"/>
          <w:i w:val="0"/>
        </w:rPr>
        <w:t>. The account differentiates celestial dimension from matter.</w:t>
      </w:r>
    </w:p>
    <w:p>
      <w:pPr>
        <w:widowControl/>
      </w:pPr>
      <w:r>
        <w:rPr>
          <w:b/>
          <w:i w:val="0"/>
        </w:rPr>
        <w:t>Further passage references.</w:t>
      </w:r>
      <w:r>
        <w:rPr>
          <w:b w:val="0"/>
          <w:i w:val="0"/>
        </w:rPr>
        <w:t xml:space="preserve"> I.2.1–I.2.4, I.2.9–I.2.17 (PDF pp. 18–27); I.3.19, I.3.25–I.3.29 (pp. 42–43, 46–51); I.5.26 (pp. 78–79); I.3.15, pp. 38–39</w:t>
      </w:r>
    </w:p>
    <w:p>
      <w:pPr>
        <w:keepNext/>
        <w:widowControl/>
      </w:pPr>
      <w:r>
        <w:rPr>
          <w:b/>
          <w:i w:val="0"/>
        </w:rPr>
        <w:t>In this edition.</w:t>
      </w:r>
    </w:p>
    <w:p>
      <w:pPr>
        <w:widowControl/>
      </w:pPr>
      <w:r>
        <w:rPr>
          <w:b w:val="0"/>
          <w:i w:val="0"/>
        </w:rPr>
        <w:t xml:space="preserve">The supplied </w:t>
      </w:r>
      <w:r>
        <w:t>“</w:t>
      </w:r>
      <w:r>
        <w:rPr>
          <w:b w:val="0"/>
          <w:i w:val="0"/>
        </w:rPr>
        <w:t>remission of intensity</w:t>
      </w:r>
      <w:r>
        <w:t>”</w:t>
      </w:r>
      <w:r>
        <w:rPr>
          <w:b w:val="0"/>
          <w:i w:val="0"/>
        </w:rPr>
        <w:t xml:space="preserve"> at I.3.15 clarifies a distinction that plain </w:t>
      </w:r>
      <w:r>
        <w:t>“</w:t>
      </w:r>
      <w:r>
        <w:rPr>
          <w:b w:val="0"/>
          <w:i w:val="0"/>
        </w:rPr>
        <w:t>decrease</w:t>
      </w:r>
      <w:r>
        <w:t>”</w:t>
      </w:r>
      <w:r>
        <w:rPr>
          <w:b w:val="0"/>
          <w:i w:val="0"/>
        </w:rPr>
        <w:t xml:space="preserve"> would erase. I.2.17 likewise preserves qualitative character while denying equal extent after division. The contrast between dimensions and matter in I.5.26 must remain an argument in Ficino’s hierarchy, not a modern physics assertion.</w:t>
      </w:r>
    </w:p>
    <w:p>
      <w:pPr>
        <w:keepNext/>
        <w:widowControl/>
      </w:pPr>
      <w:r>
        <w:rPr>
          <w:b/>
          <w:i w:val="0"/>
        </w:rPr>
        <w:t>See also.</w:t>
      </w:r>
    </w:p>
    <w:p>
      <w:pPr>
        <w:widowControl/>
      </w:pPr>
      <w:hyperlink w:anchor="quality">
        <w:r>
          <w:rPr>
            <w:color w:val="000000"/>
          </w:rPr>
          <w:t xml:space="preserve">Quality</w:t>
        </w:r>
      </w:hyperlink>
      <w:r>
        <w:rPr>
          <w:b w:val="0"/>
          <w:i w:val="0"/>
        </w:rPr>
        <w:t xml:space="preserve">; </w:t>
      </w:r>
      <w:hyperlink w:anchor="body-and-bulk">
        <w:r>
          <w:rPr>
            <w:color w:val="000000"/>
          </w:rPr>
          <w:t xml:space="preserve">Body and bulk</w:t>
        </w:r>
      </w:hyperlink>
      <w:r>
        <w:rPr>
          <w:b w:val="0"/>
          <w:i w:val="0"/>
        </w:rPr>
        <w:t xml:space="preserve">; </w:t>
      </w:r>
      <w:hyperlink w:anchor="matter">
        <w:r>
          <w:rPr>
            <w:color w:val="000000"/>
          </w:rPr>
          <w:t xml:space="preserve">Matter</w:t>
        </w:r>
      </w:hyperlink>
      <w:r>
        <w:rPr>
          <w:b w:val="0"/>
          <w:i w:val="0"/>
        </w:rPr>
        <w:t xml:space="preserve">; </w:t>
      </w:r>
      <w:hyperlink w:anchor="number">
        <w:r>
          <w:rPr>
            <w:color w:val="000000"/>
          </w:rPr>
          <w:t xml:space="preserve">Number</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form">
        <w:r>
          <w:rPr>
            <w:color w:val="000000"/>
          </w:rPr>
          <w:t xml:space="preserve">Form</w:t>
        </w:r>
      </w:hyperlink>
    </w:p>
    <w:p>
      <w:bookmarkStart w:id="194" w:name="reason-and-account"/>
      <w:pPr>
        <w:pStyle w:val="Heading2"/>
      </w:pPr>
      <w:r>
        <w:rPr>
          <w:b w:val="0"/>
          <w:i w:val="0"/>
        </w:rPr>
        <w:t>Reason and account</w:t>
      </w:r>
      <w:bookmarkEnd w:id="194"/>
    </w:p>
    <w:p>
      <w:pPr>
        <w:keepNext/>
        <w:widowControl/>
      </w:pPr>
      <w:r>
        <w:rPr>
          <w:b/>
          <w:i w:val="0"/>
        </w:rPr>
        <w:t>Latin:</w:t>
      </w:r>
      <w:r>
        <w:rPr>
          <w:b w:val="0"/>
          <w:i w:val="0"/>
        </w:rPr>
        <w:t xml:space="preserve"> </w:t>
      </w:r>
      <w:r>
        <w:rPr>
          <w:b w:val="0"/>
          <w:i/>
        </w:rPr>
        <w:t>ratio</w:t>
      </w:r>
      <w:r>
        <w:rPr>
          <w:b w:val="0"/>
          <w:i w:val="0"/>
        </w:rPr>
        <w:t xml:space="preserve">, </w:t>
      </w:r>
      <w:r>
        <w:rPr>
          <w:b w:val="0"/>
          <w:i/>
        </w:rPr>
        <w:t>rationes</w:t>
      </w:r>
      <w:r>
        <w:rPr>
          <w:b w:val="0"/>
          <w:i w:val="0"/>
        </w:rPr>
        <w:t xml:space="preserve">, </w:t>
      </w:r>
      <w:r>
        <w:rPr>
          <w:b w:val="0"/>
          <w:i/>
        </w:rPr>
        <w:t>rationalis</w:t>
      </w:r>
      <w:r>
        <w:rPr>
          <w:b w:val="0"/>
          <w:i w:val="0"/>
        </w:rPr>
        <w:t xml:space="preserve">, </w:t>
      </w:r>
      <w:r>
        <w:rPr>
          <w:b w:val="0"/>
          <w:i/>
        </w:rPr>
        <w:t>argumentatio</w:t>
      </w:r>
      <w:r>
        <w:rPr>
          <w:b w:val="0"/>
          <w:i w:val="0"/>
        </w:rPr>
        <w:t xml:space="preserve">; </w:t>
      </w:r>
      <w:r>
        <w:rPr>
          <w:b w:val="0"/>
          <w:i/>
        </w:rPr>
        <w:t>ratio propria</w:t>
      </w:r>
      <w:r>
        <w:rPr>
          <w:b w:val="0"/>
          <w:i w:val="0"/>
        </w:rPr>
        <w:t xml:space="preserve">, </w:t>
      </w:r>
      <w:r>
        <w:rPr>
          <w:b w:val="0"/>
          <w:i/>
        </w:rPr>
        <w:t>rationes formarum</w:t>
      </w:r>
      <w:r>
        <w:rPr>
          <w:b w:val="0"/>
          <w:i w:val="0"/>
        </w:rPr>
        <w:t xml:space="preserve">, </w:t>
      </w:r>
      <w:r>
        <w:rPr>
          <w:b w:val="0"/>
          <w:i/>
        </w:rPr>
        <w:t>ratio entis</w:t>
      </w:r>
      <w:r>
        <w:rPr>
          <w:b w:val="0"/>
          <w:i w:val="0"/>
        </w:rPr>
        <w:t xml:space="preserve"> (attested as </w:t>
      </w:r>
      <w:r>
        <w:rPr>
          <w:b w:val="0"/>
          <w:i/>
        </w:rPr>
        <w:t>rationi entis</w:t>
      </w:r>
      <w:r>
        <w:rPr>
          <w:b w:val="0"/>
          <w:i w:val="0"/>
        </w:rPr>
        <w:t xml:space="preserve">), </w:t>
      </w:r>
      <w:r>
        <w:rPr>
          <w:b w:val="0"/>
          <w:i/>
        </w:rPr>
        <w:t>ratio appetendi</w:t>
      </w:r>
      <w:r>
        <w:rPr>
          <w:b w:val="0"/>
          <w:i w:val="0"/>
        </w:rPr>
        <w:t xml:space="preserve">; </w:t>
      </w:r>
      <w:r>
        <w:rPr>
          <w:b w:val="0"/>
          <w:i/>
        </w:rPr>
        <w:t>rerum rationes universales</w:t>
      </w:r>
    </w:p>
    <w:p>
      <w:pPr>
        <w:keepNext/>
        <w:widowControl/>
      </w:pPr>
      <w:r>
        <w:rPr>
          <w:b/>
          <w:i w:val="0"/>
        </w:rPr>
        <w:t>The word.</w:t>
      </w:r>
    </w:p>
    <w:p>
      <w:pPr>
        <w:widowControl/>
      </w:pPr>
      <w:r>
        <w:rPr>
          <w:b w:val="0"/>
          <w:i w:val="0"/>
        </w:rPr>
        <w:t>Ratio can be a reasoning act, an argument, an intelligible account, a formative principle, or a respect of consideration. Rationalis can describe a capacity or mode of soul. Rationes need not be propositions verbally entertained by the things they determine.</w:t>
      </w:r>
    </w:p>
    <w:p>
      <w:pPr>
        <w:keepNext/>
        <w:widowControl/>
      </w:pPr>
      <w:r>
        <w:rPr>
          <w:b/>
          <w:i w:val="0"/>
        </w:rPr>
        <w:t>In the Platonic Theology.</w:t>
      </w:r>
    </w:p>
    <w:p>
      <w:pPr>
        <w:widowControl/>
      </w:pPr>
      <w:r>
        <w:rPr>
          <w:b w:val="0"/>
          <w:i/>
        </w:rPr>
        <w:t>Ratio</w:t>
      </w:r>
      <w:r>
        <w:rPr>
          <w:b w:val="0"/>
          <w:i w:val="0"/>
        </w:rPr>
        <w:t xml:space="preserve"> has no single fixed English equivalent. It can mean a reasoning activity, an argument, an intelligible account, a formative principle, a defining character, or the respect under which something is considered. The Proem’s Platonic </w:t>
      </w:r>
      <w:r>
        <w:rPr>
          <w:b w:val="0"/>
          <w:i/>
        </w:rPr>
        <w:t>rationes</w:t>
      </w:r>
      <w:r>
        <w:rPr>
          <w:b w:val="0"/>
          <w:i w:val="0"/>
        </w:rPr>
        <w:t xml:space="preserve"> are arguments supporting religion, while successive demonstrations may be introduced as a first or second </w:t>
      </w:r>
      <w:r>
        <w:rPr>
          <w:b w:val="0"/>
          <w:i/>
        </w:rPr>
        <w:t>ratio</w:t>
      </w:r>
      <w:r>
        <w:rPr>
          <w:b w:val="0"/>
          <w:i w:val="0"/>
        </w:rPr>
        <w:t xml:space="preserve">. In the whiteness example, </w:t>
      </w:r>
      <w:r>
        <w:rPr>
          <w:b w:val="0"/>
          <w:i/>
        </w:rPr>
        <w:t>albedinis ratio</w:t>
      </w:r>
      <w:r>
        <w:rPr>
          <w:b w:val="0"/>
          <w:i w:val="0"/>
        </w:rPr>
        <w:t xml:space="preserve"> is the character of whiteness preserved in each divided part. A </w:t>
      </w:r>
      <w:r>
        <w:rPr>
          <w:b w:val="0"/>
          <w:i/>
        </w:rPr>
        <w:t>ratio generandi</w:t>
      </w:r>
      <w:r>
        <w:rPr>
          <w:b w:val="0"/>
          <w:i w:val="0"/>
        </w:rPr>
        <w:t xml:space="preserve"> is a principle of generation, not an argument verbally pronounced by the thing generating. Similarly, the hypothetical </w:t>
      </w:r>
      <w:r>
        <w:rPr>
          <w:b w:val="0"/>
          <w:i/>
        </w:rPr>
        <w:t>ratio propagandae mentis</w:t>
      </w:r>
      <w:r>
        <w:rPr>
          <w:b w:val="0"/>
          <w:i w:val="0"/>
        </w:rPr>
        <w:t xml:space="preserve"> concerns a principle for producing mind.</w:t>
      </w:r>
    </w:p>
    <w:p>
      <w:pPr>
        <w:widowControl/>
      </w:pPr>
      <w:r>
        <w:rPr>
          <w:b w:val="0"/>
          <w:i w:val="0"/>
        </w:rPr>
        <w:t xml:space="preserve">The divine discussion gives further local senses. The phrase </w:t>
      </w:r>
      <w:r>
        <w:rPr>
          <w:b w:val="0"/>
          <w:i/>
        </w:rPr>
        <w:t>ratio mensuraque idealis</w:t>
      </w:r>
      <w:r>
        <w:rPr>
          <w:b w:val="0"/>
          <w:i w:val="0"/>
        </w:rPr>
        <w:t xml:space="preserve"> supplies an ideal standard of comparison. In II.3.10 truth is the </w:t>
      </w:r>
      <w:r>
        <w:rPr>
          <w:b w:val="0"/>
          <w:i/>
        </w:rPr>
        <w:t>ratio</w:t>
      </w:r>
      <w:r>
        <w:rPr>
          <w:b w:val="0"/>
          <w:i w:val="0"/>
        </w:rPr>
        <w:t xml:space="preserve"> of the first principle within Ficino’s theological alignment. In II.6 reason corrects imagination’s spatial misconception of God, whereas in II.9.16 the </w:t>
      </w:r>
      <w:r>
        <w:rPr>
          <w:b w:val="0"/>
          <w:i/>
        </w:rPr>
        <w:t>rationes universales</w:t>
      </w:r>
      <w:r>
        <w:rPr>
          <w:b w:val="0"/>
          <w:i w:val="0"/>
        </w:rPr>
        <w:t xml:space="preserve"> are universal principles that intellect knows and imagination does not. At the end of II.10, what is simple in essence is multiple in a certain respect, </w:t>
      </w:r>
      <w:r>
        <w:rPr>
          <w:b w:val="0"/>
          <w:i/>
        </w:rPr>
        <w:t>ratione</w:t>
      </w:r>
      <w:r>
        <w:rPr>
          <w:b w:val="0"/>
          <w:i w:val="0"/>
        </w:rPr>
        <w:t>. This qualifies the plurality of divine knowledge without making God a composite of separate known things.</w:t>
      </w:r>
    </w:p>
    <w:p>
      <w:pPr>
        <w:widowControl/>
      </w:pPr>
      <w:r>
        <w:rPr>
          <w:b w:val="0"/>
          <w:i w:val="0"/>
        </w:rPr>
        <w:t xml:space="preserve">In the Ideas discussion, the proper </w:t>
      </w:r>
      <w:r>
        <w:rPr>
          <w:b w:val="0"/>
          <w:i/>
        </w:rPr>
        <w:t>rationes</w:t>
      </w:r>
      <w:r>
        <w:rPr>
          <w:b w:val="0"/>
          <w:i w:val="0"/>
        </w:rPr>
        <w:t xml:space="preserve"> of a whole’s parts are their intelligible determining patterns, comprehended in the ordering of that whole. The </w:t>
      </w:r>
      <w:r>
        <w:rPr>
          <w:b w:val="0"/>
          <w:i/>
        </w:rPr>
        <w:t>ratio entis</w:t>
      </w:r>
      <w:r>
        <w:rPr>
          <w:b w:val="0"/>
          <w:i w:val="0"/>
        </w:rPr>
        <w:t xml:space="preserve"> in the possibility argument is the intelligible character of being with which contradiction conflicts. The </w:t>
      </w:r>
      <w:r>
        <w:rPr>
          <w:b w:val="0"/>
          <w:i/>
        </w:rPr>
        <w:t>ratio appetendi</w:t>
      </w:r>
      <w:r>
        <w:rPr>
          <w:b w:val="0"/>
          <w:i w:val="0"/>
        </w:rPr>
        <w:t xml:space="preserve"> is the ground or aspect under which something is desired, namely its goodness. In soul’s productive and cognitive activity, </w:t>
      </w:r>
      <w:r>
        <w:rPr>
          <w:b w:val="0"/>
          <w:i/>
        </w:rPr>
        <w:t>rationes formarum</w:t>
      </w:r>
      <w:r>
        <w:rPr>
          <w:b w:val="0"/>
          <w:i w:val="0"/>
        </w:rPr>
        <w:t xml:space="preserve"> likewise concern the principles through which forms are known or realized.</w:t>
      </w:r>
    </w:p>
    <w:p>
      <w:pPr>
        <w:widowControl/>
      </w:pPr>
      <w:r>
        <w:rPr>
          <w:b w:val="0"/>
          <w:i w:val="0"/>
        </w:rPr>
        <w:t xml:space="preserve">These senses belong to a connected vocabulary of intelligibility and determination, but some name what is known while others name an act of knowing, a ground of desire, or the form of an argument. </w:t>
      </w:r>
      <w:r>
        <w:t>“</w:t>
      </w:r>
      <w:r>
        <w:rPr>
          <w:b w:val="0"/>
          <w:i w:val="0"/>
        </w:rPr>
        <w:t>Rational soul</w:t>
      </w:r>
      <w:r>
        <w:t>”</w:t>
      </w:r>
      <w:r>
        <w:rPr>
          <w:b w:val="0"/>
          <w:i w:val="0"/>
        </w:rPr>
        <w:t xml:space="preserve"> therefore identifies a capacity and level of life without saying every operation of that soul is explicit inference. The supplied English’s alternatives—reason, account, principle, argument—often disclose real contextual differences within the same Latin family.</w:t>
      </w:r>
    </w:p>
    <w:p>
      <w:pPr>
        <w:keepNext/>
        <w:widowControl/>
      </w:pPr>
      <w:r>
        <w:rPr>
          <w:b/>
          <w:i w:val="0"/>
        </w:rPr>
        <w:t>The places.</w:t>
      </w:r>
    </w:p>
    <w:p>
      <w:pPr>
        <w:ind w:left="187" w:hanging="187"/>
      </w:pPr>
      <w:r>
        <w:t xml:space="preserve">• </w:t>
      </w:r>
      <w:r>
        <w:rPr>
          <w:b/>
          <w:i w:val="0"/>
        </w:rPr>
        <w:t>I.2.17</w:t>
      </w:r>
      <w:r>
        <w:rPr>
          <w:b w:val="0"/>
          <w:i w:val="0"/>
        </w:rPr>
        <w:t>. Albedinis ratio is the preserved character of whiteness, not an argument about it.</w:t>
      </w:r>
    </w:p>
    <w:p>
      <w:pPr>
        <w:ind w:left="187" w:hanging="187"/>
      </w:pPr>
      <w:r>
        <w:t xml:space="preserve">• </w:t>
      </w:r>
      <w:r>
        <w:rPr>
          <w:b/>
          <w:i w:val="0"/>
        </w:rPr>
        <w:t>II.3.10</w:t>
      </w:r>
      <w:r>
        <w:rPr>
          <w:b w:val="0"/>
          <w:i w:val="0"/>
        </w:rPr>
        <w:t>. Ratio names the principle’s reason within the theological alignment.</w:t>
      </w:r>
    </w:p>
    <w:p>
      <w:pPr>
        <w:ind w:left="187" w:hanging="187"/>
      </w:pPr>
      <w:r>
        <w:t xml:space="preserve">• </w:t>
      </w:r>
      <w:r>
        <w:rPr>
          <w:b/>
          <w:i w:val="0"/>
        </w:rPr>
        <w:t>II.11.17–19</w:t>
      </w:r>
      <w:r>
        <w:rPr>
          <w:b w:val="0"/>
          <w:i w:val="0"/>
        </w:rPr>
        <w:t>. Proper accounts of forms and parts explain distinct exemplary relations.</w:t>
      </w:r>
    </w:p>
    <w:p>
      <w:pPr>
        <w:ind w:left="187" w:hanging="187"/>
      </w:pPr>
      <w:r>
        <w:t xml:space="preserve">• </w:t>
      </w:r>
      <w:r>
        <w:rPr>
          <w:b/>
          <w:i w:val="0"/>
        </w:rPr>
        <w:t>II.12.16–17</w:t>
      </w:r>
      <w:r>
        <w:rPr>
          <w:b w:val="0"/>
          <w:i w:val="0"/>
        </w:rPr>
        <w:t>. Ratio entis specifies the character of being opposed by contradiction.</w:t>
      </w:r>
    </w:p>
    <w:p>
      <w:pPr>
        <w:ind w:left="187" w:hanging="187"/>
      </w:pPr>
      <w:r>
        <w:t xml:space="preserve">• </w:t>
      </w:r>
      <w:r>
        <w:rPr>
          <w:b/>
          <w:i w:val="0"/>
        </w:rPr>
        <w:t>II.13.29</w:t>
      </w:r>
      <w:r>
        <w:rPr>
          <w:b w:val="0"/>
          <w:i w:val="0"/>
        </w:rPr>
        <w:t>. Ratio appetendi is the aspect of goodness under which desire seeks its objects.</w:t>
      </w:r>
    </w:p>
    <w:p>
      <w:pPr>
        <w:widowControl/>
      </w:pPr>
      <w:r>
        <w:rPr>
          <w:b/>
          <w:i w:val="0"/>
        </w:rPr>
        <w:t>Further passage references.</w:t>
      </w:r>
      <w:r>
        <w:rPr>
          <w:b w:val="0"/>
          <w:i w:val="0"/>
        </w:rPr>
        <w:t xml:space="preserve"> Proem.8–Proem.9 (PDF pp. 8–9); I.1.7 (pp. 16–17); I.2.17 (pp. 26–27); I.3.9, I.3.13, I.3.22 (pp. 34–37, 44–45); I.5.12 (pp. 66–67); II.2.7–11, pp. 108–111; II.3.5, pp. 118–119; II.3.10, pp. 120–121; II.6.13, pp. 134–135; II.9.16, pp. 172–173; II.10.10, pp. 180–181; II.11.17–19, PDF 190–193; II.12.2, 16–17, PDF 202–203, 210–213; II.13.29, PDF 236–237; III.2.23, 29, PDF 274–279</w:t>
      </w:r>
    </w:p>
    <w:p>
      <w:pPr>
        <w:keepNext/>
        <w:widowControl/>
      </w:pPr>
      <w:r>
        <w:rPr>
          <w:b/>
          <w:i w:val="0"/>
        </w:rPr>
        <w:t>In this edition.</w:t>
      </w:r>
    </w:p>
    <w:p>
      <w:pPr>
        <w:widowControl/>
      </w:pPr>
      <w:r>
        <w:rPr>
          <w:b w:val="0"/>
          <w:i w:val="0"/>
        </w:rPr>
        <w:t>The English’s argument/account/principle alternatives reflect contextual differences. The apparatus (PDF p. 374) notes that II.11.17 concerns intelligible principles; PDF p. 378 explains ratio entis. The difficult III.2.29 wording remains printed as in corporalibus rerum speciebus rationibusque: these semantic glosses do not justify silently emending corporalibus.</w:t>
      </w:r>
    </w:p>
    <w:p>
      <w:pPr>
        <w:keepNext/>
        <w:widowControl/>
      </w:pPr>
      <w:r>
        <w:rPr>
          <w:b/>
          <w:i w:val="0"/>
        </w:rPr>
        <w:t>See also.</w:t>
      </w:r>
    </w:p>
    <w:p>
      <w:pPr>
        <w:widowControl/>
      </w:pPr>
      <w:hyperlink w:anchor="mind">
        <w:r>
          <w:rPr>
            <w:color w:val="000000"/>
          </w:rPr>
          <w:t xml:space="preserve">Mind</w:t>
        </w:r>
      </w:hyperlink>
      <w:r>
        <w:rPr>
          <w:b w:val="0"/>
          <w:i w:val="0"/>
        </w:rPr>
        <w:t xml:space="preserve">; </w:t>
      </w:r>
      <w:hyperlink w:anchor="form">
        <w:r>
          <w:rPr>
            <w:color w:val="000000"/>
          </w:rPr>
          <w:t xml:space="preserve">Form</w:t>
        </w:r>
      </w:hyperlink>
      <w:r>
        <w:rPr>
          <w:b w:val="0"/>
          <w:i w:val="0"/>
        </w:rPr>
        <w:t xml:space="preserve">; </w:t>
      </w:r>
      <w:hyperlink w:anchor="order-and-harmony">
        <w:r>
          <w:rPr>
            <w:color w:val="000000"/>
          </w:rPr>
          <w:t xml:space="preserve">Order and harmony</w:t>
        </w:r>
      </w:hyperlink>
      <w:r>
        <w:rPr>
          <w:b w:val="0"/>
          <w:i w:val="0"/>
        </w:rPr>
        <w:t xml:space="preserve">; </w:t>
      </w:r>
      <w:hyperlink w:anchor="species">
        <w:r>
          <w:rPr>
            <w:color w:val="000000"/>
          </w:rPr>
          <w:t xml:space="preserve">Species</w:t>
        </w:r>
      </w:hyperlink>
      <w:r>
        <w:rPr>
          <w:b w:val="0"/>
          <w:i w:val="0"/>
        </w:rPr>
        <w:t xml:space="preserve">; </w:t>
      </w:r>
      <w:hyperlink w:anchor="soul">
        <w:r>
          <w:rPr>
            <w:color w:val="000000"/>
          </w:rPr>
          <w:t xml:space="preserve">Soul</w:t>
        </w:r>
      </w:hyperlink>
      <w:r>
        <w:rPr>
          <w:b w:val="0"/>
          <w:i w:val="0"/>
        </w:rPr>
        <w:t xml:space="preserve">; </w:t>
      </w:r>
      <w:hyperlink w:anchor="measure-and-degree">
        <w:r>
          <w:rPr>
            <w:color w:val="000000"/>
          </w:rPr>
          <w:t xml:space="preserve">Measure and degree</w:t>
        </w:r>
      </w:hyperlink>
      <w:r>
        <w:rPr>
          <w:b w:val="0"/>
          <w:i w:val="0"/>
        </w:rPr>
        <w:t xml:space="preserve">; </w:t>
      </w:r>
      <w:hyperlink w:anchor="sense-and-imagination">
        <w:r>
          <w:rPr>
            <w:color w:val="000000"/>
          </w:rPr>
          <w:t xml:space="preserve">Sense and imagination</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truth">
        <w:r>
          <w:rPr>
            <w:color w:val="000000"/>
          </w:rPr>
          <w:t xml:space="preserve">Truth</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good-and-goodness">
        <w:r>
          <w:rPr>
            <w:color w:val="000000"/>
          </w:rPr>
          <w:t xml:space="preserve">Good and goodness</w:t>
        </w:r>
      </w:hyperlink>
      <w:r>
        <w:rPr>
          <w:b w:val="0"/>
          <w:i w:val="0"/>
        </w:rPr>
        <w:t xml:space="preserve">; </w:t>
      </w:r>
      <w:hyperlink w:anchor="ideas-and-exemplars">
        <w:r>
          <w:rPr>
            <w:color w:val="000000"/>
          </w:rPr>
          <w:t xml:space="preserve">Ideas and exemplars</w:t>
        </w:r>
      </w:hyperlink>
      <w:r>
        <w:rPr>
          <w:b w:val="0"/>
          <w:i w:val="0"/>
        </w:rPr>
        <w:t xml:space="preserve">; </w:t>
      </w:r>
      <w:hyperlink w:anchor="infinity">
        <w:r>
          <w:rPr>
            <w:color w:val="000000"/>
          </w:rPr>
          <w:t xml:space="preserve">Infinity</w:t>
        </w:r>
      </w:hyperlink>
    </w:p>
    <w:p>
      <w:bookmarkStart w:id="195" w:name="reason-anger-and-desire"/>
      <w:pPr>
        <w:pStyle w:val="Heading2"/>
      </w:pPr>
      <w:r>
        <w:rPr>
          <w:b w:val="0"/>
          <w:i w:val="0"/>
        </w:rPr>
        <w:t>Reason anger and desire</w:t>
      </w:r>
      <w:bookmarkEnd w:id="195"/>
    </w:p>
    <w:p>
      <w:pPr>
        <w:keepNext/>
        <w:widowControl/>
      </w:pPr>
      <w:r>
        <w:rPr>
          <w:b/>
          <w:i w:val="0"/>
        </w:rPr>
        <w:t>Latin:</w:t>
      </w:r>
      <w:r>
        <w:rPr>
          <w:b w:val="0"/>
          <w:i w:val="0"/>
        </w:rPr>
        <w:t xml:space="preserve"> </w:t>
      </w:r>
      <w:r>
        <w:rPr>
          <w:b w:val="0"/>
          <w:i/>
        </w:rPr>
        <w:t>ratio</w:t>
      </w:r>
      <w:r>
        <w:rPr>
          <w:b w:val="0"/>
          <w:i w:val="0"/>
        </w:rPr>
        <w:t xml:space="preserve">, </w:t>
      </w:r>
      <w:r>
        <w:rPr>
          <w:b w:val="0"/>
          <w:i/>
        </w:rPr>
        <w:t>ira</w:t>
      </w:r>
      <w:r>
        <w:rPr>
          <w:b w:val="0"/>
          <w:i w:val="0"/>
        </w:rPr>
        <w:t xml:space="preserve">, </w:t>
      </w:r>
      <w:r>
        <w:rPr>
          <w:b w:val="0"/>
          <w:i/>
        </w:rPr>
        <w:t>concupiscentia</w:t>
      </w:r>
      <w:r>
        <w:rPr>
          <w:b w:val="0"/>
          <w:i w:val="0"/>
        </w:rPr>
        <w:t xml:space="preserve">, </w:t>
      </w:r>
      <w:r>
        <w:rPr>
          <w:b w:val="0"/>
          <w:i/>
        </w:rPr>
        <w:t>cupiditas</w:t>
      </w:r>
      <w:r>
        <w:rPr>
          <w:b w:val="0"/>
          <w:i w:val="0"/>
        </w:rPr>
        <w:t xml:space="preserve">, </w:t>
      </w:r>
      <w:r>
        <w:rPr>
          <w:b w:val="0"/>
          <w:i/>
        </w:rPr>
        <w:t>libido</w:t>
      </w:r>
    </w:p>
    <w:p>
      <w:pPr>
        <w:keepNext/>
        <w:widowControl/>
      </w:pPr>
      <w:r>
        <w:rPr>
          <w:b/>
          <w:i w:val="0"/>
        </w:rPr>
        <w:t>The word.</w:t>
      </w:r>
    </w:p>
    <w:p>
      <w:pPr>
        <w:widowControl/>
      </w:pPr>
      <w:r>
        <w:rPr>
          <w:b w:val="0"/>
          <w:i w:val="0"/>
        </w:rPr>
        <w:t>Ratio, ira, and concupiscentia name reason, anger, and desire in a three-power scheme. Cupiditas and libido also express the desiring power locally. Their arrangement determines modes of life, not three anatomical substances inferred by modern science.</w:t>
      </w:r>
    </w:p>
    <w:p>
      <w:pPr>
        <w:widowControl/>
      </w:pPr>
      <w:r>
        <w:rPr>
          <w:b w:val="0"/>
          <w:i w:val="0"/>
        </w:rPr>
        <w:t xml:space="preserve">The comparative adverbs </w:t>
      </w:r>
      <w:r>
        <w:rPr>
          <w:b w:val="0"/>
          <w:i/>
        </w:rPr>
        <w:t>magis</w:t>
      </w:r>
      <w:r>
        <w:rPr>
          <w:b w:val="0"/>
          <w:i w:val="0"/>
        </w:rPr>
        <w:t xml:space="preserve">, </w:t>
      </w:r>
      <w:r>
        <w:rPr>
          <w:b w:val="0"/>
          <w:i/>
        </w:rPr>
        <w:t>minus</w:t>
      </w:r>
      <w:r>
        <w:rPr>
          <w:b w:val="0"/>
          <w:i w:val="0"/>
        </w:rPr>
        <w:t xml:space="preserve">, </w:t>
      </w:r>
      <w:r>
        <w:rPr>
          <w:b w:val="0"/>
          <w:i/>
        </w:rPr>
        <w:t>minime</w:t>
      </w:r>
      <w:r>
        <w:rPr>
          <w:b w:val="0"/>
          <w:i w:val="0"/>
        </w:rPr>
        <w:t xml:space="preserve">, </w:t>
      </w:r>
      <w:r>
        <w:rPr>
          <w:b w:val="0"/>
          <w:i/>
        </w:rPr>
        <w:t>multum</w:t>
      </w:r>
      <w:r>
        <w:rPr>
          <w:b w:val="0"/>
          <w:i w:val="0"/>
        </w:rPr>
        <w:t xml:space="preserve">, </w:t>
      </w:r>
      <w:r>
        <w:rPr>
          <w:b w:val="0"/>
          <w:i/>
        </w:rPr>
        <w:t>parum</w:t>
      </w:r>
      <w:r>
        <w:rPr>
          <w:b w:val="0"/>
          <w:i w:val="0"/>
        </w:rPr>
        <w:t xml:space="preserve">, </w:t>
      </w:r>
      <w:r>
        <w:rPr>
          <w:b w:val="0"/>
          <w:i/>
        </w:rPr>
        <w:t>paululum</w:t>
      </w:r>
      <w:r>
        <w:rPr>
          <w:b w:val="0"/>
          <w:i w:val="0"/>
        </w:rPr>
        <w:t xml:space="preserve">, and </w:t>
      </w:r>
      <w:r>
        <w:rPr>
          <w:b w:val="0"/>
          <w:i/>
        </w:rPr>
        <w:t>paulum</w:t>
      </w:r>
      <w:r>
        <w:rPr>
          <w:b w:val="0"/>
          <w:i w:val="0"/>
        </w:rPr>
        <w:t xml:space="preserve"> make the enumeration readable. These adverbs describe differing predominance rather than twelve wholly different faculties.</w:t>
      </w:r>
    </w:p>
    <w:p>
      <w:pPr>
        <w:keepNext/>
        <w:widowControl/>
      </w:pPr>
      <w:r>
        <w:rPr>
          <w:b/>
          <w:i w:val="0"/>
        </w:rPr>
        <w:t>In the Platonic Theology.</w:t>
      </w:r>
    </w:p>
    <w:p>
      <w:pPr>
        <w:widowControl/>
      </w:pPr>
      <w:r>
        <w:rPr>
          <w:b w:val="0"/>
          <w:i w:val="0"/>
        </w:rPr>
        <w:t xml:space="preserve">The discussion of twelve human lives rests on three powers associated with brain, heart, and liver. Ficino argues that an embodied human cannot live by reason alone, and that anger or desire likewise cannot operate entirely alone. He then derives six lives from the different rankings of all three powers and six more from paired combinations in which one predominates. </w:t>
      </w:r>
      <w:r>
        <w:t>“</w:t>
      </w:r>
      <w:r>
        <w:rPr>
          <w:b w:val="0"/>
          <w:i w:val="0"/>
        </w:rPr>
        <w:t>Lives</w:t>
      </w:r>
      <w:r>
        <w:t>”</w:t>
      </w:r>
      <w:r>
        <w:rPr>
          <w:b w:val="0"/>
          <w:i w:val="0"/>
        </w:rPr>
        <w:t xml:space="preserve"> here denotes modes of living ordered by dominant faculties, not twelve reincarnations or twelve chronological stages. The scheme is part of the Pythagorean numerical interlude linking earthly and celestial arrangements. It differs from the three functional levels of cosmic soul described in Chapter 2, although both accounts use </w:t>
      </w:r>
      <w:r>
        <w:rPr>
          <w:b w:val="0"/>
          <w:i/>
        </w:rPr>
        <w:t>ratio</w:t>
      </w:r>
      <w:r>
        <w:rPr>
          <w:b w:val="0"/>
          <w:i w:val="0"/>
        </w:rPr>
        <w:t>. The organic assignments belong to Ficino’s historical psychology. The several words rendered as desire vary within this passage, while the structure of predominance and subordination is the essential explanatory feature.</w:t>
      </w:r>
    </w:p>
    <w:p>
      <w:pPr>
        <w:widowControl/>
      </w:pPr>
      <w:r>
        <w:rPr>
          <w:b w:val="0"/>
          <w:i w:val="0"/>
        </w:rPr>
        <w:t xml:space="preserve">IV.1.44 first rules out using none or only one of the three powers. The six three-power lives are then permutations of predominance, followed by six two-power lives distinguished by which of the pair governs. This is a combinatorial moral-psychological example within the Pythagorean excursion. It is not an assertion that a living human can actually discard all embodied dependence and use reason alone. In the sixth three-power case, </w:t>
      </w:r>
      <w:r>
        <w:rPr>
          <w:b w:val="0"/>
          <w:i/>
        </w:rPr>
        <w:t>ira parum, paulum ratione</w:t>
      </w:r>
      <w:r>
        <w:rPr>
          <w:b w:val="0"/>
          <w:i w:val="0"/>
        </w:rPr>
        <w:t xml:space="preserve"> needs reading against the ordered series. That contextual ranking is a reason for explaining the enumeration, not by itself a confirmed mistranslation.</w:t>
      </w:r>
    </w:p>
    <w:p>
      <w:pPr>
        <w:keepNext/>
        <w:widowControl/>
      </w:pPr>
      <w:r>
        <w:rPr>
          <w:b/>
          <w:i w:val="0"/>
        </w:rPr>
        <w:t>The places.</w:t>
      </w:r>
    </w:p>
    <w:p>
      <w:pPr>
        <w:ind w:left="187" w:hanging="187"/>
      </w:pPr>
      <w:r>
        <w:t xml:space="preserve">• </w:t>
      </w:r>
      <w:r>
        <w:rPr>
          <w:b/>
          <w:i w:val="0"/>
        </w:rPr>
        <w:t>IV.1.44</w:t>
      </w:r>
      <w:r>
        <w:rPr>
          <w:b w:val="0"/>
          <w:i w:val="0"/>
        </w:rPr>
        <w:t>. The three powers receive bodily assignments and are said to operate in combinations.</w:t>
      </w:r>
    </w:p>
    <w:p>
      <w:pPr>
        <w:ind w:left="187" w:hanging="187"/>
      </w:pPr>
      <w:r>
        <w:t xml:space="preserve">• </w:t>
      </w:r>
      <w:r>
        <w:rPr>
          <w:b/>
          <w:i w:val="0"/>
        </w:rPr>
        <w:t>IV.1.45–47</w:t>
      </w:r>
      <w:r>
        <w:rPr>
          <w:b w:val="0"/>
          <w:i w:val="0"/>
        </w:rPr>
        <w:t>. Six rankings arise from the joint use of all three powers.</w:t>
      </w:r>
    </w:p>
    <w:p>
      <w:pPr>
        <w:ind w:left="187" w:hanging="187"/>
      </w:pPr>
      <w:r>
        <w:t xml:space="preserve">• </w:t>
      </w:r>
      <w:r>
        <w:rPr>
          <w:b/>
          <w:i w:val="0"/>
        </w:rPr>
        <w:t>IV.1.48–49</w:t>
      </w:r>
      <w:r>
        <w:rPr>
          <w:b w:val="0"/>
          <w:i w:val="0"/>
        </w:rPr>
        <w:t>. Six additional rankings arise from paired powers.</w:t>
      </w:r>
    </w:p>
    <w:p>
      <w:pPr>
        <w:ind w:left="187" w:hanging="187"/>
      </w:pPr>
      <w:r>
        <w:t xml:space="preserve">• </w:t>
      </w:r>
      <w:r>
        <w:rPr>
          <w:b/>
          <w:i w:val="0"/>
        </w:rPr>
        <w:t>IV.1.50</w:t>
      </w:r>
      <w:r>
        <w:rPr>
          <w:b w:val="0"/>
          <w:i w:val="0"/>
        </w:rPr>
        <w:t>. The twelvefold analogy is extended into the cosmic hierarchy.</w:t>
      </w:r>
    </w:p>
    <w:p>
      <w:pPr>
        <w:widowControl/>
      </w:pPr>
      <w:r>
        <w:rPr>
          <w:b/>
          <w:i w:val="0"/>
        </w:rPr>
        <w:t>Further passage references.</w:t>
      </w:r>
      <w:r>
        <w:rPr>
          <w:b w:val="0"/>
          <w:i w:val="0"/>
        </w:rPr>
        <w:t xml:space="preserve"> IV.1.44–IV.1.50, pp. 304–307; apparatus p. 391</w:t>
      </w:r>
    </w:p>
    <w:p>
      <w:pPr>
        <w:ind w:left="187" w:hanging="187"/>
      </w:pPr>
      <w:r>
        <w:t xml:space="preserve">• </w:t>
      </w:r>
      <w:r>
        <w:rPr>
          <w:b/>
          <w:i w:val="0"/>
        </w:rPr>
        <w:t>IV.1.44–47, PDF pp. 304–305:</w:t>
      </w:r>
      <w:r>
        <w:rPr>
          <w:b w:val="0"/>
          <w:i w:val="0"/>
        </w:rPr>
        <w:t xml:space="preserve"> the impossibility of isolated faculties precedes the six three-power rankings</w:t>
      </w:r>
    </w:p>
    <w:p>
      <w:pPr>
        <w:ind w:left="187" w:hanging="187"/>
      </w:pPr>
      <w:r>
        <w:t xml:space="preserve">• </w:t>
      </w:r>
      <w:r>
        <w:rPr>
          <w:b/>
          <w:i w:val="0"/>
        </w:rPr>
        <w:t>IV.1.48–49, pp. 306–307:</w:t>
      </w:r>
      <w:r>
        <w:rPr>
          <w:b w:val="0"/>
          <w:i w:val="0"/>
        </w:rPr>
        <w:t xml:space="preserve"> each two-power pair is counted in both orders of dominance</w:t>
      </w:r>
    </w:p>
    <w:p>
      <w:pPr>
        <w:keepNext/>
        <w:widowControl/>
      </w:pPr>
      <w:r>
        <w:rPr>
          <w:b/>
          <w:i w:val="0"/>
        </w:rPr>
        <w:t>In this edition.</w:t>
      </w:r>
    </w:p>
    <w:p>
      <w:pPr>
        <w:widowControl/>
      </w:pPr>
      <w:r>
        <w:rPr>
          <w:b w:val="0"/>
          <w:i w:val="0"/>
        </w:rPr>
        <w:t xml:space="preserve">The English uses desire for concupiscentia, cupiditas, and libido across the permutations; the change of Latin noun should be visible without inventing three extra faculties. </w:t>
      </w:r>
      <w:r>
        <w:t>“</w:t>
      </w:r>
      <w:r>
        <w:rPr>
          <w:b w:val="0"/>
          <w:i w:val="0"/>
        </w:rPr>
        <w:t>Twelve modes of human life</w:t>
      </w:r>
      <w:r>
        <w:t>”</w:t>
      </w:r>
      <w:r>
        <w:rPr>
          <w:b w:val="0"/>
          <w:i w:val="0"/>
        </w:rPr>
        <w:t xml:space="preserve"> clarifies duodecim vitae: these are ranked combinations of powers, not reincarnations or successive ages. The brain–heart–liver assignments are Ficino’s historical psychology.</w:t>
      </w:r>
    </w:p>
    <w:p>
      <w:pPr>
        <w:widowControl/>
      </w:pPr>
      <w:r>
        <w:rPr>
          <w:b w:val="0"/>
          <w:i w:val="0"/>
        </w:rPr>
        <w:t xml:space="preserve">The sixth case has </w:t>
      </w:r>
      <w:r>
        <w:t>“</w:t>
      </w:r>
      <w:r>
        <w:rPr>
          <w:b w:val="0"/>
          <w:i w:val="0"/>
        </w:rPr>
        <w:t>little anger, and little reason.</w:t>
      </w:r>
      <w:r>
        <w:t>”</w:t>
      </w:r>
      <w:r>
        <w:rPr>
          <w:b w:val="0"/>
          <w:i w:val="0"/>
        </w:rPr>
        <w:t xml:space="preserve"> The Latin uses </w:t>
      </w:r>
      <w:r>
        <w:rPr>
          <w:b w:val="0"/>
          <w:i/>
        </w:rPr>
        <w:t>parum</w:t>
      </w:r>
      <w:r>
        <w:rPr>
          <w:b w:val="0"/>
          <w:i w:val="0"/>
        </w:rPr>
        <w:t xml:space="preserve"> and </w:t>
      </w:r>
      <w:r>
        <w:rPr>
          <w:b w:val="0"/>
          <w:i/>
        </w:rPr>
        <w:t>paulum</w:t>
      </w:r>
      <w:r>
        <w:rPr>
          <w:b w:val="0"/>
          <w:i w:val="0"/>
        </w:rPr>
        <w:t>; the expected ranking follows from the sequence, while a strict invariant lexical difference should not be invented.</w:t>
      </w:r>
    </w:p>
    <w:p>
      <w:pPr>
        <w:keepNext/>
        <w:widowControl/>
      </w:pPr>
      <w:r>
        <w:rPr>
          <w:b/>
          <w:i w:val="0"/>
        </w:rPr>
        <w:t>See also.</w:t>
      </w:r>
    </w:p>
    <w:p>
      <w:pPr>
        <w:widowControl/>
      </w:pPr>
      <w:hyperlink w:anchor="twelve">
        <w:r>
          <w:rPr>
            <w:color w:val="000000"/>
          </w:rPr>
          <w:t xml:space="preserve">Twelve</w:t>
        </w:r>
      </w:hyperlink>
      <w:r>
        <w:rPr>
          <w:b w:val="0"/>
          <w:i w:val="0"/>
        </w:rPr>
        <w:t xml:space="preserve">; </w:t>
      </w:r>
      <w:hyperlink w:anchor="appetite-and-desire">
        <w:r>
          <w:rPr>
            <w:color w:val="000000"/>
          </w:rPr>
          <w:t xml:space="preserve">Appetite and desire</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reason-and-account">
        <w:r>
          <w:rPr>
            <w:color w:val="000000"/>
          </w:rPr>
          <w:t xml:space="preserve">Reason and account</w:t>
        </w:r>
      </w:hyperlink>
    </w:p>
    <w:p>
      <w:pPr>
        <w:widowControl/>
      </w:pPr>
      <w:hyperlink w:anchor="twelve">
        <w:r>
          <w:rPr>
            <w:color w:val="000000"/>
          </w:rPr>
          <w:t xml:space="preserve">Twelve</w:t>
        </w:r>
      </w:hyperlink>
      <w:r>
        <w:rPr>
          <w:b w:val="0"/>
          <w:i w:val="0"/>
        </w:rPr>
        <w:t xml:space="preserve">; </w:t>
      </w:r>
      <w:hyperlink w:anchor="governing-serving-and-dominion">
        <w:r>
          <w:rPr>
            <w:color w:val="000000"/>
          </w:rPr>
          <w:t xml:space="preserve">Ruling and following</w:t>
        </w:r>
      </w:hyperlink>
      <w:r>
        <w:rPr>
          <w:b w:val="0"/>
          <w:i w:val="0"/>
        </w:rPr>
        <w:t xml:space="preserve">; </w:t>
      </w:r>
      <w:hyperlink w:anchor="head-heart-and-members">
        <w:r>
          <w:rPr>
            <w:color w:val="000000"/>
          </w:rPr>
          <w:t xml:space="preserve">Head, heart, and members</w:t>
        </w:r>
      </w:hyperlink>
      <w:r>
        <w:rPr>
          <w:b w:val="0"/>
          <w:i w:val="0"/>
        </w:rPr>
        <w:t>.</w:t>
      </w:r>
    </w:p>
    <w:p>
      <w:bookmarkStart w:id="196" w:name="receiving-and-giving"/>
      <w:pPr>
        <w:pStyle w:val="Heading2"/>
      </w:pPr>
      <w:r>
        <w:rPr>
          <w:b w:val="0"/>
          <w:i w:val="0"/>
        </w:rPr>
        <w:t>Receiving and giving</w:t>
      </w:r>
      <w:bookmarkEnd w:id="196"/>
    </w:p>
    <w:p>
      <w:pPr>
        <w:keepNext/>
        <w:widowControl/>
      </w:pPr>
      <w:r>
        <w:rPr>
          <w:b/>
          <w:i w:val="0"/>
        </w:rPr>
        <w:t>Latin:</w:t>
      </w:r>
      <w:r>
        <w:rPr>
          <w:b w:val="0"/>
          <w:i w:val="0"/>
        </w:rPr>
        <w:t xml:space="preserve"> </w:t>
      </w:r>
      <w:r>
        <w:rPr>
          <w:b w:val="0"/>
          <w:i/>
        </w:rPr>
        <w:t>capere; accipere; suscipere; dare; susceptiva; passiva</w:t>
      </w:r>
    </w:p>
    <w:p>
      <w:pPr>
        <w:keepNext/>
        <w:widowControl/>
      </w:pPr>
      <w:r>
        <w:rPr>
          <w:b/>
          <w:i w:val="0"/>
        </w:rPr>
        <w:t>The word.</w:t>
      </w:r>
    </w:p>
    <w:p>
      <w:pPr>
        <w:widowControl/>
      </w:pPr>
      <w:r>
        <w:rPr>
          <w:b w:val="0"/>
          <w:i w:val="0"/>
        </w:rPr>
        <w:t>The verbs name taking, receiving, or accepting something; dare names giving. Their object determines whether reception is cognition, acquisition of form, material receptivity, or dependent possession. Susceptiva explicitly characterizes a receptive capacity.</w:t>
      </w:r>
    </w:p>
    <w:p>
      <w:pPr>
        <w:keepNext/>
        <w:widowControl/>
      </w:pPr>
      <w:r>
        <w:rPr>
          <w:b/>
          <w:i w:val="0"/>
        </w:rPr>
        <w:t>In the Platonic Theology.</w:t>
      </w:r>
    </w:p>
    <w:p>
      <w:pPr>
        <w:widowControl/>
      </w:pPr>
      <w:r>
        <w:rPr>
          <w:b w:val="0"/>
          <w:i w:val="0"/>
        </w:rPr>
        <w:t>When God is imagined receiving qualities from himself, Ficino separates the giver as efficient cause from the recipient as subject. He rejects that divided role in the first agent. Later, receiving and undergoing characterize body, whereas giving and acting characterize incorporeal nature. This contrast is qualified immediately: quality, soul, and angel all have receptive potency in different respects. Angel receives illumination and intelligible adornment without being bodily matter. Soul receives what it lacked through a changing act. The celestial-light example makes the receiver decisive: Mercury and the moon receive the same solar illumination in different manners, the latter successively. Thus reception does not by itself identify either a body or an absence of activity. The recipient’s nature explains how the gift is possessed.</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II.11.3 (Latin PDF p. 182; English PDF p. 183).</w:t>
      </w:r>
      <w:r>
        <w:rPr>
          <w:b w:val="0"/>
          <w:i w:val="0"/>
        </w:rPr>
        <w:t xml:space="preserve"> Giving and receiving would divide efficient cause from subject within God.</w:t>
      </w:r>
    </w:p>
    <w:p>
      <w:pPr>
        <w:ind w:left="187" w:hanging="187"/>
      </w:pPr>
      <w:r>
        <w:t xml:space="preserve">• </w:t>
      </w:r>
      <w:r>
        <w:rPr>
          <w:b/>
          <w:i w:val="0"/>
        </w:rPr>
        <w:t>III.1.9 (Latin PDF p. 244; English PDF p. 245).</w:t>
      </w:r>
      <w:r>
        <w:rPr>
          <w:b w:val="0"/>
          <w:i w:val="0"/>
        </w:rPr>
        <w:t xml:space="preserve"> Receiving and undergoing contrast with giving and acting.</w:t>
      </w:r>
    </w:p>
    <w:p>
      <w:pPr>
        <w:ind w:left="187" w:hanging="187"/>
      </w:pPr>
      <w:r>
        <w:t xml:space="preserve">• </w:t>
      </w:r>
      <w:r>
        <w:rPr>
          <w:b/>
          <w:i w:val="0"/>
        </w:rPr>
        <w:t>III.1.12 (Latin PDF p. 248; English PDF p. 249).</w:t>
      </w:r>
      <w:r>
        <w:rPr>
          <w:b w:val="0"/>
          <w:i w:val="0"/>
        </w:rPr>
        <w:t xml:space="preserve"> Angel receives intellectual form and illumination.</w:t>
      </w:r>
    </w:p>
    <w:p>
      <w:pPr>
        <w:ind w:left="187" w:hanging="187"/>
      </w:pPr>
      <w:r>
        <w:t xml:space="preserve">• </w:t>
      </w:r>
      <w:r>
        <w:rPr>
          <w:b/>
          <w:i w:val="0"/>
        </w:rPr>
        <w:t>III.1.32 (Latin PDF p. 260; English PDF p. 261).</w:t>
      </w:r>
      <w:r>
        <w:rPr>
          <w:b w:val="0"/>
          <w:i w:val="0"/>
        </w:rPr>
        <w:t xml:space="preserve"> Different receivers illustrate simultaneous and successive possession.</w:t>
      </w:r>
    </w:p>
    <w:p>
      <w:pPr>
        <w:keepNext/>
        <w:widowControl/>
      </w:pPr>
      <w:r>
        <w:rPr>
          <w:b/>
          <w:i w:val="0"/>
        </w:rPr>
        <w:t>In this edition.</w:t>
      </w:r>
    </w:p>
    <w:p>
      <w:pPr>
        <w:widowControl/>
      </w:pPr>
      <w:r>
        <w:t>“</w:t>
      </w:r>
      <w:r>
        <w:rPr>
          <w:b w:val="0"/>
          <w:i w:val="0"/>
        </w:rPr>
        <w:t>Receive</w:t>
      </w:r>
      <w:r>
        <w:t>”</w:t>
      </w:r>
      <w:r>
        <w:rPr>
          <w:b w:val="0"/>
          <w:i w:val="0"/>
        </w:rPr>
        <w:t xml:space="preserve"> renders several verbs. The English </w:t>
      </w:r>
      <w:r>
        <w:t>“</w:t>
      </w:r>
      <w:r>
        <w:rPr>
          <w:b w:val="0"/>
          <w:i w:val="0"/>
        </w:rPr>
        <w:t>passive</w:t>
      </w:r>
      <w:r>
        <w:t>”</w:t>
      </w:r>
      <w:r>
        <w:rPr>
          <w:b w:val="0"/>
          <w:i w:val="0"/>
        </w:rPr>
        <w:t xml:space="preserve"> should not make every instance sound inert: angelic reception is compatible with stable intellectual activity. At II.13.3, capiant bonitatem concerns receiving goodness according to each nature, not grasping an object with the hands.</w:t>
      </w:r>
    </w:p>
    <w:p>
      <w:pPr>
        <w:keepNext/>
        <w:widowControl/>
      </w:pPr>
      <w:r>
        <w:rPr>
          <w:b/>
          <w:i w:val="0"/>
        </w:rPr>
        <w:t>See also.</w:t>
      </w:r>
    </w:p>
    <w:p>
      <w:pPr>
        <w:widowControl/>
      </w:pPr>
      <w:hyperlink w:anchor="power-and-potency">
        <w:r>
          <w:rPr>
            <w:color w:val="000000"/>
          </w:rPr>
          <w:t xml:space="preserve">Power and potency</w:t>
        </w:r>
      </w:hyperlink>
      <w:r>
        <w:rPr>
          <w:b w:val="0"/>
          <w:i w:val="0"/>
        </w:rPr>
        <w:t xml:space="preserve">; </w:t>
      </w:r>
      <w:hyperlink w:anchor="affection-and-passivity">
        <w:r>
          <w:rPr>
            <w:color w:val="000000"/>
          </w:rPr>
          <w:t xml:space="preserve">Affection and passivity</w:t>
        </w:r>
      </w:hyperlink>
      <w:r>
        <w:rPr>
          <w:b w:val="0"/>
          <w:i w:val="0"/>
        </w:rPr>
        <w:t xml:space="preserve">; </w:t>
      </w:r>
      <w:hyperlink w:anchor="angel">
        <w:r>
          <w:rPr>
            <w:color w:val="000000"/>
          </w:rPr>
          <w:t xml:space="preserve">Angel</w:t>
        </w:r>
      </w:hyperlink>
      <w:r>
        <w:rPr>
          <w:b w:val="0"/>
          <w:i w:val="0"/>
        </w:rPr>
        <w:t xml:space="preserve">; </w:t>
      </w:r>
      <w:hyperlink w:anchor="sun-mercury-and-moon">
        <w:r>
          <w:rPr>
            <w:color w:val="000000"/>
          </w:rPr>
          <w:t xml:space="preserve">Sun, Mercury and moon</w:t>
        </w:r>
      </w:hyperlink>
      <w:r>
        <w:rPr>
          <w:b w:val="0"/>
          <w:i w:val="0"/>
        </w:rPr>
        <w:t>.</w:t>
      </w:r>
    </w:p>
    <w:p>
      <w:bookmarkStart w:id="197" w:name="redundancy-and-uselessness"/>
      <w:pPr>
        <w:pStyle w:val="Heading2"/>
      </w:pPr>
      <w:r>
        <w:rPr>
          <w:b w:val="0"/>
          <w:i w:val="0"/>
        </w:rPr>
        <w:t>Redundancy and uselessness</w:t>
      </w:r>
      <w:bookmarkEnd w:id="197"/>
    </w:p>
    <w:p>
      <w:pPr>
        <w:keepNext/>
        <w:widowControl/>
      </w:pPr>
      <w:r>
        <w:rPr>
          <w:b/>
          <w:i w:val="0"/>
        </w:rPr>
        <w:t>Latin:</w:t>
      </w:r>
      <w:r>
        <w:rPr>
          <w:b w:val="0"/>
          <w:i w:val="0"/>
        </w:rPr>
        <w:t xml:space="preserve"> frustra; sufficiet; superfluus; sufficiens; absque fine; transire</w:t>
      </w:r>
    </w:p>
    <w:p>
      <w:pPr>
        <w:keepNext/>
        <w:widowControl/>
      </w:pPr>
      <w:r>
        <w:rPr>
          <w:b/>
          <w:i w:val="0"/>
        </w:rPr>
        <w:t>The word.</w:t>
      </w:r>
    </w:p>
    <w:p>
      <w:pPr>
        <w:widowControl/>
      </w:pPr>
      <w:r>
        <w:rPr>
          <w:b w:val="0"/>
          <w:i w:val="0"/>
        </w:rPr>
        <w:t>Frustra means in vain, fruitlessly, or to no purpose. Superfluus means surplus or unnecessary, whereas sufficere means being enough for a task. In these arguments the question is whether a proposed power or explanatory addition has any work left to do.</w:t>
      </w:r>
    </w:p>
    <w:p>
      <w:pPr>
        <w:keepNext/>
        <w:widowControl/>
      </w:pPr>
      <w:r>
        <w:rPr>
          <w:b/>
          <w:i w:val="0"/>
        </w:rPr>
        <w:t>In the Platonic Theology.</w:t>
      </w:r>
    </w:p>
    <w:p>
      <w:pPr>
        <w:widowControl/>
      </w:pPr>
      <w:r>
        <w:rPr>
          <w:b w:val="0"/>
          <w:i w:val="0"/>
        </w:rPr>
        <w:t>The twin-god argument tries several distributions of creative power. If neither creates, both powers are fruitless; if one creates the whole, the other’s power adds no necessary effect; if each creates an identical complete world, one world suffices and the other is surplus. If each produces only a half, neither is independently the principle of everything and their coordination again requires explanation. These are conditional branches, not descriptions of multiple real universes.</w:t>
      </w:r>
    </w:p>
    <w:p>
      <w:pPr>
        <w:widowControl/>
      </w:pPr>
      <w:r>
        <w:rPr>
          <w:b w:val="0"/>
          <w:i w:val="0"/>
        </w:rPr>
        <w:t>Frustra has another argumentative role when the human mind’s indefinite progress is said to require an infinite terminus. Ficino denies that its orientation could be purposeless. An endless sequence of choices before every choice would likewise prevent any action from beginning. The latter is a regress of prerequisites, distinct from the existence of indefinitely many possible objects of thought.</w:t>
      </w:r>
    </w:p>
    <w:p>
      <w:pPr>
        <w:keepNext/>
        <w:widowControl/>
      </w:pPr>
      <w:r>
        <w:rPr>
          <w:b/>
          <w:i w:val="0"/>
        </w:rPr>
        <w:t>The places.</w:t>
      </w:r>
    </w:p>
    <w:p>
      <w:pPr>
        <w:ind w:left="187" w:hanging="187"/>
      </w:pPr>
      <w:r>
        <w:t xml:space="preserve">• </w:t>
      </w:r>
      <w:r>
        <w:rPr>
          <w:b w:val="0"/>
          <w:i w:val="0"/>
        </w:rPr>
        <w:t>II.2.11, II.2.12 (PDF pp. 110–113): Creative powers and duplicate worlds are tested for surplus or fruitless work</w:t>
      </w:r>
    </w:p>
    <w:p>
      <w:pPr>
        <w:ind w:left="187" w:hanging="187"/>
      </w:pPr>
      <w:r>
        <w:t xml:space="preserve">• </w:t>
      </w:r>
      <w:r>
        <w:rPr>
          <w:b w:val="0"/>
          <w:i w:val="0"/>
        </w:rPr>
        <w:t>II.4.4 (PDF pp. 122–123): The mind’s infinite progression is argued not to be in vain</w:t>
      </w:r>
    </w:p>
    <w:p>
      <w:pPr>
        <w:ind w:left="187" w:hanging="187"/>
      </w:pPr>
      <w:r>
        <w:t xml:space="preserve">• </w:t>
      </w:r>
      <w:r>
        <w:rPr>
          <w:b w:val="0"/>
          <w:i w:val="0"/>
        </w:rPr>
        <w:t>II.8.3 (PDF pp. 160–161): An infinite sequence of prior choices would block the beginning of action</w:t>
      </w:r>
    </w:p>
    <w:p>
      <w:pPr>
        <w:keepNext/>
        <w:widowControl/>
      </w:pPr>
      <w:r>
        <w:rPr>
          <w:b/>
          <w:i w:val="0"/>
        </w:rPr>
        <w:t>In this edition.</w:t>
      </w:r>
    </w:p>
    <w:p>
      <w:pPr>
        <w:widowControl/>
      </w:pPr>
      <w:r>
        <w:t>“</w:t>
      </w:r>
      <w:r>
        <w:rPr>
          <w:b w:val="0"/>
          <w:i w:val="0"/>
        </w:rPr>
        <w:t>Fruitless</w:t>
      </w:r>
      <w:r>
        <w:t>”</w:t>
      </w:r>
      <w:r>
        <w:rPr>
          <w:b w:val="0"/>
          <w:i w:val="0"/>
        </w:rPr>
        <w:t xml:space="preserve"> aptly renders frustra where it modifies a power, while </w:t>
      </w:r>
      <w:r>
        <w:t>“</w:t>
      </w:r>
      <w:r>
        <w:rPr>
          <w:b w:val="0"/>
          <w:i w:val="0"/>
        </w:rPr>
        <w:t>in vain</w:t>
      </w:r>
      <w:r>
        <w:t>”</w:t>
      </w:r>
      <w:r>
        <w:rPr>
          <w:b w:val="0"/>
          <w:i w:val="0"/>
        </w:rPr>
        <w:t xml:space="preserve"> suits the mind’s orientation. Neither should be silently reduced to financial waste or physical inefficiency.</w:t>
      </w:r>
    </w:p>
    <w:p>
      <w:pPr>
        <w:keepNext/>
        <w:widowControl/>
      </w:pPr>
      <w:r>
        <w:rPr>
          <w:b/>
          <w:i w:val="0"/>
        </w:rPr>
        <w:t>See also.</w:t>
      </w:r>
    </w:p>
    <w:p>
      <w:pPr>
        <w:widowControl/>
      </w:pPr>
      <w:hyperlink w:anchor="agreement-and-hypothetical-concession">
        <w:r>
          <w:rPr>
            <w:color w:val="000000"/>
          </w:rPr>
          <w:t xml:space="preserve">Agreement and hypothetical concession</w:t>
        </w:r>
      </w:hyperlink>
      <w:r>
        <w:rPr>
          <w:b w:val="0"/>
          <w:i w:val="0"/>
        </w:rPr>
        <w:t xml:space="preserve">; </w:t>
      </w:r>
      <w:hyperlink w:anchor="need-and-sufficiency">
        <w:r>
          <w:rPr>
            <w:color w:val="000000"/>
          </w:rPr>
          <w:t xml:space="preserve">Need and sufficiency</w:t>
        </w:r>
      </w:hyperlink>
      <w:r>
        <w:rPr>
          <w:b w:val="0"/>
          <w:i w:val="0"/>
        </w:rPr>
        <w:t xml:space="preserve">; </w:t>
      </w:r>
      <w:hyperlink w:anchor="choice-and-deliberation">
        <w:r>
          <w:rPr>
            <w:color w:val="000000"/>
          </w:rPr>
          <w:t xml:space="preserve">Choice and deliberation</w:t>
        </w:r>
      </w:hyperlink>
      <w:r>
        <w:rPr>
          <w:b w:val="0"/>
          <w:i w:val="0"/>
        </w:rPr>
        <w:t xml:space="preserve">; </w:t>
      </w:r>
      <w:hyperlink w:anchor="infinity">
        <w:r>
          <w:rPr>
            <w:color w:val="000000"/>
          </w:rPr>
          <w:t xml:space="preserve">Infinity</w:t>
        </w:r>
      </w:hyperlink>
      <w:r>
        <w:rPr>
          <w:b w:val="0"/>
          <w:i w:val="0"/>
        </w:rPr>
        <w:t>.</w:t>
      </w:r>
    </w:p>
    <w:p>
      <w:bookmarkStart w:id="198" w:name="relations-and-respects"/>
      <w:pPr>
        <w:pStyle w:val="Heading2"/>
      </w:pPr>
      <w:r>
        <w:rPr>
          <w:b w:val="0"/>
          <w:i w:val="0"/>
        </w:rPr>
        <w:t>Relations and respects</w:t>
      </w:r>
      <w:bookmarkEnd w:id="198"/>
    </w:p>
    <w:p>
      <w:pPr>
        <w:keepNext/>
        <w:widowControl/>
      </w:pPr>
      <w:r>
        <w:rPr>
          <w:b/>
          <w:i w:val="0"/>
        </w:rPr>
        <w:t>Latin:</w:t>
      </w:r>
      <w:r>
        <w:rPr>
          <w:b w:val="0"/>
          <w:i w:val="0"/>
        </w:rPr>
        <w:t xml:space="preserve"> </w:t>
      </w:r>
      <w:r>
        <w:rPr>
          <w:b w:val="0"/>
          <w:i/>
        </w:rPr>
        <w:t>respectus; comparare; prout; quatenus; eatenus; reales; intellecti</w:t>
      </w:r>
    </w:p>
    <w:p>
      <w:pPr>
        <w:keepNext/>
        <w:widowControl/>
      </w:pPr>
      <w:r>
        <w:rPr>
          <w:b/>
          <w:i w:val="0"/>
        </w:rPr>
        <w:t>The word.</w:t>
      </w:r>
    </w:p>
    <w:p>
      <w:pPr>
        <w:widowControl/>
      </w:pPr>
      <w:r>
        <w:rPr>
          <w:b w:val="0"/>
          <w:i w:val="0"/>
        </w:rPr>
        <w:t>Respectus names a relation or respect of consideration. Comparare sets one thing in relation to another. Prout, quatenus, and eatenus delimit how far or in which respect a predication holds. Reales and intellecti contrast real relations with relations understood by intellect.</w:t>
      </w:r>
    </w:p>
    <w:p>
      <w:pPr>
        <w:keepNext/>
        <w:widowControl/>
      </w:pPr>
      <w:r>
        <w:rPr>
          <w:b/>
          <w:i w:val="0"/>
        </w:rPr>
        <w:t>In the Platonic Theology.</w:t>
      </w:r>
    </w:p>
    <w:p>
      <w:pPr>
        <w:widowControl/>
      </w:pPr>
      <w:r>
        <w:rPr>
          <w:b w:val="0"/>
          <w:i w:val="0"/>
        </w:rPr>
        <w:t>The plurality of Ideas is explained through one divine essence considered as exemplar of this or that species. The relations do not arise because created things act upon God; divine intellect compares its own essence with them. Ficino explicitly distinguishes these intellectual relations from the real relations by which the divine persons are said to be distinguished. This local contrast must not become a general dismissal of every relation as fictitious. In the discussion of will, the same act is necessary insofar as it regards divine goodness, while some call it not absolutely necessary insofar as it regards creatures. The limiting words carry the argument: two respects of one act do not require two separate divine wills.</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II.11.18 (Latin PDF p. 190; English PDF p. 191).</w:t>
      </w:r>
      <w:r>
        <w:rPr>
          <w:b w:val="0"/>
          <w:i w:val="0"/>
        </w:rPr>
        <w:t xml:space="preserve"> Quatenus and eatenus explain how many Ideas are understood from one essence.</w:t>
      </w:r>
    </w:p>
    <w:p>
      <w:pPr>
        <w:ind w:left="187" w:hanging="187"/>
      </w:pPr>
      <w:r>
        <w:t xml:space="preserve">• </w:t>
      </w:r>
      <w:r>
        <w:rPr>
          <w:b/>
          <w:i w:val="0"/>
        </w:rPr>
        <w:t>II.11.19 (Latin PDF p. 192; English PDF p. 193).</w:t>
      </w:r>
      <w:r>
        <w:rPr>
          <w:b w:val="0"/>
          <w:i w:val="0"/>
        </w:rPr>
        <w:t xml:space="preserve"> Intellectual relations are distinguished from relations assigned to the divine persons.</w:t>
      </w:r>
    </w:p>
    <w:p>
      <w:pPr>
        <w:ind w:left="187" w:hanging="187"/>
      </w:pPr>
      <w:r>
        <w:t xml:space="preserve">• </w:t>
      </w:r>
      <w:r>
        <w:rPr>
          <w:b/>
          <w:i w:val="0"/>
        </w:rPr>
        <w:t>II.12.13 (Latin PDF p. 208; English PDF p. 209).</w:t>
      </w:r>
      <w:r>
        <w:rPr>
          <w:b w:val="0"/>
          <w:i w:val="0"/>
        </w:rPr>
        <w:t xml:space="preserve"> Prout differentiates the act’s relation to goodness and to creatures.</w:t>
      </w:r>
    </w:p>
    <w:p>
      <w:pPr>
        <w:ind w:left="187" w:hanging="187"/>
      </w:pPr>
      <w:r>
        <w:t xml:space="preserve">• </w:t>
      </w:r>
      <w:r>
        <w:rPr>
          <w:b/>
          <w:i w:val="0"/>
        </w:rPr>
        <w:t>II.12.15 (Latin PDF p. 210; English PDF p. 211).</w:t>
      </w:r>
      <w:r>
        <w:rPr>
          <w:b w:val="0"/>
          <w:i w:val="0"/>
        </w:rPr>
        <w:t xml:space="preserve"> The act’s relation to effects differs from its absolute relation to God.</w:t>
      </w:r>
    </w:p>
    <w:p>
      <w:pPr>
        <w:keepNext/>
        <w:widowControl/>
      </w:pPr>
      <w:r>
        <w:rPr>
          <w:b/>
          <w:i w:val="0"/>
        </w:rPr>
        <w:t>In this edition.</w:t>
      </w:r>
    </w:p>
    <w:p>
      <w:pPr>
        <w:widowControl/>
      </w:pPr>
      <w:r>
        <w:rPr>
          <w:b w:val="0"/>
          <w:i w:val="0"/>
        </w:rPr>
        <w:t xml:space="preserve">The English </w:t>
      </w:r>
      <w:r>
        <w:t>“</w:t>
      </w:r>
      <w:r>
        <w:rPr>
          <w:b w:val="0"/>
          <w:i w:val="0"/>
        </w:rPr>
        <w:t>relations of thought</w:t>
      </w:r>
      <w:r>
        <w:t>”</w:t>
      </w:r>
      <w:r>
        <w:rPr>
          <w:b w:val="0"/>
          <w:i w:val="0"/>
        </w:rPr>
        <w:t xml:space="preserve"> preserves intellecti. </w:t>
      </w:r>
      <w:r>
        <w:t>“</w:t>
      </w:r>
      <w:r>
        <w:rPr>
          <w:b w:val="0"/>
          <w:i w:val="0"/>
        </w:rPr>
        <w:t>Imaginary</w:t>
      </w:r>
      <w:r>
        <w:t>”</w:t>
      </w:r>
      <w:r>
        <w:rPr>
          <w:b w:val="0"/>
          <w:i w:val="0"/>
        </w:rPr>
        <w:t xml:space="preserve"> would add a claim not made here. The formula a quibusdam, </w:t>
      </w:r>
      <w:r>
        <w:t>“</w:t>
      </w:r>
      <w:r>
        <w:rPr>
          <w:b w:val="0"/>
          <w:i w:val="0"/>
        </w:rPr>
        <w:t>by some,</w:t>
      </w:r>
      <w:r>
        <w:t>”</w:t>
      </w:r>
      <w:r>
        <w:rPr>
          <w:b w:val="0"/>
          <w:i w:val="0"/>
        </w:rPr>
        <w:t xml:space="preserve"> in II.12.13 is part of the attribution and should remain attached to the necessity distinction.</w:t>
      </w:r>
    </w:p>
    <w:p>
      <w:pPr>
        <w:keepNext/>
        <w:widowControl/>
      </w:pPr>
      <w:r>
        <w:rPr>
          <w:b/>
          <w:i w:val="0"/>
        </w:rPr>
        <w:t>See also.</w:t>
      </w:r>
    </w:p>
    <w:p>
      <w:pPr>
        <w:widowControl/>
      </w:pPr>
      <w:hyperlink w:anchor="ideas-and-exemplars">
        <w:r>
          <w:rPr>
            <w:color w:val="000000"/>
          </w:rPr>
          <w:t xml:space="preserve">Ideas and exemplars</w:t>
        </w:r>
      </w:hyperlink>
      <w:r>
        <w:rPr>
          <w:b w:val="0"/>
          <w:i w:val="0"/>
        </w:rPr>
        <w:t xml:space="preserve">; </w:t>
      </w:r>
      <w:hyperlink w:anchor="reason-and-account">
        <w:r>
          <w:rPr>
            <w:color w:val="000000"/>
          </w:rPr>
          <w:t xml:space="preserve">Reason and account</w:t>
        </w:r>
      </w:hyperlink>
      <w:r>
        <w:rPr>
          <w:b w:val="0"/>
          <w:i w:val="0"/>
        </w:rPr>
        <w:t xml:space="preserve">; </w:t>
      </w:r>
      <w:hyperlink w:anchor="freedom-and-necessity">
        <w:r>
          <w:rPr>
            <w:color w:val="000000"/>
          </w:rPr>
          <w:t xml:space="preserve">Freedom and necessity</w:t>
        </w:r>
      </w:hyperlink>
      <w:r>
        <w:rPr>
          <w:b w:val="0"/>
          <w:i w:val="0"/>
        </w:rPr>
        <w:t xml:space="preserve">; </w:t>
      </w:r>
      <w:hyperlink w:anchor="simplicity-and-composition">
        <w:r>
          <w:rPr>
            <w:color w:val="000000"/>
          </w:rPr>
          <w:t xml:space="preserve">Simplicity and composition</w:t>
        </w:r>
      </w:hyperlink>
      <w:r>
        <w:rPr>
          <w:b w:val="0"/>
          <w:i w:val="0"/>
        </w:rPr>
        <w:t>.</w:t>
      </w:r>
    </w:p>
    <w:p>
      <w:bookmarkStart w:id="199" w:name="returning-referring-and-reducing"/>
      <w:pPr>
        <w:pStyle w:val="Heading2"/>
      </w:pPr>
      <w:r>
        <w:rPr>
          <w:b w:val="0"/>
          <w:i w:val="0"/>
        </w:rPr>
        <w:t>Returning, referring and reducing</w:t>
      </w:r>
      <w:bookmarkEnd w:id="199"/>
    </w:p>
    <w:p>
      <w:pPr>
        <w:keepNext/>
        <w:widowControl/>
      </w:pPr>
      <w:r>
        <w:rPr>
          <w:b/>
          <w:i w:val="0"/>
        </w:rPr>
        <w:t>Latin:</w:t>
      </w:r>
      <w:r>
        <w:rPr>
          <w:b w:val="0"/>
          <w:i w:val="0"/>
        </w:rPr>
        <w:t xml:space="preserve"> </w:t>
      </w:r>
      <w:r>
        <w:rPr>
          <w:b w:val="0"/>
          <w:i/>
        </w:rPr>
        <w:t>referat</w:t>
      </w:r>
      <w:r>
        <w:rPr>
          <w:b w:val="0"/>
          <w:i w:val="0"/>
        </w:rPr>
        <w:t xml:space="preserve">; </w:t>
      </w:r>
      <w:r>
        <w:rPr>
          <w:b w:val="0"/>
          <w:i/>
        </w:rPr>
        <w:t>reducat</w:t>
      </w:r>
      <w:r>
        <w:rPr>
          <w:b w:val="0"/>
          <w:i w:val="0"/>
        </w:rPr>
        <w:t xml:space="preserve">; </w:t>
      </w:r>
      <w:r>
        <w:rPr>
          <w:b w:val="0"/>
          <w:i/>
        </w:rPr>
        <w:t>redigatur</w:t>
      </w:r>
      <w:r>
        <w:rPr>
          <w:b w:val="0"/>
          <w:i w:val="0"/>
        </w:rPr>
        <w:t xml:space="preserve">; </w:t>
      </w:r>
      <w:r>
        <w:rPr>
          <w:b w:val="0"/>
          <w:i/>
        </w:rPr>
        <w:t>revertamur</w:t>
      </w:r>
      <w:r>
        <w:rPr>
          <w:b w:val="0"/>
          <w:i w:val="0"/>
        </w:rPr>
        <w:t xml:space="preserve">; </w:t>
      </w:r>
      <w:r>
        <w:rPr>
          <w:b w:val="0"/>
          <w:i/>
        </w:rPr>
        <w:t>convertuntur</w:t>
      </w:r>
      <w:r>
        <w:rPr>
          <w:b w:val="0"/>
          <w:i w:val="0"/>
        </w:rPr>
        <w:t xml:space="preserve">; </w:t>
      </w:r>
      <w:r>
        <w:rPr>
          <w:b w:val="0"/>
          <w:i/>
        </w:rPr>
        <w:t>profectio</w:t>
      </w:r>
      <w:r>
        <w:rPr>
          <w:b w:val="0"/>
          <w:i w:val="0"/>
        </w:rPr>
        <w:t xml:space="preserve">; </w:t>
      </w:r>
      <w:r>
        <w:rPr>
          <w:b w:val="0"/>
          <w:i/>
        </w:rPr>
        <w:t>procedunt</w:t>
      </w:r>
      <w:r>
        <w:rPr>
          <w:b w:val="0"/>
          <w:i w:val="0"/>
        </w:rPr>
        <w:t>.</w:t>
      </w:r>
    </w:p>
    <w:p>
      <w:pPr>
        <w:keepNext/>
        <w:widowControl/>
      </w:pPr>
      <w:r>
        <w:rPr>
          <w:b/>
          <w:i w:val="0"/>
        </w:rPr>
        <w:t>The word.</w:t>
      </w:r>
    </w:p>
    <w:p>
      <w:pPr>
        <w:widowControl/>
      </w:pPr>
      <w:r>
        <w:rPr>
          <w:b w:val="0"/>
          <w:i/>
        </w:rPr>
        <w:t>Referre</w:t>
      </w:r>
      <w:r>
        <w:rPr>
          <w:b w:val="0"/>
          <w:i w:val="0"/>
        </w:rPr>
        <w:t xml:space="preserve"> carries or refers something back; </w:t>
      </w:r>
      <w:r>
        <w:rPr>
          <w:b w:val="0"/>
          <w:i/>
        </w:rPr>
        <w:t>reducere</w:t>
      </w:r>
      <w:r>
        <w:rPr>
          <w:b w:val="0"/>
          <w:i w:val="0"/>
        </w:rPr>
        <w:t xml:space="preserve"> leads back; </w:t>
      </w:r>
      <w:r>
        <w:rPr>
          <w:b w:val="0"/>
          <w:i/>
        </w:rPr>
        <w:t>redigere</w:t>
      </w:r>
      <w:r>
        <w:rPr>
          <w:b w:val="0"/>
          <w:i w:val="0"/>
        </w:rPr>
        <w:t xml:space="preserve"> brings into a state or reduces to a principle. </w:t>
      </w:r>
      <w:r>
        <w:rPr>
          <w:b w:val="0"/>
          <w:i/>
        </w:rPr>
        <w:t>Reverti</w:t>
      </w:r>
      <w:r>
        <w:rPr>
          <w:b w:val="0"/>
          <w:i w:val="0"/>
        </w:rPr>
        <w:t xml:space="preserve"> returns, and </w:t>
      </w:r>
      <w:r>
        <w:rPr>
          <w:b w:val="0"/>
          <w:i/>
        </w:rPr>
        <w:t>converti</w:t>
      </w:r>
      <w:r>
        <w:rPr>
          <w:b w:val="0"/>
          <w:i w:val="0"/>
        </w:rPr>
        <w:t xml:space="preserve"> turns toward. </w:t>
      </w:r>
      <w:r>
        <w:t>“</w:t>
      </w:r>
      <w:r>
        <w:rPr>
          <w:b w:val="0"/>
          <w:i w:val="0"/>
        </w:rPr>
        <w:t>Reduction</w:t>
      </w:r>
      <w:r>
        <w:t>”</w:t>
      </w:r>
      <w:r>
        <w:rPr>
          <w:b w:val="0"/>
          <w:i w:val="0"/>
        </w:rPr>
        <w:t xml:space="preserve"> here usually concerns explanatory order, not destruction or a reduction in physical size.</w:t>
      </w:r>
    </w:p>
    <w:p>
      <w:pPr>
        <w:keepNext/>
        <w:widowControl/>
      </w:pPr>
      <w:r>
        <w:rPr>
          <w:b/>
          <w:i w:val="0"/>
        </w:rPr>
        <w:t>In the Platonic Theology.</w:t>
      </w:r>
    </w:p>
    <w:p>
      <w:pPr>
        <w:widowControl/>
      </w:pPr>
      <w:r>
        <w:rPr>
          <w:b w:val="0"/>
          <w:i w:val="0"/>
        </w:rPr>
        <w:t xml:space="preserve">The Proem tells the reader that the mind should refer to God all that it receives from God, and depicts Plato as leading every subject back to divine contemplation and worship. Later the argument </w:t>
      </w:r>
      <w:r>
        <w:t>“</w:t>
      </w:r>
      <w:r>
        <w:rPr>
          <w:b w:val="0"/>
          <w:i w:val="0"/>
        </w:rPr>
        <w:t>reduces</w:t>
      </w:r>
      <w:r>
        <w:t>”</w:t>
      </w:r>
      <w:r>
        <w:rPr>
          <w:b w:val="0"/>
          <w:i w:val="0"/>
        </w:rPr>
        <w:t xml:space="preserve"> each kind to an indivisible principle, connects lower movers to higher stable ones, and returns from an excursus to the immediate question. These are different operations joined by a directional vocabulary. At the close of Book I, all things’ conversion toward the Good supplies evidence, according to Ficino, of their procession from that same source: origin and goal are coordinated. This theological claim should not be inferred from every ordinary </w:t>
      </w:r>
      <w:r>
        <w:rPr>
          <w:b w:val="0"/>
          <w:i/>
        </w:rPr>
        <w:t>referre</w:t>
      </w:r>
      <w:r>
        <w:rPr>
          <w:b w:val="0"/>
          <w:i w:val="0"/>
        </w:rPr>
        <w:t xml:space="preserve">. In I.2.12, effects </w:t>
      </w:r>
      <w:r>
        <w:t>“</w:t>
      </w:r>
      <w:r>
        <w:rPr>
          <w:b w:val="0"/>
          <w:i w:val="0"/>
        </w:rPr>
        <w:t>reproduce</w:t>
      </w:r>
      <w:r>
        <w:t>”</w:t>
      </w:r>
      <w:r>
        <w:rPr>
          <w:b w:val="0"/>
          <w:i w:val="0"/>
        </w:rPr>
        <w:t xml:space="preserve"> their causes through qualities: here </w:t>
      </w:r>
      <w:r>
        <w:rPr>
          <w:b w:val="0"/>
          <w:i/>
        </w:rPr>
        <w:t>referunt</w:t>
      </w:r>
      <w:r>
        <w:rPr>
          <w:b w:val="0"/>
          <w:i w:val="0"/>
        </w:rPr>
        <w:t xml:space="preserve"> concerns resemblance, not a spiritual return.</w:t>
      </w:r>
    </w:p>
    <w:p>
      <w:pPr>
        <w:keepNext/>
        <w:widowControl/>
      </w:pPr>
      <w:r>
        <w:rPr>
          <w:b/>
          <w:i w:val="0"/>
        </w:rPr>
        <w:t>The places.</w:t>
      </w:r>
    </w:p>
    <w:p>
      <w:pPr>
        <w:ind w:left="187" w:hanging="187"/>
      </w:pPr>
      <w:r>
        <w:t xml:space="preserve">• </w:t>
      </w:r>
      <w:r>
        <w:rPr>
          <w:b/>
          <w:i w:val="0"/>
        </w:rPr>
        <w:t>Proem.1–3, PDF 6–7.</w:t>
      </w:r>
      <w:r>
        <w:rPr>
          <w:b w:val="0"/>
          <w:i w:val="0"/>
        </w:rPr>
        <w:t xml:space="preserve"> Reference back to God governs the programme of philosophy</w:t>
      </w:r>
    </w:p>
    <w:p>
      <w:pPr>
        <w:ind w:left="187" w:hanging="187"/>
      </w:pPr>
      <w:r>
        <w:t xml:space="preserve">• </w:t>
      </w:r>
      <w:r>
        <w:rPr>
          <w:b/>
          <w:i w:val="0"/>
        </w:rPr>
        <w:t>I.2.12, PDF 24–25.</w:t>
      </w:r>
      <w:r>
        <w:rPr>
          <w:b w:val="0"/>
          <w:i w:val="0"/>
        </w:rPr>
        <w:t xml:space="preserve"> </w:t>
      </w:r>
      <w:r>
        <w:rPr>
          <w:b w:val="0"/>
          <w:i/>
        </w:rPr>
        <w:t>Referunt</w:t>
      </w:r>
      <w:r>
        <w:rPr>
          <w:b w:val="0"/>
          <w:i w:val="0"/>
        </w:rPr>
        <w:t xml:space="preserve"> describes qualitative likeness of effects to causes</w:t>
      </w:r>
    </w:p>
    <w:p>
      <w:pPr>
        <w:ind w:left="187" w:hanging="187"/>
      </w:pPr>
      <w:r>
        <w:t xml:space="preserve">• </w:t>
      </w:r>
      <w:r>
        <w:rPr>
          <w:b/>
          <w:i w:val="0"/>
        </w:rPr>
        <w:t>I.3.14, PDF 38–39.</w:t>
      </w:r>
      <w:r>
        <w:rPr>
          <w:b w:val="0"/>
          <w:i w:val="0"/>
        </w:rPr>
        <w:t xml:space="preserve"> Reduction identifies principles within different kinds</w:t>
      </w:r>
    </w:p>
    <w:p>
      <w:pPr>
        <w:ind w:left="187" w:hanging="187"/>
      </w:pPr>
      <w:r>
        <w:t xml:space="preserve">• </w:t>
      </w:r>
      <w:r>
        <w:rPr>
          <w:b/>
          <w:i w:val="0"/>
        </w:rPr>
        <w:t>I.4.3, PDF 56–57.</w:t>
      </w:r>
      <w:r>
        <w:rPr>
          <w:b w:val="0"/>
          <w:i w:val="0"/>
        </w:rPr>
        <w:t xml:space="preserve"> </w:t>
      </w:r>
      <w:r>
        <w:rPr>
          <w:b w:val="0"/>
          <w:i/>
        </w:rPr>
        <w:t>Revertamur</w:t>
      </w:r>
      <w:r>
        <w:rPr>
          <w:b w:val="0"/>
          <w:i w:val="0"/>
        </w:rPr>
        <w:t xml:space="preserve"> signals a return to the question after a supporting argument</w:t>
      </w:r>
    </w:p>
    <w:p>
      <w:pPr>
        <w:ind w:left="187" w:hanging="187"/>
      </w:pPr>
      <w:r>
        <w:t xml:space="preserve">• </w:t>
      </w:r>
      <w:r>
        <w:rPr>
          <w:b/>
          <w:i w:val="0"/>
        </w:rPr>
        <w:t>I.6.16, PDF 92–93.</w:t>
      </w:r>
      <w:r>
        <w:rPr>
          <w:b w:val="0"/>
          <w:i w:val="0"/>
        </w:rPr>
        <w:t xml:space="preserve"> Conversion toward the Good is correlated with procession from it</w:t>
      </w:r>
    </w:p>
    <w:p>
      <w:pPr>
        <w:keepNext/>
        <w:widowControl/>
      </w:pPr>
      <w:r>
        <w:rPr>
          <w:b/>
          <w:i w:val="0"/>
        </w:rPr>
        <w:t>In this edition.</w:t>
      </w:r>
    </w:p>
    <w:p>
      <w:pPr>
        <w:widowControl/>
      </w:pPr>
      <w:r>
        <w:t>“</w:t>
      </w:r>
      <w:r>
        <w:rPr>
          <w:b w:val="0"/>
          <w:i w:val="0"/>
        </w:rPr>
        <w:t>Lead back,</w:t>
      </w:r>
      <w:r>
        <w:t>”</w:t>
      </w:r>
      <w:r>
        <w:rPr>
          <w:b w:val="0"/>
          <w:i w:val="0"/>
        </w:rPr>
        <w:t xml:space="preserve"> </w:t>
      </w:r>
      <w:r>
        <w:t>“</w:t>
      </w:r>
      <w:r>
        <w:rPr>
          <w:b w:val="0"/>
          <w:i w:val="0"/>
        </w:rPr>
        <w:t>reduce,</w:t>
      </w:r>
      <w:r>
        <w:t>”</w:t>
      </w:r>
      <w:r>
        <w:rPr>
          <w:b w:val="0"/>
          <w:i w:val="0"/>
        </w:rPr>
        <w:t xml:space="preserve"> </w:t>
      </w:r>
      <w:r>
        <w:t>“</w:t>
      </w:r>
      <w:r>
        <w:rPr>
          <w:b w:val="0"/>
          <w:i w:val="0"/>
        </w:rPr>
        <w:t>return,</w:t>
      </w:r>
      <w:r>
        <w:t>”</w:t>
      </w:r>
      <w:r>
        <w:rPr>
          <w:b w:val="0"/>
          <w:i w:val="0"/>
        </w:rPr>
        <w:t xml:space="preserve"> </w:t>
      </w:r>
      <w:r>
        <w:t>“</w:t>
      </w:r>
      <w:r>
        <w:rPr>
          <w:b w:val="0"/>
          <w:i w:val="0"/>
        </w:rPr>
        <w:t>reproduce</w:t>
      </w:r>
      <w:r>
        <w:t>”</w:t>
      </w:r>
      <w:r>
        <w:rPr>
          <w:b w:val="0"/>
          <w:i w:val="0"/>
        </w:rPr>
        <w:t xml:space="preserve"> and </w:t>
      </w:r>
      <w:r>
        <w:t>“</w:t>
      </w:r>
      <w:r>
        <w:rPr>
          <w:b w:val="0"/>
          <w:i w:val="0"/>
        </w:rPr>
        <w:t>turn</w:t>
      </w:r>
      <w:r>
        <w:t>”</w:t>
      </w:r>
      <w:r>
        <w:rPr>
          <w:b w:val="0"/>
          <w:i w:val="0"/>
        </w:rPr>
        <w:t xml:space="preserve"> must be read with their objects. A single invariant translation would conceal the differences between worship, resemblance, explanatory ordering and argumentative navigation.</w:t>
      </w:r>
    </w:p>
    <w:p>
      <w:pPr>
        <w:keepNext/>
        <w:widowControl/>
      </w:pPr>
      <w:r>
        <w:rPr>
          <w:b/>
          <w:i w:val="0"/>
        </w:rPr>
        <w:t>See also.</w:t>
      </w:r>
    </w:p>
    <w:p>
      <w:pPr>
        <w:widowControl/>
      </w:pPr>
      <w:hyperlink w:anchor="procession-and-return">
        <w:r>
          <w:rPr>
            <w:color w:val="000000"/>
          </w:rPr>
          <w:t xml:space="preserve">Procession and return</w:t>
        </w:r>
      </w:hyperlink>
      <w:r>
        <w:rPr>
          <w:b w:val="0"/>
          <w:i w:val="0"/>
        </w:rPr>
        <w:t xml:space="preserve">; </w:t>
      </w:r>
      <w:hyperlink w:anchor="circularity-and-return">
        <w:r>
          <w:rPr>
            <w:color w:val="000000"/>
          </w:rPr>
          <w:t xml:space="preserve">Circularity and return</w:t>
        </w:r>
      </w:hyperlink>
      <w:r>
        <w:rPr>
          <w:b w:val="0"/>
          <w:i w:val="0"/>
        </w:rPr>
        <w:t xml:space="preserve">; </w:t>
      </w:r>
      <w:hyperlink w:anchor="ascent">
        <w:r>
          <w:rPr>
            <w:color w:val="000000"/>
          </w:rPr>
          <w:t xml:space="preserve">Ascent</w:t>
        </w:r>
      </w:hyperlink>
      <w:r>
        <w:rPr>
          <w:b w:val="0"/>
          <w:i w:val="0"/>
        </w:rPr>
        <w:t xml:space="preserve">; </w:t>
      </w:r>
      <w:hyperlink w:anchor="image-and-likeness">
        <w:r>
          <w:rPr>
            <w:color w:val="000000"/>
          </w:rPr>
          <w:t xml:space="preserve">Image and likeness</w:t>
        </w:r>
      </w:hyperlink>
      <w:r>
        <w:rPr>
          <w:b w:val="0"/>
          <w:i w:val="0"/>
        </w:rPr>
        <w:t>.</w:t>
      </w:r>
    </w:p>
    <w:p>
      <w:bookmarkStart w:id="200" w:name="second-mind"/>
      <w:pPr>
        <w:pStyle w:val="Heading2"/>
      </w:pPr>
      <w:r>
        <w:rPr>
          <w:b w:val="0"/>
          <w:i w:val="0"/>
        </w:rPr>
        <w:t>Second mind</w:t>
      </w:r>
      <w:bookmarkEnd w:id="200"/>
    </w:p>
    <w:p>
      <w:pPr>
        <w:keepNext/>
        <w:widowControl/>
      </w:pPr>
      <w:r>
        <w:rPr>
          <w:b/>
          <w:i w:val="0"/>
        </w:rPr>
        <w:t>Latin:</w:t>
      </w:r>
      <w:r>
        <w:rPr>
          <w:b w:val="0"/>
          <w:i w:val="0"/>
        </w:rPr>
        <w:t xml:space="preserve"> </w:t>
      </w:r>
      <w:r>
        <w:rPr>
          <w:b w:val="0"/>
          <w:i/>
        </w:rPr>
        <w:t>mens secunda</w:t>
      </w:r>
      <w:r>
        <w:rPr>
          <w:b w:val="0"/>
          <w:i w:val="0"/>
        </w:rPr>
        <w:t xml:space="preserve">; </w:t>
      </w:r>
      <w:r>
        <w:rPr>
          <w:b w:val="0"/>
          <w:i/>
        </w:rPr>
        <w:t>menti … secundae</w:t>
      </w:r>
    </w:p>
    <w:p>
      <w:pPr>
        <w:keepNext/>
        <w:widowControl/>
      </w:pPr>
      <w:r>
        <w:rPr>
          <w:b/>
          <w:i w:val="0"/>
        </w:rPr>
        <w:t>The word.</w:t>
      </w:r>
    </w:p>
    <w:p>
      <w:pPr>
        <w:widowControl/>
      </w:pPr>
      <w:r>
        <w:rPr>
          <w:b w:val="0"/>
          <w:i w:val="0"/>
        </w:rPr>
        <w:t>Mens is mind; secunda qualifies a mind receiving from a first source. The ordinal marks its place in a relation of dependence, not a second independent God.</w:t>
      </w:r>
    </w:p>
    <w:p>
      <w:pPr>
        <w:keepNext/>
        <w:widowControl/>
      </w:pPr>
      <w:r>
        <w:rPr>
          <w:b/>
          <w:i w:val="0"/>
        </w:rPr>
        <w:t>In the Platonic Theology.</w:t>
      </w:r>
    </w:p>
    <w:p>
      <w:pPr>
        <w:widowControl/>
      </w:pPr>
      <w:r>
        <w:rPr>
          <w:b w:val="0"/>
          <w:i w:val="0"/>
        </w:rPr>
        <w:t>In III.1.12 Ficino cites a saying attributed to Zoroaster in which the Father perfects things and gives them to the second mind. The surrounding argument concerns angel: its essence receives illumination, intellectual actuality, and forms. Second mind therefore functions here within the hierarchy below God. The phrase should not be interpreted as another independent first principle, or assigned a different theological identity without evidence beyond this passage.</w:t>
      </w:r>
    </w:p>
    <w:p>
      <w:pPr>
        <w:keepNext/>
        <w:widowControl/>
      </w:pPr>
      <w:r>
        <w:rPr>
          <w:b/>
          <w:i w:val="0"/>
        </w:rPr>
        <w:t>The places.</w:t>
      </w:r>
    </w:p>
    <w:p>
      <w:pPr>
        <w:ind w:left="187" w:hanging="187"/>
      </w:pPr>
      <w:r>
        <w:t xml:space="preserve">• </w:t>
      </w:r>
      <w:r>
        <w:rPr>
          <w:b/>
          <w:i w:val="0"/>
        </w:rPr>
        <w:t>III.1.12, PDF pp. 248–249</w:t>
      </w:r>
      <w:r>
        <w:rPr>
          <w:b w:val="0"/>
          <w:i w:val="0"/>
        </w:rPr>
        <w:t>. The Father gives completed things to the second mind within an argument about angelic reception, illumination, and multiplicity.</w:t>
      </w:r>
    </w:p>
    <w:p>
      <w:pPr>
        <w:widowControl/>
      </w:pPr>
      <w:r>
        <w:rPr>
          <w:b/>
          <w:i w:val="0"/>
        </w:rPr>
        <w:t>Further passage references.</w:t>
      </w:r>
      <w:r>
        <w:rPr>
          <w:b w:val="0"/>
          <w:i w:val="0"/>
        </w:rPr>
        <w:t xml:space="preserve"> III.1.12 (PDF pp.248–249)</w:t>
      </w:r>
    </w:p>
    <w:p>
      <w:pPr>
        <w:keepNext/>
        <w:widowControl/>
      </w:pPr>
      <w:r>
        <w:rPr>
          <w:b/>
          <w:i w:val="0"/>
        </w:rPr>
        <w:t>In this edition.</w:t>
      </w:r>
    </w:p>
    <w:p>
      <w:pPr>
        <w:widowControl/>
      </w:pPr>
      <w:r>
        <w:rPr>
          <w:b w:val="0"/>
          <w:i w:val="0"/>
        </w:rPr>
        <w:t>The printed menti … secundae is dative in Ficino’s Latin gloss of the attributed Greek saying. The entry’s nominative mens secunda is a lookup form, and the English follows the Latin gloss rather than establishing the saying’s external textual history.</w:t>
      </w:r>
    </w:p>
    <w:p>
      <w:pPr>
        <w:keepNext/>
        <w:widowControl/>
      </w:pPr>
      <w:r>
        <w:rPr>
          <w:b/>
          <w:i w:val="0"/>
        </w:rPr>
        <w:t>See also.</w:t>
      </w:r>
    </w:p>
    <w:p>
      <w:pPr>
        <w:widowControl/>
      </w:pPr>
      <w:hyperlink w:anchor="angel">
        <w:r>
          <w:rPr>
            <w:color w:val="000000"/>
          </w:rPr>
          <w:t xml:space="preserve">Angel</w:t>
        </w:r>
      </w:hyperlink>
      <w:r>
        <w:rPr>
          <w:b w:val="0"/>
          <w:i w:val="0"/>
        </w:rPr>
        <w:t xml:space="preserve">; </w:t>
      </w:r>
      <w:hyperlink w:anchor="mind">
        <w:r>
          <w:rPr>
            <w:color w:val="000000"/>
          </w:rPr>
          <w:t xml:space="preserve">Mind</w:t>
        </w:r>
      </w:hyperlink>
      <w:r>
        <w:rPr>
          <w:b w:val="0"/>
          <w:i w:val="0"/>
        </w:rPr>
        <w:t xml:space="preserve">; </w:t>
      </w:r>
      <w:hyperlink w:anchor="light-and-illumination">
        <w:r>
          <w:rPr>
            <w:color w:val="000000"/>
          </w:rPr>
          <w:t xml:space="preserve">Light and illumination</w:t>
        </w:r>
      </w:hyperlink>
      <w:r>
        <w:rPr>
          <w:b w:val="0"/>
          <w:i w:val="0"/>
        </w:rPr>
        <w:t xml:space="preserve">; </w:t>
      </w:r>
      <w:hyperlink w:anchor="act-and-operation">
        <w:r>
          <w:rPr>
            <w:color w:val="000000"/>
          </w:rPr>
          <w:t xml:space="preserve">Act and operation</w:t>
        </w:r>
      </w:hyperlink>
    </w:p>
    <w:p>
      <w:bookmarkStart w:id="201" w:name="seeds"/>
      <w:pPr>
        <w:pStyle w:val="Heading2"/>
      </w:pPr>
      <w:r>
        <w:rPr>
          <w:b w:val="0"/>
          <w:i w:val="0"/>
        </w:rPr>
        <w:t>Seeds</w:t>
      </w:r>
      <w:bookmarkEnd w:id="201"/>
    </w:p>
    <w:p>
      <w:pPr>
        <w:keepNext/>
        <w:widowControl/>
      </w:pPr>
      <w:r>
        <w:rPr>
          <w:b/>
          <w:i w:val="0"/>
        </w:rPr>
        <w:t>Latin:</w:t>
      </w:r>
      <w:r>
        <w:rPr>
          <w:b w:val="0"/>
          <w:i w:val="0"/>
        </w:rPr>
        <w:t xml:space="preserve"> </w:t>
      </w:r>
      <w:r>
        <w:rPr>
          <w:b w:val="0"/>
          <w:i/>
        </w:rPr>
        <w:t>semen</w:t>
      </w:r>
      <w:r>
        <w:rPr>
          <w:b w:val="0"/>
          <w:i w:val="0"/>
        </w:rPr>
        <w:t xml:space="preserve">, </w:t>
      </w:r>
      <w:r>
        <w:rPr>
          <w:b w:val="0"/>
          <w:i/>
        </w:rPr>
        <w:t>semina</w:t>
      </w:r>
      <w:r>
        <w:rPr>
          <w:b w:val="0"/>
          <w:i w:val="0"/>
        </w:rPr>
        <w:t xml:space="preserve">, </w:t>
      </w:r>
      <w:r>
        <w:rPr>
          <w:b w:val="0"/>
          <w:i/>
        </w:rPr>
        <w:t>vitalia semina</w:t>
      </w:r>
      <w:r>
        <w:rPr>
          <w:b w:val="0"/>
          <w:i w:val="0"/>
        </w:rPr>
        <w:t xml:space="preserve">, </w:t>
      </w:r>
      <w:r>
        <w:rPr>
          <w:b w:val="0"/>
          <w:i/>
        </w:rPr>
        <w:t>formarum semina</w:t>
      </w:r>
      <w:r>
        <w:rPr>
          <w:b w:val="0"/>
          <w:i w:val="0"/>
        </w:rPr>
        <w:t xml:space="preserve">; </w:t>
      </w:r>
      <w:r>
        <w:rPr>
          <w:b w:val="0"/>
          <w:i/>
        </w:rPr>
        <w:t>semina corporalia</w:t>
      </w:r>
      <w:r>
        <w:rPr>
          <w:b w:val="0"/>
          <w:i w:val="0"/>
        </w:rPr>
        <w:t xml:space="preserve">, </w:t>
      </w:r>
      <w:r>
        <w:rPr>
          <w:b w:val="0"/>
          <w:i/>
        </w:rPr>
        <w:t>spiritalia et vivifica semina</w:t>
      </w:r>
      <w:r>
        <w:rPr>
          <w:b w:val="0"/>
          <w:i w:val="0"/>
        </w:rPr>
        <w:t xml:space="preserve">, </w:t>
      </w:r>
      <w:r>
        <w:rPr>
          <w:b w:val="0"/>
          <w:i/>
        </w:rPr>
        <w:t>naturalia semina</w:t>
      </w:r>
      <w:r>
        <w:rPr>
          <w:b w:val="0"/>
          <w:i w:val="0"/>
        </w:rPr>
        <w:t xml:space="preserve">, </w:t>
      </w:r>
      <w:r>
        <w:rPr>
          <w:b w:val="0"/>
          <w:i/>
        </w:rPr>
        <w:t>generandorum semina</w:t>
      </w:r>
    </w:p>
    <w:p>
      <w:pPr>
        <w:keepNext/>
        <w:widowControl/>
      </w:pPr>
      <w:r>
        <w:rPr>
          <w:b/>
          <w:i w:val="0"/>
        </w:rPr>
        <w:t>The word.</w:t>
      </w:r>
    </w:p>
    <w:p>
      <w:pPr>
        <w:widowControl/>
      </w:pPr>
      <w:r>
        <w:rPr>
          <w:b w:val="0"/>
          <w:i w:val="0"/>
        </w:rPr>
        <w:t>Semen can be a bodily reproductive seed or an incorporeal productive principle. Corporalia, spiritalia, vivifica, and generandorum identify kinds or roles; they are not interchangeable descriptions of visible seed matter.</w:t>
      </w:r>
    </w:p>
    <w:p>
      <w:pPr>
        <w:keepNext/>
        <w:widowControl/>
      </w:pPr>
      <w:r>
        <w:rPr>
          <w:b/>
          <w:i w:val="0"/>
        </w:rPr>
        <w:t>In the Platonic Theology.</w:t>
      </w:r>
    </w:p>
    <w:p>
      <w:pPr>
        <w:widowControl/>
      </w:pPr>
      <w:r>
        <w:rPr>
          <w:b w:val="0"/>
          <w:i w:val="0"/>
        </w:rPr>
        <w:t xml:space="preserve">Seed-language explains how determinate forms arise from apparently undetermined material. It may name a visible reproductive object or an incorporeal life-giving principle; these modes are connected without being identical. Ficino argues that diverse flowers require corresponding formative seeds and, when these cannot be located in their material, places them in the directing life. Vital seeds of fire likewise explain the production of fire’s substantial form where accidental heat has warmed wool. At the end of Book I he speaks more cautiously of seeds of emerging forms hidden in primary matter, adding </w:t>
      </w:r>
      <w:r>
        <w:t>“</w:t>
      </w:r>
      <w:r>
        <w:rPr>
          <w:b w:val="0"/>
          <w:i w:val="0"/>
        </w:rPr>
        <w:t>so to speak.</w:t>
      </w:r>
      <w:r>
        <w:t>”</w:t>
      </w:r>
      <w:r>
        <w:rPr>
          <w:b w:val="0"/>
          <w:i w:val="0"/>
        </w:rPr>
        <w:t xml:space="preserve"> The passages do not impose one uniform material mechanism.</w:t>
      </w:r>
    </w:p>
    <w:p>
      <w:pPr>
        <w:widowControl/>
      </w:pPr>
      <w:r>
        <w:rPr>
          <w:b w:val="0"/>
          <w:i w:val="0"/>
        </w:rPr>
        <w:t>Book IV develops the inference through earth and water. Spiritual productive seeds explain determinate living products where bodily seeds appear absent and explain how bodily seeds left by their parents are fostered. A decaying grape seed, single and comparatively base in itself, develops into a varied and ordered vine through powers capable of accounting for those determinations. Similarly, production of actual fire requires a substantial source rather than merely a remote bodily capacity. An appropriate agent both disposes matter and brings forth the determinate living or substantial result. These are arguments within Ficino’s historical natural philosophy, not descriptions of modern genetics or independently verified spontaneous generation.</w:t>
      </w:r>
    </w:p>
    <w:p>
      <w:pPr>
        <w:widowControl/>
      </w:pPr>
      <w:r>
        <w:rPr>
          <w:b w:val="0"/>
          <w:i w:val="0"/>
        </w:rPr>
        <w:t>There is a local Latin–English discrepancy at IV.1.11. The supplied Latin makes divine wisdom imbue the vivifying and motive power with natural seeds. Its English translation reverses recipient and content, saying that wisdom imbues natural seeds with the power. The Latin-supported relation places seeds within the productive power; the two statements are not equivalent.</w:t>
      </w:r>
    </w:p>
    <w:p>
      <w:pPr>
        <w:widowControl/>
      </w:pPr>
      <w:r>
        <w:rPr>
          <w:b w:val="0"/>
          <w:i w:val="0"/>
        </w:rPr>
        <w:t>In cosmic souls, seeds belong to the lowest motive power, which possesses its contents together but realizes them successively. Intellectual Ideas, productive seeds, and realized bodily forms remain distinct modes of containment and expression. Successive activation connects seeds to fate, first motion, and time. The proposed finite stock of seeds also motivates a complete productive sequence and its recurrence. Ficino interprets the changing forms of Proteus through this activity, while the numerical cosmic period and reported resurrection argument remain separately attributed claims. The account does not depict miniature bodily organisms stored inside an angelic mind.</w:t>
      </w:r>
    </w:p>
    <w:p>
      <w:pPr>
        <w:keepNext/>
        <w:widowControl/>
      </w:pPr>
      <w:r>
        <w:rPr>
          <w:b/>
          <w:i w:val="0"/>
        </w:rPr>
        <w:t>The places.</w:t>
      </w:r>
    </w:p>
    <w:p>
      <w:pPr>
        <w:ind w:left="187" w:hanging="187"/>
      </w:pPr>
      <w:r>
        <w:t xml:space="preserve">• </w:t>
      </w:r>
      <w:r>
        <w:rPr>
          <w:b/>
          <w:i w:val="0"/>
        </w:rPr>
        <w:t>I.3.22, PDF pp. 44–45</w:t>
      </w:r>
      <w:r>
        <w:rPr>
          <w:b w:val="0"/>
          <w:i w:val="0"/>
        </w:rPr>
        <w:t>. Vital seeds explain determinate flowers and the production of a substantial form beyond accidental heat.</w:t>
      </w:r>
    </w:p>
    <w:p>
      <w:pPr>
        <w:ind w:left="187" w:hanging="187"/>
      </w:pPr>
      <w:r>
        <w:t xml:space="preserve">• </w:t>
      </w:r>
      <w:r>
        <w:rPr>
          <w:b/>
          <w:i w:val="0"/>
        </w:rPr>
        <w:t>I.6.14, PDF pp. 90–91</w:t>
      </w:r>
      <w:r>
        <w:rPr>
          <w:b w:val="0"/>
          <w:i w:val="0"/>
        </w:rPr>
        <w:t>. Seed-language is applied cautiously to emerging forms in primary matter.</w:t>
      </w:r>
    </w:p>
    <w:p>
      <w:pPr>
        <w:ind w:left="187" w:hanging="187"/>
      </w:pPr>
      <w:r>
        <w:t xml:space="preserve">• </w:t>
      </w:r>
      <w:r>
        <w:rPr>
          <w:b/>
          <w:i w:val="0"/>
        </w:rPr>
        <w:t>IV.1.11 and IV.1.14–19, PDF pp. 286–291</w:t>
      </w:r>
      <w:r>
        <w:rPr>
          <w:b w:val="0"/>
          <w:i w:val="0"/>
        </w:rPr>
        <w:t>. Natural seeds belong in the productive power; bodily seeds, their fostering, and alleged unseeded generation remain distinct.</w:t>
      </w:r>
    </w:p>
    <w:p>
      <w:pPr>
        <w:ind w:left="187" w:hanging="187"/>
      </w:pPr>
      <w:r>
        <w:t xml:space="preserve">• </w:t>
      </w:r>
      <w:r>
        <w:rPr>
          <w:b/>
          <w:i w:val="0"/>
        </w:rPr>
        <w:t>IV.2.10–16, PDF pp. 338–343</w:t>
      </w:r>
      <w:r>
        <w:rPr>
          <w:b w:val="0"/>
          <w:i w:val="0"/>
        </w:rPr>
        <w:t>. Motive powers possess seeds together but realize them successively, linking productive content with fate and imagination.</w:t>
      </w:r>
    </w:p>
    <w:p>
      <w:pPr>
        <w:widowControl/>
      </w:pPr>
      <w:r>
        <w:rPr>
          <w:b/>
          <w:i w:val="0"/>
        </w:rPr>
        <w:t>Further passage references.</w:t>
      </w:r>
      <w:r>
        <w:rPr>
          <w:b w:val="0"/>
          <w:i w:val="0"/>
        </w:rPr>
        <w:t xml:space="preserve"> I.3.22 (PDF pp. 44–45); I.6.14 (pp. 90–91); IV.1.9–IV.1.19, pp. 286–291; IV.2.10–IV.2.16, pp. 338–343</w:t>
      </w:r>
    </w:p>
    <w:p>
      <w:pPr>
        <w:keepNext/>
        <w:widowControl/>
      </w:pPr>
      <w:r>
        <w:rPr>
          <w:b/>
          <w:i w:val="0"/>
        </w:rPr>
        <w:t>In this edition.</w:t>
      </w:r>
    </w:p>
    <w:p>
      <w:pPr>
        <w:widowControl/>
      </w:pPr>
      <w:r>
        <w:rPr>
          <w:b w:val="0"/>
          <w:i w:val="0"/>
        </w:rPr>
        <w:t>At IV.1.11 the Latin makes the vivifying and motive power receive natural seeds; the facing English reverses recipient and content. At I.6.14 the qualifying seed metaphor should remain qualified, and Book IV’s spontaneous-generation examples are historical claims.</w:t>
      </w:r>
    </w:p>
    <w:p>
      <w:pPr>
        <w:keepNext/>
        <w:widowControl/>
      </w:pPr>
      <w:r>
        <w:rPr>
          <w:b/>
          <w:i w:val="0"/>
        </w:rPr>
        <w:t>See also.</w:t>
      </w:r>
    </w:p>
    <w:p>
      <w:pPr>
        <w:widowControl/>
      </w:pPr>
      <w:hyperlink w:anchor="life">
        <w:r>
          <w:rPr>
            <w:color w:val="000000"/>
          </w:rPr>
          <w:t xml:space="preserve">Life</w:t>
        </w:r>
      </w:hyperlink>
      <w:r>
        <w:rPr>
          <w:b w:val="0"/>
          <w:i w:val="0"/>
        </w:rPr>
        <w:t xml:space="preserve">; </w:t>
      </w:r>
      <w:hyperlink w:anchor="form">
        <w:r>
          <w:rPr>
            <w:color w:val="000000"/>
          </w:rPr>
          <w:t xml:space="preserve">Form</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matter">
        <w:r>
          <w:rPr>
            <w:color w:val="000000"/>
          </w:rPr>
          <w:t xml:space="preserve">Matter</w:t>
        </w:r>
      </w:hyperlink>
      <w:r>
        <w:rPr>
          <w:b w:val="0"/>
          <w:i w:val="0"/>
        </w:rPr>
        <w:t xml:space="preserve">; </w:t>
      </w:r>
      <w:hyperlink w:anchor="cause">
        <w:r>
          <w:rPr>
            <w:color w:val="000000"/>
          </w:rPr>
          <w:t xml:space="preserve">Cause</w:t>
        </w:r>
      </w:hyperlink>
      <w:r>
        <w:rPr>
          <w:b w:val="0"/>
          <w:i w:val="0"/>
        </w:rPr>
        <w:t xml:space="preserve">; </w:t>
      </w:r>
      <w:hyperlink w:anchor="reason-and-account">
        <w:r>
          <w:rPr>
            <w:color w:val="000000"/>
          </w:rPr>
          <w:t xml:space="preserve">Reason and account</w:t>
        </w:r>
      </w:hyperlink>
      <w:r>
        <w:rPr>
          <w:b w:val="0"/>
          <w:i w:val="0"/>
        </w:rPr>
        <w:t xml:space="preserve">; </w:t>
      </w:r>
      <w:hyperlink w:anchor="fate">
        <w:r>
          <w:rPr>
            <w:color w:val="000000"/>
          </w:rPr>
          <w:t xml:space="preserve">Fate</w:t>
        </w:r>
      </w:hyperlink>
      <w:r>
        <w:rPr>
          <w:b w:val="0"/>
          <w:i w:val="0"/>
        </w:rPr>
        <w:t xml:space="preserve">; </w:t>
      </w:r>
      <w:hyperlink w:anchor="habitual-possession">
        <w:r>
          <w:rPr>
            <w:color w:val="000000"/>
          </w:rPr>
          <w:t xml:space="preserve">Habitual possession</w:t>
        </w:r>
      </w:hyperlink>
      <w:r>
        <w:rPr>
          <w:b w:val="0"/>
          <w:i w:val="0"/>
        </w:rPr>
        <w:t xml:space="preserve">; </w:t>
      </w:r>
      <w:hyperlink w:anchor="sense-and-imagination">
        <w:r>
          <w:rPr>
            <w:color w:val="000000"/>
          </w:rPr>
          <w:t xml:space="preserve">Sense and imagination</w:t>
        </w:r>
      </w:hyperlink>
      <w:r>
        <w:rPr>
          <w:b w:val="0"/>
          <w:i w:val="0"/>
        </w:rPr>
        <w:t xml:space="preserve">; </w:t>
      </w:r>
      <w:hyperlink w:anchor="proteus">
        <w:r>
          <w:rPr>
            <w:color w:val="000000"/>
          </w:rPr>
          <w:t xml:space="preserve">Proteus</w:t>
        </w:r>
      </w:hyperlink>
      <w:r>
        <w:rPr>
          <w:b w:val="0"/>
          <w:i w:val="0"/>
        </w:rPr>
        <w:t xml:space="preserve">; </w:t>
      </w:r>
      <w:hyperlink w:anchor="great-year">
        <w:r>
          <w:rPr>
            <w:color w:val="000000"/>
          </w:rPr>
          <w:t xml:space="preserve">Great year</w:t>
        </w:r>
      </w:hyperlink>
      <w:r>
        <w:rPr>
          <w:b w:val="0"/>
          <w:i w:val="0"/>
        </w:rPr>
        <w:t xml:space="preserve">; </w:t>
      </w:r>
      <w:hyperlink w:anchor="intellectual-and-animating-powers">
        <w:r>
          <w:rPr>
            <w:color w:val="000000"/>
          </w:rPr>
          <w:t xml:space="preserve">Intellectual and animating powers</w:t>
        </w:r>
      </w:hyperlink>
    </w:p>
    <w:p>
      <w:bookmarkStart w:id="202" w:name="seeking-possessing-and-distraction"/>
      <w:pPr>
        <w:pStyle w:val="Heading2"/>
      </w:pPr>
      <w:r>
        <w:rPr>
          <w:b w:val="0"/>
          <w:i w:val="0"/>
        </w:rPr>
        <w:t>Seeking possessing and distraction</w:t>
      </w:r>
      <w:bookmarkEnd w:id="202"/>
    </w:p>
    <w:p>
      <w:pPr>
        <w:keepNext/>
        <w:widowControl/>
      </w:pPr>
      <w:r>
        <w:rPr>
          <w:b/>
          <w:i w:val="0"/>
        </w:rPr>
        <w:t>Latin:</w:t>
      </w:r>
      <w:r>
        <w:rPr>
          <w:b w:val="0"/>
          <w:i w:val="0"/>
        </w:rPr>
        <w:t xml:space="preserve"> quaerit; possidet; distrahitur; divertitur; gravioribus; leviora; eodem intuitu</w:t>
      </w:r>
    </w:p>
    <w:p>
      <w:pPr>
        <w:keepNext/>
        <w:widowControl/>
      </w:pPr>
      <w:r>
        <w:rPr>
          <w:b/>
          <w:i w:val="0"/>
        </w:rPr>
        <w:t>The word.</w:t>
      </w:r>
    </w:p>
    <w:p>
      <w:pPr>
        <w:widowControl/>
      </w:pPr>
      <w:r>
        <w:rPr>
          <w:b w:val="0"/>
          <w:i w:val="0"/>
        </w:rPr>
        <w:t>Quaerere seeks or searches; possidere possesses or holds. Distrahi is to be pulled in different directions or distracted, and diverti to turn aside. These ordinary verbs distinguish successive acquisition of knowledge from a unified possession of it.</w:t>
      </w:r>
    </w:p>
    <w:p>
      <w:pPr>
        <w:keepNext/>
        <w:widowControl/>
      </w:pPr>
      <w:r>
        <w:rPr>
          <w:b/>
          <w:i w:val="0"/>
        </w:rPr>
        <w:t>In the Platonic Theology.</w:t>
      </w:r>
    </w:p>
    <w:p>
      <w:pPr>
        <w:widowControl/>
      </w:pPr>
      <w:r>
        <w:rPr>
          <w:b w:val="0"/>
          <w:i w:val="0"/>
        </w:rPr>
        <w:t>In answering the objection that lowly things are unworthy of divine knowledge, Ficino denies that God must search among external images. God sees things in himself through his essence. Because he possesses rather than seeks, knowing many does not entail labor; because he sees higher and lower in the same gaze, considering the lower does not divert attention from the higher.</w:t>
      </w:r>
    </w:p>
    <w:p>
      <w:pPr>
        <w:widowControl/>
      </w:pPr>
      <w:r>
        <w:rPr>
          <w:b w:val="0"/>
          <w:i w:val="0"/>
        </w:rPr>
        <w:t>The claims address a specific assumed cost of divine knowledge. Human attention can be divided and a search can require effort, but Ficino’s conclusion is about the simple first knower. The star-seeing eye then provides a limited analogy for many objects in one act. The distinction should not become a universal disparagement of inquiry: the book itself repeatedly investigates, asks, and argues.</w:t>
      </w:r>
    </w:p>
    <w:p>
      <w:pPr>
        <w:keepNext/>
        <w:widowControl/>
      </w:pPr>
      <w:r>
        <w:rPr>
          <w:b/>
          <w:i w:val="0"/>
        </w:rPr>
        <w:t>The places.</w:t>
      </w:r>
    </w:p>
    <w:p>
      <w:pPr>
        <w:ind w:left="187" w:hanging="187"/>
      </w:pPr>
      <w:r>
        <w:t xml:space="preserve">• </w:t>
      </w:r>
      <w:r>
        <w:rPr>
          <w:b w:val="0"/>
          <w:i w:val="0"/>
        </w:rPr>
        <w:t>II.9.20, II.9.21 (PDF pp. 172–175): Possession and one gaze answer distraction, labor, and displacement objections</w:t>
      </w:r>
    </w:p>
    <w:p>
      <w:pPr>
        <w:keepNext/>
        <w:widowControl/>
      </w:pPr>
      <w:r>
        <w:rPr>
          <w:b/>
          <w:i w:val="0"/>
        </w:rPr>
        <w:t>In this edition.</w:t>
      </w:r>
    </w:p>
    <w:p>
      <w:pPr>
        <w:widowControl/>
      </w:pPr>
      <w:r>
        <w:t>“</w:t>
      </w:r>
      <w:r>
        <w:rPr>
          <w:b w:val="0"/>
          <w:i w:val="0"/>
        </w:rPr>
        <w:t>Weightier</w:t>
      </w:r>
      <w:r>
        <w:t>”</w:t>
      </w:r>
      <w:r>
        <w:rPr>
          <w:b w:val="0"/>
          <w:i w:val="0"/>
        </w:rPr>
        <w:t xml:space="preserve"> and </w:t>
      </w:r>
      <w:r>
        <w:t>“</w:t>
      </w:r>
      <w:r>
        <w:rPr>
          <w:b w:val="0"/>
          <w:i w:val="0"/>
        </w:rPr>
        <w:t>lesser</w:t>
      </w:r>
      <w:r>
        <w:t>”</w:t>
      </w:r>
      <w:r>
        <w:rPr>
          <w:b w:val="0"/>
          <w:i w:val="0"/>
        </w:rPr>
        <w:t xml:space="preserve"> render gravioribus and leviora as comparative importance, not literal mass. </w:t>
      </w:r>
      <w:r>
        <w:t>“</w:t>
      </w:r>
      <w:r>
        <w:rPr>
          <w:b w:val="0"/>
          <w:i w:val="0"/>
        </w:rPr>
        <w:t>Does not seek but possesses</w:t>
      </w:r>
      <w:r>
        <w:t>”</w:t>
      </w:r>
      <w:r>
        <w:rPr>
          <w:b w:val="0"/>
          <w:i w:val="0"/>
        </w:rPr>
        <w:t xml:space="preserve"> concerns the mode of divine cognition, not possession of physical goods.</w:t>
      </w:r>
    </w:p>
    <w:p>
      <w:pPr>
        <w:keepNext/>
        <w:widowControl/>
      </w:pPr>
      <w:r>
        <w:rPr>
          <w:b/>
          <w:i w:val="0"/>
        </w:rPr>
        <w:t>See also.</w:t>
      </w:r>
    </w:p>
    <w:p>
      <w:pPr>
        <w:widowControl/>
      </w:pPr>
      <w:hyperlink w:anchor="intuition-and-comprehension">
        <w:r>
          <w:rPr>
            <w:color w:val="000000"/>
          </w:rPr>
          <w:t xml:space="preserve">Intuition and comprehension</w:t>
        </w:r>
      </w:hyperlink>
      <w:r>
        <w:rPr>
          <w:b w:val="0"/>
          <w:i w:val="0"/>
        </w:rPr>
        <w:t xml:space="preserve">; </w:t>
      </w:r>
      <w:hyperlink w:anchor="eye-and-gaze">
        <w:r>
          <w:rPr>
            <w:color w:val="000000"/>
          </w:rPr>
          <w:t xml:space="preserve">Eye and gaze</w:t>
        </w:r>
      </w:hyperlink>
      <w:r>
        <w:rPr>
          <w:b w:val="0"/>
          <w:i w:val="0"/>
        </w:rPr>
        <w:t xml:space="preserve">; </w:t>
      </w:r>
      <w:hyperlink w:anchor="precious-and-lowly">
        <w:r>
          <w:rPr>
            <w:color w:val="000000"/>
          </w:rPr>
          <w:t xml:space="preserve">Precious and lowly</w:t>
        </w:r>
      </w:hyperlink>
      <w:r>
        <w:rPr>
          <w:b w:val="0"/>
          <w:i w:val="0"/>
        </w:rPr>
        <w:t xml:space="preserve">; </w:t>
      </w:r>
      <w:hyperlink w:anchor="self-knowledge">
        <w:r>
          <w:rPr>
            <w:color w:val="000000"/>
          </w:rPr>
          <w:t xml:space="preserve">Self knowledge</w:t>
        </w:r>
      </w:hyperlink>
      <w:r>
        <w:rPr>
          <w:b w:val="0"/>
          <w:i w:val="0"/>
        </w:rPr>
        <w:t>.</w:t>
      </w:r>
    </w:p>
    <w:p>
      <w:bookmarkStart w:id="203" w:name="seeming-and-evidence"/>
      <w:pPr>
        <w:pStyle w:val="Heading2"/>
      </w:pPr>
      <w:r>
        <w:rPr>
          <w:b w:val="0"/>
          <w:i w:val="0"/>
        </w:rPr>
        <w:t>Seeming and evidence</w:t>
      </w:r>
      <w:bookmarkEnd w:id="203"/>
    </w:p>
    <w:p>
      <w:pPr>
        <w:keepNext/>
        <w:widowControl/>
      </w:pPr>
      <w:r>
        <w:rPr>
          <w:b/>
          <w:i w:val="0"/>
        </w:rPr>
        <w:t>Latin:</w:t>
      </w:r>
      <w:r>
        <w:rPr>
          <w:b w:val="0"/>
          <w:i w:val="0"/>
        </w:rPr>
        <w:t xml:space="preserve"> </w:t>
      </w:r>
      <w:r>
        <w:rPr>
          <w:b w:val="0"/>
          <w:i/>
        </w:rPr>
        <w:t>videntur</w:t>
      </w:r>
      <w:r>
        <w:rPr>
          <w:b w:val="0"/>
          <w:i w:val="0"/>
        </w:rPr>
        <w:t xml:space="preserve">, </w:t>
      </w:r>
      <w:r>
        <w:rPr>
          <w:b w:val="0"/>
          <w:i/>
        </w:rPr>
        <w:t>videmus</w:t>
      </w:r>
      <w:r>
        <w:rPr>
          <w:b w:val="0"/>
          <w:i w:val="0"/>
        </w:rPr>
        <w:t xml:space="preserve">, </w:t>
      </w:r>
      <w:r>
        <w:rPr>
          <w:b w:val="0"/>
          <w:i/>
        </w:rPr>
        <w:t>apparet</w:t>
      </w:r>
      <w:r>
        <w:rPr>
          <w:b w:val="0"/>
          <w:i w:val="0"/>
        </w:rPr>
        <w:t xml:space="preserve">, </w:t>
      </w:r>
      <w:r>
        <w:rPr>
          <w:b w:val="0"/>
          <w:i/>
        </w:rPr>
        <w:t>indicat</w:t>
      </w:r>
      <w:r>
        <w:rPr>
          <w:b w:val="0"/>
          <w:i w:val="0"/>
        </w:rPr>
        <w:t xml:space="preserve">, </w:t>
      </w:r>
      <w:r>
        <w:rPr>
          <w:b w:val="0"/>
          <w:i/>
        </w:rPr>
        <w:t>ostendit</w:t>
      </w:r>
      <w:r>
        <w:rPr>
          <w:b w:val="0"/>
          <w:i w:val="0"/>
        </w:rPr>
        <w:t xml:space="preserve">, </w:t>
      </w:r>
      <w:r>
        <w:rPr>
          <w:b w:val="0"/>
          <w:i/>
        </w:rPr>
        <w:t>significant</w:t>
      </w:r>
      <w:r>
        <w:rPr>
          <w:b w:val="0"/>
          <w:i w:val="0"/>
        </w:rPr>
        <w:t xml:space="preserve">, </w:t>
      </w:r>
      <w:r>
        <w:rPr>
          <w:b w:val="0"/>
          <w:i/>
        </w:rPr>
        <w:t>argumento est</w:t>
      </w:r>
      <w:r>
        <w:rPr>
          <w:b w:val="0"/>
          <w:i w:val="0"/>
        </w:rPr>
        <w:t xml:space="preserve">, </w:t>
      </w:r>
      <w:r>
        <w:rPr>
          <w:b w:val="0"/>
          <w:i/>
        </w:rPr>
        <w:t>ut existimat</w:t>
      </w:r>
      <w:r>
        <w:rPr>
          <w:b w:val="0"/>
          <w:i w:val="0"/>
        </w:rPr>
        <w:t>.</w:t>
      </w:r>
    </w:p>
    <w:p>
      <w:pPr>
        <w:keepNext/>
        <w:widowControl/>
      </w:pPr>
      <w:r>
        <w:rPr>
          <w:b/>
          <w:i w:val="0"/>
        </w:rPr>
        <w:t>The word.</w:t>
      </w:r>
    </w:p>
    <w:p>
      <w:pPr>
        <w:widowControl/>
      </w:pPr>
      <w:r>
        <w:rPr>
          <w:b w:val="0"/>
          <w:i w:val="0"/>
        </w:rPr>
        <w:t xml:space="preserve">Seeing, seeming, appearing, indicating, and proving are different evidential operations. </w:t>
      </w:r>
      <w:r>
        <w:rPr>
          <w:b w:val="0"/>
          <w:i/>
        </w:rPr>
        <w:t>Videri</w:t>
      </w:r>
      <w:r>
        <w:rPr>
          <w:b w:val="0"/>
          <w:i w:val="0"/>
        </w:rPr>
        <w:t xml:space="preserve"> can report appearance without deciding its explanation; </w:t>
      </w:r>
      <w:r>
        <w:rPr>
          <w:b w:val="0"/>
          <w:i/>
        </w:rPr>
        <w:t>apparere</w:t>
      </w:r>
      <w:r>
        <w:rPr>
          <w:b w:val="0"/>
          <w:i w:val="0"/>
        </w:rPr>
        <w:t xml:space="preserve"> can mean becoming manifest. </w:t>
      </w:r>
      <w:r>
        <w:rPr>
          <w:b w:val="0"/>
          <w:i/>
        </w:rPr>
        <w:t>Indicare</w:t>
      </w:r>
      <w:r>
        <w:rPr>
          <w:b w:val="0"/>
          <w:i w:val="0"/>
        </w:rPr>
        <w:t xml:space="preserve">, </w:t>
      </w:r>
      <w:r>
        <w:rPr>
          <w:b w:val="0"/>
          <w:i/>
        </w:rPr>
        <w:t>ostendere</w:t>
      </w:r>
      <w:r>
        <w:rPr>
          <w:b w:val="0"/>
          <w:i w:val="0"/>
        </w:rPr>
        <w:t xml:space="preserve">, and </w:t>
      </w:r>
      <w:r>
        <w:rPr>
          <w:b w:val="0"/>
          <w:i/>
        </w:rPr>
        <w:t>significare</w:t>
      </w:r>
      <w:r>
        <w:rPr>
          <w:b w:val="0"/>
          <w:i w:val="0"/>
        </w:rPr>
        <w:t xml:space="preserve"> draw attention to evidence, while a clause such as </w:t>
      </w:r>
      <w:r>
        <w:rPr>
          <w:b w:val="0"/>
          <w:i/>
        </w:rPr>
        <w:t>ut existimat</w:t>
      </w:r>
      <w:r>
        <w:rPr>
          <w:b w:val="0"/>
          <w:i w:val="0"/>
        </w:rPr>
        <w:t xml:space="preserve"> assigns a belief to someone.</w:t>
      </w:r>
    </w:p>
    <w:p>
      <w:pPr>
        <w:keepNext/>
        <w:widowControl/>
      </w:pPr>
      <w:r>
        <w:rPr>
          <w:b/>
          <w:i w:val="0"/>
        </w:rPr>
        <w:t>In the Platonic Theology.</w:t>
      </w:r>
    </w:p>
    <w:p>
      <w:pPr>
        <w:widowControl/>
      </w:pPr>
      <w:r>
        <w:rPr>
          <w:b w:val="0"/>
          <w:i w:val="0"/>
        </w:rPr>
        <w:t>Apparent generation without bodily seeds is an explanandum, not the conclusion that no productive seed exists. Likewise, movements appearing self-originating may be caused by an unseen mover. Ficino explicitly illustrates that problem with iron whose magnet is hidden. An observer’s sight of motion does not itself identify the cause. At the same time, the text freely argues from observed order, differing bodily constitutions, and visible effects to invisible souls. A reader should preserve that inferential step rather than presenting the soul as something directly observed.</w:t>
      </w:r>
    </w:p>
    <w:p>
      <w:pPr>
        <w:widowControl/>
      </w:pPr>
      <w:r>
        <w:rPr>
          <w:b w:val="0"/>
          <w:i w:val="0"/>
        </w:rPr>
        <w:t>The discussion of airy and fiery creatures also distinguishes lack of visibility from absence: Ficino attributes it to the lack of sufficient brightness or density for earthly eyes. Claims about visible or touchable daemons are then assigned to Zoroaster and Porphyry. This is a reported explanation of alleged evidence, not independent verification of the creatures.</w:t>
      </w:r>
    </w:p>
    <w:p>
      <w:pPr>
        <w:keepNext/>
        <w:widowControl/>
      </w:pPr>
      <w:r>
        <w:rPr>
          <w:b/>
          <w:i w:val="0"/>
        </w:rPr>
        <w:t>The places.</w:t>
      </w:r>
    </w:p>
    <w:p>
      <w:pPr>
        <w:ind w:left="187" w:hanging="187"/>
      </w:pPr>
      <w:r>
        <w:t xml:space="preserve">• </w:t>
      </w:r>
      <w:r>
        <w:rPr>
          <w:b/>
          <w:i w:val="0"/>
        </w:rPr>
        <w:t>IV.1.3 and IV.1.7, PDF pp. 282–285:</w:t>
      </w:r>
      <w:r>
        <w:rPr>
          <w:b w:val="0"/>
          <w:i w:val="0"/>
        </w:rPr>
        <w:t xml:space="preserve"> plants and creatures appear to lack bodily seeds</w:t>
      </w:r>
    </w:p>
    <w:p>
      <w:pPr>
        <w:ind w:left="187" w:hanging="187"/>
      </w:pPr>
      <w:r>
        <w:t xml:space="preserve">• </w:t>
      </w:r>
      <w:r>
        <w:rPr>
          <w:b/>
          <w:i w:val="0"/>
        </w:rPr>
        <w:t>IV.1.38–39, pp. 300–303:</w:t>
      </w:r>
      <w:r>
        <w:rPr>
          <w:b w:val="0"/>
          <w:i w:val="0"/>
        </w:rPr>
        <w:t xml:space="preserve"> visibility, density, brightness, and attributed daemon reports are distinguished</w:t>
      </w:r>
    </w:p>
    <w:p>
      <w:pPr>
        <w:ind w:left="187" w:hanging="187"/>
      </w:pPr>
      <w:r>
        <w:t xml:space="preserve">• </w:t>
      </w:r>
      <w:r>
        <w:rPr>
          <w:b/>
          <w:i w:val="0"/>
        </w:rPr>
        <w:t>IV.1.74, pp. 320–321:</w:t>
      </w:r>
      <w:r>
        <w:rPr>
          <w:b w:val="0"/>
          <w:i w:val="0"/>
        </w:rPr>
        <w:t xml:space="preserve"> a hidden magnet exposes an error in inferring self-motion from visible movement</w:t>
      </w:r>
    </w:p>
    <w:p>
      <w:pPr>
        <w:ind w:left="187" w:hanging="187"/>
      </w:pPr>
      <w:r>
        <w:t xml:space="preserve">• </w:t>
      </w:r>
      <w:r>
        <w:rPr>
          <w:b/>
          <w:i w:val="0"/>
        </w:rPr>
        <w:t>IV.1.79 and IV.1.84–85, pp. 322–327:</w:t>
      </w:r>
      <w:r>
        <w:rPr>
          <w:b w:val="0"/>
          <w:i w:val="0"/>
        </w:rPr>
        <w:t xml:space="preserve"> organic shape, constitution, and cosmic order supply arguments for soul and intelligence</w:t>
      </w:r>
    </w:p>
    <w:p>
      <w:pPr>
        <w:keepNext/>
        <w:widowControl/>
      </w:pPr>
      <w:r>
        <w:rPr>
          <w:b/>
          <w:i w:val="0"/>
        </w:rPr>
        <w:t>In this edition.</w:t>
      </w:r>
    </w:p>
    <w:p>
      <w:pPr>
        <w:widowControl/>
      </w:pPr>
      <w:r>
        <w:t>“</w:t>
      </w:r>
      <w:r>
        <w:rPr>
          <w:b w:val="0"/>
          <w:i w:val="0"/>
        </w:rPr>
        <w:t>Seem,</w:t>
      </w:r>
      <w:r>
        <w:t>”</w:t>
      </w:r>
      <w:r>
        <w:rPr>
          <w:b w:val="0"/>
          <w:i w:val="0"/>
        </w:rPr>
        <w:t xml:space="preserve"> </w:t>
      </w:r>
      <w:r>
        <w:t>“</w:t>
      </w:r>
      <w:r>
        <w:rPr>
          <w:b w:val="0"/>
          <w:i w:val="0"/>
        </w:rPr>
        <w:t>appear,</w:t>
      </w:r>
      <w:r>
        <w:t>”</w:t>
      </w:r>
      <w:r>
        <w:rPr>
          <w:b w:val="0"/>
          <w:i w:val="0"/>
        </w:rPr>
        <w:t xml:space="preserve"> </w:t>
      </w:r>
      <w:r>
        <w:t>“</w:t>
      </w:r>
      <w:r>
        <w:rPr>
          <w:b w:val="0"/>
          <w:i w:val="0"/>
        </w:rPr>
        <w:t>show,</w:t>
      </w:r>
      <w:r>
        <w:t>”</w:t>
      </w:r>
      <w:r>
        <w:rPr>
          <w:b w:val="0"/>
          <w:i w:val="0"/>
        </w:rPr>
        <w:t xml:space="preserve"> and </w:t>
      </w:r>
      <w:r>
        <w:t>“</w:t>
      </w:r>
      <w:r>
        <w:rPr>
          <w:b w:val="0"/>
          <w:i w:val="0"/>
        </w:rPr>
        <w:t>as … believes</w:t>
      </w:r>
      <w:r>
        <w:t>”</w:t>
      </w:r>
      <w:r>
        <w:rPr>
          <w:b w:val="0"/>
          <w:i w:val="0"/>
        </w:rPr>
        <w:t xml:space="preserve"> are small but substantive qualifications. Removing them can turn an appearance into an established cause or an attributed report into Ficino’s direct observation.</w:t>
      </w:r>
    </w:p>
    <w:p>
      <w:pPr>
        <w:keepNext/>
        <w:widowControl/>
      </w:pPr>
      <w:r>
        <w:rPr>
          <w:b/>
          <w:i w:val="0"/>
        </w:rPr>
        <w:t>See also.</w:t>
      </w:r>
    </w:p>
    <w:p>
      <w:pPr>
        <w:widowControl/>
      </w:pPr>
      <w:hyperlink w:anchor="hidden-mover-and-magnet">
        <w:r>
          <w:rPr>
            <w:color w:val="000000"/>
          </w:rPr>
          <w:t xml:space="preserve">Hidden mover and magnet</w:t>
        </w:r>
      </w:hyperlink>
      <w:r>
        <w:rPr>
          <w:b w:val="0"/>
          <w:i w:val="0"/>
        </w:rPr>
        <w:t xml:space="preserve">; </w:t>
      </w:r>
      <w:hyperlink w:anchor="daemons">
        <w:r>
          <w:rPr>
            <w:color w:val="000000"/>
          </w:rPr>
          <w:t xml:space="preserve">Daemons</w:t>
        </w:r>
      </w:hyperlink>
      <w:r>
        <w:rPr>
          <w:b w:val="0"/>
          <w:i w:val="0"/>
        </w:rPr>
        <w:t xml:space="preserve">; </w:t>
      </w:r>
      <w:hyperlink w:anchor="putrefaction-and-propagation">
        <w:r>
          <w:rPr>
            <w:color w:val="000000"/>
          </w:rPr>
          <w:t xml:space="preserve">Putrefaction and propagation</w:t>
        </w:r>
      </w:hyperlink>
      <w:r>
        <w:rPr>
          <w:b w:val="0"/>
          <w:i w:val="0"/>
        </w:rPr>
        <w:t xml:space="preserve">; </w:t>
      </w:r>
      <w:hyperlink w:anchor="assertion-report-and-reservation">
        <w:r>
          <w:rPr>
            <w:color w:val="000000"/>
          </w:rPr>
          <w:t xml:space="preserve">Assertion, report, and reservation</w:t>
        </w:r>
      </w:hyperlink>
      <w:r>
        <w:rPr>
          <w:b w:val="0"/>
          <w:i w:val="0"/>
        </w:rPr>
        <w:t>.</w:t>
      </w:r>
    </w:p>
    <w:p>
      <w:bookmarkStart w:id="204" w:name="self-knowledge"/>
      <w:pPr>
        <w:pStyle w:val="Heading2"/>
      </w:pPr>
      <w:r>
        <w:rPr>
          <w:b w:val="0"/>
          <w:i w:val="0"/>
        </w:rPr>
        <w:t>Self knowledge</w:t>
      </w:r>
      <w:bookmarkEnd w:id="204"/>
    </w:p>
    <w:p>
      <w:pPr>
        <w:keepNext/>
        <w:widowControl/>
      </w:pPr>
      <w:r>
        <w:rPr>
          <w:b/>
          <w:i w:val="0"/>
        </w:rPr>
        <w:t>Latin:</w:t>
      </w:r>
      <w:r>
        <w:rPr>
          <w:b w:val="0"/>
          <w:i w:val="0"/>
        </w:rPr>
        <w:t xml:space="preserve"> </w:t>
      </w:r>
      <w:r>
        <w:rPr>
          <w:b w:val="0"/>
          <w:i/>
        </w:rPr>
        <w:t>se ipsum intelligere</w:t>
      </w:r>
      <w:r>
        <w:rPr>
          <w:b w:val="0"/>
          <w:i w:val="0"/>
        </w:rPr>
        <w:t xml:space="preserve"> (understand oneself); </w:t>
      </w:r>
      <w:r>
        <w:rPr>
          <w:b w:val="0"/>
          <w:i/>
        </w:rPr>
        <w:t>se ipsum cognoscere</w:t>
      </w:r>
      <w:r>
        <w:rPr>
          <w:b w:val="0"/>
          <w:i w:val="0"/>
        </w:rPr>
        <w:t xml:space="preserve"> (know oneself); </w:t>
      </w:r>
      <w:r>
        <w:rPr>
          <w:b w:val="0"/>
          <w:i/>
        </w:rPr>
        <w:t>se inspicere</w:t>
      </w:r>
      <w:r>
        <w:rPr>
          <w:b w:val="0"/>
          <w:i w:val="0"/>
        </w:rPr>
        <w:t xml:space="preserve"> (behold oneself); </w:t>
      </w:r>
      <w:r>
        <w:rPr>
          <w:b w:val="0"/>
          <w:i/>
        </w:rPr>
        <w:t>obiectum</w:t>
      </w:r>
      <w:r>
        <w:rPr>
          <w:b w:val="0"/>
          <w:i w:val="0"/>
        </w:rPr>
        <w:t xml:space="preserve"> (object); </w:t>
      </w:r>
      <w:r>
        <w:rPr>
          <w:b w:val="0"/>
          <w:i/>
        </w:rPr>
        <w:t>Nosce te ipsum</w:t>
      </w:r>
      <w:r>
        <w:rPr>
          <w:b w:val="0"/>
          <w:i w:val="0"/>
        </w:rPr>
        <w:t xml:space="preserve">; </w:t>
      </w:r>
      <w:r>
        <w:rPr>
          <w:b w:val="0"/>
          <w:i/>
        </w:rPr>
        <w:t>speculum</w:t>
      </w:r>
      <w:r>
        <w:rPr>
          <w:b w:val="0"/>
          <w:i w:val="0"/>
        </w:rPr>
        <w:t xml:space="preserve">; </w:t>
      </w:r>
      <w:r>
        <w:rPr>
          <w:b w:val="0"/>
          <w:i/>
        </w:rPr>
        <w:t>animadvertere; agnoscere; se ipsam … pingere; mores</w:t>
      </w:r>
    </w:p>
    <w:p>
      <w:pPr>
        <w:keepNext/>
        <w:widowControl/>
      </w:pPr>
      <w:r>
        <w:rPr>
          <w:b/>
          <w:i w:val="0"/>
        </w:rPr>
        <w:t>The word.</w:t>
      </w:r>
    </w:p>
    <w:p>
      <w:pPr>
        <w:widowControl/>
      </w:pPr>
      <w:r>
        <w:rPr>
          <w:b w:val="0"/>
          <w:i w:val="0"/>
        </w:rPr>
        <w:t>The reflexive phrases se ipsum intelligere, cognoscere, and inspicere identify the knower as object; speculum supplies a mirror-image. Human self-examination and God’s knowledge through his own essence are distinct applications.</w:t>
      </w:r>
    </w:p>
    <w:p>
      <w:pPr>
        <w:widowControl/>
      </w:pPr>
      <w:r>
        <w:rPr>
          <w:b w:val="0"/>
          <w:i w:val="0"/>
        </w:rPr>
        <w:t>Animadvertere apprehends or attends to; agnoscere recognizes; pingere paints or represents. Mores here are character or conduct, not simply inherited customs.</w:t>
      </w:r>
    </w:p>
    <w:p>
      <w:pPr>
        <w:keepNext/>
        <w:widowControl/>
      </w:pPr>
      <w:r>
        <w:rPr>
          <w:b/>
          <w:i w:val="0"/>
        </w:rPr>
        <w:t>In the Platonic Theology.</w:t>
      </w:r>
    </w:p>
    <w:p>
      <w:pPr>
        <w:widowControl/>
      </w:pPr>
      <w:r>
        <w:rPr>
          <w:b w:val="0"/>
          <w:i w:val="0"/>
        </w:rPr>
        <w:t xml:space="preserve">The Proem introduces human self-knowledge through </w:t>
      </w:r>
      <w:r>
        <w:rPr>
          <w:b w:val="0"/>
          <w:i/>
        </w:rPr>
        <w:t>Nosce te ipsum</w:t>
      </w:r>
      <w:r>
        <w:rPr>
          <w:b w:val="0"/>
          <w:i w:val="0"/>
        </w:rPr>
        <w:t xml:space="preserve">, </w:t>
      </w:r>
      <w:r>
        <w:t>“</w:t>
      </w:r>
      <w:r>
        <w:rPr>
          <w:b w:val="0"/>
          <w:i w:val="0"/>
        </w:rPr>
        <w:t>Know thyself.</w:t>
      </w:r>
      <w:r>
        <w:t>”</w:t>
      </w:r>
      <w:r>
        <w:rPr>
          <w:b w:val="0"/>
          <w:i w:val="0"/>
        </w:rPr>
        <w:t xml:space="preserve"> Ficino presents Plato as interpreting the oracle to mean that whoever desires knowledge of God must first know himself. Soul is a mirror in which the divine countenance shines; Proem.7 makes the created mind a central mirror through which the Creator’s works and mind can be contemplated and honored. This is Ficino’s reading of the oracle within his theological project. Human self-examination is a preparatory route through a received divine likeness, distinct from God’s underived self-knowledge.</w:t>
      </w:r>
    </w:p>
    <w:p>
      <w:pPr>
        <w:widowControl/>
      </w:pPr>
      <w:r>
        <w:rPr>
          <w:b w:val="0"/>
          <w:i w:val="0"/>
        </w:rPr>
        <w:t>God knows himself first because perfect intelligence must possess the closest possible relation to its object and lack dependence upon something external. Since God’s understanding is his essence, an outside object that perfected his knowledge would also perfect his being, contradicting his status as first. This self-directed knowledge does not confine God to ignorance of the world. In knowing himself as the cause of all being, he knows the entire range of his power and every mode in which his goodness can be communicated. Ficino first explains knowledge through an ordered sequence of causes, then explicitly says God need not inspect these causes outside himself. He knows particulars distinctly through his own essence. The same reasoning extends to infinite possibilities: knowing the infinite exemplar is knowing its inexhaustible modes of imitation. The self-knowledge vocabulary therefore unites divine independence with comprehensive awareness. It is comprehensive knowledge without successive psychological introspection or withdrawal from lesser things.</w:t>
      </w:r>
    </w:p>
    <w:p>
      <w:pPr>
        <w:widowControl/>
      </w:pPr>
      <w:r>
        <w:rPr>
          <w:b w:val="0"/>
          <w:i w:val="0"/>
        </w:rPr>
        <w:t>Book III extends the earlier divine self-knowledge discussion to soul’s reflective and formative activity. Soul paints itself in the likeness of higher beings by contemplation, character, and action. Later its unfolding and refolding of powers produces apprehension of itself and its contents; recognizing its own spiritual essence is termed intellection. This concerns a temporal, received, self-forming life, not the divine identity of knowing and being.</w:t>
      </w:r>
    </w:p>
    <w:p>
      <w:pPr>
        <w:keepNext/>
        <w:widowControl/>
      </w:pPr>
      <w:r>
        <w:rPr>
          <w:b/>
          <w:i w:val="0"/>
        </w:rPr>
        <w:t>The places.</w:t>
      </w:r>
    </w:p>
    <w:p>
      <w:pPr>
        <w:ind w:left="187" w:hanging="187"/>
      </w:pPr>
      <w:r>
        <w:t xml:space="preserve">• </w:t>
      </w:r>
      <w:r>
        <w:rPr>
          <w:b/>
          <w:i w:val="0"/>
        </w:rPr>
        <w:t>Proem.4 and Proem.7, PDF pp. 6–9</w:t>
      </w:r>
      <w:r>
        <w:rPr>
          <w:b w:val="0"/>
          <w:i w:val="0"/>
        </w:rPr>
        <w:t>. Knowledge of self and created mind’s mirror prepare knowledge and worship of the Creator.</w:t>
      </w:r>
    </w:p>
    <w:p>
      <w:pPr>
        <w:ind w:left="187" w:hanging="187"/>
      </w:pPr>
      <w:r>
        <w:t xml:space="preserve">• </w:t>
      </w:r>
      <w:r>
        <w:rPr>
          <w:b/>
          <w:i w:val="0"/>
        </w:rPr>
        <w:t>II.9.7–15, PDF pp. 166–171</w:t>
      </w:r>
      <w:r>
        <w:rPr>
          <w:b w:val="0"/>
          <w:i w:val="0"/>
        </w:rPr>
        <w:t>. God’s immediate relation to his own essence grounds knowledge without an externally perfecting object.</w:t>
      </w:r>
    </w:p>
    <w:p>
      <w:pPr>
        <w:ind w:left="187" w:hanging="187"/>
      </w:pPr>
      <w:r>
        <w:t xml:space="preserve">• </w:t>
      </w:r>
      <w:r>
        <w:rPr>
          <w:b/>
          <w:i w:val="0"/>
        </w:rPr>
        <w:t>II.9.20–21, PDF pp. 172–175</w:t>
      </w:r>
      <w:r>
        <w:rPr>
          <w:b w:val="0"/>
          <w:i w:val="0"/>
        </w:rPr>
        <w:t>. Knowing things in himself is explicitly distinguished from inspecting their images outside himself.</w:t>
      </w:r>
    </w:p>
    <w:p>
      <w:pPr>
        <w:ind w:left="187" w:hanging="187"/>
      </w:pPr>
      <w:r>
        <w:t xml:space="preserve">• </w:t>
      </w:r>
      <w:r>
        <w:rPr>
          <w:b/>
          <w:i w:val="0"/>
        </w:rPr>
        <w:t>II.10.2–12, PDF pp. 176–181</w:t>
      </w:r>
      <w:r>
        <w:rPr>
          <w:b w:val="0"/>
          <w:i w:val="0"/>
        </w:rPr>
        <w:t>. Knowledge of the infinite exemplar extends to its inexhaustible possible imitations.</w:t>
      </w:r>
    </w:p>
    <w:p>
      <w:pPr>
        <w:widowControl/>
      </w:pPr>
      <w:r>
        <w:rPr>
          <w:b/>
          <w:i w:val="0"/>
        </w:rPr>
        <w:t>Further passage references.</w:t>
      </w:r>
      <w:r>
        <w:rPr>
          <w:b w:val="0"/>
          <w:i w:val="0"/>
        </w:rPr>
        <w:t xml:space="preserve"> Proem.4, pp. 6–7; Proem.7, pp. 8–9; II.9.7–15, pp. 166–171; II.9.20–21, pp. 172–175; II.10.2–12, pp. 176–181</w:t>
      </w:r>
    </w:p>
    <w:p>
      <w:pPr>
        <w:widowControl/>
        <w:keepNext/>
      </w:pPr>
      <w:r>
        <w:rPr>
          <w:b w:val="0"/>
          <w:i w:val="0"/>
        </w:rPr>
        <w:t>Selected annotated passages.</w:t>
      </w:r>
    </w:p>
    <w:p>
      <w:pPr>
        <w:ind w:left="187" w:hanging="187"/>
      </w:pPr>
      <w:r>
        <w:t xml:space="preserve">• </w:t>
      </w:r>
      <w:r>
        <w:rPr>
          <w:b/>
          <w:i w:val="0"/>
        </w:rPr>
        <w:t>III.1.31 (Latin PDF p. 258; English PDF p. 259).</w:t>
      </w:r>
      <w:r>
        <w:rPr>
          <w:b w:val="0"/>
          <w:i w:val="0"/>
        </w:rPr>
        <w:t xml:space="preserve"> Self-painting includes ethical character and action.</w:t>
      </w:r>
    </w:p>
    <w:p>
      <w:pPr>
        <w:ind w:left="187" w:hanging="187"/>
      </w:pPr>
      <w:r>
        <w:t xml:space="preserve">• </w:t>
      </w:r>
      <w:r>
        <w:rPr>
          <w:b/>
          <w:i w:val="0"/>
        </w:rPr>
        <w:t>III.2.28 (Latin PDF p. 276; English PDF p. 277).</w:t>
      </w:r>
      <w:r>
        <w:rPr>
          <w:b w:val="0"/>
          <w:i w:val="0"/>
        </w:rPr>
        <w:t xml:space="preserve"> Self-apprehension is articulated through a sequence of knowing verbs.</w:t>
      </w:r>
    </w:p>
    <w:p>
      <w:pPr>
        <w:keepNext/>
        <w:widowControl/>
      </w:pPr>
      <w:r>
        <w:rPr>
          <w:b/>
          <w:i w:val="0"/>
        </w:rPr>
        <w:t>In this edition.</w:t>
      </w:r>
    </w:p>
    <w:p>
      <w:pPr>
        <w:widowControl/>
      </w:pPr>
      <w:r>
        <w:t>“</w:t>
      </w:r>
      <w:r>
        <w:rPr>
          <w:b w:val="0"/>
          <w:i w:val="0"/>
        </w:rPr>
        <w:t>Know thyself</w:t>
      </w:r>
      <w:r>
        <w:t>”</w:t>
      </w:r>
      <w:r>
        <w:rPr>
          <w:b w:val="0"/>
          <w:i w:val="0"/>
        </w:rPr>
        <w:t xml:space="preserve"> is the oracle as Ficino interprets it in the Proem. The mirror is explicitly introduced as a comparison, and divine self-knowledge should not be translated into successive introspection or ignorance of external effects.</w:t>
      </w:r>
    </w:p>
    <w:p>
      <w:pPr>
        <w:widowControl/>
      </w:pPr>
      <w:r>
        <w:t>“</w:t>
      </w:r>
      <w:r>
        <w:rPr>
          <w:b w:val="0"/>
          <w:i w:val="0"/>
        </w:rPr>
        <w:t>Character</w:t>
      </w:r>
      <w:r>
        <w:t>”</w:t>
      </w:r>
      <w:r>
        <w:rPr>
          <w:b w:val="0"/>
          <w:i w:val="0"/>
        </w:rPr>
        <w:t xml:space="preserve"> for moribus keeps the ethical dimension of the painting metaphor. </w:t>
      </w:r>
      <w:r>
        <w:t>“</w:t>
      </w:r>
      <w:r>
        <w:rPr>
          <w:b w:val="0"/>
          <w:i w:val="0"/>
        </w:rPr>
        <w:t>Recognizes</w:t>
      </w:r>
      <w:r>
        <w:t>”</w:t>
      </w:r>
      <w:r>
        <w:rPr>
          <w:b w:val="0"/>
          <w:i w:val="0"/>
        </w:rPr>
        <w:t xml:space="preserve"> does not alone imply recollection of a previously learned fact; its object here is soul’s spiritual essence.</w:t>
      </w:r>
    </w:p>
    <w:p>
      <w:pPr>
        <w:keepNext/>
        <w:widowControl/>
      </w:pPr>
      <w:r>
        <w:rPr>
          <w:b/>
          <w:i w:val="0"/>
        </w:rPr>
        <w:t>See also.</w:t>
      </w:r>
    </w:p>
    <w:p>
      <w:pPr>
        <w:widowControl/>
      </w:pPr>
      <w:hyperlink w:anchor="intellect-and-intellection">
        <w:r>
          <w:rPr>
            <w:color w:val="000000"/>
          </w:rPr>
          <w:t xml:space="preserve">Intellect and intellection</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ideas-and-exemplars">
        <w:r>
          <w:rPr>
            <w:color w:val="000000"/>
          </w:rPr>
          <w:t xml:space="preserve">Ideas and exemplars</w:t>
        </w:r>
      </w:hyperlink>
      <w:r>
        <w:rPr>
          <w:b w:val="0"/>
          <w:i w:val="0"/>
        </w:rPr>
        <w:t xml:space="preserve">; </w:t>
      </w:r>
      <w:hyperlink w:anchor="universals-and-individuals">
        <w:r>
          <w:rPr>
            <w:color w:val="000000"/>
          </w:rPr>
          <w:t xml:space="preserve">Universals and individuals</w:t>
        </w:r>
      </w:hyperlink>
      <w:r>
        <w:rPr>
          <w:b w:val="0"/>
          <w:i w:val="0"/>
        </w:rPr>
        <w:t xml:space="preserve">; </w:t>
      </w:r>
      <w:hyperlink w:anchor="essence-and-substance">
        <w:r>
          <w:rPr>
            <w:color w:val="000000"/>
          </w:rPr>
          <w:t xml:space="preserve">Essence and substance</w:t>
        </w:r>
      </w:hyperlink>
      <w:r>
        <w:rPr>
          <w:b w:val="0"/>
          <w:i w:val="0"/>
        </w:rPr>
        <w:t xml:space="preserve">; </w:t>
      </w:r>
      <w:hyperlink w:anchor="philosophy-and-theology">
        <w:r>
          <w:rPr>
            <w:color w:val="000000"/>
          </w:rPr>
          <w:t xml:space="preserve">Philosophy and theology</w:t>
        </w:r>
      </w:hyperlink>
      <w:r>
        <w:rPr>
          <w:b w:val="0"/>
          <w:i w:val="0"/>
        </w:rPr>
        <w:t xml:space="preserve">; </w:t>
      </w:r>
      <w:hyperlink w:anchor="image-and-likeness">
        <w:r>
          <w:rPr>
            <w:color w:val="000000"/>
          </w:rPr>
          <w:t xml:space="preserve">Image and likeness</w:t>
        </w:r>
      </w:hyperlink>
    </w:p>
    <w:p>
      <w:pPr>
        <w:widowControl/>
      </w:pPr>
      <w:hyperlink w:anchor="apelles-and-the-meadow">
        <w:r>
          <w:rPr>
            <w:color w:val="000000"/>
          </w:rPr>
          <w:t xml:space="preserve">Apelles and the meadow</w:t>
        </w:r>
      </w:hyperlink>
      <w:r>
        <w:rPr>
          <w:b w:val="0"/>
          <w:i w:val="0"/>
        </w:rPr>
        <w:t xml:space="preserve">; </w:t>
      </w:r>
      <w:hyperlink w:anchor="looking-and-recognizing">
        <w:r>
          <w:rPr>
            <w:color w:val="000000"/>
          </w:rPr>
          <w:t xml:space="preserve">Looking and recognizing</w:t>
        </w:r>
      </w:hyperlink>
      <w:r>
        <w:rPr>
          <w:b w:val="0"/>
          <w:i w:val="0"/>
        </w:rPr>
        <w:t xml:space="preserve">; </w:t>
      </w:r>
      <w:hyperlink w:anchor="spiritual-union">
        <w:r>
          <w:rPr>
            <w:color w:val="000000"/>
          </w:rPr>
          <w:t xml:space="preserve">Spiritual union</w:t>
        </w:r>
      </w:hyperlink>
      <w:r>
        <w:rPr>
          <w:b w:val="0"/>
          <w:i w:val="0"/>
        </w:rPr>
        <w:t>.</w:t>
      </w:r>
    </w:p>
    <w:p>
      <w:bookmarkStart w:id="205" w:name="self-production-and-reservation"/>
      <w:pPr>
        <w:pStyle w:val="Heading2"/>
      </w:pPr>
      <w:r>
        <w:rPr>
          <w:b w:val="0"/>
          <w:i w:val="0"/>
        </w:rPr>
        <w:t>Self-production and reservation</w:t>
      </w:r>
      <w:bookmarkEnd w:id="205"/>
    </w:p>
    <w:p>
      <w:pPr>
        <w:keepNext/>
        <w:widowControl/>
      </w:pPr>
      <w:r>
        <w:rPr>
          <w:b/>
          <w:i w:val="0"/>
        </w:rPr>
        <w:t>Latin:</w:t>
      </w:r>
      <w:r>
        <w:rPr>
          <w:b w:val="0"/>
          <w:i w:val="0"/>
        </w:rPr>
        <w:t xml:space="preserve"> </w:t>
      </w:r>
      <w:r>
        <w:rPr>
          <w:b w:val="0"/>
          <w:i/>
        </w:rPr>
        <w:t>semet ipsum agere; gignere; producere; ponere; signare in esse; pervigil; nixus</w:t>
      </w:r>
    </w:p>
    <w:p>
      <w:pPr>
        <w:keepNext/>
        <w:widowControl/>
      </w:pPr>
      <w:r>
        <w:rPr>
          <w:b/>
          <w:i w:val="0"/>
        </w:rPr>
        <w:t>The word.</w:t>
      </w:r>
    </w:p>
    <w:p>
      <w:pPr>
        <w:widowControl/>
      </w:pPr>
      <w:r>
        <w:rPr>
          <w:b w:val="0"/>
          <w:i w:val="0"/>
        </w:rPr>
        <w:t>Agere ranges from acting to producing; gignere means begetting; producere bringing forth. Ponere and signare in esse evoke positing or sealing in being. Pervigil is ever-watchful; nixus is effort or directed striving. The text actively interprets one verb through another.</w:t>
      </w:r>
    </w:p>
    <w:p>
      <w:pPr>
        <w:keepNext/>
        <w:widowControl/>
      </w:pPr>
      <w:r>
        <w:rPr>
          <w:b/>
          <w:i w:val="0"/>
        </w:rPr>
        <w:t>In the Platonic Theology.</w:t>
      </w:r>
    </w:p>
    <w:p>
      <w:pPr>
        <w:widowControl/>
      </w:pPr>
      <w:r>
        <w:rPr>
          <w:b w:val="0"/>
          <w:i w:val="0"/>
        </w:rPr>
        <w:t xml:space="preserve">Ficino tentatively connects the followers of Zoroaster’s statement that God in some manner makes himself with the identity of divine being, understanding, and willing. He then reports how Plotinus explained such language: the divine act remains within itself, is infinitely fruitful, and directs its entire striving toward itself. The successive glosses </w:t>
      </w:r>
      <w:r>
        <w:t>“</w:t>
      </w:r>
      <w:r>
        <w:rPr>
          <w:b w:val="0"/>
          <w:i w:val="0"/>
        </w:rPr>
        <w:t>acts,</w:t>
      </w:r>
      <w:r>
        <w:t>”</w:t>
      </w:r>
      <w:r>
        <w:rPr>
          <w:b w:val="0"/>
          <w:i w:val="0"/>
        </w:rPr>
        <w:t xml:space="preserve"> </w:t>
      </w:r>
      <w:r>
        <w:t>“</w:t>
      </w:r>
      <w:r>
        <w:rPr>
          <w:b w:val="0"/>
          <w:i w:val="0"/>
        </w:rPr>
        <w:t>begets,</w:t>
      </w:r>
      <w:r>
        <w:t>”</w:t>
      </w:r>
      <w:r>
        <w:rPr>
          <w:b w:val="0"/>
          <w:i w:val="0"/>
        </w:rPr>
        <w:t xml:space="preserve"> </w:t>
      </w:r>
      <w:r>
        <w:t>“</w:t>
      </w:r>
      <w:r>
        <w:rPr>
          <w:b w:val="0"/>
          <w:i w:val="0"/>
        </w:rPr>
        <w:t>produces,</w:t>
      </w:r>
      <w:r>
        <w:t>”</w:t>
      </w:r>
      <w:r>
        <w:rPr>
          <w:b w:val="0"/>
          <w:i w:val="0"/>
        </w:rPr>
        <w:t xml:space="preserve"> and </w:t>
      </w:r>
      <w:r>
        <w:t>“</w:t>
      </w:r>
      <w:r>
        <w:rPr>
          <w:b w:val="0"/>
          <w:i w:val="0"/>
        </w:rPr>
        <w:t>posits or seals</w:t>
      </w:r>
      <w:r>
        <w:t>”</w:t>
      </w:r>
      <w:r>
        <w:rPr>
          <w:b w:val="0"/>
          <w:i w:val="0"/>
        </w:rPr>
        <w:t xml:space="preserve"> work to distinguish self-grounded actuality from production of an external effect. The conclusion is explicitly what Plotinus wishes to establish. Ficino immediately reserves judgment to God and asks to affirm only what is worthy of God. His next paragraph returns to the narrower proposition that supreme freedom and necessity coincide. Suppressing that reservation would convert an attributed exposition into an unqualified doctrine of a God who first does not exist and then creates himself.</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II.12.8 (Latin PDF p. 206; English PDF p. 207).</w:t>
      </w:r>
      <w:r>
        <w:rPr>
          <w:b w:val="0"/>
          <w:i w:val="0"/>
        </w:rPr>
        <w:t xml:space="preserve"> Forsitan and quodammodo qualify the attribution to Zoroaster’s followers.</w:t>
      </w:r>
    </w:p>
    <w:p>
      <w:pPr>
        <w:ind w:left="187" w:hanging="187"/>
      </w:pPr>
      <w:r>
        <w:t xml:space="preserve">• </w:t>
      </w:r>
      <w:r>
        <w:rPr>
          <w:b/>
          <w:i w:val="0"/>
        </w:rPr>
        <w:t>II.12.9 (Latin PDF p. 206; English PDF p. 207).</w:t>
      </w:r>
      <w:r>
        <w:rPr>
          <w:b w:val="0"/>
          <w:i w:val="0"/>
        </w:rPr>
        <w:t xml:space="preserve"> Plotinus is introduced as the expositor.</w:t>
      </w:r>
    </w:p>
    <w:p>
      <w:pPr>
        <w:ind w:left="187" w:hanging="187"/>
      </w:pPr>
      <w:r>
        <w:t xml:space="preserve">• </w:t>
      </w:r>
      <w:r>
        <w:rPr>
          <w:b/>
          <w:i w:val="0"/>
        </w:rPr>
        <w:t>II.12.10 (Latin PDF p. 206; English PDF p. 207).</w:t>
      </w:r>
      <w:r>
        <w:rPr>
          <w:b w:val="0"/>
          <w:i w:val="0"/>
        </w:rPr>
        <w:t xml:space="preserve"> Fruitful inward activity is distinguished from an external product.</w:t>
      </w:r>
    </w:p>
    <w:p>
      <w:pPr>
        <w:ind w:left="187" w:hanging="187"/>
      </w:pPr>
      <w:r>
        <w:t xml:space="preserve">• </w:t>
      </w:r>
      <w:r>
        <w:rPr>
          <w:b/>
          <w:i w:val="0"/>
        </w:rPr>
        <w:t>II.12.11 (Latin PDF p. 208; English PDF p. 209).</w:t>
      </w:r>
      <w:r>
        <w:rPr>
          <w:b w:val="0"/>
          <w:i w:val="0"/>
        </w:rPr>
        <w:t xml:space="preserve"> Ficino marks Plotinus’s conclusion and explicitly reserves judgment.</w:t>
      </w:r>
    </w:p>
    <w:p>
      <w:pPr>
        <w:keepNext/>
        <w:widowControl/>
      </w:pPr>
      <w:r>
        <w:rPr>
          <w:b/>
          <w:i w:val="0"/>
        </w:rPr>
        <w:t>In this edition.</w:t>
      </w:r>
    </w:p>
    <w:p>
      <w:pPr>
        <w:widowControl/>
      </w:pPr>
      <w:r>
        <w:rPr>
          <w:b w:val="0"/>
          <w:i w:val="0"/>
        </w:rPr>
        <w:t xml:space="preserve">The English preserves </w:t>
      </w:r>
      <w:r>
        <w:t>“</w:t>
      </w:r>
      <w:r>
        <w:rPr>
          <w:b w:val="0"/>
          <w:i w:val="0"/>
        </w:rPr>
        <w:t>in some manner</w:t>
      </w:r>
      <w:r>
        <w:t>”</w:t>
      </w:r>
      <w:r>
        <w:rPr>
          <w:b w:val="0"/>
          <w:i w:val="0"/>
        </w:rPr>
        <w:t xml:space="preserve"> and </w:t>
      </w:r>
      <w:r>
        <w:t>“</w:t>
      </w:r>
      <w:r>
        <w:rPr>
          <w:b w:val="0"/>
          <w:i w:val="0"/>
        </w:rPr>
        <w:t>roughly.</w:t>
      </w:r>
      <w:r>
        <w:t>”</w:t>
      </w:r>
      <w:r>
        <w:rPr>
          <w:b w:val="0"/>
          <w:i w:val="0"/>
        </w:rPr>
        <w:t xml:space="preserve"> Acto in II.12.10 denotes what is acted or produced and is immediately glossed genito; it should not be silently treated as another occurrence of the abstract noun actus. </w:t>
      </w:r>
      <w:r>
        <w:t>“</w:t>
      </w:r>
      <w:r>
        <w:rPr>
          <w:b w:val="0"/>
          <w:i w:val="0"/>
        </w:rPr>
        <w:t>Let God himself judge</w:t>
      </w:r>
      <w:r>
        <w:t>”</w:t>
      </w:r>
      <w:r>
        <w:rPr>
          <w:b w:val="0"/>
          <w:i w:val="0"/>
        </w:rPr>
        <w:t xml:space="preserve"> renders the reservation, not an endorsement.</w:t>
      </w:r>
    </w:p>
    <w:p>
      <w:pPr>
        <w:keepNext/>
        <w:widowControl/>
      </w:pPr>
      <w:r>
        <w:rPr>
          <w:b/>
          <w:i w:val="0"/>
        </w:rPr>
        <w:t>See also.</w:t>
      </w:r>
    </w:p>
    <w:p>
      <w:pPr>
        <w:widowControl/>
      </w:pPr>
      <w:hyperlink w:anchor="act-and-operation">
        <w:r>
          <w:rPr>
            <w:color w:val="000000"/>
          </w:rPr>
          <w:t xml:space="preserve">Act and operation</w:t>
        </w:r>
      </w:hyperlink>
      <w:r>
        <w:rPr>
          <w:b w:val="0"/>
          <w:i w:val="0"/>
        </w:rPr>
        <w:t xml:space="preserve">; </w:t>
      </w:r>
      <w:hyperlink w:anchor="freedom-and-necessity">
        <w:r>
          <w:rPr>
            <w:color w:val="000000"/>
          </w:rPr>
          <w:t xml:space="preserve">Freedom and necessity</w:t>
        </w:r>
      </w:hyperlink>
      <w:r>
        <w:rPr>
          <w:b w:val="0"/>
          <w:i w:val="0"/>
        </w:rPr>
        <w:t xml:space="preserve">; </w:t>
      </w:r>
      <w:hyperlink w:anchor="hermetic-theologians-and-the-magi">
        <w:r>
          <w:rPr>
            <w:color w:val="000000"/>
          </w:rPr>
          <w:t xml:space="preserve">Hermetic theologians and the Magi</w:t>
        </w:r>
      </w:hyperlink>
      <w:r>
        <w:rPr>
          <w:b w:val="0"/>
          <w:i w:val="0"/>
        </w:rPr>
        <w:t xml:space="preserve">; </w:t>
      </w:r>
      <w:hyperlink w:anchor="qualification-and-attribution">
        <w:r>
          <w:rPr>
            <w:color w:val="000000"/>
          </w:rPr>
          <w:t xml:space="preserve">Qualification and attribution</w:t>
        </w:r>
      </w:hyperlink>
      <w:r>
        <w:rPr>
          <w:b w:val="0"/>
          <w:i w:val="0"/>
        </w:rPr>
        <w:t>.</w:t>
      </w:r>
    </w:p>
    <w:p>
      <w:bookmarkStart w:id="206" w:name="sense-and-imagination"/>
      <w:pPr>
        <w:pStyle w:val="Heading2"/>
      </w:pPr>
      <w:r>
        <w:rPr>
          <w:b w:val="0"/>
          <w:i w:val="0"/>
        </w:rPr>
        <w:t>Sense and imagination</w:t>
      </w:r>
      <w:bookmarkEnd w:id="206"/>
    </w:p>
    <w:p>
      <w:pPr>
        <w:keepNext/>
        <w:widowControl/>
      </w:pPr>
      <w:r>
        <w:rPr>
          <w:b/>
          <w:i w:val="0"/>
        </w:rPr>
        <w:t>Latin:</w:t>
      </w:r>
      <w:r>
        <w:rPr>
          <w:b w:val="0"/>
          <w:i w:val="0"/>
        </w:rPr>
        <w:t xml:space="preserve"> </w:t>
      </w:r>
      <w:r>
        <w:rPr>
          <w:b w:val="0"/>
          <w:i/>
        </w:rPr>
        <w:t>sensus</w:t>
      </w:r>
      <w:r>
        <w:rPr>
          <w:b w:val="0"/>
          <w:i w:val="0"/>
        </w:rPr>
        <w:t xml:space="preserve">, </w:t>
      </w:r>
      <w:r>
        <w:rPr>
          <w:b w:val="0"/>
          <w:i/>
        </w:rPr>
        <w:t>sentire</w:t>
      </w:r>
      <w:r>
        <w:rPr>
          <w:b w:val="0"/>
          <w:i w:val="0"/>
        </w:rPr>
        <w:t xml:space="preserve">, </w:t>
      </w:r>
      <w:r>
        <w:rPr>
          <w:b w:val="0"/>
          <w:i/>
        </w:rPr>
        <w:t>sensibilis</w:t>
      </w:r>
      <w:r>
        <w:rPr>
          <w:b w:val="0"/>
          <w:i w:val="0"/>
        </w:rPr>
        <w:t xml:space="preserve">; </w:t>
      </w:r>
      <w:r>
        <w:rPr>
          <w:b w:val="0"/>
          <w:i/>
        </w:rPr>
        <w:t>phantasia</w:t>
      </w:r>
      <w:r>
        <w:rPr>
          <w:b w:val="0"/>
          <w:i w:val="0"/>
        </w:rPr>
        <w:t xml:space="preserve">, </w:t>
      </w:r>
      <w:r>
        <w:rPr>
          <w:b w:val="0"/>
          <w:i/>
        </w:rPr>
        <w:t>imaginatio</w:t>
      </w:r>
      <w:r>
        <w:rPr>
          <w:b w:val="0"/>
          <w:i w:val="0"/>
        </w:rPr>
        <w:t xml:space="preserve">, </w:t>
      </w:r>
      <w:r>
        <w:rPr>
          <w:b w:val="0"/>
          <w:i/>
        </w:rPr>
        <w:t>imago</w:t>
      </w:r>
      <w:r>
        <w:rPr>
          <w:b w:val="0"/>
          <w:i w:val="0"/>
        </w:rPr>
        <w:t xml:space="preserve">, </w:t>
      </w:r>
      <w:r>
        <w:rPr>
          <w:b w:val="0"/>
          <w:i/>
        </w:rPr>
        <w:t>praestigiae</w:t>
      </w:r>
      <w:r>
        <w:rPr>
          <w:b w:val="0"/>
          <w:i w:val="0"/>
        </w:rPr>
        <w:t xml:space="preserve">; </w:t>
      </w:r>
      <w:r>
        <w:rPr>
          <w:b w:val="0"/>
          <w:i/>
        </w:rPr>
        <w:t>materia phantastica</w:t>
      </w:r>
      <w:r>
        <w:rPr>
          <w:b w:val="0"/>
          <w:i w:val="0"/>
        </w:rPr>
        <w:t xml:space="preserve">, </w:t>
      </w:r>
      <w:r>
        <w:rPr>
          <w:b w:val="0"/>
          <w:i/>
        </w:rPr>
        <w:t>spiritus phantasticus</w:t>
      </w:r>
      <w:r>
        <w:rPr>
          <w:b w:val="0"/>
          <w:i w:val="0"/>
        </w:rPr>
        <w:t xml:space="preserve">; </w:t>
      </w:r>
      <w:r>
        <w:rPr>
          <w:b w:val="0"/>
          <w:i/>
        </w:rPr>
        <w:t>ratio</w:t>
      </w:r>
      <w:r>
        <w:rPr>
          <w:b w:val="0"/>
          <w:i w:val="0"/>
        </w:rPr>
        <w:t>; quinque sensus; singulatim; summatim; discernit; rationes universales</w:t>
      </w:r>
    </w:p>
    <w:p>
      <w:pPr>
        <w:keepNext/>
        <w:widowControl/>
      </w:pPr>
      <w:r>
        <w:rPr>
          <w:b/>
          <w:i w:val="0"/>
        </w:rPr>
        <w:t>The word.</w:t>
      </w:r>
    </w:p>
    <w:p>
      <w:pPr>
        <w:widowControl/>
      </w:pPr>
      <w:r>
        <w:rPr>
          <w:b w:val="0"/>
          <w:i w:val="0"/>
        </w:rPr>
        <w:t>Sensus and sentire concern sensation; phantasia and imaginatio the image-forming and coordinating faculty. Materia phantastica and spiritus phantasticus name its formed medium and mediating spirit, rather than simply an external picture.</w:t>
      </w:r>
    </w:p>
    <w:p>
      <w:pPr>
        <w:widowControl/>
      </w:pPr>
      <w:r>
        <w:rPr>
          <w:b w:val="0"/>
          <w:i w:val="0"/>
        </w:rPr>
        <w:t>Singulatim means separately or one by one; summatim means in a gathered or collective way. Discernere distinguishes or discriminates. Here the contrast marks degrees of cognitive integration, not merely speed.</w:t>
      </w:r>
    </w:p>
    <w:p>
      <w:pPr>
        <w:keepNext/>
        <w:widowControl/>
      </w:pPr>
      <w:r>
        <w:rPr>
          <w:b/>
          <w:i w:val="0"/>
        </w:rPr>
        <w:t>In the Platonic Theology.</w:t>
      </w:r>
    </w:p>
    <w:p>
      <w:pPr>
        <w:widowControl/>
      </w:pPr>
      <w:r>
        <w:rPr>
          <w:b w:val="0"/>
          <w:i w:val="0"/>
        </w:rPr>
        <w:t>Sense apprehends bodily features through their qualities, not sheer bulk alone. Ficino’s example of a visible wall makes the order clear: color and light affect sight before the wall’s magnitude is judged. Embodied minds ordinarily turn toward sensible things in order to understand, whereas separate minds consider what is intelligible in itself. The comparison establishes differences of object and dependence rather than declaring all sensation false. Imagining a soul stripped of sensation, imagination, and generation helps Ficino describe pure angelic mind, while also distinguishing intellect from the soul’s wider functions.</w:t>
      </w:r>
    </w:p>
    <w:p>
      <w:pPr>
        <w:widowControl/>
      </w:pPr>
      <w:r>
        <w:rPr>
          <w:b w:val="0"/>
          <w:i w:val="0"/>
        </w:rPr>
        <w:t>Imagination gathers what the five senses receive separately. Intellect sees more clearly, unites what imagination apprehends through many images, and knows universal principles beyond imagination’s scope. This coordinating faculty nevertheless misleads when its image-based mode is imposed on eternity or divine presence. It clothes simple, abiding eternity in successive time; it substitutes extended lines for divine rays and imagines God occupying a place within an immense bodily container. Reason answers that corporeal extension and endless subdivision are not the measure of divine greatness. The fault lies in that application of imagination, not in treating the faculty as intrinsically evil.</w:t>
      </w:r>
    </w:p>
    <w:p>
      <w:pPr>
        <w:widowControl/>
      </w:pPr>
      <w:r>
        <w:rPr>
          <w:b w:val="0"/>
          <w:i w:val="0"/>
        </w:rPr>
        <w:t xml:space="preserve">Book IV emphasizes imagination’s constructive mediation. In the geometer comparison, intellectual principles shape imagination from within and through it shape imaginative spirit. This differs from tracing a figure in dust: </w:t>
      </w:r>
      <w:r>
        <w:rPr>
          <w:b w:val="0"/>
          <w:i/>
        </w:rPr>
        <w:t>materia phantastica</w:t>
      </w:r>
      <w:r>
        <w:rPr>
          <w:b w:val="0"/>
          <w:i w:val="0"/>
        </w:rPr>
        <w:t xml:space="preserve"> names the internally formed imaginative medium rather than an ordinary material surface. The neighboring account of divine wisdom and natural seeds must be read with a translation discrepancy in view: its Latin places natural seeds in the vivifying and motive power, while the supplied English reverses that relation.</w:t>
      </w:r>
    </w:p>
    <w:p>
      <w:pPr>
        <w:widowControl/>
      </w:pPr>
      <w:r>
        <w:rPr>
          <w:b w:val="0"/>
          <w:i w:val="0"/>
        </w:rPr>
        <w:t xml:space="preserve">In the Euclid example, the lantern reveals a particular step, imagination conceives it, appetite chooses it, and the feet execute it. The named traveler comes from Megara to hear Socrates; this does not identify him with the geometer of the separate analogy. Celestial imagination similarly attends to a seed presented by the motive power and unfolds the corresponding configuration. Imagination thus mediates both particular cognition and directed bodily realization. Its relation to reason changes with context, just as </w:t>
      </w:r>
      <w:r>
        <w:rPr>
          <w:b w:val="0"/>
          <w:i/>
        </w:rPr>
        <w:t>ratio</w:t>
      </w:r>
      <w:r>
        <w:rPr>
          <w:b w:val="0"/>
          <w:i w:val="0"/>
        </w:rPr>
        <w:t xml:space="preserve"> elsewhere names an account or principle rather than the faculty opposed to imagination.</w:t>
      </w:r>
    </w:p>
    <w:p>
      <w:pPr>
        <w:widowControl/>
      </w:pPr>
      <w:r>
        <w:rPr>
          <w:b w:val="0"/>
          <w:i w:val="0"/>
        </w:rPr>
        <w:t>The five senses receive their objects separately; imagination gathers their contributions and adds something higher; intellect sees in one what imagination presents in many images and also knows universal principles. Crucially, Ficino says intellect sees individual things more clearly as well. The ascent to universals is therefore not presented as losing particulars. God’s single power is argued to encompass what humans know through the three levels.</w:t>
      </w:r>
    </w:p>
    <w:p>
      <w:pPr>
        <w:keepNext/>
        <w:widowControl/>
      </w:pPr>
      <w:r>
        <w:rPr>
          <w:b/>
          <w:i w:val="0"/>
        </w:rPr>
        <w:t>The places.</w:t>
      </w:r>
    </w:p>
    <w:p>
      <w:pPr>
        <w:ind w:left="187" w:hanging="187"/>
      </w:pPr>
      <w:r>
        <w:t xml:space="preserve">• </w:t>
      </w:r>
      <w:r>
        <w:rPr>
          <w:b/>
          <w:i w:val="0"/>
        </w:rPr>
        <w:t>I.2.13 and I.3.2, PDF pp. 24–29</w:t>
      </w:r>
      <w:r>
        <w:rPr>
          <w:b w:val="0"/>
          <w:i w:val="0"/>
        </w:rPr>
        <w:t>. Sensible qualities, rather than bare bulk alone, account for the visible wall and its cognition.</w:t>
      </w:r>
    </w:p>
    <w:p>
      <w:pPr>
        <w:ind w:left="187" w:hanging="187"/>
      </w:pPr>
      <w:r>
        <w:t xml:space="preserve">• </w:t>
      </w:r>
      <w:r>
        <w:rPr>
          <w:b/>
          <w:i w:val="0"/>
        </w:rPr>
        <w:t>II.5.2–3 and II.6.12–14, PDF pp. 126–137</w:t>
      </w:r>
      <w:r>
        <w:rPr>
          <w:b w:val="0"/>
          <w:i w:val="0"/>
        </w:rPr>
        <w:t>. Image-bound imagination distorts eternity and divine presence when it imposes spatial or successive models.</w:t>
      </w:r>
    </w:p>
    <w:p>
      <w:pPr>
        <w:ind w:left="187" w:hanging="187"/>
      </w:pPr>
      <w:r>
        <w:t xml:space="preserve">• </w:t>
      </w:r>
      <w:r>
        <w:rPr>
          <w:b/>
          <w:i w:val="0"/>
        </w:rPr>
        <w:t>IV.1.11, PDF pp. 286–287</w:t>
      </w:r>
      <w:r>
        <w:rPr>
          <w:b w:val="0"/>
          <w:i w:val="0"/>
        </w:rPr>
        <w:t>. The geometer forms imagination from within, unlike drawing in dust.</w:t>
      </w:r>
    </w:p>
    <w:p>
      <w:pPr>
        <w:ind w:left="187" w:hanging="187"/>
      </w:pPr>
      <w:r>
        <w:t xml:space="preserve">• </w:t>
      </w:r>
      <w:r>
        <w:rPr>
          <w:b/>
          <w:i w:val="0"/>
        </w:rPr>
        <w:t>IV.2.13–16, PDF pp. 340–343</w:t>
      </w:r>
      <w:r>
        <w:rPr>
          <w:b w:val="0"/>
          <w:i w:val="0"/>
        </w:rPr>
        <w:t>. Imagination receives a particular displayed step or seed and mediates its desired execution.</w:t>
      </w:r>
    </w:p>
    <w:p>
      <w:pPr>
        <w:widowControl/>
      </w:pPr>
      <w:r>
        <w:rPr>
          <w:b/>
          <w:i w:val="0"/>
        </w:rPr>
        <w:t>Further passage references.</w:t>
      </w:r>
      <w:r>
        <w:rPr>
          <w:b w:val="0"/>
          <w:i w:val="0"/>
        </w:rPr>
        <w:t xml:space="preserve"> Proem.9 (PDF pp. 8–9); I.2.13 (pp. 24–25); I.3.2, I.3.26 (pp. 28–29, 46–47); I.5.16 (pp. 70–71); I.6.9 (pp. 86–87); II.5.2–3, pp. 126–127; II.6.12–14, pp. 132–137; II.9.16, pp. 172–173; IV.1.11, pp. 286–287; IV.2.13–IV.2.16, pp. 340–343</w:t>
      </w:r>
    </w:p>
    <w:p>
      <w:pPr>
        <w:ind w:left="187" w:hanging="187"/>
      </w:pPr>
      <w:r>
        <w:t xml:space="preserve">• </w:t>
      </w:r>
      <w:r>
        <w:rPr>
          <w:b w:val="0"/>
          <w:i w:val="0"/>
        </w:rPr>
        <w:t>II.9.16, II.9.17 (PDF pp. 172–173): Integrated cognition retains individuals while adding universal principles and every mode of being</w:t>
      </w:r>
    </w:p>
    <w:p>
      <w:pPr>
        <w:keepNext/>
        <w:widowControl/>
      </w:pPr>
      <w:r>
        <w:rPr>
          <w:b/>
          <w:i w:val="0"/>
        </w:rPr>
        <w:t>In this edition.</w:t>
      </w:r>
    </w:p>
    <w:p>
      <w:pPr>
        <w:widowControl/>
      </w:pPr>
      <w:r>
        <w:rPr>
          <w:b w:val="0"/>
          <w:i w:val="0"/>
        </w:rPr>
        <w:t>The same imagination that misleads when bodily imagery is imposed upon eternity mediates successful action in Book IV. The geometer and the Euclid traveling from Megara are separate examples; the IV.1.11 seed/power reversal must not be used to reconstruct their causal sequence.</w:t>
      </w:r>
    </w:p>
    <w:p>
      <w:pPr>
        <w:widowControl/>
      </w:pPr>
      <w:r>
        <w:t>“</w:t>
      </w:r>
      <w:r>
        <w:rPr>
          <w:b w:val="0"/>
          <w:i w:val="0"/>
        </w:rPr>
        <w:t>Collectively</w:t>
      </w:r>
      <w:r>
        <w:t>”</w:t>
      </w:r>
      <w:r>
        <w:rPr>
          <w:b w:val="0"/>
          <w:i w:val="0"/>
        </w:rPr>
        <w:t xml:space="preserve"> for summatim here parallels its use for divine intuition in II.10.10, but the powers are not thereby identical. The local hierarchy and the qualifications of divine names remain necessary.</w:t>
      </w:r>
    </w:p>
    <w:p>
      <w:pPr>
        <w:keepNext/>
        <w:widowControl/>
      </w:pPr>
      <w:r>
        <w:rPr>
          <w:b/>
          <w:i w:val="0"/>
        </w:rPr>
        <w:t>See also.</w:t>
      </w:r>
    </w:p>
    <w:p>
      <w:pPr>
        <w:widowControl/>
      </w:pPr>
      <w:hyperlink w:anchor="mind">
        <w:r>
          <w:rPr>
            <w:color w:val="000000"/>
          </w:rPr>
          <w:t xml:space="preserve">Mind</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image-and-likeness">
        <w:r>
          <w:rPr>
            <w:color w:val="000000"/>
          </w:rPr>
          <w:t xml:space="preserve">Image and likeness</w:t>
        </w:r>
      </w:hyperlink>
      <w:r>
        <w:rPr>
          <w:b w:val="0"/>
          <w:i w:val="0"/>
        </w:rPr>
        <w:t xml:space="preserve">; </w:t>
      </w:r>
      <w:hyperlink w:anchor="quality">
        <w:r>
          <w:rPr>
            <w:color w:val="000000"/>
          </w:rPr>
          <w:t xml:space="preserve">Quality</w:t>
        </w:r>
      </w:hyperlink>
      <w:r>
        <w:rPr>
          <w:b w:val="0"/>
          <w:i w:val="0"/>
        </w:rPr>
        <w:t xml:space="preserve">; </w:t>
      </w:r>
      <w:hyperlink w:anchor="eternity-and-time">
        <w:r>
          <w:rPr>
            <w:color w:val="000000"/>
          </w:rPr>
          <w:t xml:space="preserve">Eternity and time</w:t>
        </w:r>
      </w:hyperlink>
      <w:r>
        <w:rPr>
          <w:b w:val="0"/>
          <w:i w:val="0"/>
        </w:rPr>
        <w:t xml:space="preserve">; </w:t>
      </w:r>
      <w:hyperlink w:anchor="omnipresence-and-place">
        <w:r>
          <w:rPr>
            <w:color w:val="000000"/>
          </w:rPr>
          <w:t xml:space="preserve">Omnipresence and place</w:t>
        </w:r>
      </w:hyperlink>
      <w:r>
        <w:rPr>
          <w:b w:val="0"/>
          <w:i w:val="0"/>
        </w:rPr>
        <w:t xml:space="preserve">; </w:t>
      </w:r>
      <w:hyperlink w:anchor="reason-and-account">
        <w:r>
          <w:rPr>
            <w:color w:val="000000"/>
          </w:rPr>
          <w:t xml:space="preserve">Reason and account</w:t>
        </w:r>
      </w:hyperlink>
      <w:r>
        <w:rPr>
          <w:b w:val="0"/>
          <w:i w:val="0"/>
        </w:rPr>
        <w:t xml:space="preserve">; </w:t>
      </w:r>
      <w:hyperlink w:anchor="ideas-and-exemplars">
        <w:r>
          <w:rPr>
            <w:color w:val="000000"/>
          </w:rPr>
          <w:t xml:space="preserve">Ideas and exemplars</w:t>
        </w:r>
      </w:hyperlink>
      <w:r>
        <w:rPr>
          <w:b w:val="0"/>
          <w:i w:val="0"/>
        </w:rPr>
        <w:t xml:space="preserve">; </w:t>
      </w:r>
      <w:hyperlink w:anchor="art-and-nature">
        <w:r>
          <w:rPr>
            <w:color w:val="000000"/>
          </w:rPr>
          <w:t xml:space="preserve">Art and nature</w:t>
        </w:r>
      </w:hyperlink>
      <w:r>
        <w:rPr>
          <w:b w:val="0"/>
          <w:i w:val="0"/>
        </w:rPr>
        <w:t xml:space="preserve">; </w:t>
      </w:r>
      <w:hyperlink w:anchor="seeds">
        <w:r>
          <w:rPr>
            <w:color w:val="000000"/>
          </w:rPr>
          <w:t xml:space="preserve">Seeds</w:t>
        </w:r>
      </w:hyperlink>
      <w:r>
        <w:rPr>
          <w:b w:val="0"/>
          <w:i w:val="0"/>
        </w:rPr>
        <w:t xml:space="preserve">; </w:t>
      </w:r>
      <w:hyperlink w:anchor="appetite-and-desire">
        <w:r>
          <w:rPr>
            <w:color w:val="000000"/>
          </w:rPr>
          <w:t xml:space="preserve">Appetite and desire</w:t>
        </w:r>
      </w:hyperlink>
      <w:r>
        <w:rPr>
          <w:b w:val="0"/>
          <w:i w:val="0"/>
        </w:rPr>
        <w:t xml:space="preserve">; </w:t>
      </w:r>
      <w:hyperlink w:anchor="spirit">
        <w:r>
          <w:rPr>
            <w:color w:val="000000"/>
          </w:rPr>
          <w:t xml:space="preserve">Spirit</w:t>
        </w:r>
      </w:hyperlink>
    </w:p>
    <w:p>
      <w:pPr>
        <w:widowControl/>
      </w:pPr>
      <w:hyperlink w:anchor="intellect-and-intellection">
        <w:r>
          <w:rPr>
            <w:color w:val="000000"/>
          </w:rPr>
          <w:t xml:space="preserve">Intellect and intellection</w:t>
        </w:r>
      </w:hyperlink>
      <w:r>
        <w:rPr>
          <w:b w:val="0"/>
          <w:i w:val="0"/>
        </w:rPr>
        <w:t xml:space="preserve">; </w:t>
      </w:r>
      <w:hyperlink w:anchor="universals-and-individuals">
        <w:r>
          <w:rPr>
            <w:color w:val="000000"/>
          </w:rPr>
          <w:t xml:space="preserve">Universals and individuals</w:t>
        </w:r>
      </w:hyperlink>
      <w:r>
        <w:rPr>
          <w:b w:val="0"/>
          <w:i w:val="0"/>
        </w:rPr>
        <w:t xml:space="preserve">; </w:t>
      </w:r>
      <w:hyperlink w:anchor="counting-and-collective-intuition">
        <w:r>
          <w:rPr>
            <w:color w:val="000000"/>
          </w:rPr>
          <w:t xml:space="preserve">Counting and collective intuition</w:t>
        </w:r>
      </w:hyperlink>
      <w:r>
        <w:rPr>
          <w:b w:val="0"/>
          <w:i w:val="0"/>
        </w:rPr>
        <w:t>.</w:t>
      </w:r>
    </w:p>
    <w:p>
      <w:bookmarkStart w:id="207" w:name="separation-and-abstraction"/>
      <w:pPr>
        <w:pStyle w:val="Heading2"/>
      </w:pPr>
      <w:r>
        <w:rPr>
          <w:b w:val="0"/>
          <w:i w:val="0"/>
        </w:rPr>
        <w:t>Separation and abstraction</w:t>
      </w:r>
      <w:bookmarkEnd w:id="207"/>
    </w:p>
    <w:p>
      <w:pPr>
        <w:keepNext/>
        <w:widowControl/>
      </w:pPr>
      <w:r>
        <w:rPr>
          <w:b/>
          <w:i w:val="0"/>
        </w:rPr>
        <w:t>Latin:</w:t>
      </w:r>
      <w:r>
        <w:rPr>
          <w:b w:val="0"/>
          <w:i w:val="0"/>
        </w:rPr>
        <w:t xml:space="preserve"> </w:t>
      </w:r>
      <w:r>
        <w:rPr>
          <w:b w:val="0"/>
          <w:i/>
        </w:rPr>
        <w:t>separare</w:t>
      </w:r>
      <w:r>
        <w:rPr>
          <w:b w:val="0"/>
          <w:i w:val="0"/>
        </w:rPr>
        <w:t xml:space="preserve">, </w:t>
      </w:r>
      <w:r>
        <w:rPr>
          <w:b w:val="0"/>
          <w:i/>
        </w:rPr>
        <w:t>seiungere</w:t>
      </w:r>
      <w:r>
        <w:rPr>
          <w:b w:val="0"/>
          <w:i w:val="0"/>
        </w:rPr>
        <w:t xml:space="preserve">; </w:t>
      </w:r>
      <w:r>
        <w:rPr>
          <w:b w:val="0"/>
          <w:i/>
        </w:rPr>
        <w:t>separatus</w:t>
      </w:r>
      <w:r>
        <w:rPr>
          <w:b w:val="0"/>
          <w:i w:val="0"/>
        </w:rPr>
        <w:t xml:space="preserve">, </w:t>
      </w:r>
      <w:r>
        <w:rPr>
          <w:b w:val="0"/>
          <w:i/>
        </w:rPr>
        <w:t>seiunctus</w:t>
      </w:r>
      <w:r>
        <w:rPr>
          <w:b w:val="0"/>
          <w:i w:val="0"/>
        </w:rPr>
        <w:t xml:space="preserve">; </w:t>
      </w:r>
      <w:r>
        <w:rPr>
          <w:b w:val="0"/>
          <w:i/>
        </w:rPr>
        <w:t>seorsum</w:t>
      </w:r>
      <w:r>
        <w:rPr>
          <w:b w:val="0"/>
          <w:i w:val="0"/>
        </w:rPr>
        <w:t xml:space="preserve">, </w:t>
      </w:r>
      <w:r>
        <w:rPr>
          <w:b w:val="0"/>
          <w:i/>
        </w:rPr>
        <w:t>absolutus</w:t>
      </w:r>
      <w:r>
        <w:rPr>
          <w:b w:val="0"/>
          <w:i w:val="0"/>
        </w:rPr>
        <w:t xml:space="preserve">; </w:t>
      </w:r>
      <w:r>
        <w:rPr>
          <w:b w:val="0"/>
          <w:i/>
        </w:rPr>
        <w:t>formae naturales</w:t>
      </w:r>
      <w:r>
        <w:rPr>
          <w:b w:val="0"/>
          <w:i w:val="0"/>
        </w:rPr>
        <w:t xml:space="preserve">, </w:t>
      </w:r>
      <w:r>
        <w:rPr>
          <w:b w:val="0"/>
          <w:i/>
        </w:rPr>
        <w:t>mathematicae</w:t>
      </w:r>
      <w:r>
        <w:rPr>
          <w:b w:val="0"/>
          <w:i w:val="0"/>
        </w:rPr>
        <w:t xml:space="preserve">, </w:t>
      </w:r>
      <w:r>
        <w:rPr>
          <w:b w:val="0"/>
          <w:i/>
        </w:rPr>
        <w:t>metaphysicae</w:t>
      </w:r>
      <w:r>
        <w:rPr>
          <w:b w:val="0"/>
          <w:i w:val="0"/>
        </w:rPr>
        <w:t xml:space="preserve">; </w:t>
      </w:r>
      <w:r>
        <w:rPr>
          <w:b w:val="0"/>
          <w:i/>
        </w:rPr>
        <w:t>certa materia</w:t>
      </w:r>
      <w:r>
        <w:rPr>
          <w:b w:val="0"/>
          <w:i w:val="0"/>
        </w:rPr>
        <w:t xml:space="preserve">, </w:t>
      </w:r>
      <w:r>
        <w:rPr>
          <w:b w:val="0"/>
          <w:i/>
        </w:rPr>
        <w:t>incerta materia</w:t>
      </w:r>
      <w:r>
        <w:rPr>
          <w:b w:val="0"/>
          <w:i w:val="0"/>
        </w:rPr>
        <w:t xml:space="preserve">; </w:t>
      </w:r>
      <w:r>
        <w:rPr>
          <w:b w:val="0"/>
          <w:i/>
        </w:rPr>
        <w:t>punctum</w:t>
      </w:r>
      <w:r>
        <w:rPr>
          <w:b w:val="0"/>
          <w:i w:val="0"/>
        </w:rPr>
        <w:t xml:space="preserve">, </w:t>
      </w:r>
      <w:r>
        <w:rPr>
          <w:b w:val="0"/>
          <w:i/>
        </w:rPr>
        <w:t>numerus</w:t>
      </w:r>
      <w:r>
        <w:rPr>
          <w:b w:val="0"/>
          <w:i w:val="0"/>
        </w:rPr>
        <w:t xml:space="preserve">, </w:t>
      </w:r>
      <w:r>
        <w:rPr>
          <w:b w:val="0"/>
          <w:i/>
        </w:rPr>
        <w:t>unitas</w:t>
      </w:r>
      <w:r>
        <w:rPr>
          <w:b w:val="0"/>
          <w:i w:val="0"/>
        </w:rPr>
        <w:t xml:space="preserve">, </w:t>
      </w:r>
      <w:r>
        <w:rPr>
          <w:b w:val="0"/>
          <w:i/>
        </w:rPr>
        <w:t>situs</w:t>
      </w:r>
    </w:p>
    <w:p>
      <w:pPr>
        <w:keepNext/>
        <w:widowControl/>
      </w:pPr>
      <w:r>
        <w:rPr>
          <w:b/>
          <w:i w:val="0"/>
        </w:rPr>
        <w:t>The word.</w:t>
      </w:r>
    </w:p>
    <w:p>
      <w:pPr>
        <w:widowControl/>
      </w:pPr>
      <w:r>
        <w:rPr>
          <w:b w:val="0"/>
          <w:i w:val="0"/>
        </w:rPr>
        <w:t>Separare and seiungere concern separating or disjoining; seorsum means apart; absolutus can mean free of a restricting attachment. Abstraction in thought and independent existence are related but distinct senses.</w:t>
      </w:r>
    </w:p>
    <w:p>
      <w:pPr>
        <w:keepNext/>
        <w:widowControl/>
      </w:pPr>
      <w:r>
        <w:rPr>
          <w:b/>
          <w:i w:val="0"/>
        </w:rPr>
        <w:t>In the Platonic Theology.</w:t>
      </w:r>
    </w:p>
    <w:p>
      <w:pPr>
        <w:widowControl/>
      </w:pPr>
      <w:r>
        <w:rPr>
          <w:b w:val="0"/>
          <w:i w:val="0"/>
        </w:rPr>
        <w:t xml:space="preserve">The text links the mind’s ability to separate forms in thought with the existence of forms and minds separate from body. These are related but distinct claims. In one argument, even an opponent who grants only intellectual separation of otherwise conjoined forms must admit, Ficino says, that the minds performing this separation are themselves separate. Other arguments concern self-subsistence directly: incorporeal form need not depend on a material subject, and a superior mind can live apart from body and bodily motion. </w:t>
      </w:r>
      <w:r>
        <w:rPr>
          <w:b w:val="0"/>
          <w:i/>
        </w:rPr>
        <w:t>Absolutus</w:t>
      </w:r>
      <w:r>
        <w:rPr>
          <w:b w:val="0"/>
          <w:i w:val="0"/>
        </w:rPr>
        <w:t xml:space="preserve"> often means free from a limiting attachment, not </w:t>
      </w:r>
      <w:r>
        <w:t>“</w:t>
      </w:r>
      <w:r>
        <w:rPr>
          <w:b w:val="0"/>
          <w:i w:val="0"/>
        </w:rPr>
        <w:t>absolute</w:t>
      </w:r>
      <w:r>
        <w:t>”</w:t>
      </w:r>
      <w:r>
        <w:rPr>
          <w:b w:val="0"/>
          <w:i w:val="0"/>
        </w:rPr>
        <w:t xml:space="preserve"> in every later philosophical sense. A mind contracted to an embodied soul’s capacity contrasts with a free and lucid mind existing in itself. Separation performed in thought and separation asserted as a mode of existence remain distinct parts of the argument. An object’s mathematical generality alone is not the whole of the claim about independent being.</w:t>
      </w:r>
    </w:p>
    <w:p>
      <w:pPr>
        <w:widowControl/>
      </w:pPr>
      <w:r>
        <w:rPr>
          <w:b w:val="0"/>
          <w:i w:val="0"/>
        </w:rPr>
        <w:t>I.3.12 gives a precise ladder. Natural forms are bound to determinate kinds of matter; mathematical forms require only indeterminate matter; metaphysical forms require neither determinate nor indeterminate matter. The next comparison separates divisibility from position: dimensions require both parts and position; a point lacks parts but remains related to position; number has parts without spatial position; unity needs neither. The mind then rises beyond indivisible but accidental unity to substantial unity or form, the stable ground of changing accidents. Ficino argues from the limited human mind’s ability to make this ascent to the greater power of the universal order from which that mind derives. This makes the passage an argument about degrees of independence and their real ground, rather than simply the extraction of a general feature from particular examples.</w:t>
      </w:r>
    </w:p>
    <w:p>
      <w:pPr>
        <w:keepNext/>
        <w:widowControl/>
      </w:pPr>
      <w:r>
        <w:rPr>
          <w:b/>
          <w:i w:val="0"/>
        </w:rPr>
        <w:t>The places.</w:t>
      </w:r>
    </w:p>
    <w:p>
      <w:pPr>
        <w:ind w:left="187" w:hanging="187"/>
      </w:pPr>
      <w:r>
        <w:t xml:space="preserve">• </w:t>
      </w:r>
      <w:r>
        <w:rPr>
          <w:b/>
          <w:i w:val="0"/>
        </w:rPr>
        <w:t>I.3.12–14, PDF pp. 36–39</w:t>
      </w:r>
      <w:r>
        <w:rPr>
          <w:b w:val="0"/>
          <w:i w:val="0"/>
        </w:rPr>
        <w:t>. The mind ascends through kinds of form and through dimensions, points, number, and unity while distinguishing parts from position.</w:t>
      </w:r>
    </w:p>
    <w:p>
      <w:pPr>
        <w:ind w:left="187" w:hanging="187"/>
      </w:pPr>
      <w:r>
        <w:t xml:space="preserve">• </w:t>
      </w:r>
      <w:r>
        <w:rPr>
          <w:b/>
          <w:i w:val="0"/>
        </w:rPr>
        <w:t>I.3.24–29, PDF pp. 46–51</w:t>
      </w:r>
      <w:r>
        <w:rPr>
          <w:b w:val="0"/>
          <w:i w:val="0"/>
        </w:rPr>
        <w:t>. Intellectual separation supports arguments for forms and minds not dependent upon bodily recipients.</w:t>
      </w:r>
    </w:p>
    <w:p>
      <w:pPr>
        <w:ind w:left="187" w:hanging="187"/>
      </w:pPr>
      <w:r>
        <w:t xml:space="preserve">• </w:t>
      </w:r>
      <w:r>
        <w:rPr>
          <w:b/>
          <w:i w:val="0"/>
        </w:rPr>
        <w:t>I.5.16–17, PDF pp. 70–73</w:t>
      </w:r>
      <w:r>
        <w:rPr>
          <w:b w:val="0"/>
          <w:i w:val="0"/>
        </w:rPr>
        <w:t>. Conjoined minds and separately existing minds differ in completeness and characteristic objects.</w:t>
      </w:r>
    </w:p>
    <w:p>
      <w:pPr>
        <w:widowControl/>
      </w:pPr>
      <w:r>
        <w:rPr>
          <w:b/>
          <w:i w:val="0"/>
        </w:rPr>
        <w:t>Further passage references.</w:t>
      </w:r>
      <w:r>
        <w:rPr>
          <w:b w:val="0"/>
          <w:i w:val="0"/>
        </w:rPr>
        <w:t xml:space="preserve"> I.3.12, I.3.24–I.3.29 (PDF pp. 36–37, 46–51); I.5.14–I.5.17, I.5.23–I.5.27 (pp. 68–73, 76–81); I.3.12–14, pp. 36–39</w:t>
      </w:r>
    </w:p>
    <w:p>
      <w:pPr>
        <w:keepNext/>
        <w:widowControl/>
      </w:pPr>
      <w:r>
        <w:rPr>
          <w:b/>
          <w:i w:val="0"/>
        </w:rPr>
        <w:t>In this edition.</w:t>
      </w:r>
    </w:p>
    <w:p>
      <w:pPr>
        <w:widowControl/>
      </w:pPr>
      <w:r>
        <w:t>“</w:t>
      </w:r>
      <w:r>
        <w:rPr>
          <w:b w:val="0"/>
          <w:i w:val="0"/>
        </w:rPr>
        <w:t>Free</w:t>
      </w:r>
      <w:r>
        <w:t>”</w:t>
      </w:r>
      <w:r>
        <w:rPr>
          <w:b w:val="0"/>
          <w:i w:val="0"/>
        </w:rPr>
        <w:t xml:space="preserve"> and </w:t>
      </w:r>
      <w:r>
        <w:t>“</w:t>
      </w:r>
      <w:r>
        <w:rPr>
          <w:b w:val="0"/>
          <w:i w:val="0"/>
        </w:rPr>
        <w:t>separate</w:t>
      </w:r>
      <w:r>
        <w:t>”</w:t>
      </w:r>
      <w:r>
        <w:rPr>
          <w:b w:val="0"/>
          <w:i w:val="0"/>
        </w:rPr>
        <w:t xml:space="preserve"> should retain their specified object of freedom. The ladder of natural, mathematical, and metaphysical forms explicitly contrasts determinate matter, indeterminate matter, and freedom from either; it is not just a generic process of forming broad concepts.</w:t>
      </w:r>
    </w:p>
    <w:p>
      <w:pPr>
        <w:keepNext/>
        <w:widowControl/>
      </w:pPr>
      <w:r>
        <w:rPr>
          <w:b/>
          <w:i w:val="0"/>
        </w:rPr>
        <w:t>See also.</w:t>
      </w:r>
    </w:p>
    <w:p>
      <w:pPr>
        <w:widowControl/>
      </w:pPr>
      <w:hyperlink w:anchor="form">
        <w:r>
          <w:rPr>
            <w:color w:val="000000"/>
          </w:rPr>
          <w:t xml:space="preserve">Form</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mind">
        <w:r>
          <w:rPr>
            <w:color w:val="000000"/>
          </w:rPr>
          <w:t xml:space="preserve">Mind</w:t>
        </w:r>
      </w:hyperlink>
      <w:r>
        <w:rPr>
          <w:b w:val="0"/>
          <w:i w:val="0"/>
        </w:rPr>
        <w:t xml:space="preserve">; </w:t>
      </w:r>
      <w:hyperlink w:anchor="angel">
        <w:r>
          <w:rPr>
            <w:color w:val="000000"/>
          </w:rPr>
          <w:t xml:space="preserve">Angel</w:t>
        </w:r>
      </w:hyperlink>
      <w:r>
        <w:rPr>
          <w:b w:val="0"/>
          <w:i w:val="0"/>
        </w:rPr>
        <w:t xml:space="preserve">; </w:t>
      </w:r>
      <w:hyperlink w:anchor="number">
        <w:r>
          <w:rPr>
            <w:color w:val="000000"/>
          </w:rPr>
          <w:t xml:space="preserve">Number</w:t>
        </w:r>
      </w:hyperlink>
      <w:r>
        <w:rPr>
          <w:b w:val="0"/>
          <w:i w:val="0"/>
        </w:rPr>
        <w:t xml:space="preserve">; </w:t>
      </w:r>
      <w:hyperlink w:anchor="quantity-and-dimension">
        <w:r>
          <w:rPr>
            <w:color w:val="000000"/>
          </w:rPr>
          <w:t xml:space="preserve">Quantity and dimension</w:t>
        </w:r>
      </w:hyperlink>
      <w:r>
        <w:rPr>
          <w:b w:val="0"/>
          <w:i w:val="0"/>
        </w:rPr>
        <w:t xml:space="preserve">; </w:t>
      </w:r>
      <w:hyperlink w:anchor="unity-and-multiplicity">
        <w:r>
          <w:rPr>
            <w:color w:val="000000"/>
          </w:rPr>
          <w:t xml:space="preserve">Unity and multiplicity</w:t>
        </w:r>
      </w:hyperlink>
      <w:r>
        <w:rPr>
          <w:b w:val="0"/>
          <w:i w:val="0"/>
        </w:rPr>
        <w:t xml:space="preserve">; </w:t>
      </w:r>
      <w:hyperlink w:anchor="matter">
        <w:r>
          <w:rPr>
            <w:color w:val="000000"/>
          </w:rPr>
          <w:t xml:space="preserve">Matter</w:t>
        </w:r>
      </w:hyperlink>
    </w:p>
    <w:p>
      <w:bookmarkStart w:id="208" w:name="shadow-and-mirror"/>
      <w:pPr>
        <w:pStyle w:val="Heading2"/>
      </w:pPr>
      <w:r>
        <w:rPr>
          <w:b w:val="0"/>
          <w:i w:val="0"/>
        </w:rPr>
        <w:t>Shadow and mirror</w:t>
      </w:r>
      <w:bookmarkEnd w:id="208"/>
    </w:p>
    <w:p>
      <w:pPr>
        <w:keepNext/>
        <w:widowControl/>
      </w:pPr>
      <w:r>
        <w:rPr>
          <w:b/>
          <w:i w:val="0"/>
        </w:rPr>
        <w:t>Latin:</w:t>
      </w:r>
      <w:r>
        <w:rPr>
          <w:b w:val="0"/>
          <w:i w:val="0"/>
        </w:rPr>
        <w:t xml:space="preserve"> umbra; umbratilis; imaginarium; vanum; vanior; speculo; imagines</w:t>
      </w:r>
    </w:p>
    <w:p>
      <w:pPr>
        <w:keepNext/>
        <w:widowControl/>
      </w:pPr>
      <w:r>
        <w:rPr>
          <w:b/>
          <w:i w:val="0"/>
        </w:rPr>
        <w:t>The word.</w:t>
      </w:r>
    </w:p>
    <w:p>
      <w:pPr>
        <w:widowControl/>
      </w:pPr>
      <w:r>
        <w:rPr>
          <w:b w:val="0"/>
          <w:i w:val="0"/>
        </w:rPr>
        <w:t>Umbra is a shadow; umbratilis means shadow-like. Speculum is a mirror. Imaginarium means image-like in this context, and vanum marks relative emptiness or insubstantiality. These words must be read with the comparison to the cause that qualifies them.</w:t>
      </w:r>
    </w:p>
    <w:p>
      <w:pPr>
        <w:keepNext/>
        <w:widowControl/>
      </w:pPr>
      <w:r>
        <w:rPr>
          <w:b/>
          <w:i w:val="0"/>
        </w:rPr>
        <w:t>In the Platonic Theology.</w:t>
      </w:r>
    </w:p>
    <w:p>
      <w:pPr>
        <w:widowControl/>
      </w:pPr>
      <w:r>
        <w:rPr>
          <w:b w:val="0"/>
          <w:i w:val="0"/>
        </w:rPr>
        <w:t>The effect produced wholly by its cause requires continuing support, as a shadow depends on a body. Ficino then intensifies the comparison: finite world to infinite God is even more dependent than a finite shadow is to its finite body. The point is not that the world is a hallucination. Its received being is contrasted with the self-subsisting source’s substance.</w:t>
      </w:r>
    </w:p>
    <w:p>
      <w:pPr>
        <w:widowControl/>
      </w:pPr>
      <w:r>
        <w:rPr>
          <w:b w:val="0"/>
          <w:i w:val="0"/>
        </w:rPr>
        <w:t>The mirror image adds the simultaneity of production and preservation. Images are both made and sustained in a mirror through bodies. The first cause’s dominion likewise includes continuing dependence, not merely a past outflow. Ficino uses this to explain why God acts in the operations of subordinate causes. Shadow and mirror thus perform different but related work: relative ontological frailty and ongoing causal support.</w:t>
      </w:r>
    </w:p>
    <w:p>
      <w:pPr>
        <w:keepNext/>
        <w:widowControl/>
      </w:pPr>
      <w:r>
        <w:rPr>
          <w:b/>
          <w:i w:val="0"/>
        </w:rPr>
        <w:t>The places.</w:t>
      </w:r>
    </w:p>
    <w:p>
      <w:pPr>
        <w:ind w:left="187" w:hanging="187"/>
      </w:pPr>
      <w:r>
        <w:t xml:space="preserve">• </w:t>
      </w:r>
      <w:r>
        <w:rPr>
          <w:b w:val="0"/>
          <w:i w:val="0"/>
        </w:rPr>
        <w:t>II.7.22 (PDF pp. 154–155): The shadow models the whole effect’s dependence on its producing cause</w:t>
      </w:r>
    </w:p>
    <w:p>
      <w:pPr>
        <w:ind w:left="187" w:hanging="187"/>
      </w:pPr>
      <w:r>
        <w:t xml:space="preserve">• </w:t>
      </w:r>
      <w:r>
        <w:rPr>
          <w:b w:val="0"/>
          <w:i w:val="0"/>
        </w:rPr>
        <w:t>II.7.23 (PDF pp. 154–155): Finite–infinite comparison intensifies the image; the mirror links making and preserving</w:t>
      </w:r>
    </w:p>
    <w:p>
      <w:pPr>
        <w:keepNext/>
        <w:widowControl/>
      </w:pPr>
      <w:r>
        <w:rPr>
          <w:b/>
          <w:i w:val="0"/>
        </w:rPr>
        <w:t>In this edition.</w:t>
      </w:r>
    </w:p>
    <w:p>
      <w:pPr>
        <w:widowControl/>
      </w:pPr>
      <w:r>
        <w:t>“</w:t>
      </w:r>
      <w:r>
        <w:rPr>
          <w:b w:val="0"/>
          <w:i w:val="0"/>
        </w:rPr>
        <w:t>Image-like</w:t>
      </w:r>
      <w:r>
        <w:t>”</w:t>
      </w:r>
      <w:r>
        <w:rPr>
          <w:b w:val="0"/>
          <w:i w:val="0"/>
        </w:rPr>
        <w:t xml:space="preserve"> is preferable here to an unqualified </w:t>
      </w:r>
      <w:r>
        <w:t>“</w:t>
      </w:r>
      <w:r>
        <w:rPr>
          <w:b w:val="0"/>
          <w:i w:val="0"/>
        </w:rPr>
        <w:t>imaginary</w:t>
      </w:r>
      <w:r>
        <w:t>”</w:t>
      </w:r>
      <w:r>
        <w:rPr>
          <w:b w:val="0"/>
          <w:i w:val="0"/>
        </w:rPr>
        <w:t xml:space="preserve"> if the latter suggests that nothing real has been produced. The supplied </w:t>
      </w:r>
      <w:r>
        <w:t>“</w:t>
      </w:r>
      <w:r>
        <w:rPr>
          <w:b w:val="0"/>
          <w:i w:val="0"/>
        </w:rPr>
        <w:t>compared with</w:t>
      </w:r>
      <w:r>
        <w:t>”</w:t>
      </w:r>
      <w:r>
        <w:rPr>
          <w:b w:val="0"/>
          <w:i w:val="0"/>
        </w:rPr>
        <w:t xml:space="preserve"> and </w:t>
      </w:r>
      <w:r>
        <w:t>“</w:t>
      </w:r>
      <w:r>
        <w:rPr>
          <w:b w:val="0"/>
          <w:i w:val="0"/>
        </w:rPr>
        <w:t>as it were</w:t>
      </w:r>
      <w:r>
        <w:t>”</w:t>
      </w:r>
      <w:r>
        <w:rPr>
          <w:b w:val="0"/>
          <w:i w:val="0"/>
        </w:rPr>
        <w:t xml:space="preserve"> preserve the relative and analogical framing.</w:t>
      </w:r>
    </w:p>
    <w:p>
      <w:pPr>
        <w:keepNext/>
        <w:widowControl/>
      </w:pPr>
      <w:r>
        <w:rPr>
          <w:b/>
          <w:i w:val="0"/>
        </w:rPr>
        <w:t>See also.</w:t>
      </w:r>
    </w:p>
    <w:p>
      <w:pPr>
        <w:widowControl/>
      </w:pPr>
      <w:hyperlink w:anchor="image-and-likeness">
        <w:r>
          <w:rPr>
            <w:color w:val="000000"/>
          </w:rPr>
          <w:t xml:space="preserve">Image and likeness</w:t>
        </w:r>
      </w:hyperlink>
      <w:r>
        <w:rPr>
          <w:b w:val="0"/>
          <w:i w:val="0"/>
        </w:rPr>
        <w:t xml:space="preserve">; </w:t>
      </w:r>
      <w:hyperlink w:anchor="surpassing-and-comparison">
        <w:r>
          <w:rPr>
            <w:color w:val="000000"/>
          </w:rPr>
          <w:t xml:space="preserve">Surpassing and comparison</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cause">
        <w:r>
          <w:rPr>
            <w:color w:val="000000"/>
          </w:rPr>
          <w:t xml:space="preserve">Cause</w:t>
        </w:r>
      </w:hyperlink>
      <w:r>
        <w:rPr>
          <w:b w:val="0"/>
          <w:i w:val="0"/>
        </w:rPr>
        <w:t>.</w:t>
      </w:r>
    </w:p>
    <w:p>
      <w:bookmarkStart w:id="209" w:name="shadows-and-dependence"/>
      <w:pPr>
        <w:pStyle w:val="Heading2"/>
      </w:pPr>
      <w:r>
        <w:rPr>
          <w:b w:val="0"/>
          <w:i w:val="0"/>
        </w:rPr>
        <w:t>Shadows and dependence</w:t>
      </w:r>
      <w:bookmarkEnd w:id="209"/>
    </w:p>
    <w:p>
      <w:pPr>
        <w:keepNext/>
        <w:widowControl/>
      </w:pPr>
      <w:r>
        <w:rPr>
          <w:b/>
          <w:i w:val="0"/>
        </w:rPr>
        <w:t>Latin:</w:t>
      </w:r>
      <w:r>
        <w:rPr>
          <w:b w:val="0"/>
          <w:i w:val="0"/>
        </w:rPr>
        <w:t xml:space="preserve"> </w:t>
      </w:r>
      <w:r>
        <w:rPr>
          <w:b w:val="0"/>
          <w:i/>
        </w:rPr>
        <w:t>umbra; sub umbra; lux; degenerare; vitalis umbra</w:t>
      </w:r>
    </w:p>
    <w:p>
      <w:pPr>
        <w:keepNext/>
        <w:widowControl/>
      </w:pPr>
      <w:r>
        <w:rPr>
          <w:b/>
          <w:i w:val="0"/>
        </w:rPr>
        <w:t>The word.</w:t>
      </w:r>
    </w:p>
    <w:p>
      <w:pPr>
        <w:widowControl/>
      </w:pPr>
      <w:r>
        <w:rPr>
          <w:b w:val="0"/>
          <w:i w:val="0"/>
        </w:rPr>
        <w:t>Umbra is a shadow. Sub umbra figures a subordinate position relative to a higher cause; vitalis umbra names a life-bearing manifestation in a divisible body. Degenerare here is falling below a producer’s perfection, not a charge of moral depravity.</w:t>
      </w:r>
    </w:p>
    <w:p>
      <w:pPr>
        <w:keepNext/>
        <w:widowControl/>
      </w:pPr>
      <w:r>
        <w:rPr>
          <w:b/>
          <w:i w:val="0"/>
        </w:rPr>
        <w:t>In the Platonic Theology.</w:t>
      </w:r>
    </w:p>
    <w:p>
      <w:pPr>
        <w:widowControl/>
      </w:pPr>
      <w:r>
        <w:rPr>
          <w:b w:val="0"/>
          <w:i w:val="0"/>
        </w:rPr>
        <w:t>The light of God gives angel and soul their unity and actuality, while their position beneath higher beings explains what they lack. Angel is under God’s shadow and therefore manifold; soul is also under angel’s shadow and therefore changeable. Ficino expressly glosses being under God’s shadow as being beneath God, together with angel. This guards against treating shadow as an additional dark substance causing evil. Later the soul diffuses its vital shadow through bodily division while remaining whole and indivisible itself. That second use explains how one source has differentiated bodily effects. The two contexts are related by dependence and diminished manifestation, but one names a rank below a higher being while the other names a lower manifestation of soul’s own life.</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III.1.17 (Latin PDF p. 250; English PDF p. 251).</w:t>
      </w:r>
      <w:r>
        <w:rPr>
          <w:b w:val="0"/>
          <w:i w:val="0"/>
        </w:rPr>
        <w:t xml:space="preserve"> Light and shadow differentiate received perfection from subordinate limitation.</w:t>
      </w:r>
    </w:p>
    <w:p>
      <w:pPr>
        <w:ind w:left="187" w:hanging="187"/>
      </w:pPr>
      <w:r>
        <w:t xml:space="preserve">• </w:t>
      </w:r>
      <w:r>
        <w:rPr>
          <w:b/>
          <w:i w:val="0"/>
        </w:rPr>
        <w:t>III.1.19 (Latin PDF p. 250; English PDF p. 251).</w:t>
      </w:r>
      <w:r>
        <w:rPr>
          <w:b w:val="0"/>
          <w:i w:val="0"/>
        </w:rPr>
        <w:t xml:space="preserve"> The text glosses God’s shadow as being beneath God.</w:t>
      </w:r>
    </w:p>
    <w:p>
      <w:pPr>
        <w:ind w:left="187" w:hanging="187"/>
      </w:pPr>
      <w:r>
        <w:t xml:space="preserve">• </w:t>
      </w:r>
      <w:r>
        <w:rPr>
          <w:b/>
          <w:i w:val="0"/>
        </w:rPr>
        <w:t>III.2.19 (Latin PDF p. 272; English PDF p. 273).</w:t>
      </w:r>
      <w:r>
        <w:rPr>
          <w:b w:val="0"/>
          <w:i w:val="0"/>
        </w:rPr>
        <w:t xml:space="preserve"> The vital shadow is divisible with body while soul remains whole.</w:t>
      </w:r>
    </w:p>
    <w:p>
      <w:pPr>
        <w:keepNext/>
        <w:widowControl/>
      </w:pPr>
      <w:r>
        <w:rPr>
          <w:b/>
          <w:i w:val="0"/>
        </w:rPr>
        <w:t>In this edition.</w:t>
      </w:r>
    </w:p>
    <w:p>
      <w:pPr>
        <w:widowControl/>
      </w:pPr>
      <w:r>
        <w:rPr>
          <w:b w:val="0"/>
          <w:i w:val="0"/>
        </w:rPr>
        <w:t xml:space="preserve">The English retains </w:t>
      </w:r>
      <w:r>
        <w:t>“</w:t>
      </w:r>
      <w:r>
        <w:rPr>
          <w:b w:val="0"/>
          <w:i w:val="0"/>
        </w:rPr>
        <w:t>shadow</w:t>
      </w:r>
      <w:r>
        <w:t>”</w:t>
      </w:r>
      <w:r>
        <w:rPr>
          <w:b w:val="0"/>
          <w:i w:val="0"/>
        </w:rPr>
        <w:t xml:space="preserve"> and the explanatory </w:t>
      </w:r>
      <w:r>
        <w:t>“</w:t>
      </w:r>
      <w:r>
        <w:rPr>
          <w:b w:val="0"/>
          <w:i w:val="0"/>
        </w:rPr>
        <w:t>that is.</w:t>
      </w:r>
      <w:r>
        <w:t>”</w:t>
      </w:r>
      <w:r>
        <w:rPr>
          <w:b w:val="0"/>
          <w:i w:val="0"/>
        </w:rPr>
        <w:t xml:space="preserve"> Neither context identifies an evil rival principle. </w:t>
      </w:r>
      <w:r>
        <w:t>“</w:t>
      </w:r>
      <w:r>
        <w:rPr>
          <w:b w:val="0"/>
          <w:i w:val="0"/>
        </w:rPr>
        <w:t>Falls away</w:t>
      </w:r>
      <w:r>
        <w:t>”</w:t>
      </w:r>
      <w:r>
        <w:rPr>
          <w:b w:val="0"/>
          <w:i w:val="0"/>
        </w:rPr>
        <w:t xml:space="preserve"> or </w:t>
      </w:r>
      <w:r>
        <w:t>“</w:t>
      </w:r>
      <w:r>
        <w:rPr>
          <w:b w:val="0"/>
          <w:i w:val="0"/>
        </w:rPr>
        <w:t>falls below</w:t>
      </w:r>
      <w:r>
        <w:t>”</w:t>
      </w:r>
      <w:r>
        <w:rPr>
          <w:b w:val="0"/>
          <w:i w:val="0"/>
        </w:rPr>
        <w:t xml:space="preserve"> should not silently become a narrative of an individual angel’s sin.</w:t>
      </w:r>
    </w:p>
    <w:p>
      <w:pPr>
        <w:keepNext/>
        <w:widowControl/>
      </w:pPr>
      <w:r>
        <w:rPr>
          <w:b/>
          <w:i w:val="0"/>
        </w:rPr>
        <w:t>See also.</w:t>
      </w:r>
    </w:p>
    <w:p>
      <w:pPr>
        <w:widowControl/>
      </w:pPr>
      <w:hyperlink w:anchor="light-and-illumination">
        <w:r>
          <w:rPr>
            <w:color w:val="000000"/>
          </w:rPr>
          <w:t xml:space="preserve">Light and illumination</w:t>
        </w:r>
      </w:hyperlink>
      <w:r>
        <w:rPr>
          <w:b w:val="0"/>
          <w:i w:val="0"/>
        </w:rPr>
        <w:t xml:space="preserve">; </w:t>
      </w:r>
      <w:hyperlink w:anchor="degree-and-mediation">
        <w:r>
          <w:rPr>
            <w:color w:val="000000"/>
          </w:rPr>
          <w:t xml:space="preserve">Degree and mediation</w:t>
        </w:r>
      </w:hyperlink>
      <w:r>
        <w:rPr>
          <w:b w:val="0"/>
          <w:i w:val="0"/>
        </w:rPr>
        <w:t xml:space="preserve">; </w:t>
      </w:r>
      <w:hyperlink w:anchor="indivisibility">
        <w:r>
          <w:rPr>
            <w:color w:val="000000"/>
          </w:rPr>
          <w:t xml:space="preserve">Indivisibility</w:t>
        </w:r>
      </w:hyperlink>
      <w:r>
        <w:rPr>
          <w:b w:val="0"/>
          <w:i w:val="0"/>
        </w:rPr>
        <w:t xml:space="preserve">; </w:t>
      </w:r>
      <w:hyperlink w:anchor="image-and-likeness">
        <w:r>
          <w:rPr>
            <w:color w:val="000000"/>
          </w:rPr>
          <w:t xml:space="preserve">Image and likeness</w:t>
        </w:r>
      </w:hyperlink>
      <w:r>
        <w:rPr>
          <w:b w:val="0"/>
          <w:i w:val="0"/>
        </w:rPr>
        <w:t>.</w:t>
      </w:r>
    </w:p>
    <w:p>
      <w:bookmarkStart w:id="210" w:name="simplicity-and-composition"/>
      <w:pPr>
        <w:pStyle w:val="Heading2"/>
      </w:pPr>
      <w:r>
        <w:rPr>
          <w:b w:val="0"/>
          <w:i w:val="0"/>
        </w:rPr>
        <w:t>Simplicity and composition</w:t>
      </w:r>
      <w:bookmarkEnd w:id="210"/>
    </w:p>
    <w:p>
      <w:pPr>
        <w:keepNext/>
        <w:widowControl/>
      </w:pPr>
      <w:r>
        <w:rPr>
          <w:b/>
          <w:i w:val="0"/>
        </w:rPr>
        <w:t>Latin:</w:t>
      </w:r>
      <w:r>
        <w:rPr>
          <w:b w:val="0"/>
          <w:i w:val="0"/>
        </w:rPr>
        <w:t xml:space="preserve"> </w:t>
      </w:r>
      <w:r>
        <w:rPr>
          <w:b w:val="0"/>
          <w:i/>
        </w:rPr>
        <w:t>simplicitas</w:t>
      </w:r>
      <w:r>
        <w:rPr>
          <w:b w:val="0"/>
          <w:i w:val="0"/>
        </w:rPr>
        <w:t xml:space="preserve"> (simplicity); </w:t>
      </w:r>
      <w:r>
        <w:rPr>
          <w:b w:val="0"/>
          <w:i/>
        </w:rPr>
        <w:t>simplex</w:t>
      </w:r>
      <w:r>
        <w:rPr>
          <w:b w:val="0"/>
          <w:i w:val="0"/>
        </w:rPr>
        <w:t xml:space="preserve"> (simple); </w:t>
      </w:r>
      <w:r>
        <w:rPr>
          <w:b w:val="0"/>
          <w:i/>
        </w:rPr>
        <w:t>compositus</w:t>
      </w:r>
      <w:r>
        <w:rPr>
          <w:b w:val="0"/>
          <w:i w:val="0"/>
        </w:rPr>
        <w:t xml:space="preserve"> (composite); </w:t>
      </w:r>
      <w:r>
        <w:rPr>
          <w:b w:val="0"/>
          <w:i/>
        </w:rPr>
        <w:t>compositio</w:t>
      </w:r>
      <w:r>
        <w:rPr>
          <w:b w:val="0"/>
          <w:i w:val="0"/>
        </w:rPr>
        <w:t xml:space="preserve"> (composition); </w:t>
      </w:r>
      <w:r>
        <w:rPr>
          <w:b w:val="0"/>
          <w:i/>
        </w:rPr>
        <w:t>pars</w:t>
      </w:r>
      <w:r>
        <w:rPr>
          <w:b w:val="0"/>
          <w:i w:val="0"/>
        </w:rPr>
        <w:t xml:space="preserve">, plural </w:t>
      </w:r>
      <w:r>
        <w:rPr>
          <w:b w:val="0"/>
          <w:i/>
        </w:rPr>
        <w:t>partes</w:t>
      </w:r>
      <w:r>
        <w:rPr>
          <w:b w:val="0"/>
          <w:i w:val="0"/>
        </w:rPr>
        <w:t xml:space="preserve"> (part, parts)</w:t>
      </w:r>
    </w:p>
    <w:p>
      <w:pPr>
        <w:keepNext/>
        <w:widowControl/>
      </w:pPr>
      <w:r>
        <w:rPr>
          <w:b/>
          <w:i w:val="0"/>
        </w:rPr>
        <w:t>The word.</w:t>
      </w:r>
    </w:p>
    <w:p>
      <w:pPr>
        <w:widowControl/>
      </w:pPr>
      <w:r>
        <w:rPr>
          <w:b w:val="0"/>
          <w:i w:val="0"/>
        </w:rPr>
        <w:t>Simplex and simplicitas concern absence of composition; compositus and compositio the dependence of a whole on joined constituents. Parts need not be spatial pieces: a common nature and a distinguishing property can make a proposed being composite.</w:t>
      </w:r>
    </w:p>
    <w:p>
      <w:pPr>
        <w:keepNext/>
        <w:widowControl/>
      </w:pPr>
      <w:r>
        <w:rPr>
          <w:b/>
          <w:i w:val="0"/>
        </w:rPr>
        <w:t>In the Platonic Theology.</w:t>
      </w:r>
    </w:p>
    <w:p>
      <w:pPr>
        <w:widowControl/>
      </w:pPr>
      <w:r>
        <w:rPr>
          <w:b w:val="0"/>
          <w:i w:val="0"/>
        </w:rPr>
        <w:t>Simplicity means absence of the internal dependence entailed by composition, not lack of intelligence or explanatory richness. A composite needs its parts, the mutual relation of those parts, and the source that joins them. It can therefore be neither first nor self-sufficient in the unrestricted sense. The argument against two equal gods turns on this point: a common nature plus distinguishing properties would make each composite. God is supreme unity and therefore wholly simple, while whatever is besides God is described as manifold and composite. Divine simplicity also governs predication. God’s being, understanding, and operation cannot be independent components combined in a subject. Yet simplicity does not prevent knowledge of diverse things; one divine form can contain their differences in power and in a certain rational respect. The doctrine thus requires a careful distinction between multiple explanatory names or known effects and an actual assembly of divine parts. Lack of bodily dimensions alone therefore does not make all incorporeal things equally simple.</w:t>
      </w:r>
    </w:p>
    <w:p>
      <w:pPr>
        <w:widowControl/>
      </w:pPr>
      <w:r>
        <w:rPr>
          <w:b w:val="0"/>
          <w:i w:val="0"/>
        </w:rPr>
        <w:t xml:space="preserve">The proof also has a modal consequence. What depends on parts joined together would be exposed to their separation, so composition is incompatible with the supreme necessity of being. This inference is stronger than saying that a particular composite happens to be durable. Conversely, God’s complex-looking list of attributes does not amount to a parts list. Unity, truth, and goodness can be named according to different explanatory roles while remaining one substance. Knowledge of many individuals likewise need not insert their created differences into God as separate pieces. Ficino’s one form contains all forms in power, explaining omniscience without internal aggregation. Such qualification is required wherever English plurals such as </w:t>
      </w:r>
      <w:r>
        <w:t>“</w:t>
      </w:r>
      <w:r>
        <w:rPr>
          <w:b w:val="0"/>
          <w:i w:val="0"/>
        </w:rPr>
        <w:t>attributes,</w:t>
      </w:r>
      <w:r>
        <w:t>”</w:t>
      </w:r>
      <w:r>
        <w:rPr>
          <w:b w:val="0"/>
          <w:i w:val="0"/>
        </w:rPr>
        <w:t xml:space="preserve"> </w:t>
      </w:r>
      <w:r>
        <w:t>“</w:t>
      </w:r>
      <w:r>
        <w:rPr>
          <w:b w:val="0"/>
          <w:i w:val="0"/>
        </w:rPr>
        <w:t>powers,</w:t>
      </w:r>
      <w:r>
        <w:t>”</w:t>
      </w:r>
      <w:r>
        <w:rPr>
          <w:b w:val="0"/>
          <w:i w:val="0"/>
        </w:rPr>
        <w:t xml:space="preserve"> or </w:t>
      </w:r>
      <w:r>
        <w:t>“</w:t>
      </w:r>
      <w:r>
        <w:rPr>
          <w:b w:val="0"/>
          <w:i w:val="0"/>
        </w:rPr>
        <w:t>ideas</w:t>
      </w:r>
      <w:r>
        <w:t>”</w:t>
      </w:r>
      <w:r>
        <w:rPr>
          <w:b w:val="0"/>
          <w:i w:val="0"/>
        </w:rPr>
        <w:t xml:space="preserve"> might otherwise suggest constituent elements.</w:t>
      </w:r>
    </w:p>
    <w:p>
      <w:pPr>
        <w:keepNext/>
        <w:widowControl/>
      </w:pPr>
      <w:r>
        <w:rPr>
          <w:b/>
          <w:i w:val="0"/>
        </w:rPr>
        <w:t>The places.</w:t>
      </w:r>
    </w:p>
    <w:p>
      <w:pPr>
        <w:ind w:left="187" w:hanging="187"/>
      </w:pPr>
      <w:r>
        <w:t xml:space="preserve">• </w:t>
      </w:r>
      <w:r>
        <w:rPr>
          <w:b/>
          <w:i w:val="0"/>
        </w:rPr>
        <w:t>II.1.1–3, PDF pp. 98–101</w:t>
      </w:r>
      <w:r>
        <w:rPr>
          <w:b w:val="0"/>
          <w:i w:val="0"/>
        </w:rPr>
        <w:t>. Unity, truth, and goodness are presented as one source rather than three assembled constituents.</w:t>
      </w:r>
    </w:p>
    <w:p>
      <w:pPr>
        <w:ind w:left="187" w:hanging="187"/>
      </w:pPr>
      <w:r>
        <w:t xml:space="preserve">• </w:t>
      </w:r>
      <w:r>
        <w:rPr>
          <w:b/>
          <w:i w:val="0"/>
        </w:rPr>
        <w:t>II.2.2–7, PDF pp. 104–109</w:t>
      </w:r>
      <w:r>
        <w:rPr>
          <w:b w:val="0"/>
          <w:i w:val="0"/>
        </w:rPr>
        <w:t>. Two supposed gods sharing a nature but distinguished by properties would each be composite and dependent.</w:t>
      </w:r>
    </w:p>
    <w:p>
      <w:pPr>
        <w:ind w:left="187" w:hanging="187"/>
      </w:pPr>
      <w:r>
        <w:t xml:space="preserve">• </w:t>
      </w:r>
      <w:r>
        <w:rPr>
          <w:b/>
          <w:i w:val="0"/>
        </w:rPr>
        <w:t>II.7.9–10, PDF pp. 146–149</w:t>
      </w:r>
      <w:r>
        <w:rPr>
          <w:b w:val="0"/>
          <w:i w:val="0"/>
        </w:rPr>
        <w:t>. Dependence on parts is connected with separation and the necessity of first being.</w:t>
      </w:r>
    </w:p>
    <w:p>
      <w:pPr>
        <w:ind w:left="187" w:hanging="187"/>
      </w:pPr>
      <w:r>
        <w:t xml:space="preserve">• </w:t>
      </w:r>
      <w:r>
        <w:rPr>
          <w:b/>
          <w:i w:val="0"/>
        </w:rPr>
        <w:t>II.9.7–13 and II.10.10–12, PDF pp. 166–181</w:t>
      </w:r>
      <w:r>
        <w:rPr>
          <w:b w:val="0"/>
          <w:i w:val="0"/>
        </w:rPr>
        <w:t>. Knowledge of multiple things is explained without inserting their differences as assembled divine pieces.</w:t>
      </w:r>
    </w:p>
    <w:p>
      <w:pPr>
        <w:widowControl/>
      </w:pPr>
      <w:r>
        <w:rPr>
          <w:b/>
          <w:i w:val="0"/>
        </w:rPr>
        <w:t>Further passage references.</w:t>
      </w:r>
      <w:r>
        <w:rPr>
          <w:b w:val="0"/>
          <w:i w:val="0"/>
        </w:rPr>
        <w:t xml:space="preserve"> II.1.1–3, pp. 98–101; II.2.2–7, pp. 104–109; II.3.10, pp. 120–121; II.7.1–2, pp. 144–145; II.7.9–10, pp. 146–149; II.9.7–13, pp. 166–169; II.10.10–12, pp. 180–181</w:t>
      </w:r>
    </w:p>
    <w:p>
      <w:pPr>
        <w:keepNext/>
        <w:widowControl/>
      </w:pPr>
      <w:r>
        <w:rPr>
          <w:b/>
          <w:i w:val="0"/>
        </w:rPr>
        <w:t>In this edition.</w:t>
      </w:r>
    </w:p>
    <w:p>
      <w:pPr>
        <w:widowControl/>
      </w:pPr>
      <w:r>
        <w:rPr>
          <w:b w:val="0"/>
          <w:i w:val="0"/>
        </w:rPr>
        <w:t xml:space="preserve">The plural names of divine attributes do not automatically designate separate parts. The supplied English’s </w:t>
      </w:r>
      <w:r>
        <w:t>“</w:t>
      </w:r>
      <w:r>
        <w:rPr>
          <w:b w:val="0"/>
          <w:i w:val="0"/>
        </w:rPr>
        <w:t>common nature</w:t>
      </w:r>
      <w:r>
        <w:t>”</w:t>
      </w:r>
      <w:r>
        <w:rPr>
          <w:b w:val="0"/>
          <w:i w:val="0"/>
        </w:rPr>
        <w:t xml:space="preserve"> and </w:t>
      </w:r>
      <w:r>
        <w:t>“</w:t>
      </w:r>
      <w:r>
        <w:rPr>
          <w:b w:val="0"/>
          <w:i w:val="0"/>
        </w:rPr>
        <w:t>property</w:t>
      </w:r>
      <w:r>
        <w:t>”</w:t>
      </w:r>
      <w:r>
        <w:rPr>
          <w:b w:val="0"/>
          <w:i w:val="0"/>
        </w:rPr>
        <w:t xml:space="preserve"> at II.2.3 make a nonbodily kind of composition explicit, while </w:t>
      </w:r>
      <w:r>
        <w:t>“</w:t>
      </w:r>
      <w:r>
        <w:rPr>
          <w:b w:val="0"/>
          <w:i w:val="0"/>
        </w:rPr>
        <w:t>pure wine</w:t>
      </w:r>
      <w:r>
        <w:t>”</w:t>
      </w:r>
      <w:r>
        <w:rPr>
          <w:b w:val="0"/>
          <w:i w:val="0"/>
        </w:rPr>
        <w:t xml:space="preserve"> illustrates unified genuineness at II.1.1.</w:t>
      </w:r>
    </w:p>
    <w:p>
      <w:pPr>
        <w:keepNext/>
        <w:widowControl/>
      </w:pPr>
      <w:r>
        <w:rPr>
          <w:b/>
          <w:i w:val="0"/>
        </w:rPr>
        <w:t>See also.</w:t>
      </w:r>
    </w:p>
    <w:p>
      <w:pPr>
        <w:widowControl/>
      </w:pPr>
      <w:hyperlink w:anchor="unity-and-multiplicity">
        <w:r>
          <w:rPr>
            <w:color w:val="000000"/>
          </w:rPr>
          <w:t xml:space="preserve">Unity and multiplicity</w:t>
        </w:r>
      </w:hyperlink>
      <w:r>
        <w:rPr>
          <w:b w:val="0"/>
          <w:i w:val="0"/>
        </w:rPr>
        <w:t xml:space="preserve">; </w:t>
      </w:r>
      <w:hyperlink w:anchor="freedom-and-necessity">
        <w:r>
          <w:rPr>
            <w:color w:val="000000"/>
          </w:rPr>
          <w:t xml:space="preserve">Freedom and necessity</w:t>
        </w:r>
      </w:hyperlink>
      <w:r>
        <w:rPr>
          <w:b w:val="0"/>
          <w:i w:val="0"/>
        </w:rPr>
        <w:t xml:space="preserve">; </w:t>
      </w:r>
      <w:hyperlink w:anchor="whole-and-parts">
        <w:r>
          <w:rPr>
            <w:color w:val="000000"/>
          </w:rPr>
          <w:t xml:space="preserve">Whole and parts</w:t>
        </w:r>
      </w:hyperlink>
      <w:r>
        <w:rPr>
          <w:b w:val="0"/>
          <w:i w:val="0"/>
        </w:rPr>
        <w:t xml:space="preserve">; </w:t>
      </w:r>
      <w:hyperlink w:anchor="purity-and-mixture">
        <w:r>
          <w:rPr>
            <w:color w:val="000000"/>
          </w:rPr>
          <w:t xml:space="preserve">Purity and mixture</w:t>
        </w:r>
      </w:hyperlink>
      <w:r>
        <w:rPr>
          <w:b w:val="0"/>
          <w:i w:val="0"/>
        </w:rPr>
        <w:t xml:space="preserve">; </w:t>
      </w:r>
      <w:hyperlink w:anchor="intuition-and-comprehension">
        <w:r>
          <w:rPr>
            <w:color w:val="000000"/>
          </w:rPr>
          <w:t xml:space="preserve">Intuition and comprehension</w:t>
        </w:r>
      </w:hyperlink>
    </w:p>
    <w:p>
      <w:bookmarkStart w:id="211" w:name="soul"/>
      <w:pPr>
        <w:pStyle w:val="Heading2"/>
      </w:pPr>
      <w:r>
        <w:rPr>
          <w:b w:val="0"/>
          <w:i w:val="0"/>
        </w:rPr>
        <w:t>Soul</w:t>
      </w:r>
      <w:bookmarkEnd w:id="211"/>
    </w:p>
    <w:p>
      <w:pPr>
        <w:keepNext/>
        <w:widowControl/>
      </w:pPr>
      <w:r>
        <w:rPr>
          <w:b/>
          <w:i w:val="0"/>
        </w:rPr>
        <w:t>Latin:</w:t>
      </w:r>
      <w:r>
        <w:rPr>
          <w:b w:val="0"/>
          <w:i w:val="0"/>
        </w:rPr>
        <w:t xml:space="preserve"> </w:t>
      </w:r>
      <w:r>
        <w:rPr>
          <w:b w:val="0"/>
          <w:i/>
        </w:rPr>
        <w:t>anima</w:t>
      </w:r>
      <w:r>
        <w:rPr>
          <w:b w:val="0"/>
          <w:i w:val="0"/>
        </w:rPr>
        <w:t xml:space="preserve">, </w:t>
      </w:r>
      <w:r>
        <w:rPr>
          <w:b w:val="0"/>
          <w:i/>
        </w:rPr>
        <w:t>animus</w:t>
      </w:r>
      <w:r>
        <w:rPr>
          <w:b w:val="0"/>
          <w:i w:val="0"/>
        </w:rPr>
        <w:t xml:space="preserve">, </w:t>
      </w:r>
      <w:r>
        <w:rPr>
          <w:b w:val="0"/>
          <w:i/>
        </w:rPr>
        <w:t>anima rationalis</w:t>
      </w:r>
      <w:r>
        <w:rPr>
          <w:b w:val="0"/>
          <w:i w:val="0"/>
        </w:rPr>
        <w:t xml:space="preserve">, </w:t>
      </w:r>
      <w:r>
        <w:rPr>
          <w:b w:val="0"/>
          <w:i/>
        </w:rPr>
        <w:t>anima irrationalis</w:t>
      </w:r>
      <w:r>
        <w:rPr>
          <w:b w:val="0"/>
          <w:i w:val="0"/>
        </w:rPr>
        <w:t xml:space="preserve">; </w:t>
      </w:r>
      <w:r>
        <w:rPr>
          <w:b w:val="0"/>
          <w:i/>
        </w:rPr>
        <w:t>tertia essentia</w:t>
      </w:r>
      <w:r>
        <w:rPr>
          <w:b w:val="0"/>
          <w:i w:val="0"/>
        </w:rPr>
        <w:t xml:space="preserve">, </w:t>
      </w:r>
      <w:r>
        <w:rPr>
          <w:b w:val="0"/>
          <w:i/>
        </w:rPr>
        <w:t>essentia tertia</w:t>
      </w:r>
      <w:r>
        <w:rPr>
          <w:b w:val="0"/>
          <w:i w:val="0"/>
        </w:rPr>
        <w:t xml:space="preserve">, </w:t>
      </w:r>
      <w:r>
        <w:rPr>
          <w:b w:val="0"/>
          <w:i/>
        </w:rPr>
        <w:t>copula mundi</w:t>
      </w:r>
      <w:r>
        <w:rPr>
          <w:b w:val="0"/>
          <w:i w:val="0"/>
        </w:rPr>
        <w:t xml:space="preserve">, </w:t>
      </w:r>
      <w:r>
        <w:rPr>
          <w:b w:val="0"/>
          <w:i/>
        </w:rPr>
        <w:t>nodus</w:t>
      </w:r>
      <w:r>
        <w:rPr>
          <w:b w:val="0"/>
          <w:i w:val="0"/>
        </w:rPr>
        <w:t xml:space="preserve">, </w:t>
      </w:r>
      <w:r>
        <w:rPr>
          <w:b w:val="0"/>
          <w:i/>
        </w:rPr>
        <w:t>connexio</w:t>
      </w:r>
      <w:r>
        <w:rPr>
          <w:b w:val="0"/>
          <w:i w:val="0"/>
        </w:rPr>
        <w:t xml:space="preserve">; </w:t>
      </w:r>
      <w:r>
        <w:rPr>
          <w:b w:val="0"/>
          <w:i/>
        </w:rPr>
        <w:t>tres rationalium animarum gradus</w:t>
      </w:r>
      <w:r>
        <w:rPr>
          <w:b w:val="0"/>
          <w:i w:val="0"/>
        </w:rPr>
        <w:t xml:space="preserve">, </w:t>
      </w:r>
      <w:r>
        <w:rPr>
          <w:b w:val="0"/>
          <w:i/>
        </w:rPr>
        <w:t>anima mundi</w:t>
      </w:r>
      <w:r>
        <w:rPr>
          <w:b w:val="0"/>
          <w:i w:val="0"/>
        </w:rPr>
        <w:t xml:space="preserve">, </w:t>
      </w:r>
      <w:r>
        <w:rPr>
          <w:b w:val="0"/>
          <w:i/>
        </w:rPr>
        <w:t>sphaerarum animae</w:t>
      </w:r>
      <w:r>
        <w:rPr>
          <w:b w:val="0"/>
          <w:i w:val="0"/>
        </w:rPr>
        <w:t xml:space="preserve">, </w:t>
      </w:r>
      <w:r>
        <w:rPr>
          <w:b w:val="0"/>
          <w:i/>
        </w:rPr>
        <w:t>animae … in sphaeris</w:t>
      </w:r>
    </w:p>
    <w:p>
      <w:pPr>
        <w:keepNext/>
        <w:widowControl/>
      </w:pPr>
      <w:r>
        <w:rPr>
          <w:b/>
          <w:i w:val="0"/>
        </w:rPr>
        <w:t>The word.</w:t>
      </w:r>
    </w:p>
    <w:p>
      <w:pPr>
        <w:widowControl/>
      </w:pPr>
      <w:r>
        <w:rPr>
          <w:b w:val="0"/>
          <w:i w:val="0"/>
        </w:rPr>
        <w:t>Anima and animus name soul in overlapping uses; rationalis specifies the rational kind. Tertia essentia places soul at the third metaphysical grade, while copula, nodus, and connexio describe its mediating function.</w:t>
      </w:r>
    </w:p>
    <w:p>
      <w:pPr>
        <w:keepNext/>
        <w:widowControl/>
      </w:pPr>
      <w:r>
        <w:rPr>
          <w:b/>
          <w:i w:val="0"/>
        </w:rPr>
        <w:t>In the Platonic Theology.</w:t>
      </w:r>
    </w:p>
    <w:p>
      <w:pPr>
        <w:widowControl/>
      </w:pPr>
      <w:r>
        <w:rPr>
          <w:b w:val="0"/>
          <w:i w:val="0"/>
        </w:rPr>
        <w:t xml:space="preserve">Soul is the third and middle grade in the fivefold order, below God and angel and above quality and body. It joins intellectual life to the inward communication of life and motion to bodies. The rational soul is an incorporeal, indivisible, self-subsisting form, yet unlike angel it is not immobile in every respect. Its essence remains while its operations change; its power has both enduring natural vigor and a changeable acquired aspect. Mind is within soul without exhausting its functions, which also include sensation, imagination, and generation. Ficino further describes an irrational soul accompanying rational soul as a shadow accompanies a body. </w:t>
      </w:r>
      <w:r>
        <w:rPr>
          <w:b w:val="0"/>
          <w:i/>
        </w:rPr>
        <w:t>Animus</w:t>
      </w:r>
      <w:r>
        <w:rPr>
          <w:b w:val="0"/>
          <w:i w:val="0"/>
        </w:rPr>
        <w:t xml:space="preserve"> is prominent in the title, Proem, and exhortations, while </w:t>
      </w:r>
      <w:r>
        <w:rPr>
          <w:b w:val="0"/>
          <w:i/>
        </w:rPr>
        <w:t>anima</w:t>
      </w:r>
      <w:r>
        <w:rPr>
          <w:b w:val="0"/>
          <w:i w:val="0"/>
        </w:rPr>
        <w:t xml:space="preserve"> dominates the technical hierarchy; the local uses do not establish an absolute system-wide separation of their meanings.</w:t>
      </w:r>
    </w:p>
    <w:p>
      <w:pPr>
        <w:widowControl/>
      </w:pPr>
      <w:r>
        <w:rPr>
          <w:b w:val="0"/>
          <w:i w:val="0"/>
        </w:rPr>
        <w:t>Book III defines rational soul as a life understanding discursively and vivifying body in time. Neither consciousness considered alone nor bodily animation alone captures its mediating role. It knows higher realities through spiritual union and gives life to lower ones through inward motion, maintaining both relations at once. The names center of nature, middle of the universe, chain of the world, countenance of all things, knot, and bond of the world describe these powers and relations rather than additional entities. Soul contains images and gifts of higher realities and exemplary productive principles of lower ones. Its presence is whole in each bodily part: it is neither a spatial point lodged in one place nor a quality partitioned with bodily extension. Self-motion does not make it independent of God; it supplies the temporal manner of activity while receiving higher actuality and direction.</w:t>
      </w:r>
    </w:p>
    <w:p>
      <w:pPr>
        <w:widowControl/>
      </w:pPr>
      <w:r>
        <w:rPr>
          <w:b w:val="0"/>
          <w:i w:val="0"/>
        </w:rPr>
        <w:t>Book IV subdivides this middle grade into three ranks of rational souls: one world-soul; twelve sphere-souls; and the many souls living within particular spheres. Thus a star can possess its own soul within a sphere, and a human has a proper soul within the earth’s region. This threefold subdivision does not replace the fivefold hierarchy. The intervening Pythagorean numerical scheme adds principal governing souls, while the concluding classification preserves the distinction among world, spheres, and inhabitants. Ficino subjects the narrated account of sphere-souls to examination and approval by Christian theologians.</w:t>
      </w:r>
    </w:p>
    <w:p>
      <w:pPr>
        <w:widowControl/>
      </w:pPr>
      <w:r>
        <w:rPr>
          <w:b w:val="0"/>
          <w:i w:val="0"/>
        </w:rPr>
        <w:t xml:space="preserve">A further qualification concerns activity within celestial souls. IV.2.10 says that their highest minds possess all Ideas together both habitually and actually; their lowest bodily motive powers possess all productive seeds but actualize them successively. Their middle reason can become stable through absorption in mind because their bodies require little administration. Human reason, by contrast, is drawn into the laborious governance of a needy body. Consequently, the general description of soul’s successive operation does not mean every activity of every soul must be successive. IV.2.11 even reports an ordered rational return completed in one moment as </w:t>
      </w:r>
      <w:r>
        <w:t>“</w:t>
      </w:r>
      <w:r>
        <w:rPr>
          <w:b w:val="0"/>
          <w:i w:val="0"/>
        </w:rPr>
        <w:t>eternal motion.</w:t>
      </w:r>
      <w:r>
        <w:t>”</w:t>
      </w:r>
    </w:p>
    <w:p>
      <w:pPr>
        <w:widowControl/>
      </w:pPr>
      <w:r>
        <w:rPr>
          <w:b w:val="0"/>
          <w:i w:val="0"/>
        </w:rPr>
        <w:t>The opening program announces common reasons, arguments proper to soul, signs, and solutions to questions in support of immortality. These first four books establish and develop the hierarchy and mediation within that larger project; they do not contain all the specialized demonstrations promised for the work.</w:t>
      </w:r>
    </w:p>
    <w:p>
      <w:pPr>
        <w:keepNext/>
        <w:widowControl/>
      </w:pPr>
      <w:r>
        <w:rPr>
          <w:b/>
          <w:i w:val="0"/>
        </w:rPr>
        <w:t>The places.</w:t>
      </w:r>
    </w:p>
    <w:p>
      <w:pPr>
        <w:ind w:left="187" w:hanging="187"/>
      </w:pPr>
      <w:r>
        <w:t xml:space="preserve">• </w:t>
      </w:r>
      <w:r>
        <w:rPr>
          <w:b/>
          <w:i w:val="0"/>
        </w:rPr>
        <w:t>I.1.7, PDF pp. 16–17</w:t>
      </w:r>
      <w:r>
        <w:rPr>
          <w:b w:val="0"/>
          <w:i w:val="0"/>
        </w:rPr>
        <w:t>. The five-grade program places rational soul in the middle and announces the larger demonstration.</w:t>
      </w:r>
    </w:p>
    <w:p>
      <w:pPr>
        <w:ind w:left="187" w:hanging="187"/>
      </w:pPr>
      <w:r>
        <w:t xml:space="preserve">• </w:t>
      </w:r>
      <w:r>
        <w:rPr>
          <w:b/>
          <w:i w:val="0"/>
        </w:rPr>
        <w:t>III.2.8 and III.2.28–30, PDF pp. 266–279</w:t>
      </w:r>
      <w:r>
        <w:rPr>
          <w:b w:val="0"/>
          <w:i w:val="0"/>
        </w:rPr>
        <w:t>. Soul joins knowing higher realities with inwardly vivifying bodies and is defined through discursive cognition.</w:t>
      </w:r>
    </w:p>
    <w:p>
      <w:pPr>
        <w:ind w:left="187" w:hanging="187"/>
      </w:pPr>
      <w:r>
        <w:t xml:space="preserve">• </w:t>
      </w:r>
      <w:r>
        <w:rPr>
          <w:b/>
          <w:i w:val="0"/>
        </w:rPr>
        <w:t>IV.1.37 and IV.1.96, PDF pp. 300–301 and 332–333</w:t>
      </w:r>
      <w:r>
        <w:rPr>
          <w:b w:val="0"/>
          <w:i w:val="0"/>
        </w:rPr>
        <w:t>. Proper creature-souls are distinguished from sphere-souls and world-soul; the cosmic account receives a theological condition.</w:t>
      </w:r>
    </w:p>
    <w:p>
      <w:pPr>
        <w:ind w:left="187" w:hanging="187"/>
      </w:pPr>
      <w:r>
        <w:t xml:space="preserve">• </w:t>
      </w:r>
      <w:r>
        <w:rPr>
          <w:b/>
          <w:i w:val="0"/>
        </w:rPr>
        <w:t>IV.2.9–11, PDF pp. 336–339</w:t>
      </w:r>
      <w:r>
        <w:rPr>
          <w:b w:val="0"/>
          <w:i w:val="0"/>
        </w:rPr>
        <w:t>. Celestial mind, reason, and lower motive powers qualify the broad description of soul’s temporal activity.</w:t>
      </w:r>
    </w:p>
    <w:p>
      <w:pPr>
        <w:widowControl/>
      </w:pPr>
      <w:r>
        <w:rPr>
          <w:b/>
          <w:i w:val="0"/>
        </w:rPr>
        <w:t>Further passage references.</w:t>
      </w:r>
      <w:r>
        <w:rPr>
          <w:b w:val="0"/>
          <w:i w:val="0"/>
        </w:rPr>
        <w:t xml:space="preserve"> Proem.2, Proem.4–Proem.7 (PDF pp. 6–9); I.1.1–I.1.7 (pp. 14–17); I.3.33 (pp. 52–53); I.4.1–I.4.5 (pp. 54–59); I.5.1, I.5.11–I.5.14 (pp. 60–61, 66–69); I.6.14 (pp. 90–91); II.13.25–30, PDF 234–237; III.1.1–32, PDF 240–261; III.2.1–30, PDF 262–279; Book IV title, p. 281; IV.1 heading and IV.1.1, pp. 282–283; IV.1.37, pp. 300–301; IV.1.50–IV.1.52, pp. 306–309; IV.1.96, pp. 332–333; IV.2.9–11, pp. 336–339</w:t>
      </w:r>
    </w:p>
    <w:p>
      <w:pPr>
        <w:keepNext/>
        <w:widowControl/>
      </w:pPr>
      <w:r>
        <w:rPr>
          <w:b/>
          <w:i w:val="0"/>
        </w:rPr>
        <w:t>In this edition.</w:t>
      </w:r>
    </w:p>
    <w:p>
      <w:pPr>
        <w:widowControl/>
      </w:pPr>
      <w:r>
        <w:rPr>
          <w:b w:val="0"/>
          <w:i w:val="0"/>
        </w:rPr>
        <w:t>Anima is not synonymous with only conscious thought, and animalis in Book IV means animating or belonging to bodily life. The general account of successive operation is qualified by celestial mind’s simultaneous possession and by the explicit discussion of eternal motion.</w:t>
      </w:r>
    </w:p>
    <w:p>
      <w:pPr>
        <w:keepNext/>
        <w:widowControl/>
      </w:pPr>
      <w:r>
        <w:rPr>
          <w:b/>
          <w:i w:val="0"/>
        </w:rPr>
        <w:t>See also.</w:t>
      </w:r>
    </w:p>
    <w:p>
      <w:pPr>
        <w:widowControl/>
      </w:pPr>
      <w:hyperlink w:anchor="mind">
        <w:r>
          <w:rPr>
            <w:color w:val="000000"/>
          </w:rPr>
          <w:t xml:space="preserve">Mind</w:t>
        </w:r>
      </w:hyperlink>
      <w:r>
        <w:rPr>
          <w:b w:val="0"/>
          <w:i w:val="0"/>
        </w:rPr>
        <w:t xml:space="preserve">; </w:t>
      </w:r>
      <w:hyperlink w:anchor="life">
        <w:r>
          <w:rPr>
            <w:color w:val="000000"/>
          </w:rPr>
          <w:t xml:space="preserve">Life</w:t>
        </w:r>
      </w:hyperlink>
      <w:r>
        <w:rPr>
          <w:b w:val="0"/>
          <w:i w:val="0"/>
        </w:rPr>
        <w:t xml:space="preserve">; </w:t>
      </w:r>
      <w:hyperlink w:anchor="immortality">
        <w:r>
          <w:rPr>
            <w:color w:val="000000"/>
          </w:rPr>
          <w:t xml:space="preserve">Immortality</w:t>
        </w:r>
      </w:hyperlink>
      <w:r>
        <w:rPr>
          <w:b w:val="0"/>
          <w:i w:val="0"/>
        </w:rPr>
        <w:t xml:space="preserve">; </w:t>
      </w:r>
      <w:hyperlink w:anchor="degree-and-mediation">
        <w:r>
          <w:rPr>
            <w:color w:val="000000"/>
          </w:rPr>
          <w:t xml:space="preserve">Degree and mediation</w:t>
        </w:r>
      </w:hyperlink>
      <w:r>
        <w:rPr>
          <w:b w:val="0"/>
          <w:i w:val="0"/>
        </w:rPr>
        <w:t xml:space="preserve">; </w:t>
      </w:r>
      <w:hyperlink w:anchor="motion-and-stability">
        <w:r>
          <w:rPr>
            <w:color w:val="000000"/>
          </w:rPr>
          <w:t xml:space="preserve">Motion and stability</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world-soul">
        <w:r>
          <w:rPr>
            <w:color w:val="000000"/>
          </w:rPr>
          <w:t xml:space="preserve">World soul</w:t>
        </w:r>
      </w:hyperlink>
      <w:r>
        <w:rPr>
          <w:b w:val="0"/>
          <w:i w:val="0"/>
        </w:rPr>
        <w:t xml:space="preserve">; </w:t>
      </w:r>
      <w:hyperlink w:anchor="spheres-and-stars">
        <w:r>
          <w:rPr>
            <w:color w:val="000000"/>
          </w:rPr>
          <w:t xml:space="preserve">Spheres and stars</w:t>
        </w:r>
      </w:hyperlink>
      <w:r>
        <w:rPr>
          <w:b w:val="0"/>
          <w:i w:val="0"/>
        </w:rPr>
        <w:t xml:space="preserve">; </w:t>
      </w:r>
      <w:hyperlink w:anchor="twelve">
        <w:r>
          <w:rPr>
            <w:color w:val="000000"/>
          </w:rPr>
          <w:t xml:space="preserve">Twelve</w:t>
        </w:r>
      </w:hyperlink>
      <w:r>
        <w:rPr>
          <w:b w:val="0"/>
          <w:i w:val="0"/>
        </w:rPr>
        <w:t xml:space="preserve">; </w:t>
      </w:r>
      <w:hyperlink w:anchor="earth-soul">
        <w:r>
          <w:rPr>
            <w:color w:val="000000"/>
          </w:rPr>
          <w:t xml:space="preserve">Earth soul</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habitual-possession">
        <w:r>
          <w:rPr>
            <w:color w:val="000000"/>
          </w:rPr>
          <w:t xml:space="preserve">Habitual possession</w:t>
        </w:r>
      </w:hyperlink>
      <w:r>
        <w:rPr>
          <w:b w:val="0"/>
          <w:i w:val="0"/>
        </w:rPr>
        <w:t xml:space="preserve">; </w:t>
      </w:r>
      <w:hyperlink w:anchor="eternity-and-time">
        <w:r>
          <w:rPr>
            <w:color w:val="000000"/>
          </w:rPr>
          <w:t xml:space="preserve">Eternity and time</w:t>
        </w:r>
      </w:hyperlink>
      <w:r>
        <w:rPr>
          <w:b w:val="0"/>
          <w:i w:val="0"/>
        </w:rPr>
        <w:t xml:space="preserve">; </w:t>
      </w:r>
      <w:hyperlink w:anchor="bond-knot-and-chain">
        <w:r>
          <w:rPr>
            <w:color w:val="000000"/>
          </w:rPr>
          <w:t xml:space="preserve">Bond knot and chain</w:t>
        </w:r>
      </w:hyperlink>
    </w:p>
    <w:p>
      <w:bookmarkStart w:id="212" w:name="sowing-and-weaving"/>
      <w:pPr>
        <w:pStyle w:val="Heading2"/>
      </w:pPr>
      <w:r>
        <w:rPr>
          <w:b w:val="0"/>
          <w:i w:val="0"/>
        </w:rPr>
        <w:t>Sowing and weaving</w:t>
      </w:r>
      <w:bookmarkEnd w:id="212"/>
    </w:p>
    <w:p>
      <w:pPr>
        <w:keepNext/>
        <w:widowControl/>
      </w:pPr>
      <w:r>
        <w:rPr>
          <w:b/>
          <w:i w:val="0"/>
        </w:rPr>
        <w:t>Latin:</w:t>
      </w:r>
      <w:r>
        <w:rPr>
          <w:b w:val="0"/>
          <w:i w:val="0"/>
        </w:rPr>
        <w:t xml:space="preserve"> </w:t>
      </w:r>
      <w:r>
        <w:rPr>
          <w:b w:val="0"/>
          <w:i/>
        </w:rPr>
        <w:t>semina</w:t>
      </w:r>
      <w:r>
        <w:rPr>
          <w:b w:val="0"/>
          <w:i w:val="0"/>
        </w:rPr>
        <w:t xml:space="preserve">, </w:t>
      </w:r>
      <w:r>
        <w:rPr>
          <w:b w:val="0"/>
          <w:i/>
        </w:rPr>
        <w:t>serit</w:t>
      </w:r>
      <w:r>
        <w:rPr>
          <w:b w:val="0"/>
          <w:i w:val="0"/>
        </w:rPr>
        <w:t xml:space="preserve">, </w:t>
      </w:r>
      <w:r>
        <w:rPr>
          <w:b w:val="0"/>
          <w:i/>
        </w:rPr>
        <w:t>parit</w:t>
      </w:r>
      <w:r>
        <w:rPr>
          <w:b w:val="0"/>
          <w:i w:val="0"/>
        </w:rPr>
        <w:t xml:space="preserve">, </w:t>
      </w:r>
      <w:r>
        <w:rPr>
          <w:b w:val="0"/>
          <w:i/>
        </w:rPr>
        <w:t>telam generationis retexere</w:t>
      </w:r>
      <w:r>
        <w:rPr>
          <w:b w:val="0"/>
          <w:i w:val="0"/>
        </w:rPr>
        <w:t xml:space="preserve">, </w:t>
      </w:r>
      <w:r>
        <w:rPr>
          <w:b w:val="0"/>
          <w:i/>
        </w:rPr>
        <w:t>explicat</w:t>
      </w:r>
      <w:r>
        <w:rPr>
          <w:b w:val="0"/>
          <w:i w:val="0"/>
        </w:rPr>
        <w:t xml:space="preserve">, </w:t>
      </w:r>
      <w:r>
        <w:rPr>
          <w:b w:val="0"/>
          <w:i/>
        </w:rPr>
        <w:t>promat</w:t>
      </w:r>
      <w:r>
        <w:rPr>
          <w:b w:val="0"/>
          <w:i w:val="0"/>
        </w:rPr>
        <w:t xml:space="preserve">, </w:t>
      </w:r>
      <w:r>
        <w:rPr>
          <w:b w:val="0"/>
          <w:i/>
        </w:rPr>
        <w:t>mutantem Protea formas</w:t>
      </w:r>
      <w:r>
        <w:rPr>
          <w:b w:val="0"/>
          <w:i w:val="0"/>
        </w:rPr>
        <w:t>.</w:t>
      </w:r>
    </w:p>
    <w:p>
      <w:pPr>
        <w:keepNext/>
        <w:widowControl/>
      </w:pPr>
      <w:r>
        <w:rPr>
          <w:b/>
          <w:i w:val="0"/>
        </w:rPr>
        <w:t>The word.</w:t>
      </w:r>
    </w:p>
    <w:p>
      <w:pPr>
        <w:widowControl/>
      </w:pPr>
      <w:r>
        <w:rPr>
          <w:b w:val="0"/>
          <w:i/>
        </w:rPr>
        <w:t>Serere</w:t>
      </w:r>
      <w:r>
        <w:rPr>
          <w:b w:val="0"/>
          <w:i w:val="0"/>
        </w:rPr>
        <w:t xml:space="preserve"> sows; </w:t>
      </w:r>
      <w:r>
        <w:rPr>
          <w:b w:val="0"/>
          <w:i/>
        </w:rPr>
        <w:t>parere</w:t>
      </w:r>
      <w:r>
        <w:rPr>
          <w:b w:val="0"/>
          <w:i w:val="0"/>
        </w:rPr>
        <w:t xml:space="preserve"> brings forth; </w:t>
      </w:r>
      <w:r>
        <w:rPr>
          <w:b w:val="0"/>
          <w:i/>
        </w:rPr>
        <w:t>tela</w:t>
      </w:r>
      <w:r>
        <w:rPr>
          <w:b w:val="0"/>
          <w:i w:val="0"/>
        </w:rPr>
        <w:t xml:space="preserve"> is a woven fabric or web; </w:t>
      </w:r>
      <w:r>
        <w:rPr>
          <w:b w:val="0"/>
          <w:i/>
        </w:rPr>
        <w:t>retexere</w:t>
      </w:r>
      <w:r>
        <w:rPr>
          <w:b w:val="0"/>
          <w:i w:val="0"/>
        </w:rPr>
        <w:t xml:space="preserve"> can weave again. </w:t>
      </w:r>
      <w:r>
        <w:rPr>
          <w:b w:val="0"/>
          <w:i/>
        </w:rPr>
        <w:t>Explicare</w:t>
      </w:r>
      <w:r>
        <w:rPr>
          <w:b w:val="0"/>
          <w:i w:val="0"/>
        </w:rPr>
        <w:t xml:space="preserve"> unfolds or makes explicit, while </w:t>
      </w:r>
      <w:r>
        <w:rPr>
          <w:b w:val="0"/>
          <w:i/>
        </w:rPr>
        <w:t>promere</w:t>
      </w:r>
      <w:r>
        <w:rPr>
          <w:b w:val="0"/>
          <w:i w:val="0"/>
        </w:rPr>
        <w:t xml:space="preserve"> brings out. These productive images describe successive realization of principles already held in another manner.</w:t>
      </w:r>
    </w:p>
    <w:p>
      <w:pPr>
        <w:keepNext/>
        <w:widowControl/>
      </w:pPr>
      <w:r>
        <w:rPr>
          <w:b/>
          <w:i w:val="0"/>
        </w:rPr>
        <w:t>In the Platonic Theology.</w:t>
      </w:r>
    </w:p>
    <w:p>
      <w:pPr>
        <w:widowControl/>
      </w:pPr>
      <w:r>
        <w:rPr>
          <w:b w:val="0"/>
          <w:i w:val="0"/>
        </w:rPr>
        <w:t>The lower celestial power cannot act upon all its seeds at once. It continually strives toward them, realizing one and then another. The resulting course supplies first motion and first time. Ficino identifies the changing Proteus with this process as his interpretation. Because the stock of seeds is finite, the course must eventually either rest or pass through them anew; the latter option becomes weaving the same fabric of generation again. The return of causes and effects and its use in an argument about bodily resurrection are then attributed to Zoroaster and successors.</w:t>
      </w:r>
    </w:p>
    <w:p>
      <w:pPr>
        <w:widowControl/>
      </w:pPr>
      <w:r>
        <w:rPr>
          <w:b w:val="0"/>
          <w:i w:val="0"/>
        </w:rPr>
        <w:t xml:space="preserve">The later expression </w:t>
      </w:r>
      <w:r>
        <w:t>“</w:t>
      </w:r>
      <w:r>
        <w:rPr>
          <w:b w:val="0"/>
          <w:i w:val="0"/>
        </w:rPr>
        <w:t>sows in heaven, brings forth in the elements</w:t>
      </w:r>
      <w:r>
        <w:t>”</w:t>
      </w:r>
      <w:r>
        <w:rPr>
          <w:b w:val="0"/>
          <w:i w:val="0"/>
        </w:rPr>
        <w:t xml:space="preserve"> marks differentiated levels of manifestation. A celestial configuration is not already the same thing as its generated elemental product. Nor does weaving prove the asserted cosmic period: the thirty-six-thousand-year figure is separately reported as Platonic. The metaphors clarify succession and causal articulation without independently establishing the historical cosmology.</w:t>
      </w:r>
    </w:p>
    <w:p>
      <w:pPr>
        <w:keepNext/>
        <w:widowControl/>
      </w:pPr>
      <w:r>
        <w:rPr>
          <w:b/>
          <w:i w:val="0"/>
        </w:rPr>
        <w:t>The places.</w:t>
      </w:r>
    </w:p>
    <w:p>
      <w:pPr>
        <w:ind w:left="187" w:hanging="187"/>
      </w:pPr>
      <w:r>
        <w:t xml:space="preserve">• </w:t>
      </w:r>
      <w:r>
        <w:rPr>
          <w:b/>
          <w:i w:val="0"/>
        </w:rPr>
        <w:t>IV.2.10–12, PDF pp. 338–341:</w:t>
      </w:r>
      <w:r>
        <w:rPr>
          <w:b w:val="0"/>
          <w:i w:val="0"/>
        </w:rPr>
        <w:t xml:space="preserve"> possession of seeds, successive actualization, Proteus, the rewoven fabric, and the reported cosmic recurrence</w:t>
      </w:r>
    </w:p>
    <w:p>
      <w:pPr>
        <w:ind w:left="187" w:hanging="187"/>
      </w:pPr>
      <w:r>
        <w:t xml:space="preserve">• </w:t>
      </w:r>
      <w:r>
        <w:rPr>
          <w:b/>
          <w:i w:val="0"/>
        </w:rPr>
        <w:t>IV.2.15–16, pp. 342–343:</w:t>
      </w:r>
      <w:r>
        <w:rPr>
          <w:b w:val="0"/>
          <w:i w:val="0"/>
        </w:rPr>
        <w:t xml:space="preserve"> one seed-kind is brought forth for attention, unfolded in heaven, and generated in the elements</w:t>
      </w:r>
    </w:p>
    <w:p>
      <w:pPr>
        <w:ind w:left="187" w:hanging="187"/>
      </w:pPr>
      <w:r>
        <w:t xml:space="preserve">• </w:t>
      </w:r>
      <w:r>
        <w:rPr>
          <w:b/>
          <w:i w:val="0"/>
        </w:rPr>
        <w:t>IV.2.20, pp. 344–345:</w:t>
      </w:r>
      <w:r>
        <w:rPr>
          <w:b w:val="0"/>
          <w:i w:val="0"/>
        </w:rPr>
        <w:t xml:space="preserve"> matter seeks through succession perfections it cannot hold together at rest</w:t>
      </w:r>
    </w:p>
    <w:p>
      <w:pPr>
        <w:keepNext/>
        <w:widowControl/>
      </w:pPr>
      <w:r>
        <w:rPr>
          <w:b/>
          <w:i w:val="0"/>
        </w:rPr>
        <w:t>In this edition.</w:t>
      </w:r>
    </w:p>
    <w:p>
      <w:pPr>
        <w:widowControl/>
      </w:pPr>
      <w:r>
        <w:t>“</w:t>
      </w:r>
      <w:r>
        <w:rPr>
          <w:b w:val="0"/>
          <w:i w:val="0"/>
        </w:rPr>
        <w:t>Weave again</w:t>
      </w:r>
      <w:r>
        <w:t>”</w:t>
      </w:r>
      <w:r>
        <w:rPr>
          <w:b w:val="0"/>
          <w:i w:val="0"/>
        </w:rPr>
        <w:t xml:space="preserve"> preserves the recurrent force of </w:t>
      </w:r>
      <w:r>
        <w:rPr>
          <w:b w:val="0"/>
          <w:i/>
        </w:rPr>
        <w:t>retexere</w:t>
      </w:r>
      <w:r>
        <w:rPr>
          <w:b w:val="0"/>
          <w:i w:val="0"/>
        </w:rPr>
        <w:t xml:space="preserve">. The source’s alternative </w:t>
      </w:r>
      <w:r>
        <w:t>“</w:t>
      </w:r>
      <w:r>
        <w:rPr>
          <w:b w:val="0"/>
          <w:i w:val="0"/>
        </w:rPr>
        <w:t>either … or</w:t>
      </w:r>
      <w:r>
        <w:t>”</w:t>
      </w:r>
      <w:r>
        <w:rPr>
          <w:b w:val="0"/>
          <w:i w:val="0"/>
        </w:rPr>
        <w:t xml:space="preserve"> and Ficino’s </w:t>
      </w:r>
      <w:r>
        <w:t>“</w:t>
      </w:r>
      <w:r>
        <w:rPr>
          <w:b w:val="0"/>
          <w:i w:val="0"/>
        </w:rPr>
        <w:t>I believe</w:t>
      </w:r>
      <w:r>
        <w:t>”</w:t>
      </w:r>
      <w:r>
        <w:rPr>
          <w:b w:val="0"/>
          <w:i w:val="0"/>
        </w:rPr>
        <w:t xml:space="preserve"> should remain visible, as should the attribution of recurrence and its numerical span.</w:t>
      </w:r>
    </w:p>
    <w:p>
      <w:pPr>
        <w:keepNext/>
        <w:widowControl/>
      </w:pPr>
      <w:r>
        <w:rPr>
          <w:b/>
          <w:i w:val="0"/>
        </w:rPr>
        <w:t>See also.</w:t>
      </w:r>
    </w:p>
    <w:p>
      <w:pPr>
        <w:widowControl/>
      </w:pPr>
      <w:hyperlink w:anchor="proteus">
        <w:r>
          <w:rPr>
            <w:color w:val="000000"/>
          </w:rPr>
          <w:t xml:space="preserve">Proteus</w:t>
        </w:r>
      </w:hyperlink>
      <w:r>
        <w:rPr>
          <w:b w:val="0"/>
          <w:i w:val="0"/>
        </w:rPr>
        <w:t xml:space="preserve">; </w:t>
      </w:r>
      <w:hyperlink w:anchor="seeds">
        <w:r>
          <w:rPr>
            <w:color w:val="000000"/>
          </w:rPr>
          <w:t xml:space="preserve">Seeds</w:t>
        </w:r>
      </w:hyperlink>
      <w:r>
        <w:rPr>
          <w:b w:val="0"/>
          <w:i w:val="0"/>
        </w:rPr>
        <w:t xml:space="preserve">; </w:t>
      </w:r>
      <w:hyperlink w:anchor="great-year">
        <w:r>
          <w:rPr>
            <w:color w:val="000000"/>
          </w:rPr>
          <w:t xml:space="preserve">Great year</w:t>
        </w:r>
      </w:hyperlink>
      <w:r>
        <w:rPr>
          <w:b w:val="0"/>
          <w:i w:val="0"/>
        </w:rPr>
        <w:t xml:space="preserve">; </w:t>
      </w:r>
      <w:hyperlink w:anchor="fate">
        <w:r>
          <w:rPr>
            <w:color w:val="000000"/>
          </w:rPr>
          <w:t xml:space="preserve">Fate</w:t>
        </w:r>
      </w:hyperlink>
      <w:r>
        <w:rPr>
          <w:b w:val="0"/>
          <w:i w:val="0"/>
        </w:rPr>
        <w:t xml:space="preserve">; </w:t>
      </w:r>
      <w:hyperlink w:anchor="assertion-report-and-reservation">
        <w:r>
          <w:rPr>
            <w:color w:val="000000"/>
          </w:rPr>
          <w:t xml:space="preserve">Assertion, report, and reservation</w:t>
        </w:r>
      </w:hyperlink>
      <w:r>
        <w:rPr>
          <w:b w:val="0"/>
          <w:i w:val="0"/>
        </w:rPr>
        <w:t>.</w:t>
      </w:r>
    </w:p>
    <w:p>
      <w:bookmarkStart w:id="213" w:name="species"/>
      <w:pPr>
        <w:pStyle w:val="Heading2"/>
      </w:pPr>
      <w:r>
        <w:rPr>
          <w:b w:val="0"/>
          <w:i w:val="0"/>
        </w:rPr>
        <w:t>Species</w:t>
      </w:r>
      <w:bookmarkEnd w:id="213"/>
    </w:p>
    <w:p>
      <w:pPr>
        <w:keepNext/>
        <w:widowControl/>
      </w:pPr>
      <w:r>
        <w:rPr>
          <w:b/>
          <w:i w:val="0"/>
        </w:rPr>
        <w:t>Latin:</w:t>
      </w:r>
      <w:r>
        <w:rPr>
          <w:b w:val="0"/>
          <w:i w:val="0"/>
        </w:rPr>
        <w:t xml:space="preserve"> </w:t>
      </w:r>
      <w:r>
        <w:rPr>
          <w:b w:val="0"/>
          <w:i/>
        </w:rPr>
        <w:t>species</w:t>
      </w:r>
      <w:r>
        <w:rPr>
          <w:b w:val="0"/>
          <w:i w:val="0"/>
        </w:rPr>
        <w:t xml:space="preserve">; </w:t>
      </w:r>
      <w:r>
        <w:rPr>
          <w:b w:val="0"/>
          <w:i/>
        </w:rPr>
        <w:t>species naturalis</w:t>
      </w:r>
      <w:r>
        <w:rPr>
          <w:b w:val="0"/>
          <w:i w:val="0"/>
        </w:rPr>
        <w:t xml:space="preserve">; </w:t>
      </w:r>
      <w:r>
        <w:rPr>
          <w:b w:val="0"/>
          <w:i/>
        </w:rPr>
        <w:t>species rerum intellectarum</w:t>
      </w:r>
    </w:p>
    <w:p>
      <w:pPr>
        <w:keepNext/>
        <w:widowControl/>
      </w:pPr>
      <w:r>
        <w:rPr>
          <w:b/>
          <w:i w:val="0"/>
        </w:rPr>
        <w:t>The word.</w:t>
      </w:r>
    </w:p>
    <w:p>
      <w:pPr>
        <w:widowControl/>
      </w:pPr>
      <w:r>
        <w:rPr>
          <w:b w:val="0"/>
          <w:i w:val="0"/>
        </w:rPr>
        <w:t>Species can mean a kind, a determining form, or a form presented to cognition. A natural species, the species completed by a separate mind, and the intelligible species of understood things differ in immediate role.</w:t>
      </w:r>
    </w:p>
    <w:p>
      <w:pPr>
        <w:keepNext/>
        <w:widowControl/>
      </w:pPr>
      <w:r>
        <w:rPr>
          <w:b/>
          <w:i w:val="0"/>
        </w:rPr>
        <w:t>In the Platonic Theology.</w:t>
      </w:r>
    </w:p>
    <w:p>
      <w:pPr>
        <w:widowControl/>
      </w:pPr>
      <w:r>
        <w:rPr>
          <w:b w:val="0"/>
          <w:i/>
        </w:rPr>
        <w:t>Species</w:t>
      </w:r>
      <w:r>
        <w:rPr>
          <w:b w:val="0"/>
          <w:i w:val="0"/>
        </w:rPr>
        <w:t xml:space="preserve"> can mark a determinate kind, a form, or what is presented to cognition. The context must decide. Bodies belong to this or that species through form rather than bulk. The discussion of fire’s substantial species concerns what makes fire the kind of thing it is, not merely its visible appearance. Separate minds are said to complete their own species, whereas a soul joined to a body is part of a composite living kind. In angelic intellect, the numerous </w:t>
      </w:r>
      <w:r>
        <w:rPr>
          <w:b w:val="0"/>
          <w:i/>
        </w:rPr>
        <w:t>species</w:t>
      </w:r>
      <w:r>
        <w:rPr>
          <w:b w:val="0"/>
          <w:i w:val="0"/>
        </w:rPr>
        <w:t xml:space="preserve"> of understood things are intelligible forms or contents, not additional material organisms. The account of angelic abundance likewise compares species of separate substances with species of corporeal things. </w:t>
      </w:r>
      <w:r>
        <w:t>“</w:t>
      </w:r>
      <w:r>
        <w:rPr>
          <w:b w:val="0"/>
          <w:i w:val="0"/>
        </w:rPr>
        <w:t>Species</w:t>
      </w:r>
      <w:r>
        <w:t>”</w:t>
      </w:r>
      <w:r>
        <w:rPr>
          <w:b w:val="0"/>
          <w:i w:val="0"/>
        </w:rPr>
        <w:t xml:space="preserve"> therefore has a wider range than a modern biological classification, while </w:t>
      </w:r>
      <w:r>
        <w:t>“</w:t>
      </w:r>
      <w:r>
        <w:rPr>
          <w:b w:val="0"/>
          <w:i w:val="0"/>
        </w:rPr>
        <w:t>idea</w:t>
      </w:r>
      <w:r>
        <w:t>”</w:t>
      </w:r>
      <w:r>
        <w:rPr>
          <w:b w:val="0"/>
          <w:i w:val="0"/>
        </w:rPr>
        <w:t xml:space="preserve"> would fit only some contexts. Ontological kinds, bodily form, and intelligible objects remain distinguishable uses.</w:t>
      </w:r>
    </w:p>
    <w:p>
      <w:pPr>
        <w:keepNext/>
        <w:widowControl/>
      </w:pPr>
      <w:r>
        <w:rPr>
          <w:b/>
          <w:i w:val="0"/>
        </w:rPr>
        <w:t>The places.</w:t>
      </w:r>
    </w:p>
    <w:p>
      <w:pPr>
        <w:ind w:left="187" w:hanging="187"/>
      </w:pPr>
      <w:r>
        <w:t xml:space="preserve">• </w:t>
      </w:r>
      <w:r>
        <w:rPr>
          <w:b/>
          <w:i w:val="0"/>
        </w:rPr>
        <w:t>I.2.9 and I.3.22, PDF pp. 22–23 and 44–45</w:t>
      </w:r>
      <w:r>
        <w:rPr>
          <w:b w:val="0"/>
          <w:i w:val="0"/>
        </w:rPr>
        <w:t>. Formal determination makes a thing belong to a kind, and substantial species distinguishes fire from accidental heat.</w:t>
      </w:r>
    </w:p>
    <w:p>
      <w:pPr>
        <w:ind w:left="187" w:hanging="187"/>
      </w:pPr>
      <w:r>
        <w:t xml:space="preserve">• </w:t>
      </w:r>
      <w:r>
        <w:rPr>
          <w:b/>
          <w:i w:val="0"/>
        </w:rPr>
        <w:t>I.5.16, PDF pp. 70–71</w:t>
      </w:r>
      <w:r>
        <w:rPr>
          <w:b w:val="0"/>
          <w:i w:val="0"/>
        </w:rPr>
        <w:t>. A separate mind completes its own species, unlike an embodied soul as a part of a composite living kind.</w:t>
      </w:r>
    </w:p>
    <w:p>
      <w:pPr>
        <w:ind w:left="187" w:hanging="187"/>
      </w:pPr>
      <w:r>
        <w:t xml:space="preserve">• </w:t>
      </w:r>
      <w:r>
        <w:rPr>
          <w:b/>
          <w:i w:val="0"/>
        </w:rPr>
        <w:t>I.5.23–27, PDF pp. 76–81</w:t>
      </w:r>
      <w:r>
        <w:rPr>
          <w:b w:val="0"/>
          <w:i w:val="0"/>
        </w:rPr>
        <w:t>. The plurality of intellectual species is compared with bodily kinds.</w:t>
      </w:r>
    </w:p>
    <w:p>
      <w:pPr>
        <w:ind w:left="187" w:hanging="187"/>
      </w:pPr>
      <w:r>
        <w:t xml:space="preserve">• </w:t>
      </w:r>
      <w:r>
        <w:rPr>
          <w:b/>
          <w:i w:val="0"/>
        </w:rPr>
        <w:t>I.6.4, PDF pp. 82–83</w:t>
      </w:r>
      <w:r>
        <w:rPr>
          <w:b w:val="0"/>
          <w:i w:val="0"/>
        </w:rPr>
        <w:t>. Species rerum intellectarum are the forms of things understood within intellect.</w:t>
      </w:r>
    </w:p>
    <w:p>
      <w:pPr>
        <w:widowControl/>
      </w:pPr>
      <w:r>
        <w:rPr>
          <w:b/>
          <w:i w:val="0"/>
        </w:rPr>
        <w:t>Further passage references.</w:t>
      </w:r>
      <w:r>
        <w:rPr>
          <w:b w:val="0"/>
          <w:i w:val="0"/>
        </w:rPr>
        <w:t xml:space="preserve"> I.2.9 (PDF pp. 22–23); I.3.22, I.3.28 (pp. 44–45, 48–49); I.5.15–I.5.16, I.5.23–I.5.27 (pp. 70–71, 76–81); I.6.4, I.6.14 (pp. 82–83, 90–91)</w:t>
      </w:r>
    </w:p>
    <w:p>
      <w:pPr>
        <w:keepNext/>
        <w:widowControl/>
      </w:pPr>
      <w:r>
        <w:rPr>
          <w:b/>
          <w:i w:val="0"/>
        </w:rPr>
        <w:t>In this edition.</w:t>
      </w:r>
    </w:p>
    <w:p>
      <w:pPr>
        <w:widowControl/>
      </w:pPr>
      <w:r>
        <w:rPr>
          <w:b w:val="0"/>
          <w:i w:val="0"/>
        </w:rPr>
        <w:t xml:space="preserve">The English alternates </w:t>
      </w:r>
      <w:r>
        <w:t>“</w:t>
      </w:r>
      <w:r>
        <w:rPr>
          <w:b w:val="0"/>
          <w:i w:val="0"/>
        </w:rPr>
        <w:t>species</w:t>
      </w:r>
      <w:r>
        <w:t>”</w:t>
      </w:r>
      <w:r>
        <w:rPr>
          <w:b w:val="0"/>
          <w:i w:val="0"/>
        </w:rPr>
        <w:t xml:space="preserve"> and </w:t>
      </w:r>
      <w:r>
        <w:t>“</w:t>
      </w:r>
      <w:r>
        <w:rPr>
          <w:b w:val="0"/>
          <w:i w:val="0"/>
        </w:rPr>
        <w:t>forms</w:t>
      </w:r>
      <w:r>
        <w:t>”</w:t>
      </w:r>
      <w:r>
        <w:rPr>
          <w:b w:val="0"/>
          <w:i w:val="0"/>
        </w:rPr>
        <w:t xml:space="preserve"> according to context. Restricting every occurrence to modern biological taxonomy would misread separate intellectual species and the forms contained in intellect.</w:t>
      </w:r>
    </w:p>
    <w:p>
      <w:pPr>
        <w:keepNext/>
        <w:widowControl/>
      </w:pPr>
      <w:r>
        <w:rPr>
          <w:b/>
          <w:i w:val="0"/>
        </w:rPr>
        <w:t>See also.</w:t>
      </w:r>
    </w:p>
    <w:p>
      <w:pPr>
        <w:widowControl/>
      </w:pPr>
      <w:hyperlink w:anchor="form">
        <w:r>
          <w:rPr>
            <w:color w:val="000000"/>
          </w:rPr>
          <w:t xml:space="preserve">Form</w:t>
        </w:r>
      </w:hyperlink>
      <w:r>
        <w:rPr>
          <w:b w:val="0"/>
          <w:i w:val="0"/>
        </w:rPr>
        <w:t xml:space="preserve">; </w:t>
      </w:r>
      <w:hyperlink w:anchor="reason-and-account">
        <w:r>
          <w:rPr>
            <w:color w:val="000000"/>
          </w:rPr>
          <w:t xml:space="preserve">Reason and account</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angel">
        <w:r>
          <w:rPr>
            <w:color w:val="000000"/>
          </w:rPr>
          <w:t xml:space="preserve">Angel</w:t>
        </w:r>
      </w:hyperlink>
      <w:r>
        <w:rPr>
          <w:b w:val="0"/>
          <w:i w:val="0"/>
        </w:rPr>
        <w:t xml:space="preserve">; </w:t>
      </w:r>
      <w:hyperlink w:anchor="art-and-nature">
        <w:r>
          <w:rPr>
            <w:color w:val="000000"/>
          </w:rPr>
          <w:t xml:space="preserve">Art and nature</w:t>
        </w:r>
      </w:hyperlink>
    </w:p>
    <w:p>
      <w:bookmarkStart w:id="214" w:name="spheres-and-stars"/>
      <w:pPr>
        <w:pStyle w:val="Heading2"/>
      </w:pPr>
      <w:r>
        <w:rPr>
          <w:b w:val="0"/>
          <w:i w:val="0"/>
        </w:rPr>
        <w:t>Spheres and stars</w:t>
      </w:r>
      <w:bookmarkEnd w:id="214"/>
    </w:p>
    <w:p>
      <w:pPr>
        <w:keepNext/>
        <w:widowControl/>
      </w:pPr>
      <w:r>
        <w:rPr>
          <w:b/>
          <w:i w:val="0"/>
        </w:rPr>
        <w:t>Latin:</w:t>
      </w:r>
      <w:r>
        <w:rPr>
          <w:b w:val="0"/>
          <w:i w:val="0"/>
        </w:rPr>
        <w:t xml:space="preserve"> </w:t>
      </w:r>
      <w:r>
        <w:rPr>
          <w:b w:val="0"/>
          <w:i/>
        </w:rPr>
        <w:t>sphaerae</w:t>
      </w:r>
      <w:r>
        <w:rPr>
          <w:b w:val="0"/>
          <w:i w:val="0"/>
        </w:rPr>
        <w:t xml:space="preserve">, </w:t>
      </w:r>
      <w:r>
        <w:rPr>
          <w:b w:val="0"/>
          <w:i/>
        </w:rPr>
        <w:t>globi</w:t>
      </w:r>
      <w:r>
        <w:rPr>
          <w:b w:val="0"/>
          <w:i w:val="0"/>
        </w:rPr>
        <w:t xml:space="preserve">, </w:t>
      </w:r>
      <w:r>
        <w:rPr>
          <w:b w:val="0"/>
          <w:i/>
        </w:rPr>
        <w:t>caeli</w:t>
      </w:r>
      <w:r>
        <w:rPr>
          <w:b w:val="0"/>
          <w:i w:val="0"/>
        </w:rPr>
        <w:t xml:space="preserve">, </w:t>
      </w:r>
      <w:r>
        <w:rPr>
          <w:b w:val="0"/>
          <w:i/>
        </w:rPr>
        <w:t>stellae</w:t>
      </w:r>
      <w:r>
        <w:rPr>
          <w:b w:val="0"/>
          <w:i w:val="0"/>
        </w:rPr>
        <w:t xml:space="preserve">, </w:t>
      </w:r>
      <w:r>
        <w:rPr>
          <w:b w:val="0"/>
          <w:i/>
        </w:rPr>
        <w:t>sidera</w:t>
      </w:r>
      <w:r>
        <w:rPr>
          <w:b w:val="0"/>
          <w:i w:val="0"/>
        </w:rPr>
        <w:t xml:space="preserve">; </w:t>
      </w:r>
      <w:r>
        <w:rPr>
          <w:b w:val="0"/>
          <w:i/>
        </w:rPr>
        <w:t>caelum empyreum</w:t>
      </w:r>
      <w:r>
        <w:rPr>
          <w:b w:val="0"/>
          <w:i w:val="0"/>
        </w:rPr>
        <w:t xml:space="preserve">, </w:t>
      </w:r>
      <w:r>
        <w:rPr>
          <w:b w:val="0"/>
          <w:i/>
        </w:rPr>
        <w:t>prorsus immobile</w:t>
      </w:r>
      <w:r>
        <w:rPr>
          <w:b w:val="0"/>
          <w:i w:val="0"/>
        </w:rPr>
        <w:t xml:space="preserve">, </w:t>
      </w:r>
      <w:r>
        <w:rPr>
          <w:b w:val="0"/>
          <w:i/>
        </w:rPr>
        <w:t>in aeternitate</w:t>
      </w:r>
    </w:p>
    <w:p>
      <w:pPr>
        <w:keepNext/>
        <w:widowControl/>
      </w:pPr>
      <w:r>
        <w:rPr>
          <w:b/>
          <w:i w:val="0"/>
        </w:rPr>
        <w:t>The word.</w:t>
      </w:r>
    </w:p>
    <w:p>
      <w:pPr>
        <w:widowControl/>
      </w:pPr>
      <w:r>
        <w:rPr>
          <w:b w:val="0"/>
          <w:i w:val="0"/>
        </w:rPr>
        <w:t>Sphaera and globus name a cosmic sphere or globe; caelum heaven; stella an individual star; sidus may designate a constellation or stellar configuration. Their scopes differ even when English uses a general heavenly noun.</w:t>
      </w:r>
    </w:p>
    <w:p>
      <w:pPr>
        <w:keepNext/>
        <w:widowControl/>
      </w:pPr>
      <w:r>
        <w:rPr>
          <w:b/>
          <w:i w:val="0"/>
        </w:rPr>
        <w:t>In the Platonic Theology.</w:t>
      </w:r>
    </w:p>
    <w:p>
      <w:pPr>
        <w:widowControl/>
      </w:pPr>
      <w:r>
        <w:rPr>
          <w:b w:val="0"/>
          <w:i w:val="0"/>
        </w:rPr>
        <w:t xml:space="preserve">Ficino’s account distinguishes a sphere from the living beings contained in it. The eight heavenly spheres have corresponding souls, while stars can possess particular souls differing in species because their size, light, powers, and motions differ. The four elemental spheres complete the total of twelve cosmic spheres. These distinctions explain why </w:t>
      </w:r>
      <w:r>
        <w:t>“</w:t>
      </w:r>
      <w:r>
        <w:rPr>
          <w:b w:val="0"/>
          <w:i w:val="0"/>
        </w:rPr>
        <w:t>soul of heaven,</w:t>
      </w:r>
      <w:r>
        <w:t>”</w:t>
      </w:r>
      <w:r>
        <w:rPr>
          <w:b w:val="0"/>
          <w:i w:val="0"/>
        </w:rPr>
        <w:t xml:space="preserve"> </w:t>
      </w:r>
      <w:r>
        <w:t>“</w:t>
      </w:r>
      <w:r>
        <w:rPr>
          <w:b w:val="0"/>
          <w:i w:val="0"/>
        </w:rPr>
        <w:t>soul of a sphere,</w:t>
      </w:r>
      <w:r>
        <w:t>”</w:t>
      </w:r>
      <w:r>
        <w:rPr>
          <w:b w:val="0"/>
          <w:i w:val="0"/>
        </w:rPr>
        <w:t xml:space="preserve"> and </w:t>
      </w:r>
      <w:r>
        <w:t>“</w:t>
      </w:r>
      <w:r>
        <w:rPr>
          <w:b w:val="0"/>
          <w:i w:val="0"/>
        </w:rPr>
        <w:t>soul of a star</w:t>
      </w:r>
      <w:r>
        <w:t>”</w:t>
      </w:r>
      <w:r>
        <w:rPr>
          <w:b w:val="0"/>
          <w:i w:val="0"/>
        </w:rPr>
        <w:t xml:space="preserve"> are not universally substitutable expressions. The vocabulary is flexible: </w:t>
      </w:r>
      <w:r>
        <w:rPr>
          <w:b w:val="0"/>
          <w:i/>
        </w:rPr>
        <w:t>sidus</w:t>
      </w:r>
      <w:r>
        <w:rPr>
          <w:b w:val="0"/>
          <w:i w:val="0"/>
        </w:rPr>
        <w:t xml:space="preserve"> in the zodiacal passage concerns a constellation imagined as a creature with a principal star as its heart, while other heavenly terms occur more broadly. Ficino argues that the simplicity, subtlety, and balanced constitution of celestial bodies make them more receptive to life than gross earthly mixtures. These are propositions of his historical cosmology, accompanied by the concluding theological reservation, rather than a description to be updated silently into modern planetary or stellar mechanics.</w:t>
      </w:r>
    </w:p>
    <w:p>
      <w:pPr>
        <w:widowControl/>
      </w:pPr>
      <w:r>
        <w:rPr>
          <w:b w:val="0"/>
          <w:i w:val="0"/>
        </w:rPr>
        <w:t xml:space="preserve">The empyrean heaven appears in a separate, expressly attributed classification at III.2.4. Ficino says that there are those who place it within eternity as wholly motionless, the other spheres in eternity and time together, and composite things in time alone. The contrast illustrates different relations to stability and change around soul’s role as a bond between eternal and temporal things. This reported scheme does not add an unqualified new count to every other celestial classification in the work. The supplied apparatus retains </w:t>
      </w:r>
      <w:r>
        <w:rPr>
          <w:b w:val="0"/>
          <w:i/>
        </w:rPr>
        <w:t>prorsus immobile</w:t>
      </w:r>
      <w:r>
        <w:rPr>
          <w:b w:val="0"/>
          <w:i w:val="0"/>
        </w:rPr>
        <w:t xml:space="preserve">, wholly motionless, from M1482 and P1641 against G1559’s opposite reading, </w:t>
      </w:r>
      <w:r>
        <w:rPr>
          <w:b w:val="0"/>
          <w:i/>
        </w:rPr>
        <w:t>prorsus mobile</w:t>
      </w:r>
      <w:r>
        <w:rPr>
          <w:b w:val="0"/>
          <w:i w:val="0"/>
        </w:rPr>
        <w:t>. These witness readings are reported by the edition’s apparatus; the passage itself supplies neither a physical description nor an etymology of the empyrean.</w:t>
      </w:r>
    </w:p>
    <w:p>
      <w:pPr>
        <w:keepNext/>
        <w:widowControl/>
      </w:pPr>
      <w:r>
        <w:rPr>
          <w:b/>
          <w:i w:val="0"/>
        </w:rPr>
        <w:t>The places.</w:t>
      </w:r>
    </w:p>
    <w:p>
      <w:pPr>
        <w:ind w:left="187" w:hanging="187"/>
      </w:pPr>
      <w:r>
        <w:t xml:space="preserve">• </w:t>
      </w:r>
      <w:r>
        <w:rPr>
          <w:b/>
          <w:i w:val="0"/>
        </w:rPr>
        <w:t>III.2.3–5, PDF pp. 262–265</w:t>
      </w:r>
      <w:r>
        <w:rPr>
          <w:b w:val="0"/>
          <w:i w:val="0"/>
        </w:rPr>
        <w:t>. An explicitly attributed classification relates the empyrean, other spheres, and composites differently to eternity and time.</w:t>
      </w:r>
    </w:p>
    <w:p>
      <w:pPr>
        <w:ind w:left="187" w:hanging="187"/>
      </w:pPr>
      <w:r>
        <w:t xml:space="preserve">• </w:t>
      </w:r>
      <w:r>
        <w:rPr>
          <w:b/>
          <w:i w:val="0"/>
        </w:rPr>
        <w:t>IV.1.35–43, PDF pp. 298–305</w:t>
      </w:r>
      <w:r>
        <w:rPr>
          <w:b w:val="0"/>
          <w:i w:val="0"/>
        </w:rPr>
        <w:t>. Elemental globes, eight heavens, their inhabitants, and zodiacal creatures occupy different levels.</w:t>
      </w:r>
    </w:p>
    <w:p>
      <w:pPr>
        <w:ind w:left="187" w:hanging="187"/>
      </w:pPr>
      <w:r>
        <w:t xml:space="preserve">• </w:t>
      </w:r>
      <w:r>
        <w:rPr>
          <w:b/>
          <w:i w:val="0"/>
        </w:rPr>
        <w:t>IV.1.71–73 and IV.1.96, PDF pp. 318–319 and 332–333</w:t>
      </w:r>
      <w:r>
        <w:rPr>
          <w:b w:val="0"/>
          <w:i w:val="0"/>
        </w:rPr>
        <w:t>. Subtle balanced bodies are argued to receive life; the conclusion remains under the theological reservation.</w:t>
      </w:r>
    </w:p>
    <w:p>
      <w:pPr>
        <w:ind w:left="187" w:hanging="187"/>
      </w:pPr>
      <w:r>
        <w:t xml:space="preserve">• </w:t>
      </w:r>
      <w:r>
        <w:rPr>
          <w:b/>
          <w:i w:val="0"/>
        </w:rPr>
        <w:t>IV.2.24–25, PDF pp. 348–349</w:t>
      </w:r>
      <w:r>
        <w:rPr>
          <w:b w:val="0"/>
          <w:i w:val="0"/>
        </w:rPr>
        <w:t>. Saturn’s sphere and the surrounding eighth sphere illustrate natural place through nested surfaces.</w:t>
      </w:r>
    </w:p>
    <w:p>
      <w:pPr>
        <w:widowControl/>
      </w:pPr>
      <w:r>
        <w:rPr>
          <w:b/>
          <w:i w:val="0"/>
        </w:rPr>
        <w:t>Further passage references.</w:t>
      </w:r>
      <w:r>
        <w:rPr>
          <w:b w:val="0"/>
          <w:i w:val="0"/>
        </w:rPr>
        <w:t xml:space="preserve"> IV.1.35–IV.1.43, pp. 298–305; IV.1.71–IV.1.73, pp. 318–319; IV.1.96, pp. 332–333; IV.2.24–IV.2.25, pp. 348–349; III.2.3–5, pp. 262–265; apparatus note for III.2.4, p. 385</w:t>
      </w:r>
    </w:p>
    <w:p>
      <w:pPr>
        <w:keepNext/>
        <w:widowControl/>
      </w:pPr>
      <w:r>
        <w:rPr>
          <w:b/>
          <w:i w:val="0"/>
        </w:rPr>
        <w:t>In this edition.</w:t>
      </w:r>
    </w:p>
    <w:p>
      <w:pPr>
        <w:widowControl/>
      </w:pPr>
      <w:r>
        <w:rPr>
          <w:b w:val="0"/>
          <w:i w:val="0"/>
        </w:rPr>
        <w:t>The supplied apparatus retains prorsus immobile for the reported empyrean scheme at III.2.4 against an opposite witness reading. This attributed scheme should not silently alter the count of twelve cosmic spheres, which combines eight heavens with four elemental spheres.</w:t>
      </w:r>
    </w:p>
    <w:p>
      <w:pPr>
        <w:keepNext/>
        <w:widowControl/>
      </w:pPr>
      <w:r>
        <w:rPr>
          <w:b/>
          <w:i w:val="0"/>
        </w:rPr>
        <w:t>See also.</w:t>
      </w:r>
    </w:p>
    <w:p>
      <w:pPr>
        <w:widowControl/>
      </w:pPr>
      <w:hyperlink w:anchor="elements-and-their-spheres">
        <w:r>
          <w:rPr>
            <w:color w:val="000000"/>
          </w:rPr>
          <w:t xml:space="preserve">Elements and their spheres</w:t>
        </w:r>
      </w:hyperlink>
      <w:r>
        <w:rPr>
          <w:b w:val="0"/>
          <w:i w:val="0"/>
        </w:rPr>
        <w:t xml:space="preserve">; </w:t>
      </w:r>
      <w:hyperlink w:anchor="soul">
        <w:r>
          <w:rPr>
            <w:color w:val="000000"/>
          </w:rPr>
          <w:t xml:space="preserve">Soul</w:t>
        </w:r>
      </w:hyperlink>
      <w:r>
        <w:rPr>
          <w:b w:val="0"/>
          <w:i w:val="0"/>
        </w:rPr>
        <w:t xml:space="preserve">; </w:t>
      </w:r>
      <w:hyperlink w:anchor="circularity-and-return">
        <w:r>
          <w:rPr>
            <w:color w:val="000000"/>
          </w:rPr>
          <w:t xml:space="preserve">Circularity and return</w:t>
        </w:r>
      </w:hyperlink>
      <w:r>
        <w:rPr>
          <w:b w:val="0"/>
          <w:i w:val="0"/>
        </w:rPr>
        <w:t xml:space="preserve">; </w:t>
      </w:r>
      <w:hyperlink w:anchor="zodiac">
        <w:r>
          <w:rPr>
            <w:color w:val="000000"/>
          </w:rPr>
          <w:t xml:space="preserve">Zodiac</w:t>
        </w:r>
      </w:hyperlink>
      <w:r>
        <w:rPr>
          <w:b w:val="0"/>
          <w:i w:val="0"/>
        </w:rPr>
        <w:t xml:space="preserve">; </w:t>
      </w:r>
      <w:hyperlink w:anchor="eternity-and-time">
        <w:r>
          <w:rPr>
            <w:color w:val="000000"/>
          </w:rPr>
          <w:t xml:space="preserve">Eternity and time</w:t>
        </w:r>
      </w:hyperlink>
      <w:r>
        <w:rPr>
          <w:b w:val="0"/>
          <w:i w:val="0"/>
        </w:rPr>
        <w:t xml:space="preserve">; </w:t>
      </w:r>
      <w:hyperlink w:anchor="motion-and-stability">
        <w:r>
          <w:rPr>
            <w:color w:val="000000"/>
          </w:rPr>
          <w:t xml:space="preserve">Motion and stability</w:t>
        </w:r>
      </w:hyperlink>
    </w:p>
    <w:p>
      <w:bookmarkStart w:id="215" w:name="spirit"/>
      <w:pPr>
        <w:pStyle w:val="Heading2"/>
      </w:pPr>
      <w:r>
        <w:rPr>
          <w:b w:val="0"/>
          <w:i w:val="0"/>
        </w:rPr>
        <w:t>Spirit</w:t>
      </w:r>
      <w:bookmarkEnd w:id="215"/>
    </w:p>
    <w:p>
      <w:pPr>
        <w:keepNext/>
        <w:widowControl/>
      </w:pPr>
      <w:r>
        <w:rPr>
          <w:b/>
          <w:i w:val="0"/>
        </w:rPr>
        <w:t>Latin:</w:t>
      </w:r>
      <w:r>
        <w:rPr>
          <w:b w:val="0"/>
          <w:i w:val="0"/>
        </w:rPr>
        <w:t xml:space="preserve"> </w:t>
      </w:r>
      <w:r>
        <w:rPr>
          <w:b w:val="0"/>
          <w:i/>
        </w:rPr>
        <w:t>spiritus</w:t>
      </w:r>
      <w:r>
        <w:rPr>
          <w:b w:val="0"/>
          <w:i w:val="0"/>
        </w:rPr>
        <w:t xml:space="preserve">, </w:t>
      </w:r>
      <w:r>
        <w:rPr>
          <w:b w:val="0"/>
          <w:i/>
        </w:rPr>
        <w:t>spiritus phantasticus</w:t>
      </w:r>
      <w:r>
        <w:rPr>
          <w:b w:val="0"/>
          <w:i w:val="0"/>
        </w:rPr>
        <w:t xml:space="preserve">, </w:t>
      </w:r>
      <w:r>
        <w:rPr>
          <w:b w:val="0"/>
          <w:i/>
        </w:rPr>
        <w:t>spiritalis</w:t>
      </w:r>
      <w:r>
        <w:rPr>
          <w:b w:val="0"/>
          <w:i w:val="0"/>
        </w:rPr>
        <w:t xml:space="preserve">, </w:t>
      </w:r>
      <w:r>
        <w:rPr>
          <w:b w:val="0"/>
          <w:i/>
        </w:rPr>
        <w:t>quasi spiritalia</w:t>
      </w:r>
    </w:p>
    <w:p>
      <w:pPr>
        <w:keepNext/>
        <w:widowControl/>
      </w:pPr>
      <w:r>
        <w:rPr>
          <w:b/>
          <w:i w:val="0"/>
        </w:rPr>
        <w:t>The word.</w:t>
      </w:r>
    </w:p>
    <w:p>
      <w:pPr>
        <w:widowControl/>
      </w:pPr>
      <w:r>
        <w:rPr>
          <w:b w:val="0"/>
          <w:i w:val="0"/>
        </w:rPr>
        <w:t>Spiritus may name a cognitive or physiological medium; spiritalis may describe incorporeal activity or principles. Quasi spiritalia is a qualified comparison for unusually subtle bodies, not their removal from bodily status.</w:t>
      </w:r>
    </w:p>
    <w:p>
      <w:pPr>
        <w:keepNext/>
        <w:widowControl/>
      </w:pPr>
      <w:r>
        <w:rPr>
          <w:b/>
          <w:i w:val="0"/>
        </w:rPr>
        <w:t>In the Platonic Theology.</w:t>
      </w:r>
    </w:p>
    <w:p>
      <w:pPr>
        <w:widowControl/>
      </w:pPr>
      <w:r>
        <w:rPr>
          <w:b w:val="0"/>
          <w:i w:val="0"/>
        </w:rPr>
        <w:t xml:space="preserve">The term’s immediate context matters. In the geometer analogy, imaginative spirit is shaped through imagination, linking intellectual pattern with a lower medium. In the account of celestial action, spirits and humors in the human being are stirred and formed by powerful thought and affect. Yet </w:t>
      </w:r>
      <w:r>
        <w:rPr>
          <w:b w:val="0"/>
          <w:i/>
        </w:rPr>
        <w:t>spiritalis</w:t>
      </w:r>
      <w:r>
        <w:rPr>
          <w:b w:val="0"/>
          <w:i w:val="0"/>
        </w:rPr>
        <w:t xml:space="preserve"> can also mark incorporeal productive seeds, while celestial bodies are called almost spiritual because of their exceptional subtlety. The latter phrase does not remove their bodily status: Ficino continues to distinguish a body from the soul animating it. The family of words accordingly distinguishes incorporeal principles from perceptual and physiological media. What Book IV supplies is a set of mediating roles and comparisons. The separately named ethereal garment belongs to a related context, but these passages do not identify it with every form of </w:t>
      </w:r>
      <w:r>
        <w:rPr>
          <w:b w:val="0"/>
          <w:i/>
        </w:rPr>
        <w:t>spiritus</w:t>
      </w:r>
      <w:r>
        <w:rPr>
          <w:b w:val="0"/>
          <w:i w:val="0"/>
        </w:rPr>
        <w:t>.</w:t>
      </w:r>
    </w:p>
    <w:p>
      <w:pPr>
        <w:keepNext/>
        <w:widowControl/>
      </w:pPr>
      <w:r>
        <w:rPr>
          <w:b/>
          <w:i w:val="0"/>
        </w:rPr>
        <w:t>The places.</w:t>
      </w:r>
    </w:p>
    <w:p>
      <w:pPr>
        <w:ind w:left="187" w:hanging="187"/>
      </w:pPr>
      <w:r>
        <w:t xml:space="preserve">• </w:t>
      </w:r>
      <w:r>
        <w:rPr>
          <w:b/>
          <w:i w:val="0"/>
        </w:rPr>
        <w:t>IV.1.11 and IV.1.16, PDF pp. 286–291</w:t>
      </w:r>
      <w:r>
        <w:rPr>
          <w:b w:val="0"/>
          <w:i w:val="0"/>
        </w:rPr>
        <w:t>. Imaginative spirit mediates inward formation, whereas spiritual seeds are productive principles.</w:t>
      </w:r>
    </w:p>
    <w:p>
      <w:pPr>
        <w:ind w:left="187" w:hanging="187"/>
      </w:pPr>
      <w:r>
        <w:t xml:space="preserve">• </w:t>
      </w:r>
      <w:r>
        <w:rPr>
          <w:b/>
          <w:i w:val="0"/>
        </w:rPr>
        <w:t>IV.1.72, PDF pp. 318–319</w:t>
      </w:r>
      <w:r>
        <w:rPr>
          <w:b w:val="0"/>
          <w:i w:val="0"/>
        </w:rPr>
        <w:t>. Celestial bodies are almost spiritual because of simplicity and subtlety, yet remain bodies animated by spirits.</w:t>
      </w:r>
    </w:p>
    <w:p>
      <w:pPr>
        <w:ind w:left="187" w:hanging="187"/>
      </w:pPr>
      <w:r>
        <w:t xml:space="preserve">• </w:t>
      </w:r>
      <w:r>
        <w:rPr>
          <w:b/>
          <w:i w:val="0"/>
        </w:rPr>
        <w:t>IV.2.16, PDF pp. 342–343</w:t>
      </w:r>
      <w:r>
        <w:rPr>
          <w:b w:val="0"/>
          <w:i w:val="0"/>
        </w:rPr>
        <w:t>. Human spirits and humors supply the bodily analogy for changing psychic affections.</w:t>
      </w:r>
    </w:p>
    <w:p>
      <w:pPr>
        <w:ind w:left="187" w:hanging="187"/>
      </w:pPr>
      <w:r>
        <w:t xml:space="preserve">• </w:t>
      </w:r>
      <w:r>
        <w:rPr>
          <w:b/>
          <w:i w:val="0"/>
        </w:rPr>
        <w:t>IV.2.26–27, PDF pp. 348–351</w:t>
      </w:r>
      <w:r>
        <w:rPr>
          <w:b w:val="0"/>
          <w:i w:val="0"/>
        </w:rPr>
        <w:t>. The ethereal garment’s fuller discussion is deferred.</w:t>
      </w:r>
    </w:p>
    <w:p>
      <w:pPr>
        <w:widowControl/>
      </w:pPr>
      <w:r>
        <w:rPr>
          <w:b/>
          <w:i w:val="0"/>
        </w:rPr>
        <w:t>Further passage references.</w:t>
      </w:r>
      <w:r>
        <w:rPr>
          <w:b w:val="0"/>
          <w:i w:val="0"/>
        </w:rPr>
        <w:t xml:space="preserve"> IV.1.11, pp. 286–287; IV.1.16, pp. 290–291; IV.1.72, pp. 318–319; IV.2.16, pp. 342–343; IV.2.26–IV.2.27, pp. 348–351</w:t>
      </w:r>
    </w:p>
    <w:p>
      <w:pPr>
        <w:keepNext/>
        <w:widowControl/>
      </w:pPr>
      <w:r>
        <w:rPr>
          <w:b/>
          <w:i w:val="0"/>
        </w:rPr>
        <w:t>In this edition.</w:t>
      </w:r>
    </w:p>
    <w:p>
      <w:pPr>
        <w:widowControl/>
      </w:pPr>
      <w:r>
        <w:t>“</w:t>
      </w:r>
      <w:r>
        <w:rPr>
          <w:b w:val="0"/>
          <w:i w:val="0"/>
        </w:rPr>
        <w:t>Almost spiritual</w:t>
      </w:r>
      <w:r>
        <w:t>”</w:t>
      </w:r>
      <w:r>
        <w:rPr>
          <w:b w:val="0"/>
          <w:i w:val="0"/>
        </w:rPr>
        <w:t xml:space="preserve"> at IV.1.72 preserves quasi. Spiritus in the visual or imaginative medium and spirits beside humors in bodily response should not all be silently identified with the separately named ethereal garment.</w:t>
      </w:r>
    </w:p>
    <w:p>
      <w:pPr>
        <w:keepNext/>
        <w:widowControl/>
      </w:pPr>
      <w:r>
        <w:rPr>
          <w:b/>
          <w:i w:val="0"/>
        </w:rPr>
        <w:t>See also.</w:t>
      </w:r>
    </w:p>
    <w:p>
      <w:pPr>
        <w:widowControl/>
      </w:pPr>
      <w:hyperlink w:anchor="sense-and-imagination">
        <w:r>
          <w:rPr>
            <w:color w:val="000000"/>
          </w:rPr>
          <w:t xml:space="preserve">Sense and imagination</w:t>
        </w:r>
      </w:hyperlink>
      <w:r>
        <w:rPr>
          <w:b w:val="0"/>
          <w:i w:val="0"/>
        </w:rPr>
        <w:t xml:space="preserve">; </w:t>
      </w:r>
      <w:hyperlink w:anchor="affect">
        <w:r>
          <w:rPr>
            <w:color w:val="000000"/>
          </w:rPr>
          <w:t xml:space="preserve">Affect</w:t>
        </w:r>
      </w:hyperlink>
      <w:r>
        <w:rPr>
          <w:b w:val="0"/>
          <w:i w:val="0"/>
        </w:rPr>
        <w:t xml:space="preserve">; </w:t>
      </w:r>
      <w:hyperlink w:anchor="seeds">
        <w:r>
          <w:rPr>
            <w:color w:val="000000"/>
          </w:rPr>
          <w:t xml:space="preserve">Seeds</w:t>
        </w:r>
      </w:hyperlink>
      <w:r>
        <w:rPr>
          <w:b w:val="0"/>
          <w:i w:val="0"/>
        </w:rPr>
        <w:t xml:space="preserve">; </w:t>
      </w:r>
      <w:hyperlink w:anchor="ethereal-garment">
        <w:r>
          <w:rPr>
            <w:color w:val="000000"/>
          </w:rPr>
          <w:t xml:space="preserve">Ethereal garment</w:t>
        </w:r>
      </w:hyperlink>
    </w:p>
    <w:p>
      <w:bookmarkStart w:id="216" w:name="spiritual-union"/>
      <w:pPr>
        <w:pStyle w:val="Heading2"/>
      </w:pPr>
      <w:r>
        <w:rPr>
          <w:b w:val="0"/>
          <w:i w:val="0"/>
        </w:rPr>
        <w:t>Spiritual union</w:t>
      </w:r>
      <w:bookmarkEnd w:id="216"/>
    </w:p>
    <w:p>
      <w:pPr>
        <w:keepNext/>
        <w:widowControl/>
      </w:pPr>
      <w:r>
        <w:rPr>
          <w:b/>
          <w:i w:val="0"/>
        </w:rPr>
        <w:t>Latin:</w:t>
      </w:r>
      <w:r>
        <w:rPr>
          <w:b w:val="0"/>
          <w:i w:val="0"/>
        </w:rPr>
        <w:t xml:space="preserve"> </w:t>
      </w:r>
      <w:r>
        <w:rPr>
          <w:b w:val="0"/>
          <w:i/>
        </w:rPr>
        <w:t>spiritalis</w:t>
      </w:r>
      <w:r>
        <w:rPr>
          <w:b w:val="0"/>
          <w:i w:val="0"/>
        </w:rPr>
        <w:t xml:space="preserve">, </w:t>
      </w:r>
      <w:r>
        <w:rPr>
          <w:b w:val="0"/>
          <w:i/>
        </w:rPr>
        <w:t>spiritus</w:t>
      </w:r>
      <w:r>
        <w:rPr>
          <w:b w:val="0"/>
          <w:i w:val="0"/>
        </w:rPr>
        <w:t xml:space="preserve">, </w:t>
      </w:r>
      <w:r>
        <w:rPr>
          <w:b w:val="0"/>
          <w:i/>
        </w:rPr>
        <w:t>spiritalis unio</w:t>
      </w:r>
      <w:r>
        <w:rPr>
          <w:b w:val="0"/>
          <w:i w:val="0"/>
        </w:rPr>
        <w:t xml:space="preserve">, </w:t>
      </w:r>
      <w:r>
        <w:rPr>
          <w:b w:val="0"/>
          <w:i/>
        </w:rPr>
        <w:t>cognitio</w:t>
      </w:r>
      <w:r>
        <w:rPr>
          <w:b w:val="0"/>
          <w:i w:val="0"/>
        </w:rPr>
        <w:t xml:space="preserve">, </w:t>
      </w:r>
      <w:r>
        <w:rPr>
          <w:b w:val="0"/>
          <w:i/>
        </w:rPr>
        <w:t>intellectio</w:t>
      </w:r>
      <w:r>
        <w:rPr>
          <w:b w:val="0"/>
          <w:i w:val="0"/>
        </w:rPr>
        <w:t xml:space="preserve">, </w:t>
      </w:r>
      <w:r>
        <w:rPr>
          <w:b w:val="0"/>
          <w:i/>
        </w:rPr>
        <w:t>coniungi</w:t>
      </w:r>
    </w:p>
    <w:p>
      <w:pPr>
        <w:keepNext/>
        <w:widowControl/>
      </w:pPr>
      <w:r>
        <w:rPr>
          <w:b/>
          <w:i w:val="0"/>
        </w:rPr>
        <w:t>The word.</w:t>
      </w:r>
    </w:p>
    <w:p>
      <w:pPr>
        <w:widowControl/>
      </w:pPr>
      <w:r>
        <w:rPr>
          <w:b w:val="0"/>
          <w:i w:val="0"/>
        </w:rPr>
        <w:t>Spiritalis unio means joining in a nonbodily mode; cognitio and intellectio identify the resulting knowledge and understanding. The spiritus of sight is a mediating medium, not simply a synonym for the whole soul.</w:t>
      </w:r>
    </w:p>
    <w:p>
      <w:pPr>
        <w:keepNext/>
        <w:widowControl/>
      </w:pPr>
      <w:r>
        <w:rPr>
          <w:b/>
          <w:i w:val="0"/>
        </w:rPr>
        <w:t>In the Platonic Theology.</w:t>
      </w:r>
    </w:p>
    <w:p>
      <w:pPr>
        <w:widowControl/>
      </w:pPr>
      <w:r>
        <w:rPr>
          <w:b w:val="0"/>
          <w:i w:val="0"/>
        </w:rPr>
        <w:t>Spiritual union is Ficino’s explanation of knowing: a cognitive power joins an appropriate form in a non-bodily manner. Soul’s adherence to divine things generates knowledge because the union is spiritual. Later he says that knowledge is a spiritual union with a spiritual form, and extends the explanation to the mind’s self-knowledge and apprehension of higher and bodily realities.</w:t>
      </w:r>
    </w:p>
    <w:p>
      <w:pPr>
        <w:widowControl/>
      </w:pPr>
      <w:r>
        <w:rPr>
          <w:b w:val="0"/>
          <w:i w:val="0"/>
        </w:rPr>
        <w:t xml:space="preserve">Sight provides an analogy with its own more specific vocabulary. Through its </w:t>
      </w:r>
      <w:r>
        <w:rPr>
          <w:b w:val="0"/>
          <w:i/>
        </w:rPr>
        <w:t>spiritus</w:t>
      </w:r>
      <w:r>
        <w:rPr>
          <w:b w:val="0"/>
          <w:i w:val="0"/>
        </w:rPr>
        <w:t xml:space="preserve">, sight joins a spiritual image of colors; merely placing a solid body against the eyes produces no vision. Here </w:t>
      </w:r>
      <w:r>
        <w:rPr>
          <w:b w:val="0"/>
          <w:i/>
        </w:rPr>
        <w:t>spiritus</w:t>
      </w:r>
      <w:r>
        <w:rPr>
          <w:b w:val="0"/>
          <w:i w:val="0"/>
        </w:rPr>
        <w:t xml:space="preserve"> names the medium through which sight receives an image; its role differs from soul as a whole or a general designation of incorporeality. The point of the example is the distinction between cognitive reception and gross physical contact. This does not mean that the mind fails to know bodily things: Ficino explicitly assigns them to its objects. At III.2.29 the supplied Latin reads </w:t>
      </w:r>
      <w:r>
        <w:rPr>
          <w:b w:val="0"/>
          <w:i/>
        </w:rPr>
        <w:t>in corporalibus rerum speciebus rationibusque</w:t>
      </w:r>
      <w:r>
        <w:rPr>
          <w:b w:val="0"/>
          <w:i w:val="0"/>
        </w:rPr>
        <w:t xml:space="preserve">, which its English interprets as forms and principles of things within bodies. The phrase is textually delicate, but neither the supplied reading nor the general argument requires silently replacing </w:t>
      </w:r>
      <w:r>
        <w:rPr>
          <w:b w:val="0"/>
          <w:i/>
        </w:rPr>
        <w:t>corporalibus</w:t>
      </w:r>
      <w:r>
        <w:rPr>
          <w:b w:val="0"/>
          <w:i w:val="0"/>
        </w:rPr>
        <w:t xml:space="preserve"> with </w:t>
      </w:r>
      <w:r>
        <w:rPr>
          <w:b w:val="0"/>
          <w:i/>
        </w:rPr>
        <w:t>incorporalibus</w:t>
      </w:r>
      <w:r>
        <w:rPr>
          <w:b w:val="0"/>
          <w:i w:val="0"/>
        </w:rPr>
        <w:t>.</w:t>
      </w:r>
    </w:p>
    <w:p>
      <w:pPr>
        <w:keepNext/>
        <w:widowControl/>
      </w:pPr>
      <w:r>
        <w:rPr>
          <w:b/>
          <w:i w:val="0"/>
        </w:rPr>
        <w:t>The places.</w:t>
      </w:r>
    </w:p>
    <w:p>
      <w:pPr>
        <w:ind w:left="187" w:hanging="187"/>
      </w:pPr>
      <w:r>
        <w:t xml:space="preserve">• </w:t>
      </w:r>
      <w:r>
        <w:rPr>
          <w:b/>
          <w:i w:val="0"/>
        </w:rPr>
        <w:t>III.2.8, PDF pp. 266–267</w:t>
      </w:r>
      <w:r>
        <w:rPr>
          <w:b w:val="0"/>
          <w:i w:val="0"/>
        </w:rPr>
        <w:t>. Soul knows higher realities by spiritual union while giving life to bodies inwardly.</w:t>
      </w:r>
    </w:p>
    <w:p>
      <w:pPr>
        <w:ind w:left="187" w:hanging="187"/>
      </w:pPr>
      <w:r>
        <w:t xml:space="preserve">• </w:t>
      </w:r>
      <w:r>
        <w:rPr>
          <w:b/>
          <w:i w:val="0"/>
        </w:rPr>
        <w:t>III.2.28, PDF pp. 276–277</w:t>
      </w:r>
      <w:r>
        <w:rPr>
          <w:b w:val="0"/>
          <w:i w:val="0"/>
        </w:rPr>
        <w:t>. Knowledge is explicitly described as spiritual union with a spiritual form.</w:t>
      </w:r>
    </w:p>
    <w:p>
      <w:pPr>
        <w:ind w:left="187" w:hanging="187"/>
      </w:pPr>
      <w:r>
        <w:t xml:space="preserve">• </w:t>
      </w:r>
      <w:r>
        <w:rPr>
          <w:b/>
          <w:i w:val="0"/>
        </w:rPr>
        <w:t>III.2.29–30, PDF pp. 278–279</w:t>
      </w:r>
      <w:r>
        <w:rPr>
          <w:b w:val="0"/>
          <w:i w:val="0"/>
        </w:rPr>
        <w:t>. Vision, self-understanding, higher objects, and bodily objects lead into rational soul’s definition.</w:t>
      </w:r>
    </w:p>
    <w:p>
      <w:pPr>
        <w:widowControl/>
      </w:pPr>
      <w:r>
        <w:rPr>
          <w:b/>
          <w:i w:val="0"/>
        </w:rPr>
        <w:t>Further passage references.</w:t>
      </w:r>
      <w:r>
        <w:rPr>
          <w:b w:val="0"/>
          <w:i w:val="0"/>
        </w:rPr>
        <w:t xml:space="preserve"> III.2.8, PDF 266–267; III.2.28–30, PDF 276–279</w:t>
      </w:r>
    </w:p>
    <w:p>
      <w:pPr>
        <w:keepNext/>
        <w:widowControl/>
      </w:pPr>
      <w:r>
        <w:rPr>
          <w:b/>
          <w:i w:val="0"/>
        </w:rPr>
        <w:t>In this edition.</w:t>
      </w:r>
    </w:p>
    <w:p>
      <w:pPr>
        <w:widowControl/>
      </w:pPr>
      <w:r>
        <w:rPr>
          <w:b w:val="0"/>
          <w:i w:val="0"/>
        </w:rPr>
        <w:t>At III.2.29 the supplied Latin reads in corporalibus rerum speciebus rationibusque; the English construes forms and principles within bodies. Preserve that unresolved wording rather than silently replace corporalibus with incorporalibus. The visual comparison distinguishes image-reception from pressing a solid object against the eye.</w:t>
      </w:r>
    </w:p>
    <w:p>
      <w:pPr>
        <w:keepNext/>
        <w:widowControl/>
      </w:pPr>
      <w:r>
        <w:rPr>
          <w:b/>
          <w:i w:val="0"/>
        </w:rPr>
        <w:t>See also.</w:t>
      </w:r>
    </w:p>
    <w:p>
      <w:pPr>
        <w:widowControl/>
      </w:pPr>
      <w:hyperlink w:anchor="form">
        <w:r>
          <w:rPr>
            <w:color w:val="000000"/>
          </w:rPr>
          <w:t xml:space="preserve">Form</w:t>
        </w:r>
      </w:hyperlink>
      <w:r>
        <w:rPr>
          <w:b w:val="0"/>
          <w:i w:val="0"/>
        </w:rPr>
        <w:t xml:space="preserve">; </w:t>
      </w:r>
      <w:hyperlink w:anchor="indwelling-and-presence">
        <w:r>
          <w:rPr>
            <w:color w:val="000000"/>
          </w:rPr>
          <w:t xml:space="preserve">Indwelling and presence</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soul">
        <w:r>
          <w:rPr>
            <w:color w:val="000000"/>
          </w:rPr>
          <w:t xml:space="preserve">Soul</w:t>
        </w:r>
      </w:hyperlink>
    </w:p>
    <w:p>
      <w:bookmarkStart w:id="217" w:name="spring-and-flow"/>
      <w:pPr>
        <w:pStyle w:val="Heading2"/>
      </w:pPr>
      <w:r>
        <w:rPr>
          <w:b w:val="0"/>
          <w:i w:val="0"/>
        </w:rPr>
        <w:t>Spring and flow</w:t>
      </w:r>
      <w:bookmarkEnd w:id="217"/>
    </w:p>
    <w:p>
      <w:pPr>
        <w:keepNext/>
        <w:widowControl/>
      </w:pPr>
      <w:r>
        <w:rPr>
          <w:b/>
          <w:i w:val="0"/>
        </w:rPr>
        <w:t>Latin:</w:t>
      </w:r>
      <w:r>
        <w:rPr>
          <w:b w:val="0"/>
          <w:i w:val="0"/>
        </w:rPr>
        <w:t xml:space="preserve"> manaverint; profluit; vena; scaturiens; scaturiet; refluet; effluxus; fluit; fluitat; fluxum; fons; influxu</w:t>
      </w:r>
    </w:p>
    <w:p>
      <w:pPr>
        <w:keepNext/>
        <w:widowControl/>
      </w:pPr>
      <w:r>
        <w:rPr>
          <w:b/>
          <w:i w:val="0"/>
        </w:rPr>
        <w:t>The word.</w:t>
      </w:r>
    </w:p>
    <w:p>
      <w:pPr>
        <w:widowControl/>
      </w:pPr>
      <w:r>
        <w:rPr>
          <w:b w:val="0"/>
          <w:i w:val="0"/>
        </w:rPr>
        <w:t>Fluere means flowing, while fluitare adds the sense of drifting or being unsettled. Scaturire evokes welling up from a spring; vena can mean a vein or channel supplying a spring. Fons names a source. These physical terms become models for derivation and dependence.</w:t>
      </w:r>
    </w:p>
    <w:p>
      <w:pPr>
        <w:keepNext/>
        <w:widowControl/>
      </w:pPr>
      <w:r>
        <w:rPr>
          <w:b/>
          <w:i w:val="0"/>
        </w:rPr>
        <w:t>In the Platonic Theology.</w:t>
      </w:r>
    </w:p>
    <w:p>
      <w:pPr>
        <w:widowControl/>
      </w:pPr>
      <w:r>
        <w:rPr>
          <w:b w:val="0"/>
          <w:i w:val="0"/>
        </w:rPr>
        <w:t>In the two-principle argument, features springing from the same unrestricted nature would arise in the same way and flow inward again; this challenges their alleged difference. The following chapter turns flow into a test of dependent being: whatever flows from another is not its own stable source. Without a first principle, Ficino argues, all things would be in flux and the stability actually encountered would lack explanation. Liquid restrained by a solid illustrates the need for something unlike the flux it holds.</w:t>
      </w:r>
    </w:p>
    <w:p>
      <w:pPr>
        <w:widowControl/>
      </w:pPr>
      <w:r>
        <w:rPr>
          <w:b w:val="0"/>
          <w:i w:val="0"/>
        </w:rPr>
        <w:t>The metaphors are not uniformly negative. Outflow can mean productive bestowal; return-flow can mean restoration; divine influx preserves natural things. A source is most perfect in itself in II.7.16, where the word supports an argument against matter, world, and mind being their own essential origins. Context determines whether flowing means generous production, received existence, unstable dependence, or return.</w:t>
      </w:r>
    </w:p>
    <w:p>
      <w:pPr>
        <w:keepNext/>
        <w:widowControl/>
      </w:pPr>
      <w:r>
        <w:rPr>
          <w:b/>
          <w:i w:val="0"/>
        </w:rPr>
        <w:t>The places.</w:t>
      </w:r>
    </w:p>
    <w:p>
      <w:pPr>
        <w:ind w:left="187" w:hanging="187"/>
      </w:pPr>
      <w:r>
        <w:t xml:space="preserve">• </w:t>
      </w:r>
      <w:r>
        <w:rPr>
          <w:b w:val="0"/>
          <w:i w:val="0"/>
        </w:rPr>
        <w:t>II.2.4 (PDF pp. 106–107): The same vein and mode of outflow challenge allegedly different properties</w:t>
      </w:r>
    </w:p>
    <w:p>
      <w:pPr>
        <w:ind w:left="187" w:hanging="187"/>
      </w:pPr>
      <w:r>
        <w:t xml:space="preserve">• </w:t>
      </w:r>
      <w:r>
        <w:rPr>
          <w:b w:val="0"/>
          <w:i w:val="0"/>
        </w:rPr>
        <w:t>II.3.3, II.3.7, II.3.8 (PDF pp. 116–119): Flow and drifting are distinguished from the stable source that restrains them</w:t>
      </w:r>
    </w:p>
    <w:p>
      <w:pPr>
        <w:ind w:left="187" w:hanging="187"/>
      </w:pPr>
      <w:r>
        <w:t xml:space="preserve">• </w:t>
      </w:r>
      <w:r>
        <w:rPr>
          <w:b w:val="0"/>
          <w:i w:val="0"/>
        </w:rPr>
        <w:t>II.3.10, II.7.16, II.7.17 (PDF pp. 120–121, 150–151): Outflow, return, source, and preserving influx have positive causal functions</w:t>
      </w:r>
    </w:p>
    <w:p>
      <w:pPr>
        <w:keepNext/>
        <w:widowControl/>
      </w:pPr>
      <w:r>
        <w:rPr>
          <w:b/>
          <w:i w:val="0"/>
        </w:rPr>
        <w:t>In this edition.</w:t>
      </w:r>
    </w:p>
    <w:p>
      <w:pPr>
        <w:widowControl/>
      </w:pPr>
      <w:r>
        <w:t>“</w:t>
      </w:r>
      <w:r>
        <w:rPr>
          <w:b w:val="0"/>
          <w:i w:val="0"/>
        </w:rPr>
        <w:t>Flow,</w:t>
      </w:r>
      <w:r>
        <w:t>”</w:t>
      </w:r>
      <w:r>
        <w:rPr>
          <w:b w:val="0"/>
          <w:i w:val="0"/>
        </w:rPr>
        <w:t xml:space="preserve"> </w:t>
      </w:r>
      <w:r>
        <w:t>“</w:t>
      </w:r>
      <w:r>
        <w:rPr>
          <w:b w:val="0"/>
          <w:i w:val="0"/>
        </w:rPr>
        <w:t>in flux,</w:t>
      </w:r>
      <w:r>
        <w:t>”</w:t>
      </w:r>
      <w:r>
        <w:rPr>
          <w:b w:val="0"/>
          <w:i w:val="0"/>
        </w:rPr>
        <w:t xml:space="preserve"> </w:t>
      </w:r>
      <w:r>
        <w:t>“</w:t>
      </w:r>
      <w:r>
        <w:rPr>
          <w:b w:val="0"/>
          <w:i w:val="0"/>
        </w:rPr>
        <w:t>spring,</w:t>
      </w:r>
      <w:r>
        <w:t>”</w:t>
      </w:r>
      <w:r>
        <w:rPr>
          <w:b w:val="0"/>
          <w:i w:val="0"/>
        </w:rPr>
        <w:t xml:space="preserve"> and </w:t>
      </w:r>
      <w:r>
        <w:t>“</w:t>
      </w:r>
      <w:r>
        <w:rPr>
          <w:b w:val="0"/>
          <w:i w:val="0"/>
        </w:rPr>
        <w:t>influx</w:t>
      </w:r>
      <w:r>
        <w:t>”</w:t>
      </w:r>
      <w:r>
        <w:rPr>
          <w:b w:val="0"/>
          <w:i w:val="0"/>
        </w:rPr>
        <w:t xml:space="preserve"> should be kept distinct. They do not describe divine fluid or imply that the first cause loses material as effects proceed from it.</w:t>
      </w:r>
    </w:p>
    <w:p>
      <w:pPr>
        <w:keepNext/>
        <w:widowControl/>
      </w:pPr>
      <w:r>
        <w:rPr>
          <w:b/>
          <w:i w:val="0"/>
        </w:rPr>
        <w:t>See also.</w:t>
      </w:r>
    </w:p>
    <w:p>
      <w:pPr>
        <w:widowControl/>
      </w:pPr>
      <w:hyperlink w:anchor="procession-and-return">
        <w:r>
          <w:rPr>
            <w:color w:val="000000"/>
          </w:rPr>
          <w:t xml:space="preserve">Procession and return</w:t>
        </w:r>
      </w:hyperlink>
      <w:r>
        <w:rPr>
          <w:b w:val="0"/>
          <w:i w:val="0"/>
        </w:rPr>
        <w:t xml:space="preserve">; </w:t>
      </w:r>
      <w:hyperlink w:anchor="hinge-and-center">
        <w:r>
          <w:rPr>
            <w:color w:val="000000"/>
          </w:rPr>
          <w:t xml:space="preserve">Hinge and center</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dependence-and-receiving">
        <w:r>
          <w:rPr>
            <w:color w:val="000000"/>
          </w:rPr>
          <w:t xml:space="preserve">Dependence and receiving</w:t>
        </w:r>
      </w:hyperlink>
      <w:r>
        <w:rPr>
          <w:b w:val="0"/>
          <w:i w:val="0"/>
        </w:rPr>
        <w:t>.</w:t>
      </w:r>
    </w:p>
    <w:p>
      <w:bookmarkStart w:id="218" w:name="statue-and-solidity"/>
      <w:pPr>
        <w:pStyle w:val="Heading2"/>
      </w:pPr>
      <w:r>
        <w:rPr>
          <w:b w:val="0"/>
          <w:i w:val="0"/>
        </w:rPr>
        <w:t>Statue and solidity</w:t>
      </w:r>
      <w:bookmarkEnd w:id="218"/>
    </w:p>
    <w:p>
      <w:pPr>
        <w:keepNext/>
        <w:widowControl/>
      </w:pPr>
      <w:r>
        <w:rPr>
          <w:b/>
          <w:i w:val="0"/>
        </w:rPr>
        <w:t>Latin:</w:t>
      </w:r>
      <w:r>
        <w:rPr>
          <w:b w:val="0"/>
          <w:i w:val="0"/>
        </w:rPr>
        <w:t xml:space="preserve"> statua; lapidis; aeris; soliditatem; incorrupta; constat; servantur</w:t>
      </w:r>
    </w:p>
    <w:p>
      <w:pPr>
        <w:keepNext/>
        <w:widowControl/>
      </w:pPr>
      <w:r>
        <w:rPr>
          <w:b/>
          <w:i w:val="0"/>
        </w:rPr>
        <w:t>The word.</w:t>
      </w:r>
    </w:p>
    <w:p>
      <w:pPr>
        <w:widowControl/>
      </w:pPr>
      <w:r>
        <w:rPr>
          <w:b w:val="0"/>
          <w:i w:val="0"/>
        </w:rPr>
        <w:t>Statua is a statue; lapis stone; aes, attested as aeris, bronze or copper alloy. Soliditas is firmness or solidity. Here aeris belongs to aes, not aer, air: the solid material of a statue determines the reading.</w:t>
      </w:r>
    </w:p>
    <w:p>
      <w:pPr>
        <w:keepNext/>
        <w:widowControl/>
      </w:pPr>
      <w:r>
        <w:rPr>
          <w:b/>
          <w:i w:val="0"/>
        </w:rPr>
        <w:t>In the Platonic Theology.</w:t>
      </w:r>
    </w:p>
    <w:p>
      <w:pPr>
        <w:widowControl/>
      </w:pPr>
      <w:r>
        <w:rPr>
          <w:b w:val="0"/>
          <w:i w:val="0"/>
        </w:rPr>
        <w:t>The statue distinguishes the endurance of a craft-product from the conditions that make that endurance possible. Art gives the work its crafted arrangement, but its continued integrity depends on the natural solidity of stone or bronze. Nature then stands in an analogous relation to God: natural things endure through divine influx, and nature’s own existence lasts only as God preserves it.</w:t>
      </w:r>
    </w:p>
    <w:p>
      <w:pPr>
        <w:widowControl/>
      </w:pPr>
      <w:r>
        <w:rPr>
          <w:b w:val="0"/>
          <w:i w:val="0"/>
        </w:rPr>
        <w:t>The analogy is graded, not an equation of all kinds of making. A human artisan presupposes material and its natural powers; God is said to grant being to nature itself. The statue therefore prepares the subsequent argument that the first cause does not merely begin a process and leave it independent. It does not assert that every statue remains forever or that crafted form and material solidity are the same cause.</w:t>
      </w:r>
    </w:p>
    <w:p>
      <w:pPr>
        <w:keepNext/>
        <w:widowControl/>
      </w:pPr>
      <w:r>
        <w:rPr>
          <w:b/>
          <w:i w:val="0"/>
        </w:rPr>
        <w:t>The places.</w:t>
      </w:r>
    </w:p>
    <w:p>
      <w:pPr>
        <w:ind w:left="187" w:hanging="187"/>
      </w:pPr>
      <w:r>
        <w:t xml:space="preserve">• </w:t>
      </w:r>
      <w:r>
        <w:rPr>
          <w:b w:val="0"/>
          <w:i w:val="0"/>
        </w:rPr>
        <w:t>II.7.17, II.7.18 (PDF pp. 150–153): The statue’s material endurance illustrates nature’s continuing dependence on God</w:t>
      </w:r>
    </w:p>
    <w:p>
      <w:pPr>
        <w:keepNext/>
        <w:widowControl/>
      </w:pPr>
      <w:r>
        <w:rPr>
          <w:b/>
          <w:i w:val="0"/>
        </w:rPr>
        <w:t>In this edition.</w:t>
      </w:r>
    </w:p>
    <w:p>
      <w:pPr>
        <w:widowControl/>
      </w:pPr>
      <w:r>
        <w:t>“</w:t>
      </w:r>
      <w:r>
        <w:rPr>
          <w:b w:val="0"/>
          <w:i w:val="0"/>
        </w:rPr>
        <w:t>Bronze</w:t>
      </w:r>
      <w:r>
        <w:t>”</w:t>
      </w:r>
      <w:r>
        <w:rPr>
          <w:b w:val="0"/>
          <w:i w:val="0"/>
        </w:rPr>
        <w:t xml:space="preserve"> is the locally supported interpretation of aeris. This is a useful warning against automatically matching the written form to </w:t>
      </w:r>
      <w:r>
        <w:t>“</w:t>
      </w:r>
      <w:r>
        <w:rPr>
          <w:b w:val="0"/>
          <w:i w:val="0"/>
        </w:rPr>
        <w:t>air,</w:t>
      </w:r>
      <w:r>
        <w:t>”</w:t>
      </w:r>
      <w:r>
        <w:rPr>
          <w:b w:val="0"/>
          <w:i w:val="0"/>
        </w:rPr>
        <w:t xml:space="preserve"> especially since aerem occurs elsewhere in the nearby heating example.</w:t>
      </w:r>
    </w:p>
    <w:p>
      <w:pPr>
        <w:keepNext/>
        <w:widowControl/>
      </w:pPr>
      <w:r>
        <w:rPr>
          <w:b/>
          <w:i w:val="0"/>
        </w:rPr>
        <w:t>See also.</w:t>
      </w:r>
    </w:p>
    <w:p>
      <w:pPr>
        <w:widowControl/>
      </w:pPr>
      <w:hyperlink w:anchor="art-and-nature">
        <w:r>
          <w:rPr>
            <w:color w:val="000000"/>
          </w:rPr>
          <w:t xml:space="preserve">Art and nature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borrowing-and-assistance">
        <w:r>
          <w:rPr>
            <w:color w:val="000000"/>
          </w:rPr>
          <w:t xml:space="preserve">Borrowing and assistance</w:t>
        </w:r>
      </w:hyperlink>
      <w:r>
        <w:rPr>
          <w:b w:val="0"/>
          <w:i w:val="0"/>
        </w:rPr>
        <w:t xml:space="preserve">; </w:t>
      </w:r>
      <w:hyperlink w:anchor="matter">
        <w:r>
          <w:rPr>
            <w:color w:val="000000"/>
          </w:rPr>
          <w:t xml:space="preserve">Matter</w:t>
        </w:r>
      </w:hyperlink>
      <w:r>
        <w:rPr>
          <w:b w:val="0"/>
          <w:i w:val="0"/>
        </w:rPr>
        <w:t>.</w:t>
      </w:r>
    </w:p>
    <w:p>
      <w:bookmarkStart w:id="219" w:name="staying-and-preserving"/>
      <w:pPr>
        <w:pStyle w:val="Heading2"/>
      </w:pPr>
      <w:r>
        <w:rPr>
          <w:b w:val="0"/>
          <w:i w:val="0"/>
        </w:rPr>
        <w:t>Staying and preserving</w:t>
      </w:r>
      <w:bookmarkEnd w:id="219"/>
    </w:p>
    <w:p>
      <w:pPr>
        <w:keepNext/>
        <w:widowControl/>
      </w:pPr>
      <w:r>
        <w:rPr>
          <w:b/>
          <w:i w:val="0"/>
        </w:rPr>
        <w:t>Latin:</w:t>
      </w:r>
      <w:r>
        <w:rPr>
          <w:b w:val="0"/>
          <w:i w:val="0"/>
        </w:rPr>
        <w:t xml:space="preserve"> </w:t>
      </w:r>
      <w:r>
        <w:rPr>
          <w:b w:val="0"/>
          <w:i/>
        </w:rPr>
        <w:t>stare; manere; permanere; perseverare; servare; conservare; retinere</w:t>
      </w:r>
    </w:p>
    <w:p>
      <w:pPr>
        <w:keepNext/>
        <w:widowControl/>
      </w:pPr>
      <w:r>
        <w:rPr>
          <w:b/>
          <w:i w:val="0"/>
        </w:rPr>
        <w:t>The word.</w:t>
      </w:r>
    </w:p>
    <w:p>
      <w:pPr>
        <w:widowControl/>
      </w:pPr>
      <w:r>
        <w:rPr>
          <w:b w:val="0"/>
          <w:i w:val="0"/>
        </w:rPr>
        <w:t>Stare stands or remains stable; manere abides. Permanere and perseverare emphasize continuing; servare and conservare preserve; retinere retains. Remaining and being preserved are related but grammatically distinct relations.</w:t>
      </w:r>
    </w:p>
    <w:p>
      <w:pPr>
        <w:keepNext/>
        <w:widowControl/>
      </w:pPr>
      <w:r>
        <w:rPr>
          <w:b/>
          <w:i w:val="0"/>
        </w:rPr>
        <w:t>In the Platonic Theology.</w:t>
      </w:r>
    </w:p>
    <w:p>
      <w:pPr>
        <w:widowControl/>
      </w:pPr>
      <w:r>
        <w:rPr>
          <w:b w:val="0"/>
          <w:i w:val="0"/>
        </w:rPr>
        <w:t xml:space="preserve">Ficino explicitly explains </w:t>
      </w:r>
      <w:r>
        <w:t>“</w:t>
      </w:r>
      <w:r>
        <w:rPr>
          <w:b w:val="0"/>
          <w:i w:val="0"/>
        </w:rPr>
        <w:t>standing</w:t>
      </w:r>
      <w:r>
        <w:t>”</w:t>
      </w:r>
      <w:r>
        <w:rPr>
          <w:b w:val="0"/>
          <w:i w:val="0"/>
        </w:rPr>
        <w:t xml:space="preserve"> as continuing within the unity of one’s nature. Angel stands through divine unity, so its stability is not independent self-sufficiency. Soul’s substance stands while operation flows. The discourse thereby distinguishes persistence of a subject from unchanging activity. In the earlier hierarchy, creatures may be preserved indissoluble even when described as dissoluble in themselves. That preservation is not the same claim as God’s indissolubility through himself. The verbs of retaining and losing articulate limited likeness to a cause: angel retains stability while falling from simple unity, and must neither retain all divine attributes in the same mode nor lose every resemblance. Ordinary verbs thus carry the precise distinctions among underived stability, received endurance, and persistent substance amid changing acts.</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III.1.5 (Latin PDF p. 240; English PDF p. 241).</w:t>
      </w:r>
      <w:r>
        <w:rPr>
          <w:b w:val="0"/>
          <w:i w:val="0"/>
        </w:rPr>
        <w:t xml:space="preserve"> Preservation holds together things described as dissoluble in themselves.</w:t>
      </w:r>
    </w:p>
    <w:p>
      <w:pPr>
        <w:ind w:left="187" w:hanging="187"/>
      </w:pPr>
      <w:r>
        <w:t xml:space="preserve">• </w:t>
      </w:r>
      <w:r>
        <w:rPr>
          <w:b/>
          <w:i w:val="0"/>
        </w:rPr>
        <w:t>III.1.8 (Latin PDF p. 244; English PDF p. 245).</w:t>
      </w:r>
      <w:r>
        <w:rPr>
          <w:b w:val="0"/>
          <w:i w:val="0"/>
        </w:rPr>
        <w:t xml:space="preserve"> Retaining stability and losing simple unity distinguish angel from God.</w:t>
      </w:r>
    </w:p>
    <w:p>
      <w:pPr>
        <w:ind w:left="187" w:hanging="187"/>
      </w:pPr>
      <w:r>
        <w:t xml:space="preserve">• </w:t>
      </w:r>
      <w:r>
        <w:rPr>
          <w:b/>
          <w:i w:val="0"/>
        </w:rPr>
        <w:t>III.1.15 (Latin PDF p. 248; English PDF p. 249).</w:t>
      </w:r>
      <w:r>
        <w:rPr>
          <w:b w:val="0"/>
          <w:i w:val="0"/>
        </w:rPr>
        <w:t xml:space="preserve"> Soul’s substance is said to stand firm.</w:t>
      </w:r>
    </w:p>
    <w:p>
      <w:pPr>
        <w:ind w:left="187" w:hanging="187"/>
      </w:pPr>
      <w:r>
        <w:t xml:space="preserve">• </w:t>
      </w:r>
      <w:r>
        <w:rPr>
          <w:b/>
          <w:i w:val="0"/>
        </w:rPr>
        <w:t>III.1.22 (Latin PDF p. 252; English PDF p. 253).</w:t>
      </w:r>
      <w:r>
        <w:rPr>
          <w:b w:val="0"/>
          <w:i w:val="0"/>
        </w:rPr>
        <w:t xml:space="preserve"> Standing is explicitly glossed as persevering in the unity of one’s nature.</w:t>
      </w:r>
    </w:p>
    <w:p>
      <w:pPr>
        <w:keepNext/>
        <w:widowControl/>
      </w:pPr>
      <w:r>
        <w:rPr>
          <w:b/>
          <w:i w:val="0"/>
        </w:rPr>
        <w:t>In this edition.</w:t>
      </w:r>
    </w:p>
    <w:p>
      <w:pPr>
        <w:widowControl/>
      </w:pPr>
      <w:r>
        <w:rPr>
          <w:b w:val="0"/>
          <w:i w:val="0"/>
        </w:rPr>
        <w:t xml:space="preserve">The English alternates </w:t>
      </w:r>
      <w:r>
        <w:t>“</w:t>
      </w:r>
      <w:r>
        <w:rPr>
          <w:b w:val="0"/>
          <w:i w:val="0"/>
        </w:rPr>
        <w:t>stand,</w:t>
      </w:r>
      <w:r>
        <w:t>”</w:t>
      </w:r>
      <w:r>
        <w:rPr>
          <w:b w:val="0"/>
          <w:i w:val="0"/>
        </w:rPr>
        <w:t xml:space="preserve"> </w:t>
      </w:r>
      <w:r>
        <w:t>“</w:t>
      </w:r>
      <w:r>
        <w:rPr>
          <w:b w:val="0"/>
          <w:i w:val="0"/>
        </w:rPr>
        <w:t>abide,</w:t>
      </w:r>
      <w:r>
        <w:t>”</w:t>
      </w:r>
      <w:r>
        <w:rPr>
          <w:b w:val="0"/>
          <w:i w:val="0"/>
        </w:rPr>
        <w:t xml:space="preserve"> and </w:t>
      </w:r>
      <w:r>
        <w:t>“</w:t>
      </w:r>
      <w:r>
        <w:rPr>
          <w:b w:val="0"/>
          <w:i w:val="0"/>
        </w:rPr>
        <w:t>remain.</w:t>
      </w:r>
      <w:r>
        <w:t>”</w:t>
      </w:r>
      <w:r>
        <w:rPr>
          <w:b w:val="0"/>
          <w:i w:val="0"/>
        </w:rPr>
        <w:t xml:space="preserve"> Their metaphorical use should not be reduced to physical immobility. Nor does conservare automatically mean merely repairing damage after it occurs; here it includes the continuing gift of persistence.</w:t>
      </w:r>
    </w:p>
    <w:p>
      <w:pPr>
        <w:keepNext/>
        <w:widowControl/>
      </w:pPr>
      <w:r>
        <w:rPr>
          <w:b/>
          <w:i w:val="0"/>
        </w:rPr>
        <w:t>See also.</w:t>
      </w:r>
    </w:p>
    <w:p>
      <w:pPr>
        <w:widowControl/>
      </w:pPr>
      <w:hyperlink w:anchor="motion-and-stability">
        <w:r>
          <w:rPr>
            <w:color w:val="000000"/>
          </w:rPr>
          <w:t xml:space="preserve">Motion and stability</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angel">
        <w:r>
          <w:rPr>
            <w:color w:val="000000"/>
          </w:rPr>
          <w:t xml:space="preserve">Angel</w:t>
        </w:r>
      </w:hyperlink>
      <w:r>
        <w:rPr>
          <w:b w:val="0"/>
          <w:i w:val="0"/>
        </w:rPr>
        <w:t xml:space="preserve">; </w:t>
      </w:r>
      <w:hyperlink w:anchor="essence-and-substance">
        <w:r>
          <w:rPr>
            <w:color w:val="000000"/>
          </w:rPr>
          <w:t xml:space="preserve">Essence and substance</w:t>
        </w:r>
      </w:hyperlink>
      <w:r>
        <w:rPr>
          <w:b w:val="0"/>
          <w:i w:val="0"/>
        </w:rPr>
        <w:t>.</w:t>
      </w:r>
    </w:p>
    <w:p>
      <w:bookmarkStart w:id="220" w:name="strato-chrysippus-and-almariani"/>
      <w:pPr>
        <w:pStyle w:val="Heading2"/>
      </w:pPr>
      <w:r>
        <w:rPr>
          <w:b w:val="0"/>
          <w:i w:val="0"/>
        </w:rPr>
        <w:t>Strato, Chrysippus, and the Almariani</w:t>
      </w:r>
      <w:bookmarkEnd w:id="220"/>
    </w:p>
    <w:p>
      <w:pPr>
        <w:keepNext/>
        <w:widowControl/>
      </w:pPr>
      <w:r>
        <w:rPr>
          <w:b/>
          <w:i w:val="0"/>
        </w:rPr>
        <w:t>Latin:</w:t>
      </w:r>
      <w:r>
        <w:rPr>
          <w:b w:val="0"/>
          <w:i w:val="0"/>
        </w:rPr>
        <w:t xml:space="preserve"> </w:t>
      </w:r>
      <w:r>
        <w:rPr>
          <w:b w:val="0"/>
          <w:i/>
        </w:rPr>
        <w:t>Strato et Chrysippus</w:t>
      </w:r>
      <w:r>
        <w:rPr>
          <w:b w:val="0"/>
          <w:i w:val="0"/>
        </w:rPr>
        <w:t xml:space="preserve">, </w:t>
      </w:r>
      <w:r>
        <w:rPr>
          <w:b w:val="0"/>
          <w:i/>
        </w:rPr>
        <w:t>confitebuntur</w:t>
      </w:r>
      <w:r>
        <w:rPr>
          <w:b w:val="0"/>
          <w:i w:val="0"/>
        </w:rPr>
        <w:t xml:space="preserve">, </w:t>
      </w:r>
      <w:r>
        <w:rPr>
          <w:b w:val="0"/>
          <w:i/>
        </w:rPr>
        <w:t>asseverabunt</w:t>
      </w:r>
      <w:r>
        <w:rPr>
          <w:b w:val="0"/>
          <w:i w:val="0"/>
        </w:rPr>
        <w:t xml:space="preserve">, </w:t>
      </w:r>
      <w:r>
        <w:rPr>
          <w:b w:val="0"/>
          <w:i/>
        </w:rPr>
        <w:t>Almariani</w:t>
      </w:r>
      <w:r>
        <w:rPr>
          <w:b w:val="0"/>
          <w:i w:val="0"/>
        </w:rPr>
        <w:t xml:space="preserve">, </w:t>
      </w:r>
      <w:r>
        <w:rPr>
          <w:b w:val="0"/>
          <w:i/>
        </w:rPr>
        <w:t>stulte putant</w:t>
      </w:r>
      <w:r>
        <w:rPr>
          <w:b w:val="0"/>
          <w:i w:val="0"/>
        </w:rPr>
        <w:t>.</w:t>
      </w:r>
    </w:p>
    <w:p>
      <w:pPr>
        <w:keepNext/>
        <w:widowControl/>
      </w:pPr>
      <w:r>
        <w:rPr>
          <w:b/>
          <w:i w:val="0"/>
        </w:rPr>
        <w:t>The word.</w:t>
      </w:r>
    </w:p>
    <w:p>
      <w:pPr>
        <w:widowControl/>
      </w:pPr>
      <w:r>
        <w:rPr>
          <w:b w:val="0"/>
          <w:i w:val="0"/>
        </w:rPr>
        <w:t xml:space="preserve">The proper names identify positions as Ficino presents them. </w:t>
      </w:r>
      <w:r>
        <w:rPr>
          <w:b w:val="0"/>
          <w:i/>
        </w:rPr>
        <w:t>Confiteri</w:t>
      </w:r>
      <w:r>
        <w:rPr>
          <w:b w:val="0"/>
          <w:i w:val="0"/>
        </w:rPr>
        <w:t xml:space="preserve"> acknowledges or admits; </w:t>
      </w:r>
      <w:r>
        <w:rPr>
          <w:b w:val="0"/>
          <w:i/>
        </w:rPr>
        <w:t>asseverare</w:t>
      </w:r>
      <w:r>
        <w:rPr>
          <w:b w:val="0"/>
          <w:i w:val="0"/>
        </w:rPr>
        <w:t xml:space="preserve"> asserts firmly; </w:t>
      </w:r>
      <w:r>
        <w:rPr>
          <w:b w:val="0"/>
          <w:i/>
        </w:rPr>
        <w:t>putare</w:t>
      </w:r>
      <w:r>
        <w:rPr>
          <w:b w:val="0"/>
          <w:i w:val="0"/>
        </w:rPr>
        <w:t xml:space="preserve"> thinks or holds. The future forms stage what the named interlocutors would concede and maintain in the reconstructed dispute. </w:t>
      </w:r>
      <w:r>
        <w:rPr>
          <w:b w:val="0"/>
          <w:i/>
        </w:rPr>
        <w:t>Stulte</w:t>
      </w:r>
      <w:r>
        <w:rPr>
          <w:b w:val="0"/>
          <w:i w:val="0"/>
        </w:rPr>
        <w:t xml:space="preserve"> marks Ficino’s polemical judgment, not a neutral part of a group’s name.</w:t>
      </w:r>
    </w:p>
    <w:p>
      <w:pPr>
        <w:keepNext/>
        <w:widowControl/>
      </w:pPr>
      <w:r>
        <w:rPr>
          <w:b/>
          <w:i w:val="0"/>
        </w:rPr>
        <w:t>In the Platonic Theology.</w:t>
      </w:r>
    </w:p>
    <w:p>
      <w:pPr>
        <w:widowControl/>
      </w:pPr>
      <w:r>
        <w:rPr>
          <w:b w:val="0"/>
          <w:i w:val="0"/>
        </w:rPr>
        <w:t>Strato and Chrysippus are introduced as agreeing that life is infused into the world but asserting that this life is the highest God. The Platonists reject that identification: life belonging to and residing in another cannot be first self-subsisting life. The following arguments distinguish God from a form of matter, a component in a composite, and the soul of a particular sphere. The Almariani appear specifically as the target of the claim that God and matter form one animal. Ficino rejects it because a composite’s parts stand in potency to the whole, whereas God has no potency toward a further actuality.</w:t>
      </w:r>
    </w:p>
    <w:p>
      <w:pPr>
        <w:widowControl/>
      </w:pPr>
      <w:r>
        <w:rPr>
          <w:b w:val="0"/>
          <w:i w:val="0"/>
        </w:rPr>
        <w:t>The names therefore perform more than decorative historical citation. They mark a partly shared premise and a sharply disputed identification. Accepting an animated world does not, within this argument, imply identifying its animation with God. No independent reconstruction of these thinkers’ doctrines is supplied by these local labels.</w:t>
      </w:r>
    </w:p>
    <w:p>
      <w:pPr>
        <w:keepNext/>
        <w:widowControl/>
      </w:pPr>
      <w:r>
        <w:rPr>
          <w:b/>
          <w:i w:val="0"/>
        </w:rPr>
        <w:t>The places.</w:t>
      </w:r>
    </w:p>
    <w:p>
      <w:pPr>
        <w:ind w:left="187" w:hanging="187"/>
      </w:pPr>
      <w:r>
        <w:t xml:space="preserve">• </w:t>
      </w:r>
      <w:r>
        <w:rPr>
          <w:b/>
          <w:i w:val="0"/>
        </w:rPr>
        <w:t>IV.1.22, PDF pp. 292–293:</w:t>
      </w:r>
      <w:r>
        <w:rPr>
          <w:b w:val="0"/>
          <w:i w:val="0"/>
        </w:rPr>
        <w:t xml:space="preserve"> Strato and Chrysippus are assigned a concession and a disputed identification</w:t>
      </w:r>
    </w:p>
    <w:p>
      <w:pPr>
        <w:ind w:left="187" w:hanging="187"/>
      </w:pPr>
      <w:r>
        <w:t xml:space="preserve">• </w:t>
      </w:r>
      <w:r>
        <w:rPr>
          <w:b/>
          <w:i w:val="0"/>
        </w:rPr>
        <w:t>IV.1.23–27, pp. 292–295:</w:t>
      </w:r>
      <w:r>
        <w:rPr>
          <w:b w:val="0"/>
          <w:i w:val="0"/>
        </w:rPr>
        <w:t xml:space="preserve"> unity, goodness, being, primary agency, and freedom from potency distinguish God from matter’s form</w:t>
      </w:r>
    </w:p>
    <w:p>
      <w:pPr>
        <w:ind w:left="187" w:hanging="187"/>
      </w:pPr>
      <w:r>
        <w:t xml:space="preserve">• </w:t>
      </w:r>
      <w:r>
        <w:rPr>
          <w:b/>
          <w:i w:val="0"/>
        </w:rPr>
        <w:t>IV.1.28, pp. 294–295:</w:t>
      </w:r>
      <w:r>
        <w:rPr>
          <w:b w:val="0"/>
          <w:i w:val="0"/>
        </w:rPr>
        <w:t xml:space="preserve"> a sphere’s mutable soul requires a higher stable guide and therefore cannot itself be God</w:t>
      </w:r>
    </w:p>
    <w:p>
      <w:pPr>
        <w:keepNext/>
        <w:widowControl/>
      </w:pPr>
      <w:r>
        <w:rPr>
          <w:b/>
          <w:i w:val="0"/>
        </w:rPr>
        <w:t>In this edition.</w:t>
      </w:r>
    </w:p>
    <w:p>
      <w:pPr>
        <w:widowControl/>
      </w:pPr>
      <w:r>
        <w:t>“</w:t>
      </w:r>
      <w:r>
        <w:rPr>
          <w:b w:val="0"/>
          <w:i w:val="0"/>
        </w:rPr>
        <w:t>Will admit</w:t>
      </w:r>
      <w:r>
        <w:t>”</w:t>
      </w:r>
      <w:r>
        <w:rPr>
          <w:b w:val="0"/>
          <w:i w:val="0"/>
        </w:rPr>
        <w:t xml:space="preserve"> and </w:t>
      </w:r>
      <w:r>
        <w:t>“</w:t>
      </w:r>
      <w:r>
        <w:rPr>
          <w:b w:val="0"/>
          <w:i w:val="0"/>
        </w:rPr>
        <w:t>will assert</w:t>
      </w:r>
      <w:r>
        <w:t>”</w:t>
      </w:r>
      <w:r>
        <w:rPr>
          <w:b w:val="0"/>
          <w:i w:val="0"/>
        </w:rPr>
        <w:t xml:space="preserve"> preserve the staged future debate. The text’s </w:t>
      </w:r>
      <w:r>
        <w:t>“</w:t>
      </w:r>
      <w:r>
        <w:rPr>
          <w:b w:val="0"/>
          <w:i w:val="0"/>
        </w:rPr>
        <w:t>foolishly</w:t>
      </w:r>
      <w:r>
        <w:t>”</w:t>
      </w:r>
      <w:r>
        <w:rPr>
          <w:b w:val="0"/>
          <w:i w:val="0"/>
        </w:rPr>
        <w:t xml:space="preserve"> is Ficino’s polemic against the Almariani. The supplied spelling is retained without a conjectural historical identification.</w:t>
      </w:r>
    </w:p>
    <w:p>
      <w:pPr>
        <w:keepNext/>
        <w:widowControl/>
      </w:pPr>
      <w:r>
        <w:rPr>
          <w:b/>
          <w:i w:val="0"/>
        </w:rPr>
        <w:t>See also.</w:t>
      </w:r>
    </w:p>
    <w:p>
      <w:pPr>
        <w:widowControl/>
      </w:pPr>
      <w:hyperlink w:anchor="world-soul">
        <w:r>
          <w:rPr>
            <w:color w:val="000000"/>
          </w:rPr>
          <w:t xml:space="preserve">World soul</w:t>
        </w:r>
      </w:hyperlink>
      <w:r>
        <w:rPr>
          <w:b w:val="0"/>
          <w:i w:val="0"/>
        </w:rPr>
        <w:t xml:space="preserve">; </w:t>
      </w:r>
      <w:hyperlink w:anchor="god">
        <w:r>
          <w:rPr>
            <w:color w:val="000000"/>
          </w:rPr>
          <w:t xml:space="preserve">God</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assertion-report-and-reservation">
        <w:r>
          <w:rPr>
            <w:color w:val="000000"/>
          </w:rPr>
          <w:t xml:space="preserve">Assertion, report, and reservation</w:t>
        </w:r>
      </w:hyperlink>
      <w:r>
        <w:rPr>
          <w:b w:val="0"/>
          <w:i w:val="0"/>
        </w:rPr>
        <w:t>.</w:t>
      </w:r>
    </w:p>
    <w:p>
      <w:bookmarkStart w:id="221" w:name="striving-and-enjoyment"/>
      <w:pPr>
        <w:pStyle w:val="Heading2"/>
      </w:pPr>
      <w:r>
        <w:rPr>
          <w:b w:val="0"/>
          <w:i w:val="0"/>
        </w:rPr>
        <w:t>Striving and enjoyment</w:t>
      </w:r>
      <w:bookmarkEnd w:id="221"/>
    </w:p>
    <w:p>
      <w:pPr>
        <w:keepNext/>
        <w:widowControl/>
      </w:pPr>
      <w:r>
        <w:rPr>
          <w:b/>
          <w:i w:val="0"/>
        </w:rPr>
        <w:t>Latin:</w:t>
      </w:r>
      <w:r>
        <w:rPr>
          <w:b w:val="0"/>
          <w:i w:val="0"/>
        </w:rPr>
        <w:t xml:space="preserve"> </w:t>
      </w:r>
      <w:r>
        <w:rPr>
          <w:b w:val="0"/>
          <w:i/>
        </w:rPr>
        <w:t>nixu</w:t>
      </w:r>
      <w:r>
        <w:rPr>
          <w:b w:val="0"/>
          <w:i w:val="0"/>
        </w:rPr>
        <w:t xml:space="preserve">, </w:t>
      </w:r>
      <w:r>
        <w:rPr>
          <w:b w:val="0"/>
          <w:i/>
        </w:rPr>
        <w:t>nititur</w:t>
      </w:r>
      <w:r>
        <w:rPr>
          <w:b w:val="0"/>
          <w:i w:val="0"/>
        </w:rPr>
        <w:t xml:space="preserve">, </w:t>
      </w:r>
      <w:r>
        <w:rPr>
          <w:b w:val="0"/>
          <w:i/>
        </w:rPr>
        <w:t>nitetur</w:t>
      </w:r>
      <w:r>
        <w:rPr>
          <w:b w:val="0"/>
          <w:i w:val="0"/>
        </w:rPr>
        <w:t xml:space="preserve">, </w:t>
      </w:r>
      <w:r>
        <w:rPr>
          <w:b w:val="0"/>
          <w:i/>
        </w:rPr>
        <w:t>contendet</w:t>
      </w:r>
      <w:r>
        <w:rPr>
          <w:b w:val="0"/>
          <w:i w:val="0"/>
        </w:rPr>
        <w:t xml:space="preserve">, </w:t>
      </w:r>
      <w:r>
        <w:rPr>
          <w:b w:val="0"/>
          <w:i/>
        </w:rPr>
        <w:t>affectat</w:t>
      </w:r>
      <w:r>
        <w:rPr>
          <w:b w:val="0"/>
          <w:i w:val="0"/>
        </w:rPr>
        <w:t xml:space="preserve">, </w:t>
      </w:r>
      <w:r>
        <w:rPr>
          <w:b w:val="0"/>
          <w:i/>
        </w:rPr>
        <w:t>fruendae</w:t>
      </w:r>
      <w:r>
        <w:rPr>
          <w:b w:val="0"/>
          <w:i w:val="0"/>
        </w:rPr>
        <w:t xml:space="preserve">, </w:t>
      </w:r>
      <w:r>
        <w:rPr>
          <w:b w:val="0"/>
          <w:i/>
        </w:rPr>
        <w:t>perfruatur</w:t>
      </w:r>
      <w:r>
        <w:rPr>
          <w:b w:val="0"/>
          <w:i w:val="0"/>
        </w:rPr>
        <w:t xml:space="preserve">, </w:t>
      </w:r>
      <w:r>
        <w:rPr>
          <w:b w:val="0"/>
          <w:i/>
        </w:rPr>
        <w:t>assequitur</w:t>
      </w:r>
      <w:r>
        <w:rPr>
          <w:b w:val="0"/>
          <w:i w:val="0"/>
        </w:rPr>
        <w:t>.</w:t>
      </w:r>
    </w:p>
    <w:p>
      <w:pPr>
        <w:keepNext/>
        <w:widowControl/>
      </w:pPr>
      <w:r>
        <w:rPr>
          <w:b/>
          <w:i w:val="0"/>
        </w:rPr>
        <w:t>The word.</w:t>
      </w:r>
    </w:p>
    <w:p>
      <w:pPr>
        <w:widowControl/>
      </w:pPr>
      <w:r>
        <w:rPr>
          <w:b w:val="0"/>
          <w:i/>
        </w:rPr>
        <w:t>Nixus</w:t>
      </w:r>
      <w:r>
        <w:rPr>
          <w:b w:val="0"/>
          <w:i w:val="0"/>
        </w:rPr>
        <w:t xml:space="preserve"> is effort or striving; </w:t>
      </w:r>
      <w:r>
        <w:rPr>
          <w:b w:val="0"/>
          <w:i/>
        </w:rPr>
        <w:t>niti</w:t>
      </w:r>
      <w:r>
        <w:rPr>
          <w:b w:val="0"/>
          <w:i w:val="0"/>
        </w:rPr>
        <w:t xml:space="preserve"> presses toward an outcome; </w:t>
      </w:r>
      <w:r>
        <w:rPr>
          <w:b w:val="0"/>
          <w:i/>
        </w:rPr>
        <w:t>contendere</w:t>
      </w:r>
      <w:r>
        <w:rPr>
          <w:b w:val="0"/>
          <w:i w:val="0"/>
        </w:rPr>
        <w:t xml:space="preserve"> makes for it. </w:t>
      </w:r>
      <w:r>
        <w:rPr>
          <w:b w:val="0"/>
          <w:i/>
        </w:rPr>
        <w:t>Affectare</w:t>
      </w:r>
      <w:r>
        <w:rPr>
          <w:b w:val="0"/>
          <w:i w:val="0"/>
        </w:rPr>
        <w:t xml:space="preserve"> seeks or aspires to something, whereas </w:t>
      </w:r>
      <w:r>
        <w:rPr>
          <w:b w:val="0"/>
          <w:i/>
        </w:rPr>
        <w:t>frui</w:t>
      </w:r>
      <w:r>
        <w:rPr>
          <w:b w:val="0"/>
          <w:i w:val="0"/>
        </w:rPr>
        <w:t xml:space="preserve"> and </w:t>
      </w:r>
      <w:r>
        <w:rPr>
          <w:b w:val="0"/>
          <w:i/>
        </w:rPr>
        <w:t>perfrui</w:t>
      </w:r>
      <w:r>
        <w:rPr>
          <w:b w:val="0"/>
          <w:i w:val="0"/>
        </w:rPr>
        <w:t xml:space="preserve"> concern enjoying or fully possessing it. In these contexts </w:t>
      </w:r>
      <w:r>
        <w:t>“</w:t>
      </w:r>
      <w:r>
        <w:rPr>
          <w:b w:val="0"/>
          <w:i w:val="0"/>
        </w:rPr>
        <w:t>affect</w:t>
      </w:r>
      <w:r>
        <w:t>”</w:t>
      </w:r>
      <w:r>
        <w:rPr>
          <w:b w:val="0"/>
          <w:i w:val="0"/>
        </w:rPr>
        <w:t xml:space="preserve"> is not automatically a passing emotion.</w:t>
      </w:r>
    </w:p>
    <w:p>
      <w:pPr>
        <w:keepNext/>
        <w:widowControl/>
      </w:pPr>
      <w:r>
        <w:rPr>
          <w:b/>
          <w:i w:val="0"/>
        </w:rPr>
        <w:t>In the Platonic Theology.</w:t>
      </w:r>
    </w:p>
    <w:p>
      <w:pPr>
        <w:widowControl/>
      </w:pPr>
      <w:r>
        <w:rPr>
          <w:b w:val="0"/>
          <w:i w:val="0"/>
        </w:rPr>
        <w:t>The lowest celestial faculty strives toward all the seeds it possesses but cannot actualize them together. Its many-directed striving produces a continuing succession. At the level of body, world-matter seeks all forms as its perfections but cannot receive contrary forms simultaneously. Succession supplies a qualified substitute for simultaneous completeness.</w:t>
      </w:r>
    </w:p>
    <w:p>
      <w:pPr>
        <w:widowControl/>
      </w:pPr>
      <w:r>
        <w:rPr>
          <w:b w:val="0"/>
          <w:i w:val="0"/>
        </w:rPr>
        <w:t xml:space="preserve">The Saturn example sharpens the difference between striving and attainment. A part of its sphere seeks contact with every corresponding part of the surrounding sphere; through rotation it nearly attains what rest cannot provide. The sphere also longs to enjoy the soul that is wholly present at every point and hastens to resemble that simultaneous presence as far as possible. Yet motion never makes extended body literally indivisible or everywhere whole at once. The phrases </w:t>
      </w:r>
      <w:r>
        <w:t>“</w:t>
      </w:r>
      <w:r>
        <w:rPr>
          <w:b w:val="0"/>
          <w:i w:val="0"/>
        </w:rPr>
        <w:t>nearly</w:t>
      </w:r>
      <w:r>
        <w:t>”</w:t>
      </w:r>
      <w:r>
        <w:rPr>
          <w:b w:val="0"/>
          <w:i w:val="0"/>
        </w:rPr>
        <w:t xml:space="preserve"> and </w:t>
      </w:r>
      <w:r>
        <w:t>“</w:t>
      </w:r>
      <w:r>
        <w:rPr>
          <w:b w:val="0"/>
          <w:i w:val="0"/>
        </w:rPr>
        <w:t>as far as possible</w:t>
      </w:r>
      <w:r>
        <w:t>”</w:t>
      </w:r>
      <w:r>
        <w:rPr>
          <w:b w:val="0"/>
          <w:i w:val="0"/>
        </w:rPr>
        <w:t xml:space="preserve"> preserve the asymmetry between the desired model and its bodily imitation.</w:t>
      </w:r>
    </w:p>
    <w:p>
      <w:pPr>
        <w:keepNext/>
        <w:widowControl/>
      </w:pPr>
      <w:r>
        <w:rPr>
          <w:b/>
          <w:i w:val="0"/>
        </w:rPr>
        <w:t>The places.</w:t>
      </w:r>
    </w:p>
    <w:p>
      <w:pPr>
        <w:ind w:left="187" w:hanging="187"/>
      </w:pPr>
      <w:r>
        <w:t xml:space="preserve">• </w:t>
      </w:r>
      <w:r>
        <w:rPr>
          <w:b/>
          <w:i w:val="0"/>
        </w:rPr>
        <w:t>IV.2.12, PDF pp. 340–341:</w:t>
      </w:r>
      <w:r>
        <w:rPr>
          <w:b w:val="0"/>
          <w:i w:val="0"/>
        </w:rPr>
        <w:t xml:space="preserve"> manifold striving actualizes seeds successively</w:t>
      </w:r>
    </w:p>
    <w:p>
      <w:pPr>
        <w:ind w:left="187" w:hanging="187"/>
      </w:pPr>
      <w:r>
        <w:t xml:space="preserve">• </w:t>
      </w:r>
      <w:r>
        <w:rPr>
          <w:b/>
          <w:i w:val="0"/>
        </w:rPr>
        <w:t>IV.2.20, pp. 344–345:</w:t>
      </w:r>
      <w:r>
        <w:rPr>
          <w:b w:val="0"/>
          <w:i w:val="0"/>
        </w:rPr>
        <w:t xml:space="preserve"> matter gains through succession what contrary forms prevent it possessing together</w:t>
      </w:r>
    </w:p>
    <w:p>
      <w:pPr>
        <w:ind w:left="187" w:hanging="187"/>
      </w:pPr>
      <w:r>
        <w:t xml:space="preserve">• </w:t>
      </w:r>
      <w:r>
        <w:rPr>
          <w:b/>
          <w:i w:val="0"/>
        </w:rPr>
        <w:t>IV.2.24–26, pp. 348–349:</w:t>
      </w:r>
      <w:r>
        <w:rPr>
          <w:b w:val="0"/>
          <w:i w:val="0"/>
        </w:rPr>
        <w:t xml:space="preserve"> local affinity, contact, enjoyment of soul, and bodily imitation of whole presence explain continuous rotation</w:t>
      </w:r>
    </w:p>
    <w:p>
      <w:pPr>
        <w:keepNext/>
        <w:widowControl/>
      </w:pPr>
      <w:r>
        <w:rPr>
          <w:b/>
          <w:i w:val="0"/>
        </w:rPr>
        <w:t>In this edition.</w:t>
      </w:r>
    </w:p>
    <w:p>
      <w:pPr>
        <w:widowControl/>
      </w:pPr>
      <w:r>
        <w:t>“</w:t>
      </w:r>
      <w:r>
        <w:rPr>
          <w:b w:val="0"/>
          <w:i w:val="0"/>
        </w:rPr>
        <w:t>Nearly attains</w:t>
      </w:r>
      <w:r>
        <w:t>”</w:t>
      </w:r>
      <w:r>
        <w:rPr>
          <w:b w:val="0"/>
          <w:i w:val="0"/>
        </w:rPr>
        <w:t xml:space="preserve"> renders </w:t>
      </w:r>
      <w:r>
        <w:rPr>
          <w:b w:val="0"/>
          <w:i/>
        </w:rPr>
        <w:t>ferme assequitur</w:t>
      </w:r>
      <w:r>
        <w:rPr>
          <w:b w:val="0"/>
          <w:i w:val="0"/>
        </w:rPr>
        <w:t xml:space="preserve"> and </w:t>
      </w:r>
      <w:r>
        <w:t>“</w:t>
      </w:r>
      <w:r>
        <w:rPr>
          <w:b w:val="0"/>
          <w:i w:val="0"/>
        </w:rPr>
        <w:t>as far as possible</w:t>
      </w:r>
      <w:r>
        <w:t>”</w:t>
      </w:r>
      <w:r>
        <w:rPr>
          <w:b w:val="0"/>
          <w:i w:val="0"/>
        </w:rPr>
        <w:t xml:space="preserve"> renders </w:t>
      </w:r>
      <w:r>
        <w:rPr>
          <w:b w:val="0"/>
          <w:i/>
        </w:rPr>
        <w:t>quoad fieri potest</w:t>
      </w:r>
      <w:r>
        <w:rPr>
          <w:b w:val="0"/>
          <w:i w:val="0"/>
        </w:rPr>
        <w:t>. Omitting either would make Ficino claim that rotating body achieves the indivisible presence proper to soul.</w:t>
      </w:r>
    </w:p>
    <w:p>
      <w:pPr>
        <w:keepNext/>
        <w:widowControl/>
      </w:pPr>
      <w:r>
        <w:rPr>
          <w:b/>
          <w:i w:val="0"/>
        </w:rPr>
        <w:t>See also.</w:t>
      </w:r>
    </w:p>
    <w:p>
      <w:pPr>
        <w:widowControl/>
      </w:pPr>
      <w:hyperlink w:anchor="appetite-and-desire">
        <w:r>
          <w:rPr>
            <w:color w:val="000000"/>
          </w:rPr>
          <w:t xml:space="preserve">Appetite and desire</w:t>
        </w:r>
      </w:hyperlink>
      <w:r>
        <w:rPr>
          <w:b w:val="0"/>
          <w:i w:val="0"/>
        </w:rPr>
        <w:t xml:space="preserve">; </w:t>
      </w:r>
      <w:hyperlink w:anchor="habitual-possession">
        <w:r>
          <w:rPr>
            <w:color w:val="000000"/>
          </w:rPr>
          <w:t xml:space="preserve">Habitual possession</w:t>
        </w:r>
      </w:hyperlink>
      <w:r>
        <w:rPr>
          <w:b w:val="0"/>
          <w:i w:val="0"/>
        </w:rPr>
        <w:t xml:space="preserve">; </w:t>
      </w:r>
      <w:hyperlink w:anchor="circularity-and-return">
        <w:r>
          <w:rPr>
            <w:color w:val="000000"/>
          </w:rPr>
          <w:t xml:space="preserve">Circularity and return</w:t>
        </w:r>
      </w:hyperlink>
      <w:r>
        <w:rPr>
          <w:b w:val="0"/>
          <w:i w:val="0"/>
        </w:rPr>
        <w:t xml:space="preserve">; </w:t>
      </w:r>
      <w:hyperlink w:anchor="omnipresence-and-place">
        <w:r>
          <w:rPr>
            <w:color w:val="000000"/>
          </w:rPr>
          <w:t xml:space="preserve">Omnipresence and place</w:t>
        </w:r>
      </w:hyperlink>
      <w:r>
        <w:rPr>
          <w:b w:val="0"/>
          <w:i w:val="0"/>
        </w:rPr>
        <w:t>.</w:t>
      </w:r>
    </w:p>
    <w:p>
      <w:bookmarkStart w:id="222" w:name="substance-and-accident"/>
      <w:pPr>
        <w:pStyle w:val="Heading2"/>
      </w:pPr>
      <w:r>
        <w:rPr>
          <w:b w:val="0"/>
          <w:i w:val="0"/>
        </w:rPr>
        <w:t>Substance and accident</w:t>
      </w:r>
      <w:bookmarkEnd w:id="222"/>
    </w:p>
    <w:p>
      <w:pPr>
        <w:keepNext/>
        <w:widowControl/>
      </w:pPr>
      <w:r>
        <w:rPr>
          <w:b/>
          <w:i w:val="0"/>
        </w:rPr>
        <w:t>Latin:</w:t>
      </w:r>
      <w:r>
        <w:rPr>
          <w:b w:val="0"/>
          <w:i w:val="0"/>
        </w:rPr>
        <w:t xml:space="preserve"> </w:t>
      </w:r>
      <w:r>
        <w:rPr>
          <w:b w:val="0"/>
          <w:i/>
        </w:rPr>
        <w:t>substantia</w:t>
      </w:r>
      <w:r>
        <w:rPr>
          <w:b w:val="0"/>
          <w:i w:val="0"/>
        </w:rPr>
        <w:t xml:space="preserve">, </w:t>
      </w:r>
      <w:r>
        <w:rPr>
          <w:b w:val="0"/>
          <w:i/>
        </w:rPr>
        <w:t>substantialis</w:t>
      </w:r>
      <w:r>
        <w:rPr>
          <w:b w:val="0"/>
          <w:i w:val="0"/>
        </w:rPr>
        <w:t xml:space="preserve">; </w:t>
      </w:r>
      <w:r>
        <w:rPr>
          <w:b w:val="0"/>
          <w:i/>
        </w:rPr>
        <w:t>accidens</w:t>
      </w:r>
      <w:r>
        <w:rPr>
          <w:b w:val="0"/>
          <w:i w:val="0"/>
        </w:rPr>
        <w:t xml:space="preserve">, </w:t>
      </w:r>
      <w:r>
        <w:rPr>
          <w:b w:val="0"/>
          <w:i/>
        </w:rPr>
        <w:t>accidentia</w:t>
      </w:r>
      <w:r>
        <w:rPr>
          <w:b w:val="0"/>
          <w:i w:val="0"/>
        </w:rPr>
        <w:t xml:space="preserve">, </w:t>
      </w:r>
      <w:r>
        <w:rPr>
          <w:b w:val="0"/>
          <w:i/>
        </w:rPr>
        <w:t>accidentalis</w:t>
      </w:r>
      <w:r>
        <w:rPr>
          <w:b w:val="0"/>
          <w:i w:val="0"/>
        </w:rPr>
        <w:t xml:space="preserve">, </w:t>
      </w:r>
      <w:r>
        <w:rPr>
          <w:b w:val="0"/>
          <w:i/>
        </w:rPr>
        <w:t>accidentale</w:t>
      </w:r>
      <w:r>
        <w:rPr>
          <w:b w:val="0"/>
          <w:i w:val="0"/>
        </w:rPr>
        <w:t xml:space="preserve">, </w:t>
      </w:r>
      <w:r>
        <w:rPr>
          <w:b w:val="0"/>
          <w:i/>
        </w:rPr>
        <w:t>qualitates accidentales</w:t>
      </w:r>
      <w:r>
        <w:rPr>
          <w:b w:val="0"/>
          <w:i w:val="0"/>
        </w:rPr>
        <w:t xml:space="preserve">; </w:t>
      </w:r>
      <w:r>
        <w:rPr>
          <w:b w:val="0"/>
          <w:i/>
        </w:rPr>
        <w:t>subiectum</w:t>
      </w:r>
    </w:p>
    <w:p>
      <w:pPr>
        <w:keepNext/>
        <w:widowControl/>
      </w:pPr>
      <w:r>
        <w:rPr>
          <w:b/>
          <w:i w:val="0"/>
        </w:rPr>
        <w:t>The word.</w:t>
      </w:r>
    </w:p>
    <w:p>
      <w:pPr>
        <w:widowControl/>
      </w:pPr>
      <w:r>
        <w:rPr>
          <w:b w:val="0"/>
          <w:i w:val="0"/>
        </w:rPr>
        <w:t>Substantia identifies a subsisting bearer or substantial producer; accidens a dependent condition. Subiectum is its underlying recipient. Accidentalis does not mean random, negligible, or causally idle.</w:t>
      </w:r>
    </w:p>
    <w:p>
      <w:pPr>
        <w:keepNext/>
        <w:widowControl/>
      </w:pPr>
      <w:r>
        <w:rPr>
          <w:b/>
          <w:i w:val="0"/>
        </w:rPr>
        <w:t>In the Platonic Theology.</w:t>
      </w:r>
    </w:p>
    <w:p>
      <w:pPr>
        <w:widowControl/>
      </w:pPr>
      <w:r>
        <w:rPr>
          <w:b w:val="0"/>
          <w:i w:val="0"/>
        </w:rPr>
        <w:t xml:space="preserve">Substance contrasts with a condition inhering in something else. Ficino calls indivisible essence the foundation and origin of accidents, a stable hinge for changing conditions. Quantity and quality are accidents in this context, but </w:t>
      </w:r>
      <w:r>
        <w:t>“</w:t>
      </w:r>
      <w:r>
        <w:rPr>
          <w:b w:val="0"/>
          <w:i w:val="0"/>
        </w:rPr>
        <w:t>accidental</w:t>
      </w:r>
      <w:r>
        <w:t>”</w:t>
      </w:r>
      <w:r>
        <w:rPr>
          <w:b w:val="0"/>
          <w:i w:val="0"/>
        </w:rPr>
        <w:t xml:space="preserve"> means dependent on a subject rather than irrelevant, random, or merely coincidental. The subject is the underlying bearer, not necessarily a conscious observer. An accident may have real causal effects while remaining unable to subsist or act independently of its substantial source.</w:t>
      </w:r>
    </w:p>
    <w:p>
      <w:pPr>
        <w:widowControl/>
      </w:pPr>
      <w:r>
        <w:rPr>
          <w:b w:val="0"/>
          <w:i w:val="0"/>
        </w:rPr>
        <w:t>The ascent differentiates accidental qualitative form, substantial corporeal form, and substantial incorporeal form. Heated wool illustrates the distinction: accidental heat prepares a condition in which the substantial form of fire is produced, but heat as a mere accident does not independently account for the substantial result. Substance’s priority to quantity in nature and dignity likewise supports Ficino’s argument for substance without quantitative division. Self-subsistence is compatible with receiving existence or power from a higher cause; it does not automatically confer divine independence.</w:t>
      </w:r>
    </w:p>
    <w:p>
      <w:pPr>
        <w:widowControl/>
      </w:pPr>
      <w:r>
        <w:rPr>
          <w:b w:val="0"/>
          <w:i w:val="0"/>
        </w:rPr>
        <w:t>Book IV makes causal sufficiency especially important. An influence descending from a celestial soul is an accident separated from its substantial source and cannot by itself generate a living substance on earth. It needs a proximate living substance whose instrument it can be. IV.1.5 contrasts what remains substantial in an external bodily agent with the accidental effect entering another body, and infers the need for an incorporeal living agent present within. IV.1.19 allows qualities to contribute while denying their independent sufficiency. The claim therefore distinguishes instrumental preparation from a sufficient substantial producer rather than excluding qualities from generation. The supplied apparatus records a substantial later-witness addition after IV.1.4 reinforcing this argument; that addition is not part of the edition’s base reading.</w:t>
      </w:r>
    </w:p>
    <w:p>
      <w:pPr>
        <w:keepNext/>
        <w:widowControl/>
      </w:pPr>
      <w:r>
        <w:rPr>
          <w:b/>
          <w:i w:val="0"/>
        </w:rPr>
        <w:t>The places.</w:t>
      </w:r>
    </w:p>
    <w:p>
      <w:pPr>
        <w:ind w:left="187" w:hanging="187"/>
      </w:pPr>
      <w:r>
        <w:t xml:space="preserve">• </w:t>
      </w:r>
      <w:r>
        <w:rPr>
          <w:b/>
          <w:i w:val="0"/>
        </w:rPr>
        <w:t>I.3.13–15, PDF pp. 36–39</w:t>
      </w:r>
      <w:r>
        <w:rPr>
          <w:b w:val="0"/>
          <w:i w:val="0"/>
        </w:rPr>
        <w:t>. Indivisible substantial essence grounds changing accidents and supports the ascent beyond divisible forms.</w:t>
      </w:r>
    </w:p>
    <w:p>
      <w:pPr>
        <w:ind w:left="187" w:hanging="187"/>
      </w:pPr>
      <w:r>
        <w:t xml:space="preserve">• </w:t>
      </w:r>
      <w:r>
        <w:rPr>
          <w:b/>
          <w:i w:val="0"/>
        </w:rPr>
        <w:t>I.3.22 and I.3.25–28, PDF pp. 44–49</w:t>
      </w:r>
      <w:r>
        <w:rPr>
          <w:b w:val="0"/>
          <w:i w:val="0"/>
        </w:rPr>
        <w:t>. Substantial form is distinguished from preparatory accidental quality and bodily extension.</w:t>
      </w:r>
    </w:p>
    <w:p>
      <w:pPr>
        <w:ind w:left="187" w:hanging="187"/>
      </w:pPr>
      <w:r>
        <w:t xml:space="preserve">• </w:t>
      </w:r>
      <w:r>
        <w:rPr>
          <w:b/>
          <w:i w:val="0"/>
        </w:rPr>
        <w:t>IV.1.3–5, PDF pp. 282–285</w:t>
      </w:r>
      <w:r>
        <w:rPr>
          <w:b w:val="0"/>
          <w:i w:val="0"/>
        </w:rPr>
        <w:t>. A remote celestial accident needs a proximate living substantial agent to produce a living substance.</w:t>
      </w:r>
    </w:p>
    <w:p>
      <w:pPr>
        <w:ind w:left="187" w:hanging="187"/>
      </w:pPr>
      <w:r>
        <w:t xml:space="preserve">• </w:t>
      </w:r>
      <w:r>
        <w:rPr>
          <w:b/>
          <w:i w:val="0"/>
        </w:rPr>
        <w:t>IV.1.19, PDF pp. 290–291</w:t>
      </w:r>
      <w:r>
        <w:rPr>
          <w:b w:val="0"/>
          <w:i w:val="0"/>
        </w:rPr>
        <w:t>. Qualities may contribute while remaining insufficient without a substantial generative cause.</w:t>
      </w:r>
    </w:p>
    <w:p>
      <w:pPr>
        <w:widowControl/>
      </w:pPr>
      <w:r>
        <w:rPr>
          <w:b/>
          <w:i w:val="0"/>
        </w:rPr>
        <w:t>Further passage references.</w:t>
      </w:r>
      <w:r>
        <w:rPr>
          <w:b w:val="0"/>
          <w:i w:val="0"/>
        </w:rPr>
        <w:t xml:space="preserve"> I.3.4, I.3.13–I.3.15, I.3.22, I.3.25–I.3.28 (PDF pp. 30–31, 36–39, 44–49); I.5.9 (pp. 64–65); I.6.6 (pp. 84–85); IV.1.3–IV.1.5, pp. 282–285; IV.1.19, pp. 290–291; apparatus p. 388</w:t>
      </w:r>
    </w:p>
    <w:p>
      <w:pPr>
        <w:keepNext/>
        <w:widowControl/>
      </w:pPr>
      <w:r>
        <w:rPr>
          <w:b/>
          <w:i w:val="0"/>
        </w:rPr>
        <w:t>In this edition.</w:t>
      </w:r>
    </w:p>
    <w:p>
      <w:pPr>
        <w:widowControl/>
      </w:pPr>
      <w:r>
        <w:rPr>
          <w:b w:val="0"/>
          <w:i w:val="0"/>
        </w:rPr>
        <w:t>The IV.1.4 apparatus records a later-witness addition about accidental preparation; it must remain separate from the supplied continuous base text. The retained text itself differentiates an accident’s contribution from the sufficient role of a proximate substantial source.</w:t>
      </w:r>
    </w:p>
    <w:p>
      <w:pPr>
        <w:keepNext/>
        <w:widowControl/>
      </w:pPr>
      <w:r>
        <w:rPr>
          <w:b/>
          <w:i w:val="0"/>
        </w:rPr>
        <w:t>See also.</w:t>
      </w:r>
    </w:p>
    <w:p>
      <w:pPr>
        <w:widowControl/>
      </w:pPr>
      <w:hyperlink w:anchor="essence-and-substance">
        <w:r>
          <w:rPr>
            <w:color w:val="000000"/>
          </w:rPr>
          <w:t xml:space="preserve">Essence and substance</w:t>
        </w:r>
      </w:hyperlink>
      <w:r>
        <w:rPr>
          <w:b w:val="0"/>
          <w:i w:val="0"/>
        </w:rPr>
        <w:t xml:space="preserve">; </w:t>
      </w:r>
      <w:hyperlink w:anchor="form">
        <w:r>
          <w:rPr>
            <w:color w:val="000000"/>
          </w:rPr>
          <w:t xml:space="preserve">Form</w:t>
        </w:r>
      </w:hyperlink>
      <w:r>
        <w:rPr>
          <w:b w:val="0"/>
          <w:i w:val="0"/>
        </w:rPr>
        <w:t xml:space="preserve">; </w:t>
      </w:r>
      <w:hyperlink w:anchor="quality">
        <w:r>
          <w:rPr>
            <w:color w:val="000000"/>
          </w:rPr>
          <w:t xml:space="preserve">Quality</w:t>
        </w:r>
      </w:hyperlink>
      <w:r>
        <w:rPr>
          <w:b w:val="0"/>
          <w:i w:val="0"/>
        </w:rPr>
        <w:t xml:space="preserve">; </w:t>
      </w:r>
      <w:hyperlink w:anchor="matter">
        <w:r>
          <w:rPr>
            <w:color w:val="000000"/>
          </w:rPr>
          <w:t xml:space="preserve">Matter</w:t>
        </w:r>
      </w:hyperlink>
      <w:r>
        <w:rPr>
          <w:b w:val="0"/>
          <w:i w:val="0"/>
        </w:rPr>
        <w:t xml:space="preserve">; </w:t>
      </w:r>
      <w:hyperlink w:anchor="indivisibility">
        <w:r>
          <w:rPr>
            <w:color w:val="000000"/>
          </w:rPr>
          <w:t xml:space="preserve">Indivisibility</w:t>
        </w:r>
      </w:hyperlink>
      <w:r>
        <w:rPr>
          <w:b w:val="0"/>
          <w:i w:val="0"/>
        </w:rPr>
        <w:t xml:space="preserve">; </w:t>
      </w:r>
      <w:hyperlink w:anchor="instrument">
        <w:r>
          <w:rPr>
            <w:color w:val="000000"/>
          </w:rPr>
          <w:t xml:space="preserve">Instrument</w:t>
        </w:r>
      </w:hyperlink>
      <w:r>
        <w:rPr>
          <w:b w:val="0"/>
          <w:i w:val="0"/>
        </w:rPr>
        <w:t xml:space="preserve">; </w:t>
      </w:r>
      <w:hyperlink w:anchor="celestial-influence">
        <w:r>
          <w:rPr>
            <w:color w:val="000000"/>
          </w:rPr>
          <w:t xml:space="preserve">Celestial influence</w:t>
        </w:r>
      </w:hyperlink>
      <w:r>
        <w:rPr>
          <w:b w:val="0"/>
          <w:i w:val="0"/>
        </w:rPr>
        <w:t xml:space="preserve">; </w:t>
      </w:r>
      <w:hyperlink w:anchor="generation-and-corruption">
        <w:r>
          <w:rPr>
            <w:color w:val="000000"/>
          </w:rPr>
          <w:t xml:space="preserve">Generation and corruption</w:t>
        </w:r>
      </w:hyperlink>
    </w:p>
    <w:p>
      <w:bookmarkStart w:id="223" w:name="sun-mercury-and-moon"/>
      <w:pPr>
        <w:pStyle w:val="Heading2"/>
      </w:pPr>
      <w:r>
        <w:rPr>
          <w:b w:val="0"/>
          <w:i w:val="0"/>
        </w:rPr>
        <w:t>Sun, Mercury and moon</w:t>
      </w:r>
      <w:bookmarkEnd w:id="223"/>
    </w:p>
    <w:p>
      <w:pPr>
        <w:keepNext/>
        <w:widowControl/>
      </w:pPr>
      <w:r>
        <w:rPr>
          <w:b/>
          <w:i w:val="0"/>
        </w:rPr>
        <w:t>Latin:</w:t>
      </w:r>
      <w:r>
        <w:rPr>
          <w:b w:val="0"/>
          <w:i w:val="0"/>
        </w:rPr>
        <w:t xml:space="preserve"> </w:t>
      </w:r>
      <w:r>
        <w:rPr>
          <w:b w:val="0"/>
          <w:i/>
        </w:rPr>
        <w:t>sol; Mercurius; luna; infundere; suscipere; vicissitudo; plenissimus</w:t>
      </w:r>
    </w:p>
    <w:p>
      <w:pPr>
        <w:keepNext/>
        <w:widowControl/>
      </w:pPr>
      <w:r>
        <w:rPr>
          <w:b/>
          <w:i w:val="0"/>
        </w:rPr>
        <w:t>The word.</w:t>
      </w:r>
    </w:p>
    <w:p>
      <w:pPr>
        <w:widowControl/>
      </w:pPr>
      <w:r>
        <w:rPr>
          <w:b w:val="0"/>
          <w:i w:val="0"/>
        </w:rPr>
        <w:t>Sol is the sun, Mercurius here the celestial Mercury, and luna the moon. Infundere pours in or imparts; vicissitudo is alternation. Plenissimus describes complete fullness, not merely a large quantity.</w:t>
      </w:r>
    </w:p>
    <w:p>
      <w:pPr>
        <w:keepNext/>
        <w:widowControl/>
      </w:pPr>
      <w:r>
        <w:rPr>
          <w:b/>
          <w:i w:val="0"/>
        </w:rPr>
        <w:t>In the Platonic Theology.</w:t>
      </w:r>
    </w:p>
    <w:p>
      <w:pPr>
        <w:widowControl/>
      </w:pPr>
      <w:r>
        <w:rPr>
          <w:b w:val="0"/>
          <w:i w:val="0"/>
        </w:rPr>
        <w:t>Ficino presents one source of light and two modes of receiving it. The sun gives its light immediately. Mercury receives it all at once and remains full; the moon receives differently as it turns, producing alternation through its own nature. He makes the correspondences explicit: sun signifies God, Mercury angel, and moon soul. What he says of Mercury is then extended to stars above the moon. The point is the different receptive mode, which allows soul to receive a divine gift and yet have changing operation from its own nature. The passage’s celestial claims must remain those of the historical model. Its use of Mercury does not refer to Mercury Trismegistus, cited as an authority elsewhere, and it does not establish contemporary planetary optics.</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III.1.32 (Latin PDF p. 260; English PDF p. 261).</w:t>
      </w:r>
      <w:r>
        <w:rPr>
          <w:b w:val="0"/>
          <w:i w:val="0"/>
        </w:rPr>
        <w:t xml:space="preserve"> The complete example distinguishes the common source, two receivers, and explicit correspondences.</w:t>
      </w:r>
    </w:p>
    <w:p>
      <w:pPr>
        <w:keepNext/>
        <w:widowControl/>
      </w:pPr>
      <w:r>
        <w:rPr>
          <w:b/>
          <w:i w:val="0"/>
        </w:rPr>
        <w:t>In this edition.</w:t>
      </w:r>
    </w:p>
    <w:p>
      <w:pPr>
        <w:widowControl/>
      </w:pPr>
      <w:r>
        <w:rPr>
          <w:b w:val="0"/>
          <w:i w:val="0"/>
        </w:rPr>
        <w:t xml:space="preserve">The English </w:t>
      </w:r>
      <w:r>
        <w:t>“</w:t>
      </w:r>
      <w:r>
        <w:rPr>
          <w:b w:val="0"/>
          <w:i w:val="0"/>
        </w:rPr>
        <w:t>in a moment</w:t>
      </w:r>
      <w:r>
        <w:t>”</w:t>
      </w:r>
      <w:r>
        <w:rPr>
          <w:b w:val="0"/>
          <w:i w:val="0"/>
        </w:rPr>
        <w:t xml:space="preserve"> and </w:t>
      </w:r>
      <w:r>
        <w:t>“</w:t>
      </w:r>
      <w:r>
        <w:rPr>
          <w:b w:val="0"/>
          <w:i w:val="0"/>
        </w:rPr>
        <w:t>over time</w:t>
      </w:r>
      <w:r>
        <w:t>”</w:t>
      </w:r>
      <w:r>
        <w:rPr>
          <w:b w:val="0"/>
          <w:i w:val="0"/>
        </w:rPr>
        <w:t xml:space="preserve"> correspond to momento and tempore. Replacing the astronomical account with a modern correction inside the exposition would erase the example; affirming it without attribution would mislead. The stated analogical roles, rather than observational accuracy, explain the passage’s function.</w:t>
      </w:r>
    </w:p>
    <w:p>
      <w:pPr>
        <w:keepNext/>
        <w:widowControl/>
      </w:pPr>
      <w:r>
        <w:rPr>
          <w:b/>
          <w:i w:val="0"/>
        </w:rPr>
        <w:t>See also.</w:t>
      </w:r>
    </w:p>
    <w:p>
      <w:pPr>
        <w:widowControl/>
      </w:pPr>
      <w:hyperlink w:anchor="receiving-and-giving">
        <w:r>
          <w:rPr>
            <w:color w:val="000000"/>
          </w:rPr>
          <w:t xml:space="preserve">Receiving and giving</w:t>
        </w:r>
      </w:hyperlink>
      <w:r>
        <w:rPr>
          <w:b w:val="0"/>
          <w:i w:val="0"/>
        </w:rPr>
        <w:t xml:space="preserve">; </w:t>
      </w:r>
      <w:hyperlink w:anchor="light-and-illumination">
        <w:r>
          <w:rPr>
            <w:color w:val="000000"/>
          </w:rPr>
          <w:t xml:space="preserve">Light and illumination</w:t>
        </w:r>
      </w:hyperlink>
      <w:r>
        <w:rPr>
          <w:b w:val="0"/>
          <w:i w:val="0"/>
        </w:rPr>
        <w:t xml:space="preserve">; </w:t>
      </w:r>
      <w:hyperlink w:anchor="angel">
        <w:r>
          <w:rPr>
            <w:color w:val="000000"/>
          </w:rPr>
          <w:t xml:space="preserve">Angel</w:t>
        </w:r>
      </w:hyperlink>
      <w:r>
        <w:rPr>
          <w:b w:val="0"/>
          <w:i w:val="0"/>
        </w:rPr>
        <w:t xml:space="preserve">; </w:t>
      </w:r>
      <w:hyperlink w:anchor="motion-and-stability">
        <w:r>
          <w:rPr>
            <w:color w:val="000000"/>
          </w:rPr>
          <w:t xml:space="preserve">Motion and stability</w:t>
        </w:r>
      </w:hyperlink>
      <w:r>
        <w:rPr>
          <w:b w:val="0"/>
          <w:i w:val="0"/>
        </w:rPr>
        <w:t>.</w:t>
      </w:r>
    </w:p>
    <w:p>
      <w:bookmarkStart w:id="224" w:name="support-inherence-and-dependence"/>
      <w:pPr>
        <w:pStyle w:val="Heading2"/>
      </w:pPr>
      <w:r>
        <w:rPr>
          <w:b w:val="0"/>
          <w:i w:val="0"/>
        </w:rPr>
        <w:t>Support, inherence and dependence</w:t>
      </w:r>
      <w:bookmarkEnd w:id="224"/>
    </w:p>
    <w:p>
      <w:pPr>
        <w:keepNext/>
        <w:widowControl/>
      </w:pPr>
      <w:r>
        <w:rPr>
          <w:b/>
          <w:i w:val="0"/>
        </w:rPr>
        <w:t>Latin:</w:t>
      </w:r>
      <w:r>
        <w:rPr>
          <w:b w:val="0"/>
          <w:i w:val="0"/>
        </w:rPr>
        <w:t xml:space="preserve"> </w:t>
      </w:r>
      <w:r>
        <w:rPr>
          <w:b w:val="0"/>
          <w:i/>
        </w:rPr>
        <w:t>inhaeret</w:t>
      </w:r>
      <w:r>
        <w:rPr>
          <w:b w:val="0"/>
          <w:i w:val="0"/>
        </w:rPr>
        <w:t xml:space="preserve">; </w:t>
      </w:r>
      <w:r>
        <w:rPr>
          <w:b w:val="0"/>
          <w:i/>
        </w:rPr>
        <w:t>sustinet</w:t>
      </w:r>
      <w:r>
        <w:rPr>
          <w:b w:val="0"/>
          <w:i w:val="0"/>
        </w:rPr>
        <w:t xml:space="preserve">; </w:t>
      </w:r>
      <w:r>
        <w:rPr>
          <w:b w:val="0"/>
          <w:i/>
        </w:rPr>
        <w:t>sustinetur</w:t>
      </w:r>
      <w:r>
        <w:rPr>
          <w:b w:val="0"/>
          <w:i w:val="0"/>
        </w:rPr>
        <w:t xml:space="preserve">; </w:t>
      </w:r>
      <w:r>
        <w:rPr>
          <w:b w:val="0"/>
          <w:i/>
        </w:rPr>
        <w:t>subsistere</w:t>
      </w:r>
      <w:r>
        <w:rPr>
          <w:b w:val="0"/>
          <w:i w:val="0"/>
        </w:rPr>
        <w:t xml:space="preserve">; </w:t>
      </w:r>
      <w:r>
        <w:rPr>
          <w:b w:val="0"/>
          <w:i/>
        </w:rPr>
        <w:t>in alio iaceat</w:t>
      </w:r>
      <w:r>
        <w:rPr>
          <w:b w:val="0"/>
          <w:i w:val="0"/>
        </w:rPr>
        <w:t xml:space="preserve">; </w:t>
      </w:r>
      <w:r>
        <w:rPr>
          <w:b w:val="0"/>
          <w:i/>
        </w:rPr>
        <w:t>dependet</w:t>
      </w:r>
      <w:r>
        <w:rPr>
          <w:b w:val="0"/>
          <w:i w:val="0"/>
        </w:rPr>
        <w:t xml:space="preserve">; </w:t>
      </w:r>
      <w:r>
        <w:rPr>
          <w:b w:val="0"/>
          <w:i/>
        </w:rPr>
        <w:t>fomento materiae</w:t>
      </w:r>
      <w:r>
        <w:rPr>
          <w:b w:val="0"/>
          <w:i w:val="0"/>
        </w:rPr>
        <w:t>.</w:t>
      </w:r>
    </w:p>
    <w:p>
      <w:pPr>
        <w:keepNext/>
        <w:widowControl/>
      </w:pPr>
      <w:r>
        <w:rPr>
          <w:b/>
          <w:i w:val="0"/>
        </w:rPr>
        <w:t>The word.</w:t>
      </w:r>
    </w:p>
    <w:p>
      <w:pPr>
        <w:widowControl/>
      </w:pPr>
      <w:r>
        <w:rPr>
          <w:b w:val="0"/>
          <w:i/>
        </w:rPr>
        <w:t>Inhaerere</w:t>
      </w:r>
      <w:r>
        <w:rPr>
          <w:b w:val="0"/>
          <w:i w:val="0"/>
        </w:rPr>
        <w:t xml:space="preserve"> adheres or inheres. </w:t>
      </w:r>
      <w:r>
        <w:rPr>
          <w:b w:val="0"/>
          <w:i/>
        </w:rPr>
        <w:t>Sustinere</w:t>
      </w:r>
      <w:r>
        <w:rPr>
          <w:b w:val="0"/>
          <w:i w:val="0"/>
        </w:rPr>
        <w:t xml:space="preserve"> supports or sustains; </w:t>
      </w:r>
      <w:r>
        <w:rPr>
          <w:b w:val="0"/>
          <w:i/>
        </w:rPr>
        <w:t>subsistere</w:t>
      </w:r>
      <w:r>
        <w:rPr>
          <w:b w:val="0"/>
          <w:i w:val="0"/>
        </w:rPr>
        <w:t xml:space="preserve"> subsists. </w:t>
      </w:r>
      <w:r>
        <w:rPr>
          <w:b w:val="0"/>
          <w:i/>
        </w:rPr>
        <w:t>Iacere in alio</w:t>
      </w:r>
      <w:r>
        <w:rPr>
          <w:b w:val="0"/>
          <w:i w:val="0"/>
        </w:rPr>
        <w:t xml:space="preserve"> is to lie in another. </w:t>
      </w:r>
      <w:r>
        <w:rPr>
          <w:b w:val="0"/>
          <w:i/>
        </w:rPr>
        <w:t>Dependere</w:t>
      </w:r>
      <w:r>
        <w:rPr>
          <w:b w:val="0"/>
          <w:i w:val="0"/>
        </w:rPr>
        <w:t xml:space="preserve"> depends; </w:t>
      </w:r>
      <w:r>
        <w:rPr>
          <w:b w:val="0"/>
          <w:i/>
        </w:rPr>
        <w:t>fomentum</w:t>
      </w:r>
      <w:r>
        <w:rPr>
          <w:b w:val="0"/>
          <w:i w:val="0"/>
        </w:rPr>
        <w:t xml:space="preserve"> in this context is sustaining support. These spatially coloured words describe ontological reliance, not only physical contact.</w:t>
      </w:r>
    </w:p>
    <w:p>
      <w:pPr>
        <w:keepNext/>
        <w:widowControl/>
      </w:pPr>
      <w:r>
        <w:rPr>
          <w:b/>
          <w:i w:val="0"/>
        </w:rPr>
        <w:t>In the Platonic Theology.</w:t>
      </w:r>
    </w:p>
    <w:p>
      <w:pPr>
        <w:widowControl/>
      </w:pPr>
      <w:r>
        <w:rPr>
          <w:b w:val="0"/>
          <w:i w:val="0"/>
        </w:rPr>
        <w:t xml:space="preserve">Quality extends and divides with matter, perishes if separated, and is therefore supported by matter as subject. Ficino infers that what cannot support itself cannot exist from itself. The distinction between </w:t>
      </w:r>
      <w:r>
        <w:t>“</w:t>
      </w:r>
      <w:r>
        <w:rPr>
          <w:b w:val="0"/>
          <w:i w:val="0"/>
        </w:rPr>
        <w:t>in itself</w:t>
      </w:r>
      <w:r>
        <w:t>”</w:t>
      </w:r>
      <w:r>
        <w:rPr>
          <w:b w:val="0"/>
          <w:i w:val="0"/>
        </w:rPr>
        <w:t xml:space="preserve"> and </w:t>
      </w:r>
      <w:r>
        <w:t>“</w:t>
      </w:r>
      <w:r>
        <w:rPr>
          <w:b w:val="0"/>
          <w:i w:val="0"/>
        </w:rPr>
        <w:t>from itself</w:t>
      </w:r>
      <w:r>
        <w:t>”</w:t>
      </w:r>
      <w:r>
        <w:rPr>
          <w:b w:val="0"/>
          <w:i w:val="0"/>
        </w:rPr>
        <w:t xml:space="preserve"> is important: independence of a material substrate is not already independence of every cause. The rational soul’s third essence is later said to subsist through itself, while remaining a grade below angel and God. Likewise, quality’s reliance on matter is used to deny sufficient control over its own or foreign matter. The argument does not say quality is merely imaginary or ineffective; it explains why its real operation requires a superior agent.</w:t>
      </w:r>
    </w:p>
    <w:p>
      <w:pPr>
        <w:keepNext/>
        <w:widowControl/>
      </w:pPr>
      <w:r>
        <w:rPr>
          <w:b/>
          <w:i w:val="0"/>
        </w:rPr>
        <w:t>The places.</w:t>
      </w:r>
    </w:p>
    <w:p>
      <w:pPr>
        <w:ind w:left="187" w:hanging="187"/>
      </w:pPr>
      <w:r>
        <w:t xml:space="preserve">• </w:t>
      </w:r>
      <w:r>
        <w:rPr>
          <w:b/>
          <w:i w:val="0"/>
        </w:rPr>
        <w:t>I.3.4, PDF 30–31.</w:t>
      </w:r>
      <w:r>
        <w:rPr>
          <w:b w:val="0"/>
          <w:i w:val="0"/>
        </w:rPr>
        <w:t xml:space="preserve"> Inherence, material support and causal dependence are explicitly connected</w:t>
      </w:r>
    </w:p>
    <w:p>
      <w:pPr>
        <w:ind w:left="187" w:hanging="187"/>
      </w:pPr>
      <w:r>
        <w:t xml:space="preserve">• </w:t>
      </w:r>
      <w:r>
        <w:rPr>
          <w:b/>
          <w:i w:val="0"/>
        </w:rPr>
        <w:t>I.3.7, PDF 34–35.</w:t>
      </w:r>
      <w:r>
        <w:rPr>
          <w:b w:val="0"/>
          <w:i w:val="0"/>
        </w:rPr>
        <w:t xml:space="preserve"> The </w:t>
      </w:r>
      <w:r>
        <w:t>“</w:t>
      </w:r>
      <w:r>
        <w:rPr>
          <w:b w:val="0"/>
          <w:i w:val="0"/>
        </w:rPr>
        <w:t>support of matter</w:t>
      </w:r>
      <w:r>
        <w:t>”</w:t>
      </w:r>
      <w:r>
        <w:rPr>
          <w:b w:val="0"/>
          <w:i w:val="0"/>
        </w:rPr>
        <w:t xml:space="preserve"> limits quality’s independent efficacy</w:t>
      </w:r>
    </w:p>
    <w:p>
      <w:pPr>
        <w:ind w:left="187" w:hanging="187"/>
      </w:pPr>
      <w:r>
        <w:t xml:space="preserve">• </w:t>
      </w:r>
      <w:r>
        <w:rPr>
          <w:b/>
          <w:i w:val="0"/>
        </w:rPr>
        <w:t>I.3.18, PDF 40–41.</w:t>
      </w:r>
      <w:r>
        <w:rPr>
          <w:b w:val="0"/>
          <w:i w:val="0"/>
        </w:rPr>
        <w:t xml:space="preserve"> A form not lying in another is required for matter’s production and preservation</w:t>
      </w:r>
    </w:p>
    <w:p>
      <w:pPr>
        <w:ind w:left="187" w:hanging="187"/>
      </w:pPr>
      <w:r>
        <w:t xml:space="preserve">• </w:t>
      </w:r>
      <w:r>
        <w:rPr>
          <w:b/>
          <w:i w:val="0"/>
        </w:rPr>
        <w:t>I.3.33, PDF 52–53.</w:t>
      </w:r>
      <w:r>
        <w:rPr>
          <w:b w:val="0"/>
          <w:i w:val="0"/>
        </w:rPr>
        <w:t xml:space="preserve"> Self-subsisting third essence is distinguished from quality’s dependence on a subject</w:t>
      </w:r>
    </w:p>
    <w:p>
      <w:pPr>
        <w:keepNext/>
        <w:widowControl/>
      </w:pPr>
      <w:r>
        <w:rPr>
          <w:b/>
          <w:i w:val="0"/>
        </w:rPr>
        <w:t>In this edition.</w:t>
      </w:r>
    </w:p>
    <w:p>
      <w:pPr>
        <w:widowControl/>
      </w:pPr>
      <w:r>
        <w:rPr>
          <w:b w:val="0"/>
          <w:i/>
        </w:rPr>
        <w:t>In se</w:t>
      </w:r>
      <w:r>
        <w:rPr>
          <w:b w:val="0"/>
          <w:i w:val="0"/>
        </w:rPr>
        <w:t xml:space="preserve">, </w:t>
      </w:r>
      <w:r>
        <w:rPr>
          <w:b w:val="0"/>
          <w:i/>
        </w:rPr>
        <w:t>a se</w:t>
      </w:r>
      <w:r>
        <w:rPr>
          <w:b w:val="0"/>
          <w:i w:val="0"/>
        </w:rPr>
        <w:t xml:space="preserve">, </w:t>
      </w:r>
      <w:r>
        <w:rPr>
          <w:b w:val="0"/>
          <w:i/>
        </w:rPr>
        <w:t>ex se</w:t>
      </w:r>
      <w:r>
        <w:rPr>
          <w:b w:val="0"/>
          <w:i w:val="0"/>
        </w:rPr>
        <w:t xml:space="preserve"> and </w:t>
      </w:r>
      <w:r>
        <w:rPr>
          <w:b w:val="0"/>
          <w:i/>
        </w:rPr>
        <w:t>per se</w:t>
      </w:r>
      <w:r>
        <w:rPr>
          <w:b w:val="0"/>
          <w:i w:val="0"/>
        </w:rPr>
        <w:t xml:space="preserve"> are not automatic synonyms. In I.3.4, </w:t>
      </w:r>
      <w:r>
        <w:t>“</w:t>
      </w:r>
      <w:r>
        <w:rPr>
          <w:b w:val="0"/>
          <w:i w:val="0"/>
        </w:rPr>
        <w:t>support itself</w:t>
      </w:r>
      <w:r>
        <w:t>”</w:t>
      </w:r>
      <w:r>
        <w:rPr>
          <w:b w:val="0"/>
          <w:i w:val="0"/>
        </w:rPr>
        <w:t xml:space="preserve"> and </w:t>
      </w:r>
      <w:r>
        <w:t>“</w:t>
      </w:r>
      <w:r>
        <w:rPr>
          <w:b w:val="0"/>
          <w:i w:val="0"/>
        </w:rPr>
        <w:t>subsist from itself</w:t>
      </w:r>
      <w:r>
        <w:t>”</w:t>
      </w:r>
      <w:r>
        <w:rPr>
          <w:b w:val="0"/>
          <w:i w:val="0"/>
        </w:rPr>
        <w:t xml:space="preserve"> preserve a deliberate inference, while </w:t>
      </w:r>
      <w:r>
        <w:rPr>
          <w:b w:val="0"/>
          <w:i/>
        </w:rPr>
        <w:t>fomentum</w:t>
      </w:r>
      <w:r>
        <w:rPr>
          <w:b w:val="0"/>
          <w:i w:val="0"/>
        </w:rPr>
        <w:t xml:space="preserve"> in I.3.7 should not be narrowed to literal food or fuel.</w:t>
      </w:r>
    </w:p>
    <w:p>
      <w:pPr>
        <w:keepNext/>
        <w:widowControl/>
      </w:pPr>
      <w:r>
        <w:rPr>
          <w:b/>
          <w:i w:val="0"/>
        </w:rPr>
        <w:t>See also.</w:t>
      </w:r>
    </w:p>
    <w:p>
      <w:pPr>
        <w:widowControl/>
      </w:pPr>
      <w:hyperlink w:anchor="essence-and-substance">
        <w:r>
          <w:rPr>
            <w:color w:val="000000"/>
          </w:rPr>
          <w:t xml:space="preserve">Essence and substance</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quality">
        <w:r>
          <w:rPr>
            <w:color w:val="000000"/>
          </w:rPr>
          <w:t xml:space="preserve">Quality</w:t>
        </w:r>
      </w:hyperlink>
      <w:r>
        <w:rPr>
          <w:b w:val="0"/>
          <w:i w:val="0"/>
        </w:rPr>
        <w:t xml:space="preserve">; </w:t>
      </w:r>
      <w:hyperlink w:anchor="need-and-sufficiency">
        <w:r>
          <w:rPr>
            <w:color w:val="000000"/>
          </w:rPr>
          <w:t xml:space="preserve">Need and sufficiency</w:t>
        </w:r>
      </w:hyperlink>
      <w:r>
        <w:rPr>
          <w:b w:val="0"/>
          <w:i w:val="0"/>
        </w:rPr>
        <w:t>.</w:t>
      </w:r>
    </w:p>
    <w:p>
      <w:bookmarkStart w:id="225" w:name="surface-and-depth"/>
      <w:pPr>
        <w:pStyle w:val="Heading2"/>
      </w:pPr>
      <w:r>
        <w:rPr>
          <w:b w:val="0"/>
          <w:i w:val="0"/>
        </w:rPr>
        <w:t>Surface and depth</w:t>
      </w:r>
      <w:bookmarkEnd w:id="225"/>
    </w:p>
    <w:p>
      <w:pPr>
        <w:keepNext/>
        <w:widowControl/>
      </w:pPr>
      <w:r>
        <w:rPr>
          <w:b/>
          <w:i w:val="0"/>
        </w:rPr>
        <w:t>Latin:</w:t>
      </w:r>
      <w:r>
        <w:rPr>
          <w:b w:val="0"/>
          <w:i w:val="0"/>
        </w:rPr>
        <w:t xml:space="preserve"> </w:t>
      </w:r>
      <w:r>
        <w:rPr>
          <w:b w:val="0"/>
          <w:i/>
        </w:rPr>
        <w:t>superficiem</w:t>
      </w:r>
      <w:r>
        <w:rPr>
          <w:b w:val="0"/>
          <w:i w:val="0"/>
        </w:rPr>
        <w:t xml:space="preserve">, </w:t>
      </w:r>
      <w:r>
        <w:rPr>
          <w:b w:val="0"/>
          <w:i/>
        </w:rPr>
        <w:t>intrinsecus</w:t>
      </w:r>
      <w:r>
        <w:rPr>
          <w:b w:val="0"/>
          <w:i w:val="0"/>
        </w:rPr>
        <w:t xml:space="preserve">, </w:t>
      </w:r>
      <w:r>
        <w:rPr>
          <w:b w:val="0"/>
          <w:i/>
        </w:rPr>
        <w:t>extrinsecus</w:t>
      </w:r>
      <w:r>
        <w:rPr>
          <w:b w:val="0"/>
          <w:i w:val="0"/>
        </w:rPr>
        <w:t xml:space="preserve">, </w:t>
      </w:r>
      <w:r>
        <w:rPr>
          <w:b w:val="0"/>
          <w:i/>
        </w:rPr>
        <w:t>e fundo materiae</w:t>
      </w:r>
      <w:r>
        <w:rPr>
          <w:b w:val="0"/>
          <w:i w:val="0"/>
        </w:rPr>
        <w:t xml:space="preserve">, </w:t>
      </w:r>
      <w:r>
        <w:rPr>
          <w:b w:val="0"/>
          <w:i/>
        </w:rPr>
        <w:t>funditus</w:t>
      </w:r>
      <w:r>
        <w:rPr>
          <w:b w:val="0"/>
          <w:i w:val="0"/>
        </w:rPr>
        <w:t xml:space="preserve">, </w:t>
      </w:r>
      <w:r>
        <w:rPr>
          <w:b w:val="0"/>
          <w:i/>
        </w:rPr>
        <w:t>eruit</w:t>
      </w:r>
      <w:r>
        <w:rPr>
          <w:b w:val="0"/>
          <w:i w:val="0"/>
        </w:rPr>
        <w:t xml:space="preserve">, </w:t>
      </w:r>
      <w:r>
        <w:rPr>
          <w:b w:val="0"/>
          <w:i/>
        </w:rPr>
        <w:t>educit</w:t>
      </w:r>
      <w:r>
        <w:rPr>
          <w:b w:val="0"/>
          <w:i w:val="0"/>
        </w:rPr>
        <w:t>.</w:t>
      </w:r>
    </w:p>
    <w:p>
      <w:pPr>
        <w:keepNext/>
        <w:widowControl/>
      </w:pPr>
      <w:r>
        <w:rPr>
          <w:b/>
          <w:i w:val="0"/>
        </w:rPr>
        <w:t>The word.</w:t>
      </w:r>
    </w:p>
    <w:p>
      <w:pPr>
        <w:widowControl/>
      </w:pPr>
      <w:r>
        <w:rPr>
          <w:b w:val="0"/>
          <w:i w:val="0"/>
        </w:rPr>
        <w:t xml:space="preserve">Surface and depth supply spatial language for different causal reach. </w:t>
      </w:r>
      <w:r>
        <w:rPr>
          <w:b w:val="0"/>
          <w:i/>
        </w:rPr>
        <w:t>Intrinsecus</w:t>
      </w:r>
      <w:r>
        <w:rPr>
          <w:b w:val="0"/>
          <w:i w:val="0"/>
        </w:rPr>
        <w:t xml:space="preserve"> and </w:t>
      </w:r>
      <w:r>
        <w:rPr>
          <w:b w:val="0"/>
          <w:i/>
        </w:rPr>
        <w:t>extrinsecus</w:t>
      </w:r>
      <w:r>
        <w:rPr>
          <w:b w:val="0"/>
          <w:i w:val="0"/>
        </w:rPr>
        <w:t xml:space="preserve"> mean from or on the inside and outside; </w:t>
      </w:r>
      <w:r>
        <w:rPr>
          <w:b w:val="0"/>
          <w:i/>
        </w:rPr>
        <w:t>funditus</w:t>
      </w:r>
      <w:r>
        <w:rPr>
          <w:b w:val="0"/>
          <w:i w:val="0"/>
        </w:rPr>
        <w:t xml:space="preserve"> means fundamentally or to the depths. </w:t>
      </w:r>
      <w:r>
        <w:rPr>
          <w:b w:val="0"/>
          <w:i/>
        </w:rPr>
        <w:t>Eruere</w:t>
      </w:r>
      <w:r>
        <w:rPr>
          <w:b w:val="0"/>
          <w:i w:val="0"/>
        </w:rPr>
        <w:t xml:space="preserve"> and </w:t>
      </w:r>
      <w:r>
        <w:rPr>
          <w:b w:val="0"/>
          <w:i/>
        </w:rPr>
        <w:t>educere</w:t>
      </w:r>
      <w:r>
        <w:rPr>
          <w:b w:val="0"/>
          <w:i w:val="0"/>
        </w:rPr>
        <w:t xml:space="preserve"> can mean bringing out or drawing forth, rather than simply creating from nothing.</w:t>
      </w:r>
    </w:p>
    <w:p>
      <w:pPr>
        <w:keepNext/>
        <w:widowControl/>
      </w:pPr>
      <w:r>
        <w:rPr>
          <w:b/>
          <w:i w:val="0"/>
        </w:rPr>
        <w:t>In the Platonic Theology.</w:t>
      </w:r>
    </w:p>
    <w:p>
      <w:pPr>
        <w:widowControl/>
      </w:pPr>
      <w:r>
        <w:rPr>
          <w:b w:val="0"/>
          <w:i w:val="0"/>
        </w:rPr>
        <w:t>The contrast between human craft and nature turns upon access to matter. Human craft touches its surface, while natural art operates inwardly and brings substantial forms from its depths. Ficino argues that bodily substances cannot penetrate to this formative level; accidental qualities alone would only heat, cool, and perform similarly restricted operations. Living nature makes those qualities serve the articulated colors, figures, and vigor of life. Depth thus distinguishes substantial generation from mere juxtaposition or superficial arrangement.</w:t>
      </w:r>
    </w:p>
    <w:p>
      <w:pPr>
        <w:widowControl/>
      </w:pPr>
      <w:r>
        <w:rPr>
          <w:b w:val="0"/>
          <w:i w:val="0"/>
        </w:rPr>
        <w:t xml:space="preserve">The spatial terms remain comparisons applied to a metaphysical distinction. An incorporeal cause is not a very small body lodged far below a material surface. Nor does the claim that forms are drawn from matter make matter the sufficient active producer: the sentence explicitly assigns the operation to living nature. </w:t>
      </w:r>
      <w:r>
        <w:t>“</w:t>
      </w:r>
      <w:r>
        <w:rPr>
          <w:b w:val="0"/>
          <w:i w:val="0"/>
        </w:rPr>
        <w:t>Inward</w:t>
      </w:r>
      <w:r>
        <w:t>”</w:t>
      </w:r>
      <w:r>
        <w:rPr>
          <w:b w:val="0"/>
          <w:i w:val="0"/>
        </w:rPr>
        <w:t xml:space="preserve"> names both a mode of presence and a depth of efficacy.</w:t>
      </w:r>
    </w:p>
    <w:p>
      <w:pPr>
        <w:keepNext/>
        <w:widowControl/>
      </w:pPr>
      <w:r>
        <w:rPr>
          <w:b/>
          <w:i w:val="0"/>
        </w:rPr>
        <w:t>The places.</w:t>
      </w:r>
    </w:p>
    <w:p>
      <w:pPr>
        <w:ind w:left="187" w:hanging="187"/>
      </w:pPr>
      <w:r>
        <w:t xml:space="preserve">• </w:t>
      </w:r>
      <w:r>
        <w:rPr>
          <w:b/>
          <w:i w:val="0"/>
        </w:rPr>
        <w:t>IV.1.5, PDF pp. 284–285:</w:t>
      </w:r>
      <w:r>
        <w:rPr>
          <w:b w:val="0"/>
          <w:i w:val="0"/>
        </w:rPr>
        <w:t xml:space="preserve"> bodily nearness is contrasted with an inwardly present substantial agent</w:t>
      </w:r>
    </w:p>
    <w:p>
      <w:pPr>
        <w:ind w:left="187" w:hanging="187"/>
      </w:pPr>
      <w:r>
        <w:t xml:space="preserve">• </w:t>
      </w:r>
      <w:r>
        <w:rPr>
          <w:b/>
          <w:i w:val="0"/>
        </w:rPr>
        <w:t>IV.1.11–13, pp. 286–289:</w:t>
      </w:r>
      <w:r>
        <w:rPr>
          <w:b w:val="0"/>
          <w:i w:val="0"/>
        </w:rPr>
        <w:t xml:space="preserve"> surface work, inward formation, and essential principles are compared</w:t>
      </w:r>
    </w:p>
    <w:p>
      <w:pPr>
        <w:ind w:left="187" w:hanging="187"/>
      </w:pPr>
      <w:r>
        <w:t xml:space="preserve">• </w:t>
      </w:r>
      <w:r>
        <w:rPr>
          <w:b/>
          <w:i w:val="0"/>
        </w:rPr>
        <w:t>IV.1.18–19, pp. 290–291:</w:t>
      </w:r>
      <w:r>
        <w:rPr>
          <w:b w:val="0"/>
          <w:i w:val="0"/>
        </w:rPr>
        <w:t xml:space="preserve"> living nature draws out substantial forms and directs elemental qualities beyond their isolated effects</w:t>
      </w:r>
    </w:p>
    <w:p>
      <w:pPr>
        <w:keepNext/>
        <w:widowControl/>
      </w:pPr>
      <w:r>
        <w:rPr>
          <w:b/>
          <w:i w:val="0"/>
        </w:rPr>
        <w:t>In this edition.</w:t>
      </w:r>
    </w:p>
    <w:p>
      <w:pPr>
        <w:widowControl/>
      </w:pPr>
      <w:r>
        <w:rPr>
          <w:b w:val="0"/>
          <w:i w:val="0"/>
        </w:rPr>
        <w:t xml:space="preserve">The facing English preserves both </w:t>
      </w:r>
      <w:r>
        <w:t>“</w:t>
      </w:r>
      <w:r>
        <w:rPr>
          <w:b w:val="0"/>
          <w:i w:val="0"/>
        </w:rPr>
        <w:t>generates or draws</w:t>
      </w:r>
      <w:r>
        <w:t>”</w:t>
      </w:r>
      <w:r>
        <w:rPr>
          <w:b w:val="0"/>
          <w:i w:val="0"/>
        </w:rPr>
        <w:t xml:space="preserve"> at IV.1.13. That </w:t>
      </w:r>
      <w:r>
        <w:rPr>
          <w:b w:val="0"/>
          <w:i/>
        </w:rPr>
        <w:t>sive</w:t>
      </w:r>
      <w:r>
        <w:rPr>
          <w:b w:val="0"/>
          <w:i w:val="0"/>
        </w:rPr>
        <w:t xml:space="preserve"> alternative should remain visible: the vocabulary is not a uniform assertion of creation from nothing.</w:t>
      </w:r>
    </w:p>
    <w:p>
      <w:pPr>
        <w:keepNext/>
        <w:widowControl/>
      </w:pPr>
      <w:r>
        <w:rPr>
          <w:b/>
          <w:i w:val="0"/>
        </w:rPr>
        <w:t>See also.</w:t>
      </w:r>
    </w:p>
    <w:p>
      <w:pPr>
        <w:widowControl/>
      </w:pPr>
      <w:hyperlink w:anchor="matter">
        <w:r>
          <w:rPr>
            <w:color w:val="000000"/>
          </w:rPr>
          <w:t xml:space="preserve">Matter</w:t>
        </w:r>
      </w:hyperlink>
      <w:r>
        <w:rPr>
          <w:b w:val="0"/>
          <w:i w:val="0"/>
        </w:rPr>
        <w:t xml:space="preserve">; </w:t>
      </w:r>
      <w:hyperlink w:anchor="form">
        <w:r>
          <w:rPr>
            <w:color w:val="000000"/>
          </w:rPr>
          <w:t xml:space="preserve">Form</w:t>
        </w:r>
      </w:hyperlink>
      <w:r>
        <w:rPr>
          <w:b w:val="0"/>
          <w:i w:val="0"/>
        </w:rPr>
        <w:t xml:space="preserve">; </w:t>
      </w:r>
      <w:hyperlink w:anchor="proximity-and-causal-presence">
        <w:r>
          <w:rPr>
            <w:color w:val="000000"/>
          </w:rPr>
          <w:t xml:space="preserve">Proximity and causal presence</w:t>
        </w:r>
      </w:hyperlink>
      <w:r>
        <w:rPr>
          <w:b w:val="0"/>
          <w:i w:val="0"/>
        </w:rPr>
        <w:t xml:space="preserve">; </w:t>
      </w:r>
      <w:hyperlink w:anchor="creation">
        <w:r>
          <w:rPr>
            <w:color w:val="000000"/>
          </w:rPr>
          <w:t xml:space="preserve">Creation</w:t>
        </w:r>
      </w:hyperlink>
      <w:r>
        <w:rPr>
          <w:b w:val="0"/>
          <w:i w:val="0"/>
        </w:rPr>
        <w:t>.</w:t>
      </w:r>
    </w:p>
    <w:p>
      <w:bookmarkStart w:id="226" w:name="surpassing-and-comparison"/>
      <w:pPr>
        <w:pStyle w:val="Heading2"/>
      </w:pPr>
      <w:r>
        <w:rPr>
          <w:b w:val="0"/>
          <w:i w:val="0"/>
        </w:rPr>
        <w:t>Surpassing and comparison</w:t>
      </w:r>
      <w:bookmarkEnd w:id="226"/>
    </w:p>
    <w:p>
      <w:pPr>
        <w:keepNext/>
        <w:widowControl/>
      </w:pPr>
      <w:r>
        <w:rPr>
          <w:b/>
          <w:i w:val="0"/>
        </w:rPr>
        <w:t>Latin:</w:t>
      </w:r>
      <w:r>
        <w:rPr>
          <w:b w:val="0"/>
          <w:i w:val="0"/>
        </w:rPr>
        <w:t xml:space="preserve"> praestat; praestantius; superabit; excedat; excedetur; melior; melius; propinquior; convenientior; comparetur</w:t>
      </w:r>
    </w:p>
    <w:p>
      <w:pPr>
        <w:keepNext/>
        <w:widowControl/>
      </w:pPr>
      <w:r>
        <w:rPr>
          <w:b/>
          <w:i w:val="0"/>
        </w:rPr>
        <w:t>The word.</w:t>
      </w:r>
    </w:p>
    <w:p>
      <w:pPr>
        <w:widowControl/>
      </w:pPr>
      <w:r>
        <w:rPr>
          <w:b w:val="0"/>
          <w:i w:val="0"/>
        </w:rPr>
        <w:t>Praestare, superare, and excedere express surpassing, while melior and praestantior compare goodness or excellence. Propinquior can designate nearness in rank or likeness, not a measured spatial interval. Comparare here sets things in relation for appraisal.</w:t>
      </w:r>
    </w:p>
    <w:p>
      <w:pPr>
        <w:keepNext/>
        <w:widowControl/>
      </w:pPr>
      <w:r>
        <w:rPr>
          <w:b/>
          <w:i w:val="0"/>
        </w:rPr>
        <w:t>In the Platonic Theology.</w:t>
      </w:r>
    </w:p>
    <w:p>
      <w:pPr>
        <w:widowControl/>
      </w:pPr>
      <w:r>
        <w:rPr>
          <w:b w:val="0"/>
          <w:i w:val="0"/>
        </w:rPr>
        <w:t xml:space="preserve">The argument that nothing stands above goodness examines the very vocabulary of superiority: something could be </w:t>
      </w:r>
      <w:r>
        <w:t>“</w:t>
      </w:r>
      <w:r>
        <w:rPr>
          <w:b w:val="0"/>
          <w:i w:val="0"/>
        </w:rPr>
        <w:t>better</w:t>
      </w:r>
      <w:r>
        <w:t>”</w:t>
      </w:r>
      <w:r>
        <w:rPr>
          <w:b w:val="0"/>
          <w:i w:val="0"/>
        </w:rPr>
        <w:t xml:space="preserve"> only by a greater share of goodness. Rule and predominance are desired as goods, so an evil supposedly overpowering goodness would already rely on what it excludes. The comparative is part of the proof, not merely enthusiastic praise.</w:t>
      </w:r>
    </w:p>
    <w:p>
      <w:pPr>
        <w:widowControl/>
      </w:pPr>
      <w:r>
        <w:rPr>
          <w:b w:val="0"/>
          <w:i w:val="0"/>
        </w:rPr>
        <w:t>The infinite-regress argument likewise asks what licenses judging soul better than body. Ficino appeals to nearness to a supreme standard. His claim that one infinite is neither broader nor narrower than another belongs to this argument; it should not be generalized into a modern theorem about infinities. When world and God are compared as finite and infinite, shadow-language expresses a radical inequality of dependence, without denying that the world has the being it receives.</w:t>
      </w:r>
    </w:p>
    <w:p>
      <w:pPr>
        <w:keepNext/>
        <w:widowControl/>
      </w:pPr>
      <w:r>
        <w:rPr>
          <w:b/>
          <w:i w:val="0"/>
        </w:rPr>
        <w:t>The places.</w:t>
      </w:r>
    </w:p>
    <w:p>
      <w:pPr>
        <w:ind w:left="187" w:hanging="187"/>
      </w:pPr>
      <w:r>
        <w:t xml:space="preserve">• </w:t>
      </w:r>
      <w:r>
        <w:rPr>
          <w:b w:val="0"/>
          <w:i w:val="0"/>
        </w:rPr>
        <w:t>II.1.4, II.1.5, II.1.6 (PDF pp. 100–103): Better and surpassing are treated as dependent on goodness</w:t>
      </w:r>
    </w:p>
    <w:p>
      <w:pPr>
        <w:ind w:left="187" w:hanging="187"/>
      </w:pPr>
      <w:r>
        <w:t xml:space="preserve">• </w:t>
      </w:r>
      <w:r>
        <w:rPr>
          <w:b w:val="0"/>
          <w:i w:val="0"/>
        </w:rPr>
        <w:t>II.3.4, II.3.5, II.3.6 (PDF pp. 118–119): Rank requires an ideal measure rather than indefinitely deferred superiority</w:t>
      </w:r>
    </w:p>
    <w:p>
      <w:pPr>
        <w:ind w:left="187" w:hanging="187"/>
      </w:pPr>
      <w:r>
        <w:t xml:space="preserve">• </w:t>
      </w:r>
      <w:r>
        <w:rPr>
          <w:b w:val="0"/>
          <w:i w:val="0"/>
        </w:rPr>
        <w:t>II.7.22, II.7.23 (PDF pp. 154–155): Comparison governs the claim that an effect is empty or shadow-like</w:t>
      </w:r>
    </w:p>
    <w:p>
      <w:pPr>
        <w:keepNext/>
        <w:widowControl/>
      </w:pPr>
      <w:r>
        <w:rPr>
          <w:b/>
          <w:i w:val="0"/>
        </w:rPr>
        <w:t>In this edition.</w:t>
      </w:r>
    </w:p>
    <w:p>
      <w:pPr>
        <w:widowControl/>
      </w:pPr>
      <w:r>
        <w:t>“</w:t>
      </w:r>
      <w:r>
        <w:rPr>
          <w:b w:val="0"/>
          <w:i w:val="0"/>
        </w:rPr>
        <w:t>Nearer</w:t>
      </w:r>
      <w:r>
        <w:t>”</w:t>
      </w:r>
      <w:r>
        <w:rPr>
          <w:b w:val="0"/>
          <w:i w:val="0"/>
        </w:rPr>
        <w:t xml:space="preserve"> and </w:t>
      </w:r>
      <w:r>
        <w:t>“</w:t>
      </w:r>
      <w:r>
        <w:rPr>
          <w:b w:val="0"/>
          <w:i w:val="0"/>
        </w:rPr>
        <w:t>more akin</w:t>
      </w:r>
      <w:r>
        <w:t>”</w:t>
      </w:r>
      <w:r>
        <w:rPr>
          <w:b w:val="0"/>
          <w:i w:val="0"/>
        </w:rPr>
        <w:t xml:space="preserve"> in II.3.5 translate different comparatives, propinquior and convenientior. </w:t>
      </w:r>
      <w:r>
        <w:t>“</w:t>
      </w:r>
      <w:r>
        <w:rPr>
          <w:b w:val="0"/>
          <w:i w:val="0"/>
        </w:rPr>
        <w:t>Compared with</w:t>
      </w:r>
      <w:r>
        <w:t>”</w:t>
      </w:r>
      <w:r>
        <w:rPr>
          <w:b w:val="0"/>
          <w:i w:val="0"/>
        </w:rPr>
        <w:t xml:space="preserve"> in II.7.22–23 is essential: the text’s claim is relative to the first cause’s substance, not an unqualified declaration that creatures are nonexistent.</w:t>
      </w:r>
    </w:p>
    <w:p>
      <w:pPr>
        <w:keepNext/>
        <w:widowControl/>
      </w:pPr>
      <w:r>
        <w:rPr>
          <w:b/>
          <w:i w:val="0"/>
        </w:rPr>
        <w:t>See also.</w:t>
      </w:r>
    </w:p>
    <w:p>
      <w:pPr>
        <w:widowControl/>
      </w:pPr>
      <w:hyperlink w:anchor="measure-and-degree">
        <w:r>
          <w:rPr>
            <w:color w:val="000000"/>
          </w:rPr>
          <w:t xml:space="preserve">Measure and degree</w:t>
        </w:r>
      </w:hyperlink>
      <w:r>
        <w:rPr>
          <w:b w:val="0"/>
          <w:i w:val="0"/>
        </w:rPr>
        <w:t xml:space="preserve">; </w:t>
      </w:r>
      <w:hyperlink w:anchor="good-and-goodness">
        <w:r>
          <w:rPr>
            <w:color w:val="000000"/>
          </w:rPr>
          <w:t xml:space="preserve">Good and goodness</w:t>
        </w:r>
      </w:hyperlink>
      <w:r>
        <w:rPr>
          <w:b w:val="0"/>
          <w:i w:val="0"/>
        </w:rPr>
        <w:t xml:space="preserve">; </w:t>
      </w:r>
      <w:hyperlink w:anchor="shadow-and-mirror">
        <w:r>
          <w:rPr>
            <w:color w:val="000000"/>
          </w:rPr>
          <w:t xml:space="preserve">Shadow and mirror</w:t>
        </w:r>
      </w:hyperlink>
      <w:r>
        <w:rPr>
          <w:b w:val="0"/>
          <w:i w:val="0"/>
        </w:rPr>
        <w:t xml:space="preserve">; </w:t>
      </w:r>
      <w:hyperlink w:anchor="infinity">
        <w:r>
          <w:rPr>
            <w:color w:val="000000"/>
          </w:rPr>
          <w:t xml:space="preserve">Infinity</w:t>
        </w:r>
      </w:hyperlink>
      <w:r>
        <w:rPr>
          <w:b w:val="0"/>
          <w:i w:val="0"/>
        </w:rPr>
        <w:t>.</w:t>
      </w:r>
    </w:p>
    <w:p>
      <w:bookmarkStart w:id="227" w:name="sympathy"/>
      <w:pPr>
        <w:pStyle w:val="Heading2"/>
      </w:pPr>
      <w:r>
        <w:rPr>
          <w:b w:val="0"/>
          <w:i w:val="0"/>
        </w:rPr>
        <w:t>Sympathy</w:t>
      </w:r>
      <w:bookmarkEnd w:id="227"/>
    </w:p>
    <w:p>
      <w:pPr>
        <w:keepNext/>
        <w:widowControl/>
      </w:pPr>
      <w:r>
        <w:rPr>
          <w:b/>
          <w:i w:val="0"/>
        </w:rPr>
        <w:t>Latin:</w:t>
      </w:r>
      <w:r>
        <w:rPr>
          <w:b w:val="0"/>
          <w:i w:val="0"/>
        </w:rPr>
        <w:t xml:space="preserve"> </w:t>
      </w:r>
      <w:r>
        <w:rPr>
          <w:b w:val="0"/>
          <w:i/>
        </w:rPr>
        <w:t>compatiantur</w:t>
      </w:r>
      <w:r>
        <w:rPr>
          <w:b w:val="0"/>
          <w:i w:val="0"/>
        </w:rPr>
        <w:t xml:space="preserve">, </w:t>
      </w:r>
      <w:r>
        <w:rPr>
          <w:b w:val="0"/>
          <w:i/>
        </w:rPr>
        <w:t>conspirant</w:t>
      </w:r>
      <w:r>
        <w:rPr>
          <w:b w:val="0"/>
          <w:i w:val="0"/>
        </w:rPr>
        <w:t xml:space="preserve">, </w:t>
      </w:r>
      <w:r>
        <w:rPr>
          <w:b w:val="0"/>
          <w:i/>
        </w:rPr>
        <w:t>conspiratio</w:t>
      </w:r>
      <w:r>
        <w:rPr>
          <w:b w:val="0"/>
          <w:i w:val="0"/>
        </w:rPr>
        <w:t xml:space="preserve">, </w:t>
      </w:r>
      <w:r>
        <w:rPr>
          <w:b w:val="0"/>
          <w:i/>
        </w:rPr>
        <w:t>communicare vires</w:t>
      </w:r>
      <w:r>
        <w:rPr>
          <w:b w:val="0"/>
          <w:i w:val="0"/>
        </w:rPr>
        <w:t xml:space="preserve">, </w:t>
      </w:r>
      <w:r>
        <w:rPr>
          <w:b w:val="0"/>
          <w:i/>
        </w:rPr>
        <w:t>contemperat</w:t>
      </w:r>
    </w:p>
    <w:p>
      <w:pPr>
        <w:keepNext/>
        <w:widowControl/>
      </w:pPr>
      <w:r>
        <w:rPr>
          <w:b/>
          <w:i w:val="0"/>
        </w:rPr>
        <w:t>The word.</w:t>
      </w:r>
    </w:p>
    <w:p>
      <w:pPr>
        <w:widowControl/>
      </w:pPr>
      <w:r>
        <w:rPr>
          <w:b w:val="0"/>
          <w:i w:val="0"/>
        </w:rPr>
        <w:t>Compati means undergoing or responding together; conspirare acting in concert; contemperare blending or tempering diverse conditions into coordination. The family concerns a shared living order, not only human compassion.</w:t>
      </w:r>
    </w:p>
    <w:p>
      <w:pPr>
        <w:keepNext/>
        <w:widowControl/>
      </w:pPr>
      <w:r>
        <w:rPr>
          <w:b/>
          <w:i w:val="0"/>
        </w:rPr>
        <w:t>In the Platonic Theology.</w:t>
      </w:r>
    </w:p>
    <w:p>
      <w:pPr>
        <w:widowControl/>
      </w:pPr>
      <w:r>
        <w:rPr>
          <w:b w:val="0"/>
          <w:i w:val="0"/>
        </w:rPr>
        <w:t>Ficino uses the world’s cooperation as an argument for one animating source. Its members can be contrary in qualities and separated in place while communicating their powers and acting together. He asks what could account for this unless a single soul tempers the diverse humors of the immense living being and connects its members through harmony of life and motion. The vocabulary deliberately draws on the organized body: sympathy is a sharing of affects and actions across a whole, not merely emotional fellow-feeling between people. Nor does it abolish difference or require every component to have the same function. Its significance lies in coordinated difference. The proposed explanation proceeds from common action to common nature, and from common nature to one soul. The conclusion is a metaphysical inference within his account of shared action and its sufficient cause.</w:t>
      </w:r>
    </w:p>
    <w:p>
      <w:pPr>
        <w:keepNext/>
        <w:widowControl/>
      </w:pPr>
      <w:r>
        <w:rPr>
          <w:b/>
          <w:i w:val="0"/>
        </w:rPr>
        <w:t>The places.</w:t>
      </w:r>
    </w:p>
    <w:p>
      <w:pPr>
        <w:ind w:left="187" w:hanging="187"/>
      </w:pPr>
      <w:r>
        <w:t xml:space="preserve">• </w:t>
      </w:r>
      <w:r>
        <w:rPr>
          <w:b/>
          <w:i w:val="0"/>
        </w:rPr>
        <w:t>IV.1.82, PDF pp. 324–325</w:t>
      </w:r>
      <w:r>
        <w:rPr>
          <w:b w:val="0"/>
          <w:i w:val="0"/>
        </w:rPr>
        <w:t>. Contrary and separated members communicate powers; one soul tempers their diverse humors and coordinates their motion.</w:t>
      </w:r>
    </w:p>
    <w:p>
      <w:pPr>
        <w:ind w:left="187" w:hanging="187"/>
      </w:pPr>
      <w:r>
        <w:t xml:space="preserve">• </w:t>
      </w:r>
      <w:r>
        <w:rPr>
          <w:b/>
          <w:i w:val="0"/>
        </w:rPr>
        <w:t>IV.1.83, PDF pp. 324–325</w:t>
      </w:r>
      <w:r>
        <w:rPr>
          <w:b w:val="0"/>
          <w:i w:val="0"/>
        </w:rPr>
        <w:t>. The world-animal’s unity requires soul wholly present throughout its body and nature.</w:t>
      </w:r>
    </w:p>
    <w:p>
      <w:pPr>
        <w:widowControl/>
      </w:pPr>
      <w:r>
        <w:rPr>
          <w:b/>
          <w:i w:val="0"/>
        </w:rPr>
        <w:t>Further passage references.</w:t>
      </w:r>
      <w:r>
        <w:rPr>
          <w:b w:val="0"/>
          <w:i w:val="0"/>
        </w:rPr>
        <w:t xml:space="preserve"> IV.1.82–IV.1.83, pp. 324–325; apparatus p. 393</w:t>
      </w:r>
    </w:p>
    <w:p>
      <w:pPr>
        <w:keepNext/>
        <w:widowControl/>
      </w:pPr>
      <w:r>
        <w:rPr>
          <w:b/>
          <w:i w:val="0"/>
        </w:rPr>
        <w:t>In this edition.</w:t>
      </w:r>
    </w:p>
    <w:p>
      <w:pPr>
        <w:widowControl/>
      </w:pPr>
      <w:r>
        <w:t>“</w:t>
      </w:r>
      <w:r>
        <w:rPr>
          <w:b w:val="0"/>
          <w:i w:val="0"/>
        </w:rPr>
        <w:t>Are in sympathy</w:t>
      </w:r>
      <w:r>
        <w:t>”</w:t>
      </w:r>
      <w:r>
        <w:rPr>
          <w:b w:val="0"/>
          <w:i w:val="0"/>
        </w:rPr>
        <w:t xml:space="preserve"> translates compatiantur as the edition’s technical image of joint feeling and activity. The qualification ut ita loquar keeps the extension to cosmic members visible as figurative language within a substantive causal argument.</w:t>
      </w:r>
    </w:p>
    <w:p>
      <w:pPr>
        <w:keepNext/>
        <w:widowControl/>
      </w:pPr>
      <w:r>
        <w:rPr>
          <w:b/>
          <w:i w:val="0"/>
        </w:rPr>
        <w:t>See also.</w:t>
      </w:r>
    </w:p>
    <w:p>
      <w:pPr>
        <w:widowControl/>
      </w:pPr>
      <w:hyperlink w:anchor="world-soul">
        <w:r>
          <w:rPr>
            <w:color w:val="000000"/>
          </w:rPr>
          <w:t xml:space="preserve">World soul</w:t>
        </w:r>
      </w:hyperlink>
      <w:r>
        <w:rPr>
          <w:b w:val="0"/>
          <w:i w:val="0"/>
        </w:rPr>
        <w:t xml:space="preserve">; </w:t>
      </w:r>
      <w:hyperlink w:anchor="life">
        <w:r>
          <w:rPr>
            <w:color w:val="000000"/>
          </w:rPr>
          <w:t xml:space="preserve">Life</w:t>
        </w:r>
      </w:hyperlink>
      <w:r>
        <w:rPr>
          <w:b w:val="0"/>
          <w:i w:val="0"/>
        </w:rPr>
        <w:t xml:space="preserve">; </w:t>
      </w:r>
      <w:hyperlink w:anchor="unity-and-multiplicity">
        <w:r>
          <w:rPr>
            <w:color w:val="000000"/>
          </w:rPr>
          <w:t xml:space="preserve">Unity and multiplicity</w:t>
        </w:r>
      </w:hyperlink>
      <w:r>
        <w:rPr>
          <w:b w:val="0"/>
          <w:i w:val="0"/>
        </w:rPr>
        <w:t xml:space="preserve">; </w:t>
      </w:r>
      <w:hyperlink w:anchor="order-and-harmony">
        <w:r>
          <w:rPr>
            <w:color w:val="000000"/>
          </w:rPr>
          <w:t xml:space="preserve">Order and harmony</w:t>
        </w:r>
      </w:hyperlink>
      <w:r>
        <w:rPr>
          <w:b w:val="0"/>
          <w:i w:val="0"/>
        </w:rPr>
        <w:t xml:space="preserve">; </w:t>
      </w:r>
      <w:hyperlink w:anchor="purity-and-mixture">
        <w:r>
          <w:rPr>
            <w:color w:val="000000"/>
          </w:rPr>
          <w:t xml:space="preserve">Purity and mixture</w:t>
        </w:r>
      </w:hyperlink>
    </w:p>
    <w:p>
      <w:bookmarkStart w:id="228" w:name="through-itself-and-through-another"/>
      <w:pPr>
        <w:pStyle w:val="Heading2"/>
      </w:pPr>
      <w:r>
        <w:rPr>
          <w:b w:val="0"/>
          <w:i w:val="0"/>
        </w:rPr>
        <w:t>Through itself and through another</w:t>
      </w:r>
      <w:bookmarkEnd w:id="228"/>
    </w:p>
    <w:p>
      <w:pPr>
        <w:keepNext/>
        <w:widowControl/>
      </w:pPr>
      <w:r>
        <w:rPr>
          <w:b/>
          <w:i w:val="0"/>
        </w:rPr>
        <w:t>Latin:</w:t>
      </w:r>
      <w:r>
        <w:rPr>
          <w:b w:val="0"/>
          <w:i w:val="0"/>
        </w:rPr>
        <w:t xml:space="preserve"> </w:t>
      </w:r>
      <w:r>
        <w:rPr>
          <w:b w:val="0"/>
          <w:i/>
        </w:rPr>
        <w:t>per se</w:t>
      </w:r>
      <w:r>
        <w:rPr>
          <w:b w:val="0"/>
          <w:i w:val="0"/>
        </w:rPr>
        <w:t xml:space="preserve">, </w:t>
      </w:r>
      <w:r>
        <w:rPr>
          <w:b w:val="0"/>
          <w:i/>
        </w:rPr>
        <w:t>per se ipsum</w:t>
      </w:r>
      <w:r>
        <w:rPr>
          <w:b w:val="0"/>
          <w:i w:val="0"/>
        </w:rPr>
        <w:t xml:space="preserve">, </w:t>
      </w:r>
      <w:r>
        <w:rPr>
          <w:b w:val="0"/>
          <w:i/>
        </w:rPr>
        <w:t>per aliud</w:t>
      </w:r>
      <w:r>
        <w:rPr>
          <w:b w:val="0"/>
          <w:i w:val="0"/>
        </w:rPr>
        <w:t xml:space="preserve">, </w:t>
      </w:r>
      <w:r>
        <w:rPr>
          <w:b w:val="0"/>
          <w:i/>
        </w:rPr>
        <w:t>ab alio</w:t>
      </w:r>
      <w:r>
        <w:rPr>
          <w:b w:val="0"/>
          <w:i w:val="0"/>
        </w:rPr>
        <w:t xml:space="preserve">, </w:t>
      </w:r>
      <w:r>
        <w:rPr>
          <w:b w:val="0"/>
          <w:i/>
        </w:rPr>
        <w:t>ex se ipso</w:t>
      </w:r>
      <w:r>
        <w:rPr>
          <w:b w:val="0"/>
          <w:i w:val="0"/>
        </w:rPr>
        <w:t xml:space="preserve">, </w:t>
      </w:r>
      <w:r>
        <w:rPr>
          <w:b w:val="0"/>
          <w:i/>
        </w:rPr>
        <w:t>per Deum</w:t>
      </w:r>
    </w:p>
    <w:p>
      <w:pPr>
        <w:keepNext/>
        <w:widowControl/>
      </w:pPr>
      <w:r>
        <w:rPr>
          <w:b/>
          <w:i w:val="0"/>
        </w:rPr>
        <w:t>The word.</w:t>
      </w:r>
    </w:p>
    <w:p>
      <w:pPr>
        <w:widowControl/>
      </w:pPr>
      <w:r>
        <w:rPr>
          <w:b w:val="0"/>
          <w:i w:val="0"/>
        </w:rPr>
        <w:t>Per se, per aliud, ab alio, and ex se mark different relations of intrinsic capacity, mediation, external agency, and source. Each phrase specifies a particular property or action rather than automatically declaring complete independence.</w:t>
      </w:r>
    </w:p>
    <w:p>
      <w:pPr>
        <w:keepNext/>
        <w:widowControl/>
      </w:pPr>
      <w:r>
        <w:rPr>
          <w:b/>
          <w:i w:val="0"/>
        </w:rPr>
        <w:t>In the Platonic Theology.</w:t>
      </w:r>
    </w:p>
    <w:p>
      <w:pPr>
        <w:widowControl/>
      </w:pPr>
      <w:r>
        <w:rPr>
          <w:b w:val="0"/>
          <w:i w:val="0"/>
        </w:rPr>
        <w:t>The contrast distinguishes a power belonging primarily to a nature from a power possessed through dependence on another. Ficino repeatedly argues that whatever is of a kind through another must be referred to something that is so through itself. Bodies act through qualities; qualities receive active power through higher levels; angel and soul receive unity and actuality from God. God alone is stable and active through himself without derivative dependence.</w:t>
      </w:r>
    </w:p>
    <w:p>
      <w:pPr>
        <w:widowControl/>
      </w:pPr>
      <w:r>
        <w:rPr>
          <w:b w:val="0"/>
          <w:i w:val="0"/>
        </w:rPr>
        <w:t xml:space="preserve">Soul’s self-motion is a carefully restricted application, not an exception making soul uncreated. Among movable natures soul is first, and its own nature accounts for temporal succession, but its actuality and orientation remain dependent on higher realities. Similarly, angel is stable but stable through God. The prepositions matter: being moved </w:t>
      </w:r>
      <w:r>
        <w:t>“</w:t>
      </w:r>
      <w:r>
        <w:rPr>
          <w:b w:val="0"/>
          <w:i w:val="0"/>
        </w:rPr>
        <w:t>by another,</w:t>
      </w:r>
      <w:r>
        <w:t>”</w:t>
      </w:r>
      <w:r>
        <w:rPr>
          <w:b w:val="0"/>
          <w:i w:val="0"/>
        </w:rPr>
        <w:t xml:space="preserve"> acting </w:t>
      </w:r>
      <w:r>
        <w:t>“</w:t>
      </w:r>
      <w:r>
        <w:rPr>
          <w:b w:val="0"/>
          <w:i w:val="0"/>
        </w:rPr>
        <w:t>through another,</w:t>
      </w:r>
      <w:r>
        <w:t>”</w:t>
      </w:r>
      <w:r>
        <w:rPr>
          <w:b w:val="0"/>
          <w:i w:val="0"/>
        </w:rPr>
        <w:t xml:space="preserve"> and having something </w:t>
      </w:r>
      <w:r>
        <w:t>“</w:t>
      </w:r>
      <w:r>
        <w:rPr>
          <w:b w:val="0"/>
          <w:i w:val="0"/>
        </w:rPr>
        <w:t>from oneself</w:t>
      </w:r>
      <w:r>
        <w:t>”</w:t>
      </w:r>
      <w:r>
        <w:rPr>
          <w:b w:val="0"/>
          <w:i w:val="0"/>
        </w:rPr>
        <w:t xml:space="preserve"> articulate related but distinct causal relations. Each occurrence concerns a particular property or activity; none automatically asserts either complete independence or complete passivity.</w:t>
      </w:r>
    </w:p>
    <w:p>
      <w:pPr>
        <w:keepNext/>
        <w:widowControl/>
      </w:pPr>
      <w:r>
        <w:rPr>
          <w:b/>
          <w:i w:val="0"/>
        </w:rPr>
        <w:t>The places.</w:t>
      </w:r>
    </w:p>
    <w:p>
      <w:pPr>
        <w:ind w:left="187" w:hanging="187"/>
      </w:pPr>
      <w:r>
        <w:t xml:space="preserve">• </w:t>
      </w:r>
      <w:r>
        <w:rPr>
          <w:b/>
          <w:i w:val="0"/>
        </w:rPr>
        <w:t>III.1.17, PDF pp. 250–251</w:t>
      </w:r>
      <w:r>
        <w:rPr>
          <w:b w:val="0"/>
          <w:i w:val="0"/>
        </w:rPr>
        <w:t>. Angel and soul receive unity and actuality from God while their lower modes of multiplicity and change belong to their grade.</w:t>
      </w:r>
    </w:p>
    <w:p>
      <w:pPr>
        <w:ind w:left="187" w:hanging="187"/>
      </w:pPr>
      <w:r>
        <w:t xml:space="preserve">• </w:t>
      </w:r>
      <w:r>
        <w:rPr>
          <w:b/>
          <w:i w:val="0"/>
        </w:rPr>
        <w:t>III.1.23–27, PDF pp. 254–257</w:t>
      </w:r>
      <w:r>
        <w:rPr>
          <w:b w:val="0"/>
          <w:i w:val="0"/>
        </w:rPr>
        <w:t>. The first movable is movable through itself, and lower bodily motion is referred to soul.</w:t>
      </w:r>
    </w:p>
    <w:p>
      <w:pPr>
        <w:ind w:left="187" w:hanging="187"/>
      </w:pPr>
      <w:r>
        <w:t xml:space="preserve">• </w:t>
      </w:r>
      <w:r>
        <w:rPr>
          <w:b/>
          <w:i w:val="0"/>
        </w:rPr>
        <w:t>II.12.18, PDF pp. 212–213</w:t>
      </w:r>
      <w:r>
        <w:rPr>
          <w:b w:val="0"/>
          <w:i w:val="0"/>
        </w:rPr>
        <w:t>. The relation to divine causation must preserve the particular mode of dependent action.</w:t>
      </w:r>
    </w:p>
    <w:p>
      <w:pPr>
        <w:widowControl/>
      </w:pPr>
      <w:r>
        <w:rPr>
          <w:b/>
          <w:i w:val="0"/>
        </w:rPr>
        <w:t>Further passage references.</w:t>
      </w:r>
      <w:r>
        <w:rPr>
          <w:b w:val="0"/>
          <w:i w:val="0"/>
        </w:rPr>
        <w:t xml:space="preserve"> III.1.17–27, PDF 250–257; II.12.18, PDF 212–213</w:t>
      </w:r>
    </w:p>
    <w:p>
      <w:pPr>
        <w:keepNext/>
        <w:widowControl/>
      </w:pPr>
      <w:r>
        <w:rPr>
          <w:b/>
          <w:i w:val="0"/>
        </w:rPr>
        <w:t>In this edition.</w:t>
      </w:r>
    </w:p>
    <w:p>
      <w:pPr>
        <w:widowControl/>
      </w:pPr>
      <w:r>
        <w:rPr>
          <w:b w:val="0"/>
          <w:i w:val="0"/>
        </w:rPr>
        <w:t xml:space="preserve">English </w:t>
      </w:r>
      <w:r>
        <w:t>“</w:t>
      </w:r>
      <w:r>
        <w:rPr>
          <w:b w:val="0"/>
          <w:i w:val="0"/>
        </w:rPr>
        <w:t>by,</w:t>
      </w:r>
      <w:r>
        <w:t>”</w:t>
      </w:r>
      <w:r>
        <w:rPr>
          <w:b w:val="0"/>
          <w:i w:val="0"/>
        </w:rPr>
        <w:t xml:space="preserve"> </w:t>
      </w:r>
      <w:r>
        <w:t>“</w:t>
      </w:r>
      <w:r>
        <w:rPr>
          <w:b w:val="0"/>
          <w:i w:val="0"/>
        </w:rPr>
        <w:t>through,</w:t>
      </w:r>
      <w:r>
        <w:t>”</w:t>
      </w:r>
      <w:r>
        <w:rPr>
          <w:b w:val="0"/>
          <w:i w:val="0"/>
        </w:rPr>
        <w:t xml:space="preserve"> and </w:t>
      </w:r>
      <w:r>
        <w:t>“</w:t>
      </w:r>
      <w:r>
        <w:rPr>
          <w:b w:val="0"/>
          <w:i w:val="0"/>
        </w:rPr>
        <w:t>from</w:t>
      </w:r>
      <w:r>
        <w:t>”</w:t>
      </w:r>
      <w:r>
        <w:rPr>
          <w:b w:val="0"/>
          <w:i w:val="0"/>
        </w:rPr>
        <w:t xml:space="preserve"> should retain the Latin prepositions’ local roles. Soul’s being mobile through itself remains compatible with receiving actuality and unity from God; the contrast is not created versus uncreated in every occurrence.</w:t>
      </w:r>
    </w:p>
    <w:p>
      <w:pPr>
        <w:keepNext/>
        <w:widowControl/>
      </w:pPr>
      <w:r>
        <w:rPr>
          <w:b/>
          <w:i w:val="0"/>
        </w:rPr>
        <w:t>See also.</w:t>
      </w:r>
    </w:p>
    <w:p>
      <w:pPr>
        <w:widowControl/>
      </w:pPr>
      <w:hyperlink w:anchor="cause">
        <w:r>
          <w:rPr>
            <w:color w:val="000000"/>
          </w:rPr>
          <w:t xml:space="preserve">Cause</w:t>
        </w:r>
      </w:hyperlink>
      <w:r>
        <w:rPr>
          <w:b w:val="0"/>
          <w:i w:val="0"/>
        </w:rPr>
        <w:t xml:space="preserve">; </w:t>
      </w:r>
      <w:hyperlink w:anchor="degree-and-mediation">
        <w:r>
          <w:rPr>
            <w:color w:val="000000"/>
          </w:rPr>
          <w:t xml:space="preserve">Degree and mediation</w:t>
        </w:r>
      </w:hyperlink>
      <w:r>
        <w:rPr>
          <w:b w:val="0"/>
          <w:i w:val="0"/>
        </w:rPr>
        <w:t xml:space="preserve">; </w:t>
      </w:r>
      <w:hyperlink w:anchor="motion-and-stability">
        <w:r>
          <w:rPr>
            <w:color w:val="000000"/>
          </w:rPr>
          <w:t xml:space="preserve">Motion and stability</w:t>
        </w:r>
      </w:hyperlink>
      <w:r>
        <w:rPr>
          <w:b w:val="0"/>
          <w:i w:val="0"/>
        </w:rPr>
        <w:t xml:space="preserve">; </w:t>
      </w:r>
      <w:hyperlink w:anchor="unity-and-multiplicity">
        <w:r>
          <w:rPr>
            <w:color w:val="000000"/>
          </w:rPr>
          <w:t xml:space="preserve">Unity and multiplicity</w:t>
        </w:r>
      </w:hyperlink>
    </w:p>
    <w:p>
      <w:bookmarkStart w:id="229" w:name="touch-and-penetration"/>
      <w:pPr>
        <w:pStyle w:val="Heading2"/>
      </w:pPr>
      <w:r>
        <w:rPr>
          <w:b w:val="0"/>
          <w:i w:val="0"/>
        </w:rPr>
        <w:t>Touch and penetration</w:t>
      </w:r>
      <w:bookmarkEnd w:id="229"/>
    </w:p>
    <w:p>
      <w:pPr>
        <w:keepNext/>
        <w:widowControl/>
      </w:pPr>
      <w:r>
        <w:rPr>
          <w:b/>
          <w:i w:val="0"/>
        </w:rPr>
        <w:t>Latin:</w:t>
      </w:r>
      <w:r>
        <w:rPr>
          <w:b w:val="0"/>
          <w:i w:val="0"/>
        </w:rPr>
        <w:t xml:space="preserve"> tangit; penetrare; resistit; adest; obstat; attingit; penetrat</w:t>
      </w:r>
    </w:p>
    <w:p>
      <w:pPr>
        <w:keepNext/>
        <w:widowControl/>
      </w:pPr>
      <w:r>
        <w:rPr>
          <w:b/>
          <w:i w:val="0"/>
        </w:rPr>
        <w:t>The word.</w:t>
      </w:r>
    </w:p>
    <w:p>
      <w:pPr>
        <w:widowControl/>
      </w:pPr>
      <w:r>
        <w:rPr>
          <w:b w:val="0"/>
          <w:i w:val="0"/>
        </w:rPr>
        <w:t>Tangere is to touch; penetrare to pass through or reach into; resistere and obstare to resist or obstruct; attingere to reach or make contact. Bodily and incorporeal subjects give these common verbs different modes of application.</w:t>
      </w:r>
    </w:p>
    <w:p>
      <w:pPr>
        <w:keepNext/>
        <w:widowControl/>
      </w:pPr>
      <w:r>
        <w:rPr>
          <w:b/>
          <w:i w:val="0"/>
        </w:rPr>
        <w:t>In the Platonic Theology.</w:t>
      </w:r>
    </w:p>
    <w:p>
      <w:pPr>
        <w:widowControl/>
      </w:pPr>
      <w:r>
        <w:rPr>
          <w:b w:val="0"/>
          <w:i w:val="0"/>
        </w:rPr>
        <w:t>A body touches what contains it through quantitative dimensions, but incorporeal substance does so through power. The analogy establishes the chapter’s intended kind of presence before the argument expands it universally. Divine purity and power encounter no resisting obstacle; the claim is not that God moves through material pores.</w:t>
      </w:r>
    </w:p>
    <w:p>
      <w:pPr>
        <w:widowControl/>
      </w:pPr>
      <w:r>
        <w:rPr>
          <w:b w:val="0"/>
          <w:i w:val="0"/>
        </w:rPr>
        <w:t>In the reported theory of universal mental presence, mind’s essence reaches God through an essential inclination, prior to vital and intellectual activity. Because neither body nor spirit obstructs it, the cited thinkers infer an unrestricted presence. The flame reaching its natural goal illustrates orientation, but its hypothetical indivisibility is part of the analogy. It is not a claim that ordinary fire has no dimensions or that an intellect travels spatially until it finds a distant God.</w:t>
      </w:r>
    </w:p>
    <w:p>
      <w:pPr>
        <w:keepNext/>
        <w:widowControl/>
      </w:pPr>
      <w:r>
        <w:rPr>
          <w:b/>
          <w:i w:val="0"/>
        </w:rPr>
        <w:t>The places.</w:t>
      </w:r>
    </w:p>
    <w:p>
      <w:pPr>
        <w:ind w:left="187" w:hanging="187"/>
      </w:pPr>
      <w:r>
        <w:t xml:space="preserve">• </w:t>
      </w:r>
      <w:r>
        <w:rPr>
          <w:b w:val="0"/>
          <w:i w:val="0"/>
        </w:rPr>
        <w:t>II.6.1, II.6.3 (PDF pp. 128–129): Contact through power and absence of resistance establish divine presence</w:t>
      </w:r>
    </w:p>
    <w:p>
      <w:pPr>
        <w:ind w:left="187" w:hanging="187"/>
      </w:pPr>
      <w:r>
        <w:t xml:space="preserve">• </w:t>
      </w:r>
      <w:r>
        <w:rPr>
          <w:b w:val="0"/>
          <w:i w:val="0"/>
        </w:rPr>
        <w:t>II.6.23 (PDF pp. 140–141): Reaching and penetration belong to the authorities’ account of essential orientation</w:t>
      </w:r>
    </w:p>
    <w:p>
      <w:pPr>
        <w:keepNext/>
        <w:widowControl/>
      </w:pPr>
      <w:r>
        <w:rPr>
          <w:b/>
          <w:i w:val="0"/>
        </w:rPr>
        <w:t>In this edition.</w:t>
      </w:r>
    </w:p>
    <w:p>
      <w:pPr>
        <w:widowControl/>
      </w:pPr>
      <w:r>
        <w:t>“</w:t>
      </w:r>
      <w:r>
        <w:rPr>
          <w:b w:val="0"/>
          <w:i w:val="0"/>
        </w:rPr>
        <w:t>Touches</w:t>
      </w:r>
      <w:r>
        <w:t>”</w:t>
      </w:r>
      <w:r>
        <w:rPr>
          <w:b w:val="0"/>
          <w:i w:val="0"/>
        </w:rPr>
        <w:t xml:space="preserve"> is retained in II.6.1, so the reader must preserve the explicit contrast between dimensions and power. </w:t>
      </w:r>
      <w:r>
        <w:t>“</w:t>
      </w:r>
      <w:r>
        <w:rPr>
          <w:b w:val="0"/>
          <w:i w:val="0"/>
        </w:rPr>
        <w:t>Reaches</w:t>
      </w:r>
      <w:r>
        <w:t>”</w:t>
      </w:r>
      <w:r>
        <w:rPr>
          <w:b w:val="0"/>
          <w:i w:val="0"/>
        </w:rPr>
        <w:t xml:space="preserve"> in II.6.23 translates attingit; it need not imply locomotion.</w:t>
      </w:r>
    </w:p>
    <w:p>
      <w:pPr>
        <w:keepNext/>
        <w:widowControl/>
      </w:pPr>
      <w:r>
        <w:rPr>
          <w:b/>
          <w:i w:val="0"/>
        </w:rPr>
        <w:t>See also.</w:t>
      </w:r>
    </w:p>
    <w:p>
      <w:pPr>
        <w:widowControl/>
      </w:pPr>
      <w:hyperlink w:anchor="omnipresence-and-place">
        <w:r>
          <w:rPr>
            <w:color w:val="000000"/>
          </w:rPr>
          <w:t xml:space="preserve">Omnipresence and place</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anebon-abamon-and-the-mental-presence-authorities">
        <w:r>
          <w:rPr>
            <w:color w:val="000000"/>
          </w:rPr>
          <w:t xml:space="preserve">Anebon Abamon and the mental-presence authorities</w:t>
        </w:r>
      </w:hyperlink>
      <w:r>
        <w:rPr>
          <w:b w:val="0"/>
          <w:i w:val="0"/>
        </w:rPr>
        <w:t>.</w:t>
      </w:r>
    </w:p>
    <w:p>
      <w:bookmarkStart w:id="230" w:name="traces"/>
      <w:pPr>
        <w:pStyle w:val="Heading2"/>
      </w:pPr>
      <w:r>
        <w:rPr>
          <w:b w:val="0"/>
          <w:i w:val="0"/>
        </w:rPr>
        <w:t>Traces</w:t>
      </w:r>
      <w:bookmarkEnd w:id="230"/>
    </w:p>
    <w:p>
      <w:pPr>
        <w:keepNext/>
        <w:widowControl/>
      </w:pPr>
      <w:r>
        <w:rPr>
          <w:b/>
          <w:i w:val="0"/>
        </w:rPr>
        <w:t>Latin:</w:t>
      </w:r>
      <w:r>
        <w:rPr>
          <w:b w:val="0"/>
          <w:i w:val="0"/>
        </w:rPr>
        <w:t xml:space="preserve"> </w:t>
      </w:r>
      <w:r>
        <w:rPr>
          <w:b w:val="0"/>
          <w:i/>
        </w:rPr>
        <w:t>vestigium</w:t>
      </w:r>
      <w:r>
        <w:rPr>
          <w:b w:val="0"/>
          <w:i w:val="0"/>
        </w:rPr>
        <w:t xml:space="preserve">; </w:t>
      </w:r>
      <w:r>
        <w:rPr>
          <w:b w:val="0"/>
          <w:i/>
        </w:rPr>
        <w:t>vestigia</w:t>
      </w:r>
      <w:r>
        <w:rPr>
          <w:b w:val="0"/>
          <w:i w:val="0"/>
        </w:rPr>
        <w:t>; vestigia; quasi ab his cuncta manaverint; vestigium; quasi fortius imprimatur</w:t>
      </w:r>
    </w:p>
    <w:p>
      <w:pPr>
        <w:keepNext/>
        <w:widowControl/>
      </w:pPr>
      <w:r>
        <w:rPr>
          <w:b/>
          <w:i w:val="0"/>
        </w:rPr>
        <w:t>The word.</w:t>
      </w:r>
    </w:p>
    <w:p>
      <w:pPr>
        <w:widowControl/>
      </w:pPr>
      <w:r>
        <w:rPr>
          <w:b w:val="0"/>
          <w:i w:val="0"/>
        </w:rPr>
        <w:t>Vestigium is a trace or sign left in an effect by its source; vestigia is plural. The metaphor concerns detectable dependence and communication, not portions detached from the cause.</w:t>
      </w:r>
    </w:p>
    <w:p>
      <w:pPr>
        <w:widowControl/>
      </w:pPr>
      <w:r>
        <w:rPr>
          <w:b w:val="0"/>
          <w:i w:val="0"/>
        </w:rPr>
        <w:t>The footprint or impression image has an evidential use and a causal use. Quasi marks a comparison, rather than literal tracks or a physically deeper stamp.</w:t>
      </w:r>
    </w:p>
    <w:p>
      <w:pPr>
        <w:keepNext/>
        <w:widowControl/>
      </w:pPr>
      <w:r>
        <w:rPr>
          <w:b/>
          <w:i w:val="0"/>
        </w:rPr>
        <w:t>In the Platonic Theology.</w:t>
      </w:r>
    </w:p>
    <w:p>
      <w:pPr>
        <w:widowControl/>
      </w:pPr>
      <w:r>
        <w:rPr>
          <w:b w:val="0"/>
          <w:i w:val="0"/>
        </w:rPr>
        <w:t>A trace is an indication of a source through what it leaves in or communicates to an effect. The Proem follows traces toward God; Book II finds traces of unity, truth, and goodness throughout things. In the causal argument, being is compared with the first cause’s trace, impressed earlier and effaced later than subordinate determinations. Book IV identifies unity, order, and motion as traces of God, mind, and soul. These related uses concern intelligible dependence, not literal footprints or independent fragments of the source.</w:t>
      </w:r>
    </w:p>
    <w:p>
      <w:pPr>
        <w:widowControl/>
      </w:pPr>
      <w:r>
        <w:rPr>
          <w:b w:val="0"/>
          <w:i w:val="0"/>
        </w:rPr>
        <w:t>At II.1.2, traces of unity, truth, and goodness are evidence through which Ficino argues that things flow from and seek their principle. At II.7.32 the trace is identified with being and explains why the first cause’s contribution underlies and outlasts particular determinations. The second use gives the image a more explicit structure: later traces are established upon an earlier one. This distinction helps a reader move from detecting a source through its signs to understanding the ordered dependence of its effects.</w:t>
      </w:r>
    </w:p>
    <w:p>
      <w:pPr>
        <w:keepNext/>
        <w:widowControl/>
      </w:pPr>
      <w:r>
        <w:rPr>
          <w:b/>
          <w:i w:val="0"/>
        </w:rPr>
        <w:t>The places.</w:t>
      </w:r>
    </w:p>
    <w:p>
      <w:pPr>
        <w:ind w:left="187" w:hanging="187"/>
      </w:pPr>
      <w:r>
        <w:t xml:space="preserve">• </w:t>
      </w:r>
      <w:r>
        <w:rPr>
          <w:b/>
          <w:i w:val="0"/>
        </w:rPr>
        <w:t>Proem.4, PDF pp. 6–7</w:t>
      </w:r>
      <w:r>
        <w:rPr>
          <w:b w:val="0"/>
          <w:i w:val="0"/>
        </w:rPr>
        <w:t>. The inquiry follows traces toward God and repeatedly turns toward soul as a mirror.</w:t>
      </w:r>
    </w:p>
    <w:p>
      <w:pPr>
        <w:ind w:left="187" w:hanging="187"/>
      </w:pPr>
      <w:r>
        <w:t xml:space="preserve">• </w:t>
      </w:r>
      <w:r>
        <w:rPr>
          <w:b/>
          <w:i w:val="0"/>
        </w:rPr>
        <w:t>II.1.2, PDF pp. 98–99</w:t>
      </w:r>
      <w:r>
        <w:rPr>
          <w:b w:val="0"/>
          <w:i w:val="0"/>
        </w:rPr>
        <w:t>. Things exhibit and desire traces of unity, truth, and goodness.</w:t>
      </w:r>
    </w:p>
    <w:p>
      <w:pPr>
        <w:ind w:left="187" w:hanging="187"/>
      </w:pPr>
      <w:r>
        <w:t xml:space="preserve">• </w:t>
      </w:r>
      <w:r>
        <w:rPr>
          <w:b/>
          <w:i w:val="0"/>
        </w:rPr>
        <w:t>II.7.32, PDF pp. 158–159</w:t>
      </w:r>
      <w:r>
        <w:rPr>
          <w:b w:val="0"/>
          <w:i w:val="0"/>
        </w:rPr>
        <w:t>. Being is the first cause’s trace, impressed before and removed after subordinate determinations.</w:t>
      </w:r>
    </w:p>
    <w:p>
      <w:pPr>
        <w:ind w:left="187" w:hanging="187"/>
      </w:pPr>
      <w:r>
        <w:t xml:space="preserve">• </w:t>
      </w:r>
      <w:r>
        <w:rPr>
          <w:b/>
          <w:i w:val="0"/>
        </w:rPr>
        <w:t>IV.1.86, PDF pp. 326–327</w:t>
      </w:r>
      <w:r>
        <w:rPr>
          <w:b w:val="0"/>
          <w:i w:val="0"/>
        </w:rPr>
        <w:t>. Unity, order, and motion display distinct effects of God, mind, and soul.</w:t>
      </w:r>
    </w:p>
    <w:p>
      <w:pPr>
        <w:widowControl/>
      </w:pPr>
      <w:r>
        <w:rPr>
          <w:b/>
          <w:i w:val="0"/>
        </w:rPr>
        <w:t>Further passage references.</w:t>
      </w:r>
      <w:r>
        <w:rPr>
          <w:b w:val="0"/>
          <w:i w:val="0"/>
        </w:rPr>
        <w:t xml:space="preserve"> Proem.4 (PDF pp.6–7); II.1.2 (pp.98–99); II.7.32 (pp.158–159); IV.1.86 (pp.326–327)</w:t>
      </w:r>
    </w:p>
    <w:p>
      <w:pPr>
        <w:ind w:left="187" w:hanging="187"/>
      </w:pPr>
      <w:r>
        <w:t xml:space="preserve">• </w:t>
      </w:r>
      <w:r>
        <w:rPr>
          <w:b w:val="0"/>
          <w:i w:val="0"/>
        </w:rPr>
        <w:t>II.1.2 (PDF pp. 98–99): Traces serve the inference from universal participation and desire to a source</w:t>
      </w:r>
    </w:p>
    <w:p>
      <w:pPr>
        <w:ind w:left="187" w:hanging="187"/>
      </w:pPr>
      <w:r>
        <w:t xml:space="preserve">• </w:t>
      </w:r>
      <w:r>
        <w:rPr>
          <w:b w:val="0"/>
          <w:i w:val="0"/>
        </w:rPr>
        <w:t>II.7.32 (PDF pp. 158–159): Being is the prior impression supporting other causal traces</w:t>
      </w:r>
    </w:p>
    <w:p>
      <w:pPr>
        <w:keepNext/>
        <w:widowControl/>
      </w:pPr>
      <w:r>
        <w:rPr>
          <w:b/>
          <w:i w:val="0"/>
        </w:rPr>
        <w:t>In this edition.</w:t>
      </w:r>
    </w:p>
    <w:p>
      <w:pPr>
        <w:widowControl/>
      </w:pPr>
      <w:r>
        <w:t>“</w:t>
      </w:r>
      <w:r>
        <w:rPr>
          <w:b w:val="0"/>
          <w:i w:val="0"/>
        </w:rPr>
        <w:t>Trace</w:t>
      </w:r>
      <w:r>
        <w:t>”</w:t>
      </w:r>
      <w:r>
        <w:rPr>
          <w:b w:val="0"/>
          <w:i w:val="0"/>
        </w:rPr>
        <w:t xml:space="preserve"> is contextual: the Proem’s route of inquiry, being as the first cause’s enduring impression, and unity-order-motion in the world have different referents. The printing and erasure images at II.7.32 should remain comparisons.</w:t>
      </w:r>
    </w:p>
    <w:p>
      <w:pPr>
        <w:widowControl/>
      </w:pPr>
      <w:r>
        <w:rPr>
          <w:b w:val="0"/>
          <w:i w:val="0"/>
        </w:rPr>
        <w:t>The image should not be indexed only under the noun. Imprimitur, deletur, firmant, fundant, and stabiliunt articulate the causal work performed by the trace comparison.</w:t>
      </w:r>
    </w:p>
    <w:p>
      <w:pPr>
        <w:keepNext/>
        <w:widowControl/>
      </w:pPr>
      <w:r>
        <w:rPr>
          <w:b/>
          <w:i w:val="0"/>
        </w:rPr>
        <w:t>See also.</w:t>
      </w:r>
    </w:p>
    <w:p>
      <w:pPr>
        <w:widowControl/>
      </w:pPr>
      <w:hyperlink w:anchor="cause">
        <w:r>
          <w:rPr>
            <w:color w:val="000000"/>
          </w:rPr>
          <w:t xml:space="preserve">Cause</w:t>
        </w:r>
      </w:hyperlink>
      <w:r>
        <w:rPr>
          <w:b w:val="0"/>
          <w:i w:val="0"/>
        </w:rPr>
        <w:t xml:space="preserve">; </w:t>
      </w:r>
      <w:hyperlink w:anchor="participation">
        <w:r>
          <w:rPr>
            <w:color w:val="000000"/>
          </w:rPr>
          <w:t xml:space="preserve">Participation</w:t>
        </w:r>
      </w:hyperlink>
      <w:r>
        <w:rPr>
          <w:b w:val="0"/>
          <w:i w:val="0"/>
        </w:rPr>
        <w:t xml:space="preserve">; </w:t>
      </w:r>
      <w:hyperlink w:anchor="unity-and-multiplicity">
        <w:r>
          <w:rPr>
            <w:color w:val="000000"/>
          </w:rPr>
          <w:t xml:space="preserve">Unity and multiplicity</w:t>
        </w:r>
      </w:hyperlink>
      <w:r>
        <w:rPr>
          <w:b w:val="0"/>
          <w:i w:val="0"/>
        </w:rPr>
        <w:t xml:space="preserve">; </w:t>
      </w:r>
      <w:hyperlink w:anchor="order-and-harmony">
        <w:r>
          <w:rPr>
            <w:color w:val="000000"/>
          </w:rPr>
          <w:t xml:space="preserve">Order and harmony</w:t>
        </w:r>
      </w:hyperlink>
      <w:r>
        <w:rPr>
          <w:b w:val="0"/>
          <w:i w:val="0"/>
        </w:rPr>
        <w:t xml:space="preserve">; </w:t>
      </w:r>
      <w:hyperlink w:anchor="image-and-likeness">
        <w:r>
          <w:rPr>
            <w:color w:val="000000"/>
          </w:rPr>
          <w:t xml:space="preserve">Image and likeness</w:t>
        </w:r>
      </w:hyperlink>
    </w:p>
    <w:p>
      <w:pPr>
        <w:widowControl/>
      </w:pPr>
      <w:hyperlink w:anchor="impression-and-effacement">
        <w:r>
          <w:rPr>
            <w:color w:val="000000"/>
          </w:rPr>
          <w:t xml:space="preserve">Impression and effacement</w:t>
        </w:r>
      </w:hyperlink>
      <w:r>
        <w:rPr>
          <w:b w:val="0"/>
          <w:i w:val="0"/>
        </w:rPr>
        <w:t xml:space="preserve">; </w:t>
      </w:r>
      <w:hyperlink w:anchor="cause">
        <w:r>
          <w:rPr>
            <w:color w:val="000000"/>
          </w:rPr>
          <w:t xml:space="preserve">Cause</w:t>
        </w:r>
      </w:hyperlink>
      <w:r>
        <w:rPr>
          <w:b w:val="0"/>
          <w:i w:val="0"/>
        </w:rPr>
        <w:t xml:space="preserve">; </w:t>
      </w:r>
      <w:hyperlink w:anchor="participation">
        <w:r>
          <w:rPr>
            <w:color w:val="000000"/>
          </w:rPr>
          <w:t xml:space="preserve">Participation</w:t>
        </w:r>
      </w:hyperlink>
      <w:r>
        <w:rPr>
          <w:b w:val="0"/>
          <w:i w:val="0"/>
        </w:rPr>
        <w:t>.</w:t>
      </w:r>
    </w:p>
    <w:p>
      <w:bookmarkStart w:id="231" w:name="transparency-and-opacity"/>
      <w:pPr>
        <w:pStyle w:val="Heading2"/>
      </w:pPr>
      <w:r>
        <w:rPr>
          <w:b w:val="0"/>
          <w:i w:val="0"/>
        </w:rPr>
        <w:t>Transparency and opacity</w:t>
      </w:r>
      <w:bookmarkEnd w:id="231"/>
    </w:p>
    <w:p>
      <w:pPr>
        <w:keepNext/>
        <w:widowControl/>
      </w:pPr>
      <w:r>
        <w:rPr>
          <w:b/>
          <w:i w:val="0"/>
        </w:rPr>
        <w:t>Latin:</w:t>
      </w:r>
      <w:r>
        <w:rPr>
          <w:b w:val="0"/>
          <w:i w:val="0"/>
        </w:rPr>
        <w:t xml:space="preserve"> </w:t>
      </w:r>
      <w:r>
        <w:rPr>
          <w:b w:val="0"/>
          <w:i/>
        </w:rPr>
        <w:t>clara mens</w:t>
      </w:r>
      <w:r>
        <w:rPr>
          <w:b w:val="0"/>
          <w:i w:val="0"/>
        </w:rPr>
        <w:t xml:space="preserve">, </w:t>
      </w:r>
      <w:r>
        <w:rPr>
          <w:b w:val="0"/>
          <w:i/>
        </w:rPr>
        <w:t>opaco corpori</w:t>
      </w:r>
      <w:r>
        <w:rPr>
          <w:b w:val="0"/>
          <w:i w:val="0"/>
        </w:rPr>
        <w:t xml:space="preserve">, </w:t>
      </w:r>
      <w:r>
        <w:rPr>
          <w:b w:val="0"/>
          <w:i/>
        </w:rPr>
        <w:t>animam perspicuam</w:t>
      </w:r>
      <w:r>
        <w:rPr>
          <w:b w:val="0"/>
          <w:i w:val="0"/>
        </w:rPr>
        <w:t xml:space="preserve">, </w:t>
      </w:r>
      <w:r>
        <w:rPr>
          <w:b w:val="0"/>
          <w:i/>
        </w:rPr>
        <w:t>diaphanum</w:t>
      </w:r>
      <w:r>
        <w:rPr>
          <w:b w:val="0"/>
          <w:i w:val="0"/>
        </w:rPr>
        <w:t xml:space="preserve">, </w:t>
      </w:r>
      <w:r>
        <w:rPr>
          <w:b w:val="0"/>
          <w:i/>
        </w:rPr>
        <w:t>perspicuum</w:t>
      </w:r>
      <w:r>
        <w:rPr>
          <w:b w:val="0"/>
          <w:i w:val="0"/>
        </w:rPr>
        <w:t xml:space="preserve">, </w:t>
      </w:r>
      <w:r>
        <w:rPr>
          <w:b w:val="0"/>
          <w:i/>
        </w:rPr>
        <w:t>lucis ingressum</w:t>
      </w:r>
      <w:r>
        <w:rPr>
          <w:b w:val="0"/>
          <w:i w:val="0"/>
        </w:rPr>
        <w:t>.</w:t>
      </w:r>
    </w:p>
    <w:p>
      <w:pPr>
        <w:keepNext/>
        <w:widowControl/>
      </w:pPr>
      <w:r>
        <w:rPr>
          <w:b/>
          <w:i w:val="0"/>
        </w:rPr>
        <w:t>The word.</w:t>
      </w:r>
    </w:p>
    <w:p>
      <w:pPr>
        <w:widowControl/>
      </w:pPr>
      <w:r>
        <w:rPr>
          <w:b w:val="0"/>
          <w:i/>
        </w:rPr>
        <w:t>Clarus</w:t>
      </w:r>
      <w:r>
        <w:rPr>
          <w:b w:val="0"/>
          <w:i w:val="0"/>
        </w:rPr>
        <w:t xml:space="preserve"> is bright or clear; </w:t>
      </w:r>
      <w:r>
        <w:rPr>
          <w:b w:val="0"/>
          <w:i/>
        </w:rPr>
        <w:t>opacus</w:t>
      </w:r>
      <w:r>
        <w:rPr>
          <w:b w:val="0"/>
          <w:i w:val="0"/>
        </w:rPr>
        <w:t xml:space="preserve"> dark or opaque; </w:t>
      </w:r>
      <w:r>
        <w:rPr>
          <w:b w:val="0"/>
          <w:i/>
        </w:rPr>
        <w:t>perspicuus</w:t>
      </w:r>
      <w:r>
        <w:rPr>
          <w:b w:val="0"/>
          <w:i w:val="0"/>
        </w:rPr>
        <w:t xml:space="preserve"> transparent. Ficino explicitly glosses </w:t>
      </w:r>
      <w:r>
        <w:rPr>
          <w:b w:val="0"/>
          <w:i/>
        </w:rPr>
        <w:t>diaphanum</w:t>
      </w:r>
      <w:r>
        <w:rPr>
          <w:b w:val="0"/>
          <w:i w:val="0"/>
        </w:rPr>
        <w:t xml:space="preserve"> by </w:t>
      </w:r>
      <w:r>
        <w:rPr>
          <w:b w:val="0"/>
          <w:i/>
        </w:rPr>
        <w:t>perspicuum</w:t>
      </w:r>
      <w:r>
        <w:rPr>
          <w:b w:val="0"/>
          <w:i w:val="0"/>
        </w:rPr>
        <w:t>. Transparency here differs from having light of one’s own: a medium may lack light yet not obstruct its entry.</w:t>
      </w:r>
    </w:p>
    <w:p>
      <w:pPr>
        <w:keepNext/>
        <w:widowControl/>
      </w:pPr>
      <w:r>
        <w:rPr>
          <w:b/>
          <w:i w:val="0"/>
        </w:rPr>
        <w:t>In the Platonic Theology.</w:t>
      </w:r>
    </w:p>
    <w:p>
      <w:pPr>
        <w:widowControl/>
      </w:pPr>
      <w:r>
        <w:rPr>
          <w:b w:val="0"/>
          <w:i w:val="0"/>
        </w:rPr>
        <w:t>The account of mind, soul, and body compares their conjunction to the transmission of light. A luminous body is joined to a dense one through a transparent medium; analogously, clear mind reaches opaque body through transparent soul. The middle is neither the illuminating source nor the wholly obstructive recipient. That distinction explains why mediation is required while denying that the mediator must already possess every excellence of the source in the same way.</w:t>
      </w:r>
    </w:p>
    <w:p>
      <w:pPr>
        <w:widowControl/>
      </w:pPr>
      <w:r>
        <w:rPr>
          <w:b w:val="0"/>
          <w:i w:val="0"/>
        </w:rPr>
        <w:t xml:space="preserve">The metaphor accompanies the claim that God joined mind to soul and soul to body, attributed here to Plato’s </w:t>
      </w:r>
      <w:r>
        <w:rPr>
          <w:b w:val="0"/>
          <w:i/>
        </w:rPr>
        <w:t>Timaeus</w:t>
      </w:r>
      <w:r>
        <w:rPr>
          <w:b w:val="0"/>
          <w:i w:val="0"/>
        </w:rPr>
        <w:t>. It prepares the more explicit account of shared properties: soul resembles angel through indivisibility and body through mutability. Later the transparency of parts of air and fire helps explain their alleged fitness to receive minds. That is a cosmological application, not proof that optical transparency by itself is rationality.</w:t>
      </w:r>
    </w:p>
    <w:p>
      <w:pPr>
        <w:keepNext/>
        <w:widowControl/>
      </w:pPr>
      <w:r>
        <w:rPr>
          <w:b/>
          <w:i w:val="0"/>
        </w:rPr>
        <w:t>The places.</w:t>
      </w:r>
    </w:p>
    <w:p>
      <w:pPr>
        <w:ind w:left="187" w:hanging="187"/>
      </w:pPr>
      <w:r>
        <w:t xml:space="preserve">• </w:t>
      </w:r>
      <w:r>
        <w:rPr>
          <w:b/>
          <w:i w:val="0"/>
        </w:rPr>
        <w:t>IV.1.29, PDF pp. 296–297:</w:t>
      </w:r>
      <w:r>
        <w:rPr>
          <w:b w:val="0"/>
          <w:i w:val="0"/>
        </w:rPr>
        <w:t xml:space="preserve"> transparent soul mediates between luminous mind and opaque body</w:t>
      </w:r>
    </w:p>
    <w:p>
      <w:pPr>
        <w:ind w:left="187" w:hanging="187"/>
      </w:pPr>
      <w:r>
        <w:t xml:space="preserve">• </w:t>
      </w:r>
      <w:r>
        <w:rPr>
          <w:b/>
          <w:i w:val="0"/>
        </w:rPr>
        <w:t>IV.1.32–34, pp. 298–299:</w:t>
      </w:r>
      <w:r>
        <w:rPr>
          <w:b w:val="0"/>
          <w:i w:val="0"/>
        </w:rPr>
        <w:t xml:space="preserve"> the shared and differing properties explain the mediation behind the image</w:t>
      </w:r>
    </w:p>
    <w:p>
      <w:pPr>
        <w:ind w:left="187" w:hanging="187"/>
      </w:pPr>
      <w:r>
        <w:t xml:space="preserve">• </w:t>
      </w:r>
      <w:r>
        <w:rPr>
          <w:b/>
          <w:i w:val="0"/>
        </w:rPr>
        <w:t>IV.1.92, pp. 330–331:</w:t>
      </w:r>
      <w:r>
        <w:rPr>
          <w:b w:val="0"/>
          <w:i w:val="0"/>
        </w:rPr>
        <w:t xml:space="preserve"> position and transparency are features fitting some regions of air and fire for minds</w:t>
      </w:r>
    </w:p>
    <w:p>
      <w:pPr>
        <w:keepNext/>
        <w:widowControl/>
      </w:pPr>
      <w:r>
        <w:rPr>
          <w:b/>
          <w:i w:val="0"/>
        </w:rPr>
        <w:t>In this edition.</w:t>
      </w:r>
    </w:p>
    <w:p>
      <w:pPr>
        <w:widowControl/>
      </w:pPr>
      <w:r>
        <w:t>“</w:t>
      </w:r>
      <w:r>
        <w:rPr>
          <w:b w:val="0"/>
          <w:i w:val="0"/>
        </w:rPr>
        <w:t>Translucent—that is, transparent</w:t>
      </w:r>
      <w:r>
        <w:t>”</w:t>
      </w:r>
      <w:r>
        <w:rPr>
          <w:b w:val="0"/>
          <w:i w:val="0"/>
        </w:rPr>
        <w:t xml:space="preserve"> renders the explicit gloss of </w:t>
      </w:r>
      <w:r>
        <w:rPr>
          <w:b w:val="0"/>
          <w:i/>
        </w:rPr>
        <w:t>diaphanum</w:t>
      </w:r>
      <w:r>
        <w:rPr>
          <w:b w:val="0"/>
          <w:i w:val="0"/>
        </w:rPr>
        <w:t>. The description that the medium lacks its own light but admits light is essential and should survive any paraphrase that simply calls soul luminous.</w:t>
      </w:r>
    </w:p>
    <w:p>
      <w:pPr>
        <w:keepNext/>
        <w:widowControl/>
      </w:pPr>
      <w:r>
        <w:rPr>
          <w:b/>
          <w:i w:val="0"/>
        </w:rPr>
        <w:t>See also.</w:t>
      </w:r>
    </w:p>
    <w:p>
      <w:pPr>
        <w:widowControl/>
      </w:pPr>
      <w:hyperlink w:anchor="light-and-illumination">
        <w:r>
          <w:rPr>
            <w:color w:val="000000"/>
          </w:rPr>
          <w:t xml:space="preserve">Light and illumination</w:t>
        </w:r>
      </w:hyperlink>
      <w:r>
        <w:rPr>
          <w:b w:val="0"/>
          <w:i w:val="0"/>
        </w:rPr>
        <w:t xml:space="preserve">; </w:t>
      </w:r>
      <w:hyperlink w:anchor="degree-and-mediation">
        <w:r>
          <w:rPr>
            <w:color w:val="000000"/>
          </w:rPr>
          <w:t xml:space="preserve">Degree and mediation</w:t>
        </w:r>
      </w:hyperlink>
      <w:r>
        <w:rPr>
          <w:b w:val="0"/>
          <w:i w:val="0"/>
        </w:rPr>
        <w:t xml:space="preserve">; </w:t>
      </w:r>
      <w:hyperlink w:anchor="proximity-and-causal-presence">
        <w:r>
          <w:rPr>
            <w:color w:val="000000"/>
          </w:rPr>
          <w:t xml:space="preserve">Proximity and causal presence</w:t>
        </w:r>
      </w:hyperlink>
      <w:r>
        <w:rPr>
          <w:b w:val="0"/>
          <w:i w:val="0"/>
        </w:rPr>
        <w:t>.</w:t>
      </w:r>
    </w:p>
    <w:p>
      <w:bookmarkStart w:id="232" w:name="truth"/>
      <w:pPr>
        <w:pStyle w:val="Heading2"/>
      </w:pPr>
      <w:r>
        <w:rPr>
          <w:b w:val="0"/>
          <w:i w:val="0"/>
        </w:rPr>
        <w:t>Truth</w:t>
      </w:r>
      <w:bookmarkEnd w:id="232"/>
    </w:p>
    <w:p>
      <w:pPr>
        <w:keepNext/>
        <w:widowControl/>
      </w:pPr>
      <w:r>
        <w:rPr>
          <w:b/>
          <w:i w:val="0"/>
        </w:rPr>
        <w:t>Latin:</w:t>
      </w:r>
      <w:r>
        <w:rPr>
          <w:b w:val="0"/>
          <w:i w:val="0"/>
        </w:rPr>
        <w:t xml:space="preserve"> </w:t>
      </w:r>
      <w:r>
        <w:rPr>
          <w:b w:val="0"/>
          <w:i/>
        </w:rPr>
        <w:t>veritas</w:t>
      </w:r>
      <w:r>
        <w:rPr>
          <w:b w:val="0"/>
          <w:i w:val="0"/>
        </w:rPr>
        <w:t xml:space="preserve">, </w:t>
      </w:r>
      <w:r>
        <w:rPr>
          <w:b w:val="0"/>
          <w:i/>
        </w:rPr>
        <w:t>verum</w:t>
      </w:r>
      <w:r>
        <w:rPr>
          <w:b w:val="0"/>
          <w:i w:val="0"/>
        </w:rPr>
        <w:t xml:space="preserve">, </w:t>
      </w:r>
      <w:r>
        <w:rPr>
          <w:b w:val="0"/>
          <w:i/>
        </w:rPr>
        <w:t>verus</w:t>
      </w:r>
      <w:r>
        <w:rPr>
          <w:b w:val="0"/>
          <w:i w:val="0"/>
        </w:rPr>
        <w:t xml:space="preserve">, </w:t>
      </w:r>
      <w:r>
        <w:rPr>
          <w:b w:val="0"/>
          <w:i/>
        </w:rPr>
        <w:t>vere</w:t>
      </w:r>
      <w:r>
        <w:rPr>
          <w:b w:val="0"/>
          <w:i w:val="0"/>
        </w:rPr>
        <w:t xml:space="preserve">, </w:t>
      </w:r>
      <w:r>
        <w:rPr>
          <w:b w:val="0"/>
          <w:i/>
        </w:rPr>
        <w:t>revera</w:t>
      </w:r>
      <w:r>
        <w:rPr>
          <w:b w:val="0"/>
          <w:i w:val="0"/>
        </w:rPr>
        <w:t xml:space="preserve">, </w:t>
      </w:r>
      <w:r>
        <w:rPr>
          <w:b w:val="0"/>
          <w:i/>
        </w:rPr>
        <w:t>summa veritas</w:t>
      </w:r>
      <w:r>
        <w:rPr>
          <w:b w:val="0"/>
          <w:i w:val="0"/>
        </w:rPr>
        <w:t xml:space="preserve">; </w:t>
      </w:r>
      <w:r>
        <w:rPr>
          <w:b w:val="0"/>
          <w:i/>
        </w:rPr>
        <w:t>falsum</w:t>
      </w:r>
      <w:r>
        <w:rPr>
          <w:b w:val="0"/>
          <w:i w:val="0"/>
        </w:rPr>
        <w:t xml:space="preserve">, </w:t>
      </w:r>
      <w:r>
        <w:rPr>
          <w:b w:val="0"/>
          <w:i/>
        </w:rPr>
        <w:t>falsus</w:t>
      </w:r>
      <w:r>
        <w:rPr>
          <w:b w:val="0"/>
          <w:i w:val="0"/>
        </w:rPr>
        <w:t xml:space="preserve">; </w:t>
      </w:r>
      <w:r>
        <w:rPr>
          <w:b w:val="0"/>
          <w:i/>
        </w:rPr>
        <w:t>falsum</w:t>
      </w:r>
      <w:r>
        <w:rPr>
          <w:b w:val="0"/>
          <w:i w:val="0"/>
        </w:rPr>
        <w:t xml:space="preserve">; </w:t>
      </w:r>
      <w:r>
        <w:rPr>
          <w:b w:val="0"/>
          <w:i/>
        </w:rPr>
        <w:t>fallit</w:t>
      </w:r>
      <w:r>
        <w:rPr>
          <w:b w:val="0"/>
          <w:i w:val="0"/>
        </w:rPr>
        <w:t xml:space="preserve">; </w:t>
      </w:r>
      <w:r>
        <w:rPr>
          <w:b w:val="0"/>
          <w:i/>
        </w:rPr>
        <w:t>falluntur</w:t>
      </w:r>
      <w:r>
        <w:rPr>
          <w:b w:val="0"/>
          <w:i w:val="0"/>
        </w:rPr>
        <w:t xml:space="preserve">; </w:t>
      </w:r>
      <w:r>
        <w:rPr>
          <w:b w:val="0"/>
          <w:i/>
        </w:rPr>
        <w:t>veridica</w:t>
      </w:r>
      <w:r>
        <w:rPr>
          <w:b w:val="0"/>
          <w:i w:val="0"/>
        </w:rPr>
        <w:t xml:space="preserve">; </w:t>
      </w:r>
      <w:r>
        <w:rPr>
          <w:b w:val="0"/>
          <w:i/>
        </w:rPr>
        <w:t>imaginem veritatis</w:t>
      </w:r>
      <w:r>
        <w:rPr>
          <w:b w:val="0"/>
          <w:i w:val="0"/>
        </w:rPr>
        <w:t xml:space="preserve">; </w:t>
      </w:r>
      <w:r>
        <w:rPr>
          <w:b w:val="0"/>
          <w:i/>
        </w:rPr>
        <w:t>se ipsam minime latens</w:t>
      </w:r>
      <w:r>
        <w:rPr>
          <w:b w:val="0"/>
          <w:i w:val="0"/>
        </w:rPr>
        <w:t>.</w:t>
      </w:r>
    </w:p>
    <w:p>
      <w:pPr>
        <w:keepNext/>
        <w:widowControl/>
      </w:pPr>
      <w:r>
        <w:rPr>
          <w:b/>
          <w:i w:val="0"/>
        </w:rPr>
        <w:t>The word.</w:t>
      </w:r>
    </w:p>
    <w:p>
      <w:pPr>
        <w:widowControl/>
      </w:pPr>
      <w:r>
        <w:rPr>
          <w:b w:val="0"/>
          <w:i w:val="0"/>
        </w:rPr>
        <w:t>Veritas names truth; verum and verus can concern a true assertion or a genuine thing; vere and revera mark actuality or genuineness. Falsehood and deception are argued to depend on some truth or likeness of it.</w:t>
      </w:r>
    </w:p>
    <w:p>
      <w:pPr>
        <w:widowControl/>
      </w:pPr>
      <w:r>
        <w:rPr>
          <w:b w:val="0"/>
          <w:i/>
        </w:rPr>
        <w:t>Falsum</w:t>
      </w:r>
      <w:r>
        <w:rPr>
          <w:b w:val="0"/>
          <w:i w:val="0"/>
        </w:rPr>
        <w:t xml:space="preserve"> is what is false; </w:t>
      </w:r>
      <w:r>
        <w:rPr>
          <w:b w:val="0"/>
          <w:i/>
        </w:rPr>
        <w:t>fallere</w:t>
      </w:r>
      <w:r>
        <w:rPr>
          <w:b w:val="0"/>
          <w:i w:val="0"/>
        </w:rPr>
        <w:t xml:space="preserve"> deceives or misleads; </w:t>
      </w:r>
      <w:r>
        <w:rPr>
          <w:b w:val="0"/>
          <w:i/>
        </w:rPr>
        <w:t>veridicus</w:t>
      </w:r>
      <w:r>
        <w:rPr>
          <w:b w:val="0"/>
          <w:i w:val="0"/>
        </w:rPr>
        <w:t xml:space="preserve"> speaks or carries truth, rendered </w:t>
      </w:r>
      <w:r>
        <w:t>“</w:t>
      </w:r>
      <w:r>
        <w:rPr>
          <w:b w:val="0"/>
          <w:i w:val="0"/>
        </w:rPr>
        <w:t>infallible</w:t>
      </w:r>
      <w:r>
        <w:t>”</w:t>
      </w:r>
      <w:r>
        <w:rPr>
          <w:b w:val="0"/>
          <w:i w:val="0"/>
        </w:rPr>
        <w:t xml:space="preserve"> of minds in I.6.10. A </w:t>
      </w:r>
      <w:r>
        <w:t>“</w:t>
      </w:r>
      <w:r>
        <w:rPr>
          <w:b w:val="0"/>
          <w:i w:val="0"/>
        </w:rPr>
        <w:t>truer form</w:t>
      </w:r>
      <w:r>
        <w:t>”</w:t>
      </w:r>
      <w:r>
        <w:rPr>
          <w:b w:val="0"/>
          <w:i w:val="0"/>
        </w:rPr>
        <w:t xml:space="preserve"> concerns ontological adequacy, whereas a true assertion that something is false concerns judgement. The argument moves between these uses and must make the transition visible.</w:t>
      </w:r>
    </w:p>
    <w:p>
      <w:pPr>
        <w:keepNext/>
        <w:widowControl/>
      </w:pPr>
      <w:r>
        <w:rPr>
          <w:b/>
          <w:i w:val="0"/>
        </w:rPr>
        <w:t>In the Platonic Theology.</w:t>
      </w:r>
    </w:p>
    <w:p>
      <w:pPr>
        <w:widowControl/>
      </w:pPr>
      <w:r>
        <w:rPr>
          <w:b w:val="0"/>
          <w:i w:val="0"/>
        </w:rPr>
        <w:t>Truth is both a standard of cognition and the genuineness or fullness of a thing’s being. Ficino argues that judging a material form deficient presupposes a truer form against which it is measured. Falsehood also depends upon truth: calling something false can itself be a true judgment, and deception succeeds through an image of truth. The starting point is the human mind’s fallibility, not its identification with an infallible standard.</w:t>
      </w:r>
    </w:p>
    <w:p>
      <w:pPr>
        <w:widowControl/>
      </w:pPr>
      <w:r>
        <w:rPr>
          <w:b w:val="0"/>
          <w:i w:val="0"/>
        </w:rPr>
        <w:t>The eye-and-light analogy in Book I places truth above the mind receiving it. Mind needs truth, whereas truth does not need a receptive mind in order to be true. Things lacking intelligence can nevertheless be genuine or true things. What exceeds mind is not consequently mindless: because the higher does not lack the goods of the lower, supreme truth possesses intellectual insight without being composed of insight and truth as separate constituents. Ficino describes its complete self-transparency, while qualifying the propriety of intellectual names applied to God.</w:t>
      </w:r>
    </w:p>
    <w:p>
      <w:pPr>
        <w:widowControl/>
      </w:pPr>
      <w:r>
        <w:rPr>
          <w:b w:val="0"/>
          <w:i w:val="0"/>
        </w:rPr>
        <w:t xml:space="preserve">Book II develops the relation through pure wine: </w:t>
      </w:r>
      <w:r>
        <w:rPr>
          <w:b w:val="0"/>
          <w:i/>
        </w:rPr>
        <w:t>verum vinum</w:t>
      </w:r>
      <w:r>
        <w:rPr>
          <w:b w:val="0"/>
          <w:i w:val="0"/>
        </w:rPr>
        <w:t xml:space="preserve"> concerns a thing’s being genuinely what it is. Supreme unity, truth, and goodness are one source viewed through connected explanatory roles. Truth itself cannot receive its defining perfection from a higher cause without becoming a dependent true thing rather than truth itself. A supposedly superior principle could not even be truly superior without truth. In II.3.10 truth gives being by production and reforms returning things; within Ficino’s theological alignment it is called the reason of the principle. These claims concern the relation between reality, intelligibility, and judgment, not an identification of creatures with sentences.</w:t>
      </w:r>
    </w:p>
    <w:p>
      <w:pPr>
        <w:widowControl/>
      </w:pPr>
      <w:r>
        <w:rPr>
          <w:b w:val="0"/>
          <w:i w:val="0"/>
        </w:rPr>
        <w:t>Truth also supports an argument for eternity. If truth began, it would already have been true beforehand that it would begin; if it ceased, it would remain true afterward that it had ceased. Ficino takes this dependence on truth to show that truth cannot be conceived as beginning or ending. Here a claim’s truth across time differs in immediate sense from the authenticity of pure wine, but Ficino deliberately brings both under supreme truth. II.7.3 similarly asks how something could exist unless it really were what it is said to be and its existence were true. The argument unifies the source of genuine being and true judgment without erasing the difference between a thing and a statement about it.</w:t>
      </w:r>
    </w:p>
    <w:p>
      <w:pPr>
        <w:widowControl/>
      </w:pPr>
      <w:r>
        <w:rPr>
          <w:b w:val="0"/>
          <w:i w:val="0"/>
        </w:rPr>
        <w:t>I.3.2 says the judgement that bodily form is deficient presupposes some truer form, whether found within mind or outside it. It then claims truth’s priority to falsehood: even falsity’s existence or efficacy must truly be so, and deception works through a likeness of truth. This does not mean every deceptive image is a reliable representation. In I.6, human error distinguishes mind from truth, while mindless matter can still truly be matter. Finally, the truth above mind does not lack self-awareness: Ficino describes divine truth as not hidden from itself. The result is not a superior unconscious object but a proposed simple identity of truth and self-seeing.</w:t>
      </w:r>
    </w:p>
    <w:p>
      <w:pPr>
        <w:keepNext/>
        <w:widowControl/>
      </w:pPr>
      <w:r>
        <w:rPr>
          <w:b/>
          <w:i w:val="0"/>
        </w:rPr>
        <w:t>The places.</w:t>
      </w:r>
    </w:p>
    <w:p>
      <w:pPr>
        <w:ind w:left="187" w:hanging="187"/>
      </w:pPr>
      <w:r>
        <w:t xml:space="preserve">• </w:t>
      </w:r>
      <w:r>
        <w:rPr>
          <w:b/>
          <w:i w:val="0"/>
        </w:rPr>
        <w:t>I.6.7–13, PDF pp. 86–91</w:t>
      </w:r>
      <w:r>
        <w:rPr>
          <w:b w:val="0"/>
          <w:i w:val="0"/>
        </w:rPr>
        <w:t>. Truth’s relation to mind is developed through the light/eye analogy and the distinction between dependence and higher intellectual perfection.</w:t>
      </w:r>
    </w:p>
    <w:p>
      <w:pPr>
        <w:ind w:left="187" w:hanging="187"/>
      </w:pPr>
      <w:r>
        <w:t xml:space="preserve">• </w:t>
      </w:r>
      <w:r>
        <w:rPr>
          <w:b/>
          <w:i w:val="0"/>
        </w:rPr>
        <w:t>II.1.1–3, PDF pp. 98–101</w:t>
      </w:r>
      <w:r>
        <w:rPr>
          <w:b w:val="0"/>
          <w:i w:val="0"/>
        </w:rPr>
        <w:t>. Pure wine illustrates genuineness and the unity of first truth, goodness, and simplicity.</w:t>
      </w:r>
    </w:p>
    <w:p>
      <w:pPr>
        <w:ind w:left="187" w:hanging="187"/>
      </w:pPr>
      <w:r>
        <w:t xml:space="preserve">• </w:t>
      </w:r>
      <w:r>
        <w:rPr>
          <w:b/>
          <w:i w:val="0"/>
        </w:rPr>
        <w:t>II.3.10, PDF pp. 120–121</w:t>
      </w:r>
      <w:r>
        <w:rPr>
          <w:b w:val="0"/>
          <w:i w:val="0"/>
        </w:rPr>
        <w:t>. Truth gives being and reforms returning things within the principle-reason-love interpretation.</w:t>
      </w:r>
    </w:p>
    <w:p>
      <w:pPr>
        <w:ind w:left="187" w:hanging="187"/>
      </w:pPr>
      <w:r>
        <w:t xml:space="preserve">• </w:t>
      </w:r>
      <w:r>
        <w:rPr>
          <w:b/>
          <w:i w:val="0"/>
        </w:rPr>
        <w:t>II.5.1 and II.7.3, PDF pp. 126–127 and 144–145</w:t>
      </w:r>
      <w:r>
        <w:rPr>
          <w:b w:val="0"/>
          <w:i w:val="0"/>
        </w:rPr>
        <w:t>. Truth before an imagined beginning or after an imagined end supports eternity; genuine being supports the related ontological claim.</w:t>
      </w:r>
    </w:p>
    <w:p>
      <w:pPr>
        <w:widowControl/>
      </w:pPr>
      <w:r>
        <w:rPr>
          <w:b/>
          <w:i w:val="0"/>
        </w:rPr>
        <w:t>Further passage references.</w:t>
      </w:r>
      <w:r>
        <w:rPr>
          <w:b w:val="0"/>
          <w:i w:val="0"/>
        </w:rPr>
        <w:t xml:space="preserve"> Proem.6–Proem.10 (PDF pp. 8–11); I.3.2, I.3.33 (pp. 28–29, 52–53); I.6.7–I.6.13 (pp. 86–91); II.1.1–3, pp. 98–101; II.2.10, pp. 110–111; II.3.10, pp. 120–121; II.5.1, pp. 126–127; II.7.3, pp. 144–145</w:t>
      </w:r>
    </w:p>
    <w:p>
      <w:pPr>
        <w:ind w:left="187" w:hanging="187"/>
      </w:pPr>
      <w:r>
        <w:t xml:space="preserve">• </w:t>
      </w:r>
      <w:r>
        <w:rPr>
          <w:b/>
          <w:i w:val="0"/>
        </w:rPr>
        <w:t>I.3.2, PDF 28–29.</w:t>
      </w:r>
      <w:r>
        <w:rPr>
          <w:b w:val="0"/>
          <w:i w:val="0"/>
        </w:rPr>
        <w:t xml:space="preserve"> Deficient form, judgement of falsity and deception’s likeness to truth</w:t>
      </w:r>
    </w:p>
    <w:p>
      <w:pPr>
        <w:ind w:left="187" w:hanging="187"/>
      </w:pPr>
      <w:r>
        <w:t xml:space="preserve">• </w:t>
      </w:r>
      <w:r>
        <w:rPr>
          <w:b/>
          <w:i w:val="0"/>
        </w:rPr>
        <w:t>I.6.7–12, PDF 86–89.</w:t>
      </w:r>
      <w:r>
        <w:rPr>
          <w:b w:val="0"/>
          <w:i w:val="0"/>
        </w:rPr>
        <w:t xml:space="preserve"> Truth is distinguished from fallible mind and then described as self-manifest</w:t>
      </w:r>
    </w:p>
    <w:p>
      <w:pPr>
        <w:keepNext/>
        <w:widowControl/>
      </w:pPr>
      <w:r>
        <w:rPr>
          <w:b/>
          <w:i w:val="0"/>
        </w:rPr>
        <w:t>In this edition.</w:t>
      </w:r>
    </w:p>
    <w:p>
      <w:pPr>
        <w:widowControl/>
      </w:pPr>
      <w:r>
        <w:t>“</w:t>
      </w:r>
      <w:r>
        <w:rPr>
          <w:b w:val="0"/>
          <w:i w:val="0"/>
        </w:rPr>
        <w:t>True wine</w:t>
      </w:r>
      <w:r>
        <w:t>”</w:t>
      </w:r>
      <w:r>
        <w:rPr>
          <w:b w:val="0"/>
          <w:i w:val="0"/>
        </w:rPr>
        <w:t xml:space="preserve"> at II.1.1 means genuine or pure wine, not a proposition spoken by wine. Conversely, the eternity argument concerns what would be true before a beginning or after an end; those senses are related by the argument without being verbally identical.</w:t>
      </w:r>
    </w:p>
    <w:p>
      <w:pPr>
        <w:widowControl/>
      </w:pPr>
      <w:r>
        <w:t>“</w:t>
      </w:r>
      <w:r>
        <w:rPr>
          <w:b w:val="0"/>
          <w:i w:val="0"/>
        </w:rPr>
        <w:t>True</w:t>
      </w:r>
      <w:r>
        <w:t>”</w:t>
      </w:r>
      <w:r>
        <w:rPr>
          <w:b w:val="0"/>
          <w:i w:val="0"/>
        </w:rPr>
        <w:t xml:space="preserve"> applied to matter in I.6.10–11 is not the claim that matter makes propositions. </w:t>
      </w:r>
      <w:r>
        <w:t>“</w:t>
      </w:r>
      <w:r>
        <w:rPr>
          <w:b w:val="0"/>
          <w:i w:val="0"/>
        </w:rPr>
        <w:t>Not hidden from itself</w:t>
      </w:r>
      <w:r>
        <w:t>”</w:t>
      </w:r>
      <w:r>
        <w:rPr>
          <w:b w:val="0"/>
          <w:i w:val="0"/>
        </w:rPr>
        <w:t xml:space="preserve"> preserves the reflexive idiom more exactly than silently adding a separate faculty of awareness to God.</w:t>
      </w:r>
    </w:p>
    <w:p>
      <w:pPr>
        <w:keepNext/>
        <w:widowControl/>
      </w:pPr>
      <w:r>
        <w:rPr>
          <w:b/>
          <w:i w:val="0"/>
        </w:rPr>
        <w:t>See also.</w:t>
      </w:r>
    </w:p>
    <w:p>
      <w:pPr>
        <w:widowControl/>
      </w:pP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god">
        <w:r>
          <w:rPr>
            <w:color w:val="000000"/>
          </w:rPr>
          <w:t xml:space="preserve">God</w:t>
        </w:r>
      </w:hyperlink>
      <w:r>
        <w:rPr>
          <w:b w:val="0"/>
          <w:i w:val="0"/>
        </w:rPr>
        <w:t xml:space="preserve">; </w:t>
      </w:r>
      <w:hyperlink w:anchor="form">
        <w:r>
          <w:rPr>
            <w:color w:val="000000"/>
          </w:rPr>
          <w:t xml:space="preserve">Form</w:t>
        </w:r>
      </w:hyperlink>
      <w:r>
        <w:rPr>
          <w:b w:val="0"/>
          <w:i w:val="0"/>
        </w:rPr>
        <w:t xml:space="preserve">; </w:t>
      </w:r>
      <w:hyperlink w:anchor="image-and-likeness">
        <w:r>
          <w:rPr>
            <w:color w:val="000000"/>
          </w:rPr>
          <w:t xml:space="preserve">Image and likeness</w:t>
        </w:r>
      </w:hyperlink>
      <w:r>
        <w:rPr>
          <w:b w:val="0"/>
          <w:i w:val="0"/>
        </w:rPr>
        <w:t xml:space="preserve">; </w:t>
      </w:r>
      <w:hyperlink w:anchor="unity-and-multiplicity">
        <w:r>
          <w:rPr>
            <w:color w:val="000000"/>
          </w:rPr>
          <w:t xml:space="preserve">Unity and multiplicity</w:t>
        </w:r>
      </w:hyperlink>
      <w:r>
        <w:rPr>
          <w:b w:val="0"/>
          <w:i w:val="0"/>
        </w:rPr>
        <w:t xml:space="preserve">; </w:t>
      </w:r>
      <w:hyperlink w:anchor="good-and-goodness">
        <w:r>
          <w:rPr>
            <w:color w:val="000000"/>
          </w:rPr>
          <w:t xml:space="preserve">Good and goodness</w:t>
        </w:r>
      </w:hyperlink>
      <w:r>
        <w:rPr>
          <w:b w:val="0"/>
          <w:i w:val="0"/>
        </w:rPr>
        <w:t xml:space="preserve">; </w:t>
      </w:r>
      <w:hyperlink w:anchor="being">
        <w:r>
          <w:rPr>
            <w:color w:val="000000"/>
          </w:rPr>
          <w:t xml:space="preserve">Being</w:t>
        </w:r>
      </w:hyperlink>
      <w:r>
        <w:rPr>
          <w:b w:val="0"/>
          <w:i w:val="0"/>
        </w:rPr>
        <w:t xml:space="preserve">; </w:t>
      </w:r>
      <w:hyperlink w:anchor="purity-and-mixture">
        <w:r>
          <w:rPr>
            <w:color w:val="000000"/>
          </w:rPr>
          <w:t xml:space="preserve">Purity and mixture</w:t>
        </w:r>
      </w:hyperlink>
      <w:r>
        <w:rPr>
          <w:b w:val="0"/>
          <w:i w:val="0"/>
        </w:rPr>
        <w:t xml:space="preserve">; </w:t>
      </w:r>
      <w:hyperlink w:anchor="eternity-and-time">
        <w:r>
          <w:rPr>
            <w:color w:val="000000"/>
          </w:rPr>
          <w:t xml:space="preserve">Eternity and time</w:t>
        </w:r>
      </w:hyperlink>
    </w:p>
    <w:p>
      <w:pPr>
        <w:widowControl/>
      </w:pPr>
      <w:hyperlink w:anchor="eye-and-imagined-enlargement">
        <w:r>
          <w:rPr>
            <w:color w:val="000000"/>
          </w:rPr>
          <w:t xml:space="preserve">Eye and imagined enlargement</w:t>
        </w:r>
      </w:hyperlink>
      <w:r>
        <w:rPr>
          <w:b w:val="0"/>
          <w:i w:val="0"/>
        </w:rPr>
        <w:t xml:space="preserve">; </w:t>
      </w:r>
      <w:hyperlink w:anchor="image-and-likeness">
        <w:r>
          <w:rPr>
            <w:color w:val="000000"/>
          </w:rPr>
          <w:t xml:space="preserve">Image and likeness</w:t>
        </w:r>
      </w:hyperlink>
      <w:r>
        <w:rPr>
          <w:b w:val="0"/>
          <w:i w:val="0"/>
        </w:rPr>
        <w:t xml:space="preserve">; </w:t>
      </w:r>
      <w:hyperlink w:anchor="intellect-and-intellection">
        <w:r>
          <w:rPr>
            <w:color w:val="000000"/>
          </w:rPr>
          <w:t xml:space="preserve">Intellect and intellection</w:t>
        </w:r>
      </w:hyperlink>
      <w:r>
        <w:rPr>
          <w:b w:val="0"/>
          <w:i w:val="0"/>
        </w:rPr>
        <w:t>.</w:t>
      </w:r>
    </w:p>
    <w:p>
      <w:bookmarkStart w:id="233" w:name="turning-and-direction"/>
      <w:pPr>
        <w:pStyle w:val="Heading2"/>
      </w:pPr>
      <w:r>
        <w:rPr>
          <w:b w:val="0"/>
          <w:i w:val="0"/>
        </w:rPr>
        <w:t>Turning and direction</w:t>
      </w:r>
      <w:bookmarkEnd w:id="233"/>
    </w:p>
    <w:p>
      <w:pPr>
        <w:keepNext/>
        <w:widowControl/>
      </w:pPr>
      <w:r>
        <w:rPr>
          <w:b/>
          <w:i w:val="0"/>
        </w:rPr>
        <w:t>Latin:</w:t>
      </w:r>
      <w:r>
        <w:rPr>
          <w:b w:val="0"/>
          <w:i w:val="0"/>
        </w:rPr>
        <w:t xml:space="preserve"> </w:t>
      </w:r>
      <w:r>
        <w:rPr>
          <w:b w:val="0"/>
          <w:i/>
        </w:rPr>
        <w:t>vertere; versare; converti; dirigere; ducere; respicere; referre</w:t>
      </w:r>
    </w:p>
    <w:p>
      <w:pPr>
        <w:keepNext/>
        <w:widowControl/>
      </w:pPr>
      <w:r>
        <w:rPr>
          <w:b/>
          <w:i w:val="0"/>
        </w:rPr>
        <w:t>The word.</w:t>
      </w:r>
    </w:p>
    <w:p>
      <w:pPr>
        <w:widowControl/>
      </w:pPr>
      <w:r>
        <w:rPr>
          <w:b w:val="0"/>
          <w:i w:val="0"/>
        </w:rPr>
        <w:t>Vertere and versare concern turning; dirigere directing; ducere leading. Respicere can mean looking toward or regarding an object or respect; referre can refer something to a cause or end. These need not denote travel through space.</w:t>
      </w:r>
    </w:p>
    <w:p>
      <w:pPr>
        <w:keepNext/>
        <w:widowControl/>
      </w:pPr>
      <w:r>
        <w:rPr>
          <w:b/>
          <w:i w:val="0"/>
        </w:rPr>
        <w:t>In the Platonic Theology.</w:t>
      </w:r>
    </w:p>
    <w:p>
      <w:pPr>
        <w:widowControl/>
      </w:pPr>
      <w:r>
        <w:rPr>
          <w:b w:val="0"/>
          <w:i w:val="0"/>
        </w:rPr>
        <w:t>The compact contrast between God’s versatur secum and versat externa joins self-contemplation with the ordering of external things. The grammatical change from a verb of being occupied with oneself to active turning matters. Later, mind turns toward possibilities and agents turn toward action. Divine guidance leads things toward ends while preserving their particular modes of motion. Soul’s return into itself unfolds and refolds powers rather than moving a little object through a bodily orbit. The same family can therefore express a celestial rotation, an intellectual orientation, a causal reference, or a psychic return. One must identify the subject and the object before importing the physical sense into the metaphysical claim.</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II.11.15 (Latin PDF p. 188; English PDF p. 189).</w:t>
      </w:r>
      <w:r>
        <w:rPr>
          <w:b w:val="0"/>
          <w:i w:val="0"/>
        </w:rPr>
        <w:t xml:space="preserve"> Versatur secum contrasts with versat externa.</w:t>
      </w:r>
    </w:p>
    <w:p>
      <w:pPr>
        <w:ind w:left="187" w:hanging="187"/>
      </w:pPr>
      <w:r>
        <w:t xml:space="preserve">• </w:t>
      </w:r>
      <w:r>
        <w:rPr>
          <w:b/>
          <w:i w:val="0"/>
        </w:rPr>
        <w:t>II.12.18 (Latin PDF p. 212; English PDF p. 213).</w:t>
      </w:r>
      <w:r>
        <w:rPr>
          <w:b w:val="0"/>
          <w:i w:val="0"/>
        </w:rPr>
        <w:t xml:space="preserve"> The first agent turns toward its own act; divine choice concerns acting or not acting.</w:t>
      </w:r>
    </w:p>
    <w:p>
      <w:pPr>
        <w:ind w:left="187" w:hanging="187"/>
      </w:pPr>
      <w:r>
        <w:t xml:space="preserve">• </w:t>
      </w:r>
      <w:r>
        <w:rPr>
          <w:b/>
          <w:i w:val="0"/>
        </w:rPr>
        <w:t>II.13.26 (Latin PDF p. 234; English PDF p. 235).</w:t>
      </w:r>
      <w:r>
        <w:rPr>
          <w:b w:val="0"/>
          <w:i w:val="0"/>
        </w:rPr>
        <w:t xml:space="preserve"> Leading preserves the different motions proper to different natures.</w:t>
      </w:r>
    </w:p>
    <w:p>
      <w:pPr>
        <w:ind w:left="187" w:hanging="187"/>
      </w:pPr>
      <w:r>
        <w:t xml:space="preserve">• </w:t>
      </w:r>
      <w:r>
        <w:rPr>
          <w:b/>
          <w:i w:val="0"/>
        </w:rPr>
        <w:t>III.2.27 (Latin PDF p. 276; English PDF p. 277).</w:t>
      </w:r>
      <w:r>
        <w:rPr>
          <w:b w:val="0"/>
          <w:i w:val="0"/>
        </w:rPr>
        <w:t xml:space="preserve"> Soul revolves into itself while unfolding its powers.</w:t>
      </w:r>
    </w:p>
    <w:p>
      <w:pPr>
        <w:keepNext/>
        <w:widowControl/>
      </w:pPr>
      <w:r>
        <w:rPr>
          <w:b/>
          <w:i w:val="0"/>
        </w:rPr>
        <w:t>In this edition.</w:t>
      </w:r>
    </w:p>
    <w:p>
      <w:pPr>
        <w:widowControl/>
      </w:pPr>
      <w:r>
        <w:rPr>
          <w:b w:val="0"/>
          <w:i w:val="0"/>
        </w:rPr>
        <w:t xml:space="preserve">The translation appropriately uses </w:t>
      </w:r>
      <w:r>
        <w:t>“</w:t>
      </w:r>
      <w:r>
        <w:rPr>
          <w:b w:val="0"/>
          <w:i w:val="0"/>
        </w:rPr>
        <w:t>regards</w:t>
      </w:r>
      <w:r>
        <w:t>”</w:t>
      </w:r>
      <w:r>
        <w:rPr>
          <w:b w:val="0"/>
          <w:i w:val="0"/>
        </w:rPr>
        <w:t xml:space="preserve"> for some occurrences of respicit, especially the differing respects of one divine act at II.12.13. Replacing each occurrence with </w:t>
      </w:r>
      <w:r>
        <w:t>“</w:t>
      </w:r>
      <w:r>
        <w:rPr>
          <w:b w:val="0"/>
          <w:i w:val="0"/>
        </w:rPr>
        <w:t>sees</w:t>
      </w:r>
      <w:r>
        <w:t>”</w:t>
      </w:r>
      <w:r>
        <w:rPr>
          <w:b w:val="0"/>
          <w:i w:val="0"/>
        </w:rPr>
        <w:t xml:space="preserve"> would conceal the distinction of reference; replacing every turning verb with bodily rotation would conceal intellectual activity.</w:t>
      </w:r>
    </w:p>
    <w:p>
      <w:pPr>
        <w:keepNext/>
        <w:widowControl/>
      </w:pPr>
      <w:r>
        <w:rPr>
          <w:b/>
          <w:i w:val="0"/>
        </w:rPr>
        <w:t>See also.</w:t>
      </w:r>
    </w:p>
    <w:p>
      <w:pPr>
        <w:widowControl/>
      </w:pPr>
      <w:hyperlink w:anchor="circularity-and-return">
        <w:r>
          <w:rPr>
            <w:color w:val="000000"/>
          </w:rPr>
          <w:t xml:space="preserve">Circularity and return</w:t>
        </w:r>
      </w:hyperlink>
      <w:r>
        <w:rPr>
          <w:b w:val="0"/>
          <w:i w:val="0"/>
        </w:rPr>
        <w:t xml:space="preserve">; </w:t>
      </w:r>
      <w:hyperlink w:anchor="procession-and-return">
        <w:r>
          <w:rPr>
            <w:color w:val="000000"/>
          </w:rPr>
          <w:t xml:space="preserve">Procession and return</w:t>
        </w:r>
      </w:hyperlink>
      <w:r>
        <w:rPr>
          <w:b w:val="0"/>
          <w:i w:val="0"/>
        </w:rPr>
        <w:t xml:space="preserve">; </w:t>
      </w:r>
      <w:hyperlink w:anchor="intention">
        <w:r>
          <w:rPr>
            <w:color w:val="000000"/>
          </w:rPr>
          <w:t xml:space="preserve">Intention</w:t>
        </w:r>
      </w:hyperlink>
      <w:r>
        <w:rPr>
          <w:b w:val="0"/>
          <w:i w:val="0"/>
        </w:rPr>
        <w:t xml:space="preserve">; </w:t>
      </w:r>
      <w:hyperlink w:anchor="persuasion-and-compulsion">
        <w:r>
          <w:rPr>
            <w:color w:val="000000"/>
          </w:rPr>
          <w:t xml:space="preserve">Persuasion and compulsion</w:t>
        </w:r>
      </w:hyperlink>
      <w:r>
        <w:rPr>
          <w:b w:val="0"/>
          <w:i w:val="0"/>
        </w:rPr>
        <w:t>.</w:t>
      </w:r>
    </w:p>
    <w:p>
      <w:bookmarkStart w:id="234" w:name="twelve"/>
      <w:pPr>
        <w:pStyle w:val="Heading2"/>
      </w:pPr>
      <w:r>
        <w:rPr>
          <w:b w:val="0"/>
          <w:i w:val="0"/>
        </w:rPr>
        <w:t>Twelve</w:t>
      </w:r>
      <w:bookmarkEnd w:id="234"/>
    </w:p>
    <w:p>
      <w:pPr>
        <w:keepNext/>
        <w:widowControl/>
      </w:pPr>
      <w:r>
        <w:rPr>
          <w:b/>
          <w:i w:val="0"/>
        </w:rPr>
        <w:t>Latin:</w:t>
      </w:r>
      <w:r>
        <w:rPr>
          <w:b w:val="0"/>
          <w:i w:val="0"/>
        </w:rPr>
        <w:t xml:space="preserve"> </w:t>
      </w:r>
      <w:r>
        <w:rPr>
          <w:b w:val="0"/>
          <w:i/>
        </w:rPr>
        <w:t>duodecim</w:t>
      </w:r>
      <w:r>
        <w:rPr>
          <w:b w:val="0"/>
          <w:i w:val="0"/>
        </w:rPr>
        <w:t xml:space="preserve">, </w:t>
      </w:r>
      <w:r>
        <w:rPr>
          <w:b w:val="0"/>
          <w:i/>
        </w:rPr>
        <w:t>duodenarius numerus</w:t>
      </w:r>
      <w:r>
        <w:rPr>
          <w:b w:val="0"/>
          <w:i w:val="0"/>
        </w:rPr>
        <w:t xml:space="preserve">, </w:t>
      </w:r>
      <w:r>
        <w:rPr>
          <w:b w:val="0"/>
          <w:i/>
        </w:rPr>
        <w:t>duodenarii</w:t>
      </w:r>
      <w:r>
        <w:rPr>
          <w:b w:val="0"/>
          <w:i w:val="0"/>
        </w:rPr>
        <w:t xml:space="preserve">, </w:t>
      </w:r>
      <w:r>
        <w:rPr>
          <w:b w:val="0"/>
          <w:i/>
        </w:rPr>
        <w:t>principes</w:t>
      </w:r>
    </w:p>
    <w:p>
      <w:pPr>
        <w:keepNext/>
        <w:widowControl/>
      </w:pPr>
      <w:r>
        <w:rPr>
          <w:b/>
          <w:i w:val="0"/>
        </w:rPr>
        <w:t>The word.</w:t>
      </w:r>
    </w:p>
    <w:p>
      <w:pPr>
        <w:widowControl/>
      </w:pPr>
      <w:r>
        <w:rPr>
          <w:b w:val="0"/>
          <w:i w:val="0"/>
        </w:rPr>
        <w:t>Duodecim is twelve; duodenarius is a twelvefold grouping or number; duodenarii marks multiple such groups. Principes names rulers, not a second term for every ordinary soul.</w:t>
      </w:r>
    </w:p>
    <w:p>
      <w:pPr>
        <w:keepNext/>
        <w:widowControl/>
      </w:pPr>
      <w:r>
        <w:rPr>
          <w:b/>
          <w:i w:val="0"/>
        </w:rPr>
        <w:t>In the Platonic Theology.</w:t>
      </w:r>
    </w:p>
    <w:p>
      <w:pPr>
        <w:widowControl/>
      </w:pPr>
      <w:r>
        <w:rPr>
          <w:b w:val="0"/>
          <w:i w:val="0"/>
        </w:rPr>
        <w:t xml:space="preserve">Ficino announces a temporary conversation with the Pythagoreans before elaborating a hierarchy of twelve ruling souls within each of twelve spheres. His examples connect twelve zodiacal figures at the outermost sphere with twelve modes of human life at the innermost. The latter derive from the rankings and pairings of reason, anger, and desire. The numerical scheme then gathers many souls under principal souls, sphere-souls, and world-soul, and ascends through minds toward unity. The text itself qualifies the account: IV.1.52 says </w:t>
      </w:r>
      <w:r>
        <w:t>“</w:t>
      </w:r>
      <w:r>
        <w:rPr>
          <w:b w:val="0"/>
          <w:i w:val="0"/>
        </w:rPr>
        <w:t>perhaps</w:t>
      </w:r>
      <w:r>
        <w:t>”</w:t>
      </w:r>
      <w:r>
        <w:rPr>
          <w:b w:val="0"/>
          <w:i w:val="0"/>
        </w:rPr>
        <w:t xml:space="preserve"> when discussing twelve ruling minds above, and ends by leaving the Pythagorean conversation for the stated Platonic order. Twelve is therefore not a number to impose indiscriminately on every class mentioned in the book. Nor does twelve cosmic spheres contradict eight heavens, since four elemental spheres are also counted. Numerical organization serves the account of unity governing multiplicity.</w:t>
      </w:r>
    </w:p>
    <w:p>
      <w:pPr>
        <w:keepNext/>
        <w:widowControl/>
      </w:pPr>
      <w:r>
        <w:rPr>
          <w:b/>
          <w:i w:val="0"/>
        </w:rPr>
        <w:t>The places.</w:t>
      </w:r>
    </w:p>
    <w:p>
      <w:pPr>
        <w:ind w:left="187" w:hanging="187"/>
      </w:pPr>
      <w:r>
        <w:t xml:space="preserve">• </w:t>
      </w:r>
      <w:r>
        <w:rPr>
          <w:b/>
          <w:i w:val="0"/>
        </w:rPr>
        <w:t>IV.1.36, PDF pp. 300–301</w:t>
      </w:r>
      <w:r>
        <w:rPr>
          <w:b w:val="0"/>
          <w:i w:val="0"/>
        </w:rPr>
        <w:t>. Eight heavenly spheres supplement four elemental spheres rather than contradict the total of twelve.</w:t>
      </w:r>
    </w:p>
    <w:p>
      <w:pPr>
        <w:ind w:left="187" w:hanging="187"/>
      </w:pPr>
      <w:r>
        <w:t xml:space="preserve">• </w:t>
      </w:r>
      <w:r>
        <w:rPr>
          <w:b/>
          <w:i w:val="0"/>
        </w:rPr>
        <w:t>IV.1.40–43, PDF pp. 302–305</w:t>
      </w:r>
      <w:r>
        <w:rPr>
          <w:b w:val="0"/>
          <w:i w:val="0"/>
        </w:rPr>
        <w:t>. The excursion opens and the zodiac supplies a twelvefold comparison.</w:t>
      </w:r>
    </w:p>
    <w:p>
      <w:pPr>
        <w:ind w:left="187" w:hanging="187"/>
      </w:pPr>
      <w:r>
        <w:t xml:space="preserve">• </w:t>
      </w:r>
      <w:r>
        <w:rPr>
          <w:b/>
          <w:i w:val="0"/>
        </w:rPr>
        <w:t>IV.1.44–49, PDF pp. 304–307</w:t>
      </w:r>
      <w:r>
        <w:rPr>
          <w:b w:val="0"/>
          <w:i w:val="0"/>
        </w:rPr>
        <w:t>. Rankings of three powers and dominant pairs generate twelve human lives.</w:t>
      </w:r>
    </w:p>
    <w:p>
      <w:pPr>
        <w:ind w:left="187" w:hanging="187"/>
      </w:pPr>
      <w:r>
        <w:t xml:space="preserve">• </w:t>
      </w:r>
      <w:r>
        <w:rPr>
          <w:b/>
          <w:i w:val="0"/>
        </w:rPr>
        <w:t>IV.1.50–52, PDF pp. 306–309</w:t>
      </w:r>
      <w:r>
        <w:rPr>
          <w:b w:val="0"/>
          <w:i w:val="0"/>
        </w:rPr>
        <w:t>. The hierarchy ascends and descends, qualifies the minds with perhaps, and closes the conversation.</w:t>
      </w:r>
    </w:p>
    <w:p>
      <w:pPr>
        <w:ind w:left="187" w:hanging="187"/>
      </w:pPr>
      <w:r>
        <w:t xml:space="preserve">• </w:t>
      </w:r>
      <w:r>
        <w:rPr>
          <w:b/>
          <w:i w:val="0"/>
        </w:rPr>
        <w:t>IV.1.96, PDF pp. 332–333</w:t>
      </w:r>
      <w:r>
        <w:rPr>
          <w:b w:val="0"/>
          <w:i w:val="0"/>
        </w:rPr>
        <w:t>. The concluding three-rank classification distinguishes world, twelve spheres, and their many inhabitants.</w:t>
      </w:r>
    </w:p>
    <w:p>
      <w:pPr>
        <w:widowControl/>
      </w:pPr>
      <w:r>
        <w:rPr>
          <w:b/>
          <w:i w:val="0"/>
        </w:rPr>
        <w:t>Further passage references.</w:t>
      </w:r>
      <w:r>
        <w:rPr>
          <w:b w:val="0"/>
          <w:i w:val="0"/>
        </w:rPr>
        <w:t xml:space="preserve"> IV.1.36, pp. 300–301; IV.1.40–IV.1.52, pp. 302–309; IV.1.96, pp. 332–333</w:t>
      </w:r>
    </w:p>
    <w:p>
      <w:pPr>
        <w:keepNext/>
        <w:widowControl/>
      </w:pPr>
      <w:r>
        <w:rPr>
          <w:b/>
          <w:i w:val="0"/>
        </w:rPr>
        <w:t>In this edition.</w:t>
      </w:r>
    </w:p>
    <w:p>
      <w:pPr>
        <w:widowControl/>
      </w:pPr>
      <w:r>
        <w:rPr>
          <w:b w:val="0"/>
          <w:i w:val="0"/>
        </w:rPr>
        <w:t>The number belongs to an explicitly introduced and closed Pythagorean conversation. Forte at IV.1.52 qualifies twelve ruling minds. The sixth human three-faculty ranking depends on context; its parum/paulum wording is not independently a confirmed translation error.</w:t>
      </w:r>
    </w:p>
    <w:p>
      <w:pPr>
        <w:keepNext/>
        <w:widowControl/>
      </w:pPr>
      <w:r>
        <w:rPr>
          <w:b/>
          <w:i w:val="0"/>
        </w:rPr>
        <w:t>See also.</w:t>
      </w:r>
    </w:p>
    <w:p>
      <w:pPr>
        <w:widowControl/>
      </w:pPr>
      <w:hyperlink w:anchor="zodiac">
        <w:r>
          <w:rPr>
            <w:color w:val="000000"/>
          </w:rPr>
          <w:t xml:space="preserve">Zodiac</w:t>
        </w:r>
      </w:hyperlink>
      <w:r>
        <w:rPr>
          <w:b w:val="0"/>
          <w:i w:val="0"/>
        </w:rPr>
        <w:t xml:space="preserve">; </w:t>
      </w:r>
      <w:hyperlink w:anchor="reason-anger-and-desire">
        <w:r>
          <w:rPr>
            <w:color w:val="000000"/>
          </w:rPr>
          <w:t xml:space="preserve">Reason anger and desire</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p>
    <w:p>
      <w:bookmarkStart w:id="235" w:name="unity-and-multiplicity"/>
      <w:pPr>
        <w:pStyle w:val="Heading2"/>
      </w:pPr>
      <w:r>
        <w:rPr>
          <w:b w:val="0"/>
          <w:i w:val="0"/>
        </w:rPr>
        <w:t>Unity and multiplicity</w:t>
      </w:r>
      <w:bookmarkEnd w:id="235"/>
    </w:p>
    <w:p>
      <w:pPr>
        <w:keepNext/>
        <w:widowControl/>
      </w:pPr>
      <w:r>
        <w:rPr>
          <w:b/>
          <w:i w:val="0"/>
        </w:rPr>
        <w:t>Latin:</w:t>
      </w:r>
      <w:r>
        <w:rPr>
          <w:b w:val="0"/>
          <w:i w:val="0"/>
        </w:rPr>
        <w:t xml:space="preserve"> </w:t>
      </w:r>
      <w:r>
        <w:rPr>
          <w:b w:val="0"/>
          <w:i/>
        </w:rPr>
        <w:t>unitas</w:t>
      </w:r>
      <w:r>
        <w:rPr>
          <w:b w:val="0"/>
          <w:i w:val="0"/>
        </w:rPr>
        <w:t xml:space="preserve">, </w:t>
      </w:r>
      <w:r>
        <w:rPr>
          <w:b w:val="0"/>
          <w:i/>
        </w:rPr>
        <w:t>unum</w:t>
      </w:r>
      <w:r>
        <w:rPr>
          <w:b w:val="0"/>
          <w:i w:val="0"/>
        </w:rPr>
        <w:t xml:space="preserve">, </w:t>
      </w:r>
      <w:r>
        <w:rPr>
          <w:b w:val="0"/>
          <w:i/>
        </w:rPr>
        <w:t>unio</w:t>
      </w:r>
      <w:r>
        <w:rPr>
          <w:b w:val="0"/>
          <w:i w:val="0"/>
        </w:rPr>
        <w:t xml:space="preserve">, </w:t>
      </w:r>
      <w:r>
        <w:rPr>
          <w:b w:val="0"/>
          <w:i/>
        </w:rPr>
        <w:t>unicus</w:t>
      </w:r>
      <w:r>
        <w:rPr>
          <w:b w:val="0"/>
          <w:i w:val="0"/>
        </w:rPr>
        <w:t xml:space="preserve">; </w:t>
      </w:r>
      <w:r>
        <w:rPr>
          <w:b w:val="0"/>
          <w:i/>
        </w:rPr>
        <w:t>multitudo</w:t>
      </w:r>
      <w:r>
        <w:rPr>
          <w:b w:val="0"/>
          <w:i w:val="0"/>
        </w:rPr>
        <w:t xml:space="preserve">, </w:t>
      </w:r>
      <w:r>
        <w:rPr>
          <w:b w:val="0"/>
          <w:i/>
        </w:rPr>
        <w:t>multa</w:t>
      </w:r>
      <w:r>
        <w:rPr>
          <w:b w:val="0"/>
          <w:i w:val="0"/>
        </w:rPr>
        <w:t xml:space="preserve">, </w:t>
      </w:r>
      <w:r>
        <w:rPr>
          <w:b w:val="0"/>
          <w:i/>
        </w:rPr>
        <w:t>unum et multa</w:t>
      </w:r>
      <w:r>
        <w:rPr>
          <w:b w:val="0"/>
          <w:i w:val="0"/>
        </w:rPr>
        <w:t xml:space="preserve">, </w:t>
      </w:r>
      <w:r>
        <w:rPr>
          <w:b w:val="0"/>
          <w:i/>
        </w:rPr>
        <w:t>unum multa</w:t>
      </w:r>
      <w:r>
        <w:rPr>
          <w:b w:val="0"/>
          <w:i w:val="0"/>
        </w:rPr>
        <w:t xml:space="preserve">; </w:t>
      </w:r>
      <w:r>
        <w:rPr>
          <w:b w:val="0"/>
          <w:i/>
        </w:rPr>
        <w:t>simplex</w:t>
      </w:r>
      <w:r>
        <w:rPr>
          <w:b w:val="0"/>
          <w:i w:val="0"/>
        </w:rPr>
        <w:t xml:space="preserve">, </w:t>
      </w:r>
      <w:r>
        <w:rPr>
          <w:b w:val="0"/>
          <w:i/>
        </w:rPr>
        <w:t>simplicitas</w:t>
      </w:r>
      <w:r>
        <w:rPr>
          <w:b w:val="0"/>
          <w:i w:val="0"/>
        </w:rPr>
        <w:t xml:space="preserve">, </w:t>
      </w:r>
      <w:r>
        <w:rPr>
          <w:b w:val="0"/>
          <w:i/>
        </w:rPr>
        <w:t>immobilis unitas</w:t>
      </w:r>
      <w:r>
        <w:rPr>
          <w:b w:val="0"/>
          <w:i w:val="0"/>
        </w:rPr>
        <w:t xml:space="preserve">, </w:t>
      </w:r>
      <w:r>
        <w:rPr>
          <w:b w:val="0"/>
          <w:i/>
        </w:rPr>
        <w:t>immobilis multitudo</w:t>
      </w:r>
    </w:p>
    <w:p>
      <w:pPr>
        <w:keepNext/>
        <w:widowControl/>
      </w:pPr>
      <w:r>
        <w:rPr>
          <w:b/>
          <w:i w:val="0"/>
        </w:rPr>
        <w:t>The word.</w:t>
      </w:r>
    </w:p>
    <w:p>
      <w:pPr>
        <w:widowControl/>
      </w:pPr>
      <w:r>
        <w:rPr>
          <w:b w:val="0"/>
          <w:i w:val="0"/>
        </w:rPr>
        <w:t>Unitas names unity; unum something one or the One; unio a joining into unity; multitudo plurality. Numerical oneness, nonspatial articulation, and unrestricted first unity have different explanatory roles.</w:t>
      </w:r>
    </w:p>
    <w:p>
      <w:pPr>
        <w:keepNext/>
        <w:widowControl/>
      </w:pPr>
      <w:r>
        <w:rPr>
          <w:b/>
          <w:i w:val="0"/>
        </w:rPr>
        <w:t>In the Platonic Theology.</w:t>
      </w:r>
    </w:p>
    <w:p>
      <w:pPr>
        <w:widowControl/>
      </w:pPr>
      <w:r>
        <w:rPr>
          <w:b w:val="0"/>
          <w:i w:val="0"/>
        </w:rPr>
        <w:t>Unity is the condition by which parts make a whole and a power acts coherently, not merely the count of one object. Ficino argues that a union cannot be sufficiently explained by multiplicity alone: its unifying cause must not itself require another divided unifier. The same unity may be whole in each part rather than partitioned among them. Such a unifying presence differs from a whole assembled out of parts. The vocabulary consequently distinguishes accidental numerical unity, substantial unity, and the supreme unity of God.</w:t>
      </w:r>
    </w:p>
    <w:p>
      <w:pPr>
        <w:widowControl/>
      </w:pPr>
      <w:r>
        <w:rPr>
          <w:b w:val="0"/>
          <w:i w:val="0"/>
        </w:rPr>
        <w:t>The hierarchy makes nonspatial multiplicity explicit. Soul is mobile multiplicity, angel immobile multiplicity, and God immobile unity. Angelic essence, received being, power, act, and understood forms are distinguishable without being extended bodily pieces; act and potency already supply a kind of composition. Book III also reports deliberately differentiated Pythagorean formulas: body is many; quality many and one; soul one and many; angel one-many; God one. Their changing word order expresses changing predominance of unity and plurality. Soul retains unified substance while its operations change; angel possesses greater stability, yet lacks divine absolute simplicity. God is not a subject plus a received form or an assembly of lesser perfections.</w:t>
      </w:r>
    </w:p>
    <w:p>
      <w:pPr>
        <w:widowControl/>
      </w:pPr>
      <w:r>
        <w:rPr>
          <w:b w:val="0"/>
          <w:i w:val="0"/>
        </w:rPr>
        <w:t>Supreme unity is supreme simplicity and is identified with truth and goodness. If unity itself received an addition from something higher, it would be composite. Conversely, what lacked unity altogether could be neither one whole nor a multitude of parts each of which was some one thing. Ordinary received unities therefore point toward unity subsisting in itself. God’s unrestricted unity also grounds infinite power, undiminished by dispersion or composition.</w:t>
      </w:r>
    </w:p>
    <w:p>
      <w:pPr>
        <w:widowControl/>
      </w:pPr>
      <w:r>
        <w:rPr>
          <w:b w:val="0"/>
          <w:i w:val="0"/>
        </w:rPr>
        <w:t xml:space="preserve">II.2.7–8 follows the distinction through individuals and species. Many people belong to one human species and many horses to one equine species, but these species-unities remain determinate kinds beside one another. Ficino gathers them toward God as </w:t>
      </w:r>
      <w:r>
        <w:t>“</w:t>
      </w:r>
      <w:r>
        <w:rPr>
          <w:b w:val="0"/>
          <w:i w:val="0"/>
        </w:rPr>
        <w:t>sovereign of species,</w:t>
      </w:r>
      <w:r>
        <w:t>”</w:t>
      </w:r>
      <w:r>
        <w:rPr>
          <w:b w:val="0"/>
          <w:i w:val="0"/>
        </w:rPr>
        <w:t xml:space="preserve"> with parallel accounts of matters, bodies, lives, motions, and movers. This is an order of dependence, not a physical mixing of kinds. A common nature shared by two supposed gods would itself demand a higher unifying source; bounded participation in unity is not unity’s first principle. Numerical unity also contains numbers potentially, but divine unity is not simply the first object counted.</w:t>
      </w:r>
    </w:p>
    <w:p>
      <w:pPr>
        <w:widowControl/>
      </w:pPr>
      <w:r>
        <w:rPr>
          <w:b w:val="0"/>
          <w:i w:val="0"/>
        </w:rPr>
        <w:t xml:space="preserve">II.3.10 describes all things as enfolded in unity and restored to one through unity, connecting origin and return. At the level of the created world, unity means the coordination of diverse parts, for which soul supplies a bond. The unity of the world’s work does not erase its ranks or identify it with God, just as multiple divine Ideas do not divide the divine essence. </w:t>
      </w:r>
      <w:r>
        <w:rPr>
          <w:b w:val="0"/>
          <w:i/>
        </w:rPr>
        <w:t>Unitas</w:t>
      </w:r>
      <w:r>
        <w:rPr>
          <w:b w:val="0"/>
          <w:i w:val="0"/>
        </w:rPr>
        <w:t xml:space="preserve">, </w:t>
      </w:r>
      <w:r>
        <w:rPr>
          <w:b w:val="0"/>
          <w:i/>
        </w:rPr>
        <w:t>unum</w:t>
      </w:r>
      <w:r>
        <w:rPr>
          <w:b w:val="0"/>
          <w:i w:val="0"/>
        </w:rPr>
        <w:t xml:space="preserve">, and </w:t>
      </w:r>
      <w:r>
        <w:rPr>
          <w:b w:val="0"/>
          <w:i/>
        </w:rPr>
        <w:t>unio</w:t>
      </w:r>
      <w:r>
        <w:rPr>
          <w:b w:val="0"/>
          <w:i w:val="0"/>
        </w:rPr>
        <w:t xml:space="preserve"> thus connect unity itself, something one, and the joining of plurality while retaining their local differences.</w:t>
      </w:r>
    </w:p>
    <w:p>
      <w:pPr>
        <w:keepNext/>
        <w:widowControl/>
      </w:pPr>
      <w:r>
        <w:rPr>
          <w:b/>
          <w:i w:val="0"/>
        </w:rPr>
        <w:t>The places.</w:t>
      </w:r>
    </w:p>
    <w:p>
      <w:pPr>
        <w:ind w:left="187" w:hanging="187"/>
      </w:pPr>
      <w:r>
        <w:t xml:space="preserve">• </w:t>
      </w:r>
      <w:r>
        <w:rPr>
          <w:b/>
          <w:i w:val="0"/>
        </w:rPr>
        <w:t>I.3.12–16, PDF pp. 36–39</w:t>
      </w:r>
      <w:r>
        <w:rPr>
          <w:b w:val="0"/>
          <w:i w:val="0"/>
        </w:rPr>
        <w:t>. The ascent distinguishes mathematical, accidental, and substantial unity.</w:t>
      </w:r>
    </w:p>
    <w:p>
      <w:pPr>
        <w:ind w:left="187" w:hanging="187"/>
      </w:pPr>
      <w:r>
        <w:t xml:space="preserve">• </w:t>
      </w:r>
      <w:r>
        <w:rPr>
          <w:b/>
          <w:i w:val="0"/>
        </w:rPr>
        <w:t>I.6.1–6, PDF pp. 82–85</w:t>
      </w:r>
      <w:r>
        <w:rPr>
          <w:b w:val="0"/>
          <w:i w:val="0"/>
        </w:rPr>
        <w:t>. Angel’s intellect includes nonspatial multiplicity while God supplies a higher unity.</w:t>
      </w:r>
    </w:p>
    <w:p>
      <w:pPr>
        <w:ind w:left="187" w:hanging="187"/>
      </w:pPr>
      <w:r>
        <w:t xml:space="preserve">• </w:t>
      </w:r>
      <w:r>
        <w:rPr>
          <w:b/>
          <w:i w:val="0"/>
        </w:rPr>
        <w:t>II.2.7–11, PDF pp. 108–111</w:t>
      </w:r>
      <w:r>
        <w:rPr>
          <w:b w:val="0"/>
          <w:i w:val="0"/>
        </w:rPr>
        <w:t>. Individuals are gathered under species, then determinate species-unities under their first principle.</w:t>
      </w:r>
    </w:p>
    <w:p>
      <w:pPr>
        <w:ind w:left="187" w:hanging="187"/>
      </w:pPr>
      <w:r>
        <w:t xml:space="preserve">• </w:t>
      </w:r>
      <w:r>
        <w:rPr>
          <w:b/>
          <w:i w:val="0"/>
        </w:rPr>
        <w:t>III.1.1–22, PDF pp. 240–253</w:t>
      </w:r>
      <w:r>
        <w:rPr>
          <w:b w:val="0"/>
          <w:i w:val="0"/>
        </w:rPr>
        <w:t>. The graded formulas distinguish body, quality, soul, angel, and God through different combinations of one and many.</w:t>
      </w:r>
    </w:p>
    <w:p>
      <w:pPr>
        <w:ind w:left="187" w:hanging="187"/>
      </w:pPr>
      <w:r>
        <w:t xml:space="preserve">• </w:t>
      </w:r>
      <w:r>
        <w:rPr>
          <w:b/>
          <w:i w:val="0"/>
        </w:rPr>
        <w:t>III.2.19–23, PDF pp. 272–275</w:t>
      </w:r>
      <w:r>
        <w:rPr>
          <w:b w:val="0"/>
          <w:i w:val="0"/>
        </w:rPr>
        <w:t>. Soul’s unifying relation to bodily multiplicity does not divide its substance into extended pieces.</w:t>
      </w:r>
    </w:p>
    <w:p>
      <w:pPr>
        <w:widowControl/>
      </w:pPr>
      <w:r>
        <w:rPr>
          <w:b/>
          <w:i w:val="0"/>
        </w:rPr>
        <w:t>Further passage references.</w:t>
      </w:r>
      <w:r>
        <w:rPr>
          <w:b w:val="0"/>
          <w:i w:val="0"/>
        </w:rPr>
        <w:t xml:space="preserve"> I.2.2, I.2.7, I.2.11 (PDF pp. 18–25); I.3.12–I.3.16, I.3.30–I.3.31 (pp. 36–39, 50–51); I.6.1–I.6.6 (pp. 82–85); II.1.1–3, pp. 98–101; II.2.4–11, pp. 106–111; II.3.10, pp. 120–121; II.7.1–2, pp. 144–145; II.10.4, pp. 176–177; II.11.6–7, 17–19, PDF 184–193; III.1.1–22, PDF 240–253; III.2.6–8, 19–23, PDF 264–275</w:t>
      </w:r>
    </w:p>
    <w:p>
      <w:pPr>
        <w:keepNext/>
        <w:widowControl/>
      </w:pPr>
      <w:r>
        <w:rPr>
          <w:b/>
          <w:i w:val="0"/>
        </w:rPr>
        <w:t>In this edition.</w:t>
      </w:r>
    </w:p>
    <w:p>
      <w:pPr>
        <w:widowControl/>
      </w:pPr>
      <w:r>
        <w:rPr>
          <w:b w:val="0"/>
          <w:i w:val="0"/>
        </w:rPr>
        <w:t xml:space="preserve">The Pythagorean formulas in Book III depend on their different word order. Rendering them as an undifferentiated </w:t>
      </w:r>
      <w:r>
        <w:t>“</w:t>
      </w:r>
      <w:r>
        <w:rPr>
          <w:b w:val="0"/>
          <w:i w:val="0"/>
        </w:rPr>
        <w:t>unity and plurality</w:t>
      </w:r>
      <w:r>
        <w:t>”</w:t>
      </w:r>
      <w:r>
        <w:rPr>
          <w:b w:val="0"/>
          <w:i w:val="0"/>
        </w:rPr>
        <w:t xml:space="preserve"> would erase the relative predominance Ficino explains. </w:t>
      </w:r>
      <w:r>
        <w:t>“</w:t>
      </w:r>
      <w:r>
        <w:rPr>
          <w:b w:val="0"/>
          <w:i w:val="0"/>
        </w:rPr>
        <w:t>One</w:t>
      </w:r>
      <w:r>
        <w:t>”</w:t>
      </w:r>
      <w:r>
        <w:rPr>
          <w:b w:val="0"/>
          <w:i w:val="0"/>
        </w:rPr>
        <w:t xml:space="preserve"> applied to a species also differs from one bodily specimen.</w:t>
      </w:r>
    </w:p>
    <w:p>
      <w:pPr>
        <w:keepNext/>
        <w:widowControl/>
      </w:pPr>
      <w:r>
        <w:rPr>
          <w:b/>
          <w:i w:val="0"/>
        </w:rPr>
        <w:t>See also.</w:t>
      </w:r>
    </w:p>
    <w:p>
      <w:pPr>
        <w:widowControl/>
      </w:pPr>
      <w:hyperlink w:anchor="number">
        <w:r>
          <w:rPr>
            <w:color w:val="000000"/>
          </w:rPr>
          <w:t xml:space="preserve">Number</w:t>
        </w:r>
      </w:hyperlink>
      <w:r>
        <w:rPr>
          <w:b w:val="0"/>
          <w:i w:val="0"/>
        </w:rPr>
        <w:t xml:space="preserve">; </w:t>
      </w:r>
      <w:hyperlink w:anchor="indivisibility">
        <w:r>
          <w:rPr>
            <w:color w:val="000000"/>
          </w:rPr>
          <w:t xml:space="preserve">Indivisibility</w:t>
        </w:r>
      </w:hyperlink>
      <w:r>
        <w:rPr>
          <w:b w:val="0"/>
          <w:i w:val="0"/>
        </w:rPr>
        <w:t xml:space="preserve">; </w:t>
      </w:r>
      <w:hyperlink w:anchor="power-and-potency">
        <w:r>
          <w:rPr>
            <w:color w:val="000000"/>
          </w:rPr>
          <w:t xml:space="preserve">Power and potency</w:t>
        </w:r>
      </w:hyperlink>
      <w:r>
        <w:rPr>
          <w:b w:val="0"/>
          <w:i w:val="0"/>
        </w:rPr>
        <w:t xml:space="preserve">; </w:t>
      </w:r>
      <w:hyperlink w:anchor="angel">
        <w:r>
          <w:rPr>
            <w:color w:val="000000"/>
          </w:rPr>
          <w:t xml:space="preserve">Angel</w:t>
        </w:r>
      </w:hyperlink>
      <w:r>
        <w:rPr>
          <w:b w:val="0"/>
          <w:i w:val="0"/>
        </w:rPr>
        <w:t xml:space="preserve">; </w:t>
      </w:r>
      <w:hyperlink w:anchor="god">
        <w:r>
          <w:rPr>
            <w:color w:val="000000"/>
          </w:rPr>
          <w:t xml:space="preserve">God</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participation">
        <w:r>
          <w:rPr>
            <w:color w:val="000000"/>
          </w:rPr>
          <w:t xml:space="preserve">Participation</w:t>
        </w:r>
      </w:hyperlink>
      <w:r>
        <w:rPr>
          <w:b w:val="0"/>
          <w:i w:val="0"/>
        </w:rPr>
        <w:t xml:space="preserve">; </w:t>
      </w:r>
      <w:hyperlink w:anchor="order-and-harmony">
        <w:r>
          <w:rPr>
            <w:color w:val="000000"/>
          </w:rPr>
          <w:t xml:space="preserve">Order and harmony</w:t>
        </w:r>
      </w:hyperlink>
      <w:r>
        <w:rPr>
          <w:b w:val="0"/>
          <w:i w:val="0"/>
        </w:rPr>
        <w:t xml:space="preserve">; </w:t>
      </w:r>
      <w:hyperlink w:anchor="truth">
        <w:r>
          <w:rPr>
            <w:color w:val="000000"/>
          </w:rPr>
          <w:t xml:space="preserve">Truth</w:t>
        </w:r>
      </w:hyperlink>
      <w:r>
        <w:rPr>
          <w:b w:val="0"/>
          <w:i w:val="0"/>
        </w:rPr>
        <w:t xml:space="preserve">; </w:t>
      </w:r>
      <w:hyperlink w:anchor="good-and-goodness">
        <w:r>
          <w:rPr>
            <w:color w:val="000000"/>
          </w:rPr>
          <w:t xml:space="preserve">Good and goodness</w:t>
        </w:r>
      </w:hyperlink>
      <w:r>
        <w:rPr>
          <w:b w:val="0"/>
          <w:i w:val="0"/>
        </w:rPr>
        <w:t xml:space="preserve">; </w:t>
      </w:r>
      <w:hyperlink w:anchor="degree-and-mediation">
        <w:r>
          <w:rPr>
            <w:color w:val="000000"/>
          </w:rPr>
          <w:t xml:space="preserve">Degree and mediation</w:t>
        </w:r>
      </w:hyperlink>
      <w:r>
        <w:rPr>
          <w:b w:val="0"/>
          <w:i w:val="0"/>
        </w:rPr>
        <w:t xml:space="preserve">; </w:t>
      </w:r>
      <w:hyperlink w:anchor="ideas-and-exemplars">
        <w:r>
          <w:rPr>
            <w:color w:val="000000"/>
          </w:rPr>
          <w:t xml:space="preserve">Ideas and exemplars</w:t>
        </w:r>
      </w:hyperlink>
      <w:r>
        <w:rPr>
          <w:b w:val="0"/>
          <w:i w:val="0"/>
        </w:rPr>
        <w:t xml:space="preserve">; </w:t>
      </w:r>
      <w:hyperlink w:anchor="soul">
        <w:r>
          <w:rPr>
            <w:color w:val="000000"/>
          </w:rPr>
          <w:t xml:space="preserve">Soul</w:t>
        </w:r>
      </w:hyperlink>
    </w:p>
    <w:p>
      <w:bookmarkStart w:id="236" w:name="universals-and-individuals"/>
      <w:pPr>
        <w:pStyle w:val="Heading2"/>
      </w:pPr>
      <w:r>
        <w:rPr>
          <w:b w:val="0"/>
          <w:i w:val="0"/>
        </w:rPr>
        <w:t>Universals and individuals</w:t>
      </w:r>
      <w:bookmarkEnd w:id="236"/>
    </w:p>
    <w:p>
      <w:pPr>
        <w:keepNext/>
        <w:widowControl/>
      </w:pPr>
      <w:r>
        <w:rPr>
          <w:b/>
          <w:i w:val="0"/>
        </w:rPr>
        <w:t>Latin:</w:t>
      </w:r>
      <w:r>
        <w:rPr>
          <w:b w:val="0"/>
          <w:i w:val="0"/>
        </w:rPr>
        <w:t xml:space="preserve"> </w:t>
      </w:r>
      <w:r>
        <w:rPr>
          <w:b w:val="0"/>
          <w:i/>
        </w:rPr>
        <w:t>universalia</w:t>
      </w:r>
      <w:r>
        <w:rPr>
          <w:b w:val="0"/>
          <w:i w:val="0"/>
        </w:rPr>
        <w:t xml:space="preserve"> (universals); </w:t>
      </w:r>
      <w:r>
        <w:rPr>
          <w:b w:val="0"/>
          <w:i/>
        </w:rPr>
        <w:t>singula</w:t>
      </w:r>
      <w:r>
        <w:rPr>
          <w:b w:val="0"/>
          <w:i w:val="0"/>
        </w:rPr>
        <w:t xml:space="preserve">, </w:t>
      </w:r>
      <w:r>
        <w:rPr>
          <w:b w:val="0"/>
          <w:i/>
        </w:rPr>
        <w:t>res singulares</w:t>
      </w:r>
      <w:r>
        <w:rPr>
          <w:b w:val="0"/>
          <w:i w:val="0"/>
        </w:rPr>
        <w:t xml:space="preserve"> (individual things); </w:t>
      </w:r>
      <w:r>
        <w:rPr>
          <w:b w:val="0"/>
          <w:i/>
        </w:rPr>
        <w:t>genera</w:t>
      </w:r>
      <w:r>
        <w:rPr>
          <w:b w:val="0"/>
          <w:i w:val="0"/>
        </w:rPr>
        <w:t xml:space="preserve">, </w:t>
      </w:r>
      <w:r>
        <w:rPr>
          <w:b w:val="0"/>
          <w:i/>
        </w:rPr>
        <w:t>species</w:t>
      </w:r>
      <w:r>
        <w:rPr>
          <w:b w:val="0"/>
          <w:i w:val="0"/>
        </w:rPr>
        <w:t xml:space="preserve"> (genera, species); </w:t>
      </w:r>
      <w:r>
        <w:rPr>
          <w:b w:val="0"/>
          <w:i/>
        </w:rPr>
        <w:t>proprietates</w:t>
      </w:r>
      <w:r>
        <w:rPr>
          <w:b w:val="0"/>
          <w:i w:val="0"/>
        </w:rPr>
        <w:t xml:space="preserve"> (properties); </w:t>
      </w:r>
      <w:r>
        <w:rPr>
          <w:b w:val="0"/>
          <w:i/>
        </w:rPr>
        <w:t>minima</w:t>
      </w:r>
      <w:r>
        <w:rPr>
          <w:b w:val="0"/>
          <w:i w:val="0"/>
        </w:rPr>
        <w:t xml:space="preserve">, </w:t>
      </w:r>
      <w:r>
        <w:rPr>
          <w:b w:val="0"/>
          <w:i/>
        </w:rPr>
        <w:t>infima</w:t>
      </w:r>
      <w:r>
        <w:rPr>
          <w:b w:val="0"/>
          <w:i w:val="0"/>
        </w:rPr>
        <w:t xml:space="preserve"> (least, lowest things)</w:t>
      </w:r>
    </w:p>
    <w:p>
      <w:pPr>
        <w:keepNext/>
        <w:widowControl/>
      </w:pPr>
      <w:r>
        <w:rPr>
          <w:b/>
          <w:i w:val="0"/>
        </w:rPr>
        <w:t>The word.</w:t>
      </w:r>
    </w:p>
    <w:p>
      <w:pPr>
        <w:widowControl/>
      </w:pPr>
      <w:r>
        <w:rPr>
          <w:b w:val="0"/>
          <w:i w:val="0"/>
        </w:rPr>
        <w:t>Universalia are universals; singula and res singulares individual things; genera and species broader and determinate kinds. Proprietates identifies differentiating features rather than merely possessions.</w:t>
      </w:r>
    </w:p>
    <w:p>
      <w:pPr>
        <w:keepNext/>
        <w:widowControl/>
      </w:pPr>
      <w:r>
        <w:rPr>
          <w:b/>
          <w:i w:val="0"/>
        </w:rPr>
        <w:t>In the Platonic Theology.</w:t>
      </w:r>
    </w:p>
    <w:p>
      <w:pPr>
        <w:widowControl/>
      </w:pPr>
      <w:r>
        <w:rPr>
          <w:b w:val="0"/>
          <w:i w:val="0"/>
        </w:rPr>
        <w:t>Ficino refuses to restrict God’s knowledge to genera and species. The intellect that knows the origin of being and every mode in which it can be communicated also knows what distinguishes one individual from another. Knowledge of universal order requires knowledge of the different relations among higher and lower particulars. Hence even things ordinarily called base or unattractive belong to the scope of divine cognition. Ficino directs this polemic against Epicurus and Averroes as he presents their positions here; the chapter speaks in the terms of his own controversy. The cognitive comparison with human powers is also significant: intellect does not merely abandon individuals when it apprehends universal principles, but sees particulars more clearly than imagination. Divine knowledge unites all these scopes in one power. Greater universality in this ascent consequently does not entail less awareness of individual detail.</w:t>
      </w:r>
    </w:p>
    <w:p>
      <w:pPr>
        <w:keepNext/>
        <w:widowControl/>
      </w:pPr>
      <w:r>
        <w:rPr>
          <w:b/>
          <w:i w:val="0"/>
        </w:rPr>
        <w:t>The places.</w:t>
      </w:r>
    </w:p>
    <w:p>
      <w:pPr>
        <w:ind w:left="187" w:hanging="187"/>
      </w:pPr>
      <w:r>
        <w:t xml:space="preserve">• </w:t>
      </w:r>
      <w:r>
        <w:rPr>
          <w:b/>
          <w:i w:val="0"/>
        </w:rPr>
        <w:t>II.2.7–8, PDF pp. 108–109</w:t>
      </w:r>
      <w:r>
        <w:rPr>
          <w:b w:val="0"/>
          <w:i w:val="0"/>
        </w:rPr>
        <w:t>. Species provide specific unities for multiple individuals without exhausting the first unity.</w:t>
      </w:r>
    </w:p>
    <w:p>
      <w:pPr>
        <w:ind w:left="187" w:hanging="187"/>
      </w:pPr>
      <w:r>
        <w:t xml:space="preserve">• </w:t>
      </w:r>
      <w:r>
        <w:rPr>
          <w:b/>
          <w:i w:val="0"/>
        </w:rPr>
        <w:t>II.9.13–16, PDF pp. 168–173</w:t>
      </w:r>
      <w:r>
        <w:rPr>
          <w:b w:val="0"/>
          <w:i w:val="0"/>
        </w:rPr>
        <w:t>. Divine knowledge extends with divine operation to individuals and the least things.</w:t>
      </w:r>
    </w:p>
    <w:p>
      <w:pPr>
        <w:ind w:left="187" w:hanging="187"/>
      </w:pPr>
      <w:r>
        <w:t xml:space="preserve">• </w:t>
      </w:r>
      <w:r>
        <w:rPr>
          <w:b/>
          <w:i w:val="0"/>
        </w:rPr>
        <w:t>II.9.20–22, PDF pp. 172–175</w:t>
      </w:r>
      <w:r>
        <w:rPr>
          <w:b w:val="0"/>
          <w:i w:val="0"/>
        </w:rPr>
        <w:t>. Knowledge of lowly particulars is defended against named opponents without treating it as a distracting inspection.</w:t>
      </w:r>
    </w:p>
    <w:p>
      <w:pPr>
        <w:ind w:left="187" w:hanging="187"/>
      </w:pPr>
      <w:r>
        <w:t xml:space="preserve">• </w:t>
      </w:r>
      <w:r>
        <w:rPr>
          <w:b/>
          <w:i w:val="0"/>
        </w:rPr>
        <w:t>II.10.1, PDF pp. 176–177</w:t>
      </w:r>
      <w:r>
        <w:rPr>
          <w:b w:val="0"/>
          <w:i w:val="0"/>
        </w:rPr>
        <w:t>. The argument’s announced scope extends from individuals and lowly things to infinite things.</w:t>
      </w:r>
    </w:p>
    <w:p>
      <w:pPr>
        <w:widowControl/>
      </w:pPr>
      <w:r>
        <w:rPr>
          <w:b/>
          <w:i w:val="0"/>
        </w:rPr>
        <w:t>Further passage references.</w:t>
      </w:r>
      <w:r>
        <w:rPr>
          <w:b w:val="0"/>
          <w:i w:val="0"/>
        </w:rPr>
        <w:t xml:space="preserve"> II.2.7–8, pp. 108–109; II.9.13–22, pp. 168–175; II.10.1, pp. 176–177</w:t>
      </w:r>
    </w:p>
    <w:p>
      <w:pPr>
        <w:keepNext/>
        <w:widowControl/>
      </w:pPr>
      <w:r>
        <w:rPr>
          <w:b/>
          <w:i w:val="0"/>
        </w:rPr>
        <w:t>In this edition.</w:t>
      </w:r>
    </w:p>
    <w:p>
      <w:pPr>
        <w:widowControl/>
      </w:pPr>
      <w:r>
        <w:rPr>
          <w:b w:val="0"/>
          <w:i w:val="0"/>
        </w:rPr>
        <w:t xml:space="preserve">The English </w:t>
      </w:r>
      <w:r>
        <w:t>“</w:t>
      </w:r>
      <w:r>
        <w:rPr>
          <w:b w:val="0"/>
          <w:i w:val="0"/>
        </w:rPr>
        <w:t>least</w:t>
      </w:r>
      <w:r>
        <w:t>”</w:t>
      </w:r>
      <w:r>
        <w:rPr>
          <w:b w:val="0"/>
          <w:i w:val="0"/>
        </w:rPr>
        <w:t xml:space="preserve"> and </w:t>
      </w:r>
      <w:r>
        <w:t>“</w:t>
      </w:r>
      <w:r>
        <w:rPr>
          <w:b w:val="0"/>
          <w:i w:val="0"/>
        </w:rPr>
        <w:t>lowest</w:t>
      </w:r>
      <w:r>
        <w:t>”</w:t>
      </w:r>
      <w:r>
        <w:rPr>
          <w:b w:val="0"/>
          <w:i w:val="0"/>
        </w:rPr>
        <w:t xml:space="preserve"> retains Ficino’s evaluative scope in the polemic about divine cognition. The claims assigned to Epicurus and Averroes are his presentation of opponents, while </w:t>
      </w:r>
      <w:r>
        <w:t>“</w:t>
      </w:r>
      <w:r>
        <w:rPr>
          <w:b w:val="0"/>
          <w:i w:val="0"/>
        </w:rPr>
        <w:t>in himself</w:t>
      </w:r>
      <w:r>
        <w:t>”</w:t>
      </w:r>
      <w:r>
        <w:rPr>
          <w:b w:val="0"/>
          <w:i w:val="0"/>
        </w:rPr>
        <w:t xml:space="preserve"> at II.9.20 explains how particulars can be known without external distraction.</w:t>
      </w:r>
    </w:p>
    <w:p>
      <w:pPr>
        <w:keepNext/>
        <w:widowControl/>
      </w:pPr>
      <w:r>
        <w:rPr>
          <w:b/>
          <w:i w:val="0"/>
        </w:rPr>
        <w:t>See also.</w:t>
      </w:r>
    </w:p>
    <w:p>
      <w:pPr>
        <w:widowControl/>
      </w:pPr>
      <w:hyperlink w:anchor="form">
        <w:r>
          <w:rPr>
            <w:color w:val="000000"/>
          </w:rPr>
          <w:t xml:space="preserve">Form</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self-knowledge">
        <w:r>
          <w:rPr>
            <w:color w:val="000000"/>
          </w:rPr>
          <w:t xml:space="preserve">Self knowledge</w:t>
        </w:r>
      </w:hyperlink>
      <w:r>
        <w:rPr>
          <w:b w:val="0"/>
          <w:i w:val="0"/>
        </w:rPr>
        <w:t xml:space="preserve">; </w:t>
      </w:r>
      <w:hyperlink w:anchor="order-and-harmony">
        <w:r>
          <w:rPr>
            <w:color w:val="000000"/>
          </w:rPr>
          <w:t xml:space="preserve">Order and harmony</w:t>
        </w:r>
      </w:hyperlink>
      <w:r>
        <w:rPr>
          <w:b w:val="0"/>
          <w:i w:val="0"/>
        </w:rPr>
        <w:t xml:space="preserve">; </w:t>
      </w:r>
      <w:hyperlink w:anchor="intuition-and-comprehension">
        <w:r>
          <w:rPr>
            <w:color w:val="000000"/>
          </w:rPr>
          <w:t xml:space="preserve">Intuition and comprehension</w:t>
        </w:r>
      </w:hyperlink>
    </w:p>
    <w:p>
      <w:bookmarkStart w:id="237" w:name="utterance-and-meaning"/>
      <w:pPr>
        <w:pStyle w:val="Heading2"/>
      </w:pPr>
      <w:r>
        <w:rPr>
          <w:b w:val="0"/>
          <w:i w:val="0"/>
        </w:rPr>
        <w:t>Utterance and meaning</w:t>
      </w:r>
      <w:bookmarkEnd w:id="237"/>
    </w:p>
    <w:p>
      <w:pPr>
        <w:keepNext/>
        <w:widowControl/>
      </w:pPr>
      <w:r>
        <w:rPr>
          <w:b/>
          <w:i w:val="0"/>
        </w:rPr>
        <w:t>Latin:</w:t>
      </w:r>
      <w:r>
        <w:rPr>
          <w:b w:val="0"/>
          <w:i w:val="0"/>
        </w:rPr>
        <w:t xml:space="preserve"> </w:t>
      </w:r>
      <w:r>
        <w:rPr>
          <w:b w:val="0"/>
          <w:i/>
        </w:rPr>
        <w:t>vox; significatio; audire; intelligere; domus; quodammodo; paene</w:t>
      </w:r>
    </w:p>
    <w:p>
      <w:pPr>
        <w:keepNext/>
        <w:widowControl/>
      </w:pPr>
      <w:r>
        <w:rPr>
          <w:b/>
          <w:i w:val="0"/>
        </w:rPr>
        <w:t>The word.</w:t>
      </w:r>
    </w:p>
    <w:p>
      <w:pPr>
        <w:widowControl/>
      </w:pPr>
      <w:r>
        <w:rPr>
          <w:b w:val="0"/>
          <w:i w:val="0"/>
        </w:rPr>
        <w:t>Vox can be a voice or utterance; significatio its meaning or signification. Audire and intelligere distinguish hearing from understanding. The domestic setting gives several hearers access to one spoken content.</w:t>
      </w:r>
    </w:p>
    <w:p>
      <w:pPr>
        <w:keepNext/>
        <w:widowControl/>
      </w:pPr>
      <w:r>
        <w:rPr>
          <w:b/>
          <w:i w:val="0"/>
        </w:rPr>
        <w:t>In the Platonic Theology.</w:t>
      </w:r>
    </w:p>
    <w:p>
      <w:pPr>
        <w:widowControl/>
      </w:pPr>
      <w:r>
        <w:rPr>
          <w:b w:val="0"/>
          <w:i w:val="0"/>
        </w:rPr>
        <w:t>To illustrate soul’s whole presence in bodily parts, Ficino says that a whole utterance and its meaning are in a certain way present in every part of a house, because the whole is heard and understood almost simultaneously there. The comparison concerns the integrity of what is apprehended: listeners do not each receive a different fraction of the sentence’s meaning. It is explicitly qualified and does not identify acoustic sound with an incorporeal soul or prove that sound travels without time. The next sentences return to the metaphysical claim: an indivisible nature unconfined by place can encompass what is in place, whereas extended things cannot be whole in several places together. The illustrative utterance and that claimed explanatory principle should not be merged.</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III.2.13 (Latin PDF p. 270; English PDF p. 271).</w:t>
      </w:r>
      <w:r>
        <w:rPr>
          <w:b w:val="0"/>
          <w:i w:val="0"/>
        </w:rPr>
        <w:t xml:space="preserve"> Whole utterance and meaning illustrate whole presence, with two express qualifications.</w:t>
      </w:r>
    </w:p>
    <w:p>
      <w:pPr>
        <w:keepNext/>
        <w:widowControl/>
      </w:pPr>
      <w:r>
        <w:rPr>
          <w:b/>
          <w:i w:val="0"/>
        </w:rPr>
        <w:t>In this edition.</w:t>
      </w:r>
    </w:p>
    <w:p>
      <w:pPr>
        <w:widowControl/>
      </w:pPr>
      <w:r>
        <w:rPr>
          <w:b w:val="0"/>
          <w:i w:val="0"/>
        </w:rPr>
        <w:t xml:space="preserve">The English </w:t>
      </w:r>
      <w:r>
        <w:t>“</w:t>
      </w:r>
      <w:r>
        <w:rPr>
          <w:b w:val="0"/>
          <w:i w:val="0"/>
        </w:rPr>
        <w:t>in a certain sense</w:t>
      </w:r>
      <w:r>
        <w:t>”</w:t>
      </w:r>
      <w:r>
        <w:rPr>
          <w:b w:val="0"/>
          <w:i w:val="0"/>
        </w:rPr>
        <w:t xml:space="preserve"> and </w:t>
      </w:r>
      <w:r>
        <w:t>“</w:t>
      </w:r>
      <w:r>
        <w:rPr>
          <w:b w:val="0"/>
          <w:i w:val="0"/>
        </w:rPr>
        <w:t>almost at once</w:t>
      </w:r>
      <w:r>
        <w:t>”</w:t>
      </w:r>
      <w:r>
        <w:rPr>
          <w:b w:val="0"/>
          <w:i w:val="0"/>
        </w:rPr>
        <w:t xml:space="preserve"> preserve quodammodo and paene. Dropping either would turn a measured analogy into an absolute physical claim. Vox is rendered </w:t>
      </w:r>
      <w:r>
        <w:t>“</w:t>
      </w:r>
      <w:r>
        <w:rPr>
          <w:b w:val="0"/>
          <w:i w:val="0"/>
        </w:rPr>
        <w:t>utterance</w:t>
      </w:r>
      <w:r>
        <w:t>”</w:t>
      </w:r>
      <w:r>
        <w:rPr>
          <w:b w:val="0"/>
          <w:i w:val="0"/>
        </w:rPr>
        <w:t xml:space="preserve"> because both hearing and understanding are at issue.</w:t>
      </w:r>
    </w:p>
    <w:p>
      <w:pPr>
        <w:keepNext/>
        <w:widowControl/>
      </w:pPr>
      <w:r>
        <w:rPr>
          <w:b/>
          <w:i w:val="0"/>
        </w:rPr>
        <w:t>See also.</w:t>
      </w:r>
    </w:p>
    <w:p>
      <w:pPr>
        <w:widowControl/>
      </w:pPr>
      <w:hyperlink w:anchor="indwelling-and-presence">
        <w:r>
          <w:rPr>
            <w:color w:val="000000"/>
          </w:rPr>
          <w:t xml:space="preserve">Indwelling and presence</w:t>
        </w:r>
      </w:hyperlink>
      <w:r>
        <w:rPr>
          <w:b w:val="0"/>
          <w:i w:val="0"/>
        </w:rPr>
        <w:t xml:space="preserve">; </w:t>
      </w:r>
      <w:hyperlink w:anchor="point-and-position">
        <w:r>
          <w:rPr>
            <w:color w:val="000000"/>
          </w:rPr>
          <w:t xml:space="preserve">Point and position</w:t>
        </w:r>
      </w:hyperlink>
      <w:r>
        <w:rPr>
          <w:b w:val="0"/>
          <w:i w:val="0"/>
        </w:rPr>
        <w:t xml:space="preserve">; </w:t>
      </w:r>
      <w:hyperlink w:anchor="spiritual-union">
        <w:r>
          <w:rPr>
            <w:color w:val="000000"/>
          </w:rPr>
          <w:t xml:space="preserve">Spiritual union</w:t>
        </w:r>
      </w:hyperlink>
      <w:r>
        <w:rPr>
          <w:b w:val="0"/>
          <w:i w:val="0"/>
        </w:rPr>
        <w:t xml:space="preserve">; </w:t>
      </w:r>
      <w:hyperlink w:anchor="indivisibility">
        <w:r>
          <w:rPr>
            <w:color w:val="000000"/>
          </w:rPr>
          <w:t xml:space="preserve">Indivisibility</w:t>
        </w:r>
      </w:hyperlink>
      <w:r>
        <w:rPr>
          <w:b w:val="0"/>
          <w:i w:val="0"/>
        </w:rPr>
        <w:t>.</w:t>
      </w:r>
    </w:p>
    <w:p>
      <w:bookmarkStart w:id="238" w:name="vine-and-grape-seed"/>
      <w:pPr>
        <w:pStyle w:val="Heading2"/>
      </w:pPr>
      <w:r>
        <w:rPr>
          <w:b w:val="0"/>
          <w:i w:val="0"/>
        </w:rPr>
        <w:t>Vine and grape seed</w:t>
      </w:r>
      <w:bookmarkEnd w:id="238"/>
    </w:p>
    <w:p>
      <w:pPr>
        <w:keepNext/>
        <w:widowControl/>
      </w:pPr>
      <w:r>
        <w:rPr>
          <w:b/>
          <w:i w:val="0"/>
        </w:rPr>
        <w:t>Latin:</w:t>
      </w:r>
      <w:r>
        <w:rPr>
          <w:b w:val="0"/>
          <w:i w:val="0"/>
        </w:rPr>
        <w:t xml:space="preserve"> </w:t>
      </w:r>
      <w:r>
        <w:rPr>
          <w:b w:val="0"/>
          <w:i/>
        </w:rPr>
        <w:t>vitis</w:t>
      </w:r>
      <w:r>
        <w:rPr>
          <w:b w:val="0"/>
          <w:i w:val="0"/>
        </w:rPr>
        <w:t xml:space="preserve">, </w:t>
      </w:r>
      <w:r>
        <w:rPr>
          <w:b w:val="0"/>
          <w:i/>
        </w:rPr>
        <w:t>vites</w:t>
      </w:r>
      <w:r>
        <w:rPr>
          <w:b w:val="0"/>
          <w:i w:val="0"/>
        </w:rPr>
        <w:t xml:space="preserve">, </w:t>
      </w:r>
      <w:r>
        <w:rPr>
          <w:b w:val="0"/>
          <w:i/>
        </w:rPr>
        <w:t>vinaceo semine</w:t>
      </w:r>
      <w:r>
        <w:rPr>
          <w:b w:val="0"/>
          <w:i w:val="0"/>
        </w:rPr>
        <w:t xml:space="preserve">, </w:t>
      </w:r>
      <w:r>
        <w:rPr>
          <w:b w:val="0"/>
          <w:i/>
        </w:rPr>
        <w:t>putrido</w:t>
      </w:r>
      <w:r>
        <w:rPr>
          <w:b w:val="0"/>
          <w:i w:val="0"/>
        </w:rPr>
        <w:t xml:space="preserve">, </w:t>
      </w:r>
      <w:r>
        <w:rPr>
          <w:b w:val="0"/>
          <w:i/>
        </w:rPr>
        <w:t>vilis</w:t>
      </w:r>
      <w:r>
        <w:rPr>
          <w:b w:val="0"/>
          <w:i w:val="0"/>
        </w:rPr>
        <w:t xml:space="preserve">, </w:t>
      </w:r>
      <w:r>
        <w:rPr>
          <w:b w:val="0"/>
          <w:i/>
        </w:rPr>
        <w:t>variam</w:t>
      </w:r>
      <w:r>
        <w:rPr>
          <w:b w:val="0"/>
          <w:i w:val="0"/>
        </w:rPr>
        <w:t xml:space="preserve">, </w:t>
      </w:r>
      <w:r>
        <w:rPr>
          <w:b w:val="0"/>
          <w:i/>
        </w:rPr>
        <w:t>ordinatam</w:t>
      </w:r>
      <w:r>
        <w:rPr>
          <w:b w:val="0"/>
          <w:i w:val="0"/>
        </w:rPr>
        <w:t xml:space="preserve">, </w:t>
      </w:r>
      <w:r>
        <w:rPr>
          <w:b w:val="0"/>
          <w:i/>
        </w:rPr>
        <w:t>pretiosam</w:t>
      </w:r>
      <w:r>
        <w:rPr>
          <w:b w:val="0"/>
          <w:i w:val="0"/>
        </w:rPr>
        <w:t>.</w:t>
      </w:r>
    </w:p>
    <w:p>
      <w:pPr>
        <w:keepNext/>
        <w:widowControl/>
      </w:pPr>
      <w:r>
        <w:rPr>
          <w:b/>
          <w:i w:val="0"/>
        </w:rPr>
        <w:t>The word.</w:t>
      </w:r>
    </w:p>
    <w:p>
      <w:pPr>
        <w:widowControl/>
      </w:pPr>
      <w:r>
        <w:rPr>
          <w:b w:val="0"/>
          <w:i/>
        </w:rPr>
        <w:t>Vitis</w:t>
      </w:r>
      <w:r>
        <w:rPr>
          <w:b w:val="0"/>
          <w:i w:val="0"/>
        </w:rPr>
        <w:t xml:space="preserve"> names the vine; </w:t>
      </w:r>
      <w:r>
        <w:rPr>
          <w:b w:val="0"/>
          <w:i/>
        </w:rPr>
        <w:t>vinaceum semen</w:t>
      </w:r>
      <w:r>
        <w:rPr>
          <w:b w:val="0"/>
          <w:i w:val="0"/>
        </w:rPr>
        <w:t xml:space="preserve"> here its grape seed. </w:t>
      </w:r>
      <w:r>
        <w:rPr>
          <w:b w:val="0"/>
          <w:i/>
        </w:rPr>
        <w:t>Putridus</w:t>
      </w:r>
      <w:r>
        <w:rPr>
          <w:b w:val="0"/>
          <w:i w:val="0"/>
        </w:rPr>
        <w:t xml:space="preserve"> describes decay, while </w:t>
      </w:r>
      <w:r>
        <w:rPr>
          <w:b w:val="0"/>
          <w:i/>
        </w:rPr>
        <w:t>vilis</w:t>
      </w:r>
      <w:r>
        <w:rPr>
          <w:b w:val="0"/>
          <w:i w:val="0"/>
        </w:rPr>
        <w:t xml:space="preserve"> and </w:t>
      </w:r>
      <w:r>
        <w:rPr>
          <w:b w:val="0"/>
          <w:i/>
        </w:rPr>
        <w:t>pretiosus</w:t>
      </w:r>
      <w:r>
        <w:rPr>
          <w:b w:val="0"/>
          <w:i w:val="0"/>
        </w:rPr>
        <w:t xml:space="preserve"> contrast low value with preciousness. The adjectives are evaluative terms in a causal comparison, not measurements of a seed’s biological complexity.</w:t>
      </w:r>
    </w:p>
    <w:p>
      <w:pPr>
        <w:keepNext/>
        <w:widowControl/>
      </w:pPr>
      <w:r>
        <w:rPr>
          <w:b/>
          <w:i w:val="0"/>
        </w:rPr>
        <w:t>In the Platonic Theology.</w:t>
      </w:r>
    </w:p>
    <w:p>
      <w:pPr>
        <w:widowControl/>
      </w:pPr>
      <w:r>
        <w:rPr>
          <w:b w:val="0"/>
          <w:i w:val="0"/>
        </w:rPr>
        <w:t xml:space="preserve">Vines and flies first illustrate the specificity of natural principles: the soul of earth is said to make each through its own appropriate </w:t>
      </w:r>
      <w:r>
        <w:rPr>
          <w:b w:val="0"/>
          <w:i/>
        </w:rPr>
        <w:t>ratio</w:t>
      </w:r>
      <w:r>
        <w:rPr>
          <w:b w:val="0"/>
          <w:i w:val="0"/>
        </w:rPr>
        <w:t>. A few units later the decaying grape seed becomes the focus. Ficino contrasts its single, base nature with the varied, ordered, precious vine produced from it. The explanation assigns corresponding variety, rationality, and worth to the higher productive powers. The example therefore concerns the explanatory resources needed for a differentiated living result.</w:t>
      </w:r>
    </w:p>
    <w:p>
      <w:pPr>
        <w:widowControl/>
      </w:pPr>
      <w:r>
        <w:rPr>
          <w:b w:val="0"/>
          <w:i w:val="0"/>
        </w:rPr>
        <w:t>The bodily seed is not denied. It is present and decaying; the question is why it yields this richer organized product. This differs from examples in which a bodily seed appears absent altogether. Combining the two without distinction would conceal that Ficino invokes incorporeal productive principles both for allegedly unseeded generation and for the nurturing and development of bodily seeds.</w:t>
      </w:r>
    </w:p>
    <w:p>
      <w:pPr>
        <w:keepNext/>
        <w:widowControl/>
      </w:pPr>
      <w:r>
        <w:rPr>
          <w:b/>
          <w:i w:val="0"/>
        </w:rPr>
        <w:t>The places.</w:t>
      </w:r>
    </w:p>
    <w:p>
      <w:pPr>
        <w:ind w:left="187" w:hanging="187"/>
      </w:pPr>
      <w:r>
        <w:t xml:space="preserve">• </w:t>
      </w:r>
      <w:r>
        <w:rPr>
          <w:b/>
          <w:i w:val="0"/>
        </w:rPr>
        <w:t>IV.1.9, PDF pp. 286–287:</w:t>
      </w:r>
      <w:r>
        <w:rPr>
          <w:b w:val="0"/>
          <w:i w:val="0"/>
        </w:rPr>
        <w:t xml:space="preserve"> vine and fly require different natural principles</w:t>
      </w:r>
    </w:p>
    <w:p>
      <w:pPr>
        <w:ind w:left="187" w:hanging="187"/>
      </w:pPr>
      <w:r>
        <w:t xml:space="preserve">• </w:t>
      </w:r>
      <w:r>
        <w:rPr>
          <w:b/>
          <w:i w:val="0"/>
        </w:rPr>
        <w:t>IV.1.16–17, pp. 290–291:</w:t>
      </w:r>
      <w:r>
        <w:rPr>
          <w:b w:val="0"/>
          <w:i w:val="0"/>
        </w:rPr>
        <w:t xml:space="preserve"> fostering bodily seeds leads to the contrast between decaying grape seed and ordered vine</w:t>
      </w:r>
    </w:p>
    <w:p>
      <w:pPr>
        <w:keepNext/>
        <w:widowControl/>
      </w:pPr>
      <w:r>
        <w:rPr>
          <w:b/>
          <w:i w:val="0"/>
        </w:rPr>
        <w:t>In this edition.</w:t>
      </w:r>
    </w:p>
    <w:p>
      <w:pPr>
        <w:widowControl/>
      </w:pPr>
      <w:r>
        <w:t>“</w:t>
      </w:r>
      <w:r>
        <w:rPr>
          <w:b w:val="0"/>
          <w:i w:val="0"/>
        </w:rPr>
        <w:t>Single and base</w:t>
      </w:r>
      <w:r>
        <w:t>”</w:t>
      </w:r>
      <w:r>
        <w:rPr>
          <w:b w:val="0"/>
          <w:i w:val="0"/>
        </w:rPr>
        <w:t xml:space="preserve"> represents </w:t>
      </w:r>
      <w:r>
        <w:rPr>
          <w:b w:val="0"/>
          <w:i/>
        </w:rPr>
        <w:t>una et vilis</w:t>
      </w:r>
      <w:r>
        <w:rPr>
          <w:b w:val="0"/>
          <w:i w:val="0"/>
        </w:rPr>
        <w:t xml:space="preserve">; </w:t>
      </w:r>
      <w:r>
        <w:t>“</w:t>
      </w:r>
      <w:r>
        <w:rPr>
          <w:b w:val="0"/>
          <w:i w:val="0"/>
        </w:rPr>
        <w:t>varied, ordered, and precious</w:t>
      </w:r>
      <w:r>
        <w:t>”</w:t>
      </w:r>
      <w:r>
        <w:rPr>
          <w:b w:val="0"/>
          <w:i w:val="0"/>
        </w:rPr>
        <w:t xml:space="preserve"> represents the deliberately contrasted adjectives. The language ranks source and result within Ficino’s argument and should not be recast as modern embryology.</w:t>
      </w:r>
    </w:p>
    <w:p>
      <w:pPr>
        <w:keepNext/>
        <w:widowControl/>
      </w:pPr>
      <w:r>
        <w:rPr>
          <w:b/>
          <w:i w:val="0"/>
        </w:rPr>
        <w:t>See also.</w:t>
      </w:r>
    </w:p>
    <w:p>
      <w:pPr>
        <w:widowControl/>
      </w:pPr>
      <w:hyperlink w:anchor="seeds">
        <w:r>
          <w:rPr>
            <w:color w:val="000000"/>
          </w:rPr>
          <w:t xml:space="preserve">Seeds</w:t>
        </w:r>
      </w:hyperlink>
      <w:r>
        <w:rPr>
          <w:b w:val="0"/>
          <w:i w:val="0"/>
        </w:rPr>
        <w:t xml:space="preserve">; </w:t>
      </w:r>
      <w:hyperlink w:anchor="nourishment-digestion-and-growth">
        <w:r>
          <w:rPr>
            <w:color w:val="000000"/>
          </w:rPr>
          <w:t xml:space="preserve">Nourishment and growth</w:t>
        </w:r>
      </w:hyperlink>
      <w:r>
        <w:rPr>
          <w:b w:val="0"/>
          <w:i w:val="0"/>
        </w:rPr>
        <w:t xml:space="preserve">; </w:t>
      </w:r>
      <w:hyperlink w:anchor="contraction-and-determination">
        <w:r>
          <w:rPr>
            <w:color w:val="000000"/>
          </w:rPr>
          <w:t xml:space="preserve">Contraction and determination</w:t>
        </w:r>
      </w:hyperlink>
      <w:r>
        <w:rPr>
          <w:b w:val="0"/>
          <w:i w:val="0"/>
        </w:rPr>
        <w:t xml:space="preserve">; </w:t>
      </w:r>
      <w:hyperlink w:anchor="beauty-and-fittingness">
        <w:r>
          <w:rPr>
            <w:color w:val="000000"/>
          </w:rPr>
          <w:t xml:space="preserve">Beauty and fittingness</w:t>
        </w:r>
      </w:hyperlink>
      <w:r>
        <w:rPr>
          <w:b w:val="0"/>
          <w:i w:val="0"/>
        </w:rPr>
        <w:t>.</w:t>
      </w:r>
    </w:p>
    <w:p>
      <w:bookmarkStart w:id="239" w:name="weariness-and-agility"/>
      <w:pPr>
        <w:pStyle w:val="Heading2"/>
      </w:pPr>
      <w:r>
        <w:rPr>
          <w:b w:val="0"/>
          <w:i w:val="0"/>
        </w:rPr>
        <w:t>Weariness and agility</w:t>
      </w:r>
      <w:bookmarkEnd w:id="239"/>
    </w:p>
    <w:p>
      <w:pPr>
        <w:keepNext/>
        <w:widowControl/>
      </w:pPr>
      <w:r>
        <w:rPr>
          <w:b/>
          <w:i w:val="0"/>
        </w:rPr>
        <w:t>Latin:</w:t>
      </w:r>
      <w:r>
        <w:rPr>
          <w:b w:val="0"/>
          <w:i w:val="0"/>
        </w:rPr>
        <w:t xml:space="preserve"> </w:t>
      </w:r>
      <w:r>
        <w:rPr>
          <w:b w:val="0"/>
          <w:i/>
        </w:rPr>
        <w:t>fatigatur</w:t>
      </w:r>
      <w:r>
        <w:rPr>
          <w:b w:val="0"/>
          <w:i w:val="0"/>
        </w:rPr>
        <w:t xml:space="preserve">, </w:t>
      </w:r>
      <w:r>
        <w:rPr>
          <w:b w:val="0"/>
          <w:i/>
        </w:rPr>
        <w:t>fatigari</w:t>
      </w:r>
      <w:r>
        <w:rPr>
          <w:b w:val="0"/>
          <w:i w:val="0"/>
        </w:rPr>
        <w:t xml:space="preserve">, </w:t>
      </w:r>
      <w:r>
        <w:rPr>
          <w:b w:val="0"/>
          <w:i/>
        </w:rPr>
        <w:t>labor</w:t>
      </w:r>
      <w:r>
        <w:rPr>
          <w:b w:val="0"/>
          <w:i w:val="0"/>
        </w:rPr>
        <w:t xml:space="preserve">, </w:t>
      </w:r>
      <w:r>
        <w:rPr>
          <w:b w:val="0"/>
          <w:i/>
        </w:rPr>
        <w:t>operosa</w:t>
      </w:r>
      <w:r>
        <w:rPr>
          <w:b w:val="0"/>
          <w:i w:val="0"/>
        </w:rPr>
        <w:t xml:space="preserve">, </w:t>
      </w:r>
      <w:r>
        <w:rPr>
          <w:b w:val="0"/>
          <w:i/>
        </w:rPr>
        <w:t>ineptum</w:t>
      </w:r>
      <w:r>
        <w:rPr>
          <w:b w:val="0"/>
          <w:i w:val="0"/>
        </w:rPr>
        <w:t xml:space="preserve">, </w:t>
      </w:r>
      <w:r>
        <w:rPr>
          <w:b w:val="0"/>
          <w:i/>
        </w:rPr>
        <w:t>agile</w:t>
      </w:r>
      <w:r>
        <w:rPr>
          <w:b w:val="0"/>
          <w:i w:val="0"/>
        </w:rPr>
        <w:t xml:space="preserve">, </w:t>
      </w:r>
      <w:r>
        <w:rPr>
          <w:b w:val="0"/>
          <w:i/>
        </w:rPr>
        <w:t>nutu levissimo</w:t>
      </w:r>
      <w:r>
        <w:rPr>
          <w:b w:val="0"/>
          <w:i w:val="0"/>
        </w:rPr>
        <w:t xml:space="preserve">, </w:t>
      </w:r>
      <w:r>
        <w:rPr>
          <w:b w:val="0"/>
          <w:i/>
        </w:rPr>
        <w:t>proclivitas</w:t>
      </w:r>
      <w:r>
        <w:rPr>
          <w:b w:val="0"/>
          <w:i w:val="0"/>
        </w:rPr>
        <w:t>.</w:t>
      </w:r>
    </w:p>
    <w:p>
      <w:pPr>
        <w:keepNext/>
        <w:widowControl/>
      </w:pPr>
      <w:r>
        <w:rPr>
          <w:b/>
          <w:i w:val="0"/>
        </w:rPr>
        <w:t>The word.</w:t>
      </w:r>
    </w:p>
    <w:p>
      <w:pPr>
        <w:widowControl/>
      </w:pPr>
      <w:r>
        <w:rPr>
          <w:b w:val="0"/>
          <w:i/>
        </w:rPr>
        <w:t>Fatigare</w:t>
      </w:r>
      <w:r>
        <w:rPr>
          <w:b w:val="0"/>
          <w:i w:val="0"/>
        </w:rPr>
        <w:t xml:space="preserve"> concerns tiring; </w:t>
      </w:r>
      <w:r>
        <w:rPr>
          <w:b w:val="0"/>
          <w:i/>
        </w:rPr>
        <w:t>labor</w:t>
      </w:r>
      <w:r>
        <w:rPr>
          <w:b w:val="0"/>
          <w:i w:val="0"/>
        </w:rPr>
        <w:t xml:space="preserve"> toil; </w:t>
      </w:r>
      <w:r>
        <w:rPr>
          <w:b w:val="0"/>
          <w:i/>
        </w:rPr>
        <w:t>operosus</w:t>
      </w:r>
      <w:r>
        <w:rPr>
          <w:b w:val="0"/>
          <w:i w:val="0"/>
        </w:rPr>
        <w:t xml:space="preserve"> laborious. </w:t>
      </w:r>
      <w:r>
        <w:rPr>
          <w:b w:val="0"/>
          <w:i/>
        </w:rPr>
        <w:t>Agilis</w:t>
      </w:r>
      <w:r>
        <w:rPr>
          <w:b w:val="0"/>
          <w:i w:val="0"/>
        </w:rPr>
        <w:t xml:space="preserve"> is easily moved or nimble, while </w:t>
      </w:r>
      <w:r>
        <w:rPr>
          <w:b w:val="0"/>
          <w:i/>
        </w:rPr>
        <w:t>ineptus</w:t>
      </w:r>
      <w:r>
        <w:rPr>
          <w:b w:val="0"/>
          <w:i w:val="0"/>
        </w:rPr>
        <w:t xml:space="preserve"> is unfitted for a task. </w:t>
      </w:r>
      <w:r>
        <w:rPr>
          <w:b w:val="0"/>
          <w:i/>
        </w:rPr>
        <w:t>Proclivitas</w:t>
      </w:r>
      <w:r>
        <w:rPr>
          <w:b w:val="0"/>
          <w:i w:val="0"/>
        </w:rPr>
        <w:t xml:space="preserve"> denotes inclination or readiness; it is not a vice by default.</w:t>
      </w:r>
    </w:p>
    <w:p>
      <w:pPr>
        <w:keepNext/>
        <w:widowControl/>
      </w:pPr>
      <w:r>
        <w:rPr>
          <w:b/>
          <w:i w:val="0"/>
        </w:rPr>
        <w:t>In the Platonic Theology.</w:t>
      </w:r>
    </w:p>
    <w:p>
      <w:pPr>
        <w:widowControl/>
      </w:pPr>
      <w:r>
        <w:rPr>
          <w:b w:val="0"/>
          <w:i w:val="0"/>
        </w:rPr>
        <w:t>Limited quality is said to tire because it is tied to particular matter, position, and parts, so it cannot sustain perpetual uniform motion. Celestial soul is not extended with its body, and celestial body is described as remarkably suited to being moved. These are separate reasons for rejecting fatigue: the mover’s mode of being and the recipient’s readiness. The comparison with human soul should not be extended into a denial of bodily exhaustion. Elsewhere human reason is explicitly occupied by the demanding administration of a needy body, unlike celestial reason, which can rest in mind.</w:t>
      </w:r>
    </w:p>
    <w:p>
      <w:pPr>
        <w:widowControl/>
      </w:pPr>
      <w:r>
        <w:rPr>
          <w:b w:val="0"/>
          <w:i w:val="0"/>
        </w:rPr>
        <w:t>Breeze moving dust and wind shaking mountains illustrate how a subtle mover might affect bodies; heavenly souls are then said to turn exceptionally subtle bodies with the slightest command. The final judgment locates motion’s principal origin and end in stability so that toil and transgression of bounds do not become ultimate explanations. Ease is thus linked with appropriate order, not with inactivity.</w:t>
      </w:r>
    </w:p>
    <w:p>
      <w:pPr>
        <w:keepNext/>
        <w:widowControl/>
      </w:pPr>
      <w:r>
        <w:rPr>
          <w:b/>
          <w:i w:val="0"/>
        </w:rPr>
        <w:t>The places.</w:t>
      </w:r>
    </w:p>
    <w:p>
      <w:pPr>
        <w:ind w:left="187" w:hanging="187"/>
      </w:pPr>
      <w:r>
        <w:t xml:space="preserve">• </w:t>
      </w:r>
      <w:r>
        <w:rPr>
          <w:b/>
          <w:i w:val="0"/>
        </w:rPr>
        <w:t>IV.1.55–56, PDF pp. 310–311:</w:t>
      </w:r>
      <w:r>
        <w:rPr>
          <w:b w:val="0"/>
          <w:i w:val="0"/>
        </w:rPr>
        <w:t xml:space="preserve"> bounded quality cannot explain unwearying celestial motion</w:t>
      </w:r>
    </w:p>
    <w:p>
      <w:pPr>
        <w:ind w:left="187" w:hanging="187"/>
      </w:pPr>
      <w:r>
        <w:t xml:space="preserve">• </w:t>
      </w:r>
      <w:r>
        <w:rPr>
          <w:b/>
          <w:i w:val="0"/>
        </w:rPr>
        <w:t>IV.2.11, pp. 338–339:</w:t>
      </w:r>
      <w:r>
        <w:rPr>
          <w:b w:val="0"/>
          <w:i w:val="0"/>
        </w:rPr>
        <w:t xml:space="preserve"> bodily need makes human administration laborious</w:t>
      </w:r>
    </w:p>
    <w:p>
      <w:pPr>
        <w:ind w:left="187" w:hanging="187"/>
      </w:pPr>
      <w:r>
        <w:t xml:space="preserve">• </w:t>
      </w:r>
      <w:r>
        <w:rPr>
          <w:b/>
          <w:i w:val="0"/>
        </w:rPr>
        <w:t>IV.2.18–19, pp. 342–345:</w:t>
      </w:r>
      <w:r>
        <w:rPr>
          <w:b w:val="0"/>
          <w:i w:val="0"/>
        </w:rPr>
        <w:t xml:space="preserve"> mover and movable contribute distinct explanations of ease</w:t>
      </w:r>
    </w:p>
    <w:p>
      <w:pPr>
        <w:ind w:left="187" w:hanging="187"/>
      </w:pPr>
      <w:r>
        <w:t xml:space="preserve">• </w:t>
      </w:r>
      <w:r>
        <w:rPr>
          <w:b/>
          <w:i w:val="0"/>
        </w:rPr>
        <w:t>IV.2.27, pp. 350–351:</w:t>
      </w:r>
      <w:r>
        <w:rPr>
          <w:b w:val="0"/>
          <w:i w:val="0"/>
        </w:rPr>
        <w:t xml:space="preserve"> stable direction prevents toil and passage beyond bounds from becoming the motion’s ultimate condition</w:t>
      </w:r>
    </w:p>
    <w:p>
      <w:pPr>
        <w:keepNext/>
        <w:widowControl/>
      </w:pPr>
      <w:r>
        <w:rPr>
          <w:b/>
          <w:i w:val="0"/>
        </w:rPr>
        <w:t>In this edition.</w:t>
      </w:r>
    </w:p>
    <w:p>
      <w:pPr>
        <w:widowControl/>
      </w:pPr>
      <w:r>
        <w:t>“</w:t>
      </w:r>
      <w:r>
        <w:rPr>
          <w:b w:val="0"/>
          <w:i w:val="0"/>
        </w:rPr>
        <w:t>Agile</w:t>
      </w:r>
      <w:r>
        <w:t>”</w:t>
      </w:r>
      <w:r>
        <w:rPr>
          <w:b w:val="0"/>
          <w:i w:val="0"/>
        </w:rPr>
        <w:t xml:space="preserve"> and </w:t>
      </w:r>
      <w:r>
        <w:t>“</w:t>
      </w:r>
      <w:r>
        <w:rPr>
          <w:b w:val="0"/>
          <w:i w:val="0"/>
        </w:rPr>
        <w:t>readiness to be moved</w:t>
      </w:r>
      <w:r>
        <w:t>”</w:t>
      </w:r>
      <w:r>
        <w:rPr>
          <w:b w:val="0"/>
          <w:i w:val="0"/>
        </w:rPr>
        <w:t xml:space="preserve"> describe bodily receptivity, while </w:t>
      </w:r>
      <w:r>
        <w:t>“</w:t>
      </w:r>
      <w:r>
        <w:rPr>
          <w:b w:val="0"/>
          <w:i w:val="0"/>
        </w:rPr>
        <w:t>efficacy in moving</w:t>
      </w:r>
      <w:r>
        <w:t>”</w:t>
      </w:r>
      <w:r>
        <w:rPr>
          <w:b w:val="0"/>
          <w:i w:val="0"/>
        </w:rPr>
        <w:t xml:space="preserve"> belongs to soul. Keeping this active/passive contrast prevents ease from being attributed indiscriminately to one side alone.</w:t>
      </w:r>
    </w:p>
    <w:p>
      <w:pPr>
        <w:keepNext/>
        <w:widowControl/>
      </w:pPr>
      <w:r>
        <w:rPr>
          <w:b/>
          <w:i w:val="0"/>
        </w:rPr>
        <w:t>See also.</w:t>
      </w:r>
    </w:p>
    <w:p>
      <w:pPr>
        <w:widowControl/>
      </w:pPr>
      <w:hyperlink w:anchor="quality">
        <w:r>
          <w:rPr>
            <w:color w:val="000000"/>
          </w:rPr>
          <w:t xml:space="preserve">Quality</w:t>
        </w:r>
      </w:hyperlink>
      <w:r>
        <w:rPr>
          <w:b w:val="0"/>
          <w:i w:val="0"/>
        </w:rPr>
        <w:t xml:space="preserve">; </w:t>
      </w:r>
      <w:hyperlink w:anchor="leisure">
        <w:r>
          <w:rPr>
            <w:color w:val="000000"/>
          </w:rPr>
          <w:t xml:space="preserve">Leisure</w:t>
        </w:r>
      </w:hyperlink>
      <w:r>
        <w:rPr>
          <w:b w:val="0"/>
          <w:i w:val="0"/>
        </w:rPr>
        <w:t xml:space="preserve">; </w:t>
      </w:r>
      <w:hyperlink w:anchor="motion-and-stability">
        <w:r>
          <w:rPr>
            <w:color w:val="000000"/>
          </w:rPr>
          <w:t xml:space="preserve">Motion and stability</w:t>
        </w:r>
      </w:hyperlink>
      <w:r>
        <w:rPr>
          <w:b w:val="0"/>
          <w:i w:val="0"/>
        </w:rPr>
        <w:t xml:space="preserve">; </w:t>
      </w:r>
      <w:hyperlink w:anchor="need-and-sufficiency">
        <w:r>
          <w:rPr>
            <w:color w:val="000000"/>
          </w:rPr>
          <w:t xml:space="preserve">Need and sufficiency</w:t>
        </w:r>
      </w:hyperlink>
      <w:r>
        <w:rPr>
          <w:b w:val="0"/>
          <w:i w:val="0"/>
        </w:rPr>
        <w:t>.</w:t>
      </w:r>
    </w:p>
    <w:p>
      <w:bookmarkStart w:id="240" w:name="weaving-and-world-fabric"/>
      <w:pPr>
        <w:pStyle w:val="Heading2"/>
      </w:pPr>
      <w:r>
        <w:rPr>
          <w:b w:val="0"/>
          <w:i w:val="0"/>
        </w:rPr>
        <w:t>Weaving and world fabric</w:t>
      </w:r>
      <w:bookmarkEnd w:id="240"/>
    </w:p>
    <w:p>
      <w:pPr>
        <w:keepNext/>
        <w:widowControl/>
      </w:pPr>
      <w:r>
        <w:rPr>
          <w:b/>
          <w:i w:val="0"/>
        </w:rPr>
        <w:t>Latin:</w:t>
      </w:r>
      <w:r>
        <w:rPr>
          <w:b w:val="0"/>
          <w:i w:val="0"/>
        </w:rPr>
        <w:t xml:space="preserve"> machina mundi; retexit telam; machinae; machinam corporalem</w:t>
      </w:r>
    </w:p>
    <w:p>
      <w:pPr>
        <w:keepNext/>
        <w:widowControl/>
      </w:pPr>
      <w:r>
        <w:rPr>
          <w:b/>
          <w:i w:val="0"/>
        </w:rPr>
        <w:t>The word.</w:t>
      </w:r>
    </w:p>
    <w:p>
      <w:pPr>
        <w:widowControl/>
      </w:pPr>
      <w:r>
        <w:rPr>
          <w:b w:val="0"/>
          <w:i w:val="0"/>
        </w:rPr>
        <w:t>Machina designates an organized construction or fabric here; tela is a woven web, and retexere is to weave again or renew the weaving. Neither noun by itself implies a modern mechanical machine or an electronic web.</w:t>
      </w:r>
    </w:p>
    <w:p>
      <w:pPr>
        <w:keepNext/>
        <w:widowControl/>
      </w:pPr>
      <w:r>
        <w:rPr>
          <w:b/>
          <w:i w:val="0"/>
        </w:rPr>
        <w:t>In the Platonic Theology.</w:t>
      </w:r>
    </w:p>
    <w:p>
      <w:pPr>
        <w:widowControl/>
      </w:pPr>
      <w:r>
        <w:rPr>
          <w:b w:val="0"/>
          <w:i w:val="0"/>
        </w:rPr>
        <w:t xml:space="preserve">The recurring world-order </w:t>
      </w:r>
      <w:r>
        <w:t>“</w:t>
      </w:r>
      <w:r>
        <w:rPr>
          <w:b w:val="0"/>
          <w:i w:val="0"/>
        </w:rPr>
        <w:t>weaves anew</w:t>
      </w:r>
      <w:r>
        <w:t>”</w:t>
      </w:r>
      <w:r>
        <w:rPr>
          <w:b w:val="0"/>
          <w:i w:val="0"/>
        </w:rPr>
        <w:t xml:space="preserve"> a similar fabric in a similar way. Repetition, not just the existence of an intricate product, is the feature used against chance. Later, the enormous manifold cosmic fabric’s uniform motion over the ages serves as evidence of its governor’s inexhaustible power.</w:t>
      </w:r>
    </w:p>
    <w:p>
      <w:pPr>
        <w:widowControl/>
      </w:pPr>
      <w:r>
        <w:rPr>
          <w:b w:val="0"/>
          <w:i w:val="0"/>
        </w:rPr>
        <w:t>The image is then qualified in the debate between reason and imagination. Imagination takes the bodily fabric to be the whole nature of things and therefore treats divine presence as a spatial filling problem. Reason calls that fabric a slight shadow, limited in magnitude though indefinitely divisible. A word that first evokes impressive order thus later warns against confusing the visible organized whole with the full scope of reality.</w:t>
      </w:r>
    </w:p>
    <w:p>
      <w:pPr>
        <w:keepNext/>
        <w:widowControl/>
      </w:pPr>
      <w:r>
        <w:rPr>
          <w:b/>
          <w:i w:val="0"/>
        </w:rPr>
        <w:t>The places.</w:t>
      </w:r>
    </w:p>
    <w:p>
      <w:pPr>
        <w:ind w:left="187" w:hanging="187"/>
      </w:pPr>
      <w:r>
        <w:t xml:space="preserve">• </w:t>
      </w:r>
      <w:r>
        <w:rPr>
          <w:b w:val="0"/>
          <w:i w:val="0"/>
        </w:rPr>
        <w:t>II.2.2, II.2.9 (PDF pp. 104–105, 110–111): Harmony in the cosmic fabric and the renewed web of recurrent order</w:t>
      </w:r>
    </w:p>
    <w:p>
      <w:pPr>
        <w:ind w:left="187" w:hanging="187"/>
      </w:pPr>
      <w:r>
        <w:t xml:space="preserve">• </w:t>
      </w:r>
      <w:r>
        <w:rPr>
          <w:b w:val="0"/>
          <w:i w:val="0"/>
        </w:rPr>
        <w:t>II.4.7 (PDF pp. 124–125): The vast manifold fabric supports the inference to an unwearied governor</w:t>
      </w:r>
    </w:p>
    <w:p>
      <w:pPr>
        <w:ind w:left="187" w:hanging="187"/>
      </w:pPr>
      <w:r>
        <w:t xml:space="preserve">• </w:t>
      </w:r>
      <w:r>
        <w:rPr>
          <w:b w:val="0"/>
          <w:i w:val="0"/>
        </w:rPr>
        <w:t>II.6.13 (PDF pp. 134–135): The bodily fabric is contrasted with the fuller nature of things</w:t>
      </w:r>
    </w:p>
    <w:p>
      <w:pPr>
        <w:keepNext/>
        <w:widowControl/>
      </w:pPr>
      <w:r>
        <w:rPr>
          <w:b/>
          <w:i w:val="0"/>
        </w:rPr>
        <w:t>In this edition.</w:t>
      </w:r>
    </w:p>
    <w:p>
      <w:pPr>
        <w:widowControl/>
      </w:pPr>
      <w:r>
        <w:t>“</w:t>
      </w:r>
      <w:r>
        <w:rPr>
          <w:b w:val="0"/>
          <w:i w:val="0"/>
        </w:rPr>
        <w:t>Fabric</w:t>
      </w:r>
      <w:r>
        <w:t>”</w:t>
      </w:r>
      <w:r>
        <w:rPr>
          <w:b w:val="0"/>
          <w:i w:val="0"/>
        </w:rPr>
        <w:t xml:space="preserve"> keeps machina’s sense of an arranged whole without introducing machinery absent from the passage. </w:t>
      </w:r>
      <w:r>
        <w:t>“</w:t>
      </w:r>
      <w:r>
        <w:rPr>
          <w:b w:val="0"/>
          <w:i w:val="0"/>
        </w:rPr>
        <w:t>Always</w:t>
      </w:r>
      <w:r>
        <w:t>”</w:t>
      </w:r>
      <w:r>
        <w:rPr>
          <w:b w:val="0"/>
          <w:i w:val="0"/>
        </w:rPr>
        <w:t xml:space="preserve"> in the weaving sentence is Ficino’s description of cosmic regularity, not a modern observational finding.</w:t>
      </w:r>
    </w:p>
    <w:p>
      <w:pPr>
        <w:keepNext/>
        <w:widowControl/>
      </w:pPr>
      <w:r>
        <w:rPr>
          <w:b/>
          <w:i w:val="0"/>
        </w:rPr>
        <w:t>See also.</w:t>
      </w:r>
    </w:p>
    <w:p>
      <w:pPr>
        <w:widowControl/>
      </w:pPr>
      <w:hyperlink w:anchor="order-and-harmony">
        <w:r>
          <w:rPr>
            <w:color w:val="000000"/>
          </w:rPr>
          <w:t xml:space="preserve">Order and harmony</w:t>
        </w:r>
      </w:hyperlink>
      <w:r>
        <w:rPr>
          <w:b w:val="0"/>
          <w:i w:val="0"/>
        </w:rPr>
        <w:t xml:space="preserve">; </w:t>
      </w:r>
      <w:hyperlink w:anchor="chance">
        <w:r>
          <w:rPr>
            <w:color w:val="000000"/>
          </w:rPr>
          <w:t xml:space="preserve">Chance</w:t>
        </w:r>
      </w:hyperlink>
      <w:r>
        <w:rPr>
          <w:b w:val="0"/>
          <w:i w:val="0"/>
        </w:rPr>
        <w:t xml:space="preserve">; </w:t>
      </w:r>
      <w:hyperlink w:anchor="imagination-and-deceptive-clothing">
        <w:r>
          <w:rPr>
            <w:color w:val="000000"/>
          </w:rPr>
          <w:t xml:space="preserve">Imagination and deceptive clothing</w:t>
        </w:r>
      </w:hyperlink>
      <w:r>
        <w:rPr>
          <w:b w:val="0"/>
          <w:i w:val="0"/>
        </w:rPr>
        <w:t xml:space="preserve">; </w:t>
      </w:r>
      <w:hyperlink w:anchor="failure-weariness-and-endurance">
        <w:r>
          <w:rPr>
            <w:color w:val="000000"/>
          </w:rPr>
          <w:t xml:space="preserve">Failure weariness and endurance</w:t>
        </w:r>
      </w:hyperlink>
      <w:r>
        <w:rPr>
          <w:b w:val="0"/>
          <w:i w:val="0"/>
        </w:rPr>
        <w:t>.</w:t>
      </w:r>
    </w:p>
    <w:p>
      <w:bookmarkStart w:id="241" w:name="whole-and-parts"/>
      <w:pPr>
        <w:pStyle w:val="Heading2"/>
      </w:pPr>
      <w:r>
        <w:rPr>
          <w:b w:val="0"/>
          <w:i w:val="0"/>
        </w:rPr>
        <w:t>Whole and parts</w:t>
      </w:r>
      <w:bookmarkEnd w:id="241"/>
    </w:p>
    <w:p>
      <w:pPr>
        <w:keepNext/>
        <w:widowControl/>
      </w:pPr>
      <w:r>
        <w:rPr>
          <w:b/>
          <w:i w:val="0"/>
        </w:rPr>
        <w:t>Latin:</w:t>
      </w:r>
      <w:r>
        <w:rPr>
          <w:b w:val="0"/>
          <w:i w:val="0"/>
        </w:rPr>
        <w:t xml:space="preserve"> </w:t>
      </w:r>
      <w:r>
        <w:rPr>
          <w:b w:val="0"/>
          <w:i/>
        </w:rPr>
        <w:t>totum</w:t>
      </w:r>
      <w:r>
        <w:rPr>
          <w:b w:val="0"/>
          <w:i w:val="0"/>
        </w:rPr>
        <w:t xml:space="preserve">, </w:t>
      </w:r>
      <w:r>
        <w:rPr>
          <w:b w:val="0"/>
          <w:i/>
        </w:rPr>
        <w:t>pars</w:t>
      </w:r>
      <w:r>
        <w:rPr>
          <w:b w:val="0"/>
          <w:i w:val="0"/>
        </w:rPr>
        <w:t xml:space="preserve">, </w:t>
      </w:r>
      <w:r>
        <w:rPr>
          <w:b w:val="0"/>
          <w:i/>
        </w:rPr>
        <w:t>integram</w:t>
      </w:r>
      <w:r>
        <w:rPr>
          <w:b w:val="0"/>
          <w:i w:val="0"/>
        </w:rPr>
        <w:t xml:space="preserve">, </w:t>
      </w:r>
      <w:r>
        <w:rPr>
          <w:b w:val="0"/>
          <w:i/>
        </w:rPr>
        <w:t>integrum</w:t>
      </w:r>
      <w:r>
        <w:rPr>
          <w:b w:val="0"/>
          <w:i w:val="0"/>
        </w:rPr>
        <w:t xml:space="preserve">, </w:t>
      </w:r>
      <w:r>
        <w:rPr>
          <w:b w:val="0"/>
          <w:i/>
        </w:rPr>
        <w:t>universum</w:t>
      </w:r>
      <w:r>
        <w:rPr>
          <w:b w:val="0"/>
          <w:i w:val="0"/>
        </w:rPr>
        <w:t xml:space="preserve">, </w:t>
      </w:r>
      <w:r>
        <w:rPr>
          <w:b w:val="0"/>
          <w:i/>
        </w:rPr>
        <w:t>machina mundi</w:t>
      </w:r>
      <w:r>
        <w:rPr>
          <w:b w:val="0"/>
          <w:i w:val="0"/>
        </w:rPr>
        <w:t xml:space="preserve">; </w:t>
      </w:r>
      <w:r>
        <w:rPr>
          <w:b w:val="0"/>
          <w:i/>
        </w:rPr>
        <w:t>omne</w:t>
      </w:r>
      <w:r>
        <w:rPr>
          <w:b w:val="0"/>
          <w:i w:val="0"/>
        </w:rPr>
        <w:t xml:space="preserve">, </w:t>
      </w:r>
      <w:r>
        <w:rPr>
          <w:b w:val="0"/>
          <w:i/>
        </w:rPr>
        <w:t>triplex omne</w:t>
      </w:r>
      <w:r>
        <w:rPr>
          <w:b w:val="0"/>
          <w:i w:val="0"/>
        </w:rPr>
        <w:t xml:space="preserve">, </w:t>
      </w:r>
      <w:r>
        <w:rPr>
          <w:b w:val="0"/>
          <w:i/>
        </w:rPr>
        <w:t>super omne</w:t>
      </w:r>
      <w:r>
        <w:rPr>
          <w:b w:val="0"/>
          <w:i w:val="0"/>
        </w:rPr>
        <w:t xml:space="preserve">, </w:t>
      </w:r>
      <w:r>
        <w:rPr>
          <w:b w:val="0"/>
          <w:i/>
        </w:rPr>
        <w:t>sub omni</w:t>
      </w:r>
    </w:p>
    <w:p>
      <w:pPr>
        <w:keepNext/>
        <w:widowControl/>
      </w:pPr>
      <w:r>
        <w:rPr>
          <w:b/>
          <w:i w:val="0"/>
        </w:rPr>
        <w:t>The word.</w:t>
      </w:r>
    </w:p>
    <w:p>
      <w:pPr>
        <w:widowControl/>
      </w:pPr>
      <w:r>
        <w:rPr>
          <w:b w:val="0"/>
          <w:i w:val="0"/>
        </w:rPr>
        <w:t>Totum names a whole; pars a part; integrum emphasizes completeness; omne becomes a technical totality in Book IV. Whole presence and a whole assembled from parts are not equivalent senses.</w:t>
      </w:r>
    </w:p>
    <w:p>
      <w:pPr>
        <w:keepNext/>
        <w:widowControl/>
      </w:pPr>
      <w:r>
        <w:rPr>
          <w:b/>
          <w:i w:val="0"/>
        </w:rPr>
        <w:t>In the Platonic Theology.</w:t>
      </w:r>
    </w:p>
    <w:p>
      <w:pPr>
        <w:widowControl/>
      </w:pPr>
      <w:r>
        <w:t>“</w:t>
      </w:r>
      <w:r>
        <w:rPr>
          <w:b w:val="0"/>
          <w:i w:val="0"/>
        </w:rPr>
        <w:t>Whole</w:t>
      </w:r>
      <w:r>
        <w:t>”</w:t>
      </w:r>
      <w:r>
        <w:rPr>
          <w:b w:val="0"/>
          <w:i w:val="0"/>
        </w:rPr>
        <w:t xml:space="preserve"> has several distinct roles. A composite bodily whole depends upon its parts and their coordination. The world’s ordered whole possesses a goodness exceeding that of an isolated part, because their relations and proportions contribute to a shared end. When the language of wholeness is applied to God, it signifies completeness without assembly: whatever is in him is whole, without smaller and greater constituent portions. The later technical classification accordingly places him above a whole constituted by plurality. The theory of minds wholly present throughout immensity similarly describes indivisible presence rather than spatial distribution, but Ficino explicitly attributes that theory to earlier thinkers. In creation and preservation, God’s production of an effect </w:t>
      </w:r>
      <w:r>
        <w:rPr>
          <w:b w:val="0"/>
          <w:i/>
        </w:rPr>
        <w:t>totum</w:t>
      </w:r>
      <w:r>
        <w:rPr>
          <w:b w:val="0"/>
          <w:i w:val="0"/>
        </w:rPr>
        <w:t>, in its entirety, means that no independent remainder falls outside its dependence. Nor can any finite whole or collection of images exhaust the infinite exemplar.</w:t>
      </w:r>
    </w:p>
    <w:p>
      <w:pPr>
        <w:widowControl/>
      </w:pPr>
      <w:r>
        <w:rPr>
          <w:b w:val="0"/>
          <w:i w:val="0"/>
        </w:rPr>
        <w:t xml:space="preserve">Book IV introduces a more technical classification through </w:t>
      </w:r>
      <w:r>
        <w:rPr>
          <w:b w:val="0"/>
          <w:i/>
        </w:rPr>
        <w:t>omne</w:t>
      </w:r>
      <w:r>
        <w:rPr>
          <w:b w:val="0"/>
          <w:i w:val="0"/>
        </w:rPr>
        <w:t xml:space="preserve">. God is above every whole as simple unity beyond number, and individual bodies lie beneath the whole. Between these stand three modes of totality. Angel is one in essence, point, and moment: a single substance, spatially undispersed, and possessing its perfections together. Soul is one in essence and point but varies through moments. World-matter remains one substance while varying in time and extending through many spatial points. </w:t>
      </w:r>
      <w:r>
        <w:t>“</w:t>
      </w:r>
      <w:r>
        <w:rPr>
          <w:b w:val="0"/>
          <w:i w:val="0"/>
        </w:rPr>
        <w:t>One in point</w:t>
      </w:r>
      <w:r>
        <w:t>”</w:t>
      </w:r>
      <w:r>
        <w:rPr>
          <w:b w:val="0"/>
          <w:i w:val="0"/>
        </w:rPr>
        <w:t xml:space="preserve"> means spatial indivisibility, not a soul reduced to a geometrical point situated in a body.</w:t>
      </w:r>
    </w:p>
    <w:p>
      <w:pPr>
        <w:widowControl/>
      </w:pPr>
      <w:r>
        <w:rPr>
          <w:b w:val="0"/>
          <w:i w:val="0"/>
        </w:rPr>
        <w:t>This is a descent between grades, not a transformation in which soul eventually acquires bodily extension. Temporal multiplicity first appears at the level of soul; spatial dispersion appears at the lower level of world-matter. Ficino argues that spatial plurality in essence entails temporal plurality in operation, but temporal plurality need not entail spatial division. An essence may exceed its operation in unity and perfection, not conversely. Hence time is encountered before place in the explanatory order, rather than at an earlier date in cosmic history.</w:t>
      </w:r>
    </w:p>
    <w:p>
      <w:pPr>
        <w:widowControl/>
      </w:pPr>
      <w:r>
        <w:rPr>
          <w:b w:val="0"/>
          <w:i w:val="0"/>
        </w:rPr>
        <w:t>The three wholes also differ in their manner of containing principles. Angel holds them all together in habitual possession and actuality; soul holds all in possession rather than universal simultaneous actualization; matter contains them all in potency, without habitual possession, and receives them only in succession. IV.2.10 then qualifies the soul-level description by distinguishing celestial mind, whose Ideas are together actually, from its lowest motive power, whose productive seeds unfold successively. These wholes are therefore modes of containing and realizing multiplicity, not simply larger and smaller collections of physical parts.</w:t>
      </w:r>
    </w:p>
    <w:p>
      <w:pPr>
        <w:keepNext/>
        <w:widowControl/>
      </w:pPr>
      <w:r>
        <w:rPr>
          <w:b/>
          <w:i w:val="0"/>
        </w:rPr>
        <w:t>The places.</w:t>
      </w:r>
    </w:p>
    <w:p>
      <w:pPr>
        <w:ind w:left="187" w:hanging="187"/>
      </w:pPr>
      <w:r>
        <w:t xml:space="preserve">• </w:t>
      </w:r>
      <w:r>
        <w:rPr>
          <w:b/>
          <w:i w:val="0"/>
        </w:rPr>
        <w:t>II.2.3, PDF pp. 104–105</w:t>
      </w:r>
      <w:r>
        <w:rPr>
          <w:b w:val="0"/>
          <w:i w:val="0"/>
        </w:rPr>
        <w:t>. A composite whole depends on its parts and their unifying source.</w:t>
      </w:r>
    </w:p>
    <w:p>
      <w:pPr>
        <w:ind w:left="187" w:hanging="187"/>
      </w:pPr>
      <w:r>
        <w:t xml:space="preserve">• </w:t>
      </w:r>
      <w:r>
        <w:rPr>
          <w:b/>
          <w:i w:val="0"/>
        </w:rPr>
        <w:t>II.6.13–14 and II.6.24, PDF pp. 134–143</w:t>
      </w:r>
      <w:r>
        <w:rPr>
          <w:b w:val="0"/>
          <w:i w:val="0"/>
        </w:rPr>
        <w:t>. Wholly present mind is treated under an expressly attributed account rather than partitioned spatial distribution.</w:t>
      </w:r>
    </w:p>
    <w:p>
      <w:pPr>
        <w:ind w:left="187" w:hanging="187"/>
      </w:pPr>
      <w:r>
        <w:t xml:space="preserve">• </w:t>
      </w:r>
      <w:r>
        <w:rPr>
          <w:b/>
          <w:i w:val="0"/>
        </w:rPr>
        <w:t>II.9.21–22, PDF pp. 174–175</w:t>
      </w:r>
      <w:r>
        <w:rPr>
          <w:b w:val="0"/>
          <w:i w:val="0"/>
        </w:rPr>
        <w:t>. The whole order’s goodness involves relations among differentiated parts.</w:t>
      </w:r>
    </w:p>
    <w:p>
      <w:pPr>
        <w:ind w:left="187" w:hanging="187"/>
      </w:pPr>
      <w:r>
        <w:t xml:space="preserve">• </w:t>
      </w:r>
      <w:r>
        <w:rPr>
          <w:b/>
          <w:i w:val="0"/>
        </w:rPr>
        <w:t>IV.2.3–9, PDF pp. 334–337</w:t>
      </w:r>
      <w:r>
        <w:rPr>
          <w:b w:val="0"/>
          <w:i w:val="0"/>
        </w:rPr>
        <w:t>. God above whole, three grades of whole, and individual bodies below whole are systematically distinguished.</w:t>
      </w:r>
    </w:p>
    <w:p>
      <w:pPr>
        <w:ind w:left="187" w:hanging="187"/>
      </w:pPr>
      <w:r>
        <w:t xml:space="preserve">• </w:t>
      </w:r>
      <w:r>
        <w:rPr>
          <w:b/>
          <w:i w:val="0"/>
        </w:rPr>
        <w:t>IV.2.10–11, PDF pp. 338–339</w:t>
      </w:r>
      <w:r>
        <w:rPr>
          <w:b w:val="0"/>
          <w:i w:val="0"/>
        </w:rPr>
        <w:t>. Celestial powers qualify the broad soul-totality account through different modes of simultaneous possession.</w:t>
      </w:r>
    </w:p>
    <w:p>
      <w:pPr>
        <w:widowControl/>
      </w:pPr>
      <w:r>
        <w:rPr>
          <w:b/>
          <w:i w:val="0"/>
        </w:rPr>
        <w:t>Further passage references.</w:t>
      </w:r>
      <w:r>
        <w:rPr>
          <w:b w:val="0"/>
          <w:i w:val="0"/>
        </w:rPr>
        <w:t xml:space="preserve"> II.2.3, pp. 104–105; II.6.13–14, pp. 134–137; II.6.24, pp. 142–143; II.7.21–23, pp. 152–155; II.9.21–22, pp. 174–175; II.10.5, pp. 176–177; IV.2.3–IV.2.10, pp. 334–339; apparatus p. 394; IV.2.10–11, pp. 338–339</w:t>
      </w:r>
    </w:p>
    <w:p>
      <w:pPr>
        <w:keepNext/>
        <w:widowControl/>
      </w:pPr>
      <w:r>
        <w:rPr>
          <w:b/>
          <w:i w:val="0"/>
        </w:rPr>
        <w:t>In this edition.</w:t>
      </w:r>
    </w:p>
    <w:p>
      <w:pPr>
        <w:widowControl/>
      </w:pPr>
      <w:r>
        <w:rPr>
          <w:b w:val="0"/>
          <w:i w:val="0"/>
        </w:rPr>
        <w:t xml:space="preserve">The edition renders omne as </w:t>
      </w:r>
      <w:r>
        <w:t>“</w:t>
      </w:r>
      <w:r>
        <w:rPr>
          <w:b w:val="0"/>
          <w:i w:val="0"/>
        </w:rPr>
        <w:t>whole</w:t>
      </w:r>
      <w:r>
        <w:t>”</w:t>
      </w:r>
      <w:r>
        <w:rPr>
          <w:b w:val="0"/>
          <w:i w:val="0"/>
        </w:rPr>
        <w:t xml:space="preserve"> in IV.2 to retain its graded metaphysical use. </w:t>
      </w:r>
      <w:r>
        <w:t>“</w:t>
      </w:r>
      <w:r>
        <w:rPr>
          <w:b w:val="0"/>
          <w:i w:val="0"/>
        </w:rPr>
        <w:t>One in point</w:t>
      </w:r>
      <w:r>
        <w:t>”</w:t>
      </w:r>
      <w:r>
        <w:rPr>
          <w:b w:val="0"/>
          <w:i w:val="0"/>
        </w:rPr>
        <w:t xml:space="preserve"> means spatially undispersed, not confined like a geometrical point; </w:t>
      </w:r>
      <w:r>
        <w:t>“</w:t>
      </w:r>
      <w:r>
        <w:rPr>
          <w:b w:val="0"/>
          <w:i w:val="0"/>
        </w:rPr>
        <w:t>one in moment</w:t>
      </w:r>
      <w:r>
        <w:t>”</w:t>
      </w:r>
      <w:r>
        <w:rPr>
          <w:b w:val="0"/>
          <w:i w:val="0"/>
        </w:rPr>
        <w:t xml:space="preserve"> contrasts with successive variation.</w:t>
      </w:r>
    </w:p>
    <w:p>
      <w:pPr>
        <w:keepNext/>
        <w:widowControl/>
      </w:pPr>
      <w:r>
        <w:rPr>
          <w:b/>
          <w:i w:val="0"/>
        </w:rPr>
        <w:t>See also.</w:t>
      </w:r>
    </w:p>
    <w:p>
      <w:pPr>
        <w:widowControl/>
      </w:pPr>
      <w:hyperlink w:anchor="simplicity-and-composition">
        <w:r>
          <w:rPr>
            <w:color w:val="000000"/>
          </w:rPr>
          <w:t xml:space="preserve">Simplicity and composition</w:t>
        </w:r>
      </w:hyperlink>
      <w:r>
        <w:rPr>
          <w:b w:val="0"/>
          <w:i w:val="0"/>
        </w:rPr>
        <w:t xml:space="preserve">; </w:t>
      </w:r>
      <w:hyperlink w:anchor="order-and-harmony">
        <w:r>
          <w:rPr>
            <w:color w:val="000000"/>
          </w:rPr>
          <w:t xml:space="preserve">Order and harmony</w:t>
        </w:r>
      </w:hyperlink>
      <w:r>
        <w:rPr>
          <w:b w:val="0"/>
          <w:i w:val="0"/>
        </w:rPr>
        <w:t xml:space="preserve">; </w:t>
      </w:r>
      <w:hyperlink w:anchor="mind">
        <w:r>
          <w:rPr>
            <w:color w:val="000000"/>
          </w:rPr>
          <w:t xml:space="preserve">Mind</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ideas-and-exemplars">
        <w:r>
          <w:rPr>
            <w:color w:val="000000"/>
          </w:rPr>
          <w:t xml:space="preserve">Ideas and exemplars</w:t>
        </w:r>
      </w:hyperlink>
      <w:r>
        <w:rPr>
          <w:b w:val="0"/>
          <w:i w:val="0"/>
        </w:rPr>
        <w:t xml:space="preserve">; </w:t>
      </w:r>
      <w:hyperlink w:anchor="unity-and-multiplicity">
        <w:r>
          <w:rPr>
            <w:color w:val="000000"/>
          </w:rPr>
          <w:t xml:space="preserve">Unity and multiplicity</w:t>
        </w:r>
      </w:hyperlink>
      <w:r>
        <w:rPr>
          <w:b w:val="0"/>
          <w:i w:val="0"/>
        </w:rPr>
        <w:t xml:space="preserve">; </w:t>
      </w:r>
      <w:hyperlink w:anchor="habitual-possession">
        <w:r>
          <w:rPr>
            <w:color w:val="000000"/>
          </w:rPr>
          <w:t xml:space="preserve">Habitual possession</w:t>
        </w:r>
      </w:hyperlink>
      <w:r>
        <w:rPr>
          <w:b w:val="0"/>
          <w:i w:val="0"/>
        </w:rPr>
        <w:t xml:space="preserve">; </w:t>
      </w:r>
      <w:hyperlink w:anchor="matter">
        <w:r>
          <w:rPr>
            <w:color w:val="000000"/>
          </w:rPr>
          <w:t xml:space="preserve">Matter</w:t>
        </w:r>
      </w:hyperlink>
      <w:r>
        <w:rPr>
          <w:b w:val="0"/>
          <w:i w:val="0"/>
        </w:rPr>
        <w:t xml:space="preserve">; </w:t>
      </w:r>
      <w:hyperlink w:anchor="eternity-and-time">
        <w:r>
          <w:rPr>
            <w:color w:val="000000"/>
          </w:rPr>
          <w:t xml:space="preserve">Eternity and time</w:t>
        </w:r>
      </w:hyperlink>
      <w:r>
        <w:rPr>
          <w:b w:val="0"/>
          <w:i w:val="0"/>
        </w:rPr>
        <w:t xml:space="preserve">; </w:t>
      </w:r>
      <w:hyperlink w:anchor="angel">
        <w:r>
          <w:rPr>
            <w:color w:val="000000"/>
          </w:rPr>
          <w:t xml:space="preserve">Angel</w:t>
        </w:r>
      </w:hyperlink>
    </w:p>
    <w:p>
      <w:bookmarkStart w:id="242" w:name="will"/>
      <w:pPr>
        <w:pStyle w:val="Heading2"/>
      </w:pPr>
      <w:r>
        <w:rPr>
          <w:b w:val="0"/>
          <w:i w:val="0"/>
        </w:rPr>
        <w:t>Will</w:t>
      </w:r>
      <w:bookmarkEnd w:id="242"/>
    </w:p>
    <w:p>
      <w:pPr>
        <w:keepNext/>
        <w:widowControl/>
      </w:pPr>
      <w:r>
        <w:rPr>
          <w:b/>
          <w:i w:val="0"/>
        </w:rPr>
        <w:t>Latin:</w:t>
      </w:r>
      <w:r>
        <w:rPr>
          <w:b w:val="0"/>
          <w:i w:val="0"/>
        </w:rPr>
        <w:t xml:space="preserve"> </w:t>
      </w:r>
      <w:r>
        <w:rPr>
          <w:b w:val="0"/>
          <w:i/>
        </w:rPr>
        <w:t>voluntas</w:t>
      </w:r>
      <w:r>
        <w:rPr>
          <w:b w:val="0"/>
          <w:i w:val="0"/>
        </w:rPr>
        <w:t xml:space="preserve">, </w:t>
      </w:r>
      <w:r>
        <w:rPr>
          <w:b w:val="0"/>
          <w:i/>
        </w:rPr>
        <w:t>velle</w:t>
      </w:r>
      <w:r>
        <w:rPr>
          <w:b w:val="0"/>
          <w:i w:val="0"/>
        </w:rPr>
        <w:t xml:space="preserve">, </w:t>
      </w:r>
      <w:r>
        <w:rPr>
          <w:b w:val="0"/>
          <w:i/>
        </w:rPr>
        <w:t>nolle</w:t>
      </w:r>
      <w:r>
        <w:rPr>
          <w:b w:val="0"/>
          <w:i w:val="0"/>
        </w:rPr>
        <w:t xml:space="preserve">, </w:t>
      </w:r>
      <w:r>
        <w:rPr>
          <w:b w:val="0"/>
          <w:i/>
        </w:rPr>
        <w:t>recta voluntas</w:t>
      </w:r>
      <w:r>
        <w:rPr>
          <w:b w:val="0"/>
          <w:i w:val="0"/>
        </w:rPr>
        <w:t xml:space="preserve">; </w:t>
      </w:r>
      <w:r>
        <w:rPr>
          <w:b w:val="0"/>
          <w:i/>
        </w:rPr>
        <w:t>memoria</w:t>
      </w:r>
      <w:r>
        <w:rPr>
          <w:b w:val="0"/>
          <w:i w:val="0"/>
        </w:rPr>
        <w:t xml:space="preserve">; </w:t>
      </w:r>
      <w:r>
        <w:rPr>
          <w:b w:val="0"/>
          <w:i/>
        </w:rPr>
        <w:t>voluntatis assensus</w:t>
      </w:r>
      <w:r>
        <w:rPr>
          <w:b w:val="0"/>
          <w:i w:val="0"/>
        </w:rPr>
        <w:t xml:space="preserve">, </w:t>
      </w:r>
      <w:r>
        <w:rPr>
          <w:b w:val="0"/>
          <w:i/>
        </w:rPr>
        <w:t>voluntatis imperium</w:t>
      </w:r>
      <w:r>
        <w:rPr>
          <w:b w:val="0"/>
          <w:i w:val="0"/>
        </w:rPr>
        <w:t xml:space="preserve">, </w:t>
      </w:r>
      <w:r>
        <w:rPr>
          <w:b w:val="0"/>
          <w:i/>
        </w:rPr>
        <w:t>inclinatio mentis ad bonum</w:t>
      </w:r>
      <w:r>
        <w:rPr>
          <w:b w:val="0"/>
          <w:i w:val="0"/>
        </w:rPr>
        <w:t xml:space="preserve">, </w:t>
      </w:r>
      <w:r>
        <w:rPr>
          <w:b w:val="0"/>
          <w:i/>
        </w:rPr>
        <w:t>eligere</w:t>
      </w:r>
    </w:p>
    <w:p>
      <w:pPr>
        <w:keepNext/>
        <w:widowControl/>
      </w:pPr>
      <w:r>
        <w:rPr>
          <w:b/>
          <w:i w:val="0"/>
        </w:rPr>
        <w:t>The word.</w:t>
      </w:r>
    </w:p>
    <w:p>
      <w:pPr>
        <w:widowControl/>
      </w:pPr>
      <w:r>
        <w:rPr>
          <w:b w:val="0"/>
          <w:i w:val="0"/>
        </w:rPr>
        <w:t>Voluntas is intellectual inclination toward good; velle and nolle willing and refusing; assensus and imperium effective assent and command. Eligere concerns selecting, which requires attention to the agent and object in each context.</w:t>
      </w:r>
    </w:p>
    <w:p>
      <w:pPr>
        <w:keepNext/>
        <w:widowControl/>
      </w:pPr>
      <w:r>
        <w:rPr>
          <w:b/>
          <w:i w:val="0"/>
        </w:rPr>
        <w:t>In the Platonic Theology.</w:t>
      </w:r>
    </w:p>
    <w:p>
      <w:pPr>
        <w:widowControl/>
      </w:pPr>
      <w:r>
        <w:rPr>
          <w:b w:val="0"/>
          <w:i w:val="0"/>
        </w:rPr>
        <w:t>Will is mind’s inclination toward the good. It both embraces a good already present and directs production toward a good to be realized. Ficino argues that knowledge of forms alone does not explain which external effects are made: intellect recognizes an end and possible routes toward it, while will assents to the end and selects a means. The assent or command of will is effective willing, rather than verbal agreement with a proposition.</w:t>
      </w:r>
    </w:p>
    <w:p>
      <w:pPr>
        <w:widowControl/>
      </w:pPr>
      <w:r>
        <w:rPr>
          <w:b w:val="0"/>
          <w:i w:val="0"/>
        </w:rPr>
        <w:t>The account uses inward and outward imagery. In seeing, mind folds forms inward and regards truth; in willing, it unfolds them outward and reaches good, whose characteristic is self-communication. In God these are analytical distinctions within a single being. Divine existence, understanding, and willing are identical, so their explanatory ordering does not describe successive decisions or a change in essence. God necessarily wills his own goodness while freely producing particular creatures. His willing therefore differs both from blind automatic production and from a requirement to actualize every object of his knowledge.</w:t>
      </w:r>
    </w:p>
    <w:p>
      <w:pPr>
        <w:widowControl/>
      </w:pPr>
      <w:r>
        <w:rPr>
          <w:b w:val="0"/>
          <w:i w:val="0"/>
        </w:rPr>
        <w:t>Human willing likewise has a necessary orientation toward good while retaining free judgment about particulars and means. People may reject a particular cognition as harmful but cannot reject goodness precisely as goodness; this leaves room for mistaken judgments about which things are good. Providence, in Ficino’s account, preserves these modes of created action instead of coercively replacing them. The relation among will, good, choice, and necessity makes will more specific than arbitrary preference or external compulsion.</w:t>
      </w:r>
    </w:p>
    <w:p>
      <w:pPr>
        <w:widowControl/>
      </w:pPr>
      <w:r>
        <w:rPr>
          <w:b w:val="0"/>
          <w:i w:val="0"/>
        </w:rPr>
        <w:t xml:space="preserve">The earlier books add two contexts. The Proem joins true understanding to </w:t>
      </w:r>
      <w:r>
        <w:rPr>
          <w:b w:val="0"/>
          <w:i/>
        </w:rPr>
        <w:t>recta voluntas</w:t>
      </w:r>
      <w:r>
        <w:rPr>
          <w:b w:val="0"/>
          <w:i w:val="0"/>
        </w:rPr>
        <w:t xml:space="preserve">, right will, within philosophy’s religious purpose. In the discussion of soul’s stability, enduring will and memory serve as signs that the soul’s essence remains while thoughts and bodily activities change. </w:t>
      </w:r>
      <w:r>
        <w:rPr>
          <w:b w:val="0"/>
          <w:i/>
        </w:rPr>
        <w:t>Memoria</w:t>
      </w:r>
      <w:r>
        <w:rPr>
          <w:b w:val="0"/>
          <w:i w:val="0"/>
        </w:rPr>
        <w:t xml:space="preserve"> appears here as an example in that distinction, not as a fully developed independent theory of memory. Ficino also appeals to the mind’s lack of necessary bodily dependence in understanding and willing when arguing for the suitability of separate intellectual life.</w:t>
      </w:r>
    </w:p>
    <w:p>
      <w:pPr>
        <w:keepNext/>
        <w:widowControl/>
      </w:pPr>
      <w:r>
        <w:rPr>
          <w:b/>
          <w:i w:val="0"/>
        </w:rPr>
        <w:t>The places.</w:t>
      </w:r>
    </w:p>
    <w:p>
      <w:pPr>
        <w:ind w:left="187" w:hanging="187"/>
      </w:pPr>
      <w:r>
        <w:t xml:space="preserve">• </w:t>
      </w:r>
      <w:r>
        <w:rPr>
          <w:b/>
          <w:i w:val="0"/>
        </w:rPr>
        <w:t>Proem.8, PDF pp. 8–9</w:t>
      </w:r>
      <w:r>
        <w:rPr>
          <w:b w:val="0"/>
          <w:i w:val="0"/>
        </w:rPr>
        <w:t>. True understanding is paired with right will as philosophy’s religious orientation.</w:t>
      </w:r>
    </w:p>
    <w:p>
      <w:pPr>
        <w:ind w:left="187" w:hanging="187"/>
      </w:pPr>
      <w:r>
        <w:t xml:space="preserve">• </w:t>
      </w:r>
      <w:r>
        <w:rPr>
          <w:b/>
          <w:i w:val="0"/>
        </w:rPr>
        <w:t>I.5.1 and I.5.17, PDF pp. 60–61 and 72–73</w:t>
      </w:r>
      <w:r>
        <w:rPr>
          <w:b w:val="0"/>
          <w:i w:val="0"/>
        </w:rPr>
        <w:t>. Enduring will and memory bear on the soul’s stability and the possibility of separate intellectual life.</w:t>
      </w:r>
    </w:p>
    <w:p>
      <w:pPr>
        <w:ind w:left="187" w:hanging="187"/>
      </w:pPr>
      <w:r>
        <w:t xml:space="preserve">• </w:t>
      </w:r>
      <w:r>
        <w:rPr>
          <w:b/>
          <w:i w:val="0"/>
        </w:rPr>
        <w:t>II.11.24–38, PDF pp. 194–201</w:t>
      </w:r>
      <w:r>
        <w:rPr>
          <w:b w:val="0"/>
          <w:i w:val="0"/>
        </w:rPr>
        <w:t>. The assent of will is required for external production beyond mere knowledge of possible forms.</w:t>
      </w:r>
    </w:p>
    <w:p>
      <w:pPr>
        <w:ind w:left="187" w:hanging="187"/>
      </w:pPr>
      <w:r>
        <w:t xml:space="preserve">• </w:t>
      </w:r>
      <w:r>
        <w:rPr>
          <w:b/>
          <w:i w:val="0"/>
        </w:rPr>
        <w:t>II.12.1–21, PDF pp. 202–215</w:t>
      </w:r>
      <w:r>
        <w:rPr>
          <w:b w:val="0"/>
          <w:i w:val="0"/>
        </w:rPr>
        <w:t>. Necessary willing of goodness and free production of particulars are distinguished.</w:t>
      </w:r>
    </w:p>
    <w:p>
      <w:pPr>
        <w:ind w:left="187" w:hanging="187"/>
      </w:pPr>
      <w:r>
        <w:t xml:space="preserve">• </w:t>
      </w:r>
      <w:r>
        <w:rPr>
          <w:b/>
          <w:i w:val="0"/>
        </w:rPr>
        <w:t>II.13.24–30, PDF pp. 232–237</w:t>
      </w:r>
      <w:r>
        <w:rPr>
          <w:b w:val="0"/>
          <w:i w:val="0"/>
        </w:rPr>
        <w:t>. Providence preserves the created modes of judgment and action rather than replacing them with coercion.</w:t>
      </w:r>
    </w:p>
    <w:p>
      <w:pPr>
        <w:widowControl/>
      </w:pPr>
      <w:r>
        <w:rPr>
          <w:b/>
          <w:i w:val="0"/>
        </w:rPr>
        <w:t>Further passage references.</w:t>
      </w:r>
      <w:r>
        <w:rPr>
          <w:b w:val="0"/>
          <w:i w:val="0"/>
        </w:rPr>
        <w:t xml:space="preserve"> Proem.8 (PDF pp. 8–9); I.5.1, I.5.17 (pp. 60–61, 72–73); I.6.1, I.6.19 (pp. 82–83, 94–95); II.11.24–38, PDF 194–201; II.12.1–21, PDF 202–215; II.13.24–30, PDF 232–237</w:t>
      </w:r>
    </w:p>
    <w:p>
      <w:pPr>
        <w:keepNext/>
        <w:widowControl/>
      </w:pPr>
      <w:r>
        <w:rPr>
          <w:b/>
          <w:i w:val="0"/>
        </w:rPr>
        <w:t>In this edition.</w:t>
      </w:r>
    </w:p>
    <w:p>
      <w:pPr>
        <w:widowControl/>
      </w:pPr>
      <w:r>
        <w:t>“</w:t>
      </w:r>
      <w:r>
        <w:rPr>
          <w:b w:val="0"/>
          <w:i w:val="0"/>
        </w:rPr>
        <w:t>Assent</w:t>
      </w:r>
      <w:r>
        <w:t>”</w:t>
      </w:r>
      <w:r>
        <w:rPr>
          <w:b w:val="0"/>
          <w:i w:val="0"/>
        </w:rPr>
        <w:t xml:space="preserve"> in the production argument is operative willing, not merely accepting a statement. Explanatory priority among understanding, end, and willing does not make God deliberate successively; recta voluntas in the Proem adds an explicitly normative human context.</w:t>
      </w:r>
    </w:p>
    <w:p>
      <w:pPr>
        <w:keepNext/>
        <w:widowControl/>
      </w:pPr>
      <w:r>
        <w:rPr>
          <w:b/>
          <w:i w:val="0"/>
        </w:rPr>
        <w:t>See also.</w:t>
      </w:r>
    </w:p>
    <w:p>
      <w:pPr>
        <w:widowControl/>
      </w:pPr>
      <w:hyperlink w:anchor="soul">
        <w:r>
          <w:rPr>
            <w:color w:val="000000"/>
          </w:rPr>
          <w:t xml:space="preserve">Soul</w:t>
        </w:r>
      </w:hyperlink>
      <w:r>
        <w:rPr>
          <w:b w:val="0"/>
          <w:i w:val="0"/>
        </w:rPr>
        <w:t xml:space="preserve">; </w:t>
      </w:r>
      <w:hyperlink w:anchor="mind">
        <w:r>
          <w:rPr>
            <w:color w:val="000000"/>
          </w:rPr>
          <w:t xml:space="preserve">Mind</w:t>
        </w:r>
      </w:hyperlink>
      <w:r>
        <w:rPr>
          <w:b w:val="0"/>
          <w:i w:val="0"/>
        </w:rPr>
        <w:t xml:space="preserve">; </w:t>
      </w:r>
      <w:hyperlink w:anchor="freedom-and-necessity">
        <w:r>
          <w:rPr>
            <w:color w:val="000000"/>
          </w:rPr>
          <w:t xml:space="preserve">Freedom and necessity</w:t>
        </w:r>
      </w:hyperlink>
      <w:r>
        <w:rPr>
          <w:b w:val="0"/>
          <w:i w:val="0"/>
        </w:rPr>
        <w:t xml:space="preserve">; </w:t>
      </w:r>
      <w:hyperlink w:anchor="appetite-and-desire">
        <w:r>
          <w:rPr>
            <w:color w:val="000000"/>
          </w:rPr>
          <w:t xml:space="preserve">Appetite and desire</w:t>
        </w:r>
      </w:hyperlink>
      <w:r>
        <w:rPr>
          <w:b w:val="0"/>
          <w:i w:val="0"/>
        </w:rPr>
        <w:t xml:space="preserve">; </w:t>
      </w:r>
      <w:hyperlink w:anchor="good-and-goodness">
        <w:r>
          <w:rPr>
            <w:color w:val="000000"/>
          </w:rPr>
          <w:t xml:space="preserve">Good and goodness</w:t>
        </w:r>
      </w:hyperlink>
      <w:r>
        <w:rPr>
          <w:b w:val="0"/>
          <w:i w:val="0"/>
        </w:rPr>
        <w:t xml:space="preserve">; </w:t>
      </w:r>
      <w:hyperlink w:anchor="affect">
        <w:r>
          <w:rPr>
            <w:color w:val="000000"/>
          </w:rPr>
          <w:t xml:space="preserve">Affect</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end-and-limit">
        <w:r>
          <w:rPr>
            <w:color w:val="000000"/>
          </w:rPr>
          <w:t xml:space="preserve">End and limit</w:t>
        </w:r>
      </w:hyperlink>
    </w:p>
    <w:p>
      <w:bookmarkStart w:id="243" w:name="wishing-refusing-and-the-good"/>
      <w:pPr>
        <w:pStyle w:val="Heading2"/>
      </w:pPr>
      <w:r>
        <w:rPr>
          <w:b w:val="0"/>
          <w:i w:val="0"/>
        </w:rPr>
        <w:t>Wishing, refusing and the good</w:t>
      </w:r>
      <w:bookmarkEnd w:id="243"/>
    </w:p>
    <w:p>
      <w:pPr>
        <w:keepNext/>
        <w:widowControl/>
      </w:pPr>
      <w:r>
        <w:rPr>
          <w:b/>
          <w:i w:val="0"/>
        </w:rPr>
        <w:t>Latin:</w:t>
      </w:r>
      <w:r>
        <w:rPr>
          <w:b w:val="0"/>
          <w:i w:val="0"/>
        </w:rPr>
        <w:t xml:space="preserve"> </w:t>
      </w:r>
      <w:r>
        <w:rPr>
          <w:b w:val="0"/>
          <w:i/>
        </w:rPr>
        <w:t>velle</w:t>
      </w:r>
      <w:r>
        <w:rPr>
          <w:b w:val="0"/>
          <w:i w:val="0"/>
        </w:rPr>
        <w:t xml:space="preserve">; </w:t>
      </w:r>
      <w:r>
        <w:rPr>
          <w:b w:val="0"/>
          <w:i/>
        </w:rPr>
        <w:t>nolle</w:t>
      </w:r>
      <w:r>
        <w:rPr>
          <w:b w:val="0"/>
          <w:i w:val="0"/>
        </w:rPr>
        <w:t xml:space="preserve">; </w:t>
      </w:r>
      <w:r>
        <w:rPr>
          <w:b w:val="0"/>
          <w:i/>
        </w:rPr>
        <w:t>respuimus</w:t>
      </w:r>
      <w:r>
        <w:rPr>
          <w:b w:val="0"/>
          <w:i w:val="0"/>
        </w:rPr>
        <w:t xml:space="preserve">; </w:t>
      </w:r>
      <w:r>
        <w:rPr>
          <w:b w:val="0"/>
          <w:i/>
        </w:rPr>
        <w:t>anteponimus</w:t>
      </w:r>
      <w:r>
        <w:rPr>
          <w:b w:val="0"/>
          <w:i w:val="0"/>
        </w:rPr>
        <w:t xml:space="preserve">; </w:t>
      </w:r>
      <w:r>
        <w:rPr>
          <w:b w:val="0"/>
          <w:i/>
        </w:rPr>
        <w:t>bene et bonum intelligamus</w:t>
      </w:r>
      <w:r>
        <w:rPr>
          <w:b w:val="0"/>
          <w:i w:val="0"/>
        </w:rPr>
        <w:t xml:space="preserve">; </w:t>
      </w:r>
      <w:r>
        <w:rPr>
          <w:b w:val="0"/>
          <w:i/>
        </w:rPr>
        <w:t>velimus … non posse nolle</w:t>
      </w:r>
      <w:r>
        <w:rPr>
          <w:b w:val="0"/>
          <w:i w:val="0"/>
        </w:rPr>
        <w:t>.</w:t>
      </w:r>
    </w:p>
    <w:p>
      <w:pPr>
        <w:keepNext/>
        <w:widowControl/>
      </w:pPr>
      <w:r>
        <w:rPr>
          <w:b/>
          <w:i w:val="0"/>
        </w:rPr>
        <w:t>The word.</w:t>
      </w:r>
    </w:p>
    <w:p>
      <w:pPr>
        <w:widowControl/>
      </w:pPr>
      <w:r>
        <w:rPr>
          <w:b w:val="0"/>
          <w:i/>
        </w:rPr>
        <w:t>Velle</w:t>
      </w:r>
      <w:r>
        <w:rPr>
          <w:b w:val="0"/>
          <w:i w:val="0"/>
        </w:rPr>
        <w:t xml:space="preserve"> wills or wishes; </w:t>
      </w:r>
      <w:r>
        <w:rPr>
          <w:b w:val="0"/>
          <w:i/>
        </w:rPr>
        <w:t>nolle</w:t>
      </w:r>
      <w:r>
        <w:rPr>
          <w:b w:val="0"/>
          <w:i w:val="0"/>
        </w:rPr>
        <w:t xml:space="preserve"> does not will or refuses. </w:t>
      </w:r>
      <w:r>
        <w:rPr>
          <w:b w:val="0"/>
          <w:i/>
        </w:rPr>
        <w:t>Respuere</w:t>
      </w:r>
      <w:r>
        <w:rPr>
          <w:b w:val="0"/>
          <w:i w:val="0"/>
        </w:rPr>
        <w:t xml:space="preserve"> rejects, and </w:t>
      </w:r>
      <w:r>
        <w:rPr>
          <w:b w:val="0"/>
          <w:i/>
        </w:rPr>
        <w:t>anteponere</w:t>
      </w:r>
      <w:r>
        <w:rPr>
          <w:b w:val="0"/>
          <w:i w:val="0"/>
        </w:rPr>
        <w:t xml:space="preserve"> prefers or places before. The difference between adverbial </w:t>
      </w:r>
      <w:r>
        <w:rPr>
          <w:b w:val="0"/>
          <w:i/>
        </w:rPr>
        <w:t>bene</w:t>
      </w:r>
      <w:r>
        <w:rPr>
          <w:b w:val="0"/>
          <w:i w:val="0"/>
        </w:rPr>
        <w:t xml:space="preserve"> and substantival </w:t>
      </w:r>
      <w:r>
        <w:rPr>
          <w:b w:val="0"/>
          <w:i/>
        </w:rPr>
        <w:t>bonum</w:t>
      </w:r>
      <w:r>
        <w:rPr>
          <w:b w:val="0"/>
          <w:i w:val="0"/>
        </w:rPr>
        <w:t xml:space="preserve"> matters: understanding well and understanding the good are not the same grammatical claim.</w:t>
      </w:r>
    </w:p>
    <w:p>
      <w:pPr>
        <w:keepNext/>
        <w:widowControl/>
      </w:pPr>
      <w:r>
        <w:rPr>
          <w:b/>
          <w:i w:val="0"/>
        </w:rPr>
        <w:t>In the Platonic Theology.</w:t>
      </w:r>
    </w:p>
    <w:p>
      <w:pPr>
        <w:widowControl/>
      </w:pPr>
      <w:r>
        <w:rPr>
          <w:b w:val="0"/>
          <w:i w:val="0"/>
        </w:rPr>
        <w:t>Ficino argues that intelligence is sought because it is good, whereas the good is not sought because it is intelligent. People may prefer pleasure to contemplation or temporarily reject knowledge thought harmful. Such choices show, in his reasoning, that knowledge is not an unconditional final object. The Good as Good cannot be rejected because even refusal seeks some good in refusing. He therefore joins supreme necessity to supreme voluntariness: people will the Good so willingly that they want to be unable not to will it. This concerns the formal object of desire, not the correctness of every judgement about a particular beneficial thing, and it does not establish that every concrete action is coerced or uniquely determined. The father and homeland at the close describe a common source and desired end.</w:t>
      </w:r>
    </w:p>
    <w:p>
      <w:pPr>
        <w:keepNext/>
        <w:widowControl/>
      </w:pPr>
      <w:r>
        <w:rPr>
          <w:b/>
          <w:i w:val="0"/>
        </w:rPr>
        <w:t>The places.</w:t>
      </w:r>
    </w:p>
    <w:p>
      <w:pPr>
        <w:ind w:left="187" w:hanging="187"/>
      </w:pPr>
      <w:r>
        <w:t xml:space="preserve">• </w:t>
      </w:r>
      <w:r>
        <w:rPr>
          <w:b/>
          <w:i w:val="0"/>
        </w:rPr>
        <w:t>I.6.18, PDF 92–93.</w:t>
      </w:r>
      <w:r>
        <w:rPr>
          <w:b w:val="0"/>
          <w:i w:val="0"/>
        </w:rPr>
        <w:t xml:space="preserve"> Desire for the Good precedes rational prompting and explains desire for intelligence</w:t>
      </w:r>
    </w:p>
    <w:p>
      <w:pPr>
        <w:ind w:left="187" w:hanging="187"/>
      </w:pPr>
      <w:r>
        <w:t xml:space="preserve">• </w:t>
      </w:r>
      <w:r>
        <w:rPr>
          <w:b/>
          <w:i w:val="0"/>
        </w:rPr>
        <w:t>I.6.19, PDF 94–95.</w:t>
      </w:r>
      <w:r>
        <w:rPr>
          <w:b w:val="0"/>
          <w:i w:val="0"/>
        </w:rPr>
        <w:t xml:space="preserve"> Refusal of troubling knowledge, preference for pleasure, and the impossibility of rejecting the Good as such</w:t>
      </w:r>
    </w:p>
    <w:p>
      <w:pPr>
        <w:keepNext/>
        <w:widowControl/>
      </w:pPr>
      <w:r>
        <w:rPr>
          <w:b/>
          <w:i w:val="0"/>
        </w:rPr>
        <w:t>In this edition.</w:t>
      </w:r>
    </w:p>
    <w:p>
      <w:pPr>
        <w:widowControl/>
      </w:pPr>
      <w:r>
        <w:t>“</w:t>
      </w:r>
      <w:r>
        <w:rPr>
          <w:b w:val="0"/>
          <w:i w:val="0"/>
        </w:rPr>
        <w:t>We both understand well and understand the Good</w:t>
      </w:r>
      <w:r>
        <w:t>”</w:t>
      </w:r>
      <w:r>
        <w:rPr>
          <w:b w:val="0"/>
          <w:i w:val="0"/>
        </w:rPr>
        <w:t xml:space="preserve"> preserves </w:t>
      </w:r>
      <w:r>
        <w:rPr>
          <w:b w:val="0"/>
          <w:i/>
        </w:rPr>
        <w:t>bene et bonum</w:t>
      </w:r>
      <w:r>
        <w:rPr>
          <w:b w:val="0"/>
          <w:i w:val="0"/>
        </w:rPr>
        <w:t xml:space="preserve">. The double negative in </w:t>
      </w:r>
      <w:r>
        <w:t>“</w:t>
      </w:r>
      <w:r>
        <w:rPr>
          <w:b w:val="0"/>
          <w:i w:val="0"/>
        </w:rPr>
        <w:t>wish … to be unable not to will</w:t>
      </w:r>
      <w:r>
        <w:t>”</w:t>
      </w:r>
      <w:r>
        <w:rPr>
          <w:b w:val="0"/>
          <w:i w:val="0"/>
        </w:rPr>
        <w:t xml:space="preserve"> is intentional; removing it destroys Ficino’s proposed conjunction of necessity and willing acceptance.</w:t>
      </w:r>
    </w:p>
    <w:p>
      <w:pPr>
        <w:keepNext/>
        <w:widowControl/>
      </w:pPr>
      <w:r>
        <w:rPr>
          <w:b/>
          <w:i w:val="0"/>
        </w:rPr>
        <w:t>See also.</w:t>
      </w:r>
    </w:p>
    <w:p>
      <w:pPr>
        <w:widowControl/>
      </w:pPr>
      <w:hyperlink w:anchor="will">
        <w:r>
          <w:rPr>
            <w:color w:val="000000"/>
          </w:rPr>
          <w:t xml:space="preserve">Will</w:t>
        </w:r>
      </w:hyperlink>
      <w:r>
        <w:rPr>
          <w:b w:val="0"/>
          <w:i w:val="0"/>
        </w:rPr>
        <w:t xml:space="preserve">; </w:t>
      </w:r>
      <w:hyperlink w:anchor="good-and-goodness">
        <w:r>
          <w:rPr>
            <w:color w:val="000000"/>
          </w:rPr>
          <w:t xml:space="preserve">Good and goodness</w:t>
        </w:r>
      </w:hyperlink>
      <w:r>
        <w:rPr>
          <w:b w:val="0"/>
          <w:i w:val="0"/>
        </w:rPr>
        <w:t xml:space="preserve">; </w:t>
      </w:r>
      <w:hyperlink w:anchor="freedom-and-necessity">
        <w:r>
          <w:rPr>
            <w:color w:val="000000"/>
          </w:rPr>
          <w:t xml:space="preserve">Freedom and necessity</w:t>
        </w:r>
      </w:hyperlink>
      <w:r>
        <w:rPr>
          <w:b w:val="0"/>
          <w:i w:val="0"/>
        </w:rPr>
        <w:t xml:space="preserve">; </w:t>
      </w:r>
      <w:hyperlink w:anchor="appetite-and-desire">
        <w:r>
          <w:rPr>
            <w:color w:val="000000"/>
          </w:rPr>
          <w:t xml:space="preserve">Appetite and desire</w:t>
        </w:r>
      </w:hyperlink>
      <w:r>
        <w:rPr>
          <w:b w:val="0"/>
          <w:i w:val="0"/>
        </w:rPr>
        <w:t>.</w:t>
      </w:r>
    </w:p>
    <w:p>
      <w:bookmarkStart w:id="244" w:name="wonder-and-familiarity"/>
      <w:pPr>
        <w:pStyle w:val="Heading2"/>
      </w:pPr>
      <w:r>
        <w:rPr>
          <w:b w:val="0"/>
          <w:i w:val="0"/>
        </w:rPr>
        <w:t>Wonder and familiarity</w:t>
      </w:r>
      <w:bookmarkEnd w:id="244"/>
    </w:p>
    <w:p>
      <w:pPr>
        <w:keepNext/>
        <w:widowControl/>
      </w:pPr>
      <w:r>
        <w:rPr>
          <w:b/>
          <w:i w:val="0"/>
        </w:rPr>
        <w:t>Latin:</w:t>
      </w:r>
      <w:r>
        <w:rPr>
          <w:b w:val="0"/>
          <w:i w:val="0"/>
        </w:rPr>
        <w:t xml:space="preserve"> </w:t>
      </w:r>
      <w:r>
        <w:rPr>
          <w:b w:val="0"/>
          <w:i/>
        </w:rPr>
        <w:t>admiratio; admirari; diuturna consuetudo; spectaculum; educare; ambigere</w:t>
      </w:r>
    </w:p>
    <w:p>
      <w:pPr>
        <w:keepNext/>
        <w:widowControl/>
      </w:pPr>
      <w:r>
        <w:rPr>
          <w:b/>
          <w:i w:val="0"/>
        </w:rPr>
        <w:t>The word.</w:t>
      </w:r>
    </w:p>
    <w:p>
      <w:pPr>
        <w:widowControl/>
      </w:pPr>
      <w:r>
        <w:rPr>
          <w:b w:val="0"/>
          <w:i w:val="0"/>
        </w:rPr>
        <w:t>Admiratio is wonder; consuetudo familiarity or accustomed experience; spectaculum something presented to sight. Educare concerns bringing up, and ambigere being in doubt. The imagined restriction of vision tests the effect of habit on judgment.</w:t>
      </w:r>
    </w:p>
    <w:p>
      <w:pPr>
        <w:keepNext/>
        <w:widowControl/>
      </w:pPr>
      <w:r>
        <w:rPr>
          <w:b/>
          <w:i w:val="0"/>
        </w:rPr>
        <w:t>In the Platonic Theology.</w:t>
      </w:r>
    </w:p>
    <w:p>
      <w:pPr>
        <w:widowControl/>
      </w:pPr>
      <w:r>
        <w:rPr>
          <w:b w:val="0"/>
          <w:i w:val="0"/>
        </w:rPr>
        <w:t>Ficino says that long familiarity diminishes wonder. He asks the reader to imagine being raised in a house shut on every side and first seeing the world’s beauty at thirty. The newly encountered spectacle would, he claims, make even a former doubter certain of providential craftsmanship. The age specifies the thought experiment; it is not a biographical report or a rule about intellectual maturity. Its argumentative role differs from the organ and motion arguments: the hypothetical change of perspective makes an allegedly overlooked order newly striking. Ficino’s confidence about the observer’s response is part of the rhetorical experiment, not empirical evidence that every newly sighted person would draw this conclusion.</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II.13.19 (Latin PDF p. 228; English PDF p. 229).</w:t>
      </w:r>
      <w:r>
        <w:rPr>
          <w:b w:val="0"/>
          <w:i w:val="0"/>
        </w:rPr>
        <w:t xml:space="preserve"> Familiarity is said to diminish admiration.</w:t>
      </w:r>
    </w:p>
    <w:p>
      <w:pPr>
        <w:ind w:left="187" w:hanging="187"/>
      </w:pPr>
      <w:r>
        <w:t xml:space="preserve">• </w:t>
      </w:r>
      <w:r>
        <w:rPr>
          <w:b/>
          <w:i w:val="0"/>
        </w:rPr>
        <w:t>II.13.20 (Latin PDF p. 230; English PDF p. 231).</w:t>
      </w:r>
      <w:r>
        <w:rPr>
          <w:b w:val="0"/>
          <w:i w:val="0"/>
        </w:rPr>
        <w:t xml:space="preserve"> The enclosed-house supposition renews the world as a spectacle.</w:t>
      </w:r>
    </w:p>
    <w:p>
      <w:pPr>
        <w:keepNext/>
        <w:widowControl/>
      </w:pPr>
      <w:r>
        <w:rPr>
          <w:b/>
          <w:i w:val="0"/>
        </w:rPr>
        <w:t>In this edition.</w:t>
      </w:r>
    </w:p>
    <w:p>
      <w:pPr>
        <w:widowControl/>
      </w:pPr>
      <w:r>
        <w:rPr>
          <w:b w:val="0"/>
          <w:i w:val="0"/>
        </w:rPr>
        <w:t xml:space="preserve">The English </w:t>
      </w:r>
      <w:r>
        <w:t>“</w:t>
      </w:r>
      <w:r>
        <w:rPr>
          <w:b w:val="0"/>
          <w:i w:val="0"/>
        </w:rPr>
        <w:t>suppose</w:t>
      </w:r>
      <w:r>
        <w:t>”</w:t>
      </w:r>
      <w:r>
        <w:rPr>
          <w:b w:val="0"/>
          <w:i w:val="0"/>
        </w:rPr>
        <w:t xml:space="preserve"> appropriately keeps the conditional construction. </w:t>
      </w:r>
      <w:r>
        <w:t>“</w:t>
      </w:r>
      <w:r>
        <w:rPr>
          <w:b w:val="0"/>
          <w:i w:val="0"/>
        </w:rPr>
        <w:t>Wonder</w:t>
      </w:r>
      <w:r>
        <w:t>”</w:t>
      </w:r>
      <w:r>
        <w:rPr>
          <w:b w:val="0"/>
          <w:i w:val="0"/>
        </w:rPr>
        <w:t xml:space="preserve"> does not itself mean proof; the conclusion is supplied by Ficino’s subsequent inference from the stable order of the world’s parts.</w:t>
      </w:r>
    </w:p>
    <w:p>
      <w:pPr>
        <w:keepNext/>
        <w:widowControl/>
      </w:pPr>
      <w:r>
        <w:rPr>
          <w:b/>
          <w:i w:val="0"/>
        </w:rPr>
        <w:t>See also.</w:t>
      </w:r>
    </w:p>
    <w:p>
      <w:pPr>
        <w:widowControl/>
      </w:pPr>
      <w:hyperlink w:anchor="lucretius">
        <w:r>
          <w:rPr>
            <w:color w:val="000000"/>
          </w:rPr>
          <w:t xml:space="preserve">Lucretius</w:t>
        </w:r>
      </w:hyperlink>
      <w:r>
        <w:rPr>
          <w:b w:val="0"/>
          <w:i w:val="0"/>
        </w:rPr>
        <w:t xml:space="preserve">; </w:t>
      </w:r>
      <w:hyperlink w:anchor="beauty-and-fittingness">
        <w:r>
          <w:rPr>
            <w:color w:val="000000"/>
          </w:rPr>
          <w:t xml:space="preserve">Beauty and fittingness</w:t>
        </w:r>
      </w:hyperlink>
      <w:r>
        <w:rPr>
          <w:b w:val="0"/>
          <w:i w:val="0"/>
        </w:rPr>
        <w:t xml:space="preserve">; </w:t>
      </w:r>
      <w:hyperlink w:anchor="providence">
        <w:r>
          <w:rPr>
            <w:color w:val="000000"/>
          </w:rPr>
          <w:t xml:space="preserve">Providence</w:t>
        </w:r>
      </w:hyperlink>
      <w:r>
        <w:rPr>
          <w:b w:val="0"/>
          <w:i w:val="0"/>
        </w:rPr>
        <w:t xml:space="preserve">; </w:t>
      </w:r>
      <w:hyperlink w:anchor="qualification-and-attribution">
        <w:r>
          <w:rPr>
            <w:color w:val="000000"/>
          </w:rPr>
          <w:t xml:space="preserve">Qualification and attribution</w:t>
        </w:r>
      </w:hyperlink>
      <w:r>
        <w:rPr>
          <w:b w:val="0"/>
          <w:i w:val="0"/>
        </w:rPr>
        <w:t>.</w:t>
      </w:r>
    </w:p>
    <w:p>
      <w:bookmarkStart w:id="245" w:name="word-and-meaning"/>
      <w:pPr>
        <w:pStyle w:val="Heading2"/>
      </w:pPr>
      <w:r>
        <w:rPr>
          <w:b w:val="0"/>
          <w:i w:val="0"/>
        </w:rPr>
        <w:t>Word and meaning</w:t>
      </w:r>
      <w:bookmarkEnd w:id="245"/>
    </w:p>
    <w:p>
      <w:pPr>
        <w:keepNext/>
        <w:widowControl/>
      </w:pPr>
      <w:r>
        <w:rPr>
          <w:b/>
          <w:i w:val="0"/>
        </w:rPr>
        <w:t>Latin:</w:t>
      </w:r>
      <w:r>
        <w:rPr>
          <w:b w:val="0"/>
          <w:i w:val="0"/>
        </w:rPr>
        <w:t xml:space="preserve"> verbum; verbi significatio; loquente Deo; qui loquitur; significat; consilium; affectum</w:t>
      </w:r>
    </w:p>
    <w:p>
      <w:pPr>
        <w:keepNext/>
        <w:widowControl/>
      </w:pPr>
      <w:r>
        <w:rPr>
          <w:b/>
          <w:i w:val="0"/>
        </w:rPr>
        <w:t>The word.</w:t>
      </w:r>
    </w:p>
    <w:p>
      <w:pPr>
        <w:widowControl/>
      </w:pPr>
      <w:r>
        <w:rPr>
          <w:b w:val="0"/>
          <w:i w:val="0"/>
        </w:rPr>
        <w:t xml:space="preserve">Verbum means a word or utterance; significatio its meaning or signification; loqui means to speak. Significare is to make something known or signify it. The distinction between word and meaning is explicitly sharpened by immo, </w:t>
      </w:r>
      <w:r>
        <w:t>“</w:t>
      </w:r>
      <w:r>
        <w:rPr>
          <w:b w:val="0"/>
          <w:i w:val="0"/>
        </w:rPr>
        <w:t>indeed</w:t>
      </w:r>
      <w:r>
        <w:t>”</w:t>
      </w:r>
      <w:r>
        <w:rPr>
          <w:b w:val="0"/>
          <w:i w:val="0"/>
        </w:rPr>
        <w:t xml:space="preserve"> or </w:t>
      </w:r>
      <w:r>
        <w:t>“</w:t>
      </w:r>
      <w:r>
        <w:rPr>
          <w:b w:val="0"/>
          <w:i w:val="0"/>
        </w:rPr>
        <w:t>rather.</w:t>
      </w:r>
      <w:r>
        <w:t>”</w:t>
      </w:r>
    </w:p>
    <w:p>
      <w:pPr>
        <w:keepNext/>
        <w:widowControl/>
      </w:pPr>
      <w:r>
        <w:rPr>
          <w:b/>
          <w:i w:val="0"/>
        </w:rPr>
        <w:t>In the Platonic Theology.</w:t>
      </w:r>
    </w:p>
    <w:p>
      <w:pPr>
        <w:widowControl/>
      </w:pPr>
      <w:r>
        <w:rPr>
          <w:b w:val="0"/>
          <w:i w:val="0"/>
        </w:rPr>
        <w:t>Within the earlier thinkers’ account of universal mental presence, mind signifies God’s nature, counsel, and affection to itself and to others. It therefore proceeds from God as a word, more precisely as the meaning of a word, from a speaking God. The next sentence argues that word and speaker are present together, and infers mind’s presence wherever God is.</w:t>
      </w:r>
    </w:p>
    <w:p>
      <w:pPr>
        <w:widowControl/>
      </w:pPr>
      <w:r>
        <w:rPr>
          <w:b w:val="0"/>
          <w:i w:val="0"/>
        </w:rPr>
        <w:t>The correction toward meaning prevents the analogy from being treated simply as an acoustic event spreading through air. The function of the comparison is intelligible expression and inseparability from its source. This is the exposition of the view introduced in II.6.14 and closed in II.6.24; it must not be promoted into an unqualified demonstration that every created mind is everywhere. Nor does the passage equate every human thought with divine speech.</w:t>
      </w:r>
    </w:p>
    <w:p>
      <w:pPr>
        <w:keepNext/>
        <w:widowControl/>
      </w:pPr>
      <w:r>
        <w:rPr>
          <w:b/>
          <w:i w:val="0"/>
        </w:rPr>
        <w:t>The places.</w:t>
      </w:r>
    </w:p>
    <w:p>
      <w:pPr>
        <w:ind w:left="187" w:hanging="187"/>
      </w:pPr>
      <w:r>
        <w:t xml:space="preserve">• </w:t>
      </w:r>
      <w:r>
        <w:rPr>
          <w:b w:val="0"/>
          <w:i w:val="0"/>
        </w:rPr>
        <w:t>II.6.20, II.6.21 (PDF pp. 138–141): Mind as word, more precisely meaning, supports the reported co-presence argument</w:t>
      </w:r>
    </w:p>
    <w:p>
      <w:pPr>
        <w:ind w:left="187" w:hanging="187"/>
      </w:pPr>
      <w:r>
        <w:t xml:space="preserve">• </w:t>
      </w:r>
      <w:r>
        <w:rPr>
          <w:b w:val="0"/>
          <w:i w:val="0"/>
        </w:rPr>
        <w:t>II.6.24 (PDF pp. 142–143): The closing attribution marks the scope of the preceding explanation</w:t>
      </w:r>
    </w:p>
    <w:p>
      <w:pPr>
        <w:keepNext/>
        <w:widowControl/>
      </w:pPr>
      <w:r>
        <w:rPr>
          <w:b/>
          <w:i w:val="0"/>
        </w:rPr>
        <w:t>In this edition.</w:t>
      </w:r>
    </w:p>
    <w:p>
      <w:pPr>
        <w:widowControl/>
      </w:pPr>
      <w:r>
        <w:t>“</w:t>
      </w:r>
      <w:r>
        <w:rPr>
          <w:b w:val="0"/>
          <w:i w:val="0"/>
        </w:rPr>
        <w:t>Counsel</w:t>
      </w:r>
      <w:r>
        <w:t>”</w:t>
      </w:r>
      <w:r>
        <w:rPr>
          <w:b w:val="0"/>
          <w:i w:val="0"/>
        </w:rPr>
        <w:t xml:space="preserve"> in this passage renders consilium as what mind signifies of God; it need not mean anxious deliberation, the sense disputed in II.8. </w:t>
      </w:r>
      <w:r>
        <w:t>“</w:t>
      </w:r>
      <w:r>
        <w:rPr>
          <w:b w:val="0"/>
          <w:i w:val="0"/>
        </w:rPr>
        <w:t>Affection</w:t>
      </w:r>
      <w:r>
        <w:t>”</w:t>
      </w:r>
      <w:r>
        <w:rPr>
          <w:b w:val="0"/>
          <w:i w:val="0"/>
        </w:rPr>
        <w:t xml:space="preserve"> likewise names a directed disposition, not necessarily emotional disturbance.</w:t>
      </w:r>
    </w:p>
    <w:p>
      <w:pPr>
        <w:keepNext/>
        <w:widowControl/>
      </w:pPr>
      <w:r>
        <w:rPr>
          <w:b/>
          <w:i w:val="0"/>
        </w:rPr>
        <w:t>See also.</w:t>
      </w:r>
    </w:p>
    <w:p>
      <w:pPr>
        <w:widowControl/>
      </w:pPr>
      <w:hyperlink w:anchor="anebon-abamon-and-the-mental-presence-authorities">
        <w:r>
          <w:rPr>
            <w:color w:val="000000"/>
          </w:rPr>
          <w:t xml:space="preserve">Anebon Abamon and the mental-presence authorities</w:t>
        </w:r>
      </w:hyperlink>
      <w:r>
        <w:rPr>
          <w:b w:val="0"/>
          <w:i w:val="0"/>
        </w:rPr>
        <w:t xml:space="preserve">; </w:t>
      </w:r>
      <w:hyperlink w:anchor="mind">
        <w:r>
          <w:rPr>
            <w:color w:val="000000"/>
          </w:rPr>
          <w:t xml:space="preserve">Mind</w:t>
        </w:r>
      </w:hyperlink>
      <w:r>
        <w:rPr>
          <w:b w:val="0"/>
          <w:i w:val="0"/>
        </w:rPr>
        <w:t xml:space="preserve">; </w:t>
      </w:r>
      <w:hyperlink w:anchor="choice-and-deliberation">
        <w:r>
          <w:rPr>
            <w:color w:val="000000"/>
          </w:rPr>
          <w:t xml:space="preserve">Choice and deliberation</w:t>
        </w:r>
      </w:hyperlink>
      <w:r>
        <w:rPr>
          <w:b w:val="0"/>
          <w:i w:val="0"/>
        </w:rPr>
        <w:t xml:space="preserve">; </w:t>
      </w:r>
      <w:hyperlink w:anchor="john-and-amelius">
        <w:r>
          <w:rPr>
            <w:color w:val="000000"/>
          </w:rPr>
          <w:t xml:space="preserve">John and Amelius</w:t>
        </w:r>
      </w:hyperlink>
      <w:r>
        <w:rPr>
          <w:b w:val="0"/>
          <w:i w:val="0"/>
        </w:rPr>
        <w:t>.</w:t>
      </w:r>
    </w:p>
    <w:p>
      <w:bookmarkStart w:id="246" w:name="world-and-universe"/>
      <w:pPr>
        <w:pStyle w:val="Heading2"/>
      </w:pPr>
      <w:r>
        <w:rPr>
          <w:b w:val="0"/>
          <w:i w:val="0"/>
        </w:rPr>
        <w:t>World and universe</w:t>
      </w:r>
      <w:bookmarkEnd w:id="246"/>
    </w:p>
    <w:p>
      <w:pPr>
        <w:keepNext/>
        <w:widowControl/>
      </w:pPr>
      <w:r>
        <w:rPr>
          <w:b/>
          <w:i w:val="0"/>
        </w:rPr>
        <w:t>Latin:</w:t>
      </w:r>
      <w:r>
        <w:rPr>
          <w:b w:val="0"/>
          <w:i w:val="0"/>
        </w:rPr>
        <w:t xml:space="preserve"> </w:t>
      </w:r>
      <w:r>
        <w:rPr>
          <w:b w:val="0"/>
          <w:i/>
        </w:rPr>
        <w:t>mundus</w:t>
      </w:r>
      <w:r>
        <w:rPr>
          <w:b w:val="0"/>
          <w:i w:val="0"/>
        </w:rPr>
        <w:t xml:space="preserve">, </w:t>
      </w:r>
      <w:r>
        <w:rPr>
          <w:b w:val="0"/>
          <w:i/>
        </w:rPr>
        <w:t>universum</w:t>
      </w:r>
      <w:r>
        <w:rPr>
          <w:b w:val="0"/>
          <w:i w:val="0"/>
        </w:rPr>
        <w:t xml:space="preserve">; </w:t>
      </w:r>
      <w:r>
        <w:rPr>
          <w:b w:val="0"/>
          <w:i/>
        </w:rPr>
        <w:t>mundi machina</w:t>
      </w:r>
      <w:r>
        <w:rPr>
          <w:b w:val="0"/>
          <w:i w:val="0"/>
        </w:rPr>
        <w:t xml:space="preserve">, </w:t>
      </w:r>
      <w:r>
        <w:rPr>
          <w:b w:val="0"/>
          <w:i/>
        </w:rPr>
        <w:t>mundi sphaerae</w:t>
      </w:r>
      <w:r>
        <w:rPr>
          <w:b w:val="0"/>
          <w:i w:val="0"/>
        </w:rPr>
        <w:t xml:space="preserve">; </w:t>
      </w:r>
      <w:r>
        <w:rPr>
          <w:b w:val="0"/>
          <w:i/>
        </w:rPr>
        <w:t>caelum</w:t>
      </w:r>
    </w:p>
    <w:p>
      <w:pPr>
        <w:keepNext/>
        <w:widowControl/>
      </w:pPr>
      <w:r>
        <w:rPr>
          <w:b/>
          <w:i w:val="0"/>
        </w:rPr>
        <w:t>The word.</w:t>
      </w:r>
    </w:p>
    <w:p>
      <w:pPr>
        <w:widowControl/>
      </w:pPr>
      <w:r>
        <w:rPr>
          <w:b w:val="0"/>
          <w:i w:val="0"/>
        </w:rPr>
        <w:t>Mundus is world or cosmos; universum the total order; machina the connected structure or machinery. Caelum may concern heaven specifically and should not replace every broader cosmic expression.</w:t>
      </w:r>
    </w:p>
    <w:p>
      <w:pPr>
        <w:keepNext/>
        <w:widowControl/>
      </w:pPr>
      <w:r>
        <w:rPr>
          <w:b/>
          <w:i w:val="0"/>
        </w:rPr>
        <w:t>In the Platonic Theology.</w:t>
      </w:r>
    </w:p>
    <w:p>
      <w:pPr>
        <w:widowControl/>
      </w:pPr>
      <w:r>
        <w:rPr>
          <w:b w:val="0"/>
          <w:i w:val="0"/>
        </w:rPr>
        <w:t>The world is the ordered whole within which body, quality, soul, angel, and God are compared, though God is their source rather than one bodily component among others. Ficino calls soul the bond of nature and says it presides over the world’s machinery. Such language stresses connection and governance. The universe’s order also grounds arguments from the human mind’s capacities: since a limited embodied mind can rise toward indivisible forms, the whole cannot lack the superior power required for that order. Celestial spheres supply recurrent examples of proportion, stable motion, and greater nobility; earth and water appear very small relative to higher spheres. These claims belong to the cosmology presented by Ficino and those he cites. Its universal life-giving cause is developed through local arguments rather than a fully elaborated world-soul doctrine in every occurrence.</w:t>
      </w:r>
    </w:p>
    <w:p>
      <w:pPr>
        <w:keepNext/>
        <w:widowControl/>
      </w:pPr>
      <w:r>
        <w:rPr>
          <w:b/>
          <w:i w:val="0"/>
        </w:rPr>
        <w:t>The places.</w:t>
      </w:r>
    </w:p>
    <w:p>
      <w:pPr>
        <w:ind w:left="187" w:hanging="187"/>
      </w:pPr>
      <w:r>
        <w:t xml:space="preserve">• </w:t>
      </w:r>
      <w:r>
        <w:rPr>
          <w:b/>
          <w:i w:val="0"/>
        </w:rPr>
        <w:t>I.1.7, PDF pp. 16–17</w:t>
      </w:r>
      <w:r>
        <w:rPr>
          <w:b w:val="0"/>
          <w:i w:val="0"/>
        </w:rPr>
        <w:t>. The five-grade program places soul over the world’s machinery and between the higher and lower grades.</w:t>
      </w:r>
    </w:p>
    <w:p>
      <w:pPr>
        <w:ind w:left="187" w:hanging="187"/>
      </w:pPr>
      <w:r>
        <w:t xml:space="preserve">• </w:t>
      </w:r>
      <w:r>
        <w:rPr>
          <w:b/>
          <w:i w:val="0"/>
        </w:rPr>
        <w:t>I.3.13 and I.3.23–26, PDF pp. 36–47</w:t>
      </w:r>
      <w:r>
        <w:rPr>
          <w:b w:val="0"/>
          <w:i w:val="0"/>
        </w:rPr>
        <w:t>. The larger world’s order is invoked to explain powers manifest even in a limited embodied mind.</w:t>
      </w:r>
    </w:p>
    <w:p>
      <w:pPr>
        <w:ind w:left="187" w:hanging="187"/>
      </w:pPr>
      <w:r>
        <w:t xml:space="preserve">• </w:t>
      </w:r>
      <w:r>
        <w:rPr>
          <w:b/>
          <w:i w:val="0"/>
        </w:rPr>
        <w:t>I.5.18 and I.5.25–28, PDF pp. 72–81</w:t>
      </w:r>
      <w:r>
        <w:rPr>
          <w:b w:val="0"/>
          <w:i w:val="0"/>
        </w:rPr>
        <w:t>. Cosmic scale and differentiated heavenly motions supply arguments about higher intellectual causes.</w:t>
      </w:r>
    </w:p>
    <w:p>
      <w:pPr>
        <w:widowControl/>
      </w:pPr>
      <w:r>
        <w:rPr>
          <w:b/>
          <w:i w:val="0"/>
        </w:rPr>
        <w:t>Further passage references.</w:t>
      </w:r>
      <w:r>
        <w:rPr>
          <w:b w:val="0"/>
          <w:i w:val="0"/>
        </w:rPr>
        <w:t xml:space="preserve"> I.1.7 (PDF pp. 16–17); I.3.13, I.3.23, I.3.25–I.3.26 (pp. 36–37, 44–47); I.5.18, I.5.25–I.5.28 (pp. 72–73, 78–81)</w:t>
      </w:r>
    </w:p>
    <w:p>
      <w:pPr>
        <w:keepNext/>
        <w:widowControl/>
      </w:pPr>
      <w:r>
        <w:rPr>
          <w:b/>
          <w:i w:val="0"/>
        </w:rPr>
        <w:t>In this edition.</w:t>
      </w:r>
    </w:p>
    <w:p>
      <w:pPr>
        <w:widowControl/>
      </w:pPr>
      <w:r>
        <w:t>“</w:t>
      </w:r>
      <w:r>
        <w:rPr>
          <w:b w:val="0"/>
          <w:i w:val="0"/>
        </w:rPr>
        <w:t>Machinery of the world</w:t>
      </w:r>
      <w:r>
        <w:t>”</w:t>
      </w:r>
      <w:r>
        <w:rPr>
          <w:b w:val="0"/>
          <w:i w:val="0"/>
        </w:rPr>
        <w:t xml:space="preserve"> is an image of connected order and rule in the program of the work. It does not certify a modern mechanical model or make God a bodily member of the universe alongside the grades he causes.</w:t>
      </w:r>
    </w:p>
    <w:p>
      <w:pPr>
        <w:keepNext/>
        <w:widowControl/>
      </w:pPr>
      <w:r>
        <w:rPr>
          <w:b/>
          <w:i w:val="0"/>
        </w:rPr>
        <w:t>See also.</w:t>
      </w:r>
    </w:p>
    <w:p>
      <w:pPr>
        <w:widowControl/>
      </w:pPr>
      <w:hyperlink w:anchor="order-and-harmony">
        <w:r>
          <w:rPr>
            <w:color w:val="000000"/>
          </w:rPr>
          <w:t xml:space="preserve">Order and harmony</w:t>
        </w:r>
      </w:hyperlink>
      <w:r>
        <w:rPr>
          <w:b w:val="0"/>
          <w:i w:val="0"/>
        </w:rPr>
        <w:t xml:space="preserve">; </w:t>
      </w:r>
      <w:hyperlink w:anchor="soul">
        <w:r>
          <w:rPr>
            <w:color w:val="000000"/>
          </w:rPr>
          <w:t xml:space="preserve">Soul</w:t>
        </w:r>
      </w:hyperlink>
      <w:r>
        <w:rPr>
          <w:b w:val="0"/>
          <w:i w:val="0"/>
        </w:rPr>
        <w:t xml:space="preserve">; </w:t>
      </w:r>
      <w:hyperlink w:anchor="life">
        <w:r>
          <w:rPr>
            <w:color w:val="000000"/>
          </w:rPr>
          <w:t xml:space="preserve">Life</w:t>
        </w:r>
      </w:hyperlink>
      <w:r>
        <w:rPr>
          <w:b w:val="0"/>
          <w:i w:val="0"/>
        </w:rPr>
        <w:t xml:space="preserve">; </w:t>
      </w:r>
      <w:hyperlink w:anchor="angel">
        <w:r>
          <w:rPr>
            <w:color w:val="000000"/>
          </w:rPr>
          <w:t xml:space="preserve">Angel</w:t>
        </w:r>
      </w:hyperlink>
      <w:r>
        <w:rPr>
          <w:b w:val="0"/>
          <w:i w:val="0"/>
        </w:rPr>
        <w:t xml:space="preserve">; </w:t>
      </w:r>
      <w:hyperlink w:anchor="art-and-nature">
        <w:r>
          <w:rPr>
            <w:color w:val="000000"/>
          </w:rPr>
          <w:t xml:space="preserve">Art and nature</w:t>
        </w:r>
      </w:hyperlink>
    </w:p>
    <w:p>
      <w:bookmarkStart w:id="247" w:name="world-soul"/>
      <w:pPr>
        <w:pStyle w:val="Heading2"/>
      </w:pPr>
      <w:r>
        <w:rPr>
          <w:b w:val="0"/>
          <w:i w:val="0"/>
        </w:rPr>
        <w:t>World soul</w:t>
      </w:r>
      <w:bookmarkEnd w:id="247"/>
    </w:p>
    <w:p>
      <w:pPr>
        <w:keepNext/>
        <w:widowControl/>
      </w:pPr>
      <w:r>
        <w:rPr>
          <w:b/>
          <w:i w:val="0"/>
        </w:rPr>
        <w:t>Latin:</w:t>
      </w:r>
      <w:r>
        <w:rPr>
          <w:b w:val="0"/>
          <w:i w:val="0"/>
        </w:rPr>
        <w:t xml:space="preserve"> </w:t>
      </w:r>
      <w:r>
        <w:rPr>
          <w:b w:val="0"/>
          <w:i/>
        </w:rPr>
        <w:t>anima mundi</w:t>
      </w:r>
      <w:r>
        <w:rPr>
          <w:b w:val="0"/>
          <w:i w:val="0"/>
        </w:rPr>
        <w:t xml:space="preserve">, </w:t>
      </w:r>
      <w:r>
        <w:rPr>
          <w:b w:val="0"/>
          <w:i/>
        </w:rPr>
        <w:t>una communis natura</w:t>
      </w:r>
      <w:r>
        <w:rPr>
          <w:b w:val="0"/>
          <w:i w:val="0"/>
        </w:rPr>
        <w:t xml:space="preserve">, </w:t>
      </w:r>
      <w:r>
        <w:rPr>
          <w:b w:val="0"/>
          <w:i/>
        </w:rPr>
        <w:t>una anima</w:t>
      </w:r>
    </w:p>
    <w:p>
      <w:pPr>
        <w:keepNext/>
        <w:widowControl/>
      </w:pPr>
      <w:r>
        <w:rPr>
          <w:b/>
          <w:i w:val="0"/>
        </w:rPr>
        <w:t>The word.</w:t>
      </w:r>
    </w:p>
    <w:p>
      <w:pPr>
        <w:widowControl/>
      </w:pPr>
      <w:r>
        <w:rPr>
          <w:b w:val="0"/>
          <w:i w:val="0"/>
        </w:rPr>
        <w:t>Anima mundi is the soul of the world; una communis natura a common nature; una anima one animating source. Universality of governance does not make all subordinate souls numerically identical.</w:t>
      </w:r>
    </w:p>
    <w:p>
      <w:pPr>
        <w:keepNext/>
        <w:widowControl/>
      </w:pPr>
      <w:r>
        <w:rPr>
          <w:b/>
          <w:i w:val="0"/>
        </w:rPr>
        <w:t>In the Platonic Theology.</w:t>
      </w:r>
    </w:p>
    <w:p>
      <w:pPr>
        <w:widowControl/>
      </w:pPr>
      <w:r>
        <w:rPr>
          <w:b w:val="0"/>
          <w:i w:val="0"/>
        </w:rPr>
        <w:t>The one world-soul is distinguished from the souls of individual cosmic spheres and the many souls living within them. Ficino argues for it from the world’s unity as a living work, the one matter underlying the spheres, and the cooperation of diverse members. Its indivisible presence is compared with the human soul’s whole presence in each part of its body: it can connect, enliven, and move the universe without being parcelled into spatial pieces. This claim does not mean that all subordinate souls are identical, or that the world-soul is God. Ficino expressly rejects the identification of a sphere’s life, even the whole world’s, with first self-subsistent life. The world-soul remains beneath mind in the hierarchy and receives order and constancy from higher sources. Its Orphic knowing and animating powers are named Bacchus Eribromus and Calliope. The chapter’s Christian-theological reservation applies to this cosmic account.</w:t>
      </w:r>
    </w:p>
    <w:p>
      <w:pPr>
        <w:widowControl/>
      </w:pPr>
      <w:r>
        <w:rPr>
          <w:b w:val="0"/>
          <w:i w:val="0"/>
        </w:rPr>
        <w:t>The inference from one maker to one living work provides one line of argument, while the correspondence between one underlying matter and one soul provides another. Sympathy adds a third: contrary members exchange powers and obey coordinated higher directions rather than acting as wholly disconnected bodies. These are distinct arguments reinforcing the same conclusion. The assertion that universal soul is everywhere in universal nature likewise follows an analogy: as nature stands to body, soul stands to nature. This makes universal soul a principle of the world’s unity and activity without eliminating the more particular natures and souls through which differentiated effects occur. The final hierarchy preserves unity and multiplicity together.</w:t>
      </w:r>
    </w:p>
    <w:p>
      <w:pPr>
        <w:keepNext/>
        <w:widowControl/>
      </w:pPr>
      <w:r>
        <w:rPr>
          <w:b/>
          <w:i w:val="0"/>
        </w:rPr>
        <w:t>The places.</w:t>
      </w:r>
    </w:p>
    <w:p>
      <w:pPr>
        <w:ind w:left="187" w:hanging="187"/>
      </w:pPr>
      <w:r>
        <w:t xml:space="preserve">• </w:t>
      </w:r>
      <w:r>
        <w:rPr>
          <w:b/>
          <w:i w:val="0"/>
        </w:rPr>
        <w:t>IV.1.22–28, PDF pp. 292–295</w:t>
      </w:r>
      <w:r>
        <w:rPr>
          <w:b w:val="0"/>
          <w:i w:val="0"/>
        </w:rPr>
        <w:t>. World-infused life is rejected as an identification of the highest God.</w:t>
      </w:r>
    </w:p>
    <w:p>
      <w:pPr>
        <w:ind w:left="187" w:hanging="187"/>
      </w:pPr>
      <w:r>
        <w:t xml:space="preserve">• </w:t>
      </w:r>
      <w:r>
        <w:rPr>
          <w:b/>
          <w:i w:val="0"/>
        </w:rPr>
        <w:t>IV.1.50–52, PDF pp. 306–309</w:t>
      </w:r>
      <w:r>
        <w:rPr>
          <w:b w:val="0"/>
          <w:i w:val="0"/>
        </w:rPr>
        <w:t>. The marked Pythagorean hierarchy gathers sphere-souls under world-soul and then rises to mind and unity.</w:t>
      </w:r>
    </w:p>
    <w:p>
      <w:pPr>
        <w:ind w:left="187" w:hanging="187"/>
      </w:pPr>
      <w:r>
        <w:t xml:space="preserve">• </w:t>
      </w:r>
      <w:r>
        <w:rPr>
          <w:b/>
          <w:i w:val="0"/>
        </w:rPr>
        <w:t>IV.1.79–83, PDF pp. 322–325</w:t>
      </w:r>
      <w:r>
        <w:rPr>
          <w:b w:val="0"/>
          <w:i w:val="0"/>
        </w:rPr>
        <w:t>. One maker and living work, one matter, and shared action supply distinct arguments for one soul.</w:t>
      </w:r>
    </w:p>
    <w:p>
      <w:pPr>
        <w:ind w:left="187" w:hanging="187"/>
      </w:pPr>
      <w:r>
        <w:t xml:space="preserve">• </w:t>
      </w:r>
      <w:r>
        <w:rPr>
          <w:b/>
          <w:i w:val="0"/>
        </w:rPr>
        <w:t>IV.1.86–87, PDF pp. 326–327</w:t>
      </w:r>
      <w:r>
        <w:rPr>
          <w:b w:val="0"/>
          <w:i w:val="0"/>
        </w:rPr>
        <w:t>. Soul’s motion depends on higher sources of order and perpetual unity.</w:t>
      </w:r>
    </w:p>
    <w:p>
      <w:pPr>
        <w:ind w:left="187" w:hanging="187"/>
      </w:pPr>
      <w:r>
        <w:t xml:space="preserve">• </w:t>
      </w:r>
      <w:r>
        <w:rPr>
          <w:b/>
          <w:i w:val="0"/>
        </w:rPr>
        <w:t>IV.1.94–96, PDF pp. 330–333</w:t>
      </w:r>
      <w:r>
        <w:rPr>
          <w:b w:val="0"/>
          <w:i w:val="0"/>
        </w:rPr>
        <w:t>. Orphic names distinguish knowing and animating powers before the closing reservation.</w:t>
      </w:r>
    </w:p>
    <w:p>
      <w:pPr>
        <w:widowControl/>
      </w:pPr>
      <w:r>
        <w:rPr>
          <w:b/>
          <w:i w:val="0"/>
        </w:rPr>
        <w:t>Further passage references.</w:t>
      </w:r>
      <w:r>
        <w:rPr>
          <w:b w:val="0"/>
          <w:i w:val="0"/>
        </w:rPr>
        <w:t xml:space="preserve"> IV.1.22–IV.1.28, pp. 292–295; IV.1.50–IV.1.52, pp. 306–309; IV.1.79–IV.1.87, pp. 322–327; IV.1.94–IV.1.96, pp. 330–333</w:t>
      </w:r>
    </w:p>
    <w:p>
      <w:pPr>
        <w:keepNext/>
        <w:widowControl/>
      </w:pPr>
      <w:r>
        <w:rPr>
          <w:b/>
          <w:i w:val="0"/>
        </w:rPr>
        <w:t>In this edition.</w:t>
      </w:r>
    </w:p>
    <w:p>
      <w:pPr>
        <w:widowControl/>
      </w:pPr>
      <w:r>
        <w:rPr>
          <w:b w:val="0"/>
          <w:i w:val="0"/>
        </w:rPr>
        <w:t xml:space="preserve">The English supplies </w:t>
      </w:r>
      <w:r>
        <w:t>“</w:t>
      </w:r>
      <w:r>
        <w:rPr>
          <w:b w:val="0"/>
          <w:i w:val="0"/>
        </w:rPr>
        <w:t>spheres</w:t>
      </w:r>
      <w:r>
        <w:t>”</w:t>
      </w:r>
      <w:r>
        <w:rPr>
          <w:b w:val="0"/>
          <w:i w:val="0"/>
        </w:rPr>
        <w:t xml:space="preserve"> after super singulas in IV.1.79 from the context, as the apparatus states. The world-soul is explicitly distinguished from God, and IV.1.96 conditions affirmation of the narrated cosmic account upon theological approval.</w:t>
      </w:r>
    </w:p>
    <w:p>
      <w:pPr>
        <w:keepNext/>
        <w:widowControl/>
      </w:pPr>
      <w:r>
        <w:rPr>
          <w:b/>
          <w:i w:val="0"/>
        </w:rPr>
        <w:t>See also.</w:t>
      </w:r>
    </w:p>
    <w:p>
      <w:pPr>
        <w:widowControl/>
      </w:pPr>
      <w:hyperlink w:anchor="soul">
        <w:r>
          <w:rPr>
            <w:color w:val="000000"/>
          </w:rPr>
          <w:t xml:space="preserve">Soul</w:t>
        </w:r>
      </w:hyperlink>
      <w:r>
        <w:rPr>
          <w:b w:val="0"/>
          <w:i w:val="0"/>
        </w:rPr>
        <w:t xml:space="preserve">; </w:t>
      </w:r>
      <w:hyperlink w:anchor="sympathy">
        <w:r>
          <w:rPr>
            <w:color w:val="000000"/>
          </w:rPr>
          <w:t xml:space="preserve">Sympathy</w:t>
        </w:r>
      </w:hyperlink>
      <w:r>
        <w:rPr>
          <w:b w:val="0"/>
          <w:i w:val="0"/>
        </w:rPr>
        <w:t xml:space="preserve">; </w:t>
      </w:r>
      <w:hyperlink w:anchor="whole-and-parts">
        <w:r>
          <w:rPr>
            <w:color w:val="000000"/>
          </w:rPr>
          <w:t xml:space="preserve">Whole and parts</w:t>
        </w:r>
      </w:hyperlink>
      <w:r>
        <w:rPr>
          <w:b w:val="0"/>
          <w:i w:val="0"/>
        </w:rPr>
        <w:t xml:space="preserve">; </w:t>
      </w:r>
      <w:hyperlink w:anchor="bacchus-and-the-muses">
        <w:r>
          <w:rPr>
            <w:color w:val="000000"/>
          </w:rPr>
          <w:t xml:space="preserve">Bacchus and the Muses</w:t>
        </w:r>
      </w:hyperlink>
    </w:p>
    <w:p>
      <w:bookmarkStart w:id="248" w:name="worship-and-piety"/>
      <w:pPr>
        <w:pStyle w:val="Heading2"/>
      </w:pPr>
      <w:r>
        <w:rPr>
          <w:b w:val="0"/>
          <w:i w:val="0"/>
        </w:rPr>
        <w:t>Worship and piety</w:t>
      </w:r>
      <w:bookmarkEnd w:id="248"/>
    </w:p>
    <w:p>
      <w:pPr>
        <w:keepNext/>
        <w:widowControl/>
      </w:pPr>
      <w:r>
        <w:rPr>
          <w:b/>
          <w:i w:val="0"/>
        </w:rPr>
        <w:t>Latin:</w:t>
      </w:r>
      <w:r>
        <w:rPr>
          <w:b w:val="0"/>
          <w:i w:val="0"/>
        </w:rPr>
        <w:t xml:space="preserve"> </w:t>
      </w:r>
      <w:r>
        <w:rPr>
          <w:b w:val="0"/>
          <w:i/>
        </w:rPr>
        <w:t>cultus</w:t>
      </w:r>
      <w:r>
        <w:rPr>
          <w:b w:val="0"/>
          <w:i w:val="0"/>
        </w:rPr>
        <w:t xml:space="preserve">, </w:t>
      </w:r>
      <w:r>
        <w:rPr>
          <w:b w:val="0"/>
          <w:i/>
        </w:rPr>
        <w:t>colere</w:t>
      </w:r>
      <w:r>
        <w:rPr>
          <w:b w:val="0"/>
          <w:i w:val="0"/>
        </w:rPr>
        <w:t xml:space="preserve">, </w:t>
      </w:r>
      <w:r>
        <w:rPr>
          <w:b w:val="0"/>
          <w:i/>
        </w:rPr>
        <w:t>pietas</w:t>
      </w:r>
      <w:r>
        <w:rPr>
          <w:b w:val="0"/>
          <w:i w:val="0"/>
        </w:rPr>
        <w:t xml:space="preserve">, </w:t>
      </w:r>
      <w:r>
        <w:rPr>
          <w:b w:val="0"/>
          <w:i/>
        </w:rPr>
        <w:t>pius</w:t>
      </w:r>
      <w:r>
        <w:rPr>
          <w:b w:val="0"/>
          <w:i w:val="0"/>
        </w:rPr>
        <w:t xml:space="preserve">; </w:t>
      </w:r>
      <w:r>
        <w:rPr>
          <w:b w:val="0"/>
          <w:i/>
        </w:rPr>
        <w:t>venerari</w:t>
      </w:r>
      <w:r>
        <w:rPr>
          <w:b w:val="0"/>
          <w:i w:val="0"/>
        </w:rPr>
        <w:t xml:space="preserve">, </w:t>
      </w:r>
      <w:r>
        <w:rPr>
          <w:b w:val="0"/>
          <w:i/>
        </w:rPr>
        <w:t>veneratio</w:t>
      </w:r>
    </w:p>
    <w:p>
      <w:pPr>
        <w:keepNext/>
        <w:widowControl/>
      </w:pPr>
      <w:r>
        <w:rPr>
          <w:b/>
          <w:i w:val="0"/>
        </w:rPr>
        <w:t>The word.</w:t>
      </w:r>
    </w:p>
    <w:p>
      <w:pPr>
        <w:widowControl/>
      </w:pPr>
      <w:r>
        <w:rPr>
          <w:b w:val="0"/>
          <w:i w:val="0"/>
        </w:rPr>
        <w:t>Cultus and colere concern worship or honoring; pietas and pius a proper reverent disposition; venerari and veneratio reverence. Here religious practice is connected with the direction and purpose of inquiry.</w:t>
      </w:r>
    </w:p>
    <w:p>
      <w:pPr>
        <w:keepNext/>
        <w:widowControl/>
      </w:pPr>
      <w:r>
        <w:rPr>
          <w:b/>
          <w:i w:val="0"/>
        </w:rPr>
        <w:t>In the Platonic Theology.</w:t>
      </w:r>
    </w:p>
    <w:p>
      <w:pPr>
        <w:widowControl/>
      </w:pPr>
      <w:r>
        <w:rPr>
          <w:b w:val="0"/>
          <w:i w:val="0"/>
        </w:rPr>
        <w:t>Worship is one of the two principal ends Ficino finds in reading Plato, the other being recognition of souls’ divinity. The Proem makes this activity depend on knowledge and purification: the soul is purified to perceive divine light, causes are investigated so that the cause of causes may be found and revered, and self-knowledge prepares knowledge of God. Piety consequently describes how inquiry is directed, not simply an external observance added after argument. Ficino opposes separating love of wisdom from the honor due to wisdom or true understanding from right will. The first chapter then uses human capacity for divine worship in an argument about blessedness beyond bodily death. This religious characterization of philosophy’s proper end expresses Ficino’s program, including his presentation of the ancient authorities he invokes.</w:t>
      </w:r>
    </w:p>
    <w:p>
      <w:pPr>
        <w:keepNext/>
        <w:widowControl/>
      </w:pPr>
      <w:r>
        <w:rPr>
          <w:b/>
          <w:i w:val="0"/>
        </w:rPr>
        <w:t>The places.</w:t>
      </w:r>
    </w:p>
    <w:p>
      <w:pPr>
        <w:ind w:left="187" w:hanging="187"/>
      </w:pPr>
      <w:r>
        <w:t xml:space="preserve">• </w:t>
      </w:r>
      <w:r>
        <w:rPr>
          <w:b/>
          <w:i w:val="0"/>
        </w:rPr>
        <w:t>Proem.1–4, PDF pp. 6–7</w:t>
      </w:r>
      <w:r>
        <w:rPr>
          <w:b w:val="0"/>
          <w:i w:val="0"/>
        </w:rPr>
        <w:t>. Mind’s received light, purification, and self-knowledge direct its return toward God.</w:t>
      </w:r>
    </w:p>
    <w:p>
      <w:pPr>
        <w:ind w:left="187" w:hanging="187"/>
      </w:pPr>
      <w:r>
        <w:t xml:space="preserve">• </w:t>
      </w:r>
      <w:r>
        <w:rPr>
          <w:b/>
          <w:i w:val="0"/>
        </w:rPr>
        <w:t>Proem.7–8, PDF pp. 8–9</w:t>
      </w:r>
      <w:r>
        <w:rPr>
          <w:b w:val="0"/>
          <w:i w:val="0"/>
        </w:rPr>
        <w:t>. The created mind’s mirror is used to contemplate and worship the Creator; philosophy is joined to religion.</w:t>
      </w:r>
    </w:p>
    <w:p>
      <w:pPr>
        <w:ind w:left="187" w:hanging="187"/>
      </w:pPr>
      <w:r>
        <w:t xml:space="preserve">• </w:t>
      </w:r>
      <w:r>
        <w:rPr>
          <w:b/>
          <w:i w:val="0"/>
        </w:rPr>
        <w:t>I.1.1, PDF pp. 14–15</w:t>
      </w:r>
      <w:r>
        <w:rPr>
          <w:b w:val="0"/>
          <w:i w:val="0"/>
        </w:rPr>
        <w:t>. Human worship supplies a premise in the opening argument for blessedness beyond bodily death.</w:t>
      </w:r>
    </w:p>
    <w:p>
      <w:pPr>
        <w:widowControl/>
      </w:pPr>
      <w:r>
        <w:rPr>
          <w:b/>
          <w:i w:val="0"/>
        </w:rPr>
        <w:t>Further passage references.</w:t>
      </w:r>
      <w:r>
        <w:rPr>
          <w:b w:val="0"/>
          <w:i w:val="0"/>
        </w:rPr>
        <w:t xml:space="preserve"> Proem.1–Proem.10 (PDF pp. 6–11); I.1.1 (pp. 14–15)</w:t>
      </w:r>
    </w:p>
    <w:p>
      <w:pPr>
        <w:keepNext/>
        <w:widowControl/>
      </w:pPr>
      <w:r>
        <w:rPr>
          <w:b/>
          <w:i w:val="0"/>
        </w:rPr>
        <w:t>In this edition.</w:t>
      </w:r>
    </w:p>
    <w:p>
      <w:pPr>
        <w:widowControl/>
      </w:pPr>
      <w:r>
        <w:rPr>
          <w:b w:val="0"/>
          <w:i w:val="0"/>
        </w:rPr>
        <w:t xml:space="preserve">The Proem’s claims about Plato’s religious ends are Ficino’s presentation, and </w:t>
      </w:r>
      <w:r>
        <w:t>“</w:t>
      </w:r>
      <w:r>
        <w:rPr>
          <w:b w:val="0"/>
          <w:i w:val="0"/>
        </w:rPr>
        <w:t>right will</w:t>
      </w:r>
      <w:r>
        <w:t>”</w:t>
      </w:r>
      <w:r>
        <w:rPr>
          <w:b w:val="0"/>
          <w:i w:val="0"/>
        </w:rPr>
        <w:t xml:space="preserve"> expresses a normative commitment. The image of inquiry finding the cause of causes should not be detached from its stated aim of reverence.</w:t>
      </w:r>
    </w:p>
    <w:p>
      <w:pPr>
        <w:keepNext/>
        <w:widowControl/>
      </w:pPr>
      <w:r>
        <w:rPr>
          <w:b/>
          <w:i w:val="0"/>
        </w:rPr>
        <w:t>See also.</w:t>
      </w:r>
    </w:p>
    <w:p>
      <w:pPr>
        <w:widowControl/>
      </w:pPr>
      <w:hyperlink w:anchor="philosophy-and-theology">
        <w:r>
          <w:rPr>
            <w:color w:val="000000"/>
          </w:rPr>
          <w:t xml:space="preserve">Philosophy and theology</w:t>
        </w:r>
      </w:hyperlink>
      <w:r>
        <w:rPr>
          <w:b w:val="0"/>
          <w:i w:val="0"/>
        </w:rPr>
        <w:t xml:space="preserve">; </w:t>
      </w:r>
      <w:hyperlink w:anchor="blessedness">
        <w:r>
          <w:rPr>
            <w:color w:val="000000"/>
          </w:rPr>
          <w:t xml:space="preserve">Blessedness</w:t>
        </w:r>
      </w:hyperlink>
      <w:r>
        <w:rPr>
          <w:b w:val="0"/>
          <w:i w:val="0"/>
        </w:rPr>
        <w:t xml:space="preserve">; </w:t>
      </w:r>
      <w:hyperlink w:anchor="light-and-illumination">
        <w:r>
          <w:rPr>
            <w:color w:val="000000"/>
          </w:rPr>
          <w:t xml:space="preserve">Light and illumination</w:t>
        </w:r>
      </w:hyperlink>
      <w:r>
        <w:rPr>
          <w:b w:val="0"/>
          <w:i w:val="0"/>
        </w:rPr>
        <w:t xml:space="preserve">; </w:t>
      </w:r>
      <w:hyperlink w:anchor="divinity-and-the-divine">
        <w:r>
          <w:rPr>
            <w:color w:val="000000"/>
          </w:rPr>
          <w:t xml:space="preserve">Divinity and the divine</w:t>
        </w:r>
      </w:hyperlink>
      <w:r>
        <w:rPr>
          <w:b w:val="0"/>
          <w:i w:val="0"/>
        </w:rPr>
        <w:t xml:space="preserve">; </w:t>
      </w:r>
      <w:hyperlink w:anchor="will">
        <w:r>
          <w:rPr>
            <w:color w:val="000000"/>
          </w:rPr>
          <w:t xml:space="preserve">Will</w:t>
        </w:r>
      </w:hyperlink>
    </w:p>
    <w:p>
      <w:bookmarkStart w:id="249" w:name="xenocrates-and-the-riddle"/>
      <w:pPr>
        <w:pStyle w:val="Heading2"/>
      </w:pPr>
      <w:r>
        <w:rPr>
          <w:b w:val="0"/>
          <w:i w:val="0"/>
        </w:rPr>
        <w:t>Xenocrates and the riddle</w:t>
      </w:r>
      <w:bookmarkEnd w:id="249"/>
    </w:p>
    <w:p>
      <w:pPr>
        <w:keepNext/>
        <w:widowControl/>
      </w:pPr>
      <w:r>
        <w:rPr>
          <w:b/>
          <w:i w:val="0"/>
        </w:rPr>
        <w:t>Latin:</w:t>
      </w:r>
      <w:r>
        <w:rPr>
          <w:b w:val="0"/>
          <w:i w:val="0"/>
        </w:rPr>
        <w:t xml:space="preserve"> </w:t>
      </w:r>
      <w:r>
        <w:rPr>
          <w:b w:val="0"/>
          <w:i/>
        </w:rPr>
        <w:t>Xenocrates; aenigma; numerus se movens; usurpare; solvere</w:t>
      </w:r>
    </w:p>
    <w:p>
      <w:pPr>
        <w:keepNext/>
        <w:widowControl/>
      </w:pPr>
      <w:r>
        <w:rPr>
          <w:b/>
          <w:i w:val="0"/>
        </w:rPr>
        <w:t>The word.</w:t>
      </w:r>
    </w:p>
    <w:p>
      <w:pPr>
        <w:widowControl/>
      </w:pPr>
      <w:r>
        <w:rPr>
          <w:b w:val="0"/>
          <w:i w:val="0"/>
        </w:rPr>
        <w:t>Aenigma is a riddle or enigmatic formulation. Usurpare here is to employ an expression; solvere to resolve or explain it. Numerus se movens is self-moving number, an expression Ficino expressly glosses.</w:t>
      </w:r>
    </w:p>
    <w:p>
      <w:pPr>
        <w:keepNext/>
        <w:widowControl/>
      </w:pPr>
      <w:r>
        <w:rPr>
          <w:b/>
          <w:i w:val="0"/>
        </w:rPr>
        <w:t>In the Platonic Theology.</w:t>
      </w:r>
    </w:p>
    <w:p>
      <w:pPr>
        <w:widowControl/>
      </w:pPr>
      <w:r>
        <w:rPr>
          <w:b w:val="0"/>
          <w:i w:val="0"/>
        </w:rPr>
        <w:t xml:space="preserve">After establishing soul as the first movable nature and the source of movement in animated bodies, Ficino says he thinks he has solved the Pythagorean riddle used by Xenocrates. He interprets </w:t>
      </w:r>
      <w:r>
        <w:t>“</w:t>
      </w:r>
      <w:r>
        <w:rPr>
          <w:b w:val="0"/>
          <w:i w:val="0"/>
        </w:rPr>
        <w:t>number</w:t>
      </w:r>
      <w:r>
        <w:t>”</w:t>
      </w:r>
      <w:r>
        <w:rPr>
          <w:b w:val="0"/>
          <w:i w:val="0"/>
        </w:rPr>
        <w:t xml:space="preserve"> as manifold nature and </w:t>
      </w:r>
      <w:r>
        <w:t>“</w:t>
      </w:r>
      <w:r>
        <w:rPr>
          <w:b w:val="0"/>
          <w:i w:val="0"/>
        </w:rPr>
        <w:t>self-moving</w:t>
      </w:r>
      <w:r>
        <w:t>”</w:t>
      </w:r>
      <w:r>
        <w:rPr>
          <w:b w:val="0"/>
          <w:i w:val="0"/>
        </w:rPr>
        <w:t xml:space="preserve"> as changeable by its own property. The formula thus joins two features already distinguished from higher grades: angel is manifold but stable, whereas soul is manifold and mobile. It does not reduce soul to an integer or describe arithmetic calculation as its essence. The attribution also has layers: the riddle is called Pythagorean, Xenocrates is said to use it, and Ficino supplies this interpretation. Those are three claims, not a single directly quoted doctrine independently verified from Xenocrates.</w:t>
      </w:r>
    </w:p>
    <w:p>
      <w:pPr>
        <w:keepNext/>
        <w:widowControl/>
      </w:pPr>
      <w:r>
        <w:rPr>
          <w:b/>
          <w:i w:val="0"/>
        </w:rPr>
        <w:t>The places.</w:t>
      </w:r>
    </w:p>
    <w:p>
      <w:pPr>
        <w:widowControl/>
        <w:keepNext/>
      </w:pPr>
      <w:r>
        <w:rPr>
          <w:b w:val="0"/>
          <w:i w:val="0"/>
        </w:rPr>
        <w:t>Selected annotated passages.</w:t>
      </w:r>
    </w:p>
    <w:p>
      <w:pPr>
        <w:ind w:left="187" w:hanging="187"/>
      </w:pPr>
      <w:r>
        <w:t xml:space="preserve">• </w:t>
      </w:r>
      <w:r>
        <w:rPr>
          <w:b/>
          <w:i w:val="0"/>
        </w:rPr>
        <w:t>III.1.23 (Latin PDF p. 254; English PDF p. 255).</w:t>
      </w:r>
      <w:r>
        <w:rPr>
          <w:b w:val="0"/>
          <w:i w:val="0"/>
        </w:rPr>
        <w:t xml:space="preserve"> The formula is interpreted after the argument for primary self-motion.</w:t>
      </w:r>
    </w:p>
    <w:p>
      <w:pPr>
        <w:ind w:left="187" w:hanging="187"/>
      </w:pPr>
      <w:r>
        <w:t xml:space="preserve">• </w:t>
      </w:r>
      <w:r>
        <w:rPr>
          <w:b/>
          <w:i w:val="0"/>
        </w:rPr>
        <w:t>III.1.24 (Latin PDF p. 254; English PDF p. 255).</w:t>
      </w:r>
      <w:r>
        <w:rPr>
          <w:b w:val="0"/>
          <w:i w:val="0"/>
        </w:rPr>
        <w:t xml:space="preserve"> Further reasons are promised for the existence of that nature.</w:t>
      </w:r>
    </w:p>
    <w:p>
      <w:pPr>
        <w:ind w:left="187" w:hanging="187"/>
      </w:pPr>
      <w:r>
        <w:t xml:space="preserve">• </w:t>
      </w:r>
      <w:r>
        <w:rPr>
          <w:b/>
          <w:i w:val="0"/>
        </w:rPr>
        <w:t>III.1.25 (Latin PDF p. 254; English PDF p. 255).</w:t>
      </w:r>
      <w:r>
        <w:rPr>
          <w:b w:val="0"/>
          <w:i w:val="0"/>
        </w:rPr>
        <w:t xml:space="preserve"> Dependence, regress, and circularity motivate a self-moving source.</w:t>
      </w:r>
    </w:p>
    <w:p>
      <w:pPr>
        <w:keepNext/>
        <w:widowControl/>
      </w:pPr>
      <w:r>
        <w:rPr>
          <w:b/>
          <w:i w:val="0"/>
        </w:rPr>
        <w:t>In this edition.</w:t>
      </w:r>
    </w:p>
    <w:p>
      <w:pPr>
        <w:widowControl/>
      </w:pPr>
      <w:r>
        <w:rPr>
          <w:b w:val="0"/>
          <w:i w:val="0"/>
        </w:rPr>
        <w:t xml:space="preserve">The English </w:t>
      </w:r>
      <w:r>
        <w:t>“</w:t>
      </w:r>
      <w:r>
        <w:rPr>
          <w:b w:val="0"/>
          <w:i w:val="0"/>
        </w:rPr>
        <w:t>I believe I have solved</w:t>
      </w:r>
      <w:r>
        <w:t>”</w:t>
      </w:r>
      <w:r>
        <w:rPr>
          <w:b w:val="0"/>
          <w:i w:val="0"/>
        </w:rPr>
        <w:t xml:space="preserve"> keeps arbitror, an authorial claim about explanatory success. Numerum is the case form in the reported formula; the nominative numerus is a supplied citation form.</w:t>
      </w:r>
    </w:p>
    <w:p>
      <w:pPr>
        <w:keepNext/>
        <w:widowControl/>
      </w:pPr>
      <w:r>
        <w:rPr>
          <w:b/>
          <w:i w:val="0"/>
        </w:rPr>
        <w:t>See also.</w:t>
      </w:r>
    </w:p>
    <w:p>
      <w:pPr>
        <w:widowControl/>
      </w:pPr>
      <w:hyperlink w:anchor="number">
        <w:r>
          <w:rPr>
            <w:color w:val="000000"/>
          </w:rPr>
          <w:t xml:space="preserve">Number</w:t>
        </w:r>
      </w:hyperlink>
      <w:r>
        <w:rPr>
          <w:b w:val="0"/>
          <w:i w:val="0"/>
        </w:rPr>
        <w:t xml:space="preserve">; </w:t>
      </w:r>
      <w:hyperlink w:anchor="unity-and-multiplicity">
        <w:r>
          <w:rPr>
            <w:color w:val="000000"/>
          </w:rPr>
          <w:t xml:space="preserve">Unity and multiplicity</w:t>
        </w:r>
      </w:hyperlink>
      <w:r>
        <w:rPr>
          <w:b w:val="0"/>
          <w:i w:val="0"/>
        </w:rPr>
        <w:t xml:space="preserve">; </w:t>
      </w:r>
      <w:hyperlink w:anchor="first-movable">
        <w:r>
          <w:rPr>
            <w:color w:val="000000"/>
          </w:rPr>
          <w:t xml:space="preserve">First movable</w:t>
        </w:r>
      </w:hyperlink>
      <w:r>
        <w:rPr>
          <w:b w:val="0"/>
          <w:i w:val="0"/>
        </w:rPr>
        <w:t xml:space="preserve">; </w:t>
      </w:r>
      <w:hyperlink w:anchor="motion-and-stability">
        <w:r>
          <w:rPr>
            <w:color w:val="000000"/>
          </w:rPr>
          <w:t xml:space="preserve">Motion and stability</w:t>
        </w:r>
      </w:hyperlink>
      <w:r>
        <w:rPr>
          <w:b w:val="0"/>
          <w:i w:val="0"/>
        </w:rPr>
        <w:t>.</w:t>
      </w:r>
    </w:p>
    <w:p>
      <w:bookmarkStart w:id="250" w:name="zodiac"/>
      <w:pPr>
        <w:pStyle w:val="Heading2"/>
      </w:pPr>
      <w:r>
        <w:rPr>
          <w:b w:val="0"/>
          <w:i w:val="0"/>
        </w:rPr>
        <w:t>Zodiac</w:t>
      </w:r>
      <w:bookmarkEnd w:id="250"/>
    </w:p>
    <w:p>
      <w:pPr>
        <w:keepNext/>
        <w:widowControl/>
      </w:pPr>
      <w:r>
        <w:rPr>
          <w:b/>
          <w:i w:val="0"/>
        </w:rPr>
        <w:t>Latin:</w:t>
      </w:r>
      <w:r>
        <w:rPr>
          <w:b w:val="0"/>
          <w:i w:val="0"/>
        </w:rPr>
        <w:t xml:space="preserve"> </w:t>
      </w:r>
      <w:r>
        <w:rPr>
          <w:b w:val="0"/>
          <w:i/>
        </w:rPr>
        <w:t>Zodiacus</w:t>
      </w:r>
      <w:r>
        <w:rPr>
          <w:b w:val="0"/>
          <w:i w:val="0"/>
        </w:rPr>
        <w:t xml:space="preserve">, </w:t>
      </w:r>
      <w:r>
        <w:rPr>
          <w:b w:val="0"/>
          <w:i/>
        </w:rPr>
        <w:t>animalia siderea</w:t>
      </w:r>
      <w:r>
        <w:rPr>
          <w:b w:val="0"/>
          <w:i w:val="0"/>
        </w:rPr>
        <w:t xml:space="preserve">, </w:t>
      </w:r>
      <w:r>
        <w:rPr>
          <w:b w:val="0"/>
          <w:i/>
        </w:rPr>
        <w:t>cor</w:t>
      </w:r>
      <w:r>
        <w:rPr>
          <w:b w:val="0"/>
          <w:i w:val="0"/>
        </w:rPr>
        <w:t xml:space="preserve">, </w:t>
      </w:r>
      <w:r>
        <w:rPr>
          <w:b w:val="0"/>
          <w:i/>
        </w:rPr>
        <w:t>anima principalis</w:t>
      </w:r>
    </w:p>
    <w:p>
      <w:pPr>
        <w:keepNext/>
        <w:widowControl/>
      </w:pPr>
      <w:r>
        <w:rPr>
          <w:b/>
          <w:i w:val="0"/>
        </w:rPr>
        <w:t>The word.</w:t>
      </w:r>
    </w:p>
    <w:p>
      <w:pPr>
        <w:widowControl/>
      </w:pPr>
      <w:r>
        <w:rPr>
          <w:b w:val="0"/>
          <w:i w:val="0"/>
        </w:rPr>
        <w:t>Zodiacus names the zodiacal circle; animalia siderea its stellar creatures; cor the heart-like principal star; anima principalis the soul governing the constellation. These are different levels in the same image.</w:t>
      </w:r>
    </w:p>
    <w:p>
      <w:pPr>
        <w:keepNext/>
        <w:widowControl/>
      </w:pPr>
      <w:r>
        <w:rPr>
          <w:b/>
          <w:i w:val="0"/>
        </w:rPr>
        <w:t>In the Platonic Theology.</w:t>
      </w:r>
    </w:p>
    <w:p>
      <w:pPr>
        <w:widowControl/>
      </w:pPr>
      <w:r>
        <w:rPr>
          <w:b w:val="0"/>
          <w:i w:val="0"/>
        </w:rPr>
        <w:t xml:space="preserve">The zodiacal figures supply a visible sign of twelvefold organization in the highest sphere. Ficino presents each constellation as a celestial creature with a principal star functioning as its heart, where the constellation’s principal soul lives. The divine correspondences reported as Pythagorean are Aries/Pallas, Taurus/Venus, Gemini/a particular Phoebus, Cancer/Mercury, Leo/a particular Jupiter, Virgo/Ceres, Libra/Vulcan, Scorpio/Mars, Sagittarius/Diana, Capricorn/Vesta, Aquarius/Juno, and Pisces/Neptune. These are the correspondences in this passage, rather than a general key interchangeable with every astrological scheme. </w:t>
      </w:r>
      <w:r>
        <w:t>“</w:t>
      </w:r>
      <w:r>
        <w:rPr>
          <w:b w:val="0"/>
          <w:i w:val="0"/>
        </w:rPr>
        <w:t>Particular</w:t>
      </w:r>
      <w:r>
        <w:t>”</w:t>
      </w:r>
      <w:r>
        <w:rPr>
          <w:b w:val="0"/>
          <w:i w:val="0"/>
        </w:rPr>
        <w:t xml:space="preserve"> also matters: the Phoebus and Jupiter assigned here are contextual divine souls, not necessarily the same referents as a universal theological name elsewhere. The list explains Ficino’s twelvefold analogy and cosmic nomenclature. It does not authorize predictions about individual character or destiny from a person’s zodiac sign.</w:t>
      </w:r>
    </w:p>
    <w:p>
      <w:pPr>
        <w:keepNext/>
        <w:widowControl/>
      </w:pPr>
      <w:r>
        <w:rPr>
          <w:b/>
          <w:i w:val="0"/>
        </w:rPr>
        <w:t>The places.</w:t>
      </w:r>
    </w:p>
    <w:p>
      <w:pPr>
        <w:ind w:left="187" w:hanging="187"/>
      </w:pPr>
      <w:r>
        <w:t xml:space="preserve">• </w:t>
      </w:r>
      <w:r>
        <w:rPr>
          <w:b/>
          <w:i w:val="0"/>
        </w:rPr>
        <w:t>IV.1.42, PDF pp. 302–303</w:t>
      </w:r>
      <w:r>
        <w:rPr>
          <w:b w:val="0"/>
          <w:i w:val="0"/>
        </w:rPr>
        <w:t>. The twelvefold analogy is introduced through cosmic members and principal souls.</w:t>
      </w:r>
    </w:p>
    <w:p>
      <w:pPr>
        <w:ind w:left="187" w:hanging="187"/>
      </w:pPr>
      <w:r>
        <w:t xml:space="preserve">• </w:t>
      </w:r>
      <w:r>
        <w:rPr>
          <w:b/>
          <w:i w:val="0"/>
        </w:rPr>
        <w:t>IV.1.43, PDF pp. 304–305</w:t>
      </w:r>
      <w:r>
        <w:rPr>
          <w:b w:val="0"/>
          <w:i w:val="0"/>
        </w:rPr>
        <w:t>. Each zodiacal creature receives a principal star-heart and one named divine soul, providing the visible twelvefold sign.</w:t>
      </w:r>
    </w:p>
    <w:p>
      <w:pPr>
        <w:widowControl/>
      </w:pPr>
      <w:r>
        <w:rPr>
          <w:b/>
          <w:i w:val="0"/>
        </w:rPr>
        <w:t>Further passage references.</w:t>
      </w:r>
      <w:r>
        <w:rPr>
          <w:b w:val="0"/>
          <w:i w:val="0"/>
        </w:rPr>
        <w:t xml:space="preserve"> IV.1.42–IV.1.43, pp. 302–305; apparatus p. 391</w:t>
      </w:r>
    </w:p>
    <w:p>
      <w:pPr>
        <w:keepNext/>
        <w:widowControl/>
      </w:pPr>
      <w:r>
        <w:rPr>
          <w:b/>
          <w:i w:val="0"/>
        </w:rPr>
        <w:t>In this edition.</w:t>
      </w:r>
    </w:p>
    <w:p>
      <w:pPr>
        <w:widowControl/>
      </w:pPr>
      <w:r>
        <w:rPr>
          <w:b w:val="0"/>
          <w:i w:val="0"/>
        </w:rPr>
        <w:t xml:space="preserve">The divine correspondences are those of this reported Pythagorean passage. The supplied English preserves </w:t>
      </w:r>
      <w:r>
        <w:t>“</w:t>
      </w:r>
      <w:r>
        <w:rPr>
          <w:b w:val="0"/>
          <w:i w:val="0"/>
        </w:rPr>
        <w:t>particular</w:t>
      </w:r>
      <w:r>
        <w:t>”</w:t>
      </w:r>
      <w:r>
        <w:rPr>
          <w:b w:val="0"/>
          <w:i w:val="0"/>
        </w:rPr>
        <w:t xml:space="preserve"> before Phoebus and Jupiter; neither should be silently equated with a universal divine name or transferred into the separate Orphic pair-list.</w:t>
      </w:r>
    </w:p>
    <w:p>
      <w:pPr>
        <w:keepNext/>
        <w:widowControl/>
      </w:pPr>
      <w:r>
        <w:rPr>
          <w:b/>
          <w:i w:val="0"/>
        </w:rPr>
        <w:t>See also.</w:t>
      </w:r>
    </w:p>
    <w:p>
      <w:pPr>
        <w:widowControl/>
      </w:pPr>
      <w:hyperlink w:anchor="twelve">
        <w:r>
          <w:rPr>
            <w:color w:val="000000"/>
          </w:rPr>
          <w:t xml:space="preserve">Twelve</w:t>
        </w:r>
      </w:hyperlink>
      <w:r>
        <w:rPr>
          <w:b w:val="0"/>
          <w:i w:val="0"/>
        </w:rPr>
        <w:t xml:space="preserve">; </w:t>
      </w:r>
      <w:hyperlink w:anchor="spheres-and-stars">
        <w:r>
          <w:rPr>
            <w:color w:val="000000"/>
          </w:rPr>
          <w:t xml:space="preserve">Spheres and stars</w:t>
        </w:r>
      </w:hyperlink>
      <w:r>
        <w:rPr>
          <w:b w:val="0"/>
          <w:i w:val="0"/>
        </w:rPr>
        <w:t xml:space="preserve">; </w:t>
      </w:r>
      <w:hyperlink w:anchor="apollo">
        <w:r>
          <w:rPr>
            <w:color w:val="000000"/>
          </w:rPr>
          <w:t xml:space="preserve">Apollo</w:t>
        </w:r>
      </w:hyperlink>
      <w:r>
        <w:rPr>
          <w:b w:val="0"/>
          <w:i w:val="0"/>
        </w:rPr>
        <w:t xml:space="preserve">; </w:t>
      </w:r>
      <w:hyperlink w:anchor="soul">
        <w:r>
          <w:rPr>
            <w:color w:val="000000"/>
          </w:rPr>
          <w:t xml:space="preserve">Soul</w:t>
        </w:r>
      </w:hyperlink>
    </w:p>
    <w:p>
      <w:bookmarkStart w:id="251" w:name="latin-vocabulary-register"/>
      <w:pPr>
        <w:pStyle w:val="Heading1"/>
      </w:pPr>
      <w:r>
        <w:rPr>
          <w:b w:val="0"/>
          <w:i w:val="0"/>
        </w:rPr>
        <w:t>Latin vocabulary register</w:t>
      </w:r>
      <w:bookmarkEnd w:id="251"/>
    </w:p>
    <w:p>
      <w:pPr>
        <w:widowControl/>
      </w:pPr>
      <w:r>
        <w:rPr>
          <w:b w:val="0"/>
          <w:i w:val="0"/>
        </w:rPr>
        <w:t>Each record explains a lemma, lexical family or significant phrase. The headword can be a dictionary form; the listed attestations are printed forms checked in the cited Latin units. A family record can contain several local senses. Counts of records, printed forms and fuller articles overlap and should not be added as distinct words.</w:t>
      </w:r>
    </w:p>
    <w:p>
      <w:pPr>
        <w:keepNext/>
        <w:widowControl/>
      </w:pPr>
      <w:bookmarkStart w:id="252" w:name="latin-record-0001"/>
      <w:bookmarkEnd w:id="252"/>
      <w:r>
        <w:rPr>
          <w:b/>
          <w:i w:val="0"/>
        </w:rPr>
        <w:t>aberro</w:t>
      </w:r>
      <w:r>
        <w:rPr>
          <w:b/>
          <w:i w:val="0"/>
        </w:rPr>
        <w:t>.</w:t>
      </w:r>
      <w:r>
        <w:rPr>
          <w:b w:val="0"/>
          <w:i w:val="0"/>
        </w:rPr>
        <w:t xml:space="preserve"> Printed forms: </w:t>
      </w:r>
      <w:r>
        <w:rPr>
          <w:b w:val="0"/>
          <w:i/>
        </w:rPr>
        <w:t>aberrare</w:t>
      </w:r>
      <w:r>
        <w:rPr>
          <w:b w:val="0"/>
          <w:i w:val="0"/>
        </w:rPr>
        <w:t>.</w:t>
      </w:r>
    </w:p>
    <w:p>
      <w:pPr>
        <w:widowControl/>
      </w:pPr>
      <w:r>
        <w:rPr>
          <w:b w:val="0"/>
          <w:i w:val="0"/>
        </w:rPr>
        <w:t xml:space="preserve">To go astray or err. The error charged to those severing philosophy and religion is an evaluative claim within Ficino’s programme. References: </w:t>
      </w:r>
      <w:hyperlink w:anchor="passage-proem-8">
        <w:r>
          <w:rPr>
            <w:color w:val="000000"/>
          </w:rPr>
          <w:t xml:space="preserve">Proem.8</w:t>
        </w:r>
      </w:hyperlink>
      <w:r>
        <w:rPr>
          <w:b w:val="0"/>
          <w:i w:val="0"/>
        </w:rPr>
        <w:t xml:space="preserve">. See </w:t>
      </w:r>
      <w:hyperlink w:anchor="assent-approval-and-belief">
        <w:r>
          <w:rPr>
            <w:color w:val="000000"/>
          </w:rPr>
          <w:t xml:space="preserve">Assent, approval and belief</w:t>
        </w:r>
      </w:hyperlink>
      <w:r>
        <w:rPr>
          <w:b w:val="0"/>
          <w:i w:val="0"/>
        </w:rPr>
        <w:t>.</w:t>
      </w:r>
    </w:p>
    <w:p>
      <w:pPr>
        <w:keepNext/>
        <w:widowControl/>
      </w:pPr>
      <w:bookmarkStart w:id="253" w:name="latin-record-0002"/>
      <w:bookmarkEnd w:id="253"/>
      <w:r>
        <w:rPr>
          <w:b/>
          <w:i w:val="0"/>
        </w:rPr>
        <w:t>absens / praesens</w:t>
      </w:r>
      <w:r>
        <w:rPr>
          <w:b/>
          <w:i w:val="0"/>
        </w:rPr>
        <w:t>.</w:t>
      </w:r>
      <w:r>
        <w:rPr>
          <w:b w:val="0"/>
          <w:i w:val="0"/>
        </w:rPr>
        <w:t xml:space="preserve"> Printed forms: </w:t>
      </w:r>
      <w:r>
        <w:rPr>
          <w:b w:val="0"/>
          <w:i/>
        </w:rPr>
        <w:t>absens</w:t>
      </w:r>
      <w:r>
        <w:rPr>
          <w:b w:val="0"/>
          <w:i w:val="0"/>
        </w:rPr>
        <w:t xml:space="preserve">; </w:t>
      </w:r>
      <w:r>
        <w:rPr>
          <w:b w:val="0"/>
          <w:i/>
        </w:rPr>
        <w:t>praesens</w:t>
      </w:r>
      <w:r>
        <w:rPr>
          <w:b w:val="0"/>
          <w:i w:val="0"/>
        </w:rPr>
        <w:t xml:space="preserve">; </w:t>
      </w:r>
      <w:r>
        <w:rPr>
          <w:b w:val="0"/>
          <w:i/>
        </w:rPr>
        <w:t>praesenti</w:t>
      </w:r>
      <w:r>
        <w:rPr>
          <w:b w:val="0"/>
          <w:i w:val="0"/>
        </w:rPr>
        <w:t>.</w:t>
      </w:r>
    </w:p>
    <w:p>
      <w:pPr>
        <w:widowControl/>
      </w:pPr>
      <w:r>
        <w:rPr>
          <w:b w:val="0"/>
          <w:i w:val="0"/>
        </w:rPr>
        <w:t xml:space="preserve">Absent / present. The good is sought when absent and embraced when present; appetite is not confined to unsatisfied desire. References: </w:t>
      </w:r>
      <w:hyperlink w:anchor="passage-ii-11-29">
        <w:r>
          <w:rPr>
            <w:color w:val="000000"/>
          </w:rPr>
          <w:t xml:space="preserve">II.11.29</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254" w:name="latin-record-0003"/>
      <w:bookmarkEnd w:id="254"/>
      <w:r>
        <w:rPr>
          <w:b/>
          <w:i w:val="0"/>
        </w:rPr>
        <w:t>absolutus / absolute</w:t>
      </w:r>
      <w:r>
        <w:rPr>
          <w:b/>
          <w:i w:val="0"/>
        </w:rPr>
        <w:t>.</w:t>
      </w:r>
      <w:r>
        <w:rPr>
          <w:b w:val="0"/>
          <w:i w:val="0"/>
        </w:rPr>
        <w:t xml:space="preserve"> Printed forms: </w:t>
      </w:r>
      <w:r>
        <w:rPr>
          <w:b w:val="0"/>
          <w:i/>
        </w:rPr>
        <w:t>absolutae</w:t>
      </w:r>
      <w:r>
        <w:rPr>
          <w:b w:val="0"/>
          <w:i w:val="0"/>
        </w:rPr>
        <w:t xml:space="preserve">; </w:t>
      </w:r>
      <w:r>
        <w:rPr>
          <w:b w:val="0"/>
          <w:i/>
        </w:rPr>
        <w:t>absolute</w:t>
      </w:r>
      <w:r>
        <w:rPr>
          <w:b w:val="0"/>
          <w:i w:val="0"/>
        </w:rPr>
        <w:t xml:space="preserve">; </w:t>
      </w:r>
      <w:r>
        <w:rPr>
          <w:b w:val="0"/>
          <w:i/>
        </w:rPr>
        <w:t>absolutum</w:t>
      </w:r>
      <w:r>
        <w:rPr>
          <w:b w:val="0"/>
          <w:i w:val="0"/>
        </w:rPr>
        <w:t>.</w:t>
      </w:r>
    </w:p>
    <w:p>
      <w:pPr>
        <w:widowControl/>
      </w:pPr>
      <w:r>
        <w:rPr>
          <w:b w:val="0"/>
          <w:i w:val="0"/>
        </w:rPr>
        <w:t xml:space="preserve">Unrestricted or considered without an added qualification. Common nature producing absolutely would not explain divergent properties; being considered absolutely lacks intrinsic limitation. References: </w:t>
      </w:r>
      <w:hyperlink w:anchor="passage-ii-2-4">
        <w:r>
          <w:rPr>
            <w:color w:val="000000"/>
          </w:rPr>
          <w:t xml:space="preserve">II.2.4</w:t>
        </w:r>
      </w:hyperlink>
      <w:r>
        <w:rPr>
          <w:b w:val="0"/>
          <w:i w:val="0"/>
        </w:rPr>
        <w:t xml:space="preserve">, </w:t>
      </w:r>
      <w:hyperlink w:anchor="passage-ii-4-2">
        <w:r>
          <w:rPr>
            <w:color w:val="000000"/>
          </w:rPr>
          <w:t xml:space="preserve">II.4.2</w:t>
        </w:r>
      </w:hyperlink>
      <w:r>
        <w:rPr>
          <w:b w:val="0"/>
          <w:i w:val="0"/>
        </w:rPr>
        <w:t xml:space="preserve">. See </w:t>
      </w:r>
      <w:hyperlink w:anchor="common-and-proper">
        <w:r>
          <w:rPr>
            <w:color w:val="000000"/>
          </w:rPr>
          <w:t xml:space="preserve">Common and proper</w:t>
        </w:r>
      </w:hyperlink>
      <w:r>
        <w:rPr>
          <w:b w:val="0"/>
          <w:i w:val="0"/>
        </w:rPr>
        <w:t>.</w:t>
      </w:r>
    </w:p>
    <w:p>
      <w:pPr>
        <w:keepNext/>
        <w:widowControl/>
      </w:pPr>
      <w:bookmarkStart w:id="255" w:name="latin-record-0004"/>
      <w:bookmarkEnd w:id="255"/>
      <w:r>
        <w:rPr>
          <w:b/>
          <w:i w:val="0"/>
        </w:rPr>
        <w:t>absolutus / adstrictus</w:t>
      </w:r>
      <w:r>
        <w:rPr>
          <w:b/>
          <w:i w:val="0"/>
        </w:rPr>
        <w:t>.</w:t>
      </w:r>
      <w:r>
        <w:rPr>
          <w:b w:val="0"/>
          <w:i w:val="0"/>
        </w:rPr>
        <w:t xml:space="preserve"> Printed forms: </w:t>
      </w:r>
      <w:r>
        <w:rPr>
          <w:b w:val="0"/>
          <w:i/>
        </w:rPr>
        <w:t>absolutasque</w:t>
      </w:r>
      <w:r>
        <w:rPr>
          <w:b w:val="0"/>
          <w:i w:val="0"/>
        </w:rPr>
        <w:t xml:space="preserve">; </w:t>
      </w:r>
      <w:r>
        <w:rPr>
          <w:b w:val="0"/>
          <w:i/>
        </w:rPr>
        <w:t>adstrictas</w:t>
      </w:r>
      <w:r>
        <w:rPr>
          <w:b w:val="0"/>
          <w:i w:val="0"/>
        </w:rPr>
        <w:t>.</w:t>
      </w:r>
    </w:p>
    <w:p>
      <w:pPr>
        <w:widowControl/>
      </w:pPr>
      <w:r>
        <w:rPr>
          <w:b w:val="0"/>
          <w:i w:val="0"/>
        </w:rPr>
        <w:t xml:space="preserve">Released from constraint, and bound to something. Universal forms and determinate natural materials are contrasted; release from a particular material constraint is not automatically complete divine independence. References: </w:t>
      </w:r>
      <w:hyperlink w:anchor="passage-i-3-12">
        <w:r>
          <w:rPr>
            <w:color w:val="000000"/>
          </w:rPr>
          <w:t xml:space="preserve">I.3.12</w:t>
        </w:r>
      </w:hyperlink>
      <w:r>
        <w:rPr>
          <w:b w:val="0"/>
          <w:i w:val="0"/>
        </w:rPr>
        <w:t xml:space="preserve">. See </w:t>
      </w:r>
      <w:hyperlink w:anchor="separation-and-abstraction">
        <w:r>
          <w:rPr>
            <w:color w:val="000000"/>
          </w:rPr>
          <w:t xml:space="preserve">Separation and abstraction</w:t>
        </w:r>
      </w:hyperlink>
      <w:r>
        <w:rPr>
          <w:b w:val="0"/>
          <w:i w:val="0"/>
        </w:rPr>
        <w:t>.</w:t>
      </w:r>
    </w:p>
    <w:p>
      <w:pPr>
        <w:keepNext/>
        <w:widowControl/>
      </w:pPr>
      <w:bookmarkStart w:id="256" w:name="latin-record-0005"/>
      <w:bookmarkEnd w:id="256"/>
      <w:r>
        <w:rPr>
          <w:b/>
          <w:i w:val="0"/>
        </w:rPr>
        <w:t>absurdus</w:t>
      </w:r>
      <w:r>
        <w:rPr>
          <w:b/>
          <w:i w:val="0"/>
        </w:rPr>
        <w:t>.</w:t>
      </w:r>
      <w:r>
        <w:rPr>
          <w:b w:val="0"/>
          <w:i w:val="0"/>
        </w:rPr>
        <w:t xml:space="preserve"> Printed forms: </w:t>
      </w:r>
      <w:r>
        <w:rPr>
          <w:b w:val="0"/>
          <w:i/>
        </w:rPr>
        <w:t>absurda</w:t>
      </w:r>
      <w:r>
        <w:rPr>
          <w:b w:val="0"/>
          <w:i w:val="0"/>
        </w:rPr>
        <w:t xml:space="preserve">; </w:t>
      </w:r>
      <w:r>
        <w:rPr>
          <w:b w:val="0"/>
          <w:i/>
        </w:rPr>
        <w:t>absurdum</w:t>
      </w:r>
      <w:r>
        <w:rPr>
          <w:b w:val="0"/>
          <w:i w:val="0"/>
        </w:rPr>
        <w:t>.</w:t>
      </w:r>
    </w:p>
    <w:p>
      <w:pPr>
        <w:widowControl/>
      </w:pPr>
      <w:r>
        <w:rPr>
          <w:b w:val="0"/>
          <w:i w:val="0"/>
        </w:rPr>
        <w:t xml:space="preserve">Absurd or incompatible with the premises being tested. Ficino marks the consequences of a higher unity-source or finitely bounded divine knowledge as unacceptable. References: </w:t>
      </w:r>
      <w:hyperlink w:anchor="passage-ii-1-3">
        <w:r>
          <w:rPr>
            <w:color w:val="000000"/>
          </w:rPr>
          <w:t xml:space="preserve">II.1.3</w:t>
        </w:r>
      </w:hyperlink>
      <w:r>
        <w:rPr>
          <w:b w:val="0"/>
          <w:i w:val="0"/>
        </w:rPr>
        <w:t xml:space="preserve">, </w:t>
      </w:r>
      <w:hyperlink w:anchor="passage-ii-1-6">
        <w:r>
          <w:rPr>
            <w:color w:val="000000"/>
          </w:rPr>
          <w:t xml:space="preserve">II.1.6</w:t>
        </w:r>
      </w:hyperlink>
      <w:r>
        <w:rPr>
          <w:b w:val="0"/>
          <w:i w:val="0"/>
        </w:rPr>
        <w:t xml:space="preserve">, </w:t>
      </w:r>
      <w:hyperlink w:anchor="passage-ii-3-2">
        <w:r>
          <w:rPr>
            <w:color w:val="000000"/>
          </w:rPr>
          <w:t xml:space="preserve">II.3.2</w:t>
        </w:r>
      </w:hyperlink>
      <w:r>
        <w:rPr>
          <w:b w:val="0"/>
          <w:i w:val="0"/>
        </w:rPr>
        <w:t xml:space="preserve">, </w:t>
      </w:r>
      <w:hyperlink w:anchor="passage-ii-10-7">
        <w:r>
          <w:rPr>
            <w:color w:val="000000"/>
          </w:rPr>
          <w:t xml:space="preserve">II.10.7</w:t>
        </w:r>
      </w:hyperlink>
      <w:r>
        <w:rPr>
          <w:b w:val="0"/>
          <w:i w:val="0"/>
        </w:rPr>
        <w:t xml:space="preserve">. See </w:t>
      </w:r>
      <w:hyperlink w:anchor="agreement-and-hypothetical-concession">
        <w:r>
          <w:rPr>
            <w:color w:val="000000"/>
          </w:rPr>
          <w:t xml:space="preserve">Agreement and hypothetical concession</w:t>
        </w:r>
      </w:hyperlink>
      <w:r>
        <w:rPr>
          <w:b w:val="0"/>
          <w:i w:val="0"/>
        </w:rPr>
        <w:t>.</w:t>
      </w:r>
    </w:p>
    <w:p>
      <w:pPr>
        <w:keepNext/>
        <w:widowControl/>
      </w:pPr>
      <w:bookmarkStart w:id="257" w:name="latin-record-0006"/>
      <w:bookmarkEnd w:id="257"/>
      <w:r>
        <w:rPr>
          <w:b/>
          <w:i w:val="0"/>
        </w:rPr>
        <w:t>accedere / recedere</w:t>
      </w:r>
      <w:r>
        <w:rPr>
          <w:b/>
          <w:i w:val="0"/>
        </w:rPr>
        <w:t>.</w:t>
      </w:r>
      <w:r>
        <w:rPr>
          <w:b w:val="0"/>
          <w:i w:val="0"/>
        </w:rPr>
        <w:t xml:space="preserve"> Printed forms: </w:t>
      </w:r>
      <w:r>
        <w:rPr>
          <w:b w:val="0"/>
          <w:i/>
        </w:rPr>
        <w:t>accedet</w:t>
      </w:r>
      <w:r>
        <w:rPr>
          <w:b w:val="0"/>
          <w:i w:val="0"/>
        </w:rPr>
        <w:t xml:space="preserve">; </w:t>
      </w:r>
      <w:r>
        <w:rPr>
          <w:b w:val="0"/>
          <w:i/>
        </w:rPr>
        <w:t>recedet</w:t>
      </w:r>
      <w:r>
        <w:rPr>
          <w:b w:val="0"/>
          <w:i w:val="0"/>
        </w:rPr>
        <w:t>.</w:t>
      </w:r>
    </w:p>
    <w:p>
      <w:pPr>
        <w:widowControl/>
      </w:pPr>
      <w:r>
        <w:rPr>
          <w:b w:val="0"/>
          <w:i w:val="0"/>
        </w:rPr>
        <w:t xml:space="preserve">To approach and withdraw. Each celestial part repeatedly passes a designated point; this recurring departure distinguishes circular motion from one-way qualitative tendency. References: </w:t>
      </w:r>
      <w:hyperlink w:anchor="passage-iv-1-56">
        <w:r>
          <w:rPr>
            <w:color w:val="000000"/>
          </w:rPr>
          <w:t xml:space="preserve">IV.1.56</w:t>
        </w:r>
      </w:hyperlink>
      <w:r>
        <w:rPr>
          <w:b w:val="0"/>
          <w:i w:val="0"/>
        </w:rPr>
        <w:t xml:space="preserve">. See </w:t>
      </w:r>
      <w:hyperlink w:anchor="circularity-and-return">
        <w:r>
          <w:rPr>
            <w:color w:val="000000"/>
          </w:rPr>
          <w:t xml:space="preserve">Circularity and return</w:t>
        </w:r>
      </w:hyperlink>
      <w:r>
        <w:rPr>
          <w:b w:val="0"/>
          <w:i w:val="0"/>
        </w:rPr>
        <w:t>.</w:t>
      </w:r>
    </w:p>
    <w:p>
      <w:pPr>
        <w:keepNext/>
        <w:widowControl/>
      </w:pPr>
      <w:bookmarkStart w:id="258" w:name="latin-record-0007"/>
      <w:bookmarkEnd w:id="258"/>
      <w:r>
        <w:rPr>
          <w:b/>
          <w:i w:val="0"/>
        </w:rPr>
        <w:t>accendere / accensio</w:t>
      </w:r>
      <w:r>
        <w:rPr>
          <w:b/>
          <w:i w:val="0"/>
        </w:rPr>
        <w:t>.</w:t>
      </w:r>
      <w:r>
        <w:rPr>
          <w:b w:val="0"/>
          <w:i w:val="0"/>
        </w:rPr>
        <w:t xml:space="preserve"> Printed forms: </w:t>
      </w:r>
      <w:r>
        <w:rPr>
          <w:b w:val="0"/>
          <w:i/>
        </w:rPr>
        <w:t>accendit</w:t>
      </w:r>
      <w:r>
        <w:rPr>
          <w:b w:val="0"/>
          <w:i w:val="0"/>
        </w:rPr>
        <w:t xml:space="preserve">; </w:t>
      </w:r>
      <w:r>
        <w:rPr>
          <w:b w:val="0"/>
          <w:i/>
        </w:rPr>
        <w:t>accensio</w:t>
      </w:r>
      <w:r>
        <w:rPr>
          <w:b w:val="0"/>
          <w:i w:val="0"/>
        </w:rPr>
        <w:t>.</w:t>
      </w:r>
    </w:p>
    <w:p>
      <w:pPr>
        <w:widowControl/>
      </w:pPr>
      <w:r>
        <w:rPr>
          <w:b w:val="0"/>
          <w:i w:val="0"/>
        </w:rPr>
        <w:t xml:space="preserve">Kindle / kindling. The meadow kindles desire immediately; this is called an act but denied to be motion because it is not gradual. References: </w:t>
      </w:r>
      <w:hyperlink w:anchor="passage-iii-1-27">
        <w:r>
          <w:rPr>
            <w:color w:val="000000"/>
          </w:rPr>
          <w:t xml:space="preserve">III.1.27</w:t>
        </w:r>
      </w:hyperlink>
      <w:r>
        <w:rPr>
          <w:b w:val="0"/>
          <w:i w:val="0"/>
        </w:rPr>
        <w:t xml:space="preserve">, </w:t>
      </w:r>
      <w:hyperlink w:anchor="passage-iii-1-28">
        <w:r>
          <w:rPr>
            <w:color w:val="000000"/>
          </w:rPr>
          <w:t xml:space="preserve">III.1.28</w:t>
        </w:r>
      </w:hyperlink>
      <w:r>
        <w:rPr>
          <w:b w:val="0"/>
          <w:i w:val="0"/>
        </w:rPr>
        <w:t xml:space="preserve">. See </w:t>
      </w:r>
      <w:hyperlink w:anchor="apelles-and-the-meadow">
        <w:r>
          <w:rPr>
            <w:color w:val="000000"/>
          </w:rPr>
          <w:t xml:space="preserve">Apelles and the meadow</w:t>
        </w:r>
      </w:hyperlink>
      <w:r>
        <w:rPr>
          <w:b w:val="0"/>
          <w:i w:val="0"/>
        </w:rPr>
        <w:t>.</w:t>
      </w:r>
    </w:p>
    <w:p>
      <w:pPr>
        <w:keepNext/>
        <w:widowControl/>
      </w:pPr>
      <w:bookmarkStart w:id="259" w:name="latin-record-0008"/>
      <w:bookmarkEnd w:id="259"/>
      <w:r>
        <w:rPr>
          <w:b/>
          <w:i w:val="0"/>
        </w:rPr>
        <w:t>accipere</w:t>
      </w:r>
      <w:r>
        <w:rPr>
          <w:b/>
          <w:i w:val="0"/>
        </w:rPr>
        <w:t>.</w:t>
      </w:r>
      <w:r>
        <w:rPr>
          <w:b w:val="0"/>
          <w:i w:val="0"/>
        </w:rPr>
        <w:t xml:space="preserve"> Printed forms: </w:t>
      </w:r>
      <w:r>
        <w:rPr>
          <w:b w:val="0"/>
          <w:i/>
        </w:rPr>
        <w:t>acceperit</w:t>
      </w:r>
      <w:r>
        <w:rPr>
          <w:b w:val="0"/>
          <w:i w:val="0"/>
        </w:rPr>
        <w:t xml:space="preserve">; </w:t>
      </w:r>
      <w:r>
        <w:rPr>
          <w:b w:val="0"/>
          <w:i/>
        </w:rPr>
        <w:t>accipit</w:t>
      </w:r>
      <w:r>
        <w:rPr>
          <w:b w:val="0"/>
          <w:i w:val="0"/>
        </w:rPr>
        <w:t>.</w:t>
      </w:r>
    </w:p>
    <w:p>
      <w:pPr>
        <w:widowControl/>
      </w:pPr>
      <w:r>
        <w:rPr>
          <w:b w:val="0"/>
          <w:i w:val="0"/>
        </w:rPr>
        <w:t xml:space="preserve">Receive something. The verb concerns either hypothetical divine reception or the material a father obtained elsewhere; its object specifies the dependence. References: </w:t>
      </w:r>
      <w:hyperlink w:anchor="passage-ii-11-3">
        <w:r>
          <w:rPr>
            <w:color w:val="000000"/>
          </w:rPr>
          <w:t xml:space="preserve">II.11.3</w:t>
        </w:r>
      </w:hyperlink>
      <w:r>
        <w:rPr>
          <w:b w:val="0"/>
          <w:i w:val="0"/>
        </w:rPr>
        <w:t xml:space="preserve">, </w:t>
      </w:r>
      <w:hyperlink w:anchor="passage-ii-13-2">
        <w:r>
          <w:rPr>
            <w:color w:val="000000"/>
          </w:rPr>
          <w:t xml:space="preserve">II.13.2</w:t>
        </w:r>
      </w:hyperlink>
      <w:r>
        <w:rPr>
          <w:b w:val="0"/>
          <w:i w:val="0"/>
        </w:rPr>
        <w:t xml:space="preserve">. See </w:t>
      </w:r>
      <w:hyperlink w:anchor="receiving-and-giving">
        <w:r>
          <w:rPr>
            <w:color w:val="000000"/>
          </w:rPr>
          <w:t xml:space="preserve">Receiving and giving</w:t>
        </w:r>
      </w:hyperlink>
      <w:r>
        <w:rPr>
          <w:b w:val="0"/>
          <w:i w:val="0"/>
        </w:rPr>
        <w:t>.</w:t>
      </w:r>
    </w:p>
    <w:p>
      <w:pPr>
        <w:keepNext/>
        <w:widowControl/>
      </w:pPr>
      <w:bookmarkStart w:id="260" w:name="latin-record-0009"/>
      <w:bookmarkEnd w:id="260"/>
      <w:r>
        <w:rPr>
          <w:b/>
          <w:i w:val="0"/>
        </w:rPr>
        <w:t>accipere / capere / suscipere</w:t>
      </w:r>
      <w:r>
        <w:rPr>
          <w:b/>
          <w:i w:val="0"/>
        </w:rPr>
        <w:t>.</w:t>
      </w:r>
      <w:r>
        <w:rPr>
          <w:b w:val="0"/>
          <w:i w:val="0"/>
        </w:rPr>
        <w:t xml:space="preserve"> Printed forms: </w:t>
      </w:r>
      <w:r>
        <w:rPr>
          <w:b w:val="0"/>
          <w:i/>
        </w:rPr>
        <w:t>acceperit</w:t>
      </w:r>
      <w:r>
        <w:rPr>
          <w:b w:val="0"/>
          <w:i w:val="0"/>
        </w:rPr>
        <w:t xml:space="preserve">; </w:t>
      </w:r>
      <w:r>
        <w:rPr>
          <w:b w:val="0"/>
          <w:i/>
        </w:rPr>
        <w:t>accepit</w:t>
      </w:r>
      <w:r>
        <w:rPr>
          <w:b w:val="0"/>
          <w:i w:val="0"/>
        </w:rPr>
        <w:t xml:space="preserve">; </w:t>
      </w:r>
      <w:r>
        <w:rPr>
          <w:b w:val="0"/>
          <w:i/>
        </w:rPr>
        <w:t>accepta</w:t>
      </w:r>
      <w:r>
        <w:rPr>
          <w:b w:val="0"/>
          <w:i w:val="0"/>
        </w:rPr>
        <w:t xml:space="preserve">; </w:t>
      </w:r>
      <w:r>
        <w:rPr>
          <w:b w:val="0"/>
          <w:i/>
        </w:rPr>
        <w:t>accipit</w:t>
      </w:r>
      <w:r>
        <w:rPr>
          <w:b w:val="0"/>
          <w:i w:val="0"/>
        </w:rPr>
        <w:t xml:space="preserve">; </w:t>
      </w:r>
      <w:r>
        <w:rPr>
          <w:b w:val="0"/>
          <w:i/>
        </w:rPr>
        <w:t>capiunt</w:t>
      </w:r>
      <w:r>
        <w:rPr>
          <w:b w:val="0"/>
          <w:i w:val="0"/>
        </w:rPr>
        <w:t xml:space="preserve">; </w:t>
      </w:r>
      <w:r>
        <w:rPr>
          <w:b w:val="0"/>
          <w:i/>
        </w:rPr>
        <w:t>suscipiendum</w:t>
      </w:r>
      <w:r>
        <w:rPr>
          <w:b w:val="0"/>
          <w:i w:val="0"/>
        </w:rPr>
        <w:t xml:space="preserve">; </w:t>
      </w:r>
      <w:r>
        <w:rPr>
          <w:b w:val="0"/>
          <w:i/>
        </w:rPr>
        <w:t>suscipit</w:t>
      </w:r>
      <w:r>
        <w:rPr>
          <w:b w:val="0"/>
          <w:i w:val="0"/>
        </w:rPr>
        <w:t>.</w:t>
      </w:r>
    </w:p>
    <w:p>
      <w:pPr>
        <w:widowControl/>
      </w:pPr>
      <w:r>
        <w:rPr>
          <w:b w:val="0"/>
          <w:i w:val="0"/>
        </w:rPr>
        <w:t xml:space="preserve">To receive, take, or admit a contribution; not necessarily a voluntary acquisition. A creature receives constitution and being; pure nothing has no capacity to receive actuality. References: </w:t>
      </w:r>
      <w:hyperlink w:anchor="passage-ii-1-3">
        <w:r>
          <w:rPr>
            <w:color w:val="000000"/>
          </w:rPr>
          <w:t xml:space="preserve">II.1.3</w:t>
        </w:r>
      </w:hyperlink>
      <w:r>
        <w:rPr>
          <w:b w:val="0"/>
          <w:i w:val="0"/>
        </w:rPr>
        <w:t xml:space="preserve">, </w:t>
      </w:r>
      <w:hyperlink w:anchor="passage-ii-2-5">
        <w:r>
          <w:rPr>
            <w:color w:val="000000"/>
          </w:rPr>
          <w:t xml:space="preserve">II.2.5</w:t>
        </w:r>
      </w:hyperlink>
      <w:r>
        <w:rPr>
          <w:b w:val="0"/>
          <w:i w:val="0"/>
        </w:rPr>
        <w:t xml:space="preserve">, </w:t>
      </w:r>
      <w:hyperlink w:anchor="passage-ii-4-5">
        <w:r>
          <w:rPr>
            <w:color w:val="000000"/>
          </w:rPr>
          <w:t xml:space="preserve">II.4.5</w:t>
        </w:r>
      </w:hyperlink>
      <w:r>
        <w:rPr>
          <w:b w:val="0"/>
          <w:i w:val="0"/>
        </w:rPr>
        <w:t xml:space="preserve">, </w:t>
      </w:r>
      <w:hyperlink w:anchor="passage-ii-7-18">
        <w:r>
          <w:rPr>
            <w:color w:val="000000"/>
          </w:rPr>
          <w:t xml:space="preserve">II.7.18</w:t>
        </w:r>
      </w:hyperlink>
      <w:r>
        <w:rPr>
          <w:b w:val="0"/>
          <w:i w:val="0"/>
        </w:rPr>
        <w:t xml:space="preserve">. See </w:t>
      </w:r>
      <w:hyperlink w:anchor="dependence-and-receiving">
        <w:r>
          <w:rPr>
            <w:color w:val="000000"/>
          </w:rPr>
          <w:t xml:space="preserve">Dependence and receiving</w:t>
        </w:r>
      </w:hyperlink>
      <w:r>
        <w:rPr>
          <w:b w:val="0"/>
          <w:i w:val="0"/>
        </w:rPr>
        <w:t>.</w:t>
      </w:r>
    </w:p>
    <w:p>
      <w:pPr>
        <w:keepNext/>
        <w:widowControl/>
      </w:pPr>
      <w:bookmarkStart w:id="261" w:name="latin-record-0010"/>
      <w:bookmarkEnd w:id="261"/>
      <w:r>
        <w:rPr>
          <w:b/>
          <w:i w:val="0"/>
        </w:rPr>
        <w:t>accipere / concedere</w:t>
      </w:r>
      <w:r>
        <w:rPr>
          <w:b/>
          <w:i w:val="0"/>
        </w:rPr>
        <w:t>.</w:t>
      </w:r>
      <w:r>
        <w:rPr>
          <w:b w:val="0"/>
          <w:i w:val="0"/>
        </w:rPr>
        <w:t xml:space="preserve"> Printed forms: </w:t>
      </w:r>
      <w:r>
        <w:rPr>
          <w:b w:val="0"/>
          <w:i/>
        </w:rPr>
        <w:t>accepimus</w:t>
      </w:r>
      <w:r>
        <w:rPr>
          <w:b w:val="0"/>
          <w:i w:val="0"/>
        </w:rPr>
        <w:t xml:space="preserve">; </w:t>
      </w:r>
      <w:r>
        <w:rPr>
          <w:b w:val="0"/>
          <w:i/>
        </w:rPr>
        <w:t>accipiamus</w:t>
      </w:r>
      <w:r>
        <w:rPr>
          <w:b w:val="0"/>
          <w:i w:val="0"/>
        </w:rPr>
        <w:t xml:space="preserve">; </w:t>
      </w:r>
      <w:r>
        <w:rPr>
          <w:b w:val="0"/>
          <w:i/>
        </w:rPr>
        <w:t>concedemus</w:t>
      </w:r>
      <w:r>
        <w:rPr>
          <w:b w:val="0"/>
          <w:i w:val="0"/>
        </w:rPr>
        <w:t>.</w:t>
      </w:r>
    </w:p>
    <w:p>
      <w:pPr>
        <w:widowControl/>
      </w:pPr>
      <w:r>
        <w:rPr>
          <w:b w:val="0"/>
          <w:i w:val="0"/>
        </w:rPr>
        <w:t xml:space="preserve">To take, adopt, or grant a proposition for the argument. Adopting the initial grades, testing a proposed angelic sphere-life, and taking twelve rulers are different argumentative acts rather than identical unconditional endorsements. References: </w:t>
      </w:r>
      <w:hyperlink w:anchor="passage-iv-1-1">
        <w:r>
          <w:rPr>
            <w:color w:val="000000"/>
          </w:rPr>
          <w:t xml:space="preserve">IV.1.1</w:t>
        </w:r>
      </w:hyperlink>
      <w:r>
        <w:rPr>
          <w:b w:val="0"/>
          <w:i w:val="0"/>
        </w:rPr>
        <w:t xml:space="preserve">, </w:t>
      </w:r>
      <w:hyperlink w:anchor="passage-iv-1-29">
        <w:r>
          <w:rPr>
            <w:color w:val="000000"/>
          </w:rPr>
          <w:t xml:space="preserve">IV.1.29</w:t>
        </w:r>
      </w:hyperlink>
      <w:r>
        <w:rPr>
          <w:b w:val="0"/>
          <w:i w:val="0"/>
        </w:rPr>
        <w:t xml:space="preserve">, </w:t>
      </w:r>
      <w:hyperlink w:anchor="passage-iv-1-50">
        <w:r>
          <w:rPr>
            <w:color w:val="000000"/>
          </w:rPr>
          <w:t xml:space="preserve">IV.1.50</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262" w:name="latin-record-0011"/>
      <w:bookmarkEnd w:id="262"/>
      <w:r>
        <w:rPr>
          <w:b/>
          <w:i w:val="0"/>
        </w:rPr>
        <w:t>accipere — example and lantern</w:t>
      </w:r>
      <w:r>
        <w:rPr>
          <w:b/>
          <w:i w:val="0"/>
        </w:rPr>
        <w:t>.</w:t>
      </w:r>
      <w:r>
        <w:rPr>
          <w:b w:val="0"/>
          <w:i w:val="0"/>
        </w:rPr>
        <w:t xml:space="preserve"> Printed forms: </w:t>
      </w:r>
      <w:r>
        <w:rPr>
          <w:b w:val="0"/>
          <w:i/>
        </w:rPr>
        <w:t>accipe</w:t>
      </w:r>
      <w:r>
        <w:rPr>
          <w:b w:val="0"/>
          <w:i w:val="0"/>
        </w:rPr>
        <w:t xml:space="preserve">; </w:t>
      </w:r>
      <w:r>
        <w:rPr>
          <w:b w:val="0"/>
          <w:i/>
        </w:rPr>
        <w:t>accipitque</w:t>
      </w:r>
      <w:r>
        <w:rPr>
          <w:b w:val="0"/>
          <w:i w:val="0"/>
        </w:rPr>
        <w:t>.</w:t>
      </w:r>
    </w:p>
    <w:p>
      <w:pPr>
        <w:widowControl/>
      </w:pPr>
      <w:r>
        <w:rPr>
          <w:b w:val="0"/>
          <w:i w:val="0"/>
        </w:rPr>
        <w:t xml:space="preserve">To take or receive; the object determines whether this is figurative or physical. Ficino asks the reader to take an example; in that example Euclid takes a lantern before the journey. Taking the lantern is not assent to a proposition. References: </w:t>
      </w:r>
      <w:hyperlink w:anchor="passage-iv-2-13">
        <w:r>
          <w:rPr>
            <w:color w:val="000000"/>
          </w:rPr>
          <w:t xml:space="preserve">IV.2.13</w:t>
        </w:r>
      </w:hyperlink>
      <w:r>
        <w:rPr>
          <w:b w:val="0"/>
          <w:i w:val="0"/>
        </w:rPr>
        <w:t xml:space="preserve">. See </w:t>
      </w:r>
      <w:hyperlink w:anchor="euclid-and-the-lantern">
        <w:r>
          <w:rPr>
            <w:color w:val="000000"/>
          </w:rPr>
          <w:t xml:space="preserve">Euclid and the lantern</w:t>
        </w:r>
      </w:hyperlink>
      <w:r>
        <w:rPr>
          <w:b w:val="0"/>
          <w:i w:val="0"/>
        </w:rPr>
        <w:t>.</w:t>
      </w:r>
    </w:p>
    <w:p>
      <w:pPr>
        <w:keepNext/>
        <w:widowControl/>
      </w:pPr>
      <w:bookmarkStart w:id="263" w:name="latin-record-0012"/>
      <w:bookmarkEnd w:id="263"/>
      <w:r>
        <w:rPr>
          <w:b/>
          <w:i w:val="0"/>
        </w:rPr>
        <w:t>Achates / adamas</w:t>
      </w:r>
      <w:r>
        <w:rPr>
          <w:b/>
          <w:i w:val="0"/>
        </w:rPr>
        <w:t>.</w:t>
      </w:r>
      <w:r>
        <w:rPr>
          <w:b w:val="0"/>
          <w:i w:val="0"/>
        </w:rPr>
        <w:t xml:space="preserve"> Printed forms: </w:t>
      </w:r>
      <w:r>
        <w:rPr>
          <w:b w:val="0"/>
          <w:i/>
        </w:rPr>
        <w:t>Achates</w:t>
      </w:r>
      <w:r>
        <w:rPr>
          <w:b w:val="0"/>
          <w:i w:val="0"/>
        </w:rPr>
        <w:t xml:space="preserve">; </w:t>
      </w:r>
      <w:r>
        <w:rPr>
          <w:b w:val="0"/>
          <w:i/>
        </w:rPr>
        <w:t>adamas</w:t>
      </w:r>
      <w:r>
        <w:rPr>
          <w:b w:val="0"/>
          <w:i w:val="0"/>
        </w:rPr>
        <w:t>.</w:t>
      </w:r>
    </w:p>
    <w:p>
      <w:pPr>
        <w:widowControl/>
      </w:pPr>
      <w:r>
        <w:rPr>
          <w:b w:val="0"/>
          <w:i w:val="0"/>
        </w:rPr>
        <w:t xml:space="preserve">Agate; diamond as named in the source. Agate allegedly benefits sight, resists poison, and grants strength and fertility; nearby diamond allegedly removes the magnet’s attraction. References: </w:t>
      </w:r>
      <w:hyperlink w:anchor="passage-iv-1-20">
        <w:r>
          <w:rPr>
            <w:color w:val="000000"/>
          </w:rPr>
          <w:t xml:space="preserve">IV.1.20</w:t>
        </w:r>
      </w:hyperlink>
      <w:r>
        <w:rPr>
          <w:b w:val="0"/>
          <w:i w:val="0"/>
        </w:rPr>
        <w:t xml:space="preserve">. See </w:t>
      </w:r>
      <w:hyperlink w:anchor="hierobotanum-and-mineral-powers">
        <w:r>
          <w:rPr>
            <w:color w:val="000000"/>
          </w:rPr>
          <w:t xml:space="preserve">Hierobotanum and mineral powers</w:t>
        </w:r>
      </w:hyperlink>
      <w:r>
        <w:rPr>
          <w:b w:val="0"/>
          <w:i w:val="0"/>
        </w:rPr>
        <w:t>.</w:t>
      </w:r>
    </w:p>
    <w:p>
      <w:pPr>
        <w:keepNext/>
        <w:widowControl/>
      </w:pPr>
      <w:bookmarkStart w:id="264" w:name="latin-record-0013"/>
      <w:bookmarkEnd w:id="264"/>
      <w:r>
        <w:rPr>
          <w:b/>
          <w:i w:val="0"/>
        </w:rPr>
        <w:t>acies / oculus mentis</w:t>
      </w:r>
      <w:r>
        <w:rPr>
          <w:b/>
          <w:i w:val="0"/>
        </w:rPr>
        <w:t>.</w:t>
      </w:r>
      <w:r>
        <w:rPr>
          <w:b w:val="0"/>
          <w:i w:val="0"/>
        </w:rPr>
        <w:t xml:space="preserve"> Printed forms: </w:t>
      </w:r>
      <w:r>
        <w:rPr>
          <w:b w:val="0"/>
          <w:i/>
        </w:rPr>
        <w:t>mentis aciem</w:t>
      </w:r>
      <w:r>
        <w:rPr>
          <w:b w:val="0"/>
          <w:i w:val="0"/>
        </w:rPr>
        <w:t xml:space="preserve">; </w:t>
      </w:r>
      <w:r>
        <w:rPr>
          <w:b w:val="0"/>
          <w:i/>
        </w:rPr>
        <w:t>mentis oculo</w:t>
      </w:r>
      <w:r>
        <w:rPr>
          <w:b w:val="0"/>
          <w:i w:val="0"/>
        </w:rPr>
        <w:t>.</w:t>
      </w:r>
    </w:p>
    <w:p>
      <w:pPr>
        <w:widowControl/>
      </w:pPr>
      <w:r>
        <w:rPr>
          <w:b w:val="0"/>
          <w:i w:val="0"/>
        </w:rPr>
        <w:t xml:space="preserve">The directed gaze or eye of mind. The mind receives and desires truth’s light but is not the divine sun toward which Plato directs it. References: </w:t>
      </w:r>
      <w:hyperlink w:anchor="passage-i-1-6">
        <w:r>
          <w:rPr>
            <w:color w:val="000000"/>
          </w:rPr>
          <w:t xml:space="preserve">I.1.6</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265" w:name="latin-record-0014"/>
      <w:bookmarkEnd w:id="265"/>
      <w:r>
        <w:rPr>
          <w:b/>
          <w:i w:val="0"/>
        </w:rPr>
        <w:t>acies oculorum</w:t>
      </w:r>
      <w:r>
        <w:rPr>
          <w:b/>
          <w:i w:val="0"/>
        </w:rPr>
        <w:t>.</w:t>
      </w:r>
      <w:r>
        <w:rPr>
          <w:b w:val="0"/>
          <w:i w:val="0"/>
        </w:rPr>
        <w:t xml:space="preserve"> Printed forms: </w:t>
      </w:r>
      <w:r>
        <w:rPr>
          <w:b w:val="0"/>
          <w:i/>
        </w:rPr>
        <w:t>aciem oculorum</w:t>
      </w:r>
      <w:r>
        <w:rPr>
          <w:b w:val="0"/>
          <w:i w:val="0"/>
        </w:rPr>
        <w:t>.</w:t>
      </w:r>
    </w:p>
    <w:p>
      <w:pPr>
        <w:widowControl/>
      </w:pPr>
      <w:r>
        <w:rPr>
          <w:b w:val="0"/>
          <w:i w:val="0"/>
        </w:rPr>
        <w:t xml:space="preserve">The eyes’ sight or visual point. A solid object placed upon the eyes blocks seeing, distinguishing gross physical contact from receiving an image. References: </w:t>
      </w:r>
      <w:hyperlink w:anchor="passage-iii-2-29">
        <w:r>
          <w:rPr>
            <w:color w:val="000000"/>
          </w:rPr>
          <w:t xml:space="preserve">III.2.29</w:t>
        </w:r>
      </w:hyperlink>
      <w:r>
        <w:rPr>
          <w:b w:val="0"/>
          <w:i w:val="0"/>
        </w:rPr>
        <w:t xml:space="preserve">. See </w:t>
      </w:r>
      <w:hyperlink w:anchor="spiritual-union">
        <w:r>
          <w:rPr>
            <w:color w:val="000000"/>
          </w:rPr>
          <w:t xml:space="preserve">Spiritual union</w:t>
        </w:r>
      </w:hyperlink>
      <w:r>
        <w:rPr>
          <w:b w:val="0"/>
          <w:i w:val="0"/>
        </w:rPr>
        <w:t>.</w:t>
      </w:r>
    </w:p>
    <w:p>
      <w:pPr>
        <w:keepNext/>
        <w:widowControl/>
      </w:pPr>
      <w:bookmarkStart w:id="266" w:name="latin-record-0015"/>
      <w:bookmarkEnd w:id="266"/>
      <w:r>
        <w:rPr>
          <w:b/>
          <w:i w:val="0"/>
        </w:rPr>
        <w:t>acquiesco</w:t>
      </w:r>
      <w:r>
        <w:rPr>
          <w:b/>
          <w:i w:val="0"/>
        </w:rPr>
        <w:t>.</w:t>
      </w:r>
      <w:r>
        <w:rPr>
          <w:b w:val="0"/>
          <w:i w:val="0"/>
        </w:rPr>
        <w:t xml:space="preserve"> Printed forms: </w:t>
      </w:r>
      <w:r>
        <w:rPr>
          <w:b w:val="0"/>
          <w:i/>
        </w:rPr>
        <w:t>acquiescant</w:t>
      </w:r>
      <w:r>
        <w:rPr>
          <w:b w:val="0"/>
          <w:i w:val="0"/>
        </w:rPr>
        <w:t>.</w:t>
      </w:r>
    </w:p>
    <w:p>
      <w:pPr>
        <w:widowControl/>
      </w:pPr>
      <w:r>
        <w:rPr>
          <w:b w:val="0"/>
          <w:i w:val="0"/>
        </w:rPr>
        <w:t xml:space="preserve">To rest satisfied or assent to something. Ficino expects Platonic reasons to secure assent from readers not readily persuaded by divine law alone; assent is an audience response, not itself a proof. References: </w:t>
      </w:r>
      <w:hyperlink w:anchor="passage-proem-8">
        <w:r>
          <w:rPr>
            <w:color w:val="000000"/>
          </w:rPr>
          <w:t xml:space="preserve">Proem.8</w:t>
        </w:r>
      </w:hyperlink>
      <w:r>
        <w:rPr>
          <w:b w:val="0"/>
          <w:i w:val="0"/>
        </w:rPr>
        <w:t xml:space="preserve">. See </w:t>
      </w:r>
      <w:hyperlink w:anchor="assent-approval-and-belief">
        <w:r>
          <w:rPr>
            <w:color w:val="000000"/>
          </w:rPr>
          <w:t xml:space="preserve">Assent, approval and belief</w:t>
        </w:r>
      </w:hyperlink>
      <w:r>
        <w:rPr>
          <w:b w:val="0"/>
          <w:i w:val="0"/>
        </w:rPr>
        <w:t>.</w:t>
      </w:r>
    </w:p>
    <w:p>
      <w:pPr>
        <w:keepNext/>
        <w:widowControl/>
      </w:pPr>
      <w:bookmarkStart w:id="267" w:name="latin-record-0016"/>
      <w:bookmarkEnd w:id="267"/>
      <w:r>
        <w:rPr>
          <w:b/>
          <w:i w:val="0"/>
        </w:rPr>
        <w:t>actus / actio / agere</w:t>
      </w:r>
      <w:r>
        <w:rPr>
          <w:b/>
          <w:i w:val="0"/>
        </w:rPr>
        <w:t>.</w:t>
      </w:r>
      <w:r>
        <w:rPr>
          <w:b w:val="0"/>
          <w:i w:val="0"/>
        </w:rPr>
        <w:t xml:space="preserve"> Printed forms: </w:t>
      </w:r>
      <w:r>
        <w:rPr>
          <w:b w:val="0"/>
          <w:i/>
        </w:rPr>
        <w:t>Actio</w:t>
      </w:r>
      <w:r>
        <w:rPr>
          <w:b w:val="0"/>
          <w:i w:val="0"/>
        </w:rPr>
        <w:t xml:space="preserve">; </w:t>
      </w:r>
      <w:r>
        <w:rPr>
          <w:b w:val="0"/>
          <w:i/>
        </w:rPr>
        <w:t>actio</w:t>
      </w:r>
      <w:r>
        <w:rPr>
          <w:b w:val="0"/>
          <w:i w:val="0"/>
        </w:rPr>
        <w:t xml:space="preserve">; </w:t>
      </w:r>
      <w:r>
        <w:rPr>
          <w:b w:val="0"/>
          <w:i/>
        </w:rPr>
        <w:t>actionem</w:t>
      </w:r>
      <w:r>
        <w:rPr>
          <w:b w:val="0"/>
          <w:i w:val="0"/>
        </w:rPr>
        <w:t xml:space="preserve">; </w:t>
      </w:r>
      <w:r>
        <w:rPr>
          <w:b w:val="0"/>
          <w:i/>
        </w:rPr>
        <w:t>actionis</w:t>
      </w:r>
      <w:r>
        <w:rPr>
          <w:b w:val="0"/>
          <w:i w:val="0"/>
        </w:rPr>
        <w:t xml:space="preserve">; </w:t>
      </w:r>
      <w:r>
        <w:rPr>
          <w:b w:val="0"/>
          <w:i/>
        </w:rPr>
        <w:t>actu</w:t>
      </w:r>
      <w:r>
        <w:rPr>
          <w:b w:val="0"/>
          <w:i w:val="0"/>
        </w:rPr>
        <w:t xml:space="preserve">; </w:t>
      </w:r>
      <w:r>
        <w:rPr>
          <w:b w:val="0"/>
          <w:i/>
        </w:rPr>
        <w:t>actui</w:t>
      </w:r>
      <w:r>
        <w:rPr>
          <w:b w:val="0"/>
          <w:i w:val="0"/>
        </w:rPr>
        <w:t xml:space="preserve">; </w:t>
      </w:r>
      <w:r>
        <w:rPr>
          <w:b w:val="0"/>
          <w:i/>
        </w:rPr>
        <w:t>Actus</w:t>
      </w:r>
      <w:r>
        <w:rPr>
          <w:b w:val="0"/>
          <w:i w:val="0"/>
        </w:rPr>
        <w:t xml:space="preserve">; </w:t>
      </w:r>
      <w:r>
        <w:rPr>
          <w:b w:val="0"/>
          <w:i/>
        </w:rPr>
        <w:t>agente</w:t>
      </w:r>
      <w:r>
        <w:rPr>
          <w:b w:val="0"/>
          <w:i w:val="0"/>
        </w:rPr>
        <w:t xml:space="preserve">; </w:t>
      </w:r>
      <w:r>
        <w:rPr>
          <w:b w:val="0"/>
          <w:i/>
        </w:rPr>
        <w:t>agentis</w:t>
      </w:r>
      <w:r>
        <w:rPr>
          <w:b w:val="0"/>
          <w:i w:val="0"/>
        </w:rPr>
        <w:t xml:space="preserve">; </w:t>
      </w:r>
      <w:r>
        <w:rPr>
          <w:b w:val="0"/>
          <w:i/>
        </w:rPr>
        <w:t>agit</w:t>
      </w:r>
      <w:r>
        <w:rPr>
          <w:b w:val="0"/>
          <w:i w:val="0"/>
        </w:rPr>
        <w:t>.</w:t>
      </w:r>
    </w:p>
    <w:p>
      <w:pPr>
        <w:widowControl/>
      </w:pPr>
      <w:r>
        <w:rPr>
          <w:b w:val="0"/>
          <w:i w:val="0"/>
        </w:rPr>
        <w:t xml:space="preserve">Actuality, operation, or acting; the noun’s force depends on its contrast. Act excludes passivity in the infinity argument; operation can remain in an agent or extend into external matter. References: </w:t>
      </w:r>
      <w:hyperlink w:anchor="passage-ii-4-1">
        <w:r>
          <w:rPr>
            <w:color w:val="000000"/>
          </w:rPr>
          <w:t xml:space="preserve">II.4.1</w:t>
        </w:r>
      </w:hyperlink>
      <w:r>
        <w:rPr>
          <w:b w:val="0"/>
          <w:i w:val="0"/>
        </w:rPr>
        <w:t xml:space="preserve">, </w:t>
      </w:r>
      <w:hyperlink w:anchor="passage-ii-7-25">
        <w:r>
          <w:rPr>
            <w:color w:val="000000"/>
          </w:rPr>
          <w:t xml:space="preserve">II.7.25</w:t>
        </w:r>
      </w:hyperlink>
      <w:r>
        <w:rPr>
          <w:b w:val="0"/>
          <w:i w:val="0"/>
        </w:rPr>
        <w:t xml:space="preserve">, </w:t>
      </w:r>
      <w:hyperlink w:anchor="passage-ii-8-4">
        <w:r>
          <w:rPr>
            <w:color w:val="000000"/>
          </w:rPr>
          <w:t xml:space="preserve">II.8.4</w:t>
        </w:r>
      </w:hyperlink>
      <w:r>
        <w:rPr>
          <w:b w:val="0"/>
          <w:i w:val="0"/>
        </w:rPr>
        <w:t xml:space="preserve">, </w:t>
      </w:r>
      <w:hyperlink w:anchor="passage-ii-9-5">
        <w:r>
          <w:rPr>
            <w:color w:val="000000"/>
          </w:rPr>
          <w:t xml:space="preserve">II.9.5</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268" w:name="latin-record-0017"/>
      <w:bookmarkEnd w:id="268"/>
      <w:r>
        <w:rPr>
          <w:b/>
          <w:i w:val="0"/>
        </w:rPr>
        <w:t>actus / actum (product)</w:t>
      </w:r>
      <w:r>
        <w:rPr>
          <w:b/>
          <w:i w:val="0"/>
        </w:rPr>
        <w:t>.</w:t>
      </w:r>
      <w:r>
        <w:rPr>
          <w:b w:val="0"/>
          <w:i w:val="0"/>
        </w:rPr>
        <w:t xml:space="preserve"> Printed forms: </w:t>
      </w:r>
      <w:r>
        <w:rPr>
          <w:b w:val="0"/>
          <w:i/>
        </w:rPr>
        <w:t>acto</w:t>
      </w:r>
      <w:r>
        <w:rPr>
          <w:b w:val="0"/>
          <w:i w:val="0"/>
        </w:rPr>
        <w:t xml:space="preserve">; </w:t>
      </w:r>
      <w:r>
        <w:rPr>
          <w:b w:val="0"/>
          <w:i/>
        </w:rPr>
        <w:t>actum</w:t>
      </w:r>
      <w:r>
        <w:rPr>
          <w:b w:val="0"/>
          <w:i w:val="0"/>
        </w:rPr>
        <w:t xml:space="preserve">; </w:t>
      </w:r>
      <w:r>
        <w:rPr>
          <w:b w:val="0"/>
          <w:i/>
        </w:rPr>
        <w:t>actus</w:t>
      </w:r>
      <w:r>
        <w:rPr>
          <w:b w:val="0"/>
          <w:i w:val="0"/>
        </w:rPr>
        <w:t>.</w:t>
      </w:r>
    </w:p>
    <w:p>
      <w:pPr>
        <w:widowControl/>
      </w:pPr>
      <w:r>
        <w:rPr>
          <w:b w:val="0"/>
          <w:i w:val="0"/>
        </w:rPr>
        <w:t xml:space="preserve">Activity / what is acted or produced. The reported argument distinguishes divine act from its inward product, immediately glossed as begotten. References: </w:t>
      </w:r>
      <w:hyperlink w:anchor="passage-ii-12-9">
        <w:r>
          <w:rPr>
            <w:color w:val="000000"/>
          </w:rPr>
          <w:t xml:space="preserve">II.12.9</w:t>
        </w:r>
      </w:hyperlink>
      <w:r>
        <w:rPr>
          <w:b w:val="0"/>
          <w:i w:val="0"/>
        </w:rPr>
        <w:t xml:space="preserve">, </w:t>
      </w:r>
      <w:hyperlink w:anchor="passage-ii-12-10">
        <w:r>
          <w:rPr>
            <w:color w:val="000000"/>
          </w:rPr>
          <w:t xml:space="preserve">II.12.10</w:t>
        </w:r>
      </w:hyperlink>
      <w:r>
        <w:rPr>
          <w:b w:val="0"/>
          <w:i w:val="0"/>
        </w:rPr>
        <w:t xml:space="preserve">. See </w:t>
      </w:r>
      <w:hyperlink w:anchor="self-production-and-reservation">
        <w:r>
          <w:rPr>
            <w:color w:val="000000"/>
          </w:rPr>
          <w:t xml:space="preserve">Self-production and reservation</w:t>
        </w:r>
      </w:hyperlink>
      <w:r>
        <w:rPr>
          <w:b w:val="0"/>
          <w:i w:val="0"/>
        </w:rPr>
        <w:t>.</w:t>
      </w:r>
    </w:p>
    <w:p>
      <w:pPr>
        <w:keepNext/>
        <w:widowControl/>
      </w:pPr>
      <w:bookmarkStart w:id="269" w:name="latin-record-0018"/>
      <w:bookmarkEnd w:id="269"/>
      <w:r>
        <w:rPr>
          <w:b/>
          <w:i w:val="0"/>
        </w:rPr>
        <w:t>adaequare / sibimet</w:t>
      </w:r>
      <w:r>
        <w:rPr>
          <w:b/>
          <w:i w:val="0"/>
        </w:rPr>
        <w:t>.</w:t>
      </w:r>
      <w:r>
        <w:rPr>
          <w:b w:val="0"/>
          <w:i w:val="0"/>
        </w:rPr>
        <w:t xml:space="preserve"> Printed forms: </w:t>
      </w:r>
      <w:r>
        <w:rPr>
          <w:b w:val="0"/>
          <w:i/>
        </w:rPr>
        <w:t>adaequari</w:t>
      </w:r>
      <w:r>
        <w:rPr>
          <w:b w:val="0"/>
          <w:i w:val="0"/>
        </w:rPr>
        <w:t xml:space="preserve">; </w:t>
      </w:r>
      <w:r>
        <w:rPr>
          <w:b w:val="0"/>
          <w:i/>
        </w:rPr>
        <w:t>sibimet</w:t>
      </w:r>
      <w:r>
        <w:rPr>
          <w:b w:val="0"/>
          <w:i w:val="0"/>
        </w:rPr>
        <w:t>.</w:t>
      </w:r>
    </w:p>
    <w:p>
      <w:pPr>
        <w:widowControl/>
      </w:pPr>
      <w:r>
        <w:rPr>
          <w:b w:val="0"/>
          <w:i w:val="0"/>
        </w:rPr>
        <w:t xml:space="preserve">To be wholly commensurate with oneself. Infinite self-knowledge does not impose another’s limit, but is the infinite reality’s complete self-presence. References: </w:t>
      </w:r>
      <w:hyperlink w:anchor="passage-ii-10-10">
        <w:r>
          <w:rPr>
            <w:color w:val="000000"/>
          </w:rPr>
          <w:t xml:space="preserve">II.10.10</w:t>
        </w:r>
      </w:hyperlink>
      <w:r>
        <w:rPr>
          <w:b w:val="0"/>
          <w:i w:val="0"/>
        </w:rPr>
        <w:t xml:space="preserve">. See </w:t>
      </w:r>
      <w:hyperlink w:anchor="intuition-and-comprehension">
        <w:r>
          <w:rPr>
            <w:color w:val="000000"/>
          </w:rPr>
          <w:t xml:space="preserve">Intuition and comprehension</w:t>
        </w:r>
      </w:hyperlink>
      <w:r>
        <w:rPr>
          <w:b w:val="0"/>
          <w:i w:val="0"/>
        </w:rPr>
        <w:t>.</w:t>
      </w:r>
    </w:p>
    <w:p>
      <w:pPr>
        <w:keepNext/>
        <w:widowControl/>
      </w:pPr>
      <w:bookmarkStart w:id="270" w:name="latin-record-0019"/>
      <w:bookmarkEnd w:id="270"/>
      <w:r>
        <w:rPr>
          <w:b/>
          <w:i w:val="0"/>
        </w:rPr>
        <w:t>adaequatus</w:t>
      </w:r>
      <w:r>
        <w:rPr>
          <w:b/>
          <w:i w:val="0"/>
        </w:rPr>
        <w:t>.</w:t>
      </w:r>
      <w:r>
        <w:rPr>
          <w:b w:val="0"/>
          <w:i w:val="0"/>
        </w:rPr>
        <w:t xml:space="preserve"> Printed forms: </w:t>
      </w:r>
      <w:r>
        <w:rPr>
          <w:b w:val="0"/>
          <w:i/>
        </w:rPr>
        <w:t>adaequatum</w:t>
      </w:r>
      <w:r>
        <w:rPr>
          <w:b w:val="0"/>
          <w:i w:val="0"/>
        </w:rPr>
        <w:t>.</w:t>
      </w:r>
    </w:p>
    <w:p>
      <w:pPr>
        <w:widowControl/>
      </w:pPr>
      <w:r>
        <w:rPr>
          <w:b w:val="0"/>
          <w:i w:val="0"/>
        </w:rPr>
        <w:t xml:space="preserve">Adequate or matching the scope of a power. The good is appetite’s adequate object, explaining what it seeks under all particular choices without guaranteeing their correctness. References: </w:t>
      </w:r>
      <w:hyperlink w:anchor="passage-ii-13-29">
        <w:r>
          <w:rPr>
            <w:color w:val="000000"/>
          </w:rPr>
          <w:t xml:space="preserve">II.13.29</w:t>
        </w:r>
      </w:hyperlink>
      <w:r>
        <w:rPr>
          <w:b w:val="0"/>
          <w:i w:val="0"/>
        </w:rPr>
        <w:t xml:space="preserve">. See </w:t>
      </w:r>
      <w:hyperlink w:anchor="object-and-adequate-object">
        <w:r>
          <w:rPr>
            <w:color w:val="000000"/>
          </w:rPr>
          <w:t xml:space="preserve">Object and adequate object</w:t>
        </w:r>
      </w:hyperlink>
      <w:r>
        <w:rPr>
          <w:b w:val="0"/>
          <w:i w:val="0"/>
        </w:rPr>
        <w:t>.</w:t>
      </w:r>
    </w:p>
    <w:p>
      <w:pPr>
        <w:keepNext/>
        <w:widowControl/>
      </w:pPr>
      <w:bookmarkStart w:id="271" w:name="latin-record-0020"/>
      <w:bookmarkEnd w:id="271"/>
      <w:r>
        <w:rPr>
          <w:b/>
          <w:i w:val="0"/>
        </w:rPr>
        <w:t>addere / accedere / advenire</w:t>
      </w:r>
      <w:r>
        <w:rPr>
          <w:b/>
          <w:i w:val="0"/>
        </w:rPr>
        <w:t>.</w:t>
      </w:r>
      <w:r>
        <w:rPr>
          <w:b w:val="0"/>
          <w:i w:val="0"/>
        </w:rPr>
        <w:t xml:space="preserve"> Printed forms: </w:t>
      </w:r>
      <w:r>
        <w:rPr>
          <w:b w:val="0"/>
          <w:i/>
        </w:rPr>
        <w:t>accedente</w:t>
      </w:r>
      <w:r>
        <w:rPr>
          <w:b w:val="0"/>
          <w:i w:val="0"/>
        </w:rPr>
        <w:t xml:space="preserve">; </w:t>
      </w:r>
      <w:r>
        <w:rPr>
          <w:b w:val="0"/>
          <w:i/>
        </w:rPr>
        <w:t>accedunt</w:t>
      </w:r>
      <w:r>
        <w:rPr>
          <w:b w:val="0"/>
          <w:i w:val="0"/>
        </w:rPr>
        <w:t xml:space="preserve">; </w:t>
      </w:r>
      <w:r>
        <w:rPr>
          <w:b w:val="0"/>
          <w:i/>
        </w:rPr>
        <w:t>addiciuntur</w:t>
      </w:r>
      <w:r>
        <w:rPr>
          <w:b w:val="0"/>
          <w:i w:val="0"/>
        </w:rPr>
        <w:t xml:space="preserve">; </w:t>
      </w:r>
      <w:r>
        <w:rPr>
          <w:b w:val="0"/>
          <w:i/>
        </w:rPr>
        <w:t>additam</w:t>
      </w:r>
      <w:r>
        <w:rPr>
          <w:b w:val="0"/>
          <w:i w:val="0"/>
        </w:rPr>
        <w:t xml:space="preserve">; </w:t>
      </w:r>
      <w:r>
        <w:rPr>
          <w:b w:val="0"/>
          <w:i/>
        </w:rPr>
        <w:t>advenit</w:t>
      </w:r>
      <w:r>
        <w:rPr>
          <w:b w:val="0"/>
          <w:i w:val="0"/>
        </w:rPr>
        <w:t xml:space="preserve">; </w:t>
      </w:r>
      <w:r>
        <w:rPr>
          <w:b w:val="0"/>
          <w:i/>
        </w:rPr>
        <w:t>adveniunt</w:t>
      </w:r>
      <w:r>
        <w:rPr>
          <w:b w:val="0"/>
          <w:i w:val="0"/>
        </w:rPr>
        <w:t>.</w:t>
      </w:r>
    </w:p>
    <w:p>
      <w:pPr>
        <w:widowControl/>
      </w:pPr>
      <w:r>
        <w:rPr>
          <w:b w:val="0"/>
          <w:i w:val="0"/>
        </w:rPr>
        <w:t xml:space="preserve">To add, approach, or accrue from elsewhere. A distinguishing property added to necessity creates composition; what comes from elsewhere differs from what belongs naturally. References: </w:t>
      </w:r>
      <w:hyperlink w:anchor="passage-ii-2-4">
        <w:r>
          <w:rPr>
            <w:color w:val="000000"/>
          </w:rPr>
          <w:t xml:space="preserve">II.2.4</w:t>
        </w:r>
      </w:hyperlink>
      <w:r>
        <w:rPr>
          <w:b w:val="0"/>
          <w:i w:val="0"/>
        </w:rPr>
        <w:t xml:space="preserve">, </w:t>
      </w:r>
      <w:hyperlink w:anchor="passage-ii-7-14">
        <w:r>
          <w:rPr>
            <w:color w:val="000000"/>
          </w:rPr>
          <w:t xml:space="preserve">II.7.14</w:t>
        </w:r>
      </w:hyperlink>
      <w:r>
        <w:rPr>
          <w:b w:val="0"/>
          <w:i w:val="0"/>
        </w:rPr>
        <w:t xml:space="preserve">, </w:t>
      </w:r>
      <w:hyperlink w:anchor="passage-ii-7-20">
        <w:r>
          <w:rPr>
            <w:color w:val="000000"/>
          </w:rPr>
          <w:t xml:space="preserve">II.7.20</w:t>
        </w:r>
      </w:hyperlink>
      <w:r>
        <w:rPr>
          <w:b w:val="0"/>
          <w:i w:val="0"/>
        </w:rPr>
        <w:t xml:space="preserve">. See </w:t>
      </w:r>
      <w:hyperlink w:anchor="common-and-proper">
        <w:r>
          <w:rPr>
            <w:color w:val="000000"/>
          </w:rPr>
          <w:t xml:space="preserve">Common and proper</w:t>
        </w:r>
      </w:hyperlink>
      <w:r>
        <w:rPr>
          <w:b w:val="0"/>
          <w:i w:val="0"/>
        </w:rPr>
        <w:t>.</w:t>
      </w:r>
    </w:p>
    <w:p>
      <w:pPr>
        <w:keepNext/>
        <w:widowControl/>
      </w:pPr>
      <w:bookmarkStart w:id="272" w:name="latin-record-0021"/>
      <w:bookmarkEnd w:id="272"/>
      <w:r>
        <w:rPr>
          <w:b/>
          <w:i w:val="0"/>
        </w:rPr>
        <w:t>addere / mittere / omittere</w:t>
      </w:r>
      <w:r>
        <w:rPr>
          <w:b/>
          <w:i w:val="0"/>
        </w:rPr>
        <w:t>.</w:t>
      </w:r>
      <w:r>
        <w:rPr>
          <w:b w:val="0"/>
          <w:i w:val="0"/>
        </w:rPr>
        <w:t xml:space="preserve"> Printed forms: </w:t>
      </w:r>
      <w:r>
        <w:rPr>
          <w:b w:val="0"/>
          <w:i/>
        </w:rPr>
        <w:t>Adde</w:t>
      </w:r>
      <w:r>
        <w:rPr>
          <w:b w:val="0"/>
          <w:i w:val="0"/>
        </w:rPr>
        <w:t xml:space="preserve">; </w:t>
      </w:r>
      <w:r>
        <w:rPr>
          <w:b w:val="0"/>
          <w:i/>
        </w:rPr>
        <w:t>Mitto</w:t>
      </w:r>
      <w:r>
        <w:rPr>
          <w:b w:val="0"/>
          <w:i w:val="0"/>
        </w:rPr>
        <w:t xml:space="preserve">; </w:t>
      </w:r>
      <w:r>
        <w:rPr>
          <w:b w:val="0"/>
          <w:i/>
        </w:rPr>
        <w:t>omittam</w:t>
      </w:r>
      <w:r>
        <w:rPr>
          <w:b w:val="0"/>
          <w:i w:val="0"/>
        </w:rPr>
        <w:t>.</w:t>
      </w:r>
    </w:p>
    <w:p>
      <w:pPr>
        <w:widowControl/>
      </w:pPr>
      <w:r>
        <w:rPr>
          <w:b w:val="0"/>
          <w:i w:val="0"/>
        </w:rPr>
        <w:t xml:space="preserve">To add a consideration or leave one aside. These guide the exposition: an additional mediating argument, a compressed species claim, and a deliberately passed-over generation claim have different prominence. References: </w:t>
      </w:r>
      <w:hyperlink w:anchor="passage-iv-1-14">
        <w:r>
          <w:rPr>
            <w:color w:val="000000"/>
          </w:rPr>
          <w:t xml:space="preserve">IV.1.14</w:t>
        </w:r>
      </w:hyperlink>
      <w:r>
        <w:rPr>
          <w:b w:val="0"/>
          <w:i w:val="0"/>
        </w:rPr>
        <w:t xml:space="preserve">, </w:t>
      </w:r>
      <w:hyperlink w:anchor="passage-iv-1-32">
        <w:r>
          <w:rPr>
            <w:color w:val="000000"/>
          </w:rPr>
          <w:t xml:space="preserve">IV.1.32</w:t>
        </w:r>
      </w:hyperlink>
      <w:r>
        <w:rPr>
          <w:b w:val="0"/>
          <w:i w:val="0"/>
        </w:rPr>
        <w:t xml:space="preserve">, </w:t>
      </w:r>
      <w:hyperlink w:anchor="passage-iv-1-86">
        <w:r>
          <w:rPr>
            <w:color w:val="000000"/>
          </w:rPr>
          <w:t xml:space="preserve">IV.1.86</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273" w:name="latin-record-0022"/>
      <w:bookmarkEnd w:id="273"/>
      <w:r>
        <w:rPr>
          <w:b/>
          <w:i w:val="0"/>
        </w:rPr>
        <w:t>additamentum / permixtio</w:t>
      </w:r>
      <w:r>
        <w:rPr>
          <w:b/>
          <w:i w:val="0"/>
        </w:rPr>
        <w:t>.</w:t>
      </w:r>
      <w:r>
        <w:rPr>
          <w:b w:val="0"/>
          <w:i w:val="0"/>
        </w:rPr>
        <w:t xml:space="preserve"> Printed forms: </w:t>
      </w:r>
      <w:r>
        <w:rPr>
          <w:b w:val="0"/>
          <w:i/>
        </w:rPr>
        <w:t>additamentum</w:t>
      </w:r>
      <w:r>
        <w:rPr>
          <w:b w:val="0"/>
          <w:i w:val="0"/>
        </w:rPr>
        <w:t xml:space="preserve">; </w:t>
      </w:r>
      <w:r>
        <w:rPr>
          <w:b w:val="0"/>
          <w:i/>
        </w:rPr>
        <w:t>permixtione</w:t>
      </w:r>
      <w:r>
        <w:rPr>
          <w:b w:val="0"/>
          <w:i w:val="0"/>
        </w:rPr>
        <w:t>.</w:t>
      </w:r>
    </w:p>
    <w:p>
      <w:pPr>
        <w:widowControl/>
      </w:pPr>
      <w:r>
        <w:rPr>
          <w:b w:val="0"/>
          <w:i w:val="0"/>
        </w:rPr>
        <w:t xml:space="preserve">Addition / admixture. Any addition distinguishing a second supposed pure act would qualify it, preventing its being pure act in the same sense. References: </w:t>
      </w:r>
      <w:hyperlink w:anchor="passage-iii-1-10">
        <w:r>
          <w:rPr>
            <w:color w:val="000000"/>
          </w:rPr>
          <w:t xml:space="preserve">III.1.10</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274" w:name="latin-record-0023"/>
      <w:bookmarkEnd w:id="274"/>
      <w:r>
        <w:rPr>
          <w:b/>
          <w:i w:val="0"/>
        </w:rPr>
        <w:t>addo / accedo</w:t>
      </w:r>
      <w:r>
        <w:rPr>
          <w:b/>
          <w:i w:val="0"/>
        </w:rPr>
        <w:t>.</w:t>
      </w:r>
      <w:r>
        <w:rPr>
          <w:b w:val="0"/>
          <w:i w:val="0"/>
        </w:rPr>
        <w:t xml:space="preserve"> Printed forms: </w:t>
      </w:r>
      <w:r>
        <w:rPr>
          <w:b w:val="0"/>
          <w:i/>
        </w:rPr>
        <w:t>Accedit</w:t>
      </w:r>
      <w:r>
        <w:rPr>
          <w:b w:val="0"/>
          <w:i w:val="0"/>
        </w:rPr>
        <w:t xml:space="preserve">; </w:t>
      </w:r>
      <w:r>
        <w:rPr>
          <w:b w:val="0"/>
          <w:i/>
        </w:rPr>
        <w:t>Adde</w:t>
      </w:r>
      <w:r>
        <w:rPr>
          <w:b w:val="0"/>
          <w:i w:val="0"/>
        </w:rPr>
        <w:t>.</w:t>
      </w:r>
    </w:p>
    <w:p>
      <w:pPr>
        <w:widowControl/>
      </w:pPr>
      <w:r>
        <w:rPr>
          <w:b w:val="0"/>
          <w:i w:val="0"/>
        </w:rPr>
        <w:t xml:space="preserve">To add, or a further consideration is added. These argumentative transitions accumulate support; the appended reason need not repeat the preceding proof or introduce a new ontological grade. References: </w:t>
      </w:r>
      <w:hyperlink w:anchor="passage-i-2-9">
        <w:r>
          <w:rPr>
            <w:color w:val="000000"/>
          </w:rPr>
          <w:t xml:space="preserve">I.2.9</w:t>
        </w:r>
      </w:hyperlink>
      <w:r>
        <w:rPr>
          <w:b w:val="0"/>
          <w:i w:val="0"/>
        </w:rPr>
        <w:t xml:space="preserve">, </w:t>
      </w:r>
      <w:hyperlink w:anchor="passage-i-2-16">
        <w:r>
          <w:rPr>
            <w:color w:val="000000"/>
          </w:rPr>
          <w:t xml:space="preserve">I.2.16</w:t>
        </w:r>
      </w:hyperlink>
      <w:r>
        <w:rPr>
          <w:b w:val="0"/>
          <w:i w:val="0"/>
        </w:rPr>
        <w:t xml:space="preserve">, </w:t>
      </w:r>
      <w:hyperlink w:anchor="passage-i-3-14">
        <w:r>
          <w:rPr>
            <w:color w:val="000000"/>
          </w:rPr>
          <w:t xml:space="preserve">I.3.14</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275" w:name="latin-record-0024"/>
      <w:bookmarkEnd w:id="275"/>
      <w:r>
        <w:rPr>
          <w:b/>
          <w:i w:val="0"/>
        </w:rPr>
        <w:t>adesse / abesse</w:t>
      </w:r>
      <w:r>
        <w:rPr>
          <w:b/>
          <w:i w:val="0"/>
        </w:rPr>
        <w:t>.</w:t>
      </w:r>
      <w:r>
        <w:rPr>
          <w:b w:val="0"/>
          <w:i w:val="0"/>
        </w:rPr>
        <w:t xml:space="preserve"> Printed forms: </w:t>
      </w:r>
      <w:r>
        <w:rPr>
          <w:b w:val="0"/>
          <w:i/>
        </w:rPr>
        <w:t>absente</w:t>
      </w:r>
      <w:r>
        <w:rPr>
          <w:b w:val="0"/>
          <w:i w:val="0"/>
        </w:rPr>
        <w:t xml:space="preserve">; </w:t>
      </w:r>
      <w:r>
        <w:rPr>
          <w:b w:val="0"/>
          <w:i/>
        </w:rPr>
        <w:t>absit</w:t>
      </w:r>
      <w:r>
        <w:rPr>
          <w:b w:val="0"/>
          <w:i w:val="0"/>
        </w:rPr>
        <w:t xml:space="preserve">; </w:t>
      </w:r>
      <w:r>
        <w:rPr>
          <w:b w:val="0"/>
          <w:i/>
        </w:rPr>
        <w:t>absunt</w:t>
      </w:r>
      <w:r>
        <w:rPr>
          <w:b w:val="0"/>
          <w:i w:val="0"/>
        </w:rPr>
        <w:t xml:space="preserve">; </w:t>
      </w:r>
      <w:r>
        <w:rPr>
          <w:b w:val="0"/>
          <w:i/>
        </w:rPr>
        <w:t>adesse</w:t>
      </w:r>
      <w:r>
        <w:rPr>
          <w:b w:val="0"/>
          <w:i w:val="0"/>
        </w:rPr>
        <w:t xml:space="preserve">; </w:t>
      </w:r>
      <w:r>
        <w:rPr>
          <w:b w:val="0"/>
          <w:i/>
        </w:rPr>
        <w:t>adest</w:t>
      </w:r>
      <w:r>
        <w:rPr>
          <w:b w:val="0"/>
          <w:i w:val="0"/>
        </w:rPr>
        <w:t>.</w:t>
      </w:r>
    </w:p>
    <w:p>
      <w:pPr>
        <w:widowControl/>
      </w:pPr>
      <w:r>
        <w:rPr>
          <w:b w:val="0"/>
          <w:i w:val="0"/>
        </w:rPr>
        <w:t xml:space="preserve">To be present or absent. Presence of a universal cause accompanies its effect; absence of being itself would mean the effect’s collapse. References: </w:t>
      </w:r>
      <w:hyperlink w:anchor="passage-ii-6-2">
        <w:r>
          <w:rPr>
            <w:color w:val="000000"/>
          </w:rPr>
          <w:t xml:space="preserve">II.6.2</w:t>
        </w:r>
      </w:hyperlink>
      <w:r>
        <w:rPr>
          <w:b w:val="0"/>
          <w:i w:val="0"/>
        </w:rPr>
        <w:t xml:space="preserve">, </w:t>
      </w:r>
      <w:hyperlink w:anchor="passage-ii-6-8">
        <w:r>
          <w:rPr>
            <w:color w:val="000000"/>
          </w:rPr>
          <w:t xml:space="preserve">II.6.8</w:t>
        </w:r>
      </w:hyperlink>
      <w:r>
        <w:rPr>
          <w:b w:val="0"/>
          <w:i w:val="0"/>
        </w:rPr>
        <w:t xml:space="preserve">, </w:t>
      </w:r>
      <w:hyperlink w:anchor="passage-ii-6-11">
        <w:r>
          <w:rPr>
            <w:color w:val="000000"/>
          </w:rPr>
          <w:t xml:space="preserve">II.6.11</w:t>
        </w:r>
      </w:hyperlink>
      <w:r>
        <w:rPr>
          <w:b w:val="0"/>
          <w:i w:val="0"/>
        </w:rPr>
        <w:t xml:space="preserve">, </w:t>
      </w:r>
      <w:hyperlink w:anchor="passage-ii-6-16">
        <w:r>
          <w:rPr>
            <w:color w:val="000000"/>
          </w:rPr>
          <w:t xml:space="preserve">II.6.16</w:t>
        </w:r>
      </w:hyperlink>
      <w:r>
        <w:rPr>
          <w:b w:val="0"/>
          <w:i w:val="0"/>
        </w:rPr>
        <w:t xml:space="preserve">. See </w:t>
      </w:r>
      <w:hyperlink w:anchor="omnipresence-and-place">
        <w:r>
          <w:rPr>
            <w:color w:val="000000"/>
          </w:rPr>
          <w:t xml:space="preserve">Omnipresence and place</w:t>
        </w:r>
      </w:hyperlink>
      <w:r>
        <w:rPr>
          <w:b w:val="0"/>
          <w:i w:val="0"/>
        </w:rPr>
        <w:t>.</w:t>
      </w:r>
    </w:p>
    <w:p>
      <w:pPr>
        <w:keepNext/>
        <w:widowControl/>
      </w:pPr>
      <w:bookmarkStart w:id="276" w:name="latin-record-0025"/>
      <w:bookmarkEnd w:id="276"/>
      <w:r>
        <w:rPr>
          <w:b/>
          <w:i w:val="0"/>
        </w:rPr>
        <w:t>adesse / inesse</w:t>
      </w:r>
      <w:r>
        <w:rPr>
          <w:b/>
          <w:i w:val="0"/>
        </w:rPr>
        <w:t>.</w:t>
      </w:r>
      <w:r>
        <w:rPr>
          <w:b w:val="0"/>
          <w:i w:val="0"/>
        </w:rPr>
        <w:t xml:space="preserve"> Printed forms: </w:t>
      </w:r>
      <w:r>
        <w:rPr>
          <w:b w:val="0"/>
          <w:i/>
        </w:rPr>
        <w:t>adsit</w:t>
      </w:r>
      <w:r>
        <w:rPr>
          <w:b w:val="0"/>
          <w:i w:val="0"/>
        </w:rPr>
        <w:t xml:space="preserve">; </w:t>
      </w:r>
      <w:r>
        <w:rPr>
          <w:b w:val="0"/>
          <w:i/>
        </w:rPr>
        <w:t>insit</w:t>
      </w:r>
      <w:r>
        <w:rPr>
          <w:b w:val="0"/>
          <w:i w:val="0"/>
        </w:rPr>
        <w:t>.</w:t>
      </w:r>
    </w:p>
    <w:p>
      <w:pPr>
        <w:widowControl/>
      </w:pPr>
      <w:r>
        <w:rPr>
          <w:b w:val="0"/>
          <w:i w:val="0"/>
        </w:rPr>
        <w:t xml:space="preserve">To be present to; to dwell within. The final quotation leaves these alternatives for soul’s relation to cosmic bodies instead of certifying only indwelling animation. References: </w:t>
      </w:r>
      <w:hyperlink w:anchor="passage-iv-1-96">
        <w:r>
          <w:rPr>
            <w:color w:val="000000"/>
          </w:rPr>
          <w:t xml:space="preserve">IV.1.96</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277" w:name="latin-record-0026"/>
      <w:bookmarkEnd w:id="277"/>
      <w:r>
        <w:rPr>
          <w:b/>
          <w:i w:val="0"/>
        </w:rPr>
        <w:t>adhortor / admoneo</w:t>
      </w:r>
      <w:r>
        <w:rPr>
          <w:b/>
          <w:i w:val="0"/>
        </w:rPr>
        <w:t>.</w:t>
      </w:r>
      <w:r>
        <w:rPr>
          <w:b w:val="0"/>
          <w:i w:val="0"/>
        </w:rPr>
        <w:t xml:space="preserve"> Printed forms: </w:t>
      </w:r>
      <w:r>
        <w:rPr>
          <w:b w:val="0"/>
          <w:i/>
        </w:rPr>
        <w:t>adhortatur</w:t>
      </w:r>
      <w:r>
        <w:rPr>
          <w:b w:val="0"/>
          <w:i w:val="0"/>
        </w:rPr>
        <w:t xml:space="preserve">; </w:t>
      </w:r>
      <w:r>
        <w:rPr>
          <w:b w:val="0"/>
          <w:i/>
        </w:rPr>
        <w:t>admonere</w:t>
      </w:r>
      <w:r>
        <w:rPr>
          <w:b w:val="0"/>
          <w:i w:val="0"/>
        </w:rPr>
        <w:t xml:space="preserve">; </w:t>
      </w:r>
      <w:r>
        <w:rPr>
          <w:b w:val="0"/>
          <w:i/>
        </w:rPr>
        <w:t>commoniti</w:t>
      </w:r>
      <w:r>
        <w:rPr>
          <w:b w:val="0"/>
          <w:i w:val="0"/>
        </w:rPr>
        <w:t>.</w:t>
      </w:r>
    </w:p>
    <w:p>
      <w:pPr>
        <w:widowControl/>
      </w:pPr>
      <w:r>
        <w:rPr>
          <w:b w:val="0"/>
          <w:i w:val="0"/>
        </w:rPr>
        <w:t xml:space="preserve">To exhort, warn or call something to attention. Plato’s example is paired with exhortation, the oracle admonishes toward self-knowledge, and Platonic reason calls sensory-minded readers beyond shadows. References: </w:t>
      </w:r>
      <w:hyperlink w:anchor="passage-proem-3">
        <w:r>
          <w:rPr>
            <w:color w:val="000000"/>
          </w:rPr>
          <w:t xml:space="preserve">Proem.3</w:t>
        </w:r>
      </w:hyperlink>
      <w:r>
        <w:rPr>
          <w:b w:val="0"/>
          <w:i w:val="0"/>
        </w:rPr>
        <w:t xml:space="preserve">, </w:t>
      </w:r>
      <w:hyperlink w:anchor="passage-proem-4">
        <w:r>
          <w:rPr>
            <w:color w:val="000000"/>
          </w:rPr>
          <w:t xml:space="preserve">Proem.4</w:t>
        </w:r>
      </w:hyperlink>
      <w:r>
        <w:rPr>
          <w:b w:val="0"/>
          <w:i w:val="0"/>
        </w:rPr>
        <w:t xml:space="preserve">, </w:t>
      </w:r>
      <w:hyperlink w:anchor="passage-proem-9">
        <w:r>
          <w:rPr>
            <w:color w:val="000000"/>
          </w:rPr>
          <w:t xml:space="preserve">Proem.9</w:t>
        </w:r>
      </w:hyperlink>
      <w:r>
        <w:rPr>
          <w:b w:val="0"/>
          <w:i w:val="0"/>
        </w:rPr>
        <w:t xml:space="preserve">. See </w:t>
      </w:r>
      <w:hyperlink w:anchor="self-knowledge">
        <w:r>
          <w:rPr>
            <w:color w:val="000000"/>
          </w:rPr>
          <w:t xml:space="preserve">Self knowledge</w:t>
        </w:r>
      </w:hyperlink>
      <w:r>
        <w:rPr>
          <w:b w:val="0"/>
          <w:i w:val="0"/>
        </w:rPr>
        <w:t>.</w:t>
      </w:r>
    </w:p>
    <w:p>
      <w:pPr>
        <w:keepNext/>
        <w:widowControl/>
      </w:pPr>
      <w:bookmarkStart w:id="278" w:name="latin-record-0027"/>
      <w:bookmarkEnd w:id="278"/>
      <w:r>
        <w:rPr>
          <w:b/>
          <w:i w:val="0"/>
        </w:rPr>
        <w:t>admiratio / consuetudo</w:t>
      </w:r>
      <w:r>
        <w:rPr>
          <w:b/>
          <w:i w:val="0"/>
        </w:rPr>
        <w:t>.</w:t>
      </w:r>
      <w:r>
        <w:rPr>
          <w:b w:val="0"/>
          <w:i w:val="0"/>
        </w:rPr>
        <w:t xml:space="preserve"> Printed forms: </w:t>
      </w:r>
      <w:r>
        <w:rPr>
          <w:b w:val="0"/>
          <w:i/>
        </w:rPr>
        <w:t>Admirationem</w:t>
      </w:r>
      <w:r>
        <w:rPr>
          <w:b w:val="0"/>
          <w:i w:val="0"/>
        </w:rPr>
        <w:t xml:space="preserve">; </w:t>
      </w:r>
      <w:r>
        <w:rPr>
          <w:b w:val="0"/>
          <w:i/>
        </w:rPr>
        <w:t>admiratus</w:t>
      </w:r>
      <w:r>
        <w:rPr>
          <w:b w:val="0"/>
          <w:i w:val="0"/>
        </w:rPr>
        <w:t xml:space="preserve">; </w:t>
      </w:r>
      <w:r>
        <w:rPr>
          <w:b w:val="0"/>
          <w:i/>
        </w:rPr>
        <w:t>consuetudo</w:t>
      </w:r>
      <w:r>
        <w:rPr>
          <w:b w:val="0"/>
          <w:i w:val="0"/>
        </w:rPr>
        <w:t>.</w:t>
      </w:r>
    </w:p>
    <w:p>
      <w:pPr>
        <w:widowControl/>
      </w:pPr>
      <w:r>
        <w:rPr>
          <w:b w:val="0"/>
          <w:i w:val="0"/>
        </w:rPr>
        <w:t xml:space="preserve">Wonder / familiarity or accustomed experience. Long familiarity is said to dull wonder, motivating the enclosed-house thought experiment. References: </w:t>
      </w:r>
      <w:hyperlink w:anchor="passage-ii-13-19">
        <w:r>
          <w:rPr>
            <w:color w:val="000000"/>
          </w:rPr>
          <w:t xml:space="preserve">II.13.19</w:t>
        </w:r>
      </w:hyperlink>
      <w:r>
        <w:rPr>
          <w:b w:val="0"/>
          <w:i w:val="0"/>
        </w:rPr>
        <w:t xml:space="preserve">, </w:t>
      </w:r>
      <w:hyperlink w:anchor="passage-ii-13-20">
        <w:r>
          <w:rPr>
            <w:color w:val="000000"/>
          </w:rPr>
          <w:t xml:space="preserve">II.13.20</w:t>
        </w:r>
      </w:hyperlink>
      <w:r>
        <w:rPr>
          <w:b w:val="0"/>
          <w:i w:val="0"/>
        </w:rPr>
        <w:t xml:space="preserve">. See </w:t>
      </w:r>
      <w:hyperlink w:anchor="wonder-and-familiarity">
        <w:r>
          <w:rPr>
            <w:color w:val="000000"/>
          </w:rPr>
          <w:t xml:space="preserve">Wonder and familiarity</w:t>
        </w:r>
      </w:hyperlink>
      <w:r>
        <w:rPr>
          <w:b w:val="0"/>
          <w:i w:val="0"/>
        </w:rPr>
        <w:t>.</w:t>
      </w:r>
    </w:p>
    <w:p>
      <w:pPr>
        <w:keepNext/>
        <w:widowControl/>
      </w:pPr>
      <w:bookmarkStart w:id="279" w:name="latin-record-0028"/>
      <w:bookmarkEnd w:id="279"/>
      <w:r>
        <w:rPr>
          <w:b/>
          <w:i w:val="0"/>
        </w:rPr>
        <w:t>admixtio / inquinatio</w:t>
      </w:r>
      <w:r>
        <w:rPr>
          <w:b/>
          <w:i w:val="0"/>
        </w:rPr>
        <w:t>.</w:t>
      </w:r>
      <w:r>
        <w:rPr>
          <w:b w:val="0"/>
          <w:i w:val="0"/>
        </w:rPr>
        <w:t xml:space="preserve"> Printed forms: </w:t>
      </w:r>
      <w:r>
        <w:rPr>
          <w:b w:val="0"/>
          <w:i/>
        </w:rPr>
        <w:t>admixtionem</w:t>
      </w:r>
      <w:r>
        <w:rPr>
          <w:b w:val="0"/>
          <w:i w:val="0"/>
        </w:rPr>
        <w:t xml:space="preserve">; </w:t>
      </w:r>
      <w:r>
        <w:rPr>
          <w:b w:val="0"/>
          <w:i/>
        </w:rPr>
        <w:t>inquinationem</w:t>
      </w:r>
      <w:r>
        <w:rPr>
          <w:b w:val="0"/>
          <w:i w:val="0"/>
        </w:rPr>
        <w:t>.</w:t>
      </w:r>
    </w:p>
    <w:p>
      <w:pPr>
        <w:widowControl/>
      </w:pPr>
      <w:r>
        <w:rPr>
          <w:b w:val="0"/>
          <w:i w:val="0"/>
        </w:rPr>
        <w:t xml:space="preserve">Admixture / taint or contamination. Quality becomes divisible through bodily admixture; soul is denied such division even through involvement with body. References: </w:t>
      </w:r>
      <w:hyperlink w:anchor="passage-iii-1-3">
        <w:r>
          <w:rPr>
            <w:color w:val="000000"/>
          </w:rPr>
          <w:t xml:space="preserve">III.1.3</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280" w:name="latin-record-0029"/>
      <w:bookmarkEnd w:id="280"/>
      <w:r>
        <w:rPr>
          <w:b/>
          <w:i w:val="0"/>
        </w:rPr>
        <w:t>adsciscere / complecti</w:t>
      </w:r>
      <w:r>
        <w:rPr>
          <w:b/>
          <w:i w:val="0"/>
        </w:rPr>
        <w:t>.</w:t>
      </w:r>
      <w:r>
        <w:rPr>
          <w:b w:val="0"/>
          <w:i w:val="0"/>
        </w:rPr>
        <w:t xml:space="preserve"> Printed forms: </w:t>
      </w:r>
      <w:r>
        <w:rPr>
          <w:b w:val="0"/>
          <w:i/>
        </w:rPr>
        <w:t>adsciscere</w:t>
      </w:r>
      <w:r>
        <w:rPr>
          <w:b w:val="0"/>
          <w:i w:val="0"/>
        </w:rPr>
        <w:t xml:space="preserve">; </w:t>
      </w:r>
      <w:r>
        <w:rPr>
          <w:b w:val="0"/>
          <w:i/>
        </w:rPr>
        <w:t>complecti</w:t>
      </w:r>
      <w:r>
        <w:rPr>
          <w:b w:val="0"/>
          <w:i w:val="0"/>
        </w:rPr>
        <w:t>.</w:t>
      </w:r>
    </w:p>
    <w:p>
      <w:pPr>
        <w:widowControl/>
      </w:pPr>
      <w:r>
        <w:rPr>
          <w:b w:val="0"/>
          <w:i w:val="0"/>
        </w:rPr>
        <w:t xml:space="preserve">To take on form; to embrace matter. Matter’s receptivity and form’s guidance are complementary relations making a living composite possible. References: </w:t>
      </w:r>
      <w:hyperlink w:anchor="passage-iv-1-71">
        <w:r>
          <w:rPr>
            <w:color w:val="000000"/>
          </w:rPr>
          <w:t xml:space="preserve">IV.1.71</w:t>
        </w:r>
      </w:hyperlink>
      <w:r>
        <w:rPr>
          <w:b w:val="0"/>
          <w:i w:val="0"/>
        </w:rPr>
        <w:t xml:space="preserve">. See </w:t>
      </w:r>
      <w:hyperlink w:anchor="form">
        <w:r>
          <w:rPr>
            <w:color w:val="000000"/>
          </w:rPr>
          <w:t xml:space="preserve">Form</w:t>
        </w:r>
      </w:hyperlink>
      <w:r>
        <w:rPr>
          <w:b w:val="0"/>
          <w:i w:val="0"/>
        </w:rPr>
        <w:t>.</w:t>
      </w:r>
    </w:p>
    <w:p>
      <w:pPr>
        <w:keepNext/>
        <w:widowControl/>
      </w:pPr>
      <w:bookmarkStart w:id="281" w:name="latin-record-0030"/>
      <w:bookmarkEnd w:id="281"/>
      <w:r>
        <w:rPr>
          <w:b/>
          <w:i w:val="0"/>
        </w:rPr>
        <w:t>adultus / affectio corporis</w:t>
      </w:r>
      <w:r>
        <w:rPr>
          <w:b/>
          <w:i w:val="0"/>
        </w:rPr>
        <w:t>.</w:t>
      </w:r>
      <w:r>
        <w:rPr>
          <w:b w:val="0"/>
          <w:i w:val="0"/>
        </w:rPr>
        <w:t xml:space="preserve"> Printed forms: </w:t>
      </w:r>
      <w:r>
        <w:rPr>
          <w:b w:val="0"/>
          <w:i/>
        </w:rPr>
        <w:t>adultam</w:t>
      </w:r>
      <w:r>
        <w:rPr>
          <w:b w:val="0"/>
          <w:i w:val="0"/>
        </w:rPr>
        <w:t xml:space="preserve">; </w:t>
      </w:r>
      <w:r>
        <w:rPr>
          <w:b w:val="0"/>
          <w:i/>
        </w:rPr>
        <w:t>affectio corporis</w:t>
      </w:r>
      <w:r>
        <w:rPr>
          <w:b w:val="0"/>
          <w:i w:val="0"/>
        </w:rPr>
        <w:t>.</w:t>
      </w:r>
    </w:p>
    <w:p>
      <w:pPr>
        <w:widowControl/>
      </w:pPr>
      <w:r>
        <w:rPr>
          <w:b w:val="0"/>
          <w:i w:val="0"/>
        </w:rPr>
        <w:t xml:space="preserve">A fully developed bodily condition. The hour test begins with a mature condition, not merely one still developing; the adjective is a supplied source-correction noted in the apparatus. References: </w:t>
      </w:r>
      <w:hyperlink w:anchor="passage-i-4-2">
        <w:r>
          <w:rPr>
            <w:color w:val="000000"/>
          </w:rPr>
          <w:t xml:space="preserve">I.4.2</w:t>
        </w:r>
      </w:hyperlink>
      <w:r>
        <w:rPr>
          <w:b w:val="0"/>
          <w:i w:val="0"/>
        </w:rPr>
        <w:t xml:space="preserve">. See </w:t>
      </w:r>
      <w:hyperlink w:anchor="permanence-and-the-hour-test">
        <w:r>
          <w:rPr>
            <w:color w:val="000000"/>
          </w:rPr>
          <w:t xml:space="preserve">Permanence and the hour test</w:t>
        </w:r>
      </w:hyperlink>
      <w:r>
        <w:rPr>
          <w:b w:val="0"/>
          <w:i w:val="0"/>
        </w:rPr>
        <w:t>.</w:t>
      </w:r>
    </w:p>
    <w:p>
      <w:pPr>
        <w:keepNext/>
        <w:widowControl/>
      </w:pPr>
      <w:bookmarkStart w:id="282" w:name="latin-record-0031"/>
      <w:bookmarkEnd w:id="282"/>
      <w:r>
        <w:rPr>
          <w:b/>
          <w:i w:val="0"/>
        </w:rPr>
        <w:t>adversari / repugnare</w:t>
      </w:r>
      <w:r>
        <w:rPr>
          <w:b/>
          <w:i w:val="0"/>
        </w:rPr>
        <w:t>.</w:t>
      </w:r>
      <w:r>
        <w:rPr>
          <w:b w:val="0"/>
          <w:i w:val="0"/>
        </w:rPr>
        <w:t xml:space="preserve"> Printed forms: </w:t>
      </w:r>
      <w:r>
        <w:rPr>
          <w:b w:val="0"/>
          <w:i/>
        </w:rPr>
        <w:t>adversatur</w:t>
      </w:r>
      <w:r>
        <w:rPr>
          <w:b w:val="0"/>
          <w:i w:val="0"/>
        </w:rPr>
        <w:t xml:space="preserve">; </w:t>
      </w:r>
      <w:r>
        <w:rPr>
          <w:b w:val="0"/>
          <w:i/>
        </w:rPr>
        <w:t>repugnet</w:t>
      </w:r>
      <w:r>
        <w:rPr>
          <w:b w:val="0"/>
          <w:i w:val="0"/>
        </w:rPr>
        <w:t>.</w:t>
      </w:r>
    </w:p>
    <w:p>
      <w:pPr>
        <w:widowControl/>
      </w:pPr>
      <w:r>
        <w:rPr>
          <w:b w:val="0"/>
          <w:i w:val="0"/>
        </w:rPr>
        <w:t xml:space="preserve">Conflict with or oppose. The object is the intelligible character of being, so the argument concerns impossibility rather than ordinary physical opposition. References: </w:t>
      </w:r>
      <w:hyperlink w:anchor="passage-ii-12-16">
        <w:r>
          <w:rPr>
            <w:color w:val="000000"/>
          </w:rPr>
          <w:t xml:space="preserve">II.12.16</w:t>
        </w:r>
      </w:hyperlink>
      <w:r>
        <w:rPr>
          <w:b w:val="0"/>
          <w:i w:val="0"/>
        </w:rPr>
        <w:t xml:space="preserve">. See </w:t>
      </w:r>
      <w:hyperlink w:anchor="contradiction-and-possibility">
        <w:r>
          <w:rPr>
            <w:color w:val="000000"/>
          </w:rPr>
          <w:t xml:space="preserve">Contradiction and possibility</w:t>
        </w:r>
      </w:hyperlink>
      <w:r>
        <w:rPr>
          <w:b w:val="0"/>
          <w:i w:val="0"/>
        </w:rPr>
        <w:t>.</w:t>
      </w:r>
    </w:p>
    <w:p>
      <w:pPr>
        <w:keepNext/>
        <w:widowControl/>
      </w:pPr>
      <w:bookmarkStart w:id="283" w:name="latin-record-0032"/>
      <w:bookmarkEnd w:id="283"/>
      <w:r>
        <w:rPr>
          <w:b/>
          <w:i w:val="0"/>
        </w:rPr>
        <w:t>aedificia / machinae</w:t>
      </w:r>
      <w:r>
        <w:rPr>
          <w:b/>
          <w:i w:val="0"/>
        </w:rPr>
        <w:t>.</w:t>
      </w:r>
      <w:r>
        <w:rPr>
          <w:b w:val="0"/>
          <w:i w:val="0"/>
        </w:rPr>
        <w:t xml:space="preserve"> Printed forms: </w:t>
      </w:r>
      <w:r>
        <w:rPr>
          <w:b w:val="0"/>
          <w:i/>
        </w:rPr>
        <w:t>aedificiis</w:t>
      </w:r>
      <w:r>
        <w:rPr>
          <w:b w:val="0"/>
          <w:i w:val="0"/>
        </w:rPr>
        <w:t xml:space="preserve">; </w:t>
      </w:r>
      <w:r>
        <w:rPr>
          <w:b w:val="0"/>
          <w:i/>
        </w:rPr>
        <w:t>machinis</w:t>
      </w:r>
      <w:r>
        <w:rPr>
          <w:b w:val="0"/>
          <w:i w:val="0"/>
        </w:rPr>
        <w:t>.</w:t>
      </w:r>
    </w:p>
    <w:p>
      <w:pPr>
        <w:widowControl/>
      </w:pPr>
      <w:r>
        <w:rPr>
          <w:b w:val="0"/>
          <w:i w:val="0"/>
        </w:rPr>
        <w:t xml:space="preserve">Buildings and machines. The capacity to rise above earth by these means makes clear that animalia includes humans in this example. References: </w:t>
      </w:r>
      <w:hyperlink w:anchor="passage-iv-1-37">
        <w:r>
          <w:rPr>
            <w:color w:val="000000"/>
          </w:rPr>
          <w:t xml:space="preserve">IV.1.37</w:t>
        </w:r>
      </w:hyperlink>
      <w:r>
        <w:rPr>
          <w:b w:val="0"/>
          <w:i w:val="0"/>
        </w:rPr>
        <w:t xml:space="preserve">. See </w:t>
      </w:r>
      <w:hyperlink w:anchor="animating-and-animal">
        <w:r>
          <w:rPr>
            <w:color w:val="000000"/>
          </w:rPr>
          <w:t xml:space="preserve">Animating and animal</w:t>
        </w:r>
      </w:hyperlink>
      <w:r>
        <w:rPr>
          <w:b w:val="0"/>
          <w:i w:val="0"/>
        </w:rPr>
        <w:t>.</w:t>
      </w:r>
    </w:p>
    <w:p>
      <w:pPr>
        <w:keepNext/>
        <w:widowControl/>
      </w:pPr>
      <w:bookmarkStart w:id="284" w:name="latin-record-0033"/>
      <w:bookmarkEnd w:id="284"/>
      <w:r>
        <w:rPr>
          <w:b/>
          <w:i w:val="0"/>
        </w:rPr>
        <w:t>aedificium / domus</w:t>
      </w:r>
      <w:r>
        <w:rPr>
          <w:b/>
          <w:i w:val="0"/>
        </w:rPr>
        <w:t>.</w:t>
      </w:r>
      <w:r>
        <w:rPr>
          <w:b w:val="0"/>
          <w:i w:val="0"/>
        </w:rPr>
        <w:t xml:space="preserve"> Printed forms: </w:t>
      </w:r>
      <w:r>
        <w:rPr>
          <w:b w:val="0"/>
          <w:i/>
        </w:rPr>
        <w:t>aedificii</w:t>
      </w:r>
      <w:r>
        <w:rPr>
          <w:b w:val="0"/>
          <w:i w:val="0"/>
        </w:rPr>
        <w:t xml:space="preserve">; </w:t>
      </w:r>
      <w:r>
        <w:rPr>
          <w:b w:val="0"/>
          <w:i/>
        </w:rPr>
        <w:t>domui</w:t>
      </w:r>
      <w:r>
        <w:rPr>
          <w:b w:val="0"/>
          <w:i w:val="0"/>
        </w:rPr>
        <w:t xml:space="preserve">; </w:t>
      </w:r>
      <w:r>
        <w:rPr>
          <w:b w:val="0"/>
          <w:i/>
        </w:rPr>
        <w:t>domus</w:t>
      </w:r>
      <w:r>
        <w:rPr>
          <w:b w:val="0"/>
          <w:i w:val="0"/>
        </w:rPr>
        <w:t>.</w:t>
      </w:r>
    </w:p>
    <w:p>
      <w:pPr>
        <w:widowControl/>
      </w:pPr>
      <w:r>
        <w:rPr>
          <w:b w:val="0"/>
          <w:i w:val="0"/>
        </w:rPr>
        <w:t xml:space="preserve">Building / house. The plan of a building requires accounts of parts; the house example then distinguishes original features from later additions. References: </w:t>
      </w:r>
      <w:hyperlink w:anchor="passage-ii-11-18">
        <w:r>
          <w:rPr>
            <w:color w:val="000000"/>
          </w:rPr>
          <w:t xml:space="preserve">II.11.18</w:t>
        </w:r>
      </w:hyperlink>
      <w:r>
        <w:rPr>
          <w:b w:val="0"/>
          <w:i w:val="0"/>
        </w:rPr>
        <w:t xml:space="preserve">, </w:t>
      </w:r>
      <w:hyperlink w:anchor="passage-ii-11-21">
        <w:r>
          <w:rPr>
            <w:color w:val="000000"/>
          </w:rPr>
          <w:t xml:space="preserve">II.11.21</w:t>
        </w:r>
      </w:hyperlink>
      <w:r>
        <w:rPr>
          <w:b w:val="0"/>
          <w:i w:val="0"/>
        </w:rPr>
        <w:t xml:space="preserve">. See </w:t>
      </w:r>
      <w:hyperlink w:anchor="architect-and-house">
        <w:r>
          <w:rPr>
            <w:color w:val="000000"/>
          </w:rPr>
          <w:t xml:space="preserve">Architect, house and decoration</w:t>
        </w:r>
      </w:hyperlink>
      <w:r>
        <w:rPr>
          <w:b w:val="0"/>
          <w:i w:val="0"/>
        </w:rPr>
        <w:t>.</w:t>
      </w:r>
    </w:p>
    <w:p>
      <w:pPr>
        <w:keepNext/>
        <w:widowControl/>
      </w:pPr>
      <w:bookmarkStart w:id="285" w:name="latin-record-0034"/>
      <w:bookmarkEnd w:id="285"/>
      <w:r>
        <w:rPr>
          <w:b/>
          <w:i w:val="0"/>
        </w:rPr>
        <w:t>aenigma / Xenocrates</w:t>
      </w:r>
      <w:r>
        <w:rPr>
          <w:b/>
          <w:i w:val="0"/>
        </w:rPr>
        <w:t>.</w:t>
      </w:r>
      <w:r>
        <w:rPr>
          <w:b w:val="0"/>
          <w:i w:val="0"/>
        </w:rPr>
        <w:t xml:space="preserve"> Printed forms: </w:t>
      </w:r>
      <w:r>
        <w:rPr>
          <w:b w:val="0"/>
          <w:i/>
        </w:rPr>
        <w:t>aenigma</w:t>
      </w:r>
      <w:r>
        <w:rPr>
          <w:b w:val="0"/>
          <w:i w:val="0"/>
        </w:rPr>
        <w:t xml:space="preserve">; </w:t>
      </w:r>
      <w:r>
        <w:rPr>
          <w:b w:val="0"/>
          <w:i/>
        </w:rPr>
        <w:t>Xenocrate</w:t>
      </w:r>
      <w:r>
        <w:rPr>
          <w:b w:val="0"/>
          <w:i w:val="0"/>
        </w:rPr>
        <w:t>.</w:t>
      </w:r>
    </w:p>
    <w:p>
      <w:pPr>
        <w:widowControl/>
      </w:pPr>
      <w:r>
        <w:rPr>
          <w:b w:val="0"/>
          <w:i w:val="0"/>
        </w:rPr>
        <w:t xml:space="preserve">Riddle / Xenocrates. Ficino claims to resolve the Pythagorean formula employed by Xenocrates, separating source, user, and interpretation. References: </w:t>
      </w:r>
      <w:hyperlink w:anchor="passage-iii-1-23">
        <w:r>
          <w:rPr>
            <w:color w:val="000000"/>
          </w:rPr>
          <w:t xml:space="preserve">III.1.23</w:t>
        </w:r>
      </w:hyperlink>
      <w:r>
        <w:rPr>
          <w:b w:val="0"/>
          <w:i w:val="0"/>
        </w:rPr>
        <w:t xml:space="preserve">. See </w:t>
      </w:r>
      <w:hyperlink w:anchor="xenocrates-and-the-riddle">
        <w:r>
          <w:rPr>
            <w:color w:val="000000"/>
          </w:rPr>
          <w:t xml:space="preserve">Xenocrates and the riddle</w:t>
        </w:r>
      </w:hyperlink>
      <w:r>
        <w:rPr>
          <w:b w:val="0"/>
          <w:i w:val="0"/>
        </w:rPr>
        <w:t>.</w:t>
      </w:r>
    </w:p>
    <w:p>
      <w:pPr>
        <w:keepNext/>
        <w:widowControl/>
      </w:pPr>
      <w:bookmarkStart w:id="286" w:name="latin-record-0035"/>
      <w:bookmarkEnd w:id="286"/>
      <w:r>
        <w:rPr>
          <w:b/>
          <w:i w:val="0"/>
        </w:rPr>
        <w:t>aequalis / aeque</w:t>
      </w:r>
      <w:r>
        <w:rPr>
          <w:b/>
          <w:i w:val="0"/>
        </w:rPr>
        <w:t>.</w:t>
      </w:r>
      <w:r>
        <w:rPr>
          <w:b w:val="0"/>
          <w:i w:val="0"/>
        </w:rPr>
        <w:t xml:space="preserve"> Printed forms: </w:t>
      </w:r>
      <w:r>
        <w:rPr>
          <w:b w:val="0"/>
          <w:i/>
        </w:rPr>
        <w:t>aequalem</w:t>
      </w:r>
      <w:r>
        <w:rPr>
          <w:b w:val="0"/>
          <w:i w:val="0"/>
        </w:rPr>
        <w:t xml:space="preserve">; </w:t>
      </w:r>
      <w:r>
        <w:rPr>
          <w:b w:val="0"/>
          <w:i/>
        </w:rPr>
        <w:t>aequalia</w:t>
      </w:r>
      <w:r>
        <w:rPr>
          <w:b w:val="0"/>
          <w:i w:val="0"/>
        </w:rPr>
        <w:t xml:space="preserve">; </w:t>
      </w:r>
      <w:r>
        <w:rPr>
          <w:b w:val="0"/>
          <w:i/>
        </w:rPr>
        <w:t>aeque</w:t>
      </w:r>
      <w:r>
        <w:rPr>
          <w:b w:val="0"/>
          <w:i w:val="0"/>
        </w:rPr>
        <w:t>.</w:t>
      </w:r>
    </w:p>
    <w:p>
      <w:pPr>
        <w:widowControl/>
      </w:pPr>
      <w:r>
        <w:rPr>
          <w:b w:val="0"/>
          <w:i w:val="0"/>
        </w:rPr>
        <w:t xml:space="preserve">Equal, equally, or equally disposed in a specified respect. Equal first gods are tested; a body’s equal disposition toward being and nonbeing indicates need for determination. References: </w:t>
      </w:r>
      <w:hyperlink w:anchor="passage-ii-2-1">
        <w:r>
          <w:rPr>
            <w:color w:val="000000"/>
          </w:rPr>
          <w:t xml:space="preserve">II.2.1</w:t>
        </w:r>
      </w:hyperlink>
      <w:r>
        <w:rPr>
          <w:b w:val="0"/>
          <w:i w:val="0"/>
        </w:rPr>
        <w:t xml:space="preserve">, </w:t>
      </w:r>
      <w:hyperlink w:anchor="passage-ii-2-4">
        <w:r>
          <w:rPr>
            <w:color w:val="000000"/>
          </w:rPr>
          <w:t xml:space="preserve">II.2.4</w:t>
        </w:r>
      </w:hyperlink>
      <w:r>
        <w:rPr>
          <w:b w:val="0"/>
          <w:i w:val="0"/>
        </w:rPr>
        <w:t xml:space="preserve">, </w:t>
      </w:r>
      <w:hyperlink w:anchor="passage-ii-7-8">
        <w:r>
          <w:rPr>
            <w:color w:val="000000"/>
          </w:rPr>
          <w:t xml:space="preserve">II.7.8</w:t>
        </w:r>
      </w:hyperlink>
      <w:r>
        <w:rPr>
          <w:b w:val="0"/>
          <w:i w:val="0"/>
        </w:rPr>
        <w:t xml:space="preserve">. See </w:t>
      </w:r>
      <w:hyperlink w:anchor="common-and-proper">
        <w:r>
          <w:rPr>
            <w:color w:val="000000"/>
          </w:rPr>
          <w:t xml:space="preserve">Common and proper</w:t>
        </w:r>
      </w:hyperlink>
      <w:r>
        <w:rPr>
          <w:b w:val="0"/>
          <w:i w:val="0"/>
        </w:rPr>
        <w:t>.</w:t>
      </w:r>
    </w:p>
    <w:p>
      <w:pPr>
        <w:keepNext/>
        <w:widowControl/>
      </w:pPr>
      <w:bookmarkStart w:id="287" w:name="latin-record-0036"/>
      <w:bookmarkEnd w:id="287"/>
      <w:r>
        <w:rPr>
          <w:b/>
          <w:i w:val="0"/>
        </w:rPr>
        <w:t>aer / aqua / terra</w:t>
      </w:r>
      <w:r>
        <w:rPr>
          <w:b/>
          <w:i w:val="0"/>
        </w:rPr>
        <w:t>.</w:t>
      </w:r>
      <w:r>
        <w:rPr>
          <w:b w:val="0"/>
          <w:i w:val="0"/>
        </w:rPr>
        <w:t xml:space="preserve"> Printed forms: </w:t>
      </w:r>
      <w:r>
        <w:rPr>
          <w:b w:val="0"/>
          <w:i/>
        </w:rPr>
        <w:t>aer</w:t>
      </w:r>
      <w:r>
        <w:rPr>
          <w:b w:val="0"/>
          <w:i w:val="0"/>
        </w:rPr>
        <w:t xml:space="preserve">; </w:t>
      </w:r>
      <w:r>
        <w:rPr>
          <w:b w:val="0"/>
          <w:i/>
        </w:rPr>
        <w:t>aere</w:t>
      </w:r>
      <w:r>
        <w:rPr>
          <w:b w:val="0"/>
          <w:i w:val="0"/>
        </w:rPr>
        <w:t xml:space="preserve">; </w:t>
      </w:r>
      <w:r>
        <w:rPr>
          <w:b w:val="0"/>
          <w:i/>
        </w:rPr>
        <w:t>aerem</w:t>
      </w:r>
      <w:r>
        <w:rPr>
          <w:b w:val="0"/>
          <w:i w:val="0"/>
        </w:rPr>
        <w:t xml:space="preserve">; </w:t>
      </w:r>
      <w:r>
        <w:rPr>
          <w:b w:val="0"/>
          <w:i/>
        </w:rPr>
        <w:t>aqua</w:t>
      </w:r>
      <w:r>
        <w:rPr>
          <w:b w:val="0"/>
          <w:i w:val="0"/>
        </w:rPr>
        <w:t xml:space="preserve">; </w:t>
      </w:r>
      <w:r>
        <w:rPr>
          <w:b w:val="0"/>
          <w:i/>
        </w:rPr>
        <w:t>aquam</w:t>
      </w:r>
      <w:r>
        <w:rPr>
          <w:b w:val="0"/>
          <w:i w:val="0"/>
        </w:rPr>
        <w:t xml:space="preserve">; </w:t>
      </w:r>
      <w:r>
        <w:rPr>
          <w:b w:val="0"/>
          <w:i/>
        </w:rPr>
        <w:t>aquamve</w:t>
      </w:r>
      <w:r>
        <w:rPr>
          <w:b w:val="0"/>
          <w:i w:val="0"/>
        </w:rPr>
        <w:t xml:space="preserve">; </w:t>
      </w:r>
      <w:r>
        <w:rPr>
          <w:b w:val="0"/>
          <w:i/>
        </w:rPr>
        <w:t>terra</w:t>
      </w:r>
      <w:r>
        <w:rPr>
          <w:b w:val="0"/>
          <w:i w:val="0"/>
        </w:rPr>
        <w:t>.</w:t>
      </w:r>
    </w:p>
    <w:p>
      <w:pPr>
        <w:widowControl/>
      </w:pPr>
      <w:r>
        <w:rPr>
          <w:b w:val="0"/>
          <w:i w:val="0"/>
        </w:rPr>
        <w:t xml:space="preserve">Air / water / earth. Elemental mediation joins unlike extremes through shared qualities; the historical physical account supplies the example, not modern chemical elements. References: </w:t>
      </w:r>
      <w:hyperlink w:anchor="passage-iii-2-6">
        <w:r>
          <w:rPr>
            <w:color w:val="000000"/>
          </w:rPr>
          <w:t xml:space="preserve">III.2.6</w:t>
        </w:r>
      </w:hyperlink>
      <w:r>
        <w:rPr>
          <w:b w:val="0"/>
          <w:i w:val="0"/>
        </w:rPr>
        <w:t xml:space="preserve">, </w:t>
      </w:r>
      <w:hyperlink w:anchor="passage-iii-2-8">
        <w:r>
          <w:rPr>
            <w:color w:val="000000"/>
          </w:rPr>
          <w:t xml:space="preserve">III.2.8</w:t>
        </w:r>
      </w:hyperlink>
      <w:r>
        <w:rPr>
          <w:b w:val="0"/>
          <w:i w:val="0"/>
        </w:rPr>
        <w:t xml:space="preserve">. See </w:t>
      </w:r>
      <w:hyperlink w:anchor="elements-and-their-spheres">
        <w:r>
          <w:rPr>
            <w:color w:val="000000"/>
          </w:rPr>
          <w:t xml:space="preserve">Elements and their spheres</w:t>
        </w:r>
      </w:hyperlink>
      <w:r>
        <w:rPr>
          <w:b w:val="0"/>
          <w:i w:val="0"/>
        </w:rPr>
        <w:t>.</w:t>
      </w:r>
    </w:p>
    <w:p>
      <w:pPr>
        <w:keepNext/>
        <w:widowControl/>
      </w:pPr>
      <w:bookmarkStart w:id="288" w:name="latin-record-0037"/>
      <w:bookmarkEnd w:id="288"/>
      <w:r>
        <w:rPr>
          <w:b/>
          <w:i w:val="0"/>
        </w:rPr>
        <w:t>aevum</w:t>
      </w:r>
      <w:r>
        <w:rPr>
          <w:b/>
          <w:i w:val="0"/>
        </w:rPr>
        <w:t>.</w:t>
      </w:r>
      <w:r>
        <w:rPr>
          <w:b w:val="0"/>
          <w:i w:val="0"/>
        </w:rPr>
        <w:t xml:space="preserve"> Printed forms: </w:t>
      </w:r>
      <w:r>
        <w:rPr>
          <w:b w:val="0"/>
          <w:i/>
        </w:rPr>
        <w:t>aevum</w:t>
      </w:r>
      <w:r>
        <w:rPr>
          <w:b w:val="0"/>
          <w:i w:val="0"/>
        </w:rPr>
        <w:t>.</w:t>
      </w:r>
    </w:p>
    <w:p>
      <w:pPr>
        <w:widowControl/>
      </w:pPr>
      <w:r>
        <w:rPr>
          <w:b w:val="0"/>
          <w:i w:val="0"/>
        </w:rPr>
        <w:t xml:space="preserve">Eternal age or enduring mode above temporal succession. The reported ladder distinguishes part of time, all time, existence through aevum, and aevum itself. References: </w:t>
      </w:r>
      <w:hyperlink w:anchor="passage-iii-2-3">
        <w:r>
          <w:rPr>
            <w:color w:val="000000"/>
          </w:rPr>
          <w:t xml:space="preserve">III.2.3</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289" w:name="latin-record-0038"/>
      <w:bookmarkEnd w:id="289"/>
      <w:r>
        <w:rPr>
          <w:b/>
          <w:i w:val="0"/>
        </w:rPr>
        <w:t>affectus / afficere</w:t>
      </w:r>
      <w:r>
        <w:rPr>
          <w:b/>
          <w:i w:val="0"/>
        </w:rPr>
        <w:t>.</w:t>
      </w:r>
      <w:r>
        <w:rPr>
          <w:b w:val="0"/>
          <w:i w:val="0"/>
        </w:rPr>
        <w:t xml:space="preserve"> Printed forms: </w:t>
      </w:r>
      <w:r>
        <w:rPr>
          <w:b w:val="0"/>
          <w:i/>
        </w:rPr>
        <w:t>affectum</w:t>
      </w:r>
      <w:r>
        <w:rPr>
          <w:b w:val="0"/>
          <w:i w:val="0"/>
        </w:rPr>
        <w:t xml:space="preserve">; </w:t>
      </w:r>
      <w:r>
        <w:rPr>
          <w:b w:val="0"/>
          <w:i/>
        </w:rPr>
        <w:t>afficit</w:t>
      </w:r>
      <w:r>
        <w:rPr>
          <w:b w:val="0"/>
          <w:i w:val="0"/>
        </w:rPr>
        <w:t>.</w:t>
      </w:r>
    </w:p>
    <w:p>
      <w:pPr>
        <w:widowControl/>
      </w:pPr>
      <w:r>
        <w:rPr>
          <w:b w:val="0"/>
          <w:i w:val="0"/>
        </w:rPr>
        <w:t xml:space="preserve">Affective engagement / affect or incline. The intensity of affect is linked to productive efficacy and then applied analogically to divine will. References: </w:t>
      </w:r>
      <w:hyperlink w:anchor="passage-ii-11-31">
        <w:r>
          <w:rPr>
            <w:color w:val="000000"/>
          </w:rPr>
          <w:t xml:space="preserve">II.11.31</w:t>
        </w:r>
      </w:hyperlink>
      <w:r>
        <w:rPr>
          <w:b w:val="0"/>
          <w:i w:val="0"/>
        </w:rPr>
        <w:t xml:space="preserve">, </w:t>
      </w:r>
      <w:hyperlink w:anchor="passage-ii-11-32">
        <w:r>
          <w:rPr>
            <w:color w:val="000000"/>
          </w:rPr>
          <w:t xml:space="preserve">II.11.32</w:t>
        </w:r>
      </w:hyperlink>
      <w:r>
        <w:rPr>
          <w:b w:val="0"/>
          <w:i w:val="0"/>
        </w:rPr>
        <w:t xml:space="preserve">. See </w:t>
      </w:r>
      <w:hyperlink w:anchor="affect">
        <w:r>
          <w:rPr>
            <w:color w:val="000000"/>
          </w:rPr>
          <w:t xml:space="preserve">Affect</w:t>
        </w:r>
      </w:hyperlink>
      <w:r>
        <w:rPr>
          <w:b w:val="0"/>
          <w:i w:val="0"/>
        </w:rPr>
        <w:t>.</w:t>
      </w:r>
    </w:p>
    <w:p>
      <w:pPr>
        <w:keepNext/>
        <w:widowControl/>
      </w:pPr>
      <w:bookmarkStart w:id="290" w:name="latin-record-0039"/>
      <w:bookmarkEnd w:id="290"/>
      <w:r>
        <w:rPr>
          <w:b/>
          <w:i w:val="0"/>
        </w:rPr>
        <w:t>afficio / affectio / passio</w:t>
      </w:r>
      <w:r>
        <w:rPr>
          <w:b/>
          <w:i w:val="0"/>
        </w:rPr>
        <w:t>.</w:t>
      </w:r>
      <w:r>
        <w:rPr>
          <w:b w:val="0"/>
          <w:i w:val="0"/>
        </w:rPr>
        <w:t xml:space="preserve"> Printed forms: </w:t>
      </w:r>
      <w:r>
        <w:rPr>
          <w:b w:val="0"/>
          <w:i/>
        </w:rPr>
        <w:t>affectioque</w:t>
      </w:r>
      <w:r>
        <w:rPr>
          <w:b w:val="0"/>
          <w:i w:val="0"/>
        </w:rPr>
        <w:t xml:space="preserve">; </w:t>
      </w:r>
      <w:r>
        <w:rPr>
          <w:b w:val="0"/>
          <w:i/>
        </w:rPr>
        <w:t>affici</w:t>
      </w:r>
      <w:r>
        <w:rPr>
          <w:b w:val="0"/>
          <w:i w:val="0"/>
        </w:rPr>
        <w:t xml:space="preserve">; </w:t>
      </w:r>
      <w:r>
        <w:rPr>
          <w:b w:val="0"/>
          <w:i/>
        </w:rPr>
        <w:t>passiones</w:t>
      </w:r>
      <w:r>
        <w:rPr>
          <w:b w:val="0"/>
          <w:i w:val="0"/>
        </w:rPr>
        <w:t xml:space="preserve">; </w:t>
      </w:r>
      <w:r>
        <w:rPr>
          <w:b w:val="0"/>
          <w:i/>
        </w:rPr>
        <w:t>passioni</w:t>
      </w:r>
      <w:r>
        <w:rPr>
          <w:b w:val="0"/>
          <w:i w:val="0"/>
        </w:rPr>
        <w:t>.</w:t>
      </w:r>
    </w:p>
    <w:p>
      <w:pPr>
        <w:widowControl/>
      </w:pPr>
      <w:r>
        <w:rPr>
          <w:b w:val="0"/>
          <w:i w:val="0"/>
        </w:rPr>
        <w:t xml:space="preserve">To be affected, a condition, and undergoing action. Extension and modification are called passivities of matter; these uses concern receptivity, not necessarily emotion or moral passion. References: </w:t>
      </w:r>
      <w:hyperlink w:anchor="passage-i-2-1">
        <w:r>
          <w:rPr>
            <w:color w:val="000000"/>
          </w:rPr>
          <w:t xml:space="preserve">I.2.1</w:t>
        </w:r>
      </w:hyperlink>
      <w:r>
        <w:rPr>
          <w:b w:val="0"/>
          <w:i w:val="0"/>
        </w:rPr>
        <w:t xml:space="preserve">. See </w:t>
      </w:r>
      <w:hyperlink w:anchor="affection-and-passivity">
        <w:r>
          <w:rPr>
            <w:color w:val="000000"/>
          </w:rPr>
          <w:t xml:space="preserve">Affection and passivity</w:t>
        </w:r>
      </w:hyperlink>
      <w:r>
        <w:rPr>
          <w:b w:val="0"/>
          <w:i w:val="0"/>
        </w:rPr>
        <w:t>.</w:t>
      </w:r>
    </w:p>
    <w:p>
      <w:pPr>
        <w:keepNext/>
        <w:widowControl/>
      </w:pPr>
      <w:bookmarkStart w:id="291" w:name="latin-record-0040"/>
      <w:bookmarkEnd w:id="291"/>
      <w:r>
        <w:rPr>
          <w:b/>
          <w:i w:val="0"/>
        </w:rPr>
        <w:t>affixus / situs</w:t>
      </w:r>
      <w:r>
        <w:rPr>
          <w:b/>
          <w:i w:val="0"/>
        </w:rPr>
        <w:t>.</w:t>
      </w:r>
      <w:r>
        <w:rPr>
          <w:b w:val="0"/>
          <w:i w:val="0"/>
        </w:rPr>
        <w:t xml:space="preserve"> Printed forms: </w:t>
      </w:r>
      <w:r>
        <w:rPr>
          <w:b w:val="0"/>
          <w:i/>
        </w:rPr>
        <w:t>affixa</w:t>
      </w:r>
      <w:r>
        <w:rPr>
          <w:b w:val="0"/>
          <w:i w:val="0"/>
        </w:rPr>
        <w:t xml:space="preserve">; </w:t>
      </w:r>
      <w:r>
        <w:rPr>
          <w:b w:val="0"/>
          <w:i/>
        </w:rPr>
        <w:t>situ</w:t>
      </w:r>
      <w:r>
        <w:rPr>
          <w:b w:val="0"/>
          <w:i w:val="0"/>
        </w:rPr>
        <w:t xml:space="preserve">; </w:t>
      </w:r>
      <w:r>
        <w:rPr>
          <w:b w:val="0"/>
          <w:i/>
        </w:rPr>
        <w:t>situm</w:t>
      </w:r>
      <w:r>
        <w:rPr>
          <w:b w:val="0"/>
          <w:i w:val="0"/>
        </w:rPr>
        <w:t>.</w:t>
      </w:r>
    </w:p>
    <w:p>
      <w:pPr>
        <w:widowControl/>
      </w:pPr>
      <w:r>
        <w:rPr>
          <w:b w:val="0"/>
          <w:i w:val="0"/>
        </w:rPr>
        <w:t xml:space="preserve">Fixed to / position. A geometrical point is indivisible but remains fixed to bodily quantity, unlike the position-free soul postulated by the argument. References: </w:t>
      </w:r>
      <w:hyperlink w:anchor="passage-iii-2-13">
        <w:r>
          <w:rPr>
            <w:color w:val="000000"/>
          </w:rPr>
          <w:t xml:space="preserve">III.2.13</w:t>
        </w:r>
      </w:hyperlink>
      <w:r>
        <w:rPr>
          <w:b w:val="0"/>
          <w:i w:val="0"/>
        </w:rPr>
        <w:t xml:space="preserve">, </w:t>
      </w:r>
      <w:hyperlink w:anchor="passage-iii-2-16">
        <w:r>
          <w:rPr>
            <w:color w:val="000000"/>
          </w:rPr>
          <w:t xml:space="preserve">III.2.16</w:t>
        </w:r>
      </w:hyperlink>
      <w:r>
        <w:rPr>
          <w:b w:val="0"/>
          <w:i w:val="0"/>
        </w:rPr>
        <w:t xml:space="preserve">, </w:t>
      </w:r>
      <w:hyperlink w:anchor="passage-iii-2-18">
        <w:r>
          <w:rPr>
            <w:color w:val="000000"/>
          </w:rPr>
          <w:t xml:space="preserve">III.2.18</w:t>
        </w:r>
      </w:hyperlink>
      <w:r>
        <w:rPr>
          <w:b w:val="0"/>
          <w:i w:val="0"/>
        </w:rPr>
        <w:t xml:space="preserve">. See </w:t>
      </w:r>
      <w:hyperlink w:anchor="point-and-position">
        <w:r>
          <w:rPr>
            <w:color w:val="000000"/>
          </w:rPr>
          <w:t xml:space="preserve">Point and position</w:t>
        </w:r>
      </w:hyperlink>
      <w:r>
        <w:rPr>
          <w:b w:val="0"/>
          <w:i w:val="0"/>
        </w:rPr>
        <w:t>.</w:t>
      </w:r>
    </w:p>
    <w:p>
      <w:pPr>
        <w:keepNext/>
        <w:widowControl/>
      </w:pPr>
      <w:bookmarkStart w:id="292" w:name="latin-record-0041"/>
      <w:bookmarkEnd w:id="292"/>
      <w:r>
        <w:rPr>
          <w:b/>
          <w:i w:val="0"/>
        </w:rPr>
        <w:t>agens / patiens</w:t>
      </w:r>
      <w:r>
        <w:rPr>
          <w:b/>
          <w:i w:val="0"/>
        </w:rPr>
        <w:t>.</w:t>
      </w:r>
      <w:r>
        <w:rPr>
          <w:b w:val="0"/>
          <w:i w:val="0"/>
        </w:rPr>
        <w:t xml:space="preserve"> Printed forms: </w:t>
      </w:r>
      <w:r>
        <w:rPr>
          <w:b w:val="0"/>
          <w:i/>
        </w:rPr>
        <w:t>agens</w:t>
      </w:r>
      <w:r>
        <w:rPr>
          <w:b w:val="0"/>
          <w:i w:val="0"/>
        </w:rPr>
        <w:t xml:space="preserve">; </w:t>
      </w:r>
      <w:r>
        <w:rPr>
          <w:b w:val="0"/>
          <w:i/>
        </w:rPr>
        <w:t>agenti</w:t>
      </w:r>
      <w:r>
        <w:rPr>
          <w:b w:val="0"/>
          <w:i w:val="0"/>
        </w:rPr>
        <w:t xml:space="preserve">; </w:t>
      </w:r>
      <w:r>
        <w:rPr>
          <w:b w:val="0"/>
          <w:i/>
        </w:rPr>
        <w:t>patiens</w:t>
      </w:r>
      <w:r>
        <w:rPr>
          <w:b w:val="0"/>
          <w:i w:val="0"/>
        </w:rPr>
        <w:t xml:space="preserve">; </w:t>
      </w:r>
      <w:r>
        <w:rPr>
          <w:b w:val="0"/>
          <w:i/>
        </w:rPr>
        <w:t>patienti</w:t>
      </w:r>
      <w:r>
        <w:rPr>
          <w:b w:val="0"/>
          <w:i w:val="0"/>
        </w:rPr>
        <w:t>.</w:t>
      </w:r>
    </w:p>
    <w:p>
      <w:pPr>
        <w:widowControl/>
      </w:pPr>
      <w:r>
        <w:rPr>
          <w:b w:val="0"/>
          <w:i w:val="0"/>
        </w:rPr>
        <w:t xml:space="preserve">The acting agent and the recipient undergoing action. Perfect natural action requires the agent’s power, readiness and close penetration of the patient; both may be impeded by quantitative division. References: </w:t>
      </w:r>
      <w:hyperlink w:anchor="passage-i-2-2">
        <w:r>
          <w:rPr>
            <w:color w:val="000000"/>
          </w:rPr>
          <w:t xml:space="preserve">I.2.2</w:t>
        </w:r>
      </w:hyperlink>
      <w:r>
        <w:rPr>
          <w:b w:val="0"/>
          <w:i w:val="0"/>
        </w:rPr>
        <w:t xml:space="preserve">, </w:t>
      </w:r>
      <w:hyperlink w:anchor="passage-i-2-4">
        <w:r>
          <w:rPr>
            <w:color w:val="000000"/>
          </w:rPr>
          <w:t xml:space="preserve">I.2.4</w:t>
        </w:r>
      </w:hyperlink>
      <w:r>
        <w:rPr>
          <w:b w:val="0"/>
          <w:i w:val="0"/>
        </w:rPr>
        <w:t xml:space="preserve">, </w:t>
      </w:r>
      <w:hyperlink w:anchor="passage-i-2-10">
        <w:r>
          <w:rPr>
            <w:color w:val="000000"/>
          </w:rPr>
          <w:t xml:space="preserve">I.2.10</w:t>
        </w:r>
      </w:hyperlink>
      <w:r>
        <w:rPr>
          <w:b w:val="0"/>
          <w:i w:val="0"/>
        </w:rPr>
        <w:t xml:space="preserve">. See </w:t>
      </w:r>
      <w:hyperlink w:anchor="affection-and-passivity">
        <w:r>
          <w:rPr>
            <w:color w:val="000000"/>
          </w:rPr>
          <w:t xml:space="preserve">Affection and passivity</w:t>
        </w:r>
      </w:hyperlink>
      <w:r>
        <w:rPr>
          <w:b w:val="0"/>
          <w:i w:val="0"/>
        </w:rPr>
        <w:t>.</w:t>
      </w:r>
    </w:p>
    <w:p>
      <w:pPr>
        <w:keepNext/>
        <w:widowControl/>
      </w:pPr>
      <w:bookmarkStart w:id="293" w:name="latin-record-0042"/>
      <w:bookmarkEnd w:id="293"/>
      <w:r>
        <w:rPr>
          <w:b/>
          <w:i w:val="0"/>
        </w:rPr>
        <w:t>agere / actio / agens</w:t>
      </w:r>
      <w:r>
        <w:rPr>
          <w:b/>
          <w:i w:val="0"/>
        </w:rPr>
        <w:t>.</w:t>
      </w:r>
      <w:r>
        <w:rPr>
          <w:b w:val="0"/>
          <w:i w:val="0"/>
        </w:rPr>
        <w:t xml:space="preserve"> Printed forms: </w:t>
      </w:r>
      <w:r>
        <w:rPr>
          <w:b w:val="0"/>
          <w:i/>
        </w:rPr>
        <w:t>agit</w:t>
      </w:r>
      <w:r>
        <w:rPr>
          <w:b w:val="0"/>
          <w:i w:val="0"/>
        </w:rPr>
        <w:t>.</w:t>
      </w:r>
    </w:p>
    <w:p>
      <w:pPr>
        <w:widowControl/>
      </w:pPr>
      <w:r>
        <w:rPr>
          <w:b w:val="0"/>
          <w:i w:val="0"/>
        </w:rPr>
        <w:t xml:space="preserve">Act, produce, or cause / action / agent. An agent may act without temporal motion: the meadow’s immediate presentation is efficacious, while painting is a gradual act. References: </w:t>
      </w:r>
      <w:hyperlink w:anchor="passage-ii-11-1">
        <w:r>
          <w:rPr>
            <w:color w:val="000000"/>
          </w:rPr>
          <w:t xml:space="preserve">II.11.1</w:t>
        </w:r>
      </w:hyperlink>
      <w:r>
        <w:rPr>
          <w:b w:val="0"/>
          <w:i w:val="0"/>
        </w:rPr>
        <w:t xml:space="preserve">, </w:t>
      </w:r>
      <w:hyperlink w:anchor="passage-iii-1-28">
        <w:r>
          <w:rPr>
            <w:color w:val="000000"/>
          </w:rPr>
          <w:t xml:space="preserve">III.1.28</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294" w:name="latin-record-0043"/>
      <w:bookmarkEnd w:id="294"/>
      <w:r>
        <w:rPr>
          <w:b/>
          <w:i w:val="0"/>
        </w:rPr>
        <w:t>agere: egerit</w:t>
      </w:r>
      <w:r>
        <w:rPr>
          <w:b/>
          <w:i w:val="0"/>
        </w:rPr>
        <w:t>.</w:t>
      </w:r>
      <w:r>
        <w:rPr>
          <w:b w:val="0"/>
          <w:i w:val="0"/>
        </w:rPr>
        <w:t xml:space="preserve"> Printed forms: </w:t>
      </w:r>
      <w:r>
        <w:rPr>
          <w:b w:val="0"/>
          <w:i/>
        </w:rPr>
        <w:t>egerit</w:t>
      </w:r>
      <w:r>
        <w:rPr>
          <w:b w:val="0"/>
          <w:i w:val="0"/>
        </w:rPr>
        <w:t>.</w:t>
      </w:r>
    </w:p>
    <w:p>
      <w:pPr>
        <w:widowControl/>
      </w:pPr>
      <w:r>
        <w:rPr>
          <w:b w:val="0"/>
          <w:i w:val="0"/>
        </w:rPr>
        <w:t xml:space="preserve">May have done or should do, a perfect form of agere. The anticipated Epicurean objection concerns God doing many things and becoming burdened; egerit does not mean needing. References: </w:t>
      </w:r>
      <w:hyperlink w:anchor="passage-ii-8-1">
        <w:r>
          <w:rPr>
            <w:color w:val="000000"/>
          </w:rPr>
          <w:t xml:space="preserve">II.8.1</w:t>
        </w:r>
      </w:hyperlink>
      <w:r>
        <w:rPr>
          <w:b w:val="0"/>
          <w:i w:val="0"/>
        </w:rPr>
        <w:t xml:space="preserve">. See </w:t>
      </w:r>
      <w:hyperlink w:anchor="burden-labor-and-ease">
        <w:r>
          <w:rPr>
            <w:color w:val="000000"/>
          </w:rPr>
          <w:t xml:space="preserve">Burden labor and ease</w:t>
        </w:r>
      </w:hyperlink>
      <w:r>
        <w:rPr>
          <w:b w:val="0"/>
          <w:i w:val="0"/>
        </w:rPr>
        <w:t>.</w:t>
      </w:r>
    </w:p>
    <w:p>
      <w:pPr>
        <w:keepNext/>
        <w:widowControl/>
      </w:pPr>
      <w:bookmarkStart w:id="295" w:name="latin-record-0044"/>
      <w:bookmarkEnd w:id="295"/>
      <w:r>
        <w:rPr>
          <w:b/>
          <w:i w:val="0"/>
        </w:rPr>
        <w:t>ala / dux / patria</w:t>
      </w:r>
      <w:r>
        <w:rPr>
          <w:b/>
          <w:i w:val="0"/>
        </w:rPr>
        <w:t>.</w:t>
      </w:r>
      <w:r>
        <w:rPr>
          <w:b w:val="0"/>
          <w:i w:val="0"/>
        </w:rPr>
        <w:t xml:space="preserve"> Printed forms: </w:t>
      </w:r>
      <w:r>
        <w:rPr>
          <w:b w:val="0"/>
          <w:i/>
        </w:rPr>
        <w:t>alis</w:t>
      </w:r>
      <w:r>
        <w:rPr>
          <w:b w:val="0"/>
          <w:i w:val="0"/>
        </w:rPr>
        <w:t xml:space="preserve">; </w:t>
      </w:r>
      <w:r>
        <w:rPr>
          <w:b w:val="0"/>
          <w:i/>
        </w:rPr>
        <w:t>Deo duce</w:t>
      </w:r>
      <w:r>
        <w:rPr>
          <w:b w:val="0"/>
          <w:i w:val="0"/>
        </w:rPr>
        <w:t xml:space="preserve">; </w:t>
      </w:r>
      <w:r>
        <w:rPr>
          <w:b w:val="0"/>
          <w:i/>
        </w:rPr>
        <w:t>patriae</w:t>
      </w:r>
      <w:r>
        <w:rPr>
          <w:b w:val="0"/>
          <w:i w:val="0"/>
        </w:rPr>
        <w:t xml:space="preserve">; </w:t>
      </w:r>
      <w:r>
        <w:rPr>
          <w:b w:val="0"/>
          <w:i/>
        </w:rPr>
        <w:t>patriam</w:t>
      </w:r>
      <w:r>
        <w:rPr>
          <w:b w:val="0"/>
          <w:i w:val="0"/>
        </w:rPr>
        <w:t>.</w:t>
      </w:r>
    </w:p>
    <w:p>
      <w:pPr>
        <w:widowControl/>
      </w:pPr>
      <w:r>
        <w:rPr>
          <w:b w:val="0"/>
          <w:i w:val="0"/>
        </w:rPr>
        <w:t xml:space="preserve">Wing, guide and homeland in an ascent-and-return image. Platonic wings and God’s guidance lead the contemplative journey; the final homeland is a simile for the Good toward which all things aspire. References: </w:t>
      </w:r>
      <w:hyperlink w:anchor="passage-i-1-2">
        <w:r>
          <w:rPr>
            <w:color w:val="000000"/>
          </w:rPr>
          <w:t xml:space="preserve">I.1.2</w:t>
        </w:r>
      </w:hyperlink>
      <w:r>
        <w:rPr>
          <w:b w:val="0"/>
          <w:i w:val="0"/>
        </w:rPr>
        <w:t xml:space="preserve">, </w:t>
      </w:r>
      <w:hyperlink w:anchor="passage-i-6-19">
        <w:r>
          <w:rPr>
            <w:color w:val="000000"/>
          </w:rPr>
          <w:t xml:space="preserve">I.6.19</w:t>
        </w:r>
      </w:hyperlink>
      <w:r>
        <w:rPr>
          <w:b w:val="0"/>
          <w:i w:val="0"/>
        </w:rPr>
        <w:t xml:space="preserve">. See </w:t>
      </w:r>
      <w:hyperlink w:anchor="prison-and-homeland">
        <w:r>
          <w:rPr>
            <w:color w:val="000000"/>
          </w:rPr>
          <w:t xml:space="preserve">Prison and homeland</w:t>
        </w:r>
      </w:hyperlink>
      <w:r>
        <w:rPr>
          <w:b w:val="0"/>
          <w:i w:val="0"/>
        </w:rPr>
        <w:t>.</w:t>
      </w:r>
    </w:p>
    <w:p>
      <w:pPr>
        <w:keepNext/>
        <w:widowControl/>
      </w:pPr>
      <w:bookmarkStart w:id="296" w:name="latin-record-0045"/>
      <w:bookmarkEnd w:id="296"/>
      <w:r>
        <w:rPr>
          <w:b/>
          <w:i w:val="0"/>
        </w:rPr>
        <w:t>albedo / caro</w:t>
      </w:r>
      <w:r>
        <w:rPr>
          <w:b/>
          <w:i w:val="0"/>
        </w:rPr>
        <w:t>.</w:t>
      </w:r>
      <w:r>
        <w:rPr>
          <w:b w:val="0"/>
          <w:i w:val="0"/>
        </w:rPr>
        <w:t xml:space="preserve"> Printed forms: </w:t>
      </w:r>
      <w:r>
        <w:rPr>
          <w:b w:val="0"/>
          <w:i/>
        </w:rPr>
        <w:t>albedo</w:t>
      </w:r>
      <w:r>
        <w:rPr>
          <w:b w:val="0"/>
          <w:i w:val="0"/>
        </w:rPr>
        <w:t xml:space="preserve">; </w:t>
      </w:r>
      <w:r>
        <w:rPr>
          <w:b w:val="0"/>
          <w:i/>
        </w:rPr>
        <w:t>Albedo</w:t>
      </w:r>
      <w:r>
        <w:rPr>
          <w:b w:val="0"/>
          <w:i w:val="0"/>
        </w:rPr>
        <w:t xml:space="preserve">; </w:t>
      </w:r>
      <w:r>
        <w:rPr>
          <w:b w:val="0"/>
          <w:i/>
        </w:rPr>
        <w:t>carne</w:t>
      </w:r>
      <w:r>
        <w:rPr>
          <w:b w:val="0"/>
          <w:i w:val="0"/>
        </w:rPr>
        <w:t xml:space="preserve">; </w:t>
      </w:r>
      <w:r>
        <w:rPr>
          <w:b w:val="0"/>
          <w:i/>
        </w:rPr>
        <w:t>carnis</w:t>
      </w:r>
      <w:r>
        <w:rPr>
          <w:b w:val="0"/>
          <w:i w:val="0"/>
        </w:rPr>
        <w:t>.</w:t>
      </w:r>
    </w:p>
    <w:p>
      <w:pPr>
        <w:widowControl/>
      </w:pPr>
      <w:r>
        <w:rPr>
          <w:b w:val="0"/>
          <w:i w:val="0"/>
        </w:rPr>
        <w:t xml:space="preserve">Whiteness / flesh. Whiteness distributed proportionately with flesh supplies the natural philosophers’ contrast to soul’s whole presence in every part. References: </w:t>
      </w:r>
      <w:hyperlink w:anchor="passage-iii-2-10">
        <w:r>
          <w:rPr>
            <w:color w:val="000000"/>
          </w:rPr>
          <w:t xml:space="preserve">III.2.10</w:t>
        </w:r>
      </w:hyperlink>
      <w:r>
        <w:rPr>
          <w:b w:val="0"/>
          <w:i w:val="0"/>
        </w:rPr>
        <w:t xml:space="preserve">, </w:t>
      </w:r>
      <w:hyperlink w:anchor="passage-iii-2-11">
        <w:r>
          <w:rPr>
            <w:color w:val="000000"/>
          </w:rPr>
          <w:t xml:space="preserve">III.2.11</w:t>
        </w:r>
      </w:hyperlink>
      <w:r>
        <w:rPr>
          <w:b w:val="0"/>
          <w:i w:val="0"/>
        </w:rPr>
        <w:t xml:space="preserve">. See </w:t>
      </w:r>
      <w:hyperlink w:anchor="quality">
        <w:r>
          <w:rPr>
            <w:color w:val="000000"/>
          </w:rPr>
          <w:t xml:space="preserve">Quality</w:t>
        </w:r>
      </w:hyperlink>
      <w:r>
        <w:rPr>
          <w:b w:val="0"/>
          <w:i w:val="0"/>
        </w:rPr>
        <w:t>.</w:t>
      </w:r>
    </w:p>
    <w:p>
      <w:pPr>
        <w:keepNext/>
        <w:widowControl/>
      </w:pPr>
      <w:bookmarkStart w:id="297" w:name="latin-record-0046"/>
      <w:bookmarkEnd w:id="297"/>
      <w:r>
        <w:rPr>
          <w:b/>
          <w:i w:val="0"/>
        </w:rPr>
        <w:t>alere</w:t>
      </w:r>
      <w:r>
        <w:rPr>
          <w:b/>
          <w:i w:val="0"/>
        </w:rPr>
        <w:t>.</w:t>
      </w:r>
      <w:r>
        <w:rPr>
          <w:b w:val="0"/>
          <w:i w:val="0"/>
        </w:rPr>
        <w:t xml:space="preserve"> Printed forms: </w:t>
      </w:r>
      <w:r>
        <w:rPr>
          <w:b w:val="0"/>
          <w:i/>
        </w:rPr>
        <w:t>alit</w:t>
      </w:r>
      <w:r>
        <w:rPr>
          <w:b w:val="0"/>
          <w:i w:val="0"/>
        </w:rPr>
        <w:t>.</w:t>
      </w:r>
    </w:p>
    <w:p>
      <w:pPr>
        <w:widowControl/>
      </w:pPr>
      <w:r>
        <w:rPr>
          <w:b w:val="0"/>
          <w:i w:val="0"/>
        </w:rPr>
        <w:t xml:space="preserve">To nourish or sustain offspring. The earth-as-mother question links bringing forth with feeding what has been born. References: </w:t>
      </w:r>
      <w:hyperlink w:anchor="passage-iv-1-2">
        <w:r>
          <w:rPr>
            <w:color w:val="000000"/>
          </w:rPr>
          <w:t xml:space="preserve">IV.1.2</w:t>
        </w:r>
      </w:hyperlink>
      <w:r>
        <w:rPr>
          <w:b w:val="0"/>
          <w:i w:val="0"/>
        </w:rPr>
        <w:t xml:space="preserve">. See </w:t>
      </w:r>
      <w:hyperlink w:anchor="earth-as-mother">
        <w:r>
          <w:rPr>
            <w:color w:val="000000"/>
          </w:rPr>
          <w:t xml:space="preserve">Earth as mother</w:t>
        </w:r>
      </w:hyperlink>
      <w:r>
        <w:rPr>
          <w:b w:val="0"/>
          <w:i w:val="0"/>
        </w:rPr>
        <w:t>.</w:t>
      </w:r>
    </w:p>
    <w:p>
      <w:pPr>
        <w:keepNext/>
        <w:widowControl/>
      </w:pPr>
      <w:bookmarkStart w:id="298" w:name="latin-record-0047"/>
      <w:bookmarkEnd w:id="298"/>
      <w:r>
        <w:rPr>
          <w:b/>
          <w:i w:val="0"/>
        </w:rPr>
        <w:t>alere / nutrire / digerere</w:t>
      </w:r>
      <w:r>
        <w:rPr>
          <w:b/>
          <w:i w:val="0"/>
        </w:rPr>
        <w:t>.</w:t>
      </w:r>
      <w:r>
        <w:rPr>
          <w:b w:val="0"/>
          <w:i w:val="0"/>
        </w:rPr>
        <w:t xml:space="preserve"> Printed forms: </w:t>
      </w:r>
      <w:r>
        <w:rPr>
          <w:b w:val="0"/>
          <w:i/>
        </w:rPr>
        <w:t>alit</w:t>
      </w:r>
      <w:r>
        <w:rPr>
          <w:b w:val="0"/>
          <w:i w:val="0"/>
        </w:rPr>
        <w:t xml:space="preserve">; </w:t>
      </w:r>
      <w:r>
        <w:rPr>
          <w:b w:val="0"/>
          <w:i/>
        </w:rPr>
        <w:t>digeritque</w:t>
      </w:r>
      <w:r>
        <w:rPr>
          <w:b w:val="0"/>
          <w:i w:val="0"/>
        </w:rPr>
        <w:t xml:space="preserve">; </w:t>
      </w:r>
      <w:r>
        <w:rPr>
          <w:b w:val="0"/>
          <w:i/>
        </w:rPr>
        <w:t>nutrit</w:t>
      </w:r>
      <w:r>
        <w:rPr>
          <w:b w:val="0"/>
          <w:i w:val="0"/>
        </w:rPr>
        <w:t>.</w:t>
      </w:r>
    </w:p>
    <w:p>
      <w:pPr>
        <w:widowControl/>
      </w:pPr>
      <w:r>
        <w:rPr>
          <w:b w:val="0"/>
          <w:i w:val="0"/>
        </w:rPr>
        <w:t xml:space="preserve">To nourish and digest. Soul’s simultaneous bodily maintenance is Ficino’s example of activity without anxious deliberation. References: </w:t>
      </w:r>
      <w:hyperlink w:anchor="passage-ii-8-2">
        <w:r>
          <w:rPr>
            <w:color w:val="000000"/>
          </w:rPr>
          <w:t xml:space="preserve">II.8.2</w:t>
        </w:r>
      </w:hyperlink>
      <w:r>
        <w:rPr>
          <w:b w:val="0"/>
          <w:i w:val="0"/>
        </w:rPr>
        <w:t xml:space="preserve">, </w:t>
      </w:r>
      <w:hyperlink w:anchor="passage-ii-8-5">
        <w:r>
          <w:rPr>
            <w:color w:val="000000"/>
          </w:rPr>
          <w:t xml:space="preserve">II.8.5</w:t>
        </w:r>
      </w:hyperlink>
      <w:r>
        <w:rPr>
          <w:b w:val="0"/>
          <w:i w:val="0"/>
        </w:rPr>
        <w:t xml:space="preserve">. See </w:t>
      </w:r>
      <w:hyperlink w:anchor="nourishment-digestion-and-growth">
        <w:r>
          <w:rPr>
            <w:color w:val="000000"/>
          </w:rPr>
          <w:t xml:space="preserve">Nourishment, digestion and growth</w:t>
        </w:r>
      </w:hyperlink>
      <w:r>
        <w:rPr>
          <w:b w:val="0"/>
          <w:i w:val="0"/>
        </w:rPr>
        <w:t>.</w:t>
      </w:r>
    </w:p>
    <w:p>
      <w:pPr>
        <w:keepNext/>
        <w:widowControl/>
      </w:pPr>
      <w:bookmarkStart w:id="299" w:name="latin-record-0048"/>
      <w:bookmarkEnd w:id="299"/>
      <w:r>
        <w:rPr>
          <w:b/>
          <w:i w:val="0"/>
        </w:rPr>
        <w:t>alias / mitto</w:t>
      </w:r>
      <w:r>
        <w:rPr>
          <w:b/>
          <w:i w:val="0"/>
        </w:rPr>
        <w:t>.</w:t>
      </w:r>
      <w:r>
        <w:rPr>
          <w:b w:val="0"/>
          <w:i w:val="0"/>
        </w:rPr>
        <w:t xml:space="preserve"> Printed forms: </w:t>
      </w:r>
      <w:r>
        <w:rPr>
          <w:b w:val="0"/>
          <w:i/>
        </w:rPr>
        <w:t>alias</w:t>
      </w:r>
      <w:r>
        <w:rPr>
          <w:b w:val="0"/>
          <w:i w:val="0"/>
        </w:rPr>
        <w:t xml:space="preserve">; </w:t>
      </w:r>
      <w:r>
        <w:rPr>
          <w:b w:val="0"/>
          <w:i/>
        </w:rPr>
        <w:t>Mitto</w:t>
      </w:r>
      <w:r>
        <w:rPr>
          <w:b w:val="0"/>
          <w:i w:val="0"/>
        </w:rPr>
        <w:t>.</w:t>
      </w:r>
    </w:p>
    <w:p>
      <w:pPr>
        <w:widowControl/>
      </w:pPr>
      <w:r>
        <w:rPr>
          <w:b w:val="0"/>
          <w:i w:val="0"/>
        </w:rPr>
        <w:t xml:space="preserve">Elsewhere; I pass over or leave aside. Ficino expressly defers further arguments about the infinite interval above souls and about motion’s source; a promise is not a demonstration supplied in the present unit. References: </w:t>
      </w:r>
      <w:hyperlink w:anchor="passage-i-3-32">
        <w:r>
          <w:rPr>
            <w:color w:val="000000"/>
          </w:rPr>
          <w:t xml:space="preserve">I.3.32</w:t>
        </w:r>
      </w:hyperlink>
      <w:r>
        <w:rPr>
          <w:b w:val="0"/>
          <w:i w:val="0"/>
        </w:rPr>
        <w:t xml:space="preserve">, </w:t>
      </w:r>
      <w:hyperlink w:anchor="passage-i-5-15">
        <w:r>
          <w:rPr>
            <w:color w:val="000000"/>
          </w:rPr>
          <w:t xml:space="preserve">I.5.15</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300" w:name="latin-record-0049"/>
      <w:bookmarkEnd w:id="300"/>
      <w:r>
        <w:rPr>
          <w:b/>
          <w:i w:val="0"/>
        </w:rPr>
        <w:t>alii quidam / Peripatetici</w:t>
      </w:r>
      <w:r>
        <w:rPr>
          <w:b/>
          <w:i w:val="0"/>
        </w:rPr>
        <w:t>.</w:t>
      </w:r>
      <w:r>
        <w:rPr>
          <w:b w:val="0"/>
          <w:i w:val="0"/>
        </w:rPr>
        <w:t xml:space="preserve"> Printed forms: </w:t>
      </w:r>
      <w:r>
        <w:rPr>
          <w:b w:val="0"/>
          <w:i/>
        </w:rPr>
        <w:t>Alii vero quidam</w:t>
      </w:r>
      <w:r>
        <w:rPr>
          <w:b w:val="0"/>
          <w:i w:val="0"/>
        </w:rPr>
        <w:t xml:space="preserve">; </w:t>
      </w:r>
      <w:r>
        <w:rPr>
          <w:b w:val="0"/>
          <w:i/>
        </w:rPr>
        <w:t>Peripateticos</w:t>
      </w:r>
      <w:r>
        <w:rPr>
          <w:b w:val="0"/>
          <w:i w:val="0"/>
        </w:rPr>
        <w:t>.</w:t>
      </w:r>
    </w:p>
    <w:p>
      <w:pPr>
        <w:widowControl/>
      </w:pPr>
      <w:r>
        <w:rPr>
          <w:b w:val="0"/>
          <w:i w:val="0"/>
        </w:rPr>
        <w:t xml:space="preserve">Certain other thinkers, and the Peripatetics in a specifically attributed account. Ficino shifts from Plotinus’s account to a distinction allowing quality some action on its own and other matter; the shift must not be flattened into one doctrine. References: </w:t>
      </w:r>
      <w:hyperlink w:anchor="passage-i-3-19">
        <w:r>
          <w:rPr>
            <w:color w:val="000000"/>
          </w:rPr>
          <w:t xml:space="preserve">I.3.19</w:t>
        </w:r>
      </w:hyperlink>
      <w:r>
        <w:rPr>
          <w:b w:val="0"/>
          <w:i w:val="0"/>
        </w:rPr>
        <w:t xml:space="preserve">. See </w:t>
      </w:r>
      <w:hyperlink w:anchor="quality">
        <w:r>
          <w:rPr>
            <w:color w:val="000000"/>
          </w:rPr>
          <w:t xml:space="preserve">Quality</w:t>
        </w:r>
      </w:hyperlink>
      <w:r>
        <w:rPr>
          <w:b w:val="0"/>
          <w:i w:val="0"/>
        </w:rPr>
        <w:t>.</w:t>
      </w:r>
    </w:p>
    <w:p>
      <w:pPr>
        <w:keepNext/>
        <w:widowControl/>
      </w:pPr>
      <w:bookmarkStart w:id="301" w:name="latin-record-0050"/>
      <w:bookmarkEnd w:id="301"/>
      <w:r>
        <w:rPr>
          <w:b/>
          <w:i w:val="0"/>
        </w:rPr>
        <w:t>alimentum / providere</w:t>
      </w:r>
      <w:r>
        <w:rPr>
          <w:b/>
          <w:i w:val="0"/>
        </w:rPr>
        <w:t>.</w:t>
      </w:r>
      <w:r>
        <w:rPr>
          <w:b w:val="0"/>
          <w:i w:val="0"/>
        </w:rPr>
        <w:t xml:space="preserve"> Printed forms: </w:t>
      </w:r>
      <w:r>
        <w:rPr>
          <w:b w:val="0"/>
          <w:i/>
        </w:rPr>
        <w:t>alimenta</w:t>
      </w:r>
      <w:r>
        <w:rPr>
          <w:b w:val="0"/>
          <w:i w:val="0"/>
        </w:rPr>
        <w:t xml:space="preserve">; </w:t>
      </w:r>
      <w:r>
        <w:rPr>
          <w:b w:val="0"/>
          <w:i/>
        </w:rPr>
        <w:t>providisses</w:t>
      </w:r>
      <w:r>
        <w:rPr>
          <w:b w:val="0"/>
          <w:i w:val="0"/>
        </w:rPr>
        <w:t xml:space="preserve">; </w:t>
      </w:r>
      <w:r>
        <w:rPr>
          <w:b w:val="0"/>
          <w:i/>
        </w:rPr>
        <w:t>provisa</w:t>
      </w:r>
      <w:r>
        <w:rPr>
          <w:b w:val="0"/>
          <w:i w:val="0"/>
        </w:rPr>
        <w:t xml:space="preserve">; </w:t>
      </w:r>
      <w:r>
        <w:rPr>
          <w:b w:val="0"/>
          <w:i/>
        </w:rPr>
        <w:t>provisurus</w:t>
      </w:r>
      <w:r>
        <w:rPr>
          <w:b w:val="0"/>
          <w:i w:val="0"/>
        </w:rPr>
        <w:t>.</w:t>
      </w:r>
    </w:p>
    <w:p>
      <w:pPr>
        <w:widowControl/>
      </w:pPr>
      <w:r>
        <w:rPr>
          <w:b w:val="0"/>
          <w:i w:val="0"/>
        </w:rPr>
        <w:t xml:space="preserve">Nourishment / make provision. Food, places, and seasons are part of providence’s concrete supply; foresight alone does not capture this use. References: </w:t>
      </w:r>
      <w:hyperlink w:anchor="passage-ii-13-16">
        <w:r>
          <w:rPr>
            <w:color w:val="000000"/>
          </w:rPr>
          <w:t xml:space="preserve">II.13.16</w:t>
        </w:r>
      </w:hyperlink>
      <w:r>
        <w:rPr>
          <w:b w:val="0"/>
          <w:i w:val="0"/>
        </w:rPr>
        <w:t xml:space="preserve">, </w:t>
      </w:r>
      <w:hyperlink w:anchor="passage-ii-13-17">
        <w:r>
          <w:rPr>
            <w:color w:val="000000"/>
          </w:rPr>
          <w:t xml:space="preserve">II.13.17</w:t>
        </w:r>
      </w:hyperlink>
      <w:r>
        <w:rPr>
          <w:b w:val="0"/>
          <w:i w:val="0"/>
        </w:rPr>
        <w:t xml:space="preserve">. See </w:t>
      </w:r>
      <w:hyperlink w:anchor="nourishment-and-provision">
        <w:r>
          <w:rPr>
            <w:color w:val="000000"/>
          </w:rPr>
          <w:t xml:space="preserve">Providential provision</w:t>
        </w:r>
      </w:hyperlink>
      <w:r>
        <w:rPr>
          <w:b w:val="0"/>
          <w:i w:val="0"/>
        </w:rPr>
        <w:t>.</w:t>
      </w:r>
    </w:p>
    <w:p>
      <w:pPr>
        <w:keepNext/>
        <w:widowControl/>
      </w:pPr>
      <w:bookmarkStart w:id="302" w:name="latin-record-0051"/>
      <w:bookmarkEnd w:id="302"/>
      <w:r>
        <w:rPr>
          <w:b/>
          <w:i w:val="0"/>
        </w:rPr>
        <w:t>alit / auget / generat</w:t>
      </w:r>
      <w:r>
        <w:rPr>
          <w:b/>
          <w:i w:val="0"/>
        </w:rPr>
        <w:t>.</w:t>
      </w:r>
      <w:r>
        <w:rPr>
          <w:b w:val="0"/>
          <w:i w:val="0"/>
        </w:rPr>
        <w:t xml:space="preserve"> Printed forms: </w:t>
      </w:r>
      <w:r>
        <w:rPr>
          <w:b w:val="0"/>
          <w:i/>
        </w:rPr>
        <w:t>alit</w:t>
      </w:r>
      <w:r>
        <w:rPr>
          <w:b w:val="0"/>
          <w:i w:val="0"/>
        </w:rPr>
        <w:t xml:space="preserve">; </w:t>
      </w:r>
      <w:r>
        <w:rPr>
          <w:b w:val="0"/>
          <w:i/>
        </w:rPr>
        <w:t>auget</w:t>
      </w:r>
      <w:r>
        <w:rPr>
          <w:b w:val="0"/>
          <w:i w:val="0"/>
        </w:rPr>
        <w:t xml:space="preserve">; </w:t>
      </w:r>
      <w:r>
        <w:rPr>
          <w:b w:val="0"/>
          <w:i/>
        </w:rPr>
        <w:t>generat</w:t>
      </w:r>
      <w:r>
        <w:rPr>
          <w:b w:val="0"/>
          <w:i w:val="0"/>
        </w:rPr>
        <w:t>.</w:t>
      </w:r>
    </w:p>
    <w:p>
      <w:pPr>
        <w:widowControl/>
      </w:pPr>
      <w:r>
        <w:rPr>
          <w:b w:val="0"/>
          <w:i w:val="0"/>
        </w:rPr>
        <w:t xml:space="preserve">Nourishes, enlarges and generates. These bodily life-operations occur over time and therefore show changing activity despite the soul’s stable essence. References: </w:t>
      </w:r>
      <w:hyperlink w:anchor="passage-i-5-1">
        <w:r>
          <w:rPr>
            <w:color w:val="000000"/>
          </w:rPr>
          <w:t xml:space="preserve">I.5.1</w:t>
        </w:r>
      </w:hyperlink>
      <w:r>
        <w:rPr>
          <w:b w:val="0"/>
          <w:i w:val="0"/>
        </w:rPr>
        <w:t xml:space="preserve">. See </w:t>
      </w:r>
      <w:hyperlink w:anchor="nourishment-digestion-and-growth">
        <w:r>
          <w:rPr>
            <w:color w:val="000000"/>
          </w:rPr>
          <w:t xml:space="preserve">Nourishment, digestion and growth</w:t>
        </w:r>
      </w:hyperlink>
      <w:r>
        <w:rPr>
          <w:b w:val="0"/>
          <w:i w:val="0"/>
        </w:rPr>
        <w:t>.</w:t>
      </w:r>
    </w:p>
    <w:p>
      <w:pPr>
        <w:keepNext/>
        <w:widowControl/>
      </w:pPr>
      <w:bookmarkStart w:id="303" w:name="latin-record-0052"/>
      <w:bookmarkEnd w:id="303"/>
      <w:r>
        <w:rPr>
          <w:b/>
          <w:i w:val="0"/>
        </w:rPr>
        <w:t>aliunde</w:t>
      </w:r>
      <w:r>
        <w:rPr>
          <w:b/>
          <w:i w:val="0"/>
        </w:rPr>
        <w:t>.</w:t>
      </w:r>
      <w:r>
        <w:rPr>
          <w:b w:val="0"/>
          <w:i w:val="0"/>
        </w:rPr>
        <w:t xml:space="preserve"> Printed forms: </w:t>
      </w:r>
      <w:r>
        <w:rPr>
          <w:b w:val="0"/>
          <w:i/>
        </w:rPr>
        <w:t>aliunde</w:t>
      </w:r>
      <w:r>
        <w:rPr>
          <w:b w:val="0"/>
          <w:i w:val="0"/>
        </w:rPr>
        <w:t>.</w:t>
      </w:r>
    </w:p>
    <w:p>
      <w:pPr>
        <w:widowControl/>
      </w:pPr>
      <w:r>
        <w:rPr>
          <w:b w:val="0"/>
          <w:i w:val="0"/>
        </w:rPr>
        <w:t xml:space="preserve">From elsewhere or another source. Quality supplies motion only insofar as it receives motion, leaving the source of its efficacy to be explained. References: </w:t>
      </w:r>
      <w:hyperlink w:anchor="passage-iv-1-58">
        <w:r>
          <w:rPr>
            <w:color w:val="000000"/>
          </w:rPr>
          <w:t xml:space="preserve">IV.1.58</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304" w:name="latin-record-0053"/>
      <w:bookmarkEnd w:id="304"/>
      <w:r>
        <w:rPr>
          <w:b/>
          <w:i w:val="0"/>
        </w:rPr>
        <w:t>alius / idem / uterque — explanatory distinction</w:t>
      </w:r>
      <w:r>
        <w:rPr>
          <w:b/>
          <w:i w:val="0"/>
        </w:rPr>
        <w:t>.</w:t>
      </w:r>
      <w:r>
        <w:rPr>
          <w:b w:val="0"/>
          <w:i w:val="0"/>
        </w:rPr>
        <w:t xml:space="preserve"> Printed forms: </w:t>
      </w:r>
      <w:r>
        <w:rPr>
          <w:b w:val="0"/>
          <w:i/>
        </w:rPr>
        <w:t>alio</w:t>
      </w:r>
      <w:r>
        <w:rPr>
          <w:b w:val="0"/>
          <w:i w:val="0"/>
        </w:rPr>
        <w:t xml:space="preserve">; </w:t>
      </w:r>
      <w:r>
        <w:rPr>
          <w:b w:val="0"/>
          <w:i/>
        </w:rPr>
        <w:t>aliud</w:t>
      </w:r>
      <w:r>
        <w:rPr>
          <w:b w:val="0"/>
          <w:i w:val="0"/>
        </w:rPr>
        <w:t xml:space="preserve">; </w:t>
      </w:r>
      <w:r>
        <w:rPr>
          <w:b w:val="0"/>
          <w:i/>
        </w:rPr>
        <w:t>Idem</w:t>
      </w:r>
      <w:r>
        <w:rPr>
          <w:b w:val="0"/>
          <w:i w:val="0"/>
        </w:rPr>
        <w:t xml:space="preserve">; </w:t>
      </w:r>
      <w:r>
        <w:rPr>
          <w:b w:val="0"/>
          <w:i/>
        </w:rPr>
        <w:t>utrumque</w:t>
      </w:r>
      <w:r>
        <w:rPr>
          <w:b w:val="0"/>
          <w:i w:val="0"/>
        </w:rPr>
        <w:t>.</w:t>
      </w:r>
    </w:p>
    <w:p>
      <w:pPr>
        <w:widowControl/>
      </w:pPr>
      <w:r>
        <w:rPr>
          <w:b w:val="0"/>
          <w:i w:val="0"/>
        </w:rPr>
        <w:t xml:space="preserve">Other / the same / both. Distinguishing giver and recipient or nature and intelligence can introduce explanatory roles without asserting separate substances in God. References: </w:t>
      </w:r>
      <w:hyperlink w:anchor="passage-ii-11-11">
        <w:r>
          <w:rPr>
            <w:color w:val="000000"/>
          </w:rPr>
          <w:t xml:space="preserve">II.11.11</w:t>
        </w:r>
      </w:hyperlink>
      <w:r>
        <w:rPr>
          <w:b w:val="0"/>
          <w:i w:val="0"/>
        </w:rPr>
        <w:t xml:space="preserve">, </w:t>
      </w:r>
      <w:hyperlink w:anchor="passage-ii-11-14">
        <w:r>
          <w:rPr>
            <w:color w:val="000000"/>
          </w:rPr>
          <w:t xml:space="preserve">II.11.14</w:t>
        </w:r>
      </w:hyperlink>
      <w:r>
        <w:rPr>
          <w:b w:val="0"/>
          <w:i w:val="0"/>
        </w:rPr>
        <w:t xml:space="preserve">, </w:t>
      </w:r>
      <w:hyperlink w:anchor="passage-iii-1-21">
        <w:r>
          <w:rPr>
            <w:color w:val="000000"/>
          </w:rPr>
          <w:t xml:space="preserve">III.1.21</w:t>
        </w:r>
      </w:hyperlink>
      <w:r>
        <w:rPr>
          <w:b w:val="0"/>
          <w:i w:val="0"/>
        </w:rPr>
        <w:t xml:space="preserve">. See </w:t>
      </w:r>
      <w:hyperlink w:anchor="simplicity-and-composition">
        <w:r>
          <w:rPr>
            <w:color w:val="000000"/>
          </w:rPr>
          <w:t xml:space="preserve">Simplicity and composition</w:t>
        </w:r>
      </w:hyperlink>
      <w:r>
        <w:rPr>
          <w:b w:val="0"/>
          <w:i w:val="0"/>
        </w:rPr>
        <w:t>.</w:t>
      </w:r>
    </w:p>
    <w:p>
      <w:pPr>
        <w:keepNext/>
        <w:widowControl/>
      </w:pPr>
      <w:bookmarkStart w:id="305" w:name="latin-record-0054"/>
      <w:bookmarkEnd w:id="305"/>
      <w:r>
        <w:rPr>
          <w:b/>
          <w:i w:val="0"/>
        </w:rPr>
        <w:t>allicere / cogere / persuadere</w:t>
      </w:r>
      <w:r>
        <w:rPr>
          <w:b/>
          <w:i w:val="0"/>
        </w:rPr>
        <w:t>.</w:t>
      </w:r>
      <w:r>
        <w:rPr>
          <w:b w:val="0"/>
          <w:i w:val="0"/>
        </w:rPr>
        <w:t xml:space="preserve"> Printed forms: </w:t>
      </w:r>
      <w:r>
        <w:rPr>
          <w:b w:val="0"/>
          <w:i/>
        </w:rPr>
        <w:t>alliciat</w:t>
      </w:r>
      <w:r>
        <w:rPr>
          <w:b w:val="0"/>
          <w:i w:val="0"/>
        </w:rPr>
        <w:t xml:space="preserve">; </w:t>
      </w:r>
      <w:r>
        <w:rPr>
          <w:b w:val="0"/>
          <w:i/>
        </w:rPr>
        <w:t>cogat</w:t>
      </w:r>
      <w:r>
        <w:rPr>
          <w:b w:val="0"/>
          <w:i w:val="0"/>
        </w:rPr>
        <w:t xml:space="preserve">; </w:t>
      </w:r>
      <w:r>
        <w:rPr>
          <w:b w:val="0"/>
          <w:i/>
        </w:rPr>
        <w:t>cogit</w:t>
      </w:r>
      <w:r>
        <w:rPr>
          <w:b w:val="0"/>
          <w:i w:val="0"/>
        </w:rPr>
        <w:t xml:space="preserve">; </w:t>
      </w:r>
      <w:r>
        <w:rPr>
          <w:b w:val="0"/>
          <w:i/>
        </w:rPr>
        <w:t>persuadeat</w:t>
      </w:r>
      <w:r>
        <w:rPr>
          <w:b w:val="0"/>
          <w:i w:val="0"/>
        </w:rPr>
        <w:t>.</w:t>
      </w:r>
    </w:p>
    <w:p>
      <w:pPr>
        <w:widowControl/>
      </w:pPr>
      <w:r>
        <w:rPr>
          <w:b w:val="0"/>
          <w:i w:val="0"/>
        </w:rPr>
        <w:t xml:space="preserve">Attract / compel / persuade. Persuasion preserves soul’s free manner, while the subsequent qualified compulsion concerns willing goodness itself. References: </w:t>
      </w:r>
      <w:hyperlink w:anchor="passage-ii-13-26">
        <w:r>
          <w:rPr>
            <w:color w:val="000000"/>
          </w:rPr>
          <w:t xml:space="preserve">II.13.26</w:t>
        </w:r>
      </w:hyperlink>
      <w:r>
        <w:rPr>
          <w:b w:val="0"/>
          <w:i w:val="0"/>
        </w:rPr>
        <w:t xml:space="preserve">, </w:t>
      </w:r>
      <w:hyperlink w:anchor="passage-ii-13-28">
        <w:r>
          <w:rPr>
            <w:color w:val="000000"/>
          </w:rPr>
          <w:t xml:space="preserve">II.13.28</w:t>
        </w:r>
      </w:hyperlink>
      <w:r>
        <w:rPr>
          <w:b w:val="0"/>
          <w:i w:val="0"/>
        </w:rPr>
        <w:t xml:space="preserve">. See </w:t>
      </w:r>
      <w:hyperlink w:anchor="persuasion-and-compulsion">
        <w:r>
          <w:rPr>
            <w:color w:val="000000"/>
          </w:rPr>
          <w:t xml:space="preserve">Persuasion and compulsion</w:t>
        </w:r>
      </w:hyperlink>
      <w:r>
        <w:rPr>
          <w:b w:val="0"/>
          <w:i w:val="0"/>
        </w:rPr>
        <w:t>.</w:t>
      </w:r>
    </w:p>
    <w:p>
      <w:pPr>
        <w:keepNext/>
        <w:widowControl/>
      </w:pPr>
      <w:bookmarkStart w:id="306" w:name="latin-record-0055"/>
      <w:bookmarkEnd w:id="306"/>
      <w:r>
        <w:rPr>
          <w:b/>
          <w:i w:val="0"/>
        </w:rPr>
        <w:t>Almariani</w:t>
      </w:r>
      <w:r>
        <w:rPr>
          <w:b/>
          <w:i w:val="0"/>
        </w:rPr>
        <w:t>.</w:t>
      </w:r>
      <w:r>
        <w:rPr>
          <w:b w:val="0"/>
          <w:i w:val="0"/>
        </w:rPr>
        <w:t xml:space="preserve"> Printed forms: </w:t>
      </w:r>
      <w:r>
        <w:rPr>
          <w:b w:val="0"/>
          <w:i/>
        </w:rPr>
        <w:t>Almariani</w:t>
      </w:r>
      <w:r>
        <w:rPr>
          <w:b w:val="0"/>
          <w:i w:val="0"/>
        </w:rPr>
        <w:t>.</w:t>
      </w:r>
    </w:p>
    <w:p>
      <w:pPr>
        <w:widowControl/>
      </w:pPr>
      <w:r>
        <w:rPr>
          <w:b w:val="0"/>
          <w:i w:val="0"/>
        </w:rPr>
        <w:t xml:space="preserve">The group named as holding that God and matter form one living being. Ficino rejects the position through the relation of parts to a composite’s further actuality; the name is not conjecturally corrected. References: </w:t>
      </w:r>
      <w:hyperlink w:anchor="passage-iv-1-27">
        <w:r>
          <w:rPr>
            <w:color w:val="000000"/>
          </w:rPr>
          <w:t xml:space="preserve">IV.1.27</w:t>
        </w:r>
      </w:hyperlink>
      <w:r>
        <w:rPr>
          <w:b w:val="0"/>
          <w:i w:val="0"/>
        </w:rPr>
        <w:t xml:space="preserve">. See </w:t>
      </w:r>
      <w:hyperlink w:anchor="strato-chrysippus-and-almariani">
        <w:r>
          <w:rPr>
            <w:color w:val="000000"/>
          </w:rPr>
          <w:t xml:space="preserve">Strato, Chrysippus, and the Almariani</w:t>
        </w:r>
      </w:hyperlink>
      <w:r>
        <w:rPr>
          <w:b w:val="0"/>
          <w:i w:val="0"/>
        </w:rPr>
        <w:t>.</w:t>
      </w:r>
    </w:p>
    <w:p>
      <w:pPr>
        <w:keepNext/>
        <w:widowControl/>
      </w:pPr>
      <w:bookmarkStart w:id="307" w:name="latin-record-0056"/>
      <w:bookmarkEnd w:id="307"/>
      <w:r>
        <w:rPr>
          <w:b/>
          <w:i w:val="0"/>
        </w:rPr>
        <w:t>amare / amor</w:t>
      </w:r>
      <w:r>
        <w:rPr>
          <w:b/>
          <w:i w:val="0"/>
        </w:rPr>
        <w:t>.</w:t>
      </w:r>
      <w:r>
        <w:rPr>
          <w:b w:val="0"/>
          <w:i w:val="0"/>
        </w:rPr>
        <w:t xml:space="preserve"> Printed forms: </w:t>
      </w:r>
      <w:r>
        <w:rPr>
          <w:b w:val="0"/>
          <w:i/>
        </w:rPr>
        <w:t>amari</w:t>
      </w:r>
      <w:r>
        <w:rPr>
          <w:b w:val="0"/>
          <w:i w:val="0"/>
        </w:rPr>
        <w:t xml:space="preserve">; </w:t>
      </w:r>
      <w:r>
        <w:rPr>
          <w:b w:val="0"/>
          <w:i/>
        </w:rPr>
        <w:t>amorem</w:t>
      </w:r>
      <w:r>
        <w:rPr>
          <w:b w:val="0"/>
          <w:i w:val="0"/>
        </w:rPr>
        <w:t>.</w:t>
      </w:r>
    </w:p>
    <w:p>
      <w:pPr>
        <w:widowControl/>
      </w:pPr>
      <w:r>
        <w:rPr>
          <w:b w:val="0"/>
          <w:i w:val="0"/>
        </w:rPr>
        <w:t xml:space="preserve">To love; love as orientation toward or expression of goodness. The first principle’s goodness is aligned with love in the Johannine theological comparison. References: </w:t>
      </w:r>
      <w:hyperlink w:anchor="passage-ii-1-7">
        <w:r>
          <w:rPr>
            <w:color w:val="000000"/>
          </w:rPr>
          <w:t xml:space="preserve">II.1.7</w:t>
        </w:r>
      </w:hyperlink>
      <w:r>
        <w:rPr>
          <w:b w:val="0"/>
          <w:i w:val="0"/>
        </w:rPr>
        <w:t xml:space="preserve">, </w:t>
      </w:r>
      <w:hyperlink w:anchor="passage-ii-3-10">
        <w:r>
          <w:rPr>
            <w:color w:val="000000"/>
          </w:rPr>
          <w:t xml:space="preserve">II.3.10</w:t>
        </w:r>
      </w:hyperlink>
      <w:r>
        <w:rPr>
          <w:b w:val="0"/>
          <w:i w:val="0"/>
        </w:rPr>
        <w:t xml:space="preserve">. See </w:t>
      </w:r>
      <w:hyperlink w:anchor="love-and-pleasure">
        <w:r>
          <w:rPr>
            <w:color w:val="000000"/>
          </w:rPr>
          <w:t xml:space="preserve">Love and pleasure</w:t>
        </w:r>
      </w:hyperlink>
      <w:r>
        <w:rPr>
          <w:b w:val="0"/>
          <w:i w:val="0"/>
        </w:rPr>
        <w:t>.</w:t>
      </w:r>
    </w:p>
    <w:p>
      <w:pPr>
        <w:keepNext/>
        <w:widowControl/>
      </w:pPr>
      <w:bookmarkStart w:id="308" w:name="latin-record-0057"/>
      <w:bookmarkEnd w:id="308"/>
      <w:r>
        <w:rPr>
          <w:b/>
          <w:i w:val="0"/>
        </w:rPr>
        <w:t>ambigere</w:t>
      </w:r>
      <w:r>
        <w:rPr>
          <w:b/>
          <w:i w:val="0"/>
        </w:rPr>
        <w:t>.</w:t>
      </w:r>
      <w:r>
        <w:rPr>
          <w:b w:val="0"/>
          <w:i w:val="0"/>
        </w:rPr>
        <w:t xml:space="preserve"> Printed forms: </w:t>
      </w:r>
      <w:r>
        <w:rPr>
          <w:b w:val="0"/>
          <w:i/>
        </w:rPr>
        <w:t>ambigere</w:t>
      </w:r>
      <w:r>
        <w:rPr>
          <w:b w:val="0"/>
          <w:i w:val="0"/>
        </w:rPr>
        <w:t xml:space="preserve">; </w:t>
      </w:r>
      <w:r>
        <w:rPr>
          <w:b w:val="0"/>
          <w:i/>
        </w:rPr>
        <w:t>ambiguus</w:t>
      </w:r>
      <w:r>
        <w:rPr>
          <w:b w:val="0"/>
          <w:i w:val="0"/>
        </w:rPr>
        <w:t>.</w:t>
      </w:r>
    </w:p>
    <w:p>
      <w:pPr>
        <w:widowControl/>
      </w:pPr>
      <w:r>
        <w:rPr>
          <w:b w:val="0"/>
          <w:i w:val="0"/>
        </w:rPr>
        <w:t xml:space="preserve">Be uncertain or in doubt. Ficino claims the newly seen order would remove the imagined observer’s previous doubt about providence. References: </w:t>
      </w:r>
      <w:hyperlink w:anchor="passage-ii-13-20">
        <w:r>
          <w:rPr>
            <w:color w:val="000000"/>
          </w:rPr>
          <w:t xml:space="preserve">II.13.20</w:t>
        </w:r>
      </w:hyperlink>
      <w:r>
        <w:rPr>
          <w:b w:val="0"/>
          <w:i w:val="0"/>
        </w:rPr>
        <w:t xml:space="preserve">. See </w:t>
      </w:r>
      <w:hyperlink w:anchor="wonder-and-familiarity">
        <w:r>
          <w:rPr>
            <w:color w:val="000000"/>
          </w:rPr>
          <w:t xml:space="preserve">Wonder and familiarity</w:t>
        </w:r>
      </w:hyperlink>
      <w:r>
        <w:rPr>
          <w:b w:val="0"/>
          <w:i w:val="0"/>
        </w:rPr>
        <w:t>.</w:t>
      </w:r>
    </w:p>
    <w:p>
      <w:pPr>
        <w:keepNext/>
        <w:widowControl/>
      </w:pPr>
      <w:bookmarkStart w:id="309" w:name="latin-record-0058"/>
      <w:bookmarkEnd w:id="309"/>
      <w:r>
        <w:rPr>
          <w:b/>
          <w:i w:val="0"/>
        </w:rPr>
        <w:t>ambigere / disserere</w:t>
      </w:r>
      <w:r>
        <w:rPr>
          <w:b/>
          <w:i w:val="0"/>
        </w:rPr>
        <w:t>.</w:t>
      </w:r>
      <w:r>
        <w:rPr>
          <w:b w:val="0"/>
          <w:i w:val="0"/>
        </w:rPr>
        <w:t xml:space="preserve"> Printed forms: </w:t>
      </w:r>
      <w:r>
        <w:rPr>
          <w:b w:val="0"/>
          <w:i/>
        </w:rPr>
        <w:t>ambigunt</w:t>
      </w:r>
      <w:r>
        <w:rPr>
          <w:b w:val="0"/>
          <w:i w:val="0"/>
        </w:rPr>
        <w:t xml:space="preserve">; </w:t>
      </w:r>
      <w:r>
        <w:rPr>
          <w:b w:val="0"/>
          <w:i/>
        </w:rPr>
        <w:t>disseruerunt</w:t>
      </w:r>
      <w:r>
        <w:rPr>
          <w:b w:val="0"/>
          <w:i w:val="0"/>
        </w:rPr>
        <w:t>.</w:t>
      </w:r>
    </w:p>
    <w:p>
      <w:pPr>
        <w:widowControl/>
      </w:pPr>
      <w:r>
        <w:rPr>
          <w:b w:val="0"/>
          <w:i w:val="0"/>
        </w:rPr>
        <w:t xml:space="preserve">To doubt; to discuss or argue about. Ancient Peripatetic silence on elemental life is distinguished from the doubts of some later Peripatetics. References: </w:t>
      </w:r>
      <w:hyperlink w:anchor="passage-iv-1-89">
        <w:r>
          <w:rPr>
            <w:color w:val="000000"/>
          </w:rPr>
          <w:t xml:space="preserve">IV.1.89</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310" w:name="latin-record-0059"/>
      <w:bookmarkEnd w:id="310"/>
      <w:r>
        <w:rPr>
          <w:b/>
          <w:i w:val="0"/>
        </w:rPr>
        <w:t>amittere / delere</w:t>
      </w:r>
      <w:r>
        <w:rPr>
          <w:b/>
          <w:i w:val="0"/>
        </w:rPr>
        <w:t>.</w:t>
      </w:r>
      <w:r>
        <w:rPr>
          <w:b w:val="0"/>
          <w:i w:val="0"/>
        </w:rPr>
        <w:t xml:space="preserve"> Printed forms: </w:t>
      </w:r>
      <w:r>
        <w:rPr>
          <w:b w:val="0"/>
          <w:i/>
        </w:rPr>
        <w:t>amittitur</w:t>
      </w:r>
      <w:r>
        <w:rPr>
          <w:b w:val="0"/>
          <w:i w:val="0"/>
        </w:rPr>
        <w:t xml:space="preserve">; </w:t>
      </w:r>
      <w:r>
        <w:rPr>
          <w:b w:val="0"/>
          <w:i/>
        </w:rPr>
        <w:t>deletur</w:t>
      </w:r>
      <w:r>
        <w:rPr>
          <w:b w:val="0"/>
          <w:i w:val="0"/>
        </w:rPr>
        <w:t>.</w:t>
      </w:r>
    </w:p>
    <w:p>
      <w:pPr>
        <w:widowControl/>
      </w:pPr>
      <w:r>
        <w:rPr>
          <w:b w:val="0"/>
          <w:i w:val="0"/>
        </w:rPr>
        <w:t xml:space="preserve">To lose or efface. Specific determinations are lost before being; the first cause’s trace is erased later than subordinate traces. References: </w:t>
      </w:r>
      <w:hyperlink w:anchor="passage-ii-7-21">
        <w:r>
          <w:rPr>
            <w:color w:val="000000"/>
          </w:rPr>
          <w:t xml:space="preserve">II.7.21</w:t>
        </w:r>
      </w:hyperlink>
      <w:r>
        <w:rPr>
          <w:b w:val="0"/>
          <w:i w:val="0"/>
        </w:rPr>
        <w:t xml:space="preserve">, </w:t>
      </w:r>
      <w:hyperlink w:anchor="passage-ii-7-29">
        <w:r>
          <w:rPr>
            <w:color w:val="000000"/>
          </w:rPr>
          <w:t xml:space="preserve">II.7.29</w:t>
        </w:r>
      </w:hyperlink>
      <w:r>
        <w:rPr>
          <w:b w:val="0"/>
          <w:i w:val="0"/>
        </w:rPr>
        <w:t xml:space="preserve">, </w:t>
      </w:r>
      <w:hyperlink w:anchor="passage-ii-7-32">
        <w:r>
          <w:rPr>
            <w:color w:val="000000"/>
          </w:rPr>
          <w:t xml:space="preserve">II.7.32</w:t>
        </w:r>
      </w:hyperlink>
      <w:r>
        <w:rPr>
          <w:b w:val="0"/>
          <w:i w:val="0"/>
        </w:rPr>
        <w:t xml:space="preserve">. See </w:t>
      </w:r>
      <w:hyperlink w:anchor="impression-and-effacement">
        <w:r>
          <w:rPr>
            <w:color w:val="000000"/>
          </w:rPr>
          <w:t xml:space="preserve">Impression and effacement</w:t>
        </w:r>
      </w:hyperlink>
      <w:r>
        <w:rPr>
          <w:b w:val="0"/>
          <w:i w:val="0"/>
        </w:rPr>
        <w:t>.</w:t>
      </w:r>
    </w:p>
    <w:p>
      <w:pPr>
        <w:keepNext/>
        <w:widowControl/>
      </w:pPr>
      <w:bookmarkStart w:id="311" w:name="latin-record-0060"/>
      <w:bookmarkEnd w:id="311"/>
      <w:r>
        <w:rPr>
          <w:b/>
          <w:i w:val="0"/>
        </w:rPr>
        <w:t>amitto</w:t>
      </w:r>
      <w:r>
        <w:rPr>
          <w:b/>
          <w:i w:val="0"/>
        </w:rPr>
        <w:t>.</w:t>
      </w:r>
      <w:r>
        <w:rPr>
          <w:b w:val="0"/>
          <w:i w:val="0"/>
        </w:rPr>
        <w:t xml:space="preserve"> Printed forms: </w:t>
      </w:r>
      <w:r>
        <w:rPr>
          <w:b w:val="0"/>
          <w:i/>
        </w:rPr>
        <w:t>amittere</w:t>
      </w:r>
      <w:r>
        <w:rPr>
          <w:b w:val="0"/>
          <w:i w:val="0"/>
        </w:rPr>
        <w:t>.</w:t>
      </w:r>
    </w:p>
    <w:p>
      <w:pPr>
        <w:widowControl/>
      </w:pPr>
      <w:r>
        <w:rPr>
          <w:b w:val="0"/>
          <w:i w:val="0"/>
        </w:rPr>
        <w:t xml:space="preserve">To lose or let go of. The supplied I.5.9 says a thing lacking persistence, when admitting rest, loses motion; the apparatus explains this difficult sentence without changing its printed wording. References: </w:t>
      </w:r>
      <w:hyperlink w:anchor="passage-i-5-9">
        <w:r>
          <w:rPr>
            <w:color w:val="000000"/>
          </w:rPr>
          <w:t xml:space="preserve">I.5.9</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312" w:name="latin-record-0061"/>
      <w:bookmarkEnd w:id="312"/>
      <w:r>
        <w:rPr>
          <w:b/>
          <w:i w:val="0"/>
        </w:rPr>
        <w:t>amplecti</w:t>
      </w:r>
      <w:r>
        <w:rPr>
          <w:b/>
          <w:i w:val="0"/>
        </w:rPr>
        <w:t>.</w:t>
      </w:r>
      <w:r>
        <w:rPr>
          <w:b w:val="0"/>
          <w:i w:val="0"/>
        </w:rPr>
        <w:t xml:space="preserve"> Printed forms: </w:t>
      </w:r>
      <w:r>
        <w:rPr>
          <w:b w:val="0"/>
          <w:i/>
        </w:rPr>
        <w:t>amplectitur</w:t>
      </w:r>
      <w:r>
        <w:rPr>
          <w:b w:val="0"/>
          <w:i w:val="0"/>
        </w:rPr>
        <w:t>.</w:t>
      </w:r>
    </w:p>
    <w:p>
      <w:pPr>
        <w:widowControl/>
      </w:pPr>
      <w:r>
        <w:rPr>
          <w:b w:val="0"/>
          <w:i w:val="0"/>
        </w:rPr>
        <w:t xml:space="preserve">To embrace or welcome a teaching. Amelius is said gladly to embrace John’s theology; the verb reports reception, not the details of a lost textual exchange. References: </w:t>
      </w:r>
      <w:hyperlink w:anchor="passage-ii-3-10">
        <w:r>
          <w:rPr>
            <w:color w:val="000000"/>
          </w:rPr>
          <w:t xml:space="preserve">II.3.10</w:t>
        </w:r>
      </w:hyperlink>
      <w:r>
        <w:rPr>
          <w:b w:val="0"/>
          <w:i w:val="0"/>
        </w:rPr>
        <w:t xml:space="preserve">. See </w:t>
      </w:r>
      <w:hyperlink w:anchor="john-and-amelius">
        <w:r>
          <w:rPr>
            <w:color w:val="000000"/>
          </w:rPr>
          <w:t xml:space="preserve">John and Amelius</w:t>
        </w:r>
      </w:hyperlink>
      <w:r>
        <w:rPr>
          <w:b w:val="0"/>
          <w:i w:val="0"/>
        </w:rPr>
        <w:t>.</w:t>
      </w:r>
    </w:p>
    <w:p>
      <w:pPr>
        <w:keepNext/>
        <w:widowControl/>
      </w:pPr>
      <w:bookmarkStart w:id="313" w:name="latin-record-0062"/>
      <w:bookmarkEnd w:id="313"/>
      <w:r>
        <w:rPr>
          <w:b/>
          <w:i w:val="0"/>
        </w:rPr>
        <w:t>amplificare / porrigere</w:t>
      </w:r>
      <w:r>
        <w:rPr>
          <w:b/>
          <w:i w:val="0"/>
        </w:rPr>
        <w:t>.</w:t>
      </w:r>
      <w:r>
        <w:rPr>
          <w:b w:val="0"/>
          <w:i w:val="0"/>
        </w:rPr>
        <w:t xml:space="preserve"> Printed forms: </w:t>
      </w:r>
      <w:r>
        <w:rPr>
          <w:b w:val="0"/>
          <w:i/>
        </w:rPr>
        <w:t>amplificare</w:t>
      </w:r>
      <w:r>
        <w:rPr>
          <w:b w:val="0"/>
          <w:i w:val="0"/>
        </w:rPr>
        <w:t xml:space="preserve">; </w:t>
      </w:r>
      <w:r>
        <w:rPr>
          <w:b w:val="0"/>
          <w:i/>
        </w:rPr>
        <w:t>amplificari</w:t>
      </w:r>
      <w:r>
        <w:rPr>
          <w:b w:val="0"/>
          <w:i w:val="0"/>
        </w:rPr>
        <w:t xml:space="preserve">; </w:t>
      </w:r>
      <w:r>
        <w:rPr>
          <w:b w:val="0"/>
          <w:i/>
        </w:rPr>
        <w:t>porrigere</w:t>
      </w:r>
      <w:r>
        <w:rPr>
          <w:b w:val="0"/>
          <w:i w:val="0"/>
        </w:rPr>
        <w:t>.</w:t>
      </w:r>
    </w:p>
    <w:p>
      <w:pPr>
        <w:widowControl/>
      </w:pPr>
      <w:r>
        <w:rPr>
          <w:b w:val="0"/>
          <w:i w:val="0"/>
        </w:rPr>
        <w:t xml:space="preserve">Extend or enlarge / stretch out. The spatial verbs figuratively express the range of possible being and divine productive power. References: </w:t>
      </w:r>
      <w:hyperlink w:anchor="passage-ii-12-15">
        <w:r>
          <w:rPr>
            <w:color w:val="000000"/>
          </w:rPr>
          <w:t xml:space="preserve">II.12.15</w:t>
        </w:r>
      </w:hyperlink>
      <w:r>
        <w:rPr>
          <w:b w:val="0"/>
          <w:i w:val="0"/>
        </w:rPr>
        <w:t xml:space="preserve">, </w:t>
      </w:r>
      <w:hyperlink w:anchor="passage-ii-12-17">
        <w:r>
          <w:rPr>
            <w:color w:val="000000"/>
          </w:rPr>
          <w:t xml:space="preserve">II.12.17</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314" w:name="latin-record-0063"/>
      <w:bookmarkEnd w:id="314"/>
      <w:r>
        <w:rPr>
          <w:b/>
          <w:i w:val="0"/>
        </w:rPr>
        <w:t>amplitudo / plenitudo / implere</w:t>
      </w:r>
      <w:r>
        <w:rPr>
          <w:b/>
          <w:i w:val="0"/>
        </w:rPr>
        <w:t>.</w:t>
      </w:r>
      <w:r>
        <w:rPr>
          <w:b w:val="0"/>
          <w:i w:val="0"/>
        </w:rPr>
        <w:t xml:space="preserve"> Printed forms: </w:t>
      </w:r>
      <w:r>
        <w:rPr>
          <w:b w:val="0"/>
          <w:i/>
        </w:rPr>
        <w:t>amplitudo</w:t>
      </w:r>
      <w:r>
        <w:rPr>
          <w:b w:val="0"/>
          <w:i w:val="0"/>
        </w:rPr>
        <w:t xml:space="preserve">; </w:t>
      </w:r>
      <w:r>
        <w:rPr>
          <w:b w:val="0"/>
          <w:i/>
        </w:rPr>
        <w:t>impleat</w:t>
      </w:r>
      <w:r>
        <w:rPr>
          <w:b w:val="0"/>
          <w:i w:val="0"/>
        </w:rPr>
        <w:t xml:space="preserve">; </w:t>
      </w:r>
      <w:r>
        <w:rPr>
          <w:b w:val="0"/>
          <w:i/>
        </w:rPr>
        <w:t>implere</w:t>
      </w:r>
      <w:r>
        <w:rPr>
          <w:b w:val="0"/>
          <w:i w:val="0"/>
        </w:rPr>
        <w:t xml:space="preserve">; </w:t>
      </w:r>
      <w:r>
        <w:rPr>
          <w:b w:val="0"/>
          <w:i/>
        </w:rPr>
        <w:t>plenitudo</w:t>
      </w:r>
      <w:r>
        <w:rPr>
          <w:b w:val="0"/>
          <w:i w:val="0"/>
        </w:rPr>
        <w:t xml:space="preserve">; </w:t>
      </w:r>
      <w:r>
        <w:rPr>
          <w:b w:val="0"/>
          <w:i/>
        </w:rPr>
        <w:t>replere</w:t>
      </w:r>
      <w:r>
        <w:rPr>
          <w:b w:val="0"/>
          <w:i w:val="0"/>
        </w:rPr>
        <w:t>.</w:t>
      </w:r>
    </w:p>
    <w:p>
      <w:pPr>
        <w:widowControl/>
      </w:pPr>
      <w:r>
        <w:rPr>
          <w:b w:val="0"/>
          <w:i w:val="0"/>
        </w:rPr>
        <w:t xml:space="preserve">Expanse, fullness, and filling. The fullness argument must not be reduced to a large occupant filling an independently existing spatial container. References: </w:t>
      </w:r>
      <w:hyperlink w:anchor="passage-ii-6-10">
        <w:r>
          <w:rPr>
            <w:color w:val="000000"/>
          </w:rPr>
          <w:t xml:space="preserve">II.6.10</w:t>
        </w:r>
      </w:hyperlink>
      <w:r>
        <w:rPr>
          <w:b w:val="0"/>
          <w:i w:val="0"/>
        </w:rPr>
        <w:t xml:space="preserve">, </w:t>
      </w:r>
      <w:hyperlink w:anchor="passage-ii-6-13">
        <w:r>
          <w:rPr>
            <w:color w:val="000000"/>
          </w:rPr>
          <w:t xml:space="preserve">II.6.13</w:t>
        </w:r>
      </w:hyperlink>
      <w:r>
        <w:rPr>
          <w:b w:val="0"/>
          <w:i w:val="0"/>
        </w:rPr>
        <w:t xml:space="preserve">. See </w:t>
      </w:r>
      <w:hyperlink w:anchor="omnipresence-and-place">
        <w:r>
          <w:rPr>
            <w:color w:val="000000"/>
          </w:rPr>
          <w:t xml:space="preserve">Omnipresence and place</w:t>
        </w:r>
      </w:hyperlink>
      <w:r>
        <w:rPr>
          <w:b w:val="0"/>
          <w:i w:val="0"/>
        </w:rPr>
        <w:t>.</w:t>
      </w:r>
    </w:p>
    <w:p>
      <w:pPr>
        <w:keepNext/>
        <w:widowControl/>
      </w:pPr>
      <w:bookmarkStart w:id="315" w:name="latin-record-0064"/>
      <w:bookmarkEnd w:id="315"/>
      <w:r>
        <w:rPr>
          <w:b/>
          <w:i w:val="0"/>
        </w:rPr>
        <w:t>amplus / amplior</w:t>
      </w:r>
      <w:r>
        <w:rPr>
          <w:b/>
          <w:i w:val="0"/>
        </w:rPr>
        <w:t>.</w:t>
      </w:r>
      <w:r>
        <w:rPr>
          <w:b w:val="0"/>
          <w:i w:val="0"/>
        </w:rPr>
        <w:t xml:space="preserve"> Printed forms: </w:t>
      </w:r>
      <w:r>
        <w:rPr>
          <w:b w:val="0"/>
          <w:i/>
        </w:rPr>
        <w:t>amplior</w:t>
      </w:r>
      <w:r>
        <w:rPr>
          <w:b w:val="0"/>
          <w:i w:val="0"/>
        </w:rPr>
        <w:t xml:space="preserve">; </w:t>
      </w:r>
      <w:r>
        <w:rPr>
          <w:b w:val="0"/>
          <w:i/>
        </w:rPr>
        <w:t>ampliorem</w:t>
      </w:r>
      <w:r>
        <w:rPr>
          <w:b w:val="0"/>
          <w:i w:val="0"/>
        </w:rPr>
        <w:t xml:space="preserve">; </w:t>
      </w:r>
      <w:r>
        <w:rPr>
          <w:b w:val="0"/>
          <w:i/>
        </w:rPr>
        <w:t>Amplissima</w:t>
      </w:r>
      <w:r>
        <w:rPr>
          <w:b w:val="0"/>
          <w:i w:val="0"/>
        </w:rPr>
        <w:t xml:space="preserve">; </w:t>
      </w:r>
      <w:r>
        <w:rPr>
          <w:b w:val="0"/>
          <w:i/>
        </w:rPr>
        <w:t>amplissima</w:t>
      </w:r>
      <w:r>
        <w:rPr>
          <w:b w:val="0"/>
          <w:i w:val="0"/>
        </w:rPr>
        <w:t>.</w:t>
      </w:r>
    </w:p>
    <w:p>
      <w:pPr>
        <w:widowControl/>
      </w:pPr>
      <w:r>
        <w:rPr>
          <w:b w:val="0"/>
          <w:i w:val="0"/>
        </w:rPr>
        <w:t xml:space="preserve">Wider or more comprehensive in scope. The more comprehensive cause acts through a more comprehensive form; this is causal scope rather than bodily size. References: </w:t>
      </w:r>
      <w:hyperlink w:anchor="passage-ii-9-4">
        <w:r>
          <w:rPr>
            <w:color w:val="000000"/>
          </w:rPr>
          <w:t xml:space="preserve">II.9.4</w:t>
        </w:r>
      </w:hyperlink>
      <w:r>
        <w:rPr>
          <w:b w:val="0"/>
          <w:i w:val="0"/>
        </w:rPr>
        <w:t xml:space="preserve">. See </w:t>
      </w:r>
      <w:hyperlink w:anchor="form">
        <w:r>
          <w:rPr>
            <w:color w:val="000000"/>
          </w:rPr>
          <w:t xml:space="preserve">Form</w:t>
        </w:r>
      </w:hyperlink>
      <w:r>
        <w:rPr>
          <w:b w:val="0"/>
          <w:i w:val="0"/>
        </w:rPr>
        <w:t>.</w:t>
      </w:r>
    </w:p>
    <w:p>
      <w:pPr>
        <w:keepNext/>
        <w:widowControl/>
      </w:pPr>
      <w:bookmarkStart w:id="316" w:name="latin-record-0065"/>
      <w:bookmarkEnd w:id="316"/>
      <w:r>
        <w:rPr>
          <w:b/>
          <w:i w:val="0"/>
        </w:rPr>
        <w:t>Anaxagoras / Hermotimus</w:t>
      </w:r>
      <w:r>
        <w:rPr>
          <w:b/>
          <w:i w:val="0"/>
        </w:rPr>
        <w:t>.</w:t>
      </w:r>
      <w:r>
        <w:rPr>
          <w:b w:val="0"/>
          <w:i w:val="0"/>
        </w:rPr>
        <w:t xml:space="preserve"> Printed forms: </w:t>
      </w:r>
      <w:r>
        <w:rPr>
          <w:b w:val="0"/>
          <w:i/>
        </w:rPr>
        <w:t>Anaxagora</w:t>
      </w:r>
      <w:r>
        <w:rPr>
          <w:b w:val="0"/>
          <w:i w:val="0"/>
        </w:rPr>
        <w:t xml:space="preserve">; </w:t>
      </w:r>
      <w:r>
        <w:rPr>
          <w:b w:val="0"/>
          <w:i/>
        </w:rPr>
        <w:t>Anaxagoras</w:t>
      </w:r>
      <w:r>
        <w:rPr>
          <w:b w:val="0"/>
          <w:i w:val="0"/>
        </w:rPr>
        <w:t xml:space="preserve">; </w:t>
      </w:r>
      <w:r>
        <w:rPr>
          <w:b w:val="0"/>
          <w:i/>
        </w:rPr>
        <w:t>Hermotimo</w:t>
      </w:r>
      <w:r>
        <w:rPr>
          <w:b w:val="0"/>
          <w:i w:val="0"/>
        </w:rPr>
        <w:t xml:space="preserve">; </w:t>
      </w:r>
      <w:r>
        <w:rPr>
          <w:b w:val="0"/>
          <w:i/>
        </w:rPr>
        <w:t>Hermotimus</w:t>
      </w:r>
      <w:r>
        <w:rPr>
          <w:b w:val="0"/>
          <w:i w:val="0"/>
        </w:rPr>
        <w:t>.</w:t>
      </w:r>
    </w:p>
    <w:p>
      <w:pPr>
        <w:widowControl/>
      </w:pPr>
      <w:r>
        <w:rPr>
          <w:b w:val="0"/>
          <w:i w:val="0"/>
        </w:rPr>
        <w:t xml:space="preserve">The thinkers represented as stopping at angelic mind. Ficino first says they seem to have rested there, then refuses to halt with them below divine unity. References: </w:t>
      </w:r>
      <w:hyperlink w:anchor="passage-i-1-5">
        <w:r>
          <w:rPr>
            <w:color w:val="000000"/>
          </w:rPr>
          <w:t xml:space="preserve">I.1.5</w:t>
        </w:r>
      </w:hyperlink>
      <w:r>
        <w:rPr>
          <w:b w:val="0"/>
          <w:i w:val="0"/>
        </w:rPr>
        <w:t xml:space="preserve">, </w:t>
      </w:r>
      <w:hyperlink w:anchor="passage-i-6-1">
        <w:r>
          <w:rPr>
            <w:color w:val="000000"/>
          </w:rPr>
          <w:t xml:space="preserve">I.6.1</w:t>
        </w:r>
      </w:hyperlink>
      <w:r>
        <w:rPr>
          <w:b w:val="0"/>
          <w:i w:val="0"/>
        </w:rPr>
        <w:t xml:space="preserve">. See </w:t>
      </w:r>
      <w:hyperlink w:anchor="philosophers-and-stopping-points">
        <w:r>
          <w:rPr>
            <w:color w:val="000000"/>
          </w:rPr>
          <w:t xml:space="preserve">Philosophers and stopping points</w:t>
        </w:r>
      </w:hyperlink>
      <w:r>
        <w:rPr>
          <w:b w:val="0"/>
          <w:i w:val="0"/>
        </w:rPr>
        <w:t>.</w:t>
      </w:r>
    </w:p>
    <w:p>
      <w:pPr>
        <w:keepNext/>
        <w:widowControl/>
      </w:pPr>
      <w:bookmarkStart w:id="317" w:name="latin-record-0066"/>
      <w:bookmarkEnd w:id="317"/>
      <w:r>
        <w:rPr>
          <w:b/>
          <w:i w:val="0"/>
        </w:rPr>
        <w:t>Anebon / Abamon / Plotinus / Iamblichus / Julianus</w:t>
      </w:r>
      <w:r>
        <w:rPr>
          <w:b/>
          <w:i w:val="0"/>
        </w:rPr>
        <w:t>.</w:t>
      </w:r>
      <w:r>
        <w:rPr>
          <w:b w:val="0"/>
          <w:i w:val="0"/>
        </w:rPr>
        <w:t xml:space="preserve"> Printed forms: </w:t>
      </w:r>
      <w:r>
        <w:rPr>
          <w:b w:val="0"/>
          <w:i/>
        </w:rPr>
        <w:t>Abamon</w:t>
      </w:r>
      <w:r>
        <w:rPr>
          <w:b w:val="0"/>
          <w:i w:val="0"/>
        </w:rPr>
        <w:t xml:space="preserve">; </w:t>
      </w:r>
      <w:r>
        <w:rPr>
          <w:b w:val="0"/>
          <w:i/>
        </w:rPr>
        <w:t>Anebon</w:t>
      </w:r>
      <w:r>
        <w:rPr>
          <w:b w:val="0"/>
          <w:i w:val="0"/>
        </w:rPr>
        <w:t xml:space="preserve">; </w:t>
      </w:r>
      <w:r>
        <w:rPr>
          <w:b w:val="0"/>
          <w:i/>
        </w:rPr>
        <w:t>Iamblicusque</w:t>
      </w:r>
      <w:r>
        <w:rPr>
          <w:b w:val="0"/>
          <w:i w:val="0"/>
        </w:rPr>
        <w:t xml:space="preserve">; </w:t>
      </w:r>
      <w:r>
        <w:rPr>
          <w:b w:val="0"/>
          <w:i/>
        </w:rPr>
        <w:t>Iulianus</w:t>
      </w:r>
      <w:r>
        <w:rPr>
          <w:b w:val="0"/>
          <w:i w:val="0"/>
        </w:rPr>
        <w:t xml:space="preserve">; </w:t>
      </w:r>
      <w:r>
        <w:rPr>
          <w:b w:val="0"/>
          <w:i/>
        </w:rPr>
        <w:t>Plotinus</w:t>
      </w:r>
      <w:r>
        <w:rPr>
          <w:b w:val="0"/>
          <w:i w:val="0"/>
        </w:rPr>
        <w:t>.</w:t>
      </w:r>
    </w:p>
    <w:p>
      <w:pPr>
        <w:widowControl/>
      </w:pPr>
      <w:r>
        <w:rPr>
          <w:b w:val="0"/>
          <w:i w:val="0"/>
        </w:rPr>
        <w:t xml:space="preserve">The named authorities for the universal mental-presence account. The text identifies priests and Platonists, then expressly expounds their position before returning to God. References: </w:t>
      </w:r>
      <w:hyperlink w:anchor="passage-ii-6-14">
        <w:r>
          <w:rPr>
            <w:color w:val="000000"/>
          </w:rPr>
          <w:t xml:space="preserve">II.6.14</w:t>
        </w:r>
      </w:hyperlink>
      <w:r>
        <w:rPr>
          <w:b w:val="0"/>
          <w:i w:val="0"/>
        </w:rPr>
        <w:t xml:space="preserve">. See </w:t>
      </w:r>
      <w:hyperlink w:anchor="anebon-abamon-and-the-mental-presence-authorities">
        <w:r>
          <w:rPr>
            <w:color w:val="000000"/>
          </w:rPr>
          <w:t xml:space="preserve">Anebon Abamon and the mental-presence authorities</w:t>
        </w:r>
      </w:hyperlink>
      <w:r>
        <w:rPr>
          <w:b w:val="0"/>
          <w:i w:val="0"/>
        </w:rPr>
        <w:t>.</w:t>
      </w:r>
    </w:p>
    <w:p>
      <w:pPr>
        <w:keepNext/>
        <w:widowControl/>
      </w:pPr>
      <w:bookmarkStart w:id="318" w:name="latin-record-0067"/>
      <w:bookmarkEnd w:id="318"/>
      <w:r>
        <w:rPr>
          <w:b/>
          <w:i w:val="0"/>
        </w:rPr>
        <w:t>angelus</w:t>
      </w:r>
      <w:r>
        <w:rPr>
          <w:b/>
          <w:i w:val="0"/>
        </w:rPr>
        <w:t>.</w:t>
      </w:r>
      <w:r>
        <w:rPr>
          <w:b w:val="0"/>
          <w:i w:val="0"/>
        </w:rPr>
        <w:t xml:space="preserve"> Printed forms: </w:t>
      </w:r>
      <w:r>
        <w:rPr>
          <w:b w:val="0"/>
          <w:i/>
        </w:rPr>
        <w:t>angeli</w:t>
      </w:r>
      <w:r>
        <w:rPr>
          <w:b w:val="0"/>
          <w:i w:val="0"/>
        </w:rPr>
        <w:t xml:space="preserve">; </w:t>
      </w:r>
      <w:r>
        <w:rPr>
          <w:b w:val="0"/>
          <w:i/>
        </w:rPr>
        <w:t>angelo</w:t>
      </w:r>
      <w:r>
        <w:rPr>
          <w:b w:val="0"/>
          <w:i w:val="0"/>
        </w:rPr>
        <w:t xml:space="preserve">; </w:t>
      </w:r>
      <w:r>
        <w:rPr>
          <w:b w:val="0"/>
          <w:i/>
        </w:rPr>
        <w:t>angelum</w:t>
      </w:r>
      <w:r>
        <w:rPr>
          <w:b w:val="0"/>
          <w:i w:val="0"/>
        </w:rPr>
        <w:t xml:space="preserve">; </w:t>
      </w:r>
      <w:r>
        <w:rPr>
          <w:b w:val="0"/>
          <w:i/>
        </w:rPr>
        <w:t>Angelus</w:t>
      </w:r>
      <w:r>
        <w:rPr>
          <w:b w:val="0"/>
          <w:i w:val="0"/>
        </w:rPr>
        <w:t xml:space="preserve">; </w:t>
      </w:r>
      <w:r>
        <w:rPr>
          <w:b w:val="0"/>
          <w:i/>
        </w:rPr>
        <w:t>angelus</w:t>
      </w:r>
      <w:r>
        <w:rPr>
          <w:b w:val="0"/>
          <w:i w:val="0"/>
        </w:rPr>
        <w:t>.</w:t>
      </w:r>
    </w:p>
    <w:p>
      <w:pPr>
        <w:widowControl/>
      </w:pPr>
      <w:r>
        <w:rPr>
          <w:b w:val="0"/>
          <w:i w:val="0"/>
        </w:rPr>
        <w:t xml:space="preserve">Angel as a separate intellectual being subordinate to God. The angel is not pure necessary being and acts with power continually bestowed by its first cause. References: </w:t>
      </w:r>
      <w:hyperlink w:anchor="passage-ii-1-1">
        <w:r>
          <w:rPr>
            <w:color w:val="000000"/>
          </w:rPr>
          <w:t xml:space="preserve">II.1.1</w:t>
        </w:r>
      </w:hyperlink>
      <w:r>
        <w:rPr>
          <w:b w:val="0"/>
          <w:i w:val="0"/>
        </w:rPr>
        <w:t xml:space="preserve">, </w:t>
      </w:r>
      <w:hyperlink w:anchor="passage-ii-7-12">
        <w:r>
          <w:rPr>
            <w:color w:val="000000"/>
          </w:rPr>
          <w:t xml:space="preserve">II.7.12</w:t>
        </w:r>
      </w:hyperlink>
      <w:r>
        <w:rPr>
          <w:b w:val="0"/>
          <w:i w:val="0"/>
        </w:rPr>
        <w:t xml:space="preserve">, </w:t>
      </w:r>
      <w:hyperlink w:anchor="passage-ii-7-24">
        <w:r>
          <w:rPr>
            <w:color w:val="000000"/>
          </w:rPr>
          <w:t xml:space="preserve">II.7.24</w:t>
        </w:r>
      </w:hyperlink>
      <w:r>
        <w:rPr>
          <w:b w:val="0"/>
          <w:i w:val="0"/>
        </w:rPr>
        <w:t xml:space="preserve">. See </w:t>
      </w:r>
      <w:hyperlink w:anchor="angel">
        <w:r>
          <w:rPr>
            <w:color w:val="000000"/>
          </w:rPr>
          <w:t xml:space="preserve">Angel</w:t>
        </w:r>
      </w:hyperlink>
      <w:r>
        <w:rPr>
          <w:b w:val="0"/>
          <w:i w:val="0"/>
        </w:rPr>
        <w:t>.</w:t>
      </w:r>
    </w:p>
    <w:p>
      <w:pPr>
        <w:widowControl/>
      </w:pPr>
      <w:r>
        <w:rPr>
          <w:b w:val="0"/>
          <w:i w:val="0"/>
        </w:rPr>
        <w:t xml:space="preserve">Angel, the stable intellectual grade below God. Angelic reception and multiplicity distinguish this grade from pure divine act without giving it bodily extension. References: </w:t>
      </w:r>
      <w:hyperlink w:anchor="passage-iii-1-4">
        <w:r>
          <w:rPr>
            <w:color w:val="000000"/>
          </w:rPr>
          <w:t xml:space="preserve">III.1.4</w:t>
        </w:r>
      </w:hyperlink>
      <w:r>
        <w:rPr>
          <w:b w:val="0"/>
          <w:i w:val="0"/>
        </w:rPr>
        <w:t xml:space="preserve">, </w:t>
      </w:r>
      <w:hyperlink w:anchor="passage-iii-1-10">
        <w:r>
          <w:rPr>
            <w:color w:val="000000"/>
          </w:rPr>
          <w:t xml:space="preserve">III.1.10</w:t>
        </w:r>
      </w:hyperlink>
      <w:r>
        <w:rPr>
          <w:b w:val="0"/>
          <w:i w:val="0"/>
        </w:rPr>
        <w:t xml:space="preserve">, </w:t>
      </w:r>
      <w:hyperlink w:anchor="passage-iii-1-12">
        <w:r>
          <w:rPr>
            <w:color w:val="000000"/>
          </w:rPr>
          <w:t xml:space="preserve">III.1.12</w:t>
        </w:r>
      </w:hyperlink>
      <w:r>
        <w:rPr>
          <w:b w:val="0"/>
          <w:i w:val="0"/>
        </w:rPr>
        <w:t xml:space="preserve">. See </w:t>
      </w:r>
      <w:hyperlink w:anchor="angel">
        <w:r>
          <w:rPr>
            <w:color w:val="000000"/>
          </w:rPr>
          <w:t xml:space="preserve">Angel</w:t>
        </w:r>
      </w:hyperlink>
      <w:r>
        <w:rPr>
          <w:b w:val="0"/>
          <w:i w:val="0"/>
        </w:rPr>
        <w:t>.</w:t>
      </w:r>
    </w:p>
    <w:p>
      <w:pPr>
        <w:keepNext/>
        <w:widowControl/>
      </w:pPr>
      <w:bookmarkStart w:id="319" w:name="latin-record-0068"/>
      <w:bookmarkEnd w:id="319"/>
      <w:r>
        <w:rPr>
          <w:b/>
          <w:i w:val="0"/>
        </w:rPr>
        <w:t>angelus / nuntius</w:t>
      </w:r>
      <w:r>
        <w:rPr>
          <w:b/>
          <w:i w:val="0"/>
        </w:rPr>
        <w:t>.</w:t>
      </w:r>
      <w:r>
        <w:rPr>
          <w:b w:val="0"/>
          <w:i w:val="0"/>
        </w:rPr>
        <w:t xml:space="preserve"> Printed forms: </w:t>
      </w:r>
      <w:r>
        <w:rPr>
          <w:b w:val="0"/>
          <w:i/>
        </w:rPr>
        <w:t>angelos</w:t>
      </w:r>
      <w:r>
        <w:rPr>
          <w:b w:val="0"/>
          <w:i w:val="0"/>
        </w:rPr>
        <w:t xml:space="preserve">; </w:t>
      </w:r>
      <w:r>
        <w:rPr>
          <w:b w:val="0"/>
          <w:i/>
        </w:rPr>
        <w:t>nuntiosque</w:t>
      </w:r>
      <w:r>
        <w:rPr>
          <w:b w:val="0"/>
          <w:i w:val="0"/>
        </w:rPr>
        <w:t>.</w:t>
      </w:r>
    </w:p>
    <w:p>
      <w:pPr>
        <w:widowControl/>
      </w:pPr>
      <w:r>
        <w:rPr>
          <w:b w:val="0"/>
          <w:i w:val="0"/>
        </w:rPr>
        <w:t xml:space="preserve">Angel and messenger. Ficino presents these as Hebrew and later philosophical names for the separate minds discussed through Aristotle, rather than Aristotle’s original vocabulary. References: </w:t>
      </w:r>
      <w:hyperlink w:anchor="passage-i-5-20">
        <w:r>
          <w:rPr>
            <w:color w:val="000000"/>
          </w:rPr>
          <w:t xml:space="preserve">I.5.20</w:t>
        </w:r>
      </w:hyperlink>
      <w:r>
        <w:rPr>
          <w:b w:val="0"/>
          <w:i w:val="0"/>
        </w:rPr>
        <w:t xml:space="preserve">. See </w:t>
      </w:r>
      <w:hyperlink w:anchor="angel">
        <w:r>
          <w:rPr>
            <w:color w:val="000000"/>
          </w:rPr>
          <w:t xml:space="preserve">Angel</w:t>
        </w:r>
      </w:hyperlink>
      <w:r>
        <w:rPr>
          <w:b w:val="0"/>
          <w:i w:val="0"/>
        </w:rPr>
        <w:t>.</w:t>
      </w:r>
    </w:p>
    <w:p>
      <w:pPr>
        <w:keepNext/>
        <w:widowControl/>
      </w:pPr>
      <w:bookmarkStart w:id="320" w:name="latin-record-0069"/>
      <w:bookmarkEnd w:id="320"/>
      <w:r>
        <w:rPr>
          <w:b/>
          <w:i w:val="0"/>
        </w:rPr>
        <w:t>anima / animus</w:t>
      </w:r>
      <w:r>
        <w:rPr>
          <w:b/>
          <w:i w:val="0"/>
        </w:rPr>
        <w:t>.</w:t>
      </w:r>
      <w:r>
        <w:rPr>
          <w:b w:val="0"/>
          <w:i w:val="0"/>
        </w:rPr>
        <w:t xml:space="preserve"> Printed forms: </w:t>
      </w:r>
      <w:r>
        <w:rPr>
          <w:b w:val="0"/>
          <w:i/>
        </w:rPr>
        <w:t>anima</w:t>
      </w:r>
      <w:r>
        <w:rPr>
          <w:b w:val="0"/>
          <w:i w:val="0"/>
        </w:rPr>
        <w:t xml:space="preserve">; </w:t>
      </w:r>
      <w:r>
        <w:rPr>
          <w:b w:val="0"/>
          <w:i/>
        </w:rPr>
        <w:t>animae</w:t>
      </w:r>
      <w:r>
        <w:rPr>
          <w:b w:val="0"/>
          <w:i w:val="0"/>
        </w:rPr>
        <w:t xml:space="preserve">; </w:t>
      </w:r>
      <w:r>
        <w:rPr>
          <w:b w:val="0"/>
          <w:i/>
        </w:rPr>
        <w:t>animam</w:t>
      </w:r>
      <w:r>
        <w:rPr>
          <w:b w:val="0"/>
          <w:i w:val="0"/>
        </w:rPr>
        <w:t xml:space="preserve">; </w:t>
      </w:r>
      <w:r>
        <w:rPr>
          <w:b w:val="0"/>
          <w:i/>
        </w:rPr>
        <w:t>animi</w:t>
      </w:r>
      <w:r>
        <w:rPr>
          <w:b w:val="0"/>
          <w:i w:val="0"/>
        </w:rPr>
        <w:t xml:space="preserve">; </w:t>
      </w:r>
      <w:r>
        <w:rPr>
          <w:b w:val="0"/>
          <w:i/>
        </w:rPr>
        <w:t>animorumque</w:t>
      </w:r>
      <w:r>
        <w:rPr>
          <w:b w:val="0"/>
          <w:i w:val="0"/>
        </w:rPr>
        <w:t xml:space="preserve">; </w:t>
      </w:r>
      <w:r>
        <w:rPr>
          <w:b w:val="0"/>
          <w:i/>
        </w:rPr>
        <w:t>animos</w:t>
      </w:r>
      <w:r>
        <w:rPr>
          <w:b w:val="0"/>
          <w:i w:val="0"/>
        </w:rPr>
        <w:t>.</w:t>
      </w:r>
    </w:p>
    <w:p>
      <w:pPr>
        <w:widowControl/>
      </w:pPr>
      <w:r>
        <w:rPr>
          <w:b w:val="0"/>
          <w:i w:val="0"/>
        </w:rPr>
        <w:t xml:space="preserve">Soul or animate psychic subject, not invariably equivalent to intellectual mind. Soul gives life without choosing every act, while its deliberate choices also arise from its being. References: </w:t>
      </w:r>
      <w:hyperlink w:anchor="passage-ii-3-4">
        <w:r>
          <w:rPr>
            <w:color w:val="000000"/>
          </w:rPr>
          <w:t xml:space="preserve">II.3.4</w:t>
        </w:r>
      </w:hyperlink>
      <w:r>
        <w:rPr>
          <w:b w:val="0"/>
          <w:i w:val="0"/>
        </w:rPr>
        <w:t xml:space="preserve">, </w:t>
      </w:r>
      <w:hyperlink w:anchor="passage-ii-4-6">
        <w:r>
          <w:rPr>
            <w:color w:val="000000"/>
          </w:rPr>
          <w:t xml:space="preserve">II.4.6</w:t>
        </w:r>
      </w:hyperlink>
      <w:r>
        <w:rPr>
          <w:b w:val="0"/>
          <w:i w:val="0"/>
        </w:rPr>
        <w:t xml:space="preserve">, </w:t>
      </w:r>
      <w:hyperlink w:anchor="passage-ii-8-3">
        <w:r>
          <w:rPr>
            <w:color w:val="000000"/>
          </w:rPr>
          <w:t xml:space="preserve">II.8.3</w:t>
        </w:r>
      </w:hyperlink>
      <w:r>
        <w:rPr>
          <w:b w:val="0"/>
          <w:i w:val="0"/>
        </w:rPr>
        <w:t xml:space="preserve">. See </w:t>
      </w:r>
      <w:hyperlink w:anchor="soul">
        <w:r>
          <w:rPr>
            <w:color w:val="000000"/>
          </w:rPr>
          <w:t xml:space="preserve">Soul</w:t>
        </w:r>
      </w:hyperlink>
      <w:r>
        <w:rPr>
          <w:b w:val="0"/>
          <w:i w:val="0"/>
        </w:rPr>
        <w:t>.</w:t>
      </w:r>
    </w:p>
    <w:p>
      <w:pPr>
        <w:widowControl/>
      </w:pPr>
      <w:r>
        <w:rPr>
          <w:b w:val="0"/>
          <w:i w:val="0"/>
        </w:rPr>
        <w:t xml:space="preserve">Soul. Animus is used for souls whose free judgment providence preserves; anima names the self-moving, temporally knowing middle essence. References: </w:t>
      </w:r>
      <w:hyperlink w:anchor="passage-ii-13-26">
        <w:r>
          <w:rPr>
            <w:color w:val="000000"/>
          </w:rPr>
          <w:t xml:space="preserve">II.13.26</w:t>
        </w:r>
      </w:hyperlink>
      <w:r>
        <w:rPr>
          <w:b w:val="0"/>
          <w:i w:val="0"/>
        </w:rPr>
        <w:t xml:space="preserve">, </w:t>
      </w:r>
      <w:hyperlink w:anchor="passage-iii-2-23">
        <w:r>
          <w:rPr>
            <w:color w:val="000000"/>
          </w:rPr>
          <w:t xml:space="preserve">III.2.23</w:t>
        </w:r>
      </w:hyperlink>
      <w:r>
        <w:rPr>
          <w:b w:val="0"/>
          <w:i w:val="0"/>
        </w:rPr>
        <w:t xml:space="preserve">. See </w:t>
      </w:r>
      <w:hyperlink w:anchor="soul">
        <w:r>
          <w:rPr>
            <w:color w:val="000000"/>
          </w:rPr>
          <w:t xml:space="preserve">Soul</w:t>
        </w:r>
      </w:hyperlink>
      <w:r>
        <w:rPr>
          <w:b w:val="0"/>
          <w:i w:val="0"/>
        </w:rPr>
        <w:t>.</w:t>
      </w:r>
    </w:p>
    <w:p>
      <w:pPr>
        <w:keepNext/>
        <w:widowControl/>
      </w:pPr>
      <w:bookmarkStart w:id="321" w:name="latin-record-0070"/>
      <w:bookmarkEnd w:id="321"/>
      <w:r>
        <w:rPr>
          <w:b/>
          <w:i w:val="0"/>
        </w:rPr>
        <w:t>anima rationalis</w:t>
      </w:r>
      <w:r>
        <w:rPr>
          <w:b/>
          <w:i w:val="0"/>
        </w:rPr>
        <w:t>.</w:t>
      </w:r>
      <w:r>
        <w:rPr>
          <w:b w:val="0"/>
          <w:i w:val="0"/>
        </w:rPr>
        <w:t xml:space="preserve"> Printed forms: </w:t>
      </w:r>
      <w:r>
        <w:rPr>
          <w:b w:val="0"/>
          <w:i/>
        </w:rPr>
        <w:t>animae</w:t>
      </w:r>
      <w:r>
        <w:rPr>
          <w:b w:val="0"/>
          <w:i w:val="0"/>
        </w:rPr>
        <w:t xml:space="preserve">; </w:t>
      </w:r>
      <w:r>
        <w:rPr>
          <w:b w:val="0"/>
          <w:i/>
        </w:rPr>
        <w:t>rationalem animam</w:t>
      </w:r>
      <w:r>
        <w:rPr>
          <w:b w:val="0"/>
          <w:i w:val="0"/>
        </w:rPr>
        <w:t xml:space="preserve">; </w:t>
      </w:r>
      <w:r>
        <w:rPr>
          <w:b w:val="0"/>
          <w:i/>
        </w:rPr>
        <w:t>rationalis animae</w:t>
      </w:r>
      <w:r>
        <w:rPr>
          <w:b w:val="0"/>
          <w:i w:val="0"/>
        </w:rPr>
        <w:t>.</w:t>
      </w:r>
    </w:p>
    <w:p>
      <w:pPr>
        <w:widowControl/>
      </w:pPr>
      <w:r>
        <w:rPr>
          <w:b w:val="0"/>
          <w:i w:val="0"/>
        </w:rPr>
        <w:t xml:space="preserve">Rational soul, the third or middle essence. It mediates higher and lower grades and is later distinguished by stable essence with successive operation. References: </w:t>
      </w:r>
      <w:hyperlink w:anchor="passage-i-1-4">
        <w:r>
          <w:rPr>
            <w:color w:val="000000"/>
          </w:rPr>
          <w:t xml:space="preserve">I.1.4</w:t>
        </w:r>
      </w:hyperlink>
      <w:r>
        <w:rPr>
          <w:b w:val="0"/>
          <w:i w:val="0"/>
        </w:rPr>
        <w:t xml:space="preserve">, </w:t>
      </w:r>
      <w:hyperlink w:anchor="passage-i-1-7">
        <w:r>
          <w:rPr>
            <w:color w:val="000000"/>
          </w:rPr>
          <w:t xml:space="preserve">I.1.7</w:t>
        </w:r>
      </w:hyperlink>
      <w:r>
        <w:rPr>
          <w:b w:val="0"/>
          <w:i w:val="0"/>
        </w:rPr>
        <w:t xml:space="preserve">, </w:t>
      </w:r>
      <w:hyperlink w:anchor="passage-i-3-33">
        <w:r>
          <w:rPr>
            <w:color w:val="000000"/>
          </w:rPr>
          <w:t xml:space="preserve">I.3.33</w:t>
        </w:r>
      </w:hyperlink>
      <w:r>
        <w:rPr>
          <w:b w:val="0"/>
          <w:i w:val="0"/>
        </w:rPr>
        <w:t xml:space="preserve">, </w:t>
      </w:r>
      <w:hyperlink w:anchor="passage-i-5-1">
        <w:r>
          <w:rPr>
            <w:color w:val="000000"/>
          </w:rPr>
          <w:t xml:space="preserve">I.5.1</w:t>
        </w:r>
      </w:hyperlink>
      <w:r>
        <w:rPr>
          <w:b w:val="0"/>
          <w:i w:val="0"/>
        </w:rPr>
        <w:t xml:space="preserve">. See </w:t>
      </w:r>
      <w:hyperlink w:anchor="soul">
        <w:r>
          <w:rPr>
            <w:color w:val="000000"/>
          </w:rPr>
          <w:t xml:space="preserve">Soul</w:t>
        </w:r>
      </w:hyperlink>
      <w:r>
        <w:rPr>
          <w:b w:val="0"/>
          <w:i w:val="0"/>
        </w:rPr>
        <w:t>.</w:t>
      </w:r>
    </w:p>
    <w:p>
      <w:pPr>
        <w:keepNext/>
        <w:widowControl/>
      </w:pPr>
      <w:bookmarkStart w:id="322" w:name="latin-record-0071"/>
      <w:bookmarkEnd w:id="322"/>
      <w:r>
        <w:rPr>
          <w:b/>
          <w:i w:val="0"/>
        </w:rPr>
        <w:t>animadvertere / agnoscere</w:t>
      </w:r>
      <w:r>
        <w:rPr>
          <w:b/>
          <w:i w:val="0"/>
        </w:rPr>
        <w:t>.</w:t>
      </w:r>
      <w:r>
        <w:rPr>
          <w:b w:val="0"/>
          <w:i w:val="0"/>
        </w:rPr>
        <w:t xml:space="preserve"> Printed forms: </w:t>
      </w:r>
      <w:r>
        <w:rPr>
          <w:b w:val="0"/>
          <w:i/>
        </w:rPr>
        <w:t>agnoscit</w:t>
      </w:r>
      <w:r>
        <w:rPr>
          <w:b w:val="0"/>
          <w:i w:val="0"/>
        </w:rPr>
        <w:t xml:space="preserve">; </w:t>
      </w:r>
      <w:r>
        <w:rPr>
          <w:b w:val="0"/>
          <w:i/>
        </w:rPr>
        <w:t>animadvertit</w:t>
      </w:r>
      <w:r>
        <w:rPr>
          <w:b w:val="0"/>
          <w:i w:val="0"/>
        </w:rPr>
        <w:t>.</w:t>
      </w:r>
    </w:p>
    <w:p>
      <w:pPr>
        <w:widowControl/>
      </w:pPr>
      <w:r>
        <w:rPr>
          <w:b w:val="0"/>
          <w:i w:val="0"/>
        </w:rPr>
        <w:t xml:space="preserve">Apprehend or attend to / recognize. Recognition of soul’s own spiritual essence makes its self-attention intellectual cognition within Ficino’s argument. References: </w:t>
      </w:r>
      <w:hyperlink w:anchor="passage-iii-2-28">
        <w:r>
          <w:rPr>
            <w:color w:val="000000"/>
          </w:rPr>
          <w:t xml:space="preserve">III.2.28</w:t>
        </w:r>
      </w:hyperlink>
      <w:r>
        <w:rPr>
          <w:b w:val="0"/>
          <w:i w:val="0"/>
        </w:rPr>
        <w:t xml:space="preserve">. See </w:t>
      </w:r>
      <w:hyperlink w:anchor="looking-and-recognizing">
        <w:r>
          <w:rPr>
            <w:color w:val="000000"/>
          </w:rPr>
          <w:t xml:space="preserve">Looking and recognizing</w:t>
        </w:r>
      </w:hyperlink>
      <w:r>
        <w:rPr>
          <w:b w:val="0"/>
          <w:i w:val="0"/>
        </w:rPr>
        <w:t>.</w:t>
      </w:r>
    </w:p>
    <w:p>
      <w:pPr>
        <w:keepNext/>
        <w:widowControl/>
      </w:pPr>
      <w:bookmarkStart w:id="323" w:name="latin-record-0072"/>
      <w:bookmarkEnd w:id="323"/>
      <w:r>
        <w:rPr>
          <w:b/>
          <w:i w:val="0"/>
        </w:rPr>
        <w:t>animal / bestia / animans</w:t>
      </w:r>
      <w:r>
        <w:rPr>
          <w:b/>
          <w:i w:val="0"/>
        </w:rPr>
        <w:t>.</w:t>
      </w:r>
      <w:r>
        <w:rPr>
          <w:b w:val="0"/>
          <w:i w:val="0"/>
        </w:rPr>
        <w:t xml:space="preserve"> Printed forms: </w:t>
      </w:r>
      <w:r>
        <w:rPr>
          <w:b w:val="0"/>
          <w:i/>
        </w:rPr>
        <w:t>animal</w:t>
      </w:r>
      <w:r>
        <w:rPr>
          <w:b w:val="0"/>
          <w:i w:val="0"/>
        </w:rPr>
        <w:t xml:space="preserve">; </w:t>
      </w:r>
      <w:r>
        <w:rPr>
          <w:b w:val="0"/>
          <w:i/>
        </w:rPr>
        <w:t>animantibus</w:t>
      </w:r>
      <w:r>
        <w:rPr>
          <w:b w:val="0"/>
          <w:i w:val="0"/>
        </w:rPr>
        <w:t xml:space="preserve">; </w:t>
      </w:r>
      <w:r>
        <w:rPr>
          <w:b w:val="0"/>
          <w:i/>
        </w:rPr>
        <w:t>bestiae</w:t>
      </w:r>
      <w:r>
        <w:rPr>
          <w:b w:val="0"/>
          <w:i w:val="0"/>
        </w:rPr>
        <w:t>.</w:t>
      </w:r>
    </w:p>
    <w:p>
      <w:pPr>
        <w:widowControl/>
      </w:pPr>
      <w:r>
        <w:rPr>
          <w:b w:val="0"/>
          <w:i w:val="0"/>
        </w:rPr>
        <w:t xml:space="preserve">A living creature; a beast; a living being. The opening includes the human being among animals while distinguishing humans from beasts; </w:t>
      </w:r>
      <w:r>
        <w:t>“</w:t>
      </w:r>
      <w:r>
        <w:rPr>
          <w:b w:val="0"/>
          <w:i w:val="0"/>
        </w:rPr>
        <w:t>animal</w:t>
      </w:r>
      <w:r>
        <w:t>”</w:t>
      </w:r>
      <w:r>
        <w:rPr>
          <w:b w:val="0"/>
          <w:i w:val="0"/>
        </w:rPr>
        <w:t xml:space="preserve"> is not restricted to nonhuman creatures. References: </w:t>
      </w:r>
      <w:hyperlink w:anchor="passage-i-1-1">
        <w:r>
          <w:rPr>
            <w:color w:val="000000"/>
          </w:rPr>
          <w:t xml:space="preserve">I.1.1</w:t>
        </w:r>
      </w:hyperlink>
      <w:r>
        <w:rPr>
          <w:b w:val="0"/>
          <w:i w:val="0"/>
        </w:rPr>
        <w:t xml:space="preserve">. See </w:t>
      </w:r>
      <w:hyperlink w:anchor="animating-and-animal">
        <w:r>
          <w:rPr>
            <w:color w:val="000000"/>
          </w:rPr>
          <w:t xml:space="preserve">Animating and animal</w:t>
        </w:r>
      </w:hyperlink>
      <w:r>
        <w:rPr>
          <w:b w:val="0"/>
          <w:i w:val="0"/>
        </w:rPr>
        <w:t>.</w:t>
      </w:r>
    </w:p>
    <w:p>
      <w:pPr>
        <w:keepNext/>
        <w:widowControl/>
      </w:pPr>
      <w:bookmarkStart w:id="324" w:name="latin-record-0073"/>
      <w:bookmarkEnd w:id="324"/>
      <w:r>
        <w:rPr>
          <w:b/>
          <w:i w:val="0"/>
        </w:rPr>
        <w:t>animalis / angelicus</w:t>
      </w:r>
      <w:r>
        <w:rPr>
          <w:b/>
          <w:i w:val="0"/>
        </w:rPr>
        <w:t>.</w:t>
      </w:r>
      <w:r>
        <w:rPr>
          <w:b w:val="0"/>
          <w:i w:val="0"/>
        </w:rPr>
        <w:t xml:space="preserve"> Printed forms: </w:t>
      </w:r>
      <w:r>
        <w:rPr>
          <w:b w:val="0"/>
          <w:i/>
        </w:rPr>
        <w:t>angelicae</w:t>
      </w:r>
      <w:r>
        <w:rPr>
          <w:b w:val="0"/>
          <w:i w:val="0"/>
        </w:rPr>
        <w:t xml:space="preserve">; </w:t>
      </w:r>
      <w:r>
        <w:rPr>
          <w:b w:val="0"/>
          <w:i/>
        </w:rPr>
        <w:t>angelicam</w:t>
      </w:r>
      <w:r>
        <w:rPr>
          <w:b w:val="0"/>
          <w:i w:val="0"/>
        </w:rPr>
        <w:t xml:space="preserve">; </w:t>
      </w:r>
      <w:r>
        <w:rPr>
          <w:b w:val="0"/>
          <w:i/>
        </w:rPr>
        <w:t>animalem</w:t>
      </w:r>
      <w:r>
        <w:rPr>
          <w:b w:val="0"/>
          <w:i w:val="0"/>
        </w:rPr>
        <w:t xml:space="preserve">; </w:t>
      </w:r>
      <w:r>
        <w:rPr>
          <w:b w:val="0"/>
          <w:i/>
        </w:rPr>
        <w:t>animales</w:t>
      </w:r>
      <w:r>
        <w:rPr>
          <w:b w:val="0"/>
          <w:i w:val="0"/>
        </w:rPr>
        <w:t>.</w:t>
      </w:r>
    </w:p>
    <w:p>
      <w:pPr>
        <w:widowControl/>
      </w:pPr>
      <w:r>
        <w:rPr>
          <w:b w:val="0"/>
          <w:i w:val="0"/>
        </w:rPr>
        <w:t xml:space="preserve">Animating or belonging to soul, contrasted with angelic. The contrast separates minds that vivify from minds that govern; animalis is not restricted to nonhuman beasts. References: </w:t>
      </w:r>
      <w:hyperlink w:anchor="passage-ii-6-14">
        <w:r>
          <w:rPr>
            <w:color w:val="000000"/>
          </w:rPr>
          <w:t xml:space="preserve">II.6.14</w:t>
        </w:r>
      </w:hyperlink>
      <w:r>
        <w:rPr>
          <w:b w:val="0"/>
          <w:i w:val="0"/>
        </w:rPr>
        <w:t xml:space="preserve">, </w:t>
      </w:r>
      <w:hyperlink w:anchor="passage-ii-6-24">
        <w:r>
          <w:rPr>
            <w:color w:val="000000"/>
          </w:rPr>
          <w:t xml:space="preserve">II.6.24</w:t>
        </w:r>
      </w:hyperlink>
      <w:r>
        <w:rPr>
          <w:b w:val="0"/>
          <w:i w:val="0"/>
        </w:rPr>
        <w:t xml:space="preserve">. See </w:t>
      </w:r>
      <w:hyperlink w:anchor="intellectual-and-animating-powers">
        <w:r>
          <w:rPr>
            <w:color w:val="000000"/>
          </w:rPr>
          <w:t xml:space="preserve">Intellectual and animating powers</w:t>
        </w:r>
      </w:hyperlink>
      <w:r>
        <w:rPr>
          <w:b w:val="0"/>
          <w:i w:val="0"/>
        </w:rPr>
        <w:t>.</w:t>
      </w:r>
    </w:p>
    <w:p>
      <w:pPr>
        <w:keepNext/>
        <w:widowControl/>
      </w:pPr>
      <w:bookmarkStart w:id="325" w:name="latin-record-0074"/>
      <w:bookmarkEnd w:id="325"/>
      <w:r>
        <w:rPr>
          <w:b/>
          <w:i w:val="0"/>
        </w:rPr>
        <w:t>animalis / animales vires</w:t>
      </w:r>
      <w:r>
        <w:rPr>
          <w:b/>
          <w:i w:val="0"/>
        </w:rPr>
        <w:t>.</w:t>
      </w:r>
      <w:r>
        <w:rPr>
          <w:b w:val="0"/>
          <w:i w:val="0"/>
        </w:rPr>
        <w:t xml:space="preserve"> Printed forms: </w:t>
      </w:r>
      <w:r>
        <w:rPr>
          <w:b w:val="0"/>
          <w:i/>
        </w:rPr>
        <w:t>animales</w:t>
      </w:r>
      <w:r>
        <w:rPr>
          <w:b w:val="0"/>
          <w:i w:val="0"/>
        </w:rPr>
        <w:t xml:space="preserve">; </w:t>
      </w:r>
      <w:r>
        <w:rPr>
          <w:b w:val="0"/>
          <w:i/>
        </w:rPr>
        <w:t>animales vires</w:t>
      </w:r>
      <w:r>
        <w:rPr>
          <w:b w:val="0"/>
          <w:i w:val="0"/>
        </w:rPr>
        <w:t>.</w:t>
      </w:r>
    </w:p>
    <w:p>
      <w:pPr>
        <w:widowControl/>
      </w:pPr>
      <w:r>
        <w:rPr>
          <w:b w:val="0"/>
          <w:i w:val="0"/>
        </w:rPr>
        <w:t xml:space="preserve">Animating or belonging to bodily life. Human minds reach their bodies through these powers; celestial lives combine intellectual and animating functions. References: </w:t>
      </w:r>
      <w:hyperlink w:anchor="passage-iv-1-31">
        <w:r>
          <w:rPr>
            <w:color w:val="000000"/>
          </w:rPr>
          <w:t xml:space="preserve">IV.1.31</w:t>
        </w:r>
      </w:hyperlink>
      <w:r>
        <w:rPr>
          <w:b w:val="0"/>
          <w:i w:val="0"/>
        </w:rPr>
        <w:t xml:space="preserve">. See </w:t>
      </w:r>
      <w:hyperlink w:anchor="animating-and-animal">
        <w:r>
          <w:rPr>
            <w:color w:val="000000"/>
          </w:rPr>
          <w:t xml:space="preserve">Animating and animal</w:t>
        </w:r>
      </w:hyperlink>
      <w:r>
        <w:rPr>
          <w:b w:val="0"/>
          <w:i w:val="0"/>
        </w:rPr>
        <w:t>.</w:t>
      </w:r>
    </w:p>
    <w:p>
      <w:pPr>
        <w:keepNext/>
        <w:widowControl/>
      </w:pPr>
      <w:bookmarkStart w:id="326" w:name="latin-record-0075"/>
      <w:bookmarkEnd w:id="326"/>
      <w:r>
        <w:rPr>
          <w:b/>
          <w:i w:val="0"/>
        </w:rPr>
        <w:t>annixus / coartare</w:t>
      </w:r>
      <w:r>
        <w:rPr>
          <w:b/>
          <w:i w:val="0"/>
        </w:rPr>
        <w:t>.</w:t>
      </w:r>
      <w:r>
        <w:rPr>
          <w:b w:val="0"/>
          <w:i w:val="0"/>
        </w:rPr>
        <w:t xml:space="preserve"> Printed forms: </w:t>
      </w:r>
      <w:r>
        <w:rPr>
          <w:b w:val="0"/>
          <w:i/>
        </w:rPr>
        <w:t>annixu</w:t>
      </w:r>
      <w:r>
        <w:rPr>
          <w:b w:val="0"/>
          <w:i w:val="0"/>
        </w:rPr>
        <w:t xml:space="preserve">; </w:t>
      </w:r>
      <w:r>
        <w:rPr>
          <w:b w:val="0"/>
          <w:i/>
        </w:rPr>
        <w:t>coartant</w:t>
      </w:r>
      <w:r>
        <w:rPr>
          <w:b w:val="0"/>
          <w:i w:val="0"/>
        </w:rPr>
        <w:t>.</w:t>
      </w:r>
    </w:p>
    <w:p>
      <w:pPr>
        <w:widowControl/>
      </w:pPr>
      <w:r>
        <w:rPr>
          <w:b w:val="0"/>
          <w:i w:val="0"/>
        </w:rPr>
        <w:t xml:space="preserve">Pressing effort; constraining or pressing together. Earth’s parts are said to circle the center in a qualified manner through their mutual pressure. References: </w:t>
      </w:r>
      <w:hyperlink w:anchor="passage-iv-1-75">
        <w:r>
          <w:rPr>
            <w:color w:val="000000"/>
          </w:rPr>
          <w:t xml:space="preserve">IV.1.75</w:t>
        </w:r>
      </w:hyperlink>
      <w:r>
        <w:rPr>
          <w:b w:val="0"/>
          <w:i w:val="0"/>
        </w:rPr>
        <w:t xml:space="preserve">. See </w:t>
      </w:r>
      <w:hyperlink w:anchor="natural-motion-and-natural-place">
        <w:r>
          <w:rPr>
            <w:color w:val="000000"/>
          </w:rPr>
          <w:t xml:space="preserve">Natural motion and natural place</w:t>
        </w:r>
      </w:hyperlink>
      <w:r>
        <w:rPr>
          <w:b w:val="0"/>
          <w:i w:val="0"/>
        </w:rPr>
        <w:t>.</w:t>
      </w:r>
    </w:p>
    <w:p>
      <w:pPr>
        <w:keepNext/>
        <w:widowControl/>
      </w:pPr>
      <w:bookmarkStart w:id="327" w:name="latin-record-0076"/>
      <w:bookmarkEnd w:id="327"/>
      <w:r>
        <w:rPr>
          <w:b/>
          <w:i w:val="0"/>
        </w:rPr>
        <w:t>antecedere / sequi / praecedere</w:t>
      </w:r>
      <w:r>
        <w:rPr>
          <w:b/>
          <w:i w:val="0"/>
        </w:rPr>
        <w:t>.</w:t>
      </w:r>
      <w:r>
        <w:rPr>
          <w:b w:val="0"/>
          <w:i w:val="0"/>
        </w:rPr>
        <w:t xml:space="preserve"> Printed forms: </w:t>
      </w:r>
      <w:r>
        <w:rPr>
          <w:b w:val="0"/>
          <w:i/>
        </w:rPr>
        <w:t>antecedit</w:t>
      </w:r>
      <w:r>
        <w:rPr>
          <w:b w:val="0"/>
          <w:i w:val="0"/>
        </w:rPr>
        <w:t xml:space="preserve">; </w:t>
      </w:r>
      <w:r>
        <w:rPr>
          <w:b w:val="0"/>
          <w:i/>
        </w:rPr>
        <w:t>praecedens</w:t>
      </w:r>
      <w:r>
        <w:rPr>
          <w:b w:val="0"/>
          <w:i w:val="0"/>
        </w:rPr>
        <w:t xml:space="preserve">; </w:t>
      </w:r>
      <w:r>
        <w:rPr>
          <w:b w:val="0"/>
          <w:i/>
        </w:rPr>
        <w:t>praecedente</w:t>
      </w:r>
      <w:r>
        <w:rPr>
          <w:b w:val="0"/>
          <w:i w:val="0"/>
        </w:rPr>
        <w:t xml:space="preserve">; </w:t>
      </w:r>
      <w:r>
        <w:rPr>
          <w:b w:val="0"/>
          <w:i/>
        </w:rPr>
        <w:t>sequentes</w:t>
      </w:r>
      <w:r>
        <w:rPr>
          <w:b w:val="0"/>
          <w:i w:val="0"/>
        </w:rPr>
        <w:t xml:space="preserve">; </w:t>
      </w:r>
      <w:r>
        <w:rPr>
          <w:b w:val="0"/>
          <w:i/>
        </w:rPr>
        <w:t>sequentibus</w:t>
      </w:r>
      <w:r>
        <w:rPr>
          <w:b w:val="0"/>
          <w:i w:val="0"/>
        </w:rPr>
        <w:t xml:space="preserve">; </w:t>
      </w:r>
      <w:r>
        <w:rPr>
          <w:b w:val="0"/>
          <w:i/>
        </w:rPr>
        <w:t>succedit</w:t>
      </w:r>
      <w:r>
        <w:rPr>
          <w:b w:val="0"/>
          <w:i w:val="0"/>
        </w:rPr>
        <w:t>.</w:t>
      </w:r>
    </w:p>
    <w:p>
      <w:pPr>
        <w:widowControl/>
      </w:pPr>
      <w:r>
        <w:rPr>
          <w:b w:val="0"/>
          <w:i w:val="0"/>
        </w:rPr>
        <w:t xml:space="preserve">To precede, follow, or succeed, with temporal and explanatory uses distinguished. Later causes follow God in dependence, whereas a sequence of prior choices would postpone action indefinitely. References: </w:t>
      </w:r>
      <w:hyperlink w:anchor="passage-ii-5-1">
        <w:r>
          <w:rPr>
            <w:color w:val="000000"/>
          </w:rPr>
          <w:t xml:space="preserve">II.5.1</w:t>
        </w:r>
      </w:hyperlink>
      <w:r>
        <w:rPr>
          <w:b w:val="0"/>
          <w:i w:val="0"/>
        </w:rPr>
        <w:t xml:space="preserve">, </w:t>
      </w:r>
      <w:hyperlink w:anchor="passage-ii-7-23">
        <w:r>
          <w:rPr>
            <w:color w:val="000000"/>
          </w:rPr>
          <w:t xml:space="preserve">II.7.23</w:t>
        </w:r>
      </w:hyperlink>
      <w:r>
        <w:rPr>
          <w:b w:val="0"/>
          <w:i w:val="0"/>
        </w:rPr>
        <w:t xml:space="preserve">, </w:t>
      </w:r>
      <w:hyperlink w:anchor="passage-ii-8-3">
        <w:r>
          <w:rPr>
            <w:color w:val="000000"/>
          </w:rPr>
          <w:t xml:space="preserve">II.8.3</w:t>
        </w:r>
      </w:hyperlink>
      <w:r>
        <w:rPr>
          <w:b w:val="0"/>
          <w:i w:val="0"/>
        </w:rPr>
        <w:t xml:space="preserve">. See </w:t>
      </w:r>
      <w:hyperlink w:anchor="before-and-after-in-nature">
        <w:r>
          <w:rPr>
            <w:color w:val="000000"/>
          </w:rPr>
          <w:t xml:space="preserve">Before and after in nature</w:t>
        </w:r>
      </w:hyperlink>
      <w:r>
        <w:rPr>
          <w:b w:val="0"/>
          <w:i w:val="0"/>
        </w:rPr>
        <w:t>.</w:t>
      </w:r>
    </w:p>
    <w:p>
      <w:pPr>
        <w:keepNext/>
        <w:widowControl/>
      </w:pPr>
      <w:bookmarkStart w:id="328" w:name="latin-record-0077"/>
      <w:bookmarkEnd w:id="328"/>
      <w:r>
        <w:rPr>
          <w:b/>
          <w:i w:val="0"/>
        </w:rPr>
        <w:t>anticipare / discernere / metiri</w:t>
      </w:r>
      <w:r>
        <w:rPr>
          <w:b/>
          <w:i w:val="0"/>
        </w:rPr>
        <w:t>.</w:t>
      </w:r>
      <w:r>
        <w:rPr>
          <w:b w:val="0"/>
          <w:i w:val="0"/>
        </w:rPr>
        <w:t xml:space="preserve"> Printed forms: </w:t>
      </w:r>
      <w:r>
        <w:rPr>
          <w:b w:val="0"/>
          <w:i/>
        </w:rPr>
        <w:t>anticipet</w:t>
      </w:r>
      <w:r>
        <w:rPr>
          <w:b w:val="0"/>
          <w:i w:val="0"/>
        </w:rPr>
        <w:t xml:space="preserve">; </w:t>
      </w:r>
      <w:r>
        <w:rPr>
          <w:b w:val="0"/>
          <w:i/>
        </w:rPr>
        <w:t>discernat</w:t>
      </w:r>
      <w:r>
        <w:rPr>
          <w:b w:val="0"/>
          <w:i w:val="0"/>
        </w:rPr>
        <w:t xml:space="preserve">; </w:t>
      </w:r>
      <w:r>
        <w:rPr>
          <w:b w:val="0"/>
          <w:i/>
        </w:rPr>
        <w:t>metiatur</w:t>
      </w:r>
      <w:r>
        <w:rPr>
          <w:b w:val="0"/>
          <w:i w:val="0"/>
        </w:rPr>
        <w:t>.</w:t>
      </w:r>
    </w:p>
    <w:p>
      <w:pPr>
        <w:widowControl/>
      </w:pPr>
      <w:r>
        <w:rPr>
          <w:b w:val="0"/>
          <w:i w:val="0"/>
        </w:rPr>
        <w:t xml:space="preserve">Anticipate / distinguish / measure. Intellect anticipates an end, distinguishes routes, and measures their proportion before will approves the end in the exposition. References: </w:t>
      </w:r>
      <w:hyperlink w:anchor="passage-ii-11-25">
        <w:r>
          <w:rPr>
            <w:color w:val="000000"/>
          </w:rPr>
          <w:t xml:space="preserve">II.11.25</w:t>
        </w:r>
      </w:hyperlink>
      <w:r>
        <w:rPr>
          <w:b w:val="0"/>
          <w:i w:val="0"/>
        </w:rPr>
        <w:t xml:space="preserve">. See </w:t>
      </w:r>
      <w:hyperlink w:anchor="assent-and-approval">
        <w:r>
          <w:rPr>
            <w:color w:val="000000"/>
          </w:rPr>
          <w:t xml:space="preserve">Assent of will</w:t>
        </w:r>
      </w:hyperlink>
      <w:r>
        <w:rPr>
          <w:b w:val="0"/>
          <w:i w:val="0"/>
        </w:rPr>
        <w:t>.</w:t>
      </w:r>
    </w:p>
    <w:p>
      <w:pPr>
        <w:keepNext/>
        <w:widowControl/>
      </w:pPr>
      <w:bookmarkStart w:id="329" w:name="latin-record-0078"/>
      <w:bookmarkEnd w:id="329"/>
      <w:r>
        <w:rPr>
          <w:b/>
          <w:i w:val="0"/>
        </w:rPr>
        <w:t>Antipodes / semicirculus</w:t>
      </w:r>
      <w:r>
        <w:rPr>
          <w:b/>
          <w:i w:val="0"/>
        </w:rPr>
        <w:t>.</w:t>
      </w:r>
      <w:r>
        <w:rPr>
          <w:b w:val="0"/>
          <w:i w:val="0"/>
        </w:rPr>
        <w:t xml:space="preserve"> Printed forms: </w:t>
      </w:r>
      <w:r>
        <w:rPr>
          <w:b w:val="0"/>
          <w:i/>
        </w:rPr>
        <w:t>Antipodum</w:t>
      </w:r>
      <w:r>
        <w:rPr>
          <w:b w:val="0"/>
          <w:i w:val="0"/>
        </w:rPr>
        <w:t xml:space="preserve">; </w:t>
      </w:r>
      <w:r>
        <w:rPr>
          <w:b w:val="0"/>
          <w:i/>
        </w:rPr>
        <w:t>semicirculus</w:t>
      </w:r>
      <w:r>
        <w:rPr>
          <w:b w:val="0"/>
          <w:i w:val="0"/>
        </w:rPr>
        <w:t>.</w:t>
      </w:r>
    </w:p>
    <w:p>
      <w:pPr>
        <w:widowControl/>
      </w:pPr>
      <w:r>
        <w:rPr>
          <w:b w:val="0"/>
          <w:i w:val="0"/>
        </w:rPr>
        <w:t xml:space="preserve">Those on the opposite side; a half-circle or relevant half of the sphere. The imagined stopped Saturnian sphere places one half overhead here and one over the Antipodes to test any privileged position. References: </w:t>
      </w:r>
      <w:hyperlink w:anchor="passage-iv-2-24">
        <w:r>
          <w:rPr>
            <w:color w:val="000000"/>
          </w:rPr>
          <w:t xml:space="preserve">IV.2.24</w:t>
        </w:r>
      </w:hyperlink>
      <w:r>
        <w:rPr>
          <w:b w:val="0"/>
          <w:i w:val="0"/>
        </w:rPr>
        <w:t xml:space="preserve">. See </w:t>
      </w:r>
      <w:hyperlink w:anchor="here-there-and-antipodes">
        <w:r>
          <w:rPr>
            <w:color w:val="000000"/>
          </w:rPr>
          <w:t xml:space="preserve">Here, there, and the Antipodes</w:t>
        </w:r>
      </w:hyperlink>
      <w:r>
        <w:rPr>
          <w:b w:val="0"/>
          <w:i w:val="0"/>
        </w:rPr>
        <w:t>.</w:t>
      </w:r>
    </w:p>
    <w:p>
      <w:pPr>
        <w:keepNext/>
        <w:widowControl/>
      </w:pPr>
      <w:bookmarkStart w:id="330" w:name="latin-record-0079"/>
      <w:bookmarkEnd w:id="330"/>
      <w:r>
        <w:rPr>
          <w:b/>
          <w:i w:val="0"/>
        </w:rPr>
        <w:t>Apelles / pratum</w:t>
      </w:r>
      <w:r>
        <w:rPr>
          <w:b/>
          <w:i w:val="0"/>
        </w:rPr>
        <w:t>.</w:t>
      </w:r>
      <w:r>
        <w:rPr>
          <w:b w:val="0"/>
          <w:i w:val="0"/>
        </w:rPr>
        <w:t xml:space="preserve"> Printed forms: </w:t>
      </w:r>
      <w:r>
        <w:rPr>
          <w:b w:val="0"/>
          <w:i/>
        </w:rPr>
        <w:t>Apelles</w:t>
      </w:r>
      <w:r>
        <w:rPr>
          <w:b w:val="0"/>
          <w:i w:val="0"/>
        </w:rPr>
        <w:t xml:space="preserve">; </w:t>
      </w:r>
      <w:r>
        <w:rPr>
          <w:b w:val="0"/>
          <w:i/>
        </w:rPr>
        <w:t>Apellis</w:t>
      </w:r>
      <w:r>
        <w:rPr>
          <w:b w:val="0"/>
          <w:i w:val="0"/>
        </w:rPr>
        <w:t xml:space="preserve">; </w:t>
      </w:r>
      <w:r>
        <w:rPr>
          <w:b w:val="0"/>
          <w:i/>
        </w:rPr>
        <w:t>Pratum</w:t>
      </w:r>
      <w:r>
        <w:rPr>
          <w:b w:val="0"/>
          <w:i w:val="0"/>
        </w:rPr>
        <w:t xml:space="preserve">; </w:t>
      </w:r>
      <w:r>
        <w:rPr>
          <w:b w:val="0"/>
          <w:i/>
        </w:rPr>
        <w:t>pratum</w:t>
      </w:r>
      <w:r>
        <w:rPr>
          <w:b w:val="0"/>
          <w:i w:val="0"/>
        </w:rPr>
        <w:t>.</w:t>
      </w:r>
    </w:p>
    <w:p>
      <w:pPr>
        <w:widowControl/>
      </w:pPr>
      <w:r>
        <w:rPr>
          <w:b w:val="0"/>
          <w:i w:val="0"/>
        </w:rPr>
        <w:t xml:space="preserve">Apelles / meadow. The named painter and presented meadow distinguish an external starting point and end from soul’s inward source of succession. References: </w:t>
      </w:r>
      <w:hyperlink w:anchor="passage-iii-1-27">
        <w:r>
          <w:rPr>
            <w:color w:val="000000"/>
          </w:rPr>
          <w:t xml:space="preserve">III.1.27</w:t>
        </w:r>
      </w:hyperlink>
      <w:r>
        <w:rPr>
          <w:b w:val="0"/>
          <w:i w:val="0"/>
        </w:rPr>
        <w:t xml:space="preserve">, </w:t>
      </w:r>
      <w:hyperlink w:anchor="passage-iii-1-29">
        <w:r>
          <w:rPr>
            <w:color w:val="000000"/>
          </w:rPr>
          <w:t xml:space="preserve">III.1.29</w:t>
        </w:r>
      </w:hyperlink>
      <w:r>
        <w:rPr>
          <w:b w:val="0"/>
          <w:i w:val="0"/>
        </w:rPr>
        <w:t xml:space="preserve">. See </w:t>
      </w:r>
      <w:hyperlink w:anchor="apelles-and-the-meadow">
        <w:r>
          <w:rPr>
            <w:color w:val="000000"/>
          </w:rPr>
          <w:t xml:space="preserve">Apelles and the meadow</w:t>
        </w:r>
      </w:hyperlink>
      <w:r>
        <w:rPr>
          <w:b w:val="0"/>
          <w:i w:val="0"/>
        </w:rPr>
        <w:t>.</w:t>
      </w:r>
    </w:p>
    <w:p>
      <w:pPr>
        <w:keepNext/>
        <w:widowControl/>
      </w:pPr>
      <w:bookmarkStart w:id="331" w:name="latin-record-0080"/>
      <w:bookmarkEnd w:id="331"/>
      <w:r>
        <w:rPr>
          <w:b/>
          <w:i w:val="0"/>
        </w:rPr>
        <w:t>apex</w:t>
      </w:r>
      <w:r>
        <w:rPr>
          <w:b/>
          <w:i w:val="0"/>
        </w:rPr>
        <w:t>.</w:t>
      </w:r>
      <w:r>
        <w:rPr>
          <w:b w:val="0"/>
          <w:i w:val="0"/>
        </w:rPr>
        <w:t xml:space="preserve"> Printed forms: </w:t>
      </w:r>
      <w:r>
        <w:rPr>
          <w:b w:val="0"/>
          <w:i/>
        </w:rPr>
        <w:t>apicem</w:t>
      </w:r>
      <w:r>
        <w:rPr>
          <w:b w:val="0"/>
          <w:i w:val="0"/>
        </w:rPr>
        <w:t>.</w:t>
      </w:r>
    </w:p>
    <w:p>
      <w:pPr>
        <w:widowControl/>
      </w:pPr>
      <w:r>
        <w:rPr>
          <w:b w:val="0"/>
          <w:i w:val="0"/>
        </w:rPr>
        <w:t xml:space="preserve">The summit. A form divided in body is denied the status of nature’s summit; the spatial noun summarizes a hierarchy of causal independence. References: </w:t>
      </w:r>
      <w:hyperlink w:anchor="passage-i-3-31">
        <w:r>
          <w:rPr>
            <w:color w:val="000000"/>
          </w:rPr>
          <w:t xml:space="preserve">I.3.31</w:t>
        </w:r>
      </w:hyperlink>
      <w:r>
        <w:rPr>
          <w:b w:val="0"/>
          <w:i w:val="0"/>
        </w:rPr>
        <w:t xml:space="preserve">. See </w:t>
      </w:r>
      <w:hyperlink w:anchor="ascent">
        <w:r>
          <w:rPr>
            <w:color w:val="000000"/>
          </w:rPr>
          <w:t xml:space="preserve">Ascent</w:t>
        </w:r>
      </w:hyperlink>
      <w:r>
        <w:rPr>
          <w:b w:val="0"/>
          <w:i w:val="0"/>
        </w:rPr>
        <w:t>.</w:t>
      </w:r>
    </w:p>
    <w:p>
      <w:pPr>
        <w:keepNext/>
        <w:widowControl/>
      </w:pPr>
      <w:bookmarkStart w:id="332" w:name="latin-record-0081"/>
      <w:bookmarkEnd w:id="332"/>
      <w:r>
        <w:rPr>
          <w:b/>
          <w:i w:val="0"/>
        </w:rPr>
        <w:t>Apollo / cithara / contemperare</w:t>
      </w:r>
      <w:r>
        <w:rPr>
          <w:b/>
          <w:i w:val="0"/>
        </w:rPr>
        <w:t>.</w:t>
      </w:r>
      <w:r>
        <w:rPr>
          <w:b w:val="0"/>
          <w:i w:val="0"/>
        </w:rPr>
        <w:t xml:space="preserve"> Printed forms: </w:t>
      </w:r>
      <w:r>
        <w:rPr>
          <w:b w:val="0"/>
          <w:i/>
        </w:rPr>
        <w:t>Apollinis</w:t>
      </w:r>
      <w:r>
        <w:rPr>
          <w:b w:val="0"/>
          <w:i w:val="0"/>
        </w:rPr>
        <w:t xml:space="preserve">; </w:t>
      </w:r>
      <w:r>
        <w:rPr>
          <w:b w:val="0"/>
          <w:i/>
        </w:rPr>
        <w:t>cithara</w:t>
      </w:r>
      <w:r>
        <w:rPr>
          <w:b w:val="0"/>
          <w:i w:val="0"/>
        </w:rPr>
        <w:t xml:space="preserve">; </w:t>
      </w:r>
      <w:r>
        <w:rPr>
          <w:b w:val="0"/>
          <w:i/>
        </w:rPr>
        <w:t>contemperas</w:t>
      </w:r>
      <w:r>
        <w:rPr>
          <w:b w:val="0"/>
          <w:i w:val="0"/>
        </w:rPr>
        <w:t xml:space="preserve">; </w:t>
      </w:r>
      <w:r>
        <w:rPr>
          <w:b w:val="0"/>
          <w:i/>
        </w:rPr>
        <w:t>resonante</w:t>
      </w:r>
      <w:r>
        <w:rPr>
          <w:b w:val="0"/>
          <w:i w:val="0"/>
        </w:rPr>
        <w:t>.</w:t>
      </w:r>
    </w:p>
    <w:p>
      <w:pPr>
        <w:widowControl/>
      </w:pPr>
      <w:r>
        <w:rPr>
          <w:b w:val="0"/>
          <w:i w:val="0"/>
        </w:rPr>
        <w:t xml:space="preserve">Apollo, lyre, and bringing into harmony. The attributed hymn gives musical form to the claim that divine ordering includes the whole sphere. References: </w:t>
      </w:r>
      <w:hyperlink w:anchor="passage-ii-9-22">
        <w:r>
          <w:rPr>
            <w:color w:val="000000"/>
          </w:rPr>
          <w:t xml:space="preserve">II.9.22</w:t>
        </w:r>
      </w:hyperlink>
      <w:r>
        <w:rPr>
          <w:b w:val="0"/>
          <w:i w:val="0"/>
        </w:rPr>
        <w:t xml:space="preserve">. See </w:t>
      </w:r>
      <w:hyperlink w:anchor="apollo">
        <w:r>
          <w:rPr>
            <w:color w:val="000000"/>
          </w:rPr>
          <w:t xml:space="preserve">Apollo</w:t>
        </w:r>
      </w:hyperlink>
      <w:r>
        <w:rPr>
          <w:b w:val="0"/>
          <w:i w:val="0"/>
        </w:rPr>
        <w:t>.</w:t>
      </w:r>
    </w:p>
    <w:p>
      <w:pPr>
        <w:keepNext/>
        <w:widowControl/>
      </w:pPr>
      <w:bookmarkStart w:id="333" w:name="latin-record-0082"/>
      <w:bookmarkEnd w:id="333"/>
      <w:r>
        <w:rPr>
          <w:b/>
          <w:i w:val="0"/>
        </w:rPr>
        <w:t>Apollo / simplex et semotus</w:t>
      </w:r>
      <w:r>
        <w:rPr>
          <w:b/>
          <w:i w:val="0"/>
        </w:rPr>
        <w:t>.</w:t>
      </w:r>
      <w:r>
        <w:rPr>
          <w:b w:val="0"/>
          <w:i w:val="0"/>
        </w:rPr>
        <w:t xml:space="preserve"> Printed forms: </w:t>
      </w:r>
      <w:r>
        <w:rPr>
          <w:b w:val="0"/>
          <w:i/>
        </w:rPr>
        <w:t>semotum a multitudine</w:t>
      </w:r>
      <w:r>
        <w:rPr>
          <w:b w:val="0"/>
          <w:i w:val="0"/>
        </w:rPr>
        <w:t xml:space="preserve">; </w:t>
      </w:r>
      <w:r>
        <w:rPr>
          <w:b w:val="0"/>
          <w:i/>
        </w:rPr>
        <w:t>simplicem</w:t>
      </w:r>
      <w:r>
        <w:rPr>
          <w:b w:val="0"/>
          <w:i w:val="0"/>
        </w:rPr>
        <w:t xml:space="preserve">; </w:t>
      </w:r>
      <w:r>
        <w:rPr>
          <w:b w:val="0"/>
          <w:i/>
        </w:rPr>
        <w:t>universalem Apollinem</w:t>
      </w:r>
      <w:r>
        <w:rPr>
          <w:b w:val="0"/>
          <w:i w:val="0"/>
        </w:rPr>
        <w:t>.</w:t>
      </w:r>
    </w:p>
    <w:p>
      <w:pPr>
        <w:widowControl/>
      </w:pPr>
      <w:r>
        <w:rPr>
          <w:b w:val="0"/>
          <w:i w:val="0"/>
        </w:rPr>
        <w:t xml:space="preserve">Apollo interpreted through simplicity and removal from plurality. The offered Greek wordplays are Ficino’s attributed Pythagorean interpretation, not independently established etymologies. References: </w:t>
      </w:r>
      <w:hyperlink w:anchor="passage-iv-1-51">
        <w:r>
          <w:rPr>
            <w:color w:val="000000"/>
          </w:rPr>
          <w:t xml:space="preserve">IV.1.51</w:t>
        </w:r>
      </w:hyperlink>
      <w:r>
        <w:rPr>
          <w:b w:val="0"/>
          <w:i w:val="0"/>
        </w:rPr>
        <w:t xml:space="preserve">. See </w:t>
      </w:r>
      <w:hyperlink w:anchor="apollo">
        <w:r>
          <w:rPr>
            <w:color w:val="000000"/>
          </w:rPr>
          <w:t xml:space="preserve">Apollo</w:t>
        </w:r>
      </w:hyperlink>
      <w:r>
        <w:rPr>
          <w:b w:val="0"/>
          <w:i w:val="0"/>
        </w:rPr>
        <w:t>.</w:t>
      </w:r>
    </w:p>
    <w:p>
      <w:pPr>
        <w:keepNext/>
        <w:widowControl/>
      </w:pPr>
      <w:bookmarkStart w:id="334" w:name="latin-record-0083"/>
      <w:bookmarkEnd w:id="334"/>
      <w:r>
        <w:rPr>
          <w:b/>
          <w:i w:val="0"/>
        </w:rPr>
        <w:t>appareo / pateo</w:t>
      </w:r>
      <w:r>
        <w:rPr>
          <w:b/>
          <w:i w:val="0"/>
        </w:rPr>
        <w:t>.</w:t>
      </w:r>
      <w:r>
        <w:rPr>
          <w:b w:val="0"/>
          <w:i w:val="0"/>
        </w:rPr>
        <w:t xml:space="preserve"> Printed forms: </w:t>
      </w:r>
      <w:r>
        <w:rPr>
          <w:b w:val="0"/>
          <w:i/>
        </w:rPr>
        <w:t>appareat</w:t>
      </w:r>
      <w:r>
        <w:rPr>
          <w:b w:val="0"/>
          <w:i w:val="0"/>
        </w:rPr>
        <w:t xml:space="preserve">; </w:t>
      </w:r>
      <w:r>
        <w:rPr>
          <w:b w:val="0"/>
          <w:i/>
        </w:rPr>
        <w:t>apparet</w:t>
      </w:r>
      <w:r>
        <w:rPr>
          <w:b w:val="0"/>
          <w:i w:val="0"/>
        </w:rPr>
        <w:t xml:space="preserve">; </w:t>
      </w:r>
      <w:r>
        <w:rPr>
          <w:b w:val="0"/>
          <w:i/>
        </w:rPr>
        <w:t>patet</w:t>
      </w:r>
      <w:r>
        <w:rPr>
          <w:b w:val="0"/>
          <w:i w:val="0"/>
        </w:rPr>
        <w:t>.</w:t>
      </w:r>
    </w:p>
    <w:p>
      <w:pPr>
        <w:widowControl/>
      </w:pPr>
      <w:r>
        <w:rPr>
          <w:b w:val="0"/>
          <w:i w:val="0"/>
        </w:rPr>
        <w:t xml:space="preserve">To appear, become evident or be manifest. These verbs introduce what Ficino takes an argument or comparison to show; their evidential force depends on the surrounding support, not the verb alone. References: </w:t>
      </w:r>
      <w:hyperlink w:anchor="passage-i-1-3">
        <w:r>
          <w:rPr>
            <w:color w:val="000000"/>
          </w:rPr>
          <w:t xml:space="preserve">I.1.3</w:t>
        </w:r>
      </w:hyperlink>
      <w:r>
        <w:rPr>
          <w:b w:val="0"/>
          <w:i w:val="0"/>
        </w:rPr>
        <w:t xml:space="preserve">, </w:t>
      </w:r>
      <w:hyperlink w:anchor="passage-i-1-7">
        <w:r>
          <w:rPr>
            <w:color w:val="000000"/>
          </w:rPr>
          <w:t xml:space="preserve">I.1.7</w:t>
        </w:r>
      </w:hyperlink>
      <w:r>
        <w:rPr>
          <w:b w:val="0"/>
          <w:i w:val="0"/>
        </w:rPr>
        <w:t xml:space="preserve">, </w:t>
      </w:r>
      <w:hyperlink w:anchor="passage-i-2-2">
        <w:r>
          <w:rPr>
            <w:color w:val="000000"/>
          </w:rPr>
          <w:t xml:space="preserve">I.2.2</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335" w:name="latin-record-0084"/>
      <w:bookmarkEnd w:id="335"/>
      <w:r>
        <w:rPr>
          <w:b/>
          <w:i w:val="0"/>
        </w:rPr>
        <w:t>appellatio / nomen / proprie</w:t>
      </w:r>
      <w:r>
        <w:rPr>
          <w:b/>
          <w:i w:val="0"/>
        </w:rPr>
        <w:t>.</w:t>
      </w:r>
      <w:r>
        <w:rPr>
          <w:b w:val="0"/>
          <w:i w:val="0"/>
        </w:rPr>
        <w:t xml:space="preserve"> Printed forms: </w:t>
      </w:r>
      <w:r>
        <w:rPr>
          <w:b w:val="0"/>
          <w:i/>
        </w:rPr>
        <w:t>appellationes</w:t>
      </w:r>
      <w:r>
        <w:rPr>
          <w:b w:val="0"/>
          <w:i w:val="0"/>
        </w:rPr>
        <w:t xml:space="preserve">; </w:t>
      </w:r>
      <w:r>
        <w:rPr>
          <w:b w:val="0"/>
          <w:i/>
        </w:rPr>
        <w:t>nomen</w:t>
      </w:r>
      <w:r>
        <w:rPr>
          <w:b w:val="0"/>
          <w:i w:val="0"/>
        </w:rPr>
        <w:t xml:space="preserve">; </w:t>
      </w:r>
      <w:r>
        <w:rPr>
          <w:b w:val="0"/>
          <w:i/>
        </w:rPr>
        <w:t>Proprie</w:t>
      </w:r>
      <w:r>
        <w:rPr>
          <w:b w:val="0"/>
          <w:i w:val="0"/>
        </w:rPr>
        <w:t>.</w:t>
      </w:r>
    </w:p>
    <w:p>
      <w:pPr>
        <w:widowControl/>
      </w:pPr>
      <w:r>
        <w:rPr>
          <w:b w:val="0"/>
          <w:i w:val="0"/>
        </w:rPr>
        <w:t xml:space="preserve">A designation, name, or strict application of a name. Intellectual names apply to God by cause rather than form, whereas angel is properly mind. References: </w:t>
      </w:r>
      <w:hyperlink w:anchor="passage-ii-9-12">
        <w:r>
          <w:rPr>
            <w:color w:val="000000"/>
          </w:rPr>
          <w:t xml:space="preserve">II.9.12</w:t>
        </w:r>
      </w:hyperlink>
      <w:r>
        <w:rPr>
          <w:b w:val="0"/>
          <w:i w:val="0"/>
        </w:rPr>
        <w:t xml:space="preserve">. See </w:t>
      </w:r>
      <w:hyperlink w:anchor="naming-by-cause">
        <w:r>
          <w:rPr>
            <w:color w:val="000000"/>
          </w:rPr>
          <w:t xml:space="preserve">Naming by cause</w:t>
        </w:r>
      </w:hyperlink>
      <w:r>
        <w:rPr>
          <w:b w:val="0"/>
          <w:i w:val="0"/>
        </w:rPr>
        <w:t>.</w:t>
      </w:r>
    </w:p>
    <w:p>
      <w:pPr>
        <w:keepNext/>
        <w:widowControl/>
      </w:pPr>
      <w:bookmarkStart w:id="336" w:name="latin-record-0085"/>
      <w:bookmarkEnd w:id="336"/>
      <w:r>
        <w:rPr>
          <w:b/>
          <w:i w:val="0"/>
        </w:rPr>
        <w:t>appetibile / effectrix</w:t>
      </w:r>
      <w:r>
        <w:rPr>
          <w:b/>
          <w:i w:val="0"/>
        </w:rPr>
        <w:t>.</w:t>
      </w:r>
      <w:r>
        <w:rPr>
          <w:b w:val="0"/>
          <w:i w:val="0"/>
        </w:rPr>
        <w:t xml:space="preserve"> Printed forms: </w:t>
      </w:r>
      <w:r>
        <w:rPr>
          <w:b w:val="0"/>
          <w:i/>
        </w:rPr>
        <w:t>appetibile</w:t>
      </w:r>
      <w:r>
        <w:rPr>
          <w:b w:val="0"/>
          <w:i w:val="0"/>
        </w:rPr>
        <w:t xml:space="preserve">; </w:t>
      </w:r>
      <w:r>
        <w:rPr>
          <w:b w:val="0"/>
          <w:i/>
        </w:rPr>
        <w:t>effectrixque</w:t>
      </w:r>
      <w:r>
        <w:rPr>
          <w:b w:val="0"/>
          <w:i w:val="0"/>
        </w:rPr>
        <w:t>.</w:t>
      </w:r>
    </w:p>
    <w:p>
      <w:pPr>
        <w:widowControl/>
      </w:pPr>
      <w:r>
        <w:rPr>
          <w:b w:val="0"/>
          <w:i w:val="0"/>
        </w:rPr>
        <w:t xml:space="preserve">An object of desire; a producer of motion. God moves as the good sought, while an interior desiring form produces the body’s movement toward that end. References: </w:t>
      </w:r>
      <w:hyperlink w:anchor="passage-iv-1-61">
        <w:r>
          <w:rPr>
            <w:color w:val="000000"/>
          </w:rPr>
          <w:t xml:space="preserve">IV.1.61</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337" w:name="latin-record-0086"/>
      <w:bookmarkEnd w:id="337"/>
      <w:r>
        <w:rPr>
          <w:b/>
          <w:i w:val="0"/>
        </w:rPr>
        <w:t>appetibilis / appetere</w:t>
      </w:r>
      <w:r>
        <w:rPr>
          <w:b/>
          <w:i w:val="0"/>
        </w:rPr>
        <w:t>.</w:t>
      </w:r>
      <w:r>
        <w:rPr>
          <w:b w:val="0"/>
          <w:i w:val="0"/>
        </w:rPr>
        <w:t xml:space="preserve"> Printed forms: </w:t>
      </w:r>
      <w:r>
        <w:rPr>
          <w:b w:val="0"/>
          <w:i/>
        </w:rPr>
        <w:t>appetant</w:t>
      </w:r>
      <w:r>
        <w:rPr>
          <w:b w:val="0"/>
          <w:i w:val="0"/>
        </w:rPr>
        <w:t xml:space="preserve">; </w:t>
      </w:r>
      <w:r>
        <w:rPr>
          <w:b w:val="0"/>
          <w:i/>
        </w:rPr>
        <w:t>appetere</w:t>
      </w:r>
      <w:r>
        <w:rPr>
          <w:b w:val="0"/>
          <w:i w:val="0"/>
        </w:rPr>
        <w:t xml:space="preserve">; </w:t>
      </w:r>
      <w:r>
        <w:rPr>
          <w:b w:val="0"/>
          <w:i/>
        </w:rPr>
        <w:t>appetibilia</w:t>
      </w:r>
      <w:r>
        <w:rPr>
          <w:b w:val="0"/>
          <w:i w:val="0"/>
        </w:rPr>
        <w:t xml:space="preserve">; </w:t>
      </w:r>
      <w:r>
        <w:rPr>
          <w:b w:val="0"/>
          <w:i/>
        </w:rPr>
        <w:t>appetibilis</w:t>
      </w:r>
      <w:r>
        <w:rPr>
          <w:b w:val="0"/>
          <w:i w:val="0"/>
        </w:rPr>
        <w:t xml:space="preserve">; </w:t>
      </w:r>
      <w:r>
        <w:rPr>
          <w:b w:val="0"/>
          <w:i/>
        </w:rPr>
        <w:t>appetitum</w:t>
      </w:r>
      <w:r>
        <w:rPr>
          <w:b w:val="0"/>
          <w:i w:val="0"/>
        </w:rPr>
        <w:t xml:space="preserve">; </w:t>
      </w:r>
      <w:r>
        <w:rPr>
          <w:b w:val="0"/>
          <w:i/>
        </w:rPr>
        <w:t>appetitus</w:t>
      </w:r>
      <w:r>
        <w:rPr>
          <w:b w:val="0"/>
          <w:i w:val="0"/>
        </w:rPr>
        <w:t>.</w:t>
      </w:r>
    </w:p>
    <w:p>
      <w:pPr>
        <w:widowControl/>
      </w:pPr>
      <w:r>
        <w:rPr>
          <w:b w:val="0"/>
          <w:i w:val="0"/>
        </w:rPr>
        <w:t xml:space="preserve">Desirable, and directed appetite toward what presents itself as good. Desire requires a first source and final end; intelligence is itself desired as a good. References: </w:t>
      </w:r>
      <w:hyperlink w:anchor="passage-ii-1-5">
        <w:r>
          <w:rPr>
            <w:color w:val="000000"/>
          </w:rPr>
          <w:t xml:space="preserve">II.1.5</w:t>
        </w:r>
      </w:hyperlink>
      <w:r>
        <w:rPr>
          <w:b w:val="0"/>
          <w:i w:val="0"/>
        </w:rPr>
        <w:t xml:space="preserve">, </w:t>
      </w:r>
      <w:hyperlink w:anchor="passage-ii-1-6">
        <w:r>
          <w:rPr>
            <w:color w:val="000000"/>
          </w:rPr>
          <w:t xml:space="preserve">II.1.6</w:t>
        </w:r>
      </w:hyperlink>
      <w:r>
        <w:rPr>
          <w:b w:val="0"/>
          <w:i w:val="0"/>
        </w:rPr>
        <w:t xml:space="preserve">, </w:t>
      </w:r>
      <w:hyperlink w:anchor="passage-ii-3-9">
        <w:r>
          <w:rPr>
            <w:color w:val="000000"/>
          </w:rPr>
          <w:t xml:space="preserve">II.3.9</w:t>
        </w:r>
      </w:hyperlink>
      <w:r>
        <w:rPr>
          <w:b w:val="0"/>
          <w:i w:val="0"/>
        </w:rPr>
        <w:t xml:space="preserve">, </w:t>
      </w:r>
      <w:hyperlink w:anchor="passage-ii-9-2">
        <w:r>
          <w:rPr>
            <w:color w:val="000000"/>
          </w:rPr>
          <w:t xml:space="preserve">II.9.2</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338" w:name="latin-record-0087"/>
      <w:bookmarkEnd w:id="338"/>
      <w:r>
        <w:rPr>
          <w:b/>
          <w:i w:val="0"/>
        </w:rPr>
        <w:t>appetitus excitatus</w:t>
      </w:r>
      <w:r>
        <w:rPr>
          <w:b/>
          <w:i w:val="0"/>
        </w:rPr>
        <w:t>.</w:t>
      </w:r>
      <w:r>
        <w:rPr>
          <w:b w:val="0"/>
          <w:i w:val="0"/>
        </w:rPr>
        <w:t xml:space="preserve"> Printed forms: </w:t>
      </w:r>
      <w:r>
        <w:rPr>
          <w:b w:val="0"/>
          <w:i/>
        </w:rPr>
        <w:t>appetitum</w:t>
      </w:r>
      <w:r>
        <w:rPr>
          <w:b w:val="0"/>
          <w:i w:val="0"/>
        </w:rPr>
        <w:t xml:space="preserve">; </w:t>
      </w:r>
      <w:r>
        <w:rPr>
          <w:b w:val="0"/>
          <w:i/>
        </w:rPr>
        <w:t>excitatur</w:t>
      </w:r>
      <w:r>
        <w:rPr>
          <w:b w:val="0"/>
          <w:i w:val="0"/>
        </w:rPr>
        <w:t>.</w:t>
      </w:r>
    </w:p>
    <w:p>
      <w:pPr>
        <w:widowControl/>
      </w:pPr>
      <w:r>
        <w:rPr>
          <w:b w:val="0"/>
          <w:i w:val="0"/>
        </w:rPr>
        <w:t xml:space="preserve">Appetite aroused by cognition. Heavenly motion is compared with a human soul moving its body through appetite awakened by thought. References: </w:t>
      </w:r>
      <w:hyperlink w:anchor="passage-iv-2-1">
        <w:r>
          <w:rPr>
            <w:color w:val="000000"/>
          </w:rPr>
          <w:t xml:space="preserve">IV.2.1</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339" w:name="latin-record-0088"/>
      <w:bookmarkEnd w:id="339"/>
      <w:r>
        <w:rPr>
          <w:b/>
          <w:i w:val="0"/>
        </w:rPr>
        <w:t>approbare / eligere</w:t>
      </w:r>
      <w:r>
        <w:rPr>
          <w:b/>
          <w:i w:val="0"/>
        </w:rPr>
        <w:t>.</w:t>
      </w:r>
      <w:r>
        <w:rPr>
          <w:b w:val="0"/>
          <w:i w:val="0"/>
        </w:rPr>
        <w:t xml:space="preserve"> Printed forms: </w:t>
      </w:r>
      <w:r>
        <w:rPr>
          <w:b w:val="0"/>
          <w:i/>
        </w:rPr>
        <w:t>approbet</w:t>
      </w:r>
      <w:r>
        <w:rPr>
          <w:b w:val="0"/>
          <w:i w:val="0"/>
        </w:rPr>
        <w:t xml:space="preserve">; </w:t>
      </w:r>
      <w:r>
        <w:rPr>
          <w:b w:val="0"/>
          <w:i/>
        </w:rPr>
        <w:t>eligat</w:t>
      </w:r>
      <w:r>
        <w:rPr>
          <w:b w:val="0"/>
          <w:i w:val="0"/>
        </w:rPr>
        <w:t>.</w:t>
      </w:r>
    </w:p>
    <w:p>
      <w:pPr>
        <w:widowControl/>
      </w:pPr>
      <w:r>
        <w:rPr>
          <w:b w:val="0"/>
          <w:i w:val="0"/>
        </w:rPr>
        <w:t xml:space="preserve">Approve / choose. Approval concerns the end; choice prefers one path among alternatives. These functions are not identical with merely knowing the end. References: </w:t>
      </w:r>
      <w:hyperlink w:anchor="passage-ii-11-25">
        <w:r>
          <w:rPr>
            <w:color w:val="000000"/>
          </w:rPr>
          <w:t xml:space="preserve">II.11.25</w:t>
        </w:r>
      </w:hyperlink>
      <w:r>
        <w:rPr>
          <w:b w:val="0"/>
          <w:i w:val="0"/>
        </w:rPr>
        <w:t xml:space="preserve">, </w:t>
      </w:r>
      <w:hyperlink w:anchor="passage-ii-11-26">
        <w:r>
          <w:rPr>
            <w:color w:val="000000"/>
          </w:rPr>
          <w:t xml:space="preserve">II.11.26</w:t>
        </w:r>
      </w:hyperlink>
      <w:r>
        <w:rPr>
          <w:b w:val="0"/>
          <w:i w:val="0"/>
        </w:rPr>
        <w:t xml:space="preserve">. See </w:t>
      </w:r>
      <w:hyperlink w:anchor="assent-and-approval">
        <w:r>
          <w:rPr>
            <w:color w:val="000000"/>
          </w:rPr>
          <w:t xml:space="preserve">Assent of will</w:t>
        </w:r>
      </w:hyperlink>
      <w:r>
        <w:rPr>
          <w:b w:val="0"/>
          <w:i w:val="0"/>
        </w:rPr>
        <w:t>.</w:t>
      </w:r>
    </w:p>
    <w:p>
      <w:pPr>
        <w:keepNext/>
        <w:widowControl/>
      </w:pPr>
      <w:bookmarkStart w:id="340" w:name="latin-record-0089"/>
      <w:bookmarkEnd w:id="340"/>
      <w:r>
        <w:rPr>
          <w:b/>
          <w:i w:val="0"/>
        </w:rPr>
        <w:t>aptus / convenire / congruere</w:t>
      </w:r>
      <w:r>
        <w:rPr>
          <w:b/>
          <w:i w:val="0"/>
        </w:rPr>
        <w:t>.</w:t>
      </w:r>
      <w:r>
        <w:rPr>
          <w:b w:val="0"/>
          <w:i w:val="0"/>
        </w:rPr>
        <w:t xml:space="preserve"> Printed forms: </w:t>
      </w:r>
      <w:r>
        <w:rPr>
          <w:b w:val="0"/>
          <w:i/>
        </w:rPr>
        <w:t>aptius</w:t>
      </w:r>
      <w:r>
        <w:rPr>
          <w:b w:val="0"/>
          <w:i w:val="0"/>
        </w:rPr>
        <w:t xml:space="preserve">; </w:t>
      </w:r>
      <w:r>
        <w:rPr>
          <w:b w:val="0"/>
          <w:i/>
        </w:rPr>
        <w:t>congruit</w:t>
      </w:r>
      <w:r>
        <w:rPr>
          <w:b w:val="0"/>
          <w:i w:val="0"/>
        </w:rPr>
        <w:t xml:space="preserve">; </w:t>
      </w:r>
      <w:r>
        <w:rPr>
          <w:b w:val="0"/>
          <w:i/>
        </w:rPr>
        <w:t>conveniat</w:t>
      </w:r>
      <w:r>
        <w:rPr>
          <w:b w:val="0"/>
          <w:i w:val="0"/>
        </w:rPr>
        <w:t>.</w:t>
      </w:r>
    </w:p>
    <w:p>
      <w:pPr>
        <w:widowControl/>
      </w:pPr>
      <w:r>
        <w:rPr>
          <w:b w:val="0"/>
          <w:i w:val="0"/>
        </w:rPr>
        <w:t xml:space="preserve">Fit / agree or suit. A middle nature must agree with each extreme in a different respect; practical choice likewise selects what is judged fitting to an end. References: </w:t>
      </w:r>
      <w:hyperlink w:anchor="passage-ii-13-30">
        <w:r>
          <w:rPr>
            <w:color w:val="000000"/>
          </w:rPr>
          <w:t xml:space="preserve">II.13.30</w:t>
        </w:r>
      </w:hyperlink>
      <w:r>
        <w:rPr>
          <w:b w:val="0"/>
          <w:i w:val="0"/>
        </w:rPr>
        <w:t xml:space="preserve">, </w:t>
      </w:r>
      <w:hyperlink w:anchor="passage-iii-2-2">
        <w:r>
          <w:rPr>
            <w:color w:val="000000"/>
          </w:rPr>
          <w:t xml:space="preserve">III.2.2</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341" w:name="latin-record-0090"/>
      <w:bookmarkEnd w:id="341"/>
      <w:r>
        <w:rPr>
          <w:b/>
          <w:i w:val="0"/>
        </w:rPr>
        <w:t>arcana / edo</w:t>
      </w:r>
      <w:r>
        <w:rPr>
          <w:b/>
          <w:i w:val="0"/>
        </w:rPr>
        <w:t>.</w:t>
      </w:r>
      <w:r>
        <w:rPr>
          <w:b w:val="0"/>
          <w:i w:val="0"/>
        </w:rPr>
        <w:t xml:space="preserve"> Printed forms: </w:t>
      </w:r>
      <w:r>
        <w:rPr>
          <w:b w:val="0"/>
          <w:i/>
        </w:rPr>
        <w:t>arcana</w:t>
      </w:r>
      <w:r>
        <w:rPr>
          <w:b w:val="0"/>
          <w:i w:val="0"/>
        </w:rPr>
        <w:t xml:space="preserve">; </w:t>
      </w:r>
      <w:r>
        <w:rPr>
          <w:b w:val="0"/>
          <w:i/>
        </w:rPr>
        <w:t>editurus</w:t>
      </w:r>
      <w:r>
        <w:rPr>
          <w:b w:val="0"/>
          <w:i w:val="0"/>
        </w:rPr>
        <w:t>.</w:t>
      </w:r>
    </w:p>
    <w:p>
      <w:pPr>
        <w:widowControl/>
      </w:pPr>
      <w:r>
        <w:rPr>
          <w:b w:val="0"/>
          <w:i w:val="0"/>
        </w:rPr>
        <w:t xml:space="preserve">Secrets or difficult inherited teachings, and to publish or bring them forth. The dedication claims Lorenzo already understands what will be disclosed to others; the language participates in praise of the dedicatee’s philosophical capacity. References: </w:t>
      </w:r>
      <w:hyperlink w:anchor="passage-proem-11">
        <w:r>
          <w:rPr>
            <w:color w:val="000000"/>
          </w:rPr>
          <w:t xml:space="preserve">Proem.11</w:t>
        </w:r>
      </w:hyperlink>
      <w:r>
        <w:rPr>
          <w:b w:val="0"/>
          <w:i w:val="0"/>
        </w:rPr>
        <w:t xml:space="preserve">. See </w:t>
      </w:r>
      <w:hyperlink w:anchor="lorenzo-dedication-and-public-authority">
        <w:r>
          <w:rPr>
            <w:color w:val="000000"/>
          </w:rPr>
          <w:t xml:space="preserve">Lorenzo, dedication and public authority</w:t>
        </w:r>
      </w:hyperlink>
      <w:r>
        <w:rPr>
          <w:b w:val="0"/>
          <w:i w:val="0"/>
        </w:rPr>
        <w:t>.</w:t>
      </w:r>
    </w:p>
    <w:p>
      <w:pPr>
        <w:keepNext/>
        <w:widowControl/>
      </w:pPr>
      <w:bookmarkStart w:id="342" w:name="latin-record-0091"/>
      <w:bookmarkEnd w:id="342"/>
      <w:r>
        <w:rPr>
          <w:b/>
          <w:i w:val="0"/>
        </w:rPr>
        <w:t>Archimedes / aeneus</w:t>
      </w:r>
      <w:r>
        <w:rPr>
          <w:b/>
          <w:i w:val="0"/>
        </w:rPr>
        <w:t>.</w:t>
      </w:r>
      <w:r>
        <w:rPr>
          <w:b w:val="0"/>
          <w:i w:val="0"/>
        </w:rPr>
        <w:t xml:space="preserve"> Printed forms: </w:t>
      </w:r>
      <w:r>
        <w:rPr>
          <w:b w:val="0"/>
          <w:i/>
        </w:rPr>
        <w:t>aeneae</w:t>
      </w:r>
      <w:r>
        <w:rPr>
          <w:b w:val="0"/>
          <w:i w:val="0"/>
        </w:rPr>
        <w:t xml:space="preserve">; </w:t>
      </w:r>
      <w:r>
        <w:rPr>
          <w:b w:val="0"/>
          <w:i/>
        </w:rPr>
        <w:t>Archimedis</w:t>
      </w:r>
      <w:r>
        <w:rPr>
          <w:b w:val="0"/>
          <w:i w:val="0"/>
        </w:rPr>
        <w:t>.</w:t>
      </w:r>
    </w:p>
    <w:p>
      <w:pPr>
        <w:widowControl/>
      </w:pPr>
      <w:r>
        <w:rPr>
          <w:b w:val="0"/>
          <w:i w:val="0"/>
        </w:rPr>
        <w:t xml:space="preserve">The named maker and his bronze spheres. A hypothetical comparison with their arrangement is answered by arguing for a living rational principle in the heavens. References: </w:t>
      </w:r>
      <w:hyperlink w:anchor="passage-iv-1-63">
        <w:r>
          <w:rPr>
            <w:color w:val="000000"/>
          </w:rPr>
          <w:t xml:space="preserve">IV.1.63</w:t>
        </w:r>
      </w:hyperlink>
      <w:r>
        <w:rPr>
          <w:b w:val="0"/>
          <w:i w:val="0"/>
        </w:rPr>
        <w:t xml:space="preserve">. See </w:t>
      </w:r>
      <w:hyperlink w:anchor="archimedes-and-bronze-spheres">
        <w:r>
          <w:rPr>
            <w:color w:val="000000"/>
          </w:rPr>
          <w:t xml:space="preserve">Archimedes and the bronze spheres</w:t>
        </w:r>
      </w:hyperlink>
      <w:r>
        <w:rPr>
          <w:b w:val="0"/>
          <w:i w:val="0"/>
        </w:rPr>
        <w:t>.</w:t>
      </w:r>
    </w:p>
    <w:p>
      <w:pPr>
        <w:keepNext/>
        <w:widowControl/>
      </w:pPr>
      <w:bookmarkStart w:id="343" w:name="latin-record-0092"/>
      <w:bookmarkEnd w:id="343"/>
      <w:r>
        <w:rPr>
          <w:b/>
          <w:i w:val="0"/>
        </w:rPr>
        <w:t>argumentum / arguere</w:t>
      </w:r>
      <w:r>
        <w:rPr>
          <w:b/>
          <w:i w:val="0"/>
        </w:rPr>
        <w:t>.</w:t>
      </w:r>
      <w:r>
        <w:rPr>
          <w:b w:val="0"/>
          <w:i w:val="0"/>
        </w:rPr>
        <w:t xml:space="preserve"> Printed forms: </w:t>
      </w:r>
      <w:r>
        <w:rPr>
          <w:b w:val="0"/>
          <w:i/>
        </w:rPr>
        <w:t>arguitur</w:t>
      </w:r>
      <w:r>
        <w:rPr>
          <w:b w:val="0"/>
          <w:i w:val="0"/>
        </w:rPr>
        <w:t xml:space="preserve">; </w:t>
      </w:r>
      <w:r>
        <w:rPr>
          <w:b w:val="0"/>
          <w:i/>
        </w:rPr>
        <w:t>argumentis</w:t>
      </w:r>
      <w:r>
        <w:rPr>
          <w:b w:val="0"/>
          <w:i w:val="0"/>
        </w:rPr>
        <w:t xml:space="preserve">; </w:t>
      </w:r>
      <w:r>
        <w:rPr>
          <w:b w:val="0"/>
          <w:i/>
        </w:rPr>
        <w:t>argumento</w:t>
      </w:r>
      <w:r>
        <w:rPr>
          <w:b w:val="0"/>
          <w:i w:val="0"/>
        </w:rPr>
        <w:t>.</w:t>
      </w:r>
    </w:p>
    <w:p>
      <w:pPr>
        <w:widowControl/>
      </w:pPr>
      <w:r>
        <w:rPr>
          <w:b w:val="0"/>
          <w:i w:val="0"/>
        </w:rPr>
        <w:t xml:space="preserve">An argument or evidential consideration; to expose by reasoning. Traces supply an argument for a source, while the claim limiting divine knowledge is said to be exposed as error. References: </w:t>
      </w:r>
      <w:hyperlink w:anchor="passage-ii-1-1">
        <w:r>
          <w:rPr>
            <w:color w:val="000000"/>
          </w:rPr>
          <w:t xml:space="preserve">II.1.1</w:t>
        </w:r>
      </w:hyperlink>
      <w:r>
        <w:rPr>
          <w:b w:val="0"/>
          <w:i w:val="0"/>
        </w:rPr>
        <w:t xml:space="preserve">, </w:t>
      </w:r>
      <w:hyperlink w:anchor="passage-ii-1-2">
        <w:r>
          <w:rPr>
            <w:color w:val="000000"/>
          </w:rPr>
          <w:t xml:space="preserve">II.1.2</w:t>
        </w:r>
      </w:hyperlink>
      <w:r>
        <w:rPr>
          <w:b w:val="0"/>
          <w:i w:val="0"/>
        </w:rPr>
        <w:t xml:space="preserve">, </w:t>
      </w:r>
      <w:hyperlink w:anchor="passage-ii-10-8">
        <w:r>
          <w:rPr>
            <w:color w:val="000000"/>
          </w:rPr>
          <w:t xml:space="preserve">II.10.8</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344" w:name="latin-record-0093"/>
      <w:bookmarkEnd w:id="344"/>
      <w:r>
        <w:rPr>
          <w:b/>
          <w:i w:val="0"/>
        </w:rPr>
        <w:t>arguo / convinco</w:t>
      </w:r>
      <w:r>
        <w:rPr>
          <w:b/>
          <w:i w:val="0"/>
        </w:rPr>
        <w:t>.</w:t>
      </w:r>
      <w:r>
        <w:rPr>
          <w:b w:val="0"/>
          <w:i w:val="0"/>
        </w:rPr>
        <w:t xml:space="preserve"> Printed forms: </w:t>
      </w:r>
      <w:r>
        <w:rPr>
          <w:b w:val="0"/>
          <w:i/>
        </w:rPr>
        <w:t>arguit</w:t>
      </w:r>
      <w:r>
        <w:rPr>
          <w:b w:val="0"/>
          <w:i w:val="0"/>
        </w:rPr>
        <w:t xml:space="preserve">; </w:t>
      </w:r>
      <w:r>
        <w:rPr>
          <w:b w:val="0"/>
          <w:i/>
        </w:rPr>
        <w:t>convincitur</w:t>
      </w:r>
      <w:r>
        <w:rPr>
          <w:b w:val="0"/>
          <w:i w:val="0"/>
        </w:rPr>
        <w:t>.</w:t>
      </w:r>
    </w:p>
    <w:p>
      <w:pPr>
        <w:widowControl/>
      </w:pPr>
      <w:r>
        <w:rPr>
          <w:b w:val="0"/>
          <w:i w:val="0"/>
        </w:rPr>
        <w:t xml:space="preserve">To judge against or show to be defective. The mind’s verdict that bodily form is not fully true presupposes a truer standard in Ficino’s argument. References: </w:t>
      </w:r>
      <w:hyperlink w:anchor="passage-i-3-2">
        <w:r>
          <w:rPr>
            <w:color w:val="000000"/>
          </w:rPr>
          <w:t xml:space="preserve">I.3.2</w:t>
        </w:r>
      </w:hyperlink>
      <w:r>
        <w:rPr>
          <w:b w:val="0"/>
          <w:i w:val="0"/>
        </w:rPr>
        <w:t xml:space="preserve">. See </w:t>
      </w:r>
      <w:hyperlink w:anchor="truth">
        <w:r>
          <w:rPr>
            <w:color w:val="000000"/>
          </w:rPr>
          <w:t xml:space="preserve">Truth</w:t>
        </w:r>
      </w:hyperlink>
      <w:r>
        <w:rPr>
          <w:b w:val="0"/>
          <w:i w:val="0"/>
        </w:rPr>
        <w:t>.</w:t>
      </w:r>
    </w:p>
    <w:p>
      <w:pPr>
        <w:keepNext/>
        <w:widowControl/>
      </w:pPr>
      <w:bookmarkStart w:id="345" w:name="latin-record-0094"/>
      <w:bookmarkEnd w:id="345"/>
      <w:r>
        <w:rPr>
          <w:b/>
          <w:i w:val="0"/>
        </w:rPr>
        <w:t>Aristoteles</w:t>
      </w:r>
      <w:r>
        <w:rPr>
          <w:b/>
          <w:i w:val="0"/>
        </w:rPr>
        <w:t>.</w:t>
      </w:r>
      <w:r>
        <w:rPr>
          <w:b w:val="0"/>
          <w:i w:val="0"/>
        </w:rPr>
        <w:t xml:space="preserve"> Printed forms: </w:t>
      </w:r>
      <w:r>
        <w:rPr>
          <w:b w:val="0"/>
          <w:i/>
        </w:rPr>
        <w:t>Aristoteles</w:t>
      </w:r>
      <w:r>
        <w:rPr>
          <w:b w:val="0"/>
          <w:i w:val="0"/>
        </w:rPr>
        <w:t>.</w:t>
      </w:r>
    </w:p>
    <w:p>
      <w:pPr>
        <w:widowControl/>
      </w:pPr>
      <w:r>
        <w:rPr>
          <w:b w:val="0"/>
          <w:i w:val="0"/>
        </w:rPr>
        <w:t xml:space="preserve">Aristotle as invoked authority. Ficino attributes the army analogy and inward movement comparison to Aristotelian works; the lexical record does not independently authenticate those attributions. References: </w:t>
      </w:r>
      <w:hyperlink w:anchor="passage-ii-13-8">
        <w:r>
          <w:rPr>
            <w:color w:val="000000"/>
          </w:rPr>
          <w:t xml:space="preserve">II.13.8</w:t>
        </w:r>
      </w:hyperlink>
      <w:r>
        <w:rPr>
          <w:b w:val="0"/>
          <w:i w:val="0"/>
        </w:rPr>
        <w:t xml:space="preserve">, </w:t>
      </w:r>
      <w:hyperlink w:anchor="passage-ii-13-12">
        <w:r>
          <w:rPr>
            <w:color w:val="000000"/>
          </w:rPr>
          <w:t xml:space="preserve">II.13.12</w:t>
        </w:r>
      </w:hyperlink>
      <w:r>
        <w:rPr>
          <w:b w:val="0"/>
          <w:i w:val="0"/>
        </w:rPr>
        <w:t xml:space="preserve">. See </w:t>
      </w:r>
      <w:hyperlink w:anchor="army-and-commander">
        <w:r>
          <w:rPr>
            <w:color w:val="000000"/>
          </w:rPr>
          <w:t xml:space="preserve">Army and commander</w:t>
        </w:r>
      </w:hyperlink>
      <w:r>
        <w:rPr>
          <w:b w:val="0"/>
          <w:i w:val="0"/>
        </w:rPr>
        <w:t>.</w:t>
      </w:r>
    </w:p>
    <w:p>
      <w:pPr>
        <w:keepNext/>
        <w:widowControl/>
      </w:pPr>
      <w:bookmarkStart w:id="346" w:name="latin-record-0095"/>
      <w:bookmarkEnd w:id="346"/>
      <w:r>
        <w:rPr>
          <w:b/>
          <w:i w:val="0"/>
        </w:rPr>
        <w:t>Aristoteles / Divinorum</w:t>
      </w:r>
      <w:r>
        <w:rPr>
          <w:b/>
          <w:i w:val="0"/>
        </w:rPr>
        <w:t>.</w:t>
      </w:r>
      <w:r>
        <w:rPr>
          <w:b w:val="0"/>
          <w:i w:val="0"/>
        </w:rPr>
        <w:t xml:space="preserve"> Printed forms: </w:t>
      </w:r>
      <w:r>
        <w:rPr>
          <w:b w:val="0"/>
          <w:i/>
        </w:rPr>
        <w:t>Aristoteles</w:t>
      </w:r>
      <w:r>
        <w:rPr>
          <w:b w:val="0"/>
          <w:i w:val="0"/>
        </w:rPr>
        <w:t xml:space="preserve">; </w:t>
      </w:r>
      <w:r>
        <w:rPr>
          <w:b w:val="0"/>
          <w:i/>
        </w:rPr>
        <w:t>Divinorum</w:t>
      </w:r>
      <w:r>
        <w:rPr>
          <w:b w:val="0"/>
          <w:i w:val="0"/>
        </w:rPr>
        <w:t>.</w:t>
      </w:r>
    </w:p>
    <w:p>
      <w:pPr>
        <w:widowControl/>
      </w:pPr>
      <w:r>
        <w:rPr>
          <w:b w:val="0"/>
          <w:i w:val="0"/>
        </w:rPr>
        <w:t xml:space="preserve">Aristotle and the work-title used by Ficino for the cited order argument. Ficino appeals to Averroes’s own authority for the good of the whole; his book number is not silently modernized. References: </w:t>
      </w:r>
      <w:hyperlink w:anchor="passage-ii-9-21">
        <w:r>
          <w:rPr>
            <w:color w:val="000000"/>
          </w:rPr>
          <w:t xml:space="preserve">II.9.21</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347" w:name="latin-record-0096"/>
      <w:bookmarkEnd w:id="347"/>
      <w:r>
        <w:rPr>
          <w:b/>
          <w:i w:val="0"/>
        </w:rPr>
        <w:t>ars / artificium</w:t>
      </w:r>
      <w:r>
        <w:rPr>
          <w:b/>
          <w:i w:val="0"/>
        </w:rPr>
        <w:t>.</w:t>
      </w:r>
      <w:r>
        <w:rPr>
          <w:b w:val="0"/>
          <w:i w:val="0"/>
        </w:rPr>
        <w:t xml:space="preserve"> Printed forms: </w:t>
      </w:r>
      <w:r>
        <w:rPr>
          <w:b w:val="0"/>
          <w:i/>
        </w:rPr>
        <w:t>ars</w:t>
      </w:r>
      <w:r>
        <w:rPr>
          <w:b w:val="0"/>
          <w:i w:val="0"/>
        </w:rPr>
        <w:t xml:space="preserve">; </w:t>
      </w:r>
      <w:r>
        <w:rPr>
          <w:b w:val="0"/>
          <w:i/>
        </w:rPr>
        <w:t>arti</w:t>
      </w:r>
      <w:r>
        <w:rPr>
          <w:b w:val="0"/>
          <w:i w:val="0"/>
        </w:rPr>
        <w:t xml:space="preserve">; </w:t>
      </w:r>
      <w:r>
        <w:rPr>
          <w:b w:val="0"/>
          <w:i/>
        </w:rPr>
        <w:t>artibus</w:t>
      </w:r>
      <w:r>
        <w:rPr>
          <w:b w:val="0"/>
          <w:i w:val="0"/>
        </w:rPr>
        <w:t xml:space="preserve">; </w:t>
      </w:r>
      <w:r>
        <w:rPr>
          <w:b w:val="0"/>
          <w:i/>
        </w:rPr>
        <w:t>artificii</w:t>
      </w:r>
      <w:r>
        <w:rPr>
          <w:b w:val="0"/>
          <w:i w:val="0"/>
        </w:rPr>
        <w:t xml:space="preserve">; </w:t>
      </w:r>
      <w:r>
        <w:rPr>
          <w:b w:val="0"/>
          <w:i/>
        </w:rPr>
        <w:t>artis</w:t>
      </w:r>
      <w:r>
        <w:rPr>
          <w:b w:val="0"/>
          <w:i w:val="0"/>
        </w:rPr>
        <w:t xml:space="preserve">; </w:t>
      </w:r>
      <w:r>
        <w:rPr>
          <w:b w:val="0"/>
          <w:i/>
        </w:rPr>
        <w:t>Artium</w:t>
      </w:r>
      <w:r>
        <w:rPr>
          <w:b w:val="0"/>
          <w:i w:val="0"/>
        </w:rPr>
        <w:t>.</w:t>
      </w:r>
    </w:p>
    <w:p>
      <w:pPr>
        <w:widowControl/>
      </w:pPr>
      <w:r>
        <w:rPr>
          <w:b w:val="0"/>
          <w:i w:val="0"/>
        </w:rPr>
        <w:t xml:space="preserve">Craft or skill and its produced artifact. Material already shaped in some way still needs the art’s form to become the artifact; the comparison strengthens the case for a natural formative cause. References: </w:t>
      </w:r>
      <w:hyperlink w:anchor="passage-i-3-6">
        <w:r>
          <w:rPr>
            <w:color w:val="000000"/>
          </w:rPr>
          <w:t xml:space="preserve">I.3.6</w:t>
        </w:r>
      </w:hyperlink>
      <w:r>
        <w:rPr>
          <w:b w:val="0"/>
          <w:i w:val="0"/>
        </w:rPr>
        <w:t xml:space="preserve">. See </w:t>
      </w:r>
      <w:hyperlink w:anchor="art-and-nature">
        <w:r>
          <w:rPr>
            <w:color w:val="000000"/>
          </w:rPr>
          <w:t xml:space="preserve">Art and nature</w:t>
        </w:r>
      </w:hyperlink>
      <w:r>
        <w:rPr>
          <w:b w:val="0"/>
          <w:i w:val="0"/>
        </w:rPr>
        <w:t>.</w:t>
      </w:r>
    </w:p>
    <w:p>
      <w:pPr>
        <w:widowControl/>
      </w:pPr>
      <w:r>
        <w:rPr>
          <w:b w:val="0"/>
          <w:i w:val="0"/>
        </w:rPr>
        <w:t xml:space="preserve">Craft or purposive skill, broader than fine art. Art’s dependence on natural material and intellectual makers’ knowledge of products serve different causal arguments. References: </w:t>
      </w:r>
      <w:hyperlink w:anchor="passage-ii-7-17">
        <w:r>
          <w:rPr>
            <w:color w:val="000000"/>
          </w:rPr>
          <w:t xml:space="preserve">II.7.17</w:t>
        </w:r>
      </w:hyperlink>
      <w:r>
        <w:rPr>
          <w:b w:val="0"/>
          <w:i w:val="0"/>
        </w:rPr>
        <w:t xml:space="preserve">, </w:t>
      </w:r>
      <w:hyperlink w:anchor="passage-ii-9-13">
        <w:r>
          <w:rPr>
            <w:color w:val="000000"/>
          </w:rPr>
          <w:t xml:space="preserve">II.9.13</w:t>
        </w:r>
      </w:hyperlink>
      <w:r>
        <w:rPr>
          <w:b w:val="0"/>
          <w:i w:val="0"/>
        </w:rPr>
        <w:t xml:space="preserve">. See </w:t>
      </w:r>
      <w:hyperlink w:anchor="art-and-nature">
        <w:r>
          <w:rPr>
            <w:color w:val="000000"/>
          </w:rPr>
          <w:t xml:space="preserve">Art and nature</w:t>
        </w:r>
      </w:hyperlink>
      <w:r>
        <w:rPr>
          <w:b w:val="0"/>
          <w:i w:val="0"/>
        </w:rPr>
        <w:t>.</w:t>
      </w:r>
    </w:p>
    <w:p>
      <w:pPr>
        <w:keepNext/>
        <w:widowControl/>
      </w:pPr>
      <w:bookmarkStart w:id="348" w:name="latin-record-0097"/>
      <w:bookmarkEnd w:id="348"/>
      <w:r>
        <w:rPr>
          <w:b/>
          <w:i w:val="0"/>
        </w:rPr>
        <w:t>artificium / opus</w:t>
      </w:r>
      <w:r>
        <w:rPr>
          <w:b/>
          <w:i w:val="0"/>
        </w:rPr>
        <w:t>.</w:t>
      </w:r>
      <w:r>
        <w:rPr>
          <w:b w:val="0"/>
          <w:i w:val="0"/>
        </w:rPr>
        <w:t xml:space="preserve"> Printed forms: </w:t>
      </w:r>
      <w:r>
        <w:rPr>
          <w:b w:val="0"/>
          <w:i/>
        </w:rPr>
        <w:t>artificium</w:t>
      </w:r>
      <w:r>
        <w:rPr>
          <w:b w:val="0"/>
          <w:i w:val="0"/>
        </w:rPr>
        <w:t xml:space="preserve">; </w:t>
      </w:r>
      <w:r>
        <w:rPr>
          <w:b w:val="0"/>
          <w:i/>
        </w:rPr>
        <w:t>naturae opus</w:t>
      </w:r>
      <w:r>
        <w:rPr>
          <w:b w:val="0"/>
          <w:i w:val="0"/>
        </w:rPr>
        <w:t>.</w:t>
      </w:r>
    </w:p>
    <w:p>
      <w:pPr>
        <w:widowControl/>
      </w:pPr>
      <w:r>
        <w:rPr>
          <w:b w:val="0"/>
          <w:i w:val="0"/>
        </w:rPr>
        <w:t xml:space="preserve">Artifact; a work or completed result. The artifact manifests a maker’s mind in separated matter; nature’s work manifests mind in conjoined matter. References: </w:t>
      </w:r>
      <w:hyperlink w:anchor="passage-iv-1-12">
        <w:r>
          <w:rPr>
            <w:color w:val="000000"/>
          </w:rPr>
          <w:t xml:space="preserve">IV.1.12</w:t>
        </w:r>
      </w:hyperlink>
      <w:r>
        <w:rPr>
          <w:b w:val="0"/>
          <w:i w:val="0"/>
        </w:rPr>
        <w:t xml:space="preserve">. See </w:t>
      </w:r>
      <w:hyperlink w:anchor="artifact-and-natural-work">
        <w:r>
          <w:rPr>
            <w:color w:val="000000"/>
          </w:rPr>
          <w:t xml:space="preserve">Artifact and natural work</w:t>
        </w:r>
      </w:hyperlink>
      <w:r>
        <w:rPr>
          <w:b w:val="0"/>
          <w:i w:val="0"/>
        </w:rPr>
        <w:t>.</w:t>
      </w:r>
    </w:p>
    <w:p>
      <w:pPr>
        <w:keepNext/>
        <w:widowControl/>
      </w:pPr>
      <w:bookmarkStart w:id="349" w:name="latin-record-0098"/>
      <w:bookmarkEnd w:id="349"/>
      <w:r>
        <w:rPr>
          <w:b/>
          <w:i w:val="0"/>
        </w:rPr>
        <w:t>artus / articulus</w:t>
      </w:r>
      <w:r>
        <w:rPr>
          <w:b/>
          <w:i w:val="0"/>
        </w:rPr>
        <w:t>.</w:t>
      </w:r>
      <w:r>
        <w:rPr>
          <w:b w:val="0"/>
          <w:i w:val="0"/>
        </w:rPr>
        <w:t xml:space="preserve"> Printed forms: </w:t>
      </w:r>
      <w:r>
        <w:rPr>
          <w:b w:val="0"/>
          <w:i/>
        </w:rPr>
        <w:t>articulos</w:t>
      </w:r>
      <w:r>
        <w:rPr>
          <w:b w:val="0"/>
          <w:i w:val="0"/>
        </w:rPr>
        <w:t xml:space="preserve">; </w:t>
      </w:r>
      <w:r>
        <w:rPr>
          <w:b w:val="0"/>
          <w:i/>
        </w:rPr>
        <w:t>artus</w:t>
      </w:r>
      <w:r>
        <w:rPr>
          <w:b w:val="0"/>
          <w:i w:val="0"/>
        </w:rPr>
        <w:t>.</w:t>
      </w:r>
    </w:p>
    <w:p>
      <w:pPr>
        <w:widowControl/>
      </w:pPr>
      <w:r>
        <w:rPr>
          <w:b w:val="0"/>
          <w:i w:val="0"/>
        </w:rPr>
        <w:t xml:space="preserve">Members and joints. The world’s bodily articulation is compared with nested groupings of souls in the numerical argument. References: </w:t>
      </w:r>
      <w:hyperlink w:anchor="passage-iv-1-42">
        <w:r>
          <w:rPr>
            <w:color w:val="000000"/>
          </w:rPr>
          <w:t xml:space="preserve">IV.1.42</w:t>
        </w:r>
      </w:hyperlink>
      <w:r>
        <w:rPr>
          <w:b w:val="0"/>
          <w:i w:val="0"/>
        </w:rPr>
        <w:t xml:space="preserve">. See </w:t>
      </w:r>
      <w:hyperlink w:anchor="head-heart-and-members">
        <w:r>
          <w:rPr>
            <w:color w:val="000000"/>
          </w:rPr>
          <w:t xml:space="preserve">Head, heart, and members</w:t>
        </w:r>
      </w:hyperlink>
      <w:r>
        <w:rPr>
          <w:b w:val="0"/>
          <w:i w:val="0"/>
        </w:rPr>
        <w:t>.</w:t>
      </w:r>
    </w:p>
    <w:p>
      <w:pPr>
        <w:keepNext/>
        <w:widowControl/>
      </w:pPr>
      <w:bookmarkStart w:id="350" w:name="latin-record-0099"/>
      <w:bookmarkEnd w:id="350"/>
      <w:r>
        <w:rPr>
          <w:b/>
          <w:i w:val="0"/>
        </w:rPr>
        <w:t>arx / tertius / medius</w:t>
      </w:r>
      <w:r>
        <w:rPr>
          <w:b/>
          <w:i w:val="0"/>
        </w:rPr>
        <w:t>.</w:t>
      </w:r>
      <w:r>
        <w:rPr>
          <w:b w:val="0"/>
          <w:i w:val="0"/>
        </w:rPr>
        <w:t xml:space="preserve"> Printed forms: </w:t>
      </w:r>
      <w:r>
        <w:rPr>
          <w:b w:val="0"/>
          <w:i/>
        </w:rPr>
        <w:t>arce</w:t>
      </w:r>
      <w:r>
        <w:rPr>
          <w:b w:val="0"/>
          <w:i w:val="0"/>
        </w:rPr>
        <w:t xml:space="preserve">; </w:t>
      </w:r>
      <w:r>
        <w:rPr>
          <w:b w:val="0"/>
          <w:i/>
        </w:rPr>
        <w:t>mediam</w:t>
      </w:r>
      <w:r>
        <w:rPr>
          <w:b w:val="0"/>
          <w:i w:val="0"/>
        </w:rPr>
        <w:t xml:space="preserve">; </w:t>
      </w:r>
      <w:r>
        <w:rPr>
          <w:b w:val="0"/>
          <w:i/>
        </w:rPr>
        <w:t>tertiam</w:t>
      </w:r>
      <w:r>
        <w:rPr>
          <w:b w:val="0"/>
          <w:i w:val="0"/>
        </w:rPr>
        <w:t>.</w:t>
      </w:r>
    </w:p>
    <w:p>
      <w:pPr>
        <w:widowControl/>
      </w:pPr>
      <w:r>
        <w:rPr>
          <w:b w:val="0"/>
          <w:i w:val="0"/>
        </w:rPr>
        <w:t xml:space="preserve">Summit or citadel / third / middle. Soul is third counted either downward from God or upward from body; arx figuratively locates the two highest grades. References: </w:t>
      </w:r>
      <w:hyperlink w:anchor="passage-iii-2-1">
        <w:r>
          <w:rPr>
            <w:color w:val="000000"/>
          </w:rPr>
          <w:t xml:space="preserve">III.2.1</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351" w:name="latin-record-0100"/>
      <w:bookmarkEnd w:id="351"/>
      <w:r>
        <w:rPr>
          <w:b/>
          <w:i w:val="0"/>
        </w:rPr>
        <w:t>ascendere / descendere</w:t>
      </w:r>
      <w:r>
        <w:rPr>
          <w:b/>
          <w:i w:val="0"/>
        </w:rPr>
        <w:t>.</w:t>
      </w:r>
      <w:r>
        <w:rPr>
          <w:b w:val="0"/>
          <w:i w:val="0"/>
        </w:rPr>
        <w:t xml:space="preserve"> Printed forms: </w:t>
      </w:r>
      <w:r>
        <w:rPr>
          <w:b w:val="0"/>
          <w:i/>
        </w:rPr>
        <w:t>ascendendo</w:t>
      </w:r>
      <w:r>
        <w:rPr>
          <w:b w:val="0"/>
          <w:i w:val="0"/>
        </w:rPr>
        <w:t xml:space="preserve">; </w:t>
      </w:r>
      <w:r>
        <w:rPr>
          <w:b w:val="0"/>
          <w:i/>
        </w:rPr>
        <w:t>ascensus</w:t>
      </w:r>
      <w:r>
        <w:rPr>
          <w:b w:val="0"/>
          <w:i w:val="0"/>
        </w:rPr>
        <w:t xml:space="preserve">; </w:t>
      </w:r>
      <w:r>
        <w:rPr>
          <w:b w:val="0"/>
          <w:i/>
        </w:rPr>
        <w:t>descendendo</w:t>
      </w:r>
      <w:r>
        <w:rPr>
          <w:b w:val="0"/>
          <w:i w:val="0"/>
        </w:rPr>
        <w:t xml:space="preserve">; </w:t>
      </w:r>
      <w:r>
        <w:rPr>
          <w:b w:val="0"/>
          <w:i/>
        </w:rPr>
        <w:t>descendit</w:t>
      </w:r>
      <w:r>
        <w:rPr>
          <w:b w:val="0"/>
          <w:i w:val="0"/>
        </w:rPr>
        <w:t>.</w:t>
      </w:r>
    </w:p>
    <w:p>
      <w:pPr>
        <w:widowControl/>
      </w:pPr>
      <w:r>
        <w:rPr>
          <w:b w:val="0"/>
          <w:i w:val="0"/>
        </w:rPr>
        <w:t xml:space="preserve">To ascend or descend in an ordered hierarchy. Upward comparison increases perfection, while gifts and multiplicity descend from higher sources. References: </w:t>
      </w:r>
      <w:hyperlink w:anchor="passage-ii-1-6">
        <w:r>
          <w:rPr>
            <w:color w:val="000000"/>
          </w:rPr>
          <w:t xml:space="preserve">II.1.6</w:t>
        </w:r>
      </w:hyperlink>
      <w:r>
        <w:rPr>
          <w:b w:val="0"/>
          <w:i w:val="0"/>
        </w:rPr>
        <w:t xml:space="preserve">, </w:t>
      </w:r>
      <w:hyperlink w:anchor="passage-ii-3-2">
        <w:r>
          <w:rPr>
            <w:color w:val="000000"/>
          </w:rPr>
          <w:t xml:space="preserve">II.3.2</w:t>
        </w:r>
      </w:hyperlink>
      <w:r>
        <w:rPr>
          <w:b w:val="0"/>
          <w:i w:val="0"/>
        </w:rPr>
        <w:t xml:space="preserve">, </w:t>
      </w:r>
      <w:hyperlink w:anchor="passage-ii-3-3">
        <w:r>
          <w:rPr>
            <w:color w:val="000000"/>
          </w:rPr>
          <w:t xml:space="preserve">II.3.3</w:t>
        </w:r>
      </w:hyperlink>
      <w:r>
        <w:rPr>
          <w:b w:val="0"/>
          <w:i w:val="0"/>
        </w:rPr>
        <w:t xml:space="preserve">, </w:t>
      </w:r>
      <w:hyperlink w:anchor="passage-ii-7-2">
        <w:r>
          <w:rPr>
            <w:color w:val="000000"/>
          </w:rPr>
          <w:t xml:space="preserve">II.7.2</w:t>
        </w:r>
      </w:hyperlink>
      <w:r>
        <w:rPr>
          <w:b w:val="0"/>
          <w:i w:val="0"/>
        </w:rPr>
        <w:t xml:space="preserve">. See </w:t>
      </w:r>
      <w:hyperlink w:anchor="ascent">
        <w:r>
          <w:rPr>
            <w:color w:val="000000"/>
          </w:rPr>
          <w:t xml:space="preserve">Ascent</w:t>
        </w:r>
      </w:hyperlink>
      <w:r>
        <w:rPr>
          <w:b w:val="0"/>
          <w:i w:val="0"/>
        </w:rPr>
        <w:t>.</w:t>
      </w:r>
    </w:p>
    <w:p>
      <w:pPr>
        <w:keepNext/>
        <w:widowControl/>
      </w:pPr>
      <w:bookmarkStart w:id="352" w:name="latin-record-0101"/>
      <w:bookmarkEnd w:id="352"/>
      <w:r>
        <w:rPr>
          <w:b/>
          <w:i w:val="0"/>
        </w:rPr>
        <w:t>ascendo / gradus</w:t>
      </w:r>
      <w:r>
        <w:rPr>
          <w:b/>
          <w:i w:val="0"/>
        </w:rPr>
        <w:t>.</w:t>
      </w:r>
      <w:r>
        <w:rPr>
          <w:b w:val="0"/>
          <w:i w:val="0"/>
        </w:rPr>
        <w:t xml:space="preserve"> Printed forms: </w:t>
      </w:r>
      <w:r>
        <w:rPr>
          <w:b w:val="0"/>
          <w:i/>
        </w:rPr>
        <w:t>ascenderimus</w:t>
      </w:r>
      <w:r>
        <w:rPr>
          <w:b w:val="0"/>
          <w:i w:val="0"/>
        </w:rPr>
        <w:t xml:space="preserve">; </w:t>
      </w:r>
      <w:r>
        <w:rPr>
          <w:b w:val="0"/>
          <w:i/>
        </w:rPr>
        <w:t>ascenderunt</w:t>
      </w:r>
      <w:r>
        <w:rPr>
          <w:b w:val="0"/>
          <w:i w:val="0"/>
        </w:rPr>
        <w:t xml:space="preserve">; </w:t>
      </w:r>
      <w:r>
        <w:rPr>
          <w:b w:val="0"/>
          <w:i/>
        </w:rPr>
        <w:t>ascendimus</w:t>
      </w:r>
      <w:r>
        <w:rPr>
          <w:b w:val="0"/>
          <w:i w:val="0"/>
        </w:rPr>
        <w:t xml:space="preserve">; </w:t>
      </w:r>
      <w:r>
        <w:rPr>
          <w:b w:val="0"/>
          <w:i/>
        </w:rPr>
        <w:t>ascensus</w:t>
      </w:r>
      <w:r>
        <w:rPr>
          <w:b w:val="0"/>
          <w:i w:val="0"/>
        </w:rPr>
        <w:t xml:space="preserve">; </w:t>
      </w:r>
      <w:r>
        <w:rPr>
          <w:b w:val="0"/>
          <w:i/>
        </w:rPr>
        <w:t>gradus</w:t>
      </w:r>
      <w:r>
        <w:rPr>
          <w:b w:val="0"/>
          <w:i w:val="0"/>
        </w:rPr>
        <w:t>.</w:t>
      </w:r>
    </w:p>
    <w:p>
      <w:pPr>
        <w:widowControl/>
      </w:pPr>
      <w:r>
        <w:rPr>
          <w:b w:val="0"/>
          <w:i w:val="0"/>
        </w:rPr>
        <w:t xml:space="preserve">To ascend; a step, rank or degree. The movement passes through grades of being and forms of cognition, not measured spatial steps. A degree of heat is a different local use of gradus. References: </w:t>
      </w:r>
      <w:hyperlink w:anchor="passage-i-1-4">
        <w:r>
          <w:rPr>
            <w:color w:val="000000"/>
          </w:rPr>
          <w:t xml:space="preserve">I.1.4</w:t>
        </w:r>
      </w:hyperlink>
      <w:r>
        <w:rPr>
          <w:b w:val="0"/>
          <w:i w:val="0"/>
        </w:rPr>
        <w:t xml:space="preserve">, </w:t>
      </w:r>
      <w:hyperlink w:anchor="passage-i-1-7">
        <w:r>
          <w:rPr>
            <w:color w:val="000000"/>
          </w:rPr>
          <w:t xml:space="preserve">I.1.7</w:t>
        </w:r>
      </w:hyperlink>
      <w:r>
        <w:rPr>
          <w:b w:val="0"/>
          <w:i w:val="0"/>
        </w:rPr>
        <w:t xml:space="preserve">, </w:t>
      </w:r>
      <w:hyperlink w:anchor="passage-i-3-1">
        <w:r>
          <w:rPr>
            <w:color w:val="000000"/>
          </w:rPr>
          <w:t xml:space="preserve">I.3.1</w:t>
        </w:r>
      </w:hyperlink>
      <w:r>
        <w:rPr>
          <w:b w:val="0"/>
          <w:i w:val="0"/>
        </w:rPr>
        <w:t xml:space="preserve">, </w:t>
      </w:r>
      <w:hyperlink w:anchor="passage-i-3-15">
        <w:r>
          <w:rPr>
            <w:color w:val="000000"/>
          </w:rPr>
          <w:t xml:space="preserve">I.3.15</w:t>
        </w:r>
      </w:hyperlink>
      <w:r>
        <w:rPr>
          <w:b w:val="0"/>
          <w:i w:val="0"/>
        </w:rPr>
        <w:t xml:space="preserve">. See </w:t>
      </w:r>
      <w:hyperlink w:anchor="ascent">
        <w:r>
          <w:rPr>
            <w:color w:val="000000"/>
          </w:rPr>
          <w:t xml:space="preserve">Ascent</w:t>
        </w:r>
      </w:hyperlink>
      <w:r>
        <w:rPr>
          <w:b w:val="0"/>
          <w:i w:val="0"/>
        </w:rPr>
        <w:t>.</w:t>
      </w:r>
    </w:p>
    <w:p>
      <w:pPr>
        <w:keepNext/>
        <w:widowControl/>
      </w:pPr>
      <w:bookmarkStart w:id="353" w:name="latin-record-0102"/>
      <w:bookmarkEnd w:id="353"/>
      <w:r>
        <w:rPr>
          <w:b/>
          <w:i w:val="0"/>
        </w:rPr>
        <w:t>ascisco</w:t>
      </w:r>
      <w:r>
        <w:rPr>
          <w:b/>
          <w:i w:val="0"/>
        </w:rPr>
        <w:t>.</w:t>
      </w:r>
      <w:r>
        <w:rPr>
          <w:b w:val="0"/>
          <w:i w:val="0"/>
        </w:rPr>
        <w:t xml:space="preserve"> Printed forms: </w:t>
      </w:r>
      <w:r>
        <w:rPr>
          <w:b w:val="0"/>
          <w:i/>
        </w:rPr>
        <w:t>asciscat</w:t>
      </w:r>
      <w:r>
        <w:rPr>
          <w:b w:val="0"/>
          <w:i w:val="0"/>
        </w:rPr>
        <w:t>.</w:t>
      </w:r>
    </w:p>
    <w:p>
      <w:pPr>
        <w:widowControl/>
      </w:pPr>
      <w:r>
        <w:rPr>
          <w:b w:val="0"/>
          <w:i w:val="0"/>
        </w:rPr>
        <w:t xml:space="preserve">To claim or appropriate for oneself. A more excellent cosmic potency is said to claim actuality more fully and earlier; the personal verb portrays realization rather than a literal political vote. References: </w:t>
      </w:r>
      <w:hyperlink w:anchor="passage-i-5-25">
        <w:r>
          <w:rPr>
            <w:color w:val="000000"/>
          </w:rPr>
          <w:t xml:space="preserve">I.5.25</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354" w:name="latin-record-0103"/>
      <w:bookmarkEnd w:id="354"/>
      <w:r>
        <w:rPr>
          <w:b/>
          <w:i w:val="0"/>
        </w:rPr>
        <w:t>assensus</w:t>
      </w:r>
      <w:r>
        <w:rPr>
          <w:b/>
          <w:i w:val="0"/>
        </w:rPr>
        <w:t>.</w:t>
      </w:r>
      <w:r>
        <w:rPr>
          <w:b w:val="0"/>
          <w:i w:val="0"/>
        </w:rPr>
        <w:t xml:space="preserve"> Printed forms: </w:t>
      </w:r>
      <w:r>
        <w:rPr>
          <w:b w:val="0"/>
          <w:i/>
        </w:rPr>
        <w:t>assensus</w:t>
      </w:r>
      <w:r>
        <w:rPr>
          <w:b w:val="0"/>
          <w:i w:val="0"/>
        </w:rPr>
        <w:t>.</w:t>
      </w:r>
    </w:p>
    <w:p>
      <w:pPr>
        <w:widowControl/>
      </w:pPr>
      <w:r>
        <w:rPr>
          <w:b w:val="0"/>
          <w:i w:val="0"/>
        </w:rPr>
        <w:t xml:space="preserve">Assent or approval. The assent of will is required for external production, so knowledge alone does not select the effect to be made. References: </w:t>
      </w:r>
      <w:hyperlink w:anchor="passage-ii-11-24">
        <w:r>
          <w:rPr>
            <w:color w:val="000000"/>
          </w:rPr>
          <w:t xml:space="preserve">II.11.24</w:t>
        </w:r>
      </w:hyperlink>
      <w:r>
        <w:rPr>
          <w:b w:val="0"/>
          <w:i w:val="0"/>
        </w:rPr>
        <w:t xml:space="preserve">. See </w:t>
      </w:r>
      <w:hyperlink w:anchor="assent-and-approval">
        <w:r>
          <w:rPr>
            <w:color w:val="000000"/>
          </w:rPr>
          <w:t xml:space="preserve">Assent of will</w:t>
        </w:r>
      </w:hyperlink>
      <w:r>
        <w:rPr>
          <w:b w:val="0"/>
          <w:i w:val="0"/>
        </w:rPr>
        <w:t>.</w:t>
      </w:r>
    </w:p>
    <w:p>
      <w:pPr>
        <w:keepNext/>
        <w:widowControl/>
      </w:pPr>
      <w:bookmarkStart w:id="355" w:name="latin-record-0104"/>
      <w:bookmarkEnd w:id="355"/>
      <w:r>
        <w:rPr>
          <w:b/>
          <w:i w:val="0"/>
        </w:rPr>
        <w:t>assurgere / inclinari</w:t>
      </w:r>
      <w:r>
        <w:rPr>
          <w:b/>
          <w:i w:val="0"/>
        </w:rPr>
        <w:t>.</w:t>
      </w:r>
      <w:r>
        <w:rPr>
          <w:b w:val="0"/>
          <w:i w:val="0"/>
        </w:rPr>
        <w:t xml:space="preserve"> Printed forms: </w:t>
      </w:r>
      <w:r>
        <w:rPr>
          <w:b w:val="0"/>
          <w:i/>
        </w:rPr>
        <w:t>assurgebant</w:t>
      </w:r>
      <w:r>
        <w:rPr>
          <w:b w:val="0"/>
          <w:i w:val="0"/>
        </w:rPr>
        <w:t xml:space="preserve">; </w:t>
      </w:r>
      <w:r>
        <w:rPr>
          <w:b w:val="0"/>
          <w:i/>
        </w:rPr>
        <w:t>inclinabantur</w:t>
      </w:r>
      <w:r>
        <w:rPr>
          <w:b w:val="0"/>
          <w:i w:val="0"/>
        </w:rPr>
        <w:t>.</w:t>
      </w:r>
    </w:p>
    <w:p>
      <w:pPr>
        <w:widowControl/>
      </w:pPr>
      <w:r>
        <w:rPr>
          <w:b w:val="0"/>
          <w:i w:val="0"/>
        </w:rPr>
        <w:t xml:space="preserve">Rise up / bend down. Seated and standing figures perform different motions under one arrangement; uniform causation need not mean identical outcomes. References: </w:t>
      </w:r>
      <w:hyperlink w:anchor="passage-ii-13-13">
        <w:r>
          <w:rPr>
            <w:color w:val="000000"/>
          </w:rPr>
          <w:t xml:space="preserve">II.13.13</w:t>
        </w:r>
      </w:hyperlink>
      <w:r>
        <w:rPr>
          <w:b w:val="0"/>
          <w:i w:val="0"/>
        </w:rPr>
        <w:t xml:space="preserve">. See </w:t>
      </w:r>
      <w:hyperlink w:anchor="florentine-mechanism">
        <w:r>
          <w:rPr>
            <w:color w:val="000000"/>
          </w:rPr>
          <w:t xml:space="preserve">Florentine mechanism</w:t>
        </w:r>
      </w:hyperlink>
      <w:r>
        <w:rPr>
          <w:b w:val="0"/>
          <w:i w:val="0"/>
        </w:rPr>
        <w:t>.</w:t>
      </w:r>
    </w:p>
    <w:p>
      <w:pPr>
        <w:keepNext/>
        <w:widowControl/>
      </w:pPr>
      <w:bookmarkStart w:id="356" w:name="latin-record-0105"/>
      <w:bookmarkEnd w:id="356"/>
      <w:r>
        <w:rPr>
          <w:b/>
          <w:i w:val="0"/>
        </w:rPr>
        <w:t>attingere / affectare</w:t>
      </w:r>
      <w:r>
        <w:rPr>
          <w:b/>
          <w:i w:val="0"/>
        </w:rPr>
        <w:t>.</w:t>
      </w:r>
      <w:r>
        <w:rPr>
          <w:b w:val="0"/>
          <w:i w:val="0"/>
        </w:rPr>
        <w:t xml:space="preserve"> Printed forms: </w:t>
      </w:r>
      <w:r>
        <w:rPr>
          <w:b w:val="0"/>
          <w:i/>
        </w:rPr>
        <w:t>affectat</w:t>
      </w:r>
      <w:r>
        <w:rPr>
          <w:b w:val="0"/>
          <w:i w:val="0"/>
        </w:rPr>
        <w:t xml:space="preserve">; </w:t>
      </w:r>
      <w:r>
        <w:rPr>
          <w:b w:val="0"/>
          <w:i/>
        </w:rPr>
        <w:t>attingere</w:t>
      </w:r>
      <w:r>
        <w:rPr>
          <w:b w:val="0"/>
          <w:i w:val="0"/>
        </w:rPr>
        <w:t>.</w:t>
      </w:r>
    </w:p>
    <w:p>
      <w:pPr>
        <w:widowControl/>
      </w:pPr>
      <w:r>
        <w:rPr>
          <w:b w:val="0"/>
          <w:i w:val="0"/>
        </w:rPr>
        <w:t xml:space="preserve">To touch; to seek or aspire to. Each part seeks contact with all corresponding parts of the containing sphere, which rotation approximates successively. References: </w:t>
      </w:r>
      <w:hyperlink w:anchor="passage-iv-2-25">
        <w:r>
          <w:rPr>
            <w:color w:val="000000"/>
          </w:rPr>
          <w:t xml:space="preserve">IV.2.25</w:t>
        </w:r>
      </w:hyperlink>
      <w:r>
        <w:rPr>
          <w:b w:val="0"/>
          <w:i w:val="0"/>
        </w:rPr>
        <w:t xml:space="preserve">. See </w:t>
      </w:r>
      <w:hyperlink w:anchor="striving-and-enjoyment">
        <w:r>
          <w:rPr>
            <w:color w:val="000000"/>
          </w:rPr>
          <w:t xml:space="preserve">Striving and enjoyment</w:t>
        </w:r>
      </w:hyperlink>
      <w:r>
        <w:rPr>
          <w:b w:val="0"/>
          <w:i w:val="0"/>
        </w:rPr>
        <w:t>.</w:t>
      </w:r>
    </w:p>
    <w:p>
      <w:pPr>
        <w:keepNext/>
        <w:widowControl/>
      </w:pPr>
      <w:bookmarkStart w:id="357" w:name="latin-record-0106"/>
      <w:bookmarkEnd w:id="357"/>
      <w:r>
        <w:rPr>
          <w:b/>
          <w:i w:val="0"/>
        </w:rPr>
        <w:t>attingere / tetigit</w:t>
      </w:r>
      <w:r>
        <w:rPr>
          <w:b/>
          <w:i w:val="0"/>
        </w:rPr>
        <w:t>.</w:t>
      </w:r>
      <w:r>
        <w:rPr>
          <w:b w:val="0"/>
          <w:i w:val="0"/>
        </w:rPr>
        <w:t xml:space="preserve"> Printed forms: </w:t>
      </w:r>
      <w:r>
        <w:rPr>
          <w:b w:val="0"/>
          <w:i/>
        </w:rPr>
        <w:t>tetigit</w:t>
      </w:r>
      <w:r>
        <w:rPr>
          <w:b w:val="0"/>
          <w:i w:val="0"/>
        </w:rPr>
        <w:t>.</w:t>
      </w:r>
    </w:p>
    <w:p>
      <w:pPr>
        <w:widowControl/>
      </w:pPr>
      <w:r>
        <w:rPr>
          <w:b w:val="0"/>
          <w:i w:val="0"/>
        </w:rPr>
        <w:t xml:space="preserve">To touch on an idea rather than physically contact an object. Zoroaster is said mystically to have touched on common origin in the one-fire saying. References: </w:t>
      </w:r>
      <w:hyperlink w:anchor="passage-ii-7-7">
        <w:r>
          <w:rPr>
            <w:color w:val="000000"/>
          </w:rPr>
          <w:t xml:space="preserve">II.7.7</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358" w:name="latin-record-0107"/>
      <w:bookmarkEnd w:id="358"/>
      <w:r>
        <w:rPr>
          <w:b/>
          <w:i w:val="0"/>
        </w:rPr>
        <w:t>attingo / tango</w:t>
      </w:r>
      <w:r>
        <w:rPr>
          <w:b/>
          <w:i w:val="0"/>
        </w:rPr>
        <w:t>.</w:t>
      </w:r>
      <w:r>
        <w:rPr>
          <w:b w:val="0"/>
          <w:i w:val="0"/>
        </w:rPr>
        <w:t xml:space="preserve"> Printed forms: </w:t>
      </w:r>
      <w:r>
        <w:rPr>
          <w:b w:val="0"/>
          <w:i/>
        </w:rPr>
        <w:t>attingit</w:t>
      </w:r>
      <w:r>
        <w:rPr>
          <w:b w:val="0"/>
          <w:i w:val="0"/>
        </w:rPr>
        <w:t xml:space="preserve">; </w:t>
      </w:r>
      <w:r>
        <w:rPr>
          <w:b w:val="0"/>
          <w:i/>
        </w:rPr>
        <w:t>tangit</w:t>
      </w:r>
      <w:r>
        <w:rPr>
          <w:b w:val="0"/>
          <w:i w:val="0"/>
        </w:rPr>
        <w:t>.</w:t>
      </w:r>
    </w:p>
    <w:p>
      <w:pPr>
        <w:widowControl/>
      </w:pPr>
      <w:r>
        <w:rPr>
          <w:b w:val="0"/>
          <w:i w:val="0"/>
        </w:rPr>
        <w:t xml:space="preserve">To touch or reach. The lowest degree of a higher nature is said to meet the highest of a lower; touch here marks a relation of grades, though illustrated by fire and air. References: </w:t>
      </w:r>
      <w:hyperlink w:anchor="passage-i-5-14">
        <w:r>
          <w:rPr>
            <w:color w:val="000000"/>
          </w:rPr>
          <w:t xml:space="preserve">I.5.14</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359" w:name="latin-record-0108"/>
      <w:bookmarkEnd w:id="359"/>
      <w:r>
        <w:rPr>
          <w:b/>
          <w:i w:val="0"/>
        </w:rPr>
        <w:t>attribuere / dare</w:t>
      </w:r>
      <w:r>
        <w:rPr>
          <w:b/>
          <w:i w:val="0"/>
        </w:rPr>
        <w:t>.</w:t>
      </w:r>
      <w:r>
        <w:rPr>
          <w:b w:val="0"/>
          <w:i w:val="0"/>
        </w:rPr>
        <w:t xml:space="preserve"> Printed forms: </w:t>
      </w:r>
      <w:r>
        <w:rPr>
          <w:b w:val="0"/>
          <w:i/>
        </w:rPr>
        <w:t>attribueris</w:t>
      </w:r>
      <w:r>
        <w:rPr>
          <w:b w:val="0"/>
          <w:i w:val="0"/>
        </w:rPr>
        <w:t xml:space="preserve">; </w:t>
      </w:r>
      <w:r>
        <w:rPr>
          <w:b w:val="0"/>
          <w:i/>
        </w:rPr>
        <w:t>dabit</w:t>
      </w:r>
      <w:r>
        <w:rPr>
          <w:b w:val="0"/>
          <w:i w:val="0"/>
        </w:rPr>
        <w:t xml:space="preserve">; </w:t>
      </w:r>
      <w:r>
        <w:rPr>
          <w:b w:val="0"/>
          <w:i/>
        </w:rPr>
        <w:t>dat</w:t>
      </w:r>
      <w:r>
        <w:rPr>
          <w:b w:val="0"/>
          <w:i w:val="0"/>
        </w:rPr>
        <w:t>.</w:t>
      </w:r>
    </w:p>
    <w:p>
      <w:pPr>
        <w:widowControl/>
      </w:pPr>
      <w:r>
        <w:rPr>
          <w:b w:val="0"/>
          <w:i w:val="0"/>
        </w:rPr>
        <w:t xml:space="preserve">To attribute to a source or give an effect. Ascribing proper causes to celestial souls does not remove the need for an earthly mediator; giving motion or life specifies a causal contribution. References: </w:t>
      </w:r>
      <w:hyperlink w:anchor="passage-iv-1-7">
        <w:r>
          <w:rPr>
            <w:color w:val="000000"/>
          </w:rPr>
          <w:t xml:space="preserve">IV.1.7</w:t>
        </w:r>
      </w:hyperlink>
      <w:r>
        <w:rPr>
          <w:b w:val="0"/>
          <w:i w:val="0"/>
        </w:rPr>
        <w:t xml:space="preserve">, </w:t>
      </w:r>
      <w:hyperlink w:anchor="passage-iv-1-66">
        <w:r>
          <w:rPr>
            <w:color w:val="000000"/>
          </w:rPr>
          <w:t xml:space="preserve">IV.1.66</w:t>
        </w:r>
      </w:hyperlink>
      <w:r>
        <w:rPr>
          <w:b w:val="0"/>
          <w:i w:val="0"/>
        </w:rPr>
        <w:t xml:space="preserve">, </w:t>
      </w:r>
      <w:hyperlink w:anchor="passage-iv-1-96">
        <w:r>
          <w:rPr>
            <w:color w:val="000000"/>
          </w:rPr>
          <w:t xml:space="preserve">IV.1.96</w:t>
        </w:r>
      </w:hyperlink>
      <w:r>
        <w:rPr>
          <w:b w:val="0"/>
          <w:i w:val="0"/>
        </w:rPr>
        <w:t xml:space="preserve">. See </w:t>
      </w:r>
      <w:hyperlink w:anchor="communication-and-imparting">
        <w:r>
          <w:rPr>
            <w:color w:val="000000"/>
          </w:rPr>
          <w:t xml:space="preserve">Communication and imparting</w:t>
        </w:r>
      </w:hyperlink>
      <w:r>
        <w:rPr>
          <w:b w:val="0"/>
          <w:i w:val="0"/>
        </w:rPr>
        <w:t>.</w:t>
      </w:r>
    </w:p>
    <w:p>
      <w:pPr>
        <w:keepNext/>
        <w:widowControl/>
      </w:pPr>
      <w:bookmarkStart w:id="360" w:name="latin-record-0109"/>
      <w:bookmarkEnd w:id="360"/>
      <w:r>
        <w:rPr>
          <w:b/>
          <w:i w:val="0"/>
        </w:rPr>
        <w:t>auctor</w:t>
      </w:r>
      <w:r>
        <w:rPr>
          <w:b/>
          <w:i w:val="0"/>
        </w:rPr>
        <w:t>.</w:t>
      </w:r>
      <w:r>
        <w:rPr>
          <w:b w:val="0"/>
          <w:i w:val="0"/>
        </w:rPr>
        <w:t xml:space="preserve"> Printed forms: </w:t>
      </w:r>
      <w:r>
        <w:rPr>
          <w:b w:val="0"/>
          <w:i/>
        </w:rPr>
        <w:t>auctor</w:t>
      </w:r>
      <w:r>
        <w:rPr>
          <w:b w:val="0"/>
          <w:i w:val="0"/>
        </w:rPr>
        <w:t>.</w:t>
      </w:r>
    </w:p>
    <w:p>
      <w:pPr>
        <w:widowControl/>
      </w:pPr>
      <w:r>
        <w:rPr>
          <w:b w:val="0"/>
          <w:i w:val="0"/>
        </w:rPr>
        <w:t xml:space="preserve">An originator or source. The hypothetical source of all evil is deprived of the very goods required to act as an originator. References: </w:t>
      </w:r>
      <w:hyperlink w:anchor="passage-ii-2-15">
        <w:r>
          <w:rPr>
            <w:color w:val="000000"/>
          </w:rPr>
          <w:t xml:space="preserve">II.2.15</w:t>
        </w:r>
      </w:hyperlink>
      <w:r>
        <w:rPr>
          <w:b w:val="0"/>
          <w:i w:val="0"/>
        </w:rPr>
        <w:t xml:space="preserve">. See </w:t>
      </w:r>
      <w:hyperlink w:anchor="manichaeans-and-gnostic-philosophers">
        <w:r>
          <w:rPr>
            <w:color w:val="000000"/>
          </w:rPr>
          <w:t xml:space="preserve">Manichaeans and Gnostic philosophers</w:t>
        </w:r>
      </w:hyperlink>
      <w:r>
        <w:rPr>
          <w:b w:val="0"/>
          <w:i w:val="0"/>
        </w:rPr>
        <w:t>.</w:t>
      </w:r>
    </w:p>
    <w:p>
      <w:pPr>
        <w:keepNext/>
        <w:widowControl/>
      </w:pPr>
      <w:bookmarkStart w:id="361" w:name="latin-record-0110"/>
      <w:bookmarkEnd w:id="361"/>
      <w:r>
        <w:rPr>
          <w:b/>
          <w:i w:val="0"/>
        </w:rPr>
        <w:t>auctor / auctoritas role</w:t>
      </w:r>
      <w:r>
        <w:rPr>
          <w:b/>
          <w:i w:val="0"/>
        </w:rPr>
        <w:t>.</w:t>
      </w:r>
      <w:r>
        <w:rPr>
          <w:b w:val="0"/>
          <w:i w:val="0"/>
        </w:rPr>
        <w:t xml:space="preserve"> Printed forms: </w:t>
      </w:r>
      <w:r>
        <w:rPr>
          <w:b w:val="0"/>
          <w:i/>
        </w:rPr>
        <w:t>auctorem</w:t>
      </w:r>
      <w:r>
        <w:rPr>
          <w:b w:val="0"/>
          <w:i w:val="0"/>
        </w:rPr>
        <w:t xml:space="preserve">; </w:t>
      </w:r>
      <w:r>
        <w:rPr>
          <w:b w:val="0"/>
          <w:i/>
        </w:rPr>
        <w:t>auctorum</w:t>
      </w:r>
      <w:r>
        <w:rPr>
          <w:b w:val="0"/>
          <w:i w:val="0"/>
        </w:rPr>
        <w:t>.</w:t>
      </w:r>
    </w:p>
    <w:p>
      <w:pPr>
        <w:widowControl/>
      </w:pPr>
      <w:r>
        <w:rPr>
          <w:b w:val="0"/>
          <w:i w:val="0"/>
        </w:rPr>
        <w:t xml:space="preserve">An authority for a doctrine or a source that originates something, depending on context. The names of divine authorities introduce reported Orphic nomenclature in IV.1.94. By contrast the angel understands and loves its author or originating source in IV.2.21. Identical family membership does not fix one causal sense. References: </w:t>
      </w:r>
      <w:hyperlink w:anchor="passage-iv-1-94">
        <w:r>
          <w:rPr>
            <w:color w:val="000000"/>
          </w:rPr>
          <w:t xml:space="preserve">IV.1.94</w:t>
        </w:r>
      </w:hyperlink>
      <w:r>
        <w:rPr>
          <w:b w:val="0"/>
          <w:i w:val="0"/>
        </w:rPr>
        <w:t xml:space="preserve">, </w:t>
      </w:r>
      <w:hyperlink w:anchor="passage-iv-2-21">
        <w:r>
          <w:rPr>
            <w:color w:val="000000"/>
          </w:rPr>
          <w:t xml:space="preserve">IV.2.21</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362" w:name="latin-record-0111"/>
      <w:bookmarkEnd w:id="362"/>
      <w:r>
        <w:rPr>
          <w:b/>
          <w:i w:val="0"/>
        </w:rPr>
        <w:t>auctoritas</w:t>
      </w:r>
      <w:r>
        <w:rPr>
          <w:b/>
          <w:i w:val="0"/>
        </w:rPr>
        <w:t>.</w:t>
      </w:r>
      <w:r>
        <w:rPr>
          <w:b w:val="0"/>
          <w:i w:val="0"/>
        </w:rPr>
        <w:t xml:space="preserve"> Printed forms: </w:t>
      </w:r>
      <w:r>
        <w:rPr>
          <w:b w:val="0"/>
          <w:i/>
        </w:rPr>
        <w:t>auctoritate</w:t>
      </w:r>
      <w:r>
        <w:rPr>
          <w:b w:val="0"/>
          <w:i w:val="0"/>
        </w:rPr>
        <w:t xml:space="preserve">; </w:t>
      </w:r>
      <w:r>
        <w:rPr>
          <w:b w:val="0"/>
          <w:i/>
        </w:rPr>
        <w:t>auctoritati</w:t>
      </w:r>
      <w:r>
        <w:rPr>
          <w:b w:val="0"/>
          <w:i w:val="0"/>
        </w:rPr>
        <w:t>.</w:t>
      </w:r>
    </w:p>
    <w:p>
      <w:pPr>
        <w:widowControl/>
      </w:pPr>
      <w:r>
        <w:rPr>
          <w:b w:val="0"/>
          <w:i w:val="0"/>
        </w:rPr>
        <w:t xml:space="preserve">Authority, warrant or public standing. Augustine’s authority supports Ficino’s project, law’s authority meets resistance, and Lorenzo’s authority concerns public affairs; the objects distinguish the uses. References: </w:t>
      </w:r>
      <w:hyperlink w:anchor="passage-proem-7">
        <w:r>
          <w:rPr>
            <w:color w:val="000000"/>
          </w:rPr>
          <w:t xml:space="preserve">Proem.7</w:t>
        </w:r>
      </w:hyperlink>
      <w:r>
        <w:rPr>
          <w:b w:val="0"/>
          <w:i w:val="0"/>
        </w:rPr>
        <w:t xml:space="preserve">, </w:t>
      </w:r>
      <w:hyperlink w:anchor="passage-proem-8">
        <w:r>
          <w:rPr>
            <w:color w:val="000000"/>
          </w:rPr>
          <w:t xml:space="preserve">Proem.8</w:t>
        </w:r>
      </w:hyperlink>
      <w:r>
        <w:rPr>
          <w:b w:val="0"/>
          <w:i w:val="0"/>
        </w:rPr>
        <w:t xml:space="preserve">, </w:t>
      </w:r>
      <w:hyperlink w:anchor="passage-proem-11">
        <w:r>
          <w:rPr>
            <w:color w:val="000000"/>
          </w:rPr>
          <w:t xml:space="preserve">Proem.11</w:t>
        </w:r>
      </w:hyperlink>
      <w:r>
        <w:rPr>
          <w:b w:val="0"/>
          <w:i w:val="0"/>
        </w:rPr>
        <w:t xml:space="preserve">. See </w:t>
      </w:r>
      <w:hyperlink w:anchor="lorenzo-dedication-and-public-authority">
        <w:r>
          <w:rPr>
            <w:color w:val="000000"/>
          </w:rPr>
          <w:t xml:space="preserve">Lorenzo, dedication and public authority</w:t>
        </w:r>
      </w:hyperlink>
      <w:r>
        <w:rPr>
          <w:b w:val="0"/>
          <w:i w:val="0"/>
        </w:rPr>
        <w:t>.</w:t>
      </w:r>
    </w:p>
    <w:p>
      <w:pPr>
        <w:keepNext/>
        <w:widowControl/>
      </w:pPr>
      <w:bookmarkStart w:id="363" w:name="latin-record-0112"/>
      <w:bookmarkEnd w:id="363"/>
      <w:r>
        <w:rPr>
          <w:b/>
          <w:i w:val="0"/>
        </w:rPr>
        <w:t>aucupor</w:t>
      </w:r>
      <w:r>
        <w:rPr>
          <w:b/>
          <w:i w:val="0"/>
        </w:rPr>
        <w:t>.</w:t>
      </w:r>
      <w:r>
        <w:rPr>
          <w:b w:val="0"/>
          <w:i w:val="0"/>
        </w:rPr>
        <w:t xml:space="preserve"> Printed forms: </w:t>
      </w:r>
      <w:r>
        <w:rPr>
          <w:b w:val="0"/>
          <w:i/>
        </w:rPr>
        <w:t>aucupabitur</w:t>
      </w:r>
      <w:r>
        <w:rPr>
          <w:b w:val="0"/>
          <w:i w:val="0"/>
        </w:rPr>
        <w:t>.</w:t>
      </w:r>
    </w:p>
    <w:p>
      <w:pPr>
        <w:widowControl/>
      </w:pPr>
      <w:r>
        <w:rPr>
          <w:b w:val="0"/>
          <w:i w:val="0"/>
        </w:rPr>
        <w:t xml:space="preserve">To hunt or seek after successively. The pure mind does not hunt now one truth and now another; the hunting image characterizes discursive acquisition. References: </w:t>
      </w:r>
      <w:hyperlink w:anchor="passage-i-6-9">
        <w:r>
          <w:rPr>
            <w:color w:val="000000"/>
          </w:rPr>
          <w:t xml:space="preserve">I.6.9</w:t>
        </w:r>
      </w:hyperlink>
      <w:r>
        <w:rPr>
          <w:b w:val="0"/>
          <w:i w:val="0"/>
        </w:rPr>
        <w:t xml:space="preserve">. See </w:t>
      </w:r>
      <w:hyperlink w:anchor="eye-and-imagined-enlargement">
        <w:r>
          <w:rPr>
            <w:color w:val="000000"/>
          </w:rPr>
          <w:t xml:space="preserve">Eye and imagined enlargement</w:t>
        </w:r>
      </w:hyperlink>
      <w:r>
        <w:rPr>
          <w:b w:val="0"/>
          <w:i w:val="0"/>
        </w:rPr>
        <w:t>.</w:t>
      </w:r>
    </w:p>
    <w:p>
      <w:pPr>
        <w:keepNext/>
        <w:widowControl/>
      </w:pPr>
      <w:bookmarkStart w:id="364" w:name="latin-record-0113"/>
      <w:bookmarkEnd w:id="364"/>
      <w:r>
        <w:rPr>
          <w:b/>
          <w:i w:val="0"/>
        </w:rPr>
        <w:t>augere / augmentum</w:t>
      </w:r>
      <w:r>
        <w:rPr>
          <w:b/>
          <w:i w:val="0"/>
        </w:rPr>
        <w:t>.</w:t>
      </w:r>
      <w:r>
        <w:rPr>
          <w:b w:val="0"/>
          <w:i w:val="0"/>
        </w:rPr>
        <w:t xml:space="preserve"> Printed forms: </w:t>
      </w:r>
      <w:r>
        <w:rPr>
          <w:b w:val="0"/>
          <w:i/>
        </w:rPr>
        <w:t>augere</w:t>
      </w:r>
      <w:r>
        <w:rPr>
          <w:b w:val="0"/>
          <w:i w:val="0"/>
        </w:rPr>
        <w:t xml:space="preserve">; </w:t>
      </w:r>
      <w:r>
        <w:rPr>
          <w:b w:val="0"/>
          <w:i/>
        </w:rPr>
        <w:t>augeri</w:t>
      </w:r>
      <w:r>
        <w:rPr>
          <w:b w:val="0"/>
          <w:i w:val="0"/>
        </w:rPr>
        <w:t xml:space="preserve">; </w:t>
      </w:r>
      <w:r>
        <w:rPr>
          <w:b w:val="0"/>
          <w:i/>
        </w:rPr>
        <w:t>augmenti</w:t>
      </w:r>
      <w:r>
        <w:rPr>
          <w:b w:val="0"/>
          <w:i w:val="0"/>
        </w:rPr>
        <w:t xml:space="preserve">; </w:t>
      </w:r>
      <w:r>
        <w:rPr>
          <w:b w:val="0"/>
          <w:i/>
        </w:rPr>
        <w:t>augmentum</w:t>
      </w:r>
      <w:r>
        <w:rPr>
          <w:b w:val="0"/>
          <w:i w:val="0"/>
        </w:rPr>
        <w:t>.</w:t>
      </w:r>
    </w:p>
    <w:p>
      <w:pPr>
        <w:widowControl/>
      </w:pPr>
      <w:r>
        <w:rPr>
          <w:b w:val="0"/>
          <w:i w:val="0"/>
        </w:rPr>
        <w:t xml:space="preserve">To increase or grow; increase as an operation. Ficino treats increase as dependent on the production of parts, not as a separate substantial agent. References: </w:t>
      </w:r>
      <w:hyperlink w:anchor="passage-iv-1-1">
        <w:r>
          <w:rPr>
            <w:color w:val="000000"/>
          </w:rPr>
          <w:t xml:space="preserve">IV.1.1</w:t>
        </w:r>
      </w:hyperlink>
      <w:r>
        <w:rPr>
          <w:b w:val="0"/>
          <w:i w:val="0"/>
        </w:rPr>
        <w:t xml:space="preserve">. See </w:t>
      </w:r>
      <w:hyperlink w:anchor="nourishment-digestion-and-growth">
        <w:r>
          <w:rPr>
            <w:color w:val="000000"/>
          </w:rPr>
          <w:t xml:space="preserve">Nourishment, digestion and growth</w:t>
        </w:r>
      </w:hyperlink>
      <w:r>
        <w:rPr>
          <w:b w:val="0"/>
          <w:i w:val="0"/>
        </w:rPr>
        <w:t>.</w:t>
      </w:r>
    </w:p>
    <w:p>
      <w:pPr>
        <w:keepNext/>
        <w:widowControl/>
      </w:pPr>
      <w:bookmarkStart w:id="365" w:name="latin-record-0114"/>
      <w:bookmarkEnd w:id="365"/>
      <w:r>
        <w:rPr>
          <w:b/>
          <w:i w:val="0"/>
        </w:rPr>
        <w:t>augurari</w:t>
      </w:r>
      <w:r>
        <w:rPr>
          <w:b/>
          <w:i w:val="0"/>
        </w:rPr>
        <w:t>.</w:t>
      </w:r>
      <w:r>
        <w:rPr>
          <w:b w:val="0"/>
          <w:i w:val="0"/>
        </w:rPr>
        <w:t xml:space="preserve"> Printed forms: </w:t>
      </w:r>
      <w:r>
        <w:rPr>
          <w:b w:val="0"/>
          <w:i/>
        </w:rPr>
        <w:t>auguratur</w:t>
      </w:r>
      <w:r>
        <w:rPr>
          <w:b w:val="0"/>
          <w:i w:val="0"/>
        </w:rPr>
        <w:t>.</w:t>
      </w:r>
    </w:p>
    <w:p>
      <w:pPr>
        <w:widowControl/>
      </w:pPr>
      <w:r>
        <w:rPr>
          <w:b w:val="0"/>
          <w:i w:val="0"/>
        </w:rPr>
        <w:t xml:space="preserve">Divine or apprehend in some measure. Rational soul’s continuing apprehension of higher things is qualified as thinking or divining, not described as exhaustive knowledge. References: </w:t>
      </w:r>
      <w:hyperlink w:anchor="passage-iii-1-31">
        <w:r>
          <w:rPr>
            <w:color w:val="000000"/>
          </w:rPr>
          <w:t xml:space="preserve">III.1.31</w:t>
        </w:r>
      </w:hyperlink>
      <w:r>
        <w:rPr>
          <w:b w:val="0"/>
          <w:i w:val="0"/>
        </w:rPr>
        <w:t xml:space="preserve">. See </w:t>
      </w:r>
      <w:hyperlink w:anchor="looking-and-recognizing">
        <w:r>
          <w:rPr>
            <w:color w:val="000000"/>
          </w:rPr>
          <w:t xml:space="preserve">Looking and recognizing</w:t>
        </w:r>
      </w:hyperlink>
      <w:r>
        <w:rPr>
          <w:b w:val="0"/>
          <w:i w:val="0"/>
        </w:rPr>
        <w:t>.</w:t>
      </w:r>
    </w:p>
    <w:p>
      <w:pPr>
        <w:keepNext/>
        <w:widowControl/>
      </w:pPr>
      <w:bookmarkStart w:id="366" w:name="latin-record-0115"/>
      <w:bookmarkEnd w:id="366"/>
      <w:r>
        <w:rPr>
          <w:b/>
          <w:i w:val="0"/>
        </w:rPr>
        <w:t>aura / viscera / quassare</w:t>
      </w:r>
      <w:r>
        <w:rPr>
          <w:b/>
          <w:i w:val="0"/>
        </w:rPr>
        <w:t>.</w:t>
      </w:r>
      <w:r>
        <w:rPr>
          <w:b w:val="0"/>
          <w:i w:val="0"/>
        </w:rPr>
        <w:t xml:space="preserve"> Printed forms: </w:t>
      </w:r>
      <w:r>
        <w:rPr>
          <w:b w:val="0"/>
          <w:i/>
        </w:rPr>
        <w:t>aura</w:t>
      </w:r>
      <w:r>
        <w:rPr>
          <w:b w:val="0"/>
          <w:i w:val="0"/>
        </w:rPr>
        <w:t xml:space="preserve">; </w:t>
      </w:r>
      <w:r>
        <w:rPr>
          <w:b w:val="0"/>
          <w:i/>
        </w:rPr>
        <w:t>quassat</w:t>
      </w:r>
      <w:r>
        <w:rPr>
          <w:b w:val="0"/>
          <w:i w:val="0"/>
        </w:rPr>
        <w:t xml:space="preserve">; </w:t>
      </w:r>
      <w:r>
        <w:rPr>
          <w:b w:val="0"/>
          <w:i/>
        </w:rPr>
        <w:t>visceribus</w:t>
      </w:r>
      <w:r>
        <w:rPr>
          <w:b w:val="0"/>
          <w:i w:val="0"/>
        </w:rPr>
        <w:t>.</w:t>
      </w:r>
    </w:p>
    <w:p>
      <w:pPr>
        <w:widowControl/>
      </w:pPr>
      <w:r>
        <w:rPr>
          <w:b w:val="0"/>
          <w:i w:val="0"/>
        </w:rPr>
        <w:t xml:space="preserve">Breeze; inward parts; to shake. Dust and mountains supply examples making subtle causes of bodily motion less surprising within the argument. References: </w:t>
      </w:r>
      <w:hyperlink w:anchor="passage-iv-2-19">
        <w:r>
          <w:rPr>
            <w:color w:val="000000"/>
          </w:rPr>
          <w:t xml:space="preserve">IV.2.19</w:t>
        </w:r>
      </w:hyperlink>
      <w:r>
        <w:rPr>
          <w:b w:val="0"/>
          <w:i w:val="0"/>
        </w:rPr>
        <w:t xml:space="preserve">. See </w:t>
      </w:r>
      <w:hyperlink w:anchor="weariness-and-agility">
        <w:r>
          <w:rPr>
            <w:color w:val="000000"/>
          </w:rPr>
          <w:t xml:space="preserve">Weariness and agility</w:t>
        </w:r>
      </w:hyperlink>
      <w:r>
        <w:rPr>
          <w:b w:val="0"/>
          <w:i w:val="0"/>
        </w:rPr>
        <w:t>.</w:t>
      </w:r>
    </w:p>
    <w:p>
      <w:pPr>
        <w:keepNext/>
        <w:widowControl/>
      </w:pPr>
      <w:bookmarkStart w:id="367" w:name="latin-record-0116"/>
      <w:bookmarkEnd w:id="367"/>
      <w:r>
        <w:rPr>
          <w:b/>
          <w:i w:val="0"/>
        </w:rPr>
        <w:t>Aurelius Augustinus / Aurelianus</w:t>
      </w:r>
      <w:r>
        <w:rPr>
          <w:b/>
          <w:i w:val="0"/>
        </w:rPr>
        <w:t>.</w:t>
      </w:r>
      <w:r>
        <w:rPr>
          <w:b w:val="0"/>
          <w:i w:val="0"/>
        </w:rPr>
        <w:t xml:space="preserve"> Printed forms: </w:t>
      </w:r>
      <w:r>
        <w:rPr>
          <w:b w:val="0"/>
          <w:i/>
        </w:rPr>
        <w:t>Aureliana</w:t>
      </w:r>
      <w:r>
        <w:rPr>
          <w:b w:val="0"/>
          <w:i w:val="0"/>
        </w:rPr>
        <w:t xml:space="preserve">; </w:t>
      </w:r>
      <w:r>
        <w:rPr>
          <w:b w:val="0"/>
          <w:i/>
        </w:rPr>
        <w:t>Aurelius Augustinus</w:t>
      </w:r>
      <w:r>
        <w:rPr>
          <w:b w:val="0"/>
          <w:i w:val="0"/>
        </w:rPr>
        <w:t>.</w:t>
      </w:r>
    </w:p>
    <w:p>
      <w:pPr>
        <w:widowControl/>
      </w:pPr>
      <w:r>
        <w:rPr>
          <w:b w:val="0"/>
          <w:i w:val="0"/>
        </w:rPr>
        <w:t xml:space="preserve">Augustine, with an adjective referring back to his authority. Ficino invokes his reported approval of Plato’s proximity to Christian truth; the compressed adjective does not name a different authority. References: </w:t>
      </w:r>
      <w:hyperlink w:anchor="passage-proem-6">
        <w:r>
          <w:rPr>
            <w:color w:val="000000"/>
          </w:rPr>
          <w:t xml:space="preserve">Proem.6</w:t>
        </w:r>
      </w:hyperlink>
      <w:r>
        <w:rPr>
          <w:b w:val="0"/>
          <w:i w:val="0"/>
        </w:rPr>
        <w:t xml:space="preserve">, </w:t>
      </w:r>
      <w:hyperlink w:anchor="passage-proem-7">
        <w:r>
          <w:rPr>
            <w:color w:val="000000"/>
          </w:rPr>
          <w:t xml:space="preserve">Proem.7</w:t>
        </w:r>
      </w:hyperlink>
      <w:r>
        <w:rPr>
          <w:b w:val="0"/>
          <w:i w:val="0"/>
        </w:rPr>
        <w:t xml:space="preserve">. See </w:t>
      </w:r>
      <w:hyperlink w:anchor="augustine-and-christian-proximity">
        <w:r>
          <w:rPr>
            <w:color w:val="000000"/>
          </w:rPr>
          <w:t xml:space="preserve">Augustine and Christian proximity</w:t>
        </w:r>
      </w:hyperlink>
      <w:r>
        <w:rPr>
          <w:b w:val="0"/>
          <w:i w:val="0"/>
        </w:rPr>
        <w:t>.</w:t>
      </w:r>
    </w:p>
    <w:p>
      <w:pPr>
        <w:keepNext/>
        <w:widowControl/>
      </w:pPr>
      <w:bookmarkStart w:id="368" w:name="latin-record-0117"/>
      <w:bookmarkEnd w:id="368"/>
      <w:r>
        <w:rPr>
          <w:b/>
          <w:i w:val="0"/>
        </w:rPr>
        <w:t>aut semper aut plurimum</w:t>
      </w:r>
      <w:r>
        <w:rPr>
          <w:b/>
          <w:i w:val="0"/>
        </w:rPr>
        <w:t>.</w:t>
      </w:r>
      <w:r>
        <w:rPr>
          <w:b w:val="0"/>
          <w:i w:val="0"/>
        </w:rPr>
        <w:t xml:space="preserve"> Printed forms: </w:t>
      </w:r>
      <w:r>
        <w:rPr>
          <w:b w:val="0"/>
          <w:i/>
        </w:rPr>
        <w:t>aut semper aut plurimum</w:t>
      </w:r>
      <w:r>
        <w:rPr>
          <w:b w:val="0"/>
          <w:i w:val="0"/>
        </w:rPr>
        <w:t>.</w:t>
      </w:r>
    </w:p>
    <w:p>
      <w:pPr>
        <w:widowControl/>
      </w:pPr>
      <w:r>
        <w:rPr>
          <w:b w:val="0"/>
          <w:i w:val="0"/>
        </w:rPr>
        <w:t xml:space="preserve">Always or for the most part. The qualification limits the regularity claim about natural paths and works; it should not be rewritten as exceptionless observed success. References: </w:t>
      </w:r>
      <w:hyperlink w:anchor="passage-ii-13-9">
        <w:r>
          <w:rPr>
            <w:color w:val="000000"/>
          </w:rPr>
          <w:t xml:space="preserve">II.13.9</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369" w:name="latin-record-0118"/>
      <w:bookmarkEnd w:id="369"/>
      <w:r>
        <w:rPr>
          <w:b/>
          <w:i w:val="0"/>
        </w:rPr>
        <w:t>auxilium / subsidium</w:t>
      </w:r>
      <w:r>
        <w:rPr>
          <w:b/>
          <w:i w:val="0"/>
        </w:rPr>
        <w:t>.</w:t>
      </w:r>
      <w:r>
        <w:rPr>
          <w:b w:val="0"/>
          <w:i w:val="0"/>
        </w:rPr>
        <w:t xml:space="preserve"> Printed forms: </w:t>
      </w:r>
      <w:r>
        <w:rPr>
          <w:b w:val="0"/>
          <w:i/>
        </w:rPr>
        <w:t>adiuvante</w:t>
      </w:r>
      <w:r>
        <w:rPr>
          <w:b w:val="0"/>
          <w:i w:val="0"/>
        </w:rPr>
        <w:t xml:space="preserve">; </w:t>
      </w:r>
      <w:r>
        <w:rPr>
          <w:b w:val="0"/>
          <w:i/>
        </w:rPr>
        <w:t>auxilio</w:t>
      </w:r>
      <w:r>
        <w:rPr>
          <w:b w:val="0"/>
          <w:i w:val="0"/>
        </w:rPr>
        <w:t xml:space="preserve">; </w:t>
      </w:r>
      <w:r>
        <w:rPr>
          <w:b w:val="0"/>
          <w:i/>
        </w:rPr>
        <w:t>subsidio</w:t>
      </w:r>
      <w:r>
        <w:rPr>
          <w:b w:val="0"/>
          <w:i w:val="0"/>
        </w:rPr>
        <w:t>.</w:t>
      </w:r>
    </w:p>
    <w:p>
      <w:pPr>
        <w:widowControl/>
      </w:pPr>
      <w:r>
        <w:rPr>
          <w:b w:val="0"/>
          <w:i w:val="0"/>
        </w:rPr>
        <w:t xml:space="preserve">Aid or support. God needs no assistance or borrowed material; effects require continual support, and subordinate agents work by divine aid. References: </w:t>
      </w:r>
      <w:hyperlink w:anchor="passage-ii-7-21">
        <w:r>
          <w:rPr>
            <w:color w:val="000000"/>
          </w:rPr>
          <w:t xml:space="preserve">II.7.21</w:t>
        </w:r>
      </w:hyperlink>
      <w:r>
        <w:rPr>
          <w:b w:val="0"/>
          <w:i w:val="0"/>
        </w:rPr>
        <w:t xml:space="preserve">, </w:t>
      </w:r>
      <w:hyperlink w:anchor="passage-ii-7-22">
        <w:r>
          <w:rPr>
            <w:color w:val="000000"/>
          </w:rPr>
          <w:t xml:space="preserve">II.7.22</w:t>
        </w:r>
      </w:hyperlink>
      <w:r>
        <w:rPr>
          <w:b w:val="0"/>
          <w:i w:val="0"/>
        </w:rPr>
        <w:t xml:space="preserve">, </w:t>
      </w:r>
      <w:hyperlink w:anchor="passage-ii-7-30">
        <w:r>
          <w:rPr>
            <w:color w:val="000000"/>
          </w:rPr>
          <w:t xml:space="preserve">II.7.30</w:t>
        </w:r>
      </w:hyperlink>
      <w:r>
        <w:rPr>
          <w:b w:val="0"/>
          <w:i w:val="0"/>
        </w:rPr>
        <w:t xml:space="preserve">. See </w:t>
      </w:r>
      <w:hyperlink w:anchor="borrowing-and-assistance">
        <w:r>
          <w:rPr>
            <w:color w:val="000000"/>
          </w:rPr>
          <w:t xml:space="preserve">Borrowing and assistance</w:t>
        </w:r>
      </w:hyperlink>
      <w:r>
        <w:rPr>
          <w:b w:val="0"/>
          <w:i w:val="0"/>
        </w:rPr>
        <w:t>.</w:t>
      </w:r>
    </w:p>
    <w:p>
      <w:pPr>
        <w:keepNext/>
        <w:widowControl/>
      </w:pPr>
      <w:bookmarkStart w:id="370" w:name="latin-record-0119"/>
      <w:bookmarkEnd w:id="370"/>
      <w:r>
        <w:rPr>
          <w:b/>
          <w:i w:val="0"/>
        </w:rPr>
        <w:t>Averrois / Aristoteles</w:t>
      </w:r>
      <w:r>
        <w:rPr>
          <w:b/>
          <w:i w:val="0"/>
        </w:rPr>
        <w:t>.</w:t>
      </w:r>
      <w:r>
        <w:rPr>
          <w:b w:val="0"/>
          <w:i w:val="0"/>
        </w:rPr>
        <w:t xml:space="preserve"> Printed forms: </w:t>
      </w:r>
      <w:r>
        <w:rPr>
          <w:b w:val="0"/>
          <w:i/>
        </w:rPr>
        <w:t>Aristotelis</w:t>
      </w:r>
      <w:r>
        <w:rPr>
          <w:b w:val="0"/>
          <w:i w:val="0"/>
        </w:rPr>
        <w:t xml:space="preserve">; </w:t>
      </w:r>
      <w:r>
        <w:rPr>
          <w:b w:val="0"/>
          <w:i/>
        </w:rPr>
        <w:t>Averrois</w:t>
      </w:r>
      <w:r>
        <w:rPr>
          <w:b w:val="0"/>
          <w:i w:val="0"/>
        </w:rPr>
        <w:t>.</w:t>
      </w:r>
    </w:p>
    <w:p>
      <w:pPr>
        <w:widowControl/>
      </w:pPr>
      <w:r>
        <w:rPr>
          <w:b w:val="0"/>
          <w:i w:val="0"/>
        </w:rPr>
        <w:t xml:space="preserve">Averroes and Aristotle in a reported account of celestial form. Ficino presents dimension without material potency as an intermediate and then makes his own further inference to dimensionless substance. References: </w:t>
      </w:r>
      <w:hyperlink w:anchor="passage-i-3-27">
        <w:r>
          <w:rPr>
            <w:color w:val="000000"/>
          </w:rPr>
          <w:t xml:space="preserve">I.3.27</w:t>
        </w:r>
      </w:hyperlink>
      <w:r>
        <w:rPr>
          <w:b w:val="0"/>
          <w:i w:val="0"/>
        </w:rPr>
        <w:t xml:space="preserve">. See </w:t>
      </w:r>
      <w:hyperlink w:anchor="incorporeal-and-immaterial">
        <w:r>
          <w:rPr>
            <w:color w:val="000000"/>
          </w:rPr>
          <w:t xml:space="preserve">Incorporeal and immaterial</w:t>
        </w:r>
      </w:hyperlink>
      <w:r>
        <w:rPr>
          <w:b w:val="0"/>
          <w:i w:val="0"/>
        </w:rPr>
        <w:t>.</w:t>
      </w:r>
    </w:p>
    <w:p>
      <w:pPr>
        <w:keepNext/>
        <w:widowControl/>
      </w:pPr>
      <w:bookmarkStart w:id="371" w:name="latin-record-0120"/>
      <w:bookmarkEnd w:id="371"/>
      <w:r>
        <w:rPr>
          <w:b/>
          <w:i w:val="0"/>
        </w:rPr>
        <w:t>Avicenna</w:t>
      </w:r>
      <w:r>
        <w:rPr>
          <w:b/>
          <w:i w:val="0"/>
        </w:rPr>
        <w:t>.</w:t>
      </w:r>
      <w:r>
        <w:rPr>
          <w:b w:val="0"/>
          <w:i w:val="0"/>
        </w:rPr>
        <w:t xml:space="preserve"> Printed forms: </w:t>
      </w:r>
      <w:r>
        <w:rPr>
          <w:b w:val="0"/>
          <w:i/>
        </w:rPr>
        <w:t>Avicenna</w:t>
      </w:r>
      <w:r>
        <w:rPr>
          <w:b w:val="0"/>
          <w:i w:val="0"/>
        </w:rPr>
        <w:t>.</w:t>
      </w:r>
    </w:p>
    <w:p>
      <w:pPr>
        <w:widowControl/>
      </w:pPr>
      <w:r>
        <w:rPr>
          <w:b w:val="0"/>
          <w:i w:val="0"/>
        </w:rPr>
        <w:t xml:space="preserve">The named authority for a numerical indication of principal minds. Ficino reports at least ten in one place and a seeming suggestion of many more elsewhere, keeping the principal subset distinct from a total count. References: </w:t>
      </w:r>
      <w:hyperlink w:anchor="passage-i-5-20">
        <w:r>
          <w:rPr>
            <w:color w:val="000000"/>
          </w:rPr>
          <w:t xml:space="preserve">I.5.20</w:t>
        </w:r>
      </w:hyperlink>
      <w:r>
        <w:rPr>
          <w:b w:val="0"/>
          <w:i w:val="0"/>
        </w:rPr>
        <w:t xml:space="preserve">. See </w:t>
      </w:r>
      <w:hyperlink w:anchor="aristotle-avicenna-and-counting-minds">
        <w:r>
          <w:rPr>
            <w:color w:val="000000"/>
          </w:rPr>
          <w:t xml:space="preserve">Aristotle, Avicenna and counting minds</w:t>
        </w:r>
      </w:hyperlink>
      <w:r>
        <w:rPr>
          <w:b w:val="0"/>
          <w:i w:val="0"/>
        </w:rPr>
        <w:t>.</w:t>
      </w:r>
    </w:p>
    <w:p>
      <w:pPr>
        <w:keepNext/>
        <w:widowControl/>
      </w:pPr>
      <w:bookmarkStart w:id="372" w:name="latin-record-0121"/>
      <w:bookmarkEnd w:id="372"/>
      <w:r>
        <w:rPr>
          <w:b/>
          <w:i w:val="0"/>
        </w:rPr>
        <w:t>aviditas caeca</w:t>
      </w:r>
      <w:r>
        <w:rPr>
          <w:b/>
          <w:i w:val="0"/>
        </w:rPr>
        <w:t>.</w:t>
      </w:r>
      <w:r>
        <w:rPr>
          <w:b w:val="0"/>
          <w:i w:val="0"/>
        </w:rPr>
        <w:t xml:space="preserve"> Printed forms: </w:t>
      </w:r>
      <w:r>
        <w:rPr>
          <w:b w:val="0"/>
          <w:i/>
        </w:rPr>
        <w:t>aviditas</w:t>
      </w:r>
      <w:r>
        <w:rPr>
          <w:b w:val="0"/>
          <w:i w:val="0"/>
        </w:rPr>
        <w:t xml:space="preserve">; </w:t>
      </w:r>
      <w:r>
        <w:rPr>
          <w:b w:val="0"/>
          <w:i/>
        </w:rPr>
        <w:t>caeca</w:t>
      </w:r>
      <w:r>
        <w:rPr>
          <w:b w:val="0"/>
          <w:i w:val="0"/>
        </w:rPr>
        <w:t xml:space="preserve">; </w:t>
      </w:r>
      <w:r>
        <w:rPr>
          <w:b w:val="0"/>
          <w:i/>
        </w:rPr>
        <w:t>irrationalis</w:t>
      </w:r>
      <w:r>
        <w:rPr>
          <w:b w:val="0"/>
          <w:i w:val="0"/>
        </w:rPr>
        <w:t>.</w:t>
      </w:r>
    </w:p>
    <w:p>
      <w:pPr>
        <w:widowControl/>
      </w:pPr>
      <w:r>
        <w:rPr>
          <w:b w:val="0"/>
          <w:i w:val="0"/>
        </w:rPr>
        <w:t xml:space="preserve">Desire that is blind or nonrational. Ficino denies these descriptions of the heavenly desire because of its superior order and proximity to truth. References: </w:t>
      </w:r>
      <w:hyperlink w:anchor="passage-iv-1-62">
        <w:r>
          <w:rPr>
            <w:color w:val="000000"/>
          </w:rPr>
          <w:t xml:space="preserve">IV.1.62</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373" w:name="latin-record-0122"/>
      <w:bookmarkEnd w:id="373"/>
      <w:r>
        <w:rPr>
          <w:b/>
          <w:i w:val="0"/>
        </w:rPr>
        <w:t>avidus / intentus</w:t>
      </w:r>
      <w:r>
        <w:rPr>
          <w:b/>
          <w:i w:val="0"/>
        </w:rPr>
        <w:t>.</w:t>
      </w:r>
      <w:r>
        <w:rPr>
          <w:b w:val="0"/>
          <w:i w:val="0"/>
        </w:rPr>
        <w:t xml:space="preserve"> Printed forms: </w:t>
      </w:r>
      <w:r>
        <w:rPr>
          <w:b w:val="0"/>
          <w:i/>
        </w:rPr>
        <w:t>avidissime</w:t>
      </w:r>
      <w:r>
        <w:rPr>
          <w:b w:val="0"/>
          <w:i w:val="0"/>
        </w:rPr>
        <w:t xml:space="preserve">; </w:t>
      </w:r>
      <w:r>
        <w:rPr>
          <w:b w:val="0"/>
          <w:i/>
        </w:rPr>
        <w:t>intentus</w:t>
      </w:r>
      <w:r>
        <w:rPr>
          <w:b w:val="0"/>
          <w:i w:val="0"/>
        </w:rPr>
        <w:t>.</w:t>
      </w:r>
    </w:p>
    <w:p>
      <w:pPr>
        <w:widowControl/>
      </w:pPr>
      <w:r>
        <w:rPr>
          <w:b w:val="0"/>
          <w:i w:val="0"/>
        </w:rPr>
        <w:t xml:space="preserve">Eager or avid / fixed intently. The adverb and participle emphasize affective intensity in the ostrich’s directed gaze. References: </w:t>
      </w:r>
      <w:hyperlink w:anchor="passage-ii-11-31">
        <w:r>
          <w:rPr>
            <w:color w:val="000000"/>
          </w:rPr>
          <w:t xml:space="preserve">II.11.31</w:t>
        </w:r>
      </w:hyperlink>
      <w:r>
        <w:rPr>
          <w:b w:val="0"/>
          <w:i w:val="0"/>
        </w:rPr>
        <w:t xml:space="preserve">. See </w:t>
      </w:r>
      <w:hyperlink w:anchor="ostrich-and-egg">
        <w:r>
          <w:rPr>
            <w:color w:val="000000"/>
          </w:rPr>
          <w:t xml:space="preserve">Ostrich and egg</w:t>
        </w:r>
      </w:hyperlink>
      <w:r>
        <w:rPr>
          <w:b w:val="0"/>
          <w:i w:val="0"/>
        </w:rPr>
        <w:t>.</w:t>
      </w:r>
    </w:p>
    <w:p>
      <w:pPr>
        <w:keepNext/>
        <w:widowControl/>
      </w:pPr>
      <w:bookmarkStart w:id="374" w:name="latin-record-0123"/>
      <w:bookmarkEnd w:id="374"/>
      <w:r>
        <w:rPr>
          <w:b/>
          <w:i w:val="0"/>
        </w:rPr>
        <w:t>beatitudo / felicitas</w:t>
      </w:r>
      <w:r>
        <w:rPr>
          <w:b/>
          <w:i w:val="0"/>
        </w:rPr>
        <w:t>.</w:t>
      </w:r>
      <w:r>
        <w:rPr>
          <w:b w:val="0"/>
          <w:i w:val="0"/>
        </w:rPr>
        <w:t xml:space="preserve"> Printed forms: </w:t>
      </w:r>
      <w:r>
        <w:rPr>
          <w:b w:val="0"/>
          <w:i/>
        </w:rPr>
        <w:t>beatior</w:t>
      </w:r>
      <w:r>
        <w:rPr>
          <w:b w:val="0"/>
          <w:i w:val="0"/>
        </w:rPr>
        <w:t xml:space="preserve">; </w:t>
      </w:r>
      <w:r>
        <w:rPr>
          <w:b w:val="0"/>
          <w:i/>
        </w:rPr>
        <w:t>beatitudinem</w:t>
      </w:r>
      <w:r>
        <w:rPr>
          <w:b w:val="0"/>
          <w:i w:val="0"/>
        </w:rPr>
        <w:t xml:space="preserve">; </w:t>
      </w:r>
      <w:r>
        <w:rPr>
          <w:b w:val="0"/>
          <w:i/>
        </w:rPr>
        <w:t>beatitudinis</w:t>
      </w:r>
      <w:r>
        <w:rPr>
          <w:b w:val="0"/>
          <w:i w:val="0"/>
        </w:rPr>
        <w:t xml:space="preserve">; </w:t>
      </w:r>
      <w:r>
        <w:rPr>
          <w:b w:val="0"/>
          <w:i/>
        </w:rPr>
        <w:t>felicitas</w:t>
      </w:r>
      <w:r>
        <w:rPr>
          <w:b w:val="0"/>
          <w:i w:val="0"/>
        </w:rPr>
        <w:t xml:space="preserve">; </w:t>
      </w:r>
      <w:r>
        <w:rPr>
          <w:b w:val="0"/>
          <w:i/>
        </w:rPr>
        <w:t>infelicius</w:t>
      </w:r>
      <w:r>
        <w:rPr>
          <w:b w:val="0"/>
          <w:i w:val="0"/>
        </w:rPr>
        <w:t>.</w:t>
      </w:r>
    </w:p>
    <w:p>
      <w:pPr>
        <w:widowControl/>
      </w:pPr>
      <w:r>
        <w:rPr>
          <w:b w:val="0"/>
          <w:i w:val="0"/>
        </w:rPr>
        <w:t xml:space="preserve">Blessedness, happiness and their opposites. The Proem links happiness to knowledge and life-ordering; the opening argues that nearness to God in worship cannot culminate in humanity’s being most miserable. References: </w:t>
      </w:r>
      <w:hyperlink w:anchor="passage-proem-6">
        <w:r>
          <w:rPr>
            <w:color w:val="000000"/>
          </w:rPr>
          <w:t xml:space="preserve">Proem.6</w:t>
        </w:r>
      </w:hyperlink>
      <w:r>
        <w:rPr>
          <w:b w:val="0"/>
          <w:i w:val="0"/>
        </w:rPr>
        <w:t xml:space="preserve">, </w:t>
      </w:r>
      <w:hyperlink w:anchor="passage-i-1-1">
        <w:r>
          <w:rPr>
            <w:color w:val="000000"/>
          </w:rPr>
          <w:t xml:space="preserve">I.1.1</w:t>
        </w:r>
      </w:hyperlink>
      <w:r>
        <w:rPr>
          <w:b w:val="0"/>
          <w:i w:val="0"/>
        </w:rPr>
        <w:t xml:space="preserve">, </w:t>
      </w:r>
      <w:hyperlink w:anchor="passage-i-1-3">
        <w:r>
          <w:rPr>
            <w:color w:val="000000"/>
          </w:rPr>
          <w:t xml:space="preserve">I.1.3</w:t>
        </w:r>
      </w:hyperlink>
      <w:r>
        <w:rPr>
          <w:b w:val="0"/>
          <w:i w:val="0"/>
        </w:rPr>
        <w:t xml:space="preserve">. See </w:t>
      </w:r>
      <w:hyperlink w:anchor="blessedness">
        <w:r>
          <w:rPr>
            <w:color w:val="000000"/>
          </w:rPr>
          <w:t xml:space="preserve">Blessedness</w:t>
        </w:r>
      </w:hyperlink>
      <w:r>
        <w:rPr>
          <w:b w:val="0"/>
          <w:i w:val="0"/>
        </w:rPr>
        <w:t>.</w:t>
      </w:r>
    </w:p>
    <w:p>
      <w:pPr>
        <w:keepNext/>
        <w:widowControl/>
      </w:pPr>
      <w:bookmarkStart w:id="375" w:name="latin-record-0124"/>
      <w:bookmarkEnd w:id="375"/>
      <w:r>
        <w:rPr>
          <w:b/>
          <w:i w:val="0"/>
        </w:rPr>
        <w:t>bene et bonum</w:t>
      </w:r>
      <w:r>
        <w:rPr>
          <w:b/>
          <w:i w:val="0"/>
        </w:rPr>
        <w:t>.</w:t>
      </w:r>
      <w:r>
        <w:rPr>
          <w:b w:val="0"/>
          <w:i w:val="0"/>
        </w:rPr>
        <w:t xml:space="preserve"> Printed forms: </w:t>
      </w:r>
      <w:r>
        <w:rPr>
          <w:b w:val="0"/>
          <w:i/>
        </w:rPr>
        <w:t>bene et bonum</w:t>
      </w:r>
      <w:r>
        <w:rPr>
          <w:b w:val="0"/>
          <w:i w:val="0"/>
        </w:rPr>
        <w:t>.</w:t>
      </w:r>
    </w:p>
    <w:p>
      <w:pPr>
        <w:widowControl/>
      </w:pPr>
      <w:r>
        <w:rPr>
          <w:b w:val="0"/>
          <w:i w:val="0"/>
        </w:rPr>
        <w:t xml:space="preserve">Well and the good. Ficino demands both good understanding and understanding the Good; the adverb and substantive have different functions. References: </w:t>
      </w:r>
      <w:hyperlink w:anchor="passage-i-6-19">
        <w:r>
          <w:rPr>
            <w:color w:val="000000"/>
          </w:rPr>
          <w:t xml:space="preserve">I.6.19</w:t>
        </w:r>
      </w:hyperlink>
      <w:r>
        <w:rPr>
          <w:b w:val="0"/>
          <w:i w:val="0"/>
        </w:rPr>
        <w:t xml:space="preserve">. See </w:t>
      </w:r>
      <w:hyperlink w:anchor="wishing-refusing-and-the-good">
        <w:r>
          <w:rPr>
            <w:color w:val="000000"/>
          </w:rPr>
          <w:t xml:space="preserve">Wishing, refusing and the good</w:t>
        </w:r>
      </w:hyperlink>
      <w:r>
        <w:rPr>
          <w:b w:val="0"/>
          <w:i w:val="0"/>
        </w:rPr>
        <w:t>.</w:t>
      </w:r>
    </w:p>
    <w:p>
      <w:pPr>
        <w:keepNext/>
        <w:widowControl/>
      </w:pPr>
      <w:bookmarkStart w:id="376" w:name="latin-record-0125"/>
      <w:bookmarkEnd w:id="376"/>
      <w:r>
        <w:rPr>
          <w:b/>
          <w:i w:val="0"/>
        </w:rPr>
        <w:t>beneficium</w:t>
      </w:r>
      <w:r>
        <w:rPr>
          <w:b/>
          <w:i w:val="0"/>
        </w:rPr>
        <w:t>.</w:t>
      </w:r>
      <w:r>
        <w:rPr>
          <w:b w:val="0"/>
          <w:i w:val="0"/>
        </w:rPr>
        <w:t xml:space="preserve"> Printed forms: </w:t>
      </w:r>
      <w:r>
        <w:rPr>
          <w:b w:val="0"/>
          <w:i/>
        </w:rPr>
        <w:t>beneficio</w:t>
      </w:r>
      <w:r>
        <w:rPr>
          <w:b w:val="0"/>
          <w:i w:val="0"/>
        </w:rPr>
        <w:t>.</w:t>
      </w:r>
    </w:p>
    <w:p>
      <w:pPr>
        <w:widowControl/>
      </w:pPr>
      <w:r>
        <w:rPr>
          <w:b w:val="0"/>
          <w:i w:val="0"/>
        </w:rPr>
        <w:t xml:space="preserve">A benefit, aid, or advantage; beneficio can mean with the help of or by virtue of. The discussion of visibility contrasts abundant light with bodily thickness. Airy and fiery beings lack either means of appearing to earthly eyes in the reported account; the noun is not an inflection of the adverb bene. References: </w:t>
      </w:r>
      <w:hyperlink w:anchor="passage-iv-1-38">
        <w:r>
          <w:rPr>
            <w:color w:val="000000"/>
          </w:rPr>
          <w:t xml:space="preserve">IV.1.38</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377" w:name="latin-record-0126"/>
      <w:bookmarkEnd w:id="377"/>
      <w:r>
        <w:rPr>
          <w:b/>
          <w:i w:val="0"/>
        </w:rPr>
        <w:t>beneficium / officium</w:t>
      </w:r>
      <w:r>
        <w:rPr>
          <w:b/>
          <w:i w:val="0"/>
        </w:rPr>
        <w:t>.</w:t>
      </w:r>
      <w:r>
        <w:rPr>
          <w:b w:val="0"/>
          <w:i w:val="0"/>
        </w:rPr>
        <w:t xml:space="preserve"> Printed forms: </w:t>
      </w:r>
      <w:r>
        <w:rPr>
          <w:b w:val="0"/>
          <w:i/>
        </w:rPr>
        <w:t>beneficio</w:t>
      </w:r>
      <w:r>
        <w:rPr>
          <w:b w:val="0"/>
          <w:i w:val="0"/>
        </w:rPr>
        <w:t xml:space="preserve">; </w:t>
      </w:r>
      <w:r>
        <w:rPr>
          <w:b w:val="0"/>
          <w:i/>
        </w:rPr>
        <w:t>officio</w:t>
      </w:r>
      <w:r>
        <w:rPr>
          <w:b w:val="0"/>
          <w:i w:val="0"/>
        </w:rPr>
        <w:t>.</w:t>
      </w:r>
    </w:p>
    <w:p>
      <w:pPr>
        <w:widowControl/>
      </w:pPr>
      <w:r>
        <w:rPr>
          <w:b w:val="0"/>
          <w:i w:val="0"/>
        </w:rPr>
        <w:t xml:space="preserve">A benefit or beneficence; a duty or service. Lorenzo’s support provides leisure, while Ficino’s dedication is the service offered in return; the two nouns name different sides of the relationship. References: </w:t>
      </w:r>
      <w:hyperlink w:anchor="passage-proem-11">
        <w:r>
          <w:rPr>
            <w:color w:val="000000"/>
          </w:rPr>
          <w:t xml:space="preserve">Proem.11</w:t>
        </w:r>
      </w:hyperlink>
      <w:r>
        <w:rPr>
          <w:b w:val="0"/>
          <w:i w:val="0"/>
        </w:rPr>
        <w:t xml:space="preserve">. See </w:t>
      </w:r>
      <w:hyperlink w:anchor="lorenzo-dedication-and-public-authority">
        <w:r>
          <w:rPr>
            <w:color w:val="000000"/>
          </w:rPr>
          <w:t xml:space="preserve">Lorenzo, dedication and public authority</w:t>
        </w:r>
      </w:hyperlink>
      <w:r>
        <w:rPr>
          <w:b w:val="0"/>
          <w:i w:val="0"/>
        </w:rPr>
        <w:t>.</w:t>
      </w:r>
    </w:p>
    <w:p>
      <w:pPr>
        <w:keepNext/>
        <w:widowControl/>
      </w:pPr>
      <w:bookmarkStart w:id="378" w:name="latin-record-0127"/>
      <w:bookmarkEnd w:id="378"/>
      <w:r>
        <w:rPr>
          <w:b/>
          <w:i w:val="0"/>
        </w:rPr>
        <w:t>bonitas / bonum</w:t>
      </w:r>
      <w:r>
        <w:rPr>
          <w:b/>
          <w:i w:val="0"/>
        </w:rPr>
        <w:t>.</w:t>
      </w:r>
      <w:r>
        <w:rPr>
          <w:b w:val="0"/>
          <w:i w:val="0"/>
        </w:rPr>
        <w:t xml:space="preserve"> Printed forms: </w:t>
      </w:r>
      <w:r>
        <w:rPr>
          <w:b w:val="0"/>
          <w:i/>
        </w:rPr>
        <w:t>bona</w:t>
      </w:r>
      <w:r>
        <w:rPr>
          <w:b w:val="0"/>
          <w:i w:val="0"/>
        </w:rPr>
        <w:t xml:space="preserve">; </w:t>
      </w:r>
      <w:r>
        <w:rPr>
          <w:b w:val="0"/>
          <w:i/>
        </w:rPr>
        <w:t>bonae</w:t>
      </w:r>
      <w:r>
        <w:rPr>
          <w:b w:val="0"/>
          <w:i w:val="0"/>
        </w:rPr>
        <w:t xml:space="preserve">; </w:t>
      </w:r>
      <w:r>
        <w:rPr>
          <w:b w:val="0"/>
          <w:i/>
        </w:rPr>
        <w:t>bonitas</w:t>
      </w:r>
      <w:r>
        <w:rPr>
          <w:b w:val="0"/>
          <w:i w:val="0"/>
        </w:rPr>
        <w:t xml:space="preserve">; </w:t>
      </w:r>
      <w:r>
        <w:rPr>
          <w:b w:val="0"/>
          <w:i/>
        </w:rPr>
        <w:t>bonitate</w:t>
      </w:r>
      <w:r>
        <w:rPr>
          <w:b w:val="0"/>
          <w:i w:val="0"/>
        </w:rPr>
        <w:t xml:space="preserve">; </w:t>
      </w:r>
      <w:r>
        <w:rPr>
          <w:b w:val="0"/>
          <w:i/>
        </w:rPr>
        <w:t>bonitatem</w:t>
      </w:r>
      <w:r>
        <w:rPr>
          <w:b w:val="0"/>
          <w:i w:val="0"/>
        </w:rPr>
        <w:t xml:space="preserve">; </w:t>
      </w:r>
      <w:r>
        <w:rPr>
          <w:b w:val="0"/>
          <w:i/>
        </w:rPr>
        <w:t>bonitati</w:t>
      </w:r>
      <w:r>
        <w:rPr>
          <w:b w:val="0"/>
          <w:i w:val="0"/>
        </w:rPr>
        <w:t xml:space="preserve">; </w:t>
      </w:r>
      <w:r>
        <w:rPr>
          <w:b w:val="0"/>
          <w:i/>
        </w:rPr>
        <w:t>bonitatis</w:t>
      </w:r>
      <w:r>
        <w:rPr>
          <w:b w:val="0"/>
          <w:i w:val="0"/>
        </w:rPr>
        <w:t xml:space="preserve">; </w:t>
      </w:r>
      <w:r>
        <w:rPr>
          <w:b w:val="0"/>
          <w:i/>
        </w:rPr>
        <w:t>bonum</w:t>
      </w:r>
      <w:r>
        <w:rPr>
          <w:b w:val="0"/>
          <w:i w:val="0"/>
        </w:rPr>
        <w:t xml:space="preserve">; </w:t>
      </w:r>
      <w:r>
        <w:rPr>
          <w:b w:val="0"/>
          <w:i/>
        </w:rPr>
        <w:t>bonus</w:t>
      </w:r>
      <w:r>
        <w:rPr>
          <w:b w:val="0"/>
          <w:i w:val="0"/>
        </w:rPr>
        <w:t>.</w:t>
      </w:r>
    </w:p>
    <w:p>
      <w:pPr>
        <w:widowControl/>
      </w:pPr>
      <w:r>
        <w:rPr>
          <w:b w:val="0"/>
          <w:i w:val="0"/>
        </w:rPr>
        <w:t xml:space="preserve">Goodness and the good, as a thing’s perfection, desire’s object, and the first source. A higher supposed good must already possess goodness; the one principle gives both being and well-being. References: </w:t>
      </w:r>
      <w:hyperlink w:anchor="passage-ii-1-1">
        <w:r>
          <w:rPr>
            <w:color w:val="000000"/>
          </w:rPr>
          <w:t xml:space="preserve">II.1.1</w:t>
        </w:r>
      </w:hyperlink>
      <w:r>
        <w:rPr>
          <w:b w:val="0"/>
          <w:i w:val="0"/>
        </w:rPr>
        <w:t xml:space="preserve">, </w:t>
      </w:r>
      <w:hyperlink w:anchor="passage-ii-1-4">
        <w:r>
          <w:rPr>
            <w:color w:val="000000"/>
          </w:rPr>
          <w:t xml:space="preserve">II.1.4</w:t>
        </w:r>
      </w:hyperlink>
      <w:r>
        <w:rPr>
          <w:b w:val="0"/>
          <w:i w:val="0"/>
        </w:rPr>
        <w:t xml:space="preserve">, </w:t>
      </w:r>
      <w:hyperlink w:anchor="passage-ii-1-7">
        <w:r>
          <w:rPr>
            <w:color w:val="000000"/>
          </w:rPr>
          <w:t xml:space="preserve">II.1.7</w:t>
        </w:r>
      </w:hyperlink>
      <w:r>
        <w:rPr>
          <w:b w:val="0"/>
          <w:i w:val="0"/>
        </w:rPr>
        <w:t xml:space="preserve">, </w:t>
      </w:r>
      <w:hyperlink w:anchor="passage-ii-3-10">
        <w:r>
          <w:rPr>
            <w:color w:val="000000"/>
          </w:rPr>
          <w:t xml:space="preserve">II.3.10</w:t>
        </w:r>
      </w:hyperlink>
      <w:r>
        <w:rPr>
          <w:b w:val="0"/>
          <w:i w:val="0"/>
        </w:rPr>
        <w:t xml:space="preserve">. See </w:t>
      </w:r>
      <w:hyperlink w:anchor="good-and-goodness">
        <w:r>
          <w:rPr>
            <w:color w:val="000000"/>
          </w:rPr>
          <w:t xml:space="preserve">Good and goodness</w:t>
        </w:r>
      </w:hyperlink>
      <w:r>
        <w:rPr>
          <w:b w:val="0"/>
          <w:i w:val="0"/>
        </w:rPr>
        <w:t>.</w:t>
      </w:r>
    </w:p>
    <w:p>
      <w:pPr>
        <w:keepNext/>
        <w:widowControl/>
      </w:pPr>
      <w:bookmarkStart w:id="379" w:name="latin-record-0128"/>
      <w:bookmarkEnd w:id="379"/>
      <w:r>
        <w:rPr>
          <w:b/>
          <w:i w:val="0"/>
        </w:rPr>
        <w:t>bonum / bonitas</w:t>
      </w:r>
      <w:r>
        <w:rPr>
          <w:b/>
          <w:i w:val="0"/>
        </w:rPr>
        <w:t>.</w:t>
      </w:r>
      <w:r>
        <w:rPr>
          <w:b w:val="0"/>
          <w:i w:val="0"/>
        </w:rPr>
        <w:t xml:space="preserve"> Printed forms: </w:t>
      </w:r>
      <w:r>
        <w:rPr>
          <w:b w:val="0"/>
          <w:i/>
        </w:rPr>
        <w:t>bona</w:t>
      </w:r>
      <w:r>
        <w:rPr>
          <w:b w:val="0"/>
          <w:i w:val="0"/>
        </w:rPr>
        <w:t xml:space="preserve">; </w:t>
      </w:r>
      <w:r>
        <w:rPr>
          <w:b w:val="0"/>
          <w:i/>
        </w:rPr>
        <w:t>bonitas</w:t>
      </w:r>
      <w:r>
        <w:rPr>
          <w:b w:val="0"/>
          <w:i w:val="0"/>
        </w:rPr>
        <w:t>.</w:t>
      </w:r>
    </w:p>
    <w:p>
      <w:pPr>
        <w:widowControl/>
      </w:pPr>
      <w:r>
        <w:rPr>
          <w:b w:val="0"/>
          <w:i w:val="0"/>
        </w:rPr>
        <w:t xml:space="preserve">Good / goodness. God’s own goodness is the necessary final end; created goods are images not all required for that end’s possession. References: </w:t>
      </w:r>
      <w:hyperlink w:anchor="passage-ii-12-12">
        <w:r>
          <w:rPr>
            <w:color w:val="000000"/>
          </w:rPr>
          <w:t xml:space="preserve">II.12.12</w:t>
        </w:r>
      </w:hyperlink>
      <w:r>
        <w:rPr>
          <w:b w:val="0"/>
          <w:i w:val="0"/>
        </w:rPr>
        <w:t xml:space="preserve">, </w:t>
      </w:r>
      <w:hyperlink w:anchor="passage-ii-12-14">
        <w:r>
          <w:rPr>
            <w:color w:val="000000"/>
          </w:rPr>
          <w:t xml:space="preserve">II.12.14</w:t>
        </w:r>
      </w:hyperlink>
      <w:r>
        <w:rPr>
          <w:b w:val="0"/>
          <w:i w:val="0"/>
        </w:rPr>
        <w:t xml:space="preserve">, </w:t>
      </w:r>
      <w:hyperlink w:anchor="passage-ii-12-15">
        <w:r>
          <w:rPr>
            <w:color w:val="000000"/>
          </w:rPr>
          <w:t xml:space="preserve">II.12.15</w:t>
        </w:r>
      </w:hyperlink>
      <w:r>
        <w:rPr>
          <w:b w:val="0"/>
          <w:i w:val="0"/>
        </w:rPr>
        <w:t xml:space="preserve">. See </w:t>
      </w:r>
      <w:hyperlink w:anchor="good-and-goodness">
        <w:r>
          <w:rPr>
            <w:color w:val="000000"/>
          </w:rPr>
          <w:t xml:space="preserve">Good and goodness</w:t>
        </w:r>
      </w:hyperlink>
      <w:r>
        <w:rPr>
          <w:b w:val="0"/>
          <w:i w:val="0"/>
        </w:rPr>
        <w:t>.</w:t>
      </w:r>
    </w:p>
    <w:p>
      <w:pPr>
        <w:keepNext/>
        <w:widowControl/>
      </w:pPr>
      <w:bookmarkStart w:id="380" w:name="latin-record-0129"/>
      <w:bookmarkEnd w:id="380"/>
      <w:r>
        <w:rPr>
          <w:b/>
          <w:i w:val="0"/>
        </w:rPr>
        <w:t>brevitas / raritas</w:t>
      </w:r>
      <w:r>
        <w:rPr>
          <w:b/>
          <w:i w:val="0"/>
        </w:rPr>
        <w:t>.</w:t>
      </w:r>
      <w:r>
        <w:rPr>
          <w:b w:val="0"/>
          <w:i w:val="0"/>
        </w:rPr>
        <w:t xml:space="preserve"> Printed forms: </w:t>
      </w:r>
      <w:r>
        <w:rPr>
          <w:b w:val="0"/>
          <w:i/>
        </w:rPr>
        <w:t>brevitatem</w:t>
      </w:r>
      <w:r>
        <w:rPr>
          <w:b w:val="0"/>
          <w:i w:val="0"/>
        </w:rPr>
        <w:t xml:space="preserve">; </w:t>
      </w:r>
      <w:r>
        <w:rPr>
          <w:b w:val="0"/>
          <w:i/>
        </w:rPr>
        <w:t>raritatem</w:t>
      </w:r>
      <w:r>
        <w:rPr>
          <w:b w:val="0"/>
          <w:i w:val="0"/>
        </w:rPr>
        <w:t>.</w:t>
      </w:r>
    </w:p>
    <w:p>
      <w:pPr>
        <w:widowControl/>
      </w:pPr>
      <w:r>
        <w:rPr>
          <w:b w:val="0"/>
          <w:i w:val="0"/>
        </w:rPr>
        <w:t xml:space="preserve">Smallness and rarity or low density. With lightness they make a body approach an incorporeal condition in the argument; they do not literally make every small body an incorporeal substance. References: </w:t>
      </w:r>
      <w:hyperlink w:anchor="passage-i-2-3">
        <w:r>
          <w:rPr>
            <w:color w:val="000000"/>
          </w:rPr>
          <w:t xml:space="preserve">I.2.3</w:t>
        </w:r>
      </w:hyperlink>
      <w:r>
        <w:rPr>
          <w:b w:val="0"/>
          <w:i w:val="0"/>
        </w:rPr>
        <w:t xml:space="preserve">. See </w:t>
      </w:r>
      <w:hyperlink w:anchor="incorporeal-and-immaterial">
        <w:r>
          <w:rPr>
            <w:color w:val="000000"/>
          </w:rPr>
          <w:t xml:space="preserve">Incorporeal and immaterial</w:t>
        </w:r>
      </w:hyperlink>
      <w:r>
        <w:rPr>
          <w:b w:val="0"/>
          <w:i w:val="0"/>
        </w:rPr>
        <w:t>.</w:t>
      </w:r>
    </w:p>
    <w:p>
      <w:pPr>
        <w:keepNext/>
        <w:widowControl/>
      </w:pPr>
      <w:bookmarkStart w:id="381" w:name="latin-record-0130"/>
      <w:bookmarkEnd w:id="381"/>
      <w:r>
        <w:rPr>
          <w:b/>
          <w:i w:val="0"/>
        </w:rPr>
        <w:t>caelum / sphaera / stella</w:t>
      </w:r>
      <w:r>
        <w:rPr>
          <w:b/>
          <w:i w:val="0"/>
        </w:rPr>
        <w:t>.</w:t>
      </w:r>
      <w:r>
        <w:rPr>
          <w:b w:val="0"/>
          <w:i w:val="0"/>
        </w:rPr>
        <w:t xml:space="preserve"> Printed forms: </w:t>
      </w:r>
      <w:r>
        <w:rPr>
          <w:b w:val="0"/>
          <w:i/>
        </w:rPr>
        <w:t>caelum</w:t>
      </w:r>
      <w:r>
        <w:rPr>
          <w:b w:val="0"/>
          <w:i w:val="0"/>
        </w:rPr>
        <w:t xml:space="preserve">; </w:t>
      </w:r>
      <w:r>
        <w:rPr>
          <w:b w:val="0"/>
          <w:i/>
        </w:rPr>
        <w:t>sphaeras</w:t>
      </w:r>
      <w:r>
        <w:rPr>
          <w:b w:val="0"/>
          <w:i w:val="0"/>
        </w:rPr>
        <w:t xml:space="preserve">; </w:t>
      </w:r>
      <w:r>
        <w:rPr>
          <w:b w:val="0"/>
          <w:i/>
        </w:rPr>
        <w:t>stellis</w:t>
      </w:r>
      <w:r>
        <w:rPr>
          <w:b w:val="0"/>
          <w:i w:val="0"/>
        </w:rPr>
        <w:t>.</w:t>
      </w:r>
    </w:p>
    <w:p>
      <w:pPr>
        <w:widowControl/>
      </w:pPr>
      <w:r>
        <w:rPr>
          <w:b w:val="0"/>
          <w:i w:val="0"/>
        </w:rPr>
        <w:t xml:space="preserve">Heaven / sphere / star. The examples distinguish variable spheres, a reported motionless empyrean, and celestial lights used as analogues of intellectual reception. References: </w:t>
      </w:r>
      <w:hyperlink w:anchor="passage-iii-1-32">
        <w:r>
          <w:rPr>
            <w:color w:val="000000"/>
          </w:rPr>
          <w:t xml:space="preserve">III.1.32</w:t>
        </w:r>
      </w:hyperlink>
      <w:r>
        <w:rPr>
          <w:b w:val="0"/>
          <w:i w:val="0"/>
        </w:rPr>
        <w:t xml:space="preserve">, </w:t>
      </w:r>
      <w:hyperlink w:anchor="passage-iii-2-4">
        <w:r>
          <w:rPr>
            <w:color w:val="000000"/>
          </w:rPr>
          <w:t xml:space="preserve">III.2.4</w:t>
        </w:r>
      </w:hyperlink>
      <w:r>
        <w:rPr>
          <w:b w:val="0"/>
          <w:i w:val="0"/>
        </w:rPr>
        <w:t xml:space="preserve">, </w:t>
      </w:r>
      <w:hyperlink w:anchor="passage-iii-2-5">
        <w:r>
          <w:rPr>
            <w:color w:val="000000"/>
          </w:rPr>
          <w:t xml:space="preserve">III.2.5</w:t>
        </w:r>
      </w:hyperlink>
      <w:r>
        <w:rPr>
          <w:b w:val="0"/>
          <w:i w:val="0"/>
        </w:rPr>
        <w:t xml:space="preserve">. See </w:t>
      </w:r>
      <w:hyperlink w:anchor="spheres-and-stars">
        <w:r>
          <w:rPr>
            <w:color w:val="000000"/>
          </w:rPr>
          <w:t xml:space="preserve">Spheres and stars</w:t>
        </w:r>
      </w:hyperlink>
      <w:r>
        <w:rPr>
          <w:b w:val="0"/>
          <w:i w:val="0"/>
        </w:rPr>
        <w:t>.</w:t>
      </w:r>
    </w:p>
    <w:p>
      <w:pPr>
        <w:keepNext/>
        <w:widowControl/>
      </w:pPr>
      <w:bookmarkStart w:id="382" w:name="latin-record-0131"/>
      <w:bookmarkEnd w:id="382"/>
      <w:r>
        <w:rPr>
          <w:b/>
          <w:i w:val="0"/>
        </w:rPr>
        <w:t>calefacere / aqua / aer</w:t>
      </w:r>
      <w:r>
        <w:rPr>
          <w:b/>
          <w:i w:val="0"/>
        </w:rPr>
        <w:t>.</w:t>
      </w:r>
      <w:r>
        <w:rPr>
          <w:b w:val="0"/>
          <w:i w:val="0"/>
        </w:rPr>
        <w:t xml:space="preserve"> Printed forms: </w:t>
      </w:r>
      <w:r>
        <w:rPr>
          <w:b w:val="0"/>
          <w:i/>
        </w:rPr>
        <w:t>aerem</w:t>
      </w:r>
      <w:r>
        <w:rPr>
          <w:b w:val="0"/>
          <w:i w:val="0"/>
        </w:rPr>
        <w:t xml:space="preserve">; </w:t>
      </w:r>
      <w:r>
        <w:rPr>
          <w:b w:val="0"/>
          <w:i/>
        </w:rPr>
        <w:t>aquam</w:t>
      </w:r>
      <w:r>
        <w:rPr>
          <w:b w:val="0"/>
          <w:i w:val="0"/>
        </w:rPr>
        <w:t xml:space="preserve">; </w:t>
      </w:r>
      <w:r>
        <w:rPr>
          <w:b w:val="0"/>
          <w:i/>
        </w:rPr>
        <w:t>calefaciendam</w:t>
      </w:r>
      <w:r>
        <w:rPr>
          <w:b w:val="0"/>
          <w:i w:val="0"/>
        </w:rPr>
        <w:t xml:space="preserve">; </w:t>
      </w:r>
      <w:r>
        <w:rPr>
          <w:b w:val="0"/>
          <w:i/>
        </w:rPr>
        <w:t>calefacit</w:t>
      </w:r>
      <w:r>
        <w:rPr>
          <w:b w:val="0"/>
          <w:i w:val="0"/>
        </w:rPr>
        <w:t>.</w:t>
      </w:r>
    </w:p>
    <w:p>
      <w:pPr>
        <w:widowControl/>
      </w:pPr>
      <w:r>
        <w:rPr>
          <w:b w:val="0"/>
          <w:i w:val="0"/>
        </w:rPr>
        <w:t xml:space="preserve">To heat, with water and air as different recipients. Ficino uses greater effort heating water than air to illustrate degrees of active power; this remains his example. References: </w:t>
      </w:r>
      <w:hyperlink w:anchor="passage-ii-4-5">
        <w:r>
          <w:rPr>
            <w:color w:val="000000"/>
          </w:rPr>
          <w:t xml:space="preserve">II.4.5</w:t>
        </w:r>
      </w:hyperlink>
      <w:r>
        <w:rPr>
          <w:b w:val="0"/>
          <w:i w:val="0"/>
        </w:rPr>
        <w:t xml:space="preserve">, </w:t>
      </w:r>
      <w:hyperlink w:anchor="passage-ii-8-2">
        <w:r>
          <w:rPr>
            <w:color w:val="000000"/>
          </w:rPr>
          <w:t xml:space="preserve">II.8.2</w:t>
        </w:r>
      </w:hyperlink>
      <w:r>
        <w:rPr>
          <w:b w:val="0"/>
          <w:i w:val="0"/>
        </w:rPr>
        <w:t xml:space="preserve">, </w:t>
      </w:r>
      <w:hyperlink w:anchor="passage-ii-8-4">
        <w:r>
          <w:rPr>
            <w:color w:val="000000"/>
          </w:rPr>
          <w:t xml:space="preserve">II.8.4</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383" w:name="latin-record-0132"/>
      <w:bookmarkEnd w:id="383"/>
      <w:r>
        <w:rPr>
          <w:b/>
          <w:i w:val="0"/>
        </w:rPr>
        <w:t>calefactio</w:t>
      </w:r>
      <w:r>
        <w:rPr>
          <w:b/>
          <w:i w:val="0"/>
        </w:rPr>
        <w:t>.</w:t>
      </w:r>
      <w:r>
        <w:rPr>
          <w:b w:val="0"/>
          <w:i w:val="0"/>
        </w:rPr>
        <w:t xml:space="preserve"> Printed forms: </w:t>
      </w:r>
      <w:r>
        <w:rPr>
          <w:b w:val="0"/>
          <w:i/>
        </w:rPr>
        <w:t>calefactio</w:t>
      </w:r>
      <w:r>
        <w:rPr>
          <w:b w:val="0"/>
          <w:i w:val="0"/>
        </w:rPr>
        <w:t>.</w:t>
      </w:r>
    </w:p>
    <w:p>
      <w:pPr>
        <w:widowControl/>
      </w:pPr>
      <w:r>
        <w:rPr>
          <w:b w:val="0"/>
          <w:i w:val="0"/>
        </w:rPr>
        <w:t xml:space="preserve">Heating as an action. Fire heats water over time rather than instantaneously, illustrating why quality’s operation belongs to motion. References: </w:t>
      </w:r>
      <w:hyperlink w:anchor="passage-i-4-1">
        <w:r>
          <w:rPr>
            <w:color w:val="000000"/>
          </w:rPr>
          <w:t xml:space="preserve">I.4.1</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384" w:name="latin-record-0133"/>
      <w:bookmarkEnd w:id="384"/>
      <w:r>
        <w:rPr>
          <w:b/>
          <w:i w:val="0"/>
        </w:rPr>
        <w:t>calidus / frigidus / siccus / humidus</w:t>
      </w:r>
      <w:r>
        <w:rPr>
          <w:b/>
          <w:i w:val="0"/>
        </w:rPr>
        <w:t>.</w:t>
      </w:r>
      <w:r>
        <w:rPr>
          <w:b w:val="0"/>
          <w:i w:val="0"/>
        </w:rPr>
        <w:t xml:space="preserve"> Printed forms: </w:t>
      </w:r>
      <w:r>
        <w:rPr>
          <w:b w:val="0"/>
          <w:i/>
        </w:rPr>
        <w:t>calida</w:t>
      </w:r>
      <w:r>
        <w:rPr>
          <w:b w:val="0"/>
          <w:i w:val="0"/>
        </w:rPr>
        <w:t xml:space="preserve">; </w:t>
      </w:r>
      <w:r>
        <w:rPr>
          <w:b w:val="0"/>
          <w:i/>
        </w:rPr>
        <w:t>frigida</w:t>
      </w:r>
      <w:r>
        <w:rPr>
          <w:b w:val="0"/>
          <w:i w:val="0"/>
        </w:rPr>
        <w:t xml:space="preserve">; </w:t>
      </w:r>
      <w:r>
        <w:rPr>
          <w:b w:val="0"/>
          <w:i/>
        </w:rPr>
        <w:t>humida</w:t>
      </w:r>
      <w:r>
        <w:rPr>
          <w:b w:val="0"/>
          <w:i w:val="0"/>
        </w:rPr>
        <w:t xml:space="preserve">; </w:t>
      </w:r>
      <w:r>
        <w:rPr>
          <w:b w:val="0"/>
          <w:i/>
        </w:rPr>
        <w:t>sicca</w:t>
      </w:r>
      <w:r>
        <w:rPr>
          <w:b w:val="0"/>
          <w:i w:val="0"/>
        </w:rPr>
        <w:t>.</w:t>
      </w:r>
    </w:p>
    <w:p>
      <w:pPr>
        <w:widowControl/>
      </w:pPr>
      <w:r>
        <w:rPr>
          <w:b w:val="0"/>
          <w:i w:val="0"/>
        </w:rPr>
        <w:t xml:space="preserve">Hot / cold / dry / moist. These elemental qualities alone are said not to account for ordered forms, figures, and revolutions. References: </w:t>
      </w:r>
      <w:hyperlink w:anchor="passage-ii-13-5">
        <w:r>
          <w:rPr>
            <w:color w:val="000000"/>
          </w:rPr>
          <w:t xml:space="preserve">II.13.5</w:t>
        </w:r>
      </w:hyperlink>
      <w:r>
        <w:rPr>
          <w:b w:val="0"/>
          <w:i w:val="0"/>
        </w:rPr>
        <w:t xml:space="preserve">. See </w:t>
      </w:r>
      <w:hyperlink w:anchor="quality">
        <w:r>
          <w:rPr>
            <w:color w:val="000000"/>
          </w:rPr>
          <w:t xml:space="preserve">Quality</w:t>
        </w:r>
      </w:hyperlink>
      <w:r>
        <w:rPr>
          <w:b w:val="0"/>
          <w:i w:val="0"/>
        </w:rPr>
        <w:t>.</w:t>
      </w:r>
    </w:p>
    <w:p>
      <w:pPr>
        <w:keepNext/>
        <w:widowControl/>
      </w:pPr>
      <w:bookmarkStart w:id="385" w:name="latin-record-0134"/>
      <w:bookmarkEnd w:id="385"/>
      <w:r>
        <w:rPr>
          <w:b/>
          <w:i w:val="0"/>
        </w:rPr>
        <w:t>calor / frigus</w:t>
      </w:r>
      <w:r>
        <w:rPr>
          <w:b/>
          <w:i w:val="0"/>
        </w:rPr>
        <w:t>.</w:t>
      </w:r>
      <w:r>
        <w:rPr>
          <w:b w:val="0"/>
          <w:i w:val="0"/>
        </w:rPr>
        <w:t xml:space="preserve"> Printed forms: </w:t>
      </w:r>
      <w:r>
        <w:rPr>
          <w:b w:val="0"/>
          <w:i/>
        </w:rPr>
        <w:t>calor</w:t>
      </w:r>
      <w:r>
        <w:rPr>
          <w:b w:val="0"/>
          <w:i w:val="0"/>
        </w:rPr>
        <w:t xml:space="preserve">; </w:t>
      </w:r>
      <w:r>
        <w:rPr>
          <w:b w:val="0"/>
          <w:i/>
        </w:rPr>
        <w:t>caloris</w:t>
      </w:r>
      <w:r>
        <w:rPr>
          <w:b w:val="0"/>
          <w:i w:val="0"/>
        </w:rPr>
        <w:t xml:space="preserve">; </w:t>
      </w:r>
      <w:r>
        <w:rPr>
          <w:b w:val="0"/>
          <w:i/>
        </w:rPr>
        <w:t>frigiditatem</w:t>
      </w:r>
      <w:r>
        <w:rPr>
          <w:b w:val="0"/>
          <w:i w:val="0"/>
        </w:rPr>
        <w:t xml:space="preserve">; </w:t>
      </w:r>
      <w:r>
        <w:rPr>
          <w:b w:val="0"/>
          <w:i/>
        </w:rPr>
        <w:t>frigori</w:t>
      </w:r>
      <w:r>
        <w:rPr>
          <w:b w:val="0"/>
          <w:i w:val="0"/>
        </w:rPr>
        <w:t xml:space="preserve">; </w:t>
      </w:r>
      <w:r>
        <w:rPr>
          <w:b w:val="0"/>
          <w:i/>
        </w:rPr>
        <w:t>frigoris</w:t>
      </w:r>
      <w:r>
        <w:rPr>
          <w:b w:val="0"/>
          <w:i w:val="0"/>
        </w:rPr>
        <w:t>.</w:t>
      </w:r>
    </w:p>
    <w:p>
      <w:pPr>
        <w:widowControl/>
      </w:pPr>
      <w:r>
        <w:rPr>
          <w:b w:val="0"/>
          <w:i w:val="0"/>
        </w:rPr>
        <w:t xml:space="preserve">Heat and cold as active qualitative differences. They supply examples of efficacy strengthened by concentration; elsewhere cooling and heating distinguish specific actions of different forms. References: </w:t>
      </w:r>
      <w:hyperlink w:anchor="passage-i-2-2">
        <w:r>
          <w:rPr>
            <w:color w:val="000000"/>
          </w:rPr>
          <w:t xml:space="preserve">I.2.2</w:t>
        </w:r>
      </w:hyperlink>
      <w:r>
        <w:rPr>
          <w:b w:val="0"/>
          <w:i w:val="0"/>
        </w:rPr>
        <w:t xml:space="preserve">, </w:t>
      </w:r>
      <w:hyperlink w:anchor="passage-i-2-11">
        <w:r>
          <w:rPr>
            <w:color w:val="000000"/>
          </w:rPr>
          <w:t xml:space="preserve">I.2.11</w:t>
        </w:r>
      </w:hyperlink>
      <w:r>
        <w:rPr>
          <w:b w:val="0"/>
          <w:i w:val="0"/>
        </w:rPr>
        <w:t xml:space="preserve">. See </w:t>
      </w:r>
      <w:hyperlink w:anchor="quality">
        <w:r>
          <w:rPr>
            <w:color w:val="000000"/>
          </w:rPr>
          <w:t xml:space="preserve">Quality</w:t>
        </w:r>
      </w:hyperlink>
      <w:r>
        <w:rPr>
          <w:b w:val="0"/>
          <w:i w:val="0"/>
        </w:rPr>
        <w:t>.</w:t>
      </w:r>
    </w:p>
    <w:p>
      <w:pPr>
        <w:widowControl/>
      </w:pPr>
      <w:r>
        <w:rPr>
          <w:b w:val="0"/>
          <w:i w:val="0"/>
        </w:rPr>
        <w:t xml:space="preserve">Heat and cold, opposed qualities in an example of purity. Supreme heat is imagined free of admixture that would hinder its intensity. References: </w:t>
      </w:r>
      <w:hyperlink w:anchor="passage-ii-2-6">
        <w:r>
          <w:rPr>
            <w:color w:val="000000"/>
          </w:rPr>
          <w:t xml:space="preserve">II.2.6</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386" w:name="latin-record-0135"/>
      <w:bookmarkEnd w:id="386"/>
      <w:r>
        <w:rPr>
          <w:b/>
          <w:i w:val="0"/>
        </w:rPr>
        <w:t>calor / ignis / lignum</w:t>
      </w:r>
      <w:r>
        <w:rPr>
          <w:b/>
          <w:i w:val="0"/>
        </w:rPr>
        <w:t>.</w:t>
      </w:r>
      <w:r>
        <w:rPr>
          <w:b w:val="0"/>
          <w:i w:val="0"/>
        </w:rPr>
        <w:t xml:space="preserve"> Printed forms: </w:t>
      </w:r>
      <w:r>
        <w:rPr>
          <w:b w:val="0"/>
          <w:i/>
        </w:rPr>
        <w:t>igne</w:t>
      </w:r>
      <w:r>
        <w:rPr>
          <w:b w:val="0"/>
          <w:i w:val="0"/>
        </w:rPr>
        <w:t xml:space="preserve">; </w:t>
      </w:r>
      <w:r>
        <w:rPr>
          <w:b w:val="0"/>
          <w:i/>
        </w:rPr>
        <w:t>lignum</w:t>
      </w:r>
      <w:r>
        <w:rPr>
          <w:b w:val="0"/>
          <w:i w:val="0"/>
        </w:rPr>
        <w:t>.</w:t>
      </w:r>
    </w:p>
    <w:p>
      <w:pPr>
        <w:widowControl/>
      </w:pPr>
      <w:r>
        <w:rPr>
          <w:b w:val="0"/>
          <w:i w:val="0"/>
        </w:rPr>
        <w:t xml:space="preserve">Heat / fire / wood. Heating begins in fire and ends in wood, furnishing the example of transitive activity contrasted with inward intellectual operation. References: </w:t>
      </w:r>
      <w:hyperlink w:anchor="passage-ii-11-14">
        <w:r>
          <w:rPr>
            <w:color w:val="000000"/>
          </w:rPr>
          <w:t xml:space="preserve">II.11.14</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387" w:name="latin-record-0136"/>
      <w:bookmarkEnd w:id="387"/>
      <w:r>
        <w:rPr>
          <w:b/>
          <w:i w:val="0"/>
        </w:rPr>
        <w:t>cancelli / restitutio</w:t>
      </w:r>
      <w:r>
        <w:rPr>
          <w:b/>
          <w:i w:val="0"/>
        </w:rPr>
        <w:t>.</w:t>
      </w:r>
      <w:r>
        <w:rPr>
          <w:b w:val="0"/>
          <w:i w:val="0"/>
        </w:rPr>
        <w:t xml:space="preserve"> Printed forms: </w:t>
      </w:r>
      <w:r>
        <w:rPr>
          <w:b w:val="0"/>
          <w:i/>
        </w:rPr>
        <w:t>cancellos</w:t>
      </w:r>
      <w:r>
        <w:rPr>
          <w:b w:val="0"/>
          <w:i w:val="0"/>
        </w:rPr>
        <w:t xml:space="preserve">; </w:t>
      </w:r>
      <w:r>
        <w:rPr>
          <w:b w:val="0"/>
          <w:i/>
        </w:rPr>
        <w:t>restitutio</w:t>
      </w:r>
      <w:r>
        <w:rPr>
          <w:b w:val="0"/>
          <w:i w:val="0"/>
        </w:rPr>
        <w:t>.</w:t>
      </w:r>
    </w:p>
    <w:p>
      <w:pPr>
        <w:widowControl/>
      </w:pPr>
      <w:r>
        <w:rPr>
          <w:b w:val="0"/>
          <w:i w:val="0"/>
        </w:rPr>
        <w:t xml:space="preserve">Bounds; restoration to a proper condition. Fully natural motion stays within natural place; rectilinear ascent or descent restores a displaced part to it. References: </w:t>
      </w:r>
      <w:hyperlink w:anchor="passage-iv-1-75">
        <w:r>
          <w:rPr>
            <w:color w:val="000000"/>
          </w:rPr>
          <w:t xml:space="preserve">IV.1.75</w:t>
        </w:r>
      </w:hyperlink>
      <w:r>
        <w:rPr>
          <w:b w:val="0"/>
          <w:i w:val="0"/>
        </w:rPr>
        <w:t xml:space="preserve">. See </w:t>
      </w:r>
      <w:hyperlink w:anchor="natural-motion-and-natural-place">
        <w:r>
          <w:rPr>
            <w:color w:val="000000"/>
          </w:rPr>
          <w:t xml:space="preserve">Natural motion and natural place</w:t>
        </w:r>
      </w:hyperlink>
      <w:r>
        <w:rPr>
          <w:b w:val="0"/>
          <w:i w:val="0"/>
        </w:rPr>
        <w:t>.</w:t>
      </w:r>
    </w:p>
    <w:p>
      <w:pPr>
        <w:keepNext/>
        <w:widowControl/>
      </w:pPr>
      <w:bookmarkStart w:id="388" w:name="latin-record-0137"/>
      <w:bookmarkEnd w:id="388"/>
      <w:r>
        <w:rPr>
          <w:b/>
          <w:i w:val="0"/>
        </w:rPr>
        <w:t>candela / aula</w:t>
      </w:r>
      <w:r>
        <w:rPr>
          <w:b/>
          <w:i w:val="0"/>
        </w:rPr>
        <w:t>.</w:t>
      </w:r>
      <w:r>
        <w:rPr>
          <w:b w:val="0"/>
          <w:i w:val="0"/>
        </w:rPr>
        <w:t xml:space="preserve"> Printed forms: </w:t>
      </w:r>
      <w:r>
        <w:rPr>
          <w:b w:val="0"/>
          <w:i/>
        </w:rPr>
        <w:t>aula</w:t>
      </w:r>
      <w:r>
        <w:rPr>
          <w:b w:val="0"/>
          <w:i w:val="0"/>
        </w:rPr>
        <w:t xml:space="preserve">; </w:t>
      </w:r>
      <w:r>
        <w:rPr>
          <w:b w:val="0"/>
          <w:i/>
        </w:rPr>
        <w:t>aulam</w:t>
      </w:r>
      <w:r>
        <w:rPr>
          <w:b w:val="0"/>
          <w:i w:val="0"/>
        </w:rPr>
        <w:t xml:space="preserve">; </w:t>
      </w:r>
      <w:r>
        <w:rPr>
          <w:b w:val="0"/>
          <w:i/>
        </w:rPr>
        <w:t>candelae</w:t>
      </w:r>
      <w:r>
        <w:rPr>
          <w:b w:val="0"/>
          <w:i w:val="0"/>
        </w:rPr>
        <w:t xml:space="preserve">; </w:t>
      </w:r>
      <w:r>
        <w:rPr>
          <w:b w:val="0"/>
          <w:i/>
        </w:rPr>
        <w:t>candelas</w:t>
      </w:r>
      <w:r>
        <w:rPr>
          <w:b w:val="0"/>
          <w:i w:val="0"/>
        </w:rPr>
        <w:t>.</w:t>
      </w:r>
    </w:p>
    <w:p>
      <w:pPr>
        <w:widowControl/>
      </w:pPr>
      <w:r>
        <w:rPr>
          <w:b w:val="0"/>
          <w:i w:val="0"/>
        </w:rPr>
        <w:t xml:space="preserve">Candle and hall. Several lights fill the same hall while each remains related to its own source, modeling co-presence without confusion. References: </w:t>
      </w:r>
      <w:hyperlink w:anchor="passage-ii-6-24">
        <w:r>
          <w:rPr>
            <w:color w:val="000000"/>
          </w:rPr>
          <w:t xml:space="preserve">II.6.24</w:t>
        </w:r>
      </w:hyperlink>
      <w:r>
        <w:rPr>
          <w:b w:val="0"/>
          <w:i w:val="0"/>
        </w:rPr>
        <w:t xml:space="preserve">. See </w:t>
      </w:r>
      <w:hyperlink w:anchor="candles-and-the-hall">
        <w:r>
          <w:rPr>
            <w:color w:val="000000"/>
          </w:rPr>
          <w:t xml:space="preserve">Candles and the hall</w:t>
        </w:r>
      </w:hyperlink>
      <w:r>
        <w:rPr>
          <w:b w:val="0"/>
          <w:i w:val="0"/>
        </w:rPr>
        <w:t>.</w:t>
      </w:r>
    </w:p>
    <w:p>
      <w:pPr>
        <w:keepNext/>
        <w:widowControl/>
      </w:pPr>
      <w:bookmarkStart w:id="389" w:name="latin-record-0138"/>
      <w:bookmarkEnd w:id="389"/>
      <w:r>
        <w:rPr>
          <w:b/>
          <w:i w:val="0"/>
        </w:rPr>
        <w:t>canis / latrare</w:t>
      </w:r>
      <w:r>
        <w:rPr>
          <w:b/>
          <w:i w:val="0"/>
        </w:rPr>
        <w:t>.</w:t>
      </w:r>
      <w:r>
        <w:rPr>
          <w:b w:val="0"/>
          <w:i w:val="0"/>
        </w:rPr>
        <w:t xml:space="preserve"> Printed forms: </w:t>
      </w:r>
      <w:r>
        <w:rPr>
          <w:b w:val="0"/>
          <w:i/>
        </w:rPr>
        <w:t>canes</w:t>
      </w:r>
      <w:r>
        <w:rPr>
          <w:b w:val="0"/>
          <w:i w:val="0"/>
        </w:rPr>
        <w:t xml:space="preserve">; </w:t>
      </w:r>
      <w:r>
        <w:rPr>
          <w:b w:val="0"/>
          <w:i/>
        </w:rPr>
        <w:t>latrant</w:t>
      </w:r>
      <w:r>
        <w:rPr>
          <w:b w:val="0"/>
          <w:i w:val="0"/>
        </w:rPr>
        <w:t>.</w:t>
      </w:r>
    </w:p>
    <w:p>
      <w:pPr>
        <w:widowControl/>
      </w:pPr>
      <w:r>
        <w:rPr>
          <w:b w:val="0"/>
          <w:i w:val="0"/>
        </w:rPr>
        <w:t xml:space="preserve">Dog / bark. Unnamed dissenters are derided through animal imagery; the insult is not additional evidence for the claimed Platonic consensus. References: </w:t>
      </w:r>
      <w:hyperlink w:anchor="passage-ii-11-22">
        <w:r>
          <w:rPr>
            <w:color w:val="000000"/>
          </w:rPr>
          <w:t xml:space="preserve">II.11.22</w:t>
        </w:r>
      </w:hyperlink>
      <w:r>
        <w:rPr>
          <w:b w:val="0"/>
          <w:i w:val="0"/>
        </w:rPr>
        <w:t xml:space="preserve">. See </w:t>
      </w:r>
      <w:hyperlink w:anchor="insults-and-rebuke">
        <w:r>
          <w:rPr>
            <w:color w:val="000000"/>
          </w:rPr>
          <w:t xml:space="preserve">Insults and rebuke</w:t>
        </w:r>
      </w:hyperlink>
      <w:r>
        <w:rPr>
          <w:b w:val="0"/>
          <w:i w:val="0"/>
        </w:rPr>
        <w:t>.</w:t>
      </w:r>
    </w:p>
    <w:p>
      <w:pPr>
        <w:keepNext/>
        <w:widowControl/>
      </w:pPr>
      <w:bookmarkStart w:id="390" w:name="latin-record-0139"/>
      <w:bookmarkEnd w:id="390"/>
      <w:r>
        <w:rPr>
          <w:b/>
          <w:i w:val="0"/>
        </w:rPr>
        <w:t>capacitas / capax</w:t>
      </w:r>
      <w:r>
        <w:rPr>
          <w:b/>
          <w:i w:val="0"/>
        </w:rPr>
        <w:t>.</w:t>
      </w:r>
      <w:r>
        <w:rPr>
          <w:b w:val="0"/>
          <w:i w:val="0"/>
        </w:rPr>
        <w:t xml:space="preserve"> Printed forms: </w:t>
      </w:r>
      <w:r>
        <w:rPr>
          <w:b w:val="0"/>
          <w:i/>
        </w:rPr>
        <w:t>capacitas</w:t>
      </w:r>
      <w:r>
        <w:rPr>
          <w:b w:val="0"/>
          <w:i w:val="0"/>
        </w:rPr>
        <w:t xml:space="preserve">; </w:t>
      </w:r>
      <w:r>
        <w:rPr>
          <w:b w:val="0"/>
          <w:i/>
        </w:rPr>
        <w:t>capacitatem</w:t>
      </w:r>
      <w:r>
        <w:rPr>
          <w:b w:val="0"/>
          <w:i w:val="0"/>
        </w:rPr>
        <w:t xml:space="preserve">; </w:t>
      </w:r>
      <w:r>
        <w:rPr>
          <w:b w:val="0"/>
          <w:i/>
        </w:rPr>
        <w:t>capax</w:t>
      </w:r>
      <w:r>
        <w:rPr>
          <w:b w:val="0"/>
          <w:i w:val="0"/>
        </w:rPr>
        <w:t>.</w:t>
      </w:r>
    </w:p>
    <w:p>
      <w:pPr>
        <w:widowControl/>
      </w:pPr>
      <w:r>
        <w:rPr>
          <w:b w:val="0"/>
          <w:i w:val="0"/>
        </w:rPr>
        <w:t xml:space="preserve">Capacity or receptivity, with cognitive and metaphysical senses. Unlimited capacity is initially conceived without bounds; intellect is capable of an object through kinship; matter receives forms. References: </w:t>
      </w:r>
      <w:hyperlink w:anchor="passage-ii-6-12">
        <w:r>
          <w:rPr>
            <w:color w:val="000000"/>
          </w:rPr>
          <w:t xml:space="preserve">II.6.12</w:t>
        </w:r>
      </w:hyperlink>
      <w:r>
        <w:rPr>
          <w:b w:val="0"/>
          <w:i w:val="0"/>
        </w:rPr>
        <w:t xml:space="preserve">, </w:t>
      </w:r>
      <w:hyperlink w:anchor="passage-ii-9-1">
        <w:r>
          <w:rPr>
            <w:color w:val="000000"/>
          </w:rPr>
          <w:t xml:space="preserve">II.9.1</w:t>
        </w:r>
      </w:hyperlink>
      <w:r>
        <w:rPr>
          <w:b w:val="0"/>
          <w:i w:val="0"/>
        </w:rPr>
        <w:t xml:space="preserve">, </w:t>
      </w:r>
      <w:hyperlink w:anchor="passage-ii-10-3">
        <w:r>
          <w:rPr>
            <w:color w:val="000000"/>
          </w:rPr>
          <w:t xml:space="preserve">II.10.3</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391" w:name="latin-record-0140"/>
      <w:bookmarkEnd w:id="391"/>
      <w:r>
        <w:rPr>
          <w:b/>
          <w:i w:val="0"/>
        </w:rPr>
        <w:t>capacitas materiae / continuum / multiplicatio</w:t>
      </w:r>
      <w:r>
        <w:rPr>
          <w:b/>
          <w:i w:val="0"/>
        </w:rPr>
        <w:t>.</w:t>
      </w:r>
      <w:r>
        <w:rPr>
          <w:b w:val="0"/>
          <w:i w:val="0"/>
        </w:rPr>
        <w:t xml:space="preserve"> Printed forms: </w:t>
      </w:r>
      <w:r>
        <w:rPr>
          <w:b w:val="0"/>
          <w:i/>
        </w:rPr>
        <w:t>capacitas</w:t>
      </w:r>
      <w:r>
        <w:rPr>
          <w:b w:val="0"/>
          <w:i w:val="0"/>
        </w:rPr>
        <w:t xml:space="preserve">; </w:t>
      </w:r>
      <w:r>
        <w:rPr>
          <w:b w:val="0"/>
          <w:i/>
        </w:rPr>
        <w:t>continui</w:t>
      </w:r>
      <w:r>
        <w:rPr>
          <w:b w:val="0"/>
          <w:i w:val="0"/>
        </w:rPr>
        <w:t xml:space="preserve">; </w:t>
      </w:r>
      <w:r>
        <w:rPr>
          <w:b w:val="0"/>
          <w:i/>
        </w:rPr>
        <w:t>Multiplicatio</w:t>
      </w:r>
      <w:r>
        <w:rPr>
          <w:b w:val="0"/>
          <w:i w:val="0"/>
        </w:rPr>
        <w:t>.</w:t>
      </w:r>
    </w:p>
    <w:p>
      <w:pPr>
        <w:widowControl/>
      </w:pPr>
      <w:r>
        <w:rPr>
          <w:b w:val="0"/>
          <w:i w:val="0"/>
        </w:rPr>
        <w:t xml:space="preserve">Material receptivity, the continuous, and multiplication of number as potentially infinite processes. The list includes distinct kinds of unending continuation rather than one actually infinite physical object. References: </w:t>
      </w:r>
      <w:hyperlink w:anchor="passage-ii-10-3">
        <w:r>
          <w:rPr>
            <w:color w:val="000000"/>
          </w:rPr>
          <w:t xml:space="preserve">II.10.3</w:t>
        </w:r>
      </w:hyperlink>
      <w:r>
        <w:rPr>
          <w:b w:val="0"/>
          <w:i w:val="0"/>
        </w:rPr>
        <w:t xml:space="preserve">, </w:t>
      </w:r>
      <w:hyperlink w:anchor="passage-ii-10-4">
        <w:r>
          <w:rPr>
            <w:color w:val="000000"/>
          </w:rPr>
          <w:t xml:space="preserve">II.10.4</w:t>
        </w:r>
      </w:hyperlink>
      <w:r>
        <w:rPr>
          <w:b w:val="0"/>
          <w:i w:val="0"/>
        </w:rPr>
        <w:t xml:space="preserve">. See </w:t>
      </w:r>
      <w:hyperlink w:anchor="infinity">
        <w:r>
          <w:rPr>
            <w:color w:val="000000"/>
          </w:rPr>
          <w:t xml:space="preserve">Infinity</w:t>
        </w:r>
      </w:hyperlink>
      <w:r>
        <w:rPr>
          <w:b w:val="0"/>
          <w:i w:val="0"/>
        </w:rPr>
        <w:t>.</w:t>
      </w:r>
    </w:p>
    <w:p>
      <w:pPr>
        <w:keepNext/>
        <w:widowControl/>
      </w:pPr>
      <w:bookmarkStart w:id="392" w:name="latin-record-0141"/>
      <w:bookmarkEnd w:id="392"/>
      <w:r>
        <w:rPr>
          <w:b/>
          <w:i w:val="0"/>
        </w:rPr>
        <w:t>capax / capio</w:t>
      </w:r>
      <w:r>
        <w:rPr>
          <w:b/>
          <w:i w:val="0"/>
        </w:rPr>
        <w:t>.</w:t>
      </w:r>
      <w:r>
        <w:rPr>
          <w:b w:val="0"/>
          <w:i w:val="0"/>
        </w:rPr>
        <w:t xml:space="preserve"> Printed forms: </w:t>
      </w:r>
      <w:r>
        <w:rPr>
          <w:b w:val="0"/>
          <w:i/>
        </w:rPr>
        <w:t>capax</w:t>
      </w:r>
      <w:r>
        <w:rPr>
          <w:b w:val="0"/>
          <w:i w:val="0"/>
        </w:rPr>
        <w:t xml:space="preserve">; </w:t>
      </w:r>
      <w:r>
        <w:rPr>
          <w:b w:val="0"/>
          <w:i/>
        </w:rPr>
        <w:t>capiat</w:t>
      </w:r>
      <w:r>
        <w:rPr>
          <w:b w:val="0"/>
          <w:i w:val="0"/>
        </w:rPr>
        <w:t xml:space="preserve">; </w:t>
      </w:r>
      <w:r>
        <w:rPr>
          <w:b w:val="0"/>
          <w:i/>
        </w:rPr>
        <w:t>capit</w:t>
      </w:r>
      <w:r>
        <w:rPr>
          <w:b w:val="0"/>
          <w:i w:val="0"/>
        </w:rPr>
        <w:t>.</w:t>
      </w:r>
    </w:p>
    <w:p>
      <w:pPr>
        <w:widowControl/>
      </w:pPr>
      <w:r>
        <w:rPr>
          <w:b w:val="0"/>
          <w:i w:val="0"/>
        </w:rPr>
        <w:t xml:space="preserve">Receptive or capable of receiving; to receive or apprehend. The eye can receive light and mind truth while remaining distinct from what they receive; greater capacity does not erase dependency. References: </w:t>
      </w:r>
      <w:hyperlink w:anchor="passage-i-1-6">
        <w:r>
          <w:rPr>
            <w:color w:val="000000"/>
          </w:rPr>
          <w:t xml:space="preserve">I.1.6</w:t>
        </w:r>
      </w:hyperlink>
      <w:r>
        <w:rPr>
          <w:b w:val="0"/>
          <w:i w:val="0"/>
        </w:rPr>
        <w:t xml:space="preserve">, </w:t>
      </w:r>
      <w:hyperlink w:anchor="passage-i-6-7">
        <w:r>
          <w:rPr>
            <w:color w:val="000000"/>
          </w:rPr>
          <w:t xml:space="preserve">I.6.7</w:t>
        </w:r>
      </w:hyperlink>
      <w:r>
        <w:rPr>
          <w:b w:val="0"/>
          <w:i w:val="0"/>
        </w:rPr>
        <w:t xml:space="preserve">. See </w:t>
      </w:r>
      <w:hyperlink w:anchor="containing-receiving-and-lacking">
        <w:r>
          <w:rPr>
            <w:color w:val="000000"/>
          </w:rPr>
          <w:t xml:space="preserve">Containing, receiving and lacking</w:t>
        </w:r>
      </w:hyperlink>
      <w:r>
        <w:rPr>
          <w:b w:val="0"/>
          <w:i w:val="0"/>
        </w:rPr>
        <w:t>.</w:t>
      </w:r>
    </w:p>
    <w:p>
      <w:pPr>
        <w:keepNext/>
        <w:widowControl/>
      </w:pPr>
      <w:bookmarkStart w:id="393" w:name="latin-record-0142"/>
      <w:bookmarkEnd w:id="393"/>
      <w:r>
        <w:rPr>
          <w:b/>
          <w:i w:val="0"/>
        </w:rPr>
        <w:t>capere</w:t>
      </w:r>
      <w:r>
        <w:rPr>
          <w:b/>
          <w:i w:val="0"/>
        </w:rPr>
        <w:t>.</w:t>
      </w:r>
      <w:r>
        <w:rPr>
          <w:b w:val="0"/>
          <w:i w:val="0"/>
        </w:rPr>
        <w:t xml:space="preserve"> Printed forms: </w:t>
      </w:r>
      <w:r>
        <w:rPr>
          <w:b w:val="0"/>
          <w:i/>
        </w:rPr>
        <w:t>capere</w:t>
      </w:r>
      <w:r>
        <w:rPr>
          <w:b w:val="0"/>
          <w:i w:val="0"/>
        </w:rPr>
        <w:t xml:space="preserve">; </w:t>
      </w:r>
      <w:r>
        <w:rPr>
          <w:b w:val="0"/>
          <w:i/>
        </w:rPr>
        <w:t>capit</w:t>
      </w:r>
      <w:r>
        <w:rPr>
          <w:b w:val="0"/>
          <w:i w:val="0"/>
        </w:rPr>
        <w:t>.</w:t>
      </w:r>
    </w:p>
    <w:p>
      <w:pPr>
        <w:widowControl/>
      </w:pPr>
      <w:r>
        <w:rPr>
          <w:b w:val="0"/>
          <w:i w:val="0"/>
        </w:rPr>
        <w:t xml:space="preserve">Receive or take in. God’s hypothetical reception of qualities would assign him the recipient’s role, incompatible with the first pure agent in this argument. References: </w:t>
      </w:r>
      <w:hyperlink w:anchor="passage-ii-11-3">
        <w:r>
          <w:rPr>
            <w:color w:val="000000"/>
          </w:rPr>
          <w:t xml:space="preserve">II.11.3</w:t>
        </w:r>
      </w:hyperlink>
      <w:r>
        <w:rPr>
          <w:b w:val="0"/>
          <w:i w:val="0"/>
        </w:rPr>
        <w:t xml:space="preserve">. See </w:t>
      </w:r>
      <w:hyperlink w:anchor="receiving-and-giving">
        <w:r>
          <w:rPr>
            <w:color w:val="000000"/>
          </w:rPr>
          <w:t xml:space="preserve">Receiving and giving</w:t>
        </w:r>
      </w:hyperlink>
      <w:r>
        <w:rPr>
          <w:b w:val="0"/>
          <w:i w:val="0"/>
        </w:rPr>
        <w:t>.</w:t>
      </w:r>
    </w:p>
    <w:p>
      <w:pPr>
        <w:keepNext/>
        <w:widowControl/>
      </w:pPr>
      <w:bookmarkStart w:id="394" w:name="latin-record-0143"/>
      <w:bookmarkEnd w:id="394"/>
      <w:r>
        <w:rPr>
          <w:b/>
          <w:i w:val="0"/>
        </w:rPr>
        <w:t>caput / capacitas</w:t>
      </w:r>
      <w:r>
        <w:rPr>
          <w:b/>
          <w:i w:val="0"/>
        </w:rPr>
        <w:t>.</w:t>
      </w:r>
      <w:r>
        <w:rPr>
          <w:b w:val="0"/>
          <w:i w:val="0"/>
        </w:rPr>
        <w:t xml:space="preserve"> Printed forms: </w:t>
      </w:r>
      <w:r>
        <w:rPr>
          <w:b w:val="0"/>
          <w:i/>
        </w:rPr>
        <w:t>capacitatem</w:t>
      </w:r>
      <w:r>
        <w:rPr>
          <w:b w:val="0"/>
          <w:i w:val="0"/>
        </w:rPr>
        <w:t xml:space="preserve">; </w:t>
      </w:r>
      <w:r>
        <w:rPr>
          <w:b w:val="0"/>
          <w:i/>
        </w:rPr>
        <w:t>caput</w:t>
      </w:r>
      <w:r>
        <w:rPr>
          <w:b w:val="0"/>
          <w:i w:val="0"/>
        </w:rPr>
        <w:t>.</w:t>
      </w:r>
    </w:p>
    <w:p>
      <w:pPr>
        <w:widowControl/>
      </w:pPr>
      <w:r>
        <w:rPr>
          <w:b w:val="0"/>
          <w:i w:val="0"/>
        </w:rPr>
        <w:t xml:space="preserve">Head or governing summit, and capacity. Mind is the soul’s head but contracted to that soul’s capacity; its higher head is free and lucid mind existing in itself. References: </w:t>
      </w:r>
      <w:hyperlink w:anchor="passage-i-5-14">
        <w:r>
          <w:rPr>
            <w:color w:val="000000"/>
          </w:rPr>
          <w:t xml:space="preserve">I.5.14</w:t>
        </w:r>
      </w:hyperlink>
      <w:r>
        <w:rPr>
          <w:b w:val="0"/>
          <w:i w:val="0"/>
        </w:rPr>
        <w:t xml:space="preserve">. See </w:t>
      </w:r>
      <w:hyperlink w:anchor="mind">
        <w:r>
          <w:rPr>
            <w:color w:val="000000"/>
          </w:rPr>
          <w:t xml:space="preserve">Mind</w:t>
        </w:r>
      </w:hyperlink>
      <w:r>
        <w:rPr>
          <w:b w:val="0"/>
          <w:i w:val="0"/>
        </w:rPr>
        <w:t>.</w:t>
      </w:r>
    </w:p>
    <w:p>
      <w:pPr>
        <w:keepNext/>
        <w:widowControl/>
      </w:pPr>
      <w:bookmarkStart w:id="395" w:name="latin-record-0144"/>
      <w:bookmarkEnd w:id="395"/>
      <w:r>
        <w:rPr>
          <w:b/>
          <w:i w:val="0"/>
        </w:rPr>
        <w:t>caput mentis / rationis</w:t>
      </w:r>
      <w:r>
        <w:rPr>
          <w:b/>
          <w:i w:val="0"/>
        </w:rPr>
        <w:t>.</w:t>
      </w:r>
      <w:r>
        <w:rPr>
          <w:b w:val="0"/>
          <w:i w:val="0"/>
        </w:rPr>
        <w:t xml:space="preserve"> Printed forms: </w:t>
      </w:r>
      <w:r>
        <w:rPr>
          <w:b w:val="0"/>
          <w:i/>
        </w:rPr>
        <w:t>caput rationis</w:t>
      </w:r>
      <w:r>
        <w:rPr>
          <w:b w:val="0"/>
          <w:i w:val="0"/>
        </w:rPr>
        <w:t xml:space="preserve">; </w:t>
      </w:r>
      <w:r>
        <w:rPr>
          <w:b w:val="0"/>
          <w:i/>
        </w:rPr>
        <w:t>mentis est caput</w:t>
      </w:r>
      <w:r>
        <w:rPr>
          <w:b w:val="0"/>
          <w:i w:val="0"/>
        </w:rPr>
        <w:t>.</w:t>
      </w:r>
    </w:p>
    <w:p>
      <w:pPr>
        <w:widowControl/>
      </w:pPr>
      <w:r>
        <w:rPr>
          <w:b w:val="0"/>
          <w:i w:val="0"/>
        </w:rPr>
        <w:t xml:space="preserve">The head or directing principle of mind and reason. The hierarchy is nonbodily: unity directs mind and mind directs reason in the soul’s outflow and return. References: </w:t>
      </w:r>
      <w:hyperlink w:anchor="passage-iv-2-11">
        <w:r>
          <w:rPr>
            <w:color w:val="000000"/>
          </w:rPr>
          <w:t xml:space="preserve">IV.2.11</w:t>
        </w:r>
      </w:hyperlink>
      <w:r>
        <w:rPr>
          <w:b w:val="0"/>
          <w:i w:val="0"/>
        </w:rPr>
        <w:t xml:space="preserve">. See </w:t>
      </w:r>
      <w:hyperlink w:anchor="head-heart-and-members">
        <w:r>
          <w:rPr>
            <w:color w:val="000000"/>
          </w:rPr>
          <w:t xml:space="preserve">Head, heart, and members</w:t>
        </w:r>
      </w:hyperlink>
      <w:r>
        <w:rPr>
          <w:b w:val="0"/>
          <w:i w:val="0"/>
        </w:rPr>
        <w:t>.</w:t>
      </w:r>
    </w:p>
    <w:p>
      <w:pPr>
        <w:keepNext/>
        <w:widowControl/>
      </w:pPr>
      <w:bookmarkStart w:id="396" w:name="latin-record-0145"/>
      <w:bookmarkEnd w:id="396"/>
      <w:r>
        <w:rPr>
          <w:b/>
          <w:i w:val="0"/>
        </w:rPr>
        <w:t>carcer / claustra</w:t>
      </w:r>
      <w:r>
        <w:rPr>
          <w:b/>
          <w:i w:val="0"/>
        </w:rPr>
        <w:t>.</w:t>
      </w:r>
      <w:r>
        <w:rPr>
          <w:b w:val="0"/>
          <w:i w:val="0"/>
        </w:rPr>
        <w:t xml:space="preserve"> Printed forms: </w:t>
      </w:r>
      <w:r>
        <w:rPr>
          <w:b w:val="0"/>
          <w:i/>
        </w:rPr>
        <w:t>carcere</w:t>
      </w:r>
      <w:r>
        <w:rPr>
          <w:b w:val="0"/>
          <w:i w:val="0"/>
        </w:rPr>
        <w:t xml:space="preserve">; </w:t>
      </w:r>
      <w:r>
        <w:rPr>
          <w:b w:val="0"/>
          <w:i/>
        </w:rPr>
        <w:t>carcere caeco</w:t>
      </w:r>
      <w:r>
        <w:rPr>
          <w:b w:val="0"/>
          <w:i w:val="0"/>
        </w:rPr>
        <w:t xml:space="preserve">; </w:t>
      </w:r>
      <w:r>
        <w:rPr>
          <w:b w:val="0"/>
          <w:i/>
        </w:rPr>
        <w:t>claustra</w:t>
      </w:r>
      <w:r>
        <w:rPr>
          <w:b w:val="0"/>
          <w:i w:val="0"/>
        </w:rPr>
        <w:t>.</w:t>
      </w:r>
    </w:p>
    <w:p>
      <w:pPr>
        <w:widowControl/>
      </w:pPr>
      <w:r>
        <w:rPr>
          <w:b w:val="0"/>
          <w:i w:val="0"/>
        </w:rPr>
        <w:t xml:space="preserve">Prison or barriers of confinement. These images frame the exhortation to philosophical ascent; the immediately following programme makes argument the means of release. References: </w:t>
      </w:r>
      <w:hyperlink w:anchor="passage-i-1-1">
        <w:r>
          <w:rPr>
            <w:color w:val="000000"/>
          </w:rPr>
          <w:t xml:space="preserve">I.1.1</w:t>
        </w:r>
      </w:hyperlink>
      <w:r>
        <w:rPr>
          <w:b w:val="0"/>
          <w:i w:val="0"/>
        </w:rPr>
        <w:t xml:space="preserve">, </w:t>
      </w:r>
      <w:hyperlink w:anchor="passage-i-1-2">
        <w:r>
          <w:rPr>
            <w:color w:val="000000"/>
          </w:rPr>
          <w:t xml:space="preserve">I.1.2</w:t>
        </w:r>
      </w:hyperlink>
      <w:r>
        <w:rPr>
          <w:b w:val="0"/>
          <w:i w:val="0"/>
        </w:rPr>
        <w:t xml:space="preserve">, </w:t>
      </w:r>
      <w:hyperlink w:anchor="passage-i-1-3">
        <w:r>
          <w:rPr>
            <w:color w:val="000000"/>
          </w:rPr>
          <w:t xml:space="preserve">I.1.3</w:t>
        </w:r>
      </w:hyperlink>
      <w:r>
        <w:rPr>
          <w:b w:val="0"/>
          <w:i w:val="0"/>
        </w:rPr>
        <w:t xml:space="preserve">. See </w:t>
      </w:r>
      <w:hyperlink w:anchor="prison-and-homeland">
        <w:r>
          <w:rPr>
            <w:color w:val="000000"/>
          </w:rPr>
          <w:t xml:space="preserve">Prison and homeland</w:t>
        </w:r>
      </w:hyperlink>
      <w:r>
        <w:rPr>
          <w:b w:val="0"/>
          <w:i w:val="0"/>
        </w:rPr>
        <w:t>.</w:t>
      </w:r>
    </w:p>
    <w:p>
      <w:pPr>
        <w:keepNext/>
        <w:widowControl/>
      </w:pPr>
      <w:bookmarkStart w:id="397" w:name="latin-record-0146"/>
      <w:bookmarkEnd w:id="397"/>
      <w:r>
        <w:rPr>
          <w:b/>
          <w:i w:val="0"/>
        </w:rPr>
        <w:t>cardo</w:t>
      </w:r>
      <w:r>
        <w:rPr>
          <w:b/>
          <w:i w:val="0"/>
        </w:rPr>
        <w:t>.</w:t>
      </w:r>
      <w:r>
        <w:rPr>
          <w:b w:val="0"/>
          <w:i w:val="0"/>
        </w:rPr>
        <w:t xml:space="preserve"> Printed forms: </w:t>
      </w:r>
      <w:r>
        <w:rPr>
          <w:b w:val="0"/>
          <w:i/>
        </w:rPr>
        <w:t>cardinem</w:t>
      </w:r>
      <w:r>
        <w:rPr>
          <w:b w:val="0"/>
          <w:i w:val="0"/>
        </w:rPr>
        <w:t xml:space="preserve">; </w:t>
      </w:r>
      <w:r>
        <w:rPr>
          <w:b w:val="0"/>
          <w:i/>
        </w:rPr>
        <w:t>cardines</w:t>
      </w:r>
      <w:r>
        <w:rPr>
          <w:b w:val="0"/>
          <w:i w:val="0"/>
        </w:rPr>
        <w:t xml:space="preserve">; </w:t>
      </w:r>
      <w:r>
        <w:rPr>
          <w:b w:val="0"/>
          <w:i/>
        </w:rPr>
        <w:t>cardo</w:t>
      </w:r>
      <w:r>
        <w:rPr>
          <w:b w:val="0"/>
          <w:i w:val="0"/>
        </w:rPr>
        <w:t>.</w:t>
      </w:r>
    </w:p>
    <w:p>
      <w:pPr>
        <w:widowControl/>
      </w:pPr>
      <w:r>
        <w:rPr>
          <w:b w:val="0"/>
          <w:i w:val="0"/>
        </w:rPr>
        <w:t xml:space="preserve">Hinge or governing pivot. God’s being turns subordinate hinges, each corresponding to an order; the metaphor explains coordinated hierarchy. References: </w:t>
      </w:r>
      <w:hyperlink w:anchor="passage-ii-13-12">
        <w:r>
          <w:rPr>
            <w:color w:val="000000"/>
          </w:rPr>
          <w:t xml:space="preserve">II.13.12</w:t>
        </w:r>
      </w:hyperlink>
      <w:r>
        <w:rPr>
          <w:b w:val="0"/>
          <w:i w:val="0"/>
        </w:rPr>
        <w:t xml:space="preserve">. See </w:t>
      </w:r>
      <w:hyperlink w:anchor="hinge-and-center">
        <w:r>
          <w:rPr>
            <w:color w:val="000000"/>
          </w:rPr>
          <w:t xml:space="preserve">Hinge and center</w:t>
        </w:r>
      </w:hyperlink>
      <w:r>
        <w:rPr>
          <w:b w:val="0"/>
          <w:i w:val="0"/>
        </w:rPr>
        <w:t>.</w:t>
      </w:r>
    </w:p>
    <w:p>
      <w:pPr>
        <w:keepNext/>
        <w:widowControl/>
      </w:pPr>
      <w:bookmarkStart w:id="398" w:name="latin-record-0147"/>
      <w:bookmarkEnd w:id="398"/>
      <w:r>
        <w:rPr>
          <w:b/>
          <w:i w:val="0"/>
        </w:rPr>
        <w:t>cardo / fundamentum</w:t>
      </w:r>
      <w:r>
        <w:rPr>
          <w:b/>
          <w:i w:val="0"/>
        </w:rPr>
        <w:t>.</w:t>
      </w:r>
      <w:r>
        <w:rPr>
          <w:b w:val="0"/>
          <w:i w:val="0"/>
        </w:rPr>
        <w:t xml:space="preserve"> Printed forms: </w:t>
      </w:r>
      <w:r>
        <w:rPr>
          <w:b w:val="0"/>
          <w:i/>
        </w:rPr>
        <w:t>cardinem</w:t>
      </w:r>
      <w:r>
        <w:rPr>
          <w:b w:val="0"/>
          <w:i w:val="0"/>
        </w:rPr>
        <w:t xml:space="preserve">; </w:t>
      </w:r>
      <w:r>
        <w:rPr>
          <w:b w:val="0"/>
          <w:i/>
        </w:rPr>
        <w:t>fundamentum</w:t>
      </w:r>
      <w:r>
        <w:rPr>
          <w:b w:val="0"/>
          <w:i w:val="0"/>
        </w:rPr>
        <w:t>.</w:t>
      </w:r>
    </w:p>
    <w:p>
      <w:pPr>
        <w:widowControl/>
      </w:pPr>
      <w:r>
        <w:rPr>
          <w:b w:val="0"/>
          <w:i w:val="0"/>
        </w:rPr>
        <w:t xml:space="preserve">A hinge or pivot, and a foundation. Stable substance grounds changing accidents; the material images identify an enduring reference and cause, not a literal joint inside the soul. References: </w:t>
      </w:r>
      <w:hyperlink w:anchor="passage-i-3-13">
        <w:r>
          <w:rPr>
            <w:color w:val="000000"/>
          </w:rPr>
          <w:t xml:space="preserve">I.3.13</w:t>
        </w:r>
      </w:hyperlink>
      <w:r>
        <w:rPr>
          <w:b w:val="0"/>
          <w:i w:val="0"/>
        </w:rPr>
        <w:t xml:space="preserve">. See </w:t>
      </w:r>
      <w:hyperlink w:anchor="hinge-and-center">
        <w:r>
          <w:rPr>
            <w:color w:val="000000"/>
          </w:rPr>
          <w:t xml:space="preserve">Hinge and center</w:t>
        </w:r>
      </w:hyperlink>
      <w:r>
        <w:rPr>
          <w:b w:val="0"/>
          <w:i w:val="0"/>
        </w:rPr>
        <w:t>.</w:t>
      </w:r>
    </w:p>
    <w:p>
      <w:pPr>
        <w:keepNext/>
        <w:widowControl/>
      </w:pPr>
      <w:bookmarkStart w:id="399" w:name="latin-record-0148"/>
      <w:bookmarkEnd w:id="399"/>
      <w:r>
        <w:rPr>
          <w:b/>
          <w:i w:val="0"/>
        </w:rPr>
        <w:t>cardo / liquidus / solidus</w:t>
      </w:r>
      <w:r>
        <w:rPr>
          <w:b/>
          <w:i w:val="0"/>
        </w:rPr>
        <w:t>.</w:t>
      </w:r>
      <w:r>
        <w:rPr>
          <w:b w:val="0"/>
          <w:i w:val="0"/>
        </w:rPr>
        <w:t xml:space="preserve"> Printed forms: </w:t>
      </w:r>
      <w:r>
        <w:rPr>
          <w:b w:val="0"/>
          <w:i/>
        </w:rPr>
        <w:t>cardinis</w:t>
      </w:r>
      <w:r>
        <w:rPr>
          <w:b w:val="0"/>
          <w:i w:val="0"/>
        </w:rPr>
        <w:t xml:space="preserve">; </w:t>
      </w:r>
      <w:r>
        <w:rPr>
          <w:b w:val="0"/>
          <w:i/>
        </w:rPr>
        <w:t>liquido</w:t>
      </w:r>
      <w:r>
        <w:rPr>
          <w:b w:val="0"/>
          <w:i w:val="0"/>
        </w:rPr>
        <w:t xml:space="preserve">; </w:t>
      </w:r>
      <w:r>
        <w:rPr>
          <w:b w:val="0"/>
          <w:i/>
        </w:rPr>
        <w:t>liquidorum</w:t>
      </w:r>
      <w:r>
        <w:rPr>
          <w:b w:val="0"/>
          <w:i w:val="0"/>
        </w:rPr>
        <w:t xml:space="preserve">; </w:t>
      </w:r>
      <w:r>
        <w:rPr>
          <w:b w:val="0"/>
          <w:i/>
        </w:rPr>
        <w:t>soliditatem</w:t>
      </w:r>
      <w:r>
        <w:rPr>
          <w:b w:val="0"/>
          <w:i w:val="0"/>
        </w:rPr>
        <w:t xml:space="preserve">; </w:t>
      </w:r>
      <w:r>
        <w:rPr>
          <w:b w:val="0"/>
          <w:i/>
        </w:rPr>
        <w:t>solido</w:t>
      </w:r>
      <w:r>
        <w:rPr>
          <w:b w:val="0"/>
          <w:i w:val="0"/>
        </w:rPr>
        <w:t>.</w:t>
      </w:r>
    </w:p>
    <w:p>
      <w:pPr>
        <w:widowControl/>
      </w:pPr>
      <w:r>
        <w:rPr>
          <w:b w:val="0"/>
          <w:i w:val="0"/>
        </w:rPr>
        <w:t xml:space="preserve">Pivot; liquid; solid or firm. A solid restrains liquid flux as stable first source restrains dependence; solidity also preserves the statue’s material. References: </w:t>
      </w:r>
      <w:hyperlink w:anchor="passage-ii-3-8">
        <w:r>
          <w:rPr>
            <w:color w:val="000000"/>
          </w:rPr>
          <w:t xml:space="preserve">II.3.8</w:t>
        </w:r>
      </w:hyperlink>
      <w:r>
        <w:rPr>
          <w:b w:val="0"/>
          <w:i w:val="0"/>
        </w:rPr>
        <w:t xml:space="preserve">, </w:t>
      </w:r>
      <w:hyperlink w:anchor="passage-ii-7-17">
        <w:r>
          <w:rPr>
            <w:color w:val="000000"/>
          </w:rPr>
          <w:t xml:space="preserve">II.7.17</w:t>
        </w:r>
      </w:hyperlink>
      <w:r>
        <w:rPr>
          <w:b w:val="0"/>
          <w:i w:val="0"/>
        </w:rPr>
        <w:t xml:space="preserve">. See </w:t>
      </w:r>
      <w:hyperlink w:anchor="spring-and-flow">
        <w:r>
          <w:rPr>
            <w:color w:val="000000"/>
          </w:rPr>
          <w:t xml:space="preserve">Spring and flow</w:t>
        </w:r>
      </w:hyperlink>
      <w:r>
        <w:rPr>
          <w:b w:val="0"/>
          <w:i w:val="0"/>
        </w:rPr>
        <w:t>.</w:t>
      </w:r>
    </w:p>
    <w:p>
      <w:pPr>
        <w:keepNext/>
        <w:widowControl/>
      </w:pPr>
      <w:bookmarkStart w:id="400" w:name="latin-record-0149"/>
      <w:bookmarkEnd w:id="400"/>
      <w:r>
        <w:rPr>
          <w:b/>
          <w:i w:val="0"/>
        </w:rPr>
        <w:t>careo / expers</w:t>
      </w:r>
      <w:r>
        <w:rPr>
          <w:b/>
          <w:i w:val="0"/>
        </w:rPr>
        <w:t>.</w:t>
      </w:r>
      <w:r>
        <w:rPr>
          <w:b w:val="0"/>
          <w:i w:val="0"/>
        </w:rPr>
        <w:t xml:space="preserve"> Printed forms: </w:t>
      </w:r>
      <w:r>
        <w:rPr>
          <w:b w:val="0"/>
          <w:i/>
        </w:rPr>
        <w:t>careat</w:t>
      </w:r>
      <w:r>
        <w:rPr>
          <w:b w:val="0"/>
          <w:i w:val="0"/>
        </w:rPr>
        <w:t xml:space="preserve">; </w:t>
      </w:r>
      <w:r>
        <w:rPr>
          <w:b w:val="0"/>
          <w:i/>
        </w:rPr>
        <w:t>carere</w:t>
      </w:r>
      <w:r>
        <w:rPr>
          <w:b w:val="0"/>
          <w:i w:val="0"/>
        </w:rPr>
        <w:t xml:space="preserve">; </w:t>
      </w:r>
      <w:r>
        <w:rPr>
          <w:b w:val="0"/>
          <w:i/>
        </w:rPr>
        <w:t>caret</w:t>
      </w:r>
      <w:r>
        <w:rPr>
          <w:b w:val="0"/>
          <w:i w:val="0"/>
        </w:rPr>
        <w:t xml:space="preserve">; </w:t>
      </w:r>
      <w:r>
        <w:rPr>
          <w:b w:val="0"/>
          <w:i/>
        </w:rPr>
        <w:t>expers</w:t>
      </w:r>
      <w:r>
        <w:rPr>
          <w:b w:val="0"/>
          <w:i w:val="0"/>
        </w:rPr>
        <w:t>.</w:t>
      </w:r>
    </w:p>
    <w:p>
      <w:pPr>
        <w:widowControl/>
      </w:pPr>
      <w:r>
        <w:rPr>
          <w:b w:val="0"/>
          <w:i w:val="0"/>
        </w:rPr>
        <w:t xml:space="preserve">To lack or be without. Lacking life, lacking one’s own light, and being exempt from change concern different privations; transparent mediation is compatible with not originating light. References: </w:t>
      </w:r>
      <w:hyperlink w:anchor="passage-iv-1-2">
        <w:r>
          <w:rPr>
            <w:color w:val="000000"/>
          </w:rPr>
          <w:t xml:space="preserve">IV.1.2</w:t>
        </w:r>
      </w:hyperlink>
      <w:r>
        <w:rPr>
          <w:b w:val="0"/>
          <w:i w:val="0"/>
        </w:rPr>
        <w:t xml:space="preserve">, </w:t>
      </w:r>
      <w:hyperlink w:anchor="passage-iv-1-29">
        <w:r>
          <w:rPr>
            <w:color w:val="000000"/>
          </w:rPr>
          <w:t xml:space="preserve">IV.1.29</w:t>
        </w:r>
      </w:hyperlink>
      <w:r>
        <w:rPr>
          <w:b w:val="0"/>
          <w:i w:val="0"/>
        </w:rPr>
        <w:t xml:space="preserve">, </w:t>
      </w:r>
      <w:hyperlink w:anchor="passage-iv-2-22">
        <w:r>
          <w:rPr>
            <w:color w:val="000000"/>
          </w:rPr>
          <w:t xml:space="preserve">IV.2.22</w:t>
        </w:r>
      </w:hyperlink>
      <w:r>
        <w:rPr>
          <w:b w:val="0"/>
          <w:i w:val="0"/>
        </w:rPr>
        <w:t xml:space="preserve">. See </w:t>
      </w:r>
      <w:hyperlink w:anchor="need-and-sufficiency">
        <w:r>
          <w:rPr>
            <w:color w:val="000000"/>
          </w:rPr>
          <w:t xml:space="preserve">Need and sufficiency</w:t>
        </w:r>
      </w:hyperlink>
      <w:r>
        <w:rPr>
          <w:b w:val="0"/>
          <w:i w:val="0"/>
        </w:rPr>
        <w:t>.</w:t>
      </w:r>
    </w:p>
    <w:p>
      <w:pPr>
        <w:keepNext/>
        <w:widowControl/>
      </w:pPr>
      <w:bookmarkStart w:id="401" w:name="latin-record-0150"/>
      <w:bookmarkEnd w:id="401"/>
      <w:r>
        <w:rPr>
          <w:b/>
          <w:i w:val="0"/>
        </w:rPr>
        <w:t>carere / deesse / destituere</w:t>
      </w:r>
      <w:r>
        <w:rPr>
          <w:b/>
          <w:i w:val="0"/>
        </w:rPr>
        <w:t>.</w:t>
      </w:r>
      <w:r>
        <w:rPr>
          <w:b w:val="0"/>
          <w:i w:val="0"/>
        </w:rPr>
        <w:t xml:space="preserve"> Printed forms: </w:t>
      </w:r>
      <w:r>
        <w:rPr>
          <w:b w:val="0"/>
          <w:i/>
        </w:rPr>
        <w:t>careat</w:t>
      </w:r>
      <w:r>
        <w:rPr>
          <w:b w:val="0"/>
          <w:i w:val="0"/>
        </w:rPr>
        <w:t xml:space="preserve">; </w:t>
      </w:r>
      <w:r>
        <w:rPr>
          <w:b w:val="0"/>
          <w:i/>
        </w:rPr>
        <w:t>deesse</w:t>
      </w:r>
      <w:r>
        <w:rPr>
          <w:b w:val="0"/>
          <w:i w:val="0"/>
        </w:rPr>
        <w:t xml:space="preserve">; </w:t>
      </w:r>
      <w:r>
        <w:rPr>
          <w:b w:val="0"/>
          <w:i/>
        </w:rPr>
        <w:t>Deest</w:t>
      </w:r>
      <w:r>
        <w:rPr>
          <w:b w:val="0"/>
          <w:i w:val="0"/>
        </w:rPr>
        <w:t xml:space="preserve">; </w:t>
      </w:r>
      <w:r>
        <w:rPr>
          <w:b w:val="0"/>
          <w:i/>
        </w:rPr>
        <w:t>destitutam</w:t>
      </w:r>
      <w:r>
        <w:rPr>
          <w:b w:val="0"/>
          <w:i w:val="0"/>
        </w:rPr>
        <w:t>.</w:t>
      </w:r>
    </w:p>
    <w:p>
      <w:pPr>
        <w:widowControl/>
      </w:pPr>
      <w:r>
        <w:rPr>
          <w:b w:val="0"/>
          <w:i w:val="0"/>
        </w:rPr>
        <w:t xml:space="preserve">To lack or be absent; to leave deprived. The supreme must lack no good, and no region of immensity may be left without the first good’s presence. References: </w:t>
      </w:r>
      <w:hyperlink w:anchor="passage-ii-2-10">
        <w:r>
          <w:rPr>
            <w:color w:val="000000"/>
          </w:rPr>
          <w:t xml:space="preserve">II.2.10</w:t>
        </w:r>
      </w:hyperlink>
      <w:r>
        <w:rPr>
          <w:b w:val="0"/>
          <w:i w:val="0"/>
        </w:rPr>
        <w:t xml:space="preserve">, </w:t>
      </w:r>
      <w:hyperlink w:anchor="passage-ii-4-3">
        <w:r>
          <w:rPr>
            <w:color w:val="000000"/>
          </w:rPr>
          <w:t xml:space="preserve">II.4.3</w:t>
        </w:r>
      </w:hyperlink>
      <w:r>
        <w:rPr>
          <w:b w:val="0"/>
          <w:i w:val="0"/>
        </w:rPr>
        <w:t xml:space="preserve">, </w:t>
      </w:r>
      <w:hyperlink w:anchor="passage-ii-6-6">
        <w:r>
          <w:rPr>
            <w:color w:val="000000"/>
          </w:rPr>
          <w:t xml:space="preserve">II.6.6</w:t>
        </w:r>
      </w:hyperlink>
      <w:r>
        <w:rPr>
          <w:b w:val="0"/>
          <w:i w:val="0"/>
        </w:rPr>
        <w:t xml:space="preserve">, </w:t>
      </w:r>
      <w:hyperlink w:anchor="passage-ii-9-5">
        <w:r>
          <w:rPr>
            <w:color w:val="000000"/>
          </w:rPr>
          <w:t xml:space="preserve">II.9.5</w:t>
        </w:r>
      </w:hyperlink>
      <w:r>
        <w:rPr>
          <w:b w:val="0"/>
          <w:i w:val="0"/>
        </w:rPr>
        <w:t xml:space="preserve">. See </w:t>
      </w:r>
      <w:hyperlink w:anchor="need-and-sufficiency">
        <w:r>
          <w:rPr>
            <w:color w:val="000000"/>
          </w:rPr>
          <w:t xml:space="preserve">Need and sufficiency</w:t>
        </w:r>
      </w:hyperlink>
      <w:r>
        <w:rPr>
          <w:b w:val="0"/>
          <w:i w:val="0"/>
        </w:rPr>
        <w:t>.</w:t>
      </w:r>
    </w:p>
    <w:p>
      <w:pPr>
        <w:keepNext/>
        <w:widowControl/>
      </w:pPr>
      <w:bookmarkStart w:id="402" w:name="latin-record-0151"/>
      <w:bookmarkEnd w:id="402"/>
      <w:r>
        <w:rPr>
          <w:b/>
          <w:i w:val="0"/>
        </w:rPr>
        <w:t>caritas</w:t>
      </w:r>
      <w:r>
        <w:rPr>
          <w:b/>
          <w:i w:val="0"/>
        </w:rPr>
        <w:t>.</w:t>
      </w:r>
      <w:r>
        <w:rPr>
          <w:b w:val="0"/>
          <w:i w:val="0"/>
        </w:rPr>
        <w:t xml:space="preserve"> Printed forms: </w:t>
      </w:r>
      <w:r>
        <w:rPr>
          <w:b w:val="0"/>
          <w:i/>
        </w:rPr>
        <w:t>caritate</w:t>
      </w:r>
      <w:r>
        <w:rPr>
          <w:b w:val="0"/>
          <w:i w:val="0"/>
        </w:rPr>
        <w:t>.</w:t>
      </w:r>
    </w:p>
    <w:p>
      <w:pPr>
        <w:widowControl/>
      </w:pPr>
      <w:r>
        <w:rPr>
          <w:b w:val="0"/>
          <w:i w:val="0"/>
        </w:rPr>
        <w:t xml:space="preserve">Charity or love directed toward humanity. Ficino presents charity as a motive for composing a Platonic theology aligned with Christian truth; the term concerns his declared purpose. References: </w:t>
      </w:r>
      <w:hyperlink w:anchor="passage-proem-7">
        <w:r>
          <w:rPr>
            <w:color w:val="000000"/>
          </w:rPr>
          <w:t xml:space="preserve">Proem.7</w:t>
        </w:r>
      </w:hyperlink>
      <w:r>
        <w:rPr>
          <w:b w:val="0"/>
          <w:i w:val="0"/>
        </w:rPr>
        <w:t xml:space="preserve">. See </w:t>
      </w:r>
      <w:hyperlink w:anchor="love-and-pleasure">
        <w:r>
          <w:rPr>
            <w:color w:val="000000"/>
          </w:rPr>
          <w:t xml:space="preserve">Love and pleasure</w:t>
        </w:r>
      </w:hyperlink>
      <w:r>
        <w:rPr>
          <w:b w:val="0"/>
          <w:i w:val="0"/>
        </w:rPr>
        <w:t>.</w:t>
      </w:r>
    </w:p>
    <w:p>
      <w:pPr>
        <w:keepNext/>
        <w:widowControl/>
      </w:pPr>
      <w:bookmarkStart w:id="403" w:name="latin-record-0152"/>
      <w:bookmarkEnd w:id="403"/>
      <w:r>
        <w:rPr>
          <w:b/>
          <w:i w:val="0"/>
        </w:rPr>
        <w:t>casus / contingere</w:t>
      </w:r>
      <w:r>
        <w:rPr>
          <w:b/>
          <w:i w:val="0"/>
        </w:rPr>
        <w:t>.</w:t>
      </w:r>
      <w:r>
        <w:rPr>
          <w:b w:val="0"/>
          <w:i w:val="0"/>
        </w:rPr>
        <w:t xml:space="preserve"> Printed forms: </w:t>
      </w:r>
      <w:r>
        <w:rPr>
          <w:b w:val="0"/>
          <w:i/>
        </w:rPr>
        <w:t>casu</w:t>
      </w:r>
      <w:r>
        <w:rPr>
          <w:b w:val="0"/>
          <w:i w:val="0"/>
        </w:rPr>
        <w:t xml:space="preserve">; </w:t>
      </w:r>
      <w:r>
        <w:rPr>
          <w:b w:val="0"/>
          <w:i/>
        </w:rPr>
        <w:t>contigit</w:t>
      </w:r>
      <w:r>
        <w:rPr>
          <w:b w:val="0"/>
          <w:i w:val="0"/>
        </w:rPr>
        <w:t xml:space="preserve">; </w:t>
      </w:r>
      <w:r>
        <w:rPr>
          <w:b w:val="0"/>
          <w:i/>
        </w:rPr>
        <w:t>obtigit</w:t>
      </w:r>
      <w:r>
        <w:rPr>
          <w:b w:val="0"/>
          <w:i w:val="0"/>
        </w:rPr>
        <w:t>.</w:t>
      </w:r>
    </w:p>
    <w:p>
      <w:pPr>
        <w:widowControl/>
      </w:pPr>
      <w:r>
        <w:rPr>
          <w:b w:val="0"/>
          <w:i w:val="0"/>
        </w:rPr>
        <w:t xml:space="preserve">Chance, or occurrence and coming about. Ficino contrasts chance with an established recurrent order; contigit itself need not mean chance without casu. References: </w:t>
      </w:r>
      <w:hyperlink w:anchor="passage-ii-2-8">
        <w:r>
          <w:rPr>
            <w:color w:val="000000"/>
          </w:rPr>
          <w:t xml:space="preserve">II.2.8</w:t>
        </w:r>
      </w:hyperlink>
      <w:r>
        <w:rPr>
          <w:b w:val="0"/>
          <w:i w:val="0"/>
        </w:rPr>
        <w:t xml:space="preserve">, </w:t>
      </w:r>
      <w:hyperlink w:anchor="passage-ii-2-9">
        <w:r>
          <w:rPr>
            <w:color w:val="000000"/>
          </w:rPr>
          <w:t xml:space="preserve">II.2.9</w:t>
        </w:r>
      </w:hyperlink>
      <w:r>
        <w:rPr>
          <w:b w:val="0"/>
          <w:i w:val="0"/>
        </w:rPr>
        <w:t xml:space="preserve">. See </w:t>
      </w:r>
      <w:hyperlink w:anchor="chance">
        <w:r>
          <w:rPr>
            <w:color w:val="000000"/>
          </w:rPr>
          <w:t xml:space="preserve">Chance</w:t>
        </w:r>
      </w:hyperlink>
      <w:r>
        <w:rPr>
          <w:b w:val="0"/>
          <w:i w:val="0"/>
        </w:rPr>
        <w:t>.</w:t>
      </w:r>
    </w:p>
    <w:p>
      <w:pPr>
        <w:keepNext/>
        <w:widowControl/>
      </w:pPr>
      <w:bookmarkStart w:id="404" w:name="latin-record-0153"/>
      <w:bookmarkEnd w:id="404"/>
      <w:r>
        <w:rPr>
          <w:b/>
          <w:i w:val="0"/>
        </w:rPr>
        <w:t>causa / effectus</w:t>
      </w:r>
      <w:r>
        <w:rPr>
          <w:b/>
          <w:i w:val="0"/>
        </w:rPr>
        <w:t>.</w:t>
      </w:r>
      <w:r>
        <w:rPr>
          <w:b w:val="0"/>
          <w:i w:val="0"/>
        </w:rPr>
        <w:t xml:space="preserve"> Printed forms: </w:t>
      </w:r>
      <w:r>
        <w:rPr>
          <w:b w:val="0"/>
          <w:i/>
        </w:rPr>
        <w:t>causa</w:t>
      </w:r>
      <w:r>
        <w:rPr>
          <w:b w:val="0"/>
          <w:i w:val="0"/>
        </w:rPr>
        <w:t xml:space="preserve">; </w:t>
      </w:r>
      <w:r>
        <w:rPr>
          <w:b w:val="0"/>
          <w:i/>
        </w:rPr>
        <w:t>causae</w:t>
      </w:r>
      <w:r>
        <w:rPr>
          <w:b w:val="0"/>
          <w:i w:val="0"/>
        </w:rPr>
        <w:t xml:space="preserve">; </w:t>
      </w:r>
      <w:r>
        <w:rPr>
          <w:b w:val="0"/>
          <w:i/>
        </w:rPr>
        <w:t>causam</w:t>
      </w:r>
      <w:r>
        <w:rPr>
          <w:b w:val="0"/>
          <w:i w:val="0"/>
        </w:rPr>
        <w:t xml:space="preserve">; </w:t>
      </w:r>
      <w:r>
        <w:rPr>
          <w:b w:val="0"/>
          <w:i/>
        </w:rPr>
        <w:t>causarum</w:t>
      </w:r>
      <w:r>
        <w:rPr>
          <w:b w:val="0"/>
          <w:i w:val="0"/>
        </w:rPr>
        <w:t xml:space="preserve">; </w:t>
      </w:r>
      <w:r>
        <w:rPr>
          <w:b w:val="0"/>
          <w:i/>
        </w:rPr>
        <w:t>causas</w:t>
      </w:r>
      <w:r>
        <w:rPr>
          <w:b w:val="0"/>
          <w:i w:val="0"/>
        </w:rPr>
        <w:t xml:space="preserve">; </w:t>
      </w:r>
      <w:r>
        <w:rPr>
          <w:b w:val="0"/>
          <w:i/>
        </w:rPr>
        <w:t>effectibus</w:t>
      </w:r>
      <w:r>
        <w:rPr>
          <w:b w:val="0"/>
          <w:i w:val="0"/>
        </w:rPr>
        <w:t xml:space="preserve">; </w:t>
      </w:r>
      <w:r>
        <w:rPr>
          <w:b w:val="0"/>
          <w:i/>
        </w:rPr>
        <w:t>effectu</w:t>
      </w:r>
      <w:r>
        <w:rPr>
          <w:b w:val="0"/>
          <w:i w:val="0"/>
        </w:rPr>
        <w:t xml:space="preserve">; </w:t>
      </w:r>
      <w:r>
        <w:rPr>
          <w:b w:val="0"/>
          <w:i/>
        </w:rPr>
        <w:t>effectui</w:t>
      </w:r>
      <w:r>
        <w:rPr>
          <w:b w:val="0"/>
          <w:i w:val="0"/>
        </w:rPr>
        <w:t xml:space="preserve">; </w:t>
      </w:r>
      <w:r>
        <w:rPr>
          <w:b w:val="0"/>
          <w:i/>
        </w:rPr>
        <w:t>effectum</w:t>
      </w:r>
      <w:r>
        <w:rPr>
          <w:b w:val="0"/>
          <w:i w:val="0"/>
        </w:rPr>
        <w:t xml:space="preserve">; </w:t>
      </w:r>
      <w:r>
        <w:rPr>
          <w:b w:val="0"/>
          <w:i/>
        </w:rPr>
        <w:t>effectus</w:t>
      </w:r>
      <w:r>
        <w:rPr>
          <w:b w:val="0"/>
          <w:i w:val="0"/>
        </w:rPr>
        <w:t xml:space="preserve">; </w:t>
      </w:r>
      <w:r>
        <w:rPr>
          <w:b w:val="0"/>
          <w:i/>
        </w:rPr>
        <w:t>effectuum</w:t>
      </w:r>
      <w:r>
        <w:rPr>
          <w:b w:val="0"/>
          <w:i w:val="0"/>
        </w:rPr>
        <w:t>.</w:t>
      </w:r>
    </w:p>
    <w:p>
      <w:pPr>
        <w:widowControl/>
      </w:pPr>
      <w:r>
        <w:rPr>
          <w:b w:val="0"/>
          <w:i w:val="0"/>
        </w:rPr>
        <w:t xml:space="preserve">Cause and what it produces, with first, universal, intermediate, and proximate levels. A higher cause’s contribution is presupposed by and outlasts narrower effects; knowledge of causes extends to their effects. References: </w:t>
      </w:r>
      <w:hyperlink w:anchor="passage-ii-3-2">
        <w:r>
          <w:rPr>
            <w:color w:val="000000"/>
          </w:rPr>
          <w:t xml:space="preserve">II.3.2</w:t>
        </w:r>
      </w:hyperlink>
      <w:r>
        <w:rPr>
          <w:b w:val="0"/>
          <w:i w:val="0"/>
        </w:rPr>
        <w:t xml:space="preserve">, </w:t>
      </w:r>
      <w:hyperlink w:anchor="passage-ii-6-2">
        <w:r>
          <w:rPr>
            <w:color w:val="000000"/>
          </w:rPr>
          <w:t xml:space="preserve">II.6.2</w:t>
        </w:r>
      </w:hyperlink>
      <w:r>
        <w:rPr>
          <w:b w:val="0"/>
          <w:i w:val="0"/>
        </w:rPr>
        <w:t xml:space="preserve">, </w:t>
      </w:r>
      <w:hyperlink w:anchor="passage-ii-7-32">
        <w:r>
          <w:rPr>
            <w:color w:val="000000"/>
          </w:rPr>
          <w:t xml:space="preserve">II.7.32</w:t>
        </w:r>
      </w:hyperlink>
      <w:r>
        <w:rPr>
          <w:b w:val="0"/>
          <w:i w:val="0"/>
        </w:rPr>
        <w:t xml:space="preserve">, </w:t>
      </w:r>
      <w:hyperlink w:anchor="passage-ii-9-14">
        <w:r>
          <w:rPr>
            <w:color w:val="000000"/>
          </w:rPr>
          <w:t xml:space="preserve">II.9.14</w:t>
        </w:r>
      </w:hyperlink>
      <w:r>
        <w:rPr>
          <w:b w:val="0"/>
          <w:i w:val="0"/>
        </w:rPr>
        <w:t xml:space="preserve">. See </w:t>
      </w:r>
      <w:hyperlink w:anchor="cause">
        <w:r>
          <w:rPr>
            <w:color w:val="000000"/>
          </w:rPr>
          <w:t xml:space="preserve">Cause</w:t>
        </w:r>
      </w:hyperlink>
      <w:r>
        <w:rPr>
          <w:b w:val="0"/>
          <w:i w:val="0"/>
        </w:rPr>
        <w:t>.</w:t>
      </w:r>
    </w:p>
    <w:p>
      <w:pPr>
        <w:widowControl/>
      </w:pPr>
      <w:r>
        <w:rPr>
          <w:b w:val="0"/>
          <w:i w:val="0"/>
        </w:rPr>
        <w:t xml:space="preserve">Cause / effect. A cause contains the effect’s form; this establishes the chapter’s demand for intellectual containment before the distinction of will is developed. References: </w:t>
      </w:r>
      <w:hyperlink w:anchor="passage-ii-11-1">
        <w:r>
          <w:rPr>
            <w:color w:val="000000"/>
          </w:rPr>
          <w:t xml:space="preserve">II.11.1</w:t>
        </w:r>
      </w:hyperlink>
      <w:r>
        <w:rPr>
          <w:b w:val="0"/>
          <w:i w:val="0"/>
        </w:rPr>
        <w:t xml:space="preserve">. See </w:t>
      </w:r>
      <w:hyperlink w:anchor="cause">
        <w:r>
          <w:rPr>
            <w:color w:val="000000"/>
          </w:rPr>
          <w:t xml:space="preserve">Cause</w:t>
        </w:r>
      </w:hyperlink>
      <w:r>
        <w:rPr>
          <w:b w:val="0"/>
          <w:i w:val="0"/>
        </w:rPr>
        <w:t>.</w:t>
      </w:r>
    </w:p>
    <w:p>
      <w:pPr>
        <w:keepNext/>
        <w:widowControl/>
      </w:pPr>
      <w:bookmarkStart w:id="405" w:name="latin-record-0154"/>
      <w:bookmarkEnd w:id="405"/>
      <w:r>
        <w:rPr>
          <w:b/>
          <w:i w:val="0"/>
        </w:rPr>
        <w:t>cedere / excedere</w:t>
      </w:r>
      <w:r>
        <w:rPr>
          <w:b/>
          <w:i w:val="0"/>
        </w:rPr>
        <w:t>.</w:t>
      </w:r>
      <w:r>
        <w:rPr>
          <w:b w:val="0"/>
          <w:i w:val="0"/>
        </w:rPr>
        <w:t xml:space="preserve"> Printed forms: </w:t>
      </w:r>
      <w:r>
        <w:rPr>
          <w:b w:val="0"/>
          <w:i/>
        </w:rPr>
        <w:t>cedit</w:t>
      </w:r>
      <w:r>
        <w:rPr>
          <w:b w:val="0"/>
          <w:i w:val="0"/>
        </w:rPr>
        <w:t xml:space="preserve">; </w:t>
      </w:r>
      <w:r>
        <w:rPr>
          <w:b w:val="0"/>
          <w:i/>
        </w:rPr>
        <w:t>excedit</w:t>
      </w:r>
      <w:r>
        <w:rPr>
          <w:b w:val="0"/>
          <w:i w:val="0"/>
        </w:rPr>
        <w:t>.</w:t>
      </w:r>
    </w:p>
    <w:p>
      <w:pPr>
        <w:widowControl/>
      </w:pPr>
      <w:r>
        <w:rPr>
          <w:b w:val="0"/>
          <w:i w:val="0"/>
        </w:rPr>
        <w:t xml:space="preserve">Yield to / surpass. The graded comparison specifies what each rank lacks or possesses relative to its neighbors, then denies that God’s superiority is merely finite. References: </w:t>
      </w:r>
      <w:hyperlink w:anchor="passage-iii-1-20">
        <w:r>
          <w:rPr>
            <w:color w:val="000000"/>
          </w:rPr>
          <w:t xml:space="preserve">III.1.20</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406" w:name="latin-record-0155"/>
      <w:bookmarkEnd w:id="406"/>
      <w:r>
        <w:rPr>
          <w:b/>
          <w:i w:val="0"/>
        </w:rPr>
        <w:t>cedo</w:t>
      </w:r>
      <w:r>
        <w:rPr>
          <w:b/>
          <w:i w:val="0"/>
        </w:rPr>
        <w:t>.</w:t>
      </w:r>
      <w:r>
        <w:rPr>
          <w:b w:val="0"/>
          <w:i w:val="0"/>
        </w:rPr>
        <w:t xml:space="preserve"> Printed forms: </w:t>
      </w:r>
      <w:r>
        <w:rPr>
          <w:b w:val="0"/>
          <w:i/>
        </w:rPr>
        <w:t>cedunt</w:t>
      </w:r>
      <w:r>
        <w:rPr>
          <w:b w:val="0"/>
          <w:i w:val="0"/>
        </w:rPr>
        <w:t>.</w:t>
      </w:r>
    </w:p>
    <w:p>
      <w:pPr>
        <w:widowControl/>
      </w:pPr>
      <w:r>
        <w:rPr>
          <w:b w:val="0"/>
          <w:i w:val="0"/>
        </w:rPr>
        <w:t xml:space="preserve">To yield, here to an authority. The minds described as perverse do not readily yield to divine law’s authority; the description and religious judgement are Ficino’s. References: </w:t>
      </w:r>
      <w:hyperlink w:anchor="passage-proem-8">
        <w:r>
          <w:rPr>
            <w:color w:val="000000"/>
          </w:rPr>
          <w:t xml:space="preserve">Proem.8</w:t>
        </w:r>
      </w:hyperlink>
      <w:r>
        <w:rPr>
          <w:b w:val="0"/>
          <w:i w:val="0"/>
        </w:rPr>
        <w:t xml:space="preserve">. See </w:t>
      </w:r>
      <w:hyperlink w:anchor="assent-approval-and-belief">
        <w:r>
          <w:rPr>
            <w:color w:val="000000"/>
          </w:rPr>
          <w:t xml:space="preserve">Assent, approval and belief</w:t>
        </w:r>
      </w:hyperlink>
      <w:r>
        <w:rPr>
          <w:b w:val="0"/>
          <w:i w:val="0"/>
        </w:rPr>
        <w:t>.</w:t>
      </w:r>
    </w:p>
    <w:p>
      <w:pPr>
        <w:keepNext/>
        <w:widowControl/>
      </w:pPr>
      <w:bookmarkStart w:id="407" w:name="latin-record-0156"/>
      <w:bookmarkEnd w:id="407"/>
      <w:r>
        <w:rPr>
          <w:b/>
          <w:i w:val="0"/>
        </w:rPr>
        <w:t>censeo</w:t>
      </w:r>
      <w:r>
        <w:rPr>
          <w:b/>
          <w:i w:val="0"/>
        </w:rPr>
        <w:t>.</w:t>
      </w:r>
      <w:r>
        <w:rPr>
          <w:b w:val="0"/>
          <w:i w:val="0"/>
        </w:rPr>
        <w:t xml:space="preserve"> Printed forms: </w:t>
      </w:r>
      <w:r>
        <w:rPr>
          <w:b w:val="0"/>
          <w:i/>
        </w:rPr>
        <w:t>censetur</w:t>
      </w:r>
      <w:r>
        <w:rPr>
          <w:b w:val="0"/>
          <w:i w:val="0"/>
        </w:rPr>
        <w:t xml:space="preserve">; </w:t>
      </w:r>
      <w:r>
        <w:rPr>
          <w:b w:val="0"/>
          <w:i/>
        </w:rPr>
        <w:t>censui</w:t>
      </w:r>
      <w:r>
        <w:rPr>
          <w:b w:val="0"/>
          <w:i w:val="0"/>
        </w:rPr>
        <w:t xml:space="preserve">; </w:t>
      </w:r>
      <w:r>
        <w:rPr>
          <w:b w:val="0"/>
          <w:i/>
        </w:rPr>
        <w:t>censuit</w:t>
      </w:r>
      <w:r>
        <w:rPr>
          <w:b w:val="0"/>
          <w:i w:val="0"/>
        </w:rPr>
        <w:t>.</w:t>
      </w:r>
    </w:p>
    <w:p>
      <w:pPr>
        <w:widowControl/>
      </w:pPr>
      <w:r>
        <w:rPr>
          <w:b w:val="0"/>
          <w:i w:val="0"/>
        </w:rPr>
        <w:t xml:space="preserve">To judge or consider, sometimes to assign evaluative standing. Plato is represented as judging a return to God just and pious; Ficino judges his title appropriate; the Good is judged more precious than mind. References: </w:t>
      </w:r>
      <w:hyperlink w:anchor="passage-proem-1">
        <w:r>
          <w:rPr>
            <w:color w:val="000000"/>
          </w:rPr>
          <w:t xml:space="preserve">Proem.1</w:t>
        </w:r>
      </w:hyperlink>
      <w:r>
        <w:rPr>
          <w:b w:val="0"/>
          <w:i w:val="0"/>
        </w:rPr>
        <w:t xml:space="preserve">, </w:t>
      </w:r>
      <w:hyperlink w:anchor="passage-proem-7">
        <w:r>
          <w:rPr>
            <w:color w:val="000000"/>
          </w:rPr>
          <w:t xml:space="preserve">Proem.7</w:t>
        </w:r>
      </w:hyperlink>
      <w:r>
        <w:rPr>
          <w:b w:val="0"/>
          <w:i w:val="0"/>
        </w:rPr>
        <w:t xml:space="preserve">, </w:t>
      </w:r>
      <w:hyperlink w:anchor="passage-i-6-19">
        <w:r>
          <w:rPr>
            <w:color w:val="000000"/>
          </w:rPr>
          <w:t xml:space="preserve">I.6.19</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408" w:name="latin-record-0157"/>
      <w:bookmarkEnd w:id="408"/>
      <w:r>
        <w:rPr>
          <w:b/>
          <w:i w:val="0"/>
        </w:rPr>
        <w:t>centrum / circumspicere</w:t>
      </w:r>
      <w:r>
        <w:rPr>
          <w:b/>
          <w:i w:val="0"/>
        </w:rPr>
        <w:t>.</w:t>
      </w:r>
      <w:r>
        <w:rPr>
          <w:b w:val="0"/>
          <w:i w:val="0"/>
        </w:rPr>
        <w:t xml:space="preserve"> Printed forms: </w:t>
      </w:r>
      <w:r>
        <w:rPr>
          <w:b w:val="0"/>
          <w:i/>
        </w:rPr>
        <w:t>centrum</w:t>
      </w:r>
      <w:r>
        <w:rPr>
          <w:b w:val="0"/>
          <w:i w:val="0"/>
        </w:rPr>
        <w:t xml:space="preserve">; </w:t>
      </w:r>
      <w:r>
        <w:rPr>
          <w:b w:val="0"/>
          <w:i/>
        </w:rPr>
        <w:t>circumspicit</w:t>
      </w:r>
      <w:r>
        <w:rPr>
          <w:b w:val="0"/>
          <w:i w:val="0"/>
        </w:rPr>
        <w:t>.</w:t>
      </w:r>
    </w:p>
    <w:p>
      <w:pPr>
        <w:widowControl/>
      </w:pPr>
      <w:r>
        <w:rPr>
          <w:b w:val="0"/>
          <w:i w:val="0"/>
        </w:rPr>
        <w:t xml:space="preserve">Center / survey all around. The center’s equal regard for the whole circle illustrates unified presence without belonging exclusively to one radius. References: </w:t>
      </w:r>
      <w:hyperlink w:anchor="passage-iii-2-15">
        <w:r>
          <w:rPr>
            <w:color w:val="000000"/>
          </w:rPr>
          <w:t xml:space="preserve">III.2.15</w:t>
        </w:r>
      </w:hyperlink>
      <w:r>
        <w:rPr>
          <w:b w:val="0"/>
          <w:i w:val="0"/>
        </w:rPr>
        <w:t xml:space="preserve">. See </w:t>
      </w:r>
      <w:hyperlink w:anchor="point-and-position">
        <w:r>
          <w:rPr>
            <w:color w:val="000000"/>
          </w:rPr>
          <w:t xml:space="preserve">Point and position</w:t>
        </w:r>
      </w:hyperlink>
      <w:r>
        <w:rPr>
          <w:b w:val="0"/>
          <w:i w:val="0"/>
        </w:rPr>
        <w:t>.</w:t>
      </w:r>
    </w:p>
    <w:p>
      <w:pPr>
        <w:keepNext/>
        <w:widowControl/>
      </w:pPr>
      <w:bookmarkStart w:id="409" w:name="latin-record-0158"/>
      <w:bookmarkEnd w:id="409"/>
      <w:r>
        <w:rPr>
          <w:b/>
          <w:i w:val="0"/>
        </w:rPr>
        <w:t>cerebrum / cor / iecur</w:t>
      </w:r>
      <w:r>
        <w:rPr>
          <w:b/>
          <w:i w:val="0"/>
        </w:rPr>
        <w:t>.</w:t>
      </w:r>
      <w:r>
        <w:rPr>
          <w:b w:val="0"/>
          <w:i w:val="0"/>
        </w:rPr>
        <w:t xml:space="preserve"> Printed forms: </w:t>
      </w:r>
      <w:r>
        <w:rPr>
          <w:b w:val="0"/>
          <w:i/>
        </w:rPr>
        <w:t>cerebro</w:t>
      </w:r>
      <w:r>
        <w:rPr>
          <w:b w:val="0"/>
          <w:i w:val="0"/>
        </w:rPr>
        <w:t xml:space="preserve">; </w:t>
      </w:r>
      <w:r>
        <w:rPr>
          <w:b w:val="0"/>
          <w:i/>
        </w:rPr>
        <w:t>cordi</w:t>
      </w:r>
      <w:r>
        <w:rPr>
          <w:b w:val="0"/>
          <w:i w:val="0"/>
        </w:rPr>
        <w:t xml:space="preserve">; </w:t>
      </w:r>
      <w:r>
        <w:rPr>
          <w:b w:val="0"/>
          <w:i/>
        </w:rPr>
        <w:t>iecori</w:t>
      </w:r>
      <w:r>
        <w:rPr>
          <w:b w:val="0"/>
          <w:i w:val="0"/>
        </w:rPr>
        <w:t>.</w:t>
      </w:r>
    </w:p>
    <w:p>
      <w:pPr>
        <w:widowControl/>
      </w:pPr>
      <w:r>
        <w:rPr>
          <w:b w:val="0"/>
          <w:i w:val="0"/>
        </w:rPr>
        <w:t xml:space="preserve">Brain, heart, and liver. Reason, anger, and desire are assigned to these organs in the reported twelve-life classification. References: </w:t>
      </w:r>
      <w:hyperlink w:anchor="passage-iv-1-44">
        <w:r>
          <w:rPr>
            <w:color w:val="000000"/>
          </w:rPr>
          <w:t xml:space="preserve">IV.1.44</w:t>
        </w:r>
      </w:hyperlink>
      <w:r>
        <w:rPr>
          <w:b w:val="0"/>
          <w:i w:val="0"/>
        </w:rPr>
        <w:t xml:space="preserve">. See </w:t>
      </w:r>
      <w:hyperlink w:anchor="head-heart-and-members">
        <w:r>
          <w:rPr>
            <w:color w:val="000000"/>
          </w:rPr>
          <w:t xml:space="preserve">Head, heart, and members</w:t>
        </w:r>
      </w:hyperlink>
      <w:r>
        <w:rPr>
          <w:b w:val="0"/>
          <w:i w:val="0"/>
        </w:rPr>
        <w:t>.</w:t>
      </w:r>
    </w:p>
    <w:p>
      <w:pPr>
        <w:keepNext/>
        <w:widowControl/>
      </w:pPr>
      <w:bookmarkStart w:id="410" w:name="latin-record-0159"/>
      <w:bookmarkEnd w:id="410"/>
      <w:r>
        <w:rPr>
          <w:b/>
          <w:i w:val="0"/>
        </w:rPr>
        <w:t>cernere / respicere</w:t>
      </w:r>
      <w:r>
        <w:rPr>
          <w:b/>
          <w:i w:val="0"/>
        </w:rPr>
        <w:t>.</w:t>
      </w:r>
      <w:r>
        <w:rPr>
          <w:b w:val="0"/>
          <w:i w:val="0"/>
        </w:rPr>
        <w:t xml:space="preserve"> Printed forms: </w:t>
      </w:r>
      <w:r>
        <w:rPr>
          <w:b w:val="0"/>
          <w:i/>
        </w:rPr>
        <w:t>cernere</w:t>
      </w:r>
      <w:r>
        <w:rPr>
          <w:b w:val="0"/>
          <w:i w:val="0"/>
        </w:rPr>
        <w:t xml:space="preserve">; </w:t>
      </w:r>
      <w:r>
        <w:rPr>
          <w:b w:val="0"/>
          <w:i/>
        </w:rPr>
        <w:t>respiciunt</w:t>
      </w:r>
      <w:r>
        <w:rPr>
          <w:b w:val="0"/>
          <w:i w:val="0"/>
        </w:rPr>
        <w:t>.</w:t>
      </w:r>
    </w:p>
    <w:p>
      <w:pPr>
        <w:widowControl/>
      </w:pPr>
      <w:r>
        <w:rPr>
          <w:b w:val="0"/>
          <w:i w:val="0"/>
        </w:rPr>
        <w:t xml:space="preserve">To discern or turn one’s attention toward. Minds fail to look toward their own light in the exhortation, while the proposed demonstration aims to make them discern immortality; seeing is cognitive in these objects. References: </w:t>
      </w:r>
      <w:hyperlink w:anchor="passage-i-1-2">
        <w:r>
          <w:rPr>
            <w:color w:val="000000"/>
          </w:rPr>
          <w:t xml:space="preserve">I.1.2</w:t>
        </w:r>
      </w:hyperlink>
      <w:r>
        <w:rPr>
          <w:b w:val="0"/>
          <w:i w:val="0"/>
        </w:rPr>
        <w:t xml:space="preserve">, </w:t>
      </w:r>
      <w:hyperlink w:anchor="passage-i-1-3">
        <w:r>
          <w:rPr>
            <w:color w:val="000000"/>
          </w:rPr>
          <w:t xml:space="preserve">I.1.3</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411" w:name="latin-record-0160"/>
      <w:bookmarkEnd w:id="411"/>
      <w:r>
        <w:rPr>
          <w:b/>
          <w:i w:val="0"/>
        </w:rPr>
        <w:t>certo / certus</w:t>
      </w:r>
      <w:r>
        <w:rPr>
          <w:b/>
          <w:i w:val="0"/>
        </w:rPr>
        <w:t>.</w:t>
      </w:r>
      <w:r>
        <w:rPr>
          <w:b w:val="0"/>
          <w:i w:val="0"/>
        </w:rPr>
        <w:t xml:space="preserve"> Printed forms: </w:t>
      </w:r>
      <w:r>
        <w:rPr>
          <w:b w:val="0"/>
          <w:i/>
        </w:rPr>
        <w:t>certa</w:t>
      </w:r>
      <w:r>
        <w:rPr>
          <w:b w:val="0"/>
          <w:i w:val="0"/>
        </w:rPr>
        <w:t xml:space="preserve">; </w:t>
      </w:r>
      <w:r>
        <w:rPr>
          <w:b w:val="0"/>
          <w:i/>
        </w:rPr>
        <w:t>certas</w:t>
      </w:r>
      <w:r>
        <w:rPr>
          <w:b w:val="0"/>
          <w:i w:val="0"/>
        </w:rPr>
        <w:t xml:space="preserve">; </w:t>
      </w:r>
      <w:r>
        <w:rPr>
          <w:b w:val="0"/>
          <w:i/>
        </w:rPr>
        <w:t>certis</w:t>
      </w:r>
      <w:r>
        <w:rPr>
          <w:b w:val="0"/>
          <w:i w:val="0"/>
        </w:rPr>
        <w:t xml:space="preserve">; </w:t>
      </w:r>
      <w:r>
        <w:rPr>
          <w:b w:val="0"/>
          <w:i/>
        </w:rPr>
        <w:t>certo</w:t>
      </w:r>
      <w:r>
        <w:rPr>
          <w:b w:val="0"/>
          <w:i w:val="0"/>
        </w:rPr>
        <w:t xml:space="preserve">; </w:t>
      </w:r>
      <w:r>
        <w:rPr>
          <w:b w:val="0"/>
          <w:i/>
        </w:rPr>
        <w:t>certum</w:t>
      </w:r>
      <w:r>
        <w:rPr>
          <w:b w:val="0"/>
          <w:i w:val="0"/>
        </w:rPr>
        <w:t>.</w:t>
      </w:r>
    </w:p>
    <w:p>
      <w:pPr>
        <w:widowControl/>
      </w:pPr>
      <w:r>
        <w:rPr>
          <w:b w:val="0"/>
          <w:i w:val="0"/>
        </w:rPr>
        <w:t xml:space="preserve">Definite, determinate, or fixed in the relevant respect. Specific causes and effects differ from the fixed number and time-span invoked in the recurrence argument. References: </w:t>
      </w:r>
      <w:hyperlink w:anchor="passage-iv-1-6">
        <w:r>
          <w:rPr>
            <w:color w:val="000000"/>
          </w:rPr>
          <w:t xml:space="preserve">IV.1.6</w:t>
        </w:r>
      </w:hyperlink>
      <w:r>
        <w:rPr>
          <w:b w:val="0"/>
          <w:i w:val="0"/>
        </w:rPr>
        <w:t xml:space="preserve">, </w:t>
      </w:r>
      <w:hyperlink w:anchor="passage-iv-1-11">
        <w:r>
          <w:rPr>
            <w:color w:val="000000"/>
          </w:rPr>
          <w:t xml:space="preserve">IV.1.11</w:t>
        </w:r>
      </w:hyperlink>
      <w:r>
        <w:rPr>
          <w:b w:val="0"/>
          <w:i w:val="0"/>
        </w:rPr>
        <w:t xml:space="preserve">, </w:t>
      </w:r>
      <w:hyperlink w:anchor="passage-iv-1-12">
        <w:r>
          <w:rPr>
            <w:color w:val="000000"/>
          </w:rPr>
          <w:t xml:space="preserve">IV.1.12</w:t>
        </w:r>
      </w:hyperlink>
      <w:r>
        <w:rPr>
          <w:b w:val="0"/>
          <w:i w:val="0"/>
        </w:rPr>
        <w:t xml:space="preserve">, </w:t>
      </w:r>
      <w:hyperlink w:anchor="passage-iv-2-12">
        <w:r>
          <w:rPr>
            <w:color w:val="000000"/>
          </w:rPr>
          <w:t xml:space="preserve">IV.2.12</w:t>
        </w:r>
      </w:hyperlink>
      <w:r>
        <w:rPr>
          <w:b w:val="0"/>
          <w:i w:val="0"/>
        </w:rPr>
        <w:t xml:space="preserve">. See </w:t>
      </w:r>
      <w:hyperlink w:anchor="contraction-and-determination">
        <w:r>
          <w:rPr>
            <w:color w:val="000000"/>
          </w:rPr>
          <w:t xml:space="preserve">Contraction and determination</w:t>
        </w:r>
      </w:hyperlink>
      <w:r>
        <w:rPr>
          <w:b w:val="0"/>
          <w:i w:val="0"/>
        </w:rPr>
        <w:t>.</w:t>
      </w:r>
    </w:p>
    <w:p>
      <w:pPr>
        <w:keepNext/>
        <w:widowControl/>
      </w:pPr>
      <w:bookmarkStart w:id="412" w:name="latin-record-0161"/>
      <w:bookmarkEnd w:id="412"/>
      <w:r>
        <w:rPr>
          <w:b/>
          <w:i w:val="0"/>
        </w:rPr>
        <w:t>certus / assignare / limitare</w:t>
      </w:r>
      <w:r>
        <w:rPr>
          <w:b/>
          <w:i w:val="0"/>
        </w:rPr>
        <w:t>.</w:t>
      </w:r>
      <w:r>
        <w:rPr>
          <w:b w:val="0"/>
          <w:i w:val="0"/>
        </w:rPr>
        <w:t xml:space="preserve"> Printed forms: </w:t>
      </w:r>
      <w:r>
        <w:rPr>
          <w:b w:val="0"/>
          <w:i/>
        </w:rPr>
        <w:t>assignari</w:t>
      </w:r>
      <w:r>
        <w:rPr>
          <w:b w:val="0"/>
          <w:i w:val="0"/>
        </w:rPr>
        <w:t xml:space="preserve">; </w:t>
      </w:r>
      <w:r>
        <w:rPr>
          <w:b w:val="0"/>
          <w:i/>
        </w:rPr>
        <w:t>assignatam</w:t>
      </w:r>
      <w:r>
        <w:rPr>
          <w:b w:val="0"/>
          <w:i w:val="0"/>
        </w:rPr>
        <w:t xml:space="preserve">; </w:t>
      </w:r>
      <w:r>
        <w:rPr>
          <w:b w:val="0"/>
          <w:i/>
        </w:rPr>
        <w:t>certo</w:t>
      </w:r>
      <w:r>
        <w:rPr>
          <w:b w:val="0"/>
          <w:i w:val="0"/>
        </w:rPr>
        <w:t xml:space="preserve">; </w:t>
      </w:r>
      <w:r>
        <w:rPr>
          <w:b w:val="0"/>
          <w:i/>
        </w:rPr>
        <w:t>limites</w:t>
      </w:r>
      <w:r>
        <w:rPr>
          <w:b w:val="0"/>
          <w:i w:val="0"/>
        </w:rPr>
        <w:t>.</w:t>
      </w:r>
    </w:p>
    <w:p>
      <w:pPr>
        <w:widowControl/>
      </w:pPr>
      <w:r>
        <w:rPr>
          <w:b w:val="0"/>
          <w:i w:val="0"/>
        </w:rPr>
        <w:t xml:space="preserve">Determinate or fixed; to assign a boundary, dimension, or first moment. Assigned limits distinguish finite kinds and positions; the eternal-world supposition excludes an assignable first reception of being. References: </w:t>
      </w:r>
      <w:hyperlink w:anchor="passage-ii-2-7">
        <w:r>
          <w:rPr>
            <w:color w:val="000000"/>
          </w:rPr>
          <w:t xml:space="preserve">II.2.7</w:t>
        </w:r>
      </w:hyperlink>
      <w:r>
        <w:rPr>
          <w:b w:val="0"/>
          <w:i w:val="0"/>
        </w:rPr>
        <w:t xml:space="preserve">, </w:t>
      </w:r>
      <w:hyperlink w:anchor="passage-ii-6-12">
        <w:r>
          <w:rPr>
            <w:color w:val="000000"/>
          </w:rPr>
          <w:t xml:space="preserve">II.6.12</w:t>
        </w:r>
      </w:hyperlink>
      <w:r>
        <w:rPr>
          <w:b w:val="0"/>
          <w:i w:val="0"/>
        </w:rPr>
        <w:t xml:space="preserve">, </w:t>
      </w:r>
      <w:hyperlink w:anchor="passage-ii-6-23">
        <w:r>
          <w:rPr>
            <w:color w:val="000000"/>
          </w:rPr>
          <w:t xml:space="preserve">II.6.23</w:t>
        </w:r>
      </w:hyperlink>
      <w:r>
        <w:rPr>
          <w:b w:val="0"/>
          <w:i w:val="0"/>
        </w:rPr>
        <w:t xml:space="preserve">, </w:t>
      </w:r>
      <w:hyperlink w:anchor="passage-ii-7-18">
        <w:r>
          <w:rPr>
            <w:color w:val="000000"/>
          </w:rPr>
          <w:t xml:space="preserve">II.7.18</w:t>
        </w:r>
      </w:hyperlink>
      <w:r>
        <w:rPr>
          <w:b w:val="0"/>
          <w:i w:val="0"/>
        </w:rPr>
        <w:t xml:space="preserve">. See </w:t>
      </w:r>
      <w:hyperlink w:anchor="bounds-and-restriction">
        <w:r>
          <w:rPr>
            <w:color w:val="000000"/>
          </w:rPr>
          <w:t xml:space="preserve">Bounds and restriction</w:t>
        </w:r>
      </w:hyperlink>
      <w:r>
        <w:rPr>
          <w:b w:val="0"/>
          <w:i w:val="0"/>
        </w:rPr>
        <w:t>.</w:t>
      </w:r>
    </w:p>
    <w:p>
      <w:pPr>
        <w:keepNext/>
        <w:widowControl/>
      </w:pPr>
      <w:bookmarkStart w:id="413" w:name="latin-record-0162"/>
      <w:bookmarkEnd w:id="413"/>
      <w:r>
        <w:rPr>
          <w:b/>
          <w:i w:val="0"/>
        </w:rPr>
        <w:t>certus / incertus</w:t>
      </w:r>
      <w:r>
        <w:rPr>
          <w:b/>
          <w:i w:val="0"/>
        </w:rPr>
        <w:t>.</w:t>
      </w:r>
      <w:r>
        <w:rPr>
          <w:b w:val="0"/>
          <w:i w:val="0"/>
        </w:rPr>
        <w:t xml:space="preserve"> Printed forms: </w:t>
      </w:r>
      <w:r>
        <w:rPr>
          <w:b w:val="0"/>
          <w:i/>
        </w:rPr>
        <w:t>certa</w:t>
      </w:r>
      <w:r>
        <w:rPr>
          <w:b w:val="0"/>
          <w:i w:val="0"/>
        </w:rPr>
        <w:t xml:space="preserve">; </w:t>
      </w:r>
      <w:r>
        <w:rPr>
          <w:b w:val="0"/>
          <w:i/>
        </w:rPr>
        <w:t>certis</w:t>
      </w:r>
      <w:r>
        <w:rPr>
          <w:b w:val="0"/>
          <w:i w:val="0"/>
        </w:rPr>
        <w:t xml:space="preserve">; </w:t>
      </w:r>
      <w:r>
        <w:rPr>
          <w:b w:val="0"/>
          <w:i/>
        </w:rPr>
        <w:t>incerta</w:t>
      </w:r>
      <w:r>
        <w:rPr>
          <w:b w:val="0"/>
          <w:i w:val="0"/>
        </w:rPr>
        <w:t>.</w:t>
      </w:r>
    </w:p>
    <w:p>
      <w:pPr>
        <w:widowControl/>
      </w:pPr>
      <w:r>
        <w:rPr>
          <w:b w:val="0"/>
          <w:i w:val="0"/>
        </w:rPr>
        <w:t xml:space="preserve">Determinate or fixed, and indeterminate. Natural forms require determinate matter while mathematical forms need only indeterminate matter; this is a distinction of dependence, not confidence versus doubt. References: </w:t>
      </w:r>
      <w:hyperlink w:anchor="passage-i-3-12">
        <w:r>
          <w:rPr>
            <w:color w:val="000000"/>
          </w:rPr>
          <w:t xml:space="preserve">I.3.12</w:t>
        </w:r>
      </w:hyperlink>
      <w:r>
        <w:rPr>
          <w:b w:val="0"/>
          <w:i w:val="0"/>
        </w:rPr>
        <w:t xml:space="preserve">. See </w:t>
      </w:r>
      <w:hyperlink w:anchor="point-position-and-mathematical-ascent">
        <w:r>
          <w:rPr>
            <w:color w:val="000000"/>
          </w:rPr>
          <w:t xml:space="preserve">Point, position and mathematical ascent</w:t>
        </w:r>
      </w:hyperlink>
      <w:r>
        <w:rPr>
          <w:b w:val="0"/>
          <w:i w:val="0"/>
        </w:rPr>
        <w:t>.</w:t>
      </w:r>
    </w:p>
    <w:p>
      <w:pPr>
        <w:keepNext/>
        <w:widowControl/>
      </w:pPr>
      <w:bookmarkStart w:id="414" w:name="latin-record-0163"/>
      <w:bookmarkEnd w:id="414"/>
      <w:r>
        <w:rPr>
          <w:b/>
          <w:i w:val="0"/>
        </w:rPr>
        <w:t>certus / plenus</w:t>
      </w:r>
      <w:r>
        <w:rPr>
          <w:b/>
          <w:i w:val="0"/>
        </w:rPr>
        <w:t>.</w:t>
      </w:r>
      <w:r>
        <w:rPr>
          <w:b w:val="0"/>
          <w:i w:val="0"/>
        </w:rPr>
        <w:t xml:space="preserve"> Printed forms: </w:t>
      </w:r>
      <w:r>
        <w:rPr>
          <w:b w:val="0"/>
          <w:i/>
        </w:rPr>
        <w:t>certa</w:t>
      </w:r>
      <w:r>
        <w:rPr>
          <w:b w:val="0"/>
          <w:i w:val="0"/>
        </w:rPr>
        <w:t xml:space="preserve">; </w:t>
      </w:r>
      <w:r>
        <w:rPr>
          <w:b w:val="0"/>
          <w:i/>
        </w:rPr>
        <w:t>plenissima</w:t>
      </w:r>
      <w:r>
        <w:rPr>
          <w:b w:val="0"/>
          <w:i w:val="0"/>
        </w:rPr>
        <w:t xml:space="preserve">; </w:t>
      </w:r>
      <w:r>
        <w:rPr>
          <w:b w:val="0"/>
          <w:i/>
        </w:rPr>
        <w:t>plenus</w:t>
      </w:r>
      <w:r>
        <w:rPr>
          <w:b w:val="0"/>
          <w:i w:val="0"/>
        </w:rPr>
        <w:t>.</w:t>
      </w:r>
    </w:p>
    <w:p>
      <w:pPr>
        <w:widowControl/>
      </w:pPr>
      <w:r>
        <w:rPr>
          <w:b w:val="0"/>
          <w:i w:val="0"/>
        </w:rPr>
        <w:t xml:space="preserve">Certain or full; completion rather than an unspecified volume. Self-knowledge is described as certain, without need, and complete because knower and object are nearest. References: </w:t>
      </w:r>
      <w:hyperlink w:anchor="passage-ii-3-9">
        <w:r>
          <w:rPr>
            <w:color w:val="000000"/>
          </w:rPr>
          <w:t xml:space="preserve">II.3.9</w:t>
        </w:r>
      </w:hyperlink>
      <w:r>
        <w:rPr>
          <w:b w:val="0"/>
          <w:i w:val="0"/>
        </w:rPr>
        <w:t xml:space="preserve">, </w:t>
      </w:r>
      <w:hyperlink w:anchor="passage-ii-9-8">
        <w:r>
          <w:rPr>
            <w:color w:val="000000"/>
          </w:rPr>
          <w:t xml:space="preserve">II.9.8</w:t>
        </w:r>
      </w:hyperlink>
      <w:r>
        <w:rPr>
          <w:b w:val="0"/>
          <w:i w:val="0"/>
        </w:rPr>
        <w:t xml:space="preserve">. See </w:t>
      </w:r>
      <w:hyperlink w:anchor="self-knowledge">
        <w:r>
          <w:rPr>
            <w:color w:val="000000"/>
          </w:rPr>
          <w:t xml:space="preserve">Self knowledge</w:t>
        </w:r>
      </w:hyperlink>
      <w:r>
        <w:rPr>
          <w:b w:val="0"/>
          <w:i w:val="0"/>
        </w:rPr>
        <w:t>.</w:t>
      </w:r>
    </w:p>
    <w:p>
      <w:pPr>
        <w:keepNext/>
        <w:widowControl/>
      </w:pPr>
      <w:bookmarkStart w:id="415" w:name="latin-record-0164"/>
      <w:bookmarkEnd w:id="415"/>
      <w:r>
        <w:rPr>
          <w:b/>
          <w:i w:val="0"/>
        </w:rPr>
        <w:t>cessare</w:t>
      </w:r>
      <w:r>
        <w:rPr>
          <w:b/>
          <w:i w:val="0"/>
        </w:rPr>
        <w:t>.</w:t>
      </w:r>
      <w:r>
        <w:rPr>
          <w:b w:val="0"/>
          <w:i w:val="0"/>
        </w:rPr>
        <w:t xml:space="preserve"> Printed forms: </w:t>
      </w:r>
      <w:r>
        <w:rPr>
          <w:b w:val="0"/>
          <w:i/>
        </w:rPr>
        <w:t>cessaret</w:t>
      </w:r>
      <w:r>
        <w:rPr>
          <w:b w:val="0"/>
          <w:i w:val="0"/>
        </w:rPr>
        <w:t>.</w:t>
      </w:r>
    </w:p>
    <w:p>
      <w:pPr>
        <w:widowControl/>
      </w:pPr>
      <w:r>
        <w:rPr>
          <w:b w:val="0"/>
          <w:i w:val="0"/>
        </w:rPr>
        <w:t xml:space="preserve">To cease an activity. Removing life would stop the world’s movement in Ficino’s argument, contrasted with removing goodness and thereby being itself. References: </w:t>
      </w:r>
      <w:hyperlink w:anchor="passage-ii-6-5">
        <w:r>
          <w:rPr>
            <w:color w:val="000000"/>
          </w:rPr>
          <w:t xml:space="preserve">II.6.5</w:t>
        </w:r>
      </w:hyperlink>
      <w:r>
        <w:rPr>
          <w:b w:val="0"/>
          <w:i w:val="0"/>
        </w:rPr>
        <w:t xml:space="preserve">. See </w:t>
      </w:r>
      <w:hyperlink w:anchor="life">
        <w:r>
          <w:rPr>
            <w:color w:val="000000"/>
          </w:rPr>
          <w:t xml:space="preserve">Life</w:t>
        </w:r>
      </w:hyperlink>
      <w:r>
        <w:rPr>
          <w:b w:val="0"/>
          <w:i w:val="0"/>
        </w:rPr>
        <w:t>.</w:t>
      </w:r>
    </w:p>
    <w:p>
      <w:pPr>
        <w:keepNext/>
        <w:widowControl/>
      </w:pPr>
      <w:bookmarkStart w:id="416" w:name="latin-record-0165"/>
      <w:bookmarkEnd w:id="416"/>
      <w:r>
        <w:rPr>
          <w:b/>
          <w:i w:val="0"/>
        </w:rPr>
        <w:t>chorea / modulus / cithara</w:t>
      </w:r>
      <w:r>
        <w:rPr>
          <w:b/>
          <w:i w:val="0"/>
        </w:rPr>
        <w:t>.</w:t>
      </w:r>
      <w:r>
        <w:rPr>
          <w:b w:val="0"/>
          <w:i w:val="0"/>
        </w:rPr>
        <w:t xml:space="preserve"> Printed forms: </w:t>
      </w:r>
      <w:r>
        <w:rPr>
          <w:b w:val="0"/>
          <w:i/>
        </w:rPr>
        <w:t>chorea</w:t>
      </w:r>
      <w:r>
        <w:rPr>
          <w:b w:val="0"/>
          <w:i w:val="0"/>
        </w:rPr>
        <w:t xml:space="preserve">; </w:t>
      </w:r>
      <w:r>
        <w:rPr>
          <w:b w:val="0"/>
          <w:i/>
        </w:rPr>
        <w:t>cithara</w:t>
      </w:r>
      <w:r>
        <w:rPr>
          <w:b w:val="0"/>
          <w:i w:val="0"/>
        </w:rPr>
        <w:t xml:space="preserve">; </w:t>
      </w:r>
      <w:r>
        <w:rPr>
          <w:b w:val="0"/>
          <w:i/>
        </w:rPr>
        <w:t>modulis</w:t>
      </w:r>
      <w:r>
        <w:rPr>
          <w:b w:val="0"/>
          <w:i w:val="0"/>
        </w:rPr>
        <w:t>.</w:t>
      </w:r>
    </w:p>
    <w:p>
      <w:pPr>
        <w:widowControl/>
      </w:pPr>
      <w:r>
        <w:rPr>
          <w:b w:val="0"/>
          <w:i w:val="0"/>
        </w:rPr>
        <w:t xml:space="preserve">Dancing chorus, musical measures, and lyre. The closing Pythagorean image depicts orderly perpetual activity under Apollo’s command. References: </w:t>
      </w:r>
      <w:hyperlink w:anchor="passage-iv-1-52">
        <w:r>
          <w:rPr>
            <w:color w:val="000000"/>
          </w:rPr>
          <w:t xml:space="preserve">IV.1.52</w:t>
        </w:r>
      </w:hyperlink>
      <w:r>
        <w:rPr>
          <w:b w:val="0"/>
          <w:i w:val="0"/>
        </w:rPr>
        <w:t xml:space="preserve">. See </w:t>
      </w:r>
      <w:hyperlink w:anchor="bacchus-and-the-muses">
        <w:r>
          <w:rPr>
            <w:color w:val="000000"/>
          </w:rPr>
          <w:t xml:space="preserve">Bacchus and the Muses</w:t>
        </w:r>
      </w:hyperlink>
      <w:r>
        <w:rPr>
          <w:b w:val="0"/>
          <w:i w:val="0"/>
        </w:rPr>
        <w:t>.</w:t>
      </w:r>
    </w:p>
    <w:p>
      <w:pPr>
        <w:keepNext/>
        <w:widowControl/>
      </w:pPr>
      <w:bookmarkStart w:id="417" w:name="latin-record-0166"/>
      <w:bookmarkEnd w:id="417"/>
      <w:r>
        <w:rPr>
          <w:b/>
          <w:i w:val="0"/>
        </w:rPr>
        <w:t>circuitus</w:t>
      </w:r>
      <w:r>
        <w:rPr>
          <w:b/>
          <w:i w:val="0"/>
        </w:rPr>
        <w:t>.</w:t>
      </w:r>
      <w:r>
        <w:rPr>
          <w:b w:val="0"/>
          <w:i w:val="0"/>
        </w:rPr>
        <w:t xml:space="preserve"> Printed forms: </w:t>
      </w:r>
      <w:r>
        <w:rPr>
          <w:b w:val="0"/>
          <w:i/>
        </w:rPr>
        <w:t>Circuitus</w:t>
      </w:r>
      <w:r>
        <w:rPr>
          <w:b w:val="0"/>
          <w:i w:val="0"/>
        </w:rPr>
        <w:t xml:space="preserve">; </w:t>
      </w:r>
      <w:r>
        <w:rPr>
          <w:b w:val="0"/>
          <w:i/>
        </w:rPr>
        <w:t>circuitus</w:t>
      </w:r>
      <w:r>
        <w:rPr>
          <w:b w:val="0"/>
          <w:i w:val="0"/>
        </w:rPr>
        <w:t>.</w:t>
      </w:r>
    </w:p>
    <w:p>
      <w:pPr>
        <w:widowControl/>
      </w:pPr>
      <w:r>
        <w:rPr>
          <w:b w:val="0"/>
          <w:i w:val="0"/>
        </w:rPr>
        <w:t xml:space="preserve">Circuit or circular movement. Circularity unites origin and end and supplies the model of soul’s continuing return into itself; Ficino assumes bounded space. References: </w:t>
      </w:r>
      <w:hyperlink w:anchor="passage-iii-2-25">
        <w:r>
          <w:rPr>
            <w:color w:val="000000"/>
          </w:rPr>
          <w:t xml:space="preserve">III.2.25</w:t>
        </w:r>
      </w:hyperlink>
      <w:r>
        <w:rPr>
          <w:b w:val="0"/>
          <w:i w:val="0"/>
        </w:rPr>
        <w:t xml:space="preserve">, </w:t>
      </w:r>
      <w:hyperlink w:anchor="passage-iii-2-26">
        <w:r>
          <w:rPr>
            <w:color w:val="000000"/>
          </w:rPr>
          <w:t xml:space="preserve">III.2.26</w:t>
        </w:r>
      </w:hyperlink>
      <w:r>
        <w:rPr>
          <w:b w:val="0"/>
          <w:i w:val="0"/>
        </w:rPr>
        <w:t xml:space="preserve">. See </w:t>
      </w:r>
      <w:hyperlink w:anchor="circularity-and-return">
        <w:r>
          <w:rPr>
            <w:color w:val="000000"/>
          </w:rPr>
          <w:t xml:space="preserve">Circularity and return</w:t>
        </w:r>
      </w:hyperlink>
      <w:r>
        <w:rPr>
          <w:b w:val="0"/>
          <w:i w:val="0"/>
        </w:rPr>
        <w:t>.</w:t>
      </w:r>
    </w:p>
    <w:p>
      <w:pPr>
        <w:keepNext/>
        <w:widowControl/>
      </w:pPr>
      <w:bookmarkStart w:id="418" w:name="latin-record-0167"/>
      <w:bookmarkEnd w:id="418"/>
      <w:r>
        <w:rPr>
          <w:b/>
          <w:i w:val="0"/>
        </w:rPr>
        <w:t>circulus / circuitus</w:t>
      </w:r>
      <w:r>
        <w:rPr>
          <w:b/>
          <w:i w:val="0"/>
        </w:rPr>
        <w:t>.</w:t>
      </w:r>
      <w:r>
        <w:rPr>
          <w:b w:val="0"/>
          <w:i w:val="0"/>
        </w:rPr>
        <w:t xml:space="preserve"> Printed forms: </w:t>
      </w:r>
      <w:r>
        <w:rPr>
          <w:b w:val="0"/>
          <w:i/>
        </w:rPr>
        <w:t>circuitus</w:t>
      </w:r>
      <w:r>
        <w:rPr>
          <w:b w:val="0"/>
          <w:i w:val="0"/>
        </w:rPr>
        <w:t xml:space="preserve">; </w:t>
      </w:r>
      <w:r>
        <w:rPr>
          <w:b w:val="0"/>
          <w:i/>
        </w:rPr>
        <w:t>circulus</w:t>
      </w:r>
      <w:r>
        <w:rPr>
          <w:b w:val="0"/>
          <w:i w:val="0"/>
        </w:rPr>
        <w:t>.</w:t>
      </w:r>
    </w:p>
    <w:p>
      <w:pPr>
        <w:widowControl/>
      </w:pPr>
      <w:r>
        <w:rPr>
          <w:b w:val="0"/>
          <w:i w:val="0"/>
        </w:rPr>
        <w:t xml:space="preserve">Circle; circuit or return. God, angel, and soul receive different nonbodily circular descriptions before physical heaven imitates them. References: </w:t>
      </w:r>
      <w:hyperlink w:anchor="passage-iv-2-21">
        <w:r>
          <w:rPr>
            <w:color w:val="000000"/>
          </w:rPr>
          <w:t xml:space="preserve">IV.2.21</w:t>
        </w:r>
      </w:hyperlink>
      <w:r>
        <w:rPr>
          <w:b w:val="0"/>
          <w:i w:val="0"/>
        </w:rPr>
        <w:t xml:space="preserve">. See </w:t>
      </w:r>
      <w:hyperlink w:anchor="circularity-and-return">
        <w:r>
          <w:rPr>
            <w:color w:val="000000"/>
          </w:rPr>
          <w:t xml:space="preserve">Circularity and return</w:t>
        </w:r>
      </w:hyperlink>
      <w:r>
        <w:rPr>
          <w:b w:val="0"/>
          <w:i w:val="0"/>
        </w:rPr>
        <w:t>.</w:t>
      </w:r>
    </w:p>
    <w:p>
      <w:pPr>
        <w:keepNext/>
        <w:widowControl/>
      </w:pPr>
      <w:bookmarkStart w:id="419" w:name="latin-record-0168"/>
      <w:bookmarkEnd w:id="419"/>
      <w:r>
        <w:rPr>
          <w:b/>
          <w:i w:val="0"/>
        </w:rPr>
        <w:t>circumcurrere</w:t>
      </w:r>
      <w:r>
        <w:rPr>
          <w:b/>
          <w:i w:val="0"/>
        </w:rPr>
        <w:t>.</w:t>
      </w:r>
      <w:r>
        <w:rPr>
          <w:b w:val="0"/>
          <w:i w:val="0"/>
        </w:rPr>
        <w:t xml:space="preserve"> Printed forms: </w:t>
      </w:r>
      <w:r>
        <w:rPr>
          <w:b w:val="0"/>
          <w:i/>
        </w:rPr>
        <w:t>circumcurrit</w:t>
      </w:r>
      <w:r>
        <w:rPr>
          <w:b w:val="0"/>
          <w:i w:val="0"/>
        </w:rPr>
        <w:t>.</w:t>
      </w:r>
    </w:p>
    <w:p>
      <w:pPr>
        <w:widowControl/>
      </w:pPr>
      <w:r>
        <w:rPr>
          <w:b w:val="0"/>
          <w:i w:val="0"/>
        </w:rPr>
        <w:t xml:space="preserve">To run a circuit together with the body. Celestial life accompanies bodily motion in some manner, distinguishing it from wholly unmoved angel. References: </w:t>
      </w:r>
      <w:hyperlink w:anchor="passage-iv-1-64">
        <w:r>
          <w:rPr>
            <w:color w:val="000000"/>
          </w:rPr>
          <w:t xml:space="preserve">IV.1.64</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420" w:name="latin-record-0169"/>
      <w:bookmarkEnd w:id="420"/>
      <w:r>
        <w:rPr>
          <w:b/>
          <w:i w:val="0"/>
        </w:rPr>
        <w:t>circumscribere / coarctare</w:t>
      </w:r>
      <w:r>
        <w:rPr>
          <w:b/>
          <w:i w:val="0"/>
        </w:rPr>
        <w:t>.</w:t>
      </w:r>
      <w:r>
        <w:rPr>
          <w:b w:val="0"/>
          <w:i w:val="0"/>
        </w:rPr>
        <w:t xml:space="preserve"> Printed forms: </w:t>
      </w:r>
      <w:r>
        <w:rPr>
          <w:b w:val="0"/>
          <w:i/>
        </w:rPr>
        <w:t>angustiis</w:t>
      </w:r>
      <w:r>
        <w:rPr>
          <w:b w:val="0"/>
          <w:i w:val="0"/>
        </w:rPr>
        <w:t xml:space="preserve">; </w:t>
      </w:r>
      <w:r>
        <w:rPr>
          <w:b w:val="0"/>
          <w:i/>
        </w:rPr>
        <w:t>circumscribitur</w:t>
      </w:r>
      <w:r>
        <w:rPr>
          <w:b w:val="0"/>
          <w:i w:val="0"/>
        </w:rPr>
        <w:t xml:space="preserve">; </w:t>
      </w:r>
      <w:r>
        <w:rPr>
          <w:b w:val="0"/>
          <w:i/>
        </w:rPr>
        <w:t>coarctatur</w:t>
      </w:r>
      <w:r>
        <w:rPr>
          <w:b w:val="0"/>
          <w:i w:val="0"/>
        </w:rPr>
        <w:t>.</w:t>
      </w:r>
    </w:p>
    <w:p>
      <w:pPr>
        <w:widowControl/>
      </w:pPr>
      <w:r>
        <w:rPr>
          <w:b w:val="0"/>
          <w:i w:val="0"/>
        </w:rPr>
        <w:t xml:space="preserve">To circumscribe or constrain within narrow bounds. A nature received in others is limited, unlike unity subsisting without any restricting boundary. References: </w:t>
      </w:r>
      <w:hyperlink w:anchor="passage-ii-2-4">
        <w:r>
          <w:rPr>
            <w:color w:val="000000"/>
          </w:rPr>
          <w:t xml:space="preserve">II.2.4</w:t>
        </w:r>
      </w:hyperlink>
      <w:r>
        <w:rPr>
          <w:b w:val="0"/>
          <w:i w:val="0"/>
        </w:rPr>
        <w:t xml:space="preserve">. See </w:t>
      </w:r>
      <w:hyperlink w:anchor="bounds-and-restriction">
        <w:r>
          <w:rPr>
            <w:color w:val="000000"/>
          </w:rPr>
          <w:t xml:space="preserve">Bounds and restriction</w:t>
        </w:r>
      </w:hyperlink>
      <w:r>
        <w:rPr>
          <w:b w:val="0"/>
          <w:i w:val="0"/>
        </w:rPr>
        <w:t>.</w:t>
      </w:r>
    </w:p>
    <w:p>
      <w:pPr>
        <w:keepNext/>
        <w:widowControl/>
      </w:pPr>
      <w:bookmarkStart w:id="421" w:name="latin-record-0170"/>
      <w:bookmarkEnd w:id="421"/>
      <w:r>
        <w:rPr>
          <w:b/>
          <w:i w:val="0"/>
        </w:rPr>
        <w:t>clamare / reclamare / persuadere</w:t>
      </w:r>
      <w:r>
        <w:rPr>
          <w:b/>
          <w:i w:val="0"/>
        </w:rPr>
        <w:t>.</w:t>
      </w:r>
      <w:r>
        <w:rPr>
          <w:b w:val="0"/>
          <w:i w:val="0"/>
        </w:rPr>
        <w:t xml:space="preserve"> Printed forms: </w:t>
      </w:r>
      <w:r>
        <w:rPr>
          <w:b w:val="0"/>
          <w:i/>
        </w:rPr>
        <w:t>clamat</w:t>
      </w:r>
      <w:r>
        <w:rPr>
          <w:b w:val="0"/>
          <w:i w:val="0"/>
        </w:rPr>
        <w:t xml:space="preserve">; </w:t>
      </w:r>
      <w:r>
        <w:rPr>
          <w:b w:val="0"/>
          <w:i/>
        </w:rPr>
        <w:t>persuadet</w:t>
      </w:r>
      <w:r>
        <w:rPr>
          <w:b w:val="0"/>
          <w:i w:val="0"/>
        </w:rPr>
        <w:t xml:space="preserve">; </w:t>
      </w:r>
      <w:r>
        <w:rPr>
          <w:b w:val="0"/>
          <w:i/>
        </w:rPr>
        <w:t>reclamat</w:t>
      </w:r>
      <w:r>
        <w:rPr>
          <w:b w:val="0"/>
          <w:i w:val="0"/>
        </w:rPr>
        <w:t>.</w:t>
      </w:r>
    </w:p>
    <w:p>
      <w:pPr>
        <w:widowControl/>
      </w:pPr>
      <w:r>
        <w:rPr>
          <w:b w:val="0"/>
          <w:i w:val="0"/>
        </w:rPr>
        <w:t xml:space="preserve">To cry out, protest in reply, or persuade. Reason and imagination are personified as advancing conflicting accounts of what everywhere means. References: </w:t>
      </w:r>
      <w:hyperlink w:anchor="passage-ii-6-13">
        <w:r>
          <w:rPr>
            <w:color w:val="000000"/>
          </w:rPr>
          <w:t xml:space="preserve">II.6.13</w:t>
        </w:r>
      </w:hyperlink>
      <w:r>
        <w:rPr>
          <w:b w:val="0"/>
          <w:i w:val="0"/>
        </w:rPr>
        <w:t xml:space="preserve">. See </w:t>
      </w:r>
      <w:hyperlink w:anchor="imagination-and-deceptive-clothing">
        <w:r>
          <w:rPr>
            <w:color w:val="000000"/>
          </w:rPr>
          <w:t xml:space="preserve">Imagination and deceptive clothing</w:t>
        </w:r>
      </w:hyperlink>
      <w:r>
        <w:rPr>
          <w:b w:val="0"/>
          <w:i w:val="0"/>
        </w:rPr>
        <w:t>.</w:t>
      </w:r>
    </w:p>
    <w:p>
      <w:pPr>
        <w:keepNext/>
        <w:widowControl/>
      </w:pPr>
      <w:bookmarkStart w:id="422" w:name="latin-record-0171"/>
      <w:bookmarkEnd w:id="422"/>
      <w:r>
        <w:rPr>
          <w:b/>
          <w:i w:val="0"/>
        </w:rPr>
        <w:t>claudico</w:t>
      </w:r>
      <w:r>
        <w:rPr>
          <w:b/>
          <w:i w:val="0"/>
        </w:rPr>
        <w:t>.</w:t>
      </w:r>
      <w:r>
        <w:rPr>
          <w:b w:val="0"/>
          <w:i w:val="0"/>
        </w:rPr>
        <w:t xml:space="preserve"> Printed forms: </w:t>
      </w:r>
      <w:r>
        <w:rPr>
          <w:b w:val="0"/>
          <w:i/>
        </w:rPr>
        <w:t>claudicat</w:t>
      </w:r>
      <w:r>
        <w:rPr>
          <w:b w:val="0"/>
          <w:i w:val="0"/>
        </w:rPr>
        <w:t>.</w:t>
      </w:r>
    </w:p>
    <w:p>
      <w:pPr>
        <w:widowControl/>
      </w:pPr>
      <w:r>
        <w:rPr>
          <w:b w:val="0"/>
          <w:i w:val="0"/>
        </w:rPr>
        <w:t xml:space="preserve">To limp, figuratively to act inadequately. Quality’s failure of complete efficacy calls for direction by a superior substance; it is neither literal lameness nor total inactivity. References: </w:t>
      </w:r>
      <w:hyperlink w:anchor="passage-i-3-20">
        <w:r>
          <w:rPr>
            <w:color w:val="000000"/>
          </w:rPr>
          <w:t xml:space="preserve">I.3.20</w:t>
        </w:r>
      </w:hyperlink>
      <w:r>
        <w:rPr>
          <w:b w:val="0"/>
          <w:i w:val="0"/>
        </w:rPr>
        <w:t xml:space="preserve">, </w:t>
      </w:r>
      <w:hyperlink w:anchor="passage-i-3-21">
        <w:r>
          <w:rPr>
            <w:color w:val="000000"/>
          </w:rPr>
          <w:t xml:space="preserve">I.3.21</w:t>
        </w:r>
      </w:hyperlink>
      <w:r>
        <w:rPr>
          <w:b w:val="0"/>
          <w:i w:val="0"/>
        </w:rPr>
        <w:t xml:space="preserve">. See </w:t>
      </w:r>
      <w:hyperlink w:anchor="infection-lameness-and-lethe">
        <w:r>
          <w:rPr>
            <w:color w:val="000000"/>
          </w:rPr>
          <w:t xml:space="preserve">Infection, lameness and Lethe</w:t>
        </w:r>
      </w:hyperlink>
      <w:r>
        <w:rPr>
          <w:b w:val="0"/>
          <w:i w:val="0"/>
        </w:rPr>
        <w:t>.</w:t>
      </w:r>
    </w:p>
    <w:p>
      <w:pPr>
        <w:keepNext/>
        <w:widowControl/>
      </w:pPr>
      <w:bookmarkStart w:id="423" w:name="latin-record-0172"/>
      <w:bookmarkEnd w:id="423"/>
      <w:r>
        <w:rPr>
          <w:b/>
          <w:i w:val="0"/>
        </w:rPr>
        <w:t>coarcto / rarefacio</w:t>
      </w:r>
      <w:r>
        <w:rPr>
          <w:b/>
          <w:i w:val="0"/>
        </w:rPr>
        <w:t>.</w:t>
      </w:r>
      <w:r>
        <w:rPr>
          <w:b w:val="0"/>
          <w:i w:val="0"/>
        </w:rPr>
        <w:t xml:space="preserve"> Printed forms: </w:t>
      </w:r>
      <w:r>
        <w:rPr>
          <w:b w:val="0"/>
          <w:i/>
        </w:rPr>
        <w:t>coarctet</w:t>
      </w:r>
      <w:r>
        <w:rPr>
          <w:b w:val="0"/>
          <w:i w:val="0"/>
        </w:rPr>
        <w:t xml:space="preserve">; </w:t>
      </w:r>
      <w:r>
        <w:rPr>
          <w:b w:val="0"/>
          <w:i/>
        </w:rPr>
        <w:t>rarefaciat</w:t>
      </w:r>
      <w:r>
        <w:rPr>
          <w:b w:val="0"/>
          <w:i w:val="0"/>
        </w:rPr>
        <w:t>.</w:t>
      </w:r>
    </w:p>
    <w:p>
      <w:pPr>
        <w:widowControl/>
      </w:pPr>
      <w:r>
        <w:rPr>
          <w:b w:val="0"/>
          <w:i w:val="0"/>
        </w:rPr>
        <w:t xml:space="preserve">To compress and to rarefy. Compression strengthens united power but obstructs entry; rarefaction aids motion but disperses power. The paired operations expose the trade-off. References: </w:t>
      </w:r>
      <w:hyperlink w:anchor="passage-i-2-2">
        <w:r>
          <w:rPr>
            <w:color w:val="000000"/>
          </w:rPr>
          <w:t xml:space="preserve">I.2.2</w:t>
        </w:r>
      </w:hyperlink>
      <w:r>
        <w:rPr>
          <w:b w:val="0"/>
          <w:i w:val="0"/>
        </w:rPr>
        <w:t xml:space="preserve">. See </w:t>
      </w:r>
      <w:hyperlink w:anchor="dispersion-and-concentration">
        <w:r>
          <w:rPr>
            <w:color w:val="000000"/>
          </w:rPr>
          <w:t xml:space="preserve">Dispersion and concentration</w:t>
        </w:r>
      </w:hyperlink>
      <w:r>
        <w:rPr>
          <w:b w:val="0"/>
          <w:i w:val="0"/>
        </w:rPr>
        <w:t>.</w:t>
      </w:r>
    </w:p>
    <w:p>
      <w:pPr>
        <w:keepNext/>
        <w:widowControl/>
      </w:pPr>
      <w:bookmarkStart w:id="424" w:name="latin-record-0173"/>
      <w:bookmarkEnd w:id="424"/>
      <w:r>
        <w:rPr>
          <w:b/>
          <w:i w:val="0"/>
        </w:rPr>
        <w:t>cogere / compellere</w:t>
      </w:r>
      <w:r>
        <w:rPr>
          <w:b/>
          <w:i w:val="0"/>
        </w:rPr>
        <w:t>.</w:t>
      </w:r>
      <w:r>
        <w:rPr>
          <w:b w:val="0"/>
          <w:i w:val="0"/>
        </w:rPr>
        <w:t xml:space="preserve"> Printed forms: </w:t>
      </w:r>
      <w:r>
        <w:rPr>
          <w:b w:val="0"/>
          <w:i/>
        </w:rPr>
        <w:t>cogantur</w:t>
      </w:r>
      <w:r>
        <w:rPr>
          <w:b w:val="0"/>
          <w:i w:val="0"/>
        </w:rPr>
        <w:t xml:space="preserve">; </w:t>
      </w:r>
      <w:r>
        <w:rPr>
          <w:b w:val="0"/>
          <w:i/>
        </w:rPr>
        <w:t>cogente</w:t>
      </w:r>
      <w:r>
        <w:rPr>
          <w:b w:val="0"/>
          <w:i w:val="0"/>
        </w:rPr>
        <w:t xml:space="preserve">; </w:t>
      </w:r>
      <w:r>
        <w:rPr>
          <w:b w:val="0"/>
          <w:i/>
        </w:rPr>
        <w:t>cogeris</w:t>
      </w:r>
      <w:r>
        <w:rPr>
          <w:b w:val="0"/>
          <w:i w:val="0"/>
        </w:rPr>
        <w:t xml:space="preserve">; </w:t>
      </w:r>
      <w:r>
        <w:rPr>
          <w:b w:val="0"/>
          <w:i/>
        </w:rPr>
        <w:t>cogetur</w:t>
      </w:r>
      <w:r>
        <w:rPr>
          <w:b w:val="0"/>
          <w:i w:val="0"/>
        </w:rPr>
        <w:t xml:space="preserve">; </w:t>
      </w:r>
      <w:r>
        <w:rPr>
          <w:b w:val="0"/>
          <w:i/>
        </w:rPr>
        <w:t>cogimur</w:t>
      </w:r>
      <w:r>
        <w:rPr>
          <w:b w:val="0"/>
          <w:i w:val="0"/>
        </w:rPr>
        <w:t xml:space="preserve">; </w:t>
      </w:r>
      <w:r>
        <w:rPr>
          <w:b w:val="0"/>
          <w:i/>
        </w:rPr>
        <w:t>cogitque</w:t>
      </w:r>
      <w:r>
        <w:rPr>
          <w:b w:val="0"/>
          <w:i w:val="0"/>
        </w:rPr>
        <w:t xml:space="preserve">; </w:t>
      </w:r>
      <w:r>
        <w:rPr>
          <w:b w:val="0"/>
          <w:i/>
        </w:rPr>
        <w:t>cogitur</w:t>
      </w:r>
      <w:r>
        <w:rPr>
          <w:b w:val="0"/>
          <w:i w:val="0"/>
        </w:rPr>
        <w:t xml:space="preserve">; </w:t>
      </w:r>
      <w:r>
        <w:rPr>
          <w:b w:val="0"/>
          <w:i/>
        </w:rPr>
        <w:t>compelletur</w:t>
      </w:r>
      <w:r>
        <w:rPr>
          <w:b w:val="0"/>
          <w:i w:val="0"/>
        </w:rPr>
        <w:t>.</w:t>
      </w:r>
    </w:p>
    <w:p>
      <w:pPr>
        <w:widowControl/>
      </w:pPr>
      <w:r>
        <w:rPr>
          <w:b w:val="0"/>
          <w:i w:val="0"/>
        </w:rPr>
        <w:t xml:space="preserve">To force or compel, often a logical consequence rather than physical coercion. An opponent is compelled to admit a consequence; external things depend on divine mind for being. References: </w:t>
      </w:r>
      <w:hyperlink w:anchor="passage-ii-1-7">
        <w:r>
          <w:rPr>
            <w:color w:val="000000"/>
          </w:rPr>
          <w:t xml:space="preserve">II.1.7</w:t>
        </w:r>
      </w:hyperlink>
      <w:r>
        <w:rPr>
          <w:b w:val="0"/>
          <w:i w:val="0"/>
        </w:rPr>
        <w:t xml:space="preserve">, </w:t>
      </w:r>
      <w:hyperlink w:anchor="passage-ii-2-13">
        <w:r>
          <w:rPr>
            <w:color w:val="000000"/>
          </w:rPr>
          <w:t xml:space="preserve">II.2.13</w:t>
        </w:r>
      </w:hyperlink>
      <w:r>
        <w:rPr>
          <w:b w:val="0"/>
          <w:i w:val="0"/>
        </w:rPr>
        <w:t xml:space="preserve">, </w:t>
      </w:r>
      <w:hyperlink w:anchor="passage-ii-7-12">
        <w:r>
          <w:rPr>
            <w:color w:val="000000"/>
          </w:rPr>
          <w:t xml:space="preserve">II.7.12</w:t>
        </w:r>
      </w:hyperlink>
      <w:r>
        <w:rPr>
          <w:b w:val="0"/>
          <w:i w:val="0"/>
        </w:rPr>
        <w:t xml:space="preserve">, </w:t>
      </w:r>
      <w:hyperlink w:anchor="passage-ii-9-9">
        <w:r>
          <w:rPr>
            <w:color w:val="000000"/>
          </w:rPr>
          <w:t xml:space="preserve">II.9.9</w:t>
        </w:r>
      </w:hyperlink>
      <w:r>
        <w:rPr>
          <w:b w:val="0"/>
          <w:i w:val="0"/>
        </w:rPr>
        <w:t xml:space="preserve">. See </w:t>
      </w:r>
      <w:hyperlink w:anchor="agreement-and-hypothetical-concession">
        <w:r>
          <w:rPr>
            <w:color w:val="000000"/>
          </w:rPr>
          <w:t xml:space="preserve">Agreement and hypothetical concession</w:t>
        </w:r>
      </w:hyperlink>
      <w:r>
        <w:rPr>
          <w:b w:val="0"/>
          <w:i w:val="0"/>
        </w:rPr>
        <w:t>.</w:t>
      </w:r>
    </w:p>
    <w:p>
      <w:pPr>
        <w:widowControl/>
      </w:pPr>
      <w:r>
        <w:rPr>
          <w:b w:val="0"/>
          <w:i w:val="0"/>
        </w:rPr>
        <w:t xml:space="preserve">To compel, constrain, or require. At IV.1.53 cogimur expresses what the premises compel the argument to admit; at IV.2.11 bodily need compels human reason into laborious administration; at IV.2.20 heaven compels elemental mixing. These inferential, embodied, and causal uses must not all be read as external violence. References: </w:t>
      </w:r>
      <w:hyperlink w:anchor="passage-iv-1-8">
        <w:r>
          <w:rPr>
            <w:color w:val="000000"/>
          </w:rPr>
          <w:t xml:space="preserve">IV.1.8</w:t>
        </w:r>
      </w:hyperlink>
      <w:r>
        <w:rPr>
          <w:b w:val="0"/>
          <w:i w:val="0"/>
        </w:rPr>
        <w:t xml:space="preserve">, </w:t>
      </w:r>
      <w:hyperlink w:anchor="passage-iv-1-53">
        <w:r>
          <w:rPr>
            <w:color w:val="000000"/>
          </w:rPr>
          <w:t xml:space="preserve">IV.1.53</w:t>
        </w:r>
      </w:hyperlink>
      <w:r>
        <w:rPr>
          <w:b w:val="0"/>
          <w:i w:val="0"/>
        </w:rPr>
        <w:t xml:space="preserve">, </w:t>
      </w:r>
      <w:hyperlink w:anchor="passage-iv-1-63">
        <w:r>
          <w:rPr>
            <w:color w:val="000000"/>
          </w:rPr>
          <w:t xml:space="preserve">IV.1.63</w:t>
        </w:r>
      </w:hyperlink>
      <w:r>
        <w:rPr>
          <w:b w:val="0"/>
          <w:i w:val="0"/>
        </w:rPr>
        <w:t xml:space="preserve">, </w:t>
      </w:r>
      <w:hyperlink w:anchor="passage-iv-2-11">
        <w:r>
          <w:rPr>
            <w:color w:val="000000"/>
          </w:rPr>
          <w:t xml:space="preserve">IV.2.11</w:t>
        </w:r>
      </w:hyperlink>
      <w:r>
        <w:rPr>
          <w:b w:val="0"/>
          <w:i w:val="0"/>
        </w:rPr>
        <w:t xml:space="preserve">, </w:t>
      </w:r>
      <w:hyperlink w:anchor="passage-iv-2-19">
        <w:r>
          <w:rPr>
            <w:color w:val="000000"/>
          </w:rPr>
          <w:t xml:space="preserve">IV.2.19</w:t>
        </w:r>
      </w:hyperlink>
      <w:r>
        <w:rPr>
          <w:b w:val="0"/>
          <w:i w:val="0"/>
        </w:rPr>
        <w:t xml:space="preserve">, </w:t>
      </w:r>
      <w:hyperlink w:anchor="passage-iv-2-20">
        <w:r>
          <w:rPr>
            <w:color w:val="000000"/>
          </w:rPr>
          <w:t xml:space="preserve">IV.2.20</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425" w:name="latin-record-0174"/>
      <w:bookmarkEnd w:id="425"/>
      <w:r>
        <w:rPr>
          <w:b/>
          <w:i w:val="0"/>
        </w:rPr>
        <w:t>cogitare / cogitatio</w:t>
      </w:r>
      <w:r>
        <w:rPr>
          <w:b/>
          <w:i w:val="0"/>
        </w:rPr>
        <w:t>.</w:t>
      </w:r>
      <w:r>
        <w:rPr>
          <w:b w:val="0"/>
          <w:i w:val="0"/>
        </w:rPr>
        <w:t xml:space="preserve"> Printed forms: </w:t>
      </w:r>
      <w:r>
        <w:rPr>
          <w:b w:val="0"/>
          <w:i/>
        </w:rPr>
        <w:t>cogitat</w:t>
      </w:r>
      <w:r>
        <w:rPr>
          <w:b w:val="0"/>
          <w:i w:val="0"/>
        </w:rPr>
        <w:t xml:space="preserve">; </w:t>
      </w:r>
      <w:r>
        <w:rPr>
          <w:b w:val="0"/>
          <w:i/>
        </w:rPr>
        <w:t>cogitatio</w:t>
      </w:r>
      <w:r>
        <w:rPr>
          <w:b w:val="0"/>
          <w:i w:val="0"/>
        </w:rPr>
        <w:t>.</w:t>
      </w:r>
    </w:p>
    <w:p>
      <w:pPr>
        <w:widowControl/>
      </w:pPr>
      <w:r>
        <w:rPr>
          <w:b w:val="0"/>
          <w:i w:val="0"/>
        </w:rPr>
        <w:t xml:space="preserve">Think or contemplate / thought. The artist’s thought orders materials; rational soul thinks of or divines higher beings. This family differs from cogere, compel. References: </w:t>
      </w:r>
      <w:hyperlink w:anchor="passage-ii-13-5">
        <w:r>
          <w:rPr>
            <w:color w:val="000000"/>
          </w:rPr>
          <w:t xml:space="preserve">II.13.5</w:t>
        </w:r>
      </w:hyperlink>
      <w:r>
        <w:rPr>
          <w:b w:val="0"/>
          <w:i w:val="0"/>
        </w:rPr>
        <w:t xml:space="preserve">, </w:t>
      </w:r>
      <w:hyperlink w:anchor="passage-iii-1-31">
        <w:r>
          <w:rPr>
            <w:color w:val="000000"/>
          </w:rPr>
          <w:t xml:space="preserve">III.1.31</w:t>
        </w:r>
      </w:hyperlink>
      <w:r>
        <w:rPr>
          <w:b w:val="0"/>
          <w:i w:val="0"/>
        </w:rPr>
        <w:t xml:space="preserve">. See </w:t>
      </w:r>
      <w:hyperlink w:anchor="intellect-and-intellection">
        <w:r>
          <w:rPr>
            <w:color w:val="000000"/>
          </w:rPr>
          <w:t xml:space="preserve">Intellect and intellection</w:t>
        </w:r>
      </w:hyperlink>
      <w:r>
        <w:rPr>
          <w:b w:val="0"/>
          <w:i w:val="0"/>
        </w:rPr>
        <w:t>.</w:t>
      </w:r>
    </w:p>
    <w:p>
      <w:pPr>
        <w:keepNext/>
        <w:widowControl/>
      </w:pPr>
      <w:bookmarkStart w:id="426" w:name="latin-record-0175"/>
      <w:bookmarkEnd w:id="426"/>
      <w:r>
        <w:rPr>
          <w:b/>
          <w:i w:val="0"/>
        </w:rPr>
        <w:t>cogitare / fingere / effingere</w:t>
      </w:r>
      <w:r>
        <w:rPr>
          <w:b/>
          <w:i w:val="0"/>
        </w:rPr>
        <w:t>.</w:t>
      </w:r>
      <w:r>
        <w:rPr>
          <w:b w:val="0"/>
          <w:i w:val="0"/>
        </w:rPr>
        <w:t xml:space="preserve"> Printed forms: </w:t>
      </w:r>
      <w:r>
        <w:rPr>
          <w:b w:val="0"/>
          <w:i/>
        </w:rPr>
        <w:t>Cogitamus</w:t>
      </w:r>
      <w:r>
        <w:rPr>
          <w:b w:val="0"/>
          <w:i w:val="0"/>
        </w:rPr>
        <w:t xml:space="preserve">; </w:t>
      </w:r>
      <w:r>
        <w:rPr>
          <w:b w:val="0"/>
          <w:i/>
        </w:rPr>
        <w:t>cogitamus</w:t>
      </w:r>
      <w:r>
        <w:rPr>
          <w:b w:val="0"/>
          <w:i w:val="0"/>
        </w:rPr>
        <w:t xml:space="preserve">; </w:t>
      </w:r>
      <w:r>
        <w:rPr>
          <w:b w:val="0"/>
          <w:i/>
        </w:rPr>
        <w:t>cogitare</w:t>
      </w:r>
      <w:r>
        <w:rPr>
          <w:b w:val="0"/>
          <w:i w:val="0"/>
        </w:rPr>
        <w:t xml:space="preserve">; </w:t>
      </w:r>
      <w:r>
        <w:rPr>
          <w:b w:val="0"/>
          <w:i/>
        </w:rPr>
        <w:t>cogitari</w:t>
      </w:r>
      <w:r>
        <w:rPr>
          <w:b w:val="0"/>
          <w:i w:val="0"/>
        </w:rPr>
        <w:t xml:space="preserve">; </w:t>
      </w:r>
      <w:r>
        <w:rPr>
          <w:b w:val="0"/>
          <w:i/>
        </w:rPr>
        <w:t>effingi</w:t>
      </w:r>
      <w:r>
        <w:rPr>
          <w:b w:val="0"/>
          <w:i w:val="0"/>
        </w:rPr>
        <w:t xml:space="preserve">; </w:t>
      </w:r>
      <w:r>
        <w:rPr>
          <w:b w:val="0"/>
          <w:i/>
        </w:rPr>
        <w:t>fingi</w:t>
      </w:r>
      <w:r>
        <w:rPr>
          <w:b w:val="0"/>
          <w:i w:val="0"/>
        </w:rPr>
        <w:t>.</w:t>
      </w:r>
    </w:p>
    <w:p>
      <w:pPr>
        <w:widowControl/>
      </w:pPr>
      <w:r>
        <w:rPr>
          <w:b w:val="0"/>
          <w:i w:val="0"/>
        </w:rPr>
        <w:t xml:space="preserve">To think, imagine, or fashion mentally. The mind can conceive a degree beyond any assigned finite number; pure capacity can include whatever can be imagined. References: </w:t>
      </w:r>
      <w:hyperlink w:anchor="passage-ii-4-3">
        <w:r>
          <w:rPr>
            <w:color w:val="000000"/>
          </w:rPr>
          <w:t xml:space="preserve">II.4.3</w:t>
        </w:r>
      </w:hyperlink>
      <w:r>
        <w:rPr>
          <w:b w:val="0"/>
          <w:i w:val="0"/>
        </w:rPr>
        <w:t xml:space="preserve">, </w:t>
      </w:r>
      <w:hyperlink w:anchor="passage-ii-4-4">
        <w:r>
          <w:rPr>
            <w:color w:val="000000"/>
          </w:rPr>
          <w:t xml:space="preserve">II.4.4</w:t>
        </w:r>
      </w:hyperlink>
      <w:r>
        <w:rPr>
          <w:b w:val="0"/>
          <w:i w:val="0"/>
        </w:rPr>
        <w:t xml:space="preserve">, </w:t>
      </w:r>
      <w:hyperlink w:anchor="passage-ii-6-12">
        <w:r>
          <w:rPr>
            <w:color w:val="000000"/>
          </w:rPr>
          <w:t xml:space="preserve">II.6.12</w:t>
        </w:r>
      </w:hyperlink>
      <w:r>
        <w:rPr>
          <w:b w:val="0"/>
          <w:i w:val="0"/>
        </w:rPr>
        <w:t xml:space="preserve">. See </w:t>
      </w:r>
      <w:hyperlink w:anchor="sense-and-imagination">
        <w:r>
          <w:rPr>
            <w:color w:val="000000"/>
          </w:rPr>
          <w:t xml:space="preserve">Sense and imagination</w:t>
        </w:r>
      </w:hyperlink>
      <w:r>
        <w:rPr>
          <w:b w:val="0"/>
          <w:i w:val="0"/>
        </w:rPr>
        <w:t>.</w:t>
      </w:r>
    </w:p>
    <w:p>
      <w:pPr>
        <w:keepNext/>
        <w:widowControl/>
      </w:pPr>
      <w:bookmarkStart w:id="427" w:name="latin-record-0176"/>
      <w:bookmarkEnd w:id="427"/>
      <w:r>
        <w:rPr>
          <w:b/>
          <w:i w:val="0"/>
        </w:rPr>
        <w:t>cogito / esse</w:t>
      </w:r>
      <w:r>
        <w:rPr>
          <w:b/>
          <w:i w:val="0"/>
        </w:rPr>
        <w:t>.</w:t>
      </w:r>
      <w:r>
        <w:rPr>
          <w:b w:val="0"/>
          <w:i w:val="0"/>
        </w:rPr>
        <w:t xml:space="preserve"> Printed forms: </w:t>
      </w:r>
      <w:r>
        <w:rPr>
          <w:b w:val="0"/>
          <w:i/>
        </w:rPr>
        <w:t>cogitari</w:t>
      </w:r>
      <w:r>
        <w:rPr>
          <w:b w:val="0"/>
          <w:i w:val="0"/>
        </w:rPr>
        <w:t xml:space="preserve">; </w:t>
      </w:r>
      <w:r>
        <w:rPr>
          <w:b w:val="0"/>
          <w:i/>
        </w:rPr>
        <w:t>esse</w:t>
      </w:r>
      <w:r>
        <w:rPr>
          <w:b w:val="0"/>
          <w:i w:val="0"/>
        </w:rPr>
        <w:t>.</w:t>
      </w:r>
    </w:p>
    <w:p>
      <w:pPr>
        <w:widowControl/>
      </w:pPr>
      <w:r>
        <w:rPr>
          <w:b w:val="0"/>
          <w:i w:val="0"/>
        </w:rPr>
        <w:t xml:space="preserve">To be conceived, contrasted here with existing. The extending principle is argued to be not merely conceivable without dimensions but capable of existing without them; the transition is explicit. References: </w:t>
      </w:r>
      <w:hyperlink w:anchor="passage-i-3-29">
        <w:r>
          <w:rPr>
            <w:color w:val="000000"/>
          </w:rPr>
          <w:t xml:space="preserve">I.3.29</w:t>
        </w:r>
      </w:hyperlink>
      <w:r>
        <w:rPr>
          <w:b w:val="0"/>
          <w:i w:val="0"/>
        </w:rPr>
        <w:t xml:space="preserve">. See </w:t>
      </w:r>
      <w:hyperlink w:anchor="proclus-syrianus-and-extending-matter">
        <w:r>
          <w:rPr>
            <w:color w:val="000000"/>
          </w:rPr>
          <w:t xml:space="preserve">Proclus, Syrianus and extending matter</w:t>
        </w:r>
      </w:hyperlink>
      <w:r>
        <w:rPr>
          <w:b w:val="0"/>
          <w:i w:val="0"/>
        </w:rPr>
        <w:t>.</w:t>
      </w:r>
    </w:p>
    <w:p>
      <w:pPr>
        <w:keepNext/>
        <w:widowControl/>
      </w:pPr>
      <w:bookmarkStart w:id="428" w:name="latin-record-0177"/>
      <w:bookmarkEnd w:id="428"/>
      <w:r>
        <w:rPr>
          <w:b/>
          <w:i w:val="0"/>
        </w:rPr>
        <w:t>cognatio</w:t>
      </w:r>
      <w:r>
        <w:rPr>
          <w:b/>
          <w:i w:val="0"/>
        </w:rPr>
        <w:t>.</w:t>
      </w:r>
      <w:r>
        <w:rPr>
          <w:b w:val="0"/>
          <w:i w:val="0"/>
        </w:rPr>
        <w:t xml:space="preserve"> Printed forms: </w:t>
      </w:r>
      <w:r>
        <w:rPr>
          <w:b w:val="0"/>
          <w:i/>
        </w:rPr>
        <w:t>cognatio</w:t>
      </w:r>
      <w:r>
        <w:rPr>
          <w:b w:val="0"/>
          <w:i w:val="0"/>
        </w:rPr>
        <w:t>.</w:t>
      </w:r>
    </w:p>
    <w:p>
      <w:pPr>
        <w:widowControl/>
      </w:pPr>
      <w:r>
        <w:rPr>
          <w:b w:val="0"/>
          <w:i w:val="0"/>
        </w:rPr>
        <w:t xml:space="preserve">Kinship or affinity of knower and knowable. The affinity connects intelligibility and intellectual capacity through their shared independence from matter. References: </w:t>
      </w:r>
      <w:hyperlink w:anchor="passage-ii-9-1">
        <w:r>
          <w:rPr>
            <w:color w:val="000000"/>
          </w:rPr>
          <w:t xml:space="preserve">II.9.1</w:t>
        </w:r>
      </w:hyperlink>
      <w:r>
        <w:rPr>
          <w:b w:val="0"/>
          <w:i w:val="0"/>
        </w:rPr>
        <w:t xml:space="preserve">. See </w:t>
      </w:r>
      <w:hyperlink w:anchor="kinship-and-separation">
        <w:r>
          <w:rPr>
            <w:color w:val="000000"/>
          </w:rPr>
          <w:t xml:space="preserve">Kinship and separation</w:t>
        </w:r>
      </w:hyperlink>
      <w:r>
        <w:rPr>
          <w:b w:val="0"/>
          <w:i w:val="0"/>
        </w:rPr>
        <w:t>.</w:t>
      </w:r>
    </w:p>
    <w:p>
      <w:pPr>
        <w:keepNext/>
        <w:widowControl/>
      </w:pPr>
      <w:bookmarkStart w:id="429" w:name="latin-record-0178"/>
      <w:bookmarkEnd w:id="429"/>
      <w:r>
        <w:rPr>
          <w:b/>
          <w:i w:val="0"/>
        </w:rPr>
        <w:t>cognatus</w:t>
      </w:r>
      <w:r>
        <w:rPr>
          <w:b/>
          <w:i w:val="0"/>
        </w:rPr>
        <w:t>.</w:t>
      </w:r>
      <w:r>
        <w:rPr>
          <w:b w:val="0"/>
          <w:i w:val="0"/>
        </w:rPr>
        <w:t xml:space="preserve"> Printed forms: </w:t>
      </w:r>
      <w:r>
        <w:rPr>
          <w:b w:val="0"/>
          <w:i/>
        </w:rPr>
        <w:t>cognatissima</w:t>
      </w:r>
      <w:r>
        <w:rPr>
          <w:b w:val="0"/>
          <w:i w:val="0"/>
        </w:rPr>
        <w:t xml:space="preserve">; </w:t>
      </w:r>
      <w:r>
        <w:rPr>
          <w:b w:val="0"/>
          <w:i/>
        </w:rPr>
        <w:t>cognatius</w:t>
      </w:r>
      <w:r>
        <w:rPr>
          <w:b w:val="0"/>
          <w:i w:val="0"/>
        </w:rPr>
        <w:t>.</w:t>
      </w:r>
    </w:p>
    <w:p>
      <w:pPr>
        <w:widowControl/>
      </w:pPr>
      <w:r>
        <w:rPr>
          <w:b w:val="0"/>
          <w:i w:val="0"/>
        </w:rPr>
        <w:t xml:space="preserve">Akin or naturally related. Minds are said to be more akin to heaven than earth; the lower celestial power is most closely akin to mutable bodies. The kinship adjective supports fitting mediation and is not a form of the cognition verb cognoscere. References: </w:t>
      </w:r>
      <w:hyperlink w:anchor="passage-iv-1-73">
        <w:r>
          <w:rPr>
            <w:color w:val="000000"/>
          </w:rPr>
          <w:t xml:space="preserve">IV.1.73</w:t>
        </w:r>
      </w:hyperlink>
      <w:r>
        <w:rPr>
          <w:b w:val="0"/>
          <w:i w:val="0"/>
        </w:rPr>
        <w:t xml:space="preserve">, </w:t>
      </w:r>
      <w:hyperlink w:anchor="passage-iv-2-12">
        <w:r>
          <w:rPr>
            <w:color w:val="000000"/>
          </w:rPr>
          <w:t xml:space="preserve">IV.2.12</w:t>
        </w:r>
      </w:hyperlink>
      <w:r>
        <w:rPr>
          <w:b w:val="0"/>
          <w:i w:val="0"/>
        </w:rPr>
        <w:t xml:space="preserve">. See </w:t>
      </w:r>
      <w:hyperlink w:anchor="fitting-and-correspondence">
        <w:r>
          <w:rPr>
            <w:color w:val="000000"/>
          </w:rPr>
          <w:t xml:space="preserve">Fitting and correspondence</w:t>
        </w:r>
      </w:hyperlink>
      <w:r>
        <w:rPr>
          <w:b w:val="0"/>
          <w:i w:val="0"/>
        </w:rPr>
        <w:t>.</w:t>
      </w:r>
    </w:p>
    <w:p>
      <w:pPr>
        <w:keepNext/>
        <w:widowControl/>
      </w:pPr>
      <w:bookmarkStart w:id="430" w:name="latin-record-0179"/>
      <w:bookmarkEnd w:id="430"/>
      <w:r>
        <w:rPr>
          <w:b/>
          <w:i w:val="0"/>
        </w:rPr>
        <w:t>cognitio / intelligentia</w:t>
      </w:r>
      <w:r>
        <w:rPr>
          <w:b/>
          <w:i w:val="0"/>
        </w:rPr>
        <w:t>.</w:t>
      </w:r>
      <w:r>
        <w:rPr>
          <w:b w:val="0"/>
          <w:i w:val="0"/>
        </w:rPr>
        <w:t xml:space="preserve"> Printed forms: </w:t>
      </w:r>
      <w:r>
        <w:rPr>
          <w:b w:val="0"/>
          <w:i/>
        </w:rPr>
        <w:t>cognitio</w:t>
      </w:r>
      <w:r>
        <w:rPr>
          <w:b w:val="0"/>
          <w:i w:val="0"/>
        </w:rPr>
        <w:t xml:space="preserve">; </w:t>
      </w:r>
      <w:r>
        <w:rPr>
          <w:b w:val="0"/>
          <w:i/>
        </w:rPr>
        <w:t>intelligentia</w:t>
      </w:r>
      <w:r>
        <w:rPr>
          <w:b w:val="0"/>
          <w:i w:val="0"/>
        </w:rPr>
        <w:t xml:space="preserve">; </w:t>
      </w:r>
      <w:r>
        <w:rPr>
          <w:b w:val="0"/>
          <w:i/>
        </w:rPr>
        <w:t>intelligentiam</w:t>
      </w:r>
      <w:r>
        <w:rPr>
          <w:b w:val="0"/>
          <w:i w:val="0"/>
        </w:rPr>
        <w:t>.</w:t>
      </w:r>
    </w:p>
    <w:p>
      <w:pPr>
        <w:widowControl/>
      </w:pPr>
      <w:r>
        <w:rPr>
          <w:b w:val="0"/>
          <w:i w:val="0"/>
        </w:rPr>
        <w:t xml:space="preserve">Cognition and intelligence, with divine application explicitly qualified. An inward operation remains in the agent; divine cognition is affirmed while surpassing the mode proper to created mind. References: </w:t>
      </w:r>
      <w:hyperlink w:anchor="passage-ii-9-5">
        <w:r>
          <w:rPr>
            <w:color w:val="000000"/>
          </w:rPr>
          <w:t xml:space="preserve">II.9.5</w:t>
        </w:r>
      </w:hyperlink>
      <w:r>
        <w:rPr>
          <w:b w:val="0"/>
          <w:i w:val="0"/>
        </w:rPr>
        <w:t xml:space="preserve">, </w:t>
      </w:r>
      <w:hyperlink w:anchor="passage-ii-9-6">
        <w:r>
          <w:rPr>
            <w:color w:val="000000"/>
          </w:rPr>
          <w:t xml:space="preserve">II.9.6</w:t>
        </w:r>
      </w:hyperlink>
      <w:r>
        <w:rPr>
          <w:b w:val="0"/>
          <w:i w:val="0"/>
        </w:rPr>
        <w:t xml:space="preserve">, </w:t>
      </w:r>
      <w:hyperlink w:anchor="passage-ii-9-7">
        <w:r>
          <w:rPr>
            <w:color w:val="000000"/>
          </w:rPr>
          <w:t xml:space="preserve">II.9.7</w:t>
        </w:r>
      </w:hyperlink>
      <w:r>
        <w:rPr>
          <w:b w:val="0"/>
          <w:i w:val="0"/>
        </w:rPr>
        <w:t xml:space="preserve">, </w:t>
      </w:r>
      <w:hyperlink w:anchor="passage-ii-9-13">
        <w:r>
          <w:rPr>
            <w:color w:val="000000"/>
          </w:rPr>
          <w:t xml:space="preserve">II.9.13</w:t>
        </w:r>
      </w:hyperlink>
      <w:r>
        <w:rPr>
          <w:b w:val="0"/>
          <w:i w:val="0"/>
        </w:rPr>
        <w:t xml:space="preserve">. See </w:t>
      </w:r>
      <w:hyperlink w:anchor="intellect-and-intellection">
        <w:r>
          <w:rPr>
            <w:color w:val="000000"/>
          </w:rPr>
          <w:t xml:space="preserve">Intellect and intellection</w:t>
        </w:r>
      </w:hyperlink>
      <w:r>
        <w:rPr>
          <w:b w:val="0"/>
          <w:i w:val="0"/>
        </w:rPr>
        <w:t>.</w:t>
      </w:r>
    </w:p>
    <w:p>
      <w:pPr>
        <w:keepNext/>
        <w:widowControl/>
      </w:pPr>
      <w:bookmarkStart w:id="431" w:name="latin-record-0180"/>
      <w:bookmarkEnd w:id="431"/>
      <w:r>
        <w:rPr>
          <w:b/>
          <w:i w:val="0"/>
        </w:rPr>
        <w:t>cognoscere / cognitio</w:t>
      </w:r>
      <w:r>
        <w:rPr>
          <w:b/>
          <w:i w:val="0"/>
        </w:rPr>
        <w:t>.</w:t>
      </w:r>
      <w:r>
        <w:rPr>
          <w:b w:val="0"/>
          <w:i w:val="0"/>
        </w:rPr>
        <w:t xml:space="preserve"> Printed forms: </w:t>
      </w:r>
      <w:r>
        <w:rPr>
          <w:b w:val="0"/>
          <w:i/>
        </w:rPr>
        <w:t>cognitio</w:t>
      </w:r>
      <w:r>
        <w:rPr>
          <w:b w:val="0"/>
          <w:i w:val="0"/>
        </w:rPr>
        <w:t xml:space="preserve">; </w:t>
      </w:r>
      <w:r>
        <w:rPr>
          <w:b w:val="0"/>
          <w:i/>
        </w:rPr>
        <w:t>cognitionem</w:t>
      </w:r>
      <w:r>
        <w:rPr>
          <w:b w:val="0"/>
          <w:i w:val="0"/>
        </w:rPr>
        <w:t xml:space="preserve">; </w:t>
      </w:r>
      <w:r>
        <w:rPr>
          <w:b w:val="0"/>
          <w:i/>
        </w:rPr>
        <w:t>cognoscit</w:t>
      </w:r>
      <w:r>
        <w:rPr>
          <w:b w:val="0"/>
          <w:i w:val="0"/>
        </w:rPr>
        <w:t xml:space="preserve">; </w:t>
      </w:r>
      <w:r>
        <w:rPr>
          <w:b w:val="0"/>
          <w:i/>
        </w:rPr>
        <w:t>Cognoscit</w:t>
      </w:r>
      <w:r>
        <w:rPr>
          <w:b w:val="0"/>
          <w:i w:val="0"/>
        </w:rPr>
        <w:t>.</w:t>
      </w:r>
    </w:p>
    <w:p>
      <w:pPr>
        <w:widowControl/>
      </w:pPr>
      <w:r>
        <w:rPr>
          <w:b w:val="0"/>
          <w:i w:val="0"/>
        </w:rPr>
        <w:t xml:space="preserve">Know / cognition. Ficino distinguishes cognition from production through affect and later defines knowing through spiritual union. References: </w:t>
      </w:r>
      <w:hyperlink w:anchor="passage-ii-11-31">
        <w:r>
          <w:rPr>
            <w:color w:val="000000"/>
          </w:rPr>
          <w:t xml:space="preserve">II.11.31</w:t>
        </w:r>
      </w:hyperlink>
      <w:r>
        <w:rPr>
          <w:b w:val="0"/>
          <w:i w:val="0"/>
        </w:rPr>
        <w:t xml:space="preserve">, </w:t>
      </w:r>
      <w:hyperlink w:anchor="passage-iii-2-28">
        <w:r>
          <w:rPr>
            <w:color w:val="000000"/>
          </w:rPr>
          <w:t xml:space="preserve">III.2.28</w:t>
        </w:r>
      </w:hyperlink>
      <w:r>
        <w:rPr>
          <w:b w:val="0"/>
          <w:i w:val="0"/>
        </w:rPr>
        <w:t xml:space="preserve">, </w:t>
      </w:r>
      <w:hyperlink w:anchor="passage-iii-2-29">
        <w:r>
          <w:rPr>
            <w:color w:val="000000"/>
          </w:rPr>
          <w:t xml:space="preserve">III.2.29</w:t>
        </w:r>
      </w:hyperlink>
      <w:r>
        <w:rPr>
          <w:b w:val="0"/>
          <w:i w:val="0"/>
        </w:rPr>
        <w:t xml:space="preserve">. See </w:t>
      </w:r>
      <w:hyperlink w:anchor="intellect-and-intellection">
        <w:r>
          <w:rPr>
            <w:color w:val="000000"/>
          </w:rPr>
          <w:t xml:space="preserve">Intellect and intellection</w:t>
        </w:r>
      </w:hyperlink>
      <w:r>
        <w:rPr>
          <w:b w:val="0"/>
          <w:i w:val="0"/>
        </w:rPr>
        <w:t>.</w:t>
      </w:r>
    </w:p>
    <w:p>
      <w:pPr>
        <w:keepNext/>
        <w:widowControl/>
      </w:pPr>
      <w:bookmarkStart w:id="432" w:name="latin-record-0181"/>
      <w:bookmarkEnd w:id="432"/>
      <w:r>
        <w:rPr>
          <w:b/>
          <w:i w:val="0"/>
        </w:rPr>
        <w:t>cognosco / agnosco</w:t>
      </w:r>
      <w:r>
        <w:rPr>
          <w:b/>
          <w:i w:val="0"/>
        </w:rPr>
        <w:t>.</w:t>
      </w:r>
      <w:r>
        <w:rPr>
          <w:b w:val="0"/>
          <w:i w:val="0"/>
        </w:rPr>
        <w:t xml:space="preserve"> Printed forms: </w:t>
      </w:r>
      <w:r>
        <w:rPr>
          <w:b w:val="0"/>
          <w:i/>
        </w:rPr>
        <w:t>agnoscere</w:t>
      </w:r>
      <w:r>
        <w:rPr>
          <w:b w:val="0"/>
          <w:i w:val="0"/>
        </w:rPr>
        <w:t xml:space="preserve">; </w:t>
      </w:r>
      <w:r>
        <w:rPr>
          <w:b w:val="0"/>
          <w:i/>
        </w:rPr>
        <w:t>cogniti</w:t>
      </w:r>
      <w:r>
        <w:rPr>
          <w:b w:val="0"/>
          <w:i w:val="0"/>
        </w:rPr>
        <w:t xml:space="preserve">; </w:t>
      </w:r>
      <w:r>
        <w:rPr>
          <w:b w:val="0"/>
          <w:i/>
        </w:rPr>
        <w:t>cognoscat</w:t>
      </w:r>
      <w:r>
        <w:rPr>
          <w:b w:val="0"/>
          <w:i w:val="0"/>
        </w:rPr>
        <w:t xml:space="preserve">; </w:t>
      </w:r>
      <w:r>
        <w:rPr>
          <w:b w:val="0"/>
          <w:i/>
        </w:rPr>
        <w:t>cognoscere</w:t>
      </w:r>
      <w:r>
        <w:rPr>
          <w:b w:val="0"/>
          <w:i w:val="0"/>
        </w:rPr>
        <w:t>.</w:t>
      </w:r>
    </w:p>
    <w:p>
      <w:pPr>
        <w:widowControl/>
      </w:pPr>
      <w:r>
        <w:rPr>
          <w:b w:val="0"/>
          <w:i w:val="0"/>
        </w:rPr>
        <w:t xml:space="preserve">To know or come to recognize. Self-knowledge is made prior to recognizing God; Ficino also hopes mistaken readers will recognize their error, so recognition is not restricted to divine vision. References: </w:t>
      </w:r>
      <w:hyperlink w:anchor="passage-proem-1">
        <w:r>
          <w:rPr>
            <w:color w:val="000000"/>
          </w:rPr>
          <w:t xml:space="preserve">Proem.1</w:t>
        </w:r>
      </w:hyperlink>
      <w:r>
        <w:rPr>
          <w:b w:val="0"/>
          <w:i w:val="0"/>
        </w:rPr>
        <w:t xml:space="preserve">, </w:t>
      </w:r>
      <w:hyperlink w:anchor="passage-proem-4">
        <w:r>
          <w:rPr>
            <w:color w:val="000000"/>
          </w:rPr>
          <w:t xml:space="preserve">Proem.4</w:t>
        </w:r>
      </w:hyperlink>
      <w:r>
        <w:rPr>
          <w:b w:val="0"/>
          <w:i w:val="0"/>
        </w:rPr>
        <w:t xml:space="preserve">, </w:t>
      </w:r>
      <w:hyperlink w:anchor="passage-proem-5">
        <w:r>
          <w:rPr>
            <w:color w:val="000000"/>
          </w:rPr>
          <w:t xml:space="preserve">Proem.5</w:t>
        </w:r>
      </w:hyperlink>
      <w:r>
        <w:rPr>
          <w:b w:val="0"/>
          <w:i w:val="0"/>
        </w:rPr>
        <w:t xml:space="preserve">, </w:t>
      </w:r>
      <w:hyperlink w:anchor="passage-proem-8">
        <w:r>
          <w:rPr>
            <w:color w:val="000000"/>
          </w:rPr>
          <w:t xml:space="preserve">Proem.8</w:t>
        </w:r>
      </w:hyperlink>
      <w:r>
        <w:rPr>
          <w:b w:val="0"/>
          <w:i w:val="0"/>
        </w:rPr>
        <w:t xml:space="preserve">. See </w:t>
      </w:r>
      <w:hyperlink w:anchor="self-knowledge">
        <w:r>
          <w:rPr>
            <w:color w:val="000000"/>
          </w:rPr>
          <w:t xml:space="preserve">Self knowledge</w:t>
        </w:r>
      </w:hyperlink>
      <w:r>
        <w:rPr>
          <w:b w:val="0"/>
          <w:i w:val="0"/>
        </w:rPr>
        <w:t>.</w:t>
      </w:r>
    </w:p>
    <w:p>
      <w:pPr>
        <w:keepNext/>
        <w:widowControl/>
      </w:pPr>
      <w:bookmarkStart w:id="433" w:name="latin-record-0182"/>
      <w:bookmarkEnd w:id="433"/>
      <w:r>
        <w:rPr>
          <w:b/>
          <w:i w:val="0"/>
        </w:rPr>
        <w:t>cohibere / detinere</w:t>
      </w:r>
      <w:r>
        <w:rPr>
          <w:b/>
          <w:i w:val="0"/>
        </w:rPr>
        <w:t>.</w:t>
      </w:r>
      <w:r>
        <w:rPr>
          <w:b w:val="0"/>
          <w:i w:val="0"/>
        </w:rPr>
        <w:t xml:space="preserve"> Printed forms: </w:t>
      </w:r>
      <w:r>
        <w:rPr>
          <w:b w:val="0"/>
          <w:i/>
        </w:rPr>
        <w:t>cohiberi</w:t>
      </w:r>
      <w:r>
        <w:rPr>
          <w:b w:val="0"/>
          <w:i w:val="0"/>
        </w:rPr>
        <w:t xml:space="preserve">; </w:t>
      </w:r>
      <w:r>
        <w:rPr>
          <w:b w:val="0"/>
          <w:i/>
        </w:rPr>
        <w:t>cohibetur</w:t>
      </w:r>
      <w:r>
        <w:rPr>
          <w:b w:val="0"/>
          <w:i w:val="0"/>
        </w:rPr>
        <w:t xml:space="preserve">; </w:t>
      </w:r>
      <w:r>
        <w:rPr>
          <w:b w:val="0"/>
          <w:i/>
        </w:rPr>
        <w:t>detinerentur</w:t>
      </w:r>
      <w:r>
        <w:rPr>
          <w:b w:val="0"/>
          <w:i w:val="0"/>
        </w:rPr>
        <w:t>.</w:t>
      </w:r>
    </w:p>
    <w:p>
      <w:pPr>
        <w:widowControl/>
      </w:pPr>
      <w:r>
        <w:rPr>
          <w:b w:val="0"/>
          <w:i w:val="0"/>
        </w:rPr>
        <w:t xml:space="preserve">To restrain, contain, or hold in place. Dependent flow is sustained by stability; divine presence is not contained by a subject or place. References: </w:t>
      </w:r>
      <w:hyperlink w:anchor="passage-ii-3-8">
        <w:r>
          <w:rPr>
            <w:color w:val="000000"/>
          </w:rPr>
          <w:t xml:space="preserve">II.3.8</w:t>
        </w:r>
      </w:hyperlink>
      <w:r>
        <w:rPr>
          <w:b w:val="0"/>
          <w:i w:val="0"/>
        </w:rPr>
        <w:t xml:space="preserve">, </w:t>
      </w:r>
      <w:hyperlink w:anchor="passage-ii-6-8">
        <w:r>
          <w:rPr>
            <w:color w:val="000000"/>
          </w:rPr>
          <w:t xml:space="preserve">II.6.8</w:t>
        </w:r>
      </w:hyperlink>
      <w:r>
        <w:rPr>
          <w:b w:val="0"/>
          <w:i w:val="0"/>
        </w:rPr>
        <w:t xml:space="preserve">, </w:t>
      </w:r>
      <w:hyperlink w:anchor="passage-ii-7-8">
        <w:r>
          <w:rPr>
            <w:color w:val="000000"/>
          </w:rPr>
          <w:t xml:space="preserve">II.7.8</w:t>
        </w:r>
      </w:hyperlink>
      <w:r>
        <w:rPr>
          <w:b w:val="0"/>
          <w:i w:val="0"/>
        </w:rPr>
        <w:t xml:space="preserve">. See </w:t>
      </w:r>
      <w:hyperlink w:anchor="bounds-and-restriction">
        <w:r>
          <w:rPr>
            <w:color w:val="000000"/>
          </w:rPr>
          <w:t xml:space="preserve">Bounds and restriction</w:t>
        </w:r>
      </w:hyperlink>
      <w:r>
        <w:rPr>
          <w:b w:val="0"/>
          <w:i w:val="0"/>
        </w:rPr>
        <w:t>.</w:t>
      </w:r>
    </w:p>
    <w:p>
      <w:pPr>
        <w:keepNext/>
        <w:widowControl/>
      </w:pPr>
      <w:bookmarkStart w:id="434" w:name="latin-record-0183"/>
      <w:bookmarkEnd w:id="434"/>
      <w:r>
        <w:rPr>
          <w:b/>
          <w:i w:val="0"/>
        </w:rPr>
        <w:t>collige</w:t>
      </w:r>
      <w:r>
        <w:rPr>
          <w:b/>
          <w:i w:val="0"/>
        </w:rPr>
        <w:t>.</w:t>
      </w:r>
      <w:r>
        <w:rPr>
          <w:b w:val="0"/>
          <w:i w:val="0"/>
        </w:rPr>
        <w:t xml:space="preserve"> Printed forms: </w:t>
      </w:r>
      <w:r>
        <w:rPr>
          <w:b w:val="0"/>
          <w:i/>
        </w:rPr>
        <w:t>collige</w:t>
      </w:r>
      <w:r>
        <w:rPr>
          <w:b w:val="0"/>
          <w:i w:val="0"/>
        </w:rPr>
        <w:t>.</w:t>
      </w:r>
    </w:p>
    <w:p>
      <w:pPr>
        <w:widowControl/>
      </w:pPr>
      <w:r>
        <w:rPr>
          <w:b w:val="0"/>
          <w:i w:val="0"/>
        </w:rPr>
        <w:t xml:space="preserve">Collect or infer from the preceding considerations. Unlike gathering material power into a point, this imperative asks the reader to draw together the causal argument’s conclusions. References: </w:t>
      </w:r>
      <w:hyperlink w:anchor="passage-i-3-24">
        <w:r>
          <w:rPr>
            <w:color w:val="000000"/>
          </w:rPr>
          <w:t xml:space="preserve">I.3.24</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435" w:name="latin-record-0184"/>
      <w:bookmarkEnd w:id="435"/>
      <w:r>
        <w:rPr>
          <w:b/>
          <w:i w:val="0"/>
        </w:rPr>
        <w:t>colligere / reducere</w:t>
      </w:r>
      <w:r>
        <w:rPr>
          <w:b/>
          <w:i w:val="0"/>
        </w:rPr>
        <w:t>.</w:t>
      </w:r>
      <w:r>
        <w:rPr>
          <w:b w:val="0"/>
          <w:i w:val="0"/>
        </w:rPr>
        <w:t xml:space="preserve"> Printed forms: </w:t>
      </w:r>
      <w:r>
        <w:rPr>
          <w:b w:val="0"/>
          <w:i/>
        </w:rPr>
        <w:t>colligenda</w:t>
      </w:r>
      <w:r>
        <w:rPr>
          <w:b w:val="0"/>
          <w:i w:val="0"/>
        </w:rPr>
        <w:t xml:space="preserve">; </w:t>
      </w:r>
      <w:r>
        <w:rPr>
          <w:b w:val="0"/>
          <w:i/>
        </w:rPr>
        <w:t>reducamus</w:t>
      </w:r>
      <w:r>
        <w:rPr>
          <w:b w:val="0"/>
          <w:i w:val="0"/>
        </w:rPr>
        <w:t xml:space="preserve">; </w:t>
      </w:r>
      <w:r>
        <w:rPr>
          <w:b w:val="0"/>
          <w:i/>
        </w:rPr>
        <w:t>reducenda</w:t>
      </w:r>
      <w:r>
        <w:rPr>
          <w:b w:val="0"/>
          <w:i w:val="0"/>
        </w:rPr>
        <w:t>.</w:t>
      </w:r>
    </w:p>
    <w:p>
      <w:pPr>
        <w:widowControl/>
      </w:pPr>
      <w:r>
        <w:rPr>
          <w:b w:val="0"/>
          <w:i w:val="0"/>
        </w:rPr>
        <w:t xml:space="preserve">To gather or bring many under a smaller governing order. Multitude is reduced through a few ruling souls and sphere-souls toward one world-soul; this is hierarchical organization, not physical mixing. References: </w:t>
      </w:r>
      <w:hyperlink w:anchor="passage-iv-1-41">
        <w:r>
          <w:rPr>
            <w:color w:val="000000"/>
          </w:rPr>
          <w:t xml:space="preserve">IV.1.41</w:t>
        </w:r>
      </w:hyperlink>
      <w:r>
        <w:rPr>
          <w:b w:val="0"/>
          <w:i w:val="0"/>
        </w:rPr>
        <w:t xml:space="preserve">, </w:t>
      </w:r>
      <w:hyperlink w:anchor="passage-iv-1-50">
        <w:r>
          <w:rPr>
            <w:color w:val="000000"/>
          </w:rPr>
          <w:t xml:space="preserve">IV.1.50</w:t>
        </w:r>
      </w:hyperlink>
      <w:r>
        <w:rPr>
          <w:b w:val="0"/>
          <w:i w:val="0"/>
        </w:rPr>
        <w:t xml:space="preserve">. See </w:t>
      </w:r>
      <w:hyperlink w:anchor="twelve">
        <w:r>
          <w:rPr>
            <w:color w:val="000000"/>
          </w:rPr>
          <w:t xml:space="preserve">Twelve</w:t>
        </w:r>
      </w:hyperlink>
      <w:r>
        <w:rPr>
          <w:b w:val="0"/>
          <w:i w:val="0"/>
        </w:rPr>
        <w:t>.</w:t>
      </w:r>
    </w:p>
    <w:p>
      <w:pPr>
        <w:keepNext/>
        <w:widowControl/>
      </w:pPr>
      <w:bookmarkStart w:id="436" w:name="latin-record-0185"/>
      <w:bookmarkEnd w:id="436"/>
      <w:r>
        <w:rPr>
          <w:b/>
          <w:i w:val="0"/>
        </w:rPr>
        <w:t>collisio</w:t>
      </w:r>
      <w:r>
        <w:rPr>
          <w:b/>
          <w:i w:val="0"/>
        </w:rPr>
        <w:t>.</w:t>
      </w:r>
      <w:r>
        <w:rPr>
          <w:b w:val="0"/>
          <w:i w:val="0"/>
        </w:rPr>
        <w:t xml:space="preserve"> Printed forms: </w:t>
      </w:r>
      <w:r>
        <w:rPr>
          <w:b w:val="0"/>
          <w:i/>
        </w:rPr>
        <w:t>collisione</w:t>
      </w:r>
      <w:r>
        <w:rPr>
          <w:b w:val="0"/>
          <w:i w:val="0"/>
        </w:rPr>
        <w:t>.</w:t>
      </w:r>
    </w:p>
    <w:p>
      <w:pPr>
        <w:widowControl/>
      </w:pPr>
      <w:r>
        <w:rPr>
          <w:b w:val="0"/>
          <w:i w:val="0"/>
        </w:rPr>
        <w:t xml:space="preserve">A collision of bodies. Fire from cold colliding bodies illustrates the alleged insufficiency of remote potency without a substantial productive cause. References: </w:t>
      </w:r>
      <w:hyperlink w:anchor="passage-iv-1-19">
        <w:r>
          <w:rPr>
            <w:color w:val="000000"/>
          </w:rPr>
          <w:t xml:space="preserve">IV.1.19</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437" w:name="latin-record-0186"/>
      <w:bookmarkEnd w:id="437"/>
      <w:r>
        <w:rPr>
          <w:b/>
          <w:i w:val="0"/>
        </w:rPr>
        <w:t>collisio / reflexio / lana</w:t>
      </w:r>
      <w:r>
        <w:rPr>
          <w:b/>
          <w:i w:val="0"/>
        </w:rPr>
        <w:t>.</w:t>
      </w:r>
      <w:r>
        <w:rPr>
          <w:b w:val="0"/>
          <w:i w:val="0"/>
        </w:rPr>
        <w:t xml:space="preserve"> Printed forms: </w:t>
      </w:r>
      <w:r>
        <w:rPr>
          <w:b w:val="0"/>
          <w:i/>
        </w:rPr>
        <w:t>collisione</w:t>
      </w:r>
      <w:r>
        <w:rPr>
          <w:b w:val="0"/>
          <w:i w:val="0"/>
        </w:rPr>
        <w:t xml:space="preserve">; </w:t>
      </w:r>
      <w:r>
        <w:rPr>
          <w:b w:val="0"/>
          <w:i/>
        </w:rPr>
        <w:t>lana</w:t>
      </w:r>
      <w:r>
        <w:rPr>
          <w:b w:val="0"/>
          <w:i w:val="0"/>
        </w:rPr>
        <w:t xml:space="preserve">; </w:t>
      </w:r>
      <w:r>
        <w:rPr>
          <w:b w:val="0"/>
          <w:i/>
        </w:rPr>
        <w:t>lanam</w:t>
      </w:r>
      <w:r>
        <w:rPr>
          <w:b w:val="0"/>
          <w:i w:val="0"/>
        </w:rPr>
        <w:t xml:space="preserve">; </w:t>
      </w:r>
      <w:r>
        <w:rPr>
          <w:b w:val="0"/>
          <w:i/>
        </w:rPr>
        <w:t>reflexio</w:t>
      </w:r>
      <w:r>
        <w:rPr>
          <w:b w:val="0"/>
          <w:i w:val="0"/>
        </w:rPr>
        <w:t>.</w:t>
      </w:r>
    </w:p>
    <w:p>
      <w:pPr>
        <w:widowControl/>
      </w:pPr>
      <w:r>
        <w:rPr>
          <w:b w:val="0"/>
          <w:i w:val="0"/>
        </w:rPr>
        <w:t xml:space="preserve">Collision, reflection and wool. Cold bodies’ collision and reflected rays or hot iron distinguish heating from the substantial generation of fire in wool. References: </w:t>
      </w:r>
      <w:hyperlink w:anchor="passage-i-3-22">
        <w:r>
          <w:rPr>
            <w:color w:val="000000"/>
          </w:rPr>
          <w:t xml:space="preserve">I.3.22</w:t>
        </w:r>
      </w:hyperlink>
      <w:r>
        <w:rPr>
          <w:b w:val="0"/>
          <w:i w:val="0"/>
        </w:rPr>
        <w:t xml:space="preserve">. See </w:t>
      </w:r>
      <w:hyperlink w:anchor="fire-spark-lightning-and-cannon">
        <w:r>
          <w:rPr>
            <w:color w:val="000000"/>
          </w:rPr>
          <w:t xml:space="preserve">Fire, spark, lightning and cannon</w:t>
        </w:r>
      </w:hyperlink>
      <w:r>
        <w:rPr>
          <w:b w:val="0"/>
          <w:i w:val="0"/>
        </w:rPr>
        <w:t>.</w:t>
      </w:r>
    </w:p>
    <w:p>
      <w:pPr>
        <w:keepNext/>
        <w:widowControl/>
      </w:pPr>
      <w:bookmarkStart w:id="438" w:name="latin-record-0187"/>
      <w:bookmarkEnd w:id="438"/>
      <w:r>
        <w:rPr>
          <w:b/>
          <w:i w:val="0"/>
        </w:rPr>
        <w:t>collocare</w:t>
      </w:r>
      <w:r>
        <w:rPr>
          <w:b/>
          <w:i w:val="0"/>
        </w:rPr>
        <w:t>.</w:t>
      </w:r>
      <w:r>
        <w:rPr>
          <w:b w:val="0"/>
          <w:i w:val="0"/>
        </w:rPr>
        <w:t xml:space="preserve"> Printed forms: </w:t>
      </w:r>
      <w:r>
        <w:rPr>
          <w:b w:val="0"/>
          <w:i/>
        </w:rPr>
        <w:t>collocare</w:t>
      </w:r>
      <w:r>
        <w:rPr>
          <w:b w:val="0"/>
          <w:i w:val="0"/>
        </w:rPr>
        <w:t xml:space="preserve">; </w:t>
      </w:r>
      <w:r>
        <w:rPr>
          <w:b w:val="0"/>
          <w:i/>
        </w:rPr>
        <w:t>collocari</w:t>
      </w:r>
      <w:r>
        <w:rPr>
          <w:b w:val="0"/>
          <w:i w:val="0"/>
        </w:rPr>
        <w:t>.</w:t>
      </w:r>
    </w:p>
    <w:p>
      <w:pPr>
        <w:widowControl/>
      </w:pPr>
      <w:r>
        <w:rPr>
          <w:b w:val="0"/>
          <w:i w:val="0"/>
        </w:rPr>
        <w:t xml:space="preserve">To place in or locate within a bearer. God is not placed inside things as a spatial occupant; divine intelligence is not located in an essence distinct from it. References: </w:t>
      </w:r>
      <w:hyperlink w:anchor="passage-ii-6-13">
        <w:r>
          <w:rPr>
            <w:color w:val="000000"/>
          </w:rPr>
          <w:t xml:space="preserve">II.6.13</w:t>
        </w:r>
      </w:hyperlink>
      <w:r>
        <w:rPr>
          <w:b w:val="0"/>
          <w:i w:val="0"/>
        </w:rPr>
        <w:t xml:space="preserve">, </w:t>
      </w:r>
      <w:hyperlink w:anchor="passage-ii-9-7">
        <w:r>
          <w:rPr>
            <w:color w:val="000000"/>
          </w:rPr>
          <w:t xml:space="preserve">II.9.7</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439" w:name="latin-record-0188"/>
      <w:bookmarkEnd w:id="439"/>
      <w:r>
        <w:rPr>
          <w:b/>
          <w:i w:val="0"/>
        </w:rPr>
        <w:t>collocare / assignare</w:t>
      </w:r>
      <w:r>
        <w:rPr>
          <w:b/>
          <w:i w:val="0"/>
        </w:rPr>
        <w:t>.</w:t>
      </w:r>
      <w:r>
        <w:rPr>
          <w:b w:val="0"/>
          <w:i w:val="0"/>
        </w:rPr>
        <w:t xml:space="preserve"> Printed forms: </w:t>
      </w:r>
      <w:r>
        <w:rPr>
          <w:b w:val="0"/>
          <w:i/>
        </w:rPr>
        <w:t>assignare</w:t>
      </w:r>
      <w:r>
        <w:rPr>
          <w:b w:val="0"/>
          <w:i w:val="0"/>
        </w:rPr>
        <w:t xml:space="preserve">; </w:t>
      </w:r>
      <w:r>
        <w:rPr>
          <w:b w:val="0"/>
          <w:i/>
        </w:rPr>
        <w:t>assignatam</w:t>
      </w:r>
      <w:r>
        <w:rPr>
          <w:b w:val="0"/>
          <w:i w:val="0"/>
        </w:rPr>
        <w:t xml:space="preserve">; </w:t>
      </w:r>
      <w:r>
        <w:rPr>
          <w:b w:val="0"/>
          <w:i/>
        </w:rPr>
        <w:t>collocavimus</w:t>
      </w:r>
      <w:r>
        <w:rPr>
          <w:b w:val="0"/>
          <w:i w:val="0"/>
        </w:rPr>
        <w:t>.</w:t>
      </w:r>
    </w:p>
    <w:p>
      <w:pPr>
        <w:widowControl/>
      </w:pPr>
      <w:r>
        <w:rPr>
          <w:b w:val="0"/>
          <w:i w:val="0"/>
        </w:rPr>
        <w:t xml:space="preserve">To place or assign a role. Soul is placed in the middle, a determinate cause is assigned to convergence, and reason is assigned to the brain; the verb itself does not determine whether the location is spatial or explanatory. References: </w:t>
      </w:r>
      <w:hyperlink w:anchor="passage-iv-1-1">
        <w:r>
          <w:rPr>
            <w:color w:val="000000"/>
          </w:rPr>
          <w:t xml:space="preserve">IV.1.1</w:t>
        </w:r>
      </w:hyperlink>
      <w:r>
        <w:rPr>
          <w:b w:val="0"/>
          <w:i w:val="0"/>
        </w:rPr>
        <w:t xml:space="preserve">, </w:t>
      </w:r>
      <w:hyperlink w:anchor="passage-iv-1-8">
        <w:r>
          <w:rPr>
            <w:color w:val="000000"/>
          </w:rPr>
          <w:t xml:space="preserve">IV.1.8</w:t>
        </w:r>
      </w:hyperlink>
      <w:r>
        <w:rPr>
          <w:b w:val="0"/>
          <w:i w:val="0"/>
        </w:rPr>
        <w:t xml:space="preserve">, </w:t>
      </w:r>
      <w:hyperlink w:anchor="passage-iv-1-44">
        <w:r>
          <w:rPr>
            <w:color w:val="000000"/>
          </w:rPr>
          <w:t xml:space="preserve">IV.1.44</w:t>
        </w:r>
      </w:hyperlink>
      <w:r>
        <w:rPr>
          <w:b w:val="0"/>
          <w:i w:val="0"/>
        </w:rPr>
        <w:t xml:space="preserve">. See </w:t>
      </w:r>
      <w:hyperlink w:anchor="head-heart-and-members">
        <w:r>
          <w:rPr>
            <w:color w:val="000000"/>
          </w:rPr>
          <w:t xml:space="preserve">Head, heart, and members</w:t>
        </w:r>
      </w:hyperlink>
      <w:r>
        <w:rPr>
          <w:b w:val="0"/>
          <w:i w:val="0"/>
        </w:rPr>
        <w:t>.</w:t>
      </w:r>
    </w:p>
    <w:p>
      <w:pPr>
        <w:keepNext/>
        <w:widowControl/>
      </w:pPr>
      <w:bookmarkStart w:id="440" w:name="latin-record-0189"/>
      <w:bookmarkEnd w:id="440"/>
      <w:r>
        <w:rPr>
          <w:b/>
          <w:i w:val="0"/>
        </w:rPr>
        <w:t>colo / cultus</w:t>
      </w:r>
      <w:r>
        <w:rPr>
          <w:b/>
          <w:i w:val="0"/>
        </w:rPr>
        <w:t>.</w:t>
      </w:r>
      <w:r>
        <w:rPr>
          <w:b w:val="0"/>
          <w:i w:val="0"/>
        </w:rPr>
        <w:t xml:space="preserve"> Printed forms: </w:t>
      </w:r>
      <w:r>
        <w:rPr>
          <w:b w:val="0"/>
          <w:i/>
        </w:rPr>
        <w:t>colamus</w:t>
      </w:r>
      <w:r>
        <w:rPr>
          <w:b w:val="0"/>
          <w:i w:val="0"/>
        </w:rPr>
        <w:t xml:space="preserve">; </w:t>
      </w:r>
      <w:r>
        <w:rPr>
          <w:b w:val="0"/>
          <w:i/>
        </w:rPr>
        <w:t>colat</w:t>
      </w:r>
      <w:r>
        <w:rPr>
          <w:b w:val="0"/>
          <w:i w:val="0"/>
        </w:rPr>
        <w:t xml:space="preserve">; </w:t>
      </w:r>
      <w:r>
        <w:rPr>
          <w:b w:val="0"/>
          <w:i/>
        </w:rPr>
        <w:t>cultu</w:t>
      </w:r>
      <w:r>
        <w:rPr>
          <w:b w:val="0"/>
          <w:i w:val="0"/>
        </w:rPr>
        <w:t xml:space="preserve">; </w:t>
      </w:r>
      <w:r>
        <w:rPr>
          <w:b w:val="0"/>
          <w:i/>
        </w:rPr>
        <w:t>cultum</w:t>
      </w:r>
      <w:r>
        <w:rPr>
          <w:b w:val="0"/>
          <w:i w:val="0"/>
        </w:rPr>
        <w:t>.</w:t>
      </w:r>
    </w:p>
    <w:p>
      <w:pPr>
        <w:widowControl/>
      </w:pPr>
      <w:r>
        <w:rPr>
          <w:b w:val="0"/>
          <w:i w:val="0"/>
        </w:rPr>
        <w:t xml:space="preserve">To worship or honour, and the corresponding worship. The human relation to God involves worship as well as knowledge; Ficino uses this relation as a premise in the opening argument about blessedness. References: </w:t>
      </w:r>
      <w:hyperlink w:anchor="passage-proem-2">
        <w:r>
          <w:rPr>
            <w:color w:val="000000"/>
          </w:rPr>
          <w:t xml:space="preserve">Proem.2</w:t>
        </w:r>
      </w:hyperlink>
      <w:r>
        <w:rPr>
          <w:b w:val="0"/>
          <w:i w:val="0"/>
        </w:rPr>
        <w:t xml:space="preserve">, </w:t>
      </w:r>
      <w:hyperlink w:anchor="passage-proem-3">
        <w:r>
          <w:rPr>
            <w:color w:val="000000"/>
          </w:rPr>
          <w:t xml:space="preserve">Proem.3</w:t>
        </w:r>
      </w:hyperlink>
      <w:r>
        <w:rPr>
          <w:b w:val="0"/>
          <w:i w:val="0"/>
        </w:rPr>
        <w:t xml:space="preserve">, </w:t>
      </w:r>
      <w:hyperlink w:anchor="passage-proem-5">
        <w:r>
          <w:rPr>
            <w:color w:val="000000"/>
          </w:rPr>
          <w:t xml:space="preserve">Proem.5</w:t>
        </w:r>
      </w:hyperlink>
      <w:r>
        <w:rPr>
          <w:b w:val="0"/>
          <w:i w:val="0"/>
        </w:rPr>
        <w:t xml:space="preserve">, </w:t>
      </w:r>
      <w:hyperlink w:anchor="passage-proem-7">
        <w:r>
          <w:rPr>
            <w:color w:val="000000"/>
          </w:rPr>
          <w:t xml:space="preserve">Proem.7</w:t>
        </w:r>
      </w:hyperlink>
      <w:r>
        <w:rPr>
          <w:b w:val="0"/>
          <w:i w:val="0"/>
        </w:rPr>
        <w:t xml:space="preserve">, </w:t>
      </w:r>
      <w:hyperlink w:anchor="passage-i-1-1">
        <w:r>
          <w:rPr>
            <w:color w:val="000000"/>
          </w:rPr>
          <w:t xml:space="preserve">I.1.1</w:t>
        </w:r>
      </w:hyperlink>
      <w:r>
        <w:rPr>
          <w:b w:val="0"/>
          <w:i w:val="0"/>
        </w:rPr>
        <w:t xml:space="preserve">. See </w:t>
      </w:r>
      <w:hyperlink w:anchor="worship-and-piety">
        <w:r>
          <w:rPr>
            <w:color w:val="000000"/>
          </w:rPr>
          <w:t xml:space="preserve">Worship and piety</w:t>
        </w:r>
      </w:hyperlink>
      <w:r>
        <w:rPr>
          <w:b w:val="0"/>
          <w:i w:val="0"/>
        </w:rPr>
        <w:t>.</w:t>
      </w:r>
    </w:p>
    <w:p>
      <w:pPr>
        <w:keepNext/>
        <w:widowControl/>
      </w:pPr>
      <w:bookmarkStart w:id="441" w:name="latin-record-0190"/>
      <w:bookmarkEnd w:id="441"/>
      <w:r>
        <w:rPr>
          <w:b/>
          <w:i w:val="0"/>
        </w:rPr>
        <w:t>color / lumen</w:t>
      </w:r>
      <w:r>
        <w:rPr>
          <w:b/>
          <w:i w:val="0"/>
        </w:rPr>
        <w:t>.</w:t>
      </w:r>
      <w:r>
        <w:rPr>
          <w:b w:val="0"/>
          <w:i w:val="0"/>
        </w:rPr>
        <w:t xml:space="preserve"> Printed forms: </w:t>
      </w:r>
      <w:r>
        <w:rPr>
          <w:b w:val="0"/>
          <w:i/>
        </w:rPr>
        <w:t>color</w:t>
      </w:r>
      <w:r>
        <w:rPr>
          <w:b w:val="0"/>
          <w:i w:val="0"/>
        </w:rPr>
        <w:t xml:space="preserve">; </w:t>
      </w:r>
      <w:r>
        <w:rPr>
          <w:b w:val="0"/>
          <w:i/>
        </w:rPr>
        <w:t>lumenque</w:t>
      </w:r>
      <w:r>
        <w:rPr>
          <w:b w:val="0"/>
          <w:i w:val="0"/>
        </w:rPr>
        <w:t xml:space="preserve">; </w:t>
      </w:r>
      <w:r>
        <w:rPr>
          <w:b w:val="0"/>
          <w:i/>
        </w:rPr>
        <w:t>luminis</w:t>
      </w:r>
      <w:r>
        <w:rPr>
          <w:b w:val="0"/>
          <w:i w:val="0"/>
        </w:rPr>
        <w:t>.</w:t>
      </w:r>
    </w:p>
    <w:p>
      <w:pPr>
        <w:widowControl/>
      </w:pPr>
      <w:r>
        <w:rPr>
          <w:b w:val="0"/>
          <w:i w:val="0"/>
        </w:rPr>
        <w:t xml:space="preserve">Colour and light. Their sensible efficacy mediates judgement of bodily quantity; the terms here are used in a perceptual example, not only in divine illumination imagery. References: </w:t>
      </w:r>
      <w:hyperlink w:anchor="passage-i-2-13">
        <w:r>
          <w:rPr>
            <w:color w:val="000000"/>
          </w:rPr>
          <w:t xml:space="preserve">I.2.13</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442" w:name="latin-record-0191"/>
      <w:bookmarkEnd w:id="442"/>
      <w:r>
        <w:rPr>
          <w:b/>
          <w:i w:val="0"/>
        </w:rPr>
        <w:t>comburere / calefacere</w:t>
      </w:r>
      <w:r>
        <w:rPr>
          <w:b/>
          <w:i w:val="0"/>
        </w:rPr>
        <w:t>.</w:t>
      </w:r>
      <w:r>
        <w:rPr>
          <w:b w:val="0"/>
          <w:i w:val="0"/>
        </w:rPr>
        <w:t xml:space="preserve"> Printed forms: </w:t>
      </w:r>
      <w:r>
        <w:rPr>
          <w:b w:val="0"/>
          <w:i/>
        </w:rPr>
        <w:t>calefacit</w:t>
      </w:r>
      <w:r>
        <w:rPr>
          <w:b w:val="0"/>
          <w:i w:val="0"/>
        </w:rPr>
        <w:t xml:space="preserve">; </w:t>
      </w:r>
      <w:r>
        <w:rPr>
          <w:b w:val="0"/>
          <w:i/>
        </w:rPr>
        <w:t>calefiat</w:t>
      </w:r>
      <w:r>
        <w:rPr>
          <w:b w:val="0"/>
          <w:i w:val="0"/>
        </w:rPr>
        <w:t xml:space="preserve">; </w:t>
      </w:r>
      <w:r>
        <w:rPr>
          <w:b w:val="0"/>
          <w:i/>
        </w:rPr>
        <w:t>comburendum</w:t>
      </w:r>
      <w:r>
        <w:rPr>
          <w:b w:val="0"/>
          <w:i w:val="0"/>
        </w:rPr>
        <w:t>.</w:t>
      </w:r>
    </w:p>
    <w:p>
      <w:pPr>
        <w:widowControl/>
      </w:pPr>
      <w:r>
        <w:rPr>
          <w:b w:val="0"/>
          <w:i w:val="0"/>
        </w:rPr>
        <w:t xml:space="preserve">Burn / make hot. The burning or heating example isolates a natural agent determined to its characteristic work. References: </w:t>
      </w:r>
      <w:hyperlink w:anchor="passage-ii-11-7">
        <w:r>
          <w:rPr>
            <w:color w:val="000000"/>
          </w:rPr>
          <w:t xml:space="preserve">II.11.7</w:t>
        </w:r>
      </w:hyperlink>
      <w:r>
        <w:rPr>
          <w:b w:val="0"/>
          <w:i w:val="0"/>
        </w:rPr>
        <w:t xml:space="preserve">, </w:t>
      </w:r>
      <w:hyperlink w:anchor="passage-ii-11-8">
        <w:r>
          <w:rPr>
            <w:color w:val="000000"/>
          </w:rPr>
          <w:t xml:space="preserve">II.11.8</w:t>
        </w:r>
      </w:hyperlink>
      <w:r>
        <w:rPr>
          <w:b w:val="0"/>
          <w:i w:val="0"/>
        </w:rPr>
        <w:t xml:space="preserve">. See </w:t>
      </w:r>
      <w:hyperlink w:anchor="fire-and-variable-materials">
        <w:r>
          <w:rPr>
            <w:color w:val="000000"/>
          </w:rPr>
          <w:t xml:space="preserve">Fire and variable materials</w:t>
        </w:r>
      </w:hyperlink>
      <w:r>
        <w:rPr>
          <w:b w:val="0"/>
          <w:i w:val="0"/>
        </w:rPr>
        <w:t>.</w:t>
      </w:r>
    </w:p>
    <w:p>
      <w:pPr>
        <w:keepNext/>
        <w:widowControl/>
      </w:pPr>
      <w:bookmarkStart w:id="443" w:name="latin-record-0192"/>
      <w:bookmarkEnd w:id="443"/>
      <w:r>
        <w:rPr>
          <w:b/>
          <w:i w:val="0"/>
        </w:rPr>
        <w:t>comes</w:t>
      </w:r>
      <w:r>
        <w:rPr>
          <w:b/>
          <w:i w:val="0"/>
        </w:rPr>
        <w:t>.</w:t>
      </w:r>
      <w:r>
        <w:rPr>
          <w:b w:val="0"/>
          <w:i w:val="0"/>
        </w:rPr>
        <w:t xml:space="preserve"> Printed forms: </w:t>
      </w:r>
      <w:r>
        <w:rPr>
          <w:b w:val="0"/>
          <w:i/>
        </w:rPr>
        <w:t>comes</w:t>
      </w:r>
      <w:r>
        <w:rPr>
          <w:b w:val="0"/>
          <w:i w:val="0"/>
        </w:rPr>
        <w:t>.</w:t>
      </w:r>
    </w:p>
    <w:p>
      <w:pPr>
        <w:widowControl/>
      </w:pPr>
      <w:r>
        <w:rPr>
          <w:b w:val="0"/>
          <w:i w:val="0"/>
        </w:rPr>
        <w:t xml:space="preserve">An attendant or companion. Time accompanies spiritual activity and place body, explaining the priority of temporal to spatial multiplicity in the descent. References: </w:t>
      </w:r>
      <w:hyperlink w:anchor="passage-iv-2-8">
        <w:r>
          <w:rPr>
            <w:color w:val="000000"/>
          </w:rPr>
          <w:t xml:space="preserve">IV.2.8</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444" w:name="latin-record-0193"/>
      <w:bookmarkEnd w:id="444"/>
      <w:r>
        <w:rPr>
          <w:b/>
          <w:i w:val="0"/>
        </w:rPr>
        <w:t>comitari / contingere</w:t>
      </w:r>
      <w:r>
        <w:rPr>
          <w:b/>
          <w:i w:val="0"/>
        </w:rPr>
        <w:t>.</w:t>
      </w:r>
      <w:r>
        <w:rPr>
          <w:b w:val="0"/>
          <w:i w:val="0"/>
        </w:rPr>
        <w:t xml:space="preserve"> Printed forms: </w:t>
      </w:r>
      <w:r>
        <w:rPr>
          <w:b w:val="0"/>
          <w:i/>
        </w:rPr>
        <w:t>comitantur</w:t>
      </w:r>
      <w:r>
        <w:rPr>
          <w:b w:val="0"/>
          <w:i w:val="0"/>
        </w:rPr>
        <w:t xml:space="preserve">; </w:t>
      </w:r>
      <w:r>
        <w:rPr>
          <w:b w:val="0"/>
          <w:i/>
        </w:rPr>
        <w:t>contingunt</w:t>
      </w:r>
      <w:r>
        <w:rPr>
          <w:b w:val="0"/>
          <w:i w:val="0"/>
        </w:rPr>
        <w:t>.</w:t>
      </w:r>
    </w:p>
    <w:p>
      <w:pPr>
        <w:widowControl/>
      </w:pPr>
      <w:r>
        <w:rPr>
          <w:b w:val="0"/>
          <w:i w:val="0"/>
        </w:rPr>
        <w:t xml:space="preserve">Accompany / accrue or happen to. Original accidental features accompany the house; later paintings accrue to it after completion. Contingunt here need not mean chance. References: </w:t>
      </w:r>
      <w:hyperlink w:anchor="passage-ii-11-21">
        <w:r>
          <w:rPr>
            <w:color w:val="000000"/>
          </w:rPr>
          <w:t xml:space="preserve">II.11.21</w:t>
        </w:r>
      </w:hyperlink>
      <w:r>
        <w:rPr>
          <w:b w:val="0"/>
          <w:i w:val="0"/>
        </w:rPr>
        <w:t xml:space="preserve">. See </w:t>
      </w:r>
      <w:hyperlink w:anchor="architect-and-house">
        <w:r>
          <w:rPr>
            <w:color w:val="000000"/>
          </w:rPr>
          <w:t xml:space="preserve">Architect, house and decoration</w:t>
        </w:r>
      </w:hyperlink>
      <w:r>
        <w:rPr>
          <w:b w:val="0"/>
          <w:i w:val="0"/>
        </w:rPr>
        <w:t>.</w:t>
      </w:r>
    </w:p>
    <w:p>
      <w:pPr>
        <w:keepNext/>
        <w:widowControl/>
      </w:pPr>
      <w:bookmarkStart w:id="445" w:name="latin-record-0194"/>
      <w:bookmarkEnd w:id="445"/>
      <w:r>
        <w:rPr>
          <w:b/>
          <w:i w:val="0"/>
        </w:rPr>
        <w:t>commigro</w:t>
      </w:r>
      <w:r>
        <w:rPr>
          <w:b/>
          <w:i w:val="0"/>
        </w:rPr>
        <w:t>.</w:t>
      </w:r>
      <w:r>
        <w:rPr>
          <w:b w:val="0"/>
          <w:i w:val="0"/>
        </w:rPr>
        <w:t xml:space="preserve"> Printed forms: </w:t>
      </w:r>
      <w:r>
        <w:rPr>
          <w:b w:val="0"/>
          <w:i/>
        </w:rPr>
        <w:t>commigrare</w:t>
      </w:r>
      <w:r>
        <w:rPr>
          <w:b w:val="0"/>
          <w:i w:val="0"/>
        </w:rPr>
        <w:t>.</w:t>
      </w:r>
    </w:p>
    <w:p>
      <w:pPr>
        <w:widowControl/>
      </w:pPr>
      <w:r>
        <w:rPr>
          <w:b w:val="0"/>
          <w:i w:val="0"/>
        </w:rPr>
        <w:t xml:space="preserve">To migrate together into one place. Bodies cannot merge into a single place in the argument about their mutual obstruction; the verb concerns spatial occupation, not migration of souls. References: </w:t>
      </w:r>
      <w:hyperlink w:anchor="passage-i-2-2">
        <w:r>
          <w:rPr>
            <w:color w:val="000000"/>
          </w:rPr>
          <w:t xml:space="preserve">I.2.2</w:t>
        </w:r>
      </w:hyperlink>
      <w:r>
        <w:rPr>
          <w:b w:val="0"/>
          <w:i w:val="0"/>
        </w:rPr>
        <w:t xml:space="preserve">. See </w:t>
      </w:r>
      <w:hyperlink w:anchor="body-and-bulk">
        <w:r>
          <w:rPr>
            <w:color w:val="000000"/>
          </w:rPr>
          <w:t xml:space="preserve">Body and bulk</w:t>
        </w:r>
      </w:hyperlink>
      <w:r>
        <w:rPr>
          <w:b w:val="0"/>
          <w:i w:val="0"/>
        </w:rPr>
        <w:t>.</w:t>
      </w:r>
    </w:p>
    <w:p>
      <w:pPr>
        <w:keepNext/>
        <w:widowControl/>
      </w:pPr>
      <w:bookmarkStart w:id="446" w:name="latin-record-0195"/>
      <w:bookmarkEnd w:id="446"/>
      <w:r>
        <w:rPr>
          <w:b/>
          <w:i w:val="0"/>
        </w:rPr>
        <w:t>commiscere / mixtio</w:t>
      </w:r>
      <w:r>
        <w:rPr>
          <w:b/>
          <w:i w:val="0"/>
        </w:rPr>
        <w:t>.</w:t>
      </w:r>
      <w:r>
        <w:rPr>
          <w:b w:val="0"/>
          <w:i w:val="0"/>
        </w:rPr>
        <w:t xml:space="preserve"> Printed forms: </w:t>
      </w:r>
      <w:r>
        <w:rPr>
          <w:b w:val="0"/>
          <w:i/>
        </w:rPr>
        <w:t>commiscetur</w:t>
      </w:r>
      <w:r>
        <w:rPr>
          <w:b w:val="0"/>
          <w:i w:val="0"/>
        </w:rPr>
        <w:t xml:space="preserve">; </w:t>
      </w:r>
      <w:r>
        <w:rPr>
          <w:b w:val="0"/>
          <w:i/>
        </w:rPr>
        <w:t>commixtione</w:t>
      </w:r>
      <w:r>
        <w:rPr>
          <w:b w:val="0"/>
          <w:i w:val="0"/>
        </w:rPr>
        <w:t xml:space="preserve">; </w:t>
      </w:r>
      <w:r>
        <w:rPr>
          <w:b w:val="0"/>
          <w:i/>
        </w:rPr>
        <w:t>immixtam</w:t>
      </w:r>
      <w:r>
        <w:rPr>
          <w:b w:val="0"/>
          <w:i w:val="0"/>
        </w:rPr>
        <w:t xml:space="preserve">; </w:t>
      </w:r>
      <w:r>
        <w:rPr>
          <w:b w:val="0"/>
          <w:i/>
        </w:rPr>
        <w:t>miscetur</w:t>
      </w:r>
      <w:r>
        <w:rPr>
          <w:b w:val="0"/>
          <w:i w:val="0"/>
        </w:rPr>
        <w:t xml:space="preserve">; </w:t>
      </w:r>
      <w:r>
        <w:rPr>
          <w:b w:val="0"/>
          <w:i/>
        </w:rPr>
        <w:t>mixta</w:t>
      </w:r>
      <w:r>
        <w:rPr>
          <w:b w:val="0"/>
          <w:i w:val="0"/>
        </w:rPr>
        <w:t xml:space="preserve">; </w:t>
      </w:r>
      <w:r>
        <w:rPr>
          <w:b w:val="0"/>
          <w:i/>
        </w:rPr>
        <w:t>mixtionem</w:t>
      </w:r>
      <w:r>
        <w:rPr>
          <w:b w:val="0"/>
          <w:i w:val="0"/>
        </w:rPr>
        <w:t>.</w:t>
      </w:r>
    </w:p>
    <w:p>
      <w:pPr>
        <w:widowControl/>
      </w:pPr>
      <w:r>
        <w:rPr>
          <w:b w:val="0"/>
          <w:i w:val="0"/>
        </w:rPr>
        <w:t xml:space="preserve">Mingling or admixture, and the resulting mixed condition. An added differentiating feature would compromise the purity needed for supreme light or necessary being. References: </w:t>
      </w:r>
      <w:hyperlink w:anchor="passage-ii-1-1">
        <w:r>
          <w:rPr>
            <w:color w:val="000000"/>
          </w:rPr>
          <w:t xml:space="preserve">II.1.1</w:t>
        </w:r>
      </w:hyperlink>
      <w:r>
        <w:rPr>
          <w:b w:val="0"/>
          <w:i w:val="0"/>
        </w:rPr>
        <w:t xml:space="preserve">, </w:t>
      </w:r>
      <w:hyperlink w:anchor="passage-ii-1-4">
        <w:r>
          <w:rPr>
            <w:color w:val="000000"/>
          </w:rPr>
          <w:t xml:space="preserve">II.1.4</w:t>
        </w:r>
      </w:hyperlink>
      <w:r>
        <w:rPr>
          <w:b w:val="0"/>
          <w:i w:val="0"/>
        </w:rPr>
        <w:t xml:space="preserve">, </w:t>
      </w:r>
      <w:hyperlink w:anchor="passage-ii-2-6">
        <w:r>
          <w:rPr>
            <w:color w:val="000000"/>
          </w:rPr>
          <w:t xml:space="preserve">II.2.6</w:t>
        </w:r>
      </w:hyperlink>
      <w:r>
        <w:rPr>
          <w:b w:val="0"/>
          <w:i w:val="0"/>
        </w:rPr>
        <w:t xml:space="preserve">, </w:t>
      </w:r>
      <w:hyperlink w:anchor="passage-ii-7-13">
        <w:r>
          <w:rPr>
            <w:color w:val="000000"/>
          </w:rPr>
          <w:t xml:space="preserve">II.7.13</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447" w:name="latin-record-0196"/>
      <w:bookmarkEnd w:id="447"/>
      <w:r>
        <w:rPr>
          <w:b/>
          <w:i w:val="0"/>
        </w:rPr>
        <w:t>commodum / apparens</w:t>
      </w:r>
      <w:r>
        <w:rPr>
          <w:b/>
          <w:i w:val="0"/>
        </w:rPr>
        <w:t>.</w:t>
      </w:r>
      <w:r>
        <w:rPr>
          <w:b w:val="0"/>
          <w:i w:val="0"/>
        </w:rPr>
        <w:t xml:space="preserve"> Printed forms: </w:t>
      </w:r>
      <w:r>
        <w:rPr>
          <w:b w:val="0"/>
          <w:i/>
        </w:rPr>
        <w:t>apparens</w:t>
      </w:r>
      <w:r>
        <w:rPr>
          <w:b w:val="0"/>
          <w:i w:val="0"/>
        </w:rPr>
        <w:t xml:space="preserve">; </w:t>
      </w:r>
      <w:r>
        <w:rPr>
          <w:b w:val="0"/>
          <w:i/>
        </w:rPr>
        <w:t>commodum</w:t>
      </w:r>
      <w:r>
        <w:rPr>
          <w:b w:val="0"/>
          <w:i w:val="0"/>
        </w:rPr>
        <w:t>.</w:t>
      </w:r>
    </w:p>
    <w:p>
      <w:pPr>
        <w:widowControl/>
      </w:pPr>
      <w:r>
        <w:rPr>
          <w:b w:val="0"/>
          <w:i w:val="0"/>
        </w:rPr>
        <w:t xml:space="preserve">Apparent / advantage or benefit. The apparent advantage of a single part is distinguished from the good of the universe’s order. References: </w:t>
      </w:r>
      <w:hyperlink w:anchor="passage-ii-12-19">
        <w:r>
          <w:rPr>
            <w:color w:val="000000"/>
          </w:rPr>
          <w:t xml:space="preserve">II.12.19</w:t>
        </w:r>
      </w:hyperlink>
      <w:r>
        <w:rPr>
          <w:b w:val="0"/>
          <w:i w:val="0"/>
        </w:rPr>
        <w:t xml:space="preserve">. See </w:t>
      </w:r>
      <w:hyperlink w:anchor="perfection">
        <w:r>
          <w:rPr>
            <w:color w:val="000000"/>
          </w:rPr>
          <w:t xml:space="preserve">Perfection</w:t>
        </w:r>
      </w:hyperlink>
      <w:r>
        <w:rPr>
          <w:b w:val="0"/>
          <w:i w:val="0"/>
        </w:rPr>
        <w:t>.</w:t>
      </w:r>
    </w:p>
    <w:p>
      <w:pPr>
        <w:keepNext/>
        <w:widowControl/>
      </w:pPr>
      <w:bookmarkStart w:id="448" w:name="latin-record-0197"/>
      <w:bookmarkEnd w:id="448"/>
      <w:r>
        <w:rPr>
          <w:b/>
          <w:i w:val="0"/>
        </w:rPr>
        <w:t>commune / totum in singulis</w:t>
      </w:r>
      <w:r>
        <w:rPr>
          <w:b/>
          <w:i w:val="0"/>
        </w:rPr>
        <w:t>.</w:t>
      </w:r>
      <w:r>
        <w:rPr>
          <w:b w:val="0"/>
          <w:i w:val="0"/>
        </w:rPr>
        <w:t xml:space="preserve"> Printed forms: </w:t>
      </w:r>
      <w:r>
        <w:rPr>
          <w:b w:val="0"/>
          <w:i/>
        </w:rPr>
        <w:t>commune</w:t>
      </w:r>
      <w:r>
        <w:rPr>
          <w:b w:val="0"/>
          <w:i w:val="0"/>
        </w:rPr>
        <w:t xml:space="preserve">; </w:t>
      </w:r>
      <w:r>
        <w:rPr>
          <w:b w:val="0"/>
          <w:i/>
        </w:rPr>
        <w:t>totumque in singulis</w:t>
      </w:r>
      <w:r>
        <w:rPr>
          <w:b w:val="0"/>
          <w:i w:val="0"/>
        </w:rPr>
        <w:t>.</w:t>
      </w:r>
    </w:p>
    <w:p>
      <w:pPr>
        <w:widowControl/>
      </w:pPr>
      <w:r>
        <w:rPr>
          <w:b w:val="0"/>
          <w:i w:val="0"/>
        </w:rPr>
        <w:t xml:space="preserve">What is common to parts and whole in each. Unity cannot be divided among parts without requiring a further unifier; its nonpartitive presence supports the case for incorporeality. References: </w:t>
      </w:r>
      <w:hyperlink w:anchor="passage-i-3-30">
        <w:r>
          <w:rPr>
            <w:color w:val="000000"/>
          </w:rPr>
          <w:t xml:space="preserve">I.3.30</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449" w:name="latin-record-0198"/>
      <w:bookmarkEnd w:id="449"/>
      <w:r>
        <w:rPr>
          <w:b/>
          <w:i w:val="0"/>
        </w:rPr>
        <w:t>communicare</w:t>
      </w:r>
      <w:r>
        <w:rPr>
          <w:b/>
          <w:i w:val="0"/>
        </w:rPr>
        <w:t>.</w:t>
      </w:r>
      <w:r>
        <w:rPr>
          <w:b w:val="0"/>
          <w:i w:val="0"/>
        </w:rPr>
        <w:t xml:space="preserve"> Printed forms: </w:t>
      </w:r>
      <w:r>
        <w:rPr>
          <w:b w:val="0"/>
          <w:i/>
        </w:rPr>
        <w:t>communicandam</w:t>
      </w:r>
      <w:r>
        <w:rPr>
          <w:b w:val="0"/>
          <w:i w:val="0"/>
        </w:rPr>
        <w:t xml:space="preserve">; </w:t>
      </w:r>
      <w:r>
        <w:rPr>
          <w:b w:val="0"/>
          <w:i/>
        </w:rPr>
        <w:t>communicari</w:t>
      </w:r>
      <w:r>
        <w:rPr>
          <w:b w:val="0"/>
          <w:i w:val="0"/>
        </w:rPr>
        <w:t xml:space="preserve">; </w:t>
      </w:r>
      <w:r>
        <w:rPr>
          <w:b w:val="0"/>
          <w:i/>
        </w:rPr>
        <w:t>communicat</w:t>
      </w:r>
      <w:r>
        <w:rPr>
          <w:b w:val="0"/>
          <w:i w:val="0"/>
        </w:rPr>
        <w:t xml:space="preserve">; </w:t>
      </w:r>
      <w:r>
        <w:rPr>
          <w:b w:val="0"/>
          <w:i/>
        </w:rPr>
        <w:t>communicatur</w:t>
      </w:r>
      <w:r>
        <w:rPr>
          <w:b w:val="0"/>
          <w:i w:val="0"/>
        </w:rPr>
        <w:t>.</w:t>
      </w:r>
    </w:p>
    <w:p>
      <w:pPr>
        <w:widowControl/>
      </w:pPr>
      <w:r>
        <w:rPr>
          <w:b w:val="0"/>
          <w:i w:val="0"/>
        </w:rPr>
        <w:t xml:space="preserve">To share or impart being and goodness. Different modes of communicated goodness explain variety in creatures and the distinctness of divine knowledge. References: </w:t>
      </w:r>
      <w:hyperlink w:anchor="passage-ii-7-4">
        <w:r>
          <w:rPr>
            <w:color w:val="000000"/>
          </w:rPr>
          <w:t xml:space="preserve">II.7.4</w:t>
        </w:r>
      </w:hyperlink>
      <w:r>
        <w:rPr>
          <w:b w:val="0"/>
          <w:i w:val="0"/>
        </w:rPr>
        <w:t xml:space="preserve">, </w:t>
      </w:r>
      <w:hyperlink w:anchor="passage-ii-9-15">
        <w:r>
          <w:rPr>
            <w:color w:val="000000"/>
          </w:rPr>
          <w:t xml:space="preserve">II.9.15</w:t>
        </w:r>
      </w:hyperlink>
      <w:r>
        <w:rPr>
          <w:b w:val="0"/>
          <w:i w:val="0"/>
        </w:rPr>
        <w:t xml:space="preserve">. See </w:t>
      </w:r>
      <w:hyperlink w:anchor="communication-and-imparting">
        <w:r>
          <w:rPr>
            <w:color w:val="000000"/>
          </w:rPr>
          <w:t xml:space="preserve">Communication and imparting</w:t>
        </w:r>
      </w:hyperlink>
      <w:r>
        <w:rPr>
          <w:b w:val="0"/>
          <w:i w:val="0"/>
        </w:rPr>
        <w:t>.</w:t>
      </w:r>
    </w:p>
    <w:p>
      <w:pPr>
        <w:keepNext/>
        <w:widowControl/>
      </w:pPr>
      <w:bookmarkStart w:id="450" w:name="latin-record-0199"/>
      <w:bookmarkEnd w:id="450"/>
      <w:r>
        <w:rPr>
          <w:b/>
          <w:i w:val="0"/>
        </w:rPr>
        <w:t>communicare — imparting and sharing</w:t>
      </w:r>
      <w:r>
        <w:rPr>
          <w:b/>
          <w:i w:val="0"/>
        </w:rPr>
        <w:t>.</w:t>
      </w:r>
      <w:r>
        <w:rPr>
          <w:b w:val="0"/>
          <w:i w:val="0"/>
        </w:rPr>
        <w:t xml:space="preserve"> Printed forms: </w:t>
      </w:r>
      <w:r>
        <w:rPr>
          <w:b w:val="0"/>
          <w:i/>
        </w:rPr>
        <w:t>communicant</w:t>
      </w:r>
      <w:r>
        <w:rPr>
          <w:b w:val="0"/>
          <w:i w:val="0"/>
        </w:rPr>
        <w:t xml:space="preserve">; </w:t>
      </w:r>
      <w:r>
        <w:rPr>
          <w:b w:val="0"/>
          <w:i/>
        </w:rPr>
        <w:t>communicat</w:t>
      </w:r>
      <w:r>
        <w:rPr>
          <w:b w:val="0"/>
          <w:i w:val="0"/>
        </w:rPr>
        <w:t>.</w:t>
      </w:r>
    </w:p>
    <w:p>
      <w:pPr>
        <w:widowControl/>
      </w:pPr>
      <w:r>
        <w:rPr>
          <w:b w:val="0"/>
          <w:i w:val="0"/>
        </w:rPr>
        <w:t xml:space="preserve">To impart or give a share; with cum, to share or have communion with. The world’s members impart their powers to one another. Celestial soul is like angelic mind insofar as it shares with that mind, while remaining unlike it in another respect. The latter occurrence concerns participation or affinity, not a transfer of information. References: </w:t>
      </w:r>
      <w:hyperlink w:anchor="passage-iv-1-82">
        <w:r>
          <w:rPr>
            <w:color w:val="000000"/>
          </w:rPr>
          <w:t xml:space="preserve">IV.1.82</w:t>
        </w:r>
      </w:hyperlink>
      <w:r>
        <w:rPr>
          <w:b w:val="0"/>
          <w:i w:val="0"/>
        </w:rPr>
        <w:t xml:space="preserve">, </w:t>
      </w:r>
      <w:hyperlink w:anchor="passage-iv-2-10">
        <w:r>
          <w:rPr>
            <w:color w:val="000000"/>
          </w:rPr>
          <w:t xml:space="preserve">IV.2.10</w:t>
        </w:r>
      </w:hyperlink>
      <w:r>
        <w:rPr>
          <w:b w:val="0"/>
          <w:i w:val="0"/>
        </w:rPr>
        <w:t xml:space="preserve">. See </w:t>
      </w:r>
      <w:hyperlink w:anchor="communication-and-imparting">
        <w:r>
          <w:rPr>
            <w:color w:val="000000"/>
          </w:rPr>
          <w:t xml:space="preserve">Communication and imparting</w:t>
        </w:r>
      </w:hyperlink>
      <w:r>
        <w:rPr>
          <w:b w:val="0"/>
          <w:i w:val="0"/>
        </w:rPr>
        <w:t>.</w:t>
      </w:r>
    </w:p>
    <w:p>
      <w:pPr>
        <w:keepNext/>
        <w:widowControl/>
      </w:pPr>
      <w:bookmarkStart w:id="451" w:name="latin-record-0200"/>
      <w:bookmarkEnd w:id="451"/>
      <w:r>
        <w:rPr>
          <w:b/>
          <w:i w:val="0"/>
        </w:rPr>
        <w:t>communio</w:t>
      </w:r>
      <w:r>
        <w:rPr>
          <w:b/>
          <w:i w:val="0"/>
        </w:rPr>
        <w:t>.</w:t>
      </w:r>
      <w:r>
        <w:rPr>
          <w:b w:val="0"/>
          <w:i w:val="0"/>
        </w:rPr>
        <w:t xml:space="preserve"> Printed forms: </w:t>
      </w:r>
      <w:r>
        <w:rPr>
          <w:b w:val="0"/>
          <w:i/>
        </w:rPr>
        <w:t>communio</w:t>
      </w:r>
      <w:r>
        <w:rPr>
          <w:b w:val="0"/>
          <w:i w:val="0"/>
        </w:rPr>
        <w:t xml:space="preserve">; </w:t>
      </w:r>
      <w:r>
        <w:rPr>
          <w:b w:val="0"/>
          <w:i/>
        </w:rPr>
        <w:t>communione</w:t>
      </w:r>
      <w:r>
        <w:rPr>
          <w:b w:val="0"/>
          <w:i w:val="0"/>
        </w:rPr>
        <w:t>.</w:t>
      </w:r>
    </w:p>
    <w:p>
      <w:pPr>
        <w:widowControl/>
      </w:pPr>
      <w:r>
        <w:rPr>
          <w:b w:val="0"/>
          <w:i w:val="0"/>
        </w:rPr>
        <w:t xml:space="preserve">Communion or shared relation binding distinct things. The mutual relation of parts and their common end require a source of unity beyond sheer difference. References: </w:t>
      </w:r>
      <w:hyperlink w:anchor="passage-ii-1-3">
        <w:r>
          <w:rPr>
            <w:color w:val="000000"/>
          </w:rPr>
          <w:t xml:space="preserve">II.1.3</w:t>
        </w:r>
      </w:hyperlink>
      <w:r>
        <w:rPr>
          <w:b w:val="0"/>
          <w:i w:val="0"/>
        </w:rPr>
        <w:t xml:space="preserve">, </w:t>
      </w:r>
      <w:hyperlink w:anchor="passage-ii-2-8">
        <w:r>
          <w:rPr>
            <w:color w:val="000000"/>
          </w:rPr>
          <w:t xml:space="preserve">II.2.8</w:t>
        </w:r>
      </w:hyperlink>
      <w:r>
        <w:rPr>
          <w:b w:val="0"/>
          <w:i w:val="0"/>
        </w:rPr>
        <w:t xml:space="preserve">, </w:t>
      </w:r>
      <w:hyperlink w:anchor="passage-ii-2-12">
        <w:r>
          <w:rPr>
            <w:color w:val="000000"/>
          </w:rPr>
          <w:t xml:space="preserve">II.2.12</w:t>
        </w:r>
      </w:hyperlink>
      <w:r>
        <w:rPr>
          <w:b w:val="0"/>
          <w:i w:val="0"/>
        </w:rPr>
        <w:t xml:space="preserve">. See </w:t>
      </w:r>
      <w:hyperlink w:anchor="concord-and-convergence">
        <w:r>
          <w:rPr>
            <w:color w:val="000000"/>
          </w:rPr>
          <w:t xml:space="preserve">Concord and convergence</w:t>
        </w:r>
      </w:hyperlink>
      <w:r>
        <w:rPr>
          <w:b w:val="0"/>
          <w:i w:val="0"/>
        </w:rPr>
        <w:t>.</w:t>
      </w:r>
    </w:p>
    <w:p>
      <w:pPr>
        <w:keepNext/>
        <w:widowControl/>
      </w:pPr>
      <w:bookmarkStart w:id="452" w:name="latin-record-0201"/>
      <w:bookmarkEnd w:id="452"/>
      <w:r>
        <w:rPr>
          <w:b/>
          <w:i w:val="0"/>
        </w:rPr>
        <w:t>communis</w:t>
      </w:r>
      <w:r>
        <w:rPr>
          <w:b/>
          <w:i w:val="0"/>
        </w:rPr>
        <w:t>.</w:t>
      </w:r>
      <w:r>
        <w:rPr>
          <w:b w:val="0"/>
          <w:i w:val="0"/>
        </w:rPr>
        <w:t xml:space="preserve"> Printed forms: </w:t>
      </w:r>
      <w:r>
        <w:rPr>
          <w:b w:val="0"/>
          <w:i/>
        </w:rPr>
        <w:t>commune</w:t>
      </w:r>
      <w:r>
        <w:rPr>
          <w:b w:val="0"/>
          <w:i w:val="0"/>
        </w:rPr>
        <w:t xml:space="preserve">; </w:t>
      </w:r>
      <w:r>
        <w:rPr>
          <w:b w:val="0"/>
          <w:i/>
        </w:rPr>
        <w:t>communem</w:t>
      </w:r>
      <w:r>
        <w:rPr>
          <w:b w:val="0"/>
          <w:i w:val="0"/>
        </w:rPr>
        <w:t xml:space="preserve">; </w:t>
      </w:r>
      <w:r>
        <w:rPr>
          <w:b w:val="0"/>
          <w:i/>
        </w:rPr>
        <w:t>communi</w:t>
      </w:r>
      <w:r>
        <w:rPr>
          <w:b w:val="0"/>
          <w:i w:val="0"/>
        </w:rPr>
        <w:t xml:space="preserve">; </w:t>
      </w:r>
      <w:r>
        <w:rPr>
          <w:b w:val="0"/>
          <w:i/>
        </w:rPr>
        <w:t>communis</w:t>
      </w:r>
      <w:r>
        <w:rPr>
          <w:b w:val="0"/>
          <w:i w:val="0"/>
        </w:rPr>
        <w:t>.</w:t>
      </w:r>
    </w:p>
    <w:p>
      <w:pPr>
        <w:widowControl/>
      </w:pPr>
      <w:r>
        <w:rPr>
          <w:b w:val="0"/>
          <w:i w:val="0"/>
        </w:rPr>
        <w:t xml:space="preserve">Common or shared, as opposed to a differentiating or privately restricted feature. A common nature explains agreement; a common guide has the universal office of giving being. References: </w:t>
      </w:r>
      <w:hyperlink w:anchor="passage-ii-2-2">
        <w:r>
          <w:rPr>
            <w:color w:val="000000"/>
          </w:rPr>
          <w:t xml:space="preserve">II.2.2</w:t>
        </w:r>
      </w:hyperlink>
      <w:r>
        <w:rPr>
          <w:b w:val="0"/>
          <w:i w:val="0"/>
        </w:rPr>
        <w:t xml:space="preserve">, </w:t>
      </w:r>
      <w:hyperlink w:anchor="passage-ii-2-3">
        <w:r>
          <w:rPr>
            <w:color w:val="000000"/>
          </w:rPr>
          <w:t xml:space="preserve">II.2.3</w:t>
        </w:r>
      </w:hyperlink>
      <w:r>
        <w:rPr>
          <w:b w:val="0"/>
          <w:i w:val="0"/>
        </w:rPr>
        <w:t xml:space="preserve">, </w:t>
      </w:r>
      <w:hyperlink w:anchor="passage-ii-7-6">
        <w:r>
          <w:rPr>
            <w:color w:val="000000"/>
          </w:rPr>
          <w:t xml:space="preserve">II.7.6</w:t>
        </w:r>
      </w:hyperlink>
      <w:r>
        <w:rPr>
          <w:b w:val="0"/>
          <w:i w:val="0"/>
        </w:rPr>
        <w:t xml:space="preserve">. See </w:t>
      </w:r>
      <w:hyperlink w:anchor="common-and-proper">
        <w:r>
          <w:rPr>
            <w:color w:val="000000"/>
          </w:rPr>
          <w:t xml:space="preserve">Common and proper</w:t>
        </w:r>
      </w:hyperlink>
      <w:r>
        <w:rPr>
          <w:b w:val="0"/>
          <w:i w:val="0"/>
        </w:rPr>
        <w:t>.</w:t>
      </w:r>
    </w:p>
    <w:p>
      <w:pPr>
        <w:keepNext/>
        <w:widowControl/>
      </w:pPr>
      <w:bookmarkStart w:id="453" w:name="latin-record-0202"/>
      <w:bookmarkEnd w:id="453"/>
      <w:r>
        <w:rPr>
          <w:b/>
          <w:i w:val="0"/>
        </w:rPr>
        <w:t>compago / membrum</w:t>
      </w:r>
      <w:r>
        <w:rPr>
          <w:b/>
          <w:i w:val="0"/>
        </w:rPr>
        <w:t>.</w:t>
      </w:r>
      <w:r>
        <w:rPr>
          <w:b w:val="0"/>
          <w:i w:val="0"/>
        </w:rPr>
        <w:t xml:space="preserve"> Printed forms: </w:t>
      </w:r>
      <w:r>
        <w:rPr>
          <w:b w:val="0"/>
          <w:i/>
        </w:rPr>
        <w:t>compago</w:t>
      </w:r>
      <w:r>
        <w:rPr>
          <w:b w:val="0"/>
          <w:i w:val="0"/>
        </w:rPr>
        <w:t xml:space="preserve">; </w:t>
      </w:r>
      <w:r>
        <w:rPr>
          <w:b w:val="0"/>
          <w:i/>
        </w:rPr>
        <w:t>membra</w:t>
      </w:r>
      <w:r>
        <w:rPr>
          <w:b w:val="0"/>
          <w:i w:val="0"/>
        </w:rPr>
        <w:t>.</w:t>
      </w:r>
    </w:p>
    <w:p>
      <w:pPr>
        <w:widowControl/>
      </w:pPr>
      <w:r>
        <w:rPr>
          <w:b w:val="0"/>
          <w:i w:val="0"/>
        </w:rPr>
        <w:t xml:space="preserve">Joined structure / member or organ. Organic members serve one another and the whole; removing a member is said nearly to dissolve the structure. References: </w:t>
      </w:r>
      <w:hyperlink w:anchor="passage-ii-13-16">
        <w:r>
          <w:rPr>
            <w:color w:val="000000"/>
          </w:rPr>
          <w:t xml:space="preserve">II.13.16</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454" w:name="latin-record-0203"/>
      <w:bookmarkEnd w:id="454"/>
      <w:r>
        <w:rPr>
          <w:b/>
          <w:i w:val="0"/>
        </w:rPr>
        <w:t>comparare</w:t>
      </w:r>
      <w:r>
        <w:rPr>
          <w:b/>
          <w:i w:val="0"/>
        </w:rPr>
        <w:t>.</w:t>
      </w:r>
      <w:r>
        <w:rPr>
          <w:b w:val="0"/>
          <w:i w:val="0"/>
        </w:rPr>
        <w:t xml:space="preserve"> Printed forms: </w:t>
      </w:r>
      <w:r>
        <w:rPr>
          <w:b w:val="0"/>
          <w:i/>
        </w:rPr>
        <w:t>comparante</w:t>
      </w:r>
      <w:r>
        <w:rPr>
          <w:b w:val="0"/>
          <w:i w:val="0"/>
        </w:rPr>
        <w:t xml:space="preserve">; </w:t>
      </w:r>
      <w:r>
        <w:rPr>
          <w:b w:val="0"/>
          <w:i/>
        </w:rPr>
        <w:t>comparetur</w:t>
      </w:r>
      <w:r>
        <w:rPr>
          <w:b w:val="0"/>
          <w:i w:val="0"/>
        </w:rPr>
        <w:t>.</w:t>
      </w:r>
    </w:p>
    <w:p>
      <w:pPr>
        <w:widowControl/>
      </w:pPr>
      <w:r>
        <w:rPr>
          <w:b w:val="0"/>
          <w:i w:val="0"/>
        </w:rPr>
        <w:t xml:space="preserve">Compare or relate. The divine intellect relates essence to creatures; a worldly part is elsewhere assessed relative to the whole. References: </w:t>
      </w:r>
      <w:hyperlink w:anchor="passage-ii-11-19">
        <w:r>
          <w:rPr>
            <w:color w:val="000000"/>
          </w:rPr>
          <w:t xml:space="preserve">II.11.19</w:t>
        </w:r>
      </w:hyperlink>
      <w:r>
        <w:rPr>
          <w:b w:val="0"/>
          <w:i w:val="0"/>
        </w:rPr>
        <w:t xml:space="preserve">, </w:t>
      </w:r>
      <w:hyperlink w:anchor="passage-ii-13-23">
        <w:r>
          <w:rPr>
            <w:color w:val="000000"/>
          </w:rPr>
          <w:t xml:space="preserve">II.13.23</w:t>
        </w:r>
      </w:hyperlink>
      <w:r>
        <w:rPr>
          <w:b w:val="0"/>
          <w:i w:val="0"/>
        </w:rPr>
        <w:t xml:space="preserve">. See </w:t>
      </w:r>
      <w:hyperlink w:anchor="relations-and-respects">
        <w:r>
          <w:rPr>
            <w:color w:val="000000"/>
          </w:rPr>
          <w:t xml:space="preserve">Relations and respects</w:t>
        </w:r>
      </w:hyperlink>
      <w:r>
        <w:rPr>
          <w:b w:val="0"/>
          <w:i w:val="0"/>
        </w:rPr>
        <w:t>.</w:t>
      </w:r>
    </w:p>
    <w:p>
      <w:pPr>
        <w:keepNext/>
        <w:widowControl/>
      </w:pPr>
      <w:bookmarkStart w:id="455" w:name="latin-record-0204"/>
      <w:bookmarkEnd w:id="455"/>
      <w:r>
        <w:rPr>
          <w:b/>
          <w:i w:val="0"/>
        </w:rPr>
        <w:t>comparare / proportio</w:t>
      </w:r>
      <w:r>
        <w:rPr>
          <w:b/>
          <w:i w:val="0"/>
        </w:rPr>
        <w:t>.</w:t>
      </w:r>
      <w:r>
        <w:rPr>
          <w:b w:val="0"/>
          <w:i w:val="0"/>
        </w:rPr>
        <w:t xml:space="preserve"> Printed forms: </w:t>
      </w:r>
      <w:r>
        <w:rPr>
          <w:b w:val="0"/>
          <w:i/>
        </w:rPr>
        <w:t>comparavimus</w:t>
      </w:r>
      <w:r>
        <w:rPr>
          <w:b w:val="0"/>
          <w:i w:val="0"/>
        </w:rPr>
        <w:t xml:space="preserve">; </w:t>
      </w:r>
      <w:r>
        <w:rPr>
          <w:b w:val="0"/>
          <w:i/>
        </w:rPr>
        <w:t>proportio</w:t>
      </w:r>
      <w:r>
        <w:rPr>
          <w:b w:val="0"/>
          <w:i w:val="0"/>
        </w:rPr>
        <w:t>.</w:t>
      </w:r>
    </w:p>
    <w:p>
      <w:pPr>
        <w:widowControl/>
      </w:pPr>
      <w:r>
        <w:rPr>
          <w:b w:val="0"/>
          <w:i w:val="0"/>
        </w:rPr>
        <w:t xml:space="preserve">To compare; a proportion between related terms. The grades are compared in descent, while proportion between mover and moved cannot place God within a finite series of peer movers. References: </w:t>
      </w:r>
      <w:hyperlink w:anchor="passage-iv-1-1">
        <w:r>
          <w:rPr>
            <w:color w:val="000000"/>
          </w:rPr>
          <w:t xml:space="preserve">IV.1.1</w:t>
        </w:r>
      </w:hyperlink>
      <w:r>
        <w:rPr>
          <w:b w:val="0"/>
          <w:i w:val="0"/>
        </w:rPr>
        <w:t xml:space="preserve">, </w:t>
      </w:r>
      <w:hyperlink w:anchor="passage-iv-1-59">
        <w:r>
          <w:rPr>
            <w:color w:val="000000"/>
          </w:rPr>
          <w:t xml:space="preserve">IV.1.59</w:t>
        </w:r>
      </w:hyperlink>
      <w:r>
        <w:rPr>
          <w:b w:val="0"/>
          <w:i w:val="0"/>
        </w:rPr>
        <w:t xml:space="preserve">. See </w:t>
      </w:r>
      <w:hyperlink w:anchor="proportion-and-analogy">
        <w:r>
          <w:rPr>
            <w:color w:val="000000"/>
          </w:rPr>
          <w:t xml:space="preserve">Proportion and analogy</w:t>
        </w:r>
      </w:hyperlink>
      <w:r>
        <w:rPr>
          <w:b w:val="0"/>
          <w:i w:val="0"/>
        </w:rPr>
        <w:t>.</w:t>
      </w:r>
    </w:p>
    <w:p>
      <w:pPr>
        <w:keepNext/>
        <w:widowControl/>
      </w:pPr>
      <w:bookmarkStart w:id="456" w:name="latin-record-0205"/>
      <w:bookmarkEnd w:id="456"/>
      <w:r>
        <w:rPr>
          <w:b/>
          <w:i w:val="0"/>
        </w:rPr>
        <w:t>competere / convenire</w:t>
      </w:r>
      <w:r>
        <w:rPr>
          <w:b/>
          <w:i w:val="0"/>
        </w:rPr>
        <w:t>.</w:t>
      </w:r>
      <w:r>
        <w:rPr>
          <w:b w:val="0"/>
          <w:i w:val="0"/>
        </w:rPr>
        <w:t xml:space="preserve"> Printed forms: </w:t>
      </w:r>
      <w:r>
        <w:rPr>
          <w:b w:val="0"/>
          <w:i/>
        </w:rPr>
        <w:t>competit</w:t>
      </w:r>
      <w:r>
        <w:rPr>
          <w:b w:val="0"/>
          <w:i w:val="0"/>
        </w:rPr>
        <w:t xml:space="preserve">; </w:t>
      </w:r>
      <w:r>
        <w:rPr>
          <w:b w:val="0"/>
          <w:i/>
        </w:rPr>
        <w:t>convenit</w:t>
      </w:r>
      <w:r>
        <w:rPr>
          <w:b w:val="0"/>
          <w:i w:val="0"/>
        </w:rPr>
        <w:t>.</w:t>
      </w:r>
    </w:p>
    <w:p>
      <w:pPr>
        <w:widowControl/>
      </w:pPr>
      <w:r>
        <w:rPr>
          <w:b w:val="0"/>
          <w:i w:val="0"/>
        </w:rPr>
        <w:t xml:space="preserve">To belong or be fitting to a subject. Vital motion belongs to living things, while ordering through forms extends to nonliving things; their distinct ranges support mind’s superiority to soul. References: </w:t>
      </w:r>
      <w:hyperlink w:anchor="passage-i-6-14">
        <w:r>
          <w:rPr>
            <w:color w:val="000000"/>
          </w:rPr>
          <w:t xml:space="preserve">I.6.14</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457" w:name="latin-record-0206"/>
      <w:bookmarkEnd w:id="457"/>
      <w:r>
        <w:rPr>
          <w:b/>
          <w:i w:val="0"/>
        </w:rPr>
        <w:t>competere / pertinere / spectare</w:t>
      </w:r>
      <w:r>
        <w:rPr>
          <w:b/>
          <w:i w:val="0"/>
        </w:rPr>
        <w:t>.</w:t>
      </w:r>
      <w:r>
        <w:rPr>
          <w:b w:val="0"/>
          <w:i w:val="0"/>
        </w:rPr>
        <w:t xml:space="preserve"> Printed forms: </w:t>
      </w:r>
      <w:r>
        <w:rPr>
          <w:b w:val="0"/>
          <w:i/>
        </w:rPr>
        <w:t>competit</w:t>
      </w:r>
      <w:r>
        <w:rPr>
          <w:b w:val="0"/>
          <w:i w:val="0"/>
        </w:rPr>
        <w:t xml:space="preserve">; </w:t>
      </w:r>
      <w:r>
        <w:rPr>
          <w:b w:val="0"/>
          <w:i/>
        </w:rPr>
        <w:t>pertineant</w:t>
      </w:r>
      <w:r>
        <w:rPr>
          <w:b w:val="0"/>
          <w:i w:val="0"/>
        </w:rPr>
        <w:t xml:space="preserve">; </w:t>
      </w:r>
      <w:r>
        <w:rPr>
          <w:b w:val="0"/>
          <w:i/>
        </w:rPr>
        <w:t>spectat</w:t>
      </w:r>
      <w:r>
        <w:rPr>
          <w:b w:val="0"/>
          <w:i w:val="0"/>
        </w:rPr>
        <w:t>.</w:t>
      </w:r>
    </w:p>
    <w:p>
      <w:pPr>
        <w:widowControl/>
      </w:pPr>
      <w:r>
        <w:rPr>
          <w:b w:val="0"/>
          <w:i w:val="0"/>
        </w:rPr>
        <w:t xml:space="preserve">To belong, pertain, or concern in a specific respect. Dominion belongs to goodness; impossibility of nonbeing concerns eternity; inward perfection is assigned its consequence. References: </w:t>
      </w:r>
      <w:hyperlink w:anchor="passage-ii-1-5">
        <w:r>
          <w:rPr>
            <w:color w:val="000000"/>
          </w:rPr>
          <w:t xml:space="preserve">II.1.5</w:t>
        </w:r>
      </w:hyperlink>
      <w:r>
        <w:rPr>
          <w:b w:val="0"/>
          <w:i w:val="0"/>
        </w:rPr>
        <w:t xml:space="preserve">, </w:t>
      </w:r>
      <w:hyperlink w:anchor="passage-ii-4-3">
        <w:r>
          <w:rPr>
            <w:color w:val="000000"/>
          </w:rPr>
          <w:t xml:space="preserve">II.4.3</w:t>
        </w:r>
      </w:hyperlink>
      <w:r>
        <w:rPr>
          <w:b w:val="0"/>
          <w:i w:val="0"/>
        </w:rPr>
        <w:t xml:space="preserve">, </w:t>
      </w:r>
      <w:hyperlink w:anchor="passage-ii-6-19">
        <w:r>
          <w:rPr>
            <w:color w:val="000000"/>
          </w:rPr>
          <w:t xml:space="preserve">II.6.19</w:t>
        </w:r>
      </w:hyperlink>
      <w:r>
        <w:rPr>
          <w:b w:val="0"/>
          <w:i w:val="0"/>
        </w:rPr>
        <w:t xml:space="preserve">. See </w:t>
      </w:r>
      <w:hyperlink w:anchor="common-and-proper">
        <w:r>
          <w:rPr>
            <w:color w:val="000000"/>
          </w:rPr>
          <w:t xml:space="preserve">Common and proper</w:t>
        </w:r>
      </w:hyperlink>
      <w:r>
        <w:rPr>
          <w:b w:val="0"/>
          <w:i w:val="0"/>
        </w:rPr>
        <w:t>.</w:t>
      </w:r>
    </w:p>
    <w:p>
      <w:pPr>
        <w:keepNext/>
        <w:widowControl/>
      </w:pPr>
      <w:bookmarkStart w:id="458" w:name="latin-record-0207"/>
      <w:bookmarkEnd w:id="458"/>
      <w:r>
        <w:rPr>
          <w:b/>
          <w:i w:val="0"/>
        </w:rPr>
        <w:t>complecti</w:t>
      </w:r>
      <w:r>
        <w:rPr>
          <w:b/>
          <w:i w:val="0"/>
        </w:rPr>
        <w:t>.</w:t>
      </w:r>
      <w:r>
        <w:rPr>
          <w:b w:val="0"/>
          <w:i w:val="0"/>
        </w:rPr>
        <w:t xml:space="preserve"> Printed forms: </w:t>
      </w:r>
      <w:r>
        <w:rPr>
          <w:b w:val="0"/>
          <w:i/>
        </w:rPr>
        <w:t>complectitur</w:t>
      </w:r>
      <w:r>
        <w:rPr>
          <w:b w:val="0"/>
          <w:i w:val="0"/>
        </w:rPr>
        <w:t>.</w:t>
      </w:r>
    </w:p>
    <w:p>
      <w:pPr>
        <w:widowControl/>
      </w:pPr>
      <w:r>
        <w:rPr>
          <w:b w:val="0"/>
          <w:i w:val="0"/>
        </w:rPr>
        <w:t xml:space="preserve">To embrace or include within one’s scope. Supreme goodness contains whatever good can be found, so two supposedly supreme goodnesses cannot lack each other’s good. References: </w:t>
      </w:r>
      <w:hyperlink w:anchor="passage-ii-2-11">
        <w:r>
          <w:rPr>
            <w:color w:val="000000"/>
          </w:rPr>
          <w:t xml:space="preserve">II.2.11</w:t>
        </w:r>
      </w:hyperlink>
      <w:r>
        <w:rPr>
          <w:b w:val="0"/>
          <w:i w:val="0"/>
        </w:rPr>
        <w:t xml:space="preserve">. See </w:t>
      </w:r>
      <w:hyperlink w:anchor="good-and-goodness">
        <w:r>
          <w:rPr>
            <w:color w:val="000000"/>
          </w:rPr>
          <w:t xml:space="preserve">Good and goodness</w:t>
        </w:r>
      </w:hyperlink>
      <w:r>
        <w:rPr>
          <w:b w:val="0"/>
          <w:i w:val="0"/>
        </w:rPr>
        <w:t>.</w:t>
      </w:r>
    </w:p>
    <w:p>
      <w:pPr>
        <w:keepNext/>
        <w:widowControl/>
      </w:pPr>
      <w:bookmarkStart w:id="459" w:name="latin-record-0208"/>
      <w:bookmarkEnd w:id="459"/>
      <w:r>
        <w:rPr>
          <w:b/>
          <w:i w:val="0"/>
        </w:rPr>
        <w:t>complecti / comprehendere</w:t>
      </w:r>
      <w:r>
        <w:rPr>
          <w:b/>
          <w:i w:val="0"/>
        </w:rPr>
        <w:t>.</w:t>
      </w:r>
      <w:r>
        <w:rPr>
          <w:b w:val="0"/>
          <w:i w:val="0"/>
        </w:rPr>
        <w:t xml:space="preserve"> Printed forms: </w:t>
      </w:r>
      <w:r>
        <w:rPr>
          <w:b w:val="0"/>
          <w:i/>
        </w:rPr>
        <w:t>complectantur</w:t>
      </w:r>
      <w:r>
        <w:rPr>
          <w:b w:val="0"/>
          <w:i w:val="0"/>
        </w:rPr>
        <w:t xml:space="preserve">; </w:t>
      </w:r>
      <w:r>
        <w:rPr>
          <w:b w:val="0"/>
          <w:i/>
        </w:rPr>
        <w:t>complectitur</w:t>
      </w:r>
      <w:r>
        <w:rPr>
          <w:b w:val="0"/>
          <w:i w:val="0"/>
        </w:rPr>
        <w:t xml:space="preserve">; </w:t>
      </w:r>
      <w:r>
        <w:rPr>
          <w:b w:val="0"/>
          <w:i/>
        </w:rPr>
        <w:t>comprehendit</w:t>
      </w:r>
      <w:r>
        <w:rPr>
          <w:b w:val="0"/>
          <w:i w:val="0"/>
        </w:rPr>
        <w:t>.</w:t>
      </w:r>
    </w:p>
    <w:p>
      <w:pPr>
        <w:widowControl/>
      </w:pPr>
      <w:r>
        <w:rPr>
          <w:b w:val="0"/>
          <w:i w:val="0"/>
        </w:rPr>
        <w:t xml:space="preserve">To embrace or contain. Spheres’ minds embrace bodies through souls; soul contains higher and lower powers; its lowest activity does not embrace every seed at once. References: </w:t>
      </w:r>
      <w:hyperlink w:anchor="passage-iv-1-31">
        <w:r>
          <w:rPr>
            <w:color w:val="000000"/>
          </w:rPr>
          <w:t xml:space="preserve">IV.1.31</w:t>
        </w:r>
      </w:hyperlink>
      <w:r>
        <w:rPr>
          <w:b w:val="0"/>
          <w:i w:val="0"/>
        </w:rPr>
        <w:t xml:space="preserve">, </w:t>
      </w:r>
      <w:hyperlink w:anchor="passage-iv-2-10">
        <w:r>
          <w:rPr>
            <w:color w:val="000000"/>
          </w:rPr>
          <w:t xml:space="preserve">IV.2.10</w:t>
        </w:r>
      </w:hyperlink>
      <w:r>
        <w:rPr>
          <w:b w:val="0"/>
          <w:i w:val="0"/>
        </w:rPr>
        <w:t xml:space="preserve">, </w:t>
      </w:r>
      <w:hyperlink w:anchor="passage-iv-2-12">
        <w:r>
          <w:rPr>
            <w:color w:val="000000"/>
          </w:rPr>
          <w:t xml:space="preserve">IV.2.12</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460" w:name="latin-record-0209"/>
      <w:bookmarkEnd w:id="460"/>
      <w:r>
        <w:rPr>
          <w:b/>
          <w:i w:val="0"/>
        </w:rPr>
        <w:t>complexio / figura</w:t>
      </w:r>
      <w:r>
        <w:rPr>
          <w:b/>
          <w:i w:val="0"/>
        </w:rPr>
        <w:t>.</w:t>
      </w:r>
      <w:r>
        <w:rPr>
          <w:b w:val="0"/>
          <w:i w:val="0"/>
        </w:rPr>
        <w:t xml:space="preserve"> Printed forms: </w:t>
      </w:r>
      <w:r>
        <w:rPr>
          <w:b w:val="0"/>
          <w:i/>
        </w:rPr>
        <w:t>complexione</w:t>
      </w:r>
      <w:r>
        <w:rPr>
          <w:b w:val="0"/>
          <w:i w:val="0"/>
        </w:rPr>
        <w:t xml:space="preserve">; </w:t>
      </w:r>
      <w:r>
        <w:rPr>
          <w:b w:val="0"/>
          <w:i/>
        </w:rPr>
        <w:t>figura</w:t>
      </w:r>
      <w:r>
        <w:rPr>
          <w:b w:val="0"/>
          <w:i w:val="0"/>
        </w:rPr>
        <w:t>.</w:t>
      </w:r>
    </w:p>
    <w:p>
      <w:pPr>
        <w:widowControl/>
      </w:pPr>
      <w:r>
        <w:rPr>
          <w:b w:val="0"/>
          <w:i w:val="0"/>
        </w:rPr>
        <w:t xml:space="preserve">Bodily constitution and figure or shape. The parental resemblance example concerns both constitution and appearance; complexio is not merely skin colour in this passage. References: </w:t>
      </w:r>
      <w:hyperlink w:anchor="passage-i-2-12">
        <w:r>
          <w:rPr>
            <w:color w:val="000000"/>
          </w:rPr>
          <w:t xml:space="preserve">I.2.12</w:t>
        </w:r>
      </w:hyperlink>
      <w:r>
        <w:rPr>
          <w:b w:val="0"/>
          <w:i w:val="0"/>
        </w:rPr>
        <w:t xml:space="preserve">. See </w:t>
      </w:r>
      <w:hyperlink w:anchor="comparing-resembling-and-equalling">
        <w:r>
          <w:rPr>
            <w:color w:val="000000"/>
          </w:rPr>
          <w:t xml:space="preserve">Comparing, resembling and equalling</w:t>
        </w:r>
      </w:hyperlink>
      <w:r>
        <w:rPr>
          <w:b w:val="0"/>
          <w:i w:val="0"/>
        </w:rPr>
        <w:t>.</w:t>
      </w:r>
    </w:p>
    <w:p>
      <w:pPr>
        <w:keepNext/>
        <w:widowControl/>
      </w:pPr>
      <w:bookmarkStart w:id="461" w:name="latin-record-0210"/>
      <w:bookmarkEnd w:id="461"/>
      <w:r>
        <w:rPr>
          <w:b/>
          <w:i w:val="0"/>
        </w:rPr>
        <w:t>complexio / instrumenta</w:t>
      </w:r>
      <w:r>
        <w:rPr>
          <w:b/>
          <w:i w:val="0"/>
        </w:rPr>
        <w:t>.</w:t>
      </w:r>
      <w:r>
        <w:rPr>
          <w:b w:val="0"/>
          <w:i w:val="0"/>
        </w:rPr>
        <w:t xml:space="preserve"> Printed forms: </w:t>
      </w:r>
      <w:r>
        <w:rPr>
          <w:b w:val="0"/>
          <w:i/>
        </w:rPr>
        <w:t>complexio</w:t>
      </w:r>
      <w:r>
        <w:rPr>
          <w:b w:val="0"/>
          <w:i w:val="0"/>
        </w:rPr>
        <w:t xml:space="preserve">; </w:t>
      </w:r>
      <w:r>
        <w:rPr>
          <w:b w:val="0"/>
          <w:i/>
        </w:rPr>
        <w:t>instrumentis</w:t>
      </w:r>
      <w:r>
        <w:rPr>
          <w:b w:val="0"/>
          <w:i w:val="0"/>
        </w:rPr>
        <w:t>.</w:t>
      </w:r>
    </w:p>
    <w:p>
      <w:pPr>
        <w:widowControl/>
      </w:pPr>
      <w:r>
        <w:rPr>
          <w:b w:val="0"/>
          <w:i w:val="0"/>
        </w:rPr>
        <w:t xml:space="preserve">Bodily constitution; organs or functional instruments. Differences of shape, organs, and constitution help establish proper souls for distinct animals. References: </w:t>
      </w:r>
      <w:hyperlink w:anchor="passage-iv-1-79">
        <w:r>
          <w:rPr>
            <w:color w:val="000000"/>
          </w:rPr>
          <w:t xml:space="preserve">IV.1.79</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462" w:name="latin-record-0211"/>
      <w:bookmarkEnd w:id="462"/>
      <w:r>
        <w:rPr>
          <w:b/>
          <w:i w:val="0"/>
        </w:rPr>
        <w:t>componere / compositio</w:t>
      </w:r>
      <w:r>
        <w:rPr>
          <w:b/>
          <w:i w:val="0"/>
        </w:rPr>
        <w:t>.</w:t>
      </w:r>
      <w:r>
        <w:rPr>
          <w:b w:val="0"/>
          <w:i w:val="0"/>
        </w:rPr>
        <w:t xml:space="preserve"> Printed forms: </w:t>
      </w:r>
      <w:r>
        <w:rPr>
          <w:b w:val="0"/>
          <w:i/>
        </w:rPr>
        <w:t>componeretur</w:t>
      </w:r>
      <w:r>
        <w:rPr>
          <w:b w:val="0"/>
          <w:i w:val="0"/>
        </w:rPr>
        <w:t xml:space="preserve">; </w:t>
      </w:r>
      <w:r>
        <w:rPr>
          <w:b w:val="0"/>
          <w:i/>
        </w:rPr>
        <w:t>compositio</w:t>
      </w:r>
      <w:r>
        <w:rPr>
          <w:b w:val="0"/>
          <w:i w:val="0"/>
        </w:rPr>
        <w:t xml:space="preserve">; </w:t>
      </w:r>
      <w:r>
        <w:rPr>
          <w:b w:val="0"/>
          <w:i/>
        </w:rPr>
        <w:t>compositum</w:t>
      </w:r>
      <w:r>
        <w:rPr>
          <w:b w:val="0"/>
          <w:i w:val="0"/>
        </w:rPr>
        <w:t>.</w:t>
      </w:r>
    </w:p>
    <w:p>
      <w:pPr>
        <w:widowControl/>
      </w:pPr>
      <w:r>
        <w:rPr>
          <w:b w:val="0"/>
          <w:i w:val="0"/>
        </w:rPr>
        <w:t xml:space="preserve">To compose or compound; composition that requires a unifier. A common nature plus distinctive property makes a supposed first principle dependent and non-simple. References: </w:t>
      </w:r>
      <w:hyperlink w:anchor="passage-ii-1-3">
        <w:r>
          <w:rPr>
            <w:color w:val="000000"/>
          </w:rPr>
          <w:t xml:space="preserve">II.1.3</w:t>
        </w:r>
      </w:hyperlink>
      <w:r>
        <w:rPr>
          <w:b w:val="0"/>
          <w:i w:val="0"/>
        </w:rPr>
        <w:t xml:space="preserve">, </w:t>
      </w:r>
      <w:hyperlink w:anchor="passage-ii-2-3">
        <w:r>
          <w:rPr>
            <w:color w:val="000000"/>
          </w:rPr>
          <w:t xml:space="preserve">II.2.3</w:t>
        </w:r>
      </w:hyperlink>
      <w:r>
        <w:rPr>
          <w:b w:val="0"/>
          <w:i w:val="0"/>
        </w:rPr>
        <w:t xml:space="preserve">, </w:t>
      </w:r>
      <w:hyperlink w:anchor="passage-ii-7-1">
        <w:r>
          <w:rPr>
            <w:color w:val="000000"/>
          </w:rPr>
          <w:t xml:space="preserve">II.7.1</w:t>
        </w:r>
      </w:hyperlink>
      <w:r>
        <w:rPr>
          <w:b w:val="0"/>
          <w:i w:val="0"/>
        </w:rPr>
        <w:t xml:space="preserve">, </w:t>
      </w:r>
      <w:hyperlink w:anchor="passage-ii-7-2">
        <w:r>
          <w:rPr>
            <w:color w:val="000000"/>
          </w:rPr>
          <w:t xml:space="preserve">II.7.2</w:t>
        </w:r>
      </w:hyperlink>
      <w:r>
        <w:rPr>
          <w:b w:val="0"/>
          <w:i w:val="0"/>
        </w:rPr>
        <w:t xml:space="preserve">, </w:t>
      </w:r>
      <w:hyperlink w:anchor="passage-ii-7-9">
        <w:r>
          <w:rPr>
            <w:color w:val="000000"/>
          </w:rPr>
          <w:t xml:space="preserve">II.7.9</w:t>
        </w:r>
      </w:hyperlink>
      <w:r>
        <w:rPr>
          <w:b w:val="0"/>
          <w:i w:val="0"/>
        </w:rPr>
        <w:t xml:space="preserve">. See </w:t>
      </w:r>
      <w:hyperlink w:anchor="simplicity-and-composition">
        <w:r>
          <w:rPr>
            <w:color w:val="000000"/>
          </w:rPr>
          <w:t xml:space="preserve">Simplicity and composition</w:t>
        </w:r>
      </w:hyperlink>
      <w:r>
        <w:rPr>
          <w:b w:val="0"/>
          <w:i w:val="0"/>
        </w:rPr>
        <w:t>.</w:t>
      </w:r>
    </w:p>
    <w:p>
      <w:pPr>
        <w:keepNext/>
        <w:widowControl/>
      </w:pPr>
      <w:bookmarkStart w:id="463" w:name="latin-record-0212"/>
      <w:bookmarkEnd w:id="463"/>
      <w:r>
        <w:rPr>
          <w:b/>
          <w:i w:val="0"/>
        </w:rPr>
        <w:t>compono / pars / totum</w:t>
      </w:r>
      <w:r>
        <w:rPr>
          <w:b/>
          <w:i w:val="0"/>
        </w:rPr>
        <w:t>.</w:t>
      </w:r>
      <w:r>
        <w:rPr>
          <w:b w:val="0"/>
          <w:i w:val="0"/>
        </w:rPr>
        <w:t xml:space="preserve"> Printed forms: </w:t>
      </w:r>
      <w:r>
        <w:rPr>
          <w:b w:val="0"/>
          <w:i/>
        </w:rPr>
        <w:t>compositum</w:t>
      </w:r>
      <w:r>
        <w:rPr>
          <w:b w:val="0"/>
          <w:i w:val="0"/>
        </w:rPr>
        <w:t xml:space="preserve">; </w:t>
      </w:r>
      <w:r>
        <w:rPr>
          <w:b w:val="0"/>
          <w:i/>
        </w:rPr>
        <w:t>compositus</w:t>
      </w:r>
      <w:r>
        <w:rPr>
          <w:b w:val="0"/>
          <w:i w:val="0"/>
        </w:rPr>
        <w:t xml:space="preserve">; </w:t>
      </w:r>
      <w:r>
        <w:rPr>
          <w:b w:val="0"/>
          <w:i/>
        </w:rPr>
        <w:t>pars</w:t>
      </w:r>
      <w:r>
        <w:rPr>
          <w:b w:val="0"/>
          <w:i w:val="0"/>
        </w:rPr>
        <w:t xml:space="preserve">; </w:t>
      </w:r>
      <w:r>
        <w:rPr>
          <w:b w:val="0"/>
          <w:i/>
        </w:rPr>
        <w:t>totum</w:t>
      </w:r>
      <w:r>
        <w:rPr>
          <w:b w:val="0"/>
          <w:i w:val="0"/>
        </w:rPr>
        <w:t>.</w:t>
      </w:r>
    </w:p>
    <w:p>
      <w:pPr>
        <w:widowControl/>
      </w:pPr>
      <w:r>
        <w:rPr>
          <w:b w:val="0"/>
          <w:i w:val="0"/>
        </w:rPr>
        <w:t xml:space="preserve">To compose, a part and a whole. The hypothetical composite God would have unequal dependent parts, act through one part and fail to enjoy his whole self everywhere. References: </w:t>
      </w:r>
      <w:hyperlink w:anchor="passage-i-6-6">
        <w:r>
          <w:rPr>
            <w:color w:val="000000"/>
          </w:rPr>
          <w:t xml:space="preserve">I.6.6</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464" w:name="latin-record-0213"/>
      <w:bookmarkEnd w:id="464"/>
      <w:r>
        <w:rPr>
          <w:b/>
          <w:i w:val="0"/>
        </w:rPr>
        <w:t>compos</w:t>
      </w:r>
      <w:r>
        <w:rPr>
          <w:b/>
          <w:i w:val="0"/>
        </w:rPr>
        <w:t>.</w:t>
      </w:r>
      <w:r>
        <w:rPr>
          <w:b w:val="0"/>
          <w:i w:val="0"/>
        </w:rPr>
        <w:t xml:space="preserve"> Printed forms: </w:t>
      </w:r>
      <w:r>
        <w:rPr>
          <w:b w:val="0"/>
          <w:i/>
        </w:rPr>
        <w:t>compos</w:t>
      </w:r>
      <w:r>
        <w:rPr>
          <w:b w:val="0"/>
          <w:i w:val="0"/>
        </w:rPr>
        <w:t>.</w:t>
      </w:r>
    </w:p>
    <w:p>
      <w:pPr>
        <w:widowControl/>
      </w:pPr>
      <w:r>
        <w:rPr>
          <w:b w:val="0"/>
          <w:i w:val="0"/>
        </w:rPr>
        <w:t xml:space="preserve">Master or possessor of. God’s possession of intelligence and essence through will presupposes their identity, not competing independent powers within God. References: </w:t>
      </w:r>
      <w:hyperlink w:anchor="passage-ii-12-8">
        <w:r>
          <w:rPr>
            <w:color w:val="000000"/>
          </w:rPr>
          <w:t xml:space="preserve">II.12.8</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465" w:name="latin-record-0214"/>
      <w:bookmarkEnd w:id="465"/>
      <w:r>
        <w:rPr>
          <w:b/>
          <w:i w:val="0"/>
        </w:rPr>
        <w:t>compos rationis / ratione captus</w:t>
      </w:r>
      <w:r>
        <w:rPr>
          <w:b/>
          <w:i w:val="0"/>
        </w:rPr>
        <w:t>.</w:t>
      </w:r>
      <w:r>
        <w:rPr>
          <w:b w:val="0"/>
          <w:i w:val="0"/>
        </w:rPr>
        <w:t xml:space="preserve"> Printed forms: </w:t>
      </w:r>
      <w:r>
        <w:rPr>
          <w:b w:val="0"/>
          <w:i/>
        </w:rPr>
        <w:t>ratione capta</w:t>
      </w:r>
      <w:r>
        <w:rPr>
          <w:b w:val="0"/>
          <w:i w:val="0"/>
        </w:rPr>
        <w:t xml:space="preserve">; </w:t>
      </w:r>
      <w:r>
        <w:rPr>
          <w:b w:val="0"/>
          <w:i/>
        </w:rPr>
        <w:t>ratione non carent</w:t>
      </w:r>
      <w:r>
        <w:rPr>
          <w:b w:val="0"/>
          <w:i w:val="0"/>
        </w:rPr>
        <w:t xml:space="preserve">; </w:t>
      </w:r>
      <w:r>
        <w:rPr>
          <w:b w:val="0"/>
          <w:i/>
        </w:rPr>
        <w:t>vitae rationisque compos</w:t>
      </w:r>
      <w:r>
        <w:rPr>
          <w:b w:val="0"/>
          <w:i w:val="0"/>
        </w:rPr>
        <w:t>.</w:t>
      </w:r>
    </w:p>
    <w:p>
      <w:pPr>
        <w:widowControl/>
      </w:pPr>
      <w:r>
        <w:rPr>
          <w:b w:val="0"/>
          <w:i w:val="0"/>
        </w:rPr>
        <w:t xml:space="preserve">Possessed of life and reason; deprived of reason; not lacking reason. Compos takes a genitive and means possessing or sharing, not composed from parts. Ratione capta is negated of earth-soul, while terrestrial rational creatures supply a premise for attributing reason to it. References: </w:t>
      </w:r>
      <w:hyperlink w:anchor="passage-iv-1-39">
        <w:r>
          <w:rPr>
            <w:color w:val="000000"/>
          </w:rPr>
          <w:t xml:space="preserve">IV.1.39</w:t>
        </w:r>
      </w:hyperlink>
      <w:r>
        <w:rPr>
          <w:b w:val="0"/>
          <w:i w:val="0"/>
        </w:rPr>
        <w:t xml:space="preserve">, </w:t>
      </w:r>
      <w:hyperlink w:anchor="passage-iv-1-62">
        <w:r>
          <w:rPr>
            <w:color w:val="000000"/>
          </w:rPr>
          <w:t xml:space="preserve">IV.1.62</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466" w:name="latin-record-0215"/>
      <w:bookmarkEnd w:id="466"/>
      <w:r>
        <w:rPr>
          <w:b/>
          <w:i w:val="0"/>
        </w:rPr>
        <w:t>comprehendere</w:t>
      </w:r>
      <w:r>
        <w:rPr>
          <w:b/>
          <w:i w:val="0"/>
        </w:rPr>
        <w:t>.</w:t>
      </w:r>
      <w:r>
        <w:rPr>
          <w:b w:val="0"/>
          <w:i w:val="0"/>
        </w:rPr>
        <w:t xml:space="preserve"> Printed forms: </w:t>
      </w:r>
      <w:r>
        <w:rPr>
          <w:b w:val="0"/>
          <w:i/>
        </w:rPr>
        <w:t>comprehendi</w:t>
      </w:r>
      <w:r>
        <w:rPr>
          <w:b w:val="0"/>
          <w:i w:val="0"/>
        </w:rPr>
        <w:t>.</w:t>
      </w:r>
    </w:p>
    <w:p>
      <w:pPr>
        <w:widowControl/>
      </w:pPr>
      <w:r>
        <w:rPr>
          <w:b w:val="0"/>
          <w:i w:val="0"/>
        </w:rPr>
        <w:t xml:space="preserve">Contain or encompass. The effect’s form must already be contained in its cause; the verb here concerns causal containment rather than a human act of understanding. References: </w:t>
      </w:r>
      <w:hyperlink w:anchor="passage-ii-11-1">
        <w:r>
          <w:rPr>
            <w:color w:val="000000"/>
          </w:rPr>
          <w:t xml:space="preserve">II.11.1</w:t>
        </w:r>
      </w:hyperlink>
      <w:r>
        <w:rPr>
          <w:b w:val="0"/>
          <w:i w:val="0"/>
        </w:rPr>
        <w:t xml:space="preserve">. See </w:t>
      </w:r>
      <w:hyperlink w:anchor="form">
        <w:r>
          <w:rPr>
            <w:color w:val="000000"/>
          </w:rPr>
          <w:t xml:space="preserve">Form</w:t>
        </w:r>
      </w:hyperlink>
      <w:r>
        <w:rPr>
          <w:b w:val="0"/>
          <w:i w:val="0"/>
        </w:rPr>
        <w:t>.</w:t>
      </w:r>
    </w:p>
    <w:p>
      <w:pPr>
        <w:keepNext/>
        <w:widowControl/>
      </w:pPr>
      <w:bookmarkStart w:id="467" w:name="latin-record-0216"/>
      <w:bookmarkEnd w:id="467"/>
      <w:r>
        <w:rPr>
          <w:b/>
          <w:i w:val="0"/>
        </w:rPr>
        <w:t>conatus / affectus</w:t>
      </w:r>
      <w:r>
        <w:rPr>
          <w:b/>
          <w:i w:val="0"/>
        </w:rPr>
        <w:t>.</w:t>
      </w:r>
      <w:r>
        <w:rPr>
          <w:b w:val="0"/>
          <w:i w:val="0"/>
        </w:rPr>
        <w:t xml:space="preserve"> Printed forms: </w:t>
      </w:r>
      <w:r>
        <w:rPr>
          <w:b w:val="0"/>
          <w:i/>
        </w:rPr>
        <w:t>affectum</w:t>
      </w:r>
      <w:r>
        <w:rPr>
          <w:b w:val="0"/>
          <w:i w:val="0"/>
        </w:rPr>
        <w:t xml:space="preserve">; </w:t>
      </w:r>
      <w:r>
        <w:rPr>
          <w:b w:val="0"/>
          <w:i/>
        </w:rPr>
        <w:t>affectus</w:t>
      </w:r>
      <w:r>
        <w:rPr>
          <w:b w:val="0"/>
          <w:i w:val="0"/>
        </w:rPr>
        <w:t xml:space="preserve">; </w:t>
      </w:r>
      <w:r>
        <w:rPr>
          <w:b w:val="0"/>
          <w:i/>
        </w:rPr>
        <w:t>conatus</w:t>
      </w:r>
      <w:r>
        <w:rPr>
          <w:b w:val="0"/>
          <w:i w:val="0"/>
        </w:rPr>
        <w:t>.</w:t>
      </w:r>
    </w:p>
    <w:p>
      <w:pPr>
        <w:widowControl/>
      </w:pPr>
      <w:r>
        <w:rPr>
          <w:b w:val="0"/>
          <w:i w:val="0"/>
        </w:rPr>
        <w:t xml:space="preserve">Directed effort or inclination, not necessarily a passing emotion. Competing efforts would make rival gods mutable; mind’s affective range enters the reported presence theory. References: </w:t>
      </w:r>
      <w:hyperlink w:anchor="passage-ii-2-14">
        <w:r>
          <w:rPr>
            <w:color w:val="000000"/>
          </w:rPr>
          <w:t xml:space="preserve">II.2.14</w:t>
        </w:r>
      </w:hyperlink>
      <w:r>
        <w:rPr>
          <w:b w:val="0"/>
          <w:i w:val="0"/>
        </w:rPr>
        <w:t xml:space="preserve">, </w:t>
      </w:r>
      <w:hyperlink w:anchor="passage-ii-6-20">
        <w:r>
          <w:rPr>
            <w:color w:val="000000"/>
          </w:rPr>
          <w:t xml:space="preserve">II.6.20</w:t>
        </w:r>
      </w:hyperlink>
      <w:r>
        <w:rPr>
          <w:b w:val="0"/>
          <w:i w:val="0"/>
        </w:rPr>
        <w:t xml:space="preserve">, </w:t>
      </w:r>
      <w:hyperlink w:anchor="passage-ii-6-22">
        <w:r>
          <w:rPr>
            <w:color w:val="000000"/>
          </w:rPr>
          <w:t xml:space="preserve">II.6.22</w:t>
        </w:r>
      </w:hyperlink>
      <w:r>
        <w:rPr>
          <w:b w:val="0"/>
          <w:i w:val="0"/>
        </w:rPr>
        <w:t xml:space="preserve">. See </w:t>
      </w:r>
      <w:hyperlink w:anchor="affect">
        <w:r>
          <w:rPr>
            <w:color w:val="000000"/>
          </w:rPr>
          <w:t xml:space="preserve">Affect</w:t>
        </w:r>
      </w:hyperlink>
      <w:r>
        <w:rPr>
          <w:b w:val="0"/>
          <w:i w:val="0"/>
        </w:rPr>
        <w:t>.</w:t>
      </w:r>
    </w:p>
    <w:p>
      <w:pPr>
        <w:keepNext/>
        <w:widowControl/>
      </w:pPr>
      <w:bookmarkStart w:id="468" w:name="latin-record-0217"/>
      <w:bookmarkEnd w:id="468"/>
      <w:r>
        <w:rPr>
          <w:b/>
          <w:i w:val="0"/>
        </w:rPr>
        <w:t>concava superficies</w:t>
      </w:r>
      <w:r>
        <w:rPr>
          <w:b/>
          <w:i w:val="0"/>
        </w:rPr>
        <w:t>.</w:t>
      </w:r>
      <w:r>
        <w:rPr>
          <w:b w:val="0"/>
          <w:i w:val="0"/>
        </w:rPr>
        <w:t xml:space="preserve"> Printed forms: </w:t>
      </w:r>
      <w:r>
        <w:rPr>
          <w:b w:val="0"/>
          <w:i/>
        </w:rPr>
        <w:t>concava superficies</w:t>
      </w:r>
      <w:r>
        <w:rPr>
          <w:b w:val="0"/>
          <w:i w:val="0"/>
        </w:rPr>
        <w:t xml:space="preserve">; </w:t>
      </w:r>
      <w:r>
        <w:rPr>
          <w:b w:val="0"/>
          <w:i/>
        </w:rPr>
        <w:t>concavum</w:t>
      </w:r>
      <w:r>
        <w:rPr>
          <w:b w:val="0"/>
          <w:i w:val="0"/>
        </w:rPr>
        <w:t>.</w:t>
      </w:r>
    </w:p>
    <w:p>
      <w:pPr>
        <w:widowControl/>
      </w:pPr>
      <w:r>
        <w:rPr>
          <w:b w:val="0"/>
          <w:i w:val="0"/>
        </w:rPr>
        <w:t xml:space="preserve">A surrounding concave surface. The eighth sphere’s inner surface defines the natural place of Saturn’s sphere in the nested-sphere model. References: </w:t>
      </w:r>
      <w:hyperlink w:anchor="passage-iv-2-25">
        <w:r>
          <w:rPr>
            <w:color w:val="000000"/>
          </w:rPr>
          <w:t xml:space="preserve">IV.2.25</w:t>
        </w:r>
      </w:hyperlink>
      <w:r>
        <w:rPr>
          <w:b w:val="0"/>
          <w:i w:val="0"/>
        </w:rPr>
        <w:t xml:space="preserve">. See </w:t>
      </w:r>
      <w:hyperlink w:anchor="here-there-and-antipodes">
        <w:r>
          <w:rPr>
            <w:color w:val="000000"/>
          </w:rPr>
          <w:t xml:space="preserve">Here, there, and the Antipodes</w:t>
        </w:r>
      </w:hyperlink>
      <w:r>
        <w:rPr>
          <w:b w:val="0"/>
          <w:i w:val="0"/>
        </w:rPr>
        <w:t>.</w:t>
      </w:r>
    </w:p>
    <w:p>
      <w:pPr>
        <w:keepNext/>
        <w:widowControl/>
      </w:pPr>
      <w:bookmarkStart w:id="469" w:name="latin-record-0218"/>
      <w:bookmarkEnd w:id="469"/>
      <w:r>
        <w:rPr>
          <w:b/>
          <w:i w:val="0"/>
        </w:rPr>
        <w:t>concedere / admittere / dare as grant</w:t>
      </w:r>
      <w:r>
        <w:rPr>
          <w:b/>
          <w:i w:val="0"/>
        </w:rPr>
        <w:t>.</w:t>
      </w:r>
      <w:r>
        <w:rPr>
          <w:b w:val="0"/>
          <w:i w:val="0"/>
        </w:rPr>
        <w:t xml:space="preserve"> Printed forms: </w:t>
      </w:r>
      <w:r>
        <w:rPr>
          <w:b w:val="0"/>
          <w:i/>
        </w:rPr>
        <w:t>admittimus</w:t>
      </w:r>
      <w:r>
        <w:rPr>
          <w:b w:val="0"/>
          <w:i w:val="0"/>
        </w:rPr>
        <w:t xml:space="preserve">; </w:t>
      </w:r>
      <w:r>
        <w:rPr>
          <w:b w:val="0"/>
          <w:i/>
        </w:rPr>
        <w:t>concedatur</w:t>
      </w:r>
      <w:r>
        <w:rPr>
          <w:b w:val="0"/>
          <w:i w:val="0"/>
        </w:rPr>
        <w:t xml:space="preserve">; </w:t>
      </w:r>
      <w:r>
        <w:rPr>
          <w:b w:val="0"/>
          <w:i/>
        </w:rPr>
        <w:t>concedet</w:t>
      </w:r>
      <w:r>
        <w:rPr>
          <w:b w:val="0"/>
          <w:i w:val="0"/>
        </w:rPr>
        <w:t xml:space="preserve">; </w:t>
      </w:r>
      <w:r>
        <w:rPr>
          <w:b w:val="0"/>
          <w:i/>
        </w:rPr>
        <w:t>concedetur</w:t>
      </w:r>
      <w:r>
        <w:rPr>
          <w:b w:val="0"/>
          <w:i w:val="0"/>
        </w:rPr>
        <w:t xml:space="preserve">; </w:t>
      </w:r>
      <w:r>
        <w:rPr>
          <w:b w:val="0"/>
          <w:i/>
        </w:rPr>
        <w:t>detur</w:t>
      </w:r>
      <w:r>
        <w:rPr>
          <w:b w:val="0"/>
          <w:i w:val="0"/>
        </w:rPr>
        <w:t>.</w:t>
      </w:r>
    </w:p>
    <w:p>
      <w:pPr>
        <w:widowControl/>
      </w:pPr>
      <w:r>
        <w:rPr>
          <w:b w:val="0"/>
          <w:i w:val="0"/>
        </w:rPr>
        <w:t xml:space="preserve">To grant or admit a proposition provisionally in a divided argument. Branches of a refutation remain suppositions even when the author describes their consequences assertively. References: </w:t>
      </w:r>
      <w:hyperlink w:anchor="passage-ii-2-2">
        <w:r>
          <w:rPr>
            <w:color w:val="000000"/>
          </w:rPr>
          <w:t xml:space="preserve">II.2.2</w:t>
        </w:r>
      </w:hyperlink>
      <w:r>
        <w:rPr>
          <w:b w:val="0"/>
          <w:i w:val="0"/>
        </w:rPr>
        <w:t xml:space="preserve">, </w:t>
      </w:r>
      <w:hyperlink w:anchor="passage-ii-3-1">
        <w:r>
          <w:rPr>
            <w:color w:val="000000"/>
          </w:rPr>
          <w:t xml:space="preserve">II.3.1</w:t>
        </w:r>
      </w:hyperlink>
      <w:r>
        <w:rPr>
          <w:b w:val="0"/>
          <w:i w:val="0"/>
        </w:rPr>
        <w:t xml:space="preserve">, </w:t>
      </w:r>
      <w:hyperlink w:anchor="passage-ii-7-14">
        <w:r>
          <w:rPr>
            <w:color w:val="000000"/>
          </w:rPr>
          <w:t xml:space="preserve">II.7.14</w:t>
        </w:r>
      </w:hyperlink>
      <w:r>
        <w:rPr>
          <w:b w:val="0"/>
          <w:i w:val="0"/>
        </w:rPr>
        <w:t xml:space="preserve">. See </w:t>
      </w:r>
      <w:hyperlink w:anchor="agreement-and-hypothetical-concession">
        <w:r>
          <w:rPr>
            <w:color w:val="000000"/>
          </w:rPr>
          <w:t xml:space="preserve">Agreement and hypothetical concession</w:t>
        </w:r>
      </w:hyperlink>
      <w:r>
        <w:rPr>
          <w:b w:val="0"/>
          <w:i w:val="0"/>
        </w:rPr>
        <w:t>.</w:t>
      </w:r>
    </w:p>
    <w:p>
      <w:pPr>
        <w:keepNext/>
        <w:widowControl/>
      </w:pPr>
      <w:bookmarkStart w:id="470" w:name="latin-record-0219"/>
      <w:bookmarkEnd w:id="470"/>
      <w:r>
        <w:rPr>
          <w:b/>
          <w:i w:val="0"/>
        </w:rPr>
        <w:t>conciliare</w:t>
      </w:r>
      <w:r>
        <w:rPr>
          <w:b/>
          <w:i w:val="0"/>
        </w:rPr>
        <w:t>.</w:t>
      </w:r>
      <w:r>
        <w:rPr>
          <w:b w:val="0"/>
          <w:i w:val="0"/>
        </w:rPr>
        <w:t xml:space="preserve"> Printed forms: </w:t>
      </w:r>
      <w:r>
        <w:rPr>
          <w:b w:val="0"/>
          <w:i/>
        </w:rPr>
        <w:t>conciliantur</w:t>
      </w:r>
      <w:r>
        <w:rPr>
          <w:b w:val="0"/>
          <w:i w:val="0"/>
        </w:rPr>
        <w:t xml:space="preserve">; </w:t>
      </w:r>
      <w:r>
        <w:rPr>
          <w:b w:val="0"/>
          <w:i/>
        </w:rPr>
        <w:t>conciliavisset</w:t>
      </w:r>
      <w:r>
        <w:rPr>
          <w:b w:val="0"/>
          <w:i w:val="0"/>
        </w:rPr>
        <w:t xml:space="preserve">; </w:t>
      </w:r>
      <w:r>
        <w:rPr>
          <w:b w:val="0"/>
          <w:i/>
        </w:rPr>
        <w:t>conciliavit</w:t>
      </w:r>
      <w:r>
        <w:rPr>
          <w:b w:val="0"/>
          <w:i w:val="0"/>
        </w:rPr>
        <w:t>.</w:t>
      </w:r>
    </w:p>
    <w:p>
      <w:pPr>
        <w:widowControl/>
      </w:pPr>
      <w:r>
        <w:rPr>
          <w:b w:val="0"/>
          <w:i w:val="0"/>
        </w:rPr>
        <w:t xml:space="preserve">To reconcile or unite diverse components. A whole’s unity demands a source of concord beyond the parts considered simply as different. References: </w:t>
      </w:r>
      <w:hyperlink w:anchor="passage-ii-2-3">
        <w:r>
          <w:rPr>
            <w:color w:val="000000"/>
          </w:rPr>
          <w:t xml:space="preserve">II.2.3</w:t>
        </w:r>
      </w:hyperlink>
      <w:r>
        <w:rPr>
          <w:b w:val="0"/>
          <w:i w:val="0"/>
        </w:rPr>
        <w:t xml:space="preserve">, </w:t>
      </w:r>
      <w:hyperlink w:anchor="passage-ii-2-9">
        <w:r>
          <w:rPr>
            <w:color w:val="000000"/>
          </w:rPr>
          <w:t xml:space="preserve">II.2.9</w:t>
        </w:r>
      </w:hyperlink>
      <w:r>
        <w:rPr>
          <w:b w:val="0"/>
          <w:i w:val="0"/>
        </w:rPr>
        <w:t xml:space="preserve">, </w:t>
      </w:r>
      <w:hyperlink w:anchor="passage-ii-7-9">
        <w:r>
          <w:rPr>
            <w:color w:val="000000"/>
          </w:rPr>
          <w:t xml:space="preserve">II.7.9</w:t>
        </w:r>
      </w:hyperlink>
      <w:r>
        <w:rPr>
          <w:b w:val="0"/>
          <w:i w:val="0"/>
        </w:rPr>
        <w:t xml:space="preserve">. See </w:t>
      </w:r>
      <w:hyperlink w:anchor="concord-and-convergence">
        <w:r>
          <w:rPr>
            <w:color w:val="000000"/>
          </w:rPr>
          <w:t xml:space="preserve">Concord and convergence</w:t>
        </w:r>
      </w:hyperlink>
      <w:r>
        <w:rPr>
          <w:b w:val="0"/>
          <w:i w:val="0"/>
        </w:rPr>
        <w:t>.</w:t>
      </w:r>
    </w:p>
    <w:p>
      <w:pPr>
        <w:keepNext/>
        <w:widowControl/>
      </w:pPr>
      <w:bookmarkStart w:id="471" w:name="latin-record-0220"/>
      <w:bookmarkEnd w:id="471"/>
      <w:r>
        <w:rPr>
          <w:b/>
          <w:i w:val="0"/>
        </w:rPr>
        <w:t>conciliare / interimere</w:t>
      </w:r>
      <w:r>
        <w:rPr>
          <w:b/>
          <w:i w:val="0"/>
        </w:rPr>
        <w:t>.</w:t>
      </w:r>
      <w:r>
        <w:rPr>
          <w:b w:val="0"/>
          <w:i w:val="0"/>
        </w:rPr>
        <w:t xml:space="preserve"> Printed forms: </w:t>
      </w:r>
      <w:r>
        <w:rPr>
          <w:b w:val="0"/>
          <w:i/>
        </w:rPr>
        <w:t>conciliet</w:t>
      </w:r>
      <w:r>
        <w:rPr>
          <w:b w:val="0"/>
          <w:i w:val="0"/>
        </w:rPr>
        <w:t xml:space="preserve">; </w:t>
      </w:r>
      <w:r>
        <w:rPr>
          <w:b w:val="0"/>
          <w:i/>
        </w:rPr>
        <w:t>interimant</w:t>
      </w:r>
      <w:r>
        <w:rPr>
          <w:b w:val="0"/>
          <w:i w:val="0"/>
        </w:rPr>
        <w:t>.</w:t>
      </w:r>
    </w:p>
    <w:p>
      <w:pPr>
        <w:widowControl/>
      </w:pPr>
      <w:r>
        <w:rPr>
          <w:b w:val="0"/>
          <w:i w:val="0"/>
        </w:rPr>
        <w:t xml:space="preserve">Reconcile / destroy. Providence brings contending powers together so that they do not mutually abolish one another. References: </w:t>
      </w:r>
      <w:hyperlink w:anchor="passage-ii-13-10">
        <w:r>
          <w:rPr>
            <w:color w:val="000000"/>
          </w:rPr>
          <w:t xml:space="preserve">II.13.10</w:t>
        </w:r>
      </w:hyperlink>
      <w:r>
        <w:rPr>
          <w:b w:val="0"/>
          <w:i w:val="0"/>
        </w:rPr>
        <w:t xml:space="preserve">. See </w:t>
      </w:r>
      <w:hyperlink w:anchor="exchange-and-reconciliation">
        <w:r>
          <w:rPr>
            <w:color w:val="000000"/>
          </w:rPr>
          <w:t xml:space="preserve">Exchange and reconciliation</w:t>
        </w:r>
      </w:hyperlink>
      <w:r>
        <w:rPr>
          <w:b w:val="0"/>
          <w:i w:val="0"/>
        </w:rPr>
        <w:t>.</w:t>
      </w:r>
    </w:p>
    <w:p>
      <w:pPr>
        <w:keepNext/>
        <w:widowControl/>
      </w:pPr>
      <w:bookmarkStart w:id="472" w:name="latin-record-0221"/>
      <w:bookmarkEnd w:id="472"/>
      <w:r>
        <w:rPr>
          <w:b/>
          <w:i w:val="0"/>
        </w:rPr>
        <w:t>concilio / vincit in unum</w:t>
      </w:r>
      <w:r>
        <w:rPr>
          <w:b/>
          <w:i w:val="0"/>
        </w:rPr>
        <w:t>.</w:t>
      </w:r>
      <w:r>
        <w:rPr>
          <w:b w:val="0"/>
          <w:i w:val="0"/>
        </w:rPr>
        <w:t xml:space="preserve"> Printed forms: </w:t>
      </w:r>
      <w:r>
        <w:rPr>
          <w:b w:val="0"/>
          <w:i/>
        </w:rPr>
        <w:t>conciliat</w:t>
      </w:r>
      <w:r>
        <w:rPr>
          <w:b w:val="0"/>
          <w:i w:val="0"/>
        </w:rPr>
        <w:t xml:space="preserve">; </w:t>
      </w:r>
      <w:r>
        <w:rPr>
          <w:b w:val="0"/>
          <w:i/>
        </w:rPr>
        <w:t>vincitque in unum</w:t>
      </w:r>
      <w:r>
        <w:rPr>
          <w:b w:val="0"/>
          <w:i w:val="0"/>
        </w:rPr>
        <w:t>.</w:t>
      </w:r>
    </w:p>
    <w:p>
      <w:pPr>
        <w:widowControl/>
      </w:pPr>
      <w:r>
        <w:rPr>
          <w:b w:val="0"/>
          <w:i w:val="0"/>
        </w:rPr>
        <w:t xml:space="preserve">To reconcile, and to bind conflicting things into one in the editor’s constructive reading. The passage gathers opposed bodily constituents under a life-giving power; the supplied apparatus explicitly explains the printed vincit this way. References: </w:t>
      </w:r>
      <w:hyperlink w:anchor="passage-i-3-23">
        <w:r>
          <w:rPr>
            <w:color w:val="000000"/>
          </w:rPr>
          <w:t xml:space="preserve">I.3.23</w:t>
        </w:r>
      </w:hyperlink>
      <w:r>
        <w:rPr>
          <w:b w:val="0"/>
          <w:i w:val="0"/>
        </w:rPr>
        <w:t xml:space="preserve">. See </w:t>
      </w:r>
      <w:hyperlink w:anchor="nourishment-digestion-and-growth">
        <w:r>
          <w:rPr>
            <w:color w:val="000000"/>
          </w:rPr>
          <w:t xml:space="preserve">Nourishment, digestion and growth</w:t>
        </w:r>
      </w:hyperlink>
      <w:r>
        <w:rPr>
          <w:b w:val="0"/>
          <w:i w:val="0"/>
        </w:rPr>
        <w:t>.</w:t>
      </w:r>
    </w:p>
    <w:p>
      <w:pPr>
        <w:keepNext/>
        <w:widowControl/>
      </w:pPr>
      <w:bookmarkStart w:id="473" w:name="latin-record-0222"/>
      <w:bookmarkEnd w:id="473"/>
      <w:r>
        <w:rPr>
          <w:b/>
          <w:i w:val="0"/>
        </w:rPr>
        <w:t>concinere / conducere</w:t>
      </w:r>
      <w:r>
        <w:rPr>
          <w:b/>
          <w:i w:val="0"/>
        </w:rPr>
        <w:t>.</w:t>
      </w:r>
      <w:r>
        <w:rPr>
          <w:b w:val="0"/>
          <w:i w:val="0"/>
        </w:rPr>
        <w:t xml:space="preserve"> Printed forms: </w:t>
      </w:r>
      <w:r>
        <w:rPr>
          <w:b w:val="0"/>
          <w:i/>
        </w:rPr>
        <w:t>concinat</w:t>
      </w:r>
      <w:r>
        <w:rPr>
          <w:b w:val="0"/>
          <w:i w:val="0"/>
        </w:rPr>
        <w:t xml:space="preserve">; </w:t>
      </w:r>
      <w:r>
        <w:rPr>
          <w:b w:val="0"/>
          <w:i/>
        </w:rPr>
        <w:t>conducat</w:t>
      </w:r>
      <w:r>
        <w:rPr>
          <w:b w:val="0"/>
          <w:i w:val="0"/>
        </w:rPr>
        <w:t>.</w:t>
      </w:r>
    </w:p>
    <w:p>
      <w:pPr>
        <w:widowControl/>
      </w:pPr>
      <w:r>
        <w:rPr>
          <w:b w:val="0"/>
          <w:i w:val="0"/>
        </w:rPr>
        <w:t xml:space="preserve">Harmonize / contribute or benefit. A part’s fitting perfection is what harmonizes with other parts and benefits the whole, not every possible excellence in isolation. References: </w:t>
      </w:r>
      <w:hyperlink w:anchor="passage-ii-13-23">
        <w:r>
          <w:rPr>
            <w:color w:val="000000"/>
          </w:rPr>
          <w:t xml:space="preserve">II.13.23</w:t>
        </w:r>
      </w:hyperlink>
      <w:r>
        <w:rPr>
          <w:b w:val="0"/>
          <w:i w:val="0"/>
        </w:rPr>
        <w:t xml:space="preserve">. See </w:t>
      </w:r>
      <w:hyperlink w:anchor="perfection">
        <w:r>
          <w:rPr>
            <w:color w:val="000000"/>
          </w:rPr>
          <w:t xml:space="preserve">Perfection</w:t>
        </w:r>
      </w:hyperlink>
      <w:r>
        <w:rPr>
          <w:b w:val="0"/>
          <w:i w:val="0"/>
        </w:rPr>
        <w:t>.</w:t>
      </w:r>
    </w:p>
    <w:p>
      <w:pPr>
        <w:keepNext/>
        <w:widowControl/>
      </w:pPr>
      <w:bookmarkStart w:id="474" w:name="latin-record-0223"/>
      <w:bookmarkEnd w:id="474"/>
      <w:r>
        <w:rPr>
          <w:b/>
          <w:i w:val="0"/>
        </w:rPr>
        <w:t>concludere / colligere</w:t>
      </w:r>
      <w:r>
        <w:rPr>
          <w:b/>
          <w:i w:val="0"/>
        </w:rPr>
        <w:t>.</w:t>
      </w:r>
      <w:r>
        <w:rPr>
          <w:b w:val="0"/>
          <w:i w:val="0"/>
        </w:rPr>
        <w:t xml:space="preserve"> Printed forms: </w:t>
      </w:r>
      <w:r>
        <w:rPr>
          <w:b w:val="0"/>
          <w:i/>
        </w:rPr>
        <w:t>colligitur</w:t>
      </w:r>
      <w:r>
        <w:rPr>
          <w:b w:val="0"/>
          <w:i w:val="0"/>
        </w:rPr>
        <w:t xml:space="preserve">; </w:t>
      </w:r>
      <w:r>
        <w:rPr>
          <w:b w:val="0"/>
          <w:i/>
        </w:rPr>
        <w:t>concludit</w:t>
      </w:r>
      <w:r>
        <w:rPr>
          <w:b w:val="0"/>
          <w:i w:val="0"/>
        </w:rPr>
        <w:t>.</w:t>
      </w:r>
    </w:p>
    <w:p>
      <w:pPr>
        <w:widowControl/>
      </w:pPr>
      <w:r>
        <w:rPr>
          <w:b w:val="0"/>
          <w:i w:val="0"/>
        </w:rPr>
        <w:t xml:space="preserve">Conclude / gather or infer. The final definition is gathered from life, intelligence, and temporal animation; the inference must not be reduced to physical gathering. References: </w:t>
      </w:r>
      <w:hyperlink w:anchor="passage-ii-13-9">
        <w:r>
          <w:rPr>
            <w:color w:val="000000"/>
          </w:rPr>
          <w:t xml:space="preserve">II.13.9</w:t>
        </w:r>
      </w:hyperlink>
      <w:r>
        <w:rPr>
          <w:b w:val="0"/>
          <w:i w:val="0"/>
        </w:rPr>
        <w:t xml:space="preserve">, </w:t>
      </w:r>
      <w:hyperlink w:anchor="passage-iii-2-29">
        <w:r>
          <w:rPr>
            <w:color w:val="000000"/>
          </w:rPr>
          <w:t xml:space="preserve">III.2.29</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475" w:name="latin-record-0224"/>
      <w:bookmarkEnd w:id="475"/>
      <w:r>
        <w:rPr>
          <w:b/>
          <w:i w:val="0"/>
        </w:rPr>
        <w:t>concludere / confirmare / patere</w:t>
      </w:r>
      <w:r>
        <w:rPr>
          <w:b/>
          <w:i w:val="0"/>
        </w:rPr>
        <w:t>.</w:t>
      </w:r>
      <w:r>
        <w:rPr>
          <w:b w:val="0"/>
          <w:i w:val="0"/>
        </w:rPr>
        <w:t xml:space="preserve"> Printed forms: </w:t>
      </w:r>
      <w:r>
        <w:rPr>
          <w:b w:val="0"/>
          <w:i/>
        </w:rPr>
        <w:t>Concludamus</w:t>
      </w:r>
      <w:r>
        <w:rPr>
          <w:b w:val="0"/>
          <w:i w:val="0"/>
        </w:rPr>
        <w:t xml:space="preserve">; </w:t>
      </w:r>
      <w:r>
        <w:rPr>
          <w:b w:val="0"/>
          <w:i/>
        </w:rPr>
        <w:t>confert</w:t>
      </w:r>
      <w:r>
        <w:rPr>
          <w:b w:val="0"/>
          <w:i w:val="0"/>
        </w:rPr>
        <w:t xml:space="preserve">; </w:t>
      </w:r>
      <w:r>
        <w:rPr>
          <w:b w:val="0"/>
          <w:i/>
        </w:rPr>
        <w:t>confirmat</w:t>
      </w:r>
      <w:r>
        <w:rPr>
          <w:b w:val="0"/>
          <w:i w:val="0"/>
        </w:rPr>
        <w:t xml:space="preserve">; </w:t>
      </w:r>
      <w:r>
        <w:rPr>
          <w:b w:val="0"/>
          <w:i/>
        </w:rPr>
        <w:t>confirmatum</w:t>
      </w:r>
      <w:r>
        <w:rPr>
          <w:b w:val="0"/>
          <w:i w:val="0"/>
        </w:rPr>
        <w:t xml:space="preserve">; </w:t>
      </w:r>
      <w:r>
        <w:rPr>
          <w:b w:val="0"/>
          <w:i/>
        </w:rPr>
        <w:t>patet</w:t>
      </w:r>
      <w:r>
        <w:rPr>
          <w:b w:val="0"/>
          <w:i w:val="0"/>
        </w:rPr>
        <w:t>.</w:t>
      </w:r>
    </w:p>
    <w:p>
      <w:pPr>
        <w:widowControl/>
      </w:pPr>
      <w:r>
        <w:rPr>
          <w:b w:val="0"/>
          <w:i w:val="0"/>
        </w:rPr>
        <w:t xml:space="preserve">To conclude, confirm, be evident, or contribute to a proof. The verbs distinguish inference, support, and recap; several converging reasons establish divine knowing. References: </w:t>
      </w:r>
      <w:hyperlink w:anchor="passage-ii-7-1">
        <w:r>
          <w:rPr>
            <w:color w:val="000000"/>
          </w:rPr>
          <w:t xml:space="preserve">II.7.1</w:t>
        </w:r>
      </w:hyperlink>
      <w:r>
        <w:rPr>
          <w:b w:val="0"/>
          <w:i w:val="0"/>
        </w:rPr>
        <w:t xml:space="preserve">, </w:t>
      </w:r>
      <w:hyperlink w:anchor="passage-ii-7-32">
        <w:r>
          <w:rPr>
            <w:color w:val="000000"/>
          </w:rPr>
          <w:t xml:space="preserve">II.7.32</w:t>
        </w:r>
      </w:hyperlink>
      <w:r>
        <w:rPr>
          <w:b w:val="0"/>
          <w:i w:val="0"/>
        </w:rPr>
        <w:t xml:space="preserve">, </w:t>
      </w:r>
      <w:hyperlink w:anchor="passage-ii-9-5">
        <w:r>
          <w:rPr>
            <w:color w:val="000000"/>
          </w:rPr>
          <w:t xml:space="preserve">II.9.5</w:t>
        </w:r>
      </w:hyperlink>
      <w:r>
        <w:rPr>
          <w:b w:val="0"/>
          <w:i w:val="0"/>
        </w:rPr>
        <w:t xml:space="preserve">, </w:t>
      </w:r>
      <w:hyperlink w:anchor="passage-ii-9-13">
        <w:r>
          <w:rPr>
            <w:color w:val="000000"/>
          </w:rPr>
          <w:t xml:space="preserve">II.9.13</w:t>
        </w:r>
      </w:hyperlink>
      <w:r>
        <w:rPr>
          <w:b w:val="0"/>
          <w:i w:val="0"/>
        </w:rPr>
        <w:t xml:space="preserve">, </w:t>
      </w:r>
      <w:hyperlink w:anchor="passage-ii-10-10">
        <w:r>
          <w:rPr>
            <w:color w:val="000000"/>
          </w:rPr>
          <w:t xml:space="preserve">II.10.10</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476" w:name="latin-record-0225"/>
      <w:bookmarkEnd w:id="476"/>
      <w:r>
        <w:rPr>
          <w:b/>
          <w:i w:val="0"/>
        </w:rPr>
        <w:t>concoquo / digero</w:t>
      </w:r>
      <w:r>
        <w:rPr>
          <w:b/>
          <w:i w:val="0"/>
        </w:rPr>
        <w:t>.</w:t>
      </w:r>
      <w:r>
        <w:rPr>
          <w:b w:val="0"/>
          <w:i w:val="0"/>
        </w:rPr>
        <w:t xml:space="preserve"> Printed forms: </w:t>
      </w:r>
      <w:r>
        <w:rPr>
          <w:b w:val="0"/>
          <w:i/>
        </w:rPr>
        <w:t>concoquit</w:t>
      </w:r>
      <w:r>
        <w:rPr>
          <w:b w:val="0"/>
          <w:i w:val="0"/>
        </w:rPr>
        <w:t xml:space="preserve">; </w:t>
      </w:r>
      <w:r>
        <w:rPr>
          <w:b w:val="0"/>
          <w:i/>
        </w:rPr>
        <w:t>digerit</w:t>
      </w:r>
      <w:r>
        <w:rPr>
          <w:b w:val="0"/>
          <w:i w:val="0"/>
        </w:rPr>
        <w:t>.</w:t>
      </w:r>
    </w:p>
    <w:p>
      <w:pPr>
        <w:widowControl/>
      </w:pPr>
      <w:r>
        <w:rPr>
          <w:b w:val="0"/>
          <w:i w:val="0"/>
        </w:rPr>
        <w:t xml:space="preserve">To cook or digest, and to distribute or digest orderly. Gentle, ordered assimilation contrasts with violent consumption; the physiological description supports a life-giving cause. References: </w:t>
      </w:r>
      <w:hyperlink w:anchor="passage-i-3-23">
        <w:r>
          <w:rPr>
            <w:color w:val="000000"/>
          </w:rPr>
          <w:t xml:space="preserve">I.3.23</w:t>
        </w:r>
      </w:hyperlink>
      <w:r>
        <w:rPr>
          <w:b w:val="0"/>
          <w:i w:val="0"/>
        </w:rPr>
        <w:t xml:space="preserve">. See </w:t>
      </w:r>
      <w:hyperlink w:anchor="nourishment-digestion-and-growth">
        <w:r>
          <w:rPr>
            <w:color w:val="000000"/>
          </w:rPr>
          <w:t xml:space="preserve">Nourishment, digestion and growth</w:t>
        </w:r>
      </w:hyperlink>
      <w:r>
        <w:rPr>
          <w:b w:val="0"/>
          <w:i w:val="0"/>
        </w:rPr>
        <w:t>.</w:t>
      </w:r>
    </w:p>
    <w:p>
      <w:pPr>
        <w:keepNext/>
        <w:widowControl/>
      </w:pPr>
      <w:bookmarkStart w:id="477" w:name="latin-record-0226"/>
      <w:bookmarkEnd w:id="477"/>
      <w:r>
        <w:rPr>
          <w:b/>
          <w:i w:val="0"/>
        </w:rPr>
        <w:t>concursus / confluere</w:t>
      </w:r>
      <w:r>
        <w:rPr>
          <w:b/>
          <w:i w:val="0"/>
        </w:rPr>
        <w:t>.</w:t>
      </w:r>
      <w:r>
        <w:rPr>
          <w:b w:val="0"/>
          <w:i w:val="0"/>
        </w:rPr>
        <w:t xml:space="preserve"> Printed forms: </w:t>
      </w:r>
      <w:r>
        <w:rPr>
          <w:b w:val="0"/>
          <w:i/>
        </w:rPr>
        <w:t>concursu</w:t>
      </w:r>
      <w:r>
        <w:rPr>
          <w:b w:val="0"/>
          <w:i w:val="0"/>
        </w:rPr>
        <w:t xml:space="preserve">; </w:t>
      </w:r>
      <w:r>
        <w:rPr>
          <w:b w:val="0"/>
          <w:i/>
        </w:rPr>
        <w:t>confluentes</w:t>
      </w:r>
      <w:r>
        <w:rPr>
          <w:b w:val="0"/>
          <w:i w:val="0"/>
        </w:rPr>
        <w:t>.</w:t>
      </w:r>
    </w:p>
    <w:p>
      <w:pPr>
        <w:widowControl/>
      </w:pPr>
      <w:r>
        <w:rPr>
          <w:b w:val="0"/>
          <w:i w:val="0"/>
        </w:rPr>
        <w:t xml:space="preserve">Convergence; flowing together. A meeting of agents still requires one ordering cause to explain a determinate outcome. References: </w:t>
      </w:r>
      <w:hyperlink w:anchor="passage-iv-1-8">
        <w:r>
          <w:rPr>
            <w:color w:val="000000"/>
          </w:rPr>
          <w:t xml:space="preserve">IV.1.8</w:t>
        </w:r>
      </w:hyperlink>
      <w:r>
        <w:rPr>
          <w:b w:val="0"/>
          <w:i w:val="0"/>
        </w:rPr>
        <w:t xml:space="preserve">. See </w:t>
      </w:r>
      <w:hyperlink w:anchor="contraction-and-determination">
        <w:r>
          <w:rPr>
            <w:color w:val="000000"/>
          </w:rPr>
          <w:t xml:space="preserve">Contraction and determination</w:t>
        </w:r>
      </w:hyperlink>
      <w:r>
        <w:rPr>
          <w:b w:val="0"/>
          <w:i w:val="0"/>
        </w:rPr>
        <w:t>.</w:t>
      </w:r>
    </w:p>
    <w:p>
      <w:pPr>
        <w:keepNext/>
        <w:widowControl/>
      </w:pPr>
      <w:bookmarkStart w:id="478" w:name="latin-record-0227"/>
      <w:bookmarkEnd w:id="478"/>
      <w:r>
        <w:rPr>
          <w:b/>
          <w:i w:val="0"/>
        </w:rPr>
        <w:t>condicio / accidens</w:t>
      </w:r>
      <w:r>
        <w:rPr>
          <w:b/>
          <w:i w:val="0"/>
        </w:rPr>
        <w:t>.</w:t>
      </w:r>
      <w:r>
        <w:rPr>
          <w:b w:val="0"/>
          <w:i w:val="0"/>
        </w:rPr>
        <w:t xml:space="preserve"> Printed forms: </w:t>
      </w:r>
      <w:r>
        <w:rPr>
          <w:b w:val="0"/>
          <w:i/>
        </w:rPr>
        <w:t>accidentalem</w:t>
      </w:r>
      <w:r>
        <w:rPr>
          <w:b w:val="0"/>
          <w:i w:val="0"/>
        </w:rPr>
        <w:t xml:space="preserve">; </w:t>
      </w:r>
      <w:r>
        <w:rPr>
          <w:b w:val="0"/>
          <w:i/>
        </w:rPr>
        <w:t>conditionibus</w:t>
      </w:r>
      <w:r>
        <w:rPr>
          <w:b w:val="0"/>
          <w:i w:val="0"/>
        </w:rPr>
        <w:t>.</w:t>
      </w:r>
    </w:p>
    <w:p>
      <w:pPr>
        <w:widowControl/>
      </w:pPr>
      <w:r>
        <w:rPr>
          <w:b w:val="0"/>
          <w:i w:val="0"/>
        </w:rPr>
        <w:t xml:space="preserve">Condition or circumstance; accidental as contrasted with substantial. Temporal flux is called accidental compared with eternity’s substantial stability, and intelligibility abstracts material conditions. References: </w:t>
      </w:r>
      <w:hyperlink w:anchor="passage-ii-5-2">
        <w:r>
          <w:rPr>
            <w:color w:val="000000"/>
          </w:rPr>
          <w:t xml:space="preserve">II.5.2</w:t>
        </w:r>
      </w:hyperlink>
      <w:r>
        <w:rPr>
          <w:b w:val="0"/>
          <w:i w:val="0"/>
        </w:rPr>
        <w:t xml:space="preserve">, </w:t>
      </w:r>
      <w:hyperlink w:anchor="passage-ii-9-1">
        <w:r>
          <w:rPr>
            <w:color w:val="000000"/>
          </w:rPr>
          <w:t xml:space="preserve">II.9.1</w:t>
        </w:r>
      </w:hyperlink>
      <w:r>
        <w:rPr>
          <w:b w:val="0"/>
          <w:i w:val="0"/>
        </w:rPr>
        <w:t xml:space="preserve">. See </w:t>
      </w:r>
      <w:hyperlink w:anchor="substance-and-accident">
        <w:r>
          <w:rPr>
            <w:color w:val="000000"/>
          </w:rPr>
          <w:t xml:space="preserve">Substance and accident</w:t>
        </w:r>
      </w:hyperlink>
      <w:r>
        <w:rPr>
          <w:b w:val="0"/>
          <w:i w:val="0"/>
        </w:rPr>
        <w:t>.</w:t>
      </w:r>
    </w:p>
    <w:p>
      <w:pPr>
        <w:keepNext/>
        <w:widowControl/>
      </w:pPr>
      <w:bookmarkStart w:id="479" w:name="latin-record-0228"/>
      <w:bookmarkEnd w:id="479"/>
      <w:r>
        <w:rPr>
          <w:b/>
          <w:i w:val="0"/>
        </w:rPr>
        <w:t>condicio / innatus</w:t>
      </w:r>
      <w:r>
        <w:rPr>
          <w:b/>
          <w:i w:val="0"/>
        </w:rPr>
        <w:t>.</w:t>
      </w:r>
      <w:r>
        <w:rPr>
          <w:b w:val="0"/>
          <w:i w:val="0"/>
        </w:rPr>
        <w:t xml:space="preserve"> Printed forms: </w:t>
      </w:r>
      <w:r>
        <w:rPr>
          <w:b w:val="0"/>
          <w:i/>
        </w:rPr>
        <w:t>conditio</w:t>
      </w:r>
      <w:r>
        <w:rPr>
          <w:b w:val="0"/>
          <w:i w:val="0"/>
        </w:rPr>
        <w:t xml:space="preserve">; </w:t>
      </w:r>
      <w:r>
        <w:rPr>
          <w:b w:val="0"/>
          <w:i/>
        </w:rPr>
        <w:t>innata</w:t>
      </w:r>
      <w:r>
        <w:rPr>
          <w:b w:val="0"/>
          <w:i w:val="0"/>
        </w:rPr>
        <w:t>.</w:t>
      </w:r>
    </w:p>
    <w:p>
      <w:pPr>
        <w:widowControl/>
      </w:pPr>
      <w:r>
        <w:rPr>
          <w:b w:val="0"/>
          <w:i w:val="0"/>
        </w:rPr>
        <w:t xml:space="preserve">A condition and what belongs inherently to a thing. Dependency is said to be an innate condition of every effect; this is explanatory status, not a bodily trait inherited from parents. References: </w:t>
      </w:r>
      <w:hyperlink w:anchor="passage-i-3-8">
        <w:r>
          <w:rPr>
            <w:color w:val="000000"/>
          </w:rPr>
          <w:t xml:space="preserve">I.3.8</w:t>
        </w:r>
      </w:hyperlink>
      <w:r>
        <w:rPr>
          <w:b w:val="0"/>
          <w:i w:val="0"/>
        </w:rPr>
        <w:t xml:space="preserve">. See </w:t>
      </w:r>
      <w:hyperlink w:anchor="cause">
        <w:r>
          <w:rPr>
            <w:color w:val="000000"/>
          </w:rPr>
          <w:t xml:space="preserve">Cause</w:t>
        </w:r>
      </w:hyperlink>
      <w:r>
        <w:rPr>
          <w:b w:val="0"/>
          <w:i w:val="0"/>
        </w:rPr>
        <w:t>.</w:t>
      </w:r>
    </w:p>
    <w:p>
      <w:pPr>
        <w:keepNext/>
        <w:widowControl/>
      </w:pPr>
      <w:bookmarkStart w:id="480" w:name="latin-record-0229"/>
      <w:bookmarkEnd w:id="480"/>
      <w:r>
        <w:rPr>
          <w:b/>
          <w:i w:val="0"/>
        </w:rPr>
        <w:t>conditionali necessitate</w:t>
      </w:r>
      <w:r>
        <w:rPr>
          <w:b/>
          <w:i w:val="0"/>
        </w:rPr>
        <w:t>.</w:t>
      </w:r>
      <w:r>
        <w:rPr>
          <w:b w:val="0"/>
          <w:i w:val="0"/>
        </w:rPr>
        <w:t xml:space="preserve"> Printed forms: </w:t>
      </w:r>
      <w:r>
        <w:rPr>
          <w:b w:val="0"/>
          <w:i/>
        </w:rPr>
        <w:t>Conditionali quadam necessitate</w:t>
      </w:r>
      <w:r>
        <w:rPr>
          <w:b w:val="0"/>
          <w:i w:val="0"/>
        </w:rPr>
        <w:t>.</w:t>
      </w:r>
    </w:p>
    <w:p>
      <w:pPr>
        <w:widowControl/>
      </w:pPr>
      <w:r>
        <w:rPr>
          <w:b w:val="0"/>
          <w:i w:val="0"/>
        </w:rPr>
        <w:t xml:space="preserve">With a qualified conditional necessity. Means are necessary insofar as required for an end; some means are unnecessary when the end can be possessed without them. References: </w:t>
      </w:r>
      <w:hyperlink w:anchor="passage-ii-12-14">
        <w:r>
          <w:rPr>
            <w:color w:val="000000"/>
          </w:rPr>
          <w:t xml:space="preserve">II.12.14</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481" w:name="latin-record-0230"/>
      <w:bookmarkEnd w:id="481"/>
      <w:r>
        <w:rPr>
          <w:b/>
          <w:i w:val="0"/>
        </w:rPr>
        <w:t>conducere ad speciem</w:t>
      </w:r>
      <w:r>
        <w:rPr>
          <w:b/>
          <w:i w:val="0"/>
        </w:rPr>
        <w:t>.</w:t>
      </w:r>
      <w:r>
        <w:rPr>
          <w:b w:val="0"/>
          <w:i w:val="0"/>
        </w:rPr>
        <w:t xml:space="preserve"> Printed forms: </w:t>
      </w:r>
      <w:r>
        <w:rPr>
          <w:b w:val="0"/>
          <w:i/>
        </w:rPr>
        <w:t>ad speciem mentis perfectae conducit</w:t>
      </w:r>
      <w:r>
        <w:rPr>
          <w:b w:val="0"/>
          <w:i w:val="0"/>
        </w:rPr>
        <w:t>.</w:t>
      </w:r>
    </w:p>
    <w:p>
      <w:pPr>
        <w:widowControl/>
      </w:pPr>
      <w:r>
        <w:rPr>
          <w:b w:val="0"/>
          <w:i w:val="0"/>
        </w:rPr>
        <w:t xml:space="preserve">To contribute toward the realization of a higher kind. Heaven’s bodily arranging activity requires intellectual direction when it prepares recipients for intellectual souls. References: </w:t>
      </w:r>
      <w:hyperlink w:anchor="passage-iv-1-85">
        <w:r>
          <w:rPr>
            <w:color w:val="000000"/>
          </w:rPr>
          <w:t xml:space="preserve">IV.1.85</w:t>
        </w:r>
      </w:hyperlink>
      <w:r>
        <w:rPr>
          <w:b w:val="0"/>
          <w:i w:val="0"/>
        </w:rPr>
        <w:t xml:space="preserve">. See </w:t>
      </w:r>
      <w:hyperlink w:anchor="instrument">
        <w:r>
          <w:rPr>
            <w:color w:val="000000"/>
          </w:rPr>
          <w:t xml:space="preserve">Instrument</w:t>
        </w:r>
      </w:hyperlink>
      <w:r>
        <w:rPr>
          <w:b w:val="0"/>
          <w:i w:val="0"/>
        </w:rPr>
        <w:t>.</w:t>
      </w:r>
    </w:p>
    <w:p>
      <w:pPr>
        <w:keepNext/>
        <w:widowControl/>
      </w:pPr>
      <w:bookmarkStart w:id="482" w:name="latin-record-0231"/>
      <w:bookmarkEnd w:id="482"/>
      <w:r>
        <w:rPr>
          <w:b/>
          <w:i w:val="0"/>
        </w:rPr>
        <w:t>confabulari</w:t>
      </w:r>
      <w:r>
        <w:rPr>
          <w:b/>
          <w:i w:val="0"/>
        </w:rPr>
        <w:t>.</w:t>
      </w:r>
      <w:r>
        <w:rPr>
          <w:b w:val="0"/>
          <w:i w:val="0"/>
        </w:rPr>
        <w:t xml:space="preserve"> Printed forms: </w:t>
      </w:r>
      <w:r>
        <w:rPr>
          <w:b w:val="0"/>
          <w:i/>
        </w:rPr>
        <w:t>confabulari</w:t>
      </w:r>
      <w:r>
        <w:rPr>
          <w:b w:val="0"/>
          <w:i w:val="0"/>
        </w:rPr>
        <w:t xml:space="preserve">; </w:t>
      </w:r>
      <w:r>
        <w:rPr>
          <w:b w:val="0"/>
          <w:i/>
        </w:rPr>
        <w:t>confabulati sumus</w:t>
      </w:r>
      <w:r>
        <w:rPr>
          <w:b w:val="0"/>
          <w:i w:val="0"/>
        </w:rPr>
        <w:t>.</w:t>
      </w:r>
    </w:p>
    <w:p>
      <w:pPr>
        <w:widowControl/>
      </w:pPr>
      <w:r>
        <w:rPr>
          <w:b w:val="0"/>
          <w:i w:val="0"/>
        </w:rPr>
        <w:t xml:space="preserve">To converse together for a time. The verb explicitly opens and closes the Pythagorean excursion; its boundaries qualify the intervening numerical elaboration. References: </w:t>
      </w:r>
      <w:hyperlink w:anchor="passage-iv-1-40">
        <w:r>
          <w:rPr>
            <w:color w:val="000000"/>
          </w:rPr>
          <w:t xml:space="preserve">IV.1.40</w:t>
        </w:r>
      </w:hyperlink>
      <w:r>
        <w:rPr>
          <w:b w:val="0"/>
          <w:i w:val="0"/>
        </w:rPr>
        <w:t xml:space="preserve">, </w:t>
      </w:r>
      <w:hyperlink w:anchor="passage-iv-1-52">
        <w:r>
          <w:rPr>
            <w:color w:val="000000"/>
          </w:rPr>
          <w:t xml:space="preserve">IV.1.52</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483" w:name="latin-record-0232"/>
      <w:bookmarkEnd w:id="483"/>
      <w:r>
        <w:rPr>
          <w:b/>
          <w:i w:val="0"/>
        </w:rPr>
        <w:t>conferre / conducere</w:t>
      </w:r>
      <w:r>
        <w:rPr>
          <w:b/>
          <w:i w:val="0"/>
        </w:rPr>
        <w:t>.</w:t>
      </w:r>
      <w:r>
        <w:rPr>
          <w:b w:val="0"/>
          <w:i w:val="0"/>
        </w:rPr>
        <w:t xml:space="preserve"> Printed forms: </w:t>
      </w:r>
      <w:r>
        <w:rPr>
          <w:b w:val="0"/>
          <w:i/>
        </w:rPr>
        <w:t>conducant</w:t>
      </w:r>
      <w:r>
        <w:rPr>
          <w:b w:val="0"/>
          <w:i w:val="0"/>
        </w:rPr>
        <w:t xml:space="preserve">; </w:t>
      </w:r>
      <w:r>
        <w:rPr>
          <w:b w:val="0"/>
          <w:i/>
        </w:rPr>
        <w:t>conferre</w:t>
      </w:r>
      <w:r>
        <w:rPr>
          <w:b w:val="0"/>
          <w:i w:val="0"/>
        </w:rPr>
        <w:t xml:space="preserve">; </w:t>
      </w:r>
      <w:r>
        <w:rPr>
          <w:b w:val="0"/>
          <w:i/>
        </w:rPr>
        <w:t>confert</w:t>
      </w:r>
      <w:r>
        <w:rPr>
          <w:b w:val="0"/>
          <w:i w:val="0"/>
        </w:rPr>
        <w:t>.</w:t>
      </w:r>
    </w:p>
    <w:p>
      <w:pPr>
        <w:widowControl/>
      </w:pPr>
      <w:r>
        <w:rPr>
          <w:b w:val="0"/>
          <w:i w:val="0"/>
        </w:rPr>
        <w:t xml:space="preserve">To contribute or assist toward an outcome. Accidental qualities can contribute without being sufficient producers; bodily readiness and celestial motion likewise contribute in their specified roles. References: </w:t>
      </w:r>
      <w:hyperlink w:anchor="passage-iv-1-19">
        <w:r>
          <w:rPr>
            <w:color w:val="000000"/>
          </w:rPr>
          <w:t xml:space="preserve">IV.1.19</w:t>
        </w:r>
      </w:hyperlink>
      <w:r>
        <w:rPr>
          <w:b w:val="0"/>
          <w:i w:val="0"/>
        </w:rPr>
        <w:t xml:space="preserve">, </w:t>
      </w:r>
      <w:hyperlink w:anchor="passage-iv-2-19">
        <w:r>
          <w:rPr>
            <w:color w:val="000000"/>
          </w:rPr>
          <w:t xml:space="preserve">IV.2.19</w:t>
        </w:r>
      </w:hyperlink>
      <w:r>
        <w:rPr>
          <w:b w:val="0"/>
          <w:i w:val="0"/>
        </w:rPr>
        <w:t xml:space="preserve">, </w:t>
      </w:r>
      <w:hyperlink w:anchor="passage-iv-2-20">
        <w:r>
          <w:rPr>
            <w:color w:val="000000"/>
          </w:rPr>
          <w:t xml:space="preserve">IV.2.20</w:t>
        </w:r>
      </w:hyperlink>
      <w:r>
        <w:rPr>
          <w:b w:val="0"/>
          <w:i w:val="0"/>
        </w:rPr>
        <w:t xml:space="preserve">. See </w:t>
      </w:r>
      <w:hyperlink w:anchor="cause">
        <w:r>
          <w:rPr>
            <w:color w:val="000000"/>
          </w:rPr>
          <w:t xml:space="preserve">Cause</w:t>
        </w:r>
      </w:hyperlink>
      <w:r>
        <w:rPr>
          <w:b w:val="0"/>
          <w:i w:val="0"/>
        </w:rPr>
        <w:t>.</w:t>
      </w:r>
    </w:p>
    <w:p>
      <w:pPr>
        <w:keepNext/>
        <w:widowControl/>
      </w:pPr>
      <w:bookmarkStart w:id="484" w:name="latin-record-0233"/>
      <w:bookmarkEnd w:id="484"/>
      <w:r>
        <w:rPr>
          <w:b/>
          <w:i w:val="0"/>
        </w:rPr>
        <w:t>confiteri / asseverare</w:t>
      </w:r>
      <w:r>
        <w:rPr>
          <w:b/>
          <w:i w:val="0"/>
        </w:rPr>
        <w:t>.</w:t>
      </w:r>
      <w:r>
        <w:rPr>
          <w:b w:val="0"/>
          <w:i w:val="0"/>
        </w:rPr>
        <w:t xml:space="preserve"> Printed forms: </w:t>
      </w:r>
      <w:r>
        <w:rPr>
          <w:b w:val="0"/>
          <w:i/>
        </w:rPr>
        <w:t>asseverabunt</w:t>
      </w:r>
      <w:r>
        <w:rPr>
          <w:b w:val="0"/>
          <w:i w:val="0"/>
        </w:rPr>
        <w:t xml:space="preserve">; </w:t>
      </w:r>
      <w:r>
        <w:rPr>
          <w:b w:val="0"/>
          <w:i/>
        </w:rPr>
        <w:t>confitebuntur</w:t>
      </w:r>
      <w:r>
        <w:rPr>
          <w:b w:val="0"/>
          <w:i w:val="0"/>
        </w:rPr>
        <w:t>.</w:t>
      </w:r>
    </w:p>
    <w:p>
      <w:pPr>
        <w:widowControl/>
      </w:pPr>
      <w:r>
        <w:rPr>
          <w:b w:val="0"/>
          <w:i w:val="0"/>
        </w:rPr>
        <w:t xml:space="preserve">To admit; to assert firmly. Future tenses stage a philosophical disagreement rather than quote a recorded contemporary exchange. References: </w:t>
      </w:r>
      <w:hyperlink w:anchor="passage-iv-1-22">
        <w:r>
          <w:rPr>
            <w:color w:val="000000"/>
          </w:rPr>
          <w:t xml:space="preserve">IV.1.22</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485" w:name="latin-record-0234"/>
      <w:bookmarkEnd w:id="485"/>
      <w:r>
        <w:rPr>
          <w:b/>
          <w:i w:val="0"/>
        </w:rPr>
        <w:t>confiteri / tradere</w:t>
      </w:r>
      <w:r>
        <w:rPr>
          <w:b/>
          <w:i w:val="0"/>
        </w:rPr>
        <w:t>.</w:t>
      </w:r>
      <w:r>
        <w:rPr>
          <w:b w:val="0"/>
          <w:i w:val="0"/>
        </w:rPr>
        <w:t xml:space="preserve"> Printed forms: </w:t>
      </w:r>
      <w:r>
        <w:rPr>
          <w:b w:val="0"/>
          <w:i/>
        </w:rPr>
        <w:t>confitentur</w:t>
      </w:r>
      <w:r>
        <w:rPr>
          <w:b w:val="0"/>
          <w:i w:val="0"/>
        </w:rPr>
        <w:t xml:space="preserve">; </w:t>
      </w:r>
      <w:r>
        <w:rPr>
          <w:b w:val="0"/>
          <w:i/>
        </w:rPr>
        <w:t>tradunt</w:t>
      </w:r>
      <w:r>
        <w:rPr>
          <w:b w:val="0"/>
          <w:i w:val="0"/>
        </w:rPr>
        <w:t>.</w:t>
      </w:r>
    </w:p>
    <w:p>
      <w:pPr>
        <w:widowControl/>
      </w:pPr>
      <w:r>
        <w:rPr>
          <w:b w:val="0"/>
          <w:i w:val="0"/>
        </w:rPr>
        <w:t xml:space="preserve">To acknowledge; to transmit or teach a claim. Ficino assigns celestial animation to philosophical authorities and a doctrinal-permissibility claim to Augustine and Aquinas. References: </w:t>
      </w:r>
      <w:hyperlink w:anchor="passage-iv-1-88">
        <w:r>
          <w:rPr>
            <w:color w:val="000000"/>
          </w:rPr>
          <w:t xml:space="preserve">IV.1.88</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486" w:name="latin-record-0235"/>
      <w:bookmarkEnd w:id="486"/>
      <w:r>
        <w:rPr>
          <w:b/>
          <w:i w:val="0"/>
        </w:rPr>
        <w:t>confusio / permiscere / iungere</w:t>
      </w:r>
      <w:r>
        <w:rPr>
          <w:b/>
          <w:i w:val="0"/>
        </w:rPr>
        <w:t>.</w:t>
      </w:r>
      <w:r>
        <w:rPr>
          <w:b w:val="0"/>
          <w:i w:val="0"/>
        </w:rPr>
        <w:t xml:space="preserve"> Printed forms: </w:t>
      </w:r>
      <w:r>
        <w:rPr>
          <w:b w:val="0"/>
          <w:i/>
        </w:rPr>
        <w:t>confusione</w:t>
      </w:r>
      <w:r>
        <w:rPr>
          <w:b w:val="0"/>
          <w:i w:val="0"/>
        </w:rPr>
        <w:t xml:space="preserve">; </w:t>
      </w:r>
      <w:r>
        <w:rPr>
          <w:b w:val="0"/>
          <w:i/>
        </w:rPr>
        <w:t>iuncta</w:t>
      </w:r>
      <w:r>
        <w:rPr>
          <w:b w:val="0"/>
          <w:i w:val="0"/>
        </w:rPr>
        <w:t xml:space="preserve">; </w:t>
      </w:r>
      <w:r>
        <w:rPr>
          <w:b w:val="0"/>
          <w:i/>
        </w:rPr>
        <w:t>permixta</w:t>
      </w:r>
      <w:r>
        <w:rPr>
          <w:b w:val="0"/>
          <w:i w:val="0"/>
        </w:rPr>
        <w:t>.</w:t>
      </w:r>
    </w:p>
    <w:p>
      <w:pPr>
        <w:widowControl/>
      </w:pPr>
      <w:r>
        <w:rPr>
          <w:b w:val="0"/>
          <w:i w:val="0"/>
        </w:rPr>
        <w:t xml:space="preserve">Confusion, mingling, or joining, with union distinguished from loss of identity. Virtue-habits, color-images, and candlelights illustrate multiple presences that remain distinguishable. References: </w:t>
      </w:r>
      <w:hyperlink w:anchor="passage-ii-6-14">
        <w:r>
          <w:rPr>
            <w:color w:val="000000"/>
          </w:rPr>
          <w:t xml:space="preserve">II.6.14</w:t>
        </w:r>
      </w:hyperlink>
      <w:r>
        <w:rPr>
          <w:b w:val="0"/>
          <w:i w:val="0"/>
        </w:rPr>
        <w:t xml:space="preserve">, </w:t>
      </w:r>
      <w:hyperlink w:anchor="passage-ii-6-24">
        <w:r>
          <w:rPr>
            <w:color w:val="000000"/>
          </w:rPr>
          <w:t xml:space="preserve">II.6.24</w:t>
        </w:r>
      </w:hyperlink>
      <w:r>
        <w:rPr>
          <w:b w:val="0"/>
          <w:i w:val="0"/>
        </w:rPr>
        <w:t xml:space="preserve">. See </w:t>
      </w:r>
      <w:hyperlink w:anchor="candles-and-the-hall">
        <w:r>
          <w:rPr>
            <w:color w:val="000000"/>
          </w:rPr>
          <w:t xml:space="preserve">Candles and the hall</w:t>
        </w:r>
      </w:hyperlink>
      <w:r>
        <w:rPr>
          <w:b w:val="0"/>
          <w:i w:val="0"/>
        </w:rPr>
        <w:t>.</w:t>
      </w:r>
    </w:p>
    <w:p>
      <w:pPr>
        <w:keepNext/>
        <w:widowControl/>
      </w:pPr>
      <w:bookmarkStart w:id="487" w:name="latin-record-0236"/>
      <w:bookmarkEnd w:id="487"/>
      <w:r>
        <w:rPr>
          <w:b/>
          <w:i w:val="0"/>
        </w:rPr>
        <w:t>confusus / distinctus</w:t>
      </w:r>
      <w:r>
        <w:rPr>
          <w:b/>
          <w:i w:val="0"/>
        </w:rPr>
        <w:t>.</w:t>
      </w:r>
      <w:r>
        <w:rPr>
          <w:b w:val="0"/>
          <w:i w:val="0"/>
        </w:rPr>
        <w:t xml:space="preserve"> Printed forms: </w:t>
      </w:r>
      <w:r>
        <w:rPr>
          <w:b w:val="0"/>
          <w:i/>
        </w:rPr>
        <w:t>confusam</w:t>
      </w:r>
      <w:r>
        <w:rPr>
          <w:b w:val="0"/>
          <w:i w:val="0"/>
        </w:rPr>
        <w:t xml:space="preserve">; </w:t>
      </w:r>
      <w:r>
        <w:rPr>
          <w:b w:val="0"/>
          <w:i/>
        </w:rPr>
        <w:t>distinctum</w:t>
      </w:r>
      <w:r>
        <w:rPr>
          <w:b w:val="0"/>
          <w:i w:val="0"/>
        </w:rPr>
        <w:t>.</w:t>
      </w:r>
    </w:p>
    <w:p>
      <w:pPr>
        <w:widowControl/>
      </w:pPr>
      <w:r>
        <w:rPr>
          <w:b w:val="0"/>
          <w:i w:val="0"/>
        </w:rPr>
        <w:t xml:space="preserve">Confused or undifferentiated / distinct. Forms in matter’s pure potency are contrasted with forms present distinctly in divine act; this is a difference of mode, not two inventories. References: </w:t>
      </w:r>
      <w:hyperlink w:anchor="passage-ii-11-1">
        <w:r>
          <w:rPr>
            <w:color w:val="000000"/>
          </w:rPr>
          <w:t xml:space="preserve">II.11.1</w:t>
        </w:r>
      </w:hyperlink>
      <w:r>
        <w:rPr>
          <w:b w:val="0"/>
          <w:i w:val="0"/>
        </w:rPr>
        <w:t xml:space="preserve">. See </w:t>
      </w:r>
      <w:hyperlink w:anchor="form">
        <w:r>
          <w:rPr>
            <w:color w:val="000000"/>
          </w:rPr>
          <w:t xml:space="preserve">Form</w:t>
        </w:r>
      </w:hyperlink>
      <w:r>
        <w:rPr>
          <w:b w:val="0"/>
          <w:i w:val="0"/>
        </w:rPr>
        <w:t>.</w:t>
      </w:r>
    </w:p>
    <w:p>
      <w:pPr>
        <w:keepNext/>
        <w:widowControl/>
      </w:pPr>
      <w:bookmarkStart w:id="488" w:name="latin-record-0237"/>
      <w:bookmarkEnd w:id="488"/>
      <w:r>
        <w:rPr>
          <w:b/>
          <w:i w:val="0"/>
        </w:rPr>
        <w:t>confutare / refellere</w:t>
      </w:r>
      <w:r>
        <w:rPr>
          <w:b/>
          <w:i w:val="0"/>
        </w:rPr>
        <w:t>.</w:t>
      </w:r>
      <w:r>
        <w:rPr>
          <w:b w:val="0"/>
          <w:i w:val="0"/>
        </w:rPr>
        <w:t xml:space="preserve"> Printed forms: </w:t>
      </w:r>
      <w:r>
        <w:rPr>
          <w:b w:val="0"/>
          <w:i/>
        </w:rPr>
        <w:t>confutatum</w:t>
      </w:r>
      <w:r>
        <w:rPr>
          <w:b w:val="0"/>
          <w:i w:val="0"/>
        </w:rPr>
        <w:t xml:space="preserve">; </w:t>
      </w:r>
      <w:r>
        <w:rPr>
          <w:b w:val="0"/>
          <w:i/>
        </w:rPr>
        <w:t>refellemus</w:t>
      </w:r>
      <w:r>
        <w:rPr>
          <w:b w:val="0"/>
          <w:i w:val="0"/>
        </w:rPr>
        <w:t>.</w:t>
      </w:r>
    </w:p>
    <w:p>
      <w:pPr>
        <w:widowControl/>
      </w:pPr>
      <w:r>
        <w:rPr>
          <w:b w:val="0"/>
          <w:i w:val="0"/>
        </w:rPr>
        <w:t xml:space="preserve">To refute or disprove. Ficino announces new arguments against an infinite hierarchy even though he judges earlier reasoning already sufficient. References: </w:t>
      </w:r>
      <w:hyperlink w:anchor="passage-ii-3-1">
        <w:r>
          <w:rPr>
            <w:color w:val="000000"/>
          </w:rPr>
          <w:t xml:space="preserve">II.3.1</w:t>
        </w:r>
      </w:hyperlink>
      <w:r>
        <w:rPr>
          <w:b w:val="0"/>
          <w:i w:val="0"/>
        </w:rPr>
        <w:t xml:space="preserve">. See </w:t>
      </w:r>
      <w:hyperlink w:anchor="agreement-and-hypothetical-concession">
        <w:r>
          <w:rPr>
            <w:color w:val="000000"/>
          </w:rPr>
          <w:t xml:space="preserve">Agreement and hypothetical concession</w:t>
        </w:r>
      </w:hyperlink>
      <w:r>
        <w:rPr>
          <w:b w:val="0"/>
          <w:i w:val="0"/>
        </w:rPr>
        <w:t>.</w:t>
      </w:r>
    </w:p>
    <w:p>
      <w:pPr>
        <w:keepNext/>
        <w:widowControl/>
      </w:pPr>
      <w:bookmarkStart w:id="489" w:name="latin-record-0238"/>
      <w:bookmarkEnd w:id="489"/>
      <w:r>
        <w:rPr>
          <w:b/>
          <w:i w:val="0"/>
        </w:rPr>
        <w:t>conglutinare / consonare</w:t>
      </w:r>
      <w:r>
        <w:rPr>
          <w:b/>
          <w:i w:val="0"/>
        </w:rPr>
        <w:t>.</w:t>
      </w:r>
      <w:r>
        <w:rPr>
          <w:b w:val="0"/>
          <w:i w:val="0"/>
        </w:rPr>
        <w:t xml:space="preserve"> Printed forms: </w:t>
      </w:r>
      <w:r>
        <w:rPr>
          <w:b w:val="0"/>
          <w:i/>
        </w:rPr>
        <w:t>conglutinatur</w:t>
      </w:r>
      <w:r>
        <w:rPr>
          <w:b w:val="0"/>
          <w:i w:val="0"/>
        </w:rPr>
        <w:t xml:space="preserve">; </w:t>
      </w:r>
      <w:r>
        <w:rPr>
          <w:b w:val="0"/>
          <w:i/>
        </w:rPr>
        <w:t>consonet</w:t>
      </w:r>
      <w:r>
        <w:rPr>
          <w:b w:val="0"/>
          <w:i w:val="0"/>
        </w:rPr>
        <w:t>.</w:t>
      </w:r>
    </w:p>
    <w:p>
      <w:pPr>
        <w:widowControl/>
      </w:pPr>
      <w:r>
        <w:rPr>
          <w:b w:val="0"/>
          <w:i w:val="0"/>
        </w:rPr>
        <w:t xml:space="preserve">Glue or join closely / harmonize. The well-composed work is unified, coherent, and resistant to dispersal; the bodily blend illustrates the larger requirement of cosmic connection. References: </w:t>
      </w:r>
      <w:hyperlink w:anchor="passage-iii-2-6">
        <w:r>
          <w:rPr>
            <w:color w:val="000000"/>
          </w:rPr>
          <w:t xml:space="preserve">III.2.6</w:t>
        </w:r>
      </w:hyperlink>
      <w:r>
        <w:rPr>
          <w:b w:val="0"/>
          <w:i w:val="0"/>
        </w:rPr>
        <w:t xml:space="preserve">. See </w:t>
      </w:r>
      <w:hyperlink w:anchor="bond-knot-and-chain">
        <w:r>
          <w:rPr>
            <w:color w:val="000000"/>
          </w:rPr>
          <w:t xml:space="preserve">Bond knot and chain</w:t>
        </w:r>
      </w:hyperlink>
      <w:r>
        <w:rPr>
          <w:b w:val="0"/>
          <w:i w:val="0"/>
        </w:rPr>
        <w:t>.</w:t>
      </w:r>
    </w:p>
    <w:p>
      <w:pPr>
        <w:keepNext/>
        <w:widowControl/>
      </w:pPr>
      <w:bookmarkStart w:id="490" w:name="latin-record-0239"/>
      <w:bookmarkEnd w:id="490"/>
      <w:r>
        <w:rPr>
          <w:b/>
          <w:i w:val="0"/>
        </w:rPr>
        <w:t>conicio</w:t>
      </w:r>
      <w:r>
        <w:rPr>
          <w:b/>
          <w:i w:val="0"/>
        </w:rPr>
        <w:t>.</w:t>
      </w:r>
      <w:r>
        <w:rPr>
          <w:b w:val="0"/>
          <w:i w:val="0"/>
        </w:rPr>
        <w:t xml:space="preserve"> Printed forms: </w:t>
      </w:r>
      <w:r>
        <w:rPr>
          <w:b w:val="0"/>
          <w:i/>
        </w:rPr>
        <w:t>conicimus</w:t>
      </w:r>
      <w:r>
        <w:rPr>
          <w:b w:val="0"/>
          <w:i w:val="0"/>
        </w:rPr>
        <w:t>.</w:t>
      </w:r>
    </w:p>
    <w:p>
      <w:pPr>
        <w:widowControl/>
      </w:pPr>
      <w:r>
        <w:rPr>
          <w:b w:val="0"/>
          <w:i w:val="0"/>
        </w:rPr>
        <w:t xml:space="preserve">To infer or conjecture from an indication. Nature’s superior efficacy compared with art supports an inference about greater mastery, closer presence and more independent substance. References: </w:t>
      </w:r>
      <w:hyperlink w:anchor="passage-i-3-17">
        <w:r>
          <w:rPr>
            <w:color w:val="000000"/>
          </w:rPr>
          <w:t xml:space="preserve">I.3.17</w:t>
        </w:r>
      </w:hyperlink>
      <w:r>
        <w:rPr>
          <w:b w:val="0"/>
          <w:i w:val="0"/>
        </w:rPr>
        <w:t xml:space="preserve">. See </w:t>
      </w:r>
      <w:hyperlink w:anchor="art-and-nature">
        <w:r>
          <w:rPr>
            <w:color w:val="000000"/>
          </w:rPr>
          <w:t xml:space="preserve">Art and nature</w:t>
        </w:r>
      </w:hyperlink>
      <w:r>
        <w:rPr>
          <w:b w:val="0"/>
          <w:i w:val="0"/>
        </w:rPr>
        <w:t>.</w:t>
      </w:r>
    </w:p>
    <w:p>
      <w:pPr>
        <w:keepNext/>
        <w:widowControl/>
      </w:pPr>
      <w:bookmarkStart w:id="491" w:name="latin-record-0240"/>
      <w:bookmarkEnd w:id="491"/>
      <w:r>
        <w:rPr>
          <w:b/>
          <w:i w:val="0"/>
        </w:rPr>
        <w:t>coniectari</w:t>
      </w:r>
      <w:r>
        <w:rPr>
          <w:b/>
          <w:i w:val="0"/>
        </w:rPr>
        <w:t>.</w:t>
      </w:r>
      <w:r>
        <w:rPr>
          <w:b w:val="0"/>
          <w:i w:val="0"/>
        </w:rPr>
        <w:t xml:space="preserve"> Printed forms: </w:t>
      </w:r>
      <w:r>
        <w:rPr>
          <w:b w:val="0"/>
          <w:i/>
        </w:rPr>
        <w:t>coniectari</w:t>
      </w:r>
      <w:r>
        <w:rPr>
          <w:b w:val="0"/>
          <w:i w:val="0"/>
        </w:rPr>
        <w:t>.</w:t>
      </w:r>
    </w:p>
    <w:p>
      <w:pPr>
        <w:widowControl/>
      </w:pPr>
      <w:r>
        <w:rPr>
          <w:b w:val="0"/>
          <w:i w:val="0"/>
        </w:rPr>
        <w:t xml:space="preserve">Infer or conjecture. Ficino marks an inferential step from the comparative efficacy of intellect to the force of divine will. References: </w:t>
      </w:r>
      <w:hyperlink w:anchor="passage-ii-11-32">
        <w:r>
          <w:rPr>
            <w:color w:val="000000"/>
          </w:rPr>
          <w:t xml:space="preserve">II.11.32</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492" w:name="latin-record-0241"/>
      <w:bookmarkEnd w:id="492"/>
      <w:r>
        <w:rPr>
          <w:b/>
          <w:i w:val="0"/>
        </w:rPr>
        <w:t>connectere / copulare / colligare</w:t>
      </w:r>
      <w:r>
        <w:rPr>
          <w:b/>
          <w:i w:val="0"/>
        </w:rPr>
        <w:t>.</w:t>
      </w:r>
      <w:r>
        <w:rPr>
          <w:b w:val="0"/>
          <w:i w:val="0"/>
        </w:rPr>
        <w:t xml:space="preserve"> Printed forms: </w:t>
      </w:r>
      <w:r>
        <w:rPr>
          <w:b w:val="0"/>
          <w:i/>
        </w:rPr>
        <w:t>colligantur</w:t>
      </w:r>
      <w:r>
        <w:rPr>
          <w:b w:val="0"/>
          <w:i w:val="0"/>
        </w:rPr>
        <w:t xml:space="preserve">; </w:t>
      </w:r>
      <w:r>
        <w:rPr>
          <w:b w:val="0"/>
          <w:i/>
        </w:rPr>
        <w:t>connectit</w:t>
      </w:r>
      <w:r>
        <w:rPr>
          <w:b w:val="0"/>
          <w:i w:val="0"/>
        </w:rPr>
        <w:t xml:space="preserve">; </w:t>
      </w:r>
      <w:r>
        <w:rPr>
          <w:b w:val="0"/>
          <w:i/>
        </w:rPr>
        <w:t>connexio</w:t>
      </w:r>
      <w:r>
        <w:rPr>
          <w:b w:val="0"/>
          <w:i w:val="0"/>
        </w:rPr>
        <w:t xml:space="preserve">; </w:t>
      </w:r>
      <w:r>
        <w:rPr>
          <w:b w:val="0"/>
          <w:i/>
        </w:rPr>
        <w:t>copula</w:t>
      </w:r>
      <w:r>
        <w:rPr>
          <w:b w:val="0"/>
          <w:i w:val="0"/>
        </w:rPr>
        <w:t>.</w:t>
      </w:r>
    </w:p>
    <w:p>
      <w:pPr>
        <w:widowControl/>
      </w:pPr>
      <w:r>
        <w:rPr>
          <w:b w:val="0"/>
          <w:i w:val="0"/>
        </w:rPr>
        <w:t xml:space="preserve">Join or link together. Soul maintains relations to both higher and lower things and thereby connects extremes into one world. References: </w:t>
      </w:r>
      <w:hyperlink w:anchor="passage-iii-2-8">
        <w:r>
          <w:rPr>
            <w:color w:val="000000"/>
          </w:rPr>
          <w:t xml:space="preserve">III.2.8</w:t>
        </w:r>
      </w:hyperlink>
      <w:r>
        <w:rPr>
          <w:b w:val="0"/>
          <w:i w:val="0"/>
        </w:rPr>
        <w:t xml:space="preserve">, </w:t>
      </w:r>
      <w:hyperlink w:anchor="passage-iii-2-23">
        <w:r>
          <w:rPr>
            <w:color w:val="000000"/>
          </w:rPr>
          <w:t xml:space="preserve">III.2.23</w:t>
        </w:r>
      </w:hyperlink>
      <w:r>
        <w:rPr>
          <w:b w:val="0"/>
          <w:i w:val="0"/>
        </w:rPr>
        <w:t xml:space="preserve">, </w:t>
      </w:r>
      <w:hyperlink w:anchor="passage-iii-2-30">
        <w:r>
          <w:rPr>
            <w:color w:val="000000"/>
          </w:rPr>
          <w:t xml:space="preserve">III.2.30</w:t>
        </w:r>
      </w:hyperlink>
      <w:r>
        <w:rPr>
          <w:b w:val="0"/>
          <w:i w:val="0"/>
        </w:rPr>
        <w:t xml:space="preserve">. See </w:t>
      </w:r>
      <w:hyperlink w:anchor="bond-knot-and-chain">
        <w:r>
          <w:rPr>
            <w:color w:val="000000"/>
          </w:rPr>
          <w:t xml:space="preserve">Bond knot and chain</w:t>
        </w:r>
      </w:hyperlink>
      <w:r>
        <w:rPr>
          <w:b w:val="0"/>
          <w:i w:val="0"/>
        </w:rPr>
        <w:t>.</w:t>
      </w:r>
    </w:p>
    <w:p>
      <w:pPr>
        <w:keepNext/>
        <w:widowControl/>
      </w:pPr>
      <w:bookmarkStart w:id="493" w:name="latin-record-0242"/>
      <w:bookmarkEnd w:id="493"/>
      <w:r>
        <w:rPr>
          <w:b/>
          <w:i w:val="0"/>
        </w:rPr>
        <w:t>connexio</w:t>
      </w:r>
      <w:r>
        <w:rPr>
          <w:b/>
          <w:i w:val="0"/>
        </w:rPr>
        <w:t>.</w:t>
      </w:r>
      <w:r>
        <w:rPr>
          <w:b w:val="0"/>
          <w:i w:val="0"/>
        </w:rPr>
        <w:t xml:space="preserve"> Printed forms: </w:t>
      </w:r>
      <w:r>
        <w:rPr>
          <w:b w:val="0"/>
          <w:i/>
        </w:rPr>
        <w:t>connexioni</w:t>
      </w:r>
      <w:r>
        <w:rPr>
          <w:b w:val="0"/>
          <w:i w:val="0"/>
        </w:rPr>
        <w:t>.</w:t>
      </w:r>
    </w:p>
    <w:p>
      <w:pPr>
        <w:widowControl/>
      </w:pPr>
      <w:r>
        <w:rPr>
          <w:b w:val="0"/>
          <w:i w:val="0"/>
        </w:rPr>
        <w:t xml:space="preserve">Connection or union of parts. What is subject to the joining of parts is likewise exposed to their dissolution and lacks unconditional necessary being. References: </w:t>
      </w:r>
      <w:hyperlink w:anchor="passage-ii-7-10">
        <w:r>
          <w:rPr>
            <w:color w:val="000000"/>
          </w:rPr>
          <w:t xml:space="preserve">II.7.10</w:t>
        </w:r>
      </w:hyperlink>
      <w:r>
        <w:rPr>
          <w:b w:val="0"/>
          <w:i w:val="0"/>
        </w:rPr>
        <w:t xml:space="preserve">. See </w:t>
      </w:r>
      <w:hyperlink w:anchor="simplicity-and-composition">
        <w:r>
          <w:rPr>
            <w:color w:val="000000"/>
          </w:rPr>
          <w:t xml:space="preserve">Simplicity and composition</w:t>
        </w:r>
      </w:hyperlink>
      <w:r>
        <w:rPr>
          <w:b w:val="0"/>
          <w:i w:val="0"/>
        </w:rPr>
        <w:t>.</w:t>
      </w:r>
    </w:p>
    <w:p>
      <w:pPr>
        <w:keepNext/>
        <w:widowControl/>
      </w:pPr>
      <w:bookmarkStart w:id="494" w:name="latin-record-0243"/>
      <w:bookmarkEnd w:id="494"/>
      <w:r>
        <w:rPr>
          <w:b/>
          <w:i w:val="0"/>
        </w:rPr>
        <w:t>conor / pro viribus</w:t>
      </w:r>
      <w:r>
        <w:rPr>
          <w:b/>
          <w:i w:val="0"/>
        </w:rPr>
        <w:t>.</w:t>
      </w:r>
      <w:r>
        <w:rPr>
          <w:b w:val="0"/>
          <w:i w:val="0"/>
        </w:rPr>
        <w:t xml:space="preserve"> Printed forms: </w:t>
      </w:r>
      <w:r>
        <w:rPr>
          <w:b w:val="0"/>
          <w:i/>
        </w:rPr>
        <w:t>conabimur</w:t>
      </w:r>
      <w:r>
        <w:rPr>
          <w:b w:val="0"/>
          <w:i w:val="0"/>
        </w:rPr>
        <w:t xml:space="preserve">; </w:t>
      </w:r>
      <w:r>
        <w:rPr>
          <w:b w:val="0"/>
          <w:i/>
        </w:rPr>
        <w:t>pro viribus</w:t>
      </w:r>
      <w:r>
        <w:rPr>
          <w:b w:val="0"/>
          <w:i w:val="0"/>
        </w:rPr>
        <w:t>.</w:t>
      </w:r>
    </w:p>
    <w:p>
      <w:pPr>
        <w:widowControl/>
      </w:pPr>
      <w:r>
        <w:rPr>
          <w:b w:val="0"/>
          <w:i w:val="0"/>
        </w:rPr>
        <w:t xml:space="preserve">To attempt, and to the extent of one’s powers. Ficino announces an attempt to demonstrate the ascent, qualifying his authorial capacity without retracting the proposed conclusions. References: </w:t>
      </w:r>
      <w:hyperlink w:anchor="passage-i-1-3">
        <w:r>
          <w:rPr>
            <w:color w:val="000000"/>
          </w:rPr>
          <w:t xml:space="preserve">I.1.3</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495" w:name="latin-record-0244"/>
      <w:bookmarkEnd w:id="495"/>
      <w:r>
        <w:rPr>
          <w:b/>
          <w:i w:val="0"/>
        </w:rPr>
        <w:t>conquiescere / amplecti</w:t>
      </w:r>
      <w:r>
        <w:rPr>
          <w:b/>
          <w:i w:val="0"/>
        </w:rPr>
        <w:t>.</w:t>
      </w:r>
      <w:r>
        <w:rPr>
          <w:b w:val="0"/>
          <w:i w:val="0"/>
        </w:rPr>
        <w:t xml:space="preserve"> Printed forms: </w:t>
      </w:r>
      <w:r>
        <w:rPr>
          <w:b w:val="0"/>
          <w:i/>
        </w:rPr>
        <w:t>amplecti</w:t>
      </w:r>
      <w:r>
        <w:rPr>
          <w:b w:val="0"/>
          <w:i w:val="0"/>
        </w:rPr>
        <w:t xml:space="preserve">; </w:t>
      </w:r>
      <w:r>
        <w:rPr>
          <w:b w:val="0"/>
          <w:i/>
        </w:rPr>
        <w:t>amplectitur</w:t>
      </w:r>
      <w:r>
        <w:rPr>
          <w:b w:val="0"/>
          <w:i w:val="0"/>
        </w:rPr>
        <w:t xml:space="preserve">; </w:t>
      </w:r>
      <w:r>
        <w:rPr>
          <w:b w:val="0"/>
          <w:i/>
        </w:rPr>
        <w:t>conquiescat</w:t>
      </w:r>
      <w:r>
        <w:rPr>
          <w:b w:val="0"/>
          <w:i w:val="0"/>
        </w:rPr>
        <w:t>.</w:t>
      </w:r>
    </w:p>
    <w:p>
      <w:pPr>
        <w:widowControl/>
      </w:pPr>
      <w:r>
        <w:rPr>
          <w:b w:val="0"/>
          <w:i w:val="0"/>
        </w:rPr>
        <w:t xml:space="preserve">Rest contentedly / embrace. These verbs characterize possession and enjoyment of a present good rather than pursuit of something still lacking. References: </w:t>
      </w:r>
      <w:hyperlink w:anchor="passage-ii-11-29">
        <w:r>
          <w:rPr>
            <w:color w:val="000000"/>
          </w:rPr>
          <w:t xml:space="preserve">II.11.29</w:t>
        </w:r>
      </w:hyperlink>
      <w:r>
        <w:rPr>
          <w:b w:val="0"/>
          <w:i w:val="0"/>
        </w:rPr>
        <w:t xml:space="preserve">, </w:t>
      </w:r>
      <w:hyperlink w:anchor="passage-ii-11-30">
        <w:r>
          <w:rPr>
            <w:color w:val="000000"/>
          </w:rPr>
          <w:t xml:space="preserve">II.11.30</w:t>
        </w:r>
      </w:hyperlink>
      <w:r>
        <w:rPr>
          <w:b w:val="0"/>
          <w:i w:val="0"/>
        </w:rPr>
        <w:t xml:space="preserve">. See </w:t>
      </w:r>
      <w:hyperlink w:anchor="love-and-pleasure">
        <w:r>
          <w:rPr>
            <w:color w:val="000000"/>
          </w:rPr>
          <w:t xml:space="preserve">Love and pleasure</w:t>
        </w:r>
      </w:hyperlink>
      <w:r>
        <w:rPr>
          <w:b w:val="0"/>
          <w:i w:val="0"/>
        </w:rPr>
        <w:t>.</w:t>
      </w:r>
    </w:p>
    <w:p>
      <w:pPr>
        <w:keepNext/>
        <w:widowControl/>
      </w:pPr>
      <w:bookmarkStart w:id="496" w:name="latin-record-0245"/>
      <w:bookmarkEnd w:id="496"/>
      <w:r>
        <w:rPr>
          <w:b/>
          <w:i w:val="0"/>
        </w:rPr>
        <w:t>consentire / confirmare</w:t>
      </w:r>
      <w:r>
        <w:rPr>
          <w:b/>
          <w:i w:val="0"/>
        </w:rPr>
        <w:t>.</w:t>
      </w:r>
      <w:r>
        <w:rPr>
          <w:b w:val="0"/>
          <w:i w:val="0"/>
        </w:rPr>
        <w:t xml:space="preserve"> Printed forms: </w:t>
      </w:r>
      <w:r>
        <w:rPr>
          <w:b w:val="0"/>
          <w:i/>
        </w:rPr>
        <w:t>confirmat</w:t>
      </w:r>
      <w:r>
        <w:rPr>
          <w:b w:val="0"/>
          <w:i w:val="0"/>
        </w:rPr>
        <w:t xml:space="preserve">; </w:t>
      </w:r>
      <w:r>
        <w:rPr>
          <w:b w:val="0"/>
          <w:i/>
        </w:rPr>
        <w:t>consentit</w:t>
      </w:r>
      <w:r>
        <w:rPr>
          <w:b w:val="0"/>
          <w:i w:val="0"/>
        </w:rPr>
        <w:t>.</w:t>
      </w:r>
    </w:p>
    <w:p>
      <w:pPr>
        <w:widowControl/>
      </w:pPr>
      <w:r>
        <w:rPr>
          <w:b w:val="0"/>
          <w:i w:val="0"/>
        </w:rPr>
        <w:t xml:space="preserve">Agree or accord / confirm or strengthen. Natural necessity and freedom are said to support one another in God, rather than function as rival external constraints. References: </w:t>
      </w:r>
      <w:hyperlink w:anchor="passage-ii-12-5">
        <w:r>
          <w:rPr>
            <w:color w:val="000000"/>
          </w:rPr>
          <w:t xml:space="preserve">II.12.5</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497" w:name="latin-record-0246"/>
      <w:bookmarkEnd w:id="497"/>
      <w:r>
        <w:rPr>
          <w:b/>
          <w:i w:val="0"/>
        </w:rPr>
        <w:t>consentire / dissentire</w:t>
      </w:r>
      <w:r>
        <w:rPr>
          <w:b/>
          <w:i w:val="0"/>
        </w:rPr>
        <w:t>.</w:t>
      </w:r>
      <w:r>
        <w:rPr>
          <w:b w:val="0"/>
          <w:i w:val="0"/>
        </w:rPr>
        <w:t xml:space="preserve"> Printed forms: </w:t>
      </w:r>
      <w:r>
        <w:rPr>
          <w:b w:val="0"/>
          <w:i/>
        </w:rPr>
        <w:t>consentiant</w:t>
      </w:r>
      <w:r>
        <w:rPr>
          <w:b w:val="0"/>
          <w:i w:val="0"/>
        </w:rPr>
        <w:t xml:space="preserve">; </w:t>
      </w:r>
      <w:r>
        <w:rPr>
          <w:b w:val="0"/>
          <w:i/>
        </w:rPr>
        <w:t>consentire</w:t>
      </w:r>
      <w:r>
        <w:rPr>
          <w:b w:val="0"/>
          <w:i w:val="0"/>
        </w:rPr>
        <w:t xml:space="preserve">; </w:t>
      </w:r>
      <w:r>
        <w:rPr>
          <w:b w:val="0"/>
          <w:i/>
        </w:rPr>
        <w:t>dissentiant</w:t>
      </w:r>
      <w:r>
        <w:rPr>
          <w:b w:val="0"/>
          <w:i w:val="0"/>
        </w:rPr>
        <w:t xml:space="preserve">; </w:t>
      </w:r>
      <w:r>
        <w:rPr>
          <w:b w:val="0"/>
          <w:i/>
        </w:rPr>
        <w:t>dissentire</w:t>
      </w:r>
      <w:r>
        <w:rPr>
          <w:b w:val="0"/>
          <w:i w:val="0"/>
        </w:rPr>
        <w:t>.</w:t>
      </w:r>
    </w:p>
    <w:p>
      <w:pPr>
        <w:widowControl/>
      </w:pPr>
      <w:r>
        <w:rPr>
          <w:b w:val="0"/>
          <w:i w:val="0"/>
        </w:rPr>
        <w:t xml:space="preserve">To agree or disagree, with conscious wills in the latter case. Alternately prevailing opposed wills would make each alleged god mutable. References: </w:t>
      </w:r>
      <w:hyperlink w:anchor="passage-ii-2-2">
        <w:r>
          <w:rPr>
            <w:color w:val="000000"/>
          </w:rPr>
          <w:t xml:space="preserve">II.2.2</w:t>
        </w:r>
      </w:hyperlink>
      <w:r>
        <w:rPr>
          <w:b w:val="0"/>
          <w:i w:val="0"/>
        </w:rPr>
        <w:t xml:space="preserve">, </w:t>
      </w:r>
      <w:hyperlink w:anchor="passage-ii-2-14">
        <w:r>
          <w:rPr>
            <w:color w:val="000000"/>
          </w:rPr>
          <w:t xml:space="preserve">II.2.14</w:t>
        </w:r>
      </w:hyperlink>
      <w:r>
        <w:rPr>
          <w:b w:val="0"/>
          <w:i w:val="0"/>
        </w:rPr>
        <w:t xml:space="preserve">. See </w:t>
      </w:r>
      <w:hyperlink w:anchor="concord-and-convergence">
        <w:r>
          <w:rPr>
            <w:color w:val="000000"/>
          </w:rPr>
          <w:t xml:space="preserve">Concord and convergence</w:t>
        </w:r>
      </w:hyperlink>
      <w:r>
        <w:rPr>
          <w:b w:val="0"/>
          <w:i w:val="0"/>
        </w:rPr>
        <w:t>.</w:t>
      </w:r>
    </w:p>
    <w:p>
      <w:pPr>
        <w:keepNext/>
        <w:widowControl/>
      </w:pPr>
      <w:bookmarkStart w:id="498" w:name="latin-record-0247"/>
      <w:bookmarkEnd w:id="498"/>
      <w:r>
        <w:rPr>
          <w:b/>
          <w:i w:val="0"/>
        </w:rPr>
        <w:t>consequi / assequi / nancisci</w:t>
      </w:r>
      <w:r>
        <w:rPr>
          <w:b/>
          <w:i w:val="0"/>
        </w:rPr>
        <w:t>.</w:t>
      </w:r>
      <w:r>
        <w:rPr>
          <w:b w:val="0"/>
          <w:i w:val="0"/>
        </w:rPr>
        <w:t xml:space="preserve"> Printed forms: </w:t>
      </w:r>
      <w:r>
        <w:rPr>
          <w:b w:val="0"/>
          <w:i/>
        </w:rPr>
        <w:t>assequitur</w:t>
      </w:r>
      <w:r>
        <w:rPr>
          <w:b w:val="0"/>
          <w:i w:val="0"/>
        </w:rPr>
        <w:t xml:space="preserve">; </w:t>
      </w:r>
      <w:r>
        <w:rPr>
          <w:b w:val="0"/>
          <w:i/>
        </w:rPr>
        <w:t>consequens</w:t>
      </w:r>
      <w:r>
        <w:rPr>
          <w:b w:val="0"/>
          <w:i w:val="0"/>
        </w:rPr>
        <w:t xml:space="preserve">; </w:t>
      </w:r>
      <w:r>
        <w:rPr>
          <w:b w:val="0"/>
          <w:i/>
        </w:rPr>
        <w:t>consequitur</w:t>
      </w:r>
      <w:r>
        <w:rPr>
          <w:b w:val="0"/>
          <w:i w:val="0"/>
        </w:rPr>
        <w:t xml:space="preserve">; </w:t>
      </w:r>
      <w:r>
        <w:rPr>
          <w:b w:val="0"/>
          <w:i/>
        </w:rPr>
        <w:t>nanciscantur</w:t>
      </w:r>
      <w:r>
        <w:rPr>
          <w:b w:val="0"/>
          <w:i w:val="0"/>
        </w:rPr>
        <w:t xml:space="preserve">; </w:t>
      </w:r>
      <w:r>
        <w:rPr>
          <w:b w:val="0"/>
          <w:i/>
        </w:rPr>
        <w:t>nanciscitur</w:t>
      </w:r>
      <w:r>
        <w:rPr>
          <w:b w:val="0"/>
          <w:i w:val="0"/>
        </w:rPr>
        <w:t>.</w:t>
      </w:r>
    </w:p>
    <w:p>
      <w:pPr>
        <w:widowControl/>
      </w:pPr>
      <w:r>
        <w:rPr>
          <w:b w:val="0"/>
          <w:i w:val="0"/>
        </w:rPr>
        <w:t xml:space="preserve">To attain or obtain; consequens can also mark logical consequence. The world attains divine presence finitely, while the same family introduces conclusions from a preceding premise. References: </w:t>
      </w:r>
      <w:hyperlink w:anchor="passage-ii-2-8">
        <w:r>
          <w:rPr>
            <w:color w:val="000000"/>
          </w:rPr>
          <w:t xml:space="preserve">II.2.8</w:t>
        </w:r>
      </w:hyperlink>
      <w:r>
        <w:rPr>
          <w:b w:val="0"/>
          <w:i w:val="0"/>
        </w:rPr>
        <w:t xml:space="preserve">, </w:t>
      </w:r>
      <w:hyperlink w:anchor="passage-ii-6-11">
        <w:r>
          <w:rPr>
            <w:color w:val="000000"/>
          </w:rPr>
          <w:t xml:space="preserve">II.6.11</w:t>
        </w:r>
      </w:hyperlink>
      <w:r>
        <w:rPr>
          <w:b w:val="0"/>
          <w:i w:val="0"/>
        </w:rPr>
        <w:t xml:space="preserve">, </w:t>
      </w:r>
      <w:hyperlink w:anchor="passage-ii-6-14">
        <w:r>
          <w:rPr>
            <w:color w:val="000000"/>
          </w:rPr>
          <w:t xml:space="preserve">II.6.14</w:t>
        </w:r>
      </w:hyperlink>
      <w:r>
        <w:rPr>
          <w:b w:val="0"/>
          <w:i w:val="0"/>
        </w:rPr>
        <w:t xml:space="preserve">, </w:t>
      </w:r>
      <w:hyperlink w:anchor="passage-ii-9-5">
        <w:r>
          <w:rPr>
            <w:color w:val="000000"/>
          </w:rPr>
          <w:t xml:space="preserve">II.9.5</w:t>
        </w:r>
      </w:hyperlink>
      <w:r>
        <w:rPr>
          <w:b w:val="0"/>
          <w:i w:val="0"/>
        </w:rPr>
        <w:t xml:space="preserve">. See </w:t>
      </w:r>
      <w:hyperlink w:anchor="dependence-and-receiving">
        <w:r>
          <w:rPr>
            <w:color w:val="000000"/>
          </w:rPr>
          <w:t xml:space="preserve">Dependence and receiving</w:t>
        </w:r>
      </w:hyperlink>
      <w:r>
        <w:rPr>
          <w:b w:val="0"/>
          <w:i w:val="0"/>
        </w:rPr>
        <w:t>.</w:t>
      </w:r>
    </w:p>
    <w:p>
      <w:pPr>
        <w:keepNext/>
        <w:widowControl/>
      </w:pPr>
      <w:bookmarkStart w:id="499" w:name="latin-record-0248"/>
      <w:bookmarkEnd w:id="499"/>
      <w:r>
        <w:rPr>
          <w:b/>
          <w:i w:val="0"/>
        </w:rPr>
        <w:t>consequi / consequens</w:t>
      </w:r>
      <w:r>
        <w:rPr>
          <w:b/>
          <w:i w:val="0"/>
        </w:rPr>
        <w:t>.</w:t>
      </w:r>
      <w:r>
        <w:rPr>
          <w:b w:val="0"/>
          <w:i w:val="0"/>
        </w:rPr>
        <w:t xml:space="preserve"> Printed forms: </w:t>
      </w:r>
      <w:r>
        <w:rPr>
          <w:b w:val="0"/>
          <w:i/>
        </w:rPr>
        <w:t>consequens</w:t>
      </w:r>
      <w:r>
        <w:rPr>
          <w:b w:val="0"/>
          <w:i w:val="0"/>
        </w:rPr>
        <w:t xml:space="preserve">; </w:t>
      </w:r>
      <w:r>
        <w:rPr>
          <w:b w:val="0"/>
          <w:i/>
        </w:rPr>
        <w:t>consequitur</w:t>
      </w:r>
      <w:r>
        <w:rPr>
          <w:b w:val="0"/>
          <w:i w:val="0"/>
        </w:rPr>
        <w:t xml:space="preserve">; </w:t>
      </w:r>
      <w:r>
        <w:rPr>
          <w:b w:val="0"/>
          <w:i/>
        </w:rPr>
        <w:t>consequuntur</w:t>
      </w:r>
      <w:r>
        <w:rPr>
          <w:b w:val="0"/>
          <w:i w:val="0"/>
        </w:rPr>
        <w:t>.</w:t>
      </w:r>
    </w:p>
    <w:p>
      <w:pPr>
        <w:widowControl/>
      </w:pPr>
      <w:r>
        <w:rPr>
          <w:b w:val="0"/>
          <w:i w:val="0"/>
        </w:rPr>
        <w:t xml:space="preserve">To follow as a consequence or attain an outcome. The existence of earthly souls is a proposed inference, loving union is attained, and balanced mixtures acquire successive capacities. References: </w:t>
      </w:r>
      <w:hyperlink w:anchor="passage-iv-1-34">
        <w:r>
          <w:rPr>
            <w:color w:val="000000"/>
          </w:rPr>
          <w:t xml:space="preserve">IV.1.34</w:t>
        </w:r>
      </w:hyperlink>
      <w:r>
        <w:rPr>
          <w:b w:val="0"/>
          <w:i w:val="0"/>
        </w:rPr>
        <w:t xml:space="preserve">, </w:t>
      </w:r>
      <w:hyperlink w:anchor="passage-iv-1-93">
        <w:r>
          <w:rPr>
            <w:color w:val="000000"/>
          </w:rPr>
          <w:t xml:space="preserve">IV.1.93</w:t>
        </w:r>
      </w:hyperlink>
      <w:r>
        <w:rPr>
          <w:b w:val="0"/>
          <w:i w:val="0"/>
        </w:rPr>
        <w:t xml:space="preserve">, </w:t>
      </w:r>
      <w:hyperlink w:anchor="passage-iv-2-11">
        <w:r>
          <w:rPr>
            <w:color w:val="000000"/>
          </w:rPr>
          <w:t xml:space="preserve">IV.2.11</w:t>
        </w:r>
      </w:hyperlink>
      <w:r>
        <w:rPr>
          <w:b w:val="0"/>
          <w:i w:val="0"/>
        </w:rPr>
        <w:t xml:space="preserve">. See </w:t>
      </w:r>
      <w:hyperlink w:anchor="striving-and-enjoyment">
        <w:r>
          <w:rPr>
            <w:color w:val="000000"/>
          </w:rPr>
          <w:t xml:space="preserve">Striving and enjoyment</w:t>
        </w:r>
      </w:hyperlink>
      <w:r>
        <w:rPr>
          <w:b w:val="0"/>
          <w:i w:val="0"/>
        </w:rPr>
        <w:t>.</w:t>
      </w:r>
    </w:p>
    <w:p>
      <w:pPr>
        <w:keepNext/>
        <w:widowControl/>
      </w:pPr>
      <w:bookmarkStart w:id="500" w:name="latin-record-0249"/>
      <w:bookmarkEnd w:id="500"/>
      <w:r>
        <w:rPr>
          <w:b/>
          <w:i w:val="0"/>
        </w:rPr>
        <w:t>considerare / comparare</w:t>
      </w:r>
      <w:r>
        <w:rPr>
          <w:b/>
          <w:i w:val="0"/>
        </w:rPr>
        <w:t>.</w:t>
      </w:r>
      <w:r>
        <w:rPr>
          <w:b w:val="0"/>
          <w:i w:val="0"/>
        </w:rPr>
        <w:t xml:space="preserve"> Printed forms: </w:t>
      </w:r>
      <w:r>
        <w:rPr>
          <w:b w:val="0"/>
          <w:i/>
        </w:rPr>
        <w:t>comparetur</w:t>
      </w:r>
      <w:r>
        <w:rPr>
          <w:b w:val="0"/>
          <w:i w:val="0"/>
        </w:rPr>
        <w:t xml:space="preserve">; </w:t>
      </w:r>
      <w:r>
        <w:rPr>
          <w:b w:val="0"/>
          <w:i/>
        </w:rPr>
        <w:t>considerantur</w:t>
      </w:r>
      <w:r>
        <w:rPr>
          <w:b w:val="0"/>
          <w:i w:val="0"/>
        </w:rPr>
        <w:t xml:space="preserve">; </w:t>
      </w:r>
      <w:r>
        <w:rPr>
          <w:b w:val="0"/>
          <w:i/>
        </w:rPr>
        <w:t>consideratur</w:t>
      </w:r>
      <w:r>
        <w:rPr>
          <w:b w:val="0"/>
          <w:i w:val="0"/>
        </w:rPr>
        <w:t>.</w:t>
      </w:r>
    </w:p>
    <w:p>
      <w:pPr>
        <w:widowControl/>
      </w:pPr>
      <w:r>
        <w:rPr>
          <w:b w:val="0"/>
          <w:i w:val="0"/>
        </w:rPr>
        <w:t xml:space="preserve">To consider under an aspect or compare in a relation. Being considered absolutely, an effect compared with its cause, and a part considered alone are distinct frames that qualify conclusions. References: </w:t>
      </w:r>
      <w:hyperlink w:anchor="passage-ii-4-2">
        <w:r>
          <w:rPr>
            <w:color w:val="000000"/>
          </w:rPr>
          <w:t xml:space="preserve">II.4.2</w:t>
        </w:r>
      </w:hyperlink>
      <w:r>
        <w:rPr>
          <w:b w:val="0"/>
          <w:i w:val="0"/>
        </w:rPr>
        <w:t xml:space="preserve">, </w:t>
      </w:r>
      <w:hyperlink w:anchor="passage-ii-7-22">
        <w:r>
          <w:rPr>
            <w:color w:val="000000"/>
          </w:rPr>
          <w:t xml:space="preserve">II.7.22</w:t>
        </w:r>
      </w:hyperlink>
      <w:r>
        <w:rPr>
          <w:b w:val="0"/>
          <w:i w:val="0"/>
        </w:rPr>
        <w:t xml:space="preserve">, </w:t>
      </w:r>
      <w:hyperlink w:anchor="passage-ii-9-22">
        <w:r>
          <w:rPr>
            <w:color w:val="000000"/>
          </w:rPr>
          <w:t xml:space="preserve">II.9.22</w:t>
        </w:r>
      </w:hyperlink>
      <w:r>
        <w:rPr>
          <w:b w:val="0"/>
          <w:i w:val="0"/>
        </w:rPr>
        <w:t xml:space="preserve">, </w:t>
      </w:r>
      <w:hyperlink w:anchor="passage-ii-10-2">
        <w:r>
          <w:rPr>
            <w:color w:val="000000"/>
          </w:rPr>
          <w:t xml:space="preserve">II.10.2</w:t>
        </w:r>
      </w:hyperlink>
      <w:r>
        <w:rPr>
          <w:b w:val="0"/>
          <w:i w:val="0"/>
        </w:rPr>
        <w:t xml:space="preserve">. See </w:t>
      </w:r>
      <w:hyperlink w:anchor="surpassing-and-comparison">
        <w:r>
          <w:rPr>
            <w:color w:val="000000"/>
          </w:rPr>
          <w:t xml:space="preserve">Surpassing and comparison</w:t>
        </w:r>
      </w:hyperlink>
      <w:r>
        <w:rPr>
          <w:b w:val="0"/>
          <w:i w:val="0"/>
        </w:rPr>
        <w:t>.</w:t>
      </w:r>
    </w:p>
    <w:p>
      <w:pPr>
        <w:keepNext/>
        <w:widowControl/>
      </w:pPr>
      <w:bookmarkStart w:id="501" w:name="latin-record-0250"/>
      <w:bookmarkEnd w:id="501"/>
      <w:r>
        <w:rPr>
          <w:b/>
          <w:i w:val="0"/>
        </w:rPr>
        <w:t>consilium</w:t>
      </w:r>
      <w:r>
        <w:rPr>
          <w:b/>
          <w:i w:val="0"/>
        </w:rPr>
        <w:t>.</w:t>
      </w:r>
      <w:r>
        <w:rPr>
          <w:b w:val="0"/>
          <w:i w:val="0"/>
        </w:rPr>
        <w:t xml:space="preserve"> Printed forms: </w:t>
      </w:r>
      <w:r>
        <w:rPr>
          <w:b w:val="0"/>
          <w:i/>
        </w:rPr>
        <w:t>consiliique</w:t>
      </w:r>
      <w:r>
        <w:rPr>
          <w:b w:val="0"/>
          <w:i w:val="0"/>
        </w:rPr>
        <w:t xml:space="preserve">; </w:t>
      </w:r>
      <w:r>
        <w:rPr>
          <w:b w:val="0"/>
          <w:i/>
        </w:rPr>
        <w:t>consilio</w:t>
      </w:r>
      <w:r>
        <w:rPr>
          <w:b w:val="0"/>
          <w:i w:val="0"/>
        </w:rPr>
        <w:t xml:space="preserve">; </w:t>
      </w:r>
      <w:r>
        <w:rPr>
          <w:b w:val="0"/>
          <w:i/>
        </w:rPr>
        <w:t>consilium</w:t>
      </w:r>
      <w:r>
        <w:rPr>
          <w:b w:val="0"/>
          <w:i w:val="0"/>
        </w:rPr>
        <w:t>.</w:t>
      </w:r>
    </w:p>
    <w:p>
      <w:pPr>
        <w:widowControl/>
      </w:pPr>
      <w:r>
        <w:rPr>
          <w:b w:val="0"/>
          <w:i w:val="0"/>
        </w:rPr>
        <w:t xml:space="preserve">Counsel, plan, or deliberation, with context deciding the sense. Mind signifies divine counsel, while the later argument denies a separate laborious planning process in God. References: </w:t>
      </w:r>
      <w:hyperlink w:anchor="passage-ii-6-20">
        <w:r>
          <w:rPr>
            <w:color w:val="000000"/>
          </w:rPr>
          <w:t xml:space="preserve">II.6.20</w:t>
        </w:r>
      </w:hyperlink>
      <w:r>
        <w:rPr>
          <w:b w:val="0"/>
          <w:i w:val="0"/>
        </w:rPr>
        <w:t xml:space="preserve">, </w:t>
      </w:r>
      <w:hyperlink w:anchor="passage-ii-8-1">
        <w:r>
          <w:rPr>
            <w:color w:val="000000"/>
          </w:rPr>
          <w:t xml:space="preserve">II.8.1</w:t>
        </w:r>
      </w:hyperlink>
      <w:r>
        <w:rPr>
          <w:b w:val="0"/>
          <w:i w:val="0"/>
        </w:rPr>
        <w:t xml:space="preserve">, </w:t>
      </w:r>
      <w:hyperlink w:anchor="passage-ii-8-4">
        <w:r>
          <w:rPr>
            <w:color w:val="000000"/>
          </w:rPr>
          <w:t xml:space="preserve">II.8.4</w:t>
        </w:r>
      </w:hyperlink>
      <w:r>
        <w:rPr>
          <w:b w:val="0"/>
          <w:i w:val="0"/>
        </w:rPr>
        <w:t xml:space="preserve">. See </w:t>
      </w:r>
      <w:hyperlink w:anchor="choice-and-deliberation">
        <w:r>
          <w:rPr>
            <w:color w:val="000000"/>
          </w:rPr>
          <w:t xml:space="preserve">Choice and deliberation</w:t>
        </w:r>
      </w:hyperlink>
      <w:r>
        <w:rPr>
          <w:b w:val="0"/>
          <w:i w:val="0"/>
        </w:rPr>
        <w:t>.</w:t>
      </w:r>
    </w:p>
    <w:p>
      <w:pPr>
        <w:keepNext/>
        <w:widowControl/>
      </w:pPr>
      <w:bookmarkStart w:id="502" w:name="latin-record-0251"/>
      <w:bookmarkEnd w:id="502"/>
      <w:r>
        <w:rPr>
          <w:b/>
          <w:i w:val="0"/>
        </w:rPr>
        <w:t>consilium / consultare</w:t>
      </w:r>
      <w:r>
        <w:rPr>
          <w:b/>
          <w:i w:val="0"/>
        </w:rPr>
        <w:t>.</w:t>
      </w:r>
      <w:r>
        <w:rPr>
          <w:b w:val="0"/>
          <w:i w:val="0"/>
        </w:rPr>
        <w:t xml:space="preserve"> Printed forms: </w:t>
      </w:r>
      <w:r>
        <w:rPr>
          <w:b w:val="0"/>
          <w:i/>
        </w:rPr>
        <w:t>consilio</w:t>
      </w:r>
      <w:r>
        <w:rPr>
          <w:b w:val="0"/>
          <w:i w:val="0"/>
        </w:rPr>
        <w:t xml:space="preserve">; </w:t>
      </w:r>
      <w:r>
        <w:rPr>
          <w:b w:val="0"/>
          <w:i/>
        </w:rPr>
        <w:t>Consilium</w:t>
      </w:r>
      <w:r>
        <w:rPr>
          <w:b w:val="0"/>
          <w:i w:val="0"/>
        </w:rPr>
        <w:t xml:space="preserve">; </w:t>
      </w:r>
      <w:r>
        <w:rPr>
          <w:b w:val="0"/>
          <w:i/>
        </w:rPr>
        <w:t>consilium</w:t>
      </w:r>
      <w:r>
        <w:rPr>
          <w:b w:val="0"/>
          <w:i w:val="0"/>
        </w:rPr>
        <w:t xml:space="preserve">; </w:t>
      </w:r>
      <w:r>
        <w:rPr>
          <w:b w:val="0"/>
          <w:i/>
        </w:rPr>
        <w:t>consultare</w:t>
      </w:r>
      <w:r>
        <w:rPr>
          <w:b w:val="0"/>
          <w:i w:val="0"/>
        </w:rPr>
        <w:t xml:space="preserve">; </w:t>
      </w:r>
      <w:r>
        <w:rPr>
          <w:b w:val="0"/>
          <w:i/>
        </w:rPr>
        <w:t>consultat</w:t>
      </w:r>
      <w:r>
        <w:rPr>
          <w:b w:val="0"/>
          <w:i w:val="0"/>
        </w:rPr>
        <w:t>.</w:t>
      </w:r>
    </w:p>
    <w:p>
      <w:pPr>
        <w:widowControl/>
      </w:pPr>
      <w:r>
        <w:rPr>
          <w:b w:val="0"/>
          <w:i w:val="0"/>
        </w:rPr>
        <w:t xml:space="preserve">Counsel / deliberate. Divine ordering is called counsel metaphorically; skilled action is distinguished from uncertain step-by-step deliberation. References: </w:t>
      </w:r>
      <w:hyperlink w:anchor="passage-ii-13-17">
        <w:r>
          <w:rPr>
            <w:color w:val="000000"/>
          </w:rPr>
          <w:t xml:space="preserve">II.13.17</w:t>
        </w:r>
      </w:hyperlink>
      <w:r>
        <w:rPr>
          <w:b w:val="0"/>
          <w:i w:val="0"/>
        </w:rPr>
        <w:t xml:space="preserve">, </w:t>
      </w:r>
      <w:hyperlink w:anchor="passage-ii-13-18">
        <w:r>
          <w:rPr>
            <w:color w:val="000000"/>
          </w:rPr>
          <w:t xml:space="preserve">II.13.18</w:t>
        </w:r>
      </w:hyperlink>
      <w:r>
        <w:rPr>
          <w:b w:val="0"/>
          <w:i w:val="0"/>
        </w:rPr>
        <w:t xml:space="preserve">. See </w:t>
      </w:r>
      <w:hyperlink w:anchor="counsel-and-settled-skill">
        <w:r>
          <w:rPr>
            <w:color w:val="000000"/>
          </w:rPr>
          <w:t xml:space="preserve">Counsel and settled skill</w:t>
        </w:r>
      </w:hyperlink>
      <w:r>
        <w:rPr>
          <w:b w:val="0"/>
          <w:i w:val="0"/>
        </w:rPr>
        <w:t>.</w:t>
      </w:r>
    </w:p>
    <w:p>
      <w:pPr>
        <w:keepNext/>
        <w:widowControl/>
      </w:pPr>
      <w:bookmarkStart w:id="503" w:name="latin-record-0252"/>
      <w:bookmarkEnd w:id="503"/>
      <w:r>
        <w:rPr>
          <w:b/>
          <w:i w:val="0"/>
        </w:rPr>
        <w:t>consilium / propositum</w:t>
      </w:r>
      <w:r>
        <w:rPr>
          <w:b/>
          <w:i w:val="0"/>
        </w:rPr>
        <w:t>.</w:t>
      </w:r>
      <w:r>
        <w:rPr>
          <w:b w:val="0"/>
          <w:i w:val="0"/>
        </w:rPr>
        <w:t xml:space="preserve"> Printed forms: </w:t>
      </w:r>
      <w:r>
        <w:rPr>
          <w:b w:val="0"/>
          <w:i/>
        </w:rPr>
        <w:t>consilio</w:t>
      </w:r>
      <w:r>
        <w:rPr>
          <w:b w:val="0"/>
          <w:i w:val="0"/>
        </w:rPr>
        <w:t xml:space="preserve">; </w:t>
      </w:r>
      <w:r>
        <w:rPr>
          <w:b w:val="0"/>
          <w:i/>
        </w:rPr>
        <w:t>proposito</w:t>
      </w:r>
      <w:r>
        <w:rPr>
          <w:b w:val="0"/>
          <w:i w:val="0"/>
        </w:rPr>
        <w:t>.</w:t>
      </w:r>
    </w:p>
    <w:p>
      <w:pPr>
        <w:widowControl/>
      </w:pPr>
      <w:r>
        <w:rPr>
          <w:b w:val="0"/>
          <w:i w:val="0"/>
        </w:rPr>
        <w:t xml:space="preserve">Deliberative counsel; purpose or plan. Inward imaginative formation needs no laborious deliberation, while the maker’s universal purpose and Euclid’s route-plan direct differentiated effects. References: </w:t>
      </w:r>
      <w:hyperlink w:anchor="passage-iv-1-11">
        <w:r>
          <w:rPr>
            <w:color w:val="000000"/>
          </w:rPr>
          <w:t xml:space="preserve">IV.1.11</w:t>
        </w:r>
      </w:hyperlink>
      <w:r>
        <w:rPr>
          <w:b w:val="0"/>
          <w:i w:val="0"/>
        </w:rPr>
        <w:t xml:space="preserve">, </w:t>
      </w:r>
      <w:hyperlink w:anchor="passage-iv-1-91">
        <w:r>
          <w:rPr>
            <w:color w:val="000000"/>
          </w:rPr>
          <w:t xml:space="preserve">IV.1.91</w:t>
        </w:r>
      </w:hyperlink>
      <w:r>
        <w:rPr>
          <w:b w:val="0"/>
          <w:i w:val="0"/>
        </w:rPr>
        <w:t xml:space="preserve">, </w:t>
      </w:r>
      <w:hyperlink w:anchor="passage-iv-2-14">
        <w:r>
          <w:rPr>
            <w:color w:val="000000"/>
          </w:rPr>
          <w:t xml:space="preserve">IV.2.14</w:t>
        </w:r>
      </w:hyperlink>
      <w:r>
        <w:rPr>
          <w:b w:val="0"/>
          <w:i w:val="0"/>
        </w:rPr>
        <w:t xml:space="preserve">. See </w:t>
      </w:r>
      <w:hyperlink w:anchor="choice-and-deliberation">
        <w:r>
          <w:rPr>
            <w:color w:val="000000"/>
          </w:rPr>
          <w:t xml:space="preserve">Choice and deliberation</w:t>
        </w:r>
      </w:hyperlink>
      <w:r>
        <w:rPr>
          <w:b w:val="0"/>
          <w:i w:val="0"/>
        </w:rPr>
        <w:t>.</w:t>
      </w:r>
    </w:p>
    <w:p>
      <w:pPr>
        <w:keepNext/>
        <w:widowControl/>
      </w:pPr>
      <w:bookmarkStart w:id="504" w:name="latin-record-0253"/>
      <w:bookmarkEnd w:id="504"/>
      <w:r>
        <w:rPr>
          <w:b/>
          <w:i w:val="0"/>
        </w:rPr>
        <w:t>consilium / statuo</w:t>
      </w:r>
      <w:r>
        <w:rPr>
          <w:b/>
          <w:i w:val="0"/>
        </w:rPr>
        <w:t>.</w:t>
      </w:r>
      <w:r>
        <w:rPr>
          <w:b w:val="0"/>
          <w:i w:val="0"/>
        </w:rPr>
        <w:t xml:space="preserve"> Printed forms: </w:t>
      </w:r>
      <w:r>
        <w:rPr>
          <w:b w:val="0"/>
          <w:i/>
        </w:rPr>
        <w:t>consilium</w:t>
      </w:r>
      <w:r>
        <w:rPr>
          <w:b w:val="0"/>
          <w:i w:val="0"/>
        </w:rPr>
        <w:t xml:space="preserve">; </w:t>
      </w:r>
      <w:r>
        <w:rPr>
          <w:b w:val="0"/>
          <w:i/>
        </w:rPr>
        <w:t>statuissem</w:t>
      </w:r>
      <w:r>
        <w:rPr>
          <w:b w:val="0"/>
          <w:i w:val="0"/>
        </w:rPr>
        <w:t>.</w:t>
      </w:r>
    </w:p>
    <w:p>
      <w:pPr>
        <w:widowControl/>
      </w:pPr>
      <w:r>
        <w:rPr>
          <w:b w:val="0"/>
          <w:i w:val="0"/>
        </w:rPr>
        <w:t xml:space="preserve">A design or purpose; to resolve or establish. Ficino states a compositional plan to contemplate the Creator through the created mind; </w:t>
      </w:r>
      <w:r>
        <w:t>“</w:t>
      </w:r>
      <w:r>
        <w:rPr>
          <w:b w:val="0"/>
          <w:i w:val="0"/>
        </w:rPr>
        <w:t>design</w:t>
      </w:r>
      <w:r>
        <w:t>”</w:t>
      </w:r>
      <w:r>
        <w:rPr>
          <w:b w:val="0"/>
          <w:i w:val="0"/>
        </w:rPr>
        <w:t xml:space="preserve"> here is authorial intent rather than a divine idea. References: </w:t>
      </w:r>
      <w:hyperlink w:anchor="passage-proem-7">
        <w:r>
          <w:rPr>
            <w:color w:val="000000"/>
          </w:rPr>
          <w:t xml:space="preserve">Proem.7</w:t>
        </w:r>
      </w:hyperlink>
      <w:r>
        <w:rPr>
          <w:b w:val="0"/>
          <w:i w:val="0"/>
        </w:rPr>
        <w:t xml:space="preserve">. See </w:t>
      </w:r>
      <w:hyperlink w:anchor="intention">
        <w:r>
          <w:rPr>
            <w:color w:val="000000"/>
          </w:rPr>
          <w:t xml:space="preserve">Intention</w:t>
        </w:r>
      </w:hyperlink>
      <w:r>
        <w:rPr>
          <w:b w:val="0"/>
          <w:i w:val="0"/>
        </w:rPr>
        <w:t>.</w:t>
      </w:r>
    </w:p>
    <w:p>
      <w:pPr>
        <w:keepNext/>
        <w:widowControl/>
      </w:pPr>
      <w:bookmarkStart w:id="505" w:name="latin-record-0254"/>
      <w:bookmarkEnd w:id="505"/>
      <w:r>
        <w:rPr>
          <w:b/>
          <w:i w:val="0"/>
        </w:rPr>
        <w:t>conspirare / compati</w:t>
      </w:r>
      <w:r>
        <w:rPr>
          <w:b/>
          <w:i w:val="0"/>
        </w:rPr>
        <w:t>.</w:t>
      </w:r>
      <w:r>
        <w:rPr>
          <w:b w:val="0"/>
          <w:i w:val="0"/>
        </w:rPr>
        <w:t xml:space="preserve"> Printed forms: </w:t>
      </w:r>
      <w:r>
        <w:rPr>
          <w:b w:val="0"/>
          <w:i/>
        </w:rPr>
        <w:t>compatiantur</w:t>
      </w:r>
      <w:r>
        <w:rPr>
          <w:b w:val="0"/>
          <w:i w:val="0"/>
        </w:rPr>
        <w:t xml:space="preserve">; </w:t>
      </w:r>
      <w:r>
        <w:rPr>
          <w:b w:val="0"/>
          <w:i/>
        </w:rPr>
        <w:t>conspirant</w:t>
      </w:r>
      <w:r>
        <w:rPr>
          <w:b w:val="0"/>
          <w:i w:val="0"/>
        </w:rPr>
        <w:t>.</w:t>
      </w:r>
    </w:p>
    <w:p>
      <w:pPr>
        <w:widowControl/>
      </w:pPr>
      <w:r>
        <w:rPr>
          <w:b w:val="0"/>
          <w:i w:val="0"/>
        </w:rPr>
        <w:t xml:space="preserve">To act together; to share affections or responses. Contrary cosmic members cooperate and communicate powers, supporting a common nature and soul. References: </w:t>
      </w:r>
      <w:hyperlink w:anchor="passage-iv-1-82">
        <w:r>
          <w:rPr>
            <w:color w:val="000000"/>
          </w:rPr>
          <w:t xml:space="preserve">IV.1.82</w:t>
        </w:r>
      </w:hyperlink>
      <w:r>
        <w:rPr>
          <w:b w:val="0"/>
          <w:i w:val="0"/>
        </w:rPr>
        <w:t xml:space="preserve">. See </w:t>
      </w:r>
      <w:hyperlink w:anchor="sympathy">
        <w:r>
          <w:rPr>
            <w:color w:val="000000"/>
          </w:rPr>
          <w:t xml:space="preserve">Sympathy</w:t>
        </w:r>
      </w:hyperlink>
      <w:r>
        <w:rPr>
          <w:b w:val="0"/>
          <w:i w:val="0"/>
        </w:rPr>
        <w:t>.</w:t>
      </w:r>
    </w:p>
    <w:p>
      <w:pPr>
        <w:keepNext/>
        <w:widowControl/>
      </w:pPr>
      <w:bookmarkStart w:id="506" w:name="latin-record-0255"/>
      <w:bookmarkEnd w:id="506"/>
      <w:r>
        <w:rPr>
          <w:b/>
          <w:i w:val="0"/>
        </w:rPr>
        <w:t>conspirare / concurrere</w:t>
      </w:r>
      <w:r>
        <w:rPr>
          <w:b/>
          <w:i w:val="0"/>
        </w:rPr>
        <w:t>.</w:t>
      </w:r>
      <w:r>
        <w:rPr>
          <w:b w:val="0"/>
          <w:i w:val="0"/>
        </w:rPr>
        <w:t xml:space="preserve"> Printed forms: </w:t>
      </w:r>
      <w:r>
        <w:rPr>
          <w:b w:val="0"/>
          <w:i/>
        </w:rPr>
        <w:t>concurrunt</w:t>
      </w:r>
      <w:r>
        <w:rPr>
          <w:b w:val="0"/>
          <w:i w:val="0"/>
        </w:rPr>
        <w:t xml:space="preserve">; </w:t>
      </w:r>
      <w:r>
        <w:rPr>
          <w:b w:val="0"/>
          <w:i/>
        </w:rPr>
        <w:t>conspirant</w:t>
      </w:r>
      <w:r>
        <w:rPr>
          <w:b w:val="0"/>
          <w:i w:val="0"/>
        </w:rPr>
        <w:t>.</w:t>
      </w:r>
    </w:p>
    <w:p>
      <w:pPr>
        <w:widowControl/>
      </w:pPr>
      <w:r>
        <w:rPr>
          <w:b w:val="0"/>
          <w:i w:val="0"/>
        </w:rPr>
        <w:t xml:space="preserve">To act or tend together toward a common order or effect. Natural agents converge upon being without requiring conscious conspiracy or identical individual natures. References: </w:t>
      </w:r>
      <w:hyperlink w:anchor="passage-ii-2-8">
        <w:r>
          <w:rPr>
            <w:color w:val="000000"/>
          </w:rPr>
          <w:t xml:space="preserve">II.2.8</w:t>
        </w:r>
      </w:hyperlink>
      <w:r>
        <w:rPr>
          <w:b w:val="0"/>
          <w:i w:val="0"/>
        </w:rPr>
        <w:t xml:space="preserve">, </w:t>
      </w:r>
      <w:hyperlink w:anchor="passage-ii-2-12">
        <w:r>
          <w:rPr>
            <w:color w:val="000000"/>
          </w:rPr>
          <w:t xml:space="preserve">II.2.12</w:t>
        </w:r>
      </w:hyperlink>
      <w:r>
        <w:rPr>
          <w:b w:val="0"/>
          <w:i w:val="0"/>
        </w:rPr>
        <w:t xml:space="preserve">, </w:t>
      </w:r>
      <w:hyperlink w:anchor="passage-ii-7-27">
        <w:r>
          <w:rPr>
            <w:color w:val="000000"/>
          </w:rPr>
          <w:t xml:space="preserve">II.7.27</w:t>
        </w:r>
      </w:hyperlink>
      <w:r>
        <w:rPr>
          <w:b w:val="0"/>
          <w:i w:val="0"/>
        </w:rPr>
        <w:t xml:space="preserve">. See </w:t>
      </w:r>
      <w:hyperlink w:anchor="concord-and-convergence">
        <w:r>
          <w:rPr>
            <w:color w:val="000000"/>
          </w:rPr>
          <w:t xml:space="preserve">Concord and convergence</w:t>
        </w:r>
      </w:hyperlink>
      <w:r>
        <w:rPr>
          <w:b w:val="0"/>
          <w:i w:val="0"/>
        </w:rPr>
        <w:t>.</w:t>
      </w:r>
    </w:p>
    <w:p>
      <w:pPr>
        <w:keepNext/>
        <w:widowControl/>
      </w:pPr>
      <w:bookmarkStart w:id="507" w:name="latin-record-0256"/>
      <w:bookmarkEnd w:id="507"/>
      <w:r>
        <w:rPr>
          <w:b/>
          <w:i w:val="0"/>
        </w:rPr>
        <w:t>conspiratio / absurdum</w:t>
      </w:r>
      <w:r>
        <w:rPr>
          <w:b/>
          <w:i w:val="0"/>
        </w:rPr>
        <w:t>.</w:t>
      </w:r>
      <w:r>
        <w:rPr>
          <w:b w:val="0"/>
          <w:i w:val="0"/>
        </w:rPr>
        <w:t xml:space="preserve"> Printed forms: </w:t>
      </w:r>
      <w:r>
        <w:rPr>
          <w:b w:val="0"/>
          <w:i/>
        </w:rPr>
        <w:t>absurdum</w:t>
      </w:r>
      <w:r>
        <w:rPr>
          <w:b w:val="0"/>
          <w:i w:val="0"/>
        </w:rPr>
        <w:t xml:space="preserve">; </w:t>
      </w:r>
      <w:r>
        <w:rPr>
          <w:b w:val="0"/>
          <w:i/>
        </w:rPr>
        <w:t>conspirationis</w:t>
      </w:r>
      <w:r>
        <w:rPr>
          <w:b w:val="0"/>
          <w:i w:val="0"/>
        </w:rPr>
        <w:t>.</w:t>
      </w:r>
    </w:p>
    <w:p>
      <w:pPr>
        <w:widowControl/>
      </w:pPr>
      <w:r>
        <w:rPr>
          <w:b w:val="0"/>
          <w:i w:val="0"/>
        </w:rPr>
        <w:t xml:space="preserve">Concord and an absurd consequence. Making opposed multiplicity itself produce unity is rejected as absurd; concord is attributed to a further incorporeal unifier. References: </w:t>
      </w:r>
      <w:hyperlink w:anchor="passage-i-3-31">
        <w:r>
          <w:rPr>
            <w:color w:val="000000"/>
          </w:rPr>
          <w:t xml:space="preserve">I.3.31</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508" w:name="latin-record-0257"/>
      <w:bookmarkEnd w:id="508"/>
      <w:r>
        <w:rPr>
          <w:b/>
          <w:i w:val="0"/>
        </w:rPr>
        <w:t>constare / consistere</w:t>
      </w:r>
      <w:r>
        <w:rPr>
          <w:b/>
          <w:i w:val="0"/>
        </w:rPr>
        <w:t>.</w:t>
      </w:r>
      <w:r>
        <w:rPr>
          <w:b w:val="0"/>
          <w:i w:val="0"/>
        </w:rPr>
        <w:t xml:space="preserve"> Printed forms: </w:t>
      </w:r>
      <w:r>
        <w:rPr>
          <w:b w:val="0"/>
          <w:i/>
        </w:rPr>
        <w:t>constat</w:t>
      </w:r>
      <w:r>
        <w:rPr>
          <w:b w:val="0"/>
          <w:i w:val="0"/>
        </w:rPr>
        <w:t>.</w:t>
      </w:r>
    </w:p>
    <w:p>
      <w:pPr>
        <w:widowControl/>
      </w:pPr>
      <w:r>
        <w:rPr>
          <w:b w:val="0"/>
          <w:i w:val="0"/>
        </w:rPr>
        <w:t xml:space="preserve">Consist of, be established, or stand together. A whole consists of its members; elsewhere constat introduces a conclusion regarded as evident. Context distinguishes composition from argumentative assertion. References: </w:t>
      </w:r>
      <w:hyperlink w:anchor="passage-ii-13-21">
        <w:r>
          <w:rPr>
            <w:color w:val="000000"/>
          </w:rPr>
          <w:t xml:space="preserve">II.13.21</w:t>
        </w:r>
      </w:hyperlink>
      <w:r>
        <w:rPr>
          <w:b w:val="0"/>
          <w:i w:val="0"/>
        </w:rPr>
        <w:t xml:space="preserve">, </w:t>
      </w:r>
      <w:hyperlink w:anchor="passage-iii-2-6">
        <w:r>
          <w:rPr>
            <w:color w:val="000000"/>
          </w:rPr>
          <w:t xml:space="preserve">III.2.6</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509" w:name="latin-record-0258"/>
      <w:bookmarkEnd w:id="509"/>
      <w:r>
        <w:rPr>
          <w:b/>
          <w:i w:val="0"/>
        </w:rPr>
        <w:t>constare / consistere / constituere</w:t>
      </w:r>
      <w:r>
        <w:rPr>
          <w:b/>
          <w:i w:val="0"/>
        </w:rPr>
        <w:t>.</w:t>
      </w:r>
      <w:r>
        <w:rPr>
          <w:b w:val="0"/>
          <w:i w:val="0"/>
        </w:rPr>
        <w:t xml:space="preserve"> Printed forms: </w:t>
      </w:r>
      <w:r>
        <w:rPr>
          <w:b w:val="0"/>
          <w:i/>
        </w:rPr>
        <w:t>consistit</w:t>
      </w:r>
      <w:r>
        <w:rPr>
          <w:b w:val="0"/>
          <w:i w:val="0"/>
        </w:rPr>
        <w:t xml:space="preserve">; </w:t>
      </w:r>
      <w:r>
        <w:rPr>
          <w:b w:val="0"/>
          <w:i/>
        </w:rPr>
        <w:t>constat</w:t>
      </w:r>
      <w:r>
        <w:rPr>
          <w:b w:val="0"/>
          <w:i w:val="0"/>
        </w:rPr>
        <w:t xml:space="preserve">; </w:t>
      </w:r>
      <w:r>
        <w:rPr>
          <w:b w:val="0"/>
          <w:i/>
        </w:rPr>
        <w:t>constituunt</w:t>
      </w:r>
      <w:r>
        <w:rPr>
          <w:b w:val="0"/>
          <w:i w:val="0"/>
        </w:rPr>
        <w:t>.</w:t>
      </w:r>
    </w:p>
    <w:p>
      <w:pPr>
        <w:widowControl/>
      </w:pPr>
      <w:r>
        <w:rPr>
          <w:b w:val="0"/>
          <w:i w:val="0"/>
        </w:rPr>
        <w:t xml:space="preserve">To consist in, be established, or constitute a whole. Truth consists in simple unity; parts constitute one world; order consists in relations between unequal things. References: </w:t>
      </w:r>
      <w:hyperlink w:anchor="passage-ii-1-1">
        <w:r>
          <w:rPr>
            <w:color w:val="000000"/>
          </w:rPr>
          <w:t xml:space="preserve">II.1.1</w:t>
        </w:r>
      </w:hyperlink>
      <w:r>
        <w:rPr>
          <w:b w:val="0"/>
          <w:i w:val="0"/>
        </w:rPr>
        <w:t xml:space="preserve">, </w:t>
      </w:r>
      <w:hyperlink w:anchor="passage-ii-2-9">
        <w:r>
          <w:rPr>
            <w:color w:val="000000"/>
          </w:rPr>
          <w:t xml:space="preserve">II.2.9</w:t>
        </w:r>
      </w:hyperlink>
      <w:r>
        <w:rPr>
          <w:b w:val="0"/>
          <w:i w:val="0"/>
        </w:rPr>
        <w:t xml:space="preserve">, </w:t>
      </w:r>
      <w:hyperlink w:anchor="passage-ii-7-17">
        <w:r>
          <w:rPr>
            <w:color w:val="000000"/>
          </w:rPr>
          <w:t xml:space="preserve">II.7.17</w:t>
        </w:r>
      </w:hyperlink>
      <w:r>
        <w:rPr>
          <w:b w:val="0"/>
          <w:i w:val="0"/>
        </w:rPr>
        <w:t xml:space="preserve">, </w:t>
      </w:r>
      <w:hyperlink w:anchor="passage-ii-9-21">
        <w:r>
          <w:rPr>
            <w:color w:val="000000"/>
          </w:rPr>
          <w:t xml:space="preserve">II.9.21</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510" w:name="latin-record-0259"/>
      <w:bookmarkEnd w:id="510"/>
      <w:r>
        <w:rPr>
          <w:b/>
          <w:i w:val="0"/>
        </w:rPr>
        <w:t>contemperare / continuare</w:t>
      </w:r>
      <w:r>
        <w:rPr>
          <w:b/>
          <w:i w:val="0"/>
        </w:rPr>
        <w:t>.</w:t>
      </w:r>
      <w:r>
        <w:rPr>
          <w:b w:val="0"/>
          <w:i w:val="0"/>
        </w:rPr>
        <w:t xml:space="preserve"> Printed forms: </w:t>
      </w:r>
      <w:r>
        <w:rPr>
          <w:b w:val="0"/>
          <w:i/>
        </w:rPr>
        <w:t>contemperat</w:t>
      </w:r>
      <w:r>
        <w:rPr>
          <w:b w:val="0"/>
          <w:i w:val="0"/>
        </w:rPr>
        <w:t xml:space="preserve">; </w:t>
      </w:r>
      <w:r>
        <w:rPr>
          <w:b w:val="0"/>
          <w:i/>
        </w:rPr>
        <w:t>continuat</w:t>
      </w:r>
      <w:r>
        <w:rPr>
          <w:b w:val="0"/>
          <w:i w:val="0"/>
        </w:rPr>
        <w:t>.</w:t>
      </w:r>
    </w:p>
    <w:p>
      <w:pPr>
        <w:widowControl/>
      </w:pPr>
      <w:r>
        <w:rPr>
          <w:b w:val="0"/>
          <w:i w:val="0"/>
        </w:rPr>
        <w:t xml:space="preserve">To temper together; to bind in continuity. One soul coordinates diverse humors and joins members separated by position and quality. References: </w:t>
      </w:r>
      <w:hyperlink w:anchor="passage-iv-1-82">
        <w:r>
          <w:rPr>
            <w:color w:val="000000"/>
          </w:rPr>
          <w:t xml:space="preserve">IV.1.82</w:t>
        </w:r>
      </w:hyperlink>
      <w:r>
        <w:rPr>
          <w:b w:val="0"/>
          <w:i w:val="0"/>
        </w:rPr>
        <w:t xml:space="preserve">. See </w:t>
      </w:r>
      <w:hyperlink w:anchor="sympathy">
        <w:r>
          <w:rPr>
            <w:color w:val="000000"/>
          </w:rPr>
          <w:t xml:space="preserve">Sympathy</w:t>
        </w:r>
      </w:hyperlink>
      <w:r>
        <w:rPr>
          <w:b w:val="0"/>
          <w:i w:val="0"/>
        </w:rPr>
        <w:t>.</w:t>
      </w:r>
    </w:p>
    <w:p>
      <w:pPr>
        <w:keepNext/>
        <w:widowControl/>
      </w:pPr>
      <w:bookmarkStart w:id="511" w:name="latin-record-0260"/>
      <w:bookmarkEnd w:id="511"/>
      <w:r>
        <w:rPr>
          <w:b/>
          <w:i w:val="0"/>
        </w:rPr>
        <w:t>contemplor / contemplatio</w:t>
      </w:r>
      <w:r>
        <w:rPr>
          <w:b/>
          <w:i w:val="0"/>
        </w:rPr>
        <w:t>.</w:t>
      </w:r>
      <w:r>
        <w:rPr>
          <w:b w:val="0"/>
          <w:i w:val="0"/>
        </w:rPr>
        <w:t xml:space="preserve"> Printed forms: </w:t>
      </w:r>
      <w:r>
        <w:rPr>
          <w:b w:val="0"/>
          <w:i/>
        </w:rPr>
        <w:t>contemplabimur</w:t>
      </w:r>
      <w:r>
        <w:rPr>
          <w:b w:val="0"/>
          <w:i w:val="0"/>
        </w:rPr>
        <w:t xml:space="preserve">; </w:t>
      </w:r>
      <w:r>
        <w:rPr>
          <w:b w:val="0"/>
          <w:i/>
        </w:rPr>
        <w:t>contemplationem</w:t>
      </w:r>
      <w:r>
        <w:rPr>
          <w:b w:val="0"/>
          <w:i w:val="0"/>
        </w:rPr>
        <w:t xml:space="preserve">; </w:t>
      </w:r>
      <w:r>
        <w:rPr>
          <w:b w:val="0"/>
          <w:i/>
        </w:rPr>
        <w:t>contemplemur</w:t>
      </w:r>
      <w:r>
        <w:rPr>
          <w:b w:val="0"/>
          <w:i w:val="0"/>
        </w:rPr>
        <w:t xml:space="preserve">; </w:t>
      </w:r>
      <w:r>
        <w:rPr>
          <w:b w:val="0"/>
          <w:i/>
        </w:rPr>
        <w:t>contemplentur</w:t>
      </w:r>
      <w:r>
        <w:rPr>
          <w:b w:val="0"/>
          <w:i w:val="0"/>
        </w:rPr>
        <w:t>.</w:t>
      </w:r>
    </w:p>
    <w:p>
      <w:pPr>
        <w:widowControl/>
      </w:pPr>
      <w:r>
        <w:rPr>
          <w:b w:val="0"/>
          <w:i w:val="0"/>
        </w:rPr>
        <w:t xml:space="preserve">To contemplate, or the activity of contemplating. Contemplation returns inquiry to God and later moves beyond sensory shadows; it is paired with worship rather than substituted for it. References: </w:t>
      </w:r>
      <w:hyperlink w:anchor="passage-proem-3">
        <w:r>
          <w:rPr>
            <w:color w:val="000000"/>
          </w:rPr>
          <w:t xml:space="preserve">Proem.3</w:t>
        </w:r>
      </w:hyperlink>
      <w:r>
        <w:rPr>
          <w:b w:val="0"/>
          <w:i w:val="0"/>
        </w:rPr>
        <w:t xml:space="preserve">, </w:t>
      </w:r>
      <w:hyperlink w:anchor="passage-proem-7">
        <w:r>
          <w:rPr>
            <w:color w:val="000000"/>
          </w:rPr>
          <w:t xml:space="preserve">Proem.7</w:t>
        </w:r>
      </w:hyperlink>
      <w:r>
        <w:rPr>
          <w:b w:val="0"/>
          <w:i w:val="0"/>
        </w:rPr>
        <w:t xml:space="preserve">, </w:t>
      </w:r>
      <w:hyperlink w:anchor="passage-proem-9">
        <w:r>
          <w:rPr>
            <w:color w:val="000000"/>
          </w:rPr>
          <w:t xml:space="preserve">Proem.9</w:t>
        </w:r>
      </w:hyperlink>
      <w:r>
        <w:rPr>
          <w:b w:val="0"/>
          <w:i w:val="0"/>
        </w:rPr>
        <w:t xml:space="preserve">, </w:t>
      </w:r>
      <w:hyperlink w:anchor="passage-i-1-2">
        <w:r>
          <w:rPr>
            <w:color w:val="000000"/>
          </w:rPr>
          <w:t xml:space="preserve">I.1.2</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512" w:name="latin-record-0261"/>
      <w:bookmarkEnd w:id="512"/>
      <w:r>
        <w:rPr>
          <w:b/>
          <w:i w:val="0"/>
        </w:rPr>
        <w:t>contineo / complector</w:t>
      </w:r>
      <w:r>
        <w:rPr>
          <w:b/>
          <w:i w:val="0"/>
        </w:rPr>
        <w:t>.</w:t>
      </w:r>
      <w:r>
        <w:rPr>
          <w:b w:val="0"/>
          <w:i w:val="0"/>
        </w:rPr>
        <w:t xml:space="preserve"> Printed forms: </w:t>
      </w:r>
      <w:r>
        <w:rPr>
          <w:b w:val="0"/>
          <w:i/>
        </w:rPr>
        <w:t>complectitur</w:t>
      </w:r>
      <w:r>
        <w:rPr>
          <w:b w:val="0"/>
          <w:i w:val="0"/>
        </w:rPr>
        <w:t xml:space="preserve">; </w:t>
      </w:r>
      <w:r>
        <w:rPr>
          <w:b w:val="0"/>
          <w:i/>
        </w:rPr>
        <w:t>continet</w:t>
      </w:r>
      <w:r>
        <w:rPr>
          <w:b w:val="0"/>
          <w:i w:val="0"/>
        </w:rPr>
        <w:t>.</w:t>
      </w:r>
    </w:p>
    <w:p>
      <w:pPr>
        <w:widowControl/>
      </w:pPr>
      <w:r>
        <w:rPr>
          <w:b w:val="0"/>
          <w:i w:val="0"/>
        </w:rPr>
        <w:t xml:space="preserve">To contain or embrace. A kind’s first principle contains its subsequent perfections; this is causal plenitude, not an inventory of physical objects stored inside it. References: </w:t>
      </w:r>
      <w:hyperlink w:anchor="passage-i-3-3">
        <w:r>
          <w:rPr>
            <w:color w:val="000000"/>
          </w:rPr>
          <w:t xml:space="preserve">I.3.3</w:t>
        </w:r>
      </w:hyperlink>
      <w:r>
        <w:rPr>
          <w:b w:val="0"/>
          <w:i w:val="0"/>
        </w:rPr>
        <w:t xml:space="preserve">. See </w:t>
      </w:r>
      <w:hyperlink w:anchor="containing-receiving-and-lacking">
        <w:r>
          <w:rPr>
            <w:color w:val="000000"/>
          </w:rPr>
          <w:t xml:space="preserve">Containing, receiving and lacking</w:t>
        </w:r>
      </w:hyperlink>
      <w:r>
        <w:rPr>
          <w:b w:val="0"/>
          <w:i w:val="0"/>
        </w:rPr>
        <w:t>.</w:t>
      </w:r>
    </w:p>
    <w:p>
      <w:pPr>
        <w:keepNext/>
        <w:widowControl/>
      </w:pPr>
      <w:bookmarkStart w:id="513" w:name="latin-record-0262"/>
      <w:bookmarkEnd w:id="513"/>
      <w:r>
        <w:rPr>
          <w:b/>
          <w:i w:val="0"/>
        </w:rPr>
        <w:t>contingens / essentialis</w:t>
      </w:r>
      <w:r>
        <w:rPr>
          <w:b/>
          <w:i w:val="0"/>
        </w:rPr>
        <w:t>.</w:t>
      </w:r>
      <w:r>
        <w:rPr>
          <w:b w:val="0"/>
          <w:i w:val="0"/>
        </w:rPr>
        <w:t xml:space="preserve"> Printed forms: </w:t>
      </w:r>
      <w:r>
        <w:rPr>
          <w:b w:val="0"/>
          <w:i/>
        </w:rPr>
        <w:t>contingentes</w:t>
      </w:r>
      <w:r>
        <w:rPr>
          <w:b w:val="0"/>
          <w:i w:val="0"/>
        </w:rPr>
        <w:t xml:space="preserve">; </w:t>
      </w:r>
      <w:r>
        <w:rPr>
          <w:b w:val="0"/>
          <w:i/>
        </w:rPr>
        <w:t>essentiales</w:t>
      </w:r>
      <w:r>
        <w:rPr>
          <w:b w:val="0"/>
          <w:i w:val="0"/>
        </w:rPr>
        <w:t>.</w:t>
      </w:r>
    </w:p>
    <w:p>
      <w:pPr>
        <w:widowControl/>
      </w:pPr>
      <w:r>
        <w:rPr>
          <w:b w:val="0"/>
          <w:i w:val="0"/>
        </w:rPr>
        <w:t xml:space="preserve">Contingent; pertaining to essence. Human craft’s principles and forms are contrasted with the essential and perpetual principles of natural production. References: </w:t>
      </w:r>
      <w:hyperlink w:anchor="passage-iv-1-13">
        <w:r>
          <w:rPr>
            <w:color w:val="000000"/>
          </w:rPr>
          <w:t xml:space="preserve">IV.1.13</w:t>
        </w:r>
      </w:hyperlink>
      <w:r>
        <w:rPr>
          <w:b w:val="0"/>
          <w:i w:val="0"/>
        </w:rPr>
        <w:t xml:space="preserve">. See </w:t>
      </w:r>
      <w:hyperlink w:anchor="artifact-and-natural-work">
        <w:r>
          <w:rPr>
            <w:color w:val="000000"/>
          </w:rPr>
          <w:t xml:space="preserve">Artifact and natural work</w:t>
        </w:r>
      </w:hyperlink>
      <w:r>
        <w:rPr>
          <w:b w:val="0"/>
          <w:i w:val="0"/>
        </w:rPr>
        <w:t>.</w:t>
      </w:r>
    </w:p>
    <w:p>
      <w:pPr>
        <w:keepNext/>
        <w:widowControl/>
      </w:pPr>
      <w:bookmarkStart w:id="514" w:name="latin-record-0263"/>
      <w:bookmarkEnd w:id="514"/>
      <w:r>
        <w:rPr>
          <w:b/>
          <w:i w:val="0"/>
        </w:rPr>
        <w:t>continuatio / reflectere in gyrum</w:t>
      </w:r>
      <w:r>
        <w:rPr>
          <w:b/>
          <w:i w:val="0"/>
        </w:rPr>
        <w:t>.</w:t>
      </w:r>
      <w:r>
        <w:rPr>
          <w:b w:val="0"/>
          <w:i w:val="0"/>
        </w:rPr>
        <w:t xml:space="preserve"> Printed forms: </w:t>
      </w:r>
      <w:r>
        <w:rPr>
          <w:b w:val="0"/>
          <w:i/>
        </w:rPr>
        <w:t>continuationem</w:t>
      </w:r>
      <w:r>
        <w:rPr>
          <w:b w:val="0"/>
          <w:i w:val="0"/>
        </w:rPr>
        <w:t xml:space="preserve">; </w:t>
      </w:r>
      <w:r>
        <w:rPr>
          <w:b w:val="0"/>
          <w:i/>
        </w:rPr>
        <w:t>reflectunt in gyrum</w:t>
      </w:r>
      <w:r>
        <w:rPr>
          <w:b w:val="0"/>
          <w:i w:val="0"/>
        </w:rPr>
        <w:t>.</w:t>
      </w:r>
    </w:p>
    <w:p>
      <w:pPr>
        <w:widowControl/>
      </w:pPr>
      <w:r>
        <w:rPr>
          <w:b w:val="0"/>
          <w:i w:val="0"/>
        </w:rPr>
        <w:t xml:space="preserve">Continuity; turning back into a round. The connected parts of heaven draw and push one another when motion begins, explaining the bodily course after the higher analogies. References: </w:t>
      </w:r>
      <w:hyperlink w:anchor="passage-iv-2-21">
        <w:r>
          <w:rPr>
            <w:color w:val="000000"/>
          </w:rPr>
          <w:t xml:space="preserve">IV.2.21</w:t>
        </w:r>
      </w:hyperlink>
      <w:r>
        <w:rPr>
          <w:b w:val="0"/>
          <w:i w:val="0"/>
        </w:rPr>
        <w:t xml:space="preserve">. See </w:t>
      </w:r>
      <w:hyperlink w:anchor="circularity-and-return">
        <w:r>
          <w:rPr>
            <w:color w:val="000000"/>
          </w:rPr>
          <w:t xml:space="preserve">Circularity and return</w:t>
        </w:r>
      </w:hyperlink>
      <w:r>
        <w:rPr>
          <w:b w:val="0"/>
          <w:i w:val="0"/>
        </w:rPr>
        <w:t>.</w:t>
      </w:r>
    </w:p>
    <w:p>
      <w:pPr>
        <w:keepNext/>
        <w:widowControl/>
      </w:pPr>
      <w:bookmarkStart w:id="515" w:name="latin-record-0264"/>
      <w:bookmarkEnd w:id="515"/>
      <w:r>
        <w:rPr>
          <w:b/>
          <w:i w:val="0"/>
        </w:rPr>
        <w:t>continuus / assiduus</w:t>
      </w:r>
      <w:r>
        <w:rPr>
          <w:b/>
          <w:i w:val="0"/>
        </w:rPr>
        <w:t>.</w:t>
      </w:r>
      <w:r>
        <w:rPr>
          <w:b w:val="0"/>
          <w:i w:val="0"/>
        </w:rPr>
        <w:t xml:space="preserve"> Printed forms: </w:t>
      </w:r>
      <w:r>
        <w:rPr>
          <w:b w:val="0"/>
          <w:i/>
        </w:rPr>
        <w:t>assidue</w:t>
      </w:r>
      <w:r>
        <w:rPr>
          <w:b w:val="0"/>
          <w:i w:val="0"/>
        </w:rPr>
        <w:t xml:space="preserve">; </w:t>
      </w:r>
      <w:r>
        <w:rPr>
          <w:b w:val="0"/>
          <w:i/>
        </w:rPr>
        <w:t>continue</w:t>
      </w:r>
      <w:r>
        <w:rPr>
          <w:b w:val="0"/>
          <w:i w:val="0"/>
        </w:rPr>
        <w:t xml:space="preserve">; </w:t>
      </w:r>
      <w:r>
        <w:rPr>
          <w:b w:val="0"/>
          <w:i/>
        </w:rPr>
        <w:t>continuo</w:t>
      </w:r>
      <w:r>
        <w:rPr>
          <w:b w:val="0"/>
          <w:i w:val="0"/>
        </w:rPr>
        <w:t>.</w:t>
      </w:r>
    </w:p>
    <w:p>
      <w:pPr>
        <w:widowControl/>
      </w:pPr>
      <w:r>
        <w:rPr>
          <w:b w:val="0"/>
          <w:i w:val="0"/>
        </w:rPr>
        <w:t xml:space="preserve">Continuous or unceasing. Preservation and causal dependence persist at every moment rather than occurring only once in the past. References: </w:t>
      </w:r>
      <w:hyperlink w:anchor="passage-ii-7-19">
        <w:r>
          <w:rPr>
            <w:color w:val="000000"/>
          </w:rPr>
          <w:t xml:space="preserve">II.7.19</w:t>
        </w:r>
      </w:hyperlink>
      <w:r>
        <w:rPr>
          <w:b w:val="0"/>
          <w:i w:val="0"/>
        </w:rPr>
        <w:t xml:space="preserve">, </w:t>
      </w:r>
      <w:hyperlink w:anchor="passage-ii-7-22">
        <w:r>
          <w:rPr>
            <w:color w:val="000000"/>
          </w:rPr>
          <w:t xml:space="preserve">II.7.22</w:t>
        </w:r>
      </w:hyperlink>
      <w:r>
        <w:rPr>
          <w:b w:val="0"/>
          <w:i w:val="0"/>
        </w:rPr>
        <w:t xml:space="preserve">, </w:t>
      </w:r>
      <w:hyperlink w:anchor="passage-ii-7-23">
        <w:r>
          <w:rPr>
            <w:color w:val="000000"/>
          </w:rPr>
          <w:t xml:space="preserve">II.7.23</w:t>
        </w:r>
      </w:hyperlink>
      <w:r>
        <w:rPr>
          <w:b w:val="0"/>
          <w:i w:val="0"/>
        </w:rPr>
        <w:t xml:space="preserve">. See </w:t>
      </w:r>
      <w:hyperlink w:anchor="conservation-and-preservation">
        <w:r>
          <w:rPr>
            <w:color w:val="000000"/>
          </w:rPr>
          <w:t xml:space="preserve">Conservation and preservation</w:t>
        </w:r>
      </w:hyperlink>
      <w:r>
        <w:rPr>
          <w:b w:val="0"/>
          <w:i w:val="0"/>
        </w:rPr>
        <w:t>.</w:t>
      </w:r>
    </w:p>
    <w:p>
      <w:pPr>
        <w:keepNext/>
        <w:widowControl/>
      </w:pPr>
      <w:bookmarkStart w:id="516" w:name="latin-record-0265"/>
      <w:bookmarkEnd w:id="516"/>
      <w:r>
        <w:rPr>
          <w:b/>
          <w:i w:val="0"/>
        </w:rPr>
        <w:t>continuus / continuare / continuatio</w:t>
      </w:r>
      <w:r>
        <w:rPr>
          <w:b/>
          <w:i w:val="0"/>
        </w:rPr>
        <w:t>.</w:t>
      </w:r>
      <w:r>
        <w:rPr>
          <w:b w:val="0"/>
          <w:i w:val="0"/>
        </w:rPr>
        <w:t xml:space="preserve"> Printed forms: </w:t>
      </w:r>
      <w:r>
        <w:rPr>
          <w:b w:val="0"/>
          <w:i/>
        </w:rPr>
        <w:t>continuam</w:t>
      </w:r>
      <w:r>
        <w:rPr>
          <w:b w:val="0"/>
          <w:i w:val="0"/>
        </w:rPr>
        <w:t xml:space="preserve">; </w:t>
      </w:r>
      <w:r>
        <w:rPr>
          <w:b w:val="0"/>
          <w:i/>
        </w:rPr>
        <w:t>continuatione</w:t>
      </w:r>
      <w:r>
        <w:rPr>
          <w:b w:val="0"/>
          <w:i w:val="0"/>
        </w:rPr>
        <w:t xml:space="preserve">; </w:t>
      </w:r>
      <w:r>
        <w:rPr>
          <w:b w:val="0"/>
          <w:i/>
        </w:rPr>
        <w:t>continuatis</w:t>
      </w:r>
      <w:r>
        <w:rPr>
          <w:b w:val="0"/>
          <w:i w:val="0"/>
        </w:rPr>
        <w:t>.</w:t>
      </w:r>
    </w:p>
    <w:p>
      <w:pPr>
        <w:widowControl/>
      </w:pPr>
      <w:r>
        <w:rPr>
          <w:b w:val="0"/>
          <w:i w:val="0"/>
        </w:rPr>
        <w:t xml:space="preserve">Continuous; to join in continuity; continuity or uninterrupted continuation. Continuity describes three different relations: the continuous succession of individual natural beings, parts joined into the single mass of an elemental globe, and the uninterrupted course of circular motion. These forms are distinct from continere, to contain. References: </w:t>
      </w:r>
      <w:hyperlink w:anchor="passage-iv-1-35">
        <w:r>
          <w:rPr>
            <w:color w:val="000000"/>
          </w:rPr>
          <w:t xml:space="preserve">IV.1.35</w:t>
        </w:r>
      </w:hyperlink>
      <w:r>
        <w:rPr>
          <w:b w:val="0"/>
          <w:i w:val="0"/>
        </w:rPr>
        <w:t xml:space="preserve">, </w:t>
      </w:r>
      <w:hyperlink w:anchor="passage-iv-1-87">
        <w:r>
          <w:rPr>
            <w:color w:val="000000"/>
          </w:rPr>
          <w:t xml:space="preserve">IV.1.87</w:t>
        </w:r>
      </w:hyperlink>
      <w:r>
        <w:rPr>
          <w:b w:val="0"/>
          <w:i w:val="0"/>
        </w:rPr>
        <w:t xml:space="preserve">, </w:t>
      </w:r>
      <w:hyperlink w:anchor="passage-iv-2-23">
        <w:r>
          <w:rPr>
            <w:color w:val="000000"/>
          </w:rPr>
          <w:t xml:space="preserve">IV.2.23</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517" w:name="latin-record-0266"/>
      <w:bookmarkEnd w:id="517"/>
      <w:r>
        <w:rPr>
          <w:b/>
          <w:i w:val="0"/>
        </w:rPr>
        <w:t>contradictio</w:t>
      </w:r>
      <w:r>
        <w:rPr>
          <w:b/>
          <w:i w:val="0"/>
        </w:rPr>
        <w:t>.</w:t>
      </w:r>
      <w:r>
        <w:rPr>
          <w:b w:val="0"/>
          <w:i w:val="0"/>
        </w:rPr>
        <w:t xml:space="preserve"> Printed forms: </w:t>
      </w:r>
      <w:r>
        <w:rPr>
          <w:b w:val="0"/>
          <w:i/>
        </w:rPr>
        <w:t>Contradictio</w:t>
      </w:r>
      <w:r>
        <w:rPr>
          <w:b w:val="0"/>
          <w:i w:val="0"/>
        </w:rPr>
        <w:t xml:space="preserve">; </w:t>
      </w:r>
      <w:r>
        <w:rPr>
          <w:b w:val="0"/>
          <w:i/>
        </w:rPr>
        <w:t>contradictionem</w:t>
      </w:r>
      <w:r>
        <w:rPr>
          <w:b w:val="0"/>
          <w:i w:val="0"/>
        </w:rPr>
        <w:t>.</w:t>
      </w:r>
    </w:p>
    <w:p>
      <w:pPr>
        <w:widowControl/>
      </w:pPr>
      <w:r>
        <w:rPr>
          <w:b w:val="0"/>
          <w:i w:val="0"/>
        </w:rPr>
        <w:t xml:space="preserve">Contradiction. It alone includes the character of nonbeing in the modal argument; noncontradictory possibilities can exceed the actual order. References: </w:t>
      </w:r>
      <w:hyperlink w:anchor="passage-ii-12-17">
        <w:r>
          <w:rPr>
            <w:color w:val="000000"/>
          </w:rPr>
          <w:t xml:space="preserve">II.12.17</w:t>
        </w:r>
      </w:hyperlink>
      <w:r>
        <w:rPr>
          <w:b w:val="0"/>
          <w:i w:val="0"/>
        </w:rPr>
        <w:t xml:space="preserve">, </w:t>
      </w:r>
      <w:hyperlink w:anchor="passage-ii-12-18">
        <w:r>
          <w:rPr>
            <w:color w:val="000000"/>
          </w:rPr>
          <w:t xml:space="preserve">II.12.18</w:t>
        </w:r>
      </w:hyperlink>
      <w:r>
        <w:rPr>
          <w:b w:val="0"/>
          <w:i w:val="0"/>
        </w:rPr>
        <w:t xml:space="preserve">. See </w:t>
      </w:r>
      <w:hyperlink w:anchor="contradiction-and-possibility">
        <w:r>
          <w:rPr>
            <w:color w:val="000000"/>
          </w:rPr>
          <w:t xml:space="preserve">Contradiction and possibility</w:t>
        </w:r>
      </w:hyperlink>
      <w:r>
        <w:rPr>
          <w:b w:val="0"/>
          <w:i w:val="0"/>
        </w:rPr>
        <w:t>.</w:t>
      </w:r>
    </w:p>
    <w:p>
      <w:pPr>
        <w:keepNext/>
        <w:widowControl/>
      </w:pPr>
      <w:bookmarkStart w:id="518" w:name="latin-record-0267"/>
      <w:bookmarkEnd w:id="518"/>
      <w:r>
        <w:rPr>
          <w:b/>
          <w:i w:val="0"/>
        </w:rPr>
        <w:t>contrahere</w:t>
      </w:r>
      <w:r>
        <w:rPr>
          <w:b/>
          <w:i w:val="0"/>
        </w:rPr>
        <w:t>.</w:t>
      </w:r>
      <w:r>
        <w:rPr>
          <w:b w:val="0"/>
          <w:i w:val="0"/>
        </w:rPr>
        <w:t xml:space="preserve"> Printed forms: </w:t>
      </w:r>
      <w:r>
        <w:rPr>
          <w:b w:val="0"/>
          <w:i/>
        </w:rPr>
        <w:t>contrahi</w:t>
      </w:r>
      <w:r>
        <w:rPr>
          <w:b w:val="0"/>
          <w:i w:val="0"/>
        </w:rPr>
        <w:t xml:space="preserve">; </w:t>
      </w:r>
      <w:r>
        <w:rPr>
          <w:b w:val="0"/>
          <w:i/>
        </w:rPr>
        <w:t>contrahit</w:t>
      </w:r>
      <w:r>
        <w:rPr>
          <w:b w:val="0"/>
          <w:i w:val="0"/>
        </w:rPr>
        <w:t>.</w:t>
      </w:r>
    </w:p>
    <w:p>
      <w:pPr>
        <w:widowControl/>
      </w:pPr>
      <w:r>
        <w:rPr>
          <w:b w:val="0"/>
          <w:i w:val="0"/>
        </w:rPr>
        <w:t xml:space="preserve">To narrow a common impulse into a particular operation. The earthly common soul mediates celestial universality and particular terrestrial life, including preparation of matter. References: </w:t>
      </w:r>
      <w:hyperlink w:anchor="passage-iv-1-7">
        <w:r>
          <w:rPr>
            <w:color w:val="000000"/>
          </w:rPr>
          <w:t xml:space="preserve">IV.1.7</w:t>
        </w:r>
      </w:hyperlink>
      <w:r>
        <w:rPr>
          <w:b w:val="0"/>
          <w:i w:val="0"/>
        </w:rPr>
        <w:t xml:space="preserve">, </w:t>
      </w:r>
      <w:hyperlink w:anchor="passage-iv-1-9">
        <w:r>
          <w:rPr>
            <w:color w:val="000000"/>
          </w:rPr>
          <w:t xml:space="preserve">IV.1.9</w:t>
        </w:r>
      </w:hyperlink>
      <w:r>
        <w:rPr>
          <w:b w:val="0"/>
          <w:i w:val="0"/>
        </w:rPr>
        <w:t xml:space="preserve">. See </w:t>
      </w:r>
      <w:hyperlink w:anchor="contraction-and-determination">
        <w:r>
          <w:rPr>
            <w:color w:val="000000"/>
          </w:rPr>
          <w:t xml:space="preserve">Contraction and determination</w:t>
        </w:r>
      </w:hyperlink>
      <w:r>
        <w:rPr>
          <w:b w:val="0"/>
          <w:i w:val="0"/>
        </w:rPr>
        <w:t>.</w:t>
      </w:r>
    </w:p>
    <w:p>
      <w:pPr>
        <w:keepNext/>
        <w:widowControl/>
      </w:pPr>
      <w:bookmarkStart w:id="519" w:name="latin-record-0268"/>
      <w:bookmarkEnd w:id="519"/>
      <w:r>
        <w:rPr>
          <w:b/>
          <w:i w:val="0"/>
        </w:rPr>
        <w:t>contrarium / oppositio</w:t>
      </w:r>
      <w:r>
        <w:rPr>
          <w:b/>
          <w:i w:val="0"/>
        </w:rPr>
        <w:t>.</w:t>
      </w:r>
      <w:r>
        <w:rPr>
          <w:b w:val="0"/>
          <w:i w:val="0"/>
        </w:rPr>
        <w:t xml:space="preserve"> Printed forms: </w:t>
      </w:r>
      <w:r>
        <w:rPr>
          <w:b w:val="0"/>
          <w:i/>
        </w:rPr>
        <w:t>contrariorum</w:t>
      </w:r>
      <w:r>
        <w:rPr>
          <w:b w:val="0"/>
          <w:i w:val="0"/>
        </w:rPr>
        <w:t xml:space="preserve">; </w:t>
      </w:r>
      <w:r>
        <w:rPr>
          <w:b w:val="0"/>
          <w:i/>
        </w:rPr>
        <w:t>oppositio</w:t>
      </w:r>
      <w:r>
        <w:rPr>
          <w:b w:val="0"/>
          <w:i w:val="0"/>
        </w:rPr>
        <w:t>.</w:t>
      </w:r>
    </w:p>
    <w:p>
      <w:pPr>
        <w:widowControl/>
      </w:pPr>
      <w:r>
        <w:rPr>
          <w:b w:val="0"/>
          <w:i w:val="0"/>
        </w:rPr>
        <w:t xml:space="preserve">Contraries and their opposition. Natural bodily action is located where opposed qualities encounter one another; opposition of quality differs from mere difference in size. References: </w:t>
      </w:r>
      <w:hyperlink w:anchor="passage-i-2-8">
        <w:r>
          <w:rPr>
            <w:color w:val="000000"/>
          </w:rPr>
          <w:t xml:space="preserve">I.2.8</w:t>
        </w:r>
      </w:hyperlink>
      <w:r>
        <w:rPr>
          <w:b w:val="0"/>
          <w:i w:val="0"/>
        </w:rPr>
        <w:t xml:space="preserve">. See </w:t>
      </w:r>
      <w:hyperlink w:anchor="contraries-and-opposition">
        <w:r>
          <w:rPr>
            <w:color w:val="000000"/>
          </w:rPr>
          <w:t xml:space="preserve">Contraries and opposition</w:t>
        </w:r>
      </w:hyperlink>
      <w:r>
        <w:rPr>
          <w:b w:val="0"/>
          <w:i w:val="0"/>
        </w:rPr>
        <w:t>.</w:t>
      </w:r>
    </w:p>
    <w:p>
      <w:pPr>
        <w:keepNext/>
        <w:widowControl/>
      </w:pPr>
      <w:bookmarkStart w:id="520" w:name="latin-record-0269"/>
      <w:bookmarkEnd w:id="520"/>
      <w:r>
        <w:rPr>
          <w:b/>
          <w:i w:val="0"/>
        </w:rPr>
        <w:t>contueri / intueri / intuitus</w:t>
      </w:r>
      <w:r>
        <w:rPr>
          <w:b/>
          <w:i w:val="0"/>
        </w:rPr>
        <w:t>.</w:t>
      </w:r>
      <w:r>
        <w:rPr>
          <w:b w:val="0"/>
          <w:i w:val="0"/>
        </w:rPr>
        <w:t xml:space="preserve"> Printed forms: </w:t>
      </w:r>
      <w:r>
        <w:rPr>
          <w:b w:val="0"/>
          <w:i/>
        </w:rPr>
        <w:t>contueatur</w:t>
      </w:r>
      <w:r>
        <w:rPr>
          <w:b w:val="0"/>
          <w:i w:val="0"/>
        </w:rPr>
        <w:t xml:space="preserve">; </w:t>
      </w:r>
      <w:r>
        <w:rPr>
          <w:b w:val="0"/>
          <w:i/>
        </w:rPr>
        <w:t>intuitu</w:t>
      </w:r>
      <w:r>
        <w:rPr>
          <w:b w:val="0"/>
          <w:i w:val="0"/>
        </w:rPr>
        <w:t xml:space="preserve">; </w:t>
      </w:r>
      <w:r>
        <w:rPr>
          <w:b w:val="0"/>
          <w:i/>
        </w:rPr>
        <w:t>Intuitum</w:t>
      </w:r>
      <w:r>
        <w:rPr>
          <w:b w:val="0"/>
          <w:i w:val="0"/>
        </w:rPr>
        <w:t>.</w:t>
      </w:r>
    </w:p>
    <w:p>
      <w:pPr>
        <w:widowControl/>
      </w:pPr>
      <w:r>
        <w:rPr>
          <w:b w:val="0"/>
          <w:i w:val="0"/>
        </w:rPr>
        <w:t xml:space="preserve">Contemplate / direct apprehension or gaze. Divine Ideas are held in one gaze, while the natural-order argument calls divine counsel an intuition rather than sequential inquiry. References: </w:t>
      </w:r>
      <w:hyperlink w:anchor="passage-ii-11-18">
        <w:r>
          <w:rPr>
            <w:color w:val="000000"/>
          </w:rPr>
          <w:t xml:space="preserve">II.11.18</w:t>
        </w:r>
      </w:hyperlink>
      <w:r>
        <w:rPr>
          <w:b w:val="0"/>
          <w:i w:val="0"/>
        </w:rPr>
        <w:t xml:space="preserve">, </w:t>
      </w:r>
      <w:hyperlink w:anchor="passage-ii-13-18">
        <w:r>
          <w:rPr>
            <w:color w:val="000000"/>
          </w:rPr>
          <w:t xml:space="preserve">II.13.18</w:t>
        </w:r>
      </w:hyperlink>
      <w:r>
        <w:rPr>
          <w:b w:val="0"/>
          <w:i w:val="0"/>
        </w:rPr>
        <w:t xml:space="preserve">. See </w:t>
      </w:r>
      <w:hyperlink w:anchor="intuition-and-comprehension">
        <w:r>
          <w:rPr>
            <w:color w:val="000000"/>
          </w:rPr>
          <w:t xml:space="preserve">Intuition and comprehension</w:t>
        </w:r>
      </w:hyperlink>
      <w:r>
        <w:rPr>
          <w:b w:val="0"/>
          <w:i w:val="0"/>
        </w:rPr>
        <w:t>.</w:t>
      </w:r>
    </w:p>
    <w:p>
      <w:pPr>
        <w:keepNext/>
        <w:widowControl/>
      </w:pPr>
      <w:bookmarkStart w:id="521" w:name="latin-record-0270"/>
      <w:bookmarkEnd w:id="521"/>
      <w:r>
        <w:rPr>
          <w:b/>
          <w:i w:val="0"/>
        </w:rPr>
        <w:t>convenio / discrepo</w:t>
      </w:r>
      <w:r>
        <w:rPr>
          <w:b/>
          <w:i w:val="0"/>
        </w:rPr>
        <w:t>.</w:t>
      </w:r>
      <w:r>
        <w:rPr>
          <w:b w:val="0"/>
          <w:i w:val="0"/>
        </w:rPr>
        <w:t xml:space="preserve"> Printed forms: </w:t>
      </w:r>
      <w:r>
        <w:rPr>
          <w:b w:val="0"/>
          <w:i/>
        </w:rPr>
        <w:t>convenit</w:t>
      </w:r>
      <w:r>
        <w:rPr>
          <w:b w:val="0"/>
          <w:i w:val="0"/>
        </w:rPr>
        <w:t xml:space="preserve">; </w:t>
      </w:r>
      <w:r>
        <w:rPr>
          <w:b w:val="0"/>
          <w:i/>
        </w:rPr>
        <w:t>Discrepat</w:t>
      </w:r>
      <w:r>
        <w:rPr>
          <w:b w:val="0"/>
          <w:i w:val="0"/>
        </w:rPr>
        <w:t>.</w:t>
      </w:r>
    </w:p>
    <w:p>
      <w:pPr>
        <w:widowControl/>
      </w:pPr>
      <w:r>
        <w:rPr>
          <w:b w:val="0"/>
          <w:i w:val="0"/>
        </w:rPr>
        <w:t xml:space="preserve">To agree in a respect and to differ. Angel agrees with soul in multiplicity and differs in immobility; comparative grammar identifies the exact shared and distinguishing features. References: </w:t>
      </w:r>
      <w:hyperlink w:anchor="passage-i-6-3">
        <w:r>
          <w:rPr>
            <w:color w:val="000000"/>
          </w:rPr>
          <w:t xml:space="preserve">I.6.3</w:t>
        </w:r>
      </w:hyperlink>
      <w:r>
        <w:rPr>
          <w:b w:val="0"/>
          <w:i w:val="0"/>
        </w:rPr>
        <w:t xml:space="preserve">. See </w:t>
      </w:r>
      <w:hyperlink w:anchor="comparing-resembling-and-equalling">
        <w:r>
          <w:rPr>
            <w:color w:val="000000"/>
          </w:rPr>
          <w:t xml:space="preserve">Comparing, resembling and equalling</w:t>
        </w:r>
      </w:hyperlink>
      <w:r>
        <w:rPr>
          <w:b w:val="0"/>
          <w:i w:val="0"/>
        </w:rPr>
        <w:t>.</w:t>
      </w:r>
    </w:p>
    <w:p>
      <w:pPr>
        <w:keepNext/>
        <w:widowControl/>
      </w:pPr>
      <w:bookmarkStart w:id="522" w:name="latin-record-0271"/>
      <w:bookmarkEnd w:id="522"/>
      <w:r>
        <w:rPr>
          <w:b/>
          <w:i w:val="0"/>
        </w:rPr>
        <w:t>convenire / congruere</w:t>
      </w:r>
      <w:r>
        <w:rPr>
          <w:b/>
          <w:i w:val="0"/>
        </w:rPr>
        <w:t>.</w:t>
      </w:r>
      <w:r>
        <w:rPr>
          <w:b w:val="0"/>
          <w:i w:val="0"/>
        </w:rPr>
        <w:t xml:space="preserve"> Printed forms: </w:t>
      </w:r>
      <w:r>
        <w:rPr>
          <w:b w:val="0"/>
          <w:i/>
        </w:rPr>
        <w:t>congruant</w:t>
      </w:r>
      <w:r>
        <w:rPr>
          <w:b w:val="0"/>
          <w:i w:val="0"/>
        </w:rPr>
        <w:t xml:space="preserve">; </w:t>
      </w:r>
      <w:r>
        <w:rPr>
          <w:b w:val="0"/>
          <w:i/>
        </w:rPr>
        <w:t>congruerent</w:t>
      </w:r>
      <w:r>
        <w:rPr>
          <w:b w:val="0"/>
          <w:i w:val="0"/>
        </w:rPr>
        <w:t xml:space="preserve">; </w:t>
      </w:r>
      <w:r>
        <w:rPr>
          <w:b w:val="0"/>
          <w:i/>
        </w:rPr>
        <w:t>conveniant</w:t>
      </w:r>
      <w:r>
        <w:rPr>
          <w:b w:val="0"/>
          <w:i w:val="0"/>
        </w:rPr>
        <w:t xml:space="preserve">; </w:t>
      </w:r>
      <w:r>
        <w:rPr>
          <w:b w:val="0"/>
          <w:i/>
        </w:rPr>
        <w:t>convenit</w:t>
      </w:r>
      <w:r>
        <w:rPr>
          <w:b w:val="0"/>
          <w:i w:val="0"/>
        </w:rPr>
        <w:t xml:space="preserve">; </w:t>
      </w:r>
      <w:r>
        <w:rPr>
          <w:b w:val="0"/>
          <w:i/>
        </w:rPr>
        <w:t>conveniunt</w:t>
      </w:r>
      <w:r>
        <w:rPr>
          <w:b w:val="0"/>
          <w:i w:val="0"/>
        </w:rPr>
        <w:t>.</w:t>
      </w:r>
    </w:p>
    <w:p>
      <w:pPr>
        <w:widowControl/>
      </w:pPr>
      <w:r>
        <w:rPr>
          <w:b w:val="0"/>
          <w:i w:val="0"/>
        </w:rPr>
        <w:t xml:space="preserve">To agree or coincide, but also to belong fittingly to a subject. Shared predicates establish agreement; in the preservation argument </w:t>
      </w:r>
      <w:r>
        <w:t>“</w:t>
      </w:r>
      <w:r>
        <w:rPr>
          <w:b w:val="0"/>
          <w:i w:val="0"/>
        </w:rPr>
        <w:t>belongs to</w:t>
      </w:r>
      <w:r>
        <w:t>”</w:t>
      </w:r>
      <w:r>
        <w:rPr>
          <w:b w:val="0"/>
          <w:i w:val="0"/>
        </w:rPr>
        <w:t xml:space="preserve"> marks a natural condition. References: </w:t>
      </w:r>
      <w:hyperlink w:anchor="passage-ii-2-2">
        <w:r>
          <w:rPr>
            <w:color w:val="000000"/>
          </w:rPr>
          <w:t xml:space="preserve">II.2.2</w:t>
        </w:r>
      </w:hyperlink>
      <w:r>
        <w:rPr>
          <w:b w:val="0"/>
          <w:i w:val="0"/>
        </w:rPr>
        <w:t xml:space="preserve">, </w:t>
      </w:r>
      <w:hyperlink w:anchor="passage-ii-2-5">
        <w:r>
          <w:rPr>
            <w:color w:val="000000"/>
          </w:rPr>
          <w:t xml:space="preserve">II.2.5</w:t>
        </w:r>
      </w:hyperlink>
      <w:r>
        <w:rPr>
          <w:b w:val="0"/>
          <w:i w:val="0"/>
        </w:rPr>
        <w:t xml:space="preserve">, </w:t>
      </w:r>
      <w:hyperlink w:anchor="passage-ii-6-19">
        <w:r>
          <w:rPr>
            <w:color w:val="000000"/>
          </w:rPr>
          <w:t xml:space="preserve">II.6.19</w:t>
        </w:r>
      </w:hyperlink>
      <w:r>
        <w:rPr>
          <w:b w:val="0"/>
          <w:i w:val="0"/>
        </w:rPr>
        <w:t xml:space="preserve">, </w:t>
      </w:r>
      <w:hyperlink w:anchor="passage-ii-7-20">
        <w:r>
          <w:rPr>
            <w:color w:val="000000"/>
          </w:rPr>
          <w:t xml:space="preserve">II.7.20</w:t>
        </w:r>
      </w:hyperlink>
      <w:r>
        <w:rPr>
          <w:b w:val="0"/>
          <w:i w:val="0"/>
        </w:rPr>
        <w:t xml:space="preserve">. See </w:t>
      </w:r>
      <w:hyperlink w:anchor="common-and-proper">
        <w:r>
          <w:rPr>
            <w:color w:val="000000"/>
          </w:rPr>
          <w:t xml:space="preserve">Common and proper</w:t>
        </w:r>
      </w:hyperlink>
      <w:r>
        <w:rPr>
          <w:b w:val="0"/>
          <w:i w:val="0"/>
        </w:rPr>
        <w:t>.</w:t>
      </w:r>
    </w:p>
    <w:p>
      <w:pPr>
        <w:keepNext/>
        <w:widowControl/>
      </w:pPr>
      <w:bookmarkStart w:id="523" w:name="latin-record-0272"/>
      <w:bookmarkEnd w:id="523"/>
      <w:r>
        <w:rPr>
          <w:b/>
          <w:i w:val="0"/>
        </w:rPr>
        <w:t>conversio / profectio</w:t>
      </w:r>
      <w:r>
        <w:rPr>
          <w:b/>
          <w:i w:val="0"/>
        </w:rPr>
        <w:t>.</w:t>
      </w:r>
      <w:r>
        <w:rPr>
          <w:b w:val="0"/>
          <w:i w:val="0"/>
        </w:rPr>
        <w:t xml:space="preserve"> Printed forms: </w:t>
      </w:r>
      <w:r>
        <w:rPr>
          <w:b w:val="0"/>
          <w:i/>
        </w:rPr>
        <w:t>conversio</w:t>
      </w:r>
      <w:r>
        <w:rPr>
          <w:b w:val="0"/>
          <w:i w:val="0"/>
        </w:rPr>
        <w:t xml:space="preserve">; </w:t>
      </w:r>
      <w:r>
        <w:rPr>
          <w:b w:val="0"/>
          <w:i/>
        </w:rPr>
        <w:t>convertuntur</w:t>
      </w:r>
      <w:r>
        <w:rPr>
          <w:b w:val="0"/>
          <w:i w:val="0"/>
        </w:rPr>
        <w:t xml:space="preserve">; </w:t>
      </w:r>
      <w:r>
        <w:rPr>
          <w:b w:val="0"/>
          <w:i/>
        </w:rPr>
        <w:t>procedunt</w:t>
      </w:r>
      <w:r>
        <w:rPr>
          <w:b w:val="0"/>
          <w:i w:val="0"/>
        </w:rPr>
        <w:t xml:space="preserve">; </w:t>
      </w:r>
      <w:r>
        <w:rPr>
          <w:b w:val="0"/>
          <w:i/>
        </w:rPr>
        <w:t>profectio</w:t>
      </w:r>
      <w:r>
        <w:rPr>
          <w:b w:val="0"/>
          <w:i w:val="0"/>
        </w:rPr>
        <w:t>.</w:t>
      </w:r>
    </w:p>
    <w:p>
      <w:pPr>
        <w:widowControl/>
      </w:pPr>
      <w:r>
        <w:rPr>
          <w:b w:val="0"/>
          <w:i w:val="0"/>
        </w:rPr>
        <w:t xml:space="preserve">Turning toward and proceeding from a source. Ficino correlates the universal desire for the Good with universal origin from it, distinguishing the Good’s range from mind’s. References: </w:t>
      </w:r>
      <w:hyperlink w:anchor="passage-i-6-16">
        <w:r>
          <w:rPr>
            <w:color w:val="000000"/>
          </w:rPr>
          <w:t xml:space="preserve">I.6.16</w:t>
        </w:r>
      </w:hyperlink>
      <w:r>
        <w:rPr>
          <w:b w:val="0"/>
          <w:i w:val="0"/>
        </w:rPr>
        <w:t xml:space="preserve">. See </w:t>
      </w:r>
      <w:hyperlink w:anchor="procession-and-return">
        <w:r>
          <w:rPr>
            <w:color w:val="000000"/>
          </w:rPr>
          <w:t xml:space="preserve">Procession and return</w:t>
        </w:r>
      </w:hyperlink>
      <w:r>
        <w:rPr>
          <w:b w:val="0"/>
          <w:i w:val="0"/>
        </w:rPr>
        <w:t>.</w:t>
      </w:r>
    </w:p>
    <w:p>
      <w:pPr>
        <w:keepNext/>
        <w:widowControl/>
      </w:pPr>
      <w:bookmarkStart w:id="524" w:name="latin-record-0273"/>
      <w:bookmarkEnd w:id="524"/>
      <w:r>
        <w:rPr>
          <w:b/>
          <w:i w:val="0"/>
        </w:rPr>
        <w:t>convertere / reverti</w:t>
      </w:r>
      <w:r>
        <w:rPr>
          <w:b/>
          <w:i w:val="0"/>
        </w:rPr>
        <w:t>.</w:t>
      </w:r>
      <w:r>
        <w:rPr>
          <w:b w:val="0"/>
          <w:i w:val="0"/>
        </w:rPr>
        <w:t xml:space="preserve"> Printed forms: </w:t>
      </w:r>
      <w:r>
        <w:rPr>
          <w:b w:val="0"/>
          <w:i/>
        </w:rPr>
        <w:t>conversa</w:t>
      </w:r>
      <w:r>
        <w:rPr>
          <w:b w:val="0"/>
          <w:i w:val="0"/>
        </w:rPr>
        <w:t xml:space="preserve">; </w:t>
      </w:r>
      <w:r>
        <w:rPr>
          <w:b w:val="0"/>
          <w:i/>
        </w:rPr>
        <w:t>reverti</w:t>
      </w:r>
      <w:r>
        <w:rPr>
          <w:b w:val="0"/>
          <w:i w:val="0"/>
        </w:rPr>
        <w:t xml:space="preserve">; </w:t>
      </w:r>
      <w:r>
        <w:rPr>
          <w:b w:val="0"/>
          <w:i/>
        </w:rPr>
        <w:t>revertitur</w:t>
      </w:r>
      <w:r>
        <w:rPr>
          <w:b w:val="0"/>
          <w:i w:val="0"/>
        </w:rPr>
        <w:t>.</w:t>
      </w:r>
    </w:p>
    <w:p>
      <w:pPr>
        <w:widowControl/>
      </w:pPr>
      <w:r>
        <w:rPr>
          <w:b w:val="0"/>
          <w:i w:val="0"/>
        </w:rPr>
        <w:t xml:space="preserve">To turn toward or return. Reason turned toward mind sees principles together; recurrence of effects and local return in finite space are different kinds of return. References: </w:t>
      </w:r>
      <w:hyperlink w:anchor="passage-iv-2-12">
        <w:r>
          <w:rPr>
            <w:color w:val="000000"/>
          </w:rPr>
          <w:t xml:space="preserve">IV.2.12</w:t>
        </w:r>
      </w:hyperlink>
      <w:r>
        <w:rPr>
          <w:b w:val="0"/>
          <w:i w:val="0"/>
        </w:rPr>
        <w:t xml:space="preserve">, </w:t>
      </w:r>
      <w:hyperlink w:anchor="passage-iv-2-22">
        <w:r>
          <w:rPr>
            <w:color w:val="000000"/>
          </w:rPr>
          <w:t xml:space="preserve">IV.2.22</w:t>
        </w:r>
      </w:hyperlink>
      <w:r>
        <w:rPr>
          <w:b w:val="0"/>
          <w:i w:val="0"/>
        </w:rPr>
        <w:t xml:space="preserve">. See </w:t>
      </w:r>
      <w:hyperlink w:anchor="circularity-and-return">
        <w:r>
          <w:rPr>
            <w:color w:val="000000"/>
          </w:rPr>
          <w:t xml:space="preserve">Circularity and return</w:t>
        </w:r>
      </w:hyperlink>
      <w:r>
        <w:rPr>
          <w:b w:val="0"/>
          <w:i w:val="0"/>
        </w:rPr>
        <w:t>.</w:t>
      </w:r>
    </w:p>
    <w:p>
      <w:pPr>
        <w:keepNext/>
        <w:widowControl/>
      </w:pPr>
      <w:bookmarkStart w:id="525" w:name="latin-record-0274"/>
      <w:bookmarkEnd w:id="525"/>
      <w:r>
        <w:rPr>
          <w:b/>
          <w:i w:val="0"/>
        </w:rPr>
        <w:t>convertere / reverti / converso</w:t>
      </w:r>
      <w:r>
        <w:rPr>
          <w:b/>
          <w:i w:val="0"/>
        </w:rPr>
        <w:t>.</w:t>
      </w:r>
      <w:r>
        <w:rPr>
          <w:b w:val="0"/>
          <w:i w:val="0"/>
        </w:rPr>
        <w:t xml:space="preserve"> Printed forms: </w:t>
      </w:r>
      <w:r>
        <w:rPr>
          <w:b w:val="0"/>
          <w:i/>
        </w:rPr>
        <w:t>converso</w:t>
      </w:r>
      <w:r>
        <w:rPr>
          <w:b w:val="0"/>
          <w:i w:val="0"/>
        </w:rPr>
        <w:t xml:space="preserve">; </w:t>
      </w:r>
      <w:r>
        <w:rPr>
          <w:b w:val="0"/>
          <w:i/>
        </w:rPr>
        <w:t>converterentur</w:t>
      </w:r>
      <w:r>
        <w:rPr>
          <w:b w:val="0"/>
          <w:i w:val="0"/>
        </w:rPr>
        <w:t xml:space="preserve">; </w:t>
      </w:r>
      <w:r>
        <w:rPr>
          <w:b w:val="0"/>
          <w:i/>
        </w:rPr>
        <w:t>revertamur</w:t>
      </w:r>
      <w:r>
        <w:rPr>
          <w:b w:val="0"/>
          <w:i w:val="0"/>
        </w:rPr>
        <w:t>.</w:t>
      </w:r>
    </w:p>
    <w:p>
      <w:pPr>
        <w:widowControl/>
      </w:pPr>
      <w:r>
        <w:rPr>
          <w:b w:val="0"/>
          <w:i w:val="0"/>
        </w:rPr>
        <w:t xml:space="preserve">Conversely, turning toward, or returning, with logical and directional senses distinguished. Converso reverses a statement; revertamur closes the mental-presence excursus and returns the exposition to God. References: </w:t>
      </w:r>
      <w:hyperlink w:anchor="passage-ii-6-13">
        <w:r>
          <w:rPr>
            <w:color w:val="000000"/>
          </w:rPr>
          <w:t xml:space="preserve">II.6.13</w:t>
        </w:r>
      </w:hyperlink>
      <w:r>
        <w:rPr>
          <w:b w:val="0"/>
          <w:i w:val="0"/>
        </w:rPr>
        <w:t xml:space="preserve">, </w:t>
      </w:r>
      <w:hyperlink w:anchor="passage-ii-6-24">
        <w:r>
          <w:rPr>
            <w:color w:val="000000"/>
          </w:rPr>
          <w:t xml:space="preserve">II.6.24</w:t>
        </w:r>
      </w:hyperlink>
      <w:r>
        <w:rPr>
          <w:b w:val="0"/>
          <w:i w:val="0"/>
        </w:rPr>
        <w:t xml:space="preserve">, </w:t>
      </w:r>
      <w:hyperlink w:anchor="passage-ii-7-16">
        <w:r>
          <w:rPr>
            <w:color w:val="000000"/>
          </w:rPr>
          <w:t xml:space="preserve">II.7.16</w:t>
        </w:r>
      </w:hyperlink>
      <w:r>
        <w:rPr>
          <w:b w:val="0"/>
          <w:i w:val="0"/>
        </w:rPr>
        <w:t xml:space="preserve">. See </w:t>
      </w:r>
      <w:hyperlink w:anchor="procession-and-return">
        <w:r>
          <w:rPr>
            <w:color w:val="000000"/>
          </w:rPr>
          <w:t xml:space="preserve">Procession and return</w:t>
        </w:r>
      </w:hyperlink>
      <w:r>
        <w:rPr>
          <w:b w:val="0"/>
          <w:i w:val="0"/>
        </w:rPr>
        <w:t>.</w:t>
      </w:r>
    </w:p>
    <w:p>
      <w:pPr>
        <w:keepNext/>
        <w:widowControl/>
      </w:pPr>
      <w:bookmarkStart w:id="526" w:name="latin-record-0275"/>
      <w:bookmarkEnd w:id="526"/>
      <w:r>
        <w:rPr>
          <w:b/>
          <w:i w:val="0"/>
        </w:rPr>
        <w:t>convolvi / revolvi</w:t>
      </w:r>
      <w:r>
        <w:rPr>
          <w:b/>
          <w:i w:val="0"/>
        </w:rPr>
        <w:t>.</w:t>
      </w:r>
      <w:r>
        <w:rPr>
          <w:b w:val="0"/>
          <w:i w:val="0"/>
        </w:rPr>
        <w:t xml:space="preserve"> Printed forms: </w:t>
      </w:r>
      <w:r>
        <w:rPr>
          <w:b w:val="0"/>
          <w:i/>
        </w:rPr>
        <w:t>convolvitur</w:t>
      </w:r>
      <w:r>
        <w:rPr>
          <w:b w:val="0"/>
          <w:i w:val="0"/>
        </w:rPr>
        <w:t xml:space="preserve">; </w:t>
      </w:r>
      <w:r>
        <w:rPr>
          <w:b w:val="0"/>
          <w:i/>
        </w:rPr>
        <w:t>revolvitur</w:t>
      </w:r>
      <w:r>
        <w:rPr>
          <w:b w:val="0"/>
          <w:i w:val="0"/>
        </w:rPr>
        <w:t>.</w:t>
      </w:r>
    </w:p>
    <w:p>
      <w:pPr>
        <w:widowControl/>
      </w:pPr>
      <w:r>
        <w:rPr>
          <w:b w:val="0"/>
          <w:i w:val="0"/>
        </w:rPr>
        <w:t xml:space="preserve">To coil or turn around. The world revolves within divine presence where its finite motion is prescribed, rather than traveling toward an absent God. References: </w:t>
      </w:r>
      <w:hyperlink w:anchor="passage-ii-6-14">
        <w:r>
          <w:rPr>
            <w:color w:val="000000"/>
          </w:rPr>
          <w:t xml:space="preserve">II.6.14</w:t>
        </w:r>
      </w:hyperlink>
      <w:r>
        <w:rPr>
          <w:b w:val="0"/>
          <w:i w:val="0"/>
        </w:rPr>
        <w:t xml:space="preserve">. See </w:t>
      </w:r>
      <w:hyperlink w:anchor="circularity-and-return">
        <w:r>
          <w:rPr>
            <w:color w:val="000000"/>
          </w:rPr>
          <w:t xml:space="preserve">Circularity and return</w:t>
        </w:r>
      </w:hyperlink>
      <w:r>
        <w:rPr>
          <w:b w:val="0"/>
          <w:i w:val="0"/>
        </w:rPr>
        <w:t>.</w:t>
      </w:r>
    </w:p>
    <w:p>
      <w:pPr>
        <w:keepNext/>
        <w:widowControl/>
      </w:pPr>
      <w:bookmarkStart w:id="527" w:name="latin-record-0276"/>
      <w:bookmarkEnd w:id="527"/>
      <w:r>
        <w:rPr>
          <w:b/>
          <w:i w:val="0"/>
        </w:rPr>
        <w:t>copulo / conspiratio</w:t>
      </w:r>
      <w:r>
        <w:rPr>
          <w:b/>
          <w:i w:val="0"/>
        </w:rPr>
        <w:t>.</w:t>
      </w:r>
      <w:r>
        <w:rPr>
          <w:b w:val="0"/>
          <w:i w:val="0"/>
        </w:rPr>
        <w:t xml:space="preserve"> Printed forms: </w:t>
      </w:r>
      <w:r>
        <w:rPr>
          <w:b w:val="0"/>
          <w:i/>
        </w:rPr>
        <w:t>conspirationis</w:t>
      </w:r>
      <w:r>
        <w:rPr>
          <w:b w:val="0"/>
          <w:i w:val="0"/>
        </w:rPr>
        <w:t xml:space="preserve">; </w:t>
      </w:r>
      <w:r>
        <w:rPr>
          <w:b w:val="0"/>
          <w:i/>
        </w:rPr>
        <w:t>copula</w:t>
      </w:r>
      <w:r>
        <w:rPr>
          <w:b w:val="0"/>
          <w:i w:val="0"/>
        </w:rPr>
        <w:t xml:space="preserve">; </w:t>
      </w:r>
      <w:r>
        <w:rPr>
          <w:b w:val="0"/>
          <w:i/>
        </w:rPr>
        <w:t>copulante</w:t>
      </w:r>
      <w:r>
        <w:rPr>
          <w:b w:val="0"/>
          <w:i w:val="0"/>
        </w:rPr>
        <w:t>.</w:t>
      </w:r>
    </w:p>
    <w:p>
      <w:pPr>
        <w:widowControl/>
      </w:pPr>
      <w:r>
        <w:rPr>
          <w:b w:val="0"/>
          <w:i w:val="0"/>
        </w:rPr>
        <w:t xml:space="preserve">Binding together and concord. The unity of a bodily whole is attributed to an additional incorporeal cause rather than to ununified plurality itself. References: </w:t>
      </w:r>
      <w:hyperlink w:anchor="passage-i-3-30">
        <w:r>
          <w:rPr>
            <w:color w:val="000000"/>
          </w:rPr>
          <w:t xml:space="preserve">I.3.30</w:t>
        </w:r>
      </w:hyperlink>
      <w:r>
        <w:rPr>
          <w:b w:val="0"/>
          <w:i w:val="0"/>
        </w:rPr>
        <w:t xml:space="preserve">, </w:t>
      </w:r>
      <w:hyperlink w:anchor="passage-i-3-31">
        <w:r>
          <w:rPr>
            <w:color w:val="000000"/>
          </w:rPr>
          <w:t xml:space="preserve">I.3.31</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528" w:name="latin-record-0277"/>
      <w:bookmarkEnd w:id="528"/>
      <w:r>
        <w:rPr>
          <w:b/>
          <w:i w:val="0"/>
        </w:rPr>
        <w:t>cor / principalis stella</w:t>
      </w:r>
      <w:r>
        <w:rPr>
          <w:b/>
          <w:i w:val="0"/>
        </w:rPr>
        <w:t>.</w:t>
      </w:r>
      <w:r>
        <w:rPr>
          <w:b w:val="0"/>
          <w:i w:val="0"/>
        </w:rPr>
        <w:t xml:space="preserve"> Printed forms: </w:t>
      </w:r>
      <w:r>
        <w:rPr>
          <w:b w:val="0"/>
          <w:i/>
        </w:rPr>
        <w:t>cor</w:t>
      </w:r>
      <w:r>
        <w:rPr>
          <w:b w:val="0"/>
          <w:i w:val="0"/>
        </w:rPr>
        <w:t xml:space="preserve">; </w:t>
      </w:r>
      <w:r>
        <w:rPr>
          <w:b w:val="0"/>
          <w:i/>
        </w:rPr>
        <w:t>corde</w:t>
      </w:r>
      <w:r>
        <w:rPr>
          <w:b w:val="0"/>
          <w:i w:val="0"/>
        </w:rPr>
        <w:t xml:space="preserve">; </w:t>
      </w:r>
      <w:r>
        <w:rPr>
          <w:b w:val="0"/>
          <w:i/>
        </w:rPr>
        <w:t>stella</w:t>
      </w:r>
      <w:r>
        <w:rPr>
          <w:b w:val="0"/>
          <w:i w:val="0"/>
        </w:rPr>
        <w:t>.</w:t>
      </w:r>
    </w:p>
    <w:p>
      <w:pPr>
        <w:widowControl/>
      </w:pPr>
      <w:r>
        <w:rPr>
          <w:b w:val="0"/>
          <w:i w:val="0"/>
        </w:rPr>
        <w:t xml:space="preserve">Heart; a principal star serving as a ruling center. Each zodiacal creature is pictured with a star-heart where its principal soul lives. References: </w:t>
      </w:r>
      <w:hyperlink w:anchor="passage-iv-1-43">
        <w:r>
          <w:rPr>
            <w:color w:val="000000"/>
          </w:rPr>
          <w:t xml:space="preserve">IV.1.43</w:t>
        </w:r>
      </w:hyperlink>
      <w:r>
        <w:rPr>
          <w:b w:val="0"/>
          <w:i w:val="0"/>
        </w:rPr>
        <w:t xml:space="preserve">. See </w:t>
      </w:r>
      <w:hyperlink w:anchor="zodiac">
        <w:r>
          <w:rPr>
            <w:color w:val="000000"/>
          </w:rPr>
          <w:t xml:space="preserve">Zodiac</w:t>
        </w:r>
      </w:hyperlink>
      <w:r>
        <w:rPr>
          <w:b w:val="0"/>
          <w:i w:val="0"/>
        </w:rPr>
        <w:t>.</w:t>
      </w:r>
    </w:p>
    <w:p>
      <w:pPr>
        <w:keepNext/>
        <w:widowControl/>
      </w:pPr>
      <w:bookmarkStart w:id="529" w:name="latin-record-0278"/>
      <w:bookmarkEnd w:id="529"/>
      <w:r>
        <w:rPr>
          <w:b/>
          <w:i w:val="0"/>
        </w:rPr>
        <w:t>cor / putare</w:t>
      </w:r>
      <w:r>
        <w:rPr>
          <w:b/>
          <w:i w:val="0"/>
        </w:rPr>
        <w:t>.</w:t>
      </w:r>
      <w:r>
        <w:rPr>
          <w:b w:val="0"/>
          <w:i w:val="0"/>
        </w:rPr>
        <w:t xml:space="preserve"> Printed forms: </w:t>
      </w:r>
      <w:r>
        <w:rPr>
          <w:b w:val="0"/>
          <w:i/>
        </w:rPr>
        <w:t>corde</w:t>
      </w:r>
      <w:r>
        <w:rPr>
          <w:b w:val="0"/>
          <w:i w:val="0"/>
        </w:rPr>
        <w:t xml:space="preserve">; </w:t>
      </w:r>
      <w:r>
        <w:rPr>
          <w:b w:val="0"/>
          <w:i/>
        </w:rPr>
        <w:t>putat</w:t>
      </w:r>
      <w:r>
        <w:rPr>
          <w:b w:val="0"/>
          <w:i w:val="0"/>
        </w:rPr>
        <w:t xml:space="preserve">; </w:t>
      </w:r>
      <w:r>
        <w:rPr>
          <w:b w:val="0"/>
          <w:i/>
        </w:rPr>
        <w:t>putet</w:t>
      </w:r>
      <w:r>
        <w:rPr>
          <w:b w:val="0"/>
          <w:i w:val="0"/>
        </w:rPr>
        <w:t>.</w:t>
      </w:r>
    </w:p>
    <w:p>
      <w:pPr>
        <w:widowControl/>
      </w:pPr>
      <w:r>
        <w:rPr>
          <w:b w:val="0"/>
          <w:i w:val="0"/>
        </w:rPr>
        <w:t xml:space="preserve">Heart; to think or suppose. The heart illustration separates a mind’s belief about its location from the theory’s claim about its actual presence. References: </w:t>
      </w:r>
      <w:hyperlink w:anchor="passage-ii-6-24">
        <w:r>
          <w:rPr>
            <w:color w:val="000000"/>
          </w:rPr>
          <w:t xml:space="preserve">II.6.24</w:t>
        </w:r>
      </w:hyperlink>
      <w:r>
        <w:rPr>
          <w:b w:val="0"/>
          <w:i w:val="0"/>
        </w:rPr>
        <w:t xml:space="preserve">. See </w:t>
      </w:r>
      <w:hyperlink w:anchor="heart-and-mistaken-location">
        <w:r>
          <w:rPr>
            <w:color w:val="000000"/>
          </w:rPr>
          <w:t xml:space="preserve">Heart and mistaken location</w:t>
        </w:r>
      </w:hyperlink>
      <w:r>
        <w:rPr>
          <w:b w:val="0"/>
          <w:i w:val="0"/>
        </w:rPr>
        <w:t>.</w:t>
      </w:r>
    </w:p>
    <w:p>
      <w:pPr>
        <w:keepNext/>
        <w:widowControl/>
      </w:pPr>
      <w:bookmarkStart w:id="530" w:name="latin-record-0279"/>
      <w:bookmarkEnd w:id="530"/>
      <w:r>
        <w:rPr>
          <w:b/>
          <w:i w:val="0"/>
        </w:rPr>
        <w:t>Corneola / Onyx / Corallus</w:t>
      </w:r>
      <w:r>
        <w:rPr>
          <w:b/>
          <w:i w:val="0"/>
        </w:rPr>
        <w:t>.</w:t>
      </w:r>
      <w:r>
        <w:rPr>
          <w:b w:val="0"/>
          <w:i w:val="0"/>
        </w:rPr>
        <w:t xml:space="preserve"> Printed forms: </w:t>
      </w:r>
      <w:r>
        <w:rPr>
          <w:b w:val="0"/>
          <w:i/>
        </w:rPr>
        <w:t>Corallus</w:t>
      </w:r>
      <w:r>
        <w:rPr>
          <w:b w:val="0"/>
          <w:i w:val="0"/>
        </w:rPr>
        <w:t xml:space="preserve">; </w:t>
      </w:r>
      <w:r>
        <w:rPr>
          <w:b w:val="0"/>
          <w:i/>
        </w:rPr>
        <w:t>Corneola</w:t>
      </w:r>
      <w:r>
        <w:rPr>
          <w:b w:val="0"/>
          <w:i w:val="0"/>
        </w:rPr>
        <w:t xml:space="preserve">; </w:t>
      </w:r>
      <w:r>
        <w:rPr>
          <w:b w:val="0"/>
          <w:i/>
        </w:rPr>
        <w:t>Onyx</w:t>
      </w:r>
      <w:r>
        <w:rPr>
          <w:b w:val="0"/>
          <w:i w:val="0"/>
        </w:rPr>
        <w:t>.</w:t>
      </w:r>
    </w:p>
    <w:p>
      <w:pPr>
        <w:widowControl/>
      </w:pPr>
      <w:r>
        <w:rPr>
          <w:b w:val="0"/>
          <w:i w:val="0"/>
        </w:rPr>
        <w:t xml:space="preserve">Carnelian, onyx, and coral in the source’s nomenclature. Their alleged effects differ: checking blood and anger, kindling anger and dream-terror, and repelling terrors and storms. References: </w:t>
      </w:r>
      <w:hyperlink w:anchor="passage-iv-1-21">
        <w:r>
          <w:rPr>
            <w:color w:val="000000"/>
          </w:rPr>
          <w:t xml:space="preserve">IV.1.21</w:t>
        </w:r>
      </w:hyperlink>
      <w:r>
        <w:rPr>
          <w:b w:val="0"/>
          <w:i w:val="0"/>
        </w:rPr>
        <w:t xml:space="preserve">. See </w:t>
      </w:r>
      <w:hyperlink w:anchor="hierobotanum-and-mineral-powers">
        <w:r>
          <w:rPr>
            <w:color w:val="000000"/>
          </w:rPr>
          <w:t xml:space="preserve">Hierobotanum and mineral powers</w:t>
        </w:r>
      </w:hyperlink>
      <w:r>
        <w:rPr>
          <w:b w:val="0"/>
          <w:i w:val="0"/>
        </w:rPr>
        <w:t>.</w:t>
      </w:r>
    </w:p>
    <w:p>
      <w:pPr>
        <w:keepNext/>
        <w:widowControl/>
      </w:pPr>
      <w:bookmarkStart w:id="531" w:name="latin-record-0280"/>
      <w:bookmarkEnd w:id="531"/>
      <w:r>
        <w:rPr>
          <w:b/>
          <w:i w:val="0"/>
        </w:rPr>
        <w:t>coronare / vulnerare</w:t>
      </w:r>
      <w:r>
        <w:rPr>
          <w:b/>
          <w:i w:val="0"/>
        </w:rPr>
        <w:t>.</w:t>
      </w:r>
      <w:r>
        <w:rPr>
          <w:b w:val="0"/>
          <w:i w:val="0"/>
        </w:rPr>
        <w:t xml:space="preserve"> Printed forms: </w:t>
      </w:r>
      <w:r>
        <w:rPr>
          <w:b w:val="0"/>
          <w:i/>
        </w:rPr>
        <w:t>coronabant</w:t>
      </w:r>
      <w:r>
        <w:rPr>
          <w:b w:val="0"/>
          <w:i w:val="0"/>
        </w:rPr>
        <w:t xml:space="preserve">; </w:t>
      </w:r>
      <w:r>
        <w:rPr>
          <w:b w:val="0"/>
          <w:i/>
        </w:rPr>
        <w:t>vulnerabant</w:t>
      </w:r>
      <w:r>
        <w:rPr>
          <w:b w:val="0"/>
          <w:i w:val="0"/>
        </w:rPr>
        <w:t>.</w:t>
      </w:r>
    </w:p>
    <w:p>
      <w:pPr>
        <w:widowControl/>
      </w:pPr>
      <w:r>
        <w:rPr>
          <w:b w:val="0"/>
          <w:i w:val="0"/>
        </w:rPr>
        <w:t xml:space="preserve">Crown / wound. The contrasting actions belong to the display’s figures; they are reported features, not recommendations about human conduct. References: </w:t>
      </w:r>
      <w:hyperlink w:anchor="passage-ii-13-13">
        <w:r>
          <w:rPr>
            <w:color w:val="000000"/>
          </w:rPr>
          <w:t xml:space="preserve">II.13.13</w:t>
        </w:r>
      </w:hyperlink>
      <w:r>
        <w:rPr>
          <w:b w:val="0"/>
          <w:i w:val="0"/>
        </w:rPr>
        <w:t xml:space="preserve">. See </w:t>
      </w:r>
      <w:hyperlink w:anchor="florentine-mechanism">
        <w:r>
          <w:rPr>
            <w:color w:val="000000"/>
          </w:rPr>
          <w:t xml:space="preserve">Florentine mechanism</w:t>
        </w:r>
      </w:hyperlink>
      <w:r>
        <w:rPr>
          <w:b w:val="0"/>
          <w:i w:val="0"/>
        </w:rPr>
        <w:t>.</w:t>
      </w:r>
    </w:p>
    <w:p>
      <w:pPr>
        <w:keepNext/>
        <w:widowControl/>
      </w:pPr>
      <w:bookmarkStart w:id="532" w:name="latin-record-0281"/>
      <w:bookmarkEnd w:id="532"/>
      <w:r>
        <w:rPr>
          <w:b/>
          <w:i w:val="0"/>
        </w:rPr>
        <w:t>corpus / corporalis</w:t>
      </w:r>
      <w:r>
        <w:rPr>
          <w:b/>
          <w:i w:val="0"/>
        </w:rPr>
        <w:t>.</w:t>
      </w:r>
      <w:r>
        <w:rPr>
          <w:b w:val="0"/>
          <w:i w:val="0"/>
        </w:rPr>
        <w:t xml:space="preserve"> Printed forms: </w:t>
      </w:r>
      <w:r>
        <w:rPr>
          <w:b w:val="0"/>
          <w:i/>
        </w:rPr>
        <w:t>corpora</w:t>
      </w:r>
      <w:r>
        <w:rPr>
          <w:b w:val="0"/>
          <w:i w:val="0"/>
        </w:rPr>
        <w:t xml:space="preserve">; </w:t>
      </w:r>
      <w:r>
        <w:rPr>
          <w:b w:val="0"/>
          <w:i/>
        </w:rPr>
        <w:t>corporalis</w:t>
      </w:r>
      <w:r>
        <w:rPr>
          <w:b w:val="0"/>
          <w:i w:val="0"/>
        </w:rPr>
        <w:t xml:space="preserve">; </w:t>
      </w:r>
      <w:r>
        <w:rPr>
          <w:b w:val="0"/>
          <w:i/>
        </w:rPr>
        <w:t>corpori</w:t>
      </w:r>
      <w:r>
        <w:rPr>
          <w:b w:val="0"/>
          <w:i w:val="0"/>
        </w:rPr>
        <w:t xml:space="preserve">; </w:t>
      </w:r>
      <w:r>
        <w:rPr>
          <w:b w:val="0"/>
          <w:i/>
        </w:rPr>
        <w:t>corporibus</w:t>
      </w:r>
      <w:r>
        <w:rPr>
          <w:b w:val="0"/>
          <w:i w:val="0"/>
        </w:rPr>
        <w:t xml:space="preserve">; </w:t>
      </w:r>
      <w:r>
        <w:rPr>
          <w:b w:val="0"/>
          <w:i/>
        </w:rPr>
        <w:t>corporis</w:t>
      </w:r>
      <w:r>
        <w:rPr>
          <w:b w:val="0"/>
          <w:i w:val="0"/>
        </w:rPr>
        <w:t xml:space="preserve">; </w:t>
      </w:r>
      <w:r>
        <w:rPr>
          <w:b w:val="0"/>
          <w:i/>
        </w:rPr>
        <w:t>corpus</w:t>
      </w:r>
      <w:r>
        <w:rPr>
          <w:b w:val="0"/>
          <w:i w:val="0"/>
        </w:rPr>
        <w:t>.</w:t>
      </w:r>
    </w:p>
    <w:p>
      <w:pPr>
        <w:widowControl/>
      </w:pPr>
      <w:r>
        <w:rPr>
          <w:b w:val="0"/>
          <w:i w:val="0"/>
        </w:rPr>
        <w:t xml:space="preserve">Body and bodily, extended subjects distinguished from incorporeal efficacy. Bodily contact is dimensional; bodily instability points to a sustaining incorporeal source. References: </w:t>
      </w:r>
      <w:hyperlink w:anchor="passage-ii-6-1">
        <w:r>
          <w:rPr>
            <w:color w:val="000000"/>
          </w:rPr>
          <w:t xml:space="preserve">II.6.1</w:t>
        </w:r>
      </w:hyperlink>
      <w:r>
        <w:rPr>
          <w:b w:val="0"/>
          <w:i w:val="0"/>
        </w:rPr>
        <w:t xml:space="preserve">, </w:t>
      </w:r>
      <w:hyperlink w:anchor="passage-ii-6-4">
        <w:r>
          <w:rPr>
            <w:color w:val="000000"/>
          </w:rPr>
          <w:t xml:space="preserve">II.6.4</w:t>
        </w:r>
      </w:hyperlink>
      <w:r>
        <w:rPr>
          <w:b w:val="0"/>
          <w:i w:val="0"/>
        </w:rPr>
        <w:t xml:space="preserve">, </w:t>
      </w:r>
      <w:hyperlink w:anchor="passage-ii-7-8">
        <w:r>
          <w:rPr>
            <w:color w:val="000000"/>
          </w:rPr>
          <w:t xml:space="preserve">II.7.8</w:t>
        </w:r>
      </w:hyperlink>
      <w:r>
        <w:rPr>
          <w:b w:val="0"/>
          <w:i w:val="0"/>
        </w:rPr>
        <w:t xml:space="preserve">. See </w:t>
      </w:r>
      <w:hyperlink w:anchor="body-and-bulk">
        <w:r>
          <w:rPr>
            <w:color w:val="000000"/>
          </w:rPr>
          <w:t xml:space="preserve">Body and bulk</w:t>
        </w:r>
      </w:hyperlink>
      <w:r>
        <w:rPr>
          <w:b w:val="0"/>
          <w:i w:val="0"/>
        </w:rPr>
        <w:t>.</w:t>
      </w:r>
    </w:p>
    <w:p>
      <w:pPr>
        <w:widowControl/>
      </w:pPr>
      <w:r>
        <w:rPr>
          <w:b w:val="0"/>
          <w:i w:val="0"/>
        </w:rPr>
        <w:t xml:space="preserve">Body / bodily. A body’s divided extension contrasts with soul’s mode of being wholly present to each part; corporalibus in III.2.29 remains textually delicate. References: </w:t>
      </w:r>
      <w:hyperlink w:anchor="passage-iii-2-9">
        <w:r>
          <w:rPr>
            <w:color w:val="000000"/>
          </w:rPr>
          <w:t xml:space="preserve">III.2.9</w:t>
        </w:r>
      </w:hyperlink>
      <w:r>
        <w:rPr>
          <w:b w:val="0"/>
          <w:i w:val="0"/>
        </w:rPr>
        <w:t xml:space="preserve">, </w:t>
      </w:r>
      <w:hyperlink w:anchor="passage-iii-2-11">
        <w:r>
          <w:rPr>
            <w:color w:val="000000"/>
          </w:rPr>
          <w:t xml:space="preserve">III.2.11</w:t>
        </w:r>
      </w:hyperlink>
      <w:r>
        <w:rPr>
          <w:b w:val="0"/>
          <w:i w:val="0"/>
        </w:rPr>
        <w:t xml:space="preserve">, </w:t>
      </w:r>
      <w:hyperlink w:anchor="passage-iii-2-29">
        <w:r>
          <w:rPr>
            <w:color w:val="000000"/>
          </w:rPr>
          <w:t xml:space="preserve">III.2.29</w:t>
        </w:r>
      </w:hyperlink>
      <w:r>
        <w:rPr>
          <w:b w:val="0"/>
          <w:i w:val="0"/>
        </w:rPr>
        <w:t xml:space="preserve">. See </w:t>
      </w:r>
      <w:hyperlink w:anchor="body-and-bulk">
        <w:r>
          <w:rPr>
            <w:color w:val="000000"/>
          </w:rPr>
          <w:t xml:space="preserve">Body and bulk</w:t>
        </w:r>
      </w:hyperlink>
      <w:r>
        <w:rPr>
          <w:b w:val="0"/>
          <w:i w:val="0"/>
        </w:rPr>
        <w:t>.</w:t>
      </w:r>
    </w:p>
    <w:p>
      <w:pPr>
        <w:keepNext/>
        <w:widowControl/>
      </w:pPr>
      <w:bookmarkStart w:id="533" w:name="latin-record-0282"/>
      <w:bookmarkEnd w:id="533"/>
      <w:r>
        <w:rPr>
          <w:b/>
          <w:i w:val="0"/>
        </w:rPr>
        <w:t>corruo / renascor</w:t>
      </w:r>
      <w:r>
        <w:rPr>
          <w:b/>
          <w:i w:val="0"/>
        </w:rPr>
        <w:t>.</w:t>
      </w:r>
      <w:r>
        <w:rPr>
          <w:b w:val="0"/>
          <w:i w:val="0"/>
        </w:rPr>
        <w:t xml:space="preserve"> Printed forms: </w:t>
      </w:r>
      <w:r>
        <w:rPr>
          <w:b w:val="0"/>
          <w:i/>
        </w:rPr>
        <w:t>corruunt</w:t>
      </w:r>
      <w:r>
        <w:rPr>
          <w:b w:val="0"/>
          <w:i w:val="0"/>
        </w:rPr>
        <w:t xml:space="preserve">; </w:t>
      </w:r>
      <w:r>
        <w:rPr>
          <w:b w:val="0"/>
          <w:i/>
        </w:rPr>
        <w:t>renasci</w:t>
      </w:r>
      <w:r>
        <w:rPr>
          <w:b w:val="0"/>
          <w:i w:val="0"/>
        </w:rPr>
        <w:t>.</w:t>
      </w:r>
    </w:p>
    <w:p>
      <w:pPr>
        <w:widowControl/>
      </w:pPr>
      <w:r>
        <w:rPr>
          <w:b w:val="0"/>
          <w:i w:val="0"/>
        </w:rPr>
        <w:t xml:space="preserve">To collapse and to arise again. If the first principle were extinguished, all things would collapse and no new beginning would be available; the scenario is counterfactual. References: </w:t>
      </w:r>
      <w:hyperlink w:anchor="passage-i-3-32">
        <w:r>
          <w:rPr>
            <w:color w:val="000000"/>
          </w:rPr>
          <w:t xml:space="preserve">I.3.32</w:t>
        </w:r>
      </w:hyperlink>
      <w:r>
        <w:rPr>
          <w:b w:val="0"/>
          <w:i w:val="0"/>
        </w:rPr>
        <w:t xml:space="preserve">. See </w:t>
      </w:r>
      <w:hyperlink w:anchor="principle">
        <w:r>
          <w:rPr>
            <w:color w:val="000000"/>
          </w:rPr>
          <w:t xml:space="preserve">Principle</w:t>
        </w:r>
      </w:hyperlink>
      <w:r>
        <w:rPr>
          <w:b w:val="0"/>
          <w:i w:val="0"/>
        </w:rPr>
        <w:t>.</w:t>
      </w:r>
    </w:p>
    <w:p>
      <w:pPr>
        <w:keepNext/>
        <w:widowControl/>
      </w:pPr>
      <w:bookmarkStart w:id="534" w:name="latin-record-0283"/>
      <w:bookmarkEnd w:id="534"/>
      <w:r>
        <w:rPr>
          <w:b/>
          <w:i w:val="0"/>
        </w:rPr>
        <w:t>creare / ex nihilo</w:t>
      </w:r>
      <w:r>
        <w:rPr>
          <w:b/>
          <w:i w:val="0"/>
        </w:rPr>
        <w:t>.</w:t>
      </w:r>
      <w:r>
        <w:rPr>
          <w:b w:val="0"/>
          <w:i w:val="0"/>
        </w:rPr>
        <w:t xml:space="preserve"> Printed forms: </w:t>
      </w:r>
      <w:r>
        <w:rPr>
          <w:b w:val="0"/>
          <w:i/>
        </w:rPr>
        <w:t>creat</w:t>
      </w:r>
      <w:r>
        <w:rPr>
          <w:b w:val="0"/>
          <w:i w:val="0"/>
        </w:rPr>
        <w:t xml:space="preserve">; </w:t>
      </w:r>
      <w:r>
        <w:rPr>
          <w:b w:val="0"/>
          <w:i/>
        </w:rPr>
        <w:t>creationis</w:t>
      </w:r>
      <w:r>
        <w:rPr>
          <w:b w:val="0"/>
          <w:i w:val="0"/>
        </w:rPr>
        <w:t xml:space="preserve">; </w:t>
      </w:r>
      <w:r>
        <w:rPr>
          <w:b w:val="0"/>
          <w:i/>
        </w:rPr>
        <w:t>ex nihilo</w:t>
      </w:r>
      <w:r>
        <w:rPr>
          <w:b w:val="0"/>
          <w:i w:val="0"/>
        </w:rPr>
        <w:t>.</w:t>
      </w:r>
    </w:p>
    <w:p>
      <w:pPr>
        <w:widowControl/>
      </w:pPr>
      <w:r>
        <w:rPr>
          <w:b w:val="0"/>
          <w:i w:val="0"/>
        </w:rPr>
        <w:t xml:space="preserve">To create without a prior subject, not merely alter existing material. Creation anew and continuing origination both require the power to give being without borrowed matter. References: </w:t>
      </w:r>
      <w:hyperlink w:anchor="passage-ii-4-6">
        <w:r>
          <w:rPr>
            <w:color w:val="000000"/>
          </w:rPr>
          <w:t xml:space="preserve">II.4.6</w:t>
        </w:r>
      </w:hyperlink>
      <w:r>
        <w:rPr>
          <w:b w:val="0"/>
          <w:i w:val="0"/>
        </w:rPr>
        <w:t xml:space="preserve">, </w:t>
      </w:r>
      <w:hyperlink w:anchor="passage-ii-6-2">
        <w:r>
          <w:rPr>
            <w:color w:val="000000"/>
          </w:rPr>
          <w:t xml:space="preserve">II.6.2</w:t>
        </w:r>
      </w:hyperlink>
      <w:r>
        <w:rPr>
          <w:b w:val="0"/>
          <w:i w:val="0"/>
        </w:rPr>
        <w:t xml:space="preserve">. See </w:t>
      </w:r>
      <w:hyperlink w:anchor="creation">
        <w:r>
          <w:rPr>
            <w:color w:val="000000"/>
          </w:rPr>
          <w:t xml:space="preserve">Creation</w:t>
        </w:r>
      </w:hyperlink>
      <w:r>
        <w:rPr>
          <w:b w:val="0"/>
          <w:i w:val="0"/>
        </w:rPr>
        <w:t>.</w:t>
      </w:r>
    </w:p>
    <w:p>
      <w:pPr>
        <w:keepNext/>
        <w:widowControl/>
      </w:pPr>
      <w:bookmarkStart w:id="535" w:name="latin-record-0284"/>
      <w:bookmarkEnd w:id="535"/>
      <w:r>
        <w:rPr>
          <w:b/>
          <w:i w:val="0"/>
        </w:rPr>
        <w:t>crescere / decrescere / minuere</w:t>
      </w:r>
      <w:r>
        <w:rPr>
          <w:b/>
          <w:i w:val="0"/>
        </w:rPr>
        <w:t>.</w:t>
      </w:r>
      <w:r>
        <w:rPr>
          <w:b w:val="0"/>
          <w:i w:val="0"/>
        </w:rPr>
        <w:t xml:space="preserve"> Printed forms: </w:t>
      </w:r>
      <w:r>
        <w:rPr>
          <w:b w:val="0"/>
          <w:i/>
        </w:rPr>
        <w:t>crescere</w:t>
      </w:r>
      <w:r>
        <w:rPr>
          <w:b w:val="0"/>
          <w:i w:val="0"/>
        </w:rPr>
        <w:t xml:space="preserve">; </w:t>
      </w:r>
      <w:r>
        <w:rPr>
          <w:b w:val="0"/>
          <w:i/>
        </w:rPr>
        <w:t>crescit</w:t>
      </w:r>
      <w:r>
        <w:rPr>
          <w:b w:val="0"/>
          <w:i w:val="0"/>
        </w:rPr>
        <w:t xml:space="preserve">; </w:t>
      </w:r>
      <w:r>
        <w:rPr>
          <w:b w:val="0"/>
          <w:i/>
        </w:rPr>
        <w:t>decrescere</w:t>
      </w:r>
      <w:r>
        <w:rPr>
          <w:b w:val="0"/>
          <w:i w:val="0"/>
        </w:rPr>
        <w:t xml:space="preserve">; </w:t>
      </w:r>
      <w:r>
        <w:rPr>
          <w:b w:val="0"/>
          <w:i/>
        </w:rPr>
        <w:t>minuatur</w:t>
      </w:r>
      <w:r>
        <w:rPr>
          <w:b w:val="0"/>
          <w:i w:val="0"/>
        </w:rPr>
        <w:t xml:space="preserve">; </w:t>
      </w:r>
      <w:r>
        <w:rPr>
          <w:b w:val="0"/>
          <w:i/>
        </w:rPr>
        <w:t>minuitur</w:t>
      </w:r>
      <w:r>
        <w:rPr>
          <w:b w:val="0"/>
          <w:i w:val="0"/>
        </w:rPr>
        <w:t>.</w:t>
      </w:r>
    </w:p>
    <w:p>
      <w:pPr>
        <w:widowControl/>
      </w:pPr>
      <w:r>
        <w:rPr>
          <w:b w:val="0"/>
          <w:i w:val="0"/>
        </w:rPr>
        <w:t xml:space="preserve">To increase, decrease, or diminish. Ascending perfection increases; descending power weakens; mixture would diminish the purity of supreme necessity. References: </w:t>
      </w:r>
      <w:hyperlink w:anchor="passage-ii-3-3">
        <w:r>
          <w:rPr>
            <w:color w:val="000000"/>
          </w:rPr>
          <w:t xml:space="preserve">II.3.3</w:t>
        </w:r>
      </w:hyperlink>
      <w:r>
        <w:rPr>
          <w:b w:val="0"/>
          <w:i w:val="0"/>
        </w:rPr>
        <w:t xml:space="preserve">, </w:t>
      </w:r>
      <w:hyperlink w:anchor="passage-ii-7-13">
        <w:r>
          <w:rPr>
            <w:color w:val="000000"/>
          </w:rPr>
          <w:t xml:space="preserve">II.7.13</w:t>
        </w:r>
      </w:hyperlink>
      <w:r>
        <w:rPr>
          <w:b w:val="0"/>
          <w:i w:val="0"/>
        </w:rPr>
        <w:t xml:space="preserve">. See </w:t>
      </w:r>
      <w:hyperlink w:anchor="measure-and-degree">
        <w:r>
          <w:rPr>
            <w:color w:val="000000"/>
          </w:rPr>
          <w:t xml:space="preserve">Measure and degree</w:t>
        </w:r>
      </w:hyperlink>
      <w:r>
        <w:rPr>
          <w:b w:val="0"/>
          <w:i w:val="0"/>
        </w:rPr>
        <w:t>.</w:t>
      </w:r>
    </w:p>
    <w:p>
      <w:pPr>
        <w:keepNext/>
        <w:widowControl/>
      </w:pPr>
      <w:bookmarkStart w:id="536" w:name="latin-record-0285"/>
      <w:bookmarkEnd w:id="536"/>
      <w:r>
        <w:rPr>
          <w:b/>
          <w:i w:val="0"/>
        </w:rPr>
        <w:t>culpare / deformis</w:t>
      </w:r>
      <w:r>
        <w:rPr>
          <w:b/>
          <w:i w:val="0"/>
        </w:rPr>
        <w:t>.</w:t>
      </w:r>
      <w:r>
        <w:rPr>
          <w:b w:val="0"/>
          <w:i w:val="0"/>
        </w:rPr>
        <w:t xml:space="preserve"> Printed forms: </w:t>
      </w:r>
      <w:r>
        <w:rPr>
          <w:b w:val="0"/>
          <w:i/>
        </w:rPr>
        <w:t>culpanda</w:t>
      </w:r>
      <w:r>
        <w:rPr>
          <w:b w:val="0"/>
          <w:i w:val="0"/>
        </w:rPr>
        <w:t xml:space="preserve">; </w:t>
      </w:r>
      <w:r>
        <w:rPr>
          <w:b w:val="0"/>
          <w:i/>
        </w:rPr>
        <w:t>deformia</w:t>
      </w:r>
      <w:r>
        <w:rPr>
          <w:b w:val="0"/>
          <w:i w:val="0"/>
        </w:rPr>
        <w:t>.</w:t>
      </w:r>
    </w:p>
    <w:p>
      <w:pPr>
        <w:widowControl/>
      </w:pPr>
      <w:r>
        <w:rPr>
          <w:b w:val="0"/>
          <w:i w:val="0"/>
        </w:rPr>
        <w:t xml:space="preserve">Find fault with / misshapen or unbeautiful. What appears blameworthy in isolation is evaluated by Ficino in relation to the whole’s order; the theological claim remains his. References: </w:t>
      </w:r>
      <w:hyperlink w:anchor="passage-ii-13-23">
        <w:r>
          <w:rPr>
            <w:color w:val="000000"/>
          </w:rPr>
          <w:t xml:space="preserve">II.13.23</w:t>
        </w:r>
      </w:hyperlink>
      <w:r>
        <w:rPr>
          <w:b w:val="0"/>
          <w:i w:val="0"/>
        </w:rPr>
        <w:t xml:space="preserve">, </w:t>
      </w:r>
      <w:hyperlink w:anchor="passage-ii-13-24">
        <w:r>
          <w:rPr>
            <w:color w:val="000000"/>
          </w:rPr>
          <w:t xml:space="preserve">II.13.24</w:t>
        </w:r>
      </w:hyperlink>
      <w:r>
        <w:rPr>
          <w:b w:val="0"/>
          <w:i w:val="0"/>
        </w:rPr>
        <w:t xml:space="preserve">. See </w:t>
      </w:r>
      <w:hyperlink w:anchor="beauty-and-fittingness">
        <w:r>
          <w:rPr>
            <w:color w:val="000000"/>
          </w:rPr>
          <w:t xml:space="preserve">Beauty and fittingness</w:t>
        </w:r>
      </w:hyperlink>
      <w:r>
        <w:rPr>
          <w:b w:val="0"/>
          <w:i w:val="0"/>
        </w:rPr>
        <w:t>.</w:t>
      </w:r>
    </w:p>
    <w:p>
      <w:pPr>
        <w:keepNext/>
        <w:widowControl/>
      </w:pPr>
      <w:bookmarkStart w:id="537" w:name="latin-record-0286"/>
      <w:bookmarkEnd w:id="537"/>
      <w:r>
        <w:rPr>
          <w:b/>
          <w:i w:val="0"/>
        </w:rPr>
        <w:t>cumulus</w:t>
      </w:r>
      <w:r>
        <w:rPr>
          <w:b/>
          <w:i w:val="0"/>
        </w:rPr>
        <w:t>.</w:t>
      </w:r>
      <w:r>
        <w:rPr>
          <w:b w:val="0"/>
          <w:i w:val="0"/>
        </w:rPr>
        <w:t xml:space="preserve"> Printed forms: </w:t>
      </w:r>
      <w:r>
        <w:rPr>
          <w:b w:val="0"/>
          <w:i/>
        </w:rPr>
        <w:t>cumulus</w:t>
      </w:r>
      <w:r>
        <w:rPr>
          <w:b w:val="0"/>
          <w:i w:val="0"/>
        </w:rPr>
        <w:t>.</w:t>
      </w:r>
    </w:p>
    <w:p>
      <w:pPr>
        <w:widowControl/>
      </w:pPr>
      <w:r>
        <w:rPr>
          <w:b w:val="0"/>
          <w:i w:val="0"/>
        </w:rPr>
        <w:t xml:space="preserve">A gathered total or complete sum. The intermediate whole comprises the principles or content of all things in a specified mode, not necessarily a bodily heap. References: </w:t>
      </w:r>
      <w:hyperlink w:anchor="passage-iv-2-4">
        <w:r>
          <w:rPr>
            <w:color w:val="000000"/>
          </w:rPr>
          <w:t xml:space="preserve">IV.2.4</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538" w:name="latin-record-0287"/>
      <w:bookmarkEnd w:id="538"/>
      <w:r>
        <w:rPr>
          <w:b/>
          <w:i w:val="0"/>
        </w:rPr>
        <w:t>cupere / avidus</w:t>
      </w:r>
      <w:r>
        <w:rPr>
          <w:b/>
          <w:i w:val="0"/>
        </w:rPr>
        <w:t>.</w:t>
      </w:r>
      <w:r>
        <w:rPr>
          <w:b w:val="0"/>
          <w:i w:val="0"/>
        </w:rPr>
        <w:t xml:space="preserve"> Printed forms: </w:t>
      </w:r>
      <w:r>
        <w:rPr>
          <w:b w:val="0"/>
          <w:i/>
        </w:rPr>
        <w:t>avida</w:t>
      </w:r>
      <w:r>
        <w:rPr>
          <w:b w:val="0"/>
          <w:i w:val="0"/>
        </w:rPr>
        <w:t xml:space="preserve">; </w:t>
      </w:r>
      <w:r>
        <w:rPr>
          <w:b w:val="0"/>
          <w:i/>
        </w:rPr>
        <w:t>cupere</w:t>
      </w:r>
      <w:r>
        <w:rPr>
          <w:b w:val="0"/>
          <w:i w:val="0"/>
        </w:rPr>
        <w:t xml:space="preserve">; </w:t>
      </w:r>
      <w:r>
        <w:rPr>
          <w:b w:val="0"/>
          <w:i/>
        </w:rPr>
        <w:t>cupiunt</w:t>
      </w:r>
      <w:r>
        <w:rPr>
          <w:b w:val="0"/>
          <w:i w:val="0"/>
        </w:rPr>
        <w:t>.</w:t>
      </w:r>
    </w:p>
    <w:p>
      <w:pPr>
        <w:widowControl/>
      </w:pPr>
      <w:r>
        <w:rPr>
          <w:b w:val="0"/>
          <w:i w:val="0"/>
        </w:rPr>
        <w:t xml:space="preserve">To desire or yearn, with avidus marking eager orientation. The desire of effects for unity, truth, and goodness is used to identify the source they seek again. References: </w:t>
      </w:r>
      <w:hyperlink w:anchor="passage-ii-1-2">
        <w:r>
          <w:rPr>
            <w:color w:val="000000"/>
          </w:rPr>
          <w:t xml:space="preserve">II.1.2</w:t>
        </w:r>
      </w:hyperlink>
      <w:r>
        <w:rPr>
          <w:b w:val="0"/>
          <w:i w:val="0"/>
        </w:rPr>
        <w:t xml:space="preserve">, </w:t>
      </w:r>
      <w:hyperlink w:anchor="passage-ii-1-7">
        <w:r>
          <w:rPr>
            <w:color w:val="000000"/>
          </w:rPr>
          <w:t xml:space="preserve">II.1.7</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539" w:name="latin-record-0288"/>
      <w:bookmarkEnd w:id="539"/>
      <w:r>
        <w:rPr>
          <w:b/>
          <w:i w:val="0"/>
        </w:rPr>
        <w:t>cura / labor / facilis</w:t>
      </w:r>
      <w:r>
        <w:rPr>
          <w:b/>
          <w:i w:val="0"/>
        </w:rPr>
        <w:t>.</w:t>
      </w:r>
      <w:r>
        <w:rPr>
          <w:b w:val="0"/>
          <w:i w:val="0"/>
        </w:rPr>
        <w:t xml:space="preserve"> Printed forms: </w:t>
      </w:r>
      <w:r>
        <w:rPr>
          <w:b w:val="0"/>
          <w:i/>
        </w:rPr>
        <w:t>cura</w:t>
      </w:r>
      <w:r>
        <w:rPr>
          <w:b w:val="0"/>
          <w:i w:val="0"/>
        </w:rPr>
        <w:t xml:space="preserve">; </w:t>
      </w:r>
      <w:r>
        <w:rPr>
          <w:b w:val="0"/>
          <w:i/>
        </w:rPr>
        <w:t>facilior</w:t>
      </w:r>
      <w:r>
        <w:rPr>
          <w:b w:val="0"/>
          <w:i w:val="0"/>
        </w:rPr>
        <w:t xml:space="preserve">; </w:t>
      </w:r>
      <w:r>
        <w:rPr>
          <w:b w:val="0"/>
          <w:i/>
        </w:rPr>
        <w:t>facillime</w:t>
      </w:r>
      <w:r>
        <w:rPr>
          <w:b w:val="0"/>
          <w:i w:val="0"/>
        </w:rPr>
        <w:t xml:space="preserve">; </w:t>
      </w:r>
      <w:r>
        <w:rPr>
          <w:b w:val="0"/>
          <w:i/>
        </w:rPr>
        <w:t>facillimo</w:t>
      </w:r>
      <w:r>
        <w:rPr>
          <w:b w:val="0"/>
          <w:i w:val="0"/>
        </w:rPr>
        <w:t xml:space="preserve">; </w:t>
      </w:r>
      <w:r>
        <w:rPr>
          <w:b w:val="0"/>
          <w:i/>
        </w:rPr>
        <w:t>laborat</w:t>
      </w:r>
      <w:r>
        <w:rPr>
          <w:b w:val="0"/>
          <w:i w:val="0"/>
        </w:rPr>
        <w:t xml:space="preserve">; </w:t>
      </w:r>
      <w:r>
        <w:rPr>
          <w:b w:val="0"/>
          <w:i/>
        </w:rPr>
        <w:t>labore</w:t>
      </w:r>
      <w:r>
        <w:rPr>
          <w:b w:val="0"/>
          <w:i w:val="0"/>
        </w:rPr>
        <w:t>.</w:t>
      </w:r>
    </w:p>
    <w:p>
      <w:pPr>
        <w:widowControl/>
      </w:pPr>
      <w:r>
        <w:rPr>
          <w:b w:val="0"/>
          <w:i w:val="0"/>
        </w:rPr>
        <w:t xml:space="preserve">Concern, toil, and ease. Operation through pure being is easier than operation through essential power, itself easier than deliberation. References: </w:t>
      </w:r>
      <w:hyperlink w:anchor="passage-ii-8-4">
        <w:r>
          <w:rPr>
            <w:color w:val="000000"/>
          </w:rPr>
          <w:t xml:space="preserve">II.8.4</w:t>
        </w:r>
      </w:hyperlink>
      <w:r>
        <w:rPr>
          <w:b w:val="0"/>
          <w:i w:val="0"/>
        </w:rPr>
        <w:t xml:space="preserve">, </w:t>
      </w:r>
      <w:hyperlink w:anchor="passage-ii-8-5">
        <w:r>
          <w:rPr>
            <w:color w:val="000000"/>
          </w:rPr>
          <w:t xml:space="preserve">II.8.5</w:t>
        </w:r>
      </w:hyperlink>
      <w:r>
        <w:rPr>
          <w:b w:val="0"/>
          <w:i w:val="0"/>
        </w:rPr>
        <w:t xml:space="preserve">, </w:t>
      </w:r>
      <w:hyperlink w:anchor="passage-ii-9-20">
        <w:r>
          <w:rPr>
            <w:color w:val="000000"/>
          </w:rPr>
          <w:t xml:space="preserve">II.9.20</w:t>
        </w:r>
      </w:hyperlink>
      <w:r>
        <w:rPr>
          <w:b w:val="0"/>
          <w:i w:val="0"/>
        </w:rPr>
        <w:t xml:space="preserve">. See </w:t>
      </w:r>
      <w:hyperlink w:anchor="burden-labor-and-ease">
        <w:r>
          <w:rPr>
            <w:color w:val="000000"/>
          </w:rPr>
          <w:t xml:space="preserve">Burden labor and ease</w:t>
        </w:r>
      </w:hyperlink>
      <w:r>
        <w:rPr>
          <w:b w:val="0"/>
          <w:i w:val="0"/>
        </w:rPr>
        <w:t>.</w:t>
      </w:r>
    </w:p>
    <w:p>
      <w:pPr>
        <w:keepNext/>
        <w:widowControl/>
      </w:pPr>
      <w:bookmarkStart w:id="540" w:name="latin-record-0289"/>
      <w:bookmarkEnd w:id="540"/>
      <w:r>
        <w:rPr>
          <w:b/>
          <w:i w:val="0"/>
        </w:rPr>
        <w:t>currere / incurrere / incumbere</w:t>
      </w:r>
      <w:r>
        <w:rPr>
          <w:b/>
          <w:i w:val="0"/>
        </w:rPr>
        <w:t>.</w:t>
      </w:r>
      <w:r>
        <w:rPr>
          <w:b w:val="0"/>
          <w:i w:val="0"/>
        </w:rPr>
        <w:t xml:space="preserve"> Printed forms: </w:t>
      </w:r>
      <w:r>
        <w:rPr>
          <w:b w:val="0"/>
          <w:i/>
        </w:rPr>
        <w:t>currit</w:t>
      </w:r>
      <w:r>
        <w:rPr>
          <w:b w:val="0"/>
          <w:i w:val="0"/>
        </w:rPr>
        <w:t xml:space="preserve">; </w:t>
      </w:r>
      <w:r>
        <w:rPr>
          <w:b w:val="0"/>
          <w:i/>
        </w:rPr>
        <w:t>incumbunt</w:t>
      </w:r>
      <w:r>
        <w:rPr>
          <w:b w:val="0"/>
          <w:i w:val="0"/>
        </w:rPr>
        <w:t xml:space="preserve">; </w:t>
      </w:r>
      <w:r>
        <w:rPr>
          <w:b w:val="0"/>
          <w:i/>
        </w:rPr>
        <w:t>incurrunt</w:t>
      </w:r>
      <w:r>
        <w:rPr>
          <w:b w:val="0"/>
          <w:i w:val="0"/>
        </w:rPr>
        <w:t>.</w:t>
      </w:r>
    </w:p>
    <w:p>
      <w:pPr>
        <w:widowControl/>
      </w:pPr>
      <w:r>
        <w:rPr>
          <w:b w:val="0"/>
          <w:i w:val="0"/>
        </w:rPr>
        <w:t xml:space="preserve">To run, encounter, or bend toward a goal. The verbs portray coordinated tendency and essential orientation without requiring literal locomotion of mind. References: </w:t>
      </w:r>
      <w:hyperlink w:anchor="passage-ii-2-8">
        <w:r>
          <w:rPr>
            <w:color w:val="000000"/>
          </w:rPr>
          <w:t xml:space="preserve">II.2.8</w:t>
        </w:r>
      </w:hyperlink>
      <w:r>
        <w:rPr>
          <w:b w:val="0"/>
          <w:i w:val="0"/>
        </w:rPr>
        <w:t xml:space="preserve">, </w:t>
      </w:r>
      <w:hyperlink w:anchor="passage-ii-6-17">
        <w:r>
          <w:rPr>
            <w:color w:val="000000"/>
          </w:rPr>
          <w:t xml:space="preserve">II.6.17</w:t>
        </w:r>
      </w:hyperlink>
      <w:r>
        <w:rPr>
          <w:b w:val="0"/>
          <w:i w:val="0"/>
        </w:rPr>
        <w:t xml:space="preserve">, </w:t>
      </w:r>
      <w:hyperlink w:anchor="passage-ii-6-23">
        <w:r>
          <w:rPr>
            <w:color w:val="000000"/>
          </w:rPr>
          <w:t xml:space="preserve">II.6.23</w:t>
        </w:r>
      </w:hyperlink>
      <w:r>
        <w:rPr>
          <w:b w:val="0"/>
          <w:i w:val="0"/>
        </w:rPr>
        <w:t xml:space="preserve">. See </w:t>
      </w:r>
      <w:hyperlink w:anchor="natural-motion-and-natural-place">
        <w:r>
          <w:rPr>
            <w:color w:val="000000"/>
          </w:rPr>
          <w:t xml:space="preserve">Natural motion and natural place</w:t>
        </w:r>
      </w:hyperlink>
      <w:r>
        <w:rPr>
          <w:b w:val="0"/>
          <w:i w:val="0"/>
        </w:rPr>
        <w:t>.</w:t>
      </w:r>
    </w:p>
    <w:p>
      <w:pPr>
        <w:keepNext/>
        <w:widowControl/>
      </w:pPr>
      <w:bookmarkStart w:id="541" w:name="latin-record-0290"/>
      <w:bookmarkEnd w:id="541"/>
      <w:r>
        <w:rPr>
          <w:b/>
          <w:i w:val="0"/>
        </w:rPr>
        <w:t>custodire / cura</w:t>
      </w:r>
      <w:r>
        <w:rPr>
          <w:b/>
          <w:i w:val="0"/>
        </w:rPr>
        <w:t>.</w:t>
      </w:r>
      <w:r>
        <w:rPr>
          <w:b w:val="0"/>
          <w:i w:val="0"/>
        </w:rPr>
        <w:t xml:space="preserve"> Printed forms: </w:t>
      </w:r>
      <w:r>
        <w:rPr>
          <w:b w:val="0"/>
          <w:i/>
        </w:rPr>
        <w:t>curam</w:t>
      </w:r>
      <w:r>
        <w:rPr>
          <w:b w:val="0"/>
          <w:i w:val="0"/>
        </w:rPr>
        <w:t xml:space="preserve">; </w:t>
      </w:r>
      <w:r>
        <w:rPr>
          <w:b w:val="0"/>
          <w:i/>
        </w:rPr>
        <w:t>custodiendis</w:t>
      </w:r>
      <w:r>
        <w:rPr>
          <w:b w:val="0"/>
          <w:i w:val="0"/>
        </w:rPr>
        <w:t xml:space="preserve">; </w:t>
      </w:r>
      <w:r>
        <w:rPr>
          <w:b w:val="0"/>
          <w:i/>
        </w:rPr>
        <w:t>custodire</w:t>
      </w:r>
      <w:r>
        <w:rPr>
          <w:b w:val="0"/>
          <w:i w:val="0"/>
        </w:rPr>
        <w:t>.</w:t>
      </w:r>
    </w:p>
    <w:p>
      <w:pPr>
        <w:widowControl/>
      </w:pPr>
      <w:r>
        <w:rPr>
          <w:b w:val="0"/>
          <w:i w:val="0"/>
        </w:rPr>
        <w:t xml:space="preserve">Guard or preserve / care. Providence includes preservation, not merely knowledge in advance; care of the whole is said to reach every part. References: </w:t>
      </w:r>
      <w:hyperlink w:anchor="passage-ii-13-2">
        <w:r>
          <w:rPr>
            <w:color w:val="000000"/>
          </w:rPr>
          <w:t xml:space="preserve">II.13.2</w:t>
        </w:r>
      </w:hyperlink>
      <w:r>
        <w:rPr>
          <w:b w:val="0"/>
          <w:i w:val="0"/>
        </w:rPr>
        <w:t xml:space="preserve">, </w:t>
      </w:r>
      <w:hyperlink w:anchor="passage-ii-13-11">
        <w:r>
          <w:rPr>
            <w:color w:val="000000"/>
          </w:rPr>
          <w:t xml:space="preserve">II.13.11</w:t>
        </w:r>
      </w:hyperlink>
      <w:r>
        <w:rPr>
          <w:b w:val="0"/>
          <w:i w:val="0"/>
        </w:rPr>
        <w:t xml:space="preserve">, </w:t>
      </w:r>
      <w:hyperlink w:anchor="passage-ii-13-21">
        <w:r>
          <w:rPr>
            <w:color w:val="000000"/>
          </w:rPr>
          <w:t xml:space="preserve">II.13.21</w:t>
        </w:r>
      </w:hyperlink>
      <w:r>
        <w:rPr>
          <w:b w:val="0"/>
          <w:i w:val="0"/>
        </w:rPr>
        <w:t xml:space="preserve">. See </w:t>
      </w:r>
      <w:hyperlink w:anchor="care-and-custody">
        <w:r>
          <w:rPr>
            <w:color w:val="000000"/>
          </w:rPr>
          <w:t xml:space="preserve">Care and custody</w:t>
        </w:r>
      </w:hyperlink>
      <w:r>
        <w:rPr>
          <w:b w:val="0"/>
          <w:i w:val="0"/>
        </w:rPr>
        <w:t>.</w:t>
      </w:r>
    </w:p>
    <w:p>
      <w:pPr>
        <w:keepNext/>
        <w:widowControl/>
      </w:pPr>
      <w:bookmarkStart w:id="542" w:name="latin-record-0291"/>
      <w:bookmarkEnd w:id="542"/>
      <w:r>
        <w:rPr>
          <w:b/>
          <w:i w:val="0"/>
        </w:rPr>
        <w:t>dare</w:t>
      </w:r>
      <w:r>
        <w:rPr>
          <w:b/>
          <w:i w:val="0"/>
        </w:rPr>
        <w:t>.</w:t>
      </w:r>
      <w:r>
        <w:rPr>
          <w:b w:val="0"/>
          <w:i w:val="0"/>
        </w:rPr>
        <w:t xml:space="preserve"> Printed forms: </w:t>
      </w:r>
      <w:r>
        <w:rPr>
          <w:b w:val="0"/>
          <w:i/>
        </w:rPr>
        <w:t>dat</w:t>
      </w:r>
      <w:r>
        <w:rPr>
          <w:b w:val="0"/>
          <w:i w:val="0"/>
        </w:rPr>
        <w:t xml:space="preserve">; </w:t>
      </w:r>
      <w:r>
        <w:rPr>
          <w:b w:val="0"/>
          <w:i/>
        </w:rPr>
        <w:t>dedit</w:t>
      </w:r>
      <w:r>
        <w:rPr>
          <w:b w:val="0"/>
          <w:i w:val="0"/>
        </w:rPr>
        <w:t>.</w:t>
      </w:r>
    </w:p>
    <w:p>
      <w:pPr>
        <w:widowControl/>
      </w:pPr>
      <w:r>
        <w:rPr>
          <w:b w:val="0"/>
          <w:i w:val="0"/>
        </w:rPr>
        <w:t xml:space="preserve">Give or bestow. Giving identifies the efficient role; elsewhere the giver of being is the source on which the creature’s being depends. References: </w:t>
      </w:r>
      <w:hyperlink w:anchor="passage-ii-11-3">
        <w:r>
          <w:rPr>
            <w:color w:val="000000"/>
          </w:rPr>
          <w:t xml:space="preserve">II.11.3</w:t>
        </w:r>
      </w:hyperlink>
      <w:r>
        <w:rPr>
          <w:b w:val="0"/>
          <w:i w:val="0"/>
        </w:rPr>
        <w:t xml:space="preserve">, </w:t>
      </w:r>
      <w:hyperlink w:anchor="passage-ii-12-8">
        <w:r>
          <w:rPr>
            <w:color w:val="000000"/>
          </w:rPr>
          <w:t xml:space="preserve">II.12.8</w:t>
        </w:r>
      </w:hyperlink>
      <w:r>
        <w:rPr>
          <w:b w:val="0"/>
          <w:i w:val="0"/>
        </w:rPr>
        <w:t xml:space="preserve">. See </w:t>
      </w:r>
      <w:hyperlink w:anchor="receiving-and-giving">
        <w:r>
          <w:rPr>
            <w:color w:val="000000"/>
          </w:rPr>
          <w:t xml:space="preserve">Receiving and giving</w:t>
        </w:r>
      </w:hyperlink>
      <w:r>
        <w:rPr>
          <w:b w:val="0"/>
          <w:i w:val="0"/>
        </w:rPr>
        <w:t>.</w:t>
      </w:r>
    </w:p>
    <w:p>
      <w:pPr>
        <w:keepNext/>
        <w:widowControl/>
      </w:pPr>
      <w:bookmarkStart w:id="543" w:name="latin-record-0292"/>
      <w:bookmarkEnd w:id="543"/>
      <w:r>
        <w:rPr>
          <w:b/>
          <w:i w:val="0"/>
        </w:rPr>
        <w:t>dare / donare / exhibere</w:t>
      </w:r>
      <w:r>
        <w:rPr>
          <w:b/>
          <w:i w:val="0"/>
        </w:rPr>
        <w:t>.</w:t>
      </w:r>
      <w:r>
        <w:rPr>
          <w:b w:val="0"/>
          <w:i w:val="0"/>
        </w:rPr>
        <w:t xml:space="preserve"> Printed forms: </w:t>
      </w:r>
      <w:r>
        <w:rPr>
          <w:b w:val="0"/>
          <w:i/>
        </w:rPr>
        <w:t>donata</w:t>
      </w:r>
      <w:r>
        <w:rPr>
          <w:b w:val="0"/>
          <w:i w:val="0"/>
        </w:rPr>
        <w:t xml:space="preserve">; </w:t>
      </w:r>
      <w:r>
        <w:rPr>
          <w:b w:val="0"/>
          <w:i/>
        </w:rPr>
        <w:t>exhibebit</w:t>
      </w:r>
      <w:r>
        <w:rPr>
          <w:b w:val="0"/>
          <w:i w:val="0"/>
        </w:rPr>
        <w:t xml:space="preserve">; </w:t>
      </w:r>
      <w:r>
        <w:rPr>
          <w:b w:val="0"/>
          <w:i/>
        </w:rPr>
        <w:t>offert</w:t>
      </w:r>
      <w:r>
        <w:rPr>
          <w:b w:val="0"/>
          <w:i w:val="0"/>
        </w:rPr>
        <w:t>.</w:t>
      </w:r>
    </w:p>
    <w:p>
      <w:pPr>
        <w:widowControl/>
      </w:pPr>
      <w:r>
        <w:rPr>
          <w:b w:val="0"/>
          <w:i w:val="0"/>
        </w:rPr>
        <w:t xml:space="preserve">To give, bestow, present, or offer. Gifts of goodness and being mark causation, while God offering himself under temporal wrapping concerns cognition. References: </w:t>
      </w:r>
      <w:hyperlink w:anchor="passage-ii-1-6">
        <w:r>
          <w:rPr>
            <w:color w:val="000000"/>
          </w:rPr>
          <w:t xml:space="preserve">II.1.6</w:t>
        </w:r>
      </w:hyperlink>
      <w:r>
        <w:rPr>
          <w:b w:val="0"/>
          <w:i w:val="0"/>
        </w:rPr>
        <w:t xml:space="preserve">, </w:t>
      </w:r>
      <w:hyperlink w:anchor="passage-ii-3-9">
        <w:r>
          <w:rPr>
            <w:color w:val="000000"/>
          </w:rPr>
          <w:t xml:space="preserve">II.3.9</w:t>
        </w:r>
      </w:hyperlink>
      <w:r>
        <w:rPr>
          <w:b w:val="0"/>
          <w:i w:val="0"/>
        </w:rPr>
        <w:t xml:space="preserve">, </w:t>
      </w:r>
      <w:hyperlink w:anchor="passage-ii-5-3">
        <w:r>
          <w:rPr>
            <w:color w:val="000000"/>
          </w:rPr>
          <w:t xml:space="preserve">II.5.3</w:t>
        </w:r>
      </w:hyperlink>
      <w:r>
        <w:rPr>
          <w:b w:val="0"/>
          <w:i w:val="0"/>
        </w:rPr>
        <w:t xml:space="preserve">, </w:t>
      </w:r>
      <w:hyperlink w:anchor="passage-ii-7-17">
        <w:r>
          <w:rPr>
            <w:color w:val="000000"/>
          </w:rPr>
          <w:t xml:space="preserve">II.7.17</w:t>
        </w:r>
      </w:hyperlink>
      <w:r>
        <w:rPr>
          <w:b w:val="0"/>
          <w:i w:val="0"/>
        </w:rPr>
        <w:t xml:space="preserve">. See </w:t>
      </w:r>
      <w:hyperlink w:anchor="communication-and-imparting">
        <w:r>
          <w:rPr>
            <w:color w:val="000000"/>
          </w:rPr>
          <w:t xml:space="preserve">Communication and imparting</w:t>
        </w:r>
      </w:hyperlink>
      <w:r>
        <w:rPr>
          <w:b w:val="0"/>
          <w:i w:val="0"/>
        </w:rPr>
        <w:t>.</w:t>
      </w:r>
    </w:p>
    <w:p>
      <w:pPr>
        <w:keepNext/>
        <w:widowControl/>
      </w:pPr>
      <w:bookmarkStart w:id="544" w:name="latin-record-0293"/>
      <w:bookmarkEnd w:id="544"/>
      <w:r>
        <w:rPr>
          <w:b/>
          <w:i w:val="0"/>
        </w:rPr>
        <w:t>debilitare / deficere</w:t>
      </w:r>
      <w:r>
        <w:rPr>
          <w:b/>
          <w:i w:val="0"/>
        </w:rPr>
        <w:t>.</w:t>
      </w:r>
      <w:r>
        <w:rPr>
          <w:b w:val="0"/>
          <w:i w:val="0"/>
        </w:rPr>
        <w:t xml:space="preserve"> Printed forms: </w:t>
      </w:r>
      <w:r>
        <w:rPr>
          <w:b w:val="0"/>
          <w:i/>
        </w:rPr>
        <w:t>debilitetur</w:t>
      </w:r>
      <w:r>
        <w:rPr>
          <w:b w:val="0"/>
          <w:i w:val="0"/>
        </w:rPr>
        <w:t xml:space="preserve">; </w:t>
      </w:r>
      <w:r>
        <w:rPr>
          <w:b w:val="0"/>
          <w:i/>
        </w:rPr>
        <w:t>deficere</w:t>
      </w:r>
      <w:r>
        <w:rPr>
          <w:b w:val="0"/>
          <w:i w:val="0"/>
        </w:rPr>
        <w:t xml:space="preserve">; </w:t>
      </w:r>
      <w:r>
        <w:rPr>
          <w:b w:val="0"/>
          <w:i/>
        </w:rPr>
        <w:t>deficient</w:t>
      </w:r>
      <w:r>
        <w:rPr>
          <w:b w:val="0"/>
          <w:i w:val="0"/>
        </w:rPr>
        <w:t>.</w:t>
      </w:r>
    </w:p>
    <w:p>
      <w:pPr>
        <w:widowControl/>
      </w:pPr>
      <w:r>
        <w:rPr>
          <w:b w:val="0"/>
          <w:i w:val="0"/>
        </w:rPr>
        <w:t xml:space="preserve">To weaken or fail, with deficient ranks falling away below others. The finite lower terminus is argued from diminishing efficacy, not established merely by the verb’s meaning. References: </w:t>
      </w:r>
      <w:hyperlink w:anchor="passage-ii-3-2">
        <w:r>
          <w:rPr>
            <w:color w:val="000000"/>
          </w:rPr>
          <w:t xml:space="preserve">II.3.2</w:t>
        </w:r>
      </w:hyperlink>
      <w:r>
        <w:rPr>
          <w:b w:val="0"/>
          <w:i w:val="0"/>
        </w:rPr>
        <w:t xml:space="preserve">, </w:t>
      </w:r>
      <w:hyperlink w:anchor="passage-ii-3-3">
        <w:r>
          <w:rPr>
            <w:color w:val="000000"/>
          </w:rPr>
          <w:t xml:space="preserve">II.3.3</w:t>
        </w:r>
      </w:hyperlink>
      <w:r>
        <w:rPr>
          <w:b w:val="0"/>
          <w:i w:val="0"/>
        </w:rPr>
        <w:t xml:space="preserve">. See </w:t>
      </w:r>
      <w:hyperlink w:anchor="failure-weariness-and-endurance">
        <w:r>
          <w:rPr>
            <w:color w:val="000000"/>
          </w:rPr>
          <w:t xml:space="preserve">Failure weariness and endurance</w:t>
        </w:r>
      </w:hyperlink>
      <w:r>
        <w:rPr>
          <w:b w:val="0"/>
          <w:i w:val="0"/>
        </w:rPr>
        <w:t>.</w:t>
      </w:r>
    </w:p>
    <w:p>
      <w:pPr>
        <w:keepNext/>
        <w:widowControl/>
      </w:pPr>
      <w:bookmarkStart w:id="545" w:name="latin-record-0294"/>
      <w:bookmarkEnd w:id="545"/>
      <w:r>
        <w:rPr>
          <w:b/>
          <w:i w:val="0"/>
        </w:rPr>
        <w:t>decere / dignitas</w:t>
      </w:r>
      <w:r>
        <w:rPr>
          <w:b/>
          <w:i w:val="0"/>
        </w:rPr>
        <w:t>.</w:t>
      </w:r>
      <w:r>
        <w:rPr>
          <w:b w:val="0"/>
          <w:i w:val="0"/>
        </w:rPr>
        <w:t xml:space="preserve"> Printed forms: </w:t>
      </w:r>
      <w:r>
        <w:rPr>
          <w:b w:val="0"/>
          <w:i/>
        </w:rPr>
        <w:t>decet</w:t>
      </w:r>
      <w:r>
        <w:rPr>
          <w:b w:val="0"/>
          <w:i w:val="0"/>
        </w:rPr>
        <w:t xml:space="preserve">; </w:t>
      </w:r>
      <w:r>
        <w:rPr>
          <w:b w:val="0"/>
          <w:i/>
        </w:rPr>
        <w:t>digna</w:t>
      </w:r>
      <w:r>
        <w:rPr>
          <w:b w:val="0"/>
          <w:i w:val="0"/>
        </w:rPr>
        <w:t xml:space="preserve">; </w:t>
      </w:r>
      <w:r>
        <w:rPr>
          <w:b w:val="0"/>
          <w:i/>
        </w:rPr>
        <w:t>dignitatem</w:t>
      </w:r>
      <w:r>
        <w:rPr>
          <w:b w:val="0"/>
          <w:i w:val="0"/>
        </w:rPr>
        <w:t>.</w:t>
      </w:r>
    </w:p>
    <w:p>
      <w:pPr>
        <w:widowControl/>
      </w:pPr>
      <w:r>
        <w:rPr>
          <w:b w:val="0"/>
          <w:i w:val="0"/>
        </w:rPr>
        <w:t xml:space="preserve">To be fitting; rank or worthiness. Cosmic recipients’ dignity is a causal and hierarchical fitness, while particles losing their sphere’s integrity lose its higher standing. References: </w:t>
      </w:r>
      <w:hyperlink w:anchor="passage-iv-1-31">
        <w:r>
          <w:rPr>
            <w:color w:val="000000"/>
          </w:rPr>
          <w:t xml:space="preserve">IV.1.31</w:t>
        </w:r>
      </w:hyperlink>
      <w:r>
        <w:rPr>
          <w:b w:val="0"/>
          <w:i w:val="0"/>
        </w:rPr>
        <w:t xml:space="preserve">, </w:t>
      </w:r>
      <w:hyperlink w:anchor="passage-iv-1-91">
        <w:r>
          <w:rPr>
            <w:color w:val="000000"/>
          </w:rPr>
          <w:t xml:space="preserve">IV.1.91</w:t>
        </w:r>
      </w:hyperlink>
      <w:r>
        <w:rPr>
          <w:b w:val="0"/>
          <w:i w:val="0"/>
        </w:rPr>
        <w:t xml:space="preserve">, </w:t>
      </w:r>
      <w:hyperlink w:anchor="passage-iv-1-93">
        <w:r>
          <w:rPr>
            <w:color w:val="000000"/>
          </w:rPr>
          <w:t xml:space="preserve">IV.1.93</w:t>
        </w:r>
      </w:hyperlink>
      <w:r>
        <w:rPr>
          <w:b w:val="0"/>
          <w:i w:val="0"/>
        </w:rPr>
        <w:t xml:space="preserve">. See </w:t>
      </w:r>
      <w:hyperlink w:anchor="fitting-and-correspondence">
        <w:r>
          <w:rPr>
            <w:color w:val="000000"/>
          </w:rPr>
          <w:t xml:space="preserve">Fitting and correspondence</w:t>
        </w:r>
      </w:hyperlink>
      <w:r>
        <w:rPr>
          <w:b w:val="0"/>
          <w:i w:val="0"/>
        </w:rPr>
        <w:t>.</w:t>
      </w:r>
    </w:p>
    <w:p>
      <w:pPr>
        <w:keepNext/>
        <w:widowControl/>
      </w:pPr>
      <w:bookmarkStart w:id="546" w:name="latin-record-0295"/>
      <w:bookmarkEnd w:id="546"/>
      <w:r>
        <w:rPr>
          <w:b/>
          <w:i w:val="0"/>
        </w:rPr>
        <w:t>decet / decor</w:t>
      </w:r>
      <w:r>
        <w:rPr>
          <w:b/>
          <w:i w:val="0"/>
        </w:rPr>
        <w:t>.</w:t>
      </w:r>
      <w:r>
        <w:rPr>
          <w:b w:val="0"/>
          <w:i w:val="0"/>
        </w:rPr>
        <w:t xml:space="preserve"> Printed forms: </w:t>
      </w:r>
      <w:r>
        <w:rPr>
          <w:b w:val="0"/>
          <w:i/>
        </w:rPr>
        <w:t>decentia</w:t>
      </w:r>
      <w:r>
        <w:rPr>
          <w:b w:val="0"/>
          <w:i w:val="0"/>
        </w:rPr>
        <w:t xml:space="preserve">; </w:t>
      </w:r>
      <w:r>
        <w:rPr>
          <w:b w:val="0"/>
          <w:i/>
        </w:rPr>
        <w:t>decet</w:t>
      </w:r>
      <w:r>
        <w:rPr>
          <w:b w:val="0"/>
          <w:i w:val="0"/>
        </w:rPr>
        <w:t xml:space="preserve">; </w:t>
      </w:r>
      <w:r>
        <w:rPr>
          <w:b w:val="0"/>
          <w:i/>
        </w:rPr>
        <w:t>decor</w:t>
      </w:r>
      <w:r>
        <w:rPr>
          <w:b w:val="0"/>
          <w:i w:val="0"/>
        </w:rPr>
        <w:t xml:space="preserve">; </w:t>
      </w:r>
      <w:r>
        <w:rPr>
          <w:b w:val="0"/>
          <w:i/>
        </w:rPr>
        <w:t>decorum</w:t>
      </w:r>
      <w:r>
        <w:rPr>
          <w:b w:val="0"/>
          <w:i w:val="0"/>
        </w:rPr>
        <w:t xml:space="preserve">; </w:t>
      </w:r>
      <w:r>
        <w:rPr>
          <w:b w:val="0"/>
          <w:i/>
        </w:rPr>
        <w:t>decuit</w:t>
      </w:r>
      <w:r>
        <w:rPr>
          <w:b w:val="0"/>
          <w:i w:val="0"/>
        </w:rPr>
        <w:t>.</w:t>
      </w:r>
    </w:p>
    <w:p>
      <w:pPr>
        <w:widowControl/>
      </w:pPr>
      <w:r>
        <w:rPr>
          <w:b w:val="0"/>
          <w:i w:val="0"/>
        </w:rPr>
        <w:t xml:space="preserve">It is fitting / fittingness or beauty. The correction from past to present and the cognate nouns connect fitting action with God as its source. References: </w:t>
      </w:r>
      <w:hyperlink w:anchor="passage-ii-12-3">
        <w:r>
          <w:rPr>
            <w:color w:val="000000"/>
          </w:rPr>
          <w:t xml:space="preserve">II.12.3</w:t>
        </w:r>
      </w:hyperlink>
      <w:r>
        <w:rPr>
          <w:b w:val="0"/>
          <w:i w:val="0"/>
        </w:rPr>
        <w:t xml:space="preserve">. See </w:t>
      </w:r>
      <w:hyperlink w:anchor="beauty-and-fittingness">
        <w:r>
          <w:rPr>
            <w:color w:val="000000"/>
          </w:rPr>
          <w:t xml:space="preserve">Beauty and fittingness</w:t>
        </w:r>
      </w:hyperlink>
      <w:r>
        <w:rPr>
          <w:b w:val="0"/>
          <w:i w:val="0"/>
        </w:rPr>
        <w:t>.</w:t>
      </w:r>
    </w:p>
    <w:p>
      <w:pPr>
        <w:keepNext/>
        <w:widowControl/>
      </w:pPr>
      <w:bookmarkStart w:id="547" w:name="latin-record-0296"/>
      <w:bookmarkEnd w:id="547"/>
      <w:r>
        <w:rPr>
          <w:b/>
          <w:i w:val="0"/>
        </w:rPr>
        <w:t>decidere</w:t>
      </w:r>
      <w:r>
        <w:rPr>
          <w:b/>
          <w:i w:val="0"/>
        </w:rPr>
        <w:t>.</w:t>
      </w:r>
      <w:r>
        <w:rPr>
          <w:b w:val="0"/>
          <w:i w:val="0"/>
        </w:rPr>
        <w:t xml:space="preserve"> Printed forms: </w:t>
      </w:r>
      <w:r>
        <w:rPr>
          <w:b w:val="0"/>
          <w:i/>
        </w:rPr>
        <w:t>decidet</w:t>
      </w:r>
      <w:r>
        <w:rPr>
          <w:b w:val="0"/>
          <w:i w:val="0"/>
        </w:rPr>
        <w:t>.</w:t>
      </w:r>
    </w:p>
    <w:p>
      <w:pPr>
        <w:widowControl/>
      </w:pPr>
      <w:r>
        <w:rPr>
          <w:b w:val="0"/>
          <w:i w:val="0"/>
        </w:rPr>
        <w:t xml:space="preserve">Fall away from. The departure from simple unity distinguishes angelic multiplicity, without introducing a narrative of moral rebellion. References: </w:t>
      </w:r>
      <w:hyperlink w:anchor="passage-iii-1-8">
        <w:r>
          <w:rPr>
            <w:color w:val="000000"/>
          </w:rPr>
          <w:t xml:space="preserve">III.1.8</w:t>
        </w:r>
      </w:hyperlink>
      <w:r>
        <w:rPr>
          <w:b w:val="0"/>
          <w:i w:val="0"/>
        </w:rPr>
        <w:t xml:space="preserve">. See </w:t>
      </w:r>
      <w:hyperlink w:anchor="shadows-and-dependence">
        <w:r>
          <w:rPr>
            <w:color w:val="000000"/>
          </w:rPr>
          <w:t xml:space="preserve">Shadows and dependence</w:t>
        </w:r>
      </w:hyperlink>
      <w:r>
        <w:rPr>
          <w:b w:val="0"/>
          <w:i w:val="0"/>
        </w:rPr>
        <w:t>.</w:t>
      </w:r>
    </w:p>
    <w:p>
      <w:pPr>
        <w:keepNext/>
        <w:widowControl/>
      </w:pPr>
      <w:bookmarkStart w:id="548" w:name="latin-record-0297"/>
      <w:bookmarkEnd w:id="548"/>
      <w:r>
        <w:rPr>
          <w:b/>
          <w:i w:val="0"/>
        </w:rPr>
        <w:t>decrementum / remissio</w:t>
      </w:r>
      <w:r>
        <w:rPr>
          <w:b/>
          <w:i w:val="0"/>
        </w:rPr>
        <w:t>.</w:t>
      </w:r>
      <w:r>
        <w:rPr>
          <w:b w:val="0"/>
          <w:i w:val="0"/>
        </w:rPr>
        <w:t xml:space="preserve"> Printed forms: </w:t>
      </w:r>
      <w:r>
        <w:rPr>
          <w:b w:val="0"/>
          <w:i/>
        </w:rPr>
        <w:t>decremento</w:t>
      </w:r>
      <w:r>
        <w:rPr>
          <w:b w:val="0"/>
          <w:i w:val="0"/>
        </w:rPr>
        <w:t xml:space="preserve">; </w:t>
      </w:r>
      <w:r>
        <w:rPr>
          <w:b w:val="0"/>
          <w:i/>
        </w:rPr>
        <w:t>decrescat</w:t>
      </w:r>
      <w:r>
        <w:rPr>
          <w:b w:val="0"/>
          <w:i w:val="0"/>
        </w:rPr>
        <w:t xml:space="preserve">; </w:t>
      </w:r>
      <w:r>
        <w:rPr>
          <w:b w:val="0"/>
          <w:i/>
        </w:rPr>
        <w:t>remissione</w:t>
      </w:r>
      <w:r>
        <w:rPr>
          <w:b w:val="0"/>
          <w:i w:val="0"/>
        </w:rPr>
        <w:t xml:space="preserve">; </w:t>
      </w:r>
      <w:r>
        <w:rPr>
          <w:b w:val="0"/>
          <w:i/>
        </w:rPr>
        <w:t>remissioni</w:t>
      </w:r>
      <w:r>
        <w:rPr>
          <w:b w:val="0"/>
          <w:i w:val="0"/>
        </w:rPr>
        <w:t>.</w:t>
      </w:r>
    </w:p>
    <w:p>
      <w:pPr>
        <w:widowControl/>
      </w:pPr>
      <w:r>
        <w:rPr>
          <w:b w:val="0"/>
          <w:i w:val="0"/>
        </w:rPr>
        <w:t xml:space="preserve">Quantitative decrease and diminution of intensity. Quality undergoes both, bodily substantial form is said to escape remission but not decrease, and incorporeal substance escapes both. References: </w:t>
      </w:r>
      <w:hyperlink w:anchor="passage-i-3-15">
        <w:r>
          <w:rPr>
            <w:color w:val="000000"/>
          </w:rPr>
          <w:t xml:space="preserve">I.3.15</w:t>
        </w:r>
      </w:hyperlink>
      <w:r>
        <w:rPr>
          <w:b w:val="0"/>
          <w:i w:val="0"/>
        </w:rPr>
        <w:t xml:space="preserve">. See </w:t>
      </w:r>
      <w:hyperlink w:anchor="measure-and-degree">
        <w:r>
          <w:rPr>
            <w:color w:val="000000"/>
          </w:rPr>
          <w:t xml:space="preserve">Measure and degree</w:t>
        </w:r>
      </w:hyperlink>
      <w:r>
        <w:rPr>
          <w:b w:val="0"/>
          <w:i w:val="0"/>
        </w:rPr>
        <w:t>.</w:t>
      </w:r>
    </w:p>
    <w:p>
      <w:pPr>
        <w:keepNext/>
        <w:widowControl/>
      </w:pPr>
      <w:bookmarkStart w:id="549" w:name="latin-record-0298"/>
      <w:bookmarkEnd w:id="549"/>
      <w:r>
        <w:rPr>
          <w:b/>
          <w:i w:val="0"/>
        </w:rPr>
        <w:t>dedico / gratulor</w:t>
      </w:r>
      <w:r>
        <w:rPr>
          <w:b/>
          <w:i w:val="0"/>
        </w:rPr>
        <w:t>.</w:t>
      </w:r>
      <w:r>
        <w:rPr>
          <w:b w:val="0"/>
          <w:i w:val="0"/>
        </w:rPr>
        <w:t xml:space="preserve"> Printed forms: </w:t>
      </w:r>
      <w:r>
        <w:rPr>
          <w:b w:val="0"/>
          <w:i/>
        </w:rPr>
        <w:t>dedicandum</w:t>
      </w:r>
      <w:r>
        <w:rPr>
          <w:b w:val="0"/>
          <w:i w:val="0"/>
        </w:rPr>
        <w:t xml:space="preserve">; </w:t>
      </w:r>
      <w:r>
        <w:rPr>
          <w:b w:val="0"/>
          <w:i/>
        </w:rPr>
        <w:t>gratulaturus</w:t>
      </w:r>
      <w:r>
        <w:rPr>
          <w:b w:val="0"/>
          <w:i w:val="0"/>
        </w:rPr>
        <w:t>.</w:t>
      </w:r>
    </w:p>
    <w:p>
      <w:pPr>
        <w:widowControl/>
      </w:pPr>
      <w:r>
        <w:rPr>
          <w:b w:val="0"/>
          <w:i w:val="0"/>
        </w:rPr>
        <w:t xml:space="preserve">To dedicate and to rejoice or congratulate. Ficino dedicates the work in return for support and imagines Plato rejoicing at Lorenzo’s conjunction of philosophy with public authority. References: </w:t>
      </w:r>
      <w:hyperlink w:anchor="passage-proem-11">
        <w:r>
          <w:rPr>
            <w:color w:val="000000"/>
          </w:rPr>
          <w:t xml:space="preserve">Proem.11</w:t>
        </w:r>
      </w:hyperlink>
      <w:r>
        <w:rPr>
          <w:b w:val="0"/>
          <w:i w:val="0"/>
        </w:rPr>
        <w:t xml:space="preserve">. See </w:t>
      </w:r>
      <w:hyperlink w:anchor="lorenzo-dedication-and-public-authority">
        <w:r>
          <w:rPr>
            <w:color w:val="000000"/>
          </w:rPr>
          <w:t xml:space="preserve">Lorenzo, dedication and public authority</w:t>
        </w:r>
      </w:hyperlink>
      <w:r>
        <w:rPr>
          <w:b w:val="0"/>
          <w:i w:val="0"/>
        </w:rPr>
        <w:t>.</w:t>
      </w:r>
    </w:p>
    <w:p>
      <w:pPr>
        <w:keepNext/>
        <w:widowControl/>
      </w:pPr>
      <w:bookmarkStart w:id="550" w:name="latin-record-0299"/>
      <w:bookmarkEnd w:id="550"/>
      <w:r>
        <w:rPr>
          <w:b/>
          <w:i w:val="0"/>
        </w:rPr>
        <w:t>deficio / validus</w:t>
      </w:r>
      <w:r>
        <w:rPr>
          <w:b/>
          <w:i w:val="0"/>
        </w:rPr>
        <w:t>.</w:t>
      </w:r>
      <w:r>
        <w:rPr>
          <w:b w:val="0"/>
          <w:i w:val="0"/>
        </w:rPr>
        <w:t xml:space="preserve"> Printed forms: </w:t>
      </w:r>
      <w:r>
        <w:rPr>
          <w:b w:val="0"/>
          <w:i/>
        </w:rPr>
        <w:t>deficit</w:t>
      </w:r>
      <w:r>
        <w:rPr>
          <w:b w:val="0"/>
          <w:i w:val="0"/>
        </w:rPr>
        <w:t xml:space="preserve">; </w:t>
      </w:r>
      <w:r>
        <w:rPr>
          <w:b w:val="0"/>
          <w:i/>
        </w:rPr>
        <w:t>validior</w:t>
      </w:r>
      <w:r>
        <w:rPr>
          <w:b w:val="0"/>
          <w:i w:val="0"/>
        </w:rPr>
        <w:t>.</w:t>
      </w:r>
    </w:p>
    <w:p>
      <w:pPr>
        <w:widowControl/>
      </w:pPr>
      <w:r>
        <w:rPr>
          <w:b w:val="0"/>
          <w:i w:val="0"/>
        </w:rPr>
        <w:t xml:space="preserve">To fall short; stronger or more valid. A deficient material form is judged against a truer standard, and truth’s priority is argued through its ability to exist without falsehood. References: </w:t>
      </w:r>
      <w:hyperlink w:anchor="passage-i-3-2">
        <w:r>
          <w:rPr>
            <w:color w:val="000000"/>
          </w:rPr>
          <w:t xml:space="preserve">I.3.2</w:t>
        </w:r>
      </w:hyperlink>
      <w:r>
        <w:rPr>
          <w:b w:val="0"/>
          <w:i w:val="0"/>
        </w:rPr>
        <w:t xml:space="preserve">. See </w:t>
      </w:r>
      <w:hyperlink w:anchor="truth">
        <w:r>
          <w:rPr>
            <w:color w:val="000000"/>
          </w:rPr>
          <w:t xml:space="preserve">Truth</w:t>
        </w:r>
      </w:hyperlink>
      <w:r>
        <w:rPr>
          <w:b w:val="0"/>
          <w:i w:val="0"/>
        </w:rPr>
        <w:t>.</w:t>
      </w:r>
    </w:p>
    <w:p>
      <w:pPr>
        <w:keepNext/>
        <w:widowControl/>
      </w:pPr>
      <w:bookmarkStart w:id="551" w:name="latin-record-0300"/>
      <w:bookmarkEnd w:id="551"/>
      <w:r>
        <w:rPr>
          <w:b/>
          <w:i w:val="0"/>
        </w:rPr>
        <w:t>definitio</w:t>
      </w:r>
      <w:r>
        <w:rPr>
          <w:b/>
          <w:i w:val="0"/>
        </w:rPr>
        <w:t>.</w:t>
      </w:r>
      <w:r>
        <w:rPr>
          <w:b w:val="0"/>
          <w:i w:val="0"/>
        </w:rPr>
        <w:t xml:space="preserve"> Printed forms: </w:t>
      </w:r>
      <w:r>
        <w:rPr>
          <w:b w:val="0"/>
          <w:i/>
        </w:rPr>
        <w:t>definitio</w:t>
      </w:r>
      <w:r>
        <w:rPr>
          <w:b w:val="0"/>
          <w:i w:val="0"/>
        </w:rPr>
        <w:t xml:space="preserve">; </w:t>
      </w:r>
      <w:r>
        <w:rPr>
          <w:b w:val="0"/>
          <w:i/>
        </w:rPr>
        <w:t>definitione</w:t>
      </w:r>
      <w:r>
        <w:rPr>
          <w:b w:val="0"/>
          <w:i w:val="0"/>
        </w:rPr>
        <w:t xml:space="preserve">; </w:t>
      </w:r>
      <w:r>
        <w:rPr>
          <w:b w:val="0"/>
          <w:i/>
        </w:rPr>
        <w:t>definitionem</w:t>
      </w:r>
      <w:r>
        <w:rPr>
          <w:b w:val="0"/>
          <w:i w:val="0"/>
        </w:rPr>
        <w:t>.</w:t>
      </w:r>
    </w:p>
    <w:p>
      <w:pPr>
        <w:widowControl/>
      </w:pPr>
      <w:r>
        <w:rPr>
          <w:b w:val="0"/>
          <w:i w:val="0"/>
        </w:rPr>
        <w:t xml:space="preserve">A definition or delimiting account. The reported definition of form as that by which something actually exists and acts is examined for whether it includes dimension or a subject. References: </w:t>
      </w:r>
      <w:hyperlink w:anchor="passage-i-3-28">
        <w:r>
          <w:rPr>
            <w:color w:val="000000"/>
          </w:rPr>
          <w:t xml:space="preserve">I.3.28</w:t>
        </w:r>
      </w:hyperlink>
      <w:r>
        <w:rPr>
          <w:b w:val="0"/>
          <w:i w:val="0"/>
        </w:rPr>
        <w:t xml:space="preserve">. See </w:t>
      </w:r>
      <w:hyperlink w:anchor="naming-and-defining">
        <w:r>
          <w:rPr>
            <w:color w:val="000000"/>
          </w:rPr>
          <w:t xml:space="preserve">Naming and defining</w:t>
        </w:r>
      </w:hyperlink>
      <w:r>
        <w:rPr>
          <w:b w:val="0"/>
          <w:i w:val="0"/>
        </w:rPr>
        <w:t>.</w:t>
      </w:r>
    </w:p>
    <w:p>
      <w:pPr>
        <w:widowControl/>
      </w:pPr>
      <w:r>
        <w:rPr>
          <w:b w:val="0"/>
          <w:i w:val="0"/>
        </w:rPr>
        <w:t xml:space="preserve">Definition or account of what something is. The definition of rational soul is matched to the previously established third essence through life, discourse, and temporal animation. References: </w:t>
      </w:r>
      <w:hyperlink w:anchor="passage-iii-2-23">
        <w:r>
          <w:rPr>
            <w:color w:val="000000"/>
          </w:rPr>
          <w:t xml:space="preserve">III.2.23</w:t>
        </w:r>
      </w:hyperlink>
      <w:r>
        <w:rPr>
          <w:b w:val="0"/>
          <w:i w:val="0"/>
        </w:rPr>
        <w:t xml:space="preserve">, </w:t>
      </w:r>
      <w:hyperlink w:anchor="passage-iii-2-29">
        <w:r>
          <w:rPr>
            <w:color w:val="000000"/>
          </w:rPr>
          <w:t xml:space="preserve">III.2.29</w:t>
        </w:r>
      </w:hyperlink>
      <w:r>
        <w:rPr>
          <w:b w:val="0"/>
          <w:i w:val="0"/>
        </w:rPr>
        <w:t xml:space="preserve">, </w:t>
      </w:r>
      <w:hyperlink w:anchor="passage-iii-2-30">
        <w:r>
          <w:rPr>
            <w:color w:val="000000"/>
          </w:rPr>
          <w:t xml:space="preserve">III.2.30</w:t>
        </w:r>
      </w:hyperlink>
      <w:r>
        <w:rPr>
          <w:b w:val="0"/>
          <w:i w:val="0"/>
        </w:rPr>
        <w:t xml:space="preserve">. See </w:t>
      </w:r>
      <w:hyperlink w:anchor="soul">
        <w:r>
          <w:rPr>
            <w:color w:val="000000"/>
          </w:rPr>
          <w:t xml:space="preserve">Soul</w:t>
        </w:r>
      </w:hyperlink>
      <w:r>
        <w:rPr>
          <w:b w:val="0"/>
          <w:i w:val="0"/>
        </w:rPr>
        <w:t>.</w:t>
      </w:r>
    </w:p>
    <w:p>
      <w:pPr>
        <w:keepNext/>
        <w:widowControl/>
      </w:pPr>
      <w:bookmarkStart w:id="552" w:name="latin-record-0301"/>
      <w:bookmarkEnd w:id="552"/>
      <w:r>
        <w:rPr>
          <w:b/>
          <w:i w:val="0"/>
        </w:rPr>
        <w:t>degenerare</w:t>
      </w:r>
      <w:r>
        <w:rPr>
          <w:b/>
          <w:i w:val="0"/>
        </w:rPr>
        <w:t>.</w:t>
      </w:r>
      <w:r>
        <w:rPr>
          <w:b w:val="0"/>
          <w:i w:val="0"/>
        </w:rPr>
        <w:t xml:space="preserve"> Printed forms: </w:t>
      </w:r>
      <w:r>
        <w:rPr>
          <w:b w:val="0"/>
          <w:i/>
        </w:rPr>
        <w:t>degenerare</w:t>
      </w:r>
      <w:r>
        <w:rPr>
          <w:b w:val="0"/>
          <w:i w:val="0"/>
        </w:rPr>
        <w:t xml:space="preserve">; </w:t>
      </w:r>
      <w:r>
        <w:rPr>
          <w:b w:val="0"/>
          <w:i/>
        </w:rPr>
        <w:t>degenerat</w:t>
      </w:r>
      <w:r>
        <w:rPr>
          <w:b w:val="0"/>
          <w:i w:val="0"/>
        </w:rPr>
        <w:t>.</w:t>
      </w:r>
    </w:p>
    <w:p>
      <w:pPr>
        <w:widowControl/>
      </w:pPr>
      <w:r>
        <w:rPr>
          <w:b w:val="0"/>
          <w:i w:val="0"/>
        </w:rPr>
        <w:t xml:space="preserve">Fall below a producer’s perfection. Angelic multiplicity belongs to its being an effect outside its cause; the verb is hierarchical rather than a moral accusation. References: </w:t>
      </w:r>
      <w:hyperlink w:anchor="passage-iii-1-17">
        <w:r>
          <w:rPr>
            <w:color w:val="000000"/>
          </w:rPr>
          <w:t xml:space="preserve">III.1.17</w:t>
        </w:r>
      </w:hyperlink>
      <w:r>
        <w:rPr>
          <w:b w:val="0"/>
          <w:i w:val="0"/>
        </w:rPr>
        <w:t xml:space="preserve">. See </w:t>
      </w:r>
      <w:hyperlink w:anchor="shadows-and-dependence">
        <w:r>
          <w:rPr>
            <w:color w:val="000000"/>
          </w:rPr>
          <w:t xml:space="preserve">Shadows and dependence</w:t>
        </w:r>
      </w:hyperlink>
      <w:r>
        <w:rPr>
          <w:b w:val="0"/>
          <w:i w:val="0"/>
        </w:rPr>
        <w:t>.</w:t>
      </w:r>
    </w:p>
    <w:p>
      <w:pPr>
        <w:widowControl/>
      </w:pPr>
      <w:r>
        <w:rPr>
          <w:b w:val="0"/>
          <w:i w:val="0"/>
        </w:rPr>
        <w:t xml:space="preserve">To decline in grade or fall away from a higher dignity. Forms lose life and efficacy through descent; bodily world cannot share divine complete immutability. References: </w:t>
      </w:r>
      <w:hyperlink w:anchor="passage-iv-1-33">
        <w:r>
          <w:rPr>
            <w:color w:val="000000"/>
          </w:rPr>
          <w:t xml:space="preserve">IV.1.33</w:t>
        </w:r>
      </w:hyperlink>
      <w:r>
        <w:rPr>
          <w:b w:val="0"/>
          <w:i w:val="0"/>
        </w:rPr>
        <w:t xml:space="preserve">, </w:t>
      </w:r>
      <w:hyperlink w:anchor="passage-iv-2-23">
        <w:r>
          <w:rPr>
            <w:color w:val="000000"/>
          </w:rPr>
          <w:t xml:space="preserve">IV.2.23</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553" w:name="latin-record-0302"/>
      <w:bookmarkEnd w:id="553"/>
      <w:r>
        <w:rPr>
          <w:b/>
          <w:i w:val="0"/>
        </w:rPr>
        <w:t>Democritii / Cyrenaici / Epicurei</w:t>
      </w:r>
      <w:r>
        <w:rPr>
          <w:b/>
          <w:i w:val="0"/>
        </w:rPr>
        <w:t>.</w:t>
      </w:r>
      <w:r>
        <w:rPr>
          <w:b w:val="0"/>
          <w:i w:val="0"/>
        </w:rPr>
        <w:t xml:space="preserve"> Printed forms: </w:t>
      </w:r>
      <w:r>
        <w:rPr>
          <w:b w:val="0"/>
          <w:i/>
        </w:rPr>
        <w:t>Cyrenaici</w:t>
      </w:r>
      <w:r>
        <w:rPr>
          <w:b w:val="0"/>
          <w:i w:val="0"/>
        </w:rPr>
        <w:t xml:space="preserve">; </w:t>
      </w:r>
      <w:r>
        <w:rPr>
          <w:b w:val="0"/>
          <w:i/>
        </w:rPr>
        <w:t>Cyrenaicorum</w:t>
      </w:r>
      <w:r>
        <w:rPr>
          <w:b w:val="0"/>
          <w:i w:val="0"/>
        </w:rPr>
        <w:t xml:space="preserve">; </w:t>
      </w:r>
      <w:r>
        <w:rPr>
          <w:b w:val="0"/>
          <w:i/>
        </w:rPr>
        <w:t>Democritii</w:t>
      </w:r>
      <w:r>
        <w:rPr>
          <w:b w:val="0"/>
          <w:i w:val="0"/>
        </w:rPr>
        <w:t xml:space="preserve">; </w:t>
      </w:r>
      <w:r>
        <w:rPr>
          <w:b w:val="0"/>
          <w:i/>
        </w:rPr>
        <w:t>Democritiorum</w:t>
      </w:r>
      <w:r>
        <w:rPr>
          <w:b w:val="0"/>
          <w:i w:val="0"/>
        </w:rPr>
        <w:t xml:space="preserve">; </w:t>
      </w:r>
      <w:r>
        <w:rPr>
          <w:b w:val="0"/>
          <w:i/>
        </w:rPr>
        <w:t>Epicurei</w:t>
      </w:r>
      <w:r>
        <w:rPr>
          <w:b w:val="0"/>
          <w:i w:val="0"/>
        </w:rPr>
        <w:t xml:space="preserve">; </w:t>
      </w:r>
      <w:r>
        <w:rPr>
          <w:b w:val="0"/>
          <w:i/>
        </w:rPr>
        <w:t>Epicureorum</w:t>
      </w:r>
      <w:r>
        <w:rPr>
          <w:b w:val="0"/>
          <w:i w:val="0"/>
        </w:rPr>
        <w:t>.</w:t>
      </w:r>
    </w:p>
    <w:p>
      <w:pPr>
        <w:widowControl/>
      </w:pPr>
      <w:r>
        <w:rPr>
          <w:b w:val="0"/>
          <w:i w:val="0"/>
        </w:rPr>
        <w:t xml:space="preserve">The named schools grouped at the level of bodily bulk. Their common stopping point is Ficino’s argumentative classification; it is not a full historical account of three identical doctrines. References: </w:t>
      </w:r>
      <w:hyperlink w:anchor="passage-i-1-3">
        <w:r>
          <w:rPr>
            <w:color w:val="000000"/>
          </w:rPr>
          <w:t xml:space="preserve">I.1.3</w:t>
        </w:r>
      </w:hyperlink>
      <w:r>
        <w:rPr>
          <w:b w:val="0"/>
          <w:i w:val="0"/>
        </w:rPr>
        <w:t xml:space="preserve">, </w:t>
      </w:r>
      <w:hyperlink w:anchor="passage-i-2-8">
        <w:r>
          <w:rPr>
            <w:color w:val="000000"/>
          </w:rPr>
          <w:t xml:space="preserve">I.2.8</w:t>
        </w:r>
      </w:hyperlink>
      <w:r>
        <w:rPr>
          <w:b w:val="0"/>
          <w:i w:val="0"/>
        </w:rPr>
        <w:t xml:space="preserve">. See </w:t>
      </w:r>
      <w:hyperlink w:anchor="philosophers-and-stopping-points">
        <w:r>
          <w:rPr>
            <w:color w:val="000000"/>
          </w:rPr>
          <w:t xml:space="preserve">Philosophers and stopping points</w:t>
        </w:r>
      </w:hyperlink>
      <w:r>
        <w:rPr>
          <w:b w:val="0"/>
          <w:i w:val="0"/>
        </w:rPr>
        <w:t>.</w:t>
      </w:r>
    </w:p>
    <w:p>
      <w:pPr>
        <w:keepNext/>
        <w:widowControl/>
      </w:pPr>
      <w:bookmarkStart w:id="554" w:name="latin-record-0303"/>
      <w:bookmarkEnd w:id="554"/>
      <w:r>
        <w:rPr>
          <w:b/>
          <w:i w:val="0"/>
        </w:rPr>
        <w:t>demonstro / assevero</w:t>
      </w:r>
      <w:r>
        <w:rPr>
          <w:b/>
          <w:i w:val="0"/>
        </w:rPr>
        <w:t>.</w:t>
      </w:r>
      <w:r>
        <w:rPr>
          <w:b w:val="0"/>
          <w:i w:val="0"/>
        </w:rPr>
        <w:t xml:space="preserve"> Printed forms: </w:t>
      </w:r>
      <w:r>
        <w:rPr>
          <w:b w:val="0"/>
          <w:i/>
        </w:rPr>
        <w:t>asseverabimus</w:t>
      </w:r>
      <w:r>
        <w:rPr>
          <w:b w:val="0"/>
          <w:i w:val="0"/>
        </w:rPr>
        <w:t xml:space="preserve">; </w:t>
      </w:r>
      <w:r>
        <w:rPr>
          <w:b w:val="0"/>
          <w:i/>
        </w:rPr>
        <w:t>demonstrare</w:t>
      </w:r>
      <w:r>
        <w:rPr>
          <w:b w:val="0"/>
          <w:i w:val="0"/>
        </w:rPr>
        <w:t>.</w:t>
      </w:r>
    </w:p>
    <w:p>
      <w:pPr>
        <w:widowControl/>
      </w:pPr>
      <w:r>
        <w:rPr>
          <w:b w:val="0"/>
          <w:i w:val="0"/>
        </w:rPr>
        <w:t xml:space="preserve">To demonstrate; to affirm or maintain firmly. The prospectus promises support by reasons, proper arguments, signs and resolutions; the future tense announces work rather than claiming every result is already established. References: </w:t>
      </w:r>
      <w:hyperlink w:anchor="passage-i-1-3">
        <w:r>
          <w:rPr>
            <w:color w:val="000000"/>
          </w:rPr>
          <w:t xml:space="preserve">I.1.3</w:t>
        </w:r>
      </w:hyperlink>
      <w:r>
        <w:rPr>
          <w:b w:val="0"/>
          <w:i w:val="0"/>
        </w:rPr>
        <w:t xml:space="preserve">, </w:t>
      </w:r>
      <w:hyperlink w:anchor="passage-i-1-7">
        <w:r>
          <w:rPr>
            <w:color w:val="000000"/>
          </w:rPr>
          <w:t xml:space="preserve">I.1.7</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555" w:name="latin-record-0304"/>
      <w:bookmarkEnd w:id="555"/>
      <w:r>
        <w:rPr>
          <w:b/>
          <w:i w:val="0"/>
        </w:rPr>
        <w:t>dens / pilus</w:t>
      </w:r>
      <w:r>
        <w:rPr>
          <w:b/>
          <w:i w:val="0"/>
        </w:rPr>
        <w:t>.</w:t>
      </w:r>
      <w:r>
        <w:rPr>
          <w:b w:val="0"/>
          <w:i w:val="0"/>
        </w:rPr>
        <w:t xml:space="preserve"> Printed forms: </w:t>
      </w:r>
      <w:r>
        <w:rPr>
          <w:b w:val="0"/>
          <w:i/>
        </w:rPr>
        <w:t>dentes</w:t>
      </w:r>
      <w:r>
        <w:rPr>
          <w:b w:val="0"/>
          <w:i w:val="0"/>
        </w:rPr>
        <w:t xml:space="preserve">; </w:t>
      </w:r>
      <w:r>
        <w:rPr>
          <w:b w:val="0"/>
          <w:i/>
        </w:rPr>
        <w:t>pilos</w:t>
      </w:r>
      <w:r>
        <w:rPr>
          <w:b w:val="0"/>
          <w:i w:val="0"/>
        </w:rPr>
        <w:t>.</w:t>
      </w:r>
    </w:p>
    <w:p>
      <w:pPr>
        <w:widowControl/>
      </w:pPr>
      <w:r>
        <w:rPr>
          <w:b w:val="0"/>
          <w:i w:val="0"/>
        </w:rPr>
        <w:t xml:space="preserve">Tooth and hair. Stones are compared with teeth and plants with hair, with attachment to earth doing argumentative work. References: </w:t>
      </w:r>
      <w:hyperlink w:anchor="passage-iv-1-2">
        <w:r>
          <w:rPr>
            <w:color w:val="000000"/>
          </w:rPr>
          <w:t xml:space="preserve">IV.1.2</w:t>
        </w:r>
      </w:hyperlink>
      <w:r>
        <w:rPr>
          <w:b w:val="0"/>
          <w:i w:val="0"/>
        </w:rPr>
        <w:t xml:space="preserve">. See </w:t>
      </w:r>
      <w:hyperlink w:anchor="earth-as-mother">
        <w:r>
          <w:rPr>
            <w:color w:val="000000"/>
          </w:rPr>
          <w:t xml:space="preserve">Earth as mother</w:t>
        </w:r>
      </w:hyperlink>
      <w:r>
        <w:rPr>
          <w:b w:val="0"/>
          <w:i w:val="0"/>
        </w:rPr>
        <w:t>.</w:t>
      </w:r>
    </w:p>
    <w:p>
      <w:pPr>
        <w:keepNext/>
        <w:widowControl/>
      </w:pPr>
      <w:bookmarkStart w:id="556" w:name="latin-record-0305"/>
      <w:bookmarkEnd w:id="556"/>
      <w:r>
        <w:rPr>
          <w:b/>
          <w:i w:val="0"/>
        </w:rPr>
        <w:t>dependere / pendere</w:t>
      </w:r>
      <w:r>
        <w:rPr>
          <w:b/>
          <w:i w:val="0"/>
        </w:rPr>
        <w:t>.</w:t>
      </w:r>
      <w:r>
        <w:rPr>
          <w:b w:val="0"/>
          <w:i w:val="0"/>
        </w:rPr>
        <w:t xml:space="preserve"> Printed forms: </w:t>
      </w:r>
      <w:r>
        <w:rPr>
          <w:b w:val="0"/>
          <w:i/>
        </w:rPr>
        <w:t>dependeat</w:t>
      </w:r>
      <w:r>
        <w:rPr>
          <w:b w:val="0"/>
          <w:i w:val="0"/>
        </w:rPr>
        <w:t xml:space="preserve">; </w:t>
      </w:r>
      <w:r>
        <w:rPr>
          <w:b w:val="0"/>
          <w:i/>
        </w:rPr>
        <w:t>dependet</w:t>
      </w:r>
      <w:r>
        <w:rPr>
          <w:b w:val="0"/>
          <w:i w:val="0"/>
        </w:rPr>
        <w:t xml:space="preserve">; </w:t>
      </w:r>
      <w:r>
        <w:rPr>
          <w:b w:val="0"/>
          <w:i/>
        </w:rPr>
        <w:t>pendet</w:t>
      </w:r>
      <w:r>
        <w:rPr>
          <w:b w:val="0"/>
          <w:i w:val="0"/>
        </w:rPr>
        <w:t>.</w:t>
      </w:r>
    </w:p>
    <w:p>
      <w:pPr>
        <w:widowControl/>
      </w:pPr>
      <w:r>
        <w:rPr>
          <w:b w:val="0"/>
          <w:i w:val="0"/>
        </w:rPr>
        <w:t xml:space="preserve">Depend upon. The asymmetry between substance and accident supports the possibility of a substance existing apart from accidental restrictions. References: </w:t>
      </w:r>
      <w:hyperlink w:anchor="passage-ii-11-4">
        <w:r>
          <w:rPr>
            <w:color w:val="000000"/>
          </w:rPr>
          <w:t xml:space="preserve">II.11.4</w:t>
        </w:r>
      </w:hyperlink>
      <w:r>
        <w:rPr>
          <w:b w:val="0"/>
          <w:i w:val="0"/>
        </w:rPr>
        <w:t xml:space="preserve">, </w:t>
      </w:r>
      <w:hyperlink w:anchor="passage-ii-11-5">
        <w:r>
          <w:rPr>
            <w:color w:val="000000"/>
          </w:rPr>
          <w:t xml:space="preserve">II.11.5</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557" w:name="latin-record-0306"/>
      <w:bookmarkEnd w:id="557"/>
      <w:r>
        <w:rPr>
          <w:b/>
          <w:i w:val="0"/>
        </w:rPr>
        <w:t>deserere / relinquere</w:t>
      </w:r>
      <w:r>
        <w:rPr>
          <w:b/>
          <w:i w:val="0"/>
        </w:rPr>
        <w:t>.</w:t>
      </w:r>
      <w:r>
        <w:rPr>
          <w:b w:val="0"/>
          <w:i w:val="0"/>
        </w:rPr>
        <w:t xml:space="preserve"> Printed forms: </w:t>
      </w:r>
      <w:r>
        <w:rPr>
          <w:b w:val="0"/>
          <w:i/>
        </w:rPr>
        <w:t>deserat</w:t>
      </w:r>
      <w:r>
        <w:rPr>
          <w:b w:val="0"/>
          <w:i w:val="0"/>
        </w:rPr>
        <w:t xml:space="preserve">; </w:t>
      </w:r>
      <w:r>
        <w:rPr>
          <w:b w:val="0"/>
          <w:i/>
        </w:rPr>
        <w:t>deserit</w:t>
      </w:r>
      <w:r>
        <w:rPr>
          <w:b w:val="0"/>
          <w:i w:val="0"/>
        </w:rPr>
        <w:t xml:space="preserve">; </w:t>
      </w:r>
      <w:r>
        <w:rPr>
          <w:b w:val="0"/>
          <w:i/>
        </w:rPr>
        <w:t>relinquit</w:t>
      </w:r>
      <w:r>
        <w:rPr>
          <w:b w:val="0"/>
          <w:i w:val="0"/>
        </w:rPr>
        <w:t>.</w:t>
      </w:r>
    </w:p>
    <w:p>
      <w:pPr>
        <w:widowControl/>
      </w:pPr>
      <w:r>
        <w:rPr>
          <w:b w:val="0"/>
          <w:i w:val="0"/>
        </w:rPr>
        <w:t xml:space="preserve">Abandon / leave behind. Soul must not desert lower things when rising or higher things when descending, otherwise it becomes an extreme instead of a bond. References: </w:t>
      </w:r>
      <w:hyperlink w:anchor="passage-iii-2-8">
        <w:r>
          <w:rPr>
            <w:color w:val="000000"/>
          </w:rPr>
          <w:t xml:space="preserve">III.2.8</w:t>
        </w:r>
      </w:hyperlink>
      <w:r>
        <w:rPr>
          <w:b w:val="0"/>
          <w:i w:val="0"/>
        </w:rPr>
        <w:t xml:space="preserve">. See </w:t>
      </w:r>
      <w:hyperlink w:anchor="bond-knot-and-chain">
        <w:r>
          <w:rPr>
            <w:color w:val="000000"/>
          </w:rPr>
          <w:t xml:space="preserve">Bond knot and chain</w:t>
        </w:r>
      </w:hyperlink>
      <w:r>
        <w:rPr>
          <w:b w:val="0"/>
          <w:i w:val="0"/>
        </w:rPr>
        <w:t>.</w:t>
      </w:r>
    </w:p>
    <w:p>
      <w:pPr>
        <w:keepNext/>
        <w:widowControl/>
      </w:pPr>
      <w:bookmarkStart w:id="558" w:name="latin-record-0307"/>
      <w:bookmarkEnd w:id="558"/>
      <w:r>
        <w:rPr>
          <w:b/>
          <w:i w:val="0"/>
        </w:rPr>
        <w:t>designare</w:t>
      </w:r>
      <w:r>
        <w:rPr>
          <w:b/>
          <w:i w:val="0"/>
        </w:rPr>
        <w:t>.</w:t>
      </w:r>
      <w:r>
        <w:rPr>
          <w:b w:val="0"/>
          <w:i w:val="0"/>
        </w:rPr>
        <w:t xml:space="preserve"> Printed forms: </w:t>
      </w:r>
      <w:r>
        <w:rPr>
          <w:b w:val="0"/>
          <w:i/>
        </w:rPr>
        <w:t>designantur</w:t>
      </w:r>
      <w:r>
        <w:rPr>
          <w:b w:val="0"/>
          <w:i w:val="0"/>
        </w:rPr>
        <w:t>.</w:t>
      </w:r>
    </w:p>
    <w:p>
      <w:pPr>
        <w:widowControl/>
      </w:pPr>
      <w:r>
        <w:rPr>
          <w:b w:val="0"/>
          <w:i w:val="0"/>
        </w:rPr>
        <w:t xml:space="preserve">Assign or designate. Common qualities are assigned their own ideas; the verb marks a differentiated explanatory treatment. References: </w:t>
      </w:r>
      <w:hyperlink w:anchor="passage-ii-11-20">
        <w:r>
          <w:rPr>
            <w:color w:val="000000"/>
          </w:rPr>
          <w:t xml:space="preserve">II.11.20</w:t>
        </w:r>
      </w:hyperlink>
      <w:r>
        <w:rPr>
          <w:b w:val="0"/>
          <w:i w:val="0"/>
        </w:rPr>
        <w:t xml:space="preserve">. See </w:t>
      </w:r>
      <w:hyperlink w:anchor="ideas-and-exemplars">
        <w:r>
          <w:rPr>
            <w:color w:val="000000"/>
          </w:rPr>
          <w:t xml:space="preserve">Ideas and exemplars</w:t>
        </w:r>
      </w:hyperlink>
      <w:r>
        <w:rPr>
          <w:b w:val="0"/>
          <w:i w:val="0"/>
        </w:rPr>
        <w:t>.</w:t>
      </w:r>
    </w:p>
    <w:p>
      <w:pPr>
        <w:keepNext/>
        <w:widowControl/>
      </w:pPr>
      <w:bookmarkStart w:id="559" w:name="latin-record-0308"/>
      <w:bookmarkEnd w:id="559"/>
      <w:r>
        <w:rPr>
          <w:b/>
          <w:i w:val="0"/>
        </w:rPr>
        <w:t>determinare</w:t>
      </w:r>
      <w:r>
        <w:rPr>
          <w:b/>
          <w:i w:val="0"/>
        </w:rPr>
        <w:t>.</w:t>
      </w:r>
      <w:r>
        <w:rPr>
          <w:b w:val="0"/>
          <w:i w:val="0"/>
        </w:rPr>
        <w:t xml:space="preserve"> Printed forms: </w:t>
      </w:r>
      <w:r>
        <w:rPr>
          <w:b w:val="0"/>
          <w:i/>
        </w:rPr>
        <w:t>determinatur</w:t>
      </w:r>
      <w:r>
        <w:rPr>
          <w:b w:val="0"/>
          <w:i w:val="0"/>
        </w:rPr>
        <w:t xml:space="preserve">; </w:t>
      </w:r>
      <w:r>
        <w:rPr>
          <w:b w:val="0"/>
          <w:i/>
        </w:rPr>
        <w:t>determinet</w:t>
      </w:r>
      <w:r>
        <w:rPr>
          <w:b w:val="0"/>
          <w:i w:val="0"/>
        </w:rPr>
        <w:t>.</w:t>
      </w:r>
    </w:p>
    <w:p>
      <w:pPr>
        <w:widowControl/>
      </w:pPr>
      <w:r>
        <w:rPr>
          <w:b w:val="0"/>
          <w:i w:val="0"/>
        </w:rPr>
        <w:t xml:space="preserve">To bound or direct toward a definite effect. The common impulse and converging causes require an ordering source to explain this result rather than another. References: </w:t>
      </w:r>
      <w:hyperlink w:anchor="passage-iv-1-4">
        <w:r>
          <w:rPr>
            <w:color w:val="000000"/>
          </w:rPr>
          <w:t xml:space="preserve">IV.1.4</w:t>
        </w:r>
      </w:hyperlink>
      <w:r>
        <w:rPr>
          <w:b w:val="0"/>
          <w:i w:val="0"/>
        </w:rPr>
        <w:t xml:space="preserve">, </w:t>
      </w:r>
      <w:hyperlink w:anchor="passage-iv-1-8">
        <w:r>
          <w:rPr>
            <w:color w:val="000000"/>
          </w:rPr>
          <w:t xml:space="preserve">IV.1.8</w:t>
        </w:r>
      </w:hyperlink>
      <w:r>
        <w:rPr>
          <w:b w:val="0"/>
          <w:i w:val="0"/>
        </w:rPr>
        <w:t xml:space="preserve">. See </w:t>
      </w:r>
      <w:hyperlink w:anchor="contraction-and-determination">
        <w:r>
          <w:rPr>
            <w:color w:val="000000"/>
          </w:rPr>
          <w:t xml:space="preserve">Contraction and determination</w:t>
        </w:r>
      </w:hyperlink>
      <w:r>
        <w:rPr>
          <w:b w:val="0"/>
          <w:i w:val="0"/>
        </w:rPr>
        <w:t>.</w:t>
      </w:r>
    </w:p>
    <w:p>
      <w:pPr>
        <w:keepNext/>
        <w:widowControl/>
      </w:pPr>
      <w:bookmarkStart w:id="560" w:name="latin-record-0309"/>
      <w:bookmarkEnd w:id="560"/>
      <w:r>
        <w:rPr>
          <w:b/>
          <w:i w:val="0"/>
        </w:rPr>
        <w:t>determinatio / affectio</w:t>
      </w:r>
      <w:r>
        <w:rPr>
          <w:b/>
          <w:i w:val="0"/>
        </w:rPr>
        <w:t>.</w:t>
      </w:r>
      <w:r>
        <w:rPr>
          <w:b w:val="0"/>
          <w:i w:val="0"/>
        </w:rPr>
        <w:t xml:space="preserve"> Printed forms: </w:t>
      </w:r>
      <w:r>
        <w:rPr>
          <w:b w:val="0"/>
          <w:i/>
        </w:rPr>
        <w:t>affectiones</w:t>
      </w:r>
      <w:r>
        <w:rPr>
          <w:b w:val="0"/>
          <w:i w:val="0"/>
        </w:rPr>
        <w:t xml:space="preserve">; </w:t>
      </w:r>
      <w:r>
        <w:rPr>
          <w:b w:val="0"/>
          <w:i/>
        </w:rPr>
        <w:t>determinationes</w:t>
      </w:r>
      <w:r>
        <w:rPr>
          <w:b w:val="0"/>
          <w:i w:val="0"/>
        </w:rPr>
        <w:t>.</w:t>
      </w:r>
    </w:p>
    <w:p>
      <w:pPr>
        <w:widowControl/>
      </w:pPr>
      <w:r>
        <w:rPr>
          <w:b w:val="0"/>
          <w:i w:val="0"/>
        </w:rPr>
        <w:t xml:space="preserve">A determination or modification of being. Specific character presupposes being and is distinguished from the first cause’s universal gift of being itself. References: </w:t>
      </w:r>
      <w:hyperlink w:anchor="passage-ii-7-28">
        <w:r>
          <w:rPr>
            <w:color w:val="000000"/>
          </w:rPr>
          <w:t xml:space="preserve">II.7.28</w:t>
        </w:r>
      </w:hyperlink>
      <w:r>
        <w:rPr>
          <w:b w:val="0"/>
          <w:i w:val="0"/>
        </w:rPr>
        <w:t xml:space="preserve">, </w:t>
      </w:r>
      <w:hyperlink w:anchor="passage-ii-7-30">
        <w:r>
          <w:rPr>
            <w:color w:val="000000"/>
          </w:rPr>
          <w:t xml:space="preserve">II.7.30</w:t>
        </w:r>
      </w:hyperlink>
      <w:r>
        <w:rPr>
          <w:b w:val="0"/>
          <w:i w:val="0"/>
        </w:rPr>
        <w:t xml:space="preserve">. See </w:t>
      </w:r>
      <w:hyperlink w:anchor="being">
        <w:r>
          <w:rPr>
            <w:color w:val="000000"/>
          </w:rPr>
          <w:t xml:space="preserve">Being</w:t>
        </w:r>
      </w:hyperlink>
      <w:r>
        <w:rPr>
          <w:b w:val="0"/>
          <w:i w:val="0"/>
        </w:rPr>
        <w:t>.</w:t>
      </w:r>
    </w:p>
    <w:p>
      <w:pPr>
        <w:keepNext/>
        <w:widowControl/>
      </w:pPr>
      <w:bookmarkStart w:id="561" w:name="latin-record-0310"/>
      <w:bookmarkEnd w:id="561"/>
      <w:r>
        <w:rPr>
          <w:b/>
          <w:i w:val="0"/>
        </w:rPr>
        <w:t>detestari</w:t>
      </w:r>
      <w:r>
        <w:rPr>
          <w:b/>
          <w:i w:val="0"/>
        </w:rPr>
        <w:t>.</w:t>
      </w:r>
      <w:r>
        <w:rPr>
          <w:b w:val="0"/>
          <w:i w:val="0"/>
        </w:rPr>
        <w:t xml:space="preserve"> Printed forms: </w:t>
      </w:r>
      <w:r>
        <w:rPr>
          <w:b w:val="0"/>
          <w:i/>
        </w:rPr>
        <w:t>detestatur</w:t>
      </w:r>
      <w:r>
        <w:rPr>
          <w:b w:val="0"/>
          <w:i w:val="0"/>
        </w:rPr>
        <w:t>.</w:t>
      </w:r>
    </w:p>
    <w:p>
      <w:pPr>
        <w:widowControl/>
      </w:pPr>
      <w:r>
        <w:rPr>
          <w:b w:val="0"/>
          <w:i w:val="0"/>
        </w:rPr>
        <w:t xml:space="preserve">Denounce or reject strongly. Ficino attributes to Plato a rejection of philosophers who explain nature through chance or necessity alone. References: </w:t>
      </w:r>
      <w:hyperlink w:anchor="passage-ii-11-26">
        <w:r>
          <w:rPr>
            <w:color w:val="000000"/>
          </w:rPr>
          <w:t xml:space="preserve">II.11.26</w:t>
        </w:r>
      </w:hyperlink>
      <w:r>
        <w:rPr>
          <w:b w:val="0"/>
          <w:i w:val="0"/>
        </w:rPr>
        <w:t xml:space="preserve">. See </w:t>
      </w:r>
      <w:hyperlink w:anchor="art-and-nature">
        <w:r>
          <w:rPr>
            <w:color w:val="000000"/>
          </w:rPr>
          <w:t xml:space="preserve">Art and nature</w:t>
        </w:r>
      </w:hyperlink>
      <w:r>
        <w:rPr>
          <w:b w:val="0"/>
          <w:i w:val="0"/>
        </w:rPr>
        <w:t>.</w:t>
      </w:r>
    </w:p>
    <w:p>
      <w:pPr>
        <w:keepNext/>
        <w:widowControl/>
      </w:pPr>
      <w:bookmarkStart w:id="562" w:name="latin-record-0311"/>
      <w:bookmarkEnd w:id="562"/>
      <w:r>
        <w:rPr>
          <w:b/>
          <w:i w:val="0"/>
        </w:rPr>
        <w:t>Deus / divinus</w:t>
      </w:r>
      <w:r>
        <w:rPr>
          <w:b/>
          <w:i w:val="0"/>
        </w:rPr>
        <w:t>.</w:t>
      </w:r>
      <w:r>
        <w:rPr>
          <w:b w:val="0"/>
          <w:i w:val="0"/>
        </w:rPr>
        <w:t xml:space="preserve"> Printed forms: </w:t>
      </w:r>
      <w:r>
        <w:rPr>
          <w:b w:val="0"/>
          <w:i/>
        </w:rPr>
        <w:t>Dei</w:t>
      </w:r>
      <w:r>
        <w:rPr>
          <w:b w:val="0"/>
          <w:i w:val="0"/>
        </w:rPr>
        <w:t xml:space="preserve">; </w:t>
      </w:r>
      <w:r>
        <w:rPr>
          <w:b w:val="0"/>
          <w:i/>
        </w:rPr>
        <w:t>Deo</w:t>
      </w:r>
      <w:r>
        <w:rPr>
          <w:b w:val="0"/>
          <w:i w:val="0"/>
        </w:rPr>
        <w:t xml:space="preserve">; </w:t>
      </w:r>
      <w:r>
        <w:rPr>
          <w:b w:val="0"/>
          <w:i/>
        </w:rPr>
        <w:t>Deum</w:t>
      </w:r>
      <w:r>
        <w:rPr>
          <w:b w:val="0"/>
          <w:i w:val="0"/>
        </w:rPr>
        <w:t xml:space="preserve">; </w:t>
      </w:r>
      <w:r>
        <w:rPr>
          <w:b w:val="0"/>
          <w:i/>
        </w:rPr>
        <w:t>Deus</w:t>
      </w:r>
      <w:r>
        <w:rPr>
          <w:b w:val="0"/>
          <w:i w:val="0"/>
        </w:rPr>
        <w:t xml:space="preserve">; </w:t>
      </w:r>
      <w:r>
        <w:rPr>
          <w:b w:val="0"/>
          <w:i/>
        </w:rPr>
        <w:t>dii</w:t>
      </w:r>
      <w:r>
        <w:rPr>
          <w:b w:val="0"/>
          <w:i w:val="0"/>
        </w:rPr>
        <w:t xml:space="preserve">; </w:t>
      </w:r>
      <w:r>
        <w:rPr>
          <w:b w:val="0"/>
          <w:i/>
        </w:rPr>
        <w:t>divina</w:t>
      </w:r>
      <w:r>
        <w:rPr>
          <w:b w:val="0"/>
          <w:i w:val="0"/>
        </w:rPr>
        <w:t xml:space="preserve">; </w:t>
      </w:r>
      <w:r>
        <w:rPr>
          <w:b w:val="0"/>
          <w:i/>
        </w:rPr>
        <w:t>Divine</w:t>
      </w:r>
      <w:r>
        <w:rPr>
          <w:b w:val="0"/>
          <w:i w:val="0"/>
        </w:rPr>
        <w:t>.</w:t>
      </w:r>
    </w:p>
    <w:p>
      <w:pPr>
        <w:widowControl/>
      </w:pPr>
      <w:r>
        <w:rPr>
          <w:b w:val="0"/>
          <w:i w:val="0"/>
        </w:rPr>
        <w:t xml:space="preserve">God and divine, with hypothetical plural gods distinguished from the affirmed one source. God is not simply the highest member of a class of equal deities; divine cognition also exceeds the created genus of minds. References: </w:t>
      </w:r>
      <w:hyperlink w:anchor="passage-ii-1-7">
        <w:r>
          <w:rPr>
            <w:color w:val="000000"/>
          </w:rPr>
          <w:t xml:space="preserve">II.1.7</w:t>
        </w:r>
      </w:hyperlink>
      <w:r>
        <w:rPr>
          <w:b w:val="0"/>
          <w:i w:val="0"/>
        </w:rPr>
        <w:t xml:space="preserve">, </w:t>
      </w:r>
      <w:hyperlink w:anchor="passage-ii-2-1">
        <w:r>
          <w:rPr>
            <w:color w:val="000000"/>
          </w:rPr>
          <w:t xml:space="preserve">II.2.1</w:t>
        </w:r>
      </w:hyperlink>
      <w:r>
        <w:rPr>
          <w:b w:val="0"/>
          <w:i w:val="0"/>
        </w:rPr>
        <w:t xml:space="preserve">, </w:t>
      </w:r>
      <w:hyperlink w:anchor="passage-ii-7-15">
        <w:r>
          <w:rPr>
            <w:color w:val="000000"/>
          </w:rPr>
          <w:t xml:space="preserve">II.7.15</w:t>
        </w:r>
      </w:hyperlink>
      <w:r>
        <w:rPr>
          <w:b w:val="0"/>
          <w:i w:val="0"/>
        </w:rPr>
        <w:t xml:space="preserve">, </w:t>
      </w:r>
      <w:hyperlink w:anchor="passage-ii-9-13">
        <w:r>
          <w:rPr>
            <w:color w:val="000000"/>
          </w:rPr>
          <w:t xml:space="preserve">II.9.13</w:t>
        </w:r>
      </w:hyperlink>
      <w:r>
        <w:rPr>
          <w:b w:val="0"/>
          <w:i w:val="0"/>
        </w:rPr>
        <w:t xml:space="preserve">. See </w:t>
      </w:r>
      <w:hyperlink w:anchor="god">
        <w:r>
          <w:rPr>
            <w:color w:val="000000"/>
          </w:rPr>
          <w:t xml:space="preserve">God</w:t>
        </w:r>
      </w:hyperlink>
      <w:r>
        <w:rPr>
          <w:b w:val="0"/>
          <w:i w:val="0"/>
        </w:rPr>
        <w:t>.</w:t>
      </w:r>
    </w:p>
    <w:p>
      <w:pPr>
        <w:widowControl/>
      </w:pPr>
      <w:r>
        <w:rPr>
          <w:b w:val="0"/>
          <w:i w:val="0"/>
        </w:rPr>
        <w:t xml:space="preserve">God / divine. The causal claim concerns God as source of matter, form, and order; the adjective does not by itself identify every lower divine thing with God. References: </w:t>
      </w:r>
      <w:hyperlink w:anchor="passage-ii-11-1">
        <w:r>
          <w:rPr>
            <w:color w:val="000000"/>
          </w:rPr>
          <w:t xml:space="preserve">II.11.1</w:t>
        </w:r>
      </w:hyperlink>
      <w:r>
        <w:rPr>
          <w:b w:val="0"/>
          <w:i w:val="0"/>
        </w:rPr>
        <w:t xml:space="preserve">, </w:t>
      </w:r>
      <w:hyperlink w:anchor="passage-ii-13-12">
        <w:r>
          <w:rPr>
            <w:color w:val="000000"/>
          </w:rPr>
          <w:t xml:space="preserve">II.13.12</w:t>
        </w:r>
      </w:hyperlink>
      <w:r>
        <w:rPr>
          <w:b w:val="0"/>
          <w:i w:val="0"/>
        </w:rPr>
        <w:t xml:space="preserve">. See </w:t>
      </w:r>
      <w:hyperlink w:anchor="god">
        <w:r>
          <w:rPr>
            <w:color w:val="000000"/>
          </w:rPr>
          <w:t xml:space="preserve">God</w:t>
        </w:r>
      </w:hyperlink>
      <w:r>
        <w:rPr>
          <w:b w:val="0"/>
          <w:i w:val="0"/>
        </w:rPr>
        <w:t>.</w:t>
      </w:r>
    </w:p>
    <w:p>
      <w:pPr>
        <w:keepNext/>
        <w:widowControl/>
      </w:pPr>
      <w:bookmarkStart w:id="563" w:name="latin-record-0312"/>
      <w:bookmarkEnd w:id="563"/>
      <w:r>
        <w:rPr>
          <w:b/>
          <w:i w:val="0"/>
        </w:rPr>
        <w:t>Deus ipse viderit</w:t>
      </w:r>
      <w:r>
        <w:rPr>
          <w:b/>
          <w:i w:val="0"/>
        </w:rPr>
        <w:t>.</w:t>
      </w:r>
      <w:r>
        <w:rPr>
          <w:b w:val="0"/>
          <w:i w:val="0"/>
        </w:rPr>
        <w:t xml:space="preserve"> Printed forms: </w:t>
      </w:r>
      <w:r>
        <w:rPr>
          <w:b w:val="0"/>
          <w:i/>
        </w:rPr>
        <w:t>Deus ipse viderit</w:t>
      </w:r>
      <w:r>
        <w:rPr>
          <w:b w:val="0"/>
          <w:i w:val="0"/>
        </w:rPr>
        <w:t>.</w:t>
      </w:r>
    </w:p>
    <w:p>
      <w:pPr>
        <w:widowControl/>
      </w:pPr>
      <w:r>
        <w:rPr>
          <w:b w:val="0"/>
          <w:i w:val="0"/>
        </w:rPr>
        <w:t xml:space="preserve">Let God himself see to or judge it. The phrase marks Ficino’s express reservation after Plotinus’s reported conclusion. References: </w:t>
      </w:r>
      <w:hyperlink w:anchor="passage-ii-12-11">
        <w:r>
          <w:rPr>
            <w:color w:val="000000"/>
          </w:rPr>
          <w:t xml:space="preserve">II.12.11</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564" w:name="latin-record-0313"/>
      <w:bookmarkEnd w:id="564"/>
      <w:r>
        <w:rPr>
          <w:b/>
          <w:i w:val="0"/>
        </w:rPr>
        <w:t>dextra / sinistra / sursum / deorsum</w:t>
      </w:r>
      <w:r>
        <w:rPr>
          <w:b/>
          <w:i w:val="0"/>
        </w:rPr>
        <w:t>.</w:t>
      </w:r>
      <w:r>
        <w:rPr>
          <w:b w:val="0"/>
          <w:i w:val="0"/>
        </w:rPr>
        <w:t xml:space="preserve"> Printed forms: </w:t>
      </w:r>
      <w:r>
        <w:rPr>
          <w:b w:val="0"/>
          <w:i/>
        </w:rPr>
        <w:t>deorsum</w:t>
      </w:r>
      <w:r>
        <w:rPr>
          <w:b w:val="0"/>
          <w:i w:val="0"/>
        </w:rPr>
        <w:t xml:space="preserve">; </w:t>
      </w:r>
      <w:r>
        <w:rPr>
          <w:b w:val="0"/>
          <w:i/>
        </w:rPr>
        <w:t>dextram</w:t>
      </w:r>
      <w:r>
        <w:rPr>
          <w:b w:val="0"/>
          <w:i w:val="0"/>
        </w:rPr>
        <w:t xml:space="preserve">; </w:t>
      </w:r>
      <w:r>
        <w:rPr>
          <w:b w:val="0"/>
          <w:i/>
        </w:rPr>
        <w:t>sinistram</w:t>
      </w:r>
      <w:r>
        <w:rPr>
          <w:b w:val="0"/>
          <w:i w:val="0"/>
        </w:rPr>
        <w:t xml:space="preserve">; </w:t>
      </w:r>
      <w:r>
        <w:rPr>
          <w:b w:val="0"/>
          <w:i/>
        </w:rPr>
        <w:t>sursum</w:t>
      </w:r>
      <w:r>
        <w:rPr>
          <w:b w:val="0"/>
          <w:i w:val="0"/>
        </w:rPr>
        <w:t>.</w:t>
      </w:r>
    </w:p>
    <w:p>
      <w:pPr>
        <w:widowControl/>
      </w:pPr>
      <w:r>
        <w:rPr>
          <w:b w:val="0"/>
          <w:i w:val="0"/>
        </w:rPr>
        <w:t xml:space="preserve">Right / left / upward / downward. Opposed directions make the variety of coordinated motions explicit in the device and later in descriptions of life. References: </w:t>
      </w:r>
      <w:hyperlink w:anchor="passage-ii-13-13">
        <w:r>
          <w:rPr>
            <w:color w:val="000000"/>
          </w:rPr>
          <w:t xml:space="preserve">II.13.13</w:t>
        </w:r>
      </w:hyperlink>
      <w:r>
        <w:rPr>
          <w:b w:val="0"/>
          <w:i w:val="0"/>
        </w:rPr>
        <w:t xml:space="preserve">. See </w:t>
      </w:r>
      <w:hyperlink w:anchor="florentine-mechanism">
        <w:r>
          <w:rPr>
            <w:color w:val="000000"/>
          </w:rPr>
          <w:t xml:space="preserve">Florentine mechanism</w:t>
        </w:r>
      </w:hyperlink>
      <w:r>
        <w:rPr>
          <w:b w:val="0"/>
          <w:i w:val="0"/>
        </w:rPr>
        <w:t>.</w:t>
      </w:r>
    </w:p>
    <w:p>
      <w:pPr>
        <w:keepNext/>
        <w:widowControl/>
      </w:pPr>
      <w:bookmarkStart w:id="565" w:name="latin-record-0314"/>
      <w:bookmarkEnd w:id="565"/>
      <w:r>
        <w:rPr>
          <w:b/>
          <w:i w:val="0"/>
        </w:rPr>
        <w:t>dialecticum / mathematicum / physicum</w:t>
      </w:r>
      <w:r>
        <w:rPr>
          <w:b/>
          <w:i w:val="0"/>
        </w:rPr>
        <w:t>.</w:t>
      </w:r>
      <w:r>
        <w:rPr>
          <w:b w:val="0"/>
          <w:i w:val="0"/>
        </w:rPr>
        <w:t xml:space="preserve"> Printed forms: </w:t>
      </w:r>
      <w:r>
        <w:rPr>
          <w:b w:val="0"/>
          <w:i/>
        </w:rPr>
        <w:t>dialecticum</w:t>
      </w:r>
      <w:r>
        <w:rPr>
          <w:b w:val="0"/>
          <w:i w:val="0"/>
        </w:rPr>
        <w:t xml:space="preserve">; </w:t>
      </w:r>
      <w:r>
        <w:rPr>
          <w:b w:val="0"/>
          <w:i/>
        </w:rPr>
        <w:t>mathematicum</w:t>
      </w:r>
      <w:r>
        <w:rPr>
          <w:b w:val="0"/>
          <w:i w:val="0"/>
        </w:rPr>
        <w:t xml:space="preserve">; </w:t>
      </w:r>
      <w:r>
        <w:rPr>
          <w:b w:val="0"/>
          <w:i/>
        </w:rPr>
        <w:t>physicum</w:t>
      </w:r>
      <w:r>
        <w:rPr>
          <w:b w:val="0"/>
          <w:i w:val="0"/>
        </w:rPr>
        <w:t>.</w:t>
      </w:r>
    </w:p>
    <w:p>
      <w:pPr>
        <w:widowControl/>
      </w:pPr>
      <w:r>
        <w:rPr>
          <w:b w:val="0"/>
          <w:i w:val="0"/>
        </w:rPr>
        <w:t xml:space="preserve">Dialectical, mathematical and natural subjects of inquiry. Ficino’s programme makes each route return to contemplation and worship; the list does not identify their methods or subject matters as one discipline. References: </w:t>
      </w:r>
      <w:hyperlink w:anchor="passage-proem-3">
        <w:r>
          <w:rPr>
            <w:color w:val="000000"/>
          </w:rPr>
          <w:t xml:space="preserve">Proem.3</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566" w:name="latin-record-0315"/>
      <w:bookmarkEnd w:id="566"/>
      <w:r>
        <w:rPr>
          <w:b/>
          <w:i w:val="0"/>
        </w:rPr>
        <w:t>dicere / appellare / vocare</w:t>
      </w:r>
      <w:r>
        <w:rPr>
          <w:b/>
          <w:i w:val="0"/>
        </w:rPr>
        <w:t>.</w:t>
      </w:r>
      <w:r>
        <w:rPr>
          <w:b w:val="0"/>
          <w:i w:val="0"/>
        </w:rPr>
        <w:t xml:space="preserve"> Printed forms: </w:t>
      </w:r>
      <w:r>
        <w:rPr>
          <w:b w:val="0"/>
          <w:i/>
        </w:rPr>
        <w:t>appellant</w:t>
      </w:r>
      <w:r>
        <w:rPr>
          <w:b w:val="0"/>
          <w:i w:val="0"/>
        </w:rPr>
        <w:t xml:space="preserve">; </w:t>
      </w:r>
      <w:r>
        <w:rPr>
          <w:b w:val="0"/>
          <w:i/>
        </w:rPr>
        <w:t>nominamus</w:t>
      </w:r>
      <w:r>
        <w:rPr>
          <w:b w:val="0"/>
          <w:i w:val="0"/>
        </w:rPr>
        <w:t>.</w:t>
      </w:r>
    </w:p>
    <w:p>
      <w:pPr>
        <w:widowControl/>
      </w:pPr>
      <w:r>
        <w:rPr>
          <w:b w:val="0"/>
          <w:i w:val="0"/>
        </w:rPr>
        <w:t xml:space="preserve">Say, name, or call. The reported names of the ranks are not neutral synonyms: the Pythagorean formulas deliberately alter the relation of one and many. References: </w:t>
      </w:r>
      <w:hyperlink w:anchor="passage-iii-1-1">
        <w:r>
          <w:rPr>
            <w:color w:val="000000"/>
          </w:rPr>
          <w:t xml:space="preserve">III.1.1</w:t>
        </w:r>
      </w:hyperlink>
      <w:r>
        <w:rPr>
          <w:b w:val="0"/>
          <w:i w:val="0"/>
        </w:rPr>
        <w:t xml:space="preserve">, </w:t>
      </w:r>
      <w:hyperlink w:anchor="passage-iii-1-2">
        <w:r>
          <w:rPr>
            <w:color w:val="000000"/>
          </w:rPr>
          <w:t xml:space="preserve">III.1.2</w:t>
        </w:r>
      </w:hyperlink>
      <w:r>
        <w:rPr>
          <w:b w:val="0"/>
          <w:i w:val="0"/>
        </w:rPr>
        <w:t xml:space="preserve">, </w:t>
      </w:r>
      <w:hyperlink w:anchor="passage-iii-2-1">
        <w:r>
          <w:rPr>
            <w:color w:val="000000"/>
          </w:rPr>
          <w:t xml:space="preserve">III.2.1</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567" w:name="latin-record-0316"/>
      <w:bookmarkEnd w:id="567"/>
      <w:r>
        <w:rPr>
          <w:b/>
          <w:i w:val="0"/>
        </w:rPr>
        <w:t>dicere / vocare / appellare</w:t>
      </w:r>
      <w:r>
        <w:rPr>
          <w:b/>
          <w:i w:val="0"/>
        </w:rPr>
        <w:t>.</w:t>
      </w:r>
      <w:r>
        <w:rPr>
          <w:b w:val="0"/>
          <w:i w:val="0"/>
        </w:rPr>
        <w:t xml:space="preserve"> Printed forms: </w:t>
      </w:r>
      <w:r>
        <w:rPr>
          <w:b w:val="0"/>
          <w:i/>
        </w:rPr>
        <w:t>appellationes</w:t>
      </w:r>
      <w:r>
        <w:rPr>
          <w:b w:val="0"/>
          <w:i w:val="0"/>
        </w:rPr>
        <w:t xml:space="preserve">; </w:t>
      </w:r>
      <w:r>
        <w:rPr>
          <w:b w:val="0"/>
          <w:i/>
        </w:rPr>
        <w:t>appellavit</w:t>
      </w:r>
      <w:r>
        <w:rPr>
          <w:b w:val="0"/>
          <w:i w:val="0"/>
        </w:rPr>
        <w:t xml:space="preserve">; </w:t>
      </w:r>
      <w:r>
        <w:rPr>
          <w:b w:val="0"/>
          <w:i/>
        </w:rPr>
        <w:t>dicuntur</w:t>
      </w:r>
      <w:r>
        <w:rPr>
          <w:b w:val="0"/>
          <w:i w:val="0"/>
        </w:rPr>
        <w:t xml:space="preserve">; </w:t>
      </w:r>
      <w:r>
        <w:rPr>
          <w:b w:val="0"/>
          <w:i/>
        </w:rPr>
        <w:t>nuncupantur</w:t>
      </w:r>
      <w:r>
        <w:rPr>
          <w:b w:val="0"/>
          <w:i w:val="0"/>
        </w:rPr>
        <w:t>.</w:t>
      </w:r>
    </w:p>
    <w:p>
      <w:pPr>
        <w:widowControl/>
      </w:pPr>
      <w:r>
        <w:rPr>
          <w:b w:val="0"/>
          <w:i w:val="0"/>
        </w:rPr>
        <w:t xml:space="preserve">To say or name, with reported assertion and technical designation distinguished. Names such as necessity or mind require their local qualification; things </w:t>
      </w:r>
      <w:r>
        <w:t>“</w:t>
      </w:r>
      <w:r>
        <w:rPr>
          <w:b w:val="0"/>
          <w:i w:val="0"/>
        </w:rPr>
        <w:t>commonly called</w:t>
      </w:r>
      <w:r>
        <w:t>”</w:t>
      </w:r>
      <w:r>
        <w:rPr>
          <w:b w:val="0"/>
          <w:i w:val="0"/>
        </w:rPr>
        <w:t xml:space="preserve"> lowly need not be inherently contemptible. References: </w:t>
      </w:r>
      <w:hyperlink w:anchor="passage-ii-5-4">
        <w:r>
          <w:rPr>
            <w:color w:val="000000"/>
          </w:rPr>
          <w:t xml:space="preserve">II.5.4</w:t>
        </w:r>
      </w:hyperlink>
      <w:r>
        <w:rPr>
          <w:b w:val="0"/>
          <w:i w:val="0"/>
        </w:rPr>
        <w:t xml:space="preserve">, </w:t>
      </w:r>
      <w:hyperlink w:anchor="passage-ii-7-11">
        <w:r>
          <w:rPr>
            <w:color w:val="000000"/>
          </w:rPr>
          <w:t xml:space="preserve">II.7.11</w:t>
        </w:r>
      </w:hyperlink>
      <w:r>
        <w:rPr>
          <w:b w:val="0"/>
          <w:i w:val="0"/>
        </w:rPr>
        <w:t xml:space="preserve">, </w:t>
      </w:r>
      <w:hyperlink w:anchor="passage-ii-9-12">
        <w:r>
          <w:rPr>
            <w:color w:val="000000"/>
          </w:rPr>
          <w:t xml:space="preserve">II.9.12</w:t>
        </w:r>
      </w:hyperlink>
      <w:r>
        <w:rPr>
          <w:b w:val="0"/>
          <w:i w:val="0"/>
        </w:rPr>
        <w:t xml:space="preserve">, </w:t>
      </w:r>
      <w:hyperlink w:anchor="passage-ii-9-22">
        <w:r>
          <w:rPr>
            <w:color w:val="000000"/>
          </w:rPr>
          <w:t xml:space="preserve">II.9.22</w:t>
        </w:r>
      </w:hyperlink>
      <w:r>
        <w:rPr>
          <w:b w:val="0"/>
          <w:i w:val="0"/>
        </w:rPr>
        <w:t xml:space="preserve">. See </w:t>
      </w:r>
      <w:hyperlink w:anchor="naming-by-cause">
        <w:r>
          <w:rPr>
            <w:color w:val="000000"/>
          </w:rPr>
          <w:t xml:space="preserve">Naming by cause</w:t>
        </w:r>
      </w:hyperlink>
      <w:r>
        <w:rPr>
          <w:b w:val="0"/>
          <w:i w:val="0"/>
        </w:rPr>
        <w:t>.</w:t>
      </w:r>
    </w:p>
    <w:p>
      <w:pPr>
        <w:keepNext/>
        <w:widowControl/>
      </w:pPr>
      <w:bookmarkStart w:id="568" w:name="latin-record-0317"/>
      <w:bookmarkEnd w:id="568"/>
      <w:r>
        <w:rPr>
          <w:b/>
          <w:i w:val="0"/>
        </w:rPr>
        <w:t>differre / discrepare</w:t>
      </w:r>
      <w:r>
        <w:rPr>
          <w:b/>
          <w:i w:val="0"/>
        </w:rPr>
        <w:t>.</w:t>
      </w:r>
      <w:r>
        <w:rPr>
          <w:b w:val="0"/>
          <w:i w:val="0"/>
        </w:rPr>
        <w:t xml:space="preserve"> Printed forms: </w:t>
      </w:r>
      <w:r>
        <w:rPr>
          <w:b w:val="0"/>
          <w:i/>
        </w:rPr>
        <w:t>differant</w:t>
      </w:r>
      <w:r>
        <w:rPr>
          <w:b w:val="0"/>
          <w:i w:val="0"/>
        </w:rPr>
        <w:t xml:space="preserve">; </w:t>
      </w:r>
      <w:r>
        <w:rPr>
          <w:b w:val="0"/>
          <w:i/>
        </w:rPr>
        <w:t>differt</w:t>
      </w:r>
      <w:r>
        <w:rPr>
          <w:b w:val="0"/>
          <w:i w:val="0"/>
        </w:rPr>
        <w:t xml:space="preserve">; </w:t>
      </w:r>
      <w:r>
        <w:rPr>
          <w:b w:val="0"/>
          <w:i/>
        </w:rPr>
        <w:t>differunt</w:t>
      </w:r>
      <w:r>
        <w:rPr>
          <w:b w:val="0"/>
          <w:i w:val="0"/>
        </w:rPr>
        <w:t xml:space="preserve">; </w:t>
      </w:r>
      <w:r>
        <w:rPr>
          <w:b w:val="0"/>
          <w:i/>
        </w:rPr>
        <w:t>discrepent</w:t>
      </w:r>
      <w:r>
        <w:rPr>
          <w:b w:val="0"/>
          <w:i w:val="0"/>
        </w:rPr>
        <w:t>.</w:t>
      </w:r>
    </w:p>
    <w:p>
      <w:pPr>
        <w:widowControl/>
      </w:pPr>
      <w:r>
        <w:rPr>
          <w:b w:val="0"/>
          <w:i w:val="0"/>
        </w:rPr>
        <w:t xml:space="preserve">To differ or disagree in nature or property. A distinguishing feature cannot be explained by the common nature precisely as common. References: </w:t>
      </w:r>
      <w:hyperlink w:anchor="passage-ii-2-1">
        <w:r>
          <w:rPr>
            <w:color w:val="000000"/>
          </w:rPr>
          <w:t xml:space="preserve">II.2.1</w:t>
        </w:r>
      </w:hyperlink>
      <w:r>
        <w:rPr>
          <w:b w:val="0"/>
          <w:i w:val="0"/>
        </w:rPr>
        <w:t xml:space="preserve">, </w:t>
      </w:r>
      <w:hyperlink w:anchor="passage-ii-2-2">
        <w:r>
          <w:rPr>
            <w:color w:val="000000"/>
          </w:rPr>
          <w:t xml:space="preserve">II.2.2</w:t>
        </w:r>
      </w:hyperlink>
      <w:r>
        <w:rPr>
          <w:b w:val="0"/>
          <w:i w:val="0"/>
        </w:rPr>
        <w:t xml:space="preserve">, </w:t>
      </w:r>
      <w:hyperlink w:anchor="passage-ii-2-4">
        <w:r>
          <w:rPr>
            <w:color w:val="000000"/>
          </w:rPr>
          <w:t xml:space="preserve">II.2.4</w:t>
        </w:r>
      </w:hyperlink>
      <w:r>
        <w:rPr>
          <w:b w:val="0"/>
          <w:i w:val="0"/>
        </w:rPr>
        <w:t xml:space="preserve">, </w:t>
      </w:r>
      <w:hyperlink w:anchor="passage-ii-7-12">
        <w:r>
          <w:rPr>
            <w:color w:val="000000"/>
          </w:rPr>
          <w:t xml:space="preserve">II.7.12</w:t>
        </w:r>
      </w:hyperlink>
      <w:r>
        <w:rPr>
          <w:b w:val="0"/>
          <w:i w:val="0"/>
        </w:rPr>
        <w:t xml:space="preserve">. See </w:t>
      </w:r>
      <w:hyperlink w:anchor="common-and-proper">
        <w:r>
          <w:rPr>
            <w:color w:val="000000"/>
          </w:rPr>
          <w:t xml:space="preserve">Common and proper</w:t>
        </w:r>
      </w:hyperlink>
      <w:r>
        <w:rPr>
          <w:b w:val="0"/>
          <w:i w:val="0"/>
        </w:rPr>
        <w:t>.</w:t>
      </w:r>
    </w:p>
    <w:p>
      <w:pPr>
        <w:keepNext/>
        <w:widowControl/>
      </w:pPr>
      <w:bookmarkStart w:id="569" w:name="latin-record-0318"/>
      <w:bookmarkEnd w:id="569"/>
      <w:r>
        <w:rPr>
          <w:b/>
          <w:i w:val="0"/>
        </w:rPr>
        <w:t>diffido</w:t>
      </w:r>
      <w:r>
        <w:rPr>
          <w:b/>
          <w:i w:val="0"/>
        </w:rPr>
        <w:t>.</w:t>
      </w:r>
      <w:r>
        <w:rPr>
          <w:b w:val="0"/>
          <w:i w:val="0"/>
        </w:rPr>
        <w:t xml:space="preserve"> Printed forms: </w:t>
      </w:r>
      <w:r>
        <w:rPr>
          <w:b w:val="0"/>
          <w:i/>
        </w:rPr>
        <w:t>diffidere</w:t>
      </w:r>
      <w:r>
        <w:rPr>
          <w:b w:val="0"/>
          <w:i w:val="0"/>
        </w:rPr>
        <w:t>.</w:t>
      </w:r>
    </w:p>
    <w:p>
      <w:pPr>
        <w:widowControl/>
      </w:pPr>
      <w:r>
        <w:rPr>
          <w:b w:val="0"/>
          <w:i w:val="0"/>
        </w:rPr>
        <w:t xml:space="preserve">To distrust or lack confidence in. Bodily darkness is said to make minds distrust their own divinity; this is Ficino’s diagnosis of a spiritual impediment. References: </w:t>
      </w:r>
      <w:hyperlink w:anchor="passage-i-1-2">
        <w:r>
          <w:rPr>
            <w:color w:val="000000"/>
          </w:rPr>
          <w:t xml:space="preserve">I.1.2</w:t>
        </w:r>
      </w:hyperlink>
      <w:r>
        <w:rPr>
          <w:b w:val="0"/>
          <w:i w:val="0"/>
        </w:rPr>
        <w:t xml:space="preserve">. See </w:t>
      </w:r>
      <w:hyperlink w:anchor="assent-approval-and-belief">
        <w:r>
          <w:rPr>
            <w:color w:val="000000"/>
          </w:rPr>
          <w:t xml:space="preserve">Assent, approval and belief</w:t>
        </w:r>
      </w:hyperlink>
      <w:r>
        <w:rPr>
          <w:b w:val="0"/>
          <w:i w:val="0"/>
        </w:rPr>
        <w:t>.</w:t>
      </w:r>
    </w:p>
    <w:p>
      <w:pPr>
        <w:keepNext/>
        <w:widowControl/>
      </w:pPr>
      <w:bookmarkStart w:id="570" w:name="latin-record-0319"/>
      <w:bookmarkEnd w:id="570"/>
      <w:r>
        <w:rPr>
          <w:b/>
          <w:i w:val="0"/>
        </w:rPr>
        <w:t>diffusio</w:t>
      </w:r>
      <w:r>
        <w:rPr>
          <w:b/>
          <w:i w:val="0"/>
        </w:rPr>
        <w:t>.</w:t>
      </w:r>
      <w:r>
        <w:rPr>
          <w:b w:val="0"/>
          <w:i w:val="0"/>
        </w:rPr>
        <w:t xml:space="preserve"> Printed forms: </w:t>
      </w:r>
      <w:r>
        <w:rPr>
          <w:b w:val="0"/>
          <w:i/>
        </w:rPr>
        <w:t>diffusio</w:t>
      </w:r>
      <w:r>
        <w:rPr>
          <w:b w:val="0"/>
          <w:i w:val="0"/>
        </w:rPr>
        <w:t>.</w:t>
      </w:r>
    </w:p>
    <w:p>
      <w:pPr>
        <w:widowControl/>
      </w:pPr>
      <w:r>
        <w:rPr>
          <w:b w:val="0"/>
          <w:i w:val="0"/>
        </w:rPr>
        <w:t xml:space="preserve">Diffusion or self-communication. Ficino assigns diffusion to the good, contrasted with the purity of truth as the object of seeing. References: </w:t>
      </w:r>
      <w:hyperlink w:anchor="passage-ii-11-30">
        <w:r>
          <w:rPr>
            <w:color w:val="000000"/>
          </w:rPr>
          <w:t xml:space="preserve">II.11.30</w:t>
        </w:r>
      </w:hyperlink>
      <w:r>
        <w:rPr>
          <w:b w:val="0"/>
          <w:i w:val="0"/>
        </w:rPr>
        <w:t xml:space="preserve">. See </w:t>
      </w:r>
      <w:hyperlink w:anchor="communication-and-imparting">
        <w:r>
          <w:rPr>
            <w:color w:val="000000"/>
          </w:rPr>
          <w:t xml:space="preserve">Communication and imparting</w:t>
        </w:r>
      </w:hyperlink>
      <w:r>
        <w:rPr>
          <w:b w:val="0"/>
          <w:i w:val="0"/>
        </w:rPr>
        <w:t>.</w:t>
      </w:r>
    </w:p>
    <w:p>
      <w:pPr>
        <w:keepNext/>
        <w:widowControl/>
      </w:pPr>
      <w:bookmarkStart w:id="571" w:name="latin-record-0320"/>
      <w:bookmarkEnd w:id="571"/>
      <w:r>
        <w:rPr>
          <w:b/>
          <w:i w:val="0"/>
        </w:rPr>
        <w:t>dignitas</w:t>
      </w:r>
      <w:r>
        <w:rPr>
          <w:b/>
          <w:i w:val="0"/>
        </w:rPr>
        <w:t>.</w:t>
      </w:r>
      <w:r>
        <w:rPr>
          <w:b w:val="0"/>
          <w:i w:val="0"/>
        </w:rPr>
        <w:t xml:space="preserve"> Printed forms: </w:t>
      </w:r>
      <w:r>
        <w:rPr>
          <w:b w:val="0"/>
          <w:i/>
        </w:rPr>
        <w:t>dignitatis</w:t>
      </w:r>
      <w:r>
        <w:rPr>
          <w:b w:val="0"/>
          <w:i w:val="0"/>
        </w:rPr>
        <w:t>.</w:t>
      </w:r>
    </w:p>
    <w:p>
      <w:pPr>
        <w:widowControl/>
      </w:pPr>
      <w:r>
        <w:rPr>
          <w:b w:val="0"/>
          <w:i w:val="0"/>
        </w:rPr>
        <w:t xml:space="preserve">Dignity or rank of excellence. A boundary of place around God is compared with a boundary of dignity within him, linking two different senses of limitation. References: </w:t>
      </w:r>
      <w:hyperlink w:anchor="passage-ii-6-4">
        <w:r>
          <w:rPr>
            <w:color w:val="000000"/>
          </w:rPr>
          <w:t xml:space="preserve">II.6.4</w:t>
        </w:r>
      </w:hyperlink>
      <w:r>
        <w:rPr>
          <w:b w:val="0"/>
          <w:i w:val="0"/>
        </w:rPr>
        <w:t xml:space="preserve">. See </w:t>
      </w:r>
      <w:hyperlink w:anchor="bounds-and-restriction">
        <w:r>
          <w:rPr>
            <w:color w:val="000000"/>
          </w:rPr>
          <w:t xml:space="preserve">Bounds and restriction</w:t>
        </w:r>
      </w:hyperlink>
      <w:r>
        <w:rPr>
          <w:b w:val="0"/>
          <w:i w:val="0"/>
        </w:rPr>
        <w:t>.</w:t>
      </w:r>
    </w:p>
    <w:p>
      <w:pPr>
        <w:keepNext/>
        <w:widowControl/>
      </w:pPr>
      <w:bookmarkStart w:id="572" w:name="latin-record-0321"/>
      <w:bookmarkEnd w:id="572"/>
      <w:r>
        <w:rPr>
          <w:b/>
          <w:i w:val="0"/>
        </w:rPr>
        <w:t>dilectio / diligere</w:t>
      </w:r>
      <w:r>
        <w:rPr>
          <w:b/>
          <w:i w:val="0"/>
        </w:rPr>
        <w:t>.</w:t>
      </w:r>
      <w:r>
        <w:rPr>
          <w:b w:val="0"/>
          <w:i w:val="0"/>
        </w:rPr>
        <w:t xml:space="preserve"> Printed forms: </w:t>
      </w:r>
      <w:r>
        <w:rPr>
          <w:b w:val="0"/>
          <w:i/>
        </w:rPr>
        <w:t>Dilectio</w:t>
      </w:r>
      <w:r>
        <w:rPr>
          <w:b w:val="0"/>
          <w:i w:val="0"/>
        </w:rPr>
        <w:t xml:space="preserve">; </w:t>
      </w:r>
      <w:r>
        <w:rPr>
          <w:b w:val="0"/>
          <w:i/>
        </w:rPr>
        <w:t>dilectione</w:t>
      </w:r>
      <w:r>
        <w:rPr>
          <w:b w:val="0"/>
          <w:i w:val="0"/>
        </w:rPr>
        <w:t xml:space="preserve">; </w:t>
      </w:r>
      <w:r>
        <w:rPr>
          <w:b w:val="0"/>
          <w:i/>
        </w:rPr>
        <w:t>diligit</w:t>
      </w:r>
      <w:r>
        <w:rPr>
          <w:b w:val="0"/>
          <w:i w:val="0"/>
        </w:rPr>
        <w:t>.</w:t>
      </w:r>
    </w:p>
    <w:p>
      <w:pPr>
        <w:widowControl/>
      </w:pPr>
      <w:r>
        <w:rPr>
          <w:b w:val="0"/>
          <w:i w:val="0"/>
        </w:rPr>
        <w:t xml:space="preserve">Love or loving attachment. Divine love is called intellectual because its subject and object are intellectual and intelligible. References: </w:t>
      </w:r>
      <w:hyperlink w:anchor="passage-ii-11-36">
        <w:r>
          <w:rPr>
            <w:color w:val="000000"/>
          </w:rPr>
          <w:t xml:space="preserve">II.11.36</w:t>
        </w:r>
      </w:hyperlink>
      <w:r>
        <w:rPr>
          <w:b w:val="0"/>
          <w:i w:val="0"/>
        </w:rPr>
        <w:t xml:space="preserve">, </w:t>
      </w:r>
      <w:hyperlink w:anchor="passage-ii-11-37">
        <w:r>
          <w:rPr>
            <w:color w:val="000000"/>
          </w:rPr>
          <w:t xml:space="preserve">II.11.37</w:t>
        </w:r>
      </w:hyperlink>
      <w:r>
        <w:rPr>
          <w:b w:val="0"/>
          <w:i w:val="0"/>
        </w:rPr>
        <w:t xml:space="preserve">. See </w:t>
      </w:r>
      <w:hyperlink w:anchor="love-and-pleasure">
        <w:r>
          <w:rPr>
            <w:color w:val="000000"/>
          </w:rPr>
          <w:t xml:space="preserve">Love and pleasure</w:t>
        </w:r>
      </w:hyperlink>
      <w:r>
        <w:rPr>
          <w:b w:val="0"/>
          <w:i w:val="0"/>
        </w:rPr>
        <w:t>.</w:t>
      </w:r>
    </w:p>
    <w:p>
      <w:pPr>
        <w:keepNext/>
        <w:widowControl/>
      </w:pPr>
      <w:bookmarkStart w:id="573" w:name="latin-record-0322"/>
      <w:bookmarkEnd w:id="573"/>
      <w:r>
        <w:rPr>
          <w:b/>
          <w:i w:val="0"/>
        </w:rPr>
        <w:t>diligentia / procurator</w:t>
      </w:r>
      <w:r>
        <w:rPr>
          <w:b/>
          <w:i w:val="0"/>
        </w:rPr>
        <w:t>.</w:t>
      </w:r>
      <w:r>
        <w:rPr>
          <w:b w:val="0"/>
          <w:i w:val="0"/>
        </w:rPr>
        <w:t xml:space="preserve"> Printed forms: </w:t>
      </w:r>
      <w:r>
        <w:rPr>
          <w:b w:val="0"/>
          <w:i/>
        </w:rPr>
        <w:t>diligentia</w:t>
      </w:r>
      <w:r>
        <w:rPr>
          <w:b w:val="0"/>
          <w:i w:val="0"/>
        </w:rPr>
        <w:t xml:space="preserve">; </w:t>
      </w:r>
      <w:r>
        <w:rPr>
          <w:b w:val="0"/>
          <w:i/>
        </w:rPr>
        <w:t>diligentior</w:t>
      </w:r>
      <w:r>
        <w:rPr>
          <w:b w:val="0"/>
          <w:i w:val="0"/>
        </w:rPr>
        <w:t xml:space="preserve">; </w:t>
      </w:r>
      <w:r>
        <w:rPr>
          <w:b w:val="0"/>
          <w:i/>
        </w:rPr>
        <w:t>procuratoris</w:t>
      </w:r>
      <w:r>
        <w:rPr>
          <w:b w:val="0"/>
          <w:i w:val="0"/>
        </w:rPr>
        <w:t>.</w:t>
      </w:r>
    </w:p>
    <w:p>
      <w:pPr>
        <w:widowControl/>
      </w:pPr>
      <w:r>
        <w:rPr>
          <w:b w:val="0"/>
          <w:i w:val="0"/>
        </w:rPr>
        <w:t xml:space="preserve">Attentive care / one who looks after. Productive fruitfulness is joined to continuing care for works regarded as children. References: </w:t>
      </w:r>
      <w:hyperlink w:anchor="passage-ii-13-2">
        <w:r>
          <w:rPr>
            <w:color w:val="000000"/>
          </w:rPr>
          <w:t xml:space="preserve">II.13.2</w:t>
        </w:r>
      </w:hyperlink>
      <w:r>
        <w:rPr>
          <w:b w:val="0"/>
          <w:i w:val="0"/>
        </w:rPr>
        <w:t xml:space="preserve">. See </w:t>
      </w:r>
      <w:hyperlink w:anchor="care-and-custody">
        <w:r>
          <w:rPr>
            <w:color w:val="000000"/>
          </w:rPr>
          <w:t xml:space="preserve">Care and custody</w:t>
        </w:r>
      </w:hyperlink>
      <w:r>
        <w:rPr>
          <w:b w:val="0"/>
          <w:i w:val="0"/>
        </w:rPr>
        <w:t>.</w:t>
      </w:r>
    </w:p>
    <w:p>
      <w:pPr>
        <w:keepNext/>
        <w:widowControl/>
      </w:pPr>
      <w:bookmarkStart w:id="574" w:name="latin-record-0323"/>
      <w:bookmarkEnd w:id="574"/>
      <w:r>
        <w:rPr>
          <w:b/>
          <w:i w:val="0"/>
        </w:rPr>
        <w:t>Dionysius Areopagita / Daniel</w:t>
      </w:r>
      <w:r>
        <w:rPr>
          <w:b/>
          <w:i w:val="0"/>
        </w:rPr>
        <w:t>.</w:t>
      </w:r>
      <w:r>
        <w:rPr>
          <w:b w:val="0"/>
          <w:i w:val="0"/>
        </w:rPr>
        <w:t xml:space="preserve"> Printed forms: </w:t>
      </w:r>
      <w:r>
        <w:rPr>
          <w:b w:val="0"/>
          <w:i/>
        </w:rPr>
        <w:t>Danielis</w:t>
      </w:r>
      <w:r>
        <w:rPr>
          <w:b w:val="0"/>
          <w:i w:val="0"/>
        </w:rPr>
        <w:t xml:space="preserve">; </w:t>
      </w:r>
      <w:r>
        <w:rPr>
          <w:b w:val="0"/>
          <w:i/>
        </w:rPr>
        <w:t>Dionysius Areopagita</w:t>
      </w:r>
      <w:r>
        <w:rPr>
          <w:b w:val="0"/>
          <w:i w:val="0"/>
        </w:rPr>
        <w:t>.</w:t>
      </w:r>
    </w:p>
    <w:p>
      <w:pPr>
        <w:widowControl/>
      </w:pPr>
      <w:r>
        <w:rPr>
          <w:b w:val="0"/>
          <w:i w:val="0"/>
        </w:rPr>
        <w:t xml:space="preserve">The named theological witnesses in the angelic-number passage. Ficino cites Dionysius for intellectual abundance and Daniel for ministering multitudes; his claims are preserved as attributions. References: </w:t>
      </w:r>
      <w:hyperlink w:anchor="passage-i-5-27">
        <w:r>
          <w:rPr>
            <w:color w:val="000000"/>
          </w:rPr>
          <w:t xml:space="preserve">I.5.27</w:t>
        </w:r>
      </w:hyperlink>
      <w:r>
        <w:rPr>
          <w:b w:val="0"/>
          <w:i w:val="0"/>
        </w:rPr>
        <w:t xml:space="preserve">. See </w:t>
      </w:r>
      <w:hyperlink w:anchor="dionysius-daniel-and-numerical-orders">
        <w:r>
          <w:rPr>
            <w:color w:val="000000"/>
          </w:rPr>
          <w:t xml:space="preserve">Dionysius, Daniel and numerical orders</w:t>
        </w:r>
      </w:hyperlink>
      <w:r>
        <w:rPr>
          <w:b w:val="0"/>
          <w:i w:val="0"/>
        </w:rPr>
        <w:t>.</w:t>
      </w:r>
    </w:p>
    <w:p>
      <w:pPr>
        <w:keepNext/>
        <w:widowControl/>
      </w:pPr>
      <w:bookmarkStart w:id="575" w:name="latin-record-0324"/>
      <w:bookmarkEnd w:id="575"/>
      <w:r>
        <w:rPr>
          <w:b/>
          <w:i w:val="0"/>
        </w:rPr>
        <w:t>dirigere / manifestus</w:t>
      </w:r>
      <w:r>
        <w:rPr>
          <w:b/>
          <w:i w:val="0"/>
        </w:rPr>
        <w:t>.</w:t>
      </w:r>
      <w:r>
        <w:rPr>
          <w:b w:val="0"/>
          <w:i w:val="0"/>
        </w:rPr>
        <w:t xml:space="preserve"> Printed forms: </w:t>
      </w:r>
      <w:r>
        <w:rPr>
          <w:b w:val="0"/>
          <w:i/>
        </w:rPr>
        <w:t>dirigere</w:t>
      </w:r>
      <w:r>
        <w:rPr>
          <w:b w:val="0"/>
          <w:i w:val="0"/>
        </w:rPr>
        <w:t xml:space="preserve">; </w:t>
      </w:r>
      <w:r>
        <w:rPr>
          <w:b w:val="0"/>
          <w:i/>
        </w:rPr>
        <w:t>diriguntur</w:t>
      </w:r>
      <w:r>
        <w:rPr>
          <w:b w:val="0"/>
          <w:i w:val="0"/>
        </w:rPr>
        <w:t xml:space="preserve">; </w:t>
      </w:r>
      <w:r>
        <w:rPr>
          <w:b w:val="0"/>
          <w:i/>
        </w:rPr>
        <w:t>manifestius</w:t>
      </w:r>
      <w:r>
        <w:rPr>
          <w:b w:val="0"/>
          <w:i w:val="0"/>
        </w:rPr>
        <w:t>.</w:t>
      </w:r>
    </w:p>
    <w:p>
      <w:pPr>
        <w:widowControl/>
      </w:pPr>
      <w:r>
        <w:rPr>
          <w:b w:val="0"/>
          <w:i w:val="0"/>
        </w:rPr>
        <w:t xml:space="preserve">To direct toward a region; manifest or conspicuous. More conspicuous local operations are distinguished from the universal presence claimed for minds in the attributed theory. References: </w:t>
      </w:r>
      <w:hyperlink w:anchor="passage-ii-6-24">
        <w:r>
          <w:rPr>
            <w:color w:val="000000"/>
          </w:rPr>
          <w:t xml:space="preserve">II.6.24</w:t>
        </w:r>
      </w:hyperlink>
      <w:r>
        <w:rPr>
          <w:b w:val="0"/>
          <w:i w:val="0"/>
        </w:rPr>
        <w:t xml:space="preserve">. See </w:t>
      </w:r>
      <w:hyperlink w:anchor="candles-and-the-hall">
        <w:r>
          <w:rPr>
            <w:color w:val="000000"/>
          </w:rPr>
          <w:t xml:space="preserve">Candles and the hall</w:t>
        </w:r>
      </w:hyperlink>
      <w:r>
        <w:rPr>
          <w:b w:val="0"/>
          <w:i w:val="0"/>
        </w:rPr>
        <w:t>.</w:t>
      </w:r>
    </w:p>
    <w:p>
      <w:pPr>
        <w:keepNext/>
        <w:widowControl/>
      </w:pPr>
      <w:bookmarkStart w:id="576" w:name="latin-record-0325"/>
      <w:bookmarkEnd w:id="576"/>
      <w:r>
        <w:rPr>
          <w:b/>
          <w:i w:val="0"/>
        </w:rPr>
        <w:t>discernere / animadvertere</w:t>
      </w:r>
      <w:r>
        <w:rPr>
          <w:b/>
          <w:i w:val="0"/>
        </w:rPr>
        <w:t>.</w:t>
      </w:r>
      <w:r>
        <w:rPr>
          <w:b w:val="0"/>
          <w:i w:val="0"/>
        </w:rPr>
        <w:t xml:space="preserve"> Printed forms: </w:t>
      </w:r>
      <w:r>
        <w:rPr>
          <w:b w:val="0"/>
          <w:i/>
        </w:rPr>
        <w:t>animadvertimus</w:t>
      </w:r>
      <w:r>
        <w:rPr>
          <w:b w:val="0"/>
          <w:i w:val="0"/>
        </w:rPr>
        <w:t xml:space="preserve">; </w:t>
      </w:r>
      <w:r>
        <w:rPr>
          <w:b w:val="0"/>
          <w:i/>
        </w:rPr>
        <w:t>discernamus</w:t>
      </w:r>
      <w:r>
        <w:rPr>
          <w:b w:val="0"/>
          <w:i w:val="0"/>
        </w:rPr>
        <w:t xml:space="preserve">; </w:t>
      </w:r>
      <w:r>
        <w:rPr>
          <w:b w:val="0"/>
          <w:i/>
        </w:rPr>
        <w:t>Discernere</w:t>
      </w:r>
      <w:r>
        <w:rPr>
          <w:b w:val="0"/>
          <w:i w:val="0"/>
        </w:rPr>
        <w:t xml:space="preserve">; </w:t>
      </w:r>
      <w:r>
        <w:rPr>
          <w:b w:val="0"/>
          <w:i/>
        </w:rPr>
        <w:t>discernit</w:t>
      </w:r>
      <w:r>
        <w:rPr>
          <w:b w:val="0"/>
          <w:i w:val="0"/>
        </w:rPr>
        <w:t>.</w:t>
      </w:r>
    </w:p>
    <w:p>
      <w:pPr>
        <w:widowControl/>
      </w:pPr>
      <w:r>
        <w:rPr>
          <w:b w:val="0"/>
          <w:i w:val="0"/>
        </w:rPr>
        <w:t xml:space="preserve">To discriminate or notice what is conceived. A person may conceive pure infinity without recognizing it as God; imagination also discriminates sensory contributions. References: </w:t>
      </w:r>
      <w:hyperlink w:anchor="passage-ii-5-2">
        <w:r>
          <w:rPr>
            <w:color w:val="000000"/>
          </w:rPr>
          <w:t xml:space="preserve">II.5.2</w:t>
        </w:r>
      </w:hyperlink>
      <w:r>
        <w:rPr>
          <w:b w:val="0"/>
          <w:i w:val="0"/>
        </w:rPr>
        <w:t xml:space="preserve">, </w:t>
      </w:r>
      <w:hyperlink w:anchor="passage-ii-6-12">
        <w:r>
          <w:rPr>
            <w:color w:val="000000"/>
          </w:rPr>
          <w:t xml:space="preserve">II.6.12</w:t>
        </w:r>
      </w:hyperlink>
      <w:r>
        <w:rPr>
          <w:b w:val="0"/>
          <w:i w:val="0"/>
        </w:rPr>
        <w:t xml:space="preserve">, </w:t>
      </w:r>
      <w:hyperlink w:anchor="passage-ii-9-16">
        <w:r>
          <w:rPr>
            <w:color w:val="000000"/>
          </w:rPr>
          <w:t xml:space="preserve">II.9.16</w:t>
        </w:r>
      </w:hyperlink>
      <w:r>
        <w:rPr>
          <w:b w:val="0"/>
          <w:i w:val="0"/>
        </w:rPr>
        <w:t xml:space="preserve">. See </w:t>
      </w:r>
      <w:hyperlink w:anchor="sense-and-imagination">
        <w:r>
          <w:rPr>
            <w:color w:val="000000"/>
          </w:rPr>
          <w:t xml:space="preserve">Sense and imagination</w:t>
        </w:r>
      </w:hyperlink>
      <w:r>
        <w:rPr>
          <w:b w:val="0"/>
          <w:i w:val="0"/>
        </w:rPr>
        <w:t>.</w:t>
      </w:r>
    </w:p>
    <w:p>
      <w:pPr>
        <w:keepNext/>
        <w:widowControl/>
      </w:pPr>
      <w:bookmarkStart w:id="577" w:name="latin-record-0326"/>
      <w:bookmarkEnd w:id="577"/>
      <w:r>
        <w:rPr>
          <w:b/>
          <w:i w:val="0"/>
        </w:rPr>
        <w:t>discessus / seorsum / semovere</w:t>
      </w:r>
      <w:r>
        <w:rPr>
          <w:b/>
          <w:i w:val="0"/>
        </w:rPr>
        <w:t>.</w:t>
      </w:r>
      <w:r>
        <w:rPr>
          <w:b w:val="0"/>
          <w:i w:val="0"/>
        </w:rPr>
        <w:t xml:space="preserve"> Printed forms: </w:t>
      </w:r>
      <w:r>
        <w:rPr>
          <w:b w:val="0"/>
          <w:i/>
        </w:rPr>
        <w:t>discessum</w:t>
      </w:r>
      <w:r>
        <w:rPr>
          <w:b w:val="0"/>
          <w:i w:val="0"/>
        </w:rPr>
        <w:t xml:space="preserve">; </w:t>
      </w:r>
      <w:r>
        <w:rPr>
          <w:b w:val="0"/>
          <w:i/>
        </w:rPr>
        <w:t>discessus</w:t>
      </w:r>
      <w:r>
        <w:rPr>
          <w:b w:val="0"/>
          <w:i w:val="0"/>
        </w:rPr>
        <w:t xml:space="preserve">; </w:t>
      </w:r>
      <w:r>
        <w:rPr>
          <w:b w:val="0"/>
          <w:i/>
        </w:rPr>
        <w:t>semotum</w:t>
      </w:r>
      <w:r>
        <w:rPr>
          <w:b w:val="0"/>
          <w:i w:val="0"/>
        </w:rPr>
        <w:t xml:space="preserve">; </w:t>
      </w:r>
      <w:r>
        <w:rPr>
          <w:b w:val="0"/>
          <w:i/>
        </w:rPr>
        <w:t>seorsum</w:t>
      </w:r>
      <w:r>
        <w:rPr>
          <w:b w:val="0"/>
          <w:i w:val="0"/>
        </w:rPr>
        <w:t xml:space="preserve">; </w:t>
      </w:r>
      <w:r>
        <w:rPr>
          <w:b w:val="0"/>
          <w:i/>
        </w:rPr>
        <w:t>separari</w:t>
      </w:r>
      <w:r>
        <w:rPr>
          <w:b w:val="0"/>
          <w:i w:val="0"/>
        </w:rPr>
        <w:t>.</w:t>
      </w:r>
    </w:p>
    <w:p>
      <w:pPr>
        <w:widowControl/>
      </w:pPr>
      <w:r>
        <w:rPr>
          <w:b w:val="0"/>
          <w:i w:val="0"/>
        </w:rPr>
        <w:t xml:space="preserve">Departure, apartness, or separation from matter and its conditions. Intelligible objecthood and intelligent subjecthood are distinguished even as both are traced to immateriality. References: </w:t>
      </w:r>
      <w:hyperlink w:anchor="passage-ii-9-1">
        <w:r>
          <w:rPr>
            <w:color w:val="000000"/>
          </w:rPr>
          <w:t xml:space="preserve">II.9.1</w:t>
        </w:r>
      </w:hyperlink>
      <w:r>
        <w:rPr>
          <w:b w:val="0"/>
          <w:i w:val="0"/>
        </w:rPr>
        <w:t xml:space="preserve">. See </w:t>
      </w:r>
      <w:hyperlink w:anchor="separation-and-abstraction">
        <w:r>
          <w:rPr>
            <w:color w:val="000000"/>
          </w:rPr>
          <w:t xml:space="preserve">Separation and abstraction</w:t>
        </w:r>
      </w:hyperlink>
      <w:r>
        <w:rPr>
          <w:b w:val="0"/>
          <w:i w:val="0"/>
        </w:rPr>
        <w:t>.</w:t>
      </w:r>
    </w:p>
    <w:p>
      <w:pPr>
        <w:keepNext/>
        <w:widowControl/>
      </w:pPr>
      <w:bookmarkStart w:id="578" w:name="latin-record-0327"/>
      <w:bookmarkEnd w:id="578"/>
      <w:r>
        <w:rPr>
          <w:b/>
          <w:i w:val="0"/>
        </w:rPr>
        <w:t>discretus</w:t>
      </w:r>
      <w:r>
        <w:rPr>
          <w:b/>
          <w:i w:val="0"/>
        </w:rPr>
        <w:t>.</w:t>
      </w:r>
      <w:r>
        <w:rPr>
          <w:b w:val="0"/>
          <w:i w:val="0"/>
        </w:rPr>
        <w:t xml:space="preserve"> Printed forms: </w:t>
      </w:r>
      <w:r>
        <w:rPr>
          <w:b w:val="0"/>
          <w:i/>
        </w:rPr>
        <w:t>discretae</w:t>
      </w:r>
      <w:r>
        <w:rPr>
          <w:b w:val="0"/>
          <w:i w:val="0"/>
        </w:rPr>
        <w:t>.</w:t>
      </w:r>
    </w:p>
    <w:p>
      <w:pPr>
        <w:widowControl/>
      </w:pPr>
      <w:r>
        <w:rPr>
          <w:b w:val="0"/>
          <w:i w:val="0"/>
        </w:rPr>
        <w:t xml:space="preserve">Distinguished or separated in degree. Created minds and souls differ by degrees of perfection; these differences belong to God’s causal scope. References: </w:t>
      </w:r>
      <w:hyperlink w:anchor="passage-ii-11-9">
        <w:r>
          <w:rPr>
            <w:color w:val="000000"/>
          </w:rPr>
          <w:t xml:space="preserve">II.11.9</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579" w:name="latin-record-0328"/>
      <w:bookmarkEnd w:id="579"/>
      <w:r>
        <w:rPr>
          <w:b/>
          <w:i w:val="0"/>
        </w:rPr>
        <w:t>discurrere / cursus</w:t>
      </w:r>
      <w:r>
        <w:rPr>
          <w:b/>
          <w:i w:val="0"/>
        </w:rPr>
        <w:t>.</w:t>
      </w:r>
      <w:r>
        <w:rPr>
          <w:b w:val="0"/>
          <w:i w:val="0"/>
        </w:rPr>
        <w:t xml:space="preserve"> Printed forms: </w:t>
      </w:r>
      <w:r>
        <w:rPr>
          <w:b w:val="0"/>
          <w:i/>
        </w:rPr>
        <w:t>discurrere</w:t>
      </w:r>
      <w:r>
        <w:rPr>
          <w:b w:val="0"/>
          <w:i w:val="0"/>
        </w:rPr>
        <w:t xml:space="preserve">; </w:t>
      </w:r>
      <w:r>
        <w:rPr>
          <w:b w:val="0"/>
          <w:i/>
        </w:rPr>
        <w:t>discurrit</w:t>
      </w:r>
      <w:r>
        <w:rPr>
          <w:b w:val="0"/>
          <w:i w:val="0"/>
        </w:rPr>
        <w:t>.</w:t>
      </w:r>
    </w:p>
    <w:p>
      <w:pPr>
        <w:widowControl/>
      </w:pPr>
      <w:r>
        <w:rPr>
          <w:b w:val="0"/>
          <w:i w:val="0"/>
        </w:rPr>
        <w:t xml:space="preserve">To range or run through a course, in thought, activity, or time. The mind’s ranging activity helps the reported presence argument; the word need not signify spoken discourse. References: </w:t>
      </w:r>
      <w:hyperlink w:anchor="passage-ii-4-7">
        <w:r>
          <w:rPr>
            <w:color w:val="000000"/>
          </w:rPr>
          <w:t xml:space="preserve">II.4.7</w:t>
        </w:r>
      </w:hyperlink>
      <w:r>
        <w:rPr>
          <w:b w:val="0"/>
          <w:i w:val="0"/>
        </w:rPr>
        <w:t xml:space="preserve">, </w:t>
      </w:r>
      <w:hyperlink w:anchor="passage-ii-6-17">
        <w:r>
          <w:rPr>
            <w:color w:val="000000"/>
          </w:rPr>
          <w:t xml:space="preserve">II.6.17</w:t>
        </w:r>
      </w:hyperlink>
      <w:r>
        <w:rPr>
          <w:b w:val="0"/>
          <w:i w:val="0"/>
        </w:rPr>
        <w:t xml:space="preserve">, </w:t>
      </w:r>
      <w:hyperlink w:anchor="passage-ii-6-22">
        <w:r>
          <w:rPr>
            <w:color w:val="000000"/>
          </w:rPr>
          <w:t xml:space="preserve">II.6.22</w:t>
        </w:r>
      </w:hyperlink>
      <w:r>
        <w:rPr>
          <w:b w:val="0"/>
          <w:i w:val="0"/>
        </w:rPr>
        <w:t xml:space="preserve">. See </w:t>
      </w:r>
      <w:hyperlink w:anchor="intuition-and-discourse">
        <w:r>
          <w:rPr>
            <w:color w:val="000000"/>
          </w:rPr>
          <w:t xml:space="preserve">Intuition and discourse</w:t>
        </w:r>
      </w:hyperlink>
      <w:r>
        <w:rPr>
          <w:b w:val="0"/>
          <w:i w:val="0"/>
        </w:rPr>
        <w:t>.</w:t>
      </w:r>
    </w:p>
    <w:p>
      <w:pPr>
        <w:keepNext/>
        <w:widowControl/>
      </w:pPr>
      <w:bookmarkStart w:id="580" w:name="latin-record-0329"/>
      <w:bookmarkEnd w:id="580"/>
      <w:r>
        <w:rPr>
          <w:b/>
          <w:i w:val="0"/>
        </w:rPr>
        <w:t>discursio</w:t>
      </w:r>
      <w:r>
        <w:rPr>
          <w:b/>
          <w:i w:val="0"/>
        </w:rPr>
        <w:t>.</w:t>
      </w:r>
      <w:r>
        <w:rPr>
          <w:b w:val="0"/>
          <w:i w:val="0"/>
        </w:rPr>
        <w:t xml:space="preserve"> Printed forms: </w:t>
      </w:r>
      <w:r>
        <w:rPr>
          <w:b w:val="0"/>
          <w:i/>
        </w:rPr>
        <w:t>discursio</w:t>
      </w:r>
      <w:r>
        <w:rPr>
          <w:b w:val="0"/>
          <w:i w:val="0"/>
        </w:rPr>
        <w:t>.</w:t>
      </w:r>
    </w:p>
    <w:p>
      <w:pPr>
        <w:widowControl/>
      </w:pPr>
      <w:r>
        <w:rPr>
          <w:b w:val="0"/>
          <w:i w:val="0"/>
        </w:rPr>
        <w:t xml:space="preserve">A line or course of reasoning. Ficino labels the argument from angelic multiplicity to divine simplicity his first route of proof above the angel; it is not a movement of God’s own thought. References: </w:t>
      </w:r>
      <w:hyperlink w:anchor="passage-i-6-6">
        <w:r>
          <w:rPr>
            <w:color w:val="000000"/>
          </w:rPr>
          <w:t xml:space="preserve">I.6.6</w:t>
        </w:r>
      </w:hyperlink>
      <w:r>
        <w:rPr>
          <w:b w:val="0"/>
          <w:i w:val="0"/>
        </w:rPr>
        <w:t xml:space="preserve">. See </w:t>
      </w:r>
      <w:hyperlink w:anchor="intuition-and-discourse">
        <w:r>
          <w:rPr>
            <w:color w:val="000000"/>
          </w:rPr>
          <w:t xml:space="preserve">Intuition and discourse</w:t>
        </w:r>
      </w:hyperlink>
      <w:r>
        <w:rPr>
          <w:b w:val="0"/>
          <w:i w:val="0"/>
        </w:rPr>
        <w:t>.</w:t>
      </w:r>
    </w:p>
    <w:p>
      <w:pPr>
        <w:keepNext/>
        <w:widowControl/>
      </w:pPr>
      <w:bookmarkStart w:id="581" w:name="latin-record-0330"/>
      <w:bookmarkEnd w:id="581"/>
      <w:r>
        <w:rPr>
          <w:b/>
          <w:i w:val="0"/>
        </w:rPr>
        <w:t>discursio / discerptio family</w:t>
      </w:r>
      <w:r>
        <w:rPr>
          <w:b/>
          <w:i w:val="0"/>
        </w:rPr>
        <w:t>.</w:t>
      </w:r>
      <w:r>
        <w:rPr>
          <w:b w:val="0"/>
          <w:i w:val="0"/>
        </w:rPr>
        <w:t xml:space="preserve"> Printed forms: </w:t>
      </w:r>
      <w:r>
        <w:rPr>
          <w:b w:val="0"/>
          <w:i/>
        </w:rPr>
        <w:t>discerptam</w:t>
      </w:r>
      <w:r>
        <w:rPr>
          <w:b w:val="0"/>
          <w:i w:val="0"/>
        </w:rPr>
        <w:t xml:space="preserve">; </w:t>
      </w:r>
      <w:r>
        <w:rPr>
          <w:b w:val="0"/>
          <w:i/>
        </w:rPr>
        <w:t>discerptatur</w:t>
      </w:r>
      <w:r>
        <w:rPr>
          <w:b w:val="0"/>
          <w:i w:val="0"/>
        </w:rPr>
        <w:t xml:space="preserve">; </w:t>
      </w:r>
      <w:r>
        <w:rPr>
          <w:b w:val="0"/>
          <w:i/>
        </w:rPr>
        <w:t>discursione</w:t>
      </w:r>
      <w:r>
        <w:rPr>
          <w:b w:val="0"/>
          <w:i w:val="0"/>
        </w:rPr>
        <w:t>.</w:t>
      </w:r>
    </w:p>
    <w:p>
      <w:pPr>
        <w:widowControl/>
      </w:pPr>
      <w:r>
        <w:rPr>
          <w:b w:val="0"/>
          <w:i w:val="0"/>
        </w:rPr>
        <w:t xml:space="preserve">Temporal running-through / tearing into parts. Soul’s successive operation is distinguished from spatial dismemberment; the similar-looking words must not be conflated. References: </w:t>
      </w:r>
      <w:hyperlink w:anchor="passage-iii-2-21">
        <w:r>
          <w:rPr>
            <w:color w:val="000000"/>
          </w:rPr>
          <w:t xml:space="preserve">III.2.21</w:t>
        </w:r>
      </w:hyperlink>
      <w:r>
        <w:rPr>
          <w:b w:val="0"/>
          <w:i w:val="0"/>
        </w:rPr>
        <w:t xml:space="preserve">, </w:t>
      </w:r>
      <w:hyperlink w:anchor="passage-iii-2-22">
        <w:r>
          <w:rPr>
            <w:color w:val="000000"/>
          </w:rPr>
          <w:t xml:space="preserve">III.2.22</w:t>
        </w:r>
      </w:hyperlink>
      <w:r>
        <w:rPr>
          <w:b w:val="0"/>
          <w:i w:val="0"/>
        </w:rPr>
        <w:t xml:space="preserve">. See </w:t>
      </w:r>
      <w:hyperlink w:anchor="indivisibility">
        <w:r>
          <w:rPr>
            <w:color w:val="000000"/>
          </w:rPr>
          <w:t xml:space="preserve">Indivisibility</w:t>
        </w:r>
      </w:hyperlink>
      <w:r>
        <w:rPr>
          <w:b w:val="0"/>
          <w:i w:val="0"/>
        </w:rPr>
        <w:t>.</w:t>
      </w:r>
    </w:p>
    <w:p>
      <w:pPr>
        <w:keepNext/>
        <w:widowControl/>
      </w:pPr>
      <w:bookmarkStart w:id="582" w:name="latin-record-0331"/>
      <w:bookmarkEnd w:id="582"/>
      <w:r>
        <w:rPr>
          <w:b/>
          <w:i w:val="0"/>
        </w:rPr>
        <w:t>discursus / discurrere</w:t>
      </w:r>
      <w:r>
        <w:rPr>
          <w:b/>
          <w:i w:val="0"/>
        </w:rPr>
        <w:t>.</w:t>
      </w:r>
      <w:r>
        <w:rPr>
          <w:b w:val="0"/>
          <w:i w:val="0"/>
        </w:rPr>
        <w:t xml:space="preserve"> Printed forms: </w:t>
      </w:r>
      <w:r>
        <w:rPr>
          <w:b w:val="0"/>
          <w:i/>
        </w:rPr>
        <w:t>discurrendo</w:t>
      </w:r>
      <w:r>
        <w:rPr>
          <w:b w:val="0"/>
          <w:i w:val="0"/>
        </w:rPr>
        <w:t xml:space="preserve">; </w:t>
      </w:r>
      <w:r>
        <w:rPr>
          <w:b w:val="0"/>
          <w:i/>
        </w:rPr>
        <w:t>discurrens</w:t>
      </w:r>
      <w:r>
        <w:rPr>
          <w:b w:val="0"/>
          <w:i w:val="0"/>
        </w:rPr>
        <w:t xml:space="preserve">; </w:t>
      </w:r>
      <w:r>
        <w:rPr>
          <w:b w:val="0"/>
          <w:i/>
        </w:rPr>
        <w:t>discursum</w:t>
      </w:r>
      <w:r>
        <w:rPr>
          <w:b w:val="0"/>
          <w:i w:val="0"/>
        </w:rPr>
        <w:t>.</w:t>
      </w:r>
    </w:p>
    <w:p>
      <w:pPr>
        <w:widowControl/>
      </w:pPr>
      <w:r>
        <w:rPr>
          <w:b w:val="0"/>
          <w:i w:val="0"/>
        </w:rPr>
        <w:t xml:space="preserve">A running through / proceed successively. Temporal discourse characterizes soul’s knowing, unlike the simultaneous intuition attributed to higher intelligence. References: </w:t>
      </w:r>
      <w:hyperlink w:anchor="passage-iii-1-28">
        <w:r>
          <w:rPr>
            <w:color w:val="000000"/>
          </w:rPr>
          <w:t xml:space="preserve">III.1.28</w:t>
        </w:r>
      </w:hyperlink>
      <w:r>
        <w:rPr>
          <w:b w:val="0"/>
          <w:i w:val="0"/>
        </w:rPr>
        <w:t xml:space="preserve">, </w:t>
      </w:r>
      <w:hyperlink w:anchor="passage-iii-2-29">
        <w:r>
          <w:rPr>
            <w:color w:val="000000"/>
          </w:rPr>
          <w:t xml:space="preserve">III.2.29</w:t>
        </w:r>
      </w:hyperlink>
      <w:r>
        <w:rPr>
          <w:b w:val="0"/>
          <w:i w:val="0"/>
        </w:rPr>
        <w:t xml:space="preserve">, </w:t>
      </w:r>
      <w:hyperlink w:anchor="passage-iii-2-30">
        <w:r>
          <w:rPr>
            <w:color w:val="000000"/>
          </w:rPr>
          <w:t xml:space="preserve">III.2.30</w:t>
        </w:r>
      </w:hyperlink>
      <w:r>
        <w:rPr>
          <w:b w:val="0"/>
          <w:i w:val="0"/>
        </w:rPr>
        <w:t xml:space="preserve">. See </w:t>
      </w:r>
      <w:hyperlink w:anchor="intuition-and-discourse">
        <w:r>
          <w:rPr>
            <w:color w:val="000000"/>
          </w:rPr>
          <w:t xml:space="preserve">Intuition and discourse</w:t>
        </w:r>
      </w:hyperlink>
      <w:r>
        <w:rPr>
          <w:b w:val="0"/>
          <w:i w:val="0"/>
        </w:rPr>
        <w:t>.</w:t>
      </w:r>
    </w:p>
    <w:p>
      <w:pPr>
        <w:keepNext/>
        <w:widowControl/>
      </w:pPr>
      <w:bookmarkStart w:id="583" w:name="latin-record-0332"/>
      <w:bookmarkEnd w:id="583"/>
      <w:r>
        <w:rPr>
          <w:b/>
          <w:i w:val="0"/>
        </w:rPr>
        <w:t>disiungere / disponere / instituere</w:t>
      </w:r>
      <w:r>
        <w:rPr>
          <w:b/>
          <w:i w:val="0"/>
        </w:rPr>
        <w:t>.</w:t>
      </w:r>
      <w:r>
        <w:rPr>
          <w:b w:val="0"/>
          <w:i w:val="0"/>
        </w:rPr>
        <w:t xml:space="preserve"> Printed forms: </w:t>
      </w:r>
      <w:r>
        <w:rPr>
          <w:b w:val="0"/>
          <w:i/>
        </w:rPr>
        <w:t>disiunguntur</w:t>
      </w:r>
      <w:r>
        <w:rPr>
          <w:b w:val="0"/>
          <w:i w:val="0"/>
        </w:rPr>
        <w:t xml:space="preserve">; </w:t>
      </w:r>
      <w:r>
        <w:rPr>
          <w:b w:val="0"/>
          <w:i/>
        </w:rPr>
        <w:t>disponimus</w:t>
      </w:r>
      <w:r>
        <w:rPr>
          <w:b w:val="0"/>
          <w:i w:val="0"/>
        </w:rPr>
        <w:t xml:space="preserve">; </w:t>
      </w:r>
      <w:r>
        <w:rPr>
          <w:b w:val="0"/>
          <w:i/>
        </w:rPr>
        <w:t>institutus</w:t>
      </w:r>
      <w:r>
        <w:rPr>
          <w:b w:val="0"/>
          <w:i w:val="0"/>
        </w:rPr>
        <w:t>.</w:t>
      </w:r>
    </w:p>
    <w:p>
      <w:pPr>
        <w:widowControl/>
      </w:pPr>
      <w:r>
        <w:rPr>
          <w:b w:val="0"/>
          <w:i w:val="0"/>
        </w:rPr>
        <w:t xml:space="preserve">To separate, arrange, or establish. Different natures as such disjoin; their mutual order calls for an arranger, and the order of effects reveals causes. References: </w:t>
      </w:r>
      <w:hyperlink w:anchor="passage-ii-2-8">
        <w:r>
          <w:rPr>
            <w:color w:val="000000"/>
          </w:rPr>
          <w:t xml:space="preserve">II.2.8</w:t>
        </w:r>
      </w:hyperlink>
      <w:r>
        <w:rPr>
          <w:b w:val="0"/>
          <w:i w:val="0"/>
        </w:rPr>
        <w:t xml:space="preserve">, </w:t>
      </w:r>
      <w:hyperlink w:anchor="passage-ii-7-28">
        <w:r>
          <w:rPr>
            <w:color w:val="000000"/>
          </w:rPr>
          <w:t xml:space="preserve">II.7.28</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584" w:name="latin-record-0333"/>
      <w:bookmarkEnd w:id="584"/>
      <w:r>
        <w:rPr>
          <w:b/>
          <w:i w:val="0"/>
        </w:rPr>
        <w:t>dispergo / distractio</w:t>
      </w:r>
      <w:r>
        <w:rPr>
          <w:b/>
          <w:i w:val="0"/>
        </w:rPr>
        <w:t>.</w:t>
      </w:r>
      <w:r>
        <w:rPr>
          <w:b w:val="0"/>
          <w:i w:val="0"/>
        </w:rPr>
        <w:t xml:space="preserve"> Printed forms: </w:t>
      </w:r>
      <w:r>
        <w:rPr>
          <w:b w:val="0"/>
          <w:i/>
        </w:rPr>
        <w:t>dispergit</w:t>
      </w:r>
      <w:r>
        <w:rPr>
          <w:b w:val="0"/>
          <w:i w:val="0"/>
        </w:rPr>
        <w:t xml:space="preserve">; </w:t>
      </w:r>
      <w:r>
        <w:rPr>
          <w:b w:val="0"/>
          <w:i/>
        </w:rPr>
        <w:t>dispersa</w:t>
      </w:r>
      <w:r>
        <w:rPr>
          <w:b w:val="0"/>
          <w:i w:val="0"/>
        </w:rPr>
        <w:t xml:space="preserve">; </w:t>
      </w:r>
      <w:r>
        <w:rPr>
          <w:b w:val="0"/>
          <w:i/>
        </w:rPr>
        <w:t>dispersione</w:t>
      </w:r>
      <w:r>
        <w:rPr>
          <w:b w:val="0"/>
          <w:i w:val="0"/>
        </w:rPr>
        <w:t xml:space="preserve">; </w:t>
      </w:r>
      <w:r>
        <w:rPr>
          <w:b w:val="0"/>
          <w:i/>
        </w:rPr>
        <w:t>distracta</w:t>
      </w:r>
      <w:r>
        <w:rPr>
          <w:b w:val="0"/>
          <w:i w:val="0"/>
        </w:rPr>
        <w:t>.</w:t>
      </w:r>
    </w:p>
    <w:p>
      <w:pPr>
        <w:widowControl/>
      </w:pPr>
      <w:r>
        <w:rPr>
          <w:b w:val="0"/>
          <w:i w:val="0"/>
        </w:rPr>
        <w:t xml:space="preserve">Scattering or drawing apart. Separated parts dilute active power; the related temporal description of soul’s life is analogical rather than literal bodily division. References: </w:t>
      </w:r>
      <w:hyperlink w:anchor="passage-i-2-2">
        <w:r>
          <w:rPr>
            <w:color w:val="000000"/>
          </w:rPr>
          <w:t xml:space="preserve">I.2.2</w:t>
        </w:r>
      </w:hyperlink>
      <w:r>
        <w:rPr>
          <w:b w:val="0"/>
          <w:i w:val="0"/>
        </w:rPr>
        <w:t xml:space="preserve">, </w:t>
      </w:r>
      <w:hyperlink w:anchor="passage-i-2-17">
        <w:r>
          <w:rPr>
            <w:color w:val="000000"/>
          </w:rPr>
          <w:t xml:space="preserve">I.2.17</w:t>
        </w:r>
      </w:hyperlink>
      <w:r>
        <w:rPr>
          <w:b w:val="0"/>
          <w:i w:val="0"/>
        </w:rPr>
        <w:t xml:space="preserve">, </w:t>
      </w:r>
      <w:hyperlink w:anchor="passage-i-5-2">
        <w:r>
          <w:rPr>
            <w:color w:val="000000"/>
          </w:rPr>
          <w:t xml:space="preserve">I.5.2</w:t>
        </w:r>
      </w:hyperlink>
      <w:r>
        <w:rPr>
          <w:b w:val="0"/>
          <w:i w:val="0"/>
        </w:rPr>
        <w:t xml:space="preserve">. See </w:t>
      </w:r>
      <w:hyperlink w:anchor="dispersion-and-concentration">
        <w:r>
          <w:rPr>
            <w:color w:val="000000"/>
          </w:rPr>
          <w:t xml:space="preserve">Dispersion and concentration</w:t>
        </w:r>
      </w:hyperlink>
      <w:r>
        <w:rPr>
          <w:b w:val="0"/>
          <w:i w:val="0"/>
        </w:rPr>
        <w:t>.</w:t>
      </w:r>
    </w:p>
    <w:p>
      <w:pPr>
        <w:keepNext/>
        <w:widowControl/>
      </w:pPr>
      <w:bookmarkStart w:id="585" w:name="latin-record-0334"/>
      <w:bookmarkEnd w:id="585"/>
      <w:r>
        <w:rPr>
          <w:b/>
          <w:i w:val="0"/>
        </w:rPr>
        <w:t>dispersio / imbecillitas</w:t>
      </w:r>
      <w:r>
        <w:rPr>
          <w:b/>
          <w:i w:val="0"/>
        </w:rPr>
        <w:t>.</w:t>
      </w:r>
      <w:r>
        <w:rPr>
          <w:b w:val="0"/>
          <w:i w:val="0"/>
        </w:rPr>
        <w:t xml:space="preserve"> Printed forms: </w:t>
      </w:r>
      <w:r>
        <w:rPr>
          <w:b w:val="0"/>
          <w:i/>
        </w:rPr>
        <w:t>dispersione</w:t>
      </w:r>
      <w:r>
        <w:rPr>
          <w:b w:val="0"/>
          <w:i w:val="0"/>
        </w:rPr>
        <w:t xml:space="preserve">; </w:t>
      </w:r>
      <w:r>
        <w:rPr>
          <w:b w:val="0"/>
          <w:i/>
        </w:rPr>
        <w:t>imbecillitas</w:t>
      </w:r>
      <w:r>
        <w:rPr>
          <w:b w:val="0"/>
          <w:i w:val="0"/>
        </w:rPr>
        <w:t>.</w:t>
      </w:r>
    </w:p>
    <w:p>
      <w:pPr>
        <w:widowControl/>
      </w:pPr>
      <w:r>
        <w:rPr>
          <w:b w:val="0"/>
          <w:i w:val="0"/>
        </w:rPr>
        <w:t xml:space="preserve">Dispersion and weakness. Supreme dispersion is opposed to supreme unity as weakness to unlimited power. References: </w:t>
      </w:r>
      <w:hyperlink w:anchor="passage-ii-4-1">
        <w:r>
          <w:rPr>
            <w:color w:val="000000"/>
          </w:rPr>
          <w:t xml:space="preserve">II.4.1</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586" w:name="latin-record-0335"/>
      <w:bookmarkEnd w:id="586"/>
      <w:r>
        <w:rPr>
          <w:b/>
          <w:i w:val="0"/>
        </w:rPr>
        <w:t>disponere</w:t>
      </w:r>
      <w:r>
        <w:rPr>
          <w:b/>
          <w:i w:val="0"/>
        </w:rPr>
        <w:t>.</w:t>
      </w:r>
      <w:r>
        <w:rPr>
          <w:b w:val="0"/>
          <w:i w:val="0"/>
        </w:rPr>
        <w:t xml:space="preserve"> Printed forms: </w:t>
      </w:r>
      <w:r>
        <w:rPr>
          <w:b w:val="0"/>
          <w:i/>
        </w:rPr>
        <w:t>disponendam</w:t>
      </w:r>
      <w:r>
        <w:rPr>
          <w:b w:val="0"/>
          <w:i w:val="0"/>
        </w:rPr>
        <w:t xml:space="preserve">; </w:t>
      </w:r>
      <w:r>
        <w:rPr>
          <w:b w:val="0"/>
          <w:i/>
        </w:rPr>
        <w:t>disposita</w:t>
      </w:r>
      <w:r>
        <w:rPr>
          <w:b w:val="0"/>
          <w:i w:val="0"/>
        </w:rPr>
        <w:t>.</w:t>
      </w:r>
    </w:p>
    <w:p>
      <w:pPr>
        <w:widowControl/>
      </w:pPr>
      <w:r>
        <w:rPr>
          <w:b w:val="0"/>
          <w:i w:val="0"/>
        </w:rPr>
        <w:t xml:space="preserve">To arrange or prepare material. The soul’s preparation of matter accompanies its determination of the incoming impulses. References: </w:t>
      </w:r>
      <w:hyperlink w:anchor="passage-iv-1-9">
        <w:r>
          <w:rPr>
            <w:color w:val="000000"/>
          </w:rPr>
          <w:t xml:space="preserve">IV.1.9</w:t>
        </w:r>
      </w:hyperlink>
      <w:r>
        <w:rPr>
          <w:b w:val="0"/>
          <w:i w:val="0"/>
        </w:rPr>
        <w:t xml:space="preserve">. See </w:t>
      </w:r>
      <w:hyperlink w:anchor="contraction-and-determination">
        <w:r>
          <w:rPr>
            <w:color w:val="000000"/>
          </w:rPr>
          <w:t xml:space="preserve">Contraction and determination</w:t>
        </w:r>
      </w:hyperlink>
      <w:r>
        <w:rPr>
          <w:b w:val="0"/>
          <w:i w:val="0"/>
        </w:rPr>
        <w:t>.</w:t>
      </w:r>
    </w:p>
    <w:p>
      <w:pPr>
        <w:keepNext/>
        <w:widowControl/>
      </w:pPr>
      <w:bookmarkStart w:id="587" w:name="latin-record-0336"/>
      <w:bookmarkEnd w:id="587"/>
      <w:r>
        <w:rPr>
          <w:b/>
          <w:i w:val="0"/>
        </w:rPr>
        <w:t>dissolubilis / indissolubilis</w:t>
      </w:r>
      <w:r>
        <w:rPr>
          <w:b/>
          <w:i w:val="0"/>
        </w:rPr>
        <w:t>.</w:t>
      </w:r>
      <w:r>
        <w:rPr>
          <w:b w:val="0"/>
          <w:i w:val="0"/>
        </w:rPr>
        <w:t xml:space="preserve"> Printed forms: </w:t>
      </w:r>
      <w:r>
        <w:rPr>
          <w:b w:val="0"/>
          <w:i/>
        </w:rPr>
        <w:t>dissolubiles</w:t>
      </w:r>
      <w:r>
        <w:rPr>
          <w:b w:val="0"/>
          <w:i w:val="0"/>
        </w:rPr>
        <w:t xml:space="preserve">; </w:t>
      </w:r>
      <w:r>
        <w:rPr>
          <w:b w:val="0"/>
          <w:i/>
        </w:rPr>
        <w:t>dissolubilia</w:t>
      </w:r>
      <w:r>
        <w:rPr>
          <w:b w:val="0"/>
          <w:i w:val="0"/>
        </w:rPr>
        <w:t xml:space="preserve">; </w:t>
      </w:r>
      <w:r>
        <w:rPr>
          <w:b w:val="0"/>
          <w:i/>
        </w:rPr>
        <w:t>indissolubiles</w:t>
      </w:r>
      <w:r>
        <w:rPr>
          <w:b w:val="0"/>
          <w:i w:val="0"/>
        </w:rPr>
        <w:t>.</w:t>
      </w:r>
    </w:p>
    <w:p>
      <w:pPr>
        <w:widowControl/>
      </w:pPr>
      <w:r>
        <w:rPr>
          <w:b w:val="0"/>
          <w:i w:val="0"/>
        </w:rPr>
        <w:t xml:space="preserve">Dissoluble / indissoluble. Some created beings are described as dissoluble in themselves but preserved indissoluble; God’s indissolubility has a different ground. References: </w:t>
      </w:r>
      <w:hyperlink w:anchor="passage-iii-1-5">
        <w:r>
          <w:rPr>
            <w:color w:val="000000"/>
          </w:rPr>
          <w:t xml:space="preserve">III.1.5</w:t>
        </w:r>
      </w:hyperlink>
      <w:r>
        <w:rPr>
          <w:b w:val="0"/>
          <w:i w:val="0"/>
        </w:rPr>
        <w:t xml:space="preserve">. See </w:t>
      </w:r>
      <w:hyperlink w:anchor="conservation-and-preservation">
        <w:r>
          <w:rPr>
            <w:color w:val="000000"/>
          </w:rPr>
          <w:t xml:space="preserve">Conservation and preservation</w:t>
        </w:r>
      </w:hyperlink>
      <w:r>
        <w:rPr>
          <w:b w:val="0"/>
          <w:i w:val="0"/>
        </w:rPr>
        <w:t>.</w:t>
      </w:r>
    </w:p>
    <w:p>
      <w:pPr>
        <w:keepNext/>
        <w:widowControl/>
      </w:pPr>
      <w:bookmarkStart w:id="588" w:name="latin-record-0337"/>
      <w:bookmarkEnd w:id="588"/>
      <w:r>
        <w:rPr>
          <w:b/>
          <w:i w:val="0"/>
        </w:rPr>
        <w:t>dissolvere / condensare</w:t>
      </w:r>
      <w:r>
        <w:rPr>
          <w:b/>
          <w:i w:val="0"/>
        </w:rPr>
        <w:t>.</w:t>
      </w:r>
      <w:r>
        <w:rPr>
          <w:b w:val="0"/>
          <w:i w:val="0"/>
        </w:rPr>
        <w:t xml:space="preserve"> Printed forms: </w:t>
      </w:r>
      <w:r>
        <w:rPr>
          <w:b w:val="0"/>
          <w:i/>
        </w:rPr>
        <w:t>condensat</w:t>
      </w:r>
      <w:r>
        <w:rPr>
          <w:b w:val="0"/>
          <w:i w:val="0"/>
        </w:rPr>
        <w:t xml:space="preserve">; </w:t>
      </w:r>
      <w:r>
        <w:rPr>
          <w:b w:val="0"/>
          <w:i/>
        </w:rPr>
        <w:t>dissolvit</w:t>
      </w:r>
      <w:r>
        <w:rPr>
          <w:b w:val="0"/>
          <w:i w:val="0"/>
        </w:rPr>
        <w:t>.</w:t>
      </w:r>
    </w:p>
    <w:p>
      <w:pPr>
        <w:widowControl/>
      </w:pPr>
      <w:r>
        <w:rPr>
          <w:b w:val="0"/>
          <w:i w:val="0"/>
        </w:rPr>
        <w:t xml:space="preserve">Dissolve / condense. The historical physical account assigns these opposing operations to heat and cold; their useful measure requires further explanation. References: </w:t>
      </w:r>
      <w:hyperlink w:anchor="passage-ii-13-7">
        <w:r>
          <w:rPr>
            <w:color w:val="000000"/>
          </w:rPr>
          <w:t xml:space="preserve">II.13.7</w:t>
        </w:r>
      </w:hyperlink>
      <w:r>
        <w:rPr>
          <w:b w:val="0"/>
          <w:i w:val="0"/>
        </w:rPr>
        <w:t xml:space="preserve">. See </w:t>
      </w:r>
      <w:hyperlink w:anchor="fire-and-variable-materials">
        <w:r>
          <w:rPr>
            <w:color w:val="000000"/>
          </w:rPr>
          <w:t xml:space="preserve">Fire and variable materials</w:t>
        </w:r>
      </w:hyperlink>
      <w:r>
        <w:rPr>
          <w:b w:val="0"/>
          <w:i w:val="0"/>
        </w:rPr>
        <w:t>.</w:t>
      </w:r>
    </w:p>
    <w:p>
      <w:pPr>
        <w:keepNext/>
        <w:widowControl/>
      </w:pPr>
      <w:bookmarkStart w:id="589" w:name="latin-record-0338"/>
      <w:bookmarkEnd w:id="589"/>
      <w:r>
        <w:rPr>
          <w:b/>
          <w:i w:val="0"/>
        </w:rPr>
        <w:t>distare</w:t>
      </w:r>
      <w:r>
        <w:rPr>
          <w:b/>
          <w:i w:val="0"/>
        </w:rPr>
        <w:t>.</w:t>
      </w:r>
      <w:r>
        <w:rPr>
          <w:b w:val="0"/>
          <w:i w:val="0"/>
        </w:rPr>
        <w:t xml:space="preserve"> Printed forms: </w:t>
      </w:r>
      <w:r>
        <w:rPr>
          <w:b w:val="0"/>
          <w:i/>
        </w:rPr>
        <w:t>distaret</w:t>
      </w:r>
      <w:r>
        <w:rPr>
          <w:b w:val="0"/>
          <w:i w:val="0"/>
        </w:rPr>
        <w:t xml:space="preserve">; </w:t>
      </w:r>
      <w:r>
        <w:rPr>
          <w:b w:val="0"/>
          <w:i/>
        </w:rPr>
        <w:t>distat</w:t>
      </w:r>
      <w:r>
        <w:rPr>
          <w:b w:val="0"/>
          <w:i w:val="0"/>
        </w:rPr>
        <w:t>.</w:t>
      </w:r>
    </w:p>
    <w:p>
      <w:pPr>
        <w:widowControl/>
      </w:pPr>
      <w:r>
        <w:rPr>
          <w:b w:val="0"/>
          <w:i w:val="0"/>
        </w:rPr>
        <w:t xml:space="preserve">To be distant or separated, in rank or in degree of actualization. The body’s distance from supreme goodness and nonbeing’s distance from act are not measurements of physical location. References: </w:t>
      </w:r>
      <w:hyperlink w:anchor="passage-ii-3-4">
        <w:r>
          <w:rPr>
            <w:color w:val="000000"/>
          </w:rPr>
          <w:t xml:space="preserve">II.3.4</w:t>
        </w:r>
      </w:hyperlink>
      <w:r>
        <w:rPr>
          <w:b w:val="0"/>
          <w:i w:val="0"/>
        </w:rPr>
        <w:t xml:space="preserve">, </w:t>
      </w:r>
      <w:hyperlink w:anchor="passage-ii-4-5">
        <w:r>
          <w:rPr>
            <w:color w:val="000000"/>
          </w:rPr>
          <w:t xml:space="preserve">II.4.5</w:t>
        </w:r>
      </w:hyperlink>
      <w:r>
        <w:rPr>
          <w:b w:val="0"/>
          <w:i w:val="0"/>
        </w:rPr>
        <w:t xml:space="preserve">. See </w:t>
      </w:r>
      <w:hyperlink w:anchor="surpassing-and-comparison">
        <w:r>
          <w:rPr>
            <w:color w:val="000000"/>
          </w:rPr>
          <w:t xml:space="preserve">Surpassing and comparison</w:t>
        </w:r>
      </w:hyperlink>
      <w:r>
        <w:rPr>
          <w:b w:val="0"/>
          <w:i w:val="0"/>
        </w:rPr>
        <w:t>.</w:t>
      </w:r>
    </w:p>
    <w:p>
      <w:pPr>
        <w:keepNext/>
        <w:widowControl/>
      </w:pPr>
      <w:bookmarkStart w:id="590" w:name="latin-record-0339"/>
      <w:bookmarkEnd w:id="590"/>
      <w:r>
        <w:rPr>
          <w:b/>
          <w:i w:val="0"/>
        </w:rPr>
        <w:t>distincte / clare / plane</w:t>
      </w:r>
      <w:r>
        <w:rPr>
          <w:b/>
          <w:i w:val="0"/>
        </w:rPr>
        <w:t>.</w:t>
      </w:r>
      <w:r>
        <w:rPr>
          <w:b w:val="0"/>
          <w:i w:val="0"/>
        </w:rPr>
        <w:t xml:space="preserve"> Printed forms: </w:t>
      </w:r>
      <w:r>
        <w:rPr>
          <w:b w:val="0"/>
          <w:i/>
        </w:rPr>
        <w:t>clare</w:t>
      </w:r>
      <w:r>
        <w:rPr>
          <w:b w:val="0"/>
          <w:i w:val="0"/>
        </w:rPr>
        <w:t xml:space="preserve">; </w:t>
      </w:r>
      <w:r>
        <w:rPr>
          <w:b w:val="0"/>
          <w:i/>
        </w:rPr>
        <w:t>clarissime</w:t>
      </w:r>
      <w:r>
        <w:rPr>
          <w:b w:val="0"/>
          <w:i w:val="0"/>
        </w:rPr>
        <w:t xml:space="preserve">; </w:t>
      </w:r>
      <w:r>
        <w:rPr>
          <w:b w:val="0"/>
          <w:i/>
        </w:rPr>
        <w:t>distinctam</w:t>
      </w:r>
      <w:r>
        <w:rPr>
          <w:b w:val="0"/>
          <w:i w:val="0"/>
        </w:rPr>
        <w:t xml:space="preserve">; </w:t>
      </w:r>
      <w:r>
        <w:rPr>
          <w:b w:val="0"/>
          <w:i/>
        </w:rPr>
        <w:t>distinctas</w:t>
      </w:r>
      <w:r>
        <w:rPr>
          <w:b w:val="0"/>
          <w:i w:val="0"/>
        </w:rPr>
        <w:t xml:space="preserve">; </w:t>
      </w:r>
      <w:r>
        <w:rPr>
          <w:b w:val="0"/>
          <w:i/>
        </w:rPr>
        <w:t>distincte</w:t>
      </w:r>
      <w:r>
        <w:rPr>
          <w:b w:val="0"/>
          <w:i w:val="0"/>
        </w:rPr>
        <w:t xml:space="preserve">; </w:t>
      </w:r>
      <w:r>
        <w:rPr>
          <w:b w:val="0"/>
          <w:i/>
        </w:rPr>
        <w:t>plane</w:t>
      </w:r>
      <w:r>
        <w:rPr>
          <w:b w:val="0"/>
          <w:i w:val="0"/>
        </w:rPr>
        <w:t xml:space="preserve">; </w:t>
      </w:r>
      <w:r>
        <w:rPr>
          <w:b w:val="0"/>
          <w:i/>
        </w:rPr>
        <w:t>planissime</w:t>
      </w:r>
      <w:r>
        <w:rPr>
          <w:b w:val="0"/>
          <w:i w:val="0"/>
        </w:rPr>
        <w:t>.</w:t>
      </w:r>
    </w:p>
    <w:p>
      <w:pPr>
        <w:widowControl/>
      </w:pPr>
      <w:r>
        <w:rPr>
          <w:b w:val="0"/>
          <w:i w:val="0"/>
        </w:rPr>
        <w:t xml:space="preserve">Distinctly, clearly, or plainly, marking determinate knowledge. Unified divine knowing is repeatedly said to preserve particular distinctions rather than blur them into a vague whole. References: </w:t>
      </w:r>
      <w:hyperlink w:anchor="passage-ii-9-14">
        <w:r>
          <w:rPr>
            <w:color w:val="000000"/>
          </w:rPr>
          <w:t xml:space="preserve">II.9.14</w:t>
        </w:r>
      </w:hyperlink>
      <w:r>
        <w:rPr>
          <w:b w:val="0"/>
          <w:i w:val="0"/>
        </w:rPr>
        <w:t xml:space="preserve">, </w:t>
      </w:r>
      <w:hyperlink w:anchor="passage-ii-9-15">
        <w:r>
          <w:rPr>
            <w:color w:val="000000"/>
          </w:rPr>
          <w:t xml:space="preserve">II.9.15</w:t>
        </w:r>
      </w:hyperlink>
      <w:r>
        <w:rPr>
          <w:b w:val="0"/>
          <w:i w:val="0"/>
        </w:rPr>
        <w:t xml:space="preserve">, </w:t>
      </w:r>
      <w:hyperlink w:anchor="passage-ii-10-3">
        <w:r>
          <w:rPr>
            <w:color w:val="000000"/>
          </w:rPr>
          <w:t xml:space="preserve">II.10.3</w:t>
        </w:r>
      </w:hyperlink>
      <w:r>
        <w:rPr>
          <w:b w:val="0"/>
          <w:i w:val="0"/>
        </w:rPr>
        <w:t xml:space="preserve">. See </w:t>
      </w:r>
      <w:hyperlink w:anchor="intuition-and-comprehension">
        <w:r>
          <w:rPr>
            <w:color w:val="000000"/>
          </w:rPr>
          <w:t xml:space="preserve">Intuition and comprehension</w:t>
        </w:r>
      </w:hyperlink>
      <w:r>
        <w:rPr>
          <w:b w:val="0"/>
          <w:i w:val="0"/>
        </w:rPr>
        <w:t>.</w:t>
      </w:r>
    </w:p>
    <w:p>
      <w:pPr>
        <w:keepNext/>
        <w:widowControl/>
      </w:pPr>
      <w:bookmarkStart w:id="591" w:name="latin-record-0340"/>
      <w:bookmarkEnd w:id="591"/>
      <w:r>
        <w:rPr>
          <w:b/>
          <w:i w:val="0"/>
        </w:rPr>
        <w:t>distinguere / dividere / divisio</w:t>
      </w:r>
      <w:r>
        <w:rPr>
          <w:b/>
          <w:i w:val="0"/>
        </w:rPr>
        <w:t>.</w:t>
      </w:r>
      <w:r>
        <w:rPr>
          <w:b w:val="0"/>
          <w:i w:val="0"/>
        </w:rPr>
        <w:t xml:space="preserve"> Printed forms: </w:t>
      </w:r>
      <w:r>
        <w:rPr>
          <w:b w:val="0"/>
          <w:i/>
        </w:rPr>
        <w:t>distinguunt</w:t>
      </w:r>
      <w:r>
        <w:rPr>
          <w:b w:val="0"/>
          <w:i w:val="0"/>
        </w:rPr>
        <w:t xml:space="preserve">; </w:t>
      </w:r>
      <w:r>
        <w:rPr>
          <w:b w:val="0"/>
          <w:i/>
        </w:rPr>
        <w:t>distinguuntur</w:t>
      </w:r>
      <w:r>
        <w:rPr>
          <w:b w:val="0"/>
          <w:i w:val="0"/>
        </w:rPr>
        <w:t xml:space="preserve">; </w:t>
      </w:r>
      <w:r>
        <w:rPr>
          <w:b w:val="0"/>
          <w:i/>
        </w:rPr>
        <w:t>dividatur</w:t>
      </w:r>
      <w:r>
        <w:rPr>
          <w:b w:val="0"/>
          <w:i w:val="0"/>
        </w:rPr>
        <w:t xml:space="preserve">; </w:t>
      </w:r>
      <w:r>
        <w:rPr>
          <w:b w:val="0"/>
          <w:i/>
        </w:rPr>
        <w:t>Divisio</w:t>
      </w:r>
      <w:r>
        <w:rPr>
          <w:b w:val="0"/>
          <w:i w:val="0"/>
        </w:rPr>
        <w:t>.</w:t>
      </w:r>
    </w:p>
    <w:p>
      <w:pPr>
        <w:widowControl/>
      </w:pPr>
      <w:r>
        <w:rPr>
          <w:b w:val="0"/>
          <w:i w:val="0"/>
        </w:rPr>
        <w:t xml:space="preserve">To distinguish or divide; logical determination differs from cutting into parts. Agents distinguish effects, modes distinguish individuals, and continuous quantity is indefinitely divisible. References: </w:t>
      </w:r>
      <w:hyperlink w:anchor="passage-ii-6-13">
        <w:r>
          <w:rPr>
            <w:color w:val="000000"/>
          </w:rPr>
          <w:t xml:space="preserve">II.6.13</w:t>
        </w:r>
      </w:hyperlink>
      <w:r>
        <w:rPr>
          <w:b w:val="0"/>
          <w:i w:val="0"/>
        </w:rPr>
        <w:t xml:space="preserve">, </w:t>
      </w:r>
      <w:hyperlink w:anchor="passage-ii-7-30">
        <w:r>
          <w:rPr>
            <w:color w:val="000000"/>
          </w:rPr>
          <w:t xml:space="preserve">II.7.30</w:t>
        </w:r>
      </w:hyperlink>
      <w:r>
        <w:rPr>
          <w:b w:val="0"/>
          <w:i w:val="0"/>
        </w:rPr>
        <w:t xml:space="preserve">, </w:t>
      </w:r>
      <w:hyperlink w:anchor="passage-ii-9-17">
        <w:r>
          <w:rPr>
            <w:color w:val="000000"/>
          </w:rPr>
          <w:t xml:space="preserve">II.9.17</w:t>
        </w:r>
      </w:hyperlink>
      <w:r>
        <w:rPr>
          <w:b w:val="0"/>
          <w:i w:val="0"/>
        </w:rPr>
        <w:t xml:space="preserve">, </w:t>
      </w:r>
      <w:hyperlink w:anchor="passage-ii-10-4">
        <w:r>
          <w:rPr>
            <w:color w:val="000000"/>
          </w:rPr>
          <w:t xml:space="preserve">II.10.4</w:t>
        </w:r>
      </w:hyperlink>
      <w:r>
        <w:rPr>
          <w:b w:val="0"/>
          <w:i w:val="0"/>
        </w:rPr>
        <w:t xml:space="preserve">. See </w:t>
      </w:r>
      <w:hyperlink w:anchor="indivisibility">
        <w:r>
          <w:rPr>
            <w:color w:val="000000"/>
          </w:rPr>
          <w:t xml:space="preserve">Indivisibility</w:t>
        </w:r>
      </w:hyperlink>
      <w:r>
        <w:rPr>
          <w:b w:val="0"/>
          <w:i w:val="0"/>
        </w:rPr>
        <w:t>.</w:t>
      </w:r>
    </w:p>
    <w:p>
      <w:pPr>
        <w:keepNext/>
        <w:widowControl/>
      </w:pPr>
      <w:bookmarkStart w:id="592" w:name="latin-record-0341"/>
      <w:bookmarkEnd w:id="592"/>
      <w:r>
        <w:rPr>
          <w:b/>
          <w:i w:val="0"/>
        </w:rPr>
        <w:t>distrahere / adstare</w:t>
      </w:r>
      <w:r>
        <w:rPr>
          <w:b/>
          <w:i w:val="0"/>
        </w:rPr>
        <w:t>.</w:t>
      </w:r>
      <w:r>
        <w:rPr>
          <w:b w:val="0"/>
          <w:i w:val="0"/>
        </w:rPr>
        <w:t xml:space="preserve"> Printed forms: </w:t>
      </w:r>
      <w:r>
        <w:rPr>
          <w:b w:val="0"/>
          <w:i/>
        </w:rPr>
        <w:t>adstat</w:t>
      </w:r>
      <w:r>
        <w:rPr>
          <w:b w:val="0"/>
          <w:i w:val="0"/>
        </w:rPr>
        <w:t xml:space="preserve">; </w:t>
      </w:r>
      <w:r>
        <w:rPr>
          <w:b w:val="0"/>
          <w:i/>
        </w:rPr>
        <w:t>adstet</w:t>
      </w:r>
      <w:r>
        <w:rPr>
          <w:b w:val="0"/>
          <w:i w:val="0"/>
        </w:rPr>
        <w:t xml:space="preserve">; </w:t>
      </w:r>
      <w:r>
        <w:rPr>
          <w:b w:val="0"/>
          <w:i/>
        </w:rPr>
        <w:t>distrahiturve</w:t>
      </w:r>
      <w:r>
        <w:rPr>
          <w:b w:val="0"/>
          <w:i w:val="0"/>
        </w:rPr>
        <w:t>.</w:t>
      </w:r>
    </w:p>
    <w:p>
      <w:pPr>
        <w:widowControl/>
      </w:pPr>
      <w:r>
        <w:rPr>
          <w:b w:val="0"/>
          <w:i w:val="0"/>
        </w:rPr>
        <w:t xml:space="preserve">Draw apart / stand present. Soul is said to stand present whole to spatially distant bodily parts without being stretched into corresponding pieces. References: </w:t>
      </w:r>
      <w:hyperlink w:anchor="passage-iii-2-12">
        <w:r>
          <w:rPr>
            <w:color w:val="000000"/>
          </w:rPr>
          <w:t xml:space="preserve">III.2.12</w:t>
        </w:r>
      </w:hyperlink>
      <w:r>
        <w:rPr>
          <w:b w:val="0"/>
          <w:i w:val="0"/>
        </w:rPr>
        <w:t xml:space="preserve">, </w:t>
      </w:r>
      <w:hyperlink w:anchor="passage-iii-2-19">
        <w:r>
          <w:rPr>
            <w:color w:val="000000"/>
          </w:rPr>
          <w:t xml:space="preserve">III.2.19</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593" w:name="latin-record-0342"/>
      <w:bookmarkEnd w:id="593"/>
      <w:r>
        <w:rPr>
          <w:b/>
          <w:i w:val="0"/>
        </w:rPr>
        <w:t>distrahere / divertere / possidere</w:t>
      </w:r>
      <w:r>
        <w:rPr>
          <w:b/>
          <w:i w:val="0"/>
        </w:rPr>
        <w:t>.</w:t>
      </w:r>
      <w:r>
        <w:rPr>
          <w:b w:val="0"/>
          <w:i w:val="0"/>
        </w:rPr>
        <w:t xml:space="preserve"> Printed forms: </w:t>
      </w:r>
      <w:r>
        <w:rPr>
          <w:b w:val="0"/>
          <w:i/>
        </w:rPr>
        <w:t>distrahitur</w:t>
      </w:r>
      <w:r>
        <w:rPr>
          <w:b w:val="0"/>
          <w:i w:val="0"/>
        </w:rPr>
        <w:t xml:space="preserve">; </w:t>
      </w:r>
      <w:r>
        <w:rPr>
          <w:b w:val="0"/>
          <w:i/>
        </w:rPr>
        <w:t>divertitur</w:t>
      </w:r>
      <w:r>
        <w:rPr>
          <w:b w:val="0"/>
          <w:i w:val="0"/>
        </w:rPr>
        <w:t xml:space="preserve">; </w:t>
      </w:r>
      <w:r>
        <w:rPr>
          <w:b w:val="0"/>
          <w:i/>
        </w:rPr>
        <w:t>possidet</w:t>
      </w:r>
      <w:r>
        <w:rPr>
          <w:b w:val="0"/>
          <w:i w:val="0"/>
        </w:rPr>
        <w:t>.</w:t>
      </w:r>
    </w:p>
    <w:p>
      <w:pPr>
        <w:widowControl/>
      </w:pPr>
      <w:r>
        <w:rPr>
          <w:b w:val="0"/>
          <w:i w:val="0"/>
        </w:rPr>
        <w:t xml:space="preserve">To distract, turn aside, or possess. Divine knowledge involves neither searching nor shifting attention from important objects to minor ones. References: </w:t>
      </w:r>
      <w:hyperlink w:anchor="passage-ii-9-20">
        <w:r>
          <w:rPr>
            <w:color w:val="000000"/>
          </w:rPr>
          <w:t xml:space="preserve">II.9.20</w:t>
        </w:r>
      </w:hyperlink>
      <w:r>
        <w:rPr>
          <w:b w:val="0"/>
          <w:i w:val="0"/>
        </w:rPr>
        <w:t xml:space="preserve">. See </w:t>
      </w:r>
      <w:hyperlink w:anchor="seeking-possessing-and-distraction">
        <w:r>
          <w:rPr>
            <w:color w:val="000000"/>
          </w:rPr>
          <w:t xml:space="preserve">Seeking possessing and distraction</w:t>
        </w:r>
      </w:hyperlink>
      <w:r>
        <w:rPr>
          <w:b w:val="0"/>
          <w:i w:val="0"/>
        </w:rPr>
        <w:t>.</w:t>
      </w:r>
    </w:p>
    <w:p>
      <w:pPr>
        <w:keepNext/>
        <w:widowControl/>
      </w:pPr>
      <w:bookmarkStart w:id="594" w:name="latin-record-0343"/>
      <w:bookmarkEnd w:id="594"/>
      <w:r>
        <w:rPr>
          <w:b/>
          <w:i w:val="0"/>
        </w:rPr>
        <w:t>diverto / dirigo</w:t>
      </w:r>
      <w:r>
        <w:rPr>
          <w:b/>
          <w:i w:val="0"/>
        </w:rPr>
        <w:t>.</w:t>
      </w:r>
      <w:r>
        <w:rPr>
          <w:b w:val="0"/>
          <w:i w:val="0"/>
        </w:rPr>
        <w:t xml:space="preserve"> Printed forms: </w:t>
      </w:r>
      <w:r>
        <w:rPr>
          <w:b w:val="0"/>
          <w:i/>
        </w:rPr>
        <w:t>dirigere</w:t>
      </w:r>
      <w:r>
        <w:rPr>
          <w:b w:val="0"/>
          <w:i w:val="0"/>
        </w:rPr>
        <w:t xml:space="preserve">; </w:t>
      </w:r>
      <w:r>
        <w:rPr>
          <w:b w:val="0"/>
          <w:i/>
        </w:rPr>
        <w:t>divertit</w:t>
      </w:r>
      <w:r>
        <w:rPr>
          <w:b w:val="0"/>
          <w:i w:val="0"/>
        </w:rPr>
        <w:t>.</w:t>
      </w:r>
    </w:p>
    <w:p>
      <w:pPr>
        <w:widowControl/>
      </w:pPr>
      <w:r>
        <w:rPr>
          <w:b w:val="0"/>
          <w:i w:val="0"/>
        </w:rPr>
        <w:t xml:space="preserve">To turn aside toward, or direct toward. Plato’s inquiry repeatedly turns toward the soul’s form; his purified mental gaze is directed toward the divine sun. Direction belongs to the contemplative image. References: </w:t>
      </w:r>
      <w:hyperlink w:anchor="passage-proem-4">
        <w:r>
          <w:rPr>
            <w:color w:val="000000"/>
          </w:rPr>
          <w:t xml:space="preserve">Proem.4</w:t>
        </w:r>
      </w:hyperlink>
      <w:r>
        <w:rPr>
          <w:b w:val="0"/>
          <w:i w:val="0"/>
        </w:rPr>
        <w:t xml:space="preserve">, </w:t>
      </w:r>
      <w:hyperlink w:anchor="passage-i-1-6">
        <w:r>
          <w:rPr>
            <w:color w:val="000000"/>
          </w:rPr>
          <w:t xml:space="preserve">I.1.6</w:t>
        </w:r>
      </w:hyperlink>
      <w:r>
        <w:rPr>
          <w:b w:val="0"/>
          <w:i w:val="0"/>
        </w:rPr>
        <w:t xml:space="preserve">. See </w:t>
      </w:r>
      <w:hyperlink w:anchor="ascent">
        <w:r>
          <w:rPr>
            <w:color w:val="000000"/>
          </w:rPr>
          <w:t xml:space="preserve">Ascent</w:t>
        </w:r>
      </w:hyperlink>
      <w:r>
        <w:rPr>
          <w:b w:val="0"/>
          <w:i w:val="0"/>
        </w:rPr>
        <w:t>.</w:t>
      </w:r>
    </w:p>
    <w:p>
      <w:pPr>
        <w:keepNext/>
        <w:widowControl/>
      </w:pPr>
      <w:bookmarkStart w:id="595" w:name="latin-record-0344"/>
      <w:bookmarkEnd w:id="595"/>
      <w:r>
        <w:rPr>
          <w:b/>
          <w:i w:val="0"/>
        </w:rPr>
        <w:t>dividuus / individuus</w:t>
      </w:r>
      <w:r>
        <w:rPr>
          <w:b/>
          <w:i w:val="0"/>
        </w:rPr>
        <w:t>.</w:t>
      </w:r>
      <w:r>
        <w:rPr>
          <w:b w:val="0"/>
          <w:i w:val="0"/>
        </w:rPr>
        <w:t xml:space="preserve"> Printed forms: </w:t>
      </w:r>
      <w:r>
        <w:rPr>
          <w:b w:val="0"/>
          <w:i/>
        </w:rPr>
        <w:t>dividua</w:t>
      </w:r>
      <w:r>
        <w:rPr>
          <w:b w:val="0"/>
          <w:i w:val="0"/>
        </w:rPr>
        <w:t xml:space="preserve">; </w:t>
      </w:r>
      <w:r>
        <w:rPr>
          <w:b w:val="0"/>
          <w:i/>
        </w:rPr>
        <w:t>Individua</w:t>
      </w:r>
      <w:r>
        <w:rPr>
          <w:b w:val="0"/>
          <w:i w:val="0"/>
        </w:rPr>
        <w:t xml:space="preserve">; </w:t>
      </w:r>
      <w:r>
        <w:rPr>
          <w:b w:val="0"/>
          <w:i/>
        </w:rPr>
        <w:t>individua</w:t>
      </w:r>
      <w:r>
        <w:rPr>
          <w:b w:val="0"/>
          <w:i w:val="0"/>
        </w:rPr>
        <w:t>.</w:t>
      </w:r>
    </w:p>
    <w:p>
      <w:pPr>
        <w:widowControl/>
      </w:pPr>
      <w:r>
        <w:rPr>
          <w:b w:val="0"/>
          <w:i w:val="0"/>
        </w:rPr>
        <w:t xml:space="preserve">Divisible / indivisible. Different respects must be specified: bodily manifestation, temporal activity, stable substance, and orientation to higher or lower objects. References: </w:t>
      </w:r>
      <w:hyperlink w:anchor="passage-iii-2-19">
        <w:r>
          <w:rPr>
            <w:color w:val="000000"/>
          </w:rPr>
          <w:t xml:space="preserve">III.2.19</w:t>
        </w:r>
      </w:hyperlink>
      <w:r>
        <w:rPr>
          <w:b w:val="0"/>
          <w:i w:val="0"/>
        </w:rPr>
        <w:t xml:space="preserve">. See </w:t>
      </w:r>
      <w:hyperlink w:anchor="indivisibility">
        <w:r>
          <w:rPr>
            <w:color w:val="000000"/>
          </w:rPr>
          <w:t xml:space="preserve">Indivisibility</w:t>
        </w:r>
      </w:hyperlink>
      <w:r>
        <w:rPr>
          <w:b w:val="0"/>
          <w:i w:val="0"/>
        </w:rPr>
        <w:t>.</w:t>
      </w:r>
    </w:p>
    <w:p>
      <w:pPr>
        <w:keepNext/>
        <w:widowControl/>
      </w:pPr>
      <w:bookmarkStart w:id="596" w:name="latin-record-0345"/>
      <w:bookmarkEnd w:id="596"/>
      <w:r>
        <w:rPr>
          <w:b/>
          <w:i w:val="0"/>
        </w:rPr>
        <w:t>doctrina / tracto</w:t>
      </w:r>
      <w:r>
        <w:rPr>
          <w:b/>
          <w:i w:val="0"/>
        </w:rPr>
        <w:t>.</w:t>
      </w:r>
      <w:r>
        <w:rPr>
          <w:b w:val="0"/>
          <w:i w:val="0"/>
        </w:rPr>
        <w:t xml:space="preserve"> Printed forms: </w:t>
      </w:r>
      <w:r>
        <w:rPr>
          <w:b w:val="0"/>
          <w:i/>
        </w:rPr>
        <w:t>doctrina</w:t>
      </w:r>
      <w:r>
        <w:rPr>
          <w:b w:val="0"/>
          <w:i w:val="0"/>
        </w:rPr>
        <w:t xml:space="preserve">; </w:t>
      </w:r>
      <w:r>
        <w:rPr>
          <w:b w:val="0"/>
          <w:i/>
        </w:rPr>
        <w:t>tractavimus</w:t>
      </w:r>
      <w:r>
        <w:rPr>
          <w:b w:val="0"/>
          <w:i w:val="0"/>
        </w:rPr>
        <w:t xml:space="preserve">; </w:t>
      </w:r>
      <w:r>
        <w:rPr>
          <w:b w:val="0"/>
          <w:i/>
        </w:rPr>
        <w:t>tractet</w:t>
      </w:r>
      <w:r>
        <w:rPr>
          <w:b w:val="0"/>
          <w:i w:val="0"/>
        </w:rPr>
        <w:t>.</w:t>
      </w:r>
    </w:p>
    <w:p>
      <w:pPr>
        <w:widowControl/>
      </w:pPr>
      <w:r>
        <w:rPr>
          <w:b w:val="0"/>
          <w:i w:val="0"/>
        </w:rPr>
        <w:t xml:space="preserve">Teaching, and to treat a subject in exposition. Plato’s teaching is called theology because of its religious orientation; Ficino later hopes his own treatment matches the truth he reveres. References: </w:t>
      </w:r>
      <w:hyperlink w:anchor="passage-proem-3">
        <w:r>
          <w:rPr>
            <w:color w:val="000000"/>
          </w:rPr>
          <w:t xml:space="preserve">Proem.3</w:t>
        </w:r>
      </w:hyperlink>
      <w:r>
        <w:rPr>
          <w:b w:val="0"/>
          <w:i w:val="0"/>
        </w:rPr>
        <w:t xml:space="preserve">, </w:t>
      </w:r>
      <w:hyperlink w:anchor="passage-proem-10">
        <w:r>
          <w:rPr>
            <w:color w:val="000000"/>
          </w:rPr>
          <w:t xml:space="preserve">Proem.10</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597" w:name="latin-record-0346"/>
      <w:bookmarkEnd w:id="597"/>
      <w:r>
        <w:rPr>
          <w:b/>
          <w:i w:val="0"/>
        </w:rPr>
        <w:t>domina / comes</w:t>
      </w:r>
      <w:r>
        <w:rPr>
          <w:b/>
          <w:i w:val="0"/>
        </w:rPr>
        <w:t>.</w:t>
      </w:r>
      <w:r>
        <w:rPr>
          <w:b w:val="0"/>
          <w:i w:val="0"/>
        </w:rPr>
        <w:t xml:space="preserve"> Printed forms: </w:t>
      </w:r>
      <w:r>
        <w:rPr>
          <w:b w:val="0"/>
          <w:i/>
        </w:rPr>
        <w:t>comes</w:t>
      </w:r>
      <w:r>
        <w:rPr>
          <w:b w:val="0"/>
          <w:i w:val="0"/>
        </w:rPr>
        <w:t xml:space="preserve">; </w:t>
      </w:r>
      <w:r>
        <w:rPr>
          <w:b w:val="0"/>
          <w:i/>
        </w:rPr>
        <w:t>domina</w:t>
      </w:r>
      <w:r>
        <w:rPr>
          <w:b w:val="0"/>
          <w:i w:val="0"/>
        </w:rPr>
        <w:t>.</w:t>
      </w:r>
    </w:p>
    <w:p>
      <w:pPr>
        <w:widowControl/>
      </w:pPr>
      <w:r>
        <w:rPr>
          <w:b w:val="0"/>
          <w:i w:val="0"/>
        </w:rPr>
        <w:t xml:space="preserve">Mistress or ruler / companion. Soul rules bodies while retaining divine attachment; the contrast denies that it simply shares every bodily fate. References: </w:t>
      </w:r>
      <w:hyperlink w:anchor="passage-iii-2-22">
        <w:r>
          <w:rPr>
            <w:color w:val="000000"/>
          </w:rPr>
          <w:t xml:space="preserve">III.2.22</w:t>
        </w:r>
      </w:hyperlink>
      <w:r>
        <w:rPr>
          <w:b w:val="0"/>
          <w:i w:val="0"/>
        </w:rPr>
        <w:t xml:space="preserve">. See </w:t>
      </w:r>
      <w:hyperlink w:anchor="soul">
        <w:r>
          <w:rPr>
            <w:color w:val="000000"/>
          </w:rPr>
          <w:t xml:space="preserve">Soul</w:t>
        </w:r>
      </w:hyperlink>
      <w:r>
        <w:rPr>
          <w:b w:val="0"/>
          <w:i w:val="0"/>
        </w:rPr>
        <w:t>.</w:t>
      </w:r>
    </w:p>
    <w:p>
      <w:pPr>
        <w:keepNext/>
        <w:widowControl/>
      </w:pPr>
      <w:bookmarkStart w:id="598" w:name="latin-record-0347"/>
      <w:bookmarkEnd w:id="598"/>
      <w:r>
        <w:rPr>
          <w:b/>
          <w:i w:val="0"/>
        </w:rPr>
        <w:t>dominari</w:t>
      </w:r>
      <w:r>
        <w:rPr>
          <w:b/>
          <w:i w:val="0"/>
        </w:rPr>
        <w:t>.</w:t>
      </w:r>
      <w:r>
        <w:rPr>
          <w:b w:val="0"/>
          <w:i w:val="0"/>
        </w:rPr>
        <w:t xml:space="preserve"> Printed forms: </w:t>
      </w:r>
      <w:r>
        <w:rPr>
          <w:b w:val="0"/>
          <w:i/>
        </w:rPr>
        <w:t>dominatur</w:t>
      </w:r>
      <w:r>
        <w:rPr>
          <w:b w:val="0"/>
          <w:i w:val="0"/>
        </w:rPr>
        <w:t>.</w:t>
      </w:r>
    </w:p>
    <w:p>
      <w:pPr>
        <w:widowControl/>
      </w:pPr>
      <w:r>
        <w:rPr>
          <w:b w:val="0"/>
          <w:i w:val="0"/>
        </w:rPr>
        <w:t xml:space="preserve">Exercise mastery over. Fire lacks control of the whole differentiated work; God’s causal scope includes its forms, ordering, and degrees. References: </w:t>
      </w:r>
      <w:hyperlink w:anchor="passage-ii-11-8">
        <w:r>
          <w:rPr>
            <w:color w:val="000000"/>
          </w:rPr>
          <w:t xml:space="preserve">II.11.8</w:t>
        </w:r>
      </w:hyperlink>
      <w:r>
        <w:rPr>
          <w:b w:val="0"/>
          <w:i w:val="0"/>
        </w:rPr>
        <w:t xml:space="preserve">, </w:t>
      </w:r>
      <w:hyperlink w:anchor="passage-ii-11-10">
        <w:r>
          <w:rPr>
            <w:color w:val="000000"/>
          </w:rPr>
          <w:t xml:space="preserve">II.11.10</w:t>
        </w:r>
      </w:hyperlink>
      <w:r>
        <w:rPr>
          <w:b w:val="0"/>
          <w:i w:val="0"/>
        </w:rPr>
        <w:t xml:space="preserve">. See </w:t>
      </w:r>
      <w:hyperlink w:anchor="governing-serving-and-dominion">
        <w:r>
          <w:rPr>
            <w:color w:val="000000"/>
          </w:rPr>
          <w:t xml:space="preserve">Governing, serving and dominion</w:t>
        </w:r>
      </w:hyperlink>
      <w:r>
        <w:rPr>
          <w:b w:val="0"/>
          <w:i w:val="0"/>
        </w:rPr>
        <w:t>.</w:t>
      </w:r>
    </w:p>
    <w:p>
      <w:pPr>
        <w:widowControl/>
      </w:pPr>
      <w:r>
        <w:rPr>
          <w:b w:val="0"/>
          <w:i w:val="0"/>
        </w:rPr>
        <w:t xml:space="preserve">To exercise command or predominance. Nature’s command of matter explains its closer correspondence to its work; anger’s rule distinguishes one two-faculty life. References: </w:t>
      </w:r>
      <w:hyperlink w:anchor="passage-iv-1-12">
        <w:r>
          <w:rPr>
            <w:color w:val="000000"/>
          </w:rPr>
          <w:t xml:space="preserve">IV.1.12</w:t>
        </w:r>
      </w:hyperlink>
      <w:r>
        <w:rPr>
          <w:b w:val="0"/>
          <w:i w:val="0"/>
        </w:rPr>
        <w:t xml:space="preserve">, </w:t>
      </w:r>
      <w:hyperlink w:anchor="passage-iv-1-49">
        <w:r>
          <w:rPr>
            <w:color w:val="000000"/>
          </w:rPr>
          <w:t xml:space="preserve">IV.1.49</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599" w:name="latin-record-0348"/>
      <w:bookmarkEnd w:id="599"/>
      <w:r>
        <w:rPr>
          <w:b/>
          <w:i w:val="0"/>
        </w:rPr>
        <w:t>dominari / praevalere</w:t>
      </w:r>
      <w:r>
        <w:rPr>
          <w:b/>
          <w:i w:val="0"/>
        </w:rPr>
        <w:t>.</w:t>
      </w:r>
      <w:r>
        <w:rPr>
          <w:b w:val="0"/>
          <w:i w:val="0"/>
        </w:rPr>
        <w:t xml:space="preserve"> Printed forms: </w:t>
      </w:r>
      <w:r>
        <w:rPr>
          <w:b w:val="0"/>
          <w:i/>
        </w:rPr>
        <w:t>dominatur</w:t>
      </w:r>
      <w:r>
        <w:rPr>
          <w:b w:val="0"/>
          <w:i w:val="0"/>
        </w:rPr>
        <w:t xml:space="preserve">; </w:t>
      </w:r>
      <w:r>
        <w:rPr>
          <w:b w:val="0"/>
          <w:i/>
        </w:rPr>
        <w:t>praevaleret</w:t>
      </w:r>
      <w:r>
        <w:rPr>
          <w:b w:val="0"/>
          <w:i w:val="0"/>
        </w:rPr>
        <w:t>.</w:t>
      </w:r>
    </w:p>
    <w:p>
      <w:pPr>
        <w:widowControl/>
      </w:pPr>
      <w:r>
        <w:rPr>
          <w:b w:val="0"/>
          <w:i w:val="0"/>
        </w:rPr>
        <w:t xml:space="preserve">To rule or prevail. An always-prevailing will alone would qualify as God in the rival-god dilemma; necessity rules in the cited Orphic saying. References: </w:t>
      </w:r>
      <w:hyperlink w:anchor="passage-ii-2-14">
        <w:r>
          <w:rPr>
            <w:color w:val="000000"/>
          </w:rPr>
          <w:t xml:space="preserve">II.2.14</w:t>
        </w:r>
      </w:hyperlink>
      <w:r>
        <w:rPr>
          <w:b w:val="0"/>
          <w:i w:val="0"/>
        </w:rPr>
        <w:t xml:space="preserve">, </w:t>
      </w:r>
      <w:hyperlink w:anchor="passage-ii-7-11">
        <w:r>
          <w:rPr>
            <w:color w:val="000000"/>
          </w:rPr>
          <w:t xml:space="preserve">II.7.11</w:t>
        </w:r>
      </w:hyperlink>
      <w:r>
        <w:rPr>
          <w:b w:val="0"/>
          <w:i w:val="0"/>
        </w:rPr>
        <w:t xml:space="preserve">. See </w:t>
      </w:r>
      <w:hyperlink w:anchor="army-and-commander">
        <w:r>
          <w:rPr>
            <w:color w:val="000000"/>
          </w:rPr>
          <w:t xml:space="preserve">Army and commander</w:t>
        </w:r>
      </w:hyperlink>
      <w:r>
        <w:rPr>
          <w:b w:val="0"/>
          <w:i w:val="0"/>
        </w:rPr>
        <w:t>.</w:t>
      </w:r>
    </w:p>
    <w:p>
      <w:pPr>
        <w:keepNext/>
        <w:widowControl/>
      </w:pPr>
      <w:bookmarkStart w:id="600" w:name="latin-record-0349"/>
      <w:bookmarkEnd w:id="600"/>
      <w:r>
        <w:rPr>
          <w:b/>
          <w:i w:val="0"/>
        </w:rPr>
        <w:t>dominor</w:t>
      </w:r>
      <w:r>
        <w:rPr>
          <w:b/>
          <w:i w:val="0"/>
        </w:rPr>
        <w:t>.</w:t>
      </w:r>
      <w:r>
        <w:rPr>
          <w:b w:val="0"/>
          <w:i w:val="0"/>
        </w:rPr>
        <w:t xml:space="preserve"> Printed forms: </w:t>
      </w:r>
      <w:r>
        <w:rPr>
          <w:b w:val="0"/>
          <w:i/>
        </w:rPr>
        <w:t>dominabitur</w:t>
      </w:r>
      <w:r>
        <w:rPr>
          <w:b w:val="0"/>
          <w:i w:val="0"/>
        </w:rPr>
        <w:t xml:space="preserve">; </w:t>
      </w:r>
      <w:r>
        <w:rPr>
          <w:b w:val="0"/>
          <w:i/>
        </w:rPr>
        <w:t>dominari</w:t>
      </w:r>
      <w:r>
        <w:rPr>
          <w:b w:val="0"/>
          <w:i w:val="0"/>
        </w:rPr>
        <w:t xml:space="preserve">; </w:t>
      </w:r>
      <w:r>
        <w:rPr>
          <w:b w:val="0"/>
          <w:i/>
        </w:rPr>
        <w:t>dominatur</w:t>
      </w:r>
      <w:r>
        <w:rPr>
          <w:b w:val="0"/>
          <w:i w:val="0"/>
        </w:rPr>
        <w:t>.</w:t>
      </w:r>
    </w:p>
    <w:p>
      <w:pPr>
        <w:widowControl/>
      </w:pPr>
      <w:r>
        <w:rPr>
          <w:b w:val="0"/>
          <w:i w:val="0"/>
        </w:rPr>
        <w:t xml:space="preserve">To master or exercise control. Dependence on matter prevents quality’s independent mastery; nature’s better mastery than art later implies both closer presence and greater substantial independence. References: </w:t>
      </w:r>
      <w:hyperlink w:anchor="passage-i-3-7">
        <w:r>
          <w:rPr>
            <w:color w:val="000000"/>
          </w:rPr>
          <w:t xml:space="preserve">I.3.7</w:t>
        </w:r>
      </w:hyperlink>
      <w:r>
        <w:rPr>
          <w:b w:val="0"/>
          <w:i w:val="0"/>
        </w:rPr>
        <w:t xml:space="preserve">, </w:t>
      </w:r>
      <w:hyperlink w:anchor="passage-i-3-17">
        <w:r>
          <w:rPr>
            <w:color w:val="000000"/>
          </w:rPr>
          <w:t xml:space="preserve">I.3.17</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601" w:name="latin-record-0350"/>
      <w:bookmarkEnd w:id="601"/>
      <w:r>
        <w:rPr>
          <w:b/>
          <w:i w:val="0"/>
        </w:rPr>
        <w:t>dubitare / diffidere / difficile</w:t>
      </w:r>
      <w:r>
        <w:rPr>
          <w:b/>
          <w:i w:val="0"/>
        </w:rPr>
        <w:t>.</w:t>
      </w:r>
      <w:r>
        <w:rPr>
          <w:b w:val="0"/>
          <w:i w:val="0"/>
        </w:rPr>
        <w:t xml:space="preserve"> Printed forms: </w:t>
      </w:r>
      <w:r>
        <w:rPr>
          <w:b w:val="0"/>
          <w:i/>
        </w:rPr>
        <w:t>Difficile</w:t>
      </w:r>
      <w:r>
        <w:rPr>
          <w:b w:val="0"/>
          <w:i w:val="0"/>
        </w:rPr>
        <w:t xml:space="preserve">; </w:t>
      </w:r>
      <w:r>
        <w:rPr>
          <w:b w:val="0"/>
          <w:i/>
        </w:rPr>
        <w:t>Difficilius</w:t>
      </w:r>
      <w:r>
        <w:rPr>
          <w:b w:val="0"/>
          <w:i w:val="0"/>
        </w:rPr>
        <w:t xml:space="preserve">; </w:t>
      </w:r>
      <w:r>
        <w:rPr>
          <w:b w:val="0"/>
          <w:i/>
        </w:rPr>
        <w:t>diffidit</w:t>
      </w:r>
      <w:r>
        <w:rPr>
          <w:b w:val="0"/>
          <w:i w:val="0"/>
        </w:rPr>
        <w:t xml:space="preserve">; </w:t>
      </w:r>
      <w:r>
        <w:rPr>
          <w:b w:val="0"/>
          <w:i/>
        </w:rPr>
        <w:t>dubio</w:t>
      </w:r>
      <w:r>
        <w:rPr>
          <w:b w:val="0"/>
          <w:i w:val="0"/>
        </w:rPr>
        <w:t xml:space="preserve">; </w:t>
      </w:r>
      <w:r>
        <w:rPr>
          <w:b w:val="0"/>
          <w:i/>
        </w:rPr>
        <w:t>dubitare</w:t>
      </w:r>
      <w:r>
        <w:rPr>
          <w:b w:val="0"/>
          <w:i w:val="0"/>
        </w:rPr>
        <w:t>.</w:t>
      </w:r>
    </w:p>
    <w:p>
      <w:pPr>
        <w:widowControl/>
      </w:pPr>
      <w:r>
        <w:rPr>
          <w:b w:val="0"/>
          <w:i w:val="0"/>
        </w:rPr>
        <w:t xml:space="preserve">To doubt, mistrust, or find difficult; dubio qualifies certainty. Difficulty locating an uncontained God differs from doubt caused by imagination’s bodily model of presence. References: </w:t>
      </w:r>
      <w:hyperlink w:anchor="passage-ii-1-3">
        <w:r>
          <w:rPr>
            <w:color w:val="000000"/>
          </w:rPr>
          <w:t xml:space="preserve">II.1.3</w:t>
        </w:r>
      </w:hyperlink>
      <w:r>
        <w:rPr>
          <w:b w:val="0"/>
          <w:i w:val="0"/>
        </w:rPr>
        <w:t xml:space="preserve">, </w:t>
      </w:r>
      <w:hyperlink w:anchor="passage-ii-5-4">
        <w:r>
          <w:rPr>
            <w:color w:val="000000"/>
          </w:rPr>
          <w:t xml:space="preserve">II.5.4</w:t>
        </w:r>
      </w:hyperlink>
      <w:r>
        <w:rPr>
          <w:b w:val="0"/>
          <w:i w:val="0"/>
        </w:rPr>
        <w:t xml:space="preserve">, </w:t>
      </w:r>
      <w:hyperlink w:anchor="passage-ii-6-8">
        <w:r>
          <w:rPr>
            <w:color w:val="000000"/>
          </w:rPr>
          <w:t xml:space="preserve">II.6.8</w:t>
        </w:r>
      </w:hyperlink>
      <w:r>
        <w:rPr>
          <w:b w:val="0"/>
          <w:i w:val="0"/>
        </w:rPr>
        <w:t xml:space="preserve">, </w:t>
      </w:r>
      <w:hyperlink w:anchor="passage-ii-6-13">
        <w:r>
          <w:rPr>
            <w:color w:val="000000"/>
          </w:rPr>
          <w:t xml:space="preserve">II.6.13</w:t>
        </w:r>
      </w:hyperlink>
      <w:r>
        <w:rPr>
          <w:b w:val="0"/>
          <w:i w:val="0"/>
        </w:rPr>
        <w:t xml:space="preserve">. See </w:t>
      </w:r>
      <w:hyperlink w:anchor="imagination-and-deceptive-clothing">
        <w:r>
          <w:rPr>
            <w:color w:val="000000"/>
          </w:rPr>
          <w:t xml:space="preserve">Imagination and deceptive clothing</w:t>
        </w:r>
      </w:hyperlink>
      <w:r>
        <w:rPr>
          <w:b w:val="0"/>
          <w:i w:val="0"/>
        </w:rPr>
        <w:t>.</w:t>
      </w:r>
    </w:p>
    <w:p>
      <w:pPr>
        <w:keepNext/>
        <w:widowControl/>
      </w:pPr>
      <w:bookmarkStart w:id="602" w:name="latin-record-0351"/>
      <w:bookmarkEnd w:id="602"/>
      <w:r>
        <w:rPr>
          <w:b/>
          <w:i w:val="0"/>
        </w:rPr>
        <w:t>dubitatio / respondere</w:t>
      </w:r>
      <w:r>
        <w:rPr>
          <w:b/>
          <w:i w:val="0"/>
        </w:rPr>
        <w:t>.</w:t>
      </w:r>
      <w:r>
        <w:rPr>
          <w:b w:val="0"/>
          <w:i w:val="0"/>
        </w:rPr>
        <w:t xml:space="preserve"> Printed forms: </w:t>
      </w:r>
      <w:r>
        <w:rPr>
          <w:b w:val="0"/>
          <w:i/>
        </w:rPr>
        <w:t>dubitatio</w:t>
      </w:r>
      <w:r>
        <w:rPr>
          <w:b w:val="0"/>
          <w:i w:val="0"/>
        </w:rPr>
        <w:t xml:space="preserve">; </w:t>
      </w:r>
      <w:r>
        <w:rPr>
          <w:b w:val="0"/>
          <w:i/>
        </w:rPr>
        <w:t>Respondeamus</w:t>
      </w:r>
      <w:r>
        <w:rPr>
          <w:b w:val="0"/>
          <w:i w:val="0"/>
        </w:rPr>
        <w:t>.</w:t>
      </w:r>
    </w:p>
    <w:p>
      <w:pPr>
        <w:widowControl/>
      </w:pPr>
      <w:r>
        <w:rPr>
          <w:b w:val="0"/>
          <w:i w:val="0"/>
        </w:rPr>
        <w:t xml:space="preserve">Difficulty or doubt / answer. The self-motion objection is stated before the painter analogy provides a response; it should not be mistaken for Ficino’s final denial. References: </w:t>
      </w:r>
      <w:hyperlink w:anchor="passage-iii-1-27">
        <w:r>
          <w:rPr>
            <w:color w:val="000000"/>
          </w:rPr>
          <w:t xml:space="preserve">III.1.27</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603" w:name="latin-record-0352"/>
      <w:bookmarkEnd w:id="603"/>
      <w:r>
        <w:rPr>
          <w:b/>
          <w:i w:val="0"/>
        </w:rPr>
        <w:t>ducere / deducere / trahere</w:t>
      </w:r>
      <w:r>
        <w:rPr>
          <w:b/>
          <w:i w:val="0"/>
        </w:rPr>
        <w:t>.</w:t>
      </w:r>
      <w:r>
        <w:rPr>
          <w:b w:val="0"/>
          <w:i w:val="0"/>
        </w:rPr>
        <w:t xml:space="preserve"> Printed forms: </w:t>
      </w:r>
      <w:r>
        <w:rPr>
          <w:b w:val="0"/>
          <w:i/>
        </w:rPr>
        <w:t>deducta</w:t>
      </w:r>
      <w:r>
        <w:rPr>
          <w:b w:val="0"/>
          <w:i w:val="0"/>
        </w:rPr>
        <w:t xml:space="preserve">; </w:t>
      </w:r>
      <w:r>
        <w:rPr>
          <w:b w:val="0"/>
          <w:i/>
        </w:rPr>
        <w:t>deducuntur</w:t>
      </w:r>
      <w:r>
        <w:rPr>
          <w:b w:val="0"/>
          <w:i w:val="0"/>
        </w:rPr>
        <w:t xml:space="preserve">; </w:t>
      </w:r>
      <w:r>
        <w:rPr>
          <w:b w:val="0"/>
          <w:i/>
        </w:rPr>
        <w:t>ducatur</w:t>
      </w:r>
      <w:r>
        <w:rPr>
          <w:b w:val="0"/>
          <w:i w:val="0"/>
        </w:rPr>
        <w:t xml:space="preserve">; </w:t>
      </w:r>
      <w:r>
        <w:rPr>
          <w:b w:val="0"/>
          <w:i/>
        </w:rPr>
        <w:t>duci</w:t>
      </w:r>
      <w:r>
        <w:rPr>
          <w:b w:val="0"/>
          <w:i w:val="0"/>
        </w:rPr>
        <w:t xml:space="preserve">; </w:t>
      </w:r>
      <w:r>
        <w:rPr>
          <w:b w:val="0"/>
          <w:i/>
        </w:rPr>
        <w:t>trahuntur</w:t>
      </w:r>
      <w:r>
        <w:rPr>
          <w:b w:val="0"/>
          <w:i w:val="0"/>
        </w:rPr>
        <w:t>.</w:t>
      </w:r>
    </w:p>
    <w:p>
      <w:pPr>
        <w:widowControl/>
      </w:pPr>
      <w:r>
        <w:rPr>
          <w:b w:val="0"/>
          <w:i w:val="0"/>
        </w:rPr>
        <w:t xml:space="preserve">To lead, draw, or derive. Causal dependence is portrayed as derivation from a source, while lines drawn from a center illustrate related effects. References: </w:t>
      </w:r>
      <w:hyperlink w:anchor="passage-ii-2-12">
        <w:r>
          <w:rPr>
            <w:color w:val="000000"/>
          </w:rPr>
          <w:t xml:space="preserve">II.2.12</w:t>
        </w:r>
      </w:hyperlink>
      <w:r>
        <w:rPr>
          <w:b w:val="0"/>
          <w:i w:val="0"/>
        </w:rPr>
        <w:t xml:space="preserve">, </w:t>
      </w:r>
      <w:hyperlink w:anchor="passage-ii-3-2">
        <w:r>
          <w:rPr>
            <w:color w:val="000000"/>
          </w:rPr>
          <w:t xml:space="preserve">II.3.2</w:t>
        </w:r>
      </w:hyperlink>
      <w:r>
        <w:rPr>
          <w:b w:val="0"/>
          <w:i w:val="0"/>
        </w:rPr>
        <w:t xml:space="preserve">, </w:t>
      </w:r>
      <w:hyperlink w:anchor="passage-ii-3-8">
        <w:r>
          <w:rPr>
            <w:color w:val="000000"/>
          </w:rPr>
          <w:t xml:space="preserve">II.3.8</w:t>
        </w:r>
      </w:hyperlink>
      <w:r>
        <w:rPr>
          <w:b w:val="0"/>
          <w:i w:val="0"/>
        </w:rPr>
        <w:t xml:space="preserve">, </w:t>
      </w:r>
      <w:hyperlink w:anchor="passage-ii-8-5">
        <w:r>
          <w:rPr>
            <w:color w:val="000000"/>
          </w:rPr>
          <w:t xml:space="preserve">II.8.5</w:t>
        </w:r>
      </w:hyperlink>
      <w:r>
        <w:rPr>
          <w:b w:val="0"/>
          <w:i w:val="0"/>
        </w:rPr>
        <w:t xml:space="preserve">. See </w:t>
      </w:r>
      <w:hyperlink w:anchor="hinge-and-center">
        <w:r>
          <w:rPr>
            <w:color w:val="000000"/>
          </w:rPr>
          <w:t xml:space="preserve">Hinge and center</w:t>
        </w:r>
      </w:hyperlink>
      <w:r>
        <w:rPr>
          <w:b w:val="0"/>
          <w:i w:val="0"/>
        </w:rPr>
        <w:t>.</w:t>
      </w:r>
    </w:p>
    <w:p>
      <w:pPr>
        <w:keepNext/>
        <w:widowControl/>
      </w:pPr>
      <w:bookmarkStart w:id="604" w:name="latin-record-0353"/>
      <w:bookmarkEnd w:id="604"/>
      <w:r>
        <w:rPr>
          <w:b/>
          <w:i w:val="0"/>
        </w:rPr>
        <w:t>dulcedo / odor / flavus</w:t>
      </w:r>
      <w:r>
        <w:rPr>
          <w:b/>
          <w:i w:val="0"/>
        </w:rPr>
        <w:t>.</w:t>
      </w:r>
      <w:r>
        <w:rPr>
          <w:b w:val="0"/>
          <w:i w:val="0"/>
        </w:rPr>
        <w:t xml:space="preserve"> Printed forms: </w:t>
      </w:r>
      <w:r>
        <w:rPr>
          <w:b w:val="0"/>
          <w:i/>
        </w:rPr>
        <w:t>dulcedo</w:t>
      </w:r>
      <w:r>
        <w:rPr>
          <w:b w:val="0"/>
          <w:i w:val="0"/>
        </w:rPr>
        <w:t xml:space="preserve">; </w:t>
      </w:r>
      <w:r>
        <w:rPr>
          <w:b w:val="0"/>
          <w:i/>
        </w:rPr>
        <w:t>dulcis</w:t>
      </w:r>
      <w:r>
        <w:rPr>
          <w:b w:val="0"/>
          <w:i w:val="0"/>
        </w:rPr>
        <w:t xml:space="preserve">; </w:t>
      </w:r>
      <w:r>
        <w:rPr>
          <w:b w:val="0"/>
          <w:i/>
        </w:rPr>
        <w:t>flava</w:t>
      </w:r>
      <w:r>
        <w:rPr>
          <w:b w:val="0"/>
          <w:i w:val="0"/>
        </w:rPr>
        <w:t xml:space="preserve">; </w:t>
      </w:r>
      <w:r>
        <w:rPr>
          <w:b w:val="0"/>
          <w:i/>
        </w:rPr>
        <w:t>flavus</w:t>
      </w:r>
      <w:r>
        <w:rPr>
          <w:b w:val="0"/>
          <w:i w:val="0"/>
        </w:rPr>
        <w:t xml:space="preserve">; </w:t>
      </w:r>
      <w:r>
        <w:rPr>
          <w:b w:val="0"/>
          <w:i/>
        </w:rPr>
        <w:t>odor</w:t>
      </w:r>
      <w:r>
        <w:rPr>
          <w:b w:val="0"/>
          <w:i w:val="0"/>
        </w:rPr>
        <w:t>.</w:t>
      </w:r>
    </w:p>
    <w:p>
      <w:pPr>
        <w:widowControl/>
      </w:pPr>
      <w:r>
        <w:rPr>
          <w:b w:val="0"/>
          <w:i w:val="0"/>
        </w:rPr>
        <w:t xml:space="preserve">Sweetness, odour and yellow colour. The three qualities of honey are distinguished by sensory character yet coexist throughout the same matter. References: </w:t>
      </w:r>
      <w:hyperlink w:anchor="passage-i-2-15">
        <w:r>
          <w:rPr>
            <w:color w:val="000000"/>
          </w:rPr>
          <w:t xml:space="preserve">I.2.15</w:t>
        </w:r>
      </w:hyperlink>
      <w:r>
        <w:rPr>
          <w:b w:val="0"/>
          <w:i w:val="0"/>
        </w:rPr>
        <w:t xml:space="preserve">. See </w:t>
      </w:r>
      <w:hyperlink w:anchor="honey-whiteness-and-the-wall">
        <w:r>
          <w:rPr>
            <w:color w:val="000000"/>
          </w:rPr>
          <w:t xml:space="preserve">Honey, whiteness and the wall</w:t>
        </w:r>
      </w:hyperlink>
      <w:r>
        <w:rPr>
          <w:b w:val="0"/>
          <w:i w:val="0"/>
        </w:rPr>
        <w:t>.</w:t>
      </w:r>
    </w:p>
    <w:p>
      <w:pPr>
        <w:keepNext/>
        <w:widowControl/>
      </w:pPr>
      <w:bookmarkStart w:id="605" w:name="latin-record-0354"/>
      <w:bookmarkEnd w:id="605"/>
      <w:r>
        <w:rPr>
          <w:b/>
          <w:i w:val="0"/>
        </w:rPr>
        <w:t>dumtaxat</w:t>
      </w:r>
      <w:r>
        <w:rPr>
          <w:b/>
          <w:i w:val="0"/>
        </w:rPr>
        <w:t>.</w:t>
      </w:r>
      <w:r>
        <w:rPr>
          <w:b w:val="0"/>
          <w:i w:val="0"/>
        </w:rPr>
        <w:t xml:space="preserve"> Printed forms: </w:t>
      </w:r>
      <w:r>
        <w:rPr>
          <w:b w:val="0"/>
          <w:i/>
        </w:rPr>
        <w:t>dumtaxat</w:t>
      </w:r>
      <w:r>
        <w:rPr>
          <w:b w:val="0"/>
          <w:i w:val="0"/>
        </w:rPr>
        <w:t>.</w:t>
      </w:r>
    </w:p>
    <w:p>
      <w:pPr>
        <w:widowControl/>
      </w:pPr>
      <w:r>
        <w:rPr>
          <w:b w:val="0"/>
          <w:i w:val="0"/>
        </w:rPr>
        <w:t xml:space="preserve">Only, restricting a stated class. Intellectual operation is assigned only to the more excellent kinds; the restriction identifies its narrower distribution. References: </w:t>
      </w:r>
      <w:hyperlink w:anchor="passage-ii-11-12">
        <w:r>
          <w:rPr>
            <w:color w:val="000000"/>
          </w:rPr>
          <w:t xml:space="preserve">II.11.12</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606" w:name="latin-record-0355"/>
      <w:bookmarkEnd w:id="606"/>
      <w:r>
        <w:rPr>
          <w:b/>
          <w:i w:val="0"/>
        </w:rPr>
        <w:t>dux / lex superioris</w:t>
      </w:r>
      <w:r>
        <w:rPr>
          <w:b/>
          <w:i w:val="0"/>
        </w:rPr>
        <w:t>.</w:t>
      </w:r>
      <w:r>
        <w:rPr>
          <w:b w:val="0"/>
          <w:i w:val="0"/>
        </w:rPr>
        <w:t xml:space="preserve"> Printed forms: </w:t>
      </w:r>
      <w:r>
        <w:rPr>
          <w:b w:val="0"/>
          <w:i/>
        </w:rPr>
        <w:t>ducem</w:t>
      </w:r>
      <w:r>
        <w:rPr>
          <w:b w:val="0"/>
          <w:i w:val="0"/>
        </w:rPr>
        <w:t xml:space="preserve">; </w:t>
      </w:r>
      <w:r>
        <w:rPr>
          <w:b w:val="0"/>
          <w:i/>
        </w:rPr>
        <w:t>lege alicuius superioris</w:t>
      </w:r>
      <w:r>
        <w:rPr>
          <w:b w:val="0"/>
          <w:i w:val="0"/>
        </w:rPr>
        <w:t>.</w:t>
      </w:r>
    </w:p>
    <w:p>
      <w:pPr>
        <w:widowControl/>
      </w:pPr>
      <w:r>
        <w:rPr>
          <w:b w:val="0"/>
          <w:i w:val="0"/>
        </w:rPr>
        <w:t xml:space="preserve">A guide; a law from a superior source. Mutable rational self-motion requires stable direction for perpetual uniformity, excluding God as a sphere’s soul. References: </w:t>
      </w:r>
      <w:hyperlink w:anchor="passage-iv-1-28">
        <w:r>
          <w:rPr>
            <w:color w:val="000000"/>
          </w:rPr>
          <w:t xml:space="preserve">IV.1.28</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607" w:name="latin-record-0356"/>
      <w:bookmarkEnd w:id="607"/>
      <w:r>
        <w:rPr>
          <w:b/>
          <w:i w:val="0"/>
        </w:rPr>
        <w:t>e regione / suscipere</w:t>
      </w:r>
      <w:r>
        <w:rPr>
          <w:b/>
          <w:i w:val="0"/>
        </w:rPr>
        <w:t>.</w:t>
      </w:r>
      <w:r>
        <w:rPr>
          <w:b w:val="0"/>
          <w:i w:val="0"/>
        </w:rPr>
        <w:t xml:space="preserve"> Printed forms: </w:t>
      </w:r>
      <w:r>
        <w:rPr>
          <w:b w:val="0"/>
          <w:i/>
        </w:rPr>
        <w:t>e regione</w:t>
      </w:r>
      <w:r>
        <w:rPr>
          <w:b w:val="0"/>
          <w:i w:val="0"/>
        </w:rPr>
        <w:t xml:space="preserve">; </w:t>
      </w:r>
      <w:r>
        <w:rPr>
          <w:b w:val="0"/>
          <w:i/>
        </w:rPr>
        <w:t>suscipiendas</w:t>
      </w:r>
      <w:r>
        <w:rPr>
          <w:b w:val="0"/>
          <w:i w:val="0"/>
        </w:rPr>
        <w:t>.</w:t>
      </w:r>
    </w:p>
    <w:p>
      <w:pPr>
        <w:widowControl/>
      </w:pPr>
      <w:r>
        <w:rPr>
          <w:b w:val="0"/>
          <w:i w:val="0"/>
        </w:rPr>
        <w:t xml:space="preserve">Opposite or facing; to receive. Some parts of air and fire answer the stars directly and are said to be prepared by their influxes for minds. References: </w:t>
      </w:r>
      <w:hyperlink w:anchor="passage-iv-1-92">
        <w:r>
          <w:rPr>
            <w:color w:val="000000"/>
          </w:rPr>
          <w:t xml:space="preserve">IV.1.92</w:t>
        </w:r>
      </w:hyperlink>
      <w:r>
        <w:rPr>
          <w:b w:val="0"/>
          <w:i w:val="0"/>
        </w:rPr>
        <w:t xml:space="preserve">. See </w:t>
      </w:r>
      <w:hyperlink w:anchor="transparency-and-opacity">
        <w:r>
          <w:rPr>
            <w:color w:val="000000"/>
          </w:rPr>
          <w:t xml:space="preserve">Transparency and opacity</w:t>
        </w:r>
      </w:hyperlink>
      <w:r>
        <w:rPr>
          <w:b w:val="0"/>
          <w:i w:val="0"/>
        </w:rPr>
        <w:t>.</w:t>
      </w:r>
    </w:p>
    <w:p>
      <w:pPr>
        <w:keepNext/>
        <w:widowControl/>
      </w:pPr>
      <w:bookmarkStart w:id="608" w:name="latin-record-0357"/>
      <w:bookmarkEnd w:id="608"/>
      <w:r>
        <w:rPr>
          <w:b/>
          <w:i w:val="0"/>
        </w:rPr>
        <w:t>eclipsis / nox / momentum</w:t>
      </w:r>
      <w:r>
        <w:rPr>
          <w:b/>
          <w:i w:val="0"/>
        </w:rPr>
        <w:t>.</w:t>
      </w:r>
      <w:r>
        <w:rPr>
          <w:b w:val="0"/>
          <w:i w:val="0"/>
        </w:rPr>
        <w:t xml:space="preserve"> Printed forms: </w:t>
      </w:r>
      <w:r>
        <w:rPr>
          <w:b w:val="0"/>
          <w:i/>
        </w:rPr>
        <w:t>eclipsim</w:t>
      </w:r>
      <w:r>
        <w:rPr>
          <w:b w:val="0"/>
          <w:i w:val="0"/>
        </w:rPr>
        <w:t xml:space="preserve">; </w:t>
      </w:r>
      <w:r>
        <w:rPr>
          <w:b w:val="0"/>
          <w:i/>
        </w:rPr>
        <w:t>momenta</w:t>
      </w:r>
      <w:r>
        <w:rPr>
          <w:b w:val="0"/>
          <w:i w:val="0"/>
        </w:rPr>
        <w:t xml:space="preserve">; </w:t>
      </w:r>
      <w:r>
        <w:rPr>
          <w:b w:val="0"/>
          <w:i/>
        </w:rPr>
        <w:t>momento</w:t>
      </w:r>
      <w:r>
        <w:rPr>
          <w:b w:val="0"/>
          <w:i w:val="0"/>
        </w:rPr>
        <w:t xml:space="preserve">; </w:t>
      </w:r>
      <w:r>
        <w:rPr>
          <w:b w:val="0"/>
          <w:i/>
        </w:rPr>
        <w:t>momentum</w:t>
      </w:r>
      <w:r>
        <w:rPr>
          <w:b w:val="0"/>
          <w:i w:val="0"/>
        </w:rPr>
        <w:t xml:space="preserve">; </w:t>
      </w:r>
      <w:r>
        <w:rPr>
          <w:b w:val="0"/>
          <w:i/>
        </w:rPr>
        <w:t>noctem</w:t>
      </w:r>
      <w:r>
        <w:rPr>
          <w:b w:val="0"/>
          <w:i w:val="0"/>
        </w:rPr>
        <w:t>.</w:t>
      </w:r>
    </w:p>
    <w:p>
      <w:pPr>
        <w:widowControl/>
      </w:pPr>
      <w:r>
        <w:rPr>
          <w:b w:val="0"/>
          <w:i w:val="0"/>
        </w:rPr>
        <w:t xml:space="preserve">Eclipse, night, and moment or instant. Brief lack of sunlight illustrates a stronger dependence on being; temporal moments also enter the eternity analogy. References: </w:t>
      </w:r>
      <w:hyperlink w:anchor="passage-ii-6-11">
        <w:r>
          <w:rPr>
            <w:color w:val="000000"/>
          </w:rPr>
          <w:t xml:space="preserve">II.6.11</w:t>
        </w:r>
      </w:hyperlink>
      <w:r>
        <w:rPr>
          <w:b w:val="0"/>
          <w:i w:val="0"/>
        </w:rPr>
        <w:t xml:space="preserve">, </w:t>
      </w:r>
      <w:hyperlink w:anchor="passage-ii-6-17">
        <w:r>
          <w:rPr>
            <w:color w:val="000000"/>
          </w:rPr>
          <w:t xml:space="preserve">II.6.17</w:t>
        </w:r>
      </w:hyperlink>
      <w:r>
        <w:rPr>
          <w:b w:val="0"/>
          <w:i w:val="0"/>
        </w:rPr>
        <w:t xml:space="preserve">, </w:t>
      </w:r>
      <w:hyperlink w:anchor="passage-ii-7-18">
        <w:r>
          <w:rPr>
            <w:color w:val="000000"/>
          </w:rPr>
          <w:t xml:space="preserve">II.7.18</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609" w:name="latin-record-0358"/>
      <w:bookmarkEnd w:id="609"/>
      <w:r>
        <w:rPr>
          <w:b/>
          <w:i w:val="0"/>
        </w:rPr>
        <w:t>edere / servare / conservare</w:t>
      </w:r>
      <w:r>
        <w:rPr>
          <w:b/>
          <w:i w:val="0"/>
        </w:rPr>
        <w:t>.</w:t>
      </w:r>
      <w:r>
        <w:rPr>
          <w:b w:val="0"/>
          <w:i w:val="0"/>
        </w:rPr>
        <w:t xml:space="preserve"> Printed forms: </w:t>
      </w:r>
      <w:r>
        <w:rPr>
          <w:b w:val="0"/>
          <w:i/>
        </w:rPr>
        <w:t>conservari</w:t>
      </w:r>
      <w:r>
        <w:rPr>
          <w:b w:val="0"/>
          <w:i w:val="0"/>
        </w:rPr>
        <w:t xml:space="preserve">; </w:t>
      </w:r>
      <w:r>
        <w:rPr>
          <w:b w:val="0"/>
          <w:i/>
        </w:rPr>
        <w:t>conservat</w:t>
      </w:r>
      <w:r>
        <w:rPr>
          <w:b w:val="0"/>
          <w:i w:val="0"/>
        </w:rPr>
        <w:t xml:space="preserve">; </w:t>
      </w:r>
      <w:r>
        <w:rPr>
          <w:b w:val="0"/>
          <w:i/>
        </w:rPr>
        <w:t>conservatore</w:t>
      </w:r>
      <w:r>
        <w:rPr>
          <w:b w:val="0"/>
          <w:i w:val="0"/>
        </w:rPr>
        <w:t xml:space="preserve">; </w:t>
      </w:r>
      <w:r>
        <w:rPr>
          <w:b w:val="0"/>
          <w:i/>
        </w:rPr>
        <w:t>edit</w:t>
      </w:r>
      <w:r>
        <w:rPr>
          <w:b w:val="0"/>
          <w:i w:val="0"/>
        </w:rPr>
        <w:t xml:space="preserve">; </w:t>
      </w:r>
      <w:r>
        <w:rPr>
          <w:b w:val="0"/>
          <w:i/>
        </w:rPr>
        <w:t>servantur</w:t>
      </w:r>
      <w:r>
        <w:rPr>
          <w:b w:val="0"/>
          <w:i w:val="0"/>
        </w:rPr>
        <w:t xml:space="preserve">; </w:t>
      </w:r>
      <w:r>
        <w:rPr>
          <w:b w:val="0"/>
          <w:i/>
        </w:rPr>
        <w:t>servat</w:t>
      </w:r>
      <w:r>
        <w:rPr>
          <w:b w:val="0"/>
          <w:i w:val="0"/>
        </w:rPr>
        <w:t xml:space="preserve">; </w:t>
      </w:r>
      <w:r>
        <w:rPr>
          <w:b w:val="0"/>
          <w:i/>
        </w:rPr>
        <w:t>servatque</w:t>
      </w:r>
      <w:r>
        <w:rPr>
          <w:b w:val="0"/>
          <w:i w:val="0"/>
        </w:rPr>
        <w:t xml:space="preserve">; </w:t>
      </w:r>
      <w:r>
        <w:rPr>
          <w:b w:val="0"/>
          <w:i/>
        </w:rPr>
        <w:t>servaturque</w:t>
      </w:r>
      <w:r>
        <w:rPr>
          <w:b w:val="0"/>
          <w:i w:val="0"/>
        </w:rPr>
        <w:t>.</w:t>
      </w:r>
    </w:p>
    <w:p>
      <w:pPr>
        <w:widowControl/>
      </w:pPr>
      <w:r>
        <w:rPr>
          <w:b w:val="0"/>
          <w:i w:val="0"/>
        </w:rPr>
        <w:t xml:space="preserve">To bring forth and preserve in existence. The continuing grant of being, power, and action is distinguished from an initial act followed by independence. References: </w:t>
      </w:r>
      <w:hyperlink w:anchor="passage-ii-4-6">
        <w:r>
          <w:rPr>
            <w:color w:val="000000"/>
          </w:rPr>
          <w:t xml:space="preserve">II.4.6</w:t>
        </w:r>
      </w:hyperlink>
      <w:r>
        <w:rPr>
          <w:b w:val="0"/>
          <w:i w:val="0"/>
        </w:rPr>
        <w:t xml:space="preserve">, </w:t>
      </w:r>
      <w:hyperlink w:anchor="passage-ii-5-1">
        <w:r>
          <w:rPr>
            <w:color w:val="000000"/>
          </w:rPr>
          <w:t xml:space="preserve">II.5.1</w:t>
        </w:r>
      </w:hyperlink>
      <w:r>
        <w:rPr>
          <w:b w:val="0"/>
          <w:i w:val="0"/>
        </w:rPr>
        <w:t xml:space="preserve">, </w:t>
      </w:r>
      <w:hyperlink w:anchor="passage-ii-7-19">
        <w:r>
          <w:rPr>
            <w:color w:val="000000"/>
          </w:rPr>
          <w:t xml:space="preserve">II.7.19</w:t>
        </w:r>
      </w:hyperlink>
      <w:r>
        <w:rPr>
          <w:b w:val="0"/>
          <w:i w:val="0"/>
        </w:rPr>
        <w:t xml:space="preserve">, </w:t>
      </w:r>
      <w:hyperlink w:anchor="passage-ii-7-23">
        <w:r>
          <w:rPr>
            <w:color w:val="000000"/>
          </w:rPr>
          <w:t xml:space="preserve">II.7.23</w:t>
        </w:r>
      </w:hyperlink>
      <w:r>
        <w:rPr>
          <w:b w:val="0"/>
          <w:i w:val="0"/>
        </w:rPr>
        <w:t xml:space="preserve">. See </w:t>
      </w:r>
      <w:hyperlink w:anchor="conservation-and-preservation">
        <w:r>
          <w:rPr>
            <w:color w:val="000000"/>
          </w:rPr>
          <w:t xml:space="preserve">Conservation and preservation</w:t>
        </w:r>
      </w:hyperlink>
      <w:r>
        <w:rPr>
          <w:b w:val="0"/>
          <w:i w:val="0"/>
        </w:rPr>
        <w:t>.</w:t>
      </w:r>
    </w:p>
    <w:p>
      <w:pPr>
        <w:keepNext/>
        <w:widowControl/>
      </w:pPr>
      <w:bookmarkStart w:id="610" w:name="latin-record-0359"/>
      <w:bookmarkEnd w:id="610"/>
      <w:r>
        <w:rPr>
          <w:b/>
          <w:i w:val="0"/>
        </w:rPr>
        <w:t>educare / spectaculum</w:t>
      </w:r>
      <w:r>
        <w:rPr>
          <w:b/>
          <w:i w:val="0"/>
        </w:rPr>
        <w:t>.</w:t>
      </w:r>
      <w:r>
        <w:rPr>
          <w:b w:val="0"/>
          <w:i w:val="0"/>
        </w:rPr>
        <w:t xml:space="preserve"> Printed forms: </w:t>
      </w:r>
      <w:r>
        <w:rPr>
          <w:b w:val="0"/>
          <w:i/>
        </w:rPr>
        <w:t>educavissent</w:t>
      </w:r>
      <w:r>
        <w:rPr>
          <w:b w:val="0"/>
          <w:i w:val="0"/>
        </w:rPr>
        <w:t xml:space="preserve">; </w:t>
      </w:r>
      <w:r>
        <w:rPr>
          <w:b w:val="0"/>
          <w:i/>
        </w:rPr>
        <w:t>spectaculum</w:t>
      </w:r>
      <w:r>
        <w:rPr>
          <w:b w:val="0"/>
          <w:i w:val="0"/>
        </w:rPr>
        <w:t>.</w:t>
      </w:r>
    </w:p>
    <w:p>
      <w:pPr>
        <w:widowControl/>
      </w:pPr>
      <w:r>
        <w:rPr>
          <w:b w:val="0"/>
          <w:i w:val="0"/>
        </w:rPr>
        <w:t xml:space="preserve">Bring up / spectacle or object newly seen. A hypothetical upbringing without sight of the world makes its first appearance dramatically striking; the scenario is not biographical. References: </w:t>
      </w:r>
      <w:hyperlink w:anchor="passage-ii-13-20">
        <w:r>
          <w:rPr>
            <w:color w:val="000000"/>
          </w:rPr>
          <w:t xml:space="preserve">II.13.20</w:t>
        </w:r>
      </w:hyperlink>
      <w:r>
        <w:rPr>
          <w:b w:val="0"/>
          <w:i w:val="0"/>
        </w:rPr>
        <w:t xml:space="preserve">. See </w:t>
      </w:r>
      <w:hyperlink w:anchor="wonder-and-familiarity">
        <w:r>
          <w:rPr>
            <w:color w:val="000000"/>
          </w:rPr>
          <w:t xml:space="preserve">Wonder and familiarity</w:t>
        </w:r>
      </w:hyperlink>
      <w:r>
        <w:rPr>
          <w:b w:val="0"/>
          <w:i w:val="0"/>
        </w:rPr>
        <w:t>.</w:t>
      </w:r>
    </w:p>
    <w:p>
      <w:pPr>
        <w:keepNext/>
        <w:widowControl/>
      </w:pPr>
      <w:bookmarkStart w:id="611" w:name="latin-record-0360"/>
      <w:bookmarkEnd w:id="611"/>
      <w:r>
        <w:rPr>
          <w:b/>
          <w:i w:val="0"/>
        </w:rPr>
        <w:t>effectrix / machinatrix</w:t>
      </w:r>
      <w:r>
        <w:rPr>
          <w:b/>
          <w:i w:val="0"/>
        </w:rPr>
        <w:t>.</w:t>
      </w:r>
      <w:r>
        <w:rPr>
          <w:b w:val="0"/>
          <w:i w:val="0"/>
        </w:rPr>
        <w:t xml:space="preserve"> Printed forms: </w:t>
      </w:r>
      <w:r>
        <w:rPr>
          <w:b w:val="0"/>
          <w:i/>
        </w:rPr>
        <w:t>effectrix</w:t>
      </w:r>
      <w:r>
        <w:rPr>
          <w:b w:val="0"/>
          <w:i w:val="0"/>
        </w:rPr>
        <w:t xml:space="preserve">; </w:t>
      </w:r>
      <w:r>
        <w:rPr>
          <w:b w:val="0"/>
          <w:i/>
        </w:rPr>
        <w:t>machinatrix</w:t>
      </w:r>
      <w:r>
        <w:rPr>
          <w:b w:val="0"/>
          <w:i w:val="0"/>
        </w:rPr>
        <w:t>.</w:t>
      </w:r>
    </w:p>
    <w:p>
      <w:pPr>
        <w:widowControl/>
      </w:pPr>
      <w:r>
        <w:rPr>
          <w:b w:val="0"/>
          <w:i w:val="0"/>
        </w:rPr>
        <w:t xml:space="preserve">Productive / capable of devising or designing. The two adjectives distinguish God’s making-power from mind’s conceptual range, whose breadth supports the inference. References: </w:t>
      </w:r>
      <w:hyperlink w:anchor="passage-ii-12-17">
        <w:r>
          <w:rPr>
            <w:color w:val="000000"/>
          </w:rPr>
          <w:t xml:space="preserve">II.12.17</w:t>
        </w:r>
      </w:hyperlink>
      <w:r>
        <w:rPr>
          <w:b w:val="0"/>
          <w:i w:val="0"/>
        </w:rPr>
        <w:t xml:space="preserve">. See </w:t>
      </w:r>
      <w:hyperlink w:anchor="productive-and-designing-power">
        <w:r>
          <w:rPr>
            <w:color w:val="000000"/>
          </w:rPr>
          <w:t xml:space="preserve">Productive and designing power</w:t>
        </w:r>
      </w:hyperlink>
      <w:r>
        <w:rPr>
          <w:b w:val="0"/>
          <w:i w:val="0"/>
        </w:rPr>
        <w:t>.</w:t>
      </w:r>
    </w:p>
    <w:p>
      <w:pPr>
        <w:keepNext/>
        <w:widowControl/>
      </w:pPr>
      <w:bookmarkStart w:id="612" w:name="latin-record-0361"/>
      <w:bookmarkEnd w:id="612"/>
      <w:r>
        <w:rPr>
          <w:b/>
          <w:i w:val="0"/>
        </w:rPr>
        <w:t>effectus / efficiens</w:t>
      </w:r>
      <w:r>
        <w:rPr>
          <w:b/>
          <w:i w:val="0"/>
        </w:rPr>
        <w:t>.</w:t>
      </w:r>
      <w:r>
        <w:rPr>
          <w:b w:val="0"/>
          <w:i w:val="0"/>
        </w:rPr>
        <w:t xml:space="preserve"> Printed forms: </w:t>
      </w:r>
      <w:r>
        <w:rPr>
          <w:b w:val="0"/>
          <w:i/>
        </w:rPr>
        <w:t>Effectui</w:t>
      </w:r>
      <w:r>
        <w:rPr>
          <w:b w:val="0"/>
          <w:i w:val="0"/>
        </w:rPr>
        <w:t xml:space="preserve">; </w:t>
      </w:r>
      <w:r>
        <w:rPr>
          <w:b w:val="0"/>
          <w:i/>
        </w:rPr>
        <w:t>effectus</w:t>
      </w:r>
      <w:r>
        <w:rPr>
          <w:b w:val="0"/>
          <w:i w:val="0"/>
        </w:rPr>
        <w:t xml:space="preserve">; </w:t>
      </w:r>
      <w:r>
        <w:rPr>
          <w:b w:val="0"/>
          <w:i/>
        </w:rPr>
        <w:t>efficiens</w:t>
      </w:r>
      <w:r>
        <w:rPr>
          <w:b w:val="0"/>
          <w:i w:val="0"/>
        </w:rPr>
        <w:t>.</w:t>
      </w:r>
    </w:p>
    <w:p>
      <w:pPr>
        <w:widowControl/>
      </w:pPr>
      <w:r>
        <w:rPr>
          <w:b w:val="0"/>
          <w:i w:val="0"/>
        </w:rPr>
        <w:t xml:space="preserve">An effect and an efficient cause or producer. The same fire is first an effect relative to its origin, then a producer relative to another fire; causal roles are relational. References: </w:t>
      </w:r>
      <w:hyperlink w:anchor="passage-i-3-8">
        <w:r>
          <w:rPr>
            <w:color w:val="000000"/>
          </w:rPr>
          <w:t xml:space="preserve">I.3.8</w:t>
        </w:r>
      </w:hyperlink>
      <w:r>
        <w:rPr>
          <w:b w:val="0"/>
          <w:i w:val="0"/>
        </w:rPr>
        <w:t xml:space="preserve">. See </w:t>
      </w:r>
      <w:hyperlink w:anchor="cause">
        <w:r>
          <w:rPr>
            <w:color w:val="000000"/>
          </w:rPr>
          <w:t xml:space="preserve">Cause</w:t>
        </w:r>
      </w:hyperlink>
      <w:r>
        <w:rPr>
          <w:b w:val="0"/>
          <w:i w:val="0"/>
        </w:rPr>
        <w:t>.</w:t>
      </w:r>
    </w:p>
    <w:p>
      <w:pPr>
        <w:keepNext/>
        <w:widowControl/>
      </w:pPr>
      <w:bookmarkStart w:id="613" w:name="latin-record-0362"/>
      <w:bookmarkEnd w:id="613"/>
      <w:r>
        <w:rPr>
          <w:b/>
          <w:i w:val="0"/>
        </w:rPr>
        <w:t>efficax</w:t>
      </w:r>
      <w:r>
        <w:rPr>
          <w:b/>
          <w:i w:val="0"/>
        </w:rPr>
        <w:t>.</w:t>
      </w:r>
      <w:r>
        <w:rPr>
          <w:b w:val="0"/>
          <w:i w:val="0"/>
        </w:rPr>
        <w:t xml:space="preserve"> Printed forms: </w:t>
      </w:r>
      <w:r>
        <w:rPr>
          <w:b w:val="0"/>
          <w:i/>
        </w:rPr>
        <w:t>efficacior</w:t>
      </w:r>
      <w:r>
        <w:rPr>
          <w:b w:val="0"/>
          <w:i w:val="0"/>
        </w:rPr>
        <w:t xml:space="preserve">; </w:t>
      </w:r>
      <w:r>
        <w:rPr>
          <w:b w:val="0"/>
          <w:i/>
        </w:rPr>
        <w:t>efficacissimam</w:t>
      </w:r>
      <w:r>
        <w:rPr>
          <w:b w:val="0"/>
          <w:i w:val="0"/>
        </w:rPr>
        <w:t xml:space="preserve">; </w:t>
      </w:r>
      <w:r>
        <w:rPr>
          <w:b w:val="0"/>
          <w:i/>
        </w:rPr>
        <w:t>efficax</w:t>
      </w:r>
      <w:r>
        <w:rPr>
          <w:b w:val="0"/>
          <w:i w:val="0"/>
        </w:rPr>
        <w:t>.</w:t>
      </w:r>
    </w:p>
    <w:p>
      <w:pPr>
        <w:widowControl/>
      </w:pPr>
      <w:r>
        <w:rPr>
          <w:b w:val="0"/>
          <w:i w:val="0"/>
        </w:rPr>
        <w:t xml:space="preserve">Effective or capable of producing an effect. Comparative efficacy in humans, angels, and God supports the claim that divine activity must be intellectual. References: </w:t>
      </w:r>
      <w:hyperlink w:anchor="passage-ii-11-11">
        <w:r>
          <w:rPr>
            <w:color w:val="000000"/>
          </w:rPr>
          <w:t xml:space="preserve">II.11.11</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614" w:name="latin-record-0363"/>
      <w:bookmarkEnd w:id="614"/>
      <w:r>
        <w:rPr>
          <w:b/>
          <w:i w:val="0"/>
        </w:rPr>
        <w:t>efficax / efficacia</w:t>
      </w:r>
      <w:r>
        <w:rPr>
          <w:b/>
          <w:i w:val="0"/>
        </w:rPr>
        <w:t>.</w:t>
      </w:r>
      <w:r>
        <w:rPr>
          <w:b w:val="0"/>
          <w:i w:val="0"/>
        </w:rPr>
        <w:t xml:space="preserve"> Printed forms: </w:t>
      </w:r>
      <w:r>
        <w:rPr>
          <w:b w:val="0"/>
          <w:i/>
        </w:rPr>
        <w:t>efficacem</w:t>
      </w:r>
      <w:r>
        <w:rPr>
          <w:b w:val="0"/>
          <w:i w:val="0"/>
        </w:rPr>
        <w:t xml:space="preserve">; </w:t>
      </w:r>
      <w:r>
        <w:rPr>
          <w:b w:val="0"/>
          <w:i/>
        </w:rPr>
        <w:t>efficacia</w:t>
      </w:r>
      <w:r>
        <w:rPr>
          <w:b w:val="0"/>
          <w:i w:val="0"/>
        </w:rPr>
        <w:t xml:space="preserve">; </w:t>
      </w:r>
      <w:r>
        <w:rPr>
          <w:b w:val="0"/>
          <w:i/>
        </w:rPr>
        <w:t>efficacissimus</w:t>
      </w:r>
      <w:r>
        <w:rPr>
          <w:b w:val="0"/>
          <w:i w:val="0"/>
        </w:rPr>
        <w:t xml:space="preserve">; </w:t>
      </w:r>
      <w:r>
        <w:rPr>
          <w:b w:val="0"/>
          <w:i/>
        </w:rPr>
        <w:t>efficax</w:t>
      </w:r>
      <w:r>
        <w:rPr>
          <w:b w:val="0"/>
          <w:i w:val="0"/>
        </w:rPr>
        <w:t>.</w:t>
      </w:r>
    </w:p>
    <w:p>
      <w:pPr>
        <w:widowControl/>
      </w:pPr>
      <w:r>
        <w:rPr>
          <w:b w:val="0"/>
          <w:i w:val="0"/>
        </w:rPr>
        <w:t xml:space="preserve">Effective or efficacious, and efficacy. Fire’s force and form’s active nature are compared with bulk’s impediments; efficacy is subsequently distinguished from the sufficiency of a first cause. References: </w:t>
      </w:r>
      <w:hyperlink w:anchor="passage-i-1-3">
        <w:r>
          <w:rPr>
            <w:color w:val="000000"/>
          </w:rPr>
          <w:t xml:space="preserve">I.1.3</w:t>
        </w:r>
      </w:hyperlink>
      <w:r>
        <w:rPr>
          <w:b w:val="0"/>
          <w:i w:val="0"/>
        </w:rPr>
        <w:t xml:space="preserve">, </w:t>
      </w:r>
      <w:hyperlink w:anchor="passage-i-2-5">
        <w:r>
          <w:rPr>
            <w:color w:val="000000"/>
          </w:rPr>
          <w:t xml:space="preserve">I.2.5</w:t>
        </w:r>
      </w:hyperlink>
      <w:r>
        <w:rPr>
          <w:b w:val="0"/>
          <w:i w:val="0"/>
        </w:rPr>
        <w:t xml:space="preserve">, </w:t>
      </w:r>
      <w:hyperlink w:anchor="passage-i-2-13">
        <w:r>
          <w:rPr>
            <w:color w:val="000000"/>
          </w:rPr>
          <w:t xml:space="preserve">I.2.13</w:t>
        </w:r>
      </w:hyperlink>
      <w:r>
        <w:rPr>
          <w:b w:val="0"/>
          <w:i w:val="0"/>
        </w:rPr>
        <w:t xml:space="preserve">, </w:t>
      </w:r>
      <w:hyperlink w:anchor="passage-i-3-1">
        <w:r>
          <w:rPr>
            <w:color w:val="000000"/>
          </w:rPr>
          <w:t xml:space="preserve">I.3.1</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615" w:name="latin-record-0364"/>
      <w:bookmarkEnd w:id="615"/>
      <w:r>
        <w:rPr>
          <w:b/>
          <w:i w:val="0"/>
        </w:rPr>
        <w:t>efficax / validus</w:t>
      </w:r>
      <w:r>
        <w:rPr>
          <w:b/>
          <w:i w:val="0"/>
        </w:rPr>
        <w:t>.</w:t>
      </w:r>
      <w:r>
        <w:rPr>
          <w:b w:val="0"/>
          <w:i w:val="0"/>
        </w:rPr>
        <w:t xml:space="preserve"> Printed forms: </w:t>
      </w:r>
      <w:r>
        <w:rPr>
          <w:b w:val="0"/>
          <w:i/>
        </w:rPr>
        <w:t>efficacior</w:t>
      </w:r>
      <w:r>
        <w:rPr>
          <w:b w:val="0"/>
          <w:i w:val="0"/>
        </w:rPr>
        <w:t xml:space="preserve">; </w:t>
      </w:r>
      <w:r>
        <w:rPr>
          <w:b w:val="0"/>
          <w:i/>
        </w:rPr>
        <w:t>efficax</w:t>
      </w:r>
      <w:r>
        <w:rPr>
          <w:b w:val="0"/>
          <w:i w:val="0"/>
        </w:rPr>
        <w:t xml:space="preserve">; </w:t>
      </w:r>
      <w:r>
        <w:rPr>
          <w:b w:val="0"/>
          <w:i/>
        </w:rPr>
        <w:t>validius</w:t>
      </w:r>
      <w:r>
        <w:rPr>
          <w:b w:val="0"/>
          <w:i w:val="0"/>
        </w:rPr>
        <w:t>.</w:t>
      </w:r>
    </w:p>
    <w:p>
      <w:pPr>
        <w:widowControl/>
      </w:pPr>
      <w:r>
        <w:rPr>
          <w:b w:val="0"/>
          <w:i w:val="0"/>
        </w:rPr>
        <w:t xml:space="preserve">Efficacious or powerful in producing an effect. An agent’s power is measured by the remoteness of receptive potency from the act it produces. References: </w:t>
      </w:r>
      <w:hyperlink w:anchor="passage-ii-4-1">
        <w:r>
          <w:rPr>
            <w:color w:val="000000"/>
          </w:rPr>
          <w:t xml:space="preserve">II.4.1</w:t>
        </w:r>
      </w:hyperlink>
      <w:r>
        <w:rPr>
          <w:b w:val="0"/>
          <w:i w:val="0"/>
        </w:rPr>
        <w:t xml:space="preserve">, </w:t>
      </w:r>
      <w:hyperlink w:anchor="passage-ii-4-5">
        <w:r>
          <w:rPr>
            <w:color w:val="000000"/>
          </w:rPr>
          <w:t xml:space="preserve">II.4.5</w:t>
        </w:r>
      </w:hyperlink>
      <w:r>
        <w:rPr>
          <w:b w:val="0"/>
          <w:i w:val="0"/>
        </w:rPr>
        <w:t xml:space="preserve">, </w:t>
      </w:r>
      <w:hyperlink w:anchor="passage-ii-6-19">
        <w:r>
          <w:rPr>
            <w:color w:val="000000"/>
          </w:rPr>
          <w:t xml:space="preserve">II.6.19</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616" w:name="latin-record-0365"/>
      <w:bookmarkEnd w:id="616"/>
      <w:r>
        <w:rPr>
          <w:b/>
          <w:i w:val="0"/>
        </w:rPr>
        <w:t>effingere</w:t>
      </w:r>
      <w:r>
        <w:rPr>
          <w:b/>
          <w:i w:val="0"/>
        </w:rPr>
        <w:t>.</w:t>
      </w:r>
      <w:r>
        <w:rPr>
          <w:b w:val="0"/>
          <w:i w:val="0"/>
        </w:rPr>
        <w:t xml:space="preserve"> Printed forms: </w:t>
      </w:r>
      <w:r>
        <w:rPr>
          <w:b w:val="0"/>
          <w:i/>
        </w:rPr>
        <w:t>effingi</w:t>
      </w:r>
      <w:r>
        <w:rPr>
          <w:b w:val="0"/>
          <w:i w:val="0"/>
        </w:rPr>
        <w:t xml:space="preserve">; </w:t>
      </w:r>
      <w:r>
        <w:rPr>
          <w:b w:val="0"/>
          <w:i/>
        </w:rPr>
        <w:t>effinguntur</w:t>
      </w:r>
      <w:r>
        <w:rPr>
          <w:b w:val="0"/>
          <w:i w:val="0"/>
        </w:rPr>
        <w:t>.</w:t>
      </w:r>
    </w:p>
    <w:p>
      <w:pPr>
        <w:widowControl/>
      </w:pPr>
      <w:r>
        <w:rPr>
          <w:b w:val="0"/>
          <w:i w:val="0"/>
        </w:rPr>
        <w:t xml:space="preserve">Fashion or form after a pattern. Innumerable images of divine goodness could be fashioned beyond those actually produced; imaging does not imply actualization of all possibilities. References: </w:t>
      </w:r>
      <w:hyperlink w:anchor="passage-ii-12-15">
        <w:r>
          <w:rPr>
            <w:color w:val="000000"/>
          </w:rPr>
          <w:t xml:space="preserve">II.12.15</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617" w:name="latin-record-0366"/>
      <w:bookmarkEnd w:id="617"/>
      <w:r>
        <w:rPr>
          <w:b/>
          <w:i w:val="0"/>
        </w:rPr>
        <w:t>Egelias / crinitae</w:t>
      </w:r>
      <w:r>
        <w:rPr>
          <w:b/>
          <w:i w:val="0"/>
        </w:rPr>
        <w:t>.</w:t>
      </w:r>
      <w:r>
        <w:rPr>
          <w:b w:val="0"/>
          <w:i w:val="0"/>
        </w:rPr>
        <w:t xml:space="preserve"> Printed forms: </w:t>
      </w:r>
      <w:r>
        <w:rPr>
          <w:b w:val="0"/>
          <w:i/>
        </w:rPr>
        <w:t>crinitarum</w:t>
      </w:r>
      <w:r>
        <w:rPr>
          <w:b w:val="0"/>
          <w:i w:val="0"/>
        </w:rPr>
        <w:t xml:space="preserve">; </w:t>
      </w:r>
      <w:r>
        <w:rPr>
          <w:b w:val="0"/>
          <w:i/>
        </w:rPr>
        <w:t>Egelias</w:t>
      </w:r>
      <w:r>
        <w:rPr>
          <w:b w:val="0"/>
          <w:i w:val="0"/>
        </w:rPr>
        <w:t>.</w:t>
      </w:r>
    </w:p>
    <w:p>
      <w:pPr>
        <w:widowControl/>
      </w:pPr>
      <w:r>
        <w:rPr>
          <w:b w:val="0"/>
          <w:i w:val="0"/>
        </w:rPr>
        <w:t xml:space="preserve">A retained named advocate of earth’s motion; comets. Earth’s circular motion is conditional; the revolution of comets is invoked within the historical cosmology as evidence for air and fire’s circling. References: </w:t>
      </w:r>
      <w:hyperlink w:anchor="passage-iv-1-75">
        <w:r>
          <w:rPr>
            <w:color w:val="000000"/>
          </w:rPr>
          <w:t xml:space="preserve">IV.1.75</w:t>
        </w:r>
      </w:hyperlink>
      <w:r>
        <w:rPr>
          <w:b w:val="0"/>
          <w:i w:val="0"/>
        </w:rPr>
        <w:t xml:space="preserve">. See </w:t>
      </w:r>
      <w:hyperlink w:anchor="natural-motion-and-natural-place">
        <w:r>
          <w:rPr>
            <w:color w:val="000000"/>
          </w:rPr>
          <w:t xml:space="preserve">Natural motion and natural place</w:t>
        </w:r>
      </w:hyperlink>
      <w:r>
        <w:rPr>
          <w:b w:val="0"/>
          <w:i w:val="0"/>
        </w:rPr>
        <w:t>.</w:t>
      </w:r>
    </w:p>
    <w:p>
      <w:pPr>
        <w:keepNext/>
        <w:widowControl/>
      </w:pPr>
      <w:bookmarkStart w:id="618" w:name="latin-record-0367"/>
      <w:bookmarkEnd w:id="618"/>
      <w:r>
        <w:rPr>
          <w:b/>
          <w:i w:val="0"/>
        </w:rPr>
        <w:t>egere / indigere</w:t>
      </w:r>
      <w:r>
        <w:rPr>
          <w:b/>
          <w:i w:val="0"/>
        </w:rPr>
        <w:t>.</w:t>
      </w:r>
      <w:r>
        <w:rPr>
          <w:b w:val="0"/>
          <w:i w:val="0"/>
        </w:rPr>
        <w:t xml:space="preserve"> Printed forms: </w:t>
      </w:r>
      <w:r>
        <w:rPr>
          <w:b w:val="0"/>
          <w:i/>
        </w:rPr>
        <w:t>egeat</w:t>
      </w:r>
      <w:r>
        <w:rPr>
          <w:b w:val="0"/>
          <w:i w:val="0"/>
        </w:rPr>
        <w:t xml:space="preserve">; </w:t>
      </w:r>
      <w:r>
        <w:rPr>
          <w:b w:val="0"/>
          <w:i/>
        </w:rPr>
        <w:t>eget</w:t>
      </w:r>
      <w:r>
        <w:rPr>
          <w:b w:val="0"/>
          <w:i w:val="0"/>
        </w:rPr>
        <w:t xml:space="preserve">; </w:t>
      </w:r>
      <w:r>
        <w:rPr>
          <w:b w:val="0"/>
          <w:i/>
        </w:rPr>
        <w:t>indiget</w:t>
      </w:r>
      <w:r>
        <w:rPr>
          <w:b w:val="0"/>
          <w:i w:val="0"/>
        </w:rPr>
        <w:t>.</w:t>
      </w:r>
    </w:p>
    <w:p>
      <w:pPr>
        <w:widowControl/>
      </w:pPr>
      <w:r>
        <w:rPr>
          <w:b w:val="0"/>
          <w:i w:val="0"/>
        </w:rPr>
        <w:t xml:space="preserve">To need; lack of self-sufficiency in being or operation. Dependence concerns constituents, preservation, and completion by an end, rather than merely emotional wanting. References: </w:t>
      </w:r>
      <w:hyperlink w:anchor="passage-ii-2-3">
        <w:r>
          <w:rPr>
            <w:color w:val="000000"/>
          </w:rPr>
          <w:t xml:space="preserve">II.2.3</w:t>
        </w:r>
      </w:hyperlink>
      <w:r>
        <w:rPr>
          <w:b w:val="0"/>
          <w:i w:val="0"/>
        </w:rPr>
        <w:t xml:space="preserve">, </w:t>
      </w:r>
      <w:hyperlink w:anchor="passage-ii-6-4">
        <w:r>
          <w:rPr>
            <w:color w:val="000000"/>
          </w:rPr>
          <w:t xml:space="preserve">II.6.4</w:t>
        </w:r>
      </w:hyperlink>
      <w:r>
        <w:rPr>
          <w:b w:val="0"/>
          <w:i w:val="0"/>
        </w:rPr>
        <w:t xml:space="preserve">, </w:t>
      </w:r>
      <w:hyperlink w:anchor="passage-ii-7-16">
        <w:r>
          <w:rPr>
            <w:color w:val="000000"/>
          </w:rPr>
          <w:t xml:space="preserve">II.7.16</w:t>
        </w:r>
      </w:hyperlink>
      <w:r>
        <w:rPr>
          <w:b w:val="0"/>
          <w:i w:val="0"/>
        </w:rPr>
        <w:t xml:space="preserve">, </w:t>
      </w:r>
      <w:hyperlink w:anchor="passage-ii-7-22">
        <w:r>
          <w:rPr>
            <w:color w:val="000000"/>
          </w:rPr>
          <w:t xml:space="preserve">II.7.22</w:t>
        </w:r>
      </w:hyperlink>
      <w:r>
        <w:rPr>
          <w:b w:val="0"/>
          <w:i w:val="0"/>
        </w:rPr>
        <w:t xml:space="preserve">. See </w:t>
      </w:r>
      <w:hyperlink w:anchor="need-and-sufficiency">
        <w:r>
          <w:rPr>
            <w:color w:val="000000"/>
          </w:rPr>
          <w:t xml:space="preserve">Need and sufficiency</w:t>
        </w:r>
      </w:hyperlink>
      <w:r>
        <w:rPr>
          <w:b w:val="0"/>
          <w:i w:val="0"/>
        </w:rPr>
        <w:t>.</w:t>
      </w:r>
    </w:p>
    <w:p>
      <w:pPr>
        <w:keepNext/>
        <w:widowControl/>
      </w:pPr>
      <w:bookmarkStart w:id="619" w:name="latin-record-0368"/>
      <w:bookmarkEnd w:id="619"/>
      <w:r>
        <w:rPr>
          <w:b/>
          <w:i w:val="0"/>
        </w:rPr>
        <w:t>electio / eligere</w:t>
      </w:r>
      <w:r>
        <w:rPr>
          <w:b/>
          <w:i w:val="0"/>
        </w:rPr>
        <w:t>.</w:t>
      </w:r>
      <w:r>
        <w:rPr>
          <w:b w:val="0"/>
          <w:i w:val="0"/>
        </w:rPr>
        <w:t xml:space="preserve"> Printed forms: </w:t>
      </w:r>
      <w:r>
        <w:rPr>
          <w:b w:val="0"/>
          <w:i/>
        </w:rPr>
        <w:t>electio</w:t>
      </w:r>
      <w:r>
        <w:rPr>
          <w:b w:val="0"/>
          <w:i w:val="0"/>
        </w:rPr>
        <w:t xml:space="preserve">; </w:t>
      </w:r>
      <w:r>
        <w:rPr>
          <w:b w:val="0"/>
          <w:i/>
        </w:rPr>
        <w:t>electione</w:t>
      </w:r>
      <w:r>
        <w:rPr>
          <w:b w:val="0"/>
          <w:i w:val="0"/>
        </w:rPr>
        <w:t xml:space="preserve">; </w:t>
      </w:r>
      <w:r>
        <w:rPr>
          <w:b w:val="0"/>
          <w:i/>
        </w:rPr>
        <w:t>electionem</w:t>
      </w:r>
      <w:r>
        <w:rPr>
          <w:b w:val="0"/>
          <w:i w:val="0"/>
        </w:rPr>
        <w:t xml:space="preserve">; </w:t>
      </w:r>
      <w:r>
        <w:rPr>
          <w:b w:val="0"/>
          <w:i/>
        </w:rPr>
        <w:t>electiones</w:t>
      </w:r>
      <w:r>
        <w:rPr>
          <w:b w:val="0"/>
          <w:i w:val="0"/>
        </w:rPr>
        <w:t xml:space="preserve">; </w:t>
      </w:r>
      <w:r>
        <w:rPr>
          <w:b w:val="0"/>
          <w:i/>
        </w:rPr>
        <w:t>electionis</w:t>
      </w:r>
      <w:r>
        <w:rPr>
          <w:b w:val="0"/>
          <w:i w:val="0"/>
        </w:rPr>
        <w:t xml:space="preserve">; </w:t>
      </w:r>
      <w:r>
        <w:rPr>
          <w:b w:val="0"/>
          <w:i/>
        </w:rPr>
        <w:t>eligendo</w:t>
      </w:r>
      <w:r>
        <w:rPr>
          <w:b w:val="0"/>
          <w:i w:val="0"/>
        </w:rPr>
        <w:t xml:space="preserve">; </w:t>
      </w:r>
      <w:r>
        <w:rPr>
          <w:b w:val="0"/>
          <w:i/>
        </w:rPr>
        <w:t>eligunt</w:t>
      </w:r>
      <w:r>
        <w:rPr>
          <w:b w:val="0"/>
          <w:i w:val="0"/>
        </w:rPr>
        <w:t>.</w:t>
      </w:r>
    </w:p>
    <w:p>
      <w:pPr>
        <w:widowControl/>
      </w:pPr>
      <w:r>
        <w:rPr>
          <w:b w:val="0"/>
          <w:i w:val="0"/>
        </w:rPr>
        <w:t xml:space="preserve">Choice or choosing, contrasted with activity through natural being. Choice itself cannot require an endless series of prior choices, so some activity precedes deliberative selection. References: </w:t>
      </w:r>
      <w:hyperlink w:anchor="passage-ii-8-1">
        <w:r>
          <w:rPr>
            <w:color w:val="000000"/>
          </w:rPr>
          <w:t xml:space="preserve">II.8.1</w:t>
        </w:r>
      </w:hyperlink>
      <w:r>
        <w:rPr>
          <w:b w:val="0"/>
          <w:i w:val="0"/>
        </w:rPr>
        <w:t xml:space="preserve">, </w:t>
      </w:r>
      <w:hyperlink w:anchor="passage-ii-8-3">
        <w:r>
          <w:rPr>
            <w:color w:val="000000"/>
          </w:rPr>
          <w:t xml:space="preserve">II.8.3</w:t>
        </w:r>
      </w:hyperlink>
      <w:r>
        <w:rPr>
          <w:b w:val="0"/>
          <w:i w:val="0"/>
        </w:rPr>
        <w:t xml:space="preserve">, </w:t>
      </w:r>
      <w:hyperlink w:anchor="passage-ii-8-4">
        <w:r>
          <w:rPr>
            <w:color w:val="000000"/>
          </w:rPr>
          <w:t xml:space="preserve">II.8.4</w:t>
        </w:r>
      </w:hyperlink>
      <w:r>
        <w:rPr>
          <w:b w:val="0"/>
          <w:i w:val="0"/>
        </w:rPr>
        <w:t xml:space="preserve">. See </w:t>
      </w:r>
      <w:hyperlink w:anchor="choice-and-deliberation">
        <w:r>
          <w:rPr>
            <w:color w:val="000000"/>
          </w:rPr>
          <w:t xml:space="preserve">Choice and deliberation</w:t>
        </w:r>
      </w:hyperlink>
      <w:r>
        <w:rPr>
          <w:b w:val="0"/>
          <w:i w:val="0"/>
        </w:rPr>
        <w:t>.</w:t>
      </w:r>
    </w:p>
    <w:p>
      <w:pPr>
        <w:keepNext/>
        <w:widowControl/>
      </w:pPr>
      <w:bookmarkStart w:id="620" w:name="latin-record-0369"/>
      <w:bookmarkEnd w:id="620"/>
      <w:r>
        <w:rPr>
          <w:b/>
          <w:i w:val="0"/>
        </w:rPr>
        <w:t>eligere / peragere</w:t>
      </w:r>
      <w:r>
        <w:rPr>
          <w:b/>
          <w:i w:val="0"/>
        </w:rPr>
        <w:t>.</w:t>
      </w:r>
      <w:r>
        <w:rPr>
          <w:b w:val="0"/>
          <w:i w:val="0"/>
        </w:rPr>
        <w:t xml:space="preserve"> Printed forms: </w:t>
      </w:r>
      <w:r>
        <w:rPr>
          <w:b w:val="0"/>
          <w:i/>
        </w:rPr>
        <w:t>eligit</w:t>
      </w:r>
      <w:r>
        <w:rPr>
          <w:b w:val="0"/>
          <w:i w:val="0"/>
        </w:rPr>
        <w:t xml:space="preserve">; </w:t>
      </w:r>
      <w:r>
        <w:rPr>
          <w:b w:val="0"/>
          <w:i/>
        </w:rPr>
        <w:t>peragit</w:t>
      </w:r>
      <w:r>
        <w:rPr>
          <w:b w:val="0"/>
          <w:i w:val="0"/>
        </w:rPr>
        <w:t xml:space="preserve">; </w:t>
      </w:r>
      <w:r>
        <w:rPr>
          <w:b w:val="0"/>
          <w:i/>
        </w:rPr>
        <w:t>peragunt</w:t>
      </w:r>
      <w:r>
        <w:rPr>
          <w:b w:val="0"/>
          <w:i w:val="0"/>
        </w:rPr>
        <w:t>.</w:t>
      </w:r>
    </w:p>
    <w:p>
      <w:pPr>
        <w:widowControl/>
      </w:pPr>
      <w:r>
        <w:rPr>
          <w:b w:val="0"/>
          <w:i w:val="0"/>
        </w:rPr>
        <w:t xml:space="preserve">To select; to carry an act through. Appetite chooses the displayed step while the feet execute it, differentiating desire and bodily performance. References: </w:t>
      </w:r>
      <w:hyperlink w:anchor="passage-iv-2-14">
        <w:r>
          <w:rPr>
            <w:color w:val="000000"/>
          </w:rPr>
          <w:t xml:space="preserve">IV.2.14</w:t>
        </w:r>
      </w:hyperlink>
      <w:r>
        <w:rPr>
          <w:b w:val="0"/>
          <w:i w:val="0"/>
        </w:rPr>
        <w:t xml:space="preserve">. See </w:t>
      </w:r>
      <w:hyperlink w:anchor="euclid-and-the-lantern">
        <w:r>
          <w:rPr>
            <w:color w:val="000000"/>
          </w:rPr>
          <w:t xml:space="preserve">Euclid and the lantern</w:t>
        </w:r>
      </w:hyperlink>
      <w:r>
        <w:rPr>
          <w:b w:val="0"/>
          <w:i w:val="0"/>
        </w:rPr>
        <w:t>.</w:t>
      </w:r>
    </w:p>
    <w:p>
      <w:pPr>
        <w:keepNext/>
        <w:widowControl/>
      </w:pPr>
      <w:bookmarkStart w:id="621" w:name="latin-record-0370"/>
      <w:bookmarkEnd w:id="621"/>
      <w:r>
        <w:rPr>
          <w:b/>
          <w:i w:val="0"/>
        </w:rPr>
        <w:t>eligo</w:t>
      </w:r>
      <w:r>
        <w:rPr>
          <w:b/>
          <w:i w:val="0"/>
        </w:rPr>
        <w:t>.</w:t>
      </w:r>
      <w:r>
        <w:rPr>
          <w:b w:val="0"/>
          <w:i w:val="0"/>
        </w:rPr>
        <w:t xml:space="preserve"> Printed forms: </w:t>
      </w:r>
      <w:r>
        <w:rPr>
          <w:b w:val="0"/>
          <w:i/>
        </w:rPr>
        <w:t>eligeremus</w:t>
      </w:r>
      <w:r>
        <w:rPr>
          <w:b w:val="0"/>
          <w:i w:val="0"/>
        </w:rPr>
        <w:t xml:space="preserve">; </w:t>
      </w:r>
      <w:r>
        <w:rPr>
          <w:b w:val="0"/>
          <w:i/>
        </w:rPr>
        <w:t>eligimus</w:t>
      </w:r>
      <w:r>
        <w:rPr>
          <w:b w:val="0"/>
          <w:i w:val="0"/>
        </w:rPr>
        <w:t>.</w:t>
      </w:r>
    </w:p>
    <w:p>
      <w:pPr>
        <w:widowControl/>
      </w:pPr>
      <w:r>
        <w:rPr>
          <w:b w:val="0"/>
          <w:i w:val="0"/>
        </w:rPr>
        <w:t xml:space="preserve">To select or choose. Choosing smaller evils is used against the hypothesis that magnitude or number alone attracts appetite; the word does not establish infallible practical judgement. References: </w:t>
      </w:r>
      <w:hyperlink w:anchor="passage-i-2-14">
        <w:r>
          <w:rPr>
            <w:color w:val="000000"/>
          </w:rPr>
          <w:t xml:space="preserve">I.2.14</w:t>
        </w:r>
      </w:hyperlink>
      <w:r>
        <w:rPr>
          <w:b w:val="0"/>
          <w:i w:val="0"/>
        </w:rPr>
        <w:t xml:space="preserve">. See </w:t>
      </w:r>
      <w:hyperlink w:anchor="choice-and-free-judgment">
        <w:r>
          <w:rPr>
            <w:color w:val="000000"/>
          </w:rPr>
          <w:t xml:space="preserve">Choice and free judgment</w:t>
        </w:r>
      </w:hyperlink>
      <w:r>
        <w:rPr>
          <w:b w:val="0"/>
          <w:i w:val="0"/>
        </w:rPr>
        <w:t>.</w:t>
      </w:r>
    </w:p>
    <w:p>
      <w:pPr>
        <w:keepNext/>
        <w:widowControl/>
      </w:pPr>
      <w:bookmarkStart w:id="622" w:name="latin-record-0371"/>
      <w:bookmarkEnd w:id="622"/>
      <w:r>
        <w:rPr>
          <w:b/>
          <w:i w:val="0"/>
        </w:rPr>
        <w:t>empyreus / prorsus immobile</w:t>
      </w:r>
      <w:r>
        <w:rPr>
          <w:b/>
          <w:i w:val="0"/>
        </w:rPr>
        <w:t>.</w:t>
      </w:r>
      <w:r>
        <w:rPr>
          <w:b w:val="0"/>
          <w:i w:val="0"/>
        </w:rPr>
        <w:t xml:space="preserve"> Printed forms: </w:t>
      </w:r>
      <w:r>
        <w:rPr>
          <w:b w:val="0"/>
          <w:i/>
        </w:rPr>
        <w:t>empyreum</w:t>
      </w:r>
      <w:r>
        <w:rPr>
          <w:b w:val="0"/>
          <w:i w:val="0"/>
        </w:rPr>
        <w:t xml:space="preserve">; </w:t>
      </w:r>
      <w:r>
        <w:rPr>
          <w:b w:val="0"/>
          <w:i/>
        </w:rPr>
        <w:t>prorsus immobile</w:t>
      </w:r>
      <w:r>
        <w:rPr>
          <w:b w:val="0"/>
          <w:i w:val="0"/>
        </w:rPr>
        <w:t>.</w:t>
      </w:r>
    </w:p>
    <w:p>
      <w:pPr>
        <w:widowControl/>
      </w:pPr>
      <w:r>
        <w:rPr>
          <w:b w:val="0"/>
          <w:i w:val="0"/>
        </w:rPr>
        <w:t xml:space="preserve">Empyrean / wholly motionless. An expressly attributed classification places this heaven in eternity; it does not override other sphere accounts without qualification. References: </w:t>
      </w:r>
      <w:hyperlink w:anchor="passage-iii-2-4">
        <w:r>
          <w:rPr>
            <w:color w:val="000000"/>
          </w:rPr>
          <w:t xml:space="preserve">III.2.4</w:t>
        </w:r>
      </w:hyperlink>
      <w:r>
        <w:rPr>
          <w:b w:val="0"/>
          <w:i w:val="0"/>
        </w:rPr>
        <w:t xml:space="preserve">. See </w:t>
      </w:r>
      <w:hyperlink w:anchor="empyrean-heaven">
        <w:r>
          <w:rPr>
            <w:color w:val="000000"/>
          </w:rPr>
          <w:t xml:space="preserve">Empyrean heaven</w:t>
        </w:r>
      </w:hyperlink>
      <w:r>
        <w:rPr>
          <w:b w:val="0"/>
          <w:i w:val="0"/>
        </w:rPr>
        <w:t>.</w:t>
      </w:r>
    </w:p>
    <w:p>
      <w:pPr>
        <w:keepNext/>
        <w:widowControl/>
      </w:pPr>
      <w:bookmarkStart w:id="623" w:name="latin-record-0372"/>
      <w:bookmarkEnd w:id="623"/>
      <w:r>
        <w:rPr>
          <w:b/>
          <w:i w:val="0"/>
        </w:rPr>
        <w:t>enodo</w:t>
      </w:r>
      <w:r>
        <w:rPr>
          <w:b/>
          <w:i w:val="0"/>
        </w:rPr>
        <w:t>.</w:t>
      </w:r>
      <w:r>
        <w:rPr>
          <w:b w:val="0"/>
          <w:i w:val="0"/>
        </w:rPr>
        <w:t xml:space="preserve"> Printed forms: </w:t>
      </w:r>
      <w:r>
        <w:rPr>
          <w:b w:val="0"/>
          <w:i/>
        </w:rPr>
        <w:t>enodatur</w:t>
      </w:r>
      <w:r>
        <w:rPr>
          <w:b w:val="0"/>
          <w:i w:val="0"/>
        </w:rPr>
        <w:t>.</w:t>
      </w:r>
    </w:p>
    <w:p>
      <w:pPr>
        <w:widowControl/>
      </w:pPr>
      <w:r>
        <w:rPr>
          <w:b w:val="0"/>
          <w:i w:val="0"/>
        </w:rPr>
        <w:t xml:space="preserve">To unravel or resolve something knotted. The Magi’s riddle is </w:t>
      </w:r>
      <w:r>
        <w:t>“</w:t>
      </w:r>
      <w:r>
        <w:rPr>
          <w:b w:val="0"/>
          <w:i w:val="0"/>
        </w:rPr>
        <w:t>unravelled</w:t>
      </w:r>
      <w:r>
        <w:t>”</w:t>
      </w:r>
      <w:r>
        <w:rPr>
          <w:b w:val="0"/>
          <w:i w:val="0"/>
        </w:rPr>
        <w:t xml:space="preserve"> by a double bodily and spiritual mapping; the knot-image names interpretation rather than a new cosmic bond. References: </w:t>
      </w:r>
      <w:hyperlink w:anchor="passage-i-5-14">
        <w:r>
          <w:rPr>
            <w:color w:val="000000"/>
          </w:rPr>
          <w:t xml:space="preserve">I.5.14</w:t>
        </w:r>
      </w:hyperlink>
      <w:r>
        <w:rPr>
          <w:b w:val="0"/>
          <w:i w:val="0"/>
        </w:rPr>
        <w:t xml:space="preserve">. See </w:t>
      </w:r>
      <w:hyperlink w:anchor="hermetic-theologians-and-the-magi">
        <w:r>
          <w:rPr>
            <w:color w:val="000000"/>
          </w:rPr>
          <w:t xml:space="preserve">Hermetic theologians and the Magi</w:t>
        </w:r>
      </w:hyperlink>
      <w:r>
        <w:rPr>
          <w:b w:val="0"/>
          <w:i w:val="0"/>
        </w:rPr>
        <w:t>.</w:t>
      </w:r>
    </w:p>
    <w:p>
      <w:pPr>
        <w:keepNext/>
        <w:widowControl/>
      </w:pPr>
      <w:bookmarkStart w:id="624" w:name="latin-record-0373"/>
      <w:bookmarkEnd w:id="624"/>
      <w:r>
        <w:rPr>
          <w:b/>
          <w:i w:val="0"/>
        </w:rPr>
        <w:t>enumerare / gradatim / summatim</w:t>
      </w:r>
      <w:r>
        <w:rPr>
          <w:b/>
          <w:i w:val="0"/>
        </w:rPr>
        <w:t>.</w:t>
      </w:r>
      <w:r>
        <w:rPr>
          <w:b w:val="0"/>
          <w:i w:val="0"/>
        </w:rPr>
        <w:t xml:space="preserve"> Printed forms: </w:t>
      </w:r>
      <w:r>
        <w:rPr>
          <w:b w:val="0"/>
          <w:i/>
        </w:rPr>
        <w:t>enumerando</w:t>
      </w:r>
      <w:r>
        <w:rPr>
          <w:b w:val="0"/>
          <w:i w:val="0"/>
        </w:rPr>
        <w:t xml:space="preserve">; </w:t>
      </w:r>
      <w:r>
        <w:rPr>
          <w:b w:val="0"/>
          <w:i/>
        </w:rPr>
        <w:t>gradatim</w:t>
      </w:r>
      <w:r>
        <w:rPr>
          <w:b w:val="0"/>
          <w:i w:val="0"/>
        </w:rPr>
        <w:t xml:space="preserve">; </w:t>
      </w:r>
      <w:r>
        <w:rPr>
          <w:b w:val="0"/>
          <w:i/>
        </w:rPr>
        <w:t>summatim</w:t>
      </w:r>
      <w:r>
        <w:rPr>
          <w:b w:val="0"/>
          <w:i w:val="0"/>
        </w:rPr>
        <w:t>.</w:t>
      </w:r>
    </w:p>
    <w:p>
      <w:pPr>
        <w:widowControl/>
      </w:pPr>
      <w:r>
        <w:rPr>
          <w:b w:val="0"/>
          <w:i w:val="0"/>
        </w:rPr>
        <w:t xml:space="preserve">To count successively, step by step, versus a gathered view. God’s knowledge of innumerable things is explicitly distinguished from completing an endless sequence of counting. References: </w:t>
      </w:r>
      <w:hyperlink w:anchor="passage-ii-10-10">
        <w:r>
          <w:rPr>
            <w:color w:val="000000"/>
          </w:rPr>
          <w:t xml:space="preserve">II.10.10</w:t>
        </w:r>
      </w:hyperlink>
      <w:r>
        <w:rPr>
          <w:b w:val="0"/>
          <w:i w:val="0"/>
        </w:rPr>
        <w:t xml:space="preserve">. See </w:t>
      </w:r>
      <w:hyperlink w:anchor="counting-and-collective-intuition">
        <w:r>
          <w:rPr>
            <w:color w:val="000000"/>
          </w:rPr>
          <w:t xml:space="preserve">Counting and collective intuition</w:t>
        </w:r>
      </w:hyperlink>
      <w:r>
        <w:rPr>
          <w:b w:val="0"/>
          <w:i w:val="0"/>
        </w:rPr>
        <w:t>.</w:t>
      </w:r>
    </w:p>
    <w:p>
      <w:pPr>
        <w:keepNext/>
        <w:widowControl/>
      </w:pPr>
      <w:bookmarkStart w:id="625" w:name="latin-record-0374"/>
      <w:bookmarkEnd w:id="625"/>
      <w:r>
        <w:rPr>
          <w:b/>
          <w:i w:val="0"/>
        </w:rPr>
        <w:t>Epicureus / Epicurus / Averroes</w:t>
      </w:r>
      <w:r>
        <w:rPr>
          <w:b/>
          <w:i w:val="0"/>
        </w:rPr>
        <w:t>.</w:t>
      </w:r>
      <w:r>
        <w:rPr>
          <w:b w:val="0"/>
          <w:i w:val="0"/>
        </w:rPr>
        <w:t xml:space="preserve"> Printed forms: </w:t>
      </w:r>
      <w:r>
        <w:rPr>
          <w:b w:val="0"/>
          <w:i/>
        </w:rPr>
        <w:t>Averroi</w:t>
      </w:r>
      <w:r>
        <w:rPr>
          <w:b w:val="0"/>
          <w:i w:val="0"/>
        </w:rPr>
        <w:t xml:space="preserve">; </w:t>
      </w:r>
      <w:r>
        <w:rPr>
          <w:b w:val="0"/>
          <w:i/>
        </w:rPr>
        <w:t>Averrois</w:t>
      </w:r>
      <w:r>
        <w:rPr>
          <w:b w:val="0"/>
          <w:i w:val="0"/>
        </w:rPr>
        <w:t xml:space="preserve">; </w:t>
      </w:r>
      <w:r>
        <w:rPr>
          <w:b w:val="0"/>
          <w:i/>
        </w:rPr>
        <w:t>Epicureus</w:t>
      </w:r>
      <w:r>
        <w:rPr>
          <w:b w:val="0"/>
          <w:i w:val="0"/>
        </w:rPr>
        <w:t xml:space="preserve">; </w:t>
      </w:r>
      <w:r>
        <w:rPr>
          <w:b w:val="0"/>
          <w:i/>
        </w:rPr>
        <w:t>Epicuro</w:t>
      </w:r>
      <w:r>
        <w:rPr>
          <w:b w:val="0"/>
          <w:i w:val="0"/>
        </w:rPr>
        <w:t>.</w:t>
      </w:r>
    </w:p>
    <w:p>
      <w:pPr>
        <w:widowControl/>
      </w:pPr>
      <w:r>
        <w:rPr>
          <w:b w:val="0"/>
          <w:i w:val="0"/>
        </w:rPr>
        <w:t xml:space="preserve">The anticipated Epicurean opponent and named Epicurus and Averroes of the later polemic. Ficino attributes burdensome-action and lowly-knowledge objections to these opponents; the lexicon reports his presentation. References: </w:t>
      </w:r>
      <w:hyperlink w:anchor="passage-ii-8-1">
        <w:r>
          <w:rPr>
            <w:color w:val="000000"/>
          </w:rPr>
          <w:t xml:space="preserve">II.8.1</w:t>
        </w:r>
      </w:hyperlink>
      <w:r>
        <w:rPr>
          <w:b w:val="0"/>
          <w:i w:val="0"/>
        </w:rPr>
        <w:t xml:space="preserve">, </w:t>
      </w:r>
      <w:hyperlink w:anchor="passage-ii-9-20">
        <w:r>
          <w:rPr>
            <w:color w:val="000000"/>
          </w:rPr>
          <w:t xml:space="preserve">II.9.20</w:t>
        </w:r>
      </w:hyperlink>
      <w:r>
        <w:rPr>
          <w:b w:val="0"/>
          <w:i w:val="0"/>
        </w:rPr>
        <w:t xml:space="preserve">, </w:t>
      </w:r>
      <w:hyperlink w:anchor="passage-ii-9-21">
        <w:r>
          <w:rPr>
            <w:color w:val="000000"/>
          </w:rPr>
          <w:t xml:space="preserve">II.9.21</w:t>
        </w:r>
      </w:hyperlink>
      <w:r>
        <w:rPr>
          <w:b w:val="0"/>
          <w:i w:val="0"/>
        </w:rPr>
        <w:t xml:space="preserve">. See </w:t>
      </w:r>
      <w:hyperlink w:anchor="seeking-possessing-and-distraction">
        <w:r>
          <w:rPr>
            <w:color w:val="000000"/>
          </w:rPr>
          <w:t xml:space="preserve">Seeking possessing and distraction</w:t>
        </w:r>
      </w:hyperlink>
      <w:r>
        <w:rPr>
          <w:b w:val="0"/>
          <w:i w:val="0"/>
        </w:rPr>
        <w:t>.</w:t>
      </w:r>
    </w:p>
    <w:p>
      <w:pPr>
        <w:keepNext/>
        <w:widowControl/>
      </w:pPr>
      <w:bookmarkStart w:id="626" w:name="latin-record-0375"/>
      <w:bookmarkEnd w:id="626"/>
      <w:r>
        <w:rPr>
          <w:b/>
          <w:i w:val="0"/>
        </w:rPr>
        <w:t>error / impius / profanus</w:t>
      </w:r>
      <w:r>
        <w:rPr>
          <w:b/>
          <w:i w:val="0"/>
        </w:rPr>
        <w:t>.</w:t>
      </w:r>
      <w:r>
        <w:rPr>
          <w:b w:val="0"/>
          <w:i w:val="0"/>
        </w:rPr>
        <w:t xml:space="preserve"> Printed forms: </w:t>
      </w:r>
      <w:r>
        <w:rPr>
          <w:b w:val="0"/>
          <w:i/>
        </w:rPr>
        <w:t>condemnatur</w:t>
      </w:r>
      <w:r>
        <w:rPr>
          <w:b w:val="0"/>
          <w:i w:val="0"/>
        </w:rPr>
        <w:t xml:space="preserve">; </w:t>
      </w:r>
      <w:r>
        <w:rPr>
          <w:b w:val="0"/>
          <w:i/>
        </w:rPr>
        <w:t>error</w:t>
      </w:r>
      <w:r>
        <w:rPr>
          <w:b w:val="0"/>
          <w:i w:val="0"/>
        </w:rPr>
        <w:t xml:space="preserve">; </w:t>
      </w:r>
      <w:r>
        <w:rPr>
          <w:b w:val="0"/>
          <w:i/>
        </w:rPr>
        <w:t>impie</w:t>
      </w:r>
      <w:r>
        <w:rPr>
          <w:b w:val="0"/>
          <w:i w:val="0"/>
        </w:rPr>
        <w:t xml:space="preserve">; </w:t>
      </w:r>
      <w:r>
        <w:rPr>
          <w:b w:val="0"/>
          <w:i/>
        </w:rPr>
        <w:t>impius</w:t>
      </w:r>
      <w:r>
        <w:rPr>
          <w:b w:val="0"/>
          <w:i w:val="0"/>
        </w:rPr>
        <w:t xml:space="preserve">; </w:t>
      </w:r>
      <w:r>
        <w:rPr>
          <w:b w:val="0"/>
          <w:i/>
        </w:rPr>
        <w:t>profana</w:t>
      </w:r>
      <w:r>
        <w:rPr>
          <w:b w:val="0"/>
          <w:i w:val="0"/>
        </w:rPr>
        <w:t>.</w:t>
      </w:r>
    </w:p>
    <w:p>
      <w:pPr>
        <w:widowControl/>
      </w:pPr>
      <w:r>
        <w:rPr>
          <w:b w:val="0"/>
          <w:i w:val="0"/>
        </w:rPr>
        <w:t xml:space="preserve">Error, impious, or profane, as Ficino’s polemical evaluations. The reader should attribute these judgments to Ficino rather than adopting them as neutral descriptions of opponents. References: </w:t>
      </w:r>
      <w:hyperlink w:anchor="passage-ii-7-15">
        <w:r>
          <w:rPr>
            <w:color w:val="000000"/>
          </w:rPr>
          <w:t xml:space="preserve">II.7.15</w:t>
        </w:r>
      </w:hyperlink>
      <w:r>
        <w:rPr>
          <w:b w:val="0"/>
          <w:i w:val="0"/>
        </w:rPr>
        <w:t xml:space="preserve">, </w:t>
      </w:r>
      <w:hyperlink w:anchor="passage-ii-9-21">
        <w:r>
          <w:rPr>
            <w:color w:val="000000"/>
          </w:rPr>
          <w:t xml:space="preserve">II.9.21</w:t>
        </w:r>
      </w:hyperlink>
      <w:r>
        <w:rPr>
          <w:b w:val="0"/>
          <w:i w:val="0"/>
        </w:rPr>
        <w:t xml:space="preserve">, </w:t>
      </w:r>
      <w:hyperlink w:anchor="passage-ii-10-8">
        <w:r>
          <w:rPr>
            <w:color w:val="000000"/>
          </w:rPr>
          <w:t xml:space="preserve">II.10.8</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627" w:name="latin-record-0376"/>
      <w:bookmarkEnd w:id="627"/>
      <w:r>
        <w:rPr>
          <w:b/>
          <w:i w:val="0"/>
        </w:rPr>
        <w:t>errāre / iudicare</w:t>
      </w:r>
      <w:r>
        <w:rPr>
          <w:b/>
          <w:i w:val="0"/>
        </w:rPr>
        <w:t>.</w:t>
      </w:r>
      <w:r>
        <w:rPr>
          <w:b w:val="0"/>
          <w:i w:val="0"/>
        </w:rPr>
        <w:t xml:space="preserve"> Printed forms: </w:t>
      </w:r>
      <w:r>
        <w:rPr>
          <w:b w:val="0"/>
          <w:i/>
        </w:rPr>
        <w:t>errat</w:t>
      </w:r>
      <w:r>
        <w:rPr>
          <w:b w:val="0"/>
          <w:i w:val="0"/>
        </w:rPr>
        <w:t xml:space="preserve">; </w:t>
      </w:r>
      <w:r>
        <w:rPr>
          <w:b w:val="0"/>
          <w:i/>
        </w:rPr>
        <w:t>iudicant</w:t>
      </w:r>
      <w:r>
        <w:rPr>
          <w:b w:val="0"/>
          <w:i w:val="0"/>
        </w:rPr>
        <w:t>.</w:t>
      </w:r>
    </w:p>
    <w:p>
      <w:pPr>
        <w:widowControl/>
      </w:pPr>
      <w:r>
        <w:rPr>
          <w:b w:val="0"/>
          <w:i w:val="0"/>
        </w:rPr>
        <w:t xml:space="preserve">To err; to judge. The Platonists infer souls from inward motion; perfect celestial wisdom’s lack of deliberative error explains its unvarying operation. References: </w:t>
      </w:r>
      <w:hyperlink w:anchor="passage-iv-1-74">
        <w:r>
          <w:rPr>
            <w:color w:val="000000"/>
          </w:rPr>
          <w:t xml:space="preserve">IV.1.74</w:t>
        </w:r>
      </w:hyperlink>
      <w:r>
        <w:rPr>
          <w:b w:val="0"/>
          <w:i w:val="0"/>
        </w:rPr>
        <w:t xml:space="preserve">, </w:t>
      </w:r>
      <w:hyperlink w:anchor="passage-iv-1-84">
        <w:r>
          <w:rPr>
            <w:color w:val="000000"/>
          </w:rPr>
          <w:t xml:space="preserve">IV.1.84</w:t>
        </w:r>
      </w:hyperlink>
      <w:r>
        <w:rPr>
          <w:b w:val="0"/>
          <w:i w:val="0"/>
        </w:rPr>
        <w:t xml:space="preserve">. See </w:t>
      </w:r>
      <w:hyperlink w:anchor="seeming-and-evidence">
        <w:r>
          <w:rPr>
            <w:color w:val="000000"/>
          </w:rPr>
          <w:t xml:space="preserve">Seeming and evidence</w:t>
        </w:r>
      </w:hyperlink>
      <w:r>
        <w:rPr>
          <w:b w:val="0"/>
          <w:i w:val="0"/>
        </w:rPr>
        <w:t>.</w:t>
      </w:r>
    </w:p>
    <w:p>
      <w:pPr>
        <w:keepNext/>
        <w:widowControl/>
      </w:pPr>
      <w:bookmarkStart w:id="628" w:name="latin-record-0377"/>
      <w:bookmarkEnd w:id="628"/>
      <w:r>
        <w:rPr>
          <w:b/>
          <w:i w:val="0"/>
        </w:rPr>
        <w:t>eruere / educere</w:t>
      </w:r>
      <w:r>
        <w:rPr>
          <w:b/>
          <w:i w:val="0"/>
        </w:rPr>
        <w:t>.</w:t>
      </w:r>
      <w:r>
        <w:rPr>
          <w:b w:val="0"/>
          <w:i w:val="0"/>
        </w:rPr>
        <w:t xml:space="preserve"> Printed forms: </w:t>
      </w:r>
      <w:r>
        <w:rPr>
          <w:b w:val="0"/>
          <w:i/>
        </w:rPr>
        <w:t>educit</w:t>
      </w:r>
      <w:r>
        <w:rPr>
          <w:b w:val="0"/>
          <w:i w:val="0"/>
        </w:rPr>
        <w:t xml:space="preserve">; </w:t>
      </w:r>
      <w:r>
        <w:rPr>
          <w:b w:val="0"/>
          <w:i/>
        </w:rPr>
        <w:t>eruit</w:t>
      </w:r>
      <w:r>
        <w:rPr>
          <w:b w:val="0"/>
          <w:i w:val="0"/>
        </w:rPr>
        <w:t>.</w:t>
      </w:r>
    </w:p>
    <w:p>
      <w:pPr>
        <w:widowControl/>
      </w:pPr>
      <w:r>
        <w:rPr>
          <w:b w:val="0"/>
          <w:i w:val="0"/>
        </w:rPr>
        <w:t xml:space="preserve">To draw forth or bring out. Natural art generates or draws substantial forms from matter; the verbs do not by themselves assert creation from nothing. References: </w:t>
      </w:r>
      <w:hyperlink w:anchor="passage-iv-1-13">
        <w:r>
          <w:rPr>
            <w:color w:val="000000"/>
          </w:rPr>
          <w:t xml:space="preserve">IV.1.13</w:t>
        </w:r>
      </w:hyperlink>
      <w:r>
        <w:rPr>
          <w:b w:val="0"/>
          <w:i w:val="0"/>
        </w:rPr>
        <w:t xml:space="preserve">, </w:t>
      </w:r>
      <w:hyperlink w:anchor="passage-iv-1-18">
        <w:r>
          <w:rPr>
            <w:color w:val="000000"/>
          </w:rPr>
          <w:t xml:space="preserve">IV.1.18</w:t>
        </w:r>
      </w:hyperlink>
      <w:r>
        <w:rPr>
          <w:b w:val="0"/>
          <w:i w:val="0"/>
        </w:rPr>
        <w:t xml:space="preserve">. See </w:t>
      </w:r>
      <w:hyperlink w:anchor="surface-and-depth">
        <w:r>
          <w:rPr>
            <w:color w:val="000000"/>
          </w:rPr>
          <w:t xml:space="preserve">Surface and depth</w:t>
        </w:r>
      </w:hyperlink>
      <w:r>
        <w:rPr>
          <w:b w:val="0"/>
          <w:i w:val="0"/>
        </w:rPr>
        <w:t>.</w:t>
      </w:r>
    </w:p>
    <w:p>
      <w:pPr>
        <w:keepNext/>
        <w:widowControl/>
      </w:pPr>
      <w:bookmarkStart w:id="629" w:name="latin-record-0378"/>
      <w:bookmarkEnd w:id="629"/>
      <w:r>
        <w:rPr>
          <w:b/>
          <w:i w:val="0"/>
        </w:rPr>
        <w:t>esse / ens / exsistere</w:t>
      </w:r>
      <w:r>
        <w:rPr>
          <w:b/>
          <w:i w:val="0"/>
        </w:rPr>
        <w:t>.</w:t>
      </w:r>
      <w:r>
        <w:rPr>
          <w:b w:val="0"/>
          <w:i w:val="0"/>
        </w:rPr>
        <w:t xml:space="preserve"> Printed forms: </w:t>
      </w:r>
      <w:r>
        <w:rPr>
          <w:b w:val="0"/>
          <w:i/>
        </w:rPr>
        <w:t>esse</w:t>
      </w:r>
      <w:r>
        <w:rPr>
          <w:b w:val="0"/>
          <w:i w:val="0"/>
        </w:rPr>
        <w:t xml:space="preserve">; </w:t>
      </w:r>
      <w:r>
        <w:rPr>
          <w:b w:val="0"/>
          <w:i/>
        </w:rPr>
        <w:t>Esse</w:t>
      </w:r>
      <w:r>
        <w:rPr>
          <w:b w:val="0"/>
          <w:i w:val="0"/>
        </w:rPr>
        <w:t xml:space="preserve">; </w:t>
      </w:r>
      <w:r>
        <w:rPr>
          <w:b w:val="0"/>
          <w:i/>
        </w:rPr>
        <w:t>essendi</w:t>
      </w:r>
      <w:r>
        <w:rPr>
          <w:b w:val="0"/>
          <w:i w:val="0"/>
        </w:rPr>
        <w:t xml:space="preserve">; </w:t>
      </w:r>
      <w:r>
        <w:rPr>
          <w:b w:val="0"/>
          <w:i/>
        </w:rPr>
        <w:t>existunt</w:t>
      </w:r>
      <w:r>
        <w:rPr>
          <w:b w:val="0"/>
          <w:i w:val="0"/>
        </w:rPr>
        <w:t>.</w:t>
      </w:r>
    </w:p>
    <w:p>
      <w:pPr>
        <w:widowControl/>
      </w:pPr>
      <w:r>
        <w:rPr>
          <w:b w:val="0"/>
          <w:i w:val="0"/>
        </w:rPr>
        <w:t xml:space="preserve">Being or existing, distinguished from being this particular kind of thing. Being is the common effect on which determinations depend, while the scope of cognition includes actuality and potency. References: </w:t>
      </w:r>
      <w:hyperlink w:anchor="passage-ii-4-2">
        <w:r>
          <w:rPr>
            <w:color w:val="000000"/>
          </w:rPr>
          <w:t xml:space="preserve">II.4.2</w:t>
        </w:r>
      </w:hyperlink>
      <w:r>
        <w:rPr>
          <w:b w:val="0"/>
          <w:i w:val="0"/>
        </w:rPr>
        <w:t xml:space="preserve">, </w:t>
      </w:r>
      <w:hyperlink w:anchor="passage-ii-7-28">
        <w:r>
          <w:rPr>
            <w:color w:val="000000"/>
          </w:rPr>
          <w:t xml:space="preserve">II.7.28</w:t>
        </w:r>
      </w:hyperlink>
      <w:r>
        <w:rPr>
          <w:b w:val="0"/>
          <w:i w:val="0"/>
        </w:rPr>
        <w:t xml:space="preserve">, </w:t>
      </w:r>
      <w:hyperlink w:anchor="passage-ii-7-29">
        <w:r>
          <w:rPr>
            <w:color w:val="000000"/>
          </w:rPr>
          <w:t xml:space="preserve">II.7.29</w:t>
        </w:r>
      </w:hyperlink>
      <w:r>
        <w:rPr>
          <w:b w:val="0"/>
          <w:i w:val="0"/>
        </w:rPr>
        <w:t xml:space="preserve">, </w:t>
      </w:r>
      <w:hyperlink w:anchor="passage-ii-10-3">
        <w:r>
          <w:rPr>
            <w:color w:val="000000"/>
          </w:rPr>
          <w:t xml:space="preserve">II.10.3</w:t>
        </w:r>
      </w:hyperlink>
      <w:r>
        <w:rPr>
          <w:b w:val="0"/>
          <w:i w:val="0"/>
        </w:rPr>
        <w:t xml:space="preserve">. See </w:t>
      </w:r>
      <w:hyperlink w:anchor="being">
        <w:r>
          <w:rPr>
            <w:color w:val="000000"/>
          </w:rPr>
          <w:t xml:space="preserve">Being</w:t>
        </w:r>
      </w:hyperlink>
      <w:r>
        <w:rPr>
          <w:b w:val="0"/>
          <w:i w:val="0"/>
        </w:rPr>
        <w:t>.</w:t>
      </w:r>
    </w:p>
    <w:p>
      <w:pPr>
        <w:keepNext/>
        <w:widowControl/>
      </w:pPr>
      <w:bookmarkStart w:id="630" w:name="latin-record-0379"/>
      <w:bookmarkEnd w:id="630"/>
      <w:r>
        <w:rPr>
          <w:b/>
          <w:i w:val="0"/>
        </w:rPr>
        <w:t>esse / fieri</w:t>
      </w:r>
      <w:r>
        <w:rPr>
          <w:b/>
          <w:i w:val="0"/>
        </w:rPr>
        <w:t>.</w:t>
      </w:r>
      <w:r>
        <w:rPr>
          <w:b w:val="0"/>
          <w:i w:val="0"/>
        </w:rPr>
        <w:t xml:space="preserve"> Printed forms: </w:t>
      </w:r>
      <w:r>
        <w:rPr>
          <w:b w:val="0"/>
          <w:i/>
        </w:rPr>
        <w:t>est</w:t>
      </w:r>
      <w:r>
        <w:rPr>
          <w:b w:val="0"/>
          <w:i w:val="0"/>
        </w:rPr>
        <w:t xml:space="preserve">; </w:t>
      </w:r>
      <w:r>
        <w:rPr>
          <w:b w:val="0"/>
          <w:i/>
        </w:rPr>
        <w:t>fit</w:t>
      </w:r>
      <w:r>
        <w:rPr>
          <w:b w:val="0"/>
          <w:i w:val="0"/>
        </w:rPr>
        <w:t xml:space="preserve">; </w:t>
      </w:r>
      <w:r>
        <w:rPr>
          <w:b w:val="0"/>
          <w:i/>
        </w:rPr>
        <w:t>semper fit</w:t>
      </w:r>
      <w:r>
        <w:rPr>
          <w:b w:val="0"/>
          <w:i w:val="0"/>
        </w:rPr>
        <w:t>.</w:t>
      </w:r>
    </w:p>
    <w:p>
      <w:pPr>
        <w:widowControl/>
      </w:pPr>
      <w:r>
        <w:rPr>
          <w:b w:val="0"/>
          <w:i w:val="0"/>
        </w:rPr>
        <w:t xml:space="preserve">Be / become. The stable angel, changing quality, and always-changing soul are distinguished by combining persistence with becoming, not by three identical meanings of existence. References: </w:t>
      </w:r>
      <w:hyperlink w:anchor="passage-iii-2-2">
        <w:r>
          <w:rPr>
            <w:color w:val="000000"/>
          </w:rPr>
          <w:t xml:space="preserve">III.2.2</w:t>
        </w:r>
      </w:hyperlink>
      <w:r>
        <w:rPr>
          <w:b w:val="0"/>
          <w:i w:val="0"/>
        </w:rPr>
        <w:t xml:space="preserve">. See </w:t>
      </w:r>
      <w:hyperlink w:anchor="being">
        <w:r>
          <w:rPr>
            <w:color w:val="000000"/>
          </w:rPr>
          <w:t xml:space="preserve">Being</w:t>
        </w:r>
      </w:hyperlink>
      <w:r>
        <w:rPr>
          <w:b w:val="0"/>
          <w:i w:val="0"/>
        </w:rPr>
        <w:t>.</w:t>
      </w:r>
    </w:p>
    <w:p>
      <w:pPr>
        <w:keepNext/>
        <w:widowControl/>
      </w:pPr>
      <w:bookmarkStart w:id="631" w:name="latin-record-0380"/>
      <w:bookmarkEnd w:id="631"/>
      <w:r>
        <w:rPr>
          <w:b/>
          <w:i w:val="0"/>
        </w:rPr>
        <w:t>esse — existence and predication</w:t>
      </w:r>
      <w:r>
        <w:rPr>
          <w:b/>
          <w:i w:val="0"/>
        </w:rPr>
        <w:t>.</w:t>
      </w:r>
      <w:r>
        <w:rPr>
          <w:b w:val="0"/>
          <w:i w:val="0"/>
        </w:rPr>
        <w:t xml:space="preserve"> Printed forms: </w:t>
      </w:r>
      <w:r>
        <w:rPr>
          <w:b w:val="0"/>
          <w:i/>
        </w:rPr>
        <w:t>erit</w:t>
      </w:r>
      <w:r>
        <w:rPr>
          <w:b w:val="0"/>
          <w:i w:val="0"/>
        </w:rPr>
        <w:t xml:space="preserve">; </w:t>
      </w:r>
      <w:r>
        <w:rPr>
          <w:b w:val="0"/>
          <w:i/>
        </w:rPr>
        <w:t>esse</w:t>
      </w:r>
      <w:r>
        <w:rPr>
          <w:b w:val="0"/>
          <w:i w:val="0"/>
        </w:rPr>
        <w:t xml:space="preserve">; </w:t>
      </w:r>
      <w:r>
        <w:rPr>
          <w:b w:val="0"/>
          <w:i/>
        </w:rPr>
        <w:t>esset</w:t>
      </w:r>
      <w:r>
        <w:rPr>
          <w:b w:val="0"/>
          <w:i w:val="0"/>
        </w:rPr>
        <w:t xml:space="preserve">; </w:t>
      </w:r>
      <w:r>
        <w:rPr>
          <w:b w:val="0"/>
          <w:i/>
        </w:rPr>
        <w:t>est</w:t>
      </w:r>
      <w:r>
        <w:rPr>
          <w:b w:val="0"/>
          <w:i w:val="0"/>
        </w:rPr>
        <w:t xml:space="preserve">; </w:t>
      </w:r>
      <w:r>
        <w:rPr>
          <w:b w:val="0"/>
          <w:i/>
        </w:rPr>
        <w:t>Est</w:t>
      </w:r>
      <w:r>
        <w:rPr>
          <w:b w:val="0"/>
          <w:i w:val="0"/>
        </w:rPr>
        <w:t xml:space="preserve">; </w:t>
      </w:r>
      <w:r>
        <w:rPr>
          <w:b w:val="0"/>
          <w:i/>
        </w:rPr>
        <w:t>sit</w:t>
      </w:r>
      <w:r>
        <w:rPr>
          <w:b w:val="0"/>
          <w:i w:val="0"/>
        </w:rPr>
        <w:t>.</w:t>
      </w:r>
    </w:p>
    <w:p>
      <w:pPr>
        <w:widowControl/>
      </w:pPr>
      <w:r>
        <w:rPr>
          <w:b w:val="0"/>
          <w:i w:val="0"/>
        </w:rPr>
        <w:t xml:space="preserve">Be or exist. The existence–becoming contrast gives the ordinary verb a metaphysical role; elsewhere it functions as a copula, so morphology alone cannot assign one sense. References: </w:t>
      </w:r>
      <w:hyperlink w:anchor="passage-ii-12-5">
        <w:r>
          <w:rPr>
            <w:color w:val="000000"/>
          </w:rPr>
          <w:t xml:space="preserve">II.12.5</w:t>
        </w:r>
      </w:hyperlink>
      <w:r>
        <w:rPr>
          <w:b w:val="0"/>
          <w:i w:val="0"/>
        </w:rPr>
        <w:t xml:space="preserve">, </w:t>
      </w:r>
      <w:hyperlink w:anchor="passage-iii-2-2">
        <w:r>
          <w:rPr>
            <w:color w:val="000000"/>
          </w:rPr>
          <w:t xml:space="preserve">III.2.2</w:t>
        </w:r>
      </w:hyperlink>
      <w:r>
        <w:rPr>
          <w:b w:val="0"/>
          <w:i w:val="0"/>
        </w:rPr>
        <w:t xml:space="preserve">. See </w:t>
      </w:r>
      <w:hyperlink w:anchor="being">
        <w:r>
          <w:rPr>
            <w:color w:val="000000"/>
          </w:rPr>
          <w:t xml:space="preserve">Being</w:t>
        </w:r>
      </w:hyperlink>
      <w:r>
        <w:rPr>
          <w:b w:val="0"/>
          <w:i w:val="0"/>
        </w:rPr>
        <w:t>.</w:t>
      </w:r>
    </w:p>
    <w:p>
      <w:pPr>
        <w:keepNext/>
        <w:widowControl/>
      </w:pPr>
      <w:bookmarkStart w:id="632" w:name="latin-record-0381"/>
      <w:bookmarkEnd w:id="632"/>
      <w:r>
        <w:rPr>
          <w:b/>
          <w:i w:val="0"/>
        </w:rPr>
        <w:t>essendi modus</w:t>
      </w:r>
      <w:r>
        <w:rPr>
          <w:b/>
          <w:i w:val="0"/>
        </w:rPr>
        <w:t>.</w:t>
      </w:r>
      <w:r>
        <w:rPr>
          <w:b w:val="0"/>
          <w:i w:val="0"/>
        </w:rPr>
        <w:t xml:space="preserve"> Printed forms: </w:t>
      </w:r>
      <w:r>
        <w:rPr>
          <w:b w:val="0"/>
          <w:i/>
        </w:rPr>
        <w:t>essendi modo</w:t>
      </w:r>
      <w:r>
        <w:rPr>
          <w:b w:val="0"/>
          <w:i w:val="0"/>
        </w:rPr>
        <w:t xml:space="preserve">; </w:t>
      </w:r>
      <w:r>
        <w:rPr>
          <w:b w:val="0"/>
          <w:i/>
        </w:rPr>
        <w:t>essendi modos</w:t>
      </w:r>
      <w:r>
        <w:rPr>
          <w:b w:val="0"/>
          <w:i w:val="0"/>
        </w:rPr>
        <w:t>.</w:t>
      </w:r>
    </w:p>
    <w:p>
      <w:pPr>
        <w:widowControl/>
      </w:pPr>
      <w:r>
        <w:rPr>
          <w:b w:val="0"/>
          <w:i w:val="0"/>
        </w:rPr>
        <w:t xml:space="preserve">Mode of being, distinguished from simply being or not being. The correction in II.7.8 clarifies higher bodies’ changes as changes of mode rather than sheer disappearance. References: </w:t>
      </w:r>
      <w:hyperlink w:anchor="passage-ii-7-8">
        <w:r>
          <w:rPr>
            <w:color w:val="000000"/>
          </w:rPr>
          <w:t xml:space="preserve">II.7.8</w:t>
        </w:r>
      </w:hyperlink>
      <w:r>
        <w:rPr>
          <w:b w:val="0"/>
          <w:i w:val="0"/>
        </w:rPr>
        <w:t xml:space="preserve">, </w:t>
      </w:r>
      <w:hyperlink w:anchor="passage-ii-9-17">
        <w:r>
          <w:rPr>
            <w:color w:val="000000"/>
          </w:rPr>
          <w:t xml:space="preserve">II.9.17</w:t>
        </w:r>
      </w:hyperlink>
      <w:r>
        <w:rPr>
          <w:b w:val="0"/>
          <w:i w:val="0"/>
        </w:rPr>
        <w:t xml:space="preserve">. See </w:t>
      </w:r>
      <w:hyperlink w:anchor="being">
        <w:r>
          <w:rPr>
            <w:color w:val="000000"/>
          </w:rPr>
          <w:t xml:space="preserve">Being</w:t>
        </w:r>
      </w:hyperlink>
      <w:r>
        <w:rPr>
          <w:b w:val="0"/>
          <w:i w:val="0"/>
        </w:rPr>
        <w:t>.</w:t>
      </w:r>
    </w:p>
    <w:p>
      <w:pPr>
        <w:keepNext/>
        <w:widowControl/>
      </w:pPr>
      <w:bookmarkStart w:id="633" w:name="latin-record-0382"/>
      <w:bookmarkEnd w:id="633"/>
      <w:r>
        <w:rPr>
          <w:b/>
          <w:i w:val="0"/>
        </w:rPr>
        <w:t>essendi principium</w:t>
      </w:r>
      <w:r>
        <w:rPr>
          <w:b/>
          <w:i w:val="0"/>
        </w:rPr>
        <w:t>.</w:t>
      </w:r>
      <w:r>
        <w:rPr>
          <w:b w:val="0"/>
          <w:i w:val="0"/>
        </w:rPr>
        <w:t xml:space="preserve"> Printed forms: </w:t>
      </w:r>
      <w:r>
        <w:rPr>
          <w:b w:val="0"/>
          <w:i/>
        </w:rPr>
        <w:t>essendi principium</w:t>
      </w:r>
      <w:r>
        <w:rPr>
          <w:b w:val="0"/>
          <w:i w:val="0"/>
        </w:rPr>
        <w:t>.</w:t>
      </w:r>
    </w:p>
    <w:p>
      <w:pPr>
        <w:widowControl/>
      </w:pPr>
      <w:r>
        <w:rPr>
          <w:b w:val="0"/>
          <w:i w:val="0"/>
        </w:rPr>
        <w:t xml:space="preserve">A principle by which something has being. A form of matter supplies being to its recipient; it is distinguished from God as being itself. References: </w:t>
      </w:r>
      <w:hyperlink w:anchor="passage-iv-1-25">
        <w:r>
          <w:rPr>
            <w:color w:val="000000"/>
          </w:rPr>
          <w:t xml:space="preserve">IV.1.25</w:t>
        </w:r>
      </w:hyperlink>
      <w:r>
        <w:rPr>
          <w:b w:val="0"/>
          <w:i w:val="0"/>
        </w:rPr>
        <w:t xml:space="preserve">. See </w:t>
      </w:r>
      <w:hyperlink w:anchor="being">
        <w:r>
          <w:rPr>
            <w:color w:val="000000"/>
          </w:rPr>
          <w:t xml:space="preserve">Being</w:t>
        </w:r>
      </w:hyperlink>
      <w:r>
        <w:rPr>
          <w:b w:val="0"/>
          <w:i w:val="0"/>
        </w:rPr>
        <w:t>.</w:t>
      </w:r>
    </w:p>
    <w:p>
      <w:pPr>
        <w:keepNext/>
        <w:widowControl/>
      </w:pPr>
      <w:bookmarkStart w:id="634" w:name="latin-record-0383"/>
      <w:bookmarkEnd w:id="634"/>
      <w:r>
        <w:rPr>
          <w:b/>
          <w:i w:val="0"/>
        </w:rPr>
        <w:t>essentia / essentialis / substantia</w:t>
      </w:r>
      <w:r>
        <w:rPr>
          <w:b/>
          <w:i w:val="0"/>
        </w:rPr>
        <w:t>.</w:t>
      </w:r>
      <w:r>
        <w:rPr>
          <w:b w:val="0"/>
          <w:i w:val="0"/>
        </w:rPr>
        <w:t xml:space="preserve"> Printed forms: </w:t>
      </w:r>
      <w:r>
        <w:rPr>
          <w:b w:val="0"/>
          <w:i/>
        </w:rPr>
        <w:t>essentia</w:t>
      </w:r>
      <w:r>
        <w:rPr>
          <w:b w:val="0"/>
          <w:i w:val="0"/>
        </w:rPr>
        <w:t xml:space="preserve">; </w:t>
      </w:r>
      <w:r>
        <w:rPr>
          <w:b w:val="0"/>
          <w:i/>
        </w:rPr>
        <w:t>essentiam</w:t>
      </w:r>
      <w:r>
        <w:rPr>
          <w:b w:val="0"/>
          <w:i w:val="0"/>
        </w:rPr>
        <w:t>.</w:t>
      </w:r>
    </w:p>
    <w:p>
      <w:pPr>
        <w:widowControl/>
      </w:pPr>
      <w:r>
        <w:rPr>
          <w:b w:val="0"/>
          <w:i w:val="0"/>
        </w:rPr>
        <w:t xml:space="preserve">Essence or substantial constitution, distinguished locally from operation and received being. Ficino rejects independence from God in essence despite dependence in act; in God essence and operation coincide. References: </w:t>
      </w:r>
      <w:hyperlink w:anchor="passage-ii-4-6">
        <w:r>
          <w:rPr>
            <w:color w:val="000000"/>
          </w:rPr>
          <w:t xml:space="preserve">II.4.6</w:t>
        </w:r>
      </w:hyperlink>
      <w:r>
        <w:rPr>
          <w:b w:val="0"/>
          <w:i w:val="0"/>
        </w:rPr>
        <w:t xml:space="preserve">, </w:t>
      </w:r>
      <w:hyperlink w:anchor="passage-ii-7-15">
        <w:r>
          <w:rPr>
            <w:color w:val="000000"/>
          </w:rPr>
          <w:t xml:space="preserve">II.7.15</w:t>
        </w:r>
      </w:hyperlink>
      <w:r>
        <w:rPr>
          <w:b w:val="0"/>
          <w:i w:val="0"/>
        </w:rPr>
        <w:t xml:space="preserve">, </w:t>
      </w:r>
      <w:hyperlink w:anchor="passage-ii-9-5">
        <w:r>
          <w:rPr>
            <w:color w:val="000000"/>
          </w:rPr>
          <w:t xml:space="preserve">II.9.5</w:t>
        </w:r>
      </w:hyperlink>
      <w:r>
        <w:rPr>
          <w:b w:val="0"/>
          <w:i w:val="0"/>
        </w:rPr>
        <w:t xml:space="preserve">. See </w:t>
      </w:r>
      <w:hyperlink w:anchor="essence-and-substance">
        <w:r>
          <w:rPr>
            <w:color w:val="000000"/>
          </w:rPr>
          <w:t xml:space="preserve">Essence and substance</w:t>
        </w:r>
      </w:hyperlink>
      <w:r>
        <w:rPr>
          <w:b w:val="0"/>
          <w:i w:val="0"/>
        </w:rPr>
        <w:t>.</w:t>
      </w:r>
    </w:p>
    <w:p>
      <w:pPr>
        <w:keepNext/>
        <w:widowControl/>
      </w:pPr>
      <w:bookmarkStart w:id="635" w:name="latin-record-0384"/>
      <w:bookmarkEnd w:id="635"/>
      <w:r>
        <w:rPr>
          <w:b/>
          <w:i w:val="0"/>
        </w:rPr>
        <w:t>essentia / substantia</w:t>
      </w:r>
      <w:r>
        <w:rPr>
          <w:b/>
          <w:i w:val="0"/>
        </w:rPr>
        <w:t>.</w:t>
      </w:r>
      <w:r>
        <w:rPr>
          <w:b w:val="0"/>
          <w:i w:val="0"/>
        </w:rPr>
        <w:t xml:space="preserve"> Printed forms: </w:t>
      </w:r>
      <w:r>
        <w:rPr>
          <w:b w:val="0"/>
          <w:i/>
        </w:rPr>
        <w:t>essentiam</w:t>
      </w:r>
      <w:r>
        <w:rPr>
          <w:b w:val="0"/>
          <w:i w:val="0"/>
        </w:rPr>
        <w:t xml:space="preserve">; </w:t>
      </w:r>
      <w:r>
        <w:rPr>
          <w:b w:val="0"/>
          <w:i/>
        </w:rPr>
        <w:t>substantia</w:t>
      </w:r>
      <w:r>
        <w:rPr>
          <w:b w:val="0"/>
          <w:i w:val="0"/>
        </w:rPr>
        <w:t>.</w:t>
      </w:r>
    </w:p>
    <w:p>
      <w:pPr>
        <w:widowControl/>
      </w:pPr>
      <w:r>
        <w:rPr>
          <w:b w:val="0"/>
          <w:i w:val="0"/>
        </w:rPr>
        <w:t xml:space="preserve">Essence / substance. Soul’s substance remains while operations change; the third essence names its rank and nature, not a third bodily ingredient. References: </w:t>
      </w:r>
      <w:hyperlink w:anchor="passage-iii-1-15">
        <w:r>
          <w:rPr>
            <w:color w:val="000000"/>
          </w:rPr>
          <w:t xml:space="preserve">III.1.15</w:t>
        </w:r>
      </w:hyperlink>
      <w:r>
        <w:rPr>
          <w:b w:val="0"/>
          <w:i w:val="0"/>
        </w:rPr>
        <w:t xml:space="preserve">, </w:t>
      </w:r>
      <w:hyperlink w:anchor="passage-iii-2-1">
        <w:r>
          <w:rPr>
            <w:color w:val="000000"/>
          </w:rPr>
          <w:t xml:space="preserve">III.2.1</w:t>
        </w:r>
      </w:hyperlink>
      <w:r>
        <w:rPr>
          <w:b w:val="0"/>
          <w:i w:val="0"/>
        </w:rPr>
        <w:t xml:space="preserve">. See </w:t>
      </w:r>
      <w:hyperlink w:anchor="essence-and-substance">
        <w:r>
          <w:rPr>
            <w:color w:val="000000"/>
          </w:rPr>
          <w:t xml:space="preserve">Essence and substance</w:t>
        </w:r>
      </w:hyperlink>
      <w:r>
        <w:rPr>
          <w:b w:val="0"/>
          <w:i w:val="0"/>
        </w:rPr>
        <w:t>.</w:t>
      </w:r>
    </w:p>
    <w:p>
      <w:pPr>
        <w:keepNext/>
        <w:widowControl/>
      </w:pPr>
      <w:bookmarkStart w:id="636" w:name="latin-record-0385"/>
      <w:bookmarkEnd w:id="636"/>
      <w:r>
        <w:rPr>
          <w:b/>
          <w:i w:val="0"/>
        </w:rPr>
        <w:t>essentia / virtus / actio</w:t>
      </w:r>
      <w:r>
        <w:rPr>
          <w:b/>
          <w:i w:val="0"/>
        </w:rPr>
        <w:t>.</w:t>
      </w:r>
      <w:r>
        <w:rPr>
          <w:b w:val="0"/>
          <w:i w:val="0"/>
        </w:rPr>
        <w:t xml:space="preserve"> Printed forms: </w:t>
      </w:r>
      <w:r>
        <w:rPr>
          <w:b w:val="0"/>
          <w:i/>
        </w:rPr>
        <w:t>actio</w:t>
      </w:r>
      <w:r>
        <w:rPr>
          <w:b w:val="0"/>
          <w:i w:val="0"/>
        </w:rPr>
        <w:t xml:space="preserve">; </w:t>
      </w:r>
      <w:r>
        <w:rPr>
          <w:b w:val="0"/>
          <w:i/>
        </w:rPr>
        <w:t>essentia</w:t>
      </w:r>
      <w:r>
        <w:rPr>
          <w:b w:val="0"/>
          <w:i w:val="0"/>
        </w:rPr>
        <w:t xml:space="preserve">; </w:t>
      </w:r>
      <w:r>
        <w:rPr>
          <w:b w:val="0"/>
          <w:i/>
        </w:rPr>
        <w:t>virtus</w:t>
      </w:r>
      <w:r>
        <w:rPr>
          <w:b w:val="0"/>
          <w:i w:val="0"/>
        </w:rPr>
        <w:t>.</w:t>
      </w:r>
    </w:p>
    <w:p>
      <w:pPr>
        <w:widowControl/>
      </w:pPr>
      <w:r>
        <w:rPr>
          <w:b w:val="0"/>
          <w:i w:val="0"/>
        </w:rPr>
        <w:t xml:space="preserve">Essence, power and action as three respects of a thing. Quality changes in all three; the third essence has stable essence, changing operation, and power that is stable in one respect and acquired in another. References: </w:t>
      </w:r>
      <w:hyperlink w:anchor="passage-i-4-1">
        <w:r>
          <w:rPr>
            <w:color w:val="000000"/>
          </w:rPr>
          <w:t xml:space="preserve">I.4.1</w:t>
        </w:r>
      </w:hyperlink>
      <w:r>
        <w:rPr>
          <w:b w:val="0"/>
          <w:i w:val="0"/>
        </w:rPr>
        <w:t xml:space="preserve">, </w:t>
      </w:r>
      <w:hyperlink w:anchor="passage-i-4-5">
        <w:r>
          <w:rPr>
            <w:color w:val="000000"/>
          </w:rPr>
          <w:t xml:space="preserve">I.4.5</w:t>
        </w:r>
      </w:hyperlink>
      <w:r>
        <w:rPr>
          <w:b w:val="0"/>
          <w:i w:val="0"/>
        </w:rPr>
        <w:t xml:space="preserve">, </w:t>
      </w:r>
      <w:hyperlink w:anchor="passage-i-5-1">
        <w:r>
          <w:rPr>
            <w:color w:val="000000"/>
          </w:rPr>
          <w:t xml:space="preserve">I.5.1</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637" w:name="latin-record-0386"/>
      <w:bookmarkEnd w:id="637"/>
      <w:r>
        <w:rPr>
          <w:b/>
          <w:i w:val="0"/>
        </w:rPr>
        <w:t>essentia atque esse</w:t>
      </w:r>
      <w:r>
        <w:rPr>
          <w:b/>
          <w:i w:val="0"/>
        </w:rPr>
        <w:t>.</w:t>
      </w:r>
      <w:r>
        <w:rPr>
          <w:b w:val="0"/>
          <w:i w:val="0"/>
        </w:rPr>
        <w:t xml:space="preserve"> Printed forms: </w:t>
      </w:r>
      <w:r>
        <w:rPr>
          <w:b w:val="0"/>
          <w:i/>
        </w:rPr>
        <w:t>esse</w:t>
      </w:r>
      <w:r>
        <w:rPr>
          <w:b w:val="0"/>
          <w:i w:val="0"/>
        </w:rPr>
        <w:t xml:space="preserve">; </w:t>
      </w:r>
      <w:r>
        <w:rPr>
          <w:b w:val="0"/>
          <w:i/>
        </w:rPr>
        <w:t>essentiam</w:t>
      </w:r>
      <w:r>
        <w:rPr>
          <w:b w:val="0"/>
          <w:i w:val="0"/>
        </w:rPr>
        <w:t>.</w:t>
      </w:r>
    </w:p>
    <w:p>
      <w:pPr>
        <w:widowControl/>
      </w:pPr>
      <w:r>
        <w:rPr>
          <w:b w:val="0"/>
          <w:i w:val="0"/>
        </w:rPr>
        <w:t xml:space="preserve">Essence and being as distinguished within intellect. They are listed beside intellectual power, its act and understood forms, showing why angelic stability does not equal absolute simplicity. References: </w:t>
      </w:r>
      <w:hyperlink w:anchor="passage-i-6-4">
        <w:r>
          <w:rPr>
            <w:color w:val="000000"/>
          </w:rPr>
          <w:t xml:space="preserve">I.6.4</w:t>
        </w:r>
      </w:hyperlink>
      <w:r>
        <w:rPr>
          <w:b w:val="0"/>
          <w:i w:val="0"/>
        </w:rPr>
        <w:t xml:space="preserve">. See </w:t>
      </w:r>
      <w:hyperlink w:anchor="essence-and-substance">
        <w:r>
          <w:rPr>
            <w:color w:val="000000"/>
          </w:rPr>
          <w:t xml:space="preserve">Essence and substance</w:t>
        </w:r>
      </w:hyperlink>
      <w:r>
        <w:rPr>
          <w:b w:val="0"/>
          <w:i w:val="0"/>
        </w:rPr>
        <w:t>.</w:t>
      </w:r>
    </w:p>
    <w:p>
      <w:pPr>
        <w:keepNext/>
        <w:widowControl/>
      </w:pPr>
      <w:bookmarkStart w:id="638" w:name="latin-record-0387"/>
      <w:bookmarkEnd w:id="638"/>
      <w:r>
        <w:rPr>
          <w:b/>
          <w:i w:val="0"/>
        </w:rPr>
        <w:t>essentia puncto momento</w:t>
      </w:r>
      <w:r>
        <w:rPr>
          <w:b/>
          <w:i w:val="0"/>
        </w:rPr>
        <w:t>.</w:t>
      </w:r>
      <w:r>
        <w:rPr>
          <w:b w:val="0"/>
          <w:i w:val="0"/>
        </w:rPr>
        <w:t xml:space="preserve"> Printed forms: </w:t>
      </w:r>
      <w:r>
        <w:rPr>
          <w:b w:val="0"/>
          <w:i/>
        </w:rPr>
        <w:t>essentia</w:t>
      </w:r>
      <w:r>
        <w:rPr>
          <w:b w:val="0"/>
          <w:i w:val="0"/>
        </w:rPr>
        <w:t xml:space="preserve">; </w:t>
      </w:r>
      <w:r>
        <w:rPr>
          <w:b w:val="0"/>
          <w:i/>
        </w:rPr>
        <w:t>momento</w:t>
      </w:r>
      <w:r>
        <w:rPr>
          <w:b w:val="0"/>
          <w:i w:val="0"/>
        </w:rPr>
        <w:t xml:space="preserve">; </w:t>
      </w:r>
      <w:r>
        <w:rPr>
          <w:b w:val="0"/>
          <w:i/>
        </w:rPr>
        <w:t>puncto</w:t>
      </w:r>
      <w:r>
        <w:rPr>
          <w:b w:val="0"/>
          <w:i w:val="0"/>
        </w:rPr>
        <w:t>.</w:t>
      </w:r>
    </w:p>
    <w:p>
      <w:pPr>
        <w:widowControl/>
      </w:pPr>
      <w:r>
        <w:rPr>
          <w:b w:val="0"/>
          <w:i w:val="0"/>
        </w:rPr>
        <w:t xml:space="preserve">In essence, point, and moment: three modes of unity. Single substance, spatial indivisibility, and simultaneous possession distinguish angelic unity from lower totalities. References: </w:t>
      </w:r>
      <w:hyperlink w:anchor="passage-iv-2-5">
        <w:r>
          <w:rPr>
            <w:color w:val="000000"/>
          </w:rPr>
          <w:t xml:space="preserve">IV.2.5</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639" w:name="latin-record-0388"/>
      <w:bookmarkEnd w:id="639"/>
      <w:r>
        <w:rPr>
          <w:b/>
          <w:i w:val="0"/>
        </w:rPr>
        <w:t>essentialis / accidentalis</w:t>
      </w:r>
      <w:r>
        <w:rPr>
          <w:b/>
          <w:i w:val="0"/>
        </w:rPr>
        <w:t>.</w:t>
      </w:r>
      <w:r>
        <w:rPr>
          <w:b w:val="0"/>
          <w:i w:val="0"/>
        </w:rPr>
        <w:t xml:space="preserve"> Printed forms: </w:t>
      </w:r>
      <w:r>
        <w:rPr>
          <w:b w:val="0"/>
          <w:i/>
        </w:rPr>
        <w:t>accidentales</w:t>
      </w:r>
      <w:r>
        <w:rPr>
          <w:b w:val="0"/>
          <w:i w:val="0"/>
        </w:rPr>
        <w:t xml:space="preserve">; </w:t>
      </w:r>
      <w:r>
        <w:rPr>
          <w:b w:val="0"/>
          <w:i/>
        </w:rPr>
        <w:t>essentiales</w:t>
      </w:r>
      <w:r>
        <w:rPr>
          <w:b w:val="0"/>
          <w:i w:val="0"/>
        </w:rPr>
        <w:t>.</w:t>
      </w:r>
    </w:p>
    <w:p>
      <w:pPr>
        <w:widowControl/>
      </w:pPr>
      <w:r>
        <w:rPr>
          <w:b w:val="0"/>
          <w:i w:val="0"/>
        </w:rPr>
        <w:t xml:space="preserve">Belonging to essence / belonging as an accident. Both proposed kinds of internally distinct divine forms are rejected, although for different reasons. References: </w:t>
      </w:r>
      <w:hyperlink w:anchor="passage-ii-11-2">
        <w:r>
          <w:rPr>
            <w:color w:val="000000"/>
          </w:rPr>
          <w:t xml:space="preserve">II.11.2</w:t>
        </w:r>
      </w:hyperlink>
      <w:r>
        <w:rPr>
          <w:b w:val="0"/>
          <w:i w:val="0"/>
        </w:rPr>
        <w:t xml:space="preserve">. See </w:t>
      </w:r>
      <w:hyperlink w:anchor="substance-and-accident">
        <w:r>
          <w:rPr>
            <w:color w:val="000000"/>
          </w:rPr>
          <w:t xml:space="preserve">Substance and accident</w:t>
        </w:r>
      </w:hyperlink>
      <w:r>
        <w:rPr>
          <w:b w:val="0"/>
          <w:i w:val="0"/>
        </w:rPr>
        <w:t>.</w:t>
      </w:r>
    </w:p>
    <w:p>
      <w:pPr>
        <w:keepNext/>
        <w:widowControl/>
      </w:pPr>
      <w:bookmarkStart w:id="640" w:name="latin-record-0389"/>
      <w:bookmarkEnd w:id="640"/>
      <w:r>
        <w:rPr>
          <w:b/>
          <w:i w:val="0"/>
        </w:rPr>
        <w:t>Euclides / Megara / Athenae / Socrates</w:t>
      </w:r>
      <w:r>
        <w:rPr>
          <w:b/>
          <w:i w:val="0"/>
        </w:rPr>
        <w:t>.</w:t>
      </w:r>
      <w:r>
        <w:rPr>
          <w:b w:val="0"/>
          <w:i w:val="0"/>
        </w:rPr>
        <w:t xml:space="preserve"> Printed forms: </w:t>
      </w:r>
      <w:r>
        <w:rPr>
          <w:b w:val="0"/>
          <w:i/>
        </w:rPr>
        <w:t>Athenas</w:t>
      </w:r>
      <w:r>
        <w:rPr>
          <w:b w:val="0"/>
          <w:i w:val="0"/>
        </w:rPr>
        <w:t xml:space="preserve">; </w:t>
      </w:r>
      <w:r>
        <w:rPr>
          <w:b w:val="0"/>
          <w:i/>
        </w:rPr>
        <w:t>Euclides</w:t>
      </w:r>
      <w:r>
        <w:rPr>
          <w:b w:val="0"/>
          <w:i w:val="0"/>
        </w:rPr>
        <w:t xml:space="preserve">; </w:t>
      </w:r>
      <w:r>
        <w:rPr>
          <w:b w:val="0"/>
          <w:i/>
        </w:rPr>
        <w:t>Megaris</w:t>
      </w:r>
      <w:r>
        <w:rPr>
          <w:b w:val="0"/>
          <w:i w:val="0"/>
        </w:rPr>
        <w:t xml:space="preserve">; </w:t>
      </w:r>
      <w:r>
        <w:rPr>
          <w:b w:val="0"/>
          <w:i/>
        </w:rPr>
        <w:t>Socratem</w:t>
      </w:r>
      <w:r>
        <w:rPr>
          <w:b w:val="0"/>
          <w:i w:val="0"/>
        </w:rPr>
        <w:t>.</w:t>
      </w:r>
    </w:p>
    <w:p>
      <w:pPr>
        <w:widowControl/>
      </w:pPr>
      <w:r>
        <w:rPr>
          <w:b w:val="0"/>
          <w:i w:val="0"/>
        </w:rPr>
        <w:t xml:space="preserve">The traveler, departure city, destination, and teacher in the example. Euclid’s night journey to hear Socrates illustrates execution of a general plan; the passage does not identify him with the geometer. References: </w:t>
      </w:r>
      <w:hyperlink w:anchor="passage-iv-2-13">
        <w:r>
          <w:rPr>
            <w:color w:val="000000"/>
          </w:rPr>
          <w:t xml:space="preserve">IV.2.13</w:t>
        </w:r>
      </w:hyperlink>
      <w:r>
        <w:rPr>
          <w:b w:val="0"/>
          <w:i w:val="0"/>
        </w:rPr>
        <w:t xml:space="preserve">. See </w:t>
      </w:r>
      <w:hyperlink w:anchor="euclid-and-the-lantern">
        <w:r>
          <w:rPr>
            <w:color w:val="000000"/>
          </w:rPr>
          <w:t xml:space="preserve">Euclid and the lantern</w:t>
        </w:r>
      </w:hyperlink>
      <w:r>
        <w:rPr>
          <w:b w:val="0"/>
          <w:i w:val="0"/>
        </w:rPr>
        <w:t>.</w:t>
      </w:r>
    </w:p>
    <w:p>
      <w:pPr>
        <w:keepNext/>
        <w:widowControl/>
      </w:pPr>
      <w:bookmarkStart w:id="641" w:name="latin-record-0390"/>
      <w:bookmarkEnd w:id="641"/>
      <w:r>
        <w:rPr>
          <w:b/>
          <w:i w:val="0"/>
        </w:rPr>
        <w:t>evellere / extirpare</w:t>
      </w:r>
      <w:r>
        <w:rPr>
          <w:b/>
          <w:i w:val="0"/>
        </w:rPr>
        <w:t>.</w:t>
      </w:r>
      <w:r>
        <w:rPr>
          <w:b w:val="0"/>
          <w:i w:val="0"/>
        </w:rPr>
        <w:t xml:space="preserve"> Printed forms: </w:t>
      </w:r>
      <w:r>
        <w:rPr>
          <w:b w:val="0"/>
          <w:i/>
        </w:rPr>
        <w:t>evellantur</w:t>
      </w:r>
      <w:r>
        <w:rPr>
          <w:b w:val="0"/>
          <w:i w:val="0"/>
        </w:rPr>
        <w:t xml:space="preserve">; </w:t>
      </w:r>
      <w:r>
        <w:rPr>
          <w:b w:val="0"/>
          <w:i/>
        </w:rPr>
        <w:t>extirpentur</w:t>
      </w:r>
      <w:r>
        <w:rPr>
          <w:b w:val="0"/>
          <w:i w:val="0"/>
        </w:rPr>
        <w:t>.</w:t>
      </w:r>
    </w:p>
    <w:p>
      <w:pPr>
        <w:widowControl/>
      </w:pPr>
      <w:r>
        <w:rPr>
          <w:b w:val="0"/>
          <w:i w:val="0"/>
        </w:rPr>
        <w:t xml:space="preserve">To tear out and uproot. Removal from earth allegedly ends the growth of the outgrowths, distinguishing their dependence from animals’ independent life. References: </w:t>
      </w:r>
      <w:hyperlink w:anchor="passage-iv-1-2">
        <w:r>
          <w:rPr>
            <w:color w:val="000000"/>
          </w:rPr>
          <w:t xml:space="preserve">IV.1.2</w:t>
        </w:r>
      </w:hyperlink>
      <w:r>
        <w:rPr>
          <w:b w:val="0"/>
          <w:i w:val="0"/>
        </w:rPr>
        <w:t xml:space="preserve">. See </w:t>
      </w:r>
      <w:hyperlink w:anchor="nourishment-digestion-and-growth">
        <w:r>
          <w:rPr>
            <w:color w:val="000000"/>
          </w:rPr>
          <w:t xml:space="preserve">Nourishment, digestion and growth</w:t>
        </w:r>
      </w:hyperlink>
      <w:r>
        <w:rPr>
          <w:b w:val="0"/>
          <w:i w:val="0"/>
        </w:rPr>
        <w:t>.</w:t>
      </w:r>
    </w:p>
    <w:p>
      <w:pPr>
        <w:keepNext/>
        <w:widowControl/>
      </w:pPr>
      <w:bookmarkStart w:id="642" w:name="latin-record-0391"/>
      <w:bookmarkEnd w:id="642"/>
      <w:r>
        <w:rPr>
          <w:b/>
          <w:i w:val="0"/>
        </w:rPr>
        <w:t>ex / per / in causal uses</w:t>
      </w:r>
      <w:r>
        <w:rPr>
          <w:b/>
          <w:i w:val="0"/>
        </w:rPr>
        <w:t>.</w:t>
      </w:r>
      <w:r>
        <w:rPr>
          <w:b w:val="0"/>
          <w:i w:val="0"/>
        </w:rPr>
        <w:t xml:space="preserve"> Printed forms: </w:t>
      </w:r>
      <w:r>
        <w:rPr>
          <w:b w:val="0"/>
          <w:i/>
        </w:rPr>
        <w:t>ex</w:t>
      </w:r>
      <w:r>
        <w:rPr>
          <w:b w:val="0"/>
          <w:i w:val="0"/>
        </w:rPr>
        <w:t xml:space="preserve">; </w:t>
      </w:r>
      <w:r>
        <w:rPr>
          <w:b w:val="0"/>
          <w:i/>
        </w:rPr>
        <w:t>in</w:t>
      </w:r>
      <w:r>
        <w:rPr>
          <w:b w:val="0"/>
          <w:i w:val="0"/>
        </w:rPr>
        <w:t xml:space="preserve">; </w:t>
      </w:r>
      <w:r>
        <w:rPr>
          <w:b w:val="0"/>
          <w:i/>
        </w:rPr>
        <w:t>per</w:t>
      </w:r>
      <w:r>
        <w:rPr>
          <w:b w:val="0"/>
          <w:i w:val="0"/>
        </w:rPr>
        <w:t>.</w:t>
      </w:r>
    </w:p>
    <w:p>
      <w:pPr>
        <w:widowControl/>
      </w:pPr>
      <w:r>
        <w:rPr>
          <w:b w:val="0"/>
          <w:i w:val="0"/>
        </w:rPr>
        <w:t xml:space="preserve">From, through and in, distinguishing origin, means and inherence. Quality is in a subject and from another, while its operation occurs through a higher power; these prepositions carry different causal relations and should not be flattened into mere spatial location. References: </w:t>
      </w:r>
      <w:hyperlink w:anchor="passage-i-3-4">
        <w:r>
          <w:rPr>
            <w:color w:val="000000"/>
          </w:rPr>
          <w:t xml:space="preserve">I.3.4</w:t>
        </w:r>
      </w:hyperlink>
      <w:r>
        <w:rPr>
          <w:b w:val="0"/>
          <w:i w:val="0"/>
        </w:rPr>
        <w:t xml:space="preserve">, </w:t>
      </w:r>
      <w:hyperlink w:anchor="passage-i-3-7">
        <w:r>
          <w:rPr>
            <w:color w:val="000000"/>
          </w:rPr>
          <w:t xml:space="preserve">I.3.7</w:t>
        </w:r>
      </w:hyperlink>
      <w:r>
        <w:rPr>
          <w:b w:val="0"/>
          <w:i w:val="0"/>
        </w:rPr>
        <w:t xml:space="preserve">, </w:t>
      </w:r>
      <w:hyperlink w:anchor="passage-i-3-18">
        <w:r>
          <w:rPr>
            <w:color w:val="000000"/>
          </w:rPr>
          <w:t xml:space="preserve">I.3.18</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643" w:name="latin-record-0392"/>
      <w:bookmarkEnd w:id="643"/>
      <w:r>
        <w:rPr>
          <w:b/>
          <w:i w:val="0"/>
        </w:rPr>
        <w:t>ex-cogitare / fateri</w:t>
      </w:r>
      <w:r>
        <w:rPr>
          <w:b/>
          <w:i w:val="0"/>
        </w:rPr>
        <w:t>.</w:t>
      </w:r>
      <w:r>
        <w:rPr>
          <w:b w:val="0"/>
          <w:i w:val="0"/>
        </w:rPr>
        <w:t xml:space="preserve"> Printed forms: </w:t>
      </w:r>
      <w:r>
        <w:rPr>
          <w:b w:val="0"/>
          <w:i/>
        </w:rPr>
        <w:t>excogitemus</w:t>
      </w:r>
      <w:r>
        <w:rPr>
          <w:b w:val="0"/>
          <w:i w:val="0"/>
        </w:rPr>
        <w:t xml:space="preserve">; </w:t>
      </w:r>
      <w:r>
        <w:rPr>
          <w:b w:val="0"/>
          <w:i/>
        </w:rPr>
        <w:t>fateri</w:t>
      </w:r>
      <w:r>
        <w:rPr>
          <w:b w:val="0"/>
          <w:i w:val="0"/>
        </w:rPr>
        <w:t>.</w:t>
      </w:r>
    </w:p>
    <w:p>
      <w:pPr>
        <w:widowControl/>
      </w:pPr>
      <w:r>
        <w:rPr>
          <w:b w:val="0"/>
          <w:i w:val="0"/>
        </w:rPr>
        <w:t xml:space="preserve">To conceive an explanatory mover; to acknowledge a required conclusion. Visible motion and the rejection of an endless series motivate a first-moving sphere with an intrinsic principle. References: </w:t>
      </w:r>
      <w:hyperlink w:anchor="passage-iv-1-53">
        <w:r>
          <w:rPr>
            <w:color w:val="000000"/>
          </w:rPr>
          <w:t xml:space="preserve">IV.1.53</w:t>
        </w:r>
      </w:hyperlink>
      <w:r>
        <w:rPr>
          <w:b w:val="0"/>
          <w:i w:val="0"/>
        </w:rPr>
        <w:t xml:space="preserve">. See </w:t>
      </w:r>
      <w:hyperlink w:anchor="first-movable">
        <w:r>
          <w:rPr>
            <w:color w:val="000000"/>
          </w:rPr>
          <w:t xml:space="preserve">First movable</w:t>
        </w:r>
      </w:hyperlink>
      <w:r>
        <w:rPr>
          <w:b w:val="0"/>
          <w:i w:val="0"/>
        </w:rPr>
        <w:t>.</w:t>
      </w:r>
    </w:p>
    <w:p>
      <w:pPr>
        <w:keepNext/>
        <w:widowControl/>
      </w:pPr>
      <w:bookmarkStart w:id="644" w:name="latin-record-0393"/>
      <w:bookmarkEnd w:id="644"/>
      <w:r>
        <w:rPr>
          <w:b/>
          <w:i w:val="0"/>
        </w:rPr>
        <w:t>excedere / superare</w:t>
      </w:r>
      <w:r>
        <w:rPr>
          <w:b/>
          <w:i w:val="0"/>
        </w:rPr>
        <w:t>.</w:t>
      </w:r>
      <w:r>
        <w:rPr>
          <w:b w:val="0"/>
          <w:i w:val="0"/>
        </w:rPr>
        <w:t xml:space="preserve"> Printed forms: </w:t>
      </w:r>
      <w:r>
        <w:rPr>
          <w:b w:val="0"/>
          <w:i/>
        </w:rPr>
        <w:t>excedat</w:t>
      </w:r>
      <w:r>
        <w:rPr>
          <w:b w:val="0"/>
          <w:i w:val="0"/>
        </w:rPr>
        <w:t xml:space="preserve">; </w:t>
      </w:r>
      <w:r>
        <w:rPr>
          <w:b w:val="0"/>
          <w:i/>
        </w:rPr>
        <w:t>excedetur</w:t>
      </w:r>
      <w:r>
        <w:rPr>
          <w:b w:val="0"/>
          <w:i w:val="0"/>
        </w:rPr>
        <w:t xml:space="preserve">; </w:t>
      </w:r>
      <w:r>
        <w:rPr>
          <w:b w:val="0"/>
          <w:i/>
        </w:rPr>
        <w:t>excessus</w:t>
      </w:r>
      <w:r>
        <w:rPr>
          <w:b w:val="0"/>
          <w:i w:val="0"/>
        </w:rPr>
        <w:t xml:space="preserve">; </w:t>
      </w:r>
      <w:r>
        <w:rPr>
          <w:b w:val="0"/>
          <w:i/>
        </w:rPr>
        <w:t>superabit</w:t>
      </w:r>
      <w:r>
        <w:rPr>
          <w:b w:val="0"/>
          <w:i w:val="0"/>
        </w:rPr>
        <w:t xml:space="preserve">; </w:t>
      </w:r>
      <w:r>
        <w:rPr>
          <w:b w:val="0"/>
          <w:i/>
        </w:rPr>
        <w:t>superant</w:t>
      </w:r>
      <w:r>
        <w:rPr>
          <w:b w:val="0"/>
          <w:i w:val="0"/>
        </w:rPr>
        <w:t xml:space="preserve">; </w:t>
      </w:r>
      <w:r>
        <w:rPr>
          <w:b w:val="0"/>
          <w:i/>
        </w:rPr>
        <w:t>superantes</w:t>
      </w:r>
      <w:r>
        <w:rPr>
          <w:b w:val="0"/>
          <w:i w:val="0"/>
        </w:rPr>
        <w:t>.</w:t>
      </w:r>
    </w:p>
    <w:p>
      <w:pPr>
        <w:widowControl/>
      </w:pPr>
      <w:r>
        <w:rPr>
          <w:b w:val="0"/>
          <w:i w:val="0"/>
        </w:rPr>
        <w:t xml:space="preserve">To exceed or surpass in rank, extent, or power. The reader must identify the respect of comparison; surpassing goodness would already depend on goodness. References: </w:t>
      </w:r>
      <w:hyperlink w:anchor="passage-ii-1-5">
        <w:r>
          <w:rPr>
            <w:color w:val="000000"/>
          </w:rPr>
          <w:t xml:space="preserve">II.1.5</w:t>
        </w:r>
      </w:hyperlink>
      <w:r>
        <w:rPr>
          <w:b w:val="0"/>
          <w:i w:val="0"/>
        </w:rPr>
        <w:t xml:space="preserve">, </w:t>
      </w:r>
      <w:hyperlink w:anchor="passage-ii-3-2">
        <w:r>
          <w:rPr>
            <w:color w:val="000000"/>
          </w:rPr>
          <w:t xml:space="preserve">II.3.2</w:t>
        </w:r>
      </w:hyperlink>
      <w:r>
        <w:rPr>
          <w:b w:val="0"/>
          <w:i w:val="0"/>
        </w:rPr>
        <w:t xml:space="preserve">, </w:t>
      </w:r>
      <w:hyperlink w:anchor="passage-ii-3-9">
        <w:r>
          <w:rPr>
            <w:color w:val="000000"/>
          </w:rPr>
          <w:t xml:space="preserve">II.3.9</w:t>
        </w:r>
      </w:hyperlink>
      <w:r>
        <w:rPr>
          <w:b w:val="0"/>
          <w:i w:val="0"/>
        </w:rPr>
        <w:t xml:space="preserve">, </w:t>
      </w:r>
      <w:hyperlink w:anchor="passage-ii-9-11">
        <w:r>
          <w:rPr>
            <w:color w:val="000000"/>
          </w:rPr>
          <w:t xml:space="preserve">II.9.11</w:t>
        </w:r>
      </w:hyperlink>
      <w:r>
        <w:rPr>
          <w:b w:val="0"/>
          <w:i w:val="0"/>
        </w:rPr>
        <w:t xml:space="preserve">. See </w:t>
      </w:r>
      <w:hyperlink w:anchor="surpassing-and-comparison">
        <w:r>
          <w:rPr>
            <w:color w:val="000000"/>
          </w:rPr>
          <w:t xml:space="preserve">Surpassing and comparison</w:t>
        </w:r>
      </w:hyperlink>
      <w:r>
        <w:rPr>
          <w:b w:val="0"/>
          <w:i w:val="0"/>
        </w:rPr>
        <w:t>.</w:t>
      </w:r>
    </w:p>
    <w:p>
      <w:pPr>
        <w:keepNext/>
        <w:widowControl/>
      </w:pPr>
      <w:bookmarkStart w:id="645" w:name="latin-record-0394"/>
      <w:bookmarkEnd w:id="645"/>
      <w:r>
        <w:rPr>
          <w:b/>
          <w:i w:val="0"/>
        </w:rPr>
        <w:t>excellens / eminens / deterior / altior / remotior</w:t>
      </w:r>
      <w:r>
        <w:rPr>
          <w:b/>
          <w:i w:val="0"/>
        </w:rPr>
        <w:t>.</w:t>
      </w:r>
      <w:r>
        <w:rPr>
          <w:b w:val="0"/>
          <w:i w:val="0"/>
        </w:rPr>
        <w:t xml:space="preserve"> Printed forms: </w:t>
      </w:r>
      <w:r>
        <w:rPr>
          <w:b w:val="0"/>
          <w:i/>
        </w:rPr>
        <w:t>deterioribus</w:t>
      </w:r>
      <w:r>
        <w:rPr>
          <w:b w:val="0"/>
          <w:i w:val="0"/>
        </w:rPr>
        <w:t xml:space="preserve">; </w:t>
      </w:r>
      <w:r>
        <w:rPr>
          <w:b w:val="0"/>
          <w:i/>
        </w:rPr>
        <w:t>eminentior</w:t>
      </w:r>
      <w:r>
        <w:rPr>
          <w:b w:val="0"/>
          <w:i w:val="0"/>
        </w:rPr>
        <w:t xml:space="preserve">; </w:t>
      </w:r>
      <w:r>
        <w:rPr>
          <w:b w:val="0"/>
          <w:i/>
        </w:rPr>
        <w:t>excellentissimam</w:t>
      </w:r>
      <w:r>
        <w:rPr>
          <w:b w:val="0"/>
          <w:i w:val="0"/>
        </w:rPr>
        <w:t xml:space="preserve">; </w:t>
      </w:r>
      <w:r>
        <w:rPr>
          <w:b w:val="0"/>
          <w:i/>
        </w:rPr>
        <w:t>excellentius</w:t>
      </w:r>
      <w:r>
        <w:rPr>
          <w:b w:val="0"/>
          <w:i w:val="0"/>
        </w:rPr>
        <w:t xml:space="preserve">; </w:t>
      </w:r>
      <w:r>
        <w:rPr>
          <w:b w:val="0"/>
          <w:i/>
        </w:rPr>
        <w:t>remotiorem</w:t>
      </w:r>
      <w:r>
        <w:rPr>
          <w:b w:val="0"/>
          <w:i w:val="0"/>
        </w:rPr>
        <w:t>.</w:t>
      </w:r>
    </w:p>
    <w:p>
      <w:pPr>
        <w:widowControl/>
      </w:pPr>
      <w:r>
        <w:rPr>
          <w:b w:val="0"/>
          <w:i w:val="0"/>
        </w:rPr>
        <w:t xml:space="preserve">Greater excellence, inferiority, height, or remoteness in the specified comparison. Higher cognition includes what lower powers know and more; remoter potency requires stronger actualization. References: </w:t>
      </w:r>
      <w:hyperlink w:anchor="passage-ii-1-1">
        <w:r>
          <w:rPr>
            <w:color w:val="000000"/>
          </w:rPr>
          <w:t xml:space="preserve">II.1.1</w:t>
        </w:r>
      </w:hyperlink>
      <w:r>
        <w:rPr>
          <w:b w:val="0"/>
          <w:i w:val="0"/>
        </w:rPr>
        <w:t xml:space="preserve">, </w:t>
      </w:r>
      <w:hyperlink w:anchor="passage-ii-3-10">
        <w:r>
          <w:rPr>
            <w:color w:val="000000"/>
          </w:rPr>
          <w:t xml:space="preserve">II.3.10</w:t>
        </w:r>
      </w:hyperlink>
      <w:r>
        <w:rPr>
          <w:b w:val="0"/>
          <w:i w:val="0"/>
        </w:rPr>
        <w:t xml:space="preserve">, </w:t>
      </w:r>
      <w:hyperlink w:anchor="passage-ii-4-5">
        <w:r>
          <w:rPr>
            <w:color w:val="000000"/>
          </w:rPr>
          <w:t xml:space="preserve">II.4.5</w:t>
        </w:r>
      </w:hyperlink>
      <w:r>
        <w:rPr>
          <w:b w:val="0"/>
          <w:i w:val="0"/>
        </w:rPr>
        <w:t xml:space="preserve">, </w:t>
      </w:r>
      <w:hyperlink w:anchor="passage-ii-9-6">
        <w:r>
          <w:rPr>
            <w:color w:val="000000"/>
          </w:rPr>
          <w:t xml:space="preserve">II.9.6</w:t>
        </w:r>
      </w:hyperlink>
      <w:r>
        <w:rPr>
          <w:b w:val="0"/>
          <w:i w:val="0"/>
        </w:rPr>
        <w:t xml:space="preserve">, </w:t>
      </w:r>
      <w:hyperlink w:anchor="passage-ii-9-16">
        <w:r>
          <w:rPr>
            <w:color w:val="000000"/>
          </w:rPr>
          <w:t xml:space="preserve">II.9.16</w:t>
        </w:r>
      </w:hyperlink>
      <w:r>
        <w:rPr>
          <w:b w:val="0"/>
          <w:i w:val="0"/>
        </w:rPr>
        <w:t xml:space="preserve">. See </w:t>
      </w:r>
      <w:hyperlink w:anchor="surpassing-and-comparison">
        <w:r>
          <w:rPr>
            <w:color w:val="000000"/>
          </w:rPr>
          <w:t xml:space="preserve">Surpassing and comparison</w:t>
        </w:r>
      </w:hyperlink>
      <w:r>
        <w:rPr>
          <w:b w:val="0"/>
          <w:i w:val="0"/>
        </w:rPr>
        <w:t>.</w:t>
      </w:r>
    </w:p>
    <w:p>
      <w:pPr>
        <w:keepNext/>
        <w:widowControl/>
      </w:pPr>
      <w:bookmarkStart w:id="646" w:name="latin-record-0395"/>
      <w:bookmarkEnd w:id="646"/>
      <w:r>
        <w:rPr>
          <w:b/>
          <w:i w:val="0"/>
        </w:rPr>
        <w:t>excresco / invalesco</w:t>
      </w:r>
      <w:r>
        <w:rPr>
          <w:b/>
          <w:i w:val="0"/>
        </w:rPr>
        <w:t>.</w:t>
      </w:r>
      <w:r>
        <w:rPr>
          <w:b w:val="0"/>
          <w:i w:val="0"/>
        </w:rPr>
        <w:t xml:space="preserve"> Printed forms: </w:t>
      </w:r>
      <w:r>
        <w:rPr>
          <w:b w:val="0"/>
          <w:i/>
        </w:rPr>
        <w:t>excrescere</w:t>
      </w:r>
      <w:r>
        <w:rPr>
          <w:b w:val="0"/>
          <w:i w:val="0"/>
        </w:rPr>
        <w:t xml:space="preserve">; </w:t>
      </w:r>
      <w:r>
        <w:rPr>
          <w:b w:val="0"/>
          <w:i/>
        </w:rPr>
        <w:t>invalescere</w:t>
      </w:r>
      <w:r>
        <w:rPr>
          <w:b w:val="0"/>
          <w:i w:val="0"/>
        </w:rPr>
        <w:t>.</w:t>
      </w:r>
    </w:p>
    <w:p>
      <w:pPr>
        <w:widowControl/>
      </w:pPr>
      <w:r>
        <w:rPr>
          <w:b w:val="0"/>
          <w:i w:val="0"/>
        </w:rPr>
        <w:t xml:space="preserve">To grow until filling something, and to grow powerful. The eye’s imagined bodily expansion parallels mind’s imagined dominance over other faculties; these are suppositious analogies, not a physical transformation. References: </w:t>
      </w:r>
      <w:hyperlink w:anchor="passage-i-6-8">
        <w:r>
          <w:rPr>
            <w:color w:val="000000"/>
          </w:rPr>
          <w:t xml:space="preserve">I.6.8</w:t>
        </w:r>
      </w:hyperlink>
      <w:r>
        <w:rPr>
          <w:b w:val="0"/>
          <w:i w:val="0"/>
        </w:rPr>
        <w:t xml:space="preserve">, </w:t>
      </w:r>
      <w:hyperlink w:anchor="passage-i-6-9">
        <w:r>
          <w:rPr>
            <w:color w:val="000000"/>
          </w:rPr>
          <w:t xml:space="preserve">I.6.9</w:t>
        </w:r>
      </w:hyperlink>
      <w:r>
        <w:rPr>
          <w:b w:val="0"/>
          <w:i w:val="0"/>
        </w:rPr>
        <w:t xml:space="preserve">. See </w:t>
      </w:r>
      <w:hyperlink w:anchor="eye-and-imagined-enlargement">
        <w:r>
          <w:rPr>
            <w:color w:val="000000"/>
          </w:rPr>
          <w:t xml:space="preserve">Eye and imagined enlargement</w:t>
        </w:r>
      </w:hyperlink>
      <w:r>
        <w:rPr>
          <w:b w:val="0"/>
          <w:i w:val="0"/>
        </w:rPr>
        <w:t>.</w:t>
      </w:r>
    </w:p>
    <w:p>
      <w:pPr>
        <w:keepNext/>
        <w:widowControl/>
      </w:pPr>
      <w:bookmarkStart w:id="647" w:name="latin-record-0396"/>
      <w:bookmarkEnd w:id="647"/>
      <w:r>
        <w:rPr>
          <w:b/>
          <w:i w:val="0"/>
        </w:rPr>
        <w:t>exemplar / exprimere / imitari</w:t>
      </w:r>
      <w:r>
        <w:rPr>
          <w:b/>
          <w:i w:val="0"/>
        </w:rPr>
        <w:t>.</w:t>
      </w:r>
      <w:r>
        <w:rPr>
          <w:b w:val="0"/>
          <w:i w:val="0"/>
        </w:rPr>
        <w:t xml:space="preserve"> Printed forms: </w:t>
      </w:r>
      <w:r>
        <w:rPr>
          <w:b w:val="0"/>
          <w:i/>
        </w:rPr>
        <w:t>exemplar</w:t>
      </w:r>
      <w:r>
        <w:rPr>
          <w:b w:val="0"/>
          <w:i w:val="0"/>
        </w:rPr>
        <w:t xml:space="preserve">; </w:t>
      </w:r>
      <w:r>
        <w:rPr>
          <w:b w:val="0"/>
          <w:i/>
        </w:rPr>
        <w:t>exemplaris</w:t>
      </w:r>
      <w:r>
        <w:rPr>
          <w:b w:val="0"/>
          <w:i w:val="0"/>
        </w:rPr>
        <w:t xml:space="preserve">; </w:t>
      </w:r>
      <w:r>
        <w:rPr>
          <w:b w:val="0"/>
          <w:i/>
        </w:rPr>
        <w:t>exprimi</w:t>
      </w:r>
      <w:r>
        <w:rPr>
          <w:b w:val="0"/>
          <w:i w:val="0"/>
        </w:rPr>
        <w:t xml:space="preserve">; </w:t>
      </w:r>
      <w:r>
        <w:rPr>
          <w:b w:val="0"/>
          <w:i/>
        </w:rPr>
        <w:t>imitari</w:t>
      </w:r>
      <w:r>
        <w:rPr>
          <w:b w:val="0"/>
          <w:i w:val="0"/>
        </w:rPr>
        <w:t>.</w:t>
      </w:r>
    </w:p>
    <w:p>
      <w:pPr>
        <w:widowControl/>
      </w:pPr>
      <w:r>
        <w:rPr>
          <w:b w:val="0"/>
          <w:i w:val="0"/>
        </w:rPr>
        <w:t xml:space="preserve">Pattern, expression in its likeness, and imitation. No finite creature or collection exhausts the possible modes of imitating the infinite exemplar. References: </w:t>
      </w:r>
      <w:hyperlink w:anchor="passage-ii-10-5">
        <w:r>
          <w:rPr>
            <w:color w:val="000000"/>
          </w:rPr>
          <w:t xml:space="preserve">II.10.5</w:t>
        </w:r>
      </w:hyperlink>
      <w:r>
        <w:rPr>
          <w:b w:val="0"/>
          <w:i w:val="0"/>
        </w:rPr>
        <w:t xml:space="preserve">. See </w:t>
      </w:r>
      <w:hyperlink w:anchor="ideas-and-exemplars">
        <w:r>
          <w:rPr>
            <w:color w:val="000000"/>
          </w:rPr>
          <w:t xml:space="preserve">Ideas and exemplars</w:t>
        </w:r>
      </w:hyperlink>
      <w:r>
        <w:rPr>
          <w:b w:val="0"/>
          <w:i w:val="0"/>
        </w:rPr>
        <w:t>.</w:t>
      </w:r>
    </w:p>
    <w:p>
      <w:pPr>
        <w:keepNext/>
        <w:widowControl/>
      </w:pPr>
      <w:bookmarkStart w:id="648" w:name="latin-record-0397"/>
      <w:bookmarkEnd w:id="648"/>
      <w:r>
        <w:rPr>
          <w:b/>
          <w:i w:val="0"/>
        </w:rPr>
        <w:t>exemplum / instar</w:t>
      </w:r>
      <w:r>
        <w:rPr>
          <w:b/>
          <w:i w:val="0"/>
        </w:rPr>
        <w:t>.</w:t>
      </w:r>
      <w:r>
        <w:rPr>
          <w:b w:val="0"/>
          <w:i w:val="0"/>
        </w:rPr>
        <w:t xml:space="preserve"> Printed forms: </w:t>
      </w:r>
      <w:r>
        <w:rPr>
          <w:b w:val="0"/>
          <w:i/>
        </w:rPr>
        <w:t>exemplum</w:t>
      </w:r>
      <w:r>
        <w:rPr>
          <w:b w:val="0"/>
          <w:i w:val="0"/>
        </w:rPr>
        <w:t xml:space="preserve">; </w:t>
      </w:r>
      <w:r>
        <w:rPr>
          <w:b w:val="0"/>
          <w:i/>
        </w:rPr>
        <w:t>instar</w:t>
      </w:r>
      <w:r>
        <w:rPr>
          <w:b w:val="0"/>
          <w:i w:val="0"/>
        </w:rPr>
        <w:t>.</w:t>
      </w:r>
    </w:p>
    <w:p>
      <w:pPr>
        <w:widowControl/>
      </w:pPr>
      <w:r>
        <w:rPr>
          <w:b w:val="0"/>
          <w:i w:val="0"/>
        </w:rPr>
        <w:t xml:space="preserve">An example; after the likeness of. Euclid’s journey is explicitly introduced as an example, while God is described in the likeness of a circle; neither expression authorizes transferring every physical feature. References: </w:t>
      </w:r>
      <w:hyperlink w:anchor="passage-iv-2-13">
        <w:r>
          <w:rPr>
            <w:color w:val="000000"/>
          </w:rPr>
          <w:t xml:space="preserve">IV.2.13</w:t>
        </w:r>
      </w:hyperlink>
      <w:r>
        <w:rPr>
          <w:b w:val="0"/>
          <w:i w:val="0"/>
        </w:rPr>
        <w:t xml:space="preserve">, </w:t>
      </w:r>
      <w:hyperlink w:anchor="passage-iv-2-21">
        <w:r>
          <w:rPr>
            <w:color w:val="000000"/>
          </w:rPr>
          <w:t xml:space="preserve">IV.2.21</w:t>
        </w:r>
      </w:hyperlink>
      <w:r>
        <w:rPr>
          <w:b w:val="0"/>
          <w:i w:val="0"/>
        </w:rPr>
        <w:t xml:space="preserve">. See </w:t>
      </w:r>
      <w:hyperlink w:anchor="proportion-and-analogy">
        <w:r>
          <w:rPr>
            <w:color w:val="000000"/>
          </w:rPr>
          <w:t xml:space="preserve">Proportion and analogy</w:t>
        </w:r>
      </w:hyperlink>
      <w:r>
        <w:rPr>
          <w:b w:val="0"/>
          <w:i w:val="0"/>
        </w:rPr>
        <w:t>.</w:t>
      </w:r>
    </w:p>
    <w:p>
      <w:pPr>
        <w:keepNext/>
        <w:widowControl/>
      </w:pPr>
      <w:bookmarkStart w:id="649" w:name="latin-record-0398"/>
      <w:bookmarkEnd w:id="649"/>
      <w:r>
        <w:rPr>
          <w:b/>
          <w:i w:val="0"/>
        </w:rPr>
        <w:t>exemplum / signum / indicare</w:t>
      </w:r>
      <w:r>
        <w:rPr>
          <w:b/>
          <w:i w:val="0"/>
        </w:rPr>
        <w:t>.</w:t>
      </w:r>
      <w:r>
        <w:rPr>
          <w:b w:val="0"/>
          <w:i w:val="0"/>
        </w:rPr>
        <w:t xml:space="preserve"> Printed forms: </w:t>
      </w:r>
      <w:r>
        <w:rPr>
          <w:b w:val="0"/>
          <w:i/>
        </w:rPr>
        <w:t>exemplo</w:t>
      </w:r>
      <w:r>
        <w:rPr>
          <w:b w:val="0"/>
          <w:i w:val="0"/>
        </w:rPr>
        <w:t xml:space="preserve">; </w:t>
      </w:r>
      <w:r>
        <w:rPr>
          <w:b w:val="0"/>
          <w:i/>
        </w:rPr>
        <w:t>indicat</w:t>
      </w:r>
      <w:r>
        <w:rPr>
          <w:b w:val="0"/>
          <w:i w:val="0"/>
        </w:rPr>
        <w:t>.</w:t>
      </w:r>
    </w:p>
    <w:p>
      <w:pPr>
        <w:widowControl/>
      </w:pPr>
      <w:r>
        <w:rPr>
          <w:b w:val="0"/>
          <w:i w:val="0"/>
        </w:rPr>
        <w:t xml:space="preserve">Example / indication / indicate. The ostrich case is said to indicate the thesis in a qualified way; an illustration does not thereby become independently verified evidence. References: </w:t>
      </w:r>
      <w:hyperlink w:anchor="passage-ii-11-31">
        <w:r>
          <w:rPr>
            <w:color w:val="000000"/>
          </w:rPr>
          <w:t xml:space="preserve">II.11.31</w:t>
        </w:r>
      </w:hyperlink>
      <w:r>
        <w:rPr>
          <w:b w:val="0"/>
          <w:i w:val="0"/>
        </w:rPr>
        <w:t xml:space="preserve">, </w:t>
      </w:r>
      <w:hyperlink w:anchor="passage-iii-1-32">
        <w:r>
          <w:rPr>
            <w:color w:val="000000"/>
          </w:rPr>
          <w:t xml:space="preserve">III.1.32</w:t>
        </w:r>
      </w:hyperlink>
      <w:r>
        <w:rPr>
          <w:b w:val="0"/>
          <w:i w:val="0"/>
        </w:rPr>
        <w:t xml:space="preserve">. See </w:t>
      </w:r>
      <w:hyperlink w:anchor="ostrich-and-egg">
        <w:r>
          <w:rPr>
            <w:color w:val="000000"/>
          </w:rPr>
          <w:t xml:space="preserve">Ostrich and egg</w:t>
        </w:r>
      </w:hyperlink>
      <w:r>
        <w:rPr>
          <w:b w:val="0"/>
          <w:i w:val="0"/>
        </w:rPr>
        <w:t>.</w:t>
      </w:r>
    </w:p>
    <w:p>
      <w:pPr>
        <w:keepNext/>
        <w:widowControl/>
      </w:pPr>
      <w:bookmarkStart w:id="650" w:name="latin-record-0399"/>
      <w:bookmarkEnd w:id="650"/>
      <w:r>
        <w:rPr>
          <w:b/>
          <w:i w:val="0"/>
        </w:rPr>
        <w:t>exercitus / dux</w:t>
      </w:r>
      <w:r>
        <w:rPr>
          <w:b/>
          <w:i w:val="0"/>
        </w:rPr>
        <w:t>.</w:t>
      </w:r>
      <w:r>
        <w:rPr>
          <w:b w:val="0"/>
          <w:i w:val="0"/>
        </w:rPr>
        <w:t xml:space="preserve"> Printed forms: </w:t>
      </w:r>
      <w:r>
        <w:rPr>
          <w:b w:val="0"/>
          <w:i/>
        </w:rPr>
        <w:t>ducem</w:t>
      </w:r>
      <w:r>
        <w:rPr>
          <w:b w:val="0"/>
          <w:i w:val="0"/>
        </w:rPr>
        <w:t xml:space="preserve">; </w:t>
      </w:r>
      <w:r>
        <w:rPr>
          <w:b w:val="0"/>
          <w:i/>
        </w:rPr>
        <w:t>dux</w:t>
      </w:r>
      <w:r>
        <w:rPr>
          <w:b w:val="0"/>
          <w:i w:val="0"/>
        </w:rPr>
        <w:t xml:space="preserve">; </w:t>
      </w:r>
      <w:r>
        <w:rPr>
          <w:b w:val="0"/>
          <w:i/>
        </w:rPr>
        <w:t>exercitus</w:t>
      </w:r>
      <w:r>
        <w:rPr>
          <w:b w:val="0"/>
          <w:i w:val="0"/>
        </w:rPr>
        <w:t>.</w:t>
      </w:r>
    </w:p>
    <w:p>
      <w:pPr>
        <w:widowControl/>
      </w:pPr>
      <w:r>
        <w:rPr>
          <w:b w:val="0"/>
          <w:i w:val="0"/>
        </w:rPr>
        <w:t xml:space="preserve">Army and commander or guide. Military coordination illustrates relation to one source; guide later names God’s universal enabling role. References: </w:t>
      </w:r>
      <w:hyperlink w:anchor="passage-ii-2-8">
        <w:r>
          <w:rPr>
            <w:color w:val="000000"/>
          </w:rPr>
          <w:t xml:space="preserve">II.2.8</w:t>
        </w:r>
      </w:hyperlink>
      <w:r>
        <w:rPr>
          <w:b w:val="0"/>
          <w:i w:val="0"/>
        </w:rPr>
        <w:t xml:space="preserve">, </w:t>
      </w:r>
      <w:hyperlink w:anchor="passage-ii-6-9">
        <w:r>
          <w:rPr>
            <w:color w:val="000000"/>
          </w:rPr>
          <w:t xml:space="preserve">II.6.9</w:t>
        </w:r>
      </w:hyperlink>
      <w:r>
        <w:rPr>
          <w:b w:val="0"/>
          <w:i w:val="0"/>
        </w:rPr>
        <w:t xml:space="preserve">, </w:t>
      </w:r>
      <w:hyperlink w:anchor="passage-ii-7-6">
        <w:r>
          <w:rPr>
            <w:color w:val="000000"/>
          </w:rPr>
          <w:t xml:space="preserve">II.7.6</w:t>
        </w:r>
      </w:hyperlink>
      <w:r>
        <w:rPr>
          <w:b w:val="0"/>
          <w:i w:val="0"/>
        </w:rPr>
        <w:t xml:space="preserve">. See </w:t>
      </w:r>
      <w:hyperlink w:anchor="army-and-commander">
        <w:r>
          <w:rPr>
            <w:color w:val="000000"/>
          </w:rPr>
          <w:t xml:space="preserve">Army and commander</w:t>
        </w:r>
      </w:hyperlink>
      <w:r>
        <w:rPr>
          <w:b w:val="0"/>
          <w:i w:val="0"/>
        </w:rPr>
        <w:t>.</w:t>
      </w:r>
    </w:p>
    <w:p>
      <w:pPr>
        <w:keepNext/>
        <w:widowControl/>
      </w:pPr>
      <w:bookmarkStart w:id="651" w:name="latin-record-0400"/>
      <w:bookmarkEnd w:id="651"/>
      <w:r>
        <w:rPr>
          <w:b/>
          <w:i w:val="0"/>
        </w:rPr>
        <w:t>exercitus / dux / princeps</w:t>
      </w:r>
      <w:r>
        <w:rPr>
          <w:b/>
          <w:i w:val="0"/>
        </w:rPr>
        <w:t>.</w:t>
      </w:r>
      <w:r>
        <w:rPr>
          <w:b w:val="0"/>
          <w:i w:val="0"/>
        </w:rPr>
        <w:t xml:space="preserve"> Printed forms: </w:t>
      </w:r>
      <w:r>
        <w:rPr>
          <w:b w:val="0"/>
          <w:i/>
        </w:rPr>
        <w:t>duce</w:t>
      </w:r>
      <w:r>
        <w:rPr>
          <w:b w:val="0"/>
          <w:i w:val="0"/>
        </w:rPr>
        <w:t xml:space="preserve">; </w:t>
      </w:r>
      <w:r>
        <w:rPr>
          <w:b w:val="0"/>
          <w:i/>
        </w:rPr>
        <w:t>ducem</w:t>
      </w:r>
      <w:r>
        <w:rPr>
          <w:b w:val="0"/>
          <w:i w:val="0"/>
        </w:rPr>
        <w:t xml:space="preserve">; </w:t>
      </w:r>
      <w:r>
        <w:rPr>
          <w:b w:val="0"/>
          <w:i/>
        </w:rPr>
        <w:t>exercitus</w:t>
      </w:r>
      <w:r>
        <w:rPr>
          <w:b w:val="0"/>
          <w:i w:val="0"/>
        </w:rPr>
        <w:t xml:space="preserve">; </w:t>
      </w:r>
      <w:r>
        <w:rPr>
          <w:b w:val="0"/>
          <w:i/>
        </w:rPr>
        <w:t>principe</w:t>
      </w:r>
      <w:r>
        <w:rPr>
          <w:b w:val="0"/>
          <w:i w:val="0"/>
        </w:rPr>
        <w:t>.</w:t>
      </w:r>
    </w:p>
    <w:p>
      <w:pPr>
        <w:widowControl/>
      </w:pPr>
      <w:r>
        <w:rPr>
          <w:b w:val="0"/>
          <w:i w:val="0"/>
        </w:rPr>
        <w:t xml:space="preserve">Army / commander / sovereign. The army’s internal order derives from its relation to one leader, illustrating the world’s dependence on one ruling source. References: </w:t>
      </w:r>
      <w:hyperlink w:anchor="passage-ii-13-8">
        <w:r>
          <w:rPr>
            <w:color w:val="000000"/>
          </w:rPr>
          <w:t xml:space="preserve">II.13.8</w:t>
        </w:r>
      </w:hyperlink>
      <w:r>
        <w:rPr>
          <w:b w:val="0"/>
          <w:i w:val="0"/>
        </w:rPr>
        <w:t xml:space="preserve">, </w:t>
      </w:r>
      <w:hyperlink w:anchor="passage-ii-13-9">
        <w:r>
          <w:rPr>
            <w:color w:val="000000"/>
          </w:rPr>
          <w:t xml:space="preserve">II.13.9</w:t>
        </w:r>
      </w:hyperlink>
      <w:r>
        <w:rPr>
          <w:b w:val="0"/>
          <w:i w:val="0"/>
        </w:rPr>
        <w:t xml:space="preserve">. See </w:t>
      </w:r>
      <w:hyperlink w:anchor="army-and-commander">
        <w:r>
          <w:rPr>
            <w:color w:val="000000"/>
          </w:rPr>
          <w:t xml:space="preserve">Army and commander</w:t>
        </w:r>
      </w:hyperlink>
      <w:r>
        <w:rPr>
          <w:b w:val="0"/>
          <w:i w:val="0"/>
        </w:rPr>
        <w:t>.</w:t>
      </w:r>
    </w:p>
    <w:p>
      <w:pPr>
        <w:keepNext/>
        <w:widowControl/>
      </w:pPr>
      <w:bookmarkStart w:id="652" w:name="latin-record-0401"/>
      <w:bookmarkEnd w:id="652"/>
      <w:r>
        <w:rPr>
          <w:b/>
          <w:i w:val="0"/>
        </w:rPr>
        <w:t>exhalatio</w:t>
      </w:r>
      <w:r>
        <w:rPr>
          <w:b/>
          <w:i w:val="0"/>
        </w:rPr>
        <w:t>.</w:t>
      </w:r>
      <w:r>
        <w:rPr>
          <w:b w:val="0"/>
          <w:i w:val="0"/>
        </w:rPr>
        <w:t xml:space="preserve"> Printed forms: </w:t>
      </w:r>
      <w:r>
        <w:rPr>
          <w:b w:val="0"/>
          <w:i/>
        </w:rPr>
        <w:t>exhalationem</w:t>
      </w:r>
      <w:r>
        <w:rPr>
          <w:b w:val="0"/>
          <w:i w:val="0"/>
        </w:rPr>
        <w:t xml:space="preserve">; </w:t>
      </w:r>
      <w:r>
        <w:rPr>
          <w:b w:val="0"/>
          <w:i/>
        </w:rPr>
        <w:t>exhalationibus</w:t>
      </w:r>
      <w:r>
        <w:rPr>
          <w:b w:val="0"/>
          <w:i w:val="0"/>
        </w:rPr>
        <w:t>.</w:t>
      </w:r>
    </w:p>
    <w:p>
      <w:pPr>
        <w:widowControl/>
      </w:pPr>
      <w:r>
        <w:rPr>
          <w:b w:val="0"/>
          <w:i w:val="0"/>
        </w:rPr>
        <w:t xml:space="preserve">Exhalation or vaporous constituent. Water, fire, and earth are invoked to distinguish alleged daemon visibility from tangibility. References: </w:t>
      </w:r>
      <w:hyperlink w:anchor="passage-iv-1-39">
        <w:r>
          <w:rPr>
            <w:color w:val="000000"/>
          </w:rPr>
          <w:t xml:space="preserve">IV.1.39</w:t>
        </w:r>
      </w:hyperlink>
      <w:r>
        <w:rPr>
          <w:b w:val="0"/>
          <w:i w:val="0"/>
        </w:rPr>
        <w:t xml:space="preserve">. See </w:t>
      </w:r>
      <w:hyperlink w:anchor="daemons">
        <w:r>
          <w:rPr>
            <w:color w:val="000000"/>
          </w:rPr>
          <w:t xml:space="preserve">Daemons</w:t>
        </w:r>
      </w:hyperlink>
      <w:r>
        <w:rPr>
          <w:b w:val="0"/>
          <w:i w:val="0"/>
        </w:rPr>
        <w:t>.</w:t>
      </w:r>
    </w:p>
    <w:p>
      <w:pPr>
        <w:keepNext/>
        <w:widowControl/>
      </w:pPr>
      <w:bookmarkStart w:id="653" w:name="latin-record-0402"/>
      <w:bookmarkEnd w:id="653"/>
      <w:r>
        <w:rPr>
          <w:b/>
          <w:i w:val="0"/>
        </w:rPr>
        <w:t>exigere / requirere</w:t>
      </w:r>
      <w:r>
        <w:rPr>
          <w:b/>
          <w:i w:val="0"/>
        </w:rPr>
        <w:t>.</w:t>
      </w:r>
      <w:r>
        <w:rPr>
          <w:b w:val="0"/>
          <w:i w:val="0"/>
        </w:rPr>
        <w:t xml:space="preserve"> Printed forms: </w:t>
      </w:r>
      <w:r>
        <w:rPr>
          <w:b w:val="0"/>
          <w:i/>
        </w:rPr>
        <w:t>exigit</w:t>
      </w:r>
      <w:r>
        <w:rPr>
          <w:b w:val="0"/>
          <w:i w:val="0"/>
        </w:rPr>
        <w:t xml:space="preserve">; </w:t>
      </w:r>
      <w:r>
        <w:rPr>
          <w:b w:val="0"/>
          <w:i/>
        </w:rPr>
        <w:t>requireret</w:t>
      </w:r>
      <w:r>
        <w:rPr>
          <w:b w:val="0"/>
          <w:i w:val="0"/>
        </w:rPr>
        <w:t>.</w:t>
      </w:r>
    </w:p>
    <w:p>
      <w:pPr>
        <w:widowControl/>
      </w:pPr>
      <w:r>
        <w:rPr>
          <w:b w:val="0"/>
          <w:i w:val="0"/>
        </w:rPr>
        <w:t xml:space="preserve">To require or demand a prerequisite. Outward diffusion requires inward preservation in the reported theory; a regress of required choices blocks any beginning. References: </w:t>
      </w:r>
      <w:hyperlink w:anchor="passage-ii-6-19">
        <w:r>
          <w:rPr>
            <w:color w:val="000000"/>
          </w:rPr>
          <w:t xml:space="preserve">II.6.19</w:t>
        </w:r>
      </w:hyperlink>
      <w:r>
        <w:rPr>
          <w:b w:val="0"/>
          <w:i w:val="0"/>
        </w:rPr>
        <w:t xml:space="preserve">, </w:t>
      </w:r>
      <w:hyperlink w:anchor="passage-ii-7-16">
        <w:r>
          <w:rPr>
            <w:color w:val="000000"/>
          </w:rPr>
          <w:t xml:space="preserve">II.7.16</w:t>
        </w:r>
      </w:hyperlink>
      <w:r>
        <w:rPr>
          <w:b w:val="0"/>
          <w:i w:val="0"/>
        </w:rPr>
        <w:t xml:space="preserve">, </w:t>
      </w:r>
      <w:hyperlink w:anchor="passage-ii-8-3">
        <w:r>
          <w:rPr>
            <w:color w:val="000000"/>
          </w:rPr>
          <w:t xml:space="preserve">II.8.3</w:t>
        </w:r>
      </w:hyperlink>
      <w:r>
        <w:rPr>
          <w:b w:val="0"/>
          <w:i w:val="0"/>
        </w:rPr>
        <w:t xml:space="preserve">. See </w:t>
      </w:r>
      <w:hyperlink w:anchor="need-and-sufficiency">
        <w:r>
          <w:rPr>
            <w:color w:val="000000"/>
          </w:rPr>
          <w:t xml:space="preserve">Need and sufficiency</w:t>
        </w:r>
      </w:hyperlink>
      <w:r>
        <w:rPr>
          <w:b w:val="0"/>
          <w:i w:val="0"/>
        </w:rPr>
        <w:t>.</w:t>
      </w:r>
    </w:p>
    <w:p>
      <w:pPr>
        <w:keepNext/>
        <w:widowControl/>
      </w:pPr>
      <w:bookmarkStart w:id="654" w:name="latin-record-0403"/>
      <w:bookmarkEnd w:id="654"/>
      <w:r>
        <w:rPr>
          <w:b/>
          <w:i w:val="0"/>
        </w:rPr>
        <w:t>exigo / condicio</w:t>
      </w:r>
      <w:r>
        <w:rPr>
          <w:b/>
          <w:i w:val="0"/>
        </w:rPr>
        <w:t>.</w:t>
      </w:r>
      <w:r>
        <w:rPr>
          <w:b w:val="0"/>
          <w:i w:val="0"/>
        </w:rPr>
        <w:t xml:space="preserve"> Printed forms: </w:t>
      </w:r>
      <w:r>
        <w:rPr>
          <w:b w:val="0"/>
          <w:i/>
        </w:rPr>
        <w:t>condiciones</w:t>
      </w:r>
      <w:r>
        <w:rPr>
          <w:b w:val="0"/>
          <w:i w:val="0"/>
        </w:rPr>
        <w:t xml:space="preserve">; </w:t>
      </w:r>
      <w:r>
        <w:rPr>
          <w:b w:val="0"/>
          <w:i/>
        </w:rPr>
        <w:t>exiguntur</w:t>
      </w:r>
      <w:r>
        <w:rPr>
          <w:b w:val="0"/>
          <w:i w:val="0"/>
        </w:rPr>
        <w:t>.</w:t>
      </w:r>
    </w:p>
    <w:p>
      <w:pPr>
        <w:widowControl/>
      </w:pPr>
      <w:r>
        <w:rPr>
          <w:b w:val="0"/>
          <w:i w:val="0"/>
        </w:rPr>
        <w:t xml:space="preserve">To require; a condition necessary for an operation. The three stated conditions of perfect natural action structure the case against bodily bulk; the argument is relative to this model of perfection. References: </w:t>
      </w:r>
      <w:hyperlink w:anchor="passage-i-2-2">
        <w:r>
          <w:rPr>
            <w:color w:val="000000"/>
          </w:rPr>
          <w:t xml:space="preserve">I.2.2</w:t>
        </w:r>
      </w:hyperlink>
      <w:r>
        <w:rPr>
          <w:b w:val="0"/>
          <w:i w:val="0"/>
        </w:rPr>
        <w:t xml:space="preserve">, </w:t>
      </w:r>
      <w:hyperlink w:anchor="passage-i-2-3">
        <w:r>
          <w:rPr>
            <w:color w:val="000000"/>
          </w:rPr>
          <w:t xml:space="preserve">I.2.3</w:t>
        </w:r>
      </w:hyperlink>
      <w:r>
        <w:rPr>
          <w:b w:val="0"/>
          <w:i w:val="0"/>
        </w:rPr>
        <w:t xml:space="preserve">. See </w:t>
      </w:r>
      <w:hyperlink w:anchor="perfection">
        <w:r>
          <w:rPr>
            <w:color w:val="000000"/>
          </w:rPr>
          <w:t xml:space="preserve">Perfection</w:t>
        </w:r>
      </w:hyperlink>
      <w:r>
        <w:rPr>
          <w:b w:val="0"/>
          <w:i w:val="0"/>
        </w:rPr>
        <w:t>.</w:t>
      </w:r>
    </w:p>
    <w:p>
      <w:pPr>
        <w:keepNext/>
        <w:widowControl/>
      </w:pPr>
      <w:bookmarkStart w:id="655" w:name="latin-record-0404"/>
      <w:bookmarkEnd w:id="655"/>
      <w:r>
        <w:rPr>
          <w:b/>
          <w:i w:val="0"/>
        </w:rPr>
        <w:t>exilis / exiguus / parvitas</w:t>
      </w:r>
      <w:r>
        <w:rPr>
          <w:b/>
          <w:i w:val="0"/>
        </w:rPr>
        <w:t>.</w:t>
      </w:r>
      <w:r>
        <w:rPr>
          <w:b w:val="0"/>
          <w:i w:val="0"/>
        </w:rPr>
        <w:t xml:space="preserve"> Printed forms: </w:t>
      </w:r>
      <w:r>
        <w:rPr>
          <w:b w:val="0"/>
          <w:i/>
        </w:rPr>
        <w:t>exiguam</w:t>
      </w:r>
      <w:r>
        <w:rPr>
          <w:b w:val="0"/>
          <w:i w:val="0"/>
        </w:rPr>
        <w:t xml:space="preserve">; </w:t>
      </w:r>
      <w:r>
        <w:rPr>
          <w:b w:val="0"/>
          <w:i/>
        </w:rPr>
        <w:t>exilem</w:t>
      </w:r>
      <w:r>
        <w:rPr>
          <w:b w:val="0"/>
          <w:i w:val="0"/>
        </w:rPr>
        <w:t xml:space="preserve">; </w:t>
      </w:r>
      <w:r>
        <w:rPr>
          <w:b w:val="0"/>
          <w:i/>
        </w:rPr>
        <w:t>parvas</w:t>
      </w:r>
      <w:r>
        <w:rPr>
          <w:b w:val="0"/>
          <w:i w:val="0"/>
        </w:rPr>
        <w:t xml:space="preserve">; </w:t>
      </w:r>
      <w:r>
        <w:rPr>
          <w:b w:val="0"/>
          <w:i/>
        </w:rPr>
        <w:t>parvitatem</w:t>
      </w:r>
      <w:r>
        <w:rPr>
          <w:b w:val="0"/>
          <w:i w:val="0"/>
        </w:rPr>
        <w:t xml:space="preserve">; </w:t>
      </w:r>
      <w:r>
        <w:rPr>
          <w:b w:val="0"/>
          <w:i/>
        </w:rPr>
        <w:t>parvum</w:t>
      </w:r>
      <w:r>
        <w:rPr>
          <w:b w:val="0"/>
          <w:i w:val="0"/>
        </w:rPr>
        <w:t>.</w:t>
      </w:r>
    </w:p>
    <w:p>
      <w:pPr>
        <w:widowControl/>
      </w:pPr>
      <w:r>
        <w:rPr>
          <w:b w:val="0"/>
          <w:i w:val="0"/>
        </w:rPr>
        <w:t xml:space="preserve">Slight, small, or littleness. The corporeal fabric has bounded magnitude yet can be divided into ever smaller parts, contrasting with indivisible fullness. References: </w:t>
      </w:r>
      <w:hyperlink w:anchor="passage-ii-6-13">
        <w:r>
          <w:rPr>
            <w:color w:val="000000"/>
          </w:rPr>
          <w:t xml:space="preserve">II.6.13</w:t>
        </w:r>
      </w:hyperlink>
      <w:r>
        <w:rPr>
          <w:b w:val="0"/>
          <w:i w:val="0"/>
        </w:rPr>
        <w:t xml:space="preserve">. See </w:t>
      </w:r>
      <w:hyperlink w:anchor="quantity-and-dimension">
        <w:r>
          <w:rPr>
            <w:color w:val="000000"/>
          </w:rPr>
          <w:t xml:space="preserve">Quantity and dimension</w:t>
        </w:r>
      </w:hyperlink>
      <w:r>
        <w:rPr>
          <w:b w:val="0"/>
          <w:i w:val="0"/>
        </w:rPr>
        <w:t>.</w:t>
      </w:r>
    </w:p>
    <w:p>
      <w:pPr>
        <w:keepNext/>
        <w:widowControl/>
      </w:pPr>
      <w:bookmarkStart w:id="656" w:name="latin-record-0405"/>
      <w:bookmarkEnd w:id="656"/>
      <w:r>
        <w:rPr>
          <w:b/>
          <w:i w:val="0"/>
        </w:rPr>
        <w:t>existimare / opinari / arbitrari</w:t>
      </w:r>
      <w:r>
        <w:rPr>
          <w:b/>
          <w:i w:val="0"/>
        </w:rPr>
        <w:t>.</w:t>
      </w:r>
      <w:r>
        <w:rPr>
          <w:b w:val="0"/>
          <w:i w:val="0"/>
        </w:rPr>
        <w:t xml:space="preserve"> Printed forms: </w:t>
      </w:r>
      <w:r>
        <w:rPr>
          <w:b w:val="0"/>
          <w:i/>
        </w:rPr>
        <w:t>arbitrantur</w:t>
      </w:r>
      <w:r>
        <w:rPr>
          <w:b w:val="0"/>
          <w:i w:val="0"/>
        </w:rPr>
        <w:t xml:space="preserve">; </w:t>
      </w:r>
      <w:r>
        <w:rPr>
          <w:b w:val="0"/>
          <w:i/>
        </w:rPr>
        <w:t>arbitremur</w:t>
      </w:r>
      <w:r>
        <w:rPr>
          <w:b w:val="0"/>
          <w:i w:val="0"/>
        </w:rPr>
        <w:t xml:space="preserve">; </w:t>
      </w:r>
      <w:r>
        <w:rPr>
          <w:b w:val="0"/>
          <w:i/>
        </w:rPr>
        <w:t>existimarunt</w:t>
      </w:r>
      <w:r>
        <w:rPr>
          <w:b w:val="0"/>
          <w:i w:val="0"/>
        </w:rPr>
        <w:t xml:space="preserve">; </w:t>
      </w:r>
      <w:r>
        <w:rPr>
          <w:b w:val="0"/>
          <w:i/>
        </w:rPr>
        <w:t>opinantur</w:t>
      </w:r>
      <w:r>
        <w:rPr>
          <w:b w:val="0"/>
          <w:i w:val="0"/>
        </w:rPr>
        <w:t>.</w:t>
      </w:r>
    </w:p>
    <w:p>
      <w:pPr>
        <w:widowControl/>
      </w:pPr>
      <w:r>
        <w:rPr>
          <w:b w:val="0"/>
          <w:i w:val="0"/>
        </w:rPr>
        <w:t xml:space="preserve">To judge, suppose, or hold an opinion. These verbs mark interpretations or attributed positions, including the rejected independence of world, matter, and mind. References: </w:t>
      </w:r>
      <w:hyperlink w:anchor="passage-ii-2-4">
        <w:r>
          <w:rPr>
            <w:color w:val="000000"/>
          </w:rPr>
          <w:t xml:space="preserve">II.2.4</w:t>
        </w:r>
      </w:hyperlink>
      <w:r>
        <w:rPr>
          <w:b w:val="0"/>
          <w:i w:val="0"/>
        </w:rPr>
        <w:t xml:space="preserve">, </w:t>
      </w:r>
      <w:hyperlink w:anchor="passage-ii-3-1">
        <w:r>
          <w:rPr>
            <w:color w:val="000000"/>
          </w:rPr>
          <w:t xml:space="preserve">II.3.1</w:t>
        </w:r>
      </w:hyperlink>
      <w:r>
        <w:rPr>
          <w:b w:val="0"/>
          <w:i w:val="0"/>
        </w:rPr>
        <w:t xml:space="preserve">, </w:t>
      </w:r>
      <w:hyperlink w:anchor="passage-ii-7-15">
        <w:r>
          <w:rPr>
            <w:color w:val="000000"/>
          </w:rPr>
          <w:t xml:space="preserve">II.7.15</w:t>
        </w:r>
      </w:hyperlink>
      <w:r>
        <w:rPr>
          <w:b w:val="0"/>
          <w:i w:val="0"/>
        </w:rPr>
        <w:t xml:space="preserve">, </w:t>
      </w:r>
      <w:hyperlink w:anchor="passage-ii-10-8">
        <w:r>
          <w:rPr>
            <w:color w:val="000000"/>
          </w:rPr>
          <w:t xml:space="preserve">II.10.8</w:t>
        </w:r>
      </w:hyperlink>
      <w:r>
        <w:rPr>
          <w:b w:val="0"/>
          <w:i w:val="0"/>
        </w:rPr>
        <w:t xml:space="preserve">. See </w:t>
      </w:r>
      <w:hyperlink w:anchor="agreement-and-hypothetical-concession">
        <w:r>
          <w:rPr>
            <w:color w:val="000000"/>
          </w:rPr>
          <w:t xml:space="preserve">Agreement and hypothetical concession</w:t>
        </w:r>
      </w:hyperlink>
      <w:r>
        <w:rPr>
          <w:b w:val="0"/>
          <w:i w:val="0"/>
        </w:rPr>
        <w:t>.</w:t>
      </w:r>
    </w:p>
    <w:p>
      <w:pPr>
        <w:keepNext/>
        <w:widowControl/>
      </w:pPr>
      <w:bookmarkStart w:id="657" w:name="latin-record-0406"/>
      <w:bookmarkEnd w:id="657"/>
      <w:r>
        <w:rPr>
          <w:b/>
          <w:i w:val="0"/>
        </w:rPr>
        <w:t>exordiri / prodire</w:t>
      </w:r>
      <w:r>
        <w:rPr>
          <w:b/>
          <w:i w:val="0"/>
        </w:rPr>
        <w:t>.</w:t>
      </w:r>
      <w:r>
        <w:rPr>
          <w:b w:val="0"/>
          <w:i w:val="0"/>
        </w:rPr>
        <w:t xml:space="preserve"> Printed forms: </w:t>
      </w:r>
      <w:r>
        <w:rPr>
          <w:b w:val="0"/>
          <w:i/>
        </w:rPr>
        <w:t>exordiatur</w:t>
      </w:r>
      <w:r>
        <w:rPr>
          <w:b w:val="0"/>
          <w:i w:val="0"/>
        </w:rPr>
        <w:t xml:space="preserve">; </w:t>
      </w:r>
      <w:r>
        <w:rPr>
          <w:b w:val="0"/>
          <w:i/>
        </w:rPr>
        <w:t>prodiret</w:t>
      </w:r>
      <w:r>
        <w:rPr>
          <w:b w:val="0"/>
          <w:i w:val="0"/>
        </w:rPr>
        <w:t xml:space="preserve">; </w:t>
      </w:r>
      <w:r>
        <w:rPr>
          <w:b w:val="0"/>
          <w:i/>
        </w:rPr>
        <w:t>Prodit</w:t>
      </w:r>
      <w:r>
        <w:rPr>
          <w:b w:val="0"/>
          <w:i w:val="0"/>
        </w:rPr>
        <w:t xml:space="preserve">; </w:t>
      </w:r>
      <w:r>
        <w:rPr>
          <w:b w:val="0"/>
          <w:i/>
        </w:rPr>
        <w:t>prodit</w:t>
      </w:r>
      <w:r>
        <w:rPr>
          <w:b w:val="0"/>
          <w:i w:val="0"/>
        </w:rPr>
        <w:t>.</w:t>
      </w:r>
    </w:p>
    <w:p>
      <w:pPr>
        <w:widowControl/>
      </w:pPr>
      <w:r>
        <w:rPr>
          <w:b w:val="0"/>
          <w:i w:val="0"/>
        </w:rPr>
        <w:t xml:space="preserve">To begin from a source or come forth into being. A first source gives outflow an origin; mind’s coming forth as word remains part of the attributed theory. References: </w:t>
      </w:r>
      <w:hyperlink w:anchor="passage-ii-3-3">
        <w:r>
          <w:rPr>
            <w:color w:val="000000"/>
          </w:rPr>
          <w:t xml:space="preserve">II.3.3</w:t>
        </w:r>
      </w:hyperlink>
      <w:r>
        <w:rPr>
          <w:b w:val="0"/>
          <w:i w:val="0"/>
        </w:rPr>
        <w:t xml:space="preserve">, </w:t>
      </w:r>
      <w:hyperlink w:anchor="passage-ii-3-7">
        <w:r>
          <w:rPr>
            <w:color w:val="000000"/>
          </w:rPr>
          <w:t xml:space="preserve">II.3.7</w:t>
        </w:r>
      </w:hyperlink>
      <w:r>
        <w:rPr>
          <w:b w:val="0"/>
          <w:i w:val="0"/>
        </w:rPr>
        <w:t xml:space="preserve">, </w:t>
      </w:r>
      <w:hyperlink w:anchor="passage-ii-6-20">
        <w:r>
          <w:rPr>
            <w:color w:val="000000"/>
          </w:rPr>
          <w:t xml:space="preserve">II.6.20</w:t>
        </w:r>
      </w:hyperlink>
      <w:r>
        <w:rPr>
          <w:b w:val="0"/>
          <w:i w:val="0"/>
        </w:rPr>
        <w:t xml:space="preserve">, </w:t>
      </w:r>
      <w:hyperlink w:anchor="passage-ii-7-21">
        <w:r>
          <w:rPr>
            <w:color w:val="000000"/>
          </w:rPr>
          <w:t xml:space="preserve">II.7.21</w:t>
        </w:r>
      </w:hyperlink>
      <w:r>
        <w:rPr>
          <w:b w:val="0"/>
          <w:i w:val="0"/>
        </w:rPr>
        <w:t xml:space="preserve">. See </w:t>
      </w:r>
      <w:hyperlink w:anchor="procession-and-return">
        <w:r>
          <w:rPr>
            <w:color w:val="000000"/>
          </w:rPr>
          <w:t xml:space="preserve">Procession and return</w:t>
        </w:r>
      </w:hyperlink>
      <w:r>
        <w:rPr>
          <w:b w:val="0"/>
          <w:i w:val="0"/>
        </w:rPr>
        <w:t>.</w:t>
      </w:r>
    </w:p>
    <w:p>
      <w:pPr>
        <w:keepNext/>
        <w:widowControl/>
      </w:pPr>
      <w:bookmarkStart w:id="658" w:name="latin-record-0407"/>
      <w:bookmarkEnd w:id="658"/>
      <w:r>
        <w:rPr>
          <w:b/>
          <w:i w:val="0"/>
        </w:rPr>
        <w:t>exordium / exordiri</w:t>
      </w:r>
      <w:r>
        <w:rPr>
          <w:b/>
          <w:i w:val="0"/>
        </w:rPr>
        <w:t>.</w:t>
      </w:r>
      <w:r>
        <w:rPr>
          <w:b w:val="0"/>
          <w:i w:val="0"/>
        </w:rPr>
        <w:t xml:space="preserve"> Printed forms: </w:t>
      </w:r>
      <w:r>
        <w:rPr>
          <w:b w:val="0"/>
          <w:i/>
        </w:rPr>
        <w:t>exordium</w:t>
      </w:r>
      <w:r>
        <w:rPr>
          <w:b w:val="0"/>
          <w:i w:val="0"/>
        </w:rPr>
        <w:t>.</w:t>
      </w:r>
    </w:p>
    <w:p>
      <w:pPr>
        <w:widowControl/>
      </w:pPr>
      <w:r>
        <w:rPr>
          <w:b w:val="0"/>
          <w:i w:val="0"/>
        </w:rPr>
        <w:t xml:space="preserve">An origin or starting point. Divisible things take their beginning from indivisible things and end in them; the phrase marks explanatory dependence rather than a demonstrated calendar date. References: </w:t>
      </w:r>
      <w:hyperlink w:anchor="passage-i-3-16">
        <w:r>
          <w:rPr>
            <w:color w:val="000000"/>
          </w:rPr>
          <w:t xml:space="preserve">I.3.16</w:t>
        </w:r>
      </w:hyperlink>
      <w:r>
        <w:rPr>
          <w:b w:val="0"/>
          <w:i w:val="0"/>
        </w:rPr>
        <w:t xml:space="preserve">. See </w:t>
      </w:r>
      <w:hyperlink w:anchor="precedence-and-causal-regress">
        <w:r>
          <w:rPr>
            <w:color w:val="000000"/>
          </w:rPr>
          <w:t xml:space="preserve">Precedence and causal regress</w:t>
        </w:r>
      </w:hyperlink>
      <w:r>
        <w:rPr>
          <w:b w:val="0"/>
          <w:i w:val="0"/>
        </w:rPr>
        <w:t>.</w:t>
      </w:r>
    </w:p>
    <w:p>
      <w:pPr>
        <w:keepNext/>
        <w:widowControl/>
      </w:pPr>
      <w:bookmarkStart w:id="659" w:name="latin-record-0408"/>
      <w:bookmarkEnd w:id="659"/>
      <w:r>
        <w:rPr>
          <w:b/>
          <w:i w:val="0"/>
        </w:rPr>
        <w:t>experiri / edere</w:t>
      </w:r>
      <w:r>
        <w:rPr>
          <w:b/>
          <w:i w:val="0"/>
        </w:rPr>
        <w:t>.</w:t>
      </w:r>
      <w:r>
        <w:rPr>
          <w:b w:val="0"/>
          <w:i w:val="0"/>
        </w:rPr>
        <w:t xml:space="preserve"> Printed forms: </w:t>
      </w:r>
      <w:r>
        <w:rPr>
          <w:b w:val="0"/>
          <w:i/>
        </w:rPr>
        <w:t>edat</w:t>
      </w:r>
      <w:r>
        <w:rPr>
          <w:b w:val="0"/>
          <w:i w:val="0"/>
        </w:rPr>
        <w:t xml:space="preserve">; </w:t>
      </w:r>
      <w:r>
        <w:rPr>
          <w:b w:val="0"/>
          <w:i/>
        </w:rPr>
        <w:t>experiatur</w:t>
      </w:r>
      <w:r>
        <w:rPr>
          <w:b w:val="0"/>
          <w:i w:val="0"/>
        </w:rPr>
        <w:t>.</w:t>
      </w:r>
    </w:p>
    <w:p>
      <w:pPr>
        <w:widowControl/>
      </w:pPr>
      <w:r>
        <w:rPr>
          <w:b w:val="0"/>
          <w:i w:val="0"/>
        </w:rPr>
        <w:t xml:space="preserve">Exercise or test / bring forth. Soul exercises powers inwardly before expressing them in body, distinguishing spiritual from bodily motion. References: </w:t>
      </w:r>
      <w:hyperlink w:anchor="passage-iii-1-26">
        <w:r>
          <w:rPr>
            <w:color w:val="000000"/>
          </w:rPr>
          <w:t xml:space="preserve">III.1.26</w:t>
        </w:r>
      </w:hyperlink>
      <w:r>
        <w:rPr>
          <w:b w:val="0"/>
          <w:i w:val="0"/>
        </w:rPr>
        <w:t xml:space="preserve">. See </w:t>
      </w:r>
      <w:hyperlink w:anchor="intellectual-and-animating-powers">
        <w:r>
          <w:rPr>
            <w:color w:val="000000"/>
          </w:rPr>
          <w:t xml:space="preserve">Intellectual and animating powers</w:t>
        </w:r>
      </w:hyperlink>
      <w:r>
        <w:rPr>
          <w:b w:val="0"/>
          <w:i w:val="0"/>
        </w:rPr>
        <w:t>.</w:t>
      </w:r>
    </w:p>
    <w:p>
      <w:pPr>
        <w:keepNext/>
        <w:widowControl/>
      </w:pPr>
      <w:bookmarkStart w:id="660" w:name="latin-record-0409"/>
      <w:bookmarkEnd w:id="660"/>
      <w:r>
        <w:rPr>
          <w:b/>
          <w:i w:val="0"/>
        </w:rPr>
        <w:t>expetere / desiderare</w:t>
      </w:r>
      <w:r>
        <w:rPr>
          <w:b/>
          <w:i w:val="0"/>
        </w:rPr>
        <w:t>.</w:t>
      </w:r>
      <w:r>
        <w:rPr>
          <w:b w:val="0"/>
          <w:i w:val="0"/>
        </w:rPr>
        <w:t xml:space="preserve"> Printed forms: </w:t>
      </w:r>
      <w:r>
        <w:rPr>
          <w:b w:val="0"/>
          <w:i/>
        </w:rPr>
        <w:t>desideratur</w:t>
      </w:r>
      <w:r>
        <w:rPr>
          <w:b w:val="0"/>
          <w:i w:val="0"/>
        </w:rPr>
        <w:t xml:space="preserve">; </w:t>
      </w:r>
      <w:r>
        <w:rPr>
          <w:b w:val="0"/>
          <w:i/>
        </w:rPr>
        <w:t>expetendaque</w:t>
      </w:r>
      <w:r>
        <w:rPr>
          <w:b w:val="0"/>
          <w:i w:val="0"/>
        </w:rPr>
        <w:t xml:space="preserve">; </w:t>
      </w:r>
      <w:r>
        <w:rPr>
          <w:b w:val="0"/>
          <w:i/>
        </w:rPr>
        <w:t>expetunt</w:t>
      </w:r>
      <w:r>
        <w:rPr>
          <w:b w:val="0"/>
          <w:i w:val="0"/>
        </w:rPr>
        <w:t>.</w:t>
      </w:r>
    </w:p>
    <w:p>
      <w:pPr>
        <w:widowControl/>
      </w:pPr>
      <w:r>
        <w:rPr>
          <w:b w:val="0"/>
          <w:i w:val="0"/>
        </w:rPr>
        <w:t xml:space="preserve">To seek or desire something considered good. Existence, life, and knowledge are desirable; seeking beyond goodness would contradict the stated ground of desire. References: </w:t>
      </w:r>
      <w:hyperlink w:anchor="passage-ii-1-6">
        <w:r>
          <w:rPr>
            <w:color w:val="000000"/>
          </w:rPr>
          <w:t xml:space="preserve">II.1.6</w:t>
        </w:r>
      </w:hyperlink>
      <w:r>
        <w:rPr>
          <w:b w:val="0"/>
          <w:i w:val="0"/>
        </w:rPr>
        <w:t xml:space="preserve">, </w:t>
      </w:r>
      <w:hyperlink w:anchor="passage-ii-2-15">
        <w:r>
          <w:rPr>
            <w:color w:val="000000"/>
          </w:rPr>
          <w:t xml:space="preserve">II.2.15</w:t>
        </w:r>
      </w:hyperlink>
      <w:r>
        <w:rPr>
          <w:b w:val="0"/>
          <w:i w:val="0"/>
        </w:rPr>
        <w:t xml:space="preserve">, </w:t>
      </w:r>
      <w:hyperlink w:anchor="passage-ii-6-10">
        <w:r>
          <w:rPr>
            <w:color w:val="000000"/>
          </w:rPr>
          <w:t xml:space="preserve">II.6.10</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661" w:name="latin-record-0410"/>
      <w:bookmarkEnd w:id="661"/>
      <w:r>
        <w:rPr>
          <w:b/>
          <w:i w:val="0"/>
        </w:rPr>
        <w:t>exprimere / referre</w:t>
      </w:r>
      <w:r>
        <w:rPr>
          <w:b/>
          <w:i w:val="0"/>
        </w:rPr>
        <w:t>.</w:t>
      </w:r>
      <w:r>
        <w:rPr>
          <w:b w:val="0"/>
          <w:i w:val="0"/>
        </w:rPr>
        <w:t xml:space="preserve"> Printed forms: </w:t>
      </w:r>
      <w:r>
        <w:rPr>
          <w:b w:val="0"/>
          <w:i/>
        </w:rPr>
        <w:t>exprimatur</w:t>
      </w:r>
      <w:r>
        <w:rPr>
          <w:b w:val="0"/>
          <w:i w:val="0"/>
        </w:rPr>
        <w:t xml:space="preserve">; </w:t>
      </w:r>
      <w:r>
        <w:rPr>
          <w:b w:val="0"/>
          <w:i/>
        </w:rPr>
        <w:t>referatque</w:t>
      </w:r>
      <w:r>
        <w:rPr>
          <w:b w:val="0"/>
          <w:i w:val="0"/>
        </w:rPr>
        <w:t>.</w:t>
      </w:r>
    </w:p>
    <w:p>
      <w:pPr>
        <w:widowControl/>
      </w:pPr>
      <w:r>
        <w:rPr>
          <w:b w:val="0"/>
          <w:i w:val="0"/>
        </w:rPr>
        <w:t xml:space="preserve">Represent or reproduce. The painter’s soul determines the successive manner in which the meadow’s different plants are represented. References: </w:t>
      </w:r>
      <w:hyperlink w:anchor="passage-iii-1-29">
        <w:r>
          <w:rPr>
            <w:color w:val="000000"/>
          </w:rPr>
          <w:t xml:space="preserve">III.1.29</w:t>
        </w:r>
      </w:hyperlink>
      <w:r>
        <w:rPr>
          <w:b w:val="0"/>
          <w:i w:val="0"/>
        </w:rPr>
        <w:t xml:space="preserve">. See </w:t>
      </w:r>
      <w:hyperlink w:anchor="apelles-and-the-meadow">
        <w:r>
          <w:rPr>
            <w:color w:val="000000"/>
          </w:rPr>
          <w:t xml:space="preserve">Apelles and the meadow</w:t>
        </w:r>
      </w:hyperlink>
      <w:r>
        <w:rPr>
          <w:b w:val="0"/>
          <w:i w:val="0"/>
        </w:rPr>
        <w:t>.</w:t>
      </w:r>
    </w:p>
    <w:p>
      <w:pPr>
        <w:keepNext/>
        <w:widowControl/>
      </w:pPr>
      <w:bookmarkStart w:id="662" w:name="latin-record-0411"/>
      <w:bookmarkEnd w:id="662"/>
      <w:r>
        <w:rPr>
          <w:b/>
          <w:i w:val="0"/>
        </w:rPr>
        <w:t>expugnare / repugnare</w:t>
      </w:r>
      <w:r>
        <w:rPr>
          <w:b/>
          <w:i w:val="0"/>
        </w:rPr>
        <w:t>.</w:t>
      </w:r>
      <w:r>
        <w:rPr>
          <w:b w:val="0"/>
          <w:i w:val="0"/>
        </w:rPr>
        <w:t xml:space="preserve"> Printed forms: </w:t>
      </w:r>
      <w:r>
        <w:rPr>
          <w:b w:val="0"/>
          <w:i/>
        </w:rPr>
        <w:t>expugnat</w:t>
      </w:r>
      <w:r>
        <w:rPr>
          <w:b w:val="0"/>
          <w:i w:val="0"/>
        </w:rPr>
        <w:t xml:space="preserve">; </w:t>
      </w:r>
      <w:r>
        <w:rPr>
          <w:b w:val="0"/>
          <w:i/>
        </w:rPr>
        <w:t>repugnat</w:t>
      </w:r>
      <w:r>
        <w:rPr>
          <w:b w:val="0"/>
          <w:i w:val="0"/>
        </w:rPr>
        <w:t>.</w:t>
      </w:r>
    </w:p>
    <w:p>
      <w:pPr>
        <w:widowControl/>
      </w:pPr>
      <w:r>
        <w:rPr>
          <w:b w:val="0"/>
          <w:i w:val="0"/>
        </w:rPr>
        <w:t xml:space="preserve">To overcome by assault or to resist. Immunity from efficacious qualitative change is taken to imply the easier freedom from dimensional obstruction. References: </w:t>
      </w:r>
      <w:hyperlink w:anchor="passage-ii-6-18">
        <w:r>
          <w:rPr>
            <w:color w:val="000000"/>
          </w:rPr>
          <w:t xml:space="preserve">II.6.18</w:t>
        </w:r>
      </w:hyperlink>
      <w:r>
        <w:rPr>
          <w:b w:val="0"/>
          <w:i w:val="0"/>
        </w:rPr>
        <w:t xml:space="preserve">, </w:t>
      </w:r>
      <w:hyperlink w:anchor="passage-ii-6-19">
        <w:r>
          <w:rPr>
            <w:color w:val="000000"/>
          </w:rPr>
          <w:t xml:space="preserve">II.6.19</w:t>
        </w:r>
      </w:hyperlink>
      <w:r>
        <w:rPr>
          <w:b w:val="0"/>
          <w:i w:val="0"/>
        </w:rPr>
        <w:t xml:space="preserve">. See </w:t>
      </w:r>
      <w:hyperlink w:anchor="touch-and-penetration">
        <w:r>
          <w:rPr>
            <w:color w:val="000000"/>
          </w:rPr>
          <w:t xml:space="preserve">Touch and penetration</w:t>
        </w:r>
      </w:hyperlink>
      <w:r>
        <w:rPr>
          <w:b w:val="0"/>
          <w:i w:val="0"/>
        </w:rPr>
        <w:t>.</w:t>
      </w:r>
    </w:p>
    <w:p>
      <w:pPr>
        <w:keepNext/>
        <w:widowControl/>
      </w:pPr>
      <w:bookmarkStart w:id="663" w:name="latin-record-0412"/>
      <w:bookmarkEnd w:id="663"/>
      <w:r>
        <w:rPr>
          <w:b/>
          <w:i w:val="0"/>
        </w:rPr>
        <w:t>extendere / extensio</w:t>
      </w:r>
      <w:r>
        <w:rPr>
          <w:b/>
          <w:i w:val="0"/>
        </w:rPr>
        <w:t>.</w:t>
      </w:r>
      <w:r>
        <w:rPr>
          <w:b w:val="0"/>
          <w:i w:val="0"/>
        </w:rPr>
        <w:t xml:space="preserve"> Printed forms: </w:t>
      </w:r>
      <w:r>
        <w:rPr>
          <w:b w:val="0"/>
          <w:i/>
        </w:rPr>
        <w:t>extendere</w:t>
      </w:r>
      <w:r>
        <w:rPr>
          <w:b w:val="0"/>
          <w:i w:val="0"/>
        </w:rPr>
        <w:t xml:space="preserve">; </w:t>
      </w:r>
      <w:r>
        <w:rPr>
          <w:b w:val="0"/>
          <w:i/>
        </w:rPr>
        <w:t>extendit</w:t>
      </w:r>
      <w:r>
        <w:rPr>
          <w:b w:val="0"/>
          <w:i w:val="0"/>
        </w:rPr>
        <w:t xml:space="preserve">; </w:t>
      </w:r>
      <w:r>
        <w:rPr>
          <w:b w:val="0"/>
          <w:i/>
        </w:rPr>
        <w:t>extenditur</w:t>
      </w:r>
      <w:r>
        <w:rPr>
          <w:b w:val="0"/>
          <w:i w:val="0"/>
        </w:rPr>
        <w:t>.</w:t>
      </w:r>
    </w:p>
    <w:p>
      <w:pPr>
        <w:widowControl/>
      </w:pPr>
      <w:r>
        <w:rPr>
          <w:b w:val="0"/>
          <w:i w:val="0"/>
        </w:rPr>
        <w:t xml:space="preserve">To extend in power, operation, thought, or space. The object determines the mode: divine knowledge extends with operation, while the world’s extension is finite. References: </w:t>
      </w:r>
      <w:hyperlink w:anchor="passage-ii-4-4">
        <w:r>
          <w:rPr>
            <w:color w:val="000000"/>
          </w:rPr>
          <w:t xml:space="preserve">II.4.4</w:t>
        </w:r>
      </w:hyperlink>
      <w:r>
        <w:rPr>
          <w:b w:val="0"/>
          <w:i w:val="0"/>
        </w:rPr>
        <w:t xml:space="preserve">, </w:t>
      </w:r>
      <w:hyperlink w:anchor="passage-ii-6-14">
        <w:r>
          <w:rPr>
            <w:color w:val="000000"/>
          </w:rPr>
          <w:t xml:space="preserve">II.6.14</w:t>
        </w:r>
      </w:hyperlink>
      <w:r>
        <w:rPr>
          <w:b w:val="0"/>
          <w:i w:val="0"/>
        </w:rPr>
        <w:t xml:space="preserve">, </w:t>
      </w:r>
      <w:hyperlink w:anchor="passage-ii-9-13">
        <w:r>
          <w:rPr>
            <w:color w:val="000000"/>
          </w:rPr>
          <w:t xml:space="preserve">II.9.13</w:t>
        </w:r>
      </w:hyperlink>
      <w:r>
        <w:rPr>
          <w:b w:val="0"/>
          <w:i w:val="0"/>
        </w:rPr>
        <w:t xml:space="preserve">, </w:t>
      </w:r>
      <w:hyperlink w:anchor="passage-ii-10-2">
        <w:r>
          <w:rPr>
            <w:color w:val="000000"/>
          </w:rPr>
          <w:t xml:space="preserve">II.10.2</w:t>
        </w:r>
      </w:hyperlink>
      <w:r>
        <w:rPr>
          <w:b w:val="0"/>
          <w:i w:val="0"/>
        </w:rPr>
        <w:t xml:space="preserve">. See </w:t>
      </w:r>
      <w:hyperlink w:anchor="omnipresence-and-place">
        <w:r>
          <w:rPr>
            <w:color w:val="000000"/>
          </w:rPr>
          <w:t xml:space="preserve">Omnipresence and place</w:t>
        </w:r>
      </w:hyperlink>
      <w:r>
        <w:rPr>
          <w:b w:val="0"/>
          <w:i w:val="0"/>
        </w:rPr>
        <w:t>.</w:t>
      </w:r>
    </w:p>
    <w:p>
      <w:pPr>
        <w:keepNext/>
        <w:widowControl/>
      </w:pPr>
      <w:bookmarkStart w:id="664" w:name="latin-record-0413"/>
      <w:bookmarkEnd w:id="664"/>
      <w:r>
        <w:rPr>
          <w:b/>
          <w:i w:val="0"/>
        </w:rPr>
        <w:t>extendo / extensio</w:t>
      </w:r>
      <w:r>
        <w:rPr>
          <w:b/>
          <w:i w:val="0"/>
        </w:rPr>
        <w:t>.</w:t>
      </w:r>
      <w:r>
        <w:rPr>
          <w:b w:val="0"/>
          <w:i w:val="0"/>
        </w:rPr>
        <w:t xml:space="preserve"> Printed forms: </w:t>
      </w:r>
      <w:r>
        <w:rPr>
          <w:b w:val="0"/>
          <w:i/>
        </w:rPr>
        <w:t>extendi</w:t>
      </w:r>
      <w:r>
        <w:rPr>
          <w:b w:val="0"/>
          <w:i w:val="0"/>
        </w:rPr>
        <w:t xml:space="preserve">; </w:t>
      </w:r>
      <w:r>
        <w:rPr>
          <w:b w:val="0"/>
          <w:i/>
        </w:rPr>
        <w:t>extendit</w:t>
      </w:r>
      <w:r>
        <w:rPr>
          <w:b w:val="0"/>
          <w:i w:val="0"/>
        </w:rPr>
        <w:t xml:space="preserve">; </w:t>
      </w:r>
      <w:r>
        <w:rPr>
          <w:b w:val="0"/>
          <w:i/>
        </w:rPr>
        <w:t>extenditur</w:t>
      </w:r>
      <w:r>
        <w:rPr>
          <w:b w:val="0"/>
          <w:i w:val="0"/>
        </w:rPr>
        <w:t xml:space="preserve">; </w:t>
      </w:r>
      <w:r>
        <w:rPr>
          <w:b w:val="0"/>
          <w:i/>
        </w:rPr>
        <w:t>extensio</w:t>
      </w:r>
      <w:r>
        <w:rPr>
          <w:b w:val="0"/>
          <w:i w:val="0"/>
        </w:rPr>
        <w:t>.</w:t>
      </w:r>
    </w:p>
    <w:p>
      <w:pPr>
        <w:widowControl/>
      </w:pPr>
      <w:r>
        <w:rPr>
          <w:b w:val="0"/>
          <w:i w:val="0"/>
        </w:rPr>
        <w:t xml:space="preserve">To extend; extension. Receiving extension differs from actively extending something; the latter is assigned to a cause that need not itself be dimensioned. References: </w:t>
      </w:r>
      <w:hyperlink w:anchor="passage-i-2-1">
        <w:r>
          <w:rPr>
            <w:color w:val="000000"/>
          </w:rPr>
          <w:t xml:space="preserve">I.2.1</w:t>
        </w:r>
      </w:hyperlink>
      <w:r>
        <w:rPr>
          <w:b w:val="0"/>
          <w:i w:val="0"/>
        </w:rPr>
        <w:t xml:space="preserve">, </w:t>
      </w:r>
      <w:hyperlink w:anchor="passage-i-3-29">
        <w:r>
          <w:rPr>
            <w:color w:val="000000"/>
          </w:rPr>
          <w:t xml:space="preserve">I.3.29</w:t>
        </w:r>
      </w:hyperlink>
      <w:r>
        <w:rPr>
          <w:b w:val="0"/>
          <w:i w:val="0"/>
        </w:rPr>
        <w:t xml:space="preserve">. See </w:t>
      </w:r>
      <w:hyperlink w:anchor="proclus-syrianus-and-extending-matter">
        <w:r>
          <w:rPr>
            <w:color w:val="000000"/>
          </w:rPr>
          <w:t xml:space="preserve">Proclus, Syrianus and extending matter</w:t>
        </w:r>
      </w:hyperlink>
      <w:r>
        <w:rPr>
          <w:b w:val="0"/>
          <w:i w:val="0"/>
        </w:rPr>
        <w:t>.</w:t>
      </w:r>
    </w:p>
    <w:p>
      <w:pPr>
        <w:keepNext/>
        <w:widowControl/>
      </w:pPr>
      <w:bookmarkStart w:id="665" w:name="latin-record-0414"/>
      <w:bookmarkEnd w:id="665"/>
      <w:r>
        <w:rPr>
          <w:b/>
          <w:i w:val="0"/>
        </w:rPr>
        <w:t>exterior / externus</w:t>
      </w:r>
      <w:r>
        <w:rPr>
          <w:b/>
          <w:i w:val="0"/>
        </w:rPr>
        <w:t>.</w:t>
      </w:r>
      <w:r>
        <w:rPr>
          <w:b w:val="0"/>
          <w:i w:val="0"/>
        </w:rPr>
        <w:t xml:space="preserve"> Printed forms: </w:t>
      </w:r>
      <w:r>
        <w:rPr>
          <w:b w:val="0"/>
          <w:i/>
        </w:rPr>
        <w:t>externa</w:t>
      </w:r>
      <w:r>
        <w:rPr>
          <w:b w:val="0"/>
          <w:i w:val="0"/>
        </w:rPr>
        <w:t xml:space="preserve">; </w:t>
      </w:r>
      <w:r>
        <w:rPr>
          <w:b w:val="0"/>
          <w:i/>
        </w:rPr>
        <w:t>externam</w:t>
      </w:r>
      <w:r>
        <w:rPr>
          <w:b w:val="0"/>
          <w:i w:val="0"/>
        </w:rPr>
        <w:t>.</w:t>
      </w:r>
    </w:p>
    <w:p>
      <w:pPr>
        <w:widowControl/>
      </w:pPr>
      <w:r>
        <w:rPr>
          <w:b w:val="0"/>
          <w:i w:val="0"/>
        </w:rPr>
        <w:t xml:space="preserve">External in relation to an agent, its object, or its source of completion. External matter contrasts with immanent operation; external objects cannot perfect divine self-knowledge. References: </w:t>
      </w:r>
      <w:hyperlink w:anchor="passage-ii-7-16">
        <w:r>
          <w:rPr>
            <w:color w:val="000000"/>
          </w:rPr>
          <w:t xml:space="preserve">II.7.16</w:t>
        </w:r>
      </w:hyperlink>
      <w:r>
        <w:rPr>
          <w:b w:val="0"/>
          <w:i w:val="0"/>
        </w:rPr>
        <w:t xml:space="preserve">, </w:t>
      </w:r>
      <w:hyperlink w:anchor="passage-ii-9-5">
        <w:r>
          <w:rPr>
            <w:color w:val="000000"/>
          </w:rPr>
          <w:t xml:space="preserve">II.9.5</w:t>
        </w:r>
      </w:hyperlink>
      <w:r>
        <w:rPr>
          <w:b w:val="0"/>
          <w:i w:val="0"/>
        </w:rPr>
        <w:t xml:space="preserve">, </w:t>
      </w:r>
      <w:hyperlink w:anchor="passage-ii-9-9">
        <w:r>
          <w:rPr>
            <w:color w:val="000000"/>
          </w:rPr>
          <w:t xml:space="preserve">II.9.9</w:t>
        </w:r>
      </w:hyperlink>
      <w:r>
        <w:rPr>
          <w:b w:val="0"/>
          <w:i w:val="0"/>
        </w:rPr>
        <w:t xml:space="preserve">. See </w:t>
      </w:r>
      <w:hyperlink w:anchor="object-and-adequate-object">
        <w:r>
          <w:rPr>
            <w:color w:val="000000"/>
          </w:rPr>
          <w:t xml:space="preserve">Object and adequate object</w:t>
        </w:r>
      </w:hyperlink>
      <w:r>
        <w:rPr>
          <w:b w:val="0"/>
          <w:i w:val="0"/>
        </w:rPr>
        <w:t>.</w:t>
      </w:r>
    </w:p>
    <w:p>
      <w:pPr>
        <w:keepNext/>
        <w:widowControl/>
      </w:pPr>
      <w:bookmarkStart w:id="666" w:name="latin-record-0415"/>
      <w:bookmarkEnd w:id="666"/>
      <w:r>
        <w:rPr>
          <w:b/>
          <w:i w:val="0"/>
        </w:rPr>
        <w:t>extinguo / remotus</w:t>
      </w:r>
      <w:r>
        <w:rPr>
          <w:b/>
          <w:i w:val="0"/>
        </w:rPr>
        <w:t>.</w:t>
      </w:r>
      <w:r>
        <w:rPr>
          <w:b w:val="0"/>
          <w:i w:val="0"/>
        </w:rPr>
        <w:t xml:space="preserve"> Printed forms: </w:t>
      </w:r>
      <w:r>
        <w:rPr>
          <w:b w:val="0"/>
          <w:i/>
        </w:rPr>
        <w:t>extinctus</w:t>
      </w:r>
      <w:r>
        <w:rPr>
          <w:b w:val="0"/>
          <w:i w:val="0"/>
        </w:rPr>
        <w:t xml:space="preserve">; </w:t>
      </w:r>
      <w:r>
        <w:rPr>
          <w:b w:val="0"/>
          <w:i/>
        </w:rPr>
        <w:t>remotissimus</w:t>
      </w:r>
      <w:r>
        <w:rPr>
          <w:b w:val="0"/>
          <w:i w:val="0"/>
        </w:rPr>
        <w:t>.</w:t>
      </w:r>
    </w:p>
    <w:p>
      <w:pPr>
        <w:widowControl/>
      </w:pPr>
      <w:r>
        <w:rPr>
          <w:b w:val="0"/>
          <w:i w:val="0"/>
        </w:rPr>
        <w:t xml:space="preserve">Extinguished and very distant. The producer’s possible extinction or distance blocks treating it as the sufficient continuing higher cause of the present fire’s operation. References: </w:t>
      </w:r>
      <w:hyperlink w:anchor="passage-i-3-9">
        <w:r>
          <w:rPr>
            <w:color w:val="000000"/>
          </w:rPr>
          <w:t xml:space="preserve">I.3.9</w:t>
        </w:r>
      </w:hyperlink>
      <w:r>
        <w:rPr>
          <w:b w:val="0"/>
          <w:i w:val="0"/>
        </w:rPr>
        <w:t xml:space="preserve">. See </w:t>
      </w:r>
      <w:hyperlink w:anchor="precedence-and-causal-regress">
        <w:r>
          <w:rPr>
            <w:color w:val="000000"/>
          </w:rPr>
          <w:t xml:space="preserve">Precedence and causal regress</w:t>
        </w:r>
      </w:hyperlink>
      <w:r>
        <w:rPr>
          <w:b w:val="0"/>
          <w:i w:val="0"/>
        </w:rPr>
        <w:t>.</w:t>
      </w:r>
    </w:p>
    <w:p>
      <w:pPr>
        <w:keepNext/>
        <w:widowControl/>
      </w:pPr>
      <w:bookmarkStart w:id="667" w:name="latin-record-0416"/>
      <w:bookmarkEnd w:id="667"/>
      <w:r>
        <w:rPr>
          <w:b/>
          <w:i w:val="0"/>
        </w:rPr>
        <w:t>extra / intus</w:t>
      </w:r>
      <w:r>
        <w:rPr>
          <w:b/>
          <w:i w:val="0"/>
        </w:rPr>
        <w:t>.</w:t>
      </w:r>
      <w:r>
        <w:rPr>
          <w:b w:val="0"/>
          <w:i w:val="0"/>
        </w:rPr>
        <w:t xml:space="preserve"> Printed forms: </w:t>
      </w:r>
      <w:r>
        <w:rPr>
          <w:b w:val="0"/>
          <w:i/>
        </w:rPr>
        <w:t>extra</w:t>
      </w:r>
      <w:r>
        <w:rPr>
          <w:b w:val="0"/>
          <w:i w:val="0"/>
        </w:rPr>
        <w:t xml:space="preserve">; </w:t>
      </w:r>
      <w:r>
        <w:rPr>
          <w:b w:val="0"/>
          <w:i/>
        </w:rPr>
        <w:t>intus</w:t>
      </w:r>
      <w:r>
        <w:rPr>
          <w:b w:val="0"/>
          <w:i w:val="0"/>
        </w:rPr>
        <w:t>.</w:t>
      </w:r>
    </w:p>
    <w:p>
      <w:pPr>
        <w:widowControl/>
      </w:pPr>
      <w:r>
        <w:rPr>
          <w:b w:val="0"/>
          <w:i w:val="0"/>
        </w:rPr>
        <w:t xml:space="preserve">Outside and within, here relative to mind. The alternative locations of the truer form both support its presence in the world, since the mind itself belongs to the world. References: </w:t>
      </w:r>
      <w:hyperlink w:anchor="passage-i-3-2">
        <w:r>
          <w:rPr>
            <w:color w:val="000000"/>
          </w:rPr>
          <w:t xml:space="preserve">I.3.2</w:t>
        </w:r>
      </w:hyperlink>
      <w:r>
        <w:rPr>
          <w:b w:val="0"/>
          <w:i w:val="0"/>
        </w:rPr>
        <w:t xml:space="preserve">. See </w:t>
      </w:r>
      <w:hyperlink w:anchor="truth">
        <w:r>
          <w:rPr>
            <w:color w:val="000000"/>
          </w:rPr>
          <w:t xml:space="preserve">Truth</w:t>
        </w:r>
      </w:hyperlink>
      <w:r>
        <w:rPr>
          <w:b w:val="0"/>
          <w:i w:val="0"/>
        </w:rPr>
        <w:t>.</w:t>
      </w:r>
    </w:p>
    <w:p>
      <w:pPr>
        <w:keepNext/>
        <w:widowControl/>
      </w:pPr>
      <w:bookmarkStart w:id="668" w:name="latin-record-0417"/>
      <w:bookmarkEnd w:id="668"/>
      <w:r>
        <w:rPr>
          <w:b/>
          <w:i w:val="0"/>
        </w:rPr>
        <w:t>extremum</w:t>
      </w:r>
      <w:r>
        <w:rPr>
          <w:b/>
          <w:i w:val="0"/>
        </w:rPr>
        <w:t>.</w:t>
      </w:r>
      <w:r>
        <w:rPr>
          <w:b w:val="0"/>
          <w:i w:val="0"/>
        </w:rPr>
        <w:t xml:space="preserve"> Printed forms: </w:t>
      </w:r>
      <w:r>
        <w:rPr>
          <w:b w:val="0"/>
          <w:i/>
        </w:rPr>
        <w:t>extrema</w:t>
      </w:r>
      <w:r>
        <w:rPr>
          <w:b w:val="0"/>
          <w:i w:val="0"/>
        </w:rPr>
        <w:t>.</w:t>
      </w:r>
    </w:p>
    <w:p>
      <w:pPr>
        <w:widowControl/>
      </w:pPr>
      <w:r>
        <w:rPr>
          <w:b w:val="0"/>
          <w:i w:val="0"/>
        </w:rPr>
        <w:t xml:space="preserve">Extreme or endpoint of an ordered range. God and body are the opposite grades; soul is needed to link them while retaining both relations. References: </w:t>
      </w:r>
      <w:hyperlink w:anchor="passage-iii-2-7">
        <w:r>
          <w:rPr>
            <w:color w:val="000000"/>
          </w:rPr>
          <w:t xml:space="preserve">III.2.7</w:t>
        </w:r>
      </w:hyperlink>
      <w:r>
        <w:rPr>
          <w:b w:val="0"/>
          <w:i w:val="0"/>
        </w:rPr>
        <w:t xml:space="preserve">, </w:t>
      </w:r>
      <w:hyperlink w:anchor="passage-iii-2-8">
        <w:r>
          <w:rPr>
            <w:color w:val="000000"/>
          </w:rPr>
          <w:t xml:space="preserve">III.2.8</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669" w:name="latin-record-0418"/>
      <w:bookmarkEnd w:id="669"/>
      <w:r>
        <w:rPr>
          <w:b/>
          <w:i w:val="0"/>
        </w:rPr>
        <w:t>extremum sine medio</w:t>
      </w:r>
      <w:r>
        <w:rPr>
          <w:b/>
          <w:i w:val="0"/>
        </w:rPr>
        <w:t>.</w:t>
      </w:r>
      <w:r>
        <w:rPr>
          <w:b w:val="0"/>
          <w:i w:val="0"/>
        </w:rPr>
        <w:t xml:space="preserve"> Printed forms: </w:t>
      </w:r>
      <w:r>
        <w:rPr>
          <w:b w:val="0"/>
          <w:i/>
        </w:rPr>
        <w:t>extremo</w:t>
      </w:r>
      <w:r>
        <w:rPr>
          <w:b w:val="0"/>
          <w:i w:val="0"/>
        </w:rPr>
        <w:t xml:space="preserve">; </w:t>
      </w:r>
      <w:r>
        <w:rPr>
          <w:b w:val="0"/>
          <w:i/>
        </w:rPr>
        <w:t>extremum</w:t>
      </w:r>
      <w:r>
        <w:rPr>
          <w:b w:val="0"/>
          <w:i w:val="0"/>
        </w:rPr>
        <w:t xml:space="preserve">; </w:t>
      </w:r>
      <w:r>
        <w:rPr>
          <w:b w:val="0"/>
          <w:i/>
        </w:rPr>
        <w:t>sine medio</w:t>
      </w:r>
      <w:r>
        <w:rPr>
          <w:b w:val="0"/>
          <w:i w:val="0"/>
        </w:rPr>
        <w:t>.</w:t>
      </w:r>
    </w:p>
    <w:p>
      <w:pPr>
        <w:widowControl/>
      </w:pPr>
      <w:r>
        <w:rPr>
          <w:b w:val="0"/>
          <w:i w:val="0"/>
        </w:rPr>
        <w:t xml:space="preserve">An extreme and transition without an intermediate. Averroes’s reported celestial form has dimension without matter to mediate material and divine forms; Ficino then advances his own inference beyond quantity. References: </w:t>
      </w:r>
      <w:hyperlink w:anchor="passage-i-3-27">
        <w:r>
          <w:rPr>
            <w:color w:val="000000"/>
          </w:rPr>
          <w:t xml:space="preserve">I.3.27</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670" w:name="latin-record-0419"/>
      <w:bookmarkEnd w:id="670"/>
      <w:r>
        <w:rPr>
          <w:b/>
          <w:i w:val="0"/>
        </w:rPr>
        <w:t>extrinsecus / aliunde</w:t>
      </w:r>
      <w:r>
        <w:rPr>
          <w:b/>
          <w:i w:val="0"/>
        </w:rPr>
        <w:t>.</w:t>
      </w:r>
      <w:r>
        <w:rPr>
          <w:b w:val="0"/>
          <w:i w:val="0"/>
        </w:rPr>
        <w:t xml:space="preserve"> Printed forms: </w:t>
      </w:r>
      <w:r>
        <w:rPr>
          <w:b w:val="0"/>
          <w:i/>
        </w:rPr>
        <w:t>aliunde</w:t>
      </w:r>
      <w:r>
        <w:rPr>
          <w:b w:val="0"/>
          <w:i w:val="0"/>
        </w:rPr>
        <w:t xml:space="preserve">; </w:t>
      </w:r>
      <w:r>
        <w:rPr>
          <w:b w:val="0"/>
          <w:i/>
        </w:rPr>
        <w:t>extrinseco</w:t>
      </w:r>
      <w:r>
        <w:rPr>
          <w:b w:val="0"/>
          <w:i w:val="0"/>
        </w:rPr>
        <w:t xml:space="preserve">; </w:t>
      </w:r>
      <w:r>
        <w:rPr>
          <w:b w:val="0"/>
          <w:i/>
        </w:rPr>
        <w:t>extrinsecus</w:t>
      </w:r>
      <w:r>
        <w:rPr>
          <w:b w:val="0"/>
          <w:i w:val="0"/>
        </w:rPr>
        <w:t>.</w:t>
      </w:r>
    </w:p>
    <w:p>
      <w:pPr>
        <w:widowControl/>
      </w:pPr>
      <w:r>
        <w:rPr>
          <w:b w:val="0"/>
          <w:i w:val="0"/>
        </w:rPr>
        <w:t xml:space="preserve">From outside or elsewhere, marking an origin beyond the thing itself. An externally obtained proper nature excludes being necessary and self-sufficient through oneself. References: </w:t>
      </w:r>
      <w:hyperlink w:anchor="passage-ii-2-4">
        <w:r>
          <w:rPr>
            <w:color w:val="000000"/>
          </w:rPr>
          <w:t xml:space="preserve">II.2.4</w:t>
        </w:r>
      </w:hyperlink>
      <w:r>
        <w:rPr>
          <w:b w:val="0"/>
          <w:i w:val="0"/>
        </w:rPr>
        <w:t xml:space="preserve">, </w:t>
      </w:r>
      <w:hyperlink w:anchor="passage-ii-2-5">
        <w:r>
          <w:rPr>
            <w:color w:val="000000"/>
          </w:rPr>
          <w:t xml:space="preserve">II.2.5</w:t>
        </w:r>
      </w:hyperlink>
      <w:r>
        <w:rPr>
          <w:b w:val="0"/>
          <w:i w:val="0"/>
        </w:rPr>
        <w:t xml:space="preserve">, </w:t>
      </w:r>
      <w:hyperlink w:anchor="passage-ii-7-14">
        <w:r>
          <w:rPr>
            <w:color w:val="000000"/>
          </w:rPr>
          <w:t xml:space="preserve">II.7.14</w:t>
        </w:r>
      </w:hyperlink>
      <w:r>
        <w:rPr>
          <w:b w:val="0"/>
          <w:i w:val="0"/>
        </w:rPr>
        <w:t xml:space="preserve">, </w:t>
      </w:r>
      <w:hyperlink w:anchor="passage-ii-7-16">
        <w:r>
          <w:rPr>
            <w:color w:val="000000"/>
          </w:rPr>
          <w:t xml:space="preserve">II.7.16</w:t>
        </w:r>
      </w:hyperlink>
      <w:r>
        <w:rPr>
          <w:b w:val="0"/>
          <w:i w:val="0"/>
        </w:rPr>
        <w:t xml:space="preserve">. See </w:t>
      </w:r>
      <w:hyperlink w:anchor="dependence-and-receiving">
        <w:r>
          <w:rPr>
            <w:color w:val="000000"/>
          </w:rPr>
          <w:t xml:space="preserve">Dependence and receiving</w:t>
        </w:r>
      </w:hyperlink>
      <w:r>
        <w:rPr>
          <w:b w:val="0"/>
          <w:i w:val="0"/>
        </w:rPr>
        <w:t>.</w:t>
      </w:r>
    </w:p>
    <w:p>
      <w:pPr>
        <w:keepNext/>
        <w:widowControl/>
      </w:pPr>
      <w:bookmarkStart w:id="671" w:name="latin-record-0420"/>
      <w:bookmarkEnd w:id="671"/>
      <w:r>
        <w:rPr>
          <w:b/>
          <w:i w:val="0"/>
        </w:rPr>
        <w:t>exuberare / fundere</w:t>
      </w:r>
      <w:r>
        <w:rPr>
          <w:b/>
          <w:i w:val="0"/>
        </w:rPr>
        <w:t>.</w:t>
      </w:r>
      <w:r>
        <w:rPr>
          <w:b w:val="0"/>
          <w:i w:val="0"/>
        </w:rPr>
        <w:t xml:space="preserve"> Printed forms: </w:t>
      </w:r>
      <w:r>
        <w:rPr>
          <w:b w:val="0"/>
          <w:i/>
        </w:rPr>
        <w:t>diffunduntur</w:t>
      </w:r>
      <w:r>
        <w:rPr>
          <w:b w:val="0"/>
          <w:i w:val="0"/>
        </w:rPr>
        <w:t xml:space="preserve">; </w:t>
      </w:r>
      <w:r>
        <w:rPr>
          <w:b w:val="0"/>
          <w:i/>
        </w:rPr>
        <w:t>exuberando</w:t>
      </w:r>
      <w:r>
        <w:rPr>
          <w:b w:val="0"/>
          <w:i w:val="0"/>
        </w:rPr>
        <w:t xml:space="preserve">; </w:t>
      </w:r>
      <w:r>
        <w:rPr>
          <w:b w:val="0"/>
          <w:i/>
        </w:rPr>
        <w:t>fundere</w:t>
      </w:r>
      <w:r>
        <w:rPr>
          <w:b w:val="0"/>
          <w:i w:val="0"/>
        </w:rPr>
        <w:t>.</w:t>
      </w:r>
    </w:p>
    <w:p>
      <w:pPr>
        <w:widowControl/>
      </w:pPr>
      <w:r>
        <w:rPr>
          <w:b w:val="0"/>
          <w:i w:val="0"/>
        </w:rPr>
        <w:t xml:space="preserve">To overflow or pour forth diffusely. Whole communication throughout immensity is emphasized without dividing the source into portions. References: </w:t>
      </w:r>
      <w:hyperlink w:anchor="passage-ii-6-6">
        <w:r>
          <w:rPr>
            <w:color w:val="000000"/>
          </w:rPr>
          <w:t xml:space="preserve">II.6.6</w:t>
        </w:r>
      </w:hyperlink>
      <w:r>
        <w:rPr>
          <w:b w:val="0"/>
          <w:i w:val="0"/>
        </w:rPr>
        <w:t xml:space="preserve">, </w:t>
      </w:r>
      <w:hyperlink w:anchor="passage-ii-6-14">
        <w:r>
          <w:rPr>
            <w:color w:val="000000"/>
          </w:rPr>
          <w:t xml:space="preserve">II.6.14</w:t>
        </w:r>
      </w:hyperlink>
      <w:r>
        <w:rPr>
          <w:b w:val="0"/>
          <w:i w:val="0"/>
        </w:rPr>
        <w:t xml:space="preserve">, </w:t>
      </w:r>
      <w:hyperlink w:anchor="passage-ii-6-24">
        <w:r>
          <w:rPr>
            <w:color w:val="000000"/>
          </w:rPr>
          <w:t xml:space="preserve">II.6.24</w:t>
        </w:r>
      </w:hyperlink>
      <w:r>
        <w:rPr>
          <w:b w:val="0"/>
          <w:i w:val="0"/>
        </w:rPr>
        <w:t xml:space="preserve">. See </w:t>
      </w:r>
      <w:hyperlink w:anchor="communication-and-imparting">
        <w:r>
          <w:rPr>
            <w:color w:val="000000"/>
          </w:rPr>
          <w:t xml:space="preserve">Communication and imparting</w:t>
        </w:r>
      </w:hyperlink>
      <w:r>
        <w:rPr>
          <w:b w:val="0"/>
          <w:i w:val="0"/>
        </w:rPr>
        <w:t>.</w:t>
      </w:r>
    </w:p>
    <w:p>
      <w:pPr>
        <w:keepNext/>
        <w:widowControl/>
      </w:pPr>
      <w:bookmarkStart w:id="672" w:name="latin-record-0421"/>
      <w:bookmarkEnd w:id="672"/>
      <w:r>
        <w:rPr>
          <w:b/>
          <w:i w:val="0"/>
        </w:rPr>
        <w:t>faber / genitor / filius</w:t>
      </w:r>
      <w:r>
        <w:rPr>
          <w:b/>
          <w:i w:val="0"/>
        </w:rPr>
        <w:t>.</w:t>
      </w:r>
      <w:r>
        <w:rPr>
          <w:b w:val="0"/>
          <w:i w:val="0"/>
        </w:rPr>
        <w:t xml:space="preserve"> Printed forms: </w:t>
      </w:r>
      <w:r>
        <w:rPr>
          <w:b w:val="0"/>
          <w:i/>
        </w:rPr>
        <w:t>faber</w:t>
      </w:r>
      <w:r>
        <w:rPr>
          <w:b w:val="0"/>
          <w:i w:val="0"/>
        </w:rPr>
        <w:t xml:space="preserve">; </w:t>
      </w:r>
      <w:r>
        <w:rPr>
          <w:b w:val="0"/>
          <w:i/>
        </w:rPr>
        <w:t>filium</w:t>
      </w:r>
      <w:r>
        <w:rPr>
          <w:b w:val="0"/>
          <w:i w:val="0"/>
        </w:rPr>
        <w:t xml:space="preserve">; </w:t>
      </w:r>
      <w:r>
        <w:rPr>
          <w:b w:val="0"/>
          <w:i/>
        </w:rPr>
        <w:t>genitor</w:t>
      </w:r>
      <w:r>
        <w:rPr>
          <w:b w:val="0"/>
          <w:i w:val="0"/>
        </w:rPr>
        <w:t>.</w:t>
      </w:r>
    </w:p>
    <w:p>
      <w:pPr>
        <w:widowControl/>
      </w:pPr>
      <w:r>
        <w:rPr>
          <w:b w:val="0"/>
          <w:i w:val="0"/>
        </w:rPr>
        <w:t xml:space="preserve">Craftsman / begetter or father / son. The ascending comparison differentiates external material, internal but received material, and divine production of matter itself. References: </w:t>
      </w:r>
      <w:hyperlink w:anchor="passage-ii-13-2">
        <w:r>
          <w:rPr>
            <w:color w:val="000000"/>
          </w:rPr>
          <w:t xml:space="preserve">II.13.2</w:t>
        </w:r>
      </w:hyperlink>
      <w:r>
        <w:rPr>
          <w:b w:val="0"/>
          <w:i w:val="0"/>
        </w:rPr>
        <w:t xml:space="preserve">. See </w:t>
      </w:r>
      <w:hyperlink w:anchor="craftsman-and-father">
        <w:r>
          <w:rPr>
            <w:color w:val="000000"/>
          </w:rPr>
          <w:t xml:space="preserve">Craftsman and father</w:t>
        </w:r>
      </w:hyperlink>
      <w:r>
        <w:rPr>
          <w:b w:val="0"/>
          <w:i w:val="0"/>
        </w:rPr>
        <w:t>.</w:t>
      </w:r>
    </w:p>
    <w:p>
      <w:pPr>
        <w:keepNext/>
        <w:widowControl/>
      </w:pPr>
      <w:bookmarkStart w:id="673" w:name="latin-record-0422"/>
      <w:bookmarkEnd w:id="673"/>
      <w:r>
        <w:rPr>
          <w:b/>
          <w:i w:val="0"/>
        </w:rPr>
        <w:t>faber lignarius</w:t>
      </w:r>
      <w:r>
        <w:rPr>
          <w:b/>
          <w:i w:val="0"/>
        </w:rPr>
        <w:t>.</w:t>
      </w:r>
      <w:r>
        <w:rPr>
          <w:b w:val="0"/>
          <w:i w:val="0"/>
        </w:rPr>
        <w:t xml:space="preserve"> Printed forms: </w:t>
      </w:r>
      <w:r>
        <w:rPr>
          <w:b w:val="0"/>
          <w:i/>
        </w:rPr>
        <w:t>faber lignarius</w:t>
      </w:r>
      <w:r>
        <w:rPr>
          <w:b w:val="0"/>
          <w:i w:val="0"/>
        </w:rPr>
        <w:t xml:space="preserve">; </w:t>
      </w:r>
      <w:r>
        <w:rPr>
          <w:b w:val="0"/>
          <w:i/>
        </w:rPr>
        <w:t>ligno</w:t>
      </w:r>
      <w:r>
        <w:rPr>
          <w:b w:val="0"/>
          <w:i w:val="0"/>
        </w:rPr>
        <w:t>.</w:t>
      </w:r>
    </w:p>
    <w:p>
      <w:pPr>
        <w:widowControl/>
      </w:pPr>
      <w:r>
        <w:rPr>
          <w:b w:val="0"/>
          <w:i w:val="0"/>
        </w:rPr>
        <w:t xml:space="preserve">Carpenter; wood as the material worked. The carpenter imagined within the wood illustrates nature’s inward productive presence. References: </w:t>
      </w:r>
      <w:hyperlink w:anchor="passage-iv-1-11">
        <w:r>
          <w:rPr>
            <w:color w:val="000000"/>
          </w:rPr>
          <w:t xml:space="preserve">IV.1.11</w:t>
        </w:r>
      </w:hyperlink>
      <w:r>
        <w:rPr>
          <w:b w:val="0"/>
          <w:i w:val="0"/>
        </w:rPr>
        <w:t xml:space="preserve">. See </w:t>
      </w:r>
      <w:hyperlink w:anchor="carpenter-and-geometer">
        <w:r>
          <w:rPr>
            <w:color w:val="000000"/>
          </w:rPr>
          <w:t xml:space="preserve">Carpenter and geometer</w:t>
        </w:r>
      </w:hyperlink>
      <w:r>
        <w:rPr>
          <w:b w:val="0"/>
          <w:i w:val="0"/>
        </w:rPr>
        <w:t>.</w:t>
      </w:r>
    </w:p>
    <w:p>
      <w:pPr>
        <w:keepNext/>
        <w:widowControl/>
      </w:pPr>
      <w:bookmarkStart w:id="674" w:name="latin-record-0423"/>
      <w:bookmarkEnd w:id="674"/>
      <w:r>
        <w:rPr>
          <w:b/>
          <w:i w:val="0"/>
        </w:rPr>
        <w:t>fabricare / construere / conficere</w:t>
      </w:r>
      <w:r>
        <w:rPr>
          <w:b/>
          <w:i w:val="0"/>
        </w:rPr>
        <w:t>.</w:t>
      </w:r>
      <w:r>
        <w:rPr>
          <w:b w:val="0"/>
          <w:i w:val="0"/>
        </w:rPr>
        <w:t xml:space="preserve"> Printed forms: </w:t>
      </w:r>
      <w:r>
        <w:rPr>
          <w:b w:val="0"/>
          <w:i/>
        </w:rPr>
        <w:t>conficere</w:t>
      </w:r>
      <w:r>
        <w:rPr>
          <w:b w:val="0"/>
          <w:i w:val="0"/>
        </w:rPr>
        <w:t xml:space="preserve">; </w:t>
      </w:r>
      <w:r>
        <w:rPr>
          <w:b w:val="0"/>
          <w:i/>
        </w:rPr>
        <w:t>constructa</w:t>
      </w:r>
      <w:r>
        <w:rPr>
          <w:b w:val="0"/>
          <w:i w:val="0"/>
        </w:rPr>
        <w:t xml:space="preserve">; </w:t>
      </w:r>
      <w:r>
        <w:rPr>
          <w:b w:val="0"/>
          <w:i/>
        </w:rPr>
        <w:t>construi</w:t>
      </w:r>
      <w:r>
        <w:rPr>
          <w:b w:val="0"/>
          <w:i w:val="0"/>
        </w:rPr>
        <w:t xml:space="preserve">; </w:t>
      </w:r>
      <w:r>
        <w:rPr>
          <w:b w:val="0"/>
          <w:i/>
        </w:rPr>
        <w:t>fabricat</w:t>
      </w:r>
      <w:r>
        <w:rPr>
          <w:b w:val="0"/>
          <w:i w:val="0"/>
        </w:rPr>
        <w:t>.</w:t>
      </w:r>
    </w:p>
    <w:p>
      <w:pPr>
        <w:widowControl/>
      </w:pPr>
      <w:r>
        <w:rPr>
          <w:b w:val="0"/>
          <w:i w:val="0"/>
        </w:rPr>
        <w:t xml:space="preserve">To fashion, construct, or complete a product. The verbs range from hypothetical worlds to the exact craftsmanship attributed to even the lowest things. References: </w:t>
      </w:r>
      <w:hyperlink w:anchor="passage-ii-2-12">
        <w:r>
          <w:rPr>
            <w:color w:val="000000"/>
          </w:rPr>
          <w:t xml:space="preserve">II.2.12</w:t>
        </w:r>
      </w:hyperlink>
      <w:r>
        <w:rPr>
          <w:b w:val="0"/>
          <w:i w:val="0"/>
        </w:rPr>
        <w:t xml:space="preserve">, </w:t>
      </w:r>
      <w:hyperlink w:anchor="passage-ii-2-13">
        <w:r>
          <w:rPr>
            <w:color w:val="000000"/>
          </w:rPr>
          <w:t xml:space="preserve">II.2.13</w:t>
        </w:r>
      </w:hyperlink>
      <w:r>
        <w:rPr>
          <w:b w:val="0"/>
          <w:i w:val="0"/>
        </w:rPr>
        <w:t xml:space="preserve">, </w:t>
      </w:r>
      <w:hyperlink w:anchor="passage-ii-9-22">
        <w:r>
          <w:rPr>
            <w:color w:val="000000"/>
          </w:rPr>
          <w:t xml:space="preserve">II.9.22</w:t>
        </w:r>
      </w:hyperlink>
      <w:r>
        <w:rPr>
          <w:b w:val="0"/>
          <w:i w:val="0"/>
        </w:rPr>
        <w:t xml:space="preserve">. See </w:t>
      </w:r>
      <w:hyperlink w:anchor="art-and-nature">
        <w:r>
          <w:rPr>
            <w:color w:val="000000"/>
          </w:rPr>
          <w:t xml:space="preserve">Art and nature</w:t>
        </w:r>
      </w:hyperlink>
      <w:r>
        <w:rPr>
          <w:b w:val="0"/>
          <w:i w:val="0"/>
        </w:rPr>
        <w:t>.</w:t>
      </w:r>
    </w:p>
    <w:p>
      <w:pPr>
        <w:keepNext/>
        <w:widowControl/>
      </w:pPr>
      <w:bookmarkStart w:id="675" w:name="latin-record-0424"/>
      <w:bookmarkEnd w:id="675"/>
      <w:r>
        <w:rPr>
          <w:b/>
          <w:i w:val="0"/>
        </w:rPr>
        <w:t>facere / efficere</w:t>
      </w:r>
      <w:r>
        <w:rPr>
          <w:b/>
          <w:i w:val="0"/>
        </w:rPr>
        <w:t>.</w:t>
      </w:r>
      <w:r>
        <w:rPr>
          <w:b w:val="0"/>
          <w:i w:val="0"/>
        </w:rPr>
        <w:t xml:space="preserve"> Printed forms: </w:t>
      </w:r>
      <w:r>
        <w:rPr>
          <w:b w:val="0"/>
          <w:i/>
        </w:rPr>
        <w:t>facere</w:t>
      </w:r>
      <w:r>
        <w:rPr>
          <w:b w:val="0"/>
          <w:i w:val="0"/>
        </w:rPr>
        <w:t xml:space="preserve">; </w:t>
      </w:r>
      <w:r>
        <w:rPr>
          <w:b w:val="0"/>
          <w:i/>
        </w:rPr>
        <w:t>facta</w:t>
      </w:r>
      <w:r>
        <w:rPr>
          <w:b w:val="0"/>
          <w:i w:val="0"/>
        </w:rPr>
        <w:t xml:space="preserve">; </w:t>
      </w:r>
      <w:r>
        <w:rPr>
          <w:b w:val="0"/>
          <w:i/>
        </w:rPr>
        <w:t>fecit</w:t>
      </w:r>
      <w:r>
        <w:rPr>
          <w:b w:val="0"/>
          <w:i w:val="0"/>
        </w:rPr>
        <w:t>.</w:t>
      </w:r>
    </w:p>
    <w:p>
      <w:pPr>
        <w:widowControl/>
      </w:pPr>
      <w:r>
        <w:rPr>
          <w:b w:val="0"/>
          <w:i w:val="0"/>
        </w:rPr>
        <w:t xml:space="preserve">Make or bring about. The maker’s causal scope is tested by whether it makes only a form in supplied matter or the whole effect including matter. References: </w:t>
      </w:r>
      <w:hyperlink w:anchor="passage-ii-13-2">
        <w:r>
          <w:rPr>
            <w:color w:val="000000"/>
          </w:rPr>
          <w:t xml:space="preserve">II.13.2</w:t>
        </w:r>
      </w:hyperlink>
      <w:r>
        <w:rPr>
          <w:b w:val="0"/>
          <w:i w:val="0"/>
        </w:rPr>
        <w:t xml:space="preserve">, </w:t>
      </w:r>
      <w:hyperlink w:anchor="passage-ii-13-11">
        <w:r>
          <w:rPr>
            <w:color w:val="000000"/>
          </w:rPr>
          <w:t xml:space="preserve">II.13.11</w:t>
        </w:r>
      </w:hyperlink>
      <w:r>
        <w:rPr>
          <w:b w:val="0"/>
          <w:i w:val="0"/>
        </w:rPr>
        <w:t xml:space="preserve">. See </w:t>
      </w:r>
      <w:hyperlink w:anchor="creation">
        <w:r>
          <w:rPr>
            <w:color w:val="000000"/>
          </w:rPr>
          <w:t xml:space="preserve">Creation</w:t>
        </w:r>
      </w:hyperlink>
      <w:r>
        <w:rPr>
          <w:b w:val="0"/>
          <w:i w:val="0"/>
        </w:rPr>
        <w:t>.</w:t>
      </w:r>
    </w:p>
    <w:p>
      <w:pPr>
        <w:keepNext/>
        <w:widowControl/>
      </w:pPr>
      <w:bookmarkStart w:id="676" w:name="latin-record-0425"/>
      <w:bookmarkEnd w:id="676"/>
      <w:r>
        <w:rPr>
          <w:b/>
          <w:i w:val="0"/>
        </w:rPr>
        <w:t>facile / difficilis</w:t>
      </w:r>
      <w:r>
        <w:rPr>
          <w:b/>
          <w:i w:val="0"/>
        </w:rPr>
        <w:t>.</w:t>
      </w:r>
      <w:r>
        <w:rPr>
          <w:b w:val="0"/>
          <w:i w:val="0"/>
        </w:rPr>
        <w:t xml:space="preserve"> Printed forms: </w:t>
      </w:r>
      <w:r>
        <w:rPr>
          <w:b w:val="0"/>
          <w:i/>
        </w:rPr>
        <w:t>difficili</w:t>
      </w:r>
      <w:r>
        <w:rPr>
          <w:b w:val="0"/>
          <w:i w:val="0"/>
        </w:rPr>
        <w:t xml:space="preserve">; </w:t>
      </w:r>
      <w:r>
        <w:rPr>
          <w:b w:val="0"/>
          <w:i/>
        </w:rPr>
        <w:t>facile</w:t>
      </w:r>
      <w:r>
        <w:rPr>
          <w:b w:val="0"/>
          <w:i w:val="0"/>
        </w:rPr>
        <w:t xml:space="preserve">; </w:t>
      </w:r>
      <w:r>
        <w:rPr>
          <w:b w:val="0"/>
          <w:i/>
        </w:rPr>
        <w:t>facillime</w:t>
      </w:r>
      <w:r>
        <w:rPr>
          <w:b w:val="0"/>
          <w:i w:val="0"/>
        </w:rPr>
        <w:t>.</w:t>
      </w:r>
    </w:p>
    <w:p>
      <w:pPr>
        <w:widowControl/>
      </w:pPr>
      <w:r>
        <w:rPr>
          <w:b w:val="0"/>
          <w:i w:val="0"/>
        </w:rPr>
        <w:t xml:space="preserve">Easily; difficult or laborious. Forms pass easily through a suitable mediator, and celestial bodies move readily, whereas needy human bodies demand difficult administration. References: </w:t>
      </w:r>
      <w:hyperlink w:anchor="passage-iv-1-32">
        <w:r>
          <w:rPr>
            <w:color w:val="000000"/>
          </w:rPr>
          <w:t xml:space="preserve">IV.1.32</w:t>
        </w:r>
      </w:hyperlink>
      <w:r>
        <w:rPr>
          <w:b w:val="0"/>
          <w:i w:val="0"/>
        </w:rPr>
        <w:t xml:space="preserve">, </w:t>
      </w:r>
      <w:hyperlink w:anchor="passage-iv-2-11">
        <w:r>
          <w:rPr>
            <w:color w:val="000000"/>
          </w:rPr>
          <w:t xml:space="preserve">IV.2.11</w:t>
        </w:r>
      </w:hyperlink>
      <w:r>
        <w:rPr>
          <w:b w:val="0"/>
          <w:i w:val="0"/>
        </w:rPr>
        <w:t xml:space="preserve">, </w:t>
      </w:r>
      <w:hyperlink w:anchor="passage-iv-2-19">
        <w:r>
          <w:rPr>
            <w:color w:val="000000"/>
          </w:rPr>
          <w:t xml:space="preserve">IV.2.19</w:t>
        </w:r>
      </w:hyperlink>
      <w:r>
        <w:rPr>
          <w:b w:val="0"/>
          <w:i w:val="0"/>
        </w:rPr>
        <w:t xml:space="preserve">. See </w:t>
      </w:r>
      <w:hyperlink w:anchor="weariness-and-agility">
        <w:r>
          <w:rPr>
            <w:color w:val="000000"/>
          </w:rPr>
          <w:t xml:space="preserve">Weariness and agility</w:t>
        </w:r>
      </w:hyperlink>
      <w:r>
        <w:rPr>
          <w:b w:val="0"/>
          <w:i w:val="0"/>
        </w:rPr>
        <w:t>.</w:t>
      </w:r>
    </w:p>
    <w:p>
      <w:pPr>
        <w:keepNext/>
        <w:widowControl/>
      </w:pPr>
      <w:bookmarkStart w:id="677" w:name="latin-record-0426"/>
      <w:bookmarkEnd w:id="677"/>
      <w:r>
        <w:rPr>
          <w:b/>
          <w:i w:val="0"/>
        </w:rPr>
        <w:t>facio / servo</w:t>
      </w:r>
      <w:r>
        <w:rPr>
          <w:b/>
          <w:i w:val="0"/>
        </w:rPr>
        <w:t>.</w:t>
      </w:r>
      <w:r>
        <w:rPr>
          <w:b w:val="0"/>
          <w:i w:val="0"/>
        </w:rPr>
        <w:t xml:space="preserve"> Printed forms: </w:t>
      </w:r>
      <w:r>
        <w:rPr>
          <w:b w:val="0"/>
          <w:i/>
        </w:rPr>
        <w:t>facit</w:t>
      </w:r>
      <w:r>
        <w:rPr>
          <w:b w:val="0"/>
          <w:i w:val="0"/>
        </w:rPr>
        <w:t xml:space="preserve">; </w:t>
      </w:r>
      <w:r>
        <w:rPr>
          <w:b w:val="0"/>
          <w:i/>
        </w:rPr>
        <w:t>servatque</w:t>
      </w:r>
      <w:r>
        <w:rPr>
          <w:b w:val="0"/>
          <w:i w:val="0"/>
        </w:rPr>
        <w:t>.</w:t>
      </w:r>
    </w:p>
    <w:p>
      <w:pPr>
        <w:widowControl/>
      </w:pPr>
      <w:r>
        <w:rPr>
          <w:b w:val="0"/>
          <w:i w:val="0"/>
        </w:rPr>
        <w:t xml:space="preserve">To make and preserve. The form that produces matter must also preserve it; quality’s own dependence on matter prevents assigning it that foundational role. References: </w:t>
      </w:r>
      <w:hyperlink w:anchor="passage-i-3-18">
        <w:r>
          <w:rPr>
            <w:color w:val="000000"/>
          </w:rPr>
          <w:t xml:space="preserve">I.3.18</w:t>
        </w:r>
      </w:hyperlink>
      <w:r>
        <w:rPr>
          <w:b w:val="0"/>
          <w:i w:val="0"/>
        </w:rPr>
        <w:t xml:space="preserve">. See </w:t>
      </w:r>
      <w:hyperlink w:anchor="conservation-and-preservation">
        <w:r>
          <w:rPr>
            <w:color w:val="000000"/>
          </w:rPr>
          <w:t xml:space="preserve">Conservation and preservation</w:t>
        </w:r>
      </w:hyperlink>
      <w:r>
        <w:rPr>
          <w:b w:val="0"/>
          <w:i w:val="0"/>
        </w:rPr>
        <w:t>.</w:t>
      </w:r>
    </w:p>
    <w:p>
      <w:pPr>
        <w:keepNext/>
        <w:widowControl/>
      </w:pPr>
      <w:bookmarkStart w:id="678" w:name="latin-record-0427"/>
      <w:bookmarkEnd w:id="678"/>
      <w:r>
        <w:rPr>
          <w:b/>
          <w:i w:val="0"/>
        </w:rPr>
        <w:t>fallere / praestigiae / confundere</w:t>
      </w:r>
      <w:r>
        <w:rPr>
          <w:b/>
          <w:i w:val="0"/>
        </w:rPr>
        <w:t>.</w:t>
      </w:r>
      <w:r>
        <w:rPr>
          <w:b w:val="0"/>
          <w:i w:val="0"/>
        </w:rPr>
        <w:t xml:space="preserve"> Printed forms: </w:t>
      </w:r>
      <w:r>
        <w:rPr>
          <w:b w:val="0"/>
          <w:i/>
        </w:rPr>
        <w:t>confundit</w:t>
      </w:r>
      <w:r>
        <w:rPr>
          <w:b w:val="0"/>
          <w:i w:val="0"/>
        </w:rPr>
        <w:t xml:space="preserve">; </w:t>
      </w:r>
      <w:r>
        <w:rPr>
          <w:b w:val="0"/>
          <w:i/>
        </w:rPr>
        <w:t>fallit</w:t>
      </w:r>
      <w:r>
        <w:rPr>
          <w:b w:val="0"/>
          <w:i w:val="0"/>
        </w:rPr>
        <w:t xml:space="preserve">; </w:t>
      </w:r>
      <w:r>
        <w:rPr>
          <w:b w:val="0"/>
          <w:i/>
        </w:rPr>
        <w:t>Fallit</w:t>
      </w:r>
      <w:r>
        <w:rPr>
          <w:b w:val="0"/>
          <w:i w:val="0"/>
        </w:rPr>
        <w:t xml:space="preserve">; </w:t>
      </w:r>
      <w:r>
        <w:rPr>
          <w:b w:val="0"/>
          <w:i/>
        </w:rPr>
        <w:t>praestigiis</w:t>
      </w:r>
      <w:r>
        <w:rPr>
          <w:b w:val="0"/>
          <w:i w:val="0"/>
        </w:rPr>
        <w:t>.</w:t>
      </w:r>
    </w:p>
    <w:p>
      <w:pPr>
        <w:widowControl/>
      </w:pPr>
      <w:r>
        <w:rPr>
          <w:b w:val="0"/>
          <w:i w:val="0"/>
        </w:rPr>
        <w:t xml:space="preserve">To deceive or confuse; illusion. The error lies in substituting a spatial or temporal image for the intellectual object initially conceived. References: </w:t>
      </w:r>
      <w:hyperlink w:anchor="passage-ii-5-2">
        <w:r>
          <w:rPr>
            <w:color w:val="000000"/>
          </w:rPr>
          <w:t xml:space="preserve">II.5.2</w:t>
        </w:r>
      </w:hyperlink>
      <w:r>
        <w:rPr>
          <w:b w:val="0"/>
          <w:i w:val="0"/>
        </w:rPr>
        <w:t xml:space="preserve">, </w:t>
      </w:r>
      <w:hyperlink w:anchor="passage-ii-6-13">
        <w:r>
          <w:rPr>
            <w:color w:val="000000"/>
          </w:rPr>
          <w:t xml:space="preserve">II.6.13</w:t>
        </w:r>
      </w:hyperlink>
      <w:r>
        <w:rPr>
          <w:b w:val="0"/>
          <w:i w:val="0"/>
        </w:rPr>
        <w:t xml:space="preserve">. See </w:t>
      </w:r>
      <w:hyperlink w:anchor="imagination-and-deceptive-clothing">
        <w:r>
          <w:rPr>
            <w:color w:val="000000"/>
          </w:rPr>
          <w:t xml:space="preserve">Imagination and deceptive clothing</w:t>
        </w:r>
      </w:hyperlink>
      <w:r>
        <w:rPr>
          <w:b w:val="0"/>
          <w:i w:val="0"/>
        </w:rPr>
        <w:t>.</w:t>
      </w:r>
    </w:p>
    <w:p>
      <w:pPr>
        <w:keepNext/>
        <w:widowControl/>
      </w:pPr>
      <w:bookmarkStart w:id="679" w:name="latin-record-0428"/>
      <w:bookmarkEnd w:id="679"/>
      <w:r>
        <w:rPr>
          <w:b/>
          <w:i w:val="0"/>
        </w:rPr>
        <w:t>fallo / falsum</w:t>
      </w:r>
      <w:r>
        <w:rPr>
          <w:b/>
          <w:i w:val="0"/>
        </w:rPr>
        <w:t>.</w:t>
      </w:r>
      <w:r>
        <w:rPr>
          <w:b w:val="0"/>
          <w:i w:val="0"/>
        </w:rPr>
        <w:t xml:space="preserve"> Printed forms: </w:t>
      </w:r>
      <w:r>
        <w:rPr>
          <w:b w:val="0"/>
          <w:i/>
        </w:rPr>
        <w:t>fallit</w:t>
      </w:r>
      <w:r>
        <w:rPr>
          <w:b w:val="0"/>
          <w:i w:val="0"/>
        </w:rPr>
        <w:t xml:space="preserve">; </w:t>
      </w:r>
      <w:r>
        <w:rPr>
          <w:b w:val="0"/>
          <w:i/>
        </w:rPr>
        <w:t>falso</w:t>
      </w:r>
      <w:r>
        <w:rPr>
          <w:b w:val="0"/>
          <w:i w:val="0"/>
        </w:rPr>
        <w:t xml:space="preserve">; </w:t>
      </w:r>
      <w:r>
        <w:rPr>
          <w:b w:val="0"/>
          <w:i/>
        </w:rPr>
        <w:t>falsum</w:t>
      </w:r>
      <w:r>
        <w:rPr>
          <w:b w:val="0"/>
          <w:i w:val="0"/>
        </w:rPr>
        <w:t>.</w:t>
      </w:r>
    </w:p>
    <w:p>
      <w:pPr>
        <w:widowControl/>
      </w:pPr>
      <w:r>
        <w:rPr>
          <w:b w:val="0"/>
          <w:i w:val="0"/>
        </w:rPr>
        <w:t xml:space="preserve">To deceive; what is false. Ficino distinguishes falsehood’s dependent being from truth and says deception works through an image of truth; the image is not therefore reliable. References: </w:t>
      </w:r>
      <w:hyperlink w:anchor="passage-i-3-2">
        <w:r>
          <w:rPr>
            <w:color w:val="000000"/>
          </w:rPr>
          <w:t xml:space="preserve">I.3.2</w:t>
        </w:r>
      </w:hyperlink>
      <w:r>
        <w:rPr>
          <w:b w:val="0"/>
          <w:i w:val="0"/>
        </w:rPr>
        <w:t xml:space="preserve">. See </w:t>
      </w:r>
      <w:hyperlink w:anchor="truth">
        <w:r>
          <w:rPr>
            <w:color w:val="000000"/>
          </w:rPr>
          <w:t xml:space="preserve">Truth</w:t>
        </w:r>
      </w:hyperlink>
      <w:r>
        <w:rPr>
          <w:b w:val="0"/>
          <w:i w:val="0"/>
        </w:rPr>
        <w:t>.</w:t>
      </w:r>
    </w:p>
    <w:p>
      <w:pPr>
        <w:keepNext/>
        <w:widowControl/>
      </w:pPr>
      <w:bookmarkStart w:id="680" w:name="latin-record-0429"/>
      <w:bookmarkEnd w:id="680"/>
      <w:r>
        <w:rPr>
          <w:b/>
          <w:i w:val="0"/>
        </w:rPr>
        <w:t>falsus / falsum</w:t>
      </w:r>
      <w:r>
        <w:rPr>
          <w:b/>
          <w:i w:val="0"/>
        </w:rPr>
        <w:t>.</w:t>
      </w:r>
      <w:r>
        <w:rPr>
          <w:b w:val="0"/>
          <w:i w:val="0"/>
        </w:rPr>
        <w:t xml:space="preserve"> Printed forms: </w:t>
      </w:r>
      <w:r>
        <w:rPr>
          <w:b w:val="0"/>
          <w:i/>
        </w:rPr>
        <w:t>falsum</w:t>
      </w:r>
      <w:r>
        <w:rPr>
          <w:b w:val="0"/>
          <w:i w:val="0"/>
        </w:rPr>
        <w:t>.</w:t>
      </w:r>
    </w:p>
    <w:p>
      <w:pPr>
        <w:widowControl/>
      </w:pPr>
      <w:r>
        <w:rPr>
          <w:b w:val="0"/>
          <w:i w:val="0"/>
        </w:rPr>
        <w:t xml:space="preserve">False, either contrary to truth or an unacceptable explanatory claim. What lacked truth altogether would be nothing; </w:t>
      </w:r>
      <w:r>
        <w:t>“</w:t>
      </w:r>
      <w:r>
        <w:rPr>
          <w:b w:val="0"/>
          <w:i w:val="0"/>
        </w:rPr>
        <w:t>which is false</w:t>
      </w:r>
      <w:r>
        <w:t>”</w:t>
      </w:r>
      <w:r>
        <w:rPr>
          <w:b w:val="0"/>
          <w:i w:val="0"/>
        </w:rPr>
        <w:t xml:space="preserve"> rejects no reception of being from God. References: </w:t>
      </w:r>
      <w:hyperlink w:anchor="passage-ii-1-3">
        <w:r>
          <w:rPr>
            <w:color w:val="000000"/>
          </w:rPr>
          <w:t xml:space="preserve">II.1.3</w:t>
        </w:r>
      </w:hyperlink>
      <w:r>
        <w:rPr>
          <w:b w:val="0"/>
          <w:i w:val="0"/>
        </w:rPr>
        <w:t xml:space="preserve">, </w:t>
      </w:r>
      <w:hyperlink w:anchor="passage-ii-7-18">
        <w:r>
          <w:rPr>
            <w:color w:val="000000"/>
          </w:rPr>
          <w:t xml:space="preserve">II.7.18</w:t>
        </w:r>
      </w:hyperlink>
      <w:r>
        <w:rPr>
          <w:b w:val="0"/>
          <w:i w:val="0"/>
        </w:rPr>
        <w:t xml:space="preserve">. See </w:t>
      </w:r>
      <w:hyperlink w:anchor="truth">
        <w:r>
          <w:rPr>
            <w:color w:val="000000"/>
          </w:rPr>
          <w:t xml:space="preserve">Truth</w:t>
        </w:r>
      </w:hyperlink>
      <w:r>
        <w:rPr>
          <w:b w:val="0"/>
          <w:i w:val="0"/>
        </w:rPr>
        <w:t>.</w:t>
      </w:r>
    </w:p>
    <w:p>
      <w:pPr>
        <w:keepNext/>
        <w:widowControl/>
      </w:pPr>
      <w:bookmarkStart w:id="681" w:name="latin-record-0430"/>
      <w:bookmarkEnd w:id="681"/>
      <w:r>
        <w:rPr>
          <w:b/>
          <w:i w:val="0"/>
        </w:rPr>
        <w:t>familiarissimus</w:t>
      </w:r>
      <w:r>
        <w:rPr>
          <w:b/>
          <w:i w:val="0"/>
        </w:rPr>
        <w:t>.</w:t>
      </w:r>
      <w:r>
        <w:rPr>
          <w:b w:val="0"/>
          <w:i w:val="0"/>
        </w:rPr>
        <w:t xml:space="preserve"> Printed forms: </w:t>
      </w:r>
      <w:r>
        <w:rPr>
          <w:b w:val="0"/>
          <w:i/>
        </w:rPr>
        <w:t>familiarissima</w:t>
      </w:r>
      <w:r>
        <w:rPr>
          <w:b w:val="0"/>
          <w:i w:val="0"/>
        </w:rPr>
        <w:t xml:space="preserve">; </w:t>
      </w:r>
      <w:r>
        <w:rPr>
          <w:b w:val="0"/>
          <w:i/>
        </w:rPr>
        <w:t>familiarissimos</w:t>
      </w:r>
      <w:r>
        <w:rPr>
          <w:b w:val="0"/>
          <w:i w:val="0"/>
        </w:rPr>
        <w:t>.</w:t>
      </w:r>
    </w:p>
    <w:p>
      <w:pPr>
        <w:widowControl/>
      </w:pPr>
      <w:r>
        <w:rPr>
          <w:b w:val="0"/>
          <w:i w:val="0"/>
        </w:rPr>
        <w:t xml:space="preserve">Most intimately conjoined or specifically appropriate. The spheres require movers closely related to them; this cannot make God the exclusive mover of one sphere. References: </w:t>
      </w:r>
      <w:hyperlink w:anchor="passage-iv-1-54">
        <w:r>
          <w:rPr>
            <w:color w:val="000000"/>
          </w:rPr>
          <w:t xml:space="preserve">IV.1.54</w:t>
        </w:r>
      </w:hyperlink>
      <w:r>
        <w:rPr>
          <w:b w:val="0"/>
          <w:i w:val="0"/>
        </w:rPr>
        <w:t xml:space="preserve">, </w:t>
      </w:r>
      <w:hyperlink w:anchor="passage-iv-1-59">
        <w:r>
          <w:rPr>
            <w:color w:val="000000"/>
          </w:rPr>
          <w:t xml:space="preserve">IV.1.59</w:t>
        </w:r>
      </w:hyperlink>
      <w:r>
        <w:rPr>
          <w:b w:val="0"/>
          <w:i w:val="0"/>
        </w:rPr>
        <w:t xml:space="preserve">. See </w:t>
      </w:r>
      <w:hyperlink w:anchor="proximity-and-causal-presence">
        <w:r>
          <w:rPr>
            <w:color w:val="000000"/>
          </w:rPr>
          <w:t xml:space="preserve">Proximity and causal presence</w:t>
        </w:r>
      </w:hyperlink>
      <w:r>
        <w:rPr>
          <w:b w:val="0"/>
          <w:i w:val="0"/>
        </w:rPr>
        <w:t>.</w:t>
      </w:r>
    </w:p>
    <w:p>
      <w:pPr>
        <w:keepNext/>
        <w:widowControl/>
      </w:pPr>
      <w:bookmarkStart w:id="682" w:name="latin-record-0431"/>
      <w:bookmarkEnd w:id="682"/>
      <w:r>
        <w:rPr>
          <w:b/>
          <w:i w:val="0"/>
        </w:rPr>
        <w:t>fascinare / roborare</w:t>
      </w:r>
      <w:r>
        <w:rPr>
          <w:b/>
          <w:i w:val="0"/>
        </w:rPr>
        <w:t>.</w:t>
      </w:r>
      <w:r>
        <w:rPr>
          <w:b w:val="0"/>
          <w:i w:val="0"/>
        </w:rPr>
        <w:t xml:space="preserve"> Printed forms: </w:t>
      </w:r>
      <w:r>
        <w:rPr>
          <w:b w:val="0"/>
          <w:i/>
        </w:rPr>
        <w:t>fascinandos</w:t>
      </w:r>
      <w:r>
        <w:rPr>
          <w:b w:val="0"/>
          <w:i w:val="0"/>
        </w:rPr>
        <w:t xml:space="preserve">; </w:t>
      </w:r>
      <w:r>
        <w:rPr>
          <w:b w:val="0"/>
          <w:i/>
        </w:rPr>
        <w:t>roborandos</w:t>
      </w:r>
      <w:r>
        <w:rPr>
          <w:b w:val="0"/>
          <w:i w:val="0"/>
        </w:rPr>
        <w:t>.</w:t>
      </w:r>
    </w:p>
    <w:p>
      <w:pPr>
        <w:widowControl/>
      </w:pPr>
      <w:r>
        <w:rPr>
          <w:b w:val="0"/>
          <w:i w:val="0"/>
        </w:rPr>
        <w:t xml:space="preserve">To bewitch and to strengthen. Alleged bodily effects on souls support an inference to an infused power superior to the mixed bodies. References: </w:t>
      </w:r>
      <w:hyperlink w:anchor="passage-iv-1-19">
        <w:r>
          <w:rPr>
            <w:color w:val="000000"/>
          </w:rPr>
          <w:t xml:space="preserve">IV.1.19</w:t>
        </w:r>
      </w:hyperlink>
      <w:r>
        <w:rPr>
          <w:b w:val="0"/>
          <w:i w:val="0"/>
        </w:rPr>
        <w:t xml:space="preserve">. See </w:t>
      </w:r>
      <w:hyperlink w:anchor="hierobotanum-and-mineral-powers">
        <w:r>
          <w:rPr>
            <w:color w:val="000000"/>
          </w:rPr>
          <w:t xml:space="preserve">Hierobotanum and mineral powers</w:t>
        </w:r>
      </w:hyperlink>
      <w:r>
        <w:rPr>
          <w:b w:val="0"/>
          <w:i w:val="0"/>
        </w:rPr>
        <w:t>.</w:t>
      </w:r>
    </w:p>
    <w:p>
      <w:pPr>
        <w:keepNext/>
        <w:widowControl/>
      </w:pPr>
      <w:bookmarkStart w:id="683" w:name="latin-record-0432"/>
      <w:bookmarkEnd w:id="683"/>
      <w:r>
        <w:rPr>
          <w:b/>
          <w:i w:val="0"/>
        </w:rPr>
        <w:t>fatalis lex / innata cupiditas</w:t>
      </w:r>
      <w:r>
        <w:rPr>
          <w:b/>
          <w:i w:val="0"/>
        </w:rPr>
        <w:t>.</w:t>
      </w:r>
      <w:r>
        <w:rPr>
          <w:b w:val="0"/>
          <w:i w:val="0"/>
        </w:rPr>
        <w:t xml:space="preserve"> Printed forms: </w:t>
      </w:r>
      <w:r>
        <w:rPr>
          <w:b w:val="0"/>
          <w:i/>
        </w:rPr>
        <w:t>fatali</w:t>
      </w:r>
      <w:r>
        <w:rPr>
          <w:b w:val="0"/>
          <w:i w:val="0"/>
        </w:rPr>
        <w:t xml:space="preserve">; </w:t>
      </w:r>
      <w:r>
        <w:rPr>
          <w:b w:val="0"/>
          <w:i/>
        </w:rPr>
        <w:t>innata cupiditas</w:t>
      </w:r>
      <w:r>
        <w:rPr>
          <w:b w:val="0"/>
          <w:i w:val="0"/>
        </w:rPr>
        <w:t xml:space="preserve">; </w:t>
      </w:r>
      <w:r>
        <w:rPr>
          <w:b w:val="0"/>
          <w:i/>
        </w:rPr>
        <w:t>lege</w:t>
      </w:r>
      <w:r>
        <w:rPr>
          <w:b w:val="0"/>
          <w:i w:val="0"/>
        </w:rPr>
        <w:t>.</w:t>
      </w:r>
    </w:p>
    <w:p>
      <w:pPr>
        <w:widowControl/>
      </w:pPr>
      <w:r>
        <w:rPr>
          <w:b w:val="0"/>
          <w:i w:val="0"/>
        </w:rPr>
        <w:t xml:space="preserve">Fated law; an inborn desire. The opening formula is explained later through the ordered seed sequence and the thought directing each realization. References: </w:t>
      </w:r>
      <w:hyperlink w:anchor="passage-iv-2-2">
        <w:r>
          <w:rPr>
            <w:color w:val="000000"/>
          </w:rPr>
          <w:t xml:space="preserve">IV.2.2</w:t>
        </w:r>
      </w:hyperlink>
      <w:r>
        <w:rPr>
          <w:b w:val="0"/>
          <w:i w:val="0"/>
        </w:rPr>
        <w:t xml:space="preserve">. See </w:t>
      </w:r>
      <w:hyperlink w:anchor="fate">
        <w:r>
          <w:rPr>
            <w:color w:val="000000"/>
          </w:rPr>
          <w:t xml:space="preserve">Fate</w:t>
        </w:r>
      </w:hyperlink>
      <w:r>
        <w:rPr>
          <w:b w:val="0"/>
          <w:i w:val="0"/>
        </w:rPr>
        <w:t>.</w:t>
      </w:r>
    </w:p>
    <w:p>
      <w:pPr>
        <w:keepNext/>
        <w:widowControl/>
      </w:pPr>
      <w:bookmarkStart w:id="684" w:name="latin-record-0433"/>
      <w:bookmarkEnd w:id="684"/>
      <w:r>
        <w:rPr>
          <w:b/>
          <w:i w:val="0"/>
        </w:rPr>
        <w:t>fateri / negare / affirmare</w:t>
      </w:r>
      <w:r>
        <w:rPr>
          <w:b/>
          <w:i w:val="0"/>
        </w:rPr>
        <w:t>.</w:t>
      </w:r>
      <w:r>
        <w:rPr>
          <w:b w:val="0"/>
          <w:i w:val="0"/>
        </w:rPr>
        <w:t xml:space="preserve"> Printed forms: </w:t>
      </w:r>
      <w:r>
        <w:rPr>
          <w:b w:val="0"/>
          <w:i/>
        </w:rPr>
        <w:t>affirmet</w:t>
      </w:r>
      <w:r>
        <w:rPr>
          <w:b w:val="0"/>
          <w:i w:val="0"/>
        </w:rPr>
        <w:t xml:space="preserve">; </w:t>
      </w:r>
      <w:r>
        <w:rPr>
          <w:b w:val="0"/>
          <w:i/>
        </w:rPr>
        <w:t>assentiendum</w:t>
      </w:r>
      <w:r>
        <w:rPr>
          <w:b w:val="0"/>
          <w:i w:val="0"/>
        </w:rPr>
        <w:t xml:space="preserve">; </w:t>
      </w:r>
      <w:r>
        <w:rPr>
          <w:b w:val="0"/>
          <w:i/>
        </w:rPr>
        <w:t>fatentur</w:t>
      </w:r>
      <w:r>
        <w:rPr>
          <w:b w:val="0"/>
          <w:i w:val="0"/>
        </w:rPr>
        <w:t xml:space="preserve">; </w:t>
      </w:r>
      <w:r>
        <w:rPr>
          <w:b w:val="0"/>
          <w:i/>
        </w:rPr>
        <w:t>fateri</w:t>
      </w:r>
      <w:r>
        <w:rPr>
          <w:b w:val="0"/>
          <w:i w:val="0"/>
        </w:rPr>
        <w:t xml:space="preserve">; </w:t>
      </w:r>
      <w:r>
        <w:rPr>
          <w:b w:val="0"/>
          <w:i/>
        </w:rPr>
        <w:t>negas</w:t>
      </w:r>
      <w:r>
        <w:rPr>
          <w:b w:val="0"/>
          <w:i w:val="0"/>
        </w:rPr>
        <w:t xml:space="preserve">; </w:t>
      </w:r>
      <w:r>
        <w:rPr>
          <w:b w:val="0"/>
          <w:i/>
        </w:rPr>
        <w:t>negentur</w:t>
      </w:r>
      <w:r>
        <w:rPr>
          <w:b w:val="0"/>
          <w:i w:val="0"/>
        </w:rPr>
        <w:t>.</w:t>
      </w:r>
    </w:p>
    <w:p>
      <w:pPr>
        <w:widowControl/>
      </w:pPr>
      <w:r>
        <w:rPr>
          <w:b w:val="0"/>
          <w:i w:val="0"/>
        </w:rPr>
        <w:t xml:space="preserve">To acknowledge, deny, affirm, or assent. Ficino presses concessions assigned to opponents, including that all things act toward good as an end. References: </w:t>
      </w:r>
      <w:hyperlink w:anchor="passage-ii-1-6">
        <w:r>
          <w:rPr>
            <w:color w:val="000000"/>
          </w:rPr>
          <w:t xml:space="preserve">II.1.6</w:t>
        </w:r>
      </w:hyperlink>
      <w:r>
        <w:rPr>
          <w:b w:val="0"/>
          <w:i w:val="0"/>
        </w:rPr>
        <w:t xml:space="preserve">, </w:t>
      </w:r>
      <w:hyperlink w:anchor="passage-ii-2-13">
        <w:r>
          <w:rPr>
            <w:color w:val="000000"/>
          </w:rPr>
          <w:t xml:space="preserve">II.2.13</w:t>
        </w:r>
      </w:hyperlink>
      <w:r>
        <w:rPr>
          <w:b w:val="0"/>
          <w:i w:val="0"/>
        </w:rPr>
        <w:t xml:space="preserve">, </w:t>
      </w:r>
      <w:hyperlink w:anchor="passage-ii-2-14">
        <w:r>
          <w:rPr>
            <w:color w:val="000000"/>
          </w:rPr>
          <w:t xml:space="preserve">II.2.14</w:t>
        </w:r>
      </w:hyperlink>
      <w:r>
        <w:rPr>
          <w:b w:val="0"/>
          <w:i w:val="0"/>
        </w:rPr>
        <w:t xml:space="preserve">, </w:t>
      </w:r>
      <w:hyperlink w:anchor="passage-ii-7-16">
        <w:r>
          <w:rPr>
            <w:color w:val="000000"/>
          </w:rPr>
          <w:t xml:space="preserve">II.7.16</w:t>
        </w:r>
      </w:hyperlink>
      <w:r>
        <w:rPr>
          <w:b w:val="0"/>
          <w:i w:val="0"/>
        </w:rPr>
        <w:t xml:space="preserve">, </w:t>
      </w:r>
      <w:hyperlink w:anchor="passage-ii-9-21">
        <w:r>
          <w:rPr>
            <w:color w:val="000000"/>
          </w:rPr>
          <w:t xml:space="preserve">II.9.21</w:t>
        </w:r>
      </w:hyperlink>
      <w:r>
        <w:rPr>
          <w:b w:val="0"/>
          <w:i w:val="0"/>
        </w:rPr>
        <w:t xml:space="preserve">. See </w:t>
      </w:r>
      <w:hyperlink w:anchor="agreement-and-hypothetical-concession">
        <w:r>
          <w:rPr>
            <w:color w:val="000000"/>
          </w:rPr>
          <w:t xml:space="preserve">Agreement and hypothetical concession</w:t>
        </w:r>
      </w:hyperlink>
      <w:r>
        <w:rPr>
          <w:b w:val="0"/>
          <w:i w:val="0"/>
        </w:rPr>
        <w:t>.</w:t>
      </w:r>
    </w:p>
    <w:p>
      <w:pPr>
        <w:keepNext/>
        <w:widowControl/>
      </w:pPr>
      <w:bookmarkStart w:id="685" w:name="latin-record-0434"/>
      <w:bookmarkEnd w:id="685"/>
      <w:r>
        <w:rPr>
          <w:b/>
          <w:i w:val="0"/>
        </w:rPr>
        <w:t>fatigare</w:t>
      </w:r>
      <w:r>
        <w:rPr>
          <w:b/>
          <w:i w:val="0"/>
        </w:rPr>
        <w:t>.</w:t>
      </w:r>
      <w:r>
        <w:rPr>
          <w:b w:val="0"/>
          <w:i w:val="0"/>
        </w:rPr>
        <w:t xml:space="preserve"> Printed forms: </w:t>
      </w:r>
      <w:r>
        <w:rPr>
          <w:b w:val="0"/>
          <w:i/>
        </w:rPr>
        <w:t>fatigari</w:t>
      </w:r>
      <w:r>
        <w:rPr>
          <w:b w:val="0"/>
          <w:i w:val="0"/>
        </w:rPr>
        <w:t xml:space="preserve">; </w:t>
      </w:r>
      <w:r>
        <w:rPr>
          <w:b w:val="0"/>
          <w:i/>
        </w:rPr>
        <w:t>fatigatur</w:t>
      </w:r>
      <w:r>
        <w:rPr>
          <w:b w:val="0"/>
          <w:i w:val="0"/>
        </w:rPr>
        <w:t>.</w:t>
      </w:r>
    </w:p>
    <w:p>
      <w:pPr>
        <w:widowControl/>
      </w:pPr>
      <w:r>
        <w:rPr>
          <w:b w:val="0"/>
          <w:i w:val="0"/>
        </w:rPr>
        <w:t xml:space="preserve">To tire or become unable to sustain an operation. Bounded quality is contrasted with an unextended soul moving an exceptionally suitable celestial body. References: </w:t>
      </w:r>
      <w:hyperlink w:anchor="passage-iv-1-55">
        <w:r>
          <w:rPr>
            <w:color w:val="000000"/>
          </w:rPr>
          <w:t xml:space="preserve">IV.1.55</w:t>
        </w:r>
      </w:hyperlink>
      <w:r>
        <w:rPr>
          <w:b w:val="0"/>
          <w:i w:val="0"/>
        </w:rPr>
        <w:t xml:space="preserve">, </w:t>
      </w:r>
      <w:hyperlink w:anchor="passage-iv-2-18">
        <w:r>
          <w:rPr>
            <w:color w:val="000000"/>
          </w:rPr>
          <w:t xml:space="preserve">IV.2.18</w:t>
        </w:r>
      </w:hyperlink>
      <w:r>
        <w:rPr>
          <w:b w:val="0"/>
          <w:i w:val="0"/>
        </w:rPr>
        <w:t xml:space="preserve">. See </w:t>
      </w:r>
      <w:hyperlink w:anchor="weariness-and-agility">
        <w:r>
          <w:rPr>
            <w:color w:val="000000"/>
          </w:rPr>
          <w:t xml:space="preserve">Weariness and agility</w:t>
        </w:r>
      </w:hyperlink>
      <w:r>
        <w:rPr>
          <w:b w:val="0"/>
          <w:i w:val="0"/>
        </w:rPr>
        <w:t>.</w:t>
      </w:r>
    </w:p>
    <w:p>
      <w:pPr>
        <w:keepNext/>
        <w:widowControl/>
      </w:pPr>
      <w:bookmarkStart w:id="686" w:name="latin-record-0435"/>
      <w:bookmarkEnd w:id="686"/>
      <w:r>
        <w:rPr>
          <w:b/>
          <w:i w:val="0"/>
        </w:rPr>
        <w:t>fatigare / claudicare</w:t>
      </w:r>
      <w:r>
        <w:rPr>
          <w:b/>
          <w:i w:val="0"/>
        </w:rPr>
        <w:t>.</w:t>
      </w:r>
      <w:r>
        <w:rPr>
          <w:b w:val="0"/>
          <w:i w:val="0"/>
        </w:rPr>
        <w:t xml:space="preserve"> Printed forms: </w:t>
      </w:r>
      <w:r>
        <w:rPr>
          <w:b w:val="0"/>
          <w:i/>
        </w:rPr>
        <w:t>claudicat</w:t>
      </w:r>
      <w:r>
        <w:rPr>
          <w:b w:val="0"/>
          <w:i w:val="0"/>
        </w:rPr>
        <w:t xml:space="preserve">; </w:t>
      </w:r>
      <w:r>
        <w:rPr>
          <w:b w:val="0"/>
          <w:i/>
        </w:rPr>
        <w:t>fatigatur</w:t>
      </w:r>
      <w:r>
        <w:rPr>
          <w:b w:val="0"/>
          <w:i w:val="0"/>
        </w:rPr>
        <w:t xml:space="preserve">; </w:t>
      </w:r>
      <w:r>
        <w:rPr>
          <w:b w:val="0"/>
          <w:i/>
        </w:rPr>
        <w:t>infatigabilem</w:t>
      </w:r>
      <w:r>
        <w:rPr>
          <w:b w:val="0"/>
          <w:i w:val="0"/>
        </w:rPr>
        <w:t>.</w:t>
      </w:r>
    </w:p>
    <w:p>
      <w:pPr>
        <w:widowControl/>
      </w:pPr>
      <w:r>
        <w:rPr>
          <w:b w:val="0"/>
          <w:i w:val="0"/>
        </w:rPr>
        <w:t xml:space="preserve">To grow weary or falter; to be unwearied. Long-continued cosmic regularity is taken as evidence of a governor whose power does not tire. References: </w:t>
      </w:r>
      <w:hyperlink w:anchor="passage-ii-4-7">
        <w:r>
          <w:rPr>
            <w:color w:val="000000"/>
          </w:rPr>
          <w:t xml:space="preserve">II.4.7</w:t>
        </w:r>
      </w:hyperlink>
      <w:r>
        <w:rPr>
          <w:b w:val="0"/>
          <w:i w:val="0"/>
        </w:rPr>
        <w:t xml:space="preserve">. See </w:t>
      </w:r>
      <w:hyperlink w:anchor="failure-weariness-and-endurance">
        <w:r>
          <w:rPr>
            <w:color w:val="000000"/>
          </w:rPr>
          <w:t xml:space="preserve">Failure weariness and endurance</w:t>
        </w:r>
      </w:hyperlink>
      <w:r>
        <w:rPr>
          <w:b w:val="0"/>
          <w:i w:val="0"/>
        </w:rPr>
        <w:t>.</w:t>
      </w:r>
    </w:p>
    <w:p>
      <w:pPr>
        <w:keepNext/>
        <w:widowControl/>
      </w:pPr>
      <w:bookmarkStart w:id="687" w:name="latin-record-0436"/>
      <w:bookmarkEnd w:id="687"/>
      <w:r>
        <w:rPr>
          <w:b/>
          <w:i w:val="0"/>
        </w:rPr>
        <w:t>fatum</w:t>
      </w:r>
      <w:r>
        <w:rPr>
          <w:b/>
          <w:i w:val="0"/>
        </w:rPr>
        <w:t>.</w:t>
      </w:r>
      <w:r>
        <w:rPr>
          <w:b w:val="0"/>
          <w:i w:val="0"/>
        </w:rPr>
        <w:t xml:space="preserve"> Printed forms: </w:t>
      </w:r>
      <w:r>
        <w:rPr>
          <w:b w:val="0"/>
          <w:i/>
        </w:rPr>
        <w:t>fatum</w:t>
      </w:r>
      <w:r>
        <w:rPr>
          <w:b w:val="0"/>
          <w:i w:val="0"/>
        </w:rPr>
        <w:t>.</w:t>
      </w:r>
    </w:p>
    <w:p>
      <w:pPr>
        <w:widowControl/>
      </w:pPr>
      <w:r>
        <w:rPr>
          <w:b w:val="0"/>
          <w:i w:val="0"/>
        </w:rPr>
        <w:t xml:space="preserve">Fate, in the gloss of the cited Orphic saying. The local sentence couples fate with Jove’s mind surveying everything, rather than developing a separate doctrine of fatalism. References: </w:t>
      </w:r>
      <w:hyperlink w:anchor="passage-ii-9-19">
        <w:r>
          <w:rPr>
            <w:color w:val="000000"/>
          </w:rPr>
          <w:t xml:space="preserve">II.9.19</w:t>
        </w:r>
      </w:hyperlink>
      <w:r>
        <w:rPr>
          <w:b w:val="0"/>
          <w:i w:val="0"/>
        </w:rPr>
        <w:t xml:space="preserve">. See </w:t>
      </w:r>
      <w:hyperlink w:anchor="fate">
        <w:r>
          <w:rPr>
            <w:color w:val="000000"/>
          </w:rPr>
          <w:t xml:space="preserve">Fate</w:t>
        </w:r>
      </w:hyperlink>
      <w:r>
        <w:rPr>
          <w:b w:val="0"/>
          <w:i w:val="0"/>
        </w:rPr>
        <w:t>.</w:t>
      </w:r>
    </w:p>
    <w:p>
      <w:pPr>
        <w:keepNext/>
        <w:widowControl/>
      </w:pPr>
      <w:bookmarkStart w:id="688" w:name="latin-record-0437"/>
      <w:bookmarkEnd w:id="688"/>
      <w:r>
        <w:rPr>
          <w:b/>
          <w:i w:val="0"/>
        </w:rPr>
        <w:t>fecunditas</w:t>
      </w:r>
      <w:r>
        <w:rPr>
          <w:b/>
          <w:i w:val="0"/>
        </w:rPr>
        <w:t>.</w:t>
      </w:r>
      <w:r>
        <w:rPr>
          <w:b w:val="0"/>
          <w:i w:val="0"/>
        </w:rPr>
        <w:t xml:space="preserve"> Printed forms: </w:t>
      </w:r>
      <w:r>
        <w:rPr>
          <w:b w:val="0"/>
          <w:i/>
        </w:rPr>
        <w:t>fecunditas</w:t>
      </w:r>
      <w:r>
        <w:rPr>
          <w:b w:val="0"/>
          <w:i w:val="0"/>
        </w:rPr>
        <w:t xml:space="preserve">; </w:t>
      </w:r>
      <w:r>
        <w:rPr>
          <w:b w:val="0"/>
          <w:i/>
        </w:rPr>
        <w:t>fecunditate</w:t>
      </w:r>
      <w:r>
        <w:rPr>
          <w:b w:val="0"/>
          <w:i w:val="0"/>
        </w:rPr>
        <w:t>.</w:t>
      </w:r>
    </w:p>
    <w:p>
      <w:pPr>
        <w:widowControl/>
      </w:pPr>
      <w:r>
        <w:rPr>
          <w:b w:val="0"/>
          <w:i w:val="0"/>
        </w:rPr>
        <w:t xml:space="preserve">Fruitfulness or productive abundance. The creator’s complete causal relation to his works grounds both their productive capacity and his continuing care for them. References: </w:t>
      </w:r>
      <w:hyperlink w:anchor="passage-ii-13-2">
        <w:r>
          <w:rPr>
            <w:color w:val="000000"/>
          </w:rPr>
          <w:t xml:space="preserve">II.13.2</w:t>
        </w:r>
      </w:hyperlink>
      <w:r>
        <w:rPr>
          <w:b w:val="0"/>
          <w:i w:val="0"/>
        </w:rPr>
        <w:t xml:space="preserve">. See </w:t>
      </w:r>
      <w:hyperlink w:anchor="craftsman-and-father">
        <w:r>
          <w:rPr>
            <w:color w:val="000000"/>
          </w:rPr>
          <w:t xml:space="preserve">Craftsman and father</w:t>
        </w:r>
      </w:hyperlink>
      <w:r>
        <w:rPr>
          <w:b w:val="0"/>
          <w:i w:val="0"/>
        </w:rPr>
        <w:t>.</w:t>
      </w:r>
    </w:p>
    <w:p>
      <w:pPr>
        <w:keepNext/>
        <w:widowControl/>
      </w:pPr>
      <w:bookmarkStart w:id="689" w:name="latin-record-0438"/>
      <w:bookmarkEnd w:id="689"/>
      <w:r>
        <w:rPr>
          <w:b/>
          <w:i w:val="0"/>
        </w:rPr>
        <w:t>fecunditas / amplifico</w:t>
      </w:r>
      <w:r>
        <w:rPr>
          <w:b/>
          <w:i w:val="0"/>
        </w:rPr>
        <w:t>.</w:t>
      </w:r>
      <w:r>
        <w:rPr>
          <w:b w:val="0"/>
          <w:i w:val="0"/>
        </w:rPr>
        <w:t xml:space="preserve"> Printed forms: </w:t>
      </w:r>
      <w:r>
        <w:rPr>
          <w:b w:val="0"/>
          <w:i/>
        </w:rPr>
        <w:t>amplificatae</w:t>
      </w:r>
      <w:r>
        <w:rPr>
          <w:b w:val="0"/>
          <w:i w:val="0"/>
        </w:rPr>
        <w:t xml:space="preserve">; </w:t>
      </w:r>
      <w:r>
        <w:rPr>
          <w:b w:val="0"/>
          <w:i/>
        </w:rPr>
        <w:t>fecunditate</w:t>
      </w:r>
      <w:r>
        <w:rPr>
          <w:b w:val="0"/>
          <w:i w:val="0"/>
        </w:rPr>
        <w:t>.</w:t>
      </w:r>
    </w:p>
    <w:p>
      <w:pPr>
        <w:widowControl/>
      </w:pPr>
      <w:r>
        <w:rPr>
          <w:b w:val="0"/>
          <w:i w:val="0"/>
        </w:rPr>
        <w:t xml:space="preserve">Fecundity and enlargement in multiplicity. The unrestricted intellectual kind is said to unfold into virtually innumerable species; the generative image concerns abundance of forms, not sexual reproduction. References: </w:t>
      </w:r>
      <w:hyperlink w:anchor="passage-i-5-23">
        <w:r>
          <w:rPr>
            <w:color w:val="000000"/>
          </w:rPr>
          <w:t xml:space="preserve">I.5.23</w:t>
        </w:r>
      </w:hyperlink>
      <w:r>
        <w:rPr>
          <w:b w:val="0"/>
          <w:i w:val="0"/>
        </w:rPr>
        <w:t xml:space="preserve">. See </w:t>
      </w:r>
      <w:hyperlink w:anchor="angel">
        <w:r>
          <w:rPr>
            <w:color w:val="000000"/>
          </w:rPr>
          <w:t xml:space="preserve">Angel</w:t>
        </w:r>
      </w:hyperlink>
      <w:r>
        <w:rPr>
          <w:b w:val="0"/>
          <w:i w:val="0"/>
        </w:rPr>
        <w:t>.</w:t>
      </w:r>
    </w:p>
    <w:p>
      <w:pPr>
        <w:keepNext/>
        <w:widowControl/>
      </w:pPr>
      <w:bookmarkStart w:id="690" w:name="latin-record-0439"/>
      <w:bookmarkEnd w:id="690"/>
      <w:r>
        <w:rPr>
          <w:b/>
          <w:i w:val="0"/>
        </w:rPr>
        <w:t>fecundus</w:t>
      </w:r>
      <w:r>
        <w:rPr>
          <w:b/>
          <w:i w:val="0"/>
        </w:rPr>
        <w:t>.</w:t>
      </w:r>
      <w:r>
        <w:rPr>
          <w:b w:val="0"/>
          <w:i w:val="0"/>
        </w:rPr>
        <w:t xml:space="preserve"> Printed forms: </w:t>
      </w:r>
      <w:r>
        <w:rPr>
          <w:b w:val="0"/>
          <w:i/>
        </w:rPr>
        <w:t>fecundus</w:t>
      </w:r>
      <w:r>
        <w:rPr>
          <w:b w:val="0"/>
          <w:i w:val="0"/>
        </w:rPr>
        <w:t>.</w:t>
      </w:r>
    </w:p>
    <w:p>
      <w:pPr>
        <w:widowControl/>
      </w:pPr>
      <w:r>
        <w:rPr>
          <w:b w:val="0"/>
          <w:i w:val="0"/>
        </w:rPr>
        <w:t xml:space="preserve">Fruitful or productive. Infinite goodness is said to make inward activity infinitely fruitful; the account is presented as Plotinus’s exposition. References: </w:t>
      </w:r>
      <w:hyperlink w:anchor="passage-ii-12-10">
        <w:r>
          <w:rPr>
            <w:color w:val="000000"/>
          </w:rPr>
          <w:t xml:space="preserve">II.12.10</w:t>
        </w:r>
      </w:hyperlink>
      <w:r>
        <w:rPr>
          <w:b w:val="0"/>
          <w:i w:val="0"/>
        </w:rPr>
        <w:t xml:space="preserve">. See </w:t>
      </w:r>
      <w:hyperlink w:anchor="self-production-and-reservation">
        <w:r>
          <w:rPr>
            <w:color w:val="000000"/>
          </w:rPr>
          <w:t xml:space="preserve">Self-production and reservation</w:t>
        </w:r>
      </w:hyperlink>
      <w:r>
        <w:rPr>
          <w:b w:val="0"/>
          <w:i w:val="0"/>
        </w:rPr>
        <w:t>.</w:t>
      </w:r>
    </w:p>
    <w:p>
      <w:pPr>
        <w:keepNext/>
        <w:widowControl/>
      </w:pPr>
      <w:bookmarkStart w:id="691" w:name="latin-record-0440"/>
      <w:bookmarkEnd w:id="691"/>
      <w:r>
        <w:rPr>
          <w:b/>
          <w:i w:val="0"/>
        </w:rPr>
        <w:t>ferme / quoad fieri potest</w:t>
      </w:r>
      <w:r>
        <w:rPr>
          <w:b/>
          <w:i w:val="0"/>
        </w:rPr>
        <w:t>.</w:t>
      </w:r>
      <w:r>
        <w:rPr>
          <w:b w:val="0"/>
          <w:i w:val="0"/>
        </w:rPr>
        <w:t xml:space="preserve"> Printed forms: </w:t>
      </w:r>
      <w:r>
        <w:rPr>
          <w:b w:val="0"/>
          <w:i/>
        </w:rPr>
        <w:t>ferme</w:t>
      </w:r>
      <w:r>
        <w:rPr>
          <w:b w:val="0"/>
          <w:i w:val="0"/>
        </w:rPr>
        <w:t xml:space="preserve">; </w:t>
      </w:r>
      <w:r>
        <w:rPr>
          <w:b w:val="0"/>
          <w:i/>
        </w:rPr>
        <w:t>quoad fieri potest</w:t>
      </w:r>
      <w:r>
        <w:rPr>
          <w:b w:val="0"/>
          <w:i w:val="0"/>
        </w:rPr>
        <w:t>.</w:t>
      </w:r>
    </w:p>
    <w:p>
      <w:pPr>
        <w:widowControl/>
      </w:pPr>
      <w:r>
        <w:rPr>
          <w:b w:val="0"/>
          <w:i w:val="0"/>
        </w:rPr>
        <w:t xml:space="preserve">Nearly; as far as possible. The qualifications limit what rotation can achieve compared with soul’s whole simultaneous presence. References: </w:t>
      </w:r>
      <w:hyperlink w:anchor="passage-iv-2-25">
        <w:r>
          <w:rPr>
            <w:color w:val="000000"/>
          </w:rPr>
          <w:t xml:space="preserve">IV.2.25</w:t>
        </w:r>
      </w:hyperlink>
      <w:r>
        <w:rPr>
          <w:b w:val="0"/>
          <w:i w:val="0"/>
        </w:rPr>
        <w:t xml:space="preserve">. See </w:t>
      </w:r>
      <w:hyperlink w:anchor="striving-and-enjoyment">
        <w:r>
          <w:rPr>
            <w:color w:val="000000"/>
          </w:rPr>
          <w:t xml:space="preserve">Striving and enjoyment</w:t>
        </w:r>
      </w:hyperlink>
      <w:r>
        <w:rPr>
          <w:b w:val="0"/>
          <w:i w:val="0"/>
        </w:rPr>
        <w:t>.</w:t>
      </w:r>
    </w:p>
    <w:p>
      <w:pPr>
        <w:keepNext/>
        <w:widowControl/>
      </w:pPr>
      <w:bookmarkStart w:id="692" w:name="latin-record-0441"/>
      <w:bookmarkEnd w:id="692"/>
      <w:r>
        <w:rPr>
          <w:b/>
          <w:i w:val="0"/>
        </w:rPr>
        <w:t>ferme / ut ita loquar</w:t>
      </w:r>
      <w:r>
        <w:rPr>
          <w:b/>
          <w:i w:val="0"/>
        </w:rPr>
        <w:t>.</w:t>
      </w:r>
      <w:r>
        <w:rPr>
          <w:b w:val="0"/>
          <w:i w:val="0"/>
        </w:rPr>
        <w:t xml:space="preserve"> Printed forms: </w:t>
      </w:r>
      <w:r>
        <w:rPr>
          <w:b w:val="0"/>
          <w:i/>
        </w:rPr>
        <w:t>ferme</w:t>
      </w:r>
      <w:r>
        <w:rPr>
          <w:b w:val="0"/>
          <w:i w:val="0"/>
        </w:rPr>
        <w:t xml:space="preserve">; </w:t>
      </w:r>
      <w:r>
        <w:rPr>
          <w:b w:val="0"/>
          <w:i/>
        </w:rPr>
        <w:t>ut ita loquar</w:t>
      </w:r>
      <w:r>
        <w:rPr>
          <w:b w:val="0"/>
          <w:i w:val="0"/>
        </w:rPr>
        <w:t>.</w:t>
      </w:r>
    </w:p>
    <w:p>
      <w:pPr>
        <w:widowControl/>
      </w:pPr>
      <w:r>
        <w:rPr>
          <w:b w:val="0"/>
          <w:i w:val="0"/>
        </w:rPr>
        <w:t xml:space="preserve">Almost or approximately / so to speak. These qualify angel’s likeness to divine immobility and prevent the comparison from erasing its inferior mode. References: </w:t>
      </w:r>
      <w:hyperlink w:anchor="passage-iii-1-13">
        <w:r>
          <w:rPr>
            <w:color w:val="000000"/>
          </w:rPr>
          <w:t xml:space="preserve">III.1.13</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693" w:name="latin-record-0442"/>
      <w:bookmarkEnd w:id="693"/>
      <w:r>
        <w:rPr>
          <w:b/>
          <w:i w:val="0"/>
        </w:rPr>
        <w:t>ferre</w:t>
      </w:r>
      <w:r>
        <w:rPr>
          <w:b/>
          <w:i w:val="0"/>
        </w:rPr>
        <w:t>.</w:t>
      </w:r>
      <w:r>
        <w:rPr>
          <w:b w:val="0"/>
          <w:i w:val="0"/>
        </w:rPr>
        <w:t xml:space="preserve"> Printed forms: </w:t>
      </w:r>
      <w:r>
        <w:rPr>
          <w:b w:val="0"/>
          <w:i/>
        </w:rPr>
        <w:t>ferri</w:t>
      </w:r>
      <w:r>
        <w:rPr>
          <w:b w:val="0"/>
          <w:i w:val="0"/>
        </w:rPr>
        <w:t xml:space="preserve">; </w:t>
      </w:r>
      <w:r>
        <w:rPr>
          <w:b w:val="0"/>
          <w:i/>
        </w:rPr>
        <w:t>fertur</w:t>
      </w:r>
      <w:r>
        <w:rPr>
          <w:b w:val="0"/>
          <w:i w:val="0"/>
        </w:rPr>
        <w:t xml:space="preserve">; </w:t>
      </w:r>
      <w:r>
        <w:rPr>
          <w:b w:val="0"/>
          <w:i/>
        </w:rPr>
        <w:t>feruntur</w:t>
      </w:r>
      <w:r>
        <w:rPr>
          <w:b w:val="0"/>
          <w:i w:val="0"/>
        </w:rPr>
        <w:t>.</w:t>
      </w:r>
    </w:p>
    <w:p>
      <w:pPr>
        <w:widowControl/>
      </w:pPr>
      <w:r>
        <w:rPr>
          <w:b w:val="0"/>
          <w:i w:val="0"/>
        </w:rPr>
        <w:t xml:space="preserve">To carry, be borne, or tend toward. Natural causes tend toward specific effects; heaven is borne by will; the lower soul-power strives toward particular seeds in act. References: </w:t>
      </w:r>
      <w:hyperlink w:anchor="passage-iv-1-6">
        <w:r>
          <w:rPr>
            <w:color w:val="000000"/>
          </w:rPr>
          <w:t xml:space="preserve">IV.1.6</w:t>
        </w:r>
      </w:hyperlink>
      <w:r>
        <w:rPr>
          <w:b w:val="0"/>
          <w:i w:val="0"/>
        </w:rPr>
        <w:t xml:space="preserve">, </w:t>
      </w:r>
      <w:hyperlink w:anchor="passage-iv-2-2">
        <w:r>
          <w:rPr>
            <w:color w:val="000000"/>
          </w:rPr>
          <w:t xml:space="preserve">IV.2.2</w:t>
        </w:r>
      </w:hyperlink>
      <w:r>
        <w:rPr>
          <w:b w:val="0"/>
          <w:i w:val="0"/>
        </w:rPr>
        <w:t xml:space="preserve">, </w:t>
      </w:r>
      <w:hyperlink w:anchor="passage-iv-2-12">
        <w:r>
          <w:rPr>
            <w:color w:val="000000"/>
          </w:rPr>
          <w:t xml:space="preserve">IV.2.12</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694" w:name="latin-record-0443"/>
      <w:bookmarkEnd w:id="694"/>
      <w:r>
        <w:rPr>
          <w:b/>
          <w:i w:val="0"/>
        </w:rPr>
        <w:t>fides adhibita</w:t>
      </w:r>
      <w:r>
        <w:rPr>
          <w:b/>
          <w:i w:val="0"/>
        </w:rPr>
        <w:t>.</w:t>
      </w:r>
      <w:r>
        <w:rPr>
          <w:b w:val="0"/>
          <w:i w:val="0"/>
        </w:rPr>
        <w:t xml:space="preserve"> Printed forms: </w:t>
      </w:r>
      <w:r>
        <w:rPr>
          <w:b w:val="0"/>
          <w:i/>
        </w:rPr>
        <w:t>fidem adhibeat</w:t>
      </w:r>
      <w:r>
        <w:rPr>
          <w:b w:val="0"/>
          <w:i w:val="0"/>
        </w:rPr>
        <w:t>.</w:t>
      </w:r>
    </w:p>
    <w:p>
      <w:pPr>
        <w:widowControl/>
      </w:pPr>
      <w:r>
        <w:rPr>
          <w:b w:val="0"/>
          <w:i w:val="0"/>
        </w:rPr>
        <w:t xml:space="preserve">To give credence or trust an assertion. The prohibition introduces Ficino’s rejection of the claim that lowly objects are unworthy of divine cognition. References: </w:t>
      </w:r>
      <w:hyperlink w:anchor="passage-ii-9-20">
        <w:r>
          <w:rPr>
            <w:color w:val="000000"/>
          </w:rPr>
          <w:t xml:space="preserve">II.9.20</w:t>
        </w:r>
      </w:hyperlink>
      <w:r>
        <w:rPr>
          <w:b w:val="0"/>
          <w:i w:val="0"/>
        </w:rPr>
        <w:t xml:space="preserve">. See </w:t>
      </w:r>
      <w:hyperlink w:anchor="seeking-possessing-and-distraction">
        <w:r>
          <w:rPr>
            <w:color w:val="000000"/>
          </w:rPr>
          <w:t xml:space="preserve">Seeking possessing and distraction</w:t>
        </w:r>
      </w:hyperlink>
      <w:r>
        <w:rPr>
          <w:b w:val="0"/>
          <w:i w:val="0"/>
        </w:rPr>
        <w:t>.</w:t>
      </w:r>
    </w:p>
    <w:p>
      <w:pPr>
        <w:keepNext/>
        <w:widowControl/>
      </w:pPr>
      <w:bookmarkStart w:id="695" w:name="latin-record-0444"/>
      <w:bookmarkEnd w:id="695"/>
      <w:r>
        <w:rPr>
          <w:b/>
          <w:i w:val="0"/>
        </w:rPr>
        <w:t>fieri / constare</w:t>
      </w:r>
      <w:r>
        <w:rPr>
          <w:b/>
          <w:i w:val="0"/>
        </w:rPr>
        <w:t>.</w:t>
      </w:r>
      <w:r>
        <w:rPr>
          <w:b w:val="0"/>
          <w:i w:val="0"/>
        </w:rPr>
        <w:t xml:space="preserve"> Printed forms: </w:t>
      </w:r>
      <w:r>
        <w:rPr>
          <w:b w:val="0"/>
          <w:i/>
        </w:rPr>
        <w:t>constare</w:t>
      </w:r>
      <w:r>
        <w:rPr>
          <w:b w:val="0"/>
          <w:i w:val="0"/>
        </w:rPr>
        <w:t xml:space="preserve">; </w:t>
      </w:r>
      <w:r>
        <w:rPr>
          <w:b w:val="0"/>
          <w:i/>
        </w:rPr>
        <w:t>constat</w:t>
      </w:r>
      <w:r>
        <w:rPr>
          <w:b w:val="0"/>
          <w:i w:val="0"/>
        </w:rPr>
        <w:t xml:space="preserve">; </w:t>
      </w:r>
      <w:r>
        <w:rPr>
          <w:b w:val="0"/>
          <w:i/>
        </w:rPr>
        <w:t>fit</w:t>
      </w:r>
      <w:r>
        <w:rPr>
          <w:b w:val="0"/>
          <w:i w:val="0"/>
        </w:rPr>
        <w:t>.</w:t>
      </w:r>
    </w:p>
    <w:p>
      <w:pPr>
        <w:widowControl/>
      </w:pPr>
      <w:r>
        <w:rPr>
          <w:b w:val="0"/>
          <w:i w:val="0"/>
        </w:rPr>
        <w:t xml:space="preserve">To become or result, and to consist or stand together. Body consists of matter and quantity, while multiple qualities can coexist in one subject; these relational uses are not definitions of independent substance. References: </w:t>
      </w:r>
      <w:hyperlink w:anchor="passage-i-2-1">
        <w:r>
          <w:rPr>
            <w:color w:val="000000"/>
          </w:rPr>
          <w:t xml:space="preserve">I.2.1</w:t>
        </w:r>
      </w:hyperlink>
      <w:r>
        <w:rPr>
          <w:b w:val="0"/>
          <w:i w:val="0"/>
        </w:rPr>
        <w:t xml:space="preserve">, </w:t>
      </w:r>
      <w:hyperlink w:anchor="passage-i-2-15">
        <w:r>
          <w:rPr>
            <w:color w:val="000000"/>
          </w:rPr>
          <w:t xml:space="preserve">I.2.15</w:t>
        </w:r>
      </w:hyperlink>
      <w:r>
        <w:rPr>
          <w:b w:val="0"/>
          <w:i w:val="0"/>
        </w:rPr>
        <w:t xml:space="preserve">, </w:t>
      </w:r>
      <w:hyperlink w:anchor="passage-i-2-17">
        <w:r>
          <w:rPr>
            <w:color w:val="000000"/>
          </w:rPr>
          <w:t xml:space="preserve">I.2.17</w:t>
        </w:r>
      </w:hyperlink>
      <w:r>
        <w:rPr>
          <w:b w:val="0"/>
          <w:i w:val="0"/>
        </w:rPr>
        <w:t xml:space="preserve">. See </w:t>
      </w:r>
      <w:hyperlink w:anchor="being">
        <w:r>
          <w:rPr>
            <w:color w:val="000000"/>
          </w:rPr>
          <w:t xml:space="preserve">Being</w:t>
        </w:r>
      </w:hyperlink>
      <w:r>
        <w:rPr>
          <w:b w:val="0"/>
          <w:i w:val="0"/>
        </w:rPr>
        <w:t>.</w:t>
      </w:r>
    </w:p>
    <w:p>
      <w:pPr>
        <w:keepNext/>
        <w:widowControl/>
      </w:pPr>
      <w:bookmarkStart w:id="696" w:name="latin-record-0445"/>
      <w:bookmarkEnd w:id="696"/>
      <w:r>
        <w:rPr>
          <w:b/>
          <w:i w:val="0"/>
        </w:rPr>
        <w:t>figere / ponere</w:t>
      </w:r>
      <w:r>
        <w:rPr>
          <w:b/>
          <w:i w:val="0"/>
        </w:rPr>
        <w:t>.</w:t>
      </w:r>
      <w:r>
        <w:rPr>
          <w:b w:val="0"/>
          <w:i w:val="0"/>
        </w:rPr>
        <w:t xml:space="preserve"> Printed forms: </w:t>
      </w:r>
      <w:r>
        <w:rPr>
          <w:b w:val="0"/>
          <w:i/>
        </w:rPr>
        <w:t>figat</w:t>
      </w:r>
      <w:r>
        <w:rPr>
          <w:b w:val="0"/>
          <w:i w:val="0"/>
        </w:rPr>
        <w:t xml:space="preserve">; </w:t>
      </w:r>
      <w:r>
        <w:rPr>
          <w:b w:val="0"/>
          <w:i/>
        </w:rPr>
        <w:t>ponere</w:t>
      </w:r>
      <w:r>
        <w:rPr>
          <w:b w:val="0"/>
          <w:i w:val="0"/>
        </w:rPr>
        <w:t>.</w:t>
      </w:r>
    </w:p>
    <w:p>
      <w:pPr>
        <w:widowControl/>
      </w:pPr>
      <w:r>
        <w:rPr>
          <w:b w:val="0"/>
          <w:i w:val="0"/>
        </w:rPr>
        <w:t xml:space="preserve">To fix in position; to posit or place. Fixing Saturn’s heaven introduces a thought experiment, whereas positing principles in nature is an explanatory claim. References: </w:t>
      </w:r>
      <w:hyperlink w:anchor="passage-iv-1-12">
        <w:r>
          <w:rPr>
            <w:color w:val="000000"/>
          </w:rPr>
          <w:t xml:space="preserve">IV.1.12</w:t>
        </w:r>
      </w:hyperlink>
      <w:r>
        <w:rPr>
          <w:b w:val="0"/>
          <w:i w:val="0"/>
        </w:rPr>
        <w:t xml:space="preserve">, </w:t>
      </w:r>
      <w:hyperlink w:anchor="passage-iv-2-24">
        <w:r>
          <w:rPr>
            <w:color w:val="000000"/>
          </w:rPr>
          <w:t xml:space="preserve">IV.2.24</w:t>
        </w:r>
      </w:hyperlink>
      <w:r>
        <w:rPr>
          <w:b w:val="0"/>
          <w:i w:val="0"/>
        </w:rPr>
        <w:t xml:space="preserve">. See </w:t>
      </w:r>
      <w:hyperlink w:anchor="here-there-and-antipodes">
        <w:r>
          <w:rPr>
            <w:color w:val="000000"/>
          </w:rPr>
          <w:t xml:space="preserve">Here, there, and the Antipodes</w:t>
        </w:r>
      </w:hyperlink>
      <w:r>
        <w:rPr>
          <w:b w:val="0"/>
          <w:i w:val="0"/>
        </w:rPr>
        <w:t>.</w:t>
      </w:r>
    </w:p>
    <w:p>
      <w:pPr>
        <w:keepNext/>
        <w:widowControl/>
      </w:pPr>
      <w:bookmarkStart w:id="697" w:name="latin-record-0446"/>
      <w:bookmarkEnd w:id="697"/>
      <w:r>
        <w:rPr>
          <w:b/>
          <w:i w:val="0"/>
        </w:rPr>
        <w:t>filius / parens</w:t>
      </w:r>
      <w:r>
        <w:rPr>
          <w:b/>
          <w:i w:val="0"/>
        </w:rPr>
        <w:t>.</w:t>
      </w:r>
      <w:r>
        <w:rPr>
          <w:b w:val="0"/>
          <w:i w:val="0"/>
        </w:rPr>
        <w:t xml:space="preserve"> Printed forms: </w:t>
      </w:r>
      <w:r>
        <w:rPr>
          <w:b w:val="0"/>
          <w:i/>
        </w:rPr>
        <w:t>filii</w:t>
      </w:r>
      <w:r>
        <w:rPr>
          <w:b w:val="0"/>
          <w:i w:val="0"/>
        </w:rPr>
        <w:t xml:space="preserve">; </w:t>
      </w:r>
      <w:r>
        <w:rPr>
          <w:b w:val="0"/>
          <w:i/>
        </w:rPr>
        <w:t>parentum</w:t>
      </w:r>
      <w:r>
        <w:rPr>
          <w:b w:val="0"/>
          <w:i w:val="0"/>
        </w:rPr>
        <w:t>.</w:t>
      </w:r>
    </w:p>
    <w:p>
      <w:pPr>
        <w:widowControl/>
      </w:pPr>
      <w:r>
        <w:rPr>
          <w:b w:val="0"/>
          <w:i w:val="0"/>
        </w:rPr>
        <w:t xml:space="preserve">Child or offspring and parent. Newborn resemblance supports the priority of qualitative causation; later equality of size is less frequent and subsequent. References: </w:t>
      </w:r>
      <w:hyperlink w:anchor="passage-i-2-12">
        <w:r>
          <w:rPr>
            <w:color w:val="000000"/>
          </w:rPr>
          <w:t xml:space="preserve">I.2.12</w:t>
        </w:r>
      </w:hyperlink>
      <w:r>
        <w:rPr>
          <w:b w:val="0"/>
          <w:i w:val="0"/>
        </w:rPr>
        <w:t xml:space="preserve">. See </w:t>
      </w:r>
      <w:hyperlink w:anchor="comparing-resembling-and-equalling">
        <w:r>
          <w:rPr>
            <w:color w:val="000000"/>
          </w:rPr>
          <w:t xml:space="preserve">Comparing, resembling and equalling</w:t>
        </w:r>
      </w:hyperlink>
      <w:r>
        <w:rPr>
          <w:b w:val="0"/>
          <w:i w:val="0"/>
        </w:rPr>
        <w:t>.</w:t>
      </w:r>
    </w:p>
    <w:p>
      <w:pPr>
        <w:keepNext/>
        <w:widowControl/>
      </w:pPr>
      <w:bookmarkStart w:id="698" w:name="latin-record-0447"/>
      <w:bookmarkEnd w:id="698"/>
      <w:r>
        <w:rPr>
          <w:b/>
          <w:i w:val="0"/>
        </w:rPr>
        <w:t>finge animo / finge iterum</w:t>
      </w:r>
      <w:r>
        <w:rPr>
          <w:b/>
          <w:i w:val="0"/>
        </w:rPr>
        <w:t>.</w:t>
      </w:r>
      <w:r>
        <w:rPr>
          <w:b w:val="0"/>
          <w:i w:val="0"/>
        </w:rPr>
        <w:t xml:space="preserve"> Printed forms: </w:t>
      </w:r>
      <w:r>
        <w:rPr>
          <w:b w:val="0"/>
          <w:i/>
        </w:rPr>
        <w:t>Finge animo</w:t>
      </w:r>
      <w:r>
        <w:rPr>
          <w:b w:val="0"/>
          <w:i w:val="0"/>
        </w:rPr>
        <w:t xml:space="preserve">; </w:t>
      </w:r>
      <w:r>
        <w:rPr>
          <w:b w:val="0"/>
          <w:i/>
        </w:rPr>
        <w:t>Finge iterum</w:t>
      </w:r>
      <w:r>
        <w:rPr>
          <w:b w:val="0"/>
          <w:i w:val="0"/>
        </w:rPr>
        <w:t>.</w:t>
      </w:r>
    </w:p>
    <w:p>
      <w:pPr>
        <w:widowControl/>
      </w:pPr>
      <w:r>
        <w:rPr>
          <w:b w:val="0"/>
          <w:i w:val="0"/>
        </w:rPr>
        <w:t xml:space="preserve">Imagine, and imagine again. Two explicit thought experiments enlarge eye and mind to isolate simultaneous apprehension while preserving distinction from light or truth. References: </w:t>
      </w:r>
      <w:hyperlink w:anchor="passage-i-6-8">
        <w:r>
          <w:rPr>
            <w:color w:val="000000"/>
          </w:rPr>
          <w:t xml:space="preserve">I.6.8</w:t>
        </w:r>
      </w:hyperlink>
      <w:r>
        <w:rPr>
          <w:b w:val="0"/>
          <w:i w:val="0"/>
        </w:rPr>
        <w:t xml:space="preserve">, </w:t>
      </w:r>
      <w:hyperlink w:anchor="passage-i-6-9">
        <w:r>
          <w:rPr>
            <w:color w:val="000000"/>
          </w:rPr>
          <w:t xml:space="preserve">I.6.9</w:t>
        </w:r>
      </w:hyperlink>
      <w:r>
        <w:rPr>
          <w:b w:val="0"/>
          <w:i w:val="0"/>
        </w:rPr>
        <w:t xml:space="preserve">. See </w:t>
      </w:r>
      <w:hyperlink w:anchor="eye-and-imagined-enlargement">
        <w:r>
          <w:rPr>
            <w:color w:val="000000"/>
          </w:rPr>
          <w:t xml:space="preserve">Eye and imagined enlargement</w:t>
        </w:r>
      </w:hyperlink>
      <w:r>
        <w:rPr>
          <w:b w:val="0"/>
          <w:i w:val="0"/>
        </w:rPr>
        <w:t>.</w:t>
      </w:r>
    </w:p>
    <w:p>
      <w:pPr>
        <w:keepNext/>
        <w:widowControl/>
      </w:pPr>
      <w:bookmarkStart w:id="699" w:name="latin-record-0448"/>
      <w:bookmarkEnd w:id="699"/>
      <w:r>
        <w:rPr>
          <w:b/>
          <w:i w:val="0"/>
        </w:rPr>
        <w:t>fingo and removed members</w:t>
      </w:r>
      <w:r>
        <w:rPr>
          <w:b/>
          <w:i w:val="0"/>
        </w:rPr>
        <w:t>.</w:t>
      </w:r>
      <w:r>
        <w:rPr>
          <w:b w:val="0"/>
          <w:i w:val="0"/>
        </w:rPr>
        <w:t xml:space="preserve"> Printed forms: </w:t>
      </w:r>
      <w:r>
        <w:rPr>
          <w:b w:val="0"/>
          <w:i/>
        </w:rPr>
        <w:t>deletis</w:t>
      </w:r>
      <w:r>
        <w:rPr>
          <w:b w:val="0"/>
          <w:i w:val="0"/>
        </w:rPr>
        <w:t xml:space="preserve">; </w:t>
      </w:r>
      <w:r>
        <w:rPr>
          <w:b w:val="0"/>
          <w:i/>
        </w:rPr>
        <w:t>relicta</w:t>
      </w:r>
      <w:r>
        <w:rPr>
          <w:b w:val="0"/>
          <w:i w:val="0"/>
        </w:rPr>
        <w:t xml:space="preserve">; </w:t>
      </w:r>
      <w:r>
        <w:rPr>
          <w:b w:val="0"/>
          <w:i/>
        </w:rPr>
        <w:t>sublata</w:t>
      </w:r>
      <w:r>
        <w:rPr>
          <w:b w:val="0"/>
          <w:i w:val="0"/>
        </w:rPr>
        <w:t>.</w:t>
      </w:r>
    </w:p>
    <w:p>
      <w:pPr>
        <w:widowControl/>
      </w:pPr>
      <w:r>
        <w:rPr>
          <w:b w:val="0"/>
          <w:i w:val="0"/>
        </w:rPr>
        <w:t xml:space="preserve">With something removed or abolished; left remaining. These participles specify hypothetical removal of bodily members or nonintellectual soul-powers in the paired eye/mind thought experiments, not actual prescriptions for transformation. References: </w:t>
      </w:r>
      <w:hyperlink w:anchor="passage-i-6-8">
        <w:r>
          <w:rPr>
            <w:color w:val="000000"/>
          </w:rPr>
          <w:t xml:space="preserve">I.6.8</w:t>
        </w:r>
      </w:hyperlink>
      <w:r>
        <w:rPr>
          <w:b w:val="0"/>
          <w:i w:val="0"/>
        </w:rPr>
        <w:t xml:space="preserve">, </w:t>
      </w:r>
      <w:hyperlink w:anchor="passage-i-6-9">
        <w:r>
          <w:rPr>
            <w:color w:val="000000"/>
          </w:rPr>
          <w:t xml:space="preserve">I.6.9</w:t>
        </w:r>
      </w:hyperlink>
      <w:r>
        <w:rPr>
          <w:b w:val="0"/>
          <w:i w:val="0"/>
        </w:rPr>
        <w:t xml:space="preserve">. See </w:t>
      </w:r>
      <w:hyperlink w:anchor="eye-and-imagined-enlargement">
        <w:r>
          <w:rPr>
            <w:color w:val="000000"/>
          </w:rPr>
          <w:t xml:space="preserve">Eye and imagined enlargement</w:t>
        </w:r>
      </w:hyperlink>
      <w:r>
        <w:rPr>
          <w:b w:val="0"/>
          <w:i w:val="0"/>
        </w:rPr>
        <w:t>.</w:t>
      </w:r>
    </w:p>
    <w:p>
      <w:pPr>
        <w:keepNext/>
        <w:widowControl/>
      </w:pPr>
      <w:bookmarkStart w:id="700" w:name="latin-record-0449"/>
      <w:bookmarkEnd w:id="700"/>
      <w:r>
        <w:rPr>
          <w:b/>
          <w:i w:val="0"/>
        </w:rPr>
        <w:t>finis</w:t>
      </w:r>
      <w:r>
        <w:rPr>
          <w:b/>
          <w:i w:val="0"/>
        </w:rPr>
        <w:t>.</w:t>
      </w:r>
      <w:r>
        <w:rPr>
          <w:b w:val="0"/>
          <w:i w:val="0"/>
        </w:rPr>
        <w:t xml:space="preserve"> Printed forms: </w:t>
      </w:r>
      <w:r>
        <w:rPr>
          <w:b w:val="0"/>
          <w:i/>
        </w:rPr>
        <w:t>finis</w:t>
      </w:r>
      <w:r>
        <w:rPr>
          <w:b w:val="0"/>
          <w:i w:val="0"/>
        </w:rPr>
        <w:t>.</w:t>
      </w:r>
    </w:p>
    <w:p>
      <w:pPr>
        <w:widowControl/>
      </w:pPr>
      <w:r>
        <w:rPr>
          <w:b w:val="0"/>
          <w:i w:val="0"/>
        </w:rPr>
        <w:t xml:space="preserve">End, goal, or boundary. A circuit’s end coincides with its beginning, so having an end need not mean ceasing to operate forever. References: </w:t>
      </w:r>
      <w:hyperlink w:anchor="passage-iii-2-26">
        <w:r>
          <w:rPr>
            <w:color w:val="000000"/>
          </w:rPr>
          <w:t xml:space="preserve">III.2.26</w:t>
        </w:r>
      </w:hyperlink>
      <w:r>
        <w:rPr>
          <w:b w:val="0"/>
          <w:i w:val="0"/>
        </w:rPr>
        <w:t xml:space="preserve">. See </w:t>
      </w:r>
      <w:hyperlink w:anchor="end-and-limit">
        <w:r>
          <w:rPr>
            <w:color w:val="000000"/>
          </w:rPr>
          <w:t xml:space="preserve">End and limit</w:t>
        </w:r>
      </w:hyperlink>
      <w:r>
        <w:rPr>
          <w:b w:val="0"/>
          <w:i w:val="0"/>
        </w:rPr>
        <w:t>.</w:t>
      </w:r>
    </w:p>
    <w:p>
      <w:pPr>
        <w:keepNext/>
        <w:widowControl/>
      </w:pPr>
      <w:bookmarkStart w:id="701" w:name="latin-record-0450"/>
      <w:bookmarkEnd w:id="701"/>
      <w:r>
        <w:rPr>
          <w:b/>
          <w:i w:val="0"/>
        </w:rPr>
        <w:t>finis / scopus</w:t>
      </w:r>
      <w:r>
        <w:rPr>
          <w:b/>
          <w:i w:val="0"/>
        </w:rPr>
        <w:t>.</w:t>
      </w:r>
      <w:r>
        <w:rPr>
          <w:b w:val="0"/>
          <w:i w:val="0"/>
        </w:rPr>
        <w:t xml:space="preserve"> Printed forms: </w:t>
      </w:r>
      <w:r>
        <w:rPr>
          <w:b w:val="0"/>
          <w:i/>
        </w:rPr>
        <w:t>Finis</w:t>
      </w:r>
      <w:r>
        <w:rPr>
          <w:b w:val="0"/>
          <w:i w:val="0"/>
        </w:rPr>
        <w:t xml:space="preserve">; </w:t>
      </w:r>
      <w:r>
        <w:rPr>
          <w:b w:val="0"/>
          <w:i/>
        </w:rPr>
        <w:t>finis</w:t>
      </w:r>
      <w:r>
        <w:rPr>
          <w:b w:val="0"/>
          <w:i w:val="0"/>
        </w:rPr>
        <w:t xml:space="preserve">; </w:t>
      </w:r>
      <w:r>
        <w:rPr>
          <w:b w:val="0"/>
          <w:i/>
        </w:rPr>
        <w:t>finisque</w:t>
      </w:r>
      <w:r>
        <w:rPr>
          <w:b w:val="0"/>
          <w:i w:val="0"/>
        </w:rPr>
        <w:t xml:space="preserve">; </w:t>
      </w:r>
      <w:r>
        <w:rPr>
          <w:b w:val="0"/>
          <w:i/>
        </w:rPr>
        <w:t>Scopus</w:t>
      </w:r>
      <w:r>
        <w:rPr>
          <w:b w:val="0"/>
          <w:i w:val="0"/>
        </w:rPr>
        <w:t>.</w:t>
      </w:r>
    </w:p>
    <w:p>
      <w:pPr>
        <w:widowControl/>
      </w:pPr>
      <w:r>
        <w:rPr>
          <w:b w:val="0"/>
          <w:i w:val="0"/>
        </w:rPr>
        <w:t xml:space="preserve">End as completion, terminus, or goal; scopus explicitly marks an aim. The first source is also desire’s final end; mind’s goal is true good in the reported mental-presence theory. References: </w:t>
      </w:r>
      <w:hyperlink w:anchor="passage-ii-3-9">
        <w:r>
          <w:rPr>
            <w:color w:val="000000"/>
          </w:rPr>
          <w:t xml:space="preserve">II.3.9</w:t>
        </w:r>
      </w:hyperlink>
      <w:r>
        <w:rPr>
          <w:b w:val="0"/>
          <w:i w:val="0"/>
        </w:rPr>
        <w:t xml:space="preserve">, </w:t>
      </w:r>
      <w:hyperlink w:anchor="passage-ii-4-8">
        <w:r>
          <w:rPr>
            <w:color w:val="000000"/>
          </w:rPr>
          <w:t xml:space="preserve">II.4.8</w:t>
        </w:r>
      </w:hyperlink>
      <w:r>
        <w:rPr>
          <w:b w:val="0"/>
          <w:i w:val="0"/>
        </w:rPr>
        <w:t xml:space="preserve">, </w:t>
      </w:r>
      <w:hyperlink w:anchor="passage-ii-6-23">
        <w:r>
          <w:rPr>
            <w:color w:val="000000"/>
          </w:rPr>
          <w:t xml:space="preserve">II.6.23</w:t>
        </w:r>
      </w:hyperlink>
      <w:r>
        <w:rPr>
          <w:b w:val="0"/>
          <w:i w:val="0"/>
        </w:rPr>
        <w:t xml:space="preserve">. See </w:t>
      </w:r>
      <w:hyperlink w:anchor="end-and-limit">
        <w:r>
          <w:rPr>
            <w:color w:val="000000"/>
          </w:rPr>
          <w:t xml:space="preserve">End and limit</w:t>
        </w:r>
      </w:hyperlink>
      <w:r>
        <w:rPr>
          <w:b w:val="0"/>
          <w:i w:val="0"/>
        </w:rPr>
        <w:t>.</w:t>
      </w:r>
    </w:p>
    <w:p>
      <w:pPr>
        <w:keepNext/>
        <w:widowControl/>
      </w:pPr>
      <w:bookmarkStart w:id="702" w:name="latin-record-0451"/>
      <w:bookmarkEnd w:id="702"/>
      <w:r>
        <w:rPr>
          <w:b/>
          <w:i w:val="0"/>
        </w:rPr>
        <w:t>flammula / concavum / evolare</w:t>
      </w:r>
      <w:r>
        <w:rPr>
          <w:b/>
          <w:i w:val="0"/>
        </w:rPr>
        <w:t>.</w:t>
      </w:r>
      <w:r>
        <w:rPr>
          <w:b w:val="0"/>
          <w:i w:val="0"/>
        </w:rPr>
        <w:t xml:space="preserve"> Printed forms: </w:t>
      </w:r>
      <w:r>
        <w:rPr>
          <w:b w:val="0"/>
          <w:i/>
        </w:rPr>
        <w:t>concavum</w:t>
      </w:r>
      <w:r>
        <w:rPr>
          <w:b w:val="0"/>
          <w:i w:val="0"/>
        </w:rPr>
        <w:t xml:space="preserve">; </w:t>
      </w:r>
      <w:r>
        <w:rPr>
          <w:b w:val="0"/>
          <w:i/>
        </w:rPr>
        <w:t>evolaret</w:t>
      </w:r>
      <w:r>
        <w:rPr>
          <w:b w:val="0"/>
          <w:i w:val="0"/>
        </w:rPr>
        <w:t xml:space="preserve">; </w:t>
      </w:r>
      <w:r>
        <w:rPr>
          <w:b w:val="0"/>
          <w:i/>
        </w:rPr>
        <w:t>flammula</w:t>
      </w:r>
      <w:r>
        <w:rPr>
          <w:b w:val="0"/>
          <w:i w:val="0"/>
        </w:rPr>
        <w:t>.</w:t>
      </w:r>
    </w:p>
    <w:p>
      <w:pPr>
        <w:widowControl/>
      </w:pPr>
      <w:r>
        <w:rPr>
          <w:b w:val="0"/>
          <w:i w:val="0"/>
        </w:rPr>
        <w:t xml:space="preserve">Little flame, concavity, and upward flight. A chain of conditional flame-examples models attaining and wholly enjoying a natural goal within the reported theory. References: </w:t>
      </w:r>
      <w:hyperlink w:anchor="passage-ii-6-23">
        <w:r>
          <w:rPr>
            <w:color w:val="000000"/>
          </w:rPr>
          <w:t xml:space="preserve">II.6.23</w:t>
        </w:r>
      </w:hyperlink>
      <w:r>
        <w:rPr>
          <w:b w:val="0"/>
          <w:i w:val="0"/>
        </w:rPr>
        <w:t xml:space="preserve">. See </w:t>
      </w:r>
      <w:hyperlink w:anchor="natural-motion-and-natural-place">
        <w:r>
          <w:rPr>
            <w:color w:val="000000"/>
          </w:rPr>
          <w:t xml:space="preserve">Natural motion and natural place</w:t>
        </w:r>
      </w:hyperlink>
      <w:r>
        <w:rPr>
          <w:b w:val="0"/>
          <w:i w:val="0"/>
        </w:rPr>
        <w:t>.</w:t>
      </w:r>
    </w:p>
    <w:p>
      <w:pPr>
        <w:keepNext/>
        <w:widowControl/>
      </w:pPr>
      <w:bookmarkStart w:id="703" w:name="latin-record-0452"/>
      <w:bookmarkEnd w:id="703"/>
      <w:r>
        <w:rPr>
          <w:b/>
          <w:i w:val="0"/>
        </w:rPr>
        <w:t>Florentia / Germanus</w:t>
      </w:r>
      <w:r>
        <w:rPr>
          <w:b/>
          <w:i w:val="0"/>
        </w:rPr>
        <w:t>.</w:t>
      </w:r>
      <w:r>
        <w:rPr>
          <w:b w:val="0"/>
          <w:i w:val="0"/>
        </w:rPr>
        <w:t xml:space="preserve"> Printed forms: </w:t>
      </w:r>
      <w:r>
        <w:rPr>
          <w:b w:val="0"/>
          <w:i/>
        </w:rPr>
        <w:t>Florentiae</w:t>
      </w:r>
      <w:r>
        <w:rPr>
          <w:b w:val="0"/>
          <w:i w:val="0"/>
        </w:rPr>
        <w:t xml:space="preserve">; </w:t>
      </w:r>
      <w:r>
        <w:rPr>
          <w:b w:val="0"/>
          <w:i/>
        </w:rPr>
        <w:t>Germani</w:t>
      </w:r>
      <w:r>
        <w:rPr>
          <w:b w:val="0"/>
          <w:i w:val="0"/>
        </w:rPr>
        <w:t>.</w:t>
      </w:r>
    </w:p>
    <w:p>
      <w:pPr>
        <w:widowControl/>
      </w:pPr>
      <w:r>
        <w:rPr>
          <w:b w:val="0"/>
          <w:i w:val="0"/>
        </w:rPr>
        <w:t xml:space="preserve">Florence / German. Ficino locates the display at Florence and describes its unnamed maker as German; the text does not identify him further. References: </w:t>
      </w:r>
      <w:hyperlink w:anchor="passage-ii-13-13">
        <w:r>
          <w:rPr>
            <w:color w:val="000000"/>
          </w:rPr>
          <w:t xml:space="preserve">II.13.13</w:t>
        </w:r>
      </w:hyperlink>
      <w:r>
        <w:rPr>
          <w:b w:val="0"/>
          <w:i w:val="0"/>
        </w:rPr>
        <w:t xml:space="preserve">. See </w:t>
      </w:r>
      <w:hyperlink w:anchor="florentine-mechanism">
        <w:r>
          <w:rPr>
            <w:color w:val="000000"/>
          </w:rPr>
          <w:t xml:space="preserve">Florentine mechanism</w:t>
        </w:r>
      </w:hyperlink>
      <w:r>
        <w:rPr>
          <w:b w:val="0"/>
          <w:i w:val="0"/>
        </w:rPr>
        <w:t>.</w:t>
      </w:r>
    </w:p>
    <w:p>
      <w:pPr>
        <w:keepNext/>
        <w:widowControl/>
      </w:pPr>
      <w:bookmarkStart w:id="704" w:name="latin-record-0453"/>
      <w:bookmarkEnd w:id="704"/>
      <w:r>
        <w:rPr>
          <w:b/>
          <w:i w:val="0"/>
        </w:rPr>
        <w:t>florere / virescere</w:t>
      </w:r>
      <w:r>
        <w:rPr>
          <w:b/>
          <w:i w:val="0"/>
        </w:rPr>
        <w:t>.</w:t>
      </w:r>
      <w:r>
        <w:rPr>
          <w:b w:val="0"/>
          <w:i w:val="0"/>
        </w:rPr>
        <w:t xml:space="preserve"> Printed forms: </w:t>
      </w:r>
      <w:r>
        <w:rPr>
          <w:b w:val="0"/>
          <w:i/>
        </w:rPr>
        <w:t>virescunt</w:t>
      </w:r>
      <w:r>
        <w:rPr>
          <w:b w:val="0"/>
          <w:i w:val="0"/>
        </w:rPr>
        <w:t>.</w:t>
      </w:r>
    </w:p>
    <w:p>
      <w:pPr>
        <w:widowControl/>
      </w:pPr>
      <w:r>
        <w:rPr>
          <w:b w:val="0"/>
          <w:i w:val="0"/>
        </w:rPr>
        <w:t xml:space="preserve">To grow green or flourish. The Apollo hymn’s flourishing belongs to the image of universal life and harmonious care, not a separate botanical argument. References: </w:t>
      </w:r>
      <w:hyperlink w:anchor="passage-ii-9-22">
        <w:r>
          <w:rPr>
            <w:color w:val="000000"/>
          </w:rPr>
          <w:t xml:space="preserve">II.9.22</w:t>
        </w:r>
      </w:hyperlink>
      <w:r>
        <w:rPr>
          <w:b w:val="0"/>
          <w:i w:val="0"/>
        </w:rPr>
        <w:t xml:space="preserve">. See </w:t>
      </w:r>
      <w:hyperlink w:anchor="apollo">
        <w:r>
          <w:rPr>
            <w:color w:val="000000"/>
          </w:rPr>
          <w:t xml:space="preserve">Apollo</w:t>
        </w:r>
      </w:hyperlink>
      <w:r>
        <w:rPr>
          <w:b w:val="0"/>
          <w:i w:val="0"/>
        </w:rPr>
        <w:t>.</w:t>
      </w:r>
    </w:p>
    <w:p>
      <w:pPr>
        <w:keepNext/>
        <w:widowControl/>
      </w:pPr>
      <w:bookmarkStart w:id="705" w:name="latin-record-0454"/>
      <w:bookmarkEnd w:id="705"/>
      <w:r>
        <w:rPr>
          <w:b/>
          <w:i w:val="0"/>
        </w:rPr>
        <w:t>flos / herba</w:t>
      </w:r>
      <w:r>
        <w:rPr>
          <w:b/>
          <w:i w:val="0"/>
        </w:rPr>
        <w:t>.</w:t>
      </w:r>
      <w:r>
        <w:rPr>
          <w:b w:val="0"/>
          <w:i w:val="0"/>
        </w:rPr>
        <w:t xml:space="preserve"> Printed forms: </w:t>
      </w:r>
      <w:r>
        <w:rPr>
          <w:b w:val="0"/>
          <w:i/>
        </w:rPr>
        <w:t>florem</w:t>
      </w:r>
      <w:r>
        <w:rPr>
          <w:b w:val="0"/>
          <w:i w:val="0"/>
        </w:rPr>
        <w:t xml:space="preserve">; </w:t>
      </w:r>
      <w:r>
        <w:rPr>
          <w:b w:val="0"/>
          <w:i/>
        </w:rPr>
        <w:t>herba</w:t>
      </w:r>
      <w:r>
        <w:rPr>
          <w:b w:val="0"/>
          <w:i w:val="0"/>
        </w:rPr>
        <w:t>.</w:t>
      </w:r>
    </w:p>
    <w:p>
      <w:pPr>
        <w:widowControl/>
      </w:pPr>
      <w:r>
        <w:rPr>
          <w:b w:val="0"/>
          <w:i w:val="0"/>
        </w:rPr>
        <w:t xml:space="preserve">Flower / plant or herb. Successive attention to individual plants illustrates the temporal mode supplied by the painter’s soul. References: </w:t>
      </w:r>
      <w:hyperlink w:anchor="passage-iii-1-28">
        <w:r>
          <w:rPr>
            <w:color w:val="000000"/>
          </w:rPr>
          <w:t xml:space="preserve">III.1.28</w:t>
        </w:r>
      </w:hyperlink>
      <w:r>
        <w:rPr>
          <w:b w:val="0"/>
          <w:i w:val="0"/>
        </w:rPr>
        <w:t xml:space="preserve">, </w:t>
      </w:r>
      <w:hyperlink w:anchor="passage-iii-1-29">
        <w:r>
          <w:rPr>
            <w:color w:val="000000"/>
          </w:rPr>
          <w:t xml:space="preserve">III.1.29</w:t>
        </w:r>
      </w:hyperlink>
      <w:r>
        <w:rPr>
          <w:b w:val="0"/>
          <w:i w:val="0"/>
        </w:rPr>
        <w:t xml:space="preserve">. See </w:t>
      </w:r>
      <w:hyperlink w:anchor="apelles-and-the-meadow">
        <w:r>
          <w:rPr>
            <w:color w:val="000000"/>
          </w:rPr>
          <w:t xml:space="preserve">Apelles and the meadow</w:t>
        </w:r>
      </w:hyperlink>
      <w:r>
        <w:rPr>
          <w:b w:val="0"/>
          <w:i w:val="0"/>
        </w:rPr>
        <w:t>.</w:t>
      </w:r>
    </w:p>
    <w:p>
      <w:pPr>
        <w:keepNext/>
        <w:widowControl/>
      </w:pPr>
      <w:bookmarkStart w:id="706" w:name="latin-record-0455"/>
      <w:bookmarkEnd w:id="706"/>
      <w:r>
        <w:rPr>
          <w:b/>
          <w:i w:val="0"/>
        </w:rPr>
        <w:t>fluctuo / labens</w:t>
      </w:r>
      <w:r>
        <w:rPr>
          <w:b/>
          <w:i w:val="0"/>
        </w:rPr>
        <w:t>.</w:t>
      </w:r>
      <w:r>
        <w:rPr>
          <w:b w:val="0"/>
          <w:i w:val="0"/>
        </w:rPr>
        <w:t xml:space="preserve"> Printed forms: </w:t>
      </w:r>
      <w:r>
        <w:rPr>
          <w:b w:val="0"/>
          <w:i/>
        </w:rPr>
        <w:t>fluctuabit</w:t>
      </w:r>
      <w:r>
        <w:rPr>
          <w:b w:val="0"/>
          <w:i w:val="0"/>
        </w:rPr>
        <w:t xml:space="preserve">; </w:t>
      </w:r>
      <w:r>
        <w:rPr>
          <w:b w:val="0"/>
          <w:i/>
        </w:rPr>
        <w:t>labentes</w:t>
      </w:r>
      <w:r>
        <w:rPr>
          <w:b w:val="0"/>
          <w:i w:val="0"/>
        </w:rPr>
        <w:t xml:space="preserve">; </w:t>
      </w:r>
      <w:r>
        <w:rPr>
          <w:b w:val="0"/>
          <w:i/>
        </w:rPr>
        <w:t>labentium</w:t>
      </w:r>
      <w:r>
        <w:rPr>
          <w:b w:val="0"/>
          <w:i w:val="0"/>
        </w:rPr>
        <w:t>.</w:t>
      </w:r>
    </w:p>
    <w:p>
      <w:pPr>
        <w:widowControl/>
      </w:pPr>
      <w:r>
        <w:rPr>
          <w:b w:val="0"/>
          <w:i w:val="0"/>
        </w:rPr>
        <w:t xml:space="preserve">To fluctuate and to pass away or slip onward. Matter’s changing forms and the reported Plotinian shadow-affections contrast with the stable essence that a first productive source would require. References: </w:t>
      </w:r>
      <w:hyperlink w:anchor="passage-i-3-6">
        <w:r>
          <w:rPr>
            <w:color w:val="000000"/>
          </w:rPr>
          <w:t xml:space="preserve">I.3.6</w:t>
        </w:r>
      </w:hyperlink>
      <w:r>
        <w:rPr>
          <w:b w:val="0"/>
          <w:i w:val="0"/>
        </w:rPr>
        <w:t xml:space="preserve">, </w:t>
      </w:r>
      <w:hyperlink w:anchor="passage-i-3-19">
        <w:r>
          <w:rPr>
            <w:color w:val="000000"/>
          </w:rPr>
          <w:t xml:space="preserve">I.3.19</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707" w:name="latin-record-0456"/>
      <w:bookmarkEnd w:id="707"/>
      <w:r>
        <w:rPr>
          <w:b/>
          <w:i w:val="0"/>
        </w:rPr>
        <w:t>fluere</w:t>
      </w:r>
      <w:r>
        <w:rPr>
          <w:b/>
          <w:i w:val="0"/>
        </w:rPr>
        <w:t>.</w:t>
      </w:r>
      <w:r>
        <w:rPr>
          <w:b w:val="0"/>
          <w:i w:val="0"/>
        </w:rPr>
        <w:t xml:space="preserve"> Printed forms: </w:t>
      </w:r>
      <w:r>
        <w:rPr>
          <w:b w:val="0"/>
          <w:i/>
        </w:rPr>
        <w:t>effluit</w:t>
      </w:r>
      <w:r>
        <w:rPr>
          <w:b w:val="0"/>
          <w:i w:val="0"/>
        </w:rPr>
        <w:t xml:space="preserve">; </w:t>
      </w:r>
      <w:r>
        <w:rPr>
          <w:b w:val="0"/>
          <w:i/>
        </w:rPr>
        <w:t>Fluet</w:t>
      </w:r>
      <w:r>
        <w:rPr>
          <w:b w:val="0"/>
          <w:i w:val="0"/>
        </w:rPr>
        <w:t>.</w:t>
      </w:r>
    </w:p>
    <w:p>
      <w:pPr>
        <w:widowControl/>
      </w:pPr>
      <w:r>
        <w:rPr>
          <w:b w:val="0"/>
          <w:i w:val="0"/>
        </w:rPr>
        <w:t xml:space="preserve">Flow. Soul’s operation flows through different acts while its substance persists; the metaphor marks temporal succession. References: </w:t>
      </w:r>
      <w:hyperlink w:anchor="passage-iii-1-16">
        <w:r>
          <w:rPr>
            <w:color w:val="000000"/>
          </w:rPr>
          <w:t xml:space="preserve">III.1.16</w:t>
        </w:r>
      </w:hyperlink>
      <w:r>
        <w:rPr>
          <w:b w:val="0"/>
          <w:i w:val="0"/>
        </w:rPr>
        <w:t xml:space="preserve">, </w:t>
      </w:r>
      <w:hyperlink w:anchor="passage-iii-1-23">
        <w:r>
          <w:rPr>
            <w:color w:val="000000"/>
          </w:rPr>
          <w:t xml:space="preserve">III.1.23</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708" w:name="latin-record-0457"/>
      <w:bookmarkEnd w:id="708"/>
      <w:r>
        <w:rPr>
          <w:b/>
          <w:i w:val="0"/>
        </w:rPr>
        <w:t>fluere / fluitare / fluxus</w:t>
      </w:r>
      <w:r>
        <w:rPr>
          <w:b/>
          <w:i w:val="0"/>
        </w:rPr>
        <w:t>.</w:t>
      </w:r>
      <w:r>
        <w:rPr>
          <w:b w:val="0"/>
          <w:i w:val="0"/>
        </w:rPr>
        <w:t xml:space="preserve"> Printed forms: </w:t>
      </w:r>
      <w:r>
        <w:rPr>
          <w:b w:val="0"/>
          <w:i/>
        </w:rPr>
        <w:t>effluxus</w:t>
      </w:r>
      <w:r>
        <w:rPr>
          <w:b w:val="0"/>
          <w:i w:val="0"/>
        </w:rPr>
        <w:t xml:space="preserve">; </w:t>
      </w:r>
      <w:r>
        <w:rPr>
          <w:b w:val="0"/>
          <w:i/>
        </w:rPr>
        <w:t>fluentium</w:t>
      </w:r>
      <w:r>
        <w:rPr>
          <w:b w:val="0"/>
          <w:i w:val="0"/>
        </w:rPr>
        <w:t xml:space="preserve">; </w:t>
      </w:r>
      <w:r>
        <w:rPr>
          <w:b w:val="0"/>
          <w:i/>
        </w:rPr>
        <w:t>fluit</w:t>
      </w:r>
      <w:r>
        <w:rPr>
          <w:b w:val="0"/>
          <w:i w:val="0"/>
        </w:rPr>
        <w:t xml:space="preserve">; </w:t>
      </w:r>
      <w:r>
        <w:rPr>
          <w:b w:val="0"/>
          <w:i/>
        </w:rPr>
        <w:t>fluitabunt</w:t>
      </w:r>
      <w:r>
        <w:rPr>
          <w:b w:val="0"/>
          <w:i w:val="0"/>
        </w:rPr>
        <w:t xml:space="preserve">; </w:t>
      </w:r>
      <w:r>
        <w:rPr>
          <w:b w:val="0"/>
          <w:i/>
        </w:rPr>
        <w:t>fluitat</w:t>
      </w:r>
      <w:r>
        <w:rPr>
          <w:b w:val="0"/>
          <w:i w:val="0"/>
        </w:rPr>
        <w:t xml:space="preserve">; </w:t>
      </w:r>
      <w:r>
        <w:rPr>
          <w:b w:val="0"/>
          <w:i/>
        </w:rPr>
        <w:t>fluxerunt</w:t>
      </w:r>
      <w:r>
        <w:rPr>
          <w:b w:val="0"/>
          <w:i w:val="0"/>
        </w:rPr>
        <w:t xml:space="preserve">; </w:t>
      </w:r>
      <w:r>
        <w:rPr>
          <w:b w:val="0"/>
          <w:i/>
        </w:rPr>
        <w:t>fluxum</w:t>
      </w:r>
      <w:r>
        <w:rPr>
          <w:b w:val="0"/>
          <w:i w:val="0"/>
        </w:rPr>
        <w:t xml:space="preserve">; </w:t>
      </w:r>
      <w:r>
        <w:rPr>
          <w:b w:val="0"/>
          <w:i/>
        </w:rPr>
        <w:t>refluunt</w:t>
      </w:r>
      <w:r>
        <w:rPr>
          <w:b w:val="0"/>
          <w:i w:val="0"/>
        </w:rPr>
        <w:t>.</w:t>
      </w:r>
    </w:p>
    <w:p>
      <w:pPr>
        <w:widowControl/>
      </w:pPr>
      <w:r>
        <w:rPr>
          <w:b w:val="0"/>
          <w:i w:val="0"/>
        </w:rPr>
        <w:t xml:space="preserve">To flow; to drift or remain unstable; a flowing process. The wordplay connects dependence on another with instability, while return-flow and outpouring have positive causal senses. References: </w:t>
      </w:r>
      <w:hyperlink w:anchor="passage-ii-3-3">
        <w:r>
          <w:rPr>
            <w:color w:val="000000"/>
          </w:rPr>
          <w:t xml:space="preserve">II.3.3</w:t>
        </w:r>
      </w:hyperlink>
      <w:r>
        <w:rPr>
          <w:b w:val="0"/>
          <w:i w:val="0"/>
        </w:rPr>
        <w:t xml:space="preserve">, </w:t>
      </w:r>
      <w:hyperlink w:anchor="passage-ii-3-7">
        <w:r>
          <w:rPr>
            <w:color w:val="000000"/>
          </w:rPr>
          <w:t xml:space="preserve">II.3.7</w:t>
        </w:r>
      </w:hyperlink>
      <w:r>
        <w:rPr>
          <w:b w:val="0"/>
          <w:i w:val="0"/>
        </w:rPr>
        <w:t xml:space="preserve">, </w:t>
      </w:r>
      <w:hyperlink w:anchor="passage-ii-3-8">
        <w:r>
          <w:rPr>
            <w:color w:val="000000"/>
          </w:rPr>
          <w:t xml:space="preserve">II.3.8</w:t>
        </w:r>
      </w:hyperlink>
      <w:r>
        <w:rPr>
          <w:b w:val="0"/>
          <w:i w:val="0"/>
        </w:rPr>
        <w:t xml:space="preserve">, </w:t>
      </w:r>
      <w:hyperlink w:anchor="passage-ii-3-10">
        <w:r>
          <w:rPr>
            <w:color w:val="000000"/>
          </w:rPr>
          <w:t xml:space="preserve">II.3.10</w:t>
        </w:r>
      </w:hyperlink>
      <w:r>
        <w:rPr>
          <w:b w:val="0"/>
          <w:i w:val="0"/>
        </w:rPr>
        <w:t xml:space="preserve">. See </w:t>
      </w:r>
      <w:hyperlink w:anchor="spring-and-flow">
        <w:r>
          <w:rPr>
            <w:color w:val="000000"/>
          </w:rPr>
          <w:t xml:space="preserve">Spring and flow</w:t>
        </w:r>
      </w:hyperlink>
      <w:r>
        <w:rPr>
          <w:b w:val="0"/>
          <w:i w:val="0"/>
        </w:rPr>
        <w:t>.</w:t>
      </w:r>
    </w:p>
    <w:p>
      <w:pPr>
        <w:keepNext/>
        <w:widowControl/>
      </w:pPr>
      <w:bookmarkStart w:id="709" w:name="latin-record-0458"/>
      <w:bookmarkEnd w:id="709"/>
      <w:r>
        <w:rPr>
          <w:b/>
          <w:i w:val="0"/>
        </w:rPr>
        <w:t>fomentum</w:t>
      </w:r>
      <w:r>
        <w:rPr>
          <w:b/>
          <w:i w:val="0"/>
        </w:rPr>
        <w:t>.</w:t>
      </w:r>
      <w:r>
        <w:rPr>
          <w:b w:val="0"/>
          <w:i w:val="0"/>
        </w:rPr>
        <w:t xml:space="preserve"> Printed forms: </w:t>
      </w:r>
      <w:r>
        <w:rPr>
          <w:b w:val="0"/>
          <w:i/>
        </w:rPr>
        <w:t>fomento</w:t>
      </w:r>
      <w:r>
        <w:rPr>
          <w:b w:val="0"/>
          <w:i w:val="0"/>
        </w:rPr>
        <w:t>.</w:t>
      </w:r>
    </w:p>
    <w:p>
      <w:pPr>
        <w:widowControl/>
      </w:pPr>
      <w:r>
        <w:rPr>
          <w:b w:val="0"/>
          <w:i w:val="0"/>
        </w:rPr>
        <w:t xml:space="preserve">Sustaining support. Quality cannot exist without matter’s support; the noun here should not be reduced to literal food or fuel. References: </w:t>
      </w:r>
      <w:hyperlink w:anchor="passage-i-3-7">
        <w:r>
          <w:rPr>
            <w:color w:val="000000"/>
          </w:rPr>
          <w:t xml:space="preserve">I.3.7</w:t>
        </w:r>
      </w:hyperlink>
      <w:r>
        <w:rPr>
          <w:b w:val="0"/>
          <w:i w:val="0"/>
        </w:rPr>
        <w:t xml:space="preserve">. See </w:t>
      </w:r>
      <w:hyperlink w:anchor="support-inherence-and-dependence">
        <w:r>
          <w:rPr>
            <w:color w:val="000000"/>
          </w:rPr>
          <w:t xml:space="preserve">Support, inherence and dependence</w:t>
        </w:r>
      </w:hyperlink>
      <w:r>
        <w:rPr>
          <w:b w:val="0"/>
          <w:i w:val="0"/>
        </w:rPr>
        <w:t>.</w:t>
      </w:r>
    </w:p>
    <w:p>
      <w:pPr>
        <w:keepNext/>
        <w:widowControl/>
      </w:pPr>
      <w:bookmarkStart w:id="710" w:name="latin-record-0459"/>
      <w:bookmarkEnd w:id="710"/>
      <w:r>
        <w:rPr>
          <w:b/>
          <w:i w:val="0"/>
        </w:rPr>
        <w:t>fomentum / fovere</w:t>
      </w:r>
      <w:r>
        <w:rPr>
          <w:b/>
          <w:i w:val="0"/>
        </w:rPr>
        <w:t>.</w:t>
      </w:r>
      <w:r>
        <w:rPr>
          <w:b w:val="0"/>
          <w:i w:val="0"/>
        </w:rPr>
        <w:t xml:space="preserve"> Printed forms: </w:t>
      </w:r>
      <w:r>
        <w:rPr>
          <w:b w:val="0"/>
          <w:i/>
        </w:rPr>
        <w:t>fomento</w:t>
      </w:r>
      <w:r>
        <w:rPr>
          <w:b w:val="0"/>
          <w:i w:val="0"/>
        </w:rPr>
        <w:t xml:space="preserve">; </w:t>
      </w:r>
      <w:r>
        <w:rPr>
          <w:b w:val="0"/>
          <w:i/>
        </w:rPr>
        <w:t>foveant</w:t>
      </w:r>
      <w:r>
        <w:rPr>
          <w:b w:val="0"/>
          <w:i w:val="0"/>
        </w:rPr>
        <w:t xml:space="preserve">; </w:t>
      </w:r>
      <w:r>
        <w:rPr>
          <w:b w:val="0"/>
          <w:i/>
        </w:rPr>
        <w:t>fovet</w:t>
      </w:r>
      <w:r>
        <w:rPr>
          <w:b w:val="0"/>
          <w:i w:val="0"/>
        </w:rPr>
        <w:t>.</w:t>
      </w:r>
    </w:p>
    <w:p>
      <w:pPr>
        <w:widowControl/>
      </w:pPr>
      <w:r>
        <w:rPr>
          <w:b w:val="0"/>
          <w:i w:val="0"/>
        </w:rPr>
        <w:t xml:space="preserve">Fostering influence; to nurture or strengthen. External fostering helps seeds develop; spiritual seeds nurture abandoned seeds; agate is separately alleged to foster sight. References: </w:t>
      </w:r>
      <w:hyperlink w:anchor="passage-iv-1-14">
        <w:r>
          <w:rPr>
            <w:color w:val="000000"/>
          </w:rPr>
          <w:t xml:space="preserve">IV.1.14</w:t>
        </w:r>
      </w:hyperlink>
      <w:r>
        <w:rPr>
          <w:b w:val="0"/>
          <w:i w:val="0"/>
        </w:rPr>
        <w:t xml:space="preserve">, </w:t>
      </w:r>
      <w:hyperlink w:anchor="passage-iv-1-16">
        <w:r>
          <w:rPr>
            <w:color w:val="000000"/>
          </w:rPr>
          <w:t xml:space="preserve">IV.1.16</w:t>
        </w:r>
      </w:hyperlink>
      <w:r>
        <w:rPr>
          <w:b w:val="0"/>
          <w:i w:val="0"/>
        </w:rPr>
        <w:t xml:space="preserve">, </w:t>
      </w:r>
      <w:hyperlink w:anchor="passage-iv-1-20">
        <w:r>
          <w:rPr>
            <w:color w:val="000000"/>
          </w:rPr>
          <w:t xml:space="preserve">IV.1.20</w:t>
        </w:r>
      </w:hyperlink>
      <w:r>
        <w:rPr>
          <w:b w:val="0"/>
          <w:i w:val="0"/>
        </w:rPr>
        <w:t xml:space="preserve">. See </w:t>
      </w:r>
      <w:hyperlink w:anchor="nourishment-digestion-and-growth">
        <w:r>
          <w:rPr>
            <w:color w:val="000000"/>
          </w:rPr>
          <w:t xml:space="preserve">Nourishment, digestion and growth</w:t>
        </w:r>
      </w:hyperlink>
      <w:r>
        <w:rPr>
          <w:b w:val="0"/>
          <w:i w:val="0"/>
        </w:rPr>
        <w:t>.</w:t>
      </w:r>
    </w:p>
    <w:p>
      <w:pPr>
        <w:keepNext/>
        <w:widowControl/>
      </w:pPr>
      <w:bookmarkStart w:id="711" w:name="latin-record-0460"/>
      <w:bookmarkEnd w:id="711"/>
      <w:r>
        <w:rPr>
          <w:b/>
          <w:i w:val="0"/>
        </w:rPr>
        <w:t>fons / influxus</w:t>
      </w:r>
      <w:r>
        <w:rPr>
          <w:b/>
          <w:i w:val="0"/>
        </w:rPr>
        <w:t>.</w:t>
      </w:r>
      <w:r>
        <w:rPr>
          <w:b w:val="0"/>
          <w:i w:val="0"/>
        </w:rPr>
        <w:t xml:space="preserve"> Printed forms: </w:t>
      </w:r>
      <w:r>
        <w:rPr>
          <w:b w:val="0"/>
          <w:i/>
        </w:rPr>
        <w:t>fons</w:t>
      </w:r>
      <w:r>
        <w:rPr>
          <w:b w:val="0"/>
          <w:i w:val="0"/>
        </w:rPr>
        <w:t xml:space="preserve">; </w:t>
      </w:r>
      <w:r>
        <w:rPr>
          <w:b w:val="0"/>
          <w:i/>
        </w:rPr>
        <w:t>fonte</w:t>
      </w:r>
      <w:r>
        <w:rPr>
          <w:b w:val="0"/>
          <w:i w:val="0"/>
        </w:rPr>
        <w:t xml:space="preserve">; </w:t>
      </w:r>
      <w:r>
        <w:rPr>
          <w:b w:val="0"/>
          <w:i/>
        </w:rPr>
        <w:t>influxu</w:t>
      </w:r>
      <w:r>
        <w:rPr>
          <w:b w:val="0"/>
          <w:i w:val="0"/>
        </w:rPr>
        <w:t>.</w:t>
      </w:r>
    </w:p>
    <w:p>
      <w:pPr>
        <w:widowControl/>
      </w:pPr>
      <w:r>
        <w:rPr>
          <w:b w:val="0"/>
          <w:i w:val="0"/>
        </w:rPr>
        <w:t xml:space="preserve">Source or spring; incoming preserving flow. Self-source would entail supreme perfection; nature endures through divine influx; light is compared with the source of colors. References: </w:t>
      </w:r>
      <w:hyperlink w:anchor="passage-ii-7-16">
        <w:r>
          <w:rPr>
            <w:color w:val="000000"/>
          </w:rPr>
          <w:t xml:space="preserve">II.7.16</w:t>
        </w:r>
      </w:hyperlink>
      <w:r>
        <w:rPr>
          <w:b w:val="0"/>
          <w:i w:val="0"/>
        </w:rPr>
        <w:t xml:space="preserve">, </w:t>
      </w:r>
      <w:hyperlink w:anchor="passage-ii-7-17">
        <w:r>
          <w:rPr>
            <w:color w:val="000000"/>
          </w:rPr>
          <w:t xml:space="preserve">II.7.17</w:t>
        </w:r>
      </w:hyperlink>
      <w:r>
        <w:rPr>
          <w:b w:val="0"/>
          <w:i w:val="0"/>
        </w:rPr>
        <w:t xml:space="preserve">, </w:t>
      </w:r>
      <w:hyperlink w:anchor="passage-ii-10-12">
        <w:r>
          <w:rPr>
            <w:color w:val="000000"/>
          </w:rPr>
          <w:t xml:space="preserve">II.10.12</w:t>
        </w:r>
      </w:hyperlink>
      <w:r>
        <w:rPr>
          <w:b w:val="0"/>
          <w:i w:val="0"/>
        </w:rPr>
        <w:t xml:space="preserve">. See </w:t>
      </w:r>
      <w:hyperlink w:anchor="spring-and-flow">
        <w:r>
          <w:rPr>
            <w:color w:val="000000"/>
          </w:rPr>
          <w:t xml:space="preserve">Spring and flow</w:t>
        </w:r>
      </w:hyperlink>
      <w:r>
        <w:rPr>
          <w:b w:val="0"/>
          <w:i w:val="0"/>
        </w:rPr>
        <w:t>.</w:t>
      </w:r>
    </w:p>
    <w:p>
      <w:pPr>
        <w:keepNext/>
        <w:widowControl/>
      </w:pPr>
      <w:bookmarkStart w:id="712" w:name="latin-record-0461"/>
      <w:bookmarkEnd w:id="712"/>
      <w:r>
        <w:rPr>
          <w:b/>
          <w:i w:val="0"/>
        </w:rPr>
        <w:t>fons / principium</w:t>
      </w:r>
      <w:r>
        <w:rPr>
          <w:b/>
          <w:i w:val="0"/>
        </w:rPr>
        <w:t>.</w:t>
      </w:r>
      <w:r>
        <w:rPr>
          <w:b w:val="0"/>
          <w:i w:val="0"/>
        </w:rPr>
        <w:t xml:space="preserve"> Printed forms: </w:t>
      </w:r>
      <w:r>
        <w:rPr>
          <w:b w:val="0"/>
          <w:i/>
        </w:rPr>
        <w:t>fontem</w:t>
      </w:r>
      <w:r>
        <w:rPr>
          <w:b w:val="0"/>
          <w:i w:val="0"/>
        </w:rPr>
        <w:t xml:space="preserve">; </w:t>
      </w:r>
      <w:r>
        <w:rPr>
          <w:b w:val="0"/>
          <w:i/>
        </w:rPr>
        <w:t>fontem et principium motionis</w:t>
      </w:r>
      <w:r>
        <w:rPr>
          <w:b w:val="0"/>
          <w:i w:val="0"/>
        </w:rPr>
        <w:t xml:space="preserve">; </w:t>
      </w:r>
      <w:r>
        <w:rPr>
          <w:b w:val="0"/>
          <w:i/>
        </w:rPr>
        <w:t>principium</w:t>
      </w:r>
      <w:r>
        <w:rPr>
          <w:b w:val="0"/>
          <w:i w:val="0"/>
        </w:rPr>
        <w:t>.</w:t>
      </w:r>
    </w:p>
    <w:p>
      <w:pPr>
        <w:widowControl/>
      </w:pPr>
      <w:r>
        <w:rPr>
          <w:b w:val="0"/>
          <w:i w:val="0"/>
        </w:rPr>
        <w:t xml:space="preserve">Fountain / originating principle. Ficino explicitly explains fountain as having motion from itself, principle as communicating it to others. References: </w:t>
      </w:r>
      <w:hyperlink w:anchor="passage-iii-1-26">
        <w:r>
          <w:rPr>
            <w:color w:val="000000"/>
          </w:rPr>
          <w:t xml:space="preserve">III.1.26</w:t>
        </w:r>
      </w:hyperlink>
      <w:r>
        <w:rPr>
          <w:b w:val="0"/>
          <w:i w:val="0"/>
        </w:rPr>
        <w:t xml:space="preserve">. See </w:t>
      </w:r>
      <w:hyperlink w:anchor="principle">
        <w:r>
          <w:rPr>
            <w:color w:val="000000"/>
          </w:rPr>
          <w:t xml:space="preserve">Principle</w:t>
        </w:r>
      </w:hyperlink>
      <w:r>
        <w:rPr>
          <w:b w:val="0"/>
          <w:i w:val="0"/>
        </w:rPr>
        <w:t>.</w:t>
      </w:r>
    </w:p>
    <w:p>
      <w:pPr>
        <w:keepNext/>
        <w:widowControl/>
      </w:pPr>
      <w:bookmarkStart w:id="713" w:name="latin-record-0462"/>
      <w:bookmarkEnd w:id="713"/>
      <w:r>
        <w:rPr>
          <w:b/>
          <w:i w:val="0"/>
        </w:rPr>
        <w:t>fons formarum</w:t>
      </w:r>
      <w:r>
        <w:rPr>
          <w:b/>
          <w:i w:val="0"/>
        </w:rPr>
        <w:t>.</w:t>
      </w:r>
      <w:r>
        <w:rPr>
          <w:b w:val="0"/>
          <w:i w:val="0"/>
        </w:rPr>
        <w:t xml:space="preserve"> Printed forms: </w:t>
      </w:r>
      <w:r>
        <w:rPr>
          <w:b w:val="0"/>
          <w:i/>
        </w:rPr>
        <w:t>fons</w:t>
      </w:r>
      <w:r>
        <w:rPr>
          <w:b w:val="0"/>
          <w:i w:val="0"/>
        </w:rPr>
        <w:t xml:space="preserve">; </w:t>
      </w:r>
      <w:r>
        <w:rPr>
          <w:b w:val="0"/>
          <w:i/>
        </w:rPr>
        <w:t>formarum</w:t>
      </w:r>
      <w:r>
        <w:rPr>
          <w:b w:val="0"/>
          <w:i w:val="0"/>
        </w:rPr>
        <w:t>.</w:t>
      </w:r>
    </w:p>
    <w:p>
      <w:pPr>
        <w:widowControl/>
      </w:pPr>
      <w:r>
        <w:rPr>
          <w:b w:val="0"/>
          <w:i w:val="0"/>
        </w:rPr>
        <w:t xml:space="preserve">A source or fountain of forms. If matter possessed productive form essentially, it would be form’s source rather than its recipient, contradicting its assigned role. References: </w:t>
      </w:r>
      <w:hyperlink w:anchor="passage-i-3-6">
        <w:r>
          <w:rPr>
            <w:color w:val="000000"/>
          </w:rPr>
          <w:t xml:space="preserve">I.3.6</w:t>
        </w:r>
      </w:hyperlink>
      <w:r>
        <w:rPr>
          <w:b w:val="0"/>
          <w:i w:val="0"/>
        </w:rPr>
        <w:t xml:space="preserve">. See </w:t>
      </w:r>
      <w:hyperlink w:anchor="fountain-womb-and-offspring">
        <w:r>
          <w:rPr>
            <w:color w:val="000000"/>
          </w:rPr>
          <w:t xml:space="preserve">Fountain, womb and offspring</w:t>
        </w:r>
      </w:hyperlink>
      <w:r>
        <w:rPr>
          <w:b w:val="0"/>
          <w:i w:val="0"/>
        </w:rPr>
        <w:t>.</w:t>
      </w:r>
    </w:p>
    <w:p>
      <w:pPr>
        <w:keepNext/>
        <w:widowControl/>
      </w:pPr>
      <w:bookmarkStart w:id="714" w:name="latin-record-0463"/>
      <w:bookmarkEnd w:id="714"/>
      <w:r>
        <w:rPr>
          <w:b/>
          <w:i w:val="0"/>
        </w:rPr>
        <w:t>forma / formare</w:t>
      </w:r>
      <w:r>
        <w:rPr>
          <w:b/>
          <w:i w:val="0"/>
        </w:rPr>
        <w:t>.</w:t>
      </w:r>
      <w:r>
        <w:rPr>
          <w:b w:val="0"/>
          <w:i w:val="0"/>
        </w:rPr>
        <w:t xml:space="preserve"> Printed forms: </w:t>
      </w:r>
      <w:r>
        <w:rPr>
          <w:b w:val="0"/>
          <w:i/>
        </w:rPr>
        <w:t>forma</w:t>
      </w:r>
      <w:r>
        <w:rPr>
          <w:b w:val="0"/>
          <w:i w:val="0"/>
        </w:rPr>
        <w:t xml:space="preserve">; </w:t>
      </w:r>
      <w:r>
        <w:rPr>
          <w:b w:val="0"/>
          <w:i/>
        </w:rPr>
        <w:t>formam</w:t>
      </w:r>
      <w:r>
        <w:rPr>
          <w:b w:val="0"/>
          <w:i w:val="0"/>
        </w:rPr>
        <w:t xml:space="preserve">; </w:t>
      </w:r>
      <w:r>
        <w:rPr>
          <w:b w:val="0"/>
          <w:i/>
        </w:rPr>
        <w:t>formata</w:t>
      </w:r>
      <w:r>
        <w:rPr>
          <w:b w:val="0"/>
          <w:i w:val="0"/>
        </w:rPr>
        <w:t>.</w:t>
      </w:r>
    </w:p>
    <w:p>
      <w:pPr>
        <w:widowControl/>
      </w:pPr>
      <w:r>
        <w:rPr>
          <w:b w:val="0"/>
          <w:i w:val="0"/>
        </w:rPr>
        <w:t xml:space="preserve">Determining form, intelligible character, or forming an image. A wider cause acts through a more comprehensive form; finite formed things cannot exhaust the infinite exemplar. References: </w:t>
      </w:r>
      <w:hyperlink w:anchor="passage-ii-9-1">
        <w:r>
          <w:rPr>
            <w:color w:val="000000"/>
          </w:rPr>
          <w:t xml:space="preserve">II.9.1</w:t>
        </w:r>
      </w:hyperlink>
      <w:r>
        <w:rPr>
          <w:b w:val="0"/>
          <w:i w:val="0"/>
        </w:rPr>
        <w:t xml:space="preserve">, </w:t>
      </w:r>
      <w:hyperlink w:anchor="passage-ii-9-4">
        <w:r>
          <w:rPr>
            <w:color w:val="000000"/>
          </w:rPr>
          <w:t xml:space="preserve">II.9.4</w:t>
        </w:r>
      </w:hyperlink>
      <w:r>
        <w:rPr>
          <w:b w:val="0"/>
          <w:i w:val="0"/>
        </w:rPr>
        <w:t xml:space="preserve">, </w:t>
      </w:r>
      <w:hyperlink w:anchor="passage-ii-10-5">
        <w:r>
          <w:rPr>
            <w:color w:val="000000"/>
          </w:rPr>
          <w:t xml:space="preserve">II.10.5</w:t>
        </w:r>
      </w:hyperlink>
      <w:r>
        <w:rPr>
          <w:b w:val="0"/>
          <w:i w:val="0"/>
        </w:rPr>
        <w:t xml:space="preserve">. See </w:t>
      </w:r>
      <w:hyperlink w:anchor="form">
        <w:r>
          <w:rPr>
            <w:color w:val="000000"/>
          </w:rPr>
          <w:t xml:space="preserve">Form</w:t>
        </w:r>
      </w:hyperlink>
      <w:r>
        <w:rPr>
          <w:b w:val="0"/>
          <w:i w:val="0"/>
        </w:rPr>
        <w:t>.</w:t>
      </w:r>
    </w:p>
    <w:p>
      <w:pPr>
        <w:keepNext/>
        <w:widowControl/>
      </w:pPr>
      <w:bookmarkStart w:id="715" w:name="latin-record-0464"/>
      <w:bookmarkEnd w:id="715"/>
      <w:r>
        <w:rPr>
          <w:b/>
          <w:i w:val="0"/>
        </w:rPr>
        <w:t>forma / species</w:t>
      </w:r>
      <w:r>
        <w:rPr>
          <w:b/>
          <w:i w:val="0"/>
        </w:rPr>
        <w:t>.</w:t>
      </w:r>
      <w:r>
        <w:rPr>
          <w:b w:val="0"/>
          <w:i w:val="0"/>
        </w:rPr>
        <w:t xml:space="preserve"> Printed forms: </w:t>
      </w:r>
      <w:r>
        <w:rPr>
          <w:b w:val="0"/>
          <w:i/>
        </w:rPr>
        <w:t>formae</w:t>
      </w:r>
      <w:r>
        <w:rPr>
          <w:b w:val="0"/>
          <w:i w:val="0"/>
        </w:rPr>
        <w:t xml:space="preserve">; </w:t>
      </w:r>
      <w:r>
        <w:rPr>
          <w:b w:val="0"/>
          <w:i/>
        </w:rPr>
        <w:t>formam</w:t>
      </w:r>
      <w:r>
        <w:rPr>
          <w:b w:val="0"/>
          <w:i w:val="0"/>
        </w:rPr>
        <w:t xml:space="preserve">; </w:t>
      </w:r>
      <w:r>
        <w:rPr>
          <w:b w:val="0"/>
          <w:i/>
        </w:rPr>
        <w:t>formas</w:t>
      </w:r>
      <w:r>
        <w:rPr>
          <w:b w:val="0"/>
          <w:i w:val="0"/>
        </w:rPr>
        <w:t xml:space="preserve">; </w:t>
      </w:r>
      <w:r>
        <w:rPr>
          <w:b w:val="0"/>
          <w:i/>
        </w:rPr>
        <w:t>specie</w:t>
      </w:r>
      <w:r>
        <w:rPr>
          <w:b w:val="0"/>
          <w:i w:val="0"/>
        </w:rPr>
        <w:t xml:space="preserve">; </w:t>
      </w:r>
      <w:r>
        <w:rPr>
          <w:b w:val="0"/>
          <w:i/>
        </w:rPr>
        <w:t>species</w:t>
      </w:r>
      <w:r>
        <w:rPr>
          <w:b w:val="0"/>
          <w:i w:val="0"/>
        </w:rPr>
        <w:t>.</w:t>
      </w:r>
    </w:p>
    <w:p>
      <w:pPr>
        <w:widowControl/>
      </w:pPr>
      <w:r>
        <w:rPr>
          <w:b w:val="0"/>
          <w:i w:val="0"/>
        </w:rPr>
        <w:t xml:space="preserve">Form and the kind determined by it. Different bodies act differently because form makes them members of different kinds; species in this argument is not a visual image. References: </w:t>
      </w:r>
      <w:hyperlink w:anchor="passage-i-2-9">
        <w:r>
          <w:rPr>
            <w:color w:val="000000"/>
          </w:rPr>
          <w:t xml:space="preserve">I.2.9</w:t>
        </w:r>
      </w:hyperlink>
      <w:r>
        <w:rPr>
          <w:b w:val="0"/>
          <w:i w:val="0"/>
        </w:rPr>
        <w:t xml:space="preserve">. See </w:t>
      </w:r>
      <w:hyperlink w:anchor="form">
        <w:r>
          <w:rPr>
            <w:color w:val="000000"/>
          </w:rPr>
          <w:t xml:space="preserve">Form</w:t>
        </w:r>
      </w:hyperlink>
      <w:r>
        <w:rPr>
          <w:b w:val="0"/>
          <w:i w:val="0"/>
        </w:rPr>
        <w:t>.</w:t>
      </w:r>
    </w:p>
    <w:p>
      <w:pPr>
        <w:widowControl/>
      </w:pPr>
      <w:r>
        <w:rPr>
          <w:b w:val="0"/>
          <w:i w:val="0"/>
        </w:rPr>
        <w:t xml:space="preserve">Form / determinate form, kind, or intelligible presentation. At II.11.1 forms are present causally; in III.2.29 species belongs to the delicate cognitive phrase. The senses must be read with their recipients. References: </w:t>
      </w:r>
      <w:hyperlink w:anchor="passage-ii-11-1">
        <w:r>
          <w:rPr>
            <w:color w:val="000000"/>
          </w:rPr>
          <w:t xml:space="preserve">II.11.1</w:t>
        </w:r>
      </w:hyperlink>
      <w:r>
        <w:rPr>
          <w:b w:val="0"/>
          <w:i w:val="0"/>
        </w:rPr>
        <w:t xml:space="preserve">, </w:t>
      </w:r>
      <w:hyperlink w:anchor="passage-iii-2-29">
        <w:r>
          <w:rPr>
            <w:color w:val="000000"/>
          </w:rPr>
          <w:t xml:space="preserve">III.2.29</w:t>
        </w:r>
      </w:hyperlink>
      <w:r>
        <w:rPr>
          <w:b w:val="0"/>
          <w:i w:val="0"/>
        </w:rPr>
        <w:t xml:space="preserve">. See </w:t>
      </w:r>
      <w:hyperlink w:anchor="form">
        <w:r>
          <w:rPr>
            <w:color w:val="000000"/>
          </w:rPr>
          <w:t xml:space="preserve">Form</w:t>
        </w:r>
      </w:hyperlink>
      <w:r>
        <w:rPr>
          <w:b w:val="0"/>
          <w:i w:val="0"/>
        </w:rPr>
        <w:t>.</w:t>
      </w:r>
    </w:p>
    <w:p>
      <w:pPr>
        <w:keepNext/>
        <w:widowControl/>
      </w:pPr>
      <w:bookmarkStart w:id="716" w:name="latin-record-0465"/>
      <w:bookmarkEnd w:id="716"/>
      <w:r>
        <w:rPr>
          <w:b/>
          <w:i w:val="0"/>
        </w:rPr>
        <w:t>formosus / exactus / ars</w:t>
      </w:r>
      <w:r>
        <w:rPr>
          <w:b/>
          <w:i w:val="0"/>
        </w:rPr>
        <w:t>.</w:t>
      </w:r>
      <w:r>
        <w:rPr>
          <w:b w:val="0"/>
          <w:i w:val="0"/>
        </w:rPr>
        <w:t xml:space="preserve"> Printed forms: </w:t>
      </w:r>
      <w:r>
        <w:rPr>
          <w:b w:val="0"/>
          <w:i/>
        </w:rPr>
        <w:t>arte</w:t>
      </w:r>
      <w:r>
        <w:rPr>
          <w:b w:val="0"/>
          <w:i w:val="0"/>
        </w:rPr>
        <w:t xml:space="preserve">; </w:t>
      </w:r>
      <w:r>
        <w:rPr>
          <w:b w:val="0"/>
          <w:i/>
        </w:rPr>
        <w:t>exactissima</w:t>
      </w:r>
      <w:r>
        <w:rPr>
          <w:b w:val="0"/>
          <w:i w:val="0"/>
        </w:rPr>
        <w:t xml:space="preserve">; </w:t>
      </w:r>
      <w:r>
        <w:rPr>
          <w:b w:val="0"/>
          <w:i/>
        </w:rPr>
        <w:t>exactius</w:t>
      </w:r>
      <w:r>
        <w:rPr>
          <w:b w:val="0"/>
          <w:i w:val="0"/>
        </w:rPr>
        <w:t xml:space="preserve">; </w:t>
      </w:r>
      <w:r>
        <w:rPr>
          <w:b w:val="0"/>
          <w:i/>
        </w:rPr>
        <w:t>formosa</w:t>
      </w:r>
      <w:r>
        <w:rPr>
          <w:b w:val="0"/>
          <w:i w:val="0"/>
        </w:rPr>
        <w:t>.</w:t>
      </w:r>
    </w:p>
    <w:p>
      <w:pPr>
        <w:widowControl/>
      </w:pPr>
      <w:r>
        <w:rPr>
          <w:b w:val="0"/>
          <w:i w:val="0"/>
        </w:rPr>
        <w:t xml:space="preserve">Beautiful, exact, and craft or skill. Exact intelligence is attributed to God; exacting craftsmanship is attributed to even things commonly called lowly. References: </w:t>
      </w:r>
      <w:hyperlink w:anchor="passage-ii-9-2">
        <w:r>
          <w:rPr>
            <w:color w:val="000000"/>
          </w:rPr>
          <w:t xml:space="preserve">II.9.2</w:t>
        </w:r>
      </w:hyperlink>
      <w:r>
        <w:rPr>
          <w:b w:val="0"/>
          <w:i w:val="0"/>
        </w:rPr>
        <w:t xml:space="preserve">, </w:t>
      </w:r>
      <w:hyperlink w:anchor="passage-ii-9-22">
        <w:r>
          <w:rPr>
            <w:color w:val="000000"/>
          </w:rPr>
          <w:t xml:space="preserve">II.9.22</w:t>
        </w:r>
      </w:hyperlink>
      <w:r>
        <w:rPr>
          <w:b w:val="0"/>
          <w:i w:val="0"/>
        </w:rPr>
        <w:t xml:space="preserve">. See </w:t>
      </w:r>
      <w:hyperlink w:anchor="precious-and-lowly">
        <w:r>
          <w:rPr>
            <w:color w:val="000000"/>
          </w:rPr>
          <w:t xml:space="preserve">Precious and lowly</w:t>
        </w:r>
      </w:hyperlink>
      <w:r>
        <w:rPr>
          <w:b w:val="0"/>
          <w:i w:val="0"/>
        </w:rPr>
        <w:t>.</w:t>
      </w:r>
    </w:p>
    <w:p>
      <w:pPr>
        <w:keepNext/>
        <w:widowControl/>
      </w:pPr>
      <w:bookmarkStart w:id="717" w:name="latin-record-0466"/>
      <w:bookmarkEnd w:id="717"/>
      <w:r>
        <w:rPr>
          <w:b/>
          <w:i w:val="0"/>
        </w:rPr>
        <w:t>forsitan / forte</w:t>
      </w:r>
      <w:r>
        <w:rPr>
          <w:b/>
          <w:i w:val="0"/>
        </w:rPr>
        <w:t>.</w:t>
      </w:r>
      <w:r>
        <w:rPr>
          <w:b w:val="0"/>
          <w:i w:val="0"/>
        </w:rPr>
        <w:t xml:space="preserve"> Printed forms: </w:t>
      </w:r>
      <w:r>
        <w:rPr>
          <w:b w:val="0"/>
          <w:i/>
        </w:rPr>
        <w:t>forsitan</w:t>
      </w:r>
      <w:r>
        <w:rPr>
          <w:b w:val="0"/>
          <w:i w:val="0"/>
        </w:rPr>
        <w:t xml:space="preserve">; </w:t>
      </w:r>
      <w:r>
        <w:rPr>
          <w:b w:val="0"/>
          <w:i/>
        </w:rPr>
        <w:t>forte</w:t>
      </w:r>
      <w:r>
        <w:rPr>
          <w:b w:val="0"/>
          <w:i w:val="0"/>
        </w:rPr>
        <w:t>.</w:t>
      </w:r>
    </w:p>
    <w:p>
      <w:pPr>
        <w:widowControl/>
      </w:pPr>
      <w:r>
        <w:rPr>
          <w:b w:val="0"/>
          <w:i w:val="0"/>
        </w:rPr>
        <w:t xml:space="preserve">Perhaps; a qualification of the asserted possibility. Some immediate multiplicity is tentatively allowed at IV.1.23; twelve governing minds remain qualified within the numerical excursion. References: </w:t>
      </w:r>
      <w:hyperlink w:anchor="passage-iv-1-23">
        <w:r>
          <w:rPr>
            <w:color w:val="000000"/>
          </w:rPr>
          <w:t xml:space="preserve">IV.1.23</w:t>
        </w:r>
      </w:hyperlink>
      <w:r>
        <w:rPr>
          <w:b w:val="0"/>
          <w:i w:val="0"/>
        </w:rPr>
        <w:t xml:space="preserve">, </w:t>
      </w:r>
      <w:hyperlink w:anchor="passage-iv-1-52">
        <w:r>
          <w:rPr>
            <w:color w:val="000000"/>
          </w:rPr>
          <w:t xml:space="preserve">IV.1.52</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718" w:name="latin-record-0467"/>
      <w:bookmarkEnd w:id="718"/>
      <w:r>
        <w:rPr>
          <w:b/>
          <w:i w:val="0"/>
        </w:rPr>
        <w:t>forsitan / quodammodo</w:t>
      </w:r>
      <w:r>
        <w:rPr>
          <w:b/>
          <w:i w:val="0"/>
        </w:rPr>
        <w:t>.</w:t>
      </w:r>
      <w:r>
        <w:rPr>
          <w:b w:val="0"/>
          <w:i w:val="0"/>
        </w:rPr>
        <w:t xml:space="preserve"> Printed forms: </w:t>
      </w:r>
      <w:r>
        <w:rPr>
          <w:b w:val="0"/>
          <w:i/>
        </w:rPr>
        <w:t>forsitan</w:t>
      </w:r>
      <w:r>
        <w:rPr>
          <w:b w:val="0"/>
          <w:i w:val="0"/>
        </w:rPr>
        <w:t xml:space="preserve">; </w:t>
      </w:r>
      <w:r>
        <w:rPr>
          <w:b w:val="0"/>
          <w:i/>
        </w:rPr>
        <w:t>quodammodo</w:t>
      </w:r>
      <w:r>
        <w:rPr>
          <w:b w:val="0"/>
          <w:i w:val="0"/>
        </w:rPr>
        <w:t>.</w:t>
      </w:r>
    </w:p>
    <w:p>
      <w:pPr>
        <w:widowControl/>
      </w:pPr>
      <w:r>
        <w:rPr>
          <w:b w:val="0"/>
          <w:i w:val="0"/>
        </w:rPr>
        <w:t xml:space="preserve">Perhaps / in a certain way. Both qualifications limit the proposed explanation of the saying about divine self-production. References: </w:t>
      </w:r>
      <w:hyperlink w:anchor="passage-ii-12-8">
        <w:r>
          <w:rPr>
            <w:color w:val="000000"/>
          </w:rPr>
          <w:t xml:space="preserve">II.12.8</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719" w:name="latin-record-0468"/>
      <w:bookmarkEnd w:id="719"/>
      <w:r>
        <w:rPr>
          <w:b/>
          <w:i w:val="0"/>
        </w:rPr>
        <w:t>forte / fortuitus / sors</w:t>
      </w:r>
      <w:r>
        <w:rPr>
          <w:b/>
          <w:i w:val="0"/>
        </w:rPr>
        <w:t>.</w:t>
      </w:r>
      <w:r>
        <w:rPr>
          <w:b w:val="0"/>
          <w:i w:val="0"/>
        </w:rPr>
        <w:t xml:space="preserve"> Printed forms: </w:t>
      </w:r>
      <w:r>
        <w:rPr>
          <w:b w:val="0"/>
          <w:i/>
        </w:rPr>
        <w:t>forte</w:t>
      </w:r>
      <w:r>
        <w:rPr>
          <w:b w:val="0"/>
          <w:i w:val="0"/>
        </w:rPr>
        <w:t xml:space="preserve">; </w:t>
      </w:r>
      <w:r>
        <w:rPr>
          <w:b w:val="0"/>
          <w:i/>
        </w:rPr>
        <w:t>fortuito</w:t>
      </w:r>
      <w:r>
        <w:rPr>
          <w:b w:val="0"/>
          <w:i w:val="0"/>
        </w:rPr>
        <w:t xml:space="preserve">; </w:t>
      </w:r>
      <w:r>
        <w:rPr>
          <w:b w:val="0"/>
          <w:i/>
        </w:rPr>
        <w:t>fortuitum</w:t>
      </w:r>
      <w:r>
        <w:rPr>
          <w:b w:val="0"/>
          <w:i w:val="0"/>
        </w:rPr>
        <w:t xml:space="preserve">; </w:t>
      </w:r>
      <w:r>
        <w:rPr>
          <w:b w:val="0"/>
          <w:i/>
        </w:rPr>
        <w:t>sortis</w:t>
      </w:r>
      <w:r>
        <w:rPr>
          <w:b w:val="0"/>
          <w:i w:val="0"/>
        </w:rPr>
        <w:t>.</w:t>
      </w:r>
    </w:p>
    <w:p>
      <w:pPr>
        <w:widowControl/>
      </w:pPr>
      <w:r>
        <w:rPr>
          <w:b w:val="0"/>
          <w:i w:val="0"/>
        </w:rPr>
        <w:t xml:space="preserve">By chance / fortuitous / chance or lot. The cluster excludes chance from God’s own being and activity; it does not cancel the later allowance of contingent creatures. References: </w:t>
      </w:r>
      <w:hyperlink w:anchor="passage-ii-12-2">
        <w:r>
          <w:rPr>
            <w:color w:val="000000"/>
          </w:rPr>
          <w:t xml:space="preserve">II.12.2</w:t>
        </w:r>
      </w:hyperlink>
      <w:r>
        <w:rPr>
          <w:b w:val="0"/>
          <w:i w:val="0"/>
        </w:rPr>
        <w:t xml:space="preserve">. See </w:t>
      </w:r>
      <w:hyperlink w:anchor="chance">
        <w:r>
          <w:rPr>
            <w:color w:val="000000"/>
          </w:rPr>
          <w:t xml:space="preserve">Chance</w:t>
        </w:r>
      </w:hyperlink>
      <w:r>
        <w:rPr>
          <w:b w:val="0"/>
          <w:i w:val="0"/>
        </w:rPr>
        <w:t>.</w:t>
      </w:r>
    </w:p>
    <w:p>
      <w:pPr>
        <w:keepNext/>
        <w:widowControl/>
      </w:pPr>
      <w:bookmarkStart w:id="720" w:name="latin-record-0469"/>
      <w:bookmarkEnd w:id="720"/>
      <w:r>
        <w:rPr>
          <w:b/>
          <w:i w:val="0"/>
        </w:rPr>
        <w:t>forte / suspicor / vaticinor</w:t>
      </w:r>
      <w:r>
        <w:rPr>
          <w:b/>
          <w:i w:val="0"/>
        </w:rPr>
        <w:t>.</w:t>
      </w:r>
      <w:r>
        <w:rPr>
          <w:b w:val="0"/>
          <w:i w:val="0"/>
        </w:rPr>
        <w:t xml:space="preserve"> Printed forms: </w:t>
      </w:r>
      <w:r>
        <w:rPr>
          <w:b w:val="0"/>
          <w:i/>
        </w:rPr>
        <w:t>forte</w:t>
      </w:r>
      <w:r>
        <w:rPr>
          <w:b w:val="0"/>
          <w:i w:val="0"/>
        </w:rPr>
        <w:t xml:space="preserve">; </w:t>
      </w:r>
      <w:r>
        <w:rPr>
          <w:b w:val="0"/>
          <w:i/>
        </w:rPr>
        <w:t>suspicabatur</w:t>
      </w:r>
      <w:r>
        <w:rPr>
          <w:b w:val="0"/>
          <w:i w:val="0"/>
        </w:rPr>
        <w:t xml:space="preserve">; </w:t>
      </w:r>
      <w:r>
        <w:rPr>
          <w:b w:val="0"/>
          <w:i/>
        </w:rPr>
        <w:t>vaticinabatur</w:t>
      </w:r>
      <w:r>
        <w:rPr>
          <w:b w:val="0"/>
          <w:i w:val="0"/>
        </w:rPr>
        <w:t>.</w:t>
      </w:r>
    </w:p>
    <w:p>
      <w:pPr>
        <w:widowControl/>
      </w:pPr>
      <w:r>
        <w:rPr>
          <w:b w:val="0"/>
          <w:i w:val="0"/>
        </w:rPr>
        <w:t xml:space="preserve">Perhaps, to suspect, and to foresee or divine. Ficino conjecturally interprets Aristotle’s deference as hinting that understanding, not bodily movement, should determine the count of minds. References: </w:t>
      </w:r>
      <w:hyperlink w:anchor="passage-i-5-22">
        <w:r>
          <w:rPr>
            <w:color w:val="000000"/>
          </w:rPr>
          <w:t xml:space="preserve">I.5.22</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721" w:name="latin-record-0470"/>
      <w:bookmarkEnd w:id="721"/>
      <w:r>
        <w:rPr>
          <w:b/>
          <w:i w:val="0"/>
        </w:rPr>
        <w:t>fortis / vehementia / valere</w:t>
      </w:r>
      <w:r>
        <w:rPr>
          <w:b/>
          <w:i w:val="0"/>
        </w:rPr>
        <w:t>.</w:t>
      </w:r>
      <w:r>
        <w:rPr>
          <w:b w:val="0"/>
          <w:i w:val="0"/>
        </w:rPr>
        <w:t xml:space="preserve"> Printed forms: </w:t>
      </w:r>
      <w:r>
        <w:rPr>
          <w:b w:val="0"/>
          <w:i/>
        </w:rPr>
        <w:t>fortius</w:t>
      </w:r>
      <w:r>
        <w:rPr>
          <w:b w:val="0"/>
          <w:i w:val="0"/>
        </w:rPr>
        <w:t xml:space="preserve">; </w:t>
      </w:r>
      <w:r>
        <w:rPr>
          <w:b w:val="0"/>
          <w:i/>
        </w:rPr>
        <w:t>valet</w:t>
      </w:r>
      <w:r>
        <w:rPr>
          <w:b w:val="0"/>
          <w:i w:val="0"/>
        </w:rPr>
        <w:t xml:space="preserve">; </w:t>
      </w:r>
      <w:r>
        <w:rPr>
          <w:b w:val="0"/>
          <w:i/>
        </w:rPr>
        <w:t>vehementior</w:t>
      </w:r>
      <w:r>
        <w:rPr>
          <w:b w:val="0"/>
          <w:i w:val="0"/>
        </w:rPr>
        <w:t xml:space="preserve">; </w:t>
      </w:r>
      <w:r>
        <w:rPr>
          <w:b w:val="0"/>
          <w:i/>
        </w:rPr>
        <w:t>vehementius</w:t>
      </w:r>
      <w:r>
        <w:rPr>
          <w:b w:val="0"/>
          <w:i w:val="0"/>
        </w:rPr>
        <w:t>.</w:t>
      </w:r>
    </w:p>
    <w:p>
      <w:pPr>
        <w:widowControl/>
      </w:pPr>
      <w:r>
        <w:rPr>
          <w:b w:val="0"/>
          <w:i w:val="0"/>
        </w:rPr>
        <w:t xml:space="preserve">Strong or vigorous; to have effective ability. Power is assessed relative to its effect, while the first cause is called more forceful through its prior and enduring contribution. References: </w:t>
      </w:r>
      <w:hyperlink w:anchor="passage-ii-2-6">
        <w:r>
          <w:rPr>
            <w:color w:val="000000"/>
          </w:rPr>
          <w:t xml:space="preserve">II.2.6</w:t>
        </w:r>
      </w:hyperlink>
      <w:r>
        <w:rPr>
          <w:b w:val="0"/>
          <w:i w:val="0"/>
        </w:rPr>
        <w:t xml:space="preserve">, </w:t>
      </w:r>
      <w:hyperlink w:anchor="passage-ii-2-12">
        <w:r>
          <w:rPr>
            <w:color w:val="000000"/>
          </w:rPr>
          <w:t xml:space="preserve">II.2.12</w:t>
        </w:r>
      </w:hyperlink>
      <w:r>
        <w:rPr>
          <w:b w:val="0"/>
          <w:i w:val="0"/>
        </w:rPr>
        <w:t xml:space="preserve">, </w:t>
      </w:r>
      <w:hyperlink w:anchor="passage-ii-7-32">
        <w:r>
          <w:rPr>
            <w:color w:val="000000"/>
          </w:rPr>
          <w:t xml:space="preserve">II.7.32</w:t>
        </w:r>
      </w:hyperlink>
      <w:r>
        <w:rPr>
          <w:b w:val="0"/>
          <w:i w:val="0"/>
        </w:rPr>
        <w:t xml:space="preserve">, </w:t>
      </w:r>
      <w:hyperlink w:anchor="passage-ii-10-7">
        <w:r>
          <w:rPr>
            <w:color w:val="000000"/>
          </w:rPr>
          <w:t xml:space="preserve">II.10.7</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722" w:name="latin-record-0471"/>
      <w:bookmarkEnd w:id="722"/>
      <w:r>
        <w:rPr>
          <w:b/>
          <w:i w:val="0"/>
        </w:rPr>
        <w:t>fretus / adductus</w:t>
      </w:r>
      <w:r>
        <w:rPr>
          <w:b/>
          <w:i w:val="0"/>
        </w:rPr>
        <w:t>.</w:t>
      </w:r>
      <w:r>
        <w:rPr>
          <w:b w:val="0"/>
          <w:i w:val="0"/>
        </w:rPr>
        <w:t xml:space="preserve"> Printed forms: </w:t>
      </w:r>
      <w:r>
        <w:rPr>
          <w:b w:val="0"/>
          <w:i/>
        </w:rPr>
        <w:t>adductus</w:t>
      </w:r>
      <w:r>
        <w:rPr>
          <w:b w:val="0"/>
          <w:i w:val="0"/>
        </w:rPr>
        <w:t xml:space="preserve">; </w:t>
      </w:r>
      <w:r>
        <w:rPr>
          <w:b w:val="0"/>
          <w:i/>
        </w:rPr>
        <w:t>fretus</w:t>
      </w:r>
      <w:r>
        <w:rPr>
          <w:b w:val="0"/>
          <w:i w:val="0"/>
        </w:rPr>
        <w:t>.</w:t>
      </w:r>
    </w:p>
    <w:p>
      <w:pPr>
        <w:widowControl/>
      </w:pPr>
      <w:r>
        <w:rPr>
          <w:b w:val="0"/>
          <w:i w:val="0"/>
        </w:rPr>
        <w:t xml:space="preserve">Relying upon something; moved or led by something. Augustine’s authority and charity toward humanity are the two expressed motives for Ficino’s project, not separately demonstrated causes of its correctness. References: </w:t>
      </w:r>
      <w:hyperlink w:anchor="passage-proem-7">
        <w:r>
          <w:rPr>
            <w:color w:val="000000"/>
          </w:rPr>
          <w:t xml:space="preserve">Proem.7</w:t>
        </w:r>
      </w:hyperlink>
      <w:r>
        <w:rPr>
          <w:b w:val="0"/>
          <w:i w:val="0"/>
        </w:rPr>
        <w:t xml:space="preserve">. See </w:t>
      </w:r>
      <w:hyperlink w:anchor="augustine-and-christian-proximity">
        <w:r>
          <w:rPr>
            <w:color w:val="000000"/>
          </w:rPr>
          <w:t xml:space="preserve">Augustine and Christian proximity</w:t>
        </w:r>
      </w:hyperlink>
      <w:r>
        <w:rPr>
          <w:b w:val="0"/>
          <w:i w:val="0"/>
        </w:rPr>
        <w:t>.</w:t>
      </w:r>
    </w:p>
    <w:p>
      <w:pPr>
        <w:keepNext/>
        <w:widowControl/>
      </w:pPr>
      <w:bookmarkStart w:id="723" w:name="latin-record-0472"/>
      <w:bookmarkEnd w:id="723"/>
      <w:r>
        <w:rPr>
          <w:b/>
          <w:i w:val="0"/>
        </w:rPr>
        <w:t>frigefacio / calefacio / uro</w:t>
      </w:r>
      <w:r>
        <w:rPr>
          <w:b/>
          <w:i w:val="0"/>
        </w:rPr>
        <w:t>.</w:t>
      </w:r>
      <w:r>
        <w:rPr>
          <w:b w:val="0"/>
          <w:i w:val="0"/>
        </w:rPr>
        <w:t xml:space="preserve"> Printed forms: </w:t>
      </w:r>
      <w:r>
        <w:rPr>
          <w:b w:val="0"/>
          <w:i/>
        </w:rPr>
        <w:t>calefacit</w:t>
      </w:r>
      <w:r>
        <w:rPr>
          <w:b w:val="0"/>
          <w:i w:val="0"/>
        </w:rPr>
        <w:t xml:space="preserve">; </w:t>
      </w:r>
      <w:r>
        <w:rPr>
          <w:b w:val="0"/>
          <w:i/>
        </w:rPr>
        <w:t>comburendum</w:t>
      </w:r>
      <w:r>
        <w:rPr>
          <w:b w:val="0"/>
          <w:i w:val="0"/>
        </w:rPr>
        <w:t xml:space="preserve">; </w:t>
      </w:r>
      <w:r>
        <w:rPr>
          <w:b w:val="0"/>
          <w:i/>
        </w:rPr>
        <w:t>frigefacit</w:t>
      </w:r>
      <w:r>
        <w:rPr>
          <w:b w:val="0"/>
          <w:i w:val="0"/>
        </w:rPr>
        <w:t xml:space="preserve">; </w:t>
      </w:r>
      <w:r>
        <w:rPr>
          <w:b w:val="0"/>
          <w:i/>
        </w:rPr>
        <w:t>urit</w:t>
      </w:r>
      <w:r>
        <w:rPr>
          <w:b w:val="0"/>
          <w:i w:val="0"/>
        </w:rPr>
        <w:t>.</w:t>
      </w:r>
    </w:p>
    <w:p>
      <w:pPr>
        <w:widowControl/>
      </w:pPr>
      <w:r>
        <w:rPr>
          <w:b w:val="0"/>
          <w:i w:val="0"/>
        </w:rPr>
        <w:t xml:space="preserve">To cool, heat or burn. The specified verbs show different effects of qualities; fire burns because it is intensely hot, not merely large. References: </w:t>
      </w:r>
      <w:hyperlink w:anchor="passage-i-2-11">
        <w:r>
          <w:rPr>
            <w:color w:val="000000"/>
          </w:rPr>
          <w:t xml:space="preserve">I.2.11</w:t>
        </w:r>
      </w:hyperlink>
      <w:r>
        <w:rPr>
          <w:b w:val="0"/>
          <w:i w:val="0"/>
        </w:rPr>
        <w:t xml:space="preserve">. See </w:t>
      </w:r>
      <w:hyperlink w:anchor="fire-spark-lightning-and-cannon">
        <w:r>
          <w:rPr>
            <w:color w:val="000000"/>
          </w:rPr>
          <w:t xml:space="preserve">Fire, spark, lightning and cannon</w:t>
        </w:r>
      </w:hyperlink>
      <w:r>
        <w:rPr>
          <w:b w:val="0"/>
          <w:i w:val="0"/>
        </w:rPr>
        <w:t>.</w:t>
      </w:r>
    </w:p>
    <w:p>
      <w:pPr>
        <w:keepNext/>
        <w:widowControl/>
      </w:pPr>
      <w:bookmarkStart w:id="724" w:name="latin-record-0473"/>
      <w:bookmarkEnd w:id="724"/>
      <w:r>
        <w:rPr>
          <w:b/>
          <w:i w:val="0"/>
        </w:rPr>
        <w:t>frui</w:t>
      </w:r>
      <w:r>
        <w:rPr>
          <w:b/>
          <w:i w:val="0"/>
        </w:rPr>
        <w:t>.</w:t>
      </w:r>
      <w:r>
        <w:rPr>
          <w:b w:val="0"/>
          <w:i w:val="0"/>
        </w:rPr>
        <w:t xml:space="preserve"> Printed forms: </w:t>
      </w:r>
      <w:r>
        <w:rPr>
          <w:b w:val="0"/>
          <w:i/>
        </w:rPr>
        <w:t>frueretur</w:t>
      </w:r>
      <w:r>
        <w:rPr>
          <w:b w:val="0"/>
          <w:i w:val="0"/>
        </w:rPr>
        <w:t xml:space="preserve">; </w:t>
      </w:r>
      <w:r>
        <w:rPr>
          <w:b w:val="0"/>
          <w:i/>
        </w:rPr>
        <w:t>frui</w:t>
      </w:r>
      <w:r>
        <w:rPr>
          <w:b w:val="0"/>
          <w:i w:val="0"/>
        </w:rPr>
        <w:t xml:space="preserve">; </w:t>
      </w:r>
      <w:r>
        <w:rPr>
          <w:b w:val="0"/>
          <w:i/>
        </w:rPr>
        <w:t>fruitur</w:t>
      </w:r>
      <w:r>
        <w:rPr>
          <w:b w:val="0"/>
          <w:i w:val="0"/>
        </w:rPr>
        <w:t>.</w:t>
      </w:r>
    </w:p>
    <w:p>
      <w:pPr>
        <w:widowControl/>
      </w:pPr>
      <w:r>
        <w:rPr>
          <w:b w:val="0"/>
          <w:i w:val="0"/>
        </w:rPr>
        <w:t xml:space="preserve">To enjoy or possess the use of something. The flame would enjoy its natural goal; intelligence lets a being enjoy itself and other things. References: </w:t>
      </w:r>
      <w:hyperlink w:anchor="passage-ii-6-23">
        <w:r>
          <w:rPr>
            <w:color w:val="000000"/>
          </w:rPr>
          <w:t xml:space="preserve">II.6.23</w:t>
        </w:r>
      </w:hyperlink>
      <w:r>
        <w:rPr>
          <w:b w:val="0"/>
          <w:i w:val="0"/>
        </w:rPr>
        <w:t xml:space="preserve">, </w:t>
      </w:r>
      <w:hyperlink w:anchor="passage-ii-9-2">
        <w:r>
          <w:rPr>
            <w:color w:val="000000"/>
          </w:rPr>
          <w:t xml:space="preserve">II.9.2</w:t>
        </w:r>
      </w:hyperlink>
      <w:r>
        <w:rPr>
          <w:b w:val="0"/>
          <w:i w:val="0"/>
        </w:rPr>
        <w:t xml:space="preserve">. See </w:t>
      </w:r>
      <w:hyperlink w:anchor="love-and-pleasure">
        <w:r>
          <w:rPr>
            <w:color w:val="000000"/>
          </w:rPr>
          <w:t xml:space="preserve">Love and pleasure</w:t>
        </w:r>
      </w:hyperlink>
      <w:r>
        <w:rPr>
          <w:b w:val="0"/>
          <w:i w:val="0"/>
        </w:rPr>
        <w:t>.</w:t>
      </w:r>
    </w:p>
    <w:p>
      <w:pPr>
        <w:widowControl/>
      </w:pPr>
      <w:r>
        <w:rPr>
          <w:b w:val="0"/>
          <w:i w:val="0"/>
        </w:rPr>
        <w:t xml:space="preserve">Enjoy or possess with delight. Perfect intellect’s continuing enjoyment of its perfect object supports the argument for delight in divine activity. References: </w:t>
      </w:r>
      <w:hyperlink w:anchor="passage-ii-11-32">
        <w:r>
          <w:rPr>
            <w:color w:val="000000"/>
          </w:rPr>
          <w:t xml:space="preserve">II.11.32</w:t>
        </w:r>
      </w:hyperlink>
      <w:r>
        <w:rPr>
          <w:b w:val="0"/>
          <w:i w:val="0"/>
        </w:rPr>
        <w:t xml:space="preserve">. See </w:t>
      </w:r>
      <w:hyperlink w:anchor="love-and-pleasure">
        <w:r>
          <w:rPr>
            <w:color w:val="000000"/>
          </w:rPr>
          <w:t xml:space="preserve">Love and pleasure</w:t>
        </w:r>
      </w:hyperlink>
      <w:r>
        <w:rPr>
          <w:b w:val="0"/>
          <w:i w:val="0"/>
        </w:rPr>
        <w:t>.</w:t>
      </w:r>
    </w:p>
    <w:p>
      <w:pPr>
        <w:keepNext/>
        <w:widowControl/>
      </w:pPr>
      <w:bookmarkStart w:id="725" w:name="latin-record-0474"/>
      <w:bookmarkEnd w:id="725"/>
      <w:r>
        <w:rPr>
          <w:b/>
          <w:i w:val="0"/>
        </w:rPr>
        <w:t>frui / perfrui</w:t>
      </w:r>
      <w:r>
        <w:rPr>
          <w:b/>
          <w:i w:val="0"/>
        </w:rPr>
        <w:t>.</w:t>
      </w:r>
      <w:r>
        <w:rPr>
          <w:b w:val="0"/>
          <w:i w:val="0"/>
        </w:rPr>
        <w:t xml:space="preserve"> Printed forms: </w:t>
      </w:r>
      <w:r>
        <w:rPr>
          <w:b w:val="0"/>
          <w:i/>
        </w:rPr>
        <w:t>fruendae</w:t>
      </w:r>
      <w:r>
        <w:rPr>
          <w:b w:val="0"/>
          <w:i w:val="0"/>
        </w:rPr>
        <w:t xml:space="preserve">; </w:t>
      </w:r>
      <w:r>
        <w:rPr>
          <w:b w:val="0"/>
          <w:i/>
        </w:rPr>
        <w:t>perfruatur</w:t>
      </w:r>
      <w:r>
        <w:rPr>
          <w:b w:val="0"/>
          <w:i w:val="0"/>
        </w:rPr>
        <w:t>.</w:t>
      </w:r>
    </w:p>
    <w:p>
      <w:pPr>
        <w:widowControl/>
      </w:pPr>
      <w:r>
        <w:rPr>
          <w:b w:val="0"/>
          <w:i w:val="0"/>
        </w:rPr>
        <w:t xml:space="preserve">To enjoy or participate fully in a desired presence. The sphere’s desire to enjoy its wholly present soul motivates imitation of simultaneous whole presence without actually making body indivisible. References: </w:t>
      </w:r>
      <w:hyperlink w:anchor="passage-iv-2-25">
        <w:r>
          <w:rPr>
            <w:color w:val="000000"/>
          </w:rPr>
          <w:t xml:space="preserve">IV.2.25</w:t>
        </w:r>
      </w:hyperlink>
      <w:r>
        <w:rPr>
          <w:b w:val="0"/>
          <w:i w:val="0"/>
        </w:rPr>
        <w:t xml:space="preserve">. See </w:t>
      </w:r>
      <w:hyperlink w:anchor="striving-and-enjoyment">
        <w:r>
          <w:rPr>
            <w:color w:val="000000"/>
          </w:rPr>
          <w:t xml:space="preserve">Striving and enjoyment</w:t>
        </w:r>
      </w:hyperlink>
      <w:r>
        <w:rPr>
          <w:b w:val="0"/>
          <w:i w:val="0"/>
        </w:rPr>
        <w:t>.</w:t>
      </w:r>
    </w:p>
    <w:p>
      <w:pPr>
        <w:keepNext/>
        <w:widowControl/>
      </w:pPr>
      <w:bookmarkStart w:id="726" w:name="latin-record-0475"/>
      <w:bookmarkEnd w:id="726"/>
      <w:r>
        <w:rPr>
          <w:b/>
          <w:i w:val="0"/>
        </w:rPr>
        <w:t>fruor</w:t>
      </w:r>
      <w:r>
        <w:rPr>
          <w:b/>
          <w:i w:val="0"/>
        </w:rPr>
        <w:t>.</w:t>
      </w:r>
      <w:r>
        <w:rPr>
          <w:b w:val="0"/>
          <w:i w:val="0"/>
        </w:rPr>
        <w:t xml:space="preserve"> Printed forms: </w:t>
      </w:r>
      <w:r>
        <w:rPr>
          <w:b w:val="0"/>
          <w:i/>
        </w:rPr>
        <w:t>fruetur</w:t>
      </w:r>
      <w:r>
        <w:rPr>
          <w:b w:val="0"/>
          <w:i w:val="0"/>
        </w:rPr>
        <w:t>.</w:t>
      </w:r>
    </w:p>
    <w:p>
      <w:pPr>
        <w:widowControl/>
      </w:pPr>
      <w:r>
        <w:rPr>
          <w:b w:val="0"/>
          <w:i w:val="0"/>
        </w:rPr>
        <w:t xml:space="preserve">To enjoy or have fulfilled possession of. Divine blessedness is tested through full self-enjoyment: composition would prevent the whole from being present in each supposed member. References: </w:t>
      </w:r>
      <w:hyperlink w:anchor="passage-i-6-6">
        <w:r>
          <w:rPr>
            <w:color w:val="000000"/>
          </w:rPr>
          <w:t xml:space="preserve">I.6.6</w:t>
        </w:r>
      </w:hyperlink>
      <w:r>
        <w:rPr>
          <w:b w:val="0"/>
          <w:i w:val="0"/>
        </w:rPr>
        <w:t xml:space="preserve">. See </w:t>
      </w:r>
      <w:hyperlink w:anchor="blessedness">
        <w:r>
          <w:rPr>
            <w:color w:val="000000"/>
          </w:rPr>
          <w:t xml:space="preserve">Blessedness</w:t>
        </w:r>
      </w:hyperlink>
      <w:r>
        <w:rPr>
          <w:b w:val="0"/>
          <w:i w:val="0"/>
        </w:rPr>
        <w:t>.</w:t>
      </w:r>
    </w:p>
    <w:p>
      <w:pPr>
        <w:keepNext/>
        <w:widowControl/>
      </w:pPr>
      <w:bookmarkStart w:id="727" w:name="latin-record-0476"/>
      <w:bookmarkEnd w:id="727"/>
      <w:r>
        <w:rPr>
          <w:b/>
          <w:i w:val="0"/>
        </w:rPr>
        <w:t>frustra / superfluus</w:t>
      </w:r>
      <w:r>
        <w:rPr>
          <w:b/>
          <w:i w:val="0"/>
        </w:rPr>
        <w:t>.</w:t>
      </w:r>
      <w:r>
        <w:rPr>
          <w:b w:val="0"/>
          <w:i w:val="0"/>
        </w:rPr>
        <w:t xml:space="preserve"> Printed forms: </w:t>
      </w:r>
      <w:r>
        <w:rPr>
          <w:b w:val="0"/>
          <w:i/>
        </w:rPr>
        <w:t>frustra</w:t>
      </w:r>
      <w:r>
        <w:rPr>
          <w:b w:val="0"/>
          <w:i w:val="0"/>
        </w:rPr>
        <w:t xml:space="preserve">; </w:t>
      </w:r>
      <w:r>
        <w:rPr>
          <w:b w:val="0"/>
          <w:i/>
        </w:rPr>
        <w:t>superfluus</w:t>
      </w:r>
      <w:r>
        <w:rPr>
          <w:b w:val="0"/>
          <w:i w:val="0"/>
        </w:rPr>
        <w:t>.</w:t>
      </w:r>
    </w:p>
    <w:p>
      <w:pPr>
        <w:widowControl/>
      </w:pPr>
      <w:r>
        <w:rPr>
          <w:b w:val="0"/>
          <w:i w:val="0"/>
        </w:rPr>
        <w:t xml:space="preserve">In vain or fruitlessly; surplus to what suffices. The twin-god hypothesis leaves a power or a duplicate world without necessary work to do. References: </w:t>
      </w:r>
      <w:hyperlink w:anchor="passage-ii-2-11">
        <w:r>
          <w:rPr>
            <w:color w:val="000000"/>
          </w:rPr>
          <w:t xml:space="preserve">II.2.11</w:t>
        </w:r>
      </w:hyperlink>
      <w:r>
        <w:rPr>
          <w:b w:val="0"/>
          <w:i w:val="0"/>
        </w:rPr>
        <w:t xml:space="preserve">, </w:t>
      </w:r>
      <w:hyperlink w:anchor="passage-ii-2-12">
        <w:r>
          <w:rPr>
            <w:color w:val="000000"/>
          </w:rPr>
          <w:t xml:space="preserve">II.2.12</w:t>
        </w:r>
      </w:hyperlink>
      <w:r>
        <w:rPr>
          <w:b w:val="0"/>
          <w:i w:val="0"/>
        </w:rPr>
        <w:t xml:space="preserve">, </w:t>
      </w:r>
      <w:hyperlink w:anchor="passage-ii-4-4">
        <w:r>
          <w:rPr>
            <w:color w:val="000000"/>
          </w:rPr>
          <w:t xml:space="preserve">II.4.4</w:t>
        </w:r>
      </w:hyperlink>
      <w:r>
        <w:rPr>
          <w:b w:val="0"/>
          <w:i w:val="0"/>
        </w:rPr>
        <w:t xml:space="preserve">. See </w:t>
      </w:r>
      <w:hyperlink w:anchor="redundancy-and-uselessness">
        <w:r>
          <w:rPr>
            <w:color w:val="000000"/>
          </w:rPr>
          <w:t xml:space="preserve">Redundancy and uselessness</w:t>
        </w:r>
      </w:hyperlink>
      <w:r>
        <w:rPr>
          <w:b w:val="0"/>
          <w:i w:val="0"/>
        </w:rPr>
        <w:t>.</w:t>
      </w:r>
    </w:p>
    <w:p>
      <w:pPr>
        <w:keepNext/>
        <w:widowControl/>
      </w:pPr>
      <w:bookmarkStart w:id="728" w:name="latin-record-0477"/>
      <w:bookmarkEnd w:id="728"/>
      <w:r>
        <w:rPr>
          <w:b/>
          <w:i w:val="0"/>
        </w:rPr>
        <w:t>fugere materiam</w:t>
      </w:r>
      <w:r>
        <w:rPr>
          <w:b/>
          <w:i w:val="0"/>
        </w:rPr>
        <w:t>.</w:t>
      </w:r>
      <w:r>
        <w:rPr>
          <w:b w:val="0"/>
          <w:i w:val="0"/>
        </w:rPr>
        <w:t xml:space="preserve"> Printed forms: </w:t>
      </w:r>
      <w:r>
        <w:rPr>
          <w:b w:val="0"/>
          <w:i/>
        </w:rPr>
        <w:t>materiam fugiat</w:t>
      </w:r>
      <w:r>
        <w:rPr>
          <w:b w:val="0"/>
          <w:i w:val="0"/>
        </w:rPr>
        <w:t>.</w:t>
      </w:r>
    </w:p>
    <w:p>
      <w:pPr>
        <w:widowControl/>
      </w:pPr>
      <w:r>
        <w:rPr>
          <w:b w:val="0"/>
          <w:i w:val="0"/>
        </w:rPr>
        <w:t xml:space="preserve">To withdraw from matter in intellectual operation. Angel is wholly mind, making direct substantial adherence to matter unsuitable to its characteristic activity. References: </w:t>
      </w:r>
      <w:hyperlink w:anchor="passage-iv-1-30">
        <w:r>
          <w:rPr>
            <w:color w:val="000000"/>
          </w:rPr>
          <w:t xml:space="preserve">IV.1.30</w:t>
        </w:r>
      </w:hyperlink>
      <w:r>
        <w:rPr>
          <w:b w:val="0"/>
          <w:i w:val="0"/>
        </w:rPr>
        <w:t xml:space="preserve">. See </w:t>
      </w:r>
      <w:hyperlink w:anchor="separation-and-abstraction">
        <w:r>
          <w:rPr>
            <w:color w:val="000000"/>
          </w:rPr>
          <w:t xml:space="preserve">Separation and abstraction</w:t>
        </w:r>
      </w:hyperlink>
      <w:r>
        <w:rPr>
          <w:b w:val="0"/>
          <w:i w:val="0"/>
        </w:rPr>
        <w:t>.</w:t>
      </w:r>
    </w:p>
    <w:p>
      <w:pPr>
        <w:keepNext/>
        <w:widowControl/>
      </w:pPr>
      <w:bookmarkStart w:id="729" w:name="latin-record-0478"/>
      <w:bookmarkEnd w:id="729"/>
      <w:r>
        <w:rPr>
          <w:b/>
          <w:i w:val="0"/>
        </w:rPr>
        <w:t>fulgur / bombarda</w:t>
      </w:r>
      <w:r>
        <w:rPr>
          <w:b/>
          <w:i w:val="0"/>
        </w:rPr>
        <w:t>.</w:t>
      </w:r>
      <w:r>
        <w:rPr>
          <w:b w:val="0"/>
          <w:i w:val="0"/>
        </w:rPr>
        <w:t xml:space="preserve"> Printed forms: </w:t>
      </w:r>
      <w:r>
        <w:rPr>
          <w:b w:val="0"/>
          <w:i/>
        </w:rPr>
        <w:t>bombarda</w:t>
      </w:r>
      <w:r>
        <w:rPr>
          <w:b w:val="0"/>
          <w:i w:val="0"/>
        </w:rPr>
        <w:t xml:space="preserve">; </w:t>
      </w:r>
      <w:r>
        <w:rPr>
          <w:b w:val="0"/>
          <w:i/>
        </w:rPr>
        <w:t>fulgure</w:t>
      </w:r>
      <w:r>
        <w:rPr>
          <w:b w:val="0"/>
          <w:i w:val="0"/>
        </w:rPr>
        <w:t>.</w:t>
      </w:r>
    </w:p>
    <w:p>
      <w:pPr>
        <w:widowControl/>
      </w:pPr>
      <w:r>
        <w:rPr>
          <w:b w:val="0"/>
          <w:i w:val="0"/>
        </w:rPr>
        <w:t xml:space="preserve">Lightning and cannon. Their conspicuous force is offered as evidence of the strength of fire and air; the passage does not detail a weapon’s construction. References: </w:t>
      </w:r>
      <w:hyperlink w:anchor="passage-i-2-5">
        <w:r>
          <w:rPr>
            <w:color w:val="000000"/>
          </w:rPr>
          <w:t xml:space="preserve">I.2.5</w:t>
        </w:r>
      </w:hyperlink>
      <w:r>
        <w:rPr>
          <w:b w:val="0"/>
          <w:i w:val="0"/>
        </w:rPr>
        <w:t xml:space="preserve">. See </w:t>
      </w:r>
      <w:hyperlink w:anchor="fire-spark-lightning-and-cannon">
        <w:r>
          <w:rPr>
            <w:color w:val="000000"/>
          </w:rPr>
          <w:t xml:space="preserve">Fire, spark, lightning and cannon</w:t>
        </w:r>
      </w:hyperlink>
      <w:r>
        <w:rPr>
          <w:b w:val="0"/>
          <w:i w:val="0"/>
        </w:rPr>
        <w:t>.</w:t>
      </w:r>
    </w:p>
    <w:p>
      <w:pPr>
        <w:keepNext/>
        <w:widowControl/>
      </w:pPr>
      <w:bookmarkStart w:id="730" w:name="latin-record-0479"/>
      <w:bookmarkEnd w:id="730"/>
      <w:r>
        <w:rPr>
          <w:b/>
          <w:i w:val="0"/>
        </w:rPr>
        <w:t>geminus / binus</w:t>
      </w:r>
      <w:r>
        <w:rPr>
          <w:b/>
          <w:i w:val="0"/>
        </w:rPr>
        <w:t>.</w:t>
      </w:r>
      <w:r>
        <w:rPr>
          <w:b w:val="0"/>
          <w:i w:val="0"/>
        </w:rPr>
        <w:t xml:space="preserve"> Printed forms: </w:t>
      </w:r>
      <w:r>
        <w:rPr>
          <w:b w:val="0"/>
          <w:i/>
        </w:rPr>
        <w:t>binos</w:t>
      </w:r>
      <w:r>
        <w:rPr>
          <w:b w:val="0"/>
          <w:i w:val="0"/>
        </w:rPr>
        <w:t xml:space="preserve">; </w:t>
      </w:r>
      <w:r>
        <w:rPr>
          <w:b w:val="0"/>
          <w:i/>
        </w:rPr>
        <w:t>gemini</w:t>
      </w:r>
      <w:r>
        <w:rPr>
          <w:b w:val="0"/>
          <w:i w:val="0"/>
        </w:rPr>
        <w:t xml:space="preserve">; </w:t>
      </w:r>
      <w:r>
        <w:rPr>
          <w:b w:val="0"/>
          <w:i/>
        </w:rPr>
        <w:t>geminis</w:t>
      </w:r>
      <w:r>
        <w:rPr>
          <w:b w:val="0"/>
          <w:i w:val="0"/>
        </w:rPr>
        <w:t>.</w:t>
      </w:r>
    </w:p>
    <w:p>
      <w:pPr>
        <w:widowControl/>
      </w:pPr>
      <w:r>
        <w:rPr>
          <w:b w:val="0"/>
          <w:i w:val="0"/>
        </w:rPr>
        <w:t xml:space="preserve">Twin or paired, introducing a hypothetical pair. The </w:t>
      </w:r>
      <w:r>
        <w:t>“</w:t>
      </w:r>
      <w:r>
        <w:rPr>
          <w:b w:val="0"/>
          <w:i w:val="0"/>
        </w:rPr>
        <w:t>twin gods</w:t>
      </w:r>
      <w:r>
        <w:t>”</w:t>
      </w:r>
      <w:r>
        <w:rPr>
          <w:b w:val="0"/>
          <w:i w:val="0"/>
        </w:rPr>
        <w:t xml:space="preserve"> and </w:t>
      </w:r>
      <w:r>
        <w:t>“</w:t>
      </w:r>
      <w:r>
        <w:rPr>
          <w:b w:val="0"/>
          <w:i w:val="0"/>
        </w:rPr>
        <w:t>twin worlds</w:t>
      </w:r>
      <w:r>
        <w:t>”</w:t>
      </w:r>
      <w:r>
        <w:rPr>
          <w:b w:val="0"/>
          <w:i w:val="0"/>
        </w:rPr>
        <w:t xml:space="preserve"> are posited for refutation, not affirmed as existing. References: </w:t>
      </w:r>
      <w:hyperlink w:anchor="passage-ii-2-1">
        <w:r>
          <w:rPr>
            <w:color w:val="000000"/>
          </w:rPr>
          <w:t xml:space="preserve">II.2.1</w:t>
        </w:r>
      </w:hyperlink>
      <w:r>
        <w:rPr>
          <w:b w:val="0"/>
          <w:i w:val="0"/>
        </w:rPr>
        <w:t xml:space="preserve">, </w:t>
      </w:r>
      <w:hyperlink w:anchor="passage-ii-2-12">
        <w:r>
          <w:rPr>
            <w:color w:val="000000"/>
          </w:rPr>
          <w:t xml:space="preserve">II.2.12</w:t>
        </w:r>
      </w:hyperlink>
      <w:r>
        <w:rPr>
          <w:b w:val="0"/>
          <w:i w:val="0"/>
        </w:rPr>
        <w:t xml:space="preserve">, </w:t>
      </w:r>
      <w:hyperlink w:anchor="passage-ii-2-13">
        <w:r>
          <w:rPr>
            <w:color w:val="000000"/>
          </w:rPr>
          <w:t xml:space="preserve">II.2.13</w:t>
        </w:r>
      </w:hyperlink>
      <w:r>
        <w:rPr>
          <w:b w:val="0"/>
          <w:i w:val="0"/>
        </w:rPr>
        <w:t xml:space="preserve">. See </w:t>
      </w:r>
      <w:hyperlink w:anchor="redundancy-and-uselessness">
        <w:r>
          <w:rPr>
            <w:color w:val="000000"/>
          </w:rPr>
          <w:t xml:space="preserve">Redundancy and uselessness</w:t>
        </w:r>
      </w:hyperlink>
      <w:r>
        <w:rPr>
          <w:b w:val="0"/>
          <w:i w:val="0"/>
        </w:rPr>
        <w:t>.</w:t>
      </w:r>
    </w:p>
    <w:p>
      <w:pPr>
        <w:keepNext/>
        <w:widowControl/>
      </w:pPr>
      <w:bookmarkStart w:id="731" w:name="latin-record-0480"/>
      <w:bookmarkEnd w:id="731"/>
      <w:r>
        <w:rPr>
          <w:b/>
          <w:i w:val="0"/>
        </w:rPr>
        <w:t>generatio / successio</w:t>
      </w:r>
      <w:r>
        <w:rPr>
          <w:b/>
          <w:i w:val="0"/>
        </w:rPr>
        <w:t>.</w:t>
      </w:r>
      <w:r>
        <w:rPr>
          <w:b w:val="0"/>
          <w:i w:val="0"/>
        </w:rPr>
        <w:t xml:space="preserve"> Printed forms: </w:t>
      </w:r>
      <w:r>
        <w:rPr>
          <w:b w:val="0"/>
          <w:i/>
        </w:rPr>
        <w:t>generationis</w:t>
      </w:r>
      <w:r>
        <w:rPr>
          <w:b w:val="0"/>
          <w:i w:val="0"/>
        </w:rPr>
        <w:t xml:space="preserve">; </w:t>
      </w:r>
      <w:r>
        <w:rPr>
          <w:b w:val="0"/>
          <w:i/>
        </w:rPr>
        <w:t>successione</w:t>
      </w:r>
      <w:r>
        <w:rPr>
          <w:b w:val="0"/>
          <w:i w:val="0"/>
        </w:rPr>
        <w:t>.</w:t>
      </w:r>
    </w:p>
    <w:p>
      <w:pPr>
        <w:widowControl/>
      </w:pPr>
      <w:r>
        <w:rPr>
          <w:b w:val="0"/>
          <w:i w:val="0"/>
        </w:rPr>
        <w:t xml:space="preserve">Generation and succession, capable of indefinite continuation in the account. Repeated generation is one potential infinity dependent on a source of active infinite power. References: </w:t>
      </w:r>
      <w:hyperlink w:anchor="passage-ii-4-8">
        <w:r>
          <w:rPr>
            <w:color w:val="000000"/>
          </w:rPr>
          <w:t xml:space="preserve">II.4.8</w:t>
        </w:r>
      </w:hyperlink>
      <w:r>
        <w:rPr>
          <w:b w:val="0"/>
          <w:i w:val="0"/>
        </w:rPr>
        <w:t xml:space="preserve">, </w:t>
      </w:r>
      <w:hyperlink w:anchor="passage-ii-10-3">
        <w:r>
          <w:rPr>
            <w:color w:val="000000"/>
          </w:rPr>
          <w:t xml:space="preserve">II.10.3</w:t>
        </w:r>
      </w:hyperlink>
      <w:r>
        <w:rPr>
          <w:b w:val="0"/>
          <w:i w:val="0"/>
        </w:rPr>
        <w:t xml:space="preserve">. See </w:t>
      </w:r>
      <w:hyperlink w:anchor="generation-and-corruption">
        <w:r>
          <w:rPr>
            <w:color w:val="000000"/>
          </w:rPr>
          <w:t xml:space="preserve">Generation and corruption</w:t>
        </w:r>
      </w:hyperlink>
      <w:r>
        <w:rPr>
          <w:b w:val="0"/>
          <w:i w:val="0"/>
        </w:rPr>
        <w:t>.</w:t>
      </w:r>
    </w:p>
    <w:p>
      <w:pPr>
        <w:keepNext/>
        <w:widowControl/>
      </w:pPr>
      <w:bookmarkStart w:id="732" w:name="latin-record-0481"/>
      <w:bookmarkEnd w:id="732"/>
      <w:r>
        <w:rPr>
          <w:b/>
          <w:i w:val="0"/>
        </w:rPr>
        <w:t>genus</w:t>
      </w:r>
      <w:r>
        <w:rPr>
          <w:b/>
          <w:i w:val="0"/>
        </w:rPr>
        <w:t>.</w:t>
      </w:r>
      <w:r>
        <w:rPr>
          <w:b w:val="0"/>
          <w:i w:val="0"/>
        </w:rPr>
        <w:t xml:space="preserve"> Printed forms: </w:t>
      </w:r>
      <w:r>
        <w:rPr>
          <w:b w:val="0"/>
          <w:i/>
        </w:rPr>
        <w:t>genere</w:t>
      </w:r>
      <w:r>
        <w:rPr>
          <w:b w:val="0"/>
          <w:i w:val="0"/>
        </w:rPr>
        <w:t xml:space="preserve">; </w:t>
      </w:r>
      <w:r>
        <w:rPr>
          <w:b w:val="0"/>
          <w:i/>
        </w:rPr>
        <w:t>generis</w:t>
      </w:r>
      <w:r>
        <w:rPr>
          <w:b w:val="0"/>
          <w:i w:val="0"/>
        </w:rPr>
        <w:t xml:space="preserve">; </w:t>
      </w:r>
      <w:r>
        <w:rPr>
          <w:b w:val="0"/>
          <w:i/>
        </w:rPr>
        <w:t>genus</w:t>
      </w:r>
      <w:r>
        <w:rPr>
          <w:b w:val="0"/>
          <w:i w:val="0"/>
        </w:rPr>
        <w:t>.</w:t>
      </w:r>
    </w:p>
    <w:p>
      <w:pPr>
        <w:widowControl/>
      </w:pPr>
      <w:r>
        <w:rPr>
          <w:b w:val="0"/>
          <w:i w:val="0"/>
        </w:rPr>
        <w:t xml:space="preserve">A kind or explanatory genus. The first cause of a kind must account for that whole kind; </w:t>
      </w:r>
      <w:r>
        <w:t>“</w:t>
      </w:r>
      <w:r>
        <w:rPr>
          <w:b w:val="0"/>
          <w:i w:val="0"/>
        </w:rPr>
        <w:t>human race</w:t>
      </w:r>
      <w:r>
        <w:t>”</w:t>
      </w:r>
      <w:r>
        <w:rPr>
          <w:b w:val="0"/>
          <w:i w:val="0"/>
        </w:rPr>
        <w:t xml:space="preserve"> in the opening is another local sense, not a fixed biological taxonomic rank. References: </w:t>
      </w:r>
      <w:hyperlink w:anchor="passage-i-1-1">
        <w:r>
          <w:rPr>
            <w:color w:val="000000"/>
          </w:rPr>
          <w:t xml:space="preserve">I.1.1</w:t>
        </w:r>
      </w:hyperlink>
      <w:r>
        <w:rPr>
          <w:b w:val="0"/>
          <w:i w:val="0"/>
        </w:rPr>
        <w:t xml:space="preserve">, </w:t>
      </w:r>
      <w:hyperlink w:anchor="passage-i-3-3">
        <w:r>
          <w:rPr>
            <w:color w:val="000000"/>
          </w:rPr>
          <w:t xml:space="preserve">I.3.3</w:t>
        </w:r>
      </w:hyperlink>
      <w:r>
        <w:rPr>
          <w:b w:val="0"/>
          <w:i w:val="0"/>
        </w:rPr>
        <w:t xml:space="preserve">, </w:t>
      </w:r>
      <w:hyperlink w:anchor="passage-i-3-8">
        <w:r>
          <w:rPr>
            <w:color w:val="000000"/>
          </w:rPr>
          <w:t xml:space="preserve">I.3.8</w:t>
        </w:r>
      </w:hyperlink>
      <w:r>
        <w:rPr>
          <w:b w:val="0"/>
          <w:i w:val="0"/>
        </w:rPr>
        <w:t xml:space="preserve">. See </w:t>
      </w:r>
      <w:hyperlink w:anchor="species">
        <w:r>
          <w:rPr>
            <w:color w:val="000000"/>
          </w:rPr>
          <w:t xml:space="preserve">Species</w:t>
        </w:r>
      </w:hyperlink>
      <w:r>
        <w:rPr>
          <w:b w:val="0"/>
          <w:i w:val="0"/>
        </w:rPr>
        <w:t>.</w:t>
      </w:r>
    </w:p>
    <w:p>
      <w:pPr>
        <w:keepNext/>
        <w:widowControl/>
      </w:pPr>
      <w:bookmarkStart w:id="733" w:name="latin-record-0482"/>
      <w:bookmarkEnd w:id="733"/>
      <w:r>
        <w:rPr>
          <w:b/>
          <w:i w:val="0"/>
        </w:rPr>
        <w:t>geometra / geometrica mens</w:t>
      </w:r>
      <w:r>
        <w:rPr>
          <w:b/>
          <w:i w:val="0"/>
        </w:rPr>
        <w:t>.</w:t>
      </w:r>
      <w:r>
        <w:rPr>
          <w:b w:val="0"/>
          <w:i w:val="0"/>
        </w:rPr>
        <w:t xml:space="preserve"> Printed forms: </w:t>
      </w:r>
      <w:r>
        <w:rPr>
          <w:b w:val="0"/>
          <w:i/>
        </w:rPr>
        <w:t>geometrae</w:t>
      </w:r>
      <w:r>
        <w:rPr>
          <w:b w:val="0"/>
          <w:i w:val="0"/>
        </w:rPr>
        <w:t xml:space="preserve">; </w:t>
      </w:r>
      <w:r>
        <w:rPr>
          <w:b w:val="0"/>
          <w:i/>
        </w:rPr>
        <w:t>geometrica mens</w:t>
      </w:r>
      <w:r>
        <w:rPr>
          <w:b w:val="0"/>
          <w:i w:val="0"/>
        </w:rPr>
        <w:t>.</w:t>
      </w:r>
    </w:p>
    <w:p>
      <w:pPr>
        <w:widowControl/>
      </w:pPr>
      <w:r>
        <w:rPr>
          <w:b w:val="0"/>
          <w:i w:val="0"/>
        </w:rPr>
        <w:t xml:space="preserve">Geometer; geometrical mind. External drawing in dust is contrasted with inward formation of imagination. References: </w:t>
      </w:r>
      <w:hyperlink w:anchor="passage-iv-1-11">
        <w:r>
          <w:rPr>
            <w:color w:val="000000"/>
          </w:rPr>
          <w:t xml:space="preserve">IV.1.11</w:t>
        </w:r>
      </w:hyperlink>
      <w:r>
        <w:rPr>
          <w:b w:val="0"/>
          <w:i w:val="0"/>
        </w:rPr>
        <w:t xml:space="preserve">. See </w:t>
      </w:r>
      <w:hyperlink w:anchor="carpenter-and-geometer">
        <w:r>
          <w:rPr>
            <w:color w:val="000000"/>
          </w:rPr>
          <w:t xml:space="preserve">Carpenter and geometer</w:t>
        </w:r>
      </w:hyperlink>
      <w:r>
        <w:rPr>
          <w:b w:val="0"/>
          <w:i w:val="0"/>
        </w:rPr>
        <w:t>.</w:t>
      </w:r>
    </w:p>
    <w:p>
      <w:pPr>
        <w:keepNext/>
        <w:widowControl/>
      </w:pPr>
      <w:bookmarkStart w:id="734" w:name="latin-record-0483"/>
      <w:bookmarkEnd w:id="734"/>
      <w:r>
        <w:rPr>
          <w:b/>
          <w:i w:val="0"/>
        </w:rPr>
        <w:t>germen / corporale semen</w:t>
      </w:r>
      <w:r>
        <w:rPr>
          <w:b/>
          <w:i w:val="0"/>
        </w:rPr>
        <w:t>.</w:t>
      </w:r>
      <w:r>
        <w:rPr>
          <w:b w:val="0"/>
          <w:i w:val="0"/>
        </w:rPr>
        <w:t xml:space="preserve"> Printed forms: </w:t>
      </w:r>
      <w:r>
        <w:rPr>
          <w:b w:val="0"/>
          <w:i/>
        </w:rPr>
        <w:t>germine corporali</w:t>
      </w:r>
      <w:r>
        <w:rPr>
          <w:b w:val="0"/>
          <w:i w:val="0"/>
        </w:rPr>
        <w:t xml:space="preserve">; </w:t>
      </w:r>
      <w:r>
        <w:rPr>
          <w:b w:val="0"/>
          <w:i/>
        </w:rPr>
        <w:t>semine corporali</w:t>
      </w:r>
      <w:r>
        <w:rPr>
          <w:b w:val="0"/>
          <w:i w:val="0"/>
        </w:rPr>
        <w:t>.</w:t>
      </w:r>
    </w:p>
    <w:p>
      <w:pPr>
        <w:widowControl/>
      </w:pPr>
      <w:r>
        <w:rPr>
          <w:b w:val="0"/>
          <w:i w:val="0"/>
        </w:rPr>
        <w:t xml:space="preserve">A bodily shoot or reproductive seed. The absence of visible bodily material motivates the inference to incorporeal formative principles. References: </w:t>
      </w:r>
      <w:hyperlink w:anchor="passage-iv-1-14">
        <w:r>
          <w:rPr>
            <w:color w:val="000000"/>
          </w:rPr>
          <w:t xml:space="preserve">IV.1.14</w:t>
        </w:r>
      </w:hyperlink>
      <w:r>
        <w:rPr>
          <w:b w:val="0"/>
          <w:i w:val="0"/>
        </w:rPr>
        <w:t xml:space="preserve">. See </w:t>
      </w:r>
      <w:hyperlink w:anchor="seeds">
        <w:r>
          <w:rPr>
            <w:color w:val="000000"/>
          </w:rPr>
          <w:t xml:space="preserve">Seeds</w:t>
        </w:r>
      </w:hyperlink>
      <w:r>
        <w:rPr>
          <w:b w:val="0"/>
          <w:i w:val="0"/>
        </w:rPr>
        <w:t>.</w:t>
      </w:r>
    </w:p>
    <w:p>
      <w:pPr>
        <w:keepNext/>
        <w:widowControl/>
      </w:pPr>
      <w:bookmarkStart w:id="735" w:name="latin-record-0484"/>
      <w:bookmarkEnd w:id="735"/>
      <w:r>
        <w:rPr>
          <w:b/>
          <w:i w:val="0"/>
        </w:rPr>
        <w:t>gignere / producere</w:t>
      </w:r>
      <w:r>
        <w:rPr>
          <w:b/>
          <w:i w:val="0"/>
        </w:rPr>
        <w:t>.</w:t>
      </w:r>
      <w:r>
        <w:rPr>
          <w:b w:val="0"/>
          <w:i w:val="0"/>
        </w:rPr>
        <w:t xml:space="preserve"> Printed forms: </w:t>
      </w:r>
      <w:r>
        <w:rPr>
          <w:b w:val="0"/>
          <w:i/>
        </w:rPr>
        <w:t>genito</w:t>
      </w:r>
      <w:r>
        <w:rPr>
          <w:b w:val="0"/>
          <w:i w:val="0"/>
        </w:rPr>
        <w:t xml:space="preserve">; </w:t>
      </w:r>
      <w:r>
        <w:rPr>
          <w:b w:val="0"/>
          <w:i/>
        </w:rPr>
        <w:t>genitum</w:t>
      </w:r>
      <w:r>
        <w:rPr>
          <w:b w:val="0"/>
          <w:i w:val="0"/>
        </w:rPr>
        <w:t xml:space="preserve">; </w:t>
      </w:r>
      <w:r>
        <w:rPr>
          <w:b w:val="0"/>
          <w:i/>
        </w:rPr>
        <w:t>gignit</w:t>
      </w:r>
      <w:r>
        <w:rPr>
          <w:b w:val="0"/>
          <w:i w:val="0"/>
        </w:rPr>
        <w:t xml:space="preserve">; </w:t>
      </w:r>
      <w:r>
        <w:rPr>
          <w:b w:val="0"/>
          <w:i/>
        </w:rPr>
        <w:t>producit</w:t>
      </w:r>
      <w:r>
        <w:rPr>
          <w:b w:val="0"/>
          <w:i w:val="0"/>
        </w:rPr>
        <w:t>.</w:t>
      </w:r>
    </w:p>
    <w:p>
      <w:pPr>
        <w:widowControl/>
      </w:pPr>
      <w:r>
        <w:rPr>
          <w:b w:val="0"/>
          <w:i w:val="0"/>
        </w:rPr>
        <w:t xml:space="preserve">Beget / bring forth. The verbs gloss divine self-activity in a reserved, attributed exposition, not a temporal emergence of God from nonbeing. References: </w:t>
      </w:r>
      <w:hyperlink w:anchor="passage-ii-12-10">
        <w:r>
          <w:rPr>
            <w:color w:val="000000"/>
          </w:rPr>
          <w:t xml:space="preserve">II.12.10</w:t>
        </w:r>
      </w:hyperlink>
      <w:r>
        <w:rPr>
          <w:b w:val="0"/>
          <w:i w:val="0"/>
        </w:rPr>
        <w:t xml:space="preserve">, </w:t>
      </w:r>
      <w:hyperlink w:anchor="passage-ii-12-11">
        <w:r>
          <w:rPr>
            <w:color w:val="000000"/>
          </w:rPr>
          <w:t xml:space="preserve">II.12.11</w:t>
        </w:r>
      </w:hyperlink>
      <w:r>
        <w:rPr>
          <w:b w:val="0"/>
          <w:i w:val="0"/>
        </w:rPr>
        <w:t xml:space="preserve">. See </w:t>
      </w:r>
      <w:hyperlink w:anchor="self-production-and-reservation">
        <w:r>
          <w:rPr>
            <w:color w:val="000000"/>
          </w:rPr>
          <w:t xml:space="preserve">Self-production and reservation</w:t>
        </w:r>
      </w:hyperlink>
      <w:r>
        <w:rPr>
          <w:b w:val="0"/>
          <w:i w:val="0"/>
        </w:rPr>
        <w:t>.</w:t>
      </w:r>
    </w:p>
    <w:p>
      <w:pPr>
        <w:keepNext/>
        <w:widowControl/>
      </w:pPr>
      <w:bookmarkStart w:id="736" w:name="latin-record-0485"/>
      <w:bookmarkEnd w:id="736"/>
      <w:r>
        <w:rPr>
          <w:b/>
          <w:i w:val="0"/>
        </w:rPr>
        <w:t>gradus / gradatim</w:t>
      </w:r>
      <w:r>
        <w:rPr>
          <w:b/>
          <w:i w:val="0"/>
        </w:rPr>
        <w:t>.</w:t>
      </w:r>
      <w:r>
        <w:rPr>
          <w:b w:val="0"/>
          <w:i w:val="0"/>
        </w:rPr>
        <w:t xml:space="preserve"> Printed forms: </w:t>
      </w:r>
      <w:r>
        <w:rPr>
          <w:b w:val="0"/>
          <w:i/>
        </w:rPr>
        <w:t>gradatim</w:t>
      </w:r>
      <w:r>
        <w:rPr>
          <w:b w:val="0"/>
          <w:i w:val="0"/>
        </w:rPr>
        <w:t xml:space="preserve">; </w:t>
      </w:r>
      <w:r>
        <w:rPr>
          <w:b w:val="0"/>
          <w:i/>
        </w:rPr>
        <w:t>gradibus</w:t>
      </w:r>
      <w:r>
        <w:rPr>
          <w:b w:val="0"/>
          <w:i w:val="0"/>
        </w:rPr>
        <w:t xml:space="preserve">; </w:t>
      </w:r>
      <w:r>
        <w:rPr>
          <w:b w:val="0"/>
          <w:i/>
        </w:rPr>
        <w:t>gradus</w:t>
      </w:r>
      <w:r>
        <w:rPr>
          <w:b w:val="0"/>
          <w:i w:val="0"/>
        </w:rPr>
        <w:t>.</w:t>
      </w:r>
    </w:p>
    <w:p>
      <w:pPr>
        <w:widowControl/>
      </w:pPr>
      <w:r>
        <w:rPr>
          <w:b w:val="0"/>
          <w:i w:val="0"/>
        </w:rPr>
        <w:t xml:space="preserve">Degree or rank; stepwise progression. Degrees distinguish perfections and causal levels, whereas stepwise enumeration is denied of divine cognition. References: </w:t>
      </w:r>
      <w:hyperlink w:anchor="passage-ii-3-1">
        <w:r>
          <w:rPr>
            <w:color w:val="000000"/>
          </w:rPr>
          <w:t xml:space="preserve">II.3.1</w:t>
        </w:r>
      </w:hyperlink>
      <w:r>
        <w:rPr>
          <w:b w:val="0"/>
          <w:i w:val="0"/>
        </w:rPr>
        <w:t xml:space="preserve">, </w:t>
      </w:r>
      <w:hyperlink w:anchor="passage-ii-3-9">
        <w:r>
          <w:rPr>
            <w:color w:val="000000"/>
          </w:rPr>
          <w:t xml:space="preserve">II.3.9</w:t>
        </w:r>
      </w:hyperlink>
      <w:r>
        <w:rPr>
          <w:b w:val="0"/>
          <w:i w:val="0"/>
        </w:rPr>
        <w:t xml:space="preserve">, </w:t>
      </w:r>
      <w:hyperlink w:anchor="passage-ii-4-3">
        <w:r>
          <w:rPr>
            <w:color w:val="000000"/>
          </w:rPr>
          <w:t xml:space="preserve">II.4.3</w:t>
        </w:r>
      </w:hyperlink>
      <w:r>
        <w:rPr>
          <w:b w:val="0"/>
          <w:i w:val="0"/>
        </w:rPr>
        <w:t xml:space="preserve">, </w:t>
      </w:r>
      <w:hyperlink w:anchor="passage-ii-10-10">
        <w:r>
          <w:rPr>
            <w:color w:val="000000"/>
          </w:rPr>
          <w:t xml:space="preserve">II.10.10</w:t>
        </w:r>
      </w:hyperlink>
      <w:r>
        <w:rPr>
          <w:b w:val="0"/>
          <w:i w:val="0"/>
        </w:rPr>
        <w:t xml:space="preserve">. See </w:t>
      </w:r>
      <w:hyperlink w:anchor="measure-and-degree">
        <w:r>
          <w:rPr>
            <w:color w:val="000000"/>
          </w:rPr>
          <w:t xml:space="preserve">Measure and degree</w:t>
        </w:r>
      </w:hyperlink>
      <w:r>
        <w:rPr>
          <w:b w:val="0"/>
          <w:i w:val="0"/>
        </w:rPr>
        <w:t>.</w:t>
      </w:r>
    </w:p>
    <w:p>
      <w:pPr>
        <w:keepNext/>
        <w:widowControl/>
      </w:pPr>
      <w:bookmarkStart w:id="737" w:name="latin-record-0486"/>
      <w:bookmarkEnd w:id="737"/>
      <w:r>
        <w:rPr>
          <w:b/>
          <w:i w:val="0"/>
        </w:rPr>
        <w:t>gradus / mensura / proportio</w:t>
      </w:r>
      <w:r>
        <w:rPr>
          <w:b/>
          <w:i w:val="0"/>
        </w:rPr>
        <w:t>.</w:t>
      </w:r>
      <w:r>
        <w:rPr>
          <w:b w:val="0"/>
          <w:i w:val="0"/>
        </w:rPr>
        <w:t xml:space="preserve"> Printed forms: </w:t>
      </w:r>
      <w:r>
        <w:rPr>
          <w:b w:val="0"/>
          <w:i/>
        </w:rPr>
        <w:t>gradibus</w:t>
      </w:r>
      <w:r>
        <w:rPr>
          <w:b w:val="0"/>
          <w:i w:val="0"/>
        </w:rPr>
        <w:t xml:space="preserve">; </w:t>
      </w:r>
      <w:r>
        <w:rPr>
          <w:b w:val="0"/>
          <w:i/>
        </w:rPr>
        <w:t>gradu</w:t>
      </w:r>
      <w:r>
        <w:rPr>
          <w:b w:val="0"/>
          <w:i w:val="0"/>
        </w:rPr>
        <w:t xml:space="preserve">; </w:t>
      </w:r>
      <w:r>
        <w:rPr>
          <w:b w:val="0"/>
          <w:i/>
        </w:rPr>
        <w:t>gradus</w:t>
      </w:r>
      <w:r>
        <w:rPr>
          <w:b w:val="0"/>
          <w:i w:val="0"/>
        </w:rPr>
        <w:t xml:space="preserve">; </w:t>
      </w:r>
      <w:r>
        <w:rPr>
          <w:b w:val="0"/>
          <w:i/>
        </w:rPr>
        <w:t>graduum</w:t>
      </w:r>
      <w:r>
        <w:rPr>
          <w:b w:val="0"/>
          <w:i w:val="0"/>
        </w:rPr>
        <w:t xml:space="preserve">; </w:t>
      </w:r>
      <w:r>
        <w:rPr>
          <w:b w:val="0"/>
          <w:i/>
        </w:rPr>
        <w:t>mensuram</w:t>
      </w:r>
      <w:r>
        <w:rPr>
          <w:b w:val="0"/>
          <w:i w:val="0"/>
        </w:rPr>
        <w:t xml:space="preserve">; </w:t>
      </w:r>
      <w:r>
        <w:rPr>
          <w:b w:val="0"/>
          <w:i/>
        </w:rPr>
        <w:t>proportionem</w:t>
      </w:r>
      <w:r>
        <w:rPr>
          <w:b w:val="0"/>
          <w:i w:val="0"/>
        </w:rPr>
        <w:t>.</w:t>
      </w:r>
    </w:p>
    <w:p>
      <w:pPr>
        <w:widowControl/>
      </w:pPr>
      <w:r>
        <w:rPr>
          <w:b w:val="0"/>
          <w:i w:val="0"/>
        </w:rPr>
        <w:t xml:space="preserve">Degree / measure / proportion. Different degrees of heat depend on recipients; measured routes fit a proposed end, distinguishing amount from intelligent ordering. References: </w:t>
      </w:r>
      <w:hyperlink w:anchor="passage-ii-11-8">
        <w:r>
          <w:rPr>
            <w:color w:val="000000"/>
          </w:rPr>
          <w:t xml:space="preserve">II.11.8</w:t>
        </w:r>
      </w:hyperlink>
      <w:r>
        <w:rPr>
          <w:b w:val="0"/>
          <w:i w:val="0"/>
        </w:rPr>
        <w:t xml:space="preserve">, </w:t>
      </w:r>
      <w:hyperlink w:anchor="passage-ii-11-25">
        <w:r>
          <w:rPr>
            <w:color w:val="000000"/>
          </w:rPr>
          <w:t xml:space="preserve">II.11.25</w:t>
        </w:r>
      </w:hyperlink>
      <w:r>
        <w:rPr>
          <w:b w:val="0"/>
          <w:i w:val="0"/>
        </w:rPr>
        <w:t xml:space="preserve">, </w:t>
      </w:r>
      <w:hyperlink w:anchor="passage-ii-13-7">
        <w:r>
          <w:rPr>
            <w:color w:val="000000"/>
          </w:rPr>
          <w:t xml:space="preserve">II.13.7</w:t>
        </w:r>
      </w:hyperlink>
      <w:r>
        <w:rPr>
          <w:b w:val="0"/>
          <w:i w:val="0"/>
        </w:rPr>
        <w:t xml:space="preserve">. See </w:t>
      </w:r>
      <w:hyperlink w:anchor="measure-and-degree">
        <w:r>
          <w:rPr>
            <w:color w:val="000000"/>
          </w:rPr>
          <w:t xml:space="preserve">Measure and degree</w:t>
        </w:r>
      </w:hyperlink>
      <w:r>
        <w:rPr>
          <w:b w:val="0"/>
          <w:i w:val="0"/>
        </w:rPr>
        <w:t>.</w:t>
      </w:r>
    </w:p>
    <w:p>
      <w:pPr>
        <w:keepNext/>
        <w:widowControl/>
      </w:pPr>
      <w:bookmarkStart w:id="738" w:name="latin-record-0487"/>
      <w:bookmarkEnd w:id="738"/>
      <w:r>
        <w:rPr>
          <w:b/>
          <w:i w:val="0"/>
        </w:rPr>
        <w:t>gradus minimus naturalis</w:t>
      </w:r>
      <w:r>
        <w:rPr>
          <w:b/>
          <w:i w:val="0"/>
        </w:rPr>
        <w:t>.</w:t>
      </w:r>
      <w:r>
        <w:rPr>
          <w:b w:val="0"/>
          <w:i w:val="0"/>
        </w:rPr>
        <w:t xml:space="preserve"> Printed forms: </w:t>
      </w:r>
      <w:r>
        <w:rPr>
          <w:b w:val="0"/>
          <w:i/>
        </w:rPr>
        <w:t>gradum minimum naturalem</w:t>
      </w:r>
      <w:r>
        <w:rPr>
          <w:b w:val="0"/>
          <w:i w:val="0"/>
        </w:rPr>
        <w:t>.</w:t>
      </w:r>
    </w:p>
    <w:p>
      <w:pPr>
        <w:widowControl/>
      </w:pPr>
      <w:r>
        <w:rPr>
          <w:b w:val="0"/>
          <w:i w:val="0"/>
        </w:rPr>
        <w:t xml:space="preserve">The least natural degree. Ficino lists it as the limiting principle for natural form; the passage does not provide a numerical threshold or modern unit of measurement. References: </w:t>
      </w:r>
      <w:hyperlink w:anchor="passage-i-3-14">
        <w:r>
          <w:rPr>
            <w:color w:val="000000"/>
          </w:rPr>
          <w:t xml:space="preserve">I.3.14</w:t>
        </w:r>
      </w:hyperlink>
      <w:r>
        <w:rPr>
          <w:b w:val="0"/>
          <w:i w:val="0"/>
        </w:rPr>
        <w:t xml:space="preserve">. See </w:t>
      </w:r>
      <w:hyperlink w:anchor="least-natural-degree">
        <w:r>
          <w:rPr>
            <w:color w:val="000000"/>
          </w:rPr>
          <w:t xml:space="preserve">Least natural degree</w:t>
        </w:r>
      </w:hyperlink>
      <w:r>
        <w:rPr>
          <w:b w:val="0"/>
          <w:i w:val="0"/>
        </w:rPr>
        <w:t>.</w:t>
      </w:r>
    </w:p>
    <w:p>
      <w:pPr>
        <w:keepNext/>
        <w:widowControl/>
      </w:pPr>
      <w:bookmarkStart w:id="739" w:name="latin-record-0488"/>
      <w:bookmarkEnd w:id="739"/>
      <w:r>
        <w:rPr>
          <w:b/>
          <w:i w:val="0"/>
        </w:rPr>
        <w:t>gratia / causa with genitive</w:t>
      </w:r>
      <w:r>
        <w:rPr>
          <w:b/>
          <w:i w:val="0"/>
        </w:rPr>
        <w:t>.</w:t>
      </w:r>
      <w:r>
        <w:rPr>
          <w:b w:val="0"/>
          <w:i w:val="0"/>
        </w:rPr>
        <w:t xml:space="preserve"> Printed forms: </w:t>
      </w:r>
      <w:r>
        <w:rPr>
          <w:b w:val="0"/>
          <w:i/>
        </w:rPr>
        <w:t>corpusculi talis causa</w:t>
      </w:r>
      <w:r>
        <w:rPr>
          <w:b w:val="0"/>
          <w:i w:val="0"/>
        </w:rPr>
        <w:t xml:space="preserve">; </w:t>
      </w:r>
      <w:r>
        <w:rPr>
          <w:b w:val="0"/>
          <w:i/>
        </w:rPr>
        <w:t>totius mundi gratia</w:t>
      </w:r>
      <w:r>
        <w:rPr>
          <w:b w:val="0"/>
          <w:i w:val="0"/>
        </w:rPr>
        <w:t>.</w:t>
      </w:r>
    </w:p>
    <w:p>
      <w:pPr>
        <w:widowControl/>
      </w:pPr>
      <w:r>
        <w:rPr>
          <w:b w:val="0"/>
          <w:i w:val="0"/>
        </w:rPr>
        <w:t xml:space="preserve">For the sake of; an expression of purpose. Whole elemental spheres exist for the world’s sake, while their mixed particles serve particular composites. References: </w:t>
      </w:r>
      <w:hyperlink w:anchor="passage-iv-1-90">
        <w:r>
          <w:rPr>
            <w:color w:val="000000"/>
          </w:rPr>
          <w:t xml:space="preserve">IV.1.90</w:t>
        </w:r>
      </w:hyperlink>
      <w:r>
        <w:rPr>
          <w:b w:val="0"/>
          <w:i w:val="0"/>
        </w:rPr>
        <w:t xml:space="preserve">, </w:t>
      </w:r>
      <w:hyperlink w:anchor="passage-iv-1-91">
        <w:r>
          <w:rPr>
            <w:color w:val="000000"/>
          </w:rPr>
          <w:t xml:space="preserve">IV.1.91</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740" w:name="latin-record-0489"/>
      <w:bookmarkEnd w:id="740"/>
      <w:r>
        <w:rPr>
          <w:b/>
          <w:i w:val="0"/>
        </w:rPr>
        <w:t>gratia — purpose</w:t>
      </w:r>
      <w:r>
        <w:rPr>
          <w:b/>
          <w:i w:val="0"/>
        </w:rPr>
        <w:t>.</w:t>
      </w:r>
      <w:r>
        <w:rPr>
          <w:b w:val="0"/>
          <w:i w:val="0"/>
        </w:rPr>
        <w:t xml:space="preserve"> Printed forms: </w:t>
      </w:r>
      <w:r>
        <w:rPr>
          <w:b w:val="0"/>
          <w:i/>
        </w:rPr>
        <w:t>boni ipsius gratia</w:t>
      </w:r>
      <w:r>
        <w:rPr>
          <w:b w:val="0"/>
          <w:i w:val="0"/>
        </w:rPr>
        <w:t xml:space="preserve">; </w:t>
      </w:r>
      <w:r>
        <w:rPr>
          <w:b w:val="0"/>
          <w:i/>
        </w:rPr>
        <w:t>sui gratia</w:t>
      </w:r>
      <w:r>
        <w:rPr>
          <w:b w:val="0"/>
          <w:i w:val="0"/>
        </w:rPr>
        <w:t>.</w:t>
      </w:r>
    </w:p>
    <w:p>
      <w:pPr>
        <w:widowControl/>
      </w:pPr>
      <w:r>
        <w:rPr>
          <w:b w:val="0"/>
          <w:i w:val="0"/>
        </w:rPr>
        <w:t xml:space="preserve">For the sake of, with a preceding genitive. The construction specifies the final good for which something is made; here gratia is not a separate gift of grace or a feeling of gratitude. References: </w:t>
      </w:r>
      <w:hyperlink w:anchor="passage-ii-11-27">
        <w:r>
          <w:rPr>
            <w:color w:val="000000"/>
          </w:rPr>
          <w:t xml:space="preserve">II.11.27</w:t>
        </w:r>
      </w:hyperlink>
      <w:r>
        <w:rPr>
          <w:b w:val="0"/>
          <w:i w:val="0"/>
        </w:rPr>
        <w:t xml:space="preserve">, </w:t>
      </w:r>
      <w:hyperlink w:anchor="passage-ii-13-3">
        <w:r>
          <w:rPr>
            <w:color w:val="000000"/>
          </w:rPr>
          <w:t xml:space="preserve">II.13.3</w:t>
        </w:r>
      </w:hyperlink>
      <w:r>
        <w:rPr>
          <w:b w:val="0"/>
          <w:i w:val="0"/>
        </w:rPr>
        <w:t xml:space="preserve">. See </w:t>
      </w:r>
      <w:hyperlink w:anchor="end-and-limit">
        <w:r>
          <w:rPr>
            <w:color w:val="000000"/>
          </w:rPr>
          <w:t xml:space="preserve">End and limit</w:t>
        </w:r>
      </w:hyperlink>
      <w:r>
        <w:rPr>
          <w:b w:val="0"/>
          <w:i w:val="0"/>
        </w:rPr>
        <w:t>.</w:t>
      </w:r>
    </w:p>
    <w:p>
      <w:pPr>
        <w:keepNext/>
        <w:widowControl/>
      </w:pPr>
      <w:bookmarkStart w:id="741" w:name="latin-record-0490"/>
      <w:bookmarkEnd w:id="741"/>
      <w:r>
        <w:rPr>
          <w:b/>
          <w:i w:val="0"/>
        </w:rPr>
        <w:t>gravior / levior</w:t>
      </w:r>
      <w:r>
        <w:rPr>
          <w:b/>
          <w:i w:val="0"/>
        </w:rPr>
        <w:t>.</w:t>
      </w:r>
      <w:r>
        <w:rPr>
          <w:b w:val="0"/>
          <w:i w:val="0"/>
        </w:rPr>
        <w:t xml:space="preserve"> Printed forms: </w:t>
      </w:r>
      <w:r>
        <w:rPr>
          <w:b w:val="0"/>
          <w:i/>
        </w:rPr>
        <w:t>gravioribus</w:t>
      </w:r>
      <w:r>
        <w:rPr>
          <w:b w:val="0"/>
          <w:i w:val="0"/>
        </w:rPr>
        <w:t xml:space="preserve">; </w:t>
      </w:r>
      <w:r>
        <w:rPr>
          <w:b w:val="0"/>
          <w:i/>
        </w:rPr>
        <w:t>leviora</w:t>
      </w:r>
      <w:r>
        <w:rPr>
          <w:b w:val="0"/>
          <w:i w:val="0"/>
        </w:rPr>
        <w:t>.</w:t>
      </w:r>
    </w:p>
    <w:p>
      <w:pPr>
        <w:widowControl/>
      </w:pPr>
      <w:r>
        <w:rPr>
          <w:b w:val="0"/>
          <w:i w:val="0"/>
        </w:rPr>
        <w:t xml:space="preserve">Weightier or lesser in importance. The contrast describes relative importance, not mass; the same gaze knows both without displacement. References: </w:t>
      </w:r>
      <w:hyperlink w:anchor="passage-ii-9-20">
        <w:r>
          <w:rPr>
            <w:color w:val="000000"/>
          </w:rPr>
          <w:t xml:space="preserve">II.9.20</w:t>
        </w:r>
      </w:hyperlink>
      <w:r>
        <w:rPr>
          <w:b w:val="0"/>
          <w:i w:val="0"/>
        </w:rPr>
        <w:t xml:space="preserve">. See </w:t>
      </w:r>
      <w:hyperlink w:anchor="seeking-possessing-and-distraction">
        <w:r>
          <w:rPr>
            <w:color w:val="000000"/>
          </w:rPr>
          <w:t xml:space="preserve">Seeking possessing and distraction</w:t>
        </w:r>
      </w:hyperlink>
      <w:r>
        <w:rPr>
          <w:b w:val="0"/>
          <w:i w:val="0"/>
        </w:rPr>
        <w:t>.</w:t>
      </w:r>
    </w:p>
    <w:p>
      <w:pPr>
        <w:keepNext/>
        <w:widowControl/>
      </w:pPr>
      <w:bookmarkStart w:id="742" w:name="latin-record-0491"/>
      <w:bookmarkEnd w:id="742"/>
      <w:r>
        <w:rPr>
          <w:b/>
          <w:i w:val="0"/>
        </w:rPr>
        <w:t>gravitas / levitas</w:t>
      </w:r>
      <w:r>
        <w:rPr>
          <w:b/>
          <w:i w:val="0"/>
        </w:rPr>
        <w:t>.</w:t>
      </w:r>
      <w:r>
        <w:rPr>
          <w:b w:val="0"/>
          <w:i w:val="0"/>
        </w:rPr>
        <w:t xml:space="preserve"> Printed forms: </w:t>
      </w:r>
      <w:r>
        <w:rPr>
          <w:b w:val="0"/>
          <w:i/>
        </w:rPr>
        <w:t>gravitas</w:t>
      </w:r>
      <w:r>
        <w:rPr>
          <w:b w:val="0"/>
          <w:i w:val="0"/>
        </w:rPr>
        <w:t xml:space="preserve">; </w:t>
      </w:r>
      <w:r>
        <w:rPr>
          <w:b w:val="0"/>
          <w:i/>
        </w:rPr>
        <w:t>gravitate</w:t>
      </w:r>
      <w:r>
        <w:rPr>
          <w:b w:val="0"/>
          <w:i w:val="0"/>
        </w:rPr>
        <w:t xml:space="preserve">; </w:t>
      </w:r>
      <w:r>
        <w:rPr>
          <w:b w:val="0"/>
          <w:i/>
        </w:rPr>
        <w:t>Levitas</w:t>
      </w:r>
      <w:r>
        <w:rPr>
          <w:b w:val="0"/>
          <w:i w:val="0"/>
        </w:rPr>
        <w:t xml:space="preserve">; </w:t>
      </w:r>
      <w:r>
        <w:rPr>
          <w:b w:val="0"/>
          <w:i/>
        </w:rPr>
        <w:t>levitate</w:t>
      </w:r>
      <w:r>
        <w:rPr>
          <w:b w:val="0"/>
          <w:i w:val="0"/>
        </w:rPr>
        <w:t>.</w:t>
      </w:r>
    </w:p>
    <w:p>
      <w:pPr>
        <w:widowControl/>
      </w:pPr>
      <w:r>
        <w:rPr>
          <w:b w:val="0"/>
          <w:i w:val="0"/>
        </w:rPr>
        <w:t xml:space="preserve">Heaviness and lightness as directional qualities. These qualities have restricted downward or upward tendencies, unlike perpetual returning celestial motion. References: </w:t>
      </w:r>
      <w:hyperlink w:anchor="passage-iv-1-55">
        <w:r>
          <w:rPr>
            <w:color w:val="000000"/>
          </w:rPr>
          <w:t xml:space="preserve">IV.1.55</w:t>
        </w:r>
      </w:hyperlink>
      <w:r>
        <w:rPr>
          <w:b w:val="0"/>
          <w:i w:val="0"/>
        </w:rPr>
        <w:t xml:space="preserve">, </w:t>
      </w:r>
      <w:hyperlink w:anchor="passage-iv-1-56">
        <w:r>
          <w:rPr>
            <w:color w:val="000000"/>
          </w:rPr>
          <w:t xml:space="preserve">IV.1.56</w:t>
        </w:r>
      </w:hyperlink>
      <w:r>
        <w:rPr>
          <w:b w:val="0"/>
          <w:i w:val="0"/>
        </w:rPr>
        <w:t xml:space="preserve">. See </w:t>
      </w:r>
      <w:hyperlink w:anchor="natural-motion-and-natural-place">
        <w:r>
          <w:rPr>
            <w:color w:val="000000"/>
          </w:rPr>
          <w:t xml:space="preserve">Natural motion and natural place</w:t>
        </w:r>
      </w:hyperlink>
      <w:r>
        <w:rPr>
          <w:b w:val="0"/>
          <w:i w:val="0"/>
        </w:rPr>
        <w:t>.</w:t>
      </w:r>
    </w:p>
    <w:p>
      <w:pPr>
        <w:keepNext/>
        <w:widowControl/>
      </w:pPr>
      <w:bookmarkStart w:id="743" w:name="latin-record-0492"/>
      <w:bookmarkEnd w:id="743"/>
      <w:r>
        <w:rPr>
          <w:b/>
          <w:i w:val="0"/>
        </w:rPr>
        <w:t>gustus</w:t>
      </w:r>
      <w:r>
        <w:rPr>
          <w:b/>
          <w:i w:val="0"/>
        </w:rPr>
        <w:t>.</w:t>
      </w:r>
      <w:r>
        <w:rPr>
          <w:b w:val="0"/>
          <w:i w:val="0"/>
        </w:rPr>
        <w:t xml:space="preserve"> Printed forms: </w:t>
      </w:r>
      <w:r>
        <w:rPr>
          <w:b w:val="0"/>
          <w:i/>
        </w:rPr>
        <w:t>gustus</w:t>
      </w:r>
      <w:r>
        <w:rPr>
          <w:b w:val="0"/>
          <w:i w:val="0"/>
        </w:rPr>
        <w:t>.</w:t>
      </w:r>
    </w:p>
    <w:p>
      <w:pPr>
        <w:widowControl/>
      </w:pPr>
      <w:r>
        <w:rPr>
          <w:b w:val="0"/>
          <w:i w:val="0"/>
        </w:rPr>
        <w:t xml:space="preserve">Taste, savor, or appetite. Being devoid of every gustus is rejected as an absurd account of God’s relation to good; the sense is appetitive, not bodily tasting. References: </w:t>
      </w:r>
      <w:hyperlink w:anchor="passage-ii-12-12">
        <w:r>
          <w:rPr>
            <w:color w:val="000000"/>
          </w:rPr>
          <w:t xml:space="preserve">II.12.12</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744" w:name="latin-record-0493"/>
      <w:bookmarkEnd w:id="744"/>
      <w:r>
        <w:rPr>
          <w:b/>
          <w:i w:val="0"/>
        </w:rPr>
        <w:t>habere / possidere</w:t>
      </w:r>
      <w:r>
        <w:rPr>
          <w:b/>
          <w:i w:val="0"/>
        </w:rPr>
        <w:t>.</w:t>
      </w:r>
      <w:r>
        <w:rPr>
          <w:b w:val="0"/>
          <w:i w:val="0"/>
        </w:rPr>
        <w:t xml:space="preserve"> Printed forms: </w:t>
      </w:r>
      <w:r>
        <w:rPr>
          <w:b w:val="0"/>
          <w:i/>
        </w:rPr>
        <w:t>possidebat</w:t>
      </w:r>
      <w:r>
        <w:rPr>
          <w:b w:val="0"/>
          <w:i w:val="0"/>
        </w:rPr>
        <w:t xml:space="preserve">; </w:t>
      </w:r>
      <w:r>
        <w:rPr>
          <w:b w:val="0"/>
          <w:i/>
        </w:rPr>
        <w:t>possideri</w:t>
      </w:r>
      <w:r>
        <w:rPr>
          <w:b w:val="0"/>
          <w:i w:val="0"/>
        </w:rPr>
        <w:t xml:space="preserve">; </w:t>
      </w:r>
      <w:r>
        <w:rPr>
          <w:b w:val="0"/>
          <w:i/>
        </w:rPr>
        <w:t>possidet</w:t>
      </w:r>
      <w:r>
        <w:rPr>
          <w:b w:val="0"/>
          <w:i w:val="0"/>
        </w:rPr>
        <w:t xml:space="preserve">; </w:t>
      </w:r>
      <w:r>
        <w:rPr>
          <w:b w:val="0"/>
          <w:i/>
        </w:rPr>
        <w:t>possidetur</w:t>
      </w:r>
      <w:r>
        <w:rPr>
          <w:b w:val="0"/>
          <w:i w:val="0"/>
        </w:rPr>
        <w:t>.</w:t>
      </w:r>
    </w:p>
    <w:p>
      <w:pPr>
        <w:widowControl/>
      </w:pPr>
      <w:r>
        <w:rPr>
          <w:b w:val="0"/>
          <w:i w:val="0"/>
        </w:rPr>
        <w:t xml:space="preserve">Have or possess. Possessing all perfection excludes a divine acquisition of something new; received possession remains possible for creatures. References: </w:t>
      </w:r>
      <w:hyperlink w:anchor="passage-ii-12-14">
        <w:r>
          <w:rPr>
            <w:color w:val="000000"/>
          </w:rPr>
          <w:t xml:space="preserve">II.12.14</w:t>
        </w:r>
      </w:hyperlink>
      <w:r>
        <w:rPr>
          <w:b w:val="0"/>
          <w:i w:val="0"/>
        </w:rPr>
        <w:t xml:space="preserve">, </w:t>
      </w:r>
      <w:hyperlink w:anchor="passage-iii-1-6">
        <w:r>
          <w:rPr>
            <w:color w:val="000000"/>
          </w:rPr>
          <w:t xml:space="preserve">III.1.6</w:t>
        </w:r>
      </w:hyperlink>
      <w:r>
        <w:rPr>
          <w:b w:val="0"/>
          <w:i w:val="0"/>
        </w:rPr>
        <w:t xml:space="preserve">. See </w:t>
      </w:r>
      <w:hyperlink w:anchor="possession-and-privation">
        <w:r>
          <w:rPr>
            <w:color w:val="000000"/>
          </w:rPr>
          <w:t xml:space="preserve">Possession and privation</w:t>
        </w:r>
      </w:hyperlink>
      <w:r>
        <w:rPr>
          <w:b w:val="0"/>
          <w:i w:val="0"/>
        </w:rPr>
        <w:t>.</w:t>
      </w:r>
    </w:p>
    <w:p>
      <w:pPr>
        <w:keepNext/>
        <w:widowControl/>
      </w:pPr>
      <w:bookmarkStart w:id="745" w:name="latin-record-0494"/>
      <w:bookmarkEnd w:id="745"/>
      <w:r>
        <w:rPr>
          <w:b/>
          <w:i w:val="0"/>
        </w:rPr>
        <w:t>habere / tenere / possidere</w:t>
      </w:r>
      <w:r>
        <w:rPr>
          <w:b/>
          <w:i w:val="0"/>
        </w:rPr>
        <w:t>.</w:t>
      </w:r>
      <w:r>
        <w:rPr>
          <w:b w:val="0"/>
          <w:i w:val="0"/>
        </w:rPr>
        <w:t xml:space="preserve"> Printed forms: </w:t>
      </w:r>
      <w:r>
        <w:rPr>
          <w:b w:val="0"/>
          <w:i/>
        </w:rPr>
        <w:t>habeat</w:t>
      </w:r>
      <w:r>
        <w:rPr>
          <w:b w:val="0"/>
          <w:i w:val="0"/>
        </w:rPr>
        <w:t xml:space="preserve">; </w:t>
      </w:r>
      <w:r>
        <w:rPr>
          <w:b w:val="0"/>
          <w:i/>
        </w:rPr>
        <w:t>habet</w:t>
      </w:r>
      <w:r>
        <w:rPr>
          <w:b w:val="0"/>
          <w:i w:val="0"/>
        </w:rPr>
        <w:t xml:space="preserve">; </w:t>
      </w:r>
      <w:r>
        <w:rPr>
          <w:b w:val="0"/>
          <w:i/>
        </w:rPr>
        <w:t>tenet</w:t>
      </w:r>
      <w:r>
        <w:rPr>
          <w:b w:val="0"/>
          <w:i w:val="0"/>
        </w:rPr>
        <w:t>.</w:t>
      </w:r>
    </w:p>
    <w:p>
      <w:pPr>
        <w:widowControl/>
      </w:pPr>
      <w:r>
        <w:rPr>
          <w:b w:val="0"/>
          <w:i w:val="0"/>
        </w:rPr>
        <w:t xml:space="preserve">To have, hold, or possess a power, object, or knowledge. Having potential cognition is distinguished from actually understanding everything within its reach in the argument about God. References: </w:t>
      </w:r>
      <w:hyperlink w:anchor="passage-ii-2-10">
        <w:r>
          <w:rPr>
            <w:color w:val="000000"/>
          </w:rPr>
          <w:t xml:space="preserve">II.2.10</w:t>
        </w:r>
      </w:hyperlink>
      <w:r>
        <w:rPr>
          <w:b w:val="0"/>
          <w:i w:val="0"/>
        </w:rPr>
        <w:t xml:space="preserve">, </w:t>
      </w:r>
      <w:hyperlink w:anchor="passage-ii-9-4">
        <w:r>
          <w:rPr>
            <w:color w:val="000000"/>
          </w:rPr>
          <w:t xml:space="preserve">II.9.4</w:t>
        </w:r>
      </w:hyperlink>
      <w:r>
        <w:rPr>
          <w:b w:val="0"/>
          <w:i w:val="0"/>
        </w:rPr>
        <w:t xml:space="preserve">, </w:t>
      </w:r>
      <w:hyperlink w:anchor="passage-ii-9-14">
        <w:r>
          <w:rPr>
            <w:color w:val="000000"/>
          </w:rPr>
          <w:t xml:space="preserve">II.9.14</w:t>
        </w:r>
      </w:hyperlink>
      <w:r>
        <w:rPr>
          <w:b w:val="0"/>
          <w:i w:val="0"/>
        </w:rPr>
        <w:t xml:space="preserve">, </w:t>
      </w:r>
      <w:hyperlink w:anchor="passage-ii-10-7">
        <w:r>
          <w:rPr>
            <w:color w:val="000000"/>
          </w:rPr>
          <w:t xml:space="preserve">II.10.7</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746" w:name="latin-record-0495"/>
      <w:bookmarkEnd w:id="746"/>
      <w:r>
        <w:rPr>
          <w:b/>
          <w:i w:val="0"/>
        </w:rPr>
        <w:t>habitare</w:t>
      </w:r>
      <w:r>
        <w:rPr>
          <w:b/>
          <w:i w:val="0"/>
        </w:rPr>
        <w:t>.</w:t>
      </w:r>
      <w:r>
        <w:rPr>
          <w:b w:val="0"/>
          <w:i w:val="0"/>
        </w:rPr>
        <w:t xml:space="preserve"> Printed forms: </w:t>
      </w:r>
      <w:r>
        <w:rPr>
          <w:b w:val="0"/>
          <w:i/>
        </w:rPr>
        <w:t>habitas</w:t>
      </w:r>
      <w:r>
        <w:rPr>
          <w:b w:val="0"/>
          <w:i w:val="0"/>
        </w:rPr>
        <w:t>.</w:t>
      </w:r>
    </w:p>
    <w:p>
      <w:pPr>
        <w:widowControl/>
      </w:pPr>
      <w:r>
        <w:rPr>
          <w:b w:val="0"/>
          <w:i w:val="0"/>
        </w:rPr>
        <w:t xml:space="preserve">To dwell or inhabit, here second-person singular in an attributed hymn. The Saturn hymn calls its addressee inhabitant of all cosmic parts; habitas belongs to habitare, not the noun habitus. References: </w:t>
      </w:r>
      <w:hyperlink w:anchor="passage-ii-6-11">
        <w:r>
          <w:rPr>
            <w:color w:val="000000"/>
          </w:rPr>
          <w:t xml:space="preserve">II.6.11</w:t>
        </w:r>
      </w:hyperlink>
      <w:r>
        <w:rPr>
          <w:b w:val="0"/>
          <w:i w:val="0"/>
        </w:rPr>
        <w:t xml:space="preserve">. See </w:t>
      </w:r>
      <w:hyperlink w:anchor="orpheus-and-divine-names">
        <w:r>
          <w:rPr>
            <w:color w:val="000000"/>
          </w:rPr>
          <w:t xml:space="preserve">Orpheus and divine names</w:t>
        </w:r>
      </w:hyperlink>
      <w:r>
        <w:rPr>
          <w:b w:val="0"/>
          <w:i w:val="0"/>
        </w:rPr>
        <w:t>.</w:t>
      </w:r>
    </w:p>
    <w:p>
      <w:pPr>
        <w:keepNext/>
        <w:widowControl/>
      </w:pPr>
      <w:bookmarkStart w:id="747" w:name="latin-record-0496"/>
      <w:bookmarkEnd w:id="747"/>
      <w:r>
        <w:rPr>
          <w:b/>
          <w:i w:val="0"/>
        </w:rPr>
        <w:t>habitus</w:t>
      </w:r>
      <w:r>
        <w:rPr>
          <w:b/>
          <w:i w:val="0"/>
        </w:rPr>
        <w:t>.</w:t>
      </w:r>
      <w:r>
        <w:rPr>
          <w:b w:val="0"/>
          <w:i w:val="0"/>
        </w:rPr>
        <w:t xml:space="preserve"> Printed forms: </w:t>
      </w:r>
      <w:r>
        <w:rPr>
          <w:b w:val="0"/>
          <w:i/>
        </w:rPr>
        <w:t>habitum</w:t>
      </w:r>
      <w:r>
        <w:rPr>
          <w:b w:val="0"/>
          <w:i w:val="0"/>
        </w:rPr>
        <w:t xml:space="preserve">; </w:t>
      </w:r>
      <w:r>
        <w:rPr>
          <w:b w:val="0"/>
          <w:i/>
        </w:rPr>
        <w:t>habitus</w:t>
      </w:r>
      <w:r>
        <w:rPr>
          <w:b w:val="0"/>
          <w:i w:val="0"/>
        </w:rPr>
        <w:t>.</w:t>
      </w:r>
    </w:p>
    <w:p>
      <w:pPr>
        <w:widowControl/>
      </w:pPr>
      <w:r>
        <w:rPr>
          <w:b w:val="0"/>
          <w:i w:val="0"/>
        </w:rPr>
        <w:t xml:space="preserve">A settled possession or habitual state. Acquired power passes from potency into act and from act into habit, with reverse transitions; habit is not mere repetition or a bodily posture. References: </w:t>
      </w:r>
      <w:hyperlink w:anchor="passage-i-5-1">
        <w:r>
          <w:rPr>
            <w:color w:val="000000"/>
          </w:rPr>
          <w:t xml:space="preserve">I.5.1</w:t>
        </w:r>
      </w:hyperlink>
      <w:r>
        <w:rPr>
          <w:b w:val="0"/>
          <w:i w:val="0"/>
        </w:rPr>
        <w:t xml:space="preserve">. See </w:t>
      </w:r>
      <w:hyperlink w:anchor="habitual-possession">
        <w:r>
          <w:rPr>
            <w:color w:val="000000"/>
          </w:rPr>
          <w:t xml:space="preserve">Habitual possession</w:t>
        </w:r>
      </w:hyperlink>
      <w:r>
        <w:rPr>
          <w:b w:val="0"/>
          <w:i w:val="0"/>
        </w:rPr>
        <w:t>.</w:t>
      </w:r>
    </w:p>
    <w:p>
      <w:pPr>
        <w:widowControl/>
      </w:pPr>
      <w:r>
        <w:rPr>
          <w:b w:val="0"/>
          <w:i w:val="0"/>
        </w:rPr>
        <w:t xml:space="preserve">A condition or settled possession, with local uses distinguished. Nothing has no condition of being; distinct virtue-habits sharing a soul illustrate co-presence without confusion. References: </w:t>
      </w:r>
      <w:hyperlink w:anchor="passage-ii-4-2">
        <w:r>
          <w:rPr>
            <w:color w:val="000000"/>
          </w:rPr>
          <w:t xml:space="preserve">II.4.2</w:t>
        </w:r>
      </w:hyperlink>
      <w:r>
        <w:rPr>
          <w:b w:val="0"/>
          <w:i w:val="0"/>
        </w:rPr>
        <w:t xml:space="preserve">, </w:t>
      </w:r>
      <w:hyperlink w:anchor="passage-ii-6-14">
        <w:r>
          <w:rPr>
            <w:color w:val="000000"/>
          </w:rPr>
          <w:t xml:space="preserve">II.6.14</w:t>
        </w:r>
      </w:hyperlink>
      <w:r>
        <w:rPr>
          <w:b w:val="0"/>
          <w:i w:val="0"/>
        </w:rPr>
        <w:t xml:space="preserve">. See </w:t>
      </w:r>
      <w:hyperlink w:anchor="habitual-possession">
        <w:r>
          <w:rPr>
            <w:color w:val="000000"/>
          </w:rPr>
          <w:t xml:space="preserve">Habitual possession</w:t>
        </w:r>
      </w:hyperlink>
      <w:r>
        <w:rPr>
          <w:b w:val="0"/>
          <w:i w:val="0"/>
        </w:rPr>
        <w:t>.</w:t>
      </w:r>
    </w:p>
    <w:p>
      <w:pPr>
        <w:keepNext/>
        <w:widowControl/>
      </w:pPr>
      <w:bookmarkStart w:id="748" w:name="latin-record-0497"/>
      <w:bookmarkEnd w:id="748"/>
      <w:r>
        <w:rPr>
          <w:b/>
          <w:i w:val="0"/>
        </w:rPr>
        <w:t>habitus / actus / potentia</w:t>
      </w:r>
      <w:r>
        <w:rPr>
          <w:b/>
          <w:i w:val="0"/>
        </w:rPr>
        <w:t>.</w:t>
      </w:r>
      <w:r>
        <w:rPr>
          <w:b w:val="0"/>
          <w:i w:val="0"/>
        </w:rPr>
        <w:t xml:space="preserve"> Printed forms: </w:t>
      </w:r>
      <w:r>
        <w:rPr>
          <w:b w:val="0"/>
          <w:i/>
        </w:rPr>
        <w:t>actu</w:t>
      </w:r>
      <w:r>
        <w:rPr>
          <w:b w:val="0"/>
          <w:i w:val="0"/>
        </w:rPr>
        <w:t xml:space="preserve">; </w:t>
      </w:r>
      <w:r>
        <w:rPr>
          <w:b w:val="0"/>
          <w:i/>
        </w:rPr>
        <w:t>habitu</w:t>
      </w:r>
      <w:r>
        <w:rPr>
          <w:b w:val="0"/>
          <w:i w:val="0"/>
        </w:rPr>
        <w:t xml:space="preserve">; </w:t>
      </w:r>
      <w:r>
        <w:rPr>
          <w:b w:val="0"/>
          <w:i/>
        </w:rPr>
        <w:t>potentia</w:t>
      </w:r>
      <w:r>
        <w:rPr>
          <w:b w:val="0"/>
          <w:i w:val="0"/>
        </w:rPr>
        <w:t>.</w:t>
      </w:r>
    </w:p>
    <w:p>
      <w:pPr>
        <w:widowControl/>
      </w:pPr>
      <w:r>
        <w:rPr>
          <w:b w:val="0"/>
          <w:i w:val="0"/>
        </w:rPr>
        <w:t xml:space="preserve">Abiding possession, present actualization, and possibility. Angel, soul, and matter hold the principles of things in different modes; this is not merely a change in the number of principles. References: </w:t>
      </w:r>
      <w:hyperlink w:anchor="passage-iv-2-9">
        <w:r>
          <w:rPr>
            <w:color w:val="000000"/>
          </w:rPr>
          <w:t xml:space="preserve">IV.2.9</w:t>
        </w:r>
      </w:hyperlink>
      <w:r>
        <w:rPr>
          <w:b w:val="0"/>
          <w:i w:val="0"/>
        </w:rPr>
        <w:t xml:space="preserve">. See </w:t>
      </w:r>
      <w:hyperlink w:anchor="habitual-possession">
        <w:r>
          <w:rPr>
            <w:color w:val="000000"/>
          </w:rPr>
          <w:t xml:space="preserve">Habitual possession</w:t>
        </w:r>
      </w:hyperlink>
      <w:r>
        <w:rPr>
          <w:b w:val="0"/>
          <w:i w:val="0"/>
        </w:rPr>
        <w:t>.</w:t>
      </w:r>
    </w:p>
    <w:p>
      <w:pPr>
        <w:keepNext/>
        <w:widowControl/>
      </w:pPr>
      <w:bookmarkStart w:id="749" w:name="latin-record-0498"/>
      <w:bookmarkEnd w:id="749"/>
      <w:r>
        <w:rPr>
          <w:b/>
          <w:i w:val="0"/>
        </w:rPr>
        <w:t>habitus — condition of the whole</w:t>
      </w:r>
      <w:r>
        <w:rPr>
          <w:b/>
          <w:i w:val="0"/>
        </w:rPr>
        <w:t>.</w:t>
      </w:r>
      <w:r>
        <w:rPr>
          <w:b w:val="0"/>
          <w:i w:val="0"/>
        </w:rPr>
        <w:t xml:space="preserve"> Printed forms: </w:t>
      </w:r>
      <w:r>
        <w:rPr>
          <w:b w:val="0"/>
          <w:i/>
        </w:rPr>
        <w:t>habitus</w:t>
      </w:r>
      <w:r>
        <w:rPr>
          <w:b w:val="0"/>
          <w:i w:val="0"/>
        </w:rPr>
        <w:t>.</w:t>
      </w:r>
    </w:p>
    <w:p>
      <w:pPr>
        <w:widowControl/>
      </w:pPr>
      <w:r>
        <w:rPr>
          <w:b w:val="0"/>
          <w:i w:val="0"/>
        </w:rPr>
        <w:t xml:space="preserve">Settled state or condition. The world’s best status and habitus are constituted from its parts; this is not an acquired habit of the universe. References: </w:t>
      </w:r>
      <w:hyperlink w:anchor="passage-ii-13-21">
        <w:r>
          <w:rPr>
            <w:color w:val="000000"/>
          </w:rPr>
          <w:t xml:space="preserve">II.13.21</w:t>
        </w:r>
      </w:hyperlink>
      <w:r>
        <w:rPr>
          <w:b w:val="0"/>
          <w:i w:val="0"/>
        </w:rPr>
        <w:t xml:space="preserve">. See </w:t>
      </w:r>
      <w:hyperlink w:anchor="possession-and-privation">
        <w:r>
          <w:rPr>
            <w:color w:val="000000"/>
          </w:rPr>
          <w:t xml:space="preserve">Possession and privation</w:t>
        </w:r>
      </w:hyperlink>
      <w:r>
        <w:rPr>
          <w:b w:val="0"/>
          <w:i w:val="0"/>
        </w:rPr>
        <w:t>.</w:t>
      </w:r>
    </w:p>
    <w:p>
      <w:pPr>
        <w:keepNext/>
        <w:widowControl/>
      </w:pPr>
      <w:bookmarkStart w:id="750" w:name="latin-record-0499"/>
      <w:bookmarkEnd w:id="750"/>
      <w:r>
        <w:rPr>
          <w:b/>
          <w:i w:val="0"/>
        </w:rPr>
        <w:t>habitus — possession</w:t>
      </w:r>
      <w:r>
        <w:rPr>
          <w:b/>
          <w:i w:val="0"/>
        </w:rPr>
        <w:t>.</w:t>
      </w:r>
      <w:r>
        <w:rPr>
          <w:b w:val="0"/>
          <w:i w:val="0"/>
        </w:rPr>
        <w:t xml:space="preserve"> Printed forms: </w:t>
      </w:r>
      <w:r>
        <w:rPr>
          <w:b w:val="0"/>
          <w:i/>
        </w:rPr>
        <w:t>habitus</w:t>
      </w:r>
      <w:r>
        <w:rPr>
          <w:b w:val="0"/>
          <w:i w:val="0"/>
        </w:rPr>
        <w:t>.</w:t>
      </w:r>
    </w:p>
    <w:p>
      <w:pPr>
        <w:widowControl/>
      </w:pPr>
      <w:r>
        <w:rPr>
          <w:b w:val="0"/>
          <w:i w:val="0"/>
        </w:rPr>
        <w:t xml:space="preserve">Possession, opposed to privation. An idea of possession makes its privation intelligible; this is not the craft-sense of a settled acquired disposition. References: </w:t>
      </w:r>
      <w:hyperlink w:anchor="passage-ii-11-19">
        <w:r>
          <w:rPr>
            <w:color w:val="000000"/>
          </w:rPr>
          <w:t xml:space="preserve">II.11.19</w:t>
        </w:r>
      </w:hyperlink>
      <w:r>
        <w:rPr>
          <w:b w:val="0"/>
          <w:i w:val="0"/>
        </w:rPr>
        <w:t xml:space="preserve">. See </w:t>
      </w:r>
      <w:hyperlink w:anchor="possession-and-privation">
        <w:r>
          <w:rPr>
            <w:color w:val="000000"/>
          </w:rPr>
          <w:t xml:space="preserve">Possession and privation</w:t>
        </w:r>
      </w:hyperlink>
      <w:r>
        <w:rPr>
          <w:b w:val="0"/>
          <w:i w:val="0"/>
        </w:rPr>
        <w:t>.</w:t>
      </w:r>
    </w:p>
    <w:p>
      <w:pPr>
        <w:keepNext/>
        <w:widowControl/>
      </w:pPr>
      <w:bookmarkStart w:id="751" w:name="latin-record-0500"/>
      <w:bookmarkEnd w:id="751"/>
      <w:r>
        <w:rPr>
          <w:b/>
          <w:i w:val="0"/>
        </w:rPr>
        <w:t>habitus — present state</w:t>
      </w:r>
      <w:r>
        <w:rPr>
          <w:b/>
          <w:i w:val="0"/>
        </w:rPr>
        <w:t>.</w:t>
      </w:r>
      <w:r>
        <w:rPr>
          <w:b w:val="0"/>
          <w:i w:val="0"/>
        </w:rPr>
        <w:t xml:space="preserve"> Printed forms: </w:t>
      </w:r>
      <w:r>
        <w:rPr>
          <w:b w:val="0"/>
          <w:i/>
        </w:rPr>
        <w:t>praesenti habitu</w:t>
      </w:r>
      <w:r>
        <w:rPr>
          <w:b w:val="0"/>
          <w:i w:val="0"/>
        </w:rPr>
        <w:t>.</w:t>
      </w:r>
    </w:p>
    <w:p>
      <w:pPr>
        <w:widowControl/>
      </w:pPr>
      <w:r>
        <w:rPr>
          <w:b w:val="0"/>
          <w:i w:val="0"/>
        </w:rPr>
        <w:t xml:space="preserve">Present state or condition. Spheres continuously depart from their present state; no acquired craft or ethical habit is meant. References: </w:t>
      </w:r>
      <w:hyperlink w:anchor="passage-ii-13-8">
        <w:r>
          <w:rPr>
            <w:color w:val="000000"/>
          </w:rPr>
          <w:t xml:space="preserve">II.13.8</w:t>
        </w:r>
      </w:hyperlink>
      <w:r>
        <w:rPr>
          <w:b w:val="0"/>
          <w:i w:val="0"/>
        </w:rPr>
        <w:t xml:space="preserve">. See </w:t>
      </w:r>
      <w:hyperlink w:anchor="possession-and-privation">
        <w:r>
          <w:rPr>
            <w:color w:val="000000"/>
          </w:rPr>
          <w:t xml:space="preserve">Possession and privation</w:t>
        </w:r>
      </w:hyperlink>
      <w:r>
        <w:rPr>
          <w:b w:val="0"/>
          <w:i w:val="0"/>
        </w:rPr>
        <w:t>.</w:t>
      </w:r>
    </w:p>
    <w:p>
      <w:pPr>
        <w:keepNext/>
        <w:widowControl/>
      </w:pPr>
      <w:bookmarkStart w:id="752" w:name="latin-record-0501"/>
      <w:bookmarkEnd w:id="752"/>
      <w:r>
        <w:rPr>
          <w:b/>
          <w:i w:val="0"/>
        </w:rPr>
        <w:t>habitus — settled skill</w:t>
      </w:r>
      <w:r>
        <w:rPr>
          <w:b/>
          <w:i w:val="0"/>
        </w:rPr>
        <w:t>.</w:t>
      </w:r>
      <w:r>
        <w:rPr>
          <w:b w:val="0"/>
          <w:i w:val="0"/>
        </w:rPr>
        <w:t xml:space="preserve"> Printed forms: </w:t>
      </w:r>
      <w:r>
        <w:rPr>
          <w:b w:val="0"/>
          <w:i/>
        </w:rPr>
        <w:t>habitu</w:t>
      </w:r>
      <w:r>
        <w:rPr>
          <w:b w:val="0"/>
          <w:i w:val="0"/>
        </w:rPr>
        <w:t>.</w:t>
      </w:r>
    </w:p>
    <w:p>
      <w:pPr>
        <w:widowControl/>
      </w:pPr>
      <w:r>
        <w:rPr>
          <w:b w:val="0"/>
          <w:i w:val="0"/>
        </w:rPr>
        <w:t xml:space="preserve">An acquired settled disposition. The skilled artisan acts through habitu as nature acts through forms; this differs from possession opposed to privation and a sphere’s present state. References: </w:t>
      </w:r>
      <w:hyperlink w:anchor="passage-ii-13-18">
        <w:r>
          <w:rPr>
            <w:color w:val="000000"/>
          </w:rPr>
          <w:t xml:space="preserve">II.13.18</w:t>
        </w:r>
      </w:hyperlink>
      <w:r>
        <w:rPr>
          <w:b w:val="0"/>
          <w:i w:val="0"/>
        </w:rPr>
        <w:t xml:space="preserve">. See </w:t>
      </w:r>
      <w:hyperlink w:anchor="habitual-possession">
        <w:r>
          <w:rPr>
            <w:color w:val="000000"/>
          </w:rPr>
          <w:t xml:space="preserve">Habitual possession</w:t>
        </w:r>
      </w:hyperlink>
      <w:r>
        <w:rPr>
          <w:b w:val="0"/>
          <w:i w:val="0"/>
        </w:rPr>
        <w:t>.</w:t>
      </w:r>
    </w:p>
    <w:p>
      <w:pPr>
        <w:keepNext/>
        <w:widowControl/>
      </w:pPr>
      <w:bookmarkStart w:id="753" w:name="latin-record-0502"/>
      <w:bookmarkEnd w:id="753"/>
      <w:r>
        <w:rPr>
          <w:b/>
          <w:i w:val="0"/>
        </w:rPr>
        <w:t>hactenus / hucusque</w:t>
      </w:r>
      <w:r>
        <w:rPr>
          <w:b/>
          <w:i w:val="0"/>
        </w:rPr>
        <w:t>.</w:t>
      </w:r>
      <w:r>
        <w:rPr>
          <w:b w:val="0"/>
          <w:i w:val="0"/>
        </w:rPr>
        <w:t xml:space="preserve"> Printed forms: </w:t>
      </w:r>
      <w:r>
        <w:rPr>
          <w:b w:val="0"/>
          <w:i/>
        </w:rPr>
        <w:t>Hactenus</w:t>
      </w:r>
      <w:r>
        <w:rPr>
          <w:b w:val="0"/>
          <w:i w:val="0"/>
        </w:rPr>
        <w:t xml:space="preserve">; </w:t>
      </w:r>
      <w:r>
        <w:rPr>
          <w:b w:val="0"/>
          <w:i/>
        </w:rPr>
        <w:t>Hucusque</w:t>
      </w:r>
      <w:r>
        <w:rPr>
          <w:b w:val="0"/>
          <w:i w:val="0"/>
        </w:rPr>
        <w:t>.</w:t>
      </w:r>
    </w:p>
    <w:p>
      <w:pPr>
        <w:widowControl/>
      </w:pPr>
      <w:r>
        <w:rPr>
          <w:b w:val="0"/>
          <w:i w:val="0"/>
        </w:rPr>
        <w:t xml:space="preserve">Thus far or up to this point. The transition acknowledges the soul-level result before denying that it can be the first principle; progress is retained even when a higher explanation is sought. References: </w:t>
      </w:r>
      <w:hyperlink w:anchor="passage-i-5-1">
        <w:r>
          <w:rPr>
            <w:color w:val="000000"/>
          </w:rPr>
          <w:t xml:space="preserve">I.5.1</w:t>
        </w:r>
      </w:hyperlink>
      <w:r>
        <w:rPr>
          <w:b w:val="0"/>
          <w:i w:val="0"/>
        </w:rPr>
        <w:t xml:space="preserve">, </w:t>
      </w:r>
      <w:hyperlink w:anchor="passage-i-5-2">
        <w:r>
          <w:rPr>
            <w:color w:val="000000"/>
          </w:rPr>
          <w:t xml:space="preserve">I.5.2</w:t>
        </w:r>
      </w:hyperlink>
      <w:r>
        <w:rPr>
          <w:b w:val="0"/>
          <w:i w:val="0"/>
        </w:rPr>
        <w:t xml:space="preserve">. See </w:t>
      </w:r>
      <w:hyperlink w:anchor="ascent">
        <w:r>
          <w:rPr>
            <w:color w:val="000000"/>
          </w:rPr>
          <w:t xml:space="preserve">Ascent</w:t>
        </w:r>
      </w:hyperlink>
      <w:r>
        <w:rPr>
          <w:b w:val="0"/>
          <w:i w:val="0"/>
        </w:rPr>
        <w:t>.</w:t>
      </w:r>
    </w:p>
    <w:p>
      <w:pPr>
        <w:keepNext/>
        <w:widowControl/>
      </w:pPr>
      <w:bookmarkStart w:id="754" w:name="latin-record-0503"/>
      <w:bookmarkEnd w:id="754"/>
      <w:r>
        <w:rPr>
          <w:b/>
          <w:i w:val="0"/>
        </w:rPr>
        <w:t>Haec Platonici</w:t>
      </w:r>
      <w:r>
        <w:rPr>
          <w:b/>
          <w:i w:val="0"/>
        </w:rPr>
        <w:t>.</w:t>
      </w:r>
      <w:r>
        <w:rPr>
          <w:b w:val="0"/>
          <w:i w:val="0"/>
        </w:rPr>
        <w:t xml:space="preserve"> Printed forms: </w:t>
      </w:r>
      <w:r>
        <w:rPr>
          <w:b w:val="0"/>
          <w:i/>
        </w:rPr>
        <w:t>Haec Platonici</w:t>
      </w:r>
      <w:r>
        <w:rPr>
          <w:b w:val="0"/>
          <w:i w:val="0"/>
        </w:rPr>
        <w:t>.</w:t>
      </w:r>
    </w:p>
    <w:p>
      <w:pPr>
        <w:widowControl/>
      </w:pPr>
      <w:r>
        <w:t>“</w:t>
      </w:r>
      <w:r>
        <w:rPr>
          <w:b w:val="0"/>
          <w:i w:val="0"/>
        </w:rPr>
        <w:t>So say the Platonists,</w:t>
      </w:r>
      <w:r>
        <w:t>”</w:t>
      </w:r>
      <w:r>
        <w:rPr>
          <w:b w:val="0"/>
          <w:i w:val="0"/>
        </w:rPr>
        <w:t xml:space="preserve"> an attribution marker. Complete angelic immobility in essence, power and action is explicitly assigned to this account, with other positions deferred. References: </w:t>
      </w:r>
      <w:hyperlink w:anchor="passage-i-6-1">
        <w:r>
          <w:rPr>
            <w:color w:val="000000"/>
          </w:rPr>
          <w:t xml:space="preserve">I.6.1</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755" w:name="latin-record-0504"/>
      <w:bookmarkEnd w:id="755"/>
      <w:r>
        <w:rPr>
          <w:b/>
          <w:i w:val="0"/>
        </w:rPr>
        <w:t>haerere</w:t>
      </w:r>
      <w:r>
        <w:rPr>
          <w:b/>
          <w:i w:val="0"/>
        </w:rPr>
        <w:t>.</w:t>
      </w:r>
      <w:r>
        <w:rPr>
          <w:b w:val="0"/>
          <w:i w:val="0"/>
        </w:rPr>
        <w:t xml:space="preserve"> Printed forms: </w:t>
      </w:r>
      <w:r>
        <w:rPr>
          <w:b w:val="0"/>
          <w:i/>
        </w:rPr>
        <w:t>haerere</w:t>
      </w:r>
      <w:r>
        <w:rPr>
          <w:b w:val="0"/>
          <w:i w:val="0"/>
        </w:rPr>
        <w:t xml:space="preserve">; </w:t>
      </w:r>
      <w:r>
        <w:rPr>
          <w:b w:val="0"/>
          <w:i/>
        </w:rPr>
        <w:t>haeret</w:t>
      </w:r>
      <w:r>
        <w:rPr>
          <w:b w:val="0"/>
          <w:i w:val="0"/>
        </w:rPr>
        <w:t>.</w:t>
      </w:r>
    </w:p>
    <w:p>
      <w:pPr>
        <w:widowControl/>
      </w:pPr>
      <w:r>
        <w:rPr>
          <w:b w:val="0"/>
          <w:i w:val="0"/>
        </w:rPr>
        <w:t xml:space="preserve">Cling or adhere. Sunlight’s maintained attachment illustrates soul’s continuing relation to divine things while enlivening mortal things. References: </w:t>
      </w:r>
      <w:hyperlink w:anchor="passage-iii-2-8">
        <w:r>
          <w:rPr>
            <w:color w:val="000000"/>
          </w:rPr>
          <w:t xml:space="preserve">III.2.8</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756" w:name="latin-record-0505"/>
      <w:bookmarkEnd w:id="756"/>
      <w:r>
        <w:rPr>
          <w:b/>
          <w:i w:val="0"/>
        </w:rPr>
        <w:t>haerere / seiunctus</w:t>
      </w:r>
      <w:r>
        <w:rPr>
          <w:b/>
          <w:i w:val="0"/>
        </w:rPr>
        <w:t>.</w:t>
      </w:r>
      <w:r>
        <w:rPr>
          <w:b w:val="0"/>
          <w:i w:val="0"/>
        </w:rPr>
        <w:t xml:space="preserve"> Printed forms: </w:t>
      </w:r>
      <w:r>
        <w:rPr>
          <w:b w:val="0"/>
          <w:i/>
        </w:rPr>
        <w:t>haerent</w:t>
      </w:r>
      <w:r>
        <w:rPr>
          <w:b w:val="0"/>
          <w:i w:val="0"/>
        </w:rPr>
        <w:t xml:space="preserve">; </w:t>
      </w:r>
      <w:r>
        <w:rPr>
          <w:b w:val="0"/>
          <w:i/>
        </w:rPr>
        <w:t>seiuncta</w:t>
      </w:r>
      <w:r>
        <w:rPr>
          <w:b w:val="0"/>
          <w:i w:val="0"/>
        </w:rPr>
        <w:t>.</w:t>
      </w:r>
    </w:p>
    <w:p>
      <w:pPr>
        <w:widowControl/>
      </w:pPr>
      <w:r>
        <w:rPr>
          <w:b w:val="0"/>
          <w:i w:val="0"/>
        </w:rPr>
        <w:t xml:space="preserve">To remain attached; separated. Plant and stone growth is assigned to earth’s soul, while animals’ separated bodies live through proper souls. References: </w:t>
      </w:r>
      <w:hyperlink w:anchor="passage-iv-1-78">
        <w:r>
          <w:rPr>
            <w:color w:val="000000"/>
          </w:rPr>
          <w:t xml:space="preserve">IV.1.78</w:t>
        </w:r>
      </w:hyperlink>
      <w:r>
        <w:rPr>
          <w:b w:val="0"/>
          <w:i w:val="0"/>
        </w:rPr>
        <w:t xml:space="preserve">. See </w:t>
      </w:r>
      <w:hyperlink w:anchor="nourishment-digestion-and-growth">
        <w:r>
          <w:rPr>
            <w:color w:val="000000"/>
          </w:rPr>
          <w:t xml:space="preserve">Nourishment, digestion and growth</w:t>
        </w:r>
      </w:hyperlink>
      <w:r>
        <w:rPr>
          <w:b w:val="0"/>
          <w:i w:val="0"/>
        </w:rPr>
        <w:t>.</w:t>
      </w:r>
    </w:p>
    <w:p>
      <w:pPr>
        <w:keepNext/>
        <w:widowControl/>
      </w:pPr>
      <w:bookmarkStart w:id="757" w:name="latin-record-0506"/>
      <w:bookmarkEnd w:id="757"/>
      <w:r>
        <w:rPr>
          <w:b/>
          <w:i w:val="0"/>
        </w:rPr>
        <w:t>harmonia</w:t>
      </w:r>
      <w:r>
        <w:rPr>
          <w:b/>
          <w:i w:val="0"/>
        </w:rPr>
        <w:t>.</w:t>
      </w:r>
      <w:r>
        <w:rPr>
          <w:b w:val="0"/>
          <w:i w:val="0"/>
        </w:rPr>
        <w:t xml:space="preserve"> Printed forms: </w:t>
      </w:r>
      <w:r>
        <w:rPr>
          <w:b w:val="0"/>
          <w:i/>
        </w:rPr>
        <w:t>harmoniae</w:t>
      </w:r>
      <w:r>
        <w:rPr>
          <w:b w:val="0"/>
          <w:i w:val="0"/>
        </w:rPr>
        <w:t>.</w:t>
      </w:r>
    </w:p>
    <w:p>
      <w:pPr>
        <w:widowControl/>
      </w:pPr>
      <w:r>
        <w:rPr>
          <w:b w:val="0"/>
          <w:i w:val="0"/>
        </w:rPr>
        <w:t xml:space="preserve">Harmony or ordered proportion. Harmony appears among items with unextended qualities, supporting the claim that extension is not intrinsic to quality as such; the passage does not give a musical theory. References: </w:t>
      </w:r>
      <w:hyperlink w:anchor="passage-i-2-16">
        <w:r>
          <w:rPr>
            <w:color w:val="000000"/>
          </w:rPr>
          <w:t xml:space="preserve">I.2.16</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758" w:name="latin-record-0507"/>
      <w:bookmarkEnd w:id="758"/>
      <w:r>
        <w:rPr>
          <w:b/>
          <w:i w:val="0"/>
        </w:rPr>
        <w:t>haud propria omnino ratione</w:t>
      </w:r>
      <w:r>
        <w:rPr>
          <w:b/>
          <w:i w:val="0"/>
        </w:rPr>
        <w:t>.</w:t>
      </w:r>
      <w:r>
        <w:rPr>
          <w:b w:val="0"/>
          <w:i w:val="0"/>
        </w:rPr>
        <w:t xml:space="preserve"> Printed forms: </w:t>
      </w:r>
      <w:r>
        <w:rPr>
          <w:b w:val="0"/>
          <w:i/>
        </w:rPr>
        <w:t>haud propria omnino ratione</w:t>
      </w:r>
      <w:r>
        <w:rPr>
          <w:b w:val="0"/>
          <w:i w:val="0"/>
        </w:rPr>
        <w:t>.</w:t>
      </w:r>
    </w:p>
    <w:p>
      <w:pPr>
        <w:widowControl/>
      </w:pPr>
      <w:r>
        <w:rPr>
          <w:b w:val="0"/>
          <w:i w:val="0"/>
        </w:rPr>
        <w:t xml:space="preserve">Not in an altogether proper sense. The qualification governs even </w:t>
      </w:r>
      <w:r>
        <w:t>“</w:t>
      </w:r>
      <w:r>
        <w:rPr>
          <w:b w:val="0"/>
          <w:i w:val="0"/>
        </w:rPr>
        <w:t>intelligible</w:t>
      </w:r>
      <w:r>
        <w:t>”</w:t>
      </w:r>
      <w:r>
        <w:rPr>
          <w:b w:val="0"/>
          <w:i w:val="0"/>
        </w:rPr>
        <w:t xml:space="preserve"> and </w:t>
      </w:r>
      <w:r>
        <w:t>“</w:t>
      </w:r>
      <w:r>
        <w:rPr>
          <w:b w:val="0"/>
          <w:i w:val="0"/>
        </w:rPr>
        <w:t>intellection</w:t>
      </w:r>
      <w:r>
        <w:t>”</w:t>
      </w:r>
      <w:r>
        <w:rPr>
          <w:b w:val="0"/>
          <w:i w:val="0"/>
        </w:rPr>
        <w:t xml:space="preserve"> as names for God; they must not be presented as exhaustive literal definitions. References: </w:t>
      </w:r>
      <w:hyperlink w:anchor="passage-i-6-13">
        <w:r>
          <w:rPr>
            <w:color w:val="000000"/>
          </w:rPr>
          <w:t xml:space="preserve">I.6.13</w:t>
        </w:r>
      </w:hyperlink>
      <w:r>
        <w:rPr>
          <w:b w:val="0"/>
          <w:i w:val="0"/>
        </w:rPr>
        <w:t xml:space="preserve">. See </w:t>
      </w:r>
      <w:hyperlink w:anchor="naming-and-defining">
        <w:r>
          <w:rPr>
            <w:color w:val="000000"/>
          </w:rPr>
          <w:t xml:space="preserve">Naming and defining</w:t>
        </w:r>
      </w:hyperlink>
      <w:r>
        <w:rPr>
          <w:b w:val="0"/>
          <w:i w:val="0"/>
        </w:rPr>
        <w:t>.</w:t>
      </w:r>
    </w:p>
    <w:p>
      <w:pPr>
        <w:keepNext/>
        <w:widowControl/>
      </w:pPr>
      <w:bookmarkStart w:id="759" w:name="latin-record-0508"/>
      <w:bookmarkEnd w:id="759"/>
      <w:r>
        <w:rPr>
          <w:b/>
          <w:i w:val="0"/>
        </w:rPr>
        <w:t>haurio / liquor / infundo</w:t>
      </w:r>
      <w:r>
        <w:rPr>
          <w:b/>
          <w:i w:val="0"/>
        </w:rPr>
        <w:t>.</w:t>
      </w:r>
      <w:r>
        <w:rPr>
          <w:b w:val="0"/>
          <w:i w:val="0"/>
        </w:rPr>
        <w:t xml:space="preserve"> Printed forms: </w:t>
      </w:r>
      <w:r>
        <w:rPr>
          <w:b w:val="0"/>
          <w:i/>
        </w:rPr>
        <w:t>haurit</w:t>
      </w:r>
      <w:r>
        <w:rPr>
          <w:b w:val="0"/>
          <w:i w:val="0"/>
        </w:rPr>
        <w:t xml:space="preserve">; </w:t>
      </w:r>
      <w:r>
        <w:rPr>
          <w:b w:val="0"/>
          <w:i/>
        </w:rPr>
        <w:t>infundat</w:t>
      </w:r>
      <w:r>
        <w:rPr>
          <w:b w:val="0"/>
          <w:i w:val="0"/>
        </w:rPr>
        <w:t xml:space="preserve">; </w:t>
      </w:r>
      <w:r>
        <w:rPr>
          <w:b w:val="0"/>
          <w:i/>
        </w:rPr>
        <w:t>liquorem</w:t>
      </w:r>
      <w:r>
        <w:rPr>
          <w:b w:val="0"/>
          <w:i w:val="0"/>
        </w:rPr>
        <w:t>.</w:t>
      </w:r>
    </w:p>
    <w:p>
      <w:pPr>
        <w:widowControl/>
      </w:pPr>
      <w:r>
        <w:rPr>
          <w:b w:val="0"/>
          <w:i w:val="0"/>
        </w:rPr>
        <w:t xml:space="preserve">To draw or drink in; liquid; to pour into. Mind receives goodness from the Good through a fluid metaphor of communicated perfection, without a claim of physical material transfer. References: </w:t>
      </w:r>
      <w:hyperlink w:anchor="passage-i-6-17">
        <w:r>
          <w:rPr>
            <w:color w:val="000000"/>
          </w:rPr>
          <w:t xml:space="preserve">I.6.17</w:t>
        </w:r>
      </w:hyperlink>
      <w:r>
        <w:rPr>
          <w:b w:val="0"/>
          <w:i w:val="0"/>
        </w:rPr>
        <w:t xml:space="preserve">. See </w:t>
      </w:r>
      <w:hyperlink w:anchor="fountain-womb-and-offspring">
        <w:r>
          <w:rPr>
            <w:color w:val="000000"/>
          </w:rPr>
          <w:t xml:space="preserve">Fountain, womb and offspring</w:t>
        </w:r>
      </w:hyperlink>
      <w:r>
        <w:rPr>
          <w:b w:val="0"/>
          <w:i w:val="0"/>
        </w:rPr>
        <w:t>.</w:t>
      </w:r>
    </w:p>
    <w:p>
      <w:pPr>
        <w:keepNext/>
        <w:widowControl/>
      </w:pPr>
      <w:bookmarkStart w:id="760" w:name="latin-record-0509"/>
      <w:bookmarkEnd w:id="760"/>
      <w:r>
        <w:rPr>
          <w:b/>
          <w:i w:val="0"/>
        </w:rPr>
        <w:t>haurire / implere</w:t>
      </w:r>
      <w:r>
        <w:rPr>
          <w:b/>
          <w:i w:val="0"/>
        </w:rPr>
        <w:t>.</w:t>
      </w:r>
      <w:r>
        <w:rPr>
          <w:b w:val="0"/>
          <w:i w:val="0"/>
        </w:rPr>
        <w:t xml:space="preserve"> Printed forms: </w:t>
      </w:r>
      <w:r>
        <w:rPr>
          <w:b w:val="0"/>
          <w:i/>
        </w:rPr>
        <w:t>haurit</w:t>
      </w:r>
      <w:r>
        <w:rPr>
          <w:b w:val="0"/>
          <w:i w:val="0"/>
        </w:rPr>
        <w:t xml:space="preserve">; </w:t>
      </w:r>
      <w:r>
        <w:rPr>
          <w:b w:val="0"/>
          <w:i/>
        </w:rPr>
        <w:t>impletur</w:t>
      </w:r>
      <w:r>
        <w:rPr>
          <w:b w:val="0"/>
          <w:i w:val="0"/>
        </w:rPr>
        <w:t>.</w:t>
      </w:r>
    </w:p>
    <w:p>
      <w:pPr>
        <w:widowControl/>
      </w:pPr>
      <w:r>
        <w:rPr>
          <w:b w:val="0"/>
          <w:i w:val="0"/>
        </w:rPr>
        <w:t xml:space="preserve">Draw from a source / fill. Angel draws goodness immediately from God and remains filled; fountain and fullness express received stability. References: </w:t>
      </w:r>
      <w:hyperlink w:anchor="passage-iii-1-7">
        <w:r>
          <w:rPr>
            <w:color w:val="000000"/>
          </w:rPr>
          <w:t xml:space="preserve">III.1.7</w:t>
        </w:r>
      </w:hyperlink>
      <w:r>
        <w:rPr>
          <w:b w:val="0"/>
          <w:i w:val="0"/>
        </w:rPr>
        <w:t xml:space="preserve">. See </w:t>
      </w:r>
      <w:hyperlink w:anchor="receiving-and-giving">
        <w:r>
          <w:rPr>
            <w:color w:val="000000"/>
          </w:rPr>
          <w:t xml:space="preserve">Receiving and giving</w:t>
        </w:r>
      </w:hyperlink>
      <w:r>
        <w:rPr>
          <w:b w:val="0"/>
          <w:i w:val="0"/>
        </w:rPr>
        <w:t>.</w:t>
      </w:r>
    </w:p>
    <w:p>
      <w:pPr>
        <w:keepNext/>
        <w:widowControl/>
      </w:pPr>
      <w:bookmarkStart w:id="761" w:name="latin-record-0510"/>
      <w:bookmarkEnd w:id="761"/>
      <w:r>
        <w:rPr>
          <w:b/>
          <w:i w:val="0"/>
        </w:rPr>
        <w:t>Heraclitus / Varro / Manilius</w:t>
      </w:r>
      <w:r>
        <w:rPr>
          <w:b/>
          <w:i w:val="0"/>
        </w:rPr>
        <w:t>.</w:t>
      </w:r>
      <w:r>
        <w:rPr>
          <w:b w:val="0"/>
          <w:i w:val="0"/>
        </w:rPr>
        <w:t xml:space="preserve"> Printed forms: </w:t>
      </w:r>
      <w:r>
        <w:rPr>
          <w:b w:val="0"/>
          <w:i/>
        </w:rPr>
        <w:t>Heraclitus</w:t>
      </w:r>
      <w:r>
        <w:rPr>
          <w:b w:val="0"/>
          <w:i w:val="0"/>
        </w:rPr>
        <w:t xml:space="preserve">; </w:t>
      </w:r>
      <w:r>
        <w:rPr>
          <w:b w:val="0"/>
          <w:i/>
        </w:rPr>
        <w:t>Manilius</w:t>
      </w:r>
      <w:r>
        <w:rPr>
          <w:b w:val="0"/>
          <w:i w:val="0"/>
        </w:rPr>
        <w:t xml:space="preserve">; </w:t>
      </w:r>
      <w:r>
        <w:rPr>
          <w:b w:val="0"/>
          <w:i/>
        </w:rPr>
        <w:t>Marcus Varro</w:t>
      </w:r>
      <w:r>
        <w:rPr>
          <w:b w:val="0"/>
          <w:i w:val="0"/>
        </w:rPr>
        <w:t xml:space="preserve">; </w:t>
      </w:r>
      <w:r>
        <w:rPr>
          <w:b w:val="0"/>
          <w:i/>
        </w:rPr>
        <w:t>Marcusque Manilius</w:t>
      </w:r>
      <w:r>
        <w:rPr>
          <w:b w:val="0"/>
          <w:i w:val="0"/>
        </w:rPr>
        <w:t xml:space="preserve">; </w:t>
      </w:r>
      <w:r>
        <w:rPr>
          <w:b w:val="0"/>
          <w:i/>
        </w:rPr>
        <w:t>Varro</w:t>
      </w:r>
      <w:r>
        <w:rPr>
          <w:b w:val="0"/>
          <w:i w:val="0"/>
        </w:rPr>
        <w:t>.</w:t>
      </w:r>
    </w:p>
    <w:p>
      <w:pPr>
        <w:widowControl/>
      </w:pPr>
      <w:r>
        <w:rPr>
          <w:b w:val="0"/>
          <w:i w:val="0"/>
        </w:rPr>
        <w:t xml:space="preserve">The thinkers placed at the rational-soul level. Their names mark a stopping point the ascending argument must exceed, not an independently checked summary of all their writings. References: </w:t>
      </w:r>
      <w:hyperlink w:anchor="passage-i-1-4">
        <w:r>
          <w:rPr>
            <w:color w:val="000000"/>
          </w:rPr>
          <w:t xml:space="preserve">I.1.4</w:t>
        </w:r>
      </w:hyperlink>
      <w:r>
        <w:rPr>
          <w:b w:val="0"/>
          <w:i w:val="0"/>
        </w:rPr>
        <w:t xml:space="preserve">, </w:t>
      </w:r>
      <w:hyperlink w:anchor="passage-i-5-2">
        <w:r>
          <w:rPr>
            <w:color w:val="000000"/>
          </w:rPr>
          <w:t xml:space="preserve">I.5.2</w:t>
        </w:r>
      </w:hyperlink>
      <w:r>
        <w:rPr>
          <w:b w:val="0"/>
          <w:i w:val="0"/>
        </w:rPr>
        <w:t xml:space="preserve">. See </w:t>
      </w:r>
      <w:hyperlink w:anchor="philosophers-and-stopping-points">
        <w:r>
          <w:rPr>
            <w:color w:val="000000"/>
          </w:rPr>
          <w:t xml:space="preserve">Philosophers and stopping points</w:t>
        </w:r>
      </w:hyperlink>
      <w:r>
        <w:rPr>
          <w:b w:val="0"/>
          <w:i w:val="0"/>
        </w:rPr>
        <w:t>.</w:t>
      </w:r>
    </w:p>
    <w:p>
      <w:pPr>
        <w:keepNext/>
        <w:widowControl/>
      </w:pPr>
      <w:bookmarkStart w:id="762" w:name="latin-record-0511"/>
      <w:bookmarkEnd w:id="762"/>
      <w:r>
        <w:rPr>
          <w:b/>
          <w:i w:val="0"/>
        </w:rPr>
        <w:t>hic / illic</w:t>
      </w:r>
      <w:r>
        <w:rPr>
          <w:b/>
          <w:i w:val="0"/>
        </w:rPr>
        <w:t>.</w:t>
      </w:r>
      <w:r>
        <w:rPr>
          <w:b w:val="0"/>
          <w:i w:val="0"/>
        </w:rPr>
        <w:t xml:space="preserve"> Printed forms: </w:t>
      </w:r>
      <w:r>
        <w:rPr>
          <w:b w:val="0"/>
          <w:i/>
        </w:rPr>
        <w:t>hic</w:t>
      </w:r>
      <w:r>
        <w:rPr>
          <w:b w:val="0"/>
          <w:i w:val="0"/>
        </w:rPr>
        <w:t xml:space="preserve">; </w:t>
      </w:r>
      <w:r>
        <w:rPr>
          <w:b w:val="0"/>
          <w:i/>
        </w:rPr>
        <w:t>ibi</w:t>
      </w:r>
      <w:r>
        <w:rPr>
          <w:b w:val="0"/>
          <w:i w:val="0"/>
        </w:rPr>
        <w:t xml:space="preserve">; </w:t>
      </w:r>
      <w:r>
        <w:rPr>
          <w:b w:val="0"/>
          <w:i/>
        </w:rPr>
        <w:t>illic</w:t>
      </w:r>
      <w:r>
        <w:rPr>
          <w:b w:val="0"/>
          <w:i w:val="0"/>
        </w:rPr>
        <w:t>.</w:t>
      </w:r>
    </w:p>
    <w:p>
      <w:pPr>
        <w:widowControl/>
      </w:pPr>
      <w:r>
        <w:rPr>
          <w:b w:val="0"/>
          <w:i w:val="0"/>
        </w:rPr>
        <w:t xml:space="preserve">Here and there as opposed places. Identical fitness for the alternative positions drives the thought experiment; these demonstratives carry a substantive symmetry argument. References: </w:t>
      </w:r>
      <w:hyperlink w:anchor="passage-iv-2-24">
        <w:r>
          <w:rPr>
            <w:color w:val="000000"/>
          </w:rPr>
          <w:t xml:space="preserve">IV.2.24</w:t>
        </w:r>
      </w:hyperlink>
      <w:r>
        <w:rPr>
          <w:b w:val="0"/>
          <w:i w:val="0"/>
        </w:rPr>
        <w:t xml:space="preserve">. See </w:t>
      </w:r>
      <w:hyperlink w:anchor="here-there-and-antipodes">
        <w:r>
          <w:rPr>
            <w:color w:val="000000"/>
          </w:rPr>
          <w:t xml:space="preserve">Here, there, and the Antipodes</w:t>
        </w:r>
      </w:hyperlink>
      <w:r>
        <w:rPr>
          <w:b w:val="0"/>
          <w:i w:val="0"/>
        </w:rPr>
        <w:t>.</w:t>
      </w:r>
    </w:p>
    <w:p>
      <w:pPr>
        <w:keepNext/>
        <w:widowControl/>
      </w:pPr>
      <w:bookmarkStart w:id="763" w:name="latin-record-0512"/>
      <w:bookmarkEnd w:id="763"/>
      <w:r>
        <w:rPr>
          <w:b/>
          <w:i w:val="0"/>
        </w:rPr>
        <w:t>hiems / ver / aestas / autumnus</w:t>
      </w:r>
      <w:r>
        <w:rPr>
          <w:b/>
          <w:i w:val="0"/>
        </w:rPr>
        <w:t>.</w:t>
      </w:r>
      <w:r>
        <w:rPr>
          <w:b w:val="0"/>
          <w:i w:val="0"/>
        </w:rPr>
        <w:t xml:space="preserve"> Printed forms: </w:t>
      </w:r>
      <w:r>
        <w:rPr>
          <w:b w:val="0"/>
          <w:i/>
        </w:rPr>
        <w:t>aestate</w:t>
      </w:r>
      <w:r>
        <w:rPr>
          <w:b w:val="0"/>
          <w:i w:val="0"/>
        </w:rPr>
        <w:t xml:space="preserve">; </w:t>
      </w:r>
      <w:r>
        <w:rPr>
          <w:b w:val="0"/>
          <w:i/>
        </w:rPr>
        <w:t>aestatem</w:t>
      </w:r>
      <w:r>
        <w:rPr>
          <w:b w:val="0"/>
          <w:i w:val="0"/>
        </w:rPr>
        <w:t xml:space="preserve">; </w:t>
      </w:r>
      <w:r>
        <w:rPr>
          <w:b w:val="0"/>
          <w:i/>
        </w:rPr>
        <w:t>autumnum</w:t>
      </w:r>
      <w:r>
        <w:rPr>
          <w:b w:val="0"/>
          <w:i w:val="0"/>
        </w:rPr>
        <w:t xml:space="preserve">; </w:t>
      </w:r>
      <w:r>
        <w:rPr>
          <w:b w:val="0"/>
          <w:i/>
        </w:rPr>
        <w:t>hieme</w:t>
      </w:r>
      <w:r>
        <w:rPr>
          <w:b w:val="0"/>
          <w:i w:val="0"/>
        </w:rPr>
        <w:t xml:space="preserve">; </w:t>
      </w:r>
      <w:r>
        <w:rPr>
          <w:b w:val="0"/>
          <w:i/>
        </w:rPr>
        <w:t>hiemem</w:t>
      </w:r>
      <w:r>
        <w:rPr>
          <w:b w:val="0"/>
          <w:i w:val="0"/>
        </w:rPr>
        <w:t xml:space="preserve">; </w:t>
      </w:r>
      <w:r>
        <w:rPr>
          <w:b w:val="0"/>
          <w:i/>
        </w:rPr>
        <w:t>ver</w:t>
      </w:r>
      <w:r>
        <w:rPr>
          <w:b w:val="0"/>
          <w:i w:val="0"/>
        </w:rPr>
        <w:t>.</w:t>
      </w:r>
    </w:p>
    <w:p>
      <w:pPr>
        <w:widowControl/>
      </w:pPr>
      <w:r>
        <w:rPr>
          <w:b w:val="0"/>
          <w:i w:val="0"/>
        </w:rPr>
        <w:t xml:space="preserve">Winter, spring, summer and autumn. The seasonal transitions illustrate Ficino’s principle that extremes are joined through intermediates; they are an analogy, not a demonstration of every metaphysical grade. References: </w:t>
      </w:r>
      <w:hyperlink w:anchor="passage-i-4-3">
        <w:r>
          <w:rPr>
            <w:color w:val="000000"/>
          </w:rPr>
          <w:t xml:space="preserve">I.4.3</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764" w:name="latin-record-0513"/>
      <w:bookmarkEnd w:id="764"/>
      <w:r>
        <w:rPr>
          <w:b/>
          <w:i w:val="0"/>
        </w:rPr>
        <w:t>hierobotanum</w:t>
      </w:r>
      <w:r>
        <w:rPr>
          <w:b/>
          <w:i w:val="0"/>
        </w:rPr>
        <w:t>.</w:t>
      </w:r>
      <w:r>
        <w:rPr>
          <w:b w:val="0"/>
          <w:i w:val="0"/>
        </w:rPr>
        <w:t xml:space="preserve"> Printed forms: </w:t>
      </w:r>
      <w:r>
        <w:rPr>
          <w:b w:val="0"/>
          <w:i/>
        </w:rPr>
        <w:t>hierobotanum</w:t>
      </w:r>
      <w:r>
        <w:rPr>
          <w:b w:val="0"/>
          <w:i w:val="0"/>
        </w:rPr>
        <w:t>.</w:t>
      </w:r>
    </w:p>
    <w:p>
      <w:pPr>
        <w:widowControl/>
      </w:pPr>
      <w:r>
        <w:rPr>
          <w:b w:val="0"/>
          <w:i w:val="0"/>
        </w:rPr>
        <w:t xml:space="preserve">The herb named in the source. The Magi are said to claim that it aids physicians’ divinations; the lexical record retains the attribution and does not identify or prescribe it. References: </w:t>
      </w:r>
      <w:hyperlink w:anchor="passage-iv-1-20">
        <w:r>
          <w:rPr>
            <w:color w:val="000000"/>
          </w:rPr>
          <w:t xml:space="preserve">IV.1.20</w:t>
        </w:r>
      </w:hyperlink>
      <w:r>
        <w:rPr>
          <w:b w:val="0"/>
          <w:i w:val="0"/>
        </w:rPr>
        <w:t xml:space="preserve">. See </w:t>
      </w:r>
      <w:hyperlink w:anchor="hierobotanum-and-mineral-powers">
        <w:r>
          <w:rPr>
            <w:color w:val="000000"/>
          </w:rPr>
          <w:t xml:space="preserve">Hierobotanum and mineral powers</w:t>
        </w:r>
      </w:hyperlink>
      <w:r>
        <w:rPr>
          <w:b w:val="0"/>
          <w:i w:val="0"/>
        </w:rPr>
        <w:t>.</w:t>
      </w:r>
    </w:p>
    <w:p>
      <w:pPr>
        <w:keepNext/>
        <w:widowControl/>
      </w:pPr>
      <w:bookmarkStart w:id="765" w:name="latin-record-0514"/>
      <w:bookmarkEnd w:id="765"/>
      <w:r>
        <w:rPr>
          <w:b/>
          <w:i w:val="0"/>
        </w:rPr>
        <w:t>homo / equus</w:t>
      </w:r>
      <w:r>
        <w:rPr>
          <w:b/>
          <w:i w:val="0"/>
        </w:rPr>
        <w:t>.</w:t>
      </w:r>
      <w:r>
        <w:rPr>
          <w:b w:val="0"/>
          <w:i w:val="0"/>
        </w:rPr>
        <w:t xml:space="preserve"> Printed forms: </w:t>
      </w:r>
      <w:r>
        <w:rPr>
          <w:b w:val="0"/>
          <w:i/>
        </w:rPr>
        <w:t>equinam</w:t>
      </w:r>
      <w:r>
        <w:rPr>
          <w:b w:val="0"/>
          <w:i w:val="0"/>
        </w:rPr>
        <w:t xml:space="preserve">; </w:t>
      </w:r>
      <w:r>
        <w:rPr>
          <w:b w:val="0"/>
          <w:i/>
        </w:rPr>
        <w:t>equorum</w:t>
      </w:r>
      <w:r>
        <w:rPr>
          <w:b w:val="0"/>
          <w:i w:val="0"/>
        </w:rPr>
        <w:t xml:space="preserve">; </w:t>
      </w:r>
      <w:r>
        <w:rPr>
          <w:b w:val="0"/>
          <w:i/>
        </w:rPr>
        <w:t>hominum</w:t>
      </w:r>
      <w:r>
        <w:rPr>
          <w:b w:val="0"/>
          <w:i w:val="0"/>
        </w:rPr>
        <w:t xml:space="preserve">; </w:t>
      </w:r>
      <w:r>
        <w:rPr>
          <w:b w:val="0"/>
          <w:i/>
        </w:rPr>
        <w:t>humanam</w:t>
      </w:r>
      <w:r>
        <w:rPr>
          <w:b w:val="0"/>
          <w:i w:val="0"/>
        </w:rPr>
        <w:t>.</w:t>
      </w:r>
    </w:p>
    <w:p>
      <w:pPr>
        <w:widowControl/>
      </w:pPr>
      <w:r>
        <w:rPr>
          <w:b w:val="0"/>
          <w:i w:val="0"/>
        </w:rPr>
        <w:t xml:space="preserve">Human being and horse, examples of many individuals under one species. The paired examples make species-unity intelligible before the ascent to a common unity above species. References: </w:t>
      </w:r>
      <w:hyperlink w:anchor="passage-ii-2-7">
        <w:r>
          <w:rPr>
            <w:color w:val="000000"/>
          </w:rPr>
          <w:t xml:space="preserve">II.2.7</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766" w:name="latin-record-0515"/>
      <w:bookmarkEnd w:id="766"/>
      <w:r>
        <w:rPr>
          <w:b/>
          <w:i w:val="0"/>
        </w:rPr>
        <w:t>hora / par / impar</w:t>
      </w:r>
      <w:r>
        <w:rPr>
          <w:b/>
          <w:i w:val="0"/>
        </w:rPr>
        <w:t>.</w:t>
      </w:r>
      <w:r>
        <w:rPr>
          <w:b w:val="0"/>
          <w:i w:val="0"/>
        </w:rPr>
        <w:t xml:space="preserve"> Printed forms: </w:t>
      </w:r>
      <w:r>
        <w:rPr>
          <w:b w:val="0"/>
          <w:i/>
        </w:rPr>
        <w:t>hora</w:t>
      </w:r>
      <w:r>
        <w:rPr>
          <w:b w:val="0"/>
          <w:i w:val="0"/>
        </w:rPr>
        <w:t xml:space="preserve">; </w:t>
      </w:r>
      <w:r>
        <w:rPr>
          <w:b w:val="0"/>
          <w:i/>
        </w:rPr>
        <w:t>impar</w:t>
      </w:r>
      <w:r>
        <w:rPr>
          <w:b w:val="0"/>
          <w:i w:val="0"/>
        </w:rPr>
        <w:t xml:space="preserve">; </w:t>
      </w:r>
      <w:r>
        <w:rPr>
          <w:b w:val="0"/>
          <w:i/>
        </w:rPr>
        <w:t>par</w:t>
      </w:r>
      <w:r>
        <w:rPr>
          <w:b w:val="0"/>
          <w:i w:val="0"/>
        </w:rPr>
        <w:t>.</w:t>
      </w:r>
    </w:p>
    <w:p>
      <w:pPr>
        <w:widowControl/>
      </w:pPr>
      <w:r>
        <w:rPr>
          <w:b w:val="0"/>
          <w:i w:val="0"/>
        </w:rPr>
        <w:t xml:space="preserve">Hour, equal and unequal. The repeated question compares a condition’s power at the beginning and end of a hypothetical interval to test complete persistence. References: </w:t>
      </w:r>
      <w:hyperlink w:anchor="passage-i-4-2">
        <w:r>
          <w:rPr>
            <w:color w:val="000000"/>
          </w:rPr>
          <w:t xml:space="preserve">I.4.2</w:t>
        </w:r>
      </w:hyperlink>
      <w:r>
        <w:rPr>
          <w:b w:val="0"/>
          <w:i w:val="0"/>
        </w:rPr>
        <w:t xml:space="preserve">. See </w:t>
      </w:r>
      <w:hyperlink w:anchor="permanence-and-the-hour-test">
        <w:r>
          <w:rPr>
            <w:color w:val="000000"/>
          </w:rPr>
          <w:t xml:space="preserve">Permanence and the hour test</w:t>
        </w:r>
      </w:hyperlink>
      <w:r>
        <w:rPr>
          <w:b w:val="0"/>
          <w:i w:val="0"/>
        </w:rPr>
        <w:t>.</w:t>
      </w:r>
    </w:p>
    <w:p>
      <w:pPr>
        <w:keepNext/>
        <w:widowControl/>
      </w:pPr>
      <w:bookmarkStart w:id="767" w:name="latin-record-0516"/>
      <w:bookmarkEnd w:id="767"/>
      <w:r>
        <w:rPr>
          <w:b/>
          <w:i w:val="0"/>
        </w:rPr>
        <w:t>humor / humores</w:t>
      </w:r>
      <w:r>
        <w:rPr>
          <w:b/>
          <w:i w:val="0"/>
        </w:rPr>
        <w:t>.</w:t>
      </w:r>
      <w:r>
        <w:rPr>
          <w:b w:val="0"/>
          <w:i w:val="0"/>
        </w:rPr>
        <w:t xml:space="preserve"> Printed forms: </w:t>
      </w:r>
      <w:r>
        <w:rPr>
          <w:b w:val="0"/>
          <w:i/>
        </w:rPr>
        <w:t>humores</w:t>
      </w:r>
      <w:r>
        <w:rPr>
          <w:b w:val="0"/>
          <w:i w:val="0"/>
        </w:rPr>
        <w:t>.</w:t>
      </w:r>
    </w:p>
    <w:p>
      <w:pPr>
        <w:widowControl/>
      </w:pPr>
      <w:r>
        <w:rPr>
          <w:b w:val="0"/>
          <w:i w:val="0"/>
        </w:rPr>
        <w:t xml:space="preserve">Bodily fluids or humors in the organism and the world-body analogy. The world-soul tempers diverse humors within the cosmic animal; in the human comparison thought and affect stir spirits and humors. Humores and spiritus are coordinated terms, not synonyms or merely modern moods. References: </w:t>
      </w:r>
      <w:hyperlink w:anchor="passage-iv-1-82">
        <w:r>
          <w:rPr>
            <w:color w:val="000000"/>
          </w:rPr>
          <w:t xml:space="preserve">IV.1.82</w:t>
        </w:r>
      </w:hyperlink>
      <w:r>
        <w:rPr>
          <w:b w:val="0"/>
          <w:i w:val="0"/>
        </w:rPr>
        <w:t xml:space="preserve">, </w:t>
      </w:r>
      <w:hyperlink w:anchor="passage-iv-2-16">
        <w:r>
          <w:rPr>
            <w:color w:val="000000"/>
          </w:rPr>
          <w:t xml:space="preserve">IV.2.16</w:t>
        </w:r>
      </w:hyperlink>
      <w:r>
        <w:rPr>
          <w:b w:val="0"/>
          <w:i w:val="0"/>
        </w:rPr>
        <w:t xml:space="preserve">. See </w:t>
      </w:r>
      <w:hyperlink w:anchor="sympathy">
        <w:r>
          <w:rPr>
            <w:color w:val="000000"/>
          </w:rPr>
          <w:t xml:space="preserve">Sympathy</w:t>
        </w:r>
      </w:hyperlink>
      <w:r>
        <w:rPr>
          <w:b w:val="0"/>
          <w:i w:val="0"/>
        </w:rPr>
        <w:t>.</w:t>
      </w:r>
    </w:p>
    <w:p>
      <w:pPr>
        <w:keepNext/>
        <w:widowControl/>
      </w:pPr>
      <w:bookmarkStart w:id="768" w:name="latin-record-0517"/>
      <w:bookmarkEnd w:id="768"/>
      <w:r>
        <w:rPr>
          <w:b/>
          <w:i w:val="0"/>
        </w:rPr>
        <w:t>hymnus / theologia / sacerdos</w:t>
      </w:r>
      <w:r>
        <w:rPr>
          <w:b/>
          <w:i w:val="0"/>
        </w:rPr>
        <w:t>.</w:t>
      </w:r>
      <w:r>
        <w:rPr>
          <w:b w:val="0"/>
          <w:i w:val="0"/>
        </w:rPr>
        <w:t xml:space="preserve"> Printed forms: </w:t>
      </w:r>
      <w:r>
        <w:rPr>
          <w:b w:val="0"/>
          <w:i/>
        </w:rPr>
        <w:t>Aegyptii</w:t>
      </w:r>
      <w:r>
        <w:rPr>
          <w:b w:val="0"/>
          <w:i w:val="0"/>
        </w:rPr>
        <w:t xml:space="preserve">; </w:t>
      </w:r>
      <w:r>
        <w:rPr>
          <w:b w:val="0"/>
          <w:i/>
        </w:rPr>
        <w:t>apostoli</w:t>
      </w:r>
      <w:r>
        <w:rPr>
          <w:b w:val="0"/>
          <w:i w:val="0"/>
        </w:rPr>
        <w:t xml:space="preserve">; </w:t>
      </w:r>
      <w:r>
        <w:rPr>
          <w:b w:val="0"/>
          <w:i/>
        </w:rPr>
        <w:t>cecinit</w:t>
      </w:r>
      <w:r>
        <w:rPr>
          <w:b w:val="0"/>
          <w:i w:val="0"/>
        </w:rPr>
        <w:t xml:space="preserve">; </w:t>
      </w:r>
      <w:r>
        <w:rPr>
          <w:b w:val="0"/>
          <w:i/>
        </w:rPr>
        <w:t>hymno</w:t>
      </w:r>
      <w:r>
        <w:rPr>
          <w:b w:val="0"/>
          <w:i w:val="0"/>
        </w:rPr>
        <w:t xml:space="preserve">; </w:t>
      </w:r>
      <w:r>
        <w:rPr>
          <w:b w:val="0"/>
          <w:i/>
        </w:rPr>
        <w:t>mystice</w:t>
      </w:r>
      <w:r>
        <w:rPr>
          <w:b w:val="0"/>
          <w:i w:val="0"/>
        </w:rPr>
        <w:t xml:space="preserve">; </w:t>
      </w:r>
      <w:r>
        <w:rPr>
          <w:b w:val="0"/>
          <w:i/>
        </w:rPr>
        <w:t>sacerdotes</w:t>
      </w:r>
      <w:r>
        <w:rPr>
          <w:b w:val="0"/>
          <w:i w:val="0"/>
        </w:rPr>
        <w:t xml:space="preserve">; </w:t>
      </w:r>
      <w:r>
        <w:rPr>
          <w:b w:val="0"/>
          <w:i/>
        </w:rPr>
        <w:t>Saturni</w:t>
      </w:r>
      <w:r>
        <w:rPr>
          <w:b w:val="0"/>
          <w:i w:val="0"/>
        </w:rPr>
        <w:t xml:space="preserve">; </w:t>
      </w:r>
      <w:r>
        <w:rPr>
          <w:b w:val="0"/>
          <w:i/>
        </w:rPr>
        <w:t>theologia</w:t>
      </w:r>
      <w:r>
        <w:rPr>
          <w:b w:val="0"/>
          <w:i w:val="0"/>
        </w:rPr>
        <w:t xml:space="preserve">; </w:t>
      </w:r>
      <w:r>
        <w:rPr>
          <w:b w:val="0"/>
          <w:i/>
        </w:rPr>
        <w:t>theologorum</w:t>
      </w:r>
      <w:r>
        <w:rPr>
          <w:b w:val="0"/>
          <w:i w:val="0"/>
        </w:rPr>
        <w:t>.</w:t>
      </w:r>
    </w:p>
    <w:p>
      <w:pPr>
        <w:widowControl/>
      </w:pPr>
      <w:r>
        <w:rPr>
          <w:b w:val="0"/>
          <w:i w:val="0"/>
        </w:rPr>
        <w:t xml:space="preserve">Hymn, theology, priest, and source-identifying terms. These labels locate quoted or reported authorities and should not be mistaken for independent verification of their historical provenance. References: </w:t>
      </w:r>
      <w:hyperlink w:anchor="passage-ii-3-10">
        <w:r>
          <w:rPr>
            <w:color w:val="000000"/>
          </w:rPr>
          <w:t xml:space="preserve">II.3.10</w:t>
        </w:r>
      </w:hyperlink>
      <w:r>
        <w:rPr>
          <w:b w:val="0"/>
          <w:i w:val="0"/>
        </w:rPr>
        <w:t xml:space="preserve">, </w:t>
      </w:r>
      <w:hyperlink w:anchor="passage-ii-6-11">
        <w:r>
          <w:rPr>
            <w:color w:val="000000"/>
          </w:rPr>
          <w:t xml:space="preserve">II.6.11</w:t>
        </w:r>
      </w:hyperlink>
      <w:r>
        <w:rPr>
          <w:b w:val="0"/>
          <w:i w:val="0"/>
        </w:rPr>
        <w:t xml:space="preserve">, </w:t>
      </w:r>
      <w:hyperlink w:anchor="passage-ii-6-14">
        <w:r>
          <w:rPr>
            <w:color w:val="000000"/>
          </w:rPr>
          <w:t xml:space="preserve">II.6.14</w:t>
        </w:r>
      </w:hyperlink>
      <w:r>
        <w:rPr>
          <w:b w:val="0"/>
          <w:i w:val="0"/>
        </w:rPr>
        <w:t xml:space="preserve">, </w:t>
      </w:r>
      <w:hyperlink w:anchor="passage-ii-7-7">
        <w:r>
          <w:rPr>
            <w:color w:val="000000"/>
          </w:rPr>
          <w:t xml:space="preserve">II.7.7</w:t>
        </w:r>
      </w:hyperlink>
      <w:r>
        <w:rPr>
          <w:b w:val="0"/>
          <w:i w:val="0"/>
        </w:rPr>
        <w:t xml:space="preserve">, </w:t>
      </w:r>
      <w:hyperlink w:anchor="passage-ii-9-22">
        <w:r>
          <w:rPr>
            <w:color w:val="000000"/>
          </w:rPr>
          <w:t xml:space="preserve">II.9.22</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769" w:name="latin-record-0518"/>
      <w:bookmarkEnd w:id="769"/>
      <w:r>
        <w:rPr>
          <w:b/>
          <w:i w:val="0"/>
        </w:rPr>
        <w:t>iacere / iactus</w:t>
      </w:r>
      <w:r>
        <w:rPr>
          <w:b/>
          <w:i w:val="0"/>
        </w:rPr>
        <w:t>.</w:t>
      </w:r>
      <w:r>
        <w:rPr>
          <w:b w:val="0"/>
          <w:i w:val="0"/>
        </w:rPr>
        <w:t xml:space="preserve"> Printed forms: </w:t>
      </w:r>
      <w:r>
        <w:rPr>
          <w:b w:val="0"/>
          <w:i/>
        </w:rPr>
        <w:t>iaciat</w:t>
      </w:r>
      <w:r>
        <w:rPr>
          <w:b w:val="0"/>
          <w:i w:val="0"/>
        </w:rPr>
        <w:t xml:space="preserve">; </w:t>
      </w:r>
      <w:r>
        <w:rPr>
          <w:b w:val="0"/>
          <w:i/>
        </w:rPr>
        <w:t>iactus</w:t>
      </w:r>
      <w:r>
        <w:rPr>
          <w:b w:val="0"/>
          <w:i w:val="0"/>
        </w:rPr>
        <w:t>.</w:t>
      </w:r>
    </w:p>
    <w:p>
      <w:pPr>
        <w:widowControl/>
      </w:pPr>
      <w:r>
        <w:rPr>
          <w:b w:val="0"/>
          <w:i w:val="0"/>
        </w:rPr>
        <w:t xml:space="preserve">To cast or project, and the reach of projection. A higher cause is said to cast power farther into effects, giving a spatial image to wider causal scope. References: </w:t>
      </w:r>
      <w:hyperlink w:anchor="passage-ii-3-2">
        <w:r>
          <w:rPr>
            <w:color w:val="000000"/>
          </w:rPr>
          <w:t xml:space="preserve">II.3.2</w:t>
        </w:r>
      </w:hyperlink>
      <w:r>
        <w:rPr>
          <w:b w:val="0"/>
          <w:i w:val="0"/>
        </w:rPr>
        <w:t xml:space="preserve">. See </w:t>
      </w:r>
      <w:hyperlink w:anchor="cause">
        <w:r>
          <w:rPr>
            <w:color w:val="000000"/>
          </w:rPr>
          <w:t xml:space="preserve">Cause</w:t>
        </w:r>
      </w:hyperlink>
      <w:r>
        <w:rPr>
          <w:b w:val="0"/>
          <w:i w:val="0"/>
        </w:rPr>
        <w:t>.</w:t>
      </w:r>
    </w:p>
    <w:p>
      <w:pPr>
        <w:keepNext/>
        <w:widowControl/>
      </w:pPr>
      <w:bookmarkStart w:id="770" w:name="latin-record-0519"/>
      <w:bookmarkEnd w:id="770"/>
      <w:r>
        <w:rPr>
          <w:b/>
          <w:i w:val="0"/>
        </w:rPr>
        <w:t>Iamblichus / Proclus</w:t>
      </w:r>
      <w:r>
        <w:rPr>
          <w:b/>
          <w:i w:val="0"/>
        </w:rPr>
        <w:t>.</w:t>
      </w:r>
      <w:r>
        <w:rPr>
          <w:b w:val="0"/>
          <w:i w:val="0"/>
        </w:rPr>
        <w:t xml:space="preserve"> Printed forms: </w:t>
      </w:r>
      <w:r>
        <w:rPr>
          <w:b w:val="0"/>
          <w:i/>
        </w:rPr>
        <w:t>Iamblichus</w:t>
      </w:r>
      <w:r>
        <w:rPr>
          <w:b w:val="0"/>
          <w:i w:val="0"/>
        </w:rPr>
        <w:t xml:space="preserve">; </w:t>
      </w:r>
      <w:r>
        <w:rPr>
          <w:b w:val="0"/>
          <w:i/>
        </w:rPr>
        <w:t>Proclusque</w:t>
      </w:r>
      <w:r>
        <w:rPr>
          <w:b w:val="0"/>
          <w:i w:val="0"/>
        </w:rPr>
        <w:t>.</w:t>
      </w:r>
    </w:p>
    <w:p>
      <w:pPr>
        <w:widowControl/>
      </w:pPr>
      <w:r>
        <w:rPr>
          <w:b w:val="0"/>
          <w:i w:val="0"/>
        </w:rPr>
        <w:t xml:space="preserve">The Platonists named beside the numerical angelic orders. Ficino places them after Dionysius within his presentation; this ordering is his assertion, not independently verified chronology here. References: </w:t>
      </w:r>
      <w:hyperlink w:anchor="passage-i-5-27">
        <w:r>
          <w:rPr>
            <w:color w:val="000000"/>
          </w:rPr>
          <w:t xml:space="preserve">I.5.27</w:t>
        </w:r>
      </w:hyperlink>
      <w:r>
        <w:rPr>
          <w:b w:val="0"/>
          <w:i w:val="0"/>
        </w:rPr>
        <w:t xml:space="preserve">. See </w:t>
      </w:r>
      <w:hyperlink w:anchor="dionysius-daniel-and-numerical-orders">
        <w:r>
          <w:rPr>
            <w:color w:val="000000"/>
          </w:rPr>
          <w:t xml:space="preserve">Dionysius, Daniel and numerical orders</w:t>
        </w:r>
      </w:hyperlink>
      <w:r>
        <w:rPr>
          <w:b w:val="0"/>
          <w:i w:val="0"/>
        </w:rPr>
        <w:t>.</w:t>
      </w:r>
    </w:p>
    <w:p>
      <w:pPr>
        <w:keepNext/>
        <w:widowControl/>
      </w:pPr>
      <w:bookmarkStart w:id="771" w:name="latin-record-0520"/>
      <w:bookmarkEnd w:id="771"/>
      <w:r>
        <w:rPr>
          <w:b/>
          <w:i w:val="0"/>
        </w:rPr>
        <w:t>ignarus / nescire</w:t>
      </w:r>
      <w:r>
        <w:rPr>
          <w:b/>
          <w:i w:val="0"/>
        </w:rPr>
        <w:t>.</w:t>
      </w:r>
      <w:r>
        <w:rPr>
          <w:b w:val="0"/>
          <w:i w:val="0"/>
        </w:rPr>
        <w:t xml:space="preserve"> Printed forms: </w:t>
      </w:r>
      <w:r>
        <w:rPr>
          <w:b w:val="0"/>
          <w:i/>
        </w:rPr>
        <w:t>ignara</w:t>
      </w:r>
      <w:r>
        <w:rPr>
          <w:b w:val="0"/>
          <w:i w:val="0"/>
        </w:rPr>
        <w:t xml:space="preserve">; </w:t>
      </w:r>
      <w:r>
        <w:rPr>
          <w:b w:val="0"/>
          <w:i/>
        </w:rPr>
        <w:t>nesciant</w:t>
      </w:r>
      <w:r>
        <w:rPr>
          <w:b w:val="0"/>
          <w:i w:val="0"/>
        </w:rPr>
        <w:t>.</w:t>
      </w:r>
    </w:p>
    <w:p>
      <w:pPr>
        <w:widowControl/>
      </w:pPr>
      <w:r>
        <w:rPr>
          <w:b w:val="0"/>
          <w:i w:val="0"/>
        </w:rPr>
        <w:t xml:space="preserve">Unaware / not know how. Bodies are said not to know their own movement or prescribe their ends, motivating the comparison with directed arrows. References: </w:t>
      </w:r>
      <w:hyperlink w:anchor="passage-ii-13-9">
        <w:r>
          <w:rPr>
            <w:color w:val="000000"/>
          </w:rPr>
          <w:t xml:space="preserve">II.13.9</w:t>
        </w:r>
      </w:hyperlink>
      <w:r>
        <w:rPr>
          <w:b w:val="0"/>
          <w:i w:val="0"/>
        </w:rPr>
        <w:t xml:space="preserve">. See </w:t>
      </w:r>
      <w:hyperlink w:anchor="archer-and-target">
        <w:r>
          <w:rPr>
            <w:color w:val="000000"/>
          </w:rPr>
          <w:t xml:space="preserve">Archer and target</w:t>
        </w:r>
      </w:hyperlink>
      <w:r>
        <w:rPr>
          <w:b w:val="0"/>
          <w:i w:val="0"/>
        </w:rPr>
        <w:t>.</w:t>
      </w:r>
    </w:p>
    <w:p>
      <w:pPr>
        <w:keepNext/>
        <w:widowControl/>
      </w:pPr>
      <w:bookmarkStart w:id="772" w:name="latin-record-0521"/>
      <w:bookmarkEnd w:id="772"/>
      <w:r>
        <w:rPr>
          <w:b/>
          <w:i w:val="0"/>
        </w:rPr>
        <w:t>ignis / sol / caelum / stella</w:t>
      </w:r>
      <w:r>
        <w:rPr>
          <w:b/>
          <w:i w:val="0"/>
        </w:rPr>
        <w:t>.</w:t>
      </w:r>
      <w:r>
        <w:rPr>
          <w:b w:val="0"/>
          <w:i w:val="0"/>
        </w:rPr>
        <w:t xml:space="preserve"> Printed forms: </w:t>
      </w:r>
      <w:r>
        <w:rPr>
          <w:b w:val="0"/>
          <w:i/>
        </w:rPr>
        <w:t>caeli</w:t>
      </w:r>
      <w:r>
        <w:rPr>
          <w:b w:val="0"/>
          <w:i w:val="0"/>
        </w:rPr>
        <w:t xml:space="preserve">; </w:t>
      </w:r>
      <w:r>
        <w:rPr>
          <w:b w:val="0"/>
          <w:i/>
        </w:rPr>
        <w:t>caelo</w:t>
      </w:r>
      <w:r>
        <w:rPr>
          <w:b w:val="0"/>
          <w:i w:val="0"/>
        </w:rPr>
        <w:t xml:space="preserve">; </w:t>
      </w:r>
      <w:r>
        <w:rPr>
          <w:b w:val="0"/>
          <w:i/>
        </w:rPr>
        <w:t>ignis</w:t>
      </w:r>
      <w:r>
        <w:rPr>
          <w:b w:val="0"/>
          <w:i w:val="0"/>
        </w:rPr>
        <w:t xml:space="preserve">; </w:t>
      </w:r>
      <w:r>
        <w:rPr>
          <w:b w:val="0"/>
          <w:i/>
        </w:rPr>
        <w:t>ignito</w:t>
      </w:r>
      <w:r>
        <w:rPr>
          <w:b w:val="0"/>
          <w:i w:val="0"/>
        </w:rPr>
        <w:t xml:space="preserve">; </w:t>
      </w:r>
      <w:r>
        <w:rPr>
          <w:b w:val="0"/>
          <w:i/>
        </w:rPr>
        <w:t>solis</w:t>
      </w:r>
      <w:r>
        <w:rPr>
          <w:b w:val="0"/>
          <w:i w:val="0"/>
        </w:rPr>
        <w:t xml:space="preserve">; </w:t>
      </w:r>
      <w:r>
        <w:rPr>
          <w:b w:val="0"/>
          <w:i/>
        </w:rPr>
        <w:t>stellas</w:t>
      </w:r>
      <w:r>
        <w:rPr>
          <w:b w:val="0"/>
          <w:i w:val="0"/>
        </w:rPr>
        <w:t>.</w:t>
      </w:r>
    </w:p>
    <w:p>
      <w:pPr>
        <w:widowControl/>
      </w:pPr>
      <w:r>
        <w:rPr>
          <w:b w:val="0"/>
          <w:i w:val="0"/>
        </w:rPr>
        <w:t xml:space="preserve">Fire, sun, heaven, and stars as natural examples. Kindled wood shows a particular cause present to its effect; sunlight and many stars illustrate different cognitive and causal relations. References: </w:t>
      </w:r>
      <w:hyperlink w:anchor="passage-ii-6-2">
        <w:r>
          <w:rPr>
            <w:color w:val="000000"/>
          </w:rPr>
          <w:t xml:space="preserve">II.6.2</w:t>
        </w:r>
      </w:hyperlink>
      <w:r>
        <w:rPr>
          <w:b w:val="0"/>
          <w:i w:val="0"/>
        </w:rPr>
        <w:t xml:space="preserve">, </w:t>
      </w:r>
      <w:hyperlink w:anchor="passage-ii-6-11">
        <w:r>
          <w:rPr>
            <w:color w:val="000000"/>
          </w:rPr>
          <w:t xml:space="preserve">II.6.11</w:t>
        </w:r>
      </w:hyperlink>
      <w:r>
        <w:rPr>
          <w:b w:val="0"/>
          <w:i w:val="0"/>
        </w:rPr>
        <w:t xml:space="preserve">, </w:t>
      </w:r>
      <w:hyperlink w:anchor="passage-ii-6-23">
        <w:r>
          <w:rPr>
            <w:color w:val="000000"/>
          </w:rPr>
          <w:t xml:space="preserve">II.6.23</w:t>
        </w:r>
      </w:hyperlink>
      <w:r>
        <w:rPr>
          <w:b w:val="0"/>
          <w:i w:val="0"/>
        </w:rPr>
        <w:t xml:space="preserve">, </w:t>
      </w:r>
      <w:hyperlink w:anchor="passage-ii-9-21">
        <w:r>
          <w:rPr>
            <w:color w:val="000000"/>
          </w:rPr>
          <w:t xml:space="preserve">II.9.21</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773" w:name="latin-record-0522"/>
      <w:bookmarkEnd w:id="773"/>
      <w:r>
        <w:rPr>
          <w:b/>
          <w:i w:val="0"/>
        </w:rPr>
        <w:t>ignis / tenuis</w:t>
      </w:r>
      <w:r>
        <w:rPr>
          <w:b/>
          <w:i w:val="0"/>
        </w:rPr>
        <w:t>.</w:t>
      </w:r>
      <w:r>
        <w:rPr>
          <w:b w:val="0"/>
          <w:i w:val="0"/>
        </w:rPr>
        <w:t xml:space="preserve"> Printed forms: </w:t>
      </w:r>
      <w:r>
        <w:rPr>
          <w:b w:val="0"/>
          <w:i/>
        </w:rPr>
        <w:t>ignis</w:t>
      </w:r>
      <w:r>
        <w:rPr>
          <w:b w:val="0"/>
          <w:i w:val="0"/>
        </w:rPr>
        <w:t xml:space="preserve">; </w:t>
      </w:r>
      <w:r>
        <w:rPr>
          <w:b w:val="0"/>
          <w:i/>
        </w:rPr>
        <w:t>tenuis</w:t>
      </w:r>
      <w:r>
        <w:rPr>
          <w:b w:val="0"/>
          <w:i w:val="0"/>
        </w:rPr>
        <w:t xml:space="preserve">; </w:t>
      </w:r>
      <w:r>
        <w:rPr>
          <w:b w:val="0"/>
          <w:i/>
        </w:rPr>
        <w:t>tenuitate</w:t>
      </w:r>
      <w:r>
        <w:rPr>
          <w:b w:val="0"/>
          <w:i w:val="0"/>
        </w:rPr>
        <w:t>.</w:t>
      </w:r>
    </w:p>
    <w:p>
      <w:pPr>
        <w:widowControl/>
      </w:pPr>
      <w:r>
        <w:rPr>
          <w:b w:val="0"/>
          <w:i w:val="0"/>
        </w:rPr>
        <w:t xml:space="preserve">Fire, characterized here by fineness or thinness. Fire is presented as approaching spiritual nature and acting strongly; this qualitative efficacy is later shown insufficient as a first cause. References: </w:t>
      </w:r>
      <w:hyperlink w:anchor="passage-i-2-5">
        <w:r>
          <w:rPr>
            <w:color w:val="000000"/>
          </w:rPr>
          <w:t xml:space="preserve">I.2.5</w:t>
        </w:r>
      </w:hyperlink>
      <w:r>
        <w:rPr>
          <w:b w:val="0"/>
          <w:i w:val="0"/>
        </w:rPr>
        <w:t xml:space="preserve">. See </w:t>
      </w:r>
      <w:hyperlink w:anchor="fire-spark-lightning-and-cannon">
        <w:r>
          <w:rPr>
            <w:color w:val="000000"/>
          </w:rPr>
          <w:t xml:space="preserve">Fire, spark, lightning and cannon</w:t>
        </w:r>
      </w:hyperlink>
      <w:r>
        <w:rPr>
          <w:b w:val="0"/>
          <w:i w:val="0"/>
        </w:rPr>
        <w:t>.</w:t>
      </w:r>
    </w:p>
    <w:p>
      <w:pPr>
        <w:keepNext/>
        <w:widowControl/>
      </w:pPr>
      <w:bookmarkStart w:id="774" w:name="latin-record-0523"/>
      <w:bookmarkEnd w:id="774"/>
      <w:r>
        <w:rPr>
          <w:b/>
          <w:i w:val="0"/>
        </w:rPr>
        <w:t>illicere</w:t>
      </w:r>
      <w:r>
        <w:rPr>
          <w:b/>
          <w:i w:val="0"/>
        </w:rPr>
        <w:t>.</w:t>
      </w:r>
      <w:r>
        <w:rPr>
          <w:b w:val="0"/>
          <w:i w:val="0"/>
        </w:rPr>
        <w:t xml:space="preserve"> Printed forms: </w:t>
      </w:r>
      <w:r>
        <w:rPr>
          <w:b w:val="0"/>
          <w:i/>
        </w:rPr>
        <w:t>illecta</w:t>
      </w:r>
      <w:r>
        <w:rPr>
          <w:b w:val="0"/>
          <w:i w:val="0"/>
        </w:rPr>
        <w:t>.</w:t>
      </w:r>
    </w:p>
    <w:p>
      <w:pPr>
        <w:widowControl/>
      </w:pPr>
      <w:r>
        <w:rPr>
          <w:b w:val="0"/>
          <w:i w:val="0"/>
        </w:rPr>
        <w:t xml:space="preserve">Attract or entice. Things’ desire for divine goodness is itself explained as a good attraction proceeding from that source. References: </w:t>
      </w:r>
      <w:hyperlink w:anchor="passage-ii-13-3">
        <w:r>
          <w:rPr>
            <w:color w:val="000000"/>
          </w:rPr>
          <w:t xml:space="preserve">II.13.3</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775" w:name="latin-record-0524"/>
      <w:bookmarkEnd w:id="775"/>
      <w:r>
        <w:rPr>
          <w:b/>
          <w:i w:val="0"/>
        </w:rPr>
        <w:t>illuminare / fulgere / radius / accendere</w:t>
      </w:r>
      <w:r>
        <w:rPr>
          <w:b/>
          <w:i w:val="0"/>
        </w:rPr>
        <w:t>.</w:t>
      </w:r>
      <w:r>
        <w:rPr>
          <w:b w:val="0"/>
          <w:i w:val="0"/>
        </w:rPr>
        <w:t xml:space="preserve"> Printed forms: </w:t>
      </w:r>
      <w:r>
        <w:rPr>
          <w:b w:val="0"/>
          <w:i/>
        </w:rPr>
        <w:t>accendantur</w:t>
      </w:r>
      <w:r>
        <w:rPr>
          <w:b w:val="0"/>
          <w:i w:val="0"/>
        </w:rPr>
        <w:t xml:space="preserve">; </w:t>
      </w:r>
      <w:r>
        <w:rPr>
          <w:b w:val="0"/>
          <w:i/>
        </w:rPr>
        <w:t>fulget</w:t>
      </w:r>
      <w:r>
        <w:rPr>
          <w:b w:val="0"/>
          <w:i w:val="0"/>
        </w:rPr>
        <w:t xml:space="preserve">; </w:t>
      </w:r>
      <w:r>
        <w:rPr>
          <w:b w:val="0"/>
          <w:i/>
        </w:rPr>
        <w:t>illuminando</w:t>
      </w:r>
      <w:r>
        <w:rPr>
          <w:b w:val="0"/>
          <w:i w:val="0"/>
        </w:rPr>
        <w:t xml:space="preserve">; </w:t>
      </w:r>
      <w:r>
        <w:rPr>
          <w:b w:val="0"/>
          <w:i/>
        </w:rPr>
        <w:t>illuminat</w:t>
      </w:r>
      <w:r>
        <w:rPr>
          <w:b w:val="0"/>
          <w:i w:val="0"/>
        </w:rPr>
        <w:t xml:space="preserve">; </w:t>
      </w:r>
      <w:r>
        <w:rPr>
          <w:b w:val="0"/>
          <w:i/>
        </w:rPr>
        <w:t>radiis</w:t>
      </w:r>
      <w:r>
        <w:rPr>
          <w:b w:val="0"/>
          <w:i w:val="0"/>
        </w:rPr>
        <w:t>.</w:t>
      </w:r>
    </w:p>
    <w:p>
      <w:pPr>
        <w:widowControl/>
      </w:pPr>
      <w:r>
        <w:rPr>
          <w:b w:val="0"/>
          <w:i w:val="0"/>
        </w:rPr>
        <w:t xml:space="preserve">To illuminate, shine, or light a source; rays as an optical image. Divine rays must not be mistaken for dimensional lines, while candlelights model distinct sources sharing a field. References: </w:t>
      </w:r>
      <w:hyperlink w:anchor="passage-ii-6-13">
        <w:r>
          <w:rPr>
            <w:color w:val="000000"/>
          </w:rPr>
          <w:t xml:space="preserve">II.6.13</w:t>
        </w:r>
      </w:hyperlink>
      <w:r>
        <w:rPr>
          <w:b w:val="0"/>
          <w:i w:val="0"/>
        </w:rPr>
        <w:t xml:space="preserve">, </w:t>
      </w:r>
      <w:hyperlink w:anchor="passage-ii-6-14">
        <w:r>
          <w:rPr>
            <w:color w:val="000000"/>
          </w:rPr>
          <w:t xml:space="preserve">II.6.14</w:t>
        </w:r>
      </w:hyperlink>
      <w:r>
        <w:rPr>
          <w:b w:val="0"/>
          <w:i w:val="0"/>
        </w:rPr>
        <w:t xml:space="preserve">, </w:t>
      </w:r>
      <w:hyperlink w:anchor="passage-ii-6-24">
        <w:r>
          <w:rPr>
            <w:color w:val="000000"/>
          </w:rPr>
          <w:t xml:space="preserve">II.6.24</w:t>
        </w:r>
      </w:hyperlink>
      <w:r>
        <w:rPr>
          <w:b w:val="0"/>
          <w:i w:val="0"/>
        </w:rPr>
        <w:t xml:space="preserve">, </w:t>
      </w:r>
      <w:hyperlink w:anchor="passage-ii-8-4">
        <w:r>
          <w:rPr>
            <w:color w:val="000000"/>
          </w:rPr>
          <w:t xml:space="preserve">II.8.4</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776" w:name="latin-record-0525"/>
      <w:bookmarkEnd w:id="776"/>
      <w:r>
        <w:rPr>
          <w:b/>
          <w:i w:val="0"/>
        </w:rPr>
        <w:t>imago / simulacrum</w:t>
      </w:r>
      <w:r>
        <w:rPr>
          <w:b/>
          <w:i w:val="0"/>
        </w:rPr>
        <w:t>.</w:t>
      </w:r>
      <w:r>
        <w:rPr>
          <w:b w:val="0"/>
          <w:i w:val="0"/>
        </w:rPr>
        <w:t xml:space="preserve"> Printed forms: </w:t>
      </w:r>
      <w:r>
        <w:rPr>
          <w:b w:val="0"/>
          <w:i/>
        </w:rPr>
        <w:t>imago</w:t>
      </w:r>
      <w:r>
        <w:rPr>
          <w:b w:val="0"/>
          <w:i w:val="0"/>
        </w:rPr>
        <w:t xml:space="preserve">; </w:t>
      </w:r>
      <w:r>
        <w:rPr>
          <w:b w:val="0"/>
          <w:i/>
        </w:rPr>
        <w:t>simulacrum</w:t>
      </w:r>
      <w:r>
        <w:rPr>
          <w:b w:val="0"/>
          <w:i w:val="0"/>
        </w:rPr>
        <w:t>.</w:t>
      </w:r>
    </w:p>
    <w:p>
      <w:pPr>
        <w:widowControl/>
      </w:pPr>
      <w:r>
        <w:rPr>
          <w:b w:val="0"/>
          <w:i w:val="0"/>
        </w:rPr>
        <w:t xml:space="preserve">An image or fashioned likeness. The soul reflects an image of God; Ficino fashions a likeness of Plato close to Christian truth. Neither occurrence by itself means a deceptive counterfeit. References: </w:t>
      </w:r>
      <w:hyperlink w:anchor="passage-proem-4">
        <w:r>
          <w:rPr>
            <w:color w:val="000000"/>
          </w:rPr>
          <w:t xml:space="preserve">Proem.4</w:t>
        </w:r>
      </w:hyperlink>
      <w:r>
        <w:rPr>
          <w:b w:val="0"/>
          <w:i w:val="0"/>
        </w:rPr>
        <w:t xml:space="preserve">, </w:t>
      </w:r>
      <w:hyperlink w:anchor="passage-proem-7">
        <w:r>
          <w:rPr>
            <w:color w:val="000000"/>
          </w:rPr>
          <w:t xml:space="preserve">Proem.7</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777" w:name="latin-record-0526"/>
      <w:bookmarkEnd w:id="777"/>
      <w:r>
        <w:rPr>
          <w:b/>
          <w:i w:val="0"/>
        </w:rPr>
        <w:t>imbecillitas / insipientia</w:t>
      </w:r>
      <w:r>
        <w:rPr>
          <w:b/>
          <w:i w:val="0"/>
        </w:rPr>
        <w:t>.</w:t>
      </w:r>
      <w:r>
        <w:rPr>
          <w:b w:val="0"/>
          <w:i w:val="0"/>
        </w:rPr>
        <w:t xml:space="preserve"> Printed forms: </w:t>
      </w:r>
      <w:r>
        <w:rPr>
          <w:b w:val="0"/>
          <w:i/>
        </w:rPr>
        <w:t>imbecillitas</w:t>
      </w:r>
      <w:r>
        <w:rPr>
          <w:b w:val="0"/>
          <w:i w:val="0"/>
        </w:rPr>
        <w:t xml:space="preserve">; </w:t>
      </w:r>
      <w:r>
        <w:rPr>
          <w:b w:val="0"/>
          <w:i/>
        </w:rPr>
        <w:t>insipientiaque</w:t>
      </w:r>
      <w:r>
        <w:rPr>
          <w:b w:val="0"/>
          <w:i w:val="0"/>
        </w:rPr>
        <w:t>.</w:t>
      </w:r>
    </w:p>
    <w:p>
      <w:pPr>
        <w:widowControl/>
      </w:pPr>
      <w:r>
        <w:rPr>
          <w:b w:val="0"/>
          <w:i w:val="0"/>
        </w:rPr>
        <w:t xml:space="preserve">Weakness / folly. A divine ability to become worse is denied as imperfection rather than counted as an additional freedom. References: </w:t>
      </w:r>
      <w:hyperlink w:anchor="passage-ii-12-5">
        <w:r>
          <w:rPr>
            <w:color w:val="000000"/>
          </w:rPr>
          <w:t xml:space="preserve">II.12.5</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778" w:name="latin-record-0527"/>
      <w:bookmarkEnd w:id="778"/>
      <w:r>
        <w:rPr>
          <w:b/>
          <w:i w:val="0"/>
        </w:rPr>
        <w:t>imbuere</w:t>
      </w:r>
      <w:r>
        <w:rPr>
          <w:b/>
          <w:i w:val="0"/>
        </w:rPr>
        <w:t>.</w:t>
      </w:r>
      <w:r>
        <w:rPr>
          <w:b w:val="0"/>
          <w:i w:val="0"/>
        </w:rPr>
        <w:t xml:space="preserve"> Printed forms: </w:t>
      </w:r>
      <w:r>
        <w:rPr>
          <w:b w:val="0"/>
          <w:i/>
        </w:rPr>
        <w:t>imbuit</w:t>
      </w:r>
      <w:r>
        <w:rPr>
          <w:b w:val="0"/>
          <w:i w:val="0"/>
        </w:rPr>
        <w:t>.</w:t>
      </w:r>
    </w:p>
    <w:p>
      <w:pPr>
        <w:widowControl/>
      </w:pPr>
      <w:r>
        <w:rPr>
          <w:b w:val="0"/>
          <w:i w:val="0"/>
        </w:rPr>
        <w:t xml:space="preserve">To imbue a recipient with supplied content. The Latin makes the vivifying and motive power the recipient and natural seeds the content; the English reverses them. References: </w:t>
      </w:r>
      <w:hyperlink w:anchor="passage-iv-1-11">
        <w:r>
          <w:rPr>
            <w:color w:val="000000"/>
          </w:rPr>
          <w:t xml:space="preserve">IV.1.11</w:t>
        </w:r>
      </w:hyperlink>
      <w:r>
        <w:rPr>
          <w:b w:val="0"/>
          <w:i w:val="0"/>
        </w:rPr>
        <w:t xml:space="preserve">. See </w:t>
      </w:r>
      <w:hyperlink w:anchor="seeds">
        <w:r>
          <w:rPr>
            <w:color w:val="000000"/>
          </w:rPr>
          <w:t xml:space="preserve">Seeds</w:t>
        </w:r>
      </w:hyperlink>
      <w:r>
        <w:rPr>
          <w:b w:val="0"/>
          <w:i w:val="0"/>
        </w:rPr>
        <w:t>.</w:t>
      </w:r>
    </w:p>
    <w:p>
      <w:pPr>
        <w:keepNext/>
        <w:widowControl/>
      </w:pPr>
      <w:bookmarkStart w:id="779" w:name="latin-record-0528"/>
      <w:bookmarkEnd w:id="779"/>
      <w:r>
        <w:rPr>
          <w:b/>
          <w:i w:val="0"/>
        </w:rPr>
        <w:t>imitari / deficere</w:t>
      </w:r>
      <w:r>
        <w:rPr>
          <w:b/>
          <w:i w:val="0"/>
        </w:rPr>
        <w:t>.</w:t>
      </w:r>
      <w:r>
        <w:rPr>
          <w:b w:val="0"/>
          <w:i w:val="0"/>
        </w:rPr>
        <w:t xml:space="preserve"> Printed forms: </w:t>
      </w:r>
      <w:r>
        <w:rPr>
          <w:b w:val="0"/>
          <w:i/>
        </w:rPr>
        <w:t>deficere</w:t>
      </w:r>
      <w:r>
        <w:rPr>
          <w:b w:val="0"/>
          <w:i w:val="0"/>
        </w:rPr>
        <w:t xml:space="preserve">; </w:t>
      </w:r>
      <w:r>
        <w:rPr>
          <w:b w:val="0"/>
          <w:i/>
        </w:rPr>
        <w:t>imitari</w:t>
      </w:r>
      <w:r>
        <w:rPr>
          <w:b w:val="0"/>
          <w:i w:val="0"/>
        </w:rPr>
        <w:t>.</w:t>
      </w:r>
    </w:p>
    <w:p>
      <w:pPr>
        <w:widowControl/>
      </w:pPr>
      <w:r>
        <w:rPr>
          <w:b w:val="0"/>
          <w:i w:val="0"/>
        </w:rPr>
        <w:t xml:space="preserve">Imitate / fall short. Distinct forms are conceived as different degrees and modes of likeness to divine form. References: </w:t>
      </w:r>
      <w:hyperlink w:anchor="passage-ii-11-17">
        <w:r>
          <w:rPr>
            <w:color w:val="000000"/>
          </w:rPr>
          <w:t xml:space="preserve">II.11.17</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780" w:name="latin-record-0529"/>
      <w:bookmarkEnd w:id="780"/>
      <w:r>
        <w:rPr>
          <w:b/>
          <w:i w:val="0"/>
        </w:rPr>
        <w:t>imitatio / imitari</w:t>
      </w:r>
      <w:r>
        <w:rPr>
          <w:b/>
          <w:i w:val="0"/>
        </w:rPr>
        <w:t>.</w:t>
      </w:r>
      <w:r>
        <w:rPr>
          <w:b w:val="0"/>
          <w:i w:val="0"/>
        </w:rPr>
        <w:t xml:space="preserve"> Printed forms: </w:t>
      </w:r>
      <w:r>
        <w:rPr>
          <w:b w:val="0"/>
          <w:i/>
        </w:rPr>
        <w:t>imitatio</w:t>
      </w:r>
      <w:r>
        <w:rPr>
          <w:b w:val="0"/>
          <w:i w:val="0"/>
        </w:rPr>
        <w:t xml:space="preserve">; </w:t>
      </w:r>
      <w:r>
        <w:rPr>
          <w:b w:val="0"/>
          <w:i/>
        </w:rPr>
        <w:t>imitetur</w:t>
      </w:r>
      <w:r>
        <w:rPr>
          <w:b w:val="0"/>
          <w:i w:val="0"/>
        </w:rPr>
        <w:t>.</w:t>
      </w:r>
    </w:p>
    <w:p>
      <w:pPr>
        <w:widowControl/>
      </w:pPr>
      <w:r>
        <w:rPr>
          <w:b w:val="0"/>
          <w:i w:val="0"/>
        </w:rPr>
        <w:t xml:space="preserve">Imitation or producing a likeness of an exemplar. Human art imitates nature, while celestial soul imitates the first artisan through a worldly work. References: </w:t>
      </w:r>
      <w:hyperlink w:anchor="passage-iv-1-10">
        <w:r>
          <w:rPr>
            <w:color w:val="000000"/>
          </w:rPr>
          <w:t xml:space="preserve">IV.1.10</w:t>
        </w:r>
      </w:hyperlink>
      <w:r>
        <w:rPr>
          <w:b w:val="0"/>
          <w:i w:val="0"/>
        </w:rPr>
        <w:t xml:space="preserve">, </w:t>
      </w:r>
      <w:hyperlink w:anchor="passage-iv-2-15">
        <w:r>
          <w:rPr>
            <w:color w:val="000000"/>
          </w:rPr>
          <w:t xml:space="preserve">IV.2.15</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781" w:name="latin-record-0530"/>
      <w:bookmarkEnd w:id="781"/>
      <w:r>
        <w:rPr>
          <w:b/>
          <w:i w:val="0"/>
        </w:rPr>
        <w:t>imitor / exprimo</w:t>
      </w:r>
      <w:r>
        <w:rPr>
          <w:b/>
          <w:i w:val="0"/>
        </w:rPr>
        <w:t>.</w:t>
      </w:r>
      <w:r>
        <w:rPr>
          <w:b w:val="0"/>
          <w:i w:val="0"/>
        </w:rPr>
        <w:t xml:space="preserve"> Printed forms: </w:t>
      </w:r>
      <w:r>
        <w:rPr>
          <w:b w:val="0"/>
          <w:i/>
        </w:rPr>
        <w:t>exprimere</w:t>
      </w:r>
      <w:r>
        <w:rPr>
          <w:b w:val="0"/>
          <w:i w:val="0"/>
        </w:rPr>
        <w:t xml:space="preserve">; </w:t>
      </w:r>
      <w:r>
        <w:rPr>
          <w:b w:val="0"/>
          <w:i/>
        </w:rPr>
        <w:t>imitandum</w:t>
      </w:r>
      <w:r>
        <w:rPr>
          <w:b w:val="0"/>
          <w:i w:val="0"/>
        </w:rPr>
        <w:t xml:space="preserve">; </w:t>
      </w:r>
      <w:r>
        <w:rPr>
          <w:b w:val="0"/>
          <w:i/>
        </w:rPr>
        <w:t>imitati</w:t>
      </w:r>
      <w:r>
        <w:rPr>
          <w:b w:val="0"/>
          <w:i w:val="0"/>
        </w:rPr>
        <w:t>.</w:t>
      </w:r>
    </w:p>
    <w:p>
      <w:pPr>
        <w:widowControl/>
      </w:pPr>
      <w:r>
        <w:rPr>
          <w:b w:val="0"/>
          <w:i w:val="0"/>
        </w:rPr>
        <w:t xml:space="preserve">To imitate and to fashion an expressed likeness. Augustine’s reported selection of Plato for imitation supports Ficino’s own constructive likeness, with Christian truth as the stated criterion. References: </w:t>
      </w:r>
      <w:hyperlink w:anchor="passage-proem-6">
        <w:r>
          <w:rPr>
            <w:color w:val="000000"/>
          </w:rPr>
          <w:t xml:space="preserve">Proem.6</w:t>
        </w:r>
      </w:hyperlink>
      <w:r>
        <w:rPr>
          <w:b w:val="0"/>
          <w:i w:val="0"/>
        </w:rPr>
        <w:t xml:space="preserve">, </w:t>
      </w:r>
      <w:hyperlink w:anchor="passage-proem-7">
        <w:r>
          <w:rPr>
            <w:color w:val="000000"/>
          </w:rPr>
          <w:t xml:space="preserve">Proem.7</w:t>
        </w:r>
      </w:hyperlink>
      <w:r>
        <w:rPr>
          <w:b w:val="0"/>
          <w:i w:val="0"/>
        </w:rPr>
        <w:t xml:space="preserve">, </w:t>
      </w:r>
      <w:hyperlink w:anchor="passage-proem-10">
        <w:r>
          <w:rPr>
            <w:color w:val="000000"/>
          </w:rPr>
          <w:t xml:space="preserve">Proem.10</w:t>
        </w:r>
      </w:hyperlink>
      <w:r>
        <w:rPr>
          <w:b w:val="0"/>
          <w:i w:val="0"/>
        </w:rPr>
        <w:t xml:space="preserve">. See </w:t>
      </w:r>
      <w:hyperlink w:anchor="augustine-and-christian-proximity">
        <w:r>
          <w:rPr>
            <w:color w:val="000000"/>
          </w:rPr>
          <w:t xml:space="preserve">Augustine and Christian proximity</w:t>
        </w:r>
      </w:hyperlink>
      <w:r>
        <w:rPr>
          <w:b w:val="0"/>
          <w:i w:val="0"/>
        </w:rPr>
        <w:t>.</w:t>
      </w:r>
    </w:p>
    <w:p>
      <w:pPr>
        <w:keepNext/>
        <w:widowControl/>
      </w:pPr>
      <w:bookmarkStart w:id="782" w:name="latin-record-0531"/>
      <w:bookmarkEnd w:id="782"/>
      <w:r>
        <w:rPr>
          <w:b/>
          <w:i w:val="0"/>
        </w:rPr>
        <w:t>immaterialis / incorporeus</w:t>
      </w:r>
      <w:r>
        <w:rPr>
          <w:b/>
          <w:i w:val="0"/>
        </w:rPr>
        <w:t>.</w:t>
      </w:r>
      <w:r>
        <w:rPr>
          <w:b w:val="0"/>
          <w:i w:val="0"/>
        </w:rPr>
        <w:t xml:space="preserve"> Printed forms: </w:t>
      </w:r>
      <w:r>
        <w:rPr>
          <w:b w:val="0"/>
          <w:i/>
        </w:rPr>
        <w:t>immaterialia</w:t>
      </w:r>
      <w:r>
        <w:rPr>
          <w:b w:val="0"/>
          <w:i w:val="0"/>
        </w:rPr>
        <w:t xml:space="preserve">; </w:t>
      </w:r>
      <w:r>
        <w:rPr>
          <w:b w:val="0"/>
          <w:i/>
        </w:rPr>
        <w:t>incorporeum</w:t>
      </w:r>
      <w:r>
        <w:rPr>
          <w:b w:val="0"/>
          <w:i w:val="0"/>
        </w:rPr>
        <w:t>.</w:t>
      </w:r>
    </w:p>
    <w:p>
      <w:pPr>
        <w:widowControl/>
      </w:pPr>
      <w:r>
        <w:rPr>
          <w:b w:val="0"/>
          <w:i w:val="0"/>
        </w:rPr>
        <w:t xml:space="preserve">Without matter and without body, distinguished locally. Proclus’s celestial bodies are called immaterial yet retain bodily dimension; incorporeality therefore cannot simply be substituted for immateriality. References: </w:t>
      </w:r>
      <w:hyperlink w:anchor="passage-i-3-28">
        <w:r>
          <w:rPr>
            <w:color w:val="000000"/>
          </w:rPr>
          <w:t xml:space="preserve">I.3.28</w:t>
        </w:r>
      </w:hyperlink>
      <w:r>
        <w:rPr>
          <w:b w:val="0"/>
          <w:i w:val="0"/>
        </w:rPr>
        <w:t xml:space="preserve">, </w:t>
      </w:r>
      <w:hyperlink w:anchor="passage-i-3-31">
        <w:r>
          <w:rPr>
            <w:color w:val="000000"/>
          </w:rPr>
          <w:t xml:space="preserve">I.3.31</w:t>
        </w:r>
      </w:hyperlink>
      <w:r>
        <w:rPr>
          <w:b w:val="0"/>
          <w:i w:val="0"/>
        </w:rPr>
        <w:t xml:space="preserve">. See </w:t>
      </w:r>
      <w:hyperlink w:anchor="incorporeal-and-immaterial">
        <w:r>
          <w:rPr>
            <w:color w:val="000000"/>
          </w:rPr>
          <w:t xml:space="preserve">Incorporeal and immaterial</w:t>
        </w:r>
      </w:hyperlink>
      <w:r>
        <w:rPr>
          <w:b w:val="0"/>
          <w:i w:val="0"/>
        </w:rPr>
        <w:t>.</w:t>
      </w:r>
    </w:p>
    <w:p>
      <w:pPr>
        <w:keepNext/>
        <w:widowControl/>
      </w:pPr>
      <w:bookmarkStart w:id="783" w:name="latin-record-0532"/>
      <w:bookmarkEnd w:id="783"/>
      <w:r>
        <w:rPr>
          <w:b/>
          <w:i w:val="0"/>
        </w:rPr>
        <w:t>immo / potius / minime</w:t>
      </w:r>
      <w:r>
        <w:rPr>
          <w:b/>
          <w:i w:val="0"/>
        </w:rPr>
        <w:t>.</w:t>
      </w:r>
      <w:r>
        <w:rPr>
          <w:b w:val="0"/>
          <w:i w:val="0"/>
        </w:rPr>
        <w:t xml:space="preserve"> Printed forms: </w:t>
      </w:r>
      <w:r>
        <w:rPr>
          <w:b w:val="0"/>
          <w:i/>
        </w:rPr>
        <w:t>immo</w:t>
      </w:r>
      <w:r>
        <w:rPr>
          <w:b w:val="0"/>
          <w:i w:val="0"/>
        </w:rPr>
        <w:t xml:space="preserve">; </w:t>
      </w:r>
      <w:r>
        <w:rPr>
          <w:b w:val="0"/>
          <w:i/>
        </w:rPr>
        <w:t>Minime</w:t>
      </w:r>
      <w:r>
        <w:rPr>
          <w:b w:val="0"/>
          <w:i w:val="0"/>
        </w:rPr>
        <w:t>.</w:t>
      </w:r>
    </w:p>
    <w:p>
      <w:pPr>
        <w:widowControl/>
      </w:pPr>
      <w:r>
        <w:rPr>
          <w:b w:val="0"/>
          <w:i w:val="0"/>
        </w:rPr>
        <w:t xml:space="preserve">Rather, indeed, or by no means. These words sharpen a correction or rejection: the text revises bare-nature language and denies that soul fills body like a divided quality. References: </w:t>
      </w:r>
      <w:hyperlink w:anchor="passage-ii-11-12">
        <w:r>
          <w:rPr>
            <w:color w:val="000000"/>
          </w:rPr>
          <w:t xml:space="preserve">II.11.12</w:t>
        </w:r>
      </w:hyperlink>
      <w:r>
        <w:rPr>
          <w:b w:val="0"/>
          <w:i w:val="0"/>
        </w:rPr>
        <w:t xml:space="preserve">, </w:t>
      </w:r>
      <w:hyperlink w:anchor="passage-iii-2-10">
        <w:r>
          <w:rPr>
            <w:color w:val="000000"/>
          </w:rPr>
          <w:t xml:space="preserve">III.2.10</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784" w:name="latin-record-0533"/>
      <w:bookmarkEnd w:id="784"/>
      <w:r>
        <w:rPr>
          <w:b/>
          <w:i w:val="0"/>
        </w:rPr>
        <w:t>immutabilis / immobilis</w:t>
      </w:r>
      <w:r>
        <w:rPr>
          <w:b/>
          <w:i w:val="0"/>
        </w:rPr>
        <w:t>.</w:t>
      </w:r>
      <w:r>
        <w:rPr>
          <w:b w:val="0"/>
          <w:i w:val="0"/>
        </w:rPr>
        <w:t xml:space="preserve"> Printed forms: </w:t>
      </w:r>
      <w:r>
        <w:rPr>
          <w:b w:val="0"/>
          <w:i/>
        </w:rPr>
        <w:t>immobile</w:t>
      </w:r>
      <w:r>
        <w:rPr>
          <w:b w:val="0"/>
          <w:i w:val="0"/>
        </w:rPr>
        <w:t xml:space="preserve">; </w:t>
      </w:r>
      <w:r>
        <w:rPr>
          <w:b w:val="0"/>
          <w:i/>
        </w:rPr>
        <w:t>immobilis</w:t>
      </w:r>
      <w:r>
        <w:rPr>
          <w:b w:val="0"/>
          <w:i w:val="0"/>
        </w:rPr>
        <w:t xml:space="preserve">; </w:t>
      </w:r>
      <w:r>
        <w:rPr>
          <w:b w:val="0"/>
          <w:i/>
        </w:rPr>
        <w:t>immutabilis</w:t>
      </w:r>
      <w:r>
        <w:rPr>
          <w:b w:val="0"/>
          <w:i w:val="0"/>
        </w:rPr>
        <w:t>.</w:t>
      </w:r>
    </w:p>
    <w:p>
      <w:pPr>
        <w:widowControl/>
      </w:pPr>
      <w:r>
        <w:rPr>
          <w:b w:val="0"/>
          <w:i w:val="0"/>
        </w:rPr>
        <w:t xml:space="preserve">Unchangeable / unmoving or stable. Divine immobility is underived, angelic immobility received; the reported empyrean classification is a further attributed application. References: </w:t>
      </w:r>
      <w:hyperlink w:anchor="passage-iii-1-6">
        <w:r>
          <w:rPr>
            <w:color w:val="000000"/>
          </w:rPr>
          <w:t xml:space="preserve">III.1.6</w:t>
        </w:r>
      </w:hyperlink>
      <w:r>
        <w:rPr>
          <w:b w:val="0"/>
          <w:i w:val="0"/>
        </w:rPr>
        <w:t xml:space="preserve">, </w:t>
      </w:r>
      <w:hyperlink w:anchor="passage-iii-1-7">
        <w:r>
          <w:rPr>
            <w:color w:val="000000"/>
          </w:rPr>
          <w:t xml:space="preserve">III.1.7</w:t>
        </w:r>
      </w:hyperlink>
      <w:r>
        <w:rPr>
          <w:b w:val="0"/>
          <w:i w:val="0"/>
        </w:rPr>
        <w:t xml:space="preserve">, </w:t>
      </w:r>
      <w:hyperlink w:anchor="passage-iii-2-4">
        <w:r>
          <w:rPr>
            <w:color w:val="000000"/>
          </w:rPr>
          <w:t xml:space="preserve">III.2.4</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785" w:name="latin-record-0534"/>
      <w:bookmarkEnd w:id="785"/>
      <w:r>
        <w:rPr>
          <w:b/>
          <w:i w:val="0"/>
        </w:rPr>
        <w:t>impedimentum / impedio</w:t>
      </w:r>
      <w:r>
        <w:rPr>
          <w:b/>
          <w:i w:val="0"/>
        </w:rPr>
        <w:t>.</w:t>
      </w:r>
      <w:r>
        <w:rPr>
          <w:b w:val="0"/>
          <w:i w:val="0"/>
        </w:rPr>
        <w:t xml:space="preserve"> Printed forms: </w:t>
      </w:r>
      <w:r>
        <w:rPr>
          <w:b w:val="0"/>
          <w:i/>
        </w:rPr>
        <w:t>impedimento</w:t>
      </w:r>
      <w:r>
        <w:rPr>
          <w:b w:val="0"/>
          <w:i w:val="0"/>
        </w:rPr>
        <w:t xml:space="preserve">; </w:t>
      </w:r>
      <w:r>
        <w:rPr>
          <w:b w:val="0"/>
          <w:i/>
        </w:rPr>
        <w:t>impedit</w:t>
      </w:r>
      <w:r>
        <w:rPr>
          <w:b w:val="0"/>
          <w:i w:val="0"/>
        </w:rPr>
        <w:t xml:space="preserve">; </w:t>
      </w:r>
      <w:r>
        <w:rPr>
          <w:b w:val="0"/>
          <w:i/>
        </w:rPr>
        <w:t>impedita</w:t>
      </w:r>
      <w:r>
        <w:rPr>
          <w:b w:val="0"/>
          <w:i w:val="0"/>
        </w:rPr>
        <w:t>.</w:t>
      </w:r>
    </w:p>
    <w:p>
      <w:pPr>
        <w:widowControl/>
      </w:pPr>
      <w:r>
        <w:rPr>
          <w:b w:val="0"/>
          <w:i w:val="0"/>
        </w:rPr>
        <w:t xml:space="preserve">An obstacle and to hinder. Bulk obstructs perfect action; bodily bonds also hinder the mind’s ascent. The contexts distinguish physical obstruction from the analogy for intellectual limitation. References: </w:t>
      </w:r>
      <w:hyperlink w:anchor="passage-i-2-2">
        <w:r>
          <w:rPr>
            <w:color w:val="000000"/>
          </w:rPr>
          <w:t xml:space="preserve">I.2.2</w:t>
        </w:r>
      </w:hyperlink>
      <w:r>
        <w:rPr>
          <w:b w:val="0"/>
          <w:i w:val="0"/>
        </w:rPr>
        <w:t xml:space="preserve">, </w:t>
      </w:r>
      <w:hyperlink w:anchor="passage-i-3-13">
        <w:r>
          <w:rPr>
            <w:color w:val="000000"/>
          </w:rPr>
          <w:t xml:space="preserve">I.3.13</w:t>
        </w:r>
      </w:hyperlink>
      <w:r>
        <w:rPr>
          <w:b w:val="0"/>
          <w:i w:val="0"/>
        </w:rPr>
        <w:t xml:space="preserve">. See </w:t>
      </w:r>
      <w:hyperlink w:anchor="body-and-bulk">
        <w:r>
          <w:rPr>
            <w:color w:val="000000"/>
          </w:rPr>
          <w:t xml:space="preserve">Body and bulk</w:t>
        </w:r>
      </w:hyperlink>
      <w:r>
        <w:rPr>
          <w:b w:val="0"/>
          <w:i w:val="0"/>
        </w:rPr>
        <w:t>.</w:t>
      </w:r>
    </w:p>
    <w:p>
      <w:pPr>
        <w:keepNext/>
        <w:widowControl/>
      </w:pPr>
      <w:bookmarkStart w:id="786" w:name="latin-record-0535"/>
      <w:bookmarkEnd w:id="786"/>
      <w:r>
        <w:rPr>
          <w:b/>
          <w:i w:val="0"/>
        </w:rPr>
        <w:t>impedire / obesse</w:t>
      </w:r>
      <w:r>
        <w:rPr>
          <w:b/>
          <w:i w:val="0"/>
        </w:rPr>
        <w:t>.</w:t>
      </w:r>
      <w:r>
        <w:rPr>
          <w:b w:val="0"/>
          <w:i w:val="0"/>
        </w:rPr>
        <w:t xml:space="preserve"> Printed forms: </w:t>
      </w:r>
      <w:r>
        <w:rPr>
          <w:b w:val="0"/>
          <w:i/>
        </w:rPr>
        <w:t>impediat</w:t>
      </w:r>
      <w:r>
        <w:rPr>
          <w:b w:val="0"/>
          <w:i w:val="0"/>
        </w:rPr>
        <w:t xml:space="preserve">; </w:t>
      </w:r>
      <w:r>
        <w:rPr>
          <w:b w:val="0"/>
          <w:i/>
        </w:rPr>
        <w:t>impedit</w:t>
      </w:r>
      <w:r>
        <w:rPr>
          <w:b w:val="0"/>
          <w:i w:val="0"/>
        </w:rPr>
        <w:t xml:space="preserve">; </w:t>
      </w:r>
      <w:r>
        <w:rPr>
          <w:b w:val="0"/>
          <w:i/>
        </w:rPr>
        <w:t>obstat</w:t>
      </w:r>
      <w:r>
        <w:rPr>
          <w:b w:val="0"/>
          <w:i w:val="0"/>
        </w:rPr>
        <w:t>.</w:t>
      </w:r>
    </w:p>
    <w:p>
      <w:pPr>
        <w:widowControl/>
      </w:pPr>
      <w:r>
        <w:rPr>
          <w:b w:val="0"/>
          <w:i w:val="0"/>
        </w:rPr>
        <w:t xml:space="preserve">To impede; stand in the way. The transparent medium does not obstruct light, and an interrogative asks what prevents higher circular causes from giving heaven a circuit. References: </w:t>
      </w:r>
      <w:hyperlink w:anchor="passage-iv-1-29">
        <w:r>
          <w:rPr>
            <w:color w:val="000000"/>
          </w:rPr>
          <w:t xml:space="preserve">IV.1.29</w:t>
        </w:r>
      </w:hyperlink>
      <w:r>
        <w:rPr>
          <w:b w:val="0"/>
          <w:i w:val="0"/>
        </w:rPr>
        <w:t xml:space="preserve">, </w:t>
      </w:r>
      <w:hyperlink w:anchor="passage-iv-2-21">
        <w:r>
          <w:rPr>
            <w:color w:val="000000"/>
          </w:rPr>
          <w:t xml:space="preserve">IV.2.21</w:t>
        </w:r>
      </w:hyperlink>
      <w:r>
        <w:rPr>
          <w:b w:val="0"/>
          <w:i w:val="0"/>
        </w:rPr>
        <w:t xml:space="preserve">. See </w:t>
      </w:r>
      <w:hyperlink w:anchor="transparency-and-opacity">
        <w:r>
          <w:rPr>
            <w:color w:val="000000"/>
          </w:rPr>
          <w:t xml:space="preserve">Transparency and opacity</w:t>
        </w:r>
      </w:hyperlink>
      <w:r>
        <w:rPr>
          <w:b w:val="0"/>
          <w:i w:val="0"/>
        </w:rPr>
        <w:t>.</w:t>
      </w:r>
    </w:p>
    <w:p>
      <w:pPr>
        <w:keepNext/>
        <w:widowControl/>
      </w:pPr>
      <w:bookmarkStart w:id="787" w:name="latin-record-0536"/>
      <w:bookmarkEnd w:id="787"/>
      <w:r>
        <w:rPr>
          <w:b/>
          <w:i w:val="0"/>
        </w:rPr>
        <w:t>impedire / purgare</w:t>
      </w:r>
      <w:r>
        <w:rPr>
          <w:b/>
          <w:i w:val="0"/>
        </w:rPr>
        <w:t>.</w:t>
      </w:r>
      <w:r>
        <w:rPr>
          <w:b w:val="0"/>
          <w:i w:val="0"/>
        </w:rPr>
        <w:t xml:space="preserve"> Printed forms: </w:t>
      </w:r>
      <w:r>
        <w:rPr>
          <w:b w:val="0"/>
          <w:i/>
        </w:rPr>
        <w:t>impeditur</w:t>
      </w:r>
      <w:r>
        <w:rPr>
          <w:b w:val="0"/>
          <w:i w:val="0"/>
        </w:rPr>
        <w:t xml:space="preserve">; </w:t>
      </w:r>
      <w:r>
        <w:rPr>
          <w:b w:val="0"/>
          <w:i/>
        </w:rPr>
        <w:t>purgetur</w:t>
      </w:r>
      <w:r>
        <w:rPr>
          <w:b w:val="0"/>
          <w:i w:val="0"/>
        </w:rPr>
        <w:t>.</w:t>
      </w:r>
    </w:p>
    <w:p>
      <w:pPr>
        <w:widowControl/>
      </w:pPr>
      <w:r>
        <w:rPr>
          <w:b w:val="0"/>
          <w:i w:val="0"/>
        </w:rPr>
        <w:t xml:space="preserve">To hinder, and to cleanse or remove an impediment. Mixed heat could become stronger if purified, so the mixed state cannot count as unqualified supreme heat. References: </w:t>
      </w:r>
      <w:hyperlink w:anchor="passage-ii-2-6">
        <w:r>
          <w:rPr>
            <w:color w:val="000000"/>
          </w:rPr>
          <w:t xml:space="preserve">II.2.6</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788" w:name="latin-record-0537"/>
      <w:bookmarkEnd w:id="788"/>
      <w:r>
        <w:rPr>
          <w:b/>
          <w:i w:val="0"/>
        </w:rPr>
        <w:t>impellere / inferre</w:t>
      </w:r>
      <w:r>
        <w:rPr>
          <w:b/>
          <w:i w:val="0"/>
        </w:rPr>
        <w:t>.</w:t>
      </w:r>
      <w:r>
        <w:rPr>
          <w:b w:val="0"/>
          <w:i w:val="0"/>
        </w:rPr>
        <w:t xml:space="preserve"> Printed forms: </w:t>
      </w:r>
      <w:r>
        <w:rPr>
          <w:b w:val="0"/>
          <w:i/>
        </w:rPr>
        <w:t>impellit</w:t>
      </w:r>
      <w:r>
        <w:rPr>
          <w:b w:val="0"/>
          <w:i w:val="0"/>
        </w:rPr>
        <w:t xml:space="preserve">; </w:t>
      </w:r>
      <w:r>
        <w:rPr>
          <w:b w:val="0"/>
          <w:i/>
        </w:rPr>
        <w:t>infert</w:t>
      </w:r>
      <w:r>
        <w:rPr>
          <w:b w:val="0"/>
          <w:i w:val="0"/>
        </w:rPr>
        <w:t>.</w:t>
      </w:r>
    </w:p>
    <w:p>
      <w:pPr>
        <w:widowControl/>
      </w:pPr>
      <w:r>
        <w:rPr>
          <w:b w:val="0"/>
          <w:i w:val="0"/>
        </w:rPr>
        <w:t xml:space="preserve">To impel or introduce into something. Imagination urges a mistaken identification with time, while nature imparts motion to its products. References: </w:t>
      </w:r>
      <w:hyperlink w:anchor="passage-ii-5-3">
        <w:r>
          <w:rPr>
            <w:color w:val="000000"/>
          </w:rPr>
          <w:t xml:space="preserve">II.5.3</w:t>
        </w:r>
      </w:hyperlink>
      <w:r>
        <w:rPr>
          <w:b w:val="0"/>
          <w:i w:val="0"/>
        </w:rPr>
        <w:t xml:space="preserve">, </w:t>
      </w:r>
      <w:hyperlink w:anchor="passage-ii-7-17">
        <w:r>
          <w:rPr>
            <w:color w:val="000000"/>
          </w:rPr>
          <w:t xml:space="preserve">II.7.17</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789" w:name="latin-record-0538"/>
      <w:bookmarkEnd w:id="789"/>
      <w:r>
        <w:rPr>
          <w:b/>
          <w:i w:val="0"/>
        </w:rPr>
        <w:t>imperium</w:t>
      </w:r>
      <w:r>
        <w:rPr>
          <w:b/>
          <w:i w:val="0"/>
        </w:rPr>
        <w:t>.</w:t>
      </w:r>
      <w:r>
        <w:rPr>
          <w:b w:val="0"/>
          <w:i w:val="0"/>
        </w:rPr>
        <w:t xml:space="preserve"> Printed forms: </w:t>
      </w:r>
      <w:r>
        <w:rPr>
          <w:b w:val="0"/>
          <w:i/>
        </w:rPr>
        <w:t>imperii</w:t>
      </w:r>
      <w:r>
        <w:rPr>
          <w:b w:val="0"/>
          <w:i w:val="0"/>
        </w:rPr>
        <w:t xml:space="preserve">; </w:t>
      </w:r>
      <w:r>
        <w:rPr>
          <w:b w:val="0"/>
          <w:i/>
        </w:rPr>
        <w:t>imperio</w:t>
      </w:r>
      <w:r>
        <w:rPr>
          <w:b w:val="0"/>
          <w:i w:val="0"/>
        </w:rPr>
        <w:t xml:space="preserve">; </w:t>
      </w:r>
      <w:r>
        <w:rPr>
          <w:b w:val="0"/>
          <w:i/>
        </w:rPr>
        <w:t>imperium</w:t>
      </w:r>
      <w:r>
        <w:rPr>
          <w:b w:val="0"/>
          <w:i w:val="0"/>
        </w:rPr>
        <w:t>.</w:t>
      </w:r>
    </w:p>
    <w:p>
      <w:pPr>
        <w:widowControl/>
      </w:pPr>
      <w:r>
        <w:rPr>
          <w:b w:val="0"/>
          <w:i w:val="0"/>
        </w:rPr>
        <w:t xml:space="preserve">Dominion or range of rule. Truth’s dominion exceeds mind’s because even formless matter truly is matter; the metaphor concerns explanatory reach. References: </w:t>
      </w:r>
      <w:hyperlink w:anchor="passage-i-6-11">
        <w:r>
          <w:rPr>
            <w:color w:val="000000"/>
          </w:rPr>
          <w:t xml:space="preserve">I.6.11</w:t>
        </w:r>
      </w:hyperlink>
      <w:r>
        <w:rPr>
          <w:b w:val="0"/>
          <w:i w:val="0"/>
        </w:rPr>
        <w:t xml:space="preserve">. See </w:t>
      </w:r>
      <w:hyperlink w:anchor="governing-serving-and-dominion">
        <w:r>
          <w:rPr>
            <w:color w:val="000000"/>
          </w:rPr>
          <w:t xml:space="preserve">Governing, serving and dominion</w:t>
        </w:r>
      </w:hyperlink>
      <w:r>
        <w:rPr>
          <w:b w:val="0"/>
          <w:i w:val="0"/>
        </w:rPr>
        <w:t>.</w:t>
      </w:r>
    </w:p>
    <w:p>
      <w:pPr>
        <w:widowControl/>
      </w:pPr>
      <w:r>
        <w:rPr>
          <w:b w:val="0"/>
          <w:i w:val="0"/>
        </w:rPr>
        <w:t xml:space="preserve">Dominion or scope of rule and action. Supremacy is treated as desirable good; inferior causes have a narrower domain of efficacy. References: </w:t>
      </w:r>
      <w:hyperlink w:anchor="passage-ii-1-5">
        <w:r>
          <w:rPr>
            <w:color w:val="000000"/>
          </w:rPr>
          <w:t xml:space="preserve">II.1.5</w:t>
        </w:r>
      </w:hyperlink>
      <w:r>
        <w:rPr>
          <w:b w:val="0"/>
          <w:i w:val="0"/>
        </w:rPr>
        <w:t xml:space="preserve">, </w:t>
      </w:r>
      <w:hyperlink w:anchor="passage-ii-7-30">
        <w:r>
          <w:rPr>
            <w:color w:val="000000"/>
          </w:rPr>
          <w:t xml:space="preserve">II.7.30</w:t>
        </w:r>
      </w:hyperlink>
      <w:r>
        <w:rPr>
          <w:b w:val="0"/>
          <w:i w:val="0"/>
        </w:rPr>
        <w:t xml:space="preserve">. See </w:t>
      </w:r>
      <w:hyperlink w:anchor="surpassing-and-comparison">
        <w:r>
          <w:rPr>
            <w:color w:val="000000"/>
          </w:rPr>
          <w:t xml:space="preserve">Surpassing and comparison</w:t>
        </w:r>
      </w:hyperlink>
      <w:r>
        <w:rPr>
          <w:b w:val="0"/>
          <w:i w:val="0"/>
        </w:rPr>
        <w:t>.</w:t>
      </w:r>
    </w:p>
    <w:p>
      <w:pPr>
        <w:widowControl/>
      </w:pPr>
      <w:r>
        <w:rPr>
          <w:b w:val="0"/>
          <w:i w:val="0"/>
        </w:rPr>
        <w:t xml:space="preserve">Command or effective rule. The chapter opens by placing production under will’s command, then asks how that will can be free and necessary together. References: </w:t>
      </w:r>
      <w:hyperlink w:anchor="passage-ii-12-1">
        <w:r>
          <w:rPr>
            <w:color w:val="000000"/>
          </w:rPr>
          <w:t xml:space="preserve">II.12.1</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790" w:name="latin-record-0539"/>
      <w:bookmarkEnd w:id="790"/>
      <w:r>
        <w:rPr>
          <w:b/>
          <w:i w:val="0"/>
        </w:rPr>
        <w:t>impero / domina</w:t>
      </w:r>
      <w:r>
        <w:rPr>
          <w:b/>
          <w:i w:val="0"/>
        </w:rPr>
        <w:t>.</w:t>
      </w:r>
      <w:r>
        <w:rPr>
          <w:b w:val="0"/>
          <w:i w:val="0"/>
        </w:rPr>
        <w:t xml:space="preserve"> Printed forms: </w:t>
      </w:r>
      <w:r>
        <w:rPr>
          <w:b w:val="0"/>
          <w:i/>
        </w:rPr>
        <w:t>dominam</w:t>
      </w:r>
      <w:r>
        <w:rPr>
          <w:b w:val="0"/>
          <w:i w:val="0"/>
        </w:rPr>
        <w:t xml:space="preserve">; </w:t>
      </w:r>
      <w:r>
        <w:rPr>
          <w:b w:val="0"/>
          <w:i/>
        </w:rPr>
        <w:t>imperat</w:t>
      </w:r>
      <w:r>
        <w:rPr>
          <w:b w:val="0"/>
          <w:i w:val="0"/>
        </w:rPr>
        <w:t>.</w:t>
      </w:r>
    </w:p>
    <w:p>
      <w:pPr>
        <w:widowControl/>
      </w:pPr>
      <w:r>
        <w:rPr>
          <w:b w:val="0"/>
          <w:i w:val="0"/>
        </w:rPr>
        <w:t xml:space="preserve">To command and to be mistress of. The human mind does not by its act alone command effective psychic power; a superior mind is therefore proposed as efficacious in its own act. References: </w:t>
      </w:r>
      <w:hyperlink w:anchor="passage-i-5-13">
        <w:r>
          <w:rPr>
            <w:color w:val="000000"/>
          </w:rPr>
          <w:t xml:space="preserve">I.5.13</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791" w:name="latin-record-0540"/>
      <w:bookmarkEnd w:id="791"/>
      <w:r>
        <w:rPr>
          <w:b/>
          <w:i w:val="0"/>
        </w:rPr>
        <w:t>impertire / impartire / largiri</w:t>
      </w:r>
      <w:r>
        <w:rPr>
          <w:b/>
          <w:i w:val="0"/>
        </w:rPr>
        <w:t>.</w:t>
      </w:r>
      <w:r>
        <w:rPr>
          <w:b w:val="0"/>
          <w:i w:val="0"/>
        </w:rPr>
        <w:t xml:space="preserve"> Printed forms: </w:t>
      </w:r>
      <w:r>
        <w:rPr>
          <w:b w:val="0"/>
          <w:i/>
        </w:rPr>
        <w:t>impartit</w:t>
      </w:r>
      <w:r>
        <w:rPr>
          <w:b w:val="0"/>
          <w:i w:val="0"/>
        </w:rPr>
        <w:t xml:space="preserve">; </w:t>
      </w:r>
      <w:r>
        <w:rPr>
          <w:b w:val="0"/>
          <w:i/>
        </w:rPr>
        <w:t>impertiet</w:t>
      </w:r>
      <w:r>
        <w:rPr>
          <w:b w:val="0"/>
          <w:i w:val="0"/>
        </w:rPr>
        <w:t xml:space="preserve">; </w:t>
      </w:r>
      <w:r>
        <w:rPr>
          <w:b w:val="0"/>
          <w:i/>
        </w:rPr>
        <w:t>impertit</w:t>
      </w:r>
      <w:r>
        <w:rPr>
          <w:b w:val="0"/>
          <w:i w:val="0"/>
        </w:rPr>
        <w:t xml:space="preserve">; </w:t>
      </w:r>
      <w:r>
        <w:rPr>
          <w:b w:val="0"/>
          <w:i/>
        </w:rPr>
        <w:t>largietur</w:t>
      </w:r>
      <w:r>
        <w:rPr>
          <w:b w:val="0"/>
          <w:i w:val="0"/>
        </w:rPr>
        <w:t xml:space="preserve">; </w:t>
      </w:r>
      <w:r>
        <w:rPr>
          <w:b w:val="0"/>
          <w:i/>
        </w:rPr>
        <w:t>Largitur</w:t>
      </w:r>
      <w:r>
        <w:rPr>
          <w:b w:val="0"/>
          <w:i w:val="0"/>
        </w:rPr>
        <w:t xml:space="preserve">; </w:t>
      </w:r>
      <w:r>
        <w:rPr>
          <w:b w:val="0"/>
          <w:i/>
        </w:rPr>
        <w:t>largitur</w:t>
      </w:r>
      <w:r>
        <w:rPr>
          <w:b w:val="0"/>
          <w:i w:val="0"/>
        </w:rPr>
        <w:t>.</w:t>
      </w:r>
    </w:p>
    <w:p>
      <w:pPr>
        <w:widowControl/>
      </w:pPr>
      <w:r>
        <w:rPr>
          <w:b w:val="0"/>
          <w:i w:val="0"/>
        </w:rPr>
        <w:t xml:space="preserve">To impart or bestow a share generously. The repeated gifts to angel distinguish being, power, and activity while preserving one causal dependence. References: </w:t>
      </w:r>
      <w:hyperlink w:anchor="passage-ii-1-5">
        <w:r>
          <w:rPr>
            <w:color w:val="000000"/>
          </w:rPr>
          <w:t xml:space="preserve">II.1.5</w:t>
        </w:r>
      </w:hyperlink>
      <w:r>
        <w:rPr>
          <w:b w:val="0"/>
          <w:i w:val="0"/>
        </w:rPr>
        <w:t xml:space="preserve">, </w:t>
      </w:r>
      <w:hyperlink w:anchor="passage-ii-3-9">
        <w:r>
          <w:rPr>
            <w:color w:val="000000"/>
          </w:rPr>
          <w:t xml:space="preserve">II.3.9</w:t>
        </w:r>
      </w:hyperlink>
      <w:r>
        <w:rPr>
          <w:b w:val="0"/>
          <w:i w:val="0"/>
        </w:rPr>
        <w:t xml:space="preserve">, </w:t>
      </w:r>
      <w:hyperlink w:anchor="passage-ii-7-4">
        <w:r>
          <w:rPr>
            <w:color w:val="000000"/>
          </w:rPr>
          <w:t xml:space="preserve">II.7.4</w:t>
        </w:r>
      </w:hyperlink>
      <w:r>
        <w:rPr>
          <w:b w:val="0"/>
          <w:i w:val="0"/>
        </w:rPr>
        <w:t xml:space="preserve">, </w:t>
      </w:r>
      <w:hyperlink w:anchor="passage-ii-7-23">
        <w:r>
          <w:rPr>
            <w:color w:val="000000"/>
          </w:rPr>
          <w:t xml:space="preserve">II.7.23</w:t>
        </w:r>
      </w:hyperlink>
      <w:r>
        <w:rPr>
          <w:b w:val="0"/>
          <w:i w:val="0"/>
        </w:rPr>
        <w:t xml:space="preserve">. See </w:t>
      </w:r>
      <w:hyperlink w:anchor="communication-and-imparting">
        <w:r>
          <w:rPr>
            <w:color w:val="000000"/>
          </w:rPr>
          <w:t xml:space="preserve">Communication and imparting</w:t>
        </w:r>
      </w:hyperlink>
      <w:r>
        <w:rPr>
          <w:b w:val="0"/>
          <w:i w:val="0"/>
        </w:rPr>
        <w:t>.</w:t>
      </w:r>
    </w:p>
    <w:p>
      <w:pPr>
        <w:keepNext/>
        <w:widowControl/>
      </w:pPr>
      <w:bookmarkStart w:id="792" w:name="latin-record-0541"/>
      <w:bookmarkEnd w:id="792"/>
      <w:r>
        <w:rPr>
          <w:b/>
          <w:i w:val="0"/>
        </w:rPr>
        <w:t>impetus</w:t>
      </w:r>
      <w:r>
        <w:rPr>
          <w:b/>
          <w:i w:val="0"/>
        </w:rPr>
        <w:t>.</w:t>
      </w:r>
      <w:r>
        <w:rPr>
          <w:b w:val="0"/>
          <w:i w:val="0"/>
        </w:rPr>
        <w:t xml:space="preserve"> Printed forms: </w:t>
      </w:r>
      <w:r>
        <w:rPr>
          <w:b w:val="0"/>
          <w:i/>
        </w:rPr>
        <w:t>impetu</w:t>
      </w:r>
      <w:r>
        <w:rPr>
          <w:b w:val="0"/>
          <w:i w:val="0"/>
        </w:rPr>
        <w:t>.</w:t>
      </w:r>
    </w:p>
    <w:p>
      <w:pPr>
        <w:widowControl/>
      </w:pPr>
      <w:r>
        <w:rPr>
          <w:b w:val="0"/>
          <w:i w:val="0"/>
        </w:rPr>
        <w:t xml:space="preserve">Impetus or force of directed activity. Nature acts with its whole impetus, so differences of heat require differing recipients rather than decisions made by fire. References: </w:t>
      </w:r>
      <w:hyperlink w:anchor="passage-ii-11-8">
        <w:r>
          <w:rPr>
            <w:color w:val="000000"/>
          </w:rPr>
          <w:t xml:space="preserve">II.11.8</w:t>
        </w:r>
      </w:hyperlink>
      <w:r>
        <w:rPr>
          <w:b w:val="0"/>
          <w:i w:val="0"/>
        </w:rPr>
        <w:t xml:space="preserve">. See </w:t>
      </w:r>
      <w:hyperlink w:anchor="fire-and-variable-materials">
        <w:r>
          <w:rPr>
            <w:color w:val="000000"/>
          </w:rPr>
          <w:t xml:space="preserve">Fire and variable materials</w:t>
        </w:r>
      </w:hyperlink>
      <w:r>
        <w:rPr>
          <w:b w:val="0"/>
          <w:i w:val="0"/>
        </w:rPr>
        <w:t>.</w:t>
      </w:r>
    </w:p>
    <w:p>
      <w:pPr>
        <w:keepNext/>
        <w:widowControl/>
      </w:pPr>
      <w:bookmarkStart w:id="793" w:name="latin-record-0542"/>
      <w:bookmarkEnd w:id="793"/>
      <w:r>
        <w:rPr>
          <w:b/>
          <w:i w:val="0"/>
        </w:rPr>
        <w:t>impleo / prohibeo</w:t>
      </w:r>
      <w:r>
        <w:rPr>
          <w:b/>
          <w:i w:val="0"/>
        </w:rPr>
        <w:t>.</w:t>
      </w:r>
      <w:r>
        <w:rPr>
          <w:b w:val="0"/>
          <w:i w:val="0"/>
        </w:rPr>
        <w:t xml:space="preserve"> Printed forms: </w:t>
      </w:r>
      <w:r>
        <w:rPr>
          <w:b w:val="0"/>
          <w:i/>
        </w:rPr>
        <w:t>impleat</w:t>
      </w:r>
      <w:r>
        <w:rPr>
          <w:b w:val="0"/>
          <w:i w:val="0"/>
        </w:rPr>
        <w:t xml:space="preserve">; </w:t>
      </w:r>
      <w:r>
        <w:rPr>
          <w:b w:val="0"/>
          <w:i/>
        </w:rPr>
        <w:t>prohibent</w:t>
      </w:r>
      <w:r>
        <w:rPr>
          <w:b w:val="0"/>
          <w:i w:val="0"/>
        </w:rPr>
        <w:t>.</w:t>
      </w:r>
    </w:p>
    <w:p>
      <w:pPr>
        <w:widowControl/>
      </w:pPr>
      <w:r>
        <w:rPr>
          <w:b w:val="0"/>
          <w:i w:val="0"/>
        </w:rPr>
        <w:t xml:space="preserve">To fill and to prevent. Bodily occupation of place and resistance to penetration constrain the perfect-action model; the verbs name concrete obstacles rather than metaphysical nonexistence. References: </w:t>
      </w:r>
      <w:hyperlink w:anchor="passage-i-2-2">
        <w:r>
          <w:rPr>
            <w:color w:val="000000"/>
          </w:rPr>
          <w:t xml:space="preserve">I.2.2</w:t>
        </w:r>
      </w:hyperlink>
      <w:r>
        <w:rPr>
          <w:b w:val="0"/>
          <w:i w:val="0"/>
        </w:rPr>
        <w:t xml:space="preserve">. See </w:t>
      </w:r>
      <w:hyperlink w:anchor="body-and-bulk">
        <w:r>
          <w:rPr>
            <w:color w:val="000000"/>
          </w:rPr>
          <w:t xml:space="preserve">Body and bulk</w:t>
        </w:r>
      </w:hyperlink>
      <w:r>
        <w:rPr>
          <w:b w:val="0"/>
          <w:i w:val="0"/>
        </w:rPr>
        <w:t>.</w:t>
      </w:r>
    </w:p>
    <w:p>
      <w:pPr>
        <w:keepNext/>
        <w:widowControl/>
      </w:pPr>
      <w:bookmarkStart w:id="794" w:name="latin-record-0543"/>
      <w:bookmarkEnd w:id="794"/>
      <w:r>
        <w:rPr>
          <w:b/>
          <w:i w:val="0"/>
        </w:rPr>
        <w:t>implicare / explicare / replicare</w:t>
      </w:r>
      <w:r>
        <w:rPr>
          <w:b/>
          <w:i w:val="0"/>
        </w:rPr>
        <w:t>.</w:t>
      </w:r>
      <w:r>
        <w:rPr>
          <w:b w:val="0"/>
          <w:i w:val="0"/>
        </w:rPr>
        <w:t xml:space="preserve"> Printed forms: </w:t>
      </w:r>
      <w:r>
        <w:rPr>
          <w:b w:val="0"/>
          <w:i/>
        </w:rPr>
        <w:t>explicat</w:t>
      </w:r>
      <w:r>
        <w:rPr>
          <w:b w:val="0"/>
          <w:i w:val="0"/>
        </w:rPr>
        <w:t xml:space="preserve">; </w:t>
      </w:r>
      <w:r>
        <w:rPr>
          <w:b w:val="0"/>
          <w:i/>
        </w:rPr>
        <w:t>explicatur</w:t>
      </w:r>
      <w:r>
        <w:rPr>
          <w:b w:val="0"/>
          <w:i w:val="0"/>
        </w:rPr>
        <w:t xml:space="preserve">; </w:t>
      </w:r>
      <w:r>
        <w:rPr>
          <w:b w:val="0"/>
          <w:i/>
        </w:rPr>
        <w:t>implicat</w:t>
      </w:r>
      <w:r>
        <w:rPr>
          <w:b w:val="0"/>
          <w:i w:val="0"/>
        </w:rPr>
        <w:t xml:space="preserve">; </w:t>
      </w:r>
      <w:r>
        <w:rPr>
          <w:b w:val="0"/>
          <w:i/>
        </w:rPr>
        <w:t>replicatur</w:t>
      </w:r>
      <w:r>
        <w:rPr>
          <w:b w:val="0"/>
          <w:i w:val="0"/>
        </w:rPr>
        <w:t>.</w:t>
      </w:r>
    </w:p>
    <w:p>
      <w:pPr>
        <w:widowControl/>
      </w:pPr>
      <w:r>
        <w:rPr>
          <w:b w:val="0"/>
          <w:i w:val="0"/>
        </w:rPr>
        <w:t xml:space="preserve">To enfold, unfold, or fold back, used for unity and manifested plurality. The one principle enfolds and unfolds; whole presence within and without contrasts with divisible bodily magnitude. References: </w:t>
      </w:r>
      <w:hyperlink w:anchor="passage-ii-3-10">
        <w:r>
          <w:rPr>
            <w:color w:val="000000"/>
          </w:rPr>
          <w:t xml:space="preserve">II.3.10</w:t>
        </w:r>
      </w:hyperlink>
      <w:r>
        <w:rPr>
          <w:b w:val="0"/>
          <w:i w:val="0"/>
        </w:rPr>
        <w:t xml:space="preserve">, </w:t>
      </w:r>
      <w:hyperlink w:anchor="passage-ii-6-13">
        <w:r>
          <w:rPr>
            <w:color w:val="000000"/>
          </w:rPr>
          <w:t xml:space="preserve">II.6.13</w:t>
        </w:r>
      </w:hyperlink>
      <w:r>
        <w:rPr>
          <w:b w:val="0"/>
          <w:i w:val="0"/>
        </w:rPr>
        <w:t xml:space="preserve">. See </w:t>
      </w:r>
      <w:hyperlink w:anchor="enfolding-and-unfolding">
        <w:r>
          <w:rPr>
            <w:color w:val="000000"/>
          </w:rPr>
          <w:t xml:space="preserve">Enfolding and unfolding</w:t>
        </w:r>
      </w:hyperlink>
      <w:r>
        <w:rPr>
          <w:b w:val="0"/>
          <w:i w:val="0"/>
        </w:rPr>
        <w:t>.</w:t>
      </w:r>
    </w:p>
    <w:p>
      <w:pPr>
        <w:keepNext/>
        <w:widowControl/>
      </w:pPr>
      <w:bookmarkStart w:id="795" w:name="latin-record-0544"/>
      <w:bookmarkEnd w:id="795"/>
      <w:r>
        <w:rPr>
          <w:b/>
          <w:i w:val="0"/>
        </w:rPr>
        <w:t>imprimere / fundare / stabilire</w:t>
      </w:r>
      <w:r>
        <w:rPr>
          <w:b/>
          <w:i w:val="0"/>
        </w:rPr>
        <w:t>.</w:t>
      </w:r>
      <w:r>
        <w:rPr>
          <w:b w:val="0"/>
          <w:i w:val="0"/>
        </w:rPr>
        <w:t xml:space="preserve"> Printed forms: </w:t>
      </w:r>
      <w:r>
        <w:rPr>
          <w:b w:val="0"/>
          <w:i/>
        </w:rPr>
        <w:t>fundant</w:t>
      </w:r>
      <w:r>
        <w:rPr>
          <w:b w:val="0"/>
          <w:i w:val="0"/>
        </w:rPr>
        <w:t xml:space="preserve">; </w:t>
      </w:r>
      <w:r>
        <w:rPr>
          <w:b w:val="0"/>
          <w:i/>
        </w:rPr>
        <w:t>imprimatur</w:t>
      </w:r>
      <w:r>
        <w:rPr>
          <w:b w:val="0"/>
          <w:i w:val="0"/>
        </w:rPr>
        <w:t xml:space="preserve">; </w:t>
      </w:r>
      <w:r>
        <w:rPr>
          <w:b w:val="0"/>
          <w:i/>
        </w:rPr>
        <w:t>imprimitur</w:t>
      </w:r>
      <w:r>
        <w:rPr>
          <w:b w:val="0"/>
          <w:i w:val="0"/>
        </w:rPr>
        <w:t xml:space="preserve">; </w:t>
      </w:r>
      <w:r>
        <w:rPr>
          <w:b w:val="0"/>
          <w:i/>
        </w:rPr>
        <w:t>stabiliunt</w:t>
      </w:r>
      <w:r>
        <w:rPr>
          <w:b w:val="0"/>
          <w:i w:val="0"/>
        </w:rPr>
        <w:t>.</w:t>
      </w:r>
    </w:p>
    <w:p>
      <w:pPr>
        <w:widowControl/>
      </w:pPr>
      <w:r>
        <w:rPr>
          <w:b w:val="0"/>
          <w:i w:val="0"/>
        </w:rPr>
        <w:t xml:space="preserve">To impress, found, or establish firmly. The first cause’s trace supports other traces as its power and action support subordinate efficacy. References: </w:t>
      </w:r>
      <w:hyperlink w:anchor="passage-ii-7-32">
        <w:r>
          <w:rPr>
            <w:color w:val="000000"/>
          </w:rPr>
          <w:t xml:space="preserve">II.7.32</w:t>
        </w:r>
      </w:hyperlink>
      <w:r>
        <w:rPr>
          <w:b w:val="0"/>
          <w:i w:val="0"/>
        </w:rPr>
        <w:t xml:space="preserve">. See </w:t>
      </w:r>
      <w:hyperlink w:anchor="impression-and-effacement">
        <w:r>
          <w:rPr>
            <w:color w:val="000000"/>
          </w:rPr>
          <w:t xml:space="preserve">Impression and effacement</w:t>
        </w:r>
      </w:hyperlink>
      <w:r>
        <w:rPr>
          <w:b w:val="0"/>
          <w:i w:val="0"/>
        </w:rPr>
        <w:t>.</w:t>
      </w:r>
    </w:p>
    <w:p>
      <w:pPr>
        <w:keepNext/>
        <w:widowControl/>
      </w:pPr>
      <w:bookmarkStart w:id="796" w:name="latin-record-0545"/>
      <w:bookmarkEnd w:id="796"/>
      <w:r>
        <w:rPr>
          <w:b/>
          <w:i w:val="0"/>
        </w:rPr>
        <w:t>impulsus / incitamentum</w:t>
      </w:r>
      <w:r>
        <w:rPr>
          <w:b/>
          <w:i w:val="0"/>
        </w:rPr>
        <w:t>.</w:t>
      </w:r>
      <w:r>
        <w:rPr>
          <w:b w:val="0"/>
          <w:i w:val="0"/>
        </w:rPr>
        <w:t xml:space="preserve"> Printed forms: </w:t>
      </w:r>
      <w:r>
        <w:rPr>
          <w:b w:val="0"/>
          <w:i/>
        </w:rPr>
        <w:t>impulsu</w:t>
      </w:r>
      <w:r>
        <w:rPr>
          <w:b w:val="0"/>
          <w:i w:val="0"/>
        </w:rPr>
        <w:t xml:space="preserve">; </w:t>
      </w:r>
      <w:r>
        <w:rPr>
          <w:b w:val="0"/>
          <w:i/>
        </w:rPr>
        <w:t>incitamentum</w:t>
      </w:r>
      <w:r>
        <w:rPr>
          <w:b w:val="0"/>
          <w:i w:val="0"/>
        </w:rPr>
        <w:t>.</w:t>
      </w:r>
    </w:p>
    <w:p>
      <w:pPr>
        <w:widowControl/>
      </w:pPr>
      <w:r>
        <w:rPr>
          <w:b w:val="0"/>
          <w:i w:val="0"/>
        </w:rPr>
        <w:t xml:space="preserve">An impulse or prompting. Reason prompts the search for wisdom, but desire for the Good is said to precede rational prompting and to govern it. References: </w:t>
      </w:r>
      <w:hyperlink w:anchor="passage-i-6-17">
        <w:r>
          <w:rPr>
            <w:color w:val="000000"/>
          </w:rPr>
          <w:t xml:space="preserve">I.6.17</w:t>
        </w:r>
      </w:hyperlink>
      <w:r>
        <w:rPr>
          <w:b w:val="0"/>
          <w:i w:val="0"/>
        </w:rPr>
        <w:t xml:space="preserve">, </w:t>
      </w:r>
      <w:hyperlink w:anchor="passage-i-6-18">
        <w:r>
          <w:rPr>
            <w:color w:val="000000"/>
          </w:rPr>
          <w:t xml:space="preserve">I.6.18</w:t>
        </w:r>
      </w:hyperlink>
      <w:r>
        <w:rPr>
          <w:b w:val="0"/>
          <w:i w:val="0"/>
        </w:rPr>
        <w:t xml:space="preserve">, </w:t>
      </w:r>
      <w:hyperlink w:anchor="passage-i-6-19">
        <w:r>
          <w:rPr>
            <w:color w:val="000000"/>
          </w:rPr>
          <w:t xml:space="preserve">I.6.19</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797" w:name="latin-record-0546"/>
      <w:bookmarkEnd w:id="797"/>
      <w:r>
        <w:rPr>
          <w:b/>
          <w:i w:val="0"/>
        </w:rPr>
        <w:t>impulsus / sua sponte</w:t>
      </w:r>
      <w:r>
        <w:rPr>
          <w:b/>
          <w:i w:val="0"/>
        </w:rPr>
        <w:t>.</w:t>
      </w:r>
      <w:r>
        <w:rPr>
          <w:b w:val="0"/>
          <w:i w:val="0"/>
        </w:rPr>
        <w:t xml:space="preserve"> Printed forms: </w:t>
      </w:r>
      <w:r>
        <w:rPr>
          <w:b w:val="0"/>
          <w:i/>
        </w:rPr>
        <w:t>impulsu</w:t>
      </w:r>
      <w:r>
        <w:rPr>
          <w:b w:val="0"/>
          <w:i w:val="0"/>
        </w:rPr>
        <w:t xml:space="preserve">; </w:t>
      </w:r>
      <w:r>
        <w:rPr>
          <w:b w:val="0"/>
          <w:i/>
        </w:rPr>
        <w:t>sua sponte</w:t>
      </w:r>
      <w:r>
        <w:rPr>
          <w:b w:val="0"/>
          <w:i w:val="0"/>
        </w:rPr>
        <w:t>.</w:t>
      </w:r>
    </w:p>
    <w:p>
      <w:pPr>
        <w:widowControl/>
      </w:pPr>
      <w:r>
        <w:rPr>
          <w:b w:val="0"/>
          <w:i w:val="0"/>
        </w:rPr>
        <w:t xml:space="preserve">Impulse / of its own accord. Unanimated bodies are contrasted with bodies displaying self-directed movement through soul; the latter is an image of primary self-motion. References: </w:t>
      </w:r>
      <w:hyperlink w:anchor="passage-iii-1-23">
        <w:r>
          <w:rPr>
            <w:color w:val="000000"/>
          </w:rPr>
          <w:t xml:space="preserve">III.1.23</w:t>
        </w:r>
      </w:hyperlink>
      <w:r>
        <w:rPr>
          <w:b w:val="0"/>
          <w:i w:val="0"/>
        </w:rPr>
        <w:t xml:space="preserve">. See </w:t>
      </w:r>
      <w:hyperlink w:anchor="first-movable">
        <w:r>
          <w:rPr>
            <w:color w:val="000000"/>
          </w:rPr>
          <w:t xml:space="preserve">First movable</w:t>
        </w:r>
      </w:hyperlink>
      <w:r>
        <w:rPr>
          <w:b w:val="0"/>
          <w:i w:val="0"/>
        </w:rPr>
        <w:t>.</w:t>
      </w:r>
    </w:p>
    <w:p>
      <w:pPr>
        <w:keepNext/>
        <w:widowControl/>
      </w:pPr>
      <w:bookmarkStart w:id="798" w:name="latin-record-0547"/>
      <w:bookmarkEnd w:id="798"/>
      <w:r>
        <w:rPr>
          <w:b/>
          <w:i w:val="0"/>
        </w:rPr>
        <w:t>in angustum / ad punctum</w:t>
      </w:r>
      <w:r>
        <w:rPr>
          <w:b/>
          <w:i w:val="0"/>
        </w:rPr>
        <w:t>.</w:t>
      </w:r>
      <w:r>
        <w:rPr>
          <w:b w:val="0"/>
          <w:i w:val="0"/>
        </w:rPr>
        <w:t xml:space="preserve"> Printed forms: </w:t>
      </w:r>
      <w:r>
        <w:rPr>
          <w:b w:val="0"/>
          <w:i/>
        </w:rPr>
        <w:t>ad punctum</w:t>
      </w:r>
      <w:r>
        <w:rPr>
          <w:b w:val="0"/>
          <w:i w:val="0"/>
        </w:rPr>
        <w:t xml:space="preserve">; </w:t>
      </w:r>
      <w:r>
        <w:rPr>
          <w:b w:val="0"/>
          <w:i/>
        </w:rPr>
        <w:t>in angustum</w:t>
      </w:r>
      <w:r>
        <w:rPr>
          <w:b w:val="0"/>
          <w:i w:val="0"/>
        </w:rPr>
        <w:t>.</w:t>
      </w:r>
    </w:p>
    <w:p>
      <w:pPr>
        <w:widowControl/>
      </w:pPr>
      <w:r>
        <w:rPr>
          <w:b w:val="0"/>
          <w:i w:val="0"/>
        </w:rPr>
        <w:t xml:space="preserve">Into a narrow compass or to a point. Concentrated heat and quality illustrate heightened efficacy through union; the comparison should not be confused with an independent geometrical point generating heat. References: </w:t>
      </w:r>
      <w:hyperlink w:anchor="passage-i-2-11">
        <w:r>
          <w:rPr>
            <w:color w:val="000000"/>
          </w:rPr>
          <w:t xml:space="preserve">I.2.11</w:t>
        </w:r>
      </w:hyperlink>
      <w:r>
        <w:rPr>
          <w:b w:val="0"/>
          <w:i w:val="0"/>
        </w:rPr>
        <w:t xml:space="preserve">, </w:t>
      </w:r>
      <w:hyperlink w:anchor="passage-i-2-17">
        <w:r>
          <w:rPr>
            <w:color w:val="000000"/>
          </w:rPr>
          <w:t xml:space="preserve">I.2.17</w:t>
        </w:r>
      </w:hyperlink>
      <w:r>
        <w:rPr>
          <w:b w:val="0"/>
          <w:i w:val="0"/>
        </w:rPr>
        <w:t xml:space="preserve">. See </w:t>
      </w:r>
      <w:hyperlink w:anchor="dispersion-and-concentration">
        <w:r>
          <w:rPr>
            <w:color w:val="000000"/>
          </w:rPr>
          <w:t xml:space="preserve">Dispersion and concentration</w:t>
        </w:r>
      </w:hyperlink>
      <w:r>
        <w:rPr>
          <w:b w:val="0"/>
          <w:i w:val="0"/>
        </w:rPr>
        <w:t>.</w:t>
      </w:r>
    </w:p>
    <w:p>
      <w:pPr>
        <w:keepNext/>
        <w:widowControl/>
      </w:pPr>
      <w:bookmarkStart w:id="799" w:name="latin-record-0548"/>
      <w:bookmarkEnd w:id="799"/>
      <w:r>
        <w:rPr>
          <w:b/>
          <w:i w:val="0"/>
        </w:rPr>
        <w:t>in corporalibus rerum speciebus rationibusque</w:t>
      </w:r>
      <w:r>
        <w:rPr>
          <w:b/>
          <w:i w:val="0"/>
        </w:rPr>
        <w:t>.</w:t>
      </w:r>
      <w:r>
        <w:rPr>
          <w:b w:val="0"/>
          <w:i w:val="0"/>
        </w:rPr>
        <w:t xml:space="preserve"> Printed forms: </w:t>
      </w:r>
      <w:r>
        <w:rPr>
          <w:b w:val="0"/>
          <w:i/>
        </w:rPr>
        <w:t>in corporalibus rerum speciebus rationibusque</w:t>
      </w:r>
      <w:r>
        <w:rPr>
          <w:b w:val="0"/>
          <w:i w:val="0"/>
        </w:rPr>
        <w:t>.</w:t>
      </w:r>
    </w:p>
    <w:p>
      <w:pPr>
        <w:widowControl/>
      </w:pPr>
      <w:r>
        <w:rPr>
          <w:b w:val="0"/>
          <w:i w:val="0"/>
        </w:rPr>
        <w:t xml:space="preserve">The printed, textually delicate phrase concerning forms and principles. The English reads forms and principles of things within bodies. The Latin is preserved without silently changing corporalibus to incorporalibus. References: </w:t>
      </w:r>
      <w:hyperlink w:anchor="passage-iii-2-29">
        <w:r>
          <w:rPr>
            <w:color w:val="000000"/>
          </w:rPr>
          <w:t xml:space="preserve">III.2.29</w:t>
        </w:r>
      </w:hyperlink>
      <w:r>
        <w:rPr>
          <w:b w:val="0"/>
          <w:i w:val="0"/>
        </w:rPr>
        <w:t xml:space="preserve">. See </w:t>
      </w:r>
      <w:hyperlink w:anchor="spiritual-union">
        <w:r>
          <w:rPr>
            <w:color w:val="000000"/>
          </w:rPr>
          <w:t xml:space="preserve">Spiritual union</w:t>
        </w:r>
      </w:hyperlink>
      <w:r>
        <w:rPr>
          <w:b w:val="0"/>
          <w:i w:val="0"/>
        </w:rPr>
        <w:t>.</w:t>
      </w:r>
    </w:p>
    <w:p>
      <w:pPr>
        <w:keepNext/>
        <w:widowControl/>
      </w:pPr>
      <w:bookmarkStart w:id="800" w:name="latin-record-0549"/>
      <w:bookmarkEnd w:id="800"/>
      <w:r>
        <w:rPr>
          <w:b/>
          <w:i w:val="0"/>
        </w:rPr>
        <w:t>in infinitum vagari / circulo revolvi</w:t>
      </w:r>
      <w:r>
        <w:rPr>
          <w:b/>
          <w:i w:val="0"/>
        </w:rPr>
        <w:t>.</w:t>
      </w:r>
      <w:r>
        <w:rPr>
          <w:b w:val="0"/>
          <w:i w:val="0"/>
        </w:rPr>
        <w:t xml:space="preserve"> Printed forms: </w:t>
      </w:r>
      <w:r>
        <w:rPr>
          <w:b w:val="0"/>
          <w:i/>
        </w:rPr>
        <w:t>circulo revolvemur</w:t>
      </w:r>
      <w:r>
        <w:rPr>
          <w:b w:val="0"/>
          <w:i w:val="0"/>
        </w:rPr>
        <w:t xml:space="preserve">; </w:t>
      </w:r>
      <w:r>
        <w:rPr>
          <w:b w:val="0"/>
          <w:i/>
        </w:rPr>
        <w:t>in infinitum vagabimur</w:t>
      </w:r>
      <w:r>
        <w:rPr>
          <w:b w:val="0"/>
          <w:i w:val="0"/>
        </w:rPr>
        <w:t>.</w:t>
      </w:r>
    </w:p>
    <w:p>
      <w:pPr>
        <w:widowControl/>
      </w:pPr>
      <w:r>
        <w:rPr>
          <w:b w:val="0"/>
          <w:i w:val="0"/>
        </w:rPr>
        <w:t xml:space="preserve">Wander without end / revolve in a circle. Regress and causal circularity are rejected as ways to account for motion through another; this differs from the positive psychic circuit. References: </w:t>
      </w:r>
      <w:hyperlink w:anchor="passage-iii-1-25">
        <w:r>
          <w:rPr>
            <w:color w:val="000000"/>
          </w:rPr>
          <w:t xml:space="preserve">III.1.25</w:t>
        </w:r>
      </w:hyperlink>
      <w:r>
        <w:rPr>
          <w:b w:val="0"/>
          <w:i w:val="0"/>
        </w:rPr>
        <w:t xml:space="preserve">. See </w:t>
      </w:r>
      <w:hyperlink w:anchor="cause">
        <w:r>
          <w:rPr>
            <w:color w:val="000000"/>
          </w:rPr>
          <w:t xml:space="preserve">Cause</w:t>
        </w:r>
      </w:hyperlink>
      <w:r>
        <w:rPr>
          <w:b w:val="0"/>
          <w:i w:val="0"/>
        </w:rPr>
        <w:t>.</w:t>
      </w:r>
    </w:p>
    <w:p>
      <w:pPr>
        <w:keepNext/>
        <w:widowControl/>
      </w:pPr>
      <w:bookmarkStart w:id="801" w:name="latin-record-0550"/>
      <w:bookmarkEnd w:id="801"/>
      <w:r>
        <w:rPr>
          <w:b/>
          <w:i w:val="0"/>
        </w:rPr>
        <w:t>inane</w:t>
      </w:r>
      <w:r>
        <w:rPr>
          <w:b/>
          <w:i w:val="0"/>
        </w:rPr>
        <w:t>.</w:t>
      </w:r>
      <w:r>
        <w:rPr>
          <w:b w:val="0"/>
          <w:i w:val="0"/>
        </w:rPr>
        <w:t xml:space="preserve"> Printed forms: </w:t>
      </w:r>
      <w:r>
        <w:rPr>
          <w:b w:val="0"/>
          <w:i/>
        </w:rPr>
        <w:t>inane</w:t>
      </w:r>
      <w:r>
        <w:rPr>
          <w:b w:val="0"/>
          <w:i w:val="0"/>
        </w:rPr>
        <w:t>.</w:t>
      </w:r>
    </w:p>
    <w:p>
      <w:pPr>
        <w:widowControl/>
      </w:pPr>
      <w:r>
        <w:rPr>
          <w:b w:val="0"/>
          <w:i w:val="0"/>
        </w:rPr>
        <w:t xml:space="preserve">Void or empty space. Imagination mistakes divine light for dimensional extension or void; neither image captures the intended pure fullness. References: </w:t>
      </w:r>
      <w:hyperlink w:anchor="passage-ii-6-13">
        <w:r>
          <w:rPr>
            <w:color w:val="000000"/>
          </w:rPr>
          <w:t xml:space="preserve">II.6.13</w:t>
        </w:r>
      </w:hyperlink>
      <w:r>
        <w:rPr>
          <w:b w:val="0"/>
          <w:i w:val="0"/>
        </w:rPr>
        <w:t xml:space="preserve">. See </w:t>
      </w:r>
      <w:hyperlink w:anchor="imagination-and-deceptive-clothing">
        <w:r>
          <w:rPr>
            <w:color w:val="000000"/>
          </w:rPr>
          <w:t xml:space="preserve">Imagination and deceptive clothing</w:t>
        </w:r>
      </w:hyperlink>
      <w:r>
        <w:rPr>
          <w:b w:val="0"/>
          <w:i w:val="0"/>
        </w:rPr>
        <w:t>.</w:t>
      </w:r>
    </w:p>
    <w:p>
      <w:pPr>
        <w:keepNext/>
        <w:widowControl/>
      </w:pPr>
      <w:bookmarkStart w:id="802" w:name="latin-record-0551"/>
      <w:bookmarkEnd w:id="802"/>
      <w:r>
        <w:rPr>
          <w:b/>
          <w:i w:val="0"/>
        </w:rPr>
        <w:t>incipio / desino</w:t>
      </w:r>
      <w:r>
        <w:rPr>
          <w:b/>
          <w:i w:val="0"/>
        </w:rPr>
        <w:t>.</w:t>
      </w:r>
      <w:r>
        <w:rPr>
          <w:b w:val="0"/>
          <w:i w:val="0"/>
        </w:rPr>
        <w:t xml:space="preserve"> Printed forms: </w:t>
      </w:r>
      <w:r>
        <w:rPr>
          <w:b w:val="0"/>
          <w:i/>
        </w:rPr>
        <w:t>desinunt</w:t>
      </w:r>
      <w:r>
        <w:rPr>
          <w:b w:val="0"/>
          <w:i w:val="0"/>
        </w:rPr>
        <w:t xml:space="preserve">; </w:t>
      </w:r>
      <w:r>
        <w:rPr>
          <w:b w:val="0"/>
          <w:i/>
        </w:rPr>
        <w:t>incipiunt</w:t>
      </w:r>
      <w:r>
        <w:rPr>
          <w:b w:val="0"/>
          <w:i w:val="0"/>
        </w:rPr>
        <w:t>.</w:t>
      </w:r>
    </w:p>
    <w:p>
      <w:pPr>
        <w:widowControl/>
      </w:pPr>
      <w:r>
        <w:rPr>
          <w:b w:val="0"/>
          <w:i w:val="0"/>
        </w:rPr>
        <w:t xml:space="preserve">To begin and end. The claim that bodily conditions scarcely persist is used to deny their full independent act of existing and acting. References: </w:t>
      </w:r>
      <w:hyperlink w:anchor="passage-i-4-2">
        <w:r>
          <w:rPr>
            <w:color w:val="000000"/>
          </w:rPr>
          <w:t xml:space="preserve">I.4.2</w:t>
        </w:r>
      </w:hyperlink>
      <w:r>
        <w:rPr>
          <w:b w:val="0"/>
          <w:i w:val="0"/>
        </w:rPr>
        <w:t xml:space="preserve">. See </w:t>
      </w:r>
      <w:hyperlink w:anchor="permanence-and-the-hour-test">
        <w:r>
          <w:rPr>
            <w:color w:val="000000"/>
          </w:rPr>
          <w:t xml:space="preserve">Permanence and the hour test</w:t>
        </w:r>
      </w:hyperlink>
      <w:r>
        <w:rPr>
          <w:b w:val="0"/>
          <w:i w:val="0"/>
        </w:rPr>
        <w:t>.</w:t>
      </w:r>
    </w:p>
    <w:p>
      <w:pPr>
        <w:keepNext/>
        <w:widowControl/>
      </w:pPr>
      <w:bookmarkStart w:id="803" w:name="latin-record-0552"/>
      <w:bookmarkEnd w:id="803"/>
      <w:r>
        <w:rPr>
          <w:b/>
          <w:i w:val="0"/>
        </w:rPr>
        <w:t>inclinatio / appetitus / voluntas</w:t>
      </w:r>
      <w:r>
        <w:rPr>
          <w:b/>
          <w:i w:val="0"/>
        </w:rPr>
        <w:t>.</w:t>
      </w:r>
      <w:r>
        <w:rPr>
          <w:b w:val="0"/>
          <w:i w:val="0"/>
        </w:rPr>
        <w:t xml:space="preserve"> Printed forms: </w:t>
      </w:r>
      <w:r>
        <w:rPr>
          <w:b w:val="0"/>
          <w:i/>
        </w:rPr>
        <w:t>appetitum</w:t>
      </w:r>
      <w:r>
        <w:rPr>
          <w:b w:val="0"/>
          <w:i w:val="0"/>
        </w:rPr>
        <w:t xml:space="preserve">; </w:t>
      </w:r>
      <w:r>
        <w:rPr>
          <w:b w:val="0"/>
          <w:i/>
        </w:rPr>
        <w:t>inclinationem</w:t>
      </w:r>
      <w:r>
        <w:rPr>
          <w:b w:val="0"/>
          <w:i w:val="0"/>
        </w:rPr>
        <w:t xml:space="preserve">; </w:t>
      </w:r>
      <w:r>
        <w:rPr>
          <w:b w:val="0"/>
          <w:i/>
        </w:rPr>
        <w:t>voluntatem</w:t>
      </w:r>
      <w:r>
        <w:rPr>
          <w:b w:val="0"/>
          <w:i w:val="0"/>
        </w:rPr>
        <w:t>.</w:t>
      </w:r>
    </w:p>
    <w:p>
      <w:pPr>
        <w:widowControl/>
      </w:pPr>
      <w:r>
        <w:rPr>
          <w:b w:val="0"/>
          <w:i w:val="0"/>
        </w:rPr>
        <w:t xml:space="preserve">Inclination / appetite / will. The three terms distinguish the modes attributed to insentient nature, sensation, and intellect, not three unrelated final goods. References: </w:t>
      </w:r>
      <w:hyperlink w:anchor="passage-ii-11-29">
        <w:r>
          <w:rPr>
            <w:color w:val="000000"/>
          </w:rPr>
          <w:t xml:space="preserve">II.11.29</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804" w:name="latin-record-0553"/>
      <w:bookmarkEnd w:id="804"/>
      <w:r>
        <w:rPr>
          <w:b/>
          <w:i w:val="0"/>
        </w:rPr>
        <w:t>incorporeus / incorporalis / indivisibilis</w:t>
      </w:r>
      <w:r>
        <w:rPr>
          <w:b/>
          <w:i w:val="0"/>
        </w:rPr>
        <w:t>.</w:t>
      </w:r>
      <w:r>
        <w:rPr>
          <w:b w:val="0"/>
          <w:i w:val="0"/>
        </w:rPr>
        <w:t xml:space="preserve"> Printed forms: </w:t>
      </w:r>
      <w:r>
        <w:rPr>
          <w:b w:val="0"/>
          <w:i/>
        </w:rPr>
        <w:t>incorporalis</w:t>
      </w:r>
      <w:r>
        <w:rPr>
          <w:b w:val="0"/>
          <w:i w:val="0"/>
        </w:rPr>
        <w:t xml:space="preserve">; </w:t>
      </w:r>
      <w:r>
        <w:rPr>
          <w:b w:val="0"/>
          <w:i/>
        </w:rPr>
        <w:t>incorporea</w:t>
      </w:r>
      <w:r>
        <w:rPr>
          <w:b w:val="0"/>
          <w:i w:val="0"/>
        </w:rPr>
        <w:t xml:space="preserve">; </w:t>
      </w:r>
      <w:r>
        <w:rPr>
          <w:b w:val="0"/>
          <w:i/>
        </w:rPr>
        <w:t>indivisibile</w:t>
      </w:r>
      <w:r>
        <w:rPr>
          <w:b w:val="0"/>
          <w:i w:val="0"/>
        </w:rPr>
        <w:t>.</w:t>
      </w:r>
    </w:p>
    <w:p>
      <w:pPr>
        <w:widowControl/>
      </w:pPr>
      <w:r>
        <w:rPr>
          <w:b w:val="0"/>
          <w:i w:val="0"/>
        </w:rPr>
        <w:t xml:space="preserve">Nonbodily and indivisible, distinct from merely occupying a very small place. An incorporeal stable cause supports bodies; indivisible spirit’s spatial presence belongs to the authorities’ account. References: </w:t>
      </w:r>
      <w:hyperlink w:anchor="passage-ii-6-1">
        <w:r>
          <w:rPr>
            <w:color w:val="000000"/>
          </w:rPr>
          <w:t xml:space="preserve">II.6.1</w:t>
        </w:r>
      </w:hyperlink>
      <w:r>
        <w:rPr>
          <w:b w:val="0"/>
          <w:i w:val="0"/>
        </w:rPr>
        <w:t xml:space="preserve">, </w:t>
      </w:r>
      <w:hyperlink w:anchor="passage-ii-6-16">
        <w:r>
          <w:rPr>
            <w:color w:val="000000"/>
          </w:rPr>
          <w:t xml:space="preserve">II.6.16</w:t>
        </w:r>
      </w:hyperlink>
      <w:r>
        <w:rPr>
          <w:b w:val="0"/>
          <w:i w:val="0"/>
        </w:rPr>
        <w:t xml:space="preserve">, </w:t>
      </w:r>
      <w:hyperlink w:anchor="passage-ii-7-8">
        <w:r>
          <w:rPr>
            <w:color w:val="000000"/>
          </w:rPr>
          <w:t xml:space="preserve">II.7.8</w:t>
        </w:r>
      </w:hyperlink>
      <w:r>
        <w:rPr>
          <w:b w:val="0"/>
          <w:i w:val="0"/>
        </w:rPr>
        <w:t xml:space="preserve">. See </w:t>
      </w:r>
      <w:hyperlink w:anchor="incorporeal-and-immaterial">
        <w:r>
          <w:rPr>
            <w:color w:val="000000"/>
          </w:rPr>
          <w:t xml:space="preserve">Incorporeal and immaterial</w:t>
        </w:r>
      </w:hyperlink>
      <w:r>
        <w:rPr>
          <w:b w:val="0"/>
          <w:i w:val="0"/>
        </w:rPr>
        <w:t>.</w:t>
      </w:r>
    </w:p>
    <w:p>
      <w:pPr>
        <w:keepNext/>
        <w:widowControl/>
      </w:pPr>
      <w:bookmarkStart w:id="805" w:name="latin-record-0554"/>
      <w:bookmarkEnd w:id="805"/>
      <w:r>
        <w:rPr>
          <w:b/>
          <w:i w:val="0"/>
        </w:rPr>
        <w:t>indifferens / determino</w:t>
      </w:r>
      <w:r>
        <w:rPr>
          <w:b/>
          <w:i w:val="0"/>
        </w:rPr>
        <w:t>.</w:t>
      </w:r>
      <w:r>
        <w:rPr>
          <w:b w:val="0"/>
          <w:i w:val="0"/>
        </w:rPr>
        <w:t xml:space="preserve"> Printed forms: </w:t>
      </w:r>
      <w:r>
        <w:rPr>
          <w:b w:val="0"/>
          <w:i/>
        </w:rPr>
        <w:t>determinetur</w:t>
      </w:r>
      <w:r>
        <w:rPr>
          <w:b w:val="0"/>
          <w:i w:val="0"/>
        </w:rPr>
        <w:t xml:space="preserve">; </w:t>
      </w:r>
      <w:r>
        <w:rPr>
          <w:b w:val="0"/>
          <w:i/>
        </w:rPr>
        <w:t>indifferens</w:t>
      </w:r>
      <w:r>
        <w:rPr>
          <w:b w:val="0"/>
          <w:i w:val="0"/>
        </w:rPr>
        <w:t>.</w:t>
      </w:r>
    </w:p>
    <w:p>
      <w:pPr>
        <w:widowControl/>
      </w:pPr>
      <w:r>
        <w:rPr>
          <w:b w:val="0"/>
          <w:i w:val="0"/>
        </w:rPr>
        <w:t xml:space="preserve">Open to either alternative; to be determined toward one. Soul alternates between understanding and not understanding and is directed by a higher source always actual in that kind; this is not emotional indifference. References: </w:t>
      </w:r>
      <w:hyperlink w:anchor="passage-i-5-10">
        <w:r>
          <w:rPr>
            <w:color w:val="000000"/>
          </w:rPr>
          <w:t xml:space="preserve">I.5.10</w:t>
        </w:r>
      </w:hyperlink>
      <w:r>
        <w:rPr>
          <w:b w:val="0"/>
          <w:i w:val="0"/>
        </w:rPr>
        <w:t xml:space="preserve">. See </w:t>
      </w:r>
      <w:hyperlink w:anchor="intellect-and-intellection">
        <w:r>
          <w:rPr>
            <w:color w:val="000000"/>
          </w:rPr>
          <w:t xml:space="preserve">Intellect and intellection</w:t>
        </w:r>
      </w:hyperlink>
      <w:r>
        <w:rPr>
          <w:b w:val="0"/>
          <w:i w:val="0"/>
        </w:rPr>
        <w:t>.</w:t>
      </w:r>
    </w:p>
    <w:p>
      <w:pPr>
        <w:keepNext/>
        <w:widowControl/>
      </w:pPr>
      <w:bookmarkStart w:id="806" w:name="latin-record-0555"/>
      <w:bookmarkEnd w:id="806"/>
      <w:r>
        <w:rPr>
          <w:b/>
          <w:i w:val="0"/>
        </w:rPr>
        <w:t>indigentia</w:t>
      </w:r>
      <w:r>
        <w:rPr>
          <w:b/>
          <w:i w:val="0"/>
        </w:rPr>
        <w:t>.</w:t>
      </w:r>
      <w:r>
        <w:rPr>
          <w:b w:val="0"/>
          <w:i w:val="0"/>
        </w:rPr>
        <w:t xml:space="preserve"> Printed forms: </w:t>
      </w:r>
      <w:r>
        <w:rPr>
          <w:b w:val="0"/>
          <w:i/>
        </w:rPr>
        <w:t>indigentiam</w:t>
      </w:r>
      <w:r>
        <w:rPr>
          <w:b w:val="0"/>
          <w:i w:val="0"/>
        </w:rPr>
        <w:t>.</w:t>
      </w:r>
    </w:p>
    <w:p>
      <w:pPr>
        <w:widowControl/>
      </w:pPr>
      <w:r>
        <w:rPr>
          <w:b w:val="0"/>
          <w:i w:val="0"/>
        </w:rPr>
        <w:t xml:space="preserve">Need or lack of sufficiency. Human need appears in the opening existential comparison; change through need later points toward a fuller source beyond the changing thing. References: </w:t>
      </w:r>
      <w:hyperlink w:anchor="passage-i-1-1">
        <w:r>
          <w:rPr>
            <w:color w:val="000000"/>
          </w:rPr>
          <w:t xml:space="preserve">I.1.1</w:t>
        </w:r>
      </w:hyperlink>
      <w:r>
        <w:rPr>
          <w:b w:val="0"/>
          <w:i w:val="0"/>
        </w:rPr>
        <w:t xml:space="preserve">, </w:t>
      </w:r>
      <w:hyperlink w:anchor="passage-i-5-4">
        <w:r>
          <w:rPr>
            <w:color w:val="000000"/>
          </w:rPr>
          <w:t xml:space="preserve">I.5.4</w:t>
        </w:r>
      </w:hyperlink>
      <w:r>
        <w:rPr>
          <w:b w:val="0"/>
          <w:i w:val="0"/>
        </w:rPr>
        <w:t xml:space="preserve">. See </w:t>
      </w:r>
      <w:hyperlink w:anchor="need-and-sufficiency">
        <w:r>
          <w:rPr>
            <w:color w:val="000000"/>
          </w:rPr>
          <w:t xml:space="preserve">Need and sufficiency</w:t>
        </w:r>
      </w:hyperlink>
      <w:r>
        <w:rPr>
          <w:b w:val="0"/>
          <w:i w:val="0"/>
        </w:rPr>
        <w:t>.</w:t>
      </w:r>
    </w:p>
    <w:p>
      <w:pPr>
        <w:keepNext/>
        <w:widowControl/>
      </w:pPr>
      <w:bookmarkStart w:id="807" w:name="latin-record-0556"/>
      <w:bookmarkEnd w:id="807"/>
      <w:r>
        <w:rPr>
          <w:b/>
          <w:i w:val="0"/>
        </w:rPr>
        <w:t>indissolubilis / dissolvo</w:t>
      </w:r>
      <w:r>
        <w:rPr>
          <w:b/>
          <w:i w:val="0"/>
        </w:rPr>
        <w:t>.</w:t>
      </w:r>
      <w:r>
        <w:rPr>
          <w:b w:val="0"/>
          <w:i w:val="0"/>
        </w:rPr>
        <w:t xml:space="preserve"> Printed forms: </w:t>
      </w:r>
      <w:r>
        <w:rPr>
          <w:b w:val="0"/>
          <w:i/>
        </w:rPr>
        <w:t>dissolvi</w:t>
      </w:r>
      <w:r>
        <w:rPr>
          <w:b w:val="0"/>
          <w:i w:val="0"/>
        </w:rPr>
        <w:t xml:space="preserve">; </w:t>
      </w:r>
      <w:r>
        <w:rPr>
          <w:b w:val="0"/>
          <w:i/>
        </w:rPr>
        <w:t>indissolubile</w:t>
      </w:r>
      <w:r>
        <w:rPr>
          <w:b w:val="0"/>
          <w:i w:val="0"/>
        </w:rPr>
        <w:t>.</w:t>
      </w:r>
    </w:p>
    <w:p>
      <w:pPr>
        <w:widowControl/>
      </w:pPr>
      <w:r>
        <w:rPr>
          <w:b w:val="0"/>
          <w:i w:val="0"/>
        </w:rPr>
        <w:t xml:space="preserve">Indissoluble, and to be dissolved. Soul’s binding office and lack of parts are used in arguments for its indissolubility; the adjective does not replace every other argument for continued existence. References: </w:t>
      </w:r>
      <w:hyperlink w:anchor="passage-i-1-7">
        <w:r>
          <w:rPr>
            <w:color w:val="000000"/>
          </w:rPr>
          <w:t xml:space="preserve">I.1.7</w:t>
        </w:r>
      </w:hyperlink>
      <w:r>
        <w:rPr>
          <w:b w:val="0"/>
          <w:i w:val="0"/>
        </w:rPr>
        <w:t xml:space="preserve">, </w:t>
      </w:r>
      <w:hyperlink w:anchor="passage-i-3-33">
        <w:r>
          <w:rPr>
            <w:color w:val="000000"/>
          </w:rPr>
          <w:t xml:space="preserve">I.3.33</w:t>
        </w:r>
      </w:hyperlink>
      <w:r>
        <w:rPr>
          <w:b w:val="0"/>
          <w:i w:val="0"/>
        </w:rPr>
        <w:t xml:space="preserve">. See </w:t>
      </w:r>
      <w:hyperlink w:anchor="immortality">
        <w:r>
          <w:rPr>
            <w:color w:val="000000"/>
          </w:rPr>
          <w:t xml:space="preserve">Immortality</w:t>
        </w:r>
      </w:hyperlink>
      <w:r>
        <w:rPr>
          <w:b w:val="0"/>
          <w:i w:val="0"/>
        </w:rPr>
        <w:t>.</w:t>
      </w:r>
    </w:p>
    <w:p>
      <w:pPr>
        <w:keepNext/>
        <w:widowControl/>
      </w:pPr>
      <w:bookmarkStart w:id="808" w:name="latin-record-0557"/>
      <w:bookmarkEnd w:id="808"/>
      <w:r>
        <w:rPr>
          <w:b/>
          <w:i w:val="0"/>
        </w:rPr>
        <w:t>induere / involvere</w:t>
      </w:r>
      <w:r>
        <w:rPr>
          <w:b/>
          <w:i w:val="0"/>
        </w:rPr>
        <w:t>.</w:t>
      </w:r>
      <w:r>
        <w:rPr>
          <w:b w:val="0"/>
          <w:i w:val="0"/>
        </w:rPr>
        <w:t xml:space="preserve"> Printed forms: </w:t>
      </w:r>
      <w:r>
        <w:rPr>
          <w:b w:val="0"/>
          <w:i/>
        </w:rPr>
        <w:t>induit</w:t>
      </w:r>
      <w:r>
        <w:rPr>
          <w:b w:val="0"/>
          <w:i w:val="0"/>
        </w:rPr>
        <w:t xml:space="preserve">; </w:t>
      </w:r>
      <w:r>
        <w:rPr>
          <w:b w:val="0"/>
          <w:i/>
        </w:rPr>
        <w:t>involutus</w:t>
      </w:r>
      <w:r>
        <w:rPr>
          <w:b w:val="0"/>
          <w:i w:val="0"/>
        </w:rPr>
        <w:t>.</w:t>
      </w:r>
    </w:p>
    <w:p>
      <w:pPr>
        <w:widowControl/>
      </w:pPr>
      <w:r>
        <w:rPr>
          <w:b w:val="0"/>
          <w:i w:val="0"/>
        </w:rPr>
        <w:t xml:space="preserve">To clothe or wrap. Imagination clothes simple duration in temporal flux, so God is presented as though wrapped in time. References: </w:t>
      </w:r>
      <w:hyperlink w:anchor="passage-ii-5-2">
        <w:r>
          <w:rPr>
            <w:color w:val="000000"/>
          </w:rPr>
          <w:t xml:space="preserve">II.5.2</w:t>
        </w:r>
      </w:hyperlink>
      <w:r>
        <w:rPr>
          <w:b w:val="0"/>
          <w:i w:val="0"/>
        </w:rPr>
        <w:t xml:space="preserve">, </w:t>
      </w:r>
      <w:hyperlink w:anchor="passage-ii-5-3">
        <w:r>
          <w:rPr>
            <w:color w:val="000000"/>
          </w:rPr>
          <w:t xml:space="preserve">II.5.3</w:t>
        </w:r>
      </w:hyperlink>
      <w:r>
        <w:rPr>
          <w:b w:val="0"/>
          <w:i w:val="0"/>
        </w:rPr>
        <w:t xml:space="preserve">. See </w:t>
      </w:r>
      <w:hyperlink w:anchor="imagination-and-deceptive-clothing">
        <w:r>
          <w:rPr>
            <w:color w:val="000000"/>
          </w:rPr>
          <w:t xml:space="preserve">Imagination and deceptive clothing</w:t>
        </w:r>
      </w:hyperlink>
      <w:r>
        <w:rPr>
          <w:b w:val="0"/>
          <w:i w:val="0"/>
        </w:rPr>
        <w:t>.</w:t>
      </w:r>
    </w:p>
    <w:p>
      <w:pPr>
        <w:keepNext/>
        <w:widowControl/>
      </w:pPr>
      <w:bookmarkStart w:id="809" w:name="latin-record-0558"/>
      <w:bookmarkEnd w:id="809"/>
      <w:r>
        <w:rPr>
          <w:b/>
          <w:i w:val="0"/>
        </w:rPr>
        <w:t>indumentum aethereum</w:t>
      </w:r>
      <w:r>
        <w:rPr>
          <w:b/>
          <w:i w:val="0"/>
        </w:rPr>
        <w:t>.</w:t>
      </w:r>
      <w:r>
        <w:rPr>
          <w:b w:val="0"/>
          <w:i w:val="0"/>
        </w:rPr>
        <w:t xml:space="preserve"> Printed forms: </w:t>
      </w:r>
      <w:r>
        <w:rPr>
          <w:b w:val="0"/>
          <w:i/>
        </w:rPr>
        <w:t>aethereo animae indumento</w:t>
      </w:r>
      <w:r>
        <w:rPr>
          <w:b w:val="0"/>
          <w:i w:val="0"/>
        </w:rPr>
        <w:t>.</w:t>
      </w:r>
    </w:p>
    <w:p>
      <w:pPr>
        <w:widowControl/>
      </w:pPr>
      <w:r>
        <w:rPr>
          <w:b w:val="0"/>
          <w:i w:val="0"/>
        </w:rPr>
        <w:t xml:space="preserve">The soul’s ethereal garment. The promised further discussion is deferred; its claimed circulation is not established as a full doctrine within this passage alone. References: </w:t>
      </w:r>
      <w:hyperlink w:anchor="passage-iv-2-26">
        <w:r>
          <w:rPr>
            <w:color w:val="000000"/>
          </w:rPr>
          <w:t xml:space="preserve">IV.2.26</w:t>
        </w:r>
      </w:hyperlink>
      <w:r>
        <w:rPr>
          <w:b w:val="0"/>
          <w:i w:val="0"/>
        </w:rPr>
        <w:t xml:space="preserve">. See </w:t>
      </w:r>
      <w:hyperlink w:anchor="ethereal-garment">
        <w:r>
          <w:rPr>
            <w:color w:val="000000"/>
          </w:rPr>
          <w:t xml:space="preserve">Ethereal garment</w:t>
        </w:r>
      </w:hyperlink>
      <w:r>
        <w:rPr>
          <w:b w:val="0"/>
          <w:i w:val="0"/>
        </w:rPr>
        <w:t>.</w:t>
      </w:r>
    </w:p>
    <w:p>
      <w:pPr>
        <w:keepNext/>
        <w:widowControl/>
      </w:pPr>
      <w:bookmarkStart w:id="810" w:name="latin-record-0559"/>
      <w:bookmarkEnd w:id="810"/>
      <w:r>
        <w:rPr>
          <w:b/>
          <w:i w:val="0"/>
        </w:rPr>
        <w:t>ineptus / agilis</w:t>
      </w:r>
      <w:r>
        <w:rPr>
          <w:b/>
          <w:i w:val="0"/>
        </w:rPr>
        <w:t>.</w:t>
      </w:r>
      <w:r>
        <w:rPr>
          <w:b w:val="0"/>
          <w:i w:val="0"/>
        </w:rPr>
        <w:t xml:space="preserve"> Printed forms: </w:t>
      </w:r>
      <w:r>
        <w:rPr>
          <w:b w:val="0"/>
          <w:i/>
        </w:rPr>
        <w:t>agile</w:t>
      </w:r>
      <w:r>
        <w:rPr>
          <w:b w:val="0"/>
          <w:i w:val="0"/>
        </w:rPr>
        <w:t xml:space="preserve">; </w:t>
      </w:r>
      <w:r>
        <w:rPr>
          <w:b w:val="0"/>
          <w:i/>
        </w:rPr>
        <w:t>ineptum</w:t>
      </w:r>
      <w:r>
        <w:rPr>
          <w:b w:val="0"/>
          <w:i w:val="0"/>
        </w:rPr>
        <w:t>.</w:t>
      </w:r>
    </w:p>
    <w:p>
      <w:pPr>
        <w:widowControl/>
      </w:pPr>
      <w:r>
        <w:rPr>
          <w:b w:val="0"/>
          <w:i w:val="0"/>
        </w:rPr>
        <w:t xml:space="preserve">Unfitted for movement; easily moved or agile. Celestial body’s readiness contrasts with earthly body’s resistance, complementing the soul’s unextended agency. References: </w:t>
      </w:r>
      <w:hyperlink w:anchor="passage-iv-2-18">
        <w:r>
          <w:rPr>
            <w:color w:val="000000"/>
          </w:rPr>
          <w:t xml:space="preserve">IV.2.18</w:t>
        </w:r>
      </w:hyperlink>
      <w:r>
        <w:rPr>
          <w:b w:val="0"/>
          <w:i w:val="0"/>
        </w:rPr>
        <w:t xml:space="preserve">. See </w:t>
      </w:r>
      <w:hyperlink w:anchor="weariness-and-agility">
        <w:r>
          <w:rPr>
            <w:color w:val="000000"/>
          </w:rPr>
          <w:t xml:space="preserve">Weariness and agility</w:t>
        </w:r>
      </w:hyperlink>
      <w:r>
        <w:rPr>
          <w:b w:val="0"/>
          <w:i w:val="0"/>
        </w:rPr>
        <w:t>.</w:t>
      </w:r>
    </w:p>
    <w:p>
      <w:pPr>
        <w:keepNext/>
        <w:widowControl/>
      </w:pPr>
      <w:bookmarkStart w:id="811" w:name="latin-record-0560"/>
      <w:bookmarkEnd w:id="811"/>
      <w:r>
        <w:rPr>
          <w:b/>
          <w:i w:val="0"/>
        </w:rPr>
        <w:t>iners / callere</w:t>
      </w:r>
      <w:r>
        <w:rPr>
          <w:b/>
          <w:i w:val="0"/>
        </w:rPr>
        <w:t>.</w:t>
      </w:r>
      <w:r>
        <w:rPr>
          <w:b w:val="0"/>
          <w:i w:val="0"/>
        </w:rPr>
        <w:t xml:space="preserve"> Printed forms: </w:t>
      </w:r>
      <w:r>
        <w:rPr>
          <w:b w:val="0"/>
          <w:i/>
        </w:rPr>
        <w:t>callet</w:t>
      </w:r>
      <w:r>
        <w:rPr>
          <w:b w:val="0"/>
          <w:i w:val="0"/>
        </w:rPr>
        <w:t xml:space="preserve">; </w:t>
      </w:r>
      <w:r>
        <w:rPr>
          <w:b w:val="0"/>
          <w:i/>
        </w:rPr>
        <w:t>inertes</w:t>
      </w:r>
      <w:r>
        <w:rPr>
          <w:b w:val="0"/>
          <w:i w:val="0"/>
        </w:rPr>
        <w:t>.</w:t>
      </w:r>
    </w:p>
    <w:p>
      <w:pPr>
        <w:widowControl/>
      </w:pPr>
      <w:r>
        <w:rPr>
          <w:b w:val="0"/>
          <w:i w:val="0"/>
        </w:rPr>
        <w:t xml:space="preserve">Unskilled or inactive / know thoroughly or master. The imperfect craftsperson deliberates; the accomplished one acts from settled proficiency. The contrast does not define all immediate acts as expert. References: </w:t>
      </w:r>
      <w:hyperlink w:anchor="passage-ii-13-18">
        <w:r>
          <w:rPr>
            <w:color w:val="000000"/>
          </w:rPr>
          <w:t xml:space="preserve">II.13.18</w:t>
        </w:r>
      </w:hyperlink>
      <w:r>
        <w:rPr>
          <w:b w:val="0"/>
          <w:i w:val="0"/>
        </w:rPr>
        <w:t xml:space="preserve">. See </w:t>
      </w:r>
      <w:hyperlink w:anchor="counsel-and-settled-skill">
        <w:r>
          <w:rPr>
            <w:color w:val="000000"/>
          </w:rPr>
          <w:t xml:space="preserve">Counsel and settled skill</w:t>
        </w:r>
      </w:hyperlink>
      <w:r>
        <w:rPr>
          <w:b w:val="0"/>
          <w:i w:val="0"/>
        </w:rPr>
        <w:t>.</w:t>
      </w:r>
    </w:p>
    <w:p>
      <w:pPr>
        <w:keepNext/>
        <w:widowControl/>
      </w:pPr>
      <w:bookmarkStart w:id="812" w:name="latin-record-0561"/>
      <w:bookmarkEnd w:id="812"/>
      <w:r>
        <w:rPr>
          <w:b/>
          <w:i w:val="0"/>
        </w:rPr>
        <w:t>inesse / adesse / insitus</w:t>
      </w:r>
      <w:r>
        <w:rPr>
          <w:b/>
          <w:i w:val="0"/>
        </w:rPr>
        <w:t>.</w:t>
      </w:r>
      <w:r>
        <w:rPr>
          <w:b w:val="0"/>
          <w:i w:val="0"/>
        </w:rPr>
        <w:t xml:space="preserve"> Printed forms: </w:t>
      </w:r>
      <w:r>
        <w:rPr>
          <w:b w:val="0"/>
          <w:i/>
        </w:rPr>
        <w:t>adesse</w:t>
      </w:r>
      <w:r>
        <w:rPr>
          <w:b w:val="0"/>
          <w:i w:val="0"/>
        </w:rPr>
        <w:t xml:space="preserve">; </w:t>
      </w:r>
      <w:r>
        <w:rPr>
          <w:b w:val="0"/>
          <w:i/>
        </w:rPr>
        <w:t>inesse</w:t>
      </w:r>
      <w:r>
        <w:rPr>
          <w:b w:val="0"/>
          <w:i w:val="0"/>
        </w:rPr>
        <w:t xml:space="preserve">; </w:t>
      </w:r>
      <w:r>
        <w:rPr>
          <w:b w:val="0"/>
          <w:i/>
        </w:rPr>
        <w:t>inest</w:t>
      </w:r>
      <w:r>
        <w:rPr>
          <w:b w:val="0"/>
          <w:i w:val="0"/>
        </w:rPr>
        <w:t xml:space="preserve">; </w:t>
      </w:r>
      <w:r>
        <w:rPr>
          <w:b w:val="0"/>
          <w:i/>
        </w:rPr>
        <w:t>insita</w:t>
      </w:r>
      <w:r>
        <w:rPr>
          <w:b w:val="0"/>
          <w:i w:val="0"/>
        </w:rPr>
        <w:t>.</w:t>
      </w:r>
    </w:p>
    <w:p>
      <w:pPr>
        <w:widowControl/>
      </w:pPr>
      <w:r>
        <w:rPr>
          <w:b w:val="0"/>
          <w:i w:val="0"/>
        </w:rPr>
        <w:t xml:space="preserve">To be within, be present, or be implanted. Presence may concern life in an element, desire within heaven, or productive seeds in a soul; these objects specify the kind of indwelling. References: </w:t>
      </w:r>
      <w:hyperlink w:anchor="passage-iv-1-1">
        <w:r>
          <w:rPr>
            <w:color w:val="000000"/>
          </w:rPr>
          <w:t xml:space="preserve">IV.1.1</w:t>
        </w:r>
      </w:hyperlink>
      <w:r>
        <w:rPr>
          <w:b w:val="0"/>
          <w:i w:val="0"/>
        </w:rPr>
        <w:t xml:space="preserve">, </w:t>
      </w:r>
      <w:hyperlink w:anchor="passage-iv-1-16">
        <w:r>
          <w:rPr>
            <w:color w:val="000000"/>
          </w:rPr>
          <w:t xml:space="preserve">IV.1.16</w:t>
        </w:r>
      </w:hyperlink>
      <w:r>
        <w:rPr>
          <w:b w:val="0"/>
          <w:i w:val="0"/>
        </w:rPr>
        <w:t xml:space="preserve">, </w:t>
      </w:r>
      <w:hyperlink w:anchor="passage-iv-1-34">
        <w:r>
          <w:rPr>
            <w:color w:val="000000"/>
          </w:rPr>
          <w:t xml:space="preserve">IV.1.34</w:t>
        </w:r>
      </w:hyperlink>
      <w:r>
        <w:rPr>
          <w:b w:val="0"/>
          <w:i w:val="0"/>
        </w:rPr>
        <w:t xml:space="preserve">, </w:t>
      </w:r>
      <w:hyperlink w:anchor="passage-iv-1-61">
        <w:r>
          <w:rPr>
            <w:color w:val="000000"/>
          </w:rPr>
          <w:t xml:space="preserve">IV.1.61</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813" w:name="latin-record-0562"/>
      <w:bookmarkEnd w:id="813"/>
      <w:r>
        <w:rPr>
          <w:b/>
          <w:i w:val="0"/>
        </w:rPr>
        <w:t>inesse / insitus</w:t>
      </w:r>
      <w:r>
        <w:rPr>
          <w:b/>
          <w:i w:val="0"/>
        </w:rPr>
        <w:t>.</w:t>
      </w:r>
      <w:r>
        <w:rPr>
          <w:b w:val="0"/>
          <w:i w:val="0"/>
        </w:rPr>
        <w:t xml:space="preserve"> Printed forms: </w:t>
      </w:r>
      <w:r>
        <w:rPr>
          <w:b w:val="0"/>
          <w:i/>
        </w:rPr>
        <w:t>inerit</w:t>
      </w:r>
      <w:r>
        <w:rPr>
          <w:b w:val="0"/>
          <w:i w:val="0"/>
        </w:rPr>
        <w:t xml:space="preserve">; </w:t>
      </w:r>
      <w:r>
        <w:rPr>
          <w:b w:val="0"/>
          <w:i/>
        </w:rPr>
        <w:t>insint</w:t>
      </w:r>
      <w:r>
        <w:rPr>
          <w:b w:val="0"/>
          <w:i w:val="0"/>
        </w:rPr>
        <w:t xml:space="preserve">; </w:t>
      </w:r>
      <w:r>
        <w:rPr>
          <w:b w:val="0"/>
          <w:i/>
        </w:rPr>
        <w:t>insitam</w:t>
      </w:r>
      <w:r>
        <w:rPr>
          <w:b w:val="0"/>
          <w:i w:val="0"/>
        </w:rPr>
        <w:t xml:space="preserve">; </w:t>
      </w:r>
      <w:r>
        <w:rPr>
          <w:b w:val="0"/>
          <w:i/>
        </w:rPr>
        <w:t>insunt</w:t>
      </w:r>
      <w:r>
        <w:rPr>
          <w:b w:val="0"/>
          <w:i w:val="0"/>
        </w:rPr>
        <w:t>.</w:t>
      </w:r>
    </w:p>
    <w:p>
      <w:pPr>
        <w:widowControl/>
      </w:pPr>
      <w:r>
        <w:rPr>
          <w:b w:val="0"/>
          <w:i w:val="0"/>
        </w:rPr>
        <w:t xml:space="preserve">To be in or inhere; implanted as a natural power. Being in a subject, co-presence without confusion, and essential power implanted in being require different contextual readings. References: </w:t>
      </w:r>
      <w:hyperlink w:anchor="passage-ii-1-3">
        <w:r>
          <w:rPr>
            <w:color w:val="000000"/>
          </w:rPr>
          <w:t xml:space="preserve">II.1.3</w:t>
        </w:r>
      </w:hyperlink>
      <w:r>
        <w:rPr>
          <w:b w:val="0"/>
          <w:i w:val="0"/>
        </w:rPr>
        <w:t xml:space="preserve">, </w:t>
      </w:r>
      <w:hyperlink w:anchor="passage-ii-4-5">
        <w:r>
          <w:rPr>
            <w:color w:val="000000"/>
          </w:rPr>
          <w:t xml:space="preserve">II.4.5</w:t>
        </w:r>
      </w:hyperlink>
      <w:r>
        <w:rPr>
          <w:b w:val="0"/>
          <w:i w:val="0"/>
        </w:rPr>
        <w:t xml:space="preserve">, </w:t>
      </w:r>
      <w:hyperlink w:anchor="passage-ii-6-14">
        <w:r>
          <w:rPr>
            <w:color w:val="000000"/>
          </w:rPr>
          <w:t xml:space="preserve">II.6.14</w:t>
        </w:r>
      </w:hyperlink>
      <w:r>
        <w:rPr>
          <w:b w:val="0"/>
          <w:i w:val="0"/>
        </w:rPr>
        <w:t xml:space="preserve">, </w:t>
      </w:r>
      <w:hyperlink w:anchor="passage-ii-8-2">
        <w:r>
          <w:rPr>
            <w:color w:val="000000"/>
          </w:rPr>
          <w:t xml:space="preserve">II.8.2</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814" w:name="latin-record-0563"/>
      <w:bookmarkEnd w:id="814"/>
      <w:r>
        <w:rPr>
          <w:b/>
          <w:i w:val="0"/>
        </w:rPr>
        <w:t>inesse / praeesse</w:t>
      </w:r>
      <w:r>
        <w:rPr>
          <w:b/>
          <w:i w:val="0"/>
        </w:rPr>
        <w:t>.</w:t>
      </w:r>
      <w:r>
        <w:rPr>
          <w:b w:val="0"/>
          <w:i w:val="0"/>
        </w:rPr>
        <w:t xml:space="preserve"> Printed forms: </w:t>
      </w:r>
      <w:r>
        <w:rPr>
          <w:b w:val="0"/>
          <w:i/>
        </w:rPr>
        <w:t>inesse</w:t>
      </w:r>
      <w:r>
        <w:rPr>
          <w:b w:val="0"/>
          <w:i w:val="0"/>
        </w:rPr>
        <w:t xml:space="preserve">; </w:t>
      </w:r>
      <w:r>
        <w:rPr>
          <w:b w:val="0"/>
          <w:i/>
        </w:rPr>
        <w:t>praeesse</w:t>
      </w:r>
      <w:r>
        <w:rPr>
          <w:b w:val="0"/>
          <w:i w:val="0"/>
        </w:rPr>
        <w:t>.</w:t>
      </w:r>
    </w:p>
    <w:p>
      <w:pPr>
        <w:widowControl/>
      </w:pPr>
      <w:r>
        <w:rPr>
          <w:b w:val="0"/>
          <w:i w:val="0"/>
        </w:rPr>
        <w:t xml:space="preserve">To be present in and to preside over. The incorporeal substance is argued both to penetrate bodies and to govern their qualities; presence and causal superiority are combined. References: </w:t>
      </w:r>
      <w:hyperlink w:anchor="passage-i-3-10">
        <w:r>
          <w:rPr>
            <w:color w:val="000000"/>
          </w:rPr>
          <w:t xml:space="preserve">I.3.10</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815" w:name="latin-record-0564"/>
      <w:bookmarkEnd w:id="815"/>
      <w:r>
        <w:rPr>
          <w:b/>
          <w:i w:val="0"/>
        </w:rPr>
        <w:t>inficio / inquino</w:t>
      </w:r>
      <w:r>
        <w:rPr>
          <w:b/>
          <w:i w:val="0"/>
        </w:rPr>
        <w:t>.</w:t>
      </w:r>
      <w:r>
        <w:rPr>
          <w:b w:val="0"/>
          <w:i w:val="0"/>
        </w:rPr>
        <w:t xml:space="preserve"> Printed forms: </w:t>
      </w:r>
      <w:r>
        <w:rPr>
          <w:b w:val="0"/>
          <w:i/>
        </w:rPr>
        <w:t>inficiente</w:t>
      </w:r>
      <w:r>
        <w:rPr>
          <w:b w:val="0"/>
          <w:i w:val="0"/>
        </w:rPr>
        <w:t xml:space="preserve">; </w:t>
      </w:r>
      <w:r>
        <w:rPr>
          <w:b w:val="0"/>
          <w:i/>
        </w:rPr>
        <w:t>inficitur</w:t>
      </w:r>
      <w:r>
        <w:rPr>
          <w:b w:val="0"/>
          <w:i w:val="0"/>
        </w:rPr>
        <w:t xml:space="preserve">; </w:t>
      </w:r>
      <w:r>
        <w:rPr>
          <w:b w:val="0"/>
          <w:i/>
        </w:rPr>
        <w:t>inquinetur</w:t>
      </w:r>
      <w:r>
        <w:rPr>
          <w:b w:val="0"/>
          <w:i w:val="0"/>
        </w:rPr>
        <w:t>.</w:t>
      </w:r>
    </w:p>
    <w:p>
      <w:pPr>
        <w:widowControl/>
      </w:pPr>
      <w:r>
        <w:rPr>
          <w:b w:val="0"/>
          <w:i w:val="0"/>
        </w:rPr>
        <w:t xml:space="preserve">To taint or impair in a mixture. Material form loses simplicity, unhindered action and agility; infection is metaphorical causal language rather than a medical diagnosis. References: </w:t>
      </w:r>
      <w:hyperlink w:anchor="passage-i-3-1">
        <w:r>
          <w:rPr>
            <w:color w:val="000000"/>
          </w:rPr>
          <w:t xml:space="preserve">I.3.1</w:t>
        </w:r>
      </w:hyperlink>
      <w:r>
        <w:rPr>
          <w:b w:val="0"/>
          <w:i w:val="0"/>
        </w:rPr>
        <w:t xml:space="preserve">, </w:t>
      </w:r>
      <w:hyperlink w:anchor="passage-i-3-21">
        <w:r>
          <w:rPr>
            <w:color w:val="000000"/>
          </w:rPr>
          <w:t xml:space="preserve">I.3.21</w:t>
        </w:r>
      </w:hyperlink>
      <w:r>
        <w:rPr>
          <w:b w:val="0"/>
          <w:i w:val="0"/>
        </w:rPr>
        <w:t xml:space="preserve">. See </w:t>
      </w:r>
      <w:hyperlink w:anchor="infection-lameness-and-lethe">
        <w:r>
          <w:rPr>
            <w:color w:val="000000"/>
          </w:rPr>
          <w:t xml:space="preserve">Infection, lameness and Lethe</w:t>
        </w:r>
      </w:hyperlink>
      <w:r>
        <w:rPr>
          <w:b w:val="0"/>
          <w:i w:val="0"/>
        </w:rPr>
        <w:t>.</w:t>
      </w:r>
    </w:p>
    <w:p>
      <w:pPr>
        <w:keepNext/>
        <w:widowControl/>
      </w:pPr>
      <w:bookmarkStart w:id="816" w:name="latin-record-0565"/>
      <w:bookmarkEnd w:id="816"/>
      <w:r>
        <w:rPr>
          <w:b/>
          <w:i w:val="0"/>
        </w:rPr>
        <w:t>infinite and almost countless</w:t>
      </w:r>
      <w:r>
        <w:rPr>
          <w:b/>
          <w:i w:val="0"/>
        </w:rPr>
        <w:t>.</w:t>
      </w:r>
      <w:r>
        <w:rPr>
          <w:b w:val="0"/>
          <w:i w:val="0"/>
        </w:rPr>
        <w:t xml:space="preserve"> Printed forms: </w:t>
      </w:r>
      <w:r>
        <w:rPr>
          <w:b w:val="0"/>
          <w:i/>
        </w:rPr>
        <w:t>paene innumeros</w:t>
      </w:r>
      <w:r>
        <w:rPr>
          <w:b w:val="0"/>
          <w:i w:val="0"/>
        </w:rPr>
        <w:t xml:space="preserve">; </w:t>
      </w:r>
      <w:r>
        <w:rPr>
          <w:b w:val="0"/>
          <w:i/>
        </w:rPr>
        <w:t>quasi innumeras</w:t>
      </w:r>
      <w:r>
        <w:rPr>
          <w:b w:val="0"/>
          <w:i w:val="0"/>
        </w:rPr>
        <w:t>.</w:t>
      </w:r>
    </w:p>
    <w:p>
      <w:pPr>
        <w:widowControl/>
      </w:pPr>
      <w:r>
        <w:rPr>
          <w:b w:val="0"/>
          <w:i w:val="0"/>
        </w:rPr>
        <w:t xml:space="preserve">Almost or virtually innumerable. These qualifications describe angelic abundance without simply asserting a completed actually infinite census. References: </w:t>
      </w:r>
      <w:hyperlink w:anchor="passage-i-5-23">
        <w:r>
          <w:rPr>
            <w:color w:val="000000"/>
          </w:rPr>
          <w:t xml:space="preserve">I.5.23</w:t>
        </w:r>
      </w:hyperlink>
      <w:r>
        <w:rPr>
          <w:b w:val="0"/>
          <w:i w:val="0"/>
        </w:rPr>
        <w:t xml:space="preserve">. See </w:t>
      </w:r>
      <w:hyperlink w:anchor="aristotle-avicenna-and-counting-minds">
        <w:r>
          <w:rPr>
            <w:color w:val="000000"/>
          </w:rPr>
          <w:t xml:space="preserve">Aristotle, Avicenna and counting minds</w:t>
        </w:r>
      </w:hyperlink>
      <w:r>
        <w:rPr>
          <w:b w:val="0"/>
          <w:i w:val="0"/>
        </w:rPr>
        <w:t>.</w:t>
      </w:r>
    </w:p>
    <w:p>
      <w:pPr>
        <w:keepNext/>
        <w:widowControl/>
      </w:pPr>
      <w:bookmarkStart w:id="817" w:name="latin-record-0566"/>
      <w:bookmarkEnd w:id="817"/>
      <w:r>
        <w:rPr>
          <w:b/>
          <w:i w:val="0"/>
        </w:rPr>
        <w:t>infinitus / infinitas / immensus / innumerus</w:t>
      </w:r>
      <w:r>
        <w:rPr>
          <w:b/>
          <w:i w:val="0"/>
        </w:rPr>
        <w:t>.</w:t>
      </w:r>
      <w:r>
        <w:rPr>
          <w:b w:val="0"/>
          <w:i w:val="0"/>
        </w:rPr>
        <w:t xml:space="preserve"> Printed forms: </w:t>
      </w:r>
      <w:r>
        <w:rPr>
          <w:b w:val="0"/>
          <w:i/>
        </w:rPr>
        <w:t>immensae</w:t>
      </w:r>
      <w:r>
        <w:rPr>
          <w:b w:val="0"/>
          <w:i w:val="0"/>
        </w:rPr>
        <w:t xml:space="preserve">; </w:t>
      </w:r>
      <w:r>
        <w:rPr>
          <w:b w:val="0"/>
          <w:i/>
        </w:rPr>
        <w:t>immensi</w:t>
      </w:r>
      <w:r>
        <w:rPr>
          <w:b w:val="0"/>
          <w:i w:val="0"/>
        </w:rPr>
        <w:t xml:space="preserve">; </w:t>
      </w:r>
      <w:r>
        <w:rPr>
          <w:b w:val="0"/>
          <w:i/>
        </w:rPr>
        <w:t>immensum</w:t>
      </w:r>
      <w:r>
        <w:rPr>
          <w:b w:val="0"/>
          <w:i w:val="0"/>
        </w:rPr>
        <w:t xml:space="preserve">; </w:t>
      </w:r>
      <w:r>
        <w:rPr>
          <w:b w:val="0"/>
          <w:i/>
        </w:rPr>
        <w:t>infinita</w:t>
      </w:r>
      <w:r>
        <w:rPr>
          <w:b w:val="0"/>
          <w:i w:val="0"/>
        </w:rPr>
        <w:t xml:space="preserve">; </w:t>
      </w:r>
      <w:r>
        <w:rPr>
          <w:b w:val="0"/>
          <w:i/>
        </w:rPr>
        <w:t>infinitae</w:t>
      </w:r>
      <w:r>
        <w:rPr>
          <w:b w:val="0"/>
          <w:i w:val="0"/>
        </w:rPr>
        <w:t xml:space="preserve">; </w:t>
      </w:r>
      <w:r>
        <w:rPr>
          <w:b w:val="0"/>
          <w:i/>
        </w:rPr>
        <w:t>infinitam</w:t>
      </w:r>
      <w:r>
        <w:rPr>
          <w:b w:val="0"/>
          <w:i w:val="0"/>
        </w:rPr>
        <w:t xml:space="preserve">; </w:t>
      </w:r>
      <w:r>
        <w:rPr>
          <w:b w:val="0"/>
          <w:i/>
        </w:rPr>
        <w:t>infinitarum</w:t>
      </w:r>
      <w:r>
        <w:rPr>
          <w:b w:val="0"/>
          <w:i w:val="0"/>
        </w:rPr>
        <w:t xml:space="preserve">; </w:t>
      </w:r>
      <w:r>
        <w:rPr>
          <w:b w:val="0"/>
          <w:i/>
        </w:rPr>
        <w:t>infinitatem</w:t>
      </w:r>
      <w:r>
        <w:rPr>
          <w:b w:val="0"/>
          <w:i w:val="0"/>
        </w:rPr>
        <w:t xml:space="preserve">; </w:t>
      </w:r>
      <w:r>
        <w:rPr>
          <w:b w:val="0"/>
          <w:i/>
        </w:rPr>
        <w:t>infinitis</w:t>
      </w:r>
      <w:r>
        <w:rPr>
          <w:b w:val="0"/>
          <w:i w:val="0"/>
        </w:rPr>
        <w:t xml:space="preserve">; </w:t>
      </w:r>
      <w:r>
        <w:rPr>
          <w:b w:val="0"/>
          <w:i/>
        </w:rPr>
        <w:t>infinitos</w:t>
      </w:r>
      <w:r>
        <w:rPr>
          <w:b w:val="0"/>
          <w:i w:val="0"/>
        </w:rPr>
        <w:t xml:space="preserve">; </w:t>
      </w:r>
      <w:r>
        <w:rPr>
          <w:b w:val="0"/>
          <w:i/>
        </w:rPr>
        <w:t>infinitum</w:t>
      </w:r>
      <w:r>
        <w:rPr>
          <w:b w:val="0"/>
          <w:i w:val="0"/>
        </w:rPr>
        <w:t xml:space="preserve">; </w:t>
      </w:r>
      <w:r>
        <w:rPr>
          <w:b w:val="0"/>
          <w:i/>
        </w:rPr>
        <w:t>infinitus</w:t>
      </w:r>
      <w:r>
        <w:rPr>
          <w:b w:val="0"/>
          <w:i w:val="0"/>
        </w:rPr>
        <w:t xml:space="preserve">; </w:t>
      </w:r>
      <w:r>
        <w:rPr>
          <w:b w:val="0"/>
          <w:i/>
        </w:rPr>
        <w:t>innumerabilia</w:t>
      </w:r>
      <w:r>
        <w:rPr>
          <w:b w:val="0"/>
          <w:i w:val="0"/>
        </w:rPr>
        <w:t xml:space="preserve">; </w:t>
      </w:r>
      <w:r>
        <w:rPr>
          <w:b w:val="0"/>
          <w:i/>
        </w:rPr>
        <w:t>innumeras</w:t>
      </w:r>
      <w:r>
        <w:rPr>
          <w:b w:val="0"/>
          <w:i w:val="0"/>
        </w:rPr>
        <w:t xml:space="preserve">; </w:t>
      </w:r>
      <w:r>
        <w:rPr>
          <w:b w:val="0"/>
          <w:i/>
        </w:rPr>
        <w:t>innumere</w:t>
      </w:r>
      <w:r>
        <w:rPr>
          <w:b w:val="0"/>
          <w:i w:val="0"/>
        </w:rPr>
        <w:t xml:space="preserve">; </w:t>
      </w:r>
      <w:r>
        <w:rPr>
          <w:b w:val="0"/>
          <w:i/>
        </w:rPr>
        <w:t>interminabili</w:t>
      </w:r>
      <w:r>
        <w:rPr>
          <w:b w:val="0"/>
          <w:i w:val="0"/>
        </w:rPr>
        <w:t>.</w:t>
      </w:r>
    </w:p>
    <w:p>
      <w:pPr>
        <w:widowControl/>
      </w:pPr>
      <w:r>
        <w:rPr>
          <w:b w:val="0"/>
          <w:i w:val="0"/>
        </w:rPr>
        <w:t xml:space="preserve">Unbounded, immeasurable, or without number, with actual infinity distinguished from indefinite capacity. The rejection of an endless dependent causal regress does not reject every potential infinity or divine actual infinity. References: </w:t>
      </w:r>
      <w:hyperlink w:anchor="passage-ii-3-9">
        <w:r>
          <w:rPr>
            <w:color w:val="000000"/>
          </w:rPr>
          <w:t xml:space="preserve">II.3.9</w:t>
        </w:r>
      </w:hyperlink>
      <w:r>
        <w:rPr>
          <w:b w:val="0"/>
          <w:i w:val="0"/>
        </w:rPr>
        <w:t xml:space="preserve">, </w:t>
      </w:r>
      <w:hyperlink w:anchor="passage-ii-4-8">
        <w:r>
          <w:rPr>
            <w:color w:val="000000"/>
          </w:rPr>
          <w:t xml:space="preserve">II.4.8</w:t>
        </w:r>
      </w:hyperlink>
      <w:r>
        <w:rPr>
          <w:b w:val="0"/>
          <w:i w:val="0"/>
        </w:rPr>
        <w:t xml:space="preserve">, </w:t>
      </w:r>
      <w:hyperlink w:anchor="passage-ii-6-6">
        <w:r>
          <w:rPr>
            <w:color w:val="000000"/>
          </w:rPr>
          <w:t xml:space="preserve">II.6.6</w:t>
        </w:r>
      </w:hyperlink>
      <w:r>
        <w:rPr>
          <w:b w:val="0"/>
          <w:i w:val="0"/>
        </w:rPr>
        <w:t xml:space="preserve">, </w:t>
      </w:r>
      <w:hyperlink w:anchor="passage-ii-10-3">
        <w:r>
          <w:rPr>
            <w:color w:val="000000"/>
          </w:rPr>
          <w:t xml:space="preserve">II.10.3</w:t>
        </w:r>
      </w:hyperlink>
      <w:r>
        <w:rPr>
          <w:b w:val="0"/>
          <w:i w:val="0"/>
        </w:rPr>
        <w:t xml:space="preserve">. See </w:t>
      </w:r>
      <w:hyperlink w:anchor="infinity">
        <w:r>
          <w:rPr>
            <w:color w:val="000000"/>
          </w:rPr>
          <w:t xml:space="preserve">Infinity</w:t>
        </w:r>
      </w:hyperlink>
      <w:r>
        <w:rPr>
          <w:b w:val="0"/>
          <w:i w:val="0"/>
        </w:rPr>
        <w:t>.</w:t>
      </w:r>
    </w:p>
    <w:p>
      <w:pPr>
        <w:keepNext/>
        <w:widowControl/>
      </w:pPr>
      <w:bookmarkStart w:id="818" w:name="latin-record-0567"/>
      <w:bookmarkEnd w:id="818"/>
      <w:r>
        <w:rPr>
          <w:b/>
          <w:i w:val="0"/>
        </w:rPr>
        <w:t>influxus</w:t>
      </w:r>
      <w:r>
        <w:rPr>
          <w:b/>
          <w:i w:val="0"/>
        </w:rPr>
        <w:t>.</w:t>
      </w:r>
      <w:r>
        <w:rPr>
          <w:b w:val="0"/>
          <w:i w:val="0"/>
        </w:rPr>
        <w:t xml:space="preserve"> Printed forms: </w:t>
      </w:r>
      <w:r>
        <w:rPr>
          <w:b w:val="0"/>
          <w:i/>
        </w:rPr>
        <w:t>influxum</w:t>
      </w:r>
      <w:r>
        <w:rPr>
          <w:b w:val="0"/>
          <w:i w:val="0"/>
        </w:rPr>
        <w:t>.</w:t>
      </w:r>
    </w:p>
    <w:p>
      <w:pPr>
        <w:widowControl/>
      </w:pPr>
      <w:r>
        <w:rPr>
          <w:b w:val="0"/>
          <w:i w:val="0"/>
        </w:rPr>
        <w:t xml:space="preserve">An inflow or received influence. The soul’s actual understanding is assigned to the influence of what is always actual; it is a causal metaphor rather than a physical fluid. References: </w:t>
      </w:r>
      <w:hyperlink w:anchor="passage-i-5-10">
        <w:r>
          <w:rPr>
            <w:color w:val="000000"/>
          </w:rPr>
          <w:t xml:space="preserve">I.5.10</w:t>
        </w:r>
      </w:hyperlink>
      <w:r>
        <w:rPr>
          <w:b w:val="0"/>
          <w:i w:val="0"/>
        </w:rPr>
        <w:t xml:space="preserve">. See </w:t>
      </w:r>
      <w:hyperlink w:anchor="communication-and-imparting">
        <w:r>
          <w:rPr>
            <w:color w:val="000000"/>
          </w:rPr>
          <w:t xml:space="preserve">Communication and imparting</w:t>
        </w:r>
      </w:hyperlink>
      <w:r>
        <w:rPr>
          <w:b w:val="0"/>
          <w:i w:val="0"/>
        </w:rPr>
        <w:t>.</w:t>
      </w:r>
    </w:p>
    <w:p>
      <w:pPr>
        <w:keepNext/>
        <w:widowControl/>
      </w:pPr>
      <w:bookmarkStart w:id="819" w:name="latin-record-0568"/>
      <w:bookmarkEnd w:id="819"/>
      <w:r>
        <w:rPr>
          <w:b/>
          <w:i w:val="0"/>
        </w:rPr>
        <w:t>influxus / instinctus</w:t>
      </w:r>
      <w:r>
        <w:rPr>
          <w:b/>
          <w:i w:val="0"/>
        </w:rPr>
        <w:t>.</w:t>
      </w:r>
      <w:r>
        <w:rPr>
          <w:b w:val="0"/>
          <w:i w:val="0"/>
        </w:rPr>
        <w:t xml:space="preserve"> Printed forms: </w:t>
      </w:r>
      <w:r>
        <w:rPr>
          <w:b w:val="0"/>
          <w:i/>
        </w:rPr>
        <w:t>influxibus</w:t>
      </w:r>
      <w:r>
        <w:rPr>
          <w:b w:val="0"/>
          <w:i w:val="0"/>
        </w:rPr>
        <w:t xml:space="preserve">; </w:t>
      </w:r>
      <w:r>
        <w:rPr>
          <w:b w:val="0"/>
          <w:i/>
        </w:rPr>
        <w:t>influxus</w:t>
      </w:r>
      <w:r>
        <w:rPr>
          <w:b w:val="0"/>
          <w:i w:val="0"/>
        </w:rPr>
        <w:t xml:space="preserve">; </w:t>
      </w:r>
      <w:r>
        <w:rPr>
          <w:b w:val="0"/>
          <w:i/>
        </w:rPr>
        <w:t>instinctus</w:t>
      </w:r>
      <w:r>
        <w:rPr>
          <w:b w:val="0"/>
          <w:i w:val="0"/>
        </w:rPr>
        <w:t>.</w:t>
      </w:r>
    </w:p>
    <w:p>
      <w:pPr>
        <w:widowControl/>
      </w:pPr>
      <w:r>
        <w:rPr>
          <w:b w:val="0"/>
          <w:i w:val="0"/>
        </w:rPr>
        <w:t xml:space="preserve">An incoming influence or impulse from a higher cause. The common celestial impulse is treated as an instrument requiring a proximate substantial source for local generation. References: </w:t>
      </w:r>
      <w:hyperlink w:anchor="passage-iv-1-3">
        <w:r>
          <w:rPr>
            <w:color w:val="000000"/>
          </w:rPr>
          <w:t xml:space="preserve">IV.1.3</w:t>
        </w:r>
      </w:hyperlink>
      <w:r>
        <w:rPr>
          <w:b w:val="0"/>
          <w:i w:val="0"/>
        </w:rPr>
        <w:t xml:space="preserve">, </w:t>
      </w:r>
      <w:hyperlink w:anchor="passage-iv-1-4">
        <w:r>
          <w:rPr>
            <w:color w:val="000000"/>
          </w:rPr>
          <w:t xml:space="preserve">IV.1.4</w:t>
        </w:r>
      </w:hyperlink>
      <w:r>
        <w:rPr>
          <w:b w:val="0"/>
          <w:i w:val="0"/>
        </w:rPr>
        <w:t xml:space="preserve">. See </w:t>
      </w:r>
      <w:hyperlink w:anchor="celestial-influence">
        <w:r>
          <w:rPr>
            <w:color w:val="000000"/>
          </w:rPr>
          <w:t xml:space="preserve">Celestial influence</w:t>
        </w:r>
      </w:hyperlink>
      <w:r>
        <w:rPr>
          <w:b w:val="0"/>
          <w:i w:val="0"/>
        </w:rPr>
        <w:t>.</w:t>
      </w:r>
    </w:p>
    <w:p>
      <w:pPr>
        <w:keepNext/>
        <w:widowControl/>
      </w:pPr>
      <w:bookmarkStart w:id="820" w:name="latin-record-0569"/>
      <w:bookmarkEnd w:id="820"/>
      <w:r>
        <w:rPr>
          <w:b/>
          <w:i w:val="0"/>
        </w:rPr>
        <w:t>informis / informe subiectum</w:t>
      </w:r>
      <w:r>
        <w:rPr>
          <w:b/>
          <w:i w:val="0"/>
        </w:rPr>
        <w:t>.</w:t>
      </w:r>
      <w:r>
        <w:rPr>
          <w:b w:val="0"/>
          <w:i w:val="0"/>
        </w:rPr>
        <w:t xml:space="preserve"> Printed forms: </w:t>
      </w:r>
      <w:r>
        <w:rPr>
          <w:b w:val="0"/>
          <w:i/>
        </w:rPr>
        <w:t>informe</w:t>
      </w:r>
      <w:r>
        <w:rPr>
          <w:b w:val="0"/>
          <w:i w:val="0"/>
        </w:rPr>
        <w:t xml:space="preserve">; </w:t>
      </w:r>
      <w:r>
        <w:rPr>
          <w:b w:val="0"/>
          <w:i/>
        </w:rPr>
        <w:t>informe subiectum</w:t>
      </w:r>
      <w:r>
        <w:rPr>
          <w:b w:val="0"/>
          <w:i w:val="0"/>
        </w:rPr>
        <w:t xml:space="preserve">; </w:t>
      </w:r>
      <w:r>
        <w:rPr>
          <w:b w:val="0"/>
          <w:i/>
        </w:rPr>
        <w:t>informis</w:t>
      </w:r>
      <w:r>
        <w:rPr>
          <w:b w:val="0"/>
          <w:i w:val="0"/>
        </w:rPr>
        <w:t>.</w:t>
      </w:r>
    </w:p>
    <w:p>
      <w:pPr>
        <w:widowControl/>
      </w:pPr>
      <w:r>
        <w:rPr>
          <w:b w:val="0"/>
          <w:i w:val="0"/>
        </w:rPr>
        <w:t xml:space="preserve">Formless, or a formless substrate. Prime matter’s equal openness to forms is contrasted with the active source that gives it different forms at different times and places. References: </w:t>
      </w:r>
      <w:hyperlink w:anchor="passage-i-3-6">
        <w:r>
          <w:rPr>
            <w:color w:val="000000"/>
          </w:rPr>
          <w:t xml:space="preserve">I.3.6</w:t>
        </w:r>
      </w:hyperlink>
      <w:r>
        <w:rPr>
          <w:b w:val="0"/>
          <w:i w:val="0"/>
        </w:rPr>
        <w:t xml:space="preserve">. See </w:t>
      </w:r>
      <w:hyperlink w:anchor="matter">
        <w:r>
          <w:rPr>
            <w:color w:val="000000"/>
          </w:rPr>
          <w:t xml:space="preserve">Matter</w:t>
        </w:r>
      </w:hyperlink>
      <w:r>
        <w:rPr>
          <w:b w:val="0"/>
          <w:i w:val="0"/>
        </w:rPr>
        <w:t>.</w:t>
      </w:r>
    </w:p>
    <w:p>
      <w:pPr>
        <w:keepNext/>
        <w:widowControl/>
      </w:pPr>
      <w:bookmarkStart w:id="821" w:name="latin-record-0570"/>
      <w:bookmarkEnd w:id="821"/>
      <w:r>
        <w:rPr>
          <w:b/>
          <w:i w:val="0"/>
        </w:rPr>
        <w:t>informis / ornatus</w:t>
      </w:r>
      <w:r>
        <w:rPr>
          <w:b/>
          <w:i w:val="0"/>
        </w:rPr>
        <w:t>.</w:t>
      </w:r>
      <w:r>
        <w:rPr>
          <w:b w:val="0"/>
          <w:i w:val="0"/>
        </w:rPr>
        <w:t xml:space="preserve"> Printed forms: </w:t>
      </w:r>
      <w:r>
        <w:rPr>
          <w:b w:val="0"/>
          <w:i/>
        </w:rPr>
        <w:t>informis</w:t>
      </w:r>
      <w:r>
        <w:rPr>
          <w:b w:val="0"/>
          <w:i w:val="0"/>
        </w:rPr>
        <w:t xml:space="preserve">; </w:t>
      </w:r>
      <w:r>
        <w:rPr>
          <w:b w:val="0"/>
          <w:i/>
        </w:rPr>
        <w:t>ornatum</w:t>
      </w:r>
      <w:r>
        <w:rPr>
          <w:b w:val="0"/>
          <w:i w:val="0"/>
        </w:rPr>
        <w:t>.</w:t>
      </w:r>
    </w:p>
    <w:p>
      <w:pPr>
        <w:widowControl/>
      </w:pPr>
      <w:r>
        <w:rPr>
          <w:b w:val="0"/>
          <w:i w:val="0"/>
        </w:rPr>
        <w:t xml:space="preserve">Unformed / adornment or ordered array. Angel’s essence is described as receptive before illumination in an explanatory order, receiving the ornament of forms and ideas. References: </w:t>
      </w:r>
      <w:hyperlink w:anchor="passage-iii-1-12">
        <w:r>
          <w:rPr>
            <w:color w:val="000000"/>
          </w:rPr>
          <w:t xml:space="preserve">III.1.12</w:t>
        </w:r>
      </w:hyperlink>
      <w:r>
        <w:rPr>
          <w:b w:val="0"/>
          <w:i w:val="0"/>
        </w:rPr>
        <w:t xml:space="preserve">. See </w:t>
      </w:r>
      <w:hyperlink w:anchor="angel">
        <w:r>
          <w:rPr>
            <w:color w:val="000000"/>
          </w:rPr>
          <w:t xml:space="preserve">Angel</w:t>
        </w:r>
      </w:hyperlink>
      <w:r>
        <w:rPr>
          <w:b w:val="0"/>
          <w:i w:val="0"/>
        </w:rPr>
        <w:t>.</w:t>
      </w:r>
    </w:p>
    <w:p>
      <w:pPr>
        <w:keepNext/>
        <w:widowControl/>
      </w:pPr>
      <w:bookmarkStart w:id="822" w:name="latin-record-0571"/>
      <w:bookmarkEnd w:id="822"/>
      <w:r>
        <w:rPr>
          <w:b/>
          <w:i w:val="0"/>
        </w:rPr>
        <w:t>infusio / infundere</w:t>
      </w:r>
      <w:r>
        <w:rPr>
          <w:b/>
          <w:i w:val="0"/>
        </w:rPr>
        <w:t>.</w:t>
      </w:r>
      <w:r>
        <w:rPr>
          <w:b w:val="0"/>
          <w:i w:val="0"/>
        </w:rPr>
        <w:t xml:space="preserve"> Printed forms: </w:t>
      </w:r>
      <w:r>
        <w:rPr>
          <w:b w:val="0"/>
          <w:i/>
        </w:rPr>
        <w:t>infundit</w:t>
      </w:r>
      <w:r>
        <w:rPr>
          <w:b w:val="0"/>
          <w:i w:val="0"/>
        </w:rPr>
        <w:t xml:space="preserve">; </w:t>
      </w:r>
      <w:r>
        <w:rPr>
          <w:b w:val="0"/>
          <w:i/>
        </w:rPr>
        <w:t>Infusio</w:t>
      </w:r>
      <w:r>
        <w:rPr>
          <w:b w:val="0"/>
          <w:i w:val="0"/>
        </w:rPr>
        <w:t>.</w:t>
      </w:r>
    </w:p>
    <w:p>
      <w:pPr>
        <w:widowControl/>
      </w:pPr>
      <w:r>
        <w:rPr>
          <w:b w:val="0"/>
          <w:i w:val="0"/>
        </w:rPr>
        <w:t xml:space="preserve">Influx or imparting / pour into. Higher activity is described as stable and immediate, while a receiver’s nature explains successive results. References: </w:t>
      </w:r>
      <w:hyperlink w:anchor="passage-iii-1-31">
        <w:r>
          <w:rPr>
            <w:color w:val="000000"/>
          </w:rPr>
          <w:t xml:space="preserve">III.1.31</w:t>
        </w:r>
      </w:hyperlink>
      <w:r>
        <w:rPr>
          <w:b w:val="0"/>
          <w:i w:val="0"/>
        </w:rPr>
        <w:t xml:space="preserve">, </w:t>
      </w:r>
      <w:hyperlink w:anchor="passage-iii-1-32">
        <w:r>
          <w:rPr>
            <w:color w:val="000000"/>
          </w:rPr>
          <w:t xml:space="preserve">III.1.32</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823" w:name="latin-record-0572"/>
      <w:bookmarkEnd w:id="823"/>
      <w:r>
        <w:rPr>
          <w:b/>
          <w:i w:val="0"/>
        </w:rPr>
        <w:t>ingenium</w:t>
      </w:r>
      <w:r>
        <w:rPr>
          <w:b/>
          <w:i w:val="0"/>
        </w:rPr>
        <w:t>.</w:t>
      </w:r>
      <w:r>
        <w:rPr>
          <w:b w:val="0"/>
          <w:i w:val="0"/>
        </w:rPr>
        <w:t xml:space="preserve"> Printed forms: </w:t>
      </w:r>
      <w:r>
        <w:rPr>
          <w:b w:val="0"/>
          <w:i/>
        </w:rPr>
        <w:t>ingenia</w:t>
      </w:r>
      <w:r>
        <w:rPr>
          <w:b w:val="0"/>
          <w:i w:val="0"/>
        </w:rPr>
        <w:t xml:space="preserve">; </w:t>
      </w:r>
      <w:r>
        <w:rPr>
          <w:b w:val="0"/>
          <w:i/>
        </w:rPr>
        <w:t>ingenio</w:t>
      </w:r>
      <w:r>
        <w:rPr>
          <w:b w:val="0"/>
          <w:i w:val="0"/>
        </w:rPr>
        <w:t>.</w:t>
      </w:r>
    </w:p>
    <w:p>
      <w:pPr>
        <w:widowControl/>
      </w:pPr>
      <w:r>
        <w:rPr>
          <w:b w:val="0"/>
          <w:i w:val="0"/>
        </w:rPr>
        <w:t xml:space="preserve">A mental disposition or native intellectual capacity. The Proem contrasts perverse dispositions resisting law with Lorenzo’s praised ingenuity; the word is not uniformly a technical term for intellect. References: </w:t>
      </w:r>
      <w:hyperlink w:anchor="passage-proem-8">
        <w:r>
          <w:rPr>
            <w:color w:val="000000"/>
          </w:rPr>
          <w:t xml:space="preserve">Proem.8</w:t>
        </w:r>
      </w:hyperlink>
      <w:r>
        <w:rPr>
          <w:b w:val="0"/>
          <w:i w:val="0"/>
        </w:rPr>
        <w:t xml:space="preserve">, </w:t>
      </w:r>
      <w:hyperlink w:anchor="passage-proem-11">
        <w:r>
          <w:rPr>
            <w:color w:val="000000"/>
          </w:rPr>
          <w:t xml:space="preserve">Proem.11</w:t>
        </w:r>
      </w:hyperlink>
      <w:r>
        <w:rPr>
          <w:b w:val="0"/>
          <w:i w:val="0"/>
        </w:rPr>
        <w:t xml:space="preserve">. See </w:t>
      </w:r>
      <w:hyperlink w:anchor="mind">
        <w:r>
          <w:rPr>
            <w:color w:val="000000"/>
          </w:rPr>
          <w:t xml:space="preserve">Mind</w:t>
        </w:r>
      </w:hyperlink>
      <w:r>
        <w:rPr>
          <w:b w:val="0"/>
          <w:i w:val="0"/>
        </w:rPr>
        <w:t>.</w:t>
      </w:r>
    </w:p>
    <w:p>
      <w:pPr>
        <w:keepNext/>
        <w:widowControl/>
      </w:pPr>
      <w:bookmarkStart w:id="824" w:name="latin-record-0573"/>
      <w:bookmarkEnd w:id="824"/>
      <w:r>
        <w:rPr>
          <w:b/>
          <w:i w:val="0"/>
        </w:rPr>
        <w:t>inhaereo / sustineo</w:t>
      </w:r>
      <w:r>
        <w:rPr>
          <w:b/>
          <w:i w:val="0"/>
        </w:rPr>
        <w:t>.</w:t>
      </w:r>
      <w:r>
        <w:rPr>
          <w:b w:val="0"/>
          <w:i w:val="0"/>
        </w:rPr>
        <w:t xml:space="preserve"> Printed forms: </w:t>
      </w:r>
      <w:r>
        <w:rPr>
          <w:b w:val="0"/>
          <w:i/>
        </w:rPr>
        <w:t>inhaeret</w:t>
      </w:r>
      <w:r>
        <w:rPr>
          <w:b w:val="0"/>
          <w:i w:val="0"/>
        </w:rPr>
        <w:t xml:space="preserve">; </w:t>
      </w:r>
      <w:r>
        <w:rPr>
          <w:b w:val="0"/>
          <w:i/>
        </w:rPr>
        <w:t>sustinet</w:t>
      </w:r>
      <w:r>
        <w:rPr>
          <w:b w:val="0"/>
          <w:i w:val="0"/>
        </w:rPr>
        <w:t xml:space="preserve">; </w:t>
      </w:r>
      <w:r>
        <w:rPr>
          <w:b w:val="0"/>
          <w:i/>
        </w:rPr>
        <w:t>sustinetur</w:t>
      </w:r>
      <w:r>
        <w:rPr>
          <w:b w:val="0"/>
          <w:i w:val="0"/>
        </w:rPr>
        <w:t>.</w:t>
      </w:r>
    </w:p>
    <w:p>
      <w:pPr>
        <w:widowControl/>
      </w:pPr>
      <w:r>
        <w:rPr>
          <w:b w:val="0"/>
          <w:i w:val="0"/>
        </w:rPr>
        <w:t xml:space="preserve">To inhere; to support or be supported. Quality depends on its material subject and cannot sustain itself independently; the spatial language explains ontological reliance. References: </w:t>
      </w:r>
      <w:hyperlink w:anchor="passage-i-3-4">
        <w:r>
          <w:rPr>
            <w:color w:val="000000"/>
          </w:rPr>
          <w:t xml:space="preserve">I.3.4</w:t>
        </w:r>
      </w:hyperlink>
      <w:r>
        <w:rPr>
          <w:b w:val="0"/>
          <w:i w:val="0"/>
        </w:rPr>
        <w:t xml:space="preserve">. See </w:t>
      </w:r>
      <w:hyperlink w:anchor="support-inherence-and-dependence">
        <w:r>
          <w:rPr>
            <w:color w:val="000000"/>
          </w:rPr>
          <w:t xml:space="preserve">Support, inherence and dependence</w:t>
        </w:r>
      </w:hyperlink>
      <w:r>
        <w:rPr>
          <w:b w:val="0"/>
          <w:i w:val="0"/>
        </w:rPr>
        <w:t>.</w:t>
      </w:r>
    </w:p>
    <w:p>
      <w:pPr>
        <w:keepNext/>
        <w:widowControl/>
      </w:pPr>
      <w:bookmarkStart w:id="825" w:name="latin-record-0574"/>
      <w:bookmarkEnd w:id="825"/>
      <w:r>
        <w:rPr>
          <w:b/>
          <w:i w:val="0"/>
        </w:rPr>
        <w:t>initium / incipere / desinere</w:t>
      </w:r>
      <w:r>
        <w:rPr>
          <w:b/>
          <w:i w:val="0"/>
        </w:rPr>
        <w:t>.</w:t>
      </w:r>
      <w:r>
        <w:rPr>
          <w:b w:val="0"/>
          <w:i w:val="0"/>
        </w:rPr>
        <w:t xml:space="preserve"> Printed forms: </w:t>
      </w:r>
      <w:r>
        <w:rPr>
          <w:b w:val="0"/>
          <w:i/>
        </w:rPr>
        <w:t>desinere</w:t>
      </w:r>
      <w:r>
        <w:rPr>
          <w:b w:val="0"/>
          <w:i w:val="0"/>
        </w:rPr>
        <w:t xml:space="preserve">; </w:t>
      </w:r>
      <w:r>
        <w:rPr>
          <w:b w:val="0"/>
          <w:i/>
        </w:rPr>
        <w:t>desivisse</w:t>
      </w:r>
      <w:r>
        <w:rPr>
          <w:b w:val="0"/>
          <w:i w:val="0"/>
        </w:rPr>
        <w:t xml:space="preserve">; </w:t>
      </w:r>
      <w:r>
        <w:rPr>
          <w:b w:val="0"/>
          <w:i/>
        </w:rPr>
        <w:t>incepisse</w:t>
      </w:r>
      <w:r>
        <w:rPr>
          <w:b w:val="0"/>
          <w:i w:val="0"/>
        </w:rPr>
        <w:t xml:space="preserve">; </w:t>
      </w:r>
      <w:r>
        <w:rPr>
          <w:b w:val="0"/>
          <w:i/>
        </w:rPr>
        <w:t>incepit</w:t>
      </w:r>
      <w:r>
        <w:rPr>
          <w:b w:val="0"/>
          <w:i w:val="0"/>
        </w:rPr>
        <w:t xml:space="preserve">; </w:t>
      </w:r>
      <w:r>
        <w:rPr>
          <w:b w:val="0"/>
          <w:i/>
        </w:rPr>
        <w:t>incepturam</w:t>
      </w:r>
      <w:r>
        <w:rPr>
          <w:b w:val="0"/>
          <w:i w:val="0"/>
        </w:rPr>
        <w:t xml:space="preserve">; </w:t>
      </w:r>
      <w:r>
        <w:rPr>
          <w:b w:val="0"/>
          <w:i/>
        </w:rPr>
        <w:t>incipere</w:t>
      </w:r>
      <w:r>
        <w:rPr>
          <w:b w:val="0"/>
          <w:i w:val="0"/>
        </w:rPr>
        <w:t xml:space="preserve">; </w:t>
      </w:r>
      <w:r>
        <w:rPr>
          <w:b w:val="0"/>
          <w:i/>
        </w:rPr>
        <w:t>inciperet</w:t>
      </w:r>
      <w:r>
        <w:rPr>
          <w:b w:val="0"/>
          <w:i w:val="0"/>
        </w:rPr>
        <w:t xml:space="preserve">; </w:t>
      </w:r>
      <w:r>
        <w:rPr>
          <w:b w:val="0"/>
          <w:i/>
        </w:rPr>
        <w:t>initium</w:t>
      </w:r>
      <w:r>
        <w:rPr>
          <w:b w:val="0"/>
          <w:i w:val="0"/>
        </w:rPr>
        <w:t>.</w:t>
      </w:r>
    </w:p>
    <w:p>
      <w:pPr>
        <w:widowControl/>
      </w:pPr>
      <w:r>
        <w:rPr>
          <w:b w:val="0"/>
          <w:i w:val="0"/>
        </w:rPr>
        <w:t xml:space="preserve">Beginning and ceasing, distinct from natural or causal priority. Truth’s supposed temporal limits presuppose truth before and after them; prior choices cannot regress indefinitely. References: </w:t>
      </w:r>
      <w:hyperlink w:anchor="passage-ii-5-1">
        <w:r>
          <w:rPr>
            <w:color w:val="000000"/>
          </w:rPr>
          <w:t xml:space="preserve">II.5.1</w:t>
        </w:r>
      </w:hyperlink>
      <w:r>
        <w:rPr>
          <w:b w:val="0"/>
          <w:i w:val="0"/>
        </w:rPr>
        <w:t xml:space="preserve">, </w:t>
      </w:r>
      <w:hyperlink w:anchor="passage-ii-7-18">
        <w:r>
          <w:rPr>
            <w:color w:val="000000"/>
          </w:rPr>
          <w:t xml:space="preserve">II.7.18</w:t>
        </w:r>
      </w:hyperlink>
      <w:r>
        <w:rPr>
          <w:b w:val="0"/>
          <w:i w:val="0"/>
        </w:rPr>
        <w:t xml:space="preserve">, </w:t>
      </w:r>
      <w:hyperlink w:anchor="passage-ii-8-3">
        <w:r>
          <w:rPr>
            <w:color w:val="000000"/>
          </w:rPr>
          <w:t xml:space="preserve">II.8.3</w:t>
        </w:r>
      </w:hyperlink>
      <w:r>
        <w:rPr>
          <w:b w:val="0"/>
          <w:i w:val="0"/>
        </w:rPr>
        <w:t xml:space="preserve">. See </w:t>
      </w:r>
      <w:hyperlink w:anchor="beginning-and-ceasing">
        <w:r>
          <w:rPr>
            <w:color w:val="000000"/>
          </w:rPr>
          <w:t xml:space="preserve">Beginning and ceasing</w:t>
        </w:r>
      </w:hyperlink>
      <w:r>
        <w:rPr>
          <w:b w:val="0"/>
          <w:i w:val="0"/>
        </w:rPr>
        <w:t>.</w:t>
      </w:r>
    </w:p>
    <w:p>
      <w:pPr>
        <w:keepNext/>
        <w:widowControl/>
      </w:pPr>
      <w:bookmarkStart w:id="826" w:name="latin-record-0575"/>
      <w:bookmarkEnd w:id="826"/>
      <w:r>
        <w:rPr>
          <w:b/>
          <w:i w:val="0"/>
        </w:rPr>
        <w:t>inniti / subsistere</w:t>
      </w:r>
      <w:r>
        <w:rPr>
          <w:b/>
          <w:i w:val="0"/>
        </w:rPr>
        <w:t>.</w:t>
      </w:r>
      <w:r>
        <w:rPr>
          <w:b w:val="0"/>
          <w:i w:val="0"/>
        </w:rPr>
        <w:t xml:space="preserve"> Printed forms: </w:t>
      </w:r>
      <w:r>
        <w:rPr>
          <w:b w:val="0"/>
          <w:i/>
        </w:rPr>
        <w:t>innititur</w:t>
      </w:r>
      <w:r>
        <w:rPr>
          <w:b w:val="0"/>
          <w:i w:val="0"/>
        </w:rPr>
        <w:t xml:space="preserve">; </w:t>
      </w:r>
      <w:r>
        <w:rPr>
          <w:b w:val="0"/>
          <w:i/>
        </w:rPr>
        <w:t>subsistens</w:t>
      </w:r>
      <w:r>
        <w:rPr>
          <w:b w:val="0"/>
          <w:i w:val="0"/>
        </w:rPr>
        <w:t xml:space="preserve">; </w:t>
      </w:r>
      <w:r>
        <w:rPr>
          <w:b w:val="0"/>
          <w:i/>
        </w:rPr>
        <w:t>subsistere</w:t>
      </w:r>
      <w:r>
        <w:rPr>
          <w:b w:val="0"/>
          <w:i w:val="0"/>
        </w:rPr>
        <w:t xml:space="preserve">; </w:t>
      </w:r>
      <w:r>
        <w:rPr>
          <w:b w:val="0"/>
          <w:i/>
        </w:rPr>
        <w:t>subsistit</w:t>
      </w:r>
      <w:r>
        <w:rPr>
          <w:b w:val="0"/>
          <w:i w:val="0"/>
        </w:rPr>
        <w:t>.</w:t>
      </w:r>
    </w:p>
    <w:p>
      <w:pPr>
        <w:widowControl/>
      </w:pPr>
      <w:r>
        <w:rPr>
          <w:b w:val="0"/>
          <w:i w:val="0"/>
        </w:rPr>
        <w:t xml:space="preserve">To rest upon a basis or subsist; one’s grounds of existence matter. Divine act subsists in itself; the authorities’ position rests on stated foundations; creatures subsist through a cause. References: </w:t>
      </w:r>
      <w:hyperlink w:anchor="passage-ii-4-1">
        <w:r>
          <w:rPr>
            <w:color w:val="000000"/>
          </w:rPr>
          <w:t xml:space="preserve">II.4.1</w:t>
        </w:r>
      </w:hyperlink>
      <w:r>
        <w:rPr>
          <w:b w:val="0"/>
          <w:i w:val="0"/>
        </w:rPr>
        <w:t xml:space="preserve">, </w:t>
      </w:r>
      <w:hyperlink w:anchor="passage-ii-6-2">
        <w:r>
          <w:rPr>
            <w:color w:val="000000"/>
          </w:rPr>
          <w:t xml:space="preserve">II.6.2</w:t>
        </w:r>
      </w:hyperlink>
      <w:r>
        <w:rPr>
          <w:b w:val="0"/>
          <w:i w:val="0"/>
        </w:rPr>
        <w:t xml:space="preserve">, </w:t>
      </w:r>
      <w:hyperlink w:anchor="passage-ii-6-15">
        <w:r>
          <w:rPr>
            <w:color w:val="000000"/>
          </w:rPr>
          <w:t xml:space="preserve">II.6.15</w:t>
        </w:r>
      </w:hyperlink>
      <w:r>
        <w:rPr>
          <w:b w:val="0"/>
          <w:i w:val="0"/>
        </w:rPr>
        <w:t xml:space="preserve">, </w:t>
      </w:r>
      <w:hyperlink w:anchor="passage-ii-7-10">
        <w:r>
          <w:rPr>
            <w:color w:val="000000"/>
          </w:rPr>
          <w:t xml:space="preserve">II.7.10</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827" w:name="latin-record-0576"/>
      <w:bookmarkEnd w:id="827"/>
      <w:r>
        <w:rPr>
          <w:b/>
          <w:i w:val="0"/>
        </w:rPr>
        <w:t>inquam / inquit</w:t>
      </w:r>
      <w:r>
        <w:rPr>
          <w:b/>
          <w:i w:val="0"/>
        </w:rPr>
        <w:t>.</w:t>
      </w:r>
      <w:r>
        <w:rPr>
          <w:b w:val="0"/>
          <w:i w:val="0"/>
        </w:rPr>
        <w:t xml:space="preserve"> Printed forms: </w:t>
      </w:r>
      <w:r>
        <w:rPr>
          <w:b w:val="0"/>
          <w:i/>
        </w:rPr>
        <w:t>inquam</w:t>
      </w:r>
      <w:r>
        <w:rPr>
          <w:b w:val="0"/>
          <w:i w:val="0"/>
        </w:rPr>
        <w:t xml:space="preserve">; </w:t>
      </w:r>
      <w:r>
        <w:rPr>
          <w:b w:val="0"/>
          <w:i/>
        </w:rPr>
        <w:t>inquit</w:t>
      </w:r>
      <w:r>
        <w:rPr>
          <w:b w:val="0"/>
          <w:i w:val="0"/>
        </w:rPr>
        <w:t>.</w:t>
      </w:r>
    </w:p>
    <w:p>
      <w:pPr>
        <w:widowControl/>
      </w:pPr>
      <w:r>
        <w:rPr>
          <w:b w:val="0"/>
          <w:i w:val="0"/>
        </w:rPr>
        <w:t xml:space="preserve">I say / he says. Inquam reinforces or clarifies the author’s assertion, whereas inquit can introduce an attributed authority’s words. Their voices should not be merged. References: </w:t>
      </w:r>
      <w:hyperlink w:anchor="passage-ii-11-37">
        <w:r>
          <w:rPr>
            <w:color w:val="000000"/>
          </w:rPr>
          <w:t xml:space="preserve">II.11.37</w:t>
        </w:r>
      </w:hyperlink>
      <w:r>
        <w:rPr>
          <w:b w:val="0"/>
          <w:i w:val="0"/>
        </w:rPr>
        <w:t xml:space="preserve">, </w:t>
      </w:r>
      <w:hyperlink w:anchor="passage-ii-11-38">
        <w:r>
          <w:rPr>
            <w:color w:val="000000"/>
          </w:rPr>
          <w:t xml:space="preserve">II.11.38</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828" w:name="latin-record-0577"/>
      <w:bookmarkEnd w:id="828"/>
      <w:r>
        <w:rPr>
          <w:b/>
          <w:i w:val="0"/>
        </w:rPr>
        <w:t>inquietudo / imbecillitas</w:t>
      </w:r>
      <w:r>
        <w:rPr>
          <w:b/>
          <w:i w:val="0"/>
        </w:rPr>
        <w:t>.</w:t>
      </w:r>
      <w:r>
        <w:rPr>
          <w:b w:val="0"/>
          <w:i w:val="0"/>
        </w:rPr>
        <w:t xml:space="preserve"> Printed forms: </w:t>
      </w:r>
      <w:r>
        <w:rPr>
          <w:b w:val="0"/>
          <w:i/>
        </w:rPr>
        <w:t>imbecillitatemque</w:t>
      </w:r>
      <w:r>
        <w:rPr>
          <w:b w:val="0"/>
          <w:i w:val="0"/>
        </w:rPr>
        <w:t xml:space="preserve">; </w:t>
      </w:r>
      <w:r>
        <w:rPr>
          <w:b w:val="0"/>
          <w:i/>
        </w:rPr>
        <w:t>inquietudinem</w:t>
      </w:r>
      <w:r>
        <w:rPr>
          <w:b w:val="0"/>
          <w:i w:val="0"/>
        </w:rPr>
        <w:t>.</w:t>
      </w:r>
    </w:p>
    <w:p>
      <w:pPr>
        <w:widowControl/>
      </w:pPr>
      <w:r>
        <w:rPr>
          <w:b w:val="0"/>
          <w:i w:val="0"/>
        </w:rPr>
        <w:t xml:space="preserve">Restlessness of soul and frailty of body. These different human disadvantages help motivate the opening comparison with other living creatures and the argument for post-mortem blessedness. References: </w:t>
      </w:r>
      <w:hyperlink w:anchor="passage-i-1-1">
        <w:r>
          <w:rPr>
            <w:color w:val="000000"/>
          </w:rPr>
          <w:t xml:space="preserve">I.1.1</w:t>
        </w:r>
      </w:hyperlink>
      <w:r>
        <w:rPr>
          <w:b w:val="0"/>
          <w:i w:val="0"/>
        </w:rPr>
        <w:t xml:space="preserve">. See </w:t>
      </w:r>
      <w:hyperlink w:anchor="need-and-sufficiency">
        <w:r>
          <w:rPr>
            <w:color w:val="000000"/>
          </w:rPr>
          <w:t xml:space="preserve">Need and sufficiency</w:t>
        </w:r>
      </w:hyperlink>
      <w:r>
        <w:rPr>
          <w:b w:val="0"/>
          <w:i w:val="0"/>
        </w:rPr>
        <w:t>.</w:t>
      </w:r>
    </w:p>
    <w:p>
      <w:pPr>
        <w:keepNext/>
        <w:widowControl/>
      </w:pPr>
      <w:bookmarkStart w:id="829" w:name="latin-record-0578"/>
      <w:bookmarkEnd w:id="829"/>
      <w:r>
        <w:rPr>
          <w:b/>
          <w:i w:val="0"/>
        </w:rPr>
        <w:t>inquinare / contagio</w:t>
      </w:r>
      <w:r>
        <w:rPr>
          <w:b/>
          <w:i w:val="0"/>
        </w:rPr>
        <w:t>.</w:t>
      </w:r>
      <w:r>
        <w:rPr>
          <w:b w:val="0"/>
          <w:i w:val="0"/>
        </w:rPr>
        <w:t xml:space="preserve"> Printed forms: </w:t>
      </w:r>
      <w:r>
        <w:rPr>
          <w:b w:val="0"/>
          <w:i/>
        </w:rPr>
        <w:t>contagione</w:t>
      </w:r>
      <w:r>
        <w:rPr>
          <w:b w:val="0"/>
          <w:i w:val="0"/>
        </w:rPr>
        <w:t xml:space="preserve">; </w:t>
      </w:r>
      <w:r>
        <w:rPr>
          <w:b w:val="0"/>
          <w:i/>
        </w:rPr>
        <w:t>inquinata</w:t>
      </w:r>
      <w:r>
        <w:rPr>
          <w:b w:val="0"/>
          <w:i w:val="0"/>
        </w:rPr>
        <w:t xml:space="preserve">; </w:t>
      </w:r>
      <w:r>
        <w:rPr>
          <w:b w:val="0"/>
          <w:i/>
        </w:rPr>
        <w:t>inquinatae</w:t>
      </w:r>
      <w:r>
        <w:rPr>
          <w:b w:val="0"/>
          <w:i w:val="0"/>
        </w:rPr>
        <w:t>.</w:t>
      </w:r>
    </w:p>
    <w:p>
      <w:pPr>
        <w:widowControl/>
      </w:pPr>
      <w:r>
        <w:rPr>
          <w:b w:val="0"/>
          <w:i w:val="0"/>
        </w:rPr>
        <w:t xml:space="preserve">Polluting or contaminating addition. The language makes an alien differentiating nature incompatible with unqualified goodness or supreme light. References: </w:t>
      </w:r>
      <w:hyperlink w:anchor="passage-ii-1-4">
        <w:r>
          <w:rPr>
            <w:color w:val="000000"/>
          </w:rPr>
          <w:t xml:space="preserve">II.1.4</w:t>
        </w:r>
      </w:hyperlink>
      <w:r>
        <w:rPr>
          <w:b w:val="0"/>
          <w:i w:val="0"/>
        </w:rPr>
        <w:t xml:space="preserve">, </w:t>
      </w:r>
      <w:hyperlink w:anchor="passage-ii-2-6">
        <w:r>
          <w:rPr>
            <w:color w:val="000000"/>
          </w:rPr>
          <w:t xml:space="preserve">II.2.6</w:t>
        </w:r>
      </w:hyperlink>
      <w:r>
        <w:rPr>
          <w:b w:val="0"/>
          <w:i w:val="0"/>
        </w:rPr>
        <w:t xml:space="preserve">, </w:t>
      </w:r>
      <w:hyperlink w:anchor="passage-ii-2-11">
        <w:r>
          <w:rPr>
            <w:color w:val="000000"/>
          </w:rPr>
          <w:t xml:space="preserve">II.2.11</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830" w:name="latin-record-0579"/>
      <w:bookmarkEnd w:id="830"/>
      <w:r>
        <w:rPr>
          <w:b/>
          <w:i w:val="0"/>
        </w:rPr>
        <w:t>inscribo / opus</w:t>
      </w:r>
      <w:r>
        <w:rPr>
          <w:b/>
          <w:i w:val="0"/>
        </w:rPr>
        <w:t>.</w:t>
      </w:r>
      <w:r>
        <w:rPr>
          <w:b w:val="0"/>
          <w:i w:val="0"/>
        </w:rPr>
        <w:t xml:space="preserve"> Printed forms: </w:t>
      </w:r>
      <w:r>
        <w:rPr>
          <w:b w:val="0"/>
          <w:i/>
        </w:rPr>
        <w:t>inscribendum</w:t>
      </w:r>
      <w:r>
        <w:rPr>
          <w:b w:val="0"/>
          <w:i w:val="0"/>
        </w:rPr>
        <w:t xml:space="preserve">; </w:t>
      </w:r>
      <w:r>
        <w:rPr>
          <w:b w:val="0"/>
          <w:i/>
        </w:rPr>
        <w:t>opus</w:t>
      </w:r>
      <w:r>
        <w:rPr>
          <w:b w:val="0"/>
          <w:i w:val="0"/>
        </w:rPr>
        <w:t>.</w:t>
      </w:r>
    </w:p>
    <w:p>
      <w:pPr>
        <w:widowControl/>
      </w:pPr>
      <w:r>
        <w:rPr>
          <w:b w:val="0"/>
          <w:i w:val="0"/>
        </w:rPr>
        <w:t xml:space="preserve">To give a work its title; a work or undertaking. The title names Platonic theology and immortality, while the later repeated </w:t>
      </w:r>
      <w:r>
        <w:t>“</w:t>
      </w:r>
      <w:r>
        <w:rPr>
          <w:b w:val="0"/>
          <w:i w:val="0"/>
        </w:rPr>
        <w:t>this</w:t>
      </w:r>
      <w:r>
        <w:t>”</w:t>
      </w:r>
      <w:r>
        <w:rPr>
          <w:b w:val="0"/>
          <w:i w:val="0"/>
        </w:rPr>
        <w:t xml:space="preserve"> gathers the enterprise into an authorial account of effort and divine aid. References: </w:t>
      </w:r>
      <w:hyperlink w:anchor="passage-proem-7">
        <w:r>
          <w:rPr>
            <w:color w:val="000000"/>
          </w:rPr>
          <w:t xml:space="preserve">Proem.7</w:t>
        </w:r>
      </w:hyperlink>
      <w:r>
        <w:rPr>
          <w:b w:val="0"/>
          <w:i w:val="0"/>
        </w:rPr>
        <w:t xml:space="preserve">, </w:t>
      </w:r>
      <w:hyperlink w:anchor="passage-proem-10">
        <w:r>
          <w:rPr>
            <w:color w:val="000000"/>
          </w:rPr>
          <w:t xml:space="preserve">Proem.10</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831" w:name="latin-record-0580"/>
      <w:bookmarkEnd w:id="831"/>
      <w:r>
        <w:rPr>
          <w:b/>
          <w:i w:val="0"/>
        </w:rPr>
        <w:t>inserere / retrahere</w:t>
      </w:r>
      <w:r>
        <w:rPr>
          <w:b/>
          <w:i w:val="0"/>
        </w:rPr>
        <w:t>.</w:t>
      </w:r>
      <w:r>
        <w:rPr>
          <w:b w:val="0"/>
          <w:i w:val="0"/>
        </w:rPr>
        <w:t xml:space="preserve"> Printed forms: </w:t>
      </w:r>
      <w:r>
        <w:rPr>
          <w:b w:val="0"/>
          <w:i/>
        </w:rPr>
        <w:t>inserit</w:t>
      </w:r>
      <w:r>
        <w:rPr>
          <w:b w:val="0"/>
          <w:i w:val="0"/>
        </w:rPr>
        <w:t xml:space="preserve">; </w:t>
      </w:r>
      <w:r>
        <w:rPr>
          <w:b w:val="0"/>
          <w:i/>
        </w:rPr>
        <w:t>retrahit</w:t>
      </w:r>
      <w:r>
        <w:rPr>
          <w:b w:val="0"/>
          <w:i w:val="0"/>
        </w:rPr>
        <w:t>.</w:t>
      </w:r>
    </w:p>
    <w:p>
      <w:pPr>
        <w:widowControl/>
      </w:pPr>
      <w:r>
        <w:rPr>
          <w:b w:val="0"/>
          <w:i w:val="0"/>
        </w:rPr>
        <w:t xml:space="preserve">Insert or enter / withdraw. Soul enters mortal things whole and withdraws whole, supporting the claim that animation does not make its substance mortal. References: </w:t>
      </w:r>
      <w:hyperlink w:anchor="passage-iii-2-22">
        <w:r>
          <w:rPr>
            <w:color w:val="000000"/>
          </w:rPr>
          <w:t xml:space="preserve">III.2.22</w:t>
        </w:r>
      </w:hyperlink>
      <w:r>
        <w:rPr>
          <w:b w:val="0"/>
          <w:i w:val="0"/>
        </w:rPr>
        <w:t xml:space="preserve">. See </w:t>
      </w:r>
      <w:hyperlink w:anchor="immortality">
        <w:r>
          <w:rPr>
            <w:color w:val="000000"/>
          </w:rPr>
          <w:t xml:space="preserve">Immortality</w:t>
        </w:r>
      </w:hyperlink>
      <w:r>
        <w:rPr>
          <w:b w:val="0"/>
          <w:i w:val="0"/>
        </w:rPr>
        <w:t>.</w:t>
      </w:r>
    </w:p>
    <w:p>
      <w:pPr>
        <w:keepNext/>
        <w:widowControl/>
      </w:pPr>
      <w:bookmarkStart w:id="832" w:name="latin-record-0581"/>
      <w:bookmarkEnd w:id="832"/>
      <w:r>
        <w:rPr>
          <w:b/>
          <w:i w:val="0"/>
        </w:rPr>
        <w:t>insinuo</w:t>
      </w:r>
      <w:r>
        <w:rPr>
          <w:b/>
          <w:i w:val="0"/>
        </w:rPr>
        <w:t>.</w:t>
      </w:r>
      <w:r>
        <w:rPr>
          <w:b w:val="0"/>
          <w:i w:val="0"/>
        </w:rPr>
        <w:t xml:space="preserve"> Printed forms: </w:t>
      </w:r>
      <w:r>
        <w:rPr>
          <w:b w:val="0"/>
          <w:i/>
        </w:rPr>
        <w:t>insinuat</w:t>
      </w:r>
      <w:r>
        <w:rPr>
          <w:b w:val="0"/>
          <w:i w:val="0"/>
        </w:rPr>
        <w:t>.</w:t>
      </w:r>
    </w:p>
    <w:p>
      <w:pPr>
        <w:widowControl/>
      </w:pPr>
      <w:r>
        <w:rPr>
          <w:b w:val="0"/>
          <w:i w:val="0"/>
        </w:rPr>
        <w:t xml:space="preserve">To enter closely or intimately into. The reflexive expression describes the soul’s participation in divine things and its blessedness, not a bodily insertion into a place. References: </w:t>
      </w:r>
      <w:hyperlink w:anchor="passage-i-1-7">
        <w:r>
          <w:rPr>
            <w:color w:val="000000"/>
          </w:rPr>
          <w:t xml:space="preserve">I.1.7</w:t>
        </w:r>
      </w:hyperlink>
      <w:r>
        <w:rPr>
          <w:b w:val="0"/>
          <w:i w:val="0"/>
        </w:rPr>
        <w:t xml:space="preserve">. See </w:t>
      </w:r>
      <w:hyperlink w:anchor="blessedness">
        <w:r>
          <w:rPr>
            <w:color w:val="000000"/>
          </w:rPr>
          <w:t xml:space="preserve">Blessedness</w:t>
        </w:r>
      </w:hyperlink>
      <w:r>
        <w:rPr>
          <w:b w:val="0"/>
          <w:i w:val="0"/>
        </w:rPr>
        <w:t>.</w:t>
      </w:r>
    </w:p>
    <w:p>
      <w:pPr>
        <w:keepNext/>
        <w:widowControl/>
      </w:pPr>
      <w:bookmarkStart w:id="833" w:name="latin-record-0582"/>
      <w:bookmarkEnd w:id="833"/>
      <w:r>
        <w:rPr>
          <w:b/>
          <w:i w:val="0"/>
        </w:rPr>
        <w:t>insitus</w:t>
      </w:r>
      <w:r>
        <w:rPr>
          <w:b/>
          <w:i w:val="0"/>
        </w:rPr>
        <w:t>.</w:t>
      </w:r>
      <w:r>
        <w:rPr>
          <w:b w:val="0"/>
          <w:i w:val="0"/>
        </w:rPr>
        <w:t xml:space="preserve"> Printed forms: </w:t>
      </w:r>
      <w:r>
        <w:rPr>
          <w:b w:val="0"/>
          <w:i/>
        </w:rPr>
        <w:t>insita</w:t>
      </w:r>
      <w:r>
        <w:rPr>
          <w:b w:val="0"/>
          <w:i w:val="0"/>
        </w:rPr>
        <w:t xml:space="preserve">; </w:t>
      </w:r>
      <w:r>
        <w:rPr>
          <w:b w:val="0"/>
          <w:i/>
        </w:rPr>
        <w:t>insitum</w:t>
      </w:r>
      <w:r>
        <w:rPr>
          <w:b w:val="0"/>
          <w:i w:val="0"/>
        </w:rPr>
        <w:t>.</w:t>
      </w:r>
    </w:p>
    <w:p>
      <w:pPr>
        <w:widowControl/>
      </w:pPr>
      <w:r>
        <w:rPr>
          <w:b w:val="0"/>
          <w:i w:val="0"/>
        </w:rPr>
        <w:t xml:space="preserve">Implanted or present within. Bodily powers are said to act from a quality present within them; unity present in parts is later argued not to be divided into portions. References: </w:t>
      </w:r>
      <w:hyperlink w:anchor="passage-i-2-8">
        <w:r>
          <w:rPr>
            <w:color w:val="000000"/>
          </w:rPr>
          <w:t xml:space="preserve">I.2.8</w:t>
        </w:r>
      </w:hyperlink>
      <w:r>
        <w:rPr>
          <w:b w:val="0"/>
          <w:i w:val="0"/>
        </w:rPr>
        <w:t xml:space="preserve">, </w:t>
      </w:r>
      <w:hyperlink w:anchor="passage-i-3-30">
        <w:r>
          <w:rPr>
            <w:color w:val="000000"/>
          </w:rPr>
          <w:t xml:space="preserve">I.3.30</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834" w:name="latin-record-0583"/>
      <w:bookmarkEnd w:id="834"/>
      <w:r>
        <w:rPr>
          <w:b/>
          <w:i w:val="0"/>
        </w:rPr>
        <w:t>instar</w:t>
      </w:r>
      <w:r>
        <w:rPr>
          <w:b/>
          <w:i w:val="0"/>
        </w:rPr>
        <w:t>.</w:t>
      </w:r>
      <w:r>
        <w:rPr>
          <w:b w:val="0"/>
          <w:i w:val="0"/>
        </w:rPr>
        <w:t xml:space="preserve"> Printed forms: </w:t>
      </w:r>
      <w:r>
        <w:rPr>
          <w:b w:val="0"/>
          <w:i/>
        </w:rPr>
        <w:t>instar</w:t>
      </w:r>
      <w:r>
        <w:rPr>
          <w:b w:val="0"/>
          <w:i w:val="0"/>
        </w:rPr>
        <w:t>.</w:t>
      </w:r>
    </w:p>
    <w:p>
      <w:pPr>
        <w:widowControl/>
      </w:pPr>
      <w:r>
        <w:rPr>
          <w:b w:val="0"/>
          <w:i w:val="0"/>
        </w:rPr>
        <w:t xml:space="preserve">Like or in the likeness of. Soul is like a point living in itself and free of position; the word prevents identifying soul literally with a geometrical point. References: </w:t>
      </w:r>
      <w:hyperlink w:anchor="passage-iii-2-18">
        <w:r>
          <w:rPr>
            <w:color w:val="000000"/>
          </w:rPr>
          <w:t xml:space="preserve">III.2.18</w:t>
        </w:r>
      </w:hyperlink>
      <w:r>
        <w:rPr>
          <w:b w:val="0"/>
          <w:i w:val="0"/>
        </w:rPr>
        <w:t xml:space="preserve">. See </w:t>
      </w:r>
      <w:hyperlink w:anchor="point-and-position">
        <w:r>
          <w:rPr>
            <w:color w:val="000000"/>
          </w:rPr>
          <w:t xml:space="preserve">Point and position</w:t>
        </w:r>
      </w:hyperlink>
      <w:r>
        <w:rPr>
          <w:b w:val="0"/>
          <w:i w:val="0"/>
        </w:rPr>
        <w:t>.</w:t>
      </w:r>
    </w:p>
    <w:p>
      <w:pPr>
        <w:keepNext/>
        <w:widowControl/>
      </w:pPr>
      <w:bookmarkStart w:id="835" w:name="latin-record-0584"/>
      <w:bookmarkEnd w:id="835"/>
      <w:r>
        <w:rPr>
          <w:b/>
          <w:i w:val="0"/>
        </w:rPr>
        <w:t>instinctus</w:t>
      </w:r>
      <w:r>
        <w:rPr>
          <w:b/>
          <w:i w:val="0"/>
        </w:rPr>
        <w:t>.</w:t>
      </w:r>
      <w:r>
        <w:rPr>
          <w:b w:val="0"/>
          <w:i w:val="0"/>
        </w:rPr>
        <w:t xml:space="preserve"> Printed forms: </w:t>
      </w:r>
      <w:r>
        <w:rPr>
          <w:b w:val="0"/>
          <w:i/>
        </w:rPr>
        <w:t>instinctu</w:t>
      </w:r>
      <w:r>
        <w:rPr>
          <w:b w:val="0"/>
          <w:i w:val="0"/>
        </w:rPr>
        <w:t>.</w:t>
      </w:r>
    </w:p>
    <w:p>
      <w:pPr>
        <w:widowControl/>
      </w:pPr>
      <w:r>
        <w:rPr>
          <w:b w:val="0"/>
          <w:i w:val="0"/>
        </w:rPr>
        <w:t xml:space="preserve">Impulse or inclination. Natural instinct is denied as a sufficient account of divine action but positively describes soul’s inclination toward both extremes. References: </w:t>
      </w:r>
      <w:hyperlink w:anchor="passage-ii-11-10">
        <w:r>
          <w:rPr>
            <w:color w:val="000000"/>
          </w:rPr>
          <w:t xml:space="preserve">II.11.10</w:t>
        </w:r>
      </w:hyperlink>
      <w:r>
        <w:rPr>
          <w:b w:val="0"/>
          <w:i w:val="0"/>
        </w:rPr>
        <w:t xml:space="preserve">, </w:t>
      </w:r>
      <w:hyperlink w:anchor="passage-iii-2-8">
        <w:r>
          <w:rPr>
            <w:color w:val="000000"/>
          </w:rPr>
          <w:t xml:space="preserve">III.2.8</w:t>
        </w:r>
      </w:hyperlink>
      <w:r>
        <w:rPr>
          <w:b w:val="0"/>
          <w:i w:val="0"/>
        </w:rPr>
        <w:t xml:space="preserve">. See </w:t>
      </w:r>
      <w:hyperlink w:anchor="art-and-nature">
        <w:r>
          <w:rPr>
            <w:color w:val="000000"/>
          </w:rPr>
          <w:t xml:space="preserve">Art and nature</w:t>
        </w:r>
      </w:hyperlink>
      <w:r>
        <w:rPr>
          <w:b w:val="0"/>
          <w:i w:val="0"/>
        </w:rPr>
        <w:t>.</w:t>
      </w:r>
    </w:p>
    <w:p>
      <w:pPr>
        <w:keepNext/>
        <w:widowControl/>
      </w:pPr>
      <w:bookmarkStart w:id="836" w:name="latin-record-0585"/>
      <w:bookmarkEnd w:id="836"/>
      <w:r>
        <w:rPr>
          <w:b/>
          <w:i w:val="0"/>
        </w:rPr>
        <w:t>instinctus / niti</w:t>
      </w:r>
      <w:r>
        <w:rPr>
          <w:b/>
          <w:i w:val="0"/>
        </w:rPr>
        <w:t>.</w:t>
      </w:r>
      <w:r>
        <w:rPr>
          <w:b w:val="0"/>
          <w:i w:val="0"/>
        </w:rPr>
        <w:t xml:space="preserve"> Printed forms: </w:t>
      </w:r>
      <w:r>
        <w:rPr>
          <w:b w:val="0"/>
          <w:i/>
        </w:rPr>
        <w:t>conaretur</w:t>
      </w:r>
      <w:r>
        <w:rPr>
          <w:b w:val="0"/>
          <w:i w:val="0"/>
        </w:rPr>
        <w:t xml:space="preserve">; </w:t>
      </w:r>
      <w:r>
        <w:rPr>
          <w:b w:val="0"/>
          <w:i/>
        </w:rPr>
        <w:t>instinctu</w:t>
      </w:r>
      <w:r>
        <w:rPr>
          <w:b w:val="0"/>
          <w:i w:val="0"/>
        </w:rPr>
        <w:t xml:space="preserve">; </w:t>
      </w:r>
      <w:r>
        <w:rPr>
          <w:b w:val="0"/>
          <w:i/>
        </w:rPr>
        <w:t>instinctum</w:t>
      </w:r>
      <w:r>
        <w:rPr>
          <w:b w:val="0"/>
          <w:i w:val="0"/>
        </w:rPr>
        <w:t xml:space="preserve">; </w:t>
      </w:r>
      <w:r>
        <w:rPr>
          <w:b w:val="0"/>
          <w:i/>
        </w:rPr>
        <w:t>nititur</w:t>
      </w:r>
      <w:r>
        <w:rPr>
          <w:b w:val="0"/>
          <w:i w:val="0"/>
        </w:rPr>
        <w:t>.</w:t>
      </w:r>
    </w:p>
    <w:p>
      <w:pPr>
        <w:widowControl/>
      </w:pPr>
      <w:r>
        <w:rPr>
          <w:b w:val="0"/>
          <w:i w:val="0"/>
        </w:rPr>
        <w:t xml:space="preserve">An inclination or directed impulse; to strive toward. Essential, vital, and intellectual orientations are distinguished in that order before the theory infers mental presence. References: </w:t>
      </w:r>
      <w:hyperlink w:anchor="passage-ii-6-23">
        <w:r>
          <w:rPr>
            <w:color w:val="000000"/>
          </w:rPr>
          <w:t xml:space="preserve">II.6.23</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837" w:name="latin-record-0586"/>
      <w:bookmarkEnd w:id="837"/>
      <w:r>
        <w:rPr>
          <w:b/>
          <w:i w:val="0"/>
        </w:rPr>
        <w:t>instituo</w:t>
      </w:r>
      <w:r>
        <w:rPr>
          <w:b/>
          <w:i w:val="0"/>
        </w:rPr>
        <w:t>.</w:t>
      </w:r>
      <w:r>
        <w:rPr>
          <w:b w:val="0"/>
          <w:i w:val="0"/>
        </w:rPr>
        <w:t xml:space="preserve"> Printed forms: </w:t>
      </w:r>
      <w:r>
        <w:rPr>
          <w:b w:val="0"/>
          <w:i/>
        </w:rPr>
        <w:t>instituta</w:t>
      </w:r>
      <w:r>
        <w:rPr>
          <w:b w:val="0"/>
          <w:i w:val="0"/>
        </w:rPr>
        <w:t xml:space="preserve">; </w:t>
      </w:r>
      <w:r>
        <w:rPr>
          <w:b w:val="0"/>
          <w:i/>
        </w:rPr>
        <w:t>institutus</w:t>
      </w:r>
      <w:r>
        <w:rPr>
          <w:b w:val="0"/>
          <w:i w:val="0"/>
        </w:rPr>
        <w:t>.</w:t>
      </w:r>
    </w:p>
    <w:p>
      <w:pPr>
        <w:widowControl/>
      </w:pPr>
      <w:r>
        <w:rPr>
          <w:b w:val="0"/>
          <w:i w:val="0"/>
        </w:rPr>
        <w:t xml:space="preserve">To constitute or establish for a purpose. Sight is constituted to comprehend light and mind to perceive truth; their purpose shows dependence on the object they receive. References: </w:t>
      </w:r>
      <w:hyperlink w:anchor="passage-i-6-8">
        <w:r>
          <w:rPr>
            <w:color w:val="000000"/>
          </w:rPr>
          <w:t xml:space="preserve">I.6.8</w:t>
        </w:r>
      </w:hyperlink>
      <w:r>
        <w:rPr>
          <w:b w:val="0"/>
          <w:i w:val="0"/>
        </w:rPr>
        <w:t xml:space="preserve">, </w:t>
      </w:r>
      <w:hyperlink w:anchor="passage-i-6-10">
        <w:r>
          <w:rPr>
            <w:color w:val="000000"/>
          </w:rPr>
          <w:t xml:space="preserve">I.6.10</w:t>
        </w:r>
      </w:hyperlink>
      <w:r>
        <w:rPr>
          <w:b w:val="0"/>
          <w:i w:val="0"/>
        </w:rPr>
        <w:t xml:space="preserve">. See </w:t>
      </w:r>
      <w:hyperlink w:anchor="containing-receiving-and-lacking">
        <w:r>
          <w:rPr>
            <w:color w:val="000000"/>
          </w:rPr>
          <w:t xml:space="preserve">Containing, receiving and lacking</w:t>
        </w:r>
      </w:hyperlink>
      <w:r>
        <w:rPr>
          <w:b w:val="0"/>
          <w:i w:val="0"/>
        </w:rPr>
        <w:t>.</w:t>
      </w:r>
    </w:p>
    <w:p>
      <w:pPr>
        <w:keepNext/>
        <w:widowControl/>
      </w:pPr>
      <w:bookmarkStart w:id="838" w:name="latin-record-0587"/>
      <w:bookmarkEnd w:id="838"/>
      <w:r>
        <w:rPr>
          <w:b/>
          <w:i w:val="0"/>
        </w:rPr>
        <w:t>institutio vitae</w:t>
      </w:r>
      <w:r>
        <w:rPr>
          <w:b/>
          <w:i w:val="0"/>
        </w:rPr>
        <w:t>.</w:t>
      </w:r>
      <w:r>
        <w:rPr>
          <w:b w:val="0"/>
          <w:i w:val="0"/>
        </w:rPr>
        <w:t xml:space="preserve"> Printed forms: </w:t>
      </w:r>
      <w:r>
        <w:rPr>
          <w:b w:val="0"/>
          <w:i/>
        </w:rPr>
        <w:t>institutio vitae</w:t>
      </w:r>
      <w:r>
        <w:rPr>
          <w:b w:val="0"/>
          <w:i w:val="0"/>
        </w:rPr>
        <w:t>.</w:t>
      </w:r>
    </w:p>
    <w:p>
      <w:pPr>
        <w:widowControl/>
      </w:pPr>
      <w:r>
        <w:rPr>
          <w:b w:val="0"/>
          <w:i w:val="0"/>
        </w:rPr>
        <w:t xml:space="preserve">The ordering or formation of life. Ficino joins it with apprehension of things and happiness as depending on knowledge of God and the divinity of souls. References: </w:t>
      </w:r>
      <w:hyperlink w:anchor="passage-proem-6">
        <w:r>
          <w:rPr>
            <w:color w:val="000000"/>
          </w:rPr>
          <w:t xml:space="preserve">Proem.6</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839" w:name="latin-record-0588"/>
      <w:bookmarkEnd w:id="839"/>
      <w:r>
        <w:rPr>
          <w:b/>
          <w:i w:val="0"/>
        </w:rPr>
        <w:t>instruere / instrumentum</w:t>
      </w:r>
      <w:r>
        <w:rPr>
          <w:b/>
          <w:i w:val="0"/>
        </w:rPr>
        <w:t>.</w:t>
      </w:r>
      <w:r>
        <w:rPr>
          <w:b w:val="0"/>
          <w:i w:val="0"/>
        </w:rPr>
        <w:t xml:space="preserve"> Printed forms: </w:t>
      </w:r>
      <w:r>
        <w:rPr>
          <w:b w:val="0"/>
          <w:i/>
        </w:rPr>
        <w:t>instructum</w:t>
      </w:r>
      <w:r>
        <w:rPr>
          <w:b w:val="0"/>
          <w:i w:val="0"/>
        </w:rPr>
        <w:t xml:space="preserve">; </w:t>
      </w:r>
      <w:r>
        <w:rPr>
          <w:b w:val="0"/>
          <w:i/>
        </w:rPr>
        <w:t>instrumentis</w:t>
      </w:r>
      <w:r>
        <w:rPr>
          <w:b w:val="0"/>
          <w:i w:val="0"/>
        </w:rPr>
        <w:t>.</w:t>
      </w:r>
    </w:p>
    <w:p>
      <w:pPr>
        <w:widowControl/>
      </w:pPr>
      <w:r>
        <w:rPr>
          <w:b w:val="0"/>
          <w:i w:val="0"/>
        </w:rPr>
        <w:t xml:space="preserve">Equip / equipment or functional instrument. The plant or animal is equipped for its characteristic works; instrumenta can include bodily organs rather than separate tools. References: </w:t>
      </w:r>
      <w:hyperlink w:anchor="passage-ii-13-16">
        <w:r>
          <w:rPr>
            <w:color w:val="000000"/>
          </w:rPr>
          <w:t xml:space="preserve">II.13.16</w:t>
        </w:r>
      </w:hyperlink>
      <w:r>
        <w:rPr>
          <w:b w:val="0"/>
          <w:i w:val="0"/>
        </w:rPr>
        <w:t xml:space="preserve">. See </w:t>
      </w:r>
      <w:hyperlink w:anchor="nourishment-and-provision">
        <w:r>
          <w:rPr>
            <w:color w:val="000000"/>
          </w:rPr>
          <w:t xml:space="preserve">Providential provision</w:t>
        </w:r>
      </w:hyperlink>
      <w:r>
        <w:rPr>
          <w:b w:val="0"/>
          <w:i w:val="0"/>
        </w:rPr>
        <w:t>.</w:t>
      </w:r>
    </w:p>
    <w:p>
      <w:pPr>
        <w:keepNext/>
        <w:widowControl/>
      </w:pPr>
      <w:bookmarkStart w:id="840" w:name="latin-record-0589"/>
      <w:bookmarkEnd w:id="840"/>
      <w:r>
        <w:rPr>
          <w:b/>
          <w:i w:val="0"/>
        </w:rPr>
        <w:t>instrumentum</w:t>
      </w:r>
      <w:r>
        <w:rPr>
          <w:b/>
          <w:i w:val="0"/>
        </w:rPr>
        <w:t>.</w:t>
      </w:r>
      <w:r>
        <w:rPr>
          <w:b w:val="0"/>
          <w:i w:val="0"/>
        </w:rPr>
        <w:t xml:space="preserve"> Printed forms: </w:t>
      </w:r>
      <w:r>
        <w:rPr>
          <w:b w:val="0"/>
          <w:i/>
        </w:rPr>
        <w:t>instrumenta</w:t>
      </w:r>
      <w:r>
        <w:rPr>
          <w:b w:val="0"/>
          <w:i w:val="0"/>
        </w:rPr>
        <w:t xml:space="preserve">; </w:t>
      </w:r>
      <w:r>
        <w:rPr>
          <w:b w:val="0"/>
          <w:i/>
        </w:rPr>
        <w:t>instrumentum</w:t>
      </w:r>
      <w:r>
        <w:rPr>
          <w:b w:val="0"/>
          <w:i w:val="0"/>
        </w:rPr>
        <w:t>.</w:t>
      </w:r>
    </w:p>
    <w:p>
      <w:pPr>
        <w:widowControl/>
      </w:pPr>
      <w:r>
        <w:rPr>
          <w:b w:val="0"/>
          <w:i w:val="0"/>
        </w:rPr>
        <w:t xml:space="preserve">An instrument through which a higher cause acts. A fire’s present efficacy needs a superior source rather than merely the earlier local fire that may already be extinct. References: </w:t>
      </w:r>
      <w:hyperlink w:anchor="passage-i-3-8">
        <w:r>
          <w:rPr>
            <w:color w:val="000000"/>
          </w:rPr>
          <w:t xml:space="preserve">I.3.8</w:t>
        </w:r>
      </w:hyperlink>
      <w:r>
        <w:rPr>
          <w:b w:val="0"/>
          <w:i w:val="0"/>
        </w:rPr>
        <w:t xml:space="preserve">, </w:t>
      </w:r>
      <w:hyperlink w:anchor="passage-i-3-9">
        <w:r>
          <w:rPr>
            <w:color w:val="000000"/>
          </w:rPr>
          <w:t xml:space="preserve">I.3.9</w:t>
        </w:r>
      </w:hyperlink>
      <w:r>
        <w:rPr>
          <w:b w:val="0"/>
          <w:i w:val="0"/>
        </w:rPr>
        <w:t xml:space="preserve">, </w:t>
      </w:r>
      <w:hyperlink w:anchor="passage-i-3-10">
        <w:r>
          <w:rPr>
            <w:color w:val="000000"/>
          </w:rPr>
          <w:t xml:space="preserve">I.3.10</w:t>
        </w:r>
      </w:hyperlink>
      <w:r>
        <w:rPr>
          <w:b w:val="0"/>
          <w:i w:val="0"/>
        </w:rPr>
        <w:t xml:space="preserve">. See </w:t>
      </w:r>
      <w:hyperlink w:anchor="instrument">
        <w:r>
          <w:rPr>
            <w:color w:val="000000"/>
          </w:rPr>
          <w:t xml:space="preserve">Instrument</w:t>
        </w:r>
      </w:hyperlink>
      <w:r>
        <w:rPr>
          <w:b w:val="0"/>
          <w:i w:val="0"/>
        </w:rPr>
        <w:t>.</w:t>
      </w:r>
    </w:p>
    <w:p>
      <w:pPr>
        <w:keepNext/>
        <w:widowControl/>
      </w:pPr>
      <w:bookmarkStart w:id="841" w:name="latin-record-0590"/>
      <w:bookmarkEnd w:id="841"/>
      <w:r>
        <w:rPr>
          <w:b/>
          <w:i w:val="0"/>
        </w:rPr>
        <w:t>instrumentum / opifex</w:t>
      </w:r>
      <w:r>
        <w:rPr>
          <w:b/>
          <w:i w:val="0"/>
        </w:rPr>
        <w:t>.</w:t>
      </w:r>
      <w:r>
        <w:rPr>
          <w:b w:val="0"/>
          <w:i w:val="0"/>
        </w:rPr>
        <w:t xml:space="preserve"> Printed forms: </w:t>
      </w:r>
      <w:r>
        <w:rPr>
          <w:b w:val="0"/>
          <w:i/>
        </w:rPr>
        <w:t>instrumenta</w:t>
      </w:r>
      <w:r>
        <w:rPr>
          <w:b w:val="0"/>
          <w:i w:val="0"/>
        </w:rPr>
        <w:t xml:space="preserve">; </w:t>
      </w:r>
      <w:r>
        <w:rPr>
          <w:b w:val="0"/>
          <w:i/>
        </w:rPr>
        <w:t>instrumentum</w:t>
      </w:r>
      <w:r>
        <w:rPr>
          <w:b w:val="0"/>
          <w:i w:val="0"/>
        </w:rPr>
        <w:t xml:space="preserve">; </w:t>
      </w:r>
      <w:r>
        <w:rPr>
          <w:b w:val="0"/>
          <w:i/>
        </w:rPr>
        <w:t>opificis</w:t>
      </w:r>
      <w:r>
        <w:rPr>
          <w:b w:val="0"/>
          <w:i w:val="0"/>
        </w:rPr>
        <w:t>.</w:t>
      </w:r>
    </w:p>
    <w:p>
      <w:pPr>
        <w:widowControl/>
      </w:pPr>
      <w:r>
        <w:rPr>
          <w:b w:val="0"/>
          <w:i w:val="0"/>
        </w:rPr>
        <w:t xml:space="preserve">Instrument and craftsman or primary maker. Angel acts with received power like a tool, yet remains a genuine subordinate agent. References: </w:t>
      </w:r>
      <w:hyperlink w:anchor="passage-ii-7-24">
        <w:r>
          <w:rPr>
            <w:color w:val="000000"/>
          </w:rPr>
          <w:t xml:space="preserve">II.7.24</w:t>
        </w:r>
      </w:hyperlink>
      <w:r>
        <w:rPr>
          <w:b w:val="0"/>
          <w:i w:val="0"/>
        </w:rPr>
        <w:t xml:space="preserve">, </w:t>
      </w:r>
      <w:hyperlink w:anchor="passage-ii-9-5">
        <w:r>
          <w:rPr>
            <w:color w:val="000000"/>
          </w:rPr>
          <w:t xml:space="preserve">II.9.5</w:t>
        </w:r>
      </w:hyperlink>
      <w:r>
        <w:rPr>
          <w:b w:val="0"/>
          <w:i w:val="0"/>
        </w:rPr>
        <w:t xml:space="preserve">. See </w:t>
      </w:r>
      <w:hyperlink w:anchor="instrument">
        <w:r>
          <w:rPr>
            <w:color w:val="000000"/>
          </w:rPr>
          <w:t xml:space="preserve">Instrument</w:t>
        </w:r>
      </w:hyperlink>
      <w:r>
        <w:rPr>
          <w:b w:val="0"/>
          <w:i w:val="0"/>
        </w:rPr>
        <w:t>.</w:t>
      </w:r>
    </w:p>
    <w:p>
      <w:pPr>
        <w:keepNext/>
        <w:widowControl/>
      </w:pPr>
      <w:bookmarkStart w:id="842" w:name="latin-record-0591"/>
      <w:bookmarkEnd w:id="842"/>
      <w:r>
        <w:rPr>
          <w:b/>
          <w:i w:val="0"/>
        </w:rPr>
        <w:t>instrumentum vitae</w:t>
      </w:r>
      <w:r>
        <w:rPr>
          <w:b/>
          <w:i w:val="0"/>
        </w:rPr>
        <w:t>.</w:t>
      </w:r>
      <w:r>
        <w:rPr>
          <w:b w:val="0"/>
          <w:i w:val="0"/>
        </w:rPr>
        <w:t xml:space="preserve"> Printed forms: </w:t>
      </w:r>
      <w:r>
        <w:rPr>
          <w:b w:val="0"/>
          <w:i/>
        </w:rPr>
        <w:t>vitae alicuius instrumentum</w:t>
      </w:r>
      <w:r>
        <w:rPr>
          <w:b w:val="0"/>
          <w:i w:val="0"/>
        </w:rPr>
        <w:t>.</w:t>
      </w:r>
    </w:p>
    <w:p>
      <w:pPr>
        <w:widowControl/>
      </w:pPr>
      <w:r>
        <w:rPr>
          <w:b w:val="0"/>
          <w:i w:val="0"/>
        </w:rPr>
        <w:t xml:space="preserve">The instrument of a living source. The argument from living generative instruments in organisms is extended to heaven’s generation of living things. References: </w:t>
      </w:r>
      <w:hyperlink w:anchor="passage-iv-1-68">
        <w:r>
          <w:rPr>
            <w:color w:val="000000"/>
          </w:rPr>
          <w:t xml:space="preserve">IV.1.68</w:t>
        </w:r>
      </w:hyperlink>
      <w:r>
        <w:rPr>
          <w:b w:val="0"/>
          <w:i w:val="0"/>
        </w:rPr>
        <w:t xml:space="preserve">. See </w:t>
      </w:r>
      <w:hyperlink w:anchor="instrument">
        <w:r>
          <w:rPr>
            <w:color w:val="000000"/>
          </w:rPr>
          <w:t xml:space="preserve">Instrument</w:t>
        </w:r>
      </w:hyperlink>
      <w:r>
        <w:rPr>
          <w:b w:val="0"/>
          <w:i w:val="0"/>
        </w:rPr>
        <w:t>.</w:t>
      </w:r>
    </w:p>
    <w:p>
      <w:pPr>
        <w:keepNext/>
        <w:widowControl/>
      </w:pPr>
      <w:bookmarkStart w:id="843" w:name="latin-record-0592"/>
      <w:bookmarkEnd w:id="843"/>
      <w:r>
        <w:rPr>
          <w:b/>
          <w:i w:val="0"/>
        </w:rPr>
        <w:t>integer / totus / plenus</w:t>
      </w:r>
      <w:r>
        <w:rPr>
          <w:b/>
          <w:i w:val="0"/>
        </w:rPr>
        <w:t>.</w:t>
      </w:r>
      <w:r>
        <w:rPr>
          <w:b w:val="0"/>
          <w:i w:val="0"/>
        </w:rPr>
        <w:t xml:space="preserve"> Printed forms: </w:t>
      </w:r>
      <w:r>
        <w:rPr>
          <w:b w:val="0"/>
          <w:i/>
        </w:rPr>
        <w:t>integram</w:t>
      </w:r>
      <w:r>
        <w:rPr>
          <w:b w:val="0"/>
          <w:i w:val="0"/>
        </w:rPr>
        <w:t xml:space="preserve">; </w:t>
      </w:r>
      <w:r>
        <w:rPr>
          <w:b w:val="0"/>
          <w:i/>
        </w:rPr>
        <w:t>integrum</w:t>
      </w:r>
      <w:r>
        <w:rPr>
          <w:b w:val="0"/>
          <w:i w:val="0"/>
        </w:rPr>
        <w:t xml:space="preserve">; </w:t>
      </w:r>
      <w:r>
        <w:rPr>
          <w:b w:val="0"/>
          <w:i/>
        </w:rPr>
        <w:t>plenissima</w:t>
      </w:r>
      <w:r>
        <w:rPr>
          <w:b w:val="0"/>
          <w:i w:val="0"/>
        </w:rPr>
        <w:t>.</w:t>
      </w:r>
    </w:p>
    <w:p>
      <w:pPr>
        <w:widowControl/>
      </w:pPr>
      <w:r>
        <w:rPr>
          <w:b w:val="0"/>
          <w:i w:val="0"/>
        </w:rPr>
        <w:t xml:space="preserve">Whole, complete, or full rather than divided into portions. The account of presence repeatedly says the source is whole; no finite image captures the exemplar’s entire perfection. References: </w:t>
      </w:r>
      <w:hyperlink w:anchor="passage-ii-6-6">
        <w:r>
          <w:rPr>
            <w:color w:val="000000"/>
          </w:rPr>
          <w:t xml:space="preserve">II.6.6</w:t>
        </w:r>
      </w:hyperlink>
      <w:r>
        <w:rPr>
          <w:b w:val="0"/>
          <w:i w:val="0"/>
        </w:rPr>
        <w:t xml:space="preserve">, </w:t>
      </w:r>
      <w:hyperlink w:anchor="passage-ii-6-14">
        <w:r>
          <w:rPr>
            <w:color w:val="000000"/>
          </w:rPr>
          <w:t xml:space="preserve">II.6.14</w:t>
        </w:r>
      </w:hyperlink>
      <w:r>
        <w:rPr>
          <w:b w:val="0"/>
          <w:i w:val="0"/>
        </w:rPr>
        <w:t xml:space="preserve">, </w:t>
      </w:r>
      <w:hyperlink w:anchor="passage-ii-9-8">
        <w:r>
          <w:rPr>
            <w:color w:val="000000"/>
          </w:rPr>
          <w:t xml:space="preserve">II.9.8</w:t>
        </w:r>
      </w:hyperlink>
      <w:r>
        <w:rPr>
          <w:b w:val="0"/>
          <w:i w:val="0"/>
        </w:rPr>
        <w:t xml:space="preserve">, </w:t>
      </w:r>
      <w:hyperlink w:anchor="passage-ii-10-5">
        <w:r>
          <w:rPr>
            <w:color w:val="000000"/>
          </w:rPr>
          <w:t xml:space="preserve">II.10.5</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844" w:name="latin-record-0593"/>
      <w:bookmarkEnd w:id="844"/>
      <w:r>
        <w:rPr>
          <w:b/>
          <w:i w:val="0"/>
        </w:rPr>
        <w:t>integritas / segregare</w:t>
      </w:r>
      <w:r>
        <w:rPr>
          <w:b/>
          <w:i w:val="0"/>
        </w:rPr>
        <w:t>.</w:t>
      </w:r>
      <w:r>
        <w:rPr>
          <w:b w:val="0"/>
          <w:i w:val="0"/>
        </w:rPr>
        <w:t xml:space="preserve"> Printed forms: </w:t>
      </w:r>
      <w:r>
        <w:rPr>
          <w:b w:val="0"/>
          <w:i/>
        </w:rPr>
        <w:t>integritate</w:t>
      </w:r>
      <w:r>
        <w:rPr>
          <w:b w:val="0"/>
          <w:i w:val="0"/>
        </w:rPr>
        <w:t xml:space="preserve">; </w:t>
      </w:r>
      <w:r>
        <w:rPr>
          <w:b w:val="0"/>
          <w:i/>
        </w:rPr>
        <w:t>segregantur</w:t>
      </w:r>
      <w:r>
        <w:rPr>
          <w:b w:val="0"/>
          <w:i w:val="0"/>
        </w:rPr>
        <w:t xml:space="preserve">; </w:t>
      </w:r>
      <w:r>
        <w:rPr>
          <w:b w:val="0"/>
          <w:i/>
        </w:rPr>
        <w:t>segregatae</w:t>
      </w:r>
      <w:r>
        <w:rPr>
          <w:b w:val="0"/>
          <w:i w:val="0"/>
        </w:rPr>
        <w:t>.</w:t>
      </w:r>
    </w:p>
    <w:p>
      <w:pPr>
        <w:widowControl/>
      </w:pPr>
      <w:r>
        <w:rPr>
          <w:b w:val="0"/>
          <w:i w:val="0"/>
        </w:rPr>
        <w:t xml:space="preserve">Wholeness; separation from a complete sphere. A whole element’s cosmic standing differs from that of its detached, mixed, and externally affected particles. References: </w:t>
      </w:r>
      <w:hyperlink w:anchor="passage-iv-1-91">
        <w:r>
          <w:rPr>
            <w:color w:val="000000"/>
          </w:rPr>
          <w:t xml:space="preserve">IV.1.91</w:t>
        </w:r>
      </w:hyperlink>
      <w:r>
        <w:rPr>
          <w:b w:val="0"/>
          <w:i w:val="0"/>
        </w:rPr>
        <w:t xml:space="preserve">, </w:t>
      </w:r>
      <w:hyperlink w:anchor="passage-iv-1-93">
        <w:r>
          <w:rPr>
            <w:color w:val="000000"/>
          </w:rPr>
          <w:t xml:space="preserve">IV.1.93</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845" w:name="latin-record-0594"/>
      <w:bookmarkEnd w:id="845"/>
      <w:r>
        <w:rPr>
          <w:b/>
          <w:i w:val="0"/>
        </w:rPr>
        <w:t>intellectus / intellectio / intelligibile</w:t>
      </w:r>
      <w:r>
        <w:rPr>
          <w:b/>
          <w:i w:val="0"/>
        </w:rPr>
        <w:t>.</w:t>
      </w:r>
      <w:r>
        <w:rPr>
          <w:b w:val="0"/>
          <w:i w:val="0"/>
        </w:rPr>
        <w:t xml:space="preserve"> Printed forms: </w:t>
      </w:r>
      <w:r>
        <w:rPr>
          <w:b w:val="0"/>
          <w:i/>
        </w:rPr>
        <w:t>intellectio</w:t>
      </w:r>
      <w:r>
        <w:rPr>
          <w:b w:val="0"/>
          <w:i w:val="0"/>
        </w:rPr>
        <w:t xml:space="preserve">; </w:t>
      </w:r>
      <w:r>
        <w:rPr>
          <w:b w:val="0"/>
          <w:i/>
        </w:rPr>
        <w:t>intellectus</w:t>
      </w:r>
      <w:r>
        <w:rPr>
          <w:b w:val="0"/>
          <w:i w:val="0"/>
        </w:rPr>
        <w:t xml:space="preserve">; </w:t>
      </w:r>
      <w:r>
        <w:rPr>
          <w:b w:val="0"/>
          <w:i/>
        </w:rPr>
        <w:t>intelligibile</w:t>
      </w:r>
      <w:r>
        <w:rPr>
          <w:b w:val="0"/>
          <w:i w:val="0"/>
        </w:rPr>
        <w:t>.</w:t>
      </w:r>
    </w:p>
    <w:p>
      <w:pPr>
        <w:widowControl/>
      </w:pPr>
      <w:r>
        <w:rPr>
          <w:b w:val="0"/>
          <w:i w:val="0"/>
        </w:rPr>
        <w:t xml:space="preserve">Intellectual capacity, its act and what is intelligible. Ficino prefers forms of naming that avoid making God a capacity perfected by an external object, while saying even these names do not apply altogether properly. References: </w:t>
      </w:r>
      <w:hyperlink w:anchor="passage-i-6-12">
        <w:r>
          <w:rPr>
            <w:color w:val="000000"/>
          </w:rPr>
          <w:t xml:space="preserve">I.6.12</w:t>
        </w:r>
      </w:hyperlink>
      <w:r>
        <w:rPr>
          <w:b w:val="0"/>
          <w:i w:val="0"/>
        </w:rPr>
        <w:t xml:space="preserve">, </w:t>
      </w:r>
      <w:hyperlink w:anchor="passage-i-6-13">
        <w:r>
          <w:rPr>
            <w:color w:val="000000"/>
          </w:rPr>
          <w:t xml:space="preserve">I.6.13</w:t>
        </w:r>
      </w:hyperlink>
      <w:r>
        <w:rPr>
          <w:b w:val="0"/>
          <w:i w:val="0"/>
        </w:rPr>
        <w:t xml:space="preserve">. See </w:t>
      </w:r>
      <w:hyperlink w:anchor="intellect-and-intellection">
        <w:r>
          <w:rPr>
            <w:color w:val="000000"/>
          </w:rPr>
          <w:t xml:space="preserve">Intellect and intellection</w:t>
        </w:r>
      </w:hyperlink>
      <w:r>
        <w:rPr>
          <w:b w:val="0"/>
          <w:i w:val="0"/>
        </w:rPr>
        <w:t>.</w:t>
      </w:r>
    </w:p>
    <w:p>
      <w:pPr>
        <w:keepNext/>
        <w:widowControl/>
      </w:pPr>
      <w:bookmarkStart w:id="846" w:name="latin-record-0595"/>
      <w:bookmarkEnd w:id="846"/>
      <w:r>
        <w:rPr>
          <w:b/>
          <w:i w:val="0"/>
        </w:rPr>
        <w:t>intellectus / intelligentia / intelligere</w:t>
      </w:r>
      <w:r>
        <w:rPr>
          <w:b/>
          <w:i w:val="0"/>
        </w:rPr>
        <w:t>.</w:t>
      </w:r>
      <w:r>
        <w:rPr>
          <w:b w:val="0"/>
          <w:i w:val="0"/>
        </w:rPr>
        <w:t xml:space="preserve"> Printed forms: </w:t>
      </w:r>
      <w:r>
        <w:rPr>
          <w:b w:val="0"/>
          <w:i/>
        </w:rPr>
        <w:t>intellectus</w:t>
      </w:r>
      <w:r>
        <w:rPr>
          <w:b w:val="0"/>
          <w:i w:val="0"/>
        </w:rPr>
        <w:t xml:space="preserve">; </w:t>
      </w:r>
      <w:r>
        <w:rPr>
          <w:b w:val="0"/>
          <w:i/>
        </w:rPr>
        <w:t>intelligentia</w:t>
      </w:r>
      <w:r>
        <w:rPr>
          <w:b w:val="0"/>
          <w:i w:val="0"/>
        </w:rPr>
        <w:t xml:space="preserve">; </w:t>
      </w:r>
      <w:r>
        <w:rPr>
          <w:b w:val="0"/>
          <w:i/>
        </w:rPr>
        <w:t>intelligere</w:t>
      </w:r>
      <w:r>
        <w:rPr>
          <w:b w:val="0"/>
          <w:i w:val="0"/>
        </w:rPr>
        <w:t>.</w:t>
      </w:r>
    </w:p>
    <w:p>
      <w:pPr>
        <w:widowControl/>
      </w:pPr>
      <w:r>
        <w:rPr>
          <w:b w:val="0"/>
          <w:i w:val="0"/>
        </w:rPr>
        <w:t xml:space="preserve">Intellect or intelligence / understand. Intellectual awareness of possible effects is distinguished from effective willing; the concepts coincide in divine being without identical explanatory roles. References: </w:t>
      </w:r>
      <w:hyperlink w:anchor="passage-ii-11-11">
        <w:r>
          <w:rPr>
            <w:color w:val="000000"/>
          </w:rPr>
          <w:t xml:space="preserve">II.11.11</w:t>
        </w:r>
      </w:hyperlink>
      <w:r>
        <w:rPr>
          <w:b w:val="0"/>
          <w:i w:val="0"/>
        </w:rPr>
        <w:t xml:space="preserve">, </w:t>
      </w:r>
      <w:hyperlink w:anchor="passage-ii-11-29">
        <w:r>
          <w:rPr>
            <w:color w:val="000000"/>
          </w:rPr>
          <w:t xml:space="preserve">II.11.29</w:t>
        </w:r>
      </w:hyperlink>
      <w:r>
        <w:rPr>
          <w:b w:val="0"/>
          <w:i w:val="0"/>
        </w:rPr>
        <w:t xml:space="preserve">, </w:t>
      </w:r>
      <w:hyperlink w:anchor="passage-ii-12-8">
        <w:r>
          <w:rPr>
            <w:color w:val="000000"/>
          </w:rPr>
          <w:t xml:space="preserve">II.12.8</w:t>
        </w:r>
      </w:hyperlink>
      <w:r>
        <w:rPr>
          <w:b w:val="0"/>
          <w:i w:val="0"/>
        </w:rPr>
        <w:t xml:space="preserve">. See </w:t>
      </w:r>
      <w:hyperlink w:anchor="intellect-and-intellection">
        <w:r>
          <w:rPr>
            <w:color w:val="000000"/>
          </w:rPr>
          <w:t xml:space="preserve">Intellect and intellection</w:t>
        </w:r>
      </w:hyperlink>
      <w:r>
        <w:rPr>
          <w:b w:val="0"/>
          <w:i w:val="0"/>
        </w:rPr>
        <w:t>.</w:t>
      </w:r>
    </w:p>
    <w:p>
      <w:pPr>
        <w:keepNext/>
        <w:widowControl/>
      </w:pPr>
      <w:bookmarkStart w:id="847" w:name="latin-record-0596"/>
      <w:bookmarkEnd w:id="847"/>
      <w:r>
        <w:rPr>
          <w:b/>
          <w:i w:val="0"/>
        </w:rPr>
        <w:t>intellectus / intelligere</w:t>
      </w:r>
      <w:r>
        <w:rPr>
          <w:b/>
          <w:i w:val="0"/>
        </w:rPr>
        <w:t>.</w:t>
      </w:r>
      <w:r>
        <w:rPr>
          <w:b w:val="0"/>
          <w:i w:val="0"/>
        </w:rPr>
        <w:t xml:space="preserve"> Printed forms: </w:t>
      </w:r>
      <w:r>
        <w:rPr>
          <w:b w:val="0"/>
          <w:i/>
        </w:rPr>
        <w:t>intellectu</w:t>
      </w:r>
      <w:r>
        <w:rPr>
          <w:b w:val="0"/>
          <w:i w:val="0"/>
        </w:rPr>
        <w:t xml:space="preserve">; </w:t>
      </w:r>
      <w:r>
        <w:rPr>
          <w:b w:val="0"/>
          <w:i/>
        </w:rPr>
        <w:t>intellectum</w:t>
      </w:r>
      <w:r>
        <w:rPr>
          <w:b w:val="0"/>
          <w:i w:val="0"/>
        </w:rPr>
        <w:t xml:space="preserve">; </w:t>
      </w:r>
      <w:r>
        <w:rPr>
          <w:b w:val="0"/>
          <w:i/>
        </w:rPr>
        <w:t>intellectus</w:t>
      </w:r>
      <w:r>
        <w:rPr>
          <w:b w:val="0"/>
          <w:i w:val="0"/>
        </w:rPr>
        <w:t xml:space="preserve">; </w:t>
      </w:r>
      <w:r>
        <w:rPr>
          <w:b w:val="0"/>
          <w:i/>
        </w:rPr>
        <w:t>Intellectus</w:t>
      </w:r>
      <w:r>
        <w:rPr>
          <w:b w:val="0"/>
          <w:i w:val="0"/>
        </w:rPr>
        <w:t xml:space="preserve">; </w:t>
      </w:r>
      <w:r>
        <w:rPr>
          <w:b w:val="0"/>
          <w:i/>
        </w:rPr>
        <w:t>intelligantur</w:t>
      </w:r>
      <w:r>
        <w:rPr>
          <w:b w:val="0"/>
          <w:i w:val="0"/>
        </w:rPr>
        <w:t xml:space="preserve">; </w:t>
      </w:r>
      <w:r>
        <w:rPr>
          <w:b w:val="0"/>
          <w:i/>
        </w:rPr>
        <w:t>intelligere</w:t>
      </w:r>
      <w:r>
        <w:rPr>
          <w:b w:val="0"/>
          <w:i w:val="0"/>
        </w:rPr>
        <w:t xml:space="preserve">; </w:t>
      </w:r>
      <w:r>
        <w:rPr>
          <w:b w:val="0"/>
          <w:i/>
        </w:rPr>
        <w:t>intelligi</w:t>
      </w:r>
      <w:r>
        <w:rPr>
          <w:b w:val="0"/>
          <w:i w:val="0"/>
        </w:rPr>
        <w:t xml:space="preserve">; </w:t>
      </w:r>
      <w:r>
        <w:rPr>
          <w:b w:val="0"/>
          <w:i/>
        </w:rPr>
        <w:t>intelligit</w:t>
      </w:r>
      <w:r>
        <w:rPr>
          <w:b w:val="0"/>
          <w:i w:val="0"/>
        </w:rPr>
        <w:t xml:space="preserve">; </w:t>
      </w:r>
      <w:r>
        <w:rPr>
          <w:b w:val="0"/>
          <w:i/>
        </w:rPr>
        <w:t>intelliguntur</w:t>
      </w:r>
      <w:r>
        <w:rPr>
          <w:b w:val="0"/>
          <w:i w:val="0"/>
        </w:rPr>
        <w:t>.</w:t>
      </w:r>
    </w:p>
    <w:p>
      <w:pPr>
        <w:widowControl/>
      </w:pPr>
      <w:r>
        <w:rPr>
          <w:b w:val="0"/>
          <w:i w:val="0"/>
        </w:rPr>
        <w:t xml:space="preserve">Intellect as knowing power or knower, and its act of understanding. God’s being and understanding are identified, while intellectual naming is qualified as causal rather than creaturely form. References: </w:t>
      </w:r>
      <w:hyperlink w:anchor="passage-ii-9-1">
        <w:r>
          <w:rPr>
            <w:color w:val="000000"/>
          </w:rPr>
          <w:t xml:space="preserve">II.9.1</w:t>
        </w:r>
      </w:hyperlink>
      <w:r>
        <w:rPr>
          <w:b w:val="0"/>
          <w:i w:val="0"/>
        </w:rPr>
        <w:t xml:space="preserve">, </w:t>
      </w:r>
      <w:hyperlink w:anchor="passage-ii-9-7">
        <w:r>
          <w:rPr>
            <w:color w:val="000000"/>
          </w:rPr>
          <w:t xml:space="preserve">II.9.7</w:t>
        </w:r>
      </w:hyperlink>
      <w:r>
        <w:rPr>
          <w:b w:val="0"/>
          <w:i w:val="0"/>
        </w:rPr>
        <w:t xml:space="preserve">, </w:t>
      </w:r>
      <w:hyperlink w:anchor="passage-ii-9-12">
        <w:r>
          <w:rPr>
            <w:color w:val="000000"/>
          </w:rPr>
          <w:t xml:space="preserve">II.9.12</w:t>
        </w:r>
      </w:hyperlink>
      <w:r>
        <w:rPr>
          <w:b w:val="0"/>
          <w:i w:val="0"/>
        </w:rPr>
        <w:t xml:space="preserve">, </w:t>
      </w:r>
      <w:hyperlink w:anchor="passage-ii-10-7">
        <w:r>
          <w:rPr>
            <w:color w:val="000000"/>
          </w:rPr>
          <w:t xml:space="preserve">II.10.7</w:t>
        </w:r>
      </w:hyperlink>
      <w:r>
        <w:rPr>
          <w:b w:val="0"/>
          <w:i w:val="0"/>
        </w:rPr>
        <w:t xml:space="preserve">. See </w:t>
      </w:r>
      <w:hyperlink w:anchor="intellect-and-intellection">
        <w:r>
          <w:rPr>
            <w:color w:val="000000"/>
          </w:rPr>
          <w:t xml:space="preserve">Intellect and intellection</w:t>
        </w:r>
      </w:hyperlink>
      <w:r>
        <w:rPr>
          <w:b w:val="0"/>
          <w:i w:val="0"/>
        </w:rPr>
        <w:t>.</w:t>
      </w:r>
    </w:p>
    <w:p>
      <w:pPr>
        <w:keepNext/>
        <w:widowControl/>
      </w:pPr>
      <w:bookmarkStart w:id="848" w:name="latin-record-0597"/>
      <w:bookmarkEnd w:id="848"/>
      <w:r>
        <w:rPr>
          <w:b/>
          <w:i w:val="0"/>
        </w:rPr>
        <w:t>intellectus animales / animae corporales</w:t>
      </w:r>
      <w:r>
        <w:rPr>
          <w:b/>
          <w:i w:val="0"/>
        </w:rPr>
        <w:t>.</w:t>
      </w:r>
      <w:r>
        <w:rPr>
          <w:b w:val="0"/>
          <w:i w:val="0"/>
        </w:rPr>
        <w:t xml:space="preserve"> Printed forms: </w:t>
      </w:r>
      <w:r>
        <w:rPr>
          <w:b w:val="0"/>
          <w:i/>
        </w:rPr>
        <w:t>animas corporales</w:t>
      </w:r>
      <w:r>
        <w:rPr>
          <w:b w:val="0"/>
          <w:i w:val="0"/>
        </w:rPr>
        <w:t xml:space="preserve">; </w:t>
      </w:r>
      <w:r>
        <w:rPr>
          <w:b w:val="0"/>
          <w:i/>
        </w:rPr>
        <w:t>intellectus animales</w:t>
      </w:r>
      <w:r>
        <w:rPr>
          <w:b w:val="0"/>
          <w:i w:val="0"/>
        </w:rPr>
        <w:t>.</w:t>
      </w:r>
    </w:p>
    <w:p>
      <w:pPr>
        <w:widowControl/>
      </w:pPr>
      <w:r>
        <w:rPr>
          <w:b w:val="0"/>
          <w:i w:val="0"/>
        </w:rPr>
        <w:t xml:space="preserve">Ensouled intellects / bodily or embodied souls. These labels occupy successive positions in the reported eternity–time classification; animales does not mean exclusively nonhuman animals. References: </w:t>
      </w:r>
      <w:hyperlink w:anchor="passage-iii-2-5">
        <w:r>
          <w:rPr>
            <w:color w:val="000000"/>
          </w:rPr>
          <w:t xml:space="preserve">III.2.5</w:t>
        </w:r>
      </w:hyperlink>
      <w:r>
        <w:rPr>
          <w:b w:val="0"/>
          <w:i w:val="0"/>
        </w:rPr>
        <w:t xml:space="preserve">, </w:t>
      </w:r>
      <w:hyperlink w:anchor="passage-iii-2-6">
        <w:r>
          <w:rPr>
            <w:color w:val="000000"/>
          </w:rPr>
          <w:t xml:space="preserve">III.2.6</w:t>
        </w:r>
      </w:hyperlink>
      <w:r>
        <w:rPr>
          <w:b w:val="0"/>
          <w:i w:val="0"/>
        </w:rPr>
        <w:t xml:space="preserve">. See </w:t>
      </w:r>
      <w:hyperlink w:anchor="empyrean-heaven">
        <w:r>
          <w:rPr>
            <w:color w:val="000000"/>
          </w:rPr>
          <w:t xml:space="preserve">Empyrean heaven</w:t>
        </w:r>
      </w:hyperlink>
      <w:r>
        <w:rPr>
          <w:b w:val="0"/>
          <w:i w:val="0"/>
        </w:rPr>
        <w:t>.</w:t>
      </w:r>
    </w:p>
    <w:p>
      <w:pPr>
        <w:keepNext/>
        <w:widowControl/>
      </w:pPr>
      <w:bookmarkStart w:id="849" w:name="latin-record-0598"/>
      <w:bookmarkEnd w:id="849"/>
      <w:r>
        <w:rPr>
          <w:b/>
          <w:i w:val="0"/>
        </w:rPr>
        <w:t>intelligibilis / intelligendus / intelligens</w:t>
      </w:r>
      <w:r>
        <w:rPr>
          <w:b/>
          <w:i w:val="0"/>
        </w:rPr>
        <w:t>.</w:t>
      </w:r>
      <w:r>
        <w:rPr>
          <w:b w:val="0"/>
          <w:i w:val="0"/>
        </w:rPr>
        <w:t xml:space="preserve"> Printed forms: </w:t>
      </w:r>
      <w:r>
        <w:rPr>
          <w:b w:val="0"/>
          <w:i/>
        </w:rPr>
        <w:t>intelligenda</w:t>
      </w:r>
      <w:r>
        <w:rPr>
          <w:b w:val="0"/>
          <w:i w:val="0"/>
        </w:rPr>
        <w:t xml:space="preserve">; </w:t>
      </w:r>
      <w:r>
        <w:rPr>
          <w:b w:val="0"/>
          <w:i/>
        </w:rPr>
        <w:t>intelligendae</w:t>
      </w:r>
      <w:r>
        <w:rPr>
          <w:b w:val="0"/>
          <w:i w:val="0"/>
        </w:rPr>
        <w:t xml:space="preserve">; </w:t>
      </w:r>
      <w:r>
        <w:rPr>
          <w:b w:val="0"/>
          <w:i/>
        </w:rPr>
        <w:t>intelligendam</w:t>
      </w:r>
      <w:r>
        <w:rPr>
          <w:b w:val="0"/>
          <w:i w:val="0"/>
        </w:rPr>
        <w:t xml:space="preserve">; </w:t>
      </w:r>
      <w:r>
        <w:rPr>
          <w:b w:val="0"/>
          <w:i/>
        </w:rPr>
        <w:t>intelligens</w:t>
      </w:r>
      <w:r>
        <w:rPr>
          <w:b w:val="0"/>
          <w:i w:val="0"/>
        </w:rPr>
        <w:t xml:space="preserve">; </w:t>
      </w:r>
      <w:r>
        <w:rPr>
          <w:b w:val="0"/>
          <w:i/>
        </w:rPr>
        <w:t>intelligibile</w:t>
      </w:r>
      <w:r>
        <w:rPr>
          <w:b w:val="0"/>
          <w:i w:val="0"/>
        </w:rPr>
        <w:t xml:space="preserve">; </w:t>
      </w:r>
      <w:r>
        <w:rPr>
          <w:b w:val="0"/>
          <w:i/>
        </w:rPr>
        <w:t>intelligibilisque</w:t>
      </w:r>
      <w:r>
        <w:rPr>
          <w:b w:val="0"/>
          <w:i w:val="0"/>
        </w:rPr>
        <w:t>.</w:t>
      </w:r>
    </w:p>
    <w:p>
      <w:pPr>
        <w:widowControl/>
      </w:pPr>
      <w:r>
        <w:rPr>
          <w:b w:val="0"/>
          <w:i w:val="0"/>
        </w:rPr>
        <w:t xml:space="preserve">Understandable object, what is to be understood, or understanding subject. The grammatical differences keep being known distinct from knowing in the argument from immateriality. References: </w:t>
      </w:r>
      <w:hyperlink w:anchor="passage-ii-9-1">
        <w:r>
          <w:rPr>
            <w:color w:val="000000"/>
          </w:rPr>
          <w:t xml:space="preserve">II.9.1</w:t>
        </w:r>
      </w:hyperlink>
      <w:r>
        <w:rPr>
          <w:b w:val="0"/>
          <w:i w:val="0"/>
        </w:rPr>
        <w:t xml:space="preserve">, </w:t>
      </w:r>
      <w:hyperlink w:anchor="passage-ii-9-7">
        <w:r>
          <w:rPr>
            <w:color w:val="000000"/>
          </w:rPr>
          <w:t xml:space="preserve">II.9.7</w:t>
        </w:r>
      </w:hyperlink>
      <w:r>
        <w:rPr>
          <w:b w:val="0"/>
          <w:i w:val="0"/>
        </w:rPr>
        <w:t xml:space="preserve">, </w:t>
      </w:r>
      <w:hyperlink w:anchor="passage-ii-9-8">
        <w:r>
          <w:rPr>
            <w:color w:val="000000"/>
          </w:rPr>
          <w:t xml:space="preserve">II.9.8</w:t>
        </w:r>
      </w:hyperlink>
      <w:r>
        <w:rPr>
          <w:b w:val="0"/>
          <w:i w:val="0"/>
        </w:rPr>
        <w:t xml:space="preserve">. See </w:t>
      </w:r>
      <w:hyperlink w:anchor="intellect-and-intellection">
        <w:r>
          <w:rPr>
            <w:color w:val="000000"/>
          </w:rPr>
          <w:t xml:space="preserve">Intellect and intellection</w:t>
        </w:r>
      </w:hyperlink>
      <w:r>
        <w:rPr>
          <w:b w:val="0"/>
          <w:i w:val="0"/>
        </w:rPr>
        <w:t>.</w:t>
      </w:r>
    </w:p>
    <w:p>
      <w:pPr>
        <w:keepNext/>
        <w:widowControl/>
      </w:pPr>
      <w:bookmarkStart w:id="850" w:name="latin-record-0599"/>
      <w:bookmarkEnd w:id="850"/>
      <w:r>
        <w:rPr>
          <w:b/>
          <w:i w:val="0"/>
        </w:rPr>
        <w:t>intendo / remitto</w:t>
      </w:r>
      <w:r>
        <w:rPr>
          <w:b/>
          <w:i w:val="0"/>
        </w:rPr>
        <w:t>.</w:t>
      </w:r>
      <w:r>
        <w:rPr>
          <w:b w:val="0"/>
          <w:i w:val="0"/>
        </w:rPr>
        <w:t xml:space="preserve"> Printed forms: </w:t>
      </w:r>
      <w:r>
        <w:rPr>
          <w:b w:val="0"/>
          <w:i/>
        </w:rPr>
        <w:t>intenditur</w:t>
      </w:r>
      <w:r>
        <w:rPr>
          <w:b w:val="0"/>
          <w:i w:val="0"/>
        </w:rPr>
        <w:t xml:space="preserve">; </w:t>
      </w:r>
      <w:r>
        <w:rPr>
          <w:b w:val="0"/>
          <w:i/>
        </w:rPr>
        <w:t>remittatur</w:t>
      </w:r>
      <w:r>
        <w:rPr>
          <w:b w:val="0"/>
          <w:i w:val="0"/>
        </w:rPr>
        <w:t xml:space="preserve">; </w:t>
      </w:r>
      <w:r>
        <w:rPr>
          <w:b w:val="0"/>
          <w:i/>
        </w:rPr>
        <w:t>remittitur</w:t>
      </w:r>
      <w:r>
        <w:rPr>
          <w:b w:val="0"/>
          <w:i w:val="0"/>
        </w:rPr>
        <w:t>.</w:t>
      </w:r>
    </w:p>
    <w:p>
      <w:pPr>
        <w:widowControl/>
      </w:pPr>
      <w:r>
        <w:rPr>
          <w:b w:val="0"/>
          <w:i w:val="0"/>
        </w:rPr>
        <w:t xml:space="preserve">To intensify and to diminish in intensity. Heat can become stronger or weaker; this alteration differs from the quantitative decrease separately discussed in the ascent. References: </w:t>
      </w:r>
      <w:hyperlink w:anchor="passage-i-3-15">
        <w:r>
          <w:rPr>
            <w:color w:val="000000"/>
          </w:rPr>
          <w:t xml:space="preserve">I.3.15</w:t>
        </w:r>
      </w:hyperlink>
      <w:r>
        <w:rPr>
          <w:b w:val="0"/>
          <w:i w:val="0"/>
        </w:rPr>
        <w:t xml:space="preserve">, </w:t>
      </w:r>
      <w:hyperlink w:anchor="passage-i-4-1">
        <w:r>
          <w:rPr>
            <w:color w:val="000000"/>
          </w:rPr>
          <w:t xml:space="preserve">I.4.1</w:t>
        </w:r>
      </w:hyperlink>
      <w:r>
        <w:rPr>
          <w:b w:val="0"/>
          <w:i w:val="0"/>
        </w:rPr>
        <w:t xml:space="preserve">. See </w:t>
      </w:r>
      <w:hyperlink w:anchor="measure-and-degree">
        <w:r>
          <w:rPr>
            <w:color w:val="000000"/>
          </w:rPr>
          <w:t xml:space="preserve">Measure and degree</w:t>
        </w:r>
      </w:hyperlink>
      <w:r>
        <w:rPr>
          <w:b w:val="0"/>
          <w:i w:val="0"/>
        </w:rPr>
        <w:t>.</w:t>
      </w:r>
    </w:p>
    <w:p>
      <w:pPr>
        <w:keepNext/>
        <w:widowControl/>
      </w:pPr>
      <w:bookmarkStart w:id="851" w:name="latin-record-0600"/>
      <w:bookmarkEnd w:id="851"/>
      <w:r>
        <w:rPr>
          <w:b/>
          <w:i w:val="0"/>
        </w:rPr>
        <w:t>intercedere</w:t>
      </w:r>
      <w:r>
        <w:rPr>
          <w:b/>
          <w:i w:val="0"/>
        </w:rPr>
        <w:t>.</w:t>
      </w:r>
      <w:r>
        <w:rPr>
          <w:b w:val="0"/>
          <w:i w:val="0"/>
        </w:rPr>
        <w:t xml:space="preserve"> Printed forms: </w:t>
      </w:r>
      <w:r>
        <w:rPr>
          <w:b w:val="0"/>
          <w:i/>
        </w:rPr>
        <w:t>intercedat</w:t>
      </w:r>
      <w:r>
        <w:rPr>
          <w:b w:val="0"/>
          <w:i w:val="0"/>
        </w:rPr>
        <w:t xml:space="preserve">; </w:t>
      </w:r>
      <w:r>
        <w:rPr>
          <w:b w:val="0"/>
          <w:i/>
        </w:rPr>
        <w:t>intercesserit</w:t>
      </w:r>
      <w:r>
        <w:rPr>
          <w:b w:val="0"/>
          <w:i w:val="0"/>
        </w:rPr>
        <w:t>.</w:t>
      </w:r>
    </w:p>
    <w:p>
      <w:pPr>
        <w:widowControl/>
      </w:pPr>
      <w:r>
        <w:rPr>
          <w:b w:val="0"/>
          <w:i w:val="0"/>
        </w:rPr>
        <w:t xml:space="preserve">To intervene as a necessary middle. Particular thought mediates a general plan and a step just as soul mediates immutable mind and mutable body in another argument. References: </w:t>
      </w:r>
      <w:hyperlink w:anchor="passage-iv-1-32">
        <w:r>
          <w:rPr>
            <w:color w:val="000000"/>
          </w:rPr>
          <w:t xml:space="preserve">IV.1.32</w:t>
        </w:r>
      </w:hyperlink>
      <w:r>
        <w:rPr>
          <w:b w:val="0"/>
          <w:i w:val="0"/>
        </w:rPr>
        <w:t xml:space="preserve">, </w:t>
      </w:r>
      <w:hyperlink w:anchor="passage-iv-2-14">
        <w:r>
          <w:rPr>
            <w:color w:val="000000"/>
          </w:rPr>
          <w:t xml:space="preserve">IV.2.14</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852" w:name="latin-record-0601"/>
      <w:bookmarkEnd w:id="852"/>
      <w:r>
        <w:rPr>
          <w:b/>
          <w:i w:val="0"/>
        </w:rPr>
        <w:t>intercedere / deducere</w:t>
      </w:r>
      <w:r>
        <w:rPr>
          <w:b/>
          <w:i w:val="0"/>
        </w:rPr>
        <w:t>.</w:t>
      </w:r>
      <w:r>
        <w:rPr>
          <w:b w:val="0"/>
          <w:i w:val="0"/>
        </w:rPr>
        <w:t xml:space="preserve"> Printed forms: </w:t>
      </w:r>
      <w:r>
        <w:rPr>
          <w:b w:val="0"/>
          <w:i/>
        </w:rPr>
        <w:t>deducit</w:t>
      </w:r>
      <w:r>
        <w:rPr>
          <w:b w:val="0"/>
          <w:i w:val="0"/>
        </w:rPr>
        <w:t xml:space="preserve">; </w:t>
      </w:r>
      <w:r>
        <w:rPr>
          <w:b w:val="0"/>
          <w:i/>
        </w:rPr>
        <w:t>intercesserit</w:t>
      </w:r>
      <w:r>
        <w:rPr>
          <w:b w:val="0"/>
          <w:i w:val="0"/>
        </w:rPr>
        <w:t>.</w:t>
      </w:r>
    </w:p>
    <w:p>
      <w:pPr>
        <w:widowControl/>
      </w:pPr>
      <w:r>
        <w:rPr>
          <w:b w:val="0"/>
          <w:i w:val="0"/>
        </w:rPr>
        <w:t xml:space="preserve">To intervene as a mediator; to bring down into a lower mode. Soul receives indivisible forms and translates their operation into a mutable temporal nature before bodily division. References: </w:t>
      </w:r>
      <w:hyperlink w:anchor="passage-iv-1-32">
        <w:r>
          <w:rPr>
            <w:color w:val="000000"/>
          </w:rPr>
          <w:t xml:space="preserve">IV.1.32</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853" w:name="latin-record-0602"/>
      <w:bookmarkEnd w:id="853"/>
      <w:r>
        <w:rPr>
          <w:b/>
          <w:i w:val="0"/>
        </w:rPr>
        <w:t>interminatus / infinitus / finitus</w:t>
      </w:r>
      <w:r>
        <w:rPr>
          <w:b/>
          <w:i w:val="0"/>
        </w:rPr>
        <w:t>.</w:t>
      </w:r>
      <w:r>
        <w:rPr>
          <w:b w:val="0"/>
          <w:i w:val="0"/>
        </w:rPr>
        <w:t xml:space="preserve"> Printed forms: </w:t>
      </w:r>
      <w:r>
        <w:rPr>
          <w:b w:val="0"/>
          <w:i/>
        </w:rPr>
        <w:t>finitam</w:t>
      </w:r>
      <w:r>
        <w:rPr>
          <w:b w:val="0"/>
          <w:i w:val="0"/>
        </w:rPr>
        <w:t xml:space="preserve">; </w:t>
      </w:r>
      <w:r>
        <w:rPr>
          <w:b w:val="0"/>
          <w:i/>
        </w:rPr>
        <w:t>finitas</w:t>
      </w:r>
      <w:r>
        <w:rPr>
          <w:b w:val="0"/>
          <w:i w:val="0"/>
        </w:rPr>
        <w:t xml:space="preserve">; </w:t>
      </w:r>
      <w:r>
        <w:rPr>
          <w:b w:val="0"/>
          <w:i/>
        </w:rPr>
        <w:t>infinitas</w:t>
      </w:r>
      <w:r>
        <w:rPr>
          <w:b w:val="0"/>
          <w:i w:val="0"/>
        </w:rPr>
        <w:t xml:space="preserve">; </w:t>
      </w:r>
      <w:r>
        <w:rPr>
          <w:b w:val="0"/>
          <w:i/>
        </w:rPr>
        <w:t>interminata</w:t>
      </w:r>
      <w:r>
        <w:rPr>
          <w:b w:val="0"/>
          <w:i w:val="0"/>
        </w:rPr>
        <w:t>.</w:t>
      </w:r>
    </w:p>
    <w:p>
      <w:pPr>
        <w:widowControl/>
      </w:pPr>
      <w:r>
        <w:rPr>
          <w:b w:val="0"/>
          <w:i w:val="0"/>
        </w:rPr>
        <w:t xml:space="preserve">Undetermined, infinite and finite. Indeterminate dimension underlies diverse bodies; the first-principle argument separately contrasts infinite dimensions excluding other bodies with finite dimensions limiting power. References: </w:t>
      </w:r>
      <w:hyperlink w:anchor="passage-i-2-9">
        <w:r>
          <w:rPr>
            <w:color w:val="000000"/>
          </w:rPr>
          <w:t xml:space="preserve">I.2.9</w:t>
        </w:r>
      </w:hyperlink>
      <w:r>
        <w:rPr>
          <w:b w:val="0"/>
          <w:i w:val="0"/>
        </w:rPr>
        <w:t xml:space="preserve">, </w:t>
      </w:r>
      <w:hyperlink w:anchor="passage-i-3-32">
        <w:r>
          <w:rPr>
            <w:color w:val="000000"/>
          </w:rPr>
          <w:t xml:space="preserve">I.3.32</w:t>
        </w:r>
      </w:hyperlink>
      <w:r>
        <w:rPr>
          <w:b w:val="0"/>
          <w:i w:val="0"/>
        </w:rPr>
        <w:t xml:space="preserve">. See </w:t>
      </w:r>
      <w:hyperlink w:anchor="infinity">
        <w:r>
          <w:rPr>
            <w:color w:val="000000"/>
          </w:rPr>
          <w:t xml:space="preserve">Infinity</w:t>
        </w:r>
      </w:hyperlink>
      <w:r>
        <w:rPr>
          <w:b w:val="0"/>
          <w:i w:val="0"/>
        </w:rPr>
        <w:t>.</w:t>
      </w:r>
    </w:p>
    <w:p>
      <w:pPr>
        <w:keepNext/>
        <w:widowControl/>
      </w:pPr>
      <w:bookmarkStart w:id="854" w:name="latin-record-0603"/>
      <w:bookmarkEnd w:id="854"/>
      <w:r>
        <w:rPr>
          <w:b/>
          <w:i w:val="0"/>
        </w:rPr>
        <w:t>intervallum</w:t>
      </w:r>
      <w:r>
        <w:rPr>
          <w:b/>
          <w:i w:val="0"/>
        </w:rPr>
        <w:t>.</w:t>
      </w:r>
      <w:r>
        <w:rPr>
          <w:b w:val="0"/>
          <w:i w:val="0"/>
        </w:rPr>
        <w:t xml:space="preserve"> Printed forms: </w:t>
      </w:r>
      <w:r>
        <w:rPr>
          <w:b w:val="0"/>
          <w:i/>
        </w:rPr>
        <w:t>intervallaque</w:t>
      </w:r>
      <w:r>
        <w:rPr>
          <w:b w:val="0"/>
          <w:i w:val="0"/>
        </w:rPr>
        <w:t>.</w:t>
      </w:r>
    </w:p>
    <w:p>
      <w:pPr>
        <w:widowControl/>
      </w:pPr>
      <w:r>
        <w:rPr>
          <w:b w:val="0"/>
          <w:i w:val="0"/>
        </w:rPr>
        <w:t xml:space="preserve">Interval or distance. Alternative distances between stars exemplify possibilities beyond the existing order; the passage does not claim they are actual. References: </w:t>
      </w:r>
      <w:hyperlink w:anchor="passage-ii-12-18">
        <w:r>
          <w:rPr>
            <w:color w:val="000000"/>
          </w:rPr>
          <w:t xml:space="preserve">II.12.18</w:t>
        </w:r>
      </w:hyperlink>
      <w:r>
        <w:rPr>
          <w:b w:val="0"/>
          <w:i w:val="0"/>
        </w:rPr>
        <w:t xml:space="preserve">. See </w:t>
      </w:r>
      <w:hyperlink w:anchor="contradiction-and-possibility">
        <w:r>
          <w:rPr>
            <w:color w:val="000000"/>
          </w:rPr>
          <w:t xml:space="preserve">Contradiction and possibility</w:t>
        </w:r>
      </w:hyperlink>
      <w:r>
        <w:rPr>
          <w:b w:val="0"/>
          <w:i w:val="0"/>
        </w:rPr>
        <w:t>.</w:t>
      </w:r>
    </w:p>
    <w:p>
      <w:pPr>
        <w:keepNext/>
        <w:widowControl/>
      </w:pPr>
      <w:bookmarkStart w:id="855" w:name="latin-record-0604"/>
      <w:bookmarkEnd w:id="855"/>
      <w:r>
        <w:rPr>
          <w:b/>
          <w:i w:val="0"/>
        </w:rPr>
        <w:t>intervallum / mensura</w:t>
      </w:r>
      <w:r>
        <w:rPr>
          <w:b/>
          <w:i w:val="0"/>
        </w:rPr>
        <w:t>.</w:t>
      </w:r>
      <w:r>
        <w:rPr>
          <w:b w:val="0"/>
          <w:i w:val="0"/>
        </w:rPr>
        <w:t xml:space="preserve"> Printed forms: </w:t>
      </w:r>
      <w:r>
        <w:rPr>
          <w:b w:val="0"/>
          <w:i/>
        </w:rPr>
        <w:t>intervallis</w:t>
      </w:r>
      <w:r>
        <w:rPr>
          <w:b w:val="0"/>
          <w:i w:val="0"/>
        </w:rPr>
        <w:t xml:space="preserve">; </w:t>
      </w:r>
      <w:r>
        <w:rPr>
          <w:b w:val="0"/>
          <w:i/>
        </w:rPr>
        <w:t>intervallum</w:t>
      </w:r>
      <w:r>
        <w:rPr>
          <w:b w:val="0"/>
          <w:i w:val="0"/>
        </w:rPr>
        <w:t xml:space="preserve">; </w:t>
      </w:r>
      <w:r>
        <w:rPr>
          <w:b w:val="0"/>
          <w:i/>
        </w:rPr>
        <w:t>mensuraque</w:t>
      </w:r>
      <w:r>
        <w:rPr>
          <w:b w:val="0"/>
          <w:i w:val="0"/>
        </w:rPr>
        <w:t>.</w:t>
      </w:r>
    </w:p>
    <w:p>
      <w:pPr>
        <w:widowControl/>
      </w:pPr>
      <w:r>
        <w:rPr>
          <w:b w:val="0"/>
          <w:i w:val="0"/>
        </w:rPr>
        <w:t xml:space="preserve">Interval, measure, or standard of comparison. Rank requires an ideal standard; the universal order includes proportions and intervals between unequal parts. References: </w:t>
      </w:r>
      <w:hyperlink w:anchor="passage-ii-3-4">
        <w:r>
          <w:rPr>
            <w:color w:val="000000"/>
          </w:rPr>
          <w:t xml:space="preserve">II.3.4</w:t>
        </w:r>
      </w:hyperlink>
      <w:r>
        <w:rPr>
          <w:b w:val="0"/>
          <w:i w:val="0"/>
        </w:rPr>
        <w:t xml:space="preserve">, </w:t>
      </w:r>
      <w:hyperlink w:anchor="passage-ii-3-5">
        <w:r>
          <w:rPr>
            <w:color w:val="000000"/>
          </w:rPr>
          <w:t xml:space="preserve">II.3.5</w:t>
        </w:r>
      </w:hyperlink>
      <w:r>
        <w:rPr>
          <w:b w:val="0"/>
          <w:i w:val="0"/>
        </w:rPr>
        <w:t xml:space="preserve">, </w:t>
      </w:r>
      <w:hyperlink w:anchor="passage-ii-9-21">
        <w:r>
          <w:rPr>
            <w:color w:val="000000"/>
          </w:rPr>
          <w:t xml:space="preserve">II.9.21</w:t>
        </w:r>
      </w:hyperlink>
      <w:r>
        <w:rPr>
          <w:b w:val="0"/>
          <w:i w:val="0"/>
        </w:rPr>
        <w:t xml:space="preserve">. See </w:t>
      </w:r>
      <w:hyperlink w:anchor="measure-and-degree">
        <w:r>
          <w:rPr>
            <w:color w:val="000000"/>
          </w:rPr>
          <w:t xml:space="preserve">Measure and degree</w:t>
        </w:r>
      </w:hyperlink>
      <w:r>
        <w:rPr>
          <w:b w:val="0"/>
          <w:i w:val="0"/>
        </w:rPr>
        <w:t>.</w:t>
      </w:r>
    </w:p>
    <w:p>
      <w:pPr>
        <w:keepNext/>
        <w:widowControl/>
      </w:pPr>
      <w:bookmarkStart w:id="856" w:name="latin-record-0605"/>
      <w:bookmarkEnd w:id="856"/>
      <w:r>
        <w:rPr>
          <w:b/>
          <w:i w:val="0"/>
        </w:rPr>
        <w:t>intervallum / spatium</w:t>
      </w:r>
      <w:r>
        <w:rPr>
          <w:b/>
          <w:i w:val="0"/>
        </w:rPr>
        <w:t>.</w:t>
      </w:r>
      <w:r>
        <w:rPr>
          <w:b w:val="0"/>
          <w:i w:val="0"/>
        </w:rPr>
        <w:t xml:space="preserve"> Printed forms: </w:t>
      </w:r>
      <w:r>
        <w:rPr>
          <w:b w:val="0"/>
          <w:i/>
        </w:rPr>
        <w:t>intervallum</w:t>
      </w:r>
      <w:r>
        <w:rPr>
          <w:b w:val="0"/>
          <w:i w:val="0"/>
        </w:rPr>
        <w:t xml:space="preserve">; </w:t>
      </w:r>
      <w:r>
        <w:rPr>
          <w:b w:val="0"/>
          <w:i/>
        </w:rPr>
        <w:t>spatium</w:t>
      </w:r>
      <w:r>
        <w:rPr>
          <w:b w:val="0"/>
          <w:i w:val="0"/>
        </w:rPr>
        <w:t>.</w:t>
      </w:r>
    </w:p>
    <w:p>
      <w:pPr>
        <w:widowControl/>
      </w:pPr>
      <w:r>
        <w:rPr>
          <w:b w:val="0"/>
          <w:i w:val="0"/>
        </w:rPr>
        <w:t xml:space="preserve">Interval or distance between levels. Ficino promises an argument that the soul-to-first-principle interval is infinite but the soul-to-matter interval finite; this unit does not yet deliver it. References: </w:t>
      </w:r>
      <w:hyperlink w:anchor="passage-i-5-15">
        <w:r>
          <w:rPr>
            <w:color w:val="000000"/>
          </w:rPr>
          <w:t xml:space="preserve">I.5.15</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857" w:name="latin-record-0606"/>
      <w:bookmarkEnd w:id="857"/>
      <w:r>
        <w:rPr>
          <w:b/>
          <w:i w:val="0"/>
        </w:rPr>
        <w:t>intervallum / tempus primum</w:t>
      </w:r>
      <w:r>
        <w:rPr>
          <w:b/>
          <w:i w:val="0"/>
        </w:rPr>
        <w:t>.</w:t>
      </w:r>
      <w:r>
        <w:rPr>
          <w:b w:val="0"/>
          <w:i w:val="0"/>
        </w:rPr>
        <w:t xml:space="preserve"> Printed forms: </w:t>
      </w:r>
      <w:r>
        <w:rPr>
          <w:b w:val="0"/>
          <w:i/>
        </w:rPr>
        <w:t>intervallum</w:t>
      </w:r>
      <w:r>
        <w:rPr>
          <w:b w:val="0"/>
          <w:i w:val="0"/>
        </w:rPr>
        <w:t xml:space="preserve">; </w:t>
      </w:r>
      <w:r>
        <w:rPr>
          <w:b w:val="0"/>
          <w:i/>
        </w:rPr>
        <w:t>tempus primum</w:t>
      </w:r>
      <w:r>
        <w:rPr>
          <w:b w:val="0"/>
          <w:i w:val="0"/>
        </w:rPr>
        <w:t>.</w:t>
      </w:r>
    </w:p>
    <w:p>
      <w:pPr>
        <w:widowControl/>
      </w:pPr>
      <w:r>
        <w:rPr>
          <w:b w:val="0"/>
          <w:i w:val="0"/>
        </w:rPr>
        <w:t xml:space="preserve">The interval of a course; first time. The lower productive course is first motion, and its interval gives the measure followed by the world’s times. References: </w:t>
      </w:r>
      <w:hyperlink w:anchor="passage-iv-2-12">
        <w:r>
          <w:rPr>
            <w:color w:val="000000"/>
          </w:rPr>
          <w:t xml:space="preserve">IV.2.12</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858" w:name="latin-record-0607"/>
      <w:bookmarkEnd w:id="858"/>
      <w:r>
        <w:rPr>
          <w:b/>
          <w:i w:val="0"/>
        </w:rPr>
        <w:t>intimus / communis</w:t>
      </w:r>
      <w:r>
        <w:rPr>
          <w:b/>
          <w:i w:val="0"/>
        </w:rPr>
        <w:t>.</w:t>
      </w:r>
      <w:r>
        <w:rPr>
          <w:b w:val="0"/>
          <w:i w:val="0"/>
        </w:rPr>
        <w:t xml:space="preserve"> Printed forms: </w:t>
      </w:r>
      <w:r>
        <w:rPr>
          <w:b w:val="0"/>
          <w:i/>
        </w:rPr>
        <w:t>communis</w:t>
      </w:r>
      <w:r>
        <w:rPr>
          <w:b w:val="0"/>
          <w:i w:val="0"/>
        </w:rPr>
        <w:t xml:space="preserve">; </w:t>
      </w:r>
      <w:r>
        <w:rPr>
          <w:b w:val="0"/>
          <w:i/>
        </w:rPr>
        <w:t>intimus</w:t>
      </w:r>
      <w:r>
        <w:rPr>
          <w:b w:val="0"/>
          <w:i w:val="0"/>
        </w:rPr>
        <w:t>.</w:t>
      </w:r>
    </w:p>
    <w:p>
      <w:pPr>
        <w:widowControl/>
      </w:pPr>
      <w:r>
        <w:rPr>
          <w:b w:val="0"/>
          <w:i w:val="0"/>
        </w:rPr>
        <w:t xml:space="preserve">Inward / shared or general. Inward motion extending throughout a living body supplies the sign of life, and primary motion grounds life’s strongest possession. References: </w:t>
      </w:r>
      <w:hyperlink w:anchor="passage-iii-2-23">
        <w:r>
          <w:rPr>
            <w:color w:val="000000"/>
          </w:rPr>
          <w:t xml:space="preserve">III.2.23</w:t>
        </w:r>
      </w:hyperlink>
      <w:r>
        <w:rPr>
          <w:b w:val="0"/>
          <w:i w:val="0"/>
        </w:rPr>
        <w:t xml:space="preserve">, </w:t>
      </w:r>
      <w:hyperlink w:anchor="passage-iii-2-24">
        <w:r>
          <w:rPr>
            <w:color w:val="000000"/>
          </w:rPr>
          <w:t xml:space="preserve">III.2.24</w:t>
        </w:r>
      </w:hyperlink>
      <w:r>
        <w:rPr>
          <w:b w:val="0"/>
          <w:i w:val="0"/>
        </w:rPr>
        <w:t xml:space="preserve">. See </w:t>
      </w:r>
      <w:hyperlink w:anchor="life">
        <w:r>
          <w:rPr>
            <w:color w:val="000000"/>
          </w:rPr>
          <w:t xml:space="preserve">Life</w:t>
        </w:r>
      </w:hyperlink>
      <w:r>
        <w:rPr>
          <w:b w:val="0"/>
          <w:i w:val="0"/>
        </w:rPr>
        <w:t>.</w:t>
      </w:r>
    </w:p>
    <w:p>
      <w:pPr>
        <w:keepNext/>
        <w:widowControl/>
      </w:pPr>
      <w:bookmarkStart w:id="859" w:name="latin-record-0608"/>
      <w:bookmarkEnd w:id="859"/>
      <w:r>
        <w:rPr>
          <w:b/>
          <w:i w:val="0"/>
        </w:rPr>
        <w:t>intrinsecus / extrinsecus</w:t>
      </w:r>
      <w:r>
        <w:rPr>
          <w:b/>
          <w:i w:val="0"/>
        </w:rPr>
        <w:t>.</w:t>
      </w:r>
      <w:r>
        <w:rPr>
          <w:b w:val="0"/>
          <w:i w:val="0"/>
        </w:rPr>
        <w:t xml:space="preserve"> Printed forms: </w:t>
      </w:r>
      <w:r>
        <w:rPr>
          <w:b w:val="0"/>
          <w:i/>
        </w:rPr>
        <w:t>extrinseca</w:t>
      </w:r>
      <w:r>
        <w:rPr>
          <w:b w:val="0"/>
          <w:i w:val="0"/>
        </w:rPr>
        <w:t xml:space="preserve">; </w:t>
      </w:r>
      <w:r>
        <w:rPr>
          <w:b w:val="0"/>
          <w:i/>
        </w:rPr>
        <w:t>extrinsecum</w:t>
      </w:r>
      <w:r>
        <w:rPr>
          <w:b w:val="0"/>
          <w:i w:val="0"/>
        </w:rPr>
        <w:t xml:space="preserve">; </w:t>
      </w:r>
      <w:r>
        <w:rPr>
          <w:b w:val="0"/>
          <w:i/>
        </w:rPr>
        <w:t>extrinsecus</w:t>
      </w:r>
      <w:r>
        <w:rPr>
          <w:b w:val="0"/>
          <w:i w:val="0"/>
        </w:rPr>
        <w:t xml:space="preserve">; </w:t>
      </w:r>
      <w:r>
        <w:rPr>
          <w:b w:val="0"/>
          <w:i/>
        </w:rPr>
        <w:t>intrinseca</w:t>
      </w:r>
      <w:r>
        <w:rPr>
          <w:b w:val="0"/>
          <w:i w:val="0"/>
        </w:rPr>
        <w:t xml:space="preserve">; </w:t>
      </w:r>
      <w:r>
        <w:rPr>
          <w:b w:val="0"/>
          <w:i/>
        </w:rPr>
        <w:t>intrinsecos</w:t>
      </w:r>
      <w:r>
        <w:rPr>
          <w:b w:val="0"/>
          <w:i w:val="0"/>
        </w:rPr>
        <w:t xml:space="preserve">; </w:t>
      </w:r>
      <w:r>
        <w:rPr>
          <w:b w:val="0"/>
          <w:i/>
        </w:rPr>
        <w:t>intrinsecum</w:t>
      </w:r>
      <w:r>
        <w:rPr>
          <w:b w:val="0"/>
          <w:i w:val="0"/>
        </w:rPr>
        <w:t xml:space="preserve">; </w:t>
      </w:r>
      <w:r>
        <w:rPr>
          <w:b w:val="0"/>
          <w:i/>
        </w:rPr>
        <w:t>intrinsecus</w:t>
      </w:r>
      <w:r>
        <w:rPr>
          <w:b w:val="0"/>
          <w:i w:val="0"/>
        </w:rPr>
        <w:t>.</w:t>
      </w:r>
    </w:p>
    <w:p>
      <w:pPr>
        <w:widowControl/>
      </w:pPr>
      <w:r>
        <w:rPr>
          <w:b w:val="0"/>
          <w:i w:val="0"/>
        </w:rPr>
        <w:t xml:space="preserve">Inward and outward. Ficino distinguishes life as inward operation from temporal outward work; the shared temporal dispersion does not erase the distinction. References: </w:t>
      </w:r>
      <w:hyperlink w:anchor="passage-i-5-2">
        <w:r>
          <w:rPr>
            <w:color w:val="000000"/>
          </w:rPr>
          <w:t xml:space="preserve">I.5.2</w:t>
        </w:r>
      </w:hyperlink>
      <w:r>
        <w:rPr>
          <w:b w:val="0"/>
          <w:i w:val="0"/>
        </w:rPr>
        <w:t xml:space="preserve">. See </w:t>
      </w:r>
      <w:hyperlink w:anchor="act-and-operation">
        <w:r>
          <w:rPr>
            <w:color w:val="000000"/>
          </w:rPr>
          <w:t xml:space="preserve">Act and operation</w:t>
        </w:r>
      </w:hyperlink>
      <w:r>
        <w:rPr>
          <w:b w:val="0"/>
          <w:i w:val="0"/>
        </w:rPr>
        <w:t>.</w:t>
      </w:r>
    </w:p>
    <w:p>
      <w:pPr>
        <w:widowControl/>
      </w:pPr>
      <w:r>
        <w:rPr>
          <w:b w:val="0"/>
          <w:i w:val="0"/>
        </w:rPr>
        <w:t xml:space="preserve">Inward or outward in relation to a thing’s own perfection and spread. In the reported account, enduring always is inward and superior to the outward achievement of presence everywhere. References: </w:t>
      </w:r>
      <w:hyperlink w:anchor="passage-ii-6-19">
        <w:r>
          <w:rPr>
            <w:color w:val="000000"/>
          </w:rPr>
          <w:t xml:space="preserve">II.6.19</w:t>
        </w:r>
      </w:hyperlink>
      <w:r>
        <w:rPr>
          <w:b w:val="0"/>
          <w:i w:val="0"/>
        </w:rPr>
        <w:t xml:space="preserve">, </w:t>
      </w:r>
      <w:hyperlink w:anchor="passage-ii-6-20">
        <w:r>
          <w:rPr>
            <w:color w:val="000000"/>
          </w:rPr>
          <w:t xml:space="preserve">II.6.20</w:t>
        </w:r>
      </w:hyperlink>
      <w:r>
        <w:rPr>
          <w:b w:val="0"/>
          <w:i w:val="0"/>
        </w:rPr>
        <w:t xml:space="preserve">. See </w:t>
      </w:r>
      <w:hyperlink w:anchor="perfection">
        <w:r>
          <w:rPr>
            <w:color w:val="000000"/>
          </w:rPr>
          <w:t xml:space="preserve">Perfection</w:t>
        </w:r>
      </w:hyperlink>
      <w:r>
        <w:rPr>
          <w:b w:val="0"/>
          <w:i w:val="0"/>
        </w:rPr>
        <w:t>.</w:t>
      </w:r>
    </w:p>
    <w:p>
      <w:pPr>
        <w:widowControl/>
      </w:pPr>
      <w:r>
        <w:rPr>
          <w:b w:val="0"/>
          <w:i w:val="0"/>
        </w:rPr>
        <w:t xml:space="preserve">From outside / from within. God’s government acts inwardly in things he made, unlike an artisan working upon alien matter from outside. References: </w:t>
      </w:r>
      <w:hyperlink w:anchor="passage-ii-13-12">
        <w:r>
          <w:rPr>
            <w:color w:val="000000"/>
          </w:rPr>
          <w:t xml:space="preserve">II.13.12</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860" w:name="latin-record-0609"/>
      <w:bookmarkEnd w:id="860"/>
      <w:r>
        <w:rPr>
          <w:b/>
          <w:i w:val="0"/>
        </w:rPr>
        <w:t>intuitus / intueri / conspicere</w:t>
      </w:r>
      <w:r>
        <w:rPr>
          <w:b/>
          <w:i w:val="0"/>
        </w:rPr>
        <w:t>.</w:t>
      </w:r>
      <w:r>
        <w:rPr>
          <w:b w:val="0"/>
          <w:i w:val="0"/>
        </w:rPr>
        <w:t xml:space="preserve"> Printed forms: </w:t>
      </w:r>
      <w:r>
        <w:rPr>
          <w:b w:val="0"/>
          <w:i/>
        </w:rPr>
        <w:t>cernere</w:t>
      </w:r>
      <w:r>
        <w:rPr>
          <w:b w:val="0"/>
          <w:i w:val="0"/>
        </w:rPr>
        <w:t xml:space="preserve">; </w:t>
      </w:r>
      <w:r>
        <w:rPr>
          <w:b w:val="0"/>
          <w:i/>
        </w:rPr>
        <w:t>cernit</w:t>
      </w:r>
      <w:r>
        <w:rPr>
          <w:b w:val="0"/>
          <w:i w:val="0"/>
        </w:rPr>
        <w:t xml:space="preserve">; </w:t>
      </w:r>
      <w:r>
        <w:rPr>
          <w:b w:val="0"/>
          <w:i/>
        </w:rPr>
        <w:t>conspicit</w:t>
      </w:r>
      <w:r>
        <w:rPr>
          <w:b w:val="0"/>
          <w:i w:val="0"/>
        </w:rPr>
        <w:t xml:space="preserve">; </w:t>
      </w:r>
      <w:r>
        <w:rPr>
          <w:b w:val="0"/>
          <w:i/>
        </w:rPr>
        <w:t>contuetur</w:t>
      </w:r>
      <w:r>
        <w:rPr>
          <w:b w:val="0"/>
          <w:i w:val="0"/>
        </w:rPr>
        <w:t xml:space="preserve">; </w:t>
      </w:r>
      <w:r>
        <w:rPr>
          <w:b w:val="0"/>
          <w:i/>
        </w:rPr>
        <w:t>inspicit</w:t>
      </w:r>
      <w:r>
        <w:rPr>
          <w:b w:val="0"/>
          <w:i w:val="0"/>
        </w:rPr>
        <w:t xml:space="preserve">; </w:t>
      </w:r>
      <w:r>
        <w:rPr>
          <w:b w:val="0"/>
          <w:i/>
        </w:rPr>
        <w:t>intuendo</w:t>
      </w:r>
      <w:r>
        <w:rPr>
          <w:b w:val="0"/>
          <w:i w:val="0"/>
        </w:rPr>
        <w:t xml:space="preserve">; </w:t>
      </w:r>
      <w:r>
        <w:rPr>
          <w:b w:val="0"/>
          <w:i/>
        </w:rPr>
        <w:t>intuetur</w:t>
      </w:r>
      <w:r>
        <w:rPr>
          <w:b w:val="0"/>
          <w:i w:val="0"/>
        </w:rPr>
        <w:t xml:space="preserve">; </w:t>
      </w:r>
      <w:r>
        <w:rPr>
          <w:b w:val="0"/>
          <w:i/>
        </w:rPr>
        <w:t>intuitu</w:t>
      </w:r>
      <w:r>
        <w:rPr>
          <w:b w:val="0"/>
          <w:i w:val="0"/>
        </w:rPr>
        <w:t>.</w:t>
      </w:r>
    </w:p>
    <w:p>
      <w:pPr>
        <w:widowControl/>
      </w:pPr>
      <w:r>
        <w:rPr>
          <w:b w:val="0"/>
          <w:i w:val="0"/>
        </w:rPr>
        <w:t xml:space="preserve">Gaze or beholding, transferred from vision to unified understanding. The visual vocabulary marks one comprehensive act, with qualifications that distinguish it from bodily sight. References: </w:t>
      </w:r>
      <w:hyperlink w:anchor="passage-ii-9-20">
        <w:r>
          <w:rPr>
            <w:color w:val="000000"/>
          </w:rPr>
          <w:t xml:space="preserve">II.9.20</w:t>
        </w:r>
      </w:hyperlink>
      <w:r>
        <w:rPr>
          <w:b w:val="0"/>
          <w:i w:val="0"/>
        </w:rPr>
        <w:t xml:space="preserve">, </w:t>
      </w:r>
      <w:hyperlink w:anchor="passage-ii-9-21">
        <w:r>
          <w:rPr>
            <w:color w:val="000000"/>
          </w:rPr>
          <w:t xml:space="preserve">II.9.21</w:t>
        </w:r>
      </w:hyperlink>
      <w:r>
        <w:rPr>
          <w:b w:val="0"/>
          <w:i w:val="0"/>
        </w:rPr>
        <w:t xml:space="preserve">, </w:t>
      </w:r>
      <w:hyperlink w:anchor="passage-ii-10-5">
        <w:r>
          <w:rPr>
            <w:color w:val="000000"/>
          </w:rPr>
          <w:t xml:space="preserve">II.10.5</w:t>
        </w:r>
      </w:hyperlink>
      <w:r>
        <w:rPr>
          <w:b w:val="0"/>
          <w:i w:val="0"/>
        </w:rPr>
        <w:t xml:space="preserve">, </w:t>
      </w:r>
      <w:hyperlink w:anchor="passage-ii-10-10">
        <w:r>
          <w:rPr>
            <w:color w:val="000000"/>
          </w:rPr>
          <w:t xml:space="preserve">II.10.10</w:t>
        </w:r>
      </w:hyperlink>
      <w:r>
        <w:rPr>
          <w:b w:val="0"/>
          <w:i w:val="0"/>
        </w:rPr>
        <w:t xml:space="preserve">. See </w:t>
      </w:r>
      <w:hyperlink w:anchor="eye-and-gaze">
        <w:r>
          <w:rPr>
            <w:color w:val="000000"/>
          </w:rPr>
          <w:t xml:space="preserve">Eye and gaze</w:t>
        </w:r>
      </w:hyperlink>
      <w:r>
        <w:rPr>
          <w:b w:val="0"/>
          <w:i w:val="0"/>
        </w:rPr>
        <w:t>.</w:t>
      </w:r>
    </w:p>
    <w:p>
      <w:pPr>
        <w:keepNext/>
        <w:widowControl/>
      </w:pPr>
      <w:bookmarkStart w:id="861" w:name="latin-record-0610"/>
      <w:bookmarkEnd w:id="861"/>
      <w:r>
        <w:rPr>
          <w:b/>
          <w:i w:val="0"/>
        </w:rPr>
        <w:t>intus / intro / extra / ultra / superne / undique</w:t>
      </w:r>
      <w:r>
        <w:rPr>
          <w:b/>
          <w:i w:val="0"/>
        </w:rPr>
        <w:t>.</w:t>
      </w:r>
      <w:r>
        <w:rPr>
          <w:b w:val="0"/>
          <w:i w:val="0"/>
        </w:rPr>
        <w:t xml:space="preserve"> Printed forms: </w:t>
      </w:r>
      <w:r>
        <w:rPr>
          <w:b w:val="0"/>
          <w:i/>
        </w:rPr>
        <w:t>extra</w:t>
      </w:r>
      <w:r>
        <w:rPr>
          <w:b w:val="0"/>
          <w:i w:val="0"/>
        </w:rPr>
        <w:t xml:space="preserve">; </w:t>
      </w:r>
      <w:r>
        <w:rPr>
          <w:b w:val="0"/>
          <w:i/>
        </w:rPr>
        <w:t>intro</w:t>
      </w:r>
      <w:r>
        <w:rPr>
          <w:b w:val="0"/>
          <w:i w:val="0"/>
        </w:rPr>
        <w:t xml:space="preserve">; </w:t>
      </w:r>
      <w:r>
        <w:rPr>
          <w:b w:val="0"/>
          <w:i/>
        </w:rPr>
        <w:t>intus</w:t>
      </w:r>
      <w:r>
        <w:rPr>
          <w:b w:val="0"/>
          <w:i w:val="0"/>
        </w:rPr>
        <w:t>.</w:t>
      </w:r>
    </w:p>
    <w:p>
      <w:pPr>
        <w:widowControl/>
      </w:pPr>
      <w:r>
        <w:rPr>
          <w:b w:val="0"/>
          <w:i w:val="0"/>
        </w:rPr>
        <w:t xml:space="preserve">Within, beyond, from above, or on every side, applied to spatial and causal relations. The text denies that divine cognition must look outside itself while divine presence reaches beyond the corporeal world. References: </w:t>
      </w:r>
      <w:hyperlink w:anchor="passage-ii-2-4">
        <w:r>
          <w:rPr>
            <w:color w:val="000000"/>
          </w:rPr>
          <w:t xml:space="preserve">II.2.4</w:t>
        </w:r>
      </w:hyperlink>
      <w:r>
        <w:rPr>
          <w:b w:val="0"/>
          <w:i w:val="0"/>
        </w:rPr>
        <w:t xml:space="preserve">, </w:t>
      </w:r>
      <w:hyperlink w:anchor="passage-ii-6-6">
        <w:r>
          <w:rPr>
            <w:color w:val="000000"/>
          </w:rPr>
          <w:t xml:space="preserve">II.6.6</w:t>
        </w:r>
      </w:hyperlink>
      <w:r>
        <w:rPr>
          <w:b w:val="0"/>
          <w:i w:val="0"/>
        </w:rPr>
        <w:t xml:space="preserve">, </w:t>
      </w:r>
      <w:hyperlink w:anchor="passage-ii-6-13">
        <w:r>
          <w:rPr>
            <w:color w:val="000000"/>
          </w:rPr>
          <w:t xml:space="preserve">II.6.13</w:t>
        </w:r>
      </w:hyperlink>
      <w:r>
        <w:rPr>
          <w:b w:val="0"/>
          <w:i w:val="0"/>
        </w:rPr>
        <w:t xml:space="preserve">, </w:t>
      </w:r>
      <w:hyperlink w:anchor="passage-ii-9-15">
        <w:r>
          <w:rPr>
            <w:color w:val="000000"/>
          </w:rPr>
          <w:t xml:space="preserve">II.9.15</w:t>
        </w:r>
      </w:hyperlink>
      <w:r>
        <w:rPr>
          <w:b w:val="0"/>
          <w:i w:val="0"/>
        </w:rPr>
        <w:t xml:space="preserve">. See </w:t>
      </w:r>
      <w:hyperlink w:anchor="omnipresence-and-place">
        <w:r>
          <w:rPr>
            <w:color w:val="000000"/>
          </w:rPr>
          <w:t xml:space="preserve">Omnipresence and place</w:t>
        </w:r>
      </w:hyperlink>
      <w:r>
        <w:rPr>
          <w:b w:val="0"/>
          <w:i w:val="0"/>
        </w:rPr>
        <w:t>.</w:t>
      </w:r>
    </w:p>
    <w:p>
      <w:pPr>
        <w:keepNext/>
        <w:widowControl/>
      </w:pPr>
      <w:bookmarkStart w:id="862" w:name="latin-record-0611"/>
      <w:bookmarkEnd w:id="862"/>
      <w:r>
        <w:rPr>
          <w:b/>
          <w:i w:val="0"/>
        </w:rPr>
        <w:t>intus / intro / intimus</w:t>
      </w:r>
      <w:r>
        <w:rPr>
          <w:b/>
          <w:i w:val="0"/>
        </w:rPr>
        <w:t>.</w:t>
      </w:r>
      <w:r>
        <w:rPr>
          <w:b w:val="0"/>
          <w:i w:val="0"/>
        </w:rPr>
        <w:t xml:space="preserve"> Printed forms: </w:t>
      </w:r>
      <w:r>
        <w:rPr>
          <w:b w:val="0"/>
          <w:i/>
        </w:rPr>
        <w:t>intima</w:t>
      </w:r>
      <w:r>
        <w:rPr>
          <w:b w:val="0"/>
          <w:i w:val="0"/>
        </w:rPr>
        <w:t xml:space="preserve">; </w:t>
      </w:r>
      <w:r>
        <w:rPr>
          <w:b w:val="0"/>
          <w:i/>
        </w:rPr>
        <w:t>intro</w:t>
      </w:r>
      <w:r>
        <w:rPr>
          <w:b w:val="0"/>
          <w:i w:val="0"/>
        </w:rPr>
        <w:t xml:space="preserve">; </w:t>
      </w:r>
      <w:r>
        <w:rPr>
          <w:b w:val="0"/>
          <w:i/>
        </w:rPr>
        <w:t>intus</w:t>
      </w:r>
      <w:r>
        <w:rPr>
          <w:b w:val="0"/>
          <w:i w:val="0"/>
        </w:rPr>
        <w:t>.</w:t>
      </w:r>
    </w:p>
    <w:p>
      <w:pPr>
        <w:widowControl/>
      </w:pPr>
      <w:r>
        <w:rPr>
          <w:b w:val="0"/>
          <w:i w:val="0"/>
        </w:rPr>
        <w:t xml:space="preserve">Within, inward, or most inward. The substantial agent must be inwardly present, and celestial motion is inferred to arise from intimate life. References: </w:t>
      </w:r>
      <w:hyperlink w:anchor="passage-iv-1-5">
        <w:r>
          <w:rPr>
            <w:color w:val="000000"/>
          </w:rPr>
          <w:t xml:space="preserve">IV.1.5</w:t>
        </w:r>
      </w:hyperlink>
      <w:r>
        <w:rPr>
          <w:b w:val="0"/>
          <w:i w:val="0"/>
        </w:rPr>
        <w:t xml:space="preserve">, </w:t>
      </w:r>
      <w:hyperlink w:anchor="passage-iv-1-84">
        <w:r>
          <w:rPr>
            <w:color w:val="000000"/>
          </w:rPr>
          <w:t xml:space="preserve">IV.1.84</w:t>
        </w:r>
      </w:hyperlink>
      <w:r>
        <w:rPr>
          <w:b w:val="0"/>
          <w:i w:val="0"/>
        </w:rPr>
        <w:t xml:space="preserve">. See </w:t>
      </w:r>
      <w:hyperlink w:anchor="proximity-and-causal-presence">
        <w:r>
          <w:rPr>
            <w:color w:val="000000"/>
          </w:rPr>
          <w:t xml:space="preserve">Proximity and causal presence</w:t>
        </w:r>
      </w:hyperlink>
      <w:r>
        <w:rPr>
          <w:b w:val="0"/>
          <w:i w:val="0"/>
        </w:rPr>
        <w:t>.</w:t>
      </w:r>
    </w:p>
    <w:p>
      <w:pPr>
        <w:keepNext/>
        <w:widowControl/>
      </w:pPr>
      <w:bookmarkStart w:id="863" w:name="latin-record-0612"/>
      <w:bookmarkEnd w:id="863"/>
      <w:r>
        <w:rPr>
          <w:b/>
          <w:i w:val="0"/>
        </w:rPr>
        <w:t>invenire-related reperire</w:t>
      </w:r>
      <w:r>
        <w:rPr>
          <w:b/>
          <w:i w:val="0"/>
        </w:rPr>
        <w:t>.</w:t>
      </w:r>
      <w:r>
        <w:rPr>
          <w:b w:val="0"/>
          <w:i w:val="0"/>
        </w:rPr>
        <w:t xml:space="preserve"> Printed forms: </w:t>
      </w:r>
      <w:r>
        <w:rPr>
          <w:b w:val="0"/>
          <w:i/>
        </w:rPr>
        <w:t>reperit</w:t>
      </w:r>
      <w:r>
        <w:rPr>
          <w:b w:val="0"/>
          <w:i w:val="0"/>
        </w:rPr>
        <w:t xml:space="preserve">; </w:t>
      </w:r>
      <w:r>
        <w:rPr>
          <w:b w:val="0"/>
          <w:i/>
        </w:rPr>
        <w:t>reperitur</w:t>
      </w:r>
      <w:r>
        <w:rPr>
          <w:b w:val="0"/>
          <w:i w:val="0"/>
        </w:rPr>
        <w:t>.</w:t>
      </w:r>
    </w:p>
    <w:p>
      <w:pPr>
        <w:widowControl/>
      </w:pPr>
      <w:r>
        <w:rPr>
          <w:b w:val="0"/>
          <w:i w:val="0"/>
        </w:rPr>
        <w:t xml:space="preserve">To find or encounter. Time is encountered before place in the explanatory descent; body nowhere finds its directing soul idle in the later motion-image. References: </w:t>
      </w:r>
      <w:hyperlink w:anchor="passage-iv-2-8">
        <w:r>
          <w:rPr>
            <w:color w:val="000000"/>
          </w:rPr>
          <w:t xml:space="preserve">IV.2.8</w:t>
        </w:r>
      </w:hyperlink>
      <w:r>
        <w:rPr>
          <w:b w:val="0"/>
          <w:i w:val="0"/>
        </w:rPr>
        <w:t xml:space="preserve">, </w:t>
      </w:r>
      <w:hyperlink w:anchor="passage-iv-2-26">
        <w:r>
          <w:rPr>
            <w:color w:val="000000"/>
          </w:rPr>
          <w:t xml:space="preserve">IV.2.26</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864" w:name="latin-record-0613"/>
      <w:bookmarkEnd w:id="864"/>
      <w:r>
        <w:rPr>
          <w:b/>
          <w:i w:val="0"/>
        </w:rPr>
        <w:t>invidere</w:t>
      </w:r>
      <w:r>
        <w:rPr>
          <w:b/>
          <w:i w:val="0"/>
        </w:rPr>
        <w:t>.</w:t>
      </w:r>
      <w:r>
        <w:rPr>
          <w:b w:val="0"/>
          <w:i w:val="0"/>
        </w:rPr>
        <w:t xml:space="preserve"> Printed forms: </w:t>
      </w:r>
      <w:r>
        <w:rPr>
          <w:b w:val="0"/>
          <w:i/>
        </w:rPr>
        <w:t>invidet</w:t>
      </w:r>
      <w:r>
        <w:rPr>
          <w:b w:val="0"/>
          <w:i w:val="0"/>
        </w:rPr>
        <w:t xml:space="preserve">; </w:t>
      </w:r>
      <w:r>
        <w:rPr>
          <w:b w:val="0"/>
          <w:i/>
        </w:rPr>
        <w:t>invidit</w:t>
      </w:r>
      <w:r>
        <w:rPr>
          <w:b w:val="0"/>
          <w:i w:val="0"/>
        </w:rPr>
        <w:t>.</w:t>
      </w:r>
    </w:p>
    <w:p>
      <w:pPr>
        <w:widowControl/>
      </w:pPr>
      <w:r>
        <w:rPr>
          <w:b w:val="0"/>
          <w:i w:val="0"/>
        </w:rPr>
        <w:t xml:space="preserve">Begrudge or withhold from envy. Having given existence, God is said not to begrudge gifts of well-being; envy is excluded from creative care. References: </w:t>
      </w:r>
      <w:hyperlink w:anchor="passage-ii-13-11">
        <w:r>
          <w:rPr>
            <w:color w:val="000000"/>
          </w:rPr>
          <w:t xml:space="preserve">II.13.11</w:t>
        </w:r>
      </w:hyperlink>
      <w:r>
        <w:rPr>
          <w:b w:val="0"/>
          <w:i w:val="0"/>
        </w:rPr>
        <w:t xml:space="preserve">. See </w:t>
      </w:r>
      <w:hyperlink w:anchor="care-and-custody">
        <w:r>
          <w:rPr>
            <w:color w:val="000000"/>
          </w:rPr>
          <w:t xml:space="preserve">Care and custody</w:t>
        </w:r>
      </w:hyperlink>
      <w:r>
        <w:rPr>
          <w:b w:val="0"/>
          <w:i w:val="0"/>
        </w:rPr>
        <w:t>.</w:t>
      </w:r>
    </w:p>
    <w:p>
      <w:pPr>
        <w:keepNext/>
        <w:widowControl/>
      </w:pPr>
      <w:bookmarkStart w:id="865" w:name="latin-record-0614"/>
      <w:bookmarkEnd w:id="865"/>
      <w:r>
        <w:rPr>
          <w:b/>
          <w:i w:val="0"/>
        </w:rPr>
        <w:t>Ioannes / Amelius</w:t>
      </w:r>
      <w:r>
        <w:rPr>
          <w:b/>
          <w:i w:val="0"/>
        </w:rPr>
        <w:t>.</w:t>
      </w:r>
      <w:r>
        <w:rPr>
          <w:b w:val="0"/>
          <w:i w:val="0"/>
        </w:rPr>
        <w:t xml:space="preserve"> Printed forms: </w:t>
      </w:r>
      <w:r>
        <w:rPr>
          <w:b w:val="0"/>
          <w:i/>
        </w:rPr>
        <w:t>Amelius</w:t>
      </w:r>
      <w:r>
        <w:rPr>
          <w:b w:val="0"/>
          <w:i w:val="0"/>
        </w:rPr>
        <w:t xml:space="preserve">; </w:t>
      </w:r>
      <w:r>
        <w:rPr>
          <w:b w:val="0"/>
          <w:i/>
        </w:rPr>
        <w:t>Ioannis</w:t>
      </w:r>
      <w:r>
        <w:rPr>
          <w:b w:val="0"/>
          <w:i w:val="0"/>
        </w:rPr>
        <w:t>.</w:t>
      </w:r>
    </w:p>
    <w:p>
      <w:pPr>
        <w:widowControl/>
      </w:pPr>
      <w:r>
        <w:rPr>
          <w:b w:val="0"/>
          <w:i w:val="0"/>
        </w:rPr>
        <w:t xml:space="preserve">John the apostle and Amelius, named as theological authority and Platonist recipient. Ficino aligns principle, reason, and love with unity, truth, and goodness without supplying an external history of transmission. References: </w:t>
      </w:r>
      <w:hyperlink w:anchor="passage-ii-3-10">
        <w:r>
          <w:rPr>
            <w:color w:val="000000"/>
          </w:rPr>
          <w:t xml:space="preserve">II.3.10</w:t>
        </w:r>
      </w:hyperlink>
      <w:r>
        <w:rPr>
          <w:b w:val="0"/>
          <w:i w:val="0"/>
        </w:rPr>
        <w:t xml:space="preserve">. See </w:t>
      </w:r>
      <w:hyperlink w:anchor="john-and-amelius">
        <w:r>
          <w:rPr>
            <w:color w:val="000000"/>
          </w:rPr>
          <w:t xml:space="preserve">John and Amelius</w:t>
        </w:r>
      </w:hyperlink>
      <w:r>
        <w:rPr>
          <w:b w:val="0"/>
          <w:i w:val="0"/>
        </w:rPr>
        <w:t>.</w:t>
      </w:r>
    </w:p>
    <w:p>
      <w:pPr>
        <w:keepNext/>
        <w:widowControl/>
      </w:pPr>
      <w:bookmarkStart w:id="866" w:name="latin-record-0615"/>
      <w:bookmarkEnd w:id="866"/>
      <w:r>
        <w:rPr>
          <w:b/>
          <w:i w:val="0"/>
        </w:rPr>
        <w:t>ipsum semper</w:t>
      </w:r>
      <w:r>
        <w:rPr>
          <w:b/>
          <w:i w:val="0"/>
        </w:rPr>
        <w:t>.</w:t>
      </w:r>
      <w:r>
        <w:rPr>
          <w:b w:val="0"/>
          <w:i w:val="0"/>
        </w:rPr>
        <w:t xml:space="preserve"> Printed forms: </w:t>
      </w:r>
      <w:r>
        <w:rPr>
          <w:b w:val="0"/>
          <w:i/>
        </w:rPr>
        <w:t>ipsum semper</w:t>
      </w:r>
      <w:r>
        <w:rPr>
          <w:b w:val="0"/>
          <w:i w:val="0"/>
        </w:rPr>
        <w:t>.</w:t>
      </w:r>
    </w:p>
    <w:p>
      <w:pPr>
        <w:widowControl/>
      </w:pPr>
      <w:r>
        <w:rPr>
          <w:b w:val="0"/>
          <w:i w:val="0"/>
        </w:rPr>
        <w:t xml:space="preserve">The adverb always treated as the name of duration itself. God is identified with the very always, not merely with an item lasting for all temporal moments. References: </w:t>
      </w:r>
      <w:hyperlink w:anchor="passage-ii-5-4">
        <w:r>
          <w:rPr>
            <w:color w:val="000000"/>
          </w:rPr>
          <w:t xml:space="preserve">II.5.4</w:t>
        </w:r>
      </w:hyperlink>
      <w:r>
        <w:rPr>
          <w:b w:val="0"/>
          <w:i w:val="0"/>
        </w:rPr>
        <w:t xml:space="preserve">. See </w:t>
      </w:r>
      <w:hyperlink w:anchor="always-and-everywhere">
        <w:r>
          <w:rPr>
            <w:color w:val="000000"/>
          </w:rPr>
          <w:t xml:space="preserve">Always and everywhere</w:t>
        </w:r>
      </w:hyperlink>
      <w:r>
        <w:rPr>
          <w:b w:val="0"/>
          <w:i w:val="0"/>
        </w:rPr>
        <w:t>.</w:t>
      </w:r>
    </w:p>
    <w:p>
      <w:pPr>
        <w:keepNext/>
        <w:widowControl/>
      </w:pPr>
      <w:bookmarkStart w:id="867" w:name="latin-record-0616"/>
      <w:bookmarkEnd w:id="867"/>
      <w:r>
        <w:rPr>
          <w:b/>
          <w:i w:val="0"/>
        </w:rPr>
        <w:t>irrationalis</w:t>
      </w:r>
      <w:r>
        <w:rPr>
          <w:b/>
          <w:i w:val="0"/>
        </w:rPr>
        <w:t>.</w:t>
      </w:r>
      <w:r>
        <w:rPr>
          <w:b w:val="0"/>
          <w:i w:val="0"/>
        </w:rPr>
        <w:t xml:space="preserve"> Printed forms: </w:t>
      </w:r>
      <w:r>
        <w:rPr>
          <w:b w:val="0"/>
          <w:i/>
        </w:rPr>
        <w:t>irrationales</w:t>
      </w:r>
      <w:r>
        <w:rPr>
          <w:b w:val="0"/>
          <w:i w:val="0"/>
        </w:rPr>
        <w:t xml:space="preserve">; </w:t>
      </w:r>
      <w:r>
        <w:rPr>
          <w:b w:val="0"/>
          <w:i/>
        </w:rPr>
        <w:t>irrationalisque</w:t>
      </w:r>
      <w:r>
        <w:rPr>
          <w:b w:val="0"/>
          <w:i w:val="0"/>
        </w:rPr>
        <w:t>.</w:t>
      </w:r>
    </w:p>
    <w:p>
      <w:pPr>
        <w:widowControl/>
      </w:pPr>
      <w:r>
        <w:rPr>
          <w:b w:val="0"/>
          <w:i w:val="0"/>
        </w:rPr>
        <w:t xml:space="preserve">Without rational cognition in the specified comparison. Lower creatures and blind appetites are contrasted with the rational souls and desires assigned to higher spheres. References: </w:t>
      </w:r>
      <w:hyperlink w:anchor="passage-iv-1-39">
        <w:r>
          <w:rPr>
            <w:color w:val="000000"/>
          </w:rPr>
          <w:t xml:space="preserve">IV.1.39</w:t>
        </w:r>
      </w:hyperlink>
      <w:r>
        <w:rPr>
          <w:b w:val="0"/>
          <w:i w:val="0"/>
        </w:rPr>
        <w:t xml:space="preserve">, </w:t>
      </w:r>
      <w:hyperlink w:anchor="passage-iv-1-62">
        <w:r>
          <w:rPr>
            <w:color w:val="000000"/>
          </w:rPr>
          <w:t xml:space="preserve">IV.1.62</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868" w:name="latin-record-0617"/>
      <w:bookmarkEnd w:id="868"/>
      <w:r>
        <w:rPr>
          <w:b/>
          <w:i w:val="0"/>
        </w:rPr>
        <w:t>irrationalis anima</w:t>
      </w:r>
      <w:r>
        <w:rPr>
          <w:b/>
          <w:i w:val="0"/>
        </w:rPr>
        <w:t>.</w:t>
      </w:r>
      <w:r>
        <w:rPr>
          <w:b w:val="0"/>
          <w:i w:val="0"/>
        </w:rPr>
        <w:t xml:space="preserve"> Printed forms: </w:t>
      </w:r>
      <w:r>
        <w:rPr>
          <w:b w:val="0"/>
          <w:i/>
        </w:rPr>
        <w:t>irrationalis anima</w:t>
      </w:r>
      <w:r>
        <w:rPr>
          <w:b w:val="0"/>
          <w:i w:val="0"/>
        </w:rPr>
        <w:t>.</w:t>
      </w:r>
    </w:p>
    <w:p>
      <w:pPr>
        <w:widowControl/>
      </w:pPr>
      <w:r>
        <w:rPr>
          <w:b w:val="0"/>
          <w:i w:val="0"/>
        </w:rPr>
        <w:t xml:space="preserve">Irrational soul, accompanying rational soul in a comparison. It accompanies the higher soul as a shadow accompanies a body; the apparatus explains the Latin’s elliptical comparison without making the two souls identical. References: </w:t>
      </w:r>
      <w:hyperlink w:anchor="passage-i-3-33">
        <w:r>
          <w:rPr>
            <w:color w:val="000000"/>
          </w:rPr>
          <w:t xml:space="preserve">I.3.33</w:t>
        </w:r>
      </w:hyperlink>
      <w:r>
        <w:rPr>
          <w:b w:val="0"/>
          <w:i w:val="0"/>
        </w:rPr>
        <w:t xml:space="preserve">. See </w:t>
      </w:r>
      <w:hyperlink w:anchor="soul">
        <w:r>
          <w:rPr>
            <w:color w:val="000000"/>
          </w:rPr>
          <w:t xml:space="preserve">Soul</w:t>
        </w:r>
      </w:hyperlink>
      <w:r>
        <w:rPr>
          <w:b w:val="0"/>
          <w:i w:val="0"/>
        </w:rPr>
        <w:t>.</w:t>
      </w:r>
    </w:p>
    <w:p>
      <w:pPr>
        <w:keepNext/>
        <w:widowControl/>
      </w:pPr>
      <w:bookmarkStart w:id="869" w:name="latin-record-0618"/>
      <w:bookmarkEnd w:id="869"/>
      <w:r>
        <w:rPr>
          <w:b/>
          <w:i w:val="0"/>
        </w:rPr>
        <w:t>iter / passus</w:t>
      </w:r>
      <w:r>
        <w:rPr>
          <w:b/>
          <w:i w:val="0"/>
        </w:rPr>
        <w:t>.</w:t>
      </w:r>
      <w:r>
        <w:rPr>
          <w:b w:val="0"/>
          <w:i w:val="0"/>
        </w:rPr>
        <w:t xml:space="preserve"> Printed forms: </w:t>
      </w:r>
      <w:r>
        <w:rPr>
          <w:b w:val="0"/>
          <w:i/>
        </w:rPr>
        <w:t>iter</w:t>
      </w:r>
      <w:r>
        <w:rPr>
          <w:b w:val="0"/>
          <w:i w:val="0"/>
        </w:rPr>
        <w:t xml:space="preserve">; </w:t>
      </w:r>
      <w:r>
        <w:rPr>
          <w:b w:val="0"/>
          <w:i/>
        </w:rPr>
        <w:t>passum</w:t>
      </w:r>
      <w:r>
        <w:rPr>
          <w:b w:val="0"/>
          <w:i w:val="0"/>
        </w:rPr>
        <w:t xml:space="preserve">; </w:t>
      </w:r>
      <w:r>
        <w:rPr>
          <w:b w:val="0"/>
          <w:i/>
        </w:rPr>
        <w:t>passus</w:t>
      </w:r>
      <w:r>
        <w:rPr>
          <w:b w:val="0"/>
          <w:i w:val="0"/>
        </w:rPr>
        <w:t>.</w:t>
      </w:r>
    </w:p>
    <w:p>
      <w:pPr>
        <w:widowControl/>
      </w:pPr>
      <w:r>
        <w:rPr>
          <w:b w:val="0"/>
          <w:i w:val="0"/>
        </w:rPr>
        <w:t xml:space="preserve">Whole journey; individual step. A general plan of a route does not yield a particular step until a particular cognition marks it out. References: </w:t>
      </w:r>
      <w:hyperlink w:anchor="passage-iv-2-13">
        <w:r>
          <w:rPr>
            <w:color w:val="000000"/>
          </w:rPr>
          <w:t xml:space="preserve">IV.2.13</w:t>
        </w:r>
      </w:hyperlink>
      <w:r>
        <w:rPr>
          <w:b w:val="0"/>
          <w:i w:val="0"/>
        </w:rPr>
        <w:t xml:space="preserve">, </w:t>
      </w:r>
      <w:hyperlink w:anchor="passage-iv-2-14">
        <w:r>
          <w:rPr>
            <w:color w:val="000000"/>
          </w:rPr>
          <w:t xml:space="preserve">IV.2.14</w:t>
        </w:r>
      </w:hyperlink>
      <w:r>
        <w:rPr>
          <w:b w:val="0"/>
          <w:i w:val="0"/>
        </w:rPr>
        <w:t xml:space="preserve">. See </w:t>
      </w:r>
      <w:hyperlink w:anchor="euclid-and-the-lantern">
        <w:r>
          <w:rPr>
            <w:color w:val="000000"/>
          </w:rPr>
          <w:t xml:space="preserve">Euclid and the lantern</w:t>
        </w:r>
      </w:hyperlink>
      <w:r>
        <w:rPr>
          <w:b w:val="0"/>
          <w:i w:val="0"/>
        </w:rPr>
        <w:t>.</w:t>
      </w:r>
    </w:p>
    <w:p>
      <w:pPr>
        <w:keepNext/>
        <w:widowControl/>
      </w:pPr>
      <w:bookmarkStart w:id="870" w:name="latin-record-0619"/>
      <w:bookmarkEnd w:id="870"/>
      <w:r>
        <w:rPr>
          <w:b/>
          <w:i w:val="0"/>
        </w:rPr>
        <w:t>iudicare / percipere / nescire / nosse / notitia / speculari</w:t>
      </w:r>
      <w:r>
        <w:rPr>
          <w:b/>
          <w:i w:val="0"/>
        </w:rPr>
        <w:t>.</w:t>
      </w:r>
      <w:r>
        <w:rPr>
          <w:b w:val="0"/>
          <w:i w:val="0"/>
        </w:rPr>
        <w:t xml:space="preserve"> Printed forms: </w:t>
      </w:r>
      <w:r>
        <w:rPr>
          <w:b w:val="0"/>
          <w:i/>
        </w:rPr>
        <w:t>iudicamus</w:t>
      </w:r>
      <w:r>
        <w:rPr>
          <w:b w:val="0"/>
          <w:i w:val="0"/>
        </w:rPr>
        <w:t xml:space="preserve">; </w:t>
      </w:r>
      <w:r>
        <w:rPr>
          <w:b w:val="0"/>
          <w:i/>
        </w:rPr>
        <w:t>iudicari</w:t>
      </w:r>
      <w:r>
        <w:rPr>
          <w:b w:val="0"/>
          <w:i w:val="0"/>
        </w:rPr>
        <w:t xml:space="preserve">; </w:t>
      </w:r>
      <w:r>
        <w:rPr>
          <w:b w:val="0"/>
          <w:i/>
        </w:rPr>
        <w:t>nescit</w:t>
      </w:r>
      <w:r>
        <w:rPr>
          <w:b w:val="0"/>
          <w:i w:val="0"/>
        </w:rPr>
        <w:t xml:space="preserve">; </w:t>
      </w:r>
      <w:r>
        <w:rPr>
          <w:b w:val="0"/>
          <w:i/>
        </w:rPr>
        <w:t>nosse</w:t>
      </w:r>
      <w:r>
        <w:rPr>
          <w:b w:val="0"/>
          <w:i w:val="0"/>
        </w:rPr>
        <w:t xml:space="preserve">; </w:t>
      </w:r>
      <w:r>
        <w:rPr>
          <w:b w:val="0"/>
          <w:i/>
        </w:rPr>
        <w:t>notitiam</w:t>
      </w:r>
      <w:r>
        <w:rPr>
          <w:b w:val="0"/>
          <w:i w:val="0"/>
        </w:rPr>
        <w:t xml:space="preserve">; </w:t>
      </w:r>
      <w:r>
        <w:rPr>
          <w:b w:val="0"/>
          <w:i/>
        </w:rPr>
        <w:t>percipiat</w:t>
      </w:r>
      <w:r>
        <w:rPr>
          <w:b w:val="0"/>
          <w:i w:val="0"/>
        </w:rPr>
        <w:t xml:space="preserve">; </w:t>
      </w:r>
      <w:r>
        <w:rPr>
          <w:b w:val="0"/>
          <w:i/>
        </w:rPr>
        <w:t>speculatur</w:t>
      </w:r>
      <w:r>
        <w:rPr>
          <w:b w:val="0"/>
          <w:i w:val="0"/>
        </w:rPr>
        <w:t>.</w:t>
      </w:r>
    </w:p>
    <w:p>
      <w:pPr>
        <w:widowControl/>
      </w:pPr>
      <w:r>
        <w:rPr>
          <w:b w:val="0"/>
          <w:i w:val="0"/>
        </w:rPr>
        <w:t xml:space="preserve">To judge, perceive, know, or contemplate, with local faculties distinguished. The color-source analogy imagines light perceiving itself, while divine contemplation is one act rather than enumeration. References: </w:t>
      </w:r>
      <w:hyperlink w:anchor="passage-ii-3-4">
        <w:r>
          <w:rPr>
            <w:color w:val="000000"/>
          </w:rPr>
          <w:t xml:space="preserve">II.3.4</w:t>
        </w:r>
      </w:hyperlink>
      <w:r>
        <w:rPr>
          <w:b w:val="0"/>
          <w:i w:val="0"/>
        </w:rPr>
        <w:t xml:space="preserve">, </w:t>
      </w:r>
      <w:hyperlink w:anchor="passage-ii-4-8">
        <w:r>
          <w:rPr>
            <w:color w:val="000000"/>
          </w:rPr>
          <w:t xml:space="preserve">II.4.8</w:t>
        </w:r>
      </w:hyperlink>
      <w:r>
        <w:rPr>
          <w:b w:val="0"/>
          <w:i w:val="0"/>
        </w:rPr>
        <w:t xml:space="preserve">, </w:t>
      </w:r>
      <w:hyperlink w:anchor="passage-ii-9-16">
        <w:r>
          <w:rPr>
            <w:color w:val="000000"/>
          </w:rPr>
          <w:t xml:space="preserve">II.9.16</w:t>
        </w:r>
      </w:hyperlink>
      <w:r>
        <w:rPr>
          <w:b w:val="0"/>
          <w:i w:val="0"/>
        </w:rPr>
        <w:t xml:space="preserve">, </w:t>
      </w:r>
      <w:hyperlink w:anchor="passage-ii-9-20">
        <w:r>
          <w:rPr>
            <w:color w:val="000000"/>
          </w:rPr>
          <w:t xml:space="preserve">II.9.20</w:t>
        </w:r>
      </w:hyperlink>
      <w:r>
        <w:rPr>
          <w:b w:val="0"/>
          <w:i w:val="0"/>
        </w:rPr>
        <w:t xml:space="preserve">, </w:t>
      </w:r>
      <w:hyperlink w:anchor="passage-ii-10-10">
        <w:r>
          <w:rPr>
            <w:color w:val="000000"/>
          </w:rPr>
          <w:t xml:space="preserve">II.10.10</w:t>
        </w:r>
      </w:hyperlink>
      <w:r>
        <w:rPr>
          <w:b w:val="0"/>
          <w:i w:val="0"/>
        </w:rPr>
        <w:t xml:space="preserve">, </w:t>
      </w:r>
      <w:hyperlink w:anchor="passage-ii-10-12">
        <w:r>
          <w:rPr>
            <w:color w:val="000000"/>
          </w:rPr>
          <w:t xml:space="preserve">II.10.12</w:t>
        </w:r>
      </w:hyperlink>
      <w:r>
        <w:rPr>
          <w:b w:val="0"/>
          <w:i w:val="0"/>
        </w:rPr>
        <w:t xml:space="preserve">. See </w:t>
      </w:r>
      <w:hyperlink w:anchor="intellect-and-intellection">
        <w:r>
          <w:rPr>
            <w:color w:val="000000"/>
          </w:rPr>
          <w:t xml:space="preserve">Intellect and intellection</w:t>
        </w:r>
      </w:hyperlink>
      <w:r>
        <w:rPr>
          <w:b w:val="0"/>
          <w:i w:val="0"/>
        </w:rPr>
        <w:t>.</w:t>
      </w:r>
    </w:p>
    <w:p>
      <w:pPr>
        <w:keepNext/>
        <w:widowControl/>
      </w:pPr>
      <w:bookmarkStart w:id="871" w:name="latin-record-0620"/>
      <w:bookmarkEnd w:id="871"/>
      <w:r>
        <w:rPr>
          <w:b/>
          <w:i w:val="0"/>
        </w:rPr>
        <w:t>iudicium / censere</w:t>
      </w:r>
      <w:r>
        <w:rPr>
          <w:b/>
          <w:i w:val="0"/>
        </w:rPr>
        <w:t>.</w:t>
      </w:r>
      <w:r>
        <w:rPr>
          <w:b w:val="0"/>
          <w:i w:val="0"/>
        </w:rPr>
        <w:t xml:space="preserve"> Printed forms: </w:t>
      </w:r>
      <w:r>
        <w:rPr>
          <w:b w:val="0"/>
          <w:i/>
        </w:rPr>
        <w:t>censuerit</w:t>
      </w:r>
      <w:r>
        <w:rPr>
          <w:b w:val="0"/>
          <w:i w:val="0"/>
        </w:rPr>
        <w:t xml:space="preserve">; </w:t>
      </w:r>
      <w:r>
        <w:rPr>
          <w:b w:val="0"/>
          <w:i/>
        </w:rPr>
        <w:t>iudicet</w:t>
      </w:r>
      <w:r>
        <w:rPr>
          <w:b w:val="0"/>
          <w:i w:val="0"/>
        </w:rPr>
        <w:t xml:space="preserve">; </w:t>
      </w:r>
      <w:r>
        <w:rPr>
          <w:b w:val="0"/>
          <w:i/>
        </w:rPr>
        <w:t>iudicium</w:t>
      </w:r>
      <w:r>
        <w:rPr>
          <w:b w:val="0"/>
          <w:i w:val="0"/>
        </w:rPr>
        <w:t>.</w:t>
      </w:r>
    </w:p>
    <w:p>
      <w:pPr>
        <w:widowControl/>
      </w:pPr>
      <w:r>
        <w:rPr>
          <w:b w:val="0"/>
          <w:i w:val="0"/>
        </w:rPr>
        <w:t xml:space="preserve">Judgment / deem or assess. Soul compares proposed actions, judges one better, and chooses what seems apt for the good; necessity of the general end leaves this judgment free. References: </w:t>
      </w:r>
      <w:hyperlink w:anchor="passage-ii-13-30">
        <w:r>
          <w:rPr>
            <w:color w:val="000000"/>
          </w:rPr>
          <w:t xml:space="preserve">II.13.30</w:t>
        </w:r>
      </w:hyperlink>
      <w:r>
        <w:rPr>
          <w:b w:val="0"/>
          <w:i w:val="0"/>
        </w:rPr>
        <w:t xml:space="preserve">. See </w:t>
      </w:r>
      <w:hyperlink w:anchor="choice-and-free-judgment">
        <w:r>
          <w:rPr>
            <w:color w:val="000000"/>
          </w:rPr>
          <w:t xml:space="preserve">Choice and free judgment</w:t>
        </w:r>
      </w:hyperlink>
      <w:r>
        <w:rPr>
          <w:b w:val="0"/>
          <w:i w:val="0"/>
        </w:rPr>
        <w:t>.</w:t>
      </w:r>
    </w:p>
    <w:p>
      <w:pPr>
        <w:keepNext/>
        <w:widowControl/>
      </w:pPr>
      <w:bookmarkStart w:id="872" w:name="latin-record-0621"/>
      <w:bookmarkEnd w:id="872"/>
      <w:r>
        <w:rPr>
          <w:b/>
          <w:i w:val="0"/>
        </w:rPr>
        <w:t>iudicium / perdo</w:t>
      </w:r>
      <w:r>
        <w:rPr>
          <w:b/>
          <w:i w:val="0"/>
        </w:rPr>
        <w:t>.</w:t>
      </w:r>
      <w:r>
        <w:rPr>
          <w:b w:val="0"/>
          <w:i w:val="0"/>
        </w:rPr>
        <w:t xml:space="preserve"> Printed forms: </w:t>
      </w:r>
      <w:r>
        <w:rPr>
          <w:b w:val="0"/>
          <w:i/>
        </w:rPr>
        <w:t>iudicium</w:t>
      </w:r>
      <w:r>
        <w:rPr>
          <w:b w:val="0"/>
          <w:i w:val="0"/>
        </w:rPr>
        <w:t xml:space="preserve">; </w:t>
      </w:r>
      <w:r>
        <w:rPr>
          <w:b w:val="0"/>
          <w:i/>
        </w:rPr>
        <w:t>perditur</w:t>
      </w:r>
      <w:r>
        <w:rPr>
          <w:b w:val="0"/>
          <w:i w:val="0"/>
        </w:rPr>
        <w:t>.</w:t>
      </w:r>
    </w:p>
    <w:p>
      <w:pPr>
        <w:widowControl/>
      </w:pPr>
      <w:r>
        <w:rPr>
          <w:b w:val="0"/>
          <w:i w:val="0"/>
        </w:rPr>
        <w:t xml:space="preserve">Judgement and its loss or impairment. Distance impairs judgement of a wall’s quantity sooner than perception of colour and light, supporting quality’s perceptual priority in the argument. References: </w:t>
      </w:r>
      <w:hyperlink w:anchor="passage-i-2-13">
        <w:r>
          <w:rPr>
            <w:color w:val="000000"/>
          </w:rPr>
          <w:t xml:space="preserve">I.2.13</w:t>
        </w:r>
      </w:hyperlink>
      <w:r>
        <w:rPr>
          <w:b w:val="0"/>
          <w:i w:val="0"/>
        </w:rPr>
        <w:t xml:space="preserve">. See </w:t>
      </w:r>
      <w:hyperlink w:anchor="sense-and-imagination">
        <w:r>
          <w:rPr>
            <w:color w:val="000000"/>
          </w:rPr>
          <w:t xml:space="preserve">Sense and imagination</w:t>
        </w:r>
      </w:hyperlink>
      <w:r>
        <w:rPr>
          <w:b w:val="0"/>
          <w:i w:val="0"/>
        </w:rPr>
        <w:t>.</w:t>
      </w:r>
    </w:p>
    <w:p>
      <w:pPr>
        <w:keepNext/>
        <w:widowControl/>
      </w:pPr>
      <w:bookmarkStart w:id="873" w:name="latin-record-0622"/>
      <w:bookmarkEnd w:id="873"/>
      <w:r>
        <w:rPr>
          <w:b/>
          <w:i w:val="0"/>
        </w:rPr>
        <w:t>iudico</w:t>
      </w:r>
      <w:r>
        <w:rPr>
          <w:b/>
          <w:i w:val="0"/>
        </w:rPr>
        <w:t>.</w:t>
      </w:r>
      <w:r>
        <w:rPr>
          <w:b w:val="0"/>
          <w:i w:val="0"/>
        </w:rPr>
        <w:t xml:space="preserve"> Printed forms: </w:t>
      </w:r>
      <w:r>
        <w:rPr>
          <w:b w:val="0"/>
          <w:i/>
        </w:rPr>
        <w:t>iudicabit</w:t>
      </w:r>
      <w:r>
        <w:rPr>
          <w:b w:val="0"/>
          <w:i w:val="0"/>
        </w:rPr>
        <w:t xml:space="preserve">; </w:t>
      </w:r>
      <w:r>
        <w:rPr>
          <w:b w:val="0"/>
          <w:i/>
        </w:rPr>
        <w:t>iudicant</w:t>
      </w:r>
      <w:r>
        <w:rPr>
          <w:b w:val="0"/>
          <w:i w:val="0"/>
        </w:rPr>
        <w:t xml:space="preserve">; </w:t>
      </w:r>
      <w:r>
        <w:rPr>
          <w:b w:val="0"/>
          <w:i/>
        </w:rPr>
        <w:t>iudicavi</w:t>
      </w:r>
      <w:r>
        <w:rPr>
          <w:b w:val="0"/>
          <w:i w:val="0"/>
        </w:rPr>
        <w:t>.</w:t>
      </w:r>
    </w:p>
    <w:p>
      <w:pPr>
        <w:widowControl/>
      </w:pPr>
      <w:r>
        <w:rPr>
          <w:b w:val="0"/>
          <w:i w:val="0"/>
        </w:rPr>
        <w:t xml:space="preserve">To judge or assess. The dedication is an authorial judgement, the wall example a perceptual assessment, and the final chapter an assessment of what is good for oneself; these are different objects of one family. References: </w:t>
      </w:r>
      <w:hyperlink w:anchor="passage-proem-11">
        <w:r>
          <w:rPr>
            <w:color w:val="000000"/>
          </w:rPr>
          <w:t xml:space="preserve">Proem.11</w:t>
        </w:r>
      </w:hyperlink>
      <w:r>
        <w:rPr>
          <w:b w:val="0"/>
          <w:i w:val="0"/>
        </w:rPr>
        <w:t xml:space="preserve">, </w:t>
      </w:r>
      <w:hyperlink w:anchor="passage-i-2-13">
        <w:r>
          <w:rPr>
            <w:color w:val="000000"/>
          </w:rPr>
          <w:t xml:space="preserve">I.2.13</w:t>
        </w:r>
      </w:hyperlink>
      <w:r>
        <w:rPr>
          <w:b w:val="0"/>
          <w:i w:val="0"/>
        </w:rPr>
        <w:t xml:space="preserve">, </w:t>
      </w:r>
      <w:hyperlink w:anchor="passage-i-6-18">
        <w:r>
          <w:rPr>
            <w:color w:val="000000"/>
          </w:rPr>
          <w:t xml:space="preserve">I.6.18</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874" w:name="latin-record-0623"/>
      <w:bookmarkEnd w:id="874"/>
      <w:r>
        <w:rPr>
          <w:b/>
          <w:i w:val="0"/>
        </w:rPr>
        <w:t>Iupiter</w:t>
      </w:r>
      <w:r>
        <w:rPr>
          <w:b/>
          <w:i w:val="0"/>
        </w:rPr>
        <w:t>.</w:t>
      </w:r>
      <w:r>
        <w:rPr>
          <w:b w:val="0"/>
          <w:i w:val="0"/>
        </w:rPr>
        <w:t xml:space="preserve"> Printed forms: </w:t>
      </w:r>
      <w:r>
        <w:rPr>
          <w:b w:val="0"/>
          <w:i/>
        </w:rPr>
        <w:t>Iupiter</w:t>
      </w:r>
      <w:r>
        <w:rPr>
          <w:b w:val="0"/>
          <w:i w:val="0"/>
        </w:rPr>
        <w:t>.</w:t>
      </w:r>
    </w:p>
    <w:p>
      <w:pPr>
        <w:widowControl/>
      </w:pPr>
      <w:r>
        <w:rPr>
          <w:b w:val="0"/>
          <w:i w:val="0"/>
        </w:rPr>
        <w:t xml:space="preserve">Jupiter, the divine name in an attributed Orphic saying. Ficino glosses the saying as the form of all things, using it within his argument about divine causal containment. References: </w:t>
      </w:r>
      <w:hyperlink w:anchor="passage-ii-11-1">
        <w:r>
          <w:rPr>
            <w:color w:val="000000"/>
          </w:rPr>
          <w:t xml:space="preserve">II.11.1</w:t>
        </w:r>
      </w:hyperlink>
      <w:r>
        <w:rPr>
          <w:b w:val="0"/>
          <w:i w:val="0"/>
        </w:rPr>
        <w:t xml:space="preserve">. See </w:t>
      </w:r>
      <w:hyperlink w:anchor="god">
        <w:r>
          <w:rPr>
            <w:color w:val="000000"/>
          </w:rPr>
          <w:t xml:space="preserve">God</w:t>
        </w:r>
      </w:hyperlink>
      <w:r>
        <w:rPr>
          <w:b w:val="0"/>
          <w:i w:val="0"/>
        </w:rPr>
        <w:t>.</w:t>
      </w:r>
    </w:p>
    <w:p>
      <w:pPr>
        <w:keepNext/>
        <w:widowControl/>
      </w:pPr>
      <w:bookmarkStart w:id="875" w:name="latin-record-0624"/>
      <w:bookmarkEnd w:id="875"/>
      <w:r>
        <w:rPr>
          <w:b/>
          <w:i w:val="0"/>
        </w:rPr>
        <w:t>Iuppiter / oculus</w:t>
      </w:r>
      <w:r>
        <w:rPr>
          <w:b/>
          <w:i w:val="0"/>
        </w:rPr>
        <w:t>.</w:t>
      </w:r>
      <w:r>
        <w:rPr>
          <w:b w:val="0"/>
          <w:i w:val="0"/>
        </w:rPr>
        <w:t xml:space="preserve"> Printed forms: </w:t>
      </w:r>
      <w:r>
        <w:rPr>
          <w:b w:val="0"/>
          <w:i/>
        </w:rPr>
        <w:t>Iovis</w:t>
      </w:r>
      <w:r>
        <w:rPr>
          <w:b w:val="0"/>
          <w:i w:val="0"/>
        </w:rPr>
        <w:t xml:space="preserve">; </w:t>
      </w:r>
      <w:r>
        <w:rPr>
          <w:b w:val="0"/>
          <w:i/>
        </w:rPr>
        <w:t>oculi</w:t>
      </w:r>
      <w:r>
        <w:rPr>
          <w:b w:val="0"/>
          <w:i w:val="0"/>
        </w:rPr>
        <w:t xml:space="preserve">; </w:t>
      </w:r>
      <w:r>
        <w:rPr>
          <w:b w:val="0"/>
          <w:i/>
        </w:rPr>
        <w:t>oculus</w:t>
      </w:r>
      <w:r>
        <w:rPr>
          <w:b w:val="0"/>
          <w:i w:val="0"/>
        </w:rPr>
        <w:t>.</w:t>
      </w:r>
    </w:p>
    <w:p>
      <w:pPr>
        <w:widowControl/>
      </w:pPr>
      <w:r>
        <w:rPr>
          <w:b w:val="0"/>
          <w:i w:val="0"/>
        </w:rPr>
        <w:t xml:space="preserve">Jove and the eye-image used for comprehensive cognition. The attributed perfect and infinite eyes complement the example of one glance seeing many stars. References: </w:t>
      </w:r>
      <w:hyperlink w:anchor="passage-ii-9-18">
        <w:r>
          <w:rPr>
            <w:color w:val="000000"/>
          </w:rPr>
          <w:t xml:space="preserve">II.9.18</w:t>
        </w:r>
      </w:hyperlink>
      <w:r>
        <w:rPr>
          <w:b w:val="0"/>
          <w:i w:val="0"/>
        </w:rPr>
        <w:t xml:space="preserve">, </w:t>
      </w:r>
      <w:hyperlink w:anchor="passage-ii-9-19">
        <w:r>
          <w:rPr>
            <w:color w:val="000000"/>
          </w:rPr>
          <w:t xml:space="preserve">II.9.19</w:t>
        </w:r>
      </w:hyperlink>
      <w:r>
        <w:rPr>
          <w:b w:val="0"/>
          <w:i w:val="0"/>
        </w:rPr>
        <w:t xml:space="preserve">, </w:t>
      </w:r>
      <w:hyperlink w:anchor="passage-ii-9-21">
        <w:r>
          <w:rPr>
            <w:color w:val="000000"/>
          </w:rPr>
          <w:t xml:space="preserve">II.9.21</w:t>
        </w:r>
      </w:hyperlink>
      <w:r>
        <w:rPr>
          <w:b w:val="0"/>
          <w:i w:val="0"/>
        </w:rPr>
        <w:t xml:space="preserve">, </w:t>
      </w:r>
      <w:hyperlink w:anchor="passage-ii-10-7">
        <w:r>
          <w:rPr>
            <w:color w:val="000000"/>
          </w:rPr>
          <w:t xml:space="preserve">II.10.7</w:t>
        </w:r>
      </w:hyperlink>
      <w:r>
        <w:rPr>
          <w:b w:val="0"/>
          <w:i w:val="0"/>
        </w:rPr>
        <w:t xml:space="preserve">. See </w:t>
      </w:r>
      <w:hyperlink w:anchor="eye-and-gaze">
        <w:r>
          <w:rPr>
            <w:color w:val="000000"/>
          </w:rPr>
          <w:t xml:space="preserve">Eye and gaze</w:t>
        </w:r>
      </w:hyperlink>
      <w:r>
        <w:rPr>
          <w:b w:val="0"/>
          <w:i w:val="0"/>
        </w:rPr>
        <w:t>.</w:t>
      </w:r>
    </w:p>
    <w:p>
      <w:pPr>
        <w:keepNext/>
        <w:widowControl/>
      </w:pPr>
      <w:bookmarkStart w:id="876" w:name="latin-record-0625"/>
      <w:bookmarkEnd w:id="876"/>
      <w:r>
        <w:rPr>
          <w:b/>
          <w:i w:val="0"/>
        </w:rPr>
        <w:t>labi</w:t>
      </w:r>
      <w:r>
        <w:rPr>
          <w:b/>
          <w:i w:val="0"/>
        </w:rPr>
        <w:t>.</w:t>
      </w:r>
      <w:r>
        <w:rPr>
          <w:b w:val="0"/>
          <w:i w:val="0"/>
        </w:rPr>
        <w:t xml:space="preserve"> Printed forms: </w:t>
      </w:r>
      <w:r>
        <w:rPr>
          <w:b w:val="0"/>
          <w:i/>
        </w:rPr>
        <w:t>labatur</w:t>
      </w:r>
      <w:r>
        <w:rPr>
          <w:b w:val="0"/>
          <w:i w:val="0"/>
        </w:rPr>
        <w:t>.</w:t>
      </w:r>
    </w:p>
    <w:p>
      <w:pPr>
        <w:widowControl/>
      </w:pPr>
      <w:r>
        <w:rPr>
          <w:b w:val="0"/>
          <w:i w:val="0"/>
        </w:rPr>
        <w:t xml:space="preserve">Slip or fall away. The operation most fitting to God must not cause departure from stability or simplicity. References: </w:t>
      </w:r>
      <w:hyperlink w:anchor="passage-ii-11-14">
        <w:r>
          <w:rPr>
            <w:color w:val="000000"/>
          </w:rPr>
          <w:t xml:space="preserve">II.11.14</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877" w:name="latin-record-0626"/>
      <w:bookmarkEnd w:id="877"/>
      <w:r>
        <w:rPr>
          <w:b/>
          <w:i w:val="0"/>
        </w:rPr>
        <w:t>labor / transgressio</w:t>
      </w:r>
      <w:r>
        <w:rPr>
          <w:b/>
          <w:i w:val="0"/>
        </w:rPr>
        <w:t>.</w:t>
      </w:r>
      <w:r>
        <w:rPr>
          <w:b w:val="0"/>
          <w:i w:val="0"/>
        </w:rPr>
        <w:t xml:space="preserve"> Printed forms: </w:t>
      </w:r>
      <w:r>
        <w:rPr>
          <w:b w:val="0"/>
          <w:i/>
        </w:rPr>
        <w:t>labor</w:t>
      </w:r>
      <w:r>
        <w:rPr>
          <w:b w:val="0"/>
          <w:i w:val="0"/>
        </w:rPr>
        <w:t xml:space="preserve">; </w:t>
      </w:r>
      <w:r>
        <w:rPr>
          <w:b w:val="0"/>
          <w:i/>
        </w:rPr>
        <w:t>transgressioque</w:t>
      </w:r>
      <w:r>
        <w:rPr>
          <w:b w:val="0"/>
          <w:i w:val="0"/>
        </w:rPr>
        <w:t>.</w:t>
      </w:r>
    </w:p>
    <w:p>
      <w:pPr>
        <w:widowControl/>
      </w:pPr>
      <w:r>
        <w:rPr>
          <w:b w:val="0"/>
          <w:i w:val="0"/>
        </w:rPr>
        <w:t xml:space="preserve">Toil; passing beyond bounds. The closing argument requires a stable principal origin and end so celestial motion does not terminate in these defects. References: </w:t>
      </w:r>
      <w:hyperlink w:anchor="passage-iv-2-27">
        <w:r>
          <w:rPr>
            <w:color w:val="000000"/>
          </w:rPr>
          <w:t xml:space="preserve">IV.2.27</w:t>
        </w:r>
      </w:hyperlink>
      <w:r>
        <w:rPr>
          <w:b w:val="0"/>
          <w:i w:val="0"/>
        </w:rPr>
        <w:t xml:space="preserve">. See </w:t>
      </w:r>
      <w:hyperlink w:anchor="weariness-and-agility">
        <w:r>
          <w:rPr>
            <w:color w:val="000000"/>
          </w:rPr>
          <w:t xml:space="preserve">Weariness and agility</w:t>
        </w:r>
      </w:hyperlink>
      <w:r>
        <w:rPr>
          <w:b w:val="0"/>
          <w:i w:val="0"/>
        </w:rPr>
        <w:t>.</w:t>
      </w:r>
    </w:p>
    <w:p>
      <w:pPr>
        <w:keepNext/>
        <w:widowControl/>
      </w:pPr>
      <w:bookmarkStart w:id="878" w:name="latin-record-0627"/>
      <w:bookmarkEnd w:id="878"/>
      <w:r>
        <w:rPr>
          <w:b/>
          <w:i w:val="0"/>
        </w:rPr>
        <w:t>lapis / paries / congeries</w:t>
      </w:r>
      <w:r>
        <w:rPr>
          <w:b/>
          <w:i w:val="0"/>
        </w:rPr>
        <w:t>.</w:t>
      </w:r>
      <w:r>
        <w:rPr>
          <w:b w:val="0"/>
          <w:i w:val="0"/>
        </w:rPr>
        <w:t xml:space="preserve"> Printed forms: </w:t>
      </w:r>
      <w:r>
        <w:rPr>
          <w:b w:val="0"/>
          <w:i/>
        </w:rPr>
        <w:t>congeriem</w:t>
      </w:r>
      <w:r>
        <w:rPr>
          <w:b w:val="0"/>
          <w:i w:val="0"/>
        </w:rPr>
        <w:t xml:space="preserve">; </w:t>
      </w:r>
      <w:r>
        <w:rPr>
          <w:b w:val="0"/>
          <w:i/>
        </w:rPr>
        <w:t>lapides</w:t>
      </w:r>
      <w:r>
        <w:rPr>
          <w:b w:val="0"/>
          <w:i w:val="0"/>
        </w:rPr>
        <w:t xml:space="preserve">; </w:t>
      </w:r>
      <w:r>
        <w:rPr>
          <w:b w:val="0"/>
          <w:i/>
        </w:rPr>
        <w:t>parietibus</w:t>
      </w:r>
      <w:r>
        <w:rPr>
          <w:b w:val="0"/>
          <w:i w:val="0"/>
        </w:rPr>
        <w:t>.</w:t>
      </w:r>
    </w:p>
    <w:p>
      <w:pPr>
        <w:widowControl/>
      </w:pPr>
      <w:r>
        <w:rPr>
          <w:b w:val="0"/>
          <w:i w:val="0"/>
        </w:rPr>
        <w:t xml:space="preserve">Stone / wall / heap. Unplanned stone-handling is said to yield a useless heap, whereas an ordered building requires coordinated walls. References: </w:t>
      </w:r>
      <w:hyperlink w:anchor="passage-ii-13-15">
        <w:r>
          <w:rPr>
            <w:color w:val="000000"/>
          </w:rPr>
          <w:t xml:space="preserve">II.13.15</w:t>
        </w:r>
      </w:hyperlink>
      <w:r>
        <w:rPr>
          <w:b w:val="0"/>
          <w:i w:val="0"/>
        </w:rPr>
        <w:t xml:space="preserve">, </w:t>
      </w:r>
      <w:hyperlink w:anchor="passage-ii-13-16">
        <w:r>
          <w:rPr>
            <w:color w:val="000000"/>
          </w:rPr>
          <w:t xml:space="preserve">II.13.16</w:t>
        </w:r>
      </w:hyperlink>
      <w:r>
        <w:rPr>
          <w:b w:val="0"/>
          <w:i w:val="0"/>
        </w:rPr>
        <w:t xml:space="preserve">. See </w:t>
      </w:r>
      <w:hyperlink w:anchor="architect-and-house">
        <w:r>
          <w:rPr>
            <w:color w:val="000000"/>
          </w:rPr>
          <w:t xml:space="preserve">Architect, house and decoration</w:t>
        </w:r>
      </w:hyperlink>
      <w:r>
        <w:rPr>
          <w:b w:val="0"/>
          <w:i w:val="0"/>
        </w:rPr>
        <w:t>.</w:t>
      </w:r>
    </w:p>
    <w:p>
      <w:pPr>
        <w:keepNext/>
        <w:widowControl/>
      </w:pPr>
      <w:bookmarkStart w:id="879" w:name="latin-record-0628"/>
      <w:bookmarkEnd w:id="879"/>
      <w:r>
        <w:rPr>
          <w:b/>
          <w:i w:val="0"/>
        </w:rPr>
        <w:t>largitio</w:t>
      </w:r>
      <w:r>
        <w:rPr>
          <w:b/>
          <w:i w:val="0"/>
        </w:rPr>
        <w:t>.</w:t>
      </w:r>
      <w:r>
        <w:rPr>
          <w:b w:val="0"/>
          <w:i w:val="0"/>
        </w:rPr>
        <w:t xml:space="preserve"> Printed forms: </w:t>
      </w:r>
      <w:r>
        <w:rPr>
          <w:b w:val="0"/>
          <w:i/>
        </w:rPr>
        <w:t>largitio</w:t>
      </w:r>
      <w:r>
        <w:rPr>
          <w:b w:val="0"/>
          <w:i w:val="0"/>
        </w:rPr>
        <w:t>.</w:t>
      </w:r>
    </w:p>
    <w:p>
      <w:pPr>
        <w:widowControl/>
      </w:pPr>
      <w:r>
        <w:rPr>
          <w:b w:val="0"/>
          <w:i w:val="0"/>
        </w:rPr>
        <w:t xml:space="preserve">Bounty or giving forth. The bounty of goodness extends farther than form’s reach because matter is receptive to good and needed by the good world. References: </w:t>
      </w:r>
      <w:hyperlink w:anchor="passage-i-6-14">
        <w:r>
          <w:rPr>
            <w:color w:val="000000"/>
          </w:rPr>
          <w:t xml:space="preserve">I.6.14</w:t>
        </w:r>
      </w:hyperlink>
      <w:r>
        <w:rPr>
          <w:b w:val="0"/>
          <w:i w:val="0"/>
        </w:rPr>
        <w:t xml:space="preserve">. See </w:t>
      </w:r>
      <w:hyperlink w:anchor="communication-and-imparting">
        <w:r>
          <w:rPr>
            <w:color w:val="000000"/>
          </w:rPr>
          <w:t xml:space="preserve">Communication and imparting</w:t>
        </w:r>
      </w:hyperlink>
      <w:r>
        <w:rPr>
          <w:b w:val="0"/>
          <w:i w:val="0"/>
        </w:rPr>
        <w:t>.</w:t>
      </w:r>
    </w:p>
    <w:p>
      <w:pPr>
        <w:keepNext/>
        <w:widowControl/>
      </w:pPr>
      <w:bookmarkStart w:id="880" w:name="latin-record-0629"/>
      <w:bookmarkEnd w:id="880"/>
      <w:r>
        <w:rPr>
          <w:b/>
          <w:i w:val="0"/>
        </w:rPr>
        <w:t>lateo</w:t>
      </w:r>
      <w:r>
        <w:rPr>
          <w:b/>
          <w:i w:val="0"/>
        </w:rPr>
        <w:t>.</w:t>
      </w:r>
      <w:r>
        <w:rPr>
          <w:b w:val="0"/>
          <w:i w:val="0"/>
        </w:rPr>
        <w:t xml:space="preserve"> Printed forms: </w:t>
      </w:r>
      <w:r>
        <w:rPr>
          <w:b w:val="0"/>
          <w:i/>
        </w:rPr>
        <w:t>lateat</w:t>
      </w:r>
      <w:r>
        <w:rPr>
          <w:b w:val="0"/>
          <w:i w:val="0"/>
        </w:rPr>
        <w:t xml:space="preserve">; </w:t>
      </w:r>
      <w:r>
        <w:rPr>
          <w:b w:val="0"/>
          <w:i/>
        </w:rPr>
        <w:t>latens</w:t>
      </w:r>
      <w:r>
        <w:rPr>
          <w:b w:val="0"/>
          <w:i w:val="0"/>
        </w:rPr>
        <w:t>.</w:t>
      </w:r>
    </w:p>
    <w:p>
      <w:pPr>
        <w:widowControl/>
      </w:pPr>
      <w:r>
        <w:rPr>
          <w:b w:val="0"/>
          <w:i w:val="0"/>
        </w:rPr>
        <w:t xml:space="preserve">To be hidden or escape notice. Truth above mind is said not to be hidden from itself, preserving self-awareness without positing a distinct eye within God. References: </w:t>
      </w:r>
      <w:hyperlink w:anchor="passage-i-6-12">
        <w:r>
          <w:rPr>
            <w:color w:val="000000"/>
          </w:rPr>
          <w:t xml:space="preserve">I.6.12</w:t>
        </w:r>
      </w:hyperlink>
      <w:r>
        <w:rPr>
          <w:b w:val="0"/>
          <w:i w:val="0"/>
        </w:rPr>
        <w:t xml:space="preserve">. See </w:t>
      </w:r>
      <w:hyperlink w:anchor="truth">
        <w:r>
          <w:rPr>
            <w:color w:val="000000"/>
          </w:rPr>
          <w:t xml:space="preserve">Truth</w:t>
        </w:r>
      </w:hyperlink>
      <w:r>
        <w:rPr>
          <w:b w:val="0"/>
          <w:i w:val="0"/>
        </w:rPr>
        <w:t>.</w:t>
      </w:r>
    </w:p>
    <w:p>
      <w:pPr>
        <w:keepNext/>
        <w:widowControl/>
      </w:pPr>
      <w:bookmarkStart w:id="881" w:name="latin-record-0630"/>
      <w:bookmarkEnd w:id="881"/>
      <w:r>
        <w:rPr>
          <w:b/>
          <w:i w:val="0"/>
        </w:rPr>
        <w:t>latere / exponere</w:t>
      </w:r>
      <w:r>
        <w:rPr>
          <w:b/>
          <w:i w:val="0"/>
        </w:rPr>
        <w:t>.</w:t>
      </w:r>
      <w:r>
        <w:rPr>
          <w:b w:val="0"/>
          <w:i w:val="0"/>
        </w:rPr>
        <w:t xml:space="preserve"> Printed forms: </w:t>
      </w:r>
      <w:r>
        <w:rPr>
          <w:b w:val="0"/>
          <w:i/>
        </w:rPr>
        <w:t>exposita</w:t>
      </w:r>
      <w:r>
        <w:rPr>
          <w:b w:val="0"/>
          <w:i w:val="0"/>
        </w:rPr>
        <w:t xml:space="preserve">; </w:t>
      </w:r>
      <w:r>
        <w:rPr>
          <w:b w:val="0"/>
          <w:i/>
        </w:rPr>
        <w:t>latent</w:t>
      </w:r>
      <w:r>
        <w:rPr>
          <w:b w:val="0"/>
          <w:i w:val="0"/>
        </w:rPr>
        <w:t>.</w:t>
      </w:r>
    </w:p>
    <w:p>
      <w:pPr>
        <w:widowControl/>
      </w:pPr>
      <w:r>
        <w:rPr>
          <w:b w:val="0"/>
          <w:i w:val="0"/>
        </w:rPr>
        <w:t xml:space="preserve">To lie hidden and to be open or disposed to receive. The incipient forms in matter are described as hidden seeds, while matter is open to good; its receptive goodness is qualified rather than full formal perfection. References: </w:t>
      </w:r>
      <w:hyperlink w:anchor="passage-i-6-14">
        <w:r>
          <w:rPr>
            <w:color w:val="000000"/>
          </w:rPr>
          <w:t xml:space="preserve">I.6.14</w:t>
        </w:r>
      </w:hyperlink>
      <w:r>
        <w:rPr>
          <w:b w:val="0"/>
          <w:i w:val="0"/>
        </w:rPr>
        <w:t xml:space="preserve">. See </w:t>
      </w:r>
      <w:hyperlink w:anchor="seeds">
        <w:r>
          <w:rPr>
            <w:color w:val="000000"/>
          </w:rPr>
          <w:t xml:space="preserve">Seeds</w:t>
        </w:r>
      </w:hyperlink>
      <w:r>
        <w:rPr>
          <w:b w:val="0"/>
          <w:i w:val="0"/>
        </w:rPr>
        <w:t>.</w:t>
      </w:r>
    </w:p>
    <w:p>
      <w:pPr>
        <w:keepNext/>
        <w:widowControl/>
      </w:pPr>
      <w:bookmarkStart w:id="882" w:name="latin-record-0631"/>
      <w:bookmarkEnd w:id="882"/>
      <w:r>
        <w:rPr>
          <w:b/>
          <w:i w:val="0"/>
        </w:rPr>
        <w:t>latere / informis</w:t>
      </w:r>
      <w:r>
        <w:rPr>
          <w:b/>
          <w:i w:val="0"/>
        </w:rPr>
        <w:t>.</w:t>
      </w:r>
      <w:r>
        <w:rPr>
          <w:b w:val="0"/>
          <w:i w:val="0"/>
        </w:rPr>
        <w:t xml:space="preserve"> Printed forms: </w:t>
      </w:r>
      <w:r>
        <w:rPr>
          <w:b w:val="0"/>
          <w:i/>
        </w:rPr>
        <w:t>informis</w:t>
      </w:r>
      <w:r>
        <w:rPr>
          <w:b w:val="0"/>
          <w:i w:val="0"/>
        </w:rPr>
        <w:t xml:space="preserve">; </w:t>
      </w:r>
      <w:r>
        <w:rPr>
          <w:b w:val="0"/>
          <w:i/>
        </w:rPr>
        <w:t>lateat</w:t>
      </w:r>
      <w:r>
        <w:rPr>
          <w:b w:val="0"/>
          <w:i w:val="0"/>
        </w:rPr>
        <w:t>.</w:t>
      </w:r>
    </w:p>
    <w:p>
      <w:pPr>
        <w:widowControl/>
      </w:pPr>
      <w:r>
        <w:rPr>
          <w:b w:val="0"/>
          <w:i w:val="0"/>
        </w:rPr>
        <w:t xml:space="preserve">To lie hidden; formless in itself. The reported one underlying matter supports a further argument for one soul; ut plerique disputant preserves its attribution. References: </w:t>
      </w:r>
      <w:hyperlink w:anchor="passage-iv-1-81">
        <w:r>
          <w:rPr>
            <w:color w:val="000000"/>
          </w:rPr>
          <w:t xml:space="preserve">IV.1.81</w:t>
        </w:r>
      </w:hyperlink>
      <w:r>
        <w:rPr>
          <w:b w:val="0"/>
          <w:i w:val="0"/>
        </w:rPr>
        <w:t xml:space="preserve">. See </w:t>
      </w:r>
      <w:hyperlink w:anchor="matter">
        <w:r>
          <w:rPr>
            <w:color w:val="000000"/>
          </w:rPr>
          <w:t xml:space="preserve">Matter</w:t>
        </w:r>
      </w:hyperlink>
      <w:r>
        <w:rPr>
          <w:b w:val="0"/>
          <w:i w:val="0"/>
        </w:rPr>
        <w:t>.</w:t>
      </w:r>
    </w:p>
    <w:p>
      <w:pPr>
        <w:keepNext/>
        <w:widowControl/>
      </w:pPr>
      <w:bookmarkStart w:id="883" w:name="latin-record-0632"/>
      <w:bookmarkEnd w:id="883"/>
      <w:r>
        <w:rPr>
          <w:b/>
          <w:i w:val="0"/>
        </w:rPr>
        <w:t>laterna</w:t>
      </w:r>
      <w:r>
        <w:rPr>
          <w:b/>
          <w:i w:val="0"/>
        </w:rPr>
        <w:t>.</w:t>
      </w:r>
      <w:r>
        <w:rPr>
          <w:b w:val="0"/>
          <w:i w:val="0"/>
        </w:rPr>
        <w:t xml:space="preserve"> Printed forms: </w:t>
      </w:r>
      <w:r>
        <w:rPr>
          <w:b w:val="0"/>
          <w:i/>
        </w:rPr>
        <w:t>laterna</w:t>
      </w:r>
      <w:r>
        <w:rPr>
          <w:b w:val="0"/>
          <w:i w:val="0"/>
        </w:rPr>
        <w:t xml:space="preserve">; </w:t>
      </w:r>
      <w:r>
        <w:rPr>
          <w:b w:val="0"/>
          <w:i/>
        </w:rPr>
        <w:t>laternam</w:t>
      </w:r>
      <w:r>
        <w:rPr>
          <w:b w:val="0"/>
          <w:i w:val="0"/>
        </w:rPr>
        <w:t>.</w:t>
      </w:r>
    </w:p>
    <w:p>
      <w:pPr>
        <w:widowControl/>
      </w:pPr>
      <w:r>
        <w:rPr>
          <w:b w:val="0"/>
          <w:i w:val="0"/>
        </w:rPr>
        <w:t xml:space="preserve">Lantern. It reveals successive steps in the human example and supplies a comparison for the motive power presenting successive seed-kinds. References: </w:t>
      </w:r>
      <w:hyperlink w:anchor="passage-iv-2-13">
        <w:r>
          <w:rPr>
            <w:color w:val="000000"/>
          </w:rPr>
          <w:t xml:space="preserve">IV.2.13</w:t>
        </w:r>
      </w:hyperlink>
      <w:r>
        <w:rPr>
          <w:b w:val="0"/>
          <w:i w:val="0"/>
        </w:rPr>
        <w:t xml:space="preserve">, </w:t>
      </w:r>
      <w:hyperlink w:anchor="passage-iv-2-14">
        <w:r>
          <w:rPr>
            <w:color w:val="000000"/>
          </w:rPr>
          <w:t xml:space="preserve">IV.2.14</w:t>
        </w:r>
      </w:hyperlink>
      <w:r>
        <w:rPr>
          <w:b w:val="0"/>
          <w:i w:val="0"/>
        </w:rPr>
        <w:t xml:space="preserve">. See </w:t>
      </w:r>
      <w:hyperlink w:anchor="euclid-and-the-lantern">
        <w:r>
          <w:rPr>
            <w:color w:val="000000"/>
          </w:rPr>
          <w:t xml:space="preserve">Euclid and the lantern</w:t>
        </w:r>
      </w:hyperlink>
      <w:r>
        <w:rPr>
          <w:b w:val="0"/>
          <w:i w:val="0"/>
        </w:rPr>
        <w:t>.</w:t>
      </w:r>
    </w:p>
    <w:p>
      <w:pPr>
        <w:keepNext/>
        <w:widowControl/>
      </w:pPr>
      <w:bookmarkStart w:id="884" w:name="latin-record-0633"/>
      <w:bookmarkEnd w:id="884"/>
      <w:r>
        <w:rPr>
          <w:b/>
          <w:i w:val="0"/>
        </w:rPr>
        <w:t>Laurenti / magnanimus</w:t>
      </w:r>
      <w:r>
        <w:rPr>
          <w:b/>
          <w:i w:val="0"/>
        </w:rPr>
        <w:t>.</w:t>
      </w:r>
      <w:r>
        <w:rPr>
          <w:b w:val="0"/>
          <w:i w:val="0"/>
        </w:rPr>
        <w:t xml:space="preserve"> Printed forms: </w:t>
      </w:r>
      <w:r>
        <w:rPr>
          <w:b w:val="0"/>
          <w:i/>
        </w:rPr>
        <w:t>Laurenti</w:t>
      </w:r>
      <w:r>
        <w:rPr>
          <w:b w:val="0"/>
          <w:i w:val="0"/>
        </w:rPr>
        <w:t xml:space="preserve">; </w:t>
      </w:r>
      <w:r>
        <w:rPr>
          <w:b w:val="0"/>
          <w:i/>
        </w:rPr>
        <w:t>magnanime</w:t>
      </w:r>
      <w:r>
        <w:rPr>
          <w:b w:val="0"/>
          <w:i w:val="0"/>
        </w:rPr>
        <w:t>.</w:t>
      </w:r>
    </w:p>
    <w:p>
      <w:pPr>
        <w:widowControl/>
      </w:pPr>
      <w:r>
        <w:rPr>
          <w:b w:val="0"/>
          <w:i w:val="0"/>
        </w:rPr>
        <w:t xml:space="preserve">Lorenzo in direct address, praised as magnanimous. The vocative marks the Proem’s dedicatee and its encomiastic tone; it is not a philosophical definition of magnanimity. References: </w:t>
      </w:r>
      <w:hyperlink w:anchor="passage-proem-1">
        <w:r>
          <w:rPr>
            <w:color w:val="000000"/>
          </w:rPr>
          <w:t xml:space="preserve">Proem.1</w:t>
        </w:r>
      </w:hyperlink>
      <w:r>
        <w:rPr>
          <w:b w:val="0"/>
          <w:i w:val="0"/>
        </w:rPr>
        <w:t xml:space="preserve">, </w:t>
      </w:r>
      <w:hyperlink w:anchor="passage-proem-11">
        <w:r>
          <w:rPr>
            <w:color w:val="000000"/>
          </w:rPr>
          <w:t xml:space="preserve">Proem.11</w:t>
        </w:r>
      </w:hyperlink>
      <w:r>
        <w:rPr>
          <w:b w:val="0"/>
          <w:i w:val="0"/>
        </w:rPr>
        <w:t xml:space="preserve">. See </w:t>
      </w:r>
      <w:hyperlink w:anchor="lorenzo-dedication-and-public-authority">
        <w:r>
          <w:rPr>
            <w:color w:val="000000"/>
          </w:rPr>
          <w:t xml:space="preserve">Lorenzo, dedication and public authority</w:t>
        </w:r>
      </w:hyperlink>
      <w:r>
        <w:rPr>
          <w:b w:val="0"/>
          <w:i w:val="0"/>
        </w:rPr>
        <w:t>.</w:t>
      </w:r>
    </w:p>
    <w:p>
      <w:pPr>
        <w:keepNext/>
        <w:widowControl/>
      </w:pPr>
      <w:bookmarkStart w:id="885" w:name="latin-record-0634"/>
      <w:bookmarkEnd w:id="885"/>
      <w:r>
        <w:rPr>
          <w:b/>
          <w:i w:val="0"/>
        </w:rPr>
        <w:t>leges / respublica / regnum / Critias (titles)</w:t>
      </w:r>
      <w:r>
        <w:rPr>
          <w:b/>
          <w:i w:val="0"/>
        </w:rPr>
        <w:t>.</w:t>
      </w:r>
      <w:r>
        <w:rPr>
          <w:b w:val="0"/>
          <w:i w:val="0"/>
        </w:rPr>
        <w:t xml:space="preserve"> Printed forms: </w:t>
      </w:r>
      <w:r>
        <w:rPr>
          <w:b w:val="0"/>
          <w:i/>
        </w:rPr>
        <w:t>Critia</w:t>
      </w:r>
      <w:r>
        <w:rPr>
          <w:b w:val="0"/>
          <w:i w:val="0"/>
        </w:rPr>
        <w:t xml:space="preserve">; </w:t>
      </w:r>
      <w:r>
        <w:rPr>
          <w:b w:val="0"/>
          <w:i/>
        </w:rPr>
        <w:t>Legibus</w:t>
      </w:r>
      <w:r>
        <w:rPr>
          <w:b w:val="0"/>
          <w:i w:val="0"/>
        </w:rPr>
        <w:t xml:space="preserve">; </w:t>
      </w:r>
      <w:r>
        <w:rPr>
          <w:b w:val="0"/>
          <w:i/>
        </w:rPr>
        <w:t>Legum</w:t>
      </w:r>
      <w:r>
        <w:rPr>
          <w:b w:val="0"/>
          <w:i w:val="0"/>
        </w:rPr>
        <w:t xml:space="preserve">; </w:t>
      </w:r>
      <w:r>
        <w:rPr>
          <w:b w:val="0"/>
          <w:i/>
        </w:rPr>
        <w:t>regno</w:t>
      </w:r>
      <w:r>
        <w:rPr>
          <w:b w:val="0"/>
          <w:i w:val="0"/>
        </w:rPr>
        <w:t xml:space="preserve">; </w:t>
      </w:r>
      <w:r>
        <w:rPr>
          <w:b w:val="0"/>
          <w:i/>
        </w:rPr>
        <w:t>republica</w:t>
      </w:r>
      <w:r>
        <w:rPr>
          <w:b w:val="0"/>
          <w:i w:val="0"/>
        </w:rPr>
        <w:t>.</w:t>
      </w:r>
    </w:p>
    <w:p>
      <w:pPr>
        <w:widowControl/>
      </w:pPr>
      <w:r>
        <w:rPr>
          <w:b w:val="0"/>
          <w:i w:val="0"/>
        </w:rPr>
        <w:t xml:space="preserve">Dialogue titles cited through Latin words for laws, republic, rule, and Critias. Ficino cites these works in arguing that providence preserves free judgment; the titles must be read as citations rather than ordinary political nouns here. References: </w:t>
      </w:r>
      <w:hyperlink w:anchor="passage-ii-13-24">
        <w:r>
          <w:rPr>
            <w:color w:val="000000"/>
          </w:rPr>
          <w:t xml:space="preserve">II.13.24</w:t>
        </w:r>
      </w:hyperlink>
      <w:r>
        <w:rPr>
          <w:b w:val="0"/>
          <w:i w:val="0"/>
        </w:rPr>
        <w:t xml:space="preserve">, </w:t>
      </w:r>
      <w:hyperlink w:anchor="passage-iii-1-26">
        <w:r>
          <w:rPr>
            <w:color w:val="000000"/>
          </w:rPr>
          <w:t xml:space="preserve">III.1.26</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886" w:name="latin-record-0635"/>
      <w:bookmarkEnd w:id="886"/>
      <w:r>
        <w:rPr>
          <w:b/>
          <w:i w:val="0"/>
        </w:rPr>
        <w:t>lego / diligentia</w:t>
      </w:r>
      <w:r>
        <w:rPr>
          <w:b/>
          <w:i w:val="0"/>
        </w:rPr>
        <w:t>.</w:t>
      </w:r>
      <w:r>
        <w:rPr>
          <w:b w:val="0"/>
          <w:i w:val="0"/>
        </w:rPr>
        <w:t xml:space="preserve"> Printed forms: </w:t>
      </w:r>
      <w:r>
        <w:rPr>
          <w:b w:val="0"/>
          <w:i/>
        </w:rPr>
        <w:t>diligenter</w:t>
      </w:r>
      <w:r>
        <w:rPr>
          <w:b w:val="0"/>
          <w:i w:val="0"/>
        </w:rPr>
        <w:t xml:space="preserve">; </w:t>
      </w:r>
      <w:r>
        <w:rPr>
          <w:b w:val="0"/>
          <w:i/>
        </w:rPr>
        <w:t>diligentissime</w:t>
      </w:r>
      <w:r>
        <w:rPr>
          <w:b w:val="0"/>
          <w:i w:val="0"/>
        </w:rPr>
        <w:t xml:space="preserve">; </w:t>
      </w:r>
      <w:r>
        <w:rPr>
          <w:b w:val="0"/>
          <w:i/>
        </w:rPr>
        <w:t>legerit</w:t>
      </w:r>
      <w:r>
        <w:rPr>
          <w:b w:val="0"/>
          <w:i w:val="0"/>
        </w:rPr>
        <w:t>.</w:t>
      </w:r>
    </w:p>
    <w:p>
      <w:pPr>
        <w:widowControl/>
      </w:pPr>
      <w:r>
        <w:rPr>
          <w:b w:val="0"/>
          <w:i w:val="0"/>
        </w:rPr>
        <w:t xml:space="preserve">To read, with the greatest care or attentively. The promised benefits of reading Plato are conditional on careful reading, while inquiry traces God diligently; the adverbs describe attentive engagement, not a new faculty. References: </w:t>
      </w:r>
      <w:hyperlink w:anchor="passage-proem-4">
        <w:r>
          <w:rPr>
            <w:color w:val="000000"/>
          </w:rPr>
          <w:t xml:space="preserve">Proem.4</w:t>
        </w:r>
      </w:hyperlink>
      <w:r>
        <w:rPr>
          <w:b w:val="0"/>
          <w:i w:val="0"/>
        </w:rPr>
        <w:t xml:space="preserve">, </w:t>
      </w:r>
      <w:hyperlink w:anchor="passage-proem-5">
        <w:r>
          <w:rPr>
            <w:color w:val="000000"/>
          </w:rPr>
          <w:t xml:space="preserve">Proem.5</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887" w:name="latin-record-0636"/>
      <w:bookmarkEnd w:id="887"/>
      <w:r>
        <w:rPr>
          <w:b/>
          <w:i w:val="0"/>
        </w:rPr>
        <w:t>Letheus / mergo</w:t>
      </w:r>
      <w:r>
        <w:rPr>
          <w:b/>
          <w:i w:val="0"/>
        </w:rPr>
        <w:t>.</w:t>
      </w:r>
      <w:r>
        <w:rPr>
          <w:b w:val="0"/>
          <w:i w:val="0"/>
        </w:rPr>
        <w:t xml:space="preserve"> Printed forms: </w:t>
      </w:r>
      <w:r>
        <w:rPr>
          <w:b w:val="0"/>
          <w:i/>
        </w:rPr>
        <w:t>Letheo flumine</w:t>
      </w:r>
      <w:r>
        <w:rPr>
          <w:b w:val="0"/>
          <w:i w:val="0"/>
        </w:rPr>
        <w:t xml:space="preserve">; </w:t>
      </w:r>
      <w:r>
        <w:rPr>
          <w:b w:val="0"/>
          <w:i/>
        </w:rPr>
        <w:t>mergitur</w:t>
      </w:r>
      <w:r>
        <w:rPr>
          <w:b w:val="0"/>
          <w:i w:val="0"/>
        </w:rPr>
        <w:t>.</w:t>
      </w:r>
    </w:p>
    <w:p>
      <w:pPr>
        <w:widowControl/>
      </w:pPr>
      <w:r>
        <w:rPr>
          <w:b w:val="0"/>
          <w:i w:val="0"/>
        </w:rPr>
        <w:t xml:space="preserve">The Lethean river and being plunged into it. Quality’s scattering through matter is compared, with quasi, to immersion in Lethe; the simile marks impaired power rather than a physical cosmological river. References: </w:t>
      </w:r>
      <w:hyperlink w:anchor="passage-i-3-21">
        <w:r>
          <w:rPr>
            <w:color w:val="000000"/>
          </w:rPr>
          <w:t xml:space="preserve">I.3.21</w:t>
        </w:r>
      </w:hyperlink>
      <w:r>
        <w:rPr>
          <w:b w:val="0"/>
          <w:i w:val="0"/>
        </w:rPr>
        <w:t xml:space="preserve">. See </w:t>
      </w:r>
      <w:hyperlink w:anchor="infection-lameness-and-lethe">
        <w:r>
          <w:rPr>
            <w:color w:val="000000"/>
          </w:rPr>
          <w:t xml:space="preserve">Infection, lameness and Lethe</w:t>
        </w:r>
      </w:hyperlink>
      <w:r>
        <w:rPr>
          <w:b w:val="0"/>
          <w:i w:val="0"/>
        </w:rPr>
        <w:t>.</w:t>
      </w:r>
    </w:p>
    <w:p>
      <w:pPr>
        <w:keepNext/>
        <w:widowControl/>
      </w:pPr>
      <w:bookmarkStart w:id="888" w:name="latin-record-0637"/>
      <w:bookmarkEnd w:id="888"/>
      <w:r>
        <w:rPr>
          <w:b/>
          <w:i w:val="0"/>
        </w:rPr>
        <w:t>levitas / gravitas</w:t>
      </w:r>
      <w:r>
        <w:rPr>
          <w:b/>
          <w:i w:val="0"/>
        </w:rPr>
        <w:t>.</w:t>
      </w:r>
      <w:r>
        <w:rPr>
          <w:b w:val="0"/>
          <w:i w:val="0"/>
        </w:rPr>
        <w:t xml:space="preserve"> Printed forms: </w:t>
      </w:r>
      <w:r>
        <w:rPr>
          <w:b w:val="0"/>
          <w:i/>
        </w:rPr>
        <w:t>gravitatis</w:t>
      </w:r>
      <w:r>
        <w:rPr>
          <w:b w:val="0"/>
          <w:i w:val="0"/>
        </w:rPr>
        <w:t xml:space="preserve">; </w:t>
      </w:r>
      <w:r>
        <w:rPr>
          <w:b w:val="0"/>
          <w:i/>
        </w:rPr>
        <w:t>levitatis</w:t>
      </w:r>
      <w:r>
        <w:rPr>
          <w:b w:val="0"/>
          <w:i w:val="0"/>
        </w:rPr>
        <w:t>.</w:t>
      </w:r>
    </w:p>
    <w:p>
      <w:pPr>
        <w:widowControl/>
      </w:pPr>
      <w:r>
        <w:rPr>
          <w:b w:val="0"/>
          <w:i w:val="0"/>
        </w:rPr>
        <w:t xml:space="preserve">Lightness and heaviness as directed tendencies. The spark rises and wood falls in the examples; these are Ficino’s inherited physical explanations, not modern definitions of mass or gravity. References: </w:t>
      </w:r>
      <w:hyperlink w:anchor="passage-i-2-2">
        <w:r>
          <w:rPr>
            <w:color w:val="000000"/>
          </w:rPr>
          <w:t xml:space="preserve">I.2.2</w:t>
        </w:r>
      </w:hyperlink>
      <w:r>
        <w:rPr>
          <w:b w:val="0"/>
          <w:i w:val="0"/>
        </w:rPr>
        <w:t xml:space="preserve">. See </w:t>
      </w:r>
      <w:hyperlink w:anchor="natural-motion-and-natural-place">
        <w:r>
          <w:rPr>
            <w:color w:val="000000"/>
          </w:rPr>
          <w:t xml:space="preserve">Natural motion and natural place</w:t>
        </w:r>
      </w:hyperlink>
      <w:r>
        <w:rPr>
          <w:b w:val="0"/>
          <w:i w:val="0"/>
        </w:rPr>
        <w:t>.</w:t>
      </w:r>
    </w:p>
    <w:p>
      <w:pPr>
        <w:keepNext/>
        <w:widowControl/>
      </w:pPr>
      <w:bookmarkStart w:id="889" w:name="latin-record-0638"/>
      <w:bookmarkEnd w:id="889"/>
      <w:r>
        <w:rPr>
          <w:b/>
          <w:i w:val="0"/>
        </w:rPr>
        <w:t>lex</w:t>
      </w:r>
      <w:r>
        <w:rPr>
          <w:b/>
          <w:i w:val="0"/>
        </w:rPr>
        <w:t>.</w:t>
      </w:r>
      <w:r>
        <w:rPr>
          <w:b w:val="0"/>
          <w:i w:val="0"/>
        </w:rPr>
        <w:t xml:space="preserve"> Printed forms: </w:t>
      </w:r>
      <w:r>
        <w:rPr>
          <w:b w:val="0"/>
          <w:i/>
        </w:rPr>
        <w:t>lege</w:t>
      </w:r>
      <w:r>
        <w:rPr>
          <w:b w:val="0"/>
          <w:i w:val="0"/>
        </w:rPr>
        <w:t xml:space="preserve">; </w:t>
      </w:r>
      <w:r>
        <w:rPr>
          <w:b w:val="0"/>
          <w:i/>
        </w:rPr>
        <w:t>lex</w:t>
      </w:r>
      <w:r>
        <w:rPr>
          <w:b w:val="0"/>
          <w:i w:val="0"/>
        </w:rPr>
        <w:t>.</w:t>
      </w:r>
    </w:p>
    <w:p>
      <w:pPr>
        <w:widowControl/>
      </w:pPr>
      <w:r>
        <w:rPr>
          <w:b w:val="0"/>
          <w:i w:val="0"/>
        </w:rPr>
        <w:t xml:space="preserve">A law or ordering rule. The immutable superior directs regular motion; the law of fate is located more specifically in the succession of productive seeds. References: </w:t>
      </w:r>
      <w:hyperlink w:anchor="passage-iv-1-28">
        <w:r>
          <w:rPr>
            <w:color w:val="000000"/>
          </w:rPr>
          <w:t xml:space="preserve">IV.1.28</w:t>
        </w:r>
      </w:hyperlink>
      <w:r>
        <w:rPr>
          <w:b w:val="0"/>
          <w:i w:val="0"/>
        </w:rPr>
        <w:t xml:space="preserve">, </w:t>
      </w:r>
      <w:hyperlink w:anchor="passage-iv-2-16">
        <w:r>
          <w:rPr>
            <w:color w:val="000000"/>
          </w:rPr>
          <w:t xml:space="preserve">IV.2.16</w:t>
        </w:r>
      </w:hyperlink>
      <w:r>
        <w:rPr>
          <w:b w:val="0"/>
          <w:i w:val="0"/>
        </w:rPr>
        <w:t xml:space="preserve">. See </w:t>
      </w:r>
      <w:hyperlink w:anchor="fate">
        <w:r>
          <w:rPr>
            <w:color w:val="000000"/>
          </w:rPr>
          <w:t xml:space="preserve">Fate</w:t>
        </w:r>
      </w:hyperlink>
      <w:r>
        <w:rPr>
          <w:b w:val="0"/>
          <w:i w:val="0"/>
        </w:rPr>
        <w:t>.</w:t>
      </w:r>
    </w:p>
    <w:p>
      <w:pPr>
        <w:keepNext/>
        <w:widowControl/>
      </w:pPr>
      <w:bookmarkStart w:id="890" w:name="latin-record-0639"/>
      <w:bookmarkEnd w:id="890"/>
      <w:r>
        <w:rPr>
          <w:b/>
          <w:i w:val="0"/>
        </w:rPr>
        <w:t>lex divina</w:t>
      </w:r>
      <w:r>
        <w:rPr>
          <w:b/>
          <w:i w:val="0"/>
        </w:rPr>
        <w:t>.</w:t>
      </w:r>
      <w:r>
        <w:rPr>
          <w:b w:val="0"/>
          <w:i w:val="0"/>
        </w:rPr>
        <w:t xml:space="preserve"> Printed forms: </w:t>
      </w:r>
      <w:r>
        <w:rPr>
          <w:b w:val="0"/>
          <w:i/>
        </w:rPr>
        <w:t>divina lex</w:t>
      </w:r>
      <w:r>
        <w:rPr>
          <w:b w:val="0"/>
          <w:i w:val="0"/>
        </w:rPr>
        <w:t xml:space="preserve">; </w:t>
      </w:r>
      <w:r>
        <w:rPr>
          <w:b w:val="0"/>
          <w:i/>
        </w:rPr>
        <w:t>divinae legis</w:t>
      </w:r>
      <w:r>
        <w:rPr>
          <w:b w:val="0"/>
          <w:i w:val="0"/>
        </w:rPr>
        <w:t>.</w:t>
      </w:r>
    </w:p>
    <w:p>
      <w:pPr>
        <w:widowControl/>
      </w:pPr>
      <w:r>
        <w:rPr>
          <w:b w:val="0"/>
          <w:i w:val="0"/>
        </w:rPr>
        <w:t xml:space="preserve">Divine law as an authority and standard of approval. Ficino distinguishes resistance to its authority from assent through supporting philosophical reasons, then subjects his own approval to it. References: </w:t>
      </w:r>
      <w:hyperlink w:anchor="passage-proem-8">
        <w:r>
          <w:rPr>
            <w:color w:val="000000"/>
          </w:rPr>
          <w:t xml:space="preserve">Proem.8</w:t>
        </w:r>
      </w:hyperlink>
      <w:r>
        <w:rPr>
          <w:b w:val="0"/>
          <w:i w:val="0"/>
        </w:rPr>
        <w:t xml:space="preserve">, </w:t>
      </w:r>
      <w:hyperlink w:anchor="passage-proem-10">
        <w:r>
          <w:rPr>
            <w:color w:val="000000"/>
          </w:rPr>
          <w:t xml:space="preserve">Proem.10</w:t>
        </w:r>
      </w:hyperlink>
      <w:r>
        <w:rPr>
          <w:b w:val="0"/>
          <w:i w:val="0"/>
        </w:rPr>
        <w:t xml:space="preserve">. See </w:t>
      </w:r>
      <w:hyperlink w:anchor="assent-approval-and-belief">
        <w:r>
          <w:rPr>
            <w:color w:val="000000"/>
          </w:rPr>
          <w:t xml:space="preserve">Assent, approval and belief</w:t>
        </w:r>
      </w:hyperlink>
      <w:r>
        <w:rPr>
          <w:b w:val="0"/>
          <w:i w:val="0"/>
        </w:rPr>
        <w:t>.</w:t>
      </w:r>
    </w:p>
    <w:p>
      <w:pPr>
        <w:keepNext/>
        <w:widowControl/>
      </w:pPr>
      <w:bookmarkStart w:id="891" w:name="latin-record-0640"/>
      <w:bookmarkEnd w:id="891"/>
      <w:r>
        <w:rPr>
          <w:b/>
          <w:i w:val="0"/>
        </w:rPr>
        <w:t>liber / liberior</w:t>
      </w:r>
      <w:r>
        <w:rPr>
          <w:b/>
          <w:i w:val="0"/>
        </w:rPr>
        <w:t>.</w:t>
      </w:r>
      <w:r>
        <w:rPr>
          <w:b w:val="0"/>
          <w:i w:val="0"/>
        </w:rPr>
        <w:t xml:space="preserve"> Printed forms: </w:t>
      </w:r>
      <w:r>
        <w:rPr>
          <w:b w:val="0"/>
          <w:i/>
        </w:rPr>
        <w:t>libera</w:t>
      </w:r>
      <w:r>
        <w:rPr>
          <w:b w:val="0"/>
          <w:i w:val="0"/>
        </w:rPr>
        <w:t xml:space="preserve">; </w:t>
      </w:r>
      <w:r>
        <w:rPr>
          <w:b w:val="0"/>
          <w:i/>
        </w:rPr>
        <w:t>liberam</w:t>
      </w:r>
      <w:r>
        <w:rPr>
          <w:b w:val="0"/>
          <w:i w:val="0"/>
        </w:rPr>
        <w:t xml:space="preserve">; </w:t>
      </w:r>
      <w:r>
        <w:rPr>
          <w:b w:val="0"/>
          <w:i/>
        </w:rPr>
        <w:t>liberiorem</w:t>
      </w:r>
      <w:r>
        <w:rPr>
          <w:b w:val="0"/>
          <w:i w:val="0"/>
        </w:rPr>
        <w:t>.</w:t>
      </w:r>
    </w:p>
    <w:p>
      <w:pPr>
        <w:widowControl/>
      </w:pPr>
      <w:r>
        <w:rPr>
          <w:b w:val="0"/>
          <w:i w:val="0"/>
        </w:rPr>
        <w:t xml:space="preserve">Free or less constrained, with the freedom specified by context. Substantial form is free from remission, qualities cannot produce freer offspring than themselves, and pure mind is free from force and ignorance; these are different constraints. References: </w:t>
      </w:r>
      <w:hyperlink w:anchor="passage-i-3-15">
        <w:r>
          <w:rPr>
            <w:color w:val="000000"/>
          </w:rPr>
          <w:t xml:space="preserve">I.3.15</w:t>
        </w:r>
      </w:hyperlink>
      <w:r>
        <w:rPr>
          <w:b w:val="0"/>
          <w:i w:val="0"/>
        </w:rPr>
        <w:t xml:space="preserve">, </w:t>
      </w:r>
      <w:hyperlink w:anchor="passage-i-3-18">
        <w:r>
          <w:rPr>
            <w:color w:val="000000"/>
          </w:rPr>
          <w:t xml:space="preserve">I.3.18</w:t>
        </w:r>
      </w:hyperlink>
      <w:r>
        <w:rPr>
          <w:b w:val="0"/>
          <w:i w:val="0"/>
        </w:rPr>
        <w:t xml:space="preserve">, </w:t>
      </w:r>
      <w:hyperlink w:anchor="passage-i-6-17">
        <w:r>
          <w:rPr>
            <w:color w:val="000000"/>
          </w:rPr>
          <w:t xml:space="preserve">I.6.17</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892" w:name="latin-record-0641"/>
      <w:bookmarkEnd w:id="892"/>
      <w:r>
        <w:rPr>
          <w:b/>
          <w:i w:val="0"/>
        </w:rPr>
        <w:t>liber / libertas</w:t>
      </w:r>
      <w:r>
        <w:rPr>
          <w:b/>
          <w:i w:val="0"/>
        </w:rPr>
        <w:t>.</w:t>
      </w:r>
      <w:r>
        <w:rPr>
          <w:b w:val="0"/>
          <w:i w:val="0"/>
        </w:rPr>
        <w:t xml:space="preserve"> Printed forms: </w:t>
      </w:r>
      <w:r>
        <w:rPr>
          <w:b w:val="0"/>
          <w:i/>
        </w:rPr>
        <w:t>Liber</w:t>
      </w:r>
      <w:r>
        <w:rPr>
          <w:b w:val="0"/>
          <w:i w:val="0"/>
        </w:rPr>
        <w:t xml:space="preserve">; </w:t>
      </w:r>
      <w:r>
        <w:rPr>
          <w:b w:val="0"/>
          <w:i/>
        </w:rPr>
        <w:t>Libertas</w:t>
      </w:r>
      <w:r>
        <w:rPr>
          <w:b w:val="0"/>
          <w:i w:val="0"/>
        </w:rPr>
        <w:t xml:space="preserve">; </w:t>
      </w:r>
      <w:r>
        <w:rPr>
          <w:b w:val="0"/>
          <w:i/>
        </w:rPr>
        <w:t>libertas</w:t>
      </w:r>
      <w:r>
        <w:rPr>
          <w:b w:val="0"/>
          <w:i w:val="0"/>
        </w:rPr>
        <w:t>.</w:t>
      </w:r>
    </w:p>
    <w:p>
      <w:pPr>
        <w:widowControl/>
      </w:pPr>
      <w:r>
        <w:rPr>
          <w:b w:val="0"/>
          <w:i w:val="0"/>
        </w:rPr>
        <w:t xml:space="preserve">Free / freedom. Freedom is linked with living as one wills; God’s necessary willing of good is distinguished from external constraint. References: </w:t>
      </w:r>
      <w:hyperlink w:anchor="passage-ii-12-3">
        <w:r>
          <w:rPr>
            <w:color w:val="000000"/>
          </w:rPr>
          <w:t xml:space="preserve">II.12.3</w:t>
        </w:r>
      </w:hyperlink>
      <w:r>
        <w:rPr>
          <w:b w:val="0"/>
          <w:i w:val="0"/>
        </w:rPr>
        <w:t xml:space="preserve">, </w:t>
      </w:r>
      <w:hyperlink w:anchor="passage-ii-12-4">
        <w:r>
          <w:rPr>
            <w:color w:val="000000"/>
          </w:rPr>
          <w:t xml:space="preserve">II.12.4</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893" w:name="latin-record-0642"/>
      <w:bookmarkEnd w:id="893"/>
      <w:r>
        <w:rPr>
          <w:b/>
          <w:i w:val="0"/>
        </w:rPr>
        <w:t>libera voluntate disponere</w:t>
      </w:r>
      <w:r>
        <w:rPr>
          <w:b/>
          <w:i w:val="0"/>
        </w:rPr>
        <w:t>.</w:t>
      </w:r>
      <w:r>
        <w:rPr>
          <w:b w:val="0"/>
          <w:i w:val="0"/>
        </w:rPr>
        <w:t xml:space="preserve"> Printed forms: </w:t>
      </w:r>
      <w:r>
        <w:rPr>
          <w:b w:val="0"/>
          <w:i/>
        </w:rPr>
        <w:t>libera voluntate disponens</w:t>
      </w:r>
      <w:r>
        <w:rPr>
          <w:b w:val="0"/>
          <w:i w:val="0"/>
        </w:rPr>
        <w:t>.</w:t>
      </w:r>
    </w:p>
    <w:p>
      <w:pPr>
        <w:widowControl/>
      </w:pPr>
      <w:r>
        <w:rPr>
          <w:b w:val="0"/>
          <w:i w:val="0"/>
        </w:rPr>
        <w:t xml:space="preserve">Dispose or arrange by free will. Mastery of production includes the choice of effects, rather than necessary simultaneous production of all intelligible possibilities. References: </w:t>
      </w:r>
      <w:hyperlink w:anchor="passage-ii-11-38">
        <w:r>
          <w:rPr>
            <w:color w:val="000000"/>
          </w:rPr>
          <w:t xml:space="preserve">II.11.38</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894" w:name="latin-record-0643"/>
      <w:bookmarkEnd w:id="894"/>
      <w:r>
        <w:rPr>
          <w:b/>
          <w:i w:val="0"/>
        </w:rPr>
        <w:t>lignum / acutus / latus</w:t>
      </w:r>
      <w:r>
        <w:rPr>
          <w:b/>
          <w:i w:val="0"/>
        </w:rPr>
        <w:t>.</w:t>
      </w:r>
      <w:r>
        <w:rPr>
          <w:b w:val="0"/>
          <w:i w:val="0"/>
        </w:rPr>
        <w:t xml:space="preserve"> Printed forms: </w:t>
      </w:r>
      <w:r>
        <w:rPr>
          <w:b w:val="0"/>
          <w:i/>
        </w:rPr>
        <w:t>acutum</w:t>
      </w:r>
      <w:r>
        <w:rPr>
          <w:b w:val="0"/>
          <w:i w:val="0"/>
        </w:rPr>
        <w:t xml:space="preserve">; </w:t>
      </w:r>
      <w:r>
        <w:rPr>
          <w:b w:val="0"/>
          <w:i/>
        </w:rPr>
        <w:t>latum</w:t>
      </w:r>
      <w:r>
        <w:rPr>
          <w:b w:val="0"/>
          <w:i w:val="0"/>
        </w:rPr>
        <w:t xml:space="preserve">; </w:t>
      </w:r>
      <w:r>
        <w:rPr>
          <w:b w:val="0"/>
          <w:i/>
        </w:rPr>
        <w:t>lignum</w:t>
      </w:r>
      <w:r>
        <w:rPr>
          <w:b w:val="0"/>
          <w:i w:val="0"/>
        </w:rPr>
        <w:t>.</w:t>
      </w:r>
    </w:p>
    <w:p>
      <w:pPr>
        <w:widowControl/>
      </w:pPr>
      <w:r>
        <w:rPr>
          <w:b w:val="0"/>
          <w:i w:val="0"/>
        </w:rPr>
        <w:t xml:space="preserve">Wood, pointed, and broad. A pointed piece of wood is said to fall faster than a broad one; the example isolates shape within Ficino’s case about resistance and motion. References: </w:t>
      </w:r>
      <w:hyperlink w:anchor="passage-i-2-2">
        <w:r>
          <w:rPr>
            <w:color w:val="000000"/>
          </w:rPr>
          <w:t xml:space="preserve">I.2.2</w:t>
        </w:r>
      </w:hyperlink>
      <w:r>
        <w:rPr>
          <w:b w:val="0"/>
          <w:i w:val="0"/>
        </w:rPr>
        <w:t xml:space="preserve">. See </w:t>
      </w:r>
      <w:hyperlink w:anchor="body-and-bulk">
        <w:r>
          <w:rPr>
            <w:color w:val="000000"/>
          </w:rPr>
          <w:t xml:space="preserve">Body and bulk</w:t>
        </w:r>
      </w:hyperlink>
      <w:r>
        <w:rPr>
          <w:b w:val="0"/>
          <w:i w:val="0"/>
        </w:rPr>
        <w:t>.</w:t>
      </w:r>
    </w:p>
    <w:p>
      <w:pPr>
        <w:keepNext/>
        <w:widowControl/>
      </w:pPr>
      <w:bookmarkStart w:id="895" w:name="latin-record-0644"/>
      <w:bookmarkEnd w:id="895"/>
      <w:r>
        <w:rPr>
          <w:b/>
          <w:i w:val="0"/>
        </w:rPr>
        <w:t>linea / longum / latum / profundum</w:t>
      </w:r>
      <w:r>
        <w:rPr>
          <w:b/>
          <w:i w:val="0"/>
        </w:rPr>
        <w:t>.</w:t>
      </w:r>
      <w:r>
        <w:rPr>
          <w:b w:val="0"/>
          <w:i w:val="0"/>
        </w:rPr>
        <w:t xml:space="preserve"> Printed forms: </w:t>
      </w:r>
      <w:r>
        <w:rPr>
          <w:b w:val="0"/>
          <w:i/>
        </w:rPr>
        <w:t>latum</w:t>
      </w:r>
      <w:r>
        <w:rPr>
          <w:b w:val="0"/>
          <w:i w:val="0"/>
        </w:rPr>
        <w:t xml:space="preserve">; </w:t>
      </w:r>
      <w:r>
        <w:rPr>
          <w:b w:val="0"/>
          <w:i/>
        </w:rPr>
        <w:t>linea</w:t>
      </w:r>
      <w:r>
        <w:rPr>
          <w:b w:val="0"/>
          <w:i w:val="0"/>
        </w:rPr>
        <w:t xml:space="preserve">; </w:t>
      </w:r>
      <w:r>
        <w:rPr>
          <w:b w:val="0"/>
          <w:i/>
        </w:rPr>
        <w:t>lineae</w:t>
      </w:r>
      <w:r>
        <w:rPr>
          <w:b w:val="0"/>
          <w:i w:val="0"/>
        </w:rPr>
        <w:t xml:space="preserve">; </w:t>
      </w:r>
      <w:r>
        <w:rPr>
          <w:b w:val="0"/>
          <w:i/>
        </w:rPr>
        <w:t>linearum</w:t>
      </w:r>
      <w:r>
        <w:rPr>
          <w:b w:val="0"/>
          <w:i w:val="0"/>
        </w:rPr>
        <w:t xml:space="preserve">; </w:t>
      </w:r>
      <w:r>
        <w:rPr>
          <w:b w:val="0"/>
          <w:i/>
        </w:rPr>
        <w:t>longum</w:t>
      </w:r>
      <w:r>
        <w:rPr>
          <w:b w:val="0"/>
          <w:i w:val="0"/>
        </w:rPr>
        <w:t xml:space="preserve">; </w:t>
      </w:r>
      <w:r>
        <w:rPr>
          <w:b w:val="0"/>
          <w:i/>
        </w:rPr>
        <w:t>profundum</w:t>
      </w:r>
      <w:r>
        <w:rPr>
          <w:b w:val="0"/>
          <w:i w:val="0"/>
        </w:rPr>
        <w:t>.</w:t>
      </w:r>
    </w:p>
    <w:p>
      <w:pPr>
        <w:widowControl/>
      </w:pPr>
      <w:r>
        <w:rPr>
          <w:b w:val="0"/>
          <w:i w:val="0"/>
        </w:rPr>
        <w:t xml:space="preserve">Line and the three dimensions, or rays from a center in an analogy. Spatial lines can misrepresent divinity, while a center and lines can clarify dependence if kept analogical. References: </w:t>
      </w:r>
      <w:hyperlink w:anchor="passage-ii-6-13">
        <w:r>
          <w:rPr>
            <w:color w:val="000000"/>
          </w:rPr>
          <w:t xml:space="preserve">II.6.13</w:t>
        </w:r>
      </w:hyperlink>
      <w:r>
        <w:rPr>
          <w:b w:val="0"/>
          <w:i w:val="0"/>
        </w:rPr>
        <w:t xml:space="preserve">, </w:t>
      </w:r>
      <w:hyperlink w:anchor="passage-ii-6-17">
        <w:r>
          <w:rPr>
            <w:color w:val="000000"/>
          </w:rPr>
          <w:t xml:space="preserve">II.6.17</w:t>
        </w:r>
      </w:hyperlink>
      <w:r>
        <w:rPr>
          <w:b w:val="0"/>
          <w:i w:val="0"/>
        </w:rPr>
        <w:t xml:space="preserve">, </w:t>
      </w:r>
      <w:hyperlink w:anchor="passage-ii-8-5">
        <w:r>
          <w:rPr>
            <w:color w:val="000000"/>
          </w:rPr>
          <w:t xml:space="preserve">II.8.5</w:t>
        </w:r>
      </w:hyperlink>
      <w:r>
        <w:rPr>
          <w:b w:val="0"/>
          <w:i w:val="0"/>
        </w:rPr>
        <w:t xml:space="preserve">. See </w:t>
      </w:r>
      <w:hyperlink w:anchor="quantity-and-dimension">
        <w:r>
          <w:rPr>
            <w:color w:val="000000"/>
          </w:rPr>
          <w:t xml:space="preserve">Quantity and dimension</w:t>
        </w:r>
      </w:hyperlink>
      <w:r>
        <w:rPr>
          <w:b w:val="0"/>
          <w:i w:val="0"/>
        </w:rPr>
        <w:t>.</w:t>
      </w:r>
    </w:p>
    <w:p>
      <w:pPr>
        <w:keepNext/>
        <w:widowControl/>
      </w:pPr>
      <w:bookmarkStart w:id="896" w:name="latin-record-0645"/>
      <w:bookmarkEnd w:id="896"/>
      <w:r>
        <w:rPr>
          <w:b/>
          <w:i w:val="0"/>
        </w:rPr>
        <w:t>locare / regio / localis</w:t>
      </w:r>
      <w:r>
        <w:rPr>
          <w:b/>
          <w:i w:val="0"/>
        </w:rPr>
        <w:t>.</w:t>
      </w:r>
      <w:r>
        <w:rPr>
          <w:b w:val="0"/>
          <w:i w:val="0"/>
        </w:rPr>
        <w:t xml:space="preserve"> Printed forms: </w:t>
      </w:r>
      <w:r>
        <w:rPr>
          <w:b w:val="0"/>
          <w:i/>
        </w:rPr>
        <w:t>localem</w:t>
      </w:r>
      <w:r>
        <w:rPr>
          <w:b w:val="0"/>
          <w:i w:val="0"/>
        </w:rPr>
        <w:t xml:space="preserve">; </w:t>
      </w:r>
      <w:r>
        <w:rPr>
          <w:b w:val="0"/>
          <w:i/>
        </w:rPr>
        <w:t>Localis</w:t>
      </w:r>
      <w:r>
        <w:rPr>
          <w:b w:val="0"/>
          <w:i w:val="0"/>
        </w:rPr>
        <w:t xml:space="preserve">; </w:t>
      </w:r>
      <w:r>
        <w:rPr>
          <w:b w:val="0"/>
          <w:i/>
        </w:rPr>
        <w:t>locatur</w:t>
      </w:r>
      <w:r>
        <w:rPr>
          <w:b w:val="0"/>
          <w:i w:val="0"/>
        </w:rPr>
        <w:t xml:space="preserve">; </w:t>
      </w:r>
      <w:r>
        <w:rPr>
          <w:b w:val="0"/>
          <w:i/>
        </w:rPr>
        <w:t>regionem</w:t>
      </w:r>
      <w:r>
        <w:rPr>
          <w:b w:val="0"/>
          <w:i w:val="0"/>
        </w:rPr>
        <w:t>.</w:t>
      </w:r>
    </w:p>
    <w:p>
      <w:pPr>
        <w:widowControl/>
      </w:pPr>
      <w:r>
        <w:rPr>
          <w:b w:val="0"/>
          <w:i w:val="0"/>
        </w:rPr>
        <w:t xml:space="preserve">To place; region; local or spatial. A higher supposed source is placed above truth in rank, while particular regions localize manifest operations in the mind theory. References: </w:t>
      </w:r>
      <w:hyperlink w:anchor="passage-ii-1-3">
        <w:r>
          <w:rPr>
            <w:color w:val="000000"/>
          </w:rPr>
          <w:t xml:space="preserve">II.1.3</w:t>
        </w:r>
      </w:hyperlink>
      <w:r>
        <w:rPr>
          <w:b w:val="0"/>
          <w:i w:val="0"/>
        </w:rPr>
        <w:t xml:space="preserve">, </w:t>
      </w:r>
      <w:hyperlink w:anchor="passage-ii-6-19">
        <w:r>
          <w:rPr>
            <w:color w:val="000000"/>
          </w:rPr>
          <w:t xml:space="preserve">II.6.19</w:t>
        </w:r>
      </w:hyperlink>
      <w:r>
        <w:rPr>
          <w:b w:val="0"/>
          <w:i w:val="0"/>
        </w:rPr>
        <w:t xml:space="preserve">, </w:t>
      </w:r>
      <w:hyperlink w:anchor="passage-ii-6-24">
        <w:r>
          <w:rPr>
            <w:color w:val="000000"/>
          </w:rPr>
          <w:t xml:space="preserve">II.6.24</w:t>
        </w:r>
      </w:hyperlink>
      <w:r>
        <w:rPr>
          <w:b w:val="0"/>
          <w:i w:val="0"/>
        </w:rPr>
        <w:t xml:space="preserve">. See </w:t>
      </w:r>
      <w:hyperlink w:anchor="omnipresence-and-place">
        <w:r>
          <w:rPr>
            <w:color w:val="000000"/>
          </w:rPr>
          <w:t xml:space="preserve">Omnipresence and place</w:t>
        </w:r>
      </w:hyperlink>
      <w:r>
        <w:rPr>
          <w:b w:val="0"/>
          <w:i w:val="0"/>
        </w:rPr>
        <w:t>.</w:t>
      </w:r>
    </w:p>
    <w:p>
      <w:pPr>
        <w:keepNext/>
        <w:widowControl/>
      </w:pPr>
      <w:bookmarkStart w:id="897" w:name="latin-record-0646"/>
      <w:bookmarkEnd w:id="897"/>
      <w:r>
        <w:rPr>
          <w:b/>
          <w:i w:val="0"/>
        </w:rPr>
        <w:t>locus / situs / spatium</w:t>
      </w:r>
      <w:r>
        <w:rPr>
          <w:b/>
          <w:i w:val="0"/>
        </w:rPr>
        <w:t>.</w:t>
      </w:r>
      <w:r>
        <w:rPr>
          <w:b w:val="0"/>
          <w:i w:val="0"/>
        </w:rPr>
        <w:t xml:space="preserve"> Printed forms: </w:t>
      </w:r>
      <w:r>
        <w:rPr>
          <w:b w:val="0"/>
          <w:i/>
        </w:rPr>
        <w:t>loci</w:t>
      </w:r>
      <w:r>
        <w:rPr>
          <w:b w:val="0"/>
          <w:i w:val="0"/>
        </w:rPr>
        <w:t xml:space="preserve">; </w:t>
      </w:r>
      <w:r>
        <w:rPr>
          <w:b w:val="0"/>
          <w:i/>
        </w:rPr>
        <w:t>situ</w:t>
      </w:r>
      <w:r>
        <w:rPr>
          <w:b w:val="0"/>
          <w:i w:val="0"/>
        </w:rPr>
        <w:t xml:space="preserve">; </w:t>
      </w:r>
      <w:r>
        <w:rPr>
          <w:b w:val="0"/>
          <w:i/>
        </w:rPr>
        <w:t>situs</w:t>
      </w:r>
      <w:r>
        <w:rPr>
          <w:b w:val="0"/>
          <w:i w:val="0"/>
        </w:rPr>
        <w:t xml:space="preserve">; </w:t>
      </w:r>
      <w:r>
        <w:rPr>
          <w:b w:val="0"/>
          <w:i/>
        </w:rPr>
        <w:t>spatii</w:t>
      </w:r>
      <w:r>
        <w:rPr>
          <w:b w:val="0"/>
          <w:i w:val="0"/>
        </w:rPr>
        <w:t xml:space="preserve">; </w:t>
      </w:r>
      <w:r>
        <w:rPr>
          <w:b w:val="0"/>
          <w:i/>
        </w:rPr>
        <w:t>spatium</w:t>
      </w:r>
      <w:r>
        <w:rPr>
          <w:b w:val="0"/>
          <w:i w:val="0"/>
        </w:rPr>
        <w:t>.</w:t>
      </w:r>
    </w:p>
    <w:p>
      <w:pPr>
        <w:widowControl/>
      </w:pPr>
      <w:r>
        <w:rPr>
          <w:b w:val="0"/>
          <w:i w:val="0"/>
        </w:rPr>
        <w:t xml:space="preserve">Place, position, and spatial range, respectively. The world’s finite position attains divine presence only finitely; God is not an occupant bounded by place. References: </w:t>
      </w:r>
      <w:hyperlink w:anchor="passage-ii-6-4">
        <w:r>
          <w:rPr>
            <w:color w:val="000000"/>
          </w:rPr>
          <w:t xml:space="preserve">II.6.4</w:t>
        </w:r>
      </w:hyperlink>
      <w:r>
        <w:rPr>
          <w:b w:val="0"/>
          <w:i w:val="0"/>
        </w:rPr>
        <w:t xml:space="preserve">, </w:t>
      </w:r>
      <w:hyperlink w:anchor="passage-ii-6-14">
        <w:r>
          <w:rPr>
            <w:color w:val="000000"/>
          </w:rPr>
          <w:t xml:space="preserve">II.6.14</w:t>
        </w:r>
      </w:hyperlink>
      <w:r>
        <w:rPr>
          <w:b w:val="0"/>
          <w:i w:val="0"/>
        </w:rPr>
        <w:t xml:space="preserve">, </w:t>
      </w:r>
      <w:hyperlink w:anchor="passage-ii-6-16">
        <w:r>
          <w:rPr>
            <w:color w:val="000000"/>
          </w:rPr>
          <w:t xml:space="preserve">II.6.16</w:t>
        </w:r>
      </w:hyperlink>
      <w:r>
        <w:rPr>
          <w:b w:val="0"/>
          <w:i w:val="0"/>
        </w:rPr>
        <w:t xml:space="preserve">. See </w:t>
      </w:r>
      <w:hyperlink w:anchor="omnipresence-and-place">
        <w:r>
          <w:rPr>
            <w:color w:val="000000"/>
          </w:rPr>
          <w:t xml:space="preserve">Omnipresence and place</w:t>
        </w:r>
      </w:hyperlink>
      <w:r>
        <w:rPr>
          <w:b w:val="0"/>
          <w:i w:val="0"/>
        </w:rPr>
        <w:t>.</w:t>
      </w:r>
    </w:p>
    <w:p>
      <w:pPr>
        <w:keepNext/>
        <w:widowControl/>
      </w:pPr>
      <w:bookmarkStart w:id="898" w:name="latin-record-0647"/>
      <w:bookmarkEnd w:id="898"/>
      <w:r>
        <w:rPr>
          <w:b/>
          <w:i w:val="0"/>
        </w:rPr>
        <w:t>locus / spatium</w:t>
      </w:r>
      <w:r>
        <w:rPr>
          <w:b/>
          <w:i w:val="0"/>
        </w:rPr>
        <w:t>.</w:t>
      </w:r>
      <w:r>
        <w:rPr>
          <w:b w:val="0"/>
          <w:i w:val="0"/>
        </w:rPr>
        <w:t xml:space="preserve"> Printed forms: </w:t>
      </w:r>
      <w:r>
        <w:rPr>
          <w:b w:val="0"/>
          <w:i/>
        </w:rPr>
        <w:t>locum</w:t>
      </w:r>
      <w:r>
        <w:rPr>
          <w:b w:val="0"/>
          <w:i w:val="0"/>
        </w:rPr>
        <w:t xml:space="preserve">; </w:t>
      </w:r>
      <w:r>
        <w:rPr>
          <w:b w:val="0"/>
          <w:i/>
        </w:rPr>
        <w:t>locus</w:t>
      </w:r>
      <w:r>
        <w:rPr>
          <w:b w:val="0"/>
          <w:i w:val="0"/>
        </w:rPr>
        <w:t xml:space="preserve">; </w:t>
      </w:r>
      <w:r>
        <w:rPr>
          <w:b w:val="0"/>
          <w:i/>
        </w:rPr>
        <w:t>spatio</w:t>
      </w:r>
      <w:r>
        <w:rPr>
          <w:b w:val="0"/>
          <w:i w:val="0"/>
        </w:rPr>
        <w:t>.</w:t>
      </w:r>
    </w:p>
    <w:p>
      <w:pPr>
        <w:widowControl/>
      </w:pPr>
      <w:r>
        <w:rPr>
          <w:b w:val="0"/>
          <w:i w:val="0"/>
        </w:rPr>
        <w:t xml:space="preserve">Place and intervening space. Bodies occupy place to the exclusion of another body, and separation between agent and patient delays action; these are distinct roles of spatiality. References: </w:t>
      </w:r>
      <w:hyperlink w:anchor="passage-i-2-2">
        <w:r>
          <w:rPr>
            <w:color w:val="000000"/>
          </w:rPr>
          <w:t xml:space="preserve">I.2.2</w:t>
        </w:r>
      </w:hyperlink>
      <w:r>
        <w:rPr>
          <w:b w:val="0"/>
          <w:i w:val="0"/>
        </w:rPr>
        <w:t xml:space="preserve">, </w:t>
      </w:r>
      <w:hyperlink w:anchor="passage-i-2-4">
        <w:r>
          <w:rPr>
            <w:color w:val="000000"/>
          </w:rPr>
          <w:t xml:space="preserve">I.2.4</w:t>
        </w:r>
      </w:hyperlink>
      <w:r>
        <w:rPr>
          <w:b w:val="0"/>
          <w:i w:val="0"/>
        </w:rPr>
        <w:t xml:space="preserve">. See </w:t>
      </w:r>
      <w:hyperlink w:anchor="omnipresence-and-place">
        <w:r>
          <w:rPr>
            <w:color w:val="000000"/>
          </w:rPr>
          <w:t xml:space="preserve">Omnipresence and place</w:t>
        </w:r>
      </w:hyperlink>
      <w:r>
        <w:rPr>
          <w:b w:val="0"/>
          <w:i w:val="0"/>
        </w:rPr>
        <w:t>.</w:t>
      </w:r>
    </w:p>
    <w:p>
      <w:pPr>
        <w:keepNext/>
        <w:widowControl/>
      </w:pPr>
      <w:bookmarkStart w:id="899" w:name="latin-record-0648"/>
      <w:bookmarkEnd w:id="899"/>
      <w:r>
        <w:rPr>
          <w:b/>
          <w:i w:val="0"/>
        </w:rPr>
        <w:t>longius operatur</w:t>
      </w:r>
      <w:r>
        <w:rPr>
          <w:b/>
          <w:i w:val="0"/>
        </w:rPr>
        <w:t>.</w:t>
      </w:r>
      <w:r>
        <w:rPr>
          <w:b w:val="0"/>
          <w:i w:val="0"/>
        </w:rPr>
        <w:t xml:space="preserve"> Printed forms: </w:t>
      </w:r>
      <w:r>
        <w:rPr>
          <w:b w:val="0"/>
          <w:i/>
        </w:rPr>
        <w:t>longius operatur</w:t>
      </w:r>
      <w:r>
        <w:rPr>
          <w:b w:val="0"/>
          <w:i w:val="0"/>
        </w:rPr>
        <w:t>.</w:t>
      </w:r>
    </w:p>
    <w:p>
      <w:pPr>
        <w:widowControl/>
      </w:pPr>
      <w:r>
        <w:rPr>
          <w:b w:val="0"/>
          <w:i w:val="0"/>
        </w:rPr>
        <w:t xml:space="preserve">Acts farther or over a wider range. The compact maxim links greater causal power with wider scope; it is not a measurement in units of distance. References: </w:t>
      </w:r>
      <w:hyperlink w:anchor="passage-i-6-15">
        <w:r>
          <w:rPr>
            <w:color w:val="000000"/>
          </w:rPr>
          <w:t xml:space="preserve">I.6.15</w:t>
        </w:r>
      </w:hyperlink>
      <w:r>
        <w:rPr>
          <w:b w:val="0"/>
          <w:i w:val="0"/>
        </w:rPr>
        <w:t xml:space="preserve">. See </w:t>
      </w:r>
      <w:hyperlink w:anchor="cause">
        <w:r>
          <w:rPr>
            <w:color w:val="000000"/>
          </w:rPr>
          <w:t xml:space="preserve">Cause</w:t>
        </w:r>
      </w:hyperlink>
      <w:r>
        <w:rPr>
          <w:b w:val="0"/>
          <w:i w:val="0"/>
        </w:rPr>
        <w:t>.</w:t>
      </w:r>
    </w:p>
    <w:p>
      <w:pPr>
        <w:keepNext/>
        <w:widowControl/>
      </w:pPr>
      <w:bookmarkStart w:id="900" w:name="latin-record-0649"/>
      <w:bookmarkEnd w:id="900"/>
      <w:r>
        <w:rPr>
          <w:b/>
          <w:i w:val="0"/>
        </w:rPr>
        <w:t>longum / latum / profundum</w:t>
      </w:r>
      <w:r>
        <w:rPr>
          <w:b/>
          <w:i w:val="0"/>
        </w:rPr>
        <w:t>.</w:t>
      </w:r>
      <w:r>
        <w:rPr>
          <w:b w:val="0"/>
          <w:i w:val="0"/>
        </w:rPr>
        <w:t xml:space="preserve"> Printed forms: </w:t>
      </w:r>
      <w:r>
        <w:rPr>
          <w:b w:val="0"/>
          <w:i/>
        </w:rPr>
        <w:t>latum</w:t>
      </w:r>
      <w:r>
        <w:rPr>
          <w:b w:val="0"/>
          <w:i w:val="0"/>
        </w:rPr>
        <w:t xml:space="preserve">; </w:t>
      </w:r>
      <w:r>
        <w:rPr>
          <w:b w:val="0"/>
          <w:i/>
        </w:rPr>
        <w:t>longum</w:t>
      </w:r>
      <w:r>
        <w:rPr>
          <w:b w:val="0"/>
          <w:i w:val="0"/>
        </w:rPr>
        <w:t xml:space="preserve">; </w:t>
      </w:r>
      <w:r>
        <w:rPr>
          <w:b w:val="0"/>
          <w:i/>
        </w:rPr>
        <w:t>profundum</w:t>
      </w:r>
      <w:r>
        <w:rPr>
          <w:b w:val="0"/>
          <w:i w:val="0"/>
        </w:rPr>
        <w:t>.</w:t>
      </w:r>
    </w:p>
    <w:p>
      <w:pPr>
        <w:widowControl/>
      </w:pPr>
      <w:r>
        <w:rPr>
          <w:b w:val="0"/>
          <w:i w:val="0"/>
        </w:rPr>
        <w:t xml:space="preserve">Length, breadth and depth as dimensions. Three-dimensional extension belongs to body by nature; some qualities of points, numbers or powers are offered as unextended counterexamples. References: </w:t>
      </w:r>
      <w:hyperlink w:anchor="passage-i-2-16">
        <w:r>
          <w:rPr>
            <w:color w:val="000000"/>
          </w:rPr>
          <w:t xml:space="preserve">I.2.16</w:t>
        </w:r>
      </w:hyperlink>
      <w:r>
        <w:rPr>
          <w:b w:val="0"/>
          <w:i w:val="0"/>
        </w:rPr>
        <w:t xml:space="preserve">. See </w:t>
      </w:r>
      <w:hyperlink w:anchor="quantity-and-dimension">
        <w:r>
          <w:rPr>
            <w:color w:val="000000"/>
          </w:rPr>
          <w:t xml:space="preserve">Quantity and dimension</w:t>
        </w:r>
      </w:hyperlink>
      <w:r>
        <w:rPr>
          <w:b w:val="0"/>
          <w:i w:val="0"/>
        </w:rPr>
        <w:t>.</w:t>
      </w:r>
    </w:p>
    <w:p>
      <w:pPr>
        <w:keepNext/>
        <w:widowControl/>
      </w:pPr>
      <w:bookmarkStart w:id="901" w:name="latin-record-0650"/>
      <w:bookmarkEnd w:id="901"/>
      <w:r>
        <w:rPr>
          <w:b/>
          <w:i w:val="0"/>
        </w:rPr>
        <w:t>loqui</w:t>
      </w:r>
      <w:r>
        <w:rPr>
          <w:b/>
          <w:i w:val="0"/>
        </w:rPr>
        <w:t>.</w:t>
      </w:r>
      <w:r>
        <w:rPr>
          <w:b w:val="0"/>
          <w:i w:val="0"/>
        </w:rPr>
        <w:t xml:space="preserve"> Printed forms: </w:t>
      </w:r>
      <w:r>
        <w:rPr>
          <w:b w:val="0"/>
          <w:i/>
        </w:rPr>
        <w:t>loquente</w:t>
      </w:r>
      <w:r>
        <w:rPr>
          <w:b w:val="0"/>
          <w:i w:val="0"/>
        </w:rPr>
        <w:t xml:space="preserve">; </w:t>
      </w:r>
      <w:r>
        <w:rPr>
          <w:b w:val="0"/>
          <w:i/>
        </w:rPr>
        <w:t>loquitur</w:t>
      </w:r>
      <w:r>
        <w:rPr>
          <w:b w:val="0"/>
          <w:i w:val="0"/>
        </w:rPr>
        <w:t>.</w:t>
      </w:r>
    </w:p>
    <w:p>
      <w:pPr>
        <w:widowControl/>
      </w:pPr>
      <w:r>
        <w:rPr>
          <w:b w:val="0"/>
          <w:i w:val="0"/>
        </w:rPr>
        <w:t xml:space="preserve">To speak. The co-presence of speaker and word illustrates the theory’s claim that mind is present wherever God is. References: </w:t>
      </w:r>
      <w:hyperlink w:anchor="passage-ii-6-20">
        <w:r>
          <w:rPr>
            <w:color w:val="000000"/>
          </w:rPr>
          <w:t xml:space="preserve">II.6.20</w:t>
        </w:r>
      </w:hyperlink>
      <w:r>
        <w:rPr>
          <w:b w:val="0"/>
          <w:i w:val="0"/>
        </w:rPr>
        <w:t xml:space="preserve">, </w:t>
      </w:r>
      <w:hyperlink w:anchor="passage-ii-6-21">
        <w:r>
          <w:rPr>
            <w:color w:val="000000"/>
          </w:rPr>
          <w:t xml:space="preserve">II.6.21</w:t>
        </w:r>
      </w:hyperlink>
      <w:r>
        <w:rPr>
          <w:b w:val="0"/>
          <w:i w:val="0"/>
        </w:rPr>
        <w:t xml:space="preserve">. See </w:t>
      </w:r>
      <w:hyperlink w:anchor="word-and-meaning">
        <w:r>
          <w:rPr>
            <w:color w:val="000000"/>
          </w:rPr>
          <w:t xml:space="preserve">Word and meaning</w:t>
        </w:r>
      </w:hyperlink>
      <w:r>
        <w:rPr>
          <w:b w:val="0"/>
          <w:i w:val="0"/>
        </w:rPr>
        <w:t>.</w:t>
      </w:r>
    </w:p>
    <w:p>
      <w:pPr>
        <w:keepNext/>
        <w:widowControl/>
      </w:pPr>
      <w:bookmarkStart w:id="902" w:name="latin-record-0651"/>
      <w:bookmarkEnd w:id="902"/>
      <w:r>
        <w:rPr>
          <w:b/>
          <w:i w:val="0"/>
        </w:rPr>
        <w:t>lucidus / obscurus</w:t>
      </w:r>
      <w:r>
        <w:rPr>
          <w:b/>
          <w:i w:val="0"/>
        </w:rPr>
        <w:t>.</w:t>
      </w:r>
      <w:r>
        <w:rPr>
          <w:b w:val="0"/>
          <w:i w:val="0"/>
        </w:rPr>
        <w:t xml:space="preserve"> Printed forms: </w:t>
      </w:r>
      <w:r>
        <w:rPr>
          <w:b w:val="0"/>
          <w:i/>
        </w:rPr>
        <w:t>lucida</w:t>
      </w:r>
      <w:r>
        <w:rPr>
          <w:b w:val="0"/>
          <w:i w:val="0"/>
        </w:rPr>
        <w:t xml:space="preserve">; </w:t>
      </w:r>
      <w:r>
        <w:rPr>
          <w:b w:val="0"/>
          <w:i/>
        </w:rPr>
        <w:t>obscura</w:t>
      </w:r>
      <w:r>
        <w:rPr>
          <w:b w:val="0"/>
          <w:i w:val="0"/>
        </w:rPr>
        <w:t xml:space="preserve">; </w:t>
      </w:r>
      <w:r>
        <w:rPr>
          <w:b w:val="0"/>
          <w:i/>
        </w:rPr>
        <w:t>obscurus</w:t>
      </w:r>
      <w:r>
        <w:rPr>
          <w:b w:val="0"/>
          <w:i w:val="0"/>
        </w:rPr>
        <w:t>.</w:t>
      </w:r>
    </w:p>
    <w:p>
      <w:pPr>
        <w:widowControl/>
      </w:pPr>
      <w:r>
        <w:rPr>
          <w:b w:val="0"/>
          <w:i w:val="0"/>
        </w:rPr>
        <w:t xml:space="preserve">Luminous or clear, and dark or obscure. The Magi’s riddle is mapped first onto stars, air and moon, then mind, irrational soul and rational soul; the mapping is Ficino’s interpretation. References: </w:t>
      </w:r>
      <w:hyperlink w:anchor="passage-i-5-14">
        <w:r>
          <w:rPr>
            <w:color w:val="000000"/>
          </w:rPr>
          <w:t xml:space="preserve">I.5.14</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903" w:name="latin-record-0652"/>
      <w:bookmarkEnd w:id="903"/>
      <w:r>
        <w:rPr>
          <w:b/>
          <w:i w:val="0"/>
        </w:rPr>
        <w:t>Lucretius / taceat</w:t>
      </w:r>
      <w:r>
        <w:rPr>
          <w:b/>
          <w:i w:val="0"/>
        </w:rPr>
        <w:t>.</w:t>
      </w:r>
      <w:r>
        <w:rPr>
          <w:b w:val="0"/>
          <w:i w:val="0"/>
        </w:rPr>
        <w:t xml:space="preserve"> Printed forms: </w:t>
      </w:r>
      <w:r>
        <w:rPr>
          <w:b w:val="0"/>
          <w:i/>
        </w:rPr>
        <w:t>Lucreti</w:t>
      </w:r>
      <w:r>
        <w:rPr>
          <w:b w:val="0"/>
          <w:i w:val="0"/>
        </w:rPr>
        <w:t xml:space="preserve">; </w:t>
      </w:r>
      <w:r>
        <w:rPr>
          <w:b w:val="0"/>
          <w:i/>
        </w:rPr>
        <w:t>Lucretius</w:t>
      </w:r>
      <w:r>
        <w:rPr>
          <w:b w:val="0"/>
          <w:i w:val="0"/>
        </w:rPr>
        <w:t xml:space="preserve">; </w:t>
      </w:r>
      <w:r>
        <w:rPr>
          <w:b w:val="0"/>
          <w:i/>
        </w:rPr>
        <w:t>Taceat</w:t>
      </w:r>
      <w:r>
        <w:rPr>
          <w:b w:val="0"/>
          <w:i w:val="0"/>
        </w:rPr>
        <w:t>.</w:t>
      </w:r>
    </w:p>
    <w:p>
      <w:pPr>
        <w:widowControl/>
      </w:pPr>
      <w:r>
        <w:rPr>
          <w:b w:val="0"/>
          <w:i w:val="0"/>
        </w:rPr>
        <w:t xml:space="preserve">Lucretius / let him be silent. The named Epicurean becomes the addressee of Ficino’s polemic, not a participant in a reported historical conversation. References: </w:t>
      </w:r>
      <w:hyperlink w:anchor="passage-ii-13-14">
        <w:r>
          <w:rPr>
            <w:color w:val="000000"/>
          </w:rPr>
          <w:t xml:space="preserve">II.13.14</w:t>
        </w:r>
      </w:hyperlink>
      <w:r>
        <w:rPr>
          <w:b w:val="0"/>
          <w:i w:val="0"/>
        </w:rPr>
        <w:t xml:space="preserve">, </w:t>
      </w:r>
      <w:hyperlink w:anchor="passage-ii-13-15">
        <w:r>
          <w:rPr>
            <w:color w:val="000000"/>
          </w:rPr>
          <w:t xml:space="preserve">II.13.15</w:t>
        </w:r>
      </w:hyperlink>
      <w:r>
        <w:rPr>
          <w:b w:val="0"/>
          <w:i w:val="0"/>
        </w:rPr>
        <w:t xml:space="preserve">. See </w:t>
      </w:r>
      <w:hyperlink w:anchor="lucretius">
        <w:r>
          <w:rPr>
            <w:color w:val="000000"/>
          </w:rPr>
          <w:t xml:space="preserve">Lucretius</w:t>
        </w:r>
      </w:hyperlink>
      <w:r>
        <w:rPr>
          <w:b w:val="0"/>
          <w:i w:val="0"/>
        </w:rPr>
        <w:t>.</w:t>
      </w:r>
    </w:p>
    <w:p>
      <w:pPr>
        <w:keepNext/>
        <w:widowControl/>
      </w:pPr>
      <w:bookmarkStart w:id="904" w:name="latin-record-0653"/>
      <w:bookmarkEnd w:id="904"/>
      <w:r>
        <w:rPr>
          <w:b/>
          <w:i w:val="0"/>
        </w:rPr>
        <w:t>luna / sol / stella</w:t>
      </w:r>
      <w:r>
        <w:rPr>
          <w:b/>
          <w:i w:val="0"/>
        </w:rPr>
        <w:t>.</w:t>
      </w:r>
      <w:r>
        <w:rPr>
          <w:b w:val="0"/>
          <w:i w:val="0"/>
        </w:rPr>
        <w:t xml:space="preserve"> Printed forms: </w:t>
      </w:r>
      <w:r>
        <w:rPr>
          <w:b w:val="0"/>
          <w:i/>
        </w:rPr>
        <w:t>luna</w:t>
      </w:r>
      <w:r>
        <w:rPr>
          <w:b w:val="0"/>
          <w:i w:val="0"/>
        </w:rPr>
        <w:t xml:space="preserve">; </w:t>
      </w:r>
      <w:r>
        <w:rPr>
          <w:b w:val="0"/>
          <w:i/>
        </w:rPr>
        <w:t>sole</w:t>
      </w:r>
      <w:r>
        <w:rPr>
          <w:b w:val="0"/>
          <w:i w:val="0"/>
        </w:rPr>
        <w:t xml:space="preserve">; </w:t>
      </w:r>
      <w:r>
        <w:rPr>
          <w:b w:val="0"/>
          <w:i/>
        </w:rPr>
        <w:t>stella</w:t>
      </w:r>
      <w:r>
        <w:rPr>
          <w:b w:val="0"/>
          <w:i w:val="0"/>
        </w:rPr>
        <w:t>.</w:t>
      </w:r>
    </w:p>
    <w:p>
      <w:pPr>
        <w:widowControl/>
      </w:pPr>
      <w:r>
        <w:rPr>
          <w:b w:val="0"/>
          <w:i w:val="0"/>
        </w:rPr>
        <w:t xml:space="preserve">Moon, sun and star. Changing lunar reception models rational soul, while uniformly shining stars model angels; these are cosmological analogies of intellectual reception. References: </w:t>
      </w:r>
      <w:hyperlink w:anchor="passage-i-5-14">
        <w:r>
          <w:rPr>
            <w:color w:val="000000"/>
          </w:rPr>
          <w:t xml:space="preserve">I.5.14</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905" w:name="latin-record-0654"/>
      <w:bookmarkEnd w:id="905"/>
      <w:r>
        <w:rPr>
          <w:b/>
          <w:i w:val="0"/>
        </w:rPr>
        <w:t>lutum / fimus / rana / musca</w:t>
      </w:r>
      <w:r>
        <w:rPr>
          <w:b/>
          <w:i w:val="0"/>
        </w:rPr>
        <w:t>.</w:t>
      </w:r>
      <w:r>
        <w:rPr>
          <w:b w:val="0"/>
          <w:i w:val="0"/>
        </w:rPr>
        <w:t xml:space="preserve"> Printed forms: </w:t>
      </w:r>
      <w:r>
        <w:rPr>
          <w:b w:val="0"/>
          <w:i/>
        </w:rPr>
        <w:t>fimi</w:t>
      </w:r>
      <w:r>
        <w:rPr>
          <w:b w:val="0"/>
          <w:i w:val="0"/>
        </w:rPr>
        <w:t xml:space="preserve">; </w:t>
      </w:r>
      <w:r>
        <w:rPr>
          <w:b w:val="0"/>
          <w:i/>
        </w:rPr>
        <w:t>fimo</w:t>
      </w:r>
      <w:r>
        <w:rPr>
          <w:b w:val="0"/>
          <w:i w:val="0"/>
        </w:rPr>
        <w:t xml:space="preserve">; </w:t>
      </w:r>
      <w:r>
        <w:rPr>
          <w:b w:val="0"/>
          <w:i/>
        </w:rPr>
        <w:t>luto</w:t>
      </w:r>
      <w:r>
        <w:rPr>
          <w:b w:val="0"/>
          <w:i w:val="0"/>
        </w:rPr>
        <w:t xml:space="preserve">; </w:t>
      </w:r>
      <w:r>
        <w:rPr>
          <w:b w:val="0"/>
          <w:i/>
        </w:rPr>
        <w:t>muscae</w:t>
      </w:r>
      <w:r>
        <w:rPr>
          <w:b w:val="0"/>
          <w:i w:val="0"/>
        </w:rPr>
        <w:t xml:space="preserve">; </w:t>
      </w:r>
      <w:r>
        <w:rPr>
          <w:b w:val="0"/>
          <w:i/>
        </w:rPr>
        <w:t>ranae</w:t>
      </w:r>
      <w:r>
        <w:rPr>
          <w:b w:val="0"/>
          <w:i w:val="0"/>
        </w:rPr>
        <w:t>.</w:t>
      </w:r>
    </w:p>
    <w:p>
      <w:pPr>
        <w:widowControl/>
      </w:pPr>
      <w:r>
        <w:rPr>
          <w:b w:val="0"/>
          <w:i w:val="0"/>
        </w:rPr>
        <w:t xml:space="preserve">Mud, dung, frogs and flies in alleged natural generation. Ficino’s examples of organisms arising from nonliving material support a living seminal source; they are historical natural lore, not current biology. References: </w:t>
      </w:r>
      <w:hyperlink w:anchor="passage-i-3-22">
        <w:r>
          <w:rPr>
            <w:color w:val="000000"/>
          </w:rPr>
          <w:t xml:space="preserve">I.3.22</w:t>
        </w:r>
      </w:hyperlink>
      <w:r>
        <w:rPr>
          <w:b w:val="0"/>
          <w:i w:val="0"/>
        </w:rPr>
        <w:t xml:space="preserve">. See </w:t>
      </w:r>
      <w:hyperlink w:anchor="generation-and-corruption">
        <w:r>
          <w:rPr>
            <w:color w:val="000000"/>
          </w:rPr>
          <w:t xml:space="preserve">Generation and corruption</w:t>
        </w:r>
      </w:hyperlink>
      <w:r>
        <w:rPr>
          <w:b w:val="0"/>
          <w:i w:val="0"/>
        </w:rPr>
        <w:t>.</w:t>
      </w:r>
    </w:p>
    <w:p>
      <w:pPr>
        <w:keepNext/>
        <w:widowControl/>
      </w:pPr>
      <w:bookmarkStart w:id="906" w:name="latin-record-0655"/>
      <w:bookmarkEnd w:id="906"/>
      <w:r>
        <w:rPr>
          <w:b/>
          <w:i w:val="0"/>
        </w:rPr>
        <w:t>lux / lumen</w:t>
      </w:r>
      <w:r>
        <w:rPr>
          <w:b/>
          <w:i w:val="0"/>
        </w:rPr>
        <w:t>.</w:t>
      </w:r>
      <w:r>
        <w:rPr>
          <w:b w:val="0"/>
          <w:i w:val="0"/>
        </w:rPr>
        <w:t xml:space="preserve"> Printed forms: </w:t>
      </w:r>
      <w:r>
        <w:rPr>
          <w:b w:val="0"/>
          <w:i/>
        </w:rPr>
        <w:t>luceat</w:t>
      </w:r>
      <w:r>
        <w:rPr>
          <w:b w:val="0"/>
          <w:i w:val="0"/>
        </w:rPr>
        <w:t xml:space="preserve">; </w:t>
      </w:r>
      <w:r>
        <w:rPr>
          <w:b w:val="0"/>
          <w:i/>
        </w:rPr>
        <w:t>luces</w:t>
      </w:r>
      <w:r>
        <w:rPr>
          <w:b w:val="0"/>
          <w:i w:val="0"/>
        </w:rPr>
        <w:t xml:space="preserve">; </w:t>
      </w:r>
      <w:r>
        <w:rPr>
          <w:b w:val="0"/>
          <w:i/>
        </w:rPr>
        <w:t>lumen</w:t>
      </w:r>
      <w:r>
        <w:rPr>
          <w:b w:val="0"/>
          <w:i w:val="0"/>
        </w:rPr>
        <w:t xml:space="preserve">; </w:t>
      </w:r>
      <w:r>
        <w:rPr>
          <w:b w:val="0"/>
          <w:i/>
        </w:rPr>
        <w:t>lumine</w:t>
      </w:r>
      <w:r>
        <w:rPr>
          <w:b w:val="0"/>
          <w:i w:val="0"/>
        </w:rPr>
        <w:t xml:space="preserve">; </w:t>
      </w:r>
      <w:r>
        <w:rPr>
          <w:b w:val="0"/>
          <w:i/>
        </w:rPr>
        <w:t>lux</w:t>
      </w:r>
      <w:r>
        <w:rPr>
          <w:b w:val="0"/>
          <w:i w:val="0"/>
        </w:rPr>
        <w:t xml:space="preserve">; </w:t>
      </w:r>
      <w:r>
        <w:rPr>
          <w:b w:val="0"/>
          <w:i/>
        </w:rPr>
        <w:t>Lux</w:t>
      </w:r>
      <w:r>
        <w:rPr>
          <w:b w:val="0"/>
          <w:i w:val="0"/>
        </w:rPr>
        <w:t>.</w:t>
      </w:r>
    </w:p>
    <w:p>
      <w:pPr>
        <w:widowControl/>
      </w:pPr>
      <w:r>
        <w:rPr>
          <w:b w:val="0"/>
          <w:i w:val="0"/>
        </w:rPr>
        <w:t xml:space="preserve">Light, sensible in examples and intelligible or divine by analogy. Pure light, diffused light, colored radiance, and self-knowing light illustrate different relations and should not be merged. References: </w:t>
      </w:r>
      <w:hyperlink w:anchor="passage-ii-2-5">
        <w:r>
          <w:rPr>
            <w:color w:val="000000"/>
          </w:rPr>
          <w:t xml:space="preserve">II.2.5</w:t>
        </w:r>
      </w:hyperlink>
      <w:r>
        <w:rPr>
          <w:b w:val="0"/>
          <w:i w:val="0"/>
        </w:rPr>
        <w:t xml:space="preserve">, </w:t>
      </w:r>
      <w:hyperlink w:anchor="passage-ii-6-11">
        <w:r>
          <w:rPr>
            <w:color w:val="000000"/>
          </w:rPr>
          <w:t xml:space="preserve">II.6.11</w:t>
        </w:r>
      </w:hyperlink>
      <w:r>
        <w:rPr>
          <w:b w:val="0"/>
          <w:i w:val="0"/>
        </w:rPr>
        <w:t xml:space="preserve">, </w:t>
      </w:r>
      <w:hyperlink w:anchor="passage-ii-7-31">
        <w:r>
          <w:rPr>
            <w:color w:val="000000"/>
          </w:rPr>
          <w:t xml:space="preserve">II.7.31</w:t>
        </w:r>
      </w:hyperlink>
      <w:r>
        <w:rPr>
          <w:b w:val="0"/>
          <w:i w:val="0"/>
        </w:rPr>
        <w:t xml:space="preserve">, </w:t>
      </w:r>
      <w:hyperlink w:anchor="passage-ii-10-12">
        <w:r>
          <w:rPr>
            <w:color w:val="000000"/>
          </w:rPr>
          <w:t xml:space="preserve">II.10.12</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907" w:name="latin-record-0656"/>
      <w:bookmarkEnd w:id="907"/>
      <w:r>
        <w:rPr>
          <w:b/>
          <w:i w:val="0"/>
        </w:rPr>
        <w:t>lux / lumen / illuminare</w:t>
      </w:r>
      <w:r>
        <w:rPr>
          <w:b/>
          <w:i w:val="0"/>
        </w:rPr>
        <w:t>.</w:t>
      </w:r>
      <w:r>
        <w:rPr>
          <w:b w:val="0"/>
          <w:i w:val="0"/>
        </w:rPr>
        <w:t xml:space="preserve"> Printed forms: </w:t>
      </w:r>
      <w:r>
        <w:rPr>
          <w:b w:val="0"/>
          <w:i/>
        </w:rPr>
        <w:t>illustratur</w:t>
      </w:r>
      <w:r>
        <w:rPr>
          <w:b w:val="0"/>
          <w:i w:val="0"/>
        </w:rPr>
        <w:t xml:space="preserve">; </w:t>
      </w:r>
      <w:r>
        <w:rPr>
          <w:b w:val="0"/>
          <w:i/>
        </w:rPr>
        <w:t>lumen</w:t>
      </w:r>
      <w:r>
        <w:rPr>
          <w:b w:val="0"/>
          <w:i w:val="0"/>
        </w:rPr>
        <w:t xml:space="preserve">; </w:t>
      </w:r>
      <w:r>
        <w:rPr>
          <w:b w:val="0"/>
          <w:i/>
        </w:rPr>
        <w:t>luminis</w:t>
      </w:r>
      <w:r>
        <w:rPr>
          <w:b w:val="0"/>
          <w:i w:val="0"/>
        </w:rPr>
        <w:t>.</w:t>
      </w:r>
    </w:p>
    <w:p>
      <w:pPr>
        <w:widowControl/>
      </w:pPr>
      <w:r>
        <w:rPr>
          <w:b w:val="0"/>
          <w:i w:val="0"/>
        </w:rPr>
        <w:t xml:space="preserve">Light / radiance / illuminate. Angelic intelligence is described as received illumination, and differing reception of light models psychic succession. References: </w:t>
      </w:r>
      <w:hyperlink w:anchor="passage-iii-1-12">
        <w:r>
          <w:rPr>
            <w:color w:val="000000"/>
          </w:rPr>
          <w:t xml:space="preserve">III.1.12</w:t>
        </w:r>
      </w:hyperlink>
      <w:r>
        <w:rPr>
          <w:b w:val="0"/>
          <w:i w:val="0"/>
        </w:rPr>
        <w:t xml:space="preserve">, </w:t>
      </w:r>
      <w:hyperlink w:anchor="passage-iii-1-32">
        <w:r>
          <w:rPr>
            <w:color w:val="000000"/>
          </w:rPr>
          <w:t xml:space="preserve">III.1.32</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908" w:name="latin-record-0657"/>
      <w:bookmarkEnd w:id="908"/>
      <w:r>
        <w:rPr>
          <w:b/>
          <w:i w:val="0"/>
        </w:rPr>
        <w:t>lux se ipsa videns</w:t>
      </w:r>
      <w:r>
        <w:rPr>
          <w:b/>
          <w:i w:val="0"/>
        </w:rPr>
        <w:t>.</w:t>
      </w:r>
      <w:r>
        <w:rPr>
          <w:b w:val="0"/>
          <w:i w:val="0"/>
        </w:rPr>
        <w:t xml:space="preserve"> Printed forms: </w:t>
      </w:r>
      <w:r>
        <w:rPr>
          <w:b w:val="0"/>
          <w:i/>
        </w:rPr>
        <w:t>lux se ipsa videns</w:t>
      </w:r>
      <w:r>
        <w:rPr>
          <w:b w:val="0"/>
          <w:i w:val="0"/>
        </w:rPr>
        <w:t xml:space="preserve">; </w:t>
      </w:r>
      <w:r>
        <w:rPr>
          <w:b w:val="0"/>
          <w:i/>
        </w:rPr>
        <w:t>visus se ipso lucens</w:t>
      </w:r>
      <w:r>
        <w:rPr>
          <w:b w:val="0"/>
          <w:i w:val="0"/>
        </w:rPr>
        <w:t>.</w:t>
      </w:r>
    </w:p>
    <w:p>
      <w:pPr>
        <w:widowControl/>
      </w:pPr>
      <w:r>
        <w:rPr>
          <w:b w:val="0"/>
          <w:i w:val="0"/>
        </w:rPr>
        <w:t xml:space="preserve">Light seeing itself and sight shining by itself. The reciprocity deliberately exceeds the created eye/light distinction; it does not describe an additional physical organ of divine sight. References: </w:t>
      </w:r>
      <w:hyperlink w:anchor="passage-i-6-12">
        <w:r>
          <w:rPr>
            <w:color w:val="000000"/>
          </w:rPr>
          <w:t xml:space="preserve">I.6.12</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909" w:name="latin-record-0658"/>
      <w:bookmarkEnd w:id="909"/>
      <w:r>
        <w:rPr>
          <w:b/>
          <w:i w:val="0"/>
        </w:rPr>
        <w:t>machina / praesideo</w:t>
      </w:r>
      <w:r>
        <w:rPr>
          <w:b/>
          <w:i w:val="0"/>
        </w:rPr>
        <w:t>.</w:t>
      </w:r>
      <w:r>
        <w:rPr>
          <w:b w:val="0"/>
          <w:i w:val="0"/>
        </w:rPr>
        <w:t xml:space="preserve"> Printed forms: </w:t>
      </w:r>
      <w:r>
        <w:rPr>
          <w:b w:val="0"/>
          <w:i/>
        </w:rPr>
        <w:t>machinae</w:t>
      </w:r>
      <w:r>
        <w:rPr>
          <w:b w:val="0"/>
          <w:i w:val="0"/>
        </w:rPr>
        <w:t xml:space="preserve">; </w:t>
      </w:r>
      <w:r>
        <w:rPr>
          <w:b w:val="0"/>
          <w:i/>
        </w:rPr>
        <w:t>praesidet</w:t>
      </w:r>
      <w:r>
        <w:rPr>
          <w:b w:val="0"/>
          <w:i w:val="0"/>
        </w:rPr>
        <w:t>.</w:t>
      </w:r>
    </w:p>
    <w:p>
      <w:pPr>
        <w:widowControl/>
      </w:pPr>
      <w:r>
        <w:rPr>
          <w:b w:val="0"/>
          <w:i w:val="0"/>
        </w:rPr>
        <w:t xml:space="preserve">A structured mechanism or fabric; to preside over. The soul’s excellence is linked to governance of the world’s mechanism, while blessedness is linked to its intimacy with divine things. References: </w:t>
      </w:r>
      <w:hyperlink w:anchor="passage-i-1-7">
        <w:r>
          <w:rPr>
            <w:color w:val="000000"/>
          </w:rPr>
          <w:t xml:space="preserve">I.1.7</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910" w:name="latin-record-0659"/>
      <w:bookmarkEnd w:id="910"/>
      <w:r>
        <w:rPr>
          <w:b/>
          <w:i w:val="0"/>
        </w:rPr>
        <w:t>machina / tela / retexere</w:t>
      </w:r>
      <w:r>
        <w:rPr>
          <w:b/>
          <w:i w:val="0"/>
        </w:rPr>
        <w:t>.</w:t>
      </w:r>
      <w:r>
        <w:rPr>
          <w:b w:val="0"/>
          <w:i w:val="0"/>
        </w:rPr>
        <w:t xml:space="preserve"> Printed forms: </w:t>
      </w:r>
      <w:r>
        <w:rPr>
          <w:b w:val="0"/>
          <w:i/>
        </w:rPr>
        <w:t>machina</w:t>
      </w:r>
      <w:r>
        <w:rPr>
          <w:b w:val="0"/>
          <w:i w:val="0"/>
        </w:rPr>
        <w:t xml:space="preserve">; </w:t>
      </w:r>
      <w:r>
        <w:rPr>
          <w:b w:val="0"/>
          <w:i/>
        </w:rPr>
        <w:t>machinae</w:t>
      </w:r>
      <w:r>
        <w:rPr>
          <w:b w:val="0"/>
          <w:i w:val="0"/>
        </w:rPr>
        <w:t xml:space="preserve">; </w:t>
      </w:r>
      <w:r>
        <w:rPr>
          <w:b w:val="0"/>
          <w:i/>
        </w:rPr>
        <w:t>machinam</w:t>
      </w:r>
      <w:r>
        <w:rPr>
          <w:b w:val="0"/>
          <w:i w:val="0"/>
        </w:rPr>
        <w:t xml:space="preserve">; </w:t>
      </w:r>
      <w:r>
        <w:rPr>
          <w:b w:val="0"/>
          <w:i/>
        </w:rPr>
        <w:t>retexit</w:t>
      </w:r>
      <w:r>
        <w:rPr>
          <w:b w:val="0"/>
          <w:i w:val="0"/>
        </w:rPr>
        <w:t xml:space="preserve">; </w:t>
      </w:r>
      <w:r>
        <w:rPr>
          <w:b w:val="0"/>
          <w:i/>
        </w:rPr>
        <w:t>telam</w:t>
      </w:r>
      <w:r>
        <w:rPr>
          <w:b w:val="0"/>
          <w:i w:val="0"/>
        </w:rPr>
        <w:t>.</w:t>
      </w:r>
    </w:p>
    <w:p>
      <w:pPr>
        <w:widowControl/>
      </w:pPr>
      <w:r>
        <w:rPr>
          <w:b w:val="0"/>
          <w:i w:val="0"/>
        </w:rPr>
        <w:t xml:space="preserve">Organized fabric; a woven web; to weave again. Repeated cosmic order is likened to renewed weaving, while bodily fabric is later distinguished from all reality. References: </w:t>
      </w:r>
      <w:hyperlink w:anchor="passage-ii-2-2">
        <w:r>
          <w:rPr>
            <w:color w:val="000000"/>
          </w:rPr>
          <w:t xml:space="preserve">II.2.2</w:t>
        </w:r>
      </w:hyperlink>
      <w:r>
        <w:rPr>
          <w:b w:val="0"/>
          <w:i w:val="0"/>
        </w:rPr>
        <w:t xml:space="preserve">, </w:t>
      </w:r>
      <w:hyperlink w:anchor="passage-ii-2-9">
        <w:r>
          <w:rPr>
            <w:color w:val="000000"/>
          </w:rPr>
          <w:t xml:space="preserve">II.2.9</w:t>
        </w:r>
      </w:hyperlink>
      <w:r>
        <w:rPr>
          <w:b w:val="0"/>
          <w:i w:val="0"/>
        </w:rPr>
        <w:t xml:space="preserve">, </w:t>
      </w:r>
      <w:hyperlink w:anchor="passage-ii-4-7">
        <w:r>
          <w:rPr>
            <w:color w:val="000000"/>
          </w:rPr>
          <w:t xml:space="preserve">II.4.7</w:t>
        </w:r>
      </w:hyperlink>
      <w:r>
        <w:rPr>
          <w:b w:val="0"/>
          <w:i w:val="0"/>
        </w:rPr>
        <w:t xml:space="preserve">, </w:t>
      </w:r>
      <w:hyperlink w:anchor="passage-ii-6-13">
        <w:r>
          <w:rPr>
            <w:color w:val="000000"/>
          </w:rPr>
          <w:t xml:space="preserve">II.6.13</w:t>
        </w:r>
      </w:hyperlink>
      <w:r>
        <w:rPr>
          <w:b w:val="0"/>
          <w:i w:val="0"/>
        </w:rPr>
        <w:t xml:space="preserve">. See </w:t>
      </w:r>
      <w:hyperlink w:anchor="weaving-and-world-fabric">
        <w:r>
          <w:rPr>
            <w:color w:val="000000"/>
          </w:rPr>
          <w:t xml:space="preserve">Weaving and world fabric</w:t>
        </w:r>
      </w:hyperlink>
      <w:r>
        <w:rPr>
          <w:b w:val="0"/>
          <w:i w:val="0"/>
        </w:rPr>
        <w:t>.</w:t>
      </w:r>
    </w:p>
    <w:p>
      <w:pPr>
        <w:keepNext/>
        <w:widowControl/>
      </w:pPr>
      <w:bookmarkStart w:id="911" w:name="latin-record-0660"/>
      <w:bookmarkEnd w:id="911"/>
      <w:r>
        <w:rPr>
          <w:b/>
          <w:i w:val="0"/>
        </w:rPr>
        <w:t>machinatio / machinari</w:t>
      </w:r>
      <w:r>
        <w:rPr>
          <w:b/>
          <w:i w:val="0"/>
        </w:rPr>
        <w:t>.</w:t>
      </w:r>
      <w:r>
        <w:rPr>
          <w:b w:val="0"/>
          <w:i w:val="0"/>
        </w:rPr>
        <w:t xml:space="preserve"> Printed forms: </w:t>
      </w:r>
      <w:r>
        <w:rPr>
          <w:b w:val="0"/>
          <w:i/>
        </w:rPr>
        <w:t>machinationem</w:t>
      </w:r>
      <w:r>
        <w:rPr>
          <w:b w:val="0"/>
          <w:i w:val="0"/>
        </w:rPr>
        <w:t xml:space="preserve">; </w:t>
      </w:r>
      <w:r>
        <w:rPr>
          <w:b w:val="0"/>
          <w:i/>
        </w:rPr>
        <w:t>machinatur</w:t>
      </w:r>
      <w:r>
        <w:rPr>
          <w:b w:val="0"/>
          <w:i w:val="0"/>
        </w:rPr>
        <w:t>.</w:t>
      </w:r>
    </w:p>
    <w:p>
      <w:pPr>
        <w:widowControl/>
      </w:pPr>
      <w:r>
        <w:rPr>
          <w:b w:val="0"/>
          <w:i w:val="0"/>
        </w:rPr>
        <w:t xml:space="preserve">The mind’s devising or ranging conception. The reach of thought enters the argument that its source cannot be absent from the immensity it conceives. References: </w:t>
      </w:r>
      <w:hyperlink w:anchor="passage-ii-6-6">
        <w:r>
          <w:rPr>
            <w:color w:val="000000"/>
          </w:rPr>
          <w:t xml:space="preserve">II.6.6</w:t>
        </w:r>
      </w:hyperlink>
      <w:r>
        <w:rPr>
          <w:b w:val="0"/>
          <w:i w:val="0"/>
        </w:rPr>
        <w:t xml:space="preserve">, </w:t>
      </w:r>
      <w:hyperlink w:anchor="passage-ii-6-22">
        <w:r>
          <w:rPr>
            <w:color w:val="000000"/>
          </w:rPr>
          <w:t xml:space="preserve">II.6.22</w:t>
        </w:r>
      </w:hyperlink>
      <w:r>
        <w:rPr>
          <w:b w:val="0"/>
          <w:i w:val="0"/>
        </w:rPr>
        <w:t xml:space="preserve">. See </w:t>
      </w:r>
      <w:hyperlink w:anchor="mind">
        <w:r>
          <w:rPr>
            <w:color w:val="000000"/>
          </w:rPr>
          <w:t xml:space="preserve">Mind</w:t>
        </w:r>
      </w:hyperlink>
      <w:r>
        <w:rPr>
          <w:b w:val="0"/>
          <w:i w:val="0"/>
        </w:rPr>
        <w:t>.</w:t>
      </w:r>
    </w:p>
    <w:p>
      <w:pPr>
        <w:keepNext/>
        <w:widowControl/>
      </w:pPr>
      <w:bookmarkStart w:id="912" w:name="latin-record-0661"/>
      <w:bookmarkEnd w:id="912"/>
      <w:r>
        <w:rPr>
          <w:b/>
          <w:i w:val="0"/>
        </w:rPr>
        <w:t>Magi / aenigma</w:t>
      </w:r>
      <w:r>
        <w:rPr>
          <w:b/>
          <w:i w:val="0"/>
        </w:rPr>
        <w:t>.</w:t>
      </w:r>
      <w:r>
        <w:rPr>
          <w:b w:val="0"/>
          <w:i w:val="0"/>
        </w:rPr>
        <w:t xml:space="preserve"> Printed forms: </w:t>
      </w:r>
      <w:r>
        <w:rPr>
          <w:b w:val="0"/>
          <w:i/>
        </w:rPr>
        <w:t>enigma</w:t>
      </w:r>
      <w:r>
        <w:rPr>
          <w:b w:val="0"/>
          <w:i w:val="0"/>
        </w:rPr>
        <w:t xml:space="preserve">; </w:t>
      </w:r>
      <w:r>
        <w:rPr>
          <w:b w:val="0"/>
          <w:i/>
        </w:rPr>
        <w:t>Magorum</w:t>
      </w:r>
      <w:r>
        <w:rPr>
          <w:b w:val="0"/>
          <w:i w:val="0"/>
        </w:rPr>
        <w:t>.</w:t>
      </w:r>
    </w:p>
    <w:p>
      <w:pPr>
        <w:widowControl/>
      </w:pPr>
      <w:r>
        <w:rPr>
          <w:b w:val="0"/>
          <w:i w:val="0"/>
        </w:rPr>
        <w:t xml:space="preserve">The Magi and a riddle attributed to them. The riddle supplies three light-conditions, which Ficino interprets as bodily and spiritual grades; the passage does not independently establish the saying’s provenance. References: </w:t>
      </w:r>
      <w:hyperlink w:anchor="passage-i-5-14">
        <w:r>
          <w:rPr>
            <w:color w:val="000000"/>
          </w:rPr>
          <w:t xml:space="preserve">I.5.14</w:t>
        </w:r>
      </w:hyperlink>
      <w:r>
        <w:rPr>
          <w:b w:val="0"/>
          <w:i w:val="0"/>
        </w:rPr>
        <w:t xml:space="preserve">. See </w:t>
      </w:r>
      <w:hyperlink w:anchor="hermetic-theologians-and-the-magi">
        <w:r>
          <w:rPr>
            <w:color w:val="000000"/>
          </w:rPr>
          <w:t xml:space="preserve">Hermetic theologians and the Magi</w:t>
        </w:r>
      </w:hyperlink>
      <w:r>
        <w:rPr>
          <w:b w:val="0"/>
          <w:i w:val="0"/>
        </w:rPr>
        <w:t>.</w:t>
      </w:r>
    </w:p>
    <w:p>
      <w:pPr>
        <w:keepNext/>
        <w:widowControl/>
      </w:pPr>
      <w:bookmarkStart w:id="913" w:name="latin-record-0662"/>
      <w:bookmarkEnd w:id="913"/>
      <w:r>
        <w:rPr>
          <w:b/>
          <w:i w:val="0"/>
        </w:rPr>
        <w:t>magis / minus / minime</w:t>
      </w:r>
      <w:r>
        <w:rPr>
          <w:b/>
          <w:i w:val="0"/>
        </w:rPr>
        <w:t>.</w:t>
      </w:r>
      <w:r>
        <w:rPr>
          <w:b w:val="0"/>
          <w:i w:val="0"/>
        </w:rPr>
        <w:t xml:space="preserve"> Printed forms: </w:t>
      </w:r>
      <w:r>
        <w:rPr>
          <w:b w:val="0"/>
          <w:i/>
        </w:rPr>
        <w:t>magis</w:t>
      </w:r>
      <w:r>
        <w:rPr>
          <w:b w:val="0"/>
          <w:i w:val="0"/>
        </w:rPr>
        <w:t xml:space="preserve">; </w:t>
      </w:r>
      <w:r>
        <w:rPr>
          <w:b w:val="0"/>
          <w:i/>
        </w:rPr>
        <w:t>minime</w:t>
      </w:r>
      <w:r>
        <w:rPr>
          <w:b w:val="0"/>
          <w:i w:val="0"/>
        </w:rPr>
        <w:t xml:space="preserve">; </w:t>
      </w:r>
      <w:r>
        <w:rPr>
          <w:b w:val="0"/>
          <w:i/>
        </w:rPr>
        <w:t>minimum</w:t>
      </w:r>
      <w:r>
        <w:rPr>
          <w:b w:val="0"/>
          <w:i w:val="0"/>
        </w:rPr>
        <w:t xml:space="preserve">; </w:t>
      </w:r>
      <w:r>
        <w:rPr>
          <w:b w:val="0"/>
          <w:i/>
        </w:rPr>
        <w:t>minus</w:t>
      </w:r>
      <w:r>
        <w:rPr>
          <w:b w:val="0"/>
          <w:i w:val="0"/>
        </w:rPr>
        <w:t>.</w:t>
      </w:r>
    </w:p>
    <w:p>
      <w:pPr>
        <w:widowControl/>
      </w:pPr>
      <w:r>
        <w:rPr>
          <w:b w:val="0"/>
          <w:i w:val="0"/>
        </w:rPr>
        <w:t xml:space="preserve">More, less, least. These relative degrees generate different rankings of the same three faculties, rather than new faculties. References: </w:t>
      </w:r>
      <w:hyperlink w:anchor="passage-iv-1-45">
        <w:r>
          <w:rPr>
            <w:color w:val="000000"/>
          </w:rPr>
          <w:t xml:space="preserve">IV.1.45</w:t>
        </w:r>
      </w:hyperlink>
      <w:r>
        <w:rPr>
          <w:b w:val="0"/>
          <w:i w:val="0"/>
        </w:rPr>
        <w:t xml:space="preserve">, </w:t>
      </w:r>
      <w:hyperlink w:anchor="passage-iv-1-46">
        <w:r>
          <w:rPr>
            <w:color w:val="000000"/>
          </w:rPr>
          <w:t xml:space="preserve">IV.1.46</w:t>
        </w:r>
      </w:hyperlink>
      <w:r>
        <w:rPr>
          <w:b w:val="0"/>
          <w:i w:val="0"/>
        </w:rPr>
        <w:t xml:space="preserve">. See </w:t>
      </w:r>
      <w:hyperlink w:anchor="reason-anger-and-desire">
        <w:r>
          <w:rPr>
            <w:color w:val="000000"/>
          </w:rPr>
          <w:t xml:space="preserve">Reason anger and desire</w:t>
        </w:r>
      </w:hyperlink>
      <w:r>
        <w:rPr>
          <w:b w:val="0"/>
          <w:i w:val="0"/>
        </w:rPr>
        <w:t>.</w:t>
      </w:r>
    </w:p>
    <w:p>
      <w:pPr>
        <w:keepNext/>
        <w:widowControl/>
      </w:pPr>
      <w:bookmarkStart w:id="914" w:name="latin-record-0663"/>
      <w:bookmarkEnd w:id="914"/>
      <w:r>
        <w:rPr>
          <w:b/>
          <w:i w:val="0"/>
        </w:rPr>
        <w:t>magnes / ferrum</w:t>
      </w:r>
      <w:r>
        <w:rPr>
          <w:b/>
          <w:i w:val="0"/>
        </w:rPr>
        <w:t>.</w:t>
      </w:r>
      <w:r>
        <w:rPr>
          <w:b w:val="0"/>
          <w:i w:val="0"/>
        </w:rPr>
        <w:t xml:space="preserve"> Printed forms: </w:t>
      </w:r>
      <w:r>
        <w:rPr>
          <w:b w:val="0"/>
          <w:i/>
        </w:rPr>
        <w:t>ferrum</w:t>
      </w:r>
      <w:r>
        <w:rPr>
          <w:b w:val="0"/>
          <w:i w:val="0"/>
        </w:rPr>
        <w:t xml:space="preserve">; </w:t>
      </w:r>
      <w:r>
        <w:rPr>
          <w:b w:val="0"/>
          <w:i/>
        </w:rPr>
        <w:t>magnes</w:t>
      </w:r>
      <w:r>
        <w:rPr>
          <w:b w:val="0"/>
          <w:i w:val="0"/>
        </w:rPr>
        <w:t xml:space="preserve">; </w:t>
      </w:r>
      <w:r>
        <w:rPr>
          <w:b w:val="0"/>
          <w:i/>
        </w:rPr>
        <w:t>magnetem</w:t>
      </w:r>
      <w:r>
        <w:rPr>
          <w:b w:val="0"/>
          <w:i w:val="0"/>
        </w:rPr>
        <w:t>.</w:t>
      </w:r>
    </w:p>
    <w:p>
      <w:pPr>
        <w:widowControl/>
      </w:pPr>
      <w:r>
        <w:rPr>
          <w:b w:val="0"/>
          <w:i w:val="0"/>
        </w:rPr>
        <w:t xml:space="preserve">Magnet and iron. Attraction illustrates the sphere’s recall of parts and how an unseen mover can be mistaken for bodily self-motion. References: </w:t>
      </w:r>
      <w:hyperlink w:anchor="passage-iv-1-74">
        <w:r>
          <w:rPr>
            <w:color w:val="000000"/>
          </w:rPr>
          <w:t xml:space="preserve">IV.1.74</w:t>
        </w:r>
      </w:hyperlink>
      <w:r>
        <w:rPr>
          <w:b w:val="0"/>
          <w:i w:val="0"/>
        </w:rPr>
        <w:t xml:space="preserve">. See </w:t>
      </w:r>
      <w:hyperlink w:anchor="hidden-mover-and-magnet">
        <w:r>
          <w:rPr>
            <w:color w:val="000000"/>
          </w:rPr>
          <w:t xml:space="preserve">Hidden mover and magnet</w:t>
        </w:r>
      </w:hyperlink>
      <w:r>
        <w:rPr>
          <w:b w:val="0"/>
          <w:i w:val="0"/>
        </w:rPr>
        <w:t>.</w:t>
      </w:r>
    </w:p>
    <w:p>
      <w:pPr>
        <w:keepNext/>
        <w:widowControl/>
      </w:pPr>
      <w:bookmarkStart w:id="915" w:name="latin-record-0664"/>
      <w:bookmarkEnd w:id="915"/>
      <w:r>
        <w:rPr>
          <w:b/>
          <w:i w:val="0"/>
        </w:rPr>
        <w:t>magnum / magnitudo / maior</w:t>
      </w:r>
      <w:r>
        <w:rPr>
          <w:b/>
          <w:i w:val="0"/>
        </w:rPr>
        <w:t>.</w:t>
      </w:r>
      <w:r>
        <w:rPr>
          <w:b w:val="0"/>
          <w:i w:val="0"/>
        </w:rPr>
        <w:t xml:space="preserve"> Printed forms: </w:t>
      </w:r>
      <w:r>
        <w:rPr>
          <w:b w:val="0"/>
          <w:i/>
        </w:rPr>
        <w:t>magnitudinem</w:t>
      </w:r>
      <w:r>
        <w:rPr>
          <w:b w:val="0"/>
          <w:i w:val="0"/>
        </w:rPr>
        <w:t xml:space="preserve">; </w:t>
      </w:r>
      <w:r>
        <w:rPr>
          <w:b w:val="0"/>
          <w:i/>
        </w:rPr>
        <w:t>Magnum</w:t>
      </w:r>
      <w:r>
        <w:rPr>
          <w:b w:val="0"/>
          <w:i w:val="0"/>
        </w:rPr>
        <w:t xml:space="preserve">; </w:t>
      </w:r>
      <w:r>
        <w:rPr>
          <w:b w:val="0"/>
          <w:i/>
        </w:rPr>
        <w:t>magnumque</w:t>
      </w:r>
      <w:r>
        <w:rPr>
          <w:b w:val="0"/>
          <w:i w:val="0"/>
        </w:rPr>
        <w:t xml:space="preserve">; </w:t>
      </w:r>
      <w:r>
        <w:rPr>
          <w:b w:val="0"/>
          <w:i/>
        </w:rPr>
        <w:t>maiorem</w:t>
      </w:r>
      <w:r>
        <w:rPr>
          <w:b w:val="0"/>
          <w:i w:val="0"/>
        </w:rPr>
        <w:t>.</w:t>
      </w:r>
    </w:p>
    <w:p>
      <w:pPr>
        <w:widowControl/>
      </w:pPr>
      <w:r>
        <w:rPr>
          <w:b w:val="0"/>
          <w:i w:val="0"/>
        </w:rPr>
        <w:t xml:space="preserve">Greatness or greater extent, power, or perfection depending on context. True greatness is contrasted with bodily magnitude divisible into small parts; no quantitative size is assigned to God. References: </w:t>
      </w:r>
      <w:hyperlink w:anchor="passage-ii-1-4">
        <w:r>
          <w:rPr>
            <w:color w:val="000000"/>
          </w:rPr>
          <w:t xml:space="preserve">II.1.4</w:t>
        </w:r>
      </w:hyperlink>
      <w:r>
        <w:rPr>
          <w:b w:val="0"/>
          <w:i w:val="0"/>
        </w:rPr>
        <w:t xml:space="preserve">, </w:t>
      </w:r>
      <w:hyperlink w:anchor="passage-ii-6-13">
        <w:r>
          <w:rPr>
            <w:color w:val="000000"/>
          </w:rPr>
          <w:t xml:space="preserve">II.6.13</w:t>
        </w:r>
      </w:hyperlink>
      <w:r>
        <w:rPr>
          <w:b w:val="0"/>
          <w:i w:val="0"/>
        </w:rPr>
        <w:t xml:space="preserve">, </w:t>
      </w:r>
      <w:hyperlink w:anchor="passage-ii-10-5">
        <w:r>
          <w:rPr>
            <w:color w:val="000000"/>
          </w:rPr>
          <w:t xml:space="preserve">II.10.5</w:t>
        </w:r>
      </w:hyperlink>
      <w:r>
        <w:rPr>
          <w:b w:val="0"/>
          <w:i w:val="0"/>
        </w:rPr>
        <w:t xml:space="preserve">. See </w:t>
      </w:r>
      <w:hyperlink w:anchor="quantity-and-dimension">
        <w:r>
          <w:rPr>
            <w:color w:val="000000"/>
          </w:rPr>
          <w:t xml:space="preserve">Quantity and dimension</w:t>
        </w:r>
      </w:hyperlink>
      <w:r>
        <w:rPr>
          <w:b w:val="0"/>
          <w:i w:val="0"/>
        </w:rPr>
        <w:t>.</w:t>
      </w:r>
    </w:p>
    <w:p>
      <w:pPr>
        <w:keepNext/>
        <w:widowControl/>
      </w:pPr>
      <w:bookmarkStart w:id="916" w:name="latin-record-0665"/>
      <w:bookmarkEnd w:id="916"/>
      <w:r>
        <w:rPr>
          <w:b/>
          <w:i w:val="0"/>
        </w:rPr>
        <w:t>maiestas / indignus</w:t>
      </w:r>
      <w:r>
        <w:rPr>
          <w:b/>
          <w:i w:val="0"/>
        </w:rPr>
        <w:t>.</w:t>
      </w:r>
      <w:r>
        <w:rPr>
          <w:b w:val="0"/>
          <w:i w:val="0"/>
        </w:rPr>
        <w:t xml:space="preserve"> Printed forms: </w:t>
      </w:r>
      <w:r>
        <w:rPr>
          <w:b w:val="0"/>
          <w:i/>
        </w:rPr>
        <w:t>indignam</w:t>
      </w:r>
      <w:r>
        <w:rPr>
          <w:b w:val="0"/>
          <w:i w:val="0"/>
        </w:rPr>
        <w:t xml:space="preserve">; </w:t>
      </w:r>
      <w:r>
        <w:rPr>
          <w:b w:val="0"/>
          <w:i/>
        </w:rPr>
        <w:t>maiestate</w:t>
      </w:r>
      <w:r>
        <w:rPr>
          <w:b w:val="0"/>
          <w:i w:val="0"/>
        </w:rPr>
        <w:t>.</w:t>
      </w:r>
    </w:p>
    <w:p>
      <w:pPr>
        <w:widowControl/>
      </w:pPr>
      <w:r>
        <w:rPr>
          <w:b w:val="0"/>
          <w:i w:val="0"/>
        </w:rPr>
        <w:t xml:space="preserve">Majesty and what is deemed unworthy of it. Ficino reports and rejects the objection that knowledge of the basest things compromises divine dignity. References: </w:t>
      </w:r>
      <w:hyperlink w:anchor="passage-ii-9-20">
        <w:r>
          <w:rPr>
            <w:color w:val="000000"/>
          </w:rPr>
          <w:t xml:space="preserve">II.9.20</w:t>
        </w:r>
      </w:hyperlink>
      <w:r>
        <w:rPr>
          <w:b w:val="0"/>
          <w:i w:val="0"/>
        </w:rPr>
        <w:t xml:space="preserve">. See </w:t>
      </w:r>
      <w:hyperlink w:anchor="precious-and-lowly">
        <w:r>
          <w:rPr>
            <w:color w:val="000000"/>
          </w:rPr>
          <w:t xml:space="preserve">Precious and lowly</w:t>
        </w:r>
      </w:hyperlink>
      <w:r>
        <w:rPr>
          <w:b w:val="0"/>
          <w:i w:val="0"/>
        </w:rPr>
        <w:t>.</w:t>
      </w:r>
    </w:p>
    <w:p>
      <w:pPr>
        <w:keepNext/>
        <w:widowControl/>
      </w:pPr>
      <w:bookmarkStart w:id="917" w:name="latin-record-0666"/>
      <w:bookmarkEnd w:id="917"/>
      <w:r>
        <w:rPr>
          <w:b/>
          <w:i w:val="0"/>
        </w:rPr>
        <w:t>maior range of causal giving</w:t>
      </w:r>
      <w:r>
        <w:rPr>
          <w:b/>
          <w:i w:val="0"/>
        </w:rPr>
        <w:t>.</w:t>
      </w:r>
      <w:r>
        <w:rPr>
          <w:b w:val="0"/>
          <w:i w:val="0"/>
        </w:rPr>
        <w:t xml:space="preserve"> Printed forms: </w:t>
      </w:r>
      <w:r>
        <w:rPr>
          <w:b w:val="0"/>
          <w:i/>
        </w:rPr>
        <w:t>superat</w:t>
      </w:r>
      <w:r>
        <w:rPr>
          <w:b w:val="0"/>
          <w:i w:val="0"/>
        </w:rPr>
        <w:t xml:space="preserve">; </w:t>
      </w:r>
      <w:r>
        <w:rPr>
          <w:b w:val="0"/>
          <w:i/>
        </w:rPr>
        <w:t>tendit</w:t>
      </w:r>
      <w:r>
        <w:rPr>
          <w:b w:val="0"/>
          <w:i w:val="0"/>
        </w:rPr>
        <w:t>.</w:t>
      </w:r>
    </w:p>
    <w:p>
      <w:pPr>
        <w:widowControl/>
      </w:pPr>
      <w:r>
        <w:rPr>
          <w:b w:val="0"/>
          <w:i w:val="0"/>
        </w:rPr>
        <w:t xml:space="preserve">To surpass and to extend or reach. Mind’s order exceeds life’s range, and goodness exceeds form’s range; the hierarchy is argued through wider scope of effects. References: </w:t>
      </w:r>
      <w:hyperlink w:anchor="passage-i-6-14">
        <w:r>
          <w:rPr>
            <w:color w:val="000000"/>
          </w:rPr>
          <w:t xml:space="preserve">I.6.14</w:t>
        </w:r>
      </w:hyperlink>
      <w:r>
        <w:rPr>
          <w:b w:val="0"/>
          <w:i w:val="0"/>
        </w:rPr>
        <w:t xml:space="preserve">. See </w:t>
      </w:r>
      <w:hyperlink w:anchor="good-and-goodness">
        <w:r>
          <w:rPr>
            <w:color w:val="000000"/>
          </w:rPr>
          <w:t xml:space="preserve">Good and goodness</w:t>
        </w:r>
      </w:hyperlink>
      <w:r>
        <w:rPr>
          <w:b w:val="0"/>
          <w:i w:val="0"/>
        </w:rPr>
        <w:t>.</w:t>
      </w:r>
    </w:p>
    <w:p>
      <w:pPr>
        <w:keepNext/>
        <w:widowControl/>
      </w:pPr>
      <w:bookmarkStart w:id="918" w:name="latin-record-0667"/>
      <w:bookmarkEnd w:id="918"/>
      <w:r>
        <w:rPr>
          <w:b/>
          <w:i w:val="0"/>
        </w:rPr>
        <w:t>malum</w:t>
      </w:r>
      <w:r>
        <w:rPr>
          <w:b/>
          <w:i w:val="0"/>
        </w:rPr>
        <w:t>.</w:t>
      </w:r>
      <w:r>
        <w:rPr>
          <w:b w:val="0"/>
          <w:i w:val="0"/>
        </w:rPr>
        <w:t xml:space="preserve"> Printed forms: </w:t>
      </w:r>
      <w:r>
        <w:rPr>
          <w:b w:val="0"/>
          <w:i/>
        </w:rPr>
        <w:t>mali</w:t>
      </w:r>
      <w:r>
        <w:rPr>
          <w:b w:val="0"/>
          <w:i w:val="0"/>
        </w:rPr>
        <w:t xml:space="preserve">; </w:t>
      </w:r>
      <w:r>
        <w:rPr>
          <w:b w:val="0"/>
          <w:i/>
        </w:rPr>
        <w:t>malo</w:t>
      </w:r>
      <w:r>
        <w:rPr>
          <w:b w:val="0"/>
          <w:i w:val="0"/>
        </w:rPr>
        <w:t xml:space="preserve">; </w:t>
      </w:r>
      <w:r>
        <w:rPr>
          <w:b w:val="0"/>
          <w:i/>
        </w:rPr>
        <w:t>malorum</w:t>
      </w:r>
      <w:r>
        <w:rPr>
          <w:b w:val="0"/>
          <w:i w:val="0"/>
        </w:rPr>
        <w:t xml:space="preserve">; </w:t>
      </w:r>
      <w:r>
        <w:rPr>
          <w:b w:val="0"/>
          <w:i/>
        </w:rPr>
        <w:t>malum</w:t>
      </w:r>
      <w:r>
        <w:rPr>
          <w:b w:val="0"/>
          <w:i w:val="0"/>
        </w:rPr>
        <w:t>.</w:t>
      </w:r>
    </w:p>
    <w:p>
      <w:pPr>
        <w:widowControl/>
      </w:pPr>
      <w:r>
        <w:rPr>
          <w:b w:val="0"/>
          <w:i w:val="0"/>
        </w:rPr>
        <w:t xml:space="preserve">Evil or badness, here tested as a supposed unrestricted first source. The absolute evil hypothesis collapses because causal efficacy, cognition, life, and being are themselves goods. References: </w:t>
      </w:r>
      <w:hyperlink w:anchor="passage-ii-1-4">
        <w:r>
          <w:rPr>
            <w:color w:val="000000"/>
          </w:rPr>
          <w:t xml:space="preserve">II.1.4</w:t>
        </w:r>
      </w:hyperlink>
      <w:r>
        <w:rPr>
          <w:b w:val="0"/>
          <w:i w:val="0"/>
        </w:rPr>
        <w:t xml:space="preserve">, </w:t>
      </w:r>
      <w:hyperlink w:anchor="passage-ii-1-5">
        <w:r>
          <w:rPr>
            <w:color w:val="000000"/>
          </w:rPr>
          <w:t xml:space="preserve">II.1.5</w:t>
        </w:r>
      </w:hyperlink>
      <w:r>
        <w:rPr>
          <w:b w:val="0"/>
          <w:i w:val="0"/>
        </w:rPr>
        <w:t xml:space="preserve">, </w:t>
      </w:r>
      <w:hyperlink w:anchor="passage-ii-2-15">
        <w:r>
          <w:rPr>
            <w:color w:val="000000"/>
          </w:rPr>
          <w:t xml:space="preserve">II.2.15</w:t>
        </w:r>
      </w:hyperlink>
      <w:r>
        <w:rPr>
          <w:b w:val="0"/>
          <w:i w:val="0"/>
        </w:rPr>
        <w:t xml:space="preserve">. See </w:t>
      </w:r>
      <w:hyperlink w:anchor="good-and-goodness">
        <w:r>
          <w:rPr>
            <w:color w:val="000000"/>
          </w:rPr>
          <w:t xml:space="preserve">Good and goodness</w:t>
        </w:r>
      </w:hyperlink>
      <w:r>
        <w:rPr>
          <w:b w:val="0"/>
          <w:i w:val="0"/>
        </w:rPr>
        <w:t>.</w:t>
      </w:r>
    </w:p>
    <w:p>
      <w:pPr>
        <w:keepNext/>
        <w:widowControl/>
      </w:pPr>
      <w:bookmarkStart w:id="919" w:name="latin-record-0668"/>
      <w:bookmarkEnd w:id="919"/>
      <w:r>
        <w:rPr>
          <w:b/>
          <w:i w:val="0"/>
        </w:rPr>
        <w:t>manare / emanare</w:t>
      </w:r>
      <w:r>
        <w:rPr>
          <w:b/>
          <w:i w:val="0"/>
        </w:rPr>
        <w:t>.</w:t>
      </w:r>
      <w:r>
        <w:rPr>
          <w:b w:val="0"/>
          <w:i w:val="0"/>
        </w:rPr>
        <w:t xml:space="preserve"> Printed forms: </w:t>
      </w:r>
      <w:r>
        <w:rPr>
          <w:b w:val="0"/>
          <w:i/>
        </w:rPr>
        <w:t>emanabit</w:t>
      </w:r>
      <w:r>
        <w:rPr>
          <w:b w:val="0"/>
          <w:i w:val="0"/>
        </w:rPr>
        <w:t xml:space="preserve">; </w:t>
      </w:r>
      <w:r>
        <w:rPr>
          <w:b w:val="0"/>
          <w:i/>
        </w:rPr>
        <w:t>manantis</w:t>
      </w:r>
      <w:r>
        <w:rPr>
          <w:b w:val="0"/>
          <w:i w:val="0"/>
        </w:rPr>
        <w:t xml:space="preserve">; </w:t>
      </w:r>
      <w:r>
        <w:rPr>
          <w:b w:val="0"/>
          <w:i/>
        </w:rPr>
        <w:t>manantium</w:t>
      </w:r>
      <w:r>
        <w:rPr>
          <w:b w:val="0"/>
          <w:i w:val="0"/>
        </w:rPr>
        <w:t xml:space="preserve">; </w:t>
      </w:r>
      <w:r>
        <w:rPr>
          <w:b w:val="0"/>
          <w:i/>
        </w:rPr>
        <w:t>manaverint</w:t>
      </w:r>
      <w:r>
        <w:rPr>
          <w:b w:val="0"/>
          <w:i w:val="0"/>
        </w:rPr>
        <w:t>.</w:t>
      </w:r>
    </w:p>
    <w:p>
      <w:pPr>
        <w:widowControl/>
      </w:pPr>
      <w:r>
        <w:rPr>
          <w:b w:val="0"/>
          <w:i w:val="0"/>
        </w:rPr>
        <w:t xml:space="preserve">To flow from or emanate, as a metaphor of derived existence. Effects flow from another and continue to depend on their origin rather than becoming self-sustaining. References: </w:t>
      </w:r>
      <w:hyperlink w:anchor="passage-ii-1-2">
        <w:r>
          <w:rPr>
            <w:color w:val="000000"/>
          </w:rPr>
          <w:t xml:space="preserve">II.1.2</w:t>
        </w:r>
      </w:hyperlink>
      <w:r>
        <w:rPr>
          <w:b w:val="0"/>
          <w:i w:val="0"/>
        </w:rPr>
        <w:t xml:space="preserve">, </w:t>
      </w:r>
      <w:hyperlink w:anchor="passage-ii-3-7">
        <w:r>
          <w:rPr>
            <w:color w:val="000000"/>
          </w:rPr>
          <w:t xml:space="preserve">II.3.7</w:t>
        </w:r>
      </w:hyperlink>
      <w:r>
        <w:rPr>
          <w:b w:val="0"/>
          <w:i w:val="0"/>
        </w:rPr>
        <w:t xml:space="preserve">, </w:t>
      </w:r>
      <w:hyperlink w:anchor="passage-ii-3-8">
        <w:r>
          <w:rPr>
            <w:color w:val="000000"/>
          </w:rPr>
          <w:t xml:space="preserve">II.3.8</w:t>
        </w:r>
      </w:hyperlink>
      <w:r>
        <w:rPr>
          <w:b w:val="0"/>
          <w:i w:val="0"/>
        </w:rPr>
        <w:t xml:space="preserve">, </w:t>
      </w:r>
      <w:hyperlink w:anchor="passage-ii-7-23">
        <w:r>
          <w:rPr>
            <w:color w:val="000000"/>
          </w:rPr>
          <w:t xml:space="preserve">II.7.23</w:t>
        </w:r>
      </w:hyperlink>
      <w:r>
        <w:rPr>
          <w:b w:val="0"/>
          <w:i w:val="0"/>
        </w:rPr>
        <w:t xml:space="preserve">. See </w:t>
      </w:r>
      <w:hyperlink w:anchor="spring-and-flow">
        <w:r>
          <w:rPr>
            <w:color w:val="000000"/>
          </w:rPr>
          <w:t xml:space="preserve">Spring and flow</w:t>
        </w:r>
      </w:hyperlink>
      <w:r>
        <w:rPr>
          <w:b w:val="0"/>
          <w:i w:val="0"/>
        </w:rPr>
        <w:t>.</w:t>
      </w:r>
    </w:p>
    <w:p>
      <w:pPr>
        <w:keepNext/>
        <w:widowControl/>
      </w:pPr>
      <w:bookmarkStart w:id="920" w:name="latin-record-0669"/>
      <w:bookmarkEnd w:id="920"/>
      <w:r>
        <w:rPr>
          <w:b/>
          <w:i w:val="0"/>
        </w:rPr>
        <w:t>manere / exsuperare</w:t>
      </w:r>
      <w:r>
        <w:rPr>
          <w:b/>
          <w:i w:val="0"/>
        </w:rPr>
        <w:t>.</w:t>
      </w:r>
      <w:r>
        <w:rPr>
          <w:b w:val="0"/>
          <w:i w:val="0"/>
        </w:rPr>
        <w:t xml:space="preserve"> Printed forms: </w:t>
      </w:r>
      <w:r>
        <w:rPr>
          <w:b w:val="0"/>
          <w:i/>
        </w:rPr>
        <w:t>exsuperet</w:t>
      </w:r>
      <w:r>
        <w:rPr>
          <w:b w:val="0"/>
          <w:i w:val="0"/>
        </w:rPr>
        <w:t xml:space="preserve">; </w:t>
      </w:r>
      <w:r>
        <w:rPr>
          <w:b w:val="0"/>
          <w:i/>
        </w:rPr>
        <w:t>manet</w:t>
      </w:r>
      <w:r>
        <w:rPr>
          <w:b w:val="0"/>
          <w:i w:val="0"/>
        </w:rPr>
        <w:t>.</w:t>
      </w:r>
    </w:p>
    <w:p>
      <w:pPr>
        <w:widowControl/>
      </w:pPr>
      <w:r>
        <w:rPr>
          <w:b w:val="0"/>
          <w:i w:val="0"/>
        </w:rPr>
        <w:t xml:space="preserve">To remain, and to prevail, respectively. Pure things remain themselves; the alternating victory of rival divine efforts would imply mutable gods. References: </w:t>
      </w:r>
      <w:hyperlink w:anchor="passage-ii-1-1">
        <w:r>
          <w:rPr>
            <w:color w:val="000000"/>
          </w:rPr>
          <w:t xml:space="preserve">II.1.1</w:t>
        </w:r>
      </w:hyperlink>
      <w:r>
        <w:rPr>
          <w:b w:val="0"/>
          <w:i w:val="0"/>
        </w:rPr>
        <w:t xml:space="preserve">, </w:t>
      </w:r>
      <w:hyperlink w:anchor="passage-ii-2-14">
        <w:r>
          <w:rPr>
            <w:color w:val="000000"/>
          </w:rPr>
          <w:t xml:space="preserve">II.2.14</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921" w:name="latin-record-0670"/>
      <w:bookmarkEnd w:id="921"/>
      <w:r>
        <w:rPr>
          <w:b/>
          <w:i w:val="0"/>
        </w:rPr>
        <w:t>manere / permanere / remanere</w:t>
      </w:r>
      <w:r>
        <w:rPr>
          <w:b/>
          <w:i w:val="0"/>
        </w:rPr>
        <w:t>.</w:t>
      </w:r>
      <w:r>
        <w:rPr>
          <w:b w:val="0"/>
          <w:i w:val="0"/>
        </w:rPr>
        <w:t xml:space="preserve"> Printed forms: </w:t>
      </w:r>
      <w:r>
        <w:rPr>
          <w:b w:val="0"/>
          <w:i/>
        </w:rPr>
        <w:t>permanet</w:t>
      </w:r>
      <w:r>
        <w:rPr>
          <w:b w:val="0"/>
          <w:i w:val="0"/>
        </w:rPr>
        <w:t xml:space="preserve">; </w:t>
      </w:r>
      <w:r>
        <w:rPr>
          <w:b w:val="0"/>
          <w:i/>
        </w:rPr>
        <w:t>remanens</w:t>
      </w:r>
      <w:r>
        <w:rPr>
          <w:b w:val="0"/>
          <w:i w:val="0"/>
        </w:rPr>
        <w:t>.</w:t>
      </w:r>
    </w:p>
    <w:p>
      <w:pPr>
        <w:widowControl/>
      </w:pPr>
      <w:r>
        <w:rPr>
          <w:b w:val="0"/>
          <w:i w:val="0"/>
        </w:rPr>
        <w:t xml:space="preserve">Remain or continue. Angel remains full through received goodness, while soul remains whole during its presence in divided body. References: </w:t>
      </w:r>
      <w:hyperlink w:anchor="passage-iii-1-7">
        <w:r>
          <w:rPr>
            <w:color w:val="000000"/>
          </w:rPr>
          <w:t xml:space="preserve">III.1.7</w:t>
        </w:r>
      </w:hyperlink>
      <w:r>
        <w:rPr>
          <w:b w:val="0"/>
          <w:i w:val="0"/>
        </w:rPr>
        <w:t xml:space="preserve">, </w:t>
      </w:r>
      <w:hyperlink w:anchor="passage-iii-2-12">
        <w:r>
          <w:rPr>
            <w:color w:val="000000"/>
          </w:rPr>
          <w:t xml:space="preserve">III.2.12</w:t>
        </w:r>
      </w:hyperlink>
      <w:r>
        <w:rPr>
          <w:b w:val="0"/>
          <w:i w:val="0"/>
        </w:rPr>
        <w:t xml:space="preserve">. See </w:t>
      </w:r>
      <w:hyperlink w:anchor="staying-and-preserving">
        <w:r>
          <w:rPr>
            <w:color w:val="000000"/>
          </w:rPr>
          <w:t xml:space="preserve">Staying and preserving</w:t>
        </w:r>
      </w:hyperlink>
      <w:r>
        <w:rPr>
          <w:b w:val="0"/>
          <w:i w:val="0"/>
        </w:rPr>
        <w:t>.</w:t>
      </w:r>
    </w:p>
    <w:p>
      <w:pPr>
        <w:keepNext/>
        <w:widowControl/>
      </w:pPr>
      <w:bookmarkStart w:id="922" w:name="latin-record-0671"/>
      <w:bookmarkEnd w:id="922"/>
      <w:r>
        <w:rPr>
          <w:b/>
          <w:i w:val="0"/>
        </w:rPr>
        <w:t>manere in agente</w:t>
      </w:r>
      <w:r>
        <w:rPr>
          <w:b/>
          <w:i w:val="0"/>
        </w:rPr>
        <w:t>.</w:t>
      </w:r>
      <w:r>
        <w:rPr>
          <w:b w:val="0"/>
          <w:i w:val="0"/>
        </w:rPr>
        <w:t xml:space="preserve"> Printed forms: </w:t>
      </w:r>
      <w:r>
        <w:rPr>
          <w:b w:val="0"/>
          <w:i/>
        </w:rPr>
        <w:t>in agente manent</w:t>
      </w:r>
      <w:r>
        <w:rPr>
          <w:b w:val="0"/>
          <w:i w:val="0"/>
        </w:rPr>
        <w:t>.</w:t>
      </w:r>
    </w:p>
    <w:p>
      <w:pPr>
        <w:widowControl/>
      </w:pPr>
      <w:r>
        <w:rPr>
          <w:b w:val="0"/>
          <w:i w:val="0"/>
        </w:rPr>
        <w:t xml:space="preserve">Remaining in the agent, as contrasted with passing into external matter. Cognition and appetite perfect the agent; this distinction helps explain the identity of divine essence and operation. References: </w:t>
      </w:r>
      <w:hyperlink w:anchor="passage-ii-9-5">
        <w:r>
          <w:rPr>
            <w:color w:val="000000"/>
          </w:rPr>
          <w:t xml:space="preserve">II.9.5</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923" w:name="latin-record-0672"/>
      <w:bookmarkEnd w:id="923"/>
      <w:r>
        <w:rPr>
          <w:b/>
          <w:i w:val="0"/>
        </w:rPr>
        <w:t>Manichaei / Gnostici</w:t>
      </w:r>
      <w:r>
        <w:rPr>
          <w:b/>
          <w:i w:val="0"/>
        </w:rPr>
        <w:t>.</w:t>
      </w:r>
      <w:r>
        <w:rPr>
          <w:b w:val="0"/>
          <w:i w:val="0"/>
        </w:rPr>
        <w:t xml:space="preserve"> Printed forms: </w:t>
      </w:r>
      <w:r>
        <w:rPr>
          <w:b w:val="0"/>
          <w:i/>
        </w:rPr>
        <w:t>Gnosticisque</w:t>
      </w:r>
      <w:r>
        <w:rPr>
          <w:b w:val="0"/>
          <w:i w:val="0"/>
        </w:rPr>
        <w:t xml:space="preserve">; </w:t>
      </w:r>
      <w:r>
        <w:rPr>
          <w:b w:val="0"/>
          <w:i/>
        </w:rPr>
        <w:t>Manichaeis</w:t>
      </w:r>
      <w:r>
        <w:rPr>
          <w:b w:val="0"/>
          <w:i w:val="0"/>
        </w:rPr>
        <w:t>.</w:t>
      </w:r>
    </w:p>
    <w:p>
      <w:pPr>
        <w:widowControl/>
      </w:pPr>
      <w:r>
        <w:rPr>
          <w:b w:val="0"/>
          <w:i w:val="0"/>
        </w:rPr>
        <w:t xml:space="preserve">The groups to whom Ficino attributes opposed good and evil divine principles. These are local polemical identifications, not comprehensive or independently verified definitions of the traditions. References: </w:t>
      </w:r>
      <w:hyperlink w:anchor="passage-ii-2-14">
        <w:r>
          <w:rPr>
            <w:color w:val="000000"/>
          </w:rPr>
          <w:t xml:space="preserve">II.2.14</w:t>
        </w:r>
      </w:hyperlink>
      <w:r>
        <w:rPr>
          <w:b w:val="0"/>
          <w:i w:val="0"/>
        </w:rPr>
        <w:t xml:space="preserve">. See </w:t>
      </w:r>
      <w:hyperlink w:anchor="manichaeans-and-gnostic-philosophers">
        <w:r>
          <w:rPr>
            <w:color w:val="000000"/>
          </w:rPr>
          <w:t xml:space="preserve">Manichaeans and Gnostic philosophers</w:t>
        </w:r>
      </w:hyperlink>
      <w:r>
        <w:rPr>
          <w:b w:val="0"/>
          <w:i w:val="0"/>
        </w:rPr>
        <w:t>.</w:t>
      </w:r>
    </w:p>
    <w:p>
      <w:pPr>
        <w:keepNext/>
        <w:widowControl/>
      </w:pPr>
      <w:bookmarkStart w:id="924" w:name="latin-record-0673"/>
      <w:bookmarkEnd w:id="924"/>
      <w:r>
        <w:rPr>
          <w:b/>
          <w:i w:val="0"/>
        </w:rPr>
        <w:t>materia</w:t>
      </w:r>
      <w:r>
        <w:rPr>
          <w:b/>
          <w:i w:val="0"/>
        </w:rPr>
        <w:t>.</w:t>
      </w:r>
      <w:r>
        <w:rPr>
          <w:b w:val="0"/>
          <w:i w:val="0"/>
        </w:rPr>
        <w:t xml:space="preserve"> Printed forms: </w:t>
      </w:r>
      <w:r>
        <w:rPr>
          <w:b w:val="0"/>
          <w:i/>
        </w:rPr>
        <w:t>materia</w:t>
      </w:r>
      <w:r>
        <w:rPr>
          <w:b w:val="0"/>
          <w:i w:val="0"/>
        </w:rPr>
        <w:t xml:space="preserve">; </w:t>
      </w:r>
      <w:r>
        <w:rPr>
          <w:b w:val="0"/>
          <w:i/>
        </w:rPr>
        <w:t>materiae</w:t>
      </w:r>
      <w:r>
        <w:rPr>
          <w:b w:val="0"/>
          <w:i w:val="0"/>
        </w:rPr>
        <w:t xml:space="preserve">; </w:t>
      </w:r>
      <w:r>
        <w:rPr>
          <w:b w:val="0"/>
          <w:i/>
        </w:rPr>
        <w:t>materiam</w:t>
      </w:r>
      <w:r>
        <w:rPr>
          <w:b w:val="0"/>
          <w:i w:val="0"/>
        </w:rPr>
        <w:t>.</w:t>
      </w:r>
    </w:p>
    <w:p>
      <w:pPr>
        <w:widowControl/>
      </w:pPr>
      <w:r>
        <w:rPr>
          <w:b w:val="0"/>
          <w:i w:val="0"/>
        </w:rPr>
        <w:t xml:space="preserve">Receptive matter, with primary matter produced without a prior material subject. Its unlimited receptivity is a potential infinity, distinct from pure nothing and from active divine infinity. References: </w:t>
      </w:r>
      <w:hyperlink w:anchor="passage-ii-4-6">
        <w:r>
          <w:rPr>
            <w:color w:val="000000"/>
          </w:rPr>
          <w:t xml:space="preserve">II.4.6</w:t>
        </w:r>
      </w:hyperlink>
      <w:r>
        <w:rPr>
          <w:b w:val="0"/>
          <w:i w:val="0"/>
        </w:rPr>
        <w:t xml:space="preserve">, </w:t>
      </w:r>
      <w:hyperlink w:anchor="passage-ii-6-2">
        <w:r>
          <w:rPr>
            <w:color w:val="000000"/>
          </w:rPr>
          <w:t xml:space="preserve">II.6.2</w:t>
        </w:r>
      </w:hyperlink>
      <w:r>
        <w:rPr>
          <w:b w:val="0"/>
          <w:i w:val="0"/>
        </w:rPr>
        <w:t xml:space="preserve">, </w:t>
      </w:r>
      <w:hyperlink w:anchor="passage-ii-10-3">
        <w:r>
          <w:rPr>
            <w:color w:val="000000"/>
          </w:rPr>
          <w:t xml:space="preserve">II.10.3</w:t>
        </w:r>
      </w:hyperlink>
      <w:r>
        <w:rPr>
          <w:b w:val="0"/>
          <w:i w:val="0"/>
        </w:rPr>
        <w:t xml:space="preserve">. See </w:t>
      </w:r>
      <w:hyperlink w:anchor="matter">
        <w:r>
          <w:rPr>
            <w:color w:val="000000"/>
          </w:rPr>
          <w:t xml:space="preserve">Matter</w:t>
        </w:r>
      </w:hyperlink>
      <w:r>
        <w:rPr>
          <w:b w:val="0"/>
          <w:i w:val="0"/>
        </w:rPr>
        <w:t>.</w:t>
      </w:r>
    </w:p>
    <w:p>
      <w:pPr>
        <w:widowControl/>
      </w:pPr>
      <w:r>
        <w:rPr>
          <w:b w:val="0"/>
          <w:i w:val="0"/>
        </w:rPr>
        <w:t xml:space="preserve">Matter, the receptive subject. The craftsman and father use received material; the creator is said to produce both matter and form. References: </w:t>
      </w:r>
      <w:hyperlink w:anchor="passage-ii-13-2">
        <w:r>
          <w:rPr>
            <w:color w:val="000000"/>
          </w:rPr>
          <w:t xml:space="preserve">II.13.2</w:t>
        </w:r>
      </w:hyperlink>
      <w:r>
        <w:rPr>
          <w:b w:val="0"/>
          <w:i w:val="0"/>
        </w:rPr>
        <w:t xml:space="preserve">. See </w:t>
      </w:r>
      <w:hyperlink w:anchor="matter">
        <w:r>
          <w:rPr>
            <w:color w:val="000000"/>
          </w:rPr>
          <w:t xml:space="preserve">Matter</w:t>
        </w:r>
      </w:hyperlink>
      <w:r>
        <w:rPr>
          <w:b w:val="0"/>
          <w:i w:val="0"/>
        </w:rPr>
        <w:t>.</w:t>
      </w:r>
    </w:p>
    <w:p>
      <w:pPr>
        <w:keepNext/>
        <w:widowControl/>
      </w:pPr>
      <w:bookmarkStart w:id="925" w:name="latin-record-0674"/>
      <w:bookmarkEnd w:id="925"/>
      <w:r>
        <w:rPr>
          <w:b/>
          <w:i w:val="0"/>
        </w:rPr>
        <w:t>materia / quantitas</w:t>
      </w:r>
      <w:r>
        <w:rPr>
          <w:b/>
          <w:i w:val="0"/>
        </w:rPr>
        <w:t>.</w:t>
      </w:r>
      <w:r>
        <w:rPr>
          <w:b w:val="0"/>
          <w:i w:val="0"/>
        </w:rPr>
        <w:t xml:space="preserve"> Printed forms: </w:t>
      </w:r>
      <w:r>
        <w:rPr>
          <w:b w:val="0"/>
          <w:i/>
        </w:rPr>
        <w:t>materia</w:t>
      </w:r>
      <w:r>
        <w:rPr>
          <w:b w:val="0"/>
          <w:i w:val="0"/>
        </w:rPr>
        <w:t xml:space="preserve">; </w:t>
      </w:r>
      <w:r>
        <w:rPr>
          <w:b w:val="0"/>
          <w:i/>
        </w:rPr>
        <w:t>Quantitas</w:t>
      </w:r>
      <w:r>
        <w:rPr>
          <w:b w:val="0"/>
          <w:i w:val="0"/>
        </w:rPr>
        <w:t xml:space="preserve">; </w:t>
      </w:r>
      <w:r>
        <w:rPr>
          <w:b w:val="0"/>
          <w:i/>
        </w:rPr>
        <w:t>quantitate</w:t>
      </w:r>
      <w:r>
        <w:rPr>
          <w:b w:val="0"/>
          <w:i w:val="0"/>
        </w:rPr>
        <w:t>.</w:t>
      </w:r>
    </w:p>
    <w:p>
      <w:pPr>
        <w:widowControl/>
      </w:pPr>
      <w:r>
        <w:rPr>
          <w:b w:val="0"/>
          <w:i w:val="0"/>
        </w:rPr>
        <w:t xml:space="preserve">Matter and quantity as constituents of body. Quantity is considered either matter’s extension or something making matter susceptible to division; the opening deliberately allows these alternative analyses. References: </w:t>
      </w:r>
      <w:hyperlink w:anchor="passage-i-2-1">
        <w:r>
          <w:rPr>
            <w:color w:val="000000"/>
          </w:rPr>
          <w:t xml:space="preserve">I.2.1</w:t>
        </w:r>
      </w:hyperlink>
      <w:r>
        <w:rPr>
          <w:b w:val="0"/>
          <w:i w:val="0"/>
        </w:rPr>
        <w:t xml:space="preserve">. See </w:t>
      </w:r>
      <w:hyperlink w:anchor="matter">
        <w:r>
          <w:rPr>
            <w:color w:val="000000"/>
          </w:rPr>
          <w:t xml:space="preserve">Matter</w:t>
        </w:r>
      </w:hyperlink>
      <w:r>
        <w:rPr>
          <w:b w:val="0"/>
          <w:i w:val="0"/>
        </w:rPr>
        <w:t>.</w:t>
      </w:r>
    </w:p>
    <w:p>
      <w:pPr>
        <w:keepNext/>
        <w:widowControl/>
      </w:pPr>
      <w:bookmarkStart w:id="926" w:name="latin-record-0675"/>
      <w:bookmarkEnd w:id="926"/>
      <w:r>
        <w:rPr>
          <w:b/>
          <w:i w:val="0"/>
        </w:rPr>
        <w:t>materia aliena / propria</w:t>
      </w:r>
      <w:r>
        <w:rPr>
          <w:b/>
          <w:i w:val="0"/>
        </w:rPr>
        <w:t>.</w:t>
      </w:r>
      <w:r>
        <w:rPr>
          <w:b w:val="0"/>
          <w:i w:val="0"/>
        </w:rPr>
        <w:t xml:space="preserve"> Printed forms: </w:t>
      </w:r>
      <w:r>
        <w:rPr>
          <w:b w:val="0"/>
          <w:i/>
        </w:rPr>
        <w:t>materia propria</w:t>
      </w:r>
      <w:r>
        <w:rPr>
          <w:b w:val="0"/>
          <w:i w:val="0"/>
        </w:rPr>
        <w:t xml:space="preserve">; </w:t>
      </w:r>
      <w:r>
        <w:rPr>
          <w:b w:val="0"/>
          <w:i/>
        </w:rPr>
        <w:t>materiam alienam</w:t>
      </w:r>
      <w:r>
        <w:rPr>
          <w:b w:val="0"/>
          <w:i w:val="0"/>
        </w:rPr>
        <w:t>.</w:t>
      </w:r>
    </w:p>
    <w:p>
      <w:pPr>
        <w:widowControl/>
      </w:pPr>
      <w:r>
        <w:rPr>
          <w:b w:val="0"/>
          <w:i w:val="0"/>
        </w:rPr>
        <w:t xml:space="preserve">Other matter and one’s own underlying matter. Quantity and quality are compared by whether they act on their own subject, another subject, both or neither; aliena does not mean morally alien. References: </w:t>
      </w:r>
      <w:hyperlink w:anchor="passage-i-2-10">
        <w:r>
          <w:rPr>
            <w:color w:val="000000"/>
          </w:rPr>
          <w:t xml:space="preserve">I.2.10</w:t>
        </w:r>
      </w:hyperlink>
      <w:r>
        <w:rPr>
          <w:b w:val="0"/>
          <w:i w:val="0"/>
        </w:rPr>
        <w:t xml:space="preserve">, </w:t>
      </w:r>
      <w:hyperlink w:anchor="passage-i-3-19">
        <w:r>
          <w:rPr>
            <w:color w:val="000000"/>
          </w:rPr>
          <w:t xml:space="preserve">I.3.19</w:t>
        </w:r>
      </w:hyperlink>
      <w:r>
        <w:rPr>
          <w:b w:val="0"/>
          <w:i w:val="0"/>
        </w:rPr>
        <w:t xml:space="preserve">. See </w:t>
      </w:r>
      <w:hyperlink w:anchor="quality">
        <w:r>
          <w:rPr>
            <w:color w:val="000000"/>
          </w:rPr>
          <w:t xml:space="preserve">Quality</w:t>
        </w:r>
      </w:hyperlink>
      <w:r>
        <w:rPr>
          <w:b w:val="0"/>
          <w:i w:val="0"/>
        </w:rPr>
        <w:t>.</w:t>
      </w:r>
    </w:p>
    <w:p>
      <w:pPr>
        <w:keepNext/>
        <w:widowControl/>
      </w:pPr>
      <w:bookmarkStart w:id="927" w:name="latin-record-0676"/>
      <w:bookmarkEnd w:id="927"/>
      <w:r>
        <w:rPr>
          <w:b/>
          <w:i w:val="0"/>
        </w:rPr>
        <w:t>mathematicus / metaphysicus</w:t>
      </w:r>
      <w:r>
        <w:rPr>
          <w:b/>
          <w:i w:val="0"/>
        </w:rPr>
        <w:t>.</w:t>
      </w:r>
      <w:r>
        <w:rPr>
          <w:b w:val="0"/>
          <w:i w:val="0"/>
        </w:rPr>
        <w:t xml:space="preserve"> Printed forms: </w:t>
      </w:r>
      <w:r>
        <w:rPr>
          <w:b w:val="0"/>
          <w:i/>
        </w:rPr>
        <w:t>mathematicas</w:t>
      </w:r>
      <w:r>
        <w:rPr>
          <w:b w:val="0"/>
          <w:i w:val="0"/>
        </w:rPr>
        <w:t xml:space="preserve">; </w:t>
      </w:r>
      <w:r>
        <w:rPr>
          <w:b w:val="0"/>
          <w:i/>
        </w:rPr>
        <w:t>metaphysicas</w:t>
      </w:r>
      <w:r>
        <w:rPr>
          <w:b w:val="0"/>
          <w:i w:val="0"/>
        </w:rPr>
        <w:t>.</w:t>
      </w:r>
    </w:p>
    <w:p>
      <w:pPr>
        <w:widowControl/>
      </w:pPr>
      <w:r>
        <w:rPr>
          <w:b w:val="0"/>
          <w:i w:val="0"/>
        </w:rPr>
        <w:t xml:space="preserve">Mathematical and metaphysical forms. The distinction is drawn through dependence on indeterminate matter or on no matter, within a mental ascent beyond determinate natural forms. References: </w:t>
      </w:r>
      <w:hyperlink w:anchor="passage-i-3-12">
        <w:r>
          <w:rPr>
            <w:color w:val="000000"/>
          </w:rPr>
          <w:t xml:space="preserve">I.3.12</w:t>
        </w:r>
      </w:hyperlink>
      <w:r>
        <w:rPr>
          <w:b w:val="0"/>
          <w:i w:val="0"/>
        </w:rPr>
        <w:t xml:space="preserve">. See </w:t>
      </w:r>
      <w:hyperlink w:anchor="point-position-and-mathematical-ascent">
        <w:r>
          <w:rPr>
            <w:color w:val="000000"/>
          </w:rPr>
          <w:t xml:space="preserve">Point, position and mathematical ascent</w:t>
        </w:r>
      </w:hyperlink>
      <w:r>
        <w:rPr>
          <w:b w:val="0"/>
          <w:i w:val="0"/>
        </w:rPr>
        <w:t>.</w:t>
      </w:r>
    </w:p>
    <w:p>
      <w:pPr>
        <w:keepNext/>
        <w:widowControl/>
      </w:pPr>
      <w:bookmarkStart w:id="928" w:name="latin-record-0677"/>
      <w:bookmarkEnd w:id="928"/>
      <w:r>
        <w:rPr>
          <w:b/>
          <w:i w:val="0"/>
        </w:rPr>
        <w:t>medium</w:t>
      </w:r>
      <w:r>
        <w:rPr>
          <w:b/>
          <w:i w:val="0"/>
        </w:rPr>
        <w:t>.</w:t>
      </w:r>
      <w:r>
        <w:rPr>
          <w:b w:val="0"/>
          <w:i w:val="0"/>
        </w:rPr>
        <w:t xml:space="preserve"> Printed forms: </w:t>
      </w:r>
      <w:r>
        <w:rPr>
          <w:b w:val="0"/>
          <w:i/>
        </w:rPr>
        <w:t>media</w:t>
      </w:r>
      <w:r>
        <w:rPr>
          <w:b w:val="0"/>
          <w:i w:val="0"/>
        </w:rPr>
        <w:t xml:space="preserve">; </w:t>
      </w:r>
      <w:r>
        <w:rPr>
          <w:b w:val="0"/>
          <w:i/>
        </w:rPr>
        <w:t>medio</w:t>
      </w:r>
      <w:r>
        <w:rPr>
          <w:b w:val="0"/>
          <w:i w:val="0"/>
        </w:rPr>
        <w:t xml:space="preserve">; </w:t>
      </w:r>
      <w:r>
        <w:rPr>
          <w:b w:val="0"/>
          <w:i/>
        </w:rPr>
        <w:t>mediorum</w:t>
      </w:r>
      <w:r>
        <w:rPr>
          <w:b w:val="0"/>
          <w:i w:val="0"/>
        </w:rPr>
        <w:t>.</w:t>
      </w:r>
    </w:p>
    <w:p>
      <w:pPr>
        <w:widowControl/>
      </w:pPr>
      <w:r>
        <w:rPr>
          <w:b w:val="0"/>
          <w:i w:val="0"/>
        </w:rPr>
        <w:t xml:space="preserve">An intervening medium or means. Natural diversity can depend on media; God’s production of first matter and minds is said to require neither medium nor subject. References: </w:t>
      </w:r>
      <w:hyperlink w:anchor="passage-ii-11-9">
        <w:r>
          <w:rPr>
            <w:color w:val="000000"/>
          </w:rPr>
          <w:t xml:space="preserve">II.11.9</w:t>
        </w:r>
      </w:hyperlink>
      <w:r>
        <w:rPr>
          <w:b w:val="0"/>
          <w:i w:val="0"/>
        </w:rPr>
        <w:t xml:space="preserve">. See </w:t>
      </w:r>
      <w:hyperlink w:anchor="cause">
        <w:r>
          <w:rPr>
            <w:color w:val="000000"/>
          </w:rPr>
          <w:t xml:space="preserve">Cause</w:t>
        </w:r>
      </w:hyperlink>
      <w:r>
        <w:rPr>
          <w:b w:val="0"/>
          <w:i w:val="0"/>
        </w:rPr>
        <w:t>.</w:t>
      </w:r>
    </w:p>
    <w:p>
      <w:pPr>
        <w:keepNext/>
        <w:widowControl/>
      </w:pPr>
      <w:bookmarkStart w:id="929" w:name="latin-record-0678"/>
      <w:bookmarkEnd w:id="929"/>
      <w:r>
        <w:rPr>
          <w:b/>
          <w:i w:val="0"/>
        </w:rPr>
        <w:t>medium / interpono</w:t>
      </w:r>
      <w:r>
        <w:rPr>
          <w:b/>
          <w:i w:val="0"/>
        </w:rPr>
        <w:t>.</w:t>
      </w:r>
      <w:r>
        <w:rPr>
          <w:b w:val="0"/>
          <w:i w:val="0"/>
        </w:rPr>
        <w:t xml:space="preserve"> Printed forms: </w:t>
      </w:r>
      <w:r>
        <w:rPr>
          <w:b w:val="0"/>
          <w:i/>
        </w:rPr>
        <w:t>interponendus</w:t>
      </w:r>
      <w:r>
        <w:rPr>
          <w:b w:val="0"/>
          <w:i w:val="0"/>
        </w:rPr>
        <w:t xml:space="preserve">; </w:t>
      </w:r>
      <w:r>
        <w:rPr>
          <w:b w:val="0"/>
          <w:i/>
        </w:rPr>
        <w:t>Media</w:t>
      </w:r>
      <w:r>
        <w:rPr>
          <w:b w:val="0"/>
          <w:i w:val="0"/>
        </w:rPr>
        <w:t xml:space="preserve">; </w:t>
      </w:r>
      <w:r>
        <w:rPr>
          <w:b w:val="0"/>
          <w:i/>
        </w:rPr>
        <w:t>medium</w:t>
      </w:r>
      <w:r>
        <w:rPr>
          <w:b w:val="0"/>
          <w:i w:val="0"/>
        </w:rPr>
        <w:t>.</w:t>
      </w:r>
    </w:p>
    <w:p>
      <w:pPr>
        <w:widowControl/>
      </w:pPr>
      <w:r>
        <w:rPr>
          <w:b w:val="0"/>
          <w:i w:val="0"/>
        </w:rPr>
        <w:t xml:space="preserve">An intermediary; to place between. Ficino tests whether intervening bodies could carry celestial causation to a local fire; he judges them unsuitable within the particular argument. References: </w:t>
      </w:r>
      <w:hyperlink w:anchor="passage-i-3-9">
        <w:r>
          <w:rPr>
            <w:color w:val="000000"/>
          </w:rPr>
          <w:t xml:space="preserve">I.3.9</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930" w:name="latin-record-0679"/>
      <w:bookmarkEnd w:id="930"/>
      <w:r>
        <w:rPr>
          <w:b/>
          <w:i w:val="0"/>
        </w:rPr>
        <w:t>medium / particularis</w:t>
      </w:r>
      <w:r>
        <w:rPr>
          <w:b/>
          <w:i w:val="0"/>
        </w:rPr>
        <w:t>.</w:t>
      </w:r>
      <w:r>
        <w:rPr>
          <w:b w:val="0"/>
          <w:i w:val="0"/>
        </w:rPr>
        <w:t xml:space="preserve"> Printed forms: </w:t>
      </w:r>
      <w:r>
        <w:rPr>
          <w:b w:val="0"/>
          <w:i/>
        </w:rPr>
        <w:t>medias</w:t>
      </w:r>
      <w:r>
        <w:rPr>
          <w:b w:val="0"/>
          <w:i w:val="0"/>
        </w:rPr>
        <w:t xml:space="preserve">; </w:t>
      </w:r>
      <w:r>
        <w:rPr>
          <w:b w:val="0"/>
          <w:i/>
        </w:rPr>
        <w:t>medius</w:t>
      </w:r>
      <w:r>
        <w:rPr>
          <w:b w:val="0"/>
          <w:i w:val="0"/>
        </w:rPr>
        <w:t xml:space="preserve">; </w:t>
      </w:r>
      <w:r>
        <w:rPr>
          <w:b w:val="0"/>
          <w:i/>
        </w:rPr>
        <w:t>particulari</w:t>
      </w:r>
      <w:r>
        <w:rPr>
          <w:b w:val="0"/>
          <w:i w:val="0"/>
        </w:rPr>
        <w:t xml:space="preserve">; </w:t>
      </w:r>
      <w:r>
        <w:rPr>
          <w:b w:val="0"/>
          <w:i/>
        </w:rPr>
        <w:t>particularis</w:t>
      </w:r>
      <w:r>
        <w:rPr>
          <w:b w:val="0"/>
          <w:i w:val="0"/>
        </w:rPr>
        <w:t xml:space="preserve">; </w:t>
      </w:r>
      <w:r>
        <w:rPr>
          <w:b w:val="0"/>
          <w:i/>
        </w:rPr>
        <w:t>particulas</w:t>
      </w:r>
      <w:r>
        <w:rPr>
          <w:b w:val="0"/>
          <w:i w:val="0"/>
        </w:rPr>
        <w:t>.</w:t>
      </w:r>
    </w:p>
    <w:p>
      <w:pPr>
        <w:widowControl/>
      </w:pPr>
      <w:r>
        <w:rPr>
          <w:b w:val="0"/>
          <w:i w:val="0"/>
        </w:rPr>
        <w:t xml:space="preserve">Intermediate; particular; a small part. Intermediate causes differ from the universal source, while particles belong to the argument about corporeal divisibility. References: </w:t>
      </w:r>
      <w:hyperlink w:anchor="passage-ii-3-9">
        <w:r>
          <w:rPr>
            <w:color w:val="000000"/>
          </w:rPr>
          <w:t xml:space="preserve">II.3.9</w:t>
        </w:r>
      </w:hyperlink>
      <w:r>
        <w:rPr>
          <w:b w:val="0"/>
          <w:i w:val="0"/>
        </w:rPr>
        <w:t xml:space="preserve">, </w:t>
      </w:r>
      <w:hyperlink w:anchor="passage-ii-6-2">
        <w:r>
          <w:rPr>
            <w:color w:val="000000"/>
          </w:rPr>
          <w:t xml:space="preserve">II.6.2</w:t>
        </w:r>
      </w:hyperlink>
      <w:r>
        <w:rPr>
          <w:b w:val="0"/>
          <w:i w:val="0"/>
        </w:rPr>
        <w:t xml:space="preserve">, </w:t>
      </w:r>
      <w:hyperlink w:anchor="passage-ii-6-13">
        <w:r>
          <w:rPr>
            <w:color w:val="000000"/>
          </w:rPr>
          <w:t xml:space="preserve">II.6.13</w:t>
        </w:r>
      </w:hyperlink>
      <w:r>
        <w:rPr>
          <w:b w:val="0"/>
          <w:i w:val="0"/>
        </w:rPr>
        <w:t xml:space="preserve">, </w:t>
      </w:r>
      <w:hyperlink w:anchor="passage-ii-9-14">
        <w:r>
          <w:rPr>
            <w:color w:val="000000"/>
          </w:rPr>
          <w:t xml:space="preserve">II.9.14</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931" w:name="latin-record-0680"/>
      <w:bookmarkEnd w:id="931"/>
      <w:r>
        <w:rPr>
          <w:b/>
          <w:i w:val="0"/>
        </w:rPr>
        <w:t>medium competens</w:t>
      </w:r>
      <w:r>
        <w:rPr>
          <w:b/>
          <w:i w:val="0"/>
        </w:rPr>
        <w:t>.</w:t>
      </w:r>
      <w:r>
        <w:rPr>
          <w:b w:val="0"/>
          <w:i w:val="0"/>
        </w:rPr>
        <w:t xml:space="preserve"> Printed forms: </w:t>
      </w:r>
      <w:r>
        <w:rPr>
          <w:b w:val="0"/>
          <w:i/>
        </w:rPr>
        <w:t>medium competens</w:t>
      </w:r>
      <w:r>
        <w:rPr>
          <w:b w:val="0"/>
          <w:i w:val="0"/>
        </w:rPr>
        <w:t>.</w:t>
      </w:r>
    </w:p>
    <w:p>
      <w:pPr>
        <w:widowControl/>
      </w:pPr>
      <w:r>
        <w:rPr>
          <w:b w:val="0"/>
          <w:i w:val="0"/>
        </w:rPr>
        <w:t xml:space="preserve">An intermediary suitable in the relevant respects. Earth’s universal soul combines the earthly character of the effect with the universality of the higher impulse. References: </w:t>
      </w:r>
      <w:hyperlink w:anchor="passage-iv-1-7">
        <w:r>
          <w:rPr>
            <w:color w:val="000000"/>
          </w:rPr>
          <w:t xml:space="preserve">IV.1.7</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932" w:name="latin-record-0681"/>
      <w:bookmarkEnd w:id="932"/>
      <w:r>
        <w:rPr>
          <w:b/>
          <w:i w:val="0"/>
        </w:rPr>
        <w:t>mel / guttula</w:t>
      </w:r>
      <w:r>
        <w:rPr>
          <w:b/>
          <w:i w:val="0"/>
        </w:rPr>
        <w:t>.</w:t>
      </w:r>
      <w:r>
        <w:rPr>
          <w:b w:val="0"/>
          <w:i w:val="0"/>
        </w:rPr>
        <w:t xml:space="preserve"> Printed forms: </w:t>
      </w:r>
      <w:r>
        <w:rPr>
          <w:b w:val="0"/>
          <w:i/>
        </w:rPr>
        <w:t>guttula</w:t>
      </w:r>
      <w:r>
        <w:rPr>
          <w:b w:val="0"/>
          <w:i w:val="0"/>
        </w:rPr>
        <w:t xml:space="preserve">; </w:t>
      </w:r>
      <w:r>
        <w:rPr>
          <w:b w:val="0"/>
          <w:i/>
        </w:rPr>
        <w:t>mellis</w:t>
      </w:r>
      <w:r>
        <w:rPr>
          <w:b w:val="0"/>
          <w:i w:val="0"/>
        </w:rPr>
        <w:t>.</w:t>
      </w:r>
    </w:p>
    <w:p>
      <w:pPr>
        <w:widowControl/>
      </w:pPr>
      <w:r>
        <w:rPr>
          <w:b w:val="0"/>
          <w:i w:val="0"/>
        </w:rPr>
        <w:t xml:space="preserve">Honey and a small drop. Each drop’s simultaneous colour, taste and smell is offered as evidence that several qualities can coexist where two bodies cannot. References: </w:t>
      </w:r>
      <w:hyperlink w:anchor="passage-i-2-15">
        <w:r>
          <w:rPr>
            <w:color w:val="000000"/>
          </w:rPr>
          <w:t xml:space="preserve">I.2.15</w:t>
        </w:r>
      </w:hyperlink>
      <w:r>
        <w:rPr>
          <w:b w:val="0"/>
          <w:i w:val="0"/>
        </w:rPr>
        <w:t xml:space="preserve">. See </w:t>
      </w:r>
      <w:hyperlink w:anchor="honey-whiteness-and-the-wall">
        <w:r>
          <w:rPr>
            <w:color w:val="000000"/>
          </w:rPr>
          <w:t xml:space="preserve">Honey, whiteness and the wall</w:t>
        </w:r>
      </w:hyperlink>
      <w:r>
        <w:rPr>
          <w:b w:val="0"/>
          <w:i w:val="0"/>
        </w:rPr>
        <w:t>.</w:t>
      </w:r>
    </w:p>
    <w:p>
      <w:pPr>
        <w:keepNext/>
        <w:widowControl/>
      </w:pPr>
      <w:bookmarkStart w:id="933" w:name="latin-record-0682"/>
      <w:bookmarkEnd w:id="933"/>
      <w:r>
        <w:rPr>
          <w:b/>
          <w:i w:val="0"/>
        </w:rPr>
        <w:t>melior / melius</w:t>
      </w:r>
      <w:r>
        <w:rPr>
          <w:b/>
          <w:i w:val="0"/>
        </w:rPr>
        <w:t>.</w:t>
      </w:r>
      <w:r>
        <w:rPr>
          <w:b w:val="0"/>
          <w:i w:val="0"/>
        </w:rPr>
        <w:t xml:space="preserve"> Printed forms: </w:t>
      </w:r>
      <w:r>
        <w:rPr>
          <w:b w:val="0"/>
          <w:i/>
        </w:rPr>
        <w:t>melior</w:t>
      </w:r>
      <w:r>
        <w:rPr>
          <w:b w:val="0"/>
          <w:i w:val="0"/>
        </w:rPr>
        <w:t xml:space="preserve">; </w:t>
      </w:r>
      <w:r>
        <w:rPr>
          <w:b w:val="0"/>
          <w:i/>
        </w:rPr>
        <w:t>meliorem</w:t>
      </w:r>
      <w:r>
        <w:rPr>
          <w:b w:val="0"/>
          <w:i w:val="0"/>
        </w:rPr>
        <w:t xml:space="preserve">; </w:t>
      </w:r>
      <w:r>
        <w:rPr>
          <w:b w:val="0"/>
          <w:i/>
        </w:rPr>
        <w:t>meliores</w:t>
      </w:r>
      <w:r>
        <w:rPr>
          <w:b w:val="0"/>
          <w:i w:val="0"/>
        </w:rPr>
        <w:t xml:space="preserve">; </w:t>
      </w:r>
      <w:r>
        <w:rPr>
          <w:b w:val="0"/>
          <w:i/>
        </w:rPr>
        <w:t>meliori</w:t>
      </w:r>
      <w:r>
        <w:rPr>
          <w:b w:val="0"/>
          <w:i w:val="0"/>
        </w:rPr>
        <w:t xml:space="preserve">; </w:t>
      </w:r>
      <w:r>
        <w:rPr>
          <w:b w:val="0"/>
          <w:i/>
        </w:rPr>
        <w:t>Melius</w:t>
      </w:r>
      <w:r>
        <w:rPr>
          <w:b w:val="0"/>
          <w:i w:val="0"/>
        </w:rPr>
        <w:t xml:space="preserve">; </w:t>
      </w:r>
      <w:r>
        <w:rPr>
          <w:b w:val="0"/>
          <w:i/>
        </w:rPr>
        <w:t>melius</w:t>
      </w:r>
      <w:r>
        <w:rPr>
          <w:b w:val="0"/>
          <w:i w:val="0"/>
        </w:rPr>
        <w:t>.</w:t>
      </w:r>
    </w:p>
    <w:p>
      <w:pPr>
        <w:widowControl/>
      </w:pPr>
      <w:r>
        <w:rPr>
          <w:b w:val="0"/>
          <w:i w:val="0"/>
        </w:rPr>
        <w:t xml:space="preserve">Better, with comparison grounded locally in greater goodness. The soul’s superiority to body and the alleged better gift require a standard of comparison. References: </w:t>
      </w:r>
      <w:hyperlink w:anchor="passage-ii-1-6">
        <w:r>
          <w:rPr>
            <w:color w:val="000000"/>
          </w:rPr>
          <w:t xml:space="preserve">II.1.6</w:t>
        </w:r>
      </w:hyperlink>
      <w:r>
        <w:rPr>
          <w:b w:val="0"/>
          <w:i w:val="0"/>
        </w:rPr>
        <w:t xml:space="preserve">, </w:t>
      </w:r>
      <w:hyperlink w:anchor="passage-ii-3-4">
        <w:r>
          <w:rPr>
            <w:color w:val="000000"/>
          </w:rPr>
          <w:t xml:space="preserve">II.3.4</w:t>
        </w:r>
      </w:hyperlink>
      <w:r>
        <w:rPr>
          <w:b w:val="0"/>
          <w:i w:val="0"/>
        </w:rPr>
        <w:t xml:space="preserve">, </w:t>
      </w:r>
      <w:hyperlink w:anchor="passage-ii-3-6">
        <w:r>
          <w:rPr>
            <w:color w:val="000000"/>
          </w:rPr>
          <w:t xml:space="preserve">II.3.6</w:t>
        </w:r>
      </w:hyperlink>
      <w:r>
        <w:rPr>
          <w:b w:val="0"/>
          <w:i w:val="0"/>
        </w:rPr>
        <w:t xml:space="preserve">, </w:t>
      </w:r>
      <w:hyperlink w:anchor="passage-ii-7-5">
        <w:r>
          <w:rPr>
            <w:color w:val="000000"/>
          </w:rPr>
          <w:t xml:space="preserve">II.7.5</w:t>
        </w:r>
      </w:hyperlink>
      <w:r>
        <w:rPr>
          <w:b w:val="0"/>
          <w:i w:val="0"/>
        </w:rPr>
        <w:t xml:space="preserve">. See </w:t>
      </w:r>
      <w:hyperlink w:anchor="surpassing-and-comparison">
        <w:r>
          <w:rPr>
            <w:color w:val="000000"/>
          </w:rPr>
          <w:t xml:space="preserve">Surpassing and comparison</w:t>
        </w:r>
      </w:hyperlink>
      <w:r>
        <w:rPr>
          <w:b w:val="0"/>
          <w:i w:val="0"/>
        </w:rPr>
        <w:t>.</w:t>
      </w:r>
    </w:p>
    <w:p>
      <w:pPr>
        <w:keepNext/>
        <w:widowControl/>
      </w:pPr>
      <w:bookmarkStart w:id="934" w:name="latin-record-0683"/>
      <w:bookmarkEnd w:id="934"/>
      <w:r>
        <w:rPr>
          <w:b/>
          <w:i w:val="0"/>
        </w:rPr>
        <w:t>membra / lignum / aer</w:t>
      </w:r>
      <w:r>
        <w:rPr>
          <w:b/>
          <w:i w:val="0"/>
        </w:rPr>
        <w:t>.</w:t>
      </w:r>
      <w:r>
        <w:rPr>
          <w:b w:val="0"/>
          <w:i w:val="0"/>
        </w:rPr>
        <w:t xml:space="preserve"> Printed forms: </w:t>
      </w:r>
      <w:r>
        <w:rPr>
          <w:b w:val="0"/>
          <w:i/>
        </w:rPr>
        <w:t>aere</w:t>
      </w:r>
      <w:r>
        <w:rPr>
          <w:b w:val="0"/>
          <w:i w:val="0"/>
        </w:rPr>
        <w:t xml:space="preserve">; </w:t>
      </w:r>
      <w:r>
        <w:rPr>
          <w:b w:val="0"/>
          <w:i/>
        </w:rPr>
        <w:t>ligno</w:t>
      </w:r>
      <w:r>
        <w:rPr>
          <w:b w:val="0"/>
          <w:i w:val="0"/>
        </w:rPr>
        <w:t xml:space="preserve">; </w:t>
      </w:r>
      <w:r>
        <w:rPr>
          <w:b w:val="0"/>
          <w:i/>
        </w:rPr>
        <w:t>membra</w:t>
      </w:r>
      <w:r>
        <w:rPr>
          <w:b w:val="0"/>
          <w:i w:val="0"/>
        </w:rPr>
        <w:t>.</w:t>
      </w:r>
    </w:p>
    <w:p>
      <w:pPr>
        <w:widowControl/>
      </w:pPr>
      <w:r>
        <w:rPr>
          <w:b w:val="0"/>
          <w:i w:val="0"/>
        </w:rPr>
        <w:t xml:space="preserve">Members or limbs, wood, and air in concrete examples. World-members form one body; fire is present to kindled wood; images of colors coexist in air in the reported theory. References: </w:t>
      </w:r>
      <w:hyperlink w:anchor="passage-ii-2-8">
        <w:r>
          <w:rPr>
            <w:color w:val="000000"/>
          </w:rPr>
          <w:t xml:space="preserve">II.2.8</w:t>
        </w:r>
      </w:hyperlink>
      <w:r>
        <w:rPr>
          <w:b w:val="0"/>
          <w:i w:val="0"/>
        </w:rPr>
        <w:t xml:space="preserve">, </w:t>
      </w:r>
      <w:hyperlink w:anchor="passage-ii-6-2">
        <w:r>
          <w:rPr>
            <w:color w:val="000000"/>
          </w:rPr>
          <w:t xml:space="preserve">II.6.2</w:t>
        </w:r>
      </w:hyperlink>
      <w:r>
        <w:rPr>
          <w:b w:val="0"/>
          <w:i w:val="0"/>
        </w:rPr>
        <w:t xml:space="preserve">, </w:t>
      </w:r>
      <w:hyperlink w:anchor="passage-ii-6-14">
        <w:r>
          <w:rPr>
            <w:color w:val="000000"/>
          </w:rPr>
          <w:t xml:space="preserve">II.6.14</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935" w:name="latin-record-0684"/>
      <w:bookmarkEnd w:id="935"/>
      <w:r>
        <w:rPr>
          <w:b/>
          <w:i w:val="0"/>
        </w:rPr>
        <w:t>membrum / vicem gerere</w:t>
      </w:r>
      <w:r>
        <w:rPr>
          <w:b/>
          <w:i w:val="0"/>
        </w:rPr>
        <w:t>.</w:t>
      </w:r>
      <w:r>
        <w:rPr>
          <w:b w:val="0"/>
          <w:i w:val="0"/>
        </w:rPr>
        <w:t xml:space="preserve"> Printed forms: </w:t>
      </w:r>
      <w:r>
        <w:rPr>
          <w:b w:val="0"/>
          <w:i/>
        </w:rPr>
        <w:t>membro</w:t>
      </w:r>
      <w:r>
        <w:rPr>
          <w:b w:val="0"/>
          <w:i w:val="0"/>
        </w:rPr>
        <w:t xml:space="preserve">; </w:t>
      </w:r>
      <w:r>
        <w:rPr>
          <w:b w:val="0"/>
          <w:i/>
        </w:rPr>
        <w:t>vicem formae gerebat</w:t>
      </w:r>
      <w:r>
        <w:rPr>
          <w:b w:val="0"/>
          <w:i w:val="0"/>
        </w:rPr>
        <w:t>.</w:t>
      </w:r>
    </w:p>
    <w:p>
      <w:pPr>
        <w:widowControl/>
      </w:pPr>
      <w:r>
        <w:rPr>
          <w:b w:val="0"/>
          <w:i w:val="0"/>
        </w:rPr>
        <w:t xml:space="preserve">A member, and playing the role of form. The body-like language belongs to the rejected composite hypothesis; it does not assert that God actually has organs. References: </w:t>
      </w:r>
      <w:hyperlink w:anchor="passage-i-6-6">
        <w:r>
          <w:rPr>
            <w:color w:val="000000"/>
          </w:rPr>
          <w:t xml:space="preserve">I.6.6</w:t>
        </w:r>
      </w:hyperlink>
      <w:r>
        <w:rPr>
          <w:b w:val="0"/>
          <w:i w:val="0"/>
        </w:rPr>
        <w:t xml:space="preserve">. See </w:t>
      </w:r>
      <w:hyperlink w:anchor="simplicity-and-composition">
        <w:r>
          <w:rPr>
            <w:color w:val="000000"/>
          </w:rPr>
          <w:t xml:space="preserve">Simplicity and composition</w:t>
        </w:r>
      </w:hyperlink>
      <w:r>
        <w:rPr>
          <w:b w:val="0"/>
          <w:i w:val="0"/>
        </w:rPr>
        <w:t>.</w:t>
      </w:r>
    </w:p>
    <w:p>
      <w:pPr>
        <w:keepNext/>
        <w:widowControl/>
      </w:pPr>
      <w:bookmarkStart w:id="936" w:name="latin-record-0685"/>
      <w:bookmarkEnd w:id="936"/>
      <w:r>
        <w:rPr>
          <w:b/>
          <w:i w:val="0"/>
        </w:rPr>
        <w:t>memorare / respondere / docere</w:t>
      </w:r>
      <w:r>
        <w:rPr>
          <w:b/>
          <w:i w:val="0"/>
        </w:rPr>
        <w:t>.</w:t>
      </w:r>
      <w:r>
        <w:rPr>
          <w:b w:val="0"/>
          <w:i w:val="0"/>
        </w:rPr>
        <w:t xml:space="preserve"> Printed forms: </w:t>
      </w:r>
      <w:r>
        <w:rPr>
          <w:b w:val="0"/>
          <w:i/>
        </w:rPr>
        <w:t>disseremus</w:t>
      </w:r>
      <w:r>
        <w:rPr>
          <w:b w:val="0"/>
          <w:i w:val="0"/>
        </w:rPr>
        <w:t xml:space="preserve">; </w:t>
      </w:r>
      <w:r>
        <w:rPr>
          <w:b w:val="0"/>
          <w:i/>
        </w:rPr>
        <w:t>Memento</w:t>
      </w:r>
      <w:r>
        <w:rPr>
          <w:b w:val="0"/>
          <w:i w:val="0"/>
        </w:rPr>
        <w:t xml:space="preserve">; </w:t>
      </w:r>
      <w:r>
        <w:rPr>
          <w:b w:val="0"/>
          <w:i/>
        </w:rPr>
        <w:t>meminisse</w:t>
      </w:r>
      <w:r>
        <w:rPr>
          <w:b w:val="0"/>
          <w:i w:val="0"/>
        </w:rPr>
        <w:t xml:space="preserve">; </w:t>
      </w:r>
      <w:r>
        <w:rPr>
          <w:b w:val="0"/>
          <w:i/>
        </w:rPr>
        <w:t>respondemus</w:t>
      </w:r>
      <w:r>
        <w:rPr>
          <w:b w:val="0"/>
          <w:i w:val="0"/>
        </w:rPr>
        <w:t xml:space="preserve">; </w:t>
      </w:r>
      <w:r>
        <w:rPr>
          <w:b w:val="0"/>
          <w:i/>
        </w:rPr>
        <w:t>respondere</w:t>
      </w:r>
      <w:r>
        <w:rPr>
          <w:b w:val="0"/>
          <w:i w:val="0"/>
        </w:rPr>
        <w:t>.</w:t>
      </w:r>
    </w:p>
    <w:p>
      <w:pPr>
        <w:widowControl/>
      </w:pPr>
      <w:r>
        <w:rPr>
          <w:b w:val="0"/>
          <w:i w:val="0"/>
        </w:rPr>
        <w:t xml:space="preserve">To remind, answer, teach, or explain further. These verbs mark the exposition’s argumentative tasks and postponed elaborations rather than new metaphysical entities. References: </w:t>
      </w:r>
      <w:hyperlink w:anchor="passage-ii-4-5">
        <w:r>
          <w:rPr>
            <w:color w:val="000000"/>
          </w:rPr>
          <w:t xml:space="preserve">II.4.5</w:t>
        </w:r>
      </w:hyperlink>
      <w:r>
        <w:rPr>
          <w:b w:val="0"/>
          <w:i w:val="0"/>
        </w:rPr>
        <w:t xml:space="preserve">, </w:t>
      </w:r>
      <w:hyperlink w:anchor="passage-ii-7-14">
        <w:r>
          <w:rPr>
            <w:color w:val="000000"/>
          </w:rPr>
          <w:t xml:space="preserve">II.7.14</w:t>
        </w:r>
      </w:hyperlink>
      <w:r>
        <w:rPr>
          <w:b w:val="0"/>
          <w:i w:val="0"/>
        </w:rPr>
        <w:t xml:space="preserve">, </w:t>
      </w:r>
      <w:hyperlink w:anchor="passage-ii-8-1">
        <w:r>
          <w:rPr>
            <w:color w:val="000000"/>
          </w:rPr>
          <w:t xml:space="preserve">II.8.1</w:t>
        </w:r>
      </w:hyperlink>
      <w:r>
        <w:rPr>
          <w:b w:val="0"/>
          <w:i w:val="0"/>
        </w:rPr>
        <w:t xml:space="preserve">, </w:t>
      </w:r>
      <w:hyperlink w:anchor="passage-ii-9-22">
        <w:r>
          <w:rPr>
            <w:color w:val="000000"/>
          </w:rPr>
          <w:t xml:space="preserve">II.9.22</w:t>
        </w:r>
      </w:hyperlink>
      <w:r>
        <w:rPr>
          <w:b w:val="0"/>
          <w:i w:val="0"/>
        </w:rPr>
        <w:t xml:space="preserve">, </w:t>
      </w:r>
      <w:hyperlink w:anchor="passage-ii-10-8">
        <w:r>
          <w:rPr>
            <w:color w:val="000000"/>
          </w:rPr>
          <w:t xml:space="preserve">II.10.8</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937" w:name="latin-record-0686"/>
      <w:bookmarkEnd w:id="937"/>
      <w:r>
        <w:rPr>
          <w:b/>
          <w:i w:val="0"/>
        </w:rPr>
        <w:t>mens</w:t>
      </w:r>
      <w:r>
        <w:rPr>
          <w:b/>
          <w:i w:val="0"/>
        </w:rPr>
        <w:t>.</w:t>
      </w:r>
      <w:r>
        <w:rPr>
          <w:b w:val="0"/>
          <w:i w:val="0"/>
        </w:rPr>
        <w:t xml:space="preserve"> Printed forms: </w:t>
      </w:r>
      <w:r>
        <w:rPr>
          <w:b w:val="0"/>
          <w:i/>
        </w:rPr>
        <w:t>Mens</w:t>
      </w:r>
      <w:r>
        <w:rPr>
          <w:b w:val="0"/>
          <w:i w:val="0"/>
        </w:rPr>
        <w:t xml:space="preserve">; </w:t>
      </w:r>
      <w:r>
        <w:rPr>
          <w:b w:val="0"/>
          <w:i/>
        </w:rPr>
        <w:t>mentem</w:t>
      </w:r>
      <w:r>
        <w:rPr>
          <w:b w:val="0"/>
          <w:i w:val="0"/>
        </w:rPr>
        <w:t xml:space="preserve">; </w:t>
      </w:r>
      <w:r>
        <w:rPr>
          <w:b w:val="0"/>
          <w:i/>
        </w:rPr>
        <w:t>menti</w:t>
      </w:r>
      <w:r>
        <w:rPr>
          <w:b w:val="0"/>
          <w:i w:val="0"/>
        </w:rPr>
        <w:t>.</w:t>
      </w:r>
    </w:p>
    <w:p>
      <w:pPr>
        <w:widowControl/>
      </w:pPr>
      <w:r>
        <w:rPr>
          <w:b w:val="0"/>
          <w:i w:val="0"/>
        </w:rPr>
        <w:t xml:space="preserve">Mind as intellectual subject or power, with human, angelic, and animating uses. Universal mental presence belongs to a framed attribution; angel is properly mind while God is above the genus. References: </w:t>
      </w:r>
      <w:hyperlink w:anchor="passage-ii-6-14">
        <w:r>
          <w:rPr>
            <w:color w:val="000000"/>
          </w:rPr>
          <w:t xml:space="preserve">II.6.14</w:t>
        </w:r>
      </w:hyperlink>
      <w:r>
        <w:rPr>
          <w:b w:val="0"/>
          <w:i w:val="0"/>
        </w:rPr>
        <w:t xml:space="preserve">, </w:t>
      </w:r>
      <w:hyperlink w:anchor="passage-ii-6-22">
        <w:r>
          <w:rPr>
            <w:color w:val="000000"/>
          </w:rPr>
          <w:t xml:space="preserve">II.6.22</w:t>
        </w:r>
      </w:hyperlink>
      <w:r>
        <w:rPr>
          <w:b w:val="0"/>
          <w:i w:val="0"/>
        </w:rPr>
        <w:t xml:space="preserve">, </w:t>
      </w:r>
      <w:hyperlink w:anchor="passage-ii-9-12">
        <w:r>
          <w:rPr>
            <w:color w:val="000000"/>
          </w:rPr>
          <w:t xml:space="preserve">II.9.12</w:t>
        </w:r>
      </w:hyperlink>
      <w:r>
        <w:rPr>
          <w:b w:val="0"/>
          <w:i w:val="0"/>
        </w:rPr>
        <w:t xml:space="preserve">. See </w:t>
      </w:r>
      <w:hyperlink w:anchor="mind">
        <w:r>
          <w:rPr>
            <w:color w:val="000000"/>
          </w:rPr>
          <w:t xml:space="preserve">Mind</w:t>
        </w:r>
      </w:hyperlink>
      <w:r>
        <w:rPr>
          <w:b w:val="0"/>
          <w:i w:val="0"/>
        </w:rPr>
        <w:t>.</w:t>
      </w:r>
    </w:p>
    <w:p>
      <w:pPr>
        <w:widowControl/>
      </w:pPr>
      <w:r>
        <w:rPr>
          <w:b w:val="0"/>
          <w:i w:val="0"/>
        </w:rPr>
        <w:t xml:space="preserve">Mind. Mind’s willing and knowing are distinguished explanatorily; the second mind receives formation rather than being the first source. References: </w:t>
      </w:r>
      <w:hyperlink w:anchor="passage-ii-11-30">
        <w:r>
          <w:rPr>
            <w:color w:val="000000"/>
          </w:rPr>
          <w:t xml:space="preserve">II.11.30</w:t>
        </w:r>
      </w:hyperlink>
      <w:r>
        <w:rPr>
          <w:b w:val="0"/>
          <w:i w:val="0"/>
        </w:rPr>
        <w:t xml:space="preserve">, </w:t>
      </w:r>
      <w:hyperlink w:anchor="passage-iii-1-12">
        <w:r>
          <w:rPr>
            <w:color w:val="000000"/>
          </w:rPr>
          <w:t xml:space="preserve">III.1.12</w:t>
        </w:r>
      </w:hyperlink>
      <w:r>
        <w:rPr>
          <w:b w:val="0"/>
          <w:i w:val="0"/>
        </w:rPr>
        <w:t xml:space="preserve">. See </w:t>
      </w:r>
      <w:hyperlink w:anchor="mind">
        <w:r>
          <w:rPr>
            <w:color w:val="000000"/>
          </w:rPr>
          <w:t xml:space="preserve">Mind</w:t>
        </w:r>
      </w:hyperlink>
      <w:r>
        <w:rPr>
          <w:b w:val="0"/>
          <w:i w:val="0"/>
        </w:rPr>
        <w:t>.</w:t>
      </w:r>
    </w:p>
    <w:p>
      <w:pPr>
        <w:keepNext/>
        <w:widowControl/>
      </w:pPr>
      <w:bookmarkStart w:id="938" w:name="latin-record-0687"/>
      <w:bookmarkEnd w:id="938"/>
      <w:r>
        <w:rPr>
          <w:b/>
          <w:i w:val="0"/>
        </w:rPr>
        <w:t>mens angelica</w:t>
      </w:r>
      <w:r>
        <w:rPr>
          <w:b/>
          <w:i w:val="0"/>
        </w:rPr>
        <w:t>.</w:t>
      </w:r>
      <w:r>
        <w:rPr>
          <w:b w:val="0"/>
          <w:i w:val="0"/>
        </w:rPr>
        <w:t xml:space="preserve"> Printed forms: </w:t>
      </w:r>
      <w:r>
        <w:rPr>
          <w:b w:val="0"/>
          <w:i/>
        </w:rPr>
        <w:t>mentem angelicam</w:t>
      </w:r>
      <w:r>
        <w:rPr>
          <w:b w:val="0"/>
          <w:i w:val="0"/>
        </w:rPr>
        <w:t>.</w:t>
      </w:r>
    </w:p>
    <w:p>
      <w:pPr>
        <w:widowControl/>
      </w:pPr>
      <w:r>
        <w:rPr>
          <w:b w:val="0"/>
          <w:i w:val="0"/>
        </w:rPr>
        <w:t xml:space="preserve">Angelic mind, distinguished from rational soul. Its announced indivisibility and immutability are later qualified by its difference from divine simplicity and by explicit Platonist attribution. References: </w:t>
      </w:r>
      <w:hyperlink w:anchor="passage-i-1-5">
        <w:r>
          <w:rPr>
            <w:color w:val="000000"/>
          </w:rPr>
          <w:t xml:space="preserve">I.1.5</w:t>
        </w:r>
      </w:hyperlink>
      <w:r>
        <w:rPr>
          <w:b w:val="0"/>
          <w:i w:val="0"/>
        </w:rPr>
        <w:t xml:space="preserve">. See </w:t>
      </w:r>
      <w:hyperlink w:anchor="angel">
        <w:r>
          <w:rPr>
            <w:color w:val="000000"/>
          </w:rPr>
          <w:t xml:space="preserve">Angel</w:t>
        </w:r>
      </w:hyperlink>
      <w:r>
        <w:rPr>
          <w:b w:val="0"/>
          <w:i w:val="0"/>
        </w:rPr>
        <w:t>.</w:t>
      </w:r>
    </w:p>
    <w:p>
      <w:pPr>
        <w:keepNext/>
        <w:widowControl/>
      </w:pPr>
      <w:bookmarkStart w:id="939" w:name="latin-record-0688"/>
      <w:bookmarkEnd w:id="939"/>
      <w:r>
        <w:rPr>
          <w:b/>
          <w:i w:val="0"/>
        </w:rPr>
        <w:t>mens mentium / lumen luminum</w:t>
      </w:r>
      <w:r>
        <w:rPr>
          <w:b/>
          <w:i w:val="0"/>
        </w:rPr>
        <w:t>.</w:t>
      </w:r>
      <w:r>
        <w:rPr>
          <w:b w:val="0"/>
          <w:i w:val="0"/>
        </w:rPr>
        <w:t xml:space="preserve"> Printed forms: </w:t>
      </w:r>
      <w:r>
        <w:rPr>
          <w:b w:val="0"/>
          <w:i/>
        </w:rPr>
        <w:t>lumenque luminum</w:t>
      </w:r>
      <w:r>
        <w:rPr>
          <w:b w:val="0"/>
          <w:i w:val="0"/>
        </w:rPr>
        <w:t xml:space="preserve">; </w:t>
      </w:r>
      <w:r>
        <w:rPr>
          <w:b w:val="0"/>
          <w:i/>
        </w:rPr>
        <w:t>mens sit mentium</w:t>
      </w:r>
      <w:r>
        <w:rPr>
          <w:b w:val="0"/>
          <w:i w:val="0"/>
        </w:rPr>
        <w:t>.</w:t>
      </w:r>
    </w:p>
    <w:p>
      <w:pPr>
        <w:widowControl/>
      </w:pPr>
      <w:r>
        <w:rPr>
          <w:b w:val="0"/>
          <w:i w:val="0"/>
        </w:rPr>
        <w:t xml:space="preserve">Mind of minds and light of lights. The genitives mark the source of the perfections rather than ordinary membership in the class of minds or lights. References: </w:t>
      </w:r>
      <w:hyperlink w:anchor="passage-ii-9-13">
        <w:r>
          <w:rPr>
            <w:color w:val="000000"/>
          </w:rPr>
          <w:t xml:space="preserve">II.9.13</w:t>
        </w:r>
      </w:hyperlink>
      <w:r>
        <w:rPr>
          <w:b w:val="0"/>
          <w:i w:val="0"/>
        </w:rPr>
        <w:t xml:space="preserve">. See </w:t>
      </w:r>
      <w:hyperlink w:anchor="naming-by-cause">
        <w:r>
          <w:rPr>
            <w:color w:val="000000"/>
          </w:rPr>
          <w:t xml:space="preserve">Naming by cause</w:t>
        </w:r>
      </w:hyperlink>
      <w:r>
        <w:rPr>
          <w:b w:val="0"/>
          <w:i w:val="0"/>
        </w:rPr>
        <w:t>.</w:t>
      </w:r>
    </w:p>
    <w:p>
      <w:pPr>
        <w:keepNext/>
        <w:widowControl/>
      </w:pPr>
      <w:bookmarkStart w:id="940" w:name="latin-record-0689"/>
      <w:bookmarkEnd w:id="940"/>
      <w:r>
        <w:rPr>
          <w:b/>
          <w:i w:val="0"/>
        </w:rPr>
        <w:t>mens secunda</w:t>
      </w:r>
      <w:r>
        <w:rPr>
          <w:b/>
          <w:i w:val="0"/>
        </w:rPr>
        <w:t>.</w:t>
      </w:r>
      <w:r>
        <w:rPr>
          <w:b w:val="0"/>
          <w:i w:val="0"/>
        </w:rPr>
        <w:t xml:space="preserve"> Printed forms: </w:t>
      </w:r>
      <w:r>
        <w:rPr>
          <w:b w:val="0"/>
          <w:i/>
        </w:rPr>
        <w:t>menti praebuit secundae</w:t>
      </w:r>
      <w:r>
        <w:rPr>
          <w:b w:val="0"/>
          <w:i w:val="0"/>
        </w:rPr>
        <w:t>.</w:t>
      </w:r>
    </w:p>
    <w:p>
      <w:pPr>
        <w:widowControl/>
      </w:pPr>
      <w:r>
        <w:rPr>
          <w:b w:val="0"/>
          <w:i w:val="0"/>
        </w:rPr>
        <w:t xml:space="preserve">Second mind. The Latin gloss of the attributed Zoroastrian saying concerns angel’s received intellectual formation below God. References: </w:t>
      </w:r>
      <w:hyperlink w:anchor="passage-iii-1-12">
        <w:r>
          <w:rPr>
            <w:color w:val="000000"/>
          </w:rPr>
          <w:t xml:space="preserve">III.1.12</w:t>
        </w:r>
      </w:hyperlink>
      <w:r>
        <w:rPr>
          <w:b w:val="0"/>
          <w:i w:val="0"/>
        </w:rPr>
        <w:t xml:space="preserve">. See </w:t>
      </w:r>
      <w:hyperlink w:anchor="second-mind">
        <w:r>
          <w:rPr>
            <w:color w:val="000000"/>
          </w:rPr>
          <w:t xml:space="preserve">Second mind</w:t>
        </w:r>
      </w:hyperlink>
      <w:r>
        <w:rPr>
          <w:b w:val="0"/>
          <w:i w:val="0"/>
        </w:rPr>
        <w:t>.</w:t>
      </w:r>
    </w:p>
    <w:p>
      <w:pPr>
        <w:keepNext/>
        <w:widowControl/>
      </w:pPr>
      <w:bookmarkStart w:id="941" w:name="latin-record-0690"/>
      <w:bookmarkEnd w:id="941"/>
      <w:r>
        <w:rPr>
          <w:b/>
          <w:i w:val="0"/>
        </w:rPr>
        <w:t>Mercurius Trismegistus / Timaeus</w:t>
      </w:r>
      <w:r>
        <w:rPr>
          <w:b/>
          <w:i w:val="0"/>
        </w:rPr>
        <w:t>.</w:t>
      </w:r>
      <w:r>
        <w:rPr>
          <w:b w:val="0"/>
          <w:i w:val="0"/>
        </w:rPr>
        <w:t xml:space="preserve"> Printed forms: </w:t>
      </w:r>
      <w:r>
        <w:rPr>
          <w:b w:val="0"/>
          <w:i/>
        </w:rPr>
        <w:t>Mercurius Trismegistus</w:t>
      </w:r>
      <w:r>
        <w:rPr>
          <w:b w:val="0"/>
          <w:i w:val="0"/>
        </w:rPr>
        <w:t xml:space="preserve">; </w:t>
      </w:r>
      <w:r>
        <w:rPr>
          <w:b w:val="0"/>
          <w:i/>
        </w:rPr>
        <w:t>Timaeusque</w:t>
      </w:r>
      <w:r>
        <w:rPr>
          <w:b w:val="0"/>
          <w:i w:val="0"/>
        </w:rPr>
        <w:t>.</w:t>
      </w:r>
    </w:p>
    <w:p>
      <w:pPr>
        <w:widowControl/>
      </w:pPr>
      <w:r>
        <w:rPr>
          <w:b w:val="0"/>
          <w:i w:val="0"/>
        </w:rPr>
        <w:t xml:space="preserve">The named authorities for formless matter. Ficino reports them as treating matter as not nothing but next to nothing; this is the attribution in his account. References: </w:t>
      </w:r>
      <w:hyperlink w:anchor="passage-i-3-19">
        <w:r>
          <w:rPr>
            <w:color w:val="000000"/>
          </w:rPr>
          <w:t xml:space="preserve">I.3.19</w:t>
        </w:r>
      </w:hyperlink>
      <w:r>
        <w:rPr>
          <w:b w:val="0"/>
          <w:i w:val="0"/>
        </w:rPr>
        <w:t xml:space="preserve">. See </w:t>
      </w:r>
      <w:hyperlink w:anchor="hermetic-theologians-and-the-magi">
        <w:r>
          <w:rPr>
            <w:color w:val="000000"/>
          </w:rPr>
          <w:t xml:space="preserve">Hermetic theologians and the Magi</w:t>
        </w:r>
      </w:hyperlink>
      <w:r>
        <w:rPr>
          <w:b w:val="0"/>
          <w:i w:val="0"/>
        </w:rPr>
        <w:t>.</w:t>
      </w:r>
    </w:p>
    <w:p>
      <w:pPr>
        <w:keepNext/>
        <w:widowControl/>
      </w:pPr>
      <w:bookmarkStart w:id="942" w:name="latin-record-0691"/>
      <w:bookmarkEnd w:id="942"/>
      <w:r>
        <w:rPr>
          <w:b/>
          <w:i w:val="0"/>
        </w:rPr>
        <w:t>Mercurius — Hermetic authority</w:t>
      </w:r>
      <w:r>
        <w:rPr>
          <w:b/>
          <w:i w:val="0"/>
        </w:rPr>
        <w:t>.</w:t>
      </w:r>
      <w:r>
        <w:rPr>
          <w:b w:val="0"/>
          <w:i w:val="0"/>
        </w:rPr>
        <w:t xml:space="preserve"> Printed forms: </w:t>
      </w:r>
      <w:r>
        <w:rPr>
          <w:b w:val="0"/>
          <w:i/>
        </w:rPr>
        <w:t>Mercurium Trismegistrum</w:t>
      </w:r>
      <w:r>
        <w:rPr>
          <w:b w:val="0"/>
          <w:i w:val="0"/>
        </w:rPr>
        <w:t xml:space="preserve">; </w:t>
      </w:r>
      <w:r>
        <w:rPr>
          <w:b w:val="0"/>
          <w:i/>
        </w:rPr>
        <w:t>Mercurius</w:t>
      </w:r>
      <w:r>
        <w:rPr>
          <w:b w:val="0"/>
          <w:i w:val="0"/>
        </w:rPr>
        <w:t>.</w:t>
      </w:r>
    </w:p>
    <w:p>
      <w:pPr>
        <w:widowControl/>
      </w:pPr>
      <w:r>
        <w:rPr>
          <w:b w:val="0"/>
          <w:i w:val="0"/>
        </w:rPr>
        <w:t xml:space="preserve">Mercury Trismegistus as an attributed authority. Ficino cites divine will as the beginning of creatures and providence as humankind’s nurse; this name is distinct from the planet in III.1.32. References: </w:t>
      </w:r>
      <w:hyperlink w:anchor="passage-ii-11-38">
        <w:r>
          <w:rPr>
            <w:color w:val="000000"/>
          </w:rPr>
          <w:t xml:space="preserve">II.11.38</w:t>
        </w:r>
      </w:hyperlink>
      <w:r>
        <w:rPr>
          <w:b w:val="0"/>
          <w:i w:val="0"/>
        </w:rPr>
        <w:t xml:space="preserve">, </w:t>
      </w:r>
      <w:hyperlink w:anchor="passage-ii-13-24">
        <w:r>
          <w:rPr>
            <w:color w:val="000000"/>
          </w:rPr>
          <w:t xml:space="preserve">II.13.24</w:t>
        </w:r>
      </w:hyperlink>
      <w:r>
        <w:rPr>
          <w:b w:val="0"/>
          <w:i w:val="0"/>
        </w:rPr>
        <w:t xml:space="preserve">. See </w:t>
      </w:r>
      <w:hyperlink w:anchor="hermetic-theologians-and-the-magi">
        <w:r>
          <w:rPr>
            <w:color w:val="000000"/>
          </w:rPr>
          <w:t xml:space="preserve">Hermetic theologians and the Magi</w:t>
        </w:r>
      </w:hyperlink>
      <w:r>
        <w:rPr>
          <w:b w:val="0"/>
          <w:i w:val="0"/>
        </w:rPr>
        <w:t>.</w:t>
      </w:r>
    </w:p>
    <w:p>
      <w:pPr>
        <w:keepNext/>
        <w:widowControl/>
      </w:pPr>
      <w:bookmarkStart w:id="943" w:name="latin-record-0692"/>
      <w:bookmarkEnd w:id="943"/>
      <w:r>
        <w:rPr>
          <w:b/>
          <w:i w:val="0"/>
        </w:rPr>
        <w:t>Mercurius — planet</w:t>
      </w:r>
      <w:r>
        <w:rPr>
          <w:b/>
          <w:i w:val="0"/>
        </w:rPr>
        <w:t>.</w:t>
      </w:r>
      <w:r>
        <w:rPr>
          <w:b w:val="0"/>
          <w:i w:val="0"/>
        </w:rPr>
        <w:t xml:space="preserve"> Printed forms: </w:t>
      </w:r>
      <w:r>
        <w:rPr>
          <w:b w:val="0"/>
          <w:i/>
        </w:rPr>
        <w:t>Mercurium</w:t>
      </w:r>
      <w:r>
        <w:rPr>
          <w:b w:val="0"/>
          <w:i w:val="0"/>
        </w:rPr>
        <w:t xml:space="preserve">; </w:t>
      </w:r>
      <w:r>
        <w:rPr>
          <w:b w:val="0"/>
          <w:i/>
        </w:rPr>
        <w:t>Mercurius</w:t>
      </w:r>
      <w:r>
        <w:rPr>
          <w:b w:val="0"/>
          <w:i w:val="0"/>
        </w:rPr>
        <w:t>.</w:t>
      </w:r>
    </w:p>
    <w:p>
      <w:pPr>
        <w:widowControl/>
      </w:pPr>
      <w:r>
        <w:rPr>
          <w:b w:val="0"/>
          <w:i w:val="0"/>
        </w:rPr>
        <w:t xml:space="preserve">Mercury as celestial receiver of sunlight. Here Mercury signifies angel; the name does not designate the Hermetic author cited elsewhere. References: </w:t>
      </w:r>
      <w:hyperlink w:anchor="passage-iii-1-32">
        <w:r>
          <w:rPr>
            <w:color w:val="000000"/>
          </w:rPr>
          <w:t xml:space="preserve">III.1.32</w:t>
        </w:r>
      </w:hyperlink>
      <w:r>
        <w:rPr>
          <w:b w:val="0"/>
          <w:i w:val="0"/>
        </w:rPr>
        <w:t xml:space="preserve">. See </w:t>
      </w:r>
      <w:hyperlink w:anchor="sun-mercury-and-moon">
        <w:r>
          <w:rPr>
            <w:color w:val="000000"/>
          </w:rPr>
          <w:t xml:space="preserve">Sun, Mercury and moon</w:t>
        </w:r>
      </w:hyperlink>
      <w:r>
        <w:rPr>
          <w:b w:val="0"/>
          <w:i w:val="0"/>
        </w:rPr>
        <w:t>.</w:t>
      </w:r>
    </w:p>
    <w:p>
      <w:pPr>
        <w:keepNext/>
        <w:widowControl/>
      </w:pPr>
      <w:bookmarkStart w:id="944" w:name="latin-record-0693"/>
      <w:bookmarkEnd w:id="944"/>
      <w:r>
        <w:rPr>
          <w:b/>
          <w:i w:val="0"/>
        </w:rPr>
        <w:t>mereri / aequalitatem recuperare</w:t>
      </w:r>
      <w:r>
        <w:rPr>
          <w:b/>
          <w:i w:val="0"/>
        </w:rPr>
        <w:t>.</w:t>
      </w:r>
      <w:r>
        <w:rPr>
          <w:b w:val="0"/>
          <w:i w:val="0"/>
        </w:rPr>
        <w:t xml:space="preserve"> Printed forms: </w:t>
      </w:r>
      <w:r>
        <w:rPr>
          <w:b w:val="0"/>
          <w:i/>
        </w:rPr>
        <w:t>aequalitatem</w:t>
      </w:r>
      <w:r>
        <w:rPr>
          <w:b w:val="0"/>
          <w:i w:val="0"/>
        </w:rPr>
        <w:t xml:space="preserve">; </w:t>
      </w:r>
      <w:r>
        <w:rPr>
          <w:b w:val="0"/>
          <w:i/>
        </w:rPr>
        <w:t>merentur</w:t>
      </w:r>
      <w:r>
        <w:rPr>
          <w:b w:val="0"/>
          <w:i w:val="0"/>
        </w:rPr>
        <w:t xml:space="preserve">; </w:t>
      </w:r>
      <w:r>
        <w:rPr>
          <w:b w:val="0"/>
          <w:i/>
        </w:rPr>
        <w:t>recuperent</w:t>
      </w:r>
      <w:r>
        <w:rPr>
          <w:b w:val="0"/>
          <w:i w:val="0"/>
        </w:rPr>
        <w:t>.</w:t>
      </w:r>
    </w:p>
    <w:p>
      <w:pPr>
        <w:widowControl/>
      </w:pPr>
      <w:r>
        <w:rPr>
          <w:b w:val="0"/>
          <w:i w:val="0"/>
        </w:rPr>
        <w:t xml:space="preserve">To merit or be fitted for; recover balanced condition. Separated particles lose receptivity, while careful mixture can recover a balance preparing for life, sense, and reason. References: </w:t>
      </w:r>
      <w:hyperlink w:anchor="passage-iv-1-93">
        <w:r>
          <w:rPr>
            <w:color w:val="000000"/>
          </w:rPr>
          <w:t xml:space="preserve">IV.1.93</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945" w:name="latin-record-0694"/>
      <w:bookmarkEnd w:id="945"/>
      <w:r>
        <w:rPr>
          <w:b/>
          <w:i w:val="0"/>
        </w:rPr>
        <w:t>merus / incorruptus / revera</w:t>
      </w:r>
      <w:r>
        <w:rPr>
          <w:b/>
          <w:i w:val="0"/>
        </w:rPr>
        <w:t>.</w:t>
      </w:r>
      <w:r>
        <w:rPr>
          <w:b w:val="0"/>
          <w:i w:val="0"/>
        </w:rPr>
        <w:t xml:space="preserve"> Printed forms: </w:t>
      </w:r>
      <w:r>
        <w:rPr>
          <w:b w:val="0"/>
          <w:i/>
        </w:rPr>
        <w:t>incorrupta</w:t>
      </w:r>
      <w:r>
        <w:rPr>
          <w:b w:val="0"/>
          <w:i w:val="0"/>
        </w:rPr>
        <w:t xml:space="preserve">; </w:t>
      </w:r>
      <w:r>
        <w:rPr>
          <w:b w:val="0"/>
          <w:i/>
        </w:rPr>
        <w:t>merae</w:t>
      </w:r>
      <w:r>
        <w:rPr>
          <w:b w:val="0"/>
          <w:i w:val="0"/>
        </w:rPr>
        <w:t xml:space="preserve">; </w:t>
      </w:r>
      <w:r>
        <w:rPr>
          <w:b w:val="0"/>
          <w:i/>
        </w:rPr>
        <w:t>revera</w:t>
      </w:r>
      <w:r>
        <w:rPr>
          <w:b w:val="0"/>
          <w:i w:val="0"/>
        </w:rPr>
        <w:t xml:space="preserve">; </w:t>
      </w:r>
      <w:r>
        <w:rPr>
          <w:b w:val="0"/>
          <w:i/>
        </w:rPr>
        <w:t>veraque</w:t>
      </w:r>
      <w:r>
        <w:rPr>
          <w:b w:val="0"/>
          <w:i w:val="0"/>
        </w:rPr>
        <w:t xml:space="preserve">; </w:t>
      </w:r>
      <w:r>
        <w:rPr>
          <w:b w:val="0"/>
          <w:i/>
        </w:rPr>
        <w:t>verumque</w:t>
      </w:r>
      <w:r>
        <w:rPr>
          <w:b w:val="0"/>
          <w:i w:val="0"/>
        </w:rPr>
        <w:t>.</w:t>
      </w:r>
    </w:p>
    <w:p>
      <w:pPr>
        <w:widowControl/>
      </w:pPr>
      <w:r>
        <w:rPr>
          <w:b w:val="0"/>
          <w:i w:val="0"/>
        </w:rPr>
        <w:t xml:space="preserve">Unmixed, uncorrupted, or genuinely real in different constructions. A true thing genuinely is what it is said to be; an artwork’s uncorrupted endurance still depends on material solidity. References: </w:t>
      </w:r>
      <w:hyperlink w:anchor="passage-ii-1-1">
        <w:r>
          <w:rPr>
            <w:color w:val="000000"/>
          </w:rPr>
          <w:t xml:space="preserve">II.1.1</w:t>
        </w:r>
      </w:hyperlink>
      <w:r>
        <w:rPr>
          <w:b w:val="0"/>
          <w:i w:val="0"/>
        </w:rPr>
        <w:t xml:space="preserve">, </w:t>
      </w:r>
      <w:hyperlink w:anchor="passage-ii-2-4">
        <w:r>
          <w:rPr>
            <w:color w:val="000000"/>
          </w:rPr>
          <w:t xml:space="preserve">II.2.4</w:t>
        </w:r>
      </w:hyperlink>
      <w:r>
        <w:rPr>
          <w:b w:val="0"/>
          <w:i w:val="0"/>
        </w:rPr>
        <w:t xml:space="preserve">, </w:t>
      </w:r>
      <w:hyperlink w:anchor="passage-ii-7-3">
        <w:r>
          <w:rPr>
            <w:color w:val="000000"/>
          </w:rPr>
          <w:t xml:space="preserve">II.7.3</w:t>
        </w:r>
      </w:hyperlink>
      <w:r>
        <w:rPr>
          <w:b w:val="0"/>
          <w:i w:val="0"/>
        </w:rPr>
        <w:t xml:space="preserve">, </w:t>
      </w:r>
      <w:hyperlink w:anchor="passage-ii-7-17">
        <w:r>
          <w:rPr>
            <w:color w:val="000000"/>
          </w:rPr>
          <w:t xml:space="preserve">II.7.17</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946" w:name="latin-record-0695"/>
      <w:bookmarkEnd w:id="946"/>
      <w:r>
        <w:rPr>
          <w:b/>
          <w:i w:val="0"/>
        </w:rPr>
        <w:t>merus / verus / perfectus</w:t>
      </w:r>
      <w:r>
        <w:rPr>
          <w:b/>
          <w:i w:val="0"/>
        </w:rPr>
        <w:t>.</w:t>
      </w:r>
      <w:r>
        <w:rPr>
          <w:b w:val="0"/>
          <w:i w:val="0"/>
        </w:rPr>
        <w:t xml:space="preserve"> Printed forms: </w:t>
      </w:r>
      <w:r>
        <w:rPr>
          <w:b w:val="0"/>
          <w:i/>
        </w:rPr>
        <w:t>mera</w:t>
      </w:r>
      <w:r>
        <w:rPr>
          <w:b w:val="0"/>
          <w:i w:val="0"/>
        </w:rPr>
        <w:t xml:space="preserve">; </w:t>
      </w:r>
      <w:r>
        <w:rPr>
          <w:b w:val="0"/>
          <w:i/>
        </w:rPr>
        <w:t>perfecta</w:t>
      </w:r>
      <w:r>
        <w:rPr>
          <w:b w:val="0"/>
          <w:i w:val="0"/>
        </w:rPr>
        <w:t xml:space="preserve">; </w:t>
      </w:r>
      <w:r>
        <w:rPr>
          <w:b w:val="0"/>
          <w:i/>
        </w:rPr>
        <w:t>vera</w:t>
      </w:r>
      <w:r>
        <w:rPr>
          <w:b w:val="0"/>
          <w:i w:val="0"/>
        </w:rPr>
        <w:t>.</w:t>
      </w:r>
    </w:p>
    <w:p>
      <w:pPr>
        <w:widowControl/>
      </w:pPr>
      <w:r>
        <w:rPr>
          <w:b w:val="0"/>
          <w:i w:val="0"/>
        </w:rPr>
        <w:t xml:space="preserve">Pure, true and complete or perfect. The first form must meet all three descriptions; separate arguments address purity, truth and completeness rather than treating the adjectives as synonyms. References: </w:t>
      </w:r>
      <w:hyperlink w:anchor="passage-i-3-1">
        <w:r>
          <w:rPr>
            <w:color w:val="000000"/>
          </w:rPr>
          <w:t xml:space="preserve">I.3.1</w:t>
        </w:r>
      </w:hyperlink>
      <w:r>
        <w:rPr>
          <w:b w:val="0"/>
          <w:i w:val="0"/>
        </w:rPr>
        <w:t xml:space="preserve">, </w:t>
      </w:r>
      <w:hyperlink w:anchor="passage-i-3-2">
        <w:r>
          <w:rPr>
            <w:color w:val="000000"/>
          </w:rPr>
          <w:t xml:space="preserve">I.3.2</w:t>
        </w:r>
      </w:hyperlink>
      <w:r>
        <w:rPr>
          <w:b w:val="0"/>
          <w:i w:val="0"/>
        </w:rPr>
        <w:t xml:space="preserve">, </w:t>
      </w:r>
      <w:hyperlink w:anchor="passage-i-3-3">
        <w:r>
          <w:rPr>
            <w:color w:val="000000"/>
          </w:rPr>
          <w:t xml:space="preserve">I.3.3</w:t>
        </w:r>
      </w:hyperlink>
      <w:r>
        <w:rPr>
          <w:b w:val="0"/>
          <w:i w:val="0"/>
        </w:rPr>
        <w:t xml:space="preserve">. See </w:t>
      </w:r>
      <w:hyperlink w:anchor="perfection">
        <w:r>
          <w:rPr>
            <w:color w:val="000000"/>
          </w:rPr>
          <w:t xml:space="preserve">Perfection</w:t>
        </w:r>
      </w:hyperlink>
      <w:r>
        <w:rPr>
          <w:b w:val="0"/>
          <w:i w:val="0"/>
        </w:rPr>
        <w:t>.</w:t>
      </w:r>
    </w:p>
    <w:p>
      <w:pPr>
        <w:keepNext/>
        <w:widowControl/>
      </w:pPr>
      <w:bookmarkStart w:id="947" w:name="latin-record-0696"/>
      <w:bookmarkEnd w:id="947"/>
      <w:r>
        <w:rPr>
          <w:b/>
          <w:i w:val="0"/>
        </w:rPr>
        <w:t>Metrodorus / Zoroaster</w:t>
      </w:r>
      <w:r>
        <w:rPr>
          <w:b/>
          <w:i w:val="0"/>
        </w:rPr>
        <w:t>.</w:t>
      </w:r>
      <w:r>
        <w:rPr>
          <w:b w:val="0"/>
          <w:i w:val="0"/>
        </w:rPr>
        <w:t xml:space="preserve"> Printed forms: </w:t>
      </w:r>
      <w:r>
        <w:rPr>
          <w:b w:val="0"/>
          <w:i/>
        </w:rPr>
        <w:t>Metrodorus</w:t>
      </w:r>
      <w:r>
        <w:rPr>
          <w:b w:val="0"/>
          <w:i w:val="0"/>
        </w:rPr>
        <w:t xml:space="preserve">; </w:t>
      </w:r>
      <w:r>
        <w:rPr>
          <w:b w:val="0"/>
          <w:i/>
        </w:rPr>
        <w:t>Zoroaster</w:t>
      </w:r>
      <w:r>
        <w:rPr>
          <w:b w:val="0"/>
          <w:i w:val="0"/>
        </w:rPr>
        <w:t>.</w:t>
      </w:r>
    </w:p>
    <w:p>
      <w:pPr>
        <w:widowControl/>
      </w:pPr>
      <w:r>
        <w:rPr>
          <w:b w:val="0"/>
          <w:i w:val="0"/>
        </w:rPr>
        <w:t xml:space="preserve">Authorities named for the coral claim. Ficino invokes their testimony; the record does not independently verify either the attribution or the alleged effects. References: </w:t>
      </w:r>
      <w:hyperlink w:anchor="passage-iv-1-21">
        <w:r>
          <w:rPr>
            <w:color w:val="000000"/>
          </w:rPr>
          <w:t xml:space="preserve">IV.1.21</w:t>
        </w:r>
      </w:hyperlink>
      <w:r>
        <w:rPr>
          <w:b w:val="0"/>
          <w:i w:val="0"/>
        </w:rPr>
        <w:t xml:space="preserve">. See </w:t>
      </w:r>
      <w:hyperlink w:anchor="hierobotanum-and-mineral-powers">
        <w:r>
          <w:rPr>
            <w:color w:val="000000"/>
          </w:rPr>
          <w:t xml:space="preserve">Hierobotanum and mineral powers</w:t>
        </w:r>
      </w:hyperlink>
      <w:r>
        <w:rPr>
          <w:b w:val="0"/>
          <w:i w:val="0"/>
        </w:rPr>
        <w:t>.</w:t>
      </w:r>
    </w:p>
    <w:p>
      <w:pPr>
        <w:keepNext/>
        <w:widowControl/>
      </w:pPr>
      <w:bookmarkStart w:id="948" w:name="latin-record-0697"/>
      <w:bookmarkEnd w:id="948"/>
      <w:r>
        <w:rPr>
          <w:b/>
          <w:i w:val="0"/>
        </w:rPr>
        <w:t>metus / persuasio</w:t>
      </w:r>
      <w:r>
        <w:rPr>
          <w:b/>
          <w:i w:val="0"/>
        </w:rPr>
        <w:t>.</w:t>
      </w:r>
      <w:r>
        <w:rPr>
          <w:b w:val="0"/>
          <w:i w:val="0"/>
        </w:rPr>
        <w:t xml:space="preserve"> Printed forms: </w:t>
      </w:r>
      <w:r>
        <w:rPr>
          <w:b w:val="0"/>
          <w:i/>
        </w:rPr>
        <w:t>metum</w:t>
      </w:r>
      <w:r>
        <w:rPr>
          <w:b w:val="0"/>
          <w:i w:val="0"/>
        </w:rPr>
        <w:t xml:space="preserve">; </w:t>
      </w:r>
      <w:r>
        <w:rPr>
          <w:b w:val="0"/>
          <w:i/>
        </w:rPr>
        <w:t>persuasionem</w:t>
      </w:r>
      <w:r>
        <w:rPr>
          <w:b w:val="0"/>
          <w:i w:val="0"/>
        </w:rPr>
        <w:t>.</w:t>
      </w:r>
    </w:p>
    <w:p>
      <w:pPr>
        <w:widowControl/>
      </w:pPr>
      <w:r>
        <w:rPr>
          <w:b w:val="0"/>
          <w:i w:val="0"/>
        </w:rPr>
        <w:t xml:space="preserve">Fear / persuasion. The attributed Zoroastrian saying rejects the instilling of fear in favor of persuasion. References: </w:t>
      </w:r>
      <w:hyperlink w:anchor="passage-ii-13-27">
        <w:r>
          <w:rPr>
            <w:color w:val="000000"/>
          </w:rPr>
          <w:t xml:space="preserve">II.13.27</w:t>
        </w:r>
      </w:hyperlink>
      <w:r>
        <w:rPr>
          <w:b w:val="0"/>
          <w:i w:val="0"/>
        </w:rPr>
        <w:t xml:space="preserve">. See </w:t>
      </w:r>
      <w:hyperlink w:anchor="persuasion-and-compulsion">
        <w:r>
          <w:rPr>
            <w:color w:val="000000"/>
          </w:rPr>
          <w:t xml:space="preserve">Persuasion and compulsion</w:t>
        </w:r>
      </w:hyperlink>
      <w:r>
        <w:rPr>
          <w:b w:val="0"/>
          <w:i w:val="0"/>
        </w:rPr>
        <w:t>.</w:t>
      </w:r>
    </w:p>
    <w:p>
      <w:pPr>
        <w:keepNext/>
        <w:widowControl/>
      </w:pPr>
      <w:bookmarkStart w:id="949" w:name="latin-record-0698"/>
      <w:bookmarkEnd w:id="949"/>
      <w:r>
        <w:rPr>
          <w:b/>
          <w:i w:val="0"/>
        </w:rPr>
        <w:t>migrare / transire</w:t>
      </w:r>
      <w:r>
        <w:rPr>
          <w:b/>
          <w:i w:val="0"/>
        </w:rPr>
        <w:t>.</w:t>
      </w:r>
      <w:r>
        <w:rPr>
          <w:b w:val="0"/>
          <w:i w:val="0"/>
        </w:rPr>
        <w:t xml:space="preserve"> Printed forms: </w:t>
      </w:r>
      <w:r>
        <w:rPr>
          <w:b w:val="0"/>
          <w:i/>
        </w:rPr>
        <w:t>migrant</w:t>
      </w:r>
      <w:r>
        <w:rPr>
          <w:b w:val="0"/>
          <w:i w:val="0"/>
        </w:rPr>
        <w:t xml:space="preserve">; </w:t>
      </w:r>
      <w:r>
        <w:rPr>
          <w:b w:val="0"/>
          <w:i/>
        </w:rPr>
        <w:t>migrat</w:t>
      </w:r>
      <w:r>
        <w:rPr>
          <w:b w:val="0"/>
          <w:i w:val="0"/>
        </w:rPr>
        <w:t xml:space="preserve">; </w:t>
      </w:r>
      <w:r>
        <w:rPr>
          <w:b w:val="0"/>
          <w:i/>
        </w:rPr>
        <w:t>transeunt</w:t>
      </w:r>
      <w:r>
        <w:rPr>
          <w:b w:val="0"/>
          <w:i w:val="0"/>
        </w:rPr>
        <w:t xml:space="preserve">; </w:t>
      </w:r>
      <w:r>
        <w:rPr>
          <w:b w:val="0"/>
          <w:i/>
        </w:rPr>
        <w:t>transire</w:t>
      </w:r>
      <w:r>
        <w:rPr>
          <w:b w:val="0"/>
          <w:i w:val="0"/>
        </w:rPr>
        <w:t xml:space="preserve">; </w:t>
      </w:r>
      <w:r>
        <w:rPr>
          <w:b w:val="0"/>
          <w:i/>
        </w:rPr>
        <w:t>transit</w:t>
      </w:r>
      <w:r>
        <w:rPr>
          <w:b w:val="0"/>
          <w:i w:val="0"/>
        </w:rPr>
        <w:t>.</w:t>
      </w:r>
    </w:p>
    <w:p>
      <w:pPr>
        <w:widowControl/>
      </w:pPr>
      <w:r>
        <w:rPr>
          <w:b w:val="0"/>
          <w:i w:val="0"/>
        </w:rPr>
        <w:t xml:space="preserve">To pass or move between states, or to traverse a sequence. Bodies pass between being-states; an endless chain cannot be traversed before action; immanent operation does not pass into external matter. References: </w:t>
      </w:r>
      <w:hyperlink w:anchor="passage-ii-7-7">
        <w:r>
          <w:rPr>
            <w:color w:val="000000"/>
          </w:rPr>
          <w:t xml:space="preserve">II.7.7</w:t>
        </w:r>
      </w:hyperlink>
      <w:r>
        <w:rPr>
          <w:b w:val="0"/>
          <w:i w:val="0"/>
        </w:rPr>
        <w:t xml:space="preserve">, </w:t>
      </w:r>
      <w:hyperlink w:anchor="passage-ii-8-3">
        <w:r>
          <w:rPr>
            <w:color w:val="000000"/>
          </w:rPr>
          <w:t xml:space="preserve">II.8.3</w:t>
        </w:r>
      </w:hyperlink>
      <w:r>
        <w:rPr>
          <w:b w:val="0"/>
          <w:i w:val="0"/>
        </w:rPr>
        <w:t xml:space="preserve">, </w:t>
      </w:r>
      <w:hyperlink w:anchor="passage-ii-9-5">
        <w:r>
          <w:rPr>
            <w:color w:val="000000"/>
          </w:rPr>
          <w:t xml:space="preserve">II.9.5</w:t>
        </w:r>
      </w:hyperlink>
      <w:r>
        <w:rPr>
          <w:b w:val="0"/>
          <w:i w:val="0"/>
        </w:rPr>
        <w:t xml:space="preserve">. See </w:t>
      </w:r>
      <w:hyperlink w:anchor="act-and-operation">
        <w:r>
          <w:rPr>
            <w:color w:val="000000"/>
          </w:rPr>
          <w:t xml:space="preserve">Act and operation</w:t>
        </w:r>
      </w:hyperlink>
      <w:r>
        <w:rPr>
          <w:b w:val="0"/>
          <w:i w:val="0"/>
        </w:rPr>
        <w:t>.</w:t>
      </w:r>
    </w:p>
    <w:p>
      <w:pPr>
        <w:widowControl/>
      </w:pPr>
      <w:r>
        <w:rPr>
          <w:b w:val="0"/>
          <w:i w:val="0"/>
        </w:rPr>
        <w:t xml:space="preserve">Migrate or pass into. Soul passes into particular things without abandoning the others; the verbs describe communicative range rather than spatial relocation alone. References: </w:t>
      </w:r>
      <w:hyperlink w:anchor="passage-iii-2-23">
        <w:r>
          <w:rPr>
            <w:color w:val="000000"/>
          </w:rPr>
          <w:t xml:space="preserve">III.2.23</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950" w:name="latin-record-0699"/>
      <w:bookmarkEnd w:id="950"/>
      <w:r>
        <w:rPr>
          <w:b/>
          <w:i w:val="0"/>
        </w:rPr>
        <w:t>minister / architectus</w:t>
      </w:r>
      <w:r>
        <w:rPr>
          <w:b/>
          <w:i w:val="0"/>
        </w:rPr>
        <w:t>.</w:t>
      </w:r>
      <w:r>
        <w:rPr>
          <w:b w:val="0"/>
          <w:i w:val="0"/>
        </w:rPr>
        <w:t xml:space="preserve"> Printed forms: </w:t>
      </w:r>
      <w:r>
        <w:rPr>
          <w:b w:val="0"/>
          <w:i/>
        </w:rPr>
        <w:t>architectum</w:t>
      </w:r>
      <w:r>
        <w:rPr>
          <w:b w:val="0"/>
          <w:i w:val="0"/>
        </w:rPr>
        <w:t xml:space="preserve">; </w:t>
      </w:r>
      <w:r>
        <w:rPr>
          <w:b w:val="0"/>
          <w:i/>
        </w:rPr>
        <w:t>architectus</w:t>
      </w:r>
      <w:r>
        <w:rPr>
          <w:b w:val="0"/>
          <w:i w:val="0"/>
        </w:rPr>
        <w:t xml:space="preserve">; </w:t>
      </w:r>
      <w:r>
        <w:rPr>
          <w:b w:val="0"/>
          <w:i/>
        </w:rPr>
        <w:t>minister</w:t>
      </w:r>
      <w:r>
        <w:rPr>
          <w:b w:val="0"/>
          <w:i w:val="0"/>
        </w:rPr>
        <w:t>.</w:t>
      </w:r>
    </w:p>
    <w:p>
      <w:pPr>
        <w:widowControl/>
      </w:pPr>
      <w:r>
        <w:rPr>
          <w:b w:val="0"/>
          <w:i w:val="0"/>
        </w:rPr>
        <w:t xml:space="preserve">Servant or subordinate worker / architect. The contrast represents particular natural efficacy subordinated to the universal direction of intellectual nature. References: </w:t>
      </w:r>
      <w:hyperlink w:anchor="passage-ii-11-14">
        <w:r>
          <w:rPr>
            <w:color w:val="000000"/>
          </w:rPr>
          <w:t xml:space="preserve">II.11.14</w:t>
        </w:r>
      </w:hyperlink>
      <w:r>
        <w:rPr>
          <w:b w:val="0"/>
          <w:i w:val="0"/>
        </w:rPr>
        <w:t xml:space="preserve">. See </w:t>
      </w:r>
      <w:hyperlink w:anchor="architect-and-house">
        <w:r>
          <w:rPr>
            <w:color w:val="000000"/>
          </w:rPr>
          <w:t xml:space="preserve">Architect, house and decoration</w:t>
        </w:r>
      </w:hyperlink>
      <w:r>
        <w:rPr>
          <w:b w:val="0"/>
          <w:i w:val="0"/>
        </w:rPr>
        <w:t>.</w:t>
      </w:r>
    </w:p>
    <w:p>
      <w:pPr>
        <w:keepNext/>
        <w:widowControl/>
      </w:pPr>
      <w:bookmarkStart w:id="951" w:name="latin-record-0700"/>
      <w:bookmarkEnd w:id="951"/>
      <w:r>
        <w:rPr>
          <w:b/>
          <w:i w:val="0"/>
        </w:rPr>
        <w:t>minister / assisto</w:t>
      </w:r>
      <w:r>
        <w:rPr>
          <w:b/>
          <w:i w:val="0"/>
        </w:rPr>
        <w:t>.</w:t>
      </w:r>
      <w:r>
        <w:rPr>
          <w:b w:val="0"/>
          <w:i w:val="0"/>
        </w:rPr>
        <w:t xml:space="preserve"> Printed forms: </w:t>
      </w:r>
      <w:r>
        <w:rPr>
          <w:b w:val="0"/>
          <w:i/>
        </w:rPr>
        <w:t>assistebant</w:t>
      </w:r>
      <w:r>
        <w:rPr>
          <w:b w:val="0"/>
          <w:i w:val="0"/>
        </w:rPr>
        <w:t xml:space="preserve">; </w:t>
      </w:r>
      <w:r>
        <w:rPr>
          <w:b w:val="0"/>
          <w:i/>
        </w:rPr>
        <w:t>ministrabant</w:t>
      </w:r>
      <w:r>
        <w:rPr>
          <w:b w:val="0"/>
          <w:i w:val="0"/>
        </w:rPr>
        <w:t>.</w:t>
      </w:r>
    </w:p>
    <w:p>
      <w:pPr>
        <w:widowControl/>
      </w:pPr>
      <w:r>
        <w:rPr>
          <w:b w:val="0"/>
          <w:i w:val="0"/>
        </w:rPr>
        <w:t xml:space="preserve">To minister or serve, and to stand in attendance. The quoted prophetic multitude supports angelic abundance through the image of service to a ruler. References: </w:t>
      </w:r>
      <w:hyperlink w:anchor="passage-i-5-27">
        <w:r>
          <w:rPr>
            <w:color w:val="000000"/>
          </w:rPr>
          <w:t xml:space="preserve">I.5.27</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952" w:name="latin-record-0701"/>
      <w:bookmarkEnd w:id="952"/>
      <w:r>
        <w:rPr>
          <w:b/>
          <w:i w:val="0"/>
        </w:rPr>
        <w:t>minuo / debilito</w:t>
      </w:r>
      <w:r>
        <w:rPr>
          <w:b/>
          <w:i w:val="0"/>
        </w:rPr>
        <w:t>.</w:t>
      </w:r>
      <w:r>
        <w:rPr>
          <w:b w:val="0"/>
          <w:i w:val="0"/>
        </w:rPr>
        <w:t xml:space="preserve"> Printed forms: </w:t>
      </w:r>
      <w:r>
        <w:rPr>
          <w:b w:val="0"/>
          <w:i/>
        </w:rPr>
        <w:t>debilitat</w:t>
      </w:r>
      <w:r>
        <w:rPr>
          <w:b w:val="0"/>
          <w:i w:val="0"/>
        </w:rPr>
        <w:t xml:space="preserve">; </w:t>
      </w:r>
      <w:r>
        <w:rPr>
          <w:b w:val="0"/>
          <w:i/>
        </w:rPr>
        <w:t>debilitetur</w:t>
      </w:r>
      <w:r>
        <w:rPr>
          <w:b w:val="0"/>
          <w:i w:val="0"/>
        </w:rPr>
        <w:t xml:space="preserve">; </w:t>
      </w:r>
      <w:r>
        <w:rPr>
          <w:b w:val="0"/>
          <w:i/>
        </w:rPr>
        <w:t>minui</w:t>
      </w:r>
      <w:r>
        <w:rPr>
          <w:b w:val="0"/>
          <w:i w:val="0"/>
        </w:rPr>
        <w:t xml:space="preserve">; </w:t>
      </w:r>
      <w:r>
        <w:rPr>
          <w:b w:val="0"/>
          <w:i/>
        </w:rPr>
        <w:t>minuitur</w:t>
      </w:r>
      <w:r>
        <w:rPr>
          <w:b w:val="0"/>
          <w:i w:val="0"/>
        </w:rPr>
        <w:t>.</w:t>
      </w:r>
    </w:p>
    <w:p>
      <w:pPr>
        <w:widowControl/>
      </w:pPr>
      <w:r>
        <w:rPr>
          <w:b w:val="0"/>
          <w:i w:val="0"/>
        </w:rPr>
        <w:t xml:space="preserve">To diminish or weaken. Dispersion weakens bodily power; the proposed incorporeal substance cannot be diminished through partition, which supports its superiority. References: </w:t>
      </w:r>
      <w:hyperlink w:anchor="passage-i-2-2">
        <w:r>
          <w:rPr>
            <w:color w:val="000000"/>
          </w:rPr>
          <w:t xml:space="preserve">I.2.2</w:t>
        </w:r>
      </w:hyperlink>
      <w:r>
        <w:rPr>
          <w:b w:val="0"/>
          <w:i w:val="0"/>
        </w:rPr>
        <w:t xml:space="preserve">, </w:t>
      </w:r>
      <w:hyperlink w:anchor="passage-i-3-15">
        <w:r>
          <w:rPr>
            <w:color w:val="000000"/>
          </w:rPr>
          <w:t xml:space="preserve">I.3.15</w:t>
        </w:r>
      </w:hyperlink>
      <w:r>
        <w:rPr>
          <w:b w:val="0"/>
          <w:i w:val="0"/>
        </w:rPr>
        <w:t xml:space="preserve">, </w:t>
      </w:r>
      <w:hyperlink w:anchor="passage-i-3-33">
        <w:r>
          <w:rPr>
            <w:color w:val="000000"/>
          </w:rPr>
          <w:t xml:space="preserve">I.3.33</w:t>
        </w:r>
      </w:hyperlink>
      <w:r>
        <w:rPr>
          <w:b w:val="0"/>
          <w:i w:val="0"/>
        </w:rPr>
        <w:t xml:space="preserve">. See </w:t>
      </w:r>
      <w:hyperlink w:anchor="dispersion-and-concentration">
        <w:r>
          <w:rPr>
            <w:color w:val="000000"/>
          </w:rPr>
          <w:t xml:space="preserve">Dispersion and concentration</w:t>
        </w:r>
      </w:hyperlink>
      <w:r>
        <w:rPr>
          <w:b w:val="0"/>
          <w:i w:val="0"/>
        </w:rPr>
        <w:t>.</w:t>
      </w:r>
    </w:p>
    <w:p>
      <w:pPr>
        <w:keepNext/>
        <w:widowControl/>
      </w:pPr>
      <w:bookmarkStart w:id="953" w:name="latin-record-0702"/>
      <w:bookmarkEnd w:id="953"/>
      <w:r>
        <w:rPr>
          <w:b/>
          <w:i w:val="0"/>
        </w:rPr>
        <w:t>miraculum</w:t>
      </w:r>
      <w:r>
        <w:rPr>
          <w:b/>
          <w:i w:val="0"/>
        </w:rPr>
        <w:t>.</w:t>
      </w:r>
      <w:r>
        <w:rPr>
          <w:b w:val="0"/>
          <w:i w:val="0"/>
        </w:rPr>
        <w:t xml:space="preserve"> Printed forms: </w:t>
      </w:r>
      <w:r>
        <w:rPr>
          <w:b w:val="0"/>
          <w:i/>
        </w:rPr>
        <w:t>miraculum</w:t>
      </w:r>
      <w:r>
        <w:rPr>
          <w:b w:val="0"/>
          <w:i w:val="0"/>
        </w:rPr>
        <w:t>.</w:t>
      </w:r>
    </w:p>
    <w:p>
      <w:pPr>
        <w:widowControl/>
      </w:pPr>
      <w:r>
        <w:rPr>
          <w:b w:val="0"/>
          <w:i w:val="0"/>
        </w:rPr>
        <w:t xml:space="preserve">Wonder or extraordinary marvel. Soul’s simultaneous mediating powers make it the greatest wonder in nature in Ficino’s exposition, not a separately narrated supernatural event. References: </w:t>
      </w:r>
      <w:hyperlink w:anchor="passage-iii-2-22">
        <w:r>
          <w:rPr>
            <w:color w:val="000000"/>
          </w:rPr>
          <w:t xml:space="preserve">III.2.22</w:t>
        </w:r>
      </w:hyperlink>
      <w:r>
        <w:rPr>
          <w:b w:val="0"/>
          <w:i w:val="0"/>
        </w:rPr>
        <w:t xml:space="preserve">. See </w:t>
      </w:r>
      <w:hyperlink w:anchor="soul">
        <w:r>
          <w:rPr>
            <w:color w:val="000000"/>
          </w:rPr>
          <w:t xml:space="preserve">Soul</w:t>
        </w:r>
      </w:hyperlink>
      <w:r>
        <w:rPr>
          <w:b w:val="0"/>
          <w:i w:val="0"/>
        </w:rPr>
        <w:t>.</w:t>
      </w:r>
    </w:p>
    <w:p>
      <w:pPr>
        <w:keepNext/>
        <w:widowControl/>
      </w:pPr>
      <w:bookmarkStart w:id="954" w:name="latin-record-0703"/>
      <w:bookmarkEnd w:id="954"/>
      <w:r>
        <w:rPr>
          <w:b/>
          <w:i w:val="0"/>
        </w:rPr>
        <w:t>mirari / mirabilis</w:t>
      </w:r>
      <w:r>
        <w:rPr>
          <w:b/>
          <w:i w:val="0"/>
        </w:rPr>
        <w:t>.</w:t>
      </w:r>
      <w:r>
        <w:rPr>
          <w:b w:val="0"/>
          <w:i w:val="0"/>
        </w:rPr>
        <w:t xml:space="preserve"> Printed forms: </w:t>
      </w:r>
      <w:r>
        <w:rPr>
          <w:b w:val="0"/>
          <w:i/>
        </w:rPr>
        <w:t>miraberis</w:t>
      </w:r>
      <w:r>
        <w:rPr>
          <w:b w:val="0"/>
          <w:i w:val="0"/>
        </w:rPr>
        <w:t xml:space="preserve">; </w:t>
      </w:r>
      <w:r>
        <w:rPr>
          <w:b w:val="0"/>
          <w:i/>
        </w:rPr>
        <w:t>mirabilem</w:t>
      </w:r>
      <w:r>
        <w:rPr>
          <w:b w:val="0"/>
          <w:i w:val="0"/>
        </w:rPr>
        <w:t xml:space="preserve">; </w:t>
      </w:r>
      <w:r>
        <w:rPr>
          <w:b w:val="0"/>
          <w:i/>
        </w:rPr>
        <w:t>mirabiles</w:t>
      </w:r>
      <w:r>
        <w:rPr>
          <w:b w:val="0"/>
          <w:i w:val="0"/>
        </w:rPr>
        <w:t>.</w:t>
      </w:r>
    </w:p>
    <w:p>
      <w:pPr>
        <w:widowControl/>
      </w:pPr>
      <w:r>
        <w:rPr>
          <w:b w:val="0"/>
          <w:i w:val="0"/>
        </w:rPr>
        <w:t xml:space="preserve">To wonder; remarkable or wondrous. A rhetorical challenge reduces surprise at celestial souls’ efficacy, while wondrous bodily actions function as premises within Ficino’s historical account. References: </w:t>
      </w:r>
      <w:hyperlink w:anchor="passage-iv-1-19">
        <w:r>
          <w:rPr>
            <w:color w:val="000000"/>
          </w:rPr>
          <w:t xml:space="preserve">IV.1.19</w:t>
        </w:r>
      </w:hyperlink>
      <w:r>
        <w:rPr>
          <w:b w:val="0"/>
          <w:i w:val="0"/>
        </w:rPr>
        <w:t xml:space="preserve">, </w:t>
      </w:r>
      <w:hyperlink w:anchor="passage-iv-1-72">
        <w:r>
          <w:rPr>
            <w:color w:val="000000"/>
          </w:rPr>
          <w:t xml:space="preserve">IV.1.72</w:t>
        </w:r>
      </w:hyperlink>
      <w:r>
        <w:rPr>
          <w:b w:val="0"/>
          <w:i w:val="0"/>
        </w:rPr>
        <w:t xml:space="preserve">, </w:t>
      </w:r>
      <w:hyperlink w:anchor="passage-iv-2-19">
        <w:r>
          <w:rPr>
            <w:color w:val="000000"/>
          </w:rPr>
          <w:t xml:space="preserve">IV.2.19</w:t>
        </w:r>
      </w:hyperlink>
      <w:r>
        <w:rPr>
          <w:b w:val="0"/>
          <w:i w:val="0"/>
        </w:rPr>
        <w:t xml:space="preserve">. See </w:t>
      </w:r>
      <w:hyperlink w:anchor="seeming-and-evidence">
        <w:r>
          <w:rPr>
            <w:color w:val="000000"/>
          </w:rPr>
          <w:t xml:space="preserve">Seeming and evidence</w:t>
        </w:r>
      </w:hyperlink>
      <w:r>
        <w:rPr>
          <w:b w:val="0"/>
          <w:i w:val="0"/>
        </w:rPr>
        <w:t>.</w:t>
      </w:r>
    </w:p>
    <w:p>
      <w:pPr>
        <w:keepNext/>
        <w:widowControl/>
      </w:pPr>
      <w:bookmarkStart w:id="955" w:name="latin-record-0704"/>
      <w:bookmarkEnd w:id="955"/>
      <w:r>
        <w:rPr>
          <w:b/>
          <w:i w:val="0"/>
        </w:rPr>
        <w:t>mirus / mirabilis / mirabiliter</w:t>
      </w:r>
      <w:r>
        <w:rPr>
          <w:b/>
          <w:i w:val="0"/>
        </w:rPr>
        <w:t>.</w:t>
      </w:r>
      <w:r>
        <w:rPr>
          <w:b w:val="0"/>
          <w:i w:val="0"/>
        </w:rPr>
        <w:t xml:space="preserve"> Printed forms: </w:t>
      </w:r>
      <w:r>
        <w:rPr>
          <w:b w:val="0"/>
          <w:i/>
        </w:rPr>
        <w:t>mirabiliter</w:t>
      </w:r>
      <w:r>
        <w:rPr>
          <w:b w:val="0"/>
          <w:i w:val="0"/>
        </w:rPr>
        <w:t xml:space="preserve">; </w:t>
      </w:r>
      <w:r>
        <w:rPr>
          <w:b w:val="0"/>
          <w:i/>
        </w:rPr>
        <w:t>mirabilius</w:t>
      </w:r>
      <w:r>
        <w:rPr>
          <w:b w:val="0"/>
          <w:i w:val="0"/>
        </w:rPr>
        <w:t xml:space="preserve">; </w:t>
      </w:r>
      <w:r>
        <w:rPr>
          <w:b w:val="0"/>
          <w:i/>
        </w:rPr>
        <w:t>miro</w:t>
      </w:r>
      <w:r>
        <w:rPr>
          <w:b w:val="0"/>
          <w:i w:val="0"/>
        </w:rPr>
        <w:t>.</w:t>
      </w:r>
    </w:p>
    <w:p>
      <w:pPr>
        <w:widowControl/>
      </w:pPr>
      <w:r>
        <w:rPr>
          <w:b w:val="0"/>
          <w:i w:val="0"/>
        </w:rPr>
        <w:t xml:space="preserve">Wonderful or marvellous; wonderfully or marvellously, with comparative mirabilius meaning more marvellous. Lorenzo’s ability, heaven’s efficacy and digestion are praised in different registers; admiration marks rhetorical force rather than supplying an additional proof. References: </w:t>
      </w:r>
      <w:hyperlink w:anchor="passage-proem-11">
        <w:r>
          <w:rPr>
            <w:color w:val="000000"/>
          </w:rPr>
          <w:t xml:space="preserve">Proem.11</w:t>
        </w:r>
      </w:hyperlink>
      <w:r>
        <w:rPr>
          <w:b w:val="0"/>
          <w:i w:val="0"/>
        </w:rPr>
        <w:t xml:space="preserve">, </w:t>
      </w:r>
      <w:hyperlink w:anchor="passage-i-2-5">
        <w:r>
          <w:rPr>
            <w:color w:val="000000"/>
          </w:rPr>
          <w:t xml:space="preserve">I.2.5</w:t>
        </w:r>
      </w:hyperlink>
      <w:r>
        <w:rPr>
          <w:b w:val="0"/>
          <w:i w:val="0"/>
        </w:rPr>
        <w:t xml:space="preserve">, </w:t>
      </w:r>
      <w:hyperlink w:anchor="passage-i-3-23">
        <w:r>
          <w:rPr>
            <w:color w:val="000000"/>
          </w:rPr>
          <w:t xml:space="preserve">I.3.23</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956" w:name="latin-record-0705"/>
      <w:bookmarkEnd w:id="956"/>
      <w:r>
        <w:rPr>
          <w:b/>
          <w:i w:val="0"/>
        </w:rPr>
        <w:t>mobilis multitudo / immobilis multitudo</w:t>
      </w:r>
      <w:r>
        <w:rPr>
          <w:b/>
          <w:i w:val="0"/>
        </w:rPr>
        <w:t>.</w:t>
      </w:r>
      <w:r>
        <w:rPr>
          <w:b w:val="0"/>
          <w:i w:val="0"/>
        </w:rPr>
        <w:t xml:space="preserve"> Printed forms: </w:t>
      </w:r>
      <w:r>
        <w:rPr>
          <w:b w:val="0"/>
          <w:i/>
        </w:rPr>
        <w:t>immobilis multitudo</w:t>
      </w:r>
      <w:r>
        <w:rPr>
          <w:b w:val="0"/>
          <w:i w:val="0"/>
        </w:rPr>
        <w:t xml:space="preserve">; </w:t>
      </w:r>
      <w:r>
        <w:rPr>
          <w:b w:val="0"/>
          <w:i/>
        </w:rPr>
        <w:t>mobilis multitudo</w:t>
      </w:r>
      <w:r>
        <w:rPr>
          <w:b w:val="0"/>
          <w:i w:val="0"/>
        </w:rPr>
        <w:t>.</w:t>
      </w:r>
    </w:p>
    <w:p>
      <w:pPr>
        <w:widowControl/>
      </w:pPr>
      <w:r>
        <w:rPr>
          <w:b w:val="0"/>
          <w:i w:val="0"/>
        </w:rPr>
        <w:t xml:space="preserve">Mobile multiplicity and immobile multiplicity. Soul and angel share multiplicity but differ in mobility; this intermediate relation leaves divine immobile unity above both. References: </w:t>
      </w:r>
      <w:hyperlink w:anchor="passage-i-6-1">
        <w:r>
          <w:rPr>
            <w:color w:val="000000"/>
          </w:rPr>
          <w:t xml:space="preserve">I.6.1</w:t>
        </w:r>
      </w:hyperlink>
      <w:r>
        <w:rPr>
          <w:b w:val="0"/>
          <w:i w:val="0"/>
        </w:rPr>
        <w:t xml:space="preserve">, </w:t>
      </w:r>
      <w:hyperlink w:anchor="passage-i-6-2">
        <w:r>
          <w:rPr>
            <w:color w:val="000000"/>
          </w:rPr>
          <w:t xml:space="preserve">I.6.2</w:t>
        </w:r>
      </w:hyperlink>
      <w:r>
        <w:rPr>
          <w:b w:val="0"/>
          <w:i w:val="0"/>
        </w:rPr>
        <w:t xml:space="preserve">, </w:t>
      </w:r>
      <w:hyperlink w:anchor="passage-i-6-3">
        <w:r>
          <w:rPr>
            <w:color w:val="000000"/>
          </w:rPr>
          <w:t xml:space="preserve">I.6.3</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957" w:name="latin-record-0706"/>
      <w:bookmarkEnd w:id="957"/>
      <w:r>
        <w:rPr>
          <w:b/>
          <w:i w:val="0"/>
        </w:rPr>
        <w:t>modus</w:t>
      </w:r>
      <w:r>
        <w:rPr>
          <w:b/>
          <w:i w:val="0"/>
        </w:rPr>
        <w:t>.</w:t>
      </w:r>
      <w:r>
        <w:rPr>
          <w:b w:val="0"/>
          <w:i w:val="0"/>
        </w:rPr>
        <w:t xml:space="preserve"> Printed forms: </w:t>
      </w:r>
      <w:r>
        <w:rPr>
          <w:b w:val="0"/>
          <w:i/>
        </w:rPr>
        <w:t>modique</w:t>
      </w:r>
      <w:r>
        <w:rPr>
          <w:b w:val="0"/>
          <w:i w:val="0"/>
        </w:rPr>
        <w:t xml:space="preserve">; </w:t>
      </w:r>
      <w:r>
        <w:rPr>
          <w:b w:val="0"/>
          <w:i/>
        </w:rPr>
        <w:t>modum</w:t>
      </w:r>
      <w:r>
        <w:rPr>
          <w:b w:val="0"/>
          <w:i w:val="0"/>
        </w:rPr>
        <w:t xml:space="preserve">; </w:t>
      </w:r>
      <w:r>
        <w:rPr>
          <w:b w:val="0"/>
          <w:i/>
        </w:rPr>
        <w:t>modus</w:t>
      </w:r>
      <w:r>
        <w:rPr>
          <w:b w:val="0"/>
          <w:i w:val="0"/>
        </w:rPr>
        <w:t>.</w:t>
      </w:r>
    </w:p>
    <w:p>
      <w:pPr>
        <w:widowControl/>
      </w:pPr>
      <w:r>
        <w:rPr>
          <w:b w:val="0"/>
          <w:i w:val="0"/>
        </w:rPr>
        <w:t xml:space="preserve">Manner, mode, or measure. Foreknowledge includes how an act happens, so a known free action is not stripped of its free mode. References: </w:t>
      </w:r>
      <w:hyperlink w:anchor="passage-ii-13-25">
        <w:r>
          <w:rPr>
            <w:color w:val="000000"/>
          </w:rPr>
          <w:t xml:space="preserve">II.13.25</w:t>
        </w:r>
      </w:hyperlink>
      <w:r>
        <w:rPr>
          <w:b w:val="0"/>
          <w:i w:val="0"/>
        </w:rPr>
        <w:t xml:space="preserve">. See </w:t>
      </w:r>
      <w:hyperlink w:anchor="foreknowledge">
        <w:r>
          <w:rPr>
            <w:color w:val="000000"/>
          </w:rPr>
          <w:t xml:space="preserve">Foreknowledge</w:t>
        </w:r>
      </w:hyperlink>
      <w:r>
        <w:rPr>
          <w:b w:val="0"/>
          <w:i w:val="0"/>
        </w:rPr>
        <w:t>.</w:t>
      </w:r>
    </w:p>
    <w:p>
      <w:pPr>
        <w:keepNext/>
        <w:widowControl/>
      </w:pPr>
      <w:bookmarkStart w:id="958" w:name="latin-record-0707"/>
      <w:bookmarkEnd w:id="958"/>
      <w:r>
        <w:rPr>
          <w:b/>
          <w:i w:val="0"/>
        </w:rPr>
        <w:t>modus / modo</w:t>
      </w:r>
      <w:r>
        <w:rPr>
          <w:b/>
          <w:i w:val="0"/>
        </w:rPr>
        <w:t>.</w:t>
      </w:r>
      <w:r>
        <w:rPr>
          <w:b w:val="0"/>
          <w:i w:val="0"/>
        </w:rPr>
        <w:t xml:space="preserve"> Printed forms: </w:t>
      </w:r>
      <w:r>
        <w:rPr>
          <w:b w:val="0"/>
          <w:i/>
        </w:rPr>
        <w:t>modo</w:t>
      </w:r>
      <w:r>
        <w:rPr>
          <w:b w:val="0"/>
          <w:i w:val="0"/>
        </w:rPr>
        <w:t xml:space="preserve">; </w:t>
      </w:r>
      <w:r>
        <w:rPr>
          <w:b w:val="0"/>
          <w:i/>
        </w:rPr>
        <w:t>modus</w:t>
      </w:r>
      <w:r>
        <w:rPr>
          <w:b w:val="0"/>
          <w:i w:val="0"/>
        </w:rPr>
        <w:t>.</w:t>
      </w:r>
    </w:p>
    <w:p>
      <w:pPr>
        <w:widowControl/>
      </w:pPr>
      <w:r>
        <w:rPr>
          <w:b w:val="0"/>
          <w:i w:val="0"/>
        </w:rPr>
        <w:t xml:space="preserve">Mode, way, or manner; adverbial modo may instead mean only or at one time. Modes of being distinguish things; divine understanding has a mode above created intelligence. References: </w:t>
      </w:r>
      <w:hyperlink w:anchor="passage-ii-7-8">
        <w:r>
          <w:rPr>
            <w:color w:val="000000"/>
          </w:rPr>
          <w:t xml:space="preserve">II.7.8</w:t>
        </w:r>
      </w:hyperlink>
      <w:r>
        <w:rPr>
          <w:b w:val="0"/>
          <w:i w:val="0"/>
        </w:rPr>
        <w:t xml:space="preserve">, </w:t>
      </w:r>
      <w:hyperlink w:anchor="passage-ii-9-13">
        <w:r>
          <w:rPr>
            <w:color w:val="000000"/>
          </w:rPr>
          <w:t xml:space="preserve">II.9.13</w:t>
        </w:r>
      </w:hyperlink>
      <w:r>
        <w:rPr>
          <w:b w:val="0"/>
          <w:i w:val="0"/>
        </w:rPr>
        <w:t xml:space="preserve">, </w:t>
      </w:r>
      <w:hyperlink w:anchor="passage-ii-10-5">
        <w:r>
          <w:rPr>
            <w:color w:val="000000"/>
          </w:rPr>
          <w:t xml:space="preserve">II.10.5</w:t>
        </w:r>
      </w:hyperlink>
      <w:r>
        <w:rPr>
          <w:b w:val="0"/>
          <w:i w:val="0"/>
        </w:rPr>
        <w:t xml:space="preserve">. See </w:t>
      </w:r>
      <w:hyperlink w:anchor="being">
        <w:r>
          <w:rPr>
            <w:color w:val="000000"/>
          </w:rPr>
          <w:t xml:space="preserve">Being</w:t>
        </w:r>
      </w:hyperlink>
      <w:r>
        <w:rPr>
          <w:b w:val="0"/>
          <w:i w:val="0"/>
        </w:rPr>
        <w:t>.</w:t>
      </w:r>
    </w:p>
    <w:p>
      <w:pPr>
        <w:keepNext/>
        <w:widowControl/>
      </w:pPr>
      <w:bookmarkStart w:id="959" w:name="latin-record-0708"/>
      <w:bookmarkEnd w:id="959"/>
      <w:r>
        <w:rPr>
          <w:b/>
          <w:i w:val="0"/>
        </w:rPr>
        <w:t>modus unitatis</w:t>
      </w:r>
      <w:r>
        <w:rPr>
          <w:b/>
          <w:i w:val="0"/>
        </w:rPr>
        <w:t>.</w:t>
      </w:r>
      <w:r>
        <w:rPr>
          <w:b w:val="0"/>
          <w:i w:val="0"/>
        </w:rPr>
        <w:t xml:space="preserve"> Printed forms: </w:t>
      </w:r>
      <w:r>
        <w:rPr>
          <w:b w:val="0"/>
          <w:i/>
        </w:rPr>
        <w:t>modis</w:t>
      </w:r>
      <w:r>
        <w:rPr>
          <w:b w:val="0"/>
          <w:i w:val="0"/>
        </w:rPr>
        <w:t xml:space="preserve">; </w:t>
      </w:r>
      <w:r>
        <w:rPr>
          <w:b w:val="0"/>
          <w:i/>
        </w:rPr>
        <w:t>modum unitatis</w:t>
      </w:r>
      <w:r>
        <w:rPr>
          <w:b w:val="0"/>
          <w:i w:val="0"/>
        </w:rPr>
        <w:t>.</w:t>
      </w:r>
    </w:p>
    <w:p>
      <w:pPr>
        <w:widowControl/>
      </w:pPr>
      <w:r>
        <w:rPr>
          <w:b w:val="0"/>
          <w:i w:val="0"/>
        </w:rPr>
        <w:t xml:space="preserve">A way or mode of being one. Essence, point, and moment are three specified respects of unity; soul loses one mode while retaining two. This is explanatory differentiation rather than three physical parts of unity. References: </w:t>
      </w:r>
      <w:hyperlink w:anchor="passage-iv-2-5">
        <w:r>
          <w:rPr>
            <w:color w:val="000000"/>
          </w:rPr>
          <w:t xml:space="preserve">IV.2.5</w:t>
        </w:r>
      </w:hyperlink>
      <w:r>
        <w:rPr>
          <w:b w:val="0"/>
          <w:i w:val="0"/>
        </w:rPr>
        <w:t xml:space="preserve">, </w:t>
      </w:r>
      <w:hyperlink w:anchor="passage-iv-2-7">
        <w:r>
          <w:rPr>
            <w:color w:val="000000"/>
          </w:rPr>
          <w:t xml:space="preserve">IV.2.7</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960" w:name="latin-record-0709"/>
      <w:bookmarkEnd w:id="960"/>
      <w:r>
        <w:rPr>
          <w:b/>
          <w:i w:val="0"/>
        </w:rPr>
        <w:t>moles / piger</w:t>
      </w:r>
      <w:r>
        <w:rPr>
          <w:b/>
          <w:i w:val="0"/>
        </w:rPr>
        <w:t>.</w:t>
      </w:r>
      <w:r>
        <w:rPr>
          <w:b w:val="0"/>
          <w:i w:val="0"/>
        </w:rPr>
        <w:t xml:space="preserve"> Printed forms: </w:t>
      </w:r>
      <w:r>
        <w:rPr>
          <w:b w:val="0"/>
          <w:i/>
        </w:rPr>
        <w:t>molem</w:t>
      </w:r>
      <w:r>
        <w:rPr>
          <w:b w:val="0"/>
          <w:i w:val="0"/>
        </w:rPr>
        <w:t xml:space="preserve">; </w:t>
      </w:r>
      <w:r>
        <w:rPr>
          <w:b w:val="0"/>
          <w:i/>
        </w:rPr>
        <w:t>moles</w:t>
      </w:r>
      <w:r>
        <w:rPr>
          <w:b w:val="0"/>
          <w:i w:val="0"/>
        </w:rPr>
        <w:t xml:space="preserve">; </w:t>
      </w:r>
      <w:r>
        <w:rPr>
          <w:b w:val="0"/>
          <w:i/>
        </w:rPr>
        <w:t>pigram</w:t>
      </w:r>
      <w:r>
        <w:rPr>
          <w:b w:val="0"/>
          <w:i w:val="0"/>
        </w:rPr>
        <w:t xml:space="preserve">; </w:t>
      </w:r>
      <w:r>
        <w:rPr>
          <w:b w:val="0"/>
          <w:i/>
        </w:rPr>
        <w:t>pigrius</w:t>
      </w:r>
      <w:r>
        <w:rPr>
          <w:b w:val="0"/>
          <w:i w:val="0"/>
        </w:rPr>
        <w:t>.</w:t>
      </w:r>
    </w:p>
    <w:p>
      <w:pPr>
        <w:widowControl/>
      </w:pPr>
      <w:r>
        <w:rPr>
          <w:b w:val="0"/>
          <w:i w:val="0"/>
        </w:rPr>
        <w:t xml:space="preserve">Bulk or mass; sluggish in its own nature. Bulk is the passive and dispersive aspect of body, not a denial that qualified bodies have observable effects. References: </w:t>
      </w:r>
      <w:hyperlink w:anchor="passage-i-1-3">
        <w:r>
          <w:rPr>
            <w:color w:val="000000"/>
          </w:rPr>
          <w:t xml:space="preserve">I.1.3</w:t>
        </w:r>
      </w:hyperlink>
      <w:r>
        <w:rPr>
          <w:b w:val="0"/>
          <w:i w:val="0"/>
        </w:rPr>
        <w:t xml:space="preserve">, </w:t>
      </w:r>
      <w:hyperlink w:anchor="passage-i-2-2">
        <w:r>
          <w:rPr>
            <w:color w:val="000000"/>
          </w:rPr>
          <w:t xml:space="preserve">I.2.2</w:t>
        </w:r>
      </w:hyperlink>
      <w:r>
        <w:rPr>
          <w:b w:val="0"/>
          <w:i w:val="0"/>
        </w:rPr>
        <w:t xml:space="preserve">. See </w:t>
      </w:r>
      <w:hyperlink w:anchor="body-and-bulk">
        <w:r>
          <w:rPr>
            <w:color w:val="000000"/>
          </w:rPr>
          <w:t xml:space="preserve">Body and bulk</w:t>
        </w:r>
      </w:hyperlink>
      <w:r>
        <w:rPr>
          <w:b w:val="0"/>
          <w:i w:val="0"/>
        </w:rPr>
        <w:t>.</w:t>
      </w:r>
    </w:p>
    <w:p>
      <w:pPr>
        <w:keepNext/>
        <w:widowControl/>
      </w:pPr>
      <w:bookmarkStart w:id="961" w:name="latin-record-0710"/>
      <w:bookmarkEnd w:id="961"/>
      <w:r>
        <w:rPr>
          <w:b/>
          <w:i w:val="0"/>
        </w:rPr>
        <w:t>molior / perficio</w:t>
      </w:r>
      <w:r>
        <w:rPr>
          <w:b/>
          <w:i w:val="0"/>
        </w:rPr>
        <w:t>.</w:t>
      </w:r>
      <w:r>
        <w:rPr>
          <w:b w:val="0"/>
          <w:i w:val="0"/>
        </w:rPr>
        <w:t xml:space="preserve"> Printed forms: </w:t>
      </w:r>
      <w:r>
        <w:rPr>
          <w:b w:val="0"/>
          <w:i/>
        </w:rPr>
        <w:t>moliti</w:t>
      </w:r>
      <w:r>
        <w:rPr>
          <w:b w:val="0"/>
          <w:i w:val="0"/>
        </w:rPr>
        <w:t xml:space="preserve">; </w:t>
      </w:r>
      <w:r>
        <w:rPr>
          <w:b w:val="0"/>
          <w:i/>
        </w:rPr>
        <w:t>perfecerimus</w:t>
      </w:r>
      <w:r>
        <w:rPr>
          <w:b w:val="0"/>
          <w:i w:val="0"/>
        </w:rPr>
        <w:t>.</w:t>
      </w:r>
    </w:p>
    <w:p>
      <w:pPr>
        <w:widowControl/>
      </w:pPr>
      <w:r>
        <w:rPr>
          <w:b w:val="0"/>
          <w:i w:val="0"/>
        </w:rPr>
        <w:t xml:space="preserve">To undertake with effort, and to bring to completion. Ficino distinguishes his laborious undertaking from the hope that it has been completed truthfully; effort alone is not offered as a guarantee of truth. References: </w:t>
      </w:r>
      <w:hyperlink w:anchor="passage-proem-10">
        <w:r>
          <w:rPr>
            <w:color w:val="000000"/>
          </w:rPr>
          <w:t xml:space="preserve">Proem.10</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962" w:name="latin-record-0711"/>
      <w:bookmarkEnd w:id="962"/>
      <w:r>
        <w:rPr>
          <w:b/>
          <w:i w:val="0"/>
        </w:rPr>
        <w:t>momentum</w:t>
      </w:r>
      <w:r>
        <w:rPr>
          <w:b/>
          <w:i w:val="0"/>
        </w:rPr>
        <w:t>.</w:t>
      </w:r>
      <w:r>
        <w:rPr>
          <w:b w:val="0"/>
          <w:i w:val="0"/>
        </w:rPr>
        <w:t xml:space="preserve"> Printed forms: </w:t>
      </w:r>
      <w:r>
        <w:rPr>
          <w:b w:val="0"/>
          <w:i/>
        </w:rPr>
        <w:t>momento</w:t>
      </w:r>
      <w:r>
        <w:rPr>
          <w:b w:val="0"/>
          <w:i w:val="0"/>
        </w:rPr>
        <w:t>.</w:t>
      </w:r>
    </w:p>
    <w:p>
      <w:pPr>
        <w:widowControl/>
      </w:pPr>
      <w:r>
        <w:rPr>
          <w:b w:val="0"/>
          <w:i w:val="0"/>
        </w:rPr>
        <w:t xml:space="preserve">Movement, instant, or moment according to context. In the mechanism it is one ball’s motion; in the light analogy it expresses immediate reception as opposed to elapsed time. References: </w:t>
      </w:r>
      <w:hyperlink w:anchor="passage-ii-13-14">
        <w:r>
          <w:rPr>
            <w:color w:val="000000"/>
          </w:rPr>
          <w:t xml:space="preserve">II.13.14</w:t>
        </w:r>
      </w:hyperlink>
      <w:r>
        <w:rPr>
          <w:b w:val="0"/>
          <w:i w:val="0"/>
        </w:rPr>
        <w:t xml:space="preserve">, </w:t>
      </w:r>
      <w:hyperlink w:anchor="passage-iii-1-32">
        <w:r>
          <w:rPr>
            <w:color w:val="000000"/>
          </w:rPr>
          <w:t xml:space="preserve">III.1.32</w:t>
        </w:r>
      </w:hyperlink>
      <w:r>
        <w:rPr>
          <w:b w:val="0"/>
          <w:i w:val="0"/>
        </w:rPr>
        <w:t xml:space="preserve">. See </w:t>
      </w:r>
      <w:hyperlink w:anchor="florentine-mechanism">
        <w:r>
          <w:rPr>
            <w:color w:val="000000"/>
          </w:rPr>
          <w:t xml:space="preserve">Florentine mechanism</w:t>
        </w:r>
      </w:hyperlink>
      <w:r>
        <w:rPr>
          <w:b w:val="0"/>
          <w:i w:val="0"/>
        </w:rPr>
        <w:t>.</w:t>
      </w:r>
    </w:p>
    <w:p>
      <w:pPr>
        <w:keepNext/>
        <w:widowControl/>
      </w:pPr>
      <w:bookmarkStart w:id="963" w:name="latin-record-0712"/>
      <w:bookmarkEnd w:id="963"/>
      <w:r>
        <w:rPr>
          <w:b/>
          <w:i w:val="0"/>
        </w:rPr>
        <w:t>momentum / signum</w:t>
      </w:r>
      <w:r>
        <w:rPr>
          <w:b/>
          <w:i w:val="0"/>
        </w:rPr>
        <w:t>.</w:t>
      </w:r>
      <w:r>
        <w:rPr>
          <w:b w:val="0"/>
          <w:i w:val="0"/>
        </w:rPr>
        <w:t xml:space="preserve"> Printed forms: </w:t>
      </w:r>
      <w:r>
        <w:rPr>
          <w:b w:val="0"/>
          <w:i/>
        </w:rPr>
        <w:t>momentum</w:t>
      </w:r>
      <w:r>
        <w:rPr>
          <w:b w:val="0"/>
          <w:i w:val="0"/>
        </w:rPr>
        <w:t xml:space="preserve">; </w:t>
      </w:r>
      <w:r>
        <w:rPr>
          <w:b w:val="0"/>
          <w:i/>
        </w:rPr>
        <w:t>signum</w:t>
      </w:r>
      <w:r>
        <w:rPr>
          <w:b w:val="0"/>
          <w:i w:val="0"/>
        </w:rPr>
        <w:t>.</w:t>
      </w:r>
    </w:p>
    <w:p>
      <w:pPr>
        <w:widowControl/>
      </w:pPr>
      <w:r>
        <w:rPr>
          <w:b w:val="0"/>
          <w:i w:val="0"/>
        </w:rPr>
        <w:t xml:space="preserve">An instant and, in geometry, a point. They are limiting items for motion/time and dimensions respectively in an analogy of kinds reduced to indivisible principles. References: </w:t>
      </w:r>
      <w:hyperlink w:anchor="passage-i-3-14">
        <w:r>
          <w:rPr>
            <w:color w:val="000000"/>
          </w:rPr>
          <w:t xml:space="preserve">I.3.14</w:t>
        </w:r>
      </w:hyperlink>
      <w:r>
        <w:rPr>
          <w:b w:val="0"/>
          <w:i w:val="0"/>
        </w:rPr>
        <w:t xml:space="preserve">. See </w:t>
      </w:r>
      <w:hyperlink w:anchor="point-position-and-mathematical-ascent">
        <w:r>
          <w:rPr>
            <w:color w:val="000000"/>
          </w:rPr>
          <w:t xml:space="preserve">Point, position and mathematical ascent</w:t>
        </w:r>
      </w:hyperlink>
      <w:r>
        <w:rPr>
          <w:b w:val="0"/>
          <w:i w:val="0"/>
        </w:rPr>
        <w:t>.</w:t>
      </w:r>
    </w:p>
    <w:p>
      <w:pPr>
        <w:keepNext/>
        <w:widowControl/>
      </w:pPr>
      <w:bookmarkStart w:id="964" w:name="latin-record-0713"/>
      <w:bookmarkEnd w:id="964"/>
      <w:r>
        <w:rPr>
          <w:b/>
          <w:i w:val="0"/>
        </w:rPr>
        <w:t>mora / transgressio / retractatio</w:t>
      </w:r>
      <w:r>
        <w:rPr>
          <w:b/>
          <w:i w:val="0"/>
        </w:rPr>
        <w:t>.</w:t>
      </w:r>
      <w:r>
        <w:rPr>
          <w:b w:val="0"/>
          <w:i w:val="0"/>
        </w:rPr>
        <w:t xml:space="preserve"> Printed forms: </w:t>
      </w:r>
      <w:r>
        <w:rPr>
          <w:b w:val="0"/>
          <w:i/>
        </w:rPr>
        <w:t>mora</w:t>
      </w:r>
      <w:r>
        <w:rPr>
          <w:b w:val="0"/>
          <w:i w:val="0"/>
        </w:rPr>
        <w:t xml:space="preserve">; </w:t>
      </w:r>
      <w:r>
        <w:rPr>
          <w:b w:val="0"/>
          <w:i/>
        </w:rPr>
        <w:t>retractatio</w:t>
      </w:r>
      <w:r>
        <w:rPr>
          <w:b w:val="0"/>
          <w:i w:val="0"/>
        </w:rPr>
        <w:t xml:space="preserve">; </w:t>
      </w:r>
      <w:r>
        <w:rPr>
          <w:b w:val="0"/>
          <w:i/>
        </w:rPr>
        <w:t>transgressio</w:t>
      </w:r>
      <w:r>
        <w:rPr>
          <w:b w:val="0"/>
          <w:i w:val="0"/>
        </w:rPr>
        <w:t>.</w:t>
      </w:r>
    </w:p>
    <w:p>
      <w:pPr>
        <w:widowControl/>
      </w:pPr>
      <w:r>
        <w:rPr>
          <w:b w:val="0"/>
          <w:i w:val="0"/>
        </w:rPr>
        <w:t xml:space="preserve">Delay / deviation / reconsideration. Their asserted absence in the work supports the denial of uncertainty in its maker. References: </w:t>
      </w:r>
      <w:hyperlink w:anchor="passage-ii-13-18">
        <w:r>
          <w:rPr>
            <w:color w:val="000000"/>
          </w:rPr>
          <w:t xml:space="preserve">II.13.18</w:t>
        </w:r>
      </w:hyperlink>
      <w:r>
        <w:rPr>
          <w:b w:val="0"/>
          <w:i w:val="0"/>
        </w:rPr>
        <w:t xml:space="preserve">. See </w:t>
      </w:r>
      <w:hyperlink w:anchor="counsel-and-settled-skill">
        <w:r>
          <w:rPr>
            <w:color w:val="000000"/>
          </w:rPr>
          <w:t xml:space="preserve">Counsel and settled skill</w:t>
        </w:r>
      </w:hyperlink>
      <w:r>
        <w:rPr>
          <w:b w:val="0"/>
          <w:i w:val="0"/>
        </w:rPr>
        <w:t>.</w:t>
      </w:r>
    </w:p>
    <w:p>
      <w:pPr>
        <w:keepNext/>
        <w:widowControl/>
      </w:pPr>
      <w:bookmarkStart w:id="965" w:name="latin-record-0714"/>
      <w:bookmarkEnd w:id="965"/>
      <w:r>
        <w:rPr>
          <w:b/>
          <w:i w:val="0"/>
        </w:rPr>
        <w:t>more Platonico</w:t>
      </w:r>
      <w:r>
        <w:rPr>
          <w:b/>
          <w:i w:val="0"/>
        </w:rPr>
        <w:t>.</w:t>
      </w:r>
      <w:r>
        <w:rPr>
          <w:b w:val="0"/>
          <w:i w:val="0"/>
        </w:rPr>
        <w:t xml:space="preserve"> Printed forms: </w:t>
      </w:r>
      <w:r>
        <w:rPr>
          <w:b w:val="0"/>
          <w:i/>
        </w:rPr>
        <w:t>more Platonico</w:t>
      </w:r>
      <w:r>
        <w:rPr>
          <w:b w:val="0"/>
          <w:i w:val="0"/>
        </w:rPr>
        <w:t>.</w:t>
      </w:r>
    </w:p>
    <w:p>
      <w:pPr>
        <w:widowControl/>
      </w:pPr>
      <w:r>
        <w:rPr>
          <w:b w:val="0"/>
          <w:i w:val="0"/>
        </w:rPr>
        <w:t xml:space="preserve">In Platonic usage or manner. Ficino expressly marks his convention of calling every form divided in body a quality, rather than claiming a single universal dictionary definition. References: </w:t>
      </w:r>
      <w:hyperlink w:anchor="passage-i-3-1">
        <w:r>
          <w:rPr>
            <w:color w:val="000000"/>
          </w:rPr>
          <w:t xml:space="preserve">I.3.1</w:t>
        </w:r>
      </w:hyperlink>
      <w:r>
        <w:rPr>
          <w:b w:val="0"/>
          <w:i w:val="0"/>
        </w:rPr>
        <w:t xml:space="preserve">. See </w:t>
      </w:r>
      <w:hyperlink w:anchor="naming-and-defining">
        <w:r>
          <w:rPr>
            <w:color w:val="000000"/>
          </w:rPr>
          <w:t xml:space="preserve">Naming and defining</w:t>
        </w:r>
      </w:hyperlink>
      <w:r>
        <w:rPr>
          <w:b w:val="0"/>
          <w:i w:val="0"/>
        </w:rPr>
        <w:t>.</w:t>
      </w:r>
    </w:p>
    <w:p>
      <w:pPr>
        <w:keepNext/>
        <w:widowControl/>
      </w:pPr>
      <w:bookmarkStart w:id="966" w:name="latin-record-0715"/>
      <w:bookmarkEnd w:id="966"/>
      <w:r>
        <w:rPr>
          <w:b/>
          <w:i w:val="0"/>
        </w:rPr>
        <w:t>mores</w:t>
      </w:r>
      <w:r>
        <w:rPr>
          <w:b/>
          <w:i w:val="0"/>
        </w:rPr>
        <w:t>.</w:t>
      </w:r>
      <w:r>
        <w:rPr>
          <w:b w:val="0"/>
          <w:i w:val="0"/>
        </w:rPr>
        <w:t xml:space="preserve"> Printed forms: </w:t>
      </w:r>
      <w:r>
        <w:rPr>
          <w:b w:val="0"/>
          <w:i/>
        </w:rPr>
        <w:t>moribus</w:t>
      </w:r>
      <w:r>
        <w:rPr>
          <w:b w:val="0"/>
          <w:i w:val="0"/>
        </w:rPr>
        <w:t>.</w:t>
      </w:r>
    </w:p>
    <w:p>
      <w:pPr>
        <w:widowControl/>
      </w:pPr>
      <w:r>
        <w:rPr>
          <w:b w:val="0"/>
          <w:i w:val="0"/>
        </w:rPr>
        <w:t xml:space="preserve">Character or conduct. Soul’s self-painting includes character and action alongside contemplation; the metaphor has an ethical as well as intellectual role. References: </w:t>
      </w:r>
      <w:hyperlink w:anchor="passage-iii-1-31">
        <w:r>
          <w:rPr>
            <w:color w:val="000000"/>
          </w:rPr>
          <w:t xml:space="preserve">III.1.31</w:t>
        </w:r>
      </w:hyperlink>
      <w:r>
        <w:rPr>
          <w:b w:val="0"/>
          <w:i w:val="0"/>
        </w:rPr>
        <w:t xml:space="preserve">. See </w:t>
      </w:r>
      <w:hyperlink w:anchor="self-knowledge">
        <w:r>
          <w:rPr>
            <w:color w:val="000000"/>
          </w:rPr>
          <w:t xml:space="preserve">Self knowledge</w:t>
        </w:r>
      </w:hyperlink>
      <w:r>
        <w:rPr>
          <w:b w:val="0"/>
          <w:i w:val="0"/>
        </w:rPr>
        <w:t>.</w:t>
      </w:r>
    </w:p>
    <w:p>
      <w:pPr>
        <w:keepNext/>
        <w:widowControl/>
      </w:pPr>
      <w:bookmarkStart w:id="967" w:name="latin-record-0716"/>
      <w:bookmarkEnd w:id="967"/>
      <w:r>
        <w:rPr>
          <w:b/>
          <w:i w:val="0"/>
        </w:rPr>
        <w:t>mores / morale</w:t>
      </w:r>
      <w:r>
        <w:rPr>
          <w:b/>
          <w:i w:val="0"/>
        </w:rPr>
        <w:t>.</w:t>
      </w:r>
      <w:r>
        <w:rPr>
          <w:b w:val="0"/>
          <w:i w:val="0"/>
        </w:rPr>
        <w:t xml:space="preserve"> Printed forms: </w:t>
      </w:r>
      <w:r>
        <w:rPr>
          <w:b w:val="0"/>
          <w:i/>
        </w:rPr>
        <w:t>morale</w:t>
      </w:r>
      <w:r>
        <w:rPr>
          <w:b w:val="0"/>
          <w:i w:val="0"/>
        </w:rPr>
        <w:t xml:space="preserve">; </w:t>
      </w:r>
      <w:r>
        <w:rPr>
          <w:b w:val="0"/>
          <w:i/>
        </w:rPr>
        <w:t>mores</w:t>
      </w:r>
      <w:r>
        <w:rPr>
          <w:b w:val="0"/>
          <w:i w:val="0"/>
        </w:rPr>
        <w:t>.</w:t>
      </w:r>
    </w:p>
    <w:p>
      <w:pPr>
        <w:widowControl/>
      </w:pPr>
      <w:r>
        <w:rPr>
          <w:b w:val="0"/>
          <w:i w:val="0"/>
        </w:rPr>
        <w:t xml:space="preserve">Conduct and inquiry concerned with conduct. Ethical philosophy prepares soul for illumination; the later list places moral study alongside dialectical, mathematical and natural inquiry, all directed toward worship in Ficino’s account. References: </w:t>
      </w:r>
      <w:hyperlink w:anchor="passage-proem-2">
        <w:r>
          <w:rPr>
            <w:color w:val="000000"/>
          </w:rPr>
          <w:t xml:space="preserve">Proem.2</w:t>
        </w:r>
      </w:hyperlink>
      <w:r>
        <w:rPr>
          <w:b w:val="0"/>
          <w:i w:val="0"/>
        </w:rPr>
        <w:t xml:space="preserve">, </w:t>
      </w:r>
      <w:hyperlink w:anchor="passage-proem-3">
        <w:r>
          <w:rPr>
            <w:color w:val="000000"/>
          </w:rPr>
          <w:t xml:space="preserve">Proem.3</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968" w:name="latin-record-0717"/>
      <w:bookmarkEnd w:id="968"/>
      <w:r>
        <w:rPr>
          <w:b/>
          <w:i w:val="0"/>
        </w:rPr>
        <w:t>mors / resolutio</w:t>
      </w:r>
      <w:r>
        <w:rPr>
          <w:b/>
          <w:i w:val="0"/>
        </w:rPr>
        <w:t>.</w:t>
      </w:r>
      <w:r>
        <w:rPr>
          <w:b w:val="0"/>
          <w:i w:val="0"/>
        </w:rPr>
        <w:t xml:space="preserve"> Printed forms: </w:t>
      </w:r>
      <w:r>
        <w:rPr>
          <w:b w:val="0"/>
          <w:i/>
        </w:rPr>
        <w:t>mors</w:t>
      </w:r>
      <w:r>
        <w:rPr>
          <w:b w:val="0"/>
          <w:i w:val="0"/>
        </w:rPr>
        <w:t xml:space="preserve">; </w:t>
      </w:r>
      <w:r>
        <w:rPr>
          <w:b w:val="0"/>
          <w:i/>
        </w:rPr>
        <w:t>resolutione</w:t>
      </w:r>
      <w:r>
        <w:rPr>
          <w:b w:val="0"/>
          <w:i w:val="0"/>
        </w:rPr>
        <w:t>.</w:t>
      </w:r>
    </w:p>
    <w:p>
      <w:pPr>
        <w:widowControl/>
      </w:pPr>
      <w:r>
        <w:rPr>
          <w:b w:val="0"/>
          <w:i w:val="0"/>
        </w:rPr>
        <w:t xml:space="preserve">Death and dissolution. Ficino contrasts life’s indivisible unifying power with death through division and dissolution; the inference is part of his metaphysics of life. References: </w:t>
      </w:r>
      <w:hyperlink w:anchor="passage-i-3-22">
        <w:r>
          <w:rPr>
            <w:color w:val="000000"/>
          </w:rPr>
          <w:t xml:space="preserve">I.3.22</w:t>
        </w:r>
      </w:hyperlink>
      <w:r>
        <w:rPr>
          <w:b w:val="0"/>
          <w:i w:val="0"/>
        </w:rPr>
        <w:t xml:space="preserve">. See </w:t>
      </w:r>
      <w:hyperlink w:anchor="life">
        <w:r>
          <w:rPr>
            <w:color w:val="000000"/>
          </w:rPr>
          <w:t xml:space="preserve">Life</w:t>
        </w:r>
      </w:hyperlink>
      <w:r>
        <w:rPr>
          <w:b w:val="0"/>
          <w:i w:val="0"/>
        </w:rPr>
        <w:t>.</w:t>
      </w:r>
    </w:p>
    <w:p>
      <w:pPr>
        <w:keepNext/>
        <w:widowControl/>
      </w:pPr>
      <w:bookmarkStart w:id="969" w:name="latin-record-0718"/>
      <w:bookmarkEnd w:id="969"/>
      <w:r>
        <w:rPr>
          <w:b/>
          <w:i w:val="0"/>
        </w:rPr>
        <w:t>mortalis / immortalis</w:t>
      </w:r>
      <w:r>
        <w:rPr>
          <w:b/>
          <w:i w:val="0"/>
        </w:rPr>
        <w:t>.</w:t>
      </w:r>
      <w:r>
        <w:rPr>
          <w:b w:val="0"/>
          <w:i w:val="0"/>
        </w:rPr>
        <w:t xml:space="preserve"> Printed forms: </w:t>
      </w:r>
      <w:r>
        <w:rPr>
          <w:b w:val="0"/>
          <w:i/>
        </w:rPr>
        <w:t>immortalis</w:t>
      </w:r>
      <w:r>
        <w:rPr>
          <w:b w:val="0"/>
          <w:i w:val="0"/>
        </w:rPr>
        <w:t xml:space="preserve">; </w:t>
      </w:r>
      <w:r>
        <w:rPr>
          <w:b w:val="0"/>
          <w:i/>
        </w:rPr>
        <w:t>immortalitatem</w:t>
      </w:r>
      <w:r>
        <w:rPr>
          <w:b w:val="0"/>
          <w:i w:val="0"/>
        </w:rPr>
        <w:t xml:space="preserve">; </w:t>
      </w:r>
      <w:r>
        <w:rPr>
          <w:b w:val="0"/>
          <w:i/>
        </w:rPr>
        <w:t>mortalia</w:t>
      </w:r>
      <w:r>
        <w:rPr>
          <w:b w:val="0"/>
          <w:i w:val="0"/>
        </w:rPr>
        <w:t>.</w:t>
      </w:r>
    </w:p>
    <w:p>
      <w:pPr>
        <w:widowControl/>
      </w:pPr>
      <w:r>
        <w:rPr>
          <w:b w:val="0"/>
          <w:i w:val="0"/>
        </w:rPr>
        <w:t xml:space="preserve">Mortal and immortal; immortality as the inquiry’s object. The opening promises to make immortality visible to mind; the third essence is later judged immortal through independence from dissoluble parts and material support. References: </w:t>
      </w:r>
      <w:hyperlink w:anchor="passage-i-1-3">
        <w:r>
          <w:rPr>
            <w:color w:val="000000"/>
          </w:rPr>
          <w:t xml:space="preserve">I.1.3</w:t>
        </w:r>
      </w:hyperlink>
      <w:r>
        <w:rPr>
          <w:b w:val="0"/>
          <w:i w:val="0"/>
        </w:rPr>
        <w:t xml:space="preserve">, </w:t>
      </w:r>
      <w:hyperlink w:anchor="passage-i-3-33">
        <w:r>
          <w:rPr>
            <w:color w:val="000000"/>
          </w:rPr>
          <w:t xml:space="preserve">I.3.33</w:t>
        </w:r>
      </w:hyperlink>
      <w:r>
        <w:rPr>
          <w:b w:val="0"/>
          <w:i w:val="0"/>
        </w:rPr>
        <w:t xml:space="preserve">. See </w:t>
      </w:r>
      <w:hyperlink w:anchor="immortality">
        <w:r>
          <w:rPr>
            <w:color w:val="000000"/>
          </w:rPr>
          <w:t xml:space="preserve">Immortality</w:t>
        </w:r>
      </w:hyperlink>
      <w:r>
        <w:rPr>
          <w:b w:val="0"/>
          <w:i w:val="0"/>
        </w:rPr>
        <w:t>.</w:t>
      </w:r>
    </w:p>
    <w:p>
      <w:pPr>
        <w:keepNext/>
        <w:widowControl/>
      </w:pPr>
      <w:bookmarkStart w:id="970" w:name="latin-record-0719"/>
      <w:bookmarkEnd w:id="970"/>
      <w:r>
        <w:rPr>
          <w:b/>
          <w:i w:val="0"/>
        </w:rPr>
        <w:t>motor / motum</w:t>
      </w:r>
      <w:r>
        <w:rPr>
          <w:b/>
          <w:i w:val="0"/>
        </w:rPr>
        <w:t>.</w:t>
      </w:r>
      <w:r>
        <w:rPr>
          <w:b w:val="0"/>
          <w:i w:val="0"/>
        </w:rPr>
        <w:t xml:space="preserve"> Printed forms: </w:t>
      </w:r>
      <w:r>
        <w:rPr>
          <w:b w:val="0"/>
          <w:i/>
        </w:rPr>
        <w:t>moto</w:t>
      </w:r>
      <w:r>
        <w:rPr>
          <w:b w:val="0"/>
          <w:i w:val="0"/>
        </w:rPr>
        <w:t xml:space="preserve">; </w:t>
      </w:r>
      <w:r>
        <w:rPr>
          <w:b w:val="0"/>
          <w:i/>
        </w:rPr>
        <w:t>motor</w:t>
      </w:r>
      <w:r>
        <w:rPr>
          <w:b w:val="0"/>
          <w:i w:val="0"/>
        </w:rPr>
        <w:t xml:space="preserve">; </w:t>
      </w:r>
      <w:r>
        <w:rPr>
          <w:b w:val="0"/>
          <w:i/>
        </w:rPr>
        <w:t>Motor</w:t>
      </w:r>
      <w:r>
        <w:rPr>
          <w:b w:val="0"/>
          <w:i w:val="0"/>
        </w:rPr>
        <w:t xml:space="preserve">; </w:t>
      </w:r>
      <w:r>
        <w:rPr>
          <w:b w:val="0"/>
          <w:i/>
        </w:rPr>
        <w:t>motorem</w:t>
      </w:r>
      <w:r>
        <w:rPr>
          <w:b w:val="0"/>
          <w:i w:val="0"/>
        </w:rPr>
        <w:t>.</w:t>
      </w:r>
    </w:p>
    <w:p>
      <w:pPr>
        <w:widowControl/>
      </w:pPr>
      <w:r>
        <w:rPr>
          <w:b w:val="0"/>
          <w:i w:val="0"/>
        </w:rPr>
        <w:t xml:space="preserve">A mover and what it moves. A soul moves with the body it transports, whereas angels are proposed as movers not moved with it; the distinction supports the hierarchy of stable direction. References: </w:t>
      </w:r>
      <w:hyperlink w:anchor="passage-i-5-18">
        <w:r>
          <w:rPr>
            <w:color w:val="000000"/>
          </w:rPr>
          <w:t xml:space="preserve">I.5.18</w:t>
        </w:r>
      </w:hyperlink>
      <w:r>
        <w:rPr>
          <w:b w:val="0"/>
          <w:i w:val="0"/>
        </w:rPr>
        <w:t xml:space="preserve">, </w:t>
      </w:r>
      <w:hyperlink w:anchor="passage-i-5-19">
        <w:r>
          <w:rPr>
            <w:color w:val="000000"/>
          </w:rPr>
          <w:t xml:space="preserve">I.5.19</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971" w:name="latin-record-0720"/>
      <w:bookmarkEnd w:id="971"/>
      <w:r>
        <w:rPr>
          <w:b/>
          <w:i w:val="0"/>
        </w:rPr>
        <w:t>motus / motio / motor / mutare</w:t>
      </w:r>
      <w:r>
        <w:rPr>
          <w:b/>
          <w:i w:val="0"/>
        </w:rPr>
        <w:t>.</w:t>
      </w:r>
      <w:r>
        <w:rPr>
          <w:b w:val="0"/>
          <w:i w:val="0"/>
        </w:rPr>
        <w:t xml:space="preserve"> Printed forms: </w:t>
      </w:r>
      <w:r>
        <w:rPr>
          <w:b w:val="0"/>
          <w:i/>
        </w:rPr>
        <w:t>mobilibus</w:t>
      </w:r>
      <w:r>
        <w:rPr>
          <w:b w:val="0"/>
          <w:i w:val="0"/>
        </w:rPr>
        <w:t xml:space="preserve">; </w:t>
      </w:r>
      <w:r>
        <w:rPr>
          <w:b w:val="0"/>
          <w:i/>
        </w:rPr>
        <w:t>motoris</w:t>
      </w:r>
      <w:r>
        <w:rPr>
          <w:b w:val="0"/>
          <w:i w:val="0"/>
        </w:rPr>
        <w:t xml:space="preserve">; </w:t>
      </w:r>
      <w:r>
        <w:rPr>
          <w:b w:val="0"/>
          <w:i/>
        </w:rPr>
        <w:t>Motus</w:t>
      </w:r>
      <w:r>
        <w:rPr>
          <w:b w:val="0"/>
          <w:i w:val="0"/>
        </w:rPr>
        <w:t xml:space="preserve">; </w:t>
      </w:r>
      <w:r>
        <w:rPr>
          <w:b w:val="0"/>
          <w:i/>
        </w:rPr>
        <w:t>motus</w:t>
      </w:r>
      <w:r>
        <w:rPr>
          <w:b w:val="0"/>
          <w:i w:val="0"/>
        </w:rPr>
        <w:t xml:space="preserve">; </w:t>
      </w:r>
      <w:r>
        <w:rPr>
          <w:b w:val="0"/>
          <w:i/>
        </w:rPr>
        <w:t>mutantur</w:t>
      </w:r>
      <w:r>
        <w:rPr>
          <w:b w:val="0"/>
          <w:i w:val="0"/>
        </w:rPr>
        <w:t>.</w:t>
      </w:r>
    </w:p>
    <w:p>
      <w:pPr>
        <w:widowControl/>
      </w:pPr>
      <w:r>
        <w:rPr>
          <w:b w:val="0"/>
          <w:i w:val="0"/>
        </w:rPr>
        <w:t xml:space="preserve">Motion, mover, and change, whether local, qualitative, or operational. Higher bodies change modes of being; divine cognition does not acquire the successive changes of creaturely operation. References: </w:t>
      </w:r>
      <w:hyperlink w:anchor="passage-ii-4-7">
        <w:r>
          <w:rPr>
            <w:color w:val="000000"/>
          </w:rPr>
          <w:t xml:space="preserve">II.4.7</w:t>
        </w:r>
      </w:hyperlink>
      <w:r>
        <w:rPr>
          <w:b w:val="0"/>
          <w:i w:val="0"/>
        </w:rPr>
        <w:t xml:space="preserve">, </w:t>
      </w:r>
      <w:hyperlink w:anchor="passage-ii-7-8">
        <w:r>
          <w:rPr>
            <w:color w:val="000000"/>
          </w:rPr>
          <w:t xml:space="preserve">II.7.8</w:t>
        </w:r>
      </w:hyperlink>
      <w:r>
        <w:rPr>
          <w:b w:val="0"/>
          <w:i w:val="0"/>
        </w:rPr>
        <w:t xml:space="preserve">, </w:t>
      </w:r>
      <w:hyperlink w:anchor="passage-ii-9-5">
        <w:r>
          <w:rPr>
            <w:color w:val="000000"/>
          </w:rPr>
          <w:t xml:space="preserve">II.9.5</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972" w:name="latin-record-0721"/>
      <w:bookmarkEnd w:id="972"/>
      <w:r>
        <w:rPr>
          <w:b/>
          <w:i w:val="0"/>
        </w:rPr>
        <w:t>motus / motio / operatio</w:t>
      </w:r>
      <w:r>
        <w:rPr>
          <w:b/>
          <w:i w:val="0"/>
        </w:rPr>
        <w:t>.</w:t>
      </w:r>
      <w:r>
        <w:rPr>
          <w:b w:val="0"/>
          <w:i w:val="0"/>
        </w:rPr>
        <w:t xml:space="preserve"> Printed forms: </w:t>
      </w:r>
      <w:r>
        <w:rPr>
          <w:b w:val="0"/>
          <w:i/>
        </w:rPr>
        <w:t>Motio</w:t>
      </w:r>
      <w:r>
        <w:rPr>
          <w:b w:val="0"/>
          <w:i w:val="0"/>
        </w:rPr>
        <w:t xml:space="preserve">; </w:t>
      </w:r>
      <w:r>
        <w:rPr>
          <w:b w:val="0"/>
          <w:i/>
        </w:rPr>
        <w:t>motus</w:t>
      </w:r>
      <w:r>
        <w:rPr>
          <w:b w:val="0"/>
          <w:i w:val="0"/>
        </w:rPr>
        <w:t xml:space="preserve">; </w:t>
      </w:r>
      <w:r>
        <w:rPr>
          <w:b w:val="0"/>
          <w:i/>
        </w:rPr>
        <w:t>Motus</w:t>
      </w:r>
      <w:r>
        <w:rPr>
          <w:b w:val="0"/>
          <w:i w:val="0"/>
        </w:rPr>
        <w:t xml:space="preserve">; </w:t>
      </w:r>
      <w:r>
        <w:rPr>
          <w:b w:val="0"/>
          <w:i/>
        </w:rPr>
        <w:t>operationis</w:t>
      </w:r>
      <w:r>
        <w:rPr>
          <w:b w:val="0"/>
          <w:i w:val="0"/>
        </w:rPr>
        <w:t>.</w:t>
      </w:r>
    </w:p>
    <w:p>
      <w:pPr>
        <w:widowControl/>
      </w:pPr>
      <w:r>
        <w:rPr>
          <w:b w:val="0"/>
          <w:i w:val="0"/>
        </w:rPr>
        <w:t xml:space="preserve">Motion or change / operation. The painter example defines motion through temporal succession, while immediate efficacious presentation remains an act. References: </w:t>
      </w:r>
      <w:hyperlink w:anchor="passage-iii-1-28">
        <w:r>
          <w:rPr>
            <w:color w:val="000000"/>
          </w:rPr>
          <w:t xml:space="preserve">III.1.28</w:t>
        </w:r>
      </w:hyperlink>
      <w:r>
        <w:rPr>
          <w:b w:val="0"/>
          <w:i w:val="0"/>
        </w:rPr>
        <w:t xml:space="preserve">, </w:t>
      </w:r>
      <w:hyperlink w:anchor="passage-iii-1-31">
        <w:r>
          <w:rPr>
            <w:color w:val="000000"/>
          </w:rPr>
          <w:t xml:space="preserve">III.1.31</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973" w:name="latin-record-0722"/>
      <w:bookmarkEnd w:id="973"/>
      <w:r>
        <w:rPr>
          <w:b/>
          <w:i w:val="0"/>
        </w:rPr>
        <w:t>motus aeternus</w:t>
      </w:r>
      <w:r>
        <w:rPr>
          <w:b/>
          <w:i w:val="0"/>
        </w:rPr>
        <w:t>.</w:t>
      </w:r>
      <w:r>
        <w:rPr>
          <w:b w:val="0"/>
          <w:i w:val="0"/>
        </w:rPr>
        <w:t xml:space="preserve"> Printed forms: </w:t>
      </w:r>
      <w:r>
        <w:rPr>
          <w:b w:val="0"/>
          <w:i/>
        </w:rPr>
        <w:t>motum appellant aeternum</w:t>
      </w:r>
      <w:r>
        <w:rPr>
          <w:b w:val="0"/>
          <w:i w:val="0"/>
        </w:rPr>
        <w:t>.</w:t>
      </w:r>
    </w:p>
    <w:p>
      <w:pPr>
        <w:widowControl/>
      </w:pPr>
      <w:r>
        <w:rPr>
          <w:b w:val="0"/>
          <w:i w:val="0"/>
        </w:rPr>
        <w:t xml:space="preserve">Ordered motion completed without temporal succession. Ficino distinguishes action through intermediaries in one moment from temporally extended motion. References: </w:t>
      </w:r>
      <w:hyperlink w:anchor="passage-iv-2-11">
        <w:r>
          <w:rPr>
            <w:color w:val="000000"/>
          </w:rPr>
          <w:t xml:space="preserve">IV.2.11</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974" w:name="latin-record-0723"/>
      <w:bookmarkEnd w:id="974"/>
      <w:r>
        <w:rPr>
          <w:b/>
          <w:i w:val="0"/>
        </w:rPr>
        <w:t>movere / moveri</w:t>
      </w:r>
      <w:r>
        <w:rPr>
          <w:b/>
          <w:i w:val="0"/>
        </w:rPr>
        <w:t>.</w:t>
      </w:r>
      <w:r>
        <w:rPr>
          <w:b w:val="0"/>
          <w:i w:val="0"/>
        </w:rPr>
        <w:t xml:space="preserve"> Printed forms: </w:t>
      </w:r>
      <w:r>
        <w:rPr>
          <w:b w:val="0"/>
          <w:i/>
        </w:rPr>
        <w:t>movere</w:t>
      </w:r>
      <w:r>
        <w:rPr>
          <w:b w:val="0"/>
          <w:i w:val="0"/>
        </w:rPr>
        <w:t xml:space="preserve">; </w:t>
      </w:r>
      <w:r>
        <w:rPr>
          <w:b w:val="0"/>
          <w:i/>
        </w:rPr>
        <w:t>moveri</w:t>
      </w:r>
      <w:r>
        <w:rPr>
          <w:b w:val="0"/>
          <w:i w:val="0"/>
        </w:rPr>
        <w:t>.</w:t>
      </w:r>
    </w:p>
    <w:p>
      <w:pPr>
        <w:widowControl/>
      </w:pPr>
      <w:r>
        <w:rPr>
          <w:b w:val="0"/>
          <w:i w:val="0"/>
        </w:rPr>
        <w:t xml:space="preserve">To move something and to be moved. Ficino distinguishes action from passion and argues that the prior action can exist apart from the passion, supporting unmoved movers. References: </w:t>
      </w:r>
      <w:hyperlink w:anchor="passage-i-5-19">
        <w:r>
          <w:rPr>
            <w:color w:val="000000"/>
          </w:rPr>
          <w:t xml:space="preserve">I.5.19</w:t>
        </w:r>
      </w:hyperlink>
      <w:r>
        <w:rPr>
          <w:b w:val="0"/>
          <w:i w:val="0"/>
        </w:rPr>
        <w:t xml:space="preserve">. See </w:t>
      </w:r>
      <w:hyperlink w:anchor="affection-and-passivity">
        <w:r>
          <w:rPr>
            <w:color w:val="000000"/>
          </w:rPr>
          <w:t xml:space="preserve">Affection and passivity</w:t>
        </w:r>
      </w:hyperlink>
      <w:r>
        <w:rPr>
          <w:b w:val="0"/>
          <w:i w:val="0"/>
        </w:rPr>
        <w:t>.</w:t>
      </w:r>
    </w:p>
    <w:p>
      <w:pPr>
        <w:keepNext/>
        <w:widowControl/>
      </w:pPr>
      <w:bookmarkStart w:id="975" w:name="latin-record-0724"/>
      <w:bookmarkEnd w:id="975"/>
      <w:r>
        <w:rPr>
          <w:b/>
          <w:i w:val="0"/>
        </w:rPr>
        <w:t>movere / sistere / firmare</w:t>
      </w:r>
      <w:r>
        <w:rPr>
          <w:b/>
          <w:i w:val="0"/>
        </w:rPr>
        <w:t>.</w:t>
      </w:r>
      <w:r>
        <w:rPr>
          <w:b w:val="0"/>
          <w:i w:val="0"/>
        </w:rPr>
        <w:t xml:space="preserve"> Printed forms: </w:t>
      </w:r>
      <w:r>
        <w:rPr>
          <w:b w:val="0"/>
          <w:i/>
        </w:rPr>
        <w:t>firmant</w:t>
      </w:r>
      <w:r>
        <w:rPr>
          <w:b w:val="0"/>
          <w:i w:val="0"/>
        </w:rPr>
        <w:t xml:space="preserve">; </w:t>
      </w:r>
      <w:r>
        <w:rPr>
          <w:b w:val="0"/>
          <w:i/>
        </w:rPr>
        <w:t>firmatur</w:t>
      </w:r>
      <w:r>
        <w:rPr>
          <w:b w:val="0"/>
          <w:i w:val="0"/>
        </w:rPr>
        <w:t xml:space="preserve">; </w:t>
      </w:r>
      <w:r>
        <w:rPr>
          <w:b w:val="0"/>
          <w:i/>
        </w:rPr>
        <w:t>firmiterque</w:t>
      </w:r>
      <w:r>
        <w:rPr>
          <w:b w:val="0"/>
          <w:i w:val="0"/>
        </w:rPr>
        <w:t xml:space="preserve">; </w:t>
      </w:r>
      <w:r>
        <w:rPr>
          <w:b w:val="0"/>
          <w:i/>
        </w:rPr>
        <w:t>moveat</w:t>
      </w:r>
      <w:r>
        <w:rPr>
          <w:b w:val="0"/>
          <w:i w:val="0"/>
        </w:rPr>
        <w:t xml:space="preserve">; </w:t>
      </w:r>
      <w:r>
        <w:rPr>
          <w:b w:val="0"/>
          <w:i/>
        </w:rPr>
        <w:t>movetur</w:t>
      </w:r>
      <w:r>
        <w:rPr>
          <w:b w:val="0"/>
          <w:i w:val="0"/>
        </w:rPr>
        <w:t xml:space="preserve">; </w:t>
      </w:r>
      <w:r>
        <w:rPr>
          <w:b w:val="0"/>
          <w:i/>
        </w:rPr>
        <w:t>sistat</w:t>
      </w:r>
      <w:r>
        <w:rPr>
          <w:b w:val="0"/>
          <w:i w:val="0"/>
        </w:rPr>
        <w:t>.</w:t>
      </w:r>
    </w:p>
    <w:p>
      <w:pPr>
        <w:widowControl/>
      </w:pPr>
      <w:r>
        <w:rPr>
          <w:b w:val="0"/>
          <w:i w:val="0"/>
        </w:rPr>
        <w:t xml:space="preserve">To move, still, or make firm. A first source and final end both activate and settle desire; firmitas also describes stable knowing and causal support. References: </w:t>
      </w:r>
      <w:hyperlink w:anchor="passage-ii-3-9">
        <w:r>
          <w:rPr>
            <w:color w:val="000000"/>
          </w:rPr>
          <w:t xml:space="preserve">II.3.9</w:t>
        </w:r>
      </w:hyperlink>
      <w:r>
        <w:rPr>
          <w:b w:val="0"/>
          <w:i w:val="0"/>
        </w:rPr>
        <w:t xml:space="preserve">, </w:t>
      </w:r>
      <w:hyperlink w:anchor="passage-ii-4-7">
        <w:r>
          <w:rPr>
            <w:color w:val="000000"/>
          </w:rPr>
          <w:t xml:space="preserve">II.4.7</w:t>
        </w:r>
      </w:hyperlink>
      <w:r>
        <w:rPr>
          <w:b w:val="0"/>
          <w:i w:val="0"/>
        </w:rPr>
        <w:t xml:space="preserve">, </w:t>
      </w:r>
      <w:hyperlink w:anchor="passage-ii-7-32">
        <w:r>
          <w:rPr>
            <w:color w:val="000000"/>
          </w:rPr>
          <w:t xml:space="preserve">II.7.32</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976" w:name="latin-record-0725"/>
      <w:bookmarkEnd w:id="976"/>
      <w:r>
        <w:rPr>
          <w:b/>
          <w:i w:val="0"/>
        </w:rPr>
        <w:t>multa et unum / unum et multa / unum multa</w:t>
      </w:r>
      <w:r>
        <w:rPr>
          <w:b/>
          <w:i w:val="0"/>
        </w:rPr>
        <w:t>.</w:t>
      </w:r>
      <w:r>
        <w:rPr>
          <w:b w:val="0"/>
          <w:i w:val="0"/>
        </w:rPr>
        <w:t xml:space="preserve"> Printed forms: </w:t>
      </w:r>
      <w:r>
        <w:rPr>
          <w:b w:val="0"/>
          <w:i/>
        </w:rPr>
        <w:t>multa et unum</w:t>
      </w:r>
      <w:r>
        <w:rPr>
          <w:b w:val="0"/>
          <w:i w:val="0"/>
        </w:rPr>
        <w:t xml:space="preserve">; </w:t>
      </w:r>
      <w:r>
        <w:rPr>
          <w:b w:val="0"/>
          <w:i/>
        </w:rPr>
        <w:t>unum et multa</w:t>
      </w:r>
      <w:r>
        <w:rPr>
          <w:b w:val="0"/>
          <w:i w:val="0"/>
        </w:rPr>
        <w:t xml:space="preserve">; </w:t>
      </w:r>
      <w:r>
        <w:rPr>
          <w:b w:val="0"/>
          <w:i/>
        </w:rPr>
        <w:t>unum multa</w:t>
      </w:r>
      <w:r>
        <w:rPr>
          <w:b w:val="0"/>
          <w:i w:val="0"/>
        </w:rPr>
        <w:t>.</w:t>
      </w:r>
    </w:p>
    <w:p>
      <w:pPr>
        <w:widowControl/>
      </w:pPr>
      <w:r>
        <w:rPr>
          <w:b w:val="0"/>
          <w:i w:val="0"/>
        </w:rPr>
        <w:t xml:space="preserve">Many and one / one and many / one-many. Word order and the omission of et distinguish quality, soul, and angel; these are graded formulas, not interchangeable plurals. References: </w:t>
      </w:r>
      <w:hyperlink w:anchor="passage-iii-1-2">
        <w:r>
          <w:rPr>
            <w:color w:val="000000"/>
          </w:rPr>
          <w:t xml:space="preserve">III.1.2</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977" w:name="latin-record-0726"/>
      <w:bookmarkEnd w:id="977"/>
      <w:r>
        <w:rPr>
          <w:b/>
          <w:i w:val="0"/>
        </w:rPr>
        <w:t>multiplex / compositus</w:t>
      </w:r>
      <w:r>
        <w:rPr>
          <w:b/>
          <w:i w:val="0"/>
        </w:rPr>
        <w:t>.</w:t>
      </w:r>
      <w:r>
        <w:rPr>
          <w:b w:val="0"/>
          <w:i w:val="0"/>
        </w:rPr>
        <w:t xml:space="preserve"> Printed forms: </w:t>
      </w:r>
      <w:r>
        <w:rPr>
          <w:b w:val="0"/>
          <w:i/>
        </w:rPr>
        <w:t>compositusque</w:t>
      </w:r>
      <w:r>
        <w:rPr>
          <w:b w:val="0"/>
          <w:i w:val="0"/>
        </w:rPr>
        <w:t xml:space="preserve">; </w:t>
      </w:r>
      <w:r>
        <w:rPr>
          <w:b w:val="0"/>
          <w:i/>
        </w:rPr>
        <w:t>multiplex</w:t>
      </w:r>
      <w:r>
        <w:rPr>
          <w:b w:val="0"/>
          <w:i w:val="0"/>
        </w:rPr>
        <w:t>.</w:t>
      </w:r>
    </w:p>
    <w:p>
      <w:pPr>
        <w:widowControl/>
      </w:pPr>
      <w:r>
        <w:rPr>
          <w:b w:val="0"/>
          <w:i w:val="0"/>
        </w:rPr>
        <w:t xml:space="preserve">Manifold / composed. Distinct essential or accidental forms would make God more composite, contrary to the simplicity the argument requires. References: </w:t>
      </w:r>
      <w:hyperlink w:anchor="passage-ii-11-2">
        <w:r>
          <w:rPr>
            <w:color w:val="000000"/>
          </w:rPr>
          <w:t xml:space="preserve">II.11.2</w:t>
        </w:r>
      </w:hyperlink>
      <w:r>
        <w:rPr>
          <w:b w:val="0"/>
          <w:i w:val="0"/>
        </w:rPr>
        <w:t xml:space="preserve">. See </w:t>
      </w:r>
      <w:hyperlink w:anchor="simplicity-and-composition">
        <w:r>
          <w:rPr>
            <w:color w:val="000000"/>
          </w:rPr>
          <w:t xml:space="preserve">Simplicity and composition</w:t>
        </w:r>
      </w:hyperlink>
      <w:r>
        <w:rPr>
          <w:b w:val="0"/>
          <w:i w:val="0"/>
        </w:rPr>
        <w:t>.</w:t>
      </w:r>
    </w:p>
    <w:p>
      <w:pPr>
        <w:keepNext/>
        <w:widowControl/>
      </w:pPr>
      <w:bookmarkStart w:id="978" w:name="latin-record-0727"/>
      <w:bookmarkEnd w:id="978"/>
      <w:r>
        <w:rPr>
          <w:b/>
          <w:i w:val="0"/>
        </w:rPr>
        <w:t>multitudo / multiplex</w:t>
      </w:r>
      <w:r>
        <w:rPr>
          <w:b/>
          <w:i w:val="0"/>
        </w:rPr>
        <w:t>.</w:t>
      </w:r>
      <w:r>
        <w:rPr>
          <w:b w:val="0"/>
          <w:i w:val="0"/>
        </w:rPr>
        <w:t xml:space="preserve"> Printed forms: </w:t>
      </w:r>
      <w:r>
        <w:rPr>
          <w:b w:val="0"/>
          <w:i/>
        </w:rPr>
        <w:t>multiplex</w:t>
      </w:r>
      <w:r>
        <w:rPr>
          <w:b w:val="0"/>
          <w:i w:val="0"/>
        </w:rPr>
        <w:t xml:space="preserve">; </w:t>
      </w:r>
      <w:r>
        <w:rPr>
          <w:b w:val="0"/>
          <w:i/>
        </w:rPr>
        <w:t>multiplicem</w:t>
      </w:r>
      <w:r>
        <w:rPr>
          <w:b w:val="0"/>
          <w:i w:val="0"/>
        </w:rPr>
        <w:t xml:space="preserve">; </w:t>
      </w:r>
      <w:r>
        <w:rPr>
          <w:b w:val="0"/>
          <w:i/>
        </w:rPr>
        <w:t>multitudinem</w:t>
      </w:r>
      <w:r>
        <w:rPr>
          <w:b w:val="0"/>
          <w:i w:val="0"/>
        </w:rPr>
        <w:t xml:space="preserve">; </w:t>
      </w:r>
      <w:r>
        <w:rPr>
          <w:b w:val="0"/>
          <w:i/>
        </w:rPr>
        <w:t>multitudo</w:t>
      </w:r>
      <w:r>
        <w:rPr>
          <w:b w:val="0"/>
          <w:i w:val="0"/>
        </w:rPr>
        <w:t>.</w:t>
      </w:r>
    </w:p>
    <w:p>
      <w:pPr>
        <w:widowControl/>
      </w:pPr>
      <w:r>
        <w:rPr>
          <w:b w:val="0"/>
          <w:i w:val="0"/>
        </w:rPr>
        <w:t xml:space="preserve">Multiplicity or manifoldness, spatial or intelligible according to context. Infinite known plurality is compatible in the argument with simplicity of divine essence and one act. References: </w:t>
      </w:r>
      <w:hyperlink w:anchor="passage-ii-1-3">
        <w:r>
          <w:rPr>
            <w:color w:val="000000"/>
          </w:rPr>
          <w:t xml:space="preserve">II.1.3</w:t>
        </w:r>
      </w:hyperlink>
      <w:r>
        <w:rPr>
          <w:b w:val="0"/>
          <w:i w:val="0"/>
        </w:rPr>
        <w:t xml:space="preserve">, </w:t>
      </w:r>
      <w:hyperlink w:anchor="passage-ii-2-7">
        <w:r>
          <w:rPr>
            <w:color w:val="000000"/>
          </w:rPr>
          <w:t xml:space="preserve">II.2.7</w:t>
        </w:r>
      </w:hyperlink>
      <w:r>
        <w:rPr>
          <w:b w:val="0"/>
          <w:i w:val="0"/>
        </w:rPr>
        <w:t xml:space="preserve">, </w:t>
      </w:r>
      <w:hyperlink w:anchor="passage-ii-7-1">
        <w:r>
          <w:rPr>
            <w:color w:val="000000"/>
          </w:rPr>
          <w:t xml:space="preserve">II.7.1</w:t>
        </w:r>
      </w:hyperlink>
      <w:r>
        <w:rPr>
          <w:b w:val="0"/>
          <w:i w:val="0"/>
        </w:rPr>
        <w:t xml:space="preserve">, </w:t>
      </w:r>
      <w:hyperlink w:anchor="passage-ii-10-10">
        <w:r>
          <w:rPr>
            <w:color w:val="000000"/>
          </w:rPr>
          <w:t xml:space="preserve">II.10.10</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979" w:name="latin-record-0728"/>
      <w:bookmarkEnd w:id="979"/>
      <w:r>
        <w:rPr>
          <w:b/>
          <w:i w:val="0"/>
        </w:rPr>
        <w:t>multitudo infinita</w:t>
      </w:r>
      <w:r>
        <w:rPr>
          <w:b/>
          <w:i w:val="0"/>
        </w:rPr>
        <w:t>.</w:t>
      </w:r>
      <w:r>
        <w:rPr>
          <w:b w:val="0"/>
          <w:i w:val="0"/>
        </w:rPr>
        <w:t xml:space="preserve"> Printed forms: </w:t>
      </w:r>
      <w:r>
        <w:rPr>
          <w:b w:val="0"/>
          <w:i/>
        </w:rPr>
        <w:t>Infinitam multitudinem</w:t>
      </w:r>
      <w:r>
        <w:rPr>
          <w:b w:val="0"/>
          <w:i w:val="0"/>
        </w:rPr>
        <w:t xml:space="preserve">; </w:t>
      </w:r>
      <w:r>
        <w:rPr>
          <w:b w:val="0"/>
          <w:i/>
        </w:rPr>
        <w:t>multitudine infinita</w:t>
      </w:r>
      <w:r>
        <w:rPr>
          <w:b w:val="0"/>
          <w:i w:val="0"/>
        </w:rPr>
        <w:t>.</w:t>
      </w:r>
    </w:p>
    <w:p>
      <w:pPr>
        <w:widowControl/>
      </w:pPr>
      <w:r>
        <w:rPr>
          <w:b w:val="0"/>
          <w:i w:val="0"/>
        </w:rPr>
        <w:t xml:space="preserve">Infinite multiplicity. Ficino reports the Pythagorean description of body as endlessly divisible and contrasts it with infinite active unity. References: </w:t>
      </w:r>
      <w:hyperlink w:anchor="passage-i-2-7">
        <w:r>
          <w:rPr>
            <w:color w:val="000000"/>
          </w:rPr>
          <w:t xml:space="preserve">I.2.7</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980" w:name="latin-record-0729"/>
      <w:bookmarkEnd w:id="980"/>
      <w:r>
        <w:rPr>
          <w:b/>
          <w:i w:val="0"/>
        </w:rPr>
        <w:t>mundi series / vultus omnium</w:t>
      </w:r>
      <w:r>
        <w:rPr>
          <w:b/>
          <w:i w:val="0"/>
        </w:rPr>
        <w:t>.</w:t>
      </w:r>
      <w:r>
        <w:rPr>
          <w:b w:val="0"/>
          <w:i w:val="0"/>
        </w:rPr>
        <w:t xml:space="preserve"> Printed forms: </w:t>
      </w:r>
      <w:r>
        <w:rPr>
          <w:b w:val="0"/>
          <w:i/>
        </w:rPr>
        <w:t>mundi series</w:t>
      </w:r>
      <w:r>
        <w:rPr>
          <w:b w:val="0"/>
          <w:i w:val="0"/>
        </w:rPr>
        <w:t xml:space="preserve">; </w:t>
      </w:r>
      <w:r>
        <w:rPr>
          <w:b w:val="0"/>
          <w:i/>
        </w:rPr>
        <w:t>vultus omnium</w:t>
      </w:r>
      <w:r>
        <w:rPr>
          <w:b w:val="0"/>
          <w:i w:val="0"/>
        </w:rPr>
        <w:t>.</w:t>
      </w:r>
    </w:p>
    <w:p>
      <w:pPr>
        <w:widowControl/>
      </w:pPr>
      <w:r>
        <w:rPr>
          <w:b w:val="0"/>
          <w:i w:val="0"/>
        </w:rPr>
        <w:t xml:space="preserve">World’s chain / countenance of all things. These titles express soul’s universal connecting and manifesting role, not extra entities added to the five ranks. References: </w:t>
      </w:r>
      <w:hyperlink w:anchor="passage-iii-2-23">
        <w:r>
          <w:rPr>
            <w:color w:val="000000"/>
          </w:rPr>
          <w:t xml:space="preserve">III.2.23</w:t>
        </w:r>
      </w:hyperlink>
      <w:r>
        <w:rPr>
          <w:b w:val="0"/>
          <w:i w:val="0"/>
        </w:rPr>
        <w:t xml:space="preserve">. See </w:t>
      </w:r>
      <w:hyperlink w:anchor="bond-knot-and-chain">
        <w:r>
          <w:rPr>
            <w:color w:val="000000"/>
          </w:rPr>
          <w:t xml:space="preserve">Bond knot and chain</w:t>
        </w:r>
      </w:hyperlink>
      <w:r>
        <w:rPr>
          <w:b w:val="0"/>
          <w:i w:val="0"/>
        </w:rPr>
        <w:t>.</w:t>
      </w:r>
    </w:p>
    <w:p>
      <w:pPr>
        <w:keepNext/>
        <w:widowControl/>
      </w:pPr>
      <w:bookmarkStart w:id="981" w:name="latin-record-0730"/>
      <w:bookmarkEnd w:id="981"/>
      <w:r>
        <w:rPr>
          <w:b/>
          <w:i w:val="0"/>
        </w:rPr>
        <w:t>mundus / universum</w:t>
      </w:r>
      <w:r>
        <w:rPr>
          <w:b/>
          <w:i w:val="0"/>
        </w:rPr>
        <w:t>.</w:t>
      </w:r>
      <w:r>
        <w:rPr>
          <w:b w:val="0"/>
          <w:i w:val="0"/>
        </w:rPr>
        <w:t xml:space="preserve"> Printed forms: </w:t>
      </w:r>
      <w:r>
        <w:rPr>
          <w:b w:val="0"/>
          <w:i/>
        </w:rPr>
        <w:t>mundanae</w:t>
      </w:r>
      <w:r>
        <w:rPr>
          <w:b w:val="0"/>
          <w:i w:val="0"/>
        </w:rPr>
        <w:t xml:space="preserve">; </w:t>
      </w:r>
      <w:r>
        <w:rPr>
          <w:b w:val="0"/>
          <w:i/>
        </w:rPr>
        <w:t>mundi</w:t>
      </w:r>
      <w:r>
        <w:rPr>
          <w:b w:val="0"/>
          <w:i w:val="0"/>
        </w:rPr>
        <w:t xml:space="preserve">; </w:t>
      </w:r>
      <w:r>
        <w:rPr>
          <w:b w:val="0"/>
          <w:i/>
        </w:rPr>
        <w:t>mundo</w:t>
      </w:r>
      <w:r>
        <w:rPr>
          <w:b w:val="0"/>
          <w:i w:val="0"/>
        </w:rPr>
        <w:t xml:space="preserve">; </w:t>
      </w:r>
      <w:r>
        <w:rPr>
          <w:b w:val="0"/>
          <w:i/>
        </w:rPr>
        <w:t>mundum</w:t>
      </w:r>
      <w:r>
        <w:rPr>
          <w:b w:val="0"/>
          <w:i w:val="0"/>
        </w:rPr>
        <w:t xml:space="preserve">; </w:t>
      </w:r>
      <w:r>
        <w:rPr>
          <w:b w:val="0"/>
          <w:i/>
        </w:rPr>
        <w:t>universam</w:t>
      </w:r>
      <w:r>
        <w:rPr>
          <w:b w:val="0"/>
          <w:i w:val="0"/>
        </w:rPr>
        <w:t xml:space="preserve">; </w:t>
      </w:r>
      <w:r>
        <w:rPr>
          <w:b w:val="0"/>
          <w:i/>
        </w:rPr>
        <w:t>universi</w:t>
      </w:r>
      <w:r>
        <w:rPr>
          <w:b w:val="0"/>
          <w:i w:val="0"/>
        </w:rPr>
        <w:t xml:space="preserve">; </w:t>
      </w:r>
      <w:r>
        <w:rPr>
          <w:b w:val="0"/>
          <w:i/>
        </w:rPr>
        <w:t>universum</w:t>
      </w:r>
      <w:r>
        <w:rPr>
          <w:b w:val="0"/>
          <w:i w:val="0"/>
        </w:rPr>
        <w:t xml:space="preserve">; </w:t>
      </w:r>
      <w:r>
        <w:rPr>
          <w:b w:val="0"/>
          <w:i/>
        </w:rPr>
        <w:t>universus</w:t>
      </w:r>
      <w:r>
        <w:rPr>
          <w:b w:val="0"/>
          <w:i w:val="0"/>
        </w:rPr>
        <w:t>.</w:t>
      </w:r>
    </w:p>
    <w:p>
      <w:pPr>
        <w:widowControl/>
      </w:pPr>
      <w:r>
        <w:rPr>
          <w:b w:val="0"/>
          <w:i w:val="0"/>
        </w:rPr>
        <w:t xml:space="preserve">World and universe as an ordered whole. The human mind is a part of the universe, so Ficino reasons that the whole cannot lack the perfection exemplified by its part; the inference is metaphysical rather than a measurement of cosmic intelligence. References: </w:t>
      </w:r>
      <w:hyperlink w:anchor="passage-i-3-2">
        <w:r>
          <w:rPr>
            <w:color w:val="000000"/>
          </w:rPr>
          <w:t xml:space="preserve">I.3.2</w:t>
        </w:r>
      </w:hyperlink>
      <w:r>
        <w:rPr>
          <w:b w:val="0"/>
          <w:i w:val="0"/>
        </w:rPr>
        <w:t xml:space="preserve">, </w:t>
      </w:r>
      <w:hyperlink w:anchor="passage-i-3-13">
        <w:r>
          <w:rPr>
            <w:color w:val="000000"/>
          </w:rPr>
          <w:t xml:space="preserve">I.3.13</w:t>
        </w:r>
      </w:hyperlink>
      <w:r>
        <w:rPr>
          <w:b w:val="0"/>
          <w:i w:val="0"/>
        </w:rPr>
        <w:t xml:space="preserve">. See </w:t>
      </w:r>
      <w:hyperlink w:anchor="world-and-universe">
        <w:r>
          <w:rPr>
            <w:color w:val="000000"/>
          </w:rPr>
          <w:t xml:space="preserve">World and universe</w:t>
        </w:r>
      </w:hyperlink>
      <w:r>
        <w:rPr>
          <w:b w:val="0"/>
          <w:i w:val="0"/>
        </w:rPr>
        <w:t>.</w:t>
      </w:r>
    </w:p>
    <w:p>
      <w:pPr>
        <w:widowControl/>
      </w:pPr>
      <w:r>
        <w:rPr>
          <w:b w:val="0"/>
          <w:i w:val="0"/>
        </w:rPr>
        <w:t xml:space="preserve">World or universe as an ordered whole, distinguished from its unrestricted divine source. The world is not coextensive with divine presence; preservation is argued whether this whole always existed or began. References: </w:t>
      </w:r>
      <w:hyperlink w:anchor="passage-ii-2-8">
        <w:r>
          <w:rPr>
            <w:color w:val="000000"/>
          </w:rPr>
          <w:t xml:space="preserve">II.2.8</w:t>
        </w:r>
      </w:hyperlink>
      <w:r>
        <w:rPr>
          <w:b w:val="0"/>
          <w:i w:val="0"/>
        </w:rPr>
        <w:t xml:space="preserve">, </w:t>
      </w:r>
      <w:hyperlink w:anchor="passage-ii-6-13">
        <w:r>
          <w:rPr>
            <w:color w:val="000000"/>
          </w:rPr>
          <w:t xml:space="preserve">II.6.13</w:t>
        </w:r>
      </w:hyperlink>
      <w:r>
        <w:rPr>
          <w:b w:val="0"/>
          <w:i w:val="0"/>
        </w:rPr>
        <w:t xml:space="preserve">, </w:t>
      </w:r>
      <w:hyperlink w:anchor="passage-ii-7-18">
        <w:r>
          <w:rPr>
            <w:color w:val="000000"/>
          </w:rPr>
          <w:t xml:space="preserve">II.7.18</w:t>
        </w:r>
      </w:hyperlink>
      <w:r>
        <w:rPr>
          <w:b w:val="0"/>
          <w:i w:val="0"/>
        </w:rPr>
        <w:t xml:space="preserve">. See </w:t>
      </w:r>
      <w:hyperlink w:anchor="world-and-universe">
        <w:r>
          <w:rPr>
            <w:color w:val="000000"/>
          </w:rPr>
          <w:t xml:space="preserve">World and universe</w:t>
        </w:r>
      </w:hyperlink>
      <w:r>
        <w:rPr>
          <w:b w:val="0"/>
          <w:i w:val="0"/>
        </w:rPr>
        <w:t>.</w:t>
      </w:r>
    </w:p>
    <w:p>
      <w:pPr>
        <w:widowControl/>
      </w:pPr>
      <w:r>
        <w:rPr>
          <w:b w:val="0"/>
          <w:i w:val="0"/>
        </w:rPr>
        <w:t xml:space="preserve">World / universe or universal whole. The good and order of the whole are distinguished from one component’s isolated apparent advantage. References: </w:t>
      </w:r>
      <w:hyperlink w:anchor="passage-ii-12-19">
        <w:r>
          <w:rPr>
            <w:color w:val="000000"/>
          </w:rPr>
          <w:t xml:space="preserve">II.12.19</w:t>
        </w:r>
      </w:hyperlink>
      <w:r>
        <w:rPr>
          <w:b w:val="0"/>
          <w:i w:val="0"/>
        </w:rPr>
        <w:t xml:space="preserve">, </w:t>
      </w:r>
      <w:hyperlink w:anchor="passage-ii-13-23">
        <w:r>
          <w:rPr>
            <w:color w:val="000000"/>
          </w:rPr>
          <w:t xml:space="preserve">II.13.23</w:t>
        </w:r>
      </w:hyperlink>
      <w:r>
        <w:rPr>
          <w:b w:val="0"/>
          <w:i w:val="0"/>
        </w:rPr>
        <w:t xml:space="preserve">. See </w:t>
      </w:r>
      <w:hyperlink w:anchor="world-and-universe">
        <w:r>
          <w:rPr>
            <w:color w:val="000000"/>
          </w:rPr>
          <w:t xml:space="preserve">World and universe</w:t>
        </w:r>
      </w:hyperlink>
      <w:r>
        <w:rPr>
          <w:b w:val="0"/>
          <w:i w:val="0"/>
        </w:rPr>
        <w:t>.</w:t>
      </w:r>
    </w:p>
    <w:p>
      <w:pPr>
        <w:keepNext/>
        <w:widowControl/>
      </w:pPr>
      <w:bookmarkStart w:id="982" w:name="latin-record-0731"/>
      <w:bookmarkEnd w:id="982"/>
      <w:r>
        <w:rPr>
          <w:b/>
          <w:i w:val="0"/>
        </w:rPr>
        <w:t>munus</w:t>
      </w:r>
      <w:r>
        <w:rPr>
          <w:b/>
          <w:i w:val="0"/>
        </w:rPr>
        <w:t>.</w:t>
      </w:r>
      <w:r>
        <w:rPr>
          <w:b w:val="0"/>
          <w:i w:val="0"/>
        </w:rPr>
        <w:t xml:space="preserve"> Printed forms: </w:t>
      </w:r>
      <w:r>
        <w:rPr>
          <w:b w:val="0"/>
          <w:i/>
        </w:rPr>
        <w:t>munera</w:t>
      </w:r>
      <w:r>
        <w:rPr>
          <w:b w:val="0"/>
          <w:i w:val="0"/>
        </w:rPr>
        <w:t xml:space="preserve">; </w:t>
      </w:r>
      <w:r>
        <w:rPr>
          <w:b w:val="0"/>
          <w:i/>
        </w:rPr>
        <w:t>munere</w:t>
      </w:r>
      <w:r>
        <w:rPr>
          <w:b w:val="0"/>
          <w:i w:val="0"/>
        </w:rPr>
        <w:t xml:space="preserve">; </w:t>
      </w:r>
      <w:r>
        <w:rPr>
          <w:b w:val="0"/>
          <w:i/>
        </w:rPr>
        <w:t>munus</w:t>
      </w:r>
      <w:r>
        <w:rPr>
          <w:b w:val="0"/>
          <w:i w:val="0"/>
        </w:rPr>
        <w:t>.</w:t>
      </w:r>
    </w:p>
    <w:p>
      <w:pPr>
        <w:widowControl/>
      </w:pPr>
      <w:r>
        <w:rPr>
          <w:b w:val="0"/>
          <w:i w:val="0"/>
        </w:rPr>
        <w:t xml:space="preserve">A gift bestowed or an office performed, according to construction. A higher cause’s gift is tested for superiority; God’s common office corresponds to the common effect being. References: </w:t>
      </w:r>
      <w:hyperlink w:anchor="passage-ii-1-5">
        <w:r>
          <w:rPr>
            <w:color w:val="000000"/>
          </w:rPr>
          <w:t xml:space="preserve">II.1.5</w:t>
        </w:r>
      </w:hyperlink>
      <w:r>
        <w:rPr>
          <w:b w:val="0"/>
          <w:i w:val="0"/>
        </w:rPr>
        <w:t xml:space="preserve">, </w:t>
      </w:r>
      <w:hyperlink w:anchor="passage-ii-1-6">
        <w:r>
          <w:rPr>
            <w:color w:val="000000"/>
          </w:rPr>
          <w:t xml:space="preserve">II.1.6</w:t>
        </w:r>
      </w:hyperlink>
      <w:r>
        <w:rPr>
          <w:b w:val="0"/>
          <w:i w:val="0"/>
        </w:rPr>
        <w:t xml:space="preserve">, </w:t>
      </w:r>
      <w:hyperlink w:anchor="passage-ii-3-9">
        <w:r>
          <w:rPr>
            <w:color w:val="000000"/>
          </w:rPr>
          <w:t xml:space="preserve">II.3.9</w:t>
        </w:r>
      </w:hyperlink>
      <w:r>
        <w:rPr>
          <w:b w:val="0"/>
          <w:i w:val="0"/>
        </w:rPr>
        <w:t xml:space="preserve">, </w:t>
      </w:r>
      <w:hyperlink w:anchor="passage-ii-7-6">
        <w:r>
          <w:rPr>
            <w:color w:val="000000"/>
          </w:rPr>
          <w:t xml:space="preserve">II.7.6</w:t>
        </w:r>
      </w:hyperlink>
      <w:r>
        <w:rPr>
          <w:b w:val="0"/>
          <w:i w:val="0"/>
        </w:rPr>
        <w:t xml:space="preserve">. See </w:t>
      </w:r>
      <w:hyperlink w:anchor="communication-and-imparting">
        <w:r>
          <w:rPr>
            <w:color w:val="000000"/>
          </w:rPr>
          <w:t xml:space="preserve">Communication and imparting</w:t>
        </w:r>
      </w:hyperlink>
      <w:r>
        <w:rPr>
          <w:b w:val="0"/>
          <w:i w:val="0"/>
        </w:rPr>
        <w:t>.</w:t>
      </w:r>
    </w:p>
    <w:p>
      <w:pPr>
        <w:keepNext/>
        <w:widowControl/>
      </w:pPr>
      <w:bookmarkStart w:id="983" w:name="latin-record-0732"/>
      <w:bookmarkEnd w:id="983"/>
      <w:r>
        <w:rPr>
          <w:b/>
          <w:i w:val="0"/>
        </w:rPr>
        <w:t>munus / donum</w:t>
      </w:r>
      <w:r>
        <w:rPr>
          <w:b/>
          <w:i w:val="0"/>
        </w:rPr>
        <w:t>.</w:t>
      </w:r>
      <w:r>
        <w:rPr>
          <w:b w:val="0"/>
          <w:i w:val="0"/>
        </w:rPr>
        <w:t xml:space="preserve"> Printed forms: </w:t>
      </w:r>
      <w:r>
        <w:rPr>
          <w:b w:val="0"/>
          <w:i/>
        </w:rPr>
        <w:t>dona</w:t>
      </w:r>
      <w:r>
        <w:rPr>
          <w:b w:val="0"/>
          <w:i w:val="0"/>
        </w:rPr>
        <w:t xml:space="preserve">; </w:t>
      </w:r>
      <w:r>
        <w:rPr>
          <w:b w:val="0"/>
          <w:i/>
        </w:rPr>
        <w:t>munus</w:t>
      </w:r>
      <w:r>
        <w:rPr>
          <w:b w:val="0"/>
          <w:i w:val="0"/>
        </w:rPr>
        <w:t>.</w:t>
      </w:r>
    </w:p>
    <w:p>
      <w:pPr>
        <w:widowControl/>
      </w:pPr>
      <w:r>
        <w:rPr>
          <w:b w:val="0"/>
          <w:i w:val="0"/>
        </w:rPr>
        <w:t xml:space="preserve">Gift or bestowed benefit. The gift of being and gifts that enable well-being are differentiated without separating their divine source. References: </w:t>
      </w:r>
      <w:hyperlink w:anchor="passage-ii-13-11">
        <w:r>
          <w:rPr>
            <w:color w:val="000000"/>
          </w:rPr>
          <w:t xml:space="preserve">II.13.11</w:t>
        </w:r>
      </w:hyperlink>
      <w:r>
        <w:rPr>
          <w:b w:val="0"/>
          <w:i w:val="0"/>
        </w:rPr>
        <w:t xml:space="preserve">. See </w:t>
      </w:r>
      <w:hyperlink w:anchor="care-and-custody">
        <w:r>
          <w:rPr>
            <w:color w:val="000000"/>
          </w:rPr>
          <w:t xml:space="preserve">Care and custody</w:t>
        </w:r>
      </w:hyperlink>
      <w:r>
        <w:rPr>
          <w:b w:val="0"/>
          <w:i w:val="0"/>
        </w:rPr>
        <w:t>.</w:t>
      </w:r>
    </w:p>
    <w:p>
      <w:pPr>
        <w:keepNext/>
        <w:widowControl/>
      </w:pPr>
      <w:bookmarkStart w:id="984" w:name="latin-record-0733"/>
      <w:bookmarkEnd w:id="984"/>
      <w:r>
        <w:rPr>
          <w:b/>
          <w:i w:val="0"/>
        </w:rPr>
        <w:t>munus / imago / exemplar</w:t>
      </w:r>
      <w:r>
        <w:rPr>
          <w:b/>
          <w:i w:val="0"/>
        </w:rPr>
        <w:t>.</w:t>
      </w:r>
      <w:r>
        <w:rPr>
          <w:b w:val="0"/>
          <w:i w:val="0"/>
        </w:rPr>
        <w:t xml:space="preserve"> Printed forms: </w:t>
      </w:r>
      <w:r>
        <w:rPr>
          <w:b w:val="0"/>
          <w:i/>
        </w:rPr>
        <w:t>exemplaria</w:t>
      </w:r>
      <w:r>
        <w:rPr>
          <w:b w:val="0"/>
          <w:i w:val="0"/>
        </w:rPr>
        <w:t xml:space="preserve">; </w:t>
      </w:r>
      <w:r>
        <w:rPr>
          <w:b w:val="0"/>
          <w:i/>
        </w:rPr>
        <w:t>imagines</w:t>
      </w:r>
      <w:r>
        <w:rPr>
          <w:b w:val="0"/>
          <w:i w:val="0"/>
        </w:rPr>
        <w:t xml:space="preserve">; </w:t>
      </w:r>
      <w:r>
        <w:rPr>
          <w:b w:val="0"/>
          <w:i/>
        </w:rPr>
        <w:t>munera</w:t>
      </w:r>
      <w:r>
        <w:rPr>
          <w:b w:val="0"/>
          <w:i w:val="0"/>
        </w:rPr>
        <w:t>.</w:t>
      </w:r>
    </w:p>
    <w:p>
      <w:pPr>
        <w:widowControl/>
      </w:pPr>
      <w:r>
        <w:rPr>
          <w:b w:val="0"/>
          <w:i w:val="0"/>
        </w:rPr>
        <w:t xml:space="preserve">Gift, image, and productive exemplar. Soul holds received likenesses of higher beings and formative powers for lower ones, expressing its middle position. References: </w:t>
      </w:r>
      <w:hyperlink w:anchor="passage-iv-2-10">
        <w:r>
          <w:rPr>
            <w:color w:val="000000"/>
          </w:rPr>
          <w:t xml:space="preserve">IV.2.10</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985" w:name="latin-record-0734"/>
      <w:bookmarkEnd w:id="985"/>
      <w:r>
        <w:rPr>
          <w:b/>
          <w:i w:val="0"/>
        </w:rPr>
        <w:t>munus / ordinatio</w:t>
      </w:r>
      <w:r>
        <w:rPr>
          <w:b/>
          <w:i w:val="0"/>
        </w:rPr>
        <w:t>.</w:t>
      </w:r>
      <w:r>
        <w:rPr>
          <w:b w:val="0"/>
          <w:i w:val="0"/>
        </w:rPr>
        <w:t xml:space="preserve"> Printed forms: </w:t>
      </w:r>
      <w:r>
        <w:rPr>
          <w:b w:val="0"/>
          <w:i/>
        </w:rPr>
        <w:t>munus</w:t>
      </w:r>
      <w:r>
        <w:rPr>
          <w:b w:val="0"/>
          <w:i w:val="0"/>
        </w:rPr>
        <w:t xml:space="preserve">; </w:t>
      </w:r>
      <w:r>
        <w:rPr>
          <w:b w:val="0"/>
          <w:i/>
        </w:rPr>
        <w:t>Ordinatio</w:t>
      </w:r>
      <w:r>
        <w:rPr>
          <w:b w:val="0"/>
          <w:i w:val="0"/>
        </w:rPr>
        <w:t>.</w:t>
      </w:r>
    </w:p>
    <w:p>
      <w:pPr>
        <w:widowControl/>
      </w:pPr>
      <w:r>
        <w:rPr>
          <w:b w:val="0"/>
          <w:i w:val="0"/>
        </w:rPr>
        <w:t xml:space="preserve">An office or function, and ordering. Mind’s function of ordering through forms reaches nonliving things, but its stated boundary leaves formless matter outside that function’s scope. References: </w:t>
      </w:r>
      <w:hyperlink w:anchor="passage-i-6-14">
        <w:r>
          <w:rPr>
            <w:color w:val="000000"/>
          </w:rPr>
          <w:t xml:space="preserve">I.6.14</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986" w:name="latin-record-0735"/>
      <w:bookmarkEnd w:id="986"/>
      <w:r>
        <w:rPr>
          <w:b/>
          <w:i w:val="0"/>
        </w:rPr>
        <w:t>musca</w:t>
      </w:r>
      <w:r>
        <w:rPr>
          <w:b/>
          <w:i w:val="0"/>
        </w:rPr>
        <w:t>.</w:t>
      </w:r>
      <w:r>
        <w:rPr>
          <w:b w:val="0"/>
          <w:i w:val="0"/>
        </w:rPr>
        <w:t xml:space="preserve"> Printed forms: </w:t>
      </w:r>
      <w:r>
        <w:rPr>
          <w:b w:val="0"/>
          <w:i/>
        </w:rPr>
        <w:t>muscarum</w:t>
      </w:r>
      <w:r>
        <w:rPr>
          <w:b w:val="0"/>
          <w:i w:val="0"/>
        </w:rPr>
        <w:t xml:space="preserve">; </w:t>
      </w:r>
      <w:r>
        <w:rPr>
          <w:b w:val="0"/>
          <w:i/>
        </w:rPr>
        <w:t>muscas</w:t>
      </w:r>
      <w:r>
        <w:rPr>
          <w:b w:val="0"/>
          <w:i w:val="0"/>
        </w:rPr>
        <w:t>.</w:t>
      </w:r>
    </w:p>
    <w:p>
      <w:pPr>
        <w:widowControl/>
      </w:pPr>
      <w:r>
        <w:rPr>
          <w:b w:val="0"/>
          <w:i w:val="0"/>
        </w:rPr>
        <w:t xml:space="preserve">Fly. The principle of flies differs from the principle of vines, making causal specificity concrete. References: </w:t>
      </w:r>
      <w:hyperlink w:anchor="passage-iv-1-9">
        <w:r>
          <w:rPr>
            <w:color w:val="000000"/>
          </w:rPr>
          <w:t xml:space="preserve">IV.1.9</w:t>
        </w:r>
      </w:hyperlink>
      <w:r>
        <w:rPr>
          <w:b w:val="0"/>
          <w:i w:val="0"/>
        </w:rPr>
        <w:t xml:space="preserve">. See </w:t>
      </w:r>
      <w:hyperlink w:anchor="contraction-and-determination">
        <w:r>
          <w:rPr>
            <w:color w:val="000000"/>
          </w:rPr>
          <w:t xml:space="preserve">Contraction and determination</w:t>
        </w:r>
      </w:hyperlink>
      <w:r>
        <w:rPr>
          <w:b w:val="0"/>
          <w:i w:val="0"/>
        </w:rPr>
        <w:t>.</w:t>
      </w:r>
    </w:p>
    <w:p>
      <w:pPr>
        <w:keepNext/>
        <w:widowControl/>
      </w:pPr>
      <w:bookmarkStart w:id="987" w:name="latin-record-0736"/>
      <w:bookmarkEnd w:id="987"/>
      <w:r>
        <w:rPr>
          <w:b/>
          <w:i w:val="0"/>
        </w:rPr>
        <w:t>mutare / mutatio</w:t>
      </w:r>
      <w:r>
        <w:rPr>
          <w:b/>
          <w:i w:val="0"/>
        </w:rPr>
        <w:t>.</w:t>
      </w:r>
      <w:r>
        <w:rPr>
          <w:b w:val="0"/>
          <w:i w:val="0"/>
        </w:rPr>
        <w:t xml:space="preserve"> Printed forms: </w:t>
      </w:r>
      <w:r>
        <w:rPr>
          <w:b w:val="0"/>
          <w:i/>
        </w:rPr>
        <w:t>mutabitur</w:t>
      </w:r>
      <w:r>
        <w:rPr>
          <w:b w:val="0"/>
          <w:i w:val="0"/>
        </w:rPr>
        <w:t xml:space="preserve">; </w:t>
      </w:r>
      <w:r>
        <w:rPr>
          <w:b w:val="0"/>
          <w:i/>
        </w:rPr>
        <w:t>mutationem</w:t>
      </w:r>
      <w:r>
        <w:rPr>
          <w:b w:val="0"/>
          <w:i w:val="0"/>
        </w:rPr>
        <w:t xml:space="preserve">; </w:t>
      </w:r>
      <w:r>
        <w:rPr>
          <w:b w:val="0"/>
          <w:i/>
        </w:rPr>
        <w:t>mutatur</w:t>
      </w:r>
      <w:r>
        <w:rPr>
          <w:b w:val="0"/>
          <w:i w:val="0"/>
        </w:rPr>
        <w:t>.</w:t>
      </w:r>
    </w:p>
    <w:p>
      <w:pPr>
        <w:widowControl/>
      </w:pPr>
      <w:r>
        <w:rPr>
          <w:b w:val="0"/>
          <w:i w:val="0"/>
        </w:rPr>
        <w:t xml:space="preserve">Change / alteration. Soul changes in operation while its substance is said to persist; bodily quality changes in both respects. References: </w:t>
      </w:r>
      <w:hyperlink w:anchor="passage-iii-1-15">
        <w:r>
          <w:rPr>
            <w:color w:val="000000"/>
          </w:rPr>
          <w:t xml:space="preserve">III.1.15</w:t>
        </w:r>
      </w:hyperlink>
      <w:r>
        <w:rPr>
          <w:b w:val="0"/>
          <w:i w:val="0"/>
        </w:rPr>
        <w:t xml:space="preserve">, </w:t>
      </w:r>
      <w:hyperlink w:anchor="passage-iii-1-16">
        <w:r>
          <w:rPr>
            <w:color w:val="000000"/>
          </w:rPr>
          <w:t xml:space="preserve">III.1.16</w:t>
        </w:r>
      </w:hyperlink>
      <w:r>
        <w:rPr>
          <w:b w:val="0"/>
          <w:i w:val="0"/>
        </w:rPr>
        <w:t xml:space="preserve">, </w:t>
      </w:r>
      <w:hyperlink w:anchor="passage-iii-1-17">
        <w:r>
          <w:rPr>
            <w:color w:val="000000"/>
          </w:rPr>
          <w:t xml:space="preserve">III.1.17</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988" w:name="latin-record-0737"/>
      <w:bookmarkEnd w:id="988"/>
      <w:r>
        <w:rPr>
          <w:b/>
          <w:i w:val="0"/>
        </w:rPr>
        <w:t>mutatis paucis</w:t>
      </w:r>
      <w:r>
        <w:rPr>
          <w:b/>
          <w:i w:val="0"/>
        </w:rPr>
        <w:t>.</w:t>
      </w:r>
      <w:r>
        <w:rPr>
          <w:b w:val="0"/>
          <w:i w:val="0"/>
        </w:rPr>
        <w:t xml:space="preserve"> Printed forms: </w:t>
      </w:r>
      <w:r>
        <w:rPr>
          <w:b w:val="0"/>
          <w:i/>
        </w:rPr>
        <w:t>mutatis paucis</w:t>
      </w:r>
      <w:r>
        <w:rPr>
          <w:b w:val="0"/>
          <w:i w:val="0"/>
        </w:rPr>
        <w:t>.</w:t>
      </w:r>
    </w:p>
    <w:p>
      <w:pPr>
        <w:widowControl/>
      </w:pPr>
      <w:r>
        <w:t>“</w:t>
      </w:r>
      <w:r>
        <w:rPr>
          <w:b w:val="0"/>
          <w:i w:val="0"/>
        </w:rPr>
        <w:t>With a few things changed,</w:t>
      </w:r>
      <w:r>
        <w:t>”</w:t>
      </w:r>
      <w:r>
        <w:rPr>
          <w:b w:val="0"/>
          <w:i w:val="0"/>
        </w:rPr>
        <w:t xml:space="preserve"> a qualifying ablative phrase. The reported possibility of Platonists becoming Christians is qualified rather than unconditional, and the passage does not enumerate the changes. References: </w:t>
      </w:r>
      <w:hyperlink w:anchor="passage-proem-6">
        <w:r>
          <w:rPr>
            <w:color w:val="000000"/>
          </w:rPr>
          <w:t xml:space="preserve">Proem.6</w:t>
        </w:r>
      </w:hyperlink>
      <w:r>
        <w:rPr>
          <w:b w:val="0"/>
          <w:i w:val="0"/>
        </w:rPr>
        <w:t xml:space="preserve">. See </w:t>
      </w:r>
      <w:hyperlink w:anchor="augustine-and-christian-proximity">
        <w:r>
          <w:rPr>
            <w:color w:val="000000"/>
          </w:rPr>
          <w:t xml:space="preserve">Augustine and Christian proximity</w:t>
        </w:r>
      </w:hyperlink>
      <w:r>
        <w:rPr>
          <w:b w:val="0"/>
          <w:i w:val="0"/>
        </w:rPr>
        <w:t>.</w:t>
      </w:r>
    </w:p>
    <w:p>
      <w:pPr>
        <w:keepNext/>
        <w:widowControl/>
      </w:pPr>
      <w:bookmarkStart w:id="989" w:name="latin-record-0738"/>
      <w:bookmarkEnd w:id="989"/>
      <w:r>
        <w:rPr>
          <w:b/>
          <w:i w:val="0"/>
        </w:rPr>
        <w:t>mutua offensio</w:t>
      </w:r>
      <w:r>
        <w:rPr>
          <w:b/>
          <w:i w:val="0"/>
        </w:rPr>
        <w:t>.</w:t>
      </w:r>
      <w:r>
        <w:rPr>
          <w:b w:val="0"/>
          <w:i w:val="0"/>
        </w:rPr>
        <w:t xml:space="preserve"> Printed forms: </w:t>
      </w:r>
      <w:r>
        <w:rPr>
          <w:b w:val="0"/>
          <w:i/>
        </w:rPr>
        <w:t>mutua offensione</w:t>
      </w:r>
      <w:r>
        <w:rPr>
          <w:b w:val="0"/>
          <w:i w:val="0"/>
        </w:rPr>
        <w:t>.</w:t>
      </w:r>
    </w:p>
    <w:p>
      <w:pPr>
        <w:widowControl/>
      </w:pPr>
      <w:r>
        <w:rPr>
          <w:b w:val="0"/>
          <w:i w:val="0"/>
        </w:rPr>
        <w:t xml:space="preserve">Mutual obstruction or interference. Two bodies cannot coexist in one place without obstruction; the contrast concerns bodily occupation, not disagreement or moral offence. References: </w:t>
      </w:r>
      <w:hyperlink w:anchor="passage-i-2-15">
        <w:r>
          <w:rPr>
            <w:color w:val="000000"/>
          </w:rPr>
          <w:t xml:space="preserve">I.2.15</w:t>
        </w:r>
      </w:hyperlink>
      <w:r>
        <w:rPr>
          <w:b w:val="0"/>
          <w:i w:val="0"/>
        </w:rPr>
        <w:t xml:space="preserve">. See </w:t>
      </w:r>
      <w:hyperlink w:anchor="body-and-bulk">
        <w:r>
          <w:rPr>
            <w:color w:val="000000"/>
          </w:rPr>
          <w:t xml:space="preserve">Body and bulk</w:t>
        </w:r>
      </w:hyperlink>
      <w:r>
        <w:rPr>
          <w:b w:val="0"/>
          <w:i w:val="0"/>
        </w:rPr>
        <w:t>.</w:t>
      </w:r>
    </w:p>
    <w:p>
      <w:pPr>
        <w:keepNext/>
        <w:widowControl/>
      </w:pPr>
      <w:bookmarkStart w:id="990" w:name="latin-record-0739"/>
      <w:bookmarkEnd w:id="990"/>
      <w:r>
        <w:rPr>
          <w:b/>
          <w:i w:val="0"/>
        </w:rPr>
        <w:t>mutuare / mutuari</w:t>
      </w:r>
      <w:r>
        <w:rPr>
          <w:b/>
          <w:i w:val="0"/>
        </w:rPr>
        <w:t>.</w:t>
      </w:r>
      <w:r>
        <w:rPr>
          <w:b w:val="0"/>
          <w:i w:val="0"/>
        </w:rPr>
        <w:t xml:space="preserve"> Printed forms: </w:t>
      </w:r>
      <w:r>
        <w:rPr>
          <w:b w:val="0"/>
          <w:i/>
        </w:rPr>
        <w:t>mutuant</w:t>
      </w:r>
      <w:r>
        <w:rPr>
          <w:b w:val="0"/>
          <w:i w:val="0"/>
        </w:rPr>
        <w:t xml:space="preserve">; </w:t>
      </w:r>
      <w:r>
        <w:rPr>
          <w:b w:val="0"/>
          <w:i/>
        </w:rPr>
        <w:t>mutuarentque</w:t>
      </w:r>
      <w:r>
        <w:rPr>
          <w:b w:val="0"/>
          <w:i w:val="0"/>
        </w:rPr>
        <w:t xml:space="preserve">; </w:t>
      </w:r>
      <w:r>
        <w:rPr>
          <w:b w:val="0"/>
          <w:i/>
        </w:rPr>
        <w:t>mutuarentur</w:t>
      </w:r>
      <w:r>
        <w:rPr>
          <w:b w:val="0"/>
          <w:i w:val="0"/>
        </w:rPr>
        <w:t xml:space="preserve">; </w:t>
      </w:r>
      <w:r>
        <w:rPr>
          <w:b w:val="0"/>
          <w:i/>
        </w:rPr>
        <w:t>mutuari</w:t>
      </w:r>
      <w:r>
        <w:rPr>
          <w:b w:val="0"/>
          <w:i w:val="0"/>
        </w:rPr>
        <w:t>.</w:t>
      </w:r>
    </w:p>
    <w:p>
      <w:pPr>
        <w:widowControl/>
      </w:pPr>
      <w:r>
        <w:rPr>
          <w:b w:val="0"/>
          <w:i w:val="0"/>
        </w:rPr>
        <w:t xml:space="preserve">To exchange or borrow. Cosmic parts exchange natures; God is said to need no loan of matter to produce a whole effect. References: </w:t>
      </w:r>
      <w:hyperlink w:anchor="passage-ii-2-9">
        <w:r>
          <w:rPr>
            <w:color w:val="000000"/>
          </w:rPr>
          <w:t xml:space="preserve">II.2.9</w:t>
        </w:r>
      </w:hyperlink>
      <w:r>
        <w:rPr>
          <w:b w:val="0"/>
          <w:i w:val="0"/>
        </w:rPr>
        <w:t xml:space="preserve">, </w:t>
      </w:r>
      <w:hyperlink w:anchor="passage-ii-7-21">
        <w:r>
          <w:rPr>
            <w:color w:val="000000"/>
          </w:rPr>
          <w:t xml:space="preserve">II.7.21</w:t>
        </w:r>
      </w:hyperlink>
      <w:r>
        <w:rPr>
          <w:b w:val="0"/>
          <w:i w:val="0"/>
        </w:rPr>
        <w:t xml:space="preserve">. See </w:t>
      </w:r>
      <w:hyperlink w:anchor="borrowing-and-assistance">
        <w:r>
          <w:rPr>
            <w:color w:val="000000"/>
          </w:rPr>
          <w:t xml:space="preserve">Borrowing and assistance</w:t>
        </w:r>
      </w:hyperlink>
      <w:r>
        <w:rPr>
          <w:b w:val="0"/>
          <w:i w:val="0"/>
        </w:rPr>
        <w:t>.</w:t>
      </w:r>
    </w:p>
    <w:p>
      <w:pPr>
        <w:widowControl/>
      </w:pPr>
      <w:r>
        <w:rPr>
          <w:b w:val="0"/>
          <w:i w:val="0"/>
        </w:rPr>
        <w:t xml:space="preserve">Give or lend / receive or borrow. The paired forms depict opposed members of the world exchanging natures and motions in both directions. References: </w:t>
      </w:r>
      <w:hyperlink w:anchor="passage-ii-13-4">
        <w:r>
          <w:rPr>
            <w:color w:val="000000"/>
          </w:rPr>
          <w:t xml:space="preserve">II.13.4</w:t>
        </w:r>
      </w:hyperlink>
      <w:r>
        <w:rPr>
          <w:b w:val="0"/>
          <w:i w:val="0"/>
        </w:rPr>
        <w:t xml:space="preserve">. See </w:t>
      </w:r>
      <w:hyperlink w:anchor="exchange-and-reconciliation">
        <w:r>
          <w:rPr>
            <w:color w:val="000000"/>
          </w:rPr>
          <w:t xml:space="preserve">Exchange and reconciliation</w:t>
        </w:r>
      </w:hyperlink>
      <w:r>
        <w:rPr>
          <w:b w:val="0"/>
          <w:i w:val="0"/>
        </w:rPr>
        <w:t>.</w:t>
      </w:r>
    </w:p>
    <w:p>
      <w:pPr>
        <w:keepNext/>
        <w:widowControl/>
      </w:pPr>
      <w:bookmarkStart w:id="991" w:name="latin-record-0740"/>
      <w:bookmarkEnd w:id="991"/>
      <w:r>
        <w:rPr>
          <w:b/>
          <w:i w:val="0"/>
        </w:rPr>
        <w:t>mutuus / invicem</w:t>
      </w:r>
      <w:r>
        <w:rPr>
          <w:b/>
          <w:i w:val="0"/>
        </w:rPr>
        <w:t>.</w:t>
      </w:r>
      <w:r>
        <w:rPr>
          <w:b w:val="0"/>
          <w:i w:val="0"/>
        </w:rPr>
        <w:t xml:space="preserve"> Printed forms: </w:t>
      </w:r>
      <w:r>
        <w:rPr>
          <w:b w:val="0"/>
          <w:i/>
        </w:rPr>
        <w:t>invicem</w:t>
      </w:r>
      <w:r>
        <w:rPr>
          <w:b w:val="0"/>
          <w:i w:val="0"/>
        </w:rPr>
        <w:t xml:space="preserve">; </w:t>
      </w:r>
      <w:r>
        <w:rPr>
          <w:b w:val="0"/>
          <w:i/>
        </w:rPr>
        <w:t>mutua</w:t>
      </w:r>
      <w:r>
        <w:rPr>
          <w:b w:val="0"/>
          <w:i w:val="0"/>
        </w:rPr>
        <w:t xml:space="preserve">; </w:t>
      </w:r>
      <w:r>
        <w:rPr>
          <w:b w:val="0"/>
          <w:i/>
        </w:rPr>
        <w:t>mutuo</w:t>
      </w:r>
      <w:r>
        <w:rPr>
          <w:b w:val="0"/>
          <w:i w:val="0"/>
        </w:rPr>
        <w:t xml:space="preserve">; </w:t>
      </w:r>
      <w:r>
        <w:rPr>
          <w:b w:val="0"/>
          <w:i/>
        </w:rPr>
        <w:t>mutuoque</w:t>
      </w:r>
      <w:r>
        <w:rPr>
          <w:b w:val="0"/>
          <w:i w:val="0"/>
        </w:rPr>
        <w:t xml:space="preserve">; </w:t>
      </w:r>
      <w:r>
        <w:rPr>
          <w:b w:val="0"/>
          <w:i/>
        </w:rPr>
        <w:t>mutuus</w:t>
      </w:r>
      <w:r>
        <w:rPr>
          <w:b w:val="0"/>
          <w:i w:val="0"/>
        </w:rPr>
        <w:t>.</w:t>
      </w:r>
    </w:p>
    <w:p>
      <w:pPr>
        <w:widowControl/>
      </w:pPr>
      <w:r>
        <w:rPr>
          <w:b w:val="0"/>
          <w:i w:val="0"/>
        </w:rPr>
        <w:t xml:space="preserve">Mutual or reciprocal relation. Cosmic parts coordinate with one another; spirits are said to be in one another without confusion in the attributed theory. References: </w:t>
      </w:r>
      <w:hyperlink w:anchor="passage-ii-2-8">
        <w:r>
          <w:rPr>
            <w:color w:val="000000"/>
          </w:rPr>
          <w:t xml:space="preserve">II.2.8</w:t>
        </w:r>
      </w:hyperlink>
      <w:r>
        <w:rPr>
          <w:b w:val="0"/>
          <w:i w:val="0"/>
        </w:rPr>
        <w:t xml:space="preserve">, </w:t>
      </w:r>
      <w:hyperlink w:anchor="passage-ii-2-9">
        <w:r>
          <w:rPr>
            <w:color w:val="000000"/>
          </w:rPr>
          <w:t xml:space="preserve">II.2.9</w:t>
        </w:r>
      </w:hyperlink>
      <w:r>
        <w:rPr>
          <w:b w:val="0"/>
          <w:i w:val="0"/>
        </w:rPr>
        <w:t xml:space="preserve">, </w:t>
      </w:r>
      <w:hyperlink w:anchor="passage-ii-6-14">
        <w:r>
          <w:rPr>
            <w:color w:val="000000"/>
          </w:rPr>
          <w:t xml:space="preserve">II.6.14</w:t>
        </w:r>
      </w:hyperlink>
      <w:r>
        <w:rPr>
          <w:b w:val="0"/>
          <w:i w:val="0"/>
        </w:rPr>
        <w:t xml:space="preserve">. See </w:t>
      </w:r>
      <w:hyperlink w:anchor="concord-and-convergence">
        <w:r>
          <w:rPr>
            <w:color w:val="000000"/>
          </w:rPr>
          <w:t xml:space="preserve">Concord and convergence</w:t>
        </w:r>
      </w:hyperlink>
      <w:r>
        <w:rPr>
          <w:b w:val="0"/>
          <w:i w:val="0"/>
        </w:rPr>
        <w:t>.</w:t>
      </w:r>
    </w:p>
    <w:p>
      <w:pPr>
        <w:keepNext/>
        <w:widowControl/>
      </w:pPr>
      <w:bookmarkStart w:id="992" w:name="latin-record-0741"/>
      <w:bookmarkEnd w:id="992"/>
      <w:r>
        <w:rPr>
          <w:b/>
          <w:i w:val="0"/>
        </w:rPr>
        <w:t>natura / naturalis</w:t>
      </w:r>
      <w:r>
        <w:rPr>
          <w:b/>
          <w:i w:val="0"/>
        </w:rPr>
        <w:t>.</w:t>
      </w:r>
      <w:r>
        <w:rPr>
          <w:b w:val="0"/>
          <w:i w:val="0"/>
        </w:rPr>
        <w:t xml:space="preserve"> Printed forms: </w:t>
      </w:r>
      <w:r>
        <w:rPr>
          <w:b w:val="0"/>
          <w:i/>
        </w:rPr>
        <w:t>natura</w:t>
      </w:r>
      <w:r>
        <w:rPr>
          <w:b w:val="0"/>
          <w:i w:val="0"/>
        </w:rPr>
        <w:t xml:space="preserve">; </w:t>
      </w:r>
      <w:r>
        <w:rPr>
          <w:b w:val="0"/>
          <w:i/>
        </w:rPr>
        <w:t>naturae</w:t>
      </w:r>
      <w:r>
        <w:rPr>
          <w:b w:val="0"/>
          <w:i w:val="0"/>
        </w:rPr>
        <w:t xml:space="preserve">; </w:t>
      </w:r>
      <w:r>
        <w:rPr>
          <w:b w:val="0"/>
          <w:i/>
        </w:rPr>
        <w:t>naturale</w:t>
      </w:r>
      <w:r>
        <w:rPr>
          <w:b w:val="0"/>
          <w:i w:val="0"/>
        </w:rPr>
        <w:t xml:space="preserve">; </w:t>
      </w:r>
      <w:r>
        <w:rPr>
          <w:b w:val="0"/>
          <w:i/>
        </w:rPr>
        <w:t>naturalem</w:t>
      </w:r>
      <w:r>
        <w:rPr>
          <w:b w:val="0"/>
          <w:i w:val="0"/>
        </w:rPr>
        <w:t xml:space="preserve">; </w:t>
      </w:r>
      <w:r>
        <w:rPr>
          <w:b w:val="0"/>
          <w:i/>
        </w:rPr>
        <w:t>naturalia</w:t>
      </w:r>
      <w:r>
        <w:rPr>
          <w:b w:val="0"/>
          <w:i w:val="0"/>
        </w:rPr>
        <w:t xml:space="preserve">; </w:t>
      </w:r>
      <w:r>
        <w:rPr>
          <w:b w:val="0"/>
          <w:i/>
        </w:rPr>
        <w:t>naturam</w:t>
      </w:r>
      <w:r>
        <w:rPr>
          <w:b w:val="0"/>
          <w:i w:val="0"/>
        </w:rPr>
        <w:t>.</w:t>
      </w:r>
    </w:p>
    <w:p>
      <w:pPr>
        <w:widowControl/>
      </w:pPr>
      <w:r>
        <w:rPr>
          <w:b w:val="0"/>
          <w:i w:val="0"/>
        </w:rPr>
        <w:t xml:space="preserve">A thing’s nature or constitution; the natural productive order; what acts through natural being. A shared nature differs from a proper feature, while nature as a whole depends on God as art depends on nature. References: </w:t>
      </w:r>
      <w:hyperlink w:anchor="passage-ii-2-3">
        <w:r>
          <w:rPr>
            <w:color w:val="000000"/>
          </w:rPr>
          <w:t xml:space="preserve">II.2.3</w:t>
        </w:r>
      </w:hyperlink>
      <w:r>
        <w:rPr>
          <w:b w:val="0"/>
          <w:i w:val="0"/>
        </w:rPr>
        <w:t xml:space="preserve">, </w:t>
      </w:r>
      <w:hyperlink w:anchor="passage-ii-7-17">
        <w:r>
          <w:rPr>
            <w:color w:val="000000"/>
          </w:rPr>
          <w:t xml:space="preserve">II.7.17</w:t>
        </w:r>
      </w:hyperlink>
      <w:r>
        <w:rPr>
          <w:b w:val="0"/>
          <w:i w:val="0"/>
        </w:rPr>
        <w:t xml:space="preserve">, </w:t>
      </w:r>
      <w:hyperlink w:anchor="passage-ii-8-4">
        <w:r>
          <w:rPr>
            <w:color w:val="000000"/>
          </w:rPr>
          <w:t xml:space="preserve">II.8.4</w:t>
        </w:r>
      </w:hyperlink>
      <w:r>
        <w:rPr>
          <w:b w:val="0"/>
          <w:i w:val="0"/>
        </w:rPr>
        <w:t xml:space="preserve">. See </w:t>
      </w:r>
      <w:hyperlink w:anchor="art-and-nature">
        <w:r>
          <w:rPr>
            <w:color w:val="000000"/>
          </w:rPr>
          <w:t xml:space="preserve">Art and nature</w:t>
        </w:r>
      </w:hyperlink>
      <w:r>
        <w:rPr>
          <w:b w:val="0"/>
          <w:i w:val="0"/>
        </w:rPr>
        <w:t>.</w:t>
      </w:r>
    </w:p>
    <w:p>
      <w:pPr>
        <w:keepNext/>
        <w:widowControl/>
      </w:pPr>
      <w:bookmarkStart w:id="993" w:name="latin-record-0742"/>
      <w:bookmarkEnd w:id="993"/>
      <w:r>
        <w:rPr>
          <w:b/>
          <w:i w:val="0"/>
        </w:rPr>
        <w:t>natura communis / propria</w:t>
      </w:r>
      <w:r>
        <w:rPr>
          <w:b/>
          <w:i w:val="0"/>
        </w:rPr>
        <w:t>.</w:t>
      </w:r>
      <w:r>
        <w:rPr>
          <w:b w:val="0"/>
          <w:i w:val="0"/>
        </w:rPr>
        <w:t xml:space="preserve"> Printed forms: </w:t>
      </w:r>
      <w:r>
        <w:rPr>
          <w:b w:val="0"/>
          <w:i/>
        </w:rPr>
        <w:t>natura communi</w:t>
      </w:r>
      <w:r>
        <w:rPr>
          <w:b w:val="0"/>
          <w:i w:val="0"/>
        </w:rPr>
        <w:t xml:space="preserve">; </w:t>
      </w:r>
      <w:r>
        <w:rPr>
          <w:b w:val="0"/>
          <w:i/>
        </w:rPr>
        <w:t>propria</w:t>
      </w:r>
      <w:r>
        <w:rPr>
          <w:b w:val="0"/>
          <w:i w:val="0"/>
        </w:rPr>
        <w:t>.</w:t>
      </w:r>
    </w:p>
    <w:p>
      <w:pPr>
        <w:widowControl/>
      </w:pPr>
      <w:r>
        <w:rPr>
          <w:b w:val="0"/>
          <w:i w:val="0"/>
        </w:rPr>
        <w:t xml:space="preserve">A shared nature and a differentiating nature. Placing God within a common class of movers would make him composite from what he shares and what distinguishes him. References: </w:t>
      </w:r>
      <w:hyperlink w:anchor="passage-iv-1-60">
        <w:r>
          <w:rPr>
            <w:color w:val="000000"/>
          </w:rPr>
          <w:t xml:space="preserve">IV.1.60</w:t>
        </w:r>
      </w:hyperlink>
      <w:r>
        <w:rPr>
          <w:b w:val="0"/>
          <w:i w:val="0"/>
        </w:rPr>
        <w:t xml:space="preserve">. See </w:t>
      </w:r>
      <w:hyperlink w:anchor="simplicity-and-composition">
        <w:r>
          <w:rPr>
            <w:color w:val="000000"/>
          </w:rPr>
          <w:t xml:space="preserve">Simplicity and composition</w:t>
        </w:r>
      </w:hyperlink>
      <w:r>
        <w:rPr>
          <w:b w:val="0"/>
          <w:i w:val="0"/>
        </w:rPr>
        <w:t>.</w:t>
      </w:r>
    </w:p>
    <w:p>
      <w:pPr>
        <w:keepNext/>
        <w:widowControl/>
      </w:pPr>
      <w:bookmarkStart w:id="994" w:name="latin-record-0743"/>
      <w:bookmarkEnd w:id="994"/>
      <w:r>
        <w:rPr>
          <w:b/>
          <w:i w:val="0"/>
        </w:rPr>
        <w:t>naturalis / acquisitus</w:t>
      </w:r>
      <w:r>
        <w:rPr>
          <w:b/>
          <w:i w:val="0"/>
        </w:rPr>
        <w:t>.</w:t>
      </w:r>
      <w:r>
        <w:rPr>
          <w:b w:val="0"/>
          <w:i w:val="0"/>
        </w:rPr>
        <w:t xml:space="preserve"> Printed forms: </w:t>
      </w:r>
      <w:r>
        <w:rPr>
          <w:b w:val="0"/>
          <w:i/>
        </w:rPr>
        <w:t>acquisita</w:t>
      </w:r>
      <w:r>
        <w:rPr>
          <w:b w:val="0"/>
          <w:i w:val="0"/>
        </w:rPr>
        <w:t xml:space="preserve">; </w:t>
      </w:r>
      <w:r>
        <w:rPr>
          <w:b w:val="0"/>
          <w:i/>
        </w:rPr>
        <w:t>naturalis</w:t>
      </w:r>
      <w:r>
        <w:rPr>
          <w:b w:val="0"/>
          <w:i w:val="0"/>
        </w:rPr>
        <w:t>.</w:t>
      </w:r>
    </w:p>
    <w:p>
      <w:pPr>
        <w:widowControl/>
      </w:pPr>
      <w:r>
        <w:rPr>
          <w:b w:val="0"/>
          <w:i w:val="0"/>
        </w:rPr>
        <w:t xml:space="preserve">Natural and acquired power. Natural vigour remains, while acquired capacity passes between potency, act and habit; the distinction explains how the intermediate power partly changes. References: </w:t>
      </w:r>
      <w:hyperlink w:anchor="passage-i-5-1">
        <w:r>
          <w:rPr>
            <w:color w:val="000000"/>
          </w:rPr>
          <w:t xml:space="preserve">I.5.1</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995" w:name="latin-record-0744"/>
      <w:bookmarkEnd w:id="995"/>
      <w:r>
        <w:rPr>
          <w:b/>
          <w:i w:val="0"/>
        </w:rPr>
        <w:t>naturalis / natura</w:t>
      </w:r>
      <w:r>
        <w:rPr>
          <w:b/>
          <w:i w:val="0"/>
        </w:rPr>
        <w:t>.</w:t>
      </w:r>
      <w:r>
        <w:rPr>
          <w:b w:val="0"/>
          <w:i w:val="0"/>
        </w:rPr>
        <w:t xml:space="preserve"> Printed forms: </w:t>
      </w:r>
      <w:r>
        <w:rPr>
          <w:b w:val="0"/>
          <w:i/>
        </w:rPr>
        <w:t>natura</w:t>
      </w:r>
      <w:r>
        <w:rPr>
          <w:b w:val="0"/>
          <w:i w:val="0"/>
        </w:rPr>
        <w:t xml:space="preserve">; </w:t>
      </w:r>
      <w:r>
        <w:rPr>
          <w:b w:val="0"/>
          <w:i/>
        </w:rPr>
        <w:t>naturalis</w:t>
      </w:r>
      <w:r>
        <w:rPr>
          <w:b w:val="0"/>
          <w:i w:val="0"/>
        </w:rPr>
        <w:t>.</w:t>
      </w:r>
    </w:p>
    <w:p>
      <w:pPr>
        <w:widowControl/>
      </w:pPr>
      <w:r>
        <w:rPr>
          <w:b w:val="0"/>
          <w:i w:val="0"/>
        </w:rPr>
        <w:t xml:space="preserve">Natural / a thing’s nature or constitutive manner. God preserves each nature’s mode of action; the term’s broad use must be distinguished from bare nature as a limited necessary agent. References: </w:t>
      </w:r>
      <w:hyperlink w:anchor="passage-ii-11-14">
        <w:r>
          <w:rPr>
            <w:color w:val="000000"/>
          </w:rPr>
          <w:t xml:space="preserve">II.11.14</w:t>
        </w:r>
      </w:hyperlink>
      <w:r>
        <w:rPr>
          <w:b w:val="0"/>
          <w:i w:val="0"/>
        </w:rPr>
        <w:t xml:space="preserve">, </w:t>
      </w:r>
      <w:hyperlink w:anchor="passage-ii-13-26">
        <w:r>
          <w:rPr>
            <w:color w:val="000000"/>
          </w:rPr>
          <w:t xml:space="preserve">II.13.26</w:t>
        </w:r>
      </w:hyperlink>
      <w:r>
        <w:rPr>
          <w:b w:val="0"/>
          <w:i w:val="0"/>
        </w:rPr>
        <w:t xml:space="preserve">. See </w:t>
      </w:r>
      <w:hyperlink w:anchor="art-and-nature">
        <w:r>
          <w:rPr>
            <w:color w:val="000000"/>
          </w:rPr>
          <w:t xml:space="preserve">Art and nature</w:t>
        </w:r>
      </w:hyperlink>
      <w:r>
        <w:rPr>
          <w:b w:val="0"/>
          <w:i w:val="0"/>
        </w:rPr>
        <w:t>.</w:t>
      </w:r>
    </w:p>
    <w:p>
      <w:pPr>
        <w:keepNext/>
        <w:widowControl/>
      </w:pPr>
      <w:bookmarkStart w:id="996" w:name="latin-record-0745"/>
      <w:bookmarkEnd w:id="996"/>
      <w:r>
        <w:rPr>
          <w:b/>
          <w:i w:val="0"/>
        </w:rPr>
        <w:t>ne / nisi</w:t>
      </w:r>
      <w:r>
        <w:rPr>
          <w:b/>
          <w:i w:val="0"/>
        </w:rPr>
        <w:t>.</w:t>
      </w:r>
      <w:r>
        <w:rPr>
          <w:b w:val="0"/>
          <w:i w:val="0"/>
        </w:rPr>
        <w:t xml:space="preserve"> Printed forms: </w:t>
      </w:r>
      <w:r>
        <w:rPr>
          <w:b w:val="0"/>
          <w:i/>
        </w:rPr>
        <w:t>ne</w:t>
      </w:r>
      <w:r>
        <w:rPr>
          <w:b w:val="0"/>
          <w:i w:val="0"/>
        </w:rPr>
        <w:t xml:space="preserve">; </w:t>
      </w:r>
      <w:r>
        <w:rPr>
          <w:b w:val="0"/>
          <w:i/>
        </w:rPr>
        <w:t>nisi</w:t>
      </w:r>
      <w:r>
        <w:rPr>
          <w:b w:val="0"/>
          <w:i w:val="0"/>
        </w:rPr>
        <w:t>.</w:t>
      </w:r>
    </w:p>
    <w:p>
      <w:pPr>
        <w:widowControl/>
      </w:pPr>
      <w:r>
        <w:rPr>
          <w:b w:val="0"/>
          <w:i w:val="0"/>
        </w:rPr>
        <w:t xml:space="preserve">Lest or so that not; unless or except if. Lest an endless regress occur gives a reason for requiring unmixed form, while unless a higher cause strengthens quality restricts its ability to act independently. References: </w:t>
      </w:r>
      <w:hyperlink w:anchor="passage-i-3-21">
        <w:r>
          <w:rPr>
            <w:color w:val="000000"/>
          </w:rPr>
          <w:t xml:space="preserve">I.3.21</w:t>
        </w:r>
      </w:hyperlink>
      <w:r>
        <w:rPr>
          <w:b w:val="0"/>
          <w:i w:val="0"/>
        </w:rPr>
        <w:t xml:space="preserve">, </w:t>
      </w:r>
      <w:hyperlink w:anchor="passage-i-3-24">
        <w:r>
          <w:rPr>
            <w:color w:val="000000"/>
          </w:rPr>
          <w:t xml:space="preserve">I.3.24</w:t>
        </w:r>
      </w:hyperlink>
      <w:r>
        <w:rPr>
          <w:b w:val="0"/>
          <w:i w:val="0"/>
        </w:rPr>
        <w:t xml:space="preserve">. See </w:t>
      </w:r>
      <w:hyperlink w:anchor="precedence-and-causal-regress">
        <w:r>
          <w:rPr>
            <w:color w:val="000000"/>
          </w:rPr>
          <w:t xml:space="preserve">Precedence and causal regress</w:t>
        </w:r>
      </w:hyperlink>
      <w:r>
        <w:rPr>
          <w:b w:val="0"/>
          <w:i w:val="0"/>
        </w:rPr>
        <w:t>.</w:t>
      </w:r>
    </w:p>
    <w:p>
      <w:pPr>
        <w:keepNext/>
        <w:widowControl/>
      </w:pPr>
      <w:bookmarkStart w:id="997" w:name="latin-record-0746"/>
      <w:bookmarkEnd w:id="997"/>
      <w:r>
        <w:rPr>
          <w:b/>
          <w:i w:val="0"/>
        </w:rPr>
        <w:t>ne frustra / ne inane</w:t>
      </w:r>
      <w:r>
        <w:rPr>
          <w:b/>
          <w:i w:val="0"/>
        </w:rPr>
        <w:t>.</w:t>
      </w:r>
      <w:r>
        <w:rPr>
          <w:b w:val="0"/>
          <w:i w:val="0"/>
        </w:rPr>
        <w:t xml:space="preserve"> Printed forms: </w:t>
      </w:r>
      <w:r>
        <w:rPr>
          <w:b w:val="0"/>
          <w:i/>
        </w:rPr>
        <w:t>inane</w:t>
      </w:r>
      <w:r>
        <w:rPr>
          <w:b w:val="0"/>
          <w:i w:val="0"/>
        </w:rPr>
        <w:t xml:space="preserve">; </w:t>
      </w:r>
      <w:r>
        <w:rPr>
          <w:b w:val="0"/>
          <w:i/>
        </w:rPr>
        <w:t>ne frustra</w:t>
      </w:r>
      <w:r>
        <w:rPr>
          <w:b w:val="0"/>
          <w:i w:val="0"/>
        </w:rPr>
        <w:t>.</w:t>
      </w:r>
    </w:p>
    <w:p>
      <w:pPr>
        <w:widowControl/>
      </w:pPr>
      <w:r>
        <w:rPr>
          <w:b w:val="0"/>
          <w:i w:val="0"/>
        </w:rPr>
        <w:t xml:space="preserve">Lest a capacity be vain or empty. The realization principle is expressly applied to the principal order of the universe; it does not say every imaginable particular event must occur. References: </w:t>
      </w:r>
      <w:hyperlink w:anchor="passage-i-3-25">
        <w:r>
          <w:rPr>
            <w:color w:val="000000"/>
          </w:rPr>
          <w:t xml:space="preserve">I.3.25</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998" w:name="latin-record-0747"/>
      <w:bookmarkEnd w:id="998"/>
      <w:r>
        <w:rPr>
          <w:b/>
          <w:i w:val="0"/>
        </w:rPr>
        <w:t>necesse / oportere</w:t>
      </w:r>
      <w:r>
        <w:rPr>
          <w:b/>
          <w:i w:val="0"/>
        </w:rPr>
        <w:t>.</w:t>
      </w:r>
      <w:r>
        <w:rPr>
          <w:b w:val="0"/>
          <w:i w:val="0"/>
        </w:rPr>
        <w:t xml:space="preserve"> Printed forms: </w:t>
      </w:r>
      <w:r>
        <w:rPr>
          <w:b w:val="0"/>
          <w:i/>
        </w:rPr>
        <w:t>necessarium</w:t>
      </w:r>
      <w:r>
        <w:rPr>
          <w:b w:val="0"/>
          <w:i w:val="0"/>
        </w:rPr>
        <w:t xml:space="preserve">; </w:t>
      </w:r>
      <w:r>
        <w:rPr>
          <w:b w:val="0"/>
          <w:i/>
        </w:rPr>
        <w:t>oportet</w:t>
      </w:r>
      <w:r>
        <w:rPr>
          <w:b w:val="0"/>
          <w:i w:val="0"/>
        </w:rPr>
        <w:t>.</w:t>
      </w:r>
    </w:p>
    <w:p>
      <w:pPr>
        <w:widowControl/>
      </w:pPr>
      <w:r>
        <w:rPr>
          <w:b w:val="0"/>
          <w:i w:val="0"/>
        </w:rPr>
        <w:t xml:space="preserve">Necessary / it must or ought to be. These mark required premises or conclusions as well as the special divine necessity claim; not every occurrence names causal compulsion. References: </w:t>
      </w:r>
      <w:hyperlink w:anchor="passage-ii-11-1">
        <w:r>
          <w:rPr>
            <w:color w:val="000000"/>
          </w:rPr>
          <w:t xml:space="preserve">II.11.1</w:t>
        </w:r>
      </w:hyperlink>
      <w:r>
        <w:rPr>
          <w:b w:val="0"/>
          <w:i w:val="0"/>
        </w:rPr>
        <w:t xml:space="preserve">, </w:t>
      </w:r>
      <w:hyperlink w:anchor="passage-iii-2-8">
        <w:r>
          <w:rPr>
            <w:color w:val="000000"/>
          </w:rPr>
          <w:t xml:space="preserve">III.2.8</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999" w:name="latin-record-0748"/>
      <w:bookmarkEnd w:id="999"/>
      <w:r>
        <w:rPr>
          <w:b/>
          <w:i w:val="0"/>
        </w:rPr>
        <w:t>necessitas / necessario</w:t>
      </w:r>
      <w:r>
        <w:rPr>
          <w:b/>
          <w:i w:val="0"/>
        </w:rPr>
        <w:t>.</w:t>
      </w:r>
      <w:r>
        <w:rPr>
          <w:b w:val="0"/>
          <w:i w:val="0"/>
        </w:rPr>
        <w:t xml:space="preserve"> Printed forms: </w:t>
      </w:r>
      <w:r>
        <w:rPr>
          <w:b w:val="0"/>
          <w:i/>
        </w:rPr>
        <w:t>necessario</w:t>
      </w:r>
      <w:r>
        <w:rPr>
          <w:b w:val="0"/>
          <w:i w:val="0"/>
        </w:rPr>
        <w:t xml:space="preserve">; </w:t>
      </w:r>
      <w:r>
        <w:rPr>
          <w:b w:val="0"/>
          <w:i/>
        </w:rPr>
        <w:t>necessitas</w:t>
      </w:r>
      <w:r>
        <w:rPr>
          <w:b w:val="0"/>
          <w:i w:val="0"/>
        </w:rPr>
        <w:t xml:space="preserve">; </w:t>
      </w:r>
      <w:r>
        <w:rPr>
          <w:b w:val="0"/>
          <w:i/>
        </w:rPr>
        <w:t>necessitatem</w:t>
      </w:r>
      <w:r>
        <w:rPr>
          <w:b w:val="0"/>
          <w:i w:val="0"/>
        </w:rPr>
        <w:t>.</w:t>
      </w:r>
    </w:p>
    <w:p>
      <w:pPr>
        <w:widowControl/>
      </w:pPr>
      <w:r>
        <w:rPr>
          <w:b w:val="0"/>
          <w:i w:val="0"/>
        </w:rPr>
        <w:t xml:space="preserve">Necessity of being or being necessarily through oneself. God alone possesses unrestricted necessity; an angel’s additional property exposes received and therefore dependent being. References: </w:t>
      </w:r>
      <w:hyperlink w:anchor="passage-ii-7-9">
        <w:r>
          <w:rPr>
            <w:color w:val="000000"/>
          </w:rPr>
          <w:t xml:space="preserve">II.7.9</w:t>
        </w:r>
      </w:hyperlink>
      <w:r>
        <w:rPr>
          <w:b w:val="0"/>
          <w:i w:val="0"/>
        </w:rPr>
        <w:t xml:space="preserve">, </w:t>
      </w:r>
      <w:hyperlink w:anchor="passage-ii-7-11">
        <w:r>
          <w:rPr>
            <w:color w:val="000000"/>
          </w:rPr>
          <w:t xml:space="preserve">II.7.11</w:t>
        </w:r>
      </w:hyperlink>
      <w:r>
        <w:rPr>
          <w:b w:val="0"/>
          <w:i w:val="0"/>
        </w:rPr>
        <w:t xml:space="preserve">, </w:t>
      </w:r>
      <w:hyperlink w:anchor="passage-ii-7-15">
        <w:r>
          <w:rPr>
            <w:color w:val="000000"/>
          </w:rPr>
          <w:t xml:space="preserve">II.7.15</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1000" w:name="latin-record-0749"/>
      <w:bookmarkEnd w:id="1000"/>
      <w:r>
        <w:rPr>
          <w:b/>
          <w:i w:val="0"/>
        </w:rPr>
        <w:t>necessitas / oportere</w:t>
      </w:r>
      <w:r>
        <w:rPr>
          <w:b/>
          <w:i w:val="0"/>
        </w:rPr>
        <w:t>.</w:t>
      </w:r>
      <w:r>
        <w:rPr>
          <w:b w:val="0"/>
          <w:i w:val="0"/>
        </w:rPr>
        <w:t xml:space="preserve"> Printed forms: </w:t>
      </w:r>
      <w:r>
        <w:rPr>
          <w:b w:val="0"/>
          <w:i/>
        </w:rPr>
        <w:t>necessarium</w:t>
      </w:r>
      <w:r>
        <w:rPr>
          <w:b w:val="0"/>
          <w:i w:val="0"/>
        </w:rPr>
        <w:t xml:space="preserve">; </w:t>
      </w:r>
      <w:r>
        <w:rPr>
          <w:b w:val="0"/>
          <w:i/>
        </w:rPr>
        <w:t>necessitas</w:t>
      </w:r>
      <w:r>
        <w:rPr>
          <w:b w:val="0"/>
          <w:i w:val="0"/>
        </w:rPr>
        <w:t xml:space="preserve">; </w:t>
      </w:r>
      <w:r>
        <w:rPr>
          <w:b w:val="0"/>
          <w:i/>
        </w:rPr>
        <w:t>necessitatis</w:t>
      </w:r>
      <w:r>
        <w:rPr>
          <w:b w:val="0"/>
          <w:i w:val="0"/>
        </w:rPr>
        <w:t xml:space="preserve">; </w:t>
      </w:r>
      <w:r>
        <w:rPr>
          <w:b w:val="0"/>
          <w:i/>
        </w:rPr>
        <w:t>oportet</w:t>
      </w:r>
      <w:r>
        <w:rPr>
          <w:b w:val="0"/>
          <w:i w:val="0"/>
        </w:rPr>
        <w:t>.</w:t>
      </w:r>
    </w:p>
    <w:p>
      <w:pPr>
        <w:widowControl/>
      </w:pPr>
      <w:r>
        <w:rPr>
          <w:b w:val="0"/>
          <w:i w:val="0"/>
        </w:rPr>
        <w:t xml:space="preserve">Necessity; it is required or must be so. IV.1.84 rejects a lifeless necessity as the explanation of regular motion, substituting unerring art and wisdom. IV.2.2 nevertheless retains necessity alongside everlasting will in the attributed heavenly formula. Necessity therefore has a different explanatory scope from mechanical compulsion, and ordinary oportet marks required consequences. References: </w:t>
      </w:r>
      <w:hyperlink w:anchor="passage-iv-1-15">
        <w:r>
          <w:rPr>
            <w:color w:val="000000"/>
          </w:rPr>
          <w:t xml:space="preserve">IV.1.15</w:t>
        </w:r>
      </w:hyperlink>
      <w:r>
        <w:rPr>
          <w:b w:val="0"/>
          <w:i w:val="0"/>
        </w:rPr>
        <w:t xml:space="preserve">, </w:t>
      </w:r>
      <w:hyperlink w:anchor="passage-iv-1-44">
        <w:r>
          <w:rPr>
            <w:color w:val="000000"/>
          </w:rPr>
          <w:t xml:space="preserve">IV.1.44</w:t>
        </w:r>
      </w:hyperlink>
      <w:r>
        <w:rPr>
          <w:b w:val="0"/>
          <w:i w:val="0"/>
        </w:rPr>
        <w:t xml:space="preserve">, </w:t>
      </w:r>
      <w:hyperlink w:anchor="passage-iv-1-84">
        <w:r>
          <w:rPr>
            <w:color w:val="000000"/>
          </w:rPr>
          <w:t xml:space="preserve">IV.1.84</w:t>
        </w:r>
      </w:hyperlink>
      <w:r>
        <w:rPr>
          <w:b w:val="0"/>
          <w:i w:val="0"/>
        </w:rPr>
        <w:t xml:space="preserve">, </w:t>
      </w:r>
      <w:hyperlink w:anchor="passage-iv-2-2">
        <w:r>
          <w:rPr>
            <w:color w:val="000000"/>
          </w:rPr>
          <w:t xml:space="preserve">IV.2.2</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1001" w:name="latin-record-0750"/>
      <w:bookmarkEnd w:id="1001"/>
      <w:r>
        <w:rPr>
          <w:b/>
          <w:i w:val="0"/>
        </w:rPr>
        <w:t>necessitas and willing acceptance</w:t>
      </w:r>
      <w:r>
        <w:rPr>
          <w:b/>
          <w:i w:val="0"/>
        </w:rPr>
        <w:t>.</w:t>
      </w:r>
      <w:r>
        <w:rPr>
          <w:b w:val="0"/>
          <w:i w:val="0"/>
        </w:rPr>
        <w:t xml:space="preserve"> Printed forms: </w:t>
      </w:r>
      <w:r>
        <w:rPr>
          <w:b w:val="0"/>
          <w:i/>
        </w:rPr>
        <w:t>libertate</w:t>
      </w:r>
      <w:r>
        <w:rPr>
          <w:b w:val="0"/>
          <w:i w:val="0"/>
        </w:rPr>
        <w:t xml:space="preserve">; </w:t>
      </w:r>
      <w:r>
        <w:rPr>
          <w:b w:val="0"/>
          <w:i/>
        </w:rPr>
        <w:t>necessitas</w:t>
      </w:r>
      <w:r>
        <w:rPr>
          <w:b w:val="0"/>
          <w:i w:val="0"/>
        </w:rPr>
        <w:t xml:space="preserve">; </w:t>
      </w:r>
      <w:r>
        <w:rPr>
          <w:b w:val="0"/>
          <w:i/>
        </w:rPr>
        <w:t>voluntarium</w:t>
      </w:r>
      <w:r>
        <w:rPr>
          <w:b w:val="0"/>
          <w:i w:val="0"/>
        </w:rPr>
        <w:t>.</w:t>
      </w:r>
    </w:p>
    <w:p>
      <w:pPr>
        <w:widowControl/>
      </w:pPr>
      <w:r>
        <w:rPr>
          <w:b w:val="0"/>
          <w:i w:val="0"/>
        </w:rPr>
        <w:t xml:space="preserve">Necessity, freedom and voluntariness. The Good’s necessary dominion is said to be willingly embraced; the comparison concerns desire for good as such rather than forced assent to every particular judgement. References: </w:t>
      </w:r>
      <w:hyperlink w:anchor="passage-i-6-19">
        <w:r>
          <w:rPr>
            <w:color w:val="000000"/>
          </w:rPr>
          <w:t xml:space="preserve">I.6.19</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1002" w:name="latin-record-0751"/>
      <w:bookmarkEnd w:id="1002"/>
      <w:r>
        <w:rPr>
          <w:b/>
          <w:i w:val="0"/>
        </w:rPr>
        <w:t>necessitas naturae</w:t>
      </w:r>
      <w:r>
        <w:rPr>
          <w:b/>
          <w:i w:val="0"/>
        </w:rPr>
        <w:t>.</w:t>
      </w:r>
      <w:r>
        <w:rPr>
          <w:b w:val="0"/>
          <w:i w:val="0"/>
        </w:rPr>
        <w:t xml:space="preserve"> Printed forms: </w:t>
      </w:r>
      <w:r>
        <w:rPr>
          <w:b w:val="0"/>
          <w:i/>
        </w:rPr>
        <w:t>naturae suae necessitate</w:t>
      </w:r>
      <w:r>
        <w:rPr>
          <w:b w:val="0"/>
          <w:i w:val="0"/>
        </w:rPr>
        <w:t xml:space="preserve">; </w:t>
      </w:r>
      <w:r>
        <w:rPr>
          <w:b w:val="0"/>
          <w:i/>
        </w:rPr>
        <w:t>naturali quadam necessitate</w:t>
      </w:r>
      <w:r>
        <w:rPr>
          <w:b w:val="0"/>
          <w:i w:val="0"/>
        </w:rPr>
        <w:t>.</w:t>
      </w:r>
    </w:p>
    <w:p>
      <w:pPr>
        <w:widowControl/>
      </w:pPr>
      <w:r>
        <w:rPr>
          <w:b w:val="0"/>
          <w:i w:val="0"/>
        </w:rPr>
        <w:t xml:space="preserve">A nature’s fixed necessity of operation. The question is whether divine forms determine action as fire’s nature determines burning; Ficino rejects that analogy as sufficient. References: </w:t>
      </w:r>
      <w:hyperlink w:anchor="passage-ii-11-1">
        <w:r>
          <w:rPr>
            <w:color w:val="000000"/>
          </w:rPr>
          <w:t xml:space="preserve">II.11.1</w:t>
        </w:r>
      </w:hyperlink>
      <w:r>
        <w:rPr>
          <w:b w:val="0"/>
          <w:i w:val="0"/>
        </w:rPr>
        <w:t xml:space="preserve">, </w:t>
      </w:r>
      <w:hyperlink w:anchor="passage-ii-11-7">
        <w:r>
          <w:rPr>
            <w:color w:val="000000"/>
          </w:rPr>
          <w:t xml:space="preserve">II.11.7</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1003" w:name="latin-record-0752"/>
      <w:bookmarkEnd w:id="1003"/>
      <w:r>
        <w:rPr>
          <w:b/>
          <w:i w:val="0"/>
        </w:rPr>
        <w:t>nectar / ebrius / debacchari</w:t>
      </w:r>
      <w:r>
        <w:rPr>
          <w:b/>
          <w:i w:val="0"/>
        </w:rPr>
        <w:t>.</w:t>
      </w:r>
      <w:r>
        <w:rPr>
          <w:b w:val="0"/>
          <w:i w:val="0"/>
        </w:rPr>
        <w:t xml:space="preserve"> Printed forms: </w:t>
      </w:r>
      <w:r>
        <w:rPr>
          <w:b w:val="0"/>
          <w:i/>
        </w:rPr>
        <w:t>debacchantur</w:t>
      </w:r>
      <w:r>
        <w:rPr>
          <w:b w:val="0"/>
          <w:i w:val="0"/>
        </w:rPr>
        <w:t xml:space="preserve">; </w:t>
      </w:r>
      <w:r>
        <w:rPr>
          <w:b w:val="0"/>
          <w:i/>
        </w:rPr>
        <w:t>ebriae</w:t>
      </w:r>
      <w:r>
        <w:rPr>
          <w:b w:val="0"/>
          <w:i w:val="0"/>
        </w:rPr>
        <w:t xml:space="preserve">; </w:t>
      </w:r>
      <w:r>
        <w:rPr>
          <w:b w:val="0"/>
          <w:i/>
        </w:rPr>
        <w:t>nectare</w:t>
      </w:r>
      <w:r>
        <w:rPr>
          <w:b w:val="0"/>
          <w:i w:val="0"/>
        </w:rPr>
        <w:t>.</w:t>
      </w:r>
    </w:p>
    <w:p>
      <w:pPr>
        <w:widowControl/>
      </w:pPr>
      <w:r>
        <w:rPr>
          <w:b w:val="0"/>
          <w:i w:val="0"/>
        </w:rPr>
        <w:t xml:space="preserve">Nectar; intoxicated; to revel. The text interprets the imagery as the Muses’ powers filled with divine knowledge under their respective Bacchuses. References: </w:t>
      </w:r>
      <w:hyperlink w:anchor="passage-iv-1-95">
        <w:r>
          <w:rPr>
            <w:color w:val="000000"/>
          </w:rPr>
          <w:t xml:space="preserve">IV.1.95</w:t>
        </w:r>
      </w:hyperlink>
      <w:r>
        <w:rPr>
          <w:b w:val="0"/>
          <w:i w:val="0"/>
        </w:rPr>
        <w:t xml:space="preserve">. See </w:t>
      </w:r>
      <w:hyperlink w:anchor="bacchus-and-the-muses">
        <w:r>
          <w:rPr>
            <w:color w:val="000000"/>
          </w:rPr>
          <w:t xml:space="preserve">Bacchus and the Muses</w:t>
        </w:r>
      </w:hyperlink>
      <w:r>
        <w:rPr>
          <w:b w:val="0"/>
          <w:i w:val="0"/>
        </w:rPr>
        <w:t>.</w:t>
      </w:r>
    </w:p>
    <w:p>
      <w:pPr>
        <w:keepNext/>
        <w:widowControl/>
      </w:pPr>
      <w:bookmarkStart w:id="1004" w:name="latin-record-0753"/>
      <w:bookmarkEnd w:id="1004"/>
      <w:r>
        <w:rPr>
          <w:b/>
          <w:i w:val="0"/>
        </w:rPr>
        <w:t>negare</w:t>
      </w:r>
      <w:r>
        <w:rPr>
          <w:b/>
          <w:i w:val="0"/>
        </w:rPr>
        <w:t>.</w:t>
      </w:r>
      <w:r>
        <w:rPr>
          <w:b w:val="0"/>
          <w:i w:val="0"/>
        </w:rPr>
        <w:t xml:space="preserve"> Printed forms: </w:t>
      </w:r>
      <w:r>
        <w:rPr>
          <w:b w:val="0"/>
          <w:i/>
        </w:rPr>
        <w:t>negabunt</w:t>
      </w:r>
      <w:r>
        <w:rPr>
          <w:b w:val="0"/>
          <w:i w:val="0"/>
        </w:rPr>
        <w:t xml:space="preserve">; </w:t>
      </w:r>
      <w:r>
        <w:rPr>
          <w:b w:val="0"/>
          <w:i/>
        </w:rPr>
        <w:t>negant</w:t>
      </w:r>
      <w:r>
        <w:rPr>
          <w:b w:val="0"/>
          <w:i w:val="0"/>
        </w:rPr>
        <w:t xml:space="preserve">; </w:t>
      </w:r>
      <w:r>
        <w:rPr>
          <w:b w:val="0"/>
          <w:i/>
        </w:rPr>
        <w:t>neget</w:t>
      </w:r>
      <w:r>
        <w:rPr>
          <w:b w:val="0"/>
          <w:i w:val="0"/>
        </w:rPr>
        <w:t>.</w:t>
      </w:r>
    </w:p>
    <w:p>
      <w:pPr>
        <w:widowControl/>
      </w:pPr>
      <w:r>
        <w:rPr>
          <w:b w:val="0"/>
          <w:i w:val="0"/>
        </w:rPr>
        <w:t xml:space="preserve">To deny a claim or withhold an identification. The Platonists deny that cosmic life is God; opponents deny life to whole elements; a rhetorical question challenges denial of celestial animation. References: </w:t>
      </w:r>
      <w:hyperlink w:anchor="passage-iv-1-22">
        <w:r>
          <w:rPr>
            <w:color w:val="000000"/>
          </w:rPr>
          <w:t xml:space="preserve">IV.1.22</w:t>
        </w:r>
      </w:hyperlink>
      <w:r>
        <w:rPr>
          <w:b w:val="0"/>
          <w:i w:val="0"/>
        </w:rPr>
        <w:t xml:space="preserve">, </w:t>
      </w:r>
      <w:hyperlink w:anchor="passage-iv-1-71">
        <w:r>
          <w:rPr>
            <w:color w:val="000000"/>
          </w:rPr>
          <w:t xml:space="preserve">IV.1.71</w:t>
        </w:r>
      </w:hyperlink>
      <w:r>
        <w:rPr>
          <w:b w:val="0"/>
          <w:i w:val="0"/>
        </w:rPr>
        <w:t xml:space="preserve">, </w:t>
      </w:r>
      <w:hyperlink w:anchor="passage-iv-1-96">
        <w:r>
          <w:rPr>
            <w:color w:val="000000"/>
          </w:rPr>
          <w:t xml:space="preserve">IV.1.96</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1005" w:name="latin-record-0754"/>
      <w:bookmarkEnd w:id="1005"/>
      <w:r>
        <w:rPr>
          <w:b/>
          <w:i w:val="0"/>
        </w:rPr>
        <w:t>neglegere</w:t>
      </w:r>
      <w:r>
        <w:rPr>
          <w:b/>
          <w:i w:val="0"/>
        </w:rPr>
        <w:t>.</w:t>
      </w:r>
      <w:r>
        <w:rPr>
          <w:b w:val="0"/>
          <w:i w:val="0"/>
        </w:rPr>
        <w:t xml:space="preserve"> Printed forms: </w:t>
      </w:r>
      <w:r>
        <w:rPr>
          <w:b w:val="0"/>
          <w:i/>
        </w:rPr>
        <w:t>negligit</w:t>
      </w:r>
      <w:r>
        <w:rPr>
          <w:b w:val="0"/>
          <w:i w:val="0"/>
        </w:rPr>
        <w:t>.</w:t>
      </w:r>
    </w:p>
    <w:p>
      <w:pPr>
        <w:widowControl/>
      </w:pPr>
      <w:r>
        <w:rPr>
          <w:b w:val="0"/>
          <w:i w:val="0"/>
        </w:rPr>
        <w:t xml:space="preserve">Neglect or fail to attend to. Care for the complete work is said to exclude neglect of any constituent part. The printed form has negl-, not the fuller lemma spelling. References: </w:t>
      </w:r>
      <w:hyperlink w:anchor="passage-ii-13-21">
        <w:r>
          <w:rPr>
            <w:color w:val="000000"/>
          </w:rPr>
          <w:t xml:space="preserve">II.13.21</w:t>
        </w:r>
      </w:hyperlink>
      <w:r>
        <w:rPr>
          <w:b w:val="0"/>
          <w:i w:val="0"/>
        </w:rPr>
        <w:t xml:space="preserve">. See </w:t>
      </w:r>
      <w:hyperlink w:anchor="care-and-custody">
        <w:r>
          <w:rPr>
            <w:color w:val="000000"/>
          </w:rPr>
          <w:t xml:space="preserve">Care and custody</w:t>
        </w:r>
      </w:hyperlink>
      <w:r>
        <w:rPr>
          <w:b w:val="0"/>
          <w:i w:val="0"/>
        </w:rPr>
        <w:t>.</w:t>
      </w:r>
    </w:p>
    <w:p>
      <w:pPr>
        <w:keepNext/>
        <w:widowControl/>
      </w:pPr>
      <w:bookmarkStart w:id="1006" w:name="latin-record-0755"/>
      <w:bookmarkEnd w:id="1006"/>
      <w:r>
        <w:rPr>
          <w:b/>
          <w:i w:val="0"/>
        </w:rPr>
        <w:t>neque … neque</w:t>
      </w:r>
      <w:r>
        <w:rPr>
          <w:b/>
          <w:i w:val="0"/>
        </w:rPr>
        <w:t>.</w:t>
      </w:r>
      <w:r>
        <w:rPr>
          <w:b w:val="0"/>
          <w:i w:val="0"/>
        </w:rPr>
        <w:t xml:space="preserve"> Printed forms: </w:t>
      </w:r>
      <w:r>
        <w:rPr>
          <w:b w:val="0"/>
          <w:i/>
        </w:rPr>
        <w:t>Neque</w:t>
      </w:r>
      <w:r>
        <w:rPr>
          <w:b w:val="0"/>
          <w:i w:val="0"/>
        </w:rPr>
        <w:t xml:space="preserve">; </w:t>
      </w:r>
      <w:r>
        <w:rPr>
          <w:b w:val="0"/>
          <w:i/>
        </w:rPr>
        <w:t>neque</w:t>
      </w:r>
      <w:r>
        <w:rPr>
          <w:b w:val="0"/>
          <w:i w:val="0"/>
        </w:rPr>
        <w:t>.</w:t>
      </w:r>
    </w:p>
    <w:p>
      <w:pPr>
        <w:widowControl/>
      </w:pPr>
      <w:r>
        <w:rPr>
          <w:b w:val="0"/>
          <w:i w:val="0"/>
        </w:rPr>
        <w:t xml:space="preserve">Neither … nor, coordinating distinct exclusions. The third essence’s freedom from divisibility, subject-dependence, contrariety and spatial-temporal restriction is accumulated through repeated negatives; the list should not be reduced to one generic immateriality claim. References: </w:t>
      </w:r>
      <w:hyperlink w:anchor="passage-i-3-33">
        <w:r>
          <w:rPr>
            <w:color w:val="000000"/>
          </w:rPr>
          <w:t xml:space="preserve">I.3.33</w:t>
        </w:r>
      </w:hyperlink>
      <w:r>
        <w:rPr>
          <w:b w:val="0"/>
          <w:i w:val="0"/>
        </w:rPr>
        <w:t xml:space="preserve">. See </w:t>
      </w:r>
      <w:hyperlink w:anchor="incorporeal-and-immaterial">
        <w:r>
          <w:rPr>
            <w:color w:val="000000"/>
          </w:rPr>
          <w:t xml:space="preserve">Incorporeal and immaterial</w:t>
        </w:r>
      </w:hyperlink>
      <w:r>
        <w:rPr>
          <w:b w:val="0"/>
          <w:i w:val="0"/>
        </w:rPr>
        <w:t>.</w:t>
      </w:r>
    </w:p>
    <w:p>
      <w:pPr>
        <w:keepNext/>
        <w:widowControl/>
      </w:pPr>
      <w:bookmarkStart w:id="1007" w:name="latin-record-0756"/>
      <w:bookmarkEnd w:id="1007"/>
      <w:r>
        <w:rPr>
          <w:b/>
          <w:i w:val="0"/>
        </w:rPr>
        <w:t>Nereides</w:t>
      </w:r>
      <w:r>
        <w:rPr>
          <w:b/>
          <w:i w:val="0"/>
        </w:rPr>
        <w:t>.</w:t>
      </w:r>
      <w:r>
        <w:rPr>
          <w:b w:val="0"/>
          <w:i w:val="0"/>
        </w:rPr>
        <w:t xml:space="preserve"> Printed forms: </w:t>
      </w:r>
      <w:r>
        <w:rPr>
          <w:b w:val="0"/>
          <w:i/>
        </w:rPr>
        <w:t>Nereides</w:t>
      </w:r>
      <w:r>
        <w:rPr>
          <w:b w:val="0"/>
          <w:i w:val="0"/>
        </w:rPr>
        <w:t>.</w:t>
      </w:r>
    </w:p>
    <w:p>
      <w:pPr>
        <w:widowControl/>
      </w:pPr>
      <w:r>
        <w:rPr>
          <w:b w:val="0"/>
          <w:i w:val="0"/>
        </w:rPr>
        <w:t xml:space="preserve">The Orphic name given here to aqueous daemons. The named class occupies finer watery exhalations; the following visibility and tangibility claims have separate attributed sources. References: </w:t>
      </w:r>
      <w:hyperlink w:anchor="passage-iv-1-39">
        <w:r>
          <w:rPr>
            <w:color w:val="000000"/>
          </w:rPr>
          <w:t xml:space="preserve">IV.1.39</w:t>
        </w:r>
      </w:hyperlink>
      <w:r>
        <w:rPr>
          <w:b w:val="0"/>
          <w:i w:val="0"/>
        </w:rPr>
        <w:t xml:space="preserve">. See </w:t>
      </w:r>
      <w:hyperlink w:anchor="daemons">
        <w:r>
          <w:rPr>
            <w:color w:val="000000"/>
          </w:rPr>
          <w:t xml:space="preserve">Daemons</w:t>
        </w:r>
      </w:hyperlink>
      <w:r>
        <w:rPr>
          <w:b w:val="0"/>
          <w:i w:val="0"/>
        </w:rPr>
        <w:t>.</w:t>
      </w:r>
    </w:p>
    <w:p>
      <w:pPr>
        <w:keepNext/>
        <w:widowControl/>
      </w:pPr>
      <w:bookmarkStart w:id="1008" w:name="latin-record-0757"/>
      <w:bookmarkEnd w:id="1008"/>
      <w:r>
        <w:rPr>
          <w:b/>
          <w:i w:val="0"/>
        </w:rPr>
        <w:t>nervus / nucha</w:t>
      </w:r>
      <w:r>
        <w:rPr>
          <w:b/>
          <w:i w:val="0"/>
        </w:rPr>
        <w:t>.</w:t>
      </w:r>
      <w:r>
        <w:rPr>
          <w:b w:val="0"/>
          <w:i w:val="0"/>
        </w:rPr>
        <w:t xml:space="preserve"> Printed forms: </w:t>
      </w:r>
      <w:r>
        <w:rPr>
          <w:b w:val="0"/>
          <w:i/>
        </w:rPr>
        <w:t>nervum</w:t>
      </w:r>
      <w:r>
        <w:rPr>
          <w:b w:val="0"/>
          <w:i w:val="0"/>
        </w:rPr>
        <w:t xml:space="preserve">; </w:t>
      </w:r>
      <w:r>
        <w:rPr>
          <w:b w:val="0"/>
          <w:i/>
        </w:rPr>
        <w:t>nucam</w:t>
      </w:r>
      <w:r>
        <w:rPr>
          <w:b w:val="0"/>
          <w:i w:val="0"/>
        </w:rPr>
        <w:t>.</w:t>
      </w:r>
    </w:p>
    <w:p>
      <w:pPr>
        <w:widowControl/>
      </w:pPr>
      <w:r>
        <w:rPr>
          <w:b w:val="0"/>
          <w:i w:val="0"/>
        </w:rPr>
        <w:t xml:space="preserve">Sinew or nerve / nape of the neck. Ficino invokes a reported animal mechanism in which one pull moves many members, before the Florentine device supplies another analogy. References: </w:t>
      </w:r>
      <w:hyperlink w:anchor="passage-ii-13-12">
        <w:r>
          <w:rPr>
            <w:color w:val="000000"/>
          </w:rPr>
          <w:t xml:space="preserve">II.13.12</w:t>
        </w:r>
      </w:hyperlink>
      <w:r>
        <w:rPr>
          <w:b w:val="0"/>
          <w:i w:val="0"/>
        </w:rPr>
        <w:t xml:space="preserve">. See </w:t>
      </w:r>
      <w:hyperlink w:anchor="florentine-mechanism">
        <w:r>
          <w:rPr>
            <w:color w:val="000000"/>
          </w:rPr>
          <w:t xml:space="preserve">Florentine mechanism</w:t>
        </w:r>
      </w:hyperlink>
      <w:r>
        <w:rPr>
          <w:b w:val="0"/>
          <w:i w:val="0"/>
        </w:rPr>
        <w:t>.</w:t>
      </w:r>
    </w:p>
    <w:p>
      <w:pPr>
        <w:keepNext/>
        <w:widowControl/>
      </w:pPr>
      <w:bookmarkStart w:id="1009" w:name="latin-record-0758"/>
      <w:bookmarkEnd w:id="1009"/>
      <w:r>
        <w:rPr>
          <w:b/>
          <w:i w:val="0"/>
        </w:rPr>
        <w:t>nescire quiescere</w:t>
      </w:r>
      <w:r>
        <w:rPr>
          <w:b/>
          <w:i w:val="0"/>
        </w:rPr>
        <w:t>.</w:t>
      </w:r>
      <w:r>
        <w:rPr>
          <w:b w:val="0"/>
          <w:i w:val="0"/>
        </w:rPr>
        <w:t xml:space="preserve"> Printed forms: </w:t>
      </w:r>
      <w:r>
        <w:rPr>
          <w:b w:val="0"/>
          <w:i/>
        </w:rPr>
        <w:t>nescit quiescere</w:t>
      </w:r>
      <w:r>
        <w:rPr>
          <w:b w:val="0"/>
          <w:i w:val="0"/>
        </w:rPr>
        <w:t>.</w:t>
      </w:r>
    </w:p>
    <w:p>
      <w:pPr>
        <w:widowControl/>
      </w:pPr>
      <w:r>
        <w:rPr>
          <w:b w:val="0"/>
          <w:i w:val="0"/>
        </w:rPr>
        <w:t xml:space="preserve">To know no rest. The continuing soul-motion and refusal to abandon natural place jointly motivate rotation within a finite bodily region. References: </w:t>
      </w:r>
      <w:hyperlink w:anchor="passage-iv-2-22">
        <w:r>
          <w:rPr>
            <w:color w:val="000000"/>
          </w:rPr>
          <w:t xml:space="preserve">IV.2.22</w:t>
        </w:r>
      </w:hyperlink>
      <w:r>
        <w:rPr>
          <w:b w:val="0"/>
          <w:i w:val="0"/>
        </w:rPr>
        <w:t xml:space="preserve">. See </w:t>
      </w:r>
      <w:hyperlink w:anchor="circularity-and-return">
        <w:r>
          <w:rPr>
            <w:color w:val="000000"/>
          </w:rPr>
          <w:t xml:space="preserve">Circularity and return</w:t>
        </w:r>
      </w:hyperlink>
      <w:r>
        <w:rPr>
          <w:b w:val="0"/>
          <w:i w:val="0"/>
        </w:rPr>
        <w:t>.</w:t>
      </w:r>
    </w:p>
    <w:p>
      <w:pPr>
        <w:keepNext/>
        <w:widowControl/>
      </w:pPr>
      <w:bookmarkStart w:id="1010" w:name="latin-record-0759"/>
      <w:bookmarkEnd w:id="1010"/>
      <w:r>
        <w:rPr>
          <w:b/>
          <w:i w:val="0"/>
        </w:rPr>
        <w:t>nihil / non ens</w:t>
      </w:r>
      <w:r>
        <w:rPr>
          <w:b/>
          <w:i w:val="0"/>
        </w:rPr>
        <w:t>.</w:t>
      </w:r>
      <w:r>
        <w:rPr>
          <w:b w:val="0"/>
          <w:i w:val="0"/>
        </w:rPr>
        <w:t xml:space="preserve"> Printed forms: </w:t>
      </w:r>
      <w:r>
        <w:rPr>
          <w:b w:val="0"/>
          <w:i/>
        </w:rPr>
        <w:t>Nihil</w:t>
      </w:r>
      <w:r>
        <w:rPr>
          <w:b w:val="0"/>
          <w:i w:val="0"/>
        </w:rPr>
        <w:t xml:space="preserve">; </w:t>
      </w:r>
      <w:r>
        <w:rPr>
          <w:b w:val="0"/>
          <w:i/>
        </w:rPr>
        <w:t>non ens</w:t>
      </w:r>
      <w:r>
        <w:rPr>
          <w:b w:val="0"/>
          <w:i w:val="0"/>
        </w:rPr>
        <w:t>.</w:t>
      </w:r>
    </w:p>
    <w:p>
      <w:pPr>
        <w:widowControl/>
      </w:pPr>
      <w:r>
        <w:rPr>
          <w:b w:val="0"/>
          <w:i w:val="0"/>
        </w:rPr>
        <w:t xml:space="preserve">Nothing / nonbeing in the qualified expression. The modal argument identifies contradiction with the character of nonbeing, not with a receptive matter awaiting form. References: </w:t>
      </w:r>
      <w:hyperlink w:anchor="passage-ii-12-16">
        <w:r>
          <w:rPr>
            <w:color w:val="000000"/>
          </w:rPr>
          <w:t xml:space="preserve">II.12.16</w:t>
        </w:r>
      </w:hyperlink>
      <w:r>
        <w:rPr>
          <w:b w:val="0"/>
          <w:i w:val="0"/>
        </w:rPr>
        <w:t xml:space="preserve">, </w:t>
      </w:r>
      <w:hyperlink w:anchor="passage-ii-12-17">
        <w:r>
          <w:rPr>
            <w:color w:val="000000"/>
          </w:rPr>
          <w:t xml:space="preserve">II.12.17</w:t>
        </w:r>
      </w:hyperlink>
      <w:r>
        <w:rPr>
          <w:b w:val="0"/>
          <w:i w:val="0"/>
        </w:rPr>
        <w:t xml:space="preserve">. See </w:t>
      </w:r>
      <w:hyperlink w:anchor="nothing-and-nonbeing">
        <w:r>
          <w:rPr>
            <w:color w:val="000000"/>
          </w:rPr>
          <w:t xml:space="preserve">Nothing and nonbeing</w:t>
        </w:r>
      </w:hyperlink>
      <w:r>
        <w:rPr>
          <w:b w:val="0"/>
          <w:i w:val="0"/>
        </w:rPr>
        <w:t>.</w:t>
      </w:r>
    </w:p>
    <w:p>
      <w:pPr>
        <w:keepNext/>
        <w:widowControl/>
      </w:pPr>
      <w:bookmarkStart w:id="1011" w:name="latin-record-0760"/>
      <w:bookmarkEnd w:id="1011"/>
      <w:r>
        <w:rPr>
          <w:b/>
          <w:i w:val="0"/>
        </w:rPr>
        <w:t>nihil / non esse</w:t>
      </w:r>
      <w:r>
        <w:rPr>
          <w:b/>
          <w:i w:val="0"/>
        </w:rPr>
        <w:t>.</w:t>
      </w:r>
      <w:r>
        <w:rPr>
          <w:b w:val="0"/>
          <w:i w:val="0"/>
        </w:rPr>
        <w:t xml:space="preserve"> Printed forms: </w:t>
      </w:r>
      <w:r>
        <w:rPr>
          <w:b w:val="0"/>
          <w:i/>
        </w:rPr>
        <w:t>nihil</w:t>
      </w:r>
      <w:r>
        <w:rPr>
          <w:b w:val="0"/>
          <w:i w:val="0"/>
        </w:rPr>
        <w:t xml:space="preserve">; </w:t>
      </w:r>
      <w:r>
        <w:rPr>
          <w:b w:val="0"/>
          <w:i/>
        </w:rPr>
        <w:t>nihilo</w:t>
      </w:r>
      <w:r>
        <w:rPr>
          <w:b w:val="0"/>
          <w:i w:val="0"/>
        </w:rPr>
        <w:t xml:space="preserve">; </w:t>
      </w:r>
      <w:r>
        <w:rPr>
          <w:b w:val="0"/>
          <w:i/>
        </w:rPr>
        <w:t>nihilum</w:t>
      </w:r>
      <w:r>
        <w:rPr>
          <w:b w:val="0"/>
          <w:i w:val="0"/>
        </w:rPr>
        <w:t xml:space="preserve">; </w:t>
      </w:r>
      <w:r>
        <w:rPr>
          <w:b w:val="0"/>
          <w:i/>
        </w:rPr>
        <w:t>non esse</w:t>
      </w:r>
      <w:r>
        <w:rPr>
          <w:b w:val="0"/>
          <w:i w:val="0"/>
        </w:rPr>
        <w:t>.</w:t>
      </w:r>
    </w:p>
    <w:p>
      <w:pPr>
        <w:widowControl/>
      </w:pPr>
      <w:r>
        <w:rPr>
          <w:b w:val="0"/>
          <w:i w:val="0"/>
        </w:rPr>
        <w:t xml:space="preserve">Nothing or nonbeing, distinguished from a receptive thing lacking one determination. Pure nothing contains no capacity to receive being; an effect without its cause would not exist. References: </w:t>
      </w:r>
      <w:hyperlink w:anchor="passage-ii-4-2">
        <w:r>
          <w:rPr>
            <w:color w:val="000000"/>
          </w:rPr>
          <w:t xml:space="preserve">II.4.2</w:t>
        </w:r>
      </w:hyperlink>
      <w:r>
        <w:rPr>
          <w:b w:val="0"/>
          <w:i w:val="0"/>
        </w:rPr>
        <w:t xml:space="preserve">, </w:t>
      </w:r>
      <w:hyperlink w:anchor="passage-ii-4-3">
        <w:r>
          <w:rPr>
            <w:color w:val="000000"/>
          </w:rPr>
          <w:t xml:space="preserve">II.4.3</w:t>
        </w:r>
      </w:hyperlink>
      <w:r>
        <w:rPr>
          <w:b w:val="0"/>
          <w:i w:val="0"/>
        </w:rPr>
        <w:t xml:space="preserve">, </w:t>
      </w:r>
      <w:hyperlink w:anchor="passage-ii-4-5">
        <w:r>
          <w:rPr>
            <w:color w:val="000000"/>
          </w:rPr>
          <w:t xml:space="preserve">II.4.5</w:t>
        </w:r>
      </w:hyperlink>
      <w:r>
        <w:rPr>
          <w:b w:val="0"/>
          <w:i w:val="0"/>
        </w:rPr>
        <w:t xml:space="preserve">, </w:t>
      </w:r>
      <w:hyperlink w:anchor="passage-ii-7-20">
        <w:r>
          <w:rPr>
            <w:color w:val="000000"/>
          </w:rPr>
          <w:t xml:space="preserve">II.7.20</w:t>
        </w:r>
      </w:hyperlink>
      <w:r>
        <w:rPr>
          <w:b w:val="0"/>
          <w:i w:val="0"/>
        </w:rPr>
        <w:t xml:space="preserve">. See </w:t>
      </w:r>
      <w:hyperlink w:anchor="nothing-and-nonbeing">
        <w:r>
          <w:rPr>
            <w:color w:val="000000"/>
          </w:rPr>
          <w:t xml:space="preserve">Nothing and nonbeing</w:t>
        </w:r>
      </w:hyperlink>
      <w:r>
        <w:rPr>
          <w:b w:val="0"/>
          <w:i w:val="0"/>
        </w:rPr>
        <w:t>.</w:t>
      </w:r>
    </w:p>
    <w:p>
      <w:pPr>
        <w:keepNext/>
        <w:widowControl/>
      </w:pPr>
      <w:bookmarkStart w:id="1012" w:name="latin-record-0761"/>
      <w:bookmarkEnd w:id="1012"/>
      <w:r>
        <w:rPr>
          <w:b/>
          <w:i w:val="0"/>
        </w:rPr>
        <w:t>nihilo proximus</w:t>
      </w:r>
      <w:r>
        <w:rPr>
          <w:b/>
          <w:i w:val="0"/>
        </w:rPr>
        <w:t>.</w:t>
      </w:r>
      <w:r>
        <w:rPr>
          <w:b w:val="0"/>
          <w:i w:val="0"/>
        </w:rPr>
        <w:t xml:space="preserve"> Printed forms: </w:t>
      </w:r>
      <w:r>
        <w:rPr>
          <w:b w:val="0"/>
          <w:i/>
        </w:rPr>
        <w:t>nihilo proximam</w:t>
      </w:r>
      <w:r>
        <w:rPr>
          <w:b w:val="0"/>
          <w:i w:val="0"/>
        </w:rPr>
        <w:t>.</w:t>
      </w:r>
    </w:p>
    <w:p>
      <w:pPr>
        <w:widowControl/>
      </w:pPr>
      <w:r>
        <w:rPr>
          <w:b w:val="0"/>
          <w:i w:val="0"/>
        </w:rPr>
        <w:t xml:space="preserve">Next to nothing, distinguished from nothing. Matter’s extreme passivity motivates the comparison; Ficino explicitly denies that matter is simply nothing. References: </w:t>
      </w:r>
      <w:hyperlink w:anchor="passage-i-3-19">
        <w:r>
          <w:rPr>
            <w:color w:val="000000"/>
          </w:rPr>
          <w:t xml:space="preserve">I.3.19</w:t>
        </w:r>
      </w:hyperlink>
      <w:r>
        <w:rPr>
          <w:b w:val="0"/>
          <w:i w:val="0"/>
        </w:rPr>
        <w:t xml:space="preserve">. See </w:t>
      </w:r>
      <w:hyperlink w:anchor="nothing-and-nonbeing">
        <w:r>
          <w:rPr>
            <w:color w:val="000000"/>
          </w:rPr>
          <w:t xml:space="preserve">Nothing and nonbeing</w:t>
        </w:r>
      </w:hyperlink>
      <w:r>
        <w:rPr>
          <w:b w:val="0"/>
          <w:i w:val="0"/>
        </w:rPr>
        <w:t>.</w:t>
      </w:r>
    </w:p>
    <w:p>
      <w:pPr>
        <w:keepNext/>
        <w:widowControl/>
      </w:pPr>
      <w:bookmarkStart w:id="1013" w:name="latin-record-0762"/>
      <w:bookmarkEnd w:id="1013"/>
      <w:r>
        <w:rPr>
          <w:b/>
          <w:i w:val="0"/>
        </w:rPr>
        <w:t>nixus / inniti</w:t>
      </w:r>
      <w:r>
        <w:rPr>
          <w:b/>
          <w:i w:val="0"/>
        </w:rPr>
        <w:t>.</w:t>
      </w:r>
      <w:r>
        <w:rPr>
          <w:b w:val="0"/>
          <w:i w:val="0"/>
        </w:rPr>
        <w:t xml:space="preserve"> Printed forms: </w:t>
      </w:r>
      <w:r>
        <w:rPr>
          <w:b w:val="0"/>
          <w:i/>
        </w:rPr>
        <w:t>innititur</w:t>
      </w:r>
      <w:r>
        <w:rPr>
          <w:b w:val="0"/>
          <w:i w:val="0"/>
        </w:rPr>
        <w:t xml:space="preserve">; </w:t>
      </w:r>
      <w:r>
        <w:rPr>
          <w:b w:val="0"/>
          <w:i/>
        </w:rPr>
        <w:t>nixus</w:t>
      </w:r>
      <w:r>
        <w:rPr>
          <w:b w:val="0"/>
          <w:i w:val="0"/>
        </w:rPr>
        <w:t>.</w:t>
      </w:r>
    </w:p>
    <w:p>
      <w:pPr>
        <w:widowControl/>
      </w:pPr>
      <w:r>
        <w:rPr>
          <w:b w:val="0"/>
          <w:i w:val="0"/>
        </w:rPr>
        <w:t xml:space="preserve">Striving or directed exertion / rest or lean upon. Divine activity’s entire orientation is toward itself; the metaphor must remain within the attributed account. References: </w:t>
      </w:r>
      <w:hyperlink w:anchor="passage-ii-12-10">
        <w:r>
          <w:rPr>
            <w:color w:val="000000"/>
          </w:rPr>
          <w:t xml:space="preserve">II.12.10</w:t>
        </w:r>
      </w:hyperlink>
      <w:r>
        <w:rPr>
          <w:b w:val="0"/>
          <w:i w:val="0"/>
        </w:rPr>
        <w:t xml:space="preserve">, </w:t>
      </w:r>
      <w:hyperlink w:anchor="passage-ii-12-11">
        <w:r>
          <w:rPr>
            <w:color w:val="000000"/>
          </w:rPr>
          <w:t xml:space="preserve">II.12.11</w:t>
        </w:r>
      </w:hyperlink>
      <w:r>
        <w:rPr>
          <w:b w:val="0"/>
          <w:i w:val="0"/>
        </w:rPr>
        <w:t xml:space="preserve">. See </w:t>
      </w:r>
      <w:hyperlink w:anchor="self-production-and-reservation">
        <w:r>
          <w:rPr>
            <w:color w:val="000000"/>
          </w:rPr>
          <w:t xml:space="preserve">Self-production and reservation</w:t>
        </w:r>
      </w:hyperlink>
      <w:r>
        <w:rPr>
          <w:b w:val="0"/>
          <w:i w:val="0"/>
        </w:rPr>
        <w:t>.</w:t>
      </w:r>
    </w:p>
    <w:p>
      <w:pPr>
        <w:keepNext/>
        <w:widowControl/>
      </w:pPr>
      <w:bookmarkStart w:id="1014" w:name="latin-record-0763"/>
      <w:bookmarkEnd w:id="1014"/>
      <w:r>
        <w:rPr>
          <w:b/>
          <w:i w:val="0"/>
        </w:rPr>
        <w:t>nixus / niti</w:t>
      </w:r>
      <w:r>
        <w:rPr>
          <w:b/>
          <w:i w:val="0"/>
        </w:rPr>
        <w:t>.</w:t>
      </w:r>
      <w:r>
        <w:rPr>
          <w:b w:val="0"/>
          <w:i w:val="0"/>
        </w:rPr>
        <w:t xml:space="preserve"> Printed forms: </w:t>
      </w:r>
      <w:r>
        <w:rPr>
          <w:b w:val="0"/>
          <w:i/>
        </w:rPr>
        <w:t>nititur</w:t>
      </w:r>
      <w:r>
        <w:rPr>
          <w:b w:val="0"/>
          <w:i w:val="0"/>
        </w:rPr>
        <w:t xml:space="preserve">; </w:t>
      </w:r>
      <w:r>
        <w:rPr>
          <w:b w:val="0"/>
          <w:i/>
        </w:rPr>
        <w:t>nixu</w:t>
      </w:r>
      <w:r>
        <w:rPr>
          <w:b w:val="0"/>
          <w:i w:val="0"/>
        </w:rPr>
        <w:t>.</w:t>
      </w:r>
    </w:p>
    <w:p>
      <w:pPr>
        <w:widowControl/>
      </w:pPr>
      <w:r>
        <w:rPr>
          <w:b w:val="0"/>
          <w:i w:val="0"/>
        </w:rPr>
        <w:t xml:space="preserve">Manifold striving; pressing toward actuality. The lower power cannot actualize every seed together and therefore runs through them in succession. References: </w:t>
      </w:r>
      <w:hyperlink w:anchor="passage-iv-2-12">
        <w:r>
          <w:rPr>
            <w:color w:val="000000"/>
          </w:rPr>
          <w:t xml:space="preserve">IV.2.12</w:t>
        </w:r>
      </w:hyperlink>
      <w:r>
        <w:rPr>
          <w:b w:val="0"/>
          <w:i w:val="0"/>
        </w:rPr>
        <w:t xml:space="preserve">. See </w:t>
      </w:r>
      <w:hyperlink w:anchor="striving-and-enjoyment">
        <w:r>
          <w:rPr>
            <w:color w:val="000000"/>
          </w:rPr>
          <w:t xml:space="preserve">Striving and enjoyment</w:t>
        </w:r>
      </w:hyperlink>
      <w:r>
        <w:rPr>
          <w:b w:val="0"/>
          <w:i w:val="0"/>
        </w:rPr>
        <w:t>.</w:t>
      </w:r>
    </w:p>
    <w:p>
      <w:pPr>
        <w:keepNext/>
        <w:widowControl/>
      </w:pPr>
      <w:bookmarkStart w:id="1015" w:name="latin-record-0764"/>
      <w:bookmarkEnd w:id="1015"/>
      <w:r>
        <w:rPr>
          <w:b/>
          <w:i w:val="0"/>
        </w:rPr>
        <w:t>nixus / nitor / conor</w:t>
      </w:r>
      <w:r>
        <w:rPr>
          <w:b/>
          <w:i w:val="0"/>
        </w:rPr>
        <w:t>.</w:t>
      </w:r>
      <w:r>
        <w:rPr>
          <w:b w:val="0"/>
          <w:i w:val="0"/>
        </w:rPr>
        <w:t xml:space="preserve"> Printed forms: </w:t>
      </w:r>
      <w:r>
        <w:rPr>
          <w:b w:val="0"/>
          <w:i/>
        </w:rPr>
        <w:t>conatur</w:t>
      </w:r>
      <w:r>
        <w:rPr>
          <w:b w:val="0"/>
          <w:i w:val="0"/>
        </w:rPr>
        <w:t xml:space="preserve">; </w:t>
      </w:r>
      <w:r>
        <w:rPr>
          <w:b w:val="0"/>
          <w:i/>
        </w:rPr>
        <w:t>nititur</w:t>
      </w:r>
      <w:r>
        <w:rPr>
          <w:b w:val="0"/>
          <w:i w:val="0"/>
        </w:rPr>
        <w:t xml:space="preserve">; </w:t>
      </w:r>
      <w:r>
        <w:rPr>
          <w:b w:val="0"/>
          <w:i/>
        </w:rPr>
        <w:t>nixum</w:t>
      </w:r>
      <w:r>
        <w:rPr>
          <w:b w:val="0"/>
          <w:i w:val="0"/>
        </w:rPr>
        <w:t xml:space="preserve">; </w:t>
      </w:r>
      <w:r>
        <w:rPr>
          <w:b w:val="0"/>
          <w:i/>
        </w:rPr>
        <w:t>nixus</w:t>
      </w:r>
      <w:r>
        <w:rPr>
          <w:b w:val="0"/>
          <w:i w:val="0"/>
        </w:rPr>
        <w:t>.</w:t>
      </w:r>
    </w:p>
    <w:p>
      <w:pPr>
        <w:widowControl/>
      </w:pPr>
      <w:r>
        <w:rPr>
          <w:b w:val="0"/>
          <w:i w:val="0"/>
        </w:rPr>
        <w:t xml:space="preserve">Striving, to strive, and to endeavour. Pure mind’s striving must improve it rather than worsen or leave it unchanged, so Ficino argues it receives goodness from a superior source. References: </w:t>
      </w:r>
      <w:hyperlink w:anchor="passage-i-6-16">
        <w:r>
          <w:rPr>
            <w:color w:val="000000"/>
          </w:rPr>
          <w:t xml:space="preserve">I.6.16</w:t>
        </w:r>
      </w:hyperlink>
      <w:r>
        <w:rPr>
          <w:b w:val="0"/>
          <w:i w:val="0"/>
        </w:rPr>
        <w:t xml:space="preserve">, </w:t>
      </w:r>
      <w:hyperlink w:anchor="passage-i-6-17">
        <w:r>
          <w:rPr>
            <w:color w:val="000000"/>
          </w:rPr>
          <w:t xml:space="preserve">I.6.17</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1016" w:name="latin-record-0765"/>
      <w:bookmarkEnd w:id="1016"/>
      <w:r>
        <w:rPr>
          <w:b/>
          <w:i w:val="0"/>
        </w:rPr>
        <w:t>nobilior / amplior</w:t>
      </w:r>
      <w:r>
        <w:rPr>
          <w:b/>
          <w:i w:val="0"/>
        </w:rPr>
        <w:t>.</w:t>
      </w:r>
      <w:r>
        <w:rPr>
          <w:b w:val="0"/>
          <w:i w:val="0"/>
        </w:rPr>
        <w:t xml:space="preserve"> Printed forms: </w:t>
      </w:r>
      <w:r>
        <w:rPr>
          <w:b w:val="0"/>
          <w:i/>
        </w:rPr>
        <w:t>amplior</w:t>
      </w:r>
      <w:r>
        <w:rPr>
          <w:b w:val="0"/>
          <w:i w:val="0"/>
        </w:rPr>
        <w:t xml:space="preserve">; </w:t>
      </w:r>
      <w:r>
        <w:rPr>
          <w:b w:val="0"/>
          <w:i/>
        </w:rPr>
        <w:t>nobilior</w:t>
      </w:r>
      <w:r>
        <w:rPr>
          <w:b w:val="0"/>
          <w:i w:val="0"/>
        </w:rPr>
        <w:t>.</w:t>
      </w:r>
    </w:p>
    <w:p>
      <w:pPr>
        <w:widowControl/>
      </w:pPr>
      <w:r>
        <w:rPr>
          <w:b w:val="0"/>
          <w:i w:val="0"/>
        </w:rPr>
        <w:t xml:space="preserve">Nobler and more extensive. The printed reading makes the larger extent of higher spheres an analogy for greater intellectual number; the apparatus reports a different later-witness reading, not adopted here. References: </w:t>
      </w:r>
      <w:hyperlink w:anchor="passage-i-5-26">
        <w:r>
          <w:rPr>
            <w:color w:val="000000"/>
          </w:rPr>
          <w:t xml:space="preserve">I.5.26</w:t>
        </w:r>
      </w:hyperlink>
      <w:r>
        <w:rPr>
          <w:b w:val="0"/>
          <w:i w:val="0"/>
        </w:rPr>
        <w:t xml:space="preserve">. See </w:t>
      </w:r>
      <w:hyperlink w:anchor="spheres-and-stars">
        <w:r>
          <w:rPr>
            <w:color w:val="000000"/>
          </w:rPr>
          <w:t xml:space="preserve">Spheres and stars</w:t>
        </w:r>
      </w:hyperlink>
      <w:r>
        <w:rPr>
          <w:b w:val="0"/>
          <w:i w:val="0"/>
        </w:rPr>
        <w:t>.</w:t>
      </w:r>
    </w:p>
    <w:p>
      <w:pPr>
        <w:keepNext/>
        <w:widowControl/>
      </w:pPr>
      <w:bookmarkStart w:id="1017" w:name="latin-record-0766"/>
      <w:bookmarkEnd w:id="1017"/>
      <w:r>
        <w:rPr>
          <w:b/>
          <w:i w:val="0"/>
        </w:rPr>
        <w:t>nodus divinus</w:t>
      </w:r>
      <w:r>
        <w:rPr>
          <w:b/>
          <w:i w:val="0"/>
        </w:rPr>
        <w:t>.</w:t>
      </w:r>
      <w:r>
        <w:rPr>
          <w:b w:val="0"/>
          <w:i w:val="0"/>
        </w:rPr>
        <w:t xml:space="preserve"> Printed forms: </w:t>
      </w:r>
      <w:r>
        <w:rPr>
          <w:b w:val="0"/>
          <w:i/>
        </w:rPr>
        <w:t>nodus ille divinus</w:t>
      </w:r>
      <w:r>
        <w:rPr>
          <w:b w:val="0"/>
          <w:i w:val="0"/>
        </w:rPr>
        <w:t>.</w:t>
      </w:r>
    </w:p>
    <w:p>
      <w:pPr>
        <w:widowControl/>
      </w:pPr>
      <w:r>
        <w:rPr>
          <w:b w:val="0"/>
          <w:i w:val="0"/>
        </w:rPr>
        <w:t xml:space="preserve">Divine knot. This knot names divine preservation of otherwise dissoluble beings; it is not automatically another occurrence of soul’s title bond of the world. References: </w:t>
      </w:r>
      <w:hyperlink w:anchor="passage-iii-1-5">
        <w:r>
          <w:rPr>
            <w:color w:val="000000"/>
          </w:rPr>
          <w:t xml:space="preserve">III.1.5</w:t>
        </w:r>
      </w:hyperlink>
      <w:r>
        <w:rPr>
          <w:b w:val="0"/>
          <w:i w:val="0"/>
        </w:rPr>
        <w:t xml:space="preserve">. See </w:t>
      </w:r>
      <w:hyperlink w:anchor="bond-knot-and-chain">
        <w:r>
          <w:rPr>
            <w:color w:val="000000"/>
          </w:rPr>
          <w:t xml:space="preserve">Bond knot and chain</w:t>
        </w:r>
      </w:hyperlink>
      <w:r>
        <w:rPr>
          <w:b w:val="0"/>
          <w:i w:val="0"/>
        </w:rPr>
        <w:t>.</w:t>
      </w:r>
    </w:p>
    <w:p>
      <w:pPr>
        <w:keepNext/>
        <w:widowControl/>
      </w:pPr>
      <w:bookmarkStart w:id="1018" w:name="latin-record-0767"/>
      <w:bookmarkEnd w:id="1018"/>
      <w:r>
        <w:rPr>
          <w:b/>
          <w:i w:val="0"/>
        </w:rPr>
        <w:t>norma</w:t>
      </w:r>
      <w:r>
        <w:rPr>
          <w:b/>
          <w:i w:val="0"/>
        </w:rPr>
        <w:t>.</w:t>
      </w:r>
      <w:r>
        <w:rPr>
          <w:b w:val="0"/>
          <w:i w:val="0"/>
        </w:rPr>
        <w:t xml:space="preserve"> Printed forms: </w:t>
      </w:r>
      <w:r>
        <w:rPr>
          <w:b w:val="0"/>
          <w:i/>
        </w:rPr>
        <w:t>norma</w:t>
      </w:r>
      <w:r>
        <w:rPr>
          <w:b w:val="0"/>
          <w:i w:val="0"/>
        </w:rPr>
        <w:t>.</w:t>
      </w:r>
    </w:p>
    <w:p>
      <w:pPr>
        <w:widowControl/>
      </w:pPr>
      <w:r>
        <w:rPr>
          <w:b w:val="0"/>
          <w:i w:val="0"/>
        </w:rPr>
        <w:t xml:space="preserve">A pattern or regular standard. Continuing in a stable pattern is the specified sense in which a moving thing stands within motion. References: </w:t>
      </w:r>
      <w:hyperlink w:anchor="passage-i-5-8">
        <w:r>
          <w:rPr>
            <w:color w:val="000000"/>
          </w:rPr>
          <w:t xml:space="preserve">I.5.8</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019" w:name="latin-record-0768"/>
      <w:bookmarkEnd w:id="1019"/>
      <w:r>
        <w:rPr>
          <w:b/>
          <w:i w:val="0"/>
        </w:rPr>
        <w:t>norma / condicio</w:t>
      </w:r>
      <w:r>
        <w:rPr>
          <w:b/>
          <w:i w:val="0"/>
        </w:rPr>
        <w:t>.</w:t>
      </w:r>
      <w:r>
        <w:rPr>
          <w:b w:val="0"/>
          <w:i w:val="0"/>
        </w:rPr>
        <w:t xml:space="preserve"> Printed forms: </w:t>
      </w:r>
      <w:r>
        <w:rPr>
          <w:b w:val="0"/>
          <w:i/>
        </w:rPr>
        <w:t>conditionem</w:t>
      </w:r>
      <w:r>
        <w:rPr>
          <w:b w:val="0"/>
          <w:i w:val="0"/>
        </w:rPr>
        <w:t xml:space="preserve">; </w:t>
      </w:r>
      <w:r>
        <w:rPr>
          <w:b w:val="0"/>
          <w:i/>
        </w:rPr>
        <w:t>normam</w:t>
      </w:r>
      <w:r>
        <w:rPr>
          <w:b w:val="0"/>
          <w:i w:val="0"/>
        </w:rPr>
        <w:t>.</w:t>
      </w:r>
    </w:p>
    <w:p>
      <w:pPr>
        <w:widowControl/>
      </w:pPr>
      <w:r>
        <w:rPr>
          <w:b w:val="0"/>
          <w:i w:val="0"/>
        </w:rPr>
        <w:t xml:space="preserve">Rule or norm / condition. In creatures the mode of willing follows understanding, which follows the condition of being received from its giver. References: </w:t>
      </w:r>
      <w:hyperlink w:anchor="passage-ii-12-8">
        <w:r>
          <w:rPr>
            <w:color w:val="000000"/>
          </w:rPr>
          <w:t xml:space="preserve">II.12.8</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1020" w:name="latin-record-0769"/>
      <w:bookmarkEnd w:id="1020"/>
      <w:r>
        <w:rPr>
          <w:b/>
          <w:i w:val="0"/>
        </w:rPr>
        <w:t>nosce te ipsum</w:t>
      </w:r>
      <w:r>
        <w:rPr>
          <w:b/>
          <w:i w:val="0"/>
        </w:rPr>
        <w:t>.</w:t>
      </w:r>
      <w:r>
        <w:rPr>
          <w:b w:val="0"/>
          <w:i w:val="0"/>
        </w:rPr>
        <w:t xml:space="preserve"> Printed forms: </w:t>
      </w:r>
      <w:r>
        <w:rPr>
          <w:b w:val="0"/>
          <w:i/>
        </w:rPr>
        <w:t>Nosce te ipsum</w:t>
      </w:r>
      <w:r>
        <w:rPr>
          <w:b w:val="0"/>
          <w:i w:val="0"/>
        </w:rPr>
        <w:t>.</w:t>
      </w:r>
    </w:p>
    <w:p>
      <w:pPr>
        <w:widowControl/>
      </w:pPr>
      <w:r>
        <w:t>“</w:t>
      </w:r>
      <w:r>
        <w:rPr>
          <w:b w:val="0"/>
          <w:i w:val="0"/>
        </w:rPr>
        <w:t>Know yourself,</w:t>
      </w:r>
      <w:r>
        <w:t>”</w:t>
      </w:r>
      <w:r>
        <w:rPr>
          <w:b w:val="0"/>
          <w:i w:val="0"/>
        </w:rPr>
        <w:t xml:space="preserve"> the oracle as quoted in the Proem. Ficino interprets it chiefly as an injunction to know oneself before seeking knowledge of God; the claimed chief meaning is his reading. References: </w:t>
      </w:r>
      <w:hyperlink w:anchor="passage-proem-4">
        <w:r>
          <w:rPr>
            <w:color w:val="000000"/>
          </w:rPr>
          <w:t xml:space="preserve">Proem.4</w:t>
        </w:r>
      </w:hyperlink>
      <w:r>
        <w:rPr>
          <w:b w:val="0"/>
          <w:i w:val="0"/>
        </w:rPr>
        <w:t xml:space="preserve">. See </w:t>
      </w:r>
      <w:hyperlink w:anchor="self-knowledge">
        <w:r>
          <w:rPr>
            <w:color w:val="000000"/>
          </w:rPr>
          <w:t xml:space="preserve">Self knowledge</w:t>
        </w:r>
      </w:hyperlink>
      <w:r>
        <w:rPr>
          <w:b w:val="0"/>
          <w:i w:val="0"/>
        </w:rPr>
        <w:t>.</w:t>
      </w:r>
    </w:p>
    <w:p>
      <w:pPr>
        <w:keepNext/>
        <w:widowControl/>
      </w:pPr>
      <w:bookmarkStart w:id="1021" w:name="latin-record-0770"/>
      <w:bookmarkEnd w:id="1021"/>
      <w:r>
        <w:rPr>
          <w:b/>
          <w:i w:val="0"/>
        </w:rPr>
        <w:t>noscere / cognoscere / dinoscere</w:t>
      </w:r>
      <w:r>
        <w:rPr>
          <w:b/>
          <w:i w:val="0"/>
        </w:rPr>
        <w:t>.</w:t>
      </w:r>
      <w:r>
        <w:rPr>
          <w:b w:val="0"/>
          <w:i w:val="0"/>
        </w:rPr>
        <w:t xml:space="preserve"> Printed forms: </w:t>
      </w:r>
      <w:r>
        <w:rPr>
          <w:b w:val="0"/>
          <w:i/>
        </w:rPr>
        <w:t>cognoscit</w:t>
      </w:r>
      <w:r>
        <w:rPr>
          <w:b w:val="0"/>
          <w:i w:val="0"/>
        </w:rPr>
        <w:t xml:space="preserve">; </w:t>
      </w:r>
      <w:r>
        <w:rPr>
          <w:b w:val="0"/>
          <w:i/>
        </w:rPr>
        <w:t>Cognoscit</w:t>
      </w:r>
      <w:r>
        <w:rPr>
          <w:b w:val="0"/>
          <w:i w:val="0"/>
        </w:rPr>
        <w:t xml:space="preserve">; </w:t>
      </w:r>
      <w:r>
        <w:rPr>
          <w:b w:val="0"/>
          <w:i/>
        </w:rPr>
        <w:t>dinoscit</w:t>
      </w:r>
      <w:r>
        <w:rPr>
          <w:b w:val="0"/>
          <w:i w:val="0"/>
        </w:rPr>
        <w:t xml:space="preserve">; </w:t>
      </w:r>
      <w:r>
        <w:rPr>
          <w:b w:val="0"/>
          <w:i/>
        </w:rPr>
        <w:t>ignorat</w:t>
      </w:r>
      <w:r>
        <w:rPr>
          <w:b w:val="0"/>
          <w:i w:val="0"/>
        </w:rPr>
        <w:t xml:space="preserve">; </w:t>
      </w:r>
      <w:r>
        <w:rPr>
          <w:b w:val="0"/>
          <w:i/>
        </w:rPr>
        <w:t>noscens</w:t>
      </w:r>
      <w:r>
        <w:rPr>
          <w:b w:val="0"/>
          <w:i w:val="0"/>
        </w:rPr>
        <w:t xml:space="preserve">; </w:t>
      </w:r>
      <w:r>
        <w:rPr>
          <w:b w:val="0"/>
          <w:i/>
        </w:rPr>
        <w:t>Noscit</w:t>
      </w:r>
      <w:r>
        <w:rPr>
          <w:b w:val="0"/>
          <w:i w:val="0"/>
        </w:rPr>
        <w:t xml:space="preserve">; </w:t>
      </w:r>
      <w:r>
        <w:rPr>
          <w:b w:val="0"/>
          <w:i/>
        </w:rPr>
        <w:t>noscit</w:t>
      </w:r>
      <w:r>
        <w:rPr>
          <w:b w:val="0"/>
          <w:i w:val="0"/>
        </w:rPr>
        <w:t xml:space="preserve">; </w:t>
      </w:r>
      <w:r>
        <w:rPr>
          <w:b w:val="0"/>
          <w:i/>
        </w:rPr>
        <w:t>novit</w:t>
      </w:r>
      <w:r>
        <w:rPr>
          <w:b w:val="0"/>
          <w:i w:val="0"/>
        </w:rPr>
        <w:t>.</w:t>
      </w:r>
    </w:p>
    <w:p>
      <w:pPr>
        <w:widowControl/>
      </w:pPr>
      <w:r>
        <w:rPr>
          <w:b w:val="0"/>
          <w:i w:val="0"/>
        </w:rPr>
        <w:t xml:space="preserve">To know or discern, with ignorance explicitly denied in divine causation. Knowledge of the first cause includes the proper, intermediate, and nearest causes and their distinct effects. References: </w:t>
      </w:r>
      <w:hyperlink w:anchor="passage-ii-9-14">
        <w:r>
          <w:rPr>
            <w:color w:val="000000"/>
          </w:rPr>
          <w:t xml:space="preserve">II.9.14</w:t>
        </w:r>
      </w:hyperlink>
      <w:r>
        <w:rPr>
          <w:b w:val="0"/>
          <w:i w:val="0"/>
        </w:rPr>
        <w:t xml:space="preserve">, </w:t>
      </w:r>
      <w:hyperlink w:anchor="passage-ii-9-15">
        <w:r>
          <w:rPr>
            <w:color w:val="000000"/>
          </w:rPr>
          <w:t xml:space="preserve">II.9.15</w:t>
        </w:r>
      </w:hyperlink>
      <w:r>
        <w:rPr>
          <w:b w:val="0"/>
          <w:i w:val="0"/>
        </w:rPr>
        <w:t xml:space="preserve">, </w:t>
      </w:r>
      <w:hyperlink w:anchor="passage-ii-10-2">
        <w:r>
          <w:rPr>
            <w:color w:val="000000"/>
          </w:rPr>
          <w:t xml:space="preserve">II.10.2</w:t>
        </w:r>
      </w:hyperlink>
      <w:r>
        <w:rPr>
          <w:b w:val="0"/>
          <w:i w:val="0"/>
        </w:rPr>
        <w:t xml:space="preserve">. See </w:t>
      </w:r>
      <w:hyperlink w:anchor="self-knowledge">
        <w:r>
          <w:rPr>
            <w:color w:val="000000"/>
          </w:rPr>
          <w:t xml:space="preserve">Self knowledge</w:t>
        </w:r>
      </w:hyperlink>
      <w:r>
        <w:rPr>
          <w:b w:val="0"/>
          <w:i w:val="0"/>
        </w:rPr>
        <w:t>.</w:t>
      </w:r>
    </w:p>
    <w:p>
      <w:pPr>
        <w:keepNext/>
        <w:widowControl/>
      </w:pPr>
      <w:bookmarkStart w:id="1022" w:name="latin-record-0771"/>
      <w:bookmarkEnd w:id="1022"/>
      <w:r>
        <w:rPr>
          <w:b/>
          <w:i w:val="0"/>
        </w:rPr>
        <w:t>novus / relinquere</w:t>
      </w:r>
      <w:r>
        <w:rPr>
          <w:b/>
          <w:i w:val="0"/>
        </w:rPr>
        <w:t>.</w:t>
      </w:r>
      <w:r>
        <w:rPr>
          <w:b w:val="0"/>
          <w:i w:val="0"/>
        </w:rPr>
        <w:t xml:space="preserve"> Printed forms: </w:t>
      </w:r>
      <w:r>
        <w:rPr>
          <w:b w:val="0"/>
          <w:i/>
        </w:rPr>
        <w:t>novus</w:t>
      </w:r>
      <w:r>
        <w:rPr>
          <w:b w:val="0"/>
          <w:i w:val="0"/>
        </w:rPr>
        <w:t xml:space="preserve">; </w:t>
      </w:r>
      <w:r>
        <w:rPr>
          <w:b w:val="0"/>
          <w:i/>
        </w:rPr>
        <w:t>relinquat</w:t>
      </w:r>
      <w:r>
        <w:rPr>
          <w:b w:val="0"/>
          <w:i w:val="0"/>
        </w:rPr>
        <w:t>.</w:t>
      </w:r>
    </w:p>
    <w:p>
      <w:pPr>
        <w:widowControl/>
      </w:pPr>
      <w:r>
        <w:rPr>
          <w:b w:val="0"/>
          <w:i w:val="0"/>
        </w:rPr>
        <w:t xml:space="preserve">New or remaining beyond what is already encompassed; to leave behind. No imagined region is left without divine presence, yet a new possible mode of finite imitation always remains. References: </w:t>
      </w:r>
      <w:hyperlink w:anchor="passage-ii-6-6">
        <w:r>
          <w:rPr>
            <w:color w:val="000000"/>
          </w:rPr>
          <w:t xml:space="preserve">II.6.6</w:t>
        </w:r>
      </w:hyperlink>
      <w:r>
        <w:rPr>
          <w:b w:val="0"/>
          <w:i w:val="0"/>
        </w:rPr>
        <w:t xml:space="preserve">, </w:t>
      </w:r>
      <w:hyperlink w:anchor="passage-ii-10-5">
        <w:r>
          <w:rPr>
            <w:color w:val="000000"/>
          </w:rPr>
          <w:t xml:space="preserve">II.10.5</w:t>
        </w:r>
      </w:hyperlink>
      <w:r>
        <w:rPr>
          <w:b w:val="0"/>
          <w:i w:val="0"/>
        </w:rPr>
        <w:t xml:space="preserve">. See </w:t>
      </w:r>
      <w:hyperlink w:anchor="infinity">
        <w:r>
          <w:rPr>
            <w:color w:val="000000"/>
          </w:rPr>
          <w:t xml:space="preserve">Infinity</w:t>
        </w:r>
      </w:hyperlink>
      <w:r>
        <w:rPr>
          <w:b w:val="0"/>
          <w:i w:val="0"/>
        </w:rPr>
        <w:t>.</w:t>
      </w:r>
    </w:p>
    <w:p>
      <w:pPr>
        <w:keepNext/>
        <w:widowControl/>
      </w:pPr>
      <w:bookmarkStart w:id="1023" w:name="latin-record-0772"/>
      <w:bookmarkEnd w:id="1023"/>
      <w:r>
        <w:rPr>
          <w:b/>
          <w:i w:val="0"/>
        </w:rPr>
        <w:t>novus / varius</w:t>
      </w:r>
      <w:r>
        <w:rPr>
          <w:b/>
          <w:i w:val="0"/>
        </w:rPr>
        <w:t>.</w:t>
      </w:r>
      <w:r>
        <w:rPr>
          <w:b w:val="0"/>
          <w:i w:val="0"/>
        </w:rPr>
        <w:t xml:space="preserve"> Printed forms: </w:t>
      </w:r>
      <w:r>
        <w:rPr>
          <w:b w:val="0"/>
          <w:i/>
        </w:rPr>
        <w:t>novas</w:t>
      </w:r>
      <w:r>
        <w:rPr>
          <w:b w:val="0"/>
          <w:i w:val="0"/>
        </w:rPr>
        <w:t xml:space="preserve">; </w:t>
      </w:r>
      <w:r>
        <w:rPr>
          <w:b w:val="0"/>
          <w:i/>
        </w:rPr>
        <w:t>novos</w:t>
      </w:r>
      <w:r>
        <w:rPr>
          <w:b w:val="0"/>
          <w:i w:val="0"/>
        </w:rPr>
        <w:t xml:space="preserve">; </w:t>
      </w:r>
      <w:r>
        <w:rPr>
          <w:b w:val="0"/>
          <w:i/>
        </w:rPr>
        <w:t>varias</w:t>
      </w:r>
      <w:r>
        <w:rPr>
          <w:b w:val="0"/>
          <w:i w:val="0"/>
        </w:rPr>
        <w:t xml:space="preserve">; </w:t>
      </w:r>
      <w:r>
        <w:rPr>
          <w:b w:val="0"/>
          <w:i/>
        </w:rPr>
        <w:t>variatur</w:t>
      </w:r>
      <w:r>
        <w:rPr>
          <w:b w:val="0"/>
          <w:i w:val="0"/>
        </w:rPr>
        <w:t xml:space="preserve">; </w:t>
      </w:r>
      <w:r>
        <w:rPr>
          <w:b w:val="0"/>
          <w:i/>
        </w:rPr>
        <w:t>variosque</w:t>
      </w:r>
      <w:r>
        <w:rPr>
          <w:b w:val="0"/>
          <w:i w:val="0"/>
        </w:rPr>
        <w:t>.</w:t>
      </w:r>
    </w:p>
    <w:p>
      <w:pPr>
        <w:widowControl/>
      </w:pPr>
      <w:r>
        <w:rPr>
          <w:b w:val="0"/>
          <w:i w:val="0"/>
        </w:rPr>
        <w:t xml:space="preserve">New; varied or changing. New cosmic effects require varied psychic activity, while soul varies through moments without losing essential or spatial unity. References: </w:t>
      </w:r>
      <w:hyperlink w:anchor="passage-iv-1-56">
        <w:r>
          <w:rPr>
            <w:color w:val="000000"/>
          </w:rPr>
          <w:t xml:space="preserve">IV.1.56</w:t>
        </w:r>
      </w:hyperlink>
      <w:r>
        <w:rPr>
          <w:b w:val="0"/>
          <w:i w:val="0"/>
        </w:rPr>
        <w:t xml:space="preserve">, </w:t>
      </w:r>
      <w:hyperlink w:anchor="passage-iv-2-7">
        <w:r>
          <w:rPr>
            <w:color w:val="000000"/>
          </w:rPr>
          <w:t xml:space="preserve">IV.2.7</w:t>
        </w:r>
      </w:hyperlink>
      <w:r>
        <w:rPr>
          <w:b w:val="0"/>
          <w:i w:val="0"/>
        </w:rPr>
        <w:t xml:space="preserve">, </w:t>
      </w:r>
      <w:hyperlink w:anchor="passage-iv-2-16">
        <w:r>
          <w:rPr>
            <w:color w:val="000000"/>
          </w:rPr>
          <w:t xml:space="preserve">IV.2.16</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024" w:name="latin-record-0773"/>
      <w:bookmarkEnd w:id="1024"/>
      <w:r>
        <w:rPr>
          <w:b/>
          <w:i w:val="0"/>
        </w:rPr>
        <w:t>novus / vetus</w:t>
      </w:r>
      <w:r>
        <w:rPr>
          <w:b/>
          <w:i w:val="0"/>
        </w:rPr>
        <w:t>.</w:t>
      </w:r>
      <w:r>
        <w:rPr>
          <w:b w:val="0"/>
          <w:i w:val="0"/>
        </w:rPr>
        <w:t xml:space="preserve"> Printed forms: </w:t>
      </w:r>
      <w:r>
        <w:rPr>
          <w:b w:val="0"/>
          <w:i/>
        </w:rPr>
        <w:t>nova</w:t>
      </w:r>
      <w:r>
        <w:rPr>
          <w:b w:val="0"/>
          <w:i w:val="0"/>
        </w:rPr>
        <w:t xml:space="preserve">; </w:t>
      </w:r>
      <w:r>
        <w:rPr>
          <w:b w:val="0"/>
          <w:i/>
        </w:rPr>
        <w:t>novum</w:t>
      </w:r>
      <w:r>
        <w:rPr>
          <w:b w:val="0"/>
          <w:i w:val="0"/>
        </w:rPr>
        <w:t xml:space="preserve">; </w:t>
      </w:r>
      <w:r>
        <w:rPr>
          <w:b w:val="0"/>
          <w:i/>
        </w:rPr>
        <w:t>veteribus</w:t>
      </w:r>
      <w:r>
        <w:rPr>
          <w:b w:val="0"/>
          <w:i w:val="0"/>
        </w:rPr>
        <w:t>.</w:t>
      </w:r>
    </w:p>
    <w:p>
      <w:pPr>
        <w:widowControl/>
      </w:pPr>
      <w:r>
        <w:rPr>
          <w:b w:val="0"/>
          <w:i w:val="0"/>
        </w:rPr>
        <w:t xml:space="preserve">New / old or previously possessed. Adding a new form to persisting substance would compromise the divine simplicity asserted in the argument. References: </w:t>
      </w:r>
      <w:hyperlink w:anchor="passage-iii-1-6">
        <w:r>
          <w:rPr>
            <w:color w:val="000000"/>
          </w:rPr>
          <w:t xml:space="preserve">III.1.6</w:t>
        </w:r>
      </w:hyperlink>
      <w:r>
        <w:rPr>
          <w:b w:val="0"/>
          <w:i w:val="0"/>
        </w:rPr>
        <w:t xml:space="preserve">. See </w:t>
      </w:r>
      <w:hyperlink w:anchor="simplicity-and-composition">
        <w:r>
          <w:rPr>
            <w:color w:val="000000"/>
          </w:rPr>
          <w:t xml:space="preserve">Simplicity and composition</w:t>
        </w:r>
      </w:hyperlink>
      <w:r>
        <w:rPr>
          <w:b w:val="0"/>
          <w:i w:val="0"/>
        </w:rPr>
        <w:t>.</w:t>
      </w:r>
    </w:p>
    <w:p>
      <w:pPr>
        <w:keepNext/>
        <w:widowControl/>
      </w:pPr>
      <w:bookmarkStart w:id="1025" w:name="latin-record-0774"/>
      <w:bookmarkEnd w:id="1025"/>
      <w:r>
        <w:rPr>
          <w:b/>
          <w:i w:val="0"/>
        </w:rPr>
        <w:t>nudus / adventitius</w:t>
      </w:r>
      <w:r>
        <w:rPr>
          <w:b/>
          <w:i w:val="0"/>
        </w:rPr>
        <w:t>.</w:t>
      </w:r>
      <w:r>
        <w:rPr>
          <w:b w:val="0"/>
          <w:i w:val="0"/>
        </w:rPr>
        <w:t xml:space="preserve"> Printed forms: </w:t>
      </w:r>
      <w:r>
        <w:rPr>
          <w:b w:val="0"/>
          <w:i/>
        </w:rPr>
        <w:t>adventitiam</w:t>
      </w:r>
      <w:r>
        <w:rPr>
          <w:b w:val="0"/>
          <w:i w:val="0"/>
        </w:rPr>
        <w:t xml:space="preserve">; </w:t>
      </w:r>
      <w:r>
        <w:rPr>
          <w:b w:val="0"/>
          <w:i/>
        </w:rPr>
        <w:t>nudam</w:t>
      </w:r>
      <w:r>
        <w:rPr>
          <w:b w:val="0"/>
          <w:i w:val="0"/>
        </w:rPr>
        <w:t>.</w:t>
      </w:r>
    </w:p>
    <w:p>
      <w:pPr>
        <w:widowControl/>
      </w:pPr>
      <w:r>
        <w:rPr>
          <w:b w:val="0"/>
          <w:i w:val="0"/>
        </w:rPr>
        <w:t xml:space="preserve">Bare or considered alone / added from outside. God acts neither by bare nature nor by an adventitious intelligence; the paired rejection prepares intellectual nature and natural intelligence. References: </w:t>
      </w:r>
      <w:hyperlink w:anchor="passage-ii-11-12">
        <w:r>
          <w:rPr>
            <w:color w:val="000000"/>
          </w:rPr>
          <w:t xml:space="preserve">II.11.12</w:t>
        </w:r>
      </w:hyperlink>
      <w:r>
        <w:rPr>
          <w:b w:val="0"/>
          <w:i w:val="0"/>
        </w:rPr>
        <w:t xml:space="preserve">. See </w:t>
      </w:r>
      <w:hyperlink w:anchor="art-and-nature">
        <w:r>
          <w:rPr>
            <w:color w:val="000000"/>
          </w:rPr>
          <w:t xml:space="preserve">Art and nature</w:t>
        </w:r>
      </w:hyperlink>
      <w:r>
        <w:rPr>
          <w:b w:val="0"/>
          <w:i w:val="0"/>
        </w:rPr>
        <w:t>.</w:t>
      </w:r>
    </w:p>
    <w:p>
      <w:pPr>
        <w:keepNext/>
        <w:widowControl/>
      </w:pPr>
      <w:bookmarkStart w:id="1026" w:name="latin-record-0775"/>
      <w:bookmarkEnd w:id="1026"/>
      <w:r>
        <w:rPr>
          <w:b/>
          <w:i w:val="0"/>
        </w:rPr>
        <w:t>numerus / unicus / unire</w:t>
      </w:r>
      <w:r>
        <w:rPr>
          <w:b/>
          <w:i w:val="0"/>
        </w:rPr>
        <w:t>.</w:t>
      </w:r>
      <w:r>
        <w:rPr>
          <w:b w:val="0"/>
          <w:i w:val="0"/>
        </w:rPr>
        <w:t xml:space="preserve"> Printed forms: </w:t>
      </w:r>
      <w:r>
        <w:rPr>
          <w:b w:val="0"/>
          <w:i/>
        </w:rPr>
        <w:t>numeri</w:t>
      </w:r>
      <w:r>
        <w:rPr>
          <w:b w:val="0"/>
          <w:i w:val="0"/>
        </w:rPr>
        <w:t xml:space="preserve">; </w:t>
      </w:r>
      <w:r>
        <w:rPr>
          <w:b w:val="0"/>
          <w:i/>
        </w:rPr>
        <w:t>numero</w:t>
      </w:r>
      <w:r>
        <w:rPr>
          <w:b w:val="0"/>
          <w:i w:val="0"/>
        </w:rPr>
        <w:t xml:space="preserve">; </w:t>
      </w:r>
      <w:r>
        <w:rPr>
          <w:b w:val="0"/>
          <w:i/>
        </w:rPr>
        <w:t>numerorum</w:t>
      </w:r>
      <w:r>
        <w:rPr>
          <w:b w:val="0"/>
          <w:i w:val="0"/>
        </w:rPr>
        <w:t xml:space="preserve">; </w:t>
      </w:r>
      <w:r>
        <w:rPr>
          <w:b w:val="0"/>
          <w:i/>
        </w:rPr>
        <w:t>numeros</w:t>
      </w:r>
      <w:r>
        <w:rPr>
          <w:b w:val="0"/>
          <w:i w:val="0"/>
        </w:rPr>
        <w:t xml:space="preserve">; </w:t>
      </w:r>
      <w:r>
        <w:rPr>
          <w:b w:val="0"/>
          <w:i/>
        </w:rPr>
        <w:t>numerum</w:t>
      </w:r>
      <w:r>
        <w:rPr>
          <w:b w:val="0"/>
          <w:i w:val="0"/>
        </w:rPr>
        <w:t xml:space="preserve">; </w:t>
      </w:r>
      <w:r>
        <w:rPr>
          <w:b w:val="0"/>
          <w:i/>
        </w:rPr>
        <w:t>numerus</w:t>
      </w:r>
      <w:r>
        <w:rPr>
          <w:b w:val="0"/>
          <w:i w:val="0"/>
        </w:rPr>
        <w:t xml:space="preserve">; </w:t>
      </w:r>
      <w:r>
        <w:rPr>
          <w:b w:val="0"/>
          <w:i/>
        </w:rPr>
        <w:t>unicum</w:t>
      </w:r>
      <w:r>
        <w:rPr>
          <w:b w:val="0"/>
          <w:i w:val="0"/>
        </w:rPr>
        <w:t>.</w:t>
      </w:r>
    </w:p>
    <w:p>
      <w:pPr>
        <w:widowControl/>
      </w:pPr>
      <w:r>
        <w:rPr>
          <w:b w:val="0"/>
          <w:i w:val="0"/>
        </w:rPr>
        <w:t xml:space="preserve">Number, uniqueness, and uniting, with numerical and substantial unity distinguished. Human numerical progress is indefinitely extendable; God’s uniqueness is not just occupying first place in a count. References: </w:t>
      </w:r>
      <w:hyperlink w:anchor="passage-ii-2-7">
        <w:r>
          <w:rPr>
            <w:color w:val="000000"/>
          </w:rPr>
          <w:t xml:space="preserve">II.2.7</w:t>
        </w:r>
      </w:hyperlink>
      <w:r>
        <w:rPr>
          <w:b w:val="0"/>
          <w:i w:val="0"/>
        </w:rPr>
        <w:t xml:space="preserve">, </w:t>
      </w:r>
      <w:hyperlink w:anchor="passage-ii-4-4">
        <w:r>
          <w:rPr>
            <w:color w:val="000000"/>
          </w:rPr>
          <w:t xml:space="preserve">II.4.4</w:t>
        </w:r>
      </w:hyperlink>
      <w:r>
        <w:rPr>
          <w:b w:val="0"/>
          <w:i w:val="0"/>
        </w:rPr>
        <w:t xml:space="preserve">, </w:t>
      </w:r>
      <w:hyperlink w:anchor="passage-ii-10-4">
        <w:r>
          <w:rPr>
            <w:color w:val="000000"/>
          </w:rPr>
          <w:t xml:space="preserve">II.10.4</w:t>
        </w:r>
      </w:hyperlink>
      <w:r>
        <w:rPr>
          <w:b w:val="0"/>
          <w:i w:val="0"/>
        </w:rPr>
        <w:t xml:space="preserve">, </w:t>
      </w:r>
      <w:hyperlink w:anchor="passage-ii-10-7">
        <w:r>
          <w:rPr>
            <w:color w:val="000000"/>
          </w:rPr>
          <w:t xml:space="preserve">II.10.7</w:t>
        </w:r>
      </w:hyperlink>
      <w:r>
        <w:rPr>
          <w:b w:val="0"/>
          <w:i w:val="0"/>
        </w:rPr>
        <w:t xml:space="preserve">. See </w:t>
      </w:r>
      <w:hyperlink w:anchor="number">
        <w:r>
          <w:rPr>
            <w:color w:val="000000"/>
          </w:rPr>
          <w:t xml:space="preserve">Number</w:t>
        </w:r>
      </w:hyperlink>
      <w:r>
        <w:rPr>
          <w:b w:val="0"/>
          <w:i w:val="0"/>
        </w:rPr>
        <w:t>.</w:t>
      </w:r>
    </w:p>
    <w:p>
      <w:pPr>
        <w:keepNext/>
        <w:widowControl/>
      </w:pPr>
      <w:bookmarkStart w:id="1027" w:name="latin-record-0776"/>
      <w:bookmarkEnd w:id="1027"/>
      <w:r>
        <w:rPr>
          <w:b/>
          <w:i w:val="0"/>
        </w:rPr>
        <w:t>numerus se movens</w:t>
      </w:r>
      <w:r>
        <w:rPr>
          <w:b/>
          <w:i w:val="0"/>
        </w:rPr>
        <w:t>.</w:t>
      </w:r>
      <w:r>
        <w:rPr>
          <w:b w:val="0"/>
          <w:i w:val="0"/>
        </w:rPr>
        <w:t xml:space="preserve"> Printed forms: </w:t>
      </w:r>
      <w:r>
        <w:rPr>
          <w:b w:val="0"/>
          <w:i/>
        </w:rPr>
        <w:t>numerum se moventem</w:t>
      </w:r>
      <w:r>
        <w:rPr>
          <w:b w:val="0"/>
          <w:i w:val="0"/>
        </w:rPr>
        <w:t>.</w:t>
      </w:r>
    </w:p>
    <w:p>
      <w:pPr>
        <w:widowControl/>
      </w:pPr>
      <w:r>
        <w:rPr>
          <w:b w:val="0"/>
          <w:i w:val="0"/>
        </w:rPr>
        <w:t xml:space="preserve">Self-moving number. The text glosses number as manifold nature and self-moving as mutable through its own property; it does not define soul as an integer. References: </w:t>
      </w:r>
      <w:hyperlink w:anchor="passage-iii-1-23">
        <w:r>
          <w:rPr>
            <w:color w:val="000000"/>
          </w:rPr>
          <w:t xml:space="preserve">III.1.23</w:t>
        </w:r>
      </w:hyperlink>
      <w:r>
        <w:rPr>
          <w:b w:val="0"/>
          <w:i w:val="0"/>
        </w:rPr>
        <w:t xml:space="preserve">. See </w:t>
      </w:r>
      <w:hyperlink w:anchor="xenocrates-and-the-riddle">
        <w:r>
          <w:rPr>
            <w:color w:val="000000"/>
          </w:rPr>
          <w:t xml:space="preserve">Xenocrates and the riddle</w:t>
        </w:r>
      </w:hyperlink>
      <w:r>
        <w:rPr>
          <w:b w:val="0"/>
          <w:i w:val="0"/>
        </w:rPr>
        <w:t>.</w:t>
      </w:r>
    </w:p>
    <w:p>
      <w:pPr>
        <w:keepNext/>
        <w:widowControl/>
      </w:pPr>
      <w:bookmarkStart w:id="1028" w:name="latin-record-0777"/>
      <w:bookmarkEnd w:id="1028"/>
      <w:r>
        <w:rPr>
          <w:b/>
          <w:i w:val="0"/>
        </w:rPr>
        <w:t>nuper / semel / diuturnior / perpetuo / generatio / successio</w:t>
      </w:r>
      <w:r>
        <w:rPr>
          <w:b/>
          <w:i w:val="0"/>
        </w:rPr>
        <w:t>.</w:t>
      </w:r>
      <w:r>
        <w:rPr>
          <w:b w:val="0"/>
          <w:i w:val="0"/>
        </w:rPr>
        <w:t xml:space="preserve"> Printed forms: </w:t>
      </w:r>
      <w:r>
        <w:rPr>
          <w:b w:val="0"/>
          <w:i/>
        </w:rPr>
        <w:t>diuturnior</w:t>
      </w:r>
      <w:r>
        <w:rPr>
          <w:b w:val="0"/>
          <w:i w:val="0"/>
        </w:rPr>
        <w:t xml:space="preserve">; </w:t>
      </w:r>
      <w:r>
        <w:rPr>
          <w:b w:val="0"/>
          <w:i/>
        </w:rPr>
        <w:t>nuper</w:t>
      </w:r>
      <w:r>
        <w:rPr>
          <w:b w:val="0"/>
          <w:i w:val="0"/>
        </w:rPr>
        <w:t xml:space="preserve">; </w:t>
      </w:r>
      <w:r>
        <w:rPr>
          <w:b w:val="0"/>
          <w:i/>
        </w:rPr>
        <w:t>semel</w:t>
      </w:r>
      <w:r>
        <w:rPr>
          <w:b w:val="0"/>
          <w:i w:val="0"/>
        </w:rPr>
        <w:t xml:space="preserve">; </w:t>
      </w:r>
      <w:r>
        <w:rPr>
          <w:b w:val="0"/>
          <w:i/>
        </w:rPr>
        <w:t>successio</w:t>
      </w:r>
      <w:r>
        <w:rPr>
          <w:b w:val="0"/>
          <w:i w:val="0"/>
        </w:rPr>
        <w:t>.</w:t>
      </w:r>
    </w:p>
    <w:p>
      <w:pPr>
        <w:widowControl/>
      </w:pPr>
      <w:r>
        <w:rPr>
          <w:b w:val="0"/>
          <w:i w:val="0"/>
        </w:rPr>
        <w:t xml:space="preserve">Newness, once-only occurrence, prolonged duration, and succession. The preservation argument contrasts one past origin with continual dependence and distinguishes indefinite sequence from stable eternity. References: </w:t>
      </w:r>
      <w:hyperlink w:anchor="passage-ii-4-6">
        <w:r>
          <w:rPr>
            <w:color w:val="000000"/>
          </w:rPr>
          <w:t xml:space="preserve">II.4.6</w:t>
        </w:r>
      </w:hyperlink>
      <w:r>
        <w:rPr>
          <w:b w:val="0"/>
          <w:i w:val="0"/>
        </w:rPr>
        <w:t xml:space="preserve">, </w:t>
      </w:r>
      <w:hyperlink w:anchor="passage-ii-5-1">
        <w:r>
          <w:rPr>
            <w:color w:val="000000"/>
          </w:rPr>
          <w:t xml:space="preserve">II.5.1</w:t>
        </w:r>
      </w:hyperlink>
      <w:r>
        <w:rPr>
          <w:b w:val="0"/>
          <w:i w:val="0"/>
        </w:rPr>
        <w:t xml:space="preserve">, </w:t>
      </w:r>
      <w:hyperlink w:anchor="passage-ii-7-23">
        <w:r>
          <w:rPr>
            <w:color w:val="000000"/>
          </w:rPr>
          <w:t xml:space="preserve">II.7.23</w:t>
        </w:r>
      </w:hyperlink>
      <w:r>
        <w:rPr>
          <w:b w:val="0"/>
          <w:i w:val="0"/>
        </w:rPr>
        <w:t xml:space="preserve">, </w:t>
      </w:r>
      <w:hyperlink w:anchor="passage-ii-10-3">
        <w:r>
          <w:rPr>
            <w:color w:val="000000"/>
          </w:rPr>
          <w:t xml:space="preserve">II.10.3</w:t>
        </w:r>
      </w:hyperlink>
      <w:r>
        <w:rPr>
          <w:b w:val="0"/>
          <w:i w:val="0"/>
        </w:rPr>
        <w:t xml:space="preserve">. See </w:t>
      </w:r>
      <w:hyperlink w:anchor="beginning-and-ceasing">
        <w:r>
          <w:rPr>
            <w:color w:val="000000"/>
          </w:rPr>
          <w:t xml:space="preserve">Beginning and ceasing</w:t>
        </w:r>
      </w:hyperlink>
      <w:r>
        <w:rPr>
          <w:b w:val="0"/>
          <w:i w:val="0"/>
        </w:rPr>
        <w:t>.</w:t>
      </w:r>
    </w:p>
    <w:p>
      <w:pPr>
        <w:keepNext/>
        <w:widowControl/>
      </w:pPr>
      <w:bookmarkStart w:id="1029" w:name="latin-record-0778"/>
      <w:bookmarkEnd w:id="1029"/>
      <w:r>
        <w:rPr>
          <w:b/>
          <w:i w:val="0"/>
        </w:rPr>
        <w:t>nutrimentum / alimentum</w:t>
      </w:r>
      <w:r>
        <w:rPr>
          <w:b/>
          <w:i w:val="0"/>
        </w:rPr>
        <w:t>.</w:t>
      </w:r>
      <w:r>
        <w:rPr>
          <w:b w:val="0"/>
          <w:i w:val="0"/>
        </w:rPr>
        <w:t xml:space="preserve"> Printed forms: </w:t>
      </w:r>
      <w:r>
        <w:rPr>
          <w:b w:val="0"/>
          <w:i/>
        </w:rPr>
        <w:t>alimenta</w:t>
      </w:r>
      <w:r>
        <w:rPr>
          <w:b w:val="0"/>
          <w:i w:val="0"/>
        </w:rPr>
        <w:t xml:space="preserve">; </w:t>
      </w:r>
      <w:r>
        <w:rPr>
          <w:b w:val="0"/>
          <w:i/>
        </w:rPr>
        <w:t>nutrimentum</w:t>
      </w:r>
      <w:r>
        <w:rPr>
          <w:b w:val="0"/>
          <w:i w:val="0"/>
        </w:rPr>
        <w:t>.</w:t>
      </w:r>
    </w:p>
    <w:p>
      <w:pPr>
        <w:widowControl/>
      </w:pPr>
      <w:r>
        <w:rPr>
          <w:b w:val="0"/>
          <w:i w:val="0"/>
        </w:rPr>
        <w:t xml:space="preserve">Nourishment or food. The transformation of nonliving food into living form is offered as an operation requiring more than fiery heat. References: </w:t>
      </w:r>
      <w:hyperlink w:anchor="passage-i-3-23">
        <w:r>
          <w:rPr>
            <w:color w:val="000000"/>
          </w:rPr>
          <w:t xml:space="preserve">I.3.23</w:t>
        </w:r>
      </w:hyperlink>
      <w:r>
        <w:rPr>
          <w:b w:val="0"/>
          <w:i w:val="0"/>
        </w:rPr>
        <w:t xml:space="preserve">. See </w:t>
      </w:r>
      <w:hyperlink w:anchor="nourishment-digestion-and-growth">
        <w:r>
          <w:rPr>
            <w:color w:val="000000"/>
          </w:rPr>
          <w:t xml:space="preserve">Nourishment, digestion and growth</w:t>
        </w:r>
      </w:hyperlink>
      <w:r>
        <w:rPr>
          <w:b w:val="0"/>
          <w:i w:val="0"/>
        </w:rPr>
        <w:t>.</w:t>
      </w:r>
    </w:p>
    <w:p>
      <w:pPr>
        <w:keepNext/>
        <w:widowControl/>
      </w:pPr>
      <w:bookmarkStart w:id="1030" w:name="latin-record-0779"/>
      <w:bookmarkEnd w:id="1030"/>
      <w:r>
        <w:rPr>
          <w:b/>
          <w:i w:val="0"/>
        </w:rPr>
        <w:t>nutrire / nutritio</w:t>
      </w:r>
      <w:r>
        <w:rPr>
          <w:b/>
          <w:i w:val="0"/>
        </w:rPr>
        <w:t>.</w:t>
      </w:r>
      <w:r>
        <w:rPr>
          <w:b w:val="0"/>
          <w:i w:val="0"/>
        </w:rPr>
        <w:t xml:space="preserve"> Printed forms: </w:t>
      </w:r>
      <w:r>
        <w:rPr>
          <w:b w:val="0"/>
          <w:i/>
        </w:rPr>
        <w:t>nutrire</w:t>
      </w:r>
      <w:r>
        <w:rPr>
          <w:b w:val="0"/>
          <w:i w:val="0"/>
        </w:rPr>
        <w:t xml:space="preserve">; </w:t>
      </w:r>
      <w:r>
        <w:rPr>
          <w:b w:val="0"/>
          <w:i/>
        </w:rPr>
        <w:t>nutriri</w:t>
      </w:r>
      <w:r>
        <w:rPr>
          <w:b w:val="0"/>
          <w:i w:val="0"/>
        </w:rPr>
        <w:t xml:space="preserve">; </w:t>
      </w:r>
      <w:r>
        <w:rPr>
          <w:b w:val="0"/>
          <w:i/>
        </w:rPr>
        <w:t>nutritio</w:t>
      </w:r>
      <w:r>
        <w:rPr>
          <w:b w:val="0"/>
          <w:i w:val="0"/>
        </w:rPr>
        <w:t xml:space="preserve">; </w:t>
      </w:r>
      <w:r>
        <w:rPr>
          <w:b w:val="0"/>
          <w:i/>
        </w:rPr>
        <w:t>nutritionis</w:t>
      </w:r>
      <w:r>
        <w:rPr>
          <w:b w:val="0"/>
          <w:i w:val="0"/>
        </w:rPr>
        <w:t>.</w:t>
      </w:r>
    </w:p>
    <w:p>
      <w:pPr>
        <w:widowControl/>
      </w:pPr>
      <w:r>
        <w:rPr>
          <w:b w:val="0"/>
          <w:i w:val="0"/>
        </w:rPr>
        <w:t xml:space="preserve">To nourish; nourishment as a continuing vital operation. Generation of parts is presented as the condition for nourishment and growth, supporting an inference to indwelling life. References: </w:t>
      </w:r>
      <w:hyperlink w:anchor="passage-iv-1-1">
        <w:r>
          <w:rPr>
            <w:color w:val="000000"/>
          </w:rPr>
          <w:t xml:space="preserve">IV.1.1</w:t>
        </w:r>
      </w:hyperlink>
      <w:r>
        <w:rPr>
          <w:b w:val="0"/>
          <w:i w:val="0"/>
        </w:rPr>
        <w:t xml:space="preserve">. See </w:t>
      </w:r>
      <w:hyperlink w:anchor="nourishment-digestion-and-growth">
        <w:r>
          <w:rPr>
            <w:color w:val="000000"/>
          </w:rPr>
          <w:t xml:space="preserve">Nourishment, digestion and growth</w:t>
        </w:r>
      </w:hyperlink>
      <w:r>
        <w:rPr>
          <w:b w:val="0"/>
          <w:i w:val="0"/>
        </w:rPr>
        <w:t>.</w:t>
      </w:r>
    </w:p>
    <w:p>
      <w:pPr>
        <w:keepNext/>
        <w:widowControl/>
      </w:pPr>
      <w:bookmarkStart w:id="1031" w:name="latin-record-0780"/>
      <w:bookmarkEnd w:id="1031"/>
      <w:r>
        <w:rPr>
          <w:b/>
          <w:i w:val="0"/>
        </w:rPr>
        <w:t>nutrix</w:t>
      </w:r>
      <w:r>
        <w:rPr>
          <w:b/>
          <w:i w:val="0"/>
        </w:rPr>
        <w:t>.</w:t>
      </w:r>
      <w:r>
        <w:rPr>
          <w:b w:val="0"/>
          <w:i w:val="0"/>
        </w:rPr>
        <w:t xml:space="preserve"> Printed forms: </w:t>
      </w:r>
      <w:r>
        <w:rPr>
          <w:b w:val="0"/>
          <w:i/>
        </w:rPr>
        <w:t>nutricem</w:t>
      </w:r>
      <w:r>
        <w:rPr>
          <w:b w:val="0"/>
          <w:i w:val="0"/>
        </w:rPr>
        <w:t>.</w:t>
      </w:r>
    </w:p>
    <w:p>
      <w:pPr>
        <w:widowControl/>
      </w:pPr>
      <w:r>
        <w:rPr>
          <w:b w:val="0"/>
          <w:i w:val="0"/>
        </w:rPr>
        <w:t xml:space="preserve">Nurse or nurturer. Mercury is said to call providence the nurse of humankind, reinforcing its sustaining role. References: </w:t>
      </w:r>
      <w:hyperlink w:anchor="passage-ii-13-24">
        <w:r>
          <w:rPr>
            <w:color w:val="000000"/>
          </w:rPr>
          <w:t xml:space="preserve">II.13.24</w:t>
        </w:r>
      </w:hyperlink>
      <w:r>
        <w:rPr>
          <w:b w:val="0"/>
          <w:i w:val="0"/>
        </w:rPr>
        <w:t xml:space="preserve">. See </w:t>
      </w:r>
      <w:hyperlink w:anchor="providence">
        <w:r>
          <w:rPr>
            <w:color w:val="000000"/>
          </w:rPr>
          <w:t xml:space="preserve">Providence</w:t>
        </w:r>
      </w:hyperlink>
      <w:r>
        <w:rPr>
          <w:b w:val="0"/>
          <w:i w:val="0"/>
        </w:rPr>
        <w:t>.</w:t>
      </w:r>
    </w:p>
    <w:p>
      <w:pPr>
        <w:keepNext/>
        <w:widowControl/>
      </w:pPr>
      <w:bookmarkStart w:id="1032" w:name="latin-record-0781"/>
      <w:bookmarkEnd w:id="1032"/>
      <w:r>
        <w:rPr>
          <w:b/>
          <w:i w:val="0"/>
        </w:rPr>
        <w:t>nutu oculi</w:t>
      </w:r>
      <w:r>
        <w:rPr>
          <w:b/>
          <w:i w:val="0"/>
        </w:rPr>
        <w:t>.</w:t>
      </w:r>
      <w:r>
        <w:rPr>
          <w:b w:val="0"/>
          <w:i w:val="0"/>
        </w:rPr>
        <w:t xml:space="preserve"> Printed forms: </w:t>
      </w:r>
      <w:r>
        <w:rPr>
          <w:b w:val="0"/>
          <w:i/>
        </w:rPr>
        <w:t>nutu oculi</w:t>
      </w:r>
      <w:r>
        <w:rPr>
          <w:b w:val="0"/>
          <w:i w:val="0"/>
        </w:rPr>
        <w:t>.</w:t>
      </w:r>
    </w:p>
    <w:p>
      <w:pPr>
        <w:widowControl/>
      </w:pPr>
      <w:r>
        <w:rPr>
          <w:b w:val="0"/>
          <w:i w:val="0"/>
        </w:rPr>
        <w:t xml:space="preserve">In the blink of an eye. The expression illustrates possession without variation through successive moments, rather than measuring a physiological duration. References: </w:t>
      </w:r>
      <w:hyperlink w:anchor="passage-iv-2-5">
        <w:r>
          <w:rPr>
            <w:color w:val="000000"/>
          </w:rPr>
          <w:t xml:space="preserve">IV.2.5</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1033" w:name="latin-record-0782"/>
      <w:bookmarkEnd w:id="1033"/>
      <w:r>
        <w:rPr>
          <w:b/>
          <w:i w:val="0"/>
        </w:rPr>
        <w:t>nutus / vibrare</w:t>
      </w:r>
      <w:r>
        <w:rPr>
          <w:b/>
          <w:i w:val="0"/>
        </w:rPr>
        <w:t>.</w:t>
      </w:r>
      <w:r>
        <w:rPr>
          <w:b w:val="0"/>
          <w:i w:val="0"/>
        </w:rPr>
        <w:t xml:space="preserve"> Printed forms: </w:t>
      </w:r>
      <w:r>
        <w:rPr>
          <w:b w:val="0"/>
          <w:i/>
        </w:rPr>
        <w:t>nutu</w:t>
      </w:r>
      <w:r>
        <w:rPr>
          <w:b w:val="0"/>
          <w:i w:val="0"/>
        </w:rPr>
        <w:t xml:space="preserve">; </w:t>
      </w:r>
      <w:r>
        <w:rPr>
          <w:b w:val="0"/>
          <w:i/>
        </w:rPr>
        <w:t>vibrat</w:t>
      </w:r>
      <w:r>
        <w:rPr>
          <w:b w:val="0"/>
          <w:i w:val="0"/>
        </w:rPr>
        <w:t>.</w:t>
      </w:r>
    </w:p>
    <w:p>
      <w:pPr>
        <w:widowControl/>
      </w:pPr>
      <w:r>
        <w:rPr>
          <w:b w:val="0"/>
          <w:i w:val="0"/>
        </w:rPr>
        <w:t xml:space="preserve">Nod or slight directive gesture / set in motion. The divine nod extends the mechanism analogy to effortless causal governance through a simple source. References: </w:t>
      </w:r>
      <w:hyperlink w:anchor="passage-ii-13-14">
        <w:r>
          <w:rPr>
            <w:color w:val="000000"/>
          </w:rPr>
          <w:t xml:space="preserve">II.13.14</w:t>
        </w:r>
      </w:hyperlink>
      <w:r>
        <w:rPr>
          <w:b w:val="0"/>
          <w:i w:val="0"/>
        </w:rPr>
        <w:t xml:space="preserve">. See </w:t>
      </w:r>
      <w:hyperlink w:anchor="florentine-mechanism">
        <w:r>
          <w:rPr>
            <w:color w:val="000000"/>
          </w:rPr>
          <w:t xml:space="preserve">Florentine mechanism</w:t>
        </w:r>
      </w:hyperlink>
      <w:r>
        <w:rPr>
          <w:b w:val="0"/>
          <w:i w:val="0"/>
        </w:rPr>
        <w:t>.</w:t>
      </w:r>
    </w:p>
    <w:p>
      <w:pPr>
        <w:keepNext/>
        <w:widowControl/>
      </w:pPr>
      <w:bookmarkStart w:id="1034" w:name="latin-record-0783"/>
      <w:bookmarkEnd w:id="1034"/>
      <w:r>
        <w:rPr>
          <w:b/>
          <w:i w:val="0"/>
        </w:rPr>
        <w:t>nutus / vibrare / centrum</w:t>
      </w:r>
      <w:r>
        <w:rPr>
          <w:b/>
          <w:i w:val="0"/>
        </w:rPr>
        <w:t>.</w:t>
      </w:r>
      <w:r>
        <w:rPr>
          <w:b w:val="0"/>
          <w:i w:val="0"/>
        </w:rPr>
        <w:t xml:space="preserve"> Printed forms: </w:t>
      </w:r>
      <w:r>
        <w:rPr>
          <w:b w:val="0"/>
          <w:i/>
        </w:rPr>
        <w:t>centrum</w:t>
      </w:r>
      <w:r>
        <w:rPr>
          <w:b w:val="0"/>
          <w:i w:val="0"/>
        </w:rPr>
        <w:t xml:space="preserve">; </w:t>
      </w:r>
      <w:r>
        <w:rPr>
          <w:b w:val="0"/>
          <w:i/>
        </w:rPr>
        <w:t>nutu</w:t>
      </w:r>
      <w:r>
        <w:rPr>
          <w:b w:val="0"/>
          <w:i w:val="0"/>
        </w:rPr>
        <w:t xml:space="preserve">; </w:t>
      </w:r>
      <w:r>
        <w:rPr>
          <w:b w:val="0"/>
          <w:i/>
        </w:rPr>
        <w:t>vibrat</w:t>
      </w:r>
      <w:r>
        <w:rPr>
          <w:b w:val="0"/>
          <w:i w:val="0"/>
        </w:rPr>
        <w:t>.</w:t>
      </w:r>
    </w:p>
    <w:p>
      <w:pPr>
        <w:widowControl/>
      </w:pPr>
      <w:r>
        <w:rPr>
          <w:b w:val="0"/>
          <w:i w:val="0"/>
        </w:rPr>
        <w:t xml:space="preserve">Nod, setting in motion, and center. A simple center with dependent lines models effortless divine direction without literal bodily gesture. References: </w:t>
      </w:r>
      <w:hyperlink w:anchor="passage-ii-8-5">
        <w:r>
          <w:rPr>
            <w:color w:val="000000"/>
          </w:rPr>
          <w:t xml:space="preserve">II.8.5</w:t>
        </w:r>
      </w:hyperlink>
      <w:r>
        <w:rPr>
          <w:b w:val="0"/>
          <w:i w:val="0"/>
        </w:rPr>
        <w:t xml:space="preserve">. See </w:t>
      </w:r>
      <w:hyperlink w:anchor="hinge-and-center">
        <w:r>
          <w:rPr>
            <w:color w:val="000000"/>
          </w:rPr>
          <w:t xml:space="preserve">Hinge and center</w:t>
        </w:r>
      </w:hyperlink>
      <w:r>
        <w:rPr>
          <w:b w:val="0"/>
          <w:i w:val="0"/>
        </w:rPr>
        <w:t>.</w:t>
      </w:r>
    </w:p>
    <w:p>
      <w:pPr>
        <w:keepNext/>
        <w:widowControl/>
      </w:pPr>
      <w:bookmarkStart w:id="1035" w:name="latin-record-0784"/>
      <w:bookmarkEnd w:id="1035"/>
      <w:r>
        <w:rPr>
          <w:b/>
          <w:i w:val="0"/>
        </w:rPr>
        <w:t>obiectum</w:t>
      </w:r>
      <w:r>
        <w:rPr>
          <w:b/>
          <w:i w:val="0"/>
        </w:rPr>
        <w:t>.</w:t>
      </w:r>
      <w:r>
        <w:rPr>
          <w:b w:val="0"/>
          <w:i w:val="0"/>
        </w:rPr>
        <w:t xml:space="preserve"> Printed forms: </w:t>
      </w:r>
      <w:r>
        <w:rPr>
          <w:b w:val="0"/>
          <w:i/>
        </w:rPr>
        <w:t>obiecto</w:t>
      </w:r>
      <w:r>
        <w:rPr>
          <w:b w:val="0"/>
          <w:i w:val="0"/>
        </w:rPr>
        <w:t xml:space="preserve">; </w:t>
      </w:r>
      <w:r>
        <w:rPr>
          <w:b w:val="0"/>
          <w:i/>
        </w:rPr>
        <w:t>obiectum</w:t>
      </w:r>
      <w:r>
        <w:rPr>
          <w:b w:val="0"/>
          <w:i w:val="0"/>
        </w:rPr>
        <w:t>.</w:t>
      </w:r>
    </w:p>
    <w:p>
      <w:pPr>
        <w:widowControl/>
      </w:pPr>
      <w:r>
        <w:rPr>
          <w:b w:val="0"/>
          <w:i w:val="0"/>
        </w:rPr>
        <w:t xml:space="preserve">Object of a cognitive or appetitive power. The complete object of perfect intelligence grounds delight; goodness is appetite’s adequate object across particular choices. References: </w:t>
      </w:r>
      <w:hyperlink w:anchor="passage-ii-11-32">
        <w:r>
          <w:rPr>
            <w:color w:val="000000"/>
          </w:rPr>
          <w:t xml:space="preserve">II.11.32</w:t>
        </w:r>
      </w:hyperlink>
      <w:r>
        <w:rPr>
          <w:b w:val="0"/>
          <w:i w:val="0"/>
        </w:rPr>
        <w:t xml:space="preserve">, </w:t>
      </w:r>
      <w:hyperlink w:anchor="passage-ii-13-29">
        <w:r>
          <w:rPr>
            <w:color w:val="000000"/>
          </w:rPr>
          <w:t xml:space="preserve">II.13.29</w:t>
        </w:r>
      </w:hyperlink>
      <w:r>
        <w:rPr>
          <w:b w:val="0"/>
          <w:i w:val="0"/>
        </w:rPr>
        <w:t xml:space="preserve">. See </w:t>
      </w:r>
      <w:hyperlink w:anchor="object-and-adequate-object">
        <w:r>
          <w:rPr>
            <w:color w:val="000000"/>
          </w:rPr>
          <w:t xml:space="preserve">Object and adequate object</w:t>
        </w:r>
      </w:hyperlink>
      <w:r>
        <w:rPr>
          <w:b w:val="0"/>
          <w:i w:val="0"/>
        </w:rPr>
        <w:t>.</w:t>
      </w:r>
    </w:p>
    <w:p>
      <w:pPr>
        <w:keepNext/>
        <w:widowControl/>
      </w:pPr>
      <w:bookmarkStart w:id="1036" w:name="latin-record-0785"/>
      <w:bookmarkEnd w:id="1036"/>
      <w:r>
        <w:rPr>
          <w:b/>
          <w:i w:val="0"/>
        </w:rPr>
        <w:t>obiectum / proximus</w:t>
      </w:r>
      <w:r>
        <w:rPr>
          <w:b/>
          <w:i w:val="0"/>
        </w:rPr>
        <w:t>.</w:t>
      </w:r>
      <w:r>
        <w:rPr>
          <w:b w:val="0"/>
          <w:i w:val="0"/>
        </w:rPr>
        <w:t xml:space="preserve"> Printed forms: </w:t>
      </w:r>
      <w:r>
        <w:rPr>
          <w:b w:val="0"/>
          <w:i/>
        </w:rPr>
        <w:t>obiecto</w:t>
      </w:r>
      <w:r>
        <w:rPr>
          <w:b w:val="0"/>
          <w:i w:val="0"/>
        </w:rPr>
        <w:t xml:space="preserve">; </w:t>
      </w:r>
      <w:r>
        <w:rPr>
          <w:b w:val="0"/>
          <w:i/>
        </w:rPr>
        <w:t>obiectum</w:t>
      </w:r>
      <w:r>
        <w:rPr>
          <w:b w:val="0"/>
          <w:i w:val="0"/>
        </w:rPr>
        <w:t xml:space="preserve">; </w:t>
      </w:r>
      <w:r>
        <w:rPr>
          <w:b w:val="0"/>
          <w:i/>
        </w:rPr>
        <w:t>proxima</w:t>
      </w:r>
      <w:r>
        <w:rPr>
          <w:b w:val="0"/>
          <w:i w:val="0"/>
        </w:rPr>
        <w:t>.</w:t>
      </w:r>
    </w:p>
    <w:p>
      <w:pPr>
        <w:widowControl/>
      </w:pPr>
      <w:r>
        <w:rPr>
          <w:b w:val="0"/>
          <w:i w:val="0"/>
        </w:rPr>
        <w:t xml:space="preserve">Object of a cognitive power and closeness to it. Divine self-knowledge avoids dependence on an external object that would perfect both understanding and essence. References: </w:t>
      </w:r>
      <w:hyperlink w:anchor="passage-ii-9-8">
        <w:r>
          <w:rPr>
            <w:color w:val="000000"/>
          </w:rPr>
          <w:t xml:space="preserve">II.9.8</w:t>
        </w:r>
      </w:hyperlink>
      <w:r>
        <w:rPr>
          <w:b w:val="0"/>
          <w:i w:val="0"/>
        </w:rPr>
        <w:t xml:space="preserve">, </w:t>
      </w:r>
      <w:hyperlink w:anchor="passage-ii-9-10">
        <w:r>
          <w:rPr>
            <w:color w:val="000000"/>
          </w:rPr>
          <w:t xml:space="preserve">II.9.10</w:t>
        </w:r>
      </w:hyperlink>
      <w:r>
        <w:rPr>
          <w:b w:val="0"/>
          <w:i w:val="0"/>
        </w:rPr>
        <w:t xml:space="preserve">. See </w:t>
      </w:r>
      <w:hyperlink w:anchor="object-and-adequate-object">
        <w:r>
          <w:rPr>
            <w:color w:val="000000"/>
          </w:rPr>
          <w:t xml:space="preserve">Object and adequate object</w:t>
        </w:r>
      </w:hyperlink>
      <w:r>
        <w:rPr>
          <w:b w:val="0"/>
          <w:i w:val="0"/>
        </w:rPr>
        <w:t>.</w:t>
      </w:r>
    </w:p>
    <w:p>
      <w:pPr>
        <w:keepNext/>
        <w:widowControl/>
      </w:pPr>
      <w:bookmarkStart w:id="1037" w:name="latin-record-0786"/>
      <w:bookmarkEnd w:id="1037"/>
      <w:r>
        <w:rPr>
          <w:b/>
          <w:i w:val="0"/>
        </w:rPr>
        <w:t>obnoxius / ineptus</w:t>
      </w:r>
      <w:r>
        <w:rPr>
          <w:b/>
          <w:i w:val="0"/>
        </w:rPr>
        <w:t>.</w:t>
      </w:r>
      <w:r>
        <w:rPr>
          <w:b w:val="0"/>
          <w:i w:val="0"/>
        </w:rPr>
        <w:t xml:space="preserve"> Printed forms: </w:t>
      </w:r>
      <w:r>
        <w:rPr>
          <w:b w:val="0"/>
          <w:i/>
        </w:rPr>
        <w:t>inepta</w:t>
      </w:r>
      <w:r>
        <w:rPr>
          <w:b w:val="0"/>
          <w:i w:val="0"/>
        </w:rPr>
        <w:t xml:space="preserve">; </w:t>
      </w:r>
      <w:r>
        <w:rPr>
          <w:b w:val="0"/>
          <w:i/>
        </w:rPr>
        <w:t>obnoxia</w:t>
      </w:r>
      <w:r>
        <w:rPr>
          <w:b w:val="0"/>
          <w:i w:val="0"/>
        </w:rPr>
        <w:t>.</w:t>
      </w:r>
    </w:p>
    <w:p>
      <w:pPr>
        <w:widowControl/>
      </w:pPr>
      <w:r>
        <w:rPr>
          <w:b w:val="0"/>
          <w:i w:val="0"/>
        </w:rPr>
        <w:t xml:space="preserve">Liable or subject to something, and ill-suited. Form becomes liable to passion and less agile when divided in matter; the adjectives identify impairment, not the complete absence of form. References: </w:t>
      </w:r>
      <w:hyperlink w:anchor="passage-i-3-1">
        <w:r>
          <w:rPr>
            <w:color w:val="000000"/>
          </w:rPr>
          <w:t xml:space="preserve">I.3.1</w:t>
        </w:r>
      </w:hyperlink>
      <w:r>
        <w:rPr>
          <w:b w:val="0"/>
          <w:i w:val="0"/>
        </w:rPr>
        <w:t xml:space="preserve">. See </w:t>
      </w:r>
      <w:hyperlink w:anchor="infection-lameness-and-lethe">
        <w:r>
          <w:rPr>
            <w:color w:val="000000"/>
          </w:rPr>
          <w:t xml:space="preserve">Infection, lameness and Lethe</w:t>
        </w:r>
      </w:hyperlink>
      <w:r>
        <w:rPr>
          <w:b w:val="0"/>
          <w:i w:val="0"/>
        </w:rPr>
        <w:t>.</w:t>
      </w:r>
    </w:p>
    <w:p>
      <w:pPr>
        <w:keepNext/>
        <w:widowControl/>
      </w:pPr>
      <w:bookmarkStart w:id="1038" w:name="latin-record-0787"/>
      <w:bookmarkEnd w:id="1038"/>
      <w:r>
        <w:rPr>
          <w:b/>
          <w:i w:val="0"/>
        </w:rPr>
        <w:t>obtineo</w:t>
      </w:r>
      <w:r>
        <w:rPr>
          <w:b/>
          <w:i w:val="0"/>
        </w:rPr>
        <w:t>.</w:t>
      </w:r>
      <w:r>
        <w:rPr>
          <w:b w:val="0"/>
          <w:i w:val="0"/>
        </w:rPr>
        <w:t xml:space="preserve"> Printed forms: </w:t>
      </w:r>
      <w:r>
        <w:rPr>
          <w:b w:val="0"/>
          <w:i/>
        </w:rPr>
        <w:t>obtinens</w:t>
      </w:r>
      <w:r>
        <w:rPr>
          <w:b w:val="0"/>
          <w:i w:val="0"/>
        </w:rPr>
        <w:t>.</w:t>
      </w:r>
    </w:p>
    <w:p>
      <w:pPr>
        <w:widowControl/>
      </w:pPr>
      <w:r>
        <w:rPr>
          <w:b w:val="0"/>
          <w:i w:val="0"/>
        </w:rPr>
        <w:t xml:space="preserve">To hold or occupy a position. Rational soul holds the middle grade and actively connects the others; occupying the middle is not a merely spatial location. References: </w:t>
      </w:r>
      <w:hyperlink w:anchor="passage-i-1-7">
        <w:r>
          <w:rPr>
            <w:color w:val="000000"/>
          </w:rPr>
          <w:t xml:space="preserve">I.1.7</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1039" w:name="latin-record-0788"/>
      <w:bookmarkEnd w:id="1039"/>
      <w:r>
        <w:rPr>
          <w:b/>
          <w:i w:val="0"/>
        </w:rPr>
        <w:t>obtundere / fecundia</w:t>
      </w:r>
      <w:r>
        <w:rPr>
          <w:b/>
          <w:i w:val="0"/>
        </w:rPr>
        <w:t>.</w:t>
      </w:r>
      <w:r>
        <w:rPr>
          <w:b w:val="0"/>
          <w:i w:val="0"/>
        </w:rPr>
        <w:t xml:space="preserve"> Printed forms: </w:t>
      </w:r>
      <w:r>
        <w:rPr>
          <w:b w:val="0"/>
          <w:i/>
        </w:rPr>
        <w:t>fecundiam</w:t>
      </w:r>
      <w:r>
        <w:rPr>
          <w:b w:val="0"/>
          <w:i w:val="0"/>
        </w:rPr>
        <w:t xml:space="preserve">; </w:t>
      </w:r>
      <w:r>
        <w:rPr>
          <w:b w:val="0"/>
          <w:i/>
        </w:rPr>
        <w:t>obtundit</w:t>
      </w:r>
      <w:r>
        <w:rPr>
          <w:b w:val="0"/>
          <w:i w:val="0"/>
        </w:rPr>
        <w:t>.</w:t>
      </w:r>
    </w:p>
    <w:p>
      <w:pPr>
        <w:widowControl/>
      </w:pPr>
      <w:r>
        <w:rPr>
          <w:b w:val="0"/>
          <w:i w:val="0"/>
        </w:rPr>
        <w:t xml:space="preserve">To blunt; fertility in the supplied reading. The agate claim uses different verbs for different powers; the edition’s alternative eloquence reading is not added to its continuous text. References: </w:t>
      </w:r>
      <w:hyperlink w:anchor="passage-iv-1-20">
        <w:r>
          <w:rPr>
            <w:color w:val="000000"/>
          </w:rPr>
          <w:t xml:space="preserve">IV.1.20</w:t>
        </w:r>
      </w:hyperlink>
      <w:r>
        <w:rPr>
          <w:b w:val="0"/>
          <w:i w:val="0"/>
        </w:rPr>
        <w:t xml:space="preserve">. See </w:t>
      </w:r>
      <w:hyperlink w:anchor="hierobotanum-and-mineral-powers">
        <w:r>
          <w:rPr>
            <w:color w:val="000000"/>
          </w:rPr>
          <w:t xml:space="preserve">Hierobotanum and mineral powers</w:t>
        </w:r>
      </w:hyperlink>
      <w:r>
        <w:rPr>
          <w:b w:val="0"/>
          <w:i w:val="0"/>
        </w:rPr>
        <w:t>.</w:t>
      </w:r>
    </w:p>
    <w:p>
      <w:pPr>
        <w:keepNext/>
        <w:widowControl/>
      </w:pPr>
      <w:bookmarkStart w:id="1040" w:name="latin-record-0789"/>
      <w:bookmarkEnd w:id="1040"/>
      <w:r>
        <w:rPr>
          <w:b/>
          <w:i w:val="0"/>
        </w:rPr>
        <w:t>occasio / nancisci</w:t>
      </w:r>
      <w:r>
        <w:rPr>
          <w:b/>
          <w:i w:val="0"/>
        </w:rPr>
        <w:t>.</w:t>
      </w:r>
      <w:r>
        <w:rPr>
          <w:b w:val="0"/>
          <w:i w:val="0"/>
        </w:rPr>
        <w:t xml:space="preserve"> Printed forms: </w:t>
      </w:r>
      <w:r>
        <w:rPr>
          <w:b w:val="0"/>
          <w:i/>
        </w:rPr>
        <w:t>occasionem nacti</w:t>
      </w:r>
      <w:r>
        <w:rPr>
          <w:b w:val="0"/>
          <w:i w:val="0"/>
        </w:rPr>
        <w:t>.</w:t>
      </w:r>
    </w:p>
    <w:p>
      <w:pPr>
        <w:widowControl/>
      </w:pPr>
      <w:r>
        <w:rPr>
          <w:b w:val="0"/>
          <w:i w:val="0"/>
        </w:rPr>
        <w:t xml:space="preserve">An occasion found or obtained. Ficino marks the Ideas discussion as an excursus arising almost by chance, without making chance his cosmic first cause. References: </w:t>
      </w:r>
      <w:hyperlink w:anchor="passage-ii-11-21">
        <w:r>
          <w:rPr>
            <w:color w:val="000000"/>
          </w:rPr>
          <w:t xml:space="preserve">II.11.21</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1041" w:name="latin-record-0790"/>
      <w:bookmarkEnd w:id="1041"/>
      <w:r>
        <w:rPr>
          <w:b/>
          <w:i w:val="0"/>
        </w:rPr>
        <w:t>Oceanus / Thetis</w:t>
      </w:r>
      <w:r>
        <w:rPr>
          <w:b/>
          <w:i w:val="0"/>
        </w:rPr>
        <w:t>.</w:t>
      </w:r>
      <w:r>
        <w:rPr>
          <w:b w:val="0"/>
          <w:i w:val="0"/>
        </w:rPr>
        <w:t xml:space="preserve"> Printed forms: </w:t>
      </w:r>
      <w:r>
        <w:rPr>
          <w:b w:val="0"/>
          <w:i/>
        </w:rPr>
        <w:t>Oceanum</w:t>
      </w:r>
      <w:r>
        <w:rPr>
          <w:b w:val="0"/>
          <w:i w:val="0"/>
        </w:rPr>
        <w:t xml:space="preserve">; </w:t>
      </w:r>
      <w:r>
        <w:rPr>
          <w:b w:val="0"/>
          <w:i/>
        </w:rPr>
        <w:t>Thetin</w:t>
      </w:r>
      <w:r>
        <w:rPr>
          <w:b w:val="0"/>
          <w:i w:val="0"/>
        </w:rPr>
        <w:t>.</w:t>
      </w:r>
    </w:p>
    <w:p>
      <w:pPr>
        <w:widowControl/>
      </w:pPr>
      <w:r>
        <w:rPr>
          <w:b w:val="0"/>
          <w:i w:val="0"/>
        </w:rPr>
        <w:t xml:space="preserve">The names assigned to the watery sphere’s two powers. The first names cognition and the second life-giving bodily rule within the reported Orphic scheme. References: </w:t>
      </w:r>
      <w:hyperlink w:anchor="passage-iv-1-94">
        <w:r>
          <w:rPr>
            <w:color w:val="000000"/>
          </w:rPr>
          <w:t xml:space="preserve">IV.1.94</w:t>
        </w:r>
      </w:hyperlink>
      <w:r>
        <w:rPr>
          <w:b w:val="0"/>
          <w:i w:val="0"/>
        </w:rPr>
        <w:t xml:space="preserve">. See </w:t>
      </w:r>
      <w:hyperlink w:anchor="bacchus-and-the-muses">
        <w:r>
          <w:rPr>
            <w:color w:val="000000"/>
          </w:rPr>
          <w:t xml:space="preserve">Bacchus and the Muses</w:t>
        </w:r>
      </w:hyperlink>
      <w:r>
        <w:rPr>
          <w:b w:val="0"/>
          <w:i w:val="0"/>
        </w:rPr>
        <w:t>.</w:t>
      </w:r>
    </w:p>
    <w:p>
      <w:pPr>
        <w:keepNext/>
        <w:widowControl/>
      </w:pPr>
      <w:bookmarkStart w:id="1042" w:name="latin-record-0791"/>
      <w:bookmarkEnd w:id="1042"/>
      <w:r>
        <w:rPr>
          <w:b/>
          <w:i w:val="0"/>
        </w:rPr>
        <w:t>officium / perseverare</w:t>
      </w:r>
      <w:r>
        <w:rPr>
          <w:b/>
          <w:i w:val="0"/>
        </w:rPr>
        <w:t>.</w:t>
      </w:r>
      <w:r>
        <w:rPr>
          <w:b w:val="0"/>
          <w:i w:val="0"/>
        </w:rPr>
        <w:t xml:space="preserve"> Printed forms: </w:t>
      </w:r>
      <w:r>
        <w:rPr>
          <w:b w:val="0"/>
          <w:i/>
        </w:rPr>
        <w:t>officio</w:t>
      </w:r>
      <w:r>
        <w:rPr>
          <w:b w:val="0"/>
          <w:i w:val="0"/>
        </w:rPr>
        <w:t xml:space="preserve">; </w:t>
      </w:r>
      <w:r>
        <w:rPr>
          <w:b w:val="0"/>
          <w:i/>
        </w:rPr>
        <w:t>Perseverat</w:t>
      </w:r>
      <w:r>
        <w:rPr>
          <w:b w:val="0"/>
          <w:i w:val="0"/>
        </w:rPr>
        <w:t>.</w:t>
      </w:r>
    </w:p>
    <w:p>
      <w:pPr>
        <w:widowControl/>
      </w:pPr>
      <w:r>
        <w:rPr>
          <w:b w:val="0"/>
          <w:i w:val="0"/>
        </w:rPr>
        <w:t xml:space="preserve">An office or task; to persist in it. Soul’s mutable motion remains in one governing task through the higher unity of God. References: </w:t>
      </w:r>
      <w:hyperlink w:anchor="passage-iv-1-86">
        <w:r>
          <w:rPr>
            <w:color w:val="000000"/>
          </w:rPr>
          <w:t xml:space="preserve">IV.1.86</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1043" w:name="latin-record-0792"/>
      <w:bookmarkEnd w:id="1043"/>
      <w:r>
        <w:rPr>
          <w:b/>
          <w:i w:val="0"/>
        </w:rPr>
        <w:t>omniformis / unicolor / omnicolor</w:t>
      </w:r>
      <w:r>
        <w:rPr>
          <w:b/>
          <w:i w:val="0"/>
        </w:rPr>
        <w:t>.</w:t>
      </w:r>
      <w:r>
        <w:rPr>
          <w:b w:val="0"/>
          <w:i w:val="0"/>
        </w:rPr>
        <w:t xml:space="preserve"> Printed forms: </w:t>
      </w:r>
      <w:r>
        <w:rPr>
          <w:b w:val="0"/>
          <w:i/>
        </w:rPr>
        <w:t>omnicolorem</w:t>
      </w:r>
      <w:r>
        <w:rPr>
          <w:b w:val="0"/>
          <w:i w:val="0"/>
        </w:rPr>
        <w:t xml:space="preserve">; </w:t>
      </w:r>
      <w:r>
        <w:rPr>
          <w:b w:val="0"/>
          <w:i/>
        </w:rPr>
        <w:t>omniformem</w:t>
      </w:r>
      <w:r>
        <w:rPr>
          <w:b w:val="0"/>
          <w:i w:val="0"/>
        </w:rPr>
        <w:t xml:space="preserve">; </w:t>
      </w:r>
      <w:r>
        <w:rPr>
          <w:b w:val="0"/>
          <w:i/>
        </w:rPr>
        <w:t>unicolor</w:t>
      </w:r>
      <w:r>
        <w:rPr>
          <w:b w:val="0"/>
          <w:i w:val="0"/>
        </w:rPr>
        <w:t>.</w:t>
      </w:r>
    </w:p>
    <w:p>
      <w:pPr>
        <w:widowControl/>
      </w:pPr>
      <w:r>
        <w:rPr>
          <w:b w:val="0"/>
          <w:i w:val="0"/>
        </w:rPr>
        <w:t xml:space="preserve">All-formed, one-colored, and every-colored. One divine form has all-form through power and relation, as one-colored light is imagined knowing itself as source of every color. References: </w:t>
      </w:r>
      <w:hyperlink w:anchor="passage-ii-10-11">
        <w:r>
          <w:rPr>
            <w:color w:val="000000"/>
          </w:rPr>
          <w:t xml:space="preserve">II.10.11</w:t>
        </w:r>
      </w:hyperlink>
      <w:r>
        <w:rPr>
          <w:b w:val="0"/>
          <w:i w:val="0"/>
        </w:rPr>
        <w:t xml:space="preserve">, </w:t>
      </w:r>
      <w:hyperlink w:anchor="passage-ii-10-12">
        <w:r>
          <w:rPr>
            <w:color w:val="000000"/>
          </w:rPr>
          <w:t xml:space="preserve">II.10.12</w:t>
        </w:r>
      </w:hyperlink>
      <w:r>
        <w:rPr>
          <w:b w:val="0"/>
          <w:i w:val="0"/>
        </w:rPr>
        <w:t xml:space="preserve">. See </w:t>
      </w:r>
      <w:hyperlink w:anchor="counting-and-collective-intuition">
        <w:r>
          <w:rPr>
            <w:color w:val="000000"/>
          </w:rPr>
          <w:t xml:space="preserve">Counting and collective intuition</w:t>
        </w:r>
      </w:hyperlink>
      <w:r>
        <w:rPr>
          <w:b w:val="0"/>
          <w:i w:val="0"/>
        </w:rPr>
        <w:t>.</w:t>
      </w:r>
    </w:p>
    <w:p>
      <w:pPr>
        <w:keepNext/>
        <w:widowControl/>
      </w:pPr>
      <w:bookmarkStart w:id="1044" w:name="latin-record-0793"/>
      <w:bookmarkEnd w:id="1044"/>
      <w:r>
        <w:rPr>
          <w:b/>
          <w:i w:val="0"/>
        </w:rPr>
        <w:t>omniformis / uniformis</w:t>
      </w:r>
      <w:r>
        <w:rPr>
          <w:b/>
          <w:i w:val="0"/>
        </w:rPr>
        <w:t>.</w:t>
      </w:r>
      <w:r>
        <w:rPr>
          <w:b w:val="0"/>
          <w:i w:val="0"/>
        </w:rPr>
        <w:t xml:space="preserve"> Printed forms: </w:t>
      </w:r>
      <w:r>
        <w:rPr>
          <w:b w:val="0"/>
          <w:i/>
        </w:rPr>
        <w:t>omniformem</w:t>
      </w:r>
      <w:r>
        <w:rPr>
          <w:b w:val="0"/>
          <w:i w:val="0"/>
        </w:rPr>
        <w:t xml:space="preserve">; </w:t>
      </w:r>
      <w:r>
        <w:rPr>
          <w:b w:val="0"/>
          <w:i/>
        </w:rPr>
        <w:t>omniformis</w:t>
      </w:r>
      <w:r>
        <w:rPr>
          <w:b w:val="0"/>
          <w:i w:val="0"/>
        </w:rPr>
        <w:t xml:space="preserve">; </w:t>
      </w:r>
      <w:r>
        <w:rPr>
          <w:b w:val="0"/>
          <w:i/>
        </w:rPr>
        <w:t>uniformem</w:t>
      </w:r>
      <w:r>
        <w:rPr>
          <w:b w:val="0"/>
          <w:i w:val="0"/>
        </w:rPr>
        <w:t>.</w:t>
      </w:r>
    </w:p>
    <w:p>
      <w:pPr>
        <w:widowControl/>
      </w:pPr>
      <w:r>
        <w:rPr>
          <w:b w:val="0"/>
          <w:i w:val="0"/>
        </w:rPr>
        <w:t xml:space="preserve">Containing every form / uniform or of one form. The divine intellect unites these predicates without assembling many constituent forms; the textual difficulty in II.11.17 remains open. References: </w:t>
      </w:r>
      <w:hyperlink w:anchor="passage-ii-11-1">
        <w:r>
          <w:rPr>
            <w:color w:val="000000"/>
          </w:rPr>
          <w:t xml:space="preserve">II.11.1</w:t>
        </w:r>
      </w:hyperlink>
      <w:r>
        <w:rPr>
          <w:b w:val="0"/>
          <w:i w:val="0"/>
        </w:rPr>
        <w:t xml:space="preserve">, </w:t>
      </w:r>
      <w:hyperlink w:anchor="passage-ii-11-17">
        <w:r>
          <w:rPr>
            <w:color w:val="000000"/>
          </w:rPr>
          <w:t xml:space="preserve">II.11.17</w:t>
        </w:r>
      </w:hyperlink>
      <w:r>
        <w:rPr>
          <w:b w:val="0"/>
          <w:i w:val="0"/>
        </w:rPr>
        <w:t xml:space="preserve">. See </w:t>
      </w:r>
      <w:hyperlink w:anchor="form">
        <w:r>
          <w:rPr>
            <w:color w:val="000000"/>
          </w:rPr>
          <w:t xml:space="preserve">Form</w:t>
        </w:r>
      </w:hyperlink>
      <w:r>
        <w:rPr>
          <w:b w:val="0"/>
          <w:i w:val="0"/>
        </w:rPr>
        <w:t>.</w:t>
      </w:r>
    </w:p>
    <w:p>
      <w:pPr>
        <w:keepNext/>
        <w:widowControl/>
      </w:pPr>
      <w:bookmarkStart w:id="1045" w:name="latin-record-0794"/>
      <w:bookmarkEnd w:id="1045"/>
      <w:r>
        <w:rPr>
          <w:b/>
          <w:i w:val="0"/>
        </w:rPr>
        <w:t>omnis / cunctus / singulus</w:t>
      </w:r>
      <w:r>
        <w:rPr>
          <w:b/>
          <w:i w:val="0"/>
        </w:rPr>
        <w:t>.</w:t>
      </w:r>
      <w:r>
        <w:rPr>
          <w:b w:val="0"/>
          <w:i w:val="0"/>
        </w:rPr>
        <w:t xml:space="preserve"> Printed forms: </w:t>
      </w:r>
      <w:r>
        <w:rPr>
          <w:b w:val="0"/>
          <w:i/>
        </w:rPr>
        <w:t>cuncta</w:t>
      </w:r>
      <w:r>
        <w:rPr>
          <w:b w:val="0"/>
          <w:i w:val="0"/>
        </w:rPr>
        <w:t xml:space="preserve">; </w:t>
      </w:r>
      <w:r>
        <w:rPr>
          <w:b w:val="0"/>
          <w:i/>
        </w:rPr>
        <w:t>omnium</w:t>
      </w:r>
      <w:r>
        <w:rPr>
          <w:b w:val="0"/>
          <w:i w:val="0"/>
        </w:rPr>
        <w:t xml:space="preserve">; </w:t>
      </w:r>
      <w:r>
        <w:rPr>
          <w:b w:val="0"/>
          <w:i/>
        </w:rPr>
        <w:t>singula</w:t>
      </w:r>
      <w:r>
        <w:rPr>
          <w:b w:val="0"/>
          <w:i w:val="0"/>
        </w:rPr>
        <w:t xml:space="preserve">; </w:t>
      </w:r>
      <w:r>
        <w:rPr>
          <w:b w:val="0"/>
          <w:i/>
        </w:rPr>
        <w:t>singulorum</w:t>
      </w:r>
      <w:r>
        <w:rPr>
          <w:b w:val="0"/>
          <w:i w:val="0"/>
        </w:rPr>
        <w:t>.</w:t>
      </w:r>
    </w:p>
    <w:p>
      <w:pPr>
        <w:widowControl/>
      </w:pPr>
      <w:r>
        <w:rPr>
          <w:b w:val="0"/>
          <w:i w:val="0"/>
        </w:rPr>
        <w:t xml:space="preserve">Every or all / all together / each severally. Universal governance reaches each thing through its own nature; the quantifiers do not erase differentiated particular modes. References: </w:t>
      </w:r>
      <w:hyperlink w:anchor="passage-ii-13-26">
        <w:r>
          <w:rPr>
            <w:color w:val="000000"/>
          </w:rPr>
          <w:t xml:space="preserve">II.13.26</w:t>
        </w:r>
      </w:hyperlink>
      <w:r>
        <w:rPr>
          <w:b w:val="0"/>
          <w:i w:val="0"/>
        </w:rPr>
        <w:t xml:space="preserve">. See </w:t>
      </w:r>
      <w:hyperlink w:anchor="universals-and-individuals">
        <w:r>
          <w:rPr>
            <w:color w:val="000000"/>
          </w:rPr>
          <w:t xml:space="preserve">Universals and individuals</w:t>
        </w:r>
      </w:hyperlink>
      <w:r>
        <w:rPr>
          <w:b w:val="0"/>
          <w:i w:val="0"/>
        </w:rPr>
        <w:t>.</w:t>
      </w:r>
    </w:p>
    <w:p>
      <w:pPr>
        <w:keepNext/>
        <w:widowControl/>
      </w:pPr>
      <w:bookmarkStart w:id="1046" w:name="latin-record-0795"/>
      <w:bookmarkEnd w:id="1046"/>
      <w:r>
        <w:rPr>
          <w:b/>
          <w:i w:val="0"/>
        </w:rPr>
        <w:t>opacus</w:t>
      </w:r>
      <w:r>
        <w:rPr>
          <w:b/>
          <w:i w:val="0"/>
        </w:rPr>
        <w:t>.</w:t>
      </w:r>
      <w:r>
        <w:rPr>
          <w:b w:val="0"/>
          <w:i w:val="0"/>
        </w:rPr>
        <w:t xml:space="preserve"> Printed forms: </w:t>
      </w:r>
      <w:r>
        <w:rPr>
          <w:b w:val="0"/>
          <w:i/>
        </w:rPr>
        <w:t>opaca</w:t>
      </w:r>
      <w:r>
        <w:rPr>
          <w:b w:val="0"/>
          <w:i w:val="0"/>
        </w:rPr>
        <w:t>.</w:t>
      </w:r>
    </w:p>
    <w:p>
      <w:pPr>
        <w:widowControl/>
      </w:pPr>
      <w:r>
        <w:rPr>
          <w:b w:val="0"/>
          <w:i w:val="0"/>
        </w:rPr>
        <w:t xml:space="preserve">Dim or darkened. An alien addition would dim a supposed supreme light and destroy the purity required for its supremacy. References: </w:t>
      </w:r>
      <w:hyperlink w:anchor="passage-ii-2-6">
        <w:r>
          <w:rPr>
            <w:color w:val="000000"/>
          </w:rPr>
          <w:t xml:space="preserve">II.2.6</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1047" w:name="latin-record-0796"/>
      <w:bookmarkEnd w:id="1047"/>
      <w:r>
        <w:rPr>
          <w:b/>
          <w:i w:val="0"/>
        </w:rPr>
        <w:t>opacus / clarus</w:t>
      </w:r>
      <w:r>
        <w:rPr>
          <w:b/>
          <w:i w:val="0"/>
        </w:rPr>
        <w:t>.</w:t>
      </w:r>
      <w:r>
        <w:rPr>
          <w:b w:val="0"/>
          <w:i w:val="0"/>
        </w:rPr>
        <w:t xml:space="preserve"> Printed forms: </w:t>
      </w:r>
      <w:r>
        <w:rPr>
          <w:b w:val="0"/>
          <w:i/>
        </w:rPr>
        <w:t>clara</w:t>
      </w:r>
      <w:r>
        <w:rPr>
          <w:b w:val="0"/>
          <w:i w:val="0"/>
        </w:rPr>
        <w:t xml:space="preserve">; </w:t>
      </w:r>
      <w:r>
        <w:rPr>
          <w:b w:val="0"/>
          <w:i/>
        </w:rPr>
        <w:t>lucidum</w:t>
      </w:r>
      <w:r>
        <w:rPr>
          <w:b w:val="0"/>
          <w:i w:val="0"/>
        </w:rPr>
        <w:t xml:space="preserve">; </w:t>
      </w:r>
      <w:r>
        <w:rPr>
          <w:b w:val="0"/>
          <w:i/>
        </w:rPr>
        <w:t>opaco</w:t>
      </w:r>
      <w:r>
        <w:rPr>
          <w:b w:val="0"/>
          <w:i w:val="0"/>
        </w:rPr>
        <w:t>.</w:t>
      </w:r>
    </w:p>
    <w:p>
      <w:pPr>
        <w:widowControl/>
      </w:pPr>
      <w:r>
        <w:rPr>
          <w:b w:val="0"/>
          <w:i w:val="0"/>
        </w:rPr>
        <w:t xml:space="preserve">Opaque; clear or bright; luminous. Optical vocabulary distinguishes source, medium, and obstructive recipient in the analogy of causal mediation. References: </w:t>
      </w:r>
      <w:hyperlink w:anchor="passage-iv-1-29">
        <w:r>
          <w:rPr>
            <w:color w:val="000000"/>
          </w:rPr>
          <w:t xml:space="preserve">IV.1.29</w:t>
        </w:r>
      </w:hyperlink>
      <w:r>
        <w:rPr>
          <w:b w:val="0"/>
          <w:i w:val="0"/>
        </w:rPr>
        <w:t xml:space="preserve">. See </w:t>
      </w:r>
      <w:hyperlink w:anchor="transparency-and-opacity">
        <w:r>
          <w:rPr>
            <w:color w:val="000000"/>
          </w:rPr>
          <w:t xml:space="preserve">Transparency and opacity</w:t>
        </w:r>
      </w:hyperlink>
      <w:r>
        <w:rPr>
          <w:b w:val="0"/>
          <w:i w:val="0"/>
        </w:rPr>
        <w:t>.</w:t>
      </w:r>
    </w:p>
    <w:p>
      <w:pPr>
        <w:keepNext/>
        <w:widowControl/>
      </w:pPr>
      <w:bookmarkStart w:id="1048" w:name="latin-record-0797"/>
      <w:bookmarkEnd w:id="1048"/>
      <w:r>
        <w:rPr>
          <w:b/>
          <w:i w:val="0"/>
        </w:rPr>
        <w:t>opifex</w:t>
      </w:r>
      <w:r>
        <w:rPr>
          <w:b/>
          <w:i w:val="0"/>
        </w:rPr>
        <w:t>.</w:t>
      </w:r>
      <w:r>
        <w:rPr>
          <w:b w:val="0"/>
          <w:i w:val="0"/>
        </w:rPr>
        <w:t xml:space="preserve"> Printed forms: </w:t>
      </w:r>
      <w:r>
        <w:rPr>
          <w:b w:val="0"/>
          <w:i/>
        </w:rPr>
        <w:t>opificis</w:t>
      </w:r>
      <w:r>
        <w:rPr>
          <w:b w:val="0"/>
          <w:i w:val="0"/>
        </w:rPr>
        <w:t>.</w:t>
      </w:r>
    </w:p>
    <w:p>
      <w:pPr>
        <w:widowControl/>
      </w:pPr>
      <w:r>
        <w:rPr>
          <w:b w:val="0"/>
          <w:i w:val="0"/>
        </w:rPr>
        <w:t xml:space="preserve">Maker or craftsman. The maker’s intellect contains the form in whose likeness the ordered effect is produced. References: </w:t>
      </w:r>
      <w:hyperlink w:anchor="passage-ii-11-18">
        <w:r>
          <w:rPr>
            <w:color w:val="000000"/>
          </w:rPr>
          <w:t xml:space="preserve">II.11.18</w:t>
        </w:r>
      </w:hyperlink>
      <w:r>
        <w:rPr>
          <w:b w:val="0"/>
          <w:i w:val="0"/>
        </w:rPr>
        <w:t xml:space="preserve">. See </w:t>
      </w:r>
      <w:hyperlink w:anchor="architect-and-house">
        <w:r>
          <w:rPr>
            <w:color w:val="000000"/>
          </w:rPr>
          <w:t xml:space="preserve">Architect, house and decoration</w:t>
        </w:r>
      </w:hyperlink>
      <w:r>
        <w:rPr>
          <w:b w:val="0"/>
          <w:i w:val="0"/>
        </w:rPr>
        <w:t>.</w:t>
      </w:r>
    </w:p>
    <w:p>
      <w:pPr>
        <w:keepNext/>
        <w:widowControl/>
      </w:pPr>
      <w:bookmarkStart w:id="1049" w:name="latin-record-0798"/>
      <w:bookmarkEnd w:id="1049"/>
      <w:r>
        <w:rPr>
          <w:b/>
          <w:i w:val="0"/>
        </w:rPr>
        <w:t>opifex / architectus</w:t>
      </w:r>
      <w:r>
        <w:rPr>
          <w:b/>
          <w:i w:val="0"/>
        </w:rPr>
        <w:t>.</w:t>
      </w:r>
      <w:r>
        <w:rPr>
          <w:b w:val="0"/>
          <w:i w:val="0"/>
        </w:rPr>
        <w:t xml:space="preserve"> Printed forms: </w:t>
      </w:r>
      <w:r>
        <w:rPr>
          <w:b w:val="0"/>
          <w:i/>
        </w:rPr>
        <w:t>architectum</w:t>
      </w:r>
      <w:r>
        <w:rPr>
          <w:b w:val="0"/>
          <w:i w:val="0"/>
        </w:rPr>
        <w:t xml:space="preserve">; </w:t>
      </w:r>
      <w:r>
        <w:rPr>
          <w:b w:val="0"/>
          <w:i/>
        </w:rPr>
        <w:t>opificem</w:t>
      </w:r>
      <w:r>
        <w:rPr>
          <w:b w:val="0"/>
          <w:i w:val="0"/>
        </w:rPr>
        <w:t>.</w:t>
      </w:r>
    </w:p>
    <w:p>
      <w:pPr>
        <w:widowControl/>
      </w:pPr>
      <w:r>
        <w:rPr>
          <w:b w:val="0"/>
          <w:i w:val="0"/>
        </w:rPr>
        <w:t xml:space="preserve">A maker or artisan and an architect. A maker mingled with and impaired by its work cannot be its supreme independent source; the craft image tests causal mastery. References: </w:t>
      </w:r>
      <w:hyperlink w:anchor="passage-i-3-32">
        <w:r>
          <w:rPr>
            <w:color w:val="000000"/>
          </w:rPr>
          <w:t xml:space="preserve">I.3.32</w:t>
        </w:r>
      </w:hyperlink>
      <w:r>
        <w:rPr>
          <w:b w:val="0"/>
          <w:i w:val="0"/>
        </w:rPr>
        <w:t xml:space="preserve">. See </w:t>
      </w:r>
      <w:hyperlink w:anchor="art-and-nature">
        <w:r>
          <w:rPr>
            <w:color w:val="000000"/>
          </w:rPr>
          <w:t xml:space="preserve">Art and nature</w:t>
        </w:r>
      </w:hyperlink>
      <w:r>
        <w:rPr>
          <w:b w:val="0"/>
          <w:i w:val="0"/>
        </w:rPr>
        <w:t>.</w:t>
      </w:r>
    </w:p>
    <w:p>
      <w:pPr>
        <w:keepNext/>
        <w:widowControl/>
      </w:pPr>
      <w:bookmarkStart w:id="1050" w:name="latin-record-0799"/>
      <w:bookmarkEnd w:id="1050"/>
      <w:r>
        <w:rPr>
          <w:b/>
          <w:i w:val="0"/>
        </w:rPr>
        <w:t>oportere / debere / decere</w:t>
      </w:r>
      <w:r>
        <w:rPr>
          <w:b/>
          <w:i w:val="0"/>
        </w:rPr>
        <w:t>.</w:t>
      </w:r>
      <w:r>
        <w:rPr>
          <w:b w:val="0"/>
          <w:i w:val="0"/>
        </w:rPr>
        <w:t xml:space="preserve"> Printed forms: </w:t>
      </w:r>
      <w:r>
        <w:rPr>
          <w:b w:val="0"/>
          <w:i/>
        </w:rPr>
        <w:t>debet</w:t>
      </w:r>
      <w:r>
        <w:rPr>
          <w:b w:val="0"/>
          <w:i w:val="0"/>
        </w:rPr>
        <w:t xml:space="preserve">; </w:t>
      </w:r>
      <w:r>
        <w:rPr>
          <w:b w:val="0"/>
          <w:i/>
        </w:rPr>
        <w:t>decere</w:t>
      </w:r>
      <w:r>
        <w:rPr>
          <w:b w:val="0"/>
          <w:i w:val="0"/>
        </w:rPr>
        <w:t xml:space="preserve">; </w:t>
      </w:r>
      <w:r>
        <w:rPr>
          <w:b w:val="0"/>
          <w:i/>
        </w:rPr>
        <w:t>decet</w:t>
      </w:r>
      <w:r>
        <w:rPr>
          <w:b w:val="0"/>
          <w:i w:val="0"/>
        </w:rPr>
        <w:t>.</w:t>
      </w:r>
    </w:p>
    <w:p>
      <w:pPr>
        <w:widowControl/>
      </w:pPr>
      <w:r>
        <w:rPr>
          <w:b w:val="0"/>
          <w:i w:val="0"/>
        </w:rPr>
        <w:t xml:space="preserve">To be necessary, due, or fitting, with inferential and evaluative force. It is said to be unfitting for intelligent minds to serve a mindless first mover; the inference uses a hierarchy of perfection. References: </w:t>
      </w:r>
      <w:hyperlink w:anchor="passage-ii-6-6">
        <w:r>
          <w:rPr>
            <w:color w:val="000000"/>
          </w:rPr>
          <w:t xml:space="preserve">II.6.6</w:t>
        </w:r>
      </w:hyperlink>
      <w:r>
        <w:rPr>
          <w:b w:val="0"/>
          <w:i w:val="0"/>
        </w:rPr>
        <w:t xml:space="preserve">, </w:t>
      </w:r>
      <w:hyperlink w:anchor="passage-ii-9-5">
        <w:r>
          <w:rPr>
            <w:color w:val="000000"/>
          </w:rPr>
          <w:t xml:space="preserve">II.9.5</w:t>
        </w:r>
      </w:hyperlink>
      <w:r>
        <w:rPr>
          <w:b w:val="0"/>
          <w:i w:val="0"/>
        </w:rPr>
        <w:t xml:space="preserve">, </w:t>
      </w:r>
      <w:hyperlink w:anchor="passage-ii-9-15">
        <w:r>
          <w:rPr>
            <w:color w:val="000000"/>
          </w:rPr>
          <w:t xml:space="preserve">II.9.15</w:t>
        </w:r>
      </w:hyperlink>
      <w:r>
        <w:rPr>
          <w:b w:val="0"/>
          <w:i w:val="0"/>
        </w:rPr>
        <w:t xml:space="preserve">. See </w:t>
      </w:r>
      <w:hyperlink w:anchor="beauty-and-fittingness">
        <w:r>
          <w:rPr>
            <w:color w:val="000000"/>
          </w:rPr>
          <w:t xml:space="preserve">Beauty and fittingness</w:t>
        </w:r>
      </w:hyperlink>
      <w:r>
        <w:rPr>
          <w:b w:val="0"/>
          <w:i w:val="0"/>
        </w:rPr>
        <w:t>.</w:t>
      </w:r>
    </w:p>
    <w:p>
      <w:pPr>
        <w:keepNext/>
        <w:widowControl/>
      </w:pPr>
      <w:bookmarkStart w:id="1051" w:name="latin-record-0800"/>
      <w:bookmarkEnd w:id="1051"/>
      <w:r>
        <w:rPr>
          <w:b/>
          <w:i w:val="0"/>
        </w:rPr>
        <w:t>oportet / necesse est / debet</w:t>
      </w:r>
      <w:r>
        <w:rPr>
          <w:b/>
          <w:i w:val="0"/>
        </w:rPr>
        <w:t>.</w:t>
      </w:r>
      <w:r>
        <w:rPr>
          <w:b w:val="0"/>
          <w:i w:val="0"/>
        </w:rPr>
        <w:t xml:space="preserve"> Printed forms: </w:t>
      </w:r>
      <w:r>
        <w:rPr>
          <w:b w:val="0"/>
          <w:i/>
        </w:rPr>
        <w:t>esse debet</w:t>
      </w:r>
      <w:r>
        <w:rPr>
          <w:b w:val="0"/>
          <w:i w:val="0"/>
        </w:rPr>
        <w:t xml:space="preserve">; </w:t>
      </w:r>
      <w:r>
        <w:rPr>
          <w:b w:val="0"/>
          <w:i/>
        </w:rPr>
        <w:t>necesse est</w:t>
      </w:r>
      <w:r>
        <w:rPr>
          <w:b w:val="0"/>
          <w:i w:val="0"/>
        </w:rPr>
        <w:t xml:space="preserve">; </w:t>
      </w:r>
      <w:r>
        <w:rPr>
          <w:b w:val="0"/>
          <w:i/>
        </w:rPr>
        <w:t>oportet</w:t>
      </w:r>
      <w:r>
        <w:rPr>
          <w:b w:val="0"/>
          <w:i w:val="0"/>
        </w:rPr>
        <w:t>.</w:t>
      </w:r>
    </w:p>
    <w:p>
      <w:pPr>
        <w:widowControl/>
      </w:pPr>
      <w:r>
        <w:rPr>
          <w:b w:val="0"/>
          <w:i w:val="0"/>
        </w:rPr>
        <w:t xml:space="preserve">It is required, necessary or must be so. These expressions state requirements inside Ficino’s deductions, such as the need for a superior form or for intermediates; they do not all express moral duties. References: </w:t>
      </w:r>
      <w:hyperlink w:anchor="passage-i-3-14">
        <w:r>
          <w:rPr>
            <w:color w:val="000000"/>
          </w:rPr>
          <w:t xml:space="preserve">I.3.14</w:t>
        </w:r>
      </w:hyperlink>
      <w:r>
        <w:rPr>
          <w:b w:val="0"/>
          <w:i w:val="0"/>
        </w:rPr>
        <w:t xml:space="preserve">, </w:t>
      </w:r>
      <w:hyperlink w:anchor="passage-i-3-15">
        <w:r>
          <w:rPr>
            <w:color w:val="000000"/>
          </w:rPr>
          <w:t xml:space="preserve">I.3.15</w:t>
        </w:r>
      </w:hyperlink>
      <w:r>
        <w:rPr>
          <w:b w:val="0"/>
          <w:i w:val="0"/>
        </w:rPr>
        <w:t xml:space="preserve">, </w:t>
      </w:r>
      <w:hyperlink w:anchor="passage-i-3-16">
        <w:r>
          <w:rPr>
            <w:color w:val="000000"/>
          </w:rPr>
          <w:t xml:space="preserve">I.3.16</w:t>
        </w:r>
      </w:hyperlink>
      <w:r>
        <w:rPr>
          <w:b w:val="0"/>
          <w:i w:val="0"/>
        </w:rPr>
        <w:t xml:space="preserve">, </w:t>
      </w:r>
      <w:hyperlink w:anchor="passage-i-3-30">
        <w:r>
          <w:rPr>
            <w:color w:val="000000"/>
          </w:rPr>
          <w:t xml:space="preserve">I.3.30</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1052" w:name="latin-record-0801"/>
      <w:bookmarkEnd w:id="1052"/>
      <w:r>
        <w:rPr>
          <w:b/>
          <w:i w:val="0"/>
        </w:rPr>
        <w:t>oppositus / contrarius / diversus</w:t>
      </w:r>
      <w:r>
        <w:rPr>
          <w:b/>
          <w:i w:val="0"/>
        </w:rPr>
        <w:t>.</w:t>
      </w:r>
      <w:r>
        <w:rPr>
          <w:b w:val="0"/>
          <w:i w:val="0"/>
        </w:rPr>
        <w:t xml:space="preserve"> Printed forms: </w:t>
      </w:r>
      <w:r>
        <w:rPr>
          <w:b w:val="0"/>
          <w:i/>
        </w:rPr>
        <w:t>contrarius</w:t>
      </w:r>
      <w:r>
        <w:rPr>
          <w:b w:val="0"/>
          <w:i w:val="0"/>
        </w:rPr>
        <w:t xml:space="preserve">; </w:t>
      </w:r>
      <w:r>
        <w:rPr>
          <w:b w:val="0"/>
          <w:i/>
        </w:rPr>
        <w:t>dissimiles</w:t>
      </w:r>
      <w:r>
        <w:rPr>
          <w:b w:val="0"/>
          <w:i w:val="0"/>
        </w:rPr>
        <w:t xml:space="preserve">; </w:t>
      </w:r>
      <w:r>
        <w:rPr>
          <w:b w:val="0"/>
          <w:i/>
        </w:rPr>
        <w:t>diversa</w:t>
      </w:r>
      <w:r>
        <w:rPr>
          <w:b w:val="0"/>
          <w:i w:val="0"/>
        </w:rPr>
        <w:t xml:space="preserve">; </w:t>
      </w:r>
      <w:r>
        <w:rPr>
          <w:b w:val="0"/>
          <w:i/>
        </w:rPr>
        <w:t>diversos</w:t>
      </w:r>
      <w:r>
        <w:rPr>
          <w:b w:val="0"/>
          <w:i w:val="0"/>
        </w:rPr>
        <w:t xml:space="preserve">; </w:t>
      </w:r>
      <w:r>
        <w:rPr>
          <w:b w:val="0"/>
          <w:i/>
        </w:rPr>
        <w:t>opposita</w:t>
      </w:r>
      <w:r>
        <w:rPr>
          <w:b w:val="0"/>
          <w:i w:val="0"/>
        </w:rPr>
        <w:t>.</w:t>
      </w:r>
    </w:p>
    <w:p>
      <w:pPr>
        <w:widowControl/>
      </w:pPr>
      <w:r>
        <w:rPr>
          <w:b w:val="0"/>
          <w:i w:val="0"/>
        </w:rPr>
        <w:t xml:space="preserve">Opposed, contrary, diverse, or unlike, with degrees of contrast distinguished. Difference can coexist with common being; absolute evil excludes all good; passivity is opposed to act. References: </w:t>
      </w:r>
      <w:hyperlink w:anchor="passage-ii-2-13">
        <w:r>
          <w:rPr>
            <w:color w:val="000000"/>
          </w:rPr>
          <w:t xml:space="preserve">II.2.13</w:t>
        </w:r>
      </w:hyperlink>
      <w:r>
        <w:rPr>
          <w:b w:val="0"/>
          <w:i w:val="0"/>
        </w:rPr>
        <w:t xml:space="preserve">, </w:t>
      </w:r>
      <w:hyperlink w:anchor="passage-ii-2-15">
        <w:r>
          <w:rPr>
            <w:color w:val="000000"/>
          </w:rPr>
          <w:t xml:space="preserve">II.2.15</w:t>
        </w:r>
      </w:hyperlink>
      <w:r>
        <w:rPr>
          <w:b w:val="0"/>
          <w:i w:val="0"/>
        </w:rPr>
        <w:t xml:space="preserve">, </w:t>
      </w:r>
      <w:hyperlink w:anchor="passage-ii-4-1">
        <w:r>
          <w:rPr>
            <w:color w:val="000000"/>
          </w:rPr>
          <w:t xml:space="preserve">II.4.1</w:t>
        </w:r>
      </w:hyperlink>
      <w:r>
        <w:rPr>
          <w:b w:val="0"/>
          <w:i w:val="0"/>
        </w:rPr>
        <w:t xml:space="preserve">, </w:t>
      </w:r>
      <w:hyperlink w:anchor="passage-ii-7-27">
        <w:r>
          <w:rPr>
            <w:color w:val="000000"/>
          </w:rPr>
          <w:t xml:space="preserve">II.7.27</w:t>
        </w:r>
      </w:hyperlink>
      <w:r>
        <w:rPr>
          <w:b w:val="0"/>
          <w:i w:val="0"/>
        </w:rPr>
        <w:t xml:space="preserve">. See </w:t>
      </w:r>
      <w:hyperlink w:anchor="contraries-and-opposition">
        <w:r>
          <w:rPr>
            <w:color w:val="000000"/>
          </w:rPr>
          <w:t xml:space="preserve">Contraries and opposition</w:t>
        </w:r>
      </w:hyperlink>
      <w:r>
        <w:rPr>
          <w:b w:val="0"/>
          <w:i w:val="0"/>
        </w:rPr>
        <w:t>.</w:t>
      </w:r>
    </w:p>
    <w:p>
      <w:pPr>
        <w:keepNext/>
        <w:widowControl/>
      </w:pPr>
      <w:bookmarkStart w:id="1053" w:name="latin-record-0802"/>
      <w:bookmarkEnd w:id="1053"/>
      <w:r>
        <w:rPr>
          <w:b/>
          <w:i w:val="0"/>
        </w:rPr>
        <w:t>opto / cupio</w:t>
      </w:r>
      <w:r>
        <w:rPr>
          <w:b/>
          <w:i w:val="0"/>
        </w:rPr>
        <w:t>.</w:t>
      </w:r>
      <w:r>
        <w:rPr>
          <w:b w:val="0"/>
          <w:i w:val="0"/>
        </w:rPr>
        <w:t xml:space="preserve"> Printed forms: </w:t>
      </w:r>
      <w:r>
        <w:rPr>
          <w:b w:val="0"/>
          <w:i/>
        </w:rPr>
        <w:t>cupit</w:t>
      </w:r>
      <w:r>
        <w:rPr>
          <w:b w:val="0"/>
          <w:i w:val="0"/>
        </w:rPr>
        <w:t xml:space="preserve">; </w:t>
      </w:r>
      <w:r>
        <w:rPr>
          <w:b w:val="0"/>
          <w:i/>
        </w:rPr>
        <w:t>optat</w:t>
      </w:r>
      <w:r>
        <w:rPr>
          <w:b w:val="0"/>
          <w:i w:val="0"/>
        </w:rPr>
        <w:t>.</w:t>
      </w:r>
    </w:p>
    <w:p>
      <w:pPr>
        <w:widowControl/>
      </w:pPr>
      <w:r>
        <w:rPr>
          <w:b w:val="0"/>
          <w:i w:val="0"/>
        </w:rPr>
        <w:t xml:space="preserve">To desire or long for an object. Desiring to know God and the mind’s desire for truth’s light concern intellectual orientation rather than bodily appetite alone. References: </w:t>
      </w:r>
      <w:hyperlink w:anchor="passage-proem-4">
        <w:r>
          <w:rPr>
            <w:color w:val="000000"/>
          </w:rPr>
          <w:t xml:space="preserve">Proem.4</w:t>
        </w:r>
      </w:hyperlink>
      <w:r>
        <w:rPr>
          <w:b w:val="0"/>
          <w:i w:val="0"/>
        </w:rPr>
        <w:t xml:space="preserve">, </w:t>
      </w:r>
      <w:hyperlink w:anchor="passage-i-1-6">
        <w:r>
          <w:rPr>
            <w:color w:val="000000"/>
          </w:rPr>
          <w:t xml:space="preserve">I.1.6</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1054" w:name="latin-record-0803"/>
      <w:bookmarkEnd w:id="1054"/>
      <w:r>
        <w:rPr>
          <w:b/>
          <w:i w:val="0"/>
        </w:rPr>
        <w:t>opus</w:t>
      </w:r>
      <w:r>
        <w:rPr>
          <w:b/>
          <w:i w:val="0"/>
        </w:rPr>
        <w:t>.</w:t>
      </w:r>
      <w:r>
        <w:rPr>
          <w:b w:val="0"/>
          <w:i w:val="0"/>
        </w:rPr>
        <w:t xml:space="preserve"> Printed forms: </w:t>
      </w:r>
      <w:r>
        <w:rPr>
          <w:b w:val="0"/>
          <w:i/>
        </w:rPr>
        <w:t>operis</w:t>
      </w:r>
      <w:r>
        <w:rPr>
          <w:b w:val="0"/>
          <w:i w:val="0"/>
        </w:rPr>
        <w:t xml:space="preserve">; </w:t>
      </w:r>
      <w:r>
        <w:rPr>
          <w:b w:val="0"/>
          <w:i/>
        </w:rPr>
        <w:t>opus</w:t>
      </w:r>
      <w:r>
        <w:rPr>
          <w:b w:val="0"/>
          <w:i w:val="0"/>
        </w:rPr>
        <w:t>.</w:t>
      </w:r>
    </w:p>
    <w:p>
      <w:pPr>
        <w:widowControl/>
      </w:pPr>
      <w:r>
        <w:rPr>
          <w:b w:val="0"/>
          <w:i w:val="0"/>
        </w:rPr>
        <w:t xml:space="preserve">Work or product; also need in opus est. God’s one work requires unity of parts, while opus est medio means a middle is needed. The idiom must not be read as a separately manufactured work. References: </w:t>
      </w:r>
      <w:hyperlink w:anchor="passage-ii-13-2">
        <w:r>
          <w:rPr>
            <w:color w:val="000000"/>
          </w:rPr>
          <w:t xml:space="preserve">II.13.2</w:t>
        </w:r>
      </w:hyperlink>
      <w:r>
        <w:rPr>
          <w:b w:val="0"/>
          <w:i w:val="0"/>
        </w:rPr>
        <w:t xml:space="preserve">, </w:t>
      </w:r>
      <w:hyperlink w:anchor="passage-iii-2-2">
        <w:r>
          <w:rPr>
            <w:color w:val="000000"/>
          </w:rPr>
          <w:t xml:space="preserve">III.2.2</w:t>
        </w:r>
      </w:hyperlink>
      <w:r>
        <w:rPr>
          <w:b w:val="0"/>
          <w:i w:val="0"/>
        </w:rPr>
        <w:t xml:space="preserve">, </w:t>
      </w:r>
      <w:hyperlink w:anchor="passage-iii-2-6">
        <w:r>
          <w:rPr>
            <w:color w:val="000000"/>
          </w:rPr>
          <w:t xml:space="preserve">III.2.6</w:t>
        </w:r>
      </w:hyperlink>
      <w:r>
        <w:rPr>
          <w:b w:val="0"/>
          <w:i w:val="0"/>
        </w:rPr>
        <w:t xml:space="preserve">, </w:t>
      </w:r>
      <w:hyperlink w:anchor="passage-iii-2-7">
        <w:r>
          <w:rPr>
            <w:color w:val="000000"/>
          </w:rPr>
          <w:t xml:space="preserve">III.2.7</w:t>
        </w:r>
      </w:hyperlink>
      <w:r>
        <w:rPr>
          <w:b w:val="0"/>
          <w:i w:val="0"/>
        </w:rPr>
        <w:t xml:space="preserve">. See </w:t>
      </w:r>
      <w:hyperlink w:anchor="art-and-nature">
        <w:r>
          <w:rPr>
            <w:color w:val="000000"/>
          </w:rPr>
          <w:t xml:space="preserve">Art and nature</w:t>
        </w:r>
      </w:hyperlink>
      <w:r>
        <w:rPr>
          <w:b w:val="0"/>
          <w:i w:val="0"/>
        </w:rPr>
        <w:t>.</w:t>
      </w:r>
    </w:p>
    <w:p>
      <w:pPr>
        <w:keepNext/>
        <w:widowControl/>
      </w:pPr>
      <w:bookmarkStart w:id="1055" w:name="latin-record-0804"/>
      <w:bookmarkEnd w:id="1055"/>
      <w:r>
        <w:rPr>
          <w:b/>
          <w:i w:val="0"/>
        </w:rPr>
        <w:t>opus / operari / operatio</w:t>
      </w:r>
      <w:r>
        <w:rPr>
          <w:b/>
          <w:i w:val="0"/>
        </w:rPr>
        <w:t>.</w:t>
      </w:r>
      <w:r>
        <w:rPr>
          <w:b w:val="0"/>
          <w:i w:val="0"/>
        </w:rPr>
        <w:t xml:space="preserve"> Printed forms: </w:t>
      </w:r>
      <w:r>
        <w:rPr>
          <w:b w:val="0"/>
          <w:i/>
        </w:rPr>
        <w:t>operari</w:t>
      </w:r>
      <w:r>
        <w:rPr>
          <w:b w:val="0"/>
          <w:i w:val="0"/>
        </w:rPr>
        <w:t xml:space="preserve">; </w:t>
      </w:r>
      <w:r>
        <w:rPr>
          <w:b w:val="0"/>
          <w:i/>
        </w:rPr>
        <w:t>operatio</w:t>
      </w:r>
      <w:r>
        <w:rPr>
          <w:b w:val="0"/>
          <w:i w:val="0"/>
        </w:rPr>
        <w:t xml:space="preserve">; </w:t>
      </w:r>
      <w:r>
        <w:rPr>
          <w:b w:val="0"/>
          <w:i/>
        </w:rPr>
        <w:t>operationem</w:t>
      </w:r>
      <w:r>
        <w:rPr>
          <w:b w:val="0"/>
          <w:i w:val="0"/>
        </w:rPr>
        <w:t xml:space="preserve">; </w:t>
      </w:r>
      <w:r>
        <w:rPr>
          <w:b w:val="0"/>
          <w:i/>
        </w:rPr>
        <w:t>operatur</w:t>
      </w:r>
      <w:r>
        <w:rPr>
          <w:b w:val="0"/>
          <w:i w:val="0"/>
        </w:rPr>
        <w:t>.</w:t>
      </w:r>
    </w:p>
    <w:p>
      <w:pPr>
        <w:widowControl/>
      </w:pPr>
      <w:r>
        <w:rPr>
          <w:b w:val="0"/>
          <w:i w:val="0"/>
        </w:rPr>
        <w:t xml:space="preserve">Work as effect; acting or operation as exercise of power. The same family names an angel’s product and divine operation, whose relation to essence differs from creaturely activity. References: </w:t>
      </w:r>
      <w:hyperlink w:anchor="passage-ii-7-23">
        <w:r>
          <w:rPr>
            <w:color w:val="000000"/>
          </w:rPr>
          <w:t xml:space="preserve">II.7.23</w:t>
        </w:r>
      </w:hyperlink>
      <w:r>
        <w:rPr>
          <w:b w:val="0"/>
          <w:i w:val="0"/>
        </w:rPr>
        <w:t xml:space="preserve">, </w:t>
      </w:r>
      <w:hyperlink w:anchor="passage-ii-8-5">
        <w:r>
          <w:rPr>
            <w:color w:val="000000"/>
          </w:rPr>
          <w:t xml:space="preserve">II.8.5</w:t>
        </w:r>
      </w:hyperlink>
      <w:r>
        <w:rPr>
          <w:b w:val="0"/>
          <w:i w:val="0"/>
        </w:rPr>
        <w:t xml:space="preserve">, </w:t>
      </w:r>
      <w:hyperlink w:anchor="passage-ii-9-5">
        <w:r>
          <w:rPr>
            <w:color w:val="000000"/>
          </w:rPr>
          <w:t xml:space="preserve">II.9.5</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1056" w:name="latin-record-0805"/>
      <w:bookmarkEnd w:id="1056"/>
      <w:r>
        <w:rPr>
          <w:b/>
          <w:i w:val="0"/>
        </w:rPr>
        <w:t>oraculum</w:t>
      </w:r>
      <w:r>
        <w:rPr>
          <w:b/>
          <w:i w:val="0"/>
        </w:rPr>
        <w:t>.</w:t>
      </w:r>
      <w:r>
        <w:rPr>
          <w:b w:val="0"/>
          <w:i w:val="0"/>
        </w:rPr>
        <w:t xml:space="preserve"> Printed forms: </w:t>
      </w:r>
      <w:r>
        <w:rPr>
          <w:b w:val="0"/>
          <w:i/>
        </w:rPr>
        <w:t>oraculum</w:t>
      </w:r>
      <w:r>
        <w:rPr>
          <w:b w:val="0"/>
          <w:i w:val="0"/>
        </w:rPr>
        <w:t>.</w:t>
      </w:r>
    </w:p>
    <w:p>
      <w:pPr>
        <w:widowControl/>
      </w:pPr>
      <w:r>
        <w:rPr>
          <w:b w:val="0"/>
          <w:i w:val="0"/>
        </w:rPr>
        <w:t xml:space="preserve">An oracular saying or pronouncement. Ficino calls </w:t>
      </w:r>
      <w:r>
        <w:t>“</w:t>
      </w:r>
      <w:r>
        <w:rPr>
          <w:b w:val="0"/>
          <w:i w:val="0"/>
        </w:rPr>
        <w:t>Know yourself</w:t>
      </w:r>
      <w:r>
        <w:t>”</w:t>
      </w:r>
      <w:r>
        <w:rPr>
          <w:b w:val="0"/>
          <w:i w:val="0"/>
        </w:rPr>
        <w:t xml:space="preserve"> an oracle and supplies his preferred theological interpretation, without telling a full history of the inscription. References: </w:t>
      </w:r>
      <w:hyperlink w:anchor="passage-proem-4">
        <w:r>
          <w:rPr>
            <w:color w:val="000000"/>
          </w:rPr>
          <w:t xml:space="preserve">Proem.4</w:t>
        </w:r>
      </w:hyperlink>
      <w:r>
        <w:rPr>
          <w:b w:val="0"/>
          <w:i w:val="0"/>
        </w:rPr>
        <w:t xml:space="preserve">. See </w:t>
      </w:r>
      <w:hyperlink w:anchor="self-knowledge">
        <w:r>
          <w:rPr>
            <w:color w:val="000000"/>
          </w:rPr>
          <w:t xml:space="preserve">Self knowledge</w:t>
        </w:r>
      </w:hyperlink>
      <w:r>
        <w:rPr>
          <w:b w:val="0"/>
          <w:i w:val="0"/>
        </w:rPr>
        <w:t>.</w:t>
      </w:r>
    </w:p>
    <w:p>
      <w:pPr>
        <w:keepNext/>
        <w:widowControl/>
      </w:pPr>
      <w:bookmarkStart w:id="1057" w:name="latin-record-0806"/>
      <w:bookmarkEnd w:id="1057"/>
      <w:r>
        <w:rPr>
          <w:b/>
          <w:i w:val="0"/>
        </w:rPr>
        <w:t>ordinare</w:t>
      </w:r>
      <w:r>
        <w:rPr>
          <w:b/>
          <w:i w:val="0"/>
        </w:rPr>
        <w:t>.</w:t>
      </w:r>
      <w:r>
        <w:rPr>
          <w:b w:val="0"/>
          <w:i w:val="0"/>
        </w:rPr>
        <w:t xml:space="preserve"> Printed forms: </w:t>
      </w:r>
      <w:r>
        <w:rPr>
          <w:b w:val="0"/>
          <w:i/>
        </w:rPr>
        <w:t>ordinet</w:t>
      </w:r>
      <w:r>
        <w:rPr>
          <w:b w:val="0"/>
          <w:i w:val="0"/>
        </w:rPr>
        <w:t>.</w:t>
      </w:r>
    </w:p>
    <w:p>
      <w:pPr>
        <w:widowControl/>
      </w:pPr>
      <w:r>
        <w:rPr>
          <w:b w:val="0"/>
          <w:i w:val="0"/>
        </w:rPr>
        <w:t xml:space="preserve">To arrange causes toward an effect. Ordering is the role demanded of the single cause governing a plurality of contributors. References: </w:t>
      </w:r>
      <w:hyperlink w:anchor="passage-iv-1-8">
        <w:r>
          <w:rPr>
            <w:color w:val="000000"/>
          </w:rPr>
          <w:t xml:space="preserve">IV.1.8</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1058" w:name="latin-record-0807"/>
      <w:bookmarkEnd w:id="1058"/>
      <w:r>
        <w:rPr>
          <w:b/>
          <w:i w:val="0"/>
        </w:rPr>
        <w:t>ordinare / ordinator / ordo</w:t>
      </w:r>
      <w:r>
        <w:rPr>
          <w:b/>
          <w:i w:val="0"/>
        </w:rPr>
        <w:t>.</w:t>
      </w:r>
      <w:r>
        <w:rPr>
          <w:b w:val="0"/>
          <w:i w:val="0"/>
        </w:rPr>
        <w:t xml:space="preserve"> Printed forms: </w:t>
      </w:r>
      <w:r>
        <w:rPr>
          <w:b w:val="0"/>
          <w:i/>
        </w:rPr>
        <w:t>ordinator</w:t>
      </w:r>
      <w:r>
        <w:rPr>
          <w:b w:val="0"/>
          <w:i w:val="0"/>
        </w:rPr>
        <w:t xml:space="preserve">; </w:t>
      </w:r>
      <w:r>
        <w:rPr>
          <w:b w:val="0"/>
          <w:i/>
        </w:rPr>
        <w:t>ordinatore</w:t>
      </w:r>
      <w:r>
        <w:rPr>
          <w:b w:val="0"/>
          <w:i w:val="0"/>
        </w:rPr>
        <w:t xml:space="preserve">; </w:t>
      </w:r>
      <w:r>
        <w:rPr>
          <w:b w:val="0"/>
          <w:i/>
        </w:rPr>
        <w:t>ordinatoribus</w:t>
      </w:r>
      <w:r>
        <w:rPr>
          <w:b w:val="0"/>
          <w:i w:val="0"/>
        </w:rPr>
        <w:t xml:space="preserve">; </w:t>
      </w:r>
      <w:r>
        <w:rPr>
          <w:b w:val="0"/>
          <w:i/>
        </w:rPr>
        <w:t>ordine</w:t>
      </w:r>
      <w:r>
        <w:rPr>
          <w:b w:val="0"/>
          <w:i w:val="0"/>
        </w:rPr>
        <w:t xml:space="preserve">; </w:t>
      </w:r>
      <w:r>
        <w:rPr>
          <w:b w:val="0"/>
          <w:i/>
        </w:rPr>
        <w:t>ordinem</w:t>
      </w:r>
      <w:r>
        <w:rPr>
          <w:b w:val="0"/>
          <w:i w:val="0"/>
        </w:rPr>
        <w:t xml:space="preserve">; </w:t>
      </w:r>
      <w:r>
        <w:rPr>
          <w:b w:val="0"/>
          <w:i/>
        </w:rPr>
        <w:t>ordo</w:t>
      </w:r>
      <w:r>
        <w:rPr>
          <w:b w:val="0"/>
          <w:i w:val="0"/>
        </w:rPr>
        <w:t>.</w:t>
      </w:r>
    </w:p>
    <w:p>
      <w:pPr>
        <w:widowControl/>
      </w:pPr>
      <w:r>
        <w:rPr>
          <w:b w:val="0"/>
          <w:i w:val="0"/>
        </w:rPr>
        <w:t xml:space="preserve">To order, an arranger, or an ordered relation and hierarchy. A source and end coordinate diverse parts; the order of effects discloses the order of causes. References: </w:t>
      </w:r>
      <w:hyperlink w:anchor="passage-ii-2-8">
        <w:r>
          <w:rPr>
            <w:color w:val="000000"/>
          </w:rPr>
          <w:t xml:space="preserve">II.2.8</w:t>
        </w:r>
      </w:hyperlink>
      <w:r>
        <w:rPr>
          <w:b w:val="0"/>
          <w:i w:val="0"/>
        </w:rPr>
        <w:t xml:space="preserve">, </w:t>
      </w:r>
      <w:hyperlink w:anchor="passage-ii-2-10">
        <w:r>
          <w:rPr>
            <w:color w:val="000000"/>
          </w:rPr>
          <w:t xml:space="preserve">II.2.10</w:t>
        </w:r>
      </w:hyperlink>
      <w:r>
        <w:rPr>
          <w:b w:val="0"/>
          <w:i w:val="0"/>
        </w:rPr>
        <w:t xml:space="preserve">, </w:t>
      </w:r>
      <w:hyperlink w:anchor="passage-ii-7-28">
        <w:r>
          <w:rPr>
            <w:color w:val="000000"/>
          </w:rPr>
          <w:t xml:space="preserve">II.7.28</w:t>
        </w:r>
      </w:hyperlink>
      <w:r>
        <w:rPr>
          <w:b w:val="0"/>
          <w:i w:val="0"/>
        </w:rPr>
        <w:t xml:space="preserve">, </w:t>
      </w:r>
      <w:hyperlink w:anchor="passage-ii-9-22">
        <w:r>
          <w:rPr>
            <w:color w:val="000000"/>
          </w:rPr>
          <w:t xml:space="preserve">II.9.22</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1059" w:name="latin-record-0808"/>
      <w:bookmarkEnd w:id="1059"/>
      <w:r>
        <w:rPr>
          <w:b/>
          <w:i w:val="0"/>
        </w:rPr>
        <w:t>ordo / ordinare</w:t>
      </w:r>
      <w:r>
        <w:rPr>
          <w:b/>
          <w:i w:val="0"/>
        </w:rPr>
        <w:t>.</w:t>
      </w:r>
      <w:r>
        <w:rPr>
          <w:b w:val="0"/>
          <w:i w:val="0"/>
        </w:rPr>
        <w:t xml:space="preserve"> Printed forms: </w:t>
      </w:r>
      <w:r>
        <w:rPr>
          <w:b w:val="0"/>
          <w:i/>
        </w:rPr>
        <w:t>ordinantur</w:t>
      </w:r>
      <w:r>
        <w:rPr>
          <w:b w:val="0"/>
          <w:i w:val="0"/>
        </w:rPr>
        <w:t xml:space="preserve">; </w:t>
      </w:r>
      <w:r>
        <w:rPr>
          <w:b w:val="0"/>
          <w:i/>
        </w:rPr>
        <w:t>ordo</w:t>
      </w:r>
      <w:r>
        <w:rPr>
          <w:b w:val="0"/>
          <w:i w:val="0"/>
        </w:rPr>
        <w:t>.</w:t>
      </w:r>
    </w:p>
    <w:p>
      <w:pPr>
        <w:widowControl/>
      </w:pPr>
      <w:r>
        <w:rPr>
          <w:b w:val="0"/>
          <w:i w:val="0"/>
        </w:rPr>
        <w:t xml:space="preserve">Order or rank / arrange toward an end. The world’s differentiated parts and subordinate causes form a coordinated whole; order need not erase contingency or free judgment. References: </w:t>
      </w:r>
      <w:hyperlink w:anchor="passage-ii-11-18">
        <w:r>
          <w:rPr>
            <w:color w:val="000000"/>
          </w:rPr>
          <w:t xml:space="preserve">II.11.18</w:t>
        </w:r>
      </w:hyperlink>
      <w:r>
        <w:rPr>
          <w:b w:val="0"/>
          <w:i w:val="0"/>
        </w:rPr>
        <w:t xml:space="preserve">, </w:t>
      </w:r>
      <w:hyperlink w:anchor="passage-ii-12-20">
        <w:r>
          <w:rPr>
            <w:color w:val="000000"/>
          </w:rPr>
          <w:t xml:space="preserve">II.12.20</w:t>
        </w:r>
      </w:hyperlink>
      <w:r>
        <w:rPr>
          <w:b w:val="0"/>
          <w:i w:val="0"/>
        </w:rPr>
        <w:t xml:space="preserve">, </w:t>
      </w:r>
      <w:hyperlink w:anchor="passage-ii-13-12">
        <w:r>
          <w:rPr>
            <w:color w:val="000000"/>
          </w:rPr>
          <w:t xml:space="preserve">II.13.12</w:t>
        </w:r>
      </w:hyperlink>
      <w:r>
        <w:rPr>
          <w:b w:val="0"/>
          <w:i w:val="0"/>
        </w:rPr>
        <w:t xml:space="preserve">, </w:t>
      </w:r>
      <w:hyperlink w:anchor="passage-ii-13-18">
        <w:r>
          <w:rPr>
            <w:color w:val="000000"/>
          </w:rPr>
          <w:t xml:space="preserve">II.13.18</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1060" w:name="latin-record-0809"/>
      <w:bookmarkEnd w:id="1060"/>
      <w:r>
        <w:rPr>
          <w:b/>
          <w:i w:val="0"/>
        </w:rPr>
        <w:t>ordo / umbra / imago</w:t>
      </w:r>
      <w:r>
        <w:rPr>
          <w:b/>
          <w:i w:val="0"/>
        </w:rPr>
        <w:t>.</w:t>
      </w:r>
      <w:r>
        <w:rPr>
          <w:b w:val="0"/>
          <w:i w:val="0"/>
        </w:rPr>
        <w:t xml:space="preserve"> Printed forms: </w:t>
      </w:r>
      <w:r>
        <w:rPr>
          <w:b w:val="0"/>
          <w:i/>
        </w:rPr>
        <w:t>imagines</w:t>
      </w:r>
      <w:r>
        <w:rPr>
          <w:b w:val="0"/>
          <w:i w:val="0"/>
        </w:rPr>
        <w:t xml:space="preserve">; </w:t>
      </w:r>
      <w:r>
        <w:rPr>
          <w:b w:val="0"/>
          <w:i/>
        </w:rPr>
        <w:t>ordines</w:t>
      </w:r>
      <w:r>
        <w:rPr>
          <w:b w:val="0"/>
          <w:i w:val="0"/>
        </w:rPr>
        <w:t xml:space="preserve">; </w:t>
      </w:r>
      <w:r>
        <w:rPr>
          <w:b w:val="0"/>
          <w:i/>
        </w:rPr>
        <w:t>umbrae</w:t>
      </w:r>
      <w:r>
        <w:rPr>
          <w:b w:val="0"/>
          <w:i w:val="0"/>
        </w:rPr>
        <w:t>.</w:t>
      </w:r>
    </w:p>
    <w:p>
      <w:pPr>
        <w:widowControl/>
      </w:pPr>
      <w:r>
        <w:rPr>
          <w:b w:val="0"/>
          <w:i w:val="0"/>
        </w:rPr>
        <w:t xml:space="preserve">Ranks or ordered arrangements, shadows and images. Ficino reports some who distinguish angelic orders through corresponding souls and bodies; the analogy does not identify the levels. References: </w:t>
      </w:r>
      <w:hyperlink w:anchor="passage-i-5-28">
        <w:r>
          <w:rPr>
            <w:color w:val="000000"/>
          </w:rPr>
          <w:t xml:space="preserve">I.5.28</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1061" w:name="latin-record-0810"/>
      <w:bookmarkEnd w:id="1061"/>
      <w:r>
        <w:rPr>
          <w:b/>
          <w:i w:val="0"/>
        </w:rPr>
        <w:t>orior / initium</w:t>
      </w:r>
      <w:r>
        <w:rPr>
          <w:b/>
          <w:i w:val="0"/>
        </w:rPr>
        <w:t>.</w:t>
      </w:r>
      <w:r>
        <w:rPr>
          <w:b w:val="0"/>
          <w:i w:val="0"/>
        </w:rPr>
        <w:t xml:space="preserve"> Printed forms: </w:t>
      </w:r>
      <w:r>
        <w:rPr>
          <w:b w:val="0"/>
          <w:i/>
        </w:rPr>
        <w:t>initium</w:t>
      </w:r>
      <w:r>
        <w:rPr>
          <w:b w:val="0"/>
          <w:i w:val="0"/>
        </w:rPr>
        <w:t xml:space="preserve">; </w:t>
      </w:r>
      <w:r>
        <w:rPr>
          <w:b w:val="0"/>
          <w:i/>
        </w:rPr>
        <w:t>oriatur</w:t>
      </w:r>
      <w:r>
        <w:rPr>
          <w:b w:val="0"/>
          <w:i w:val="0"/>
        </w:rPr>
        <w:t xml:space="preserve">; </w:t>
      </w:r>
      <w:r>
        <w:rPr>
          <w:b w:val="0"/>
          <w:i/>
        </w:rPr>
        <w:t>oritur</w:t>
      </w:r>
      <w:r>
        <w:rPr>
          <w:b w:val="0"/>
          <w:i w:val="0"/>
        </w:rPr>
        <w:t>.</w:t>
      </w:r>
    </w:p>
    <w:p>
      <w:pPr>
        <w:widowControl/>
      </w:pPr>
      <w:r>
        <w:rPr>
          <w:b w:val="0"/>
          <w:i w:val="0"/>
        </w:rPr>
        <w:t xml:space="preserve">To originate and a beginning. Quality begins and perishes; whatever gives its beginning must precede it, so it cannot be its own sufficient origin. References: </w:t>
      </w:r>
      <w:hyperlink w:anchor="passage-i-3-5">
        <w:r>
          <w:rPr>
            <w:color w:val="000000"/>
          </w:rPr>
          <w:t xml:space="preserve">I.3.5</w:t>
        </w:r>
      </w:hyperlink>
      <w:r>
        <w:rPr>
          <w:b w:val="0"/>
          <w:i w:val="0"/>
        </w:rPr>
        <w:t xml:space="preserve">. See </w:t>
      </w:r>
      <w:hyperlink w:anchor="precedence-and-causal-regress">
        <w:r>
          <w:rPr>
            <w:color w:val="000000"/>
          </w:rPr>
          <w:t xml:space="preserve">Precedence and causal regress</w:t>
        </w:r>
      </w:hyperlink>
      <w:r>
        <w:rPr>
          <w:b w:val="0"/>
          <w:i w:val="0"/>
        </w:rPr>
        <w:t>.</w:t>
      </w:r>
    </w:p>
    <w:p>
      <w:pPr>
        <w:keepNext/>
        <w:widowControl/>
      </w:pPr>
      <w:bookmarkStart w:id="1062" w:name="latin-record-0811"/>
      <w:bookmarkEnd w:id="1062"/>
      <w:r>
        <w:rPr>
          <w:b/>
          <w:i w:val="0"/>
        </w:rPr>
        <w:t>orno</w:t>
      </w:r>
      <w:r>
        <w:rPr>
          <w:b/>
          <w:i w:val="0"/>
        </w:rPr>
        <w:t>.</w:t>
      </w:r>
      <w:r>
        <w:rPr>
          <w:b w:val="0"/>
          <w:i w:val="0"/>
        </w:rPr>
        <w:t xml:space="preserve"> Printed forms: </w:t>
      </w:r>
      <w:r>
        <w:rPr>
          <w:b w:val="0"/>
          <w:i/>
        </w:rPr>
        <w:t>ornetur</w:t>
      </w:r>
      <w:r>
        <w:rPr>
          <w:b w:val="0"/>
          <w:i w:val="0"/>
        </w:rPr>
        <w:t>.</w:t>
      </w:r>
    </w:p>
    <w:p>
      <w:pPr>
        <w:widowControl/>
      </w:pPr>
      <w:r>
        <w:rPr>
          <w:b w:val="0"/>
          <w:i w:val="0"/>
        </w:rPr>
        <w:t xml:space="preserve">To adorn or equip with form. Matter’s changing adornment requires an external formative source; the verb’s aesthetic colouring does not replace the causal question. References: </w:t>
      </w:r>
      <w:hyperlink w:anchor="passage-i-3-6">
        <w:r>
          <w:rPr>
            <w:color w:val="000000"/>
          </w:rPr>
          <w:t xml:space="preserve">I.3.6</w:t>
        </w:r>
      </w:hyperlink>
      <w:r>
        <w:rPr>
          <w:b w:val="0"/>
          <w:i w:val="0"/>
        </w:rPr>
        <w:t xml:space="preserve">. See </w:t>
      </w:r>
      <w:hyperlink w:anchor="beauty-and-fittingness">
        <w:r>
          <w:rPr>
            <w:color w:val="000000"/>
          </w:rPr>
          <w:t xml:space="preserve">Beauty and fittingness</w:t>
        </w:r>
      </w:hyperlink>
      <w:r>
        <w:rPr>
          <w:b w:val="0"/>
          <w:i w:val="0"/>
        </w:rPr>
        <w:t>.</w:t>
      </w:r>
    </w:p>
    <w:p>
      <w:pPr>
        <w:keepNext/>
        <w:widowControl/>
      </w:pPr>
      <w:bookmarkStart w:id="1063" w:name="latin-record-0812"/>
      <w:bookmarkEnd w:id="1063"/>
      <w:r>
        <w:rPr>
          <w:b/>
          <w:i w:val="0"/>
        </w:rPr>
        <w:t>Oromasis / Mitris / Arimanis</w:t>
      </w:r>
      <w:r>
        <w:rPr>
          <w:b/>
          <w:i w:val="0"/>
        </w:rPr>
        <w:t>.</w:t>
      </w:r>
      <w:r>
        <w:rPr>
          <w:b w:val="0"/>
          <w:i w:val="0"/>
        </w:rPr>
        <w:t xml:space="preserve"> Printed forms: </w:t>
      </w:r>
      <w:r>
        <w:rPr>
          <w:b w:val="0"/>
          <w:i/>
        </w:rPr>
        <w:t>Arimanis</w:t>
      </w:r>
      <w:r>
        <w:rPr>
          <w:b w:val="0"/>
          <w:i w:val="0"/>
        </w:rPr>
        <w:t xml:space="preserve">; </w:t>
      </w:r>
      <w:r>
        <w:rPr>
          <w:b w:val="0"/>
          <w:i/>
        </w:rPr>
        <w:t>Mitris</w:t>
      </w:r>
      <w:r>
        <w:rPr>
          <w:b w:val="0"/>
          <w:i w:val="0"/>
        </w:rPr>
        <w:t xml:space="preserve">; </w:t>
      </w:r>
      <w:r>
        <w:rPr>
          <w:b w:val="0"/>
          <w:i/>
        </w:rPr>
        <w:t>Oromasis</w:t>
      </w:r>
      <w:r>
        <w:rPr>
          <w:b w:val="0"/>
          <w:i w:val="0"/>
        </w:rPr>
        <w:t>.</w:t>
      </w:r>
    </w:p>
    <w:p>
      <w:pPr>
        <w:widowControl/>
      </w:pPr>
      <w:r>
        <w:rPr>
          <w:b w:val="0"/>
          <w:i w:val="0"/>
        </w:rPr>
        <w:t xml:space="preserve">The three rulers named in Ficino’s account of the Magi. He glosses them as God, mind, and soul, distributing unity, order, and motion among their effects. References: </w:t>
      </w:r>
      <w:hyperlink w:anchor="passage-iv-1-86">
        <w:r>
          <w:rPr>
            <w:color w:val="000000"/>
          </w:rPr>
          <w:t xml:space="preserve">IV.1.86</w:t>
        </w:r>
      </w:hyperlink>
      <w:r>
        <w:rPr>
          <w:b w:val="0"/>
          <w:i w:val="0"/>
        </w:rPr>
        <w:t xml:space="preserve">. See </w:t>
      </w:r>
      <w:hyperlink w:anchor="hermetic-theologians-and-the-magi">
        <w:r>
          <w:rPr>
            <w:color w:val="000000"/>
          </w:rPr>
          <w:t xml:space="preserve">Hermetic theologians and the Magi</w:t>
        </w:r>
      </w:hyperlink>
      <w:r>
        <w:rPr>
          <w:b w:val="0"/>
          <w:i w:val="0"/>
        </w:rPr>
        <w:t>.</w:t>
      </w:r>
    </w:p>
    <w:p>
      <w:pPr>
        <w:keepNext/>
        <w:widowControl/>
      </w:pPr>
      <w:bookmarkStart w:id="1064" w:name="latin-record-0813"/>
      <w:bookmarkEnd w:id="1064"/>
      <w:r>
        <w:rPr>
          <w:b/>
          <w:i w:val="0"/>
        </w:rPr>
        <w:t>Orpheus / Orphici</w:t>
      </w:r>
      <w:r>
        <w:rPr>
          <w:b/>
          <w:i w:val="0"/>
        </w:rPr>
        <w:t>.</w:t>
      </w:r>
      <w:r>
        <w:rPr>
          <w:b w:val="0"/>
          <w:i w:val="0"/>
        </w:rPr>
        <w:t xml:space="preserve"> Printed forms: </w:t>
      </w:r>
      <w:r>
        <w:rPr>
          <w:b w:val="0"/>
          <w:i/>
        </w:rPr>
        <w:t>Orpheo</w:t>
      </w:r>
      <w:r>
        <w:rPr>
          <w:b w:val="0"/>
          <w:i w:val="0"/>
        </w:rPr>
        <w:t xml:space="preserve">; </w:t>
      </w:r>
      <w:r>
        <w:rPr>
          <w:b w:val="0"/>
          <w:i/>
        </w:rPr>
        <w:t>Orpheus</w:t>
      </w:r>
      <w:r>
        <w:rPr>
          <w:b w:val="0"/>
          <w:i w:val="0"/>
        </w:rPr>
        <w:t xml:space="preserve">; </w:t>
      </w:r>
      <w:r>
        <w:rPr>
          <w:b w:val="0"/>
          <w:i/>
        </w:rPr>
        <w:t>Orphicis</w:t>
      </w:r>
      <w:r>
        <w:rPr>
          <w:b w:val="0"/>
          <w:i w:val="0"/>
        </w:rPr>
        <w:t>.</w:t>
      </w:r>
    </w:p>
    <w:p>
      <w:pPr>
        <w:widowControl/>
      </w:pPr>
      <w:r>
        <w:rPr>
          <w:b w:val="0"/>
          <w:i w:val="0"/>
        </w:rPr>
        <w:t xml:space="preserve">Named poetic-theological authorities as presented by Ficino. Infinite end, universal habitation, necessity, and infinite eye support different stages of the argument. References: </w:t>
      </w:r>
      <w:hyperlink w:anchor="passage-ii-4-8">
        <w:r>
          <w:rPr>
            <w:color w:val="000000"/>
          </w:rPr>
          <w:t xml:space="preserve">II.4.8</w:t>
        </w:r>
      </w:hyperlink>
      <w:r>
        <w:rPr>
          <w:b w:val="0"/>
          <w:i w:val="0"/>
        </w:rPr>
        <w:t xml:space="preserve">, </w:t>
      </w:r>
      <w:hyperlink w:anchor="passage-ii-6-11">
        <w:r>
          <w:rPr>
            <w:color w:val="000000"/>
          </w:rPr>
          <w:t xml:space="preserve">II.6.11</w:t>
        </w:r>
      </w:hyperlink>
      <w:r>
        <w:rPr>
          <w:b w:val="0"/>
          <w:i w:val="0"/>
        </w:rPr>
        <w:t xml:space="preserve">, </w:t>
      </w:r>
      <w:hyperlink w:anchor="passage-ii-7-11">
        <w:r>
          <w:rPr>
            <w:color w:val="000000"/>
          </w:rPr>
          <w:t xml:space="preserve">II.7.11</w:t>
        </w:r>
      </w:hyperlink>
      <w:r>
        <w:rPr>
          <w:b w:val="0"/>
          <w:i w:val="0"/>
        </w:rPr>
        <w:t xml:space="preserve">, </w:t>
      </w:r>
      <w:hyperlink w:anchor="passage-ii-10-7">
        <w:r>
          <w:rPr>
            <w:color w:val="000000"/>
          </w:rPr>
          <w:t xml:space="preserve">II.10.7</w:t>
        </w:r>
      </w:hyperlink>
      <w:r>
        <w:rPr>
          <w:b w:val="0"/>
          <w:i w:val="0"/>
        </w:rPr>
        <w:t xml:space="preserve">. See </w:t>
      </w:r>
      <w:hyperlink w:anchor="orpheus-and-divine-names">
        <w:r>
          <w:rPr>
            <w:color w:val="000000"/>
          </w:rPr>
          <w:t xml:space="preserve">Orpheus and divine names</w:t>
        </w:r>
      </w:hyperlink>
      <w:r>
        <w:rPr>
          <w:b w:val="0"/>
          <w:i w:val="0"/>
        </w:rPr>
        <w:t>.</w:t>
      </w:r>
    </w:p>
    <w:p>
      <w:pPr>
        <w:keepNext/>
        <w:widowControl/>
      </w:pPr>
      <w:bookmarkStart w:id="1065" w:name="latin-record-0814"/>
      <w:bookmarkEnd w:id="1065"/>
      <w:r>
        <w:rPr>
          <w:b/>
          <w:i w:val="0"/>
        </w:rPr>
        <w:t>Orpheus / Orphicus</w:t>
      </w:r>
      <w:r>
        <w:rPr>
          <w:b/>
          <w:i w:val="0"/>
        </w:rPr>
        <w:t>.</w:t>
      </w:r>
      <w:r>
        <w:rPr>
          <w:b w:val="0"/>
          <w:i w:val="0"/>
        </w:rPr>
        <w:t xml:space="preserve"> Printed forms: </w:t>
      </w:r>
      <w:r>
        <w:rPr>
          <w:b w:val="0"/>
          <w:i/>
        </w:rPr>
        <w:t>Orpheum</w:t>
      </w:r>
      <w:r>
        <w:rPr>
          <w:b w:val="0"/>
          <w:i w:val="0"/>
        </w:rPr>
        <w:t xml:space="preserve">; </w:t>
      </w:r>
      <w:r>
        <w:rPr>
          <w:b w:val="0"/>
          <w:i/>
        </w:rPr>
        <w:t>Orpheus</w:t>
      </w:r>
      <w:r>
        <w:rPr>
          <w:b w:val="0"/>
          <w:i w:val="0"/>
        </w:rPr>
        <w:t xml:space="preserve">; </w:t>
      </w:r>
      <w:r>
        <w:rPr>
          <w:b w:val="0"/>
          <w:i/>
        </w:rPr>
        <w:t>Orphicum</w:t>
      </w:r>
      <w:r>
        <w:rPr>
          <w:b w:val="0"/>
          <w:i w:val="0"/>
        </w:rPr>
        <w:t>.</w:t>
      </w:r>
    </w:p>
    <w:p>
      <w:pPr>
        <w:widowControl/>
      </w:pPr>
      <w:r>
        <w:rPr>
          <w:b w:val="0"/>
          <w:i w:val="0"/>
        </w:rPr>
        <w:t xml:space="preserve">Orpheus / Orphic. Quoted sayings and their Latin glosses reinforce divine all-form containment, inward governance, and providence. These are Ficino’s source attributions. References: </w:t>
      </w:r>
      <w:hyperlink w:anchor="passage-ii-11-1">
        <w:r>
          <w:rPr>
            <w:color w:val="000000"/>
          </w:rPr>
          <w:t xml:space="preserve">II.11.1</w:t>
        </w:r>
      </w:hyperlink>
      <w:r>
        <w:rPr>
          <w:b w:val="0"/>
          <w:i w:val="0"/>
        </w:rPr>
        <w:t xml:space="preserve">, </w:t>
      </w:r>
      <w:hyperlink w:anchor="passage-ii-13-12">
        <w:r>
          <w:rPr>
            <w:color w:val="000000"/>
          </w:rPr>
          <w:t xml:space="preserve">II.13.12</w:t>
        </w:r>
      </w:hyperlink>
      <w:r>
        <w:rPr>
          <w:b w:val="0"/>
          <w:i w:val="0"/>
        </w:rPr>
        <w:t xml:space="preserve">, </w:t>
      </w:r>
      <w:hyperlink w:anchor="passage-ii-13-22">
        <w:r>
          <w:rPr>
            <w:color w:val="000000"/>
          </w:rPr>
          <w:t xml:space="preserve">II.13.22</w:t>
        </w:r>
      </w:hyperlink>
      <w:r>
        <w:rPr>
          <w:b w:val="0"/>
          <w:i w:val="0"/>
        </w:rPr>
        <w:t xml:space="preserve">, </w:t>
      </w:r>
      <w:hyperlink w:anchor="passage-ii-13-24">
        <w:r>
          <w:rPr>
            <w:color w:val="000000"/>
          </w:rPr>
          <w:t xml:space="preserve">II.13.24</w:t>
        </w:r>
      </w:hyperlink>
      <w:r>
        <w:rPr>
          <w:b w:val="0"/>
          <w:i w:val="0"/>
        </w:rPr>
        <w:t xml:space="preserve">. See </w:t>
      </w:r>
      <w:hyperlink w:anchor="hermetic-theologians-and-the-magi">
        <w:r>
          <w:rPr>
            <w:color w:val="000000"/>
          </w:rPr>
          <w:t xml:space="preserve">Hermetic theologians and the Magi</w:t>
        </w:r>
      </w:hyperlink>
      <w:r>
        <w:rPr>
          <w:b w:val="0"/>
          <w:i w:val="0"/>
        </w:rPr>
        <w:t>.</w:t>
      </w:r>
    </w:p>
    <w:p>
      <w:pPr>
        <w:keepNext/>
        <w:widowControl/>
      </w:pPr>
      <w:bookmarkStart w:id="1066" w:name="latin-record-0815"/>
      <w:bookmarkEnd w:id="1066"/>
      <w:r>
        <w:rPr>
          <w:b/>
          <w:i w:val="0"/>
        </w:rPr>
        <w:t>ostendere / monstrare / probare</w:t>
      </w:r>
      <w:r>
        <w:rPr>
          <w:b/>
          <w:i w:val="0"/>
        </w:rPr>
        <w:t>.</w:t>
      </w:r>
      <w:r>
        <w:rPr>
          <w:b w:val="0"/>
          <w:i w:val="0"/>
        </w:rPr>
        <w:t xml:space="preserve"> Printed forms: </w:t>
      </w:r>
      <w:r>
        <w:rPr>
          <w:b w:val="0"/>
          <w:i/>
        </w:rPr>
        <w:t>monstravimus</w:t>
      </w:r>
      <w:r>
        <w:rPr>
          <w:b w:val="0"/>
          <w:i w:val="0"/>
        </w:rPr>
        <w:t xml:space="preserve">; </w:t>
      </w:r>
      <w:r>
        <w:rPr>
          <w:b w:val="0"/>
          <w:i/>
        </w:rPr>
        <w:t>ostendemus</w:t>
      </w:r>
      <w:r>
        <w:rPr>
          <w:b w:val="0"/>
          <w:i w:val="0"/>
        </w:rPr>
        <w:t xml:space="preserve">; </w:t>
      </w:r>
      <w:r>
        <w:rPr>
          <w:b w:val="0"/>
          <w:i/>
        </w:rPr>
        <w:t>ostendimus</w:t>
      </w:r>
      <w:r>
        <w:rPr>
          <w:b w:val="0"/>
          <w:i w:val="0"/>
        </w:rPr>
        <w:t xml:space="preserve">; </w:t>
      </w:r>
      <w:r>
        <w:rPr>
          <w:b w:val="0"/>
          <w:i/>
        </w:rPr>
        <w:t>probabimus</w:t>
      </w:r>
      <w:r>
        <w:rPr>
          <w:b w:val="0"/>
          <w:i w:val="0"/>
        </w:rPr>
        <w:t xml:space="preserve">; </w:t>
      </w:r>
      <w:r>
        <w:rPr>
          <w:b w:val="0"/>
          <w:i/>
        </w:rPr>
        <w:t>probare</w:t>
      </w:r>
      <w:r>
        <w:rPr>
          <w:b w:val="0"/>
          <w:i w:val="0"/>
        </w:rPr>
        <w:t>.</w:t>
      </w:r>
    </w:p>
    <w:p>
      <w:pPr>
        <w:widowControl/>
      </w:pPr>
      <w:r>
        <w:rPr>
          <w:b w:val="0"/>
          <w:i w:val="0"/>
        </w:rPr>
        <w:t xml:space="preserve">To show, demonstrate, or prove, with completed and promised arguments distinguished. Retrospective proofs introduce new claims; what Ficino says he will show later is not already established in the present unit. References: </w:t>
      </w:r>
      <w:hyperlink w:anchor="passage-ii-1-1">
        <w:r>
          <w:rPr>
            <w:color w:val="000000"/>
          </w:rPr>
          <w:t xml:space="preserve">II.1.1</w:t>
        </w:r>
      </w:hyperlink>
      <w:r>
        <w:rPr>
          <w:b w:val="0"/>
          <w:i w:val="0"/>
        </w:rPr>
        <w:t xml:space="preserve">, </w:t>
      </w:r>
      <w:hyperlink w:anchor="passage-ii-5-1">
        <w:r>
          <w:rPr>
            <w:color w:val="000000"/>
          </w:rPr>
          <w:t xml:space="preserve">II.5.1</w:t>
        </w:r>
      </w:hyperlink>
      <w:r>
        <w:rPr>
          <w:b w:val="0"/>
          <w:i w:val="0"/>
        </w:rPr>
        <w:t xml:space="preserve">, </w:t>
      </w:r>
      <w:hyperlink w:anchor="passage-ii-6-1">
        <w:r>
          <w:rPr>
            <w:color w:val="000000"/>
          </w:rPr>
          <w:t xml:space="preserve">II.6.1</w:t>
        </w:r>
      </w:hyperlink>
      <w:r>
        <w:rPr>
          <w:b w:val="0"/>
          <w:i w:val="0"/>
        </w:rPr>
        <w:t xml:space="preserve">, </w:t>
      </w:r>
      <w:hyperlink w:anchor="passage-ii-7-1">
        <w:r>
          <w:rPr>
            <w:color w:val="000000"/>
          </w:rPr>
          <w:t xml:space="preserve">II.7.1</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1067" w:name="latin-record-0816"/>
      <w:bookmarkEnd w:id="1067"/>
      <w:r>
        <w:rPr>
          <w:b/>
          <w:i w:val="0"/>
        </w:rPr>
        <w:t>otium</w:t>
      </w:r>
      <w:r>
        <w:rPr>
          <w:b/>
          <w:i w:val="0"/>
        </w:rPr>
        <w:t>.</w:t>
      </w:r>
      <w:r>
        <w:rPr>
          <w:b w:val="0"/>
          <w:i w:val="0"/>
        </w:rPr>
        <w:t xml:space="preserve"> Printed forms: </w:t>
      </w:r>
      <w:r>
        <w:rPr>
          <w:b w:val="0"/>
          <w:i/>
        </w:rPr>
        <w:t>otio</w:t>
      </w:r>
      <w:r>
        <w:rPr>
          <w:b w:val="0"/>
          <w:i w:val="0"/>
        </w:rPr>
        <w:t xml:space="preserve">; </w:t>
      </w:r>
      <w:r>
        <w:rPr>
          <w:b w:val="0"/>
          <w:i/>
        </w:rPr>
        <w:t>otium</w:t>
      </w:r>
      <w:r>
        <w:rPr>
          <w:b w:val="0"/>
          <w:i w:val="0"/>
        </w:rPr>
        <w:t>.</w:t>
      </w:r>
    </w:p>
    <w:p>
      <w:pPr>
        <w:widowControl/>
      </w:pPr>
      <w:r>
        <w:rPr>
          <w:b w:val="0"/>
          <w:i w:val="0"/>
        </w:rPr>
        <w:t xml:space="preserve">Leisure, or inactivity, according to context. The dedication praises leisure enabling philosophy; the later ascent contrasts inactivity with perpetual act. One English rendering would obscure the change. References: </w:t>
      </w:r>
      <w:hyperlink w:anchor="passage-proem-11">
        <w:r>
          <w:rPr>
            <w:color w:val="000000"/>
          </w:rPr>
          <w:t xml:space="preserve">Proem.11</w:t>
        </w:r>
      </w:hyperlink>
      <w:r>
        <w:rPr>
          <w:b w:val="0"/>
          <w:i w:val="0"/>
        </w:rPr>
        <w:t xml:space="preserve">, </w:t>
      </w:r>
      <w:hyperlink w:anchor="passage-i-5-4">
        <w:r>
          <w:rPr>
            <w:color w:val="000000"/>
          </w:rPr>
          <w:t xml:space="preserve">I.5.4</w:t>
        </w:r>
      </w:hyperlink>
      <w:r>
        <w:rPr>
          <w:b w:val="0"/>
          <w:i w:val="0"/>
        </w:rPr>
        <w:t xml:space="preserve">. See </w:t>
      </w:r>
      <w:hyperlink w:anchor="leisure">
        <w:r>
          <w:rPr>
            <w:color w:val="000000"/>
          </w:rPr>
          <w:t xml:space="preserve">Leisure</w:t>
        </w:r>
      </w:hyperlink>
      <w:r>
        <w:rPr>
          <w:b w:val="0"/>
          <w:i w:val="0"/>
        </w:rPr>
        <w:t>.</w:t>
      </w:r>
    </w:p>
    <w:p>
      <w:pPr>
        <w:keepNext/>
        <w:widowControl/>
      </w:pPr>
      <w:bookmarkStart w:id="1068" w:name="latin-record-0817"/>
      <w:bookmarkEnd w:id="1068"/>
      <w:r>
        <w:rPr>
          <w:b/>
          <w:i w:val="0"/>
        </w:rPr>
        <w:t>otium / administratio</w:t>
      </w:r>
      <w:r>
        <w:rPr>
          <w:b/>
          <w:i w:val="0"/>
        </w:rPr>
        <w:t>.</w:t>
      </w:r>
      <w:r>
        <w:rPr>
          <w:b w:val="0"/>
          <w:i w:val="0"/>
        </w:rPr>
        <w:t xml:space="preserve"> Printed forms: </w:t>
      </w:r>
      <w:r>
        <w:rPr>
          <w:b w:val="0"/>
          <w:i/>
        </w:rPr>
        <w:t>administratione</w:t>
      </w:r>
      <w:r>
        <w:rPr>
          <w:b w:val="0"/>
          <w:i w:val="0"/>
        </w:rPr>
        <w:t xml:space="preserve">; </w:t>
      </w:r>
      <w:r>
        <w:rPr>
          <w:b w:val="0"/>
          <w:i/>
        </w:rPr>
        <w:t>otium</w:t>
      </w:r>
      <w:r>
        <w:rPr>
          <w:b w:val="0"/>
          <w:i w:val="0"/>
        </w:rPr>
        <w:t>.</w:t>
      </w:r>
    </w:p>
    <w:p>
      <w:pPr>
        <w:widowControl/>
      </w:pPr>
      <w:r>
        <w:rPr>
          <w:b w:val="0"/>
          <w:i w:val="0"/>
        </w:rPr>
        <w:t xml:space="preserve">Freedom from bodily work; the task of governing a body. Celestial reason can rest in mind, whereas human reason is burdened by the needy body’s administration. References: </w:t>
      </w:r>
      <w:hyperlink w:anchor="passage-iv-2-11">
        <w:r>
          <w:rPr>
            <w:color w:val="000000"/>
          </w:rPr>
          <w:t xml:space="preserve">IV.2.11</w:t>
        </w:r>
      </w:hyperlink>
      <w:r>
        <w:rPr>
          <w:b w:val="0"/>
          <w:i w:val="0"/>
        </w:rPr>
        <w:t xml:space="preserve">. See </w:t>
      </w:r>
      <w:hyperlink w:anchor="leisure">
        <w:r>
          <w:rPr>
            <w:color w:val="000000"/>
          </w:rPr>
          <w:t xml:space="preserve">Leisure</w:t>
        </w:r>
      </w:hyperlink>
      <w:r>
        <w:rPr>
          <w:b w:val="0"/>
          <w:i w:val="0"/>
        </w:rPr>
        <w:t>.</w:t>
      </w:r>
    </w:p>
    <w:p>
      <w:pPr>
        <w:keepNext/>
        <w:widowControl/>
      </w:pPr>
      <w:bookmarkStart w:id="1069" w:name="latin-record-0818"/>
      <w:bookmarkEnd w:id="1069"/>
      <w:r>
        <w:rPr>
          <w:b/>
          <w:i w:val="0"/>
        </w:rPr>
        <w:t>ovum / fovere</w:t>
      </w:r>
      <w:r>
        <w:rPr>
          <w:b/>
          <w:i w:val="0"/>
        </w:rPr>
        <w:t>.</w:t>
      </w:r>
      <w:r>
        <w:rPr>
          <w:b w:val="0"/>
          <w:i w:val="0"/>
        </w:rPr>
        <w:t xml:space="preserve"> Printed forms: </w:t>
      </w:r>
      <w:r>
        <w:rPr>
          <w:b w:val="0"/>
          <w:i/>
        </w:rPr>
        <w:t>fovendo</w:t>
      </w:r>
      <w:r>
        <w:rPr>
          <w:b w:val="0"/>
          <w:i w:val="0"/>
        </w:rPr>
        <w:t xml:space="preserve">; </w:t>
      </w:r>
      <w:r>
        <w:rPr>
          <w:b w:val="0"/>
          <w:i/>
        </w:rPr>
        <w:t>ovum</w:t>
      </w:r>
      <w:r>
        <w:rPr>
          <w:b w:val="0"/>
          <w:i w:val="0"/>
        </w:rPr>
        <w:t>.</w:t>
      </w:r>
    </w:p>
    <w:p>
      <w:pPr>
        <w:widowControl/>
      </w:pPr>
      <w:r>
        <w:rPr>
          <w:b w:val="0"/>
          <w:i w:val="0"/>
        </w:rPr>
        <w:t xml:space="preserve">Egg / warm or brood. The brooding example supports the comparative argument about divine intelligence; its biological premise is attributed to Ficino. References: </w:t>
      </w:r>
      <w:hyperlink w:anchor="passage-ii-11-31">
        <w:r>
          <w:rPr>
            <w:color w:val="000000"/>
          </w:rPr>
          <w:t xml:space="preserve">II.11.31</w:t>
        </w:r>
      </w:hyperlink>
      <w:r>
        <w:rPr>
          <w:b w:val="0"/>
          <w:i w:val="0"/>
        </w:rPr>
        <w:t xml:space="preserve">, </w:t>
      </w:r>
      <w:hyperlink w:anchor="passage-ii-11-32">
        <w:r>
          <w:rPr>
            <w:color w:val="000000"/>
          </w:rPr>
          <w:t xml:space="preserve">II.11.32</w:t>
        </w:r>
      </w:hyperlink>
      <w:r>
        <w:rPr>
          <w:b w:val="0"/>
          <w:i w:val="0"/>
        </w:rPr>
        <w:t xml:space="preserve">. See </w:t>
      </w:r>
      <w:hyperlink w:anchor="ostrich-and-egg">
        <w:r>
          <w:rPr>
            <w:color w:val="000000"/>
          </w:rPr>
          <w:t xml:space="preserve">Ostrich and egg</w:t>
        </w:r>
      </w:hyperlink>
      <w:r>
        <w:rPr>
          <w:b w:val="0"/>
          <w:i w:val="0"/>
        </w:rPr>
        <w:t>.</w:t>
      </w:r>
    </w:p>
    <w:p>
      <w:pPr>
        <w:keepNext/>
        <w:widowControl/>
      </w:pPr>
      <w:bookmarkStart w:id="1070" w:name="latin-record-0819"/>
      <w:bookmarkEnd w:id="1070"/>
      <w:r>
        <w:rPr>
          <w:b/>
          <w:i w:val="0"/>
        </w:rPr>
        <w:t>paene / quodammodo</w:t>
      </w:r>
      <w:r>
        <w:rPr>
          <w:b/>
          <w:i w:val="0"/>
        </w:rPr>
        <w:t>.</w:t>
      </w:r>
      <w:r>
        <w:rPr>
          <w:b w:val="0"/>
          <w:i w:val="0"/>
        </w:rPr>
        <w:t xml:space="preserve"> Printed forms: </w:t>
      </w:r>
      <w:r>
        <w:rPr>
          <w:b w:val="0"/>
          <w:i/>
        </w:rPr>
        <w:t>paene</w:t>
      </w:r>
      <w:r>
        <w:rPr>
          <w:b w:val="0"/>
          <w:i w:val="0"/>
        </w:rPr>
        <w:t xml:space="preserve">; </w:t>
      </w:r>
      <w:r>
        <w:rPr>
          <w:b w:val="0"/>
          <w:i/>
        </w:rPr>
        <w:t>quodammodo</w:t>
      </w:r>
      <w:r>
        <w:rPr>
          <w:b w:val="0"/>
          <w:i w:val="0"/>
        </w:rPr>
        <w:t>.</w:t>
      </w:r>
    </w:p>
    <w:p>
      <w:pPr>
        <w:widowControl/>
      </w:pPr>
      <w:r>
        <w:rPr>
          <w:b w:val="0"/>
          <w:i w:val="0"/>
        </w:rPr>
        <w:t xml:space="preserve">Almost / in a certain way. Both qualifications restrict the utterance analogy and prevent an absolute claim of instantaneous acoustic presence. References: </w:t>
      </w:r>
      <w:hyperlink w:anchor="passage-iii-2-13">
        <w:r>
          <w:rPr>
            <w:color w:val="000000"/>
          </w:rPr>
          <w:t xml:space="preserve">III.2.13</w:t>
        </w:r>
      </w:hyperlink>
      <w:r>
        <w:rPr>
          <w:b w:val="0"/>
          <w:i w:val="0"/>
        </w:rPr>
        <w:t xml:space="preserve">. See </w:t>
      </w:r>
      <w:hyperlink w:anchor="utterance-and-meaning">
        <w:r>
          <w:rPr>
            <w:color w:val="000000"/>
          </w:rPr>
          <w:t xml:space="preserve">Utterance and meaning</w:t>
        </w:r>
      </w:hyperlink>
      <w:r>
        <w:rPr>
          <w:b w:val="0"/>
          <w:i w:val="0"/>
        </w:rPr>
        <w:t>.</w:t>
      </w:r>
    </w:p>
    <w:p>
      <w:pPr>
        <w:keepNext/>
        <w:widowControl/>
      </w:pPr>
      <w:bookmarkStart w:id="1071" w:name="latin-record-0820"/>
      <w:bookmarkEnd w:id="1071"/>
      <w:r>
        <w:rPr>
          <w:b/>
          <w:i w:val="0"/>
        </w:rPr>
        <w:t>paries / distantia</w:t>
      </w:r>
      <w:r>
        <w:rPr>
          <w:b/>
          <w:i w:val="0"/>
        </w:rPr>
        <w:t>.</w:t>
      </w:r>
      <w:r>
        <w:rPr>
          <w:b w:val="0"/>
          <w:i w:val="0"/>
        </w:rPr>
        <w:t xml:space="preserve"> Printed forms: </w:t>
      </w:r>
      <w:r>
        <w:rPr>
          <w:b w:val="0"/>
          <w:i/>
        </w:rPr>
        <w:t>distantiam</w:t>
      </w:r>
      <w:r>
        <w:rPr>
          <w:b w:val="0"/>
          <w:i w:val="0"/>
        </w:rPr>
        <w:t xml:space="preserve">; </w:t>
      </w:r>
      <w:r>
        <w:rPr>
          <w:b w:val="0"/>
          <w:i/>
        </w:rPr>
        <w:t>paries</w:t>
      </w:r>
      <w:r>
        <w:rPr>
          <w:b w:val="0"/>
          <w:i w:val="0"/>
        </w:rPr>
        <w:t>.</w:t>
      </w:r>
    </w:p>
    <w:p>
      <w:pPr>
        <w:widowControl/>
      </w:pPr>
      <w:r>
        <w:rPr>
          <w:b w:val="0"/>
          <w:i w:val="0"/>
        </w:rPr>
        <w:t xml:space="preserve">A wall and distance from perception. The wall’s size can be judged only through colour and light, and its magnitude becomes harder to judge at distance sooner than those qualities. References: </w:t>
      </w:r>
      <w:hyperlink w:anchor="passage-i-2-13">
        <w:r>
          <w:rPr>
            <w:color w:val="000000"/>
          </w:rPr>
          <w:t xml:space="preserve">I.2.13</w:t>
        </w:r>
      </w:hyperlink>
      <w:r>
        <w:rPr>
          <w:b w:val="0"/>
          <w:i w:val="0"/>
        </w:rPr>
        <w:t xml:space="preserve">. See </w:t>
      </w:r>
      <w:hyperlink w:anchor="honey-whiteness-and-the-wall">
        <w:r>
          <w:rPr>
            <w:color w:val="000000"/>
          </w:rPr>
          <w:t xml:space="preserve">Honey, whiteness and the wall</w:t>
        </w:r>
      </w:hyperlink>
      <w:r>
        <w:rPr>
          <w:b w:val="0"/>
          <w:i w:val="0"/>
        </w:rPr>
        <w:t>.</w:t>
      </w:r>
    </w:p>
    <w:p>
      <w:pPr>
        <w:keepNext/>
        <w:widowControl/>
      </w:pPr>
      <w:bookmarkStart w:id="1072" w:name="latin-record-0821"/>
      <w:bookmarkEnd w:id="1072"/>
      <w:r>
        <w:rPr>
          <w:b/>
          <w:i w:val="0"/>
        </w:rPr>
        <w:t>Parmenides / Pythagoreus</w:t>
      </w:r>
      <w:r>
        <w:rPr>
          <w:b/>
          <w:i w:val="0"/>
        </w:rPr>
        <w:t>.</w:t>
      </w:r>
      <w:r>
        <w:rPr>
          <w:b w:val="0"/>
          <w:i w:val="0"/>
        </w:rPr>
        <w:t xml:space="preserve"> Printed forms: </w:t>
      </w:r>
      <w:r>
        <w:rPr>
          <w:b w:val="0"/>
          <w:i/>
        </w:rPr>
        <w:t>Parmenides</w:t>
      </w:r>
      <w:r>
        <w:rPr>
          <w:b w:val="0"/>
          <w:i w:val="0"/>
        </w:rPr>
        <w:t xml:space="preserve">; </w:t>
      </w:r>
      <w:r>
        <w:rPr>
          <w:b w:val="0"/>
          <w:i/>
        </w:rPr>
        <w:t>Pythagoreus</w:t>
      </w:r>
      <w:r>
        <w:rPr>
          <w:b w:val="0"/>
          <w:i w:val="0"/>
        </w:rPr>
        <w:t>.</w:t>
      </w:r>
    </w:p>
    <w:p>
      <w:pPr>
        <w:widowControl/>
      </w:pPr>
      <w:r>
        <w:rPr>
          <w:b w:val="0"/>
          <w:i w:val="0"/>
        </w:rPr>
        <w:t xml:space="preserve">Parmenides as Ficino identifies and cites him. The formula one, unmoved, infinite being summarizes the preceding proof; the historical label remains the source’s attribution. References: </w:t>
      </w:r>
      <w:hyperlink w:anchor="passage-ii-7-1">
        <w:r>
          <w:rPr>
            <w:color w:val="000000"/>
          </w:rPr>
          <w:t xml:space="preserve">II.7.1</w:t>
        </w:r>
      </w:hyperlink>
      <w:r>
        <w:rPr>
          <w:b w:val="0"/>
          <w:i w:val="0"/>
        </w:rPr>
        <w:t xml:space="preserve">. See </w:t>
      </w:r>
      <w:hyperlink w:anchor="parmenides-and-the-summary-formula">
        <w:r>
          <w:rPr>
            <w:color w:val="000000"/>
          </w:rPr>
          <w:t xml:space="preserve">Parmenides and the summary formula</w:t>
        </w:r>
      </w:hyperlink>
      <w:r>
        <w:rPr>
          <w:b w:val="0"/>
          <w:i w:val="0"/>
        </w:rPr>
        <w:t>.</w:t>
      </w:r>
    </w:p>
    <w:p>
      <w:pPr>
        <w:keepNext/>
        <w:widowControl/>
      </w:pPr>
      <w:bookmarkStart w:id="1073" w:name="latin-record-0822"/>
      <w:bookmarkEnd w:id="1073"/>
      <w:r>
        <w:rPr>
          <w:b/>
          <w:i w:val="0"/>
        </w:rPr>
        <w:t>Parmenides Pythagoreus</w:t>
      </w:r>
      <w:r>
        <w:rPr>
          <w:b/>
          <w:i w:val="0"/>
        </w:rPr>
        <w:t>.</w:t>
      </w:r>
      <w:r>
        <w:rPr>
          <w:b w:val="0"/>
          <w:i w:val="0"/>
        </w:rPr>
        <w:t xml:space="preserve"> Printed forms: </w:t>
      </w:r>
      <w:r>
        <w:rPr>
          <w:b w:val="0"/>
          <w:i/>
        </w:rPr>
        <w:t>Parmenides Pythagoreus</w:t>
      </w:r>
      <w:r>
        <w:rPr>
          <w:b w:val="0"/>
          <w:i w:val="0"/>
        </w:rPr>
        <w:t>.</w:t>
      </w:r>
    </w:p>
    <w:p>
      <w:pPr>
        <w:widowControl/>
      </w:pPr>
      <w:r>
        <w:rPr>
          <w:b w:val="0"/>
          <w:i w:val="0"/>
        </w:rPr>
        <w:t xml:space="preserve">Parmenides described here as Pythagorean. Ficino attributes to him the contrast between turning the moving world and remaining unmoved; the attribution is not independently verified here. References: </w:t>
      </w:r>
      <w:hyperlink w:anchor="passage-ii-11-16">
        <w:r>
          <w:rPr>
            <w:color w:val="000000"/>
          </w:rPr>
          <w:t xml:space="preserve">II.11.16</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074" w:name="latin-record-0823"/>
      <w:bookmarkEnd w:id="1074"/>
      <w:r>
        <w:rPr>
          <w:b/>
          <w:i w:val="0"/>
        </w:rPr>
        <w:t>pars / totum</w:t>
      </w:r>
      <w:r>
        <w:rPr>
          <w:b/>
          <w:i w:val="0"/>
        </w:rPr>
        <w:t>.</w:t>
      </w:r>
      <w:r>
        <w:rPr>
          <w:b w:val="0"/>
          <w:i w:val="0"/>
        </w:rPr>
        <w:t xml:space="preserve"> Printed forms: </w:t>
      </w:r>
      <w:r>
        <w:rPr>
          <w:b w:val="0"/>
          <w:i/>
        </w:rPr>
        <w:t>parte</w:t>
      </w:r>
      <w:r>
        <w:rPr>
          <w:b w:val="0"/>
          <w:i w:val="0"/>
        </w:rPr>
        <w:t xml:space="preserve">; </w:t>
      </w:r>
      <w:r>
        <w:rPr>
          <w:b w:val="0"/>
          <w:i/>
        </w:rPr>
        <w:t>partes</w:t>
      </w:r>
      <w:r>
        <w:rPr>
          <w:b w:val="0"/>
          <w:i w:val="0"/>
        </w:rPr>
        <w:t xml:space="preserve">; </w:t>
      </w:r>
      <w:r>
        <w:rPr>
          <w:b w:val="0"/>
          <w:i/>
        </w:rPr>
        <w:t>partibus</w:t>
      </w:r>
      <w:r>
        <w:rPr>
          <w:b w:val="0"/>
          <w:i w:val="0"/>
        </w:rPr>
        <w:t xml:space="preserve">; </w:t>
      </w:r>
      <w:r>
        <w:rPr>
          <w:b w:val="0"/>
          <w:i/>
        </w:rPr>
        <w:t>partis</w:t>
      </w:r>
      <w:r>
        <w:rPr>
          <w:b w:val="0"/>
          <w:i w:val="0"/>
        </w:rPr>
        <w:t xml:space="preserve">; </w:t>
      </w:r>
      <w:r>
        <w:rPr>
          <w:b w:val="0"/>
          <w:i/>
        </w:rPr>
        <w:t>tota</w:t>
      </w:r>
      <w:r>
        <w:rPr>
          <w:b w:val="0"/>
          <w:i w:val="0"/>
        </w:rPr>
        <w:t xml:space="preserve">; </w:t>
      </w:r>
      <w:r>
        <w:rPr>
          <w:b w:val="0"/>
          <w:i/>
        </w:rPr>
        <w:t>totique</w:t>
      </w:r>
      <w:r>
        <w:rPr>
          <w:b w:val="0"/>
          <w:i w:val="0"/>
        </w:rPr>
        <w:t xml:space="preserve">; </w:t>
      </w:r>
      <w:r>
        <w:rPr>
          <w:b w:val="0"/>
          <w:i/>
        </w:rPr>
        <w:t>totius</w:t>
      </w:r>
      <w:r>
        <w:rPr>
          <w:b w:val="0"/>
          <w:i w:val="0"/>
        </w:rPr>
        <w:t xml:space="preserve">; </w:t>
      </w:r>
      <w:r>
        <w:rPr>
          <w:b w:val="0"/>
          <w:i/>
        </w:rPr>
        <w:t>toto</w:t>
      </w:r>
      <w:r>
        <w:rPr>
          <w:b w:val="0"/>
          <w:i w:val="0"/>
        </w:rPr>
        <w:t xml:space="preserve">; </w:t>
      </w:r>
      <w:r>
        <w:rPr>
          <w:b w:val="0"/>
          <w:i/>
        </w:rPr>
        <w:t>totum</w:t>
      </w:r>
      <w:r>
        <w:rPr>
          <w:b w:val="0"/>
          <w:i w:val="0"/>
        </w:rPr>
        <w:t>.</w:t>
      </w:r>
    </w:p>
    <w:p>
      <w:pPr>
        <w:widowControl/>
      </w:pPr>
      <w:r>
        <w:rPr>
          <w:b w:val="0"/>
          <w:i w:val="0"/>
        </w:rPr>
        <w:t xml:space="preserve">Part / whole. The argument assesses a part’s perfection through its fitting contribution to an ordered whole rather than maximizing it independently. References: </w:t>
      </w:r>
      <w:hyperlink w:anchor="passage-ii-13-23">
        <w:r>
          <w:rPr>
            <w:color w:val="000000"/>
          </w:rPr>
          <w:t xml:space="preserve">II.13.23</w:t>
        </w:r>
      </w:hyperlink>
      <w:r>
        <w:rPr>
          <w:b w:val="0"/>
          <w:i w:val="0"/>
        </w:rPr>
        <w:t xml:space="preserve">, </w:t>
      </w:r>
      <w:hyperlink w:anchor="passage-ii-13-24">
        <w:r>
          <w:rPr>
            <w:color w:val="000000"/>
          </w:rPr>
          <w:t xml:space="preserve">II.13.24</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1075" w:name="latin-record-0824"/>
      <w:bookmarkEnd w:id="1075"/>
      <w:r>
        <w:rPr>
          <w:b/>
          <w:i w:val="0"/>
        </w:rPr>
        <w:t>pars / totus</w:t>
      </w:r>
      <w:r>
        <w:rPr>
          <w:b/>
          <w:i w:val="0"/>
        </w:rPr>
        <w:t>.</w:t>
      </w:r>
      <w:r>
        <w:rPr>
          <w:b w:val="0"/>
          <w:i w:val="0"/>
        </w:rPr>
        <w:t xml:space="preserve"> Printed forms: </w:t>
      </w:r>
      <w:r>
        <w:rPr>
          <w:b w:val="0"/>
          <w:i/>
        </w:rPr>
        <w:t>pars</w:t>
      </w:r>
      <w:r>
        <w:rPr>
          <w:b w:val="0"/>
          <w:i w:val="0"/>
        </w:rPr>
        <w:t xml:space="preserve">; </w:t>
      </w:r>
      <w:r>
        <w:rPr>
          <w:b w:val="0"/>
          <w:i/>
        </w:rPr>
        <w:t>partes</w:t>
      </w:r>
      <w:r>
        <w:rPr>
          <w:b w:val="0"/>
          <w:i w:val="0"/>
        </w:rPr>
        <w:t xml:space="preserve">; </w:t>
      </w:r>
      <w:r>
        <w:rPr>
          <w:b w:val="0"/>
          <w:i/>
        </w:rPr>
        <w:t>partibus</w:t>
      </w:r>
      <w:r>
        <w:rPr>
          <w:b w:val="0"/>
          <w:i w:val="0"/>
        </w:rPr>
        <w:t xml:space="preserve">; </w:t>
      </w:r>
      <w:r>
        <w:rPr>
          <w:b w:val="0"/>
          <w:i/>
        </w:rPr>
        <w:t>partis</w:t>
      </w:r>
      <w:r>
        <w:rPr>
          <w:b w:val="0"/>
          <w:i w:val="0"/>
        </w:rPr>
        <w:t xml:space="preserve">; </w:t>
      </w:r>
      <w:r>
        <w:rPr>
          <w:b w:val="0"/>
          <w:i/>
        </w:rPr>
        <w:t>partium</w:t>
      </w:r>
      <w:r>
        <w:rPr>
          <w:b w:val="0"/>
          <w:i w:val="0"/>
        </w:rPr>
        <w:t xml:space="preserve">; </w:t>
      </w:r>
      <w:r>
        <w:rPr>
          <w:b w:val="0"/>
          <w:i/>
        </w:rPr>
        <w:t>totam</w:t>
      </w:r>
      <w:r>
        <w:rPr>
          <w:b w:val="0"/>
          <w:i w:val="0"/>
        </w:rPr>
        <w:t xml:space="preserve">; </w:t>
      </w:r>
      <w:r>
        <w:rPr>
          <w:b w:val="0"/>
          <w:i/>
        </w:rPr>
        <w:t>totius</w:t>
      </w:r>
      <w:r>
        <w:rPr>
          <w:b w:val="0"/>
          <w:i w:val="0"/>
        </w:rPr>
        <w:t xml:space="preserve">; </w:t>
      </w:r>
      <w:r>
        <w:rPr>
          <w:b w:val="0"/>
          <w:i/>
        </w:rPr>
        <w:t>toto</w:t>
      </w:r>
      <w:r>
        <w:rPr>
          <w:b w:val="0"/>
          <w:i w:val="0"/>
        </w:rPr>
        <w:t xml:space="preserve">; </w:t>
      </w:r>
      <w:r>
        <w:rPr>
          <w:b w:val="0"/>
          <w:i/>
        </w:rPr>
        <w:t>totum</w:t>
      </w:r>
      <w:r>
        <w:rPr>
          <w:b w:val="0"/>
          <w:i w:val="0"/>
        </w:rPr>
        <w:t xml:space="preserve">; </w:t>
      </w:r>
      <w:r>
        <w:rPr>
          <w:b w:val="0"/>
          <w:i/>
        </w:rPr>
        <w:t>totus</w:t>
      </w:r>
      <w:r>
        <w:rPr>
          <w:b w:val="0"/>
          <w:i w:val="0"/>
        </w:rPr>
        <w:t>.</w:t>
      </w:r>
    </w:p>
    <w:p>
      <w:pPr>
        <w:widowControl/>
      </w:pPr>
      <w:r>
        <w:rPr>
          <w:b w:val="0"/>
          <w:i w:val="0"/>
        </w:rPr>
        <w:t xml:space="preserve">Part and whole, spatial or explanatory according to context. A compounded whole needs its parts and unifier; God produces the whole effect, and order exceeds an isolated part’s excellence. References: </w:t>
      </w:r>
      <w:hyperlink w:anchor="passage-ii-2-3">
        <w:r>
          <w:rPr>
            <w:color w:val="000000"/>
          </w:rPr>
          <w:t xml:space="preserve">II.2.3</w:t>
        </w:r>
      </w:hyperlink>
      <w:r>
        <w:rPr>
          <w:b w:val="0"/>
          <w:i w:val="0"/>
        </w:rPr>
        <w:t xml:space="preserve">, </w:t>
      </w:r>
      <w:hyperlink w:anchor="passage-ii-2-8">
        <w:r>
          <w:rPr>
            <w:color w:val="000000"/>
          </w:rPr>
          <w:t xml:space="preserve">II.2.8</w:t>
        </w:r>
      </w:hyperlink>
      <w:r>
        <w:rPr>
          <w:b w:val="0"/>
          <w:i w:val="0"/>
        </w:rPr>
        <w:t xml:space="preserve">, </w:t>
      </w:r>
      <w:hyperlink w:anchor="passage-ii-7-21">
        <w:r>
          <w:rPr>
            <w:color w:val="000000"/>
          </w:rPr>
          <w:t xml:space="preserve">II.7.21</w:t>
        </w:r>
      </w:hyperlink>
      <w:r>
        <w:rPr>
          <w:b w:val="0"/>
          <w:i w:val="0"/>
        </w:rPr>
        <w:t xml:space="preserve">, </w:t>
      </w:r>
      <w:hyperlink w:anchor="passage-ii-9-21">
        <w:r>
          <w:rPr>
            <w:color w:val="000000"/>
          </w:rPr>
          <w:t xml:space="preserve">II.9.21</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1076" w:name="latin-record-0825"/>
      <w:bookmarkEnd w:id="1076"/>
      <w:r>
        <w:rPr>
          <w:b/>
          <w:i w:val="0"/>
        </w:rPr>
        <w:t>particeps / participium</w:t>
      </w:r>
      <w:r>
        <w:rPr>
          <w:b/>
          <w:i w:val="0"/>
        </w:rPr>
        <w:t>.</w:t>
      </w:r>
      <w:r>
        <w:rPr>
          <w:b w:val="0"/>
          <w:i w:val="0"/>
        </w:rPr>
        <w:t xml:space="preserve"> Printed forms: </w:t>
      </w:r>
      <w:r>
        <w:rPr>
          <w:b w:val="0"/>
          <w:i/>
        </w:rPr>
        <w:t>particeps</w:t>
      </w:r>
      <w:r>
        <w:rPr>
          <w:b w:val="0"/>
          <w:i w:val="0"/>
        </w:rPr>
        <w:t xml:space="preserve">; </w:t>
      </w:r>
      <w:r>
        <w:rPr>
          <w:b w:val="0"/>
          <w:i/>
        </w:rPr>
        <w:t>participia</w:t>
      </w:r>
      <w:r>
        <w:rPr>
          <w:b w:val="0"/>
          <w:i w:val="0"/>
        </w:rPr>
        <w:t>.</w:t>
      </w:r>
    </w:p>
    <w:p>
      <w:pPr>
        <w:widowControl/>
      </w:pPr>
      <w:r>
        <w:rPr>
          <w:b w:val="0"/>
          <w:i w:val="0"/>
        </w:rPr>
        <w:t xml:space="preserve">A participant or sharer in a perfection received from another. What participates in unity or truth is distinguished from unity or truth itself. References: </w:t>
      </w:r>
      <w:hyperlink w:anchor="passage-ii-1-2">
        <w:r>
          <w:rPr>
            <w:color w:val="000000"/>
          </w:rPr>
          <w:t xml:space="preserve">II.1.2</w:t>
        </w:r>
      </w:hyperlink>
      <w:r>
        <w:rPr>
          <w:b w:val="0"/>
          <w:i w:val="0"/>
        </w:rPr>
        <w:t xml:space="preserve">, </w:t>
      </w:r>
      <w:hyperlink w:anchor="passage-ii-1-3">
        <w:r>
          <w:rPr>
            <w:color w:val="000000"/>
          </w:rPr>
          <w:t xml:space="preserve">II.1.3</w:t>
        </w:r>
      </w:hyperlink>
      <w:r>
        <w:rPr>
          <w:b w:val="0"/>
          <w:i w:val="0"/>
        </w:rPr>
        <w:t xml:space="preserve">. See </w:t>
      </w:r>
      <w:hyperlink w:anchor="participation">
        <w:r>
          <w:rPr>
            <w:color w:val="000000"/>
          </w:rPr>
          <w:t xml:space="preserve">Participation</w:t>
        </w:r>
      </w:hyperlink>
      <w:r>
        <w:rPr>
          <w:b w:val="0"/>
          <w:i w:val="0"/>
        </w:rPr>
        <w:t>.</w:t>
      </w:r>
    </w:p>
    <w:p>
      <w:pPr>
        <w:keepNext/>
        <w:widowControl/>
      </w:pPr>
      <w:bookmarkStart w:id="1077" w:name="latin-record-0826"/>
      <w:bookmarkEnd w:id="1077"/>
      <w:r>
        <w:rPr>
          <w:b/>
          <w:i w:val="0"/>
        </w:rPr>
        <w:t>participare / particeps</w:t>
      </w:r>
      <w:r>
        <w:rPr>
          <w:b/>
          <w:i w:val="0"/>
        </w:rPr>
        <w:t>.</w:t>
      </w:r>
      <w:r>
        <w:rPr>
          <w:b w:val="0"/>
          <w:i w:val="0"/>
        </w:rPr>
        <w:t xml:space="preserve"> Printed forms: </w:t>
      </w:r>
      <w:r>
        <w:rPr>
          <w:b w:val="0"/>
          <w:i/>
        </w:rPr>
        <w:t>particeps</w:t>
      </w:r>
      <w:r>
        <w:rPr>
          <w:b w:val="0"/>
          <w:i w:val="0"/>
        </w:rPr>
        <w:t xml:space="preserve">; </w:t>
      </w:r>
      <w:r>
        <w:rPr>
          <w:b w:val="0"/>
          <w:i/>
        </w:rPr>
        <w:t>participatione</w:t>
      </w:r>
      <w:r>
        <w:rPr>
          <w:b w:val="0"/>
          <w:i w:val="0"/>
        </w:rPr>
        <w:t>.</w:t>
      </w:r>
    </w:p>
    <w:p>
      <w:pPr>
        <w:widowControl/>
      </w:pPr>
      <w:r>
        <w:rPr>
          <w:b w:val="0"/>
          <w:i w:val="0"/>
        </w:rPr>
        <w:t xml:space="preserve">Participate / a participant. The creature’s self-contentment comes from sharing in good; participation is received possession, not independent identity with its source. References: </w:t>
      </w:r>
      <w:hyperlink w:anchor="passage-ii-12-6">
        <w:r>
          <w:rPr>
            <w:color w:val="000000"/>
          </w:rPr>
          <w:t xml:space="preserve">II.12.6</w:t>
        </w:r>
      </w:hyperlink>
      <w:r>
        <w:rPr>
          <w:b w:val="0"/>
          <w:i w:val="0"/>
        </w:rPr>
        <w:t xml:space="preserve">, </w:t>
      </w:r>
      <w:hyperlink w:anchor="passage-iii-2-24">
        <w:r>
          <w:rPr>
            <w:color w:val="000000"/>
          </w:rPr>
          <w:t xml:space="preserve">III.2.24</w:t>
        </w:r>
      </w:hyperlink>
      <w:r>
        <w:rPr>
          <w:b w:val="0"/>
          <w:i w:val="0"/>
        </w:rPr>
        <w:t xml:space="preserve">. See </w:t>
      </w:r>
      <w:hyperlink w:anchor="participation">
        <w:r>
          <w:rPr>
            <w:color w:val="000000"/>
          </w:rPr>
          <w:t xml:space="preserve">Participation</w:t>
        </w:r>
      </w:hyperlink>
      <w:r>
        <w:rPr>
          <w:b w:val="0"/>
          <w:i w:val="0"/>
        </w:rPr>
        <w:t>.</w:t>
      </w:r>
    </w:p>
    <w:p>
      <w:pPr>
        <w:keepNext/>
        <w:widowControl/>
      </w:pPr>
      <w:bookmarkStart w:id="1078" w:name="latin-record-0827"/>
      <w:bookmarkEnd w:id="1078"/>
      <w:r>
        <w:rPr>
          <w:b/>
          <w:i w:val="0"/>
        </w:rPr>
        <w:t>participatio / forma / eminentia</w:t>
      </w:r>
      <w:r>
        <w:rPr>
          <w:b/>
          <w:i w:val="0"/>
        </w:rPr>
        <w:t>.</w:t>
      </w:r>
      <w:r>
        <w:rPr>
          <w:b w:val="0"/>
          <w:i w:val="0"/>
        </w:rPr>
        <w:t xml:space="preserve"> Printed forms: </w:t>
      </w:r>
      <w:r>
        <w:rPr>
          <w:b w:val="0"/>
          <w:i/>
        </w:rPr>
        <w:t>eminentem</w:t>
      </w:r>
      <w:r>
        <w:rPr>
          <w:b w:val="0"/>
          <w:i w:val="0"/>
        </w:rPr>
        <w:t xml:space="preserve">; </w:t>
      </w:r>
      <w:r>
        <w:rPr>
          <w:b w:val="0"/>
          <w:i/>
        </w:rPr>
        <w:t>formam</w:t>
      </w:r>
      <w:r>
        <w:rPr>
          <w:b w:val="0"/>
          <w:i w:val="0"/>
        </w:rPr>
        <w:t xml:space="preserve">; </w:t>
      </w:r>
      <w:r>
        <w:rPr>
          <w:b w:val="0"/>
          <w:i/>
        </w:rPr>
        <w:t>participationem</w:t>
      </w:r>
      <w:r>
        <w:rPr>
          <w:b w:val="0"/>
          <w:i w:val="0"/>
        </w:rPr>
        <w:t>.</w:t>
      </w:r>
    </w:p>
    <w:p>
      <w:pPr>
        <w:widowControl/>
      </w:pPr>
      <w:r>
        <w:rPr>
          <w:b w:val="0"/>
          <w:i w:val="0"/>
        </w:rPr>
        <w:t xml:space="preserve">Participation, formal possession and an eminent causal mode. Hot wood, fire and the sun illustrate soul’s share of mind, angel’s full mental form, and God as its superior origin. References: </w:t>
      </w:r>
      <w:hyperlink w:anchor="passage-i-6-12">
        <w:r>
          <w:rPr>
            <w:color w:val="000000"/>
          </w:rPr>
          <w:t xml:space="preserve">I.6.12</w:t>
        </w:r>
      </w:hyperlink>
      <w:r>
        <w:rPr>
          <w:b w:val="0"/>
          <w:i w:val="0"/>
        </w:rPr>
        <w:t xml:space="preserve">. See </w:t>
      </w:r>
      <w:hyperlink w:anchor="participation">
        <w:r>
          <w:rPr>
            <w:color w:val="000000"/>
          </w:rPr>
          <w:t xml:space="preserve">Participation</w:t>
        </w:r>
      </w:hyperlink>
      <w:r>
        <w:rPr>
          <w:b w:val="0"/>
          <w:i w:val="0"/>
        </w:rPr>
        <w:t>.</w:t>
      </w:r>
    </w:p>
    <w:p>
      <w:pPr>
        <w:keepNext/>
        <w:widowControl/>
      </w:pPr>
      <w:bookmarkStart w:id="1079" w:name="latin-record-0828"/>
      <w:bookmarkEnd w:id="1079"/>
      <w:r>
        <w:rPr>
          <w:b/>
          <w:i w:val="0"/>
        </w:rPr>
        <w:t>particula / particularis</w:t>
      </w:r>
      <w:r>
        <w:rPr>
          <w:b/>
          <w:i w:val="0"/>
        </w:rPr>
        <w:t>.</w:t>
      </w:r>
      <w:r>
        <w:rPr>
          <w:b w:val="0"/>
          <w:i w:val="0"/>
        </w:rPr>
        <w:t xml:space="preserve"> Printed forms: </w:t>
      </w:r>
      <w:r>
        <w:rPr>
          <w:b w:val="0"/>
          <w:i/>
        </w:rPr>
        <w:t>particulae</w:t>
      </w:r>
      <w:r>
        <w:rPr>
          <w:b w:val="0"/>
          <w:i w:val="0"/>
        </w:rPr>
        <w:t>.</w:t>
      </w:r>
    </w:p>
    <w:p>
      <w:pPr>
        <w:widowControl/>
      </w:pPr>
      <w:r>
        <w:rPr>
          <w:b w:val="0"/>
          <w:i w:val="0"/>
        </w:rPr>
        <w:t xml:space="preserve">Small part / particular rather than universal. A particular part’s apparent advantage can differ from the universal good; smallness alone does not make its contribution irrelevant. References: </w:t>
      </w:r>
      <w:hyperlink w:anchor="passage-ii-12-19">
        <w:r>
          <w:rPr>
            <w:color w:val="000000"/>
          </w:rPr>
          <w:t xml:space="preserve">II.12.19</w:t>
        </w:r>
      </w:hyperlink>
      <w:r>
        <w:rPr>
          <w:b w:val="0"/>
          <w:i w:val="0"/>
        </w:rPr>
        <w:t xml:space="preserve">, </w:t>
      </w:r>
      <w:hyperlink w:anchor="passage-ii-13-23">
        <w:r>
          <w:rPr>
            <w:color w:val="000000"/>
          </w:rPr>
          <w:t xml:space="preserve">II.13.23</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1080" w:name="latin-record-0829"/>
      <w:bookmarkEnd w:id="1080"/>
      <w:r>
        <w:rPr>
          <w:b/>
          <w:i w:val="0"/>
        </w:rPr>
        <w:t>particularis / universalis</w:t>
      </w:r>
      <w:r>
        <w:rPr>
          <w:b/>
          <w:i w:val="0"/>
        </w:rPr>
        <w:t>.</w:t>
      </w:r>
      <w:r>
        <w:rPr>
          <w:b w:val="0"/>
          <w:i w:val="0"/>
        </w:rPr>
        <w:t xml:space="preserve"> Printed forms: </w:t>
      </w:r>
      <w:r>
        <w:rPr>
          <w:b w:val="0"/>
          <w:i/>
        </w:rPr>
        <w:t>particularia</w:t>
      </w:r>
      <w:r>
        <w:rPr>
          <w:b w:val="0"/>
          <w:i w:val="0"/>
        </w:rPr>
        <w:t xml:space="preserve">; </w:t>
      </w:r>
      <w:r>
        <w:rPr>
          <w:b w:val="0"/>
          <w:i/>
        </w:rPr>
        <w:t>particularibus</w:t>
      </w:r>
      <w:r>
        <w:rPr>
          <w:b w:val="0"/>
          <w:i w:val="0"/>
        </w:rPr>
        <w:t xml:space="preserve">; </w:t>
      </w:r>
      <w:r>
        <w:rPr>
          <w:b w:val="0"/>
          <w:i/>
        </w:rPr>
        <w:t>universales</w:t>
      </w:r>
      <w:r>
        <w:rPr>
          <w:b w:val="0"/>
          <w:i w:val="0"/>
        </w:rPr>
        <w:t xml:space="preserve">; </w:t>
      </w:r>
      <w:r>
        <w:rPr>
          <w:b w:val="0"/>
          <w:i/>
        </w:rPr>
        <w:t>universalia</w:t>
      </w:r>
      <w:r>
        <w:rPr>
          <w:b w:val="0"/>
          <w:i w:val="0"/>
        </w:rPr>
        <w:t>.</w:t>
      </w:r>
    </w:p>
    <w:p>
      <w:pPr>
        <w:widowControl/>
      </w:pPr>
      <w:r>
        <w:rPr>
          <w:b w:val="0"/>
          <w:i w:val="0"/>
        </w:rPr>
        <w:t xml:space="preserve">Particular and universal. The mind rises from particular forms to universal ones; later their widening in thought supports an argument about intelligible abundance. References: </w:t>
      </w:r>
      <w:hyperlink w:anchor="passage-i-3-12">
        <w:r>
          <w:rPr>
            <w:color w:val="000000"/>
          </w:rPr>
          <w:t xml:space="preserve">I.3.12</w:t>
        </w:r>
      </w:hyperlink>
      <w:r>
        <w:rPr>
          <w:b w:val="0"/>
          <w:i w:val="0"/>
        </w:rPr>
        <w:t xml:space="preserve">, </w:t>
      </w:r>
      <w:hyperlink w:anchor="passage-i-5-24">
        <w:r>
          <w:rPr>
            <w:color w:val="000000"/>
          </w:rPr>
          <w:t xml:space="preserve">I.5.24</w:t>
        </w:r>
      </w:hyperlink>
      <w:r>
        <w:rPr>
          <w:b w:val="0"/>
          <w:i w:val="0"/>
        </w:rPr>
        <w:t xml:space="preserve">. See </w:t>
      </w:r>
      <w:hyperlink w:anchor="universals-and-individuals">
        <w:r>
          <w:rPr>
            <w:color w:val="000000"/>
          </w:rPr>
          <w:t xml:space="preserve">Universals and individuals</w:t>
        </w:r>
      </w:hyperlink>
      <w:r>
        <w:rPr>
          <w:b w:val="0"/>
          <w:i w:val="0"/>
        </w:rPr>
        <w:t>.</w:t>
      </w:r>
    </w:p>
    <w:p>
      <w:pPr>
        <w:keepNext/>
        <w:widowControl/>
      </w:pPr>
      <w:bookmarkStart w:id="1081" w:name="latin-record-0830"/>
      <w:bookmarkEnd w:id="1081"/>
      <w:r>
        <w:rPr>
          <w:b/>
          <w:i w:val="0"/>
        </w:rPr>
        <w:t>partim</w:t>
      </w:r>
      <w:r>
        <w:rPr>
          <w:b/>
          <w:i w:val="0"/>
        </w:rPr>
        <w:t>.</w:t>
      </w:r>
      <w:r>
        <w:rPr>
          <w:b w:val="0"/>
          <w:i w:val="0"/>
        </w:rPr>
        <w:t xml:space="preserve"> Printed forms: </w:t>
      </w:r>
      <w:r>
        <w:rPr>
          <w:b w:val="0"/>
          <w:i/>
        </w:rPr>
        <w:t>partim</w:t>
      </w:r>
      <w:r>
        <w:rPr>
          <w:b w:val="0"/>
          <w:i w:val="0"/>
        </w:rPr>
        <w:t>.</w:t>
      </w:r>
    </w:p>
    <w:p>
      <w:pPr>
        <w:widowControl/>
      </w:pPr>
      <w:r>
        <w:rPr>
          <w:b w:val="0"/>
          <w:i w:val="0"/>
        </w:rPr>
        <w:t xml:space="preserve">Partly or in one respect. Soul is partly stable and partly mobile: the following units locate stability in substance and flow in operation. References: </w:t>
      </w:r>
      <w:hyperlink w:anchor="passage-iii-1-15">
        <w:r>
          <w:rPr>
            <w:color w:val="000000"/>
          </w:rPr>
          <w:t xml:space="preserve">III.1.15</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082" w:name="latin-record-0831"/>
      <w:bookmarkEnd w:id="1082"/>
      <w:r>
        <w:rPr>
          <w:b/>
          <w:i w:val="0"/>
        </w:rPr>
        <w:t>partim … partim</w:t>
      </w:r>
      <w:r>
        <w:rPr>
          <w:b/>
          <w:i w:val="0"/>
        </w:rPr>
        <w:t>.</w:t>
      </w:r>
      <w:r>
        <w:rPr>
          <w:b w:val="0"/>
          <w:i w:val="0"/>
        </w:rPr>
        <w:t xml:space="preserve"> Printed forms: </w:t>
      </w:r>
      <w:r>
        <w:rPr>
          <w:b w:val="0"/>
          <w:i/>
        </w:rPr>
        <w:t>partim stat, partim vero movetur</w:t>
      </w:r>
      <w:r>
        <w:rPr>
          <w:b w:val="0"/>
          <w:i w:val="0"/>
        </w:rPr>
        <w:t>.</w:t>
      </w:r>
    </w:p>
    <w:p>
      <w:pPr>
        <w:widowControl/>
      </w:pPr>
      <w:r>
        <w:rPr>
          <w:b w:val="0"/>
          <w:i w:val="0"/>
        </w:rPr>
        <w:t xml:space="preserve">Stable in one respect and changing in another. The subsequent triad specifies the respects, preventing a vague claim that half a soul is spatially motionless and half moves. References: </w:t>
      </w:r>
      <w:hyperlink w:anchor="passage-i-4-4">
        <w:r>
          <w:rPr>
            <w:color w:val="000000"/>
          </w:rPr>
          <w:t xml:space="preserve">I.4.4</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083" w:name="latin-record-0832"/>
      <w:bookmarkEnd w:id="1083"/>
      <w:r>
        <w:rPr>
          <w:b/>
          <w:i w:val="0"/>
        </w:rPr>
        <w:t>partis albedo / pars albedinis</w:t>
      </w:r>
      <w:r>
        <w:rPr>
          <w:b/>
          <w:i w:val="0"/>
        </w:rPr>
        <w:t>.</w:t>
      </w:r>
      <w:r>
        <w:rPr>
          <w:b w:val="0"/>
          <w:i w:val="0"/>
        </w:rPr>
        <w:t xml:space="preserve"> Printed forms: </w:t>
      </w:r>
      <w:r>
        <w:rPr>
          <w:b w:val="0"/>
          <w:i/>
        </w:rPr>
        <w:t>pars albedinis</w:t>
      </w:r>
      <w:r>
        <w:rPr>
          <w:b w:val="0"/>
          <w:i w:val="0"/>
        </w:rPr>
        <w:t xml:space="preserve">; </w:t>
      </w:r>
      <w:r>
        <w:rPr>
          <w:b w:val="0"/>
          <w:i/>
        </w:rPr>
        <w:t>partis albedo</w:t>
      </w:r>
      <w:r>
        <w:rPr>
          <w:b w:val="0"/>
          <w:i w:val="0"/>
        </w:rPr>
        <w:t>.</w:t>
      </w:r>
    </w:p>
    <w:p>
      <w:pPr>
        <w:widowControl/>
      </w:pPr>
      <w:r>
        <w:rPr>
          <w:b w:val="0"/>
          <w:i w:val="0"/>
        </w:rPr>
        <w:t xml:space="preserve">Whiteness of a part, as opposed to a part of whiteness. The reversed genitive relation expresses why division of a white body does not divide qualitative character in the same way as extent. References: </w:t>
      </w:r>
      <w:hyperlink w:anchor="passage-i-2-17">
        <w:r>
          <w:rPr>
            <w:color w:val="000000"/>
          </w:rPr>
          <w:t xml:space="preserve">I.2.17</w:t>
        </w:r>
      </w:hyperlink>
      <w:r>
        <w:rPr>
          <w:b w:val="0"/>
          <w:i w:val="0"/>
        </w:rPr>
        <w:t xml:space="preserve">. See </w:t>
      </w:r>
      <w:hyperlink w:anchor="honey-whiteness-and-the-wall">
        <w:r>
          <w:rPr>
            <w:color w:val="000000"/>
          </w:rPr>
          <w:t xml:space="preserve">Honey, whiteness and the wall</w:t>
        </w:r>
      </w:hyperlink>
      <w:r>
        <w:rPr>
          <w:b w:val="0"/>
          <w:i w:val="0"/>
        </w:rPr>
        <w:t>.</w:t>
      </w:r>
    </w:p>
    <w:p>
      <w:pPr>
        <w:keepNext/>
        <w:widowControl/>
      </w:pPr>
      <w:bookmarkStart w:id="1084" w:name="latin-record-0833"/>
      <w:bookmarkEnd w:id="1084"/>
      <w:r>
        <w:rPr>
          <w:b/>
          <w:i w:val="0"/>
        </w:rPr>
        <w:t>parturire</w:t>
      </w:r>
      <w:r>
        <w:rPr>
          <w:b/>
          <w:i w:val="0"/>
        </w:rPr>
        <w:t>.</w:t>
      </w:r>
      <w:r>
        <w:rPr>
          <w:b w:val="0"/>
          <w:i w:val="0"/>
        </w:rPr>
        <w:t xml:space="preserve"> Printed forms: </w:t>
      </w:r>
      <w:r>
        <w:rPr>
          <w:b w:val="0"/>
          <w:i/>
        </w:rPr>
        <w:t>parturiunt</w:t>
      </w:r>
      <w:r>
        <w:rPr>
          <w:b w:val="0"/>
          <w:i w:val="0"/>
        </w:rPr>
        <w:t>.</w:t>
      </w:r>
    </w:p>
    <w:p>
      <w:pPr>
        <w:widowControl/>
      </w:pPr>
      <w:r>
        <w:rPr>
          <w:b w:val="0"/>
          <w:i w:val="0"/>
        </w:rPr>
        <w:t xml:space="preserve">To bring forth offspring. Earth and water’s fertility is fostered by higher spheres, extending the maternal image within a causal hierarchy. References: </w:t>
      </w:r>
      <w:hyperlink w:anchor="passage-iv-1-36">
        <w:r>
          <w:rPr>
            <w:color w:val="000000"/>
          </w:rPr>
          <w:t xml:space="preserve">IV.1.36</w:t>
        </w:r>
      </w:hyperlink>
      <w:r>
        <w:rPr>
          <w:b w:val="0"/>
          <w:i w:val="0"/>
        </w:rPr>
        <w:t xml:space="preserve">. See </w:t>
      </w:r>
      <w:hyperlink w:anchor="earth-as-mother">
        <w:r>
          <w:rPr>
            <w:color w:val="000000"/>
          </w:rPr>
          <w:t xml:space="preserve">Earth as mother</w:t>
        </w:r>
      </w:hyperlink>
      <w:r>
        <w:rPr>
          <w:b w:val="0"/>
          <w:i w:val="0"/>
        </w:rPr>
        <w:t>.</w:t>
      </w:r>
    </w:p>
    <w:p>
      <w:pPr>
        <w:keepNext/>
        <w:widowControl/>
      </w:pPr>
      <w:bookmarkStart w:id="1085" w:name="latin-record-0834"/>
      <w:bookmarkEnd w:id="1085"/>
      <w:r>
        <w:rPr>
          <w:b/>
          <w:i w:val="0"/>
        </w:rPr>
        <w:t>parum / paululum / paulum</w:t>
      </w:r>
      <w:r>
        <w:rPr>
          <w:b/>
          <w:i w:val="0"/>
        </w:rPr>
        <w:t>.</w:t>
      </w:r>
      <w:r>
        <w:rPr>
          <w:b w:val="0"/>
          <w:i w:val="0"/>
        </w:rPr>
        <w:t xml:space="preserve"> Printed forms: </w:t>
      </w:r>
      <w:r>
        <w:rPr>
          <w:b w:val="0"/>
          <w:i/>
        </w:rPr>
        <w:t>parum</w:t>
      </w:r>
      <w:r>
        <w:rPr>
          <w:b w:val="0"/>
          <w:i w:val="0"/>
        </w:rPr>
        <w:t xml:space="preserve">; </w:t>
      </w:r>
      <w:r>
        <w:rPr>
          <w:b w:val="0"/>
          <w:i/>
        </w:rPr>
        <w:t>paululum</w:t>
      </w:r>
      <w:r>
        <w:rPr>
          <w:b w:val="0"/>
          <w:i w:val="0"/>
        </w:rPr>
        <w:t xml:space="preserve">; </w:t>
      </w:r>
      <w:r>
        <w:rPr>
          <w:b w:val="0"/>
          <w:i/>
        </w:rPr>
        <w:t>paulum</w:t>
      </w:r>
      <w:r>
        <w:rPr>
          <w:b w:val="0"/>
          <w:i w:val="0"/>
        </w:rPr>
        <w:t>.</w:t>
      </w:r>
    </w:p>
    <w:p>
      <w:pPr>
        <w:widowControl/>
      </w:pPr>
      <w:r>
        <w:rPr>
          <w:b w:val="0"/>
          <w:i w:val="0"/>
        </w:rPr>
        <w:t xml:space="preserve">Little or a small amount, with contextual degrees. The fifth and sixth lives complete the ordered three-faculty series; contextual ranking does not establish an invariant lexical distinction between the adverbs. References: </w:t>
      </w:r>
      <w:hyperlink w:anchor="passage-iv-1-47">
        <w:r>
          <w:rPr>
            <w:color w:val="000000"/>
          </w:rPr>
          <w:t xml:space="preserve">IV.1.47</w:t>
        </w:r>
      </w:hyperlink>
      <w:r>
        <w:rPr>
          <w:b w:val="0"/>
          <w:i w:val="0"/>
        </w:rPr>
        <w:t xml:space="preserve">. See </w:t>
      </w:r>
      <w:hyperlink w:anchor="reason-anger-and-desire">
        <w:r>
          <w:rPr>
            <w:color w:val="000000"/>
          </w:rPr>
          <w:t xml:space="preserve">Reason anger and desire</w:t>
        </w:r>
      </w:hyperlink>
      <w:r>
        <w:rPr>
          <w:b w:val="0"/>
          <w:i w:val="0"/>
        </w:rPr>
        <w:t>.</w:t>
      </w:r>
    </w:p>
    <w:p>
      <w:pPr>
        <w:keepNext/>
        <w:widowControl/>
      </w:pPr>
      <w:bookmarkStart w:id="1086" w:name="latin-record-0835"/>
      <w:bookmarkEnd w:id="1086"/>
      <w:r>
        <w:rPr>
          <w:b/>
          <w:i w:val="0"/>
        </w:rPr>
        <w:t>passim</w:t>
      </w:r>
      <w:r>
        <w:rPr>
          <w:b/>
          <w:i w:val="0"/>
        </w:rPr>
        <w:t>.</w:t>
      </w:r>
      <w:r>
        <w:rPr>
          <w:b w:val="0"/>
          <w:i w:val="0"/>
        </w:rPr>
        <w:t xml:space="preserve"> Printed forms: </w:t>
      </w:r>
      <w:r>
        <w:rPr>
          <w:b w:val="0"/>
          <w:i/>
        </w:rPr>
        <w:t>passim</w:t>
      </w:r>
      <w:r>
        <w:rPr>
          <w:b w:val="0"/>
          <w:i w:val="0"/>
        </w:rPr>
        <w:t>.</w:t>
      </w:r>
    </w:p>
    <w:p>
      <w:pPr>
        <w:widowControl/>
      </w:pPr>
      <w:r>
        <w:rPr>
          <w:b w:val="0"/>
          <w:i w:val="0"/>
        </w:rPr>
        <w:t xml:space="preserve">In various places or here and there. Inferior agents differentiate universal divine action in particular ways; passim is an adverb, not a form of suffering or passion. References: </w:t>
      </w:r>
      <w:hyperlink w:anchor="passage-ii-7-30">
        <w:r>
          <w:rPr>
            <w:color w:val="000000"/>
          </w:rPr>
          <w:t xml:space="preserve">II.7.30</w:t>
        </w:r>
      </w:hyperlink>
      <w:r>
        <w:rPr>
          <w:b w:val="0"/>
          <w:i w:val="0"/>
        </w:rPr>
        <w:t xml:space="preserve">. See </w:t>
      </w:r>
      <w:hyperlink w:anchor="cause">
        <w:r>
          <w:rPr>
            <w:color w:val="000000"/>
          </w:rPr>
          <w:t xml:space="preserve">Cause</w:t>
        </w:r>
      </w:hyperlink>
      <w:r>
        <w:rPr>
          <w:b w:val="0"/>
          <w:i w:val="0"/>
        </w:rPr>
        <w:t>.</w:t>
      </w:r>
    </w:p>
    <w:p>
      <w:pPr>
        <w:keepNext/>
        <w:widowControl/>
      </w:pPr>
      <w:bookmarkStart w:id="1087" w:name="latin-record-0836"/>
      <w:bookmarkEnd w:id="1087"/>
      <w:r>
        <w:rPr>
          <w:b/>
          <w:i w:val="0"/>
        </w:rPr>
        <w:t>passio / patiens / pati</w:t>
      </w:r>
      <w:r>
        <w:rPr>
          <w:b/>
          <w:i w:val="0"/>
        </w:rPr>
        <w:t>.</w:t>
      </w:r>
      <w:r>
        <w:rPr>
          <w:b w:val="0"/>
          <w:i w:val="0"/>
        </w:rPr>
        <w:t xml:space="preserve"> Printed forms: </w:t>
      </w:r>
      <w:r>
        <w:rPr>
          <w:b w:val="0"/>
          <w:i/>
        </w:rPr>
        <w:t>passio</w:t>
      </w:r>
      <w:r>
        <w:rPr>
          <w:b w:val="0"/>
          <w:i w:val="0"/>
        </w:rPr>
        <w:t xml:space="preserve">; </w:t>
      </w:r>
      <w:r>
        <w:rPr>
          <w:b w:val="0"/>
          <w:i/>
        </w:rPr>
        <w:t>passiva</w:t>
      </w:r>
      <w:r>
        <w:rPr>
          <w:b w:val="0"/>
          <w:i w:val="0"/>
        </w:rPr>
        <w:t xml:space="preserve">; </w:t>
      </w:r>
      <w:r>
        <w:rPr>
          <w:b w:val="0"/>
          <w:i/>
        </w:rPr>
        <w:t>passivae</w:t>
      </w:r>
      <w:r>
        <w:rPr>
          <w:b w:val="0"/>
          <w:i w:val="0"/>
        </w:rPr>
        <w:t xml:space="preserve">; </w:t>
      </w:r>
      <w:r>
        <w:rPr>
          <w:b w:val="0"/>
          <w:i/>
        </w:rPr>
        <w:t>patiendi</w:t>
      </w:r>
      <w:r>
        <w:rPr>
          <w:b w:val="0"/>
          <w:i w:val="0"/>
        </w:rPr>
        <w:t xml:space="preserve">; </w:t>
      </w:r>
      <w:r>
        <w:rPr>
          <w:b w:val="0"/>
          <w:i/>
        </w:rPr>
        <w:t>patiens</w:t>
      </w:r>
      <w:r>
        <w:rPr>
          <w:b w:val="0"/>
          <w:i w:val="0"/>
        </w:rPr>
        <w:t xml:space="preserve">; </w:t>
      </w:r>
      <w:r>
        <w:rPr>
          <w:b w:val="0"/>
          <w:i/>
        </w:rPr>
        <w:t>patitur</w:t>
      </w:r>
      <w:r>
        <w:rPr>
          <w:b w:val="0"/>
          <w:i w:val="0"/>
        </w:rPr>
        <w:t>.</w:t>
      </w:r>
    </w:p>
    <w:p>
      <w:pPr>
        <w:widowControl/>
      </w:pPr>
      <w:r>
        <w:rPr>
          <w:b w:val="0"/>
          <w:i w:val="0"/>
        </w:rPr>
        <w:t xml:space="preserve">Undergoing or receptivity, not necessarily emotion. To be bounded involves passivity; primary matter and essence are called the first recipient in contrast to the first agent. References: </w:t>
      </w:r>
      <w:hyperlink w:anchor="passage-ii-4-1">
        <w:r>
          <w:rPr>
            <w:color w:val="000000"/>
          </w:rPr>
          <w:t xml:space="preserve">II.4.1</w:t>
        </w:r>
      </w:hyperlink>
      <w:r>
        <w:rPr>
          <w:b w:val="0"/>
          <w:i w:val="0"/>
        </w:rPr>
        <w:t xml:space="preserve">, </w:t>
      </w:r>
      <w:hyperlink w:anchor="passage-ii-4-5">
        <w:r>
          <w:rPr>
            <w:color w:val="000000"/>
          </w:rPr>
          <w:t xml:space="preserve">II.4.5</w:t>
        </w:r>
      </w:hyperlink>
      <w:r>
        <w:rPr>
          <w:b w:val="0"/>
          <w:i w:val="0"/>
        </w:rPr>
        <w:t xml:space="preserve">, </w:t>
      </w:r>
      <w:hyperlink w:anchor="passage-ii-6-5">
        <w:r>
          <w:rPr>
            <w:color w:val="000000"/>
          </w:rPr>
          <w:t xml:space="preserve">II.6.5</w:t>
        </w:r>
      </w:hyperlink>
      <w:r>
        <w:rPr>
          <w:b w:val="0"/>
          <w:i w:val="0"/>
        </w:rPr>
        <w:t xml:space="preserve">. See </w:t>
      </w:r>
      <w:hyperlink w:anchor="affection-and-passivity">
        <w:r>
          <w:rPr>
            <w:color w:val="000000"/>
          </w:rPr>
          <w:t xml:space="preserve">Affection and passivity</w:t>
        </w:r>
      </w:hyperlink>
      <w:r>
        <w:rPr>
          <w:b w:val="0"/>
          <w:i w:val="0"/>
        </w:rPr>
        <w:t>.</w:t>
      </w:r>
    </w:p>
    <w:p>
      <w:pPr>
        <w:keepNext/>
        <w:widowControl/>
      </w:pPr>
      <w:bookmarkStart w:id="1088" w:name="latin-record-0837"/>
      <w:bookmarkEnd w:id="1088"/>
      <w:r>
        <w:rPr>
          <w:b/>
          <w:i w:val="0"/>
        </w:rPr>
        <w:t>pater / patria</w:t>
      </w:r>
      <w:r>
        <w:rPr>
          <w:b/>
          <w:i w:val="0"/>
        </w:rPr>
        <w:t>.</w:t>
      </w:r>
      <w:r>
        <w:rPr>
          <w:b w:val="0"/>
          <w:i w:val="0"/>
        </w:rPr>
        <w:t xml:space="preserve"> Printed forms: </w:t>
      </w:r>
      <w:r>
        <w:rPr>
          <w:b w:val="0"/>
          <w:i/>
        </w:rPr>
        <w:t>patre</w:t>
      </w:r>
      <w:r>
        <w:rPr>
          <w:b w:val="0"/>
          <w:i w:val="0"/>
        </w:rPr>
        <w:t xml:space="preserve">; </w:t>
      </w:r>
      <w:r>
        <w:rPr>
          <w:b w:val="0"/>
          <w:i/>
        </w:rPr>
        <w:t>patriam</w:t>
      </w:r>
      <w:r>
        <w:rPr>
          <w:b w:val="0"/>
          <w:i w:val="0"/>
        </w:rPr>
        <w:t>.</w:t>
      </w:r>
    </w:p>
    <w:p>
      <w:pPr>
        <w:widowControl/>
      </w:pPr>
      <w:r>
        <w:rPr>
          <w:b w:val="0"/>
          <w:i w:val="0"/>
        </w:rPr>
        <w:t xml:space="preserve">Father and homeland as paired comparisons. The Good is the source from which all things originate and the end toward which all aspire; tamquam marks both as comparisons. References: </w:t>
      </w:r>
      <w:hyperlink w:anchor="passage-i-6-19">
        <w:r>
          <w:rPr>
            <w:color w:val="000000"/>
          </w:rPr>
          <w:t xml:space="preserve">I.6.19</w:t>
        </w:r>
      </w:hyperlink>
      <w:r>
        <w:rPr>
          <w:b w:val="0"/>
          <w:i w:val="0"/>
        </w:rPr>
        <w:t xml:space="preserve">. See </w:t>
      </w:r>
      <w:hyperlink w:anchor="prison-and-homeland">
        <w:r>
          <w:rPr>
            <w:color w:val="000000"/>
          </w:rPr>
          <w:t xml:space="preserve">Prison and homeland</w:t>
        </w:r>
      </w:hyperlink>
      <w:r>
        <w:rPr>
          <w:b w:val="0"/>
          <w:i w:val="0"/>
        </w:rPr>
        <w:t>.</w:t>
      </w:r>
    </w:p>
    <w:p>
      <w:pPr>
        <w:keepNext/>
        <w:widowControl/>
      </w:pPr>
      <w:bookmarkStart w:id="1089" w:name="latin-record-0838"/>
      <w:bookmarkEnd w:id="1089"/>
      <w:r>
        <w:rPr>
          <w:b/>
          <w:i w:val="0"/>
        </w:rPr>
        <w:t>pater philosophorum</w:t>
      </w:r>
      <w:r>
        <w:rPr>
          <w:b/>
          <w:i w:val="0"/>
        </w:rPr>
        <w:t>.</w:t>
      </w:r>
      <w:r>
        <w:rPr>
          <w:b w:val="0"/>
          <w:i w:val="0"/>
        </w:rPr>
        <w:t xml:space="preserve"> Printed forms: </w:t>
      </w:r>
      <w:r>
        <w:rPr>
          <w:b w:val="0"/>
          <w:i/>
        </w:rPr>
        <w:t>pater</w:t>
      </w:r>
      <w:r>
        <w:rPr>
          <w:b w:val="0"/>
          <w:i w:val="0"/>
        </w:rPr>
        <w:t>.</w:t>
      </w:r>
    </w:p>
    <w:p>
      <w:pPr>
        <w:widowControl/>
      </w:pPr>
      <w:r>
        <w:rPr>
          <w:b w:val="0"/>
          <w:i w:val="0"/>
        </w:rPr>
        <w:t xml:space="preserve">Father or originating authority in an intellectual lineage. Calling Plato the father of philosophers establishes Ficino’s reverential point of departure; it is an honorific genealogy, not a literal parenthood claim. References: </w:t>
      </w:r>
      <w:hyperlink w:anchor="passage-proem-1">
        <w:r>
          <w:rPr>
            <w:color w:val="000000"/>
          </w:rPr>
          <w:t xml:space="preserve">Proem.1</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1090" w:name="latin-record-0839"/>
      <w:bookmarkEnd w:id="1090"/>
      <w:r>
        <w:rPr>
          <w:b/>
          <w:i w:val="0"/>
        </w:rPr>
        <w:t>pati / passio</w:t>
      </w:r>
      <w:r>
        <w:rPr>
          <w:b/>
          <w:i w:val="0"/>
        </w:rPr>
        <w:t>.</w:t>
      </w:r>
      <w:r>
        <w:rPr>
          <w:b w:val="0"/>
          <w:i w:val="0"/>
        </w:rPr>
        <w:t xml:space="preserve"> Printed forms: </w:t>
      </w:r>
      <w:r>
        <w:rPr>
          <w:b w:val="0"/>
          <w:i/>
        </w:rPr>
        <w:t>passione</w:t>
      </w:r>
      <w:r>
        <w:rPr>
          <w:b w:val="0"/>
          <w:i w:val="0"/>
        </w:rPr>
        <w:t xml:space="preserve">; </w:t>
      </w:r>
      <w:r>
        <w:rPr>
          <w:b w:val="0"/>
          <w:i/>
        </w:rPr>
        <w:t>pati</w:t>
      </w:r>
      <w:r>
        <w:rPr>
          <w:b w:val="0"/>
          <w:i w:val="0"/>
        </w:rPr>
        <w:t xml:space="preserve">; </w:t>
      </w:r>
      <w:r>
        <w:rPr>
          <w:b w:val="0"/>
          <w:i/>
        </w:rPr>
        <w:t>patiatur</w:t>
      </w:r>
      <w:r>
        <w:rPr>
          <w:b w:val="0"/>
          <w:i w:val="0"/>
        </w:rPr>
        <w:t xml:space="preserve">; </w:t>
      </w:r>
      <w:r>
        <w:rPr>
          <w:b w:val="0"/>
          <w:i/>
        </w:rPr>
        <w:t>patiendique</w:t>
      </w:r>
      <w:r>
        <w:rPr>
          <w:b w:val="0"/>
          <w:i w:val="0"/>
        </w:rPr>
        <w:t>.</w:t>
      </w:r>
    </w:p>
    <w:p>
      <w:pPr>
        <w:widowControl/>
      </w:pPr>
      <w:r>
        <w:rPr>
          <w:b w:val="0"/>
          <w:i w:val="0"/>
        </w:rPr>
        <w:t xml:space="preserve">Undergo / being affected. A body’s passive role differs from soul’s acquisition of new activity and angel’s receptive formation. References: </w:t>
      </w:r>
      <w:hyperlink w:anchor="passage-iii-1-9">
        <w:r>
          <w:rPr>
            <w:color w:val="000000"/>
          </w:rPr>
          <w:t xml:space="preserve">III.1.9</w:t>
        </w:r>
      </w:hyperlink>
      <w:r>
        <w:rPr>
          <w:b w:val="0"/>
          <w:i w:val="0"/>
        </w:rPr>
        <w:t xml:space="preserve">, </w:t>
      </w:r>
      <w:hyperlink w:anchor="passage-iii-1-10">
        <w:r>
          <w:rPr>
            <w:color w:val="000000"/>
          </w:rPr>
          <w:t xml:space="preserve">III.1.10</w:t>
        </w:r>
      </w:hyperlink>
      <w:r>
        <w:rPr>
          <w:b w:val="0"/>
          <w:i w:val="0"/>
        </w:rPr>
        <w:t xml:space="preserve">, </w:t>
      </w:r>
      <w:hyperlink w:anchor="passage-iii-1-19">
        <w:r>
          <w:rPr>
            <w:color w:val="000000"/>
          </w:rPr>
          <w:t xml:space="preserve">III.1.19</w:t>
        </w:r>
      </w:hyperlink>
      <w:r>
        <w:rPr>
          <w:b w:val="0"/>
          <w:i w:val="0"/>
        </w:rPr>
        <w:t xml:space="preserve">. See </w:t>
      </w:r>
      <w:hyperlink w:anchor="affection-and-passivity">
        <w:r>
          <w:rPr>
            <w:color w:val="000000"/>
          </w:rPr>
          <w:t xml:space="preserve">Affection and passivity</w:t>
        </w:r>
      </w:hyperlink>
      <w:r>
        <w:rPr>
          <w:b w:val="0"/>
          <w:i w:val="0"/>
        </w:rPr>
        <w:t>.</w:t>
      </w:r>
    </w:p>
    <w:p>
      <w:pPr>
        <w:keepNext/>
        <w:widowControl/>
      </w:pPr>
      <w:bookmarkStart w:id="1091" w:name="latin-record-0840"/>
      <w:bookmarkEnd w:id="1091"/>
      <w:r>
        <w:rPr>
          <w:b/>
          <w:i w:val="0"/>
        </w:rPr>
        <w:t>pati / passivus</w:t>
      </w:r>
      <w:r>
        <w:rPr>
          <w:b/>
          <w:i w:val="0"/>
        </w:rPr>
        <w:t>.</w:t>
      </w:r>
      <w:r>
        <w:rPr>
          <w:b w:val="0"/>
          <w:i w:val="0"/>
        </w:rPr>
        <w:t xml:space="preserve"> Printed forms: </w:t>
      </w:r>
      <w:r>
        <w:rPr>
          <w:b w:val="0"/>
          <w:i/>
        </w:rPr>
        <w:t>passivam</w:t>
      </w:r>
      <w:r>
        <w:rPr>
          <w:b w:val="0"/>
          <w:i w:val="0"/>
        </w:rPr>
        <w:t xml:space="preserve">; </w:t>
      </w:r>
      <w:r>
        <w:rPr>
          <w:b w:val="0"/>
          <w:i/>
        </w:rPr>
        <w:t>pati</w:t>
      </w:r>
      <w:r>
        <w:rPr>
          <w:b w:val="0"/>
          <w:i w:val="0"/>
        </w:rPr>
        <w:t xml:space="preserve">; </w:t>
      </w:r>
      <w:r>
        <w:rPr>
          <w:b w:val="0"/>
          <w:i/>
        </w:rPr>
        <w:t>patitur</w:t>
      </w:r>
      <w:r>
        <w:rPr>
          <w:b w:val="0"/>
          <w:i w:val="0"/>
        </w:rPr>
        <w:t>.</w:t>
      </w:r>
    </w:p>
    <w:p>
      <w:pPr>
        <w:widowControl/>
      </w:pPr>
      <w:r>
        <w:rPr>
          <w:b w:val="0"/>
          <w:i w:val="0"/>
        </w:rPr>
        <w:t xml:space="preserve">To undergo an effect; passive. Bodily action and suffering occur divisibly, temporal numbering affects operation, and bodily forms receive a passive alteration at the end of descent. References: </w:t>
      </w:r>
      <w:hyperlink w:anchor="passage-iv-1-33">
        <w:r>
          <w:rPr>
            <w:color w:val="000000"/>
          </w:rPr>
          <w:t xml:space="preserve">IV.1.33</w:t>
        </w:r>
      </w:hyperlink>
      <w:r>
        <w:rPr>
          <w:b w:val="0"/>
          <w:i w:val="0"/>
        </w:rPr>
        <w:t xml:space="preserve">, </w:t>
      </w:r>
      <w:hyperlink w:anchor="passage-iv-2-8">
        <w:r>
          <w:rPr>
            <w:color w:val="000000"/>
          </w:rPr>
          <w:t xml:space="preserve">IV.2.8</w:t>
        </w:r>
      </w:hyperlink>
      <w:r>
        <w:rPr>
          <w:b w:val="0"/>
          <w:i w:val="0"/>
        </w:rPr>
        <w:t xml:space="preserve">, </w:t>
      </w:r>
      <w:hyperlink w:anchor="passage-iv-2-19">
        <w:r>
          <w:rPr>
            <w:color w:val="000000"/>
          </w:rPr>
          <w:t xml:space="preserve">IV.2.19</w:t>
        </w:r>
      </w:hyperlink>
      <w:r>
        <w:rPr>
          <w:b w:val="0"/>
          <w:i w:val="0"/>
        </w:rPr>
        <w:t xml:space="preserve">. See </w:t>
      </w:r>
      <w:hyperlink w:anchor="affection-and-passivity">
        <w:r>
          <w:rPr>
            <w:color w:val="000000"/>
          </w:rPr>
          <w:t xml:space="preserve">Affection and passivity</w:t>
        </w:r>
      </w:hyperlink>
      <w:r>
        <w:rPr>
          <w:b w:val="0"/>
          <w:i w:val="0"/>
        </w:rPr>
        <w:t>.</w:t>
      </w:r>
    </w:p>
    <w:p>
      <w:pPr>
        <w:keepNext/>
        <w:widowControl/>
      </w:pPr>
      <w:bookmarkStart w:id="1092" w:name="latin-record-0841"/>
      <w:bookmarkEnd w:id="1092"/>
      <w:r>
        <w:rPr>
          <w:b/>
          <w:i w:val="0"/>
        </w:rPr>
        <w:t>pati / patior</w:t>
      </w:r>
      <w:r>
        <w:rPr>
          <w:b/>
          <w:i w:val="0"/>
        </w:rPr>
        <w:t>.</w:t>
      </w:r>
      <w:r>
        <w:rPr>
          <w:b w:val="0"/>
          <w:i w:val="0"/>
        </w:rPr>
        <w:t xml:space="preserve"> Printed forms: </w:t>
      </w:r>
      <w:r>
        <w:rPr>
          <w:b w:val="0"/>
          <w:i/>
        </w:rPr>
        <w:t>pati</w:t>
      </w:r>
      <w:r>
        <w:rPr>
          <w:b w:val="0"/>
          <w:i w:val="0"/>
        </w:rPr>
        <w:t xml:space="preserve">; </w:t>
      </w:r>
      <w:r>
        <w:rPr>
          <w:b w:val="0"/>
          <w:i/>
        </w:rPr>
        <w:t>patiatur</w:t>
      </w:r>
      <w:r>
        <w:rPr>
          <w:b w:val="0"/>
          <w:i w:val="0"/>
        </w:rPr>
        <w:t xml:space="preserve">; </w:t>
      </w:r>
      <w:r>
        <w:rPr>
          <w:b w:val="0"/>
          <w:i/>
        </w:rPr>
        <w:t>patitur</w:t>
      </w:r>
      <w:r>
        <w:rPr>
          <w:b w:val="0"/>
          <w:i w:val="0"/>
        </w:rPr>
        <w:t xml:space="preserve">; </w:t>
      </w:r>
      <w:r>
        <w:rPr>
          <w:b w:val="0"/>
          <w:i/>
        </w:rPr>
        <w:t>patiuntur</w:t>
      </w:r>
      <w:r>
        <w:rPr>
          <w:b w:val="0"/>
          <w:i w:val="0"/>
        </w:rPr>
        <w:t>.</w:t>
      </w:r>
    </w:p>
    <w:p>
      <w:pPr>
        <w:widowControl/>
      </w:pPr>
      <w:r>
        <w:rPr>
          <w:b w:val="0"/>
          <w:i w:val="0"/>
        </w:rPr>
        <w:t xml:space="preserve">To undergo or be acted upon. Fire is said to resist admixture while matter is universally receptive; the verb’s object determines the kind of passivity, not necessarily conscious suffering. References: </w:t>
      </w:r>
      <w:hyperlink w:anchor="passage-i-2-5">
        <w:r>
          <w:rPr>
            <w:color w:val="000000"/>
          </w:rPr>
          <w:t xml:space="preserve">I.2.5</w:t>
        </w:r>
      </w:hyperlink>
      <w:r>
        <w:rPr>
          <w:b w:val="0"/>
          <w:i w:val="0"/>
        </w:rPr>
        <w:t xml:space="preserve">, </w:t>
      </w:r>
      <w:hyperlink w:anchor="passage-i-2-6">
        <w:r>
          <w:rPr>
            <w:color w:val="000000"/>
          </w:rPr>
          <w:t xml:space="preserve">I.2.6</w:t>
        </w:r>
      </w:hyperlink>
      <w:r>
        <w:rPr>
          <w:b w:val="0"/>
          <w:i w:val="0"/>
        </w:rPr>
        <w:t xml:space="preserve">. See </w:t>
      </w:r>
      <w:hyperlink w:anchor="affection-and-passivity">
        <w:r>
          <w:rPr>
            <w:color w:val="000000"/>
          </w:rPr>
          <w:t xml:space="preserve">Affection and passivity</w:t>
        </w:r>
      </w:hyperlink>
      <w:r>
        <w:rPr>
          <w:b w:val="0"/>
          <w:i w:val="0"/>
        </w:rPr>
        <w:t>.</w:t>
      </w:r>
    </w:p>
    <w:p>
      <w:pPr>
        <w:keepNext/>
        <w:widowControl/>
      </w:pPr>
      <w:bookmarkStart w:id="1093" w:name="latin-record-0842"/>
      <w:bookmarkEnd w:id="1093"/>
      <w:r>
        <w:rPr>
          <w:b/>
          <w:i w:val="0"/>
        </w:rPr>
        <w:t>paulatim / subito / sero</w:t>
      </w:r>
      <w:r>
        <w:rPr>
          <w:b/>
          <w:i w:val="0"/>
        </w:rPr>
        <w:t>.</w:t>
      </w:r>
      <w:r>
        <w:rPr>
          <w:b w:val="0"/>
          <w:i w:val="0"/>
        </w:rPr>
        <w:t xml:space="preserve"> Printed forms: </w:t>
      </w:r>
      <w:r>
        <w:rPr>
          <w:b w:val="0"/>
          <w:i/>
        </w:rPr>
        <w:t>cito</w:t>
      </w:r>
      <w:r>
        <w:rPr>
          <w:b w:val="0"/>
          <w:i w:val="0"/>
        </w:rPr>
        <w:t xml:space="preserve">; </w:t>
      </w:r>
      <w:r>
        <w:rPr>
          <w:b w:val="0"/>
          <w:i/>
        </w:rPr>
        <w:t>paulatim</w:t>
      </w:r>
      <w:r>
        <w:rPr>
          <w:b w:val="0"/>
          <w:i w:val="0"/>
        </w:rPr>
        <w:t xml:space="preserve">; </w:t>
      </w:r>
      <w:r>
        <w:rPr>
          <w:b w:val="0"/>
          <w:i/>
        </w:rPr>
        <w:t>sero</w:t>
      </w:r>
      <w:r>
        <w:rPr>
          <w:b w:val="0"/>
          <w:i w:val="0"/>
        </w:rPr>
        <w:t xml:space="preserve">; </w:t>
      </w:r>
      <w:r>
        <w:rPr>
          <w:b w:val="0"/>
          <w:i/>
        </w:rPr>
        <w:t>subito</w:t>
      </w:r>
      <w:r>
        <w:rPr>
          <w:b w:val="0"/>
          <w:i w:val="0"/>
        </w:rPr>
        <w:t>.</w:t>
      </w:r>
    </w:p>
    <w:p>
      <w:pPr>
        <w:widowControl/>
      </w:pPr>
      <w:r>
        <w:rPr>
          <w:b w:val="0"/>
          <w:i w:val="0"/>
        </w:rPr>
        <w:t xml:space="preserve">Little by little, instantaneously, late and quickly. Ficino distinguishes intensity, gradual completion and delay over distance. Rapid action is not automatically the same as instantaneous action. References: </w:t>
      </w:r>
      <w:hyperlink w:anchor="passage-i-2-4">
        <w:r>
          <w:rPr>
            <w:color w:val="000000"/>
          </w:rPr>
          <w:t xml:space="preserve">I.2.4</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1094" w:name="latin-record-0843"/>
      <w:bookmarkEnd w:id="1094"/>
      <w:r>
        <w:rPr>
          <w:b/>
          <w:i w:val="0"/>
        </w:rPr>
        <w:t>pellere</w:t>
      </w:r>
      <w:r>
        <w:rPr>
          <w:b/>
          <w:i w:val="0"/>
        </w:rPr>
        <w:t>.</w:t>
      </w:r>
      <w:r>
        <w:rPr>
          <w:b w:val="0"/>
          <w:i w:val="0"/>
        </w:rPr>
        <w:t xml:space="preserve"> Printed forms: </w:t>
      </w:r>
      <w:r>
        <w:rPr>
          <w:b w:val="0"/>
          <w:i/>
        </w:rPr>
        <w:t>pellet</w:t>
      </w:r>
      <w:r>
        <w:rPr>
          <w:b w:val="0"/>
          <w:i w:val="0"/>
        </w:rPr>
        <w:t xml:space="preserve">; </w:t>
      </w:r>
      <w:r>
        <w:rPr>
          <w:b w:val="0"/>
          <w:i/>
        </w:rPr>
        <w:t>pellitque</w:t>
      </w:r>
      <w:r>
        <w:rPr>
          <w:b w:val="0"/>
          <w:i w:val="0"/>
        </w:rPr>
        <w:t>.</w:t>
      </w:r>
    </w:p>
    <w:p>
      <w:pPr>
        <w:widowControl/>
      </w:pPr>
      <w:r>
        <w:rPr>
          <w:b w:val="0"/>
          <w:i w:val="0"/>
        </w:rPr>
        <w:t xml:space="preserve">To push or drive another part. Connected heavenly parts draw and push one another around, supplying a bodily component of the circular-motion explanation. References: </w:t>
      </w:r>
      <w:hyperlink w:anchor="passage-iv-2-21">
        <w:r>
          <w:rPr>
            <w:color w:val="000000"/>
          </w:rPr>
          <w:t xml:space="preserve">IV.2.21</w:t>
        </w:r>
      </w:hyperlink>
      <w:r>
        <w:rPr>
          <w:b w:val="0"/>
          <w:i w:val="0"/>
        </w:rPr>
        <w:t xml:space="preserve">, </w:t>
      </w:r>
      <w:hyperlink w:anchor="passage-iv-2-25">
        <w:r>
          <w:rPr>
            <w:color w:val="000000"/>
          </w:rPr>
          <w:t xml:space="preserve">IV.2.25</w:t>
        </w:r>
      </w:hyperlink>
      <w:r>
        <w:rPr>
          <w:b w:val="0"/>
          <w:i w:val="0"/>
        </w:rPr>
        <w:t xml:space="preserve">. See </w:t>
      </w:r>
      <w:hyperlink w:anchor="circularity-and-return">
        <w:r>
          <w:rPr>
            <w:color w:val="000000"/>
          </w:rPr>
          <w:t xml:space="preserve">Circularity and return</w:t>
        </w:r>
      </w:hyperlink>
      <w:r>
        <w:rPr>
          <w:b w:val="0"/>
          <w:i w:val="0"/>
        </w:rPr>
        <w:t>.</w:t>
      </w:r>
    </w:p>
    <w:p>
      <w:pPr>
        <w:keepNext/>
        <w:widowControl/>
      </w:pPr>
      <w:bookmarkStart w:id="1095" w:name="latin-record-0844"/>
      <w:bookmarkEnd w:id="1095"/>
      <w:r>
        <w:rPr>
          <w:b/>
          <w:i w:val="0"/>
        </w:rPr>
        <w:t>pendere / converti</w:t>
      </w:r>
      <w:r>
        <w:rPr>
          <w:b/>
          <w:i w:val="0"/>
        </w:rPr>
        <w:t>.</w:t>
      </w:r>
      <w:r>
        <w:rPr>
          <w:b w:val="0"/>
          <w:i w:val="0"/>
        </w:rPr>
        <w:t xml:space="preserve"> Printed forms: </w:t>
      </w:r>
      <w:r>
        <w:rPr>
          <w:b w:val="0"/>
          <w:i/>
        </w:rPr>
        <w:t>convertitur</w:t>
      </w:r>
      <w:r>
        <w:rPr>
          <w:b w:val="0"/>
          <w:i w:val="0"/>
        </w:rPr>
        <w:t xml:space="preserve">; </w:t>
      </w:r>
      <w:r>
        <w:rPr>
          <w:b w:val="0"/>
          <w:i/>
        </w:rPr>
        <w:t>pendet</w:t>
      </w:r>
      <w:r>
        <w:rPr>
          <w:b w:val="0"/>
          <w:i w:val="0"/>
        </w:rPr>
        <w:t>.</w:t>
      </w:r>
    </w:p>
    <w:p>
      <w:pPr>
        <w:widowControl/>
      </w:pPr>
      <w:r>
        <w:rPr>
          <w:b w:val="0"/>
          <w:i w:val="0"/>
        </w:rPr>
        <w:t xml:space="preserve">To depend upon; to turn back toward. Angel’s received stability is qualified by dependence, yet secured through immediate return to God. References: </w:t>
      </w:r>
      <w:hyperlink w:anchor="passage-iv-2-6">
        <w:r>
          <w:rPr>
            <w:color w:val="000000"/>
          </w:rPr>
          <w:t xml:space="preserve">IV.2.6</w:t>
        </w:r>
      </w:hyperlink>
      <w:r>
        <w:rPr>
          <w:b w:val="0"/>
          <w:i w:val="0"/>
        </w:rPr>
        <w:t xml:space="preserve">. See </w:t>
      </w:r>
      <w:hyperlink w:anchor="angel">
        <w:r>
          <w:rPr>
            <w:color w:val="000000"/>
          </w:rPr>
          <w:t xml:space="preserve">Angel</w:t>
        </w:r>
      </w:hyperlink>
      <w:r>
        <w:rPr>
          <w:b w:val="0"/>
          <w:i w:val="0"/>
        </w:rPr>
        <w:t>.</w:t>
      </w:r>
    </w:p>
    <w:p>
      <w:pPr>
        <w:keepNext/>
        <w:widowControl/>
      </w:pPr>
      <w:bookmarkStart w:id="1096" w:name="latin-record-0845"/>
      <w:bookmarkEnd w:id="1096"/>
      <w:r>
        <w:rPr>
          <w:b/>
          <w:i w:val="0"/>
        </w:rPr>
        <w:t>pendere / dependere</w:t>
      </w:r>
      <w:r>
        <w:rPr>
          <w:b/>
          <w:i w:val="0"/>
        </w:rPr>
        <w:t>.</w:t>
      </w:r>
      <w:r>
        <w:rPr>
          <w:b w:val="0"/>
          <w:i w:val="0"/>
        </w:rPr>
        <w:t xml:space="preserve"> Printed forms: </w:t>
      </w:r>
      <w:r>
        <w:rPr>
          <w:b w:val="0"/>
          <w:i/>
        </w:rPr>
        <w:t>dependebit</w:t>
      </w:r>
      <w:r>
        <w:rPr>
          <w:b w:val="0"/>
          <w:i w:val="0"/>
        </w:rPr>
        <w:t xml:space="preserve">; </w:t>
      </w:r>
      <w:r>
        <w:rPr>
          <w:b w:val="0"/>
          <w:i/>
        </w:rPr>
        <w:t>dependere</w:t>
      </w:r>
      <w:r>
        <w:rPr>
          <w:b w:val="0"/>
          <w:i w:val="0"/>
        </w:rPr>
        <w:t xml:space="preserve">; </w:t>
      </w:r>
      <w:r>
        <w:rPr>
          <w:b w:val="0"/>
          <w:i/>
        </w:rPr>
        <w:t>pendeant</w:t>
      </w:r>
      <w:r>
        <w:rPr>
          <w:b w:val="0"/>
          <w:i w:val="0"/>
        </w:rPr>
        <w:t xml:space="preserve">; </w:t>
      </w:r>
      <w:r>
        <w:rPr>
          <w:b w:val="0"/>
          <w:i/>
        </w:rPr>
        <w:t>pendentem</w:t>
      </w:r>
      <w:r>
        <w:rPr>
          <w:b w:val="0"/>
          <w:i w:val="0"/>
        </w:rPr>
        <w:t xml:space="preserve">; </w:t>
      </w:r>
      <w:r>
        <w:rPr>
          <w:b w:val="0"/>
          <w:i/>
        </w:rPr>
        <w:t>pendet</w:t>
      </w:r>
      <w:r>
        <w:rPr>
          <w:b w:val="0"/>
          <w:i w:val="0"/>
        </w:rPr>
        <w:t>.</w:t>
      </w:r>
    </w:p>
    <w:p>
      <w:pPr>
        <w:widowControl/>
      </w:pPr>
      <w:r>
        <w:rPr>
          <w:b w:val="0"/>
          <w:i w:val="0"/>
        </w:rPr>
        <w:t xml:space="preserve">To depend upon a sustaining or originating source. Neither a composed principle nor an angel receiving its nature exists necessarily through itself. References: </w:t>
      </w:r>
      <w:hyperlink w:anchor="passage-ii-2-3">
        <w:r>
          <w:rPr>
            <w:color w:val="000000"/>
          </w:rPr>
          <w:t xml:space="preserve">II.2.3</w:t>
        </w:r>
      </w:hyperlink>
      <w:r>
        <w:rPr>
          <w:b w:val="0"/>
          <w:i w:val="0"/>
        </w:rPr>
        <w:t xml:space="preserve">, </w:t>
      </w:r>
      <w:hyperlink w:anchor="passage-ii-3-9">
        <w:r>
          <w:rPr>
            <w:color w:val="000000"/>
          </w:rPr>
          <w:t xml:space="preserve">II.3.9</w:t>
        </w:r>
      </w:hyperlink>
      <w:r>
        <w:rPr>
          <w:b w:val="0"/>
          <w:i w:val="0"/>
        </w:rPr>
        <w:t xml:space="preserve">, </w:t>
      </w:r>
      <w:hyperlink w:anchor="passage-ii-4-6">
        <w:r>
          <w:rPr>
            <w:color w:val="000000"/>
          </w:rPr>
          <w:t xml:space="preserve">II.4.6</w:t>
        </w:r>
      </w:hyperlink>
      <w:r>
        <w:rPr>
          <w:b w:val="0"/>
          <w:i w:val="0"/>
        </w:rPr>
        <w:t xml:space="preserve">, </w:t>
      </w:r>
      <w:hyperlink w:anchor="passage-ii-7-15">
        <w:r>
          <w:rPr>
            <w:color w:val="000000"/>
          </w:rPr>
          <w:t xml:space="preserve">II.7.15</w:t>
        </w:r>
      </w:hyperlink>
      <w:r>
        <w:rPr>
          <w:b w:val="0"/>
          <w:i w:val="0"/>
        </w:rPr>
        <w:t xml:space="preserve">. See </w:t>
      </w:r>
      <w:hyperlink w:anchor="dependence-and-receiving">
        <w:r>
          <w:rPr>
            <w:color w:val="000000"/>
          </w:rPr>
          <w:t xml:space="preserve">Dependence and receiving</w:t>
        </w:r>
      </w:hyperlink>
      <w:r>
        <w:rPr>
          <w:b w:val="0"/>
          <w:i w:val="0"/>
        </w:rPr>
        <w:t>.</w:t>
      </w:r>
    </w:p>
    <w:p>
      <w:pPr>
        <w:keepNext/>
        <w:widowControl/>
      </w:pPr>
      <w:bookmarkStart w:id="1097" w:name="latin-record-0846"/>
      <w:bookmarkEnd w:id="1097"/>
      <w:r>
        <w:rPr>
          <w:b/>
          <w:i w:val="0"/>
        </w:rPr>
        <w:t>penetralia</w:t>
      </w:r>
      <w:r>
        <w:rPr>
          <w:b/>
          <w:i w:val="0"/>
        </w:rPr>
        <w:t>.</w:t>
      </w:r>
      <w:r>
        <w:rPr>
          <w:b w:val="0"/>
          <w:i w:val="0"/>
        </w:rPr>
        <w:t xml:space="preserve"> Printed forms: </w:t>
      </w:r>
      <w:r>
        <w:rPr>
          <w:b w:val="0"/>
          <w:i/>
        </w:rPr>
        <w:t>penetralibus</w:t>
      </w:r>
      <w:r>
        <w:rPr>
          <w:b w:val="0"/>
          <w:i w:val="0"/>
        </w:rPr>
        <w:t>.</w:t>
      </w:r>
    </w:p>
    <w:p>
      <w:pPr>
        <w:widowControl/>
      </w:pPr>
      <w:r>
        <w:rPr>
          <w:b w:val="0"/>
          <w:i w:val="0"/>
        </w:rPr>
        <w:t xml:space="preserve">Innermost recesses. The spatial image expresses intimate divine presence in the things governed, rather than intervention solely from outside. References: </w:t>
      </w:r>
      <w:hyperlink w:anchor="passage-ii-13-12">
        <w:r>
          <w:rPr>
            <w:color w:val="000000"/>
          </w:rPr>
          <w:t xml:space="preserve">II.13.12</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1098" w:name="latin-record-0847"/>
      <w:bookmarkEnd w:id="1098"/>
      <w:r>
        <w:rPr>
          <w:b/>
          <w:i w:val="0"/>
        </w:rPr>
        <w:t>penetrare</w:t>
      </w:r>
      <w:r>
        <w:rPr>
          <w:b/>
          <w:i w:val="0"/>
        </w:rPr>
        <w:t>.</w:t>
      </w:r>
      <w:r>
        <w:rPr>
          <w:b w:val="0"/>
          <w:i w:val="0"/>
        </w:rPr>
        <w:t xml:space="preserve"> Printed forms: </w:t>
      </w:r>
      <w:r>
        <w:rPr>
          <w:b w:val="0"/>
          <w:i/>
        </w:rPr>
        <w:t>penetrant</w:t>
      </w:r>
      <w:r>
        <w:rPr>
          <w:b w:val="0"/>
          <w:i w:val="0"/>
        </w:rPr>
        <w:t xml:space="preserve">; </w:t>
      </w:r>
      <w:r>
        <w:rPr>
          <w:b w:val="0"/>
          <w:i/>
        </w:rPr>
        <w:t>penetrante</w:t>
      </w:r>
      <w:r>
        <w:rPr>
          <w:b w:val="0"/>
          <w:i w:val="0"/>
        </w:rPr>
        <w:t xml:space="preserve">; </w:t>
      </w:r>
      <w:r>
        <w:rPr>
          <w:b w:val="0"/>
          <w:i/>
        </w:rPr>
        <w:t>penetrat</w:t>
      </w:r>
      <w:r>
        <w:rPr>
          <w:b w:val="0"/>
          <w:i w:val="0"/>
        </w:rPr>
        <w:t>.</w:t>
      </w:r>
    </w:p>
    <w:p>
      <w:pPr>
        <w:widowControl/>
      </w:pPr>
      <w:r>
        <w:rPr>
          <w:b w:val="0"/>
          <w:i w:val="0"/>
        </w:rPr>
        <w:t xml:space="preserve">To enter or reach within. Ficino contrasts penetrating accidental effects with a required inward substantial producer and the depths inaccessible to bodily substances. References: </w:t>
      </w:r>
      <w:hyperlink w:anchor="passage-iv-1-5">
        <w:r>
          <w:rPr>
            <w:color w:val="000000"/>
          </w:rPr>
          <w:t xml:space="preserve">IV.1.5</w:t>
        </w:r>
      </w:hyperlink>
      <w:r>
        <w:rPr>
          <w:b w:val="0"/>
          <w:i w:val="0"/>
        </w:rPr>
        <w:t xml:space="preserve">, </w:t>
      </w:r>
      <w:hyperlink w:anchor="passage-iv-1-18">
        <w:r>
          <w:rPr>
            <w:color w:val="000000"/>
          </w:rPr>
          <w:t xml:space="preserve">IV.1.18</w:t>
        </w:r>
      </w:hyperlink>
      <w:r>
        <w:rPr>
          <w:b w:val="0"/>
          <w:i w:val="0"/>
        </w:rPr>
        <w:t xml:space="preserve">. See </w:t>
      </w:r>
      <w:hyperlink w:anchor="surface-and-depth">
        <w:r>
          <w:rPr>
            <w:color w:val="000000"/>
          </w:rPr>
          <w:t xml:space="preserve">Surface and depth</w:t>
        </w:r>
      </w:hyperlink>
      <w:r>
        <w:rPr>
          <w:b w:val="0"/>
          <w:i w:val="0"/>
        </w:rPr>
        <w:t>.</w:t>
      </w:r>
    </w:p>
    <w:p>
      <w:pPr>
        <w:keepNext/>
        <w:widowControl/>
      </w:pPr>
      <w:bookmarkStart w:id="1099" w:name="latin-record-0848"/>
      <w:bookmarkEnd w:id="1099"/>
      <w:r>
        <w:rPr>
          <w:b/>
          <w:i w:val="0"/>
        </w:rPr>
        <w:t>penetrare / resistere / obstare</w:t>
      </w:r>
      <w:r>
        <w:rPr>
          <w:b/>
          <w:i w:val="0"/>
        </w:rPr>
        <w:t>.</w:t>
      </w:r>
      <w:r>
        <w:rPr>
          <w:b w:val="0"/>
          <w:i w:val="0"/>
        </w:rPr>
        <w:t xml:space="preserve"> Printed forms: </w:t>
      </w:r>
      <w:r>
        <w:rPr>
          <w:b w:val="0"/>
          <w:i/>
        </w:rPr>
        <w:t>obstat</w:t>
      </w:r>
      <w:r>
        <w:rPr>
          <w:b w:val="0"/>
          <w:i w:val="0"/>
        </w:rPr>
        <w:t xml:space="preserve">; </w:t>
      </w:r>
      <w:r>
        <w:rPr>
          <w:b w:val="0"/>
          <w:i/>
        </w:rPr>
        <w:t>penetrare</w:t>
      </w:r>
      <w:r>
        <w:rPr>
          <w:b w:val="0"/>
          <w:i w:val="0"/>
        </w:rPr>
        <w:t xml:space="preserve">; </w:t>
      </w:r>
      <w:r>
        <w:rPr>
          <w:b w:val="0"/>
          <w:i/>
        </w:rPr>
        <w:t>penetrat</w:t>
      </w:r>
      <w:r>
        <w:rPr>
          <w:b w:val="0"/>
          <w:i w:val="0"/>
        </w:rPr>
        <w:t xml:space="preserve">; </w:t>
      </w:r>
      <w:r>
        <w:rPr>
          <w:b w:val="0"/>
          <w:i/>
        </w:rPr>
        <w:t>penetret</w:t>
      </w:r>
      <w:r>
        <w:rPr>
          <w:b w:val="0"/>
          <w:i w:val="0"/>
        </w:rPr>
        <w:t xml:space="preserve">; </w:t>
      </w:r>
      <w:r>
        <w:rPr>
          <w:b w:val="0"/>
          <w:i/>
        </w:rPr>
        <w:t>resistit</w:t>
      </w:r>
      <w:r>
        <w:rPr>
          <w:b w:val="0"/>
          <w:i w:val="0"/>
        </w:rPr>
        <w:t>.</w:t>
      </w:r>
    </w:p>
    <w:p>
      <w:pPr>
        <w:widowControl/>
      </w:pPr>
      <w:r>
        <w:rPr>
          <w:b w:val="0"/>
          <w:i w:val="0"/>
        </w:rPr>
        <w:t xml:space="preserve">To penetrate or reach through; to resist or obstruct. Unlimited divine purity meets no barrier; the reported mental-presence theory extends a similar nonresistance argument to mind. References: </w:t>
      </w:r>
      <w:hyperlink w:anchor="passage-ii-6-3">
        <w:r>
          <w:rPr>
            <w:color w:val="000000"/>
          </w:rPr>
          <w:t xml:space="preserve">II.6.3</w:t>
        </w:r>
      </w:hyperlink>
      <w:r>
        <w:rPr>
          <w:b w:val="0"/>
          <w:i w:val="0"/>
        </w:rPr>
        <w:t xml:space="preserve">, </w:t>
      </w:r>
      <w:hyperlink w:anchor="passage-ii-6-23">
        <w:r>
          <w:rPr>
            <w:color w:val="000000"/>
          </w:rPr>
          <w:t xml:space="preserve">II.6.23</w:t>
        </w:r>
      </w:hyperlink>
      <w:r>
        <w:rPr>
          <w:b w:val="0"/>
          <w:i w:val="0"/>
        </w:rPr>
        <w:t xml:space="preserve">. See </w:t>
      </w:r>
      <w:hyperlink w:anchor="touch-and-penetration">
        <w:r>
          <w:rPr>
            <w:color w:val="000000"/>
          </w:rPr>
          <w:t xml:space="preserve">Touch and penetration</w:t>
        </w:r>
      </w:hyperlink>
      <w:r>
        <w:rPr>
          <w:b w:val="0"/>
          <w:i w:val="0"/>
        </w:rPr>
        <w:t>.</w:t>
      </w:r>
    </w:p>
    <w:p>
      <w:pPr>
        <w:keepNext/>
        <w:widowControl/>
      </w:pPr>
      <w:bookmarkStart w:id="1100" w:name="latin-record-0849"/>
      <w:bookmarkEnd w:id="1100"/>
      <w:r>
        <w:rPr>
          <w:b/>
          <w:i w:val="0"/>
        </w:rPr>
        <w:t>penetro / penetratio</w:t>
      </w:r>
      <w:r>
        <w:rPr>
          <w:b/>
          <w:i w:val="0"/>
        </w:rPr>
        <w:t>.</w:t>
      </w:r>
      <w:r>
        <w:rPr>
          <w:b w:val="0"/>
          <w:i w:val="0"/>
        </w:rPr>
        <w:t xml:space="preserve"> Printed forms: </w:t>
      </w:r>
      <w:r>
        <w:rPr>
          <w:b w:val="0"/>
          <w:i/>
        </w:rPr>
        <w:t>penetrationem</w:t>
      </w:r>
      <w:r>
        <w:rPr>
          <w:b w:val="0"/>
          <w:i w:val="0"/>
        </w:rPr>
        <w:t xml:space="preserve">; </w:t>
      </w:r>
      <w:r>
        <w:rPr>
          <w:b w:val="0"/>
          <w:i/>
        </w:rPr>
        <w:t>penetrationisque</w:t>
      </w:r>
      <w:r>
        <w:rPr>
          <w:b w:val="0"/>
          <w:i w:val="0"/>
        </w:rPr>
        <w:t xml:space="preserve">; </w:t>
      </w:r>
      <w:r>
        <w:rPr>
          <w:b w:val="0"/>
          <w:i/>
        </w:rPr>
        <w:t>penetret</w:t>
      </w:r>
      <w:r>
        <w:rPr>
          <w:b w:val="0"/>
          <w:i w:val="0"/>
        </w:rPr>
        <w:t>.</w:t>
      </w:r>
    </w:p>
    <w:p>
      <w:pPr>
        <w:widowControl/>
      </w:pPr>
      <w:r>
        <w:rPr>
          <w:b w:val="0"/>
          <w:i w:val="0"/>
        </w:rPr>
        <w:t xml:space="preserve">To enter or penetrate; penetration. Thickness prevents bodily interpenetration, whereas power through quality can reach matter without merely occupying a larger spatial extent. References: </w:t>
      </w:r>
      <w:hyperlink w:anchor="passage-i-2-2">
        <w:r>
          <w:rPr>
            <w:color w:val="000000"/>
          </w:rPr>
          <w:t xml:space="preserve">I.2.2</w:t>
        </w:r>
      </w:hyperlink>
      <w:r>
        <w:rPr>
          <w:b w:val="0"/>
          <w:i w:val="0"/>
        </w:rPr>
        <w:t xml:space="preserve">, </w:t>
      </w:r>
      <w:hyperlink w:anchor="passage-i-2-3">
        <w:r>
          <w:rPr>
            <w:color w:val="000000"/>
          </w:rPr>
          <w:t xml:space="preserve">I.2.3</w:t>
        </w:r>
      </w:hyperlink>
      <w:r>
        <w:rPr>
          <w:b w:val="0"/>
          <w:i w:val="0"/>
        </w:rPr>
        <w:t xml:space="preserve">. See </w:t>
      </w:r>
      <w:hyperlink w:anchor="body-and-bulk">
        <w:r>
          <w:rPr>
            <w:color w:val="000000"/>
          </w:rPr>
          <w:t xml:space="preserve">Body and bulk</w:t>
        </w:r>
      </w:hyperlink>
      <w:r>
        <w:rPr>
          <w:b w:val="0"/>
          <w:i w:val="0"/>
        </w:rPr>
        <w:t>.</w:t>
      </w:r>
    </w:p>
    <w:p>
      <w:pPr>
        <w:keepNext/>
        <w:widowControl/>
      </w:pPr>
      <w:bookmarkStart w:id="1101" w:name="latin-record-0850"/>
      <w:bookmarkEnd w:id="1101"/>
      <w:r>
        <w:rPr>
          <w:b/>
          <w:i w:val="0"/>
        </w:rPr>
        <w:t>per materiam / per substantiam</w:t>
      </w:r>
      <w:r>
        <w:rPr>
          <w:b/>
          <w:i w:val="0"/>
        </w:rPr>
        <w:t>.</w:t>
      </w:r>
      <w:r>
        <w:rPr>
          <w:b w:val="0"/>
          <w:i w:val="0"/>
        </w:rPr>
        <w:t xml:space="preserve"> Printed forms: </w:t>
      </w:r>
      <w:r>
        <w:rPr>
          <w:b w:val="0"/>
          <w:i/>
        </w:rPr>
        <w:t>per materiam</w:t>
      </w:r>
      <w:r>
        <w:rPr>
          <w:b w:val="0"/>
          <w:i w:val="0"/>
        </w:rPr>
        <w:t xml:space="preserve">; </w:t>
      </w:r>
      <w:r>
        <w:rPr>
          <w:b w:val="0"/>
          <w:i/>
        </w:rPr>
        <w:t>per substantiam</w:t>
      </w:r>
      <w:r>
        <w:rPr>
          <w:b w:val="0"/>
          <w:i w:val="0"/>
        </w:rPr>
        <w:t>.</w:t>
      </w:r>
    </w:p>
    <w:p>
      <w:pPr>
        <w:widowControl/>
      </w:pPr>
      <w:r>
        <w:rPr>
          <w:b w:val="0"/>
          <w:i w:val="0"/>
        </w:rPr>
        <w:t xml:space="preserve">Through matter and through substance as different bases of persistence. Ficino distinguishes matter remaining through substantial change from a substance remaining through changes of quantity, quality or place; </w:t>
      </w:r>
      <w:r>
        <w:t>“</w:t>
      </w:r>
      <w:r>
        <w:rPr>
          <w:b w:val="0"/>
          <w:i w:val="0"/>
        </w:rPr>
        <w:t>remaining</w:t>
      </w:r>
      <w:r>
        <w:t>”</w:t>
      </w:r>
      <w:r>
        <w:rPr>
          <w:b w:val="0"/>
          <w:i w:val="0"/>
        </w:rPr>
        <w:t xml:space="preserve"> has a specified subject. References: </w:t>
      </w:r>
      <w:hyperlink w:anchor="passage-i-5-9">
        <w:r>
          <w:rPr>
            <w:color w:val="000000"/>
          </w:rPr>
          <w:t xml:space="preserve">I.5.9</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102" w:name="latin-record-0851"/>
      <w:bookmarkEnd w:id="1102"/>
      <w:r>
        <w:rPr>
          <w:b/>
          <w:i w:val="0"/>
        </w:rPr>
        <w:t>per se / per superiora</w:t>
      </w:r>
      <w:r>
        <w:rPr>
          <w:b/>
          <w:i w:val="0"/>
        </w:rPr>
        <w:t>.</w:t>
      </w:r>
      <w:r>
        <w:rPr>
          <w:b w:val="0"/>
          <w:i w:val="0"/>
        </w:rPr>
        <w:t xml:space="preserve"> Printed forms: </w:t>
      </w:r>
      <w:r>
        <w:rPr>
          <w:b w:val="0"/>
          <w:i/>
        </w:rPr>
        <w:t>per se</w:t>
      </w:r>
      <w:r>
        <w:rPr>
          <w:b w:val="0"/>
          <w:i w:val="0"/>
        </w:rPr>
        <w:t xml:space="preserve">; </w:t>
      </w:r>
      <w:r>
        <w:rPr>
          <w:b w:val="0"/>
          <w:i/>
        </w:rPr>
        <w:t>per superiora</w:t>
      </w:r>
      <w:r>
        <w:rPr>
          <w:b w:val="0"/>
          <w:i w:val="0"/>
        </w:rPr>
        <w:t>.</w:t>
      </w:r>
    </w:p>
    <w:p>
      <w:pPr>
        <w:widowControl/>
      </w:pPr>
      <w:r>
        <w:rPr>
          <w:b w:val="0"/>
          <w:i w:val="0"/>
        </w:rPr>
        <w:t xml:space="preserve">Through itself and through higher causes. Imperfect possession indicates dependence on a higher source; the claim does not make every being called self-subsisting causally independent of God. References: </w:t>
      </w:r>
      <w:hyperlink w:anchor="passage-i-5-3">
        <w:r>
          <w:rPr>
            <w:color w:val="000000"/>
          </w:rPr>
          <w:t xml:space="preserve">I.5.3</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1103" w:name="latin-record-0852"/>
      <w:bookmarkEnd w:id="1103"/>
      <w:r>
        <w:rPr>
          <w:b/>
          <w:i w:val="0"/>
        </w:rPr>
        <w:t>peragere</w:t>
      </w:r>
      <w:r>
        <w:rPr>
          <w:b/>
          <w:i w:val="0"/>
        </w:rPr>
        <w:t>.</w:t>
      </w:r>
      <w:r>
        <w:rPr>
          <w:b w:val="0"/>
          <w:i w:val="0"/>
        </w:rPr>
        <w:t xml:space="preserve"> Printed forms: </w:t>
      </w:r>
      <w:r>
        <w:rPr>
          <w:b w:val="0"/>
          <w:i/>
        </w:rPr>
        <w:t>peragant</w:t>
      </w:r>
      <w:r>
        <w:rPr>
          <w:b w:val="0"/>
          <w:i w:val="0"/>
        </w:rPr>
        <w:t>.</w:t>
      </w:r>
    </w:p>
    <w:p>
      <w:pPr>
        <w:widowControl/>
      </w:pPr>
      <w:r>
        <w:rPr>
          <w:b w:val="0"/>
          <w:i w:val="0"/>
        </w:rPr>
        <w:t xml:space="preserve">Carry through or complete. Natural bodies are said very often to accomplish their characteristic works as well as they can. References: </w:t>
      </w:r>
      <w:hyperlink w:anchor="passage-ii-13-9">
        <w:r>
          <w:rPr>
            <w:color w:val="000000"/>
          </w:rPr>
          <w:t xml:space="preserve">II.13.9</w:t>
        </w:r>
      </w:hyperlink>
      <w:r>
        <w:rPr>
          <w:b w:val="0"/>
          <w:i w:val="0"/>
        </w:rPr>
        <w:t xml:space="preserve">. See </w:t>
      </w:r>
      <w:hyperlink w:anchor="paths-and-prescribed-ends">
        <w:r>
          <w:rPr>
            <w:color w:val="000000"/>
          </w:rPr>
          <w:t xml:space="preserve">Paths and prescribed ends</w:t>
        </w:r>
      </w:hyperlink>
      <w:r>
        <w:rPr>
          <w:b w:val="0"/>
          <w:i w:val="0"/>
        </w:rPr>
        <w:t>.</w:t>
      </w:r>
    </w:p>
    <w:p>
      <w:pPr>
        <w:keepNext/>
        <w:widowControl/>
      </w:pPr>
      <w:bookmarkStart w:id="1104" w:name="latin-record-0853"/>
      <w:bookmarkEnd w:id="1104"/>
      <w:r>
        <w:rPr>
          <w:b/>
          <w:i w:val="0"/>
        </w:rPr>
        <w:t>peragere / explere</w:t>
      </w:r>
      <w:r>
        <w:rPr>
          <w:b/>
          <w:i w:val="0"/>
        </w:rPr>
        <w:t>.</w:t>
      </w:r>
      <w:r>
        <w:rPr>
          <w:b w:val="0"/>
          <w:i w:val="0"/>
        </w:rPr>
        <w:t xml:space="preserve"> Printed forms: </w:t>
      </w:r>
      <w:r>
        <w:rPr>
          <w:b w:val="0"/>
          <w:i/>
        </w:rPr>
        <w:t>expletur</w:t>
      </w:r>
      <w:r>
        <w:rPr>
          <w:b w:val="0"/>
          <w:i w:val="0"/>
        </w:rPr>
        <w:t xml:space="preserve">; </w:t>
      </w:r>
      <w:r>
        <w:rPr>
          <w:b w:val="0"/>
          <w:i/>
        </w:rPr>
        <w:t>peragitur</w:t>
      </w:r>
      <w:r>
        <w:rPr>
          <w:b w:val="0"/>
          <w:i w:val="0"/>
        </w:rPr>
        <w:t>.</w:t>
      </w:r>
    </w:p>
    <w:p>
      <w:pPr>
        <w:widowControl/>
      </w:pPr>
      <w:r>
        <w:rPr>
          <w:b w:val="0"/>
          <w:i w:val="0"/>
        </w:rPr>
        <w:t xml:space="preserve">To perform or accomplish completely. Operations are distinguished by whether they proceed through deliberation, essential power, or pure being. References: </w:t>
      </w:r>
      <w:hyperlink w:anchor="passage-ii-8-4">
        <w:r>
          <w:rPr>
            <w:color w:val="000000"/>
          </w:rPr>
          <w:t xml:space="preserve">II.8.4</w:t>
        </w:r>
      </w:hyperlink>
      <w:r>
        <w:rPr>
          <w:b w:val="0"/>
          <w:i w:val="0"/>
        </w:rPr>
        <w:t xml:space="preserve">, </w:t>
      </w:r>
      <w:hyperlink w:anchor="passage-ii-8-5">
        <w:r>
          <w:rPr>
            <w:color w:val="000000"/>
          </w:rPr>
          <w:t xml:space="preserve">II.8.5</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1105" w:name="latin-record-0854"/>
      <w:bookmarkEnd w:id="1105"/>
      <w:r>
        <w:rPr>
          <w:b/>
          <w:i w:val="0"/>
        </w:rPr>
        <w:t>percipio / perceptio</w:t>
      </w:r>
      <w:r>
        <w:rPr>
          <w:b/>
          <w:i w:val="0"/>
        </w:rPr>
        <w:t>.</w:t>
      </w:r>
      <w:r>
        <w:rPr>
          <w:b w:val="0"/>
          <w:i w:val="0"/>
        </w:rPr>
        <w:t xml:space="preserve"> Printed forms: </w:t>
      </w:r>
      <w:r>
        <w:rPr>
          <w:b w:val="0"/>
          <w:i/>
        </w:rPr>
        <w:t>perceptio</w:t>
      </w:r>
      <w:r>
        <w:rPr>
          <w:b w:val="0"/>
          <w:i w:val="0"/>
        </w:rPr>
        <w:t xml:space="preserve">; </w:t>
      </w:r>
      <w:r>
        <w:rPr>
          <w:b w:val="0"/>
          <w:i/>
        </w:rPr>
        <w:t>percipiat</w:t>
      </w:r>
      <w:r>
        <w:rPr>
          <w:b w:val="0"/>
          <w:i w:val="0"/>
        </w:rPr>
        <w:t xml:space="preserve">; </w:t>
      </w:r>
      <w:r>
        <w:rPr>
          <w:b w:val="0"/>
          <w:i/>
        </w:rPr>
        <w:t>percipiendam</w:t>
      </w:r>
      <w:r>
        <w:rPr>
          <w:b w:val="0"/>
          <w:i w:val="0"/>
        </w:rPr>
        <w:t>.</w:t>
      </w:r>
    </w:p>
    <w:p>
      <w:pPr>
        <w:widowControl/>
      </w:pPr>
      <w:r>
        <w:rPr>
          <w:b w:val="0"/>
          <w:i w:val="0"/>
        </w:rPr>
        <w:t xml:space="preserve">To apprehend or receive cognitively. The purified soul receives divine light; the whole apprehension of things rests on the Proem’s two main benefits; mind is constituted to perceive truth. References: </w:t>
      </w:r>
      <w:hyperlink w:anchor="passage-proem-2">
        <w:r>
          <w:rPr>
            <w:color w:val="000000"/>
          </w:rPr>
          <w:t xml:space="preserve">Proem.2</w:t>
        </w:r>
      </w:hyperlink>
      <w:r>
        <w:rPr>
          <w:b w:val="0"/>
          <w:i w:val="0"/>
        </w:rPr>
        <w:t xml:space="preserve">, </w:t>
      </w:r>
      <w:hyperlink w:anchor="passage-proem-6">
        <w:r>
          <w:rPr>
            <w:color w:val="000000"/>
          </w:rPr>
          <w:t xml:space="preserve">Proem.6</w:t>
        </w:r>
      </w:hyperlink>
      <w:r>
        <w:rPr>
          <w:b w:val="0"/>
          <w:i w:val="0"/>
        </w:rPr>
        <w:t xml:space="preserve">, </w:t>
      </w:r>
      <w:hyperlink w:anchor="passage-i-6-10">
        <w:r>
          <w:rPr>
            <w:color w:val="000000"/>
          </w:rPr>
          <w:t xml:space="preserve">I.6.10</w:t>
        </w:r>
      </w:hyperlink>
      <w:r>
        <w:rPr>
          <w:b w:val="0"/>
          <w:i w:val="0"/>
        </w:rPr>
        <w:t xml:space="preserve">. See </w:t>
      </w:r>
      <w:hyperlink w:anchor="intuition-and-comprehension">
        <w:r>
          <w:rPr>
            <w:color w:val="000000"/>
          </w:rPr>
          <w:t xml:space="preserve">Intuition and comprehension</w:t>
        </w:r>
      </w:hyperlink>
      <w:r>
        <w:rPr>
          <w:b w:val="0"/>
          <w:i w:val="0"/>
        </w:rPr>
        <w:t>.</w:t>
      </w:r>
    </w:p>
    <w:p>
      <w:pPr>
        <w:keepNext/>
        <w:widowControl/>
      </w:pPr>
      <w:bookmarkStart w:id="1106" w:name="latin-record-0855"/>
      <w:bookmarkEnd w:id="1106"/>
      <w:r>
        <w:rPr>
          <w:b/>
          <w:i w:val="0"/>
        </w:rPr>
        <w:t>perducere in actum</w:t>
      </w:r>
      <w:r>
        <w:rPr>
          <w:b/>
          <w:i w:val="0"/>
        </w:rPr>
        <w:t>.</w:t>
      </w:r>
      <w:r>
        <w:rPr>
          <w:b w:val="0"/>
          <w:i w:val="0"/>
        </w:rPr>
        <w:t xml:space="preserve"> Printed forms: </w:t>
      </w:r>
      <w:r>
        <w:rPr>
          <w:b w:val="0"/>
          <w:i/>
        </w:rPr>
        <w:t>in actum perduci</w:t>
      </w:r>
      <w:r>
        <w:rPr>
          <w:b w:val="0"/>
          <w:i w:val="0"/>
        </w:rPr>
        <w:t>.</w:t>
      </w:r>
    </w:p>
    <w:p>
      <w:pPr>
        <w:widowControl/>
      </w:pPr>
      <w:r>
        <w:rPr>
          <w:b w:val="0"/>
          <w:i w:val="0"/>
        </w:rPr>
        <w:t xml:space="preserve">To bring a possibility into actuality. A corresponding, equal, or superior actuality must already belong to the actualizing cause. References: </w:t>
      </w:r>
      <w:hyperlink w:anchor="passage-iv-1-15">
        <w:r>
          <w:rPr>
            <w:color w:val="000000"/>
          </w:rPr>
          <w:t xml:space="preserve">IV.1.15</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1107" w:name="latin-record-0856"/>
      <w:bookmarkEnd w:id="1107"/>
      <w:r>
        <w:rPr>
          <w:b/>
          <w:i w:val="0"/>
        </w:rPr>
        <w:t>perfectio / perfectus</w:t>
      </w:r>
      <w:r>
        <w:rPr>
          <w:b/>
          <w:i w:val="0"/>
        </w:rPr>
        <w:t>.</w:t>
      </w:r>
      <w:r>
        <w:rPr>
          <w:b w:val="0"/>
          <w:i w:val="0"/>
        </w:rPr>
        <w:t xml:space="preserve"> Printed forms: </w:t>
      </w:r>
      <w:r>
        <w:rPr>
          <w:b w:val="0"/>
          <w:i/>
        </w:rPr>
        <w:t>perfecta</w:t>
      </w:r>
      <w:r>
        <w:rPr>
          <w:b w:val="0"/>
          <w:i w:val="0"/>
        </w:rPr>
        <w:t xml:space="preserve">; </w:t>
      </w:r>
      <w:r>
        <w:rPr>
          <w:b w:val="0"/>
          <w:i/>
        </w:rPr>
        <w:t>perfectio</w:t>
      </w:r>
      <w:r>
        <w:rPr>
          <w:b w:val="0"/>
          <w:i w:val="0"/>
        </w:rPr>
        <w:t xml:space="preserve">; </w:t>
      </w:r>
      <w:r>
        <w:rPr>
          <w:b w:val="0"/>
          <w:i/>
        </w:rPr>
        <w:t>perfectionem</w:t>
      </w:r>
      <w:r>
        <w:rPr>
          <w:b w:val="0"/>
          <w:i w:val="0"/>
        </w:rPr>
        <w:t xml:space="preserve">; </w:t>
      </w:r>
      <w:r>
        <w:rPr>
          <w:b w:val="0"/>
          <w:i/>
        </w:rPr>
        <w:t>perfectionemque</w:t>
      </w:r>
      <w:r>
        <w:rPr>
          <w:b w:val="0"/>
          <w:i w:val="0"/>
        </w:rPr>
        <w:t xml:space="preserve">; </w:t>
      </w:r>
      <w:r>
        <w:rPr>
          <w:b w:val="0"/>
          <w:i/>
        </w:rPr>
        <w:t>perfectionis</w:t>
      </w:r>
      <w:r>
        <w:rPr>
          <w:b w:val="0"/>
          <w:i w:val="0"/>
        </w:rPr>
        <w:t xml:space="preserve">; </w:t>
      </w:r>
      <w:r>
        <w:rPr>
          <w:b w:val="0"/>
          <w:i/>
        </w:rPr>
        <w:t>perfectionisque</w:t>
      </w:r>
      <w:r>
        <w:rPr>
          <w:b w:val="0"/>
          <w:i w:val="0"/>
        </w:rPr>
        <w:t xml:space="preserve">; </w:t>
      </w:r>
      <w:r>
        <w:rPr>
          <w:b w:val="0"/>
          <w:i/>
        </w:rPr>
        <w:t>perfectiores</w:t>
      </w:r>
      <w:r>
        <w:rPr>
          <w:b w:val="0"/>
          <w:i w:val="0"/>
        </w:rPr>
        <w:t xml:space="preserve">; </w:t>
      </w:r>
      <w:r>
        <w:rPr>
          <w:b w:val="0"/>
          <w:i/>
        </w:rPr>
        <w:t>perfectissima</w:t>
      </w:r>
      <w:r>
        <w:rPr>
          <w:b w:val="0"/>
          <w:i w:val="0"/>
        </w:rPr>
        <w:t>.</w:t>
      </w:r>
    </w:p>
    <w:p>
      <w:pPr>
        <w:widowControl/>
      </w:pPr>
      <w:r>
        <w:rPr>
          <w:b w:val="0"/>
          <w:i w:val="0"/>
        </w:rPr>
        <w:t xml:space="preserve">Perfection or completion, with degrees and modes depending on the being considered. The source is most perfect in itself, and no finite imitation possesses the infinite exemplar’s entire perfection. References: </w:t>
      </w:r>
      <w:hyperlink w:anchor="passage-ii-3-3">
        <w:r>
          <w:rPr>
            <w:color w:val="000000"/>
          </w:rPr>
          <w:t xml:space="preserve">II.3.3</w:t>
        </w:r>
      </w:hyperlink>
      <w:r>
        <w:rPr>
          <w:b w:val="0"/>
          <w:i w:val="0"/>
        </w:rPr>
        <w:t xml:space="preserve">, </w:t>
      </w:r>
      <w:hyperlink w:anchor="passage-ii-7-16">
        <w:r>
          <w:rPr>
            <w:color w:val="000000"/>
          </w:rPr>
          <w:t xml:space="preserve">II.7.16</w:t>
        </w:r>
      </w:hyperlink>
      <w:r>
        <w:rPr>
          <w:b w:val="0"/>
          <w:i w:val="0"/>
        </w:rPr>
        <w:t xml:space="preserve">, </w:t>
      </w:r>
      <w:hyperlink w:anchor="passage-ii-9-8">
        <w:r>
          <w:rPr>
            <w:color w:val="000000"/>
          </w:rPr>
          <w:t xml:space="preserve">II.9.8</w:t>
        </w:r>
      </w:hyperlink>
      <w:r>
        <w:rPr>
          <w:b w:val="0"/>
          <w:i w:val="0"/>
        </w:rPr>
        <w:t xml:space="preserve">, </w:t>
      </w:r>
      <w:hyperlink w:anchor="passage-ii-10-5">
        <w:r>
          <w:rPr>
            <w:color w:val="000000"/>
          </w:rPr>
          <w:t xml:space="preserve">II.10.5</w:t>
        </w:r>
      </w:hyperlink>
      <w:r>
        <w:rPr>
          <w:b w:val="0"/>
          <w:i w:val="0"/>
        </w:rPr>
        <w:t xml:space="preserve">. See </w:t>
      </w:r>
      <w:hyperlink w:anchor="perfection">
        <w:r>
          <w:rPr>
            <w:color w:val="000000"/>
          </w:rPr>
          <w:t xml:space="preserve">Perfection</w:t>
        </w:r>
      </w:hyperlink>
      <w:r>
        <w:rPr>
          <w:b w:val="0"/>
          <w:i w:val="0"/>
        </w:rPr>
        <w:t>.</w:t>
      </w:r>
    </w:p>
    <w:p>
      <w:pPr>
        <w:keepNext/>
        <w:widowControl/>
      </w:pPr>
      <w:bookmarkStart w:id="1108" w:name="latin-record-0857"/>
      <w:bookmarkEnd w:id="1108"/>
      <w:r>
        <w:rPr>
          <w:b/>
          <w:i w:val="0"/>
        </w:rPr>
        <w:t>perfectus / perficere</w:t>
      </w:r>
      <w:r>
        <w:rPr>
          <w:b/>
          <w:i w:val="0"/>
        </w:rPr>
        <w:t>.</w:t>
      </w:r>
      <w:r>
        <w:rPr>
          <w:b w:val="0"/>
          <w:i w:val="0"/>
        </w:rPr>
        <w:t xml:space="preserve"> Printed forms: </w:t>
      </w:r>
      <w:r>
        <w:rPr>
          <w:b w:val="0"/>
          <w:i/>
        </w:rPr>
        <w:t>perfecit</w:t>
      </w:r>
      <w:r>
        <w:rPr>
          <w:b w:val="0"/>
          <w:i w:val="0"/>
        </w:rPr>
        <w:t xml:space="preserve">; </w:t>
      </w:r>
      <w:r>
        <w:rPr>
          <w:b w:val="0"/>
          <w:i/>
        </w:rPr>
        <w:t>perfectio</w:t>
      </w:r>
      <w:r>
        <w:rPr>
          <w:b w:val="0"/>
          <w:i w:val="0"/>
        </w:rPr>
        <w:t xml:space="preserve">; </w:t>
      </w:r>
      <w:r>
        <w:rPr>
          <w:b w:val="0"/>
          <w:i/>
        </w:rPr>
        <w:t>perfectionem</w:t>
      </w:r>
      <w:r>
        <w:rPr>
          <w:b w:val="0"/>
          <w:i w:val="0"/>
        </w:rPr>
        <w:t>.</w:t>
      </w:r>
    </w:p>
    <w:p>
      <w:pPr>
        <w:widowControl/>
      </w:pPr>
      <w:r>
        <w:rPr>
          <w:b w:val="0"/>
          <w:i w:val="0"/>
        </w:rPr>
        <w:t xml:space="preserve">Complete or perfect / bring to completion. The completion appropriate to a created work falls below the author’s unrestricted perfection. References: </w:t>
      </w:r>
      <w:hyperlink w:anchor="passage-ii-13-23">
        <w:r>
          <w:rPr>
            <w:color w:val="000000"/>
          </w:rPr>
          <w:t xml:space="preserve">II.13.23</w:t>
        </w:r>
      </w:hyperlink>
      <w:r>
        <w:rPr>
          <w:b w:val="0"/>
          <w:i w:val="0"/>
        </w:rPr>
        <w:t xml:space="preserve">, </w:t>
      </w:r>
      <w:hyperlink w:anchor="passage-iii-1-12">
        <w:r>
          <w:rPr>
            <w:color w:val="000000"/>
          </w:rPr>
          <w:t xml:space="preserve">III.1.12</w:t>
        </w:r>
      </w:hyperlink>
      <w:r>
        <w:rPr>
          <w:b w:val="0"/>
          <w:i w:val="0"/>
        </w:rPr>
        <w:t xml:space="preserve">. See </w:t>
      </w:r>
      <w:hyperlink w:anchor="perfection">
        <w:r>
          <w:rPr>
            <w:color w:val="000000"/>
          </w:rPr>
          <w:t xml:space="preserve">Perfection</w:t>
        </w:r>
      </w:hyperlink>
      <w:r>
        <w:rPr>
          <w:b w:val="0"/>
          <w:i w:val="0"/>
        </w:rPr>
        <w:t>.</w:t>
      </w:r>
    </w:p>
    <w:p>
      <w:pPr>
        <w:keepNext/>
        <w:widowControl/>
      </w:pPr>
      <w:bookmarkStart w:id="1109" w:name="latin-record-0858"/>
      <w:bookmarkEnd w:id="1109"/>
      <w:r>
        <w:rPr>
          <w:b/>
          <w:i w:val="0"/>
        </w:rPr>
        <w:t>perficere / efficere</w:t>
      </w:r>
      <w:r>
        <w:rPr>
          <w:b/>
          <w:i w:val="0"/>
        </w:rPr>
        <w:t>.</w:t>
      </w:r>
      <w:r>
        <w:rPr>
          <w:b w:val="0"/>
          <w:i w:val="0"/>
        </w:rPr>
        <w:t xml:space="preserve"> Printed forms: </w:t>
      </w:r>
      <w:r>
        <w:rPr>
          <w:b w:val="0"/>
          <w:i/>
        </w:rPr>
        <w:t>efficere</w:t>
      </w:r>
      <w:r>
        <w:rPr>
          <w:b w:val="0"/>
          <w:i w:val="0"/>
        </w:rPr>
        <w:t xml:space="preserve">; </w:t>
      </w:r>
      <w:r>
        <w:rPr>
          <w:b w:val="0"/>
          <w:i/>
        </w:rPr>
        <w:t>efficit</w:t>
      </w:r>
      <w:r>
        <w:rPr>
          <w:b w:val="0"/>
          <w:i w:val="0"/>
        </w:rPr>
        <w:t xml:space="preserve">; </w:t>
      </w:r>
      <w:r>
        <w:rPr>
          <w:b w:val="0"/>
          <w:i/>
        </w:rPr>
        <w:t>efficiuntur</w:t>
      </w:r>
      <w:r>
        <w:rPr>
          <w:b w:val="0"/>
          <w:i w:val="0"/>
        </w:rPr>
        <w:t xml:space="preserve">; </w:t>
      </w:r>
      <w:r>
        <w:rPr>
          <w:b w:val="0"/>
          <w:i/>
        </w:rPr>
        <w:t>perficere</w:t>
      </w:r>
      <w:r>
        <w:rPr>
          <w:b w:val="0"/>
          <w:i w:val="0"/>
        </w:rPr>
        <w:t xml:space="preserve">; </w:t>
      </w:r>
      <w:r>
        <w:rPr>
          <w:b w:val="0"/>
          <w:i/>
        </w:rPr>
        <w:t>perficiuntur</w:t>
      </w:r>
      <w:r>
        <w:rPr>
          <w:b w:val="0"/>
          <w:i w:val="0"/>
        </w:rPr>
        <w:t>.</w:t>
      </w:r>
    </w:p>
    <w:p>
      <w:pPr>
        <w:widowControl/>
      </w:pPr>
      <w:r>
        <w:rPr>
          <w:b w:val="0"/>
          <w:i w:val="0"/>
        </w:rPr>
        <w:t xml:space="preserve">To perfect or complete, contrasted with bringing an effect into being. Ficino argues that the same good is source and end, responsible for producing and perfecting. References: </w:t>
      </w:r>
      <w:hyperlink w:anchor="passage-ii-7-16">
        <w:r>
          <w:rPr>
            <w:color w:val="000000"/>
          </w:rPr>
          <w:t xml:space="preserve">II.7.16</w:t>
        </w:r>
      </w:hyperlink>
      <w:r>
        <w:rPr>
          <w:b w:val="0"/>
          <w:i w:val="0"/>
        </w:rPr>
        <w:t xml:space="preserve">, </w:t>
      </w:r>
      <w:hyperlink w:anchor="passage-ii-7-21">
        <w:r>
          <w:rPr>
            <w:color w:val="000000"/>
          </w:rPr>
          <w:t xml:space="preserve">II.7.21</w:t>
        </w:r>
      </w:hyperlink>
      <w:r>
        <w:rPr>
          <w:b w:val="0"/>
          <w:i w:val="0"/>
        </w:rPr>
        <w:t xml:space="preserve">, </w:t>
      </w:r>
      <w:hyperlink w:anchor="passage-ii-7-25">
        <w:r>
          <w:rPr>
            <w:color w:val="000000"/>
          </w:rPr>
          <w:t xml:space="preserve">II.7.25</w:t>
        </w:r>
      </w:hyperlink>
      <w:r>
        <w:rPr>
          <w:b w:val="0"/>
          <w:i w:val="0"/>
        </w:rPr>
        <w:t xml:space="preserve">. See </w:t>
      </w:r>
      <w:hyperlink w:anchor="perfection">
        <w:r>
          <w:rPr>
            <w:color w:val="000000"/>
          </w:rPr>
          <w:t xml:space="preserve">Perfection</w:t>
        </w:r>
      </w:hyperlink>
      <w:r>
        <w:rPr>
          <w:b w:val="0"/>
          <w:i w:val="0"/>
        </w:rPr>
        <w:t>.</w:t>
      </w:r>
    </w:p>
    <w:p>
      <w:pPr>
        <w:keepNext/>
        <w:widowControl/>
      </w:pPr>
      <w:bookmarkStart w:id="1110" w:name="latin-record-0859"/>
      <w:bookmarkEnd w:id="1110"/>
      <w:r>
        <w:rPr>
          <w:b/>
          <w:i w:val="0"/>
        </w:rPr>
        <w:t>permaneo / perduro / persevero</w:t>
      </w:r>
      <w:r>
        <w:rPr>
          <w:b/>
          <w:i w:val="0"/>
        </w:rPr>
        <w:t>.</w:t>
      </w:r>
      <w:r>
        <w:rPr>
          <w:b w:val="0"/>
          <w:i w:val="0"/>
        </w:rPr>
        <w:t xml:space="preserve"> Printed forms: </w:t>
      </w:r>
      <w:r>
        <w:rPr>
          <w:b w:val="0"/>
          <w:i/>
        </w:rPr>
        <w:t>perdurabit</w:t>
      </w:r>
      <w:r>
        <w:rPr>
          <w:b w:val="0"/>
          <w:i w:val="0"/>
        </w:rPr>
        <w:t xml:space="preserve">; </w:t>
      </w:r>
      <w:r>
        <w:rPr>
          <w:b w:val="0"/>
          <w:i/>
        </w:rPr>
        <w:t>permansisse</w:t>
      </w:r>
      <w:r>
        <w:rPr>
          <w:b w:val="0"/>
          <w:i w:val="0"/>
        </w:rPr>
        <w:t xml:space="preserve">; </w:t>
      </w:r>
      <w:r>
        <w:rPr>
          <w:b w:val="0"/>
          <w:i/>
        </w:rPr>
        <w:t>perseverant</w:t>
      </w:r>
      <w:r>
        <w:rPr>
          <w:b w:val="0"/>
          <w:i w:val="0"/>
        </w:rPr>
        <w:t>.</w:t>
      </w:r>
    </w:p>
    <w:p>
      <w:pPr>
        <w:widowControl/>
      </w:pPr>
      <w:r>
        <w:rPr>
          <w:b w:val="0"/>
          <w:i w:val="0"/>
        </w:rPr>
        <w:t xml:space="preserve">To remain, endure and continue. The hour argument concerns wholly unchanged power, not merely everyday continuity of a body under changing states. References: </w:t>
      </w:r>
      <w:hyperlink w:anchor="passage-i-4-2">
        <w:r>
          <w:rPr>
            <w:color w:val="000000"/>
          </w:rPr>
          <w:t xml:space="preserve">I.4.2</w:t>
        </w:r>
      </w:hyperlink>
      <w:r>
        <w:rPr>
          <w:b w:val="0"/>
          <w:i w:val="0"/>
        </w:rPr>
        <w:t xml:space="preserve">. See </w:t>
      </w:r>
      <w:hyperlink w:anchor="permanence-and-the-hour-test">
        <w:r>
          <w:rPr>
            <w:color w:val="000000"/>
          </w:rPr>
          <w:t xml:space="preserve">Permanence and the hour test</w:t>
        </w:r>
      </w:hyperlink>
      <w:r>
        <w:rPr>
          <w:b w:val="0"/>
          <w:i w:val="0"/>
        </w:rPr>
        <w:t>.</w:t>
      </w:r>
    </w:p>
    <w:p>
      <w:pPr>
        <w:keepNext/>
        <w:widowControl/>
      </w:pPr>
      <w:bookmarkStart w:id="1111" w:name="latin-record-0860"/>
      <w:bookmarkEnd w:id="1111"/>
      <w:r>
        <w:rPr>
          <w:b/>
          <w:i w:val="0"/>
        </w:rPr>
        <w:t>permanere / perseverare</w:t>
      </w:r>
      <w:r>
        <w:rPr>
          <w:b/>
          <w:i w:val="0"/>
        </w:rPr>
        <w:t>.</w:t>
      </w:r>
      <w:r>
        <w:rPr>
          <w:b w:val="0"/>
          <w:i w:val="0"/>
        </w:rPr>
        <w:t xml:space="preserve"> Printed forms: </w:t>
      </w:r>
      <w:r>
        <w:rPr>
          <w:b w:val="0"/>
          <w:i/>
        </w:rPr>
        <w:t>permanent</w:t>
      </w:r>
      <w:r>
        <w:rPr>
          <w:b w:val="0"/>
          <w:i w:val="0"/>
        </w:rPr>
        <w:t xml:space="preserve">; </w:t>
      </w:r>
      <w:r>
        <w:rPr>
          <w:b w:val="0"/>
          <w:i/>
        </w:rPr>
        <w:t>permanet</w:t>
      </w:r>
      <w:r>
        <w:rPr>
          <w:b w:val="0"/>
          <w:i w:val="0"/>
        </w:rPr>
        <w:t xml:space="preserve">; </w:t>
      </w:r>
      <w:r>
        <w:rPr>
          <w:b w:val="0"/>
          <w:i/>
        </w:rPr>
        <w:t>perseveret</w:t>
      </w:r>
      <w:r>
        <w:rPr>
          <w:b w:val="0"/>
          <w:i w:val="0"/>
        </w:rPr>
        <w:t>.</w:t>
      </w:r>
    </w:p>
    <w:p>
      <w:pPr>
        <w:widowControl/>
      </w:pPr>
      <w:r>
        <w:rPr>
          <w:b w:val="0"/>
          <w:i w:val="0"/>
        </w:rPr>
        <w:t xml:space="preserve">To remain or persist. Persistence is not self-sufficiency: the effect endures through continual preserving power. References: </w:t>
      </w:r>
      <w:hyperlink w:anchor="passage-ii-5-1">
        <w:r>
          <w:rPr>
            <w:color w:val="000000"/>
          </w:rPr>
          <w:t xml:space="preserve">II.5.1</w:t>
        </w:r>
      </w:hyperlink>
      <w:r>
        <w:rPr>
          <w:b w:val="0"/>
          <w:i w:val="0"/>
        </w:rPr>
        <w:t xml:space="preserve">, </w:t>
      </w:r>
      <w:hyperlink w:anchor="passage-ii-7-17">
        <w:r>
          <w:rPr>
            <w:color w:val="000000"/>
          </w:rPr>
          <w:t xml:space="preserve">II.7.17</w:t>
        </w:r>
      </w:hyperlink>
      <w:r>
        <w:rPr>
          <w:b w:val="0"/>
          <w:i w:val="0"/>
        </w:rPr>
        <w:t xml:space="preserve">, </w:t>
      </w:r>
      <w:hyperlink w:anchor="passage-ii-7-21">
        <w:r>
          <w:rPr>
            <w:color w:val="000000"/>
          </w:rPr>
          <w:t xml:space="preserve">II.7.21</w:t>
        </w:r>
      </w:hyperlink>
      <w:r>
        <w:rPr>
          <w:b w:val="0"/>
          <w:i w:val="0"/>
        </w:rPr>
        <w:t xml:space="preserve">. See </w:t>
      </w:r>
      <w:hyperlink w:anchor="conservation-and-preservation">
        <w:r>
          <w:rPr>
            <w:color w:val="000000"/>
          </w:rPr>
          <w:t xml:space="preserve">Conservation and preservation</w:t>
        </w:r>
      </w:hyperlink>
      <w:r>
        <w:rPr>
          <w:b w:val="0"/>
          <w:i w:val="0"/>
        </w:rPr>
        <w:t>.</w:t>
      </w:r>
    </w:p>
    <w:p>
      <w:pPr>
        <w:keepNext/>
        <w:widowControl/>
      </w:pPr>
      <w:bookmarkStart w:id="1112" w:name="latin-record-0861"/>
      <w:bookmarkEnd w:id="1112"/>
      <w:r>
        <w:rPr>
          <w:b/>
          <w:i w:val="0"/>
        </w:rPr>
        <w:t>perscrutari</w:t>
      </w:r>
      <w:r>
        <w:rPr>
          <w:b/>
          <w:i w:val="0"/>
        </w:rPr>
        <w:t>.</w:t>
      </w:r>
      <w:r>
        <w:rPr>
          <w:b w:val="0"/>
          <w:i w:val="0"/>
        </w:rPr>
        <w:t xml:space="preserve"> Printed forms: </w:t>
      </w:r>
      <w:r>
        <w:rPr>
          <w:b w:val="0"/>
          <w:i/>
        </w:rPr>
        <w:t>perscrutabimur</w:t>
      </w:r>
      <w:r>
        <w:rPr>
          <w:b w:val="0"/>
          <w:i w:val="0"/>
        </w:rPr>
        <w:t>.</w:t>
      </w:r>
    </w:p>
    <w:p>
      <w:pPr>
        <w:widowControl/>
      </w:pPr>
      <w:r>
        <w:rPr>
          <w:b w:val="0"/>
          <w:i w:val="0"/>
        </w:rPr>
        <w:t xml:space="preserve">To investigate thoroughly or search into. The announced investigation concerns grades within rational soul after the earlier five-grade ascent and comparison. References: </w:t>
      </w:r>
      <w:hyperlink w:anchor="passage-iv-1-1">
        <w:r>
          <w:rPr>
            <w:color w:val="000000"/>
          </w:rPr>
          <w:t xml:space="preserve">IV.1.1</w:t>
        </w:r>
      </w:hyperlink>
      <w:r>
        <w:rPr>
          <w:b w:val="0"/>
          <w:i w:val="0"/>
        </w:rPr>
        <w:t xml:space="preserve">. See </w:t>
      </w:r>
      <w:hyperlink w:anchor="soul">
        <w:r>
          <w:rPr>
            <w:color w:val="000000"/>
          </w:rPr>
          <w:t xml:space="preserve">Soul</w:t>
        </w:r>
      </w:hyperlink>
      <w:r>
        <w:rPr>
          <w:b w:val="0"/>
          <w:i w:val="0"/>
        </w:rPr>
        <w:t>.</w:t>
      </w:r>
    </w:p>
    <w:p>
      <w:pPr>
        <w:keepNext/>
        <w:widowControl/>
      </w:pPr>
      <w:bookmarkStart w:id="1113" w:name="latin-record-0862"/>
      <w:bookmarkEnd w:id="1113"/>
      <w:r>
        <w:rPr>
          <w:b/>
          <w:i w:val="0"/>
        </w:rPr>
        <w:t>perscrutor / indago</w:t>
      </w:r>
      <w:r>
        <w:rPr>
          <w:b/>
          <w:i w:val="0"/>
        </w:rPr>
        <w:t>.</w:t>
      </w:r>
      <w:r>
        <w:rPr>
          <w:b w:val="0"/>
          <w:i w:val="0"/>
        </w:rPr>
        <w:t xml:space="preserve"> Printed forms: </w:t>
      </w:r>
      <w:r>
        <w:rPr>
          <w:b w:val="0"/>
          <w:i/>
        </w:rPr>
        <w:t>indagat</w:t>
      </w:r>
      <w:r>
        <w:rPr>
          <w:b w:val="0"/>
          <w:i w:val="0"/>
        </w:rPr>
        <w:t xml:space="preserve">; </w:t>
      </w:r>
      <w:r>
        <w:rPr>
          <w:b w:val="0"/>
          <w:i/>
        </w:rPr>
        <w:t>perscrutemur</w:t>
      </w:r>
      <w:r>
        <w:rPr>
          <w:b w:val="0"/>
          <w:i w:val="0"/>
        </w:rPr>
        <w:t>.</w:t>
      </w:r>
    </w:p>
    <w:p>
      <w:pPr>
        <w:widowControl/>
      </w:pPr>
      <w:r>
        <w:rPr>
          <w:b w:val="0"/>
          <w:i w:val="0"/>
        </w:rPr>
        <w:t xml:space="preserve">To investigate searchingly or trace out. The objects are causes and God through individual traces; the two verbs describe directed inquiry, not a single technical faculty. References: </w:t>
      </w:r>
      <w:hyperlink w:anchor="passage-proem-3">
        <w:r>
          <w:rPr>
            <w:color w:val="000000"/>
          </w:rPr>
          <w:t xml:space="preserve">Proem.3</w:t>
        </w:r>
      </w:hyperlink>
      <w:r>
        <w:rPr>
          <w:b w:val="0"/>
          <w:i w:val="0"/>
        </w:rPr>
        <w:t xml:space="preserve">, </w:t>
      </w:r>
      <w:hyperlink w:anchor="passage-proem-4">
        <w:r>
          <w:rPr>
            <w:color w:val="000000"/>
          </w:rPr>
          <w:t xml:space="preserve">Proem.4</w:t>
        </w:r>
      </w:hyperlink>
      <w:r>
        <w:rPr>
          <w:b w:val="0"/>
          <w:i w:val="0"/>
        </w:rPr>
        <w:t xml:space="preserve">. See </w:t>
      </w:r>
      <w:hyperlink w:anchor="traces">
        <w:r>
          <w:rPr>
            <w:color w:val="000000"/>
          </w:rPr>
          <w:t xml:space="preserve">Traces</w:t>
        </w:r>
      </w:hyperlink>
      <w:r>
        <w:rPr>
          <w:b w:val="0"/>
          <w:i w:val="0"/>
        </w:rPr>
        <w:t>.</w:t>
      </w:r>
    </w:p>
    <w:p>
      <w:pPr>
        <w:keepNext/>
        <w:widowControl/>
      </w:pPr>
      <w:bookmarkStart w:id="1114" w:name="latin-record-0863"/>
      <w:bookmarkEnd w:id="1114"/>
      <w:r>
        <w:rPr>
          <w:b/>
          <w:i w:val="0"/>
        </w:rPr>
        <w:t>perseverare</w:t>
      </w:r>
      <w:r>
        <w:rPr>
          <w:b/>
          <w:i w:val="0"/>
        </w:rPr>
        <w:t>.</w:t>
      </w:r>
      <w:r>
        <w:rPr>
          <w:b w:val="0"/>
          <w:i w:val="0"/>
        </w:rPr>
        <w:t xml:space="preserve"> Printed forms: </w:t>
      </w:r>
      <w:r>
        <w:rPr>
          <w:b w:val="0"/>
          <w:i/>
        </w:rPr>
        <w:t>perseverare</w:t>
      </w:r>
      <w:r>
        <w:rPr>
          <w:b w:val="0"/>
          <w:i w:val="0"/>
        </w:rPr>
        <w:t>.</w:t>
      </w:r>
    </w:p>
    <w:p>
      <w:pPr>
        <w:widowControl/>
      </w:pPr>
      <w:r>
        <w:rPr>
          <w:b w:val="0"/>
          <w:i w:val="0"/>
        </w:rPr>
        <w:t xml:space="preserve">Continue or persist. Ficino’s explicit gloss of standing is persevering in the unity of one’s own nature. References: </w:t>
      </w:r>
      <w:hyperlink w:anchor="passage-iii-1-22">
        <w:r>
          <w:rPr>
            <w:color w:val="000000"/>
          </w:rPr>
          <w:t xml:space="preserve">III.1.22</w:t>
        </w:r>
      </w:hyperlink>
      <w:r>
        <w:rPr>
          <w:b w:val="0"/>
          <w:i w:val="0"/>
        </w:rPr>
        <w:t xml:space="preserve">. See </w:t>
      </w:r>
      <w:hyperlink w:anchor="staying-and-preserving">
        <w:r>
          <w:rPr>
            <w:color w:val="000000"/>
          </w:rPr>
          <w:t xml:space="preserve">Staying and preserving</w:t>
        </w:r>
      </w:hyperlink>
      <w:r>
        <w:rPr>
          <w:b w:val="0"/>
          <w:i w:val="0"/>
        </w:rPr>
        <w:t>.</w:t>
      </w:r>
    </w:p>
    <w:p>
      <w:pPr>
        <w:keepNext/>
        <w:widowControl/>
      </w:pPr>
      <w:bookmarkStart w:id="1115" w:name="latin-record-0864"/>
      <w:bookmarkEnd w:id="1115"/>
      <w:r>
        <w:rPr>
          <w:b/>
          <w:i w:val="0"/>
        </w:rPr>
        <w:t>perspicacia / perspectio</w:t>
      </w:r>
      <w:r>
        <w:rPr>
          <w:b/>
          <w:i w:val="0"/>
        </w:rPr>
        <w:t>.</w:t>
      </w:r>
      <w:r>
        <w:rPr>
          <w:b w:val="0"/>
          <w:i w:val="0"/>
        </w:rPr>
        <w:t xml:space="preserve"> Printed forms: </w:t>
      </w:r>
      <w:r>
        <w:rPr>
          <w:b w:val="0"/>
          <w:i/>
        </w:rPr>
        <w:t>perspectio</w:t>
      </w:r>
      <w:r>
        <w:rPr>
          <w:b w:val="0"/>
          <w:i w:val="0"/>
        </w:rPr>
        <w:t xml:space="preserve">; </w:t>
      </w:r>
      <w:r>
        <w:rPr>
          <w:b w:val="0"/>
          <w:i/>
        </w:rPr>
        <w:t>perspicacia</w:t>
      </w:r>
      <w:r>
        <w:rPr>
          <w:b w:val="0"/>
          <w:i w:val="0"/>
        </w:rPr>
        <w:t>.</w:t>
      </w:r>
    </w:p>
    <w:p>
      <w:pPr>
        <w:widowControl/>
      </w:pPr>
      <w:r>
        <w:rPr>
          <w:b w:val="0"/>
          <w:i w:val="0"/>
        </w:rPr>
        <w:t xml:space="preserve">Penetrating insight or vision. Divine truth is not deprived of the excellence of mind, but its insight and truth are not two components; the expressions formulate simple self-manifestation. References: </w:t>
      </w:r>
      <w:hyperlink w:anchor="passage-i-6-12">
        <w:r>
          <w:rPr>
            <w:color w:val="000000"/>
          </w:rPr>
          <w:t xml:space="preserve">I.6.12</w:t>
        </w:r>
      </w:hyperlink>
      <w:r>
        <w:rPr>
          <w:b w:val="0"/>
          <w:i w:val="0"/>
        </w:rPr>
        <w:t xml:space="preserve">. See </w:t>
      </w:r>
      <w:hyperlink w:anchor="intuition-and-comprehension">
        <w:r>
          <w:rPr>
            <w:color w:val="000000"/>
          </w:rPr>
          <w:t xml:space="preserve">Intuition and comprehension</w:t>
        </w:r>
      </w:hyperlink>
      <w:r>
        <w:rPr>
          <w:b w:val="0"/>
          <w:i w:val="0"/>
        </w:rPr>
        <w:t>.</w:t>
      </w:r>
    </w:p>
    <w:p>
      <w:pPr>
        <w:keepNext/>
        <w:widowControl/>
      </w:pPr>
      <w:bookmarkStart w:id="1116" w:name="latin-record-0865"/>
      <w:bookmarkEnd w:id="1116"/>
      <w:r>
        <w:rPr>
          <w:b/>
          <w:i w:val="0"/>
        </w:rPr>
        <w:t>perspicere / cernere</w:t>
      </w:r>
      <w:r>
        <w:rPr>
          <w:b/>
          <w:i w:val="0"/>
        </w:rPr>
        <w:t>.</w:t>
      </w:r>
      <w:r>
        <w:rPr>
          <w:b w:val="0"/>
          <w:i w:val="0"/>
        </w:rPr>
        <w:t xml:space="preserve"> Printed forms: </w:t>
      </w:r>
      <w:r>
        <w:rPr>
          <w:b w:val="0"/>
          <w:i/>
        </w:rPr>
        <w:t>cernimus</w:t>
      </w:r>
      <w:r>
        <w:rPr>
          <w:b w:val="0"/>
          <w:i w:val="0"/>
        </w:rPr>
        <w:t xml:space="preserve">; </w:t>
      </w:r>
      <w:r>
        <w:rPr>
          <w:b w:val="0"/>
          <w:i/>
        </w:rPr>
        <w:t>perspicimus</w:t>
      </w:r>
      <w:r>
        <w:rPr>
          <w:b w:val="0"/>
          <w:i w:val="0"/>
        </w:rPr>
        <w:t>.</w:t>
      </w:r>
    </w:p>
    <w:p>
      <w:pPr>
        <w:widowControl/>
      </w:pPr>
      <w:r>
        <w:rPr>
          <w:b w:val="0"/>
          <w:i w:val="0"/>
        </w:rPr>
        <w:t xml:space="preserve">To perceive clearly or discern. Brightness, nearness, and density explain visibility; the argument does not equate invisibility with nonexistence. References: </w:t>
      </w:r>
      <w:hyperlink w:anchor="passage-iv-1-38">
        <w:r>
          <w:rPr>
            <w:color w:val="000000"/>
          </w:rPr>
          <w:t xml:space="preserve">IV.1.38</w:t>
        </w:r>
      </w:hyperlink>
      <w:r>
        <w:rPr>
          <w:b w:val="0"/>
          <w:i w:val="0"/>
        </w:rPr>
        <w:t xml:space="preserve">. See </w:t>
      </w:r>
      <w:hyperlink w:anchor="seeming-and-evidence">
        <w:r>
          <w:rPr>
            <w:color w:val="000000"/>
          </w:rPr>
          <w:t xml:space="preserve">Seeming and evidence</w:t>
        </w:r>
      </w:hyperlink>
      <w:r>
        <w:rPr>
          <w:b w:val="0"/>
          <w:i w:val="0"/>
        </w:rPr>
        <w:t>.</w:t>
      </w:r>
    </w:p>
    <w:p>
      <w:pPr>
        <w:keepNext/>
        <w:widowControl/>
      </w:pPr>
      <w:bookmarkStart w:id="1117" w:name="latin-record-0866"/>
      <w:bookmarkEnd w:id="1117"/>
      <w:r>
        <w:rPr>
          <w:b/>
          <w:i w:val="0"/>
        </w:rPr>
        <w:t>perspicuus / diaphanus</w:t>
      </w:r>
      <w:r>
        <w:rPr>
          <w:b/>
          <w:i w:val="0"/>
        </w:rPr>
        <w:t>.</w:t>
      </w:r>
      <w:r>
        <w:rPr>
          <w:b w:val="0"/>
          <w:i w:val="0"/>
        </w:rPr>
        <w:t xml:space="preserve"> Printed forms: </w:t>
      </w:r>
      <w:r>
        <w:rPr>
          <w:b w:val="0"/>
          <w:i/>
        </w:rPr>
        <w:t>diaphanum</w:t>
      </w:r>
      <w:r>
        <w:rPr>
          <w:b w:val="0"/>
          <w:i w:val="0"/>
        </w:rPr>
        <w:t xml:space="preserve">; </w:t>
      </w:r>
      <w:r>
        <w:rPr>
          <w:b w:val="0"/>
          <w:i/>
        </w:rPr>
        <w:t>perspicuam</w:t>
      </w:r>
      <w:r>
        <w:rPr>
          <w:b w:val="0"/>
          <w:i w:val="0"/>
        </w:rPr>
        <w:t xml:space="preserve">; </w:t>
      </w:r>
      <w:r>
        <w:rPr>
          <w:b w:val="0"/>
          <w:i/>
        </w:rPr>
        <w:t>perspicuum</w:t>
      </w:r>
      <w:r>
        <w:rPr>
          <w:b w:val="0"/>
          <w:i w:val="0"/>
        </w:rPr>
        <w:t>.</w:t>
      </w:r>
    </w:p>
    <w:p>
      <w:pPr>
        <w:widowControl/>
      </w:pPr>
      <w:r>
        <w:rPr>
          <w:b w:val="0"/>
          <w:i w:val="0"/>
        </w:rPr>
        <w:t xml:space="preserve">Transparent, admitting light without necessarily originating it. Soul mediates mind and body as a transparent medium joins luminous and opaque bodies. References: </w:t>
      </w:r>
      <w:hyperlink w:anchor="passage-iv-1-29">
        <w:r>
          <w:rPr>
            <w:color w:val="000000"/>
          </w:rPr>
          <w:t xml:space="preserve">IV.1.29</w:t>
        </w:r>
      </w:hyperlink>
      <w:r>
        <w:rPr>
          <w:b w:val="0"/>
          <w:i w:val="0"/>
        </w:rPr>
        <w:t xml:space="preserve">. See </w:t>
      </w:r>
      <w:hyperlink w:anchor="transparency-and-opacity">
        <w:r>
          <w:rPr>
            <w:color w:val="000000"/>
          </w:rPr>
          <w:t xml:space="preserve">Transparency and opacity</w:t>
        </w:r>
      </w:hyperlink>
      <w:r>
        <w:rPr>
          <w:b w:val="0"/>
          <w:i w:val="0"/>
        </w:rPr>
        <w:t>.</w:t>
      </w:r>
    </w:p>
    <w:p>
      <w:pPr>
        <w:keepNext/>
        <w:widowControl/>
      </w:pPr>
      <w:bookmarkStart w:id="1118" w:name="latin-record-0867"/>
      <w:bookmarkEnd w:id="1118"/>
      <w:r>
        <w:rPr>
          <w:b/>
          <w:i w:val="0"/>
        </w:rPr>
        <w:t>pervigil / vigilare</w:t>
      </w:r>
      <w:r>
        <w:rPr>
          <w:b/>
          <w:i w:val="0"/>
        </w:rPr>
        <w:t>.</w:t>
      </w:r>
      <w:r>
        <w:rPr>
          <w:b w:val="0"/>
          <w:i w:val="0"/>
        </w:rPr>
        <w:t xml:space="preserve"> Printed forms: </w:t>
      </w:r>
      <w:r>
        <w:rPr>
          <w:b w:val="0"/>
          <w:i/>
        </w:rPr>
        <w:t>pervigil</w:t>
      </w:r>
      <w:r>
        <w:rPr>
          <w:b w:val="0"/>
          <w:i w:val="0"/>
        </w:rPr>
        <w:t xml:space="preserve">; </w:t>
      </w:r>
      <w:r>
        <w:rPr>
          <w:b w:val="0"/>
          <w:i/>
        </w:rPr>
        <w:t>vigilat</w:t>
      </w:r>
      <w:r>
        <w:rPr>
          <w:b w:val="0"/>
          <w:i w:val="0"/>
        </w:rPr>
        <w:t>.</w:t>
      </w:r>
    </w:p>
    <w:p>
      <w:pPr>
        <w:widowControl/>
      </w:pPr>
      <w:r>
        <w:rPr>
          <w:b w:val="0"/>
          <w:i w:val="0"/>
        </w:rPr>
        <w:t xml:space="preserve">Ever-watchful / keep watch or be awake. Watchful activity expresses abiding self-directed actuality in the reported divine argument; the adjective later characterizes soul’s active sourcehood. References: </w:t>
      </w:r>
      <w:hyperlink w:anchor="passage-ii-12-10">
        <w:r>
          <w:rPr>
            <w:color w:val="000000"/>
          </w:rPr>
          <w:t xml:space="preserve">II.12.10</w:t>
        </w:r>
      </w:hyperlink>
      <w:r>
        <w:rPr>
          <w:b w:val="0"/>
          <w:i w:val="0"/>
        </w:rPr>
        <w:t xml:space="preserve">, </w:t>
      </w:r>
      <w:hyperlink w:anchor="passage-iii-1-26">
        <w:r>
          <w:rPr>
            <w:color w:val="000000"/>
          </w:rPr>
          <w:t xml:space="preserve">III.1.26</w:t>
        </w:r>
      </w:hyperlink>
      <w:r>
        <w:rPr>
          <w:b w:val="0"/>
          <w:i w:val="0"/>
        </w:rPr>
        <w:t xml:space="preserve">. See </w:t>
      </w:r>
      <w:hyperlink w:anchor="self-production-and-reservation">
        <w:r>
          <w:rPr>
            <w:color w:val="000000"/>
          </w:rPr>
          <w:t xml:space="preserve">Self-production and reservation</w:t>
        </w:r>
      </w:hyperlink>
      <w:r>
        <w:rPr>
          <w:b w:val="0"/>
          <w:i w:val="0"/>
        </w:rPr>
        <w:t>.</w:t>
      </w:r>
    </w:p>
    <w:p>
      <w:pPr>
        <w:keepNext/>
        <w:widowControl/>
      </w:pPr>
      <w:bookmarkStart w:id="1119" w:name="latin-record-0868"/>
      <w:bookmarkEnd w:id="1119"/>
      <w:r>
        <w:rPr>
          <w:b/>
          <w:i w:val="0"/>
        </w:rPr>
        <w:t>Phaedo / Philebus / Politicus / Phaedrus</w:t>
      </w:r>
      <w:r>
        <w:rPr>
          <w:b/>
          <w:i w:val="0"/>
        </w:rPr>
        <w:t>.</w:t>
      </w:r>
      <w:r>
        <w:rPr>
          <w:b w:val="0"/>
          <w:i w:val="0"/>
        </w:rPr>
        <w:t xml:space="preserve"> Printed forms: </w:t>
      </w:r>
      <w:r>
        <w:rPr>
          <w:b w:val="0"/>
          <w:i/>
        </w:rPr>
        <w:t>Phaedone</w:t>
      </w:r>
      <w:r>
        <w:rPr>
          <w:b w:val="0"/>
          <w:i w:val="0"/>
        </w:rPr>
        <w:t xml:space="preserve">; </w:t>
      </w:r>
      <w:r>
        <w:rPr>
          <w:b w:val="0"/>
          <w:i/>
        </w:rPr>
        <w:t>Phaedro</w:t>
      </w:r>
      <w:r>
        <w:rPr>
          <w:b w:val="0"/>
          <w:i w:val="0"/>
        </w:rPr>
        <w:t xml:space="preserve">; </w:t>
      </w:r>
      <w:r>
        <w:rPr>
          <w:b w:val="0"/>
          <w:i/>
        </w:rPr>
        <w:t>Philebo</w:t>
      </w:r>
      <w:r>
        <w:rPr>
          <w:b w:val="0"/>
          <w:i w:val="0"/>
        </w:rPr>
        <w:t xml:space="preserve">; </w:t>
      </w:r>
      <w:r>
        <w:rPr>
          <w:b w:val="0"/>
          <w:i/>
        </w:rPr>
        <w:t>Politico</w:t>
      </w:r>
      <w:r>
        <w:rPr>
          <w:b w:val="0"/>
          <w:i w:val="0"/>
        </w:rPr>
        <w:t>.</w:t>
      </w:r>
    </w:p>
    <w:p>
      <w:pPr>
        <w:widowControl/>
      </w:pPr>
      <w:r>
        <w:rPr>
          <w:b w:val="0"/>
          <w:i w:val="0"/>
        </w:rPr>
        <w:t xml:space="preserve">Names of Platonic dialogues in Ficino’s source claims. They support reported claims about purposive explanation, limit and infinite, and soul as the fountain of motion; their mere naming is not a fresh source collation. References: </w:t>
      </w:r>
      <w:hyperlink w:anchor="passage-ii-11-26">
        <w:r>
          <w:rPr>
            <w:color w:val="000000"/>
          </w:rPr>
          <w:t xml:space="preserve">II.11.26</w:t>
        </w:r>
      </w:hyperlink>
      <w:r>
        <w:rPr>
          <w:b w:val="0"/>
          <w:i w:val="0"/>
        </w:rPr>
        <w:t xml:space="preserve">, </w:t>
      </w:r>
      <w:hyperlink w:anchor="passage-iii-1-11">
        <w:r>
          <w:rPr>
            <w:color w:val="000000"/>
          </w:rPr>
          <w:t xml:space="preserve">III.1.11</w:t>
        </w:r>
      </w:hyperlink>
      <w:r>
        <w:rPr>
          <w:b w:val="0"/>
          <w:i w:val="0"/>
        </w:rPr>
        <w:t xml:space="preserve">, </w:t>
      </w:r>
      <w:hyperlink w:anchor="passage-iii-1-26">
        <w:r>
          <w:rPr>
            <w:color w:val="000000"/>
          </w:rPr>
          <w:t xml:space="preserve">III.1.26</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1120" w:name="latin-record-0869"/>
      <w:bookmarkEnd w:id="1120"/>
      <w:r>
        <w:rPr>
          <w:b/>
          <w:i w:val="0"/>
        </w:rPr>
        <w:t>phantasia</w:t>
      </w:r>
      <w:r>
        <w:rPr>
          <w:b/>
          <w:i w:val="0"/>
        </w:rPr>
        <w:t>.</w:t>
      </w:r>
      <w:r>
        <w:rPr>
          <w:b w:val="0"/>
          <w:i w:val="0"/>
        </w:rPr>
        <w:t xml:space="preserve"> Printed forms: </w:t>
      </w:r>
      <w:r>
        <w:rPr>
          <w:b w:val="0"/>
          <w:i/>
        </w:rPr>
        <w:t>phantasia</w:t>
      </w:r>
      <w:r>
        <w:rPr>
          <w:b w:val="0"/>
          <w:i w:val="0"/>
        </w:rPr>
        <w:t xml:space="preserve">; </w:t>
      </w:r>
      <w:r>
        <w:rPr>
          <w:b w:val="0"/>
          <w:i/>
        </w:rPr>
        <w:t>Phantasia</w:t>
      </w:r>
      <w:r>
        <w:rPr>
          <w:b w:val="0"/>
          <w:i w:val="0"/>
        </w:rPr>
        <w:t>.</w:t>
      </w:r>
    </w:p>
    <w:p>
      <w:pPr>
        <w:widowControl/>
      </w:pPr>
      <w:r>
        <w:rPr>
          <w:b w:val="0"/>
          <w:i w:val="0"/>
        </w:rPr>
        <w:t xml:space="preserve">Imagination, a power presenting and combining images. It misleads when replacing eternity with flux or fullness with extension, yet also gathers the senses’ contributions. References: </w:t>
      </w:r>
      <w:hyperlink w:anchor="passage-ii-5-2">
        <w:r>
          <w:rPr>
            <w:color w:val="000000"/>
          </w:rPr>
          <w:t xml:space="preserve">II.5.2</w:t>
        </w:r>
      </w:hyperlink>
      <w:r>
        <w:rPr>
          <w:b w:val="0"/>
          <w:i w:val="0"/>
        </w:rPr>
        <w:t xml:space="preserve">, </w:t>
      </w:r>
      <w:hyperlink w:anchor="passage-ii-6-13">
        <w:r>
          <w:rPr>
            <w:color w:val="000000"/>
          </w:rPr>
          <w:t xml:space="preserve">II.6.13</w:t>
        </w:r>
      </w:hyperlink>
      <w:r>
        <w:rPr>
          <w:b w:val="0"/>
          <w:i w:val="0"/>
        </w:rPr>
        <w:t xml:space="preserve">, </w:t>
      </w:r>
      <w:hyperlink w:anchor="passage-ii-9-16">
        <w:r>
          <w:rPr>
            <w:color w:val="000000"/>
          </w:rPr>
          <w:t xml:space="preserve">II.9.16</w:t>
        </w:r>
      </w:hyperlink>
      <w:r>
        <w:rPr>
          <w:b w:val="0"/>
          <w:i w:val="0"/>
        </w:rPr>
        <w:t xml:space="preserve">. See </w:t>
      </w:r>
      <w:hyperlink w:anchor="imagination-and-deceptive-clothing">
        <w:r>
          <w:rPr>
            <w:color w:val="000000"/>
          </w:rPr>
          <w:t xml:space="preserve">Imagination and deceptive clothing</w:t>
        </w:r>
      </w:hyperlink>
      <w:r>
        <w:rPr>
          <w:b w:val="0"/>
          <w:i w:val="0"/>
        </w:rPr>
        <w:t>.</w:t>
      </w:r>
    </w:p>
    <w:p>
      <w:pPr>
        <w:keepNext/>
        <w:widowControl/>
      </w:pPr>
      <w:bookmarkStart w:id="1121" w:name="latin-record-0870"/>
      <w:bookmarkEnd w:id="1121"/>
      <w:r>
        <w:rPr>
          <w:b/>
          <w:i w:val="0"/>
        </w:rPr>
        <w:t>phantasia / sensus / generatio</w:t>
      </w:r>
      <w:r>
        <w:rPr>
          <w:b/>
          <w:i w:val="0"/>
        </w:rPr>
        <w:t>.</w:t>
      </w:r>
      <w:r>
        <w:rPr>
          <w:b w:val="0"/>
          <w:i w:val="0"/>
        </w:rPr>
        <w:t xml:space="preserve"> Printed forms: </w:t>
      </w:r>
      <w:r>
        <w:rPr>
          <w:b w:val="0"/>
          <w:i/>
        </w:rPr>
        <w:t>generationemque</w:t>
      </w:r>
      <w:r>
        <w:rPr>
          <w:b w:val="0"/>
          <w:i w:val="0"/>
        </w:rPr>
        <w:t xml:space="preserve">; </w:t>
      </w:r>
      <w:r>
        <w:rPr>
          <w:b w:val="0"/>
          <w:i/>
        </w:rPr>
        <w:t>phantasiam</w:t>
      </w:r>
      <w:r>
        <w:rPr>
          <w:b w:val="0"/>
          <w:i w:val="0"/>
        </w:rPr>
        <w:t xml:space="preserve">; </w:t>
      </w:r>
      <w:r>
        <w:rPr>
          <w:b w:val="0"/>
          <w:i/>
        </w:rPr>
        <w:t>sensum</w:t>
      </w:r>
      <w:r>
        <w:rPr>
          <w:b w:val="0"/>
          <w:i w:val="0"/>
        </w:rPr>
        <w:t>.</w:t>
      </w:r>
    </w:p>
    <w:p>
      <w:pPr>
        <w:widowControl/>
      </w:pPr>
      <w:r>
        <w:rPr>
          <w:b w:val="0"/>
          <w:i w:val="0"/>
        </w:rPr>
        <w:t xml:space="preserve">Imagination, sensation and generation as other psychic functions. Their removal is posited only within the imagined pure-mind analogy that isolates the angelic level. References: </w:t>
      </w:r>
      <w:hyperlink w:anchor="passage-i-6-9">
        <w:r>
          <w:rPr>
            <w:color w:val="000000"/>
          </w:rPr>
          <w:t xml:space="preserve">I.6.9</w:t>
        </w:r>
      </w:hyperlink>
      <w:r>
        <w:rPr>
          <w:b w:val="0"/>
          <w:i w:val="0"/>
        </w:rPr>
        <w:t xml:space="preserve">. See </w:t>
      </w:r>
      <w:hyperlink w:anchor="intellectual-and-animating-powers">
        <w:r>
          <w:rPr>
            <w:color w:val="000000"/>
          </w:rPr>
          <w:t xml:space="preserve">Intellectual and animating powers</w:t>
        </w:r>
      </w:hyperlink>
      <w:r>
        <w:rPr>
          <w:b w:val="0"/>
          <w:i w:val="0"/>
        </w:rPr>
        <w:t>.</w:t>
      </w:r>
    </w:p>
    <w:p>
      <w:pPr>
        <w:keepNext/>
        <w:widowControl/>
      </w:pPr>
      <w:bookmarkStart w:id="1122" w:name="latin-record-0871"/>
      <w:bookmarkEnd w:id="1122"/>
      <w:r>
        <w:rPr>
          <w:b/>
          <w:i w:val="0"/>
        </w:rPr>
        <w:t>Phoebus particularis / Iupiter particularis</w:t>
      </w:r>
      <w:r>
        <w:rPr>
          <w:b/>
          <w:i w:val="0"/>
        </w:rPr>
        <w:t>.</w:t>
      </w:r>
      <w:r>
        <w:rPr>
          <w:b w:val="0"/>
          <w:i w:val="0"/>
        </w:rPr>
        <w:t xml:space="preserve"> Printed forms: </w:t>
      </w:r>
      <w:r>
        <w:rPr>
          <w:b w:val="0"/>
          <w:i/>
        </w:rPr>
        <w:t>Iupiter particularis</w:t>
      </w:r>
      <w:r>
        <w:rPr>
          <w:b w:val="0"/>
          <w:i w:val="0"/>
        </w:rPr>
        <w:t xml:space="preserve">; </w:t>
      </w:r>
      <w:r>
        <w:rPr>
          <w:b w:val="0"/>
          <w:i/>
        </w:rPr>
        <w:t>Phoebus particularis</w:t>
      </w:r>
      <w:r>
        <w:rPr>
          <w:b w:val="0"/>
          <w:i w:val="0"/>
        </w:rPr>
        <w:t>.</w:t>
      </w:r>
    </w:p>
    <w:p>
      <w:pPr>
        <w:widowControl/>
      </w:pPr>
      <w:r>
        <w:rPr>
          <w:b w:val="0"/>
          <w:i w:val="0"/>
        </w:rPr>
        <w:t xml:space="preserve">A particular Phoebus and Jupiter in this cosmic assignment. The qualifiers prevent unmarked substitution of these zodiacal souls for universal divine names in other passages. References: </w:t>
      </w:r>
      <w:hyperlink w:anchor="passage-iv-1-43">
        <w:r>
          <w:rPr>
            <w:color w:val="000000"/>
          </w:rPr>
          <w:t xml:space="preserve">IV.1.43</w:t>
        </w:r>
      </w:hyperlink>
      <w:r>
        <w:rPr>
          <w:b w:val="0"/>
          <w:i w:val="0"/>
        </w:rPr>
        <w:t xml:space="preserve">. See </w:t>
      </w:r>
      <w:hyperlink w:anchor="common-and-proper">
        <w:r>
          <w:rPr>
            <w:color w:val="000000"/>
          </w:rPr>
          <w:t xml:space="preserve">Common and proper</w:t>
        </w:r>
      </w:hyperlink>
      <w:r>
        <w:rPr>
          <w:b w:val="0"/>
          <w:i w:val="0"/>
        </w:rPr>
        <w:t>.</w:t>
      </w:r>
    </w:p>
    <w:p>
      <w:pPr>
        <w:keepNext/>
        <w:widowControl/>
      </w:pPr>
      <w:bookmarkStart w:id="1123" w:name="latin-record-0872"/>
      <w:bookmarkEnd w:id="1123"/>
      <w:r>
        <w:rPr>
          <w:b/>
          <w:i w:val="0"/>
        </w:rPr>
        <w:t>physici</w:t>
      </w:r>
      <w:r>
        <w:rPr>
          <w:b/>
          <w:i w:val="0"/>
        </w:rPr>
        <w:t>.</w:t>
      </w:r>
      <w:r>
        <w:rPr>
          <w:b w:val="0"/>
          <w:i w:val="0"/>
        </w:rPr>
        <w:t xml:space="preserve"> Printed forms: </w:t>
      </w:r>
      <w:r>
        <w:rPr>
          <w:b w:val="0"/>
          <w:i/>
        </w:rPr>
        <w:t>physici</w:t>
      </w:r>
      <w:r>
        <w:rPr>
          <w:b w:val="0"/>
          <w:i w:val="0"/>
        </w:rPr>
        <w:t xml:space="preserve">; </w:t>
      </w:r>
      <w:r>
        <w:rPr>
          <w:b w:val="0"/>
          <w:i/>
        </w:rPr>
        <w:t>physicis</w:t>
      </w:r>
      <w:r>
        <w:rPr>
          <w:b w:val="0"/>
          <w:i w:val="0"/>
        </w:rPr>
        <w:t>.</w:t>
      </w:r>
    </w:p>
    <w:p>
      <w:pPr>
        <w:widowControl/>
      </w:pPr>
      <w:r>
        <w:rPr>
          <w:b w:val="0"/>
          <w:i w:val="0"/>
        </w:rPr>
        <w:t xml:space="preserve">Natural philosophers, as a collective authority. They are reported as calling form act and as favouring existing realization of cosmic possibilities; these are specific attributed views, not claims about every philosopher of nature. References: </w:t>
      </w:r>
      <w:hyperlink w:anchor="passage-i-3-1">
        <w:r>
          <w:rPr>
            <w:color w:val="000000"/>
          </w:rPr>
          <w:t xml:space="preserve">I.3.1</w:t>
        </w:r>
      </w:hyperlink>
      <w:r>
        <w:rPr>
          <w:b w:val="0"/>
          <w:i w:val="0"/>
        </w:rPr>
        <w:t xml:space="preserve">, </w:t>
      </w:r>
      <w:hyperlink w:anchor="passage-i-3-25">
        <w:r>
          <w:rPr>
            <w:color w:val="000000"/>
          </w:rPr>
          <w:t xml:space="preserve">I.3.25</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1124" w:name="latin-record-0873"/>
      <w:bookmarkEnd w:id="1124"/>
      <w:r>
        <w:rPr>
          <w:b/>
          <w:i w:val="0"/>
        </w:rPr>
        <w:t>pictura</w:t>
      </w:r>
      <w:r>
        <w:rPr>
          <w:b/>
          <w:i w:val="0"/>
        </w:rPr>
        <w:t>.</w:t>
      </w:r>
      <w:r>
        <w:rPr>
          <w:b w:val="0"/>
          <w:i w:val="0"/>
        </w:rPr>
        <w:t xml:space="preserve"> Printed forms: </w:t>
      </w:r>
      <w:r>
        <w:rPr>
          <w:b w:val="0"/>
          <w:i/>
        </w:rPr>
        <w:t>picturae</w:t>
      </w:r>
      <w:r>
        <w:rPr>
          <w:b w:val="0"/>
          <w:i w:val="0"/>
        </w:rPr>
        <w:t>.</w:t>
      </w:r>
    </w:p>
    <w:p>
      <w:pPr>
        <w:widowControl/>
      </w:pPr>
      <w:r>
        <w:rPr>
          <w:b w:val="0"/>
          <w:i w:val="0"/>
        </w:rPr>
        <w:t xml:space="preserve">Painting or painted decoration. Later decoration exemplifies additions arranged by ideas other than the original house-plan. References: </w:t>
      </w:r>
      <w:hyperlink w:anchor="passage-ii-11-21">
        <w:r>
          <w:rPr>
            <w:color w:val="000000"/>
          </w:rPr>
          <w:t xml:space="preserve">II.11.21</w:t>
        </w:r>
      </w:hyperlink>
      <w:r>
        <w:rPr>
          <w:b w:val="0"/>
          <w:i w:val="0"/>
        </w:rPr>
        <w:t xml:space="preserve">. See </w:t>
      </w:r>
      <w:hyperlink w:anchor="architect-and-house">
        <w:r>
          <w:rPr>
            <w:color w:val="000000"/>
          </w:rPr>
          <w:t xml:space="preserve">Architect, house and decoration</w:t>
        </w:r>
      </w:hyperlink>
      <w:r>
        <w:rPr>
          <w:b w:val="0"/>
          <w:i w:val="0"/>
        </w:rPr>
        <w:t>.</w:t>
      </w:r>
    </w:p>
    <w:p>
      <w:pPr>
        <w:keepNext/>
        <w:widowControl/>
      </w:pPr>
      <w:bookmarkStart w:id="1125" w:name="latin-record-0874"/>
      <w:bookmarkEnd w:id="1125"/>
      <w:r>
        <w:rPr>
          <w:b/>
          <w:i w:val="0"/>
        </w:rPr>
        <w:t>pietas / pius</w:t>
      </w:r>
      <w:r>
        <w:rPr>
          <w:b/>
          <w:i w:val="0"/>
        </w:rPr>
        <w:t>.</w:t>
      </w:r>
      <w:r>
        <w:rPr>
          <w:b w:val="0"/>
          <w:i w:val="0"/>
        </w:rPr>
        <w:t xml:space="preserve"> Printed forms: </w:t>
      </w:r>
      <w:r>
        <w:rPr>
          <w:b w:val="0"/>
          <w:i/>
        </w:rPr>
        <w:t>pietate</w:t>
      </w:r>
      <w:r>
        <w:rPr>
          <w:b w:val="0"/>
          <w:i w:val="0"/>
        </w:rPr>
        <w:t xml:space="preserve">; </w:t>
      </w:r>
      <w:r>
        <w:rPr>
          <w:b w:val="0"/>
          <w:i/>
        </w:rPr>
        <w:t>pietatis</w:t>
      </w:r>
      <w:r>
        <w:rPr>
          <w:b w:val="0"/>
          <w:i w:val="0"/>
        </w:rPr>
        <w:t xml:space="preserve">; </w:t>
      </w:r>
      <w:r>
        <w:rPr>
          <w:b w:val="0"/>
          <w:i/>
        </w:rPr>
        <w:t>pium</w:t>
      </w:r>
      <w:r>
        <w:rPr>
          <w:b w:val="0"/>
          <w:i w:val="0"/>
        </w:rPr>
        <w:t xml:space="preserve">; </w:t>
      </w:r>
      <w:r>
        <w:rPr>
          <w:b w:val="0"/>
          <w:i/>
        </w:rPr>
        <w:t>piumque</w:t>
      </w:r>
      <w:r>
        <w:rPr>
          <w:b w:val="0"/>
          <w:i w:val="0"/>
        </w:rPr>
        <w:t>.</w:t>
      </w:r>
    </w:p>
    <w:p>
      <w:pPr>
        <w:widowControl/>
      </w:pPr>
      <w:r>
        <w:rPr>
          <w:b w:val="0"/>
          <w:i w:val="0"/>
        </w:rPr>
        <w:t xml:space="preserve">Piety or a pious relation and duty. Ficino represents the unification of philosophical inquiry with contemplation and worship as Plato’s piety, not merely an inference about theoretical knowledge. References: </w:t>
      </w:r>
      <w:hyperlink w:anchor="passage-proem-1">
        <w:r>
          <w:rPr>
            <w:color w:val="000000"/>
          </w:rPr>
          <w:t xml:space="preserve">Proem.1</w:t>
        </w:r>
      </w:hyperlink>
      <w:r>
        <w:rPr>
          <w:b w:val="0"/>
          <w:i w:val="0"/>
        </w:rPr>
        <w:t xml:space="preserve">, </w:t>
      </w:r>
      <w:hyperlink w:anchor="passage-proem-3">
        <w:r>
          <w:rPr>
            <w:color w:val="000000"/>
          </w:rPr>
          <w:t xml:space="preserve">Proem.3</w:t>
        </w:r>
      </w:hyperlink>
      <w:r>
        <w:rPr>
          <w:b w:val="0"/>
          <w:i w:val="0"/>
        </w:rPr>
        <w:t xml:space="preserve">, </w:t>
      </w:r>
      <w:hyperlink w:anchor="passage-proem-5">
        <w:r>
          <w:rPr>
            <w:color w:val="000000"/>
          </w:rPr>
          <w:t xml:space="preserve">Proem.5</w:t>
        </w:r>
      </w:hyperlink>
      <w:r>
        <w:rPr>
          <w:b w:val="0"/>
          <w:i w:val="0"/>
        </w:rPr>
        <w:t xml:space="preserve">. See </w:t>
      </w:r>
      <w:hyperlink w:anchor="worship-and-piety">
        <w:r>
          <w:rPr>
            <w:color w:val="000000"/>
          </w:rPr>
          <w:t xml:space="preserve">Worship and piety</w:t>
        </w:r>
      </w:hyperlink>
      <w:r>
        <w:rPr>
          <w:b w:val="0"/>
          <w:i w:val="0"/>
        </w:rPr>
        <w:t>.</w:t>
      </w:r>
    </w:p>
    <w:p>
      <w:pPr>
        <w:keepNext/>
        <w:widowControl/>
      </w:pPr>
      <w:bookmarkStart w:id="1126" w:name="latin-record-0875"/>
      <w:bookmarkEnd w:id="1126"/>
      <w:r>
        <w:rPr>
          <w:b/>
          <w:i w:val="0"/>
        </w:rPr>
        <w:t>piger</w:t>
      </w:r>
      <w:r>
        <w:rPr>
          <w:b/>
          <w:i w:val="0"/>
        </w:rPr>
        <w:t>.</w:t>
      </w:r>
      <w:r>
        <w:rPr>
          <w:b w:val="0"/>
          <w:i w:val="0"/>
        </w:rPr>
        <w:t xml:space="preserve"> Printed forms: </w:t>
      </w:r>
      <w:r>
        <w:rPr>
          <w:b w:val="0"/>
          <w:i/>
        </w:rPr>
        <w:t>pigras</w:t>
      </w:r>
      <w:r>
        <w:rPr>
          <w:b w:val="0"/>
          <w:i w:val="0"/>
        </w:rPr>
        <w:t>.</w:t>
      </w:r>
    </w:p>
    <w:p>
      <w:pPr>
        <w:widowControl/>
      </w:pPr>
      <w:r>
        <w:rPr>
          <w:b w:val="0"/>
          <w:i w:val="0"/>
        </w:rPr>
        <w:t xml:space="preserve">Sluggish or inert. Dimensions are called sluggish relative to the effective motion of quality and time, supporting the reported a-fortiori argument. References: </w:t>
      </w:r>
      <w:hyperlink w:anchor="passage-ii-6-20">
        <w:r>
          <w:rPr>
            <w:color w:val="000000"/>
          </w:rPr>
          <w:t xml:space="preserve">II.6.20</w:t>
        </w:r>
      </w:hyperlink>
      <w:r>
        <w:rPr>
          <w:b w:val="0"/>
          <w:i w:val="0"/>
        </w:rPr>
        <w:t xml:space="preserve">. See </w:t>
      </w:r>
      <w:hyperlink w:anchor="quantity-and-dimension">
        <w:r>
          <w:rPr>
            <w:color w:val="000000"/>
          </w:rPr>
          <w:t xml:space="preserve">Quantity and dimension</w:t>
        </w:r>
      </w:hyperlink>
      <w:r>
        <w:rPr>
          <w:b w:val="0"/>
          <w:i w:val="0"/>
        </w:rPr>
        <w:t>.</w:t>
      </w:r>
    </w:p>
    <w:p>
      <w:pPr>
        <w:keepNext/>
        <w:widowControl/>
      </w:pPr>
      <w:bookmarkStart w:id="1127" w:name="latin-record-0876"/>
      <w:bookmarkEnd w:id="1127"/>
      <w:r>
        <w:rPr>
          <w:b/>
          <w:i w:val="0"/>
        </w:rPr>
        <w:t>pingere / figurare</w:t>
      </w:r>
      <w:r>
        <w:rPr>
          <w:b/>
          <w:i w:val="0"/>
        </w:rPr>
        <w:t>.</w:t>
      </w:r>
      <w:r>
        <w:rPr>
          <w:b w:val="0"/>
          <w:i w:val="0"/>
        </w:rPr>
        <w:t xml:space="preserve"> Printed forms: </w:t>
      </w:r>
      <w:r>
        <w:rPr>
          <w:b w:val="0"/>
          <w:i/>
        </w:rPr>
        <w:t>figurant</w:t>
      </w:r>
      <w:r>
        <w:rPr>
          <w:b w:val="0"/>
          <w:i w:val="0"/>
        </w:rPr>
        <w:t xml:space="preserve">; </w:t>
      </w:r>
      <w:r>
        <w:rPr>
          <w:b w:val="0"/>
          <w:i/>
        </w:rPr>
        <w:t>pingunt</w:t>
      </w:r>
      <w:r>
        <w:rPr>
          <w:b w:val="0"/>
          <w:i w:val="0"/>
        </w:rPr>
        <w:t>.</w:t>
      </w:r>
    </w:p>
    <w:p>
      <w:pPr>
        <w:widowControl/>
      </w:pPr>
      <w:r>
        <w:rPr>
          <w:b w:val="0"/>
          <w:i w:val="0"/>
        </w:rPr>
        <w:t xml:space="preserve">To paint and give figure. The souls of creatures adorn their bodies through implanted seeds under the sphere-soul’s guidance. References: </w:t>
      </w:r>
      <w:hyperlink w:anchor="passage-iv-1-34">
        <w:r>
          <w:rPr>
            <w:color w:val="000000"/>
          </w:rPr>
          <w:t xml:space="preserve">IV.1.34</w:t>
        </w:r>
      </w:hyperlink>
      <w:r>
        <w:rPr>
          <w:b w:val="0"/>
          <w:i w:val="0"/>
        </w:rPr>
        <w:t xml:space="preserve">. See </w:t>
      </w:r>
      <w:hyperlink w:anchor="beauty-and-fittingness">
        <w:r>
          <w:rPr>
            <w:color w:val="000000"/>
          </w:rPr>
          <w:t xml:space="preserve">Beauty and fittingness</w:t>
        </w:r>
      </w:hyperlink>
      <w:r>
        <w:rPr>
          <w:b w:val="0"/>
          <w:i w:val="0"/>
        </w:rPr>
        <w:t>.</w:t>
      </w:r>
    </w:p>
    <w:p>
      <w:pPr>
        <w:keepNext/>
        <w:widowControl/>
      </w:pPr>
      <w:bookmarkStart w:id="1128" w:name="latin-record-0877"/>
      <w:bookmarkEnd w:id="1128"/>
      <w:r>
        <w:rPr>
          <w:b/>
          <w:i w:val="0"/>
        </w:rPr>
        <w:t>placere / displicere</w:t>
      </w:r>
      <w:r>
        <w:rPr>
          <w:b/>
          <w:i w:val="0"/>
        </w:rPr>
        <w:t>.</w:t>
      </w:r>
      <w:r>
        <w:rPr>
          <w:b w:val="0"/>
          <w:i w:val="0"/>
        </w:rPr>
        <w:t xml:space="preserve"> Printed forms: </w:t>
      </w:r>
      <w:r>
        <w:rPr>
          <w:b w:val="0"/>
          <w:i/>
        </w:rPr>
        <w:t>displicet</w:t>
      </w:r>
      <w:r>
        <w:rPr>
          <w:b w:val="0"/>
          <w:i w:val="0"/>
        </w:rPr>
        <w:t xml:space="preserve">; </w:t>
      </w:r>
      <w:r>
        <w:rPr>
          <w:b w:val="0"/>
          <w:i/>
        </w:rPr>
        <w:t>placet</w:t>
      </w:r>
      <w:r>
        <w:rPr>
          <w:b w:val="0"/>
          <w:i w:val="0"/>
        </w:rPr>
        <w:t>.</w:t>
      </w:r>
    </w:p>
    <w:p>
      <w:pPr>
        <w:widowControl/>
      </w:pPr>
      <w:r>
        <w:rPr>
          <w:b w:val="0"/>
          <w:i w:val="0"/>
        </w:rPr>
        <w:t xml:space="preserve">Please or satisfy / displease. Participation in good is linked to self-contentment; the Good itself is therefore said to will and delight in itself supremely. References: </w:t>
      </w:r>
      <w:hyperlink w:anchor="passage-ii-12-6">
        <w:r>
          <w:rPr>
            <w:color w:val="000000"/>
          </w:rPr>
          <w:t xml:space="preserve">II.12.6</w:t>
        </w:r>
      </w:hyperlink>
      <w:r>
        <w:rPr>
          <w:b w:val="0"/>
          <w:i w:val="0"/>
        </w:rPr>
        <w:t xml:space="preserve">. See </w:t>
      </w:r>
      <w:hyperlink w:anchor="love-and-pleasure">
        <w:r>
          <w:rPr>
            <w:color w:val="000000"/>
          </w:rPr>
          <w:t xml:space="preserve">Love and pleasure</w:t>
        </w:r>
      </w:hyperlink>
      <w:r>
        <w:rPr>
          <w:b w:val="0"/>
          <w:i w:val="0"/>
        </w:rPr>
        <w:t>.</w:t>
      </w:r>
    </w:p>
    <w:p>
      <w:pPr>
        <w:keepNext/>
        <w:widowControl/>
      </w:pPr>
      <w:bookmarkStart w:id="1129" w:name="latin-record-0878"/>
      <w:bookmarkEnd w:id="1129"/>
      <w:r>
        <w:rPr>
          <w:b/>
          <w:i w:val="0"/>
        </w:rPr>
        <w:t>placere / libenter</w:t>
      </w:r>
      <w:r>
        <w:rPr>
          <w:b/>
          <w:i w:val="0"/>
        </w:rPr>
        <w:t>.</w:t>
      </w:r>
      <w:r>
        <w:rPr>
          <w:b w:val="0"/>
          <w:i w:val="0"/>
        </w:rPr>
        <w:t xml:space="preserve"> Printed forms: </w:t>
      </w:r>
      <w:r>
        <w:rPr>
          <w:b w:val="0"/>
          <w:i/>
        </w:rPr>
        <w:t>libenter</w:t>
      </w:r>
      <w:r>
        <w:rPr>
          <w:b w:val="0"/>
          <w:i w:val="0"/>
        </w:rPr>
        <w:t xml:space="preserve">; </w:t>
      </w:r>
      <w:r>
        <w:rPr>
          <w:b w:val="0"/>
          <w:i/>
        </w:rPr>
        <w:t>placet</w:t>
      </w:r>
      <w:r>
        <w:rPr>
          <w:b w:val="0"/>
          <w:i w:val="0"/>
        </w:rPr>
        <w:t>.</w:t>
      </w:r>
    </w:p>
    <w:p>
      <w:pPr>
        <w:widowControl/>
      </w:pPr>
      <w:r>
        <w:rPr>
          <w:b w:val="0"/>
          <w:i w:val="0"/>
        </w:rPr>
        <w:t xml:space="preserve">To please or be approved; willingly or gladly. </w:t>
      </w:r>
      <w:r>
        <w:t>“</w:t>
      </w:r>
      <w:r>
        <w:rPr>
          <w:b w:val="0"/>
          <w:i w:val="0"/>
        </w:rPr>
        <w:t>If you please</w:t>
      </w:r>
      <w:r>
        <w:t>”</w:t>
      </w:r>
      <w:r>
        <w:rPr>
          <w:b w:val="0"/>
          <w:i w:val="0"/>
        </w:rPr>
        <w:t xml:space="preserve"> introduces a hypothetical concession, while </w:t>
      </w:r>
      <w:r>
        <w:t>“</w:t>
      </w:r>
      <w:r>
        <w:rPr>
          <w:b w:val="0"/>
          <w:i w:val="0"/>
        </w:rPr>
        <w:t>as the natural philosophers hold</w:t>
      </w:r>
      <w:r>
        <w:t>”</w:t>
      </w:r>
      <w:r>
        <w:rPr>
          <w:b w:val="0"/>
          <w:i w:val="0"/>
        </w:rPr>
        <w:t xml:space="preserve"> attributes an explanatory position. References: </w:t>
      </w:r>
      <w:hyperlink w:anchor="passage-ii-2-1">
        <w:r>
          <w:rPr>
            <w:color w:val="000000"/>
          </w:rPr>
          <w:t xml:space="preserve">II.2.1</w:t>
        </w:r>
      </w:hyperlink>
      <w:r>
        <w:rPr>
          <w:b w:val="0"/>
          <w:i w:val="0"/>
        </w:rPr>
        <w:t xml:space="preserve">, </w:t>
      </w:r>
      <w:hyperlink w:anchor="passage-ii-3-10">
        <w:r>
          <w:rPr>
            <w:color w:val="000000"/>
          </w:rPr>
          <w:t xml:space="preserve">II.3.10</w:t>
        </w:r>
      </w:hyperlink>
      <w:r>
        <w:rPr>
          <w:b w:val="0"/>
          <w:i w:val="0"/>
        </w:rPr>
        <w:t xml:space="preserve">, </w:t>
      </w:r>
      <w:hyperlink w:anchor="passage-ii-4-8">
        <w:r>
          <w:rPr>
            <w:color w:val="000000"/>
          </w:rPr>
          <w:t xml:space="preserve">II.4.8</w:t>
        </w:r>
      </w:hyperlink>
      <w:r>
        <w:rPr>
          <w:b w:val="0"/>
          <w:i w:val="0"/>
        </w:rPr>
        <w:t xml:space="preserve">. See </w:t>
      </w:r>
      <w:hyperlink w:anchor="agreement-and-hypothetical-concession">
        <w:r>
          <w:rPr>
            <w:color w:val="000000"/>
          </w:rPr>
          <w:t xml:space="preserve">Agreement and hypothetical concession</w:t>
        </w:r>
      </w:hyperlink>
      <w:r>
        <w:rPr>
          <w:b w:val="0"/>
          <w:i w:val="0"/>
        </w:rPr>
        <w:t>.</w:t>
      </w:r>
    </w:p>
    <w:p>
      <w:pPr>
        <w:keepNext/>
        <w:widowControl/>
      </w:pPr>
      <w:bookmarkStart w:id="1130" w:name="latin-record-0879"/>
      <w:bookmarkEnd w:id="1130"/>
      <w:r>
        <w:rPr>
          <w:b/>
          <w:i w:val="0"/>
        </w:rPr>
        <w:t>planta / animal</w:t>
      </w:r>
      <w:r>
        <w:rPr>
          <w:b/>
          <w:i w:val="0"/>
        </w:rPr>
        <w:t>.</w:t>
      </w:r>
      <w:r>
        <w:rPr>
          <w:b w:val="0"/>
          <w:i w:val="0"/>
        </w:rPr>
        <w:t xml:space="preserve"> Printed forms: </w:t>
      </w:r>
      <w:r>
        <w:rPr>
          <w:b w:val="0"/>
          <w:i/>
        </w:rPr>
        <w:t>animalis</w:t>
      </w:r>
      <w:r>
        <w:rPr>
          <w:b w:val="0"/>
          <w:i w:val="0"/>
        </w:rPr>
        <w:t xml:space="preserve">; </w:t>
      </w:r>
      <w:r>
        <w:rPr>
          <w:b w:val="0"/>
          <w:i/>
        </w:rPr>
        <w:t>plantarum</w:t>
      </w:r>
      <w:r>
        <w:rPr>
          <w:b w:val="0"/>
          <w:i w:val="0"/>
        </w:rPr>
        <w:t>.</w:t>
      </w:r>
    </w:p>
    <w:p>
      <w:pPr>
        <w:widowControl/>
      </w:pPr>
      <w:r>
        <w:rPr>
          <w:b w:val="0"/>
          <w:i w:val="0"/>
        </w:rPr>
        <w:t xml:space="preserve">Plant / animal. Life without cognition and cognition without intelligence distinguish two illustrative modes of imitation; these are Ficino’s hierarchical examples. References: </w:t>
      </w:r>
      <w:hyperlink w:anchor="passage-ii-11-17">
        <w:r>
          <w:rPr>
            <w:color w:val="000000"/>
          </w:rPr>
          <w:t xml:space="preserve">II.11.17</w:t>
        </w:r>
      </w:hyperlink>
      <w:r>
        <w:rPr>
          <w:b w:val="0"/>
          <w:i w:val="0"/>
        </w:rPr>
        <w:t xml:space="preserve">. See </w:t>
      </w:r>
      <w:hyperlink w:anchor="life">
        <w:r>
          <w:rPr>
            <w:color w:val="000000"/>
          </w:rPr>
          <w:t xml:space="preserve">Life</w:t>
        </w:r>
      </w:hyperlink>
      <w:r>
        <w:rPr>
          <w:b w:val="0"/>
          <w:i w:val="0"/>
        </w:rPr>
        <w:t>.</w:t>
      </w:r>
    </w:p>
    <w:p>
      <w:pPr>
        <w:keepNext/>
        <w:widowControl/>
      </w:pPr>
      <w:bookmarkStart w:id="1131" w:name="latin-record-0880"/>
      <w:bookmarkEnd w:id="1131"/>
      <w:r>
        <w:rPr>
          <w:b/>
          <w:i w:val="0"/>
        </w:rPr>
        <w:t>Plato / Platonici</w:t>
      </w:r>
      <w:r>
        <w:rPr>
          <w:b/>
          <w:i w:val="0"/>
        </w:rPr>
        <w:t>.</w:t>
      </w:r>
      <w:r>
        <w:rPr>
          <w:b w:val="0"/>
          <w:i w:val="0"/>
        </w:rPr>
        <w:t xml:space="preserve"> Printed forms: </w:t>
      </w:r>
      <w:r>
        <w:rPr>
          <w:b w:val="0"/>
          <w:i/>
        </w:rPr>
        <w:t>Plato</w:t>
      </w:r>
      <w:r>
        <w:rPr>
          <w:b w:val="0"/>
          <w:i w:val="0"/>
        </w:rPr>
        <w:t xml:space="preserve">; </w:t>
      </w:r>
      <w:r>
        <w:rPr>
          <w:b w:val="0"/>
          <w:i/>
        </w:rPr>
        <w:t>Platonici</w:t>
      </w:r>
      <w:r>
        <w:rPr>
          <w:b w:val="0"/>
          <w:i w:val="0"/>
        </w:rPr>
        <w:t xml:space="preserve">; </w:t>
      </w:r>
      <w:r>
        <w:rPr>
          <w:b w:val="0"/>
          <w:i/>
        </w:rPr>
        <w:t>Platonicorumque</w:t>
      </w:r>
      <w:r>
        <w:rPr>
          <w:b w:val="0"/>
          <w:i w:val="0"/>
        </w:rPr>
        <w:t xml:space="preserve">; </w:t>
      </w:r>
      <w:r>
        <w:rPr>
          <w:b w:val="0"/>
          <w:i/>
        </w:rPr>
        <w:t>Platonis</w:t>
      </w:r>
      <w:r>
        <w:rPr>
          <w:b w:val="0"/>
          <w:i w:val="0"/>
        </w:rPr>
        <w:t>.</w:t>
      </w:r>
    </w:p>
    <w:p>
      <w:pPr>
        <w:widowControl/>
      </w:pPr>
      <w:r>
        <w:rPr>
          <w:b w:val="0"/>
          <w:i w:val="0"/>
        </w:rPr>
        <w:t xml:space="preserve">Plato / the Platonists, as attributed authorities. Claims about ideas, providence, and graded being are explicitly assigned to these authorities; Ficino’s representation is distinct from independent source verification. References: </w:t>
      </w:r>
      <w:hyperlink w:anchor="passage-ii-11-22">
        <w:r>
          <w:rPr>
            <w:color w:val="000000"/>
          </w:rPr>
          <w:t xml:space="preserve">II.11.22</w:t>
        </w:r>
      </w:hyperlink>
      <w:r>
        <w:rPr>
          <w:b w:val="0"/>
          <w:i w:val="0"/>
        </w:rPr>
        <w:t xml:space="preserve">, </w:t>
      </w:r>
      <w:hyperlink w:anchor="passage-ii-13-24">
        <w:r>
          <w:rPr>
            <w:color w:val="000000"/>
          </w:rPr>
          <w:t xml:space="preserve">II.13.24</w:t>
        </w:r>
      </w:hyperlink>
      <w:r>
        <w:rPr>
          <w:b w:val="0"/>
          <w:i w:val="0"/>
        </w:rPr>
        <w:t xml:space="preserve">, </w:t>
      </w:r>
      <w:hyperlink w:anchor="passage-iii-2-2">
        <w:r>
          <w:rPr>
            <w:color w:val="000000"/>
          </w:rPr>
          <w:t xml:space="preserve">III.2.2</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1132" w:name="latin-record-0881"/>
      <w:bookmarkEnd w:id="1132"/>
      <w:r>
        <w:rPr>
          <w:b/>
          <w:i w:val="0"/>
        </w:rPr>
        <w:t>Plato / Platonici / philosophi / physici</w:t>
      </w:r>
      <w:r>
        <w:rPr>
          <w:b/>
          <w:i w:val="0"/>
        </w:rPr>
        <w:t>.</w:t>
      </w:r>
      <w:r>
        <w:rPr>
          <w:b w:val="0"/>
          <w:i w:val="0"/>
        </w:rPr>
        <w:t xml:space="preserve"> Printed forms: </w:t>
      </w:r>
      <w:r>
        <w:rPr>
          <w:b w:val="0"/>
          <w:i/>
        </w:rPr>
        <w:t>metaphysici</w:t>
      </w:r>
      <w:r>
        <w:rPr>
          <w:b w:val="0"/>
          <w:i w:val="0"/>
        </w:rPr>
        <w:t xml:space="preserve">; </w:t>
      </w:r>
      <w:r>
        <w:rPr>
          <w:b w:val="0"/>
          <w:i/>
        </w:rPr>
        <w:t>physicis</w:t>
      </w:r>
      <w:r>
        <w:rPr>
          <w:b w:val="0"/>
          <w:i w:val="0"/>
        </w:rPr>
        <w:t xml:space="preserve">; </w:t>
      </w:r>
      <w:r>
        <w:rPr>
          <w:b w:val="0"/>
          <w:i/>
        </w:rPr>
        <w:t>Platonici</w:t>
      </w:r>
      <w:r>
        <w:rPr>
          <w:b w:val="0"/>
          <w:i w:val="0"/>
        </w:rPr>
        <w:t xml:space="preserve">; </w:t>
      </w:r>
      <w:r>
        <w:rPr>
          <w:b w:val="0"/>
          <w:i/>
        </w:rPr>
        <w:t>Platonis</w:t>
      </w:r>
      <w:r>
        <w:rPr>
          <w:b w:val="0"/>
          <w:i w:val="0"/>
        </w:rPr>
        <w:t>.</w:t>
      </w:r>
    </w:p>
    <w:p>
      <w:pPr>
        <w:widowControl/>
      </w:pPr>
      <w:r>
        <w:rPr>
          <w:b w:val="0"/>
          <w:i w:val="0"/>
        </w:rPr>
        <w:t xml:space="preserve">Named or grouped philosophical authorities, not a single unanimous voice. Ficino sometimes adopts, sometimes reports, and sometimes rejects positions attributed to these groups; attribution must be preserved. References: </w:t>
      </w:r>
      <w:hyperlink w:anchor="passage-ii-1-7">
        <w:r>
          <w:rPr>
            <w:color w:val="000000"/>
          </w:rPr>
          <w:t xml:space="preserve">II.1.7</w:t>
        </w:r>
      </w:hyperlink>
      <w:r>
        <w:rPr>
          <w:b w:val="0"/>
          <w:i w:val="0"/>
        </w:rPr>
        <w:t xml:space="preserve">, </w:t>
      </w:r>
      <w:hyperlink w:anchor="passage-ii-2-4">
        <w:r>
          <w:rPr>
            <w:color w:val="000000"/>
          </w:rPr>
          <w:t xml:space="preserve">II.2.4</w:t>
        </w:r>
      </w:hyperlink>
      <w:r>
        <w:rPr>
          <w:b w:val="0"/>
          <w:i w:val="0"/>
        </w:rPr>
        <w:t xml:space="preserve">, </w:t>
      </w:r>
      <w:hyperlink w:anchor="passage-ii-4-8">
        <w:r>
          <w:rPr>
            <w:color w:val="000000"/>
          </w:rPr>
          <w:t xml:space="preserve">II.4.8</w:t>
        </w:r>
      </w:hyperlink>
      <w:r>
        <w:rPr>
          <w:b w:val="0"/>
          <w:i w:val="0"/>
        </w:rPr>
        <w:t xml:space="preserve">, </w:t>
      </w:r>
      <w:hyperlink w:anchor="passage-ii-6-6">
        <w:r>
          <w:rPr>
            <w:color w:val="000000"/>
          </w:rPr>
          <w:t xml:space="preserve">II.6.6</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1133" w:name="latin-record-0882"/>
      <w:bookmarkEnd w:id="1133"/>
      <w:r>
        <w:rPr>
          <w:b/>
          <w:i w:val="0"/>
        </w:rPr>
        <w:t>Platonica / Latina facere</w:t>
      </w:r>
      <w:r>
        <w:rPr>
          <w:b/>
          <w:i w:val="0"/>
        </w:rPr>
        <w:t>.</w:t>
      </w:r>
      <w:r>
        <w:rPr>
          <w:b w:val="0"/>
          <w:i w:val="0"/>
        </w:rPr>
        <w:t xml:space="preserve"> Printed forms: </w:t>
      </w:r>
      <w:r>
        <w:rPr>
          <w:b w:val="0"/>
          <w:i/>
        </w:rPr>
        <w:t>Latina feci</w:t>
      </w:r>
      <w:r>
        <w:rPr>
          <w:b w:val="0"/>
          <w:i w:val="0"/>
        </w:rPr>
        <w:t xml:space="preserve">; </w:t>
      </w:r>
      <w:r>
        <w:rPr>
          <w:b w:val="0"/>
          <w:i/>
        </w:rPr>
        <w:t>Platonica</w:t>
      </w:r>
      <w:r>
        <w:rPr>
          <w:b w:val="0"/>
          <w:i w:val="0"/>
        </w:rPr>
        <w:t>.</w:t>
      </w:r>
    </w:p>
    <w:p>
      <w:pPr>
        <w:widowControl/>
      </w:pPr>
      <w:r>
        <w:rPr>
          <w:b w:val="0"/>
          <w:i w:val="0"/>
        </w:rPr>
        <w:t xml:space="preserve">Platonic works, and making them Latin by translation. Ficino claims to have translated all the Platonic works long before; this is his authorial statement, not an independent bibliographical audit. References: </w:t>
      </w:r>
      <w:hyperlink w:anchor="passage-proem-5">
        <w:r>
          <w:rPr>
            <w:color w:val="000000"/>
          </w:rPr>
          <w:t xml:space="preserve">Proem.5</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1134" w:name="latin-record-0883"/>
      <w:bookmarkEnd w:id="1134"/>
      <w:r>
        <w:rPr>
          <w:b/>
          <w:i w:val="0"/>
        </w:rPr>
        <w:t>plenitudo</w:t>
      </w:r>
      <w:r>
        <w:rPr>
          <w:b/>
          <w:i w:val="0"/>
        </w:rPr>
        <w:t>.</w:t>
      </w:r>
      <w:r>
        <w:rPr>
          <w:b w:val="0"/>
          <w:i w:val="0"/>
        </w:rPr>
        <w:t xml:space="preserve"> Printed forms: </w:t>
      </w:r>
      <w:r>
        <w:rPr>
          <w:b w:val="0"/>
          <w:i/>
        </w:rPr>
        <w:t>plenitudinem</w:t>
      </w:r>
      <w:r>
        <w:rPr>
          <w:b w:val="0"/>
          <w:i w:val="0"/>
        </w:rPr>
        <w:t>.</w:t>
      </w:r>
    </w:p>
    <w:p>
      <w:pPr>
        <w:widowControl/>
      </w:pPr>
      <w:r>
        <w:rPr>
          <w:b w:val="0"/>
          <w:i w:val="0"/>
        </w:rPr>
        <w:t xml:space="preserve">Fullness. The sun comparison distinguishes the first luminous source’s fullness from what subordinate luminous beings receive. References: </w:t>
      </w:r>
      <w:hyperlink w:anchor="passage-i-3-3">
        <w:r>
          <w:rPr>
            <w:color w:val="000000"/>
          </w:rPr>
          <w:t xml:space="preserve">I.3.3</w:t>
        </w:r>
      </w:hyperlink>
      <w:r>
        <w:rPr>
          <w:b w:val="0"/>
          <w:i w:val="0"/>
        </w:rPr>
        <w:t xml:space="preserve">. See </w:t>
      </w:r>
      <w:hyperlink w:anchor="perfection">
        <w:r>
          <w:rPr>
            <w:color w:val="000000"/>
          </w:rPr>
          <w:t xml:space="preserve">Perfection</w:t>
        </w:r>
      </w:hyperlink>
      <w:r>
        <w:rPr>
          <w:b w:val="0"/>
          <w:i w:val="0"/>
        </w:rPr>
        <w:t>.</w:t>
      </w:r>
    </w:p>
    <w:p>
      <w:pPr>
        <w:keepNext/>
        <w:widowControl/>
      </w:pPr>
      <w:bookmarkStart w:id="1135" w:name="latin-record-0884"/>
      <w:bookmarkEnd w:id="1135"/>
      <w:r>
        <w:rPr>
          <w:b/>
          <w:i w:val="0"/>
        </w:rPr>
        <w:t>Plotinus</w:t>
      </w:r>
      <w:r>
        <w:rPr>
          <w:b/>
          <w:i w:val="0"/>
        </w:rPr>
        <w:t>.</w:t>
      </w:r>
      <w:r>
        <w:rPr>
          <w:b w:val="0"/>
          <w:i w:val="0"/>
        </w:rPr>
        <w:t xml:space="preserve"> Printed forms: </w:t>
      </w:r>
      <w:r>
        <w:rPr>
          <w:b w:val="0"/>
          <w:i/>
        </w:rPr>
        <w:t>Plotini</w:t>
      </w:r>
      <w:r>
        <w:rPr>
          <w:b w:val="0"/>
          <w:i w:val="0"/>
        </w:rPr>
        <w:t xml:space="preserve">; </w:t>
      </w:r>
      <w:r>
        <w:rPr>
          <w:b w:val="0"/>
          <w:i/>
        </w:rPr>
        <w:t>Plotinus</w:t>
      </w:r>
      <w:r>
        <w:rPr>
          <w:b w:val="0"/>
          <w:i w:val="0"/>
        </w:rPr>
        <w:t>.</w:t>
      </w:r>
    </w:p>
    <w:p>
      <w:pPr>
        <w:widowControl/>
      </w:pPr>
      <w:r>
        <w:rPr>
          <w:b w:val="0"/>
          <w:i w:val="0"/>
        </w:rPr>
        <w:t xml:space="preserve">Plotinus as reported authority or named manner of speaking. One passage reports radically passive matter and quality; another uses Plotinian idiom for divine intellection without an external subject or object. The two contexts should remain distinct. References: </w:t>
      </w:r>
      <w:hyperlink w:anchor="passage-i-3-19">
        <w:r>
          <w:rPr>
            <w:color w:val="000000"/>
          </w:rPr>
          <w:t xml:space="preserve">I.3.19</w:t>
        </w:r>
      </w:hyperlink>
      <w:r>
        <w:rPr>
          <w:b w:val="0"/>
          <w:i w:val="0"/>
        </w:rPr>
        <w:t xml:space="preserve">, </w:t>
      </w:r>
      <w:hyperlink w:anchor="passage-i-6-12">
        <w:r>
          <w:rPr>
            <w:color w:val="000000"/>
          </w:rPr>
          <w:t xml:space="preserve">I.6.12</w:t>
        </w:r>
      </w:hyperlink>
      <w:r>
        <w:rPr>
          <w:b w:val="0"/>
          <w:i w:val="0"/>
        </w:rPr>
        <w:t xml:space="preserve">. See </w:t>
      </w:r>
      <w:hyperlink w:anchor="intellect-and-intellection">
        <w:r>
          <w:rPr>
            <w:color w:val="000000"/>
          </w:rPr>
          <w:t xml:space="preserve">Intellect and intellection</w:t>
        </w:r>
      </w:hyperlink>
      <w:r>
        <w:rPr>
          <w:b w:val="0"/>
          <w:i w:val="0"/>
        </w:rPr>
        <w:t>.</w:t>
      </w:r>
    </w:p>
    <w:p>
      <w:pPr>
        <w:widowControl/>
      </w:pPr>
      <w:r>
        <w:rPr>
          <w:b w:val="0"/>
          <w:i w:val="0"/>
        </w:rPr>
        <w:t xml:space="preserve">Plotinus as the reported expositor. Ficino recounts an explanation of inward divine activity and later identifies the conclusion as what Plotinus wishes to establish. References: </w:t>
      </w:r>
      <w:hyperlink w:anchor="passage-ii-12-9">
        <w:r>
          <w:rPr>
            <w:color w:val="000000"/>
          </w:rPr>
          <w:t xml:space="preserve">II.12.9</w:t>
        </w:r>
      </w:hyperlink>
      <w:r>
        <w:rPr>
          <w:b w:val="0"/>
          <w:i w:val="0"/>
        </w:rPr>
        <w:t xml:space="preserve">, </w:t>
      </w:r>
      <w:hyperlink w:anchor="passage-ii-12-11">
        <w:r>
          <w:rPr>
            <w:color w:val="000000"/>
          </w:rPr>
          <w:t xml:space="preserve">II.12.11</w:t>
        </w:r>
      </w:hyperlink>
      <w:r>
        <w:rPr>
          <w:b w:val="0"/>
          <w:i w:val="0"/>
        </w:rPr>
        <w:t xml:space="preserve">. See </w:t>
      </w:r>
      <w:hyperlink w:anchor="self-production-and-reservation">
        <w:r>
          <w:rPr>
            <w:color w:val="000000"/>
          </w:rPr>
          <w:t xml:space="preserve">Self-production and reservation</w:t>
        </w:r>
      </w:hyperlink>
      <w:r>
        <w:rPr>
          <w:b w:val="0"/>
          <w:i w:val="0"/>
        </w:rPr>
        <w:t>.</w:t>
      </w:r>
    </w:p>
    <w:p>
      <w:pPr>
        <w:keepNext/>
        <w:widowControl/>
      </w:pPr>
      <w:bookmarkStart w:id="1136" w:name="latin-record-0885"/>
      <w:bookmarkEnd w:id="1136"/>
      <w:r>
        <w:rPr>
          <w:b/>
          <w:i w:val="0"/>
        </w:rPr>
        <w:t>plus et minus</w:t>
      </w:r>
      <w:r>
        <w:rPr>
          <w:b/>
          <w:i w:val="0"/>
        </w:rPr>
        <w:t>.</w:t>
      </w:r>
      <w:r>
        <w:rPr>
          <w:b w:val="0"/>
          <w:i w:val="0"/>
        </w:rPr>
        <w:t xml:space="preserve"> Printed forms: </w:t>
      </w:r>
      <w:r>
        <w:rPr>
          <w:b w:val="0"/>
          <w:i/>
        </w:rPr>
        <w:t>magis</w:t>
      </w:r>
      <w:r>
        <w:rPr>
          <w:b w:val="0"/>
          <w:i w:val="0"/>
        </w:rPr>
        <w:t xml:space="preserve">; </w:t>
      </w:r>
      <w:r>
        <w:rPr>
          <w:b w:val="0"/>
          <w:i/>
        </w:rPr>
        <w:t>maiora</w:t>
      </w:r>
      <w:r>
        <w:rPr>
          <w:b w:val="0"/>
          <w:i w:val="0"/>
        </w:rPr>
        <w:t xml:space="preserve">; </w:t>
      </w:r>
      <w:r>
        <w:rPr>
          <w:b w:val="0"/>
          <w:i/>
        </w:rPr>
        <w:t>minora</w:t>
      </w:r>
      <w:r>
        <w:rPr>
          <w:b w:val="0"/>
          <w:i w:val="0"/>
        </w:rPr>
        <w:t xml:space="preserve">; </w:t>
      </w:r>
      <w:r>
        <w:rPr>
          <w:b w:val="0"/>
          <w:i/>
        </w:rPr>
        <w:t>minusve</w:t>
      </w:r>
      <w:r>
        <w:rPr>
          <w:b w:val="0"/>
          <w:i w:val="0"/>
        </w:rPr>
        <w:t>.</w:t>
      </w:r>
    </w:p>
    <w:p>
      <w:pPr>
        <w:widowControl/>
      </w:pPr>
      <w:r>
        <w:rPr>
          <w:b w:val="0"/>
          <w:i w:val="0"/>
        </w:rPr>
        <w:t xml:space="preserve">More and less in a stated respect. The appetite argument distinguishes larger or more numerous things from better ones; comparative vocabulary does not alone specify quantity, intensity or value. References: </w:t>
      </w:r>
      <w:hyperlink w:anchor="passage-i-2-14">
        <w:r>
          <w:rPr>
            <w:color w:val="000000"/>
          </w:rPr>
          <w:t xml:space="preserve">I.2.14</w:t>
        </w:r>
      </w:hyperlink>
      <w:r>
        <w:rPr>
          <w:b w:val="0"/>
          <w:i w:val="0"/>
        </w:rPr>
        <w:t xml:space="preserve">, </w:t>
      </w:r>
      <w:hyperlink w:anchor="passage-i-4-1">
        <w:r>
          <w:rPr>
            <w:color w:val="000000"/>
          </w:rPr>
          <w:t xml:space="preserve">I.4.1</w:t>
        </w:r>
      </w:hyperlink>
      <w:r>
        <w:rPr>
          <w:b w:val="0"/>
          <w:i w:val="0"/>
        </w:rPr>
        <w:t xml:space="preserve">. See </w:t>
      </w:r>
      <w:hyperlink w:anchor="measure-and-degree">
        <w:r>
          <w:rPr>
            <w:color w:val="000000"/>
          </w:rPr>
          <w:t xml:space="preserve">Measure and degree</w:t>
        </w:r>
      </w:hyperlink>
      <w:r>
        <w:rPr>
          <w:b w:val="0"/>
          <w:i w:val="0"/>
        </w:rPr>
        <w:t>.</w:t>
      </w:r>
    </w:p>
    <w:p>
      <w:pPr>
        <w:keepNext/>
        <w:widowControl/>
      </w:pPr>
      <w:bookmarkStart w:id="1137" w:name="latin-record-0886"/>
      <w:bookmarkEnd w:id="1137"/>
      <w:r>
        <w:rPr>
          <w:b/>
          <w:i w:val="0"/>
        </w:rPr>
        <w:t>Pluto / Proserpina</w:t>
      </w:r>
      <w:r>
        <w:rPr>
          <w:b/>
          <w:i w:val="0"/>
        </w:rPr>
        <w:t>.</w:t>
      </w:r>
      <w:r>
        <w:rPr>
          <w:b w:val="0"/>
          <w:i w:val="0"/>
        </w:rPr>
        <w:t xml:space="preserve"> Printed forms: </w:t>
      </w:r>
      <w:r>
        <w:rPr>
          <w:b w:val="0"/>
          <w:i/>
        </w:rPr>
        <w:t>Plutonem</w:t>
      </w:r>
      <w:r>
        <w:rPr>
          <w:b w:val="0"/>
          <w:i w:val="0"/>
        </w:rPr>
        <w:t xml:space="preserve">; </w:t>
      </w:r>
      <w:r>
        <w:rPr>
          <w:b w:val="0"/>
          <w:i/>
        </w:rPr>
        <w:t>Proserpinam</w:t>
      </w:r>
      <w:r>
        <w:rPr>
          <w:b w:val="0"/>
          <w:i w:val="0"/>
        </w:rPr>
        <w:t>.</w:t>
      </w:r>
    </w:p>
    <w:p>
      <w:pPr>
        <w:widowControl/>
      </w:pPr>
      <w:r>
        <w:rPr>
          <w:b w:val="0"/>
          <w:i w:val="0"/>
        </w:rPr>
        <w:t xml:space="preserve">The names assigned to earth-soul’s knowing and animating powers. Their paired roles belong to this list, which should not be conflated with zodiacal names or another sphere’s pair. References: </w:t>
      </w:r>
      <w:hyperlink w:anchor="passage-iv-1-94">
        <w:r>
          <w:rPr>
            <w:color w:val="000000"/>
          </w:rPr>
          <w:t xml:space="preserve">IV.1.94</w:t>
        </w:r>
      </w:hyperlink>
      <w:r>
        <w:rPr>
          <w:b w:val="0"/>
          <w:i w:val="0"/>
        </w:rPr>
        <w:t xml:space="preserve">. See </w:t>
      </w:r>
      <w:hyperlink w:anchor="bacchus-and-the-muses">
        <w:r>
          <w:rPr>
            <w:color w:val="000000"/>
          </w:rPr>
          <w:t xml:space="preserve">Bacchus and the Muses</w:t>
        </w:r>
      </w:hyperlink>
      <w:r>
        <w:rPr>
          <w:b w:val="0"/>
          <w:i w:val="0"/>
        </w:rPr>
        <w:t>.</w:t>
      </w:r>
    </w:p>
    <w:p>
      <w:pPr>
        <w:keepNext/>
        <w:widowControl/>
      </w:pPr>
      <w:bookmarkStart w:id="1138" w:name="latin-record-0887"/>
      <w:bookmarkEnd w:id="1138"/>
      <w:r>
        <w:rPr>
          <w:b/>
          <w:i w:val="0"/>
        </w:rPr>
        <w:t>polus / revolutio / restitutio</w:t>
      </w:r>
      <w:r>
        <w:rPr>
          <w:b/>
          <w:i w:val="0"/>
        </w:rPr>
        <w:t>.</w:t>
      </w:r>
      <w:r>
        <w:rPr>
          <w:b w:val="0"/>
          <w:i w:val="0"/>
        </w:rPr>
        <w:t xml:space="preserve"> Printed forms: </w:t>
      </w:r>
      <w:r>
        <w:rPr>
          <w:b w:val="0"/>
          <w:i/>
        </w:rPr>
        <w:t>polos</w:t>
      </w:r>
      <w:r>
        <w:rPr>
          <w:b w:val="0"/>
          <w:i w:val="0"/>
        </w:rPr>
        <w:t xml:space="preserve">; </w:t>
      </w:r>
      <w:r>
        <w:rPr>
          <w:b w:val="0"/>
          <w:i/>
        </w:rPr>
        <w:t>restitutio</w:t>
      </w:r>
      <w:r>
        <w:rPr>
          <w:b w:val="0"/>
          <w:i w:val="0"/>
        </w:rPr>
        <w:t xml:space="preserve">; </w:t>
      </w:r>
      <w:r>
        <w:rPr>
          <w:b w:val="0"/>
          <w:i/>
        </w:rPr>
        <w:t>revolutio</w:t>
      </w:r>
      <w:r>
        <w:rPr>
          <w:b w:val="0"/>
          <w:i w:val="0"/>
        </w:rPr>
        <w:t>.</w:t>
      </w:r>
    </w:p>
    <w:p>
      <w:pPr>
        <w:widowControl/>
      </w:pPr>
      <w:r>
        <w:rPr>
          <w:b w:val="0"/>
          <w:i w:val="0"/>
        </w:rPr>
        <w:t xml:space="preserve">Poles, revolution and return to a position. The heavens’ regularity is offered as evidence of stability within motion in Ficino’s cosmology, not a contemporary astronomical model. References: </w:t>
      </w:r>
      <w:hyperlink w:anchor="passage-i-5-7">
        <w:r>
          <w:rPr>
            <w:color w:val="000000"/>
          </w:rPr>
          <w:t xml:space="preserve">I.5.7</w:t>
        </w:r>
      </w:hyperlink>
      <w:r>
        <w:rPr>
          <w:b w:val="0"/>
          <w:i w:val="0"/>
        </w:rPr>
        <w:t xml:space="preserve">. See </w:t>
      </w:r>
      <w:hyperlink w:anchor="circularity-and-return">
        <w:r>
          <w:rPr>
            <w:color w:val="000000"/>
          </w:rPr>
          <w:t xml:space="preserve">Circularity and return</w:t>
        </w:r>
      </w:hyperlink>
      <w:r>
        <w:rPr>
          <w:b w:val="0"/>
          <w:i w:val="0"/>
        </w:rPr>
        <w:t>.</w:t>
      </w:r>
    </w:p>
    <w:p>
      <w:pPr>
        <w:keepNext/>
        <w:widowControl/>
      </w:pPr>
      <w:bookmarkStart w:id="1139" w:name="latin-record-0888"/>
      <w:bookmarkEnd w:id="1139"/>
      <w:r>
        <w:rPr>
          <w:b/>
          <w:i w:val="0"/>
        </w:rPr>
        <w:t>pondus / lapis</w:t>
      </w:r>
      <w:r>
        <w:rPr>
          <w:b/>
          <w:i w:val="0"/>
        </w:rPr>
        <w:t>.</w:t>
      </w:r>
      <w:r>
        <w:rPr>
          <w:b w:val="0"/>
          <w:i w:val="0"/>
        </w:rPr>
        <w:t xml:space="preserve"> Printed forms: </w:t>
      </w:r>
      <w:r>
        <w:rPr>
          <w:b w:val="0"/>
          <w:i/>
        </w:rPr>
        <w:t>lapidum</w:t>
      </w:r>
      <w:r>
        <w:rPr>
          <w:b w:val="0"/>
          <w:i w:val="0"/>
        </w:rPr>
        <w:t xml:space="preserve">; </w:t>
      </w:r>
      <w:r>
        <w:rPr>
          <w:b w:val="0"/>
          <w:i/>
        </w:rPr>
        <w:t>pondere</w:t>
      </w:r>
      <w:r>
        <w:rPr>
          <w:b w:val="0"/>
          <w:i w:val="0"/>
        </w:rPr>
        <w:t>.</w:t>
      </w:r>
    </w:p>
    <w:p>
      <w:pPr>
        <w:widowControl/>
      </w:pPr>
      <w:r>
        <w:rPr>
          <w:b w:val="0"/>
          <w:i w:val="0"/>
        </w:rPr>
        <w:t xml:space="preserve">Weight and stones. A stone-loaded vessel supported by air illustrates the supposed force of fine bodies; the supplied apparatus explains the vessel’s spatial arrangement. References: </w:t>
      </w:r>
      <w:hyperlink w:anchor="passage-i-2-5">
        <w:r>
          <w:rPr>
            <w:color w:val="000000"/>
          </w:rPr>
          <w:t xml:space="preserve">I.2.5</w:t>
        </w:r>
      </w:hyperlink>
      <w:r>
        <w:rPr>
          <w:b w:val="0"/>
          <w:i w:val="0"/>
        </w:rPr>
        <w:t xml:space="preserve">. See </w:t>
      </w:r>
      <w:hyperlink w:anchor="fire-spark-lightning-and-cannon">
        <w:r>
          <w:rPr>
            <w:color w:val="000000"/>
          </w:rPr>
          <w:t xml:space="preserve">Fire, spark, lightning and cannon</w:t>
        </w:r>
      </w:hyperlink>
      <w:r>
        <w:rPr>
          <w:b w:val="0"/>
          <w:i w:val="0"/>
        </w:rPr>
        <w:t>.</w:t>
      </w:r>
    </w:p>
    <w:p>
      <w:pPr>
        <w:keepNext/>
        <w:widowControl/>
      </w:pPr>
      <w:bookmarkStart w:id="1140" w:name="latin-record-0889"/>
      <w:bookmarkEnd w:id="1140"/>
      <w:r>
        <w:rPr>
          <w:b/>
          <w:i w:val="0"/>
        </w:rPr>
        <w:t>pondus / librare</w:t>
      </w:r>
      <w:r>
        <w:rPr>
          <w:b/>
          <w:i w:val="0"/>
        </w:rPr>
        <w:t>.</w:t>
      </w:r>
      <w:r>
        <w:rPr>
          <w:b w:val="0"/>
          <w:i w:val="0"/>
        </w:rPr>
        <w:t xml:space="preserve"> Printed forms: </w:t>
      </w:r>
      <w:r>
        <w:rPr>
          <w:b w:val="0"/>
          <w:i/>
        </w:rPr>
        <w:t>librata</w:t>
      </w:r>
      <w:r>
        <w:rPr>
          <w:b w:val="0"/>
          <w:i w:val="0"/>
        </w:rPr>
        <w:t xml:space="preserve">; </w:t>
      </w:r>
      <w:r>
        <w:rPr>
          <w:b w:val="0"/>
          <w:i/>
        </w:rPr>
        <w:t>ponderibus</w:t>
      </w:r>
      <w:r>
        <w:rPr>
          <w:b w:val="0"/>
          <w:i w:val="0"/>
        </w:rPr>
        <w:t>.</w:t>
      </w:r>
    </w:p>
    <w:p>
      <w:pPr>
        <w:widowControl/>
      </w:pPr>
      <w:r>
        <w:rPr>
          <w:b w:val="0"/>
          <w:i w:val="0"/>
        </w:rPr>
        <w:t xml:space="preserve">Weight / balance or poise. Without higher governance, the elements are imagined separately balanced by their weights and places rather than mingling into an ordered whole. References: </w:t>
      </w:r>
      <w:hyperlink w:anchor="passage-ii-13-4">
        <w:r>
          <w:rPr>
            <w:color w:val="000000"/>
          </w:rPr>
          <w:t xml:space="preserve">II.13.4</w:t>
        </w:r>
      </w:hyperlink>
      <w:r>
        <w:rPr>
          <w:b w:val="0"/>
          <w:i w:val="0"/>
        </w:rPr>
        <w:t xml:space="preserve">. See </w:t>
      </w:r>
      <w:hyperlink w:anchor="elements-and-their-spheres">
        <w:r>
          <w:rPr>
            <w:color w:val="000000"/>
          </w:rPr>
          <w:t xml:space="preserve">Elements and their spheres</w:t>
        </w:r>
      </w:hyperlink>
      <w:r>
        <w:rPr>
          <w:b w:val="0"/>
          <w:i w:val="0"/>
        </w:rPr>
        <w:t>.</w:t>
      </w:r>
    </w:p>
    <w:p>
      <w:pPr>
        <w:keepNext/>
        <w:widowControl/>
      </w:pPr>
      <w:bookmarkStart w:id="1141" w:name="latin-record-0890"/>
      <w:bookmarkEnd w:id="1141"/>
      <w:r>
        <w:rPr>
          <w:b/>
          <w:i w:val="0"/>
        </w:rPr>
        <w:t>ponere / inducere / asserere</w:t>
      </w:r>
      <w:r>
        <w:rPr>
          <w:b/>
          <w:i w:val="0"/>
        </w:rPr>
        <w:t>.</w:t>
      </w:r>
      <w:r>
        <w:rPr>
          <w:b w:val="0"/>
          <w:i w:val="0"/>
        </w:rPr>
        <w:t xml:space="preserve"> Printed forms: </w:t>
      </w:r>
      <w:r>
        <w:rPr>
          <w:b w:val="0"/>
          <w:i/>
        </w:rPr>
        <w:t>asserat</w:t>
      </w:r>
      <w:r>
        <w:rPr>
          <w:b w:val="0"/>
          <w:i w:val="0"/>
        </w:rPr>
        <w:t xml:space="preserve">; </w:t>
      </w:r>
      <w:r>
        <w:rPr>
          <w:b w:val="0"/>
          <w:i/>
        </w:rPr>
        <w:t>induxeris</w:t>
      </w:r>
      <w:r>
        <w:rPr>
          <w:b w:val="0"/>
          <w:i w:val="0"/>
        </w:rPr>
        <w:t xml:space="preserve">; </w:t>
      </w:r>
      <w:r>
        <w:rPr>
          <w:b w:val="0"/>
          <w:i/>
        </w:rPr>
        <w:t>poneretur</w:t>
      </w:r>
      <w:r>
        <w:rPr>
          <w:b w:val="0"/>
          <w:i w:val="0"/>
        </w:rPr>
        <w:t>.</w:t>
      </w:r>
    </w:p>
    <w:p>
      <w:pPr>
        <w:widowControl/>
      </w:pPr>
      <w:r>
        <w:rPr>
          <w:b w:val="0"/>
          <w:i w:val="0"/>
        </w:rPr>
        <w:t xml:space="preserve">To posit, introduce, or assert a proposition. Positing two goodnesses or an eternal world temporarily frames a test; it does not always express authorial commitment. References: </w:t>
      </w:r>
      <w:hyperlink w:anchor="passage-ii-2-11">
        <w:r>
          <w:rPr>
            <w:color w:val="000000"/>
          </w:rPr>
          <w:t xml:space="preserve">II.2.11</w:t>
        </w:r>
      </w:hyperlink>
      <w:r>
        <w:rPr>
          <w:b w:val="0"/>
          <w:i w:val="0"/>
        </w:rPr>
        <w:t xml:space="preserve">, </w:t>
      </w:r>
      <w:hyperlink w:anchor="passage-ii-2-13">
        <w:r>
          <w:rPr>
            <w:color w:val="000000"/>
          </w:rPr>
          <w:t xml:space="preserve">II.2.13</w:t>
        </w:r>
      </w:hyperlink>
      <w:r>
        <w:rPr>
          <w:b w:val="0"/>
          <w:i w:val="0"/>
        </w:rPr>
        <w:t xml:space="preserve">, </w:t>
      </w:r>
      <w:hyperlink w:anchor="passage-ii-7-12">
        <w:r>
          <w:rPr>
            <w:color w:val="000000"/>
          </w:rPr>
          <w:t xml:space="preserve">II.7.12</w:t>
        </w:r>
      </w:hyperlink>
      <w:r>
        <w:rPr>
          <w:b w:val="0"/>
          <w:i w:val="0"/>
        </w:rPr>
        <w:t xml:space="preserve">, </w:t>
      </w:r>
      <w:hyperlink w:anchor="passage-ii-7-19">
        <w:r>
          <w:rPr>
            <w:color w:val="000000"/>
          </w:rPr>
          <w:t xml:space="preserve">II.7.19</w:t>
        </w:r>
      </w:hyperlink>
      <w:r>
        <w:rPr>
          <w:b w:val="0"/>
          <w:i w:val="0"/>
        </w:rPr>
        <w:t xml:space="preserve">. See </w:t>
      </w:r>
      <w:hyperlink w:anchor="agreement-and-hypothetical-concession">
        <w:r>
          <w:rPr>
            <w:color w:val="000000"/>
          </w:rPr>
          <w:t xml:space="preserve">Agreement and hypothetical concession</w:t>
        </w:r>
      </w:hyperlink>
      <w:r>
        <w:rPr>
          <w:b w:val="0"/>
          <w:i w:val="0"/>
        </w:rPr>
        <w:t>.</w:t>
      </w:r>
    </w:p>
    <w:p>
      <w:pPr>
        <w:keepNext/>
        <w:widowControl/>
      </w:pPr>
      <w:bookmarkStart w:id="1142" w:name="latin-record-0891"/>
      <w:bookmarkEnd w:id="1142"/>
      <w:r>
        <w:rPr>
          <w:b/>
          <w:i w:val="0"/>
        </w:rPr>
        <w:t>ponere / signare in esse</w:t>
      </w:r>
      <w:r>
        <w:rPr>
          <w:b/>
          <w:i w:val="0"/>
        </w:rPr>
        <w:t>.</w:t>
      </w:r>
      <w:r>
        <w:rPr>
          <w:b w:val="0"/>
          <w:i w:val="0"/>
        </w:rPr>
        <w:t xml:space="preserve"> Printed forms: </w:t>
      </w:r>
      <w:r>
        <w:rPr>
          <w:b w:val="0"/>
          <w:i/>
        </w:rPr>
        <w:t>ponit</w:t>
      </w:r>
      <w:r>
        <w:rPr>
          <w:b w:val="0"/>
          <w:i w:val="0"/>
        </w:rPr>
        <w:t xml:space="preserve">; </w:t>
      </w:r>
      <w:r>
        <w:rPr>
          <w:b w:val="0"/>
          <w:i/>
        </w:rPr>
        <w:t>signat in esse</w:t>
      </w:r>
      <w:r>
        <w:rPr>
          <w:b w:val="0"/>
          <w:i w:val="0"/>
        </w:rPr>
        <w:t>.</w:t>
      </w:r>
    </w:p>
    <w:p>
      <w:pPr>
        <w:widowControl/>
      </w:pPr>
      <w:r>
        <w:rPr>
          <w:b w:val="0"/>
          <w:i w:val="0"/>
        </w:rPr>
        <w:t xml:space="preserve">Posit or seal in being. These are the exposition’s final reformulations of self-production before Ficino reserves judgment. References: </w:t>
      </w:r>
      <w:hyperlink w:anchor="passage-ii-12-11">
        <w:r>
          <w:rPr>
            <w:color w:val="000000"/>
          </w:rPr>
          <w:t xml:space="preserve">II.12.11</w:t>
        </w:r>
      </w:hyperlink>
      <w:r>
        <w:rPr>
          <w:b w:val="0"/>
          <w:i w:val="0"/>
        </w:rPr>
        <w:t xml:space="preserve">. See </w:t>
      </w:r>
      <w:hyperlink w:anchor="self-production-and-reservation">
        <w:r>
          <w:rPr>
            <w:color w:val="000000"/>
          </w:rPr>
          <w:t xml:space="preserve">Self-production and reservation</w:t>
        </w:r>
      </w:hyperlink>
      <w:r>
        <w:rPr>
          <w:b w:val="0"/>
          <w:i w:val="0"/>
        </w:rPr>
        <w:t>.</w:t>
      </w:r>
    </w:p>
    <w:p>
      <w:pPr>
        <w:keepNext/>
        <w:widowControl/>
      </w:pPr>
      <w:bookmarkStart w:id="1143" w:name="latin-record-0892"/>
      <w:bookmarkEnd w:id="1143"/>
      <w:r>
        <w:rPr>
          <w:b/>
          <w:i w:val="0"/>
        </w:rPr>
        <w:t>Porphyrius / Persis / Tusci</w:t>
      </w:r>
      <w:r>
        <w:rPr>
          <w:b/>
          <w:i w:val="0"/>
        </w:rPr>
        <w:t>.</w:t>
      </w:r>
      <w:r>
        <w:rPr>
          <w:b w:val="0"/>
          <w:i w:val="0"/>
        </w:rPr>
        <w:t xml:space="preserve"> Printed forms: </w:t>
      </w:r>
      <w:r>
        <w:rPr>
          <w:b w:val="0"/>
          <w:i/>
        </w:rPr>
        <w:t>Africa</w:t>
      </w:r>
      <w:r>
        <w:rPr>
          <w:b w:val="0"/>
          <w:i w:val="0"/>
        </w:rPr>
        <w:t xml:space="preserve">; </w:t>
      </w:r>
      <w:r>
        <w:rPr>
          <w:b w:val="0"/>
          <w:i/>
        </w:rPr>
        <w:t>Perside</w:t>
      </w:r>
      <w:r>
        <w:rPr>
          <w:b w:val="0"/>
          <w:i w:val="0"/>
        </w:rPr>
        <w:t xml:space="preserve">; </w:t>
      </w:r>
      <w:r>
        <w:rPr>
          <w:b w:val="0"/>
          <w:i/>
        </w:rPr>
        <w:t>Porphyrius</w:t>
      </w:r>
      <w:r>
        <w:rPr>
          <w:b w:val="0"/>
          <w:i w:val="0"/>
        </w:rPr>
        <w:t xml:space="preserve">; </w:t>
      </w:r>
      <w:r>
        <w:rPr>
          <w:b w:val="0"/>
          <w:i/>
        </w:rPr>
        <w:t>Tuscos</w:t>
      </w:r>
      <w:r>
        <w:rPr>
          <w:b w:val="0"/>
          <w:i w:val="0"/>
        </w:rPr>
        <w:t>.</w:t>
      </w:r>
    </w:p>
    <w:p>
      <w:pPr>
        <w:widowControl/>
      </w:pPr>
      <w:r>
        <w:rPr>
          <w:b w:val="0"/>
          <w:i w:val="0"/>
        </w:rPr>
        <w:t xml:space="preserve">The cited authority and places in reported daemon observations. Zoroaster is associated with Persia and Africa; Porphyry adds fire for visibility and earth for tangibility, with Tuscan examples. References: </w:t>
      </w:r>
      <w:hyperlink w:anchor="passage-iv-1-39">
        <w:r>
          <w:rPr>
            <w:color w:val="000000"/>
          </w:rPr>
          <w:t xml:space="preserve">IV.1.39</w:t>
        </w:r>
      </w:hyperlink>
      <w:r>
        <w:rPr>
          <w:b w:val="0"/>
          <w:i w:val="0"/>
        </w:rPr>
        <w:t xml:space="preserve">. See </w:t>
      </w:r>
      <w:hyperlink w:anchor="daemons">
        <w:r>
          <w:rPr>
            <w:color w:val="000000"/>
          </w:rPr>
          <w:t xml:space="preserve">Daemons</w:t>
        </w:r>
      </w:hyperlink>
      <w:r>
        <w:rPr>
          <w:b w:val="0"/>
          <w:i w:val="0"/>
        </w:rPr>
        <w:t>.</w:t>
      </w:r>
    </w:p>
    <w:p>
      <w:pPr>
        <w:keepNext/>
        <w:widowControl/>
      </w:pPr>
      <w:bookmarkStart w:id="1144" w:name="latin-record-0893"/>
      <w:bookmarkEnd w:id="1144"/>
      <w:r>
        <w:rPr>
          <w:b/>
          <w:i w:val="0"/>
        </w:rPr>
        <w:t>porrigere / tendere</w:t>
      </w:r>
      <w:r>
        <w:rPr>
          <w:b/>
          <w:i w:val="0"/>
        </w:rPr>
        <w:t>.</w:t>
      </w:r>
      <w:r>
        <w:rPr>
          <w:b w:val="0"/>
          <w:i w:val="0"/>
        </w:rPr>
        <w:t xml:space="preserve"> Printed forms: </w:t>
      </w:r>
      <w:r>
        <w:rPr>
          <w:b w:val="0"/>
          <w:i/>
        </w:rPr>
        <w:t>porrigi</w:t>
      </w:r>
      <w:r>
        <w:rPr>
          <w:b w:val="0"/>
          <w:i w:val="0"/>
        </w:rPr>
        <w:t xml:space="preserve">; </w:t>
      </w:r>
      <w:r>
        <w:rPr>
          <w:b w:val="0"/>
          <w:i/>
        </w:rPr>
        <w:t>porrigit</w:t>
      </w:r>
      <w:r>
        <w:rPr>
          <w:b w:val="0"/>
          <w:i w:val="0"/>
        </w:rPr>
        <w:t xml:space="preserve">; </w:t>
      </w:r>
      <w:r>
        <w:rPr>
          <w:b w:val="0"/>
          <w:i/>
        </w:rPr>
        <w:t>tenditur</w:t>
      </w:r>
      <w:r>
        <w:rPr>
          <w:b w:val="0"/>
          <w:i w:val="0"/>
        </w:rPr>
        <w:t xml:space="preserve">; </w:t>
      </w:r>
      <w:r>
        <w:rPr>
          <w:b w:val="0"/>
          <w:i/>
        </w:rPr>
        <w:t>trahitur</w:t>
      </w:r>
      <w:r>
        <w:rPr>
          <w:b w:val="0"/>
          <w:i w:val="0"/>
        </w:rPr>
        <w:t>.</w:t>
      </w:r>
    </w:p>
    <w:p>
      <w:pPr>
        <w:widowControl/>
      </w:pPr>
      <w:r>
        <w:rPr>
          <w:b w:val="0"/>
          <w:i w:val="0"/>
        </w:rPr>
        <w:t xml:space="preserve">To stretch or extend in scope. Extension through time or space is used analogically for indivisible spirit; self-extension describes infinite self-comprehension. References: </w:t>
      </w:r>
      <w:hyperlink w:anchor="passage-ii-6-16">
        <w:r>
          <w:rPr>
            <w:color w:val="000000"/>
          </w:rPr>
          <w:t xml:space="preserve">II.6.16</w:t>
        </w:r>
      </w:hyperlink>
      <w:r>
        <w:rPr>
          <w:b w:val="0"/>
          <w:i w:val="0"/>
        </w:rPr>
        <w:t xml:space="preserve">, </w:t>
      </w:r>
      <w:hyperlink w:anchor="passage-ii-6-17">
        <w:r>
          <w:rPr>
            <w:color w:val="000000"/>
          </w:rPr>
          <w:t xml:space="preserve">II.6.17</w:t>
        </w:r>
      </w:hyperlink>
      <w:r>
        <w:rPr>
          <w:b w:val="0"/>
          <w:i w:val="0"/>
        </w:rPr>
        <w:t xml:space="preserve">, </w:t>
      </w:r>
      <w:hyperlink w:anchor="passage-ii-10-10">
        <w:r>
          <w:rPr>
            <w:color w:val="000000"/>
          </w:rPr>
          <w:t xml:space="preserve">II.10.10</w:t>
        </w:r>
      </w:hyperlink>
      <w:r>
        <w:rPr>
          <w:b w:val="0"/>
          <w:i w:val="0"/>
        </w:rPr>
        <w:t xml:space="preserve">. See </w:t>
      </w:r>
      <w:hyperlink w:anchor="omnipresence-and-place">
        <w:r>
          <w:rPr>
            <w:color w:val="000000"/>
          </w:rPr>
          <w:t xml:space="preserve">Omnipresence and place</w:t>
        </w:r>
      </w:hyperlink>
      <w:r>
        <w:rPr>
          <w:b w:val="0"/>
          <w:i w:val="0"/>
        </w:rPr>
        <w:t>.</w:t>
      </w:r>
    </w:p>
    <w:p>
      <w:pPr>
        <w:keepNext/>
        <w:widowControl/>
      </w:pPr>
      <w:bookmarkStart w:id="1145" w:name="latin-record-0894"/>
      <w:bookmarkEnd w:id="1145"/>
      <w:r>
        <w:rPr>
          <w:b/>
          <w:i w:val="0"/>
        </w:rPr>
        <w:t>portio</w:t>
      </w:r>
      <w:r>
        <w:rPr>
          <w:b/>
          <w:i w:val="0"/>
        </w:rPr>
        <w:t>.</w:t>
      </w:r>
      <w:r>
        <w:rPr>
          <w:b w:val="0"/>
          <w:i w:val="0"/>
        </w:rPr>
        <w:t xml:space="preserve"> Printed forms: </w:t>
      </w:r>
      <w:r>
        <w:rPr>
          <w:b w:val="0"/>
          <w:i/>
        </w:rPr>
        <w:t>portione</w:t>
      </w:r>
      <w:r>
        <w:rPr>
          <w:b w:val="0"/>
          <w:i w:val="0"/>
        </w:rPr>
        <w:t xml:space="preserve">; </w:t>
      </w:r>
      <w:r>
        <w:rPr>
          <w:b w:val="0"/>
          <w:i/>
        </w:rPr>
        <w:t>portionem</w:t>
      </w:r>
      <w:r>
        <w:rPr>
          <w:b w:val="0"/>
          <w:i w:val="0"/>
        </w:rPr>
        <w:t>.</w:t>
      </w:r>
    </w:p>
    <w:p>
      <w:pPr>
        <w:widowControl/>
      </w:pPr>
      <w:r>
        <w:rPr>
          <w:b w:val="0"/>
          <w:i w:val="0"/>
        </w:rPr>
        <w:t xml:space="preserve">A share or portion of a perfection. Comparative goodness is explained by a greater share, without making divine goodness a divisible stock. References: </w:t>
      </w:r>
      <w:hyperlink w:anchor="passage-ii-1-3">
        <w:r>
          <w:rPr>
            <w:color w:val="000000"/>
          </w:rPr>
          <w:t xml:space="preserve">II.1.3</w:t>
        </w:r>
      </w:hyperlink>
      <w:r>
        <w:rPr>
          <w:b w:val="0"/>
          <w:i w:val="0"/>
        </w:rPr>
        <w:t xml:space="preserve">, </w:t>
      </w:r>
      <w:hyperlink w:anchor="passage-ii-1-4">
        <w:r>
          <w:rPr>
            <w:color w:val="000000"/>
          </w:rPr>
          <w:t xml:space="preserve">II.1.4</w:t>
        </w:r>
      </w:hyperlink>
      <w:r>
        <w:rPr>
          <w:b w:val="0"/>
          <w:i w:val="0"/>
        </w:rPr>
        <w:t xml:space="preserve">, </w:t>
      </w:r>
      <w:hyperlink w:anchor="passage-ii-1-6">
        <w:r>
          <w:rPr>
            <w:color w:val="000000"/>
          </w:rPr>
          <w:t xml:space="preserve">II.1.6</w:t>
        </w:r>
      </w:hyperlink>
      <w:r>
        <w:rPr>
          <w:b w:val="0"/>
          <w:i w:val="0"/>
        </w:rPr>
        <w:t xml:space="preserve">. See </w:t>
      </w:r>
      <w:hyperlink w:anchor="participation">
        <w:r>
          <w:rPr>
            <w:color w:val="000000"/>
          </w:rPr>
          <w:t xml:space="preserve">Participation</w:t>
        </w:r>
      </w:hyperlink>
      <w:r>
        <w:rPr>
          <w:b w:val="0"/>
          <w:i w:val="0"/>
        </w:rPr>
        <w:t>.</w:t>
      </w:r>
    </w:p>
    <w:p>
      <w:pPr>
        <w:keepNext/>
        <w:widowControl/>
      </w:pPr>
      <w:bookmarkStart w:id="1146" w:name="latin-record-0895"/>
      <w:bookmarkEnd w:id="1146"/>
      <w:r>
        <w:rPr>
          <w:b/>
          <w:i w:val="0"/>
        </w:rPr>
        <w:t>positio</w:t>
      </w:r>
      <w:r>
        <w:rPr>
          <w:b/>
          <w:i w:val="0"/>
        </w:rPr>
        <w:t>.</w:t>
      </w:r>
      <w:r>
        <w:rPr>
          <w:b w:val="0"/>
          <w:i w:val="0"/>
        </w:rPr>
        <w:t xml:space="preserve"> Printed forms: </w:t>
      </w:r>
      <w:r>
        <w:rPr>
          <w:b w:val="0"/>
          <w:i/>
        </w:rPr>
        <w:t>positionemve</w:t>
      </w:r>
      <w:r>
        <w:rPr>
          <w:b w:val="0"/>
          <w:i w:val="0"/>
        </w:rPr>
        <w:t>.</w:t>
      </w:r>
    </w:p>
    <w:p>
      <w:pPr>
        <w:widowControl/>
      </w:pPr>
      <w:r>
        <w:rPr>
          <w:b w:val="0"/>
          <w:i w:val="0"/>
        </w:rPr>
        <w:t xml:space="preserve">A supposition or something posited. Here it qualifies conditional necessity after God has willed a thing; it is not a bodily position. References: </w:t>
      </w:r>
      <w:hyperlink w:anchor="passage-ii-12-15">
        <w:r>
          <w:rPr>
            <w:color w:val="000000"/>
          </w:rPr>
          <w:t xml:space="preserve">II.12.15</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1147" w:name="latin-record-0896"/>
      <w:bookmarkEnd w:id="1147"/>
      <w:r>
        <w:rPr>
          <w:b/>
          <w:i w:val="0"/>
        </w:rPr>
        <w:t>posse / nequire</w:t>
      </w:r>
      <w:r>
        <w:rPr>
          <w:b/>
          <w:i w:val="0"/>
        </w:rPr>
        <w:t>.</w:t>
      </w:r>
      <w:r>
        <w:rPr>
          <w:b w:val="0"/>
          <w:i w:val="0"/>
        </w:rPr>
        <w:t xml:space="preserve"> Printed forms: </w:t>
      </w:r>
      <w:r>
        <w:rPr>
          <w:b w:val="0"/>
          <w:i/>
        </w:rPr>
        <w:t>nequit</w:t>
      </w:r>
      <w:r>
        <w:rPr>
          <w:b w:val="0"/>
          <w:i w:val="0"/>
        </w:rPr>
        <w:t xml:space="preserve">; </w:t>
      </w:r>
      <w:r>
        <w:rPr>
          <w:b w:val="0"/>
          <w:i/>
        </w:rPr>
        <w:t>potest</w:t>
      </w:r>
      <w:r>
        <w:rPr>
          <w:b w:val="0"/>
          <w:i w:val="0"/>
        </w:rPr>
        <w:t>.</w:t>
      </w:r>
    </w:p>
    <w:p>
      <w:pPr>
        <w:widowControl/>
      </w:pPr>
      <w:r>
        <w:rPr>
          <w:b w:val="0"/>
          <w:i w:val="0"/>
        </w:rPr>
        <w:t xml:space="preserve">Be able or possible / be unable. The scope of divine productive ability exceeds actual production, while the natural agent’s fixed limits constrain its mode of acting. References: </w:t>
      </w:r>
      <w:hyperlink w:anchor="passage-ii-11-9">
        <w:r>
          <w:rPr>
            <w:color w:val="000000"/>
          </w:rPr>
          <w:t xml:space="preserve">II.11.9</w:t>
        </w:r>
      </w:hyperlink>
      <w:r>
        <w:rPr>
          <w:b w:val="0"/>
          <w:i w:val="0"/>
        </w:rPr>
        <w:t xml:space="preserve">, </w:t>
      </w:r>
      <w:hyperlink w:anchor="passage-ii-11-25">
        <w:r>
          <w:rPr>
            <w:color w:val="000000"/>
          </w:rPr>
          <w:t xml:space="preserve">II.11.25</w:t>
        </w:r>
      </w:hyperlink>
      <w:r>
        <w:rPr>
          <w:b w:val="0"/>
          <w:i w:val="0"/>
        </w:rPr>
        <w:t xml:space="preserve">, </w:t>
      </w:r>
      <w:hyperlink w:anchor="passage-ii-12-17">
        <w:r>
          <w:rPr>
            <w:color w:val="000000"/>
          </w:rPr>
          <w:t xml:space="preserve">II.12.17</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1148" w:name="latin-record-0897"/>
      <w:bookmarkEnd w:id="1148"/>
      <w:r>
        <w:rPr>
          <w:b/>
          <w:i w:val="0"/>
        </w:rPr>
        <w:t>possum</w:t>
      </w:r>
      <w:r>
        <w:rPr>
          <w:b/>
          <w:i w:val="0"/>
        </w:rPr>
        <w:t>.</w:t>
      </w:r>
      <w:r>
        <w:rPr>
          <w:b w:val="0"/>
          <w:i w:val="0"/>
        </w:rPr>
        <w:t xml:space="preserve"> Printed forms: </w:t>
      </w:r>
      <w:r>
        <w:rPr>
          <w:b w:val="0"/>
          <w:i/>
        </w:rPr>
        <w:t>posse</w:t>
      </w:r>
      <w:r>
        <w:rPr>
          <w:b w:val="0"/>
          <w:i w:val="0"/>
        </w:rPr>
        <w:t xml:space="preserve">; </w:t>
      </w:r>
      <w:r>
        <w:rPr>
          <w:b w:val="0"/>
          <w:i/>
        </w:rPr>
        <w:t>potest</w:t>
      </w:r>
      <w:r>
        <w:rPr>
          <w:b w:val="0"/>
          <w:i w:val="0"/>
        </w:rPr>
        <w:t>.</w:t>
      </w:r>
    </w:p>
    <w:p>
      <w:pPr>
        <w:widowControl/>
      </w:pPr>
      <w:r>
        <w:rPr>
          <w:b w:val="0"/>
          <w:i w:val="0"/>
        </w:rPr>
        <w:t xml:space="preserve">To be able, or for something to be possible. The verb can concern a mind’s capacity to know or a substance’s possible separate existence; ability, logical possibility and actual realization require the local argument. References: </w:t>
      </w:r>
      <w:hyperlink w:anchor="passage-proem-1">
        <w:r>
          <w:rPr>
            <w:color w:val="000000"/>
          </w:rPr>
          <w:t xml:space="preserve">Proem.1</w:t>
        </w:r>
      </w:hyperlink>
      <w:r>
        <w:rPr>
          <w:b w:val="0"/>
          <w:i w:val="0"/>
        </w:rPr>
        <w:t xml:space="preserve">, </w:t>
      </w:r>
      <w:hyperlink w:anchor="passage-i-3-25">
        <w:r>
          <w:rPr>
            <w:color w:val="000000"/>
          </w:rPr>
          <w:t xml:space="preserve">I.3.25</w:t>
        </w:r>
      </w:hyperlink>
      <w:r>
        <w:rPr>
          <w:b w:val="0"/>
          <w:i w:val="0"/>
        </w:rPr>
        <w:t xml:space="preserve">, </w:t>
      </w:r>
      <w:hyperlink w:anchor="passage-i-3-29">
        <w:r>
          <w:rPr>
            <w:color w:val="000000"/>
          </w:rPr>
          <w:t xml:space="preserve">I.3.29</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1149" w:name="latin-record-0898"/>
      <w:bookmarkEnd w:id="1149"/>
      <w:r>
        <w:rPr>
          <w:b/>
          <w:i w:val="0"/>
        </w:rPr>
        <w:t>postponing and returning</w:t>
      </w:r>
      <w:r>
        <w:rPr>
          <w:b/>
          <w:i w:val="0"/>
        </w:rPr>
        <w:t>.</w:t>
      </w:r>
      <w:r>
        <w:rPr>
          <w:b w:val="0"/>
          <w:i w:val="0"/>
        </w:rPr>
        <w:t xml:space="preserve"> Printed forms: </w:t>
      </w:r>
      <w:r>
        <w:rPr>
          <w:b w:val="0"/>
          <w:i/>
        </w:rPr>
        <w:t>Sed de his alias</w:t>
      </w:r>
      <w:r>
        <w:rPr>
          <w:b w:val="0"/>
          <w:i w:val="0"/>
        </w:rPr>
        <w:t xml:space="preserve">; </w:t>
      </w:r>
      <w:r>
        <w:rPr>
          <w:b w:val="0"/>
          <w:i/>
        </w:rPr>
        <w:t>Sed de hoc alias</w:t>
      </w:r>
      <w:r>
        <w:rPr>
          <w:b w:val="0"/>
          <w:i w:val="0"/>
        </w:rPr>
        <w:t>.</w:t>
      </w:r>
    </w:p>
    <w:p>
      <w:pPr>
        <w:widowControl/>
      </w:pPr>
      <w:r>
        <w:rPr>
          <w:b w:val="0"/>
          <w:i w:val="0"/>
        </w:rPr>
        <w:t xml:space="preserve">This is deferred for discussion elsewhere. These transitions delimit the present claim and prevent a promised later discussion of material causation or angelic orders from being counted as completed here. References: </w:t>
      </w:r>
      <w:hyperlink w:anchor="passage-i-3-19">
        <w:r>
          <w:rPr>
            <w:color w:val="000000"/>
          </w:rPr>
          <w:t xml:space="preserve">I.3.19</w:t>
        </w:r>
      </w:hyperlink>
      <w:r>
        <w:rPr>
          <w:b w:val="0"/>
          <w:i w:val="0"/>
        </w:rPr>
        <w:t xml:space="preserve">, </w:t>
      </w:r>
      <w:hyperlink w:anchor="passage-i-5-28">
        <w:r>
          <w:rPr>
            <w:color w:val="000000"/>
          </w:rPr>
          <w:t xml:space="preserve">I.5.28</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1150" w:name="latin-record-0899"/>
      <w:bookmarkEnd w:id="1150"/>
      <w:r>
        <w:rPr>
          <w:b/>
          <w:i w:val="0"/>
        </w:rPr>
        <w:t>potentia / potestas / virtus</w:t>
      </w:r>
      <w:r>
        <w:rPr>
          <w:b/>
          <w:i w:val="0"/>
        </w:rPr>
        <w:t>.</w:t>
      </w:r>
      <w:r>
        <w:rPr>
          <w:b w:val="0"/>
          <w:i w:val="0"/>
        </w:rPr>
        <w:t xml:space="preserve"> Printed forms: </w:t>
      </w:r>
      <w:r>
        <w:rPr>
          <w:b w:val="0"/>
          <w:i/>
        </w:rPr>
        <w:t>potentia</w:t>
      </w:r>
      <w:r>
        <w:rPr>
          <w:b w:val="0"/>
          <w:i w:val="0"/>
        </w:rPr>
        <w:t xml:space="preserve">; </w:t>
      </w:r>
      <w:r>
        <w:rPr>
          <w:b w:val="0"/>
          <w:i/>
        </w:rPr>
        <w:t>potentiae</w:t>
      </w:r>
      <w:r>
        <w:rPr>
          <w:b w:val="0"/>
          <w:i w:val="0"/>
        </w:rPr>
        <w:t xml:space="preserve">; </w:t>
      </w:r>
      <w:r>
        <w:rPr>
          <w:b w:val="0"/>
          <w:i/>
        </w:rPr>
        <w:t>potentiam</w:t>
      </w:r>
      <w:r>
        <w:rPr>
          <w:b w:val="0"/>
          <w:i w:val="0"/>
        </w:rPr>
        <w:t xml:space="preserve">; </w:t>
      </w:r>
      <w:r>
        <w:rPr>
          <w:b w:val="0"/>
          <w:i/>
        </w:rPr>
        <w:t>potestas</w:t>
      </w:r>
      <w:r>
        <w:rPr>
          <w:b w:val="0"/>
          <w:i w:val="0"/>
        </w:rPr>
        <w:t xml:space="preserve">; </w:t>
      </w:r>
      <w:r>
        <w:rPr>
          <w:b w:val="0"/>
          <w:i/>
        </w:rPr>
        <w:t>Virtus</w:t>
      </w:r>
      <w:r>
        <w:rPr>
          <w:b w:val="0"/>
          <w:i w:val="0"/>
        </w:rPr>
        <w:t xml:space="preserve">; </w:t>
      </w:r>
      <w:r>
        <w:rPr>
          <w:b w:val="0"/>
          <w:i/>
        </w:rPr>
        <w:t>virtus</w:t>
      </w:r>
      <w:r>
        <w:rPr>
          <w:b w:val="0"/>
          <w:i w:val="0"/>
        </w:rPr>
        <w:t xml:space="preserve">; </w:t>
      </w:r>
      <w:r>
        <w:rPr>
          <w:b w:val="0"/>
          <w:i/>
        </w:rPr>
        <w:t>virtute</w:t>
      </w:r>
      <w:r>
        <w:rPr>
          <w:b w:val="0"/>
          <w:i w:val="0"/>
        </w:rPr>
        <w:t xml:space="preserve">; </w:t>
      </w:r>
      <w:r>
        <w:rPr>
          <w:b w:val="0"/>
          <w:i/>
        </w:rPr>
        <w:t>virtutem</w:t>
      </w:r>
      <w:r>
        <w:rPr>
          <w:b w:val="0"/>
          <w:i w:val="0"/>
        </w:rPr>
        <w:t>.</w:t>
      </w:r>
    </w:p>
    <w:p>
      <w:pPr>
        <w:widowControl/>
      </w:pPr>
      <w:r>
        <w:rPr>
          <w:b w:val="0"/>
          <w:i w:val="0"/>
        </w:rPr>
        <w:t xml:space="preserve">Power or capacity; potentia also names receptive possibility, while virtus commonly means efficacy. Passive potency receiving act differs from divine active power and from moral virtue-habits in the presence analogy. References: </w:t>
      </w:r>
      <w:hyperlink w:anchor="passage-ii-4-1">
        <w:r>
          <w:rPr>
            <w:color w:val="000000"/>
          </w:rPr>
          <w:t xml:space="preserve">II.4.1</w:t>
        </w:r>
      </w:hyperlink>
      <w:r>
        <w:rPr>
          <w:b w:val="0"/>
          <w:i w:val="0"/>
        </w:rPr>
        <w:t xml:space="preserve">, </w:t>
      </w:r>
      <w:hyperlink w:anchor="passage-ii-4-5">
        <w:r>
          <w:rPr>
            <w:color w:val="000000"/>
          </w:rPr>
          <w:t xml:space="preserve">II.4.5</w:t>
        </w:r>
      </w:hyperlink>
      <w:r>
        <w:rPr>
          <w:b w:val="0"/>
          <w:i w:val="0"/>
        </w:rPr>
        <w:t xml:space="preserve">, </w:t>
      </w:r>
      <w:hyperlink w:anchor="passage-ii-7-23">
        <w:r>
          <w:rPr>
            <w:color w:val="000000"/>
          </w:rPr>
          <w:t xml:space="preserve">II.7.23</w:t>
        </w:r>
      </w:hyperlink>
      <w:r>
        <w:rPr>
          <w:b w:val="0"/>
          <w:i w:val="0"/>
        </w:rPr>
        <w:t xml:space="preserve">, </w:t>
      </w:r>
      <w:hyperlink w:anchor="passage-ii-10-2">
        <w:r>
          <w:rPr>
            <w:color w:val="000000"/>
          </w:rPr>
          <w:t xml:space="preserve">II.10.2</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1151" w:name="latin-record-0900"/>
      <w:bookmarkEnd w:id="1151"/>
      <w:r>
        <w:rPr>
          <w:b/>
          <w:i w:val="0"/>
        </w:rPr>
        <w:t>potissimum / summopere / penitus / prorsus / late</w:t>
      </w:r>
      <w:r>
        <w:rPr>
          <w:b/>
          <w:i w:val="0"/>
        </w:rPr>
        <w:t>.</w:t>
      </w:r>
      <w:r>
        <w:rPr>
          <w:b w:val="0"/>
          <w:i w:val="0"/>
        </w:rPr>
        <w:t xml:space="preserve"> Printed forms: </w:t>
      </w:r>
      <w:r>
        <w:rPr>
          <w:b w:val="0"/>
          <w:i/>
        </w:rPr>
        <w:t>amplissimam</w:t>
      </w:r>
      <w:r>
        <w:rPr>
          <w:b w:val="0"/>
          <w:i w:val="0"/>
        </w:rPr>
        <w:t xml:space="preserve">; </w:t>
      </w:r>
      <w:r>
        <w:rPr>
          <w:b w:val="0"/>
          <w:i/>
        </w:rPr>
        <w:t>latissime</w:t>
      </w:r>
      <w:r>
        <w:rPr>
          <w:b w:val="0"/>
          <w:i w:val="0"/>
        </w:rPr>
        <w:t xml:space="preserve">; </w:t>
      </w:r>
      <w:r>
        <w:rPr>
          <w:b w:val="0"/>
          <w:i/>
        </w:rPr>
        <w:t>plurimum</w:t>
      </w:r>
      <w:r>
        <w:rPr>
          <w:b w:val="0"/>
          <w:i w:val="0"/>
        </w:rPr>
        <w:t xml:space="preserve">; </w:t>
      </w:r>
      <w:r>
        <w:rPr>
          <w:b w:val="0"/>
          <w:i/>
        </w:rPr>
        <w:t>prorsus</w:t>
      </w:r>
      <w:r>
        <w:rPr>
          <w:b w:val="0"/>
          <w:i w:val="0"/>
        </w:rPr>
        <w:t xml:space="preserve">; </w:t>
      </w:r>
      <w:r>
        <w:rPr>
          <w:b w:val="0"/>
          <w:i/>
        </w:rPr>
        <w:t>summopere</w:t>
      </w:r>
      <w:r>
        <w:rPr>
          <w:b w:val="0"/>
          <w:i w:val="0"/>
        </w:rPr>
        <w:t>.</w:t>
      </w:r>
    </w:p>
    <w:p>
      <w:pPr>
        <w:widowControl/>
      </w:pPr>
      <w:r>
        <w:rPr>
          <w:b w:val="0"/>
          <w:i w:val="0"/>
        </w:rPr>
        <w:t xml:space="preserve">Intensive or comparative qualifiers of scope and completeness. They strengthen particular claims about knowledge, goodness, and light without by themselves identifying a distinct metaphysical power. References: </w:t>
      </w:r>
      <w:hyperlink w:anchor="passage-ii-6-10">
        <w:r>
          <w:rPr>
            <w:color w:val="000000"/>
          </w:rPr>
          <w:t xml:space="preserve">II.6.10</w:t>
        </w:r>
      </w:hyperlink>
      <w:r>
        <w:rPr>
          <w:b w:val="0"/>
          <w:i w:val="0"/>
        </w:rPr>
        <w:t xml:space="preserve">, </w:t>
      </w:r>
      <w:hyperlink w:anchor="passage-ii-6-11">
        <w:r>
          <w:rPr>
            <w:color w:val="000000"/>
          </w:rPr>
          <w:t xml:space="preserve">II.6.11</w:t>
        </w:r>
      </w:hyperlink>
      <w:r>
        <w:rPr>
          <w:b w:val="0"/>
          <w:i w:val="0"/>
        </w:rPr>
        <w:t xml:space="preserve">, </w:t>
      </w:r>
      <w:hyperlink w:anchor="passage-ii-6-13">
        <w:r>
          <w:rPr>
            <w:color w:val="000000"/>
          </w:rPr>
          <w:t xml:space="preserve">II.6.13</w:t>
        </w:r>
      </w:hyperlink>
      <w:r>
        <w:rPr>
          <w:b w:val="0"/>
          <w:i w:val="0"/>
        </w:rPr>
        <w:t xml:space="preserve">, </w:t>
      </w:r>
      <w:hyperlink w:anchor="passage-ii-7-4">
        <w:r>
          <w:rPr>
            <w:color w:val="000000"/>
          </w:rPr>
          <w:t xml:space="preserve">II.7.4</w:t>
        </w:r>
      </w:hyperlink>
      <w:r>
        <w:rPr>
          <w:b w:val="0"/>
          <w:i w:val="0"/>
        </w:rPr>
        <w:t xml:space="preserve">. See </w:t>
      </w:r>
      <w:hyperlink w:anchor="measure-and-degree">
        <w:r>
          <w:rPr>
            <w:color w:val="000000"/>
          </w:rPr>
          <w:t xml:space="preserve">Measure and degree</w:t>
        </w:r>
      </w:hyperlink>
      <w:r>
        <w:rPr>
          <w:b w:val="0"/>
          <w:i w:val="0"/>
        </w:rPr>
        <w:t>.</w:t>
      </w:r>
    </w:p>
    <w:p>
      <w:pPr>
        <w:keepNext/>
        <w:widowControl/>
      </w:pPr>
      <w:bookmarkStart w:id="1152" w:name="latin-record-0901"/>
      <w:bookmarkEnd w:id="1152"/>
      <w:r>
        <w:rPr>
          <w:b/>
          <w:i w:val="0"/>
        </w:rPr>
        <w:t>prae / post / infra / supra</w:t>
      </w:r>
      <w:r>
        <w:rPr>
          <w:b/>
          <w:i w:val="0"/>
        </w:rPr>
        <w:t>.</w:t>
      </w:r>
      <w:r>
        <w:rPr>
          <w:b w:val="0"/>
          <w:i w:val="0"/>
        </w:rPr>
        <w:t xml:space="preserve"> Printed forms: </w:t>
      </w:r>
      <w:r>
        <w:rPr>
          <w:b w:val="0"/>
          <w:i/>
        </w:rPr>
        <w:t>post</w:t>
      </w:r>
      <w:r>
        <w:rPr>
          <w:b w:val="0"/>
          <w:i w:val="0"/>
        </w:rPr>
        <w:t xml:space="preserve">; </w:t>
      </w:r>
      <w:r>
        <w:rPr>
          <w:b w:val="0"/>
          <w:i/>
        </w:rPr>
        <w:t>supra</w:t>
      </w:r>
      <w:r>
        <w:rPr>
          <w:b w:val="0"/>
          <w:i w:val="0"/>
        </w:rPr>
        <w:t>.</w:t>
      </w:r>
    </w:p>
    <w:p>
      <w:pPr>
        <w:widowControl/>
      </w:pPr>
      <w:r>
        <w:rPr>
          <w:b w:val="0"/>
          <w:i w:val="0"/>
        </w:rPr>
        <w:t xml:space="preserve">Before or above / after / below / above. In the hierarchy these prepositions primarily express rank and dependence, not a measured location in physical space. References: </w:t>
      </w:r>
      <w:hyperlink w:anchor="passage-iii-2-20">
        <w:r>
          <w:rPr>
            <w:color w:val="000000"/>
          </w:rPr>
          <w:t xml:space="preserve">III.2.20</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1153" w:name="latin-record-0902"/>
      <w:bookmarkEnd w:id="1153"/>
      <w:r>
        <w:rPr>
          <w:b/>
          <w:i w:val="0"/>
        </w:rPr>
        <w:t>praebeo / do</w:t>
      </w:r>
      <w:r>
        <w:rPr>
          <w:b/>
          <w:i w:val="0"/>
        </w:rPr>
        <w:t>.</w:t>
      </w:r>
      <w:r>
        <w:rPr>
          <w:b w:val="0"/>
          <w:i w:val="0"/>
        </w:rPr>
        <w:t xml:space="preserve"> Printed forms: </w:t>
      </w:r>
      <w:r>
        <w:rPr>
          <w:b w:val="0"/>
          <w:i/>
        </w:rPr>
        <w:t>datura</w:t>
      </w:r>
      <w:r>
        <w:rPr>
          <w:b w:val="0"/>
          <w:i w:val="0"/>
        </w:rPr>
        <w:t xml:space="preserve">; </w:t>
      </w:r>
      <w:r>
        <w:rPr>
          <w:b w:val="0"/>
          <w:i/>
        </w:rPr>
        <w:t>praebere</w:t>
      </w:r>
      <w:r>
        <w:rPr>
          <w:b w:val="0"/>
          <w:i w:val="0"/>
        </w:rPr>
        <w:t xml:space="preserve">; </w:t>
      </w:r>
      <w:r>
        <w:rPr>
          <w:b w:val="0"/>
          <w:i/>
        </w:rPr>
        <w:t>praebitura</w:t>
      </w:r>
      <w:r>
        <w:rPr>
          <w:b w:val="0"/>
          <w:i w:val="0"/>
        </w:rPr>
        <w:t>.</w:t>
      </w:r>
    </w:p>
    <w:p>
      <w:pPr>
        <w:widowControl/>
      </w:pPr>
      <w:r>
        <w:rPr>
          <w:b w:val="0"/>
          <w:i w:val="0"/>
        </w:rPr>
        <w:t xml:space="preserve">To supply or give. Matter cannot supply itself with a form it does not already possess; later soul supplies vital motion, showing that the gift’s object fixes the argument. References: </w:t>
      </w:r>
      <w:hyperlink w:anchor="passage-i-3-6">
        <w:r>
          <w:rPr>
            <w:color w:val="000000"/>
          </w:rPr>
          <w:t xml:space="preserve">I.3.6</w:t>
        </w:r>
      </w:hyperlink>
      <w:r>
        <w:rPr>
          <w:b w:val="0"/>
          <w:i w:val="0"/>
        </w:rPr>
        <w:t xml:space="preserve">, </w:t>
      </w:r>
      <w:hyperlink w:anchor="passage-i-6-14">
        <w:r>
          <w:rPr>
            <w:color w:val="000000"/>
          </w:rPr>
          <w:t xml:space="preserve">I.6.14</w:t>
        </w:r>
      </w:hyperlink>
      <w:r>
        <w:rPr>
          <w:b w:val="0"/>
          <w:i w:val="0"/>
        </w:rPr>
        <w:t xml:space="preserve">. See </w:t>
      </w:r>
      <w:hyperlink w:anchor="communication-and-imparting">
        <w:r>
          <w:rPr>
            <w:color w:val="000000"/>
          </w:rPr>
          <w:t xml:space="preserve">Communication and imparting</w:t>
        </w:r>
      </w:hyperlink>
      <w:r>
        <w:rPr>
          <w:b w:val="0"/>
          <w:i w:val="0"/>
        </w:rPr>
        <w:t>.</w:t>
      </w:r>
    </w:p>
    <w:p>
      <w:pPr>
        <w:keepNext/>
        <w:widowControl/>
      </w:pPr>
      <w:bookmarkStart w:id="1154" w:name="latin-record-0903"/>
      <w:bookmarkEnd w:id="1154"/>
      <w:r>
        <w:rPr>
          <w:b/>
          <w:i w:val="0"/>
        </w:rPr>
        <w:t>praebere / conducere</w:t>
      </w:r>
      <w:r>
        <w:rPr>
          <w:b/>
          <w:i w:val="0"/>
        </w:rPr>
        <w:t>.</w:t>
      </w:r>
      <w:r>
        <w:rPr>
          <w:b w:val="0"/>
          <w:i w:val="0"/>
        </w:rPr>
        <w:t xml:space="preserve"> Printed forms: </w:t>
      </w:r>
      <w:r>
        <w:rPr>
          <w:b w:val="0"/>
          <w:i/>
        </w:rPr>
        <w:t>conducunt</w:t>
      </w:r>
      <w:r>
        <w:rPr>
          <w:b w:val="0"/>
          <w:i w:val="0"/>
        </w:rPr>
        <w:t xml:space="preserve">; </w:t>
      </w:r>
      <w:r>
        <w:rPr>
          <w:b w:val="0"/>
          <w:i/>
        </w:rPr>
        <w:t>praebeant</w:t>
      </w:r>
      <w:r>
        <w:rPr>
          <w:b w:val="0"/>
          <w:i w:val="0"/>
        </w:rPr>
        <w:t>.</w:t>
      </w:r>
    </w:p>
    <w:p>
      <w:pPr>
        <w:widowControl/>
      </w:pPr>
      <w:r>
        <w:rPr>
          <w:b w:val="0"/>
          <w:i w:val="0"/>
        </w:rPr>
        <w:t xml:space="preserve">To furnish or contribute toward an effect. Other agents give being of this or that kind only through the first agent’s power. References: </w:t>
      </w:r>
      <w:hyperlink w:anchor="passage-ii-7-26">
        <w:r>
          <w:rPr>
            <w:color w:val="000000"/>
          </w:rPr>
          <w:t xml:space="preserve">II.7.26</w:t>
        </w:r>
      </w:hyperlink>
      <w:r>
        <w:rPr>
          <w:b w:val="0"/>
          <w:i w:val="0"/>
        </w:rPr>
        <w:t xml:space="preserve">, </w:t>
      </w:r>
      <w:hyperlink w:anchor="passage-ii-7-29">
        <w:r>
          <w:rPr>
            <w:color w:val="000000"/>
          </w:rPr>
          <w:t xml:space="preserve">II.7.29</w:t>
        </w:r>
      </w:hyperlink>
      <w:r>
        <w:rPr>
          <w:b w:val="0"/>
          <w:i w:val="0"/>
        </w:rPr>
        <w:t xml:space="preserve">. See </w:t>
      </w:r>
      <w:hyperlink w:anchor="cause">
        <w:r>
          <w:rPr>
            <w:color w:val="000000"/>
          </w:rPr>
          <w:t xml:space="preserve">Cause</w:t>
        </w:r>
      </w:hyperlink>
      <w:r>
        <w:rPr>
          <w:b w:val="0"/>
          <w:i w:val="0"/>
        </w:rPr>
        <w:t>.</w:t>
      </w:r>
    </w:p>
    <w:p>
      <w:pPr>
        <w:keepNext/>
        <w:widowControl/>
      </w:pPr>
      <w:bookmarkStart w:id="1155" w:name="latin-record-0904"/>
      <w:bookmarkEnd w:id="1155"/>
      <w:r>
        <w:rPr>
          <w:b/>
          <w:i w:val="0"/>
        </w:rPr>
        <w:t>praecedo</w:t>
      </w:r>
      <w:r>
        <w:rPr>
          <w:b/>
          <w:i w:val="0"/>
        </w:rPr>
        <w:t>.</w:t>
      </w:r>
      <w:r>
        <w:rPr>
          <w:b w:val="0"/>
          <w:i w:val="0"/>
        </w:rPr>
        <w:t xml:space="preserve"> Printed forms: </w:t>
      </w:r>
      <w:r>
        <w:rPr>
          <w:b w:val="0"/>
          <w:i/>
        </w:rPr>
        <w:t>praecedat</w:t>
      </w:r>
      <w:r>
        <w:rPr>
          <w:b w:val="0"/>
          <w:i w:val="0"/>
        </w:rPr>
        <w:t xml:space="preserve">; </w:t>
      </w:r>
      <w:r>
        <w:rPr>
          <w:b w:val="0"/>
          <w:i/>
        </w:rPr>
        <w:t>praecedit</w:t>
      </w:r>
      <w:r>
        <w:rPr>
          <w:b w:val="0"/>
          <w:i w:val="0"/>
        </w:rPr>
        <w:t>.</w:t>
      </w:r>
    </w:p>
    <w:p>
      <w:pPr>
        <w:widowControl/>
      </w:pPr>
      <w:r>
        <w:rPr>
          <w:b w:val="0"/>
          <w:i w:val="0"/>
        </w:rPr>
        <w:t xml:space="preserve">To precede. Ficino’s argument denies that a generated thing can precede itself; this temporal impossibility supports a causal distinction. References: </w:t>
      </w:r>
      <w:hyperlink w:anchor="passage-i-3-5">
        <w:r>
          <w:rPr>
            <w:color w:val="000000"/>
          </w:rPr>
          <w:t xml:space="preserve">I.3.5</w:t>
        </w:r>
      </w:hyperlink>
      <w:r>
        <w:rPr>
          <w:b w:val="0"/>
          <w:i w:val="0"/>
        </w:rPr>
        <w:t xml:space="preserve">. See </w:t>
      </w:r>
      <w:hyperlink w:anchor="precedence-and-causal-regress">
        <w:r>
          <w:rPr>
            <w:color w:val="000000"/>
          </w:rPr>
          <w:t xml:space="preserve">Precedence and causal regress</w:t>
        </w:r>
      </w:hyperlink>
      <w:r>
        <w:rPr>
          <w:b w:val="0"/>
          <w:i w:val="0"/>
        </w:rPr>
        <w:t>.</w:t>
      </w:r>
    </w:p>
    <w:p>
      <w:pPr>
        <w:keepNext/>
        <w:widowControl/>
      </w:pPr>
      <w:bookmarkStart w:id="1156" w:name="latin-record-0905"/>
      <w:bookmarkEnd w:id="1156"/>
      <w:r>
        <w:rPr>
          <w:b/>
          <w:i w:val="0"/>
        </w:rPr>
        <w:t>praecipitium / tenor</w:t>
      </w:r>
      <w:r>
        <w:rPr>
          <w:b/>
          <w:i w:val="0"/>
        </w:rPr>
        <w:t>.</w:t>
      </w:r>
      <w:r>
        <w:rPr>
          <w:b w:val="0"/>
          <w:i w:val="0"/>
        </w:rPr>
        <w:t xml:space="preserve"> Printed forms: </w:t>
      </w:r>
      <w:r>
        <w:rPr>
          <w:b w:val="0"/>
          <w:i/>
        </w:rPr>
        <w:t>praecipitium</w:t>
      </w:r>
      <w:r>
        <w:rPr>
          <w:b w:val="0"/>
          <w:i w:val="0"/>
        </w:rPr>
        <w:t xml:space="preserve">; </w:t>
      </w:r>
      <w:r>
        <w:rPr>
          <w:b w:val="0"/>
          <w:i/>
        </w:rPr>
        <w:t>tenorem</w:t>
      </w:r>
      <w:r>
        <w:rPr>
          <w:b w:val="0"/>
          <w:i w:val="0"/>
        </w:rPr>
        <w:t>.</w:t>
      </w:r>
    </w:p>
    <w:p>
      <w:pPr>
        <w:widowControl/>
      </w:pPr>
      <w:r>
        <w:rPr>
          <w:b w:val="0"/>
          <w:i w:val="0"/>
        </w:rPr>
        <w:t xml:space="preserve">A precipice; a sustained course or tenor. Flowing downward and maintaining a uniform course distinguish elemental regularity from a hypothetical minute soul’s variable motion. References: </w:t>
      </w:r>
      <w:hyperlink w:anchor="passage-iv-1-77">
        <w:r>
          <w:rPr>
            <w:color w:val="000000"/>
          </w:rPr>
          <w:t xml:space="preserve">IV.1.77</w:t>
        </w:r>
      </w:hyperlink>
      <w:r>
        <w:rPr>
          <w:b w:val="0"/>
          <w:i w:val="0"/>
        </w:rPr>
        <w:t xml:space="preserve">. See </w:t>
      </w:r>
      <w:hyperlink w:anchor="natural-motion-and-natural-place">
        <w:r>
          <w:rPr>
            <w:color w:val="000000"/>
          </w:rPr>
          <w:t xml:space="preserve">Natural motion and natural place</w:t>
        </w:r>
      </w:hyperlink>
      <w:r>
        <w:rPr>
          <w:b w:val="0"/>
          <w:i w:val="0"/>
        </w:rPr>
        <w:t>.</w:t>
      </w:r>
    </w:p>
    <w:p>
      <w:pPr>
        <w:keepNext/>
        <w:widowControl/>
      </w:pPr>
      <w:bookmarkStart w:id="1157" w:name="latin-record-0906"/>
      <w:bookmarkEnd w:id="1157"/>
      <w:r>
        <w:rPr>
          <w:b/>
          <w:i w:val="0"/>
        </w:rPr>
        <w:t>praeditus</w:t>
      </w:r>
      <w:r>
        <w:rPr>
          <w:b/>
          <w:i w:val="0"/>
        </w:rPr>
        <w:t>.</w:t>
      </w:r>
      <w:r>
        <w:rPr>
          <w:b w:val="0"/>
          <w:i w:val="0"/>
        </w:rPr>
        <w:t xml:space="preserve"> Printed forms: </w:t>
      </w:r>
      <w:r>
        <w:rPr>
          <w:b w:val="0"/>
          <w:i/>
        </w:rPr>
        <w:t>praedita</w:t>
      </w:r>
      <w:r>
        <w:rPr>
          <w:b w:val="0"/>
          <w:i w:val="0"/>
        </w:rPr>
        <w:t xml:space="preserve">; </w:t>
      </w:r>
      <w:r>
        <w:rPr>
          <w:b w:val="0"/>
          <w:i/>
        </w:rPr>
        <w:t>praeditis</w:t>
      </w:r>
      <w:r>
        <w:rPr>
          <w:b w:val="0"/>
          <w:i w:val="0"/>
        </w:rPr>
        <w:t>.</w:t>
      </w:r>
    </w:p>
    <w:p>
      <w:pPr>
        <w:widowControl/>
      </w:pPr>
      <w:r>
        <w:rPr>
          <w:b w:val="0"/>
          <w:i w:val="0"/>
        </w:rPr>
        <w:t xml:space="preserve">Endowed or furnished with. An imagined eternal source would be endowed with eternal forms; bodies endowed with mind are later contrasted with those lacking it, so endowment is not identity with the gift. References: </w:t>
      </w:r>
      <w:hyperlink w:anchor="passage-i-3-6">
        <w:r>
          <w:rPr>
            <w:color w:val="000000"/>
          </w:rPr>
          <w:t xml:space="preserve">I.3.6</w:t>
        </w:r>
      </w:hyperlink>
      <w:r>
        <w:rPr>
          <w:b w:val="0"/>
          <w:i w:val="0"/>
        </w:rPr>
        <w:t xml:space="preserve">, </w:t>
      </w:r>
      <w:hyperlink w:anchor="passage-i-5-14">
        <w:r>
          <w:rPr>
            <w:color w:val="000000"/>
          </w:rPr>
          <w:t xml:space="preserve">I.5.14</w:t>
        </w:r>
      </w:hyperlink>
      <w:r>
        <w:rPr>
          <w:b w:val="0"/>
          <w:i w:val="0"/>
        </w:rPr>
        <w:t xml:space="preserve">. See </w:t>
      </w:r>
      <w:hyperlink w:anchor="participation">
        <w:r>
          <w:rPr>
            <w:color w:val="000000"/>
          </w:rPr>
          <w:t xml:space="preserve">Participation</w:t>
        </w:r>
      </w:hyperlink>
      <w:r>
        <w:rPr>
          <w:b w:val="0"/>
          <w:i w:val="0"/>
        </w:rPr>
        <w:t>.</w:t>
      </w:r>
    </w:p>
    <w:p>
      <w:pPr>
        <w:keepNext/>
        <w:widowControl/>
      </w:pPr>
      <w:bookmarkStart w:id="1158" w:name="latin-record-0907"/>
      <w:bookmarkEnd w:id="1158"/>
      <w:r>
        <w:rPr>
          <w:b/>
          <w:i w:val="0"/>
        </w:rPr>
        <w:t>praeesse</w:t>
      </w:r>
      <w:r>
        <w:rPr>
          <w:b/>
          <w:i w:val="0"/>
        </w:rPr>
        <w:t>.</w:t>
      </w:r>
      <w:r>
        <w:rPr>
          <w:b w:val="0"/>
          <w:i w:val="0"/>
        </w:rPr>
        <w:t xml:space="preserve"> Printed forms: </w:t>
      </w:r>
      <w:r>
        <w:rPr>
          <w:b w:val="0"/>
          <w:i/>
        </w:rPr>
        <w:t>praeest</w:t>
      </w:r>
      <w:r>
        <w:rPr>
          <w:b w:val="0"/>
          <w:i w:val="0"/>
        </w:rPr>
        <w:t xml:space="preserve">; </w:t>
      </w:r>
      <w:r>
        <w:rPr>
          <w:b w:val="0"/>
          <w:i/>
        </w:rPr>
        <w:t>praesunt</w:t>
      </w:r>
      <w:r>
        <w:rPr>
          <w:b w:val="0"/>
          <w:i w:val="0"/>
        </w:rPr>
        <w:t>.</w:t>
      </w:r>
    </w:p>
    <w:p>
      <w:pPr>
        <w:widowControl/>
      </w:pPr>
      <w:r>
        <w:rPr>
          <w:b w:val="0"/>
          <w:i w:val="0"/>
        </w:rPr>
        <w:t xml:space="preserve">To stand over or govern. Repeated governing relations organize the hierarchy from first unity to subordinate souls without making every ruler a first cause. References: </w:t>
      </w:r>
      <w:hyperlink w:anchor="passage-iv-1-52">
        <w:r>
          <w:rPr>
            <w:color w:val="000000"/>
          </w:rPr>
          <w:t xml:space="preserve">IV.1.52</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1159" w:name="latin-record-0908"/>
      <w:bookmarkEnd w:id="1159"/>
      <w:r>
        <w:rPr>
          <w:b/>
          <w:i w:val="0"/>
        </w:rPr>
        <w:t>praefero / antepono</w:t>
      </w:r>
      <w:r>
        <w:rPr>
          <w:b/>
          <w:i w:val="0"/>
        </w:rPr>
        <w:t>.</w:t>
      </w:r>
      <w:r>
        <w:rPr>
          <w:b w:val="0"/>
          <w:i w:val="0"/>
        </w:rPr>
        <w:t xml:space="preserve"> Printed forms: </w:t>
      </w:r>
      <w:r>
        <w:rPr>
          <w:b w:val="0"/>
          <w:i/>
        </w:rPr>
        <w:t>anteponant</w:t>
      </w:r>
      <w:r>
        <w:rPr>
          <w:b w:val="0"/>
          <w:i w:val="0"/>
        </w:rPr>
        <w:t xml:space="preserve">; </w:t>
      </w:r>
      <w:r>
        <w:rPr>
          <w:b w:val="0"/>
          <w:i/>
        </w:rPr>
        <w:t>anteponimus</w:t>
      </w:r>
      <w:r>
        <w:rPr>
          <w:b w:val="0"/>
          <w:i w:val="0"/>
        </w:rPr>
        <w:t xml:space="preserve">; </w:t>
      </w:r>
      <w:r>
        <w:rPr>
          <w:b w:val="0"/>
          <w:i/>
        </w:rPr>
        <w:t>praeferunt</w:t>
      </w:r>
      <w:r>
        <w:rPr>
          <w:b w:val="0"/>
          <w:i w:val="0"/>
        </w:rPr>
        <w:t>.</w:t>
      </w:r>
    </w:p>
    <w:p>
      <w:pPr>
        <w:widowControl/>
      </w:pPr>
      <w:r>
        <w:rPr>
          <w:b w:val="0"/>
          <w:i w:val="0"/>
        </w:rPr>
        <w:t xml:space="preserve">To prefer or place before. The Proem asks readers to reverse a preference for shadows; the final chapter distinguishes preference for pleasure over contemplation from the impossibility of preferring something to the Good as Good. References: </w:t>
      </w:r>
      <w:hyperlink w:anchor="passage-proem-9">
        <w:r>
          <w:rPr>
            <w:color w:val="000000"/>
          </w:rPr>
          <w:t xml:space="preserve">Proem.9</w:t>
        </w:r>
      </w:hyperlink>
      <w:r>
        <w:rPr>
          <w:b w:val="0"/>
          <w:i w:val="0"/>
        </w:rPr>
        <w:t xml:space="preserve">, </w:t>
      </w:r>
      <w:hyperlink w:anchor="passage-i-6-19">
        <w:r>
          <w:rPr>
            <w:color w:val="000000"/>
          </w:rPr>
          <w:t xml:space="preserve">I.6.19</w:t>
        </w:r>
      </w:hyperlink>
      <w:r>
        <w:rPr>
          <w:b w:val="0"/>
          <w:i w:val="0"/>
        </w:rPr>
        <w:t xml:space="preserve">. See </w:t>
      </w:r>
      <w:hyperlink w:anchor="wishing-refusing-and-the-good">
        <w:r>
          <w:rPr>
            <w:color w:val="000000"/>
          </w:rPr>
          <w:t xml:space="preserve">Wishing, refusing and the good</w:t>
        </w:r>
      </w:hyperlink>
      <w:r>
        <w:rPr>
          <w:b w:val="0"/>
          <w:i w:val="0"/>
        </w:rPr>
        <w:t>.</w:t>
      </w:r>
    </w:p>
    <w:p>
      <w:pPr>
        <w:keepNext/>
        <w:widowControl/>
      </w:pPr>
      <w:bookmarkStart w:id="1160" w:name="latin-record-0909"/>
      <w:bookmarkEnd w:id="1160"/>
      <w:r>
        <w:rPr>
          <w:b/>
          <w:i w:val="0"/>
        </w:rPr>
        <w:t>praeparare / offerre</w:t>
      </w:r>
      <w:r>
        <w:rPr>
          <w:b/>
          <w:i w:val="0"/>
        </w:rPr>
        <w:t>.</w:t>
      </w:r>
      <w:r>
        <w:rPr>
          <w:b w:val="0"/>
          <w:i w:val="0"/>
        </w:rPr>
        <w:t xml:space="preserve"> Printed forms: </w:t>
      </w:r>
      <w:r>
        <w:rPr>
          <w:b w:val="0"/>
          <w:i/>
        </w:rPr>
        <w:t>offerat</w:t>
      </w:r>
      <w:r>
        <w:rPr>
          <w:b w:val="0"/>
          <w:i w:val="0"/>
        </w:rPr>
        <w:t xml:space="preserve">; </w:t>
      </w:r>
      <w:r>
        <w:rPr>
          <w:b w:val="0"/>
          <w:i/>
        </w:rPr>
        <w:t>praeparantur</w:t>
      </w:r>
      <w:r>
        <w:rPr>
          <w:b w:val="0"/>
          <w:i w:val="0"/>
        </w:rPr>
        <w:t xml:space="preserve">; </w:t>
      </w:r>
      <w:r>
        <w:rPr>
          <w:b w:val="0"/>
          <w:i/>
        </w:rPr>
        <w:t>praeparatur</w:t>
      </w:r>
      <w:r>
        <w:rPr>
          <w:b w:val="0"/>
          <w:i w:val="0"/>
        </w:rPr>
        <w:t>.</w:t>
      </w:r>
    </w:p>
    <w:p>
      <w:pPr>
        <w:widowControl/>
      </w:pPr>
      <w:r>
        <w:rPr>
          <w:b w:val="0"/>
          <w:i w:val="0"/>
        </w:rPr>
        <w:t xml:space="preserve">To prepare a recipient; to present content for attention. Bodies are fitted for a kind of life and mind, while the motive power presents a seed-kind to attached imagination. References: </w:t>
      </w:r>
      <w:hyperlink w:anchor="passage-iv-1-29">
        <w:r>
          <w:rPr>
            <w:color w:val="000000"/>
          </w:rPr>
          <w:t xml:space="preserve">IV.1.29</w:t>
        </w:r>
      </w:hyperlink>
      <w:r>
        <w:rPr>
          <w:b w:val="0"/>
          <w:i w:val="0"/>
        </w:rPr>
        <w:t xml:space="preserve">, </w:t>
      </w:r>
      <w:hyperlink w:anchor="passage-iv-1-92">
        <w:r>
          <w:rPr>
            <w:color w:val="000000"/>
          </w:rPr>
          <w:t xml:space="preserve">IV.1.92</w:t>
        </w:r>
      </w:hyperlink>
      <w:r>
        <w:rPr>
          <w:b w:val="0"/>
          <w:i w:val="0"/>
        </w:rPr>
        <w:t xml:space="preserve">, </w:t>
      </w:r>
      <w:hyperlink w:anchor="passage-iv-2-15">
        <w:r>
          <w:rPr>
            <w:color w:val="000000"/>
          </w:rPr>
          <w:t xml:space="preserve">IV.2.15</w:t>
        </w:r>
      </w:hyperlink>
      <w:r>
        <w:rPr>
          <w:b w:val="0"/>
          <w:i w:val="0"/>
        </w:rPr>
        <w:t xml:space="preserve">. See </w:t>
      </w:r>
      <w:hyperlink w:anchor="contraction-and-determination">
        <w:r>
          <w:rPr>
            <w:color w:val="000000"/>
          </w:rPr>
          <w:t xml:space="preserve">Contraction and determination</w:t>
        </w:r>
      </w:hyperlink>
      <w:r>
        <w:rPr>
          <w:b w:val="0"/>
          <w:i w:val="0"/>
        </w:rPr>
        <w:t>.</w:t>
      </w:r>
    </w:p>
    <w:p>
      <w:pPr>
        <w:keepNext/>
        <w:widowControl/>
      </w:pPr>
      <w:bookmarkStart w:id="1161" w:name="latin-record-0910"/>
      <w:bookmarkEnd w:id="1161"/>
      <w:r>
        <w:rPr>
          <w:b/>
          <w:i w:val="0"/>
        </w:rPr>
        <w:t>praeparatio</w:t>
      </w:r>
      <w:r>
        <w:rPr>
          <w:b/>
          <w:i w:val="0"/>
        </w:rPr>
        <w:t>.</w:t>
      </w:r>
      <w:r>
        <w:rPr>
          <w:b w:val="0"/>
          <w:i w:val="0"/>
        </w:rPr>
        <w:t xml:space="preserve"> Printed forms: </w:t>
      </w:r>
      <w:r>
        <w:rPr>
          <w:b w:val="0"/>
          <w:i/>
        </w:rPr>
        <w:t>praeparationibus</w:t>
      </w:r>
      <w:r>
        <w:rPr>
          <w:b w:val="0"/>
          <w:i w:val="0"/>
        </w:rPr>
        <w:t>.</w:t>
      </w:r>
    </w:p>
    <w:p>
      <w:pPr>
        <w:widowControl/>
      </w:pPr>
      <w:r>
        <w:rPr>
          <w:b w:val="0"/>
          <w:i w:val="0"/>
        </w:rPr>
        <w:t xml:space="preserve">Preparation or receptive disposition. The differing preparations of materials explain unequal degrees of heating. The word does not require a human preparer. References: </w:t>
      </w:r>
      <w:hyperlink w:anchor="passage-ii-11-8">
        <w:r>
          <w:rPr>
            <w:color w:val="000000"/>
          </w:rPr>
          <w:t xml:space="preserve">II.11.8</w:t>
        </w:r>
      </w:hyperlink>
      <w:r>
        <w:rPr>
          <w:b w:val="0"/>
          <w:i w:val="0"/>
        </w:rPr>
        <w:t xml:space="preserve">. See </w:t>
      </w:r>
      <w:hyperlink w:anchor="fire-and-variable-materials">
        <w:r>
          <w:rPr>
            <w:color w:val="000000"/>
          </w:rPr>
          <w:t xml:space="preserve">Fire and variable materials</w:t>
        </w:r>
      </w:hyperlink>
      <w:r>
        <w:rPr>
          <w:b w:val="0"/>
          <w:i w:val="0"/>
        </w:rPr>
        <w:t>.</w:t>
      </w:r>
    </w:p>
    <w:p>
      <w:pPr>
        <w:keepNext/>
        <w:widowControl/>
      </w:pPr>
      <w:bookmarkStart w:id="1162" w:name="latin-record-0911"/>
      <w:bookmarkEnd w:id="1162"/>
      <w:r>
        <w:rPr>
          <w:b/>
          <w:i w:val="0"/>
        </w:rPr>
        <w:t>praeponere / praeferre</w:t>
      </w:r>
      <w:r>
        <w:rPr>
          <w:b/>
          <w:i w:val="0"/>
        </w:rPr>
        <w:t>.</w:t>
      </w:r>
      <w:r>
        <w:rPr>
          <w:b w:val="0"/>
          <w:i w:val="0"/>
        </w:rPr>
        <w:t xml:space="preserve"> Printed forms: </w:t>
      </w:r>
      <w:r>
        <w:rPr>
          <w:b w:val="0"/>
          <w:i/>
        </w:rPr>
        <w:t>praeferantur</w:t>
      </w:r>
      <w:r>
        <w:rPr>
          <w:b w:val="0"/>
          <w:i w:val="0"/>
        </w:rPr>
        <w:t xml:space="preserve">; </w:t>
      </w:r>
      <w:r>
        <w:rPr>
          <w:b w:val="0"/>
          <w:i/>
        </w:rPr>
        <w:t>praeponitur</w:t>
      </w:r>
      <w:r>
        <w:rPr>
          <w:b w:val="0"/>
          <w:i w:val="0"/>
        </w:rPr>
        <w:t xml:space="preserve">; </w:t>
      </w:r>
      <w:r>
        <w:rPr>
          <w:b w:val="0"/>
          <w:i/>
        </w:rPr>
        <w:t>praeponuntur</w:t>
      </w:r>
      <w:r>
        <w:rPr>
          <w:b w:val="0"/>
          <w:i w:val="0"/>
        </w:rPr>
        <w:t>.</w:t>
      </w:r>
    </w:p>
    <w:p>
      <w:pPr>
        <w:widowControl/>
      </w:pPr>
      <w:r>
        <w:rPr>
          <w:b w:val="0"/>
          <w:i w:val="0"/>
        </w:rPr>
        <w:t xml:space="preserve">To place above or prefer in rank. A proposed principle above unity and an ideal standard for preferring one thing to another are examined, not assumed together. References: </w:t>
      </w:r>
      <w:hyperlink w:anchor="passage-ii-1-3">
        <w:r>
          <w:rPr>
            <w:color w:val="000000"/>
          </w:rPr>
          <w:t xml:space="preserve">II.1.3</w:t>
        </w:r>
      </w:hyperlink>
      <w:r>
        <w:rPr>
          <w:b w:val="0"/>
          <w:i w:val="0"/>
        </w:rPr>
        <w:t xml:space="preserve">, </w:t>
      </w:r>
      <w:hyperlink w:anchor="passage-ii-3-1">
        <w:r>
          <w:rPr>
            <w:color w:val="000000"/>
          </w:rPr>
          <w:t xml:space="preserve">II.3.1</w:t>
        </w:r>
      </w:hyperlink>
      <w:r>
        <w:rPr>
          <w:b w:val="0"/>
          <w:i w:val="0"/>
        </w:rPr>
        <w:t xml:space="preserve">, </w:t>
      </w:r>
      <w:hyperlink w:anchor="passage-ii-3-5">
        <w:r>
          <w:rPr>
            <w:color w:val="000000"/>
          </w:rPr>
          <w:t xml:space="preserve">II.3.5</w:t>
        </w:r>
      </w:hyperlink>
      <w:r>
        <w:rPr>
          <w:b w:val="0"/>
          <w:i w:val="0"/>
        </w:rPr>
        <w:t xml:space="preserve">. See </w:t>
      </w:r>
      <w:hyperlink w:anchor="surpassing-and-comparison">
        <w:r>
          <w:rPr>
            <w:color w:val="000000"/>
          </w:rPr>
          <w:t xml:space="preserve">Surpassing and comparison</w:t>
        </w:r>
      </w:hyperlink>
      <w:r>
        <w:rPr>
          <w:b w:val="0"/>
          <w:i w:val="0"/>
        </w:rPr>
        <w:t>.</w:t>
      </w:r>
    </w:p>
    <w:p>
      <w:pPr>
        <w:keepNext/>
        <w:widowControl/>
      </w:pPr>
      <w:bookmarkStart w:id="1163" w:name="latin-record-0912"/>
      <w:bookmarkEnd w:id="1163"/>
      <w:r>
        <w:rPr>
          <w:b/>
          <w:i w:val="0"/>
        </w:rPr>
        <w:t>praescientia / praevisio</w:t>
      </w:r>
      <w:r>
        <w:rPr>
          <w:b/>
          <w:i w:val="0"/>
        </w:rPr>
        <w:t>.</w:t>
      </w:r>
      <w:r>
        <w:rPr>
          <w:b w:val="0"/>
          <w:i w:val="0"/>
        </w:rPr>
        <w:t xml:space="preserve"> Printed forms: </w:t>
      </w:r>
      <w:r>
        <w:rPr>
          <w:b w:val="0"/>
          <w:i/>
        </w:rPr>
        <w:t>praescientia</w:t>
      </w:r>
      <w:r>
        <w:rPr>
          <w:b w:val="0"/>
          <w:i w:val="0"/>
        </w:rPr>
        <w:t xml:space="preserve">; </w:t>
      </w:r>
      <w:r>
        <w:rPr>
          <w:b w:val="0"/>
          <w:i/>
        </w:rPr>
        <w:t>praevisio</w:t>
      </w:r>
      <w:r>
        <w:rPr>
          <w:b w:val="0"/>
          <w:i w:val="0"/>
        </w:rPr>
        <w:t>.</w:t>
      </w:r>
    </w:p>
    <w:p>
      <w:pPr>
        <w:widowControl/>
      </w:pPr>
      <w:r>
        <w:rPr>
          <w:b w:val="0"/>
          <w:i w:val="0"/>
        </w:rPr>
        <w:t xml:space="preserve">Foreknowledge / foresight. The foreknown content includes causes and free modes of acting, not events stripped of their manner of occurrence. References: </w:t>
      </w:r>
      <w:hyperlink w:anchor="passage-ii-13-25">
        <w:r>
          <w:rPr>
            <w:color w:val="000000"/>
          </w:rPr>
          <w:t xml:space="preserve">II.13.25</w:t>
        </w:r>
      </w:hyperlink>
      <w:r>
        <w:rPr>
          <w:b w:val="0"/>
          <w:i w:val="0"/>
        </w:rPr>
        <w:t xml:space="preserve">. See </w:t>
      </w:r>
      <w:hyperlink w:anchor="foreknowledge">
        <w:r>
          <w:rPr>
            <w:color w:val="000000"/>
          </w:rPr>
          <w:t xml:space="preserve">Foreknowledge</w:t>
        </w:r>
      </w:hyperlink>
      <w:r>
        <w:rPr>
          <w:b w:val="0"/>
          <w:i w:val="0"/>
        </w:rPr>
        <w:t>.</w:t>
      </w:r>
    </w:p>
    <w:p>
      <w:pPr>
        <w:keepNext/>
        <w:widowControl/>
      </w:pPr>
      <w:bookmarkStart w:id="1164" w:name="latin-record-0913"/>
      <w:bookmarkEnd w:id="1164"/>
      <w:r>
        <w:rPr>
          <w:b/>
          <w:i w:val="0"/>
        </w:rPr>
        <w:t>praescribere</w:t>
      </w:r>
      <w:r>
        <w:rPr>
          <w:b/>
          <w:i w:val="0"/>
        </w:rPr>
        <w:t>.</w:t>
      </w:r>
      <w:r>
        <w:rPr>
          <w:b w:val="0"/>
          <w:i w:val="0"/>
        </w:rPr>
        <w:t xml:space="preserve"> Printed forms: </w:t>
      </w:r>
      <w:r>
        <w:rPr>
          <w:b w:val="0"/>
          <w:i/>
        </w:rPr>
        <w:t>praescribere</w:t>
      </w:r>
      <w:r>
        <w:rPr>
          <w:b w:val="0"/>
          <w:i w:val="0"/>
        </w:rPr>
        <w:t xml:space="preserve">; </w:t>
      </w:r>
      <w:r>
        <w:rPr>
          <w:b w:val="0"/>
          <w:i/>
        </w:rPr>
        <w:t>praescribet</w:t>
      </w:r>
      <w:r>
        <w:rPr>
          <w:b w:val="0"/>
          <w:i w:val="0"/>
        </w:rPr>
        <w:t xml:space="preserve">; </w:t>
      </w:r>
      <w:r>
        <w:rPr>
          <w:b w:val="0"/>
          <w:i/>
        </w:rPr>
        <w:t>praescriptum</w:t>
      </w:r>
      <w:r>
        <w:rPr>
          <w:b w:val="0"/>
          <w:i w:val="0"/>
        </w:rPr>
        <w:t>.</w:t>
      </w:r>
    </w:p>
    <w:p>
      <w:pPr>
        <w:widowControl/>
      </w:pPr>
      <w:r>
        <w:rPr>
          <w:b w:val="0"/>
          <w:i w:val="0"/>
        </w:rPr>
        <w:t xml:space="preserve">Prescribe, assign, or set in advance. The verb concerns determining an action’s end; unknowing bodies have prescribed ends without prescribing them to themselves. References: </w:t>
      </w:r>
      <w:hyperlink w:anchor="passage-ii-12-7">
        <w:r>
          <w:rPr>
            <w:color w:val="000000"/>
          </w:rPr>
          <w:t xml:space="preserve">II.12.7</w:t>
        </w:r>
      </w:hyperlink>
      <w:r>
        <w:rPr>
          <w:b w:val="0"/>
          <w:i w:val="0"/>
        </w:rPr>
        <w:t xml:space="preserve">, </w:t>
      </w:r>
      <w:hyperlink w:anchor="passage-ii-13-9">
        <w:r>
          <w:rPr>
            <w:color w:val="000000"/>
          </w:rPr>
          <w:t xml:space="preserve">II.13.9</w:t>
        </w:r>
      </w:hyperlink>
      <w:r>
        <w:rPr>
          <w:b w:val="0"/>
          <w:i w:val="0"/>
        </w:rPr>
        <w:t xml:space="preserve">. See </w:t>
      </w:r>
      <w:hyperlink w:anchor="paths-and-prescribed-ends">
        <w:r>
          <w:rPr>
            <w:color w:val="000000"/>
          </w:rPr>
          <w:t xml:space="preserve">Paths and prescribed ends</w:t>
        </w:r>
      </w:hyperlink>
      <w:r>
        <w:rPr>
          <w:b w:val="0"/>
          <w:i w:val="0"/>
        </w:rPr>
        <w:t>.</w:t>
      </w:r>
    </w:p>
    <w:p>
      <w:pPr>
        <w:keepNext/>
        <w:widowControl/>
      </w:pPr>
      <w:bookmarkStart w:id="1165" w:name="latin-record-0914"/>
      <w:bookmarkEnd w:id="1165"/>
      <w:r>
        <w:rPr>
          <w:b/>
          <w:i w:val="0"/>
        </w:rPr>
        <w:t>praescribere / designare</w:t>
      </w:r>
      <w:r>
        <w:rPr>
          <w:b/>
          <w:i w:val="0"/>
        </w:rPr>
        <w:t>.</w:t>
      </w:r>
      <w:r>
        <w:rPr>
          <w:b w:val="0"/>
          <w:i w:val="0"/>
        </w:rPr>
        <w:t xml:space="preserve"> Printed forms: </w:t>
      </w:r>
      <w:r>
        <w:rPr>
          <w:b w:val="0"/>
          <w:i/>
        </w:rPr>
        <w:t>designans</w:t>
      </w:r>
      <w:r>
        <w:rPr>
          <w:b w:val="0"/>
          <w:i w:val="0"/>
        </w:rPr>
        <w:t xml:space="preserve">; </w:t>
      </w:r>
      <w:r>
        <w:rPr>
          <w:b w:val="0"/>
          <w:i/>
        </w:rPr>
        <w:t>praescribit</w:t>
      </w:r>
      <w:r>
        <w:rPr>
          <w:b w:val="0"/>
          <w:i w:val="0"/>
        </w:rPr>
        <w:t>.</w:t>
      </w:r>
    </w:p>
    <w:p>
      <w:pPr>
        <w:widowControl/>
      </w:pPr>
      <w:r>
        <w:rPr>
          <w:b w:val="0"/>
          <w:i w:val="0"/>
        </w:rPr>
        <w:t xml:space="preserve">To trace out generally; to mark out particularly. The verbs articulate the transition from a whole-route conception to the next specified act. References: </w:t>
      </w:r>
      <w:hyperlink w:anchor="passage-iv-2-13">
        <w:r>
          <w:rPr>
            <w:color w:val="000000"/>
          </w:rPr>
          <w:t xml:space="preserve">IV.2.13</w:t>
        </w:r>
      </w:hyperlink>
      <w:r>
        <w:rPr>
          <w:b w:val="0"/>
          <w:i w:val="0"/>
        </w:rPr>
        <w:t xml:space="preserve">, </w:t>
      </w:r>
      <w:hyperlink w:anchor="passage-iv-2-14">
        <w:r>
          <w:rPr>
            <w:color w:val="000000"/>
          </w:rPr>
          <w:t xml:space="preserve">IV.2.14</w:t>
        </w:r>
      </w:hyperlink>
      <w:r>
        <w:rPr>
          <w:b w:val="0"/>
          <w:i w:val="0"/>
        </w:rPr>
        <w:t xml:space="preserve">. See </w:t>
      </w:r>
      <w:hyperlink w:anchor="euclid-and-the-lantern">
        <w:r>
          <w:rPr>
            <w:color w:val="000000"/>
          </w:rPr>
          <w:t xml:space="preserve">Euclid and the lantern</w:t>
        </w:r>
      </w:hyperlink>
      <w:r>
        <w:rPr>
          <w:b w:val="0"/>
          <w:i w:val="0"/>
        </w:rPr>
        <w:t>.</w:t>
      </w:r>
    </w:p>
    <w:p>
      <w:pPr>
        <w:keepNext/>
        <w:widowControl/>
      </w:pPr>
      <w:bookmarkStart w:id="1166" w:name="latin-record-0915"/>
      <w:bookmarkEnd w:id="1166"/>
      <w:r>
        <w:rPr>
          <w:b/>
          <w:i w:val="0"/>
        </w:rPr>
        <w:t>praescribere / lex</w:t>
      </w:r>
      <w:r>
        <w:rPr>
          <w:b/>
          <w:i w:val="0"/>
        </w:rPr>
        <w:t>.</w:t>
      </w:r>
      <w:r>
        <w:rPr>
          <w:b w:val="0"/>
          <w:i w:val="0"/>
        </w:rPr>
        <w:t xml:space="preserve"> Printed forms: </w:t>
      </w:r>
      <w:r>
        <w:rPr>
          <w:b w:val="0"/>
          <w:i/>
        </w:rPr>
        <w:t>lege</w:t>
      </w:r>
      <w:r>
        <w:rPr>
          <w:b w:val="0"/>
          <w:i w:val="0"/>
        </w:rPr>
        <w:t xml:space="preserve">; </w:t>
      </w:r>
      <w:r>
        <w:rPr>
          <w:b w:val="0"/>
          <w:i/>
        </w:rPr>
        <w:t>praescribitur</w:t>
      </w:r>
      <w:r>
        <w:rPr>
          <w:b w:val="0"/>
          <w:i w:val="0"/>
        </w:rPr>
        <w:t>.</w:t>
      </w:r>
    </w:p>
    <w:p>
      <w:pPr>
        <w:widowControl/>
      </w:pPr>
      <w:r>
        <w:rPr>
          <w:b w:val="0"/>
          <w:i w:val="0"/>
        </w:rPr>
        <w:t xml:space="preserve">To prescribe, with law giving the order of position and motion. Divine law assigns the world a finite site and motion; the word is not here a modern empirical physical law. References: </w:t>
      </w:r>
      <w:hyperlink w:anchor="passage-ii-6-14">
        <w:r>
          <w:rPr>
            <w:color w:val="000000"/>
          </w:rPr>
          <w:t xml:space="preserve">II.6.14</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1167" w:name="latin-record-0916"/>
      <w:bookmarkEnd w:id="1167"/>
      <w:r>
        <w:rPr>
          <w:b/>
          <w:i w:val="0"/>
        </w:rPr>
        <w:t>praesentia</w:t>
      </w:r>
      <w:r>
        <w:rPr>
          <w:b/>
          <w:i w:val="0"/>
        </w:rPr>
        <w:t>.</w:t>
      </w:r>
      <w:r>
        <w:rPr>
          <w:b w:val="0"/>
          <w:i w:val="0"/>
        </w:rPr>
        <w:t xml:space="preserve"> Printed forms: </w:t>
      </w:r>
      <w:r>
        <w:rPr>
          <w:b w:val="0"/>
          <w:i/>
        </w:rPr>
        <w:t>praesentia</w:t>
      </w:r>
      <w:r>
        <w:rPr>
          <w:b w:val="0"/>
          <w:i w:val="0"/>
        </w:rPr>
        <w:t xml:space="preserve">; </w:t>
      </w:r>
      <w:r>
        <w:rPr>
          <w:b w:val="0"/>
          <w:i/>
        </w:rPr>
        <w:t>praesentiam</w:t>
      </w:r>
      <w:r>
        <w:rPr>
          <w:b w:val="0"/>
          <w:i w:val="0"/>
        </w:rPr>
        <w:t>.</w:t>
      </w:r>
    </w:p>
    <w:p>
      <w:pPr>
        <w:widowControl/>
      </w:pPr>
      <w:r>
        <w:rPr>
          <w:b w:val="0"/>
          <w:i w:val="0"/>
        </w:rPr>
        <w:t xml:space="preserve">Presence, the availability or efficacy of a source where its effects are. Divine presence is not finite spatial occupation; the world participates in it through a finite site. References: </w:t>
      </w:r>
      <w:hyperlink w:anchor="passage-ii-6-4">
        <w:r>
          <w:rPr>
            <w:color w:val="000000"/>
          </w:rPr>
          <w:t xml:space="preserve">II.6.4</w:t>
        </w:r>
      </w:hyperlink>
      <w:r>
        <w:rPr>
          <w:b w:val="0"/>
          <w:i w:val="0"/>
        </w:rPr>
        <w:t xml:space="preserve">, </w:t>
      </w:r>
      <w:hyperlink w:anchor="passage-ii-6-6">
        <w:r>
          <w:rPr>
            <w:color w:val="000000"/>
          </w:rPr>
          <w:t xml:space="preserve">II.6.6</w:t>
        </w:r>
      </w:hyperlink>
      <w:r>
        <w:rPr>
          <w:b w:val="0"/>
          <w:i w:val="0"/>
        </w:rPr>
        <w:t xml:space="preserve">, </w:t>
      </w:r>
      <w:hyperlink w:anchor="passage-ii-6-14">
        <w:r>
          <w:rPr>
            <w:color w:val="000000"/>
          </w:rPr>
          <w:t xml:space="preserve">II.6.14</w:t>
        </w:r>
      </w:hyperlink>
      <w:r>
        <w:rPr>
          <w:b w:val="0"/>
          <w:i w:val="0"/>
        </w:rPr>
        <w:t xml:space="preserve">. See </w:t>
      </w:r>
      <w:hyperlink w:anchor="omnipresence-and-place">
        <w:r>
          <w:rPr>
            <w:color w:val="000000"/>
          </w:rPr>
          <w:t xml:space="preserve">Omnipresence and place</w:t>
        </w:r>
      </w:hyperlink>
      <w:r>
        <w:rPr>
          <w:b w:val="0"/>
          <w:i w:val="0"/>
        </w:rPr>
        <w:t>.</w:t>
      </w:r>
    </w:p>
    <w:p>
      <w:pPr>
        <w:keepNext/>
        <w:widowControl/>
      </w:pPr>
      <w:bookmarkStart w:id="1168" w:name="latin-record-0917"/>
      <w:bookmarkEnd w:id="1168"/>
      <w:r>
        <w:rPr>
          <w:b/>
          <w:i w:val="0"/>
        </w:rPr>
        <w:t>praesentia / admovere</w:t>
      </w:r>
      <w:r>
        <w:rPr>
          <w:b/>
          <w:i w:val="0"/>
        </w:rPr>
        <w:t>.</w:t>
      </w:r>
      <w:r>
        <w:rPr>
          <w:b w:val="0"/>
          <w:i w:val="0"/>
        </w:rPr>
        <w:t xml:space="preserve"> Printed forms: </w:t>
      </w:r>
      <w:r>
        <w:rPr>
          <w:b w:val="0"/>
          <w:i/>
        </w:rPr>
        <w:t>admovetur</w:t>
      </w:r>
      <w:r>
        <w:rPr>
          <w:b w:val="0"/>
          <w:i w:val="0"/>
        </w:rPr>
        <w:t xml:space="preserve">; </w:t>
      </w:r>
      <w:r>
        <w:rPr>
          <w:b w:val="0"/>
          <w:i/>
        </w:rPr>
        <w:t>praesentia</w:t>
      </w:r>
      <w:r>
        <w:rPr>
          <w:b w:val="0"/>
          <w:i w:val="0"/>
        </w:rPr>
        <w:t>.</w:t>
      </w:r>
    </w:p>
    <w:p>
      <w:pPr>
        <w:widowControl/>
      </w:pPr>
      <w:r>
        <w:rPr>
          <w:b w:val="0"/>
          <w:i w:val="0"/>
        </w:rPr>
        <w:t xml:space="preserve">Presence; bringing one thing near another. Perfect action requires the agent’s presence, while bodily adjacency leaves the body’s substance outside its recipient. References: </w:t>
      </w:r>
      <w:hyperlink w:anchor="passage-iv-1-5">
        <w:r>
          <w:rPr>
            <w:color w:val="000000"/>
          </w:rPr>
          <w:t xml:space="preserve">IV.1.5</w:t>
        </w:r>
      </w:hyperlink>
      <w:r>
        <w:rPr>
          <w:b w:val="0"/>
          <w:i w:val="0"/>
        </w:rPr>
        <w:t xml:space="preserve">. See </w:t>
      </w:r>
      <w:hyperlink w:anchor="proximity-and-causal-presence">
        <w:r>
          <w:rPr>
            <w:color w:val="000000"/>
          </w:rPr>
          <w:t xml:space="preserve">Proximity and causal presence</w:t>
        </w:r>
      </w:hyperlink>
      <w:r>
        <w:rPr>
          <w:b w:val="0"/>
          <w:i w:val="0"/>
        </w:rPr>
        <w:t>.</w:t>
      </w:r>
    </w:p>
    <w:p>
      <w:pPr>
        <w:keepNext/>
        <w:widowControl/>
      </w:pPr>
      <w:bookmarkStart w:id="1169" w:name="latin-record-0918"/>
      <w:bookmarkEnd w:id="1169"/>
      <w:r>
        <w:rPr>
          <w:b/>
          <w:i w:val="0"/>
        </w:rPr>
        <w:t>praestantior</w:t>
      </w:r>
      <w:r>
        <w:rPr>
          <w:b/>
          <w:i w:val="0"/>
        </w:rPr>
        <w:t>.</w:t>
      </w:r>
      <w:r>
        <w:rPr>
          <w:b w:val="0"/>
          <w:i w:val="0"/>
        </w:rPr>
        <w:t xml:space="preserve"> Printed forms: </w:t>
      </w:r>
      <w:r>
        <w:rPr>
          <w:b w:val="0"/>
          <w:i/>
        </w:rPr>
        <w:t>praestantiore</w:t>
      </w:r>
      <w:r>
        <w:rPr>
          <w:b w:val="0"/>
          <w:i w:val="0"/>
        </w:rPr>
        <w:t xml:space="preserve">; </w:t>
      </w:r>
      <w:r>
        <w:rPr>
          <w:b w:val="0"/>
          <w:i/>
        </w:rPr>
        <w:t>praestantissimo</w:t>
      </w:r>
      <w:r>
        <w:rPr>
          <w:b w:val="0"/>
          <w:i w:val="0"/>
        </w:rPr>
        <w:t>.</w:t>
      </w:r>
    </w:p>
    <w:p>
      <w:pPr>
        <w:widowControl/>
      </w:pPr>
      <w:r>
        <w:rPr>
          <w:b w:val="0"/>
          <w:i w:val="0"/>
        </w:rPr>
        <w:t xml:space="preserve">More excellent or superior in mode. Effects are said to exist more excellently in higher causes, so substantial effects cannot become mere accidents in God. References: </w:t>
      </w:r>
      <w:hyperlink w:anchor="passage-ii-11-6">
        <w:r>
          <w:rPr>
            <w:color w:val="000000"/>
          </w:rPr>
          <w:t xml:space="preserve">II.11.6</w:t>
        </w:r>
      </w:hyperlink>
      <w:r>
        <w:rPr>
          <w:b w:val="0"/>
          <w:i w:val="0"/>
        </w:rPr>
        <w:t xml:space="preserve">. See </w:t>
      </w:r>
      <w:hyperlink w:anchor="perfection">
        <w:r>
          <w:rPr>
            <w:color w:val="000000"/>
          </w:rPr>
          <w:t xml:space="preserve">Perfection</w:t>
        </w:r>
      </w:hyperlink>
      <w:r>
        <w:rPr>
          <w:b w:val="0"/>
          <w:i w:val="0"/>
        </w:rPr>
        <w:t>.</w:t>
      </w:r>
    </w:p>
    <w:p>
      <w:pPr>
        <w:keepNext/>
        <w:widowControl/>
      </w:pPr>
      <w:bookmarkStart w:id="1170" w:name="latin-record-0919"/>
      <w:bookmarkEnd w:id="1170"/>
      <w:r>
        <w:rPr>
          <w:b/>
          <w:i w:val="0"/>
        </w:rPr>
        <w:t>praestare</w:t>
      </w:r>
      <w:r>
        <w:rPr>
          <w:b/>
          <w:i w:val="0"/>
        </w:rPr>
        <w:t>.</w:t>
      </w:r>
      <w:r>
        <w:rPr>
          <w:b w:val="0"/>
          <w:i w:val="0"/>
        </w:rPr>
        <w:t xml:space="preserve"> Printed forms: </w:t>
      </w:r>
      <w:r>
        <w:rPr>
          <w:b w:val="0"/>
          <w:i/>
        </w:rPr>
        <w:t>praestat</w:t>
      </w:r>
      <w:r>
        <w:rPr>
          <w:b w:val="0"/>
          <w:i w:val="0"/>
        </w:rPr>
        <w:t>.</w:t>
      </w:r>
    </w:p>
    <w:p>
      <w:pPr>
        <w:widowControl/>
      </w:pPr>
      <w:r>
        <w:rPr>
          <w:b w:val="0"/>
          <w:i w:val="0"/>
        </w:rPr>
        <w:t xml:space="preserve">To bestow something; or to surpass and exercise mastery, according to construction. Agate allegedly bestows strength and fertility; the nature said to produce coral’s effects surpasses or governs our souls and storms; soul imparts a trace of self-motion to bodies. The object and dative construction determine the local sense. References: </w:t>
      </w:r>
      <w:hyperlink w:anchor="passage-iv-1-20">
        <w:r>
          <w:rPr>
            <w:color w:val="000000"/>
          </w:rPr>
          <w:t xml:space="preserve">IV.1.20</w:t>
        </w:r>
      </w:hyperlink>
      <w:r>
        <w:rPr>
          <w:b w:val="0"/>
          <w:i w:val="0"/>
        </w:rPr>
        <w:t xml:space="preserve">, </w:t>
      </w:r>
      <w:hyperlink w:anchor="passage-iv-1-21">
        <w:r>
          <w:rPr>
            <w:color w:val="000000"/>
          </w:rPr>
          <w:t xml:space="preserve">IV.1.21</w:t>
        </w:r>
      </w:hyperlink>
      <w:r>
        <w:rPr>
          <w:b w:val="0"/>
          <w:i w:val="0"/>
        </w:rPr>
        <w:t xml:space="preserve">, </w:t>
      </w:r>
      <w:hyperlink w:anchor="passage-iv-1-66">
        <w:r>
          <w:rPr>
            <w:color w:val="000000"/>
          </w:rPr>
          <w:t xml:space="preserve">IV.1.66</w:t>
        </w:r>
      </w:hyperlink>
      <w:r>
        <w:rPr>
          <w:b w:val="0"/>
          <w:i w:val="0"/>
        </w:rPr>
        <w:t xml:space="preserve">. See </w:t>
      </w:r>
      <w:hyperlink w:anchor="communication-and-imparting">
        <w:r>
          <w:rPr>
            <w:color w:val="000000"/>
          </w:rPr>
          <w:t xml:space="preserve">Communication and imparting</w:t>
        </w:r>
      </w:hyperlink>
      <w:r>
        <w:rPr>
          <w:b w:val="0"/>
          <w:i w:val="0"/>
        </w:rPr>
        <w:t>.</w:t>
      </w:r>
    </w:p>
    <w:p>
      <w:pPr>
        <w:keepNext/>
        <w:widowControl/>
      </w:pPr>
      <w:bookmarkStart w:id="1171" w:name="latin-record-0920"/>
      <w:bookmarkEnd w:id="1171"/>
      <w:r>
        <w:rPr>
          <w:b/>
          <w:i w:val="0"/>
        </w:rPr>
        <w:t>praestare / praestans</w:t>
      </w:r>
      <w:r>
        <w:rPr>
          <w:b/>
          <w:i w:val="0"/>
        </w:rPr>
        <w:t>.</w:t>
      </w:r>
      <w:r>
        <w:rPr>
          <w:b w:val="0"/>
          <w:i w:val="0"/>
        </w:rPr>
        <w:t xml:space="preserve"> Printed forms: </w:t>
      </w:r>
      <w:r>
        <w:rPr>
          <w:b w:val="0"/>
          <w:i/>
        </w:rPr>
        <w:t>praestabit</w:t>
      </w:r>
      <w:r>
        <w:rPr>
          <w:b w:val="0"/>
          <w:i w:val="0"/>
        </w:rPr>
        <w:t xml:space="preserve">; </w:t>
      </w:r>
      <w:r>
        <w:rPr>
          <w:b w:val="0"/>
          <w:i/>
        </w:rPr>
        <w:t>praestantior</w:t>
      </w:r>
      <w:r>
        <w:rPr>
          <w:b w:val="0"/>
          <w:i w:val="0"/>
        </w:rPr>
        <w:t xml:space="preserve">; </w:t>
      </w:r>
      <w:r>
        <w:rPr>
          <w:b w:val="0"/>
          <w:i/>
        </w:rPr>
        <w:t>praestantius</w:t>
      </w:r>
      <w:r>
        <w:rPr>
          <w:b w:val="0"/>
          <w:i w:val="0"/>
        </w:rPr>
        <w:t xml:space="preserve">; </w:t>
      </w:r>
      <w:r>
        <w:rPr>
          <w:b w:val="0"/>
          <w:i/>
        </w:rPr>
        <w:t>Praestantius</w:t>
      </w:r>
      <w:r>
        <w:rPr>
          <w:b w:val="0"/>
          <w:i w:val="0"/>
        </w:rPr>
        <w:t xml:space="preserve">; </w:t>
      </w:r>
      <w:r>
        <w:rPr>
          <w:b w:val="0"/>
          <w:i/>
        </w:rPr>
        <w:t>praestat</w:t>
      </w:r>
      <w:r>
        <w:rPr>
          <w:b w:val="0"/>
          <w:i w:val="0"/>
        </w:rPr>
        <w:t>.</w:t>
      </w:r>
    </w:p>
    <w:p>
      <w:pPr>
        <w:widowControl/>
      </w:pPr>
      <w:r>
        <w:rPr>
          <w:b w:val="0"/>
          <w:i w:val="0"/>
        </w:rPr>
        <w:t xml:space="preserve">To surpass or be more excellent, but also to furnish or bestow. The same family compares ranks and says goodness gives the power claimed by an imagined rival. References: </w:t>
      </w:r>
      <w:hyperlink w:anchor="passage-ii-1-3">
        <w:r>
          <w:rPr>
            <w:color w:val="000000"/>
          </w:rPr>
          <w:t xml:space="preserve">II.1.3</w:t>
        </w:r>
      </w:hyperlink>
      <w:r>
        <w:rPr>
          <w:b w:val="0"/>
          <w:i w:val="0"/>
        </w:rPr>
        <w:t xml:space="preserve">, </w:t>
      </w:r>
      <w:hyperlink w:anchor="passage-ii-1-5">
        <w:r>
          <w:rPr>
            <w:color w:val="000000"/>
          </w:rPr>
          <w:t xml:space="preserve">II.1.5</w:t>
        </w:r>
      </w:hyperlink>
      <w:r>
        <w:rPr>
          <w:b w:val="0"/>
          <w:i w:val="0"/>
        </w:rPr>
        <w:t xml:space="preserve">, </w:t>
      </w:r>
      <w:hyperlink w:anchor="passage-ii-3-9">
        <w:r>
          <w:rPr>
            <w:color w:val="000000"/>
          </w:rPr>
          <w:t xml:space="preserve">II.3.9</w:t>
        </w:r>
      </w:hyperlink>
      <w:r>
        <w:rPr>
          <w:b w:val="0"/>
          <w:i w:val="0"/>
        </w:rPr>
        <w:t xml:space="preserve">, </w:t>
      </w:r>
      <w:hyperlink w:anchor="passage-ii-6-20">
        <w:r>
          <w:rPr>
            <w:color w:val="000000"/>
          </w:rPr>
          <w:t xml:space="preserve">II.6.20</w:t>
        </w:r>
      </w:hyperlink>
      <w:r>
        <w:rPr>
          <w:b w:val="0"/>
          <w:i w:val="0"/>
        </w:rPr>
        <w:t xml:space="preserve">. See </w:t>
      </w:r>
      <w:hyperlink w:anchor="surpassing-and-comparison">
        <w:r>
          <w:rPr>
            <w:color w:val="000000"/>
          </w:rPr>
          <w:t xml:space="preserve">Surpassing and comparison</w:t>
        </w:r>
      </w:hyperlink>
      <w:r>
        <w:rPr>
          <w:b w:val="0"/>
          <w:i w:val="0"/>
        </w:rPr>
        <w:t>.</w:t>
      </w:r>
    </w:p>
    <w:p>
      <w:pPr>
        <w:keepNext/>
        <w:widowControl/>
      </w:pPr>
      <w:bookmarkStart w:id="1172" w:name="latin-record-0921"/>
      <w:bookmarkEnd w:id="1172"/>
      <w:r>
        <w:rPr>
          <w:b/>
          <w:i w:val="0"/>
        </w:rPr>
        <w:t>praeteritum / futurum</w:t>
      </w:r>
      <w:r>
        <w:rPr>
          <w:b/>
          <w:i w:val="0"/>
        </w:rPr>
        <w:t>.</w:t>
      </w:r>
      <w:r>
        <w:rPr>
          <w:b w:val="0"/>
          <w:i w:val="0"/>
        </w:rPr>
        <w:t xml:space="preserve"> Printed forms: </w:t>
      </w:r>
      <w:r>
        <w:rPr>
          <w:b w:val="0"/>
          <w:i/>
        </w:rPr>
        <w:t>futurum</w:t>
      </w:r>
      <w:r>
        <w:rPr>
          <w:b w:val="0"/>
          <w:i w:val="0"/>
        </w:rPr>
        <w:t xml:space="preserve">; </w:t>
      </w:r>
      <w:r>
        <w:rPr>
          <w:b w:val="0"/>
          <w:i/>
        </w:rPr>
        <w:t>praeteritum</w:t>
      </w:r>
      <w:r>
        <w:rPr>
          <w:b w:val="0"/>
          <w:i w:val="0"/>
        </w:rPr>
        <w:t>.</w:t>
      </w:r>
    </w:p>
    <w:p>
      <w:pPr>
        <w:widowControl/>
      </w:pPr>
      <w:r>
        <w:rPr>
          <w:b w:val="0"/>
          <w:i w:val="0"/>
        </w:rPr>
        <w:t xml:space="preserve">Past / future. Their no-longer and not-yet existence supplies the privation analysis of temporal change. References: </w:t>
      </w:r>
      <w:hyperlink w:anchor="passage-iii-1-7">
        <w:r>
          <w:rPr>
            <w:color w:val="000000"/>
          </w:rPr>
          <w:t xml:space="preserve">III.1.7</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1173" w:name="latin-record-0922"/>
      <w:bookmarkEnd w:id="1173"/>
      <w:r>
        <w:rPr>
          <w:b/>
          <w:i w:val="0"/>
        </w:rPr>
        <w:t>praevaricari / effugere</w:t>
      </w:r>
      <w:r>
        <w:rPr>
          <w:b/>
          <w:i w:val="0"/>
        </w:rPr>
        <w:t>.</w:t>
      </w:r>
      <w:r>
        <w:rPr>
          <w:b w:val="0"/>
          <w:i w:val="0"/>
        </w:rPr>
        <w:t xml:space="preserve"> Printed forms: </w:t>
      </w:r>
      <w:r>
        <w:rPr>
          <w:b w:val="0"/>
          <w:i/>
        </w:rPr>
        <w:t>effugiat</w:t>
      </w:r>
      <w:r>
        <w:rPr>
          <w:b w:val="0"/>
          <w:i w:val="0"/>
        </w:rPr>
        <w:t xml:space="preserve">; </w:t>
      </w:r>
      <w:r>
        <w:rPr>
          <w:b w:val="0"/>
          <w:i/>
        </w:rPr>
        <w:t>praevaricatur</w:t>
      </w:r>
      <w:r>
        <w:rPr>
          <w:b w:val="0"/>
          <w:i w:val="0"/>
        </w:rPr>
        <w:t>.</w:t>
      </w:r>
    </w:p>
    <w:p>
      <w:pPr>
        <w:widowControl/>
      </w:pPr>
      <w:r>
        <w:rPr>
          <w:b w:val="0"/>
          <w:i w:val="0"/>
        </w:rPr>
        <w:t xml:space="preserve">Transgress or deviate / escape. No contingent event is said to transgress so far as to escape the ordainer’s providence. References: </w:t>
      </w:r>
      <w:hyperlink w:anchor="passage-ii-12-21">
        <w:r>
          <w:rPr>
            <w:color w:val="000000"/>
          </w:rPr>
          <w:t xml:space="preserve">II.12.21</w:t>
        </w:r>
      </w:hyperlink>
      <w:r>
        <w:rPr>
          <w:b w:val="0"/>
          <w:i w:val="0"/>
        </w:rPr>
        <w:t xml:space="preserve">. See </w:t>
      </w:r>
      <w:hyperlink w:anchor="contingency">
        <w:r>
          <w:rPr>
            <w:color w:val="000000"/>
          </w:rPr>
          <w:t xml:space="preserve">Contingency</w:t>
        </w:r>
      </w:hyperlink>
      <w:r>
        <w:rPr>
          <w:b w:val="0"/>
          <w:i w:val="0"/>
        </w:rPr>
        <w:t>.</w:t>
      </w:r>
    </w:p>
    <w:p>
      <w:pPr>
        <w:keepNext/>
        <w:widowControl/>
      </w:pPr>
      <w:bookmarkStart w:id="1174" w:name="latin-record-0923"/>
      <w:bookmarkEnd w:id="1174"/>
      <w:r>
        <w:rPr>
          <w:b/>
          <w:i w:val="0"/>
        </w:rPr>
        <w:t>primo agere</w:t>
      </w:r>
      <w:r>
        <w:rPr>
          <w:b/>
          <w:i w:val="0"/>
        </w:rPr>
        <w:t>.</w:t>
      </w:r>
      <w:r>
        <w:rPr>
          <w:b w:val="0"/>
          <w:i w:val="0"/>
        </w:rPr>
        <w:t xml:space="preserve"> Printed forms: </w:t>
      </w:r>
      <w:r>
        <w:rPr>
          <w:b w:val="0"/>
          <w:i/>
        </w:rPr>
        <w:t>agit primo</w:t>
      </w:r>
      <w:r>
        <w:rPr>
          <w:b w:val="0"/>
          <w:i w:val="0"/>
        </w:rPr>
        <w:t xml:space="preserve">; </w:t>
      </w:r>
      <w:r>
        <w:rPr>
          <w:b w:val="0"/>
          <w:i/>
        </w:rPr>
        <w:t>primo agit</w:t>
      </w:r>
      <w:r>
        <w:rPr>
          <w:b w:val="0"/>
          <w:i w:val="0"/>
        </w:rPr>
        <w:t>.</w:t>
      </w:r>
    </w:p>
    <w:p>
      <w:pPr>
        <w:widowControl/>
      </w:pPr>
      <w:r>
        <w:rPr>
          <w:b w:val="0"/>
          <w:i w:val="0"/>
        </w:rPr>
        <w:t xml:space="preserve">To act primarily, as the principal agent. The composite rather than one of its parts is the primary bodily agent; God therefore cannot merely be matter’s form. References: </w:t>
      </w:r>
      <w:hyperlink w:anchor="passage-iv-1-26">
        <w:r>
          <w:rPr>
            <w:color w:val="000000"/>
          </w:rPr>
          <w:t xml:space="preserve">IV.1.26</w:t>
        </w:r>
      </w:hyperlink>
      <w:r>
        <w:rPr>
          <w:b w:val="0"/>
          <w:i w:val="0"/>
        </w:rPr>
        <w:t xml:space="preserve">. See </w:t>
      </w:r>
      <w:hyperlink w:anchor="cause">
        <w:r>
          <w:rPr>
            <w:color w:val="000000"/>
          </w:rPr>
          <w:t xml:space="preserve">Cause</w:t>
        </w:r>
      </w:hyperlink>
      <w:r>
        <w:rPr>
          <w:b w:val="0"/>
          <w:i w:val="0"/>
        </w:rPr>
        <w:t>.</w:t>
      </w:r>
    </w:p>
    <w:p>
      <w:pPr>
        <w:keepNext/>
        <w:widowControl/>
      </w:pPr>
      <w:bookmarkStart w:id="1175" w:name="latin-record-0924"/>
      <w:bookmarkEnd w:id="1175"/>
      <w:r>
        <w:rPr>
          <w:b/>
          <w:i w:val="0"/>
        </w:rPr>
        <w:t>primum / summum / ultimum</w:t>
      </w:r>
      <w:r>
        <w:rPr>
          <w:b/>
          <w:i w:val="0"/>
        </w:rPr>
        <w:t>.</w:t>
      </w:r>
      <w:r>
        <w:rPr>
          <w:b w:val="0"/>
          <w:i w:val="0"/>
        </w:rPr>
        <w:t xml:space="preserve"> Printed forms: </w:t>
      </w:r>
      <w:r>
        <w:rPr>
          <w:b w:val="0"/>
          <w:i/>
        </w:rPr>
        <w:t>primo</w:t>
      </w:r>
      <w:r>
        <w:rPr>
          <w:b w:val="0"/>
          <w:i w:val="0"/>
        </w:rPr>
        <w:t xml:space="preserve">; </w:t>
      </w:r>
      <w:r>
        <w:rPr>
          <w:b w:val="0"/>
          <w:i/>
        </w:rPr>
        <w:t>primum</w:t>
      </w:r>
      <w:r>
        <w:rPr>
          <w:b w:val="0"/>
          <w:i w:val="0"/>
        </w:rPr>
        <w:t xml:space="preserve">; </w:t>
      </w:r>
      <w:r>
        <w:rPr>
          <w:b w:val="0"/>
          <w:i/>
        </w:rPr>
        <w:t>primumque</w:t>
      </w:r>
      <w:r>
        <w:rPr>
          <w:b w:val="0"/>
          <w:i w:val="0"/>
        </w:rPr>
        <w:t xml:space="preserve">; </w:t>
      </w:r>
      <w:r>
        <w:rPr>
          <w:b w:val="0"/>
          <w:i/>
        </w:rPr>
        <w:t>summa</w:t>
      </w:r>
      <w:r>
        <w:rPr>
          <w:b w:val="0"/>
          <w:i w:val="0"/>
        </w:rPr>
        <w:t xml:space="preserve">; </w:t>
      </w:r>
      <w:r>
        <w:rPr>
          <w:b w:val="0"/>
          <w:i/>
        </w:rPr>
        <w:t>summam</w:t>
      </w:r>
      <w:r>
        <w:rPr>
          <w:b w:val="0"/>
          <w:i w:val="0"/>
        </w:rPr>
        <w:t xml:space="preserve">; </w:t>
      </w:r>
      <w:r>
        <w:rPr>
          <w:b w:val="0"/>
          <w:i/>
        </w:rPr>
        <w:t>Ultimum</w:t>
      </w:r>
      <w:r>
        <w:rPr>
          <w:b w:val="0"/>
          <w:i w:val="0"/>
        </w:rPr>
        <w:t xml:space="preserve">; </w:t>
      </w:r>
      <w:r>
        <w:rPr>
          <w:b w:val="0"/>
          <w:i/>
        </w:rPr>
        <w:t>ultimus</w:t>
      </w:r>
      <w:r>
        <w:rPr>
          <w:b w:val="0"/>
          <w:i w:val="0"/>
        </w:rPr>
        <w:t>.</w:t>
      </w:r>
    </w:p>
    <w:p>
      <w:pPr>
        <w:widowControl/>
      </w:pPr>
      <w:r>
        <w:rPr>
          <w:b w:val="0"/>
          <w:i w:val="0"/>
        </w:rPr>
        <w:t xml:space="preserve">First / highest / last or final. Priority, rank, and finality can coincide in the divine first principle but are not identical lexical notions. References: </w:t>
      </w:r>
      <w:hyperlink w:anchor="passage-ii-11-35">
        <w:r>
          <w:rPr>
            <w:color w:val="000000"/>
          </w:rPr>
          <w:t xml:space="preserve">II.11.35</w:t>
        </w:r>
      </w:hyperlink>
      <w:r>
        <w:rPr>
          <w:b w:val="0"/>
          <w:i w:val="0"/>
        </w:rPr>
        <w:t xml:space="preserve">, </w:t>
      </w:r>
      <w:hyperlink w:anchor="passage-ii-12-12">
        <w:r>
          <w:rPr>
            <w:color w:val="000000"/>
          </w:rPr>
          <w:t xml:space="preserve">II.12.12</w:t>
        </w:r>
      </w:hyperlink>
      <w:r>
        <w:rPr>
          <w:b w:val="0"/>
          <w:i w:val="0"/>
        </w:rPr>
        <w:t xml:space="preserve">, </w:t>
      </w:r>
      <w:hyperlink w:anchor="passage-iii-1-23">
        <w:r>
          <w:rPr>
            <w:color w:val="000000"/>
          </w:rPr>
          <w:t xml:space="preserve">III.1.23</w:t>
        </w:r>
      </w:hyperlink>
      <w:r>
        <w:rPr>
          <w:b w:val="0"/>
          <w:i w:val="0"/>
        </w:rPr>
        <w:t xml:space="preserve">. See </w:t>
      </w:r>
      <w:hyperlink w:anchor="principle">
        <w:r>
          <w:rPr>
            <w:color w:val="000000"/>
          </w:rPr>
          <w:t xml:space="preserve">Principle</w:t>
        </w:r>
      </w:hyperlink>
      <w:r>
        <w:rPr>
          <w:b w:val="0"/>
          <w:i w:val="0"/>
        </w:rPr>
        <w:t>.</w:t>
      </w:r>
    </w:p>
    <w:p>
      <w:pPr>
        <w:keepNext/>
        <w:widowControl/>
      </w:pPr>
      <w:bookmarkStart w:id="1176" w:name="latin-record-0925"/>
      <w:bookmarkEnd w:id="1176"/>
      <w:r>
        <w:rPr>
          <w:b/>
          <w:i w:val="0"/>
        </w:rPr>
        <w:t>primum / ultimum</w:t>
      </w:r>
      <w:r>
        <w:rPr>
          <w:b/>
          <w:i w:val="0"/>
        </w:rPr>
        <w:t>.</w:t>
      </w:r>
      <w:r>
        <w:rPr>
          <w:b w:val="0"/>
          <w:i w:val="0"/>
        </w:rPr>
        <w:t xml:space="preserve"> Printed forms: </w:t>
      </w:r>
      <w:r>
        <w:rPr>
          <w:b w:val="0"/>
          <w:i/>
        </w:rPr>
        <w:t>primum</w:t>
      </w:r>
      <w:r>
        <w:rPr>
          <w:b w:val="0"/>
          <w:i w:val="0"/>
        </w:rPr>
        <w:t xml:space="preserve">; </w:t>
      </w:r>
      <w:r>
        <w:rPr>
          <w:b w:val="0"/>
          <w:i/>
        </w:rPr>
        <w:t>ultimum</w:t>
      </w:r>
      <w:r>
        <w:rPr>
          <w:b w:val="0"/>
          <w:i w:val="0"/>
        </w:rPr>
        <w:t>.</w:t>
      </w:r>
    </w:p>
    <w:p>
      <w:pPr>
        <w:widowControl/>
      </w:pPr>
      <w:r>
        <w:rPr>
          <w:b w:val="0"/>
          <w:i w:val="0"/>
        </w:rPr>
        <w:t xml:space="preserve">First and last in a causal or ontological order. God’s universal action and matter’s universal passivity are opposed as first and last; the ordering is not merely chronological. References: </w:t>
      </w:r>
      <w:hyperlink w:anchor="passage-i-2-6">
        <w:r>
          <w:rPr>
            <w:color w:val="000000"/>
          </w:rPr>
          <w:t xml:space="preserve">I.2.6</w:t>
        </w:r>
      </w:hyperlink>
      <w:r>
        <w:rPr>
          <w:b w:val="0"/>
          <w:i w:val="0"/>
        </w:rPr>
        <w:t xml:space="preserve">. See </w:t>
      </w:r>
      <w:hyperlink w:anchor="principle">
        <w:r>
          <w:rPr>
            <w:color w:val="000000"/>
          </w:rPr>
          <w:t xml:space="preserve">Principle</w:t>
        </w:r>
      </w:hyperlink>
      <w:r>
        <w:rPr>
          <w:b w:val="0"/>
          <w:i w:val="0"/>
        </w:rPr>
        <w:t>.</w:t>
      </w:r>
    </w:p>
    <w:p>
      <w:pPr>
        <w:keepNext/>
        <w:widowControl/>
      </w:pPr>
      <w:bookmarkStart w:id="1177" w:name="latin-record-0926"/>
      <w:bookmarkEnd w:id="1177"/>
      <w:r>
        <w:rPr>
          <w:b/>
          <w:i w:val="0"/>
        </w:rPr>
        <w:t>princeps</w:t>
      </w:r>
      <w:r>
        <w:rPr>
          <w:b/>
          <w:i w:val="0"/>
        </w:rPr>
        <w:t>.</w:t>
      </w:r>
      <w:r>
        <w:rPr>
          <w:b w:val="0"/>
          <w:i w:val="0"/>
        </w:rPr>
        <w:t xml:space="preserve"> Printed forms: </w:t>
      </w:r>
      <w:r>
        <w:rPr>
          <w:b w:val="0"/>
          <w:i/>
        </w:rPr>
        <w:t>principem</w:t>
      </w:r>
      <w:r>
        <w:rPr>
          <w:b w:val="0"/>
          <w:i w:val="0"/>
        </w:rPr>
        <w:t xml:space="preserve">; </w:t>
      </w:r>
      <w:r>
        <w:rPr>
          <w:b w:val="0"/>
          <w:i/>
        </w:rPr>
        <w:t>principes</w:t>
      </w:r>
      <w:r>
        <w:rPr>
          <w:b w:val="0"/>
          <w:i w:val="0"/>
        </w:rPr>
        <w:t>.</w:t>
      </w:r>
    </w:p>
    <w:p>
      <w:pPr>
        <w:widowControl/>
      </w:pPr>
      <w:r>
        <w:rPr>
          <w:b w:val="0"/>
          <w:i w:val="0"/>
        </w:rPr>
        <w:t xml:space="preserve">Ruler or principal source. Twelve leading souls rule a multitude in the excursion; the Magian three rulers distribute unity, order, and motion; the final motion argument distinguishes a chief source from subordinate movers. A princeps need not be an embodied political ruler. References: </w:t>
      </w:r>
      <w:hyperlink w:anchor="passage-iv-1-41">
        <w:r>
          <w:rPr>
            <w:color w:val="000000"/>
          </w:rPr>
          <w:t xml:space="preserve">IV.1.41</w:t>
        </w:r>
      </w:hyperlink>
      <w:r>
        <w:rPr>
          <w:b w:val="0"/>
          <w:i w:val="0"/>
        </w:rPr>
        <w:t xml:space="preserve">, </w:t>
      </w:r>
      <w:hyperlink w:anchor="passage-iv-1-86">
        <w:r>
          <w:rPr>
            <w:color w:val="000000"/>
          </w:rPr>
          <w:t xml:space="preserve">IV.1.86</w:t>
        </w:r>
      </w:hyperlink>
      <w:r>
        <w:rPr>
          <w:b w:val="0"/>
          <w:i w:val="0"/>
        </w:rPr>
        <w:t xml:space="preserve">, </w:t>
      </w:r>
      <w:hyperlink w:anchor="passage-iv-2-27">
        <w:r>
          <w:rPr>
            <w:color w:val="000000"/>
          </w:rPr>
          <w:t xml:space="preserve">IV.2.27</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1178" w:name="latin-record-0927"/>
      <w:bookmarkEnd w:id="1178"/>
      <w:r>
        <w:rPr>
          <w:b/>
          <w:i w:val="0"/>
        </w:rPr>
        <w:t>principatus / gubernare / regere</w:t>
      </w:r>
      <w:r>
        <w:rPr>
          <w:b/>
          <w:i w:val="0"/>
        </w:rPr>
        <w:t>.</w:t>
      </w:r>
      <w:r>
        <w:rPr>
          <w:b w:val="0"/>
          <w:i w:val="0"/>
        </w:rPr>
        <w:t xml:space="preserve"> Printed forms: </w:t>
      </w:r>
      <w:r>
        <w:rPr>
          <w:b w:val="0"/>
          <w:i/>
        </w:rPr>
        <w:t>gubernando</w:t>
      </w:r>
      <w:r>
        <w:rPr>
          <w:b w:val="0"/>
          <w:i w:val="0"/>
        </w:rPr>
        <w:t xml:space="preserve">; </w:t>
      </w:r>
      <w:r>
        <w:rPr>
          <w:b w:val="0"/>
          <w:i/>
        </w:rPr>
        <w:t>gubernatore</w:t>
      </w:r>
      <w:r>
        <w:rPr>
          <w:b w:val="0"/>
          <w:i w:val="0"/>
        </w:rPr>
        <w:t xml:space="preserve">; </w:t>
      </w:r>
      <w:r>
        <w:rPr>
          <w:b w:val="0"/>
          <w:i/>
        </w:rPr>
        <w:t>princeps</w:t>
      </w:r>
      <w:r>
        <w:rPr>
          <w:b w:val="0"/>
          <w:i w:val="0"/>
        </w:rPr>
        <w:t xml:space="preserve">; </w:t>
      </w:r>
      <w:r>
        <w:rPr>
          <w:b w:val="0"/>
          <w:i/>
        </w:rPr>
        <w:t>principem</w:t>
      </w:r>
      <w:r>
        <w:rPr>
          <w:b w:val="0"/>
          <w:i w:val="0"/>
        </w:rPr>
        <w:t xml:space="preserve">; </w:t>
      </w:r>
      <w:r>
        <w:rPr>
          <w:b w:val="0"/>
          <w:i/>
        </w:rPr>
        <w:t>regit</w:t>
      </w:r>
      <w:r>
        <w:rPr>
          <w:b w:val="0"/>
          <w:i w:val="0"/>
        </w:rPr>
        <w:t>.</w:t>
      </w:r>
    </w:p>
    <w:p>
      <w:pPr>
        <w:widowControl/>
      </w:pPr>
      <w:r>
        <w:rPr>
          <w:b w:val="0"/>
          <w:i w:val="0"/>
        </w:rPr>
        <w:t xml:space="preserve">Governance, leadership, or preeminence. The common ruler of species and cosmic governor differ from an animating mind’s localized governance within the reported presence theory. References: </w:t>
      </w:r>
      <w:hyperlink w:anchor="passage-ii-2-7">
        <w:r>
          <w:rPr>
            <w:color w:val="000000"/>
          </w:rPr>
          <w:t xml:space="preserve">II.2.7</w:t>
        </w:r>
      </w:hyperlink>
      <w:r>
        <w:rPr>
          <w:b w:val="0"/>
          <w:i w:val="0"/>
        </w:rPr>
        <w:t xml:space="preserve">, </w:t>
      </w:r>
      <w:hyperlink w:anchor="passage-ii-4-7">
        <w:r>
          <w:rPr>
            <w:color w:val="000000"/>
          </w:rPr>
          <w:t xml:space="preserve">II.4.7</w:t>
        </w:r>
      </w:hyperlink>
      <w:r>
        <w:rPr>
          <w:b w:val="0"/>
          <w:i w:val="0"/>
        </w:rPr>
        <w:t xml:space="preserve">, </w:t>
      </w:r>
      <w:hyperlink w:anchor="passage-ii-6-11">
        <w:r>
          <w:rPr>
            <w:color w:val="000000"/>
          </w:rPr>
          <w:t xml:space="preserve">II.6.11</w:t>
        </w:r>
      </w:hyperlink>
      <w:r>
        <w:rPr>
          <w:b w:val="0"/>
          <w:i w:val="0"/>
        </w:rPr>
        <w:t xml:space="preserve">, </w:t>
      </w:r>
      <w:hyperlink w:anchor="passage-ii-6-24">
        <w:r>
          <w:rPr>
            <w:color w:val="000000"/>
          </w:rPr>
          <w:t xml:space="preserve">II.6.24</w:t>
        </w:r>
      </w:hyperlink>
      <w:r>
        <w:rPr>
          <w:b w:val="0"/>
          <w:i w:val="0"/>
        </w:rPr>
        <w:t xml:space="preserve">. See </w:t>
      </w:r>
      <w:hyperlink w:anchor="army-and-commander">
        <w:r>
          <w:rPr>
            <w:color w:val="000000"/>
          </w:rPr>
          <w:t xml:space="preserve">Army and commander</w:t>
        </w:r>
      </w:hyperlink>
      <w:r>
        <w:rPr>
          <w:b w:val="0"/>
          <w:i w:val="0"/>
        </w:rPr>
        <w:t>.</w:t>
      </w:r>
    </w:p>
    <w:p>
      <w:pPr>
        <w:keepNext/>
        <w:widowControl/>
      </w:pPr>
      <w:bookmarkStart w:id="1179" w:name="latin-record-0928"/>
      <w:bookmarkEnd w:id="1179"/>
      <w:r>
        <w:rPr>
          <w:b/>
          <w:i w:val="0"/>
        </w:rPr>
        <w:t>principium / origo</w:t>
      </w:r>
      <w:r>
        <w:rPr>
          <w:b/>
          <w:i w:val="0"/>
        </w:rPr>
        <w:t>.</w:t>
      </w:r>
      <w:r>
        <w:rPr>
          <w:b w:val="0"/>
          <w:i w:val="0"/>
        </w:rPr>
        <w:t xml:space="preserve"> Printed forms: </w:t>
      </w:r>
      <w:r>
        <w:rPr>
          <w:b w:val="0"/>
          <w:i/>
        </w:rPr>
        <w:t>origo</w:t>
      </w:r>
      <w:r>
        <w:rPr>
          <w:b w:val="0"/>
          <w:i w:val="0"/>
        </w:rPr>
        <w:t xml:space="preserve">; </w:t>
      </w:r>
      <w:r>
        <w:rPr>
          <w:b w:val="0"/>
          <w:i/>
        </w:rPr>
        <w:t>principium</w:t>
      </w:r>
      <w:r>
        <w:rPr>
          <w:b w:val="0"/>
          <w:i w:val="0"/>
        </w:rPr>
        <w:t>.</w:t>
      </w:r>
    </w:p>
    <w:p>
      <w:pPr>
        <w:widowControl/>
      </w:pPr>
      <w:r>
        <w:rPr>
          <w:b w:val="0"/>
          <w:i w:val="0"/>
        </w:rPr>
        <w:t xml:space="preserve">Source or principle, and origin of being or action. The first principle also serves as the final end; a proximate producer is not therefore the first origin of its own efficacy. References: </w:t>
      </w:r>
      <w:hyperlink w:anchor="passage-ii-1-2">
        <w:r>
          <w:rPr>
            <w:color w:val="000000"/>
          </w:rPr>
          <w:t xml:space="preserve">II.1.2</w:t>
        </w:r>
      </w:hyperlink>
      <w:r>
        <w:rPr>
          <w:b w:val="0"/>
          <w:i w:val="0"/>
        </w:rPr>
        <w:t xml:space="preserve">, </w:t>
      </w:r>
      <w:hyperlink w:anchor="passage-ii-3-9">
        <w:r>
          <w:rPr>
            <w:color w:val="000000"/>
          </w:rPr>
          <w:t xml:space="preserve">II.3.9</w:t>
        </w:r>
      </w:hyperlink>
      <w:r>
        <w:rPr>
          <w:b w:val="0"/>
          <w:i w:val="0"/>
        </w:rPr>
        <w:t xml:space="preserve">, </w:t>
      </w:r>
      <w:hyperlink w:anchor="passage-ii-7-25">
        <w:r>
          <w:rPr>
            <w:color w:val="000000"/>
          </w:rPr>
          <w:t xml:space="preserve">II.7.25</w:t>
        </w:r>
      </w:hyperlink>
      <w:r>
        <w:rPr>
          <w:b w:val="0"/>
          <w:i w:val="0"/>
        </w:rPr>
        <w:t xml:space="preserve">. See </w:t>
      </w:r>
      <w:hyperlink w:anchor="principle">
        <w:r>
          <w:rPr>
            <w:color w:val="000000"/>
          </w:rPr>
          <w:t xml:space="preserve">Principle</w:t>
        </w:r>
      </w:hyperlink>
      <w:r>
        <w:rPr>
          <w:b w:val="0"/>
          <w:i w:val="0"/>
        </w:rPr>
        <w:t>.</w:t>
      </w:r>
    </w:p>
    <w:p>
      <w:pPr>
        <w:keepNext/>
        <w:widowControl/>
      </w:pPr>
      <w:bookmarkStart w:id="1180" w:name="latin-record-0929"/>
      <w:bookmarkEnd w:id="1180"/>
      <w:r>
        <w:rPr>
          <w:b/>
          <w:i w:val="0"/>
        </w:rPr>
        <w:t>prior dignitate / tempore</w:t>
      </w:r>
      <w:r>
        <w:rPr>
          <w:b/>
          <w:i w:val="0"/>
        </w:rPr>
        <w:t>.</w:t>
      </w:r>
      <w:r>
        <w:rPr>
          <w:b w:val="0"/>
          <w:i w:val="0"/>
        </w:rPr>
        <w:t xml:space="preserve"> Printed forms: </w:t>
      </w:r>
      <w:r>
        <w:rPr>
          <w:b w:val="0"/>
          <w:i/>
        </w:rPr>
        <w:t>non tempore</w:t>
      </w:r>
      <w:r>
        <w:rPr>
          <w:b w:val="0"/>
          <w:i w:val="0"/>
        </w:rPr>
        <w:t xml:space="preserve">; </w:t>
      </w:r>
      <w:r>
        <w:rPr>
          <w:b w:val="0"/>
          <w:i/>
        </w:rPr>
        <w:t>prior est dignitate</w:t>
      </w:r>
      <w:r>
        <w:rPr>
          <w:b w:val="0"/>
          <w:i w:val="0"/>
        </w:rPr>
        <w:t>.</w:t>
      </w:r>
    </w:p>
    <w:p>
      <w:pPr>
        <w:widowControl/>
      </w:pPr>
      <w:r>
        <w:rPr>
          <w:b w:val="0"/>
          <w:i w:val="0"/>
        </w:rPr>
        <w:t xml:space="preserve">Prior in rank or worth / in time. Intellectual operation has superiority in dignity without being temporally earlier in human development. References: </w:t>
      </w:r>
      <w:hyperlink w:anchor="passage-ii-11-12">
        <w:r>
          <w:rPr>
            <w:color w:val="000000"/>
          </w:rPr>
          <w:t xml:space="preserve">II.11.12</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1181" w:name="latin-record-0930"/>
      <w:bookmarkEnd w:id="1181"/>
      <w:r>
        <w:rPr>
          <w:b/>
          <w:i w:val="0"/>
        </w:rPr>
        <w:t>prior natura et dignitate</w:t>
      </w:r>
      <w:r>
        <w:rPr>
          <w:b/>
          <w:i w:val="0"/>
        </w:rPr>
        <w:t>.</w:t>
      </w:r>
      <w:r>
        <w:rPr>
          <w:b w:val="0"/>
          <w:i w:val="0"/>
        </w:rPr>
        <w:t xml:space="preserve"> Printed forms: </w:t>
      </w:r>
      <w:r>
        <w:rPr>
          <w:b w:val="0"/>
          <w:i/>
        </w:rPr>
        <w:t>per naturam et dignitatem prior</w:t>
      </w:r>
      <w:r>
        <w:rPr>
          <w:b w:val="0"/>
          <w:i w:val="0"/>
        </w:rPr>
        <w:t>.</w:t>
      </w:r>
    </w:p>
    <w:p>
      <w:pPr>
        <w:widowControl/>
      </w:pPr>
      <w:r>
        <w:rPr>
          <w:b w:val="0"/>
          <w:i w:val="0"/>
        </w:rPr>
        <w:t xml:space="preserve">Prior by nature and dignity. Substance’s priority to quantity is used to argue for its ability to exist without quantity; this is not a date of birth. References: </w:t>
      </w:r>
      <w:hyperlink w:anchor="passage-i-3-25">
        <w:r>
          <w:rPr>
            <w:color w:val="000000"/>
          </w:rPr>
          <w:t xml:space="preserve">I.3.25</w:t>
        </w:r>
      </w:hyperlink>
      <w:r>
        <w:rPr>
          <w:b w:val="0"/>
          <w:i w:val="0"/>
        </w:rPr>
        <w:t xml:space="preserve">. See </w:t>
      </w:r>
      <w:hyperlink w:anchor="precedence-and-causal-regress">
        <w:r>
          <w:rPr>
            <w:color w:val="000000"/>
          </w:rPr>
          <w:t xml:space="preserve">Precedence and causal regress</w:t>
        </w:r>
      </w:hyperlink>
      <w:r>
        <w:rPr>
          <w:b w:val="0"/>
          <w:i w:val="0"/>
        </w:rPr>
        <w:t>.</w:t>
      </w:r>
    </w:p>
    <w:p>
      <w:pPr>
        <w:keepNext/>
        <w:widowControl/>
      </w:pPr>
      <w:bookmarkStart w:id="1182" w:name="latin-record-0931"/>
      <w:bookmarkEnd w:id="1182"/>
      <w:r>
        <w:rPr>
          <w:b/>
          <w:i w:val="0"/>
        </w:rPr>
        <w:t>prius / posterius</w:t>
      </w:r>
      <w:r>
        <w:rPr>
          <w:b/>
          <w:i w:val="0"/>
        </w:rPr>
        <w:t>.</w:t>
      </w:r>
      <w:r>
        <w:rPr>
          <w:b w:val="0"/>
          <w:i w:val="0"/>
        </w:rPr>
        <w:t xml:space="preserve"> Printed forms: </w:t>
      </w:r>
      <w:r>
        <w:rPr>
          <w:b w:val="0"/>
          <w:i/>
        </w:rPr>
        <w:t>posterius</w:t>
      </w:r>
      <w:r>
        <w:rPr>
          <w:b w:val="0"/>
          <w:i w:val="0"/>
        </w:rPr>
        <w:t xml:space="preserve">; </w:t>
      </w:r>
      <w:r>
        <w:rPr>
          <w:b w:val="0"/>
          <w:i/>
        </w:rPr>
        <w:t>prior</w:t>
      </w:r>
      <w:r>
        <w:rPr>
          <w:b w:val="0"/>
          <w:i w:val="0"/>
        </w:rPr>
        <w:t xml:space="preserve">; </w:t>
      </w:r>
      <w:r>
        <w:rPr>
          <w:b w:val="0"/>
          <w:i/>
        </w:rPr>
        <w:t>prius</w:t>
      </w:r>
      <w:r>
        <w:rPr>
          <w:b w:val="0"/>
          <w:i w:val="0"/>
        </w:rPr>
        <w:t>.</w:t>
      </w:r>
    </w:p>
    <w:p>
      <w:pPr>
        <w:widowControl/>
      </w:pPr>
      <w:r>
        <w:rPr>
          <w:b w:val="0"/>
          <w:i w:val="0"/>
        </w:rPr>
        <w:t xml:space="preserve">Before or prior, and after or later. Children’s later equality in size is chronological, whereas substance’s priority to quantity is expressly by nature and dignity; the same vocabulary does not impose one ordering. References: </w:t>
      </w:r>
      <w:hyperlink w:anchor="passage-i-2-12">
        <w:r>
          <w:rPr>
            <w:color w:val="000000"/>
          </w:rPr>
          <w:t xml:space="preserve">I.2.12</w:t>
        </w:r>
      </w:hyperlink>
      <w:r>
        <w:rPr>
          <w:b w:val="0"/>
          <w:i w:val="0"/>
        </w:rPr>
        <w:t xml:space="preserve">, </w:t>
      </w:r>
      <w:hyperlink w:anchor="passage-i-3-25">
        <w:r>
          <w:rPr>
            <w:color w:val="000000"/>
          </w:rPr>
          <w:t xml:space="preserve">I.3.25</w:t>
        </w:r>
      </w:hyperlink>
      <w:r>
        <w:rPr>
          <w:b w:val="0"/>
          <w:i w:val="0"/>
        </w:rPr>
        <w:t xml:space="preserve">. See </w:t>
      </w:r>
      <w:hyperlink w:anchor="precedence-and-causal-regress">
        <w:r>
          <w:rPr>
            <w:color w:val="000000"/>
          </w:rPr>
          <w:t xml:space="preserve">Precedence and causal regress</w:t>
        </w:r>
      </w:hyperlink>
      <w:r>
        <w:rPr>
          <w:b w:val="0"/>
          <w:i w:val="0"/>
        </w:rPr>
        <w:t>.</w:t>
      </w:r>
    </w:p>
    <w:p>
      <w:pPr>
        <w:keepNext/>
        <w:widowControl/>
      </w:pPr>
      <w:bookmarkStart w:id="1183" w:name="latin-record-0932"/>
      <w:bookmarkEnd w:id="1183"/>
      <w:r>
        <w:rPr>
          <w:b/>
          <w:i w:val="0"/>
        </w:rPr>
        <w:t>prius / posterius / deinde</w:t>
      </w:r>
      <w:r>
        <w:rPr>
          <w:b/>
          <w:i w:val="0"/>
        </w:rPr>
        <w:t>.</w:t>
      </w:r>
      <w:r>
        <w:rPr>
          <w:b w:val="0"/>
          <w:i w:val="0"/>
        </w:rPr>
        <w:t xml:space="preserve"> Printed forms: </w:t>
      </w:r>
      <w:r>
        <w:rPr>
          <w:b w:val="0"/>
          <w:i/>
        </w:rPr>
        <w:t>Deinde</w:t>
      </w:r>
      <w:r>
        <w:rPr>
          <w:b w:val="0"/>
          <w:i w:val="0"/>
        </w:rPr>
        <w:t xml:space="preserve">; </w:t>
      </w:r>
      <w:r>
        <w:rPr>
          <w:b w:val="0"/>
          <w:i/>
        </w:rPr>
        <w:t>posterius</w:t>
      </w:r>
      <w:r>
        <w:rPr>
          <w:b w:val="0"/>
          <w:i w:val="0"/>
        </w:rPr>
        <w:t xml:space="preserve">; </w:t>
      </w:r>
      <w:r>
        <w:rPr>
          <w:b w:val="0"/>
          <w:i/>
        </w:rPr>
        <w:t>Prius</w:t>
      </w:r>
      <w:r>
        <w:rPr>
          <w:b w:val="0"/>
          <w:i w:val="0"/>
        </w:rPr>
        <w:t xml:space="preserve">; </w:t>
      </w:r>
      <w:r>
        <w:rPr>
          <w:b w:val="0"/>
          <w:i/>
        </w:rPr>
        <w:t>prius</w:t>
      </w:r>
      <w:r>
        <w:rPr>
          <w:b w:val="0"/>
          <w:i w:val="0"/>
        </w:rPr>
        <w:t xml:space="preserve">; </w:t>
      </w:r>
      <w:r>
        <w:rPr>
          <w:b w:val="0"/>
          <w:i/>
        </w:rPr>
        <w:t>ultimum</w:t>
      </w:r>
      <w:r>
        <w:rPr>
          <w:b w:val="0"/>
          <w:i w:val="0"/>
        </w:rPr>
        <w:t>.</w:t>
      </w:r>
    </w:p>
    <w:p>
      <w:pPr>
        <w:widowControl/>
      </w:pPr>
      <w:r>
        <w:rPr>
          <w:b w:val="0"/>
          <w:i w:val="0"/>
        </w:rPr>
        <w:t xml:space="preserve">Before, after, next, and last, here often ordering dependence. Being is prior in nature and last lost, not a temporally separate stage lacking every determination. References: </w:t>
      </w:r>
      <w:hyperlink w:anchor="passage-ii-7-20">
        <w:r>
          <w:rPr>
            <w:color w:val="000000"/>
          </w:rPr>
          <w:t xml:space="preserve">II.7.20</w:t>
        </w:r>
      </w:hyperlink>
      <w:r>
        <w:rPr>
          <w:b w:val="0"/>
          <w:i w:val="0"/>
        </w:rPr>
        <w:t xml:space="preserve">, </w:t>
      </w:r>
      <w:hyperlink w:anchor="passage-ii-7-28">
        <w:r>
          <w:rPr>
            <w:color w:val="000000"/>
          </w:rPr>
          <w:t xml:space="preserve">II.7.28</w:t>
        </w:r>
      </w:hyperlink>
      <w:r>
        <w:rPr>
          <w:b w:val="0"/>
          <w:i w:val="0"/>
        </w:rPr>
        <w:t xml:space="preserve">, </w:t>
      </w:r>
      <w:hyperlink w:anchor="passage-ii-7-29">
        <w:r>
          <w:rPr>
            <w:color w:val="000000"/>
          </w:rPr>
          <w:t xml:space="preserve">II.7.29</w:t>
        </w:r>
      </w:hyperlink>
      <w:r>
        <w:rPr>
          <w:b w:val="0"/>
          <w:i w:val="0"/>
        </w:rPr>
        <w:t xml:space="preserve">, </w:t>
      </w:r>
      <w:hyperlink w:anchor="passage-ii-7-32">
        <w:r>
          <w:rPr>
            <w:color w:val="000000"/>
          </w:rPr>
          <w:t xml:space="preserve">II.7.32</w:t>
        </w:r>
      </w:hyperlink>
      <w:r>
        <w:rPr>
          <w:b w:val="0"/>
          <w:i w:val="0"/>
        </w:rPr>
        <w:t xml:space="preserve">. See </w:t>
      </w:r>
      <w:hyperlink w:anchor="before-and-after-in-nature">
        <w:r>
          <w:rPr>
            <w:color w:val="000000"/>
          </w:rPr>
          <w:t xml:space="preserve">Before and after in nature</w:t>
        </w:r>
      </w:hyperlink>
      <w:r>
        <w:rPr>
          <w:b w:val="0"/>
          <w:i w:val="0"/>
        </w:rPr>
        <w:t>.</w:t>
      </w:r>
    </w:p>
    <w:p>
      <w:pPr>
        <w:keepNext/>
        <w:widowControl/>
      </w:pPr>
      <w:bookmarkStart w:id="1184" w:name="latin-record-0933"/>
      <w:bookmarkEnd w:id="1184"/>
      <w:r>
        <w:rPr>
          <w:b/>
          <w:i w:val="0"/>
        </w:rPr>
        <w:t>privare / expers</w:t>
      </w:r>
      <w:r>
        <w:rPr>
          <w:b/>
          <w:i w:val="0"/>
        </w:rPr>
        <w:t>.</w:t>
      </w:r>
      <w:r>
        <w:rPr>
          <w:b w:val="0"/>
          <w:i w:val="0"/>
        </w:rPr>
        <w:t xml:space="preserve"> Printed forms: </w:t>
      </w:r>
      <w:r>
        <w:rPr>
          <w:b w:val="0"/>
          <w:i/>
        </w:rPr>
        <w:t>expers</w:t>
      </w:r>
      <w:r>
        <w:rPr>
          <w:b w:val="0"/>
          <w:i w:val="0"/>
        </w:rPr>
        <w:t xml:space="preserve">; </w:t>
      </w:r>
      <w:r>
        <w:rPr>
          <w:b w:val="0"/>
          <w:i/>
        </w:rPr>
        <w:t>privata</w:t>
      </w:r>
      <w:r>
        <w:rPr>
          <w:b w:val="0"/>
          <w:i w:val="0"/>
        </w:rPr>
        <w:t xml:space="preserve">; </w:t>
      </w:r>
      <w:r>
        <w:rPr>
          <w:b w:val="0"/>
          <w:i/>
        </w:rPr>
        <w:t>privationis</w:t>
      </w:r>
      <w:r>
        <w:rPr>
          <w:b w:val="0"/>
          <w:i w:val="0"/>
        </w:rPr>
        <w:t xml:space="preserve">; </w:t>
      </w:r>
      <w:r>
        <w:rPr>
          <w:b w:val="0"/>
          <w:i/>
        </w:rPr>
        <w:t>privatum</w:t>
      </w:r>
      <w:r>
        <w:rPr>
          <w:b w:val="0"/>
          <w:i w:val="0"/>
        </w:rPr>
        <w:t>.</w:t>
      </w:r>
    </w:p>
    <w:p>
      <w:pPr>
        <w:widowControl/>
      </w:pPr>
      <w:r>
        <w:rPr>
          <w:b w:val="0"/>
          <w:i w:val="0"/>
        </w:rPr>
        <w:t xml:space="preserve">To deprive; to be without a perfection or participation. A wholly evil source would be deprived of being, life, and action because Ficino counts them as goods. References: </w:t>
      </w:r>
      <w:hyperlink w:anchor="passage-ii-1-3">
        <w:r>
          <w:rPr>
            <w:color w:val="000000"/>
          </w:rPr>
          <w:t xml:space="preserve">II.1.3</w:t>
        </w:r>
      </w:hyperlink>
      <w:r>
        <w:rPr>
          <w:b w:val="0"/>
          <w:i w:val="0"/>
        </w:rPr>
        <w:t xml:space="preserve">, </w:t>
      </w:r>
      <w:hyperlink w:anchor="passage-ii-2-15">
        <w:r>
          <w:rPr>
            <w:color w:val="000000"/>
          </w:rPr>
          <w:t xml:space="preserve">II.2.15</w:t>
        </w:r>
      </w:hyperlink>
      <w:r>
        <w:rPr>
          <w:b w:val="0"/>
          <w:i w:val="0"/>
        </w:rPr>
        <w:t xml:space="preserve">, </w:t>
      </w:r>
      <w:hyperlink w:anchor="passage-ii-4-3">
        <w:r>
          <w:rPr>
            <w:color w:val="000000"/>
          </w:rPr>
          <w:t xml:space="preserve">II.4.3</w:t>
        </w:r>
      </w:hyperlink>
      <w:r>
        <w:rPr>
          <w:b w:val="0"/>
          <w:i w:val="0"/>
        </w:rPr>
        <w:t xml:space="preserve">. See </w:t>
      </w:r>
      <w:hyperlink w:anchor="nothing-and-nonbeing">
        <w:r>
          <w:rPr>
            <w:color w:val="000000"/>
          </w:rPr>
          <w:t xml:space="preserve">Nothing and nonbeing</w:t>
        </w:r>
      </w:hyperlink>
      <w:r>
        <w:rPr>
          <w:b w:val="0"/>
          <w:i w:val="0"/>
        </w:rPr>
        <w:t>.</w:t>
      </w:r>
    </w:p>
    <w:p>
      <w:pPr>
        <w:keepNext/>
        <w:widowControl/>
      </w:pPr>
      <w:bookmarkStart w:id="1185" w:name="latin-record-0934"/>
      <w:bookmarkEnd w:id="1185"/>
      <w:r>
        <w:rPr>
          <w:b/>
          <w:i w:val="0"/>
        </w:rPr>
        <w:t>privatio / malum</w:t>
      </w:r>
      <w:r>
        <w:rPr>
          <w:b/>
          <w:i w:val="0"/>
        </w:rPr>
        <w:t>.</w:t>
      </w:r>
      <w:r>
        <w:rPr>
          <w:b w:val="0"/>
          <w:i w:val="0"/>
        </w:rPr>
        <w:t xml:space="preserve"> Printed forms: </w:t>
      </w:r>
      <w:r>
        <w:rPr>
          <w:b w:val="0"/>
          <w:i/>
        </w:rPr>
        <w:t>malum</w:t>
      </w:r>
      <w:r>
        <w:rPr>
          <w:b w:val="0"/>
          <w:i w:val="0"/>
        </w:rPr>
        <w:t xml:space="preserve">; </w:t>
      </w:r>
      <w:r>
        <w:rPr>
          <w:b w:val="0"/>
          <w:i/>
        </w:rPr>
        <w:t>privatio</w:t>
      </w:r>
      <w:r>
        <w:rPr>
          <w:b w:val="0"/>
          <w:i w:val="0"/>
        </w:rPr>
        <w:t>.</w:t>
      </w:r>
    </w:p>
    <w:p>
      <w:pPr>
        <w:widowControl/>
      </w:pPr>
      <w:r>
        <w:rPr>
          <w:b w:val="0"/>
          <w:i w:val="0"/>
        </w:rPr>
        <w:t xml:space="preserve">Privation / evil. They are known through the ideas of possession and good rather than being given a separately productive idea in this passage. References: </w:t>
      </w:r>
      <w:hyperlink w:anchor="passage-ii-11-19">
        <w:r>
          <w:rPr>
            <w:color w:val="000000"/>
          </w:rPr>
          <w:t xml:space="preserve">II.11.19</w:t>
        </w:r>
      </w:hyperlink>
      <w:r>
        <w:rPr>
          <w:b w:val="0"/>
          <w:i w:val="0"/>
        </w:rPr>
        <w:t xml:space="preserve">. See </w:t>
      </w:r>
      <w:hyperlink w:anchor="possession-and-privation">
        <w:r>
          <w:rPr>
            <w:color w:val="000000"/>
          </w:rPr>
          <w:t xml:space="preserve">Possession and privation</w:t>
        </w:r>
      </w:hyperlink>
      <w:r>
        <w:rPr>
          <w:b w:val="0"/>
          <w:i w:val="0"/>
        </w:rPr>
        <w:t>.</w:t>
      </w:r>
    </w:p>
    <w:p>
      <w:pPr>
        <w:keepNext/>
        <w:widowControl/>
      </w:pPr>
      <w:bookmarkStart w:id="1186" w:name="latin-record-0935"/>
      <w:bookmarkEnd w:id="1186"/>
      <w:r>
        <w:rPr>
          <w:b/>
          <w:i w:val="0"/>
        </w:rPr>
        <w:t>pro arbitrio</w:t>
      </w:r>
      <w:r>
        <w:rPr>
          <w:b/>
          <w:i w:val="0"/>
        </w:rPr>
        <w:t>.</w:t>
      </w:r>
      <w:r>
        <w:rPr>
          <w:b w:val="0"/>
          <w:i w:val="0"/>
        </w:rPr>
        <w:t xml:space="preserve"> Printed forms: </w:t>
      </w:r>
      <w:r>
        <w:rPr>
          <w:b w:val="0"/>
          <w:i/>
        </w:rPr>
        <w:t>pro arbitrio</w:t>
      </w:r>
      <w:r>
        <w:rPr>
          <w:b w:val="0"/>
          <w:i w:val="0"/>
        </w:rPr>
        <w:t>.</w:t>
      </w:r>
    </w:p>
    <w:p>
      <w:pPr>
        <w:widowControl/>
      </w:pPr>
      <w:r>
        <w:rPr>
          <w:b w:val="0"/>
          <w:i w:val="0"/>
        </w:rPr>
        <w:t xml:space="preserve">At will or according to one’s choice in thought. The mind extends bounded bodily quantities and conceives countless objects; this mental possibility is one premise in a further metaphysical argument. References: </w:t>
      </w:r>
      <w:hyperlink w:anchor="passage-i-5-24">
        <w:r>
          <w:rPr>
            <w:color w:val="000000"/>
          </w:rPr>
          <w:t xml:space="preserve">I.5.24</w:t>
        </w:r>
      </w:hyperlink>
      <w:r>
        <w:rPr>
          <w:b w:val="0"/>
          <w:i w:val="0"/>
        </w:rPr>
        <w:t xml:space="preserve">. See </w:t>
      </w:r>
      <w:hyperlink w:anchor="choice-and-free-judgment">
        <w:r>
          <w:rPr>
            <w:color w:val="000000"/>
          </w:rPr>
          <w:t xml:space="preserve">Choice and free judgment</w:t>
        </w:r>
      </w:hyperlink>
      <w:r>
        <w:rPr>
          <w:b w:val="0"/>
          <w:i w:val="0"/>
        </w:rPr>
        <w:t>.</w:t>
      </w:r>
    </w:p>
    <w:p>
      <w:pPr>
        <w:widowControl/>
      </w:pPr>
      <w:r>
        <w:rPr>
          <w:b w:val="0"/>
          <w:i w:val="0"/>
        </w:rPr>
        <w:t xml:space="preserve">At will or according to one’s choice of continuation. Human thought can continue numerical series, used in the dilemma against a fixed upper bound of divine knowledge. References: </w:t>
      </w:r>
      <w:hyperlink w:anchor="passage-ii-10-7">
        <w:r>
          <w:rPr>
            <w:color w:val="000000"/>
          </w:rPr>
          <w:t xml:space="preserve">II.10.7</w:t>
        </w:r>
      </w:hyperlink>
      <w:r>
        <w:rPr>
          <w:b w:val="0"/>
          <w:i w:val="0"/>
        </w:rPr>
        <w:t xml:space="preserve">. See </w:t>
      </w:r>
      <w:hyperlink w:anchor="infinity">
        <w:r>
          <w:rPr>
            <w:color w:val="000000"/>
          </w:rPr>
          <w:t xml:space="preserve">Infinity</w:t>
        </w:r>
      </w:hyperlink>
      <w:r>
        <w:rPr>
          <w:b w:val="0"/>
          <w:i w:val="0"/>
        </w:rPr>
        <w:t>.</w:t>
      </w:r>
    </w:p>
    <w:p>
      <w:pPr>
        <w:keepNext/>
        <w:widowControl/>
      </w:pPr>
      <w:bookmarkStart w:id="1187" w:name="latin-record-0936"/>
      <w:bookmarkEnd w:id="1187"/>
      <w:r>
        <w:rPr>
          <w:b/>
          <w:i w:val="0"/>
        </w:rPr>
        <w:t>probabilis / computo</w:t>
      </w:r>
      <w:r>
        <w:rPr>
          <w:b/>
          <w:i w:val="0"/>
        </w:rPr>
        <w:t>.</w:t>
      </w:r>
      <w:r>
        <w:rPr>
          <w:b w:val="0"/>
          <w:i w:val="0"/>
        </w:rPr>
        <w:t xml:space="preserve"> Printed forms: </w:t>
      </w:r>
      <w:r>
        <w:rPr>
          <w:b w:val="0"/>
          <w:i/>
        </w:rPr>
        <w:t>computavisse</w:t>
      </w:r>
      <w:r>
        <w:rPr>
          <w:b w:val="0"/>
          <w:i w:val="0"/>
        </w:rPr>
        <w:t xml:space="preserve">; </w:t>
      </w:r>
      <w:r>
        <w:rPr>
          <w:b w:val="0"/>
          <w:i/>
        </w:rPr>
        <w:t>probabili</w:t>
      </w:r>
      <w:r>
        <w:rPr>
          <w:b w:val="0"/>
          <w:i w:val="0"/>
        </w:rPr>
        <w:t>.</w:t>
      </w:r>
    </w:p>
    <w:p>
      <w:pPr>
        <w:widowControl/>
      </w:pPr>
      <w:r>
        <w:rPr>
          <w:b w:val="0"/>
          <w:i w:val="0"/>
        </w:rPr>
        <w:t xml:space="preserve">Probable, and to calculate. Aristotle’s reported number of movers is explicitly calculated by probable reasoning, which motivates deference rather than a dogmatic final census. References: </w:t>
      </w:r>
      <w:hyperlink w:anchor="passage-i-5-20">
        <w:r>
          <w:rPr>
            <w:color w:val="000000"/>
          </w:rPr>
          <w:t xml:space="preserve">I.5.20</w:t>
        </w:r>
      </w:hyperlink>
      <w:r>
        <w:rPr>
          <w:b w:val="0"/>
          <w:i w:val="0"/>
        </w:rPr>
        <w:t xml:space="preserve">. See </w:t>
      </w:r>
      <w:hyperlink w:anchor="aristotle-avicenna-and-counting-minds">
        <w:r>
          <w:rPr>
            <w:color w:val="000000"/>
          </w:rPr>
          <w:t xml:space="preserve">Aristotle, Avicenna and counting minds</w:t>
        </w:r>
      </w:hyperlink>
      <w:r>
        <w:rPr>
          <w:b w:val="0"/>
          <w:i w:val="0"/>
        </w:rPr>
        <w:t>.</w:t>
      </w:r>
    </w:p>
    <w:p>
      <w:pPr>
        <w:keepNext/>
        <w:widowControl/>
      </w:pPr>
      <w:bookmarkStart w:id="1188" w:name="latin-record-0937"/>
      <w:bookmarkEnd w:id="1188"/>
      <w:r>
        <w:rPr>
          <w:b/>
          <w:i w:val="0"/>
        </w:rPr>
        <w:t>probare / ostendere / demonstrare</w:t>
      </w:r>
      <w:r>
        <w:rPr>
          <w:b/>
          <w:i w:val="0"/>
        </w:rPr>
        <w:t>.</w:t>
      </w:r>
      <w:r>
        <w:rPr>
          <w:b w:val="0"/>
          <w:i w:val="0"/>
        </w:rPr>
        <w:t xml:space="preserve"> Printed forms: </w:t>
      </w:r>
      <w:r>
        <w:rPr>
          <w:b w:val="0"/>
          <w:i/>
        </w:rPr>
        <w:t>demonstrandum</w:t>
      </w:r>
      <w:r>
        <w:rPr>
          <w:b w:val="0"/>
          <w:i w:val="0"/>
        </w:rPr>
        <w:t xml:space="preserve">; </w:t>
      </w:r>
      <w:r>
        <w:rPr>
          <w:b w:val="0"/>
          <w:i/>
        </w:rPr>
        <w:t>probatum</w:t>
      </w:r>
      <w:r>
        <w:rPr>
          <w:b w:val="0"/>
          <w:i w:val="0"/>
        </w:rPr>
        <w:t>.</w:t>
      </w:r>
    </w:p>
    <w:p>
      <w:pPr>
        <w:widowControl/>
      </w:pPr>
      <w:r>
        <w:rPr>
          <w:b w:val="0"/>
          <w:i w:val="0"/>
        </w:rPr>
        <w:t xml:space="preserve">Prove, show, or demonstrate. The opening of II.12 distinguishes what Ficino judges sufficiently proved from the necessary–free thesis he next proposes to demonstrate. References: </w:t>
      </w:r>
      <w:hyperlink w:anchor="passage-ii-12-1">
        <w:r>
          <w:rPr>
            <w:color w:val="000000"/>
          </w:rPr>
          <w:t xml:space="preserve">II.12.1</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1189" w:name="latin-record-0938"/>
      <w:bookmarkEnd w:id="1189"/>
      <w:r>
        <w:rPr>
          <w:b/>
          <w:i w:val="0"/>
        </w:rPr>
        <w:t>probo / comprobo</w:t>
      </w:r>
      <w:r>
        <w:rPr>
          <w:b/>
          <w:i w:val="0"/>
        </w:rPr>
        <w:t>.</w:t>
      </w:r>
      <w:r>
        <w:rPr>
          <w:b w:val="0"/>
          <w:i w:val="0"/>
        </w:rPr>
        <w:t xml:space="preserve"> Printed forms: </w:t>
      </w:r>
      <w:r>
        <w:rPr>
          <w:b w:val="0"/>
          <w:i/>
        </w:rPr>
        <w:t>comprobet</w:t>
      </w:r>
      <w:r>
        <w:rPr>
          <w:b w:val="0"/>
          <w:i w:val="0"/>
        </w:rPr>
        <w:t xml:space="preserve">; </w:t>
      </w:r>
      <w:r>
        <w:rPr>
          <w:b w:val="0"/>
          <w:i/>
        </w:rPr>
        <w:t>probatum</w:t>
      </w:r>
      <w:r>
        <w:rPr>
          <w:b w:val="0"/>
          <w:i w:val="0"/>
        </w:rPr>
        <w:t>.</w:t>
      </w:r>
    </w:p>
    <w:p>
      <w:pPr>
        <w:widowControl/>
      </w:pPr>
      <w:r>
        <w:rPr>
          <w:b w:val="0"/>
          <w:i w:val="0"/>
        </w:rPr>
        <w:t xml:space="preserve">To approve or establish, with the force fixed by the object. Ficino wishes to approve nothing except as divine law approves it; this is an authorial theological condition, not merely the vocabulary of formal proof. References: </w:t>
      </w:r>
      <w:hyperlink w:anchor="passage-proem-10">
        <w:r>
          <w:rPr>
            <w:color w:val="000000"/>
          </w:rPr>
          <w:t xml:space="preserve">Proem.10</w:t>
        </w:r>
      </w:hyperlink>
      <w:r>
        <w:rPr>
          <w:b w:val="0"/>
          <w:i w:val="0"/>
        </w:rPr>
        <w:t xml:space="preserve">. See </w:t>
      </w:r>
      <w:hyperlink w:anchor="assent-approval-and-belief">
        <w:r>
          <w:rPr>
            <w:color w:val="000000"/>
          </w:rPr>
          <w:t xml:space="preserve">Assent, approval and belief</w:t>
        </w:r>
      </w:hyperlink>
      <w:r>
        <w:rPr>
          <w:b w:val="0"/>
          <w:i w:val="0"/>
        </w:rPr>
        <w:t>.</w:t>
      </w:r>
    </w:p>
    <w:p>
      <w:pPr>
        <w:keepNext/>
        <w:widowControl/>
      </w:pPr>
      <w:bookmarkStart w:id="1190" w:name="latin-record-0939"/>
      <w:bookmarkEnd w:id="1190"/>
      <w:r>
        <w:rPr>
          <w:b/>
          <w:i w:val="0"/>
        </w:rPr>
        <w:t>procedere / progredi / proficere</w:t>
      </w:r>
      <w:r>
        <w:rPr>
          <w:b/>
          <w:i w:val="0"/>
        </w:rPr>
        <w:t>.</w:t>
      </w:r>
      <w:r>
        <w:rPr>
          <w:b w:val="0"/>
          <w:i w:val="0"/>
        </w:rPr>
        <w:t xml:space="preserve"> Printed forms: </w:t>
      </w:r>
      <w:r>
        <w:rPr>
          <w:b w:val="0"/>
          <w:i/>
        </w:rPr>
        <w:t>pervenire</w:t>
      </w:r>
      <w:r>
        <w:rPr>
          <w:b w:val="0"/>
          <w:i w:val="0"/>
        </w:rPr>
        <w:t xml:space="preserve">; </w:t>
      </w:r>
      <w:r>
        <w:rPr>
          <w:b w:val="0"/>
          <w:i/>
        </w:rPr>
        <w:t>proficit</w:t>
      </w:r>
      <w:r>
        <w:rPr>
          <w:b w:val="0"/>
          <w:i w:val="0"/>
        </w:rPr>
        <w:t xml:space="preserve">; </w:t>
      </w:r>
      <w:r>
        <w:rPr>
          <w:b w:val="0"/>
          <w:i/>
        </w:rPr>
        <w:t>progredi</w:t>
      </w:r>
      <w:r>
        <w:rPr>
          <w:b w:val="0"/>
          <w:i w:val="0"/>
        </w:rPr>
        <w:t xml:space="preserve">; </w:t>
      </w:r>
      <w:r>
        <w:rPr>
          <w:b w:val="0"/>
          <w:i/>
        </w:rPr>
        <w:t>progrediantur</w:t>
      </w:r>
      <w:r>
        <w:rPr>
          <w:b w:val="0"/>
          <w:i w:val="0"/>
        </w:rPr>
        <w:t xml:space="preserve">; </w:t>
      </w:r>
      <w:r>
        <w:rPr>
          <w:b w:val="0"/>
          <w:i/>
        </w:rPr>
        <w:t>progreditur</w:t>
      </w:r>
      <w:r>
        <w:rPr>
          <w:b w:val="0"/>
          <w:i w:val="0"/>
        </w:rPr>
        <w:t xml:space="preserve">; </w:t>
      </w:r>
      <w:r>
        <w:rPr>
          <w:b w:val="0"/>
          <w:i/>
        </w:rPr>
        <w:t>progressionem</w:t>
      </w:r>
      <w:r>
        <w:rPr>
          <w:b w:val="0"/>
          <w:i w:val="0"/>
        </w:rPr>
        <w:t>.</w:t>
      </w:r>
    </w:p>
    <w:p>
      <w:pPr>
        <w:widowControl/>
      </w:pPr>
      <w:r>
        <w:rPr>
          <w:b w:val="0"/>
          <w:i w:val="0"/>
        </w:rPr>
        <w:t xml:space="preserve">To advance or progress in a sequence or toward a condition. Indefinite thought-progress, increasing likeness, and attainment of intelligibility are not one physical journey. References: </w:t>
      </w:r>
      <w:hyperlink w:anchor="passage-ii-4-4">
        <w:r>
          <w:rPr>
            <w:color w:val="000000"/>
          </w:rPr>
          <w:t xml:space="preserve">II.4.4</w:t>
        </w:r>
      </w:hyperlink>
      <w:r>
        <w:rPr>
          <w:b w:val="0"/>
          <w:i w:val="0"/>
        </w:rPr>
        <w:t xml:space="preserve">, </w:t>
      </w:r>
      <w:hyperlink w:anchor="passage-ii-6-6">
        <w:r>
          <w:rPr>
            <w:color w:val="000000"/>
          </w:rPr>
          <w:t xml:space="preserve">II.6.6</w:t>
        </w:r>
      </w:hyperlink>
      <w:r>
        <w:rPr>
          <w:b w:val="0"/>
          <w:i w:val="0"/>
        </w:rPr>
        <w:t xml:space="preserve">, </w:t>
      </w:r>
      <w:hyperlink w:anchor="passage-ii-9-1">
        <w:r>
          <w:rPr>
            <w:color w:val="000000"/>
          </w:rPr>
          <w:t xml:space="preserve">II.9.1</w:t>
        </w:r>
      </w:hyperlink>
      <w:r>
        <w:rPr>
          <w:b w:val="0"/>
          <w:i w:val="0"/>
        </w:rPr>
        <w:t xml:space="preserve">, </w:t>
      </w:r>
      <w:hyperlink w:anchor="passage-ii-10-5">
        <w:r>
          <w:rPr>
            <w:color w:val="000000"/>
          </w:rPr>
          <w:t xml:space="preserve">II.10.5</w:t>
        </w:r>
      </w:hyperlink>
      <w:r>
        <w:rPr>
          <w:b w:val="0"/>
          <w:i w:val="0"/>
        </w:rPr>
        <w:t xml:space="preserve">. See </w:t>
      </w:r>
      <w:hyperlink w:anchor="infinity">
        <w:r>
          <w:rPr>
            <w:color w:val="000000"/>
          </w:rPr>
          <w:t xml:space="preserve">Infinity</w:t>
        </w:r>
      </w:hyperlink>
      <w:r>
        <w:rPr>
          <w:b w:val="0"/>
          <w:i w:val="0"/>
        </w:rPr>
        <w:t>.</w:t>
      </w:r>
    </w:p>
    <w:p>
      <w:pPr>
        <w:keepNext/>
        <w:widowControl/>
      </w:pPr>
      <w:bookmarkStart w:id="1191" w:name="latin-record-0940"/>
      <w:bookmarkEnd w:id="1191"/>
      <w:r>
        <w:rPr>
          <w:b/>
          <w:i w:val="0"/>
        </w:rPr>
        <w:t>proclivitas</w:t>
      </w:r>
      <w:r>
        <w:rPr>
          <w:b/>
          <w:i w:val="0"/>
        </w:rPr>
        <w:t>.</w:t>
      </w:r>
      <w:r>
        <w:rPr>
          <w:b w:val="0"/>
          <w:i w:val="0"/>
        </w:rPr>
        <w:t xml:space="preserve"> Printed forms: </w:t>
      </w:r>
      <w:r>
        <w:rPr>
          <w:b w:val="0"/>
          <w:i/>
        </w:rPr>
        <w:t>proclivitasque</w:t>
      </w:r>
      <w:r>
        <w:rPr>
          <w:b w:val="0"/>
          <w:i w:val="0"/>
        </w:rPr>
        <w:t>.</w:t>
      </w:r>
    </w:p>
    <w:p>
      <w:pPr>
        <w:widowControl/>
      </w:pPr>
      <w:r>
        <w:rPr>
          <w:b w:val="0"/>
          <w:i w:val="0"/>
        </w:rPr>
        <w:t xml:space="preserve">Readiness or inclination to act. Every agent’s inclination toward production is traced to the first agent’s fruitfulness. References: </w:t>
      </w:r>
      <w:hyperlink w:anchor="passage-ii-13-2">
        <w:r>
          <w:rPr>
            <w:color w:val="000000"/>
          </w:rPr>
          <w:t xml:space="preserve">II.13.2</w:t>
        </w:r>
      </w:hyperlink>
      <w:r>
        <w:rPr>
          <w:b w:val="0"/>
          <w:i w:val="0"/>
        </w:rPr>
        <w:t xml:space="preserve">. See </w:t>
      </w:r>
      <w:hyperlink w:anchor="craftsman-and-father">
        <w:r>
          <w:rPr>
            <w:color w:val="000000"/>
          </w:rPr>
          <w:t xml:space="preserve">Craftsman and father</w:t>
        </w:r>
      </w:hyperlink>
      <w:r>
        <w:rPr>
          <w:b w:val="0"/>
          <w:i w:val="0"/>
        </w:rPr>
        <w:t>.</w:t>
      </w:r>
    </w:p>
    <w:p>
      <w:pPr>
        <w:keepNext/>
        <w:widowControl/>
      </w:pPr>
      <w:bookmarkStart w:id="1192" w:name="latin-record-0941"/>
      <w:bookmarkEnd w:id="1192"/>
      <w:r>
        <w:rPr>
          <w:b/>
          <w:i w:val="0"/>
        </w:rPr>
        <w:t>proclivitas / efficacia</w:t>
      </w:r>
      <w:r>
        <w:rPr>
          <w:b/>
          <w:i w:val="0"/>
        </w:rPr>
        <w:t>.</w:t>
      </w:r>
      <w:r>
        <w:rPr>
          <w:b w:val="0"/>
          <w:i w:val="0"/>
        </w:rPr>
        <w:t xml:space="preserve"> Printed forms: </w:t>
      </w:r>
      <w:r>
        <w:rPr>
          <w:b w:val="0"/>
          <w:i/>
        </w:rPr>
        <w:t>efficacia</w:t>
      </w:r>
      <w:r>
        <w:rPr>
          <w:b w:val="0"/>
          <w:i w:val="0"/>
        </w:rPr>
        <w:t xml:space="preserve">; </w:t>
      </w:r>
      <w:r>
        <w:rPr>
          <w:b w:val="0"/>
          <w:i/>
        </w:rPr>
        <w:t>proclivitas</w:t>
      </w:r>
      <w:r>
        <w:rPr>
          <w:b w:val="0"/>
          <w:i w:val="0"/>
        </w:rPr>
        <w:t>.</w:t>
      </w:r>
    </w:p>
    <w:p>
      <w:pPr>
        <w:widowControl/>
      </w:pPr>
      <w:r>
        <w:rPr>
          <w:b w:val="0"/>
          <w:i w:val="0"/>
        </w:rPr>
        <w:t xml:space="preserve">Readiness to be moved; efficacy in moving. Soul’s active power and body’s receptive inclination are explicitly complementary. References: </w:t>
      </w:r>
      <w:hyperlink w:anchor="passage-iv-2-19">
        <w:r>
          <w:rPr>
            <w:color w:val="000000"/>
          </w:rPr>
          <w:t xml:space="preserve">IV.2.19</w:t>
        </w:r>
      </w:hyperlink>
      <w:r>
        <w:rPr>
          <w:b w:val="0"/>
          <w:i w:val="0"/>
        </w:rPr>
        <w:t xml:space="preserve">. See </w:t>
      </w:r>
      <w:hyperlink w:anchor="weariness-and-agility">
        <w:r>
          <w:rPr>
            <w:color w:val="000000"/>
          </w:rPr>
          <w:t xml:space="preserve">Weariness and agility</w:t>
        </w:r>
      </w:hyperlink>
      <w:r>
        <w:rPr>
          <w:b w:val="0"/>
          <w:i w:val="0"/>
        </w:rPr>
        <w:t>.</w:t>
      </w:r>
    </w:p>
    <w:p>
      <w:pPr>
        <w:keepNext/>
        <w:widowControl/>
      </w:pPr>
      <w:bookmarkStart w:id="1193" w:name="latin-record-0942"/>
      <w:bookmarkEnd w:id="1193"/>
      <w:r>
        <w:rPr>
          <w:b/>
          <w:i w:val="0"/>
        </w:rPr>
        <w:t>Proclus / Syrianus</w:t>
      </w:r>
      <w:r>
        <w:rPr>
          <w:b/>
          <w:i w:val="0"/>
        </w:rPr>
        <w:t>.</w:t>
      </w:r>
      <w:r>
        <w:rPr>
          <w:b w:val="0"/>
          <w:i w:val="0"/>
        </w:rPr>
        <w:t xml:space="preserve"> Printed forms: </w:t>
      </w:r>
      <w:r>
        <w:rPr>
          <w:b w:val="0"/>
          <w:i/>
        </w:rPr>
        <w:t>Proclo</w:t>
      </w:r>
      <w:r>
        <w:rPr>
          <w:b w:val="0"/>
          <w:i w:val="0"/>
        </w:rPr>
        <w:t xml:space="preserve">; </w:t>
      </w:r>
      <w:r>
        <w:rPr>
          <w:b w:val="0"/>
          <w:i/>
        </w:rPr>
        <w:t>Proclus</w:t>
      </w:r>
      <w:r>
        <w:rPr>
          <w:b w:val="0"/>
          <w:i w:val="0"/>
        </w:rPr>
        <w:t xml:space="preserve">; </w:t>
      </w:r>
      <w:r>
        <w:rPr>
          <w:b w:val="0"/>
          <w:i/>
        </w:rPr>
        <w:t>Syrianus</w:t>
      </w:r>
      <w:r>
        <w:rPr>
          <w:b w:val="0"/>
          <w:i w:val="0"/>
        </w:rPr>
        <w:t>.</w:t>
      </w:r>
    </w:p>
    <w:p>
      <w:pPr>
        <w:widowControl/>
      </w:pPr>
      <w:r>
        <w:rPr>
          <w:b w:val="0"/>
          <w:i w:val="0"/>
        </w:rPr>
        <w:t xml:space="preserve">The named authorities for classification and the extension argument. Proclus’s reported definition excludes dimensions explicitly; Proclus and Syrianus jointly distinguish the extending cause from the extended recipient. References: </w:t>
      </w:r>
      <w:hyperlink w:anchor="passage-i-3-28">
        <w:r>
          <w:rPr>
            <w:color w:val="000000"/>
          </w:rPr>
          <w:t xml:space="preserve">I.3.28</w:t>
        </w:r>
      </w:hyperlink>
      <w:r>
        <w:rPr>
          <w:b w:val="0"/>
          <w:i w:val="0"/>
        </w:rPr>
        <w:t xml:space="preserve">, </w:t>
      </w:r>
      <w:hyperlink w:anchor="passage-i-3-29">
        <w:r>
          <w:rPr>
            <w:color w:val="000000"/>
          </w:rPr>
          <w:t xml:space="preserve">I.3.29</w:t>
        </w:r>
      </w:hyperlink>
      <w:r>
        <w:rPr>
          <w:b w:val="0"/>
          <w:i w:val="0"/>
        </w:rPr>
        <w:t xml:space="preserve">. See </w:t>
      </w:r>
      <w:hyperlink w:anchor="proclus-syrianus-and-extending-matter">
        <w:r>
          <w:rPr>
            <w:color w:val="000000"/>
          </w:rPr>
          <w:t xml:space="preserve">Proclus, Syrianus and extending matter</w:t>
        </w:r>
      </w:hyperlink>
      <w:r>
        <w:rPr>
          <w:b w:val="0"/>
          <w:i w:val="0"/>
        </w:rPr>
        <w:t>.</w:t>
      </w:r>
    </w:p>
    <w:p>
      <w:pPr>
        <w:keepNext/>
        <w:widowControl/>
      </w:pPr>
      <w:bookmarkStart w:id="1194" w:name="latin-record-0943"/>
      <w:bookmarkEnd w:id="1194"/>
      <w:r>
        <w:rPr>
          <w:b/>
          <w:i w:val="0"/>
        </w:rPr>
        <w:t>produce / become</w:t>
      </w:r>
      <w:r>
        <w:rPr>
          <w:b/>
          <w:i w:val="0"/>
        </w:rPr>
        <w:t>.</w:t>
      </w:r>
      <w:r>
        <w:rPr>
          <w:b w:val="0"/>
          <w:i w:val="0"/>
        </w:rPr>
        <w:t xml:space="preserve"> Printed forms: </w:t>
      </w:r>
      <w:r>
        <w:rPr>
          <w:b w:val="0"/>
          <w:i/>
        </w:rPr>
        <w:t>producant</w:t>
      </w:r>
      <w:r>
        <w:rPr>
          <w:b w:val="0"/>
          <w:i w:val="0"/>
        </w:rPr>
        <w:t xml:space="preserve">; </w:t>
      </w:r>
      <w:r>
        <w:rPr>
          <w:b w:val="0"/>
          <w:i/>
        </w:rPr>
        <w:t>provenire</w:t>
      </w:r>
      <w:r>
        <w:rPr>
          <w:b w:val="0"/>
          <w:i w:val="0"/>
        </w:rPr>
        <w:t xml:space="preserve">; </w:t>
      </w:r>
      <w:r>
        <w:rPr>
          <w:b w:val="0"/>
          <w:i/>
        </w:rPr>
        <w:t>provenit</w:t>
      </w:r>
      <w:r>
        <w:rPr>
          <w:b w:val="0"/>
          <w:i w:val="0"/>
        </w:rPr>
        <w:t>.</w:t>
      </w:r>
    </w:p>
    <w:p>
      <w:pPr>
        <w:widowControl/>
      </w:pPr>
      <w:r>
        <w:rPr>
          <w:b w:val="0"/>
          <w:i w:val="0"/>
        </w:rPr>
        <w:t xml:space="preserve">To result, produce or become. The generation argument distinguishes effects’ coming about, causes’ producing them, and a quality’s altered degree; English result-language should preserve who acts and what changes. References: </w:t>
      </w:r>
      <w:hyperlink w:anchor="passage-i-2-11">
        <w:r>
          <w:rPr>
            <w:color w:val="000000"/>
          </w:rPr>
          <w:t xml:space="preserve">I.2.11</w:t>
        </w:r>
      </w:hyperlink>
      <w:r>
        <w:rPr>
          <w:b w:val="0"/>
          <w:i w:val="0"/>
        </w:rPr>
        <w:t xml:space="preserve">, </w:t>
      </w:r>
      <w:hyperlink w:anchor="passage-i-2-12">
        <w:r>
          <w:rPr>
            <w:color w:val="000000"/>
          </w:rPr>
          <w:t xml:space="preserve">I.2.12</w:t>
        </w:r>
      </w:hyperlink>
      <w:r>
        <w:rPr>
          <w:b w:val="0"/>
          <w:i w:val="0"/>
        </w:rPr>
        <w:t xml:space="preserve">, </w:t>
      </w:r>
      <w:hyperlink w:anchor="passage-i-2-17">
        <w:r>
          <w:rPr>
            <w:color w:val="000000"/>
          </w:rPr>
          <w:t xml:space="preserve">I.2.17</w:t>
        </w:r>
      </w:hyperlink>
      <w:r>
        <w:rPr>
          <w:b w:val="0"/>
          <w:i w:val="0"/>
        </w:rPr>
        <w:t xml:space="preserve">. See </w:t>
      </w:r>
      <w:hyperlink w:anchor="cause">
        <w:r>
          <w:rPr>
            <w:color w:val="000000"/>
          </w:rPr>
          <w:t xml:space="preserve">Cause</w:t>
        </w:r>
      </w:hyperlink>
      <w:r>
        <w:rPr>
          <w:b w:val="0"/>
          <w:i w:val="0"/>
        </w:rPr>
        <w:t>.</w:t>
      </w:r>
    </w:p>
    <w:p>
      <w:pPr>
        <w:keepNext/>
        <w:widowControl/>
      </w:pPr>
      <w:bookmarkStart w:id="1195" w:name="latin-record-0944"/>
      <w:bookmarkEnd w:id="1195"/>
      <w:r>
        <w:rPr>
          <w:b/>
          <w:i w:val="0"/>
        </w:rPr>
        <w:t>producere / facere / gignere</w:t>
      </w:r>
      <w:r>
        <w:rPr>
          <w:b/>
          <w:i w:val="0"/>
        </w:rPr>
        <w:t>.</w:t>
      </w:r>
      <w:r>
        <w:rPr>
          <w:b w:val="0"/>
          <w:i w:val="0"/>
        </w:rPr>
        <w:t xml:space="preserve"> Printed forms: </w:t>
      </w:r>
      <w:r>
        <w:rPr>
          <w:b w:val="0"/>
          <w:i/>
        </w:rPr>
        <w:t>factum</w:t>
      </w:r>
      <w:r>
        <w:rPr>
          <w:b w:val="0"/>
          <w:i w:val="0"/>
        </w:rPr>
        <w:t xml:space="preserve">; </w:t>
      </w:r>
      <w:r>
        <w:rPr>
          <w:b w:val="0"/>
          <w:i/>
        </w:rPr>
        <w:t>gignit</w:t>
      </w:r>
      <w:r>
        <w:rPr>
          <w:b w:val="0"/>
          <w:i w:val="0"/>
        </w:rPr>
        <w:t xml:space="preserve">; </w:t>
      </w:r>
      <w:r>
        <w:rPr>
          <w:b w:val="0"/>
          <w:i/>
        </w:rPr>
        <w:t>producendis</w:t>
      </w:r>
      <w:r>
        <w:rPr>
          <w:b w:val="0"/>
          <w:i w:val="0"/>
        </w:rPr>
        <w:t xml:space="preserve">; </w:t>
      </w:r>
      <w:r>
        <w:rPr>
          <w:b w:val="0"/>
          <w:i/>
        </w:rPr>
        <w:t>producit</w:t>
      </w:r>
      <w:r>
        <w:rPr>
          <w:b w:val="0"/>
          <w:i w:val="0"/>
        </w:rPr>
        <w:t>.</w:t>
      </w:r>
    </w:p>
    <w:p>
      <w:pPr>
        <w:widowControl/>
      </w:pPr>
      <w:r>
        <w:rPr>
          <w:b w:val="0"/>
          <w:i w:val="0"/>
        </w:rPr>
        <w:t xml:space="preserve">To produce, make, or beget, with material and first causation differentiated. Subordinate makers produce determinate effects; God is the source enabling both their being and work. References: </w:t>
      </w:r>
      <w:hyperlink w:anchor="passage-ii-3-2">
        <w:r>
          <w:rPr>
            <w:color w:val="000000"/>
          </w:rPr>
          <w:t xml:space="preserve">II.3.2</w:t>
        </w:r>
      </w:hyperlink>
      <w:r>
        <w:rPr>
          <w:b w:val="0"/>
          <w:i w:val="0"/>
        </w:rPr>
        <w:t xml:space="preserve">, </w:t>
      </w:r>
      <w:hyperlink w:anchor="passage-ii-4-5">
        <w:r>
          <w:rPr>
            <w:color w:val="000000"/>
          </w:rPr>
          <w:t xml:space="preserve">II.4.5</w:t>
        </w:r>
      </w:hyperlink>
      <w:r>
        <w:rPr>
          <w:b w:val="0"/>
          <w:i w:val="0"/>
        </w:rPr>
        <w:t xml:space="preserve">, </w:t>
      </w:r>
      <w:hyperlink w:anchor="passage-ii-7-25">
        <w:r>
          <w:rPr>
            <w:color w:val="000000"/>
          </w:rPr>
          <w:t xml:space="preserve">II.7.25</w:t>
        </w:r>
      </w:hyperlink>
      <w:r>
        <w:rPr>
          <w:b w:val="0"/>
          <w:i w:val="0"/>
        </w:rPr>
        <w:t xml:space="preserve">, </w:t>
      </w:r>
      <w:hyperlink w:anchor="passage-ii-8-4">
        <w:r>
          <w:rPr>
            <w:color w:val="000000"/>
          </w:rPr>
          <w:t xml:space="preserve">II.8.4</w:t>
        </w:r>
      </w:hyperlink>
      <w:r>
        <w:rPr>
          <w:b w:val="0"/>
          <w:i w:val="0"/>
        </w:rPr>
        <w:t xml:space="preserve">. See </w:t>
      </w:r>
      <w:hyperlink w:anchor="cause">
        <w:r>
          <w:rPr>
            <w:color w:val="000000"/>
          </w:rPr>
          <w:t xml:space="preserve">Cause</w:t>
        </w:r>
      </w:hyperlink>
      <w:r>
        <w:rPr>
          <w:b w:val="0"/>
          <w:i w:val="0"/>
        </w:rPr>
        <w:t>.</w:t>
      </w:r>
    </w:p>
    <w:p>
      <w:pPr>
        <w:keepNext/>
        <w:widowControl/>
      </w:pPr>
      <w:bookmarkStart w:id="1196" w:name="latin-record-0945"/>
      <w:bookmarkEnd w:id="1196"/>
      <w:r>
        <w:rPr>
          <w:b/>
          <w:i w:val="0"/>
        </w:rPr>
        <w:t>proficio / adipiscor</w:t>
      </w:r>
      <w:r>
        <w:rPr>
          <w:b/>
          <w:i w:val="0"/>
        </w:rPr>
        <w:t>.</w:t>
      </w:r>
      <w:r>
        <w:rPr>
          <w:b w:val="0"/>
          <w:i w:val="0"/>
        </w:rPr>
        <w:t xml:space="preserve"> Printed forms: </w:t>
      </w:r>
      <w:r>
        <w:rPr>
          <w:b w:val="0"/>
          <w:i/>
        </w:rPr>
        <w:t>adipiscatur</w:t>
      </w:r>
      <w:r>
        <w:rPr>
          <w:b w:val="0"/>
          <w:i w:val="0"/>
        </w:rPr>
        <w:t xml:space="preserve">; </w:t>
      </w:r>
      <w:r>
        <w:rPr>
          <w:b w:val="0"/>
          <w:i/>
        </w:rPr>
        <w:t>proficere</w:t>
      </w:r>
      <w:r>
        <w:rPr>
          <w:b w:val="0"/>
          <w:i w:val="0"/>
        </w:rPr>
        <w:t xml:space="preserve">; </w:t>
      </w:r>
      <w:r>
        <w:rPr>
          <w:b w:val="0"/>
          <w:i/>
        </w:rPr>
        <w:t>proficiendi</w:t>
      </w:r>
      <w:r>
        <w:rPr>
          <w:b w:val="0"/>
          <w:i w:val="0"/>
        </w:rPr>
        <w:t>.</w:t>
      </w:r>
    </w:p>
    <w:p>
      <w:pPr>
        <w:widowControl/>
      </w:pPr>
      <w:r>
        <w:rPr>
          <w:b w:val="0"/>
          <w:i w:val="0"/>
        </w:rPr>
        <w:t xml:space="preserve">To advance or improve, and to attain. A moving thing seeks a better state it does not yet possess and receives completion from a richer source; the verbs specify directed change. References: </w:t>
      </w:r>
      <w:hyperlink w:anchor="passage-i-5-5">
        <w:r>
          <w:rPr>
            <w:color w:val="000000"/>
          </w:rPr>
          <w:t xml:space="preserve">I.5.5</w:t>
        </w:r>
      </w:hyperlink>
      <w:r>
        <w:rPr>
          <w:b w:val="0"/>
          <w:i w:val="0"/>
        </w:rPr>
        <w:t xml:space="preserve">. See </w:t>
      </w:r>
      <w:hyperlink w:anchor="perfection">
        <w:r>
          <w:rPr>
            <w:color w:val="000000"/>
          </w:rPr>
          <w:t xml:space="preserve">Perfection</w:t>
        </w:r>
      </w:hyperlink>
      <w:r>
        <w:rPr>
          <w:b w:val="0"/>
          <w:i w:val="0"/>
        </w:rPr>
        <w:t>.</w:t>
      </w:r>
    </w:p>
    <w:p>
      <w:pPr>
        <w:keepNext/>
        <w:widowControl/>
      </w:pPr>
      <w:bookmarkStart w:id="1197" w:name="latin-record-0946"/>
      <w:bookmarkEnd w:id="1197"/>
      <w:r>
        <w:rPr>
          <w:b/>
          <w:i w:val="0"/>
        </w:rPr>
        <w:t>proficisci</w:t>
      </w:r>
      <w:r>
        <w:rPr>
          <w:b/>
          <w:i w:val="0"/>
        </w:rPr>
        <w:t>.</w:t>
      </w:r>
      <w:r>
        <w:rPr>
          <w:b w:val="0"/>
          <w:i w:val="0"/>
        </w:rPr>
        <w:t xml:space="preserve"> Printed forms: </w:t>
      </w:r>
      <w:r>
        <w:rPr>
          <w:b w:val="0"/>
          <w:i/>
        </w:rPr>
        <w:t>proficiscitur</w:t>
      </w:r>
      <w:r>
        <w:rPr>
          <w:b w:val="0"/>
          <w:i w:val="0"/>
        </w:rPr>
        <w:t xml:space="preserve">; </w:t>
      </w:r>
      <w:r>
        <w:rPr>
          <w:b w:val="0"/>
          <w:i/>
        </w:rPr>
        <w:t>proficiscuntur</w:t>
      </w:r>
      <w:r>
        <w:rPr>
          <w:b w:val="0"/>
          <w:i w:val="0"/>
        </w:rPr>
        <w:t>.</w:t>
      </w:r>
    </w:p>
    <w:p>
      <w:pPr>
        <w:widowControl/>
      </w:pPr>
      <w:r>
        <w:rPr>
          <w:b w:val="0"/>
          <w:i w:val="0"/>
        </w:rPr>
        <w:t xml:space="preserve">To proceed or arise from a source. All things proceed from supreme truth; deliberative operation proceeds from counsel and is distinguished from essential operation. References: </w:t>
      </w:r>
      <w:hyperlink w:anchor="passage-ii-7-3">
        <w:r>
          <w:rPr>
            <w:color w:val="000000"/>
          </w:rPr>
          <w:t xml:space="preserve">II.7.3</w:t>
        </w:r>
      </w:hyperlink>
      <w:r>
        <w:rPr>
          <w:b w:val="0"/>
          <w:i w:val="0"/>
        </w:rPr>
        <w:t xml:space="preserve">, </w:t>
      </w:r>
      <w:hyperlink w:anchor="passage-ii-8-5">
        <w:r>
          <w:rPr>
            <w:color w:val="000000"/>
          </w:rPr>
          <w:t xml:space="preserve">II.8.5</w:t>
        </w:r>
      </w:hyperlink>
      <w:r>
        <w:rPr>
          <w:b w:val="0"/>
          <w:i w:val="0"/>
        </w:rPr>
        <w:t xml:space="preserve">. See </w:t>
      </w:r>
      <w:hyperlink w:anchor="procession-and-return">
        <w:r>
          <w:rPr>
            <w:color w:val="000000"/>
          </w:rPr>
          <w:t xml:space="preserve">Procession and return</w:t>
        </w:r>
      </w:hyperlink>
      <w:r>
        <w:rPr>
          <w:b w:val="0"/>
          <w:i w:val="0"/>
        </w:rPr>
        <w:t>.</w:t>
      </w:r>
    </w:p>
    <w:p>
      <w:pPr>
        <w:keepNext/>
        <w:widowControl/>
      </w:pPr>
      <w:bookmarkStart w:id="1198" w:name="latin-record-0947"/>
      <w:bookmarkEnd w:id="1198"/>
      <w:r>
        <w:rPr>
          <w:b/>
          <w:i w:val="0"/>
        </w:rPr>
        <w:t>progressio in infinitum</w:t>
      </w:r>
      <w:r>
        <w:rPr>
          <w:b/>
          <w:i w:val="0"/>
        </w:rPr>
        <w:t>.</w:t>
      </w:r>
      <w:r>
        <w:rPr>
          <w:b w:val="0"/>
          <w:i w:val="0"/>
        </w:rPr>
        <w:t xml:space="preserve"> Printed forms: </w:t>
      </w:r>
      <w:r>
        <w:rPr>
          <w:b w:val="0"/>
          <w:i/>
        </w:rPr>
        <w:t>in infinitum progressio</w:t>
      </w:r>
      <w:r>
        <w:rPr>
          <w:b w:val="0"/>
          <w:i w:val="0"/>
        </w:rPr>
        <w:t>.</w:t>
      </w:r>
    </w:p>
    <w:p>
      <w:pPr>
        <w:widowControl/>
      </w:pPr>
      <w:r>
        <w:rPr>
          <w:b w:val="0"/>
          <w:i w:val="0"/>
        </w:rPr>
        <w:t xml:space="preserve">An indefinitely continued explanatory progression. A higher material form would itself require a further higher cause, so Ficino argues that the sequence must reach an unmixed form. References: </w:t>
      </w:r>
      <w:hyperlink w:anchor="passage-i-3-24">
        <w:r>
          <w:rPr>
            <w:color w:val="000000"/>
          </w:rPr>
          <w:t xml:space="preserve">I.3.24</w:t>
        </w:r>
      </w:hyperlink>
      <w:r>
        <w:rPr>
          <w:b w:val="0"/>
          <w:i w:val="0"/>
        </w:rPr>
        <w:t xml:space="preserve">. See </w:t>
      </w:r>
      <w:hyperlink w:anchor="precedence-and-causal-regress">
        <w:r>
          <w:rPr>
            <w:color w:val="000000"/>
          </w:rPr>
          <w:t xml:space="preserve">Precedence and causal regress</w:t>
        </w:r>
      </w:hyperlink>
      <w:r>
        <w:rPr>
          <w:b w:val="0"/>
          <w:i w:val="0"/>
        </w:rPr>
        <w:t>.</w:t>
      </w:r>
    </w:p>
    <w:p>
      <w:pPr>
        <w:keepNext/>
        <w:widowControl/>
      </w:pPr>
      <w:bookmarkStart w:id="1199" w:name="latin-record-0948"/>
      <w:bookmarkEnd w:id="1199"/>
      <w:r>
        <w:rPr>
          <w:b/>
          <w:i w:val="0"/>
        </w:rPr>
        <w:t>prohibere / claudere / includere</w:t>
      </w:r>
      <w:r>
        <w:rPr>
          <w:b/>
          <w:i w:val="0"/>
        </w:rPr>
        <w:t>.</w:t>
      </w:r>
      <w:r>
        <w:rPr>
          <w:b w:val="0"/>
          <w:i w:val="0"/>
        </w:rPr>
        <w:t xml:space="preserve"> Printed forms: </w:t>
      </w:r>
      <w:r>
        <w:rPr>
          <w:b w:val="0"/>
          <w:i/>
        </w:rPr>
        <w:t>clauditur</w:t>
      </w:r>
      <w:r>
        <w:rPr>
          <w:b w:val="0"/>
          <w:i w:val="0"/>
        </w:rPr>
        <w:t xml:space="preserve">; </w:t>
      </w:r>
      <w:r>
        <w:rPr>
          <w:b w:val="0"/>
          <w:i/>
        </w:rPr>
        <w:t>includit</w:t>
      </w:r>
      <w:r>
        <w:rPr>
          <w:b w:val="0"/>
          <w:i w:val="0"/>
        </w:rPr>
        <w:t xml:space="preserve">; </w:t>
      </w:r>
      <w:r>
        <w:rPr>
          <w:b w:val="0"/>
          <w:i/>
        </w:rPr>
        <w:t>prohibeatur</w:t>
      </w:r>
      <w:r>
        <w:rPr>
          <w:b w:val="0"/>
          <w:i w:val="0"/>
        </w:rPr>
        <w:t xml:space="preserve">; </w:t>
      </w:r>
      <w:r>
        <w:rPr>
          <w:b w:val="0"/>
          <w:i/>
        </w:rPr>
        <w:t>prohiberet</w:t>
      </w:r>
      <w:r>
        <w:rPr>
          <w:b w:val="0"/>
          <w:i w:val="0"/>
        </w:rPr>
        <w:t xml:space="preserve">; </w:t>
      </w:r>
      <w:r>
        <w:rPr>
          <w:b w:val="0"/>
          <w:i/>
        </w:rPr>
        <w:t>prohibet</w:t>
      </w:r>
      <w:r>
        <w:rPr>
          <w:b w:val="0"/>
          <w:i w:val="0"/>
        </w:rPr>
        <w:t xml:space="preserve">; </w:t>
      </w:r>
      <w:r>
        <w:rPr>
          <w:b w:val="0"/>
          <w:i/>
        </w:rPr>
        <w:t>prohibetur</w:t>
      </w:r>
      <w:r>
        <w:rPr>
          <w:b w:val="0"/>
          <w:i w:val="0"/>
        </w:rPr>
        <w:t>.</w:t>
      </w:r>
    </w:p>
    <w:p>
      <w:pPr>
        <w:widowControl/>
      </w:pPr>
      <w:r>
        <w:rPr>
          <w:b w:val="0"/>
          <w:i w:val="0"/>
        </w:rPr>
        <w:t xml:space="preserve">To prevent or shut within limits; to include within a scope. Goodness includes the ground of desire; no obstacle prevents divine power, and the flame analogy is explicitly conditional on no hindrance. References: </w:t>
      </w:r>
      <w:hyperlink w:anchor="passage-ii-1-7">
        <w:r>
          <w:rPr>
            <w:color w:val="000000"/>
          </w:rPr>
          <w:t xml:space="preserve">II.1.7</w:t>
        </w:r>
      </w:hyperlink>
      <w:r>
        <w:rPr>
          <w:b w:val="0"/>
          <w:i w:val="0"/>
        </w:rPr>
        <w:t xml:space="preserve">, </w:t>
      </w:r>
      <w:hyperlink w:anchor="passage-ii-4-1">
        <w:r>
          <w:rPr>
            <w:color w:val="000000"/>
          </w:rPr>
          <w:t xml:space="preserve">II.4.1</w:t>
        </w:r>
      </w:hyperlink>
      <w:r>
        <w:rPr>
          <w:b w:val="0"/>
          <w:i w:val="0"/>
        </w:rPr>
        <w:t xml:space="preserve">, </w:t>
      </w:r>
      <w:hyperlink w:anchor="passage-ii-6-3">
        <w:r>
          <w:rPr>
            <w:color w:val="000000"/>
          </w:rPr>
          <w:t xml:space="preserve">II.6.3</w:t>
        </w:r>
      </w:hyperlink>
      <w:r>
        <w:rPr>
          <w:b w:val="0"/>
          <w:i w:val="0"/>
        </w:rPr>
        <w:t xml:space="preserve">, </w:t>
      </w:r>
      <w:hyperlink w:anchor="passage-ii-6-23">
        <w:r>
          <w:rPr>
            <w:color w:val="000000"/>
          </w:rPr>
          <w:t xml:space="preserve">II.6.23</w:t>
        </w:r>
      </w:hyperlink>
      <w:r>
        <w:rPr>
          <w:b w:val="0"/>
          <w:i w:val="0"/>
        </w:rPr>
        <w:t xml:space="preserve">. See </w:t>
      </w:r>
      <w:hyperlink w:anchor="bounds-and-restriction">
        <w:r>
          <w:rPr>
            <w:color w:val="000000"/>
          </w:rPr>
          <w:t xml:space="preserve">Bounds and restriction</w:t>
        </w:r>
      </w:hyperlink>
      <w:r>
        <w:rPr>
          <w:b w:val="0"/>
          <w:i w:val="0"/>
        </w:rPr>
        <w:t>.</w:t>
      </w:r>
    </w:p>
    <w:p>
      <w:pPr>
        <w:keepNext/>
        <w:widowControl/>
      </w:pPr>
      <w:bookmarkStart w:id="1200" w:name="latin-record-0949"/>
      <w:bookmarkEnd w:id="1200"/>
      <w:r>
        <w:rPr>
          <w:b/>
          <w:i w:val="0"/>
        </w:rPr>
        <w:t>proles / gremium</w:t>
      </w:r>
      <w:r>
        <w:rPr>
          <w:b/>
          <w:i w:val="0"/>
        </w:rPr>
        <w:t>.</w:t>
      </w:r>
      <w:r>
        <w:rPr>
          <w:b w:val="0"/>
          <w:i w:val="0"/>
        </w:rPr>
        <w:t xml:space="preserve"> Printed forms: </w:t>
      </w:r>
      <w:r>
        <w:rPr>
          <w:b w:val="0"/>
          <w:i/>
        </w:rPr>
        <w:t>gremio</w:t>
      </w:r>
      <w:r>
        <w:rPr>
          <w:b w:val="0"/>
          <w:i w:val="0"/>
        </w:rPr>
        <w:t xml:space="preserve">; </w:t>
      </w:r>
      <w:r>
        <w:rPr>
          <w:b w:val="0"/>
          <w:i/>
        </w:rPr>
        <w:t>prolem</w:t>
      </w:r>
      <w:r>
        <w:rPr>
          <w:b w:val="0"/>
          <w:i w:val="0"/>
        </w:rPr>
        <w:t>.</w:t>
      </w:r>
    </w:p>
    <w:p>
      <w:pPr>
        <w:widowControl/>
      </w:pPr>
      <w:r>
        <w:rPr>
          <w:b w:val="0"/>
          <w:i w:val="0"/>
        </w:rPr>
        <w:t xml:space="preserve">Offspring and an enclosing womb or bosom. Qualities cannot beget offspring freer than themselves and therefore generate forms in matter’s womb; the imagery expresses dependence on a substrate. References: </w:t>
      </w:r>
      <w:hyperlink w:anchor="passage-i-3-18">
        <w:r>
          <w:rPr>
            <w:color w:val="000000"/>
          </w:rPr>
          <w:t xml:space="preserve">I.3.18</w:t>
        </w:r>
      </w:hyperlink>
      <w:r>
        <w:rPr>
          <w:b w:val="0"/>
          <w:i w:val="0"/>
        </w:rPr>
        <w:t xml:space="preserve">. See </w:t>
      </w:r>
      <w:hyperlink w:anchor="fountain-womb-and-offspring">
        <w:r>
          <w:rPr>
            <w:color w:val="000000"/>
          </w:rPr>
          <w:t xml:space="preserve">Fountain, womb and offspring</w:t>
        </w:r>
      </w:hyperlink>
      <w:r>
        <w:rPr>
          <w:b w:val="0"/>
          <w:i w:val="0"/>
        </w:rPr>
        <w:t>.</w:t>
      </w:r>
    </w:p>
    <w:p>
      <w:pPr>
        <w:keepNext/>
        <w:widowControl/>
      </w:pPr>
      <w:bookmarkStart w:id="1201" w:name="latin-record-0950"/>
      <w:bookmarkEnd w:id="1201"/>
      <w:r>
        <w:rPr>
          <w:b/>
          <w:i w:val="0"/>
        </w:rPr>
        <w:t>promere / praevalere</w:t>
      </w:r>
      <w:r>
        <w:rPr>
          <w:b/>
          <w:i w:val="0"/>
        </w:rPr>
        <w:t>.</w:t>
      </w:r>
      <w:r>
        <w:rPr>
          <w:b w:val="0"/>
          <w:i w:val="0"/>
        </w:rPr>
        <w:t xml:space="preserve"> Printed forms: </w:t>
      </w:r>
      <w:r>
        <w:rPr>
          <w:b w:val="0"/>
          <w:i/>
        </w:rPr>
        <w:t>praevalet</w:t>
      </w:r>
      <w:r>
        <w:rPr>
          <w:b w:val="0"/>
          <w:i w:val="0"/>
        </w:rPr>
        <w:t xml:space="preserve">; </w:t>
      </w:r>
      <w:r>
        <w:rPr>
          <w:b w:val="0"/>
          <w:i/>
        </w:rPr>
        <w:t>promat</w:t>
      </w:r>
      <w:r>
        <w:rPr>
          <w:b w:val="0"/>
          <w:i w:val="0"/>
        </w:rPr>
        <w:t>.</w:t>
      </w:r>
    </w:p>
    <w:p>
      <w:pPr>
        <w:widowControl/>
      </w:pPr>
      <w:r>
        <w:rPr>
          <w:b w:val="0"/>
          <w:i w:val="0"/>
        </w:rPr>
        <w:t xml:space="preserve">To bring forward; to prevail over alternatives. One seed-kind becomes prominent for imagination and appetite within the motive power’s held contents. References: </w:t>
      </w:r>
      <w:hyperlink w:anchor="passage-iv-2-15">
        <w:r>
          <w:rPr>
            <w:color w:val="000000"/>
          </w:rPr>
          <w:t xml:space="preserve">IV.2.15</w:t>
        </w:r>
      </w:hyperlink>
      <w:r>
        <w:rPr>
          <w:b w:val="0"/>
          <w:i w:val="0"/>
        </w:rPr>
        <w:t xml:space="preserve">. See </w:t>
      </w:r>
      <w:hyperlink w:anchor="seeds">
        <w:r>
          <w:rPr>
            <w:color w:val="000000"/>
          </w:rPr>
          <w:t xml:space="preserve">Seeds</w:t>
        </w:r>
      </w:hyperlink>
      <w:r>
        <w:rPr>
          <w:b w:val="0"/>
          <w:i w:val="0"/>
        </w:rPr>
        <w:t>.</w:t>
      </w:r>
    </w:p>
    <w:p>
      <w:pPr>
        <w:keepNext/>
        <w:widowControl/>
      </w:pPr>
      <w:bookmarkStart w:id="1202" w:name="latin-record-0951"/>
      <w:bookmarkEnd w:id="1202"/>
      <w:r>
        <w:rPr>
          <w:b/>
          <w:i w:val="0"/>
        </w:rPr>
        <w:t>promptus / agilis</w:t>
      </w:r>
      <w:r>
        <w:rPr>
          <w:b/>
          <w:i w:val="0"/>
        </w:rPr>
        <w:t>.</w:t>
      </w:r>
      <w:r>
        <w:rPr>
          <w:b w:val="0"/>
          <w:i w:val="0"/>
        </w:rPr>
        <w:t xml:space="preserve"> Printed forms: </w:t>
      </w:r>
      <w:r>
        <w:rPr>
          <w:b w:val="0"/>
          <w:i/>
        </w:rPr>
        <w:t>agili</w:t>
      </w:r>
      <w:r>
        <w:rPr>
          <w:b w:val="0"/>
          <w:i w:val="0"/>
        </w:rPr>
        <w:t xml:space="preserve">; </w:t>
      </w:r>
      <w:r>
        <w:rPr>
          <w:b w:val="0"/>
          <w:i/>
        </w:rPr>
        <w:t>agilis</w:t>
      </w:r>
      <w:r>
        <w:rPr>
          <w:b w:val="0"/>
          <w:i w:val="0"/>
        </w:rPr>
        <w:t xml:space="preserve">; </w:t>
      </w:r>
      <w:r>
        <w:rPr>
          <w:b w:val="0"/>
          <w:i/>
        </w:rPr>
        <w:t>promptissimum</w:t>
      </w:r>
      <w:r>
        <w:rPr>
          <w:b w:val="0"/>
          <w:i w:val="0"/>
        </w:rPr>
        <w:t>.</w:t>
      </w:r>
    </w:p>
    <w:p>
      <w:pPr>
        <w:widowControl/>
      </w:pPr>
      <w:r>
        <w:rPr>
          <w:b w:val="0"/>
          <w:i w:val="0"/>
        </w:rPr>
        <w:t xml:space="preserve">Ready for motion or agile in acting. Bodily bulk inhibits readiness; form’s natural agility becomes impaired in matter. Readiness here concerns efficacy rather than a moral disposition. References: </w:t>
      </w:r>
      <w:hyperlink w:anchor="passage-i-2-2">
        <w:r>
          <w:rPr>
            <w:color w:val="000000"/>
          </w:rPr>
          <w:t xml:space="preserve">I.2.2</w:t>
        </w:r>
      </w:hyperlink>
      <w:r>
        <w:rPr>
          <w:b w:val="0"/>
          <w:i w:val="0"/>
        </w:rPr>
        <w:t xml:space="preserve">, </w:t>
      </w:r>
      <w:hyperlink w:anchor="passage-i-3-1">
        <w:r>
          <w:rPr>
            <w:color w:val="000000"/>
          </w:rPr>
          <w:t xml:space="preserve">I.3.1</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1203" w:name="latin-record-0952"/>
      <w:bookmarkEnd w:id="1203"/>
      <w:r>
        <w:rPr>
          <w:b/>
          <w:i w:val="0"/>
        </w:rPr>
        <w:t>propagare / amplificare / dilatare</w:t>
      </w:r>
      <w:r>
        <w:rPr>
          <w:b/>
          <w:i w:val="0"/>
        </w:rPr>
        <w:t>.</w:t>
      </w:r>
      <w:r>
        <w:rPr>
          <w:b w:val="0"/>
          <w:i w:val="0"/>
        </w:rPr>
        <w:t xml:space="preserve"> Printed forms: </w:t>
      </w:r>
      <w:r>
        <w:rPr>
          <w:b w:val="0"/>
          <w:i/>
        </w:rPr>
        <w:t>amplificare</w:t>
      </w:r>
      <w:r>
        <w:rPr>
          <w:b w:val="0"/>
          <w:i w:val="0"/>
        </w:rPr>
        <w:t xml:space="preserve">; </w:t>
      </w:r>
      <w:r>
        <w:rPr>
          <w:b w:val="0"/>
          <w:i/>
        </w:rPr>
        <w:t>amplificat</w:t>
      </w:r>
      <w:r>
        <w:rPr>
          <w:b w:val="0"/>
          <w:i w:val="0"/>
        </w:rPr>
        <w:t xml:space="preserve">; </w:t>
      </w:r>
      <w:r>
        <w:rPr>
          <w:b w:val="0"/>
          <w:i/>
        </w:rPr>
        <w:t>dilatare</w:t>
      </w:r>
      <w:r>
        <w:rPr>
          <w:b w:val="0"/>
          <w:i w:val="0"/>
        </w:rPr>
        <w:t xml:space="preserve">; </w:t>
      </w:r>
      <w:r>
        <w:rPr>
          <w:b w:val="0"/>
          <w:i/>
        </w:rPr>
        <w:t>dilatatio</w:t>
      </w:r>
      <w:r>
        <w:rPr>
          <w:b w:val="0"/>
          <w:i w:val="0"/>
        </w:rPr>
        <w:t xml:space="preserve">; </w:t>
      </w:r>
      <w:r>
        <w:rPr>
          <w:b w:val="0"/>
          <w:i/>
        </w:rPr>
        <w:t>propagare</w:t>
      </w:r>
      <w:r>
        <w:rPr>
          <w:b w:val="0"/>
          <w:i w:val="0"/>
        </w:rPr>
        <w:t xml:space="preserve">; </w:t>
      </w:r>
      <w:r>
        <w:rPr>
          <w:b w:val="0"/>
          <w:i/>
        </w:rPr>
        <w:t>propagat</w:t>
      </w:r>
      <w:r>
        <w:rPr>
          <w:b w:val="0"/>
          <w:i w:val="0"/>
        </w:rPr>
        <w:t xml:space="preserve">; </w:t>
      </w:r>
      <w:r>
        <w:rPr>
          <w:b w:val="0"/>
          <w:i/>
        </w:rPr>
        <w:t>propagatur</w:t>
      </w:r>
      <w:r>
        <w:rPr>
          <w:b w:val="0"/>
          <w:i w:val="0"/>
        </w:rPr>
        <w:t>.</w:t>
      </w:r>
    </w:p>
    <w:p>
      <w:pPr>
        <w:widowControl/>
      </w:pPr>
      <w:r>
        <w:rPr>
          <w:b w:val="0"/>
          <w:i w:val="0"/>
        </w:rPr>
        <w:t xml:space="preserve">To extend, diffuse, or expand in scope. Divine communication and spiritual presence are expressed through extension language without bodily partition. References: </w:t>
      </w:r>
      <w:hyperlink w:anchor="passage-ii-6-5">
        <w:r>
          <w:rPr>
            <w:color w:val="000000"/>
          </w:rPr>
          <w:t xml:space="preserve">II.6.5</w:t>
        </w:r>
      </w:hyperlink>
      <w:r>
        <w:rPr>
          <w:b w:val="0"/>
          <w:i w:val="0"/>
        </w:rPr>
        <w:t xml:space="preserve">, </w:t>
      </w:r>
      <w:hyperlink w:anchor="passage-ii-6-7">
        <w:r>
          <w:rPr>
            <w:color w:val="000000"/>
          </w:rPr>
          <w:t xml:space="preserve">II.6.7</w:t>
        </w:r>
      </w:hyperlink>
      <w:r>
        <w:rPr>
          <w:b w:val="0"/>
          <w:i w:val="0"/>
        </w:rPr>
        <w:t xml:space="preserve">, </w:t>
      </w:r>
      <w:hyperlink w:anchor="passage-ii-6-11">
        <w:r>
          <w:rPr>
            <w:color w:val="000000"/>
          </w:rPr>
          <w:t xml:space="preserve">II.6.11</w:t>
        </w:r>
      </w:hyperlink>
      <w:r>
        <w:rPr>
          <w:b w:val="0"/>
          <w:i w:val="0"/>
        </w:rPr>
        <w:t xml:space="preserve">, </w:t>
      </w:r>
      <w:hyperlink w:anchor="passage-ii-6-19">
        <w:r>
          <w:rPr>
            <w:color w:val="000000"/>
          </w:rPr>
          <w:t xml:space="preserve">II.6.19</w:t>
        </w:r>
      </w:hyperlink>
      <w:r>
        <w:rPr>
          <w:b w:val="0"/>
          <w:i w:val="0"/>
        </w:rPr>
        <w:t xml:space="preserve">. See </w:t>
      </w:r>
      <w:hyperlink w:anchor="omnipresence-and-place">
        <w:r>
          <w:rPr>
            <w:color w:val="000000"/>
          </w:rPr>
          <w:t xml:space="preserve">Omnipresence and place</w:t>
        </w:r>
      </w:hyperlink>
      <w:r>
        <w:rPr>
          <w:b w:val="0"/>
          <w:i w:val="0"/>
        </w:rPr>
        <w:t>.</w:t>
      </w:r>
    </w:p>
    <w:p>
      <w:pPr>
        <w:keepNext/>
        <w:widowControl/>
      </w:pPr>
      <w:bookmarkStart w:id="1204" w:name="latin-record-0953"/>
      <w:bookmarkEnd w:id="1204"/>
      <w:r>
        <w:rPr>
          <w:b/>
          <w:i w:val="0"/>
        </w:rPr>
        <w:t>propago / facultas</w:t>
      </w:r>
      <w:r>
        <w:rPr>
          <w:b/>
          <w:i w:val="0"/>
        </w:rPr>
        <w:t>.</w:t>
      </w:r>
      <w:r>
        <w:rPr>
          <w:b w:val="0"/>
          <w:i w:val="0"/>
        </w:rPr>
        <w:t xml:space="preserve"> Printed forms: </w:t>
      </w:r>
      <w:r>
        <w:rPr>
          <w:b w:val="0"/>
          <w:i/>
        </w:rPr>
        <w:t>facultas</w:t>
      </w:r>
      <w:r>
        <w:rPr>
          <w:b w:val="0"/>
          <w:i w:val="0"/>
        </w:rPr>
        <w:t xml:space="preserve">; </w:t>
      </w:r>
      <w:r>
        <w:rPr>
          <w:b w:val="0"/>
          <w:i/>
        </w:rPr>
        <w:t>propagandae</w:t>
      </w:r>
      <w:r>
        <w:rPr>
          <w:b w:val="0"/>
          <w:i w:val="0"/>
        </w:rPr>
        <w:t>.</w:t>
      </w:r>
    </w:p>
    <w:p>
      <w:pPr>
        <w:widowControl/>
      </w:pPr>
      <w:r>
        <w:rPr>
          <w:b w:val="0"/>
          <w:i w:val="0"/>
        </w:rPr>
        <w:t xml:space="preserve">To propagate or communicate onward; a faculty or capacity. If intellect belonged to soul simply as soul, every soul, including a beast’s, would have it; the counterfactual distinguishes psychic life from intellect. References: </w:t>
      </w:r>
      <w:hyperlink w:anchor="passage-i-5-12">
        <w:r>
          <w:rPr>
            <w:color w:val="000000"/>
          </w:rPr>
          <w:t xml:space="preserve">I.5.12</w:t>
        </w:r>
      </w:hyperlink>
      <w:r>
        <w:rPr>
          <w:b w:val="0"/>
          <w:i w:val="0"/>
        </w:rPr>
        <w:t xml:space="preserve">. See </w:t>
      </w:r>
      <w:hyperlink w:anchor="intellectual-and-animating-powers">
        <w:r>
          <w:rPr>
            <w:color w:val="000000"/>
          </w:rPr>
          <w:t xml:space="preserve">Intellectual and animating powers</w:t>
        </w:r>
      </w:hyperlink>
      <w:r>
        <w:rPr>
          <w:b w:val="0"/>
          <w:i w:val="0"/>
        </w:rPr>
        <w:t>.</w:t>
      </w:r>
    </w:p>
    <w:p>
      <w:pPr>
        <w:keepNext/>
        <w:widowControl/>
      </w:pPr>
      <w:bookmarkStart w:id="1205" w:name="latin-record-0954"/>
      <w:bookmarkEnd w:id="1205"/>
      <w:r>
        <w:rPr>
          <w:b/>
          <w:i w:val="0"/>
        </w:rPr>
        <w:t>prope / disto</w:t>
      </w:r>
      <w:r>
        <w:rPr>
          <w:b/>
          <w:i w:val="0"/>
        </w:rPr>
        <w:t>.</w:t>
      </w:r>
      <w:r>
        <w:rPr>
          <w:b w:val="0"/>
          <w:i w:val="0"/>
        </w:rPr>
        <w:t xml:space="preserve"> Printed forms: </w:t>
      </w:r>
      <w:r>
        <w:rPr>
          <w:b w:val="0"/>
          <w:i/>
        </w:rPr>
        <w:t>distans</w:t>
      </w:r>
      <w:r>
        <w:rPr>
          <w:b w:val="0"/>
          <w:i w:val="0"/>
        </w:rPr>
        <w:t xml:space="preserve">; </w:t>
      </w:r>
      <w:r>
        <w:rPr>
          <w:b w:val="0"/>
          <w:i/>
        </w:rPr>
        <w:t>distantia</w:t>
      </w:r>
      <w:r>
        <w:rPr>
          <w:b w:val="0"/>
          <w:i w:val="0"/>
        </w:rPr>
        <w:t xml:space="preserve">; </w:t>
      </w:r>
      <w:r>
        <w:rPr>
          <w:b w:val="0"/>
          <w:i/>
        </w:rPr>
        <w:t>propius</w:t>
      </w:r>
      <w:r>
        <w:rPr>
          <w:b w:val="0"/>
          <w:i w:val="0"/>
        </w:rPr>
        <w:t xml:space="preserve">; </w:t>
      </w:r>
      <w:r>
        <w:rPr>
          <w:b w:val="0"/>
          <w:i/>
        </w:rPr>
        <w:t>proxime</w:t>
      </w:r>
      <w:r>
        <w:rPr>
          <w:b w:val="0"/>
          <w:i w:val="0"/>
        </w:rPr>
        <w:t>.</w:t>
      </w:r>
    </w:p>
    <w:p>
      <w:pPr>
        <w:widowControl/>
      </w:pPr>
      <w:r>
        <w:rPr>
          <w:b w:val="0"/>
          <w:i w:val="0"/>
        </w:rPr>
        <w:t xml:space="preserve">Nearness and distance, spatial or causal according to context. The action model requires agent and patient close together, whereas nature’s greater intimacy with its matter accompanies greater independence in substance. References: </w:t>
      </w:r>
      <w:hyperlink w:anchor="passage-i-2-2">
        <w:r>
          <w:rPr>
            <w:color w:val="000000"/>
          </w:rPr>
          <w:t xml:space="preserve">I.2.2</w:t>
        </w:r>
      </w:hyperlink>
      <w:r>
        <w:rPr>
          <w:b w:val="0"/>
          <w:i w:val="0"/>
        </w:rPr>
        <w:t xml:space="preserve">, </w:t>
      </w:r>
      <w:hyperlink w:anchor="passage-i-3-17">
        <w:r>
          <w:rPr>
            <w:color w:val="000000"/>
          </w:rPr>
          <w:t xml:space="preserve">I.3.17</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1206" w:name="latin-record-0955"/>
      <w:bookmarkEnd w:id="1206"/>
      <w:r>
        <w:rPr>
          <w:b/>
          <w:i w:val="0"/>
        </w:rPr>
        <w:t>propinquo / propinquus</w:t>
      </w:r>
      <w:r>
        <w:rPr>
          <w:b/>
          <w:i w:val="0"/>
        </w:rPr>
        <w:t>.</w:t>
      </w:r>
      <w:r>
        <w:rPr>
          <w:b w:val="0"/>
          <w:i w:val="0"/>
        </w:rPr>
        <w:t xml:space="preserve"> Printed forms: </w:t>
      </w:r>
      <w:r>
        <w:rPr>
          <w:b w:val="0"/>
          <w:i/>
        </w:rPr>
        <w:t>propinquas</w:t>
      </w:r>
      <w:r>
        <w:rPr>
          <w:b w:val="0"/>
          <w:i w:val="0"/>
        </w:rPr>
        <w:t xml:space="preserve">; </w:t>
      </w:r>
      <w:r>
        <w:rPr>
          <w:b w:val="0"/>
          <w:i/>
        </w:rPr>
        <w:t>propinquat</w:t>
      </w:r>
      <w:r>
        <w:rPr>
          <w:b w:val="0"/>
          <w:i w:val="0"/>
        </w:rPr>
        <w:t xml:space="preserve">; </w:t>
      </w:r>
      <w:r>
        <w:rPr>
          <w:b w:val="0"/>
          <w:i/>
        </w:rPr>
        <w:t>propinquius</w:t>
      </w:r>
      <w:r>
        <w:rPr>
          <w:b w:val="0"/>
          <w:i w:val="0"/>
        </w:rPr>
        <w:t>.</w:t>
      </w:r>
    </w:p>
    <w:p>
      <w:pPr>
        <w:widowControl/>
      </w:pPr>
      <w:r>
        <w:rPr>
          <w:b w:val="0"/>
          <w:i w:val="0"/>
        </w:rPr>
        <w:t xml:space="preserve">To approach; near or closely related, with propinquius meaning nearer. Fire approaches spiritual nature in fineness, while approaching heat makes one warm but approaching a large body does not make one large; the comparison distinguishes causal respects. References: </w:t>
      </w:r>
      <w:hyperlink w:anchor="passage-i-2-5">
        <w:r>
          <w:rPr>
            <w:color w:val="000000"/>
          </w:rPr>
          <w:t xml:space="preserve">I.2.5</w:t>
        </w:r>
      </w:hyperlink>
      <w:r>
        <w:rPr>
          <w:b w:val="0"/>
          <w:i w:val="0"/>
        </w:rPr>
        <w:t xml:space="preserve">, </w:t>
      </w:r>
      <w:hyperlink w:anchor="passage-i-2-13">
        <w:r>
          <w:rPr>
            <w:color w:val="000000"/>
          </w:rPr>
          <w:t xml:space="preserve">I.2.13</w:t>
        </w:r>
      </w:hyperlink>
      <w:r>
        <w:rPr>
          <w:b w:val="0"/>
          <w:i w:val="0"/>
        </w:rPr>
        <w:t xml:space="preserve">. See </w:t>
      </w:r>
      <w:hyperlink w:anchor="quality">
        <w:r>
          <w:rPr>
            <w:color w:val="000000"/>
          </w:rPr>
          <w:t xml:space="preserve">Quality</w:t>
        </w:r>
      </w:hyperlink>
      <w:r>
        <w:rPr>
          <w:b w:val="0"/>
          <w:i w:val="0"/>
        </w:rPr>
        <w:t>.</w:t>
      </w:r>
    </w:p>
    <w:p>
      <w:pPr>
        <w:keepNext/>
        <w:widowControl/>
      </w:pPr>
      <w:bookmarkStart w:id="1207" w:name="latin-record-0956"/>
      <w:bookmarkEnd w:id="1207"/>
      <w:r>
        <w:rPr>
          <w:b/>
          <w:i w:val="0"/>
        </w:rPr>
        <w:t>propinquus / conveniens</w:t>
      </w:r>
      <w:r>
        <w:rPr>
          <w:b/>
          <w:i w:val="0"/>
        </w:rPr>
        <w:t>.</w:t>
      </w:r>
      <w:r>
        <w:rPr>
          <w:b w:val="0"/>
          <w:i w:val="0"/>
        </w:rPr>
        <w:t xml:space="preserve"> Printed forms: </w:t>
      </w:r>
      <w:r>
        <w:rPr>
          <w:b w:val="0"/>
          <w:i/>
        </w:rPr>
        <w:t>convenientior</w:t>
      </w:r>
      <w:r>
        <w:rPr>
          <w:b w:val="0"/>
          <w:i w:val="0"/>
        </w:rPr>
        <w:t xml:space="preserve">; </w:t>
      </w:r>
      <w:r>
        <w:rPr>
          <w:b w:val="0"/>
          <w:i/>
        </w:rPr>
        <w:t>propinquior</w:t>
      </w:r>
      <w:r>
        <w:rPr>
          <w:b w:val="0"/>
          <w:i w:val="0"/>
        </w:rPr>
        <w:t>.</w:t>
      </w:r>
    </w:p>
    <w:p>
      <w:pPr>
        <w:widowControl/>
      </w:pPr>
      <w:r>
        <w:rPr>
          <w:b w:val="0"/>
          <w:i w:val="0"/>
        </w:rPr>
        <w:t xml:space="preserve">Nearer or more akin to a standard. The soul’s superiority over body is explained as greater proximity to supreme goodness. References: </w:t>
      </w:r>
      <w:hyperlink w:anchor="passage-ii-3-4">
        <w:r>
          <w:rPr>
            <w:color w:val="000000"/>
          </w:rPr>
          <w:t xml:space="preserve">II.3.4</w:t>
        </w:r>
      </w:hyperlink>
      <w:r>
        <w:rPr>
          <w:b w:val="0"/>
          <w:i w:val="0"/>
        </w:rPr>
        <w:t xml:space="preserve">, </w:t>
      </w:r>
      <w:hyperlink w:anchor="passage-ii-3-5">
        <w:r>
          <w:rPr>
            <w:color w:val="000000"/>
          </w:rPr>
          <w:t xml:space="preserve">II.3.5</w:t>
        </w:r>
      </w:hyperlink>
      <w:r>
        <w:rPr>
          <w:b w:val="0"/>
          <w:i w:val="0"/>
        </w:rPr>
        <w:t xml:space="preserve">. See </w:t>
      </w:r>
      <w:hyperlink w:anchor="surpassing-and-comparison">
        <w:r>
          <w:rPr>
            <w:color w:val="000000"/>
          </w:rPr>
          <w:t xml:space="preserve">Surpassing and comparison</w:t>
        </w:r>
      </w:hyperlink>
      <w:r>
        <w:rPr>
          <w:b w:val="0"/>
          <w:i w:val="0"/>
        </w:rPr>
        <w:t>.</w:t>
      </w:r>
    </w:p>
    <w:p>
      <w:pPr>
        <w:keepNext/>
        <w:widowControl/>
      </w:pPr>
      <w:bookmarkStart w:id="1208" w:name="latin-record-0957"/>
      <w:bookmarkEnd w:id="1208"/>
      <w:r>
        <w:rPr>
          <w:b/>
          <w:i w:val="0"/>
        </w:rPr>
        <w:t>propitius / punire</w:t>
      </w:r>
      <w:r>
        <w:rPr>
          <w:b/>
          <w:i w:val="0"/>
        </w:rPr>
        <w:t>.</w:t>
      </w:r>
      <w:r>
        <w:rPr>
          <w:b w:val="0"/>
          <w:i w:val="0"/>
        </w:rPr>
        <w:t xml:space="preserve"> Printed forms: </w:t>
      </w:r>
      <w:r>
        <w:rPr>
          <w:b w:val="0"/>
          <w:i/>
        </w:rPr>
        <w:t>propitium</w:t>
      </w:r>
      <w:r>
        <w:rPr>
          <w:b w:val="0"/>
          <w:i w:val="0"/>
        </w:rPr>
        <w:t xml:space="preserve">; </w:t>
      </w:r>
      <w:r>
        <w:rPr>
          <w:b w:val="0"/>
          <w:i/>
        </w:rPr>
        <w:t>punire</w:t>
      </w:r>
      <w:r>
        <w:rPr>
          <w:b w:val="0"/>
          <w:i w:val="0"/>
        </w:rPr>
        <w:t>.</w:t>
      </w:r>
    </w:p>
    <w:p>
      <w:pPr>
        <w:widowControl/>
      </w:pPr>
      <w:r>
        <w:rPr>
          <w:b w:val="0"/>
          <w:i w:val="0"/>
        </w:rPr>
        <w:t xml:space="preserve">Favorable / punish. Ficino’s report of Plato contrasts favor toward the gentle and religious with punishment of the proud and impious. References: </w:t>
      </w:r>
      <w:hyperlink w:anchor="passage-ii-13-24">
        <w:r>
          <w:rPr>
            <w:color w:val="000000"/>
          </w:rPr>
          <w:t xml:space="preserve">II.13.24</w:t>
        </w:r>
      </w:hyperlink>
      <w:r>
        <w:rPr>
          <w:b w:val="0"/>
          <w:i w:val="0"/>
        </w:rPr>
        <w:t xml:space="preserve">. See </w:t>
      </w:r>
      <w:hyperlink w:anchor="worship-and-piety">
        <w:r>
          <w:rPr>
            <w:color w:val="000000"/>
          </w:rPr>
          <w:t xml:space="preserve">Worship and piety</w:t>
        </w:r>
      </w:hyperlink>
      <w:r>
        <w:rPr>
          <w:b w:val="0"/>
          <w:i w:val="0"/>
        </w:rPr>
        <w:t>.</w:t>
      </w:r>
    </w:p>
    <w:p>
      <w:pPr>
        <w:keepNext/>
        <w:widowControl/>
      </w:pPr>
      <w:bookmarkStart w:id="1209" w:name="latin-record-0958"/>
      <w:bookmarkEnd w:id="1209"/>
      <w:r>
        <w:rPr>
          <w:b/>
          <w:i w:val="0"/>
        </w:rPr>
        <w:t>proportio / consonare</w:t>
      </w:r>
      <w:r>
        <w:rPr>
          <w:b/>
          <w:i w:val="0"/>
        </w:rPr>
        <w:t>.</w:t>
      </w:r>
      <w:r>
        <w:rPr>
          <w:b w:val="0"/>
          <w:i w:val="0"/>
        </w:rPr>
        <w:t xml:space="preserve"> Printed forms: </w:t>
      </w:r>
      <w:r>
        <w:rPr>
          <w:b w:val="0"/>
          <w:i/>
        </w:rPr>
        <w:t>aptissime</w:t>
      </w:r>
      <w:r>
        <w:rPr>
          <w:b w:val="0"/>
          <w:i w:val="0"/>
        </w:rPr>
        <w:t xml:space="preserve">; </w:t>
      </w:r>
      <w:r>
        <w:rPr>
          <w:b w:val="0"/>
          <w:i/>
        </w:rPr>
        <w:t>consonare</w:t>
      </w:r>
      <w:r>
        <w:rPr>
          <w:b w:val="0"/>
          <w:i w:val="0"/>
        </w:rPr>
        <w:t xml:space="preserve">; </w:t>
      </w:r>
      <w:r>
        <w:rPr>
          <w:b w:val="0"/>
          <w:i/>
        </w:rPr>
        <w:t>proportionibusque</w:t>
      </w:r>
      <w:r>
        <w:rPr>
          <w:b w:val="0"/>
          <w:i w:val="0"/>
        </w:rPr>
        <w:t>.</w:t>
      </w:r>
    </w:p>
    <w:p>
      <w:pPr>
        <w:widowControl/>
      </w:pPr>
      <w:r>
        <w:rPr>
          <w:b w:val="0"/>
          <w:i w:val="0"/>
        </w:rPr>
        <w:t xml:space="preserve">Proportion and fitting harmony. What seems less beautiful alone can harmonize with others in the total order without becoming identical in rank. References: </w:t>
      </w:r>
      <w:hyperlink w:anchor="passage-ii-9-21">
        <w:r>
          <w:rPr>
            <w:color w:val="000000"/>
          </w:rPr>
          <w:t xml:space="preserve">II.9.21</w:t>
        </w:r>
      </w:hyperlink>
      <w:r>
        <w:rPr>
          <w:b w:val="0"/>
          <w:i w:val="0"/>
        </w:rPr>
        <w:t xml:space="preserve">, </w:t>
      </w:r>
      <w:hyperlink w:anchor="passage-ii-9-22">
        <w:r>
          <w:rPr>
            <w:color w:val="000000"/>
          </w:rPr>
          <w:t xml:space="preserve">II.9.22</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1210" w:name="latin-record-0959"/>
      <w:bookmarkEnd w:id="1210"/>
      <w:r>
        <w:rPr>
          <w:b/>
          <w:i w:val="0"/>
        </w:rPr>
        <w:t>propositum</w:t>
      </w:r>
      <w:r>
        <w:rPr>
          <w:b/>
          <w:i w:val="0"/>
        </w:rPr>
        <w:t>.</w:t>
      </w:r>
      <w:r>
        <w:rPr>
          <w:b w:val="0"/>
          <w:i w:val="0"/>
        </w:rPr>
        <w:t xml:space="preserve"> Printed forms: </w:t>
      </w:r>
      <w:r>
        <w:rPr>
          <w:b w:val="0"/>
          <w:i/>
        </w:rPr>
        <w:t>proposito</w:t>
      </w:r>
      <w:r>
        <w:rPr>
          <w:b w:val="0"/>
          <w:i w:val="0"/>
        </w:rPr>
        <w:t xml:space="preserve">; </w:t>
      </w:r>
      <w:r>
        <w:rPr>
          <w:b w:val="0"/>
          <w:i/>
        </w:rPr>
        <w:t>propositum</w:t>
      </w:r>
      <w:r>
        <w:rPr>
          <w:b w:val="0"/>
          <w:i w:val="0"/>
        </w:rPr>
        <w:t xml:space="preserve">; </w:t>
      </w:r>
      <w:r>
        <w:rPr>
          <w:b w:val="0"/>
          <w:i/>
        </w:rPr>
        <w:t>proposuimus</w:t>
      </w:r>
      <w:r>
        <w:rPr>
          <w:b w:val="0"/>
          <w:i w:val="0"/>
        </w:rPr>
        <w:t>.</w:t>
      </w:r>
    </w:p>
    <w:p>
      <w:pPr>
        <w:widowControl/>
      </w:pPr>
      <w:r>
        <w:rPr>
          <w:b w:val="0"/>
          <w:i w:val="0"/>
        </w:rPr>
        <w:t xml:space="preserve">Design or purpose; also an announced topic or proposition. Divine design orders the world; Ficino’s own proposed discussion supplies a distinct discursive sense of the same family. References: </w:t>
      </w:r>
      <w:hyperlink w:anchor="passage-ii-11-17">
        <w:r>
          <w:rPr>
            <w:color w:val="000000"/>
          </w:rPr>
          <w:t xml:space="preserve">II.11.17</w:t>
        </w:r>
      </w:hyperlink>
      <w:r>
        <w:rPr>
          <w:b w:val="0"/>
          <w:i w:val="0"/>
        </w:rPr>
        <w:t xml:space="preserve">, </w:t>
      </w:r>
      <w:hyperlink w:anchor="passage-ii-11-18">
        <w:r>
          <w:rPr>
            <w:color w:val="000000"/>
          </w:rPr>
          <w:t xml:space="preserve">II.11.18</w:t>
        </w:r>
      </w:hyperlink>
      <w:r>
        <w:rPr>
          <w:b w:val="0"/>
          <w:i w:val="0"/>
        </w:rPr>
        <w:t xml:space="preserve">, </w:t>
      </w:r>
      <w:hyperlink w:anchor="passage-ii-11-21">
        <w:r>
          <w:rPr>
            <w:color w:val="000000"/>
          </w:rPr>
          <w:t xml:space="preserve">II.11.21</w:t>
        </w:r>
      </w:hyperlink>
      <w:r>
        <w:rPr>
          <w:b w:val="0"/>
          <w:i w:val="0"/>
        </w:rPr>
        <w:t xml:space="preserve">, </w:t>
      </w:r>
      <w:hyperlink w:anchor="passage-ii-11-24">
        <w:r>
          <w:rPr>
            <w:color w:val="000000"/>
          </w:rPr>
          <w:t xml:space="preserve">II.11.24</w:t>
        </w:r>
      </w:hyperlink>
      <w:r>
        <w:rPr>
          <w:b w:val="0"/>
          <w:i w:val="0"/>
        </w:rPr>
        <w:t xml:space="preserve">. See </w:t>
      </w:r>
      <w:hyperlink w:anchor="intention">
        <w:r>
          <w:rPr>
            <w:color w:val="000000"/>
          </w:rPr>
          <w:t xml:space="preserve">Intention</w:t>
        </w:r>
      </w:hyperlink>
      <w:r>
        <w:rPr>
          <w:b w:val="0"/>
          <w:i w:val="0"/>
        </w:rPr>
        <w:t>.</w:t>
      </w:r>
    </w:p>
    <w:p>
      <w:pPr>
        <w:keepNext/>
        <w:widowControl/>
      </w:pPr>
      <w:bookmarkStart w:id="1211" w:name="latin-record-0960"/>
      <w:bookmarkEnd w:id="1211"/>
      <w:r>
        <w:rPr>
          <w:b/>
          <w:i w:val="0"/>
        </w:rPr>
        <w:t>propositum / institutum</w:t>
      </w:r>
      <w:r>
        <w:rPr>
          <w:b/>
          <w:i w:val="0"/>
        </w:rPr>
        <w:t>.</w:t>
      </w:r>
      <w:r>
        <w:rPr>
          <w:b w:val="0"/>
          <w:i w:val="0"/>
        </w:rPr>
        <w:t xml:space="preserve"> Printed forms: </w:t>
      </w:r>
      <w:r>
        <w:rPr>
          <w:b w:val="0"/>
          <w:i/>
        </w:rPr>
        <w:t>institutum</w:t>
      </w:r>
      <w:r>
        <w:rPr>
          <w:b w:val="0"/>
          <w:i w:val="0"/>
        </w:rPr>
        <w:t xml:space="preserve">; </w:t>
      </w:r>
      <w:r>
        <w:rPr>
          <w:b w:val="0"/>
          <w:i/>
        </w:rPr>
        <w:t>proposito</w:t>
      </w:r>
      <w:r>
        <w:rPr>
          <w:b w:val="0"/>
          <w:i w:val="0"/>
        </w:rPr>
        <w:t>.</w:t>
      </w:r>
    </w:p>
    <w:p>
      <w:pPr>
        <w:widowControl/>
      </w:pPr>
      <w:r>
        <w:rPr>
          <w:b w:val="0"/>
          <w:i w:val="0"/>
        </w:rPr>
        <w:t xml:space="preserve">Purpose or projected undertaking; the established order of exposition. The general route-plan is different from the announced Platonic order to which the numerical excursion gives way. References: </w:t>
      </w:r>
      <w:hyperlink w:anchor="passage-iv-1-52">
        <w:r>
          <w:rPr>
            <w:color w:val="000000"/>
          </w:rPr>
          <w:t xml:space="preserve">IV.1.52</w:t>
        </w:r>
      </w:hyperlink>
      <w:r>
        <w:rPr>
          <w:b w:val="0"/>
          <w:i w:val="0"/>
        </w:rPr>
        <w:t xml:space="preserve">, </w:t>
      </w:r>
      <w:hyperlink w:anchor="passage-iv-2-14">
        <w:r>
          <w:rPr>
            <w:color w:val="000000"/>
          </w:rPr>
          <w:t xml:space="preserve">IV.2.14</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1212" w:name="latin-record-0961"/>
      <w:bookmarkEnd w:id="1212"/>
      <w:r>
        <w:rPr>
          <w:b/>
          <w:i w:val="0"/>
        </w:rPr>
        <w:t>proprietas</w:t>
      </w:r>
      <w:r>
        <w:rPr>
          <w:b/>
          <w:i w:val="0"/>
        </w:rPr>
        <w:t>.</w:t>
      </w:r>
      <w:r>
        <w:rPr>
          <w:b w:val="0"/>
          <w:i w:val="0"/>
        </w:rPr>
        <w:t xml:space="preserve"> Printed forms: </w:t>
      </w:r>
      <w:r>
        <w:rPr>
          <w:b w:val="0"/>
          <w:i/>
        </w:rPr>
        <w:t>proprietas</w:t>
      </w:r>
      <w:r>
        <w:rPr>
          <w:b w:val="0"/>
          <w:i w:val="0"/>
        </w:rPr>
        <w:t xml:space="preserve">; </w:t>
      </w:r>
      <w:r>
        <w:rPr>
          <w:b w:val="0"/>
          <w:i/>
        </w:rPr>
        <w:t>proprietatem</w:t>
      </w:r>
      <w:r>
        <w:rPr>
          <w:b w:val="0"/>
          <w:i w:val="0"/>
        </w:rPr>
        <w:t xml:space="preserve">; </w:t>
      </w:r>
      <w:r>
        <w:rPr>
          <w:b w:val="0"/>
          <w:i/>
        </w:rPr>
        <w:t>Proprietates</w:t>
      </w:r>
      <w:r>
        <w:rPr>
          <w:b w:val="0"/>
          <w:i w:val="0"/>
        </w:rPr>
        <w:t>.</w:t>
      </w:r>
    </w:p>
    <w:p>
      <w:pPr>
        <w:widowControl/>
      </w:pPr>
      <w:r>
        <w:rPr>
          <w:b w:val="0"/>
          <w:i w:val="0"/>
        </w:rPr>
        <w:t xml:space="preserve">A characteristic property. Quality retains a feature of indivisible nature, but life cannot be reduced to a bare property of the conflicting bodily constituents. References: </w:t>
      </w:r>
      <w:hyperlink w:anchor="passage-i-2-17">
        <w:r>
          <w:rPr>
            <w:color w:val="000000"/>
          </w:rPr>
          <w:t xml:space="preserve">I.2.17</w:t>
        </w:r>
      </w:hyperlink>
      <w:r>
        <w:rPr>
          <w:b w:val="0"/>
          <w:i w:val="0"/>
        </w:rPr>
        <w:t xml:space="preserve">, </w:t>
      </w:r>
      <w:hyperlink w:anchor="passage-i-3-23">
        <w:r>
          <w:rPr>
            <w:color w:val="000000"/>
          </w:rPr>
          <w:t xml:space="preserve">I.3.23</w:t>
        </w:r>
      </w:hyperlink>
      <w:r>
        <w:rPr>
          <w:b w:val="0"/>
          <w:i w:val="0"/>
        </w:rPr>
        <w:t xml:space="preserve">. See </w:t>
      </w:r>
      <w:hyperlink w:anchor="quality">
        <w:r>
          <w:rPr>
            <w:color w:val="000000"/>
          </w:rPr>
          <w:t xml:space="preserve">Quality</w:t>
        </w:r>
      </w:hyperlink>
      <w:r>
        <w:rPr>
          <w:b w:val="0"/>
          <w:i w:val="0"/>
        </w:rPr>
        <w:t>.</w:t>
      </w:r>
    </w:p>
    <w:p>
      <w:pPr>
        <w:widowControl/>
      </w:pPr>
      <w:r>
        <w:rPr>
          <w:b w:val="0"/>
          <w:i w:val="0"/>
        </w:rPr>
        <w:t xml:space="preserve">Property or characteristic. Properties of substance are known through its idea, whereas common qualities receive their proper ideas. References: </w:t>
      </w:r>
      <w:hyperlink w:anchor="passage-ii-11-19">
        <w:r>
          <w:rPr>
            <w:color w:val="000000"/>
          </w:rPr>
          <w:t xml:space="preserve">II.11.19</w:t>
        </w:r>
      </w:hyperlink>
      <w:r>
        <w:rPr>
          <w:b w:val="0"/>
          <w:i w:val="0"/>
        </w:rPr>
        <w:t xml:space="preserve">, </w:t>
      </w:r>
      <w:hyperlink w:anchor="passage-ii-11-20">
        <w:r>
          <w:rPr>
            <w:color w:val="000000"/>
          </w:rPr>
          <w:t xml:space="preserve">II.11.20</w:t>
        </w:r>
      </w:hyperlink>
      <w:r>
        <w:rPr>
          <w:b w:val="0"/>
          <w:i w:val="0"/>
        </w:rPr>
        <w:t xml:space="preserve">. See </w:t>
      </w:r>
      <w:hyperlink w:anchor="substance-and-accident">
        <w:r>
          <w:rPr>
            <w:color w:val="000000"/>
          </w:rPr>
          <w:t xml:space="preserve">Substance and accident</w:t>
        </w:r>
      </w:hyperlink>
      <w:r>
        <w:rPr>
          <w:b w:val="0"/>
          <w:i w:val="0"/>
        </w:rPr>
        <w:t>.</w:t>
      </w:r>
    </w:p>
    <w:p>
      <w:pPr>
        <w:keepNext/>
        <w:widowControl/>
      </w:pPr>
      <w:bookmarkStart w:id="1213" w:name="latin-record-0962"/>
      <w:bookmarkEnd w:id="1213"/>
      <w:r>
        <w:rPr>
          <w:b/>
          <w:i w:val="0"/>
        </w:rPr>
        <w:t>proprius</w:t>
      </w:r>
      <w:r>
        <w:rPr>
          <w:b/>
          <w:i w:val="0"/>
        </w:rPr>
        <w:t>.</w:t>
      </w:r>
      <w:r>
        <w:rPr>
          <w:b w:val="0"/>
          <w:i w:val="0"/>
        </w:rPr>
        <w:t xml:space="preserve"> Printed forms: </w:t>
      </w:r>
      <w:r>
        <w:rPr>
          <w:b w:val="0"/>
          <w:i/>
        </w:rPr>
        <w:t>Propriae</w:t>
      </w:r>
      <w:r>
        <w:rPr>
          <w:b w:val="0"/>
          <w:i w:val="0"/>
        </w:rPr>
        <w:t xml:space="preserve">; </w:t>
      </w:r>
      <w:r>
        <w:rPr>
          <w:b w:val="0"/>
          <w:i/>
        </w:rPr>
        <w:t>proprias</w:t>
      </w:r>
      <w:r>
        <w:rPr>
          <w:b w:val="0"/>
          <w:i w:val="0"/>
        </w:rPr>
        <w:t xml:space="preserve">; </w:t>
      </w:r>
      <w:r>
        <w:rPr>
          <w:b w:val="0"/>
          <w:i/>
        </w:rPr>
        <w:t>proprium</w:t>
      </w:r>
      <w:r>
        <w:rPr>
          <w:b w:val="0"/>
          <w:i w:val="0"/>
        </w:rPr>
        <w:t>.</w:t>
      </w:r>
    </w:p>
    <w:p>
      <w:pPr>
        <w:widowControl/>
      </w:pPr>
      <w:r>
        <w:rPr>
          <w:b w:val="0"/>
          <w:i w:val="0"/>
        </w:rPr>
        <w:t xml:space="preserve">Proper, distinctive, or one’s own. Proper accounts distinguish a whole’s parts; the central point belongs exclusively to no individual radius. The context determines possession versus characteristic definition. References: </w:t>
      </w:r>
      <w:hyperlink w:anchor="passage-ii-11-18">
        <w:r>
          <w:rPr>
            <w:color w:val="000000"/>
          </w:rPr>
          <w:t xml:space="preserve">II.11.18</w:t>
        </w:r>
      </w:hyperlink>
      <w:r>
        <w:rPr>
          <w:b w:val="0"/>
          <w:i w:val="0"/>
        </w:rPr>
        <w:t xml:space="preserve">, </w:t>
      </w:r>
      <w:hyperlink w:anchor="passage-iii-2-15">
        <w:r>
          <w:rPr>
            <w:color w:val="000000"/>
          </w:rPr>
          <w:t xml:space="preserve">III.2.15</w:t>
        </w:r>
      </w:hyperlink>
      <w:r>
        <w:rPr>
          <w:b w:val="0"/>
          <w:i w:val="0"/>
        </w:rPr>
        <w:t xml:space="preserve">. See </w:t>
      </w:r>
      <w:hyperlink w:anchor="relations-and-respects">
        <w:r>
          <w:rPr>
            <w:color w:val="000000"/>
          </w:rPr>
          <w:t xml:space="preserve">Relations and respects</w:t>
        </w:r>
      </w:hyperlink>
      <w:r>
        <w:rPr>
          <w:b w:val="0"/>
          <w:i w:val="0"/>
        </w:rPr>
        <w:t>.</w:t>
      </w:r>
    </w:p>
    <w:p>
      <w:pPr>
        <w:keepNext/>
        <w:widowControl/>
      </w:pPr>
      <w:bookmarkStart w:id="1214" w:name="latin-record-0963"/>
      <w:bookmarkEnd w:id="1214"/>
      <w:r>
        <w:rPr>
          <w:b/>
          <w:i w:val="0"/>
        </w:rPr>
        <w:t>proprius / communis</w:t>
      </w:r>
      <w:r>
        <w:rPr>
          <w:b/>
          <w:i w:val="0"/>
        </w:rPr>
        <w:t>.</w:t>
      </w:r>
      <w:r>
        <w:rPr>
          <w:b w:val="0"/>
          <w:i w:val="0"/>
        </w:rPr>
        <w:t xml:space="preserve"> Printed forms: </w:t>
      </w:r>
      <w:r>
        <w:rPr>
          <w:b w:val="0"/>
          <w:i/>
        </w:rPr>
        <w:t>communes</w:t>
      </w:r>
      <w:r>
        <w:rPr>
          <w:b w:val="0"/>
          <w:i w:val="0"/>
        </w:rPr>
        <w:t xml:space="preserve">; </w:t>
      </w:r>
      <w:r>
        <w:rPr>
          <w:b w:val="0"/>
          <w:i/>
        </w:rPr>
        <w:t>communi</w:t>
      </w:r>
      <w:r>
        <w:rPr>
          <w:b w:val="0"/>
          <w:i w:val="0"/>
        </w:rPr>
        <w:t xml:space="preserve">; </w:t>
      </w:r>
      <w:r>
        <w:rPr>
          <w:b w:val="0"/>
          <w:i/>
        </w:rPr>
        <w:t>propriam</w:t>
      </w:r>
      <w:r>
        <w:rPr>
          <w:b w:val="0"/>
          <w:i w:val="0"/>
        </w:rPr>
        <w:t xml:space="preserve">; </w:t>
      </w:r>
      <w:r>
        <w:rPr>
          <w:b w:val="0"/>
          <w:i/>
        </w:rPr>
        <w:t>propriis</w:t>
      </w:r>
      <w:r>
        <w:rPr>
          <w:b w:val="0"/>
          <w:i w:val="0"/>
        </w:rPr>
        <w:t>.</w:t>
      </w:r>
    </w:p>
    <w:p>
      <w:pPr>
        <w:widowControl/>
      </w:pPr>
      <w:r>
        <w:rPr>
          <w:b w:val="0"/>
          <w:i w:val="0"/>
        </w:rPr>
        <w:t xml:space="preserve">Belonging to an individual or appropriately its own; common to a wider whole. Independent animal life is distinguished from the common life of an elemental sphere. References: </w:t>
      </w:r>
      <w:hyperlink w:anchor="passage-iv-1-37">
        <w:r>
          <w:rPr>
            <w:color w:val="000000"/>
          </w:rPr>
          <w:t xml:space="preserve">IV.1.37</w:t>
        </w:r>
      </w:hyperlink>
      <w:r>
        <w:rPr>
          <w:b w:val="0"/>
          <w:i w:val="0"/>
        </w:rPr>
        <w:t xml:space="preserve">. See </w:t>
      </w:r>
      <w:hyperlink w:anchor="common-and-proper">
        <w:r>
          <w:rPr>
            <w:color w:val="000000"/>
          </w:rPr>
          <w:t xml:space="preserve">Common and proper</w:t>
        </w:r>
      </w:hyperlink>
      <w:r>
        <w:rPr>
          <w:b w:val="0"/>
          <w:i w:val="0"/>
        </w:rPr>
        <w:t>.</w:t>
      </w:r>
    </w:p>
    <w:p>
      <w:pPr>
        <w:keepNext/>
        <w:widowControl/>
      </w:pPr>
      <w:bookmarkStart w:id="1215" w:name="latin-record-0964"/>
      <w:bookmarkEnd w:id="1215"/>
      <w:r>
        <w:rPr>
          <w:b/>
          <w:i w:val="0"/>
        </w:rPr>
        <w:t>proprius / communis / posterior</w:t>
      </w:r>
      <w:r>
        <w:rPr>
          <w:b/>
          <w:i w:val="0"/>
        </w:rPr>
        <w:t>.</w:t>
      </w:r>
      <w:r>
        <w:rPr>
          <w:b w:val="0"/>
          <w:i w:val="0"/>
        </w:rPr>
        <w:t xml:space="preserve"> Printed forms: </w:t>
      </w:r>
      <w:r>
        <w:rPr>
          <w:b w:val="0"/>
          <w:i/>
        </w:rPr>
        <w:t>communem</w:t>
      </w:r>
      <w:r>
        <w:rPr>
          <w:b w:val="0"/>
          <w:i w:val="0"/>
        </w:rPr>
        <w:t xml:space="preserve">; </w:t>
      </w:r>
      <w:r>
        <w:rPr>
          <w:b w:val="0"/>
          <w:i/>
        </w:rPr>
        <w:t>posteriorem</w:t>
      </w:r>
      <w:r>
        <w:rPr>
          <w:b w:val="0"/>
          <w:i w:val="0"/>
        </w:rPr>
        <w:t xml:space="preserve">; </w:t>
      </w:r>
      <w:r>
        <w:rPr>
          <w:b w:val="0"/>
          <w:i/>
        </w:rPr>
        <w:t>propriam</w:t>
      </w:r>
      <w:r>
        <w:rPr>
          <w:b w:val="0"/>
          <w:i w:val="0"/>
        </w:rPr>
        <w:t>.</w:t>
      </w:r>
    </w:p>
    <w:p>
      <w:pPr>
        <w:widowControl/>
      </w:pPr>
      <w:r>
        <w:rPr>
          <w:b w:val="0"/>
          <w:i w:val="0"/>
        </w:rPr>
        <w:t xml:space="preserve">Proper or characteristic, shared, and subsequent. Understanding is the principal activity of minds; moving bodies is a common and secondary activity and need not characterize every mind. References: </w:t>
      </w:r>
      <w:hyperlink w:anchor="passage-i-5-22">
        <w:r>
          <w:rPr>
            <w:color w:val="000000"/>
          </w:rPr>
          <w:t xml:space="preserve">I.5.22</w:t>
        </w:r>
      </w:hyperlink>
      <w:r>
        <w:rPr>
          <w:b w:val="0"/>
          <w:i w:val="0"/>
        </w:rPr>
        <w:t xml:space="preserve">. See </w:t>
      </w:r>
      <w:hyperlink w:anchor="aristotle-avicenna-and-counting-minds">
        <w:r>
          <w:rPr>
            <w:color w:val="000000"/>
          </w:rPr>
          <w:t xml:space="preserve">Aristotle, Avicenna and counting minds</w:t>
        </w:r>
      </w:hyperlink>
      <w:r>
        <w:rPr>
          <w:b w:val="0"/>
          <w:i w:val="0"/>
        </w:rPr>
        <w:t>.</w:t>
      </w:r>
    </w:p>
    <w:p>
      <w:pPr>
        <w:keepNext/>
        <w:widowControl/>
      </w:pPr>
      <w:bookmarkStart w:id="1216" w:name="latin-record-0965"/>
      <w:bookmarkEnd w:id="1216"/>
      <w:r>
        <w:rPr>
          <w:b/>
          <w:i w:val="0"/>
        </w:rPr>
        <w:t>proprius / proprietas</w:t>
      </w:r>
      <w:r>
        <w:rPr>
          <w:b/>
          <w:i w:val="0"/>
        </w:rPr>
        <w:t>.</w:t>
      </w:r>
      <w:r>
        <w:rPr>
          <w:b w:val="0"/>
          <w:i w:val="0"/>
        </w:rPr>
        <w:t xml:space="preserve"> Printed forms: </w:t>
      </w:r>
      <w:r>
        <w:rPr>
          <w:b w:val="0"/>
          <w:i/>
        </w:rPr>
        <w:t>propria</w:t>
      </w:r>
      <w:r>
        <w:rPr>
          <w:b w:val="0"/>
          <w:i w:val="0"/>
        </w:rPr>
        <w:t xml:space="preserve">; </w:t>
      </w:r>
      <w:r>
        <w:rPr>
          <w:b w:val="0"/>
          <w:i/>
        </w:rPr>
        <w:t>Propria</w:t>
      </w:r>
      <w:r>
        <w:rPr>
          <w:b w:val="0"/>
          <w:i w:val="0"/>
        </w:rPr>
        <w:t xml:space="preserve">; </w:t>
      </w:r>
      <w:r>
        <w:rPr>
          <w:b w:val="0"/>
          <w:i/>
        </w:rPr>
        <w:t>propriae</w:t>
      </w:r>
      <w:r>
        <w:rPr>
          <w:b w:val="0"/>
          <w:i w:val="0"/>
        </w:rPr>
        <w:t xml:space="preserve">; </w:t>
      </w:r>
      <w:r>
        <w:rPr>
          <w:b w:val="0"/>
          <w:i/>
        </w:rPr>
        <w:t>proprietas</w:t>
      </w:r>
      <w:r>
        <w:rPr>
          <w:b w:val="0"/>
          <w:i w:val="0"/>
        </w:rPr>
        <w:t xml:space="preserve">; </w:t>
      </w:r>
      <w:r>
        <w:rPr>
          <w:b w:val="0"/>
          <w:i/>
        </w:rPr>
        <w:t>proprietate</w:t>
      </w:r>
      <w:r>
        <w:rPr>
          <w:b w:val="0"/>
          <w:i w:val="0"/>
        </w:rPr>
        <w:t xml:space="preserve">; </w:t>
      </w:r>
      <w:r>
        <w:rPr>
          <w:b w:val="0"/>
          <w:i/>
        </w:rPr>
        <w:t>proprietatem</w:t>
      </w:r>
      <w:r>
        <w:rPr>
          <w:b w:val="0"/>
          <w:i w:val="0"/>
        </w:rPr>
        <w:t xml:space="preserve">; </w:t>
      </w:r>
      <w:r>
        <w:rPr>
          <w:b w:val="0"/>
          <w:i/>
        </w:rPr>
        <w:t>proprietates</w:t>
      </w:r>
      <w:r>
        <w:rPr>
          <w:b w:val="0"/>
          <w:i w:val="0"/>
        </w:rPr>
        <w:t>.</w:t>
      </w:r>
    </w:p>
    <w:p>
      <w:pPr>
        <w:widowControl/>
      </w:pPr>
      <w:r>
        <w:rPr>
          <w:b w:val="0"/>
          <w:i w:val="0"/>
        </w:rPr>
        <w:t xml:space="preserve">One’s own, specific, characteristic; a distinguishing property. The feature differentiating an angel from God must have an origin and therefore disclose dependence. References: </w:t>
      </w:r>
      <w:hyperlink w:anchor="passage-ii-2-3">
        <w:r>
          <w:rPr>
            <w:color w:val="000000"/>
          </w:rPr>
          <w:t xml:space="preserve">II.2.3</w:t>
        </w:r>
      </w:hyperlink>
      <w:r>
        <w:rPr>
          <w:b w:val="0"/>
          <w:i w:val="0"/>
        </w:rPr>
        <w:t xml:space="preserve">, </w:t>
      </w:r>
      <w:hyperlink w:anchor="passage-ii-2-4">
        <w:r>
          <w:rPr>
            <w:color w:val="000000"/>
          </w:rPr>
          <w:t xml:space="preserve">II.2.4</w:t>
        </w:r>
      </w:hyperlink>
      <w:r>
        <w:rPr>
          <w:b w:val="0"/>
          <w:i w:val="0"/>
        </w:rPr>
        <w:t xml:space="preserve">, </w:t>
      </w:r>
      <w:hyperlink w:anchor="passage-ii-7-14">
        <w:r>
          <w:rPr>
            <w:color w:val="000000"/>
          </w:rPr>
          <w:t xml:space="preserve">II.7.14</w:t>
        </w:r>
      </w:hyperlink>
      <w:r>
        <w:rPr>
          <w:b w:val="0"/>
          <w:i w:val="0"/>
        </w:rPr>
        <w:t xml:space="preserve">, </w:t>
      </w:r>
      <w:hyperlink w:anchor="passage-ii-9-8">
        <w:r>
          <w:rPr>
            <w:color w:val="000000"/>
          </w:rPr>
          <w:t xml:space="preserve">II.9.8</w:t>
        </w:r>
      </w:hyperlink>
      <w:r>
        <w:rPr>
          <w:b w:val="0"/>
          <w:i w:val="0"/>
        </w:rPr>
        <w:t xml:space="preserve">. See </w:t>
      </w:r>
      <w:hyperlink w:anchor="common-and-proper">
        <w:r>
          <w:rPr>
            <w:color w:val="000000"/>
          </w:rPr>
          <w:t xml:space="preserve">Common and proper</w:t>
        </w:r>
      </w:hyperlink>
      <w:r>
        <w:rPr>
          <w:b w:val="0"/>
          <w:i w:val="0"/>
        </w:rPr>
        <w:t>.</w:t>
      </w:r>
    </w:p>
    <w:p>
      <w:pPr>
        <w:keepNext/>
        <w:widowControl/>
      </w:pPr>
      <w:bookmarkStart w:id="1217" w:name="latin-record-0966"/>
      <w:bookmarkEnd w:id="1217"/>
      <w:r>
        <w:rPr>
          <w:b/>
          <w:i w:val="0"/>
        </w:rPr>
        <w:t>prorumpo / migro</w:t>
      </w:r>
      <w:r>
        <w:rPr>
          <w:b/>
          <w:i w:val="0"/>
        </w:rPr>
        <w:t>.</w:t>
      </w:r>
      <w:r>
        <w:rPr>
          <w:b w:val="0"/>
          <w:i w:val="0"/>
        </w:rPr>
        <w:t xml:space="preserve"> Printed forms: </w:t>
      </w:r>
      <w:r>
        <w:rPr>
          <w:b w:val="0"/>
          <w:i/>
        </w:rPr>
        <w:t>migrat</w:t>
      </w:r>
      <w:r>
        <w:rPr>
          <w:b w:val="0"/>
          <w:i w:val="0"/>
        </w:rPr>
        <w:t xml:space="preserve">; </w:t>
      </w:r>
      <w:r>
        <w:rPr>
          <w:b w:val="0"/>
          <w:i/>
        </w:rPr>
        <w:t>prorumpit</w:t>
      </w:r>
      <w:r>
        <w:rPr>
          <w:b w:val="0"/>
          <w:i w:val="0"/>
        </w:rPr>
        <w:t>.</w:t>
      </w:r>
    </w:p>
    <w:p>
      <w:pPr>
        <w:widowControl/>
      </w:pPr>
      <w:r>
        <w:rPr>
          <w:b w:val="0"/>
          <w:i w:val="0"/>
        </w:rPr>
        <w:t xml:space="preserve">To break forth and to pass from one condition to another. Movement from potency and inactivity into act signals incomplete actuality and a sought end. References: </w:t>
      </w:r>
      <w:hyperlink w:anchor="passage-i-5-4">
        <w:r>
          <w:rPr>
            <w:color w:val="000000"/>
          </w:rPr>
          <w:t xml:space="preserve">I.5.4</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1218" w:name="latin-record-0967"/>
      <w:bookmarkEnd w:id="1218"/>
      <w:r>
        <w:rPr>
          <w:b/>
          <w:i w:val="0"/>
        </w:rPr>
        <w:t>prospectus / intuitus</w:t>
      </w:r>
      <w:r>
        <w:rPr>
          <w:b/>
          <w:i w:val="0"/>
        </w:rPr>
        <w:t>.</w:t>
      </w:r>
      <w:r>
        <w:rPr>
          <w:b w:val="0"/>
          <w:i w:val="0"/>
        </w:rPr>
        <w:t xml:space="preserve"> Printed forms: </w:t>
      </w:r>
      <w:r>
        <w:rPr>
          <w:b w:val="0"/>
          <w:i/>
        </w:rPr>
        <w:t>intuitu</w:t>
      </w:r>
      <w:r>
        <w:rPr>
          <w:b w:val="0"/>
          <w:i w:val="0"/>
        </w:rPr>
        <w:t xml:space="preserve">; </w:t>
      </w:r>
      <w:r>
        <w:rPr>
          <w:b w:val="0"/>
          <w:i/>
        </w:rPr>
        <w:t>prospectu</w:t>
      </w:r>
      <w:r>
        <w:rPr>
          <w:b w:val="0"/>
          <w:i w:val="0"/>
        </w:rPr>
        <w:t>.</w:t>
      </w:r>
    </w:p>
    <w:p>
      <w:pPr>
        <w:widowControl/>
      </w:pPr>
      <w:r>
        <w:rPr>
          <w:b w:val="0"/>
          <w:i w:val="0"/>
        </w:rPr>
        <w:t xml:space="preserve">A view and an intuitive apprehension. Seeing all colours in one view parallels grasping all truths in one intuition; the shared simultaneity contrasts with successive search. References: </w:t>
      </w:r>
      <w:hyperlink w:anchor="passage-i-6-8">
        <w:r>
          <w:rPr>
            <w:color w:val="000000"/>
          </w:rPr>
          <w:t xml:space="preserve">I.6.8</w:t>
        </w:r>
      </w:hyperlink>
      <w:r>
        <w:rPr>
          <w:b w:val="0"/>
          <w:i w:val="0"/>
        </w:rPr>
        <w:t xml:space="preserve">, </w:t>
      </w:r>
      <w:hyperlink w:anchor="passage-i-6-9">
        <w:r>
          <w:rPr>
            <w:color w:val="000000"/>
          </w:rPr>
          <w:t xml:space="preserve">I.6.9</w:t>
        </w:r>
      </w:hyperlink>
      <w:r>
        <w:rPr>
          <w:b w:val="0"/>
          <w:i w:val="0"/>
        </w:rPr>
        <w:t xml:space="preserve">. See </w:t>
      </w:r>
      <w:hyperlink w:anchor="intuition-and-comprehension">
        <w:r>
          <w:rPr>
            <w:color w:val="000000"/>
          </w:rPr>
          <w:t xml:space="preserve">Intuition and comprehension</w:t>
        </w:r>
      </w:hyperlink>
      <w:r>
        <w:rPr>
          <w:b w:val="0"/>
          <w:i w:val="0"/>
        </w:rPr>
        <w:t>.</w:t>
      </w:r>
    </w:p>
    <w:p>
      <w:pPr>
        <w:keepNext/>
        <w:widowControl/>
      </w:pPr>
      <w:bookmarkStart w:id="1219" w:name="latin-record-0968"/>
      <w:bookmarkEnd w:id="1219"/>
      <w:r>
        <w:rPr>
          <w:b/>
          <w:i w:val="0"/>
        </w:rPr>
        <w:t>protendo / amplifico</w:t>
      </w:r>
      <w:r>
        <w:rPr>
          <w:b/>
          <w:i w:val="0"/>
        </w:rPr>
        <w:t>.</w:t>
      </w:r>
      <w:r>
        <w:rPr>
          <w:b w:val="0"/>
          <w:i w:val="0"/>
        </w:rPr>
        <w:t xml:space="preserve"> Printed forms: </w:t>
      </w:r>
      <w:r>
        <w:rPr>
          <w:b w:val="0"/>
          <w:i/>
        </w:rPr>
        <w:t>amplificari</w:t>
      </w:r>
      <w:r>
        <w:rPr>
          <w:b w:val="0"/>
          <w:i w:val="0"/>
        </w:rPr>
        <w:t xml:space="preserve">; </w:t>
      </w:r>
      <w:r>
        <w:rPr>
          <w:b w:val="0"/>
          <w:i/>
        </w:rPr>
        <w:t>protenduntur</w:t>
      </w:r>
      <w:r>
        <w:rPr>
          <w:b w:val="0"/>
          <w:i w:val="0"/>
        </w:rPr>
        <w:t>.</w:t>
      </w:r>
    </w:p>
    <w:p>
      <w:pPr>
        <w:widowControl/>
      </w:pPr>
      <w:r>
        <w:rPr>
          <w:b w:val="0"/>
          <w:i w:val="0"/>
        </w:rPr>
        <w:t xml:space="preserve">To extend or enlarge in mental scope. The mind’s ability to extend bodily numbers and dimensions without their physical limits is used as a premise for intelligible abundance, not as a declaration that imagined bodies physically exist. References: </w:t>
      </w:r>
      <w:hyperlink w:anchor="passage-i-5-24">
        <w:r>
          <w:rPr>
            <w:color w:val="000000"/>
          </w:rPr>
          <w:t xml:space="preserve">I.5.24</w:t>
        </w:r>
      </w:hyperlink>
      <w:r>
        <w:rPr>
          <w:b w:val="0"/>
          <w:i w:val="0"/>
        </w:rPr>
        <w:t xml:space="preserve">, </w:t>
      </w:r>
      <w:hyperlink w:anchor="passage-i-5-25">
        <w:r>
          <w:rPr>
            <w:color w:val="000000"/>
          </w:rPr>
          <w:t xml:space="preserve">I.5.25</w:t>
        </w:r>
      </w:hyperlink>
      <w:r>
        <w:rPr>
          <w:b w:val="0"/>
          <w:i w:val="0"/>
        </w:rPr>
        <w:t xml:space="preserve">. See </w:t>
      </w:r>
      <w:hyperlink w:anchor="universals-and-individuals">
        <w:r>
          <w:rPr>
            <w:color w:val="000000"/>
          </w:rPr>
          <w:t xml:space="preserve">Universals and individuals</w:t>
        </w:r>
      </w:hyperlink>
      <w:r>
        <w:rPr>
          <w:b w:val="0"/>
          <w:i w:val="0"/>
        </w:rPr>
        <w:t>.</w:t>
      </w:r>
    </w:p>
    <w:p>
      <w:pPr>
        <w:keepNext/>
        <w:widowControl/>
      </w:pPr>
      <w:bookmarkStart w:id="1220" w:name="latin-record-0969"/>
      <w:bookmarkEnd w:id="1220"/>
      <w:r>
        <w:rPr>
          <w:b/>
          <w:i w:val="0"/>
        </w:rPr>
        <w:t>protendo / tumeo</w:t>
      </w:r>
      <w:r>
        <w:rPr>
          <w:b/>
          <w:i w:val="0"/>
        </w:rPr>
        <w:t>.</w:t>
      </w:r>
      <w:r>
        <w:rPr>
          <w:b w:val="0"/>
          <w:i w:val="0"/>
        </w:rPr>
        <w:t xml:space="preserve"> Printed forms: </w:t>
      </w:r>
      <w:r>
        <w:rPr>
          <w:b w:val="0"/>
          <w:i/>
        </w:rPr>
        <w:t>protendatur</w:t>
      </w:r>
      <w:r>
        <w:rPr>
          <w:b w:val="0"/>
          <w:i w:val="0"/>
        </w:rPr>
        <w:t xml:space="preserve">; </w:t>
      </w:r>
      <w:r>
        <w:rPr>
          <w:b w:val="0"/>
          <w:i/>
        </w:rPr>
        <w:t>tumeat</w:t>
      </w:r>
      <w:r>
        <w:rPr>
          <w:b w:val="0"/>
          <w:i w:val="0"/>
        </w:rPr>
        <w:t>.</w:t>
      </w:r>
    </w:p>
    <w:p>
      <w:pPr>
        <w:widowControl/>
      </w:pPr>
      <w:r>
        <w:rPr>
          <w:b w:val="0"/>
          <w:i w:val="0"/>
        </w:rPr>
        <w:t xml:space="preserve">To stretch out and swell. The argument says a thing must first be before extension and swelling; the physical verbs mark the priority of simple being to divisible expansion. References: </w:t>
      </w:r>
      <w:hyperlink w:anchor="passage-i-3-16">
        <w:r>
          <w:rPr>
            <w:color w:val="000000"/>
          </w:rPr>
          <w:t xml:space="preserve">I.3.16</w:t>
        </w:r>
      </w:hyperlink>
      <w:r>
        <w:rPr>
          <w:b w:val="0"/>
          <w:i w:val="0"/>
        </w:rPr>
        <w:t xml:space="preserve">. See </w:t>
      </w:r>
      <w:hyperlink w:anchor="precedence-and-causal-regress">
        <w:r>
          <w:rPr>
            <w:color w:val="000000"/>
          </w:rPr>
          <w:t xml:space="preserve">Precedence and causal regress</w:t>
        </w:r>
      </w:hyperlink>
      <w:r>
        <w:rPr>
          <w:b w:val="0"/>
          <w:i w:val="0"/>
        </w:rPr>
        <w:t>.</w:t>
      </w:r>
    </w:p>
    <w:p>
      <w:pPr>
        <w:keepNext/>
        <w:widowControl/>
      </w:pPr>
      <w:bookmarkStart w:id="1221" w:name="latin-record-0970"/>
      <w:bookmarkEnd w:id="1221"/>
      <w:r>
        <w:rPr>
          <w:b/>
          <w:i w:val="0"/>
        </w:rPr>
        <w:t>prout</w:t>
      </w:r>
      <w:r>
        <w:rPr>
          <w:b/>
          <w:i w:val="0"/>
        </w:rPr>
        <w:t>.</w:t>
      </w:r>
      <w:r>
        <w:rPr>
          <w:b w:val="0"/>
          <w:i w:val="0"/>
        </w:rPr>
        <w:t xml:space="preserve"> Printed forms: </w:t>
      </w:r>
      <w:r>
        <w:rPr>
          <w:b w:val="0"/>
          <w:i/>
        </w:rPr>
        <w:t>prout</w:t>
      </w:r>
      <w:r>
        <w:rPr>
          <w:b w:val="0"/>
          <w:i w:val="0"/>
        </w:rPr>
        <w:t>.</w:t>
      </w:r>
    </w:p>
    <w:p>
      <w:pPr>
        <w:widowControl/>
      </w:pPr>
      <w:r>
        <w:rPr>
          <w:b w:val="0"/>
          <w:i w:val="0"/>
        </w:rPr>
        <w:t xml:space="preserve">Insofar as, according as, or in the respect that. One act of will is distinguished by its reference to divine goodness and to creatures; the qualification does not multiply divine acts. References: </w:t>
      </w:r>
      <w:hyperlink w:anchor="passage-ii-12-12">
        <w:r>
          <w:rPr>
            <w:color w:val="000000"/>
          </w:rPr>
          <w:t xml:space="preserve">II.12.12</w:t>
        </w:r>
      </w:hyperlink>
      <w:r>
        <w:rPr>
          <w:b w:val="0"/>
          <w:i w:val="0"/>
        </w:rPr>
        <w:t xml:space="preserve">, </w:t>
      </w:r>
      <w:hyperlink w:anchor="passage-ii-12-13">
        <w:r>
          <w:rPr>
            <w:color w:val="000000"/>
          </w:rPr>
          <w:t xml:space="preserve">II.12.13</w:t>
        </w:r>
      </w:hyperlink>
      <w:r>
        <w:rPr>
          <w:b w:val="0"/>
          <w:i w:val="0"/>
        </w:rPr>
        <w:t xml:space="preserve">. See </w:t>
      </w:r>
      <w:hyperlink w:anchor="relations-and-respects">
        <w:r>
          <w:rPr>
            <w:color w:val="000000"/>
          </w:rPr>
          <w:t xml:space="preserve">Relations and respects</w:t>
        </w:r>
      </w:hyperlink>
      <w:r>
        <w:rPr>
          <w:b w:val="0"/>
          <w:i w:val="0"/>
        </w:rPr>
        <w:t>.</w:t>
      </w:r>
    </w:p>
    <w:p>
      <w:pPr>
        <w:keepNext/>
        <w:widowControl/>
      </w:pPr>
      <w:bookmarkStart w:id="1222" w:name="latin-record-0971"/>
      <w:bookmarkEnd w:id="1222"/>
      <w:r>
        <w:rPr>
          <w:b/>
          <w:i w:val="0"/>
        </w:rPr>
        <w:t>provenire / oriri / nasci</w:t>
      </w:r>
      <w:r>
        <w:rPr>
          <w:b/>
          <w:i w:val="0"/>
        </w:rPr>
        <w:t>.</w:t>
      </w:r>
      <w:r>
        <w:rPr>
          <w:b w:val="0"/>
          <w:i w:val="0"/>
        </w:rPr>
        <w:t xml:space="preserve"> Printed forms: </w:t>
      </w:r>
      <w:r>
        <w:rPr>
          <w:b w:val="0"/>
          <w:i/>
        </w:rPr>
        <w:t>nascantur</w:t>
      </w:r>
      <w:r>
        <w:rPr>
          <w:b w:val="0"/>
          <w:i w:val="0"/>
        </w:rPr>
        <w:t xml:space="preserve">; </w:t>
      </w:r>
      <w:r>
        <w:rPr>
          <w:b w:val="0"/>
          <w:i/>
        </w:rPr>
        <w:t>nascatur</w:t>
      </w:r>
      <w:r>
        <w:rPr>
          <w:b w:val="0"/>
          <w:i w:val="0"/>
        </w:rPr>
        <w:t xml:space="preserve">; </w:t>
      </w:r>
      <w:r>
        <w:rPr>
          <w:b w:val="0"/>
          <w:i/>
        </w:rPr>
        <w:t>oriuntur</w:t>
      </w:r>
      <w:r>
        <w:rPr>
          <w:b w:val="0"/>
          <w:i w:val="0"/>
        </w:rPr>
        <w:t xml:space="preserve">; </w:t>
      </w:r>
      <w:r>
        <w:rPr>
          <w:b w:val="0"/>
          <w:i/>
        </w:rPr>
        <w:t>provenientem</w:t>
      </w:r>
      <w:r>
        <w:rPr>
          <w:b w:val="0"/>
          <w:i w:val="0"/>
        </w:rPr>
        <w:t xml:space="preserve">; </w:t>
      </w:r>
      <w:r>
        <w:rPr>
          <w:b w:val="0"/>
          <w:i/>
        </w:rPr>
        <w:t>provenit</w:t>
      </w:r>
      <w:r>
        <w:rPr>
          <w:b w:val="0"/>
          <w:i w:val="0"/>
        </w:rPr>
        <w:t>.</w:t>
      </w:r>
    </w:p>
    <w:p>
      <w:pPr>
        <w:widowControl/>
      </w:pPr>
      <w:r>
        <w:rPr>
          <w:b w:val="0"/>
          <w:i w:val="0"/>
        </w:rPr>
        <w:t xml:space="preserve">To originate or arise, with the source specifying dependence. Different features allegedly arise from common nature; the mental-presence theory denies rational spirits’ origin from matter. References: </w:t>
      </w:r>
      <w:hyperlink w:anchor="passage-ii-2-4">
        <w:r>
          <w:rPr>
            <w:color w:val="000000"/>
          </w:rPr>
          <w:t xml:space="preserve">II.2.4</w:t>
        </w:r>
      </w:hyperlink>
      <w:r>
        <w:rPr>
          <w:b w:val="0"/>
          <w:i w:val="0"/>
        </w:rPr>
        <w:t xml:space="preserve">, </w:t>
      </w:r>
      <w:hyperlink w:anchor="passage-ii-2-8">
        <w:r>
          <w:rPr>
            <w:color w:val="000000"/>
          </w:rPr>
          <w:t xml:space="preserve">II.2.8</w:t>
        </w:r>
      </w:hyperlink>
      <w:r>
        <w:rPr>
          <w:b w:val="0"/>
          <w:i w:val="0"/>
        </w:rPr>
        <w:t xml:space="preserve">, </w:t>
      </w:r>
      <w:hyperlink w:anchor="passage-ii-6-15">
        <w:r>
          <w:rPr>
            <w:color w:val="000000"/>
          </w:rPr>
          <w:t xml:space="preserve">II.6.15</w:t>
        </w:r>
      </w:hyperlink>
      <w:r>
        <w:rPr>
          <w:b w:val="0"/>
          <w:i w:val="0"/>
        </w:rPr>
        <w:t xml:space="preserve">, </w:t>
      </w:r>
      <w:hyperlink w:anchor="passage-ii-7-14">
        <w:r>
          <w:rPr>
            <w:color w:val="000000"/>
          </w:rPr>
          <w:t xml:space="preserve">II.7.14</w:t>
        </w:r>
      </w:hyperlink>
      <w:r>
        <w:rPr>
          <w:b w:val="0"/>
          <w:i w:val="0"/>
        </w:rPr>
        <w:t xml:space="preserve">. See </w:t>
      </w:r>
      <w:hyperlink w:anchor="dependence-and-receiving">
        <w:r>
          <w:rPr>
            <w:color w:val="000000"/>
          </w:rPr>
          <w:t xml:space="preserve">Dependence and receiving</w:t>
        </w:r>
      </w:hyperlink>
      <w:r>
        <w:rPr>
          <w:b w:val="0"/>
          <w:i w:val="0"/>
        </w:rPr>
        <w:t>.</w:t>
      </w:r>
    </w:p>
    <w:p>
      <w:pPr>
        <w:keepNext/>
        <w:widowControl/>
      </w:pPr>
      <w:bookmarkStart w:id="1223" w:name="latin-record-0972"/>
      <w:bookmarkEnd w:id="1223"/>
      <w:r>
        <w:rPr>
          <w:b/>
          <w:i w:val="0"/>
        </w:rPr>
        <w:t>providentia / decretum</w:t>
      </w:r>
      <w:r>
        <w:rPr>
          <w:b/>
          <w:i w:val="0"/>
        </w:rPr>
        <w:t>.</w:t>
      </w:r>
      <w:r>
        <w:rPr>
          <w:b w:val="0"/>
          <w:i w:val="0"/>
        </w:rPr>
        <w:t xml:space="preserve"> Printed forms: </w:t>
      </w:r>
      <w:r>
        <w:rPr>
          <w:b w:val="0"/>
          <w:i/>
        </w:rPr>
        <w:t>decretum</w:t>
      </w:r>
      <w:r>
        <w:rPr>
          <w:b w:val="0"/>
          <w:i w:val="0"/>
        </w:rPr>
        <w:t xml:space="preserve">; </w:t>
      </w:r>
      <w:r>
        <w:rPr>
          <w:b w:val="0"/>
          <w:i/>
        </w:rPr>
        <w:t>providentia</w:t>
      </w:r>
      <w:r>
        <w:rPr>
          <w:b w:val="0"/>
          <w:i w:val="0"/>
        </w:rPr>
        <w:t>.</w:t>
      </w:r>
    </w:p>
    <w:p>
      <w:pPr>
        <w:widowControl/>
      </w:pPr>
      <w:r>
        <w:rPr>
          <w:b w:val="0"/>
          <w:i w:val="0"/>
        </w:rPr>
        <w:t xml:space="preserve">Providence, and what is decreed. The claim that the work will bring resistant readers toward religion is Ficino’s professed belief about divine providence. References: </w:t>
      </w:r>
      <w:hyperlink w:anchor="passage-proem-8">
        <w:r>
          <w:rPr>
            <w:color w:val="000000"/>
          </w:rPr>
          <w:t xml:space="preserve">Proem.8</w:t>
        </w:r>
      </w:hyperlink>
      <w:r>
        <w:rPr>
          <w:b w:val="0"/>
          <w:i w:val="0"/>
        </w:rPr>
        <w:t xml:space="preserve">. See </w:t>
      </w:r>
      <w:hyperlink w:anchor="providence">
        <w:r>
          <w:rPr>
            <w:color w:val="000000"/>
          </w:rPr>
          <w:t xml:space="preserve">Providence</w:t>
        </w:r>
      </w:hyperlink>
      <w:r>
        <w:rPr>
          <w:b w:val="0"/>
          <w:i w:val="0"/>
        </w:rPr>
        <w:t>.</w:t>
      </w:r>
    </w:p>
    <w:p>
      <w:pPr>
        <w:keepNext/>
        <w:widowControl/>
      </w:pPr>
      <w:bookmarkStart w:id="1224" w:name="latin-record-0973"/>
      <w:bookmarkEnd w:id="1224"/>
      <w:r>
        <w:rPr>
          <w:b/>
          <w:i w:val="0"/>
        </w:rPr>
        <w:t>proximum bonitati</w:t>
      </w:r>
      <w:r>
        <w:rPr>
          <w:b/>
          <w:i w:val="0"/>
        </w:rPr>
        <w:t>.</w:t>
      </w:r>
      <w:r>
        <w:rPr>
          <w:b w:val="0"/>
          <w:i w:val="0"/>
        </w:rPr>
        <w:t xml:space="preserve"> Printed forms: </w:t>
      </w:r>
      <w:r>
        <w:rPr>
          <w:b w:val="0"/>
          <w:i/>
        </w:rPr>
        <w:t>bonitati</w:t>
      </w:r>
      <w:r>
        <w:rPr>
          <w:b w:val="0"/>
          <w:i w:val="0"/>
        </w:rPr>
        <w:t xml:space="preserve">; </w:t>
      </w:r>
      <w:r>
        <w:rPr>
          <w:b w:val="0"/>
          <w:i/>
        </w:rPr>
        <w:t>proximum</w:t>
      </w:r>
      <w:r>
        <w:rPr>
          <w:b w:val="0"/>
          <w:i w:val="0"/>
        </w:rPr>
        <w:t>.</w:t>
      </w:r>
    </w:p>
    <w:p>
      <w:pPr>
        <w:widowControl/>
      </w:pPr>
      <w:r>
        <w:rPr>
          <w:b w:val="0"/>
          <w:i w:val="0"/>
        </w:rPr>
        <w:t xml:space="preserve">Nearness to goodness in a causal hierarchy. The presence of evils around matter is used against treating the world-infused life as the highest goodness. References: </w:t>
      </w:r>
      <w:hyperlink w:anchor="passage-iv-1-24">
        <w:r>
          <w:rPr>
            <w:color w:val="000000"/>
          </w:rPr>
          <w:t xml:space="preserve">IV.1.24</w:t>
        </w:r>
      </w:hyperlink>
      <w:r>
        <w:rPr>
          <w:b w:val="0"/>
          <w:i w:val="0"/>
        </w:rPr>
        <w:t xml:space="preserve">. See </w:t>
      </w:r>
      <w:hyperlink w:anchor="good-and-goodness">
        <w:r>
          <w:rPr>
            <w:color w:val="000000"/>
          </w:rPr>
          <w:t xml:space="preserve">Good and goodness</w:t>
        </w:r>
      </w:hyperlink>
      <w:r>
        <w:rPr>
          <w:b w:val="0"/>
          <w:i w:val="0"/>
        </w:rPr>
        <w:t>.</w:t>
      </w:r>
    </w:p>
    <w:p>
      <w:pPr>
        <w:keepNext/>
        <w:widowControl/>
      </w:pPr>
      <w:bookmarkStart w:id="1225" w:name="latin-record-0974"/>
      <w:bookmarkEnd w:id="1225"/>
      <w:r>
        <w:rPr>
          <w:b/>
          <w:i w:val="0"/>
        </w:rPr>
        <w:t>proximus</w:t>
      </w:r>
      <w:r>
        <w:rPr>
          <w:b/>
          <w:i w:val="0"/>
        </w:rPr>
        <w:t>.</w:t>
      </w:r>
      <w:r>
        <w:rPr>
          <w:b w:val="0"/>
          <w:i w:val="0"/>
        </w:rPr>
        <w:t xml:space="preserve"> Printed forms: </w:t>
      </w:r>
      <w:r>
        <w:rPr>
          <w:b w:val="0"/>
          <w:i/>
        </w:rPr>
        <w:t>proximae</w:t>
      </w:r>
      <w:r>
        <w:rPr>
          <w:b w:val="0"/>
          <w:i w:val="0"/>
        </w:rPr>
        <w:t xml:space="preserve">; </w:t>
      </w:r>
      <w:r>
        <w:rPr>
          <w:b w:val="0"/>
          <w:i/>
        </w:rPr>
        <w:t>proxime</w:t>
      </w:r>
      <w:r>
        <w:rPr>
          <w:b w:val="0"/>
          <w:i w:val="0"/>
        </w:rPr>
        <w:t>.</w:t>
      </w:r>
    </w:p>
    <w:p>
      <w:pPr>
        <w:widowControl/>
      </w:pPr>
      <w:r>
        <w:rPr>
          <w:b w:val="0"/>
          <w:i w:val="0"/>
        </w:rPr>
        <w:t xml:space="preserve">Nearest or immediately related. The required producer is a proximate substance, while angel’s activity makes immediate adherence to matter problematic. References: </w:t>
      </w:r>
      <w:hyperlink w:anchor="passage-iv-1-3">
        <w:r>
          <w:rPr>
            <w:color w:val="000000"/>
          </w:rPr>
          <w:t xml:space="preserve">IV.1.3</w:t>
        </w:r>
      </w:hyperlink>
      <w:r>
        <w:rPr>
          <w:b w:val="0"/>
          <w:i w:val="0"/>
        </w:rPr>
        <w:t xml:space="preserve">, </w:t>
      </w:r>
      <w:hyperlink w:anchor="passage-iv-1-30">
        <w:r>
          <w:rPr>
            <w:color w:val="000000"/>
          </w:rPr>
          <w:t xml:space="preserve">IV.1.30</w:t>
        </w:r>
      </w:hyperlink>
      <w:r>
        <w:rPr>
          <w:b w:val="0"/>
          <w:i w:val="0"/>
        </w:rPr>
        <w:t xml:space="preserve">. See </w:t>
      </w:r>
      <w:hyperlink w:anchor="proximity-and-causal-presence">
        <w:r>
          <w:rPr>
            <w:color w:val="000000"/>
          </w:rPr>
          <w:t xml:space="preserve">Proximity and causal presence</w:t>
        </w:r>
      </w:hyperlink>
      <w:r>
        <w:rPr>
          <w:b w:val="0"/>
          <w:i w:val="0"/>
        </w:rPr>
        <w:t>.</w:t>
      </w:r>
    </w:p>
    <w:p>
      <w:pPr>
        <w:keepNext/>
        <w:widowControl/>
      </w:pPr>
      <w:bookmarkStart w:id="1226" w:name="latin-record-0975"/>
      <w:bookmarkEnd w:id="1226"/>
      <w:r>
        <w:rPr>
          <w:b/>
          <w:i w:val="0"/>
        </w:rPr>
        <w:t>proximus / remotus</w:t>
      </w:r>
      <w:r>
        <w:rPr>
          <w:b/>
          <w:i w:val="0"/>
        </w:rPr>
        <w:t>.</w:t>
      </w:r>
      <w:r>
        <w:rPr>
          <w:b w:val="0"/>
          <w:i w:val="0"/>
        </w:rPr>
        <w:t xml:space="preserve"> Printed forms: </w:t>
      </w:r>
      <w:r>
        <w:rPr>
          <w:b w:val="0"/>
          <w:i/>
        </w:rPr>
        <w:t>proximarum</w:t>
      </w:r>
      <w:r>
        <w:rPr>
          <w:b w:val="0"/>
          <w:i w:val="0"/>
        </w:rPr>
        <w:t xml:space="preserve">; </w:t>
      </w:r>
      <w:r>
        <w:rPr>
          <w:b w:val="0"/>
          <w:i/>
        </w:rPr>
        <w:t>remotarum</w:t>
      </w:r>
      <w:r>
        <w:rPr>
          <w:b w:val="0"/>
          <w:i w:val="0"/>
        </w:rPr>
        <w:t>.</w:t>
      </w:r>
    </w:p>
    <w:p>
      <w:pPr>
        <w:widowControl/>
      </w:pPr>
      <w:r>
        <w:rPr>
          <w:b w:val="0"/>
          <w:i w:val="0"/>
        </w:rPr>
        <w:t xml:space="preserve">Proximate / remote. Effects imitate the mode of nearer causes, allowing variable effects within a universally governed order. References: </w:t>
      </w:r>
      <w:hyperlink w:anchor="passage-ii-12-20">
        <w:r>
          <w:rPr>
            <w:color w:val="000000"/>
          </w:rPr>
          <w:t xml:space="preserve">II.12.20</w:t>
        </w:r>
      </w:hyperlink>
      <w:r>
        <w:rPr>
          <w:b w:val="0"/>
          <w:i w:val="0"/>
        </w:rPr>
        <w:t xml:space="preserve">. See </w:t>
      </w:r>
      <w:hyperlink w:anchor="cause">
        <w:r>
          <w:rPr>
            <w:color w:val="000000"/>
          </w:rPr>
          <w:t xml:space="preserve">Cause</w:t>
        </w:r>
      </w:hyperlink>
      <w:r>
        <w:rPr>
          <w:b w:val="0"/>
          <w:i w:val="0"/>
        </w:rPr>
        <w:t>.</w:t>
      </w:r>
    </w:p>
    <w:p>
      <w:pPr>
        <w:keepNext/>
        <w:widowControl/>
      </w:pPr>
      <w:bookmarkStart w:id="1227" w:name="latin-record-0976"/>
      <w:bookmarkEnd w:id="1227"/>
      <w:r>
        <w:rPr>
          <w:b/>
          <w:i w:val="0"/>
        </w:rPr>
        <w:t>proximus / simillimus</w:t>
      </w:r>
      <w:r>
        <w:rPr>
          <w:b/>
          <w:i w:val="0"/>
        </w:rPr>
        <w:t>.</w:t>
      </w:r>
      <w:r>
        <w:rPr>
          <w:b w:val="0"/>
          <w:i w:val="0"/>
        </w:rPr>
        <w:t xml:space="preserve"> Printed forms: </w:t>
      </w:r>
      <w:r>
        <w:rPr>
          <w:b w:val="0"/>
          <w:i/>
        </w:rPr>
        <w:t>proximum</w:t>
      </w:r>
      <w:r>
        <w:rPr>
          <w:b w:val="0"/>
          <w:i w:val="0"/>
        </w:rPr>
        <w:t xml:space="preserve">; </w:t>
      </w:r>
      <w:r>
        <w:rPr>
          <w:b w:val="0"/>
          <w:i/>
        </w:rPr>
        <w:t>simillimum</w:t>
      </w:r>
      <w:r>
        <w:rPr>
          <w:b w:val="0"/>
          <w:i w:val="0"/>
        </w:rPr>
        <w:t>.</w:t>
      </w:r>
    </w:p>
    <w:p>
      <w:pPr>
        <w:widowControl/>
      </w:pPr>
      <w:r>
        <w:rPr>
          <w:b w:val="0"/>
          <w:i w:val="0"/>
        </w:rPr>
        <w:t xml:space="preserve">Nearest and very like, distinct from identity. Augustine’s reported ranking of Plato is followed by Ficino’s own aim to fashion a likeness close to Christian truth. References: </w:t>
      </w:r>
      <w:hyperlink w:anchor="passage-proem-6">
        <w:r>
          <w:rPr>
            <w:color w:val="000000"/>
          </w:rPr>
          <w:t xml:space="preserve">Proem.6</w:t>
        </w:r>
      </w:hyperlink>
      <w:r>
        <w:rPr>
          <w:b w:val="0"/>
          <w:i w:val="0"/>
        </w:rPr>
        <w:t xml:space="preserve">, </w:t>
      </w:r>
      <w:hyperlink w:anchor="passage-proem-7">
        <w:r>
          <w:rPr>
            <w:color w:val="000000"/>
          </w:rPr>
          <w:t xml:space="preserve">Proem.7</w:t>
        </w:r>
      </w:hyperlink>
      <w:r>
        <w:rPr>
          <w:b w:val="0"/>
          <w:i w:val="0"/>
        </w:rPr>
        <w:t xml:space="preserve">. See </w:t>
      </w:r>
      <w:hyperlink w:anchor="augustine-and-christian-proximity">
        <w:r>
          <w:rPr>
            <w:color w:val="000000"/>
          </w:rPr>
          <w:t xml:space="preserve">Augustine and Christian proximity</w:t>
        </w:r>
      </w:hyperlink>
      <w:r>
        <w:rPr>
          <w:b w:val="0"/>
          <w:i w:val="0"/>
        </w:rPr>
        <w:t>.</w:t>
      </w:r>
    </w:p>
    <w:p>
      <w:pPr>
        <w:keepNext/>
        <w:widowControl/>
      </w:pPr>
      <w:bookmarkStart w:id="1228" w:name="latin-record-0977"/>
      <w:bookmarkEnd w:id="1228"/>
      <w:r>
        <w:rPr>
          <w:b/>
          <w:i w:val="0"/>
        </w:rPr>
        <w:t>prudentia</w:t>
      </w:r>
      <w:r>
        <w:rPr>
          <w:b/>
          <w:i w:val="0"/>
        </w:rPr>
        <w:t>.</w:t>
      </w:r>
      <w:r>
        <w:rPr>
          <w:b w:val="0"/>
          <w:i w:val="0"/>
        </w:rPr>
        <w:t xml:space="preserve"> Printed forms: </w:t>
      </w:r>
      <w:r>
        <w:rPr>
          <w:b w:val="0"/>
          <w:i/>
        </w:rPr>
        <w:t>prudentia</w:t>
      </w:r>
      <w:r>
        <w:rPr>
          <w:b w:val="0"/>
          <w:i w:val="0"/>
        </w:rPr>
        <w:t>.</w:t>
      </w:r>
    </w:p>
    <w:p>
      <w:pPr>
        <w:widowControl/>
      </w:pPr>
      <w:r>
        <w:rPr>
          <w:b w:val="0"/>
          <w:i w:val="0"/>
        </w:rPr>
        <w:t xml:space="preserve">Intelligent practical skill. The archer’s prudentia explains aiming; it is invoked as a craft analogy rather than analyzed as a separate moral virtue. References: </w:t>
      </w:r>
      <w:hyperlink w:anchor="passage-ii-13-9">
        <w:r>
          <w:rPr>
            <w:color w:val="000000"/>
          </w:rPr>
          <w:t xml:space="preserve">II.13.9</w:t>
        </w:r>
      </w:hyperlink>
      <w:r>
        <w:rPr>
          <w:b w:val="0"/>
          <w:i w:val="0"/>
        </w:rPr>
        <w:t xml:space="preserve">. See </w:t>
      </w:r>
      <w:hyperlink w:anchor="archer-and-target">
        <w:r>
          <w:rPr>
            <w:color w:val="000000"/>
          </w:rPr>
          <w:t xml:space="preserve">Archer and target</w:t>
        </w:r>
      </w:hyperlink>
      <w:r>
        <w:rPr>
          <w:b w:val="0"/>
          <w:i w:val="0"/>
        </w:rPr>
        <w:t>.</w:t>
      </w:r>
    </w:p>
    <w:p>
      <w:pPr>
        <w:keepNext/>
        <w:widowControl/>
      </w:pPr>
      <w:bookmarkStart w:id="1229" w:name="latin-record-0978"/>
      <w:bookmarkEnd w:id="1229"/>
      <w:r>
        <w:rPr>
          <w:b/>
          <w:i w:val="0"/>
        </w:rPr>
        <w:t>pullulare</w:t>
      </w:r>
      <w:r>
        <w:rPr>
          <w:b/>
          <w:i w:val="0"/>
        </w:rPr>
        <w:t>.</w:t>
      </w:r>
      <w:r>
        <w:rPr>
          <w:b w:val="0"/>
          <w:i w:val="0"/>
        </w:rPr>
        <w:t xml:space="preserve"> Printed forms: </w:t>
      </w:r>
      <w:r>
        <w:rPr>
          <w:b w:val="0"/>
          <w:i/>
        </w:rPr>
        <w:t>pullulant</w:t>
      </w:r>
      <w:r>
        <w:rPr>
          <w:b w:val="0"/>
          <w:i w:val="0"/>
        </w:rPr>
        <w:t>.</w:t>
      </w:r>
    </w:p>
    <w:p>
      <w:pPr>
        <w:widowControl/>
      </w:pPr>
      <w:r>
        <w:rPr>
          <w:b w:val="0"/>
          <w:i w:val="0"/>
        </w:rPr>
        <w:t xml:space="preserve">To sprout or spring forth. Seeds cast away may develop long afterward, with or without evident external fostering. References: </w:t>
      </w:r>
      <w:hyperlink w:anchor="passage-iv-1-14">
        <w:r>
          <w:rPr>
            <w:color w:val="000000"/>
          </w:rPr>
          <w:t xml:space="preserve">IV.1.14</w:t>
        </w:r>
      </w:hyperlink>
      <w:r>
        <w:rPr>
          <w:b w:val="0"/>
          <w:i w:val="0"/>
        </w:rPr>
        <w:t xml:space="preserve">. See </w:t>
      </w:r>
      <w:hyperlink w:anchor="putrefaction-and-propagation">
        <w:r>
          <w:rPr>
            <w:color w:val="000000"/>
          </w:rPr>
          <w:t xml:space="preserve">Putrefaction and propagation</w:t>
        </w:r>
      </w:hyperlink>
      <w:r>
        <w:rPr>
          <w:b w:val="0"/>
          <w:i w:val="0"/>
        </w:rPr>
        <w:t>.</w:t>
      </w:r>
    </w:p>
    <w:p>
      <w:pPr>
        <w:keepNext/>
        <w:widowControl/>
      </w:pPr>
      <w:bookmarkStart w:id="1230" w:name="latin-record-0979"/>
      <w:bookmarkEnd w:id="1230"/>
      <w:r>
        <w:rPr>
          <w:b/>
          <w:i w:val="0"/>
        </w:rPr>
        <w:t>pullulare / alligare</w:t>
      </w:r>
      <w:r>
        <w:rPr>
          <w:b/>
          <w:i w:val="0"/>
        </w:rPr>
        <w:t>.</w:t>
      </w:r>
      <w:r>
        <w:rPr>
          <w:b w:val="0"/>
          <w:i w:val="0"/>
        </w:rPr>
        <w:t xml:space="preserve"> Printed forms: </w:t>
      </w:r>
      <w:r>
        <w:rPr>
          <w:b w:val="0"/>
          <w:i/>
        </w:rPr>
        <w:t>alligantur</w:t>
      </w:r>
      <w:r>
        <w:rPr>
          <w:b w:val="0"/>
          <w:i w:val="0"/>
        </w:rPr>
        <w:t xml:space="preserve">; </w:t>
      </w:r>
      <w:r>
        <w:rPr>
          <w:b w:val="0"/>
          <w:i/>
        </w:rPr>
        <w:t>pullulant</w:t>
      </w:r>
      <w:r>
        <w:rPr>
          <w:b w:val="0"/>
          <w:i w:val="0"/>
        </w:rPr>
        <w:t>.</w:t>
      </w:r>
    </w:p>
    <w:p>
      <w:pPr>
        <w:widowControl/>
      </w:pPr>
      <w:r>
        <w:rPr>
          <w:b w:val="0"/>
          <w:i w:val="0"/>
        </w:rPr>
        <w:t xml:space="preserve">To spring up or sprout; to bind to a dimension. The authorities’ argument denies rational spirit’s origin from matter and infers freedom from determinate extension. References: </w:t>
      </w:r>
      <w:hyperlink w:anchor="passage-ii-6-15">
        <w:r>
          <w:rPr>
            <w:color w:val="000000"/>
          </w:rPr>
          <w:t xml:space="preserve">II.6.15</w:t>
        </w:r>
      </w:hyperlink>
      <w:r>
        <w:rPr>
          <w:b w:val="0"/>
          <w:i w:val="0"/>
        </w:rPr>
        <w:t xml:space="preserve">. See </w:t>
      </w:r>
      <w:hyperlink w:anchor="incorporeal-and-immaterial">
        <w:r>
          <w:rPr>
            <w:color w:val="000000"/>
          </w:rPr>
          <w:t xml:space="preserve">Incorporeal and immaterial</w:t>
        </w:r>
      </w:hyperlink>
      <w:r>
        <w:rPr>
          <w:b w:val="0"/>
          <w:i w:val="0"/>
        </w:rPr>
        <w:t>.</w:t>
      </w:r>
    </w:p>
    <w:p>
      <w:pPr>
        <w:keepNext/>
        <w:widowControl/>
      </w:pPr>
      <w:bookmarkStart w:id="1231" w:name="latin-record-0980"/>
      <w:bookmarkEnd w:id="1231"/>
      <w:r>
        <w:rPr>
          <w:b/>
          <w:i w:val="0"/>
        </w:rPr>
        <w:t>pullulo / incohatio</w:t>
      </w:r>
      <w:r>
        <w:rPr>
          <w:b/>
          <w:i w:val="0"/>
        </w:rPr>
        <w:t>.</w:t>
      </w:r>
      <w:r>
        <w:rPr>
          <w:b w:val="0"/>
          <w:i w:val="0"/>
        </w:rPr>
        <w:t xml:space="preserve"> Printed forms: </w:t>
      </w:r>
      <w:r>
        <w:rPr>
          <w:b w:val="0"/>
          <w:i/>
        </w:rPr>
        <w:t>incohationes</w:t>
      </w:r>
      <w:r>
        <w:rPr>
          <w:b w:val="0"/>
          <w:i w:val="0"/>
        </w:rPr>
        <w:t xml:space="preserve">; </w:t>
      </w:r>
      <w:r>
        <w:rPr>
          <w:b w:val="0"/>
          <w:i/>
        </w:rPr>
        <w:t>pullulantium</w:t>
      </w:r>
      <w:r>
        <w:rPr>
          <w:b w:val="0"/>
          <w:i w:val="0"/>
        </w:rPr>
        <w:t>.</w:t>
      </w:r>
    </w:p>
    <w:p>
      <w:pPr>
        <w:widowControl/>
      </w:pPr>
      <w:r>
        <w:rPr>
          <w:b w:val="0"/>
          <w:i w:val="0"/>
        </w:rPr>
        <w:t xml:space="preserve">To sprout and beginnings of formation. Latent seeds of forms in matter are introduced with a </w:t>
      </w:r>
      <w:r>
        <w:t>“</w:t>
      </w:r>
      <w:r>
        <w:rPr>
          <w:b w:val="0"/>
          <w:i w:val="0"/>
        </w:rPr>
        <w:t>so to speak</w:t>
      </w:r>
      <w:r>
        <w:t>”</w:t>
      </w:r>
      <w:r>
        <w:rPr>
          <w:b w:val="0"/>
          <w:i w:val="0"/>
        </w:rPr>
        <w:t xml:space="preserve"> qualification; their incipient goodness helps extend the Good beyond completed form. References: </w:t>
      </w:r>
      <w:hyperlink w:anchor="passage-i-6-14">
        <w:r>
          <w:rPr>
            <w:color w:val="000000"/>
          </w:rPr>
          <w:t xml:space="preserve">I.6.14</w:t>
        </w:r>
      </w:hyperlink>
      <w:r>
        <w:rPr>
          <w:b w:val="0"/>
          <w:i w:val="0"/>
        </w:rPr>
        <w:t xml:space="preserve">. See </w:t>
      </w:r>
      <w:hyperlink w:anchor="seeds">
        <w:r>
          <w:rPr>
            <w:color w:val="000000"/>
          </w:rPr>
          <w:t xml:space="preserve">Seeds</w:t>
        </w:r>
      </w:hyperlink>
      <w:r>
        <w:rPr>
          <w:b w:val="0"/>
          <w:i w:val="0"/>
        </w:rPr>
        <w:t>.</w:t>
      </w:r>
    </w:p>
    <w:p>
      <w:pPr>
        <w:keepNext/>
        <w:widowControl/>
      </w:pPr>
      <w:bookmarkStart w:id="1232" w:name="latin-record-0981"/>
      <w:bookmarkEnd w:id="1232"/>
      <w:r>
        <w:rPr>
          <w:b/>
          <w:i w:val="0"/>
        </w:rPr>
        <w:t>pulsare</w:t>
      </w:r>
      <w:r>
        <w:rPr>
          <w:b/>
          <w:i w:val="0"/>
        </w:rPr>
        <w:t>.</w:t>
      </w:r>
      <w:r>
        <w:rPr>
          <w:b w:val="0"/>
          <w:i w:val="0"/>
        </w:rPr>
        <w:t xml:space="preserve"> Printed forms: </w:t>
      </w:r>
      <w:r>
        <w:rPr>
          <w:b w:val="0"/>
          <w:i/>
        </w:rPr>
        <w:t>pulsat</w:t>
      </w:r>
      <w:r>
        <w:rPr>
          <w:b w:val="0"/>
          <w:i w:val="0"/>
        </w:rPr>
        <w:t>.</w:t>
      </w:r>
    </w:p>
    <w:p>
      <w:pPr>
        <w:widowControl/>
      </w:pPr>
      <w:r>
        <w:rPr>
          <w:b w:val="0"/>
          <w:i w:val="0"/>
        </w:rPr>
        <w:t xml:space="preserve">Strike, stir, or impel. The verb’s force is qualified by freely: divine impulsion of souls proceeds according to their nature. References: </w:t>
      </w:r>
      <w:hyperlink w:anchor="passage-ii-13-26">
        <w:r>
          <w:rPr>
            <w:color w:val="000000"/>
          </w:rPr>
          <w:t xml:space="preserve">II.13.26</w:t>
        </w:r>
      </w:hyperlink>
      <w:r>
        <w:rPr>
          <w:b w:val="0"/>
          <w:i w:val="0"/>
        </w:rPr>
        <w:t xml:space="preserve">. See </w:t>
      </w:r>
      <w:hyperlink w:anchor="persuasion-and-compulsion">
        <w:r>
          <w:rPr>
            <w:color w:val="000000"/>
          </w:rPr>
          <w:t xml:space="preserve">Persuasion and compulsion</w:t>
        </w:r>
      </w:hyperlink>
      <w:r>
        <w:rPr>
          <w:b w:val="0"/>
          <w:i w:val="0"/>
        </w:rPr>
        <w:t>.</w:t>
      </w:r>
    </w:p>
    <w:p>
      <w:pPr>
        <w:keepNext/>
        <w:widowControl/>
      </w:pPr>
      <w:bookmarkStart w:id="1233" w:name="latin-record-0982"/>
      <w:bookmarkEnd w:id="1233"/>
      <w:r>
        <w:rPr>
          <w:b/>
          <w:i w:val="0"/>
        </w:rPr>
        <w:t>pulvis / describere</w:t>
      </w:r>
      <w:r>
        <w:rPr>
          <w:b/>
          <w:i w:val="0"/>
        </w:rPr>
        <w:t>.</w:t>
      </w:r>
      <w:r>
        <w:rPr>
          <w:b w:val="0"/>
          <w:i w:val="0"/>
        </w:rPr>
        <w:t xml:space="preserve"> Printed forms: </w:t>
      </w:r>
      <w:r>
        <w:rPr>
          <w:b w:val="0"/>
          <w:i/>
        </w:rPr>
        <w:t>describit</w:t>
      </w:r>
      <w:r>
        <w:rPr>
          <w:b w:val="0"/>
          <w:i w:val="0"/>
        </w:rPr>
        <w:t xml:space="preserve">; </w:t>
      </w:r>
      <w:r>
        <w:rPr>
          <w:b w:val="0"/>
          <w:i/>
        </w:rPr>
        <w:t>pulverem</w:t>
      </w:r>
      <w:r>
        <w:rPr>
          <w:b w:val="0"/>
          <w:i w:val="0"/>
        </w:rPr>
        <w:t>.</w:t>
      </w:r>
    </w:p>
    <w:p>
      <w:pPr>
        <w:widowControl/>
      </w:pPr>
      <w:r>
        <w:rPr>
          <w:b w:val="0"/>
          <w:i w:val="0"/>
        </w:rPr>
        <w:t xml:space="preserve">Dust; drawing or tracing figures. The material surface is the less intimate model of production, contrasted with the imaginative medium. References: </w:t>
      </w:r>
      <w:hyperlink w:anchor="passage-iv-1-11">
        <w:r>
          <w:rPr>
            <w:color w:val="000000"/>
          </w:rPr>
          <w:t xml:space="preserve">IV.1.11</w:t>
        </w:r>
      </w:hyperlink>
      <w:r>
        <w:rPr>
          <w:b w:val="0"/>
          <w:i w:val="0"/>
        </w:rPr>
        <w:t xml:space="preserve">. See </w:t>
      </w:r>
      <w:hyperlink w:anchor="carpenter-and-geometer">
        <w:r>
          <w:rPr>
            <w:color w:val="000000"/>
          </w:rPr>
          <w:t xml:space="preserve">Carpenter and geometer</w:t>
        </w:r>
      </w:hyperlink>
      <w:r>
        <w:rPr>
          <w:b w:val="0"/>
          <w:i w:val="0"/>
        </w:rPr>
        <w:t>.</w:t>
      </w:r>
    </w:p>
    <w:p>
      <w:pPr>
        <w:keepNext/>
        <w:widowControl/>
      </w:pPr>
      <w:bookmarkStart w:id="1234" w:name="latin-record-0983"/>
      <w:bookmarkEnd w:id="1234"/>
      <w:r>
        <w:rPr>
          <w:b/>
          <w:i w:val="0"/>
        </w:rPr>
        <w:t>punctum</w:t>
      </w:r>
      <w:r>
        <w:rPr>
          <w:b/>
          <w:i w:val="0"/>
        </w:rPr>
        <w:t>.</w:t>
      </w:r>
      <w:r>
        <w:rPr>
          <w:b w:val="0"/>
          <w:i w:val="0"/>
        </w:rPr>
        <w:t xml:space="preserve"> Printed forms: </w:t>
      </w:r>
      <w:r>
        <w:rPr>
          <w:b w:val="0"/>
          <w:i/>
        </w:rPr>
        <w:t>puncta</w:t>
      </w:r>
      <w:r>
        <w:rPr>
          <w:b w:val="0"/>
          <w:i w:val="0"/>
        </w:rPr>
        <w:t xml:space="preserve">; </w:t>
      </w:r>
      <w:r>
        <w:rPr>
          <w:b w:val="0"/>
          <w:i/>
        </w:rPr>
        <w:t>puncto</w:t>
      </w:r>
      <w:r>
        <w:rPr>
          <w:b w:val="0"/>
          <w:i w:val="0"/>
        </w:rPr>
        <w:t xml:space="preserve">; </w:t>
      </w:r>
      <w:r>
        <w:rPr>
          <w:b w:val="0"/>
          <w:i/>
        </w:rPr>
        <w:t>punctum</w:t>
      </w:r>
      <w:r>
        <w:rPr>
          <w:b w:val="0"/>
          <w:i w:val="0"/>
        </w:rPr>
        <w:t>.</w:t>
      </w:r>
    </w:p>
    <w:p>
      <w:pPr>
        <w:widowControl/>
      </w:pPr>
      <w:r>
        <w:rPr>
          <w:b w:val="0"/>
          <w:i w:val="0"/>
        </w:rPr>
        <w:t xml:space="preserve">A point, used geometrically and as an image of indivisibility. Every temporal moment meets eternity’s point in the theory, as every location is said to meet eternal spirit. References: </w:t>
      </w:r>
      <w:hyperlink w:anchor="passage-ii-6-17">
        <w:r>
          <w:rPr>
            <w:color w:val="000000"/>
          </w:rPr>
          <w:t xml:space="preserve">II.6.17</w:t>
        </w:r>
      </w:hyperlink>
      <w:r>
        <w:rPr>
          <w:b w:val="0"/>
          <w:i w:val="0"/>
        </w:rPr>
        <w:t xml:space="preserve">, </w:t>
      </w:r>
      <w:hyperlink w:anchor="passage-ii-6-23">
        <w:r>
          <w:rPr>
            <w:color w:val="000000"/>
          </w:rPr>
          <w:t xml:space="preserve">II.6.23</w:t>
        </w:r>
      </w:hyperlink>
      <w:r>
        <w:rPr>
          <w:b w:val="0"/>
          <w:i w:val="0"/>
        </w:rPr>
        <w:t xml:space="preserve">. See </w:t>
      </w:r>
      <w:hyperlink w:anchor="indivisibility">
        <w:r>
          <w:rPr>
            <w:color w:val="000000"/>
          </w:rPr>
          <w:t xml:space="preserve">Indivisibility</w:t>
        </w:r>
      </w:hyperlink>
      <w:r>
        <w:rPr>
          <w:b w:val="0"/>
          <w:i w:val="0"/>
        </w:rPr>
        <w:t>.</w:t>
      </w:r>
    </w:p>
    <w:p>
      <w:pPr>
        <w:keepNext/>
        <w:widowControl/>
      </w:pPr>
      <w:bookmarkStart w:id="1235" w:name="latin-record-0984"/>
      <w:bookmarkEnd w:id="1235"/>
      <w:r>
        <w:rPr>
          <w:b/>
          <w:i w:val="0"/>
        </w:rPr>
        <w:t>punctum / adstrictus dimensionibus</w:t>
      </w:r>
      <w:r>
        <w:rPr>
          <w:b/>
          <w:i w:val="0"/>
        </w:rPr>
        <w:t>.</w:t>
      </w:r>
      <w:r>
        <w:rPr>
          <w:b w:val="0"/>
          <w:i w:val="0"/>
        </w:rPr>
        <w:t xml:space="preserve"> Printed forms: </w:t>
      </w:r>
      <w:r>
        <w:rPr>
          <w:b w:val="0"/>
          <w:i/>
        </w:rPr>
        <w:t>adstricta dimensionibus</w:t>
      </w:r>
      <w:r>
        <w:rPr>
          <w:b w:val="0"/>
          <w:i w:val="0"/>
        </w:rPr>
        <w:t xml:space="preserve">; </w:t>
      </w:r>
      <w:r>
        <w:rPr>
          <w:b w:val="0"/>
          <w:i/>
        </w:rPr>
        <w:t>punctum</w:t>
      </w:r>
      <w:r>
        <w:rPr>
          <w:b w:val="0"/>
          <w:i w:val="0"/>
        </w:rPr>
        <w:t>.</w:t>
      </w:r>
    </w:p>
    <w:p>
      <w:pPr>
        <w:widowControl/>
      </w:pPr>
      <w:r>
        <w:rPr>
          <w:b w:val="0"/>
          <w:i w:val="0"/>
        </w:rPr>
        <w:t xml:space="preserve">A geometrical point; confined by dimensions. Soul’s indivisibility differs from a point’s localization; its whole presence enables movement of the whole heaven. References: </w:t>
      </w:r>
      <w:hyperlink w:anchor="passage-iv-1-67">
        <w:r>
          <w:rPr>
            <w:color w:val="000000"/>
          </w:rPr>
          <w:t xml:space="preserve">IV.1.67</w:t>
        </w:r>
      </w:hyperlink>
      <w:r>
        <w:rPr>
          <w:b w:val="0"/>
          <w:i w:val="0"/>
        </w:rPr>
        <w:t xml:space="preserve">. See </w:t>
      </w:r>
      <w:hyperlink w:anchor="indivisibility">
        <w:r>
          <w:rPr>
            <w:color w:val="000000"/>
          </w:rPr>
          <w:t xml:space="preserve">Indivisibility</w:t>
        </w:r>
      </w:hyperlink>
      <w:r>
        <w:rPr>
          <w:b w:val="0"/>
          <w:i w:val="0"/>
        </w:rPr>
        <w:t>.</w:t>
      </w:r>
    </w:p>
    <w:p>
      <w:pPr>
        <w:keepNext/>
        <w:widowControl/>
      </w:pPr>
      <w:bookmarkStart w:id="1236" w:name="latin-record-0985"/>
      <w:bookmarkEnd w:id="1236"/>
      <w:r>
        <w:rPr>
          <w:b/>
          <w:i w:val="0"/>
        </w:rPr>
        <w:t>punctum / linea / circumferentia</w:t>
      </w:r>
      <w:r>
        <w:rPr>
          <w:b/>
          <w:i w:val="0"/>
        </w:rPr>
        <w:t>.</w:t>
      </w:r>
      <w:r>
        <w:rPr>
          <w:b w:val="0"/>
          <w:i w:val="0"/>
        </w:rPr>
        <w:t xml:space="preserve"> Printed forms: </w:t>
      </w:r>
      <w:r>
        <w:rPr>
          <w:b w:val="0"/>
          <w:i/>
        </w:rPr>
        <w:t>circumferentiam</w:t>
      </w:r>
      <w:r>
        <w:rPr>
          <w:b w:val="0"/>
          <w:i w:val="0"/>
        </w:rPr>
        <w:t xml:space="preserve">; </w:t>
      </w:r>
      <w:r>
        <w:rPr>
          <w:b w:val="0"/>
          <w:i/>
        </w:rPr>
        <w:t>linea</w:t>
      </w:r>
      <w:r>
        <w:rPr>
          <w:b w:val="0"/>
          <w:i w:val="0"/>
        </w:rPr>
        <w:t xml:space="preserve">; </w:t>
      </w:r>
      <w:r>
        <w:rPr>
          <w:b w:val="0"/>
          <w:i/>
        </w:rPr>
        <w:t>punctum</w:t>
      </w:r>
      <w:r>
        <w:rPr>
          <w:b w:val="0"/>
          <w:i w:val="0"/>
        </w:rPr>
        <w:t>.</w:t>
      </w:r>
    </w:p>
    <w:p>
      <w:pPr>
        <w:widowControl/>
      </w:pPr>
      <w:r>
        <w:rPr>
          <w:b w:val="0"/>
          <w:i w:val="0"/>
        </w:rPr>
        <w:t xml:space="preserve">Point / line / circumference. A point on one line or the circumference differs from a center’s equal relation to all radii; the geometry is analogical. References: </w:t>
      </w:r>
      <w:hyperlink w:anchor="passage-iii-2-14">
        <w:r>
          <w:rPr>
            <w:color w:val="000000"/>
          </w:rPr>
          <w:t xml:space="preserve">III.2.14</w:t>
        </w:r>
      </w:hyperlink>
      <w:r>
        <w:rPr>
          <w:b w:val="0"/>
          <w:i w:val="0"/>
        </w:rPr>
        <w:t xml:space="preserve">, </w:t>
      </w:r>
      <w:hyperlink w:anchor="passage-iii-2-15">
        <w:r>
          <w:rPr>
            <w:color w:val="000000"/>
          </w:rPr>
          <w:t xml:space="preserve">III.2.15</w:t>
        </w:r>
      </w:hyperlink>
      <w:r>
        <w:rPr>
          <w:b w:val="0"/>
          <w:i w:val="0"/>
        </w:rPr>
        <w:t xml:space="preserve">. See </w:t>
      </w:r>
      <w:hyperlink w:anchor="point-and-position">
        <w:r>
          <w:rPr>
            <w:color w:val="000000"/>
          </w:rPr>
          <w:t xml:space="preserve">Point and position</w:t>
        </w:r>
      </w:hyperlink>
      <w:r>
        <w:rPr>
          <w:b w:val="0"/>
          <w:i w:val="0"/>
        </w:rPr>
        <w:t>.</w:t>
      </w:r>
    </w:p>
    <w:p>
      <w:pPr>
        <w:keepNext/>
        <w:widowControl/>
      </w:pPr>
      <w:bookmarkStart w:id="1237" w:name="latin-record-0986"/>
      <w:bookmarkEnd w:id="1237"/>
      <w:r>
        <w:rPr>
          <w:b/>
          <w:i w:val="0"/>
        </w:rPr>
        <w:t>punctum / situs</w:t>
      </w:r>
      <w:r>
        <w:rPr>
          <w:b/>
          <w:i w:val="0"/>
        </w:rPr>
        <w:t>.</w:t>
      </w:r>
      <w:r>
        <w:rPr>
          <w:b w:val="0"/>
          <w:i w:val="0"/>
        </w:rPr>
        <w:t xml:space="preserve"> Printed forms: </w:t>
      </w:r>
      <w:r>
        <w:rPr>
          <w:b w:val="0"/>
          <w:i/>
        </w:rPr>
        <w:t>punctis</w:t>
      </w:r>
      <w:r>
        <w:rPr>
          <w:b w:val="0"/>
          <w:i w:val="0"/>
        </w:rPr>
        <w:t xml:space="preserve">; </w:t>
      </w:r>
      <w:r>
        <w:rPr>
          <w:b w:val="0"/>
          <w:i/>
        </w:rPr>
        <w:t>punctum</w:t>
      </w:r>
      <w:r>
        <w:rPr>
          <w:b w:val="0"/>
          <w:i w:val="0"/>
        </w:rPr>
        <w:t xml:space="preserve">; </w:t>
      </w:r>
      <w:r>
        <w:rPr>
          <w:b w:val="0"/>
          <w:i/>
        </w:rPr>
        <w:t>situ</w:t>
      </w:r>
      <w:r>
        <w:rPr>
          <w:b w:val="0"/>
          <w:i w:val="0"/>
        </w:rPr>
        <w:t xml:space="preserve">; </w:t>
      </w:r>
      <w:r>
        <w:rPr>
          <w:b w:val="0"/>
          <w:i/>
        </w:rPr>
        <w:t>situm</w:t>
      </w:r>
      <w:r>
        <w:rPr>
          <w:b w:val="0"/>
          <w:i w:val="0"/>
        </w:rPr>
        <w:t>.</w:t>
      </w:r>
    </w:p>
    <w:p>
      <w:pPr>
        <w:widowControl/>
      </w:pPr>
      <w:r>
        <w:rPr>
          <w:b w:val="0"/>
          <w:i w:val="0"/>
        </w:rPr>
        <w:t xml:space="preserve">A point and position. A point lacks parts yet remains related to position; numbers lack position while requiring parts, distinguishing two kinds of non-bodily abstraction. References: </w:t>
      </w:r>
      <w:hyperlink w:anchor="passage-i-3-12">
        <w:r>
          <w:rPr>
            <w:color w:val="000000"/>
          </w:rPr>
          <w:t xml:space="preserve">I.3.12</w:t>
        </w:r>
      </w:hyperlink>
      <w:r>
        <w:rPr>
          <w:b w:val="0"/>
          <w:i w:val="0"/>
        </w:rPr>
        <w:t xml:space="preserve">. See </w:t>
      </w:r>
      <w:hyperlink w:anchor="point-position-and-mathematical-ascent">
        <w:r>
          <w:rPr>
            <w:color w:val="000000"/>
          </w:rPr>
          <w:t xml:space="preserve">Point, position and mathematical ascent</w:t>
        </w:r>
      </w:hyperlink>
      <w:r>
        <w:rPr>
          <w:b w:val="0"/>
          <w:i w:val="0"/>
        </w:rPr>
        <w:t>.</w:t>
      </w:r>
    </w:p>
    <w:p>
      <w:pPr>
        <w:keepNext/>
        <w:widowControl/>
      </w:pPr>
      <w:bookmarkStart w:id="1238" w:name="latin-record-0987"/>
      <w:bookmarkEnd w:id="1238"/>
      <w:r>
        <w:rPr>
          <w:b/>
          <w:i w:val="0"/>
        </w:rPr>
        <w:t>purgo / serenus</w:t>
      </w:r>
      <w:r>
        <w:rPr>
          <w:b/>
          <w:i w:val="0"/>
        </w:rPr>
        <w:t>.</w:t>
      </w:r>
      <w:r>
        <w:rPr>
          <w:b w:val="0"/>
          <w:i w:val="0"/>
        </w:rPr>
        <w:t xml:space="preserve"> Printed forms: </w:t>
      </w:r>
      <w:r>
        <w:rPr>
          <w:b w:val="0"/>
          <w:i/>
        </w:rPr>
        <w:t>purgandum</w:t>
      </w:r>
      <w:r>
        <w:rPr>
          <w:b w:val="0"/>
          <w:i w:val="0"/>
        </w:rPr>
        <w:t xml:space="preserve">; </w:t>
      </w:r>
      <w:r>
        <w:rPr>
          <w:b w:val="0"/>
          <w:i/>
        </w:rPr>
        <w:t>purgatam</w:t>
      </w:r>
      <w:r>
        <w:rPr>
          <w:b w:val="0"/>
          <w:i w:val="0"/>
        </w:rPr>
        <w:t xml:space="preserve">; </w:t>
      </w:r>
      <w:r>
        <w:rPr>
          <w:b w:val="0"/>
          <w:i/>
        </w:rPr>
        <w:t>serenior</w:t>
      </w:r>
      <w:r>
        <w:rPr>
          <w:b w:val="0"/>
          <w:i w:val="0"/>
        </w:rPr>
        <w:t>.</w:t>
      </w:r>
    </w:p>
    <w:p>
      <w:pPr>
        <w:widowControl/>
      </w:pPr>
      <w:r>
        <w:rPr>
          <w:b w:val="0"/>
          <w:i w:val="0"/>
        </w:rPr>
        <w:t xml:space="preserve">To purify; clearer or more serene after purification. Soul and mental gaze are prepared for divine light; the optical-moral comparison concerns receptive orientation rather than physical washing. References: </w:t>
      </w:r>
      <w:hyperlink w:anchor="passage-proem-2">
        <w:r>
          <w:rPr>
            <w:color w:val="000000"/>
          </w:rPr>
          <w:t xml:space="preserve">Proem.2</w:t>
        </w:r>
      </w:hyperlink>
      <w:r>
        <w:rPr>
          <w:b w:val="0"/>
          <w:i w:val="0"/>
        </w:rPr>
        <w:t xml:space="preserve">, </w:t>
      </w:r>
      <w:hyperlink w:anchor="passage-i-1-6">
        <w:r>
          <w:rPr>
            <w:color w:val="000000"/>
          </w:rPr>
          <w:t xml:space="preserve">I.1.6</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1239" w:name="latin-record-0988"/>
      <w:bookmarkEnd w:id="1239"/>
      <w:r>
        <w:rPr>
          <w:b/>
          <w:i w:val="0"/>
        </w:rPr>
        <w:t>purus / merus</w:t>
      </w:r>
      <w:r>
        <w:rPr>
          <w:b/>
          <w:i w:val="0"/>
        </w:rPr>
        <w:t>.</w:t>
      </w:r>
      <w:r>
        <w:rPr>
          <w:b w:val="0"/>
          <w:i w:val="0"/>
        </w:rPr>
        <w:t xml:space="preserve"> Printed forms: </w:t>
      </w:r>
      <w:r>
        <w:rPr>
          <w:b w:val="0"/>
          <w:i/>
        </w:rPr>
        <w:t>merus</w:t>
      </w:r>
      <w:r>
        <w:rPr>
          <w:b w:val="0"/>
          <w:i w:val="0"/>
        </w:rPr>
        <w:t xml:space="preserve">; </w:t>
      </w:r>
      <w:r>
        <w:rPr>
          <w:b w:val="0"/>
          <w:i/>
        </w:rPr>
        <w:t>pura</w:t>
      </w:r>
      <w:r>
        <w:rPr>
          <w:b w:val="0"/>
          <w:i w:val="0"/>
        </w:rPr>
        <w:t xml:space="preserve">; </w:t>
      </w:r>
      <w:r>
        <w:rPr>
          <w:b w:val="0"/>
          <w:i/>
        </w:rPr>
        <w:t>puri</w:t>
      </w:r>
      <w:r>
        <w:rPr>
          <w:b w:val="0"/>
          <w:i w:val="0"/>
        </w:rPr>
        <w:t xml:space="preserve">; </w:t>
      </w:r>
      <w:r>
        <w:rPr>
          <w:b w:val="0"/>
          <w:i/>
        </w:rPr>
        <w:t>purus</w:t>
      </w:r>
      <w:r>
        <w:rPr>
          <w:b w:val="0"/>
          <w:i w:val="0"/>
        </w:rPr>
        <w:t>.</w:t>
      </w:r>
    </w:p>
    <w:p>
      <w:pPr>
        <w:widowControl/>
      </w:pPr>
      <w:r>
        <w:rPr>
          <w:b w:val="0"/>
          <w:i w:val="0"/>
        </w:rPr>
        <w:t xml:space="preserve">Pure / unmixed or considered alone. A colored light is no longer pure light in the example; merus actus excludes added receptive determination. References: </w:t>
      </w:r>
      <w:hyperlink w:anchor="passage-iii-1-10">
        <w:r>
          <w:rPr>
            <w:color w:val="000000"/>
          </w:rPr>
          <w:t xml:space="preserve">III.1.10</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1240" w:name="latin-record-0989"/>
      <w:bookmarkEnd w:id="1240"/>
      <w:r>
        <w:rPr>
          <w:b/>
          <w:i w:val="0"/>
        </w:rPr>
        <w:t>purus / puritas</w:t>
      </w:r>
      <w:r>
        <w:rPr>
          <w:b/>
          <w:i w:val="0"/>
        </w:rPr>
        <w:t>.</w:t>
      </w:r>
      <w:r>
        <w:rPr>
          <w:b w:val="0"/>
          <w:i w:val="0"/>
        </w:rPr>
        <w:t xml:space="preserve"> Printed forms: </w:t>
      </w:r>
      <w:r>
        <w:rPr>
          <w:b w:val="0"/>
          <w:i/>
        </w:rPr>
        <w:t>pura</w:t>
      </w:r>
      <w:r>
        <w:rPr>
          <w:b w:val="0"/>
          <w:i w:val="0"/>
        </w:rPr>
        <w:t xml:space="preserve">; </w:t>
      </w:r>
      <w:r>
        <w:rPr>
          <w:b w:val="0"/>
          <w:i/>
        </w:rPr>
        <w:t>puritati</w:t>
      </w:r>
      <w:r>
        <w:rPr>
          <w:b w:val="0"/>
          <w:i w:val="0"/>
        </w:rPr>
        <w:t xml:space="preserve">; </w:t>
      </w:r>
      <w:r>
        <w:rPr>
          <w:b w:val="0"/>
          <w:i/>
        </w:rPr>
        <w:t>purum</w:t>
      </w:r>
      <w:r>
        <w:rPr>
          <w:b w:val="0"/>
          <w:i w:val="0"/>
        </w:rPr>
        <w:t>.</w:t>
      </w:r>
    </w:p>
    <w:p>
      <w:pPr>
        <w:widowControl/>
      </w:pPr>
      <w:r>
        <w:rPr>
          <w:b w:val="0"/>
          <w:i w:val="0"/>
        </w:rPr>
        <w:t xml:space="preserve">Pure, unmixed with alien limitation; purity rather than merely physical cleanliness. Divine power’s purity excludes limiting reception, while the wine example begins from an ordinary material comparison. References: </w:t>
      </w:r>
      <w:hyperlink w:anchor="passage-ii-1-1">
        <w:r>
          <w:rPr>
            <w:color w:val="000000"/>
          </w:rPr>
          <w:t xml:space="preserve">II.1.1</w:t>
        </w:r>
      </w:hyperlink>
      <w:r>
        <w:rPr>
          <w:b w:val="0"/>
          <w:i w:val="0"/>
        </w:rPr>
        <w:t xml:space="preserve">, </w:t>
      </w:r>
      <w:hyperlink w:anchor="passage-ii-4-1">
        <w:r>
          <w:rPr>
            <w:color w:val="000000"/>
          </w:rPr>
          <w:t xml:space="preserve">II.4.1</w:t>
        </w:r>
      </w:hyperlink>
      <w:r>
        <w:rPr>
          <w:b w:val="0"/>
          <w:i w:val="0"/>
        </w:rPr>
        <w:t xml:space="preserve">, </w:t>
      </w:r>
      <w:hyperlink w:anchor="passage-ii-6-3">
        <w:r>
          <w:rPr>
            <w:color w:val="000000"/>
          </w:rPr>
          <w:t xml:space="preserve">II.6.3</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1241" w:name="latin-record-0990"/>
      <w:bookmarkEnd w:id="1241"/>
      <w:r>
        <w:rPr>
          <w:b/>
          <w:i w:val="0"/>
        </w:rPr>
        <w:t>puta</w:t>
      </w:r>
      <w:r>
        <w:rPr>
          <w:b/>
          <w:i w:val="0"/>
        </w:rPr>
        <w:t>.</w:t>
      </w:r>
      <w:r>
        <w:rPr>
          <w:b w:val="0"/>
          <w:i w:val="0"/>
        </w:rPr>
        <w:t xml:space="preserve"> Printed forms: </w:t>
      </w:r>
      <w:r>
        <w:rPr>
          <w:b w:val="0"/>
          <w:i/>
        </w:rPr>
        <w:t>puta</w:t>
      </w:r>
      <w:r>
        <w:rPr>
          <w:b w:val="0"/>
          <w:i w:val="0"/>
        </w:rPr>
        <w:t>.</w:t>
      </w:r>
    </w:p>
    <w:p>
      <w:pPr>
        <w:widowControl/>
      </w:pPr>
      <w:r>
        <w:rPr>
          <w:b w:val="0"/>
          <w:i w:val="0"/>
        </w:rPr>
        <w:t xml:space="preserve">For example or namely. The parenthetical introduces bodies and qualities as examples of things moved by another; it is not an assertion attributed to a thinker. References: </w:t>
      </w:r>
      <w:hyperlink w:anchor="passage-iii-1-23">
        <w:r>
          <w:rPr>
            <w:color w:val="000000"/>
          </w:rPr>
          <w:t xml:space="preserve">III.1.23</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1242" w:name="latin-record-0991"/>
      <w:bookmarkEnd w:id="1242"/>
      <w:r>
        <w:rPr>
          <w:b/>
          <w:i w:val="0"/>
        </w:rPr>
        <w:t>putare / arbitrari</w:t>
      </w:r>
      <w:r>
        <w:rPr>
          <w:b/>
          <w:i w:val="0"/>
        </w:rPr>
        <w:t>.</w:t>
      </w:r>
      <w:r>
        <w:rPr>
          <w:b w:val="0"/>
          <w:i w:val="0"/>
        </w:rPr>
        <w:t xml:space="preserve"> Printed forms: </w:t>
      </w:r>
      <w:r>
        <w:rPr>
          <w:b w:val="0"/>
          <w:i/>
        </w:rPr>
        <w:t>arbitror</w:t>
      </w:r>
      <w:r>
        <w:rPr>
          <w:b w:val="0"/>
          <w:i w:val="0"/>
        </w:rPr>
        <w:t xml:space="preserve">; </w:t>
      </w:r>
      <w:r>
        <w:rPr>
          <w:b w:val="0"/>
          <w:i/>
        </w:rPr>
        <w:t>putant</w:t>
      </w:r>
      <w:r>
        <w:rPr>
          <w:b w:val="0"/>
          <w:i w:val="0"/>
        </w:rPr>
        <w:t>.</w:t>
      </w:r>
    </w:p>
    <w:p>
      <w:pPr>
        <w:widowControl/>
      </w:pPr>
      <w:r>
        <w:rPr>
          <w:b w:val="0"/>
          <w:i w:val="0"/>
        </w:rPr>
        <w:t xml:space="preserve">Think, judge, or hold. These verbs can mark an attributed doctrine or Ficino’s own assessment of a proof’s success; they do not always express doubt. References: </w:t>
      </w:r>
      <w:hyperlink w:anchor="passage-ii-11-19">
        <w:r>
          <w:rPr>
            <w:color w:val="000000"/>
          </w:rPr>
          <w:t xml:space="preserve">II.11.19</w:t>
        </w:r>
      </w:hyperlink>
      <w:r>
        <w:rPr>
          <w:b w:val="0"/>
          <w:i w:val="0"/>
        </w:rPr>
        <w:t xml:space="preserve">, </w:t>
      </w:r>
      <w:hyperlink w:anchor="passage-iii-1-23">
        <w:r>
          <w:rPr>
            <w:color w:val="000000"/>
          </w:rPr>
          <w:t xml:space="preserve">III.1.23</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1243" w:name="latin-record-0992"/>
      <w:bookmarkEnd w:id="1243"/>
      <w:r>
        <w:rPr>
          <w:b/>
          <w:i w:val="0"/>
        </w:rPr>
        <w:t>putare / videri as appearance</w:t>
      </w:r>
      <w:r>
        <w:rPr>
          <w:b/>
          <w:i w:val="0"/>
        </w:rPr>
        <w:t>.</w:t>
      </w:r>
      <w:r>
        <w:rPr>
          <w:b w:val="0"/>
          <w:i w:val="0"/>
        </w:rPr>
        <w:t xml:space="preserve"> Printed forms: </w:t>
      </w:r>
      <w:r>
        <w:rPr>
          <w:b w:val="0"/>
          <w:i/>
        </w:rPr>
        <w:t>videntur</w:t>
      </w:r>
      <w:r>
        <w:rPr>
          <w:b w:val="0"/>
          <w:i w:val="0"/>
        </w:rPr>
        <w:t xml:space="preserve">; </w:t>
      </w:r>
      <w:r>
        <w:rPr>
          <w:b w:val="0"/>
          <w:i/>
        </w:rPr>
        <w:t>videri</w:t>
      </w:r>
      <w:r>
        <w:rPr>
          <w:b w:val="0"/>
          <w:i w:val="0"/>
        </w:rPr>
        <w:t xml:space="preserve">; </w:t>
      </w:r>
      <w:r>
        <w:rPr>
          <w:b w:val="0"/>
          <w:i/>
        </w:rPr>
        <w:t>videtur</w:t>
      </w:r>
      <w:r>
        <w:rPr>
          <w:b w:val="0"/>
          <w:i w:val="0"/>
        </w:rPr>
        <w:t>.</w:t>
      </w:r>
    </w:p>
    <w:p>
      <w:pPr>
        <w:widowControl/>
      </w:pPr>
      <w:r>
        <w:rPr>
          <w:b w:val="0"/>
          <w:i w:val="0"/>
        </w:rPr>
        <w:t xml:space="preserve">To appear or seem, without automatically certifying the appearance as reality. Regional operations seem more manifest; isolated things seem less beautiful; both appearances are qualified by a broader account. References: </w:t>
      </w:r>
      <w:hyperlink w:anchor="passage-ii-6-17">
        <w:r>
          <w:rPr>
            <w:color w:val="000000"/>
          </w:rPr>
          <w:t xml:space="preserve">II.6.17</w:t>
        </w:r>
      </w:hyperlink>
      <w:r>
        <w:rPr>
          <w:b w:val="0"/>
          <w:i w:val="0"/>
        </w:rPr>
        <w:t xml:space="preserve">, </w:t>
      </w:r>
      <w:hyperlink w:anchor="passage-ii-6-24">
        <w:r>
          <w:rPr>
            <w:color w:val="000000"/>
          </w:rPr>
          <w:t xml:space="preserve">II.6.24</w:t>
        </w:r>
      </w:hyperlink>
      <w:r>
        <w:rPr>
          <w:b w:val="0"/>
          <w:i w:val="0"/>
        </w:rPr>
        <w:t xml:space="preserve">, </w:t>
      </w:r>
      <w:hyperlink w:anchor="passage-ii-9-22">
        <w:r>
          <w:rPr>
            <w:color w:val="000000"/>
          </w:rPr>
          <w:t xml:space="preserve">II.9.22</w:t>
        </w:r>
      </w:hyperlink>
      <w:r>
        <w:rPr>
          <w:b w:val="0"/>
          <w:i w:val="0"/>
        </w:rPr>
        <w:t xml:space="preserve">. See </w:t>
      </w:r>
      <w:hyperlink w:anchor="precious-and-lowly">
        <w:r>
          <w:rPr>
            <w:color w:val="000000"/>
          </w:rPr>
          <w:t xml:space="preserve">Precious and lowly</w:t>
        </w:r>
      </w:hyperlink>
      <w:r>
        <w:rPr>
          <w:b w:val="0"/>
          <w:i w:val="0"/>
        </w:rPr>
        <w:t>.</w:t>
      </w:r>
    </w:p>
    <w:p>
      <w:pPr>
        <w:keepNext/>
        <w:widowControl/>
      </w:pPr>
      <w:bookmarkStart w:id="1244" w:name="latin-record-0993"/>
      <w:bookmarkEnd w:id="1244"/>
      <w:r>
        <w:rPr>
          <w:b/>
          <w:i w:val="0"/>
        </w:rPr>
        <w:t>putrefactio / propagatio</w:t>
      </w:r>
      <w:r>
        <w:rPr>
          <w:b/>
          <w:i w:val="0"/>
        </w:rPr>
        <w:t>.</w:t>
      </w:r>
      <w:r>
        <w:rPr>
          <w:b w:val="0"/>
          <w:i w:val="0"/>
        </w:rPr>
        <w:t xml:space="preserve"> Printed forms: </w:t>
      </w:r>
      <w:r>
        <w:rPr>
          <w:b w:val="0"/>
          <w:i/>
        </w:rPr>
        <w:t>propagatione</w:t>
      </w:r>
      <w:r>
        <w:rPr>
          <w:b w:val="0"/>
          <w:i w:val="0"/>
        </w:rPr>
        <w:t xml:space="preserve">; </w:t>
      </w:r>
      <w:r>
        <w:rPr>
          <w:b w:val="0"/>
          <w:i/>
        </w:rPr>
        <w:t>putrefactione</w:t>
      </w:r>
      <w:r>
        <w:rPr>
          <w:b w:val="0"/>
          <w:i w:val="0"/>
        </w:rPr>
        <w:t>.</w:t>
      </w:r>
    </w:p>
    <w:p>
      <w:pPr>
        <w:widowControl/>
      </w:pPr>
      <w:r>
        <w:rPr>
          <w:b w:val="0"/>
          <w:i w:val="0"/>
        </w:rPr>
        <w:t xml:space="preserve">Decay; reproduction or propagation. Allegedly spontaneous organisms are contrasted with propagated ones, but both are required to have proper causes. References: </w:t>
      </w:r>
      <w:hyperlink w:anchor="passage-iv-1-7">
        <w:r>
          <w:rPr>
            <w:color w:val="000000"/>
          </w:rPr>
          <w:t xml:space="preserve">IV.1.7</w:t>
        </w:r>
      </w:hyperlink>
      <w:r>
        <w:rPr>
          <w:b w:val="0"/>
          <w:i w:val="0"/>
        </w:rPr>
        <w:t xml:space="preserve">, </w:t>
      </w:r>
      <w:hyperlink w:anchor="passage-iv-1-14">
        <w:r>
          <w:rPr>
            <w:color w:val="000000"/>
          </w:rPr>
          <w:t xml:space="preserve">IV.1.14</w:t>
        </w:r>
      </w:hyperlink>
      <w:r>
        <w:rPr>
          <w:b w:val="0"/>
          <w:i w:val="0"/>
        </w:rPr>
        <w:t xml:space="preserve">. See </w:t>
      </w:r>
      <w:hyperlink w:anchor="putrefaction-and-propagation">
        <w:r>
          <w:rPr>
            <w:color w:val="000000"/>
          </w:rPr>
          <w:t xml:space="preserve">Putrefaction and propagation</w:t>
        </w:r>
      </w:hyperlink>
      <w:r>
        <w:rPr>
          <w:b w:val="0"/>
          <w:i w:val="0"/>
        </w:rPr>
        <w:t>.</w:t>
      </w:r>
    </w:p>
    <w:p>
      <w:pPr>
        <w:keepNext/>
        <w:widowControl/>
      </w:pPr>
      <w:bookmarkStart w:id="1245" w:name="latin-record-0994"/>
      <w:bookmarkEnd w:id="1245"/>
      <w:r>
        <w:rPr>
          <w:b/>
          <w:i w:val="0"/>
        </w:rPr>
        <w:t>putridus / vilis / pretiosus</w:t>
      </w:r>
      <w:r>
        <w:rPr>
          <w:b/>
          <w:i w:val="0"/>
        </w:rPr>
        <w:t>.</w:t>
      </w:r>
      <w:r>
        <w:rPr>
          <w:b w:val="0"/>
          <w:i w:val="0"/>
        </w:rPr>
        <w:t xml:space="preserve"> Printed forms: </w:t>
      </w:r>
      <w:r>
        <w:rPr>
          <w:b w:val="0"/>
          <w:i/>
        </w:rPr>
        <w:t>pretiosamque</w:t>
      </w:r>
      <w:r>
        <w:rPr>
          <w:b w:val="0"/>
          <w:i w:val="0"/>
        </w:rPr>
        <w:t xml:space="preserve">; </w:t>
      </w:r>
      <w:r>
        <w:rPr>
          <w:b w:val="0"/>
          <w:i/>
        </w:rPr>
        <w:t>pretiosis</w:t>
      </w:r>
      <w:r>
        <w:rPr>
          <w:b w:val="0"/>
          <w:i w:val="0"/>
        </w:rPr>
        <w:t xml:space="preserve">; </w:t>
      </w:r>
      <w:r>
        <w:rPr>
          <w:b w:val="0"/>
          <w:i/>
        </w:rPr>
        <w:t>putrido</w:t>
      </w:r>
      <w:r>
        <w:rPr>
          <w:b w:val="0"/>
          <w:i w:val="0"/>
        </w:rPr>
        <w:t xml:space="preserve">; </w:t>
      </w:r>
      <w:r>
        <w:rPr>
          <w:b w:val="0"/>
          <w:i/>
        </w:rPr>
        <w:t>vilis</w:t>
      </w:r>
      <w:r>
        <w:rPr>
          <w:b w:val="0"/>
          <w:i w:val="0"/>
        </w:rPr>
        <w:t>.</w:t>
      </w:r>
    </w:p>
    <w:p>
      <w:pPr>
        <w:widowControl/>
      </w:pPr>
      <w:r>
        <w:rPr>
          <w:b w:val="0"/>
          <w:i w:val="0"/>
        </w:rPr>
        <w:t xml:space="preserve">Decaying; low in worth; precious. The evaluative contrast separates the grape seed’s described condition from the articulated vine and its higher formative powers. References: </w:t>
      </w:r>
      <w:hyperlink w:anchor="passage-iv-1-17">
        <w:r>
          <w:rPr>
            <w:color w:val="000000"/>
          </w:rPr>
          <w:t xml:space="preserve">IV.1.17</w:t>
        </w:r>
      </w:hyperlink>
      <w:r>
        <w:rPr>
          <w:b w:val="0"/>
          <w:i w:val="0"/>
        </w:rPr>
        <w:t xml:space="preserve">. See </w:t>
      </w:r>
      <w:hyperlink w:anchor="vine-and-grape-seed">
        <w:r>
          <w:rPr>
            <w:color w:val="000000"/>
          </w:rPr>
          <w:t xml:space="preserve">Vine and grape seed</w:t>
        </w:r>
      </w:hyperlink>
      <w:r>
        <w:rPr>
          <w:b w:val="0"/>
          <w:i w:val="0"/>
        </w:rPr>
        <w:t>.</w:t>
      </w:r>
    </w:p>
    <w:p>
      <w:pPr>
        <w:keepNext/>
        <w:widowControl/>
      </w:pPr>
      <w:bookmarkStart w:id="1246" w:name="latin-record-0995"/>
      <w:bookmarkEnd w:id="1246"/>
      <w:r>
        <w:rPr>
          <w:b/>
          <w:i w:val="0"/>
        </w:rPr>
        <w:t>Pythagorici</w:t>
      </w:r>
      <w:r>
        <w:rPr>
          <w:b/>
          <w:i w:val="0"/>
        </w:rPr>
        <w:t>.</w:t>
      </w:r>
      <w:r>
        <w:rPr>
          <w:b w:val="0"/>
          <w:i w:val="0"/>
        </w:rPr>
        <w:t xml:space="preserve"> Printed forms: </w:t>
      </w:r>
      <w:r>
        <w:rPr>
          <w:b w:val="0"/>
          <w:i/>
        </w:rPr>
        <w:t>Pythagorici</w:t>
      </w:r>
      <w:r>
        <w:rPr>
          <w:b w:val="0"/>
          <w:i w:val="0"/>
        </w:rPr>
        <w:t>.</w:t>
      </w:r>
    </w:p>
    <w:p>
      <w:pPr>
        <w:widowControl/>
      </w:pPr>
      <w:r>
        <w:rPr>
          <w:b w:val="0"/>
          <w:i w:val="0"/>
        </w:rPr>
        <w:t xml:space="preserve">The Pythagoreans, as the attributed source of graded names. Body, quality, soul, angel, and God receive deliberately different formulas relating one and many. References: </w:t>
      </w:r>
      <w:hyperlink w:anchor="passage-iii-1-1">
        <w:r>
          <w:rPr>
            <w:color w:val="000000"/>
          </w:rPr>
          <w:t xml:space="preserve">III.1.1</w:t>
        </w:r>
      </w:hyperlink>
      <w:r>
        <w:rPr>
          <w:b w:val="0"/>
          <w:i w:val="0"/>
        </w:rPr>
        <w:t xml:space="preserve">, </w:t>
      </w:r>
      <w:hyperlink w:anchor="passage-iii-1-2">
        <w:r>
          <w:rPr>
            <w:color w:val="000000"/>
          </w:rPr>
          <w:t xml:space="preserve">III.1.2</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1247" w:name="latin-record-0996"/>
      <w:bookmarkEnd w:id="1247"/>
      <w:r>
        <w:rPr>
          <w:b/>
          <w:i w:val="0"/>
        </w:rPr>
        <w:t>qua ratione … eadem</w:t>
      </w:r>
      <w:r>
        <w:rPr>
          <w:b/>
          <w:i w:val="0"/>
        </w:rPr>
        <w:t>.</w:t>
      </w:r>
      <w:r>
        <w:rPr>
          <w:b w:val="0"/>
          <w:i w:val="0"/>
        </w:rPr>
        <w:t xml:space="preserve"> Printed forms: </w:t>
      </w:r>
      <w:r>
        <w:rPr>
          <w:b w:val="0"/>
          <w:i/>
        </w:rPr>
        <w:t>qua ratione sunt, eadem agunt</w:t>
      </w:r>
      <w:r>
        <w:rPr>
          <w:b w:val="0"/>
          <w:i w:val="0"/>
        </w:rPr>
        <w:t>.</w:t>
      </w:r>
    </w:p>
    <w:p>
      <w:pPr>
        <w:widowControl/>
      </w:pPr>
      <w:r>
        <w:rPr>
          <w:b w:val="0"/>
          <w:i w:val="0"/>
        </w:rPr>
        <w:t xml:space="preserve">By the same principle by which they are, they act. The second eadem is ablative with ratione understood; the maxim assigns species-specific operation to form rather than common matter. References: </w:t>
      </w:r>
      <w:hyperlink w:anchor="passage-i-2-9">
        <w:r>
          <w:rPr>
            <w:color w:val="000000"/>
          </w:rPr>
          <w:t xml:space="preserve">I.2.9</w:t>
        </w:r>
      </w:hyperlink>
      <w:r>
        <w:rPr>
          <w:b w:val="0"/>
          <w:i w:val="0"/>
        </w:rPr>
        <w:t xml:space="preserve">. See </w:t>
      </w:r>
      <w:hyperlink w:anchor="cause">
        <w:r>
          <w:rPr>
            <w:color w:val="000000"/>
          </w:rPr>
          <w:t xml:space="preserve">Cause</w:t>
        </w:r>
      </w:hyperlink>
      <w:r>
        <w:rPr>
          <w:b w:val="0"/>
          <w:i w:val="0"/>
        </w:rPr>
        <w:t>.</w:t>
      </w:r>
    </w:p>
    <w:p>
      <w:pPr>
        <w:keepNext/>
        <w:widowControl/>
      </w:pPr>
      <w:bookmarkStart w:id="1248" w:name="latin-record-0997"/>
      <w:bookmarkEnd w:id="1248"/>
      <w:r>
        <w:rPr>
          <w:b/>
          <w:i w:val="0"/>
        </w:rPr>
        <w:t>qua ratione / quantum / quatenus</w:t>
      </w:r>
      <w:r>
        <w:rPr>
          <w:b/>
          <w:i w:val="0"/>
        </w:rPr>
        <w:t>.</w:t>
      </w:r>
      <w:r>
        <w:rPr>
          <w:b w:val="0"/>
          <w:i w:val="0"/>
        </w:rPr>
        <w:t xml:space="preserve"> Printed forms: </w:t>
      </w:r>
      <w:r>
        <w:rPr>
          <w:b w:val="0"/>
          <w:i/>
        </w:rPr>
        <w:t>qua ratione</w:t>
      </w:r>
      <w:r>
        <w:rPr>
          <w:b w:val="0"/>
          <w:i w:val="0"/>
        </w:rPr>
        <w:t xml:space="preserve">; </w:t>
      </w:r>
      <w:r>
        <w:rPr>
          <w:b w:val="0"/>
          <w:i/>
        </w:rPr>
        <w:t>quantum</w:t>
      </w:r>
      <w:r>
        <w:rPr>
          <w:b w:val="0"/>
          <w:i w:val="0"/>
        </w:rPr>
        <w:t xml:space="preserve">; </w:t>
      </w:r>
      <w:r>
        <w:rPr>
          <w:b w:val="0"/>
          <w:i/>
        </w:rPr>
        <w:t>quatenus</w:t>
      </w:r>
      <w:r>
        <w:rPr>
          <w:b w:val="0"/>
          <w:i w:val="0"/>
        </w:rPr>
        <w:t>.</w:t>
      </w:r>
    </w:p>
    <w:p>
      <w:pPr>
        <w:widowControl/>
      </w:pPr>
      <w:r>
        <w:rPr>
          <w:b w:val="0"/>
          <w:i w:val="0"/>
        </w:rPr>
        <w:t xml:space="preserve">In the respect in which, insofar as, or so far as. Body acts in the respect by which it has its determinate form, while body precisely as body does not act; these restrictions prevent apparent contradiction. References: </w:t>
      </w:r>
      <w:hyperlink w:anchor="passage-i-2-1">
        <w:r>
          <w:rPr>
            <w:color w:val="000000"/>
          </w:rPr>
          <w:t xml:space="preserve">I.2.1</w:t>
        </w:r>
      </w:hyperlink>
      <w:r>
        <w:rPr>
          <w:b w:val="0"/>
          <w:i w:val="0"/>
        </w:rPr>
        <w:t xml:space="preserve">, </w:t>
      </w:r>
      <w:hyperlink w:anchor="passage-i-2-9">
        <w:r>
          <w:rPr>
            <w:color w:val="000000"/>
          </w:rPr>
          <w:t xml:space="preserve">I.2.9</w:t>
        </w:r>
      </w:hyperlink>
      <w:r>
        <w:rPr>
          <w:b w:val="0"/>
          <w:i w:val="0"/>
        </w:rPr>
        <w:t xml:space="preserve">, </w:t>
      </w:r>
      <w:hyperlink w:anchor="passage-i-3-6">
        <w:r>
          <w:rPr>
            <w:color w:val="000000"/>
          </w:rPr>
          <w:t xml:space="preserve">I.3.6</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1249" w:name="latin-record-0998"/>
      <w:bookmarkEnd w:id="1249"/>
      <w:r>
        <w:rPr>
          <w:b/>
          <w:i w:val="0"/>
        </w:rPr>
        <w:t>quadrare</w:t>
      </w:r>
      <w:r>
        <w:rPr>
          <w:b/>
          <w:i w:val="0"/>
        </w:rPr>
        <w:t>.</w:t>
      </w:r>
      <w:r>
        <w:rPr>
          <w:b w:val="0"/>
          <w:i w:val="0"/>
        </w:rPr>
        <w:t xml:space="preserve"> Printed forms: </w:t>
      </w:r>
      <w:r>
        <w:rPr>
          <w:b w:val="0"/>
          <w:i/>
        </w:rPr>
        <w:t>quadrabit</w:t>
      </w:r>
      <w:r>
        <w:rPr>
          <w:b w:val="0"/>
          <w:i w:val="0"/>
        </w:rPr>
        <w:t xml:space="preserve">; </w:t>
      </w:r>
      <w:r>
        <w:rPr>
          <w:b w:val="0"/>
          <w:i/>
        </w:rPr>
        <w:t>quadrant</w:t>
      </w:r>
      <w:r>
        <w:rPr>
          <w:b w:val="0"/>
          <w:i w:val="0"/>
        </w:rPr>
        <w:t>.</w:t>
      </w:r>
    </w:p>
    <w:p>
      <w:pPr>
        <w:widowControl/>
      </w:pPr>
      <w:r>
        <w:rPr>
          <w:b w:val="0"/>
          <w:i w:val="0"/>
        </w:rPr>
        <w:t xml:space="preserve">To fit or be adequate to something. Natural causes work insofar as fitted to their task; angelic mind cannot fit mutable body directly without a mediator. References: </w:t>
      </w:r>
      <w:hyperlink w:anchor="passage-iv-1-6">
        <w:r>
          <w:rPr>
            <w:color w:val="000000"/>
          </w:rPr>
          <w:t xml:space="preserve">IV.1.6</w:t>
        </w:r>
      </w:hyperlink>
      <w:r>
        <w:rPr>
          <w:b w:val="0"/>
          <w:i w:val="0"/>
        </w:rPr>
        <w:t xml:space="preserve">, </w:t>
      </w:r>
      <w:hyperlink w:anchor="passage-iv-1-32">
        <w:r>
          <w:rPr>
            <w:color w:val="000000"/>
          </w:rPr>
          <w:t xml:space="preserve">IV.1.32</w:t>
        </w:r>
      </w:hyperlink>
      <w:r>
        <w:rPr>
          <w:b w:val="0"/>
          <w:i w:val="0"/>
        </w:rPr>
        <w:t xml:space="preserve">. See </w:t>
      </w:r>
      <w:hyperlink w:anchor="fitting-and-correspondence">
        <w:r>
          <w:rPr>
            <w:color w:val="000000"/>
          </w:rPr>
          <w:t xml:space="preserve">Fitting and correspondence</w:t>
        </w:r>
      </w:hyperlink>
      <w:r>
        <w:rPr>
          <w:b w:val="0"/>
          <w:i w:val="0"/>
        </w:rPr>
        <w:t>.</w:t>
      </w:r>
    </w:p>
    <w:p>
      <w:pPr>
        <w:keepNext/>
        <w:widowControl/>
      </w:pPr>
      <w:bookmarkStart w:id="1250" w:name="latin-record-0999"/>
      <w:bookmarkEnd w:id="1250"/>
      <w:r>
        <w:rPr>
          <w:b/>
          <w:i w:val="0"/>
        </w:rPr>
        <w:t>quaerere / interrogare</w:t>
      </w:r>
      <w:r>
        <w:rPr>
          <w:b/>
          <w:i w:val="0"/>
        </w:rPr>
        <w:t>.</w:t>
      </w:r>
      <w:r>
        <w:rPr>
          <w:b w:val="0"/>
          <w:i w:val="0"/>
        </w:rPr>
        <w:t xml:space="preserve"> Printed forms: </w:t>
      </w:r>
      <w:r>
        <w:rPr>
          <w:b w:val="0"/>
          <w:i/>
        </w:rPr>
        <w:t>interrogamus</w:t>
      </w:r>
      <w:r>
        <w:rPr>
          <w:b w:val="0"/>
          <w:i w:val="0"/>
        </w:rPr>
        <w:t xml:space="preserve">; </w:t>
      </w:r>
      <w:r>
        <w:rPr>
          <w:b w:val="0"/>
          <w:i/>
        </w:rPr>
        <w:t>Quaerimus</w:t>
      </w:r>
      <w:r>
        <w:rPr>
          <w:b w:val="0"/>
          <w:i w:val="0"/>
        </w:rPr>
        <w:t xml:space="preserve">; </w:t>
      </w:r>
      <w:r>
        <w:rPr>
          <w:b w:val="0"/>
          <w:i/>
        </w:rPr>
        <w:t>quaerit</w:t>
      </w:r>
      <w:r>
        <w:rPr>
          <w:b w:val="0"/>
          <w:i w:val="0"/>
        </w:rPr>
        <w:t>.</w:t>
      </w:r>
    </w:p>
    <w:p>
      <w:pPr>
        <w:widowControl/>
      </w:pPr>
      <w:r>
        <w:rPr>
          <w:b w:val="0"/>
          <w:i w:val="0"/>
        </w:rPr>
        <w:t xml:space="preserve">To ask or investigate; quaerere can also seek something not yet possessed. Ficino’s inquiries test alternatives, whereas divine knowledge is said to possess rather than search. References: </w:t>
      </w:r>
      <w:hyperlink w:anchor="passage-ii-1-6">
        <w:r>
          <w:rPr>
            <w:color w:val="000000"/>
          </w:rPr>
          <w:t xml:space="preserve">II.1.6</w:t>
        </w:r>
      </w:hyperlink>
      <w:r>
        <w:rPr>
          <w:b w:val="0"/>
          <w:i w:val="0"/>
        </w:rPr>
        <w:t xml:space="preserve">, </w:t>
      </w:r>
      <w:hyperlink w:anchor="passage-ii-2-1">
        <w:r>
          <w:rPr>
            <w:color w:val="000000"/>
          </w:rPr>
          <w:t xml:space="preserve">II.2.1</w:t>
        </w:r>
      </w:hyperlink>
      <w:r>
        <w:rPr>
          <w:b w:val="0"/>
          <w:i w:val="0"/>
        </w:rPr>
        <w:t xml:space="preserve">, </w:t>
      </w:r>
      <w:hyperlink w:anchor="passage-ii-2-2">
        <w:r>
          <w:rPr>
            <w:color w:val="000000"/>
          </w:rPr>
          <w:t xml:space="preserve">II.2.2</w:t>
        </w:r>
      </w:hyperlink>
      <w:r>
        <w:rPr>
          <w:b w:val="0"/>
          <w:i w:val="0"/>
        </w:rPr>
        <w:t xml:space="preserve">, </w:t>
      </w:r>
      <w:hyperlink w:anchor="passage-ii-9-20">
        <w:r>
          <w:rPr>
            <w:color w:val="000000"/>
          </w:rPr>
          <w:t xml:space="preserve">II.9.20</w:t>
        </w:r>
      </w:hyperlink>
      <w:r>
        <w:rPr>
          <w:b w:val="0"/>
          <w:i w:val="0"/>
        </w:rPr>
        <w:t xml:space="preserve">. See </w:t>
      </w:r>
      <w:hyperlink w:anchor="seeking-possessing-and-distraction">
        <w:r>
          <w:rPr>
            <w:color w:val="000000"/>
          </w:rPr>
          <w:t xml:space="preserve">Seeking possessing and distraction</w:t>
        </w:r>
      </w:hyperlink>
      <w:r>
        <w:rPr>
          <w:b w:val="0"/>
          <w:i w:val="0"/>
        </w:rPr>
        <w:t>.</w:t>
      </w:r>
    </w:p>
    <w:p>
      <w:pPr>
        <w:keepNext/>
        <w:widowControl/>
      </w:pPr>
      <w:bookmarkStart w:id="1251" w:name="latin-record-1000"/>
      <w:bookmarkEnd w:id="1251"/>
      <w:r>
        <w:rPr>
          <w:b/>
          <w:i w:val="0"/>
        </w:rPr>
        <w:t>quaerere / persuadere</w:t>
      </w:r>
      <w:r>
        <w:rPr>
          <w:b/>
          <w:i w:val="0"/>
        </w:rPr>
        <w:t>.</w:t>
      </w:r>
      <w:r>
        <w:rPr>
          <w:b w:val="0"/>
          <w:i w:val="0"/>
        </w:rPr>
        <w:t xml:space="preserve"> Printed forms: </w:t>
      </w:r>
      <w:r>
        <w:rPr>
          <w:b w:val="0"/>
          <w:i/>
        </w:rPr>
        <w:t>persuadet</w:t>
      </w:r>
      <w:r>
        <w:rPr>
          <w:b w:val="0"/>
          <w:i w:val="0"/>
        </w:rPr>
        <w:t xml:space="preserve">; </w:t>
      </w:r>
      <w:r>
        <w:rPr>
          <w:b w:val="0"/>
          <w:i/>
        </w:rPr>
        <w:t>quaerat</w:t>
      </w:r>
      <w:r>
        <w:rPr>
          <w:b w:val="0"/>
          <w:i w:val="0"/>
        </w:rPr>
        <w:t>.</w:t>
      </w:r>
    </w:p>
    <w:p>
      <w:pPr>
        <w:widowControl/>
      </w:pPr>
      <w:r>
        <w:rPr>
          <w:b w:val="0"/>
          <w:i w:val="0"/>
        </w:rPr>
        <w:t xml:space="preserve">To ask or investigate; to persuade through a reason. A question about elemental ascent prompts the Platonist reply, while a stated argument supports inward productive life. References: </w:t>
      </w:r>
      <w:hyperlink w:anchor="passage-iv-1-5">
        <w:r>
          <w:rPr>
            <w:color w:val="000000"/>
          </w:rPr>
          <w:t xml:space="preserve">IV.1.5</w:t>
        </w:r>
      </w:hyperlink>
      <w:r>
        <w:rPr>
          <w:b w:val="0"/>
          <w:i w:val="0"/>
        </w:rPr>
        <w:t xml:space="preserve">, </w:t>
      </w:r>
      <w:hyperlink w:anchor="passage-iv-1-74">
        <w:r>
          <w:rPr>
            <w:color w:val="000000"/>
          </w:rPr>
          <w:t xml:space="preserve">IV.1.74</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1252" w:name="latin-record-1001"/>
      <w:bookmarkEnd w:id="1252"/>
      <w:r>
        <w:rPr>
          <w:b/>
          <w:i w:val="0"/>
        </w:rPr>
        <w:t>quaero / invenio</w:t>
      </w:r>
      <w:r>
        <w:rPr>
          <w:b/>
          <w:i w:val="0"/>
        </w:rPr>
        <w:t>.</w:t>
      </w:r>
      <w:r>
        <w:rPr>
          <w:b w:val="0"/>
          <w:i w:val="0"/>
        </w:rPr>
        <w:t xml:space="preserve"> Printed forms: </w:t>
      </w:r>
      <w:r>
        <w:rPr>
          <w:b w:val="0"/>
          <w:i/>
        </w:rPr>
        <w:t>inveniamus</w:t>
      </w:r>
      <w:r>
        <w:rPr>
          <w:b w:val="0"/>
          <w:i w:val="0"/>
        </w:rPr>
        <w:t xml:space="preserve">; </w:t>
      </w:r>
      <w:r>
        <w:rPr>
          <w:b w:val="0"/>
          <w:i/>
        </w:rPr>
        <w:t>inventamque</w:t>
      </w:r>
      <w:r>
        <w:rPr>
          <w:b w:val="0"/>
          <w:i w:val="0"/>
        </w:rPr>
        <w:t xml:space="preserve">; </w:t>
      </w:r>
      <w:r>
        <w:rPr>
          <w:b w:val="0"/>
          <w:i/>
        </w:rPr>
        <w:t>quaerendas</w:t>
      </w:r>
      <w:r>
        <w:rPr>
          <w:b w:val="0"/>
          <w:i w:val="0"/>
        </w:rPr>
        <w:t xml:space="preserve">; </w:t>
      </w:r>
      <w:r>
        <w:rPr>
          <w:b w:val="0"/>
          <w:i/>
        </w:rPr>
        <w:t>quaerit</w:t>
      </w:r>
      <w:r>
        <w:rPr>
          <w:b w:val="0"/>
          <w:i w:val="0"/>
        </w:rPr>
        <w:t>.</w:t>
      </w:r>
    </w:p>
    <w:p>
      <w:pPr>
        <w:widowControl/>
      </w:pPr>
      <w:r>
        <w:rPr>
          <w:b w:val="0"/>
          <w:i w:val="0"/>
        </w:rPr>
        <w:t xml:space="preserve">Seeking and finding are different stages of inquiry. The Proem requires seeking causes until finding and venerating the cause of causes; mind’s later seeking truth shows it is not truth itself. References: </w:t>
      </w:r>
      <w:hyperlink w:anchor="passage-proem-3">
        <w:r>
          <w:rPr>
            <w:color w:val="000000"/>
          </w:rPr>
          <w:t xml:space="preserve">Proem.3</w:t>
        </w:r>
      </w:hyperlink>
      <w:r>
        <w:rPr>
          <w:b w:val="0"/>
          <w:i w:val="0"/>
        </w:rPr>
        <w:t xml:space="preserve">, </w:t>
      </w:r>
      <w:hyperlink w:anchor="passage-i-6-7">
        <w:r>
          <w:rPr>
            <w:color w:val="000000"/>
          </w:rPr>
          <w:t xml:space="preserve">I.6.7</w:t>
        </w:r>
      </w:hyperlink>
      <w:r>
        <w:rPr>
          <w:b w:val="0"/>
          <w:i w:val="0"/>
        </w:rPr>
        <w:t xml:space="preserve">. See </w:t>
      </w:r>
      <w:hyperlink w:anchor="truth">
        <w:r>
          <w:rPr>
            <w:color w:val="000000"/>
          </w:rPr>
          <w:t xml:space="preserve">Truth</w:t>
        </w:r>
      </w:hyperlink>
      <w:r>
        <w:rPr>
          <w:b w:val="0"/>
          <w:i w:val="0"/>
        </w:rPr>
        <w:t>.</w:t>
      </w:r>
    </w:p>
    <w:p>
      <w:pPr>
        <w:keepNext/>
        <w:widowControl/>
      </w:pPr>
      <w:bookmarkStart w:id="1253" w:name="latin-record-1002"/>
      <w:bookmarkEnd w:id="1253"/>
      <w:r>
        <w:rPr>
          <w:b/>
          <w:i w:val="0"/>
        </w:rPr>
        <w:t>qualitas</w:t>
      </w:r>
      <w:r>
        <w:rPr>
          <w:b/>
          <w:i w:val="0"/>
        </w:rPr>
        <w:t>.</w:t>
      </w:r>
      <w:r>
        <w:rPr>
          <w:b w:val="0"/>
          <w:i w:val="0"/>
        </w:rPr>
        <w:t xml:space="preserve"> Printed forms: </w:t>
      </w:r>
      <w:r>
        <w:rPr>
          <w:b w:val="0"/>
          <w:i/>
        </w:rPr>
        <w:t>qualitas</w:t>
      </w:r>
      <w:r>
        <w:rPr>
          <w:b w:val="0"/>
          <w:i w:val="0"/>
        </w:rPr>
        <w:t xml:space="preserve">; </w:t>
      </w:r>
      <w:r>
        <w:rPr>
          <w:b w:val="0"/>
          <w:i/>
        </w:rPr>
        <w:t>qualitate</w:t>
      </w:r>
      <w:r>
        <w:rPr>
          <w:b w:val="0"/>
          <w:i w:val="0"/>
        </w:rPr>
        <w:t xml:space="preserve">; </w:t>
      </w:r>
      <w:r>
        <w:rPr>
          <w:b w:val="0"/>
          <w:i/>
        </w:rPr>
        <w:t>qualitates</w:t>
      </w:r>
      <w:r>
        <w:rPr>
          <w:b w:val="0"/>
          <w:i w:val="0"/>
        </w:rPr>
        <w:t xml:space="preserve">; </w:t>
      </w:r>
      <w:r>
        <w:rPr>
          <w:b w:val="0"/>
          <w:i/>
        </w:rPr>
        <w:t>qualitatis</w:t>
      </w:r>
      <w:r>
        <w:rPr>
          <w:b w:val="0"/>
          <w:i w:val="0"/>
        </w:rPr>
        <w:t>.</w:t>
      </w:r>
    </w:p>
    <w:p>
      <w:pPr>
        <w:widowControl/>
      </w:pPr>
      <w:r>
        <w:rPr>
          <w:b w:val="0"/>
          <w:i w:val="0"/>
        </w:rPr>
        <w:t xml:space="preserve">Quality as an efficacious determination, not merely a favorable evaluation. The reported presence theory ranks quality’s power above dimension, while qualities act without deliberation in II.8. References: </w:t>
      </w:r>
      <w:hyperlink w:anchor="passage-ii-6-19">
        <w:r>
          <w:rPr>
            <w:color w:val="000000"/>
          </w:rPr>
          <w:t xml:space="preserve">II.6.19</w:t>
        </w:r>
      </w:hyperlink>
      <w:r>
        <w:rPr>
          <w:b w:val="0"/>
          <w:i w:val="0"/>
        </w:rPr>
        <w:t xml:space="preserve">, </w:t>
      </w:r>
      <w:hyperlink w:anchor="passage-ii-8-2">
        <w:r>
          <w:rPr>
            <w:color w:val="000000"/>
          </w:rPr>
          <w:t xml:space="preserve">II.8.2</w:t>
        </w:r>
      </w:hyperlink>
      <w:r>
        <w:rPr>
          <w:b w:val="0"/>
          <w:i w:val="0"/>
        </w:rPr>
        <w:t xml:space="preserve">. See </w:t>
      </w:r>
      <w:hyperlink w:anchor="quality">
        <w:r>
          <w:rPr>
            <w:color w:val="000000"/>
          </w:rPr>
          <w:t xml:space="preserve">Quality</w:t>
        </w:r>
      </w:hyperlink>
      <w:r>
        <w:rPr>
          <w:b w:val="0"/>
          <w:i w:val="0"/>
        </w:rPr>
        <w:t>.</w:t>
      </w:r>
    </w:p>
    <w:p>
      <w:pPr>
        <w:widowControl/>
      </w:pPr>
      <w:r>
        <w:rPr>
          <w:b w:val="0"/>
          <w:i w:val="0"/>
        </w:rPr>
        <w:t xml:space="preserve">Quality, a form received and divided in body. The whiteness comparison distinguishes quality’s part-by-part distribution from soul’s whole presence. References: </w:t>
      </w:r>
      <w:hyperlink w:anchor="passage-iii-2-10">
        <w:r>
          <w:rPr>
            <w:color w:val="000000"/>
          </w:rPr>
          <w:t xml:space="preserve">III.2.10</w:t>
        </w:r>
      </w:hyperlink>
      <w:r>
        <w:rPr>
          <w:b w:val="0"/>
          <w:i w:val="0"/>
        </w:rPr>
        <w:t xml:space="preserve">, </w:t>
      </w:r>
      <w:hyperlink w:anchor="passage-iii-2-11">
        <w:r>
          <w:rPr>
            <w:color w:val="000000"/>
          </w:rPr>
          <w:t xml:space="preserve">III.2.11</w:t>
        </w:r>
      </w:hyperlink>
      <w:r>
        <w:rPr>
          <w:b w:val="0"/>
          <w:i w:val="0"/>
        </w:rPr>
        <w:t xml:space="preserve">. See </w:t>
      </w:r>
      <w:hyperlink w:anchor="quality">
        <w:r>
          <w:rPr>
            <w:color w:val="000000"/>
          </w:rPr>
          <w:t xml:space="preserve">Quality</w:t>
        </w:r>
      </w:hyperlink>
      <w:r>
        <w:rPr>
          <w:b w:val="0"/>
          <w:i w:val="0"/>
        </w:rPr>
        <w:t>.</w:t>
      </w:r>
    </w:p>
    <w:p>
      <w:pPr>
        <w:keepNext/>
        <w:widowControl/>
      </w:pPr>
      <w:bookmarkStart w:id="1254" w:name="latin-record-1003"/>
      <w:bookmarkEnd w:id="1254"/>
      <w:r>
        <w:rPr>
          <w:b/>
          <w:i w:val="0"/>
        </w:rPr>
        <w:t>qualitas / virtus</w:t>
      </w:r>
      <w:r>
        <w:rPr>
          <w:b/>
          <w:i w:val="0"/>
        </w:rPr>
        <w:t>.</w:t>
      </w:r>
      <w:r>
        <w:rPr>
          <w:b w:val="0"/>
          <w:i w:val="0"/>
        </w:rPr>
        <w:t xml:space="preserve"> Printed forms: </w:t>
      </w:r>
      <w:r>
        <w:rPr>
          <w:b w:val="0"/>
          <w:i/>
        </w:rPr>
        <w:t>qualitate</w:t>
      </w:r>
      <w:r>
        <w:rPr>
          <w:b w:val="0"/>
          <w:i w:val="0"/>
        </w:rPr>
        <w:t xml:space="preserve">; </w:t>
      </w:r>
      <w:r>
        <w:rPr>
          <w:b w:val="0"/>
          <w:i/>
        </w:rPr>
        <w:t>qualitatem</w:t>
      </w:r>
      <w:r>
        <w:rPr>
          <w:b w:val="0"/>
          <w:i w:val="0"/>
        </w:rPr>
        <w:t xml:space="preserve">; </w:t>
      </w:r>
      <w:r>
        <w:rPr>
          <w:b w:val="0"/>
          <w:i/>
        </w:rPr>
        <w:t>virtutem</w:t>
      </w:r>
      <w:r>
        <w:rPr>
          <w:b w:val="0"/>
          <w:i w:val="0"/>
        </w:rPr>
        <w:t>.</w:t>
      </w:r>
    </w:p>
    <w:p>
      <w:pPr>
        <w:widowControl/>
      </w:pPr>
      <w:r>
        <w:rPr>
          <w:b w:val="0"/>
          <w:i w:val="0"/>
        </w:rPr>
        <w:t xml:space="preserve">Quality and effective power. The introductory ascent moves beyond bulk to efficacious quality, then beyond quality’s divided and changing condition to a more independent form. References: </w:t>
      </w:r>
      <w:hyperlink w:anchor="passage-i-1-3">
        <w:r>
          <w:rPr>
            <w:color w:val="000000"/>
          </w:rPr>
          <w:t xml:space="preserve">I.1.3</w:t>
        </w:r>
      </w:hyperlink>
      <w:r>
        <w:rPr>
          <w:b w:val="0"/>
          <w:i w:val="0"/>
        </w:rPr>
        <w:t xml:space="preserve">, </w:t>
      </w:r>
      <w:hyperlink w:anchor="passage-i-1-4">
        <w:r>
          <w:rPr>
            <w:color w:val="000000"/>
          </w:rPr>
          <w:t xml:space="preserve">I.1.4</w:t>
        </w:r>
      </w:hyperlink>
      <w:r>
        <w:rPr>
          <w:b w:val="0"/>
          <w:i w:val="0"/>
        </w:rPr>
        <w:t xml:space="preserve">, </w:t>
      </w:r>
      <w:hyperlink w:anchor="passage-i-2-8">
        <w:r>
          <w:rPr>
            <w:color w:val="000000"/>
          </w:rPr>
          <w:t xml:space="preserve">I.2.8</w:t>
        </w:r>
      </w:hyperlink>
      <w:r>
        <w:rPr>
          <w:b w:val="0"/>
          <w:i w:val="0"/>
        </w:rPr>
        <w:t xml:space="preserve">. See </w:t>
      </w:r>
      <w:hyperlink w:anchor="quality">
        <w:r>
          <w:rPr>
            <w:color w:val="000000"/>
          </w:rPr>
          <w:t xml:space="preserve">Quality</w:t>
        </w:r>
      </w:hyperlink>
      <w:r>
        <w:rPr>
          <w:b w:val="0"/>
          <w:i w:val="0"/>
        </w:rPr>
        <w:t>.</w:t>
      </w:r>
    </w:p>
    <w:p>
      <w:pPr>
        <w:keepNext/>
        <w:widowControl/>
      </w:pPr>
      <w:bookmarkStart w:id="1255" w:name="latin-record-1004"/>
      <w:bookmarkEnd w:id="1255"/>
      <w:r>
        <w:rPr>
          <w:b/>
          <w:i w:val="0"/>
        </w:rPr>
        <w:t>quamvis / licet</w:t>
      </w:r>
      <w:r>
        <w:rPr>
          <w:b/>
          <w:i w:val="0"/>
        </w:rPr>
        <w:t>.</w:t>
      </w:r>
      <w:r>
        <w:rPr>
          <w:b w:val="0"/>
          <w:i w:val="0"/>
        </w:rPr>
        <w:t xml:space="preserve"> Printed forms: </w:t>
      </w:r>
      <w:r>
        <w:rPr>
          <w:b w:val="0"/>
          <w:i/>
        </w:rPr>
        <w:t>licet</w:t>
      </w:r>
      <w:r>
        <w:rPr>
          <w:b w:val="0"/>
          <w:i w:val="0"/>
        </w:rPr>
        <w:t xml:space="preserve">; </w:t>
      </w:r>
      <w:r>
        <w:rPr>
          <w:b w:val="0"/>
          <w:i/>
        </w:rPr>
        <w:t>quamvis</w:t>
      </w:r>
      <w:r>
        <w:rPr>
          <w:b w:val="0"/>
          <w:i w:val="0"/>
        </w:rPr>
        <w:t>.</w:t>
      </w:r>
    </w:p>
    <w:p>
      <w:pPr>
        <w:widowControl/>
      </w:pPr>
      <w:r>
        <w:rPr>
          <w:b w:val="0"/>
          <w:i w:val="0"/>
        </w:rPr>
        <w:t xml:space="preserve">Although or even though. A form can remain superior while undergoing a specified limitation: soul changes in a certain respect yet is indivisible, and bodily substantial form decreases without remission of intensity. References: </w:t>
      </w:r>
      <w:hyperlink w:anchor="passage-i-1-4">
        <w:r>
          <w:rPr>
            <w:color w:val="000000"/>
          </w:rPr>
          <w:t xml:space="preserve">I.1.4</w:t>
        </w:r>
      </w:hyperlink>
      <w:r>
        <w:rPr>
          <w:b w:val="0"/>
          <w:i w:val="0"/>
        </w:rPr>
        <w:t xml:space="preserve">, </w:t>
      </w:r>
      <w:hyperlink w:anchor="passage-i-3-15">
        <w:r>
          <w:rPr>
            <w:color w:val="000000"/>
          </w:rPr>
          <w:t xml:space="preserve">I.3.15</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1256" w:name="latin-record-1005"/>
      <w:bookmarkEnd w:id="1256"/>
      <w:r>
        <w:rPr>
          <w:b/>
          <w:i w:val="0"/>
        </w:rPr>
        <w:t>quandoque</w:t>
      </w:r>
      <w:r>
        <w:rPr>
          <w:b/>
          <w:i w:val="0"/>
        </w:rPr>
        <w:t>.</w:t>
      </w:r>
      <w:r>
        <w:rPr>
          <w:b w:val="0"/>
          <w:i w:val="0"/>
        </w:rPr>
        <w:t xml:space="preserve"> Printed forms: </w:t>
      </w:r>
      <w:r>
        <w:rPr>
          <w:b w:val="0"/>
          <w:i/>
        </w:rPr>
        <w:t>quandoque</w:t>
      </w:r>
      <w:r>
        <w:rPr>
          <w:b w:val="0"/>
          <w:i w:val="0"/>
        </w:rPr>
        <w:t>.</w:t>
      </w:r>
    </w:p>
    <w:p>
      <w:pPr>
        <w:widowControl/>
      </w:pPr>
      <w:r>
        <w:rPr>
          <w:b w:val="0"/>
          <w:i w:val="0"/>
        </w:rPr>
        <w:t xml:space="preserve">At some time, eventually, or at length. The substance argument uses it within a possibility claim; the transition in III.2.1 instead means coming at last to the desired subject. References: </w:t>
      </w:r>
      <w:hyperlink w:anchor="passage-ii-11-5">
        <w:r>
          <w:rPr>
            <w:color w:val="000000"/>
          </w:rPr>
          <w:t xml:space="preserve">II.11.5</w:t>
        </w:r>
      </w:hyperlink>
      <w:r>
        <w:rPr>
          <w:b w:val="0"/>
          <w:i w:val="0"/>
        </w:rPr>
        <w:t xml:space="preserve">, </w:t>
      </w:r>
      <w:hyperlink w:anchor="passage-iii-2-1">
        <w:r>
          <w:rPr>
            <w:color w:val="000000"/>
          </w:rPr>
          <w:t xml:space="preserve">III.2.1</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1257" w:name="latin-record-1006"/>
      <w:bookmarkEnd w:id="1257"/>
      <w:r>
        <w:rPr>
          <w:b/>
          <w:i w:val="0"/>
        </w:rPr>
        <w:t>quantitas / dimensio</w:t>
      </w:r>
      <w:r>
        <w:rPr>
          <w:b/>
          <w:i w:val="0"/>
        </w:rPr>
        <w:t>.</w:t>
      </w:r>
      <w:r>
        <w:rPr>
          <w:b w:val="0"/>
          <w:i w:val="0"/>
        </w:rPr>
        <w:t xml:space="preserve"> Printed forms: </w:t>
      </w:r>
      <w:r>
        <w:rPr>
          <w:b w:val="0"/>
          <w:i/>
        </w:rPr>
        <w:t>dimensio</w:t>
      </w:r>
      <w:r>
        <w:rPr>
          <w:b w:val="0"/>
          <w:i w:val="0"/>
        </w:rPr>
        <w:t xml:space="preserve">; </w:t>
      </w:r>
      <w:r>
        <w:rPr>
          <w:b w:val="0"/>
          <w:i/>
        </w:rPr>
        <w:t>dimensionem</w:t>
      </w:r>
      <w:r>
        <w:rPr>
          <w:b w:val="0"/>
          <w:i w:val="0"/>
        </w:rPr>
        <w:t xml:space="preserve">; </w:t>
      </w:r>
      <w:r>
        <w:rPr>
          <w:b w:val="0"/>
          <w:i/>
        </w:rPr>
        <w:t>dimensiones</w:t>
      </w:r>
      <w:r>
        <w:rPr>
          <w:b w:val="0"/>
          <w:i w:val="0"/>
        </w:rPr>
        <w:t xml:space="preserve">; </w:t>
      </w:r>
      <w:r>
        <w:rPr>
          <w:b w:val="0"/>
          <w:i/>
        </w:rPr>
        <w:t>dimensioni</w:t>
      </w:r>
      <w:r>
        <w:rPr>
          <w:b w:val="0"/>
          <w:i w:val="0"/>
        </w:rPr>
        <w:t xml:space="preserve">; </w:t>
      </w:r>
      <w:r>
        <w:rPr>
          <w:b w:val="0"/>
          <w:i/>
        </w:rPr>
        <w:t>quantitatis</w:t>
      </w:r>
      <w:r>
        <w:rPr>
          <w:b w:val="0"/>
          <w:i w:val="0"/>
        </w:rPr>
        <w:t>.</w:t>
      </w:r>
    </w:p>
    <w:p>
      <w:pPr>
        <w:widowControl/>
      </w:pPr>
      <w:r>
        <w:rPr>
          <w:b w:val="0"/>
          <w:i w:val="0"/>
        </w:rPr>
        <w:t xml:space="preserve">Quantity and extension in dimensions. Dimensional contact differs from incorporeal efficacy; imagination falsely turns divine rays into three-dimensional lines. References: </w:t>
      </w:r>
      <w:hyperlink w:anchor="passage-ii-6-1">
        <w:r>
          <w:rPr>
            <w:color w:val="000000"/>
          </w:rPr>
          <w:t xml:space="preserve">II.6.1</w:t>
        </w:r>
      </w:hyperlink>
      <w:r>
        <w:rPr>
          <w:b w:val="0"/>
          <w:i w:val="0"/>
        </w:rPr>
        <w:t xml:space="preserve">, </w:t>
      </w:r>
      <w:hyperlink w:anchor="passage-ii-6-13">
        <w:r>
          <w:rPr>
            <w:color w:val="000000"/>
          </w:rPr>
          <w:t xml:space="preserve">II.6.13</w:t>
        </w:r>
      </w:hyperlink>
      <w:r>
        <w:rPr>
          <w:b w:val="0"/>
          <w:i w:val="0"/>
        </w:rPr>
        <w:t xml:space="preserve">, </w:t>
      </w:r>
      <w:hyperlink w:anchor="passage-ii-6-15">
        <w:r>
          <w:rPr>
            <w:color w:val="000000"/>
          </w:rPr>
          <w:t xml:space="preserve">II.6.15</w:t>
        </w:r>
      </w:hyperlink>
      <w:r>
        <w:rPr>
          <w:b w:val="0"/>
          <w:i w:val="0"/>
        </w:rPr>
        <w:t xml:space="preserve">. See </w:t>
      </w:r>
      <w:hyperlink w:anchor="quantity-and-dimension">
        <w:r>
          <w:rPr>
            <w:color w:val="000000"/>
          </w:rPr>
          <w:t xml:space="preserve">Quantity and dimension</w:t>
        </w:r>
      </w:hyperlink>
      <w:r>
        <w:rPr>
          <w:b w:val="0"/>
          <w:i w:val="0"/>
        </w:rPr>
        <w:t>.</w:t>
      </w:r>
    </w:p>
    <w:p>
      <w:pPr>
        <w:keepNext/>
        <w:widowControl/>
      </w:pPr>
      <w:bookmarkStart w:id="1258" w:name="latin-record-1007"/>
      <w:bookmarkEnd w:id="1258"/>
      <w:r>
        <w:rPr>
          <w:b/>
          <w:i w:val="0"/>
        </w:rPr>
        <w:t>quantitas / extensio / dimensio</w:t>
      </w:r>
      <w:r>
        <w:rPr>
          <w:b/>
          <w:i w:val="0"/>
        </w:rPr>
        <w:t>.</w:t>
      </w:r>
      <w:r>
        <w:rPr>
          <w:b w:val="0"/>
          <w:i w:val="0"/>
        </w:rPr>
        <w:t xml:space="preserve"> Printed forms: </w:t>
      </w:r>
      <w:r>
        <w:rPr>
          <w:b w:val="0"/>
          <w:i/>
        </w:rPr>
        <w:t>extensa</w:t>
      </w:r>
      <w:r>
        <w:rPr>
          <w:b w:val="0"/>
          <w:i w:val="0"/>
        </w:rPr>
        <w:t xml:space="preserve">; </w:t>
      </w:r>
      <w:r>
        <w:rPr>
          <w:b w:val="0"/>
          <w:i/>
        </w:rPr>
        <w:t>Extensio</w:t>
      </w:r>
      <w:r>
        <w:rPr>
          <w:b w:val="0"/>
          <w:i w:val="0"/>
        </w:rPr>
        <w:t xml:space="preserve">; </w:t>
      </w:r>
      <w:r>
        <w:rPr>
          <w:b w:val="0"/>
          <w:i/>
        </w:rPr>
        <w:t>extensione</w:t>
      </w:r>
      <w:r>
        <w:rPr>
          <w:b w:val="0"/>
          <w:i w:val="0"/>
        </w:rPr>
        <w:t xml:space="preserve">; </w:t>
      </w:r>
      <w:r>
        <w:rPr>
          <w:b w:val="0"/>
          <w:i/>
        </w:rPr>
        <w:t>quantitatem</w:t>
      </w:r>
      <w:r>
        <w:rPr>
          <w:b w:val="0"/>
          <w:i w:val="0"/>
        </w:rPr>
        <w:t xml:space="preserve">; </w:t>
      </w:r>
      <w:r>
        <w:rPr>
          <w:b w:val="0"/>
          <w:i/>
        </w:rPr>
        <w:t>quantitati</w:t>
      </w:r>
      <w:r>
        <w:rPr>
          <w:b w:val="0"/>
          <w:i w:val="0"/>
        </w:rPr>
        <w:t xml:space="preserve">; </w:t>
      </w:r>
      <w:r>
        <w:rPr>
          <w:b w:val="0"/>
          <w:i/>
        </w:rPr>
        <w:t>quantitatis</w:t>
      </w:r>
      <w:r>
        <w:rPr>
          <w:b w:val="0"/>
          <w:i w:val="0"/>
        </w:rPr>
        <w:t>.</w:t>
      </w:r>
    </w:p>
    <w:p>
      <w:pPr>
        <w:widowControl/>
      </w:pPr>
      <w:r>
        <w:rPr>
          <w:b w:val="0"/>
          <w:i w:val="0"/>
        </w:rPr>
        <w:t xml:space="preserve">Quantity / extension / dimension. Both divisibility and fixed position obstruct whole multiple presence; soul is argued to be free of these restrictions. References: </w:t>
      </w:r>
      <w:hyperlink w:anchor="passage-iii-2-13">
        <w:r>
          <w:rPr>
            <w:color w:val="000000"/>
          </w:rPr>
          <w:t xml:space="preserve">III.2.13</w:t>
        </w:r>
      </w:hyperlink>
      <w:r>
        <w:rPr>
          <w:b w:val="0"/>
          <w:i w:val="0"/>
        </w:rPr>
        <w:t xml:space="preserve">, </w:t>
      </w:r>
      <w:hyperlink w:anchor="passage-iii-2-16">
        <w:r>
          <w:rPr>
            <w:color w:val="000000"/>
          </w:rPr>
          <w:t xml:space="preserve">III.2.16</w:t>
        </w:r>
      </w:hyperlink>
      <w:r>
        <w:rPr>
          <w:b w:val="0"/>
          <w:i w:val="0"/>
        </w:rPr>
        <w:t xml:space="preserve">, </w:t>
      </w:r>
      <w:hyperlink w:anchor="passage-iii-2-17">
        <w:r>
          <w:rPr>
            <w:color w:val="000000"/>
          </w:rPr>
          <w:t xml:space="preserve">III.2.17</w:t>
        </w:r>
      </w:hyperlink>
      <w:r>
        <w:rPr>
          <w:b w:val="0"/>
          <w:i w:val="0"/>
        </w:rPr>
        <w:t xml:space="preserve">. See </w:t>
      </w:r>
      <w:hyperlink w:anchor="quantity-and-dimension">
        <w:r>
          <w:rPr>
            <w:color w:val="000000"/>
          </w:rPr>
          <w:t xml:space="preserve">Quantity and dimension</w:t>
        </w:r>
      </w:hyperlink>
      <w:r>
        <w:rPr>
          <w:b w:val="0"/>
          <w:i w:val="0"/>
        </w:rPr>
        <w:t>.</w:t>
      </w:r>
    </w:p>
    <w:p>
      <w:pPr>
        <w:keepNext/>
        <w:widowControl/>
      </w:pPr>
      <w:bookmarkStart w:id="1259" w:name="latin-record-1008"/>
      <w:bookmarkEnd w:id="1259"/>
      <w:r>
        <w:rPr>
          <w:b/>
          <w:i w:val="0"/>
        </w:rPr>
        <w:t>quantum / quatenus / eatenus</w:t>
      </w:r>
      <w:r>
        <w:rPr>
          <w:b/>
          <w:i w:val="0"/>
        </w:rPr>
        <w:t>.</w:t>
      </w:r>
      <w:r>
        <w:rPr>
          <w:b w:val="0"/>
          <w:i w:val="0"/>
        </w:rPr>
        <w:t xml:space="preserve"> Printed forms: </w:t>
      </w:r>
      <w:r>
        <w:rPr>
          <w:b w:val="0"/>
          <w:i/>
        </w:rPr>
        <w:t>eatenus</w:t>
      </w:r>
      <w:r>
        <w:rPr>
          <w:b w:val="0"/>
          <w:i w:val="0"/>
        </w:rPr>
        <w:t xml:space="preserve">; </w:t>
      </w:r>
      <w:r>
        <w:rPr>
          <w:b w:val="0"/>
          <w:i/>
        </w:rPr>
        <w:t>quantum</w:t>
      </w:r>
      <w:r>
        <w:rPr>
          <w:b w:val="0"/>
          <w:i w:val="0"/>
        </w:rPr>
        <w:t xml:space="preserve">; </w:t>
      </w:r>
      <w:r>
        <w:rPr>
          <w:b w:val="0"/>
          <w:i/>
        </w:rPr>
        <w:t>quatenus</w:t>
      </w:r>
      <w:r>
        <w:rPr>
          <w:b w:val="0"/>
          <w:i w:val="0"/>
        </w:rPr>
        <w:t>.</w:t>
      </w:r>
    </w:p>
    <w:p>
      <w:pPr>
        <w:widowControl/>
      </w:pPr>
      <w:r>
        <w:rPr>
          <w:b w:val="0"/>
          <w:i w:val="0"/>
        </w:rPr>
        <w:t xml:space="preserve">Insofar as or to the extent that. These limit a predication to a specified explanatory respect, especially when the same essence grounds plural exemplary relations. References: </w:t>
      </w:r>
      <w:hyperlink w:anchor="passage-ii-11-18">
        <w:r>
          <w:rPr>
            <w:color w:val="000000"/>
          </w:rPr>
          <w:t xml:space="preserve">II.11.18</w:t>
        </w:r>
      </w:hyperlink>
      <w:r>
        <w:rPr>
          <w:b w:val="0"/>
          <w:i w:val="0"/>
        </w:rPr>
        <w:t xml:space="preserve">. See </w:t>
      </w:r>
      <w:hyperlink w:anchor="relations-and-respects">
        <w:r>
          <w:rPr>
            <w:color w:val="000000"/>
          </w:rPr>
          <w:t xml:space="preserve">Relations and respects</w:t>
        </w:r>
      </w:hyperlink>
      <w:r>
        <w:rPr>
          <w:b w:val="0"/>
          <w:i w:val="0"/>
        </w:rPr>
        <w:t>.</w:t>
      </w:r>
    </w:p>
    <w:p>
      <w:pPr>
        <w:keepNext/>
        <w:widowControl/>
      </w:pPr>
      <w:bookmarkStart w:id="1260" w:name="latin-record-1009"/>
      <w:bookmarkEnd w:id="1260"/>
      <w:r>
        <w:rPr>
          <w:b/>
          <w:i w:val="0"/>
        </w:rPr>
        <w:t>quantum ens est</w:t>
      </w:r>
      <w:r>
        <w:rPr>
          <w:b/>
          <w:i w:val="0"/>
        </w:rPr>
        <w:t>.</w:t>
      </w:r>
      <w:r>
        <w:rPr>
          <w:b w:val="0"/>
          <w:i w:val="0"/>
        </w:rPr>
        <w:t xml:space="preserve"> Printed forms: </w:t>
      </w:r>
      <w:r>
        <w:rPr>
          <w:b w:val="0"/>
          <w:i/>
        </w:rPr>
        <w:t>quantum ens est</w:t>
      </w:r>
      <w:r>
        <w:rPr>
          <w:b w:val="0"/>
          <w:i w:val="0"/>
        </w:rPr>
        <w:t>.</w:t>
      </w:r>
    </w:p>
    <w:p>
      <w:pPr>
        <w:widowControl/>
      </w:pPr>
      <w:r>
        <w:rPr>
          <w:b w:val="0"/>
          <w:i w:val="0"/>
        </w:rPr>
        <w:t xml:space="preserve">Insofar as it is a being. The formula shifts from a particular being’s features to what accompanies being as such in the argument for divine will. References: </w:t>
      </w:r>
      <w:hyperlink w:anchor="passage-ii-11-28">
        <w:r>
          <w:rPr>
            <w:color w:val="000000"/>
          </w:rPr>
          <w:t xml:space="preserve">II.11.28</w:t>
        </w:r>
      </w:hyperlink>
      <w:r>
        <w:rPr>
          <w:b w:val="0"/>
          <w:i w:val="0"/>
        </w:rPr>
        <w:t xml:space="preserve">. See </w:t>
      </w:r>
      <w:hyperlink w:anchor="being">
        <w:r>
          <w:rPr>
            <w:color w:val="000000"/>
          </w:rPr>
          <w:t xml:space="preserve">Being</w:t>
        </w:r>
      </w:hyperlink>
      <w:r>
        <w:rPr>
          <w:b w:val="0"/>
          <w:i w:val="0"/>
        </w:rPr>
        <w:t>.</w:t>
      </w:r>
    </w:p>
    <w:p>
      <w:pPr>
        <w:keepNext/>
        <w:widowControl/>
      </w:pPr>
      <w:bookmarkStart w:id="1261" w:name="latin-record-1010"/>
      <w:bookmarkEnd w:id="1261"/>
      <w:r>
        <w:rPr>
          <w:b/>
          <w:i w:val="0"/>
        </w:rPr>
        <w:t>quasi non motus</w:t>
      </w:r>
      <w:r>
        <w:rPr>
          <w:b/>
          <w:i w:val="0"/>
        </w:rPr>
        <w:t>.</w:t>
      </w:r>
      <w:r>
        <w:rPr>
          <w:b w:val="0"/>
          <w:i w:val="0"/>
        </w:rPr>
        <w:t xml:space="preserve"> Printed forms: </w:t>
      </w:r>
      <w:r>
        <w:rPr>
          <w:b w:val="0"/>
          <w:i/>
        </w:rPr>
        <w:t>quasi non motus</w:t>
      </w:r>
      <w:r>
        <w:rPr>
          <w:b w:val="0"/>
          <w:i w:val="0"/>
        </w:rPr>
        <w:t>.</w:t>
      </w:r>
    </w:p>
    <w:p>
      <w:pPr>
        <w:widowControl/>
      </w:pPr>
      <w:r>
        <w:rPr>
          <w:b w:val="0"/>
          <w:i w:val="0"/>
        </w:rPr>
        <w:t xml:space="preserve">Almost not motion. Circular local motion preserves place and need not alter substance or natural quality, making it the closest bodily imitation of stability. References: </w:t>
      </w:r>
      <w:hyperlink w:anchor="passage-iv-2-23">
        <w:r>
          <w:rPr>
            <w:color w:val="000000"/>
          </w:rPr>
          <w:t xml:space="preserve">IV.2.23</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262" w:name="latin-record-1011"/>
      <w:bookmarkEnd w:id="1262"/>
      <w:r>
        <w:rPr>
          <w:b/>
          <w:i w:val="0"/>
        </w:rPr>
        <w:t>quatenus corpus</w:t>
      </w:r>
      <w:r>
        <w:rPr>
          <w:b/>
          <w:i w:val="0"/>
        </w:rPr>
        <w:t>.</w:t>
      </w:r>
      <w:r>
        <w:rPr>
          <w:b w:val="0"/>
          <w:i w:val="0"/>
        </w:rPr>
        <w:t xml:space="preserve"> Printed forms: </w:t>
      </w:r>
      <w:r>
        <w:rPr>
          <w:b w:val="0"/>
          <w:i/>
        </w:rPr>
        <w:t>quatenus corpus</w:t>
      </w:r>
      <w:r>
        <w:rPr>
          <w:b w:val="0"/>
          <w:i w:val="0"/>
        </w:rPr>
        <w:t>.</w:t>
      </w:r>
    </w:p>
    <w:p>
      <w:pPr>
        <w:widowControl/>
      </w:pPr>
      <w:r>
        <w:rPr>
          <w:b w:val="0"/>
          <w:i w:val="0"/>
        </w:rPr>
        <w:t xml:space="preserve">Precisely insofar as it is body. The qualification confines the denial of action to body as matter and quantity; subsequent actions belong to its qualities and higher powers. References: </w:t>
      </w:r>
      <w:hyperlink w:anchor="passage-i-2-1">
        <w:r>
          <w:rPr>
            <w:color w:val="000000"/>
          </w:rPr>
          <w:t xml:space="preserve">I.2.1</w:t>
        </w:r>
      </w:hyperlink>
      <w:r>
        <w:rPr>
          <w:b w:val="0"/>
          <w:i w:val="0"/>
        </w:rPr>
        <w:t xml:space="preserve">. See </w:t>
      </w:r>
      <w:hyperlink w:anchor="body-and-bulk">
        <w:r>
          <w:rPr>
            <w:color w:val="000000"/>
          </w:rPr>
          <w:t xml:space="preserve">Body and bulk</w:t>
        </w:r>
      </w:hyperlink>
      <w:r>
        <w:rPr>
          <w:b w:val="0"/>
          <w:i w:val="0"/>
        </w:rPr>
        <w:t>.</w:t>
      </w:r>
    </w:p>
    <w:p>
      <w:pPr>
        <w:keepNext/>
        <w:widowControl/>
      </w:pPr>
      <w:bookmarkStart w:id="1263" w:name="latin-record-1012"/>
      <w:bookmarkEnd w:id="1263"/>
      <w:r>
        <w:rPr>
          <w:b/>
          <w:i w:val="0"/>
        </w:rPr>
        <w:t>qui / quod — scope of a condition</w:t>
      </w:r>
      <w:r>
        <w:rPr>
          <w:b/>
          <w:i w:val="0"/>
        </w:rPr>
        <w:t>.</w:t>
      </w:r>
      <w:r>
        <w:rPr>
          <w:b w:val="0"/>
          <w:i w:val="0"/>
        </w:rPr>
        <w:t xml:space="preserve"> Printed forms: </w:t>
      </w:r>
      <w:r>
        <w:rPr>
          <w:b w:val="0"/>
          <w:i/>
        </w:rPr>
        <w:t>quaecumque</w:t>
      </w:r>
      <w:r>
        <w:rPr>
          <w:b w:val="0"/>
          <w:i w:val="0"/>
        </w:rPr>
        <w:t xml:space="preserve">; </w:t>
      </w:r>
      <w:r>
        <w:rPr>
          <w:b w:val="0"/>
          <w:i/>
        </w:rPr>
        <w:t>Quaecumque</w:t>
      </w:r>
      <w:r>
        <w:rPr>
          <w:b w:val="0"/>
          <w:i w:val="0"/>
        </w:rPr>
        <w:t xml:space="preserve">; </w:t>
      </w:r>
      <w:r>
        <w:rPr>
          <w:b w:val="0"/>
          <w:i/>
        </w:rPr>
        <w:t>quicquid</w:t>
      </w:r>
      <w:r>
        <w:rPr>
          <w:b w:val="0"/>
          <w:i w:val="0"/>
        </w:rPr>
        <w:t>.</w:t>
      </w:r>
    </w:p>
    <w:p>
      <w:pPr>
        <w:widowControl/>
      </w:pPr>
      <w:r>
        <w:rPr>
          <w:b w:val="0"/>
          <w:i w:val="0"/>
        </w:rPr>
        <w:t xml:space="preserve">Whatever or whoever, with generalizing scope. The modal statement quantifies over whatever excludes contradiction; its scope is constrained by that condition, not by arbitrary imagination. References: </w:t>
      </w:r>
      <w:hyperlink w:anchor="passage-ii-12-17">
        <w:r>
          <w:rPr>
            <w:color w:val="000000"/>
          </w:rPr>
          <w:t xml:space="preserve">II.12.17</w:t>
        </w:r>
      </w:hyperlink>
      <w:r>
        <w:rPr>
          <w:b w:val="0"/>
          <w:i w:val="0"/>
        </w:rPr>
        <w:t xml:space="preserve">, </w:t>
      </w:r>
      <w:hyperlink w:anchor="passage-ii-12-18">
        <w:r>
          <w:rPr>
            <w:color w:val="000000"/>
          </w:rPr>
          <w:t xml:space="preserve">II.12.18</w:t>
        </w:r>
      </w:hyperlink>
      <w:r>
        <w:rPr>
          <w:b w:val="0"/>
          <w:i w:val="0"/>
        </w:rPr>
        <w:t xml:space="preserve">. See </w:t>
      </w:r>
      <w:hyperlink w:anchor="contradiction-and-possibility">
        <w:r>
          <w:rPr>
            <w:color w:val="000000"/>
          </w:rPr>
          <w:t xml:space="preserve">Contradiction and possibility</w:t>
        </w:r>
      </w:hyperlink>
      <w:r>
        <w:rPr>
          <w:b w:val="0"/>
          <w:i w:val="0"/>
        </w:rPr>
        <w:t>.</w:t>
      </w:r>
    </w:p>
    <w:p>
      <w:pPr>
        <w:keepNext/>
        <w:widowControl/>
      </w:pPr>
      <w:bookmarkStart w:id="1264" w:name="latin-record-1013"/>
      <w:bookmarkEnd w:id="1264"/>
      <w:r>
        <w:rPr>
          <w:b/>
          <w:i w:val="0"/>
        </w:rPr>
        <w:t>quies / quiesco</w:t>
      </w:r>
      <w:r>
        <w:rPr>
          <w:b/>
          <w:i w:val="0"/>
        </w:rPr>
        <w:t>.</w:t>
      </w:r>
      <w:r>
        <w:rPr>
          <w:b w:val="0"/>
          <w:i w:val="0"/>
        </w:rPr>
        <w:t xml:space="preserve"> Printed forms: </w:t>
      </w:r>
      <w:r>
        <w:rPr>
          <w:b w:val="0"/>
          <w:i/>
        </w:rPr>
        <w:t>quiete</w:t>
      </w:r>
      <w:r>
        <w:rPr>
          <w:b w:val="0"/>
          <w:i w:val="0"/>
        </w:rPr>
        <w:t>.</w:t>
      </w:r>
    </w:p>
    <w:p>
      <w:pPr>
        <w:widowControl/>
      </w:pPr>
      <w:r>
        <w:rPr>
          <w:b w:val="0"/>
          <w:i w:val="0"/>
        </w:rPr>
        <w:t xml:space="preserve">Rest or stability. Mind is said to advance through rest rather than bodily motion; the claim identifies the manner of intellectual perfection, not laziness or absence of all activity. References: </w:t>
      </w:r>
      <w:hyperlink w:anchor="passage-i-5-17">
        <w:r>
          <w:rPr>
            <w:color w:val="000000"/>
          </w:rPr>
          <w:t xml:space="preserve">I.5.17</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265" w:name="latin-record-1014"/>
      <w:bookmarkEnd w:id="1265"/>
      <w:r>
        <w:rPr>
          <w:b/>
          <w:i w:val="0"/>
        </w:rPr>
        <w:t>quinque sensus / singulatim / summatim</w:t>
      </w:r>
      <w:r>
        <w:rPr>
          <w:b/>
          <w:i w:val="0"/>
        </w:rPr>
        <w:t>.</w:t>
      </w:r>
      <w:r>
        <w:rPr>
          <w:b w:val="0"/>
          <w:i w:val="0"/>
        </w:rPr>
        <w:t xml:space="preserve"> Printed forms: </w:t>
      </w:r>
      <w:r>
        <w:rPr>
          <w:b w:val="0"/>
          <w:i/>
        </w:rPr>
        <w:t>quinque</w:t>
      </w:r>
      <w:r>
        <w:rPr>
          <w:b w:val="0"/>
          <w:i w:val="0"/>
        </w:rPr>
        <w:t xml:space="preserve">; </w:t>
      </w:r>
      <w:r>
        <w:rPr>
          <w:b w:val="0"/>
          <w:i/>
        </w:rPr>
        <w:t>sensibus</w:t>
      </w:r>
      <w:r>
        <w:rPr>
          <w:b w:val="0"/>
          <w:i w:val="0"/>
        </w:rPr>
        <w:t xml:space="preserve">; </w:t>
      </w:r>
      <w:r>
        <w:rPr>
          <w:b w:val="0"/>
          <w:i/>
        </w:rPr>
        <w:t>sensus</w:t>
      </w:r>
      <w:r>
        <w:rPr>
          <w:b w:val="0"/>
          <w:i w:val="0"/>
        </w:rPr>
        <w:t xml:space="preserve">; </w:t>
      </w:r>
      <w:r>
        <w:rPr>
          <w:b w:val="0"/>
          <w:i/>
        </w:rPr>
        <w:t>singulatim</w:t>
      </w:r>
      <w:r>
        <w:rPr>
          <w:b w:val="0"/>
          <w:i w:val="0"/>
        </w:rPr>
        <w:t xml:space="preserve">; </w:t>
      </w:r>
      <w:r>
        <w:rPr>
          <w:b w:val="0"/>
          <w:i/>
        </w:rPr>
        <w:t>summatim</w:t>
      </w:r>
      <w:r>
        <w:rPr>
          <w:b w:val="0"/>
          <w:i w:val="0"/>
        </w:rPr>
        <w:t>.</w:t>
      </w:r>
    </w:p>
    <w:p>
      <w:pPr>
        <w:widowControl/>
      </w:pPr>
      <w:r>
        <w:rPr>
          <w:b w:val="0"/>
          <w:i w:val="0"/>
        </w:rPr>
        <w:t xml:space="preserve">Five senses, separate reception, and gathered cognition. Imagination integrates sensory contributions; divine collective intuition is a higher use of summatim, not sensory summary. References: </w:t>
      </w:r>
      <w:hyperlink w:anchor="passage-ii-9-16">
        <w:r>
          <w:rPr>
            <w:color w:val="000000"/>
          </w:rPr>
          <w:t xml:space="preserve">II.9.16</w:t>
        </w:r>
      </w:hyperlink>
      <w:r>
        <w:rPr>
          <w:b w:val="0"/>
          <w:i w:val="0"/>
        </w:rPr>
        <w:t xml:space="preserve">, </w:t>
      </w:r>
      <w:hyperlink w:anchor="passage-ii-10-10">
        <w:r>
          <w:rPr>
            <w:color w:val="000000"/>
          </w:rPr>
          <w:t xml:space="preserve">II.10.10</w:t>
        </w:r>
      </w:hyperlink>
      <w:r>
        <w:rPr>
          <w:b w:val="0"/>
          <w:i w:val="0"/>
        </w:rPr>
        <w:t xml:space="preserve">. See </w:t>
      </w:r>
      <w:hyperlink w:anchor="sense-and-imagination">
        <w:r>
          <w:rPr>
            <w:color w:val="000000"/>
          </w:rPr>
          <w:t xml:space="preserve">Sense and imagination</w:t>
        </w:r>
      </w:hyperlink>
      <w:r>
        <w:rPr>
          <w:b w:val="0"/>
          <w:i w:val="0"/>
        </w:rPr>
        <w:t>.</w:t>
      </w:r>
    </w:p>
    <w:p>
      <w:pPr>
        <w:keepNext/>
        <w:widowControl/>
      </w:pPr>
      <w:bookmarkStart w:id="1266" w:name="latin-record-1015"/>
      <w:bookmarkEnd w:id="1266"/>
      <w:r>
        <w:rPr>
          <w:b/>
          <w:i w:val="0"/>
        </w:rPr>
        <w:t>quodammodo</w:t>
      </w:r>
      <w:r>
        <w:rPr>
          <w:b/>
          <w:i w:val="0"/>
        </w:rPr>
        <w:t>.</w:t>
      </w:r>
      <w:r>
        <w:rPr>
          <w:b w:val="0"/>
          <w:i w:val="0"/>
        </w:rPr>
        <w:t xml:space="preserve"> Printed forms: </w:t>
      </w:r>
      <w:r>
        <w:rPr>
          <w:b w:val="0"/>
          <w:i/>
        </w:rPr>
        <w:t>quodammodo</w:t>
      </w:r>
      <w:r>
        <w:rPr>
          <w:b w:val="0"/>
          <w:i w:val="0"/>
        </w:rPr>
        <w:t>.</w:t>
      </w:r>
    </w:p>
    <w:p>
      <w:pPr>
        <w:widowControl/>
      </w:pPr>
      <w:r>
        <w:rPr>
          <w:b w:val="0"/>
          <w:i w:val="0"/>
        </w:rPr>
        <w:t xml:space="preserve">In a certain way or respect. This qualification restricts quality’s indivisibility and mind’s partial relation to higher mind; it must not be erased in categorical summaries. References: </w:t>
      </w:r>
      <w:hyperlink w:anchor="passage-i-2-17">
        <w:r>
          <w:rPr>
            <w:color w:val="000000"/>
          </w:rPr>
          <w:t xml:space="preserve">I.2.17</w:t>
        </w:r>
      </w:hyperlink>
      <w:r>
        <w:rPr>
          <w:b w:val="0"/>
          <w:i w:val="0"/>
        </w:rPr>
        <w:t xml:space="preserve">, </w:t>
      </w:r>
      <w:hyperlink w:anchor="passage-i-5-11">
        <w:r>
          <w:rPr>
            <w:color w:val="000000"/>
          </w:rPr>
          <w:t xml:space="preserve">I.5.11</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1267" w:name="latin-record-1016"/>
      <w:bookmarkEnd w:id="1267"/>
      <w:r>
        <w:rPr>
          <w:b/>
          <w:i w:val="0"/>
        </w:rPr>
        <w:t>quorsum</w:t>
      </w:r>
      <w:r>
        <w:rPr>
          <w:b/>
          <w:i w:val="0"/>
        </w:rPr>
        <w:t>.</w:t>
      </w:r>
      <w:r>
        <w:rPr>
          <w:b w:val="0"/>
          <w:i w:val="0"/>
        </w:rPr>
        <w:t xml:space="preserve"> Printed forms: </w:t>
      </w:r>
      <w:r>
        <w:rPr>
          <w:b w:val="0"/>
          <w:i/>
        </w:rPr>
        <w:t>Quorsum</w:t>
      </w:r>
      <w:r>
        <w:rPr>
          <w:b w:val="0"/>
          <w:i w:val="0"/>
        </w:rPr>
        <w:t>.</w:t>
      </w:r>
    </w:p>
    <w:p>
      <w:pPr>
        <w:widowControl/>
      </w:pPr>
      <w:r>
        <w:rPr>
          <w:b w:val="0"/>
          <w:i w:val="0"/>
        </w:rPr>
        <w:t xml:space="preserve">To what end or why this discussion? The rhetorical question signals the conclusion: unactualized, noncontradictory possibilities fall within divine power. References: </w:t>
      </w:r>
      <w:hyperlink w:anchor="passage-ii-12-18">
        <w:r>
          <w:rPr>
            <w:color w:val="000000"/>
          </w:rPr>
          <w:t xml:space="preserve">II.12.18</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1268" w:name="latin-record-1017"/>
      <w:bookmarkEnd w:id="1268"/>
      <w:r>
        <w:rPr>
          <w:b/>
          <w:i w:val="0"/>
        </w:rPr>
        <w:t>rapere / includere</w:t>
      </w:r>
      <w:r>
        <w:rPr>
          <w:b/>
          <w:i w:val="0"/>
        </w:rPr>
        <w:t>.</w:t>
      </w:r>
      <w:r>
        <w:rPr>
          <w:b w:val="0"/>
          <w:i w:val="0"/>
        </w:rPr>
        <w:t xml:space="preserve"> Printed forms: </w:t>
      </w:r>
      <w:r>
        <w:rPr>
          <w:b w:val="0"/>
          <w:i/>
        </w:rPr>
        <w:t>inclusit</w:t>
      </w:r>
      <w:r>
        <w:rPr>
          <w:b w:val="0"/>
          <w:i w:val="0"/>
        </w:rPr>
        <w:t xml:space="preserve">; </w:t>
      </w:r>
      <w:r>
        <w:rPr>
          <w:b w:val="0"/>
          <w:i/>
        </w:rPr>
        <w:t>rapuit</w:t>
      </w:r>
      <w:r>
        <w:rPr>
          <w:b w:val="0"/>
          <w:i w:val="0"/>
        </w:rPr>
        <w:t>.</w:t>
      </w:r>
    </w:p>
    <w:p>
      <w:pPr>
        <w:widowControl/>
      </w:pPr>
      <w:r>
        <w:rPr>
          <w:b w:val="0"/>
          <w:i w:val="0"/>
        </w:rPr>
        <w:t xml:space="preserve">Snatch away / enclose. The attributed saying figures God’s transcendence as withdrawal beyond the following mind’s capacity to contain his fire. References: </w:t>
      </w:r>
      <w:hyperlink w:anchor="passage-iii-1-21">
        <w:r>
          <w:rPr>
            <w:color w:val="000000"/>
          </w:rPr>
          <w:t xml:space="preserve">III.1.21</w:t>
        </w:r>
      </w:hyperlink>
      <w:r>
        <w:rPr>
          <w:b w:val="0"/>
          <w:i w:val="0"/>
        </w:rPr>
        <w:t xml:space="preserve">. See </w:t>
      </w:r>
      <w:hyperlink w:anchor="divinity-and-the-divine">
        <w:r>
          <w:rPr>
            <w:color w:val="000000"/>
          </w:rPr>
          <w:t xml:space="preserve">Divinity and the divine</w:t>
        </w:r>
      </w:hyperlink>
      <w:r>
        <w:rPr>
          <w:b w:val="0"/>
          <w:i w:val="0"/>
        </w:rPr>
        <w:t>.</w:t>
      </w:r>
    </w:p>
    <w:p>
      <w:pPr>
        <w:keepNext/>
        <w:widowControl/>
      </w:pPr>
      <w:bookmarkStart w:id="1269" w:name="latin-record-1018"/>
      <w:bookmarkEnd w:id="1269"/>
      <w:r>
        <w:rPr>
          <w:b/>
          <w:i w:val="0"/>
        </w:rPr>
        <w:t>raptare</w:t>
      </w:r>
      <w:r>
        <w:rPr>
          <w:b/>
          <w:i w:val="0"/>
        </w:rPr>
        <w:t>.</w:t>
      </w:r>
      <w:r>
        <w:rPr>
          <w:b w:val="0"/>
          <w:i w:val="0"/>
        </w:rPr>
        <w:t xml:space="preserve"> Printed forms: </w:t>
      </w:r>
      <w:r>
        <w:rPr>
          <w:b w:val="0"/>
          <w:i/>
        </w:rPr>
        <w:t>raptaret</w:t>
      </w:r>
      <w:r>
        <w:rPr>
          <w:b w:val="0"/>
          <w:i w:val="0"/>
        </w:rPr>
        <w:t>.</w:t>
      </w:r>
    </w:p>
    <w:p>
      <w:pPr>
        <w:widowControl/>
      </w:pPr>
      <w:r>
        <w:rPr>
          <w:b w:val="0"/>
          <w:i w:val="0"/>
        </w:rPr>
        <w:t xml:space="preserve">Sweep or carry away forcefully. The counterfactual necessity of producing all things would also compel and sweep each along at once. References: </w:t>
      </w:r>
      <w:hyperlink w:anchor="passage-ii-11-38">
        <w:r>
          <w:rPr>
            <w:color w:val="000000"/>
          </w:rPr>
          <w:t xml:space="preserve">II.11.38</w:t>
        </w:r>
      </w:hyperlink>
      <w:r>
        <w:rPr>
          <w:b w:val="0"/>
          <w:i w:val="0"/>
        </w:rPr>
        <w:t xml:space="preserve">. See </w:t>
      </w:r>
      <w:hyperlink w:anchor="persuasion-and-compulsion">
        <w:r>
          <w:rPr>
            <w:color w:val="000000"/>
          </w:rPr>
          <w:t xml:space="preserve">Persuasion and compulsion</w:t>
        </w:r>
      </w:hyperlink>
      <w:r>
        <w:rPr>
          <w:b w:val="0"/>
          <w:i w:val="0"/>
        </w:rPr>
        <w:t>.</w:t>
      </w:r>
    </w:p>
    <w:p>
      <w:pPr>
        <w:keepNext/>
        <w:widowControl/>
      </w:pPr>
      <w:bookmarkStart w:id="1270" w:name="latin-record-1019"/>
      <w:bookmarkEnd w:id="1270"/>
      <w:r>
        <w:rPr>
          <w:b/>
          <w:i w:val="0"/>
        </w:rPr>
        <w:t>rarus / densus</w:t>
      </w:r>
      <w:r>
        <w:rPr>
          <w:b/>
          <w:i w:val="0"/>
        </w:rPr>
        <w:t>.</w:t>
      </w:r>
      <w:r>
        <w:rPr>
          <w:b w:val="0"/>
          <w:i w:val="0"/>
        </w:rPr>
        <w:t xml:space="preserve"> Printed forms: </w:t>
      </w:r>
      <w:r>
        <w:rPr>
          <w:b w:val="0"/>
          <w:i/>
        </w:rPr>
        <w:t>densa</w:t>
      </w:r>
      <w:r>
        <w:rPr>
          <w:b w:val="0"/>
          <w:i w:val="0"/>
        </w:rPr>
        <w:t xml:space="preserve">; </w:t>
      </w:r>
      <w:r>
        <w:rPr>
          <w:b w:val="0"/>
          <w:i/>
        </w:rPr>
        <w:t>rara</w:t>
      </w:r>
      <w:r>
        <w:rPr>
          <w:b w:val="0"/>
          <w:i w:val="0"/>
        </w:rPr>
        <w:t>.</w:t>
      </w:r>
    </w:p>
    <w:p>
      <w:pPr>
        <w:widowControl/>
      </w:pPr>
      <w:r>
        <w:rPr>
          <w:b w:val="0"/>
          <w:i w:val="0"/>
        </w:rPr>
        <w:t xml:space="preserve">Rare or tenuous / dense. The physical contrast belongs to the elementary effects which mixing can produce, distinguished from a whole intelligible arrangement. References: </w:t>
      </w:r>
      <w:hyperlink w:anchor="passage-ii-13-5">
        <w:r>
          <w:rPr>
            <w:color w:val="000000"/>
          </w:rPr>
          <w:t xml:space="preserve">II.13.5</w:t>
        </w:r>
      </w:hyperlink>
      <w:r>
        <w:rPr>
          <w:b w:val="0"/>
          <w:i w:val="0"/>
        </w:rPr>
        <w:t xml:space="preserve">. See </w:t>
      </w:r>
      <w:hyperlink w:anchor="quality">
        <w:r>
          <w:rPr>
            <w:color w:val="000000"/>
          </w:rPr>
          <w:t xml:space="preserve">Quality</w:t>
        </w:r>
      </w:hyperlink>
      <w:r>
        <w:rPr>
          <w:b w:val="0"/>
          <w:i w:val="0"/>
        </w:rPr>
        <w:t>.</w:t>
      </w:r>
    </w:p>
    <w:p>
      <w:pPr>
        <w:keepNext/>
        <w:widowControl/>
      </w:pPr>
      <w:bookmarkStart w:id="1271" w:name="latin-record-1020"/>
      <w:bookmarkEnd w:id="1271"/>
      <w:r>
        <w:rPr>
          <w:b/>
          <w:i w:val="0"/>
        </w:rPr>
        <w:t>ratio</w:t>
      </w:r>
      <w:r>
        <w:rPr>
          <w:b/>
          <w:i w:val="0"/>
        </w:rPr>
        <w:t>.</w:t>
      </w:r>
      <w:r>
        <w:rPr>
          <w:b w:val="0"/>
          <w:i w:val="0"/>
        </w:rPr>
        <w:t xml:space="preserve"> Printed forms: </w:t>
      </w:r>
      <w:r>
        <w:rPr>
          <w:b w:val="0"/>
          <w:i/>
        </w:rPr>
        <w:t>ratio</w:t>
      </w:r>
      <w:r>
        <w:rPr>
          <w:b w:val="0"/>
          <w:i w:val="0"/>
        </w:rPr>
        <w:t xml:space="preserve">; </w:t>
      </w:r>
      <w:r>
        <w:rPr>
          <w:b w:val="0"/>
          <w:i/>
        </w:rPr>
        <w:t>rationes</w:t>
      </w:r>
      <w:r>
        <w:rPr>
          <w:b w:val="0"/>
          <w:i w:val="0"/>
        </w:rPr>
        <w:t>.</w:t>
      </w:r>
    </w:p>
    <w:p>
      <w:pPr>
        <w:widowControl/>
      </w:pPr>
      <w:r>
        <w:rPr>
          <w:b w:val="0"/>
          <w:i w:val="0"/>
        </w:rPr>
        <w:t xml:space="preserve">Argument, account, defining character, or determining principle. The chapter’s numbered ratio is an argument; the proper rationes of a building’s parts are intelligible accounts. References: </w:t>
      </w:r>
      <w:hyperlink w:anchor="passage-ii-11-2">
        <w:r>
          <w:rPr>
            <w:color w:val="000000"/>
          </w:rPr>
          <w:t xml:space="preserve">II.11.2</w:t>
        </w:r>
      </w:hyperlink>
      <w:r>
        <w:rPr>
          <w:b w:val="0"/>
          <w:i w:val="0"/>
        </w:rPr>
        <w:t xml:space="preserve">, </w:t>
      </w:r>
      <w:hyperlink w:anchor="passage-ii-11-18">
        <w:r>
          <w:rPr>
            <w:color w:val="000000"/>
          </w:rPr>
          <w:t xml:space="preserve">II.11.18</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1272" w:name="latin-record-1021"/>
      <w:bookmarkEnd w:id="1272"/>
      <w:r>
        <w:rPr>
          <w:b/>
          <w:i w:val="0"/>
        </w:rPr>
        <w:t>ratio / argumentatio / signum</w:t>
      </w:r>
      <w:r>
        <w:rPr>
          <w:b/>
          <w:i w:val="0"/>
        </w:rPr>
        <w:t>.</w:t>
      </w:r>
      <w:r>
        <w:rPr>
          <w:b w:val="0"/>
          <w:i w:val="0"/>
        </w:rPr>
        <w:t xml:space="preserve"> Printed forms: </w:t>
      </w:r>
      <w:r>
        <w:rPr>
          <w:b w:val="0"/>
          <w:i/>
        </w:rPr>
        <w:t>argumentationibus</w:t>
      </w:r>
      <w:r>
        <w:rPr>
          <w:b w:val="0"/>
          <w:i w:val="0"/>
        </w:rPr>
        <w:t xml:space="preserve">; </w:t>
      </w:r>
      <w:r>
        <w:rPr>
          <w:b w:val="0"/>
          <w:i/>
        </w:rPr>
        <w:t>rationibus</w:t>
      </w:r>
      <w:r>
        <w:rPr>
          <w:b w:val="0"/>
          <w:i w:val="0"/>
        </w:rPr>
        <w:t xml:space="preserve">; </w:t>
      </w:r>
      <w:r>
        <w:rPr>
          <w:b w:val="0"/>
          <w:i/>
        </w:rPr>
        <w:t>signis</w:t>
      </w:r>
      <w:r>
        <w:rPr>
          <w:b w:val="0"/>
          <w:i w:val="0"/>
        </w:rPr>
        <w:t>.</w:t>
      </w:r>
    </w:p>
    <w:p>
      <w:pPr>
        <w:widowControl/>
      </w:pPr>
      <w:r>
        <w:rPr>
          <w:b w:val="0"/>
          <w:i w:val="0"/>
        </w:rPr>
        <w:t xml:space="preserve">Reasons, articulated arguments, and signs as distinct kinds of support. Ficino’s fourfold programme also includes resolving questions; signs here are evidential, unlike the geometrical point called signum elsewhere. References: </w:t>
      </w:r>
      <w:hyperlink w:anchor="passage-i-1-7">
        <w:r>
          <w:rPr>
            <w:color w:val="000000"/>
          </w:rPr>
          <w:t xml:space="preserve">I.1.7</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1273" w:name="latin-record-1022"/>
      <w:bookmarkEnd w:id="1273"/>
      <w:r>
        <w:rPr>
          <w:b/>
          <w:i w:val="0"/>
        </w:rPr>
        <w:t>ratio / rationalis</w:t>
      </w:r>
      <w:r>
        <w:rPr>
          <w:b/>
          <w:i w:val="0"/>
        </w:rPr>
        <w:t>.</w:t>
      </w:r>
      <w:r>
        <w:rPr>
          <w:b w:val="0"/>
          <w:i w:val="0"/>
        </w:rPr>
        <w:t xml:space="preserve"> Printed forms: </w:t>
      </w:r>
      <w:r>
        <w:rPr>
          <w:b w:val="0"/>
          <w:i/>
        </w:rPr>
        <w:t>rationalis</w:t>
      </w:r>
      <w:r>
        <w:rPr>
          <w:b w:val="0"/>
          <w:i w:val="0"/>
        </w:rPr>
        <w:t xml:space="preserve">; </w:t>
      </w:r>
      <w:r>
        <w:rPr>
          <w:b w:val="0"/>
          <w:i/>
        </w:rPr>
        <w:t>rationem</w:t>
      </w:r>
      <w:r>
        <w:rPr>
          <w:b w:val="0"/>
          <w:i w:val="0"/>
        </w:rPr>
        <w:t xml:space="preserve">; </w:t>
      </w:r>
      <w:r>
        <w:rPr>
          <w:b w:val="0"/>
          <w:i/>
        </w:rPr>
        <w:t>rationes</w:t>
      </w:r>
      <w:r>
        <w:rPr>
          <w:b w:val="0"/>
          <w:i w:val="0"/>
        </w:rPr>
        <w:t>.</w:t>
      </w:r>
    </w:p>
    <w:p>
      <w:pPr>
        <w:widowControl/>
      </w:pPr>
      <w:r>
        <w:rPr>
          <w:b w:val="0"/>
          <w:i w:val="0"/>
        </w:rPr>
        <w:t xml:space="preserve">Account, ground, reason, principle, or rational, according to construction. The ground of desire, ideal measure, reason of the divine principle, and universal cognitive principles are distinct local uses. References: </w:t>
      </w:r>
      <w:hyperlink w:anchor="passage-ii-1-7">
        <w:r>
          <w:rPr>
            <w:color w:val="000000"/>
          </w:rPr>
          <w:t xml:space="preserve">II.1.7</w:t>
        </w:r>
      </w:hyperlink>
      <w:r>
        <w:rPr>
          <w:b w:val="0"/>
          <w:i w:val="0"/>
        </w:rPr>
        <w:t xml:space="preserve">, </w:t>
      </w:r>
      <w:hyperlink w:anchor="passage-ii-3-5">
        <w:r>
          <w:rPr>
            <w:color w:val="000000"/>
          </w:rPr>
          <w:t xml:space="preserve">II.3.5</w:t>
        </w:r>
      </w:hyperlink>
      <w:r>
        <w:rPr>
          <w:b w:val="0"/>
          <w:i w:val="0"/>
        </w:rPr>
        <w:t xml:space="preserve">, </w:t>
      </w:r>
      <w:hyperlink w:anchor="passage-ii-3-10">
        <w:r>
          <w:rPr>
            <w:color w:val="000000"/>
          </w:rPr>
          <w:t xml:space="preserve">II.3.10</w:t>
        </w:r>
      </w:hyperlink>
      <w:r>
        <w:rPr>
          <w:b w:val="0"/>
          <w:i w:val="0"/>
        </w:rPr>
        <w:t xml:space="preserve">, </w:t>
      </w:r>
      <w:hyperlink w:anchor="passage-ii-9-16">
        <w:r>
          <w:rPr>
            <w:color w:val="000000"/>
          </w:rPr>
          <w:t xml:space="preserve">II.9.16</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1274" w:name="latin-record-1023"/>
      <w:bookmarkEnd w:id="1274"/>
      <w:r>
        <w:rPr>
          <w:b/>
          <w:i w:val="0"/>
        </w:rPr>
        <w:t>ratio albedinis</w:t>
      </w:r>
      <w:r>
        <w:rPr>
          <w:b/>
          <w:i w:val="0"/>
        </w:rPr>
        <w:t>.</w:t>
      </w:r>
      <w:r>
        <w:rPr>
          <w:b w:val="0"/>
          <w:i w:val="0"/>
        </w:rPr>
        <w:t xml:space="preserve"> Printed forms: </w:t>
      </w:r>
      <w:r>
        <w:rPr>
          <w:b w:val="0"/>
          <w:i/>
        </w:rPr>
        <w:t>albedinis ratio</w:t>
      </w:r>
      <w:r>
        <w:rPr>
          <w:b w:val="0"/>
          <w:i w:val="0"/>
        </w:rPr>
        <w:t>.</w:t>
      </w:r>
    </w:p>
    <w:p>
      <w:pPr>
        <w:widowControl/>
      </w:pPr>
      <w:r>
        <w:rPr>
          <w:b w:val="0"/>
          <w:i w:val="0"/>
        </w:rPr>
        <w:t xml:space="preserve">The character or account of whiteness. The same character remains in each divided piece, with similar power and action; the argument distinguishes that sameness from equal extension. References: </w:t>
      </w:r>
      <w:hyperlink w:anchor="passage-i-2-17">
        <w:r>
          <w:rPr>
            <w:color w:val="000000"/>
          </w:rPr>
          <w:t xml:space="preserve">I.2.17</w:t>
        </w:r>
      </w:hyperlink>
      <w:r>
        <w:rPr>
          <w:b w:val="0"/>
          <w:i w:val="0"/>
        </w:rPr>
        <w:t xml:space="preserve">. See </w:t>
      </w:r>
      <w:hyperlink w:anchor="quality">
        <w:r>
          <w:rPr>
            <w:color w:val="000000"/>
          </w:rPr>
          <w:t xml:space="preserve">Quality</w:t>
        </w:r>
      </w:hyperlink>
      <w:r>
        <w:rPr>
          <w:b w:val="0"/>
          <w:i w:val="0"/>
        </w:rPr>
        <w:t>.</w:t>
      </w:r>
    </w:p>
    <w:p>
      <w:pPr>
        <w:keepNext/>
        <w:widowControl/>
      </w:pPr>
      <w:bookmarkStart w:id="1275" w:name="latin-record-1024"/>
      <w:bookmarkEnd w:id="1275"/>
      <w:r>
        <w:rPr>
          <w:b/>
          <w:i w:val="0"/>
        </w:rPr>
        <w:t>ratio appetendi</w:t>
      </w:r>
      <w:r>
        <w:rPr>
          <w:b/>
          <w:i w:val="0"/>
        </w:rPr>
        <w:t>.</w:t>
      </w:r>
      <w:r>
        <w:rPr>
          <w:b w:val="0"/>
          <w:i w:val="0"/>
        </w:rPr>
        <w:t xml:space="preserve"> Printed forms: </w:t>
      </w:r>
      <w:r>
        <w:rPr>
          <w:b w:val="0"/>
          <w:i/>
        </w:rPr>
        <w:t>ratio appetendi</w:t>
      </w:r>
      <w:r>
        <w:rPr>
          <w:b w:val="0"/>
          <w:i w:val="0"/>
        </w:rPr>
        <w:t>.</w:t>
      </w:r>
    </w:p>
    <w:p>
      <w:pPr>
        <w:widowControl/>
      </w:pPr>
      <w:r>
        <w:rPr>
          <w:b w:val="0"/>
          <w:i w:val="0"/>
        </w:rPr>
        <w:t xml:space="preserve">The ground or rationale of desiring. Ficino says the entire ground of desire is contained in goodness, excluding a desirable source beyond it. References: </w:t>
      </w:r>
      <w:hyperlink w:anchor="passage-ii-1-7">
        <w:r>
          <w:rPr>
            <w:color w:val="000000"/>
          </w:rPr>
          <w:t xml:space="preserve">II.1.7</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1276" w:name="latin-record-1025"/>
      <w:bookmarkEnd w:id="1276"/>
      <w:r>
        <w:rPr>
          <w:b/>
          <w:i w:val="0"/>
        </w:rPr>
        <w:t>ratio boni</w:t>
      </w:r>
      <w:r>
        <w:rPr>
          <w:b/>
          <w:i w:val="0"/>
        </w:rPr>
        <w:t>.</w:t>
      </w:r>
      <w:r>
        <w:rPr>
          <w:b w:val="0"/>
          <w:i w:val="0"/>
        </w:rPr>
        <w:t xml:space="preserve"> Printed forms: </w:t>
      </w:r>
      <w:r>
        <w:rPr>
          <w:b w:val="0"/>
          <w:i/>
        </w:rPr>
        <w:t>ratione boni</w:t>
      </w:r>
      <w:r>
        <w:rPr>
          <w:b w:val="0"/>
          <w:i w:val="0"/>
        </w:rPr>
        <w:t>.</w:t>
      </w:r>
    </w:p>
    <w:p>
      <w:pPr>
        <w:widowControl/>
      </w:pPr>
      <w:r>
        <w:rPr>
          <w:b w:val="0"/>
          <w:i w:val="0"/>
        </w:rPr>
        <w:t xml:space="preserve">In respect of good or because of goodness. Objects move appetite as good, not simply as large or numerous; among things judged bad, smaller or fewer can be preferred. References: </w:t>
      </w:r>
      <w:hyperlink w:anchor="passage-i-2-14">
        <w:r>
          <w:rPr>
            <w:color w:val="000000"/>
          </w:rPr>
          <w:t xml:space="preserve">I.2.14</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1277" w:name="latin-record-1026"/>
      <w:bookmarkEnd w:id="1277"/>
      <w:r>
        <w:rPr>
          <w:b/>
          <w:i w:val="0"/>
        </w:rPr>
        <w:t>ratio naturalis and usualness</w:t>
      </w:r>
      <w:r>
        <w:rPr>
          <w:b/>
          <w:i w:val="0"/>
        </w:rPr>
        <w:t>.</w:t>
      </w:r>
      <w:r>
        <w:rPr>
          <w:b w:val="0"/>
          <w:i w:val="0"/>
        </w:rPr>
        <w:t xml:space="preserve"> Printed forms: </w:t>
      </w:r>
      <w:r>
        <w:rPr>
          <w:b w:val="0"/>
          <w:i/>
        </w:rPr>
        <w:t>convenire</w:t>
      </w:r>
      <w:r>
        <w:rPr>
          <w:b w:val="0"/>
          <w:i w:val="0"/>
        </w:rPr>
        <w:t xml:space="preserve">; </w:t>
      </w:r>
      <w:r>
        <w:rPr>
          <w:b w:val="0"/>
          <w:i/>
        </w:rPr>
        <w:t>generi</w:t>
      </w:r>
      <w:r>
        <w:rPr>
          <w:b w:val="0"/>
          <w:i w:val="0"/>
        </w:rPr>
        <w:t xml:space="preserve">; </w:t>
      </w:r>
      <w:r>
        <w:rPr>
          <w:b w:val="0"/>
          <w:i/>
        </w:rPr>
        <w:t>ut plurimum</w:t>
      </w:r>
      <w:r>
        <w:rPr>
          <w:b w:val="0"/>
          <w:i w:val="0"/>
        </w:rPr>
        <w:t>.</w:t>
      </w:r>
    </w:p>
    <w:p>
      <w:pPr>
        <w:widowControl/>
      </w:pPr>
      <w:r>
        <w:rPr>
          <w:b w:val="0"/>
          <w:i w:val="0"/>
        </w:rPr>
        <w:t xml:space="preserve">What accords with a kind’s nature and is found for the most part. Ficino infers that minds separate from bodies should be more abundant because separation better accords with incorporeal nature; the abundance claim depends on this naturalness premise. References: </w:t>
      </w:r>
      <w:hyperlink w:anchor="passage-i-5-17">
        <w:r>
          <w:rPr>
            <w:color w:val="000000"/>
          </w:rPr>
          <w:t xml:space="preserve">I.5.17</w:t>
        </w:r>
      </w:hyperlink>
      <w:r>
        <w:rPr>
          <w:b w:val="0"/>
          <w:i w:val="0"/>
        </w:rPr>
        <w:t xml:space="preserve">. See </w:t>
      </w:r>
      <w:hyperlink w:anchor="angel">
        <w:r>
          <w:rPr>
            <w:color w:val="000000"/>
          </w:rPr>
          <w:t xml:space="preserve">Angel</w:t>
        </w:r>
      </w:hyperlink>
      <w:r>
        <w:rPr>
          <w:b w:val="0"/>
          <w:i w:val="0"/>
        </w:rPr>
        <w:t>.</w:t>
      </w:r>
    </w:p>
    <w:p>
      <w:pPr>
        <w:keepNext/>
        <w:widowControl/>
      </w:pPr>
      <w:bookmarkStart w:id="1278" w:name="latin-record-1027"/>
      <w:bookmarkEnd w:id="1278"/>
      <w:r>
        <w:rPr>
          <w:b/>
          <w:i w:val="0"/>
        </w:rPr>
        <w:t>rationis compos / expers</w:t>
      </w:r>
      <w:r>
        <w:rPr>
          <w:b/>
          <w:i w:val="0"/>
        </w:rPr>
        <w:t>.</w:t>
      </w:r>
      <w:r>
        <w:rPr>
          <w:b w:val="0"/>
          <w:i w:val="0"/>
        </w:rPr>
        <w:t xml:space="preserve"> Printed forms: </w:t>
      </w:r>
      <w:r>
        <w:rPr>
          <w:b w:val="0"/>
          <w:i/>
        </w:rPr>
        <w:t>compotes rationis</w:t>
      </w:r>
      <w:r>
        <w:rPr>
          <w:b w:val="0"/>
          <w:i w:val="0"/>
        </w:rPr>
        <w:t xml:space="preserve">; </w:t>
      </w:r>
      <w:r>
        <w:rPr>
          <w:b w:val="0"/>
          <w:i/>
        </w:rPr>
        <w:t>rationis expertes</w:t>
      </w:r>
      <w:r>
        <w:rPr>
          <w:b w:val="0"/>
          <w:i w:val="0"/>
        </w:rPr>
        <w:t>.</w:t>
      </w:r>
    </w:p>
    <w:p>
      <w:pPr>
        <w:widowControl/>
      </w:pPr>
      <w:r>
        <w:rPr>
          <w:b w:val="0"/>
          <w:i w:val="0"/>
        </w:rPr>
        <w:t xml:space="preserve">Possessing reason; devoid of reason. Ficino’s cosmological classification assigns rationality to higher spheres and differentiates lower living bodies by purity. References: </w:t>
      </w:r>
      <w:hyperlink w:anchor="passage-iv-1-39">
        <w:r>
          <w:rPr>
            <w:color w:val="000000"/>
          </w:rPr>
          <w:t xml:space="preserve">IV.1.39</w:t>
        </w:r>
      </w:hyperlink>
      <w:r>
        <w:rPr>
          <w:b w:val="0"/>
          <w:i w:val="0"/>
        </w:rPr>
        <w:t xml:space="preserve">. See </w:t>
      </w:r>
      <w:hyperlink w:anchor="daemons">
        <w:r>
          <w:rPr>
            <w:color w:val="000000"/>
          </w:rPr>
          <w:t xml:space="preserve">Daemons</w:t>
        </w:r>
      </w:hyperlink>
      <w:r>
        <w:rPr>
          <w:b w:val="0"/>
          <w:i w:val="0"/>
        </w:rPr>
        <w:t>.</w:t>
      </w:r>
    </w:p>
    <w:p>
      <w:pPr>
        <w:keepNext/>
        <w:widowControl/>
      </w:pPr>
      <w:bookmarkStart w:id="1279" w:name="latin-record-1028"/>
      <w:bookmarkEnd w:id="1279"/>
      <w:r>
        <w:rPr>
          <w:b/>
          <w:i w:val="0"/>
        </w:rPr>
        <w:t>realis / intellectus (adjectival)</w:t>
      </w:r>
      <w:r>
        <w:rPr>
          <w:b/>
          <w:i w:val="0"/>
        </w:rPr>
        <w:t>.</w:t>
      </w:r>
      <w:r>
        <w:rPr>
          <w:b w:val="0"/>
          <w:i w:val="0"/>
        </w:rPr>
        <w:t xml:space="preserve"> Printed forms: </w:t>
      </w:r>
      <w:r>
        <w:rPr>
          <w:b w:val="0"/>
          <w:i/>
        </w:rPr>
        <w:t>intellecti</w:t>
      </w:r>
      <w:r>
        <w:rPr>
          <w:b w:val="0"/>
          <w:i w:val="0"/>
        </w:rPr>
        <w:t xml:space="preserve">; </w:t>
      </w:r>
      <w:r>
        <w:rPr>
          <w:b w:val="0"/>
          <w:i/>
        </w:rPr>
        <w:t>reales</w:t>
      </w:r>
      <w:r>
        <w:rPr>
          <w:b w:val="0"/>
          <w:i w:val="0"/>
        </w:rPr>
        <w:t>.</w:t>
      </w:r>
    </w:p>
    <w:p>
      <w:pPr>
        <w:widowControl/>
      </w:pPr>
      <w:r>
        <w:rPr>
          <w:b w:val="0"/>
          <w:i w:val="0"/>
        </w:rPr>
        <w:t xml:space="preserve">Real / understood or conceived intellectually. Ficino distinguishes exemplary relations from the real relations said to distinguish divine persons. References: </w:t>
      </w:r>
      <w:hyperlink w:anchor="passage-ii-11-19">
        <w:r>
          <w:rPr>
            <w:color w:val="000000"/>
          </w:rPr>
          <w:t xml:space="preserve">II.11.19</w:t>
        </w:r>
      </w:hyperlink>
      <w:r>
        <w:rPr>
          <w:b w:val="0"/>
          <w:i w:val="0"/>
        </w:rPr>
        <w:t xml:space="preserve">. See </w:t>
      </w:r>
      <w:hyperlink w:anchor="relations-and-respects">
        <w:r>
          <w:rPr>
            <w:color w:val="000000"/>
          </w:rPr>
          <w:t xml:space="preserve">Relations and respects</w:t>
        </w:r>
      </w:hyperlink>
      <w:r>
        <w:rPr>
          <w:b w:val="0"/>
          <w:i w:val="0"/>
        </w:rPr>
        <w:t>.</w:t>
      </w:r>
    </w:p>
    <w:p>
      <w:pPr>
        <w:keepNext/>
        <w:widowControl/>
      </w:pPr>
      <w:bookmarkStart w:id="1280" w:name="latin-record-1029"/>
      <w:bookmarkEnd w:id="1280"/>
      <w:r>
        <w:rPr>
          <w:b/>
          <w:i w:val="0"/>
        </w:rPr>
        <w:t>receptaculum</w:t>
      </w:r>
      <w:r>
        <w:rPr>
          <w:b/>
          <w:i w:val="0"/>
        </w:rPr>
        <w:t>.</w:t>
      </w:r>
      <w:r>
        <w:rPr>
          <w:b w:val="0"/>
          <w:i w:val="0"/>
        </w:rPr>
        <w:t xml:space="preserve"> Printed forms: </w:t>
      </w:r>
      <w:r>
        <w:rPr>
          <w:b w:val="0"/>
          <w:i/>
        </w:rPr>
        <w:t>receptacula</w:t>
      </w:r>
      <w:r>
        <w:rPr>
          <w:b w:val="0"/>
          <w:i w:val="0"/>
        </w:rPr>
        <w:t xml:space="preserve">; </w:t>
      </w:r>
      <w:r>
        <w:rPr>
          <w:b w:val="0"/>
          <w:i/>
        </w:rPr>
        <w:t>receptaculum</w:t>
      </w:r>
      <w:r>
        <w:rPr>
          <w:b w:val="0"/>
          <w:i w:val="0"/>
        </w:rPr>
        <w:t>.</w:t>
      </w:r>
    </w:p>
    <w:p>
      <w:pPr>
        <w:widowControl/>
      </w:pPr>
      <w:r>
        <w:rPr>
          <w:b w:val="0"/>
          <w:i w:val="0"/>
        </w:rPr>
        <w:t xml:space="preserve">Receptacle or that which receives. Angel contains forms as immovable multiplicity, so receptivity does not imply bodily extension or temporal change. References: </w:t>
      </w:r>
      <w:hyperlink w:anchor="passage-iii-1-4">
        <w:r>
          <w:rPr>
            <w:color w:val="000000"/>
          </w:rPr>
          <w:t xml:space="preserve">III.1.4</w:t>
        </w:r>
      </w:hyperlink>
      <w:r>
        <w:rPr>
          <w:b w:val="0"/>
          <w:i w:val="0"/>
        </w:rPr>
        <w:t xml:space="preserve">. See </w:t>
      </w:r>
      <w:hyperlink w:anchor="angel">
        <w:r>
          <w:rPr>
            <w:color w:val="000000"/>
          </w:rPr>
          <w:t xml:space="preserve">Angel</w:t>
        </w:r>
      </w:hyperlink>
      <w:r>
        <w:rPr>
          <w:b w:val="0"/>
          <w:i w:val="0"/>
        </w:rPr>
        <w:t>.</w:t>
      </w:r>
    </w:p>
    <w:p>
      <w:pPr>
        <w:widowControl/>
      </w:pPr>
      <w:r>
        <w:rPr>
          <w:b w:val="0"/>
          <w:i w:val="0"/>
        </w:rPr>
        <w:t xml:space="preserve">A receptive seat or recipient. Elemental globes become fitting recipients of rational souls through their place within the whole cosmic order. References: </w:t>
      </w:r>
      <w:hyperlink w:anchor="passage-iv-1-91">
        <w:r>
          <w:rPr>
            <w:color w:val="000000"/>
          </w:rPr>
          <w:t xml:space="preserve">IV.1.91</w:t>
        </w:r>
      </w:hyperlink>
      <w:r>
        <w:rPr>
          <w:b w:val="0"/>
          <w:i w:val="0"/>
        </w:rPr>
        <w:t xml:space="preserve">. See </w:t>
      </w:r>
      <w:hyperlink w:anchor="fitting-and-correspondence">
        <w:r>
          <w:rPr>
            <w:color w:val="000000"/>
          </w:rPr>
          <w:t xml:space="preserve">Fitting and correspondence</w:t>
        </w:r>
      </w:hyperlink>
      <w:r>
        <w:rPr>
          <w:b w:val="0"/>
          <w:i w:val="0"/>
        </w:rPr>
        <w:t>.</w:t>
      </w:r>
    </w:p>
    <w:p>
      <w:pPr>
        <w:keepNext/>
        <w:widowControl/>
      </w:pPr>
      <w:bookmarkStart w:id="1281" w:name="latin-record-1030"/>
      <w:bookmarkEnd w:id="1281"/>
      <w:r>
        <w:rPr>
          <w:b/>
          <w:i w:val="0"/>
        </w:rPr>
        <w:t>rector / gubernare / regere</w:t>
      </w:r>
      <w:r>
        <w:rPr>
          <w:b/>
          <w:i w:val="0"/>
        </w:rPr>
        <w:t>.</w:t>
      </w:r>
      <w:r>
        <w:rPr>
          <w:b w:val="0"/>
          <w:i w:val="0"/>
        </w:rPr>
        <w:t xml:space="preserve"> Printed forms: </w:t>
      </w:r>
      <w:r>
        <w:rPr>
          <w:b w:val="0"/>
          <w:i/>
        </w:rPr>
        <w:t>gubernare</w:t>
      </w:r>
      <w:r>
        <w:rPr>
          <w:b w:val="0"/>
          <w:i w:val="0"/>
        </w:rPr>
        <w:t xml:space="preserve">; </w:t>
      </w:r>
      <w:r>
        <w:rPr>
          <w:b w:val="0"/>
          <w:i/>
        </w:rPr>
        <w:t>rector</w:t>
      </w:r>
      <w:r>
        <w:rPr>
          <w:b w:val="0"/>
          <w:i w:val="0"/>
        </w:rPr>
        <w:t xml:space="preserve">; </w:t>
      </w:r>
      <w:r>
        <w:rPr>
          <w:b w:val="0"/>
          <w:i/>
        </w:rPr>
        <w:t>regere</w:t>
      </w:r>
      <w:r>
        <w:rPr>
          <w:b w:val="0"/>
          <w:i w:val="0"/>
        </w:rPr>
        <w:t>.</w:t>
      </w:r>
    </w:p>
    <w:p>
      <w:pPr>
        <w:widowControl/>
      </w:pPr>
      <w:r>
        <w:rPr>
          <w:b w:val="0"/>
          <w:i w:val="0"/>
        </w:rPr>
        <w:t xml:space="preserve">Ruler / govern / direct or rule. Making intelligently is taken to establish the capacity to govern and preserve; subordinate rulers still act through God. References: </w:t>
      </w:r>
      <w:hyperlink w:anchor="passage-ii-13-11">
        <w:r>
          <w:rPr>
            <w:color w:val="000000"/>
          </w:rPr>
          <w:t xml:space="preserve">II.13.11</w:t>
        </w:r>
      </w:hyperlink>
      <w:r>
        <w:rPr>
          <w:b w:val="0"/>
          <w:i w:val="0"/>
        </w:rPr>
        <w:t xml:space="preserve">. See </w:t>
      </w:r>
      <w:hyperlink w:anchor="providence">
        <w:r>
          <w:rPr>
            <w:color w:val="000000"/>
          </w:rPr>
          <w:t xml:space="preserve">Providence</w:t>
        </w:r>
      </w:hyperlink>
      <w:r>
        <w:rPr>
          <w:b w:val="0"/>
          <w:i w:val="0"/>
        </w:rPr>
        <w:t>.</w:t>
      </w:r>
    </w:p>
    <w:p>
      <w:pPr>
        <w:keepNext/>
        <w:widowControl/>
      </w:pPr>
      <w:bookmarkStart w:id="1282" w:name="latin-record-1031"/>
      <w:bookmarkEnd w:id="1282"/>
      <w:r>
        <w:rPr>
          <w:b/>
          <w:i w:val="0"/>
        </w:rPr>
        <w:t>rector proprius</w:t>
      </w:r>
      <w:r>
        <w:rPr>
          <w:b/>
          <w:i w:val="0"/>
        </w:rPr>
        <w:t>.</w:t>
      </w:r>
      <w:r>
        <w:rPr>
          <w:b w:val="0"/>
          <w:i w:val="0"/>
        </w:rPr>
        <w:t xml:space="preserve"> Printed forms: </w:t>
      </w:r>
      <w:r>
        <w:rPr>
          <w:b w:val="0"/>
          <w:i/>
        </w:rPr>
        <w:t>rector proprius</w:t>
      </w:r>
      <w:r>
        <w:rPr>
          <w:b w:val="0"/>
          <w:i w:val="0"/>
        </w:rPr>
        <w:t>.</w:t>
      </w:r>
    </w:p>
    <w:p>
      <w:pPr>
        <w:widowControl/>
      </w:pPr>
      <w:r>
        <w:rPr>
          <w:b w:val="0"/>
          <w:i w:val="0"/>
        </w:rPr>
        <w:t xml:space="preserve">A governor assigned specifically to one body. God’s universal causation excludes confinement to this particular governing role. References: </w:t>
      </w:r>
      <w:hyperlink w:anchor="passage-iv-1-59">
        <w:r>
          <w:rPr>
            <w:color w:val="000000"/>
          </w:rPr>
          <w:t xml:space="preserve">IV.1.59</w:t>
        </w:r>
      </w:hyperlink>
      <w:r>
        <w:rPr>
          <w:b w:val="0"/>
          <w:i w:val="0"/>
        </w:rPr>
        <w:t xml:space="preserve">. See </w:t>
      </w:r>
      <w:hyperlink w:anchor="common-and-proper">
        <w:r>
          <w:rPr>
            <w:color w:val="000000"/>
          </w:rPr>
          <w:t xml:space="preserve">Common and proper</w:t>
        </w:r>
      </w:hyperlink>
      <w:r>
        <w:rPr>
          <w:b w:val="0"/>
          <w:i w:val="0"/>
        </w:rPr>
        <w:t>.</w:t>
      </w:r>
    </w:p>
    <w:p>
      <w:pPr>
        <w:keepNext/>
        <w:widowControl/>
      </w:pPr>
      <w:bookmarkStart w:id="1283" w:name="latin-record-1032"/>
      <w:bookmarkEnd w:id="1283"/>
      <w:r>
        <w:rPr>
          <w:b/>
          <w:i w:val="0"/>
        </w:rPr>
        <w:t>recurrere in duodenarium</w:t>
      </w:r>
      <w:r>
        <w:rPr>
          <w:b/>
          <w:i w:val="0"/>
        </w:rPr>
        <w:t>.</w:t>
      </w:r>
      <w:r>
        <w:rPr>
          <w:b w:val="0"/>
          <w:i w:val="0"/>
        </w:rPr>
        <w:t xml:space="preserve"> Printed forms: </w:t>
      </w:r>
      <w:r>
        <w:rPr>
          <w:b w:val="0"/>
          <w:i/>
        </w:rPr>
        <w:t>recurrit rursus in duodenarium</w:t>
      </w:r>
      <w:r>
        <w:rPr>
          <w:b w:val="0"/>
          <w:i w:val="0"/>
        </w:rPr>
        <w:t>.</w:t>
      </w:r>
    </w:p>
    <w:p>
      <w:pPr>
        <w:widowControl/>
      </w:pPr>
      <w:r>
        <w:rPr>
          <w:b w:val="0"/>
          <w:i w:val="0"/>
        </w:rPr>
        <w:t xml:space="preserve">To return to a twelvefold grouping. A sphere-soul selected from twelve is said to organize subordinate souls in a corresponding twelvefold pattern. References: </w:t>
      </w:r>
      <w:hyperlink w:anchor="passage-iv-1-42">
        <w:r>
          <w:rPr>
            <w:color w:val="000000"/>
          </w:rPr>
          <w:t xml:space="preserve">IV.1.42</w:t>
        </w:r>
      </w:hyperlink>
      <w:r>
        <w:rPr>
          <w:b w:val="0"/>
          <w:i w:val="0"/>
        </w:rPr>
        <w:t xml:space="preserve">. See </w:t>
      </w:r>
      <w:hyperlink w:anchor="twelve">
        <w:r>
          <w:rPr>
            <w:color w:val="000000"/>
          </w:rPr>
          <w:t xml:space="preserve">Twelve</w:t>
        </w:r>
      </w:hyperlink>
      <w:r>
        <w:rPr>
          <w:b w:val="0"/>
          <w:i w:val="0"/>
        </w:rPr>
        <w:t>.</w:t>
      </w:r>
    </w:p>
    <w:p>
      <w:pPr>
        <w:keepNext/>
        <w:widowControl/>
      </w:pPr>
      <w:bookmarkStart w:id="1284" w:name="latin-record-1033"/>
      <w:bookmarkEnd w:id="1284"/>
      <w:r>
        <w:rPr>
          <w:b/>
          <w:i w:val="0"/>
        </w:rPr>
        <w:t>redigere / colligere / referre</w:t>
      </w:r>
      <w:r>
        <w:rPr>
          <w:b/>
          <w:i w:val="0"/>
        </w:rPr>
        <w:t>.</w:t>
      </w:r>
      <w:r>
        <w:rPr>
          <w:b w:val="0"/>
          <w:i w:val="0"/>
        </w:rPr>
        <w:t xml:space="preserve"> Printed forms: </w:t>
      </w:r>
      <w:r>
        <w:rPr>
          <w:b w:val="0"/>
          <w:i/>
        </w:rPr>
        <w:t>collige</w:t>
      </w:r>
      <w:r>
        <w:rPr>
          <w:b w:val="0"/>
          <w:i w:val="0"/>
        </w:rPr>
        <w:t xml:space="preserve">; </w:t>
      </w:r>
      <w:r>
        <w:rPr>
          <w:b w:val="0"/>
          <w:i/>
        </w:rPr>
        <w:t>redigitur</w:t>
      </w:r>
      <w:r>
        <w:rPr>
          <w:b w:val="0"/>
          <w:i w:val="0"/>
        </w:rPr>
        <w:t xml:space="preserve">; </w:t>
      </w:r>
      <w:r>
        <w:rPr>
          <w:b w:val="0"/>
          <w:i/>
        </w:rPr>
        <w:t>referantur</w:t>
      </w:r>
      <w:r>
        <w:rPr>
          <w:b w:val="0"/>
          <w:i w:val="0"/>
        </w:rPr>
        <w:t xml:space="preserve">; </w:t>
      </w:r>
      <w:r>
        <w:rPr>
          <w:b w:val="0"/>
          <w:i/>
        </w:rPr>
        <w:t>referatur</w:t>
      </w:r>
      <w:r>
        <w:rPr>
          <w:b w:val="0"/>
          <w:i w:val="0"/>
        </w:rPr>
        <w:t xml:space="preserve">; </w:t>
      </w:r>
      <w:r>
        <w:rPr>
          <w:b w:val="0"/>
          <w:i/>
        </w:rPr>
        <w:t>referri</w:t>
      </w:r>
      <w:r>
        <w:rPr>
          <w:b w:val="0"/>
          <w:i w:val="0"/>
        </w:rPr>
        <w:t>.</w:t>
      </w:r>
    </w:p>
    <w:p>
      <w:pPr>
        <w:widowControl/>
      </w:pPr>
      <w:r>
        <w:rPr>
          <w:b w:val="0"/>
          <w:i w:val="0"/>
        </w:rPr>
        <w:t xml:space="preserve">To bring back or gather under a principle, collect an inference, or refer to a source or end. Individuals are gathered under species, species under divine unity, and parts referred to the good of the whole. References: </w:t>
      </w:r>
      <w:hyperlink w:anchor="passage-ii-2-7">
        <w:r>
          <w:rPr>
            <w:color w:val="000000"/>
          </w:rPr>
          <w:t xml:space="preserve">II.2.7</w:t>
        </w:r>
      </w:hyperlink>
      <w:r>
        <w:rPr>
          <w:b w:val="0"/>
          <w:i w:val="0"/>
        </w:rPr>
        <w:t xml:space="preserve">, </w:t>
      </w:r>
      <w:hyperlink w:anchor="passage-ii-2-8">
        <w:r>
          <w:rPr>
            <w:color w:val="000000"/>
          </w:rPr>
          <w:t xml:space="preserve">II.2.8</w:t>
        </w:r>
      </w:hyperlink>
      <w:r>
        <w:rPr>
          <w:b w:val="0"/>
          <w:i w:val="0"/>
        </w:rPr>
        <w:t xml:space="preserve">, </w:t>
      </w:r>
      <w:hyperlink w:anchor="passage-ii-9-21">
        <w:r>
          <w:rPr>
            <w:color w:val="000000"/>
          </w:rPr>
          <w:t xml:space="preserve">II.9.21</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1285" w:name="latin-record-1034"/>
      <w:bookmarkEnd w:id="1285"/>
      <w:r>
        <w:rPr>
          <w:b/>
          <w:i w:val="0"/>
        </w:rPr>
        <w:t>reducere / redigere</w:t>
      </w:r>
      <w:r>
        <w:rPr>
          <w:b/>
          <w:i w:val="0"/>
        </w:rPr>
        <w:t>.</w:t>
      </w:r>
      <w:r>
        <w:rPr>
          <w:b w:val="0"/>
          <w:i w:val="0"/>
        </w:rPr>
        <w:t xml:space="preserve"> Printed forms: </w:t>
      </w:r>
      <w:r>
        <w:rPr>
          <w:b w:val="0"/>
          <w:i/>
        </w:rPr>
        <w:t>redigatur</w:t>
      </w:r>
      <w:r>
        <w:rPr>
          <w:b w:val="0"/>
          <w:i w:val="0"/>
        </w:rPr>
        <w:t xml:space="preserve">; </w:t>
      </w:r>
      <w:r>
        <w:rPr>
          <w:b w:val="0"/>
          <w:i/>
        </w:rPr>
        <w:t>reducatur</w:t>
      </w:r>
      <w:r>
        <w:rPr>
          <w:b w:val="0"/>
          <w:i w:val="0"/>
        </w:rPr>
        <w:t xml:space="preserve">; </w:t>
      </w:r>
      <w:r>
        <w:rPr>
          <w:b w:val="0"/>
          <w:i/>
        </w:rPr>
        <w:t>reducuntur</w:t>
      </w:r>
      <w:r>
        <w:rPr>
          <w:b w:val="0"/>
          <w:i w:val="0"/>
        </w:rPr>
        <w:t>.</w:t>
      </w:r>
    </w:p>
    <w:p>
      <w:pPr>
        <w:widowControl/>
      </w:pPr>
      <w:r>
        <w:rPr>
          <w:b w:val="0"/>
          <w:i w:val="0"/>
        </w:rPr>
        <w:t xml:space="preserve">To refer or reduce to a principle. Different kinds are led to their indivisible limiting principle; reduction here does not mean eliminating the things explained. References: </w:t>
      </w:r>
      <w:hyperlink w:anchor="passage-i-3-14">
        <w:r>
          <w:rPr>
            <w:color w:val="000000"/>
          </w:rPr>
          <w:t xml:space="preserve">I.3.14</w:t>
        </w:r>
      </w:hyperlink>
      <w:r>
        <w:rPr>
          <w:b w:val="0"/>
          <w:i w:val="0"/>
        </w:rPr>
        <w:t xml:space="preserve">. See </w:t>
      </w:r>
      <w:hyperlink w:anchor="returning-referring-and-reducing">
        <w:r>
          <w:rPr>
            <w:color w:val="000000"/>
          </w:rPr>
          <w:t xml:space="preserve">Returning, referring and reducing</w:t>
        </w:r>
      </w:hyperlink>
      <w:r>
        <w:rPr>
          <w:b w:val="0"/>
          <w:i w:val="0"/>
        </w:rPr>
        <w:t>.</w:t>
      </w:r>
    </w:p>
    <w:p>
      <w:pPr>
        <w:keepNext/>
        <w:widowControl/>
      </w:pPr>
      <w:bookmarkStart w:id="1286" w:name="latin-record-1035"/>
      <w:bookmarkEnd w:id="1286"/>
      <w:r>
        <w:rPr>
          <w:b/>
          <w:i w:val="0"/>
        </w:rPr>
        <w:t>reducere / referre</w:t>
      </w:r>
      <w:r>
        <w:rPr>
          <w:b/>
          <w:i w:val="0"/>
        </w:rPr>
        <w:t>.</w:t>
      </w:r>
      <w:r>
        <w:rPr>
          <w:b w:val="0"/>
          <w:i w:val="0"/>
        </w:rPr>
        <w:t xml:space="preserve"> Printed forms: </w:t>
      </w:r>
      <w:r>
        <w:rPr>
          <w:b w:val="0"/>
          <w:i/>
        </w:rPr>
        <w:t>reducendum</w:t>
      </w:r>
      <w:r>
        <w:rPr>
          <w:b w:val="0"/>
          <w:i w:val="0"/>
        </w:rPr>
        <w:t xml:space="preserve">; </w:t>
      </w:r>
      <w:r>
        <w:rPr>
          <w:b w:val="0"/>
          <w:i/>
        </w:rPr>
        <w:t>reducuntur</w:t>
      </w:r>
      <w:r>
        <w:rPr>
          <w:b w:val="0"/>
          <w:i w:val="0"/>
        </w:rPr>
        <w:t xml:space="preserve">; </w:t>
      </w:r>
      <w:r>
        <w:rPr>
          <w:b w:val="0"/>
          <w:i/>
        </w:rPr>
        <w:t>referamus</w:t>
      </w:r>
      <w:r>
        <w:rPr>
          <w:b w:val="0"/>
          <w:i w:val="0"/>
        </w:rPr>
        <w:t xml:space="preserve">; </w:t>
      </w:r>
      <w:r>
        <w:rPr>
          <w:b w:val="0"/>
          <w:i/>
        </w:rPr>
        <w:t>retulimus</w:t>
      </w:r>
      <w:r>
        <w:rPr>
          <w:b w:val="0"/>
          <w:i w:val="0"/>
        </w:rPr>
        <w:t>.</w:t>
      </w:r>
    </w:p>
    <w:p>
      <w:pPr>
        <w:widowControl/>
      </w:pPr>
      <w:r>
        <w:rPr>
          <w:b w:val="0"/>
          <w:i w:val="0"/>
        </w:rPr>
        <w:t xml:space="preserve">Trace back or refer to a source. Dependent stability is referred to God, whereas dependent mobility is referred to soul; the property being traced must be specified. References: </w:t>
      </w:r>
      <w:hyperlink w:anchor="passage-iii-1-22">
        <w:r>
          <w:rPr>
            <w:color w:val="000000"/>
          </w:rPr>
          <w:t xml:space="preserve">III.1.22</w:t>
        </w:r>
      </w:hyperlink>
      <w:r>
        <w:rPr>
          <w:b w:val="0"/>
          <w:i w:val="0"/>
        </w:rPr>
        <w:t xml:space="preserve">, </w:t>
      </w:r>
      <w:hyperlink w:anchor="passage-iii-1-23">
        <w:r>
          <w:rPr>
            <w:color w:val="000000"/>
          </w:rPr>
          <w:t xml:space="preserve">III.1.23</w:t>
        </w:r>
      </w:hyperlink>
      <w:r>
        <w:rPr>
          <w:b w:val="0"/>
          <w:i w:val="0"/>
        </w:rPr>
        <w:t xml:space="preserve">. See </w:t>
      </w:r>
      <w:hyperlink w:anchor="through-itself-and-through-another">
        <w:r>
          <w:rPr>
            <w:color w:val="000000"/>
          </w:rPr>
          <w:t xml:space="preserve">Through itself and through another</w:t>
        </w:r>
      </w:hyperlink>
      <w:r>
        <w:rPr>
          <w:b w:val="0"/>
          <w:i w:val="0"/>
        </w:rPr>
        <w:t>.</w:t>
      </w:r>
    </w:p>
    <w:p>
      <w:pPr>
        <w:widowControl/>
      </w:pPr>
      <w:r>
        <w:rPr>
          <w:b w:val="0"/>
          <w:i w:val="0"/>
        </w:rPr>
        <w:t xml:space="preserve">To lead back or refer to a higher explanatory source. A derivative property requires a primary bearer, and subordinate souls are ordered under sphere-souls and world-soul. References: </w:t>
      </w:r>
      <w:hyperlink w:anchor="passage-iv-1-50">
        <w:r>
          <w:rPr>
            <w:color w:val="000000"/>
          </w:rPr>
          <w:t xml:space="preserve">IV.1.50</w:t>
        </w:r>
      </w:hyperlink>
      <w:r>
        <w:rPr>
          <w:b w:val="0"/>
          <w:i w:val="0"/>
        </w:rPr>
        <w:t xml:space="preserve">, </w:t>
      </w:r>
      <w:hyperlink w:anchor="passage-iv-1-53">
        <w:r>
          <w:rPr>
            <w:color w:val="000000"/>
          </w:rPr>
          <w:t xml:space="preserve">IV.1.53</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1287" w:name="latin-record-1036"/>
      <w:bookmarkEnd w:id="1287"/>
      <w:r>
        <w:rPr>
          <w:b/>
          <w:i w:val="0"/>
        </w:rPr>
        <w:t>reflectere</w:t>
      </w:r>
      <w:r>
        <w:rPr>
          <w:b/>
          <w:i w:val="0"/>
        </w:rPr>
        <w:t>.</w:t>
      </w:r>
      <w:r>
        <w:rPr>
          <w:b w:val="0"/>
          <w:i w:val="0"/>
        </w:rPr>
        <w:t xml:space="preserve"> Printed forms: </w:t>
      </w:r>
      <w:r>
        <w:rPr>
          <w:b w:val="0"/>
          <w:i/>
        </w:rPr>
        <w:t>reflectendae</w:t>
      </w:r>
      <w:r>
        <w:rPr>
          <w:b w:val="0"/>
          <w:i w:val="0"/>
        </w:rPr>
        <w:t xml:space="preserve">; </w:t>
      </w:r>
      <w:r>
        <w:rPr>
          <w:b w:val="0"/>
          <w:i/>
        </w:rPr>
        <w:t>reflecti</w:t>
      </w:r>
      <w:r>
        <w:rPr>
          <w:b w:val="0"/>
          <w:i w:val="0"/>
        </w:rPr>
        <w:t>.</w:t>
      </w:r>
    </w:p>
    <w:p>
      <w:pPr>
        <w:widowControl/>
      </w:pPr>
      <w:r>
        <w:rPr>
          <w:b w:val="0"/>
          <w:i w:val="0"/>
        </w:rPr>
        <w:t xml:space="preserve">To turn back upon itself. A spatially extended quality allegedly lacks the self-return needed to give heaven a revolution into itself. References: </w:t>
      </w:r>
      <w:hyperlink w:anchor="passage-iv-1-57">
        <w:r>
          <w:rPr>
            <w:color w:val="000000"/>
          </w:rPr>
          <w:t xml:space="preserve">IV.1.57</w:t>
        </w:r>
      </w:hyperlink>
      <w:r>
        <w:rPr>
          <w:b w:val="0"/>
          <w:i w:val="0"/>
        </w:rPr>
        <w:t xml:space="preserve">. See </w:t>
      </w:r>
      <w:hyperlink w:anchor="circularity-and-return">
        <w:r>
          <w:rPr>
            <w:color w:val="000000"/>
          </w:rPr>
          <w:t xml:space="preserve">Circularity and return</w:t>
        </w:r>
      </w:hyperlink>
      <w:r>
        <w:rPr>
          <w:b w:val="0"/>
          <w:i w:val="0"/>
        </w:rPr>
        <w:t>.</w:t>
      </w:r>
    </w:p>
    <w:p>
      <w:pPr>
        <w:keepNext/>
        <w:widowControl/>
      </w:pPr>
      <w:bookmarkStart w:id="1288" w:name="latin-record-1037"/>
      <w:bookmarkEnd w:id="1288"/>
      <w:r>
        <w:rPr>
          <w:b/>
          <w:i w:val="0"/>
        </w:rPr>
        <w:t>reformare / restituere</w:t>
      </w:r>
      <w:r>
        <w:rPr>
          <w:b/>
          <w:i w:val="0"/>
        </w:rPr>
        <w:t>.</w:t>
      </w:r>
      <w:r>
        <w:rPr>
          <w:b w:val="0"/>
          <w:i w:val="0"/>
        </w:rPr>
        <w:t xml:space="preserve"> Printed forms: </w:t>
      </w:r>
      <w:r>
        <w:rPr>
          <w:b w:val="0"/>
          <w:i/>
        </w:rPr>
        <w:t>reformantur</w:t>
      </w:r>
      <w:r>
        <w:rPr>
          <w:b w:val="0"/>
          <w:i w:val="0"/>
        </w:rPr>
        <w:t xml:space="preserve">; </w:t>
      </w:r>
      <w:r>
        <w:rPr>
          <w:b w:val="0"/>
          <w:i/>
        </w:rPr>
        <w:t>restitutio</w:t>
      </w:r>
      <w:r>
        <w:rPr>
          <w:b w:val="0"/>
          <w:i w:val="0"/>
        </w:rPr>
        <w:t xml:space="preserve">; </w:t>
      </w:r>
      <w:r>
        <w:rPr>
          <w:b w:val="0"/>
          <w:i/>
        </w:rPr>
        <w:t>restituuntur</w:t>
      </w:r>
      <w:r>
        <w:rPr>
          <w:b w:val="0"/>
          <w:i w:val="0"/>
        </w:rPr>
        <w:t>.</w:t>
      </w:r>
    </w:p>
    <w:p>
      <w:pPr>
        <w:widowControl/>
      </w:pPr>
      <w:r>
        <w:rPr>
          <w:b w:val="0"/>
          <w:i w:val="0"/>
        </w:rPr>
        <w:t xml:space="preserve">To form anew and restore to an origin or order. Returning effects are re-formed through truth and restored into one through unity. References: </w:t>
      </w:r>
      <w:hyperlink w:anchor="passage-ii-3-8">
        <w:r>
          <w:rPr>
            <w:color w:val="000000"/>
          </w:rPr>
          <w:t xml:space="preserve">II.3.8</w:t>
        </w:r>
      </w:hyperlink>
      <w:r>
        <w:rPr>
          <w:b w:val="0"/>
          <w:i w:val="0"/>
        </w:rPr>
        <w:t xml:space="preserve">, </w:t>
      </w:r>
      <w:hyperlink w:anchor="passage-ii-3-10">
        <w:r>
          <w:rPr>
            <w:color w:val="000000"/>
          </w:rPr>
          <w:t xml:space="preserve">II.3.10</w:t>
        </w:r>
      </w:hyperlink>
      <w:r>
        <w:rPr>
          <w:b w:val="0"/>
          <w:i w:val="0"/>
        </w:rPr>
        <w:t xml:space="preserve">. See </w:t>
      </w:r>
      <w:hyperlink w:anchor="procession-and-return">
        <w:r>
          <w:rPr>
            <w:color w:val="000000"/>
          </w:rPr>
          <w:t xml:space="preserve">Procession and return</w:t>
        </w:r>
      </w:hyperlink>
      <w:r>
        <w:rPr>
          <w:b w:val="0"/>
          <w:i w:val="0"/>
        </w:rPr>
        <w:t>.</w:t>
      </w:r>
    </w:p>
    <w:p>
      <w:pPr>
        <w:keepNext/>
        <w:widowControl/>
      </w:pPr>
      <w:bookmarkStart w:id="1289" w:name="latin-record-1038"/>
      <w:bookmarkEnd w:id="1289"/>
      <w:r>
        <w:rPr>
          <w:b/>
          <w:i w:val="0"/>
        </w:rPr>
        <w:t>regina / pedisequa</w:t>
      </w:r>
      <w:r>
        <w:rPr>
          <w:b/>
          <w:i w:val="0"/>
        </w:rPr>
        <w:t>.</w:t>
      </w:r>
      <w:r>
        <w:rPr>
          <w:b w:val="0"/>
          <w:i w:val="0"/>
        </w:rPr>
        <w:t xml:space="preserve"> Printed forms: </w:t>
      </w:r>
      <w:r>
        <w:rPr>
          <w:b w:val="0"/>
          <w:i/>
        </w:rPr>
        <w:t>pedisequa</w:t>
      </w:r>
      <w:r>
        <w:rPr>
          <w:b w:val="0"/>
          <w:i w:val="0"/>
        </w:rPr>
        <w:t xml:space="preserve">; </w:t>
      </w:r>
      <w:r>
        <w:rPr>
          <w:b w:val="0"/>
          <w:i/>
        </w:rPr>
        <w:t>regina</w:t>
      </w:r>
      <w:r>
        <w:rPr>
          <w:b w:val="0"/>
          <w:i w:val="0"/>
        </w:rPr>
        <w:t>.</w:t>
      </w:r>
    </w:p>
    <w:p>
      <w:pPr>
        <w:widowControl/>
      </w:pPr>
      <w:r>
        <w:rPr>
          <w:b w:val="0"/>
          <w:i w:val="0"/>
        </w:rPr>
        <w:t xml:space="preserve">Queen / handmaid or attendant. The life governing the world is either God or God’s handmaid; subordinate governance still supports divine providence in the argument. References: </w:t>
      </w:r>
      <w:hyperlink w:anchor="passage-ii-13-20">
        <w:r>
          <w:rPr>
            <w:color w:val="000000"/>
          </w:rPr>
          <w:t xml:space="preserve">II.13.20</w:t>
        </w:r>
      </w:hyperlink>
      <w:r>
        <w:rPr>
          <w:b w:val="0"/>
          <w:i w:val="0"/>
        </w:rPr>
        <w:t xml:space="preserve">. See </w:t>
      </w:r>
      <w:hyperlink w:anchor="world-soul">
        <w:r>
          <w:rPr>
            <w:color w:val="000000"/>
          </w:rPr>
          <w:t xml:space="preserve">World soul</w:t>
        </w:r>
      </w:hyperlink>
      <w:r>
        <w:rPr>
          <w:b w:val="0"/>
          <w:i w:val="0"/>
        </w:rPr>
        <w:t>.</w:t>
      </w:r>
    </w:p>
    <w:p>
      <w:pPr>
        <w:keepNext/>
        <w:widowControl/>
      </w:pPr>
      <w:bookmarkStart w:id="1290" w:name="latin-record-1039"/>
      <w:bookmarkEnd w:id="1290"/>
      <w:r>
        <w:rPr>
          <w:b/>
          <w:i w:val="0"/>
        </w:rPr>
        <w:t>regula</w:t>
      </w:r>
      <w:r>
        <w:rPr>
          <w:b/>
          <w:i w:val="0"/>
        </w:rPr>
        <w:t>.</w:t>
      </w:r>
      <w:r>
        <w:rPr>
          <w:b w:val="0"/>
          <w:i w:val="0"/>
        </w:rPr>
        <w:t xml:space="preserve"> Printed forms: </w:t>
      </w:r>
      <w:r>
        <w:rPr>
          <w:b w:val="0"/>
          <w:i/>
        </w:rPr>
        <w:t>regula</w:t>
      </w:r>
      <w:r>
        <w:rPr>
          <w:b w:val="0"/>
          <w:i w:val="0"/>
        </w:rPr>
        <w:t>.</w:t>
      </w:r>
    </w:p>
    <w:p>
      <w:pPr>
        <w:widowControl/>
      </w:pPr>
      <w:r>
        <w:rPr>
          <w:b w:val="0"/>
          <w:i w:val="0"/>
        </w:rPr>
        <w:t xml:space="preserve">Rule or ordering standard. God is presented as the very rule that orders things, so cannot himself receive his manner of being from chance. References: </w:t>
      </w:r>
      <w:hyperlink w:anchor="passage-ii-12-3">
        <w:r>
          <w:rPr>
            <w:color w:val="000000"/>
          </w:rPr>
          <w:t xml:space="preserve">II.12.3</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1291" w:name="latin-record-1040"/>
      <w:bookmarkEnd w:id="1291"/>
      <w:r>
        <w:rPr>
          <w:b/>
          <w:i w:val="0"/>
        </w:rPr>
        <w:t>remissior / vehemens</w:t>
      </w:r>
      <w:r>
        <w:rPr>
          <w:b/>
          <w:i w:val="0"/>
        </w:rPr>
        <w:t>.</w:t>
      </w:r>
      <w:r>
        <w:rPr>
          <w:b w:val="0"/>
          <w:i w:val="0"/>
        </w:rPr>
        <w:t xml:space="preserve"> Printed forms: </w:t>
      </w:r>
      <w:r>
        <w:rPr>
          <w:b w:val="0"/>
          <w:i/>
        </w:rPr>
        <w:t>remissior</w:t>
      </w:r>
      <w:r>
        <w:rPr>
          <w:b w:val="0"/>
          <w:i w:val="0"/>
        </w:rPr>
        <w:t xml:space="preserve">; </w:t>
      </w:r>
      <w:r>
        <w:rPr>
          <w:b w:val="0"/>
          <w:i/>
        </w:rPr>
        <w:t>vehemens</w:t>
      </w:r>
      <w:r>
        <w:rPr>
          <w:b w:val="0"/>
          <w:i w:val="0"/>
        </w:rPr>
        <w:t xml:space="preserve">; </w:t>
      </w:r>
      <w:r>
        <w:rPr>
          <w:b w:val="0"/>
          <w:i/>
        </w:rPr>
        <w:t>vehementior</w:t>
      </w:r>
      <w:r>
        <w:rPr>
          <w:b w:val="0"/>
          <w:i w:val="0"/>
        </w:rPr>
        <w:t>.</w:t>
      </w:r>
    </w:p>
    <w:p>
      <w:pPr>
        <w:widowControl/>
      </w:pPr>
      <w:r>
        <w:rPr>
          <w:b w:val="0"/>
          <w:i w:val="0"/>
        </w:rPr>
        <w:t xml:space="preserve">Weaker in intensity, more forceful and forceful. Intensity is contrasted with rapidity and instantaneous completion in the threefold action argument; a stronger action is not automatically faster in every respect. References: </w:t>
      </w:r>
      <w:hyperlink w:anchor="passage-i-2-4">
        <w:r>
          <w:rPr>
            <w:color w:val="000000"/>
          </w:rPr>
          <w:t xml:space="preserve">I.2.4</w:t>
        </w:r>
      </w:hyperlink>
      <w:r>
        <w:rPr>
          <w:b w:val="0"/>
          <w:i w:val="0"/>
        </w:rPr>
        <w:t xml:space="preserve">. See </w:t>
      </w:r>
      <w:hyperlink w:anchor="measure-and-degree">
        <w:r>
          <w:rPr>
            <w:color w:val="000000"/>
          </w:rPr>
          <w:t xml:space="preserve">Measure and degree</w:t>
        </w:r>
      </w:hyperlink>
      <w:r>
        <w:rPr>
          <w:b w:val="0"/>
          <w:i w:val="0"/>
        </w:rPr>
        <w:t>.</w:t>
      </w:r>
    </w:p>
    <w:p>
      <w:pPr>
        <w:keepNext/>
        <w:widowControl/>
      </w:pPr>
      <w:bookmarkStart w:id="1292" w:name="latin-record-1041"/>
      <w:bookmarkEnd w:id="1292"/>
      <w:r>
        <w:rPr>
          <w:b/>
          <w:i w:val="0"/>
        </w:rPr>
        <w:t>reor / fides</w:t>
      </w:r>
      <w:r>
        <w:rPr>
          <w:b/>
          <w:i w:val="0"/>
        </w:rPr>
        <w:t>.</w:t>
      </w:r>
      <w:r>
        <w:rPr>
          <w:b w:val="0"/>
          <w:i w:val="0"/>
        </w:rPr>
        <w:t xml:space="preserve"> Printed forms: </w:t>
      </w:r>
      <w:r>
        <w:rPr>
          <w:b w:val="0"/>
          <w:i/>
        </w:rPr>
        <w:t>fides</w:t>
      </w:r>
      <w:r>
        <w:rPr>
          <w:b w:val="0"/>
          <w:i w:val="0"/>
        </w:rPr>
        <w:t xml:space="preserve">; </w:t>
      </w:r>
      <w:r>
        <w:rPr>
          <w:b w:val="0"/>
          <w:i/>
        </w:rPr>
        <w:t>reor</w:t>
      </w:r>
      <w:r>
        <w:rPr>
          <w:b w:val="0"/>
          <w:i w:val="0"/>
        </w:rPr>
        <w:t>.</w:t>
      </w:r>
    </w:p>
    <w:p>
      <w:pPr>
        <w:widowControl/>
      </w:pPr>
      <w:r>
        <w:rPr>
          <w:b w:val="0"/>
          <w:i w:val="0"/>
        </w:rPr>
        <w:t xml:space="preserve">A judgement of belief, accompanied here by confidence or faith. Ficino’s </w:t>
      </w:r>
      <w:r>
        <w:t>“</w:t>
      </w:r>
      <w:r>
        <w:rPr>
          <w:b w:val="0"/>
          <w:i w:val="0"/>
        </w:rPr>
        <w:t>I believe</w:t>
      </w:r>
      <w:r>
        <w:t>”</w:t>
      </w:r>
      <w:r>
        <w:rPr>
          <w:b w:val="0"/>
          <w:i w:val="0"/>
        </w:rPr>
        <w:t xml:space="preserve"> and </w:t>
      </w:r>
      <w:r>
        <w:t>“</w:t>
      </w:r>
      <w:r>
        <w:rPr>
          <w:b w:val="0"/>
          <w:i w:val="0"/>
        </w:rPr>
        <w:t>this faith is not vain</w:t>
      </w:r>
      <w:r>
        <w:t>”</w:t>
      </w:r>
      <w:r>
        <w:rPr>
          <w:b w:val="0"/>
          <w:i w:val="0"/>
        </w:rPr>
        <w:t xml:space="preserve"> assert confidence in a providential purpose rather than introduce an independently demonstrated decree. References: </w:t>
      </w:r>
      <w:hyperlink w:anchor="passage-proem-8">
        <w:r>
          <w:rPr>
            <w:color w:val="000000"/>
          </w:rPr>
          <w:t xml:space="preserve">Proem.8</w:t>
        </w:r>
      </w:hyperlink>
      <w:r>
        <w:rPr>
          <w:b w:val="0"/>
          <w:i w:val="0"/>
        </w:rPr>
        <w:t xml:space="preserve">. See </w:t>
      </w:r>
      <w:hyperlink w:anchor="assent-approval-and-belief">
        <w:r>
          <w:rPr>
            <w:color w:val="000000"/>
          </w:rPr>
          <w:t xml:space="preserve">Assent, approval and belief</w:t>
        </w:r>
      </w:hyperlink>
      <w:r>
        <w:rPr>
          <w:b w:val="0"/>
          <w:i w:val="0"/>
        </w:rPr>
        <w:t>.</w:t>
      </w:r>
    </w:p>
    <w:p>
      <w:pPr>
        <w:keepNext/>
        <w:widowControl/>
      </w:pPr>
      <w:bookmarkStart w:id="1293" w:name="latin-record-1042"/>
      <w:bookmarkEnd w:id="1293"/>
      <w:r>
        <w:rPr>
          <w:b/>
          <w:i w:val="0"/>
        </w:rPr>
        <w:t>reperio / insum</w:t>
      </w:r>
      <w:r>
        <w:rPr>
          <w:b/>
          <w:i w:val="0"/>
        </w:rPr>
        <w:t>.</w:t>
      </w:r>
      <w:r>
        <w:rPr>
          <w:b w:val="0"/>
          <w:i w:val="0"/>
        </w:rPr>
        <w:t xml:space="preserve"> Printed forms: </w:t>
      </w:r>
      <w:r>
        <w:rPr>
          <w:b w:val="0"/>
          <w:i/>
        </w:rPr>
        <w:t>Insunt</w:t>
      </w:r>
      <w:r>
        <w:rPr>
          <w:b w:val="0"/>
          <w:i w:val="0"/>
        </w:rPr>
        <w:t xml:space="preserve">; </w:t>
      </w:r>
      <w:r>
        <w:rPr>
          <w:b w:val="0"/>
          <w:i/>
        </w:rPr>
        <w:t>reperitur</w:t>
      </w:r>
      <w:r>
        <w:rPr>
          <w:b w:val="0"/>
          <w:i w:val="0"/>
        </w:rPr>
        <w:t xml:space="preserve">; </w:t>
      </w:r>
      <w:r>
        <w:rPr>
          <w:b w:val="0"/>
          <w:i/>
        </w:rPr>
        <w:t>reperiuntur</w:t>
      </w:r>
      <w:r>
        <w:rPr>
          <w:b w:val="0"/>
          <w:i w:val="0"/>
        </w:rPr>
        <w:t>.</w:t>
      </w:r>
    </w:p>
    <w:p>
      <w:pPr>
        <w:widowControl/>
      </w:pPr>
      <w:r>
        <w:rPr>
          <w:b w:val="0"/>
          <w:i w:val="0"/>
        </w:rPr>
        <w:t xml:space="preserve">To find and to be present within. Qualities coexist throughout honey, unextended qualities are said to occur in mathematical items, and a higher form is argued to have a place in reality. References: </w:t>
      </w:r>
      <w:hyperlink w:anchor="passage-i-2-15">
        <w:r>
          <w:rPr>
            <w:color w:val="000000"/>
          </w:rPr>
          <w:t xml:space="preserve">I.2.15</w:t>
        </w:r>
      </w:hyperlink>
      <w:r>
        <w:rPr>
          <w:b w:val="0"/>
          <w:i w:val="0"/>
        </w:rPr>
        <w:t xml:space="preserve">, </w:t>
      </w:r>
      <w:hyperlink w:anchor="passage-i-2-16">
        <w:r>
          <w:rPr>
            <w:color w:val="000000"/>
          </w:rPr>
          <w:t xml:space="preserve">I.2.16</w:t>
        </w:r>
      </w:hyperlink>
      <w:r>
        <w:rPr>
          <w:b w:val="0"/>
          <w:i w:val="0"/>
        </w:rPr>
        <w:t xml:space="preserve">, </w:t>
      </w:r>
      <w:hyperlink w:anchor="passage-i-3-2">
        <w:r>
          <w:rPr>
            <w:color w:val="000000"/>
          </w:rPr>
          <w:t xml:space="preserve">I.3.2</w:t>
        </w:r>
      </w:hyperlink>
      <w:r>
        <w:rPr>
          <w:b w:val="0"/>
          <w:i w:val="0"/>
        </w:rPr>
        <w:t xml:space="preserve">. See </w:t>
      </w:r>
      <w:hyperlink w:anchor="indwelling-and-presence">
        <w:r>
          <w:rPr>
            <w:color w:val="000000"/>
          </w:rPr>
          <w:t xml:space="preserve">Indwelling and presence</w:t>
        </w:r>
      </w:hyperlink>
      <w:r>
        <w:rPr>
          <w:b w:val="0"/>
          <w:i w:val="0"/>
        </w:rPr>
        <w:t>.</w:t>
      </w:r>
    </w:p>
    <w:p>
      <w:pPr>
        <w:keepNext/>
        <w:widowControl/>
      </w:pPr>
      <w:bookmarkStart w:id="1294" w:name="latin-record-1043"/>
      <w:bookmarkEnd w:id="1294"/>
      <w:r>
        <w:rPr>
          <w:b/>
          <w:i w:val="0"/>
        </w:rPr>
        <w:t>reperire / invenire</w:t>
      </w:r>
      <w:r>
        <w:rPr>
          <w:b/>
          <w:i w:val="0"/>
        </w:rPr>
        <w:t>.</w:t>
      </w:r>
      <w:r>
        <w:rPr>
          <w:b w:val="0"/>
          <w:i w:val="0"/>
        </w:rPr>
        <w:t xml:space="preserve"> Printed forms: </w:t>
      </w:r>
      <w:r>
        <w:rPr>
          <w:b w:val="0"/>
          <w:i/>
        </w:rPr>
        <w:t>inveniretur</w:t>
      </w:r>
      <w:r>
        <w:rPr>
          <w:b w:val="0"/>
          <w:i w:val="0"/>
        </w:rPr>
        <w:t xml:space="preserve">; </w:t>
      </w:r>
      <w:r>
        <w:rPr>
          <w:b w:val="0"/>
          <w:i/>
        </w:rPr>
        <w:t>reperitur</w:t>
      </w:r>
      <w:r>
        <w:rPr>
          <w:b w:val="0"/>
          <w:i w:val="0"/>
        </w:rPr>
        <w:t xml:space="preserve">; </w:t>
      </w:r>
      <w:r>
        <w:rPr>
          <w:b w:val="0"/>
          <w:i/>
        </w:rPr>
        <w:t>reperiuntur</w:t>
      </w:r>
      <w:r>
        <w:rPr>
          <w:b w:val="0"/>
          <w:i w:val="0"/>
        </w:rPr>
        <w:t>.</w:t>
      </w:r>
    </w:p>
    <w:p>
      <w:pPr>
        <w:widowControl/>
      </w:pPr>
      <w:r>
        <w:rPr>
          <w:b w:val="0"/>
          <w:i w:val="0"/>
        </w:rPr>
        <w:t xml:space="preserve">To find or discover, in intellectual inquiry or presence. The difficulty of finding where God is arises from lack of containment, not from evidence of absence. References: </w:t>
      </w:r>
      <w:hyperlink w:anchor="passage-ii-1-2">
        <w:r>
          <w:rPr>
            <w:color w:val="000000"/>
          </w:rPr>
          <w:t xml:space="preserve">II.1.2</w:t>
        </w:r>
      </w:hyperlink>
      <w:r>
        <w:rPr>
          <w:b w:val="0"/>
          <w:i w:val="0"/>
        </w:rPr>
        <w:t xml:space="preserve">, </w:t>
      </w:r>
      <w:hyperlink w:anchor="passage-ii-4-4">
        <w:r>
          <w:rPr>
            <w:color w:val="000000"/>
          </w:rPr>
          <w:t xml:space="preserve">II.4.4</w:t>
        </w:r>
      </w:hyperlink>
      <w:r>
        <w:rPr>
          <w:b w:val="0"/>
          <w:i w:val="0"/>
        </w:rPr>
        <w:t xml:space="preserve">, </w:t>
      </w:r>
      <w:hyperlink w:anchor="passage-ii-6-8">
        <w:r>
          <w:rPr>
            <w:color w:val="000000"/>
          </w:rPr>
          <w:t xml:space="preserve">II.6.8</w:t>
        </w:r>
      </w:hyperlink>
      <w:r>
        <w:rPr>
          <w:b w:val="0"/>
          <w:i w:val="0"/>
        </w:rPr>
        <w:t xml:space="preserve">, </w:t>
      </w:r>
      <w:hyperlink w:anchor="passage-ii-6-12">
        <w:r>
          <w:rPr>
            <w:color w:val="000000"/>
          </w:rPr>
          <w:t xml:space="preserve">II.6.12</w:t>
        </w:r>
      </w:hyperlink>
      <w:r>
        <w:rPr>
          <w:b w:val="0"/>
          <w:i w:val="0"/>
        </w:rPr>
        <w:t xml:space="preserve">. See </w:t>
      </w:r>
      <w:hyperlink w:anchor="omnipresence-and-place">
        <w:r>
          <w:rPr>
            <w:color w:val="000000"/>
          </w:rPr>
          <w:t xml:space="preserve">Omnipresence and place</w:t>
        </w:r>
      </w:hyperlink>
      <w:r>
        <w:rPr>
          <w:b w:val="0"/>
          <w:i w:val="0"/>
        </w:rPr>
        <w:t>.</w:t>
      </w:r>
    </w:p>
    <w:p>
      <w:pPr>
        <w:keepNext/>
        <w:widowControl/>
      </w:pPr>
      <w:bookmarkStart w:id="1295" w:name="latin-record-1044"/>
      <w:bookmarkEnd w:id="1295"/>
      <w:r>
        <w:rPr>
          <w:b/>
          <w:i w:val="0"/>
        </w:rPr>
        <w:t>repetere / reflectere</w:t>
      </w:r>
      <w:r>
        <w:rPr>
          <w:b/>
          <w:i w:val="0"/>
        </w:rPr>
        <w:t>.</w:t>
      </w:r>
      <w:r>
        <w:rPr>
          <w:b w:val="0"/>
          <w:i w:val="0"/>
        </w:rPr>
        <w:t xml:space="preserve"> Printed forms: </w:t>
      </w:r>
      <w:r>
        <w:rPr>
          <w:b w:val="0"/>
          <w:i/>
        </w:rPr>
        <w:t>reflectatur</w:t>
      </w:r>
      <w:r>
        <w:rPr>
          <w:b w:val="0"/>
          <w:i w:val="0"/>
        </w:rPr>
        <w:t xml:space="preserve">; </w:t>
      </w:r>
      <w:r>
        <w:rPr>
          <w:b w:val="0"/>
          <w:i/>
        </w:rPr>
        <w:t>repetit</w:t>
      </w:r>
      <w:r>
        <w:rPr>
          <w:b w:val="0"/>
          <w:i w:val="0"/>
        </w:rPr>
        <w:t>.</w:t>
      </w:r>
    </w:p>
    <w:p>
      <w:pPr>
        <w:widowControl/>
      </w:pPr>
      <w:r>
        <w:rPr>
          <w:b w:val="0"/>
          <w:i w:val="0"/>
        </w:rPr>
        <w:t xml:space="preserve">Repeat or seek again / bend back. A circuit repeats its course, and soul’s movement returns into itself rather than exhausting a one-way path. References: </w:t>
      </w:r>
      <w:hyperlink w:anchor="passage-iii-2-26">
        <w:r>
          <w:rPr>
            <w:color w:val="000000"/>
          </w:rPr>
          <w:t xml:space="preserve">III.2.26</w:t>
        </w:r>
      </w:hyperlink>
      <w:r>
        <w:rPr>
          <w:b w:val="0"/>
          <w:i w:val="0"/>
        </w:rPr>
        <w:t xml:space="preserve">. See </w:t>
      </w:r>
      <w:hyperlink w:anchor="circularity-and-return">
        <w:r>
          <w:rPr>
            <w:color w:val="000000"/>
          </w:rPr>
          <w:t xml:space="preserve">Circularity and return</w:t>
        </w:r>
      </w:hyperlink>
      <w:r>
        <w:rPr>
          <w:b w:val="0"/>
          <w:i w:val="0"/>
        </w:rPr>
        <w:t>.</w:t>
      </w:r>
    </w:p>
    <w:p>
      <w:pPr>
        <w:keepNext/>
        <w:widowControl/>
      </w:pPr>
      <w:bookmarkStart w:id="1296" w:name="latin-record-1045"/>
      <w:bookmarkEnd w:id="1296"/>
      <w:r>
        <w:rPr>
          <w:b/>
          <w:i w:val="0"/>
        </w:rPr>
        <w:t>repetere / revocare</w:t>
      </w:r>
      <w:r>
        <w:rPr>
          <w:b/>
          <w:i w:val="0"/>
        </w:rPr>
        <w:t>.</w:t>
      </w:r>
      <w:r>
        <w:rPr>
          <w:b w:val="0"/>
          <w:i w:val="0"/>
        </w:rPr>
        <w:t xml:space="preserve"> Printed forms: </w:t>
      </w:r>
      <w:r>
        <w:rPr>
          <w:b w:val="0"/>
          <w:i/>
        </w:rPr>
        <w:t>repetunt</w:t>
      </w:r>
      <w:r>
        <w:rPr>
          <w:b w:val="0"/>
          <w:i w:val="0"/>
        </w:rPr>
        <w:t xml:space="preserve">; </w:t>
      </w:r>
      <w:r>
        <w:rPr>
          <w:b w:val="0"/>
          <w:i/>
        </w:rPr>
        <w:t>revocando</w:t>
      </w:r>
      <w:r>
        <w:rPr>
          <w:b w:val="0"/>
          <w:i w:val="0"/>
        </w:rPr>
        <w:t>.</w:t>
      </w:r>
    </w:p>
    <w:p>
      <w:pPr>
        <w:widowControl/>
      </w:pPr>
      <w:r>
        <w:rPr>
          <w:b w:val="0"/>
          <w:i w:val="0"/>
        </w:rPr>
        <w:t xml:space="preserve">To seek again or return to; to call back toward a source. Desire repeats the movement toward origin, while goodness recalls produced things and perfects them. References: </w:t>
      </w:r>
      <w:hyperlink w:anchor="passage-ii-1-2">
        <w:r>
          <w:rPr>
            <w:color w:val="000000"/>
          </w:rPr>
          <w:t xml:space="preserve">II.1.2</w:t>
        </w:r>
      </w:hyperlink>
      <w:r>
        <w:rPr>
          <w:b w:val="0"/>
          <w:i w:val="0"/>
        </w:rPr>
        <w:t xml:space="preserve">, </w:t>
      </w:r>
      <w:hyperlink w:anchor="passage-ii-3-10">
        <w:r>
          <w:rPr>
            <w:color w:val="000000"/>
          </w:rPr>
          <w:t xml:space="preserve">II.3.10</w:t>
        </w:r>
      </w:hyperlink>
      <w:r>
        <w:rPr>
          <w:b w:val="0"/>
          <w:i w:val="0"/>
        </w:rPr>
        <w:t xml:space="preserve">, </w:t>
      </w:r>
      <w:hyperlink w:anchor="passage-ii-7-4">
        <w:r>
          <w:rPr>
            <w:color w:val="000000"/>
          </w:rPr>
          <w:t xml:space="preserve">II.7.4</w:t>
        </w:r>
      </w:hyperlink>
      <w:r>
        <w:rPr>
          <w:b w:val="0"/>
          <w:i w:val="0"/>
        </w:rPr>
        <w:t xml:space="preserve">. See </w:t>
      </w:r>
      <w:hyperlink w:anchor="procession-and-return">
        <w:r>
          <w:rPr>
            <w:color w:val="000000"/>
          </w:rPr>
          <w:t xml:space="preserve">Procession and return</w:t>
        </w:r>
      </w:hyperlink>
      <w:r>
        <w:rPr>
          <w:b w:val="0"/>
          <w:i w:val="0"/>
        </w:rPr>
        <w:t>.</w:t>
      </w:r>
    </w:p>
    <w:p>
      <w:pPr>
        <w:keepNext/>
        <w:widowControl/>
      </w:pPr>
      <w:bookmarkStart w:id="1297" w:name="latin-record-1046"/>
      <w:bookmarkEnd w:id="1297"/>
      <w:r>
        <w:rPr>
          <w:b/>
          <w:i w:val="0"/>
        </w:rPr>
        <w:t>replicare / explicare</w:t>
      </w:r>
      <w:r>
        <w:rPr>
          <w:b/>
          <w:i w:val="0"/>
        </w:rPr>
        <w:t>.</w:t>
      </w:r>
      <w:r>
        <w:rPr>
          <w:b w:val="0"/>
          <w:i w:val="0"/>
        </w:rPr>
        <w:t xml:space="preserve"> Printed forms: </w:t>
      </w:r>
      <w:r>
        <w:rPr>
          <w:b w:val="0"/>
          <w:i/>
        </w:rPr>
        <w:t>explicat</w:t>
      </w:r>
      <w:r>
        <w:rPr>
          <w:b w:val="0"/>
          <w:i w:val="0"/>
        </w:rPr>
        <w:t xml:space="preserve">; </w:t>
      </w:r>
      <w:r>
        <w:rPr>
          <w:b w:val="0"/>
          <w:i/>
        </w:rPr>
        <w:t>replicat</w:t>
      </w:r>
      <w:r>
        <w:rPr>
          <w:b w:val="0"/>
          <w:i w:val="0"/>
        </w:rPr>
        <w:t>.</w:t>
      </w:r>
    </w:p>
    <w:p>
      <w:pPr>
        <w:widowControl/>
      </w:pPr>
      <w:r>
        <w:rPr>
          <w:b w:val="0"/>
          <w:i w:val="0"/>
        </w:rPr>
        <w:t xml:space="preserve">Fold inward or back / unfold outward. Seeing gathers forms inward; willing unfolds them outward. Soul later refolds its powers upward after unfolding them downward. References: </w:t>
      </w:r>
      <w:hyperlink w:anchor="passage-ii-11-30">
        <w:r>
          <w:rPr>
            <w:color w:val="000000"/>
          </w:rPr>
          <w:t xml:space="preserve">II.11.30</w:t>
        </w:r>
      </w:hyperlink>
      <w:r>
        <w:rPr>
          <w:b w:val="0"/>
          <w:i w:val="0"/>
        </w:rPr>
        <w:t xml:space="preserve">, </w:t>
      </w:r>
      <w:hyperlink w:anchor="passage-iii-2-27">
        <w:r>
          <w:rPr>
            <w:color w:val="000000"/>
          </w:rPr>
          <w:t xml:space="preserve">III.2.27</w:t>
        </w:r>
      </w:hyperlink>
      <w:r>
        <w:rPr>
          <w:b w:val="0"/>
          <w:i w:val="0"/>
        </w:rPr>
        <w:t xml:space="preserve">, </w:t>
      </w:r>
      <w:hyperlink w:anchor="passage-iii-2-28">
        <w:r>
          <w:rPr>
            <w:color w:val="000000"/>
          </w:rPr>
          <w:t xml:space="preserve">III.2.28</w:t>
        </w:r>
      </w:hyperlink>
      <w:r>
        <w:rPr>
          <w:b w:val="0"/>
          <w:i w:val="0"/>
        </w:rPr>
        <w:t xml:space="preserve">. See </w:t>
      </w:r>
      <w:hyperlink w:anchor="procession-and-return">
        <w:r>
          <w:rPr>
            <w:color w:val="000000"/>
          </w:rPr>
          <w:t xml:space="preserve">Procession and return</w:t>
        </w:r>
      </w:hyperlink>
      <w:r>
        <w:rPr>
          <w:b w:val="0"/>
          <w:i w:val="0"/>
        </w:rPr>
        <w:t>.</w:t>
      </w:r>
    </w:p>
    <w:p>
      <w:pPr>
        <w:keepNext/>
        <w:widowControl/>
      </w:pPr>
      <w:bookmarkStart w:id="1298" w:name="latin-record-1047"/>
      <w:bookmarkEnd w:id="1298"/>
      <w:r>
        <w:rPr>
          <w:b/>
          <w:i w:val="0"/>
        </w:rPr>
        <w:t>res</w:t>
      </w:r>
      <w:r>
        <w:rPr>
          <w:b/>
          <w:i w:val="0"/>
        </w:rPr>
        <w:t>.</w:t>
      </w:r>
      <w:r>
        <w:rPr>
          <w:b w:val="0"/>
          <w:i w:val="0"/>
        </w:rPr>
        <w:t xml:space="preserve"> Printed forms: </w:t>
      </w:r>
      <w:r>
        <w:rPr>
          <w:b w:val="0"/>
          <w:i/>
        </w:rPr>
        <w:t>rebus</w:t>
      </w:r>
      <w:r>
        <w:rPr>
          <w:b w:val="0"/>
          <w:i w:val="0"/>
        </w:rPr>
        <w:t xml:space="preserve">; </w:t>
      </w:r>
      <w:r>
        <w:rPr>
          <w:b w:val="0"/>
          <w:i/>
        </w:rPr>
        <w:t>rerum</w:t>
      </w:r>
      <w:r>
        <w:rPr>
          <w:b w:val="0"/>
          <w:i w:val="0"/>
        </w:rPr>
        <w:t xml:space="preserve">; </w:t>
      </w:r>
      <w:r>
        <w:rPr>
          <w:b w:val="0"/>
          <w:i/>
        </w:rPr>
        <w:t>rerumque</w:t>
      </w:r>
      <w:r>
        <w:rPr>
          <w:b w:val="0"/>
          <w:i w:val="0"/>
        </w:rPr>
        <w:t xml:space="preserve">; </w:t>
      </w:r>
      <w:r>
        <w:rPr>
          <w:b w:val="0"/>
          <w:i/>
        </w:rPr>
        <w:t>res</w:t>
      </w:r>
      <w:r>
        <w:rPr>
          <w:b w:val="0"/>
          <w:i w:val="0"/>
        </w:rPr>
        <w:t>.</w:t>
      </w:r>
    </w:p>
    <w:p>
      <w:pPr>
        <w:widowControl/>
      </w:pPr>
      <w:r>
        <w:rPr>
          <w:b w:val="0"/>
          <w:i w:val="0"/>
        </w:rPr>
        <w:t xml:space="preserve">A thing, reality or matter under discussion. The Proem distinguishes shadows of things from true realities; the broad noun leaves the kind of thing to its modifiers and the argument. References: </w:t>
      </w:r>
      <w:hyperlink w:anchor="passage-proem-9">
        <w:r>
          <w:rPr>
            <w:color w:val="000000"/>
          </w:rPr>
          <w:t xml:space="preserve">Proem.9</w:t>
        </w:r>
      </w:hyperlink>
      <w:r>
        <w:rPr>
          <w:b w:val="0"/>
          <w:i w:val="0"/>
        </w:rPr>
        <w:t xml:space="preserve">. See </w:t>
      </w:r>
      <w:hyperlink w:anchor="being">
        <w:r>
          <w:rPr>
            <w:color w:val="000000"/>
          </w:rPr>
          <w:t xml:space="preserve">Being</w:t>
        </w:r>
      </w:hyperlink>
      <w:r>
        <w:rPr>
          <w:b w:val="0"/>
          <w:i w:val="0"/>
        </w:rPr>
        <w:t>.</w:t>
      </w:r>
    </w:p>
    <w:p>
      <w:pPr>
        <w:widowControl/>
      </w:pPr>
      <w:r>
        <w:rPr>
          <w:b w:val="0"/>
          <w:i w:val="0"/>
        </w:rPr>
        <w:t xml:space="preserve">Thing or reality, capable of referring to individuals or the objects of causal and cognitive claims. The argument’s scope includes every smallest thing and even what is said to exist in potency; res is not restricted to bodies. References: </w:t>
      </w:r>
      <w:hyperlink w:anchor="passage-ii-1-1">
        <w:r>
          <w:rPr>
            <w:color w:val="000000"/>
          </w:rPr>
          <w:t xml:space="preserve">II.1.1</w:t>
        </w:r>
      </w:hyperlink>
      <w:r>
        <w:rPr>
          <w:b w:val="0"/>
          <w:i w:val="0"/>
        </w:rPr>
        <w:t xml:space="preserve">, </w:t>
      </w:r>
      <w:hyperlink w:anchor="passage-ii-9-14">
        <w:r>
          <w:rPr>
            <w:color w:val="000000"/>
          </w:rPr>
          <w:t xml:space="preserve">II.9.14</w:t>
        </w:r>
      </w:hyperlink>
      <w:r>
        <w:rPr>
          <w:b w:val="0"/>
          <w:i w:val="0"/>
        </w:rPr>
        <w:t xml:space="preserve">, </w:t>
      </w:r>
      <w:hyperlink w:anchor="passage-ii-10-3">
        <w:r>
          <w:rPr>
            <w:color w:val="000000"/>
          </w:rPr>
          <w:t xml:space="preserve">II.10.3</w:t>
        </w:r>
      </w:hyperlink>
      <w:r>
        <w:rPr>
          <w:b w:val="0"/>
          <w:i w:val="0"/>
        </w:rPr>
        <w:t xml:space="preserve">. See </w:t>
      </w:r>
      <w:hyperlink w:anchor="universals-and-individuals">
        <w:r>
          <w:rPr>
            <w:color w:val="000000"/>
          </w:rPr>
          <w:t xml:space="preserve">Universals and individuals</w:t>
        </w:r>
      </w:hyperlink>
      <w:r>
        <w:rPr>
          <w:b w:val="0"/>
          <w:i w:val="0"/>
        </w:rPr>
        <w:t>.</w:t>
      </w:r>
    </w:p>
    <w:p>
      <w:pPr>
        <w:keepNext/>
        <w:widowControl/>
      </w:pPr>
      <w:bookmarkStart w:id="1299" w:name="latin-record-1048"/>
      <w:bookmarkEnd w:id="1299"/>
      <w:r>
        <w:rPr>
          <w:b/>
          <w:i w:val="0"/>
        </w:rPr>
        <w:t>res / re ipsa</w:t>
      </w:r>
      <w:r>
        <w:rPr>
          <w:b/>
          <w:i w:val="0"/>
        </w:rPr>
        <w:t>.</w:t>
      </w:r>
      <w:r>
        <w:rPr>
          <w:b w:val="0"/>
          <w:i w:val="0"/>
        </w:rPr>
        <w:t xml:space="preserve"> Printed forms: </w:t>
      </w:r>
      <w:r>
        <w:rPr>
          <w:b w:val="0"/>
          <w:i/>
        </w:rPr>
        <w:t>re ipsa</w:t>
      </w:r>
      <w:r>
        <w:rPr>
          <w:b w:val="0"/>
          <w:i w:val="0"/>
        </w:rPr>
        <w:t xml:space="preserve">; </w:t>
      </w:r>
      <w:r>
        <w:rPr>
          <w:b w:val="0"/>
          <w:i/>
        </w:rPr>
        <w:t>res</w:t>
      </w:r>
      <w:r>
        <w:rPr>
          <w:b w:val="0"/>
          <w:i w:val="0"/>
        </w:rPr>
        <w:t>.</w:t>
      </w:r>
    </w:p>
    <w:p>
      <w:pPr>
        <w:widowControl/>
      </w:pPr>
      <w:r>
        <w:rPr>
          <w:b w:val="0"/>
          <w:i w:val="0"/>
        </w:rPr>
        <w:t xml:space="preserve">Thing or reality / in reality or as a matter of identity. Real identity of being, understanding, and willing in God is contrasted with their difference in creatures; re ipsa is not merely another physical thing. References: </w:t>
      </w:r>
      <w:hyperlink w:anchor="passage-ii-12-6">
        <w:r>
          <w:rPr>
            <w:color w:val="000000"/>
          </w:rPr>
          <w:t xml:space="preserve">II.12.6</w:t>
        </w:r>
      </w:hyperlink>
      <w:r>
        <w:rPr>
          <w:b w:val="0"/>
          <w:i w:val="0"/>
        </w:rPr>
        <w:t xml:space="preserve">, </w:t>
      </w:r>
      <w:hyperlink w:anchor="passage-ii-12-8">
        <w:r>
          <w:rPr>
            <w:color w:val="000000"/>
          </w:rPr>
          <w:t xml:space="preserve">II.12.8</w:t>
        </w:r>
      </w:hyperlink>
      <w:r>
        <w:rPr>
          <w:b w:val="0"/>
          <w:i w:val="0"/>
        </w:rPr>
        <w:t xml:space="preserve">. See </w:t>
      </w:r>
      <w:hyperlink w:anchor="being">
        <w:r>
          <w:rPr>
            <w:color w:val="000000"/>
          </w:rPr>
          <w:t xml:space="preserve">Being</w:t>
        </w:r>
      </w:hyperlink>
      <w:r>
        <w:rPr>
          <w:b w:val="0"/>
          <w:i w:val="0"/>
        </w:rPr>
        <w:t>.</w:t>
      </w:r>
    </w:p>
    <w:p>
      <w:pPr>
        <w:keepNext/>
        <w:widowControl/>
      </w:pPr>
      <w:bookmarkStart w:id="1300" w:name="latin-record-1049"/>
      <w:bookmarkEnd w:id="1300"/>
      <w:r>
        <w:rPr>
          <w:b/>
          <w:i w:val="0"/>
        </w:rPr>
        <w:t>res publicae</w:t>
      </w:r>
      <w:r>
        <w:rPr>
          <w:b/>
          <w:i w:val="0"/>
        </w:rPr>
        <w:t>.</w:t>
      </w:r>
      <w:r>
        <w:rPr>
          <w:b w:val="0"/>
          <w:i w:val="0"/>
        </w:rPr>
        <w:t xml:space="preserve"> Printed forms: </w:t>
      </w:r>
      <w:r>
        <w:rPr>
          <w:b w:val="0"/>
          <w:i/>
        </w:rPr>
        <w:t>rebus publicis</w:t>
      </w:r>
      <w:r>
        <w:rPr>
          <w:b w:val="0"/>
          <w:i w:val="0"/>
        </w:rPr>
        <w:t>.</w:t>
      </w:r>
    </w:p>
    <w:p>
      <w:pPr>
        <w:widowControl/>
      </w:pPr>
      <w:r>
        <w:rPr>
          <w:b w:val="0"/>
          <w:i w:val="0"/>
        </w:rPr>
        <w:t xml:space="preserve">Public affairs. Ficino praises Lorenzo for uniting philosophy with the highest authority in public affairs; the wording does not itself specify a constitutional office. References: </w:t>
      </w:r>
      <w:hyperlink w:anchor="passage-proem-11">
        <w:r>
          <w:rPr>
            <w:color w:val="000000"/>
          </w:rPr>
          <w:t xml:space="preserve">Proem.11</w:t>
        </w:r>
      </w:hyperlink>
      <w:r>
        <w:rPr>
          <w:b w:val="0"/>
          <w:i w:val="0"/>
        </w:rPr>
        <w:t xml:space="preserve">. See </w:t>
      </w:r>
      <w:hyperlink w:anchor="lorenzo-dedication-and-public-authority">
        <w:r>
          <w:rPr>
            <w:color w:val="000000"/>
          </w:rPr>
          <w:t xml:space="preserve">Lorenzo, dedication and public authority</w:t>
        </w:r>
      </w:hyperlink>
      <w:r>
        <w:rPr>
          <w:b w:val="0"/>
          <w:i w:val="0"/>
        </w:rPr>
        <w:t>.</w:t>
      </w:r>
    </w:p>
    <w:p>
      <w:pPr>
        <w:keepNext/>
        <w:widowControl/>
      </w:pPr>
      <w:bookmarkStart w:id="1301" w:name="latin-record-1050"/>
      <w:bookmarkEnd w:id="1301"/>
      <w:r>
        <w:rPr>
          <w:b/>
          <w:i w:val="0"/>
        </w:rPr>
        <w:t>resolvi / dissolutio</w:t>
      </w:r>
      <w:r>
        <w:rPr>
          <w:b/>
          <w:i w:val="0"/>
        </w:rPr>
        <w:t>.</w:t>
      </w:r>
      <w:r>
        <w:rPr>
          <w:b w:val="0"/>
          <w:i w:val="0"/>
        </w:rPr>
        <w:t xml:space="preserve"> Printed forms: </w:t>
      </w:r>
      <w:r>
        <w:rPr>
          <w:b w:val="0"/>
          <w:i/>
        </w:rPr>
        <w:t>dissolutionem</w:t>
      </w:r>
      <w:r>
        <w:rPr>
          <w:b w:val="0"/>
          <w:i w:val="0"/>
        </w:rPr>
        <w:t xml:space="preserve">; </w:t>
      </w:r>
      <w:r>
        <w:rPr>
          <w:b w:val="0"/>
          <w:i/>
        </w:rPr>
        <w:t>dissolutioni</w:t>
      </w:r>
      <w:r>
        <w:rPr>
          <w:b w:val="0"/>
          <w:i w:val="0"/>
        </w:rPr>
        <w:t xml:space="preserve">; </w:t>
      </w:r>
      <w:r>
        <w:rPr>
          <w:b w:val="0"/>
          <w:i/>
        </w:rPr>
        <w:t>resolvitur</w:t>
      </w:r>
      <w:r>
        <w:rPr>
          <w:b w:val="0"/>
          <w:i w:val="0"/>
        </w:rPr>
        <w:t>.</w:t>
      </w:r>
    </w:p>
    <w:p>
      <w:pPr>
        <w:widowControl/>
      </w:pPr>
      <w:r>
        <w:rPr>
          <w:b w:val="0"/>
          <w:i w:val="0"/>
        </w:rPr>
        <w:t xml:space="preserve">To dissolve or resolve into what is prior; dissolution of parts. A composed thing is exposed to dissolution, so it cannot be necessary being through itself. References: </w:t>
      </w:r>
      <w:hyperlink w:anchor="passage-ii-5-1">
        <w:r>
          <w:rPr>
            <w:color w:val="000000"/>
          </w:rPr>
          <w:t xml:space="preserve">II.5.1</w:t>
        </w:r>
      </w:hyperlink>
      <w:r>
        <w:rPr>
          <w:b w:val="0"/>
          <w:i w:val="0"/>
        </w:rPr>
        <w:t xml:space="preserve">, </w:t>
      </w:r>
      <w:hyperlink w:anchor="passage-ii-7-10">
        <w:r>
          <w:rPr>
            <w:color w:val="000000"/>
          </w:rPr>
          <w:t xml:space="preserve">II.7.10</w:t>
        </w:r>
      </w:hyperlink>
      <w:r>
        <w:rPr>
          <w:b w:val="0"/>
          <w:i w:val="0"/>
        </w:rPr>
        <w:t xml:space="preserve">. See </w:t>
      </w:r>
      <w:hyperlink w:anchor="simplicity-and-composition">
        <w:r>
          <w:rPr>
            <w:color w:val="000000"/>
          </w:rPr>
          <w:t xml:space="preserve">Simplicity and composition</w:t>
        </w:r>
      </w:hyperlink>
      <w:r>
        <w:rPr>
          <w:b w:val="0"/>
          <w:i w:val="0"/>
        </w:rPr>
        <w:t>.</w:t>
      </w:r>
    </w:p>
    <w:p>
      <w:pPr>
        <w:keepNext/>
        <w:widowControl/>
      </w:pPr>
      <w:bookmarkStart w:id="1302" w:name="latin-record-1051"/>
      <w:bookmarkEnd w:id="1302"/>
      <w:r>
        <w:rPr>
          <w:b/>
          <w:i w:val="0"/>
        </w:rPr>
        <w:t>respectus</w:t>
      </w:r>
      <w:r>
        <w:rPr>
          <w:b/>
          <w:i w:val="0"/>
        </w:rPr>
        <w:t>.</w:t>
      </w:r>
      <w:r>
        <w:rPr>
          <w:b w:val="0"/>
          <w:i w:val="0"/>
        </w:rPr>
        <w:t xml:space="preserve"> Printed forms: </w:t>
      </w:r>
      <w:r>
        <w:rPr>
          <w:b w:val="0"/>
          <w:i/>
        </w:rPr>
        <w:t>respectus</w:t>
      </w:r>
      <w:r>
        <w:rPr>
          <w:b w:val="0"/>
          <w:i w:val="0"/>
        </w:rPr>
        <w:t xml:space="preserve">; </w:t>
      </w:r>
      <w:r>
        <w:rPr>
          <w:b w:val="0"/>
          <w:i/>
        </w:rPr>
        <w:t>Respectusque</w:t>
      </w:r>
      <w:r>
        <w:rPr>
          <w:b w:val="0"/>
          <w:i w:val="0"/>
        </w:rPr>
        <w:t>.</w:t>
      </w:r>
    </w:p>
    <w:p>
      <w:pPr>
        <w:widowControl/>
      </w:pPr>
      <w:r>
        <w:rPr>
          <w:b w:val="0"/>
          <w:i w:val="0"/>
        </w:rPr>
        <w:t xml:space="preserve">Relation or respect. Ideas multiply through intellect’s comparison of one divine essence with things, not because creatures produce new states in God. References: </w:t>
      </w:r>
      <w:hyperlink w:anchor="passage-ii-11-19">
        <w:r>
          <w:rPr>
            <w:color w:val="000000"/>
          </w:rPr>
          <w:t xml:space="preserve">II.11.19</w:t>
        </w:r>
      </w:hyperlink>
      <w:r>
        <w:rPr>
          <w:b w:val="0"/>
          <w:i w:val="0"/>
        </w:rPr>
        <w:t xml:space="preserve">. See </w:t>
      </w:r>
      <w:hyperlink w:anchor="relations-and-respects">
        <w:r>
          <w:rPr>
            <w:color w:val="000000"/>
          </w:rPr>
          <w:t xml:space="preserve">Relations and respects</w:t>
        </w:r>
      </w:hyperlink>
      <w:r>
        <w:rPr>
          <w:b w:val="0"/>
          <w:i w:val="0"/>
        </w:rPr>
        <w:t>.</w:t>
      </w:r>
    </w:p>
    <w:p>
      <w:pPr>
        <w:keepNext/>
        <w:widowControl/>
      </w:pPr>
      <w:bookmarkStart w:id="1303" w:name="latin-record-1052"/>
      <w:bookmarkEnd w:id="1303"/>
      <w:r>
        <w:rPr>
          <w:b/>
          <w:i w:val="0"/>
        </w:rPr>
        <w:t>respectus / vigor</w:t>
      </w:r>
      <w:r>
        <w:rPr>
          <w:b/>
          <w:i w:val="0"/>
        </w:rPr>
        <w:t>.</w:t>
      </w:r>
      <w:r>
        <w:rPr>
          <w:b w:val="0"/>
          <w:i w:val="0"/>
        </w:rPr>
        <w:t xml:space="preserve"> Printed forms: </w:t>
      </w:r>
      <w:r>
        <w:rPr>
          <w:b w:val="0"/>
          <w:i/>
        </w:rPr>
        <w:t>respectu</w:t>
      </w:r>
      <w:r>
        <w:rPr>
          <w:b w:val="0"/>
          <w:i w:val="0"/>
        </w:rPr>
        <w:t xml:space="preserve">; </w:t>
      </w:r>
      <w:r>
        <w:rPr>
          <w:b w:val="0"/>
          <w:i/>
        </w:rPr>
        <w:t>vigore</w:t>
      </w:r>
      <w:r>
        <w:rPr>
          <w:b w:val="0"/>
          <w:i w:val="0"/>
        </w:rPr>
        <w:t>.</w:t>
      </w:r>
    </w:p>
    <w:p>
      <w:pPr>
        <w:widowControl/>
      </w:pPr>
      <w:r>
        <w:rPr>
          <w:b w:val="0"/>
          <w:i w:val="0"/>
        </w:rPr>
        <w:t xml:space="preserve">A respect or relation, and effective power. These qualifications explain how the truly one form can be considered all-formed without literal aggregation. References: </w:t>
      </w:r>
      <w:hyperlink w:anchor="passage-ii-10-11">
        <w:r>
          <w:rPr>
            <w:color w:val="000000"/>
          </w:rPr>
          <w:t xml:space="preserve">II.10.11</w:t>
        </w:r>
      </w:hyperlink>
      <w:r>
        <w:rPr>
          <w:b w:val="0"/>
          <w:i w:val="0"/>
        </w:rPr>
        <w:t xml:space="preserve">. See </w:t>
      </w:r>
      <w:hyperlink w:anchor="form">
        <w:r>
          <w:rPr>
            <w:color w:val="000000"/>
          </w:rPr>
          <w:t xml:space="preserve">Form</w:t>
        </w:r>
      </w:hyperlink>
      <w:r>
        <w:rPr>
          <w:b w:val="0"/>
          <w:i w:val="0"/>
        </w:rPr>
        <w:t>.</w:t>
      </w:r>
    </w:p>
    <w:p>
      <w:pPr>
        <w:keepNext/>
        <w:widowControl/>
      </w:pPr>
      <w:bookmarkStart w:id="1304" w:name="latin-record-1053"/>
      <w:bookmarkEnd w:id="1304"/>
      <w:r>
        <w:rPr>
          <w:b/>
          <w:i w:val="0"/>
        </w:rPr>
        <w:t>respicere</w:t>
      </w:r>
      <w:r>
        <w:rPr>
          <w:b/>
          <w:i w:val="0"/>
        </w:rPr>
        <w:t>.</w:t>
      </w:r>
      <w:r>
        <w:rPr>
          <w:b w:val="0"/>
          <w:i w:val="0"/>
        </w:rPr>
        <w:t xml:space="preserve"> Printed forms: </w:t>
      </w:r>
      <w:r>
        <w:rPr>
          <w:b w:val="0"/>
          <w:i/>
        </w:rPr>
        <w:t>respiciant</w:t>
      </w:r>
      <w:r>
        <w:rPr>
          <w:b w:val="0"/>
          <w:i w:val="0"/>
        </w:rPr>
        <w:t>.</w:t>
      </w:r>
    </w:p>
    <w:p>
      <w:pPr>
        <w:widowControl/>
      </w:pPr>
      <w:r>
        <w:rPr>
          <w:b w:val="0"/>
          <w:i w:val="0"/>
        </w:rPr>
        <w:t xml:space="preserve">To stand in a relation to or regard. Equal relation to every spatial part supports the reported inference that spirit is absent nowhere. References: </w:t>
      </w:r>
      <w:hyperlink w:anchor="passage-ii-6-16">
        <w:r>
          <w:rPr>
            <w:color w:val="000000"/>
          </w:rPr>
          <w:t xml:space="preserve">II.6.16</w:t>
        </w:r>
      </w:hyperlink>
      <w:r>
        <w:rPr>
          <w:b w:val="0"/>
          <w:i w:val="0"/>
        </w:rPr>
        <w:t xml:space="preserve">. See </w:t>
      </w:r>
      <w:hyperlink w:anchor="omnipresence-and-place">
        <w:r>
          <w:rPr>
            <w:color w:val="000000"/>
          </w:rPr>
          <w:t xml:space="preserve">Omnipresence and place</w:t>
        </w:r>
      </w:hyperlink>
      <w:r>
        <w:rPr>
          <w:b w:val="0"/>
          <w:i w:val="0"/>
        </w:rPr>
        <w:t>.</w:t>
      </w:r>
    </w:p>
    <w:p>
      <w:pPr>
        <w:keepNext/>
        <w:widowControl/>
      </w:pPr>
      <w:bookmarkStart w:id="1305" w:name="latin-record-1054"/>
      <w:bookmarkEnd w:id="1305"/>
      <w:r>
        <w:rPr>
          <w:b/>
          <w:i w:val="0"/>
        </w:rPr>
        <w:t>respicere / suspicere / inspicere</w:t>
      </w:r>
      <w:r>
        <w:rPr>
          <w:b/>
          <w:i w:val="0"/>
        </w:rPr>
        <w:t>.</w:t>
      </w:r>
      <w:r>
        <w:rPr>
          <w:b w:val="0"/>
          <w:i w:val="0"/>
        </w:rPr>
        <w:t xml:space="preserve"> Printed forms: </w:t>
      </w:r>
      <w:r>
        <w:rPr>
          <w:b w:val="0"/>
          <w:i/>
        </w:rPr>
        <w:t>inspicit</w:t>
      </w:r>
      <w:r>
        <w:rPr>
          <w:b w:val="0"/>
          <w:i w:val="0"/>
        </w:rPr>
        <w:t xml:space="preserve">; </w:t>
      </w:r>
      <w:r>
        <w:rPr>
          <w:b w:val="0"/>
          <w:i/>
        </w:rPr>
        <w:t>suspicit</w:t>
      </w:r>
      <w:r>
        <w:rPr>
          <w:b w:val="0"/>
          <w:i w:val="0"/>
        </w:rPr>
        <w:t>.</w:t>
      </w:r>
    </w:p>
    <w:p>
      <w:pPr>
        <w:widowControl/>
      </w:pPr>
      <w:r>
        <w:rPr>
          <w:b w:val="0"/>
          <w:i w:val="0"/>
        </w:rPr>
        <w:t xml:space="preserve">Regard / look upward / inspect. Inspecting flowers is sensory and successive; looking toward higher things marks soul’s orientation. These uses must be distinguished from suspicari, suspect. References: </w:t>
      </w:r>
      <w:hyperlink w:anchor="passage-iii-1-28">
        <w:r>
          <w:rPr>
            <w:color w:val="000000"/>
          </w:rPr>
          <w:t xml:space="preserve">III.1.28</w:t>
        </w:r>
      </w:hyperlink>
      <w:r>
        <w:rPr>
          <w:b w:val="0"/>
          <w:i w:val="0"/>
        </w:rPr>
        <w:t xml:space="preserve">, </w:t>
      </w:r>
      <w:hyperlink w:anchor="passage-iii-2-19">
        <w:r>
          <w:rPr>
            <w:color w:val="000000"/>
          </w:rPr>
          <w:t xml:space="preserve">III.2.19</w:t>
        </w:r>
      </w:hyperlink>
      <w:r>
        <w:rPr>
          <w:b w:val="0"/>
          <w:i w:val="0"/>
        </w:rPr>
        <w:t xml:space="preserve">. See </w:t>
      </w:r>
      <w:hyperlink w:anchor="looking-and-recognizing">
        <w:r>
          <w:rPr>
            <w:color w:val="000000"/>
          </w:rPr>
          <w:t xml:space="preserve">Looking and recognizing</w:t>
        </w:r>
      </w:hyperlink>
      <w:r>
        <w:rPr>
          <w:b w:val="0"/>
          <w:i w:val="0"/>
        </w:rPr>
        <w:t>.</w:t>
      </w:r>
    </w:p>
    <w:p>
      <w:pPr>
        <w:keepNext/>
        <w:widowControl/>
      </w:pPr>
      <w:bookmarkStart w:id="1306" w:name="latin-record-1055"/>
      <w:bookmarkEnd w:id="1306"/>
      <w:r>
        <w:rPr>
          <w:b/>
          <w:i w:val="0"/>
        </w:rPr>
        <w:t>respondere</w:t>
      </w:r>
      <w:r>
        <w:rPr>
          <w:b/>
          <w:i w:val="0"/>
        </w:rPr>
        <w:t>.</w:t>
      </w:r>
      <w:r>
        <w:rPr>
          <w:b w:val="0"/>
          <w:i w:val="0"/>
        </w:rPr>
        <w:t xml:space="preserve"> Printed forms: </w:t>
      </w:r>
      <w:r>
        <w:rPr>
          <w:b w:val="0"/>
          <w:i/>
        </w:rPr>
        <w:t>respondebunt</w:t>
      </w:r>
      <w:r>
        <w:rPr>
          <w:b w:val="0"/>
          <w:i w:val="0"/>
        </w:rPr>
        <w:t xml:space="preserve">; </w:t>
      </w:r>
      <w:r>
        <w:rPr>
          <w:b w:val="0"/>
          <w:i/>
        </w:rPr>
        <w:t>respondentes</w:t>
      </w:r>
      <w:r>
        <w:rPr>
          <w:b w:val="0"/>
          <w:i w:val="0"/>
        </w:rPr>
        <w:t>.</w:t>
      </w:r>
    </w:p>
    <w:p>
      <w:pPr>
        <w:widowControl/>
      </w:pPr>
      <w:r>
        <w:rPr>
          <w:b w:val="0"/>
          <w:i w:val="0"/>
        </w:rPr>
        <w:t xml:space="preserve">To reply; to correspond or face something. A philosophical reply and air or fire situated opposite stars use the same verb in distinct argumentative and spatial senses. References: </w:t>
      </w:r>
      <w:hyperlink w:anchor="passage-iv-1-90">
        <w:r>
          <w:rPr>
            <w:color w:val="000000"/>
          </w:rPr>
          <w:t xml:space="preserve">IV.1.90</w:t>
        </w:r>
      </w:hyperlink>
      <w:r>
        <w:rPr>
          <w:b w:val="0"/>
          <w:i w:val="0"/>
        </w:rPr>
        <w:t xml:space="preserve">, </w:t>
      </w:r>
      <w:hyperlink w:anchor="passage-iv-1-92">
        <w:r>
          <w:rPr>
            <w:color w:val="000000"/>
          </w:rPr>
          <w:t xml:space="preserve">IV.1.92</w:t>
        </w:r>
      </w:hyperlink>
      <w:r>
        <w:rPr>
          <w:b w:val="0"/>
          <w:i w:val="0"/>
        </w:rPr>
        <w:t xml:space="preserve">. See </w:t>
      </w:r>
      <w:hyperlink w:anchor="fitting-and-correspondence">
        <w:r>
          <w:rPr>
            <w:color w:val="000000"/>
          </w:rPr>
          <w:t xml:space="preserve">Fitting and correspondence</w:t>
        </w:r>
      </w:hyperlink>
      <w:r>
        <w:rPr>
          <w:b w:val="0"/>
          <w:i w:val="0"/>
        </w:rPr>
        <w:t>.</w:t>
      </w:r>
    </w:p>
    <w:p>
      <w:pPr>
        <w:keepNext/>
        <w:widowControl/>
      </w:pPr>
      <w:bookmarkStart w:id="1307" w:name="latin-record-1056"/>
      <w:bookmarkEnd w:id="1307"/>
      <w:r>
        <w:rPr>
          <w:b/>
          <w:i w:val="0"/>
        </w:rPr>
        <w:t>respuo</w:t>
      </w:r>
      <w:r>
        <w:rPr>
          <w:b/>
          <w:i w:val="0"/>
        </w:rPr>
        <w:t>.</w:t>
      </w:r>
      <w:r>
        <w:rPr>
          <w:b w:val="0"/>
          <w:i w:val="0"/>
        </w:rPr>
        <w:t xml:space="preserve"> Printed forms: </w:t>
      </w:r>
      <w:r>
        <w:rPr>
          <w:b w:val="0"/>
          <w:i/>
        </w:rPr>
        <w:t>respuere</w:t>
      </w:r>
      <w:r>
        <w:rPr>
          <w:b w:val="0"/>
          <w:i w:val="0"/>
        </w:rPr>
        <w:t xml:space="preserve">; </w:t>
      </w:r>
      <w:r>
        <w:rPr>
          <w:b w:val="0"/>
          <w:i/>
        </w:rPr>
        <w:t>respuimus</w:t>
      </w:r>
      <w:r>
        <w:rPr>
          <w:b w:val="0"/>
          <w:i w:val="0"/>
        </w:rPr>
        <w:t>.</w:t>
      </w:r>
    </w:p>
    <w:p>
      <w:pPr>
        <w:widowControl/>
      </w:pPr>
      <w:r>
        <w:rPr>
          <w:b w:val="0"/>
          <w:i w:val="0"/>
        </w:rPr>
        <w:t xml:space="preserve">To reject or refuse. Knowledge thought harmful may be temporarily rejected, whereas the Good precisely as good cannot be rejected within Ficino’s account of desire. References: </w:t>
      </w:r>
      <w:hyperlink w:anchor="passage-i-6-19">
        <w:r>
          <w:rPr>
            <w:color w:val="000000"/>
          </w:rPr>
          <w:t xml:space="preserve">I.6.19</w:t>
        </w:r>
      </w:hyperlink>
      <w:r>
        <w:rPr>
          <w:b w:val="0"/>
          <w:i w:val="0"/>
        </w:rPr>
        <w:t xml:space="preserve">. See </w:t>
      </w:r>
      <w:hyperlink w:anchor="wishing-refusing-and-the-good">
        <w:r>
          <w:rPr>
            <w:color w:val="000000"/>
          </w:rPr>
          <w:t xml:space="preserve">Wishing, refusing and the good</w:t>
        </w:r>
      </w:hyperlink>
      <w:r>
        <w:rPr>
          <w:b w:val="0"/>
          <w:i w:val="0"/>
        </w:rPr>
        <w:t>.</w:t>
      </w:r>
    </w:p>
    <w:p>
      <w:pPr>
        <w:keepNext/>
        <w:widowControl/>
      </w:pPr>
      <w:bookmarkStart w:id="1308" w:name="latin-record-1057"/>
      <w:bookmarkEnd w:id="1308"/>
      <w:r>
        <w:rPr>
          <w:b/>
          <w:i w:val="0"/>
        </w:rPr>
        <w:t>retardo / differo</w:t>
      </w:r>
      <w:r>
        <w:rPr>
          <w:b/>
          <w:i w:val="0"/>
        </w:rPr>
        <w:t>.</w:t>
      </w:r>
      <w:r>
        <w:rPr>
          <w:b w:val="0"/>
          <w:i w:val="0"/>
        </w:rPr>
        <w:t xml:space="preserve"> Printed forms: </w:t>
      </w:r>
      <w:r>
        <w:rPr>
          <w:b w:val="0"/>
          <w:i/>
        </w:rPr>
        <w:t>differt</w:t>
      </w:r>
      <w:r>
        <w:rPr>
          <w:b w:val="0"/>
          <w:i w:val="0"/>
        </w:rPr>
        <w:t xml:space="preserve">; </w:t>
      </w:r>
      <w:r>
        <w:rPr>
          <w:b w:val="0"/>
          <w:i/>
        </w:rPr>
        <w:t>retardat</w:t>
      </w:r>
      <w:r>
        <w:rPr>
          <w:b w:val="0"/>
          <w:i w:val="0"/>
        </w:rPr>
        <w:t>.</w:t>
      </w:r>
    </w:p>
    <w:p>
      <w:pPr>
        <w:widowControl/>
      </w:pPr>
      <w:r>
        <w:rPr>
          <w:b w:val="0"/>
          <w:i w:val="0"/>
        </w:rPr>
        <w:t xml:space="preserve">To slow or postpone. Greater bulk delays motion and action, while later distinctions separate slow completion in the patient from delay across the intervening distance. References: </w:t>
      </w:r>
      <w:hyperlink w:anchor="passage-i-2-2">
        <w:r>
          <w:rPr>
            <w:color w:val="000000"/>
          </w:rPr>
          <w:t xml:space="preserve">I.2.2</w:t>
        </w:r>
      </w:hyperlink>
      <w:r>
        <w:rPr>
          <w:b w:val="0"/>
          <w:i w:val="0"/>
        </w:rPr>
        <w:t xml:space="preserve">, </w:t>
      </w:r>
      <w:hyperlink w:anchor="passage-i-2-4">
        <w:r>
          <w:rPr>
            <w:color w:val="000000"/>
          </w:rPr>
          <w:t xml:space="preserve">I.2.4</w:t>
        </w:r>
      </w:hyperlink>
      <w:r>
        <w:rPr>
          <w:b w:val="0"/>
          <w:i w:val="0"/>
        </w:rPr>
        <w:t xml:space="preserve">. See </w:t>
      </w:r>
      <w:hyperlink w:anchor="body-and-bulk">
        <w:r>
          <w:rPr>
            <w:color w:val="000000"/>
          </w:rPr>
          <w:t xml:space="preserve">Body and bulk</w:t>
        </w:r>
      </w:hyperlink>
      <w:r>
        <w:rPr>
          <w:b w:val="0"/>
          <w:i w:val="0"/>
        </w:rPr>
        <w:t>.</w:t>
      </w:r>
    </w:p>
    <w:p>
      <w:pPr>
        <w:keepNext/>
        <w:widowControl/>
      </w:pPr>
      <w:bookmarkStart w:id="1309" w:name="latin-record-1058"/>
      <w:bookmarkEnd w:id="1309"/>
      <w:r>
        <w:rPr>
          <w:b/>
          <w:i w:val="0"/>
        </w:rPr>
        <w:t>retexere telam</w:t>
      </w:r>
      <w:r>
        <w:rPr>
          <w:b/>
          <w:i w:val="0"/>
        </w:rPr>
        <w:t>.</w:t>
      </w:r>
      <w:r>
        <w:rPr>
          <w:b w:val="0"/>
          <w:i w:val="0"/>
        </w:rPr>
        <w:t xml:space="preserve"> Printed forms: </w:t>
      </w:r>
      <w:r>
        <w:rPr>
          <w:b w:val="0"/>
          <w:i/>
        </w:rPr>
        <w:t>telam generationis retexere</w:t>
      </w:r>
      <w:r>
        <w:rPr>
          <w:b w:val="0"/>
          <w:i w:val="0"/>
        </w:rPr>
        <w:t>.</w:t>
      </w:r>
    </w:p>
    <w:p>
      <w:pPr>
        <w:widowControl/>
      </w:pPr>
      <w:r>
        <w:rPr>
          <w:b w:val="0"/>
          <w:i w:val="0"/>
        </w:rPr>
        <w:t xml:space="preserve">To weave again the fabric of generation. The reported recurrence of a finite stock of causes is presented through a weaving image, with rest retained as the alternative. References: </w:t>
      </w:r>
      <w:hyperlink w:anchor="passage-iv-2-12">
        <w:r>
          <w:rPr>
            <w:color w:val="000000"/>
          </w:rPr>
          <w:t xml:space="preserve">IV.2.12</w:t>
        </w:r>
      </w:hyperlink>
      <w:r>
        <w:rPr>
          <w:b w:val="0"/>
          <w:i w:val="0"/>
        </w:rPr>
        <w:t xml:space="preserve">. See </w:t>
      </w:r>
      <w:hyperlink w:anchor="sowing-and-weaving">
        <w:r>
          <w:rPr>
            <w:color w:val="000000"/>
          </w:rPr>
          <w:t xml:space="preserve">Sowing and weaving</w:t>
        </w:r>
      </w:hyperlink>
      <w:r>
        <w:rPr>
          <w:b w:val="0"/>
          <w:i w:val="0"/>
        </w:rPr>
        <w:t>.</w:t>
      </w:r>
    </w:p>
    <w:p>
      <w:pPr>
        <w:keepNext/>
        <w:widowControl/>
      </w:pPr>
      <w:bookmarkStart w:id="1310" w:name="latin-record-1059"/>
      <w:bookmarkEnd w:id="1310"/>
      <w:r>
        <w:rPr>
          <w:b/>
          <w:i w:val="0"/>
        </w:rPr>
        <w:t>retinere / amittere</w:t>
      </w:r>
      <w:r>
        <w:rPr>
          <w:b/>
          <w:i w:val="0"/>
        </w:rPr>
        <w:t>.</w:t>
      </w:r>
      <w:r>
        <w:rPr>
          <w:b w:val="0"/>
          <w:i w:val="0"/>
        </w:rPr>
        <w:t xml:space="preserve"> Printed forms: </w:t>
      </w:r>
      <w:r>
        <w:rPr>
          <w:b w:val="0"/>
          <w:i/>
        </w:rPr>
        <w:t>amittit</w:t>
      </w:r>
      <w:r>
        <w:rPr>
          <w:b w:val="0"/>
          <w:i w:val="0"/>
        </w:rPr>
        <w:t xml:space="preserve">; </w:t>
      </w:r>
      <w:r>
        <w:rPr>
          <w:b w:val="0"/>
          <w:i/>
        </w:rPr>
        <w:t>retinebit</w:t>
      </w:r>
      <w:r>
        <w:rPr>
          <w:b w:val="0"/>
          <w:i w:val="0"/>
        </w:rPr>
        <w:t xml:space="preserve">; </w:t>
      </w:r>
      <w:r>
        <w:rPr>
          <w:b w:val="0"/>
          <w:i/>
        </w:rPr>
        <w:t>Retinere</w:t>
      </w:r>
      <w:r>
        <w:rPr>
          <w:b w:val="0"/>
          <w:i w:val="0"/>
        </w:rPr>
        <w:t>.</w:t>
      </w:r>
    </w:p>
    <w:p>
      <w:pPr>
        <w:widowControl/>
      </w:pPr>
      <w:r>
        <w:rPr>
          <w:b w:val="0"/>
          <w:i w:val="0"/>
        </w:rPr>
        <w:t xml:space="preserve">Retain / lose. Angel cannot retain all divine features in their unrestricted mode or lose every likeness; it retains stability while losing simple unity. References: </w:t>
      </w:r>
      <w:hyperlink w:anchor="passage-iii-1-7">
        <w:r>
          <w:rPr>
            <w:color w:val="000000"/>
          </w:rPr>
          <w:t xml:space="preserve">III.1.7</w:t>
        </w:r>
      </w:hyperlink>
      <w:r>
        <w:rPr>
          <w:b w:val="0"/>
          <w:i w:val="0"/>
        </w:rPr>
        <w:t xml:space="preserve">, </w:t>
      </w:r>
      <w:hyperlink w:anchor="passage-iii-1-8">
        <w:r>
          <w:rPr>
            <w:color w:val="000000"/>
          </w:rPr>
          <w:t xml:space="preserve">III.1.8</w:t>
        </w:r>
      </w:hyperlink>
      <w:r>
        <w:rPr>
          <w:b w:val="0"/>
          <w:i w:val="0"/>
        </w:rPr>
        <w:t xml:space="preserve">. See </w:t>
      </w:r>
      <w:hyperlink w:anchor="staying-and-preserving">
        <w:r>
          <w:rPr>
            <w:color w:val="000000"/>
          </w:rPr>
          <w:t xml:space="preserve">Staying and preserving</w:t>
        </w:r>
      </w:hyperlink>
      <w:r>
        <w:rPr>
          <w:b w:val="0"/>
          <w:i w:val="0"/>
        </w:rPr>
        <w:t>.</w:t>
      </w:r>
    </w:p>
    <w:p>
      <w:pPr>
        <w:keepNext/>
        <w:widowControl/>
      </w:pPr>
      <w:bookmarkStart w:id="1311" w:name="latin-record-1060"/>
      <w:bookmarkEnd w:id="1311"/>
      <w:r>
        <w:rPr>
          <w:b/>
          <w:i w:val="0"/>
        </w:rPr>
        <w:t>revertamur ad quaestionem</w:t>
      </w:r>
      <w:r>
        <w:rPr>
          <w:b/>
          <w:i w:val="0"/>
        </w:rPr>
        <w:t>.</w:t>
      </w:r>
      <w:r>
        <w:rPr>
          <w:b w:val="0"/>
          <w:i w:val="0"/>
        </w:rPr>
        <w:t xml:space="preserve"> Printed forms: </w:t>
      </w:r>
      <w:r>
        <w:rPr>
          <w:b w:val="0"/>
          <w:i/>
        </w:rPr>
        <w:t>ad quaestionem hic propositam revertamur</w:t>
      </w:r>
      <w:r>
        <w:rPr>
          <w:b w:val="0"/>
          <w:i w:val="0"/>
        </w:rPr>
        <w:t>.</w:t>
      </w:r>
    </w:p>
    <w:p>
      <w:pPr>
        <w:widowControl/>
      </w:pPr>
      <w:r>
        <w:rPr>
          <w:b w:val="0"/>
          <w:i w:val="0"/>
        </w:rPr>
        <w:t xml:space="preserve">Let us return to the question proposed here. The phrase returns from the persistence test to whether the immediate cause of moving qualities is wholly immobile. References: </w:t>
      </w:r>
      <w:hyperlink w:anchor="passage-i-4-3">
        <w:r>
          <w:rPr>
            <w:color w:val="000000"/>
          </w:rPr>
          <w:t xml:space="preserve">I.4.3</w:t>
        </w:r>
      </w:hyperlink>
      <w:r>
        <w:rPr>
          <w:b w:val="0"/>
          <w:i w:val="0"/>
        </w:rPr>
        <w:t xml:space="preserve">. See </w:t>
      </w:r>
      <w:hyperlink w:anchor="returning-referring-and-reducing">
        <w:r>
          <w:rPr>
            <w:color w:val="000000"/>
          </w:rPr>
          <w:t xml:space="preserve">Returning, referring and reducing</w:t>
        </w:r>
      </w:hyperlink>
      <w:r>
        <w:rPr>
          <w:b w:val="0"/>
          <w:i w:val="0"/>
        </w:rPr>
        <w:t>.</w:t>
      </w:r>
    </w:p>
    <w:p>
      <w:pPr>
        <w:keepNext/>
        <w:widowControl/>
      </w:pPr>
      <w:bookmarkStart w:id="1312" w:name="latin-record-1061"/>
      <w:bookmarkEnd w:id="1312"/>
      <w:r>
        <w:rPr>
          <w:b/>
          <w:i w:val="0"/>
        </w:rPr>
        <w:t>revocare / rapere</w:t>
      </w:r>
      <w:r>
        <w:rPr>
          <w:b/>
          <w:i w:val="0"/>
        </w:rPr>
        <w:t>.</w:t>
      </w:r>
      <w:r>
        <w:rPr>
          <w:b w:val="0"/>
          <w:i w:val="0"/>
        </w:rPr>
        <w:t xml:space="preserve"> Printed forms: </w:t>
      </w:r>
      <w:r>
        <w:rPr>
          <w:b w:val="0"/>
          <w:i/>
        </w:rPr>
        <w:t>rapiat</w:t>
      </w:r>
      <w:r>
        <w:rPr>
          <w:b w:val="0"/>
          <w:i w:val="0"/>
        </w:rPr>
        <w:t xml:space="preserve">; </w:t>
      </w:r>
      <w:r>
        <w:rPr>
          <w:b w:val="0"/>
          <w:i/>
        </w:rPr>
        <w:t>revocat</w:t>
      </w:r>
      <w:r>
        <w:rPr>
          <w:b w:val="0"/>
          <w:i w:val="0"/>
        </w:rPr>
        <w:t>.</w:t>
      </w:r>
    </w:p>
    <w:p>
      <w:pPr>
        <w:widowControl/>
      </w:pPr>
      <w:r>
        <w:rPr>
          <w:b w:val="0"/>
          <w:i w:val="0"/>
        </w:rPr>
        <w:t xml:space="preserve">To call back; to seize or draw strongly. The sphere-soul recalls its parts, and greater near attraction is invoked to explain increased speed. References: </w:t>
      </w:r>
      <w:hyperlink w:anchor="passage-iv-1-74">
        <w:r>
          <w:rPr>
            <w:color w:val="000000"/>
          </w:rPr>
          <w:t xml:space="preserve">IV.1.74</w:t>
        </w:r>
      </w:hyperlink>
      <w:r>
        <w:rPr>
          <w:b w:val="0"/>
          <w:i w:val="0"/>
        </w:rPr>
        <w:t xml:space="preserve">. See </w:t>
      </w:r>
      <w:hyperlink w:anchor="hidden-mover-and-magnet">
        <w:r>
          <w:rPr>
            <w:color w:val="000000"/>
          </w:rPr>
          <w:t xml:space="preserve">Hidden mover and magnet</w:t>
        </w:r>
      </w:hyperlink>
      <w:r>
        <w:rPr>
          <w:b w:val="0"/>
          <w:i w:val="0"/>
        </w:rPr>
        <w:t>.</w:t>
      </w:r>
    </w:p>
    <w:p>
      <w:pPr>
        <w:keepNext/>
        <w:widowControl/>
      </w:pPr>
      <w:bookmarkStart w:id="1313" w:name="latin-record-1062"/>
      <w:bookmarkEnd w:id="1313"/>
      <w:r>
        <w:rPr>
          <w:b/>
          <w:i w:val="0"/>
        </w:rPr>
        <w:t>roboro / duco</w:t>
      </w:r>
      <w:r>
        <w:rPr>
          <w:b/>
          <w:i w:val="0"/>
        </w:rPr>
        <w:t>.</w:t>
      </w:r>
      <w:r>
        <w:rPr>
          <w:b w:val="0"/>
          <w:i w:val="0"/>
        </w:rPr>
        <w:t xml:space="preserve"> Printed forms: </w:t>
      </w:r>
      <w:r>
        <w:rPr>
          <w:b w:val="0"/>
          <w:i/>
        </w:rPr>
        <w:t>ducitur</w:t>
      </w:r>
      <w:r>
        <w:rPr>
          <w:b w:val="0"/>
          <w:i w:val="0"/>
        </w:rPr>
        <w:t xml:space="preserve">; </w:t>
      </w:r>
      <w:r>
        <w:rPr>
          <w:b w:val="0"/>
          <w:i/>
        </w:rPr>
        <w:t>Roboratur</w:t>
      </w:r>
      <w:r>
        <w:rPr>
          <w:b w:val="0"/>
          <w:i w:val="0"/>
        </w:rPr>
        <w:t xml:space="preserve">; </w:t>
      </w:r>
      <w:r>
        <w:rPr>
          <w:b w:val="0"/>
          <w:i/>
        </w:rPr>
        <w:t>roboretur</w:t>
      </w:r>
      <w:r>
        <w:rPr>
          <w:b w:val="0"/>
          <w:i w:val="0"/>
        </w:rPr>
        <w:t>.</w:t>
      </w:r>
    </w:p>
    <w:p>
      <w:pPr>
        <w:widowControl/>
      </w:pPr>
      <w:r>
        <w:rPr>
          <w:b w:val="0"/>
          <w:i w:val="0"/>
        </w:rPr>
        <w:t xml:space="preserve">To strengthen and guide. A higher living source reinforces and directs quality; this answers the preceding image of its lameness. References: </w:t>
      </w:r>
      <w:hyperlink w:anchor="passage-i-3-21">
        <w:r>
          <w:rPr>
            <w:color w:val="000000"/>
          </w:rPr>
          <w:t xml:space="preserve">I.3.21</w:t>
        </w:r>
      </w:hyperlink>
      <w:r>
        <w:rPr>
          <w:b w:val="0"/>
          <w:i w:val="0"/>
        </w:rPr>
        <w:t xml:space="preserve">, </w:t>
      </w:r>
      <w:hyperlink w:anchor="passage-i-3-22">
        <w:r>
          <w:rPr>
            <w:color w:val="000000"/>
          </w:rPr>
          <w:t xml:space="preserve">I.3.22</w:t>
        </w:r>
      </w:hyperlink>
      <w:r>
        <w:rPr>
          <w:b w:val="0"/>
          <w:i w:val="0"/>
        </w:rPr>
        <w:t xml:space="preserve">. See </w:t>
      </w:r>
      <w:hyperlink w:anchor="infection-lameness-and-lethe">
        <w:r>
          <w:rPr>
            <w:color w:val="000000"/>
          </w:rPr>
          <w:t xml:space="preserve">Infection, lameness and Lethe</w:t>
        </w:r>
      </w:hyperlink>
      <w:r>
        <w:rPr>
          <w:b w:val="0"/>
          <w:i w:val="0"/>
        </w:rPr>
        <w:t>.</w:t>
      </w:r>
    </w:p>
    <w:p>
      <w:pPr>
        <w:keepNext/>
        <w:widowControl/>
      </w:pPr>
      <w:bookmarkStart w:id="1314" w:name="latin-record-1063"/>
      <w:bookmarkEnd w:id="1314"/>
      <w:r>
        <w:rPr>
          <w:b/>
          <w:i w:val="0"/>
        </w:rPr>
        <w:t>rotare</w:t>
      </w:r>
      <w:r>
        <w:rPr>
          <w:b/>
          <w:i w:val="0"/>
        </w:rPr>
        <w:t>.</w:t>
      </w:r>
      <w:r>
        <w:rPr>
          <w:b w:val="0"/>
          <w:i w:val="0"/>
        </w:rPr>
        <w:t xml:space="preserve"> Printed forms: </w:t>
      </w:r>
      <w:r>
        <w:rPr>
          <w:b w:val="0"/>
          <w:i/>
        </w:rPr>
        <w:t>rotat</w:t>
      </w:r>
      <w:r>
        <w:rPr>
          <w:b w:val="0"/>
          <w:i w:val="0"/>
        </w:rPr>
        <w:t>.</w:t>
      </w:r>
    </w:p>
    <w:p>
      <w:pPr>
        <w:widowControl/>
      </w:pPr>
      <w:r>
        <w:rPr>
          <w:b w:val="0"/>
          <w:i w:val="0"/>
        </w:rPr>
        <w:t xml:space="preserve">Turn or rotate. The attributed saying contrasts the world’s rotation with the mover’s preserved immobility. References: </w:t>
      </w:r>
      <w:hyperlink w:anchor="passage-ii-11-16">
        <w:r>
          <w:rPr>
            <w:color w:val="000000"/>
          </w:rPr>
          <w:t xml:space="preserve">II.11.16</w:t>
        </w:r>
      </w:hyperlink>
      <w:r>
        <w:rPr>
          <w:b w:val="0"/>
          <w:i w:val="0"/>
        </w:rPr>
        <w:t xml:space="preserve">. See </w:t>
      </w:r>
      <w:hyperlink w:anchor="turning-and-direction">
        <w:r>
          <w:rPr>
            <w:color w:val="000000"/>
          </w:rPr>
          <w:t xml:space="preserve">Turning and direction</w:t>
        </w:r>
      </w:hyperlink>
      <w:r>
        <w:rPr>
          <w:b w:val="0"/>
          <w:i w:val="0"/>
        </w:rPr>
        <w:t>.</w:t>
      </w:r>
    </w:p>
    <w:p>
      <w:pPr>
        <w:keepNext/>
        <w:widowControl/>
      </w:pPr>
      <w:bookmarkStart w:id="1315" w:name="latin-record-1064"/>
      <w:bookmarkEnd w:id="1315"/>
      <w:r>
        <w:rPr>
          <w:b/>
          <w:i w:val="0"/>
        </w:rPr>
        <w:t>rotunditas</w:t>
      </w:r>
      <w:r>
        <w:rPr>
          <w:b/>
          <w:i w:val="0"/>
        </w:rPr>
        <w:t>.</w:t>
      </w:r>
      <w:r>
        <w:rPr>
          <w:b w:val="0"/>
          <w:i w:val="0"/>
        </w:rPr>
        <w:t xml:space="preserve"> Printed forms: </w:t>
      </w:r>
      <w:r>
        <w:rPr>
          <w:b w:val="0"/>
          <w:i/>
        </w:rPr>
        <w:t>rotunditatis</w:t>
      </w:r>
      <w:r>
        <w:rPr>
          <w:b w:val="0"/>
          <w:i w:val="0"/>
        </w:rPr>
        <w:t>.</w:t>
      </w:r>
    </w:p>
    <w:p>
      <w:pPr>
        <w:widowControl/>
      </w:pPr>
      <w:r>
        <w:rPr>
          <w:b w:val="0"/>
          <w:i w:val="0"/>
        </w:rPr>
        <w:t xml:space="preserve">Roundness. The earth’s roundness illustrates formal, efficient, and final explanation: idea, making wisdom, and the good judged better. References: </w:t>
      </w:r>
      <w:hyperlink w:anchor="passage-ii-11-27">
        <w:r>
          <w:rPr>
            <w:color w:val="000000"/>
          </w:rPr>
          <w:t xml:space="preserve">II.11.27</w:t>
        </w:r>
      </w:hyperlink>
      <w:r>
        <w:rPr>
          <w:b w:val="0"/>
          <w:i w:val="0"/>
        </w:rPr>
        <w:t xml:space="preserve">. See </w:t>
      </w:r>
      <w:hyperlink w:anchor="cause">
        <w:r>
          <w:rPr>
            <w:color w:val="000000"/>
          </w:rPr>
          <w:t xml:space="preserve">Cause</w:t>
        </w:r>
      </w:hyperlink>
      <w:r>
        <w:rPr>
          <w:b w:val="0"/>
          <w:i w:val="0"/>
        </w:rPr>
        <w:t>.</w:t>
      </w:r>
    </w:p>
    <w:p>
      <w:pPr>
        <w:keepNext/>
        <w:widowControl/>
      </w:pPr>
      <w:bookmarkStart w:id="1316" w:name="latin-record-1065"/>
      <w:bookmarkEnd w:id="1316"/>
      <w:r>
        <w:rPr>
          <w:b/>
          <w:i w:val="0"/>
        </w:rPr>
        <w:t>ruber / viridis / splendor</w:t>
      </w:r>
      <w:r>
        <w:rPr>
          <w:b/>
          <w:i w:val="0"/>
        </w:rPr>
        <w:t>.</w:t>
      </w:r>
      <w:r>
        <w:rPr>
          <w:b w:val="0"/>
          <w:i w:val="0"/>
        </w:rPr>
        <w:t xml:space="preserve"> Printed forms: </w:t>
      </w:r>
      <w:r>
        <w:rPr>
          <w:b w:val="0"/>
          <w:i/>
        </w:rPr>
        <w:t>rubeus</w:t>
      </w:r>
      <w:r>
        <w:rPr>
          <w:b w:val="0"/>
          <w:i w:val="0"/>
        </w:rPr>
        <w:t xml:space="preserve">; </w:t>
      </w:r>
      <w:r>
        <w:rPr>
          <w:b w:val="0"/>
          <w:i/>
        </w:rPr>
        <w:t>rubra</w:t>
      </w:r>
      <w:r>
        <w:rPr>
          <w:b w:val="0"/>
          <w:i w:val="0"/>
        </w:rPr>
        <w:t xml:space="preserve">; </w:t>
      </w:r>
      <w:r>
        <w:rPr>
          <w:b w:val="0"/>
          <w:i/>
        </w:rPr>
        <w:t>rubrum</w:t>
      </w:r>
      <w:r>
        <w:rPr>
          <w:b w:val="0"/>
          <w:i w:val="0"/>
        </w:rPr>
        <w:t xml:space="preserve">; </w:t>
      </w:r>
      <w:r>
        <w:rPr>
          <w:b w:val="0"/>
          <w:i/>
        </w:rPr>
        <w:t>splendor</w:t>
      </w:r>
      <w:r>
        <w:rPr>
          <w:b w:val="0"/>
          <w:i w:val="0"/>
        </w:rPr>
        <w:t xml:space="preserve">; </w:t>
      </w:r>
      <w:r>
        <w:rPr>
          <w:b w:val="0"/>
          <w:i/>
        </w:rPr>
        <w:t>splendores</w:t>
      </w:r>
      <w:r>
        <w:rPr>
          <w:b w:val="0"/>
          <w:i w:val="0"/>
        </w:rPr>
        <w:t xml:space="preserve">; </w:t>
      </w:r>
      <w:r>
        <w:rPr>
          <w:b w:val="0"/>
          <w:i/>
        </w:rPr>
        <w:t>viridem</w:t>
      </w:r>
      <w:r>
        <w:rPr>
          <w:b w:val="0"/>
          <w:i w:val="0"/>
        </w:rPr>
        <w:t xml:space="preserve">; </w:t>
      </w:r>
      <w:r>
        <w:rPr>
          <w:b w:val="0"/>
          <w:i/>
        </w:rPr>
        <w:t>viridis</w:t>
      </w:r>
      <w:r>
        <w:rPr>
          <w:b w:val="0"/>
          <w:i w:val="0"/>
        </w:rPr>
        <w:t>.</w:t>
      </w:r>
    </w:p>
    <w:p>
      <w:pPr>
        <w:widowControl/>
      </w:pPr>
      <w:r>
        <w:rPr>
          <w:b w:val="0"/>
          <w:i w:val="0"/>
        </w:rPr>
        <w:t xml:space="preserve">Red, green, and radiance. Each radiance owes both its luminosity and its color to sunlight as transmitted through particular glass. References: </w:t>
      </w:r>
      <w:hyperlink w:anchor="passage-ii-7-31">
        <w:r>
          <w:rPr>
            <w:color w:val="000000"/>
          </w:rPr>
          <w:t xml:space="preserve">II.7.31</w:t>
        </w:r>
      </w:hyperlink>
      <w:r>
        <w:rPr>
          <w:b w:val="0"/>
          <w:i w:val="0"/>
        </w:rPr>
        <w:t xml:space="preserve">. See </w:t>
      </w:r>
      <w:hyperlink w:anchor="glass-and-colored-radiance">
        <w:r>
          <w:rPr>
            <w:color w:val="000000"/>
          </w:rPr>
          <w:t xml:space="preserve">Glass and colored radiance</w:t>
        </w:r>
      </w:hyperlink>
      <w:r>
        <w:rPr>
          <w:b w:val="0"/>
          <w:i w:val="0"/>
        </w:rPr>
        <w:t>.</w:t>
      </w:r>
    </w:p>
    <w:p>
      <w:pPr>
        <w:keepNext/>
        <w:widowControl/>
      </w:pPr>
      <w:bookmarkStart w:id="1317" w:name="latin-record-1066"/>
      <w:bookmarkEnd w:id="1317"/>
      <w:r>
        <w:rPr>
          <w:b/>
          <w:i w:val="0"/>
        </w:rPr>
        <w:t>ruere in nihilum</w:t>
      </w:r>
      <w:r>
        <w:rPr>
          <w:b/>
          <w:i w:val="0"/>
        </w:rPr>
        <w:t>.</w:t>
      </w:r>
      <w:r>
        <w:rPr>
          <w:b w:val="0"/>
          <w:i w:val="0"/>
        </w:rPr>
        <w:t xml:space="preserve"> Printed forms: </w:t>
      </w:r>
      <w:r>
        <w:rPr>
          <w:b w:val="0"/>
          <w:i/>
        </w:rPr>
        <w:t>in nihilum ruituras</w:t>
      </w:r>
      <w:r>
        <w:rPr>
          <w:b w:val="0"/>
          <w:i w:val="0"/>
        </w:rPr>
        <w:t>.</w:t>
      </w:r>
    </w:p>
    <w:p>
      <w:pPr>
        <w:widowControl/>
      </w:pPr>
      <w:r>
        <w:rPr>
          <w:b w:val="0"/>
          <w:i w:val="0"/>
        </w:rPr>
        <w:t xml:space="preserve">To fall suddenly into nothing. The phrase intensifies the preserving-cause argument: even momentary absence of being itself would remove existence. References: </w:t>
      </w:r>
      <w:hyperlink w:anchor="passage-ii-6-11">
        <w:r>
          <w:rPr>
            <w:color w:val="000000"/>
          </w:rPr>
          <w:t xml:space="preserve">II.6.11</w:t>
        </w:r>
      </w:hyperlink>
      <w:r>
        <w:rPr>
          <w:b w:val="0"/>
          <w:i w:val="0"/>
        </w:rPr>
        <w:t xml:space="preserve">. See </w:t>
      </w:r>
      <w:hyperlink w:anchor="conservation-and-preservation">
        <w:r>
          <w:rPr>
            <w:color w:val="000000"/>
          </w:rPr>
          <w:t xml:space="preserve">Conservation and preservation</w:t>
        </w:r>
      </w:hyperlink>
      <w:r>
        <w:rPr>
          <w:b w:val="0"/>
          <w:i w:val="0"/>
        </w:rPr>
        <w:t>.</w:t>
      </w:r>
    </w:p>
    <w:p>
      <w:pPr>
        <w:keepNext/>
        <w:widowControl/>
      </w:pPr>
      <w:bookmarkStart w:id="1318" w:name="latin-record-1067"/>
      <w:bookmarkEnd w:id="1318"/>
      <w:r>
        <w:rPr>
          <w:b/>
          <w:i w:val="0"/>
        </w:rPr>
        <w:t>saeculum / duratio</w:t>
      </w:r>
      <w:r>
        <w:rPr>
          <w:b/>
          <w:i w:val="0"/>
        </w:rPr>
        <w:t>.</w:t>
      </w:r>
      <w:r>
        <w:rPr>
          <w:b w:val="0"/>
          <w:i w:val="0"/>
        </w:rPr>
        <w:t xml:space="preserve"> Printed forms: </w:t>
      </w:r>
      <w:r>
        <w:rPr>
          <w:b w:val="0"/>
          <w:i/>
        </w:rPr>
        <w:t>durationem</w:t>
      </w:r>
      <w:r>
        <w:rPr>
          <w:b w:val="0"/>
          <w:i w:val="0"/>
        </w:rPr>
        <w:t xml:space="preserve">; </w:t>
      </w:r>
      <w:r>
        <w:rPr>
          <w:b w:val="0"/>
          <w:i/>
        </w:rPr>
        <w:t>durationemque</w:t>
      </w:r>
      <w:r>
        <w:rPr>
          <w:b w:val="0"/>
          <w:i w:val="0"/>
        </w:rPr>
        <w:t xml:space="preserve">; </w:t>
      </w:r>
      <w:r>
        <w:rPr>
          <w:b w:val="0"/>
          <w:i/>
        </w:rPr>
        <w:t>saecula</w:t>
      </w:r>
      <w:r>
        <w:rPr>
          <w:b w:val="0"/>
          <w:i w:val="0"/>
        </w:rPr>
        <w:t>.</w:t>
      </w:r>
    </w:p>
    <w:p>
      <w:pPr>
        <w:widowControl/>
      </w:pPr>
      <w:r>
        <w:rPr>
          <w:b w:val="0"/>
          <w:i w:val="0"/>
        </w:rPr>
        <w:t xml:space="preserve">An age or extended duration; duration can be simple rather than successive. Many ages display cosmic endurance, but simple divine duration must not be pictured as temporal flow. References: </w:t>
      </w:r>
      <w:hyperlink w:anchor="passage-ii-4-7">
        <w:r>
          <w:rPr>
            <w:color w:val="000000"/>
          </w:rPr>
          <w:t xml:space="preserve">II.4.7</w:t>
        </w:r>
      </w:hyperlink>
      <w:r>
        <w:rPr>
          <w:b w:val="0"/>
          <w:i w:val="0"/>
        </w:rPr>
        <w:t xml:space="preserve">, </w:t>
      </w:r>
      <w:hyperlink w:anchor="passage-ii-5-2">
        <w:r>
          <w:rPr>
            <w:color w:val="000000"/>
          </w:rPr>
          <w:t xml:space="preserve">II.5.2</w:t>
        </w:r>
      </w:hyperlink>
      <w:r>
        <w:rPr>
          <w:b w:val="0"/>
          <w:i w:val="0"/>
        </w:rPr>
        <w:t xml:space="preserve">, </w:t>
      </w:r>
      <w:hyperlink w:anchor="passage-ii-6-4">
        <w:r>
          <w:rPr>
            <w:color w:val="000000"/>
          </w:rPr>
          <w:t xml:space="preserve">II.6.4</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1319" w:name="latin-record-1068"/>
      <w:bookmarkEnd w:id="1319"/>
      <w:r>
        <w:rPr>
          <w:b/>
          <w:i w:val="0"/>
        </w:rPr>
        <w:t>sagitta / sagittarius / signum</w:t>
      </w:r>
      <w:r>
        <w:rPr>
          <w:b/>
          <w:i w:val="0"/>
        </w:rPr>
        <w:t>.</w:t>
      </w:r>
      <w:r>
        <w:rPr>
          <w:b w:val="0"/>
          <w:i w:val="0"/>
        </w:rPr>
        <w:t xml:space="preserve"> Printed forms: </w:t>
      </w:r>
      <w:r>
        <w:rPr>
          <w:b w:val="0"/>
          <w:i/>
        </w:rPr>
        <w:t>sagittae</w:t>
      </w:r>
      <w:r>
        <w:rPr>
          <w:b w:val="0"/>
          <w:i w:val="0"/>
        </w:rPr>
        <w:t xml:space="preserve">; </w:t>
      </w:r>
      <w:r>
        <w:rPr>
          <w:b w:val="0"/>
          <w:i/>
        </w:rPr>
        <w:t>sagittarii</w:t>
      </w:r>
      <w:r>
        <w:rPr>
          <w:b w:val="0"/>
          <w:i w:val="0"/>
        </w:rPr>
        <w:t xml:space="preserve">; </w:t>
      </w:r>
      <w:r>
        <w:rPr>
          <w:b w:val="0"/>
          <w:i/>
        </w:rPr>
        <w:t>signum</w:t>
      </w:r>
      <w:r>
        <w:rPr>
          <w:b w:val="0"/>
          <w:i w:val="0"/>
        </w:rPr>
        <w:t>.</w:t>
      </w:r>
    </w:p>
    <w:p>
      <w:pPr>
        <w:widowControl/>
      </w:pPr>
      <w:r>
        <w:rPr>
          <w:b w:val="0"/>
          <w:i w:val="0"/>
        </w:rPr>
        <w:t xml:space="preserve">Arrow / archer / target. The archer’s skill supplies directedness absent from the arrow’s own awareness; signum here is a mark to aim at. References: </w:t>
      </w:r>
      <w:hyperlink w:anchor="passage-ii-13-9">
        <w:r>
          <w:rPr>
            <w:color w:val="000000"/>
          </w:rPr>
          <w:t xml:space="preserve">II.13.9</w:t>
        </w:r>
      </w:hyperlink>
      <w:r>
        <w:rPr>
          <w:b w:val="0"/>
          <w:i w:val="0"/>
        </w:rPr>
        <w:t xml:space="preserve">. See </w:t>
      </w:r>
      <w:hyperlink w:anchor="archer-and-target">
        <w:r>
          <w:rPr>
            <w:color w:val="000000"/>
          </w:rPr>
          <w:t xml:space="preserve">Archer and target</w:t>
        </w:r>
      </w:hyperlink>
      <w:r>
        <w:rPr>
          <w:b w:val="0"/>
          <w:i w:val="0"/>
        </w:rPr>
        <w:t>.</w:t>
      </w:r>
    </w:p>
    <w:p>
      <w:pPr>
        <w:keepNext/>
        <w:widowControl/>
      </w:pPr>
      <w:bookmarkStart w:id="1320" w:name="latin-record-1069"/>
      <w:bookmarkEnd w:id="1320"/>
      <w:r>
        <w:rPr>
          <w:b/>
          <w:i w:val="0"/>
        </w:rPr>
        <w:t>sapientia / sapiens</w:t>
      </w:r>
      <w:r>
        <w:rPr>
          <w:b/>
          <w:i w:val="0"/>
        </w:rPr>
        <w:t>.</w:t>
      </w:r>
      <w:r>
        <w:rPr>
          <w:b w:val="0"/>
          <w:i w:val="0"/>
        </w:rPr>
        <w:t xml:space="preserve"> Printed forms: </w:t>
      </w:r>
      <w:r>
        <w:rPr>
          <w:b w:val="0"/>
          <w:i/>
        </w:rPr>
        <w:t>sapientia</w:t>
      </w:r>
      <w:r>
        <w:rPr>
          <w:b w:val="0"/>
          <w:i w:val="0"/>
        </w:rPr>
        <w:t xml:space="preserve">; </w:t>
      </w:r>
      <w:r>
        <w:rPr>
          <w:b w:val="0"/>
          <w:i/>
        </w:rPr>
        <w:t>sapientiae</w:t>
      </w:r>
      <w:r>
        <w:rPr>
          <w:b w:val="0"/>
          <w:i w:val="0"/>
        </w:rPr>
        <w:t xml:space="preserve">; </w:t>
      </w:r>
      <w:r>
        <w:rPr>
          <w:b w:val="0"/>
          <w:i/>
        </w:rPr>
        <w:t>sapientissima</w:t>
      </w:r>
      <w:r>
        <w:rPr>
          <w:b w:val="0"/>
          <w:i w:val="0"/>
        </w:rPr>
        <w:t xml:space="preserve">; </w:t>
      </w:r>
      <w:r>
        <w:rPr>
          <w:b w:val="0"/>
          <w:i/>
        </w:rPr>
        <w:t>sapientissimi</w:t>
      </w:r>
      <w:r>
        <w:rPr>
          <w:b w:val="0"/>
          <w:i w:val="0"/>
        </w:rPr>
        <w:t>.</w:t>
      </w:r>
    </w:p>
    <w:p>
      <w:pPr>
        <w:widowControl/>
      </w:pPr>
      <w:r>
        <w:rPr>
          <w:b w:val="0"/>
          <w:i w:val="0"/>
        </w:rPr>
        <w:t xml:space="preserve">Wisdom / wise. Wisdom supplies the purpose and order that bare material powers do not explain in Ficino’s argument. References: </w:t>
      </w:r>
      <w:hyperlink w:anchor="passage-ii-11-23">
        <w:r>
          <w:rPr>
            <w:color w:val="000000"/>
          </w:rPr>
          <w:t xml:space="preserve">II.11.23</w:t>
        </w:r>
      </w:hyperlink>
      <w:r>
        <w:rPr>
          <w:b w:val="0"/>
          <w:i w:val="0"/>
        </w:rPr>
        <w:t xml:space="preserve">, </w:t>
      </w:r>
      <w:hyperlink w:anchor="passage-ii-13-20">
        <w:r>
          <w:rPr>
            <w:color w:val="000000"/>
          </w:rPr>
          <w:t xml:space="preserve">II.13.20</w:t>
        </w:r>
      </w:hyperlink>
      <w:r>
        <w:rPr>
          <w:b w:val="0"/>
          <w:i w:val="0"/>
        </w:rPr>
        <w:t xml:space="preserve">. See </w:t>
      </w:r>
      <w:hyperlink w:anchor="art-and-nature">
        <w:r>
          <w:rPr>
            <w:color w:val="000000"/>
          </w:rPr>
          <w:t xml:space="preserve">Art and nature</w:t>
        </w:r>
      </w:hyperlink>
      <w:r>
        <w:rPr>
          <w:b w:val="0"/>
          <w:i w:val="0"/>
        </w:rPr>
        <w:t>.</w:t>
      </w:r>
    </w:p>
    <w:p>
      <w:pPr>
        <w:keepNext/>
        <w:widowControl/>
      </w:pPr>
      <w:bookmarkStart w:id="1321" w:name="latin-record-1070"/>
      <w:bookmarkEnd w:id="1321"/>
      <w:r>
        <w:rPr>
          <w:b/>
          <w:i w:val="0"/>
        </w:rPr>
        <w:t>sapientioribus se dimittere</w:t>
      </w:r>
      <w:r>
        <w:rPr>
          <w:b/>
          <w:i w:val="0"/>
        </w:rPr>
        <w:t>.</w:t>
      </w:r>
      <w:r>
        <w:rPr>
          <w:b w:val="0"/>
          <w:i w:val="0"/>
        </w:rPr>
        <w:t xml:space="preserve"> Printed forms: </w:t>
      </w:r>
      <w:r>
        <w:rPr>
          <w:b w:val="0"/>
          <w:i/>
        </w:rPr>
        <w:t>sapientioribus se dimittere</w:t>
      </w:r>
      <w:r>
        <w:rPr>
          <w:b w:val="0"/>
          <w:i w:val="0"/>
        </w:rPr>
        <w:t>.</w:t>
      </w:r>
    </w:p>
    <w:p>
      <w:pPr>
        <w:widowControl/>
      </w:pPr>
      <w:r>
        <w:rPr>
          <w:b w:val="0"/>
          <w:i w:val="0"/>
        </w:rPr>
        <w:t xml:space="preserve">To defer to those who are wiser, as rendered here. This short editorial unit continues the preceding report about Aristotle’s calculation and should be read across the unit break. References: </w:t>
      </w:r>
      <w:hyperlink w:anchor="passage-i-5-21">
        <w:r>
          <w:rPr>
            <w:color w:val="000000"/>
          </w:rPr>
          <w:t xml:space="preserve">I.5.21</w:t>
        </w:r>
      </w:hyperlink>
      <w:r>
        <w:rPr>
          <w:b w:val="0"/>
          <w:i w:val="0"/>
        </w:rPr>
        <w:t xml:space="preserve">. See </w:t>
      </w:r>
      <w:hyperlink w:anchor="aristotle-avicenna-and-counting-minds">
        <w:r>
          <w:rPr>
            <w:color w:val="000000"/>
          </w:rPr>
          <w:t xml:space="preserve">Aristotle, Avicenna and counting minds</w:t>
        </w:r>
      </w:hyperlink>
      <w:r>
        <w:rPr>
          <w:b w:val="0"/>
          <w:i w:val="0"/>
        </w:rPr>
        <w:t>.</w:t>
      </w:r>
    </w:p>
    <w:p>
      <w:pPr>
        <w:keepNext/>
        <w:widowControl/>
      </w:pPr>
      <w:bookmarkStart w:id="1322" w:name="latin-record-1071"/>
      <w:bookmarkEnd w:id="1322"/>
      <w:r>
        <w:rPr>
          <w:b/>
          <w:i w:val="0"/>
        </w:rPr>
        <w:t>scaturire / vena</w:t>
      </w:r>
      <w:r>
        <w:rPr>
          <w:b/>
          <w:i w:val="0"/>
        </w:rPr>
        <w:t>.</w:t>
      </w:r>
      <w:r>
        <w:rPr>
          <w:b w:val="0"/>
          <w:i w:val="0"/>
        </w:rPr>
        <w:t xml:space="preserve"> Printed forms: </w:t>
      </w:r>
      <w:r>
        <w:rPr>
          <w:b w:val="0"/>
          <w:i/>
        </w:rPr>
        <w:t>scaturiens</w:t>
      </w:r>
      <w:r>
        <w:rPr>
          <w:b w:val="0"/>
          <w:i w:val="0"/>
        </w:rPr>
        <w:t xml:space="preserve">; </w:t>
      </w:r>
      <w:r>
        <w:rPr>
          <w:b w:val="0"/>
          <w:i/>
        </w:rPr>
        <w:t>Scaturiet</w:t>
      </w:r>
      <w:r>
        <w:rPr>
          <w:b w:val="0"/>
          <w:i w:val="0"/>
        </w:rPr>
        <w:t xml:space="preserve">; </w:t>
      </w:r>
      <w:r>
        <w:rPr>
          <w:b w:val="0"/>
          <w:i/>
        </w:rPr>
        <w:t>vena</w:t>
      </w:r>
      <w:r>
        <w:rPr>
          <w:b w:val="0"/>
          <w:i w:val="0"/>
        </w:rPr>
        <w:t>.</w:t>
      </w:r>
    </w:p>
    <w:p>
      <w:pPr>
        <w:widowControl/>
      </w:pPr>
      <w:r>
        <w:rPr>
          <w:b w:val="0"/>
          <w:i w:val="0"/>
        </w:rPr>
        <w:t xml:space="preserve">To well up or spring forth; a vein or spring-channel. Identical effects springing from one unrestricted source cannot explain the two proposed differentiating properties. References: </w:t>
      </w:r>
      <w:hyperlink w:anchor="passage-ii-2-4">
        <w:r>
          <w:rPr>
            <w:color w:val="000000"/>
          </w:rPr>
          <w:t xml:space="preserve">II.2.4</w:t>
        </w:r>
      </w:hyperlink>
      <w:r>
        <w:rPr>
          <w:b w:val="0"/>
          <w:i w:val="0"/>
        </w:rPr>
        <w:t xml:space="preserve">. See </w:t>
      </w:r>
      <w:hyperlink w:anchor="spring-and-flow">
        <w:r>
          <w:rPr>
            <w:color w:val="000000"/>
          </w:rPr>
          <w:t xml:space="preserve">Spring and flow</w:t>
        </w:r>
      </w:hyperlink>
      <w:r>
        <w:rPr>
          <w:b w:val="0"/>
          <w:i w:val="0"/>
        </w:rPr>
        <w:t>.</w:t>
      </w:r>
    </w:p>
    <w:p>
      <w:pPr>
        <w:keepNext/>
        <w:widowControl/>
      </w:pPr>
      <w:bookmarkStart w:id="1323" w:name="latin-record-1072"/>
      <w:bookmarkEnd w:id="1323"/>
      <w:r>
        <w:rPr>
          <w:b/>
          <w:i w:val="0"/>
        </w:rPr>
        <w:t>scientia / comprehendere</w:t>
      </w:r>
      <w:r>
        <w:rPr>
          <w:b/>
          <w:i w:val="0"/>
        </w:rPr>
        <w:t>.</w:t>
      </w:r>
      <w:r>
        <w:rPr>
          <w:b w:val="0"/>
          <w:i w:val="0"/>
        </w:rPr>
        <w:t xml:space="preserve"> Printed forms: </w:t>
      </w:r>
      <w:r>
        <w:rPr>
          <w:b w:val="0"/>
          <w:i/>
        </w:rPr>
        <w:t>comprehendantur</w:t>
      </w:r>
      <w:r>
        <w:rPr>
          <w:b w:val="0"/>
          <w:i w:val="0"/>
        </w:rPr>
        <w:t xml:space="preserve">; </w:t>
      </w:r>
      <w:r>
        <w:rPr>
          <w:b w:val="0"/>
          <w:i/>
        </w:rPr>
        <w:t>Comprehendi</w:t>
      </w:r>
      <w:r>
        <w:rPr>
          <w:b w:val="0"/>
          <w:i w:val="0"/>
        </w:rPr>
        <w:t xml:space="preserve">; </w:t>
      </w:r>
      <w:r>
        <w:rPr>
          <w:b w:val="0"/>
          <w:i/>
        </w:rPr>
        <w:t>comprehendi</w:t>
      </w:r>
      <w:r>
        <w:rPr>
          <w:b w:val="0"/>
          <w:i w:val="0"/>
        </w:rPr>
        <w:t xml:space="preserve">; </w:t>
      </w:r>
      <w:r>
        <w:rPr>
          <w:b w:val="0"/>
          <w:i/>
        </w:rPr>
        <w:t>comprehendit</w:t>
      </w:r>
      <w:r>
        <w:rPr>
          <w:b w:val="0"/>
          <w:i w:val="0"/>
        </w:rPr>
        <w:t xml:space="preserve">; </w:t>
      </w:r>
      <w:r>
        <w:rPr>
          <w:b w:val="0"/>
          <w:i/>
        </w:rPr>
        <w:t>comprehenduntur</w:t>
      </w:r>
      <w:r>
        <w:rPr>
          <w:b w:val="0"/>
          <w:i w:val="0"/>
        </w:rPr>
        <w:t xml:space="preserve">; </w:t>
      </w:r>
      <w:r>
        <w:rPr>
          <w:b w:val="0"/>
          <w:i/>
        </w:rPr>
        <w:t>scientia</w:t>
      </w:r>
      <w:r>
        <w:rPr>
          <w:b w:val="0"/>
          <w:i w:val="0"/>
        </w:rPr>
        <w:t>.</w:t>
      </w:r>
    </w:p>
    <w:p>
      <w:pPr>
        <w:widowControl/>
      </w:pPr>
      <w:r>
        <w:rPr>
          <w:b w:val="0"/>
          <w:i w:val="0"/>
        </w:rPr>
        <w:t xml:space="preserve">Knowledge; to grasp or comprehend, with a disputed sense of bounding. An infinite regress would block causal knowledge; divine self-comprehension is distinguished from limitation by another. References: </w:t>
      </w:r>
      <w:hyperlink w:anchor="passage-ii-3-9">
        <w:r>
          <w:rPr>
            <w:color w:val="000000"/>
          </w:rPr>
          <w:t xml:space="preserve">II.3.9</w:t>
        </w:r>
      </w:hyperlink>
      <w:r>
        <w:rPr>
          <w:b w:val="0"/>
          <w:i w:val="0"/>
        </w:rPr>
        <w:t xml:space="preserve">, </w:t>
      </w:r>
      <w:hyperlink w:anchor="passage-ii-9-15">
        <w:r>
          <w:rPr>
            <w:color w:val="000000"/>
          </w:rPr>
          <w:t xml:space="preserve">II.9.15</w:t>
        </w:r>
      </w:hyperlink>
      <w:r>
        <w:rPr>
          <w:b w:val="0"/>
          <w:i w:val="0"/>
        </w:rPr>
        <w:t xml:space="preserve">, </w:t>
      </w:r>
      <w:hyperlink w:anchor="passage-ii-10-8">
        <w:r>
          <w:rPr>
            <w:color w:val="000000"/>
          </w:rPr>
          <w:t xml:space="preserve">II.10.8</w:t>
        </w:r>
      </w:hyperlink>
      <w:r>
        <w:rPr>
          <w:b w:val="0"/>
          <w:i w:val="0"/>
        </w:rPr>
        <w:t xml:space="preserve">, </w:t>
      </w:r>
      <w:hyperlink w:anchor="passage-ii-10-9">
        <w:r>
          <w:rPr>
            <w:color w:val="000000"/>
          </w:rPr>
          <w:t xml:space="preserve">II.10.9</w:t>
        </w:r>
      </w:hyperlink>
      <w:r>
        <w:rPr>
          <w:b w:val="0"/>
          <w:i w:val="0"/>
        </w:rPr>
        <w:t xml:space="preserve">. See </w:t>
      </w:r>
      <w:hyperlink w:anchor="intuition-and-comprehension">
        <w:r>
          <w:rPr>
            <w:color w:val="000000"/>
          </w:rPr>
          <w:t xml:space="preserve">Intuition and comprehension</w:t>
        </w:r>
      </w:hyperlink>
      <w:r>
        <w:rPr>
          <w:b w:val="0"/>
          <w:i w:val="0"/>
        </w:rPr>
        <w:t>.</w:t>
      </w:r>
    </w:p>
    <w:p>
      <w:pPr>
        <w:keepNext/>
        <w:widowControl/>
      </w:pPr>
      <w:bookmarkStart w:id="1324" w:name="latin-record-1073"/>
      <w:bookmarkEnd w:id="1324"/>
      <w:r>
        <w:rPr>
          <w:b/>
          <w:i w:val="0"/>
        </w:rPr>
        <w:t>scintilla / flamma</w:t>
      </w:r>
      <w:r>
        <w:rPr>
          <w:b/>
          <w:i w:val="0"/>
        </w:rPr>
        <w:t>.</w:t>
      </w:r>
      <w:r>
        <w:rPr>
          <w:b w:val="0"/>
          <w:i w:val="0"/>
        </w:rPr>
        <w:t xml:space="preserve"> Printed forms: </w:t>
      </w:r>
      <w:r>
        <w:rPr>
          <w:b w:val="0"/>
          <w:i/>
        </w:rPr>
        <w:t>flammam</w:t>
      </w:r>
      <w:r>
        <w:rPr>
          <w:b w:val="0"/>
          <w:i w:val="0"/>
        </w:rPr>
        <w:t xml:space="preserve">; </w:t>
      </w:r>
      <w:r>
        <w:rPr>
          <w:b w:val="0"/>
          <w:i/>
        </w:rPr>
        <w:t>Scintilla</w:t>
      </w:r>
      <w:r>
        <w:rPr>
          <w:b w:val="0"/>
          <w:i w:val="0"/>
        </w:rPr>
        <w:t xml:space="preserve">; </w:t>
      </w:r>
      <w:r>
        <w:rPr>
          <w:b w:val="0"/>
          <w:i/>
        </w:rPr>
        <w:t>scintillam</w:t>
      </w:r>
      <w:r>
        <w:rPr>
          <w:b w:val="0"/>
          <w:i w:val="0"/>
        </w:rPr>
        <w:t>.</w:t>
      </w:r>
    </w:p>
    <w:p>
      <w:pPr>
        <w:widowControl/>
      </w:pPr>
      <w:r>
        <w:rPr>
          <w:b w:val="0"/>
          <w:i w:val="0"/>
        </w:rPr>
        <w:t xml:space="preserve">A spark and a flame. The smaller spark illustrates faster ascent; a spark’s potentially extensive spread later supports the priority of force over size. References: </w:t>
      </w:r>
      <w:hyperlink w:anchor="passage-i-2-2">
        <w:r>
          <w:rPr>
            <w:color w:val="000000"/>
          </w:rPr>
          <w:t xml:space="preserve">I.2.2</w:t>
        </w:r>
      </w:hyperlink>
      <w:r>
        <w:rPr>
          <w:b w:val="0"/>
          <w:i w:val="0"/>
        </w:rPr>
        <w:t xml:space="preserve">, </w:t>
      </w:r>
      <w:hyperlink w:anchor="passage-i-2-5">
        <w:r>
          <w:rPr>
            <w:color w:val="000000"/>
          </w:rPr>
          <w:t xml:space="preserve">I.2.5</w:t>
        </w:r>
      </w:hyperlink>
      <w:r>
        <w:rPr>
          <w:b w:val="0"/>
          <w:i w:val="0"/>
        </w:rPr>
        <w:t xml:space="preserve">. See </w:t>
      </w:r>
      <w:hyperlink w:anchor="fire-spark-lightning-and-cannon">
        <w:r>
          <w:rPr>
            <w:color w:val="000000"/>
          </w:rPr>
          <w:t xml:space="preserve">Fire, spark, lightning and cannon</w:t>
        </w:r>
      </w:hyperlink>
      <w:r>
        <w:rPr>
          <w:b w:val="0"/>
          <w:i w:val="0"/>
        </w:rPr>
        <w:t>.</w:t>
      </w:r>
    </w:p>
    <w:p>
      <w:pPr>
        <w:keepNext/>
        <w:widowControl/>
      </w:pPr>
      <w:bookmarkStart w:id="1325" w:name="latin-record-1074"/>
      <w:bookmarkEnd w:id="1325"/>
      <w:r>
        <w:rPr>
          <w:b/>
          <w:i w:val="0"/>
        </w:rPr>
        <w:t>scribere</w:t>
      </w:r>
      <w:r>
        <w:rPr>
          <w:b/>
          <w:i w:val="0"/>
        </w:rPr>
        <w:t>.</w:t>
      </w:r>
      <w:r>
        <w:rPr>
          <w:b w:val="0"/>
          <w:i w:val="0"/>
        </w:rPr>
        <w:t xml:space="preserve"> Printed forms: </w:t>
      </w:r>
      <w:r>
        <w:rPr>
          <w:b w:val="0"/>
          <w:i/>
        </w:rPr>
        <w:t>scripti</w:t>
      </w:r>
      <w:r>
        <w:rPr>
          <w:b w:val="0"/>
          <w:i w:val="0"/>
        </w:rPr>
        <w:t>.</w:t>
      </w:r>
    </w:p>
    <w:p>
      <w:pPr>
        <w:widowControl/>
      </w:pPr>
      <w:r>
        <w:rPr>
          <w:b w:val="0"/>
          <w:i w:val="0"/>
        </w:rPr>
        <w:t xml:space="preserve">Write or inscribe. Future events are metaphorically inscribed in divine foreknowledge; the surrounding argument includes their causes and modes. References: </w:t>
      </w:r>
      <w:hyperlink w:anchor="passage-ii-13-25">
        <w:r>
          <w:rPr>
            <w:color w:val="000000"/>
          </w:rPr>
          <w:t xml:space="preserve">II.13.25</w:t>
        </w:r>
      </w:hyperlink>
      <w:r>
        <w:rPr>
          <w:b w:val="0"/>
          <w:i w:val="0"/>
        </w:rPr>
        <w:t xml:space="preserve">. See </w:t>
      </w:r>
      <w:hyperlink w:anchor="foreknowledge">
        <w:r>
          <w:rPr>
            <w:color w:val="000000"/>
          </w:rPr>
          <w:t xml:space="preserve">Foreknowledge</w:t>
        </w:r>
      </w:hyperlink>
      <w:r>
        <w:rPr>
          <w:b w:val="0"/>
          <w:i w:val="0"/>
        </w:rPr>
        <w:t>.</w:t>
      </w:r>
    </w:p>
    <w:p>
      <w:pPr>
        <w:keepNext/>
        <w:widowControl/>
      </w:pPr>
      <w:bookmarkStart w:id="1326" w:name="latin-record-1075"/>
      <w:bookmarkEnd w:id="1326"/>
      <w:r>
        <w:rPr>
          <w:b/>
          <w:i w:val="0"/>
        </w:rPr>
        <w:t>se habere</w:t>
      </w:r>
      <w:r>
        <w:rPr>
          <w:b/>
          <w:i w:val="0"/>
        </w:rPr>
        <w:t>.</w:t>
      </w:r>
      <w:r>
        <w:rPr>
          <w:b w:val="0"/>
          <w:i w:val="0"/>
        </w:rPr>
        <w:t xml:space="preserve"> Printed forms: </w:t>
      </w:r>
      <w:r>
        <w:rPr>
          <w:b w:val="0"/>
          <w:i/>
        </w:rPr>
        <w:t>habituras</w:t>
      </w:r>
      <w:r>
        <w:rPr>
          <w:b w:val="0"/>
          <w:i w:val="0"/>
        </w:rPr>
        <w:t>.</w:t>
      </w:r>
    </w:p>
    <w:p>
      <w:pPr>
        <w:widowControl/>
      </w:pPr>
      <w:r>
        <w:rPr>
          <w:b w:val="0"/>
          <w:i w:val="0"/>
        </w:rPr>
        <w:t xml:space="preserve">To fare or be in a condition. The future participle habituras agrees with res in the indirect question about how badly things would fare without God; it is not habitual possession. References: </w:t>
      </w:r>
      <w:hyperlink w:anchor="passage-ii-6-11">
        <w:r>
          <w:rPr>
            <w:color w:val="000000"/>
          </w:rPr>
          <w:t xml:space="preserve">II.6.11</w:t>
        </w:r>
      </w:hyperlink>
      <w:r>
        <w:rPr>
          <w:b w:val="0"/>
          <w:i w:val="0"/>
        </w:rPr>
        <w:t xml:space="preserve">. See </w:t>
      </w:r>
      <w:hyperlink w:anchor="conservation-and-preservation">
        <w:r>
          <w:rPr>
            <w:color w:val="000000"/>
          </w:rPr>
          <w:t xml:space="preserve">Conservation and preservation</w:t>
        </w:r>
      </w:hyperlink>
      <w:r>
        <w:rPr>
          <w:b w:val="0"/>
          <w:i w:val="0"/>
        </w:rPr>
        <w:t>.</w:t>
      </w:r>
    </w:p>
    <w:p>
      <w:pPr>
        <w:keepNext/>
        <w:widowControl/>
      </w:pPr>
      <w:bookmarkStart w:id="1327" w:name="latin-record-1076"/>
      <w:bookmarkEnd w:id="1327"/>
      <w:r>
        <w:rPr>
          <w:b/>
          <w:i w:val="0"/>
        </w:rPr>
        <w:t>se regere / se sistere</w:t>
      </w:r>
      <w:r>
        <w:rPr>
          <w:b/>
          <w:i w:val="0"/>
        </w:rPr>
        <w:t>.</w:t>
      </w:r>
      <w:r>
        <w:rPr>
          <w:b w:val="0"/>
          <w:i w:val="0"/>
        </w:rPr>
        <w:t xml:space="preserve"> Printed forms: </w:t>
      </w:r>
      <w:r>
        <w:rPr>
          <w:b w:val="0"/>
          <w:i/>
        </w:rPr>
        <w:t>se ipsam regit</w:t>
      </w:r>
      <w:r>
        <w:rPr>
          <w:b w:val="0"/>
          <w:i w:val="0"/>
        </w:rPr>
        <w:t xml:space="preserve">; </w:t>
      </w:r>
      <w:r>
        <w:rPr>
          <w:b w:val="0"/>
          <w:i/>
        </w:rPr>
        <w:t>se sistit</w:t>
      </w:r>
      <w:r>
        <w:rPr>
          <w:b w:val="0"/>
          <w:i w:val="0"/>
        </w:rPr>
        <w:t>.</w:t>
      </w:r>
    </w:p>
    <w:p>
      <w:pPr>
        <w:widowControl/>
      </w:pPr>
      <w:r>
        <w:rPr>
          <w:b w:val="0"/>
          <w:i w:val="0"/>
        </w:rPr>
        <w:t xml:space="preserve">To govern itself and remain grounded in its nature. Self-moving soul shares mutability with body and self-maintenance with stability, making it a mediator. References: </w:t>
      </w:r>
      <w:hyperlink w:anchor="passage-iv-1-65">
        <w:r>
          <w:rPr>
            <w:color w:val="000000"/>
          </w:rPr>
          <w:t xml:space="preserve">IV.1.65</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1328" w:name="latin-record-1077"/>
      <w:bookmarkEnd w:id="1328"/>
      <w:r>
        <w:rPr>
          <w:b/>
          <w:i w:val="0"/>
        </w:rPr>
        <w:t>se toto</w:t>
      </w:r>
      <w:r>
        <w:rPr>
          <w:b/>
          <w:i w:val="0"/>
        </w:rPr>
        <w:t>.</w:t>
      </w:r>
      <w:r>
        <w:rPr>
          <w:b w:val="0"/>
          <w:i w:val="0"/>
        </w:rPr>
        <w:t xml:space="preserve"> Printed forms: </w:t>
      </w:r>
      <w:r>
        <w:rPr>
          <w:b w:val="0"/>
          <w:i/>
        </w:rPr>
        <w:t>se toto</w:t>
      </w:r>
      <w:r>
        <w:rPr>
          <w:b w:val="0"/>
          <w:i w:val="0"/>
        </w:rPr>
        <w:t>.</w:t>
      </w:r>
    </w:p>
    <w:p>
      <w:pPr>
        <w:widowControl/>
      </w:pPr>
      <w:r>
        <w:rPr>
          <w:b w:val="0"/>
          <w:i w:val="0"/>
        </w:rPr>
        <w:t xml:space="preserve">With the whole of its being. This describes the natural agent’s undivided exertion, not uniformity of every result regardless of the recipient. References: </w:t>
      </w:r>
      <w:hyperlink w:anchor="passage-ii-11-9">
        <w:r>
          <w:rPr>
            <w:color w:val="000000"/>
          </w:rPr>
          <w:t xml:space="preserve">II.11.9</w:t>
        </w:r>
      </w:hyperlink>
      <w:r>
        <w:rPr>
          <w:b w:val="0"/>
          <w:i w:val="0"/>
        </w:rPr>
        <w:t xml:space="preserve">, </w:t>
      </w:r>
      <w:hyperlink w:anchor="passage-ii-13-7">
        <w:r>
          <w:rPr>
            <w:color w:val="000000"/>
          </w:rPr>
          <w:t xml:space="preserve">II.13.7</w:t>
        </w:r>
      </w:hyperlink>
      <w:r>
        <w:rPr>
          <w:b w:val="0"/>
          <w:i w:val="0"/>
        </w:rPr>
        <w:t xml:space="preserve">. See </w:t>
      </w:r>
      <w:hyperlink w:anchor="fire-and-variable-materials">
        <w:r>
          <w:rPr>
            <w:color w:val="000000"/>
          </w:rPr>
          <w:t xml:space="preserve">Fire and variable materials</w:t>
        </w:r>
      </w:hyperlink>
      <w:r>
        <w:rPr>
          <w:b w:val="0"/>
          <w:i w:val="0"/>
        </w:rPr>
        <w:t>.</w:t>
      </w:r>
    </w:p>
    <w:p>
      <w:pPr>
        <w:keepNext/>
        <w:widowControl/>
      </w:pPr>
      <w:bookmarkStart w:id="1329" w:name="latin-record-1078"/>
      <w:bookmarkEnd w:id="1329"/>
      <w:r>
        <w:rPr>
          <w:b/>
          <w:i w:val="0"/>
        </w:rPr>
        <w:t>secunda intentio</w:t>
      </w:r>
      <w:r>
        <w:rPr>
          <w:b/>
          <w:i w:val="0"/>
        </w:rPr>
        <w:t>.</w:t>
      </w:r>
      <w:r>
        <w:rPr>
          <w:b w:val="0"/>
          <w:i w:val="0"/>
        </w:rPr>
        <w:t xml:space="preserve"> Printed forms: </w:t>
      </w:r>
      <w:r>
        <w:rPr>
          <w:b w:val="0"/>
          <w:i/>
        </w:rPr>
        <w:t>secunda quadam intentione</w:t>
      </w:r>
      <w:r>
        <w:rPr>
          <w:b w:val="0"/>
          <w:i w:val="0"/>
        </w:rPr>
        <w:t>.</w:t>
      </w:r>
    </w:p>
    <w:p>
      <w:pPr>
        <w:widowControl/>
      </w:pPr>
      <w:r>
        <w:rPr>
          <w:b w:val="0"/>
          <w:i w:val="0"/>
        </w:rPr>
        <w:t xml:space="preserve">At a second directed remove in the order. Soul retains essential and spatial unity but loses the mode of unity that excludes successive moments. References: </w:t>
      </w:r>
      <w:hyperlink w:anchor="passage-iv-2-7">
        <w:r>
          <w:rPr>
            <w:color w:val="000000"/>
          </w:rPr>
          <w:t xml:space="preserve">IV.2.7</w:t>
        </w:r>
      </w:hyperlink>
      <w:r>
        <w:rPr>
          <w:b w:val="0"/>
          <w:i w:val="0"/>
        </w:rPr>
        <w:t xml:space="preserve">. See </w:t>
      </w:r>
      <w:hyperlink w:anchor="intention">
        <w:r>
          <w:rPr>
            <w:color w:val="000000"/>
          </w:rPr>
          <w:t xml:space="preserve">Intention</w:t>
        </w:r>
      </w:hyperlink>
      <w:r>
        <w:rPr>
          <w:b w:val="0"/>
          <w:i w:val="0"/>
        </w:rPr>
        <w:t>.</w:t>
      </w:r>
    </w:p>
    <w:p>
      <w:pPr>
        <w:keepNext/>
        <w:widowControl/>
      </w:pPr>
      <w:bookmarkStart w:id="1330" w:name="latin-record-1079"/>
      <w:bookmarkEnd w:id="1330"/>
      <w:r>
        <w:rPr>
          <w:b/>
          <w:i w:val="0"/>
        </w:rPr>
        <w:t>secundum causam / per formam</w:t>
      </w:r>
      <w:r>
        <w:rPr>
          <w:b/>
          <w:i w:val="0"/>
        </w:rPr>
        <w:t>.</w:t>
      </w:r>
      <w:r>
        <w:rPr>
          <w:b w:val="0"/>
          <w:i w:val="0"/>
        </w:rPr>
        <w:t xml:space="preserve"> Printed forms: </w:t>
      </w:r>
      <w:r>
        <w:rPr>
          <w:b w:val="0"/>
          <w:i/>
        </w:rPr>
        <w:t>per formam</w:t>
      </w:r>
      <w:r>
        <w:rPr>
          <w:b w:val="0"/>
          <w:i w:val="0"/>
        </w:rPr>
        <w:t xml:space="preserve">; </w:t>
      </w:r>
      <w:r>
        <w:rPr>
          <w:b w:val="0"/>
          <w:i/>
        </w:rPr>
        <w:t>secundum causam</w:t>
      </w:r>
      <w:r>
        <w:rPr>
          <w:b w:val="0"/>
          <w:i w:val="0"/>
        </w:rPr>
        <w:t>.</w:t>
      </w:r>
    </w:p>
    <w:p>
      <w:pPr>
        <w:widowControl/>
      </w:pPr>
      <w:r>
        <w:rPr>
          <w:b w:val="0"/>
          <w:i w:val="0"/>
        </w:rPr>
        <w:t xml:space="preserve">By causal relation rather than the form proper to a kind. The qualification prevents divine intelligence from being classified as one more member of the genus of minds. References: </w:t>
      </w:r>
      <w:hyperlink w:anchor="passage-ii-9-12">
        <w:r>
          <w:rPr>
            <w:color w:val="000000"/>
          </w:rPr>
          <w:t xml:space="preserve">II.9.12</w:t>
        </w:r>
      </w:hyperlink>
      <w:r>
        <w:rPr>
          <w:b w:val="0"/>
          <w:i w:val="0"/>
        </w:rPr>
        <w:t xml:space="preserve">. See </w:t>
      </w:r>
      <w:hyperlink w:anchor="naming-by-cause">
        <w:r>
          <w:rPr>
            <w:color w:val="000000"/>
          </w:rPr>
          <w:t xml:space="preserve">Naming by cause</w:t>
        </w:r>
      </w:hyperlink>
      <w:r>
        <w:rPr>
          <w:b w:val="0"/>
          <w:i w:val="0"/>
        </w:rPr>
        <w:t>.</w:t>
      </w:r>
    </w:p>
    <w:p>
      <w:pPr>
        <w:keepNext/>
        <w:widowControl/>
      </w:pPr>
      <w:bookmarkStart w:id="1331" w:name="latin-record-1080"/>
      <w:bookmarkEnd w:id="1331"/>
      <w:r>
        <w:rPr>
          <w:b/>
          <w:i w:val="0"/>
        </w:rPr>
        <w:t>secundum partem / ex toto</w:t>
      </w:r>
      <w:r>
        <w:rPr>
          <w:b/>
          <w:i w:val="0"/>
        </w:rPr>
        <w:t>.</w:t>
      </w:r>
      <w:r>
        <w:rPr>
          <w:b w:val="0"/>
          <w:i w:val="0"/>
        </w:rPr>
        <w:t xml:space="preserve"> Printed forms: </w:t>
      </w:r>
      <w:r>
        <w:rPr>
          <w:b w:val="0"/>
          <w:i/>
        </w:rPr>
        <w:t>ex toto</w:t>
      </w:r>
      <w:r>
        <w:rPr>
          <w:b w:val="0"/>
          <w:i w:val="0"/>
        </w:rPr>
        <w:t xml:space="preserve">; </w:t>
      </w:r>
      <w:r>
        <w:rPr>
          <w:b w:val="0"/>
          <w:i/>
        </w:rPr>
        <w:t>secundum partem</w:t>
      </w:r>
      <w:r>
        <w:rPr>
          <w:b w:val="0"/>
          <w:i w:val="0"/>
        </w:rPr>
        <w:t>.</w:t>
      </w:r>
    </w:p>
    <w:p>
      <w:pPr>
        <w:widowControl/>
      </w:pPr>
      <w:r>
        <w:rPr>
          <w:b w:val="0"/>
          <w:i w:val="0"/>
        </w:rPr>
        <w:t xml:space="preserve">In part and throughout. Wood hot in part and fire hot throughout model partial intellectual possession in soul versus a higher nature wholly mind. References: </w:t>
      </w:r>
      <w:hyperlink w:anchor="passage-i-5-11">
        <w:r>
          <w:rPr>
            <w:color w:val="000000"/>
          </w:rPr>
          <w:t xml:space="preserve">I.5.11</w:t>
        </w:r>
      </w:hyperlink>
      <w:r>
        <w:rPr>
          <w:b w:val="0"/>
          <w:i w:val="0"/>
        </w:rPr>
        <w:t xml:space="preserve">. See </w:t>
      </w:r>
      <w:hyperlink w:anchor="participation">
        <w:r>
          <w:rPr>
            <w:color w:val="000000"/>
          </w:rPr>
          <w:t xml:space="preserve">Participation</w:t>
        </w:r>
      </w:hyperlink>
      <w:r>
        <w:rPr>
          <w:b w:val="0"/>
          <w:i w:val="0"/>
        </w:rPr>
        <w:t>.</w:t>
      </w:r>
    </w:p>
    <w:p>
      <w:pPr>
        <w:keepNext/>
        <w:widowControl/>
      </w:pPr>
      <w:bookmarkStart w:id="1332" w:name="latin-record-1081"/>
      <w:bookmarkEnd w:id="1332"/>
      <w:r>
        <w:rPr>
          <w:b/>
          <w:i w:val="0"/>
        </w:rPr>
        <w:t>secundum se / per se</w:t>
      </w:r>
      <w:r>
        <w:rPr>
          <w:b/>
          <w:i w:val="0"/>
        </w:rPr>
        <w:t>.</w:t>
      </w:r>
      <w:r>
        <w:rPr>
          <w:b w:val="0"/>
          <w:i w:val="0"/>
        </w:rPr>
        <w:t xml:space="preserve"> Printed forms: </w:t>
      </w:r>
      <w:r>
        <w:rPr>
          <w:b w:val="0"/>
          <w:i/>
        </w:rPr>
        <w:t>per se ipsum</w:t>
      </w:r>
      <w:r>
        <w:rPr>
          <w:b w:val="0"/>
          <w:i w:val="0"/>
        </w:rPr>
        <w:t xml:space="preserve">; </w:t>
      </w:r>
      <w:r>
        <w:rPr>
          <w:b w:val="0"/>
          <w:i/>
        </w:rPr>
        <w:t>secundum se</w:t>
      </w:r>
      <w:r>
        <w:rPr>
          <w:b w:val="0"/>
          <w:i w:val="0"/>
        </w:rPr>
        <w:t>.</w:t>
      </w:r>
    </w:p>
    <w:p>
      <w:pPr>
        <w:widowControl/>
      </w:pPr>
      <w:r>
        <w:rPr>
          <w:b w:val="0"/>
          <w:i w:val="0"/>
        </w:rPr>
        <w:t xml:space="preserve">Considered in itself, or through itself, according to the causal claim. The effect considered apart from its cause does not exist; God alone exists necessarily through himself. References: </w:t>
      </w:r>
      <w:hyperlink w:anchor="passage-ii-7-15">
        <w:r>
          <w:rPr>
            <w:color w:val="000000"/>
          </w:rPr>
          <w:t xml:space="preserve">II.7.15</w:t>
        </w:r>
      </w:hyperlink>
      <w:r>
        <w:rPr>
          <w:b w:val="0"/>
          <w:i w:val="0"/>
        </w:rPr>
        <w:t xml:space="preserve">, </w:t>
      </w:r>
      <w:hyperlink w:anchor="passage-ii-7-20">
        <w:r>
          <w:rPr>
            <w:color w:val="000000"/>
          </w:rPr>
          <w:t xml:space="preserve">II.7.20</w:t>
        </w:r>
      </w:hyperlink>
      <w:r>
        <w:rPr>
          <w:b w:val="0"/>
          <w:i w:val="0"/>
        </w:rPr>
        <w:t xml:space="preserve">. See </w:t>
      </w:r>
      <w:hyperlink w:anchor="through-itself-and-through-another">
        <w:r>
          <w:rPr>
            <w:color w:val="000000"/>
          </w:rPr>
          <w:t xml:space="preserve">Through itself and through another</w:t>
        </w:r>
      </w:hyperlink>
      <w:r>
        <w:rPr>
          <w:b w:val="0"/>
          <w:i w:val="0"/>
        </w:rPr>
        <w:t>.</w:t>
      </w:r>
    </w:p>
    <w:p>
      <w:pPr>
        <w:keepNext/>
        <w:widowControl/>
      </w:pPr>
      <w:bookmarkStart w:id="1333" w:name="latin-record-1082"/>
      <w:bookmarkEnd w:id="1333"/>
      <w:r>
        <w:rPr>
          <w:b/>
          <w:i w:val="0"/>
        </w:rPr>
        <w:t>sedes / regio</w:t>
      </w:r>
      <w:r>
        <w:rPr>
          <w:b/>
          <w:i w:val="0"/>
        </w:rPr>
        <w:t>.</w:t>
      </w:r>
      <w:r>
        <w:rPr>
          <w:b w:val="0"/>
          <w:i w:val="0"/>
        </w:rPr>
        <w:t xml:space="preserve"> Printed forms: </w:t>
      </w:r>
      <w:r>
        <w:rPr>
          <w:b w:val="0"/>
          <w:i/>
        </w:rPr>
        <w:t>regionem</w:t>
      </w:r>
      <w:r>
        <w:rPr>
          <w:b w:val="0"/>
          <w:i w:val="0"/>
        </w:rPr>
        <w:t xml:space="preserve">; </w:t>
      </w:r>
      <w:r>
        <w:rPr>
          <w:b w:val="0"/>
          <w:i/>
        </w:rPr>
        <w:t>sedem</w:t>
      </w:r>
      <w:r>
        <w:rPr>
          <w:b w:val="0"/>
          <w:i w:val="0"/>
        </w:rPr>
        <w:t>.</w:t>
      </w:r>
    </w:p>
    <w:p>
      <w:pPr>
        <w:widowControl/>
      </w:pPr>
      <w:r>
        <w:rPr>
          <w:b w:val="0"/>
          <w:i w:val="0"/>
        </w:rPr>
        <w:t xml:space="preserve">Seat or assigned place / region. Rational soul occupies the middle grade of nature; this is hierarchical placement, not a physical address for an incorporeal substance. References: </w:t>
      </w:r>
      <w:hyperlink w:anchor="passage-iii-2-30">
        <w:r>
          <w:rPr>
            <w:color w:val="000000"/>
          </w:rPr>
          <w:t xml:space="preserve">III.2.30</w:t>
        </w:r>
      </w:hyperlink>
      <w:r>
        <w:rPr>
          <w:b w:val="0"/>
          <w:i w:val="0"/>
        </w:rPr>
        <w:t xml:space="preserve">. See </w:t>
      </w:r>
      <w:hyperlink w:anchor="soul">
        <w:r>
          <w:rPr>
            <w:color w:val="000000"/>
          </w:rPr>
          <w:t xml:space="preserve">Soul</w:t>
        </w:r>
      </w:hyperlink>
      <w:r>
        <w:rPr>
          <w:b w:val="0"/>
          <w:i w:val="0"/>
        </w:rPr>
        <w:t>.</w:t>
      </w:r>
    </w:p>
    <w:p>
      <w:pPr>
        <w:keepNext/>
        <w:widowControl/>
      </w:pPr>
      <w:bookmarkStart w:id="1334" w:name="latin-record-1083"/>
      <w:bookmarkEnd w:id="1334"/>
      <w:r>
        <w:rPr>
          <w:b/>
          <w:i w:val="0"/>
        </w:rPr>
        <w:t>seiungo / disiungo</w:t>
      </w:r>
      <w:r>
        <w:rPr>
          <w:b/>
          <w:i w:val="0"/>
        </w:rPr>
        <w:t>.</w:t>
      </w:r>
      <w:r>
        <w:rPr>
          <w:b w:val="0"/>
          <w:i w:val="0"/>
        </w:rPr>
        <w:t xml:space="preserve"> Printed forms: </w:t>
      </w:r>
      <w:r>
        <w:rPr>
          <w:b w:val="0"/>
          <w:i/>
        </w:rPr>
        <w:t>disiunxerit</w:t>
      </w:r>
      <w:r>
        <w:rPr>
          <w:b w:val="0"/>
          <w:i w:val="0"/>
        </w:rPr>
        <w:t xml:space="preserve">; </w:t>
      </w:r>
      <w:r>
        <w:rPr>
          <w:b w:val="0"/>
          <w:i/>
        </w:rPr>
        <w:t>seiungunt</w:t>
      </w:r>
      <w:r>
        <w:rPr>
          <w:b w:val="0"/>
          <w:i w:val="0"/>
        </w:rPr>
        <w:t>.</w:t>
      </w:r>
    </w:p>
    <w:p>
      <w:pPr>
        <w:widowControl/>
      </w:pPr>
      <w:r>
        <w:rPr>
          <w:b w:val="0"/>
          <w:i w:val="0"/>
        </w:rPr>
        <w:t xml:space="preserve">To separate or sever things conceptually or practically. Ficino condemns separating philosophy from religion by comparing it with separating love of wisdom from its honour and true understanding from right will. References: </w:t>
      </w:r>
      <w:hyperlink w:anchor="passage-proem-8">
        <w:r>
          <w:rPr>
            <w:color w:val="000000"/>
          </w:rPr>
          <w:t xml:space="preserve">Proem.8</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1335" w:name="latin-record-1084"/>
      <w:bookmarkEnd w:id="1335"/>
      <w:r>
        <w:rPr>
          <w:b/>
          <w:i w:val="0"/>
        </w:rPr>
        <w:t>semen</w:t>
      </w:r>
      <w:r>
        <w:rPr>
          <w:b/>
          <w:i w:val="0"/>
        </w:rPr>
        <w:t>.</w:t>
      </w:r>
      <w:r>
        <w:rPr>
          <w:b w:val="0"/>
          <w:i w:val="0"/>
        </w:rPr>
        <w:t xml:space="preserve"> Printed forms: </w:t>
      </w:r>
      <w:r>
        <w:rPr>
          <w:b w:val="0"/>
          <w:i/>
        </w:rPr>
        <w:t>semine</w:t>
      </w:r>
      <w:r>
        <w:rPr>
          <w:b w:val="0"/>
          <w:i w:val="0"/>
        </w:rPr>
        <w:t xml:space="preserve">; </w:t>
      </w:r>
      <w:r>
        <w:rPr>
          <w:b w:val="0"/>
          <w:i/>
        </w:rPr>
        <w:t>seminibus</w:t>
      </w:r>
      <w:r>
        <w:rPr>
          <w:b w:val="0"/>
          <w:i w:val="0"/>
        </w:rPr>
        <w:t>.</w:t>
      </w:r>
    </w:p>
    <w:p>
      <w:pPr>
        <w:widowControl/>
      </w:pPr>
      <w:r>
        <w:rPr>
          <w:b w:val="0"/>
          <w:i w:val="0"/>
        </w:rPr>
        <w:t xml:space="preserve">Seed or productive source. The contrast between appointed seeds and mismatched offspring supports Ficino’s claim of determinate natural production. References: </w:t>
      </w:r>
      <w:hyperlink w:anchor="passage-ii-13-17">
        <w:r>
          <w:rPr>
            <w:color w:val="000000"/>
          </w:rPr>
          <w:t xml:space="preserve">II.13.17</w:t>
        </w:r>
      </w:hyperlink>
      <w:r>
        <w:rPr>
          <w:b w:val="0"/>
          <w:i w:val="0"/>
        </w:rPr>
        <w:t xml:space="preserve">. See </w:t>
      </w:r>
      <w:hyperlink w:anchor="seeds">
        <w:r>
          <w:rPr>
            <w:color w:val="000000"/>
          </w:rPr>
          <w:t xml:space="preserve">Seeds</w:t>
        </w:r>
      </w:hyperlink>
      <w:r>
        <w:rPr>
          <w:b w:val="0"/>
          <w:i w:val="0"/>
        </w:rPr>
        <w:t>.</w:t>
      </w:r>
    </w:p>
    <w:p>
      <w:pPr>
        <w:keepNext/>
        <w:widowControl/>
      </w:pPr>
      <w:bookmarkStart w:id="1336" w:name="latin-record-1085"/>
      <w:bookmarkEnd w:id="1336"/>
      <w:r>
        <w:rPr>
          <w:b/>
          <w:i w:val="0"/>
        </w:rPr>
        <w:t>semen / flos</w:t>
      </w:r>
      <w:r>
        <w:rPr>
          <w:b/>
          <w:i w:val="0"/>
        </w:rPr>
        <w:t>.</w:t>
      </w:r>
      <w:r>
        <w:rPr>
          <w:b w:val="0"/>
          <w:i w:val="0"/>
        </w:rPr>
        <w:t xml:space="preserve"> Printed forms: </w:t>
      </w:r>
      <w:r>
        <w:rPr>
          <w:b w:val="0"/>
          <w:i/>
        </w:rPr>
        <w:t>flores</w:t>
      </w:r>
      <w:r>
        <w:rPr>
          <w:b w:val="0"/>
          <w:i w:val="0"/>
        </w:rPr>
        <w:t xml:space="preserve">; </w:t>
      </w:r>
      <w:r>
        <w:rPr>
          <w:b w:val="0"/>
          <w:i/>
        </w:rPr>
        <w:t>semina</w:t>
      </w:r>
      <w:r>
        <w:rPr>
          <w:b w:val="0"/>
          <w:i w:val="0"/>
        </w:rPr>
        <w:t>.</w:t>
      </w:r>
    </w:p>
    <w:p>
      <w:pPr>
        <w:widowControl/>
      </w:pPr>
      <w:r>
        <w:rPr>
          <w:b w:val="0"/>
          <w:i w:val="0"/>
        </w:rPr>
        <w:t xml:space="preserve">Seed or formative principle; flower. The supposed absence of bodily seeds from dung leads Ficino to locate principles in a higher life; the conclusion is part of his causal argument. References: </w:t>
      </w:r>
      <w:hyperlink w:anchor="passage-i-3-22">
        <w:r>
          <w:rPr>
            <w:color w:val="000000"/>
          </w:rPr>
          <w:t xml:space="preserve">I.3.22</w:t>
        </w:r>
      </w:hyperlink>
      <w:r>
        <w:rPr>
          <w:b w:val="0"/>
          <w:i w:val="0"/>
        </w:rPr>
        <w:t xml:space="preserve">. See </w:t>
      </w:r>
      <w:hyperlink w:anchor="seeds">
        <w:r>
          <w:rPr>
            <w:color w:val="000000"/>
          </w:rPr>
          <w:t xml:space="preserve">Seeds</w:t>
        </w:r>
      </w:hyperlink>
      <w:r>
        <w:rPr>
          <w:b w:val="0"/>
          <w:i w:val="0"/>
        </w:rPr>
        <w:t>.</w:t>
      </w:r>
    </w:p>
    <w:p>
      <w:pPr>
        <w:keepNext/>
        <w:widowControl/>
      </w:pPr>
      <w:bookmarkStart w:id="1337" w:name="latin-record-1086"/>
      <w:bookmarkEnd w:id="1337"/>
      <w:r>
        <w:rPr>
          <w:b/>
          <w:i w:val="0"/>
        </w:rPr>
        <w:t>semotus motor</w:t>
      </w:r>
      <w:r>
        <w:rPr>
          <w:b/>
          <w:i w:val="0"/>
        </w:rPr>
        <w:t>.</w:t>
      </w:r>
      <w:r>
        <w:rPr>
          <w:b w:val="0"/>
          <w:i w:val="0"/>
        </w:rPr>
        <w:t xml:space="preserve"> Printed forms: </w:t>
      </w:r>
      <w:r>
        <w:rPr>
          <w:b w:val="0"/>
          <w:i/>
        </w:rPr>
        <w:t>semotus motor</w:t>
      </w:r>
      <w:r>
        <w:rPr>
          <w:b w:val="0"/>
          <w:i w:val="0"/>
        </w:rPr>
        <w:t>.</w:t>
      </w:r>
    </w:p>
    <w:p>
      <w:pPr>
        <w:widowControl/>
      </w:pPr>
      <w:r>
        <w:rPr>
          <w:b w:val="0"/>
          <w:i w:val="0"/>
        </w:rPr>
        <w:t xml:space="preserve">A remote or separated mover. Even a higher separated mover must supply a conjoined motive power before the body actually moves. References: </w:t>
      </w:r>
      <w:hyperlink w:anchor="passage-iv-1-66">
        <w:r>
          <w:rPr>
            <w:color w:val="000000"/>
          </w:rPr>
          <w:t xml:space="preserve">IV.1.66</w:t>
        </w:r>
      </w:hyperlink>
      <w:r>
        <w:rPr>
          <w:b w:val="0"/>
          <w:i w:val="0"/>
        </w:rPr>
        <w:t xml:space="preserve">. See </w:t>
      </w:r>
      <w:hyperlink w:anchor="proximity-and-causal-presence">
        <w:r>
          <w:rPr>
            <w:color w:val="000000"/>
          </w:rPr>
          <w:t xml:space="preserve">Proximity and causal presence</w:t>
        </w:r>
      </w:hyperlink>
      <w:r>
        <w:rPr>
          <w:b w:val="0"/>
          <w:i w:val="0"/>
        </w:rPr>
        <w:t>.</w:t>
      </w:r>
    </w:p>
    <w:p>
      <w:pPr>
        <w:keepNext/>
        <w:widowControl/>
      </w:pPr>
      <w:bookmarkStart w:id="1338" w:name="latin-record-1087"/>
      <w:bookmarkEnd w:id="1338"/>
      <w:r>
        <w:rPr>
          <w:b/>
          <w:i w:val="0"/>
        </w:rPr>
        <w:t>semper / aliquando</w:t>
      </w:r>
      <w:r>
        <w:rPr>
          <w:b/>
          <w:i w:val="0"/>
        </w:rPr>
        <w:t>.</w:t>
      </w:r>
      <w:r>
        <w:rPr>
          <w:b w:val="0"/>
          <w:i w:val="0"/>
        </w:rPr>
        <w:t xml:space="preserve"> Printed forms: </w:t>
      </w:r>
      <w:r>
        <w:rPr>
          <w:b w:val="0"/>
          <w:i/>
        </w:rPr>
        <w:t>aliquando</w:t>
      </w:r>
      <w:r>
        <w:rPr>
          <w:b w:val="0"/>
          <w:i w:val="0"/>
        </w:rPr>
        <w:t xml:space="preserve">; </w:t>
      </w:r>
      <w:r>
        <w:rPr>
          <w:b w:val="0"/>
          <w:i/>
        </w:rPr>
        <w:t>semper</w:t>
      </w:r>
      <w:r>
        <w:rPr>
          <w:b w:val="0"/>
          <w:i w:val="0"/>
        </w:rPr>
        <w:t>.</w:t>
      </w:r>
    </w:p>
    <w:p>
      <w:pPr>
        <w:widowControl/>
      </w:pPr>
      <w:r>
        <w:rPr>
          <w:b w:val="0"/>
          <w:i w:val="0"/>
        </w:rPr>
        <w:t xml:space="preserve">Always and at some time. The first principle’s always-existing is contrasted with generated things’ beginning; elsewhere possible perfection must at least occur at some time, under a specific cosmic-order restriction. References: </w:t>
      </w:r>
      <w:hyperlink w:anchor="passage-i-3-25">
        <w:r>
          <w:rPr>
            <w:color w:val="000000"/>
          </w:rPr>
          <w:t xml:space="preserve">I.3.25</w:t>
        </w:r>
      </w:hyperlink>
      <w:r>
        <w:rPr>
          <w:b w:val="0"/>
          <w:i w:val="0"/>
        </w:rPr>
        <w:t xml:space="preserve">, </w:t>
      </w:r>
      <w:hyperlink w:anchor="passage-i-3-32">
        <w:r>
          <w:rPr>
            <w:color w:val="000000"/>
          </w:rPr>
          <w:t xml:space="preserve">I.3.32</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1339" w:name="latin-record-1088"/>
      <w:bookmarkEnd w:id="1339"/>
      <w:r>
        <w:rPr>
          <w:b/>
          <w:i w:val="0"/>
        </w:rPr>
        <w:t>semper / simul / aliquando / nondum / amplius</w:t>
      </w:r>
      <w:r>
        <w:rPr>
          <w:b/>
          <w:i w:val="0"/>
        </w:rPr>
        <w:t>.</w:t>
      </w:r>
      <w:r>
        <w:rPr>
          <w:b w:val="0"/>
          <w:i w:val="0"/>
        </w:rPr>
        <w:t xml:space="preserve"> Printed forms: </w:t>
      </w:r>
      <w:r>
        <w:rPr>
          <w:b w:val="0"/>
          <w:i/>
        </w:rPr>
        <w:t>aliquando</w:t>
      </w:r>
      <w:r>
        <w:rPr>
          <w:b w:val="0"/>
          <w:i w:val="0"/>
        </w:rPr>
        <w:t xml:space="preserve">; </w:t>
      </w:r>
      <w:r>
        <w:rPr>
          <w:b w:val="0"/>
          <w:i/>
        </w:rPr>
        <w:t>amplius</w:t>
      </w:r>
      <w:r>
        <w:rPr>
          <w:b w:val="0"/>
          <w:i w:val="0"/>
        </w:rPr>
        <w:t xml:space="preserve">; </w:t>
      </w:r>
      <w:r>
        <w:rPr>
          <w:b w:val="0"/>
          <w:i/>
        </w:rPr>
        <w:t>nondum</w:t>
      </w:r>
      <w:r>
        <w:rPr>
          <w:b w:val="0"/>
          <w:i w:val="0"/>
        </w:rPr>
        <w:t xml:space="preserve">; </w:t>
      </w:r>
      <w:r>
        <w:rPr>
          <w:b w:val="0"/>
          <w:i/>
        </w:rPr>
        <w:t>semper</w:t>
      </w:r>
      <w:r>
        <w:rPr>
          <w:b w:val="0"/>
          <w:i w:val="0"/>
        </w:rPr>
        <w:t xml:space="preserve">; </w:t>
      </w:r>
      <w:r>
        <w:rPr>
          <w:b w:val="0"/>
          <w:i/>
        </w:rPr>
        <w:t>simul</w:t>
      </w:r>
      <w:r>
        <w:rPr>
          <w:b w:val="0"/>
          <w:i w:val="0"/>
        </w:rPr>
        <w:t>.</w:t>
      </w:r>
    </w:p>
    <w:p>
      <w:pPr>
        <w:widowControl/>
      </w:pPr>
      <w:r>
        <w:rPr>
          <w:b w:val="0"/>
          <w:i w:val="0"/>
        </w:rPr>
        <w:t xml:space="preserve">Always / together or simultaneously / at some time / not yet / further or any longer. The contrast between always being, sometimes becoming, and always becoming establishes the proposed middle; simultaneity must not be inferred from mere endurance. References: </w:t>
      </w:r>
      <w:hyperlink w:anchor="passage-iii-1-7">
        <w:r>
          <w:rPr>
            <w:color w:val="000000"/>
          </w:rPr>
          <w:t xml:space="preserve">III.1.7</w:t>
        </w:r>
      </w:hyperlink>
      <w:r>
        <w:rPr>
          <w:b w:val="0"/>
          <w:i w:val="0"/>
        </w:rPr>
        <w:t xml:space="preserve">, </w:t>
      </w:r>
      <w:hyperlink w:anchor="passage-iii-2-2">
        <w:r>
          <w:rPr>
            <w:color w:val="000000"/>
          </w:rPr>
          <w:t xml:space="preserve">III.2.2</w:t>
        </w:r>
      </w:hyperlink>
      <w:r>
        <w:rPr>
          <w:b w:val="0"/>
          <w:i w:val="0"/>
        </w:rPr>
        <w:t xml:space="preserve">, </w:t>
      </w:r>
      <w:hyperlink w:anchor="passage-iii-2-13">
        <w:r>
          <w:rPr>
            <w:color w:val="000000"/>
          </w:rPr>
          <w:t xml:space="preserve">III.2.13</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1340" w:name="latin-record-1089"/>
      <w:bookmarkEnd w:id="1340"/>
      <w:r>
        <w:rPr>
          <w:b/>
          <w:i w:val="0"/>
        </w:rPr>
        <w:t>sempiternitas / aeternitas</w:t>
      </w:r>
      <w:r>
        <w:rPr>
          <w:b/>
          <w:i w:val="0"/>
        </w:rPr>
        <w:t>.</w:t>
      </w:r>
      <w:r>
        <w:rPr>
          <w:b w:val="0"/>
          <w:i w:val="0"/>
        </w:rPr>
        <w:t xml:space="preserve"> Printed forms: </w:t>
      </w:r>
      <w:r>
        <w:rPr>
          <w:b w:val="0"/>
          <w:i/>
        </w:rPr>
        <w:t>Aeterna</w:t>
      </w:r>
      <w:r>
        <w:rPr>
          <w:b w:val="0"/>
          <w:i w:val="0"/>
        </w:rPr>
        <w:t xml:space="preserve">; </w:t>
      </w:r>
      <w:r>
        <w:rPr>
          <w:b w:val="0"/>
          <w:i/>
        </w:rPr>
        <w:t>aeternam</w:t>
      </w:r>
      <w:r>
        <w:rPr>
          <w:b w:val="0"/>
          <w:i w:val="0"/>
        </w:rPr>
        <w:t xml:space="preserve">; </w:t>
      </w:r>
      <w:r>
        <w:rPr>
          <w:b w:val="0"/>
          <w:i/>
        </w:rPr>
        <w:t>aeterni</w:t>
      </w:r>
      <w:r>
        <w:rPr>
          <w:b w:val="0"/>
          <w:i w:val="0"/>
        </w:rPr>
        <w:t xml:space="preserve">; </w:t>
      </w:r>
      <w:r>
        <w:rPr>
          <w:b w:val="0"/>
          <w:i/>
        </w:rPr>
        <w:t>aeternitatem</w:t>
      </w:r>
      <w:r>
        <w:rPr>
          <w:b w:val="0"/>
          <w:i w:val="0"/>
        </w:rPr>
        <w:t xml:space="preserve">; </w:t>
      </w:r>
      <w:r>
        <w:rPr>
          <w:b w:val="0"/>
          <w:i/>
        </w:rPr>
        <w:t>aeternitatis</w:t>
      </w:r>
      <w:r>
        <w:rPr>
          <w:b w:val="0"/>
          <w:i w:val="0"/>
        </w:rPr>
        <w:t xml:space="preserve">; </w:t>
      </w:r>
      <w:r>
        <w:rPr>
          <w:b w:val="0"/>
          <w:i/>
        </w:rPr>
        <w:t>aeternum</w:t>
      </w:r>
      <w:r>
        <w:rPr>
          <w:b w:val="0"/>
          <w:i w:val="0"/>
        </w:rPr>
        <w:t xml:space="preserve">; </w:t>
      </w:r>
      <w:r>
        <w:rPr>
          <w:b w:val="0"/>
          <w:i/>
        </w:rPr>
        <w:t>sempiterna</w:t>
      </w:r>
      <w:r>
        <w:rPr>
          <w:b w:val="0"/>
          <w:i w:val="0"/>
        </w:rPr>
        <w:t xml:space="preserve">; </w:t>
      </w:r>
      <w:r>
        <w:rPr>
          <w:b w:val="0"/>
          <w:i/>
        </w:rPr>
        <w:t>sempiternitas</w:t>
      </w:r>
      <w:r>
        <w:rPr>
          <w:b w:val="0"/>
          <w:i w:val="0"/>
        </w:rPr>
        <w:t xml:space="preserve">; </w:t>
      </w:r>
      <w:r>
        <w:rPr>
          <w:b w:val="0"/>
          <w:i/>
        </w:rPr>
        <w:t>sempiternitatem</w:t>
      </w:r>
      <w:r>
        <w:rPr>
          <w:b w:val="0"/>
          <w:i w:val="0"/>
        </w:rPr>
        <w:t>.</w:t>
      </w:r>
    </w:p>
    <w:p>
      <w:pPr>
        <w:widowControl/>
      </w:pPr>
      <w:r>
        <w:rPr>
          <w:b w:val="0"/>
          <w:i w:val="0"/>
        </w:rPr>
        <w:t xml:space="preserve">Unending or eternal duration, here qualified as simple and stable. The text uses sempiternity for divine abiding duration rather than merely an endlessly prolonged sequence. References: </w:t>
      </w:r>
      <w:hyperlink w:anchor="passage-ii-5-1">
        <w:r>
          <w:rPr>
            <w:color w:val="000000"/>
          </w:rPr>
          <w:t xml:space="preserve">II.5.1</w:t>
        </w:r>
      </w:hyperlink>
      <w:r>
        <w:rPr>
          <w:b w:val="0"/>
          <w:i w:val="0"/>
        </w:rPr>
        <w:t xml:space="preserve">, </w:t>
      </w:r>
      <w:hyperlink w:anchor="passage-ii-5-2">
        <w:r>
          <w:rPr>
            <w:color w:val="000000"/>
          </w:rPr>
          <w:t xml:space="preserve">II.5.2</w:t>
        </w:r>
      </w:hyperlink>
      <w:r>
        <w:rPr>
          <w:b w:val="0"/>
          <w:i w:val="0"/>
        </w:rPr>
        <w:t xml:space="preserve">, </w:t>
      </w:r>
      <w:hyperlink w:anchor="passage-ii-5-4">
        <w:r>
          <w:rPr>
            <w:color w:val="000000"/>
          </w:rPr>
          <w:t xml:space="preserve">II.5.4</w:t>
        </w:r>
      </w:hyperlink>
      <w:r>
        <w:rPr>
          <w:b w:val="0"/>
          <w:i w:val="0"/>
        </w:rPr>
        <w:t xml:space="preserve">, </w:t>
      </w:r>
      <w:hyperlink w:anchor="passage-ii-6-17">
        <w:r>
          <w:rPr>
            <w:color w:val="000000"/>
          </w:rPr>
          <w:t xml:space="preserve">II.6.17</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1341" w:name="latin-record-1090"/>
      <w:bookmarkEnd w:id="1341"/>
      <w:r>
        <w:rPr>
          <w:b/>
          <w:i w:val="0"/>
        </w:rPr>
        <w:t>senium / restitutio mundi</w:t>
      </w:r>
      <w:r>
        <w:rPr>
          <w:b/>
          <w:i w:val="0"/>
        </w:rPr>
        <w:t>.</w:t>
      </w:r>
      <w:r>
        <w:rPr>
          <w:b w:val="0"/>
          <w:i w:val="0"/>
        </w:rPr>
        <w:t xml:space="preserve"> Printed forms: </w:t>
      </w:r>
      <w:r>
        <w:rPr>
          <w:b w:val="0"/>
          <w:i/>
        </w:rPr>
        <w:t>mundi restitutionem</w:t>
      </w:r>
      <w:r>
        <w:rPr>
          <w:b w:val="0"/>
          <w:i w:val="0"/>
        </w:rPr>
        <w:t xml:space="preserve">; </w:t>
      </w:r>
      <w:r>
        <w:rPr>
          <w:b w:val="0"/>
          <w:i/>
        </w:rPr>
        <w:t>senium</w:t>
      </w:r>
      <w:r>
        <w:rPr>
          <w:b w:val="0"/>
          <w:i w:val="0"/>
        </w:rPr>
        <w:t>.</w:t>
      </w:r>
    </w:p>
    <w:p>
      <w:pPr>
        <w:widowControl/>
      </w:pPr>
      <w:r>
        <w:rPr>
          <w:b w:val="0"/>
          <w:i w:val="0"/>
        </w:rPr>
        <w:t xml:space="preserve">Old age; restoration of the world. Mercury and Plato receive different names for the end of the reported cosmic year; their labels do not collapse into one literal mechanism. References: </w:t>
      </w:r>
      <w:hyperlink w:anchor="passage-iv-2-12">
        <w:r>
          <w:rPr>
            <w:color w:val="000000"/>
          </w:rPr>
          <w:t xml:space="preserve">IV.2.12</w:t>
        </w:r>
      </w:hyperlink>
      <w:r>
        <w:rPr>
          <w:b w:val="0"/>
          <w:i w:val="0"/>
        </w:rPr>
        <w:t xml:space="preserve">. See </w:t>
      </w:r>
      <w:hyperlink w:anchor="great-year">
        <w:r>
          <w:rPr>
            <w:color w:val="000000"/>
          </w:rPr>
          <w:t xml:space="preserve">Great year</w:t>
        </w:r>
      </w:hyperlink>
      <w:r>
        <w:rPr>
          <w:b w:val="0"/>
          <w:i w:val="0"/>
        </w:rPr>
        <w:t>.</w:t>
      </w:r>
    </w:p>
    <w:p>
      <w:pPr>
        <w:keepNext/>
        <w:widowControl/>
      </w:pPr>
      <w:bookmarkStart w:id="1342" w:name="latin-record-1091"/>
      <w:bookmarkEnd w:id="1342"/>
      <w:r>
        <w:rPr>
          <w:b/>
          <w:i w:val="0"/>
        </w:rPr>
        <w:t>sensus rationalis</w:t>
      </w:r>
      <w:r>
        <w:rPr>
          <w:b/>
          <w:i w:val="0"/>
        </w:rPr>
        <w:t>.</w:t>
      </w:r>
      <w:r>
        <w:rPr>
          <w:b w:val="0"/>
          <w:i w:val="0"/>
        </w:rPr>
        <w:t xml:space="preserve"> Printed forms: </w:t>
      </w:r>
      <w:r>
        <w:rPr>
          <w:b w:val="0"/>
          <w:i/>
        </w:rPr>
        <w:t>sensum, inquam, rationalem</w:t>
      </w:r>
      <w:r>
        <w:rPr>
          <w:b w:val="0"/>
          <w:i w:val="0"/>
        </w:rPr>
        <w:t>.</w:t>
      </w:r>
    </w:p>
    <w:p>
      <w:pPr>
        <w:widowControl/>
      </w:pPr>
      <w:r>
        <w:rPr>
          <w:b w:val="0"/>
          <w:i w:val="0"/>
        </w:rPr>
        <w:t xml:space="preserve">Rational perception or awareness. Ficino argues that a nature ordering its works more rationally than humans cannot lack a superior form of awareness. References: </w:t>
      </w:r>
      <w:hyperlink w:anchor="passage-ii-13-19">
        <w:r>
          <w:rPr>
            <w:color w:val="000000"/>
          </w:rPr>
          <w:t xml:space="preserve">II.13.19</w:t>
        </w:r>
      </w:hyperlink>
      <w:r>
        <w:rPr>
          <w:b w:val="0"/>
          <w:i w:val="0"/>
        </w:rPr>
        <w:t xml:space="preserve">. See </w:t>
      </w:r>
      <w:hyperlink w:anchor="sense-and-imagination">
        <w:r>
          <w:rPr>
            <w:color w:val="000000"/>
          </w:rPr>
          <w:t xml:space="preserve">Sense and imagination</w:t>
        </w:r>
      </w:hyperlink>
      <w:r>
        <w:rPr>
          <w:b w:val="0"/>
          <w:i w:val="0"/>
        </w:rPr>
        <w:t>.</w:t>
      </w:r>
    </w:p>
    <w:p>
      <w:pPr>
        <w:keepNext/>
        <w:widowControl/>
      </w:pPr>
      <w:bookmarkStart w:id="1343" w:name="latin-record-1092"/>
      <w:bookmarkEnd w:id="1343"/>
      <w:r>
        <w:rPr>
          <w:b/>
          <w:i w:val="0"/>
        </w:rPr>
        <w:t>sententia</w:t>
      </w:r>
      <w:r>
        <w:rPr>
          <w:b/>
          <w:i w:val="0"/>
        </w:rPr>
        <w:t>.</w:t>
      </w:r>
      <w:r>
        <w:rPr>
          <w:b w:val="0"/>
          <w:i w:val="0"/>
        </w:rPr>
        <w:t xml:space="preserve"> Printed forms: </w:t>
      </w:r>
      <w:r>
        <w:rPr>
          <w:b w:val="0"/>
          <w:i/>
        </w:rPr>
        <w:t>sententia</w:t>
      </w:r>
      <w:r>
        <w:rPr>
          <w:b w:val="0"/>
          <w:i w:val="0"/>
        </w:rPr>
        <w:t>.</w:t>
      </w:r>
    </w:p>
    <w:p>
      <w:pPr>
        <w:widowControl/>
      </w:pPr>
      <w:r>
        <w:rPr>
          <w:b w:val="0"/>
          <w:i w:val="0"/>
        </w:rPr>
        <w:t xml:space="preserve">Position, teaching, or judgment. Ficino asserts the account as Plato’s and the Platonists’ certain teaching, so the claim of consensus remains attributed to him. References: </w:t>
      </w:r>
      <w:hyperlink w:anchor="passage-ii-11-22">
        <w:r>
          <w:rPr>
            <w:color w:val="000000"/>
          </w:rPr>
          <w:t xml:space="preserve">II.11.22</w:t>
        </w:r>
      </w:hyperlink>
      <w:r>
        <w:rPr>
          <w:b w:val="0"/>
          <w:i w:val="0"/>
        </w:rPr>
        <w:t xml:space="preserve">. See </w:t>
      </w:r>
      <w:hyperlink w:anchor="ideas-and-exemplars">
        <w:r>
          <w:rPr>
            <w:color w:val="000000"/>
          </w:rPr>
          <w:t xml:space="preserve">Ideas and exemplars</w:t>
        </w:r>
      </w:hyperlink>
      <w:r>
        <w:rPr>
          <w:b w:val="0"/>
          <w:i w:val="0"/>
        </w:rPr>
        <w:t>.</w:t>
      </w:r>
    </w:p>
    <w:p>
      <w:pPr>
        <w:keepNext/>
        <w:widowControl/>
      </w:pPr>
      <w:bookmarkStart w:id="1344" w:name="latin-record-1093"/>
      <w:bookmarkEnd w:id="1344"/>
      <w:r>
        <w:rPr>
          <w:b/>
          <w:i w:val="0"/>
        </w:rPr>
        <w:t>sententia / voluerunt</w:t>
      </w:r>
      <w:r>
        <w:rPr>
          <w:b/>
          <w:i w:val="0"/>
        </w:rPr>
        <w:t>.</w:t>
      </w:r>
      <w:r>
        <w:rPr>
          <w:b w:val="0"/>
          <w:i w:val="0"/>
        </w:rPr>
        <w:t xml:space="preserve"> Printed forms: </w:t>
      </w:r>
      <w:r>
        <w:rPr>
          <w:b w:val="0"/>
          <w:i/>
        </w:rPr>
        <w:t>sententia</w:t>
      </w:r>
      <w:r>
        <w:rPr>
          <w:b w:val="0"/>
          <w:i w:val="0"/>
        </w:rPr>
        <w:t xml:space="preserve">; </w:t>
      </w:r>
      <w:r>
        <w:rPr>
          <w:b w:val="0"/>
          <w:i/>
        </w:rPr>
        <w:t>voluerunt</w:t>
      </w:r>
      <w:r>
        <w:rPr>
          <w:b w:val="0"/>
          <w:i w:val="0"/>
        </w:rPr>
        <w:t>.</w:t>
      </w:r>
    </w:p>
    <w:p>
      <w:pPr>
        <w:widowControl/>
      </w:pPr>
      <w:r>
        <w:rPr>
          <w:b w:val="0"/>
          <w:i w:val="0"/>
        </w:rPr>
        <w:t xml:space="preserve">An opinion or position; voluerunt reports what thinkers maintained. These reporting markers distinguish an attributed theory from the author’s direct assertion or a literal wish. References: </w:t>
      </w:r>
      <w:hyperlink w:anchor="passage-ii-6-14">
        <w:r>
          <w:rPr>
            <w:color w:val="000000"/>
          </w:rPr>
          <w:t xml:space="preserve">II.6.14</w:t>
        </w:r>
      </w:hyperlink>
      <w:r>
        <w:rPr>
          <w:b w:val="0"/>
          <w:i w:val="0"/>
        </w:rPr>
        <w:t xml:space="preserve">, </w:t>
      </w:r>
      <w:hyperlink w:anchor="passage-ii-6-15">
        <w:r>
          <w:rPr>
            <w:color w:val="000000"/>
          </w:rPr>
          <w:t xml:space="preserve">II.6.15</w:t>
        </w:r>
      </w:hyperlink>
      <w:r>
        <w:rPr>
          <w:b w:val="0"/>
          <w:i w:val="0"/>
        </w:rPr>
        <w:t xml:space="preserve">, </w:t>
      </w:r>
      <w:hyperlink w:anchor="passage-ii-7-15">
        <w:r>
          <w:rPr>
            <w:color w:val="000000"/>
          </w:rPr>
          <w:t xml:space="preserve">II.7.15</w:t>
        </w:r>
      </w:hyperlink>
      <w:r>
        <w:rPr>
          <w:b w:val="0"/>
          <w:i w:val="0"/>
        </w:rPr>
        <w:t xml:space="preserve">. See </w:t>
      </w:r>
      <w:hyperlink w:anchor="anebon-abamon-and-the-mental-presence-authorities">
        <w:r>
          <w:rPr>
            <w:color w:val="000000"/>
          </w:rPr>
          <w:t xml:space="preserve">Anebon Abamon and the mental-presence authorities</w:t>
        </w:r>
      </w:hyperlink>
      <w:r>
        <w:rPr>
          <w:b w:val="0"/>
          <w:i w:val="0"/>
        </w:rPr>
        <w:t>.</w:t>
      </w:r>
    </w:p>
    <w:p>
      <w:pPr>
        <w:keepNext/>
        <w:widowControl/>
      </w:pPr>
      <w:bookmarkStart w:id="1345" w:name="latin-record-1094"/>
      <w:bookmarkEnd w:id="1345"/>
      <w:r>
        <w:rPr>
          <w:b/>
          <w:i w:val="0"/>
        </w:rPr>
        <w:t>seorsum</w:t>
      </w:r>
      <w:r>
        <w:rPr>
          <w:b/>
          <w:i w:val="0"/>
        </w:rPr>
        <w:t>.</w:t>
      </w:r>
      <w:r>
        <w:rPr>
          <w:b w:val="0"/>
          <w:i w:val="0"/>
        </w:rPr>
        <w:t xml:space="preserve"> Printed forms: </w:t>
      </w:r>
      <w:r>
        <w:rPr>
          <w:b w:val="0"/>
          <w:i/>
        </w:rPr>
        <w:t>seorsum</w:t>
      </w:r>
      <w:r>
        <w:rPr>
          <w:b w:val="0"/>
          <w:i w:val="0"/>
        </w:rPr>
        <w:t>.</w:t>
      </w:r>
    </w:p>
    <w:p>
      <w:pPr>
        <w:widowControl/>
      </w:pPr>
      <w:r>
        <w:rPr>
          <w:b w:val="0"/>
          <w:i w:val="0"/>
        </w:rPr>
        <w:t xml:space="preserve">Separately or apart. Independence is tested through the possibility of existing apart from the conditions and limits of accidents. References: </w:t>
      </w:r>
      <w:hyperlink w:anchor="passage-ii-11-5">
        <w:r>
          <w:rPr>
            <w:color w:val="000000"/>
          </w:rPr>
          <w:t xml:space="preserve">II.11.5</w:t>
        </w:r>
      </w:hyperlink>
      <w:r>
        <w:rPr>
          <w:b w:val="0"/>
          <w:i w:val="0"/>
        </w:rPr>
        <w:t xml:space="preserve">. See </w:t>
      </w:r>
      <w:hyperlink w:anchor="separation-and-abstraction">
        <w:r>
          <w:rPr>
            <w:color w:val="000000"/>
          </w:rPr>
          <w:t xml:space="preserve">Separation and abstraction</w:t>
        </w:r>
      </w:hyperlink>
      <w:r>
        <w:rPr>
          <w:b w:val="0"/>
          <w:i w:val="0"/>
        </w:rPr>
        <w:t>.</w:t>
      </w:r>
    </w:p>
    <w:p>
      <w:pPr>
        <w:widowControl/>
      </w:pPr>
      <w:r>
        <w:rPr>
          <w:b w:val="0"/>
          <w:i w:val="0"/>
        </w:rPr>
        <w:t xml:space="preserve">Apart or separately. An instrument apart from its craftsman cannot carry out the art’s form; separation concerns causal sufficiency. References: </w:t>
      </w:r>
      <w:hyperlink w:anchor="passage-iv-1-3">
        <w:r>
          <w:rPr>
            <w:color w:val="000000"/>
          </w:rPr>
          <w:t xml:space="preserve">IV.1.3</w:t>
        </w:r>
      </w:hyperlink>
      <w:r>
        <w:rPr>
          <w:b w:val="0"/>
          <w:i w:val="0"/>
        </w:rPr>
        <w:t xml:space="preserve">. See </w:t>
      </w:r>
      <w:hyperlink w:anchor="instrument">
        <w:r>
          <w:rPr>
            <w:color w:val="000000"/>
          </w:rPr>
          <w:t xml:space="preserve">Instrument</w:t>
        </w:r>
      </w:hyperlink>
      <w:r>
        <w:rPr>
          <w:b w:val="0"/>
          <w:i w:val="0"/>
        </w:rPr>
        <w:t>.</w:t>
      </w:r>
    </w:p>
    <w:p>
      <w:pPr>
        <w:keepNext/>
        <w:widowControl/>
      </w:pPr>
      <w:bookmarkStart w:id="1346" w:name="latin-record-1095"/>
      <w:bookmarkEnd w:id="1346"/>
      <w:r>
        <w:rPr>
          <w:b/>
          <w:i w:val="0"/>
        </w:rPr>
        <w:t>separo / seiungo</w:t>
      </w:r>
      <w:r>
        <w:rPr>
          <w:b/>
          <w:i w:val="0"/>
        </w:rPr>
        <w:t>.</w:t>
      </w:r>
      <w:r>
        <w:rPr>
          <w:b w:val="0"/>
          <w:i w:val="0"/>
        </w:rPr>
        <w:t xml:space="preserve"> Printed forms: </w:t>
      </w:r>
      <w:r>
        <w:rPr>
          <w:b w:val="0"/>
          <w:i/>
        </w:rPr>
        <w:t>seiunctas</w:t>
      </w:r>
      <w:r>
        <w:rPr>
          <w:b w:val="0"/>
          <w:i w:val="0"/>
        </w:rPr>
        <w:t xml:space="preserve">; </w:t>
      </w:r>
      <w:r>
        <w:rPr>
          <w:b w:val="0"/>
          <w:i/>
        </w:rPr>
        <w:t>seiungi</w:t>
      </w:r>
      <w:r>
        <w:rPr>
          <w:b w:val="0"/>
          <w:i w:val="0"/>
        </w:rPr>
        <w:t xml:space="preserve">; </w:t>
      </w:r>
      <w:r>
        <w:rPr>
          <w:b w:val="0"/>
          <w:i/>
        </w:rPr>
        <w:t>separant</w:t>
      </w:r>
      <w:r>
        <w:rPr>
          <w:b w:val="0"/>
          <w:i w:val="0"/>
        </w:rPr>
        <w:t xml:space="preserve">; </w:t>
      </w:r>
      <w:r>
        <w:rPr>
          <w:b w:val="0"/>
          <w:i/>
        </w:rPr>
        <w:t>separatae</w:t>
      </w:r>
      <w:r>
        <w:rPr>
          <w:b w:val="0"/>
          <w:i w:val="0"/>
        </w:rPr>
        <w:t>.</w:t>
      </w:r>
    </w:p>
    <w:p>
      <w:pPr>
        <w:widowControl/>
      </w:pPr>
      <w:r>
        <w:rPr>
          <w:b w:val="0"/>
          <w:i w:val="0"/>
        </w:rPr>
        <w:t xml:space="preserve">To separate or abstract. Even the objection that separation occurs only through mental contemplation is turned into evidence that the separating minds are themselves independent of matter. References: </w:t>
      </w:r>
      <w:hyperlink w:anchor="passage-i-3-24">
        <w:r>
          <w:rPr>
            <w:color w:val="000000"/>
          </w:rPr>
          <w:t xml:space="preserve">I.3.24</w:t>
        </w:r>
      </w:hyperlink>
      <w:r>
        <w:rPr>
          <w:b w:val="0"/>
          <w:i w:val="0"/>
        </w:rPr>
        <w:t xml:space="preserve">. See </w:t>
      </w:r>
      <w:hyperlink w:anchor="separation-and-abstraction">
        <w:r>
          <w:rPr>
            <w:color w:val="000000"/>
          </w:rPr>
          <w:t xml:space="preserve">Separation and abstraction</w:t>
        </w:r>
      </w:hyperlink>
      <w:r>
        <w:rPr>
          <w:b w:val="0"/>
          <w:i w:val="0"/>
        </w:rPr>
        <w:t>.</w:t>
      </w:r>
    </w:p>
    <w:p>
      <w:pPr>
        <w:keepNext/>
        <w:widowControl/>
      </w:pPr>
      <w:bookmarkStart w:id="1347" w:name="latin-record-1096"/>
      <w:bookmarkEnd w:id="1347"/>
      <w:r>
        <w:rPr>
          <w:b/>
          <w:i w:val="0"/>
        </w:rPr>
        <w:t>sequi</w:t>
      </w:r>
      <w:r>
        <w:rPr>
          <w:b/>
          <w:i w:val="0"/>
        </w:rPr>
        <w:t>.</w:t>
      </w:r>
      <w:r>
        <w:rPr>
          <w:b w:val="0"/>
          <w:i w:val="0"/>
        </w:rPr>
        <w:t xml:space="preserve"> Printed forms: </w:t>
      </w:r>
      <w:r>
        <w:rPr>
          <w:b w:val="0"/>
          <w:i/>
        </w:rPr>
        <w:t>sequi</w:t>
      </w:r>
      <w:r>
        <w:rPr>
          <w:b w:val="0"/>
          <w:i w:val="0"/>
        </w:rPr>
        <w:t>.</w:t>
      </w:r>
    </w:p>
    <w:p>
      <w:pPr>
        <w:widowControl/>
      </w:pPr>
      <w:r>
        <w:rPr>
          <w:b w:val="0"/>
          <w:i w:val="0"/>
        </w:rPr>
        <w:t xml:space="preserve">To follow, here expressing a dependence relation. The rhetorical reversal says external things follow divine mind to be, rather than divine mind following them to know. References: </w:t>
      </w:r>
      <w:hyperlink w:anchor="passage-ii-9-9">
        <w:r>
          <w:rPr>
            <w:color w:val="000000"/>
          </w:rPr>
          <w:t xml:space="preserve">II.9.9</w:t>
        </w:r>
      </w:hyperlink>
      <w:r>
        <w:rPr>
          <w:b w:val="0"/>
          <w:i w:val="0"/>
        </w:rPr>
        <w:t xml:space="preserve">. See </w:t>
      </w:r>
      <w:hyperlink w:anchor="object-and-adequate-object">
        <w:r>
          <w:rPr>
            <w:color w:val="000000"/>
          </w:rPr>
          <w:t xml:space="preserve">Object and adequate object</w:t>
        </w:r>
      </w:hyperlink>
      <w:r>
        <w:rPr>
          <w:b w:val="0"/>
          <w:i w:val="0"/>
        </w:rPr>
        <w:t>.</w:t>
      </w:r>
    </w:p>
    <w:p>
      <w:pPr>
        <w:keepNext/>
        <w:widowControl/>
      </w:pPr>
      <w:bookmarkStart w:id="1348" w:name="latin-record-1097"/>
      <w:bookmarkEnd w:id="1348"/>
      <w:r>
        <w:rPr>
          <w:b/>
          <w:i w:val="0"/>
        </w:rPr>
        <w:t>serere / parere / explicare</w:t>
      </w:r>
      <w:r>
        <w:rPr>
          <w:b/>
          <w:i w:val="0"/>
        </w:rPr>
        <w:t>.</w:t>
      </w:r>
      <w:r>
        <w:rPr>
          <w:b w:val="0"/>
          <w:i w:val="0"/>
        </w:rPr>
        <w:t xml:space="preserve"> Printed forms: </w:t>
      </w:r>
      <w:r>
        <w:rPr>
          <w:b w:val="0"/>
          <w:i/>
        </w:rPr>
        <w:t>explicat</w:t>
      </w:r>
      <w:r>
        <w:rPr>
          <w:b w:val="0"/>
          <w:i w:val="0"/>
        </w:rPr>
        <w:t xml:space="preserve">; </w:t>
      </w:r>
      <w:r>
        <w:rPr>
          <w:b w:val="0"/>
          <w:i/>
        </w:rPr>
        <w:t>parit</w:t>
      </w:r>
      <w:r>
        <w:rPr>
          <w:b w:val="0"/>
          <w:i w:val="0"/>
        </w:rPr>
        <w:t xml:space="preserve">; </w:t>
      </w:r>
      <w:r>
        <w:rPr>
          <w:b w:val="0"/>
          <w:i/>
        </w:rPr>
        <w:t>serit</w:t>
      </w:r>
      <w:r>
        <w:rPr>
          <w:b w:val="0"/>
          <w:i w:val="0"/>
        </w:rPr>
        <w:t>.</w:t>
      </w:r>
    </w:p>
    <w:p>
      <w:pPr>
        <w:widowControl/>
      </w:pPr>
      <w:r>
        <w:rPr>
          <w:b w:val="0"/>
          <w:i w:val="0"/>
        </w:rPr>
        <w:t xml:space="preserve">To sow, bring forth, and unfold. The passage distinguishes celestial configuration from elemental production while coordinating both under one seed’s realization. References: </w:t>
      </w:r>
      <w:hyperlink w:anchor="passage-iv-2-15">
        <w:r>
          <w:rPr>
            <w:color w:val="000000"/>
          </w:rPr>
          <w:t xml:space="preserve">IV.2.15</w:t>
        </w:r>
      </w:hyperlink>
      <w:r>
        <w:rPr>
          <w:b w:val="0"/>
          <w:i w:val="0"/>
        </w:rPr>
        <w:t xml:space="preserve">. See </w:t>
      </w:r>
      <w:hyperlink w:anchor="sowing-and-weaving">
        <w:r>
          <w:rPr>
            <w:color w:val="000000"/>
          </w:rPr>
          <w:t xml:space="preserve">Sowing and weaving</w:t>
        </w:r>
      </w:hyperlink>
      <w:r>
        <w:rPr>
          <w:b w:val="0"/>
          <w:i w:val="0"/>
        </w:rPr>
        <w:t>.</w:t>
      </w:r>
    </w:p>
    <w:p>
      <w:pPr>
        <w:keepNext/>
        <w:widowControl/>
      </w:pPr>
      <w:bookmarkStart w:id="1349" w:name="latin-record-1098"/>
      <w:bookmarkEnd w:id="1349"/>
      <w:r>
        <w:rPr>
          <w:b/>
          <w:i w:val="0"/>
        </w:rPr>
        <w:t>serere / plantare</w:t>
      </w:r>
      <w:r>
        <w:rPr>
          <w:b/>
          <w:i w:val="0"/>
        </w:rPr>
        <w:t>.</w:t>
      </w:r>
      <w:r>
        <w:rPr>
          <w:b w:val="0"/>
          <w:i w:val="0"/>
        </w:rPr>
        <w:t xml:space="preserve"> Printed forms: </w:t>
      </w:r>
      <w:r>
        <w:rPr>
          <w:b w:val="0"/>
          <w:i/>
        </w:rPr>
        <w:t>plantando</w:t>
      </w:r>
      <w:r>
        <w:rPr>
          <w:b w:val="0"/>
          <w:i w:val="0"/>
        </w:rPr>
        <w:t xml:space="preserve">; </w:t>
      </w:r>
      <w:r>
        <w:rPr>
          <w:b w:val="0"/>
          <w:i/>
        </w:rPr>
        <w:t>serendo</w:t>
      </w:r>
      <w:r>
        <w:rPr>
          <w:b w:val="0"/>
          <w:i w:val="0"/>
        </w:rPr>
        <w:t>.</w:t>
      </w:r>
    </w:p>
    <w:p>
      <w:pPr>
        <w:widowControl/>
      </w:pPr>
      <w:r>
        <w:rPr>
          <w:b w:val="0"/>
          <w:i w:val="0"/>
        </w:rPr>
        <w:t xml:space="preserve">To sow and plant. Ordinary cultivation is contrasted with the alleged spontaneous emergence of plants without bodily seed or shoot. References: </w:t>
      </w:r>
      <w:hyperlink w:anchor="passage-iv-1-14">
        <w:r>
          <w:rPr>
            <w:color w:val="000000"/>
          </w:rPr>
          <w:t xml:space="preserve">IV.1.14</w:t>
        </w:r>
      </w:hyperlink>
      <w:r>
        <w:rPr>
          <w:b w:val="0"/>
          <w:i w:val="0"/>
        </w:rPr>
        <w:t xml:space="preserve">. See </w:t>
      </w:r>
      <w:hyperlink w:anchor="putrefaction-and-propagation">
        <w:r>
          <w:rPr>
            <w:color w:val="000000"/>
          </w:rPr>
          <w:t xml:space="preserve">Putrefaction and propagation</w:t>
        </w:r>
      </w:hyperlink>
      <w:r>
        <w:rPr>
          <w:b w:val="0"/>
          <w:i w:val="0"/>
        </w:rPr>
        <w:t>.</w:t>
      </w:r>
    </w:p>
    <w:p>
      <w:pPr>
        <w:keepNext/>
        <w:widowControl/>
      </w:pPr>
      <w:bookmarkStart w:id="1350" w:name="latin-record-1099"/>
      <w:bookmarkEnd w:id="1350"/>
      <w:r>
        <w:rPr>
          <w:b/>
          <w:i w:val="0"/>
        </w:rPr>
        <w:t>series successionis</w:t>
      </w:r>
      <w:r>
        <w:rPr>
          <w:b/>
          <w:i w:val="0"/>
        </w:rPr>
        <w:t>.</w:t>
      </w:r>
      <w:r>
        <w:rPr>
          <w:b w:val="0"/>
          <w:i w:val="0"/>
        </w:rPr>
        <w:t xml:space="preserve"> Printed forms: </w:t>
      </w:r>
      <w:r>
        <w:rPr>
          <w:b w:val="0"/>
          <w:i/>
        </w:rPr>
        <w:t>serie successionis</w:t>
      </w:r>
      <w:r>
        <w:rPr>
          <w:b w:val="0"/>
          <w:i w:val="0"/>
        </w:rPr>
        <w:t xml:space="preserve">; </w:t>
      </w:r>
      <w:r>
        <w:rPr>
          <w:b w:val="0"/>
          <w:i/>
        </w:rPr>
        <w:t>seriem successionis</w:t>
      </w:r>
      <w:r>
        <w:rPr>
          <w:b w:val="0"/>
          <w:i w:val="0"/>
        </w:rPr>
        <w:t>.</w:t>
      </w:r>
    </w:p>
    <w:p>
      <w:pPr>
        <w:widowControl/>
      </w:pPr>
      <w:r>
        <w:rPr>
          <w:b w:val="0"/>
          <w:i w:val="0"/>
        </w:rPr>
        <w:t xml:space="preserve">An ordered succession or sequence. The law of fate consists in this ordering, whereas desire is assigned to the accompanying thought. References: </w:t>
      </w:r>
      <w:hyperlink w:anchor="passage-iv-2-16">
        <w:r>
          <w:rPr>
            <w:color w:val="000000"/>
          </w:rPr>
          <w:t xml:space="preserve">IV.2.16</w:t>
        </w:r>
      </w:hyperlink>
      <w:r>
        <w:rPr>
          <w:b w:val="0"/>
          <w:i w:val="0"/>
        </w:rPr>
        <w:t xml:space="preserve">. See </w:t>
      </w:r>
      <w:hyperlink w:anchor="fate">
        <w:r>
          <w:rPr>
            <w:color w:val="000000"/>
          </w:rPr>
          <w:t xml:space="preserve">Fate</w:t>
        </w:r>
      </w:hyperlink>
      <w:r>
        <w:rPr>
          <w:b w:val="0"/>
          <w:i w:val="0"/>
        </w:rPr>
        <w:t>.</w:t>
      </w:r>
    </w:p>
    <w:p>
      <w:pPr>
        <w:keepNext/>
        <w:widowControl/>
      </w:pPr>
      <w:bookmarkStart w:id="1351" w:name="latin-record-1100"/>
      <w:bookmarkEnd w:id="1351"/>
      <w:r>
        <w:rPr>
          <w:b/>
          <w:i w:val="0"/>
        </w:rPr>
        <w:t>servire / alienus</w:t>
      </w:r>
      <w:r>
        <w:rPr>
          <w:b/>
          <w:i w:val="0"/>
        </w:rPr>
        <w:t>.</w:t>
      </w:r>
      <w:r>
        <w:rPr>
          <w:b w:val="0"/>
          <w:i w:val="0"/>
        </w:rPr>
        <w:t xml:space="preserve"> Printed forms: </w:t>
      </w:r>
      <w:r>
        <w:rPr>
          <w:b w:val="0"/>
          <w:i/>
        </w:rPr>
        <w:t>alieno</w:t>
      </w:r>
      <w:r>
        <w:rPr>
          <w:b w:val="0"/>
          <w:i w:val="0"/>
        </w:rPr>
        <w:t xml:space="preserve">; </w:t>
      </w:r>
      <w:r>
        <w:rPr>
          <w:b w:val="0"/>
          <w:i/>
        </w:rPr>
        <w:t>servit</w:t>
      </w:r>
      <w:r>
        <w:rPr>
          <w:b w:val="0"/>
          <w:i w:val="0"/>
        </w:rPr>
        <w:t>.</w:t>
      </w:r>
    </w:p>
    <w:p>
      <w:pPr>
        <w:widowControl/>
      </w:pPr>
      <w:r>
        <w:rPr>
          <w:b w:val="0"/>
          <w:i w:val="0"/>
        </w:rPr>
        <w:t xml:space="preserve">Serve / belonging to another or alien. God cannot serve an external good as final cause, because that would make all goodness subordinate to a particular good. References: </w:t>
      </w:r>
      <w:hyperlink w:anchor="passage-ii-11-35">
        <w:r>
          <w:rPr>
            <w:color w:val="000000"/>
          </w:rPr>
          <w:t xml:space="preserve">II.11.35</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1352" w:name="latin-record-1101"/>
      <w:bookmarkEnd w:id="1352"/>
      <w:r>
        <w:rPr>
          <w:b/>
          <w:i w:val="0"/>
        </w:rPr>
        <w:t>servire / depravare</w:t>
      </w:r>
      <w:r>
        <w:rPr>
          <w:b/>
          <w:i w:val="0"/>
        </w:rPr>
        <w:t>.</w:t>
      </w:r>
      <w:r>
        <w:rPr>
          <w:b w:val="0"/>
          <w:i w:val="0"/>
        </w:rPr>
        <w:t xml:space="preserve"> Printed forms: </w:t>
      </w:r>
      <w:r>
        <w:rPr>
          <w:b w:val="0"/>
          <w:i/>
        </w:rPr>
        <w:t>depravata</w:t>
      </w:r>
      <w:r>
        <w:rPr>
          <w:b w:val="0"/>
          <w:i w:val="0"/>
        </w:rPr>
        <w:t xml:space="preserve">; </w:t>
      </w:r>
      <w:r>
        <w:rPr>
          <w:b w:val="0"/>
          <w:i/>
        </w:rPr>
        <w:t>servit</w:t>
      </w:r>
      <w:r>
        <w:rPr>
          <w:b w:val="0"/>
          <w:i w:val="0"/>
        </w:rPr>
        <w:t>.</w:t>
      </w:r>
    </w:p>
    <w:p>
      <w:pPr>
        <w:widowControl/>
      </w:pPr>
      <w:r>
        <w:rPr>
          <w:b w:val="0"/>
          <w:i w:val="0"/>
        </w:rPr>
        <w:t xml:space="preserve">To serve; to corrupt or distort. Anger serves reason or desire; desire is reinforced by corrupted reason or anger, excluding the proposed isolation of one power. References: </w:t>
      </w:r>
      <w:hyperlink w:anchor="passage-iv-1-44">
        <w:r>
          <w:rPr>
            <w:color w:val="000000"/>
          </w:rPr>
          <w:t xml:space="preserve">IV.1.44</w:t>
        </w:r>
      </w:hyperlink>
      <w:r>
        <w:rPr>
          <w:b w:val="0"/>
          <w:i w:val="0"/>
        </w:rPr>
        <w:t xml:space="preserve">. See </w:t>
      </w:r>
      <w:hyperlink w:anchor="reason-anger-and-desire">
        <w:r>
          <w:rPr>
            <w:color w:val="000000"/>
          </w:rPr>
          <w:t xml:space="preserve">Reason anger and desire</w:t>
        </w:r>
      </w:hyperlink>
      <w:r>
        <w:rPr>
          <w:b w:val="0"/>
          <w:i w:val="0"/>
        </w:rPr>
        <w:t>.</w:t>
      </w:r>
    </w:p>
    <w:p>
      <w:pPr>
        <w:keepNext/>
        <w:widowControl/>
      </w:pPr>
      <w:bookmarkStart w:id="1353" w:name="latin-record-1102"/>
      <w:bookmarkEnd w:id="1353"/>
      <w:r>
        <w:rPr>
          <w:b/>
          <w:i w:val="0"/>
        </w:rPr>
        <w:t>si / sin</w:t>
      </w:r>
      <w:r>
        <w:rPr>
          <w:b/>
          <w:i w:val="0"/>
        </w:rPr>
        <w:t>.</w:t>
      </w:r>
      <w:r>
        <w:rPr>
          <w:b w:val="0"/>
          <w:i w:val="0"/>
        </w:rPr>
        <w:t xml:space="preserve"> Printed forms: </w:t>
      </w:r>
      <w:r>
        <w:rPr>
          <w:b w:val="0"/>
          <w:i/>
        </w:rPr>
        <w:t>Si</w:t>
      </w:r>
      <w:r>
        <w:rPr>
          <w:b w:val="0"/>
          <w:i w:val="0"/>
        </w:rPr>
        <w:t xml:space="preserve">; </w:t>
      </w:r>
      <w:r>
        <w:rPr>
          <w:b w:val="0"/>
          <w:i/>
        </w:rPr>
        <w:t>Sin</w:t>
      </w:r>
      <w:r>
        <w:rPr>
          <w:b w:val="0"/>
          <w:i w:val="0"/>
        </w:rPr>
        <w:t>.</w:t>
      </w:r>
    </w:p>
    <w:p>
      <w:pPr>
        <w:widowControl/>
      </w:pPr>
      <w:r>
        <w:rPr>
          <w:b w:val="0"/>
          <w:i w:val="0"/>
        </w:rPr>
        <w:t xml:space="preserve">If; but if or if instead. The alternatives about matter’s possessing productive form are hypothetical branches used to test a proposed explanation, not assertions that both branches obtain. References: </w:t>
      </w:r>
      <w:hyperlink w:anchor="passage-i-3-6">
        <w:r>
          <w:rPr>
            <w:color w:val="000000"/>
          </w:rPr>
          <w:t xml:space="preserve">I.3.6</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1354" w:name="latin-record-1103"/>
      <w:bookmarkEnd w:id="1354"/>
      <w:r>
        <w:rPr>
          <w:b/>
          <w:i w:val="0"/>
        </w:rPr>
        <w:t>siccitas / humiditas</w:t>
      </w:r>
      <w:r>
        <w:rPr>
          <w:b/>
          <w:i w:val="0"/>
        </w:rPr>
        <w:t>.</w:t>
      </w:r>
      <w:r>
        <w:rPr>
          <w:b w:val="0"/>
          <w:i w:val="0"/>
        </w:rPr>
        <w:t xml:space="preserve"> Printed forms: </w:t>
      </w:r>
      <w:r>
        <w:rPr>
          <w:b w:val="0"/>
          <w:i/>
        </w:rPr>
        <w:t>humiditas</w:t>
      </w:r>
      <w:r>
        <w:rPr>
          <w:b w:val="0"/>
          <w:i w:val="0"/>
        </w:rPr>
        <w:t xml:space="preserve">; </w:t>
      </w:r>
      <w:r>
        <w:rPr>
          <w:b w:val="0"/>
          <w:i/>
        </w:rPr>
        <w:t>siccitas</w:t>
      </w:r>
      <w:r>
        <w:rPr>
          <w:b w:val="0"/>
          <w:i w:val="0"/>
        </w:rPr>
        <w:t>.</w:t>
      </w:r>
    </w:p>
    <w:p>
      <w:pPr>
        <w:widowControl/>
      </w:pPr>
      <w:r>
        <w:rPr>
          <w:b w:val="0"/>
          <w:i w:val="0"/>
        </w:rPr>
        <w:t xml:space="preserve">Dryness and moisture as opposed bodily conditions. Ficino says dryness unites and strengthens heat or cold while moisture disperses and weakens; these are historical natural-philosophical assertions. References: </w:t>
      </w:r>
      <w:hyperlink w:anchor="passage-i-2-2">
        <w:r>
          <w:rPr>
            <w:color w:val="000000"/>
          </w:rPr>
          <w:t xml:space="preserve">I.2.2</w:t>
        </w:r>
      </w:hyperlink>
      <w:r>
        <w:rPr>
          <w:b w:val="0"/>
          <w:i w:val="0"/>
        </w:rPr>
        <w:t xml:space="preserve">. See </w:t>
      </w:r>
      <w:hyperlink w:anchor="dispersion-and-concentration">
        <w:r>
          <w:rPr>
            <w:color w:val="000000"/>
          </w:rPr>
          <w:t xml:space="preserve">Dispersion and concentration</w:t>
        </w:r>
      </w:hyperlink>
      <w:r>
        <w:rPr>
          <w:b w:val="0"/>
          <w:i w:val="0"/>
        </w:rPr>
        <w:t>.</w:t>
      </w:r>
    </w:p>
    <w:p>
      <w:pPr>
        <w:keepNext/>
        <w:widowControl/>
      </w:pPr>
      <w:bookmarkStart w:id="1355" w:name="latin-record-1104"/>
      <w:bookmarkEnd w:id="1355"/>
      <w:r>
        <w:rPr>
          <w:b/>
          <w:i w:val="0"/>
        </w:rPr>
        <w:t>signum</w:t>
      </w:r>
      <w:r>
        <w:rPr>
          <w:b/>
          <w:i w:val="0"/>
        </w:rPr>
        <w:t>.</w:t>
      </w:r>
      <w:r>
        <w:rPr>
          <w:b w:val="0"/>
          <w:i w:val="0"/>
        </w:rPr>
        <w:t xml:space="preserve"> Printed forms: </w:t>
      </w:r>
      <w:r>
        <w:rPr>
          <w:b w:val="0"/>
          <w:i/>
        </w:rPr>
        <w:t>signum</w:t>
      </w:r>
      <w:r>
        <w:rPr>
          <w:b w:val="0"/>
          <w:i w:val="0"/>
        </w:rPr>
        <w:t>.</w:t>
      </w:r>
    </w:p>
    <w:p>
      <w:pPr>
        <w:widowControl/>
      </w:pPr>
      <w:r>
        <w:rPr>
          <w:b w:val="0"/>
          <w:i w:val="0"/>
        </w:rPr>
        <w:t xml:space="preserve">A sign used as evidence for a claim. The twelve zodiacal creatures are a sign of the proposed number; spontaneous inward motion is a sign of interior life. Neither is treated as direct sensory perception of an incorporeal soul. References: </w:t>
      </w:r>
      <w:hyperlink w:anchor="passage-iv-1-43">
        <w:r>
          <w:rPr>
            <w:color w:val="000000"/>
          </w:rPr>
          <w:t xml:space="preserve">IV.1.43</w:t>
        </w:r>
      </w:hyperlink>
      <w:r>
        <w:rPr>
          <w:b w:val="0"/>
          <w:i w:val="0"/>
        </w:rPr>
        <w:t xml:space="preserve">, </w:t>
      </w:r>
      <w:hyperlink w:anchor="passage-iv-1-69">
        <w:r>
          <w:rPr>
            <w:color w:val="000000"/>
          </w:rPr>
          <w:t xml:space="preserve">IV.1.69</w:t>
        </w:r>
      </w:hyperlink>
      <w:r>
        <w:rPr>
          <w:b w:val="0"/>
          <w:i w:val="0"/>
        </w:rPr>
        <w:t xml:space="preserve">. See </w:t>
      </w:r>
      <w:hyperlink w:anchor="seeming-and-evidence">
        <w:r>
          <w:rPr>
            <w:color w:val="000000"/>
          </w:rPr>
          <w:t xml:space="preserve">Seeming and evidence</w:t>
        </w:r>
      </w:hyperlink>
      <w:r>
        <w:rPr>
          <w:b w:val="0"/>
          <w:i w:val="0"/>
        </w:rPr>
        <w:t>.</w:t>
      </w:r>
    </w:p>
    <w:p>
      <w:pPr>
        <w:keepNext/>
        <w:widowControl/>
      </w:pPr>
      <w:bookmarkStart w:id="1356" w:name="latin-record-1105"/>
      <w:bookmarkEnd w:id="1356"/>
      <w:r>
        <w:rPr>
          <w:b/>
          <w:i w:val="0"/>
        </w:rPr>
        <w:t>similis / aequalis</w:t>
      </w:r>
      <w:r>
        <w:rPr>
          <w:b/>
          <w:i w:val="0"/>
        </w:rPr>
        <w:t>.</w:t>
      </w:r>
      <w:r>
        <w:rPr>
          <w:b w:val="0"/>
          <w:i w:val="0"/>
        </w:rPr>
        <w:t xml:space="preserve"> Printed forms: </w:t>
      </w:r>
      <w:r>
        <w:rPr>
          <w:b w:val="0"/>
          <w:i/>
        </w:rPr>
        <w:t>aequales</w:t>
      </w:r>
      <w:r>
        <w:rPr>
          <w:b w:val="0"/>
          <w:i w:val="0"/>
        </w:rPr>
        <w:t xml:space="preserve">; </w:t>
      </w:r>
      <w:r>
        <w:rPr>
          <w:b w:val="0"/>
          <w:i/>
        </w:rPr>
        <w:t>persimiles</w:t>
      </w:r>
      <w:r>
        <w:rPr>
          <w:b w:val="0"/>
          <w:i w:val="0"/>
        </w:rPr>
        <w:t xml:space="preserve">; </w:t>
      </w:r>
      <w:r>
        <w:rPr>
          <w:b w:val="0"/>
          <w:i/>
        </w:rPr>
        <w:t>similes</w:t>
      </w:r>
      <w:r>
        <w:rPr>
          <w:b w:val="0"/>
          <w:i w:val="0"/>
        </w:rPr>
        <w:t>.</w:t>
      </w:r>
    </w:p>
    <w:p>
      <w:pPr>
        <w:widowControl/>
      </w:pPr>
      <w:r>
        <w:rPr>
          <w:b w:val="0"/>
          <w:i w:val="0"/>
        </w:rPr>
        <w:t xml:space="preserve">Like in a specified respect and equal in a specified respect. Children are said to resemble parents in constitution and figure before equalling their size, separating qualitative likeness from quantitative equality. References: </w:t>
      </w:r>
      <w:hyperlink w:anchor="passage-i-2-12">
        <w:r>
          <w:rPr>
            <w:color w:val="000000"/>
          </w:rPr>
          <w:t xml:space="preserve">I.2.12</w:t>
        </w:r>
      </w:hyperlink>
      <w:r>
        <w:rPr>
          <w:b w:val="0"/>
          <w:i w:val="0"/>
        </w:rPr>
        <w:t xml:space="preserve">. See </w:t>
      </w:r>
      <w:hyperlink w:anchor="comparing-resembling-and-equalling">
        <w:r>
          <w:rPr>
            <w:color w:val="000000"/>
          </w:rPr>
          <w:t xml:space="preserve">Comparing, resembling and equalling</w:t>
        </w:r>
      </w:hyperlink>
      <w:r>
        <w:rPr>
          <w:b w:val="0"/>
          <w:i w:val="0"/>
        </w:rPr>
        <w:t>.</w:t>
      </w:r>
    </w:p>
    <w:p>
      <w:pPr>
        <w:keepNext/>
        <w:widowControl/>
      </w:pPr>
      <w:bookmarkStart w:id="1357" w:name="latin-record-1106"/>
      <w:bookmarkEnd w:id="1357"/>
      <w:r>
        <w:rPr>
          <w:b/>
          <w:i w:val="0"/>
        </w:rPr>
        <w:t>similis / dissimilis / similitudo</w:t>
      </w:r>
      <w:r>
        <w:rPr>
          <w:b/>
          <w:i w:val="0"/>
        </w:rPr>
        <w:t>.</w:t>
      </w:r>
      <w:r>
        <w:rPr>
          <w:b w:val="0"/>
          <w:i w:val="0"/>
        </w:rPr>
        <w:t xml:space="preserve"> Printed forms: </w:t>
      </w:r>
      <w:r>
        <w:rPr>
          <w:b w:val="0"/>
          <w:i/>
        </w:rPr>
        <w:t>dissimillimum</w:t>
      </w:r>
      <w:r>
        <w:rPr>
          <w:b w:val="0"/>
          <w:i w:val="0"/>
        </w:rPr>
        <w:t xml:space="preserve">; </w:t>
      </w:r>
      <w:r>
        <w:rPr>
          <w:b w:val="0"/>
          <w:i/>
        </w:rPr>
        <w:t>similem</w:t>
      </w:r>
      <w:r>
        <w:rPr>
          <w:b w:val="0"/>
          <w:i w:val="0"/>
        </w:rPr>
        <w:t xml:space="preserve">; </w:t>
      </w:r>
      <w:r>
        <w:rPr>
          <w:b w:val="0"/>
          <w:i/>
        </w:rPr>
        <w:t>similes</w:t>
      </w:r>
      <w:r>
        <w:rPr>
          <w:b w:val="0"/>
          <w:i w:val="0"/>
        </w:rPr>
        <w:t xml:space="preserve">; </w:t>
      </w:r>
      <w:r>
        <w:rPr>
          <w:b w:val="0"/>
          <w:i/>
        </w:rPr>
        <w:t>similibus</w:t>
      </w:r>
      <w:r>
        <w:rPr>
          <w:b w:val="0"/>
          <w:i w:val="0"/>
        </w:rPr>
        <w:t xml:space="preserve">; </w:t>
      </w:r>
      <w:r>
        <w:rPr>
          <w:b w:val="0"/>
          <w:i/>
        </w:rPr>
        <w:t>simillimum</w:t>
      </w:r>
      <w:r>
        <w:rPr>
          <w:b w:val="0"/>
          <w:i w:val="0"/>
        </w:rPr>
        <w:t>.</w:t>
      </w:r>
    </w:p>
    <w:p>
      <w:pPr>
        <w:widowControl/>
      </w:pPr>
      <w:r>
        <w:rPr>
          <w:b w:val="0"/>
          <w:i w:val="0"/>
        </w:rPr>
        <w:t xml:space="preserve">Like / unlike / likeness. The effect resembles its cause in form without retaining every perfection; becoming utterly unlike its cause is a different, rejected alternative. References: </w:t>
      </w:r>
      <w:hyperlink w:anchor="passage-ii-11-1">
        <w:r>
          <w:rPr>
            <w:color w:val="000000"/>
          </w:rPr>
          <w:t xml:space="preserve">II.11.1</w:t>
        </w:r>
      </w:hyperlink>
      <w:r>
        <w:rPr>
          <w:b w:val="0"/>
          <w:i w:val="0"/>
        </w:rPr>
        <w:t xml:space="preserve">, </w:t>
      </w:r>
      <w:hyperlink w:anchor="passage-ii-11-9">
        <w:r>
          <w:rPr>
            <w:color w:val="000000"/>
          </w:rPr>
          <w:t xml:space="preserve">II.11.9</w:t>
        </w:r>
      </w:hyperlink>
      <w:r>
        <w:rPr>
          <w:b w:val="0"/>
          <w:i w:val="0"/>
        </w:rPr>
        <w:t xml:space="preserve">, </w:t>
      </w:r>
      <w:hyperlink w:anchor="passage-iii-1-8">
        <w:r>
          <w:rPr>
            <w:color w:val="000000"/>
          </w:rPr>
          <w:t xml:space="preserve">III.1.8</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1358" w:name="latin-record-1107"/>
      <w:bookmarkEnd w:id="1358"/>
      <w:r>
        <w:rPr>
          <w:b/>
          <w:i w:val="0"/>
        </w:rPr>
        <w:t>similis / similitudo</w:t>
      </w:r>
      <w:r>
        <w:rPr>
          <w:b/>
          <w:i w:val="0"/>
        </w:rPr>
        <w:t>.</w:t>
      </w:r>
      <w:r>
        <w:rPr>
          <w:b w:val="0"/>
          <w:i w:val="0"/>
        </w:rPr>
        <w:t xml:space="preserve"> Printed forms: </w:t>
      </w:r>
      <w:r>
        <w:rPr>
          <w:b w:val="0"/>
          <w:i/>
        </w:rPr>
        <w:t>similia</w:t>
      </w:r>
      <w:r>
        <w:rPr>
          <w:b w:val="0"/>
          <w:i w:val="0"/>
        </w:rPr>
        <w:t xml:space="preserve">; </w:t>
      </w:r>
      <w:r>
        <w:rPr>
          <w:b w:val="0"/>
          <w:i/>
        </w:rPr>
        <w:t>similitudinem</w:t>
      </w:r>
      <w:r>
        <w:rPr>
          <w:b w:val="0"/>
          <w:i w:val="0"/>
        </w:rPr>
        <w:t>.</w:t>
      </w:r>
    </w:p>
    <w:p>
      <w:pPr>
        <w:widowControl/>
      </w:pPr>
      <w:r>
        <w:rPr>
          <w:b w:val="0"/>
          <w:i w:val="0"/>
        </w:rPr>
        <w:t xml:space="preserve">Like, similar, or likeness. Agents produce likenesses according to their power; no finite collection exhausts the infinite exemplar’s possible imitations. References: </w:t>
      </w:r>
      <w:hyperlink w:anchor="passage-ii-7-5">
        <w:r>
          <w:rPr>
            <w:color w:val="000000"/>
          </w:rPr>
          <w:t xml:space="preserve">II.7.5</w:t>
        </w:r>
      </w:hyperlink>
      <w:r>
        <w:rPr>
          <w:b w:val="0"/>
          <w:i w:val="0"/>
        </w:rPr>
        <w:t xml:space="preserve">, </w:t>
      </w:r>
      <w:hyperlink w:anchor="passage-ii-10-5">
        <w:r>
          <w:rPr>
            <w:color w:val="000000"/>
          </w:rPr>
          <w:t xml:space="preserve">II.10.5</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1359" w:name="latin-record-1108"/>
      <w:bookmarkEnd w:id="1359"/>
      <w:r>
        <w:rPr>
          <w:b/>
          <w:i w:val="0"/>
        </w:rPr>
        <w:t>simplex / simplicitas</w:t>
      </w:r>
      <w:r>
        <w:rPr>
          <w:b/>
          <w:i w:val="0"/>
        </w:rPr>
        <w:t>.</w:t>
      </w:r>
      <w:r>
        <w:rPr>
          <w:b w:val="0"/>
          <w:i w:val="0"/>
        </w:rPr>
        <w:t xml:space="preserve"> Printed forms: </w:t>
      </w:r>
      <w:r>
        <w:rPr>
          <w:b w:val="0"/>
          <w:i/>
        </w:rPr>
        <w:t>simplex</w:t>
      </w:r>
      <w:r>
        <w:rPr>
          <w:b w:val="0"/>
          <w:i w:val="0"/>
        </w:rPr>
        <w:t xml:space="preserve">; </w:t>
      </w:r>
      <w:r>
        <w:rPr>
          <w:b w:val="0"/>
          <w:i/>
        </w:rPr>
        <w:t>simplicem</w:t>
      </w:r>
      <w:r>
        <w:rPr>
          <w:b w:val="0"/>
          <w:i w:val="0"/>
        </w:rPr>
        <w:t xml:space="preserve">; </w:t>
      </w:r>
      <w:r>
        <w:rPr>
          <w:b w:val="0"/>
          <w:i/>
        </w:rPr>
        <w:t>simplici</w:t>
      </w:r>
      <w:r>
        <w:rPr>
          <w:b w:val="0"/>
          <w:i w:val="0"/>
        </w:rPr>
        <w:t xml:space="preserve">; </w:t>
      </w:r>
      <w:r>
        <w:rPr>
          <w:b w:val="0"/>
          <w:i/>
        </w:rPr>
        <w:t>simplicissimam</w:t>
      </w:r>
      <w:r>
        <w:rPr>
          <w:b w:val="0"/>
          <w:i w:val="0"/>
        </w:rPr>
        <w:t xml:space="preserve">; </w:t>
      </w:r>
      <w:r>
        <w:rPr>
          <w:b w:val="0"/>
          <w:i/>
        </w:rPr>
        <w:t>simplicissimo</w:t>
      </w:r>
      <w:r>
        <w:rPr>
          <w:b w:val="0"/>
          <w:i w:val="0"/>
        </w:rPr>
        <w:t xml:space="preserve">; </w:t>
      </w:r>
      <w:r>
        <w:rPr>
          <w:b w:val="0"/>
          <w:i/>
        </w:rPr>
        <w:t>simplicissimus</w:t>
      </w:r>
      <w:r>
        <w:rPr>
          <w:b w:val="0"/>
          <w:i w:val="0"/>
        </w:rPr>
        <w:t xml:space="preserve">; </w:t>
      </w:r>
      <w:r>
        <w:rPr>
          <w:b w:val="0"/>
          <w:i/>
        </w:rPr>
        <w:t>simplicitas</w:t>
      </w:r>
      <w:r>
        <w:rPr>
          <w:b w:val="0"/>
          <w:i w:val="0"/>
        </w:rPr>
        <w:t xml:space="preserve">; </w:t>
      </w:r>
      <w:r>
        <w:rPr>
          <w:b w:val="0"/>
          <w:i/>
        </w:rPr>
        <w:t>simplicitate</w:t>
      </w:r>
      <w:r>
        <w:rPr>
          <w:b w:val="0"/>
          <w:i w:val="0"/>
        </w:rPr>
        <w:t xml:space="preserve">; </w:t>
      </w:r>
      <w:r>
        <w:rPr>
          <w:b w:val="0"/>
          <w:i/>
        </w:rPr>
        <w:t>simplicitatem</w:t>
      </w:r>
      <w:r>
        <w:rPr>
          <w:b w:val="0"/>
          <w:i w:val="0"/>
        </w:rPr>
        <w:t xml:space="preserve">; </w:t>
      </w:r>
      <w:r>
        <w:rPr>
          <w:b w:val="0"/>
          <w:i/>
        </w:rPr>
        <w:t>simpliciter</w:t>
      </w:r>
      <w:r>
        <w:rPr>
          <w:b w:val="0"/>
          <w:i w:val="0"/>
        </w:rPr>
        <w:t>.</w:t>
      </w:r>
    </w:p>
    <w:p>
      <w:pPr>
        <w:widowControl/>
      </w:pPr>
      <w:r>
        <w:rPr>
          <w:b w:val="0"/>
          <w:i w:val="0"/>
        </w:rPr>
        <w:t xml:space="preserve">Simple, and simplicity. God’s power is connected with complete simplicity; angel’s internal number keeps it below this unity. References: </w:t>
      </w:r>
      <w:hyperlink w:anchor="passage-i-6-5">
        <w:r>
          <w:rPr>
            <w:color w:val="000000"/>
          </w:rPr>
          <w:t xml:space="preserve">I.6.5</w:t>
        </w:r>
      </w:hyperlink>
      <w:r>
        <w:rPr>
          <w:b w:val="0"/>
          <w:i w:val="0"/>
        </w:rPr>
        <w:t xml:space="preserve">. See </w:t>
      </w:r>
      <w:hyperlink w:anchor="simplicity-and-composition">
        <w:r>
          <w:rPr>
            <w:color w:val="000000"/>
          </w:rPr>
          <w:t xml:space="preserve">Simplicity and composition</w:t>
        </w:r>
      </w:hyperlink>
      <w:r>
        <w:rPr>
          <w:b w:val="0"/>
          <w:i w:val="0"/>
        </w:rPr>
        <w:t>.</w:t>
      </w:r>
    </w:p>
    <w:p>
      <w:pPr>
        <w:widowControl/>
      </w:pPr>
      <w:r>
        <w:rPr>
          <w:b w:val="0"/>
          <w:i w:val="0"/>
        </w:rPr>
        <w:t xml:space="preserve">Simple or uncompounded; simplicity can exclude distinguishable constituents rather than only spatial parts. God’s identity of being and understanding is argued from supreme simplicity. References: </w:t>
      </w:r>
      <w:hyperlink w:anchor="passage-ii-1-1">
        <w:r>
          <w:rPr>
            <w:color w:val="000000"/>
          </w:rPr>
          <w:t xml:space="preserve">II.1.1</w:t>
        </w:r>
      </w:hyperlink>
      <w:r>
        <w:rPr>
          <w:b w:val="0"/>
          <w:i w:val="0"/>
        </w:rPr>
        <w:t xml:space="preserve">, </w:t>
      </w:r>
      <w:hyperlink w:anchor="passage-ii-7-9">
        <w:r>
          <w:rPr>
            <w:color w:val="000000"/>
          </w:rPr>
          <w:t xml:space="preserve">II.7.9</w:t>
        </w:r>
      </w:hyperlink>
      <w:r>
        <w:rPr>
          <w:b w:val="0"/>
          <w:i w:val="0"/>
        </w:rPr>
        <w:t xml:space="preserve">, </w:t>
      </w:r>
      <w:hyperlink w:anchor="passage-ii-9-13">
        <w:r>
          <w:rPr>
            <w:color w:val="000000"/>
          </w:rPr>
          <w:t xml:space="preserve">II.9.13</w:t>
        </w:r>
      </w:hyperlink>
      <w:r>
        <w:rPr>
          <w:b w:val="0"/>
          <w:i w:val="0"/>
        </w:rPr>
        <w:t xml:space="preserve">. See </w:t>
      </w:r>
      <w:hyperlink w:anchor="simplicity-and-composition">
        <w:r>
          <w:rPr>
            <w:color w:val="000000"/>
          </w:rPr>
          <w:t xml:space="preserve">Simplicity and composition</w:t>
        </w:r>
      </w:hyperlink>
      <w:r>
        <w:rPr>
          <w:b w:val="0"/>
          <w:i w:val="0"/>
        </w:rPr>
        <w:t>.</w:t>
      </w:r>
    </w:p>
    <w:p>
      <w:pPr>
        <w:widowControl/>
      </w:pPr>
      <w:r>
        <w:rPr>
          <w:b w:val="0"/>
          <w:i w:val="0"/>
        </w:rPr>
        <w:t xml:space="preserve">Simple / simplicity. One divine form knows many exemplary relations without being divided into a composite of separate forms. References: </w:t>
      </w:r>
      <w:hyperlink w:anchor="passage-ii-11-18">
        <w:r>
          <w:rPr>
            <w:color w:val="000000"/>
          </w:rPr>
          <w:t xml:space="preserve">II.11.18</w:t>
        </w:r>
      </w:hyperlink>
      <w:r>
        <w:rPr>
          <w:b w:val="0"/>
          <w:i w:val="0"/>
        </w:rPr>
        <w:t xml:space="preserve">. See </w:t>
      </w:r>
      <w:hyperlink w:anchor="simplicity-and-composition">
        <w:r>
          <w:rPr>
            <w:color w:val="000000"/>
          </w:rPr>
          <w:t xml:space="preserve">Simplicity and composition</w:t>
        </w:r>
      </w:hyperlink>
      <w:r>
        <w:rPr>
          <w:b w:val="0"/>
          <w:i w:val="0"/>
        </w:rPr>
        <w:t>.</w:t>
      </w:r>
    </w:p>
    <w:p>
      <w:pPr>
        <w:keepNext/>
        <w:widowControl/>
      </w:pPr>
      <w:bookmarkStart w:id="1360" w:name="latin-record-1109"/>
      <w:bookmarkEnd w:id="1360"/>
      <w:r>
        <w:rPr>
          <w:b/>
          <w:i w:val="0"/>
        </w:rPr>
        <w:t>simul</w:t>
      </w:r>
      <w:r>
        <w:rPr>
          <w:b/>
          <w:i w:val="0"/>
        </w:rPr>
        <w:t>.</w:t>
      </w:r>
      <w:r>
        <w:rPr>
          <w:b w:val="0"/>
          <w:i w:val="0"/>
        </w:rPr>
        <w:t xml:space="preserve"> Printed forms: </w:t>
      </w:r>
      <w:r>
        <w:rPr>
          <w:b w:val="0"/>
          <w:i/>
        </w:rPr>
        <w:t>simul</w:t>
      </w:r>
      <w:r>
        <w:rPr>
          <w:b w:val="0"/>
          <w:i w:val="0"/>
        </w:rPr>
        <w:t>.</w:t>
      </w:r>
    </w:p>
    <w:p>
      <w:pPr>
        <w:widowControl/>
      </w:pPr>
      <w:r>
        <w:rPr>
          <w:b w:val="0"/>
          <w:i w:val="0"/>
        </w:rPr>
        <w:t xml:space="preserve">Together or at once. Abiding possession and actual simultaneity differ; body strives only approximately toward the soul’s wholly simultaneous presence. References: </w:t>
      </w:r>
      <w:hyperlink w:anchor="passage-iv-2-9">
        <w:r>
          <w:rPr>
            <w:color w:val="000000"/>
          </w:rPr>
          <w:t xml:space="preserve">IV.2.9</w:t>
        </w:r>
      </w:hyperlink>
      <w:r>
        <w:rPr>
          <w:b w:val="0"/>
          <w:i w:val="0"/>
        </w:rPr>
        <w:t xml:space="preserve">, </w:t>
      </w:r>
      <w:hyperlink w:anchor="passage-iv-2-10">
        <w:r>
          <w:rPr>
            <w:color w:val="000000"/>
          </w:rPr>
          <w:t xml:space="preserve">IV.2.10</w:t>
        </w:r>
      </w:hyperlink>
      <w:r>
        <w:rPr>
          <w:b w:val="0"/>
          <w:i w:val="0"/>
        </w:rPr>
        <w:t xml:space="preserve">, </w:t>
      </w:r>
      <w:hyperlink w:anchor="passage-iv-2-25">
        <w:r>
          <w:rPr>
            <w:color w:val="000000"/>
          </w:rPr>
          <w:t xml:space="preserve">IV.2.25</w:t>
        </w:r>
      </w:hyperlink>
      <w:r>
        <w:rPr>
          <w:b w:val="0"/>
          <w:i w:val="0"/>
        </w:rPr>
        <w:t xml:space="preserve">. See </w:t>
      </w:r>
      <w:hyperlink w:anchor="habitual-possession">
        <w:r>
          <w:rPr>
            <w:color w:val="000000"/>
          </w:rPr>
          <w:t xml:space="preserve">Habitual possession</w:t>
        </w:r>
      </w:hyperlink>
      <w:r>
        <w:rPr>
          <w:b w:val="0"/>
          <w:i w:val="0"/>
        </w:rPr>
        <w:t>.</w:t>
      </w:r>
    </w:p>
    <w:p>
      <w:pPr>
        <w:keepNext/>
        <w:widowControl/>
      </w:pPr>
      <w:bookmarkStart w:id="1361" w:name="latin-record-1110"/>
      <w:bookmarkEnd w:id="1361"/>
      <w:r>
        <w:rPr>
          <w:b/>
          <w:i w:val="0"/>
        </w:rPr>
        <w:t>simulacrum / color</w:t>
      </w:r>
      <w:r>
        <w:rPr>
          <w:b/>
          <w:i w:val="0"/>
        </w:rPr>
        <w:t>.</w:t>
      </w:r>
      <w:r>
        <w:rPr>
          <w:b w:val="0"/>
          <w:i w:val="0"/>
        </w:rPr>
        <w:t xml:space="preserve"> Printed forms: </w:t>
      </w:r>
      <w:r>
        <w:rPr>
          <w:b w:val="0"/>
          <w:i/>
        </w:rPr>
        <w:t>colorem</w:t>
      </w:r>
      <w:r>
        <w:rPr>
          <w:b w:val="0"/>
          <w:i w:val="0"/>
        </w:rPr>
        <w:t xml:space="preserve">; </w:t>
      </w:r>
      <w:r>
        <w:rPr>
          <w:b w:val="0"/>
          <w:i/>
        </w:rPr>
        <w:t>colorum</w:t>
      </w:r>
      <w:r>
        <w:rPr>
          <w:b w:val="0"/>
          <w:i w:val="0"/>
        </w:rPr>
        <w:t xml:space="preserve">; </w:t>
      </w:r>
      <w:r>
        <w:rPr>
          <w:b w:val="0"/>
          <w:i/>
        </w:rPr>
        <w:t>simulacra</w:t>
      </w:r>
      <w:r>
        <w:rPr>
          <w:b w:val="0"/>
          <w:i w:val="0"/>
        </w:rPr>
        <w:t>.</w:t>
      </w:r>
    </w:p>
    <w:p>
      <w:pPr>
        <w:widowControl/>
      </w:pPr>
      <w:r>
        <w:rPr>
          <w:b w:val="0"/>
          <w:i w:val="0"/>
        </w:rPr>
        <w:t xml:space="preserve">An image or likeness; color. Images of colors share air without confusion; colored glass and color-source light later serve different causal analogies. References: </w:t>
      </w:r>
      <w:hyperlink w:anchor="passage-ii-6-14">
        <w:r>
          <w:rPr>
            <w:color w:val="000000"/>
          </w:rPr>
          <w:t xml:space="preserve">II.6.14</w:t>
        </w:r>
      </w:hyperlink>
      <w:r>
        <w:rPr>
          <w:b w:val="0"/>
          <w:i w:val="0"/>
        </w:rPr>
        <w:t xml:space="preserve">, </w:t>
      </w:r>
      <w:hyperlink w:anchor="passage-ii-7-31">
        <w:r>
          <w:rPr>
            <w:color w:val="000000"/>
          </w:rPr>
          <w:t xml:space="preserve">II.7.31</w:t>
        </w:r>
      </w:hyperlink>
      <w:r>
        <w:rPr>
          <w:b w:val="0"/>
          <w:i w:val="0"/>
        </w:rPr>
        <w:t xml:space="preserve">, </w:t>
      </w:r>
      <w:hyperlink w:anchor="passage-ii-10-12">
        <w:r>
          <w:rPr>
            <w:color w:val="000000"/>
          </w:rPr>
          <w:t xml:space="preserve">II.10.12</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1362" w:name="latin-record-1111"/>
      <w:bookmarkEnd w:id="1362"/>
      <w:r>
        <w:rPr>
          <w:b/>
          <w:i w:val="0"/>
        </w:rPr>
        <w:t>sine controversia</w:t>
      </w:r>
      <w:r>
        <w:rPr>
          <w:b/>
          <w:i w:val="0"/>
        </w:rPr>
        <w:t>.</w:t>
      </w:r>
      <w:r>
        <w:rPr>
          <w:b w:val="0"/>
          <w:i w:val="0"/>
        </w:rPr>
        <w:t xml:space="preserve"> Printed forms: </w:t>
      </w:r>
      <w:r>
        <w:rPr>
          <w:b w:val="0"/>
          <w:i/>
        </w:rPr>
        <w:t>sine controversia</w:t>
      </w:r>
      <w:r>
        <w:rPr>
          <w:b w:val="0"/>
          <w:i w:val="0"/>
        </w:rPr>
        <w:t>.</w:t>
      </w:r>
    </w:p>
    <w:p>
      <w:pPr>
        <w:widowControl/>
      </w:pPr>
      <w:r>
        <w:rPr>
          <w:b w:val="0"/>
          <w:i w:val="0"/>
        </w:rPr>
        <w:t xml:space="preserve">Without dispute, as an assertion of confidence. Ficino says Plato was called divine beyond dispute; the phrase intensifies his encomium and does not independently establish universal historical agreement. References: </w:t>
      </w:r>
      <w:hyperlink w:anchor="passage-proem-3">
        <w:r>
          <w:rPr>
            <w:color w:val="000000"/>
          </w:rPr>
          <w:t xml:space="preserve">Proem.3</w:t>
        </w:r>
      </w:hyperlink>
      <w:r>
        <w:rPr>
          <w:b w:val="0"/>
          <w:i w:val="0"/>
        </w:rPr>
        <w:t xml:space="preserve">. See </w:t>
      </w:r>
      <w:hyperlink w:anchor="assent-approval-and-belief">
        <w:r>
          <w:rPr>
            <w:color w:val="000000"/>
          </w:rPr>
          <w:t xml:space="preserve">Assent, approval and belief</w:t>
        </w:r>
      </w:hyperlink>
      <w:r>
        <w:rPr>
          <w:b w:val="0"/>
          <w:i w:val="0"/>
        </w:rPr>
        <w:t>.</w:t>
      </w:r>
    </w:p>
    <w:p>
      <w:pPr>
        <w:keepNext/>
        <w:widowControl/>
      </w:pPr>
      <w:bookmarkStart w:id="1363" w:name="latin-record-1112"/>
      <w:bookmarkEnd w:id="1363"/>
      <w:r>
        <w:rPr>
          <w:b/>
          <w:i w:val="0"/>
        </w:rPr>
        <w:t>sine medio</w:t>
      </w:r>
      <w:r>
        <w:rPr>
          <w:b/>
          <w:i w:val="0"/>
        </w:rPr>
        <w:t>.</w:t>
      </w:r>
      <w:r>
        <w:rPr>
          <w:b w:val="0"/>
          <w:i w:val="0"/>
        </w:rPr>
        <w:t xml:space="preserve"> Printed forms: </w:t>
      </w:r>
      <w:r>
        <w:rPr>
          <w:b w:val="0"/>
          <w:i/>
        </w:rPr>
        <w:t>sine medio</w:t>
      </w:r>
      <w:r>
        <w:rPr>
          <w:b w:val="0"/>
          <w:i w:val="0"/>
        </w:rPr>
        <w:t>.</w:t>
      </w:r>
    </w:p>
    <w:p>
      <w:pPr>
        <w:widowControl/>
      </w:pPr>
      <w:r>
        <w:rPr>
          <w:b w:val="0"/>
          <w:i w:val="0"/>
        </w:rPr>
        <w:t xml:space="preserve">Without an intermediary. Primary matter and spiritual essence require the cause capable of creation immediately, supporting that cause’s presence. References: </w:t>
      </w:r>
      <w:hyperlink w:anchor="passage-ii-6-2">
        <w:r>
          <w:rPr>
            <w:color w:val="000000"/>
          </w:rPr>
          <w:t xml:space="preserve">II.6.2</w:t>
        </w:r>
      </w:hyperlink>
      <w:r>
        <w:rPr>
          <w:b w:val="0"/>
          <w:i w:val="0"/>
        </w:rPr>
        <w:t xml:space="preserve">. See </w:t>
      </w:r>
      <w:hyperlink w:anchor="cause">
        <w:r>
          <w:rPr>
            <w:color w:val="000000"/>
          </w:rPr>
          <w:t xml:space="preserve">Cause</w:t>
        </w:r>
      </w:hyperlink>
      <w:r>
        <w:rPr>
          <w:b w:val="0"/>
          <w:i w:val="0"/>
        </w:rPr>
        <w:t>.</w:t>
      </w:r>
    </w:p>
    <w:p>
      <w:pPr>
        <w:keepNext/>
        <w:widowControl/>
      </w:pPr>
      <w:bookmarkStart w:id="1364" w:name="latin-record-1113"/>
      <w:bookmarkEnd w:id="1364"/>
      <w:r>
        <w:rPr>
          <w:b/>
          <w:i w:val="0"/>
        </w:rPr>
        <w:t>singulus / minimus / infimus</w:t>
      </w:r>
      <w:r>
        <w:rPr>
          <w:b/>
          <w:i w:val="0"/>
        </w:rPr>
        <w:t>.</w:t>
      </w:r>
      <w:r>
        <w:rPr>
          <w:b w:val="0"/>
          <w:i w:val="0"/>
        </w:rPr>
        <w:t xml:space="preserve"> Printed forms: </w:t>
      </w:r>
      <w:r>
        <w:rPr>
          <w:b w:val="0"/>
          <w:i/>
        </w:rPr>
        <w:t>infima</w:t>
      </w:r>
      <w:r>
        <w:rPr>
          <w:b w:val="0"/>
          <w:i w:val="0"/>
        </w:rPr>
        <w:t xml:space="preserve">; </w:t>
      </w:r>
      <w:r>
        <w:rPr>
          <w:b w:val="0"/>
          <w:i/>
        </w:rPr>
        <w:t>infimarum</w:t>
      </w:r>
      <w:r>
        <w:rPr>
          <w:b w:val="0"/>
          <w:i w:val="0"/>
        </w:rPr>
        <w:t xml:space="preserve">; </w:t>
      </w:r>
      <w:r>
        <w:rPr>
          <w:b w:val="0"/>
          <w:i/>
        </w:rPr>
        <w:t>minimarum</w:t>
      </w:r>
      <w:r>
        <w:rPr>
          <w:b w:val="0"/>
          <w:i w:val="0"/>
        </w:rPr>
        <w:t xml:space="preserve">; </w:t>
      </w:r>
      <w:r>
        <w:rPr>
          <w:b w:val="0"/>
          <w:i/>
        </w:rPr>
        <w:t>minimas</w:t>
      </w:r>
      <w:r>
        <w:rPr>
          <w:b w:val="0"/>
          <w:i w:val="0"/>
        </w:rPr>
        <w:t xml:space="preserve">; </w:t>
      </w:r>
      <w:r>
        <w:rPr>
          <w:b w:val="0"/>
          <w:i/>
        </w:rPr>
        <w:t>singula</w:t>
      </w:r>
      <w:r>
        <w:rPr>
          <w:b w:val="0"/>
          <w:i w:val="0"/>
        </w:rPr>
        <w:t>.</w:t>
      </w:r>
    </w:p>
    <w:p>
      <w:pPr>
        <w:widowControl/>
      </w:pPr>
      <w:r>
        <w:rPr>
          <w:b w:val="0"/>
          <w:i w:val="0"/>
        </w:rPr>
        <w:t xml:space="preserve">Individual, least, or lowest, with number and rank distinguished. Divine operation and knowledge reach individuals and the lowest things rather than only genera and species. References: </w:t>
      </w:r>
      <w:hyperlink w:anchor="passage-ii-9-13">
        <w:r>
          <w:rPr>
            <w:color w:val="000000"/>
          </w:rPr>
          <w:t xml:space="preserve">II.9.13</w:t>
        </w:r>
      </w:hyperlink>
      <w:r>
        <w:rPr>
          <w:b w:val="0"/>
          <w:i w:val="0"/>
        </w:rPr>
        <w:t xml:space="preserve">, </w:t>
      </w:r>
      <w:hyperlink w:anchor="passage-ii-9-14">
        <w:r>
          <w:rPr>
            <w:color w:val="000000"/>
          </w:rPr>
          <w:t xml:space="preserve">II.9.14</w:t>
        </w:r>
      </w:hyperlink>
      <w:r>
        <w:rPr>
          <w:b w:val="0"/>
          <w:i w:val="0"/>
        </w:rPr>
        <w:t xml:space="preserve">, </w:t>
      </w:r>
      <w:hyperlink w:anchor="passage-ii-10-1">
        <w:r>
          <w:rPr>
            <w:color w:val="000000"/>
          </w:rPr>
          <w:t xml:space="preserve">II.10.1</w:t>
        </w:r>
      </w:hyperlink>
      <w:r>
        <w:rPr>
          <w:b w:val="0"/>
          <w:i w:val="0"/>
        </w:rPr>
        <w:t xml:space="preserve">. See </w:t>
      </w:r>
      <w:hyperlink w:anchor="universals-and-individuals">
        <w:r>
          <w:rPr>
            <w:color w:val="000000"/>
          </w:rPr>
          <w:t xml:space="preserve">Universals and individuals</w:t>
        </w:r>
      </w:hyperlink>
      <w:r>
        <w:rPr>
          <w:b w:val="0"/>
          <w:i w:val="0"/>
        </w:rPr>
        <w:t>.</w:t>
      </w:r>
    </w:p>
    <w:p>
      <w:pPr>
        <w:keepNext/>
        <w:widowControl/>
      </w:pPr>
      <w:bookmarkStart w:id="1365" w:name="latin-record-1114"/>
      <w:bookmarkEnd w:id="1365"/>
      <w:r>
        <w:rPr>
          <w:b/>
          <w:i w:val="0"/>
        </w:rPr>
        <w:t>sistere / mitigare / repellere</w:t>
      </w:r>
      <w:r>
        <w:rPr>
          <w:b/>
          <w:i w:val="0"/>
        </w:rPr>
        <w:t>.</w:t>
      </w:r>
      <w:r>
        <w:rPr>
          <w:b w:val="0"/>
          <w:i w:val="0"/>
        </w:rPr>
        <w:t xml:space="preserve"> Printed forms: </w:t>
      </w:r>
      <w:r>
        <w:rPr>
          <w:b w:val="0"/>
          <w:i/>
        </w:rPr>
        <w:t>mitigat</w:t>
      </w:r>
      <w:r>
        <w:rPr>
          <w:b w:val="0"/>
          <w:i w:val="0"/>
        </w:rPr>
        <w:t xml:space="preserve">; </w:t>
      </w:r>
      <w:r>
        <w:rPr>
          <w:b w:val="0"/>
          <w:i/>
        </w:rPr>
        <w:t>repellit</w:t>
      </w:r>
      <w:r>
        <w:rPr>
          <w:b w:val="0"/>
          <w:i w:val="0"/>
        </w:rPr>
        <w:t xml:space="preserve">; </w:t>
      </w:r>
      <w:r>
        <w:rPr>
          <w:b w:val="0"/>
          <w:i/>
        </w:rPr>
        <w:t>sistit</w:t>
      </w:r>
      <w:r>
        <w:rPr>
          <w:b w:val="0"/>
          <w:i w:val="0"/>
        </w:rPr>
        <w:t>.</w:t>
      </w:r>
    </w:p>
    <w:p>
      <w:pPr>
        <w:widowControl/>
      </w:pPr>
      <w:r>
        <w:rPr>
          <w:b w:val="0"/>
          <w:i w:val="0"/>
        </w:rPr>
        <w:t xml:space="preserve">To stop, calm, and repel. The natural-lore list differentiates action upon bleeding, anger, and lightning or hail rather than one uniform healing property. References: </w:t>
      </w:r>
      <w:hyperlink w:anchor="passage-iv-1-21">
        <w:r>
          <w:rPr>
            <w:color w:val="000000"/>
          </w:rPr>
          <w:t xml:space="preserve">IV.1.21</w:t>
        </w:r>
      </w:hyperlink>
      <w:r>
        <w:rPr>
          <w:b w:val="0"/>
          <w:i w:val="0"/>
        </w:rPr>
        <w:t xml:space="preserve">. See </w:t>
      </w:r>
      <w:hyperlink w:anchor="hierobotanum-and-mineral-powers">
        <w:r>
          <w:rPr>
            <w:color w:val="000000"/>
          </w:rPr>
          <w:t xml:space="preserve">Hierobotanum and mineral powers</w:t>
        </w:r>
      </w:hyperlink>
      <w:r>
        <w:rPr>
          <w:b w:val="0"/>
          <w:i w:val="0"/>
        </w:rPr>
        <w:t>.</w:t>
      </w:r>
    </w:p>
    <w:p>
      <w:pPr>
        <w:keepNext/>
        <w:widowControl/>
      </w:pPr>
      <w:bookmarkStart w:id="1366" w:name="latin-record-1115"/>
      <w:bookmarkEnd w:id="1366"/>
      <w:r>
        <w:rPr>
          <w:b/>
          <w:i w:val="0"/>
        </w:rPr>
        <w:t>sol / luna</w:t>
      </w:r>
      <w:r>
        <w:rPr>
          <w:b/>
          <w:i w:val="0"/>
        </w:rPr>
        <w:t>.</w:t>
      </w:r>
      <w:r>
        <w:rPr>
          <w:b w:val="0"/>
          <w:i w:val="0"/>
        </w:rPr>
        <w:t xml:space="preserve"> Printed forms: </w:t>
      </w:r>
      <w:r>
        <w:rPr>
          <w:b w:val="0"/>
          <w:i/>
        </w:rPr>
        <w:t>luna</w:t>
      </w:r>
      <w:r>
        <w:rPr>
          <w:b w:val="0"/>
          <w:i w:val="0"/>
        </w:rPr>
        <w:t xml:space="preserve">; </w:t>
      </w:r>
      <w:r>
        <w:rPr>
          <w:b w:val="0"/>
          <w:i/>
        </w:rPr>
        <w:t>Luna</w:t>
      </w:r>
      <w:r>
        <w:rPr>
          <w:b w:val="0"/>
          <w:i w:val="0"/>
        </w:rPr>
        <w:t xml:space="preserve">; </w:t>
      </w:r>
      <w:r>
        <w:rPr>
          <w:b w:val="0"/>
          <w:i/>
        </w:rPr>
        <w:t>lunam</w:t>
      </w:r>
      <w:r>
        <w:rPr>
          <w:b w:val="0"/>
          <w:i w:val="0"/>
        </w:rPr>
        <w:t xml:space="preserve">; </w:t>
      </w:r>
      <w:r>
        <w:rPr>
          <w:b w:val="0"/>
          <w:i/>
        </w:rPr>
        <w:t>Sol</w:t>
      </w:r>
      <w:r>
        <w:rPr>
          <w:b w:val="0"/>
          <w:i w:val="0"/>
        </w:rPr>
        <w:t>.</w:t>
      </w:r>
    </w:p>
    <w:p>
      <w:pPr>
        <w:widowControl/>
      </w:pPr>
      <w:r>
        <w:rPr>
          <w:b w:val="0"/>
          <w:i w:val="0"/>
        </w:rPr>
        <w:t xml:space="preserve">Sun / moon. The sun signifies God and the moon soul in the expressly stated analogy of differing reception. The astronomy is Ficino’s model. References: </w:t>
      </w:r>
      <w:hyperlink w:anchor="passage-iii-1-32">
        <w:r>
          <w:rPr>
            <w:color w:val="000000"/>
          </w:rPr>
          <w:t xml:space="preserve">III.1.32</w:t>
        </w:r>
      </w:hyperlink>
      <w:r>
        <w:rPr>
          <w:b w:val="0"/>
          <w:i w:val="0"/>
        </w:rPr>
        <w:t xml:space="preserve">. See </w:t>
      </w:r>
      <w:hyperlink w:anchor="sun-mercury-and-moon">
        <w:r>
          <w:rPr>
            <w:color w:val="000000"/>
          </w:rPr>
          <w:t xml:space="preserve">Sun, Mercury and moon</w:t>
        </w:r>
      </w:hyperlink>
      <w:r>
        <w:rPr>
          <w:b w:val="0"/>
          <w:i w:val="0"/>
        </w:rPr>
        <w:t>.</w:t>
      </w:r>
    </w:p>
    <w:p>
      <w:pPr>
        <w:keepNext/>
        <w:widowControl/>
      </w:pPr>
      <w:bookmarkStart w:id="1367" w:name="latin-record-1116"/>
      <w:bookmarkEnd w:id="1367"/>
      <w:r>
        <w:rPr>
          <w:b/>
          <w:i w:val="0"/>
        </w:rPr>
        <w:t>soliditas / densitas / crassitudo</w:t>
      </w:r>
      <w:r>
        <w:rPr>
          <w:b/>
          <w:i w:val="0"/>
        </w:rPr>
        <w:t>.</w:t>
      </w:r>
      <w:r>
        <w:rPr>
          <w:b w:val="0"/>
          <w:i w:val="0"/>
        </w:rPr>
        <w:t xml:space="preserve"> Printed forms: </w:t>
      </w:r>
      <w:r>
        <w:rPr>
          <w:b w:val="0"/>
          <w:i/>
        </w:rPr>
        <w:t>crassitudo</w:t>
      </w:r>
      <w:r>
        <w:rPr>
          <w:b w:val="0"/>
          <w:i w:val="0"/>
        </w:rPr>
        <w:t xml:space="preserve">; </w:t>
      </w:r>
      <w:r>
        <w:rPr>
          <w:b w:val="0"/>
          <w:i/>
        </w:rPr>
        <w:t>densitateque</w:t>
      </w:r>
      <w:r>
        <w:rPr>
          <w:b w:val="0"/>
          <w:i w:val="0"/>
        </w:rPr>
        <w:t xml:space="preserve">; </w:t>
      </w:r>
      <w:r>
        <w:rPr>
          <w:b w:val="0"/>
          <w:i/>
        </w:rPr>
        <w:t>soliditate</w:t>
      </w:r>
      <w:r>
        <w:rPr>
          <w:b w:val="0"/>
          <w:i w:val="0"/>
        </w:rPr>
        <w:t>.</w:t>
      </w:r>
    </w:p>
    <w:p>
      <w:pPr>
        <w:widowControl/>
      </w:pPr>
      <w:r>
        <w:rPr>
          <w:b w:val="0"/>
          <w:i w:val="0"/>
        </w:rPr>
        <w:t xml:space="preserve">Solidity, density and thickness. They explain resistance to mutual bodily penetration, not every form of metaphysical dependence. References: </w:t>
      </w:r>
      <w:hyperlink w:anchor="passage-i-2-2">
        <w:r>
          <w:rPr>
            <w:color w:val="000000"/>
          </w:rPr>
          <w:t xml:space="preserve">I.2.2</w:t>
        </w:r>
      </w:hyperlink>
      <w:r>
        <w:rPr>
          <w:b w:val="0"/>
          <w:i w:val="0"/>
        </w:rPr>
        <w:t xml:space="preserve">. See </w:t>
      </w:r>
      <w:hyperlink w:anchor="body-and-bulk">
        <w:r>
          <w:rPr>
            <w:color w:val="000000"/>
          </w:rPr>
          <w:t xml:space="preserve">Body and bulk</w:t>
        </w:r>
      </w:hyperlink>
      <w:r>
        <w:rPr>
          <w:b w:val="0"/>
          <w:i w:val="0"/>
        </w:rPr>
        <w:t>.</w:t>
      </w:r>
    </w:p>
    <w:p>
      <w:pPr>
        <w:keepNext/>
        <w:widowControl/>
      </w:pPr>
      <w:bookmarkStart w:id="1368" w:name="latin-record-1117"/>
      <w:bookmarkEnd w:id="1368"/>
      <w:r>
        <w:rPr>
          <w:b/>
          <w:i w:val="0"/>
        </w:rPr>
        <w:t>sollicitare / sollicitudo / onerare</w:t>
      </w:r>
      <w:r>
        <w:rPr>
          <w:b/>
          <w:i w:val="0"/>
        </w:rPr>
        <w:t>.</w:t>
      </w:r>
      <w:r>
        <w:rPr>
          <w:b w:val="0"/>
          <w:i w:val="0"/>
        </w:rPr>
        <w:t xml:space="preserve"> Printed forms: </w:t>
      </w:r>
      <w:r>
        <w:rPr>
          <w:b w:val="0"/>
          <w:i/>
        </w:rPr>
        <w:t>onerari</w:t>
      </w:r>
      <w:r>
        <w:rPr>
          <w:b w:val="0"/>
          <w:i w:val="0"/>
        </w:rPr>
        <w:t xml:space="preserve">; </w:t>
      </w:r>
      <w:r>
        <w:rPr>
          <w:b w:val="0"/>
          <w:i/>
        </w:rPr>
        <w:t>sollicitari</w:t>
      </w:r>
      <w:r>
        <w:rPr>
          <w:b w:val="0"/>
          <w:i w:val="0"/>
        </w:rPr>
        <w:t xml:space="preserve">; </w:t>
      </w:r>
      <w:r>
        <w:rPr>
          <w:b w:val="0"/>
          <w:i/>
        </w:rPr>
        <w:t>sollicitudine</w:t>
      </w:r>
      <w:r>
        <w:rPr>
          <w:b w:val="0"/>
          <w:i w:val="0"/>
        </w:rPr>
        <w:t>.</w:t>
      </w:r>
    </w:p>
    <w:p>
      <w:pPr>
        <w:widowControl/>
      </w:pPr>
      <w:r>
        <w:rPr>
          <w:b w:val="0"/>
          <w:i w:val="0"/>
        </w:rPr>
        <w:t xml:space="preserve">To trouble or worry, anxiety, and burden. The imagined costs of many divine actions are answered by effortless activity through being. References: </w:t>
      </w:r>
      <w:hyperlink w:anchor="passage-ii-8-1">
        <w:r>
          <w:rPr>
            <w:color w:val="000000"/>
          </w:rPr>
          <w:t xml:space="preserve">II.8.1</w:t>
        </w:r>
      </w:hyperlink>
      <w:r>
        <w:rPr>
          <w:b w:val="0"/>
          <w:i w:val="0"/>
        </w:rPr>
        <w:t xml:space="preserve">, </w:t>
      </w:r>
      <w:hyperlink w:anchor="passage-ii-8-5">
        <w:r>
          <w:rPr>
            <w:color w:val="000000"/>
          </w:rPr>
          <w:t xml:space="preserve">II.8.5</w:t>
        </w:r>
      </w:hyperlink>
      <w:r>
        <w:rPr>
          <w:b w:val="0"/>
          <w:i w:val="0"/>
        </w:rPr>
        <w:t xml:space="preserve">. See </w:t>
      </w:r>
      <w:hyperlink w:anchor="burden-labor-and-ease">
        <w:r>
          <w:rPr>
            <w:color w:val="000000"/>
          </w:rPr>
          <w:t xml:space="preserve">Burden labor and ease</w:t>
        </w:r>
      </w:hyperlink>
      <w:r>
        <w:rPr>
          <w:b w:val="0"/>
          <w:i w:val="0"/>
        </w:rPr>
        <w:t>.</w:t>
      </w:r>
    </w:p>
    <w:p>
      <w:pPr>
        <w:keepNext/>
        <w:widowControl/>
      </w:pPr>
      <w:bookmarkStart w:id="1369" w:name="latin-record-1118"/>
      <w:bookmarkEnd w:id="1369"/>
      <w:r>
        <w:rPr>
          <w:b/>
          <w:i w:val="0"/>
        </w:rPr>
        <w:t>solus / solum</w:t>
      </w:r>
      <w:r>
        <w:rPr>
          <w:b/>
          <w:i w:val="0"/>
        </w:rPr>
        <w:t>.</w:t>
      </w:r>
      <w:r>
        <w:rPr>
          <w:b w:val="0"/>
          <w:i w:val="0"/>
        </w:rPr>
        <w:t xml:space="preserve"> Printed forms: </w:t>
      </w:r>
      <w:r>
        <w:rPr>
          <w:b w:val="0"/>
          <w:i/>
        </w:rPr>
        <w:t>solum</w:t>
      </w:r>
      <w:r>
        <w:rPr>
          <w:b w:val="0"/>
          <w:i w:val="0"/>
        </w:rPr>
        <w:t xml:space="preserve">; </w:t>
      </w:r>
      <w:r>
        <w:rPr>
          <w:b w:val="0"/>
          <w:i/>
        </w:rPr>
        <w:t>solus</w:t>
      </w:r>
      <w:r>
        <w:rPr>
          <w:b w:val="0"/>
          <w:i w:val="0"/>
        </w:rPr>
        <w:t>.</w:t>
      </w:r>
    </w:p>
    <w:p>
      <w:pPr>
        <w:widowControl/>
      </w:pPr>
      <w:r>
        <w:rPr>
          <w:b w:val="0"/>
          <w:i w:val="0"/>
        </w:rPr>
        <w:t xml:space="preserve">Alone or only. God alone creates matter without a subject; action through bare nature alone is rejected as sufficient. This exclusivity vocabulary is unrelated to sol, the sun. References: </w:t>
      </w:r>
      <w:hyperlink w:anchor="passage-ii-11-9">
        <w:r>
          <w:rPr>
            <w:color w:val="000000"/>
          </w:rPr>
          <w:t xml:space="preserve">II.11.9</w:t>
        </w:r>
      </w:hyperlink>
      <w:r>
        <w:rPr>
          <w:b w:val="0"/>
          <w:i w:val="0"/>
        </w:rPr>
        <w:t xml:space="preserve">, </w:t>
      </w:r>
      <w:hyperlink w:anchor="passage-ii-11-10">
        <w:r>
          <w:rPr>
            <w:color w:val="000000"/>
          </w:rPr>
          <w:t xml:space="preserve">II.11.10</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1370" w:name="latin-record-1119"/>
      <w:bookmarkEnd w:id="1370"/>
      <w:r>
        <w:rPr>
          <w:b/>
          <w:i w:val="0"/>
        </w:rPr>
        <w:t>solutio quaestionum</w:t>
      </w:r>
      <w:r>
        <w:rPr>
          <w:b/>
          <w:i w:val="0"/>
        </w:rPr>
        <w:t>.</w:t>
      </w:r>
      <w:r>
        <w:rPr>
          <w:b w:val="0"/>
          <w:i w:val="0"/>
        </w:rPr>
        <w:t xml:space="preserve"> Printed forms: </w:t>
      </w:r>
      <w:r>
        <w:rPr>
          <w:b w:val="0"/>
          <w:i/>
        </w:rPr>
        <w:t>solutionibus quaestionum</w:t>
      </w:r>
      <w:r>
        <w:rPr>
          <w:b w:val="0"/>
          <w:i w:val="0"/>
        </w:rPr>
        <w:t>.</w:t>
      </w:r>
    </w:p>
    <w:p>
      <w:pPr>
        <w:widowControl/>
      </w:pPr>
      <w:r>
        <w:rPr>
          <w:b w:val="0"/>
          <w:i w:val="0"/>
        </w:rPr>
        <w:t xml:space="preserve">Resolutions of questions or difficulties. This is the fourth announced way of supporting the soul’s character, not a synonym for the first three modes. References: </w:t>
      </w:r>
      <w:hyperlink w:anchor="passage-i-1-7">
        <w:r>
          <w:rPr>
            <w:color w:val="000000"/>
          </w:rPr>
          <w:t xml:space="preserve">I.1.7</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1371" w:name="latin-record-1120"/>
      <w:bookmarkEnd w:id="1371"/>
      <w:r>
        <w:rPr>
          <w:b/>
          <w:i w:val="0"/>
        </w:rPr>
        <w:t>solvo / vincula / compedes</w:t>
      </w:r>
      <w:r>
        <w:rPr>
          <w:b/>
          <w:i w:val="0"/>
        </w:rPr>
        <w:t>.</w:t>
      </w:r>
      <w:r>
        <w:rPr>
          <w:b w:val="0"/>
          <w:i w:val="0"/>
        </w:rPr>
        <w:t xml:space="preserve"> Printed forms: </w:t>
      </w:r>
      <w:r>
        <w:rPr>
          <w:b w:val="0"/>
          <w:i/>
        </w:rPr>
        <w:t>compedum</w:t>
      </w:r>
      <w:r>
        <w:rPr>
          <w:b w:val="0"/>
          <w:i w:val="0"/>
        </w:rPr>
        <w:t xml:space="preserve">; </w:t>
      </w:r>
      <w:r>
        <w:rPr>
          <w:b w:val="0"/>
          <w:i/>
        </w:rPr>
        <w:t>solvamus</w:t>
      </w:r>
      <w:r>
        <w:rPr>
          <w:b w:val="0"/>
          <w:i w:val="0"/>
        </w:rPr>
        <w:t xml:space="preserve">; </w:t>
      </w:r>
      <w:r>
        <w:rPr>
          <w:b w:val="0"/>
          <w:i/>
        </w:rPr>
        <w:t>vincula</w:t>
      </w:r>
      <w:r>
        <w:rPr>
          <w:b w:val="0"/>
          <w:i w:val="0"/>
        </w:rPr>
        <w:t>.</w:t>
      </w:r>
    </w:p>
    <w:p>
      <w:pPr>
        <w:widowControl/>
      </w:pPr>
      <w:r>
        <w:rPr>
          <w:b w:val="0"/>
          <w:i w:val="0"/>
        </w:rPr>
        <w:t xml:space="preserve">To loosen; bonds and fetters. The repeated exhortation asks heavenly souls to loosen earthly fetters, then proceeds into philosophical demonstration rather than a prescription for bodily harm. References: </w:t>
      </w:r>
      <w:hyperlink w:anchor="passage-i-1-2">
        <w:r>
          <w:rPr>
            <w:color w:val="000000"/>
          </w:rPr>
          <w:t xml:space="preserve">I.1.2</w:t>
        </w:r>
      </w:hyperlink>
      <w:r>
        <w:rPr>
          <w:b w:val="0"/>
          <w:i w:val="0"/>
        </w:rPr>
        <w:t xml:space="preserve">. See </w:t>
      </w:r>
      <w:hyperlink w:anchor="prison-and-homeland">
        <w:r>
          <w:rPr>
            <w:color w:val="000000"/>
          </w:rPr>
          <w:t xml:space="preserve">Prison and homeland</w:t>
        </w:r>
      </w:hyperlink>
      <w:r>
        <w:rPr>
          <w:b w:val="0"/>
          <w:i w:val="0"/>
        </w:rPr>
        <w:t>.</w:t>
      </w:r>
    </w:p>
    <w:p>
      <w:pPr>
        <w:keepNext/>
        <w:widowControl/>
      </w:pPr>
      <w:bookmarkStart w:id="1372" w:name="latin-record-1121"/>
      <w:bookmarkEnd w:id="1372"/>
      <w:r>
        <w:rPr>
          <w:b/>
          <w:i w:val="0"/>
        </w:rPr>
        <w:t>sortiri / adipisci</w:t>
      </w:r>
      <w:r>
        <w:rPr>
          <w:b/>
          <w:i w:val="0"/>
        </w:rPr>
        <w:t>.</w:t>
      </w:r>
      <w:r>
        <w:rPr>
          <w:b w:val="0"/>
          <w:i w:val="0"/>
        </w:rPr>
        <w:t xml:space="preserve"> Printed forms: </w:t>
      </w:r>
      <w:r>
        <w:rPr>
          <w:b w:val="0"/>
          <w:i/>
        </w:rPr>
        <w:t>adipiscitur</w:t>
      </w:r>
      <w:r>
        <w:rPr>
          <w:b w:val="0"/>
          <w:i w:val="0"/>
        </w:rPr>
        <w:t xml:space="preserve">; </w:t>
      </w:r>
      <w:r>
        <w:rPr>
          <w:b w:val="0"/>
          <w:i/>
        </w:rPr>
        <w:t>sortitur</w:t>
      </w:r>
      <w:r>
        <w:rPr>
          <w:b w:val="0"/>
          <w:i w:val="0"/>
        </w:rPr>
        <w:t>.</w:t>
      </w:r>
    </w:p>
    <w:p>
      <w:pPr>
        <w:widowControl/>
      </w:pPr>
      <w:r>
        <w:rPr>
          <w:b w:val="0"/>
          <w:i w:val="0"/>
        </w:rPr>
        <w:t xml:space="preserve">To obtain or acquire a share or condition. Obtaining one’s proper nature from elsewhere reveals dependence; no literal drawing of lots is asserted. References: </w:t>
      </w:r>
      <w:hyperlink w:anchor="passage-ii-2-5">
        <w:r>
          <w:rPr>
            <w:color w:val="000000"/>
          </w:rPr>
          <w:t xml:space="preserve">II.2.5</w:t>
        </w:r>
      </w:hyperlink>
      <w:r>
        <w:rPr>
          <w:b w:val="0"/>
          <w:i w:val="0"/>
        </w:rPr>
        <w:t xml:space="preserve">, </w:t>
      </w:r>
      <w:hyperlink w:anchor="passage-ii-7-14">
        <w:r>
          <w:rPr>
            <w:color w:val="000000"/>
          </w:rPr>
          <w:t xml:space="preserve">II.7.14</w:t>
        </w:r>
      </w:hyperlink>
      <w:r>
        <w:rPr>
          <w:b w:val="0"/>
          <w:i w:val="0"/>
        </w:rPr>
        <w:t xml:space="preserve">, </w:t>
      </w:r>
      <w:hyperlink w:anchor="passage-ii-9-1">
        <w:r>
          <w:rPr>
            <w:color w:val="000000"/>
          </w:rPr>
          <w:t xml:space="preserve">II.9.1</w:t>
        </w:r>
      </w:hyperlink>
      <w:r>
        <w:rPr>
          <w:b w:val="0"/>
          <w:i w:val="0"/>
        </w:rPr>
        <w:t xml:space="preserve">. See </w:t>
      </w:r>
      <w:hyperlink w:anchor="dependence-and-receiving">
        <w:r>
          <w:rPr>
            <w:color w:val="000000"/>
          </w:rPr>
          <w:t xml:space="preserve">Dependence and receiving</w:t>
        </w:r>
      </w:hyperlink>
      <w:r>
        <w:rPr>
          <w:b w:val="0"/>
          <w:i w:val="0"/>
        </w:rPr>
        <w:t>.</w:t>
      </w:r>
    </w:p>
    <w:p>
      <w:pPr>
        <w:keepNext/>
        <w:widowControl/>
      </w:pPr>
      <w:bookmarkStart w:id="1373" w:name="latin-record-1122"/>
      <w:bookmarkEnd w:id="1373"/>
      <w:r>
        <w:rPr>
          <w:b/>
          <w:i w:val="0"/>
        </w:rPr>
        <w:t>speciem complere</w:t>
      </w:r>
      <w:r>
        <w:rPr>
          <w:b/>
          <w:i w:val="0"/>
        </w:rPr>
        <w:t>.</w:t>
      </w:r>
      <w:r>
        <w:rPr>
          <w:b w:val="0"/>
          <w:i w:val="0"/>
        </w:rPr>
        <w:t xml:space="preserve"> Printed forms: </w:t>
      </w:r>
      <w:r>
        <w:rPr>
          <w:b w:val="0"/>
          <w:i/>
        </w:rPr>
        <w:t>compleant</w:t>
      </w:r>
      <w:r>
        <w:rPr>
          <w:b w:val="0"/>
          <w:i w:val="0"/>
        </w:rPr>
        <w:t xml:space="preserve">; </w:t>
      </w:r>
      <w:r>
        <w:rPr>
          <w:b w:val="0"/>
          <w:i/>
        </w:rPr>
        <w:t>complent</w:t>
      </w:r>
      <w:r>
        <w:rPr>
          <w:b w:val="0"/>
          <w:i w:val="0"/>
        </w:rPr>
        <w:t xml:space="preserve">; </w:t>
      </w:r>
      <w:r>
        <w:rPr>
          <w:b w:val="0"/>
          <w:i/>
        </w:rPr>
        <w:t>speciem</w:t>
      </w:r>
      <w:r>
        <w:rPr>
          <w:b w:val="0"/>
          <w:i w:val="0"/>
        </w:rPr>
        <w:t>.</w:t>
      </w:r>
    </w:p>
    <w:p>
      <w:pPr>
        <w:widowControl/>
      </w:pPr>
      <w:r>
        <w:rPr>
          <w:b w:val="0"/>
          <w:i w:val="0"/>
        </w:rPr>
        <w:t xml:space="preserve">To constitute a complete species or kind. Embodied minds are parts of a composite living species; separate minds are said to complete their own kinds, distinguishing completeness from mere numerical individuality. References: </w:t>
      </w:r>
      <w:hyperlink w:anchor="passage-i-5-16">
        <w:r>
          <w:rPr>
            <w:color w:val="000000"/>
          </w:rPr>
          <w:t xml:space="preserve">I.5.16</w:t>
        </w:r>
      </w:hyperlink>
      <w:r>
        <w:rPr>
          <w:b w:val="0"/>
          <w:i w:val="0"/>
        </w:rPr>
        <w:t xml:space="preserve">. See </w:t>
      </w:r>
      <w:hyperlink w:anchor="species">
        <w:r>
          <w:rPr>
            <w:color w:val="000000"/>
          </w:rPr>
          <w:t xml:space="preserve">Species</w:t>
        </w:r>
      </w:hyperlink>
      <w:r>
        <w:rPr>
          <w:b w:val="0"/>
          <w:i w:val="0"/>
        </w:rPr>
        <w:t>.</w:t>
      </w:r>
    </w:p>
    <w:p>
      <w:pPr>
        <w:keepNext/>
        <w:widowControl/>
      </w:pPr>
      <w:bookmarkStart w:id="1374" w:name="latin-record-1123"/>
      <w:bookmarkEnd w:id="1374"/>
      <w:r>
        <w:rPr>
          <w:b/>
          <w:i w:val="0"/>
        </w:rPr>
        <w:t>species / genus</w:t>
      </w:r>
      <w:r>
        <w:rPr>
          <w:b/>
          <w:i w:val="0"/>
        </w:rPr>
        <w:t>.</w:t>
      </w:r>
      <w:r>
        <w:rPr>
          <w:b w:val="0"/>
          <w:i w:val="0"/>
        </w:rPr>
        <w:t xml:space="preserve"> Printed forms: </w:t>
      </w:r>
      <w:r>
        <w:rPr>
          <w:b w:val="0"/>
          <w:i/>
        </w:rPr>
        <w:t>generum</w:t>
      </w:r>
      <w:r>
        <w:rPr>
          <w:b w:val="0"/>
          <w:i w:val="0"/>
        </w:rPr>
        <w:t xml:space="preserve">; </w:t>
      </w:r>
      <w:r>
        <w:rPr>
          <w:b w:val="0"/>
          <w:i/>
        </w:rPr>
        <w:t>genus</w:t>
      </w:r>
      <w:r>
        <w:rPr>
          <w:b w:val="0"/>
          <w:i w:val="0"/>
        </w:rPr>
        <w:t xml:space="preserve">; </w:t>
      </w:r>
      <w:r>
        <w:rPr>
          <w:b w:val="0"/>
          <w:i/>
        </w:rPr>
        <w:t>speciem</w:t>
      </w:r>
      <w:r>
        <w:rPr>
          <w:b w:val="0"/>
          <w:i w:val="0"/>
        </w:rPr>
        <w:t xml:space="preserve">; </w:t>
      </w:r>
      <w:r>
        <w:rPr>
          <w:b w:val="0"/>
          <w:i/>
        </w:rPr>
        <w:t>specierum</w:t>
      </w:r>
      <w:r>
        <w:rPr>
          <w:b w:val="0"/>
          <w:i w:val="0"/>
        </w:rPr>
        <w:t xml:space="preserve">; </w:t>
      </w:r>
      <w:r>
        <w:rPr>
          <w:b w:val="0"/>
          <w:i/>
        </w:rPr>
        <w:t>specierumque</w:t>
      </w:r>
      <w:r>
        <w:rPr>
          <w:b w:val="0"/>
          <w:i w:val="0"/>
        </w:rPr>
        <w:t xml:space="preserve">; </w:t>
      </w:r>
      <w:r>
        <w:rPr>
          <w:b w:val="0"/>
          <w:i/>
        </w:rPr>
        <w:t>species</w:t>
      </w:r>
      <w:r>
        <w:rPr>
          <w:b w:val="0"/>
          <w:i w:val="0"/>
        </w:rPr>
        <w:t>.</w:t>
      </w:r>
    </w:p>
    <w:p>
      <w:pPr>
        <w:widowControl/>
      </w:pPr>
      <w:r>
        <w:rPr>
          <w:b w:val="0"/>
          <w:i w:val="0"/>
        </w:rPr>
        <w:t xml:space="preserve">A kind or intelligible determination; a genus grouping kinds. Species-unities remain determinate and multiple; divine knowledge also reaches the individuals belonging to them. References: </w:t>
      </w:r>
      <w:hyperlink w:anchor="passage-ii-2-7">
        <w:r>
          <w:rPr>
            <w:color w:val="000000"/>
          </w:rPr>
          <w:t xml:space="preserve">II.2.7</w:t>
        </w:r>
      </w:hyperlink>
      <w:r>
        <w:rPr>
          <w:b w:val="0"/>
          <w:i w:val="0"/>
        </w:rPr>
        <w:t xml:space="preserve">, </w:t>
      </w:r>
      <w:hyperlink w:anchor="passage-ii-2-8">
        <w:r>
          <w:rPr>
            <w:color w:val="000000"/>
          </w:rPr>
          <w:t xml:space="preserve">II.2.8</w:t>
        </w:r>
      </w:hyperlink>
      <w:r>
        <w:rPr>
          <w:b w:val="0"/>
          <w:i w:val="0"/>
        </w:rPr>
        <w:t xml:space="preserve">, </w:t>
      </w:r>
      <w:hyperlink w:anchor="passage-ii-9-15">
        <w:r>
          <w:rPr>
            <w:color w:val="000000"/>
          </w:rPr>
          <w:t xml:space="preserve">II.9.15</w:t>
        </w:r>
      </w:hyperlink>
      <w:r>
        <w:rPr>
          <w:b w:val="0"/>
          <w:i w:val="0"/>
        </w:rPr>
        <w:t xml:space="preserve">. See </w:t>
      </w:r>
      <w:hyperlink w:anchor="universals-and-individuals">
        <w:r>
          <w:rPr>
            <w:color w:val="000000"/>
          </w:rPr>
          <w:t xml:space="preserve">Universals and individuals</w:t>
        </w:r>
      </w:hyperlink>
      <w:r>
        <w:rPr>
          <w:b w:val="0"/>
          <w:i w:val="0"/>
        </w:rPr>
        <w:t>.</w:t>
      </w:r>
    </w:p>
    <w:p>
      <w:pPr>
        <w:keepNext/>
        <w:widowControl/>
      </w:pPr>
      <w:bookmarkStart w:id="1375" w:name="latin-record-1124"/>
      <w:bookmarkEnd w:id="1375"/>
      <w:r>
        <w:rPr>
          <w:b/>
          <w:i w:val="0"/>
        </w:rPr>
        <w:t>species / idea</w:t>
      </w:r>
      <w:r>
        <w:rPr>
          <w:b/>
          <w:i w:val="0"/>
        </w:rPr>
        <w:t>.</w:t>
      </w:r>
      <w:r>
        <w:rPr>
          <w:b w:val="0"/>
          <w:i w:val="0"/>
        </w:rPr>
        <w:t xml:space="preserve"> Printed forms: </w:t>
      </w:r>
      <w:r>
        <w:rPr>
          <w:b w:val="0"/>
          <w:i/>
        </w:rPr>
        <w:t>idea</w:t>
      </w:r>
      <w:r>
        <w:rPr>
          <w:b w:val="0"/>
          <w:i w:val="0"/>
        </w:rPr>
        <w:t xml:space="preserve">; </w:t>
      </w:r>
      <w:r>
        <w:rPr>
          <w:b w:val="0"/>
          <w:i/>
        </w:rPr>
        <w:t>ideae</w:t>
      </w:r>
      <w:r>
        <w:rPr>
          <w:b w:val="0"/>
          <w:i w:val="0"/>
        </w:rPr>
        <w:t xml:space="preserve">; </w:t>
      </w:r>
      <w:r>
        <w:rPr>
          <w:b w:val="0"/>
          <w:i/>
        </w:rPr>
        <w:t>idearum</w:t>
      </w:r>
      <w:r>
        <w:rPr>
          <w:b w:val="0"/>
          <w:i w:val="0"/>
        </w:rPr>
        <w:t>.</w:t>
      </w:r>
    </w:p>
    <w:p>
      <w:pPr>
        <w:widowControl/>
      </w:pPr>
      <w:r>
        <w:rPr>
          <w:b w:val="0"/>
          <w:i w:val="0"/>
        </w:rPr>
        <w:t xml:space="preserve">Idea as exemplary account. The whole’s principal idea includes proper accounts of its parts, while one divine essence remains simple. References: </w:t>
      </w:r>
      <w:hyperlink w:anchor="passage-ii-11-18">
        <w:r>
          <w:rPr>
            <w:color w:val="000000"/>
          </w:rPr>
          <w:t xml:space="preserve">II.11.18</w:t>
        </w:r>
      </w:hyperlink>
      <w:r>
        <w:rPr>
          <w:b w:val="0"/>
          <w:i w:val="0"/>
        </w:rPr>
        <w:t xml:space="preserve">. See </w:t>
      </w:r>
      <w:hyperlink w:anchor="ideas-and-exemplars">
        <w:r>
          <w:rPr>
            <w:color w:val="000000"/>
          </w:rPr>
          <w:t xml:space="preserve">Ideas and exemplars</w:t>
        </w:r>
      </w:hyperlink>
      <w:r>
        <w:rPr>
          <w:b w:val="0"/>
          <w:i w:val="0"/>
        </w:rPr>
        <w:t>.</w:t>
      </w:r>
    </w:p>
    <w:p>
      <w:pPr>
        <w:keepNext/>
        <w:widowControl/>
      </w:pPr>
      <w:bookmarkStart w:id="1376" w:name="latin-record-1125"/>
      <w:bookmarkEnd w:id="1376"/>
      <w:r>
        <w:rPr>
          <w:b/>
          <w:i w:val="0"/>
        </w:rPr>
        <w:t>species motionis</w:t>
      </w:r>
      <w:r>
        <w:rPr>
          <w:b/>
          <w:i w:val="0"/>
        </w:rPr>
        <w:t>.</w:t>
      </w:r>
      <w:r>
        <w:rPr>
          <w:b w:val="0"/>
          <w:i w:val="0"/>
        </w:rPr>
        <w:t xml:space="preserve"> Printed forms: </w:t>
      </w:r>
      <w:r>
        <w:rPr>
          <w:b w:val="0"/>
          <w:i/>
        </w:rPr>
        <w:t>speciem motus</w:t>
      </w:r>
      <w:r>
        <w:rPr>
          <w:b w:val="0"/>
          <w:i w:val="0"/>
        </w:rPr>
        <w:t xml:space="preserve">; </w:t>
      </w:r>
      <w:r>
        <w:rPr>
          <w:b w:val="0"/>
          <w:i/>
        </w:rPr>
        <w:t>species alias</w:t>
      </w:r>
      <w:r>
        <w:rPr>
          <w:b w:val="0"/>
          <w:i w:val="0"/>
        </w:rPr>
        <w:t>.</w:t>
      </w:r>
    </w:p>
    <w:p>
      <w:pPr>
        <w:widowControl/>
      </w:pPr>
      <w:r>
        <w:rPr>
          <w:b w:val="0"/>
          <w:i w:val="0"/>
        </w:rPr>
        <w:t xml:space="preserve">A kind of motion, distinguished from other kinds. A thing can change in one respect while remaining unchanged in another, so partial rest is consistent with motion. References: </w:t>
      </w:r>
      <w:hyperlink w:anchor="passage-i-5-9">
        <w:r>
          <w:rPr>
            <w:color w:val="000000"/>
          </w:rPr>
          <w:t xml:space="preserve">I.5.9</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377" w:name="latin-record-1126"/>
      <w:bookmarkEnd w:id="1377"/>
      <w:r>
        <w:rPr>
          <w:b/>
          <w:i w:val="0"/>
        </w:rPr>
        <w:t>speculari</w:t>
      </w:r>
      <w:r>
        <w:rPr>
          <w:b/>
          <w:i w:val="0"/>
        </w:rPr>
        <w:t>.</w:t>
      </w:r>
      <w:r>
        <w:rPr>
          <w:b w:val="0"/>
          <w:i w:val="0"/>
        </w:rPr>
        <w:t xml:space="preserve"> Printed forms: </w:t>
      </w:r>
      <w:r>
        <w:rPr>
          <w:b w:val="0"/>
          <w:i/>
        </w:rPr>
        <w:t>speculando</w:t>
      </w:r>
      <w:r>
        <w:rPr>
          <w:b w:val="0"/>
          <w:i w:val="0"/>
        </w:rPr>
        <w:t>.</w:t>
      </w:r>
    </w:p>
    <w:p>
      <w:pPr>
        <w:widowControl/>
      </w:pPr>
      <w:r>
        <w:rPr>
          <w:b w:val="0"/>
          <w:i w:val="0"/>
        </w:rPr>
        <w:t xml:space="preserve">Contemplate. God’s self-contemplation is presented as compatible with external efficacy, rather than withdrawal from governance. References: </w:t>
      </w:r>
      <w:hyperlink w:anchor="passage-ii-11-15">
        <w:r>
          <w:rPr>
            <w:color w:val="000000"/>
          </w:rPr>
          <w:t xml:space="preserve">II.11.15</w:t>
        </w:r>
      </w:hyperlink>
      <w:r>
        <w:rPr>
          <w:b w:val="0"/>
          <w:i w:val="0"/>
        </w:rPr>
        <w:t xml:space="preserve">. See </w:t>
      </w:r>
      <w:hyperlink w:anchor="self-knowledge">
        <w:r>
          <w:rPr>
            <w:color w:val="000000"/>
          </w:rPr>
          <w:t xml:space="preserve">Self knowledge</w:t>
        </w:r>
      </w:hyperlink>
      <w:r>
        <w:rPr>
          <w:b w:val="0"/>
          <w:i w:val="0"/>
        </w:rPr>
        <w:t>.</w:t>
      </w:r>
    </w:p>
    <w:p>
      <w:pPr>
        <w:keepNext/>
        <w:widowControl/>
      </w:pPr>
      <w:bookmarkStart w:id="1378" w:name="latin-record-1127"/>
      <w:bookmarkEnd w:id="1378"/>
      <w:r>
        <w:rPr>
          <w:b/>
          <w:i w:val="0"/>
        </w:rPr>
        <w:t>speculum</w:t>
      </w:r>
      <w:r>
        <w:rPr>
          <w:b/>
          <w:i w:val="0"/>
        </w:rPr>
        <w:t>.</w:t>
      </w:r>
      <w:r>
        <w:rPr>
          <w:b w:val="0"/>
          <w:i w:val="0"/>
        </w:rPr>
        <w:t xml:space="preserve"> Printed forms: </w:t>
      </w:r>
      <w:r>
        <w:rPr>
          <w:b w:val="0"/>
          <w:i/>
        </w:rPr>
        <w:t>speculo</w:t>
      </w:r>
      <w:r>
        <w:rPr>
          <w:b w:val="0"/>
          <w:i w:val="0"/>
        </w:rPr>
        <w:t xml:space="preserve">; </w:t>
      </w:r>
      <w:r>
        <w:rPr>
          <w:b w:val="0"/>
          <w:i/>
        </w:rPr>
        <w:t>speculum</w:t>
      </w:r>
      <w:r>
        <w:rPr>
          <w:b w:val="0"/>
          <w:i w:val="0"/>
        </w:rPr>
        <w:t>.</w:t>
      </w:r>
    </w:p>
    <w:p>
      <w:pPr>
        <w:widowControl/>
      </w:pPr>
      <w:r>
        <w:rPr>
          <w:b w:val="0"/>
          <w:i w:val="0"/>
        </w:rPr>
        <w:t xml:space="preserve">A mirror used as an image of the created soul or mind. The soul reflects the divine countenance; the created mind is a mirror at the centre of things through which the Creator’s works may be contemplated. References: </w:t>
      </w:r>
      <w:hyperlink w:anchor="passage-proem-4">
        <w:r>
          <w:rPr>
            <w:color w:val="000000"/>
          </w:rPr>
          <w:t xml:space="preserve">Proem.4</w:t>
        </w:r>
      </w:hyperlink>
      <w:r>
        <w:rPr>
          <w:b w:val="0"/>
          <w:i w:val="0"/>
        </w:rPr>
        <w:t xml:space="preserve">, </w:t>
      </w:r>
      <w:hyperlink w:anchor="passage-proem-7">
        <w:r>
          <w:rPr>
            <w:color w:val="000000"/>
          </w:rPr>
          <w:t xml:space="preserve">Proem.7</w:t>
        </w:r>
      </w:hyperlink>
      <w:r>
        <w:rPr>
          <w:b w:val="0"/>
          <w:i w:val="0"/>
        </w:rPr>
        <w:t xml:space="preserve">. See </w:t>
      </w:r>
      <w:hyperlink w:anchor="image-and-likeness">
        <w:r>
          <w:rPr>
            <w:color w:val="000000"/>
          </w:rPr>
          <w:t xml:space="preserve">Image and likeness</w:t>
        </w:r>
      </w:hyperlink>
      <w:r>
        <w:rPr>
          <w:b w:val="0"/>
          <w:i w:val="0"/>
        </w:rPr>
        <w:t>.</w:t>
      </w:r>
    </w:p>
    <w:p>
      <w:pPr>
        <w:widowControl/>
      </w:pPr>
      <w:r>
        <w:rPr>
          <w:b w:val="0"/>
          <w:i w:val="0"/>
        </w:rPr>
        <w:t xml:space="preserve">Mirror. Soul is called the mirror of divine things while also life of mortal things; the image highlights cognition within a two-sided mediation. References: </w:t>
      </w:r>
      <w:hyperlink w:anchor="passage-iii-2-8">
        <w:r>
          <w:rPr>
            <w:color w:val="000000"/>
          </w:rPr>
          <w:t xml:space="preserve">III.2.8</w:t>
        </w:r>
      </w:hyperlink>
      <w:r>
        <w:rPr>
          <w:b w:val="0"/>
          <w:i w:val="0"/>
        </w:rPr>
        <w:t xml:space="preserve">. See </w:t>
      </w:r>
      <w:hyperlink w:anchor="self-knowledge">
        <w:r>
          <w:rPr>
            <w:color w:val="000000"/>
          </w:rPr>
          <w:t xml:space="preserve">Self knowledge</w:t>
        </w:r>
      </w:hyperlink>
      <w:r>
        <w:rPr>
          <w:b w:val="0"/>
          <w:i w:val="0"/>
        </w:rPr>
        <w:t>.</w:t>
      </w:r>
    </w:p>
    <w:p>
      <w:pPr>
        <w:keepNext/>
        <w:widowControl/>
      </w:pPr>
      <w:bookmarkStart w:id="1379" w:name="latin-record-1128"/>
      <w:bookmarkEnd w:id="1379"/>
      <w:r>
        <w:rPr>
          <w:b/>
          <w:i w:val="0"/>
        </w:rPr>
        <w:t>speculum / imago</w:t>
      </w:r>
      <w:r>
        <w:rPr>
          <w:b/>
          <w:i w:val="0"/>
        </w:rPr>
        <w:t>.</w:t>
      </w:r>
      <w:r>
        <w:rPr>
          <w:b w:val="0"/>
          <w:i w:val="0"/>
        </w:rPr>
        <w:t xml:space="preserve"> Printed forms: </w:t>
      </w:r>
      <w:r>
        <w:rPr>
          <w:b w:val="0"/>
          <w:i/>
        </w:rPr>
        <w:t>imagines</w:t>
      </w:r>
      <w:r>
        <w:rPr>
          <w:b w:val="0"/>
          <w:i w:val="0"/>
        </w:rPr>
        <w:t xml:space="preserve">; </w:t>
      </w:r>
      <w:r>
        <w:rPr>
          <w:b w:val="0"/>
          <w:i/>
        </w:rPr>
        <w:t>speculo</w:t>
      </w:r>
      <w:r>
        <w:rPr>
          <w:b w:val="0"/>
          <w:i w:val="0"/>
        </w:rPr>
        <w:t>.</w:t>
      </w:r>
    </w:p>
    <w:p>
      <w:pPr>
        <w:widowControl/>
      </w:pPr>
      <w:r>
        <w:rPr>
          <w:b w:val="0"/>
          <w:i w:val="0"/>
        </w:rPr>
        <w:t xml:space="preserve">Mirror and image, with causal and representational uses distinguished. Mirror images illustrate continuing dependence; God’s cognition does not acquire images from external things. References: </w:t>
      </w:r>
      <w:hyperlink w:anchor="passage-ii-7-23">
        <w:r>
          <w:rPr>
            <w:color w:val="000000"/>
          </w:rPr>
          <w:t xml:space="preserve">II.7.23</w:t>
        </w:r>
      </w:hyperlink>
      <w:r>
        <w:rPr>
          <w:b w:val="0"/>
          <w:i w:val="0"/>
        </w:rPr>
        <w:t xml:space="preserve">, </w:t>
      </w:r>
      <w:hyperlink w:anchor="passage-ii-9-20">
        <w:r>
          <w:rPr>
            <w:color w:val="000000"/>
          </w:rPr>
          <w:t xml:space="preserve">II.9.20</w:t>
        </w:r>
      </w:hyperlink>
      <w:r>
        <w:rPr>
          <w:b w:val="0"/>
          <w:i w:val="0"/>
        </w:rPr>
        <w:t xml:space="preserve">, </w:t>
      </w:r>
      <w:hyperlink w:anchor="passage-ii-10-5">
        <w:r>
          <w:rPr>
            <w:color w:val="000000"/>
          </w:rPr>
          <w:t xml:space="preserve">II.10.5</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1380" w:name="latin-record-1129"/>
      <w:bookmarkEnd w:id="1380"/>
      <w:r>
        <w:rPr>
          <w:b/>
          <w:i w:val="0"/>
        </w:rPr>
        <w:t>sphaera</w:t>
      </w:r>
      <w:r>
        <w:rPr>
          <w:b/>
          <w:i w:val="0"/>
        </w:rPr>
        <w:t>.</w:t>
      </w:r>
      <w:r>
        <w:rPr>
          <w:b w:val="0"/>
          <w:i w:val="0"/>
        </w:rPr>
        <w:t xml:space="preserve"> Printed forms: </w:t>
      </w:r>
      <w:r>
        <w:rPr>
          <w:b w:val="0"/>
          <w:i/>
        </w:rPr>
        <w:t>sphaeram</w:t>
      </w:r>
      <w:r>
        <w:rPr>
          <w:b w:val="0"/>
          <w:i w:val="0"/>
        </w:rPr>
        <w:t>.</w:t>
      </w:r>
    </w:p>
    <w:p>
      <w:pPr>
        <w:widowControl/>
      </w:pPr>
      <w:r>
        <w:rPr>
          <w:b w:val="0"/>
          <w:i w:val="0"/>
        </w:rPr>
        <w:t xml:space="preserve">Sphere, the cosmic whole invoked in the Apollo hymn. The lyre harmonizes the whole sphere, extending musical language to cosmological order. References: </w:t>
      </w:r>
      <w:hyperlink w:anchor="passage-ii-9-22">
        <w:r>
          <w:rPr>
            <w:color w:val="000000"/>
          </w:rPr>
          <w:t xml:space="preserve">II.9.22</w:t>
        </w:r>
      </w:hyperlink>
      <w:r>
        <w:rPr>
          <w:b w:val="0"/>
          <w:i w:val="0"/>
        </w:rPr>
        <w:t xml:space="preserve">. See </w:t>
      </w:r>
      <w:hyperlink w:anchor="spheres-and-stars">
        <w:r>
          <w:rPr>
            <w:color w:val="000000"/>
          </w:rPr>
          <w:t xml:space="preserve">Spheres and stars</w:t>
        </w:r>
      </w:hyperlink>
      <w:r>
        <w:rPr>
          <w:b w:val="0"/>
          <w:i w:val="0"/>
        </w:rPr>
        <w:t>.</w:t>
      </w:r>
    </w:p>
    <w:p>
      <w:pPr>
        <w:keepNext/>
        <w:widowControl/>
      </w:pPr>
      <w:bookmarkStart w:id="1381" w:name="latin-record-1130"/>
      <w:bookmarkEnd w:id="1381"/>
      <w:r>
        <w:rPr>
          <w:b/>
          <w:i w:val="0"/>
        </w:rPr>
        <w:t>spirare</w:t>
      </w:r>
      <w:r>
        <w:rPr>
          <w:b/>
          <w:i w:val="0"/>
        </w:rPr>
        <w:t>.</w:t>
      </w:r>
      <w:r>
        <w:rPr>
          <w:b w:val="0"/>
          <w:i w:val="0"/>
        </w:rPr>
        <w:t xml:space="preserve"> Printed forms: </w:t>
      </w:r>
      <w:r>
        <w:rPr>
          <w:b w:val="0"/>
          <w:i/>
        </w:rPr>
        <w:t>spirabit</w:t>
      </w:r>
      <w:r>
        <w:rPr>
          <w:b w:val="0"/>
          <w:i w:val="0"/>
        </w:rPr>
        <w:t>.</w:t>
      </w:r>
    </w:p>
    <w:p>
      <w:pPr>
        <w:widowControl/>
      </w:pPr>
      <w:r>
        <w:rPr>
          <w:b w:val="0"/>
          <w:i w:val="0"/>
        </w:rPr>
        <w:t xml:space="preserve">To breathe. The impossibility of using none of the three powers is stressed by saying such a person would not even breathe. References: </w:t>
      </w:r>
      <w:hyperlink w:anchor="passage-iv-1-44">
        <w:r>
          <w:rPr>
            <w:color w:val="000000"/>
          </w:rPr>
          <w:t xml:space="preserve">IV.1.44</w:t>
        </w:r>
      </w:hyperlink>
      <w:r>
        <w:rPr>
          <w:b w:val="0"/>
          <w:i w:val="0"/>
        </w:rPr>
        <w:t xml:space="preserve">. See </w:t>
      </w:r>
      <w:hyperlink w:anchor="reason-anger-and-desire">
        <w:r>
          <w:rPr>
            <w:color w:val="000000"/>
          </w:rPr>
          <w:t xml:space="preserve">Reason anger and desire</w:t>
        </w:r>
      </w:hyperlink>
      <w:r>
        <w:rPr>
          <w:b w:val="0"/>
          <w:i w:val="0"/>
        </w:rPr>
        <w:t>.</w:t>
      </w:r>
    </w:p>
    <w:p>
      <w:pPr>
        <w:keepNext/>
        <w:widowControl/>
      </w:pPr>
      <w:bookmarkStart w:id="1382" w:name="latin-record-1131"/>
      <w:bookmarkEnd w:id="1382"/>
      <w:r>
        <w:rPr>
          <w:b/>
          <w:i w:val="0"/>
        </w:rPr>
        <w:t>spiritalia et vivifica semina</w:t>
      </w:r>
      <w:r>
        <w:rPr>
          <w:b/>
          <w:i w:val="0"/>
        </w:rPr>
        <w:t>.</w:t>
      </w:r>
      <w:r>
        <w:rPr>
          <w:b w:val="0"/>
          <w:i w:val="0"/>
        </w:rPr>
        <w:t xml:space="preserve"> Printed forms: </w:t>
      </w:r>
      <w:r>
        <w:rPr>
          <w:b w:val="0"/>
          <w:i/>
        </w:rPr>
        <w:t>spiritalia et vivifica semina</w:t>
      </w:r>
      <w:r>
        <w:rPr>
          <w:b w:val="0"/>
          <w:i w:val="0"/>
        </w:rPr>
        <w:t>.</w:t>
      </w:r>
    </w:p>
    <w:p>
      <w:pPr>
        <w:widowControl/>
      </w:pPr>
      <w:r>
        <w:rPr>
          <w:b w:val="0"/>
          <w:i w:val="0"/>
        </w:rPr>
        <w:t xml:space="preserve">Incorporeal, life-giving productive principles. They explain production where bodily seeds are absent and fostering where bodily seeds remain. References: </w:t>
      </w:r>
      <w:hyperlink w:anchor="passage-iv-1-16">
        <w:r>
          <w:rPr>
            <w:color w:val="000000"/>
          </w:rPr>
          <w:t xml:space="preserve">IV.1.16</w:t>
        </w:r>
      </w:hyperlink>
      <w:r>
        <w:rPr>
          <w:b w:val="0"/>
          <w:i w:val="0"/>
        </w:rPr>
        <w:t xml:space="preserve">. See </w:t>
      </w:r>
      <w:hyperlink w:anchor="seeds">
        <w:r>
          <w:rPr>
            <w:color w:val="000000"/>
          </w:rPr>
          <w:t xml:space="preserve">Seeds</w:t>
        </w:r>
      </w:hyperlink>
      <w:r>
        <w:rPr>
          <w:b w:val="0"/>
          <w:i w:val="0"/>
        </w:rPr>
        <w:t>.</w:t>
      </w:r>
    </w:p>
    <w:p>
      <w:pPr>
        <w:keepNext/>
        <w:widowControl/>
      </w:pPr>
      <w:bookmarkStart w:id="1383" w:name="latin-record-1132"/>
      <w:bookmarkEnd w:id="1383"/>
      <w:r>
        <w:rPr>
          <w:b/>
          <w:i w:val="0"/>
        </w:rPr>
        <w:t>spiritual aid and confidence</w:t>
      </w:r>
      <w:r>
        <w:rPr>
          <w:b/>
          <w:i w:val="0"/>
        </w:rPr>
        <w:t>.</w:t>
      </w:r>
      <w:r>
        <w:rPr>
          <w:b w:val="0"/>
          <w:i w:val="0"/>
        </w:rPr>
        <w:t xml:space="preserve"> Printed forms: </w:t>
      </w:r>
      <w:r>
        <w:rPr>
          <w:b w:val="0"/>
          <w:i/>
        </w:rPr>
        <w:t>Deo aspirante</w:t>
      </w:r>
      <w:r>
        <w:rPr>
          <w:b w:val="0"/>
          <w:i w:val="0"/>
        </w:rPr>
        <w:t xml:space="preserve">; </w:t>
      </w:r>
      <w:r>
        <w:rPr>
          <w:b w:val="0"/>
          <w:i/>
        </w:rPr>
        <w:t>divina dumtaxat ope confisi</w:t>
      </w:r>
      <w:r>
        <w:rPr>
          <w:b w:val="0"/>
          <w:i w:val="0"/>
        </w:rPr>
        <w:t>.</w:t>
      </w:r>
    </w:p>
    <w:p>
      <w:pPr>
        <w:widowControl/>
      </w:pPr>
      <w:r>
        <w:rPr>
          <w:b w:val="0"/>
          <w:i w:val="0"/>
        </w:rPr>
        <w:t xml:space="preserve">With God inspiring; relying solely on divine aid. Ficino credits divine assistance for Plato’s and his own philosophical work, preserving an authorial devotional statement rather than an independently evidenced causal mechanism. References: </w:t>
      </w:r>
      <w:hyperlink w:anchor="passage-proem-10">
        <w:r>
          <w:rPr>
            <w:color w:val="000000"/>
          </w:rPr>
          <w:t xml:space="preserve">Proem.10</w:t>
        </w:r>
      </w:hyperlink>
      <w:r>
        <w:rPr>
          <w:b w:val="0"/>
          <w:i w:val="0"/>
        </w:rPr>
        <w:t xml:space="preserve">. See </w:t>
      </w:r>
      <w:hyperlink w:anchor="worship-and-piety">
        <w:r>
          <w:rPr>
            <w:color w:val="000000"/>
          </w:rPr>
          <w:t xml:space="preserve">Worship and piety</w:t>
        </w:r>
      </w:hyperlink>
      <w:r>
        <w:rPr>
          <w:b w:val="0"/>
          <w:i w:val="0"/>
        </w:rPr>
        <w:t>.</w:t>
      </w:r>
    </w:p>
    <w:p>
      <w:pPr>
        <w:keepNext/>
        <w:widowControl/>
      </w:pPr>
      <w:bookmarkStart w:id="1384" w:name="latin-record-1133"/>
      <w:bookmarkEnd w:id="1384"/>
      <w:r>
        <w:rPr>
          <w:b/>
          <w:i w:val="0"/>
        </w:rPr>
        <w:t>spiritus</w:t>
      </w:r>
      <w:r>
        <w:rPr>
          <w:b/>
          <w:i w:val="0"/>
        </w:rPr>
        <w:t>.</w:t>
      </w:r>
      <w:r>
        <w:rPr>
          <w:b w:val="0"/>
          <w:i w:val="0"/>
        </w:rPr>
        <w:t xml:space="preserve"> Printed forms: </w:t>
      </w:r>
      <w:r>
        <w:rPr>
          <w:b w:val="0"/>
          <w:i/>
        </w:rPr>
        <w:t>spiritibus</w:t>
      </w:r>
      <w:r>
        <w:rPr>
          <w:b w:val="0"/>
          <w:i w:val="0"/>
        </w:rPr>
        <w:t xml:space="preserve">; </w:t>
      </w:r>
      <w:r>
        <w:rPr>
          <w:b w:val="0"/>
          <w:i/>
        </w:rPr>
        <w:t>spiritu</w:t>
      </w:r>
      <w:r>
        <w:rPr>
          <w:b w:val="0"/>
          <w:i w:val="0"/>
        </w:rPr>
        <w:t xml:space="preserve">; </w:t>
      </w:r>
      <w:r>
        <w:rPr>
          <w:b w:val="0"/>
          <w:i/>
        </w:rPr>
        <w:t>spiritui</w:t>
      </w:r>
      <w:r>
        <w:rPr>
          <w:b w:val="0"/>
          <w:i w:val="0"/>
        </w:rPr>
        <w:t xml:space="preserve">; </w:t>
      </w:r>
      <w:r>
        <w:rPr>
          <w:b w:val="0"/>
          <w:i/>
        </w:rPr>
        <w:t>Spiritus</w:t>
      </w:r>
      <w:r>
        <w:rPr>
          <w:b w:val="0"/>
          <w:i w:val="0"/>
        </w:rPr>
        <w:t xml:space="preserve">; </w:t>
      </w:r>
      <w:r>
        <w:rPr>
          <w:b w:val="0"/>
          <w:i/>
        </w:rPr>
        <w:t>spiritus</w:t>
      </w:r>
      <w:r>
        <w:rPr>
          <w:b w:val="0"/>
          <w:i w:val="0"/>
        </w:rPr>
        <w:t>.</w:t>
      </w:r>
    </w:p>
    <w:p>
      <w:pPr>
        <w:widowControl/>
      </w:pPr>
      <w:r>
        <w:rPr>
          <w:b w:val="0"/>
          <w:i w:val="0"/>
        </w:rPr>
        <w:t xml:space="preserve">Spirit or spiritual substance, here rational and nonbodily. Rational spirit’s asserted independence from matter supports the attributed presence theory; bodily spirit in other contexts must be distinguished. References: </w:t>
      </w:r>
      <w:hyperlink w:anchor="passage-ii-6-2">
        <w:r>
          <w:rPr>
            <w:color w:val="000000"/>
          </w:rPr>
          <w:t xml:space="preserve">II.6.2</w:t>
        </w:r>
      </w:hyperlink>
      <w:r>
        <w:rPr>
          <w:b w:val="0"/>
          <w:i w:val="0"/>
        </w:rPr>
        <w:t xml:space="preserve">, </w:t>
      </w:r>
      <w:hyperlink w:anchor="passage-ii-6-14">
        <w:r>
          <w:rPr>
            <w:color w:val="000000"/>
          </w:rPr>
          <w:t xml:space="preserve">II.6.14</w:t>
        </w:r>
      </w:hyperlink>
      <w:r>
        <w:rPr>
          <w:b w:val="0"/>
          <w:i w:val="0"/>
        </w:rPr>
        <w:t xml:space="preserve">, </w:t>
      </w:r>
      <w:hyperlink w:anchor="passage-ii-6-15">
        <w:r>
          <w:rPr>
            <w:color w:val="000000"/>
          </w:rPr>
          <w:t xml:space="preserve">II.6.15</w:t>
        </w:r>
      </w:hyperlink>
      <w:r>
        <w:rPr>
          <w:b w:val="0"/>
          <w:i w:val="0"/>
        </w:rPr>
        <w:t xml:space="preserve">, </w:t>
      </w:r>
      <w:hyperlink w:anchor="passage-ii-6-23">
        <w:r>
          <w:rPr>
            <w:color w:val="000000"/>
          </w:rPr>
          <w:t xml:space="preserve">II.6.23</w:t>
        </w:r>
      </w:hyperlink>
      <w:r>
        <w:rPr>
          <w:b w:val="0"/>
          <w:i w:val="0"/>
        </w:rPr>
        <w:t xml:space="preserve">. See </w:t>
      </w:r>
      <w:hyperlink w:anchor="spirit">
        <w:r>
          <w:rPr>
            <w:color w:val="000000"/>
          </w:rPr>
          <w:t xml:space="preserve">Spirit</w:t>
        </w:r>
      </w:hyperlink>
      <w:r>
        <w:rPr>
          <w:b w:val="0"/>
          <w:i w:val="0"/>
        </w:rPr>
        <w:t>.</w:t>
      </w:r>
    </w:p>
    <w:p>
      <w:pPr>
        <w:keepNext/>
        <w:widowControl/>
      </w:pPr>
      <w:bookmarkStart w:id="1385" w:name="latin-record-1134"/>
      <w:bookmarkEnd w:id="1385"/>
      <w:r>
        <w:rPr>
          <w:b/>
          <w:i w:val="0"/>
        </w:rPr>
        <w:t>spiritus / spiritalis</w:t>
      </w:r>
      <w:r>
        <w:rPr>
          <w:b/>
          <w:i w:val="0"/>
        </w:rPr>
        <w:t>.</w:t>
      </w:r>
      <w:r>
        <w:rPr>
          <w:b w:val="0"/>
          <w:i w:val="0"/>
        </w:rPr>
        <w:t xml:space="preserve"> Printed forms: </w:t>
      </w:r>
      <w:r>
        <w:rPr>
          <w:b w:val="0"/>
          <w:i/>
        </w:rPr>
        <w:t>spiritali</w:t>
      </w:r>
      <w:r>
        <w:rPr>
          <w:b w:val="0"/>
          <w:i w:val="0"/>
        </w:rPr>
        <w:t xml:space="preserve">; </w:t>
      </w:r>
      <w:r>
        <w:rPr>
          <w:b w:val="0"/>
          <w:i/>
        </w:rPr>
        <w:t>spiritalis</w:t>
      </w:r>
      <w:r>
        <w:rPr>
          <w:b w:val="0"/>
          <w:i w:val="0"/>
        </w:rPr>
        <w:t xml:space="preserve">; </w:t>
      </w:r>
      <w:r>
        <w:rPr>
          <w:b w:val="0"/>
          <w:i/>
        </w:rPr>
        <w:t>spiritum</w:t>
      </w:r>
      <w:r>
        <w:rPr>
          <w:b w:val="0"/>
          <w:i w:val="0"/>
        </w:rPr>
        <w:t>.</w:t>
      </w:r>
    </w:p>
    <w:p>
      <w:pPr>
        <w:widowControl/>
      </w:pPr>
      <w:r>
        <w:rPr>
          <w:b w:val="0"/>
          <w:i w:val="0"/>
        </w:rPr>
        <w:t xml:space="preserve">Spirit as a medium / spiritual or non-bodily in manner. Sight’s spirit joins a color-image, while soul’s spiritual union with itself and higher things explains knowing at a different level. References: </w:t>
      </w:r>
      <w:hyperlink w:anchor="passage-iii-2-29">
        <w:r>
          <w:rPr>
            <w:color w:val="000000"/>
          </w:rPr>
          <w:t xml:space="preserve">III.2.29</w:t>
        </w:r>
      </w:hyperlink>
      <w:r>
        <w:rPr>
          <w:b w:val="0"/>
          <w:i w:val="0"/>
        </w:rPr>
        <w:t xml:space="preserve">. See </w:t>
      </w:r>
      <w:hyperlink w:anchor="spiritual-union">
        <w:r>
          <w:rPr>
            <w:color w:val="000000"/>
          </w:rPr>
          <w:t xml:space="preserve">Spiritual union</w:t>
        </w:r>
      </w:hyperlink>
      <w:r>
        <w:rPr>
          <w:b w:val="0"/>
          <w:i w:val="0"/>
        </w:rPr>
        <w:t>.</w:t>
      </w:r>
    </w:p>
    <w:p>
      <w:pPr>
        <w:keepNext/>
        <w:widowControl/>
      </w:pPr>
      <w:bookmarkStart w:id="1386" w:name="latin-record-1135"/>
      <w:bookmarkEnd w:id="1386"/>
      <w:r>
        <w:rPr>
          <w:b/>
          <w:i w:val="0"/>
        </w:rPr>
        <w:t>spontaneus / sponte</w:t>
      </w:r>
      <w:r>
        <w:rPr>
          <w:b/>
          <w:i w:val="0"/>
        </w:rPr>
        <w:t>.</w:t>
      </w:r>
      <w:r>
        <w:rPr>
          <w:b w:val="0"/>
          <w:i w:val="0"/>
        </w:rPr>
        <w:t xml:space="preserve"> Printed forms: </w:t>
      </w:r>
      <w:r>
        <w:rPr>
          <w:b w:val="0"/>
          <w:i/>
        </w:rPr>
        <w:t>spontaneus</w:t>
      </w:r>
      <w:r>
        <w:rPr>
          <w:b w:val="0"/>
          <w:i w:val="0"/>
        </w:rPr>
        <w:t xml:space="preserve">; </w:t>
      </w:r>
      <w:r>
        <w:rPr>
          <w:b w:val="0"/>
          <w:i/>
        </w:rPr>
        <w:t>sponte</w:t>
      </w:r>
      <w:r>
        <w:rPr>
          <w:b w:val="0"/>
          <w:i w:val="0"/>
        </w:rPr>
        <w:t>.</w:t>
      </w:r>
    </w:p>
    <w:p>
      <w:pPr>
        <w:widowControl/>
      </w:pPr>
      <w:r>
        <w:rPr>
          <w:b w:val="0"/>
          <w:i w:val="0"/>
        </w:rPr>
        <w:t xml:space="preserve">Spontaneous or from an inward source. Natural circular return is used as a sign of inner life, with ut ita loquar qualifying the description. References: </w:t>
      </w:r>
      <w:hyperlink w:anchor="passage-iv-1-69">
        <w:r>
          <w:rPr>
            <w:color w:val="000000"/>
          </w:rPr>
          <w:t xml:space="preserve">IV.1.69</w:t>
        </w:r>
      </w:hyperlink>
      <w:r>
        <w:rPr>
          <w:b w:val="0"/>
          <w:i w:val="0"/>
        </w:rPr>
        <w:t xml:space="preserve">, </w:t>
      </w:r>
      <w:hyperlink w:anchor="passage-iv-1-70">
        <w:r>
          <w:rPr>
            <w:color w:val="000000"/>
          </w:rPr>
          <w:t xml:space="preserve">IV.1.70</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387" w:name="latin-record-1136"/>
      <w:bookmarkEnd w:id="1387"/>
      <w:r>
        <w:rPr>
          <w:b/>
          <w:i w:val="0"/>
        </w:rPr>
        <w:t>spontaneus / voluntarius</w:t>
      </w:r>
      <w:r>
        <w:rPr>
          <w:b/>
          <w:i w:val="0"/>
        </w:rPr>
        <w:t>.</w:t>
      </w:r>
      <w:r>
        <w:rPr>
          <w:b w:val="0"/>
          <w:i w:val="0"/>
        </w:rPr>
        <w:t xml:space="preserve"> Printed forms: </w:t>
      </w:r>
      <w:r>
        <w:rPr>
          <w:b w:val="0"/>
          <w:i/>
        </w:rPr>
        <w:t>spontaneumque</w:t>
      </w:r>
      <w:r>
        <w:rPr>
          <w:b w:val="0"/>
          <w:i w:val="0"/>
        </w:rPr>
        <w:t xml:space="preserve">; </w:t>
      </w:r>
      <w:r>
        <w:rPr>
          <w:b w:val="0"/>
          <w:i/>
        </w:rPr>
        <w:t>voluntarium</w:t>
      </w:r>
      <w:r>
        <w:rPr>
          <w:b w:val="0"/>
          <w:i w:val="0"/>
        </w:rPr>
        <w:t xml:space="preserve">; </w:t>
      </w:r>
      <w:r>
        <w:rPr>
          <w:b w:val="0"/>
          <w:i/>
        </w:rPr>
        <w:t>voluntariusque</w:t>
      </w:r>
      <w:r>
        <w:rPr>
          <w:b w:val="0"/>
          <w:i w:val="0"/>
        </w:rPr>
        <w:t>.</w:t>
      </w:r>
    </w:p>
    <w:p>
      <w:pPr>
        <w:widowControl/>
      </w:pPr>
      <w:r>
        <w:rPr>
          <w:b w:val="0"/>
          <w:i w:val="0"/>
        </w:rPr>
        <w:t xml:space="preserve">Voluntary / spontaneous. The good’s attraction is described as necessary and voluntary together, distinguishing necessity from imposed coercion. References: </w:t>
      </w:r>
      <w:hyperlink w:anchor="passage-ii-12-5">
        <w:r>
          <w:rPr>
            <w:color w:val="000000"/>
          </w:rPr>
          <w:t xml:space="preserve">II.12.5</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1388" w:name="latin-record-1137"/>
      <w:bookmarkEnd w:id="1388"/>
      <w:r>
        <w:rPr>
          <w:b/>
          <w:i w:val="0"/>
        </w:rPr>
        <w:t>stabilis / instabilis / inordinatus</w:t>
      </w:r>
      <w:r>
        <w:rPr>
          <w:b/>
          <w:i w:val="0"/>
        </w:rPr>
        <w:t>.</w:t>
      </w:r>
      <w:r>
        <w:rPr>
          <w:b w:val="0"/>
          <w:i w:val="0"/>
        </w:rPr>
        <w:t xml:space="preserve"> Printed forms: </w:t>
      </w:r>
      <w:r>
        <w:rPr>
          <w:b w:val="0"/>
          <w:i/>
        </w:rPr>
        <w:t>inordinataeque</w:t>
      </w:r>
      <w:r>
        <w:rPr>
          <w:b w:val="0"/>
          <w:i w:val="0"/>
        </w:rPr>
        <w:t xml:space="preserve">; </w:t>
      </w:r>
      <w:r>
        <w:rPr>
          <w:b w:val="0"/>
          <w:i/>
        </w:rPr>
        <w:t>instabiles</w:t>
      </w:r>
      <w:r>
        <w:rPr>
          <w:b w:val="0"/>
          <w:i w:val="0"/>
        </w:rPr>
        <w:t xml:space="preserve">; </w:t>
      </w:r>
      <w:r>
        <w:rPr>
          <w:b w:val="0"/>
          <w:i/>
        </w:rPr>
        <w:t>stabilem</w:t>
      </w:r>
      <w:r>
        <w:rPr>
          <w:b w:val="0"/>
          <w:i w:val="0"/>
        </w:rPr>
        <w:t>.</w:t>
      </w:r>
    </w:p>
    <w:p>
      <w:pPr>
        <w:widowControl/>
      </w:pPr>
      <w:r>
        <w:rPr>
          <w:b w:val="0"/>
          <w:i w:val="0"/>
        </w:rPr>
        <w:t xml:space="preserve">Stable; unstable; unordered or lacking order. Individual qualities cannot independently explain stable generational succession and recurring appointed effects in Ficino’s argument. References: </w:t>
      </w:r>
      <w:hyperlink w:anchor="passage-i-3-11">
        <w:r>
          <w:rPr>
            <w:color w:val="000000"/>
          </w:rPr>
          <w:t xml:space="preserve">I.3.11</w:t>
        </w:r>
      </w:hyperlink>
      <w:r>
        <w:rPr>
          <w:b w:val="0"/>
          <w:i w:val="0"/>
        </w:rPr>
        <w:t xml:space="preserve">. See </w:t>
      </w:r>
      <w:hyperlink w:anchor="natural-species-and-succession">
        <w:r>
          <w:rPr>
            <w:color w:val="000000"/>
          </w:rPr>
          <w:t xml:space="preserve">Natural species and succession</w:t>
        </w:r>
      </w:hyperlink>
      <w:r>
        <w:rPr>
          <w:b w:val="0"/>
          <w:i w:val="0"/>
        </w:rPr>
        <w:t>.</w:t>
      </w:r>
    </w:p>
    <w:p>
      <w:pPr>
        <w:keepNext/>
        <w:widowControl/>
      </w:pPr>
      <w:bookmarkStart w:id="1389" w:name="latin-record-1138"/>
      <w:bookmarkEnd w:id="1389"/>
      <w:r>
        <w:rPr>
          <w:b/>
          <w:i w:val="0"/>
        </w:rPr>
        <w:t>stabilis causa / opus</w:t>
      </w:r>
      <w:r>
        <w:rPr>
          <w:b/>
          <w:i w:val="0"/>
        </w:rPr>
        <w:t>.</w:t>
      </w:r>
      <w:r>
        <w:rPr>
          <w:b w:val="0"/>
          <w:i w:val="0"/>
        </w:rPr>
        <w:t xml:space="preserve"> Printed forms: </w:t>
      </w:r>
      <w:r>
        <w:rPr>
          <w:b w:val="0"/>
          <w:i/>
        </w:rPr>
        <w:t>causa</w:t>
      </w:r>
      <w:r>
        <w:rPr>
          <w:b w:val="0"/>
          <w:i w:val="0"/>
        </w:rPr>
        <w:t xml:space="preserve">; </w:t>
      </w:r>
      <w:r>
        <w:rPr>
          <w:b w:val="0"/>
          <w:i/>
        </w:rPr>
        <w:t>opus</w:t>
      </w:r>
      <w:r>
        <w:rPr>
          <w:b w:val="0"/>
          <w:i w:val="0"/>
        </w:rPr>
        <w:t xml:space="preserve">; </w:t>
      </w:r>
      <w:r>
        <w:rPr>
          <w:b w:val="0"/>
          <w:i/>
        </w:rPr>
        <w:t>stabile</w:t>
      </w:r>
      <w:r>
        <w:rPr>
          <w:b w:val="0"/>
          <w:i w:val="0"/>
        </w:rPr>
        <w:t xml:space="preserve">; </w:t>
      </w:r>
      <w:r>
        <w:rPr>
          <w:b w:val="0"/>
          <w:i/>
        </w:rPr>
        <w:t>stabilis</w:t>
      </w:r>
      <w:r>
        <w:rPr>
          <w:b w:val="0"/>
          <w:i w:val="0"/>
        </w:rPr>
        <w:t>.</w:t>
      </w:r>
    </w:p>
    <w:p>
      <w:pPr>
        <w:widowControl/>
      </w:pPr>
      <w:r>
        <w:rPr>
          <w:b w:val="0"/>
          <w:i w:val="0"/>
        </w:rPr>
        <w:t xml:space="preserve">An entirely stable cause and its stable work. The brief sentence explains why new variable effects require a mediating mutable activity. References: </w:t>
      </w:r>
      <w:hyperlink w:anchor="passage-iv-2-17">
        <w:r>
          <w:rPr>
            <w:color w:val="000000"/>
          </w:rPr>
          <w:t xml:space="preserve">IV.2.17</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390" w:name="latin-record-1139"/>
      <w:bookmarkEnd w:id="1390"/>
      <w:r>
        <w:rPr>
          <w:b/>
          <w:i w:val="0"/>
        </w:rPr>
        <w:t>stare / status</w:t>
      </w:r>
      <w:r>
        <w:rPr>
          <w:b/>
          <w:i w:val="0"/>
        </w:rPr>
        <w:t>.</w:t>
      </w:r>
      <w:r>
        <w:rPr>
          <w:b w:val="0"/>
          <w:i w:val="0"/>
        </w:rPr>
        <w:t xml:space="preserve"> Printed forms: </w:t>
      </w:r>
      <w:r>
        <w:rPr>
          <w:b w:val="0"/>
          <w:i/>
        </w:rPr>
        <w:t>stare</w:t>
      </w:r>
      <w:r>
        <w:rPr>
          <w:b w:val="0"/>
          <w:i w:val="0"/>
        </w:rPr>
        <w:t xml:space="preserve">; </w:t>
      </w:r>
      <w:r>
        <w:rPr>
          <w:b w:val="0"/>
          <w:i/>
        </w:rPr>
        <w:t>status</w:t>
      </w:r>
      <w:r>
        <w:rPr>
          <w:b w:val="0"/>
          <w:i w:val="0"/>
        </w:rPr>
        <w:t>.</w:t>
      </w:r>
    </w:p>
    <w:p>
      <w:pPr>
        <w:widowControl/>
      </w:pPr>
      <w:r>
        <w:rPr>
          <w:b w:val="0"/>
          <w:i w:val="0"/>
        </w:rPr>
        <w:t xml:space="preserve">Stand or remain stable / stability or state. Standing is explained through remaining in the unity of a nature, not merely occupying an unmoving spatial location. References: </w:t>
      </w:r>
      <w:hyperlink w:anchor="passage-iii-1-6">
        <w:r>
          <w:rPr>
            <w:color w:val="000000"/>
          </w:rPr>
          <w:t xml:space="preserve">III.1.6</w:t>
        </w:r>
      </w:hyperlink>
      <w:r>
        <w:rPr>
          <w:b w:val="0"/>
          <w:i w:val="0"/>
        </w:rPr>
        <w:t xml:space="preserve">, </w:t>
      </w:r>
      <w:hyperlink w:anchor="passage-iii-1-22">
        <w:r>
          <w:rPr>
            <w:color w:val="000000"/>
          </w:rPr>
          <w:t xml:space="preserve">III.1.22</w:t>
        </w:r>
      </w:hyperlink>
      <w:r>
        <w:rPr>
          <w:b w:val="0"/>
          <w:i w:val="0"/>
        </w:rPr>
        <w:t xml:space="preserve">. See </w:t>
      </w:r>
      <w:hyperlink w:anchor="staying-and-preserving">
        <w:r>
          <w:rPr>
            <w:color w:val="000000"/>
          </w:rPr>
          <w:t xml:space="preserve">Staying and preserving</w:t>
        </w:r>
      </w:hyperlink>
      <w:r>
        <w:rPr>
          <w:b w:val="0"/>
          <w:i w:val="0"/>
        </w:rPr>
        <w:t>.</w:t>
      </w:r>
    </w:p>
    <w:p>
      <w:pPr>
        <w:keepNext/>
        <w:widowControl/>
      </w:pPr>
      <w:bookmarkStart w:id="1391" w:name="latin-record-1140"/>
      <w:bookmarkEnd w:id="1391"/>
      <w:r>
        <w:rPr>
          <w:b/>
          <w:i w:val="0"/>
        </w:rPr>
        <w:t>statua / lapis / aes</w:t>
      </w:r>
      <w:r>
        <w:rPr>
          <w:b/>
          <w:i w:val="0"/>
        </w:rPr>
        <w:t>.</w:t>
      </w:r>
      <w:r>
        <w:rPr>
          <w:b w:val="0"/>
          <w:i w:val="0"/>
        </w:rPr>
        <w:t xml:space="preserve"> Printed forms: </w:t>
      </w:r>
      <w:r>
        <w:rPr>
          <w:b w:val="0"/>
          <w:i/>
        </w:rPr>
        <w:t>aeris</w:t>
      </w:r>
      <w:r>
        <w:rPr>
          <w:b w:val="0"/>
          <w:i w:val="0"/>
        </w:rPr>
        <w:t xml:space="preserve">; </w:t>
      </w:r>
      <w:r>
        <w:rPr>
          <w:b w:val="0"/>
          <w:i/>
        </w:rPr>
        <w:t>lapidis</w:t>
      </w:r>
      <w:r>
        <w:rPr>
          <w:b w:val="0"/>
          <w:i w:val="0"/>
        </w:rPr>
        <w:t xml:space="preserve">; </w:t>
      </w:r>
      <w:r>
        <w:rPr>
          <w:b w:val="0"/>
          <w:i/>
        </w:rPr>
        <w:t>soliditatem</w:t>
      </w:r>
      <w:r>
        <w:rPr>
          <w:b w:val="0"/>
          <w:i w:val="0"/>
        </w:rPr>
        <w:t xml:space="preserve">; </w:t>
      </w:r>
      <w:r>
        <w:rPr>
          <w:b w:val="0"/>
          <w:i/>
        </w:rPr>
        <w:t>statua</w:t>
      </w:r>
      <w:r>
        <w:rPr>
          <w:b w:val="0"/>
          <w:i w:val="0"/>
        </w:rPr>
        <w:t>.</w:t>
      </w:r>
    </w:p>
    <w:p>
      <w:pPr>
        <w:widowControl/>
      </w:pPr>
      <w:r>
        <w:rPr>
          <w:b w:val="0"/>
          <w:i w:val="0"/>
        </w:rPr>
        <w:t xml:space="preserve">Statue, stone, and bronze, with material solidity. The statue endures through natural firmness; aeris here is bronze rather than air. References: </w:t>
      </w:r>
      <w:hyperlink w:anchor="passage-ii-7-17">
        <w:r>
          <w:rPr>
            <w:color w:val="000000"/>
          </w:rPr>
          <w:t xml:space="preserve">II.7.17</w:t>
        </w:r>
      </w:hyperlink>
      <w:r>
        <w:rPr>
          <w:b w:val="0"/>
          <w:i w:val="0"/>
        </w:rPr>
        <w:t xml:space="preserve">. See </w:t>
      </w:r>
      <w:hyperlink w:anchor="statue-and-solidity">
        <w:r>
          <w:rPr>
            <w:color w:val="000000"/>
          </w:rPr>
          <w:t xml:space="preserve">Statue and solidity</w:t>
        </w:r>
      </w:hyperlink>
      <w:r>
        <w:rPr>
          <w:b w:val="0"/>
          <w:i w:val="0"/>
        </w:rPr>
        <w:t>.</w:t>
      </w:r>
    </w:p>
    <w:p>
      <w:pPr>
        <w:keepNext/>
        <w:widowControl/>
      </w:pPr>
      <w:bookmarkStart w:id="1392" w:name="latin-record-1141"/>
      <w:bookmarkEnd w:id="1392"/>
      <w:r>
        <w:rPr>
          <w:b/>
          <w:i w:val="0"/>
        </w:rPr>
        <w:t>status / stare</w:t>
      </w:r>
      <w:r>
        <w:rPr>
          <w:b/>
          <w:i w:val="0"/>
        </w:rPr>
        <w:t>.</w:t>
      </w:r>
      <w:r>
        <w:rPr>
          <w:b w:val="0"/>
          <w:i w:val="0"/>
        </w:rPr>
        <w:t xml:space="preserve"> Printed forms: </w:t>
      </w:r>
      <w:r>
        <w:rPr>
          <w:b w:val="0"/>
          <w:i/>
        </w:rPr>
        <w:t>consistentem</w:t>
      </w:r>
      <w:r>
        <w:rPr>
          <w:b w:val="0"/>
          <w:i w:val="0"/>
        </w:rPr>
        <w:t xml:space="preserve">; </w:t>
      </w:r>
      <w:r>
        <w:rPr>
          <w:b w:val="0"/>
          <w:i/>
        </w:rPr>
        <w:t>stabiliore</w:t>
      </w:r>
      <w:r>
        <w:rPr>
          <w:b w:val="0"/>
          <w:i w:val="0"/>
        </w:rPr>
        <w:t xml:space="preserve">; </w:t>
      </w:r>
      <w:r>
        <w:rPr>
          <w:b w:val="0"/>
          <w:i/>
        </w:rPr>
        <w:t>stabilis</w:t>
      </w:r>
      <w:r>
        <w:rPr>
          <w:b w:val="0"/>
          <w:i w:val="0"/>
        </w:rPr>
        <w:t xml:space="preserve">; </w:t>
      </w:r>
      <w:r>
        <w:rPr>
          <w:b w:val="0"/>
          <w:i/>
        </w:rPr>
        <w:t>statu</w:t>
      </w:r>
      <w:r>
        <w:rPr>
          <w:b w:val="0"/>
          <w:i w:val="0"/>
        </w:rPr>
        <w:t xml:space="preserve">; </w:t>
      </w:r>
      <w:r>
        <w:rPr>
          <w:b w:val="0"/>
          <w:i/>
        </w:rPr>
        <w:t>status</w:t>
      </w:r>
      <w:r>
        <w:rPr>
          <w:b w:val="0"/>
          <w:i w:val="0"/>
        </w:rPr>
        <w:t>.</w:t>
      </w:r>
    </w:p>
    <w:p>
      <w:pPr>
        <w:widowControl/>
      </w:pPr>
      <w:r>
        <w:rPr>
          <w:b w:val="0"/>
          <w:i w:val="0"/>
        </w:rPr>
        <w:t xml:space="preserve">Stability or abiding condition, opposed to flux in this setting. A stable source must guide dependent flow; eternity is substantial stability rather than accidental temporal succession. References: </w:t>
      </w:r>
      <w:hyperlink w:anchor="passage-ii-3-8">
        <w:r>
          <w:rPr>
            <w:color w:val="000000"/>
          </w:rPr>
          <w:t xml:space="preserve">II.3.8</w:t>
        </w:r>
      </w:hyperlink>
      <w:r>
        <w:rPr>
          <w:b w:val="0"/>
          <w:i w:val="0"/>
        </w:rPr>
        <w:t xml:space="preserve">, </w:t>
      </w:r>
      <w:hyperlink w:anchor="passage-ii-5-2">
        <w:r>
          <w:rPr>
            <w:color w:val="000000"/>
          </w:rPr>
          <w:t xml:space="preserve">II.5.2</w:t>
        </w:r>
      </w:hyperlink>
      <w:r>
        <w:rPr>
          <w:b w:val="0"/>
          <w:i w:val="0"/>
        </w:rPr>
        <w:t xml:space="preserve">, </w:t>
      </w:r>
      <w:hyperlink w:anchor="passage-ii-7-8">
        <w:r>
          <w:rPr>
            <w:color w:val="000000"/>
          </w:rPr>
          <w:t xml:space="preserve">II.7.8</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393" w:name="latin-record-1142"/>
      <w:bookmarkEnd w:id="1393"/>
      <w:r>
        <w:rPr>
          <w:b/>
          <w:i w:val="0"/>
        </w:rPr>
        <w:t>status / stat in motu</w:t>
      </w:r>
      <w:r>
        <w:rPr>
          <w:b/>
          <w:i w:val="0"/>
        </w:rPr>
        <w:t>.</w:t>
      </w:r>
      <w:r>
        <w:rPr>
          <w:b w:val="0"/>
          <w:i w:val="0"/>
        </w:rPr>
        <w:t xml:space="preserve"> Printed forms: </w:t>
      </w:r>
      <w:r>
        <w:rPr>
          <w:b w:val="0"/>
          <w:i/>
        </w:rPr>
        <w:t>stat in motu</w:t>
      </w:r>
      <w:r>
        <w:rPr>
          <w:b w:val="0"/>
          <w:i w:val="0"/>
        </w:rPr>
        <w:t xml:space="preserve">; </w:t>
      </w:r>
      <w:r>
        <w:rPr>
          <w:b w:val="0"/>
          <w:i/>
        </w:rPr>
        <w:t>status</w:t>
      </w:r>
      <w:r>
        <w:rPr>
          <w:b w:val="0"/>
          <w:i w:val="0"/>
        </w:rPr>
        <w:t>.</w:t>
      </w:r>
    </w:p>
    <w:p>
      <w:pPr>
        <w:widowControl/>
      </w:pPr>
      <w:r>
        <w:rPr>
          <w:b w:val="0"/>
          <w:i w:val="0"/>
        </w:rPr>
        <w:t xml:space="preserve">Stability; remaining stable in motion. The next unit explains this as preserved moving power and a same, equal or similar pattern, not literal absence of every motion. References: </w:t>
      </w:r>
      <w:hyperlink w:anchor="passage-i-5-7">
        <w:r>
          <w:rPr>
            <w:color w:val="000000"/>
          </w:rPr>
          <w:t xml:space="preserve">I.5.7</w:t>
        </w:r>
      </w:hyperlink>
      <w:r>
        <w:rPr>
          <w:b w:val="0"/>
          <w:i w:val="0"/>
        </w:rPr>
        <w:t xml:space="preserve">, </w:t>
      </w:r>
      <w:hyperlink w:anchor="passage-i-5-8">
        <w:r>
          <w:rPr>
            <w:color w:val="000000"/>
          </w:rPr>
          <w:t xml:space="preserve">I.5.8</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394" w:name="latin-record-1143"/>
      <w:bookmarkEnd w:id="1394"/>
      <w:r>
        <w:rPr>
          <w:b/>
          <w:i w:val="0"/>
        </w:rPr>
        <w:t>statutis temporibus / quovis tempore</w:t>
      </w:r>
      <w:r>
        <w:rPr>
          <w:b/>
          <w:i w:val="0"/>
        </w:rPr>
        <w:t>.</w:t>
      </w:r>
      <w:r>
        <w:rPr>
          <w:b w:val="0"/>
          <w:i w:val="0"/>
        </w:rPr>
        <w:t xml:space="preserve"> Printed forms: </w:t>
      </w:r>
      <w:r>
        <w:rPr>
          <w:b w:val="0"/>
          <w:i/>
        </w:rPr>
        <w:t>quovis tempore</w:t>
      </w:r>
      <w:r>
        <w:rPr>
          <w:b w:val="0"/>
          <w:i w:val="0"/>
        </w:rPr>
        <w:t xml:space="preserve">; </w:t>
      </w:r>
      <w:r>
        <w:rPr>
          <w:b w:val="0"/>
          <w:i/>
        </w:rPr>
        <w:t>statutis</w:t>
      </w:r>
      <w:r>
        <w:rPr>
          <w:b w:val="0"/>
          <w:i w:val="0"/>
        </w:rPr>
        <w:t xml:space="preserve">; </w:t>
      </w:r>
      <w:r>
        <w:rPr>
          <w:b w:val="0"/>
          <w:i/>
        </w:rPr>
        <w:t>temporibus</w:t>
      </w:r>
      <w:r>
        <w:rPr>
          <w:b w:val="0"/>
          <w:i w:val="0"/>
        </w:rPr>
        <w:t>.</w:t>
      </w:r>
    </w:p>
    <w:p>
      <w:pPr>
        <w:widowControl/>
      </w:pPr>
      <w:r>
        <w:rPr>
          <w:b w:val="0"/>
          <w:i w:val="0"/>
        </w:rPr>
        <w:t xml:space="preserve">At appointed times; at any time or throughout the recurring order. One and the same directing cause is inferred from recurrent effects, not from a claim that each individual quality remains permanently unchanged. References: </w:t>
      </w:r>
      <w:hyperlink w:anchor="passage-i-3-11">
        <w:r>
          <w:rPr>
            <w:color w:val="000000"/>
          </w:rPr>
          <w:t xml:space="preserve">I.3.11</w:t>
        </w:r>
      </w:hyperlink>
      <w:r>
        <w:rPr>
          <w:b w:val="0"/>
          <w:i w:val="0"/>
        </w:rPr>
        <w:t xml:space="preserve">. See </w:t>
      </w:r>
      <w:hyperlink w:anchor="natural-species-and-succession">
        <w:r>
          <w:rPr>
            <w:color w:val="000000"/>
          </w:rPr>
          <w:t xml:space="preserve">Natural species and succession</w:t>
        </w:r>
      </w:hyperlink>
      <w:r>
        <w:rPr>
          <w:b w:val="0"/>
          <w:i w:val="0"/>
        </w:rPr>
        <w:t>.</w:t>
      </w:r>
    </w:p>
    <w:p>
      <w:pPr>
        <w:keepNext/>
        <w:widowControl/>
      </w:pPr>
      <w:bookmarkStart w:id="1395" w:name="latin-record-1144"/>
      <w:bookmarkEnd w:id="1395"/>
      <w:r>
        <w:rPr>
          <w:b/>
          <w:i w:val="0"/>
        </w:rPr>
        <w:t>Stoici / Cynici</w:t>
      </w:r>
      <w:r>
        <w:rPr>
          <w:b/>
          <w:i w:val="0"/>
        </w:rPr>
        <w:t>.</w:t>
      </w:r>
      <w:r>
        <w:rPr>
          <w:b w:val="0"/>
          <w:i w:val="0"/>
        </w:rPr>
        <w:t xml:space="preserve"> Printed forms: </w:t>
      </w:r>
      <w:r>
        <w:rPr>
          <w:b w:val="0"/>
          <w:i/>
        </w:rPr>
        <w:t>Cynicorumque</w:t>
      </w:r>
      <w:r>
        <w:rPr>
          <w:b w:val="0"/>
          <w:i w:val="0"/>
        </w:rPr>
        <w:t xml:space="preserve">; </w:t>
      </w:r>
      <w:r>
        <w:rPr>
          <w:b w:val="0"/>
          <w:i/>
        </w:rPr>
        <w:t>Stoicorum</w:t>
      </w:r>
      <w:r>
        <w:rPr>
          <w:b w:val="0"/>
          <w:i w:val="0"/>
        </w:rPr>
        <w:t>.</w:t>
      </w:r>
    </w:p>
    <w:p>
      <w:pPr>
        <w:widowControl/>
      </w:pPr>
      <w:r>
        <w:rPr>
          <w:b w:val="0"/>
          <w:i w:val="0"/>
        </w:rPr>
        <w:t xml:space="preserve">The Stoics and Cynics in Ficino’s classification. They are represented as reaching efficacious quality, which the argument subsequently refuses to treat as the highest principle. References: </w:t>
      </w:r>
      <w:hyperlink w:anchor="passage-i-1-3">
        <w:r>
          <w:rPr>
            <w:color w:val="000000"/>
          </w:rPr>
          <w:t xml:space="preserve">I.1.3</w:t>
        </w:r>
      </w:hyperlink>
      <w:r>
        <w:rPr>
          <w:b w:val="0"/>
          <w:i w:val="0"/>
        </w:rPr>
        <w:t xml:space="preserve">, </w:t>
      </w:r>
      <w:hyperlink w:anchor="passage-i-3-1">
        <w:r>
          <w:rPr>
            <w:color w:val="000000"/>
          </w:rPr>
          <w:t xml:space="preserve">I.3.1</w:t>
        </w:r>
      </w:hyperlink>
      <w:r>
        <w:rPr>
          <w:b w:val="0"/>
          <w:i w:val="0"/>
        </w:rPr>
        <w:t xml:space="preserve">. See </w:t>
      </w:r>
      <w:hyperlink w:anchor="philosophers-and-stopping-points">
        <w:r>
          <w:rPr>
            <w:color w:val="000000"/>
          </w:rPr>
          <w:t xml:space="preserve">Philosophers and stopping points</w:t>
        </w:r>
      </w:hyperlink>
      <w:r>
        <w:rPr>
          <w:b w:val="0"/>
          <w:i w:val="0"/>
        </w:rPr>
        <w:t>.</w:t>
      </w:r>
    </w:p>
    <w:p>
      <w:pPr>
        <w:keepNext/>
        <w:widowControl/>
      </w:pPr>
      <w:bookmarkStart w:id="1396" w:name="latin-record-1145"/>
      <w:bookmarkEnd w:id="1396"/>
      <w:r>
        <w:rPr>
          <w:b/>
          <w:i w:val="0"/>
        </w:rPr>
        <w:t>Strato / Chrysippus</w:t>
      </w:r>
      <w:r>
        <w:rPr>
          <w:b/>
          <w:i w:val="0"/>
        </w:rPr>
        <w:t>.</w:t>
      </w:r>
      <w:r>
        <w:rPr>
          <w:b w:val="0"/>
          <w:i w:val="0"/>
        </w:rPr>
        <w:t xml:space="preserve"> Printed forms: </w:t>
      </w:r>
      <w:r>
        <w:rPr>
          <w:b w:val="0"/>
          <w:i/>
        </w:rPr>
        <w:t>Chrysippus</w:t>
      </w:r>
      <w:r>
        <w:rPr>
          <w:b w:val="0"/>
          <w:i w:val="0"/>
        </w:rPr>
        <w:t xml:space="preserve">; </w:t>
      </w:r>
      <w:r>
        <w:rPr>
          <w:b w:val="0"/>
          <w:i/>
        </w:rPr>
        <w:t>Strato</w:t>
      </w:r>
      <w:r>
        <w:rPr>
          <w:b w:val="0"/>
          <w:i w:val="0"/>
        </w:rPr>
        <w:t>.</w:t>
      </w:r>
    </w:p>
    <w:p>
      <w:pPr>
        <w:widowControl/>
      </w:pPr>
      <w:r>
        <w:rPr>
          <w:b w:val="0"/>
          <w:i w:val="0"/>
        </w:rPr>
        <w:t xml:space="preserve">Named advocates, as represented here, of identifying cosmic life with the highest God. Their agreement about infused life is separated from the identification the Platonists reject. References: </w:t>
      </w:r>
      <w:hyperlink w:anchor="passage-iv-1-22">
        <w:r>
          <w:rPr>
            <w:color w:val="000000"/>
          </w:rPr>
          <w:t xml:space="preserve">IV.1.22</w:t>
        </w:r>
      </w:hyperlink>
      <w:r>
        <w:rPr>
          <w:b w:val="0"/>
          <w:i w:val="0"/>
        </w:rPr>
        <w:t xml:space="preserve">. See </w:t>
      </w:r>
      <w:hyperlink w:anchor="strato-chrysippus-and-almariani">
        <w:r>
          <w:rPr>
            <w:color w:val="000000"/>
          </w:rPr>
          <w:t xml:space="preserve">Strato, Chrysippus, and the Almariani</w:t>
        </w:r>
      </w:hyperlink>
      <w:r>
        <w:rPr>
          <w:b w:val="0"/>
          <w:i w:val="0"/>
        </w:rPr>
        <w:t>.</w:t>
      </w:r>
    </w:p>
    <w:p>
      <w:pPr>
        <w:keepNext/>
        <w:widowControl/>
      </w:pPr>
      <w:bookmarkStart w:id="1397" w:name="latin-record-1146"/>
      <w:bookmarkEnd w:id="1397"/>
      <w:r>
        <w:rPr>
          <w:b/>
          <w:i w:val="0"/>
        </w:rPr>
        <w:t>struthii oculus</w:t>
      </w:r>
      <w:r>
        <w:rPr>
          <w:b/>
          <w:i w:val="0"/>
        </w:rPr>
        <w:t>.</w:t>
      </w:r>
      <w:r>
        <w:rPr>
          <w:b w:val="0"/>
          <w:i w:val="0"/>
        </w:rPr>
        <w:t xml:space="preserve"> Printed forms: </w:t>
      </w:r>
      <w:r>
        <w:rPr>
          <w:b w:val="0"/>
          <w:i/>
        </w:rPr>
        <w:t>struthii intuitus</w:t>
      </w:r>
      <w:r>
        <w:rPr>
          <w:b w:val="0"/>
          <w:i w:val="0"/>
        </w:rPr>
        <w:t xml:space="preserve">; </w:t>
      </w:r>
      <w:r>
        <w:rPr>
          <w:b w:val="0"/>
          <w:i/>
        </w:rPr>
        <w:t>struthii oculus</w:t>
      </w:r>
      <w:r>
        <w:rPr>
          <w:b w:val="0"/>
          <w:i w:val="0"/>
        </w:rPr>
        <w:t>.</w:t>
      </w:r>
    </w:p>
    <w:p>
      <w:pPr>
        <w:widowControl/>
      </w:pPr>
      <w:r>
        <w:rPr>
          <w:b w:val="0"/>
          <w:i w:val="0"/>
        </w:rPr>
        <w:t xml:space="preserve">The ostrich’s eye or gaze. The eye fixed upon the egg supplies Ficino’s natural-lore illustration of affective efficacy, not verified incubation science. References: </w:t>
      </w:r>
      <w:hyperlink w:anchor="passage-ii-11-31">
        <w:r>
          <w:rPr>
            <w:color w:val="000000"/>
          </w:rPr>
          <w:t xml:space="preserve">II.11.31</w:t>
        </w:r>
      </w:hyperlink>
      <w:r>
        <w:rPr>
          <w:b w:val="0"/>
          <w:i w:val="0"/>
        </w:rPr>
        <w:t xml:space="preserve">, </w:t>
      </w:r>
      <w:hyperlink w:anchor="passage-ii-11-32">
        <w:r>
          <w:rPr>
            <w:color w:val="000000"/>
          </w:rPr>
          <w:t xml:space="preserve">II.11.32</w:t>
        </w:r>
      </w:hyperlink>
      <w:r>
        <w:rPr>
          <w:b w:val="0"/>
          <w:i w:val="0"/>
        </w:rPr>
        <w:t xml:space="preserve">. See </w:t>
      </w:r>
      <w:hyperlink w:anchor="ostrich-and-egg">
        <w:r>
          <w:rPr>
            <w:color w:val="000000"/>
          </w:rPr>
          <w:t xml:space="preserve">Ostrich and egg</w:t>
        </w:r>
      </w:hyperlink>
      <w:r>
        <w:rPr>
          <w:b w:val="0"/>
          <w:i w:val="0"/>
        </w:rPr>
        <w:t>.</w:t>
      </w:r>
    </w:p>
    <w:p>
      <w:pPr>
        <w:keepNext/>
        <w:widowControl/>
      </w:pPr>
      <w:bookmarkStart w:id="1398" w:name="latin-record-1147"/>
      <w:bookmarkEnd w:id="1398"/>
      <w:r>
        <w:rPr>
          <w:b/>
          <w:i w:val="0"/>
        </w:rPr>
        <w:t>studium / incumbo</w:t>
      </w:r>
      <w:r>
        <w:rPr>
          <w:b/>
          <w:i w:val="0"/>
        </w:rPr>
        <w:t>.</w:t>
      </w:r>
      <w:r>
        <w:rPr>
          <w:b w:val="0"/>
          <w:i w:val="0"/>
        </w:rPr>
        <w:t xml:space="preserve"> Printed forms: </w:t>
      </w:r>
      <w:r>
        <w:rPr>
          <w:b w:val="0"/>
          <w:i/>
        </w:rPr>
        <w:t>incubui</w:t>
      </w:r>
      <w:r>
        <w:rPr>
          <w:b w:val="0"/>
          <w:i w:val="0"/>
        </w:rPr>
        <w:t xml:space="preserve">; </w:t>
      </w:r>
      <w:r>
        <w:rPr>
          <w:b w:val="0"/>
          <w:i/>
        </w:rPr>
        <w:t>studium</w:t>
      </w:r>
      <w:r>
        <w:rPr>
          <w:b w:val="0"/>
          <w:i w:val="0"/>
        </w:rPr>
        <w:t>.</w:t>
      </w:r>
    </w:p>
    <w:p>
      <w:pPr>
        <w:widowControl/>
      </w:pPr>
      <w:r>
        <w:rPr>
          <w:b w:val="0"/>
          <w:i w:val="0"/>
        </w:rPr>
        <w:t xml:space="preserve">Study or sustained pursuit, and to apply oneself closely. Ficino devotes himself to worship and the soul’s divinity, while censuring a pursuit of philosophy severed from religion. References: </w:t>
      </w:r>
      <w:hyperlink w:anchor="passage-proem-7">
        <w:r>
          <w:rPr>
            <w:color w:val="000000"/>
          </w:rPr>
          <w:t xml:space="preserve">Proem.7</w:t>
        </w:r>
      </w:hyperlink>
      <w:r>
        <w:rPr>
          <w:b w:val="0"/>
          <w:i w:val="0"/>
        </w:rPr>
        <w:t xml:space="preserve">, </w:t>
      </w:r>
      <w:hyperlink w:anchor="passage-proem-8">
        <w:r>
          <w:rPr>
            <w:color w:val="000000"/>
          </w:rPr>
          <w:t xml:space="preserve">Proem.8</w:t>
        </w:r>
      </w:hyperlink>
      <w:r>
        <w:rPr>
          <w:b w:val="0"/>
          <w:i w:val="0"/>
        </w:rPr>
        <w:t xml:space="preserve">. See </w:t>
      </w:r>
      <w:hyperlink w:anchor="philosophy-and-theology">
        <w:r>
          <w:rPr>
            <w:color w:val="000000"/>
          </w:rPr>
          <w:t xml:space="preserve">Philosophy and theology</w:t>
        </w:r>
      </w:hyperlink>
      <w:r>
        <w:rPr>
          <w:b w:val="0"/>
          <w:i w:val="0"/>
        </w:rPr>
        <w:t>.</w:t>
      </w:r>
    </w:p>
    <w:p>
      <w:pPr>
        <w:keepNext/>
        <w:widowControl/>
      </w:pPr>
      <w:bookmarkStart w:id="1399" w:name="latin-record-1148"/>
      <w:bookmarkEnd w:id="1399"/>
      <w:r>
        <w:rPr>
          <w:b/>
          <w:i w:val="0"/>
        </w:rPr>
        <w:t>stultus / sapienter / perspicue / vulgo / gratia / idealis</w:t>
      </w:r>
      <w:r>
        <w:rPr>
          <w:b/>
          <w:i w:val="0"/>
        </w:rPr>
        <w:t>.</w:t>
      </w:r>
      <w:r>
        <w:rPr>
          <w:b w:val="0"/>
          <w:i w:val="0"/>
        </w:rPr>
        <w:t xml:space="preserve"> Printed forms: </w:t>
      </w:r>
      <w:r>
        <w:rPr>
          <w:b w:val="0"/>
          <w:i/>
        </w:rPr>
        <w:t>gratia</w:t>
      </w:r>
      <w:r>
        <w:rPr>
          <w:b w:val="0"/>
          <w:i w:val="0"/>
        </w:rPr>
        <w:t xml:space="preserve">; </w:t>
      </w:r>
      <w:r>
        <w:rPr>
          <w:b w:val="0"/>
          <w:i/>
        </w:rPr>
        <w:t>idealis</w:t>
      </w:r>
      <w:r>
        <w:rPr>
          <w:b w:val="0"/>
          <w:i w:val="0"/>
        </w:rPr>
        <w:t xml:space="preserve">; </w:t>
      </w:r>
      <w:r>
        <w:rPr>
          <w:b w:val="0"/>
          <w:i/>
        </w:rPr>
        <w:t>perspicue</w:t>
      </w:r>
      <w:r>
        <w:rPr>
          <w:b w:val="0"/>
          <w:i w:val="0"/>
        </w:rPr>
        <w:t xml:space="preserve">; </w:t>
      </w:r>
      <w:r>
        <w:rPr>
          <w:b w:val="0"/>
          <w:i/>
        </w:rPr>
        <w:t>stultum</w:t>
      </w:r>
      <w:r>
        <w:rPr>
          <w:b w:val="0"/>
          <w:i w:val="0"/>
        </w:rPr>
        <w:t xml:space="preserve">; </w:t>
      </w:r>
      <w:r>
        <w:rPr>
          <w:b w:val="0"/>
          <w:i/>
        </w:rPr>
        <w:t>vulgo</w:t>
      </w:r>
      <w:r>
        <w:rPr>
          <w:b w:val="0"/>
          <w:i w:val="0"/>
        </w:rPr>
        <w:t>.</w:t>
      </w:r>
    </w:p>
    <w:p>
      <w:pPr>
        <w:widowControl/>
      </w:pPr>
      <w:r>
        <w:rPr>
          <w:b w:val="0"/>
          <w:i w:val="0"/>
        </w:rPr>
        <w:t xml:space="preserve">Foolish, wisely, plainly, commonly, for the sake of, and ideal, with differing grammatical functions. These qualify Ficino’s appraisals, evidential confidence, end-directed action, and comparison standard; they are not separate ontological grades. References: </w:t>
      </w:r>
      <w:hyperlink w:anchor="passage-ii-1-6">
        <w:r>
          <w:rPr>
            <w:color w:val="000000"/>
          </w:rPr>
          <w:t xml:space="preserve">II.1.6</w:t>
        </w:r>
      </w:hyperlink>
      <w:r>
        <w:rPr>
          <w:b w:val="0"/>
          <w:i w:val="0"/>
        </w:rPr>
        <w:t xml:space="preserve">, </w:t>
      </w:r>
      <w:hyperlink w:anchor="passage-ii-3-3">
        <w:r>
          <w:rPr>
            <w:color w:val="000000"/>
          </w:rPr>
          <w:t xml:space="preserve">II.3.3</w:t>
        </w:r>
      </w:hyperlink>
      <w:r>
        <w:rPr>
          <w:b w:val="0"/>
          <w:i w:val="0"/>
        </w:rPr>
        <w:t xml:space="preserve">, </w:t>
      </w:r>
      <w:hyperlink w:anchor="passage-ii-3-5">
        <w:r>
          <w:rPr>
            <w:color w:val="000000"/>
          </w:rPr>
          <w:t xml:space="preserve">II.3.5</w:t>
        </w:r>
      </w:hyperlink>
      <w:r>
        <w:rPr>
          <w:b w:val="0"/>
          <w:i w:val="0"/>
        </w:rPr>
        <w:t xml:space="preserve">, </w:t>
      </w:r>
      <w:hyperlink w:anchor="passage-ii-7-5">
        <w:r>
          <w:rPr>
            <w:color w:val="000000"/>
          </w:rPr>
          <w:t xml:space="preserve">II.7.5</w:t>
        </w:r>
      </w:hyperlink>
      <w:r>
        <w:rPr>
          <w:b w:val="0"/>
          <w:i w:val="0"/>
        </w:rPr>
        <w:t xml:space="preserve">, </w:t>
      </w:r>
      <w:hyperlink w:anchor="passage-ii-9-22">
        <w:r>
          <w:rPr>
            <w:color w:val="000000"/>
          </w:rPr>
          <w:t xml:space="preserve">II.9.22</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1400" w:name="latin-record-1149"/>
      <w:bookmarkEnd w:id="1400"/>
      <w:r>
        <w:rPr>
          <w:b/>
          <w:i w:val="0"/>
        </w:rPr>
        <w:t>suavis / naris</w:t>
      </w:r>
      <w:r>
        <w:rPr>
          <w:b/>
          <w:i w:val="0"/>
        </w:rPr>
        <w:t>.</w:t>
      </w:r>
      <w:r>
        <w:rPr>
          <w:b w:val="0"/>
          <w:i w:val="0"/>
        </w:rPr>
        <w:t xml:space="preserve"> Printed forms: </w:t>
      </w:r>
      <w:r>
        <w:rPr>
          <w:b w:val="0"/>
          <w:i/>
        </w:rPr>
        <w:t>naribusque suavis</w:t>
      </w:r>
      <w:r>
        <w:rPr>
          <w:b w:val="0"/>
          <w:i w:val="0"/>
        </w:rPr>
        <w:t>.</w:t>
      </w:r>
    </w:p>
    <w:p>
      <w:pPr>
        <w:widowControl/>
      </w:pPr>
      <w:r>
        <w:rPr>
          <w:b w:val="0"/>
          <w:i w:val="0"/>
        </w:rPr>
        <w:t xml:space="preserve">Pleasing to the nostrils. The honey example’s phrase specifies fragrance as pleasant smell; it is not a fourth independent quality added to colour, sweetness and odour. References: </w:t>
      </w:r>
      <w:hyperlink w:anchor="passage-i-2-15">
        <w:r>
          <w:rPr>
            <w:color w:val="000000"/>
          </w:rPr>
          <w:t xml:space="preserve">I.2.15</w:t>
        </w:r>
      </w:hyperlink>
      <w:r>
        <w:rPr>
          <w:b w:val="0"/>
          <w:i w:val="0"/>
        </w:rPr>
        <w:t xml:space="preserve">. See </w:t>
      </w:r>
      <w:hyperlink w:anchor="honey-whiteness-and-the-wall">
        <w:r>
          <w:rPr>
            <w:color w:val="000000"/>
          </w:rPr>
          <w:t xml:space="preserve">Honey, whiteness and the wall</w:t>
        </w:r>
      </w:hyperlink>
      <w:r>
        <w:rPr>
          <w:b w:val="0"/>
          <w:i w:val="0"/>
        </w:rPr>
        <w:t>.</w:t>
      </w:r>
    </w:p>
    <w:p>
      <w:pPr>
        <w:keepNext/>
        <w:widowControl/>
      </w:pPr>
      <w:bookmarkStart w:id="1401" w:name="latin-record-1150"/>
      <w:bookmarkEnd w:id="1401"/>
      <w:r>
        <w:rPr>
          <w:b/>
          <w:i w:val="0"/>
        </w:rPr>
        <w:t>suaviter / ordinate</w:t>
      </w:r>
      <w:r>
        <w:rPr>
          <w:b/>
          <w:i w:val="0"/>
        </w:rPr>
        <w:t>.</w:t>
      </w:r>
      <w:r>
        <w:rPr>
          <w:b w:val="0"/>
          <w:i w:val="0"/>
        </w:rPr>
        <w:t xml:space="preserve"> Printed forms: </w:t>
      </w:r>
      <w:r>
        <w:rPr>
          <w:b w:val="0"/>
          <w:i/>
        </w:rPr>
        <w:t>ordinate</w:t>
      </w:r>
      <w:r>
        <w:rPr>
          <w:b w:val="0"/>
          <w:i w:val="0"/>
        </w:rPr>
        <w:t xml:space="preserve">; </w:t>
      </w:r>
      <w:r>
        <w:rPr>
          <w:b w:val="0"/>
          <w:i/>
        </w:rPr>
        <w:t>suaviter</w:t>
      </w:r>
      <w:r>
        <w:rPr>
          <w:b w:val="0"/>
          <w:i w:val="0"/>
        </w:rPr>
        <w:t>.</w:t>
      </w:r>
    </w:p>
    <w:p>
      <w:pPr>
        <w:widowControl/>
      </w:pPr>
      <w:r>
        <w:rPr>
          <w:b w:val="0"/>
          <w:i w:val="0"/>
        </w:rPr>
        <w:t xml:space="preserve">Gently or agreeably, and in an ordered way. These adverbs distinguish nourishment from destructive heat; they are descriptions within Ficino’s physiological analogy rather than medical advice. References: </w:t>
      </w:r>
      <w:hyperlink w:anchor="passage-i-3-23">
        <w:r>
          <w:rPr>
            <w:color w:val="000000"/>
          </w:rPr>
          <w:t xml:space="preserve">I.3.23</w:t>
        </w:r>
      </w:hyperlink>
      <w:r>
        <w:rPr>
          <w:b w:val="0"/>
          <w:i w:val="0"/>
        </w:rPr>
        <w:t xml:space="preserve">. See </w:t>
      </w:r>
      <w:hyperlink w:anchor="nourishment-digestion-and-growth">
        <w:r>
          <w:rPr>
            <w:color w:val="000000"/>
          </w:rPr>
          <w:t xml:space="preserve">Nourishment, digestion and growth</w:t>
        </w:r>
      </w:hyperlink>
      <w:r>
        <w:rPr>
          <w:b w:val="0"/>
          <w:i w:val="0"/>
        </w:rPr>
        <w:t>.</w:t>
      </w:r>
    </w:p>
    <w:p>
      <w:pPr>
        <w:keepNext/>
        <w:widowControl/>
      </w:pPr>
      <w:bookmarkStart w:id="1402" w:name="latin-record-1151"/>
      <w:bookmarkEnd w:id="1402"/>
      <w:r>
        <w:rPr>
          <w:b/>
          <w:i w:val="0"/>
        </w:rPr>
        <w:t>sub propria persona</w:t>
      </w:r>
      <w:r>
        <w:rPr>
          <w:b/>
          <w:i w:val="0"/>
        </w:rPr>
        <w:t>.</w:t>
      </w:r>
      <w:r>
        <w:rPr>
          <w:b w:val="0"/>
          <w:i w:val="0"/>
        </w:rPr>
        <w:t xml:space="preserve"> Printed forms: </w:t>
      </w:r>
      <w:r>
        <w:rPr>
          <w:b w:val="0"/>
          <w:i/>
        </w:rPr>
        <w:t>sub propria persona</w:t>
      </w:r>
      <w:r>
        <w:rPr>
          <w:b w:val="0"/>
          <w:i w:val="0"/>
        </w:rPr>
        <w:t>.</w:t>
      </w:r>
    </w:p>
    <w:p>
      <w:pPr>
        <w:widowControl/>
      </w:pPr>
      <w:r>
        <w:rPr>
          <w:b w:val="0"/>
          <w:i w:val="0"/>
        </w:rPr>
        <w:t xml:space="preserve">In one’s own person or speaking voice. Ficino represents Plato as speaking in his own voice in the Epinomis quotation. This remains Ficino’s attribution and does not certify modern authorship of the work. References: </w:t>
      </w:r>
      <w:hyperlink w:anchor="passage-iv-1-96">
        <w:r>
          <w:rPr>
            <w:color w:val="000000"/>
          </w:rPr>
          <w:t xml:space="preserve">IV.1.96</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1403" w:name="latin-record-1152"/>
      <w:bookmarkEnd w:id="1403"/>
      <w:r>
        <w:rPr>
          <w:b/>
          <w:i w:val="0"/>
        </w:rPr>
        <w:t>subdere / subicere</w:t>
      </w:r>
      <w:r>
        <w:rPr>
          <w:b/>
          <w:i w:val="0"/>
        </w:rPr>
        <w:t>.</w:t>
      </w:r>
      <w:r>
        <w:rPr>
          <w:b w:val="0"/>
          <w:i w:val="0"/>
        </w:rPr>
        <w:t xml:space="preserve"> Printed forms: </w:t>
      </w:r>
      <w:r>
        <w:rPr>
          <w:b w:val="0"/>
          <w:i/>
        </w:rPr>
        <w:t>subditur</w:t>
      </w:r>
      <w:r>
        <w:rPr>
          <w:b w:val="0"/>
          <w:i w:val="0"/>
        </w:rPr>
        <w:t xml:space="preserve">; </w:t>
      </w:r>
      <w:r>
        <w:rPr>
          <w:b w:val="0"/>
          <w:i/>
        </w:rPr>
        <w:t>subiciatur</w:t>
      </w:r>
      <w:r>
        <w:rPr>
          <w:b w:val="0"/>
          <w:i w:val="0"/>
        </w:rPr>
        <w:t>.</w:t>
      </w:r>
    </w:p>
    <w:p>
      <w:pPr>
        <w:widowControl/>
      </w:pPr>
      <w:r>
        <w:rPr>
          <w:b w:val="0"/>
          <w:i w:val="0"/>
        </w:rPr>
        <w:t xml:space="preserve">To subordinate to an agent or governing power. The celestial impulse can contribute to generation as the instrument of an element’s common life. References: </w:t>
      </w:r>
      <w:hyperlink w:anchor="passage-iv-1-3">
        <w:r>
          <w:rPr>
            <w:color w:val="000000"/>
          </w:rPr>
          <w:t xml:space="preserve">IV.1.3</w:t>
        </w:r>
      </w:hyperlink>
      <w:r>
        <w:rPr>
          <w:b w:val="0"/>
          <w:i w:val="0"/>
        </w:rPr>
        <w:t xml:space="preserve">, </w:t>
      </w:r>
      <w:hyperlink w:anchor="passage-iv-1-4">
        <w:r>
          <w:rPr>
            <w:color w:val="000000"/>
          </w:rPr>
          <w:t xml:space="preserve">IV.1.4</w:t>
        </w:r>
      </w:hyperlink>
      <w:r>
        <w:rPr>
          <w:b w:val="0"/>
          <w:i w:val="0"/>
        </w:rPr>
        <w:t xml:space="preserve">. See </w:t>
      </w:r>
      <w:hyperlink w:anchor="instrument">
        <w:r>
          <w:rPr>
            <w:color w:val="000000"/>
          </w:rPr>
          <w:t xml:space="preserve">Instrument</w:t>
        </w:r>
      </w:hyperlink>
      <w:r>
        <w:rPr>
          <w:b w:val="0"/>
          <w:i w:val="0"/>
        </w:rPr>
        <w:t>.</w:t>
      </w:r>
    </w:p>
    <w:p>
      <w:pPr>
        <w:keepNext/>
        <w:widowControl/>
      </w:pPr>
      <w:bookmarkStart w:id="1404" w:name="latin-record-1153"/>
      <w:bookmarkEnd w:id="1404"/>
      <w:r>
        <w:rPr>
          <w:b/>
          <w:i w:val="0"/>
        </w:rPr>
        <w:t>subicere / tollere / removere</w:t>
      </w:r>
      <w:r>
        <w:rPr>
          <w:b/>
          <w:i w:val="0"/>
        </w:rPr>
        <w:t>.</w:t>
      </w:r>
      <w:r>
        <w:rPr>
          <w:b w:val="0"/>
          <w:i w:val="0"/>
        </w:rPr>
        <w:t xml:space="preserve"> Printed forms: </w:t>
      </w:r>
      <w:r>
        <w:rPr>
          <w:b w:val="0"/>
          <w:i/>
        </w:rPr>
        <w:t>subici</w:t>
      </w:r>
      <w:r>
        <w:rPr>
          <w:b w:val="0"/>
          <w:i w:val="0"/>
        </w:rPr>
        <w:t xml:space="preserve">; </w:t>
      </w:r>
      <w:r>
        <w:rPr>
          <w:b w:val="0"/>
          <w:i/>
        </w:rPr>
        <w:t>sublata</w:t>
      </w:r>
      <w:r>
        <w:rPr>
          <w:b w:val="0"/>
          <w:i w:val="0"/>
        </w:rPr>
        <w:t xml:space="preserve">; </w:t>
      </w:r>
      <w:r>
        <w:rPr>
          <w:b w:val="0"/>
          <w:i/>
        </w:rPr>
        <w:t>sublato</w:t>
      </w:r>
      <w:r>
        <w:rPr>
          <w:b w:val="0"/>
          <w:i w:val="0"/>
        </w:rPr>
        <w:t xml:space="preserve">; </w:t>
      </w:r>
      <w:r>
        <w:rPr>
          <w:b w:val="0"/>
          <w:i/>
        </w:rPr>
        <w:t>submota</w:t>
      </w:r>
      <w:r>
        <w:rPr>
          <w:b w:val="0"/>
          <w:i w:val="0"/>
        </w:rPr>
        <w:t>.</w:t>
      </w:r>
    </w:p>
    <w:p>
      <w:pPr>
        <w:widowControl/>
      </w:pPr>
      <w:r>
        <w:rPr>
          <w:b w:val="0"/>
          <w:i w:val="0"/>
        </w:rPr>
        <w:t xml:space="preserve">To subject to a limit or remove a supporting condition. Removing life stops motion in Ficino’s argument; removing good or preserving cause removes being. References: </w:t>
      </w:r>
      <w:hyperlink w:anchor="passage-ii-4-1">
        <w:r>
          <w:rPr>
            <w:color w:val="000000"/>
          </w:rPr>
          <w:t xml:space="preserve">II.4.1</w:t>
        </w:r>
      </w:hyperlink>
      <w:r>
        <w:rPr>
          <w:b w:val="0"/>
          <w:i w:val="0"/>
        </w:rPr>
        <w:t xml:space="preserve">, </w:t>
      </w:r>
      <w:hyperlink w:anchor="passage-ii-6-5">
        <w:r>
          <w:rPr>
            <w:color w:val="000000"/>
          </w:rPr>
          <w:t xml:space="preserve">II.6.5</w:t>
        </w:r>
      </w:hyperlink>
      <w:r>
        <w:rPr>
          <w:b w:val="0"/>
          <w:i w:val="0"/>
        </w:rPr>
        <w:t xml:space="preserve">, </w:t>
      </w:r>
      <w:hyperlink w:anchor="passage-ii-7-21">
        <w:r>
          <w:rPr>
            <w:color w:val="000000"/>
          </w:rPr>
          <w:t xml:space="preserve">II.7.21</w:t>
        </w:r>
      </w:hyperlink>
      <w:r>
        <w:rPr>
          <w:b w:val="0"/>
          <w:i w:val="0"/>
        </w:rPr>
        <w:t xml:space="preserve">. See </w:t>
      </w:r>
      <w:hyperlink w:anchor="affection-and-passivity">
        <w:r>
          <w:rPr>
            <w:color w:val="000000"/>
          </w:rPr>
          <w:t xml:space="preserve">Affection and passivity</w:t>
        </w:r>
      </w:hyperlink>
      <w:r>
        <w:rPr>
          <w:b w:val="0"/>
          <w:i w:val="0"/>
        </w:rPr>
        <w:t>.</w:t>
      </w:r>
    </w:p>
    <w:p>
      <w:pPr>
        <w:keepNext/>
        <w:widowControl/>
      </w:pPr>
      <w:bookmarkStart w:id="1405" w:name="latin-record-1154"/>
      <w:bookmarkEnd w:id="1405"/>
      <w:r>
        <w:rPr>
          <w:b/>
          <w:i w:val="0"/>
        </w:rPr>
        <w:t>subiectum</w:t>
      </w:r>
      <w:r>
        <w:rPr>
          <w:b/>
          <w:i w:val="0"/>
        </w:rPr>
        <w:t>.</w:t>
      </w:r>
      <w:r>
        <w:rPr>
          <w:b w:val="0"/>
          <w:i w:val="0"/>
        </w:rPr>
        <w:t xml:space="preserve"> Printed forms: </w:t>
      </w:r>
      <w:r>
        <w:rPr>
          <w:b w:val="0"/>
          <w:i/>
        </w:rPr>
        <w:t>subiecta</w:t>
      </w:r>
      <w:r>
        <w:rPr>
          <w:b w:val="0"/>
          <w:i w:val="0"/>
        </w:rPr>
        <w:t xml:space="preserve">; </w:t>
      </w:r>
      <w:r>
        <w:rPr>
          <w:b w:val="0"/>
          <w:i/>
        </w:rPr>
        <w:t>subiecti</w:t>
      </w:r>
      <w:r>
        <w:rPr>
          <w:b w:val="0"/>
          <w:i w:val="0"/>
        </w:rPr>
        <w:t xml:space="preserve">; </w:t>
      </w:r>
      <w:r>
        <w:rPr>
          <w:b w:val="0"/>
          <w:i/>
        </w:rPr>
        <w:t>subiectis</w:t>
      </w:r>
      <w:r>
        <w:rPr>
          <w:b w:val="0"/>
          <w:i w:val="0"/>
        </w:rPr>
        <w:t xml:space="preserve">; </w:t>
      </w:r>
      <w:r>
        <w:rPr>
          <w:b w:val="0"/>
          <w:i/>
        </w:rPr>
        <w:t>subiecto</w:t>
      </w:r>
      <w:r>
        <w:rPr>
          <w:b w:val="0"/>
          <w:i w:val="0"/>
        </w:rPr>
        <w:t xml:space="preserve">; </w:t>
      </w:r>
      <w:r>
        <w:rPr>
          <w:b w:val="0"/>
          <w:i/>
        </w:rPr>
        <w:t>subiectum</w:t>
      </w:r>
      <w:r>
        <w:rPr>
          <w:b w:val="0"/>
          <w:i w:val="0"/>
        </w:rPr>
        <w:t>.</w:t>
      </w:r>
    </w:p>
    <w:p>
      <w:pPr>
        <w:widowControl/>
      </w:pPr>
      <w:r>
        <w:rPr>
          <w:b w:val="0"/>
          <w:i w:val="0"/>
        </w:rPr>
        <w:t xml:space="preserve">An underlying recipient or bearer, sometimes a prior material basis. Received act can be limited by its subject, while creation does not presuppose a borrowed substrate. References: </w:t>
      </w:r>
      <w:hyperlink w:anchor="passage-ii-4-1">
        <w:r>
          <w:rPr>
            <w:color w:val="000000"/>
          </w:rPr>
          <w:t xml:space="preserve">II.4.1</w:t>
        </w:r>
      </w:hyperlink>
      <w:r>
        <w:rPr>
          <w:b w:val="0"/>
          <w:i w:val="0"/>
        </w:rPr>
        <w:t xml:space="preserve">, </w:t>
      </w:r>
      <w:hyperlink w:anchor="passage-ii-4-2">
        <w:r>
          <w:rPr>
            <w:color w:val="000000"/>
          </w:rPr>
          <w:t xml:space="preserve">II.4.2</w:t>
        </w:r>
      </w:hyperlink>
      <w:r>
        <w:rPr>
          <w:b w:val="0"/>
          <w:i w:val="0"/>
        </w:rPr>
        <w:t xml:space="preserve">, </w:t>
      </w:r>
      <w:hyperlink w:anchor="passage-ii-4-6">
        <w:r>
          <w:rPr>
            <w:color w:val="000000"/>
          </w:rPr>
          <w:t xml:space="preserve">II.4.6</w:t>
        </w:r>
      </w:hyperlink>
      <w:r>
        <w:rPr>
          <w:b w:val="0"/>
          <w:i w:val="0"/>
        </w:rPr>
        <w:t xml:space="preserve">, </w:t>
      </w:r>
      <w:hyperlink w:anchor="passage-ii-6-8">
        <w:r>
          <w:rPr>
            <w:color w:val="000000"/>
          </w:rPr>
          <w:t xml:space="preserve">II.6.8</w:t>
        </w:r>
      </w:hyperlink>
      <w:r>
        <w:rPr>
          <w:b w:val="0"/>
          <w:i w:val="0"/>
        </w:rPr>
        <w:t xml:space="preserve">. See </w:t>
      </w:r>
      <w:hyperlink w:anchor="matter">
        <w:r>
          <w:rPr>
            <w:color w:val="000000"/>
          </w:rPr>
          <w:t xml:space="preserve">Matter</w:t>
        </w:r>
      </w:hyperlink>
      <w:r>
        <w:rPr>
          <w:b w:val="0"/>
          <w:i w:val="0"/>
        </w:rPr>
        <w:t>.</w:t>
      </w:r>
    </w:p>
    <w:p>
      <w:pPr>
        <w:widowControl/>
      </w:pPr>
      <w:r>
        <w:rPr>
          <w:b w:val="0"/>
          <w:i w:val="0"/>
        </w:rPr>
        <w:t xml:space="preserve">Underlying subject or recipient. A material subject bears heat; divine creation of minds and matter is distinguished from production within such a preexisting recipient. References: </w:t>
      </w:r>
      <w:hyperlink w:anchor="passage-ii-11-3">
        <w:r>
          <w:rPr>
            <w:color w:val="000000"/>
          </w:rPr>
          <w:t xml:space="preserve">II.11.3</w:t>
        </w:r>
      </w:hyperlink>
      <w:r>
        <w:rPr>
          <w:b w:val="0"/>
          <w:i w:val="0"/>
        </w:rPr>
        <w:t xml:space="preserve">, </w:t>
      </w:r>
      <w:hyperlink w:anchor="passage-ii-11-9">
        <w:r>
          <w:rPr>
            <w:color w:val="000000"/>
          </w:rPr>
          <w:t xml:space="preserve">II.11.9</w:t>
        </w:r>
      </w:hyperlink>
      <w:r>
        <w:rPr>
          <w:b w:val="0"/>
          <w:i w:val="0"/>
        </w:rPr>
        <w:t xml:space="preserve">. See </w:t>
      </w:r>
      <w:hyperlink w:anchor="matter">
        <w:r>
          <w:rPr>
            <w:color w:val="000000"/>
          </w:rPr>
          <w:t xml:space="preserve">Matter</w:t>
        </w:r>
      </w:hyperlink>
      <w:r>
        <w:rPr>
          <w:b w:val="0"/>
          <w:i w:val="0"/>
        </w:rPr>
        <w:t>.</w:t>
      </w:r>
    </w:p>
    <w:p>
      <w:pPr>
        <w:keepNext/>
        <w:widowControl/>
      </w:pPr>
      <w:bookmarkStart w:id="1406" w:name="latin-record-1155"/>
      <w:bookmarkEnd w:id="1406"/>
      <w:r>
        <w:rPr>
          <w:b/>
          <w:i w:val="0"/>
        </w:rPr>
        <w:t>subiectus, ruled subject</w:t>
      </w:r>
      <w:r>
        <w:rPr>
          <w:b/>
          <w:i w:val="0"/>
        </w:rPr>
        <w:t>.</w:t>
      </w:r>
      <w:r>
        <w:rPr>
          <w:b w:val="0"/>
          <w:i w:val="0"/>
        </w:rPr>
        <w:t xml:space="preserve"> Printed forms: </w:t>
      </w:r>
      <w:r>
        <w:rPr>
          <w:b w:val="0"/>
          <w:i/>
        </w:rPr>
        <w:t>subiectis</w:t>
      </w:r>
      <w:r>
        <w:rPr>
          <w:b w:val="0"/>
          <w:i w:val="0"/>
        </w:rPr>
        <w:t>.</w:t>
      </w:r>
    </w:p>
    <w:p>
      <w:pPr>
        <w:widowControl/>
      </w:pPr>
      <w:r>
        <w:rPr>
          <w:b w:val="0"/>
          <w:i w:val="0"/>
        </w:rPr>
        <w:t xml:space="preserve">Those subject to a dominion. At the close of Book I, the Good’s rule is necessary and voluntary for its subjects; these are governed beings, not merely the material substrates called subiecta elsewhere. References: </w:t>
      </w:r>
      <w:hyperlink w:anchor="passage-i-6-19">
        <w:r>
          <w:rPr>
            <w:color w:val="000000"/>
          </w:rPr>
          <w:t xml:space="preserve">I.6.19</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1407" w:name="latin-record-1156"/>
      <w:bookmarkEnd w:id="1407"/>
      <w:r>
        <w:rPr>
          <w:b/>
          <w:i w:val="0"/>
        </w:rPr>
        <w:t>subire</w:t>
      </w:r>
      <w:r>
        <w:rPr>
          <w:b/>
          <w:i w:val="0"/>
        </w:rPr>
        <w:t>.</w:t>
      </w:r>
      <w:r>
        <w:rPr>
          <w:b w:val="0"/>
          <w:i w:val="0"/>
        </w:rPr>
        <w:t xml:space="preserve"> Printed forms: </w:t>
      </w:r>
      <w:r>
        <w:rPr>
          <w:b w:val="0"/>
          <w:i/>
        </w:rPr>
        <w:t>subire</w:t>
      </w:r>
      <w:r>
        <w:rPr>
          <w:b w:val="0"/>
          <w:i w:val="0"/>
        </w:rPr>
        <w:t>.</w:t>
      </w:r>
    </w:p>
    <w:p>
      <w:pPr>
        <w:widowControl/>
      </w:pPr>
      <w:r>
        <w:rPr>
          <w:b w:val="0"/>
          <w:i w:val="0"/>
        </w:rPr>
        <w:t xml:space="preserve">Enter or assume a condition. The first agent cannot assume the condition of a subject that receives qualities from another source. References: </w:t>
      </w:r>
      <w:hyperlink w:anchor="passage-ii-11-4">
        <w:r>
          <w:rPr>
            <w:color w:val="000000"/>
          </w:rPr>
          <w:t xml:space="preserve">II.11.4</w:t>
        </w:r>
      </w:hyperlink>
      <w:r>
        <w:rPr>
          <w:b w:val="0"/>
          <w:i w:val="0"/>
        </w:rPr>
        <w:t xml:space="preserve">. See </w:t>
      </w:r>
      <w:hyperlink w:anchor="affection-and-passivity">
        <w:r>
          <w:rPr>
            <w:color w:val="000000"/>
          </w:rPr>
          <w:t xml:space="preserve">Affection and passivity</w:t>
        </w:r>
      </w:hyperlink>
      <w:r>
        <w:rPr>
          <w:b w:val="0"/>
          <w:i w:val="0"/>
        </w:rPr>
        <w:t>.</w:t>
      </w:r>
    </w:p>
    <w:p>
      <w:pPr>
        <w:keepNext/>
        <w:widowControl/>
      </w:pPr>
      <w:bookmarkStart w:id="1408" w:name="latin-record-1157"/>
      <w:bookmarkEnd w:id="1408"/>
      <w:r>
        <w:rPr>
          <w:b/>
          <w:i w:val="0"/>
        </w:rPr>
        <w:t>subito / paulatim</w:t>
      </w:r>
      <w:r>
        <w:rPr>
          <w:b/>
          <w:i w:val="0"/>
        </w:rPr>
        <w:t>.</w:t>
      </w:r>
      <w:r>
        <w:rPr>
          <w:b w:val="0"/>
          <w:i w:val="0"/>
        </w:rPr>
        <w:t xml:space="preserve"> Printed forms: </w:t>
      </w:r>
      <w:r>
        <w:rPr>
          <w:b w:val="0"/>
          <w:i/>
        </w:rPr>
        <w:t>paulatim</w:t>
      </w:r>
      <w:r>
        <w:rPr>
          <w:b w:val="0"/>
          <w:i w:val="0"/>
        </w:rPr>
        <w:t xml:space="preserve">; </w:t>
      </w:r>
      <w:r>
        <w:rPr>
          <w:b w:val="0"/>
          <w:i/>
        </w:rPr>
        <w:t>subito</w:t>
      </w:r>
      <w:r>
        <w:rPr>
          <w:b w:val="0"/>
          <w:i w:val="0"/>
        </w:rPr>
        <w:t>.</w:t>
      </w:r>
    </w:p>
    <w:p>
      <w:pPr>
        <w:widowControl/>
      </w:pPr>
      <w:r>
        <w:rPr>
          <w:b w:val="0"/>
          <w:i w:val="0"/>
        </w:rPr>
        <w:t xml:space="preserve">Immediately / gradually. The contrast separates presentation and arousal from the painter’s successive observation and execution. References: </w:t>
      </w:r>
      <w:hyperlink w:anchor="passage-iii-1-27">
        <w:r>
          <w:rPr>
            <w:color w:val="000000"/>
          </w:rPr>
          <w:t xml:space="preserve">III.1.27</w:t>
        </w:r>
      </w:hyperlink>
      <w:r>
        <w:rPr>
          <w:b w:val="0"/>
          <w:i w:val="0"/>
        </w:rPr>
        <w:t xml:space="preserve">, </w:t>
      </w:r>
      <w:hyperlink w:anchor="passage-iii-1-28">
        <w:r>
          <w:rPr>
            <w:color w:val="000000"/>
          </w:rPr>
          <w:t xml:space="preserve">III.1.28</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409" w:name="latin-record-1158"/>
      <w:bookmarkEnd w:id="1409"/>
      <w:r>
        <w:rPr>
          <w:b/>
          <w:i w:val="0"/>
        </w:rPr>
        <w:t>sublatus</w:t>
      </w:r>
      <w:r>
        <w:rPr>
          <w:b/>
          <w:i w:val="0"/>
        </w:rPr>
        <w:t>.</w:t>
      </w:r>
      <w:r>
        <w:rPr>
          <w:b w:val="0"/>
          <w:i w:val="0"/>
        </w:rPr>
        <w:t xml:space="preserve"> Printed forms: </w:t>
      </w:r>
      <w:r>
        <w:rPr>
          <w:b w:val="0"/>
          <w:i/>
        </w:rPr>
        <w:t>Sublata</w:t>
      </w:r>
      <w:r>
        <w:rPr>
          <w:b w:val="0"/>
          <w:i w:val="0"/>
        </w:rPr>
        <w:t>.</w:t>
      </w:r>
    </w:p>
    <w:p>
      <w:pPr>
        <w:widowControl/>
      </w:pPr>
      <w:r>
        <w:rPr>
          <w:b w:val="0"/>
          <w:i w:val="0"/>
        </w:rPr>
        <w:t xml:space="preserve">Removed or taken away. Removing diversity of media and materials supplies a hypothetical test of the agent’s own contribution. References: </w:t>
      </w:r>
      <w:hyperlink w:anchor="passage-ii-11-9">
        <w:r>
          <w:rPr>
            <w:color w:val="000000"/>
          </w:rPr>
          <w:t xml:space="preserve">II.11.9</w:t>
        </w:r>
      </w:hyperlink>
      <w:r>
        <w:rPr>
          <w:b w:val="0"/>
          <w:i w:val="0"/>
        </w:rPr>
        <w:t xml:space="preserve">. See </w:t>
      </w:r>
      <w:hyperlink w:anchor="fire-and-variable-materials">
        <w:r>
          <w:rPr>
            <w:color w:val="000000"/>
          </w:rPr>
          <w:t xml:space="preserve">Fire and variable materials</w:t>
        </w:r>
      </w:hyperlink>
      <w:r>
        <w:rPr>
          <w:b w:val="0"/>
          <w:i w:val="0"/>
        </w:rPr>
        <w:t>.</w:t>
      </w:r>
    </w:p>
    <w:p>
      <w:pPr>
        <w:keepNext/>
        <w:widowControl/>
      </w:pPr>
      <w:bookmarkStart w:id="1410" w:name="latin-record-1159"/>
      <w:bookmarkEnd w:id="1410"/>
      <w:r>
        <w:rPr>
          <w:b/>
          <w:i w:val="0"/>
        </w:rPr>
        <w:t>subsisto / dependeo</w:t>
      </w:r>
      <w:r>
        <w:rPr>
          <w:b/>
          <w:i w:val="0"/>
        </w:rPr>
        <w:t>.</w:t>
      </w:r>
      <w:r>
        <w:rPr>
          <w:b w:val="0"/>
          <w:i w:val="0"/>
        </w:rPr>
        <w:t xml:space="preserve"> Printed forms: </w:t>
      </w:r>
      <w:r>
        <w:rPr>
          <w:b w:val="0"/>
          <w:i/>
        </w:rPr>
        <w:t>dependet</w:t>
      </w:r>
      <w:r>
        <w:rPr>
          <w:b w:val="0"/>
          <w:i w:val="0"/>
        </w:rPr>
        <w:t xml:space="preserve">; </w:t>
      </w:r>
      <w:r>
        <w:rPr>
          <w:b w:val="0"/>
          <w:i/>
        </w:rPr>
        <w:t>subsistere</w:t>
      </w:r>
      <w:r>
        <w:rPr>
          <w:b w:val="0"/>
          <w:i w:val="0"/>
        </w:rPr>
        <w:t xml:space="preserve">; </w:t>
      </w:r>
      <w:r>
        <w:rPr>
          <w:b w:val="0"/>
          <w:i/>
        </w:rPr>
        <w:t>subsistit</w:t>
      </w:r>
      <w:r>
        <w:rPr>
          <w:b w:val="0"/>
          <w:i w:val="0"/>
        </w:rPr>
        <w:t>.</w:t>
      </w:r>
    </w:p>
    <w:p>
      <w:pPr>
        <w:widowControl/>
      </w:pPr>
      <w:r>
        <w:rPr>
          <w:b w:val="0"/>
          <w:i w:val="0"/>
        </w:rPr>
        <w:t xml:space="preserve">To subsist and to depend. Lying in a subject is used to infer dependence on another; later soul’s self-subsistence removes dependence on material support, not all dependence on a higher cause. References: </w:t>
      </w:r>
      <w:hyperlink w:anchor="passage-i-3-4">
        <w:r>
          <w:rPr>
            <w:color w:val="000000"/>
          </w:rPr>
          <w:t xml:space="preserve">I.3.4</w:t>
        </w:r>
      </w:hyperlink>
      <w:r>
        <w:rPr>
          <w:b w:val="0"/>
          <w:i w:val="0"/>
        </w:rPr>
        <w:t xml:space="preserve">, </w:t>
      </w:r>
      <w:hyperlink w:anchor="passage-i-3-33">
        <w:r>
          <w:rPr>
            <w:color w:val="000000"/>
          </w:rPr>
          <w:t xml:space="preserve">I.3.33</w:t>
        </w:r>
      </w:hyperlink>
      <w:r>
        <w:rPr>
          <w:b w:val="0"/>
          <w:i w:val="0"/>
        </w:rPr>
        <w:t xml:space="preserve">. See </w:t>
      </w:r>
      <w:hyperlink w:anchor="support-inherence-and-dependence">
        <w:r>
          <w:rPr>
            <w:color w:val="000000"/>
          </w:rPr>
          <w:t xml:space="preserve">Support, inherence and dependence</w:t>
        </w:r>
      </w:hyperlink>
      <w:r>
        <w:rPr>
          <w:b w:val="0"/>
          <w:i w:val="0"/>
        </w:rPr>
        <w:t>.</w:t>
      </w:r>
    </w:p>
    <w:p>
      <w:pPr>
        <w:keepNext/>
        <w:widowControl/>
      </w:pPr>
      <w:bookmarkStart w:id="1411" w:name="latin-record-1160"/>
      <w:bookmarkEnd w:id="1411"/>
      <w:r>
        <w:rPr>
          <w:b/>
          <w:i w:val="0"/>
        </w:rPr>
        <w:t>successio / curriculum</w:t>
      </w:r>
      <w:r>
        <w:rPr>
          <w:b/>
          <w:i w:val="0"/>
        </w:rPr>
        <w:t>.</w:t>
      </w:r>
      <w:r>
        <w:rPr>
          <w:b w:val="0"/>
          <w:i w:val="0"/>
        </w:rPr>
        <w:t xml:space="preserve"> Printed forms: </w:t>
      </w:r>
      <w:r>
        <w:rPr>
          <w:b w:val="0"/>
          <w:i/>
        </w:rPr>
        <w:t>curriculis</w:t>
      </w:r>
      <w:r>
        <w:rPr>
          <w:b w:val="0"/>
          <w:i w:val="0"/>
        </w:rPr>
        <w:t xml:space="preserve">; </w:t>
      </w:r>
      <w:r>
        <w:rPr>
          <w:b w:val="0"/>
          <w:i/>
        </w:rPr>
        <w:t>successione</w:t>
      </w:r>
      <w:r>
        <w:rPr>
          <w:b w:val="0"/>
          <w:i w:val="0"/>
        </w:rPr>
        <w:t>.</w:t>
      </w:r>
    </w:p>
    <w:p>
      <w:pPr>
        <w:widowControl/>
      </w:pPr>
      <w:r>
        <w:rPr>
          <w:b w:val="0"/>
          <w:i w:val="0"/>
        </w:rPr>
        <w:t xml:space="preserve">Succession and a recurring course or cycle. Stable generations and appointed times are used to infer one enduring directive cause behind unstable qualities. References: </w:t>
      </w:r>
      <w:hyperlink w:anchor="passage-i-3-11">
        <w:r>
          <w:rPr>
            <w:color w:val="000000"/>
          </w:rPr>
          <w:t xml:space="preserve">I.3.11</w:t>
        </w:r>
      </w:hyperlink>
      <w:r>
        <w:rPr>
          <w:b w:val="0"/>
          <w:i w:val="0"/>
        </w:rPr>
        <w:t xml:space="preserve">. See </w:t>
      </w:r>
      <w:hyperlink w:anchor="natural-species-and-succession">
        <w:r>
          <w:rPr>
            <w:color w:val="000000"/>
          </w:rPr>
          <w:t xml:space="preserve">Natural species and succession</w:t>
        </w:r>
      </w:hyperlink>
      <w:r>
        <w:rPr>
          <w:b w:val="0"/>
          <w:i w:val="0"/>
        </w:rPr>
        <w:t>.</w:t>
      </w:r>
    </w:p>
    <w:p>
      <w:pPr>
        <w:keepNext/>
        <w:widowControl/>
      </w:pPr>
      <w:bookmarkStart w:id="1412" w:name="latin-record-1161"/>
      <w:bookmarkEnd w:id="1412"/>
      <w:r>
        <w:rPr>
          <w:b/>
          <w:i w:val="0"/>
        </w:rPr>
        <w:t>successio singulorum</w:t>
      </w:r>
      <w:r>
        <w:rPr>
          <w:b/>
          <w:i w:val="0"/>
        </w:rPr>
        <w:t>.</w:t>
      </w:r>
      <w:r>
        <w:rPr>
          <w:b w:val="0"/>
          <w:i w:val="0"/>
        </w:rPr>
        <w:t xml:space="preserve"> Printed forms: </w:t>
      </w:r>
      <w:r>
        <w:rPr>
          <w:b w:val="0"/>
          <w:i/>
        </w:rPr>
        <w:t>generationis successionem</w:t>
      </w:r>
      <w:r>
        <w:rPr>
          <w:b w:val="0"/>
          <w:i w:val="0"/>
        </w:rPr>
        <w:t xml:space="preserve">; </w:t>
      </w:r>
      <w:r>
        <w:rPr>
          <w:b w:val="0"/>
          <w:i/>
        </w:rPr>
        <w:t>singulorum successionem</w:t>
      </w:r>
      <w:r>
        <w:rPr>
          <w:b w:val="0"/>
          <w:i w:val="0"/>
        </w:rPr>
        <w:t>.</w:t>
      </w:r>
    </w:p>
    <w:p>
      <w:pPr>
        <w:widowControl/>
      </w:pPr>
      <w:r>
        <w:rPr>
          <w:b w:val="0"/>
          <w:i w:val="0"/>
        </w:rPr>
        <w:t xml:space="preserve">Succession of individuals or generated instances. A species can be perpetually maintained through changing individuals, unlike the substantial stability of mind and soul. References: </w:t>
      </w:r>
      <w:hyperlink w:anchor="passage-iv-1-87">
        <w:r>
          <w:rPr>
            <w:color w:val="000000"/>
          </w:rPr>
          <w:t xml:space="preserve">IV.1.87</w:t>
        </w:r>
      </w:hyperlink>
      <w:r>
        <w:rPr>
          <w:b w:val="0"/>
          <w:i w:val="0"/>
        </w:rPr>
        <w:t xml:space="preserve">. See </w:t>
      </w:r>
      <w:hyperlink w:anchor="natural-species-and-succession">
        <w:r>
          <w:rPr>
            <w:color w:val="000000"/>
          </w:rPr>
          <w:t xml:space="preserve">Natural species and succession</w:t>
        </w:r>
      </w:hyperlink>
      <w:r>
        <w:rPr>
          <w:b w:val="0"/>
          <w:i w:val="0"/>
        </w:rPr>
        <w:t>.</w:t>
      </w:r>
    </w:p>
    <w:p>
      <w:pPr>
        <w:keepNext/>
        <w:widowControl/>
      </w:pPr>
      <w:bookmarkStart w:id="1413" w:name="latin-record-1162"/>
      <w:bookmarkEnd w:id="1413"/>
      <w:r>
        <w:rPr>
          <w:b/>
          <w:i w:val="0"/>
        </w:rPr>
        <w:t>successione saltem</w:t>
      </w:r>
      <w:r>
        <w:rPr>
          <w:b/>
          <w:i w:val="0"/>
        </w:rPr>
        <w:t>.</w:t>
      </w:r>
      <w:r>
        <w:rPr>
          <w:b w:val="0"/>
          <w:i w:val="0"/>
        </w:rPr>
        <w:t xml:space="preserve"> Printed forms: </w:t>
      </w:r>
      <w:r>
        <w:rPr>
          <w:b w:val="0"/>
          <w:i/>
        </w:rPr>
        <w:t>successione saltem</w:t>
      </w:r>
      <w:r>
        <w:rPr>
          <w:b w:val="0"/>
          <w:i w:val="0"/>
        </w:rPr>
        <w:t>.</w:t>
      </w:r>
    </w:p>
    <w:p>
      <w:pPr>
        <w:widowControl/>
      </w:pPr>
      <w:r>
        <w:rPr>
          <w:b w:val="0"/>
          <w:i w:val="0"/>
        </w:rPr>
        <w:t xml:space="preserve">At least through succession. Matter attains in sequence what contrary forms prevent its possessing together in stable simultaneity. References: </w:t>
      </w:r>
      <w:hyperlink w:anchor="passage-iv-2-20">
        <w:r>
          <w:rPr>
            <w:color w:val="000000"/>
          </w:rPr>
          <w:t xml:space="preserve">IV.2.20</w:t>
        </w:r>
      </w:hyperlink>
      <w:r>
        <w:rPr>
          <w:b w:val="0"/>
          <w:i w:val="0"/>
        </w:rPr>
        <w:t xml:space="preserve">. See </w:t>
      </w:r>
      <w:hyperlink w:anchor="striving-and-enjoyment">
        <w:r>
          <w:rPr>
            <w:color w:val="000000"/>
          </w:rPr>
          <w:t xml:space="preserve">Striving and enjoyment</w:t>
        </w:r>
      </w:hyperlink>
      <w:r>
        <w:rPr>
          <w:b w:val="0"/>
          <w:i w:val="0"/>
        </w:rPr>
        <w:t>.</w:t>
      </w:r>
    </w:p>
    <w:p>
      <w:pPr>
        <w:keepNext/>
        <w:widowControl/>
      </w:pPr>
      <w:bookmarkStart w:id="1414" w:name="latin-record-1163"/>
      <w:bookmarkEnd w:id="1414"/>
      <w:r>
        <w:rPr>
          <w:b/>
          <w:i w:val="0"/>
        </w:rPr>
        <w:t>sufficere / geminus</w:t>
      </w:r>
      <w:r>
        <w:rPr>
          <w:b/>
          <w:i w:val="0"/>
        </w:rPr>
        <w:t>.</w:t>
      </w:r>
      <w:r>
        <w:rPr>
          <w:b w:val="0"/>
          <w:i w:val="0"/>
        </w:rPr>
        <w:t xml:space="preserve"> Printed forms: </w:t>
      </w:r>
      <w:r>
        <w:rPr>
          <w:b w:val="0"/>
          <w:i/>
        </w:rPr>
        <w:t>geminas</w:t>
      </w:r>
      <w:r>
        <w:rPr>
          <w:b w:val="0"/>
          <w:i w:val="0"/>
        </w:rPr>
        <w:t xml:space="preserve">; </w:t>
      </w:r>
      <w:r>
        <w:rPr>
          <w:b w:val="0"/>
          <w:i/>
        </w:rPr>
        <w:t>sufficit</w:t>
      </w:r>
      <w:r>
        <w:rPr>
          <w:b w:val="0"/>
          <w:i w:val="0"/>
        </w:rPr>
        <w:t>.</w:t>
      </w:r>
    </w:p>
    <w:p>
      <w:pPr>
        <w:widowControl/>
      </w:pPr>
      <w:r>
        <w:rPr>
          <w:b w:val="0"/>
          <w:i w:val="0"/>
        </w:rPr>
        <w:t xml:space="preserve">To suffice; two as a distinct pair. One soul suffices for each continuous elemental globe, but earth and water require two species-different souls. References: </w:t>
      </w:r>
      <w:hyperlink w:anchor="passage-iv-1-35">
        <w:r>
          <w:rPr>
            <w:color w:val="000000"/>
          </w:rPr>
          <w:t xml:space="preserve">IV.1.35</w:t>
        </w:r>
      </w:hyperlink>
      <w:r>
        <w:rPr>
          <w:b w:val="0"/>
          <w:i w:val="0"/>
        </w:rPr>
        <w:t xml:space="preserve">. See </w:t>
      </w:r>
      <w:hyperlink w:anchor="earth-soul">
        <w:r>
          <w:rPr>
            <w:color w:val="000000"/>
          </w:rPr>
          <w:t xml:space="preserve">Earth soul</w:t>
        </w:r>
      </w:hyperlink>
      <w:r>
        <w:rPr>
          <w:b w:val="0"/>
          <w:i w:val="0"/>
        </w:rPr>
        <w:t>.</w:t>
      </w:r>
    </w:p>
    <w:p>
      <w:pPr>
        <w:keepNext/>
        <w:widowControl/>
      </w:pPr>
      <w:bookmarkStart w:id="1415" w:name="latin-record-1164"/>
      <w:bookmarkEnd w:id="1415"/>
      <w:r>
        <w:rPr>
          <w:b/>
          <w:i w:val="0"/>
        </w:rPr>
        <w:t>sufficere / sufficientia</w:t>
      </w:r>
      <w:r>
        <w:rPr>
          <w:b/>
          <w:i w:val="0"/>
        </w:rPr>
        <w:t>.</w:t>
      </w:r>
      <w:r>
        <w:rPr>
          <w:b w:val="0"/>
          <w:i w:val="0"/>
        </w:rPr>
        <w:t xml:space="preserve"> Printed forms: </w:t>
      </w:r>
      <w:r>
        <w:rPr>
          <w:b w:val="0"/>
          <w:i/>
        </w:rPr>
        <w:t>sufficere</w:t>
      </w:r>
      <w:r>
        <w:rPr>
          <w:b w:val="0"/>
          <w:i w:val="0"/>
        </w:rPr>
        <w:t xml:space="preserve">; </w:t>
      </w:r>
      <w:r>
        <w:rPr>
          <w:b w:val="0"/>
          <w:i/>
        </w:rPr>
        <w:t>sufficiens</w:t>
      </w:r>
      <w:r>
        <w:rPr>
          <w:b w:val="0"/>
          <w:i w:val="0"/>
        </w:rPr>
        <w:t xml:space="preserve">; </w:t>
      </w:r>
      <w:r>
        <w:rPr>
          <w:b w:val="0"/>
          <w:i/>
        </w:rPr>
        <w:t>sufficientiam</w:t>
      </w:r>
      <w:r>
        <w:rPr>
          <w:b w:val="0"/>
          <w:i w:val="0"/>
        </w:rPr>
        <w:t xml:space="preserve">; </w:t>
      </w:r>
      <w:r>
        <w:rPr>
          <w:b w:val="0"/>
          <w:i/>
        </w:rPr>
        <w:t>sufficiet</w:t>
      </w:r>
      <w:r>
        <w:rPr>
          <w:b w:val="0"/>
          <w:i w:val="0"/>
        </w:rPr>
        <w:t>.</w:t>
      </w:r>
    </w:p>
    <w:p>
      <w:pPr>
        <w:widowControl/>
      </w:pPr>
      <w:r>
        <w:rPr>
          <w:b w:val="0"/>
          <w:i w:val="0"/>
        </w:rPr>
        <w:t xml:space="preserve">To be enough or sufficient for a task; sufficiency. A duplicate world is surplus if one suffices; inability to suffice in operation signals deeper dependence. References: </w:t>
      </w:r>
      <w:hyperlink w:anchor="passage-ii-2-3">
        <w:r>
          <w:rPr>
            <w:color w:val="000000"/>
          </w:rPr>
          <w:t xml:space="preserve">II.2.3</w:t>
        </w:r>
      </w:hyperlink>
      <w:r>
        <w:rPr>
          <w:b w:val="0"/>
          <w:i w:val="0"/>
        </w:rPr>
        <w:t xml:space="preserve">, </w:t>
      </w:r>
      <w:hyperlink w:anchor="passage-ii-2-12">
        <w:r>
          <w:rPr>
            <w:color w:val="000000"/>
          </w:rPr>
          <w:t xml:space="preserve">II.2.12</w:t>
        </w:r>
      </w:hyperlink>
      <w:r>
        <w:rPr>
          <w:b w:val="0"/>
          <w:i w:val="0"/>
        </w:rPr>
        <w:t xml:space="preserve">, </w:t>
      </w:r>
      <w:hyperlink w:anchor="passage-ii-7-16">
        <w:r>
          <w:rPr>
            <w:color w:val="000000"/>
          </w:rPr>
          <w:t xml:space="preserve">II.7.16</w:t>
        </w:r>
      </w:hyperlink>
      <w:r>
        <w:rPr>
          <w:b w:val="0"/>
          <w:i w:val="0"/>
        </w:rPr>
        <w:t xml:space="preserve">. See </w:t>
      </w:r>
      <w:hyperlink w:anchor="need-and-sufficiency">
        <w:r>
          <w:rPr>
            <w:color w:val="000000"/>
          </w:rPr>
          <w:t xml:space="preserve">Need and sufficiency</w:t>
        </w:r>
      </w:hyperlink>
      <w:r>
        <w:rPr>
          <w:b w:val="0"/>
          <w:i w:val="0"/>
        </w:rPr>
        <w:t>.</w:t>
      </w:r>
    </w:p>
    <w:p>
      <w:pPr>
        <w:keepNext/>
        <w:widowControl/>
      </w:pPr>
      <w:bookmarkStart w:id="1416" w:name="latin-record-1165"/>
      <w:bookmarkEnd w:id="1416"/>
      <w:r>
        <w:rPr>
          <w:b/>
          <w:i w:val="0"/>
        </w:rPr>
        <w:t>sufficientia / sufficienter</w:t>
      </w:r>
      <w:r>
        <w:rPr>
          <w:b/>
          <w:i w:val="0"/>
        </w:rPr>
        <w:t>.</w:t>
      </w:r>
      <w:r>
        <w:rPr>
          <w:b w:val="0"/>
          <w:i w:val="0"/>
        </w:rPr>
        <w:t xml:space="preserve"> Printed forms: </w:t>
      </w:r>
      <w:r>
        <w:rPr>
          <w:b w:val="0"/>
          <w:i/>
        </w:rPr>
        <w:t>sufficienter</w:t>
      </w:r>
      <w:r>
        <w:rPr>
          <w:b w:val="0"/>
          <w:i w:val="0"/>
        </w:rPr>
        <w:t xml:space="preserve">; </w:t>
      </w:r>
      <w:r>
        <w:rPr>
          <w:b w:val="0"/>
          <w:i/>
        </w:rPr>
        <w:t>sufficientiam</w:t>
      </w:r>
      <w:r>
        <w:rPr>
          <w:b w:val="0"/>
          <w:i w:val="0"/>
        </w:rPr>
        <w:t>.</w:t>
      </w:r>
    </w:p>
    <w:p>
      <w:pPr>
        <w:widowControl/>
      </w:pPr>
      <w:r>
        <w:rPr>
          <w:b w:val="0"/>
          <w:i w:val="0"/>
        </w:rPr>
        <w:t xml:space="preserve">Sufficiency for a specified task or mode of being. Quality’s insufficiency in existing grounds its insufficiency in operating; the argument does not deny all qualitative action. References: </w:t>
      </w:r>
      <w:hyperlink w:anchor="passage-i-3-7">
        <w:r>
          <w:rPr>
            <w:color w:val="000000"/>
          </w:rPr>
          <w:t xml:space="preserve">I.3.7</w:t>
        </w:r>
      </w:hyperlink>
      <w:r>
        <w:rPr>
          <w:b w:val="0"/>
          <w:i w:val="0"/>
        </w:rPr>
        <w:t xml:space="preserve">. See </w:t>
      </w:r>
      <w:hyperlink w:anchor="need-and-sufficiency">
        <w:r>
          <w:rPr>
            <w:color w:val="000000"/>
          </w:rPr>
          <w:t xml:space="preserve">Need and sufficiency</w:t>
        </w:r>
      </w:hyperlink>
      <w:r>
        <w:rPr>
          <w:b w:val="0"/>
          <w:i w:val="0"/>
        </w:rPr>
        <w:t>.</w:t>
      </w:r>
    </w:p>
    <w:p>
      <w:pPr>
        <w:keepNext/>
        <w:widowControl/>
      </w:pPr>
      <w:bookmarkStart w:id="1417" w:name="latin-record-1166"/>
      <w:bookmarkEnd w:id="1417"/>
      <w:r>
        <w:rPr>
          <w:b/>
          <w:i w:val="0"/>
        </w:rPr>
        <w:t>suffragor</w:t>
      </w:r>
      <w:r>
        <w:rPr>
          <w:b/>
          <w:i w:val="0"/>
        </w:rPr>
        <w:t>.</w:t>
      </w:r>
      <w:r>
        <w:rPr>
          <w:b w:val="0"/>
          <w:i w:val="0"/>
        </w:rPr>
        <w:t xml:space="preserve"> Printed forms: </w:t>
      </w:r>
      <w:r>
        <w:rPr>
          <w:b w:val="0"/>
          <w:i/>
        </w:rPr>
        <w:t>suffragantibus</w:t>
      </w:r>
      <w:r>
        <w:rPr>
          <w:b w:val="0"/>
          <w:i w:val="0"/>
        </w:rPr>
        <w:t>.</w:t>
      </w:r>
    </w:p>
    <w:p>
      <w:pPr>
        <w:widowControl/>
      </w:pPr>
      <w:r>
        <w:rPr>
          <w:b w:val="0"/>
          <w:i w:val="0"/>
        </w:rPr>
        <w:t xml:space="preserve">To support or favour a cause. The Platonic reasons are said to support religion; they do not receive the support in this grammatical construction. References: </w:t>
      </w:r>
      <w:hyperlink w:anchor="passage-proem-8">
        <w:r>
          <w:rPr>
            <w:color w:val="000000"/>
          </w:rPr>
          <w:t xml:space="preserve">Proem.8</w:t>
        </w:r>
      </w:hyperlink>
      <w:r>
        <w:rPr>
          <w:b w:val="0"/>
          <w:i w:val="0"/>
        </w:rPr>
        <w:t xml:space="preserve">. See </w:t>
      </w:r>
      <w:hyperlink w:anchor="assent-approval-and-belief">
        <w:r>
          <w:rPr>
            <w:color w:val="000000"/>
          </w:rPr>
          <w:t xml:space="preserve">Assent, approval and belief</w:t>
        </w:r>
      </w:hyperlink>
      <w:r>
        <w:rPr>
          <w:b w:val="0"/>
          <w:i w:val="0"/>
        </w:rPr>
        <w:t>.</w:t>
      </w:r>
    </w:p>
    <w:p>
      <w:pPr>
        <w:keepNext/>
        <w:widowControl/>
      </w:pPr>
      <w:bookmarkStart w:id="1418" w:name="latin-record-1167"/>
      <w:bookmarkEnd w:id="1418"/>
      <w:r>
        <w:rPr>
          <w:b/>
          <w:i w:val="0"/>
        </w:rPr>
        <w:t>sui iuris</w:t>
      </w:r>
      <w:r>
        <w:rPr>
          <w:b/>
          <w:i w:val="0"/>
        </w:rPr>
        <w:t>.</w:t>
      </w:r>
      <w:r>
        <w:rPr>
          <w:b w:val="0"/>
          <w:i w:val="0"/>
        </w:rPr>
        <w:t xml:space="preserve"> Printed forms: </w:t>
      </w:r>
      <w:r>
        <w:rPr>
          <w:b w:val="0"/>
          <w:i/>
        </w:rPr>
        <w:t>sui iuris</w:t>
      </w:r>
      <w:r>
        <w:rPr>
          <w:b w:val="0"/>
          <w:i w:val="0"/>
        </w:rPr>
        <w:t>.</w:t>
      </w:r>
    </w:p>
    <w:p>
      <w:pPr>
        <w:widowControl/>
      </w:pPr>
      <w:r>
        <w:rPr>
          <w:b w:val="0"/>
          <w:i w:val="0"/>
        </w:rPr>
        <w:t xml:space="preserve">One’s own master or under one’s own right. The juridical idiom expresses relative independence, brought to its maximum in God. References: </w:t>
      </w:r>
      <w:hyperlink w:anchor="passage-ii-12-7">
        <w:r>
          <w:rPr>
            <w:color w:val="000000"/>
          </w:rPr>
          <w:t xml:space="preserve">II.12.7</w:t>
        </w:r>
      </w:hyperlink>
      <w:r>
        <w:rPr>
          <w:b w:val="0"/>
          <w:i w:val="0"/>
        </w:rPr>
        <w:t xml:space="preserve">. See </w:t>
      </w:r>
      <w:hyperlink w:anchor="governing-serving-and-dominion">
        <w:r>
          <w:rPr>
            <w:color w:val="000000"/>
          </w:rPr>
          <w:t xml:space="preserve">Governing, serving and dominion</w:t>
        </w:r>
      </w:hyperlink>
      <w:r>
        <w:rPr>
          <w:b w:val="0"/>
          <w:i w:val="0"/>
        </w:rPr>
        <w:t>.</w:t>
      </w:r>
    </w:p>
    <w:p>
      <w:pPr>
        <w:keepNext/>
        <w:widowControl/>
      </w:pPr>
      <w:bookmarkStart w:id="1419" w:name="latin-record-1168"/>
      <w:bookmarkEnd w:id="1419"/>
      <w:r>
        <w:rPr>
          <w:b/>
          <w:i w:val="0"/>
        </w:rPr>
        <w:t>sulfur / quasi spiritalia</w:t>
      </w:r>
      <w:r>
        <w:rPr>
          <w:b/>
          <w:i w:val="0"/>
        </w:rPr>
        <w:t>.</w:t>
      </w:r>
      <w:r>
        <w:rPr>
          <w:b w:val="0"/>
          <w:i w:val="0"/>
        </w:rPr>
        <w:t xml:space="preserve"> Printed forms: </w:t>
      </w:r>
      <w:r>
        <w:rPr>
          <w:b w:val="0"/>
          <w:i/>
        </w:rPr>
        <w:t>quasi spiritalia</w:t>
      </w:r>
      <w:r>
        <w:rPr>
          <w:b w:val="0"/>
          <w:i w:val="0"/>
        </w:rPr>
        <w:t xml:space="preserve">; </w:t>
      </w:r>
      <w:r>
        <w:rPr>
          <w:b w:val="0"/>
          <w:i/>
        </w:rPr>
        <w:t>sulfur</w:t>
      </w:r>
      <w:r>
        <w:rPr>
          <w:b w:val="0"/>
          <w:i w:val="0"/>
        </w:rPr>
        <w:t>.</w:t>
      </w:r>
    </w:p>
    <w:p>
      <w:pPr>
        <w:widowControl/>
      </w:pPr>
      <w:r>
        <w:rPr>
          <w:b w:val="0"/>
          <w:i w:val="0"/>
        </w:rPr>
        <w:t xml:space="preserve">Sulfur; almost spiritual through exceptional subtlety. Readiness to ignite supplies an analogy for celestial bodies’ readiness to receive animation; almost spiritual still describes bodies. References: </w:t>
      </w:r>
      <w:hyperlink w:anchor="passage-iv-1-72">
        <w:r>
          <w:rPr>
            <w:color w:val="000000"/>
          </w:rPr>
          <w:t xml:space="preserve">IV.1.72</w:t>
        </w:r>
      </w:hyperlink>
      <w:r>
        <w:rPr>
          <w:b w:val="0"/>
          <w:i w:val="0"/>
        </w:rPr>
        <w:t xml:space="preserve">. See </w:t>
      </w:r>
      <w:hyperlink w:anchor="spirit">
        <w:r>
          <w:rPr>
            <w:color w:val="000000"/>
          </w:rPr>
          <w:t xml:space="preserve">Spirit</w:t>
        </w:r>
      </w:hyperlink>
      <w:r>
        <w:rPr>
          <w:b w:val="0"/>
          <w:i w:val="0"/>
        </w:rPr>
        <w:t>.</w:t>
      </w:r>
    </w:p>
    <w:p>
      <w:pPr>
        <w:keepNext/>
        <w:widowControl/>
      </w:pPr>
      <w:bookmarkStart w:id="1420" w:name="latin-record-1169"/>
      <w:bookmarkEnd w:id="1420"/>
      <w:r>
        <w:rPr>
          <w:b/>
          <w:i w:val="0"/>
        </w:rPr>
        <w:t>summus / summum</w:t>
      </w:r>
      <w:r>
        <w:rPr>
          <w:b/>
          <w:i w:val="0"/>
        </w:rPr>
        <w:t>.</w:t>
      </w:r>
      <w:r>
        <w:rPr>
          <w:b w:val="0"/>
          <w:i w:val="0"/>
        </w:rPr>
        <w:t xml:space="preserve"> Printed forms: </w:t>
      </w:r>
      <w:r>
        <w:rPr>
          <w:b w:val="0"/>
          <w:i/>
        </w:rPr>
        <w:t>summa</w:t>
      </w:r>
      <w:r>
        <w:rPr>
          <w:b w:val="0"/>
          <w:i w:val="0"/>
        </w:rPr>
        <w:t xml:space="preserve">; </w:t>
      </w:r>
      <w:r>
        <w:rPr>
          <w:b w:val="0"/>
          <w:i/>
        </w:rPr>
        <w:t>summae</w:t>
      </w:r>
      <w:r>
        <w:rPr>
          <w:b w:val="0"/>
          <w:i w:val="0"/>
        </w:rPr>
        <w:t xml:space="preserve">; </w:t>
      </w:r>
      <w:r>
        <w:rPr>
          <w:b w:val="0"/>
          <w:i/>
        </w:rPr>
        <w:t>summum</w:t>
      </w:r>
      <w:r>
        <w:rPr>
          <w:b w:val="0"/>
          <w:i w:val="0"/>
        </w:rPr>
        <w:t xml:space="preserve">; </w:t>
      </w:r>
      <w:r>
        <w:rPr>
          <w:b w:val="0"/>
          <w:i/>
        </w:rPr>
        <w:t>summus</w:t>
      </w:r>
      <w:r>
        <w:rPr>
          <w:b w:val="0"/>
          <w:i w:val="0"/>
        </w:rPr>
        <w:t>.</w:t>
      </w:r>
    </w:p>
    <w:p>
      <w:pPr>
        <w:widowControl/>
      </w:pPr>
      <w:r>
        <w:rPr>
          <w:b w:val="0"/>
          <w:i w:val="0"/>
        </w:rPr>
        <w:t xml:space="preserve">Supreme, at the summit of a kind or of all things. The argument combines uniqueness with purity: supreme light is one light and light alone. References: </w:t>
      </w:r>
      <w:hyperlink w:anchor="passage-ii-2-5">
        <w:r>
          <w:rPr>
            <w:color w:val="000000"/>
          </w:rPr>
          <w:t xml:space="preserve">II.2.5</w:t>
        </w:r>
      </w:hyperlink>
      <w:r>
        <w:rPr>
          <w:b w:val="0"/>
          <w:i w:val="0"/>
        </w:rPr>
        <w:t xml:space="preserve">, </w:t>
      </w:r>
      <w:hyperlink w:anchor="passage-ii-2-6">
        <w:r>
          <w:rPr>
            <w:color w:val="000000"/>
          </w:rPr>
          <w:t xml:space="preserve">II.2.6</w:t>
        </w:r>
      </w:hyperlink>
      <w:r>
        <w:rPr>
          <w:b w:val="0"/>
          <w:i w:val="0"/>
        </w:rPr>
        <w:t xml:space="preserve">, </w:t>
      </w:r>
      <w:hyperlink w:anchor="passage-ii-2-7">
        <w:r>
          <w:rPr>
            <w:color w:val="000000"/>
          </w:rPr>
          <w:t xml:space="preserve">II.2.7</w:t>
        </w:r>
      </w:hyperlink>
      <w:r>
        <w:rPr>
          <w:b w:val="0"/>
          <w:i w:val="0"/>
        </w:rPr>
        <w:t xml:space="preserve">. See </w:t>
      </w:r>
      <w:hyperlink w:anchor="perfection">
        <w:r>
          <w:rPr>
            <w:color w:val="000000"/>
          </w:rPr>
          <w:t xml:space="preserve">Perfection</w:t>
        </w:r>
      </w:hyperlink>
      <w:r>
        <w:rPr>
          <w:b w:val="0"/>
          <w:i w:val="0"/>
        </w:rPr>
        <w:t>.</w:t>
      </w:r>
    </w:p>
    <w:p>
      <w:pPr>
        <w:keepNext/>
        <w:widowControl/>
      </w:pPr>
      <w:bookmarkStart w:id="1421" w:name="latin-record-1170"/>
      <w:bookmarkEnd w:id="1421"/>
      <w:r>
        <w:rPr>
          <w:b/>
          <w:i w:val="0"/>
        </w:rPr>
        <w:t>super omne / sub omni</w:t>
      </w:r>
      <w:r>
        <w:rPr>
          <w:b/>
          <w:i w:val="0"/>
        </w:rPr>
        <w:t>.</w:t>
      </w:r>
      <w:r>
        <w:rPr>
          <w:b w:val="0"/>
          <w:i w:val="0"/>
        </w:rPr>
        <w:t xml:space="preserve"> Printed forms: </w:t>
      </w:r>
      <w:r>
        <w:rPr>
          <w:b w:val="0"/>
          <w:i/>
        </w:rPr>
        <w:t>sub omni</w:t>
      </w:r>
      <w:r>
        <w:rPr>
          <w:b w:val="0"/>
          <w:i w:val="0"/>
        </w:rPr>
        <w:t xml:space="preserve">; </w:t>
      </w:r>
      <w:r>
        <w:rPr>
          <w:b w:val="0"/>
          <w:i/>
        </w:rPr>
        <w:t>super omne</w:t>
      </w:r>
      <w:r>
        <w:rPr>
          <w:b w:val="0"/>
          <w:i w:val="0"/>
        </w:rPr>
        <w:t>.</w:t>
      </w:r>
    </w:p>
    <w:p>
      <w:pPr>
        <w:widowControl/>
      </w:pPr>
      <w:r>
        <w:rPr>
          <w:b w:val="0"/>
          <w:i w:val="0"/>
        </w:rPr>
        <w:t xml:space="preserve">Above the whole; below the whole. God’s simple unity is distinguished from articulated totalities and the individual bodies beneath them. References: </w:t>
      </w:r>
      <w:hyperlink w:anchor="passage-iv-2-3">
        <w:r>
          <w:rPr>
            <w:color w:val="000000"/>
          </w:rPr>
          <w:t xml:space="preserve">IV.2.3</w:t>
        </w:r>
      </w:hyperlink>
      <w:r>
        <w:rPr>
          <w:b w:val="0"/>
          <w:i w:val="0"/>
        </w:rPr>
        <w:t xml:space="preserve">. See </w:t>
      </w:r>
      <w:hyperlink w:anchor="whole-and-parts">
        <w:r>
          <w:rPr>
            <w:color w:val="000000"/>
          </w:rPr>
          <w:t xml:space="preserve">Whole and parts</w:t>
        </w:r>
      </w:hyperlink>
      <w:r>
        <w:rPr>
          <w:b w:val="0"/>
          <w:i w:val="0"/>
        </w:rPr>
        <w:t>.</w:t>
      </w:r>
    </w:p>
    <w:p>
      <w:pPr>
        <w:keepNext/>
        <w:widowControl/>
      </w:pPr>
      <w:bookmarkStart w:id="1422" w:name="latin-record-1171"/>
      <w:bookmarkEnd w:id="1422"/>
      <w:r>
        <w:rPr>
          <w:b/>
          <w:i w:val="0"/>
        </w:rPr>
        <w:t>superare / e converso</w:t>
      </w:r>
      <w:r>
        <w:rPr>
          <w:b/>
          <w:i w:val="0"/>
        </w:rPr>
        <w:t>.</w:t>
      </w:r>
      <w:r>
        <w:rPr>
          <w:b w:val="0"/>
          <w:i w:val="0"/>
        </w:rPr>
        <w:t xml:space="preserve"> Printed forms: </w:t>
      </w:r>
      <w:r>
        <w:rPr>
          <w:b w:val="0"/>
          <w:i/>
        </w:rPr>
        <w:t>e converso</w:t>
      </w:r>
      <w:r>
        <w:rPr>
          <w:b w:val="0"/>
          <w:i w:val="0"/>
        </w:rPr>
        <w:t xml:space="preserve">; </w:t>
      </w:r>
      <w:r>
        <w:rPr>
          <w:b w:val="0"/>
          <w:i/>
        </w:rPr>
        <w:t>superat</w:t>
      </w:r>
      <w:r>
        <w:rPr>
          <w:b w:val="0"/>
          <w:i w:val="0"/>
        </w:rPr>
        <w:t>.</w:t>
      </w:r>
    </w:p>
    <w:p>
      <w:pPr>
        <w:widowControl/>
      </w:pPr>
      <w:r>
        <w:rPr>
          <w:b w:val="0"/>
          <w:i w:val="0"/>
        </w:rPr>
        <w:t xml:space="preserve">To surpass; conversely or with the order reversed. The paired two-faculty lives are counted separately according to which member dominates. References: </w:t>
      </w:r>
      <w:hyperlink w:anchor="passage-iv-1-48">
        <w:r>
          <w:rPr>
            <w:color w:val="000000"/>
          </w:rPr>
          <w:t xml:space="preserve">IV.1.48</w:t>
        </w:r>
      </w:hyperlink>
      <w:r>
        <w:rPr>
          <w:b w:val="0"/>
          <w:i w:val="0"/>
        </w:rPr>
        <w:t xml:space="preserve">, </w:t>
      </w:r>
      <w:hyperlink w:anchor="passage-iv-1-49">
        <w:r>
          <w:rPr>
            <w:color w:val="000000"/>
          </w:rPr>
          <w:t xml:space="preserve">IV.1.49</w:t>
        </w:r>
      </w:hyperlink>
      <w:r>
        <w:rPr>
          <w:b w:val="0"/>
          <w:i w:val="0"/>
        </w:rPr>
        <w:t xml:space="preserve">. See </w:t>
      </w:r>
      <w:hyperlink w:anchor="reason-anger-and-desire">
        <w:r>
          <w:rPr>
            <w:color w:val="000000"/>
          </w:rPr>
          <w:t xml:space="preserve">Reason anger and desire</w:t>
        </w:r>
      </w:hyperlink>
      <w:r>
        <w:rPr>
          <w:b w:val="0"/>
          <w:i w:val="0"/>
        </w:rPr>
        <w:t>.</w:t>
      </w:r>
    </w:p>
    <w:p>
      <w:pPr>
        <w:keepNext/>
        <w:widowControl/>
      </w:pPr>
      <w:bookmarkStart w:id="1423" w:name="latin-record-1172"/>
      <w:bookmarkEnd w:id="1423"/>
      <w:r>
        <w:rPr>
          <w:b/>
          <w:i w:val="0"/>
        </w:rPr>
        <w:t>superesse / discedere</w:t>
      </w:r>
      <w:r>
        <w:rPr>
          <w:b/>
          <w:i w:val="0"/>
        </w:rPr>
        <w:t>.</w:t>
      </w:r>
      <w:r>
        <w:rPr>
          <w:b w:val="0"/>
          <w:i w:val="0"/>
        </w:rPr>
        <w:t xml:space="preserve"> Printed forms: </w:t>
      </w:r>
      <w:r>
        <w:rPr>
          <w:b w:val="0"/>
          <w:i/>
        </w:rPr>
        <w:t>discedentibus</w:t>
      </w:r>
      <w:r>
        <w:rPr>
          <w:b w:val="0"/>
          <w:i w:val="0"/>
        </w:rPr>
        <w:t xml:space="preserve">; </w:t>
      </w:r>
      <w:r>
        <w:rPr>
          <w:b w:val="0"/>
          <w:i/>
        </w:rPr>
        <w:t>superesse</w:t>
      </w:r>
      <w:r>
        <w:rPr>
          <w:b w:val="0"/>
          <w:i w:val="0"/>
        </w:rPr>
        <w:t>.</w:t>
      </w:r>
    </w:p>
    <w:p>
      <w:pPr>
        <w:widowControl/>
      </w:pPr>
      <w:r>
        <w:rPr>
          <w:b w:val="0"/>
          <w:i w:val="0"/>
        </w:rPr>
        <w:t xml:space="preserve">To remain over or survive; to depart. The remaining light for souls departing bodily imprisonment is the conclusion Ficino says seems necessary; it is not yet the whole promised demonstration of immortality. References: </w:t>
      </w:r>
      <w:hyperlink w:anchor="passage-i-1-1">
        <w:r>
          <w:rPr>
            <w:color w:val="000000"/>
          </w:rPr>
          <w:t xml:space="preserve">I.1.1</w:t>
        </w:r>
      </w:hyperlink>
      <w:r>
        <w:rPr>
          <w:b w:val="0"/>
          <w:i w:val="0"/>
        </w:rPr>
        <w:t xml:space="preserve">. See </w:t>
      </w:r>
      <w:hyperlink w:anchor="immortality">
        <w:r>
          <w:rPr>
            <w:color w:val="000000"/>
          </w:rPr>
          <w:t xml:space="preserve">Immortality</w:t>
        </w:r>
      </w:hyperlink>
      <w:r>
        <w:rPr>
          <w:b w:val="0"/>
          <w:i w:val="0"/>
        </w:rPr>
        <w:t>.</w:t>
      </w:r>
    </w:p>
    <w:p>
      <w:pPr>
        <w:keepNext/>
        <w:widowControl/>
      </w:pPr>
      <w:bookmarkStart w:id="1424" w:name="latin-record-1173"/>
      <w:bookmarkEnd w:id="1424"/>
      <w:r>
        <w:rPr>
          <w:b/>
          <w:i w:val="0"/>
        </w:rPr>
        <w:t>superficies / fundus</w:t>
      </w:r>
      <w:r>
        <w:rPr>
          <w:b/>
          <w:i w:val="0"/>
        </w:rPr>
        <w:t>.</w:t>
      </w:r>
      <w:r>
        <w:rPr>
          <w:b w:val="0"/>
          <w:i w:val="0"/>
        </w:rPr>
        <w:t xml:space="preserve"> Printed forms: </w:t>
      </w:r>
      <w:r>
        <w:rPr>
          <w:b w:val="0"/>
          <w:i/>
        </w:rPr>
        <w:t>funditus</w:t>
      </w:r>
      <w:r>
        <w:rPr>
          <w:b w:val="0"/>
          <w:i w:val="0"/>
        </w:rPr>
        <w:t xml:space="preserve">; </w:t>
      </w:r>
      <w:r>
        <w:rPr>
          <w:b w:val="0"/>
          <w:i/>
        </w:rPr>
        <w:t>fundo</w:t>
      </w:r>
      <w:r>
        <w:rPr>
          <w:b w:val="0"/>
          <w:i w:val="0"/>
        </w:rPr>
        <w:t xml:space="preserve">; </w:t>
      </w:r>
      <w:r>
        <w:rPr>
          <w:b w:val="0"/>
          <w:i/>
        </w:rPr>
        <w:t>superficiem</w:t>
      </w:r>
      <w:r>
        <w:rPr>
          <w:b w:val="0"/>
          <w:i w:val="0"/>
        </w:rPr>
        <w:t>.</w:t>
      </w:r>
    </w:p>
    <w:p>
      <w:pPr>
        <w:widowControl/>
      </w:pPr>
      <w:r>
        <w:rPr>
          <w:b w:val="0"/>
          <w:i w:val="0"/>
        </w:rPr>
        <w:t xml:space="preserve">Surface; depth; fundamentally or to the depths. Human surface work is contrasted with substantial formation from the depths of matter. References: </w:t>
      </w:r>
      <w:hyperlink w:anchor="passage-iv-1-13">
        <w:r>
          <w:rPr>
            <w:color w:val="000000"/>
          </w:rPr>
          <w:t xml:space="preserve">IV.1.13</w:t>
        </w:r>
      </w:hyperlink>
      <w:r>
        <w:rPr>
          <w:b w:val="0"/>
          <w:i w:val="0"/>
        </w:rPr>
        <w:t xml:space="preserve">. See </w:t>
      </w:r>
      <w:hyperlink w:anchor="surface-and-depth">
        <w:r>
          <w:rPr>
            <w:color w:val="000000"/>
          </w:rPr>
          <w:t xml:space="preserve">Surface and depth</w:t>
        </w:r>
      </w:hyperlink>
      <w:r>
        <w:rPr>
          <w:b w:val="0"/>
          <w:i w:val="0"/>
        </w:rPr>
        <w:t>.</w:t>
      </w:r>
    </w:p>
    <w:p>
      <w:pPr>
        <w:keepNext/>
        <w:widowControl/>
      </w:pPr>
      <w:bookmarkStart w:id="1425" w:name="latin-record-1174"/>
      <w:bookmarkEnd w:id="1425"/>
      <w:r>
        <w:rPr>
          <w:b/>
          <w:i w:val="0"/>
        </w:rPr>
        <w:t>superior / inferior</w:t>
      </w:r>
      <w:r>
        <w:rPr>
          <w:b/>
          <w:i w:val="0"/>
        </w:rPr>
        <w:t>.</w:t>
      </w:r>
      <w:r>
        <w:rPr>
          <w:b w:val="0"/>
          <w:i w:val="0"/>
        </w:rPr>
        <w:t xml:space="preserve"> Printed forms: </w:t>
      </w:r>
      <w:r>
        <w:rPr>
          <w:b w:val="0"/>
          <w:i/>
        </w:rPr>
        <w:t>Inferiora</w:t>
      </w:r>
      <w:r>
        <w:rPr>
          <w:b w:val="0"/>
          <w:i w:val="0"/>
        </w:rPr>
        <w:t xml:space="preserve">; </w:t>
      </w:r>
      <w:r>
        <w:rPr>
          <w:b w:val="0"/>
          <w:i/>
        </w:rPr>
        <w:t>inferiorem</w:t>
      </w:r>
      <w:r>
        <w:rPr>
          <w:b w:val="0"/>
          <w:i w:val="0"/>
        </w:rPr>
        <w:t xml:space="preserve">; </w:t>
      </w:r>
      <w:r>
        <w:rPr>
          <w:b w:val="0"/>
          <w:i/>
        </w:rPr>
        <w:t>inferiores</w:t>
      </w:r>
      <w:r>
        <w:rPr>
          <w:b w:val="0"/>
          <w:i w:val="0"/>
        </w:rPr>
        <w:t xml:space="preserve">; </w:t>
      </w:r>
      <w:r>
        <w:rPr>
          <w:b w:val="0"/>
          <w:i/>
        </w:rPr>
        <w:t>inferiori</w:t>
      </w:r>
      <w:r>
        <w:rPr>
          <w:b w:val="0"/>
          <w:i w:val="0"/>
        </w:rPr>
        <w:t xml:space="preserve">; </w:t>
      </w:r>
      <w:r>
        <w:rPr>
          <w:b w:val="0"/>
          <w:i/>
        </w:rPr>
        <w:t>inferioribus</w:t>
      </w:r>
      <w:r>
        <w:rPr>
          <w:b w:val="0"/>
          <w:i w:val="0"/>
        </w:rPr>
        <w:t xml:space="preserve">; </w:t>
      </w:r>
      <w:r>
        <w:rPr>
          <w:b w:val="0"/>
          <w:i/>
        </w:rPr>
        <w:t>inferioris</w:t>
      </w:r>
      <w:r>
        <w:rPr>
          <w:b w:val="0"/>
          <w:i w:val="0"/>
        </w:rPr>
        <w:t xml:space="preserve">; </w:t>
      </w:r>
      <w:r>
        <w:rPr>
          <w:b w:val="0"/>
          <w:i/>
        </w:rPr>
        <w:t>superior</w:t>
      </w:r>
      <w:r>
        <w:rPr>
          <w:b w:val="0"/>
          <w:i w:val="0"/>
        </w:rPr>
        <w:t xml:space="preserve">; </w:t>
      </w:r>
      <w:r>
        <w:rPr>
          <w:b w:val="0"/>
          <w:i/>
        </w:rPr>
        <w:t>superiore</w:t>
      </w:r>
      <w:r>
        <w:rPr>
          <w:b w:val="0"/>
          <w:i w:val="0"/>
        </w:rPr>
        <w:t xml:space="preserve">; </w:t>
      </w:r>
      <w:r>
        <w:rPr>
          <w:b w:val="0"/>
          <w:i/>
        </w:rPr>
        <w:t>superioribus</w:t>
      </w:r>
      <w:r>
        <w:rPr>
          <w:b w:val="0"/>
          <w:i w:val="0"/>
        </w:rPr>
        <w:t xml:space="preserve">; </w:t>
      </w:r>
      <w:r>
        <w:rPr>
          <w:b w:val="0"/>
          <w:i/>
        </w:rPr>
        <w:t>superioris</w:t>
      </w:r>
      <w:r>
        <w:rPr>
          <w:b w:val="0"/>
          <w:i w:val="0"/>
        </w:rPr>
        <w:t>.</w:t>
      </w:r>
    </w:p>
    <w:p>
      <w:pPr>
        <w:widowControl/>
      </w:pPr>
      <w:r>
        <w:rPr>
          <w:b w:val="0"/>
          <w:i w:val="0"/>
        </w:rPr>
        <w:t xml:space="preserve">Higher and lower in causal rank, scope, or perfection. A higher cause is expected to impart a greater perfection, and the regress argument tests an endless hierarchy. References: </w:t>
      </w:r>
      <w:hyperlink w:anchor="passage-ii-1-3">
        <w:r>
          <w:rPr>
            <w:color w:val="000000"/>
          </w:rPr>
          <w:t xml:space="preserve">II.1.3</w:t>
        </w:r>
      </w:hyperlink>
      <w:r>
        <w:rPr>
          <w:b w:val="0"/>
          <w:i w:val="0"/>
        </w:rPr>
        <w:t xml:space="preserve">, </w:t>
      </w:r>
      <w:hyperlink w:anchor="passage-ii-1-6">
        <w:r>
          <w:rPr>
            <w:color w:val="000000"/>
          </w:rPr>
          <w:t xml:space="preserve">II.1.6</w:t>
        </w:r>
      </w:hyperlink>
      <w:r>
        <w:rPr>
          <w:b w:val="0"/>
          <w:i w:val="0"/>
        </w:rPr>
        <w:t xml:space="preserve">, </w:t>
      </w:r>
      <w:hyperlink w:anchor="passage-ii-3-9">
        <w:r>
          <w:rPr>
            <w:color w:val="000000"/>
          </w:rPr>
          <w:t xml:space="preserve">II.3.9</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1426" w:name="latin-record-1175"/>
      <w:bookmarkEnd w:id="1426"/>
      <w:r>
        <w:rPr>
          <w:b/>
          <w:i w:val="0"/>
        </w:rPr>
        <w:t>superior / inferior / propinquus</w:t>
      </w:r>
      <w:r>
        <w:rPr>
          <w:b/>
          <w:i w:val="0"/>
        </w:rPr>
        <w:t>.</w:t>
      </w:r>
      <w:r>
        <w:rPr>
          <w:b w:val="0"/>
          <w:i w:val="0"/>
        </w:rPr>
        <w:t xml:space="preserve"> Printed forms: </w:t>
      </w:r>
      <w:r>
        <w:rPr>
          <w:b w:val="0"/>
          <w:i/>
        </w:rPr>
        <w:t>propinqua</w:t>
      </w:r>
      <w:r>
        <w:rPr>
          <w:b w:val="0"/>
          <w:i w:val="0"/>
        </w:rPr>
        <w:t xml:space="preserve">; </w:t>
      </w:r>
      <w:r>
        <w:rPr>
          <w:b w:val="0"/>
          <w:i/>
        </w:rPr>
        <w:t>propinquior</w:t>
      </w:r>
      <w:r>
        <w:rPr>
          <w:b w:val="0"/>
          <w:i w:val="0"/>
        </w:rPr>
        <w:t xml:space="preserve">; </w:t>
      </w:r>
      <w:r>
        <w:rPr>
          <w:b w:val="0"/>
          <w:i/>
        </w:rPr>
        <w:t>propinquius</w:t>
      </w:r>
      <w:r>
        <w:rPr>
          <w:b w:val="0"/>
          <w:i w:val="0"/>
        </w:rPr>
        <w:t>.</w:t>
      </w:r>
    </w:p>
    <w:p>
      <w:pPr>
        <w:widowControl/>
      </w:pPr>
      <w:r>
        <w:rPr>
          <w:b w:val="0"/>
          <w:i w:val="0"/>
        </w:rPr>
        <w:t xml:space="preserve">Higher / lower / near. These specify causal and ranked relations; proximity in perfection is not automatically physical distance. References: </w:t>
      </w:r>
      <w:hyperlink w:anchor="passage-iii-1-14">
        <w:r>
          <w:rPr>
            <w:color w:val="000000"/>
          </w:rPr>
          <w:t xml:space="preserve">III.1.14</w:t>
        </w:r>
      </w:hyperlink>
      <w:r>
        <w:rPr>
          <w:b w:val="0"/>
          <w:i w:val="0"/>
        </w:rPr>
        <w:t xml:space="preserve">, </w:t>
      </w:r>
      <w:hyperlink w:anchor="passage-iii-1-26">
        <w:r>
          <w:rPr>
            <w:color w:val="000000"/>
          </w:rPr>
          <w:t xml:space="preserve">III.1.26</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1427" w:name="latin-record-1176"/>
      <w:bookmarkEnd w:id="1427"/>
      <w:r>
        <w:rPr>
          <w:b/>
          <w:i w:val="0"/>
        </w:rPr>
        <w:t>sursum / deorsum</w:t>
      </w:r>
      <w:r>
        <w:rPr>
          <w:b/>
          <w:i w:val="0"/>
        </w:rPr>
        <w:t>.</w:t>
      </w:r>
      <w:r>
        <w:rPr>
          <w:b w:val="0"/>
          <w:i w:val="0"/>
        </w:rPr>
        <w:t xml:space="preserve"> Printed forms: </w:t>
      </w:r>
      <w:r>
        <w:rPr>
          <w:b w:val="0"/>
          <w:i/>
        </w:rPr>
        <w:t>deorsum</w:t>
      </w:r>
      <w:r>
        <w:rPr>
          <w:b w:val="0"/>
          <w:i w:val="0"/>
        </w:rPr>
        <w:t xml:space="preserve">; </w:t>
      </w:r>
      <w:r>
        <w:rPr>
          <w:b w:val="0"/>
          <w:i/>
        </w:rPr>
        <w:t>sursum</w:t>
      </w:r>
      <w:r>
        <w:rPr>
          <w:b w:val="0"/>
          <w:i w:val="0"/>
        </w:rPr>
        <w:t>.</w:t>
      </w:r>
    </w:p>
    <w:p>
      <w:pPr>
        <w:widowControl/>
      </w:pPr>
      <w:r>
        <w:rPr>
          <w:b w:val="0"/>
          <w:i w:val="0"/>
        </w:rPr>
        <w:t xml:space="preserve">Upward and downward. They first describe light and heavy bodies’ tendencies, then the living power’s movement of food contrary to those tendencies as life requires. References: </w:t>
      </w:r>
      <w:hyperlink w:anchor="passage-i-2-2">
        <w:r>
          <w:rPr>
            <w:color w:val="000000"/>
          </w:rPr>
          <w:t xml:space="preserve">I.2.2</w:t>
        </w:r>
      </w:hyperlink>
      <w:r>
        <w:rPr>
          <w:b w:val="0"/>
          <w:i w:val="0"/>
        </w:rPr>
        <w:t xml:space="preserve">, </w:t>
      </w:r>
      <w:hyperlink w:anchor="passage-i-3-23">
        <w:r>
          <w:rPr>
            <w:color w:val="000000"/>
          </w:rPr>
          <w:t xml:space="preserve">I.3.23</w:t>
        </w:r>
      </w:hyperlink>
      <w:r>
        <w:rPr>
          <w:b w:val="0"/>
          <w:i w:val="0"/>
        </w:rPr>
        <w:t xml:space="preserve">. See </w:t>
      </w:r>
      <w:hyperlink w:anchor="natural-motion-and-natural-place">
        <w:r>
          <w:rPr>
            <w:color w:val="000000"/>
          </w:rPr>
          <w:t xml:space="preserve">Natural motion and natural place</w:t>
        </w:r>
      </w:hyperlink>
      <w:r>
        <w:rPr>
          <w:b w:val="0"/>
          <w:i w:val="0"/>
        </w:rPr>
        <w:t>.</w:t>
      </w:r>
    </w:p>
    <w:p>
      <w:pPr>
        <w:keepNext/>
        <w:widowControl/>
      </w:pPr>
      <w:bookmarkStart w:id="1428" w:name="latin-record-1177"/>
      <w:bookmarkEnd w:id="1428"/>
      <w:r>
        <w:rPr>
          <w:b/>
          <w:i w:val="0"/>
        </w:rPr>
        <w:t>susceptivus / passivus</w:t>
      </w:r>
      <w:r>
        <w:rPr>
          <w:b/>
          <w:i w:val="0"/>
        </w:rPr>
        <w:t>.</w:t>
      </w:r>
      <w:r>
        <w:rPr>
          <w:b w:val="0"/>
          <w:i w:val="0"/>
        </w:rPr>
        <w:t xml:space="preserve"> Printed forms: </w:t>
      </w:r>
      <w:r>
        <w:rPr>
          <w:b w:val="0"/>
          <w:i/>
        </w:rPr>
        <w:t>passiva</w:t>
      </w:r>
      <w:r>
        <w:rPr>
          <w:b w:val="0"/>
          <w:i w:val="0"/>
        </w:rPr>
        <w:t xml:space="preserve">; </w:t>
      </w:r>
      <w:r>
        <w:rPr>
          <w:b w:val="0"/>
          <w:i/>
        </w:rPr>
        <w:t>passivam</w:t>
      </w:r>
      <w:r>
        <w:rPr>
          <w:b w:val="0"/>
          <w:i w:val="0"/>
        </w:rPr>
        <w:t xml:space="preserve">; </w:t>
      </w:r>
      <w:r>
        <w:rPr>
          <w:b w:val="0"/>
          <w:i/>
        </w:rPr>
        <w:t>susceptiva</w:t>
      </w:r>
      <w:r>
        <w:rPr>
          <w:b w:val="0"/>
          <w:i w:val="0"/>
        </w:rPr>
        <w:t xml:space="preserve">; </w:t>
      </w:r>
      <w:r>
        <w:rPr>
          <w:b w:val="0"/>
          <w:i/>
        </w:rPr>
        <w:t>susceptivam</w:t>
      </w:r>
      <w:r>
        <w:rPr>
          <w:b w:val="0"/>
          <w:i w:val="0"/>
        </w:rPr>
        <w:t>.</w:t>
      </w:r>
    </w:p>
    <w:p>
      <w:pPr>
        <w:widowControl/>
      </w:pPr>
      <w:r>
        <w:rPr>
          <w:b w:val="0"/>
          <w:i w:val="0"/>
        </w:rPr>
        <w:t xml:space="preserve">Receptive / capable of undergoing. Potency is predicated of body, soul, and angel in different respects; soul’s acquisition through change is one receptive mode. References: </w:t>
      </w:r>
      <w:hyperlink w:anchor="passage-iii-1-9">
        <w:r>
          <w:rPr>
            <w:color w:val="000000"/>
          </w:rPr>
          <w:t xml:space="preserve">III.1.9</w:t>
        </w:r>
      </w:hyperlink>
      <w:r>
        <w:rPr>
          <w:b w:val="0"/>
          <w:i w:val="0"/>
        </w:rPr>
        <w:t xml:space="preserve">, </w:t>
      </w:r>
      <w:hyperlink w:anchor="passage-iii-1-10">
        <w:r>
          <w:rPr>
            <w:color w:val="000000"/>
          </w:rPr>
          <w:t xml:space="preserve">III.1.10</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1429" w:name="latin-record-1178"/>
      <w:bookmarkEnd w:id="1429"/>
      <w:r>
        <w:rPr>
          <w:b/>
          <w:i w:val="0"/>
        </w:rPr>
        <w:t>suscipere</w:t>
      </w:r>
      <w:r>
        <w:rPr>
          <w:b/>
          <w:i w:val="0"/>
        </w:rPr>
        <w:t>.</w:t>
      </w:r>
      <w:r>
        <w:rPr>
          <w:b w:val="0"/>
          <w:i w:val="0"/>
        </w:rPr>
        <w:t xml:space="preserve"> Printed forms: </w:t>
      </w:r>
      <w:r>
        <w:rPr>
          <w:b w:val="0"/>
          <w:i/>
        </w:rPr>
        <w:t>suscipere</w:t>
      </w:r>
      <w:r>
        <w:rPr>
          <w:b w:val="0"/>
          <w:i w:val="0"/>
        </w:rPr>
        <w:t xml:space="preserve">; </w:t>
      </w:r>
      <w:r>
        <w:rPr>
          <w:b w:val="0"/>
          <w:i/>
        </w:rPr>
        <w:t>suscipit</w:t>
      </w:r>
      <w:r>
        <w:rPr>
          <w:b w:val="0"/>
          <w:i w:val="0"/>
        </w:rPr>
        <w:t xml:space="preserve">; </w:t>
      </w:r>
      <w:r>
        <w:rPr>
          <w:b w:val="0"/>
          <w:i/>
        </w:rPr>
        <w:t>suscipitur</w:t>
      </w:r>
      <w:r>
        <w:rPr>
          <w:b w:val="0"/>
          <w:i w:val="0"/>
        </w:rPr>
        <w:t>.</w:t>
      </w:r>
    </w:p>
    <w:p>
      <w:pPr>
        <w:widowControl/>
      </w:pPr>
      <w:r>
        <w:rPr>
          <w:b w:val="0"/>
          <w:i w:val="0"/>
        </w:rPr>
        <w:t xml:space="preserve">Take up or receive. The receiving mode belongs to the recipient; soul’s gradual reception is contrasted with angel’s immediate fullness. References: </w:t>
      </w:r>
      <w:hyperlink w:anchor="passage-iii-1-9">
        <w:r>
          <w:rPr>
            <w:color w:val="000000"/>
          </w:rPr>
          <w:t xml:space="preserve">III.1.9</w:t>
        </w:r>
      </w:hyperlink>
      <w:r>
        <w:rPr>
          <w:b w:val="0"/>
          <w:i w:val="0"/>
        </w:rPr>
        <w:t xml:space="preserve">, </w:t>
      </w:r>
      <w:hyperlink w:anchor="passage-iii-1-32">
        <w:r>
          <w:rPr>
            <w:color w:val="000000"/>
          </w:rPr>
          <w:t xml:space="preserve">III.1.32</w:t>
        </w:r>
      </w:hyperlink>
      <w:r>
        <w:rPr>
          <w:b w:val="0"/>
          <w:i w:val="0"/>
        </w:rPr>
        <w:t xml:space="preserve">. See </w:t>
      </w:r>
      <w:hyperlink w:anchor="receiving-and-giving">
        <w:r>
          <w:rPr>
            <w:color w:val="000000"/>
          </w:rPr>
          <w:t xml:space="preserve">Receiving and giving</w:t>
        </w:r>
      </w:hyperlink>
      <w:r>
        <w:rPr>
          <w:b w:val="0"/>
          <w:i w:val="0"/>
        </w:rPr>
        <w:t>.</w:t>
      </w:r>
    </w:p>
    <w:p>
      <w:pPr>
        <w:keepNext/>
        <w:widowControl/>
      </w:pPr>
      <w:bookmarkStart w:id="1430" w:name="latin-record-1179"/>
      <w:bookmarkEnd w:id="1430"/>
      <w:r>
        <w:rPr>
          <w:b/>
          <w:i w:val="0"/>
        </w:rPr>
        <w:t>suspicari</w:t>
      </w:r>
      <w:r>
        <w:rPr>
          <w:b/>
          <w:i w:val="0"/>
        </w:rPr>
        <w:t>.</w:t>
      </w:r>
      <w:r>
        <w:rPr>
          <w:b w:val="0"/>
          <w:i w:val="0"/>
        </w:rPr>
        <w:t xml:space="preserve"> Printed forms: </w:t>
      </w:r>
      <w:r>
        <w:rPr>
          <w:b w:val="0"/>
          <w:i/>
        </w:rPr>
        <w:t>suspicetur</w:t>
      </w:r>
      <w:r>
        <w:rPr>
          <w:b w:val="0"/>
          <w:i w:val="0"/>
        </w:rPr>
        <w:t>.</w:t>
      </w:r>
    </w:p>
    <w:p>
      <w:pPr>
        <w:widowControl/>
      </w:pPr>
      <w:r>
        <w:rPr>
          <w:b w:val="0"/>
          <w:i w:val="0"/>
        </w:rPr>
        <w:t xml:space="preserve">Suspect or entertain a supposition. The warning forbids entertaining the thought that God’s being and activity occur by chance; this differs from suspicere, look upward. References: </w:t>
      </w:r>
      <w:hyperlink w:anchor="passage-ii-12-2">
        <w:r>
          <w:rPr>
            <w:color w:val="000000"/>
          </w:rPr>
          <w:t xml:space="preserve">II.12.2</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1431" w:name="latin-record-1180"/>
      <w:bookmarkEnd w:id="1431"/>
      <w:r>
        <w:rPr>
          <w:b/>
          <w:i w:val="0"/>
        </w:rPr>
        <w:t>tabernaculum / statua / pila</w:t>
      </w:r>
      <w:r>
        <w:rPr>
          <w:b/>
          <w:i w:val="0"/>
        </w:rPr>
        <w:t>.</w:t>
      </w:r>
      <w:r>
        <w:rPr>
          <w:b w:val="0"/>
          <w:i w:val="0"/>
        </w:rPr>
        <w:t xml:space="preserve"> Printed forms: </w:t>
      </w:r>
      <w:r>
        <w:rPr>
          <w:b w:val="0"/>
          <w:i/>
        </w:rPr>
        <w:t>pilae</w:t>
      </w:r>
      <w:r>
        <w:rPr>
          <w:b w:val="0"/>
          <w:i w:val="0"/>
        </w:rPr>
        <w:t xml:space="preserve">; </w:t>
      </w:r>
      <w:r>
        <w:rPr>
          <w:b w:val="0"/>
          <w:i/>
        </w:rPr>
        <w:t>pilam</w:t>
      </w:r>
      <w:r>
        <w:rPr>
          <w:b w:val="0"/>
          <w:i w:val="0"/>
        </w:rPr>
        <w:t xml:space="preserve">; </w:t>
      </w:r>
      <w:r>
        <w:rPr>
          <w:b w:val="0"/>
          <w:i/>
        </w:rPr>
        <w:t>statuae</w:t>
      </w:r>
      <w:r>
        <w:rPr>
          <w:b w:val="0"/>
          <w:i w:val="0"/>
        </w:rPr>
        <w:t xml:space="preserve">; </w:t>
      </w:r>
      <w:r>
        <w:rPr>
          <w:b w:val="0"/>
          <w:i/>
        </w:rPr>
        <w:t>tabernaculum</w:t>
      </w:r>
      <w:r>
        <w:rPr>
          <w:b w:val="0"/>
          <w:i w:val="0"/>
        </w:rPr>
        <w:t>.</w:t>
      </w:r>
    </w:p>
    <w:p>
      <w:pPr>
        <w:widowControl/>
      </w:pPr>
      <w:r>
        <w:rPr>
          <w:b w:val="0"/>
          <w:i w:val="0"/>
        </w:rPr>
        <w:t xml:space="preserve">Constructed display / figure / ball. The connected and balanced figures perform different actions from the movement of one ball. References: </w:t>
      </w:r>
      <w:hyperlink w:anchor="passage-ii-13-13">
        <w:r>
          <w:rPr>
            <w:color w:val="000000"/>
          </w:rPr>
          <w:t xml:space="preserve">II.13.13</w:t>
        </w:r>
      </w:hyperlink>
      <w:r>
        <w:rPr>
          <w:b w:val="0"/>
          <w:i w:val="0"/>
        </w:rPr>
        <w:t xml:space="preserve">. See </w:t>
      </w:r>
      <w:hyperlink w:anchor="florentine-mechanism">
        <w:r>
          <w:rPr>
            <w:color w:val="000000"/>
          </w:rPr>
          <w:t xml:space="preserve">Florentine mechanism</w:t>
        </w:r>
      </w:hyperlink>
      <w:r>
        <w:rPr>
          <w:b w:val="0"/>
          <w:i w:val="0"/>
        </w:rPr>
        <w:t>.</w:t>
      </w:r>
    </w:p>
    <w:p>
      <w:pPr>
        <w:keepNext/>
        <w:widowControl/>
      </w:pPr>
      <w:bookmarkStart w:id="1432" w:name="latin-record-1181"/>
      <w:bookmarkEnd w:id="1432"/>
      <w:r>
        <w:rPr>
          <w:b/>
          <w:i w:val="0"/>
        </w:rPr>
        <w:t>tabula / pingere / color</w:t>
      </w:r>
      <w:r>
        <w:rPr>
          <w:b/>
          <w:i w:val="0"/>
        </w:rPr>
        <w:t>.</w:t>
      </w:r>
      <w:r>
        <w:rPr>
          <w:b w:val="0"/>
          <w:i w:val="0"/>
        </w:rPr>
        <w:t xml:space="preserve"> Printed forms: </w:t>
      </w:r>
      <w:r>
        <w:rPr>
          <w:b w:val="0"/>
          <w:i/>
        </w:rPr>
        <w:t>coloribus</w:t>
      </w:r>
      <w:r>
        <w:rPr>
          <w:b w:val="0"/>
          <w:i w:val="0"/>
        </w:rPr>
        <w:t xml:space="preserve">; </w:t>
      </w:r>
      <w:r>
        <w:rPr>
          <w:b w:val="0"/>
          <w:i/>
        </w:rPr>
        <w:t>pingendi</w:t>
      </w:r>
      <w:r>
        <w:rPr>
          <w:b w:val="0"/>
          <w:i w:val="0"/>
        </w:rPr>
        <w:t xml:space="preserve">; </w:t>
      </w:r>
      <w:r>
        <w:rPr>
          <w:b w:val="0"/>
          <w:i/>
        </w:rPr>
        <w:t>pingere</w:t>
      </w:r>
      <w:r>
        <w:rPr>
          <w:b w:val="0"/>
          <w:i w:val="0"/>
        </w:rPr>
        <w:t xml:space="preserve">; </w:t>
      </w:r>
      <w:r>
        <w:rPr>
          <w:b w:val="0"/>
          <w:i/>
        </w:rPr>
        <w:t>tabula</w:t>
      </w:r>
      <w:r>
        <w:rPr>
          <w:b w:val="0"/>
          <w:i w:val="0"/>
        </w:rPr>
        <w:t>.</w:t>
      </w:r>
    </w:p>
    <w:p>
      <w:pPr>
        <w:widowControl/>
      </w:pPr>
      <w:r>
        <w:rPr>
          <w:b w:val="0"/>
          <w:i w:val="0"/>
        </w:rPr>
        <w:t xml:space="preserve">Panel / paint / color. Painting proceeds flower by flower and later becomes the metaphor for soul’s gradual intellectual and ethical self-formation. References: </w:t>
      </w:r>
      <w:hyperlink w:anchor="passage-iii-1-27">
        <w:r>
          <w:rPr>
            <w:color w:val="000000"/>
          </w:rPr>
          <w:t xml:space="preserve">III.1.27</w:t>
        </w:r>
      </w:hyperlink>
      <w:r>
        <w:rPr>
          <w:b w:val="0"/>
          <w:i w:val="0"/>
        </w:rPr>
        <w:t xml:space="preserve">, </w:t>
      </w:r>
      <w:hyperlink w:anchor="passage-iii-1-28">
        <w:r>
          <w:rPr>
            <w:color w:val="000000"/>
          </w:rPr>
          <w:t xml:space="preserve">III.1.28</w:t>
        </w:r>
      </w:hyperlink>
      <w:r>
        <w:rPr>
          <w:b w:val="0"/>
          <w:i w:val="0"/>
        </w:rPr>
        <w:t xml:space="preserve">, </w:t>
      </w:r>
      <w:hyperlink w:anchor="passage-iii-1-31">
        <w:r>
          <w:rPr>
            <w:color w:val="000000"/>
          </w:rPr>
          <w:t xml:space="preserve">III.1.31</w:t>
        </w:r>
      </w:hyperlink>
      <w:r>
        <w:rPr>
          <w:b w:val="0"/>
          <w:i w:val="0"/>
        </w:rPr>
        <w:t xml:space="preserve">. See </w:t>
      </w:r>
      <w:hyperlink w:anchor="apelles-and-the-meadow">
        <w:r>
          <w:rPr>
            <w:color w:val="000000"/>
          </w:rPr>
          <w:t xml:space="preserve">Apelles and the meadow</w:t>
        </w:r>
      </w:hyperlink>
      <w:r>
        <w:rPr>
          <w:b w:val="0"/>
          <w:i w:val="0"/>
        </w:rPr>
        <w:t>.</w:t>
      </w:r>
    </w:p>
    <w:p>
      <w:pPr>
        <w:keepNext/>
        <w:widowControl/>
      </w:pPr>
      <w:bookmarkStart w:id="1433" w:name="latin-record-1182"/>
      <w:bookmarkEnd w:id="1433"/>
      <w:r>
        <w:rPr>
          <w:b/>
          <w:i w:val="0"/>
        </w:rPr>
        <w:t>tangere</w:t>
      </w:r>
      <w:r>
        <w:rPr>
          <w:b/>
          <w:i w:val="0"/>
        </w:rPr>
        <w:t>.</w:t>
      </w:r>
      <w:r>
        <w:rPr>
          <w:b w:val="0"/>
          <w:i w:val="0"/>
        </w:rPr>
        <w:t xml:space="preserve"> Printed forms: </w:t>
      </w:r>
      <w:r>
        <w:rPr>
          <w:b w:val="0"/>
          <w:i/>
        </w:rPr>
        <w:t>tangendum</w:t>
      </w:r>
      <w:r>
        <w:rPr>
          <w:b w:val="0"/>
          <w:i w:val="0"/>
        </w:rPr>
        <w:t xml:space="preserve">; </w:t>
      </w:r>
      <w:r>
        <w:rPr>
          <w:b w:val="0"/>
          <w:i/>
        </w:rPr>
        <w:t>tangit</w:t>
      </w:r>
      <w:r>
        <w:rPr>
          <w:b w:val="0"/>
          <w:i w:val="0"/>
        </w:rPr>
        <w:t>.</w:t>
      </w:r>
    </w:p>
    <w:p>
      <w:pPr>
        <w:widowControl/>
      </w:pPr>
      <w:r>
        <w:rPr>
          <w:b w:val="0"/>
          <w:i w:val="0"/>
        </w:rPr>
        <w:t xml:space="preserve">Touch or reach. Soul’s contact cannot be confined to one bodily point and is later explained through indivisible power rather than quantitative breadth. References: </w:t>
      </w:r>
      <w:hyperlink w:anchor="passage-iii-2-9">
        <w:r>
          <w:rPr>
            <w:color w:val="000000"/>
          </w:rPr>
          <w:t xml:space="preserve">III.2.9</w:t>
        </w:r>
      </w:hyperlink>
      <w:r>
        <w:rPr>
          <w:b w:val="0"/>
          <w:i w:val="0"/>
        </w:rPr>
        <w:t xml:space="preserve">, </w:t>
      </w:r>
      <w:hyperlink w:anchor="passage-iii-2-19">
        <w:r>
          <w:rPr>
            <w:color w:val="000000"/>
          </w:rPr>
          <w:t xml:space="preserve">III.2.19</w:t>
        </w:r>
      </w:hyperlink>
      <w:r>
        <w:rPr>
          <w:b w:val="0"/>
          <w:i w:val="0"/>
        </w:rPr>
        <w:t xml:space="preserve">. See </w:t>
      </w:r>
      <w:hyperlink w:anchor="point-and-position">
        <w:r>
          <w:rPr>
            <w:color w:val="000000"/>
          </w:rPr>
          <w:t xml:space="preserve">Point and position</w:t>
        </w:r>
      </w:hyperlink>
      <w:r>
        <w:rPr>
          <w:b w:val="0"/>
          <w:i w:val="0"/>
        </w:rPr>
        <w:t>.</w:t>
      </w:r>
    </w:p>
    <w:p>
      <w:pPr>
        <w:keepNext/>
        <w:widowControl/>
      </w:pPr>
      <w:bookmarkStart w:id="1434" w:name="latin-record-1183"/>
      <w:bookmarkEnd w:id="1434"/>
      <w:r>
        <w:rPr>
          <w:b/>
          <w:i w:val="0"/>
        </w:rPr>
        <w:t>tangere / attingere</w:t>
      </w:r>
      <w:r>
        <w:rPr>
          <w:b/>
          <w:i w:val="0"/>
        </w:rPr>
        <w:t>.</w:t>
      </w:r>
      <w:r>
        <w:rPr>
          <w:b w:val="0"/>
          <w:i w:val="0"/>
        </w:rPr>
        <w:t xml:space="preserve"> Printed forms: </w:t>
      </w:r>
      <w:r>
        <w:rPr>
          <w:b w:val="0"/>
          <w:i/>
        </w:rPr>
        <w:t>attingeret</w:t>
      </w:r>
      <w:r>
        <w:rPr>
          <w:b w:val="0"/>
          <w:i w:val="0"/>
        </w:rPr>
        <w:t xml:space="preserve">; </w:t>
      </w:r>
      <w:r>
        <w:rPr>
          <w:b w:val="0"/>
          <w:i/>
        </w:rPr>
        <w:t>Attingit</w:t>
      </w:r>
      <w:r>
        <w:rPr>
          <w:b w:val="0"/>
          <w:i w:val="0"/>
        </w:rPr>
        <w:t xml:space="preserve">; </w:t>
      </w:r>
      <w:r>
        <w:rPr>
          <w:b w:val="0"/>
          <w:i/>
        </w:rPr>
        <w:t>attingit</w:t>
      </w:r>
      <w:r>
        <w:rPr>
          <w:b w:val="0"/>
          <w:i w:val="0"/>
        </w:rPr>
        <w:t xml:space="preserve">; </w:t>
      </w:r>
      <w:r>
        <w:rPr>
          <w:b w:val="0"/>
          <w:i/>
        </w:rPr>
        <w:t>attingunt</w:t>
      </w:r>
      <w:r>
        <w:rPr>
          <w:b w:val="0"/>
          <w:i w:val="0"/>
        </w:rPr>
        <w:t xml:space="preserve">; </w:t>
      </w:r>
      <w:r>
        <w:rPr>
          <w:b w:val="0"/>
          <w:i/>
        </w:rPr>
        <w:t>tangent</w:t>
      </w:r>
      <w:r>
        <w:rPr>
          <w:b w:val="0"/>
          <w:i w:val="0"/>
        </w:rPr>
        <w:t xml:space="preserve">; </w:t>
      </w:r>
      <w:r>
        <w:rPr>
          <w:b w:val="0"/>
          <w:i/>
        </w:rPr>
        <w:t>tangi</w:t>
      </w:r>
      <w:r>
        <w:rPr>
          <w:b w:val="0"/>
          <w:i w:val="0"/>
        </w:rPr>
        <w:t xml:space="preserve">; </w:t>
      </w:r>
      <w:r>
        <w:rPr>
          <w:b w:val="0"/>
          <w:i/>
        </w:rPr>
        <w:t>tangit</w:t>
      </w:r>
      <w:r>
        <w:rPr>
          <w:b w:val="0"/>
          <w:i w:val="0"/>
        </w:rPr>
        <w:t>.</w:t>
      </w:r>
    </w:p>
    <w:p>
      <w:pPr>
        <w:widowControl/>
      </w:pPr>
      <w:r>
        <w:rPr>
          <w:b w:val="0"/>
          <w:i w:val="0"/>
        </w:rPr>
        <w:t xml:space="preserve">To touch or reach, with the mode determined by bodily or spiritual subject. Incorporeal contact is through power rather than quantitative dimensions; mental reaching is not bodily travel. References: </w:t>
      </w:r>
      <w:hyperlink w:anchor="passage-ii-6-1">
        <w:r>
          <w:rPr>
            <w:color w:val="000000"/>
          </w:rPr>
          <w:t xml:space="preserve">II.6.1</w:t>
        </w:r>
      </w:hyperlink>
      <w:r>
        <w:rPr>
          <w:b w:val="0"/>
          <w:i w:val="0"/>
        </w:rPr>
        <w:t xml:space="preserve">, </w:t>
      </w:r>
      <w:hyperlink w:anchor="passage-ii-6-17">
        <w:r>
          <w:rPr>
            <w:color w:val="000000"/>
          </w:rPr>
          <w:t xml:space="preserve">II.6.17</w:t>
        </w:r>
      </w:hyperlink>
      <w:r>
        <w:rPr>
          <w:b w:val="0"/>
          <w:i w:val="0"/>
        </w:rPr>
        <w:t xml:space="preserve">, </w:t>
      </w:r>
      <w:hyperlink w:anchor="passage-ii-6-23">
        <w:r>
          <w:rPr>
            <w:color w:val="000000"/>
          </w:rPr>
          <w:t xml:space="preserve">II.6.23</w:t>
        </w:r>
      </w:hyperlink>
      <w:r>
        <w:rPr>
          <w:b w:val="0"/>
          <w:i w:val="0"/>
        </w:rPr>
        <w:t xml:space="preserve">. See </w:t>
      </w:r>
      <w:hyperlink w:anchor="touch-and-penetration">
        <w:r>
          <w:rPr>
            <w:color w:val="000000"/>
          </w:rPr>
          <w:t xml:space="preserve">Touch and penetration</w:t>
        </w:r>
      </w:hyperlink>
      <w:r>
        <w:rPr>
          <w:b w:val="0"/>
          <w:i w:val="0"/>
        </w:rPr>
        <w:t>.</w:t>
      </w:r>
    </w:p>
    <w:p>
      <w:pPr>
        <w:widowControl/>
      </w:pPr>
      <w:r>
        <w:rPr>
          <w:b w:val="0"/>
          <w:i w:val="0"/>
        </w:rPr>
        <w:t xml:space="preserve">To touch or reach, physically or through mediating power. Contact between sphere surfaces, alleged daemon tangibility, craft’s surface action, and mind’s bodily reach are different constructions. References: </w:t>
      </w:r>
      <w:hyperlink w:anchor="passage-iv-1-13">
        <w:r>
          <w:rPr>
            <w:color w:val="000000"/>
          </w:rPr>
          <w:t xml:space="preserve">IV.1.13</w:t>
        </w:r>
      </w:hyperlink>
      <w:r>
        <w:rPr>
          <w:b w:val="0"/>
          <w:i w:val="0"/>
        </w:rPr>
        <w:t xml:space="preserve">, </w:t>
      </w:r>
      <w:hyperlink w:anchor="passage-iv-1-31">
        <w:r>
          <w:rPr>
            <w:color w:val="000000"/>
          </w:rPr>
          <w:t xml:space="preserve">IV.1.31</w:t>
        </w:r>
      </w:hyperlink>
      <w:r>
        <w:rPr>
          <w:b w:val="0"/>
          <w:i w:val="0"/>
        </w:rPr>
        <w:t xml:space="preserve">, </w:t>
      </w:r>
      <w:hyperlink w:anchor="passage-iv-1-39">
        <w:r>
          <w:rPr>
            <w:color w:val="000000"/>
          </w:rPr>
          <w:t xml:space="preserve">IV.1.39</w:t>
        </w:r>
      </w:hyperlink>
      <w:r>
        <w:rPr>
          <w:b w:val="0"/>
          <w:i w:val="0"/>
        </w:rPr>
        <w:t xml:space="preserve">, </w:t>
      </w:r>
      <w:hyperlink w:anchor="passage-iv-2-25">
        <w:r>
          <w:rPr>
            <w:color w:val="000000"/>
          </w:rPr>
          <w:t xml:space="preserve">IV.2.25</w:t>
        </w:r>
      </w:hyperlink>
      <w:r>
        <w:rPr>
          <w:b w:val="0"/>
          <w:i w:val="0"/>
        </w:rPr>
        <w:t xml:space="preserve">. See </w:t>
      </w:r>
      <w:hyperlink w:anchor="proximity-and-causal-presence">
        <w:r>
          <w:rPr>
            <w:color w:val="000000"/>
          </w:rPr>
          <w:t xml:space="preserve">Proximity and causal presence</w:t>
        </w:r>
      </w:hyperlink>
      <w:r>
        <w:rPr>
          <w:b w:val="0"/>
          <w:i w:val="0"/>
        </w:rPr>
        <w:t>.</w:t>
      </w:r>
    </w:p>
    <w:p>
      <w:pPr>
        <w:keepNext/>
        <w:widowControl/>
      </w:pPr>
      <w:bookmarkStart w:id="1435" w:name="latin-record-1184"/>
      <w:bookmarkEnd w:id="1435"/>
      <w:r>
        <w:rPr>
          <w:b/>
          <w:i w:val="0"/>
        </w:rPr>
        <w:t>temperantia / intemperantia</w:t>
      </w:r>
      <w:r>
        <w:rPr>
          <w:b/>
          <w:i w:val="0"/>
        </w:rPr>
        <w:t>.</w:t>
      </w:r>
      <w:r>
        <w:rPr>
          <w:b w:val="0"/>
          <w:i w:val="0"/>
        </w:rPr>
        <w:t xml:space="preserve"> Printed forms: </w:t>
      </w:r>
      <w:r>
        <w:rPr>
          <w:b w:val="0"/>
          <w:i/>
        </w:rPr>
        <w:t>intemperantia</w:t>
      </w:r>
      <w:r>
        <w:rPr>
          <w:b w:val="0"/>
          <w:i w:val="0"/>
        </w:rPr>
        <w:t xml:space="preserve">; </w:t>
      </w:r>
      <w:r>
        <w:rPr>
          <w:b w:val="0"/>
          <w:i/>
        </w:rPr>
        <w:t>temperantiam</w:t>
      </w:r>
      <w:r>
        <w:rPr>
          <w:b w:val="0"/>
          <w:i w:val="0"/>
        </w:rPr>
        <w:t>.</w:t>
      </w:r>
    </w:p>
    <w:p>
      <w:pPr>
        <w:widowControl/>
      </w:pPr>
      <w:r>
        <w:rPr>
          <w:b w:val="0"/>
          <w:i w:val="0"/>
        </w:rPr>
        <w:t xml:space="preserve">Balanced and imbalanced bodily condition. The contrast concerns fitness for life and cognition, not primarily ethical self-restraint. References: </w:t>
      </w:r>
      <w:hyperlink w:anchor="passage-iv-1-73">
        <w:r>
          <w:rPr>
            <w:color w:val="000000"/>
          </w:rPr>
          <w:t xml:space="preserve">IV.1.73</w:t>
        </w:r>
      </w:hyperlink>
      <w:r>
        <w:rPr>
          <w:b w:val="0"/>
          <w:i w:val="0"/>
        </w:rPr>
        <w:t xml:space="preserve">. See </w:t>
      </w:r>
      <w:hyperlink w:anchor="purity-and-mixture">
        <w:r>
          <w:rPr>
            <w:color w:val="000000"/>
          </w:rPr>
          <w:t xml:space="preserve">Purity and mixture</w:t>
        </w:r>
      </w:hyperlink>
      <w:r>
        <w:rPr>
          <w:b w:val="0"/>
          <w:i w:val="0"/>
        </w:rPr>
        <w:t>.</w:t>
      </w:r>
    </w:p>
    <w:p>
      <w:pPr>
        <w:keepNext/>
        <w:widowControl/>
      </w:pPr>
      <w:bookmarkStart w:id="1436" w:name="latin-record-1185"/>
      <w:bookmarkEnd w:id="1436"/>
      <w:r>
        <w:rPr>
          <w:b/>
          <w:i w:val="0"/>
        </w:rPr>
        <w:t>temperare</w:t>
      </w:r>
      <w:r>
        <w:rPr>
          <w:b/>
          <w:i w:val="0"/>
        </w:rPr>
        <w:t>.</w:t>
      </w:r>
      <w:r>
        <w:rPr>
          <w:b w:val="0"/>
          <w:i w:val="0"/>
        </w:rPr>
        <w:t xml:space="preserve"> Printed forms: </w:t>
      </w:r>
      <w:r>
        <w:rPr>
          <w:b w:val="0"/>
          <w:i/>
        </w:rPr>
        <w:t>temperans</w:t>
      </w:r>
      <w:r>
        <w:rPr>
          <w:b w:val="0"/>
          <w:i w:val="0"/>
        </w:rPr>
        <w:t xml:space="preserve">; </w:t>
      </w:r>
      <w:r>
        <w:rPr>
          <w:b w:val="0"/>
          <w:i/>
        </w:rPr>
        <w:t>temperas</w:t>
      </w:r>
      <w:r>
        <w:rPr>
          <w:b w:val="0"/>
          <w:i w:val="0"/>
        </w:rPr>
        <w:t xml:space="preserve">; </w:t>
      </w:r>
      <w:r>
        <w:rPr>
          <w:b w:val="0"/>
          <w:i/>
        </w:rPr>
        <w:t>temperat</w:t>
      </w:r>
      <w:r>
        <w:rPr>
          <w:b w:val="0"/>
          <w:i w:val="0"/>
        </w:rPr>
        <w:t>.</w:t>
      </w:r>
    </w:p>
    <w:p>
      <w:pPr>
        <w:widowControl/>
      </w:pPr>
      <w:r>
        <w:rPr>
          <w:b w:val="0"/>
          <w:i w:val="0"/>
        </w:rPr>
        <w:t xml:space="preserve">Moderate or bring into a fitting condition. Heaven is said to temper earth and water in the historical account of provisioning living things. References: </w:t>
      </w:r>
      <w:hyperlink w:anchor="passage-ii-13-16">
        <w:r>
          <w:rPr>
            <w:color w:val="000000"/>
          </w:rPr>
          <w:t xml:space="preserve">II.13.16</w:t>
        </w:r>
      </w:hyperlink>
      <w:r>
        <w:rPr>
          <w:b w:val="0"/>
          <w:i w:val="0"/>
        </w:rPr>
        <w:t xml:space="preserve">. See </w:t>
      </w:r>
      <w:hyperlink w:anchor="nourishment-and-provision">
        <w:r>
          <w:rPr>
            <w:color w:val="000000"/>
          </w:rPr>
          <w:t xml:space="preserve">Providential provision</w:t>
        </w:r>
      </w:hyperlink>
      <w:r>
        <w:rPr>
          <w:b w:val="0"/>
          <w:i w:val="0"/>
        </w:rPr>
        <w:t>.</w:t>
      </w:r>
    </w:p>
    <w:p>
      <w:pPr>
        <w:widowControl/>
      </w:pPr>
      <w:r>
        <w:rPr>
          <w:b w:val="0"/>
          <w:i w:val="0"/>
        </w:rPr>
        <w:t xml:space="preserve">To order or regulate by fitting adjustment; to tune. Nature orders matter inwardly, while Apollo tunes heaven through the musical comparison. References: </w:t>
      </w:r>
      <w:hyperlink w:anchor="passage-iv-1-11">
        <w:r>
          <w:rPr>
            <w:color w:val="000000"/>
          </w:rPr>
          <w:t xml:space="preserve">IV.1.11</w:t>
        </w:r>
      </w:hyperlink>
      <w:r>
        <w:rPr>
          <w:b w:val="0"/>
          <w:i w:val="0"/>
        </w:rPr>
        <w:t xml:space="preserve">, </w:t>
      </w:r>
      <w:hyperlink w:anchor="passage-iv-1-52">
        <w:r>
          <w:rPr>
            <w:color w:val="000000"/>
          </w:rPr>
          <w:t xml:space="preserve">IV.1.52</w:t>
        </w:r>
      </w:hyperlink>
      <w:r>
        <w:rPr>
          <w:b w:val="0"/>
          <w:i w:val="0"/>
        </w:rPr>
        <w:t xml:space="preserve">. See </w:t>
      </w:r>
      <w:hyperlink w:anchor="art-and-nature">
        <w:r>
          <w:rPr>
            <w:color w:val="000000"/>
          </w:rPr>
          <w:t xml:space="preserve">Art and nature</w:t>
        </w:r>
      </w:hyperlink>
      <w:r>
        <w:rPr>
          <w:b w:val="0"/>
          <w:i w:val="0"/>
        </w:rPr>
        <w:t>.</w:t>
      </w:r>
    </w:p>
    <w:p>
      <w:pPr>
        <w:keepNext/>
        <w:widowControl/>
      </w:pPr>
      <w:bookmarkStart w:id="1437" w:name="latin-record-1186"/>
      <w:bookmarkEnd w:id="1437"/>
      <w:r>
        <w:rPr>
          <w:b/>
          <w:i w:val="0"/>
        </w:rPr>
        <w:t>temperatio / aequabilis</w:t>
      </w:r>
      <w:r>
        <w:rPr>
          <w:b/>
          <w:i w:val="0"/>
        </w:rPr>
        <w:t>.</w:t>
      </w:r>
      <w:r>
        <w:rPr>
          <w:b w:val="0"/>
          <w:i w:val="0"/>
        </w:rPr>
        <w:t xml:space="preserve"> Printed forms: </w:t>
      </w:r>
      <w:r>
        <w:rPr>
          <w:b w:val="0"/>
          <w:i/>
        </w:rPr>
        <w:t>aequabilior</w:t>
      </w:r>
      <w:r>
        <w:rPr>
          <w:b w:val="0"/>
          <w:i w:val="0"/>
        </w:rPr>
        <w:t xml:space="preserve">; </w:t>
      </w:r>
      <w:r>
        <w:rPr>
          <w:b w:val="0"/>
          <w:i/>
        </w:rPr>
        <w:t>temperatio</w:t>
      </w:r>
      <w:r>
        <w:rPr>
          <w:b w:val="0"/>
          <w:i w:val="0"/>
        </w:rPr>
        <w:t xml:space="preserve">; </w:t>
      </w:r>
      <w:r>
        <w:rPr>
          <w:b w:val="0"/>
          <w:i/>
        </w:rPr>
        <w:t>temperatione</w:t>
      </w:r>
      <w:r>
        <w:rPr>
          <w:b w:val="0"/>
          <w:i w:val="0"/>
        </w:rPr>
        <w:t>.</w:t>
      </w:r>
    </w:p>
    <w:p>
      <w:pPr>
        <w:widowControl/>
      </w:pPr>
      <w:r>
        <w:rPr>
          <w:b w:val="0"/>
          <w:i w:val="0"/>
        </w:rPr>
        <w:t xml:space="preserve">An ordered constitution; more uniform. The argument compares heavenly arrangement with the constitution moving animal limbs, without describing the bronze device’s mechanics. References: </w:t>
      </w:r>
      <w:hyperlink w:anchor="passage-iv-1-63">
        <w:r>
          <w:rPr>
            <w:color w:val="000000"/>
          </w:rPr>
          <w:t xml:space="preserve">IV.1.63</w:t>
        </w:r>
      </w:hyperlink>
      <w:r>
        <w:rPr>
          <w:b w:val="0"/>
          <w:i w:val="0"/>
        </w:rPr>
        <w:t xml:space="preserve">. See </w:t>
      </w:r>
      <w:hyperlink w:anchor="archimedes-and-bronze-spheres">
        <w:r>
          <w:rPr>
            <w:color w:val="000000"/>
          </w:rPr>
          <w:t xml:space="preserve">Archimedes and the bronze spheres</w:t>
        </w:r>
      </w:hyperlink>
      <w:r>
        <w:rPr>
          <w:b w:val="0"/>
          <w:i w:val="0"/>
        </w:rPr>
        <w:t>.</w:t>
      </w:r>
    </w:p>
    <w:p>
      <w:pPr>
        <w:keepNext/>
        <w:widowControl/>
      </w:pPr>
      <w:bookmarkStart w:id="1438" w:name="latin-record-1187"/>
      <w:bookmarkEnd w:id="1438"/>
      <w:r>
        <w:rPr>
          <w:b/>
          <w:i w:val="0"/>
        </w:rPr>
        <w:t>tempus / temporalis</w:t>
      </w:r>
      <w:r>
        <w:rPr>
          <w:b/>
          <w:i w:val="0"/>
        </w:rPr>
        <w:t>.</w:t>
      </w:r>
      <w:r>
        <w:rPr>
          <w:b w:val="0"/>
          <w:i w:val="0"/>
        </w:rPr>
        <w:t xml:space="preserve"> Printed forms: </w:t>
      </w:r>
      <w:r>
        <w:rPr>
          <w:b w:val="0"/>
          <w:i/>
        </w:rPr>
        <w:t>temporale</w:t>
      </w:r>
      <w:r>
        <w:rPr>
          <w:b w:val="0"/>
          <w:i w:val="0"/>
        </w:rPr>
        <w:t xml:space="preserve">; </w:t>
      </w:r>
      <w:r>
        <w:rPr>
          <w:b w:val="0"/>
          <w:i/>
        </w:rPr>
        <w:t>temporalem</w:t>
      </w:r>
      <w:r>
        <w:rPr>
          <w:b w:val="0"/>
          <w:i w:val="0"/>
        </w:rPr>
        <w:t xml:space="preserve">; </w:t>
      </w:r>
      <w:r>
        <w:rPr>
          <w:b w:val="0"/>
          <w:i/>
        </w:rPr>
        <w:t>temporali</w:t>
      </w:r>
      <w:r>
        <w:rPr>
          <w:b w:val="0"/>
          <w:i w:val="0"/>
        </w:rPr>
        <w:t xml:space="preserve">; </w:t>
      </w:r>
      <w:r>
        <w:rPr>
          <w:b w:val="0"/>
          <w:i/>
        </w:rPr>
        <w:t>temporalis</w:t>
      </w:r>
      <w:r>
        <w:rPr>
          <w:b w:val="0"/>
          <w:i w:val="0"/>
        </w:rPr>
        <w:t xml:space="preserve">; </w:t>
      </w:r>
      <w:r>
        <w:rPr>
          <w:b w:val="0"/>
          <w:i/>
        </w:rPr>
        <w:t>temporis</w:t>
      </w:r>
      <w:r>
        <w:rPr>
          <w:b w:val="0"/>
          <w:i w:val="0"/>
        </w:rPr>
        <w:t xml:space="preserve">; </w:t>
      </w:r>
      <w:r>
        <w:rPr>
          <w:b w:val="0"/>
          <w:i/>
        </w:rPr>
        <w:t>tempus</w:t>
      </w:r>
      <w:r>
        <w:rPr>
          <w:b w:val="0"/>
          <w:i w:val="0"/>
        </w:rPr>
        <w:t xml:space="preserve">; </w:t>
      </w:r>
      <w:r>
        <w:rPr>
          <w:b w:val="0"/>
          <w:i/>
        </w:rPr>
        <w:t>tempusque</w:t>
      </w:r>
      <w:r>
        <w:rPr>
          <w:b w:val="0"/>
          <w:i w:val="0"/>
        </w:rPr>
        <w:t>.</w:t>
      </w:r>
    </w:p>
    <w:p>
      <w:pPr>
        <w:widowControl/>
      </w:pPr>
      <w:r>
        <w:rPr>
          <w:b w:val="0"/>
          <w:i w:val="0"/>
        </w:rPr>
        <w:t xml:space="preserve">Time and temporal succession, as distinguished from stable eternity. Temporal moments and endless progression differ from the simple duration called divine sempiternity. References: </w:t>
      </w:r>
      <w:hyperlink w:anchor="passage-ii-5-1">
        <w:r>
          <w:rPr>
            <w:color w:val="000000"/>
          </w:rPr>
          <w:t xml:space="preserve">II.5.1</w:t>
        </w:r>
      </w:hyperlink>
      <w:r>
        <w:rPr>
          <w:b w:val="0"/>
          <w:i w:val="0"/>
        </w:rPr>
        <w:t xml:space="preserve">, </w:t>
      </w:r>
      <w:hyperlink w:anchor="passage-ii-6-17">
        <w:r>
          <w:rPr>
            <w:color w:val="000000"/>
          </w:rPr>
          <w:t xml:space="preserve">II.6.17</w:t>
        </w:r>
      </w:hyperlink>
      <w:r>
        <w:rPr>
          <w:b w:val="0"/>
          <w:i w:val="0"/>
        </w:rPr>
        <w:t xml:space="preserve">, </w:t>
      </w:r>
      <w:hyperlink w:anchor="passage-ii-10-3">
        <w:r>
          <w:rPr>
            <w:color w:val="000000"/>
          </w:rPr>
          <w:t xml:space="preserve">II.10.3</w:t>
        </w:r>
      </w:hyperlink>
      <w:r>
        <w:rPr>
          <w:b w:val="0"/>
          <w:i w:val="0"/>
        </w:rPr>
        <w:t xml:space="preserve">. See </w:t>
      </w:r>
      <w:hyperlink w:anchor="eternity-and-time">
        <w:r>
          <w:rPr>
            <w:color w:val="000000"/>
          </w:rPr>
          <w:t xml:space="preserve">Eternity and time</w:t>
        </w:r>
      </w:hyperlink>
      <w:r>
        <w:rPr>
          <w:b w:val="0"/>
          <w:i w:val="0"/>
        </w:rPr>
        <w:t>.</w:t>
      </w:r>
    </w:p>
    <w:p>
      <w:pPr>
        <w:widowControl/>
      </w:pPr>
      <w:r>
        <w:rPr>
          <w:b w:val="0"/>
          <w:i w:val="0"/>
        </w:rPr>
        <w:t xml:space="preserve">Time / temporal. Soul’s operation runs through succession; this temporal division differs from spatial partition of its substance. References: </w:t>
      </w:r>
      <w:hyperlink w:anchor="passage-iii-1-28">
        <w:r>
          <w:rPr>
            <w:color w:val="000000"/>
          </w:rPr>
          <w:t xml:space="preserve">III.1.28</w:t>
        </w:r>
      </w:hyperlink>
      <w:r>
        <w:rPr>
          <w:b w:val="0"/>
          <w:i w:val="0"/>
        </w:rPr>
        <w:t xml:space="preserve">, </w:t>
      </w:r>
      <w:hyperlink w:anchor="passage-iii-2-21">
        <w:r>
          <w:rPr>
            <w:color w:val="000000"/>
          </w:rPr>
          <w:t xml:space="preserve">III.2.21</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1439" w:name="latin-record-1188"/>
      <w:bookmarkEnd w:id="1439"/>
      <w:r>
        <w:rPr>
          <w:b/>
          <w:i w:val="0"/>
        </w:rPr>
        <w:t>tenebrae / caecus</w:t>
      </w:r>
      <w:r>
        <w:rPr>
          <w:b/>
          <w:i w:val="0"/>
        </w:rPr>
        <w:t>.</w:t>
      </w:r>
      <w:r>
        <w:rPr>
          <w:b w:val="0"/>
          <w:i w:val="0"/>
        </w:rPr>
        <w:t xml:space="preserve"> Printed forms: </w:t>
      </w:r>
      <w:r>
        <w:rPr>
          <w:b w:val="0"/>
          <w:i/>
        </w:rPr>
        <w:t>caeco</w:t>
      </w:r>
      <w:r>
        <w:rPr>
          <w:b w:val="0"/>
          <w:i w:val="0"/>
        </w:rPr>
        <w:t xml:space="preserve">; </w:t>
      </w:r>
      <w:r>
        <w:rPr>
          <w:b w:val="0"/>
          <w:i/>
        </w:rPr>
        <w:t>tenebris</w:t>
      </w:r>
      <w:r>
        <w:rPr>
          <w:b w:val="0"/>
          <w:i w:val="0"/>
        </w:rPr>
        <w:t>.</w:t>
      </w:r>
    </w:p>
    <w:p>
      <w:pPr>
        <w:widowControl/>
      </w:pPr>
      <w:r>
        <w:rPr>
          <w:b w:val="0"/>
          <w:i w:val="0"/>
        </w:rPr>
        <w:t xml:space="preserve">Darkness and blind or unlit. Bodily confinement is portrayed as darkness preventing sight of the soul’s divinity; the image diagnoses spiritual inattention rather than visual disability. References: </w:t>
      </w:r>
      <w:hyperlink w:anchor="passage-i-1-2">
        <w:r>
          <w:rPr>
            <w:color w:val="000000"/>
          </w:rPr>
          <w:t xml:space="preserve">I.1.2</w:t>
        </w:r>
      </w:hyperlink>
      <w:r>
        <w:rPr>
          <w:b w:val="0"/>
          <w:i w:val="0"/>
        </w:rPr>
        <w:t xml:space="preserve">. See </w:t>
      </w:r>
      <w:hyperlink w:anchor="prison-and-homeland">
        <w:r>
          <w:rPr>
            <w:color w:val="000000"/>
          </w:rPr>
          <w:t xml:space="preserve">Prison and homeland</w:t>
        </w:r>
      </w:hyperlink>
      <w:r>
        <w:rPr>
          <w:b w:val="0"/>
          <w:i w:val="0"/>
        </w:rPr>
        <w:t>.</w:t>
      </w:r>
    </w:p>
    <w:p>
      <w:pPr>
        <w:keepNext/>
        <w:widowControl/>
      </w:pPr>
      <w:bookmarkStart w:id="1440" w:name="latin-record-1189"/>
      <w:bookmarkEnd w:id="1440"/>
      <w:r>
        <w:rPr>
          <w:b/>
          <w:i w:val="0"/>
        </w:rPr>
        <w:t>tenor</w:t>
      </w:r>
      <w:r>
        <w:rPr>
          <w:b/>
          <w:i w:val="0"/>
        </w:rPr>
        <w:t>.</w:t>
      </w:r>
      <w:r>
        <w:rPr>
          <w:b w:val="0"/>
          <w:i w:val="0"/>
        </w:rPr>
        <w:t xml:space="preserve"> Printed forms: </w:t>
      </w:r>
      <w:r>
        <w:rPr>
          <w:b w:val="0"/>
          <w:i/>
        </w:rPr>
        <w:t>tenore</w:t>
      </w:r>
      <w:r>
        <w:rPr>
          <w:b w:val="0"/>
          <w:i w:val="0"/>
        </w:rPr>
        <w:t>.</w:t>
      </w:r>
    </w:p>
    <w:p>
      <w:pPr>
        <w:widowControl/>
      </w:pPr>
      <w:r>
        <w:rPr>
          <w:b w:val="0"/>
          <w:i w:val="0"/>
        </w:rPr>
        <w:t xml:space="preserve">A consistent course or manner. Eodem semper tenore describes fire’s uniform manner of heating in the limited causal model. References: </w:t>
      </w:r>
      <w:hyperlink w:anchor="passage-ii-11-8">
        <w:r>
          <w:rPr>
            <w:color w:val="000000"/>
          </w:rPr>
          <w:t xml:space="preserve">II.11.8</w:t>
        </w:r>
      </w:hyperlink>
      <w:r>
        <w:rPr>
          <w:b w:val="0"/>
          <w:i w:val="0"/>
        </w:rPr>
        <w:t xml:space="preserve">. See </w:t>
      </w:r>
      <w:hyperlink w:anchor="fire-and-variable-materials">
        <w:r>
          <w:rPr>
            <w:color w:val="000000"/>
          </w:rPr>
          <w:t xml:space="preserve">Fire and variable materials</w:t>
        </w:r>
      </w:hyperlink>
      <w:r>
        <w:rPr>
          <w:b w:val="0"/>
          <w:i w:val="0"/>
        </w:rPr>
        <w:t>.</w:t>
      </w:r>
    </w:p>
    <w:p>
      <w:pPr>
        <w:keepNext/>
        <w:widowControl/>
      </w:pPr>
      <w:bookmarkStart w:id="1441" w:name="latin-record-1190"/>
      <w:bookmarkEnd w:id="1441"/>
      <w:r>
        <w:rPr>
          <w:b/>
          <w:i w:val="0"/>
        </w:rPr>
        <w:t>tenor / lex</w:t>
      </w:r>
      <w:r>
        <w:rPr>
          <w:b/>
          <w:i w:val="0"/>
        </w:rPr>
        <w:t>.</w:t>
      </w:r>
      <w:r>
        <w:rPr>
          <w:b w:val="0"/>
          <w:i w:val="0"/>
        </w:rPr>
        <w:t xml:space="preserve"> Printed forms: </w:t>
      </w:r>
      <w:r>
        <w:rPr>
          <w:b w:val="0"/>
          <w:i/>
        </w:rPr>
        <w:t>lege</w:t>
      </w:r>
      <w:r>
        <w:rPr>
          <w:b w:val="0"/>
          <w:i w:val="0"/>
        </w:rPr>
        <w:t xml:space="preserve">; </w:t>
      </w:r>
      <w:r>
        <w:rPr>
          <w:b w:val="0"/>
          <w:i/>
        </w:rPr>
        <w:t>tenorem</w:t>
      </w:r>
      <w:r>
        <w:rPr>
          <w:b w:val="0"/>
          <w:i w:val="0"/>
        </w:rPr>
        <w:t>.</w:t>
      </w:r>
    </w:p>
    <w:p>
      <w:pPr>
        <w:widowControl/>
      </w:pPr>
      <w:r>
        <w:rPr>
          <w:b w:val="0"/>
          <w:i w:val="0"/>
        </w:rPr>
        <w:t xml:space="preserve">A sustained course and an ordering law. Regular cosmic motion is attributed to stable higher direction; law here concerns cosmological order rather than a written civic statute. References: </w:t>
      </w:r>
      <w:hyperlink w:anchor="passage-i-5-18">
        <w:r>
          <w:rPr>
            <w:color w:val="000000"/>
          </w:rPr>
          <w:t xml:space="preserve">I.5.18</w:t>
        </w:r>
      </w:hyperlink>
      <w:r>
        <w:rPr>
          <w:b w:val="0"/>
          <w:i w:val="0"/>
        </w:rPr>
        <w:t xml:space="preserve">. See </w:t>
      </w:r>
      <w:hyperlink w:anchor="order-and-harmony">
        <w:r>
          <w:rPr>
            <w:color w:val="000000"/>
          </w:rPr>
          <w:t xml:space="preserve">Order and harmony</w:t>
        </w:r>
      </w:hyperlink>
      <w:r>
        <w:rPr>
          <w:b w:val="0"/>
          <w:i w:val="0"/>
        </w:rPr>
        <w:t>.</w:t>
      </w:r>
    </w:p>
    <w:p>
      <w:pPr>
        <w:keepNext/>
        <w:widowControl/>
      </w:pPr>
      <w:bookmarkStart w:id="1442" w:name="latin-record-1191"/>
      <w:bookmarkEnd w:id="1442"/>
      <w:r>
        <w:rPr>
          <w:b/>
          <w:i w:val="0"/>
        </w:rPr>
        <w:t>tenuari / clarescere / hebescere</w:t>
      </w:r>
      <w:r>
        <w:rPr>
          <w:b/>
          <w:i w:val="0"/>
        </w:rPr>
        <w:t>.</w:t>
      </w:r>
      <w:r>
        <w:rPr>
          <w:b w:val="0"/>
          <w:i w:val="0"/>
        </w:rPr>
        <w:t xml:space="preserve"> Printed forms: </w:t>
      </w:r>
      <w:r>
        <w:rPr>
          <w:b w:val="0"/>
          <w:i/>
        </w:rPr>
        <w:t>clarescit</w:t>
      </w:r>
      <w:r>
        <w:rPr>
          <w:b w:val="0"/>
          <w:i w:val="0"/>
        </w:rPr>
        <w:t xml:space="preserve">; </w:t>
      </w:r>
      <w:r>
        <w:rPr>
          <w:b w:val="0"/>
          <w:i/>
        </w:rPr>
        <w:t>hebescit</w:t>
      </w:r>
      <w:r>
        <w:rPr>
          <w:b w:val="0"/>
          <w:i w:val="0"/>
        </w:rPr>
        <w:t xml:space="preserve">; </w:t>
      </w:r>
      <w:r>
        <w:rPr>
          <w:b w:val="0"/>
          <w:i/>
        </w:rPr>
        <w:t>tenuatur</w:t>
      </w:r>
      <w:r>
        <w:rPr>
          <w:b w:val="0"/>
          <w:i w:val="0"/>
        </w:rPr>
        <w:t>.</w:t>
      </w:r>
    </w:p>
    <w:p>
      <w:pPr>
        <w:widowControl/>
      </w:pPr>
      <w:r>
        <w:rPr>
          <w:b w:val="0"/>
          <w:i w:val="0"/>
        </w:rPr>
        <w:t xml:space="preserve">Grow fine / grow bright / become dull. The air analogy assigns different features through affinity with fire and water, illustrating mediation through shared qualities. References: </w:t>
      </w:r>
      <w:hyperlink w:anchor="passage-iii-2-8">
        <w:r>
          <w:rPr>
            <w:color w:val="000000"/>
          </w:rPr>
          <w:t xml:space="preserve">III.2.8</w:t>
        </w:r>
      </w:hyperlink>
      <w:r>
        <w:rPr>
          <w:b w:val="0"/>
          <w:i w:val="0"/>
        </w:rPr>
        <w:t xml:space="preserve">. See </w:t>
      </w:r>
      <w:hyperlink w:anchor="degree-and-mediation">
        <w:r>
          <w:rPr>
            <w:color w:val="000000"/>
          </w:rPr>
          <w:t xml:space="preserve">Degree and mediation</w:t>
        </w:r>
      </w:hyperlink>
      <w:r>
        <w:rPr>
          <w:b w:val="0"/>
          <w:i w:val="0"/>
        </w:rPr>
        <w:t>.</w:t>
      </w:r>
    </w:p>
    <w:p>
      <w:pPr>
        <w:keepNext/>
        <w:widowControl/>
      </w:pPr>
      <w:bookmarkStart w:id="1443" w:name="latin-record-1192"/>
      <w:bookmarkEnd w:id="1443"/>
      <w:r>
        <w:rPr>
          <w:b/>
          <w:i w:val="0"/>
        </w:rPr>
        <w:t>terminare / finire</w:t>
      </w:r>
      <w:r>
        <w:rPr>
          <w:b/>
          <w:i w:val="0"/>
        </w:rPr>
        <w:t>.</w:t>
      </w:r>
      <w:r>
        <w:rPr>
          <w:b w:val="0"/>
          <w:i w:val="0"/>
        </w:rPr>
        <w:t xml:space="preserve"> Printed forms: </w:t>
      </w:r>
      <w:r>
        <w:rPr>
          <w:b w:val="0"/>
          <w:i/>
        </w:rPr>
        <w:t>finiri</w:t>
      </w:r>
      <w:r>
        <w:rPr>
          <w:b w:val="0"/>
          <w:i w:val="0"/>
        </w:rPr>
        <w:t xml:space="preserve">; </w:t>
      </w:r>
      <w:r>
        <w:rPr>
          <w:b w:val="0"/>
          <w:i/>
        </w:rPr>
        <w:t>finit</w:t>
      </w:r>
      <w:r>
        <w:rPr>
          <w:b w:val="0"/>
          <w:i w:val="0"/>
        </w:rPr>
        <w:t xml:space="preserve">; </w:t>
      </w:r>
      <w:r>
        <w:rPr>
          <w:b w:val="0"/>
          <w:i/>
        </w:rPr>
        <w:t>finita</w:t>
      </w:r>
      <w:r>
        <w:rPr>
          <w:b w:val="0"/>
          <w:i w:val="0"/>
        </w:rPr>
        <w:t xml:space="preserve">; </w:t>
      </w:r>
      <w:r>
        <w:rPr>
          <w:b w:val="0"/>
          <w:i/>
        </w:rPr>
        <w:t>finitam</w:t>
      </w:r>
      <w:r>
        <w:rPr>
          <w:b w:val="0"/>
          <w:i w:val="0"/>
        </w:rPr>
        <w:t xml:space="preserve">; </w:t>
      </w:r>
      <w:r>
        <w:rPr>
          <w:b w:val="0"/>
          <w:i/>
        </w:rPr>
        <w:t>finiti</w:t>
      </w:r>
      <w:r>
        <w:rPr>
          <w:b w:val="0"/>
          <w:i w:val="0"/>
        </w:rPr>
        <w:t xml:space="preserve">; </w:t>
      </w:r>
      <w:r>
        <w:rPr>
          <w:b w:val="0"/>
          <w:i/>
        </w:rPr>
        <w:t>finito</w:t>
      </w:r>
      <w:r>
        <w:rPr>
          <w:b w:val="0"/>
          <w:i w:val="0"/>
        </w:rPr>
        <w:t xml:space="preserve">; </w:t>
      </w:r>
      <w:r>
        <w:rPr>
          <w:b w:val="0"/>
          <w:i/>
        </w:rPr>
        <w:t>finitum</w:t>
      </w:r>
      <w:r>
        <w:rPr>
          <w:b w:val="0"/>
          <w:i w:val="0"/>
        </w:rPr>
        <w:t xml:space="preserve">; </w:t>
      </w:r>
      <w:r>
        <w:rPr>
          <w:b w:val="0"/>
          <w:i/>
        </w:rPr>
        <w:t>terminante</w:t>
      </w:r>
      <w:r>
        <w:rPr>
          <w:b w:val="0"/>
          <w:i w:val="0"/>
        </w:rPr>
        <w:t xml:space="preserve">; </w:t>
      </w:r>
      <w:r>
        <w:rPr>
          <w:b w:val="0"/>
          <w:i/>
        </w:rPr>
        <w:t>termino</w:t>
      </w:r>
      <w:r>
        <w:rPr>
          <w:b w:val="0"/>
          <w:i w:val="0"/>
        </w:rPr>
        <w:t xml:space="preserve">; </w:t>
      </w:r>
      <w:r>
        <w:rPr>
          <w:b w:val="0"/>
          <w:i/>
        </w:rPr>
        <w:t>terminum</w:t>
      </w:r>
      <w:r>
        <w:rPr>
          <w:b w:val="0"/>
          <w:i w:val="0"/>
        </w:rPr>
        <w:t>.</w:t>
      </w:r>
    </w:p>
    <w:p>
      <w:pPr>
        <w:widowControl/>
      </w:pPr>
      <w:r>
        <w:rPr>
          <w:b w:val="0"/>
          <w:i w:val="0"/>
        </w:rPr>
        <w:t xml:space="preserve">To limit or bound; a term or limit can also serve as an end. A subject or cause bounds received being, but infinite self-knowledge does not impose an external limit. References: </w:t>
      </w:r>
      <w:hyperlink w:anchor="passage-ii-4-1">
        <w:r>
          <w:rPr>
            <w:color w:val="000000"/>
          </w:rPr>
          <w:t xml:space="preserve">II.4.1</w:t>
        </w:r>
      </w:hyperlink>
      <w:r>
        <w:rPr>
          <w:b w:val="0"/>
          <w:i w:val="0"/>
        </w:rPr>
        <w:t xml:space="preserve">, </w:t>
      </w:r>
      <w:hyperlink w:anchor="passage-ii-4-2">
        <w:r>
          <w:rPr>
            <w:color w:val="000000"/>
          </w:rPr>
          <w:t xml:space="preserve">II.4.2</w:t>
        </w:r>
      </w:hyperlink>
      <w:r>
        <w:rPr>
          <w:b w:val="0"/>
          <w:i w:val="0"/>
        </w:rPr>
        <w:t xml:space="preserve">, </w:t>
      </w:r>
      <w:hyperlink w:anchor="passage-ii-6-4">
        <w:r>
          <w:rPr>
            <w:color w:val="000000"/>
          </w:rPr>
          <w:t xml:space="preserve">II.6.4</w:t>
        </w:r>
      </w:hyperlink>
      <w:r>
        <w:rPr>
          <w:b w:val="0"/>
          <w:i w:val="0"/>
        </w:rPr>
        <w:t xml:space="preserve">, </w:t>
      </w:r>
      <w:hyperlink w:anchor="passage-ii-10-10">
        <w:r>
          <w:rPr>
            <w:color w:val="000000"/>
          </w:rPr>
          <w:t xml:space="preserve">II.10.10</w:t>
        </w:r>
      </w:hyperlink>
      <w:r>
        <w:rPr>
          <w:b w:val="0"/>
          <w:i w:val="0"/>
        </w:rPr>
        <w:t xml:space="preserve">. See </w:t>
      </w:r>
      <w:hyperlink w:anchor="bounds-and-restriction">
        <w:r>
          <w:rPr>
            <w:color w:val="000000"/>
          </w:rPr>
          <w:t xml:space="preserve">Bounds and restriction</w:t>
        </w:r>
      </w:hyperlink>
      <w:r>
        <w:rPr>
          <w:b w:val="0"/>
          <w:i w:val="0"/>
        </w:rPr>
        <w:t>.</w:t>
      </w:r>
    </w:p>
    <w:p>
      <w:pPr>
        <w:keepNext/>
        <w:widowControl/>
      </w:pPr>
      <w:bookmarkStart w:id="1444" w:name="latin-record-1193"/>
      <w:bookmarkEnd w:id="1444"/>
      <w:r>
        <w:rPr>
          <w:b/>
          <w:i w:val="0"/>
        </w:rPr>
        <w:t>termino</w:t>
      </w:r>
      <w:r>
        <w:rPr>
          <w:b/>
          <w:i w:val="0"/>
        </w:rPr>
        <w:t>.</w:t>
      </w:r>
      <w:r>
        <w:rPr>
          <w:b w:val="0"/>
          <w:i w:val="0"/>
        </w:rPr>
        <w:t xml:space="preserve"> Printed forms: </w:t>
      </w:r>
      <w:r>
        <w:rPr>
          <w:b w:val="0"/>
          <w:i/>
        </w:rPr>
        <w:t>terminandum</w:t>
      </w:r>
      <w:r>
        <w:rPr>
          <w:b w:val="0"/>
          <w:i w:val="0"/>
        </w:rPr>
        <w:t>.</w:t>
      </w:r>
    </w:p>
    <w:p>
      <w:pPr>
        <w:widowControl/>
      </w:pPr>
      <w:r>
        <w:rPr>
          <w:b w:val="0"/>
          <w:i w:val="0"/>
        </w:rPr>
        <w:t xml:space="preserve">To determine or supply a completion. What does not rest in itself requires a more perfect source of its terminus; the passive construction identifies dependence. References: </w:t>
      </w:r>
      <w:hyperlink w:anchor="passage-i-5-6">
        <w:r>
          <w:rPr>
            <w:color w:val="000000"/>
          </w:rPr>
          <w:t xml:space="preserve">I.5.6</w:t>
        </w:r>
      </w:hyperlink>
      <w:r>
        <w:rPr>
          <w:b w:val="0"/>
          <w:i w:val="0"/>
        </w:rPr>
        <w:t xml:space="preserve">. See </w:t>
      </w:r>
      <w:hyperlink w:anchor="end-and-limit">
        <w:r>
          <w:rPr>
            <w:color w:val="000000"/>
          </w:rPr>
          <w:t xml:space="preserve">End and limit</w:t>
        </w:r>
      </w:hyperlink>
      <w:r>
        <w:rPr>
          <w:b w:val="0"/>
          <w:i w:val="0"/>
        </w:rPr>
        <w:t>.</w:t>
      </w:r>
    </w:p>
    <w:p>
      <w:pPr>
        <w:keepNext/>
        <w:widowControl/>
      </w:pPr>
      <w:bookmarkStart w:id="1445" w:name="latin-record-1194"/>
      <w:bookmarkEnd w:id="1445"/>
      <w:r>
        <w:rPr>
          <w:b/>
          <w:i w:val="0"/>
        </w:rPr>
        <w:t>terminus / infinitum</w:t>
      </w:r>
      <w:r>
        <w:rPr>
          <w:b/>
          <w:i w:val="0"/>
        </w:rPr>
        <w:t>.</w:t>
      </w:r>
      <w:r>
        <w:rPr>
          <w:b w:val="0"/>
          <w:i w:val="0"/>
        </w:rPr>
        <w:t xml:space="preserve"> Printed forms: </w:t>
      </w:r>
      <w:r>
        <w:rPr>
          <w:b w:val="0"/>
          <w:i/>
        </w:rPr>
        <w:t>infinito</w:t>
      </w:r>
      <w:r>
        <w:rPr>
          <w:b w:val="0"/>
          <w:i w:val="0"/>
        </w:rPr>
        <w:t xml:space="preserve">; </w:t>
      </w:r>
      <w:r>
        <w:rPr>
          <w:b w:val="0"/>
          <w:i/>
        </w:rPr>
        <w:t>terminum</w:t>
      </w:r>
      <w:r>
        <w:rPr>
          <w:b w:val="0"/>
          <w:i w:val="0"/>
        </w:rPr>
        <w:t>.</w:t>
      </w:r>
    </w:p>
    <w:p>
      <w:pPr>
        <w:widowControl/>
      </w:pPr>
      <w:r>
        <w:rPr>
          <w:b w:val="0"/>
          <w:i w:val="0"/>
        </w:rPr>
        <w:t xml:space="preserve">Limit / indefinite or unlimited. Ficino interprets the attributed Philebus contrast as actuality forming potency, not simply finite and infinite spatial magnitudes. References: </w:t>
      </w:r>
      <w:hyperlink w:anchor="passage-iii-1-11">
        <w:r>
          <w:rPr>
            <w:color w:val="000000"/>
          </w:rPr>
          <w:t xml:space="preserve">III.1.11</w:t>
        </w:r>
      </w:hyperlink>
      <w:r>
        <w:rPr>
          <w:b w:val="0"/>
          <w:i w:val="0"/>
        </w:rPr>
        <w:t xml:space="preserve">. See </w:t>
      </w:r>
      <w:hyperlink w:anchor="end-and-limit">
        <w:r>
          <w:rPr>
            <w:color w:val="000000"/>
          </w:rPr>
          <w:t xml:space="preserve">End and limit</w:t>
        </w:r>
      </w:hyperlink>
      <w:r>
        <w:rPr>
          <w:b w:val="0"/>
          <w:i w:val="0"/>
        </w:rPr>
        <w:t>.</w:t>
      </w:r>
    </w:p>
    <w:p>
      <w:pPr>
        <w:keepNext/>
        <w:widowControl/>
      </w:pPr>
      <w:bookmarkStart w:id="1446" w:name="latin-record-1195"/>
      <w:bookmarkEnd w:id="1446"/>
      <w:r>
        <w:rPr>
          <w:b/>
          <w:i w:val="0"/>
        </w:rPr>
        <w:t>terminus operationis</w:t>
      </w:r>
      <w:r>
        <w:rPr>
          <w:b/>
          <w:i w:val="0"/>
        </w:rPr>
        <w:t>.</w:t>
      </w:r>
      <w:r>
        <w:rPr>
          <w:b w:val="0"/>
          <w:i w:val="0"/>
        </w:rPr>
        <w:t xml:space="preserve"> Printed forms: </w:t>
      </w:r>
      <w:r>
        <w:rPr>
          <w:b w:val="0"/>
          <w:i/>
        </w:rPr>
        <w:t>utrumque terminum</w:t>
      </w:r>
      <w:r>
        <w:rPr>
          <w:b w:val="0"/>
          <w:i w:val="0"/>
        </w:rPr>
        <w:t>.</w:t>
      </w:r>
    </w:p>
    <w:p>
      <w:pPr>
        <w:widowControl/>
      </w:pPr>
      <w:r>
        <w:rPr>
          <w:b w:val="0"/>
          <w:i w:val="0"/>
        </w:rPr>
        <w:t xml:space="preserve">A term or endpoint of an activity. Intellectual activity retains both terms within the agent, unlike heating that begins in fire and ends in wood. References: </w:t>
      </w:r>
      <w:hyperlink w:anchor="passage-ii-11-14">
        <w:r>
          <w:rPr>
            <w:color w:val="000000"/>
          </w:rPr>
          <w:t xml:space="preserve">II.11.14</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1447" w:name="latin-record-1196"/>
      <w:bookmarkEnd w:id="1447"/>
      <w:r>
        <w:rPr>
          <w:b/>
          <w:i w:val="0"/>
        </w:rPr>
        <w:t>terminus vivendi</w:t>
      </w:r>
      <w:r>
        <w:rPr>
          <w:b/>
          <w:i w:val="0"/>
        </w:rPr>
        <w:t>.</w:t>
      </w:r>
      <w:r>
        <w:rPr>
          <w:b w:val="0"/>
          <w:i w:val="0"/>
        </w:rPr>
        <w:t xml:space="preserve"> Printed forms: </w:t>
      </w:r>
      <w:r>
        <w:rPr>
          <w:b w:val="0"/>
          <w:i/>
        </w:rPr>
        <w:t>terminum vivendi</w:t>
      </w:r>
      <w:r>
        <w:rPr>
          <w:b w:val="0"/>
          <w:i w:val="0"/>
        </w:rPr>
        <w:t>.</w:t>
      </w:r>
    </w:p>
    <w:p>
      <w:pPr>
        <w:widowControl/>
      </w:pPr>
      <w:r>
        <w:rPr>
          <w:b w:val="0"/>
          <w:i w:val="0"/>
        </w:rPr>
        <w:t xml:space="preserve">The endpoint of living. Ficino’s conditional asks what would follow if human beings had precisely the same final endpoint as other creatures; the conditional must not be omitted. References: </w:t>
      </w:r>
      <w:hyperlink w:anchor="passage-i-1-1">
        <w:r>
          <w:rPr>
            <w:color w:val="000000"/>
          </w:rPr>
          <w:t xml:space="preserve">I.1.1</w:t>
        </w:r>
      </w:hyperlink>
      <w:r>
        <w:rPr>
          <w:b w:val="0"/>
          <w:i w:val="0"/>
        </w:rPr>
        <w:t xml:space="preserve">. See </w:t>
      </w:r>
      <w:hyperlink w:anchor="end-and-limit">
        <w:r>
          <w:rPr>
            <w:color w:val="000000"/>
          </w:rPr>
          <w:t xml:space="preserve">End and limit</w:t>
        </w:r>
      </w:hyperlink>
      <w:r>
        <w:rPr>
          <w:b w:val="0"/>
          <w:i w:val="0"/>
        </w:rPr>
        <w:t>.</w:t>
      </w:r>
    </w:p>
    <w:p>
      <w:pPr>
        <w:keepNext/>
        <w:widowControl/>
      </w:pPr>
      <w:bookmarkStart w:id="1448" w:name="latin-record-1197"/>
      <w:bookmarkEnd w:id="1448"/>
      <w:r>
        <w:rPr>
          <w:b/>
          <w:i w:val="0"/>
        </w:rPr>
        <w:t>ternarius / novenarius / septenarius / duodenarius</w:t>
      </w:r>
      <w:r>
        <w:rPr>
          <w:b/>
          <w:i w:val="0"/>
        </w:rPr>
        <w:t>.</w:t>
      </w:r>
      <w:r>
        <w:rPr>
          <w:b w:val="0"/>
          <w:i w:val="0"/>
        </w:rPr>
        <w:t xml:space="preserve"> Printed forms: </w:t>
      </w:r>
      <w:r>
        <w:rPr>
          <w:b w:val="0"/>
          <w:i/>
        </w:rPr>
        <w:t>duodenario</w:t>
      </w:r>
      <w:r>
        <w:rPr>
          <w:b w:val="0"/>
          <w:i w:val="0"/>
        </w:rPr>
        <w:t xml:space="preserve">; </w:t>
      </w:r>
      <w:r>
        <w:rPr>
          <w:b w:val="0"/>
          <w:i/>
        </w:rPr>
        <w:t>duodenarium</w:t>
      </w:r>
      <w:r>
        <w:rPr>
          <w:b w:val="0"/>
          <w:i w:val="0"/>
        </w:rPr>
        <w:t xml:space="preserve">; </w:t>
      </w:r>
      <w:r>
        <w:rPr>
          <w:b w:val="0"/>
          <w:i/>
        </w:rPr>
        <w:t>novenarioque</w:t>
      </w:r>
      <w:r>
        <w:rPr>
          <w:b w:val="0"/>
          <w:i w:val="0"/>
        </w:rPr>
        <w:t xml:space="preserve">; </w:t>
      </w:r>
      <w:r>
        <w:rPr>
          <w:b w:val="0"/>
          <w:i/>
        </w:rPr>
        <w:t>septenario</w:t>
      </w:r>
      <w:r>
        <w:rPr>
          <w:b w:val="0"/>
          <w:i w:val="0"/>
        </w:rPr>
        <w:t xml:space="preserve">; </w:t>
      </w:r>
      <w:r>
        <w:rPr>
          <w:b w:val="0"/>
          <w:i/>
        </w:rPr>
        <w:t>ternario</w:t>
      </w:r>
      <w:r>
        <w:rPr>
          <w:b w:val="0"/>
          <w:i w:val="0"/>
        </w:rPr>
        <w:t>.</w:t>
      </w:r>
    </w:p>
    <w:p>
      <w:pPr>
        <w:widowControl/>
      </w:pPr>
      <w:r>
        <w:rPr>
          <w:b w:val="0"/>
          <w:i w:val="0"/>
        </w:rPr>
        <w:t xml:space="preserve">Numerical classifications by three, nine, seven and twelve. These distinguish orders rather than supply an unambiguous sum of individual angels; the paired highest/middle syntax is rendered distributively by the edition. References: </w:t>
      </w:r>
      <w:hyperlink w:anchor="passage-i-5-27">
        <w:r>
          <w:rPr>
            <w:color w:val="000000"/>
          </w:rPr>
          <w:t xml:space="preserve">I.5.27</w:t>
        </w:r>
      </w:hyperlink>
      <w:r>
        <w:rPr>
          <w:b w:val="0"/>
          <w:i w:val="0"/>
        </w:rPr>
        <w:t xml:space="preserve">. See </w:t>
      </w:r>
      <w:hyperlink w:anchor="dionysius-daniel-and-numerical-orders">
        <w:r>
          <w:rPr>
            <w:color w:val="000000"/>
          </w:rPr>
          <w:t xml:space="preserve">Dionysius, Daniel and numerical orders</w:t>
        </w:r>
      </w:hyperlink>
      <w:r>
        <w:rPr>
          <w:b w:val="0"/>
          <w:i w:val="0"/>
        </w:rPr>
        <w:t>.</w:t>
      </w:r>
    </w:p>
    <w:p>
      <w:pPr>
        <w:keepNext/>
        <w:widowControl/>
      </w:pPr>
      <w:bookmarkStart w:id="1449" w:name="latin-record-1198"/>
      <w:bookmarkEnd w:id="1449"/>
      <w:r>
        <w:rPr>
          <w:b/>
          <w:i w:val="0"/>
        </w:rPr>
        <w:t>tertia essentia</w:t>
      </w:r>
      <w:r>
        <w:rPr>
          <w:b/>
          <w:i w:val="0"/>
        </w:rPr>
        <w:t>.</w:t>
      </w:r>
      <w:r>
        <w:rPr>
          <w:b w:val="0"/>
          <w:i w:val="0"/>
        </w:rPr>
        <w:t xml:space="preserve"> Printed forms: </w:t>
      </w:r>
      <w:r>
        <w:rPr>
          <w:b w:val="0"/>
          <w:i/>
        </w:rPr>
        <w:t>essentia</w:t>
      </w:r>
      <w:r>
        <w:rPr>
          <w:b w:val="0"/>
          <w:i w:val="0"/>
        </w:rPr>
        <w:t xml:space="preserve">; </w:t>
      </w:r>
      <w:r>
        <w:rPr>
          <w:b w:val="0"/>
          <w:i/>
        </w:rPr>
        <w:t>tertia</w:t>
      </w:r>
      <w:r>
        <w:rPr>
          <w:b w:val="0"/>
          <w:i w:val="0"/>
        </w:rPr>
        <w:t>.</w:t>
      </w:r>
    </w:p>
    <w:p>
      <w:pPr>
        <w:widowControl/>
      </w:pPr>
      <w:r>
        <w:rPr>
          <w:b w:val="0"/>
          <w:i w:val="0"/>
        </w:rPr>
        <w:t xml:space="preserve">The third essence, identified prospectively as rational soul. Its independence from bodily parts and material subject is argued here; subsequent chapters distinguish its stable essence from changing operation. References: </w:t>
      </w:r>
      <w:hyperlink w:anchor="passage-i-3-33">
        <w:r>
          <w:rPr>
            <w:color w:val="000000"/>
          </w:rPr>
          <w:t xml:space="preserve">I.3.33</w:t>
        </w:r>
      </w:hyperlink>
      <w:r>
        <w:rPr>
          <w:b w:val="0"/>
          <w:i w:val="0"/>
        </w:rPr>
        <w:t xml:space="preserve">. See </w:t>
      </w:r>
      <w:hyperlink w:anchor="soul">
        <w:r>
          <w:rPr>
            <w:color w:val="000000"/>
          </w:rPr>
          <w:t xml:space="preserve">Soul</w:t>
        </w:r>
      </w:hyperlink>
      <w:r>
        <w:rPr>
          <w:b w:val="0"/>
          <w:i w:val="0"/>
        </w:rPr>
        <w:t>.</w:t>
      </w:r>
    </w:p>
    <w:p>
      <w:pPr>
        <w:keepNext/>
        <w:widowControl/>
      </w:pPr>
      <w:bookmarkStart w:id="1450" w:name="latin-record-1199"/>
      <w:bookmarkEnd w:id="1450"/>
      <w:r>
        <w:rPr>
          <w:b/>
          <w:i w:val="0"/>
        </w:rPr>
        <w:t>Thomas Aquinas</w:t>
      </w:r>
      <w:r>
        <w:rPr>
          <w:b/>
          <w:i w:val="0"/>
        </w:rPr>
        <w:t>.</w:t>
      </w:r>
      <w:r>
        <w:rPr>
          <w:b w:val="0"/>
          <w:i w:val="0"/>
        </w:rPr>
        <w:t xml:space="preserve"> Printed forms: </w:t>
      </w:r>
      <w:r>
        <w:rPr>
          <w:b w:val="0"/>
          <w:i/>
        </w:rPr>
        <w:t>Thomae Aquinati</w:t>
      </w:r>
      <w:r>
        <w:rPr>
          <w:b w:val="0"/>
          <w:i w:val="0"/>
        </w:rPr>
        <w:t>.</w:t>
      </w:r>
    </w:p>
    <w:p>
      <w:pPr>
        <w:widowControl/>
      </w:pPr>
      <w:r>
        <w:rPr>
          <w:b w:val="0"/>
          <w:i w:val="0"/>
        </w:rPr>
        <w:t xml:space="preserve">Thomas Aquinas, the named theological authority. Ficino cites him on necessity following a divine willing already posited, distinguished from absolute necessity toward God’s own goodness. References: </w:t>
      </w:r>
      <w:hyperlink w:anchor="passage-ii-12-15">
        <w:r>
          <w:rPr>
            <w:color w:val="000000"/>
          </w:rPr>
          <w:t xml:space="preserve">II.12.15</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1451" w:name="latin-record-1200"/>
      <w:bookmarkEnd w:id="1451"/>
      <w:r>
        <w:rPr>
          <w:b/>
          <w:i w:val="0"/>
        </w:rPr>
        <w:t>Timaeus / Timaeus Locrus</w:t>
      </w:r>
      <w:r>
        <w:rPr>
          <w:b/>
          <w:i w:val="0"/>
        </w:rPr>
        <w:t>.</w:t>
      </w:r>
      <w:r>
        <w:rPr>
          <w:b w:val="0"/>
          <w:i w:val="0"/>
        </w:rPr>
        <w:t xml:space="preserve"> Printed forms: </w:t>
      </w:r>
      <w:r>
        <w:rPr>
          <w:b w:val="0"/>
          <w:i/>
        </w:rPr>
        <w:t>Locrus</w:t>
      </w:r>
      <w:r>
        <w:rPr>
          <w:b w:val="0"/>
          <w:i w:val="0"/>
        </w:rPr>
        <w:t xml:space="preserve">; </w:t>
      </w:r>
      <w:r>
        <w:rPr>
          <w:b w:val="0"/>
          <w:i/>
        </w:rPr>
        <w:t>Timaeus</w:t>
      </w:r>
      <w:r>
        <w:rPr>
          <w:b w:val="0"/>
          <w:i w:val="0"/>
        </w:rPr>
        <w:t>.</w:t>
      </w:r>
    </w:p>
    <w:p>
      <w:pPr>
        <w:widowControl/>
      </w:pPr>
      <w:r>
        <w:rPr>
          <w:b w:val="0"/>
          <w:i w:val="0"/>
        </w:rPr>
        <w:t xml:space="preserve">Timaeus / Timaeus of Locri. The divine preservation knot is attributed to Timaeus; the divisible–indivisible soul account names Timaeus of Locri alongside Plato. References: </w:t>
      </w:r>
      <w:hyperlink w:anchor="passage-iii-1-5">
        <w:r>
          <w:rPr>
            <w:color w:val="000000"/>
          </w:rPr>
          <w:t xml:space="preserve">III.1.5</w:t>
        </w:r>
      </w:hyperlink>
      <w:r>
        <w:rPr>
          <w:b w:val="0"/>
          <w:i w:val="0"/>
        </w:rPr>
        <w:t xml:space="preserve">, </w:t>
      </w:r>
      <w:hyperlink w:anchor="passage-iii-2-22">
        <w:r>
          <w:rPr>
            <w:color w:val="000000"/>
          </w:rPr>
          <w:t xml:space="preserve">III.2.22</w:t>
        </w:r>
      </w:hyperlink>
      <w:r>
        <w:rPr>
          <w:b w:val="0"/>
          <w:i w:val="0"/>
        </w:rPr>
        <w:t xml:space="preserve">. See </w:t>
      </w:r>
      <w:hyperlink w:anchor="indivisibility">
        <w:r>
          <w:rPr>
            <w:color w:val="000000"/>
          </w:rPr>
          <w:t xml:space="preserve">Indivisibility</w:t>
        </w:r>
      </w:hyperlink>
      <w:r>
        <w:rPr>
          <w:b w:val="0"/>
          <w:i w:val="0"/>
        </w:rPr>
        <w:t>.</w:t>
      </w:r>
    </w:p>
    <w:p>
      <w:pPr>
        <w:keepNext/>
        <w:widowControl/>
      </w:pPr>
      <w:bookmarkStart w:id="1452" w:name="latin-record-1201"/>
      <w:bookmarkEnd w:id="1452"/>
      <w:r>
        <w:rPr>
          <w:b/>
          <w:i w:val="0"/>
        </w:rPr>
        <w:t>tollo / traho / transfero</w:t>
      </w:r>
      <w:r>
        <w:rPr>
          <w:b/>
          <w:i w:val="0"/>
        </w:rPr>
        <w:t>.</w:t>
      </w:r>
      <w:r>
        <w:rPr>
          <w:b w:val="0"/>
          <w:i w:val="0"/>
        </w:rPr>
        <w:t xml:space="preserve"> Printed forms: </w:t>
      </w:r>
      <w:r>
        <w:rPr>
          <w:b w:val="0"/>
          <w:i/>
        </w:rPr>
        <w:t>tollit</w:t>
      </w:r>
      <w:r>
        <w:rPr>
          <w:b w:val="0"/>
          <w:i w:val="0"/>
        </w:rPr>
        <w:t xml:space="preserve">; </w:t>
      </w:r>
      <w:r>
        <w:rPr>
          <w:b w:val="0"/>
          <w:i/>
        </w:rPr>
        <w:t>trahit</w:t>
      </w:r>
      <w:r>
        <w:rPr>
          <w:b w:val="0"/>
          <w:i w:val="0"/>
        </w:rPr>
        <w:t xml:space="preserve">; </w:t>
      </w:r>
      <w:r>
        <w:rPr>
          <w:b w:val="0"/>
          <w:i/>
        </w:rPr>
        <w:t>transfert</w:t>
      </w:r>
      <w:r>
        <w:rPr>
          <w:b w:val="0"/>
          <w:i w:val="0"/>
        </w:rPr>
        <w:t>.</w:t>
      </w:r>
    </w:p>
    <w:p>
      <w:pPr>
        <w:widowControl/>
      </w:pPr>
      <w:r>
        <w:rPr>
          <w:b w:val="0"/>
          <w:i w:val="0"/>
        </w:rPr>
        <w:t xml:space="preserve">To lift, draw and transfer. A spark and falling wood illustrate physical direction; the mind’s self-transfer toward substantial unity uses analogous movement vocabulary for cognition. References: </w:t>
      </w:r>
      <w:hyperlink w:anchor="passage-i-2-2">
        <w:r>
          <w:rPr>
            <w:color w:val="000000"/>
          </w:rPr>
          <w:t xml:space="preserve">I.2.2</w:t>
        </w:r>
      </w:hyperlink>
      <w:r>
        <w:rPr>
          <w:b w:val="0"/>
          <w:i w:val="0"/>
        </w:rPr>
        <w:t xml:space="preserve">, </w:t>
      </w:r>
      <w:hyperlink w:anchor="passage-i-3-13">
        <w:r>
          <w:rPr>
            <w:color w:val="000000"/>
          </w:rPr>
          <w:t xml:space="preserve">I.3.13</w:t>
        </w:r>
      </w:hyperlink>
      <w:r>
        <w:rPr>
          <w:b w:val="0"/>
          <w:i w:val="0"/>
        </w:rPr>
        <w:t xml:space="preserve">. See </w:t>
      </w:r>
      <w:hyperlink w:anchor="ascent">
        <w:r>
          <w:rPr>
            <w:color w:val="000000"/>
          </w:rPr>
          <w:t xml:space="preserve">Ascent</w:t>
        </w:r>
      </w:hyperlink>
      <w:r>
        <w:rPr>
          <w:b w:val="0"/>
          <w:i w:val="0"/>
        </w:rPr>
        <w:t>.</w:t>
      </w:r>
    </w:p>
    <w:p>
      <w:pPr>
        <w:keepNext/>
        <w:widowControl/>
      </w:pPr>
      <w:bookmarkStart w:id="1453" w:name="latin-record-1202"/>
      <w:bookmarkEnd w:id="1453"/>
      <w:r>
        <w:rPr>
          <w:b/>
          <w:i w:val="0"/>
        </w:rPr>
        <w:t>torpere / suscitare</w:t>
      </w:r>
      <w:r>
        <w:rPr>
          <w:b/>
          <w:i w:val="0"/>
        </w:rPr>
        <w:t>.</w:t>
      </w:r>
      <w:r>
        <w:rPr>
          <w:b w:val="0"/>
          <w:i w:val="0"/>
        </w:rPr>
        <w:t xml:space="preserve"> Printed forms: </w:t>
      </w:r>
      <w:r>
        <w:rPr>
          <w:b w:val="0"/>
          <w:i/>
        </w:rPr>
        <w:t>suscitet</w:t>
      </w:r>
      <w:r>
        <w:rPr>
          <w:b w:val="0"/>
          <w:i w:val="0"/>
        </w:rPr>
        <w:t xml:space="preserve">; </w:t>
      </w:r>
      <w:r>
        <w:rPr>
          <w:b w:val="0"/>
          <w:i/>
        </w:rPr>
        <w:t>torpent</w:t>
      </w:r>
      <w:r>
        <w:rPr>
          <w:b w:val="0"/>
          <w:i w:val="0"/>
        </w:rPr>
        <w:t xml:space="preserve">; </w:t>
      </w:r>
      <w:r>
        <w:rPr>
          <w:b w:val="0"/>
          <w:i/>
        </w:rPr>
        <w:t>torpentia</w:t>
      </w:r>
      <w:r>
        <w:rPr>
          <w:b w:val="0"/>
          <w:i w:val="0"/>
        </w:rPr>
        <w:t>.</w:t>
      </w:r>
    </w:p>
    <w:p>
      <w:pPr>
        <w:widowControl/>
      </w:pPr>
      <w:r>
        <w:rPr>
          <w:b w:val="0"/>
          <w:i w:val="0"/>
        </w:rPr>
        <w:t xml:space="preserve">Be inert / awaken or stir up. The mediation argument requires a mutable nature able to approach and enliven otherwise inert bodies. References: </w:t>
      </w:r>
      <w:hyperlink w:anchor="passage-iii-1-26">
        <w:r>
          <w:rPr>
            <w:color w:val="000000"/>
          </w:rPr>
          <w:t xml:space="preserve">III.1.26</w:t>
        </w:r>
      </w:hyperlink>
      <w:r>
        <w:rPr>
          <w:b w:val="0"/>
          <w:i w:val="0"/>
        </w:rPr>
        <w:t xml:space="preserve">. See </w:t>
      </w:r>
      <w:hyperlink w:anchor="life">
        <w:r>
          <w:rPr>
            <w:color w:val="000000"/>
          </w:rPr>
          <w:t xml:space="preserve">Life</w:t>
        </w:r>
      </w:hyperlink>
      <w:r>
        <w:rPr>
          <w:b w:val="0"/>
          <w:i w:val="0"/>
        </w:rPr>
        <w:t>.</w:t>
      </w:r>
    </w:p>
    <w:p>
      <w:pPr>
        <w:keepNext/>
        <w:widowControl/>
      </w:pPr>
      <w:bookmarkStart w:id="1454" w:name="latin-record-1203"/>
      <w:bookmarkEnd w:id="1454"/>
      <w:r>
        <w:rPr>
          <w:b/>
          <w:i w:val="0"/>
        </w:rPr>
        <w:t>tota simul</w:t>
      </w:r>
      <w:r>
        <w:rPr>
          <w:b/>
          <w:i w:val="0"/>
        </w:rPr>
        <w:t>.</w:t>
      </w:r>
      <w:r>
        <w:rPr>
          <w:b w:val="0"/>
          <w:i w:val="0"/>
        </w:rPr>
        <w:t xml:space="preserve"> Printed forms: </w:t>
      </w:r>
      <w:r>
        <w:rPr>
          <w:b w:val="0"/>
          <w:i/>
        </w:rPr>
        <w:t>tota simul</w:t>
      </w:r>
      <w:r>
        <w:rPr>
          <w:b w:val="0"/>
          <w:i w:val="0"/>
        </w:rPr>
        <w:t>.</w:t>
      </w:r>
    </w:p>
    <w:p>
      <w:pPr>
        <w:widowControl/>
      </w:pPr>
      <w:r>
        <w:rPr>
          <w:b w:val="0"/>
          <w:i w:val="0"/>
        </w:rPr>
        <w:t xml:space="preserve">Wholly together at once. Angelic life’s completeness is contrasted with soul’s life extended across successive inward acts; endless duration alone does not supply this simultaneity. References: </w:t>
      </w:r>
      <w:hyperlink w:anchor="passage-i-5-2">
        <w:r>
          <w:rPr>
            <w:color w:val="000000"/>
          </w:rPr>
          <w:t xml:space="preserve">I.5.2</w:t>
        </w:r>
      </w:hyperlink>
      <w:r>
        <w:rPr>
          <w:b w:val="0"/>
          <w:i w:val="0"/>
        </w:rPr>
        <w:t xml:space="preserve">. See </w:t>
      </w:r>
      <w:hyperlink w:anchor="eternity-and-time">
        <w:r>
          <w:rPr>
            <w:color w:val="000000"/>
          </w:rPr>
          <w:t xml:space="preserve">Eternity and time</w:t>
        </w:r>
      </w:hyperlink>
      <w:r>
        <w:rPr>
          <w:b w:val="0"/>
          <w:i w:val="0"/>
        </w:rPr>
        <w:t>.</w:t>
      </w:r>
    </w:p>
    <w:p>
      <w:pPr>
        <w:keepNext/>
        <w:widowControl/>
      </w:pPr>
      <w:bookmarkStart w:id="1455" w:name="latin-record-1204"/>
      <w:bookmarkEnd w:id="1455"/>
      <w:r>
        <w:rPr>
          <w:b/>
          <w:i w:val="0"/>
        </w:rPr>
        <w:t>tractus / trahere</w:t>
      </w:r>
      <w:r>
        <w:rPr>
          <w:b/>
          <w:i w:val="0"/>
        </w:rPr>
        <w:t>.</w:t>
      </w:r>
      <w:r>
        <w:rPr>
          <w:b w:val="0"/>
          <w:i w:val="0"/>
        </w:rPr>
        <w:t xml:space="preserve"> Printed forms: </w:t>
      </w:r>
      <w:r>
        <w:rPr>
          <w:b w:val="0"/>
          <w:i/>
        </w:rPr>
        <w:t>tractu</w:t>
      </w:r>
      <w:r>
        <w:rPr>
          <w:b w:val="0"/>
          <w:i w:val="0"/>
        </w:rPr>
        <w:t xml:space="preserve">; </w:t>
      </w:r>
      <w:r>
        <w:rPr>
          <w:b w:val="0"/>
          <w:i/>
        </w:rPr>
        <w:t>trahunt</w:t>
      </w:r>
      <w:r>
        <w:rPr>
          <w:b w:val="0"/>
          <w:i w:val="0"/>
        </w:rPr>
        <w:t>.</w:t>
      </w:r>
    </w:p>
    <w:p>
      <w:pPr>
        <w:widowControl/>
      </w:pPr>
      <w:r>
        <w:rPr>
          <w:b w:val="0"/>
          <w:i w:val="0"/>
        </w:rPr>
        <w:t xml:space="preserve">Pull or drawing / draw. A single drawing of the imagined sinew coordinates differentiated movements; elsewhere dragging is contrasted with persuasion of souls. References: </w:t>
      </w:r>
      <w:hyperlink w:anchor="passage-ii-13-12">
        <w:r>
          <w:rPr>
            <w:color w:val="000000"/>
          </w:rPr>
          <w:t xml:space="preserve">II.13.12</w:t>
        </w:r>
      </w:hyperlink>
      <w:r>
        <w:rPr>
          <w:b w:val="0"/>
          <w:i w:val="0"/>
        </w:rPr>
        <w:t xml:space="preserve">, </w:t>
      </w:r>
      <w:hyperlink w:anchor="passage-ii-13-26">
        <w:r>
          <w:rPr>
            <w:color w:val="000000"/>
          </w:rPr>
          <w:t xml:space="preserve">II.13.26</w:t>
        </w:r>
      </w:hyperlink>
      <w:r>
        <w:rPr>
          <w:b w:val="0"/>
          <w:i w:val="0"/>
        </w:rPr>
        <w:t xml:space="preserve">. See </w:t>
      </w:r>
      <w:hyperlink w:anchor="turning-and-direction">
        <w:r>
          <w:rPr>
            <w:color w:val="000000"/>
          </w:rPr>
          <w:t xml:space="preserve">Turning and direction</w:t>
        </w:r>
      </w:hyperlink>
      <w:r>
        <w:rPr>
          <w:b w:val="0"/>
          <w:i w:val="0"/>
        </w:rPr>
        <w:t>.</w:t>
      </w:r>
    </w:p>
    <w:p>
      <w:pPr>
        <w:keepNext/>
        <w:widowControl/>
      </w:pPr>
      <w:bookmarkStart w:id="1456" w:name="latin-record-1205"/>
      <w:bookmarkEnd w:id="1456"/>
      <w:r>
        <w:rPr>
          <w:b/>
          <w:i w:val="0"/>
        </w:rPr>
        <w:t>trames</w:t>
      </w:r>
      <w:r>
        <w:rPr>
          <w:b/>
          <w:i w:val="0"/>
        </w:rPr>
        <w:t>.</w:t>
      </w:r>
      <w:r>
        <w:rPr>
          <w:b w:val="0"/>
          <w:i w:val="0"/>
        </w:rPr>
        <w:t xml:space="preserve"> Printed forms: </w:t>
      </w:r>
      <w:r>
        <w:rPr>
          <w:b w:val="0"/>
          <w:i/>
        </w:rPr>
        <w:t>tramitem</w:t>
      </w:r>
      <w:r>
        <w:rPr>
          <w:b w:val="0"/>
          <w:i w:val="0"/>
        </w:rPr>
        <w:t>.</w:t>
      </w:r>
    </w:p>
    <w:p>
      <w:pPr>
        <w:widowControl/>
      </w:pPr>
      <w:r>
        <w:rPr>
          <w:b w:val="0"/>
          <w:i w:val="0"/>
        </w:rPr>
        <w:t xml:space="preserve">A single track or route. A predetermined route and externally bounded destination are evidence against a part’s independent self-motion. References: </w:t>
      </w:r>
      <w:hyperlink w:anchor="passage-iv-1-76">
        <w:r>
          <w:rPr>
            <w:color w:val="000000"/>
          </w:rPr>
          <w:t xml:space="preserve">IV.1.76</w:t>
        </w:r>
      </w:hyperlink>
      <w:r>
        <w:rPr>
          <w:b w:val="0"/>
          <w:i w:val="0"/>
        </w:rPr>
        <w:t xml:space="preserve">. See </w:t>
      </w:r>
      <w:hyperlink w:anchor="natural-motion-and-natural-place">
        <w:r>
          <w:rPr>
            <w:color w:val="000000"/>
          </w:rPr>
          <w:t xml:space="preserve">Natural motion and natural place</w:t>
        </w:r>
      </w:hyperlink>
      <w:r>
        <w:rPr>
          <w:b w:val="0"/>
          <w:i w:val="0"/>
        </w:rPr>
        <w:t>.</w:t>
      </w:r>
    </w:p>
    <w:p>
      <w:pPr>
        <w:keepNext/>
        <w:widowControl/>
      </w:pPr>
      <w:bookmarkStart w:id="1457" w:name="latin-record-1206"/>
      <w:bookmarkEnd w:id="1457"/>
      <w:r>
        <w:rPr>
          <w:b/>
          <w:i w:val="0"/>
        </w:rPr>
        <w:t>trames / oberrare</w:t>
      </w:r>
      <w:r>
        <w:rPr>
          <w:b/>
          <w:i w:val="0"/>
        </w:rPr>
        <w:t>.</w:t>
      </w:r>
      <w:r>
        <w:rPr>
          <w:b w:val="0"/>
          <w:i w:val="0"/>
        </w:rPr>
        <w:t xml:space="preserve"> Printed forms: </w:t>
      </w:r>
      <w:r>
        <w:rPr>
          <w:b w:val="0"/>
          <w:i/>
        </w:rPr>
        <w:t>oberras</w:t>
      </w:r>
      <w:r>
        <w:rPr>
          <w:b w:val="0"/>
          <w:i w:val="0"/>
        </w:rPr>
        <w:t xml:space="preserve">; </w:t>
      </w:r>
      <w:r>
        <w:rPr>
          <w:b w:val="0"/>
          <w:i/>
        </w:rPr>
        <w:t>tramite</w:t>
      </w:r>
      <w:r>
        <w:rPr>
          <w:b w:val="0"/>
          <w:i w:val="0"/>
        </w:rPr>
        <w:t>.</w:t>
      </w:r>
    </w:p>
    <w:p>
      <w:pPr>
        <w:widowControl/>
      </w:pPr>
      <w:r>
        <w:rPr>
          <w:b w:val="0"/>
          <w:i w:val="0"/>
        </w:rPr>
        <w:t xml:space="preserve">Path or track / wander about. Aimless movement supplies the contrast to stable movement toward a prescribed destination. References: </w:t>
      </w:r>
      <w:hyperlink w:anchor="passage-ii-13-15">
        <w:r>
          <w:rPr>
            <w:color w:val="000000"/>
          </w:rPr>
          <w:t xml:space="preserve">II.13.15</w:t>
        </w:r>
      </w:hyperlink>
      <w:r>
        <w:rPr>
          <w:b w:val="0"/>
          <w:i w:val="0"/>
        </w:rPr>
        <w:t xml:space="preserve">. See </w:t>
      </w:r>
      <w:hyperlink w:anchor="paths-and-prescribed-ends">
        <w:r>
          <w:rPr>
            <w:color w:val="000000"/>
          </w:rPr>
          <w:t xml:space="preserve">Paths and prescribed ends</w:t>
        </w:r>
      </w:hyperlink>
      <w:r>
        <w:rPr>
          <w:b w:val="0"/>
          <w:i w:val="0"/>
        </w:rPr>
        <w:t>.</w:t>
      </w:r>
    </w:p>
    <w:p>
      <w:pPr>
        <w:keepNext/>
        <w:widowControl/>
      </w:pPr>
      <w:bookmarkStart w:id="1458" w:name="latin-record-1207"/>
      <w:bookmarkEnd w:id="1458"/>
      <w:r>
        <w:rPr>
          <w:b/>
          <w:i w:val="0"/>
        </w:rPr>
        <w:t>transcendo / proveho</w:t>
      </w:r>
      <w:r>
        <w:rPr>
          <w:b/>
          <w:i w:val="0"/>
        </w:rPr>
        <w:t>.</w:t>
      </w:r>
      <w:r>
        <w:rPr>
          <w:b w:val="0"/>
          <w:i w:val="0"/>
        </w:rPr>
        <w:t xml:space="preserve"> Printed forms: </w:t>
      </w:r>
      <w:r>
        <w:rPr>
          <w:b w:val="0"/>
          <w:i/>
        </w:rPr>
        <w:t>provehamur</w:t>
      </w:r>
      <w:r>
        <w:rPr>
          <w:b w:val="0"/>
          <w:i w:val="0"/>
        </w:rPr>
        <w:t xml:space="preserve">; </w:t>
      </w:r>
      <w:r>
        <w:rPr>
          <w:b w:val="0"/>
          <w:i/>
        </w:rPr>
        <w:t>transcendamus</w:t>
      </w:r>
      <w:r>
        <w:rPr>
          <w:b w:val="0"/>
          <w:i w:val="0"/>
        </w:rPr>
        <w:t>.</w:t>
      </w:r>
    </w:p>
    <w:p>
      <w:pPr>
        <w:widowControl/>
      </w:pPr>
      <w:r>
        <w:rPr>
          <w:b w:val="0"/>
          <w:i w:val="0"/>
        </w:rPr>
        <w:t xml:space="preserve">To pass beyond and to advance. These hortatory verbs move the reader from corporeal form to incorporeal third essence; the ascent is explanatory rather than bodily travel. References: </w:t>
      </w:r>
      <w:hyperlink w:anchor="passage-i-3-33">
        <w:r>
          <w:rPr>
            <w:color w:val="000000"/>
          </w:rPr>
          <w:t xml:space="preserve">I.3.33</w:t>
        </w:r>
      </w:hyperlink>
      <w:r>
        <w:rPr>
          <w:b w:val="0"/>
          <w:i w:val="0"/>
        </w:rPr>
        <w:t xml:space="preserve">. See </w:t>
      </w:r>
      <w:hyperlink w:anchor="ascent">
        <w:r>
          <w:rPr>
            <w:color w:val="000000"/>
          </w:rPr>
          <w:t xml:space="preserve">Ascent</w:t>
        </w:r>
      </w:hyperlink>
      <w:r>
        <w:rPr>
          <w:b w:val="0"/>
          <w:i w:val="0"/>
        </w:rPr>
        <w:t>.</w:t>
      </w:r>
    </w:p>
    <w:p>
      <w:pPr>
        <w:keepNext/>
        <w:widowControl/>
      </w:pPr>
      <w:bookmarkStart w:id="1459" w:name="latin-record-1208"/>
      <w:bookmarkEnd w:id="1459"/>
      <w:r>
        <w:rPr>
          <w:b/>
          <w:i w:val="0"/>
        </w:rPr>
        <w:t>transferre / assequi</w:t>
      </w:r>
      <w:r>
        <w:rPr>
          <w:b/>
          <w:i w:val="0"/>
        </w:rPr>
        <w:t>.</w:t>
      </w:r>
      <w:r>
        <w:rPr>
          <w:b w:val="0"/>
          <w:i w:val="0"/>
        </w:rPr>
        <w:t xml:space="preserve"> Printed forms: </w:t>
      </w:r>
      <w:r>
        <w:rPr>
          <w:b w:val="0"/>
          <w:i/>
        </w:rPr>
        <w:t>assequatur</w:t>
      </w:r>
      <w:r>
        <w:rPr>
          <w:b w:val="0"/>
          <w:i w:val="0"/>
        </w:rPr>
        <w:t xml:space="preserve">; </w:t>
      </w:r>
      <w:r>
        <w:rPr>
          <w:b w:val="0"/>
          <w:i/>
        </w:rPr>
        <w:t>assequitur</w:t>
      </w:r>
      <w:r>
        <w:rPr>
          <w:b w:val="0"/>
          <w:i w:val="0"/>
        </w:rPr>
        <w:t xml:space="preserve">; </w:t>
      </w:r>
      <w:r>
        <w:rPr>
          <w:b w:val="0"/>
          <w:i/>
        </w:rPr>
        <w:t>transferre</w:t>
      </w:r>
      <w:r>
        <w:rPr>
          <w:b w:val="0"/>
          <w:i w:val="0"/>
        </w:rPr>
        <w:t>.</w:t>
      </w:r>
    </w:p>
    <w:p>
      <w:pPr>
        <w:widowControl/>
      </w:pPr>
      <w:r>
        <w:rPr>
          <w:b w:val="0"/>
          <w:i w:val="0"/>
        </w:rPr>
        <w:t xml:space="preserve">Transfer or move to another state / acquire or attain. The immobility argument asks whether a supposed divine change gains something new, which would imply previous incompleteness. References: </w:t>
      </w:r>
      <w:hyperlink w:anchor="passage-iii-1-6">
        <w:r>
          <w:rPr>
            <w:color w:val="000000"/>
          </w:rPr>
          <w:t xml:space="preserve">III.1.6</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460" w:name="latin-record-1209"/>
      <w:bookmarkEnd w:id="1460"/>
      <w:r>
        <w:rPr>
          <w:b/>
          <w:i w:val="0"/>
        </w:rPr>
        <w:t>transigo / perago / consummation</w:t>
      </w:r>
      <w:r>
        <w:rPr>
          <w:b/>
          <w:i w:val="0"/>
        </w:rPr>
        <w:t>.</w:t>
      </w:r>
      <w:r>
        <w:rPr>
          <w:b w:val="0"/>
          <w:i w:val="0"/>
        </w:rPr>
        <w:t xml:space="preserve"> Printed forms: </w:t>
      </w:r>
      <w:r>
        <w:rPr>
          <w:b w:val="0"/>
          <w:i/>
        </w:rPr>
        <w:t>consumaret</w:t>
      </w:r>
      <w:r>
        <w:rPr>
          <w:b w:val="0"/>
          <w:i w:val="0"/>
        </w:rPr>
        <w:t xml:space="preserve">; </w:t>
      </w:r>
      <w:r>
        <w:rPr>
          <w:b w:val="0"/>
          <w:i/>
        </w:rPr>
        <w:t>peragitur</w:t>
      </w:r>
      <w:r>
        <w:rPr>
          <w:b w:val="0"/>
          <w:i w:val="0"/>
        </w:rPr>
        <w:t xml:space="preserve">; </w:t>
      </w:r>
      <w:r>
        <w:rPr>
          <w:b w:val="0"/>
          <w:i/>
        </w:rPr>
        <w:t>transigitur</w:t>
      </w:r>
      <w:r>
        <w:rPr>
          <w:b w:val="0"/>
          <w:i w:val="0"/>
        </w:rPr>
        <w:t>.</w:t>
      </w:r>
    </w:p>
    <w:p>
      <w:pPr>
        <w:widowControl/>
      </w:pPr>
      <w:r>
        <w:rPr>
          <w:b w:val="0"/>
          <w:i w:val="0"/>
        </w:rPr>
        <w:t xml:space="preserve">To accomplish, carry through or finish. The bodily action example separates gradual completion from late completion across space. The apparatus retains consumaret with an implicit agent rather than the later passive regularization. References: </w:t>
      </w:r>
      <w:hyperlink w:anchor="passage-i-2-4">
        <w:r>
          <w:rPr>
            <w:color w:val="000000"/>
          </w:rPr>
          <w:t xml:space="preserve">I.2.4</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1461" w:name="latin-record-1210"/>
      <w:bookmarkEnd w:id="1461"/>
      <w:r>
        <w:rPr>
          <w:b/>
          <w:i w:val="0"/>
        </w:rPr>
        <w:t>translatio</w:t>
      </w:r>
      <w:r>
        <w:rPr>
          <w:b/>
          <w:i w:val="0"/>
        </w:rPr>
        <w:t>.</w:t>
      </w:r>
      <w:r>
        <w:rPr>
          <w:b w:val="0"/>
          <w:i w:val="0"/>
        </w:rPr>
        <w:t xml:space="preserve"> Printed forms: </w:t>
      </w:r>
      <w:r>
        <w:rPr>
          <w:b w:val="0"/>
          <w:i/>
        </w:rPr>
        <w:t>translationem</w:t>
      </w:r>
      <w:r>
        <w:rPr>
          <w:b w:val="0"/>
          <w:i w:val="0"/>
        </w:rPr>
        <w:t>.</w:t>
      </w:r>
    </w:p>
    <w:p>
      <w:pPr>
        <w:widowControl/>
      </w:pPr>
      <w:r>
        <w:rPr>
          <w:b w:val="0"/>
          <w:i w:val="0"/>
        </w:rPr>
        <w:t xml:space="preserve">Transfer of expression or metaphor. Ficino explicitly says that calling direct intellectual ordering counsel is a metaphor, explained by acting for ends rather than successive investigation. References: </w:t>
      </w:r>
      <w:hyperlink w:anchor="passage-ii-13-18">
        <w:r>
          <w:rPr>
            <w:color w:val="000000"/>
          </w:rPr>
          <w:t xml:space="preserve">II.13.18</w:t>
        </w:r>
      </w:hyperlink>
      <w:r>
        <w:rPr>
          <w:b w:val="0"/>
          <w:i w:val="0"/>
        </w:rPr>
        <w:t xml:space="preserve">. See </w:t>
      </w:r>
      <w:hyperlink w:anchor="counsel-and-settled-skill">
        <w:r>
          <w:rPr>
            <w:color w:val="000000"/>
          </w:rPr>
          <w:t xml:space="preserve">Counsel and settled skill</w:t>
        </w:r>
      </w:hyperlink>
      <w:r>
        <w:rPr>
          <w:b w:val="0"/>
          <w:i w:val="0"/>
        </w:rPr>
        <w:t>.</w:t>
      </w:r>
    </w:p>
    <w:p>
      <w:pPr>
        <w:keepNext/>
        <w:widowControl/>
      </w:pPr>
      <w:bookmarkStart w:id="1462" w:name="latin-record-1211"/>
      <w:bookmarkEnd w:id="1462"/>
      <w:r>
        <w:rPr>
          <w:b/>
          <w:i w:val="0"/>
        </w:rPr>
        <w:t>tribuere / tradere</w:t>
      </w:r>
      <w:r>
        <w:rPr>
          <w:b/>
          <w:i w:val="0"/>
        </w:rPr>
        <w:t>.</w:t>
      </w:r>
      <w:r>
        <w:rPr>
          <w:b w:val="0"/>
          <w:i w:val="0"/>
        </w:rPr>
        <w:t xml:space="preserve"> Printed forms: </w:t>
      </w:r>
      <w:r>
        <w:rPr>
          <w:b w:val="0"/>
          <w:i/>
        </w:rPr>
        <w:t>tradit</w:t>
      </w:r>
      <w:r>
        <w:rPr>
          <w:b w:val="0"/>
          <w:i w:val="0"/>
        </w:rPr>
        <w:t xml:space="preserve">; </w:t>
      </w:r>
      <w:r>
        <w:rPr>
          <w:b w:val="0"/>
          <w:i/>
        </w:rPr>
        <w:t>tribuimus</w:t>
      </w:r>
      <w:r>
        <w:rPr>
          <w:b w:val="0"/>
          <w:i w:val="0"/>
        </w:rPr>
        <w:t>.</w:t>
      </w:r>
    </w:p>
    <w:p>
      <w:pPr>
        <w:widowControl/>
      </w:pPr>
      <w:r>
        <w:rPr>
          <w:b w:val="0"/>
          <w:i w:val="0"/>
        </w:rPr>
        <w:t xml:space="preserve">To attribute a name or hand down a teaching. John’s theology is presented as transmitted authority; intellectual designations of God are explicitly qualified. References: </w:t>
      </w:r>
      <w:hyperlink w:anchor="passage-ii-3-10">
        <w:r>
          <w:rPr>
            <w:color w:val="000000"/>
          </w:rPr>
          <w:t xml:space="preserve">II.3.10</w:t>
        </w:r>
      </w:hyperlink>
      <w:r>
        <w:rPr>
          <w:b w:val="0"/>
          <w:i w:val="0"/>
        </w:rPr>
        <w:t xml:space="preserve">, </w:t>
      </w:r>
      <w:hyperlink w:anchor="passage-ii-9-12">
        <w:r>
          <w:rPr>
            <w:color w:val="000000"/>
          </w:rPr>
          <w:t xml:space="preserve">II.9.12</w:t>
        </w:r>
      </w:hyperlink>
      <w:r>
        <w:rPr>
          <w:b w:val="0"/>
          <w:i w:val="0"/>
        </w:rPr>
        <w:t xml:space="preserve">. See </w:t>
      </w:r>
      <w:hyperlink w:anchor="naming-by-cause">
        <w:r>
          <w:rPr>
            <w:color w:val="000000"/>
          </w:rPr>
          <w:t xml:space="preserve">Naming by cause</w:t>
        </w:r>
      </w:hyperlink>
      <w:r>
        <w:rPr>
          <w:b w:val="0"/>
          <w:i w:val="0"/>
        </w:rPr>
        <w:t>.</w:t>
      </w:r>
    </w:p>
    <w:p>
      <w:pPr>
        <w:keepNext/>
        <w:widowControl/>
      </w:pPr>
      <w:bookmarkStart w:id="1463" w:name="latin-record-1212"/>
      <w:bookmarkEnd w:id="1463"/>
      <w:r>
        <w:rPr>
          <w:b/>
          <w:i w:val="0"/>
        </w:rPr>
        <w:t>tuba / cornu / cantus</w:t>
      </w:r>
      <w:r>
        <w:rPr>
          <w:b/>
          <w:i w:val="0"/>
        </w:rPr>
        <w:t>.</w:t>
      </w:r>
      <w:r>
        <w:rPr>
          <w:b w:val="0"/>
          <w:i w:val="0"/>
        </w:rPr>
        <w:t xml:space="preserve"> Printed forms: </w:t>
      </w:r>
      <w:r>
        <w:rPr>
          <w:b w:val="0"/>
          <w:i/>
        </w:rPr>
        <w:t>cantus</w:t>
      </w:r>
      <w:r>
        <w:rPr>
          <w:b w:val="0"/>
          <w:i w:val="0"/>
        </w:rPr>
        <w:t xml:space="preserve">; </w:t>
      </w:r>
      <w:r>
        <w:rPr>
          <w:b w:val="0"/>
          <w:i/>
        </w:rPr>
        <w:t>cornuum</w:t>
      </w:r>
      <w:r>
        <w:rPr>
          <w:b w:val="0"/>
          <w:i w:val="0"/>
        </w:rPr>
        <w:t xml:space="preserve">; </w:t>
      </w:r>
      <w:r>
        <w:rPr>
          <w:b w:val="0"/>
          <w:i/>
        </w:rPr>
        <w:t>Tubarum</w:t>
      </w:r>
      <w:r>
        <w:rPr>
          <w:b w:val="0"/>
          <w:i w:val="0"/>
        </w:rPr>
        <w:t>.</w:t>
      </w:r>
    </w:p>
    <w:p>
      <w:pPr>
        <w:widowControl/>
      </w:pPr>
      <w:r>
        <w:rPr>
          <w:b w:val="0"/>
          <w:i w:val="0"/>
        </w:rPr>
        <w:t xml:space="preserve">Trumpet / horn / song. The report includes sounds alongside movement, widening the variety produced through the device’s arrangement. References: </w:t>
      </w:r>
      <w:hyperlink w:anchor="passage-ii-13-13">
        <w:r>
          <w:rPr>
            <w:color w:val="000000"/>
          </w:rPr>
          <w:t xml:space="preserve">II.13.13</w:t>
        </w:r>
      </w:hyperlink>
      <w:r>
        <w:rPr>
          <w:b w:val="0"/>
          <w:i w:val="0"/>
        </w:rPr>
        <w:t xml:space="preserve">. See </w:t>
      </w:r>
      <w:hyperlink w:anchor="florentine-mechanism">
        <w:r>
          <w:rPr>
            <w:color w:val="000000"/>
          </w:rPr>
          <w:t xml:space="preserve">Florentine mechanism</w:t>
        </w:r>
      </w:hyperlink>
      <w:r>
        <w:rPr>
          <w:b w:val="0"/>
          <w:i w:val="0"/>
        </w:rPr>
        <w:t>.</w:t>
      </w:r>
    </w:p>
    <w:p>
      <w:pPr>
        <w:keepNext/>
        <w:widowControl/>
      </w:pPr>
      <w:bookmarkStart w:id="1464" w:name="latin-record-1213"/>
      <w:bookmarkEnd w:id="1464"/>
      <w:r>
        <w:rPr>
          <w:b/>
          <w:i w:val="0"/>
        </w:rPr>
        <w:t>tunc demum affirmanda</w:t>
      </w:r>
      <w:r>
        <w:rPr>
          <w:b/>
          <w:i w:val="0"/>
        </w:rPr>
        <w:t>.</w:t>
      </w:r>
      <w:r>
        <w:rPr>
          <w:b w:val="0"/>
          <w:i w:val="0"/>
        </w:rPr>
        <w:t xml:space="preserve"> Printed forms: </w:t>
      </w:r>
      <w:r>
        <w:rPr>
          <w:b w:val="0"/>
          <w:i/>
        </w:rPr>
        <w:t>tunc demum affirmanda</w:t>
      </w:r>
      <w:r>
        <w:rPr>
          <w:b w:val="0"/>
          <w:i w:val="0"/>
        </w:rPr>
        <w:t>.</w:t>
      </w:r>
    </w:p>
    <w:p>
      <w:pPr>
        <w:widowControl/>
      </w:pPr>
      <w:r>
        <w:rPr>
          <w:b w:val="0"/>
          <w:i w:val="0"/>
        </w:rPr>
        <w:t xml:space="preserve">To be affirmed only then, under the following condition. The sphere-soul account remains conditional upon careful examination and Christian theological approval, not stated to have occurred. References: </w:t>
      </w:r>
      <w:hyperlink w:anchor="passage-iv-1-96">
        <w:r>
          <w:rPr>
            <w:color w:val="000000"/>
          </w:rPr>
          <w:t xml:space="preserve">IV.1.96</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1465" w:name="latin-record-1214"/>
      <w:bookmarkEnd w:id="1465"/>
      <w:r>
        <w:rPr>
          <w:b/>
          <w:i w:val="0"/>
        </w:rPr>
        <w:t>ubique / nusquam / ubi</w:t>
      </w:r>
      <w:r>
        <w:rPr>
          <w:b/>
          <w:i w:val="0"/>
        </w:rPr>
        <w:t>.</w:t>
      </w:r>
      <w:r>
        <w:rPr>
          <w:b w:val="0"/>
          <w:i w:val="0"/>
        </w:rPr>
        <w:t xml:space="preserve"> Printed forms: </w:t>
      </w:r>
      <w:r>
        <w:rPr>
          <w:b w:val="0"/>
          <w:i/>
        </w:rPr>
        <w:t>nusquam</w:t>
      </w:r>
      <w:r>
        <w:rPr>
          <w:b w:val="0"/>
          <w:i w:val="0"/>
        </w:rPr>
        <w:t xml:space="preserve">; </w:t>
      </w:r>
      <w:r>
        <w:rPr>
          <w:b w:val="0"/>
          <w:i/>
        </w:rPr>
        <w:t>Nusquam</w:t>
      </w:r>
      <w:r>
        <w:rPr>
          <w:b w:val="0"/>
          <w:i w:val="0"/>
        </w:rPr>
        <w:t xml:space="preserve">; </w:t>
      </w:r>
      <w:r>
        <w:rPr>
          <w:b w:val="0"/>
          <w:i/>
        </w:rPr>
        <w:t>ubi</w:t>
      </w:r>
      <w:r>
        <w:rPr>
          <w:b w:val="0"/>
          <w:i w:val="0"/>
        </w:rPr>
        <w:t xml:space="preserve">; </w:t>
      </w:r>
      <w:r>
        <w:rPr>
          <w:b w:val="0"/>
          <w:i/>
        </w:rPr>
        <w:t>ubique</w:t>
      </w:r>
      <w:r>
        <w:rPr>
          <w:b w:val="0"/>
          <w:i w:val="0"/>
        </w:rPr>
        <w:t>.</w:t>
      </w:r>
    </w:p>
    <w:p>
      <w:pPr>
        <w:widowControl/>
      </w:pPr>
      <w:r>
        <w:rPr>
          <w:b w:val="0"/>
          <w:i w:val="0"/>
        </w:rPr>
        <w:t xml:space="preserve">Everywhere, nowhere, and where, sometimes treated as substantive names. God is nowhere as uncontained, nowhere absent as sustaining all, and the condition through which where exists. References: </w:t>
      </w:r>
      <w:hyperlink w:anchor="passage-ii-6-8">
        <w:r>
          <w:rPr>
            <w:color w:val="000000"/>
          </w:rPr>
          <w:t xml:space="preserve">II.6.8</w:t>
        </w:r>
      </w:hyperlink>
      <w:r>
        <w:rPr>
          <w:b w:val="0"/>
          <w:i w:val="0"/>
        </w:rPr>
        <w:t xml:space="preserve">, </w:t>
      </w:r>
      <w:hyperlink w:anchor="passage-ii-6-13">
        <w:r>
          <w:rPr>
            <w:color w:val="000000"/>
          </w:rPr>
          <w:t xml:space="preserve">II.6.13</w:t>
        </w:r>
      </w:hyperlink>
      <w:r>
        <w:rPr>
          <w:b w:val="0"/>
          <w:i w:val="0"/>
        </w:rPr>
        <w:t xml:space="preserve">. See </w:t>
      </w:r>
      <w:hyperlink w:anchor="always-and-everywhere">
        <w:r>
          <w:rPr>
            <w:color w:val="000000"/>
          </w:rPr>
          <w:t xml:space="preserve">Always and everywhere</w:t>
        </w:r>
      </w:hyperlink>
      <w:r>
        <w:rPr>
          <w:b w:val="0"/>
          <w:i w:val="0"/>
        </w:rPr>
        <w:t>.</w:t>
      </w:r>
    </w:p>
    <w:p>
      <w:pPr>
        <w:keepNext/>
        <w:widowControl/>
      </w:pPr>
      <w:bookmarkStart w:id="1466" w:name="latin-record-1215"/>
      <w:bookmarkEnd w:id="1466"/>
      <w:r>
        <w:rPr>
          <w:b/>
          <w:i w:val="0"/>
        </w:rPr>
        <w:t>umbra</w:t>
      </w:r>
      <w:r>
        <w:rPr>
          <w:b/>
          <w:i w:val="0"/>
        </w:rPr>
        <w:t>.</w:t>
      </w:r>
      <w:r>
        <w:rPr>
          <w:b w:val="0"/>
          <w:i w:val="0"/>
        </w:rPr>
        <w:t xml:space="preserve"> Printed forms: </w:t>
      </w:r>
      <w:r>
        <w:rPr>
          <w:b w:val="0"/>
          <w:i/>
        </w:rPr>
        <w:t>umbra</w:t>
      </w:r>
      <w:r>
        <w:rPr>
          <w:b w:val="0"/>
          <w:i w:val="0"/>
        </w:rPr>
        <w:t xml:space="preserve">; </w:t>
      </w:r>
      <w:r>
        <w:rPr>
          <w:b w:val="0"/>
          <w:i/>
        </w:rPr>
        <w:t>umbram</w:t>
      </w:r>
      <w:r>
        <w:rPr>
          <w:b w:val="0"/>
          <w:i w:val="0"/>
        </w:rPr>
        <w:t>.</w:t>
      </w:r>
    </w:p>
    <w:p>
      <w:pPr>
        <w:widowControl/>
      </w:pPr>
      <w:r>
        <w:rPr>
          <w:b w:val="0"/>
          <w:i w:val="0"/>
        </w:rPr>
        <w:t xml:space="preserve">Shadow. Subordinate rank explains limitation in III.1; a vital manifestation divided with body is a distinct sense in III.2. References: </w:t>
      </w:r>
      <w:hyperlink w:anchor="passage-iii-1-17">
        <w:r>
          <w:rPr>
            <w:color w:val="000000"/>
          </w:rPr>
          <w:t xml:space="preserve">III.1.17</w:t>
        </w:r>
      </w:hyperlink>
      <w:r>
        <w:rPr>
          <w:b w:val="0"/>
          <w:i w:val="0"/>
        </w:rPr>
        <w:t xml:space="preserve">, </w:t>
      </w:r>
      <w:hyperlink w:anchor="passage-iii-1-19">
        <w:r>
          <w:rPr>
            <w:color w:val="000000"/>
          </w:rPr>
          <w:t xml:space="preserve">III.1.19</w:t>
        </w:r>
      </w:hyperlink>
      <w:r>
        <w:rPr>
          <w:b w:val="0"/>
          <w:i w:val="0"/>
        </w:rPr>
        <w:t xml:space="preserve">, </w:t>
      </w:r>
      <w:hyperlink w:anchor="passage-iii-2-19">
        <w:r>
          <w:rPr>
            <w:color w:val="000000"/>
          </w:rPr>
          <w:t xml:space="preserve">III.2.19</w:t>
        </w:r>
      </w:hyperlink>
      <w:r>
        <w:rPr>
          <w:b w:val="0"/>
          <w:i w:val="0"/>
        </w:rPr>
        <w:t xml:space="preserve">. See </w:t>
      </w:r>
      <w:hyperlink w:anchor="shadows-and-dependence">
        <w:r>
          <w:rPr>
            <w:color w:val="000000"/>
          </w:rPr>
          <w:t xml:space="preserve">Shadows and dependence</w:t>
        </w:r>
      </w:hyperlink>
      <w:r>
        <w:rPr>
          <w:b w:val="0"/>
          <w:i w:val="0"/>
        </w:rPr>
        <w:t>.</w:t>
      </w:r>
    </w:p>
    <w:p>
      <w:pPr>
        <w:keepNext/>
        <w:widowControl/>
      </w:pPr>
      <w:bookmarkStart w:id="1467" w:name="latin-record-1216"/>
      <w:bookmarkEnd w:id="1467"/>
      <w:r>
        <w:rPr>
          <w:b/>
          <w:i w:val="0"/>
        </w:rPr>
        <w:t>umbra / res vera</w:t>
      </w:r>
      <w:r>
        <w:rPr>
          <w:b/>
          <w:i w:val="0"/>
        </w:rPr>
        <w:t>.</w:t>
      </w:r>
      <w:r>
        <w:rPr>
          <w:b w:val="0"/>
          <w:i w:val="0"/>
        </w:rPr>
        <w:t xml:space="preserve"> Printed forms: </w:t>
      </w:r>
      <w:r>
        <w:rPr>
          <w:b w:val="0"/>
          <w:i/>
        </w:rPr>
        <w:t>rebus veris</w:t>
      </w:r>
      <w:r>
        <w:rPr>
          <w:b w:val="0"/>
          <w:i w:val="0"/>
        </w:rPr>
        <w:t xml:space="preserve">; </w:t>
      </w:r>
      <w:r>
        <w:rPr>
          <w:b w:val="0"/>
          <w:i/>
        </w:rPr>
        <w:t>umbras</w:t>
      </w:r>
      <w:r>
        <w:rPr>
          <w:b w:val="0"/>
          <w:i w:val="0"/>
        </w:rPr>
        <w:t xml:space="preserve">; </w:t>
      </w:r>
      <w:r>
        <w:rPr>
          <w:b w:val="0"/>
          <w:i/>
        </w:rPr>
        <w:t>umbris</w:t>
      </w:r>
      <w:r>
        <w:rPr>
          <w:b w:val="0"/>
          <w:i w:val="0"/>
        </w:rPr>
        <w:t>.</w:t>
      </w:r>
    </w:p>
    <w:p>
      <w:pPr>
        <w:widowControl/>
      </w:pPr>
      <w:r>
        <w:rPr>
          <w:b w:val="0"/>
          <w:i w:val="0"/>
        </w:rPr>
        <w:t xml:space="preserve">A shadow contrasted with true realities. The Proem rebukes preference for sensory shadows; this is an evaluative hierarchy, not a denial that sensory appearances occur. References: </w:t>
      </w:r>
      <w:hyperlink w:anchor="passage-proem-9">
        <w:r>
          <w:rPr>
            <w:color w:val="000000"/>
          </w:rPr>
          <w:t xml:space="preserve">Proem.9</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1468" w:name="latin-record-1217"/>
      <w:bookmarkEnd w:id="1468"/>
      <w:r>
        <w:rPr>
          <w:b/>
          <w:i w:val="0"/>
        </w:rPr>
        <w:t>umbra / umbratilis / vanus</w:t>
      </w:r>
      <w:r>
        <w:rPr>
          <w:b/>
          <w:i w:val="0"/>
        </w:rPr>
        <w:t>.</w:t>
      </w:r>
      <w:r>
        <w:rPr>
          <w:b w:val="0"/>
          <w:i w:val="0"/>
        </w:rPr>
        <w:t xml:space="preserve"> Printed forms: </w:t>
      </w:r>
      <w:r>
        <w:rPr>
          <w:b w:val="0"/>
          <w:i/>
        </w:rPr>
        <w:t>imaginarium</w:t>
      </w:r>
      <w:r>
        <w:rPr>
          <w:b w:val="0"/>
          <w:i w:val="0"/>
        </w:rPr>
        <w:t xml:space="preserve">; </w:t>
      </w:r>
      <w:r>
        <w:rPr>
          <w:b w:val="0"/>
          <w:i/>
        </w:rPr>
        <w:t>umbra</w:t>
      </w:r>
      <w:r>
        <w:rPr>
          <w:b w:val="0"/>
          <w:i w:val="0"/>
        </w:rPr>
        <w:t xml:space="preserve">; </w:t>
      </w:r>
      <w:r>
        <w:rPr>
          <w:b w:val="0"/>
          <w:i/>
        </w:rPr>
        <w:t>umbratilis</w:t>
      </w:r>
      <w:r>
        <w:rPr>
          <w:b w:val="0"/>
          <w:i w:val="0"/>
        </w:rPr>
        <w:t xml:space="preserve">; </w:t>
      </w:r>
      <w:r>
        <w:rPr>
          <w:b w:val="0"/>
          <w:i/>
        </w:rPr>
        <w:t>vanior</w:t>
      </w:r>
      <w:r>
        <w:rPr>
          <w:b w:val="0"/>
          <w:i w:val="0"/>
        </w:rPr>
        <w:t xml:space="preserve">; </w:t>
      </w:r>
      <w:r>
        <w:rPr>
          <w:b w:val="0"/>
          <w:i/>
        </w:rPr>
        <w:t>vanum</w:t>
      </w:r>
      <w:r>
        <w:rPr>
          <w:b w:val="0"/>
          <w:i w:val="0"/>
        </w:rPr>
        <w:t xml:space="preserve">; </w:t>
      </w:r>
      <w:r>
        <w:rPr>
          <w:b w:val="0"/>
          <w:i/>
        </w:rPr>
        <w:t>vanus</w:t>
      </w:r>
      <w:r>
        <w:rPr>
          <w:b w:val="0"/>
          <w:i w:val="0"/>
        </w:rPr>
        <w:t>.</w:t>
      </w:r>
    </w:p>
    <w:p>
      <w:pPr>
        <w:widowControl/>
      </w:pPr>
      <w:r>
        <w:rPr>
          <w:b w:val="0"/>
          <w:i w:val="0"/>
        </w:rPr>
        <w:t xml:space="preserve">Shadow or shadow-like; relatively empty or image-like. The words compare dependent effects with the substance of their cause rather than declaring creatures unreal. References: </w:t>
      </w:r>
      <w:hyperlink w:anchor="passage-ii-7-22">
        <w:r>
          <w:rPr>
            <w:color w:val="000000"/>
          </w:rPr>
          <w:t xml:space="preserve">II.7.22</w:t>
        </w:r>
      </w:hyperlink>
      <w:r>
        <w:rPr>
          <w:b w:val="0"/>
          <w:i w:val="0"/>
        </w:rPr>
        <w:t xml:space="preserve">, </w:t>
      </w:r>
      <w:hyperlink w:anchor="passage-ii-7-23">
        <w:r>
          <w:rPr>
            <w:color w:val="000000"/>
          </w:rPr>
          <w:t xml:space="preserve">II.7.23</w:t>
        </w:r>
      </w:hyperlink>
      <w:r>
        <w:rPr>
          <w:b w:val="0"/>
          <w:i w:val="0"/>
        </w:rPr>
        <w:t xml:space="preserve">. See </w:t>
      </w:r>
      <w:hyperlink w:anchor="shadow-and-mirror">
        <w:r>
          <w:rPr>
            <w:color w:val="000000"/>
          </w:rPr>
          <w:t xml:space="preserve">Shadow and mirror</w:t>
        </w:r>
      </w:hyperlink>
      <w:r>
        <w:rPr>
          <w:b w:val="0"/>
          <w:i w:val="0"/>
        </w:rPr>
        <w:t>.</w:t>
      </w:r>
    </w:p>
    <w:p>
      <w:pPr>
        <w:keepNext/>
        <w:widowControl/>
      </w:pPr>
      <w:bookmarkStart w:id="1469" w:name="latin-record-1218"/>
      <w:bookmarkEnd w:id="1469"/>
      <w:r>
        <w:rPr>
          <w:b/>
          <w:i w:val="0"/>
        </w:rPr>
        <w:t>umbra arborum in torrente</w:t>
      </w:r>
      <w:r>
        <w:rPr>
          <w:b/>
          <w:i w:val="0"/>
        </w:rPr>
        <w:t>.</w:t>
      </w:r>
      <w:r>
        <w:rPr>
          <w:b w:val="0"/>
          <w:i w:val="0"/>
        </w:rPr>
        <w:t xml:space="preserve"> Printed forms: </w:t>
      </w:r>
      <w:r>
        <w:rPr>
          <w:b w:val="0"/>
          <w:i/>
        </w:rPr>
        <w:t>arborum</w:t>
      </w:r>
      <w:r>
        <w:rPr>
          <w:b w:val="0"/>
          <w:i w:val="0"/>
        </w:rPr>
        <w:t xml:space="preserve">; </w:t>
      </w:r>
      <w:r>
        <w:rPr>
          <w:b w:val="0"/>
          <w:i/>
        </w:rPr>
        <w:t>in torrente</w:t>
      </w:r>
      <w:r>
        <w:rPr>
          <w:b w:val="0"/>
          <w:i w:val="0"/>
        </w:rPr>
        <w:t xml:space="preserve">; </w:t>
      </w:r>
      <w:r>
        <w:rPr>
          <w:b w:val="0"/>
          <w:i/>
        </w:rPr>
        <w:t>umbras</w:t>
      </w:r>
      <w:r>
        <w:rPr>
          <w:b w:val="0"/>
          <w:i w:val="0"/>
        </w:rPr>
        <w:t>.</w:t>
      </w:r>
    </w:p>
    <w:p>
      <w:pPr>
        <w:widowControl/>
      </w:pPr>
      <w:r>
        <w:rPr>
          <w:b w:val="0"/>
          <w:i w:val="0"/>
        </w:rPr>
        <w:t xml:space="preserve">Shadows of trees in a stream. The reported Plotinian image makes qualities shadowy and fleeting; it is an image of instability, not a literal composition of matter. References: </w:t>
      </w:r>
      <w:hyperlink w:anchor="passage-i-3-19">
        <w:r>
          <w:rPr>
            <w:color w:val="000000"/>
          </w:rPr>
          <w:t xml:space="preserve">I.3.19</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1470" w:name="latin-record-1219"/>
      <w:bookmarkEnd w:id="1470"/>
      <w:r>
        <w:rPr>
          <w:b/>
          <w:i w:val="0"/>
        </w:rPr>
        <w:t>unio / augeo</w:t>
      </w:r>
      <w:r>
        <w:rPr>
          <w:b/>
          <w:i w:val="0"/>
        </w:rPr>
        <w:t>.</w:t>
      </w:r>
      <w:r>
        <w:rPr>
          <w:b w:val="0"/>
          <w:i w:val="0"/>
        </w:rPr>
        <w:t xml:space="preserve"> Printed forms: </w:t>
      </w:r>
      <w:r>
        <w:rPr>
          <w:b w:val="0"/>
          <w:i/>
        </w:rPr>
        <w:t>auget</w:t>
      </w:r>
      <w:r>
        <w:rPr>
          <w:b w:val="0"/>
          <w:i w:val="0"/>
        </w:rPr>
        <w:t xml:space="preserve">; </w:t>
      </w:r>
      <w:r>
        <w:rPr>
          <w:b w:val="0"/>
          <w:i/>
        </w:rPr>
        <w:t>augetur</w:t>
      </w:r>
      <w:r>
        <w:rPr>
          <w:b w:val="0"/>
          <w:i w:val="0"/>
        </w:rPr>
        <w:t xml:space="preserve">; </w:t>
      </w:r>
      <w:r>
        <w:rPr>
          <w:b w:val="0"/>
          <w:i/>
        </w:rPr>
        <w:t>unione</w:t>
      </w:r>
      <w:r>
        <w:rPr>
          <w:b w:val="0"/>
          <w:i w:val="0"/>
        </w:rPr>
        <w:t>.</w:t>
      </w:r>
    </w:p>
    <w:p>
      <w:pPr>
        <w:widowControl/>
      </w:pPr>
      <w:r>
        <w:rPr>
          <w:b w:val="0"/>
          <w:i w:val="0"/>
        </w:rPr>
        <w:t xml:space="preserve">Union and increase. Ficino says power increases by union, yet concentrating a body also increases thickness, producing the action model’s trade-off. References: </w:t>
      </w:r>
      <w:hyperlink w:anchor="passage-i-2-2">
        <w:r>
          <w:rPr>
            <w:color w:val="000000"/>
          </w:rPr>
          <w:t xml:space="preserve">I.2.2</w:t>
        </w:r>
      </w:hyperlink>
      <w:r>
        <w:rPr>
          <w:b w:val="0"/>
          <w:i w:val="0"/>
        </w:rPr>
        <w:t xml:space="preserve">. See </w:t>
      </w:r>
      <w:hyperlink w:anchor="dispersion-and-concentration">
        <w:r>
          <w:rPr>
            <w:color w:val="000000"/>
          </w:rPr>
          <w:t xml:space="preserve">Dispersion and concentration</w:t>
        </w:r>
      </w:hyperlink>
      <w:r>
        <w:rPr>
          <w:b w:val="0"/>
          <w:i w:val="0"/>
        </w:rPr>
        <w:t>.</w:t>
      </w:r>
    </w:p>
    <w:p>
      <w:pPr>
        <w:keepNext/>
        <w:widowControl/>
      </w:pPr>
      <w:bookmarkStart w:id="1471" w:name="latin-record-1220"/>
      <w:bookmarkEnd w:id="1471"/>
      <w:r>
        <w:rPr>
          <w:b/>
          <w:i w:val="0"/>
        </w:rPr>
        <w:t>unire</w:t>
      </w:r>
      <w:r>
        <w:rPr>
          <w:b/>
          <w:i w:val="0"/>
        </w:rPr>
        <w:t>.</w:t>
      </w:r>
      <w:r>
        <w:rPr>
          <w:b w:val="0"/>
          <w:i w:val="0"/>
        </w:rPr>
        <w:t xml:space="preserve"> Printed forms: </w:t>
      </w:r>
      <w:r>
        <w:rPr>
          <w:b w:val="0"/>
          <w:i/>
        </w:rPr>
        <w:t>uniri</w:t>
      </w:r>
      <w:r>
        <w:rPr>
          <w:b w:val="0"/>
          <w:i w:val="0"/>
        </w:rPr>
        <w:t>.</w:t>
      </w:r>
    </w:p>
    <w:p>
      <w:pPr>
        <w:widowControl/>
      </w:pPr>
      <w:r>
        <w:rPr>
          <w:b w:val="0"/>
          <w:i w:val="0"/>
        </w:rPr>
        <w:t xml:space="preserve">Unite or join. The most perfect union in God is explained as identity with God in that mode, not coexistence as many substances. References: </w:t>
      </w:r>
      <w:hyperlink w:anchor="passage-ii-11-7">
        <w:r>
          <w:rPr>
            <w:color w:val="000000"/>
          </w:rPr>
          <w:t xml:space="preserve">II.11.7</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1472" w:name="latin-record-1221"/>
      <w:bookmarkEnd w:id="1472"/>
      <w:r>
        <w:rPr>
          <w:b/>
          <w:i w:val="0"/>
        </w:rPr>
        <w:t>unitas / unio</w:t>
      </w:r>
      <w:r>
        <w:rPr>
          <w:b/>
          <w:i w:val="0"/>
        </w:rPr>
        <w:t>.</w:t>
      </w:r>
      <w:r>
        <w:rPr>
          <w:b w:val="0"/>
          <w:i w:val="0"/>
        </w:rPr>
        <w:t xml:space="preserve"> Printed forms: </w:t>
      </w:r>
      <w:r>
        <w:rPr>
          <w:b w:val="0"/>
          <w:i/>
        </w:rPr>
        <w:t>unitas</w:t>
      </w:r>
      <w:r>
        <w:rPr>
          <w:b w:val="0"/>
          <w:i w:val="0"/>
        </w:rPr>
        <w:t xml:space="preserve">; </w:t>
      </w:r>
      <w:r>
        <w:rPr>
          <w:b w:val="0"/>
          <w:i/>
        </w:rPr>
        <w:t>unitate</w:t>
      </w:r>
      <w:r>
        <w:rPr>
          <w:b w:val="0"/>
          <w:i w:val="0"/>
        </w:rPr>
        <w:t xml:space="preserve">; </w:t>
      </w:r>
      <w:r>
        <w:rPr>
          <w:b w:val="0"/>
          <w:i/>
        </w:rPr>
        <w:t>unitatem</w:t>
      </w:r>
      <w:r>
        <w:rPr>
          <w:b w:val="0"/>
          <w:i w:val="0"/>
        </w:rPr>
        <w:t xml:space="preserve">; </w:t>
      </w:r>
      <w:r>
        <w:rPr>
          <w:b w:val="0"/>
          <w:i/>
        </w:rPr>
        <w:t>unitates</w:t>
      </w:r>
      <w:r>
        <w:rPr>
          <w:b w:val="0"/>
          <w:i w:val="0"/>
        </w:rPr>
        <w:t xml:space="preserve">; </w:t>
      </w:r>
      <w:r>
        <w:rPr>
          <w:b w:val="0"/>
          <w:i/>
        </w:rPr>
        <w:t>unitati</w:t>
      </w:r>
      <w:r>
        <w:rPr>
          <w:b w:val="0"/>
          <w:i w:val="0"/>
        </w:rPr>
        <w:t xml:space="preserve">; </w:t>
      </w:r>
      <w:r>
        <w:rPr>
          <w:b w:val="0"/>
          <w:i/>
        </w:rPr>
        <w:t>unitatis</w:t>
      </w:r>
      <w:r>
        <w:rPr>
          <w:b w:val="0"/>
          <w:i w:val="0"/>
        </w:rPr>
        <w:t>.</w:t>
      </w:r>
    </w:p>
    <w:p>
      <w:pPr>
        <w:widowControl/>
      </w:pPr>
      <w:r>
        <w:rPr>
          <w:b w:val="0"/>
          <w:i w:val="0"/>
        </w:rPr>
        <w:t xml:space="preserve">Unity as simplicity or unifying condition; union as the joining by which many form a whole. A proposed source above unity would make unity composite and itself lack any coherent whole or parts. References: </w:t>
      </w:r>
      <w:hyperlink w:anchor="passage-ii-1-1">
        <w:r>
          <w:rPr>
            <w:color w:val="000000"/>
          </w:rPr>
          <w:t xml:space="preserve">II.1.1</w:t>
        </w:r>
      </w:hyperlink>
      <w:r>
        <w:rPr>
          <w:b w:val="0"/>
          <w:i w:val="0"/>
        </w:rPr>
        <w:t xml:space="preserve">, </w:t>
      </w:r>
      <w:hyperlink w:anchor="passage-ii-1-3">
        <w:r>
          <w:rPr>
            <w:color w:val="000000"/>
          </w:rPr>
          <w:t xml:space="preserve">II.1.3</w:t>
        </w:r>
      </w:hyperlink>
      <w:r>
        <w:rPr>
          <w:b w:val="0"/>
          <w:i w:val="0"/>
        </w:rPr>
        <w:t xml:space="preserve">, </w:t>
      </w:r>
      <w:hyperlink w:anchor="passage-ii-2-7">
        <w:r>
          <w:rPr>
            <w:color w:val="000000"/>
          </w:rPr>
          <w:t xml:space="preserve">II.2.7</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1473" w:name="latin-record-1222"/>
      <w:bookmarkEnd w:id="1473"/>
      <w:r>
        <w:rPr>
          <w:b/>
          <w:i w:val="0"/>
        </w:rPr>
        <w:t>unitas accidentalis / substantialis</w:t>
      </w:r>
      <w:r>
        <w:rPr>
          <w:b/>
          <w:i w:val="0"/>
        </w:rPr>
        <w:t>.</w:t>
      </w:r>
      <w:r>
        <w:rPr>
          <w:b w:val="0"/>
          <w:i w:val="0"/>
        </w:rPr>
        <w:t xml:space="preserve"> Printed forms: </w:t>
      </w:r>
      <w:r>
        <w:rPr>
          <w:b w:val="0"/>
          <w:i/>
        </w:rPr>
        <w:t>accidentalem</w:t>
      </w:r>
      <w:r>
        <w:rPr>
          <w:b w:val="0"/>
          <w:i w:val="0"/>
        </w:rPr>
        <w:t xml:space="preserve">; </w:t>
      </w:r>
      <w:r>
        <w:rPr>
          <w:b w:val="0"/>
          <w:i/>
        </w:rPr>
        <w:t>substantialem</w:t>
      </w:r>
      <w:r>
        <w:rPr>
          <w:b w:val="0"/>
          <w:i w:val="0"/>
        </w:rPr>
        <w:t xml:space="preserve">; </w:t>
      </w:r>
      <w:r>
        <w:rPr>
          <w:b w:val="0"/>
          <w:i/>
        </w:rPr>
        <w:t>unitatem</w:t>
      </w:r>
      <w:r>
        <w:rPr>
          <w:b w:val="0"/>
          <w:i w:val="0"/>
        </w:rPr>
        <w:t>.</w:t>
      </w:r>
    </w:p>
    <w:p>
      <w:pPr>
        <w:widowControl/>
      </w:pPr>
      <w:r>
        <w:rPr>
          <w:b w:val="0"/>
          <w:i w:val="0"/>
        </w:rPr>
        <w:t xml:space="preserve">Accidental unity and substantial unity. Ficino rises beyond the indivisible unit toward a subsisting essence that grounds accidents; indivisibility alone does not finish the ascent. References: </w:t>
      </w:r>
      <w:hyperlink w:anchor="passage-i-3-13">
        <w:r>
          <w:rPr>
            <w:color w:val="000000"/>
          </w:rPr>
          <w:t xml:space="preserve">I.3.13</w:t>
        </w:r>
      </w:hyperlink>
      <w:r>
        <w:rPr>
          <w:b w:val="0"/>
          <w:i w:val="0"/>
        </w:rPr>
        <w:t xml:space="preserve">. See </w:t>
      </w:r>
      <w:hyperlink w:anchor="point-position-and-mathematical-ascent">
        <w:r>
          <w:rPr>
            <w:color w:val="000000"/>
          </w:rPr>
          <w:t xml:space="preserve">Point, position and mathematical ascent</w:t>
        </w:r>
      </w:hyperlink>
      <w:r>
        <w:rPr>
          <w:b w:val="0"/>
          <w:i w:val="0"/>
        </w:rPr>
        <w:t>.</w:t>
      </w:r>
    </w:p>
    <w:p>
      <w:pPr>
        <w:keepNext/>
        <w:widowControl/>
      </w:pPr>
      <w:bookmarkStart w:id="1474" w:name="latin-record-1223"/>
      <w:bookmarkEnd w:id="1474"/>
      <w:r>
        <w:rPr>
          <w:b/>
          <w:i w:val="0"/>
        </w:rPr>
        <w:t>universalis / universalia</w:t>
      </w:r>
      <w:r>
        <w:rPr>
          <w:b/>
          <w:i w:val="0"/>
        </w:rPr>
        <w:t>.</w:t>
      </w:r>
      <w:r>
        <w:rPr>
          <w:b w:val="0"/>
          <w:i w:val="0"/>
        </w:rPr>
        <w:t xml:space="preserve"> Printed forms: </w:t>
      </w:r>
      <w:r>
        <w:rPr>
          <w:b w:val="0"/>
          <w:i/>
        </w:rPr>
        <w:t>universale</w:t>
      </w:r>
      <w:r>
        <w:rPr>
          <w:b w:val="0"/>
          <w:i w:val="0"/>
        </w:rPr>
        <w:t xml:space="preserve">; </w:t>
      </w:r>
      <w:r>
        <w:rPr>
          <w:b w:val="0"/>
          <w:i/>
        </w:rPr>
        <w:t>universalem</w:t>
      </w:r>
      <w:r>
        <w:rPr>
          <w:b w:val="0"/>
          <w:i w:val="0"/>
        </w:rPr>
        <w:t xml:space="preserve">; </w:t>
      </w:r>
      <w:r>
        <w:rPr>
          <w:b w:val="0"/>
          <w:i/>
        </w:rPr>
        <w:t>universales</w:t>
      </w:r>
      <w:r>
        <w:rPr>
          <w:b w:val="0"/>
          <w:i w:val="0"/>
        </w:rPr>
        <w:t xml:space="preserve">; </w:t>
      </w:r>
      <w:r>
        <w:rPr>
          <w:b w:val="0"/>
          <w:i/>
        </w:rPr>
        <w:t>universali</w:t>
      </w:r>
      <w:r>
        <w:rPr>
          <w:b w:val="0"/>
          <w:i w:val="0"/>
        </w:rPr>
        <w:t xml:space="preserve">; </w:t>
      </w:r>
      <w:r>
        <w:rPr>
          <w:b w:val="0"/>
          <w:i/>
        </w:rPr>
        <w:t>universalia</w:t>
      </w:r>
      <w:r>
        <w:rPr>
          <w:b w:val="0"/>
          <w:i w:val="0"/>
        </w:rPr>
        <w:t xml:space="preserve">; </w:t>
      </w:r>
      <w:r>
        <w:rPr>
          <w:b w:val="0"/>
          <w:i/>
        </w:rPr>
        <w:t>universalis</w:t>
      </w:r>
      <w:r>
        <w:rPr>
          <w:b w:val="0"/>
          <w:i w:val="0"/>
        </w:rPr>
        <w:t>.</w:t>
      </w:r>
    </w:p>
    <w:p>
      <w:pPr>
        <w:widowControl/>
      </w:pPr>
      <w:r>
        <w:rPr>
          <w:b w:val="0"/>
          <w:i w:val="0"/>
        </w:rPr>
        <w:t xml:space="preserve">Universal in causal scope or in the principles known. Intellect adds universal principles without losing clearer knowledge of individuals; universal cause is present to universal effect. References: </w:t>
      </w:r>
      <w:hyperlink w:anchor="passage-ii-6-2">
        <w:r>
          <w:rPr>
            <w:color w:val="000000"/>
          </w:rPr>
          <w:t xml:space="preserve">II.6.2</w:t>
        </w:r>
      </w:hyperlink>
      <w:r>
        <w:rPr>
          <w:b w:val="0"/>
          <w:i w:val="0"/>
        </w:rPr>
        <w:t xml:space="preserve">, </w:t>
      </w:r>
      <w:hyperlink w:anchor="passage-ii-7-30">
        <w:r>
          <w:rPr>
            <w:color w:val="000000"/>
          </w:rPr>
          <w:t xml:space="preserve">II.7.30</w:t>
        </w:r>
      </w:hyperlink>
      <w:r>
        <w:rPr>
          <w:b w:val="0"/>
          <w:i w:val="0"/>
        </w:rPr>
        <w:t xml:space="preserve">, </w:t>
      </w:r>
      <w:hyperlink w:anchor="passage-ii-9-16">
        <w:r>
          <w:rPr>
            <w:color w:val="000000"/>
          </w:rPr>
          <w:t xml:space="preserve">II.9.16</w:t>
        </w:r>
      </w:hyperlink>
      <w:r>
        <w:rPr>
          <w:b w:val="0"/>
          <w:i w:val="0"/>
        </w:rPr>
        <w:t xml:space="preserve">, </w:t>
      </w:r>
      <w:hyperlink w:anchor="passage-ii-9-17">
        <w:r>
          <w:rPr>
            <w:color w:val="000000"/>
          </w:rPr>
          <w:t xml:space="preserve">II.9.17</w:t>
        </w:r>
      </w:hyperlink>
      <w:r>
        <w:rPr>
          <w:b w:val="0"/>
          <w:i w:val="0"/>
        </w:rPr>
        <w:t xml:space="preserve">. See </w:t>
      </w:r>
      <w:hyperlink w:anchor="universals-and-individuals">
        <w:r>
          <w:rPr>
            <w:color w:val="000000"/>
          </w:rPr>
          <w:t xml:space="preserve">Universals and individuals</w:t>
        </w:r>
      </w:hyperlink>
      <w:r>
        <w:rPr>
          <w:b w:val="0"/>
          <w:i w:val="0"/>
        </w:rPr>
        <w:t>.</w:t>
      </w:r>
    </w:p>
    <w:p>
      <w:pPr>
        <w:keepNext/>
        <w:widowControl/>
      </w:pPr>
      <w:bookmarkStart w:id="1475" w:name="latin-record-1224"/>
      <w:bookmarkEnd w:id="1475"/>
      <w:r>
        <w:rPr>
          <w:b/>
          <w:i w:val="0"/>
        </w:rPr>
        <w:t>unum simpliciter</w:t>
      </w:r>
      <w:r>
        <w:rPr>
          <w:b/>
          <w:i w:val="0"/>
        </w:rPr>
        <w:t>.</w:t>
      </w:r>
      <w:r>
        <w:rPr>
          <w:b w:val="0"/>
          <w:i w:val="0"/>
        </w:rPr>
        <w:t xml:space="preserve"> Printed forms: </w:t>
      </w:r>
      <w:r>
        <w:rPr>
          <w:b w:val="0"/>
          <w:i/>
        </w:rPr>
        <w:t>unum ipsum</w:t>
      </w:r>
      <w:r>
        <w:rPr>
          <w:b w:val="0"/>
          <w:i w:val="0"/>
        </w:rPr>
        <w:t xml:space="preserve">; </w:t>
      </w:r>
      <w:r>
        <w:rPr>
          <w:b w:val="0"/>
          <w:i/>
        </w:rPr>
        <w:t>unum simpliciter</w:t>
      </w:r>
      <w:r>
        <w:rPr>
          <w:b w:val="0"/>
          <w:i w:val="0"/>
        </w:rPr>
        <w:t>.</w:t>
      </w:r>
    </w:p>
    <w:p>
      <w:pPr>
        <w:widowControl/>
      </w:pPr>
      <w:r>
        <w:rPr>
          <w:b w:val="0"/>
          <w:i w:val="0"/>
        </w:rPr>
        <w:t xml:space="preserve">The One without qualification; unity itself. One mind remains both mind and one, so the ascent passes beyond it to unrestricted unity. References: </w:t>
      </w:r>
      <w:hyperlink w:anchor="passage-iv-1-51">
        <w:r>
          <w:rPr>
            <w:color w:val="000000"/>
          </w:rPr>
          <w:t xml:space="preserve">IV.1.51</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1476" w:name="latin-record-1225"/>
      <w:bookmarkEnd w:id="1476"/>
      <w:r>
        <w:rPr>
          <w:b/>
          <w:i w:val="0"/>
        </w:rPr>
        <w:t>unum vivens</w:t>
      </w:r>
      <w:r>
        <w:rPr>
          <w:b/>
          <w:i w:val="0"/>
        </w:rPr>
        <w:t>.</w:t>
      </w:r>
      <w:r>
        <w:rPr>
          <w:b w:val="0"/>
          <w:i w:val="0"/>
        </w:rPr>
        <w:t xml:space="preserve"> Printed forms: </w:t>
      </w:r>
      <w:r>
        <w:rPr>
          <w:b w:val="0"/>
          <w:i/>
        </w:rPr>
        <w:t>unam habeat animam</w:t>
      </w:r>
      <w:r>
        <w:rPr>
          <w:b w:val="0"/>
          <w:i w:val="0"/>
        </w:rPr>
        <w:t xml:space="preserve">; </w:t>
      </w:r>
      <w:r>
        <w:rPr>
          <w:b w:val="0"/>
          <w:i/>
        </w:rPr>
        <w:t>unam vitam</w:t>
      </w:r>
      <w:r>
        <w:rPr>
          <w:b w:val="0"/>
          <w:i w:val="0"/>
        </w:rPr>
        <w:t xml:space="preserve">; </w:t>
      </w:r>
      <w:r>
        <w:rPr>
          <w:b w:val="0"/>
          <w:i/>
        </w:rPr>
        <w:t>unum vivens</w:t>
      </w:r>
      <w:r>
        <w:rPr>
          <w:b w:val="0"/>
          <w:i w:val="0"/>
        </w:rPr>
        <w:t>.</w:t>
      </w:r>
    </w:p>
    <w:p>
      <w:pPr>
        <w:widowControl/>
      </w:pPr>
      <w:r>
        <w:rPr>
          <w:b w:val="0"/>
          <w:i w:val="0"/>
        </w:rPr>
        <w:t xml:space="preserve">One living being, life, and soul. The argument links the unity of the world’s life to one animating source, without thereby eliminating subordinate souls. References: </w:t>
      </w:r>
      <w:hyperlink w:anchor="passage-iv-1-80">
        <w:r>
          <w:rPr>
            <w:color w:val="000000"/>
          </w:rPr>
          <w:t xml:space="preserve">IV.1.80</w:t>
        </w:r>
      </w:hyperlink>
      <w:r>
        <w:rPr>
          <w:b w:val="0"/>
          <w:i w:val="0"/>
        </w:rPr>
        <w:t xml:space="preserve">. See </w:t>
      </w:r>
      <w:hyperlink w:anchor="world-soul">
        <w:r>
          <w:rPr>
            <w:color w:val="000000"/>
          </w:rPr>
          <w:t xml:space="preserve">World soul</w:t>
        </w:r>
      </w:hyperlink>
      <w:r>
        <w:rPr>
          <w:b w:val="0"/>
          <w:i w:val="0"/>
        </w:rPr>
        <w:t>.</w:t>
      </w:r>
    </w:p>
    <w:p>
      <w:pPr>
        <w:keepNext/>
        <w:widowControl/>
      </w:pPr>
      <w:bookmarkStart w:id="1477" w:name="latin-record-1226"/>
      <w:bookmarkEnd w:id="1477"/>
      <w:r>
        <w:rPr>
          <w:b/>
          <w:i w:val="0"/>
        </w:rPr>
        <w:t>unus / unitas / multitudo</w:t>
      </w:r>
      <w:r>
        <w:rPr>
          <w:b/>
          <w:i w:val="0"/>
        </w:rPr>
        <w:t>.</w:t>
      </w:r>
      <w:r>
        <w:rPr>
          <w:b w:val="0"/>
          <w:i w:val="0"/>
        </w:rPr>
        <w:t xml:space="preserve"> Printed forms: </w:t>
      </w:r>
      <w:r>
        <w:rPr>
          <w:b w:val="0"/>
          <w:i/>
        </w:rPr>
        <w:t>multitudo</w:t>
      </w:r>
      <w:r>
        <w:rPr>
          <w:b w:val="0"/>
          <w:i w:val="0"/>
        </w:rPr>
        <w:t xml:space="preserve">; </w:t>
      </w:r>
      <w:r>
        <w:rPr>
          <w:b w:val="0"/>
          <w:i/>
        </w:rPr>
        <w:t>unitas</w:t>
      </w:r>
      <w:r>
        <w:rPr>
          <w:b w:val="0"/>
          <w:i w:val="0"/>
        </w:rPr>
        <w:t xml:space="preserve">; </w:t>
      </w:r>
      <w:r>
        <w:rPr>
          <w:b w:val="0"/>
          <w:i/>
        </w:rPr>
        <w:t>unum</w:t>
      </w:r>
      <w:r>
        <w:rPr>
          <w:b w:val="0"/>
          <w:i w:val="0"/>
        </w:rPr>
        <w:t>.</w:t>
      </w:r>
    </w:p>
    <w:p>
      <w:pPr>
        <w:widowControl/>
      </w:pPr>
      <w:r>
        <w:rPr>
          <w:b w:val="0"/>
          <w:i w:val="0"/>
        </w:rPr>
        <w:t xml:space="preserve">One / unity / multiplicity. The grades combine unity and multiplicity differently; nonspatial multiplicity in angel and soul does not imply bodily pieces. References: </w:t>
      </w:r>
      <w:hyperlink w:anchor="passage-iii-1-1">
        <w:r>
          <w:rPr>
            <w:color w:val="000000"/>
          </w:rPr>
          <w:t xml:space="preserve">III.1.1</w:t>
        </w:r>
      </w:hyperlink>
      <w:r>
        <w:rPr>
          <w:b w:val="0"/>
          <w:i w:val="0"/>
        </w:rPr>
        <w:t xml:space="preserve">, </w:t>
      </w:r>
      <w:hyperlink w:anchor="passage-iii-1-2">
        <w:r>
          <w:rPr>
            <w:color w:val="000000"/>
          </w:rPr>
          <w:t xml:space="preserve">III.1.2</w:t>
        </w:r>
      </w:hyperlink>
      <w:r>
        <w:rPr>
          <w:b w:val="0"/>
          <w:i w:val="0"/>
        </w:rPr>
        <w:t xml:space="preserve">, </w:t>
      </w:r>
      <w:hyperlink w:anchor="passage-iii-1-4">
        <w:r>
          <w:rPr>
            <w:color w:val="000000"/>
          </w:rPr>
          <w:t xml:space="preserve">III.1.4</w:t>
        </w:r>
      </w:hyperlink>
      <w:r>
        <w:rPr>
          <w:b w:val="0"/>
          <w:i w:val="0"/>
        </w:rPr>
        <w:t xml:space="preserve">, </w:t>
      </w:r>
      <w:hyperlink w:anchor="passage-iii-1-5">
        <w:r>
          <w:rPr>
            <w:color w:val="000000"/>
          </w:rPr>
          <w:t xml:space="preserve">III.1.5</w:t>
        </w:r>
      </w:hyperlink>
      <w:r>
        <w:rPr>
          <w:b w:val="0"/>
          <w:i w:val="0"/>
        </w:rPr>
        <w:t xml:space="preserve">. See </w:t>
      </w:r>
      <w:hyperlink w:anchor="unity-and-multiplicity">
        <w:r>
          <w:rPr>
            <w:color w:val="000000"/>
          </w:rPr>
          <w:t xml:space="preserve">Unity and multiplicity</w:t>
        </w:r>
      </w:hyperlink>
      <w:r>
        <w:rPr>
          <w:b w:val="0"/>
          <w:i w:val="0"/>
        </w:rPr>
        <w:t>.</w:t>
      </w:r>
    </w:p>
    <w:p>
      <w:pPr>
        <w:keepNext/>
        <w:widowControl/>
      </w:pPr>
      <w:bookmarkStart w:id="1478" w:name="latin-record-1227"/>
      <w:bookmarkEnd w:id="1478"/>
      <w:r>
        <w:rPr>
          <w:b/>
          <w:i w:val="0"/>
        </w:rPr>
        <w:t>urere / frigefacere</w:t>
      </w:r>
      <w:r>
        <w:rPr>
          <w:b/>
          <w:i w:val="0"/>
        </w:rPr>
        <w:t>.</w:t>
      </w:r>
      <w:r>
        <w:rPr>
          <w:b w:val="0"/>
          <w:i w:val="0"/>
        </w:rPr>
        <w:t xml:space="preserve"> Printed forms: </w:t>
      </w:r>
      <w:r>
        <w:rPr>
          <w:b w:val="0"/>
          <w:i/>
        </w:rPr>
        <w:t>frigefacerentque</w:t>
      </w:r>
      <w:r>
        <w:rPr>
          <w:b w:val="0"/>
          <w:i w:val="0"/>
        </w:rPr>
        <w:t xml:space="preserve">; </w:t>
      </w:r>
      <w:r>
        <w:rPr>
          <w:b w:val="0"/>
          <w:i/>
        </w:rPr>
        <w:t>urerent</w:t>
      </w:r>
      <w:r>
        <w:rPr>
          <w:b w:val="0"/>
          <w:i w:val="0"/>
        </w:rPr>
        <w:t>.</w:t>
      </w:r>
    </w:p>
    <w:p>
      <w:pPr>
        <w:widowControl/>
      </w:pPr>
      <w:r>
        <w:rPr>
          <w:b w:val="0"/>
          <w:i w:val="0"/>
        </w:rPr>
        <w:t xml:space="preserve">To burn or cool. Isolated elemental qualities have restricted effects; living nature directs them toward varied organic forms. References: </w:t>
      </w:r>
      <w:hyperlink w:anchor="passage-iv-1-18">
        <w:r>
          <w:rPr>
            <w:color w:val="000000"/>
          </w:rPr>
          <w:t xml:space="preserve">IV.1.18</w:t>
        </w:r>
      </w:hyperlink>
      <w:r>
        <w:rPr>
          <w:b w:val="0"/>
          <w:i w:val="0"/>
        </w:rPr>
        <w:t xml:space="preserve">. See </w:t>
      </w:r>
      <w:hyperlink w:anchor="quality">
        <w:r>
          <w:rPr>
            <w:color w:val="000000"/>
          </w:rPr>
          <w:t xml:space="preserve">Quality</w:t>
        </w:r>
      </w:hyperlink>
      <w:r>
        <w:rPr>
          <w:b w:val="0"/>
          <w:i w:val="0"/>
        </w:rPr>
        <w:t>.</w:t>
      </w:r>
    </w:p>
    <w:p>
      <w:pPr>
        <w:keepNext/>
        <w:widowControl/>
      </w:pPr>
      <w:bookmarkStart w:id="1479" w:name="latin-record-1228"/>
      <w:bookmarkEnd w:id="1479"/>
      <w:r>
        <w:rPr>
          <w:b/>
          <w:i w:val="0"/>
        </w:rPr>
        <w:t>usurpare / superesse</w:t>
      </w:r>
      <w:r>
        <w:rPr>
          <w:b/>
          <w:i w:val="0"/>
        </w:rPr>
        <w:t>.</w:t>
      </w:r>
      <w:r>
        <w:rPr>
          <w:b w:val="0"/>
          <w:i w:val="0"/>
        </w:rPr>
        <w:t xml:space="preserve"> Printed forms: </w:t>
      </w:r>
      <w:r>
        <w:rPr>
          <w:b w:val="0"/>
          <w:i/>
        </w:rPr>
        <w:t>superest</w:t>
      </w:r>
      <w:r>
        <w:rPr>
          <w:b w:val="0"/>
          <w:i w:val="0"/>
        </w:rPr>
        <w:t xml:space="preserve">; </w:t>
      </w:r>
      <w:r>
        <w:rPr>
          <w:b w:val="0"/>
          <w:i/>
        </w:rPr>
        <w:t>usurpare</w:t>
      </w:r>
      <w:r>
        <w:rPr>
          <w:b w:val="0"/>
          <w:i w:val="0"/>
        </w:rPr>
        <w:t>.</w:t>
      </w:r>
    </w:p>
    <w:p>
      <w:pPr>
        <w:widowControl/>
      </w:pPr>
      <w:r>
        <w:rPr>
          <w:b w:val="0"/>
          <w:i w:val="0"/>
        </w:rPr>
        <w:t xml:space="preserve">To claim or appropriate; to remain beyond what has been realized. Finite things cannot lay claim to the whole exemplar’s perfection, so a further mode of imitation always remains. References: </w:t>
      </w:r>
      <w:hyperlink w:anchor="passage-ii-10-5">
        <w:r>
          <w:rPr>
            <w:color w:val="000000"/>
          </w:rPr>
          <w:t xml:space="preserve">II.10.5</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1480" w:name="latin-record-1229"/>
      <w:bookmarkEnd w:id="1480"/>
      <w:r>
        <w:rPr>
          <w:b/>
          <w:i w:val="0"/>
        </w:rPr>
        <w:t>ut plurimum</w:t>
      </w:r>
      <w:r>
        <w:rPr>
          <w:b/>
          <w:i w:val="0"/>
        </w:rPr>
        <w:t>.</w:t>
      </w:r>
      <w:r>
        <w:rPr>
          <w:b w:val="0"/>
          <w:i w:val="0"/>
        </w:rPr>
        <w:t xml:space="preserve"> Printed forms: </w:t>
      </w:r>
      <w:r>
        <w:rPr>
          <w:b w:val="0"/>
          <w:i/>
        </w:rPr>
        <w:t>ut plurimum</w:t>
      </w:r>
      <w:r>
        <w:rPr>
          <w:b w:val="0"/>
          <w:i w:val="0"/>
        </w:rPr>
        <w:t>.</w:t>
      </w:r>
    </w:p>
    <w:p>
      <w:pPr>
        <w:widowControl/>
      </w:pPr>
      <w:r>
        <w:rPr>
          <w:b w:val="0"/>
          <w:i w:val="0"/>
        </w:rPr>
        <w:t xml:space="preserve">For the most part. Embodied minds generally turn to sensible things in order to understand; the qualification prevents making this an exceptionless dependence claim. References: </w:t>
      </w:r>
      <w:hyperlink w:anchor="passage-i-5-16">
        <w:r>
          <w:rPr>
            <w:color w:val="000000"/>
          </w:rPr>
          <w:t xml:space="preserve">I.5.16</w:t>
        </w:r>
      </w:hyperlink>
      <w:r>
        <w:rPr>
          <w:b w:val="0"/>
          <w:i w:val="0"/>
        </w:rPr>
        <w:t xml:space="preserve">, </w:t>
      </w:r>
      <w:hyperlink w:anchor="passage-i-5-17">
        <w:r>
          <w:rPr>
            <w:color w:val="000000"/>
          </w:rPr>
          <w:t xml:space="preserve">I.5.17</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1481" w:name="latin-record-1230"/>
      <w:bookmarkEnd w:id="1481"/>
      <w:r>
        <w:rPr>
          <w:b/>
          <w:i w:val="0"/>
        </w:rPr>
        <w:t>uti / usus</w:t>
      </w:r>
      <w:r>
        <w:rPr>
          <w:b/>
          <w:i w:val="0"/>
        </w:rPr>
        <w:t>.</w:t>
      </w:r>
      <w:r>
        <w:rPr>
          <w:b w:val="0"/>
          <w:i w:val="0"/>
        </w:rPr>
        <w:t xml:space="preserve"> Printed forms: </w:t>
      </w:r>
      <w:r>
        <w:rPr>
          <w:b w:val="0"/>
          <w:i/>
        </w:rPr>
        <w:t>usu</w:t>
      </w:r>
      <w:r>
        <w:rPr>
          <w:b w:val="0"/>
          <w:i w:val="0"/>
        </w:rPr>
        <w:t xml:space="preserve">; </w:t>
      </w:r>
      <w:r>
        <w:rPr>
          <w:b w:val="0"/>
          <w:i/>
        </w:rPr>
        <w:t>uti</w:t>
      </w:r>
      <w:r>
        <w:rPr>
          <w:b w:val="0"/>
          <w:i w:val="0"/>
        </w:rPr>
        <w:t xml:space="preserve">; </w:t>
      </w:r>
      <w:r>
        <w:rPr>
          <w:b w:val="0"/>
          <w:i/>
        </w:rPr>
        <w:t>utitur</w:t>
      </w:r>
      <w:r>
        <w:rPr>
          <w:b w:val="0"/>
          <w:i w:val="0"/>
        </w:rPr>
        <w:t>.</w:t>
      </w:r>
    </w:p>
    <w:p>
      <w:pPr>
        <w:widowControl/>
      </w:pPr>
      <w:r>
        <w:rPr>
          <w:b w:val="0"/>
          <w:i w:val="0"/>
        </w:rPr>
        <w:t xml:space="preserve">To employ a power; its use. The twelve-life scheme counts patterns of using faculties together, excluding the isolated use of only one. References: </w:t>
      </w:r>
      <w:hyperlink w:anchor="passage-iv-1-44">
        <w:r>
          <w:rPr>
            <w:color w:val="000000"/>
          </w:rPr>
          <w:t xml:space="preserve">IV.1.44</w:t>
        </w:r>
      </w:hyperlink>
      <w:r>
        <w:rPr>
          <w:b w:val="0"/>
          <w:i w:val="0"/>
        </w:rPr>
        <w:t xml:space="preserve">, </w:t>
      </w:r>
      <w:hyperlink w:anchor="passage-iv-1-45">
        <w:r>
          <w:rPr>
            <w:color w:val="000000"/>
          </w:rPr>
          <w:t xml:space="preserve">IV.1.45</w:t>
        </w:r>
      </w:hyperlink>
      <w:r>
        <w:rPr>
          <w:b w:val="0"/>
          <w:i w:val="0"/>
        </w:rPr>
        <w:t xml:space="preserve">, </w:t>
      </w:r>
      <w:hyperlink w:anchor="passage-iv-1-47">
        <w:r>
          <w:rPr>
            <w:color w:val="000000"/>
          </w:rPr>
          <w:t xml:space="preserve">IV.1.47</w:t>
        </w:r>
      </w:hyperlink>
      <w:r>
        <w:rPr>
          <w:b w:val="0"/>
          <w:i w:val="0"/>
        </w:rPr>
        <w:t xml:space="preserve">. See </w:t>
      </w:r>
      <w:hyperlink w:anchor="reason-anger-and-desire">
        <w:r>
          <w:rPr>
            <w:color w:val="000000"/>
          </w:rPr>
          <w:t xml:space="preserve">Reason anger and desire</w:t>
        </w:r>
      </w:hyperlink>
      <w:r>
        <w:rPr>
          <w:b w:val="0"/>
          <w:i w:val="0"/>
        </w:rPr>
        <w:t>.</w:t>
      </w:r>
    </w:p>
    <w:p>
      <w:pPr>
        <w:keepNext/>
        <w:widowControl/>
      </w:pPr>
      <w:bookmarkStart w:id="1482" w:name="latin-record-1231"/>
      <w:bookmarkEnd w:id="1482"/>
      <w:r>
        <w:rPr>
          <w:b/>
          <w:i w:val="0"/>
        </w:rPr>
        <w:t>vacatio appetendi</w:t>
      </w:r>
      <w:r>
        <w:rPr>
          <w:b/>
          <w:i w:val="0"/>
        </w:rPr>
        <w:t>.</w:t>
      </w:r>
      <w:r>
        <w:rPr>
          <w:b w:val="0"/>
          <w:i w:val="0"/>
        </w:rPr>
        <w:t xml:space="preserve"> Printed forms: </w:t>
      </w:r>
      <w:r>
        <w:rPr>
          <w:b w:val="0"/>
          <w:i/>
        </w:rPr>
        <w:t>appetendi vacationem</w:t>
      </w:r>
      <w:r>
        <w:rPr>
          <w:b w:val="0"/>
          <w:i w:val="0"/>
        </w:rPr>
        <w:t>.</w:t>
      </w:r>
    </w:p>
    <w:p>
      <w:pPr>
        <w:widowControl/>
      </w:pPr>
      <w:r>
        <w:rPr>
          <w:b w:val="0"/>
          <w:i w:val="0"/>
        </w:rPr>
        <w:t xml:space="preserve">Cessation or freedom from desiring. Even wanting to desire no further is presented as choosing that rest under the aspect of good. References: </w:t>
      </w:r>
      <w:hyperlink w:anchor="passage-ii-13-29">
        <w:r>
          <w:rPr>
            <w:color w:val="000000"/>
          </w:rPr>
          <w:t xml:space="preserve">II.13.29</w:t>
        </w:r>
      </w:hyperlink>
      <w:r>
        <w:rPr>
          <w:b w:val="0"/>
          <w:i w:val="0"/>
        </w:rPr>
        <w:t xml:space="preserve">. See </w:t>
      </w:r>
      <w:hyperlink w:anchor="appetite-and-desire">
        <w:r>
          <w:rPr>
            <w:color w:val="000000"/>
          </w:rPr>
          <w:t xml:space="preserve">Appetite and desire</w:t>
        </w:r>
      </w:hyperlink>
      <w:r>
        <w:rPr>
          <w:b w:val="0"/>
          <w:i w:val="0"/>
        </w:rPr>
        <w:t>.</w:t>
      </w:r>
    </w:p>
    <w:p>
      <w:pPr>
        <w:keepNext/>
        <w:widowControl/>
      </w:pPr>
      <w:bookmarkStart w:id="1483" w:name="latin-record-1232"/>
      <w:bookmarkEnd w:id="1483"/>
      <w:r>
        <w:rPr>
          <w:b/>
          <w:i w:val="0"/>
        </w:rPr>
        <w:t>vacillo</w:t>
      </w:r>
      <w:r>
        <w:rPr>
          <w:b/>
          <w:i w:val="0"/>
        </w:rPr>
        <w:t>.</w:t>
      </w:r>
      <w:r>
        <w:rPr>
          <w:b w:val="0"/>
          <w:i w:val="0"/>
        </w:rPr>
        <w:t xml:space="preserve"> Printed forms: </w:t>
      </w:r>
      <w:r>
        <w:rPr>
          <w:b w:val="0"/>
          <w:i/>
        </w:rPr>
        <w:t>vacillaret</w:t>
      </w:r>
      <w:r>
        <w:rPr>
          <w:b w:val="0"/>
          <w:i w:val="0"/>
        </w:rPr>
        <w:t>.</w:t>
      </w:r>
    </w:p>
    <w:p>
      <w:pPr>
        <w:widowControl/>
      </w:pPr>
      <w:r>
        <w:rPr>
          <w:b w:val="0"/>
          <w:i w:val="0"/>
        </w:rPr>
        <w:t xml:space="preserve">To waver or vacillate. If the higher cause changed as completely as quality, it would not surpass quality sufficiently; the verb expresses instability rather than indecision. References: </w:t>
      </w:r>
      <w:hyperlink w:anchor="passage-i-4-4">
        <w:r>
          <w:rPr>
            <w:color w:val="000000"/>
          </w:rPr>
          <w:t xml:space="preserve">I.4.4</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484" w:name="latin-record-1233"/>
      <w:bookmarkEnd w:id="1484"/>
      <w:r>
        <w:rPr>
          <w:b/>
          <w:i w:val="0"/>
        </w:rPr>
        <w:t>vagari / consultare</w:t>
      </w:r>
      <w:r>
        <w:rPr>
          <w:b/>
          <w:i w:val="0"/>
        </w:rPr>
        <w:t>.</w:t>
      </w:r>
      <w:r>
        <w:rPr>
          <w:b w:val="0"/>
          <w:i w:val="0"/>
        </w:rPr>
        <w:t xml:space="preserve"> Printed forms: </w:t>
      </w:r>
      <w:r>
        <w:rPr>
          <w:b w:val="0"/>
          <w:i/>
        </w:rPr>
        <w:t>consultando</w:t>
      </w:r>
      <w:r>
        <w:rPr>
          <w:b w:val="0"/>
          <w:i w:val="0"/>
        </w:rPr>
        <w:t xml:space="preserve">; </w:t>
      </w:r>
      <w:r>
        <w:rPr>
          <w:b w:val="0"/>
          <w:i/>
        </w:rPr>
        <w:t>vagatur</w:t>
      </w:r>
      <w:r>
        <w:rPr>
          <w:b w:val="0"/>
          <w:i w:val="0"/>
        </w:rPr>
        <w:t>.</w:t>
      </w:r>
    </w:p>
    <w:p>
      <w:pPr>
        <w:widowControl/>
      </w:pPr>
      <w:r>
        <w:rPr>
          <w:b w:val="0"/>
          <w:i w:val="0"/>
        </w:rPr>
        <w:t xml:space="preserve">To wander; to deliberate or consider. Cosmic wisdom does not wander in action because it does not err in its counsel; regularity is interpreted as rational success. References: </w:t>
      </w:r>
      <w:hyperlink w:anchor="passage-iv-1-84">
        <w:r>
          <w:rPr>
            <w:color w:val="000000"/>
          </w:rPr>
          <w:t xml:space="preserve">IV.1.84</w:t>
        </w:r>
      </w:hyperlink>
      <w:r>
        <w:rPr>
          <w:b w:val="0"/>
          <w:i w:val="0"/>
        </w:rPr>
        <w:t xml:space="preserve">. See </w:t>
      </w:r>
      <w:hyperlink w:anchor="choice-and-deliberation">
        <w:r>
          <w:rPr>
            <w:color w:val="000000"/>
          </w:rPr>
          <w:t xml:space="preserve">Choice and deliberation</w:t>
        </w:r>
      </w:hyperlink>
      <w:r>
        <w:rPr>
          <w:b w:val="0"/>
          <w:i w:val="0"/>
        </w:rPr>
        <w:t>.</w:t>
      </w:r>
    </w:p>
    <w:p>
      <w:pPr>
        <w:keepNext/>
        <w:widowControl/>
      </w:pPr>
      <w:bookmarkStart w:id="1485" w:name="latin-record-1234"/>
      <w:bookmarkEnd w:id="1485"/>
      <w:r>
        <w:rPr>
          <w:b/>
          <w:i w:val="0"/>
        </w:rPr>
        <w:t>vagus / variabilis</w:t>
      </w:r>
      <w:r>
        <w:rPr>
          <w:b/>
          <w:i w:val="0"/>
        </w:rPr>
        <w:t>.</w:t>
      </w:r>
      <w:r>
        <w:rPr>
          <w:b w:val="0"/>
          <w:i w:val="0"/>
        </w:rPr>
        <w:t xml:space="preserve"> Printed forms: </w:t>
      </w:r>
      <w:r>
        <w:rPr>
          <w:b w:val="0"/>
          <w:i/>
        </w:rPr>
        <w:t>vagos</w:t>
      </w:r>
      <w:r>
        <w:rPr>
          <w:b w:val="0"/>
          <w:i w:val="0"/>
        </w:rPr>
        <w:t xml:space="preserve">; </w:t>
      </w:r>
      <w:r>
        <w:rPr>
          <w:b w:val="0"/>
          <w:i/>
        </w:rPr>
        <w:t>variabili</w:t>
      </w:r>
      <w:r>
        <w:rPr>
          <w:b w:val="0"/>
          <w:i w:val="0"/>
        </w:rPr>
        <w:t>.</w:t>
      </w:r>
    </w:p>
    <w:p>
      <w:pPr>
        <w:widowControl/>
      </w:pPr>
      <w:r>
        <w:rPr>
          <w:b w:val="0"/>
          <w:i w:val="0"/>
        </w:rPr>
        <w:t xml:space="preserve">Wandering or variable. Mobile causes produce less stable effects; this variability is incorporated into providential order rather than excluded from it. References: </w:t>
      </w:r>
      <w:hyperlink w:anchor="passage-ii-12-20">
        <w:r>
          <w:rPr>
            <w:color w:val="000000"/>
          </w:rPr>
          <w:t xml:space="preserve">II.12.20</w:t>
        </w:r>
      </w:hyperlink>
      <w:r>
        <w:rPr>
          <w:b w:val="0"/>
          <w:i w:val="0"/>
        </w:rPr>
        <w:t xml:space="preserve">. See </w:t>
      </w:r>
      <w:hyperlink w:anchor="contingency">
        <w:r>
          <w:rPr>
            <w:color w:val="000000"/>
          </w:rPr>
          <w:t xml:space="preserve">Contingency</w:t>
        </w:r>
      </w:hyperlink>
      <w:r>
        <w:rPr>
          <w:b w:val="0"/>
          <w:i w:val="0"/>
        </w:rPr>
        <w:t>.</w:t>
      </w:r>
    </w:p>
    <w:p>
      <w:pPr>
        <w:keepNext/>
        <w:widowControl/>
      </w:pPr>
      <w:bookmarkStart w:id="1486" w:name="latin-record-1235"/>
      <w:bookmarkEnd w:id="1486"/>
      <w:r>
        <w:rPr>
          <w:b/>
          <w:i w:val="0"/>
        </w:rPr>
        <w:t>valere / praestare</w:t>
      </w:r>
      <w:r>
        <w:rPr>
          <w:b/>
          <w:i w:val="0"/>
        </w:rPr>
        <w:t>.</w:t>
      </w:r>
      <w:r>
        <w:rPr>
          <w:b w:val="0"/>
          <w:i w:val="0"/>
        </w:rPr>
        <w:t xml:space="preserve"> Printed forms: </w:t>
      </w:r>
      <w:r>
        <w:rPr>
          <w:b w:val="0"/>
          <w:i/>
        </w:rPr>
        <w:t>valeant</w:t>
      </w:r>
      <w:r>
        <w:rPr>
          <w:b w:val="0"/>
          <w:i w:val="0"/>
        </w:rPr>
        <w:t xml:space="preserve">; </w:t>
      </w:r>
      <w:r>
        <w:rPr>
          <w:b w:val="0"/>
          <w:i/>
        </w:rPr>
        <w:t>valeat</w:t>
      </w:r>
      <w:r>
        <w:rPr>
          <w:b w:val="0"/>
          <w:i w:val="0"/>
        </w:rPr>
        <w:t xml:space="preserve">; </w:t>
      </w:r>
      <w:r>
        <w:rPr>
          <w:b w:val="0"/>
          <w:i/>
        </w:rPr>
        <w:t>valere</w:t>
      </w:r>
      <w:r>
        <w:rPr>
          <w:b w:val="0"/>
          <w:i w:val="0"/>
        </w:rPr>
        <w:t>.</w:t>
      </w:r>
    </w:p>
    <w:p>
      <w:pPr>
        <w:widowControl/>
      </w:pPr>
      <w:r>
        <w:rPr>
          <w:b w:val="0"/>
          <w:i w:val="0"/>
        </w:rPr>
        <w:t xml:space="preserve">To be capable or effective. The mind’s ability to break mortal confinement and quality’s inability to originate itself require different grounds; </w:t>
      </w:r>
      <w:r>
        <w:t>“</w:t>
      </w:r>
      <w:r>
        <w:rPr>
          <w:b w:val="0"/>
          <w:i w:val="0"/>
        </w:rPr>
        <w:t>can</w:t>
      </w:r>
      <w:r>
        <w:t>”</w:t>
      </w:r>
      <w:r>
        <w:rPr>
          <w:b w:val="0"/>
          <w:i w:val="0"/>
        </w:rPr>
        <w:t xml:space="preserve"> is not one technical causal relation in every sentence. References: </w:t>
      </w:r>
      <w:hyperlink w:anchor="passage-i-1-3">
        <w:r>
          <w:rPr>
            <w:color w:val="000000"/>
          </w:rPr>
          <w:t xml:space="preserve">I.1.3</w:t>
        </w:r>
      </w:hyperlink>
      <w:r>
        <w:rPr>
          <w:b w:val="0"/>
          <w:i w:val="0"/>
        </w:rPr>
        <w:t xml:space="preserve">, </w:t>
      </w:r>
      <w:hyperlink w:anchor="passage-i-3-2">
        <w:r>
          <w:rPr>
            <w:color w:val="000000"/>
          </w:rPr>
          <w:t xml:space="preserve">I.3.2</w:t>
        </w:r>
      </w:hyperlink>
      <w:r>
        <w:rPr>
          <w:b w:val="0"/>
          <w:i w:val="0"/>
        </w:rPr>
        <w:t xml:space="preserve">, </w:t>
      </w:r>
      <w:hyperlink w:anchor="passage-i-3-5">
        <w:r>
          <w:rPr>
            <w:color w:val="000000"/>
          </w:rPr>
          <w:t xml:space="preserve">I.3.5</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1487" w:name="latin-record-1236"/>
      <w:bookmarkEnd w:id="1487"/>
      <w:r>
        <w:rPr>
          <w:b/>
          <w:i w:val="0"/>
        </w:rPr>
        <w:t>vanus / umbratilis</w:t>
      </w:r>
      <w:r>
        <w:rPr>
          <w:b/>
          <w:i w:val="0"/>
        </w:rPr>
        <w:t>.</w:t>
      </w:r>
      <w:r>
        <w:rPr>
          <w:b w:val="0"/>
          <w:i w:val="0"/>
        </w:rPr>
        <w:t xml:space="preserve"> Printed forms: </w:t>
      </w:r>
      <w:r>
        <w:rPr>
          <w:b w:val="0"/>
          <w:i/>
        </w:rPr>
        <w:t>umbratiles</w:t>
      </w:r>
      <w:r>
        <w:rPr>
          <w:b w:val="0"/>
          <w:i w:val="0"/>
        </w:rPr>
        <w:t xml:space="preserve">; </w:t>
      </w:r>
      <w:r>
        <w:rPr>
          <w:b w:val="0"/>
          <w:i/>
        </w:rPr>
        <w:t>vanissimum</w:t>
      </w:r>
      <w:r>
        <w:rPr>
          <w:b w:val="0"/>
          <w:i w:val="0"/>
        </w:rPr>
        <w:t>.</w:t>
      </w:r>
    </w:p>
    <w:p>
      <w:pPr>
        <w:widowControl/>
      </w:pPr>
      <w:r>
        <w:rPr>
          <w:b w:val="0"/>
          <w:i w:val="0"/>
        </w:rPr>
        <w:t xml:space="preserve">Empty or tenuous in being, and shadow-like. These words belong to the reported Plotinian description of dimensions and qualities as fleeting passive affections, not to an independent claim that perception is impossible. References: </w:t>
      </w:r>
      <w:hyperlink w:anchor="passage-i-3-19">
        <w:r>
          <w:rPr>
            <w:color w:val="000000"/>
          </w:rPr>
          <w:t xml:space="preserve">I.3.19</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1488" w:name="latin-record-1237"/>
      <w:bookmarkEnd w:id="1488"/>
      <w:r>
        <w:rPr>
          <w:b/>
          <w:i w:val="0"/>
        </w:rPr>
        <w:t>vas / aquae summum</w:t>
      </w:r>
      <w:r>
        <w:rPr>
          <w:b/>
          <w:i w:val="0"/>
        </w:rPr>
        <w:t>.</w:t>
      </w:r>
      <w:r>
        <w:rPr>
          <w:b w:val="0"/>
          <w:i w:val="0"/>
        </w:rPr>
        <w:t xml:space="preserve"> Printed forms: </w:t>
      </w:r>
      <w:r>
        <w:rPr>
          <w:b w:val="0"/>
          <w:i/>
        </w:rPr>
        <w:t>in aquae summo</w:t>
      </w:r>
      <w:r>
        <w:rPr>
          <w:b w:val="0"/>
          <w:i w:val="0"/>
        </w:rPr>
        <w:t xml:space="preserve">; </w:t>
      </w:r>
      <w:r>
        <w:rPr>
          <w:b w:val="0"/>
          <w:i/>
        </w:rPr>
        <w:t>vas</w:t>
      </w:r>
      <w:r>
        <w:rPr>
          <w:b w:val="0"/>
          <w:i w:val="0"/>
        </w:rPr>
        <w:t xml:space="preserve">; </w:t>
      </w:r>
      <w:r>
        <w:rPr>
          <w:b w:val="0"/>
          <w:i/>
        </w:rPr>
        <w:t>vasis</w:t>
      </w:r>
      <w:r>
        <w:rPr>
          <w:b w:val="0"/>
          <w:i w:val="0"/>
        </w:rPr>
        <w:t>.</w:t>
      </w:r>
    </w:p>
    <w:p>
      <w:pPr>
        <w:widowControl/>
      </w:pPr>
      <w:r>
        <w:rPr>
          <w:b w:val="0"/>
          <w:i w:val="0"/>
        </w:rPr>
        <w:t xml:space="preserve">A vessel and the surface of water. The apparatus explains the compressed example as air in a vessel’s upper part supporting it at the water’s surface, even under added weight. References: </w:t>
      </w:r>
      <w:hyperlink w:anchor="passage-i-2-5">
        <w:r>
          <w:rPr>
            <w:color w:val="000000"/>
          </w:rPr>
          <w:t xml:space="preserve">I.2.5</w:t>
        </w:r>
      </w:hyperlink>
      <w:r>
        <w:rPr>
          <w:b w:val="0"/>
          <w:i w:val="0"/>
        </w:rPr>
        <w:t xml:space="preserve">. See </w:t>
      </w:r>
      <w:hyperlink w:anchor="fire-spark-lightning-and-cannon">
        <w:r>
          <w:rPr>
            <w:color w:val="000000"/>
          </w:rPr>
          <w:t xml:space="preserve">Fire, spark, lightning and cannon</w:t>
        </w:r>
      </w:hyperlink>
      <w:r>
        <w:rPr>
          <w:b w:val="0"/>
          <w:i w:val="0"/>
        </w:rPr>
        <w:t>.</w:t>
      </w:r>
    </w:p>
    <w:p>
      <w:pPr>
        <w:keepNext/>
        <w:widowControl/>
      </w:pPr>
      <w:bookmarkStart w:id="1489" w:name="latin-record-1238"/>
      <w:bookmarkEnd w:id="1489"/>
      <w:r>
        <w:rPr>
          <w:b/>
          <w:i w:val="0"/>
        </w:rPr>
        <w:t>velle / nolle</w:t>
      </w:r>
      <w:r>
        <w:rPr>
          <w:b/>
          <w:i w:val="0"/>
        </w:rPr>
        <w:t>.</w:t>
      </w:r>
      <w:r>
        <w:rPr>
          <w:b w:val="0"/>
          <w:i w:val="0"/>
        </w:rPr>
        <w:t xml:space="preserve"> Printed forms: </w:t>
      </w:r>
      <w:r>
        <w:rPr>
          <w:b w:val="0"/>
          <w:i/>
        </w:rPr>
        <w:t>nolle</w:t>
      </w:r>
      <w:r>
        <w:rPr>
          <w:b w:val="0"/>
          <w:i w:val="0"/>
        </w:rPr>
        <w:t xml:space="preserve">; </w:t>
      </w:r>
      <w:r>
        <w:rPr>
          <w:b w:val="0"/>
          <w:i/>
        </w:rPr>
        <w:t>velimus</w:t>
      </w:r>
      <w:r>
        <w:rPr>
          <w:b w:val="0"/>
          <w:i w:val="0"/>
        </w:rPr>
        <w:t xml:space="preserve">; </w:t>
      </w:r>
      <w:r>
        <w:rPr>
          <w:b w:val="0"/>
          <w:i/>
        </w:rPr>
        <w:t>velle</w:t>
      </w:r>
      <w:r>
        <w:rPr>
          <w:b w:val="0"/>
          <w:i w:val="0"/>
        </w:rPr>
        <w:t xml:space="preserve">; </w:t>
      </w:r>
      <w:r>
        <w:rPr>
          <w:b w:val="0"/>
          <w:i/>
        </w:rPr>
        <w:t>volumus</w:t>
      </w:r>
      <w:r>
        <w:rPr>
          <w:b w:val="0"/>
          <w:i w:val="0"/>
        </w:rPr>
        <w:t xml:space="preserve">; </w:t>
      </w:r>
      <w:r>
        <w:rPr>
          <w:b w:val="0"/>
          <w:i/>
        </w:rPr>
        <w:t>voluntaria</w:t>
      </w:r>
      <w:r>
        <w:rPr>
          <w:b w:val="0"/>
          <w:i w:val="0"/>
        </w:rPr>
        <w:t xml:space="preserve">; </w:t>
      </w:r>
      <w:r>
        <w:rPr>
          <w:b w:val="0"/>
          <w:i/>
        </w:rPr>
        <w:t>vult</w:t>
      </w:r>
      <w:r>
        <w:rPr>
          <w:b w:val="0"/>
          <w:i w:val="0"/>
        </w:rPr>
        <w:t>.</w:t>
      </w:r>
    </w:p>
    <w:p>
      <w:pPr>
        <w:widowControl/>
      </w:pPr>
      <w:r>
        <w:rPr>
          <w:b w:val="0"/>
          <w:i w:val="0"/>
        </w:rPr>
        <w:t xml:space="preserve">To will or wish, and not to will. The wish to be unable not to will the Good expresses Ficino’s proposed coincidence of necessity and willing acceptance, not coercion into one particular act. References: </w:t>
      </w:r>
      <w:hyperlink w:anchor="passage-i-6-19">
        <w:r>
          <w:rPr>
            <w:color w:val="000000"/>
          </w:rPr>
          <w:t xml:space="preserve">I.6.19</w:t>
        </w:r>
      </w:hyperlink>
      <w:r>
        <w:rPr>
          <w:b w:val="0"/>
          <w:i w:val="0"/>
        </w:rPr>
        <w:t xml:space="preserve">. See </w:t>
      </w:r>
      <w:hyperlink w:anchor="wishing-refusing-and-the-good">
        <w:r>
          <w:rPr>
            <w:color w:val="000000"/>
          </w:rPr>
          <w:t xml:space="preserve">Wishing, refusing and the good</w:t>
        </w:r>
      </w:hyperlink>
      <w:r>
        <w:rPr>
          <w:b w:val="0"/>
          <w:i w:val="0"/>
        </w:rPr>
        <w:t>.</w:t>
      </w:r>
    </w:p>
    <w:p>
      <w:pPr>
        <w:widowControl/>
      </w:pPr>
      <w:r>
        <w:rPr>
          <w:b w:val="0"/>
          <w:i w:val="0"/>
        </w:rPr>
        <w:t xml:space="preserve">To will or refuse; willing cognition in the divine case. Opposing equal wills produce contradiction in the two-god supposition; voluntary cognition later characterizes divine action. References: </w:t>
      </w:r>
      <w:hyperlink w:anchor="passage-ii-2-14">
        <w:r>
          <w:rPr>
            <w:color w:val="000000"/>
          </w:rPr>
          <w:t xml:space="preserve">II.2.14</w:t>
        </w:r>
      </w:hyperlink>
      <w:r>
        <w:rPr>
          <w:b w:val="0"/>
          <w:i w:val="0"/>
        </w:rPr>
        <w:t xml:space="preserve">, </w:t>
      </w:r>
      <w:hyperlink w:anchor="passage-ii-9-13">
        <w:r>
          <w:rPr>
            <w:color w:val="000000"/>
          </w:rPr>
          <w:t xml:space="preserve">II.9.13</w:t>
        </w:r>
      </w:hyperlink>
      <w:r>
        <w:rPr>
          <w:b w:val="0"/>
          <w:i w:val="0"/>
        </w:rPr>
        <w:t xml:space="preserve">. See </w:t>
      </w:r>
      <w:hyperlink w:anchor="will">
        <w:r>
          <w:rPr>
            <w:color w:val="000000"/>
          </w:rPr>
          <w:t xml:space="preserve">Will</w:t>
        </w:r>
      </w:hyperlink>
      <w:r>
        <w:rPr>
          <w:b w:val="0"/>
          <w:i w:val="0"/>
        </w:rPr>
        <w:t>.</w:t>
      </w:r>
    </w:p>
    <w:p>
      <w:pPr>
        <w:keepNext/>
        <w:widowControl/>
      </w:pPr>
      <w:bookmarkStart w:id="1490" w:name="latin-record-1239"/>
      <w:bookmarkEnd w:id="1490"/>
      <w:r>
        <w:rPr>
          <w:b/>
          <w:i w:val="0"/>
        </w:rPr>
        <w:t>velle / nolle / malle</w:t>
      </w:r>
      <w:r>
        <w:rPr>
          <w:b/>
          <w:i w:val="0"/>
        </w:rPr>
        <w:t>.</w:t>
      </w:r>
      <w:r>
        <w:rPr>
          <w:b w:val="0"/>
          <w:i w:val="0"/>
        </w:rPr>
        <w:t xml:space="preserve"> Printed forms: </w:t>
      </w:r>
      <w:r>
        <w:rPr>
          <w:b w:val="0"/>
          <w:i/>
        </w:rPr>
        <w:t>malle</w:t>
      </w:r>
      <w:r>
        <w:rPr>
          <w:b w:val="0"/>
          <w:i w:val="0"/>
        </w:rPr>
        <w:t xml:space="preserve">; </w:t>
      </w:r>
      <w:r>
        <w:rPr>
          <w:b w:val="0"/>
          <w:i/>
        </w:rPr>
        <w:t>nolle</w:t>
      </w:r>
      <w:r>
        <w:rPr>
          <w:b w:val="0"/>
          <w:i w:val="0"/>
        </w:rPr>
        <w:t xml:space="preserve">; </w:t>
      </w:r>
      <w:r>
        <w:rPr>
          <w:b w:val="0"/>
          <w:i/>
        </w:rPr>
        <w:t>nolunt</w:t>
      </w:r>
      <w:r>
        <w:rPr>
          <w:b w:val="0"/>
          <w:i w:val="0"/>
        </w:rPr>
        <w:t xml:space="preserve">; </w:t>
      </w:r>
      <w:r>
        <w:rPr>
          <w:b w:val="0"/>
          <w:i/>
        </w:rPr>
        <w:t>volunt</w:t>
      </w:r>
      <w:r>
        <w:rPr>
          <w:b w:val="0"/>
          <w:i w:val="0"/>
        </w:rPr>
        <w:t xml:space="preserve">; </w:t>
      </w:r>
      <w:r>
        <w:rPr>
          <w:b w:val="0"/>
          <w:i/>
        </w:rPr>
        <w:t>vult</w:t>
      </w:r>
      <w:r>
        <w:rPr>
          <w:b w:val="0"/>
          <w:i w:val="0"/>
        </w:rPr>
        <w:t>.</w:t>
      </w:r>
    </w:p>
    <w:p>
      <w:pPr>
        <w:widowControl/>
      </w:pPr>
      <w:r>
        <w:rPr>
          <w:b w:val="0"/>
          <w:i w:val="0"/>
        </w:rPr>
        <w:t xml:space="preserve">Will / refuse or not will / prefer. Willing good itself is distinguished from choosing particular means and from preferring the whole’s good to a part’s apparent advantage. References: </w:t>
      </w:r>
      <w:hyperlink w:anchor="passage-ii-12-19">
        <w:r>
          <w:rPr>
            <w:color w:val="000000"/>
          </w:rPr>
          <w:t xml:space="preserve">II.12.19</w:t>
        </w:r>
      </w:hyperlink>
      <w:r>
        <w:rPr>
          <w:b w:val="0"/>
          <w:i w:val="0"/>
        </w:rPr>
        <w:t xml:space="preserve">, </w:t>
      </w:r>
      <w:hyperlink w:anchor="passage-ii-13-28">
        <w:r>
          <w:rPr>
            <w:color w:val="000000"/>
          </w:rPr>
          <w:t xml:space="preserve">II.13.28</w:t>
        </w:r>
      </w:hyperlink>
      <w:r>
        <w:rPr>
          <w:b w:val="0"/>
          <w:i w:val="0"/>
        </w:rPr>
        <w:t xml:space="preserve">, </w:t>
      </w:r>
      <w:hyperlink w:anchor="passage-ii-13-29">
        <w:r>
          <w:rPr>
            <w:color w:val="000000"/>
          </w:rPr>
          <w:t xml:space="preserve">II.13.29</w:t>
        </w:r>
      </w:hyperlink>
      <w:r>
        <w:rPr>
          <w:b w:val="0"/>
          <w:i w:val="0"/>
        </w:rPr>
        <w:t xml:space="preserve">. See </w:t>
      </w:r>
      <w:hyperlink w:anchor="will">
        <w:r>
          <w:rPr>
            <w:color w:val="000000"/>
          </w:rPr>
          <w:t xml:space="preserve">Will</w:t>
        </w:r>
      </w:hyperlink>
      <w:r>
        <w:rPr>
          <w:b w:val="0"/>
          <w:i w:val="0"/>
        </w:rPr>
        <w:t>.</w:t>
      </w:r>
    </w:p>
    <w:p>
      <w:pPr>
        <w:keepNext/>
        <w:widowControl/>
      </w:pPr>
      <w:bookmarkStart w:id="1491" w:name="latin-record-1240"/>
      <w:bookmarkEnd w:id="1491"/>
      <w:r>
        <w:rPr>
          <w:b/>
          <w:i w:val="0"/>
        </w:rPr>
        <w:t>velox / tardus</w:t>
      </w:r>
      <w:r>
        <w:rPr>
          <w:b/>
          <w:i w:val="0"/>
        </w:rPr>
        <w:t>.</w:t>
      </w:r>
      <w:r>
        <w:rPr>
          <w:b w:val="0"/>
          <w:i w:val="0"/>
        </w:rPr>
        <w:t xml:space="preserve"> Printed forms: </w:t>
      </w:r>
      <w:r>
        <w:rPr>
          <w:b w:val="0"/>
          <w:i/>
        </w:rPr>
        <w:t>tardius</w:t>
      </w:r>
      <w:r>
        <w:rPr>
          <w:b w:val="0"/>
          <w:i w:val="0"/>
        </w:rPr>
        <w:t xml:space="preserve">; </w:t>
      </w:r>
      <w:r>
        <w:rPr>
          <w:b w:val="0"/>
          <w:i/>
        </w:rPr>
        <w:t>velocior</w:t>
      </w:r>
      <w:r>
        <w:rPr>
          <w:b w:val="0"/>
          <w:i w:val="0"/>
        </w:rPr>
        <w:t xml:space="preserve">; </w:t>
      </w:r>
      <w:r>
        <w:rPr>
          <w:b w:val="0"/>
          <w:i/>
        </w:rPr>
        <w:t>velocius</w:t>
      </w:r>
      <w:r>
        <w:rPr>
          <w:b w:val="0"/>
          <w:i w:val="0"/>
        </w:rPr>
        <w:t xml:space="preserve">; </w:t>
      </w:r>
      <w:r>
        <w:rPr>
          <w:b w:val="0"/>
          <w:i/>
        </w:rPr>
        <w:t>velox</w:t>
      </w:r>
      <w:r>
        <w:rPr>
          <w:b w:val="0"/>
          <w:i w:val="0"/>
        </w:rPr>
        <w:t>.</w:t>
      </w:r>
    </w:p>
    <w:p>
      <w:pPr>
        <w:widowControl/>
      </w:pPr>
      <w:r>
        <w:rPr>
          <w:b w:val="0"/>
          <w:i w:val="0"/>
        </w:rPr>
        <w:t xml:space="preserve">Swift or slow; comparative speed. Variable speed marks mutable living agency, while speed ordered into perpetual celestial motion supports the inference to inward life. References: </w:t>
      </w:r>
      <w:hyperlink w:anchor="passage-iv-1-28">
        <w:r>
          <w:rPr>
            <w:color w:val="000000"/>
          </w:rPr>
          <w:t xml:space="preserve">IV.1.28</w:t>
        </w:r>
      </w:hyperlink>
      <w:r>
        <w:rPr>
          <w:b w:val="0"/>
          <w:i w:val="0"/>
        </w:rPr>
        <w:t xml:space="preserve">, </w:t>
      </w:r>
      <w:hyperlink w:anchor="passage-iv-1-74">
        <w:r>
          <w:rPr>
            <w:color w:val="000000"/>
          </w:rPr>
          <w:t xml:space="preserve">IV.1.74</w:t>
        </w:r>
      </w:hyperlink>
      <w:r>
        <w:rPr>
          <w:b w:val="0"/>
          <w:i w:val="0"/>
        </w:rPr>
        <w:t xml:space="preserve">, </w:t>
      </w:r>
      <w:hyperlink w:anchor="passage-iv-1-84">
        <w:r>
          <w:rPr>
            <w:color w:val="000000"/>
          </w:rPr>
          <w:t xml:space="preserve">IV.1.84</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492" w:name="latin-record-1241"/>
      <w:bookmarkEnd w:id="1492"/>
      <w:r>
        <w:rPr>
          <w:b/>
          <w:i w:val="0"/>
        </w:rPr>
        <w:t>veneror / veneratio</w:t>
      </w:r>
      <w:r>
        <w:rPr>
          <w:b/>
          <w:i w:val="0"/>
        </w:rPr>
        <w:t>.</w:t>
      </w:r>
      <w:r>
        <w:rPr>
          <w:b w:val="0"/>
          <w:i w:val="0"/>
        </w:rPr>
        <w:t xml:space="preserve"> Printed forms: </w:t>
      </w:r>
      <w:r>
        <w:rPr>
          <w:b w:val="0"/>
          <w:i/>
        </w:rPr>
        <w:t>veneratione</w:t>
      </w:r>
      <w:r>
        <w:rPr>
          <w:b w:val="0"/>
          <w:i w:val="0"/>
        </w:rPr>
        <w:t xml:space="preserve">; </w:t>
      </w:r>
      <w:r>
        <w:rPr>
          <w:b w:val="0"/>
          <w:i/>
        </w:rPr>
        <w:t>veneremur</w:t>
      </w:r>
      <w:r>
        <w:rPr>
          <w:b w:val="0"/>
          <w:i w:val="0"/>
        </w:rPr>
        <w:t>.</w:t>
      </w:r>
    </w:p>
    <w:p>
      <w:pPr>
        <w:widowControl/>
      </w:pPr>
      <w:r>
        <w:rPr>
          <w:b w:val="0"/>
          <w:i w:val="0"/>
        </w:rPr>
        <w:t xml:space="preserve">To venerate, and reverence directed toward an object. The cause of causes is to be venerated once found; the author hopes his work’s truth matches his reverence for divine truth. References: </w:t>
      </w:r>
      <w:hyperlink w:anchor="passage-proem-3">
        <w:r>
          <w:rPr>
            <w:color w:val="000000"/>
          </w:rPr>
          <w:t xml:space="preserve">Proem.3</w:t>
        </w:r>
      </w:hyperlink>
      <w:r>
        <w:rPr>
          <w:b w:val="0"/>
          <w:i w:val="0"/>
        </w:rPr>
        <w:t xml:space="preserve">, </w:t>
      </w:r>
      <w:hyperlink w:anchor="passage-proem-10">
        <w:r>
          <w:rPr>
            <w:color w:val="000000"/>
          </w:rPr>
          <w:t xml:space="preserve">Proem.10</w:t>
        </w:r>
      </w:hyperlink>
      <w:r>
        <w:rPr>
          <w:b w:val="0"/>
          <w:i w:val="0"/>
        </w:rPr>
        <w:t xml:space="preserve">. See </w:t>
      </w:r>
      <w:hyperlink w:anchor="worship-and-piety">
        <w:r>
          <w:rPr>
            <w:color w:val="000000"/>
          </w:rPr>
          <w:t xml:space="preserve">Worship and piety</w:t>
        </w:r>
      </w:hyperlink>
      <w:r>
        <w:rPr>
          <w:b w:val="0"/>
          <w:i w:val="0"/>
        </w:rPr>
        <w:t>.</w:t>
      </w:r>
    </w:p>
    <w:p>
      <w:pPr>
        <w:keepNext/>
        <w:widowControl/>
      </w:pPr>
      <w:bookmarkStart w:id="1493" w:name="latin-record-1242"/>
      <w:bookmarkEnd w:id="1493"/>
      <w:r>
        <w:rPr>
          <w:b/>
          <w:i w:val="0"/>
        </w:rPr>
        <w:t>venter / fetus</w:t>
      </w:r>
      <w:r>
        <w:rPr>
          <w:b/>
          <w:i w:val="0"/>
        </w:rPr>
        <w:t>.</w:t>
      </w:r>
      <w:r>
        <w:rPr>
          <w:b w:val="0"/>
          <w:i w:val="0"/>
        </w:rPr>
        <w:t xml:space="preserve"> Printed forms: </w:t>
      </w:r>
      <w:r>
        <w:rPr>
          <w:b w:val="0"/>
          <w:i/>
        </w:rPr>
        <w:t>fetus</w:t>
      </w:r>
      <w:r>
        <w:rPr>
          <w:b w:val="0"/>
          <w:i w:val="0"/>
        </w:rPr>
        <w:t xml:space="preserve">; </w:t>
      </w:r>
      <w:r>
        <w:rPr>
          <w:b w:val="0"/>
          <w:i/>
        </w:rPr>
        <w:t>ventrem</w:t>
      </w:r>
      <w:r>
        <w:rPr>
          <w:b w:val="0"/>
          <w:i w:val="0"/>
        </w:rPr>
        <w:t>.</w:t>
      </w:r>
    </w:p>
    <w:p>
      <w:pPr>
        <w:widowControl/>
      </w:pPr>
      <w:r>
        <w:rPr>
          <w:b w:val="0"/>
          <w:i w:val="0"/>
        </w:rPr>
        <w:t xml:space="preserve">Womb or belly; offspring brought forth. The maternal anatomy helps argue for earth’s life; it is an explicit bodily image applied to the earth. References: </w:t>
      </w:r>
      <w:hyperlink w:anchor="passage-iv-1-2">
        <w:r>
          <w:rPr>
            <w:color w:val="000000"/>
          </w:rPr>
          <w:t xml:space="preserve">IV.1.2</w:t>
        </w:r>
      </w:hyperlink>
      <w:r>
        <w:rPr>
          <w:b w:val="0"/>
          <w:i w:val="0"/>
        </w:rPr>
        <w:t xml:space="preserve">. See </w:t>
      </w:r>
      <w:hyperlink w:anchor="earth-as-mother">
        <w:r>
          <w:rPr>
            <w:color w:val="000000"/>
          </w:rPr>
          <w:t xml:space="preserve">Earth as mother</w:t>
        </w:r>
      </w:hyperlink>
      <w:r>
        <w:rPr>
          <w:b w:val="0"/>
          <w:i w:val="0"/>
        </w:rPr>
        <w:t>.</w:t>
      </w:r>
    </w:p>
    <w:p>
      <w:pPr>
        <w:keepNext/>
        <w:widowControl/>
      </w:pPr>
      <w:bookmarkStart w:id="1494" w:name="latin-record-1243"/>
      <w:bookmarkEnd w:id="1494"/>
      <w:r>
        <w:rPr>
          <w:b/>
          <w:i w:val="0"/>
        </w:rPr>
        <w:t>verbum / significatio / significare</w:t>
      </w:r>
      <w:r>
        <w:rPr>
          <w:b/>
          <w:i w:val="0"/>
        </w:rPr>
        <w:t>.</w:t>
      </w:r>
      <w:r>
        <w:rPr>
          <w:b w:val="0"/>
          <w:i w:val="0"/>
        </w:rPr>
        <w:t xml:space="preserve"> Printed forms: </w:t>
      </w:r>
      <w:r>
        <w:rPr>
          <w:b w:val="0"/>
          <w:i/>
        </w:rPr>
        <w:t>significat</w:t>
      </w:r>
      <w:r>
        <w:rPr>
          <w:b w:val="0"/>
          <w:i w:val="0"/>
        </w:rPr>
        <w:t xml:space="preserve">; </w:t>
      </w:r>
      <w:r>
        <w:rPr>
          <w:b w:val="0"/>
          <w:i/>
        </w:rPr>
        <w:t>significatio</w:t>
      </w:r>
      <w:r>
        <w:rPr>
          <w:b w:val="0"/>
          <w:i w:val="0"/>
        </w:rPr>
        <w:t xml:space="preserve">; </w:t>
      </w:r>
      <w:r>
        <w:rPr>
          <w:b w:val="0"/>
          <w:i/>
        </w:rPr>
        <w:t>verbi</w:t>
      </w:r>
      <w:r>
        <w:rPr>
          <w:b w:val="0"/>
          <w:i w:val="0"/>
        </w:rPr>
        <w:t xml:space="preserve">; </w:t>
      </w:r>
      <w:r>
        <w:rPr>
          <w:b w:val="0"/>
          <w:i/>
        </w:rPr>
        <w:t>verbum</w:t>
      </w:r>
      <w:r>
        <w:rPr>
          <w:b w:val="0"/>
          <w:i w:val="0"/>
        </w:rPr>
        <w:t>.</w:t>
      </w:r>
    </w:p>
    <w:p>
      <w:pPr>
        <w:widowControl/>
      </w:pPr>
      <w:r>
        <w:rPr>
          <w:b w:val="0"/>
          <w:i w:val="0"/>
        </w:rPr>
        <w:t xml:space="preserve">Word, meaning, and signifying. Mind is compared first to a divine word and then more precisely to its meaning in the reported presence theory. References: </w:t>
      </w:r>
      <w:hyperlink w:anchor="passage-ii-6-20">
        <w:r>
          <w:rPr>
            <w:color w:val="000000"/>
          </w:rPr>
          <w:t xml:space="preserve">II.6.20</w:t>
        </w:r>
      </w:hyperlink>
      <w:r>
        <w:rPr>
          <w:b w:val="0"/>
          <w:i w:val="0"/>
        </w:rPr>
        <w:t xml:space="preserve">, </w:t>
      </w:r>
      <w:hyperlink w:anchor="passage-ii-6-21">
        <w:r>
          <w:rPr>
            <w:color w:val="000000"/>
          </w:rPr>
          <w:t xml:space="preserve">II.6.21</w:t>
        </w:r>
      </w:hyperlink>
      <w:r>
        <w:rPr>
          <w:b w:val="0"/>
          <w:i w:val="0"/>
        </w:rPr>
        <w:t xml:space="preserve">. See </w:t>
      </w:r>
      <w:hyperlink w:anchor="word-and-meaning">
        <w:r>
          <w:rPr>
            <w:color w:val="000000"/>
          </w:rPr>
          <w:t xml:space="preserve">Word and meaning</w:t>
        </w:r>
      </w:hyperlink>
      <w:r>
        <w:rPr>
          <w:b w:val="0"/>
          <w:i w:val="0"/>
        </w:rPr>
        <w:t>.</w:t>
      </w:r>
    </w:p>
    <w:p>
      <w:pPr>
        <w:keepNext/>
        <w:widowControl/>
      </w:pPr>
      <w:bookmarkStart w:id="1495" w:name="latin-record-1244"/>
      <w:bookmarkEnd w:id="1495"/>
      <w:r>
        <w:rPr>
          <w:b/>
          <w:i w:val="0"/>
        </w:rPr>
        <w:t>vergere</w:t>
      </w:r>
      <w:r>
        <w:rPr>
          <w:b/>
          <w:i w:val="0"/>
        </w:rPr>
        <w:t>.</w:t>
      </w:r>
      <w:r>
        <w:rPr>
          <w:b w:val="0"/>
          <w:i w:val="0"/>
        </w:rPr>
        <w:t xml:space="preserve"> Printed forms: </w:t>
      </w:r>
      <w:r>
        <w:rPr>
          <w:b w:val="0"/>
          <w:i/>
        </w:rPr>
        <w:t>vergerent</w:t>
      </w:r>
      <w:r>
        <w:rPr>
          <w:b w:val="0"/>
          <w:i w:val="0"/>
        </w:rPr>
        <w:t>.</w:t>
      </w:r>
    </w:p>
    <w:p>
      <w:pPr>
        <w:widowControl/>
      </w:pPr>
      <w:r>
        <w:rPr>
          <w:b w:val="0"/>
          <w:i w:val="0"/>
        </w:rPr>
        <w:t xml:space="preserve">To tend or incline toward. Without a determinate principle a cause would have no special tendency toward this effect rather than another. References: </w:t>
      </w:r>
      <w:hyperlink w:anchor="passage-iv-1-6">
        <w:r>
          <w:rPr>
            <w:color w:val="000000"/>
          </w:rPr>
          <w:t xml:space="preserve">IV.1.6</w:t>
        </w:r>
      </w:hyperlink>
      <w:r>
        <w:rPr>
          <w:b w:val="0"/>
          <w:i w:val="0"/>
        </w:rPr>
        <w:t xml:space="preserve">. See </w:t>
      </w:r>
      <w:hyperlink w:anchor="contraction-and-determination">
        <w:r>
          <w:rPr>
            <w:color w:val="000000"/>
          </w:rPr>
          <w:t xml:space="preserve">Contraction and determination</w:t>
        </w:r>
      </w:hyperlink>
      <w:r>
        <w:rPr>
          <w:b w:val="0"/>
          <w:i w:val="0"/>
        </w:rPr>
        <w:t>.</w:t>
      </w:r>
    </w:p>
    <w:p>
      <w:pPr>
        <w:keepNext/>
        <w:widowControl/>
      </w:pPr>
      <w:bookmarkStart w:id="1496" w:name="latin-record-1245"/>
      <w:bookmarkEnd w:id="1496"/>
      <w:r>
        <w:rPr>
          <w:b/>
          <w:i w:val="0"/>
        </w:rPr>
        <w:t>veridicus</w:t>
      </w:r>
      <w:r>
        <w:rPr>
          <w:b/>
          <w:i w:val="0"/>
        </w:rPr>
        <w:t>.</w:t>
      </w:r>
      <w:r>
        <w:rPr>
          <w:b w:val="0"/>
          <w:i w:val="0"/>
        </w:rPr>
        <w:t xml:space="preserve"> Printed forms: </w:t>
      </w:r>
      <w:r>
        <w:rPr>
          <w:b w:val="0"/>
          <w:i/>
        </w:rPr>
        <w:t>veridica</w:t>
      </w:r>
      <w:r>
        <w:rPr>
          <w:b w:val="0"/>
          <w:i w:val="0"/>
        </w:rPr>
        <w:t>.</w:t>
      </w:r>
    </w:p>
    <w:p>
      <w:pPr>
        <w:widowControl/>
      </w:pPr>
      <w:r>
        <w:rPr>
          <w:b w:val="0"/>
          <w:i w:val="0"/>
        </w:rPr>
        <w:t xml:space="preserve">Truth-bearing or infallible in this context. If mind were identical with truth, every mind would be infallible; human error is the counterexample Ficino uses. References: </w:t>
      </w:r>
      <w:hyperlink w:anchor="passage-i-6-10">
        <w:r>
          <w:rPr>
            <w:color w:val="000000"/>
          </w:rPr>
          <w:t xml:space="preserve">I.6.10</w:t>
        </w:r>
      </w:hyperlink>
      <w:r>
        <w:rPr>
          <w:b w:val="0"/>
          <w:i w:val="0"/>
        </w:rPr>
        <w:t xml:space="preserve">. See </w:t>
      </w:r>
      <w:hyperlink w:anchor="truth">
        <w:r>
          <w:rPr>
            <w:color w:val="000000"/>
          </w:rPr>
          <w:t xml:space="preserve">Truth</w:t>
        </w:r>
      </w:hyperlink>
      <w:r>
        <w:rPr>
          <w:b w:val="0"/>
          <w:i w:val="0"/>
        </w:rPr>
        <w:t>.</w:t>
      </w:r>
    </w:p>
    <w:p>
      <w:pPr>
        <w:keepNext/>
        <w:widowControl/>
      </w:pPr>
      <w:bookmarkStart w:id="1497" w:name="latin-record-1246"/>
      <w:bookmarkEnd w:id="1497"/>
      <w:r>
        <w:rPr>
          <w:b/>
          <w:i w:val="0"/>
        </w:rPr>
        <w:t>veritas / verus</w:t>
      </w:r>
      <w:r>
        <w:rPr>
          <w:b/>
          <w:i w:val="0"/>
        </w:rPr>
        <w:t>.</w:t>
      </w:r>
      <w:r>
        <w:rPr>
          <w:b w:val="0"/>
          <w:i w:val="0"/>
        </w:rPr>
        <w:t xml:space="preserve"> Printed forms: </w:t>
      </w:r>
      <w:r>
        <w:rPr>
          <w:b w:val="0"/>
          <w:i/>
        </w:rPr>
        <w:t>Veritas</w:t>
      </w:r>
      <w:r>
        <w:rPr>
          <w:b w:val="0"/>
          <w:i w:val="0"/>
        </w:rPr>
        <w:t xml:space="preserve">; </w:t>
      </w:r>
      <w:r>
        <w:rPr>
          <w:b w:val="0"/>
          <w:i/>
        </w:rPr>
        <w:t>veritas</w:t>
      </w:r>
      <w:r>
        <w:rPr>
          <w:b w:val="0"/>
          <w:i w:val="0"/>
        </w:rPr>
        <w:t xml:space="preserve">; </w:t>
      </w:r>
      <w:r>
        <w:rPr>
          <w:b w:val="0"/>
          <w:i/>
        </w:rPr>
        <w:t>veritate</w:t>
      </w:r>
      <w:r>
        <w:rPr>
          <w:b w:val="0"/>
          <w:i w:val="0"/>
        </w:rPr>
        <w:t xml:space="preserve">; </w:t>
      </w:r>
      <w:r>
        <w:rPr>
          <w:b w:val="0"/>
          <w:i/>
        </w:rPr>
        <w:t>veritatem</w:t>
      </w:r>
      <w:r>
        <w:rPr>
          <w:b w:val="0"/>
          <w:i w:val="0"/>
        </w:rPr>
        <w:t xml:space="preserve">; </w:t>
      </w:r>
      <w:r>
        <w:rPr>
          <w:b w:val="0"/>
          <w:i/>
        </w:rPr>
        <w:t>veritatis</w:t>
      </w:r>
      <w:r>
        <w:rPr>
          <w:b w:val="0"/>
          <w:i w:val="0"/>
        </w:rPr>
        <w:t xml:space="preserve">; </w:t>
      </w:r>
      <w:r>
        <w:rPr>
          <w:b w:val="0"/>
          <w:i/>
        </w:rPr>
        <w:t>Verum</w:t>
      </w:r>
      <w:r>
        <w:rPr>
          <w:b w:val="0"/>
          <w:i w:val="0"/>
        </w:rPr>
        <w:t xml:space="preserve">; </w:t>
      </w:r>
      <w:r>
        <w:rPr>
          <w:b w:val="0"/>
          <w:i/>
        </w:rPr>
        <w:t>verum</w:t>
      </w:r>
      <w:r>
        <w:rPr>
          <w:b w:val="0"/>
          <w:i w:val="0"/>
        </w:rPr>
        <w:t>.</w:t>
      </w:r>
    </w:p>
    <w:p>
      <w:pPr>
        <w:widowControl/>
      </w:pPr>
      <w:r>
        <w:rPr>
          <w:b w:val="0"/>
          <w:i w:val="0"/>
        </w:rPr>
        <w:t xml:space="preserve">Truth and genuine or true being, with propositional and ontological uses distinguished. Pure wine illustrates genuineness; the eternity proof concerns what is true before and after supposed temporal limits Adversative verum is separately explained; not every occurrence of that written form means true. References: </w:t>
      </w:r>
      <w:hyperlink w:anchor="passage-ii-1-1">
        <w:r>
          <w:rPr>
            <w:color w:val="000000"/>
          </w:rPr>
          <w:t xml:space="preserve">II.1.1</w:t>
        </w:r>
      </w:hyperlink>
      <w:r>
        <w:rPr>
          <w:b w:val="0"/>
          <w:i w:val="0"/>
        </w:rPr>
        <w:t xml:space="preserve">, </w:t>
      </w:r>
      <w:hyperlink w:anchor="passage-ii-1-3">
        <w:r>
          <w:rPr>
            <w:color w:val="000000"/>
          </w:rPr>
          <w:t xml:space="preserve">II.1.3</w:t>
        </w:r>
      </w:hyperlink>
      <w:r>
        <w:rPr>
          <w:b w:val="0"/>
          <w:i w:val="0"/>
        </w:rPr>
        <w:t xml:space="preserve">, </w:t>
      </w:r>
      <w:hyperlink w:anchor="passage-ii-5-1">
        <w:r>
          <w:rPr>
            <w:color w:val="000000"/>
          </w:rPr>
          <w:t xml:space="preserve">II.5.1</w:t>
        </w:r>
      </w:hyperlink>
      <w:r>
        <w:rPr>
          <w:b w:val="0"/>
          <w:i w:val="0"/>
        </w:rPr>
        <w:t xml:space="preserve">, </w:t>
      </w:r>
      <w:hyperlink w:anchor="passage-ii-7-3">
        <w:r>
          <w:rPr>
            <w:color w:val="000000"/>
          </w:rPr>
          <w:t xml:space="preserve">II.7.3</w:t>
        </w:r>
      </w:hyperlink>
      <w:r>
        <w:rPr>
          <w:b w:val="0"/>
          <w:i w:val="0"/>
        </w:rPr>
        <w:t xml:space="preserve">. See </w:t>
      </w:r>
      <w:hyperlink w:anchor="truth">
        <w:r>
          <w:rPr>
            <w:color w:val="000000"/>
          </w:rPr>
          <w:t xml:space="preserve">Truth</w:t>
        </w:r>
      </w:hyperlink>
      <w:r>
        <w:rPr>
          <w:b w:val="0"/>
          <w:i w:val="0"/>
        </w:rPr>
        <w:t>.</w:t>
      </w:r>
    </w:p>
    <w:p>
      <w:pPr>
        <w:keepNext/>
        <w:widowControl/>
      </w:pPr>
      <w:bookmarkStart w:id="1498" w:name="latin-record-1247"/>
      <w:bookmarkEnd w:id="1498"/>
      <w:r>
        <w:rPr>
          <w:b/>
          <w:i w:val="0"/>
        </w:rPr>
        <w:t>vero / verum: connectives</w:t>
      </w:r>
      <w:r>
        <w:rPr>
          <w:b/>
          <w:i w:val="0"/>
        </w:rPr>
        <w:t>.</w:t>
      </w:r>
      <w:r>
        <w:rPr>
          <w:b w:val="0"/>
          <w:i w:val="0"/>
        </w:rPr>
        <w:t xml:space="preserve"> Printed forms: </w:t>
      </w:r>
      <w:r>
        <w:rPr>
          <w:b w:val="0"/>
          <w:i/>
        </w:rPr>
        <w:t>vero</w:t>
      </w:r>
      <w:r>
        <w:rPr>
          <w:b w:val="0"/>
          <w:i w:val="0"/>
        </w:rPr>
        <w:t xml:space="preserve">; </w:t>
      </w:r>
      <w:r>
        <w:rPr>
          <w:b w:val="0"/>
          <w:i/>
        </w:rPr>
        <w:t>Verum</w:t>
      </w:r>
      <w:r>
        <w:rPr>
          <w:b w:val="0"/>
          <w:i w:val="0"/>
        </w:rPr>
        <w:t xml:space="preserve">; </w:t>
      </w:r>
      <w:r>
        <w:rPr>
          <w:b w:val="0"/>
          <w:i/>
        </w:rPr>
        <w:t>verum</w:t>
      </w:r>
      <w:r>
        <w:rPr>
          <w:b w:val="0"/>
          <w:i w:val="0"/>
        </w:rPr>
        <w:t>.</w:t>
      </w:r>
    </w:p>
    <w:p>
      <w:pPr>
        <w:widowControl/>
      </w:pPr>
      <w:r>
        <w:rPr>
          <w:b w:val="0"/>
          <w:i w:val="0"/>
        </w:rPr>
        <w:t xml:space="preserve">Adversative or emphatic connectives, and the but-also member of non solum…verum etiam. Vero is a discourse connective in the inspected scope. Verum is connective in II.1.3’s opening and II.2.1, but also genuinely means true elsewhere; occurrences require context. References: </w:t>
      </w:r>
      <w:hyperlink w:anchor="passage-ii-1-3">
        <w:r>
          <w:rPr>
            <w:color w:val="000000"/>
          </w:rPr>
          <w:t xml:space="preserve">II.1.3</w:t>
        </w:r>
      </w:hyperlink>
      <w:r>
        <w:rPr>
          <w:b w:val="0"/>
          <w:i w:val="0"/>
        </w:rPr>
        <w:t xml:space="preserve">, </w:t>
      </w:r>
      <w:hyperlink w:anchor="passage-ii-2-1">
        <w:r>
          <w:rPr>
            <w:color w:val="000000"/>
          </w:rPr>
          <w:t xml:space="preserve">II.2.1</w:t>
        </w:r>
      </w:hyperlink>
      <w:r>
        <w:rPr>
          <w:b w:val="0"/>
          <w:i w:val="0"/>
        </w:rPr>
        <w:t xml:space="preserve">, </w:t>
      </w:r>
      <w:hyperlink w:anchor="passage-ii-2-2">
        <w:r>
          <w:rPr>
            <w:color w:val="000000"/>
          </w:rPr>
          <w:t xml:space="preserve">II.2.2</w:t>
        </w:r>
      </w:hyperlink>
      <w:r>
        <w:rPr>
          <w:b w:val="0"/>
          <w:i w:val="0"/>
        </w:rPr>
        <w:t xml:space="preserve">, </w:t>
      </w:r>
      <w:hyperlink w:anchor="passage-ii-7-15">
        <w:r>
          <w:rPr>
            <w:color w:val="000000"/>
          </w:rPr>
          <w:t xml:space="preserve">II.7.15</w:t>
        </w:r>
      </w:hyperlink>
      <w:r>
        <w:rPr>
          <w:b w:val="0"/>
          <w:i w:val="0"/>
        </w:rPr>
        <w:t xml:space="preserve">, </w:t>
      </w:r>
      <w:hyperlink w:anchor="passage-ii-10-1">
        <w:r>
          <w:rPr>
            <w:color w:val="000000"/>
          </w:rPr>
          <w:t xml:space="preserve">II.10.1</w:t>
        </w:r>
      </w:hyperlink>
      <w:r>
        <w:rPr>
          <w:b w:val="0"/>
          <w:i w:val="0"/>
        </w:rPr>
        <w:t xml:space="preserve">. See </w:t>
      </w:r>
      <w:hyperlink w:anchor="agreement-and-hypothetical-concession">
        <w:r>
          <w:rPr>
            <w:color w:val="000000"/>
          </w:rPr>
          <w:t xml:space="preserve">Agreement and hypothetical concession</w:t>
        </w:r>
      </w:hyperlink>
      <w:r>
        <w:rPr>
          <w:b w:val="0"/>
          <w:i w:val="0"/>
        </w:rPr>
        <w:t>.</w:t>
      </w:r>
    </w:p>
    <w:p>
      <w:pPr>
        <w:keepNext/>
        <w:widowControl/>
      </w:pPr>
      <w:bookmarkStart w:id="1499" w:name="latin-record-1248"/>
      <w:bookmarkEnd w:id="1499"/>
      <w:r>
        <w:rPr>
          <w:b/>
          <w:i w:val="0"/>
        </w:rPr>
        <w:t>versari / versare</w:t>
      </w:r>
      <w:r>
        <w:rPr>
          <w:b/>
          <w:i w:val="0"/>
        </w:rPr>
        <w:t>.</w:t>
      </w:r>
      <w:r>
        <w:rPr>
          <w:b w:val="0"/>
          <w:i w:val="0"/>
        </w:rPr>
        <w:t xml:space="preserve"> Printed forms: </w:t>
      </w:r>
      <w:r>
        <w:rPr>
          <w:b w:val="0"/>
          <w:i/>
        </w:rPr>
        <w:t>versat</w:t>
      </w:r>
      <w:r>
        <w:rPr>
          <w:b w:val="0"/>
          <w:i w:val="0"/>
        </w:rPr>
        <w:t xml:space="preserve">; </w:t>
      </w:r>
      <w:r>
        <w:rPr>
          <w:b w:val="0"/>
          <w:i/>
        </w:rPr>
        <w:t>versatur</w:t>
      </w:r>
      <w:r>
        <w:rPr>
          <w:b w:val="0"/>
          <w:i w:val="0"/>
        </w:rPr>
        <w:t>.</w:t>
      </w:r>
    </w:p>
    <w:p>
      <w:pPr>
        <w:widowControl/>
      </w:pPr>
      <w:r>
        <w:rPr>
          <w:b w:val="0"/>
          <w:i w:val="0"/>
        </w:rPr>
        <w:t xml:space="preserve">Be occupied or turn oneself / turn other things. The change of grammatical voice joins divine self-contemplation to governance of external things. References: </w:t>
      </w:r>
      <w:hyperlink w:anchor="passage-ii-11-15">
        <w:r>
          <w:rPr>
            <w:color w:val="000000"/>
          </w:rPr>
          <w:t xml:space="preserve">II.11.15</w:t>
        </w:r>
      </w:hyperlink>
      <w:r>
        <w:rPr>
          <w:b w:val="0"/>
          <w:i w:val="0"/>
        </w:rPr>
        <w:t xml:space="preserve">. See </w:t>
      </w:r>
      <w:hyperlink w:anchor="turning-and-direction">
        <w:r>
          <w:rPr>
            <w:color w:val="000000"/>
          </w:rPr>
          <w:t xml:space="preserve">Turning and direction</w:t>
        </w:r>
      </w:hyperlink>
      <w:r>
        <w:rPr>
          <w:b w:val="0"/>
          <w:i w:val="0"/>
        </w:rPr>
        <w:t>.</w:t>
      </w:r>
    </w:p>
    <w:p>
      <w:pPr>
        <w:keepNext/>
        <w:widowControl/>
      </w:pPr>
      <w:bookmarkStart w:id="1500" w:name="latin-record-1249"/>
      <w:bookmarkEnd w:id="1500"/>
      <w:r>
        <w:rPr>
          <w:b/>
          <w:i w:val="0"/>
        </w:rPr>
        <w:t>vestigium</w:t>
      </w:r>
      <w:r>
        <w:rPr>
          <w:b/>
          <w:i w:val="0"/>
        </w:rPr>
        <w:t>.</w:t>
      </w:r>
      <w:r>
        <w:rPr>
          <w:b w:val="0"/>
          <w:i w:val="0"/>
        </w:rPr>
        <w:t xml:space="preserve"> Printed forms: </w:t>
      </w:r>
      <w:r>
        <w:rPr>
          <w:b w:val="0"/>
          <w:i/>
        </w:rPr>
        <w:t>vestigia</w:t>
      </w:r>
      <w:r>
        <w:rPr>
          <w:b w:val="0"/>
          <w:i w:val="0"/>
        </w:rPr>
        <w:t xml:space="preserve">; </w:t>
      </w:r>
      <w:r>
        <w:rPr>
          <w:b w:val="0"/>
          <w:i/>
        </w:rPr>
        <w:t>vestigium</w:t>
      </w:r>
      <w:r>
        <w:rPr>
          <w:b w:val="0"/>
          <w:i w:val="0"/>
        </w:rPr>
        <w:t>.</w:t>
      </w:r>
    </w:p>
    <w:p>
      <w:pPr>
        <w:widowControl/>
      </w:pPr>
      <w:r>
        <w:rPr>
          <w:b w:val="0"/>
          <w:i w:val="0"/>
        </w:rPr>
        <w:t xml:space="preserve">A trace through which something further is sought. The Proem’s movement through individual traces leads back to soul as mirror, so a trace is an evidential route rather than identity with its source. References: </w:t>
      </w:r>
      <w:hyperlink w:anchor="passage-proem-4">
        <w:r>
          <w:rPr>
            <w:color w:val="000000"/>
          </w:rPr>
          <w:t xml:space="preserve">Proem.4</w:t>
        </w:r>
      </w:hyperlink>
      <w:r>
        <w:rPr>
          <w:b w:val="0"/>
          <w:i w:val="0"/>
        </w:rPr>
        <w:t xml:space="preserve">. See </w:t>
      </w:r>
      <w:hyperlink w:anchor="traces">
        <w:r>
          <w:rPr>
            <w:color w:val="000000"/>
          </w:rPr>
          <w:t xml:space="preserve">Traces</w:t>
        </w:r>
      </w:hyperlink>
      <w:r>
        <w:rPr>
          <w:b w:val="0"/>
          <w:i w:val="0"/>
        </w:rPr>
        <w:t>.</w:t>
      </w:r>
    </w:p>
    <w:p>
      <w:pPr>
        <w:widowControl/>
      </w:pPr>
      <w:r>
        <w:rPr>
          <w:b w:val="0"/>
          <w:i w:val="0"/>
        </w:rPr>
        <w:t xml:space="preserve">A trace indicating a source or embodying its causal contribution. Universal unity, truth, and goodness point to their source; being is later the first cause’s enduring impression. References: </w:t>
      </w:r>
      <w:hyperlink w:anchor="passage-ii-1-2">
        <w:r>
          <w:rPr>
            <w:color w:val="000000"/>
          </w:rPr>
          <w:t xml:space="preserve">II.1.2</w:t>
        </w:r>
      </w:hyperlink>
      <w:r>
        <w:rPr>
          <w:b w:val="0"/>
          <w:i w:val="0"/>
        </w:rPr>
        <w:t xml:space="preserve">, </w:t>
      </w:r>
      <w:hyperlink w:anchor="passage-ii-7-32">
        <w:r>
          <w:rPr>
            <w:color w:val="000000"/>
          </w:rPr>
          <w:t xml:space="preserve">II.7.32</w:t>
        </w:r>
      </w:hyperlink>
      <w:r>
        <w:rPr>
          <w:b w:val="0"/>
          <w:i w:val="0"/>
        </w:rPr>
        <w:t xml:space="preserve">. See </w:t>
      </w:r>
      <w:hyperlink w:anchor="traces">
        <w:r>
          <w:rPr>
            <w:color w:val="000000"/>
          </w:rPr>
          <w:t xml:space="preserve">Traces</w:t>
        </w:r>
      </w:hyperlink>
      <w:r>
        <w:rPr>
          <w:b w:val="0"/>
          <w:i w:val="0"/>
        </w:rPr>
        <w:t>.</w:t>
      </w:r>
    </w:p>
    <w:p>
      <w:pPr>
        <w:keepNext/>
        <w:widowControl/>
      </w:pPr>
      <w:bookmarkStart w:id="1501" w:name="latin-record-1250"/>
      <w:bookmarkEnd w:id="1501"/>
      <w:r>
        <w:rPr>
          <w:b/>
          <w:i w:val="0"/>
        </w:rPr>
        <w:t>via</w:t>
      </w:r>
      <w:r>
        <w:rPr>
          <w:b/>
          <w:i w:val="0"/>
        </w:rPr>
        <w:t>.</w:t>
      </w:r>
      <w:r>
        <w:rPr>
          <w:b w:val="0"/>
          <w:i w:val="0"/>
        </w:rPr>
        <w:t xml:space="preserve"> Printed forms: </w:t>
      </w:r>
      <w:r>
        <w:rPr>
          <w:b w:val="0"/>
          <w:i/>
        </w:rPr>
        <w:t>viam</w:t>
      </w:r>
      <w:r>
        <w:rPr>
          <w:b w:val="0"/>
          <w:i w:val="0"/>
        </w:rPr>
        <w:t xml:space="preserve">; </w:t>
      </w:r>
      <w:r>
        <w:rPr>
          <w:b w:val="0"/>
          <w:i/>
        </w:rPr>
        <w:t>vias</w:t>
      </w:r>
      <w:r>
        <w:rPr>
          <w:b w:val="0"/>
          <w:i w:val="0"/>
        </w:rPr>
        <w:t>.</w:t>
      </w:r>
    </w:p>
    <w:p>
      <w:pPr>
        <w:widowControl/>
      </w:pPr>
      <w:r>
        <w:rPr>
          <w:b w:val="0"/>
          <w:i w:val="0"/>
        </w:rPr>
        <w:t xml:space="preserve">Path, route, or means. The route is assessed for its proportion to an intended good; the image connects cognition with practical direction. References: </w:t>
      </w:r>
      <w:hyperlink w:anchor="passage-ii-11-25">
        <w:r>
          <w:rPr>
            <w:color w:val="000000"/>
          </w:rPr>
          <w:t xml:space="preserve">II.11.25</w:t>
        </w:r>
      </w:hyperlink>
      <w:r>
        <w:rPr>
          <w:b w:val="0"/>
          <w:i w:val="0"/>
        </w:rPr>
        <w:t xml:space="preserve">, </w:t>
      </w:r>
      <w:hyperlink w:anchor="passage-ii-11-26">
        <w:r>
          <w:rPr>
            <w:color w:val="000000"/>
          </w:rPr>
          <w:t xml:space="preserve">II.11.26</w:t>
        </w:r>
      </w:hyperlink>
      <w:r>
        <w:rPr>
          <w:b w:val="0"/>
          <w:i w:val="0"/>
        </w:rPr>
        <w:t xml:space="preserve">. See </w:t>
      </w:r>
      <w:hyperlink w:anchor="paths-and-prescribed-ends">
        <w:r>
          <w:rPr>
            <w:color w:val="000000"/>
          </w:rPr>
          <w:t xml:space="preserve">Paths and prescribed ends</w:t>
        </w:r>
      </w:hyperlink>
      <w:r>
        <w:rPr>
          <w:b w:val="0"/>
          <w:i w:val="0"/>
        </w:rPr>
        <w:t>.</w:t>
      </w:r>
    </w:p>
    <w:p>
      <w:pPr>
        <w:keepNext/>
        <w:widowControl/>
      </w:pPr>
      <w:bookmarkStart w:id="1502" w:name="latin-record-1251"/>
      <w:bookmarkEnd w:id="1502"/>
      <w:r>
        <w:rPr>
          <w:b/>
          <w:i w:val="0"/>
        </w:rPr>
        <w:t>via / pactum / tractus</w:t>
      </w:r>
      <w:r>
        <w:rPr>
          <w:b/>
          <w:i w:val="0"/>
        </w:rPr>
        <w:t>.</w:t>
      </w:r>
      <w:r>
        <w:rPr>
          <w:b w:val="0"/>
          <w:i w:val="0"/>
        </w:rPr>
        <w:t xml:space="preserve"> Printed forms: </w:t>
      </w:r>
      <w:r>
        <w:rPr>
          <w:b w:val="0"/>
          <w:i/>
        </w:rPr>
        <w:t>pacto</w:t>
      </w:r>
      <w:r>
        <w:rPr>
          <w:b w:val="0"/>
          <w:i w:val="0"/>
        </w:rPr>
        <w:t xml:space="preserve">; </w:t>
      </w:r>
      <w:r>
        <w:rPr>
          <w:b w:val="0"/>
          <w:i/>
        </w:rPr>
        <w:t>tractum</w:t>
      </w:r>
      <w:r>
        <w:rPr>
          <w:b w:val="0"/>
          <w:i w:val="0"/>
        </w:rPr>
        <w:t xml:space="preserve">; </w:t>
      </w:r>
      <w:r>
        <w:rPr>
          <w:b w:val="0"/>
          <w:i/>
        </w:rPr>
        <w:t>via</w:t>
      </w:r>
      <w:r>
        <w:rPr>
          <w:b w:val="0"/>
          <w:i w:val="0"/>
        </w:rPr>
        <w:t>.</w:t>
      </w:r>
    </w:p>
    <w:p>
      <w:pPr>
        <w:widowControl/>
      </w:pPr>
      <w:r>
        <w:rPr>
          <w:b w:val="0"/>
          <w:i w:val="0"/>
        </w:rPr>
        <w:t xml:space="preserve">Way or manner, and a stretch in the spatial image. Qua via means the route of an explanation, while nullo pacto means in no way; a line’s stretch belongs to imagination’s substitute. References: </w:t>
      </w:r>
      <w:hyperlink w:anchor="passage-ii-2-2">
        <w:r>
          <w:rPr>
            <w:color w:val="000000"/>
          </w:rPr>
          <w:t xml:space="preserve">II.2.2</w:t>
        </w:r>
      </w:hyperlink>
      <w:r>
        <w:rPr>
          <w:b w:val="0"/>
          <w:i w:val="0"/>
        </w:rPr>
        <w:t xml:space="preserve">, </w:t>
      </w:r>
      <w:hyperlink w:anchor="passage-ii-2-13">
        <w:r>
          <w:rPr>
            <w:color w:val="000000"/>
          </w:rPr>
          <w:t xml:space="preserve">II.2.13</w:t>
        </w:r>
      </w:hyperlink>
      <w:r>
        <w:rPr>
          <w:b w:val="0"/>
          <w:i w:val="0"/>
        </w:rPr>
        <w:t xml:space="preserve">, </w:t>
      </w:r>
      <w:hyperlink w:anchor="passage-ii-6-13">
        <w:r>
          <w:rPr>
            <w:color w:val="000000"/>
          </w:rPr>
          <w:t xml:space="preserve">II.6.13</w:t>
        </w:r>
      </w:hyperlink>
      <w:r>
        <w:rPr>
          <w:b w:val="0"/>
          <w:i w:val="0"/>
        </w:rPr>
        <w:t xml:space="preserve">, </w:t>
      </w:r>
      <w:hyperlink w:anchor="passage-ii-9-1">
        <w:r>
          <w:rPr>
            <w:color w:val="000000"/>
          </w:rPr>
          <w:t xml:space="preserve">II.9.1</w:t>
        </w:r>
      </w:hyperlink>
      <w:r>
        <w:rPr>
          <w:b w:val="0"/>
          <w:i w:val="0"/>
        </w:rPr>
        <w:t xml:space="preserve">. See </w:t>
      </w:r>
      <w:hyperlink w:anchor="reason-and-account">
        <w:r>
          <w:rPr>
            <w:color w:val="000000"/>
          </w:rPr>
          <w:t xml:space="preserve">Reason and account</w:t>
        </w:r>
      </w:hyperlink>
      <w:r>
        <w:rPr>
          <w:b w:val="0"/>
          <w:i w:val="0"/>
        </w:rPr>
        <w:t>.</w:t>
      </w:r>
    </w:p>
    <w:p>
      <w:pPr>
        <w:keepNext/>
        <w:widowControl/>
      </w:pPr>
      <w:bookmarkStart w:id="1503" w:name="latin-record-1252"/>
      <w:bookmarkEnd w:id="1503"/>
      <w:r>
        <w:rPr>
          <w:b/>
          <w:i w:val="0"/>
        </w:rPr>
        <w:t>vibrare / affectio</w:t>
      </w:r>
      <w:r>
        <w:rPr>
          <w:b/>
          <w:i w:val="0"/>
        </w:rPr>
        <w:t>.</w:t>
      </w:r>
      <w:r>
        <w:rPr>
          <w:b w:val="0"/>
          <w:i w:val="0"/>
        </w:rPr>
        <w:t xml:space="preserve"> Printed forms: </w:t>
      </w:r>
      <w:r>
        <w:rPr>
          <w:b w:val="0"/>
          <w:i/>
        </w:rPr>
        <w:t>affectiones</w:t>
      </w:r>
      <w:r>
        <w:rPr>
          <w:b w:val="0"/>
          <w:i w:val="0"/>
        </w:rPr>
        <w:t xml:space="preserve">; </w:t>
      </w:r>
      <w:r>
        <w:rPr>
          <w:b w:val="0"/>
          <w:i/>
        </w:rPr>
        <w:t>vibrantur</w:t>
      </w:r>
      <w:r>
        <w:rPr>
          <w:b w:val="0"/>
          <w:i w:val="0"/>
        </w:rPr>
        <w:t>.</w:t>
      </w:r>
    </w:p>
    <w:p>
      <w:pPr>
        <w:widowControl/>
      </w:pPr>
      <w:r>
        <w:rPr>
          <w:b w:val="0"/>
          <w:i w:val="0"/>
        </w:rPr>
        <w:t xml:space="preserve">To be stirred or set in motion; psychic conditions. The bodily analogy uses human spirits and humors stirred by thought and affect to explain changing cosmic effects. References: </w:t>
      </w:r>
      <w:hyperlink w:anchor="passage-iv-2-16">
        <w:r>
          <w:rPr>
            <w:color w:val="000000"/>
          </w:rPr>
          <w:t xml:space="preserve">IV.2.16</w:t>
        </w:r>
      </w:hyperlink>
      <w:r>
        <w:rPr>
          <w:b w:val="0"/>
          <w:i w:val="0"/>
        </w:rPr>
        <w:t xml:space="preserve">. See </w:t>
      </w:r>
      <w:hyperlink w:anchor="affect">
        <w:r>
          <w:rPr>
            <w:color w:val="000000"/>
          </w:rPr>
          <w:t xml:space="preserve">Affect</w:t>
        </w:r>
      </w:hyperlink>
      <w:r>
        <w:rPr>
          <w:b w:val="0"/>
          <w:i w:val="0"/>
        </w:rPr>
        <w:t>.</w:t>
      </w:r>
    </w:p>
    <w:p>
      <w:pPr>
        <w:keepNext/>
        <w:widowControl/>
      </w:pPr>
      <w:bookmarkStart w:id="1504" w:name="latin-record-1253"/>
      <w:bookmarkEnd w:id="1504"/>
      <w:r>
        <w:rPr>
          <w:b/>
          <w:i w:val="0"/>
        </w:rPr>
        <w:t>vicem gerere</w:t>
      </w:r>
      <w:r>
        <w:rPr>
          <w:b/>
          <w:i w:val="0"/>
        </w:rPr>
        <w:t>.</w:t>
      </w:r>
      <w:r>
        <w:rPr>
          <w:b w:val="0"/>
          <w:i w:val="0"/>
        </w:rPr>
        <w:t xml:space="preserve"> Printed forms: </w:t>
      </w:r>
      <w:r>
        <w:rPr>
          <w:b w:val="0"/>
          <w:i/>
        </w:rPr>
        <w:t>gerit subiecti vicem</w:t>
      </w:r>
      <w:r>
        <w:rPr>
          <w:b w:val="0"/>
          <w:i w:val="0"/>
        </w:rPr>
        <w:t xml:space="preserve">; </w:t>
      </w:r>
      <w:r>
        <w:rPr>
          <w:b w:val="0"/>
          <w:i/>
        </w:rPr>
        <w:t>vicem genitricis substantiae gerit</w:t>
      </w:r>
      <w:r>
        <w:rPr>
          <w:b w:val="0"/>
          <w:i w:val="0"/>
        </w:rPr>
        <w:t xml:space="preserve">; </w:t>
      </w:r>
      <w:r>
        <w:rPr>
          <w:b w:val="0"/>
          <w:i/>
        </w:rPr>
        <w:t>vicem gerit</w:t>
      </w:r>
      <w:r>
        <w:rPr>
          <w:b w:val="0"/>
          <w:i w:val="0"/>
        </w:rPr>
        <w:t>.</w:t>
      </w:r>
    </w:p>
    <w:p>
      <w:pPr>
        <w:widowControl/>
      </w:pPr>
      <w:r>
        <w:rPr>
          <w:b w:val="0"/>
          <w:i w:val="0"/>
        </w:rPr>
        <w:t xml:space="preserve">Occupy or perform another role. The same hypothetical subject would count as efficient cause insofar as giving and as recipient insofar as receiving. References: </w:t>
      </w:r>
      <w:hyperlink w:anchor="passage-ii-11-3">
        <w:r>
          <w:rPr>
            <w:color w:val="000000"/>
          </w:rPr>
          <w:t xml:space="preserve">II.11.3</w:t>
        </w:r>
      </w:hyperlink>
      <w:r>
        <w:rPr>
          <w:b w:val="0"/>
          <w:i w:val="0"/>
        </w:rPr>
        <w:t xml:space="preserve">. See </w:t>
      </w:r>
      <w:hyperlink w:anchor="receiving-and-giving">
        <w:r>
          <w:rPr>
            <w:color w:val="000000"/>
          </w:rPr>
          <w:t xml:space="preserve">Receiving and giving</w:t>
        </w:r>
      </w:hyperlink>
      <w:r>
        <w:rPr>
          <w:b w:val="0"/>
          <w:i w:val="0"/>
        </w:rPr>
        <w:t>.</w:t>
      </w:r>
    </w:p>
    <w:p>
      <w:pPr>
        <w:widowControl/>
      </w:pPr>
      <w:r>
        <w:rPr>
          <w:b w:val="0"/>
          <w:i w:val="0"/>
        </w:rPr>
        <w:t xml:space="preserve">To perform the office of a generative substance. Living nature supplies the substantial role that accidental qualities cannot adequately perform alone. References: </w:t>
      </w:r>
      <w:hyperlink w:anchor="passage-iv-1-19">
        <w:r>
          <w:rPr>
            <w:color w:val="000000"/>
          </w:rPr>
          <w:t xml:space="preserve">IV.1.19</w:t>
        </w:r>
      </w:hyperlink>
      <w:r>
        <w:rPr>
          <w:b w:val="0"/>
          <w:i w:val="0"/>
        </w:rPr>
        <w:t xml:space="preserve">. See </w:t>
      </w:r>
      <w:hyperlink w:anchor="substance-and-accident">
        <w:r>
          <w:rPr>
            <w:color w:val="000000"/>
          </w:rPr>
          <w:t xml:space="preserve">Substance and accident</w:t>
        </w:r>
      </w:hyperlink>
      <w:r>
        <w:rPr>
          <w:b w:val="0"/>
          <w:i w:val="0"/>
        </w:rPr>
        <w:t>.</w:t>
      </w:r>
    </w:p>
    <w:p>
      <w:pPr>
        <w:keepNext/>
        <w:widowControl/>
      </w:pPr>
      <w:bookmarkStart w:id="1505" w:name="latin-record-1254"/>
      <w:bookmarkEnd w:id="1505"/>
      <w:r>
        <w:rPr>
          <w:b/>
          <w:i w:val="0"/>
        </w:rPr>
        <w:t>vicissim / invicem</w:t>
      </w:r>
      <w:r>
        <w:rPr>
          <w:b/>
          <w:i w:val="0"/>
        </w:rPr>
        <w:t>.</w:t>
      </w:r>
      <w:r>
        <w:rPr>
          <w:b w:val="0"/>
          <w:i w:val="0"/>
        </w:rPr>
        <w:t xml:space="preserve"> Printed forms: </w:t>
      </w:r>
      <w:r>
        <w:rPr>
          <w:b w:val="0"/>
          <w:i/>
        </w:rPr>
        <w:t>invicem</w:t>
      </w:r>
      <w:r>
        <w:rPr>
          <w:b w:val="0"/>
          <w:i w:val="0"/>
        </w:rPr>
        <w:t xml:space="preserve">; </w:t>
      </w:r>
      <w:r>
        <w:rPr>
          <w:b w:val="0"/>
          <w:i/>
        </w:rPr>
        <w:t>vicissim</w:t>
      </w:r>
      <w:r>
        <w:rPr>
          <w:b w:val="0"/>
          <w:i w:val="0"/>
        </w:rPr>
        <w:t>.</w:t>
      </w:r>
    </w:p>
    <w:p>
      <w:pPr>
        <w:widowControl/>
      </w:pPr>
      <w:r>
        <w:rPr>
          <w:b w:val="0"/>
          <w:i w:val="0"/>
        </w:rPr>
        <w:t xml:space="preserve">Reciprocally or in turn / mutually. The adverbs mark exchange and mutual connection; a shared order coordinates distinct agents without making them identical. References: </w:t>
      </w:r>
      <w:hyperlink w:anchor="passage-ii-13-4">
        <w:r>
          <w:rPr>
            <w:color w:val="000000"/>
          </w:rPr>
          <w:t xml:space="preserve">II.13.4</w:t>
        </w:r>
      </w:hyperlink>
      <w:r>
        <w:rPr>
          <w:b w:val="0"/>
          <w:i w:val="0"/>
        </w:rPr>
        <w:t xml:space="preserve">. See </w:t>
      </w:r>
      <w:hyperlink w:anchor="exchange-and-reconciliation">
        <w:r>
          <w:rPr>
            <w:color w:val="000000"/>
          </w:rPr>
          <w:t xml:space="preserve">Exchange and reconciliation</w:t>
        </w:r>
      </w:hyperlink>
      <w:r>
        <w:rPr>
          <w:b w:val="0"/>
          <w:i w:val="0"/>
        </w:rPr>
        <w:t>.</w:t>
      </w:r>
    </w:p>
    <w:p>
      <w:pPr>
        <w:keepNext/>
        <w:widowControl/>
      </w:pPr>
      <w:bookmarkStart w:id="1506" w:name="latin-record-1255"/>
      <w:bookmarkEnd w:id="1506"/>
      <w:r>
        <w:rPr>
          <w:b/>
          <w:i w:val="0"/>
        </w:rPr>
        <w:t>vicissitudo</w:t>
      </w:r>
      <w:r>
        <w:rPr>
          <w:b/>
          <w:i w:val="0"/>
        </w:rPr>
        <w:t>.</w:t>
      </w:r>
      <w:r>
        <w:rPr>
          <w:b w:val="0"/>
          <w:i w:val="0"/>
        </w:rPr>
        <w:t xml:space="preserve"> Printed forms: </w:t>
      </w:r>
      <w:r>
        <w:rPr>
          <w:b w:val="0"/>
          <w:i/>
        </w:rPr>
        <w:t>vicissitudine</w:t>
      </w:r>
      <w:r>
        <w:rPr>
          <w:b w:val="0"/>
          <w:i w:val="0"/>
        </w:rPr>
        <w:t>.</w:t>
      </w:r>
    </w:p>
    <w:p>
      <w:pPr>
        <w:widowControl/>
      </w:pPr>
      <w:r>
        <w:rPr>
          <w:b w:val="0"/>
          <w:i w:val="0"/>
        </w:rPr>
        <w:t xml:space="preserve">Alternation or changing succession. The moon’s varying reception represents soul’s successive operation despite a stable higher gift. References: </w:t>
      </w:r>
      <w:hyperlink w:anchor="passage-iii-1-32">
        <w:r>
          <w:rPr>
            <w:color w:val="000000"/>
          </w:rPr>
          <w:t xml:space="preserve">III.1.32</w:t>
        </w:r>
      </w:hyperlink>
      <w:r>
        <w:rPr>
          <w:b w:val="0"/>
          <w:i w:val="0"/>
        </w:rPr>
        <w:t xml:space="preserve">. See </w:t>
      </w:r>
      <w:hyperlink w:anchor="sun-mercury-and-moon">
        <w:r>
          <w:rPr>
            <w:color w:val="000000"/>
          </w:rPr>
          <w:t xml:space="preserve">Sun, Mercury and moon</w:t>
        </w:r>
      </w:hyperlink>
      <w:r>
        <w:rPr>
          <w:b w:val="0"/>
          <w:i w:val="0"/>
        </w:rPr>
        <w:t>.</w:t>
      </w:r>
    </w:p>
    <w:p>
      <w:pPr>
        <w:widowControl/>
      </w:pPr>
      <w:r>
        <w:rPr>
          <w:b w:val="0"/>
          <w:i w:val="0"/>
        </w:rPr>
        <w:t xml:space="preserve">Alternation or successive exchange. Celestial motion is said to illuminate and foster the elemental globe equally on every side. References: </w:t>
      </w:r>
      <w:hyperlink w:anchor="passage-iv-2-20">
        <w:r>
          <w:rPr>
            <w:color w:val="000000"/>
          </w:rPr>
          <w:t xml:space="preserve">IV.2.20</w:t>
        </w:r>
      </w:hyperlink>
      <w:r>
        <w:rPr>
          <w:b w:val="0"/>
          <w:i w:val="0"/>
        </w:rPr>
        <w:t xml:space="preserve">. See </w:t>
      </w:r>
      <w:hyperlink w:anchor="circularity-and-return">
        <w:r>
          <w:rPr>
            <w:color w:val="000000"/>
          </w:rPr>
          <w:t xml:space="preserve">Circularity and return</w:t>
        </w:r>
      </w:hyperlink>
      <w:r>
        <w:rPr>
          <w:b w:val="0"/>
          <w:i w:val="0"/>
        </w:rPr>
        <w:t>.</w:t>
      </w:r>
    </w:p>
    <w:p>
      <w:pPr>
        <w:keepNext/>
        <w:widowControl/>
      </w:pPr>
      <w:bookmarkStart w:id="1507" w:name="latin-record-1256"/>
      <w:bookmarkEnd w:id="1507"/>
      <w:r>
        <w:rPr>
          <w:b/>
          <w:i w:val="0"/>
        </w:rPr>
        <w:t>videor habere / revera possideo</w:t>
      </w:r>
      <w:r>
        <w:rPr>
          <w:b/>
          <w:i w:val="0"/>
        </w:rPr>
        <w:t>.</w:t>
      </w:r>
      <w:r>
        <w:rPr>
          <w:b w:val="0"/>
          <w:i w:val="0"/>
        </w:rPr>
        <w:t xml:space="preserve"> Printed forms: </w:t>
      </w:r>
      <w:r>
        <w:rPr>
          <w:b w:val="0"/>
          <w:i/>
        </w:rPr>
        <w:t>possideant</w:t>
      </w:r>
      <w:r>
        <w:rPr>
          <w:b w:val="0"/>
          <w:i w:val="0"/>
        </w:rPr>
        <w:t xml:space="preserve">; </w:t>
      </w:r>
      <w:r>
        <w:rPr>
          <w:b w:val="0"/>
          <w:i/>
        </w:rPr>
        <w:t>revera</w:t>
      </w:r>
      <w:r>
        <w:rPr>
          <w:b w:val="0"/>
          <w:i w:val="0"/>
        </w:rPr>
        <w:t xml:space="preserve">; </w:t>
      </w:r>
      <w:r>
        <w:rPr>
          <w:b w:val="0"/>
          <w:i/>
        </w:rPr>
        <w:t>videantur habere</w:t>
      </w:r>
      <w:r>
        <w:rPr>
          <w:b w:val="0"/>
          <w:i w:val="0"/>
        </w:rPr>
        <w:t>.</w:t>
      </w:r>
    </w:p>
    <w:p>
      <w:pPr>
        <w:widowControl/>
      </w:pPr>
      <w:r>
        <w:rPr>
          <w:b w:val="0"/>
          <w:i w:val="0"/>
        </w:rPr>
        <w:t xml:space="preserve">To seem to possess, contrasted with actual possession. Some are satisfied with seeming wise, Ficino says, yet demand actual possession of what they chiefly judge good for life; appearance and possession are distinguished. References: </w:t>
      </w:r>
      <w:hyperlink w:anchor="passage-i-6-18">
        <w:r>
          <w:rPr>
            <w:color w:val="000000"/>
          </w:rPr>
          <w:t xml:space="preserve">I.6.18</w:t>
        </w:r>
      </w:hyperlink>
      <w:r>
        <w:rPr>
          <w:b w:val="0"/>
          <w:i w:val="0"/>
        </w:rPr>
        <w:t xml:space="preserve">. See </w:t>
      </w:r>
      <w:hyperlink w:anchor="good-and-goodness">
        <w:r>
          <w:rPr>
            <w:color w:val="000000"/>
          </w:rPr>
          <w:t xml:space="preserve">Good and goodness</w:t>
        </w:r>
      </w:hyperlink>
      <w:r>
        <w:rPr>
          <w:b w:val="0"/>
          <w:i w:val="0"/>
        </w:rPr>
        <w:t>.</w:t>
      </w:r>
    </w:p>
    <w:p>
      <w:pPr>
        <w:keepNext/>
        <w:widowControl/>
      </w:pPr>
      <w:bookmarkStart w:id="1508" w:name="latin-record-1257"/>
      <w:bookmarkEnd w:id="1508"/>
      <w:r>
        <w:rPr>
          <w:b/>
          <w:i w:val="0"/>
        </w:rPr>
        <w:t>videre / visibilis</w:t>
      </w:r>
      <w:r>
        <w:rPr>
          <w:b/>
          <w:i w:val="0"/>
        </w:rPr>
        <w:t>.</w:t>
      </w:r>
      <w:r>
        <w:rPr>
          <w:b w:val="0"/>
          <w:i w:val="0"/>
        </w:rPr>
        <w:t xml:space="preserve"> Printed forms: </w:t>
      </w:r>
      <w:r>
        <w:rPr>
          <w:b w:val="0"/>
          <w:i/>
        </w:rPr>
        <w:t>invisibile</w:t>
      </w:r>
      <w:r>
        <w:rPr>
          <w:b w:val="0"/>
          <w:i w:val="0"/>
        </w:rPr>
        <w:t xml:space="preserve">; </w:t>
      </w:r>
      <w:r>
        <w:rPr>
          <w:b w:val="0"/>
          <w:i/>
        </w:rPr>
        <w:t>videt</w:t>
      </w:r>
      <w:r>
        <w:rPr>
          <w:b w:val="0"/>
          <w:i w:val="0"/>
        </w:rPr>
        <w:t xml:space="preserve">; </w:t>
      </w:r>
      <w:r>
        <w:rPr>
          <w:b w:val="0"/>
          <w:i/>
        </w:rPr>
        <w:t>visibile</w:t>
      </w:r>
      <w:r>
        <w:rPr>
          <w:b w:val="0"/>
          <w:i w:val="0"/>
        </w:rPr>
        <w:t>.</w:t>
      </w:r>
    </w:p>
    <w:p>
      <w:pPr>
        <w:widowControl/>
      </w:pPr>
      <w:r>
        <w:rPr>
          <w:b w:val="0"/>
          <w:i w:val="0"/>
        </w:rPr>
        <w:t xml:space="preserve">To see or behold, physically or intellectually; visible and invisible. Seeing the divine essence includes knowing the modes of its communication; visible light supplies only an analogy of invisible light. References: </w:t>
      </w:r>
      <w:hyperlink w:anchor="passage-ii-6-11">
        <w:r>
          <w:rPr>
            <w:color w:val="000000"/>
          </w:rPr>
          <w:t xml:space="preserve">II.6.11</w:t>
        </w:r>
      </w:hyperlink>
      <w:r>
        <w:rPr>
          <w:b w:val="0"/>
          <w:i w:val="0"/>
        </w:rPr>
        <w:t xml:space="preserve">, </w:t>
      </w:r>
      <w:hyperlink w:anchor="passage-ii-9-15">
        <w:r>
          <w:rPr>
            <w:color w:val="000000"/>
          </w:rPr>
          <w:t xml:space="preserve">II.9.15</w:t>
        </w:r>
      </w:hyperlink>
      <w:r>
        <w:rPr>
          <w:b w:val="0"/>
          <w:i w:val="0"/>
        </w:rPr>
        <w:t xml:space="preserve">, </w:t>
      </w:r>
      <w:hyperlink w:anchor="passage-ii-9-16">
        <w:r>
          <w:rPr>
            <w:color w:val="000000"/>
          </w:rPr>
          <w:t xml:space="preserve">II.9.16</w:t>
        </w:r>
      </w:hyperlink>
      <w:r>
        <w:rPr>
          <w:b w:val="0"/>
          <w:i w:val="0"/>
        </w:rPr>
        <w:t xml:space="preserve">. See </w:t>
      </w:r>
      <w:hyperlink w:anchor="eye-and-gaze">
        <w:r>
          <w:rPr>
            <w:color w:val="000000"/>
          </w:rPr>
          <w:t xml:space="preserve">Eye and gaze</w:t>
        </w:r>
      </w:hyperlink>
      <w:r>
        <w:rPr>
          <w:b w:val="0"/>
          <w:i w:val="0"/>
        </w:rPr>
        <w:t>.</w:t>
      </w:r>
    </w:p>
    <w:p>
      <w:pPr>
        <w:keepNext/>
        <w:widowControl/>
      </w:pPr>
      <w:bookmarkStart w:id="1509" w:name="latin-record-1258"/>
      <w:bookmarkEnd w:id="1509"/>
      <w:r>
        <w:rPr>
          <w:b/>
          <w:i w:val="0"/>
        </w:rPr>
        <w:t>videtur</w:t>
      </w:r>
      <w:r>
        <w:rPr>
          <w:b/>
          <w:i w:val="0"/>
        </w:rPr>
        <w:t>.</w:t>
      </w:r>
      <w:r>
        <w:rPr>
          <w:b w:val="0"/>
          <w:i w:val="0"/>
        </w:rPr>
        <w:t xml:space="preserve"> Printed forms: </w:t>
      </w:r>
      <w:r>
        <w:rPr>
          <w:b w:val="0"/>
          <w:i/>
        </w:rPr>
        <w:t>videantur</w:t>
      </w:r>
      <w:r>
        <w:rPr>
          <w:b w:val="0"/>
          <w:i w:val="0"/>
        </w:rPr>
        <w:t xml:space="preserve">; </w:t>
      </w:r>
      <w:r>
        <w:rPr>
          <w:b w:val="0"/>
          <w:i/>
        </w:rPr>
        <w:t>videtur</w:t>
      </w:r>
      <w:r>
        <w:rPr>
          <w:b w:val="0"/>
          <w:i w:val="0"/>
        </w:rPr>
        <w:t>.</w:t>
      </w:r>
    </w:p>
    <w:p>
      <w:pPr>
        <w:widowControl/>
      </w:pPr>
      <w:r>
        <w:rPr>
          <w:b w:val="0"/>
          <w:i w:val="0"/>
        </w:rPr>
        <w:t xml:space="preserve">It seems or appears, with the claim qualified by its construction. The opening immortality conclusion </w:t>
      </w:r>
      <w:r>
        <w:t>“</w:t>
      </w:r>
      <w:r>
        <w:rPr>
          <w:b w:val="0"/>
          <w:i w:val="0"/>
        </w:rPr>
        <w:t>seems necessary,</w:t>
      </w:r>
      <w:r>
        <w:t>”</w:t>
      </w:r>
      <w:r>
        <w:rPr>
          <w:b w:val="0"/>
          <w:i w:val="0"/>
        </w:rPr>
        <w:t xml:space="preserve"> while the reported historical stopping point of Anaxagoras and Hermotimus </w:t>
      </w:r>
      <w:r>
        <w:t>“</w:t>
      </w:r>
      <w:r>
        <w:rPr>
          <w:b w:val="0"/>
          <w:i w:val="0"/>
        </w:rPr>
        <w:t>seems</w:t>
      </w:r>
      <w:r>
        <w:t>”</w:t>
      </w:r>
      <w:r>
        <w:rPr>
          <w:b w:val="0"/>
          <w:i w:val="0"/>
        </w:rPr>
        <w:t xml:space="preserve"> to be angelic mind; retain the differing evidential force. References: </w:t>
      </w:r>
      <w:hyperlink w:anchor="passage-i-1-1">
        <w:r>
          <w:rPr>
            <w:color w:val="000000"/>
          </w:rPr>
          <w:t xml:space="preserve">I.1.1</w:t>
        </w:r>
      </w:hyperlink>
      <w:r>
        <w:rPr>
          <w:b w:val="0"/>
          <w:i w:val="0"/>
        </w:rPr>
        <w:t xml:space="preserve">, </w:t>
      </w:r>
      <w:hyperlink w:anchor="passage-i-1-5">
        <w:r>
          <w:rPr>
            <w:color w:val="000000"/>
          </w:rPr>
          <w:t xml:space="preserve">I.1.5</w:t>
        </w:r>
      </w:hyperlink>
      <w:r>
        <w:rPr>
          <w:b w:val="0"/>
          <w:i w:val="0"/>
        </w:rPr>
        <w:t xml:space="preserve">. See </w:t>
      </w:r>
      <w:hyperlink w:anchor="proof-signs-and-qualification">
        <w:r>
          <w:rPr>
            <w:color w:val="000000"/>
          </w:rPr>
          <w:t xml:space="preserve">Proof, signs and qualification</w:t>
        </w:r>
      </w:hyperlink>
      <w:r>
        <w:rPr>
          <w:b w:val="0"/>
          <w:i w:val="0"/>
        </w:rPr>
        <w:t>.</w:t>
      </w:r>
    </w:p>
    <w:p>
      <w:pPr>
        <w:keepNext/>
        <w:widowControl/>
      </w:pPr>
      <w:bookmarkStart w:id="1510" w:name="latin-record-1259"/>
      <w:bookmarkEnd w:id="1510"/>
      <w:r>
        <w:rPr>
          <w:b/>
          <w:i w:val="0"/>
        </w:rPr>
        <w:t>vigeo / prodo</w:t>
      </w:r>
      <w:r>
        <w:rPr>
          <w:b/>
          <w:i w:val="0"/>
        </w:rPr>
        <w:t>.</w:t>
      </w:r>
      <w:r>
        <w:rPr>
          <w:b w:val="0"/>
          <w:i w:val="0"/>
        </w:rPr>
        <w:t xml:space="preserve"> Printed forms: </w:t>
      </w:r>
      <w:r>
        <w:rPr>
          <w:b w:val="0"/>
          <w:i/>
        </w:rPr>
        <w:t>proditur</w:t>
      </w:r>
      <w:r>
        <w:rPr>
          <w:b w:val="0"/>
          <w:i w:val="0"/>
        </w:rPr>
        <w:t xml:space="preserve">; </w:t>
      </w:r>
      <w:r>
        <w:rPr>
          <w:b w:val="0"/>
          <w:i/>
        </w:rPr>
        <w:t>viget</w:t>
      </w:r>
      <w:r>
        <w:rPr>
          <w:b w:val="0"/>
          <w:i w:val="0"/>
        </w:rPr>
        <w:t>.</w:t>
      </w:r>
    </w:p>
    <w:p>
      <w:pPr>
        <w:widowControl/>
      </w:pPr>
      <w:r>
        <w:rPr>
          <w:b w:val="0"/>
          <w:i w:val="0"/>
        </w:rPr>
        <w:t xml:space="preserve">To flourish or be vigorous; to bring forth or make manifest. Passive proditur means is brought forth into act. A greater power is said to appear in act more fully and quickly; the inference moves from human mental ability to the order of the universe. References: </w:t>
      </w:r>
      <w:hyperlink w:anchor="passage-i-3-13">
        <w:r>
          <w:rPr>
            <w:color w:val="000000"/>
          </w:rPr>
          <w:t xml:space="preserve">I.3.13</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1511" w:name="latin-record-1260"/>
      <w:bookmarkEnd w:id="1511"/>
      <w:r>
        <w:rPr>
          <w:b/>
          <w:i w:val="0"/>
        </w:rPr>
        <w:t>vigor</w:t>
      </w:r>
      <w:r>
        <w:rPr>
          <w:b/>
          <w:i w:val="0"/>
        </w:rPr>
        <w:t>.</w:t>
      </w:r>
      <w:r>
        <w:rPr>
          <w:b w:val="0"/>
          <w:i w:val="0"/>
        </w:rPr>
        <w:t xml:space="preserve"> Printed forms: </w:t>
      </w:r>
      <w:r>
        <w:rPr>
          <w:b w:val="0"/>
          <w:i/>
        </w:rPr>
        <w:t>vigor</w:t>
      </w:r>
      <w:r>
        <w:rPr>
          <w:b w:val="0"/>
          <w:i w:val="0"/>
        </w:rPr>
        <w:t>.</w:t>
      </w:r>
    </w:p>
    <w:p>
      <w:pPr>
        <w:widowControl/>
      </w:pPr>
      <w:r>
        <w:rPr>
          <w:b w:val="0"/>
          <w:i w:val="0"/>
        </w:rPr>
        <w:t xml:space="preserve">Effective energy or strength. God is called pure vigor of acting, separated from the recipient’s mode of undergoing. References: </w:t>
      </w:r>
      <w:hyperlink w:anchor="passage-iii-1-10">
        <w:r>
          <w:rPr>
            <w:color w:val="000000"/>
          </w:rPr>
          <w:t xml:space="preserve">III.1.10</w:t>
        </w:r>
      </w:hyperlink>
      <w:r>
        <w:rPr>
          <w:b w:val="0"/>
          <w:i w:val="0"/>
        </w:rPr>
        <w:t xml:space="preserve">. See </w:t>
      </w:r>
      <w:hyperlink w:anchor="act-and-operation">
        <w:r>
          <w:rPr>
            <w:color w:val="000000"/>
          </w:rPr>
          <w:t xml:space="preserve">Act and operation</w:t>
        </w:r>
      </w:hyperlink>
      <w:r>
        <w:rPr>
          <w:b w:val="0"/>
          <w:i w:val="0"/>
        </w:rPr>
        <w:t>.</w:t>
      </w:r>
    </w:p>
    <w:p>
      <w:pPr>
        <w:keepNext/>
        <w:widowControl/>
      </w:pPr>
      <w:bookmarkStart w:id="1512" w:name="latin-record-1261"/>
      <w:bookmarkEnd w:id="1512"/>
      <w:r>
        <w:rPr>
          <w:b/>
          <w:i w:val="0"/>
        </w:rPr>
        <w:t>vilis / pretiosus / nobilis</w:t>
      </w:r>
      <w:r>
        <w:rPr>
          <w:b/>
          <w:i w:val="0"/>
        </w:rPr>
        <w:t>.</w:t>
      </w:r>
      <w:r>
        <w:rPr>
          <w:b w:val="0"/>
          <w:i w:val="0"/>
        </w:rPr>
        <w:t xml:space="preserve"> Printed forms: </w:t>
      </w:r>
      <w:r>
        <w:rPr>
          <w:b w:val="0"/>
          <w:i/>
        </w:rPr>
        <w:t>nobilem</w:t>
      </w:r>
      <w:r>
        <w:rPr>
          <w:b w:val="0"/>
          <w:i w:val="0"/>
        </w:rPr>
        <w:t xml:space="preserve">; </w:t>
      </w:r>
      <w:r>
        <w:rPr>
          <w:b w:val="0"/>
          <w:i/>
        </w:rPr>
        <w:t>pretiosiora</w:t>
      </w:r>
      <w:r>
        <w:rPr>
          <w:b w:val="0"/>
          <w:i w:val="0"/>
        </w:rPr>
        <w:t xml:space="preserve">; </w:t>
      </w:r>
      <w:r>
        <w:rPr>
          <w:b w:val="0"/>
          <w:i/>
        </w:rPr>
        <w:t>pretiosissima</w:t>
      </w:r>
      <w:r>
        <w:rPr>
          <w:b w:val="0"/>
          <w:i w:val="0"/>
        </w:rPr>
        <w:t xml:space="preserve">; </w:t>
      </w:r>
      <w:r>
        <w:rPr>
          <w:b w:val="0"/>
          <w:i/>
        </w:rPr>
        <w:t>viliora</w:t>
      </w:r>
      <w:r>
        <w:rPr>
          <w:b w:val="0"/>
          <w:i w:val="0"/>
        </w:rPr>
        <w:t xml:space="preserve">; </w:t>
      </w:r>
      <w:r>
        <w:rPr>
          <w:b w:val="0"/>
          <w:i/>
        </w:rPr>
        <w:t>vilissima</w:t>
      </w:r>
      <w:r>
        <w:rPr>
          <w:b w:val="0"/>
          <w:i w:val="0"/>
        </w:rPr>
        <w:t xml:space="preserve">; </w:t>
      </w:r>
      <w:r>
        <w:rPr>
          <w:b w:val="0"/>
          <w:i/>
        </w:rPr>
        <w:t>vilissimarum</w:t>
      </w:r>
      <w:r>
        <w:rPr>
          <w:b w:val="0"/>
          <w:i w:val="0"/>
        </w:rPr>
        <w:t>.</w:t>
      </w:r>
    </w:p>
    <w:p>
      <w:pPr>
        <w:widowControl/>
      </w:pPr>
      <w:r>
        <w:rPr>
          <w:b w:val="0"/>
          <w:i w:val="0"/>
        </w:rPr>
        <w:t xml:space="preserve">Lowly, precious, or excellent in rank and common appraisal. The whole order includes relations among higher and lower things, so divine knowledge must distinguish both. References: </w:t>
      </w:r>
      <w:hyperlink w:anchor="passage-ii-9-20">
        <w:r>
          <w:rPr>
            <w:color w:val="000000"/>
          </w:rPr>
          <w:t xml:space="preserve">II.9.20</w:t>
        </w:r>
      </w:hyperlink>
      <w:r>
        <w:rPr>
          <w:b w:val="0"/>
          <w:i w:val="0"/>
        </w:rPr>
        <w:t xml:space="preserve">, </w:t>
      </w:r>
      <w:hyperlink w:anchor="passage-ii-9-21">
        <w:r>
          <w:rPr>
            <w:color w:val="000000"/>
          </w:rPr>
          <w:t xml:space="preserve">II.9.21</w:t>
        </w:r>
      </w:hyperlink>
      <w:r>
        <w:rPr>
          <w:b w:val="0"/>
          <w:i w:val="0"/>
        </w:rPr>
        <w:t xml:space="preserve">, </w:t>
      </w:r>
      <w:hyperlink w:anchor="passage-ii-9-22">
        <w:r>
          <w:rPr>
            <w:color w:val="000000"/>
          </w:rPr>
          <w:t xml:space="preserve">II.9.22</w:t>
        </w:r>
      </w:hyperlink>
      <w:r>
        <w:rPr>
          <w:b w:val="0"/>
          <w:i w:val="0"/>
        </w:rPr>
        <w:t xml:space="preserve">. See </w:t>
      </w:r>
      <w:hyperlink w:anchor="precious-and-lowly">
        <w:r>
          <w:rPr>
            <w:color w:val="000000"/>
          </w:rPr>
          <w:t xml:space="preserve">Precious and lowly</w:t>
        </w:r>
      </w:hyperlink>
      <w:r>
        <w:rPr>
          <w:b w:val="0"/>
          <w:i w:val="0"/>
        </w:rPr>
        <w:t>.</w:t>
      </w:r>
    </w:p>
    <w:p>
      <w:pPr>
        <w:keepNext/>
        <w:widowControl/>
      </w:pPr>
      <w:bookmarkStart w:id="1513" w:name="latin-record-1262"/>
      <w:bookmarkEnd w:id="1513"/>
      <w:r>
        <w:rPr>
          <w:b/>
          <w:i w:val="0"/>
        </w:rPr>
        <w:t>vim inferre</w:t>
      </w:r>
      <w:r>
        <w:rPr>
          <w:b/>
          <w:i w:val="0"/>
        </w:rPr>
        <w:t>.</w:t>
      </w:r>
      <w:r>
        <w:rPr>
          <w:b w:val="0"/>
          <w:i w:val="0"/>
        </w:rPr>
        <w:t xml:space="preserve"> Printed forms: </w:t>
      </w:r>
      <w:r>
        <w:rPr>
          <w:b w:val="0"/>
          <w:i/>
        </w:rPr>
        <w:t>vim inferre</w:t>
      </w:r>
      <w:r>
        <w:rPr>
          <w:b w:val="0"/>
          <w:i w:val="0"/>
        </w:rPr>
        <w:t>.</w:t>
      </w:r>
    </w:p>
    <w:p>
      <w:pPr>
        <w:widowControl/>
      </w:pPr>
      <w:r>
        <w:rPr>
          <w:b w:val="0"/>
          <w:i w:val="0"/>
        </w:rPr>
        <w:t xml:space="preserve">Do violence or impose force. Ficino forestalls the inference that divine choice compels every created cause to act in one unvarying manner. References: </w:t>
      </w:r>
      <w:hyperlink w:anchor="passage-ii-12-19">
        <w:r>
          <w:rPr>
            <w:color w:val="000000"/>
          </w:rPr>
          <w:t xml:space="preserve">II.12.19</w:t>
        </w:r>
      </w:hyperlink>
      <w:r>
        <w:rPr>
          <w:b w:val="0"/>
          <w:i w:val="0"/>
        </w:rPr>
        <w:t xml:space="preserve">. See </w:t>
      </w:r>
      <w:hyperlink w:anchor="persuasion-and-compulsion">
        <w:r>
          <w:rPr>
            <w:color w:val="000000"/>
          </w:rPr>
          <w:t xml:space="preserve">Persuasion and compulsion</w:t>
        </w:r>
      </w:hyperlink>
      <w:r>
        <w:rPr>
          <w:b w:val="0"/>
          <w:i w:val="0"/>
        </w:rPr>
        <w:t>.</w:t>
      </w:r>
    </w:p>
    <w:p>
      <w:pPr>
        <w:keepNext/>
        <w:widowControl/>
      </w:pPr>
      <w:bookmarkStart w:id="1514" w:name="latin-record-1263"/>
      <w:bookmarkEnd w:id="1514"/>
      <w:r>
        <w:rPr>
          <w:b/>
          <w:i w:val="0"/>
        </w:rPr>
        <w:t>vincire / connectere</w:t>
      </w:r>
      <w:r>
        <w:rPr>
          <w:b/>
          <w:i w:val="0"/>
        </w:rPr>
        <w:t>.</w:t>
      </w:r>
      <w:r>
        <w:rPr>
          <w:b w:val="0"/>
          <w:i w:val="0"/>
        </w:rPr>
        <w:t xml:space="preserve"> Printed forms: </w:t>
      </w:r>
      <w:r>
        <w:rPr>
          <w:b w:val="0"/>
          <w:i/>
        </w:rPr>
        <w:t>connectere</w:t>
      </w:r>
      <w:r>
        <w:rPr>
          <w:b w:val="0"/>
          <w:i w:val="0"/>
        </w:rPr>
        <w:t xml:space="preserve">; </w:t>
      </w:r>
      <w:r>
        <w:rPr>
          <w:b w:val="0"/>
          <w:i/>
        </w:rPr>
        <w:t>vinciuntur</w:t>
      </w:r>
      <w:r>
        <w:rPr>
          <w:b w:val="0"/>
          <w:i w:val="0"/>
        </w:rPr>
        <w:t>.</w:t>
      </w:r>
    </w:p>
    <w:p>
      <w:pPr>
        <w:widowControl/>
      </w:pPr>
      <w:r>
        <w:rPr>
          <w:b w:val="0"/>
          <w:i w:val="0"/>
        </w:rPr>
        <w:t xml:space="preserve">To bind and connect. The world-soul’s whole presence is argued to be necessary for perfect cosmic unity, life, and motion. References: </w:t>
      </w:r>
      <w:hyperlink w:anchor="passage-iv-1-83">
        <w:r>
          <w:rPr>
            <w:color w:val="000000"/>
          </w:rPr>
          <w:t xml:space="preserve">IV.1.83</w:t>
        </w:r>
      </w:hyperlink>
      <w:r>
        <w:rPr>
          <w:b w:val="0"/>
          <w:i w:val="0"/>
        </w:rPr>
        <w:t xml:space="preserve">. See </w:t>
      </w:r>
      <w:hyperlink w:anchor="world-soul">
        <w:r>
          <w:rPr>
            <w:color w:val="000000"/>
          </w:rPr>
          <w:t xml:space="preserve">World soul</w:t>
        </w:r>
      </w:hyperlink>
      <w:r>
        <w:rPr>
          <w:b w:val="0"/>
          <w:i w:val="0"/>
        </w:rPr>
        <w:t>.</w:t>
      </w:r>
    </w:p>
    <w:p>
      <w:pPr>
        <w:keepNext/>
        <w:widowControl/>
      </w:pPr>
      <w:bookmarkStart w:id="1515" w:name="latin-record-1264"/>
      <w:bookmarkEnd w:id="1515"/>
      <w:r>
        <w:rPr>
          <w:b/>
          <w:i w:val="0"/>
        </w:rPr>
        <w:t>vinculum / connecto</w:t>
      </w:r>
      <w:r>
        <w:rPr>
          <w:b/>
          <w:i w:val="0"/>
        </w:rPr>
        <w:t>.</w:t>
      </w:r>
      <w:r>
        <w:rPr>
          <w:b w:val="0"/>
          <w:i w:val="0"/>
        </w:rPr>
        <w:t xml:space="preserve"> Printed forms: </w:t>
      </w:r>
      <w:r>
        <w:rPr>
          <w:b w:val="0"/>
          <w:i/>
        </w:rPr>
        <w:t>connectit</w:t>
      </w:r>
      <w:r>
        <w:rPr>
          <w:b w:val="0"/>
          <w:i w:val="0"/>
        </w:rPr>
        <w:t xml:space="preserve">; </w:t>
      </w:r>
      <w:r>
        <w:rPr>
          <w:b w:val="0"/>
          <w:i/>
        </w:rPr>
        <w:t>vinculum</w:t>
      </w:r>
      <w:r>
        <w:rPr>
          <w:b w:val="0"/>
          <w:i w:val="0"/>
        </w:rPr>
        <w:t>.</w:t>
      </w:r>
    </w:p>
    <w:p>
      <w:pPr>
        <w:widowControl/>
      </w:pPr>
      <w:r>
        <w:rPr>
          <w:b w:val="0"/>
          <w:i w:val="0"/>
        </w:rPr>
        <w:t xml:space="preserve">A bond; to join or connect. Rational soul is called indissoluble insofar as it binds the levels of nature; the bond is its mediating activity, not a physical chain. References: </w:t>
      </w:r>
      <w:hyperlink w:anchor="passage-i-1-7">
        <w:r>
          <w:rPr>
            <w:color w:val="000000"/>
          </w:rPr>
          <w:t xml:space="preserve">I.1.7</w:t>
        </w:r>
      </w:hyperlink>
      <w:r>
        <w:rPr>
          <w:b w:val="0"/>
          <w:i w:val="0"/>
        </w:rPr>
        <w:t xml:space="preserve">. See </w:t>
      </w:r>
      <w:hyperlink w:anchor="bond-knot-and-chain">
        <w:r>
          <w:rPr>
            <w:color w:val="000000"/>
          </w:rPr>
          <w:t xml:space="preserve">Bond knot and chain</w:t>
        </w:r>
      </w:hyperlink>
      <w:r>
        <w:rPr>
          <w:b w:val="0"/>
          <w:i w:val="0"/>
        </w:rPr>
        <w:t>.</w:t>
      </w:r>
    </w:p>
    <w:p>
      <w:pPr>
        <w:keepNext/>
        <w:widowControl/>
      </w:pPr>
      <w:bookmarkStart w:id="1516" w:name="latin-record-1265"/>
      <w:bookmarkEnd w:id="1516"/>
      <w:r>
        <w:rPr>
          <w:b/>
          <w:i w:val="0"/>
        </w:rPr>
        <w:t>vinum</w:t>
      </w:r>
      <w:r>
        <w:rPr>
          <w:b/>
          <w:i w:val="0"/>
        </w:rPr>
        <w:t>.</w:t>
      </w:r>
      <w:r>
        <w:rPr>
          <w:b w:val="0"/>
          <w:i w:val="0"/>
        </w:rPr>
        <w:t xml:space="preserve"> Printed forms: </w:t>
      </w:r>
      <w:r>
        <w:rPr>
          <w:b w:val="0"/>
          <w:i/>
        </w:rPr>
        <w:t>vinum</w:t>
      </w:r>
      <w:r>
        <w:rPr>
          <w:b w:val="0"/>
          <w:i w:val="0"/>
        </w:rPr>
        <w:t>.</w:t>
      </w:r>
    </w:p>
    <w:p>
      <w:pPr>
        <w:widowControl/>
      </w:pPr>
      <w:r>
        <w:rPr>
          <w:b w:val="0"/>
          <w:i w:val="0"/>
        </w:rPr>
        <w:t xml:space="preserve">Wine, the familiar material example used to explain genuineness. True wine is pure wine; the illustration links truth with a thing remaining genuinely what it is. References: </w:t>
      </w:r>
      <w:hyperlink w:anchor="passage-ii-1-1">
        <w:r>
          <w:rPr>
            <w:color w:val="000000"/>
          </w:rPr>
          <w:t xml:space="preserve">II.1.1</w:t>
        </w:r>
      </w:hyperlink>
      <w:r>
        <w:rPr>
          <w:b w:val="0"/>
          <w:i w:val="0"/>
        </w:rPr>
        <w:t xml:space="preserve">. See </w:t>
      </w:r>
      <w:hyperlink w:anchor="truth">
        <w:r>
          <w:rPr>
            <w:color w:val="000000"/>
          </w:rPr>
          <w:t xml:space="preserve">Truth</w:t>
        </w:r>
      </w:hyperlink>
      <w:r>
        <w:rPr>
          <w:b w:val="0"/>
          <w:i w:val="0"/>
        </w:rPr>
        <w:t>.</w:t>
      </w:r>
    </w:p>
    <w:p>
      <w:pPr>
        <w:keepNext/>
        <w:widowControl/>
      </w:pPr>
      <w:bookmarkStart w:id="1517" w:name="latin-record-1266"/>
      <w:bookmarkEnd w:id="1517"/>
      <w:r>
        <w:rPr>
          <w:b/>
          <w:i w:val="0"/>
        </w:rPr>
        <w:t>violentia / usus vitae</w:t>
      </w:r>
      <w:r>
        <w:rPr>
          <w:b/>
          <w:i w:val="0"/>
        </w:rPr>
        <w:t>.</w:t>
      </w:r>
      <w:r>
        <w:rPr>
          <w:b w:val="0"/>
          <w:i w:val="0"/>
        </w:rPr>
        <w:t xml:space="preserve"> Printed forms: </w:t>
      </w:r>
      <w:r>
        <w:rPr>
          <w:b w:val="0"/>
          <w:i/>
        </w:rPr>
        <w:t>usus vitae</w:t>
      </w:r>
      <w:r>
        <w:rPr>
          <w:b w:val="0"/>
          <w:i w:val="0"/>
        </w:rPr>
        <w:t xml:space="preserve">; </w:t>
      </w:r>
      <w:r>
        <w:rPr>
          <w:b w:val="0"/>
          <w:i/>
        </w:rPr>
        <w:t>violentia</w:t>
      </w:r>
      <w:r>
        <w:rPr>
          <w:b w:val="0"/>
          <w:i w:val="0"/>
        </w:rPr>
        <w:t>.</w:t>
      </w:r>
    </w:p>
    <w:p>
      <w:pPr>
        <w:widowControl/>
      </w:pPr>
      <w:r>
        <w:rPr>
          <w:b w:val="0"/>
          <w:i w:val="0"/>
        </w:rPr>
        <w:t xml:space="preserve">Violence and the requirements or use of life. The organism moves heavy and light materials beyond their normal directions without manifest violence as life requires; the qualification manifesta should remain. References: </w:t>
      </w:r>
      <w:hyperlink w:anchor="passage-i-3-23">
        <w:r>
          <w:rPr>
            <w:color w:val="000000"/>
          </w:rPr>
          <w:t xml:space="preserve">I.3.23</w:t>
        </w:r>
      </w:hyperlink>
      <w:r>
        <w:rPr>
          <w:b w:val="0"/>
          <w:i w:val="0"/>
        </w:rPr>
        <w:t xml:space="preserve">. See </w:t>
      </w:r>
      <w:hyperlink w:anchor="nourishment-digestion-and-growth">
        <w:r>
          <w:rPr>
            <w:color w:val="000000"/>
          </w:rPr>
          <w:t xml:space="preserve">Nourishment, digestion and growth</w:t>
        </w:r>
      </w:hyperlink>
      <w:r>
        <w:rPr>
          <w:b w:val="0"/>
          <w:i w:val="0"/>
        </w:rPr>
        <w:t>.</w:t>
      </w:r>
    </w:p>
    <w:p>
      <w:pPr>
        <w:keepNext/>
        <w:widowControl/>
      </w:pPr>
      <w:bookmarkStart w:id="1518" w:name="latin-record-1267"/>
      <w:bookmarkEnd w:id="1518"/>
      <w:r>
        <w:rPr>
          <w:b/>
          <w:i w:val="0"/>
        </w:rPr>
        <w:t>violentus / violentia</w:t>
      </w:r>
      <w:r>
        <w:rPr>
          <w:b/>
          <w:i w:val="0"/>
        </w:rPr>
        <w:t>.</w:t>
      </w:r>
      <w:r>
        <w:rPr>
          <w:b w:val="0"/>
          <w:i w:val="0"/>
        </w:rPr>
        <w:t xml:space="preserve"> Printed forms: </w:t>
      </w:r>
      <w:r>
        <w:rPr>
          <w:b w:val="0"/>
          <w:i/>
        </w:rPr>
        <w:t>violentia</w:t>
      </w:r>
      <w:r>
        <w:rPr>
          <w:b w:val="0"/>
          <w:i w:val="0"/>
        </w:rPr>
        <w:t xml:space="preserve">; </w:t>
      </w:r>
      <w:r>
        <w:rPr>
          <w:b w:val="0"/>
          <w:i/>
        </w:rPr>
        <w:t>violentiam</w:t>
      </w:r>
      <w:r>
        <w:rPr>
          <w:b w:val="0"/>
          <w:i w:val="0"/>
        </w:rPr>
        <w:t xml:space="preserve">; </w:t>
      </w:r>
      <w:r>
        <w:rPr>
          <w:b w:val="0"/>
          <w:i/>
        </w:rPr>
        <w:t>violentum</w:t>
      </w:r>
      <w:r>
        <w:rPr>
          <w:b w:val="0"/>
          <w:i w:val="0"/>
        </w:rPr>
        <w:t>.</w:t>
      </w:r>
    </w:p>
    <w:p>
      <w:pPr>
        <w:widowControl/>
      </w:pPr>
      <w:r>
        <w:rPr>
          <w:b w:val="0"/>
          <w:i w:val="0"/>
        </w:rPr>
        <w:t xml:space="preserve">Forced or contrary to the fitting natural course. Ficino argues that violence cannot explain motion that is enduring, uniform, and ordered. References: </w:t>
      </w:r>
      <w:hyperlink w:anchor="passage-iv-1-54">
        <w:r>
          <w:rPr>
            <w:color w:val="000000"/>
          </w:rPr>
          <w:t xml:space="preserve">IV.1.54</w:t>
        </w:r>
      </w:hyperlink>
      <w:r>
        <w:rPr>
          <w:b w:val="0"/>
          <w:i w:val="0"/>
        </w:rPr>
        <w:t xml:space="preserve">, </w:t>
      </w:r>
      <w:hyperlink w:anchor="passage-iv-1-56">
        <w:r>
          <w:rPr>
            <w:color w:val="000000"/>
          </w:rPr>
          <w:t xml:space="preserve">IV.1.56</w:t>
        </w:r>
      </w:hyperlink>
      <w:r>
        <w:rPr>
          <w:b w:val="0"/>
          <w:i w:val="0"/>
        </w:rPr>
        <w:t xml:space="preserve">. See </w:t>
      </w:r>
      <w:hyperlink w:anchor="motion-and-stability">
        <w:r>
          <w:rPr>
            <w:color w:val="000000"/>
          </w:rPr>
          <w:t xml:space="preserve">Motion and stability</w:t>
        </w:r>
      </w:hyperlink>
      <w:r>
        <w:rPr>
          <w:b w:val="0"/>
          <w:i w:val="0"/>
        </w:rPr>
        <w:t>.</w:t>
      </w:r>
    </w:p>
    <w:p>
      <w:pPr>
        <w:keepNext/>
        <w:widowControl/>
      </w:pPr>
      <w:bookmarkStart w:id="1519" w:name="latin-record-1268"/>
      <w:bookmarkEnd w:id="1519"/>
      <w:r>
        <w:rPr>
          <w:b/>
          <w:i w:val="0"/>
        </w:rPr>
        <w:t>viridis / rubens</w:t>
      </w:r>
      <w:r>
        <w:rPr>
          <w:b/>
          <w:i w:val="0"/>
        </w:rPr>
        <w:t>.</w:t>
      </w:r>
      <w:r>
        <w:rPr>
          <w:b w:val="0"/>
          <w:i w:val="0"/>
        </w:rPr>
        <w:t xml:space="preserve"> Printed forms: </w:t>
      </w:r>
      <w:r>
        <w:rPr>
          <w:b w:val="0"/>
          <w:i/>
        </w:rPr>
        <w:t>rubens</w:t>
      </w:r>
      <w:r>
        <w:rPr>
          <w:b w:val="0"/>
          <w:i w:val="0"/>
        </w:rPr>
        <w:t xml:space="preserve">; </w:t>
      </w:r>
      <w:r>
        <w:rPr>
          <w:b w:val="0"/>
          <w:i/>
        </w:rPr>
        <w:t>viridis</w:t>
      </w:r>
      <w:r>
        <w:rPr>
          <w:b w:val="0"/>
          <w:i w:val="0"/>
        </w:rPr>
        <w:t>.</w:t>
      </w:r>
    </w:p>
    <w:p>
      <w:pPr>
        <w:widowControl/>
      </w:pPr>
      <w:r>
        <w:rPr>
          <w:b w:val="0"/>
          <w:i w:val="0"/>
        </w:rPr>
        <w:t xml:space="preserve">Green / red. Colored light illustrates light qualified by something further; the example explains restricted actuality rather than purity as moral worth. References: </w:t>
      </w:r>
      <w:hyperlink w:anchor="passage-iii-1-10">
        <w:r>
          <w:rPr>
            <w:color w:val="000000"/>
          </w:rPr>
          <w:t xml:space="preserve">III.1.10</w:t>
        </w:r>
      </w:hyperlink>
      <w:r>
        <w:rPr>
          <w:b w:val="0"/>
          <w:i w:val="0"/>
        </w:rPr>
        <w:t xml:space="preserve">. See </w:t>
      </w:r>
      <w:hyperlink w:anchor="light-and-illumination">
        <w:r>
          <w:rPr>
            <w:color w:val="000000"/>
          </w:rPr>
          <w:t xml:space="preserve">Light and illumination</w:t>
        </w:r>
      </w:hyperlink>
      <w:r>
        <w:rPr>
          <w:b w:val="0"/>
          <w:i w:val="0"/>
        </w:rPr>
        <w:t>.</w:t>
      </w:r>
    </w:p>
    <w:p>
      <w:pPr>
        <w:keepNext/>
        <w:widowControl/>
      </w:pPr>
      <w:bookmarkStart w:id="1520" w:name="latin-record-1269"/>
      <w:bookmarkEnd w:id="1520"/>
      <w:r>
        <w:rPr>
          <w:b/>
          <w:i w:val="0"/>
        </w:rPr>
        <w:t>vis / inscitia</w:t>
      </w:r>
      <w:r>
        <w:rPr>
          <w:b/>
          <w:i w:val="0"/>
        </w:rPr>
        <w:t>.</w:t>
      </w:r>
      <w:r>
        <w:rPr>
          <w:b w:val="0"/>
          <w:i w:val="0"/>
        </w:rPr>
        <w:t xml:space="preserve"> Printed forms: </w:t>
      </w:r>
      <w:r>
        <w:rPr>
          <w:b w:val="0"/>
          <w:i/>
        </w:rPr>
        <w:t>inscitia</w:t>
      </w:r>
      <w:r>
        <w:rPr>
          <w:b w:val="0"/>
          <w:i w:val="0"/>
        </w:rPr>
        <w:t xml:space="preserve">; </w:t>
      </w:r>
      <w:r>
        <w:rPr>
          <w:b w:val="0"/>
          <w:i/>
        </w:rPr>
        <w:t>vi</w:t>
      </w:r>
      <w:r>
        <w:rPr>
          <w:b w:val="0"/>
          <w:i w:val="0"/>
        </w:rPr>
        <w:t>.</w:t>
      </w:r>
    </w:p>
    <w:p>
      <w:pPr>
        <w:widowControl/>
      </w:pPr>
      <w:r>
        <w:rPr>
          <w:b w:val="0"/>
          <w:i w:val="0"/>
        </w:rPr>
        <w:t xml:space="preserve">Force and ignorance. They are the two routes to deterioration excluded from pure free mind within the argument; the exclusion belongs to that defined subject. References: </w:t>
      </w:r>
      <w:hyperlink w:anchor="passage-i-6-17">
        <w:r>
          <w:rPr>
            <w:color w:val="000000"/>
          </w:rPr>
          <w:t xml:space="preserve">I.6.17</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1521" w:name="latin-record-1270"/>
      <w:bookmarkEnd w:id="1521"/>
      <w:r>
        <w:rPr>
          <w:b/>
          <w:i w:val="0"/>
        </w:rPr>
        <w:t>vis / vires</w:t>
      </w:r>
      <w:r>
        <w:rPr>
          <w:b/>
          <w:i w:val="0"/>
        </w:rPr>
        <w:t>.</w:t>
      </w:r>
      <w:r>
        <w:rPr>
          <w:b w:val="0"/>
          <w:i w:val="0"/>
        </w:rPr>
        <w:t xml:space="preserve"> Printed forms: </w:t>
      </w:r>
      <w:r>
        <w:rPr>
          <w:b w:val="0"/>
          <w:i/>
        </w:rPr>
        <w:t>vi</w:t>
      </w:r>
      <w:r>
        <w:rPr>
          <w:b w:val="0"/>
          <w:i w:val="0"/>
        </w:rPr>
        <w:t xml:space="preserve">; </w:t>
      </w:r>
      <w:r>
        <w:rPr>
          <w:b w:val="0"/>
          <w:i/>
        </w:rPr>
        <w:t>vim</w:t>
      </w:r>
      <w:r>
        <w:rPr>
          <w:b w:val="0"/>
          <w:i w:val="0"/>
        </w:rPr>
        <w:t xml:space="preserve">; </w:t>
      </w:r>
      <w:r>
        <w:rPr>
          <w:b w:val="0"/>
          <w:i/>
        </w:rPr>
        <w:t>vis</w:t>
      </w:r>
      <w:r>
        <w:rPr>
          <w:b w:val="0"/>
          <w:i w:val="0"/>
        </w:rPr>
        <w:t>.</w:t>
      </w:r>
    </w:p>
    <w:p>
      <w:pPr>
        <w:widowControl/>
      </w:pPr>
      <w:r>
        <w:rPr>
          <w:b w:val="0"/>
          <w:i w:val="0"/>
        </w:rPr>
        <w:t xml:space="preserve">Force or power, in singular or plural. A received force would compromise unity’s simplicity; divine universal force is differentiated through narrower agents. References: </w:t>
      </w:r>
      <w:hyperlink w:anchor="passage-ii-1-3">
        <w:r>
          <w:rPr>
            <w:color w:val="000000"/>
          </w:rPr>
          <w:t xml:space="preserve">II.1.3</w:t>
        </w:r>
      </w:hyperlink>
      <w:r>
        <w:rPr>
          <w:b w:val="0"/>
          <w:i w:val="0"/>
        </w:rPr>
        <w:t xml:space="preserve">, </w:t>
      </w:r>
      <w:hyperlink w:anchor="passage-ii-4-3">
        <w:r>
          <w:rPr>
            <w:color w:val="000000"/>
          </w:rPr>
          <w:t xml:space="preserve">II.4.3</w:t>
        </w:r>
      </w:hyperlink>
      <w:r>
        <w:rPr>
          <w:b w:val="0"/>
          <w:i w:val="0"/>
        </w:rPr>
        <w:t xml:space="preserve">, </w:t>
      </w:r>
      <w:hyperlink w:anchor="passage-ii-7-30">
        <w:r>
          <w:rPr>
            <w:color w:val="000000"/>
          </w:rPr>
          <w:t xml:space="preserve">II.7.30</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1522" w:name="latin-record-1271"/>
      <w:bookmarkEnd w:id="1522"/>
      <w:r>
        <w:rPr>
          <w:b/>
          <w:i w:val="0"/>
        </w:rPr>
        <w:t>vis / virtus / potestas</w:t>
      </w:r>
      <w:r>
        <w:rPr>
          <w:b/>
          <w:i w:val="0"/>
        </w:rPr>
        <w:t>.</w:t>
      </w:r>
      <w:r>
        <w:rPr>
          <w:b w:val="0"/>
          <w:i w:val="0"/>
        </w:rPr>
        <w:t xml:space="preserve"> Printed forms: </w:t>
      </w:r>
      <w:r>
        <w:rPr>
          <w:b w:val="0"/>
          <w:i/>
        </w:rPr>
        <w:t>potestas</w:t>
      </w:r>
      <w:r>
        <w:rPr>
          <w:b w:val="0"/>
          <w:i w:val="0"/>
        </w:rPr>
        <w:t xml:space="preserve">; </w:t>
      </w:r>
      <w:r>
        <w:rPr>
          <w:b w:val="0"/>
          <w:i/>
        </w:rPr>
        <w:t>virtus</w:t>
      </w:r>
      <w:r>
        <w:rPr>
          <w:b w:val="0"/>
          <w:i w:val="0"/>
        </w:rPr>
        <w:t xml:space="preserve">; </w:t>
      </w:r>
      <w:r>
        <w:rPr>
          <w:b w:val="0"/>
          <w:i/>
        </w:rPr>
        <w:t>vis</w:t>
      </w:r>
      <w:r>
        <w:rPr>
          <w:b w:val="0"/>
          <w:i w:val="0"/>
        </w:rPr>
        <w:t>.</w:t>
      </w:r>
    </w:p>
    <w:p>
      <w:pPr>
        <w:widowControl/>
      </w:pPr>
      <w:r>
        <w:rPr>
          <w:b w:val="0"/>
          <w:i w:val="0"/>
        </w:rPr>
        <w:t xml:space="preserve">Power, efficacy, or capacity. The context distinguishes receptive capacity from active power; vis in the soul’s presence argument replaces quantitative breadth as the mode of contact. References: </w:t>
      </w:r>
      <w:hyperlink w:anchor="passage-iii-1-9">
        <w:r>
          <w:rPr>
            <w:color w:val="000000"/>
          </w:rPr>
          <w:t xml:space="preserve">III.1.9</w:t>
        </w:r>
      </w:hyperlink>
      <w:r>
        <w:rPr>
          <w:b w:val="0"/>
          <w:i w:val="0"/>
        </w:rPr>
        <w:t xml:space="preserve">, </w:t>
      </w:r>
      <w:hyperlink w:anchor="passage-iii-2-12">
        <w:r>
          <w:rPr>
            <w:color w:val="000000"/>
          </w:rPr>
          <w:t xml:space="preserve">III.2.12</w:t>
        </w:r>
      </w:hyperlink>
      <w:r>
        <w:rPr>
          <w:b w:val="0"/>
          <w:i w:val="0"/>
        </w:rPr>
        <w:t xml:space="preserve">, </w:t>
      </w:r>
      <w:hyperlink w:anchor="passage-iii-2-24">
        <w:r>
          <w:rPr>
            <w:color w:val="000000"/>
          </w:rPr>
          <w:t xml:space="preserve">III.2.24</w:t>
        </w:r>
      </w:hyperlink>
      <w:r>
        <w:rPr>
          <w:b w:val="0"/>
          <w:i w:val="0"/>
        </w:rPr>
        <w:t xml:space="preserve">. See </w:t>
      </w:r>
      <w:hyperlink w:anchor="power-and-potency">
        <w:r>
          <w:rPr>
            <w:color w:val="000000"/>
          </w:rPr>
          <w:t xml:space="preserve">Power and potency</w:t>
        </w:r>
      </w:hyperlink>
      <w:r>
        <w:rPr>
          <w:b w:val="0"/>
          <w:i w:val="0"/>
        </w:rPr>
        <w:t>.</w:t>
      </w:r>
    </w:p>
    <w:p>
      <w:pPr>
        <w:keepNext/>
        <w:widowControl/>
      </w:pPr>
      <w:bookmarkStart w:id="1523" w:name="latin-record-1272"/>
      <w:bookmarkEnd w:id="1523"/>
      <w:r>
        <w:rPr>
          <w:b/>
          <w:i w:val="0"/>
        </w:rPr>
        <w:t>vis gemina</w:t>
      </w:r>
      <w:r>
        <w:rPr>
          <w:b/>
          <w:i w:val="0"/>
        </w:rPr>
        <w:t>.</w:t>
      </w:r>
      <w:r>
        <w:rPr>
          <w:b w:val="0"/>
          <w:i w:val="0"/>
        </w:rPr>
        <w:t xml:space="preserve"> Printed forms: </w:t>
      </w:r>
      <w:r>
        <w:rPr>
          <w:b w:val="0"/>
          <w:i/>
        </w:rPr>
        <w:t>vim geminam</w:t>
      </w:r>
      <w:r>
        <w:rPr>
          <w:b w:val="0"/>
          <w:i w:val="0"/>
        </w:rPr>
        <w:t>.</w:t>
      </w:r>
    </w:p>
    <w:p>
      <w:pPr>
        <w:widowControl/>
      </w:pPr>
      <w:r>
        <w:rPr>
          <w:b w:val="0"/>
          <w:i w:val="0"/>
        </w:rPr>
        <w:t xml:space="preserve">A paired or twofold power. The Orphic naming scheme separates knowing from vivifying and governing the sphere’s body. References: </w:t>
      </w:r>
      <w:hyperlink w:anchor="passage-iv-1-94">
        <w:r>
          <w:rPr>
            <w:color w:val="000000"/>
          </w:rPr>
          <w:t xml:space="preserve">IV.1.94</w:t>
        </w:r>
      </w:hyperlink>
      <w:r>
        <w:rPr>
          <w:b w:val="0"/>
          <w:i w:val="0"/>
        </w:rPr>
        <w:t xml:space="preserve">. See </w:t>
      </w:r>
      <w:hyperlink w:anchor="intellectual-and-animating-powers">
        <w:r>
          <w:rPr>
            <w:color w:val="000000"/>
          </w:rPr>
          <w:t xml:space="preserve">Intellectual and animating powers</w:t>
        </w:r>
      </w:hyperlink>
      <w:r>
        <w:rPr>
          <w:b w:val="0"/>
          <w:i w:val="0"/>
        </w:rPr>
        <w:t>.</w:t>
      </w:r>
    </w:p>
    <w:p>
      <w:pPr>
        <w:keepNext/>
        <w:widowControl/>
      </w:pPr>
      <w:bookmarkStart w:id="1524" w:name="latin-record-1273"/>
      <w:bookmarkEnd w:id="1524"/>
      <w:r>
        <w:rPr>
          <w:b/>
          <w:i w:val="0"/>
        </w:rPr>
        <w:t>visus / videre</w:t>
      </w:r>
      <w:r>
        <w:rPr>
          <w:b/>
          <w:i w:val="0"/>
        </w:rPr>
        <w:t>.</w:t>
      </w:r>
      <w:r>
        <w:rPr>
          <w:b w:val="0"/>
          <w:i w:val="0"/>
        </w:rPr>
        <w:t xml:space="preserve"> Printed forms: </w:t>
      </w:r>
      <w:r>
        <w:rPr>
          <w:b w:val="0"/>
          <w:i/>
        </w:rPr>
        <w:t>videt</w:t>
      </w:r>
      <w:r>
        <w:rPr>
          <w:b w:val="0"/>
          <w:i w:val="0"/>
        </w:rPr>
        <w:t xml:space="preserve">; </w:t>
      </w:r>
      <w:r>
        <w:rPr>
          <w:b w:val="0"/>
          <w:i/>
        </w:rPr>
        <w:t>Visus</w:t>
      </w:r>
      <w:r>
        <w:rPr>
          <w:b w:val="0"/>
          <w:i w:val="0"/>
        </w:rPr>
        <w:t>.</w:t>
      </w:r>
    </w:p>
    <w:p>
      <w:pPr>
        <w:widowControl/>
      </w:pPr>
      <w:r>
        <w:rPr>
          <w:b w:val="0"/>
          <w:i w:val="0"/>
        </w:rPr>
        <w:t xml:space="preserve">Sight / see. Sight receives the spiritual image of colors rather than the solid object placed directly upon the eyes. References: </w:t>
      </w:r>
      <w:hyperlink w:anchor="passage-iii-2-29">
        <w:r>
          <w:rPr>
            <w:color w:val="000000"/>
          </w:rPr>
          <w:t xml:space="preserve">III.2.29</w:t>
        </w:r>
      </w:hyperlink>
      <w:r>
        <w:rPr>
          <w:b w:val="0"/>
          <w:i w:val="0"/>
        </w:rPr>
        <w:t xml:space="preserve">. See </w:t>
      </w:r>
      <w:hyperlink w:anchor="spiritual-union">
        <w:r>
          <w:rPr>
            <w:color w:val="000000"/>
          </w:rPr>
          <w:t xml:space="preserve">Spiritual union</w:t>
        </w:r>
      </w:hyperlink>
      <w:r>
        <w:rPr>
          <w:b w:val="0"/>
          <w:i w:val="0"/>
        </w:rPr>
        <w:t>.</w:t>
      </w:r>
    </w:p>
    <w:p>
      <w:pPr>
        <w:keepNext/>
        <w:widowControl/>
      </w:pPr>
      <w:bookmarkStart w:id="1525" w:name="latin-record-1274"/>
      <w:bookmarkEnd w:id="1525"/>
      <w:r>
        <w:rPr>
          <w:b/>
          <w:i w:val="0"/>
        </w:rPr>
        <w:t>vita / vivere / vivificare</w:t>
      </w:r>
      <w:r>
        <w:rPr>
          <w:b/>
          <w:i w:val="0"/>
        </w:rPr>
        <w:t>.</w:t>
      </w:r>
      <w:r>
        <w:rPr>
          <w:b w:val="0"/>
          <w:i w:val="0"/>
        </w:rPr>
        <w:t xml:space="preserve"> Printed forms: </w:t>
      </w:r>
      <w:r>
        <w:rPr>
          <w:b w:val="0"/>
          <w:i/>
        </w:rPr>
        <w:t>vita</w:t>
      </w:r>
      <w:r>
        <w:rPr>
          <w:b w:val="0"/>
          <w:i w:val="0"/>
        </w:rPr>
        <w:t xml:space="preserve">; </w:t>
      </w:r>
      <w:r>
        <w:rPr>
          <w:b w:val="0"/>
          <w:i/>
        </w:rPr>
        <w:t>Vita</w:t>
      </w:r>
      <w:r>
        <w:rPr>
          <w:b w:val="0"/>
          <w:i w:val="0"/>
        </w:rPr>
        <w:t xml:space="preserve">; </w:t>
      </w:r>
      <w:r>
        <w:rPr>
          <w:b w:val="0"/>
          <w:i/>
        </w:rPr>
        <w:t>vitali</w:t>
      </w:r>
      <w:r>
        <w:rPr>
          <w:b w:val="0"/>
          <w:i w:val="0"/>
        </w:rPr>
        <w:t xml:space="preserve">; </w:t>
      </w:r>
      <w:r>
        <w:rPr>
          <w:b w:val="0"/>
          <w:i/>
        </w:rPr>
        <w:t>vitam</w:t>
      </w:r>
      <w:r>
        <w:rPr>
          <w:b w:val="0"/>
          <w:i w:val="0"/>
        </w:rPr>
        <w:t xml:space="preserve">; </w:t>
      </w:r>
      <w:r>
        <w:rPr>
          <w:b w:val="0"/>
          <w:i/>
        </w:rPr>
        <w:t>vivant</w:t>
      </w:r>
      <w:r>
        <w:rPr>
          <w:b w:val="0"/>
          <w:i w:val="0"/>
        </w:rPr>
        <w:t xml:space="preserve">; </w:t>
      </w:r>
      <w:r>
        <w:rPr>
          <w:b w:val="0"/>
          <w:i/>
        </w:rPr>
        <w:t>vivat</w:t>
      </w:r>
      <w:r>
        <w:rPr>
          <w:b w:val="0"/>
          <w:i w:val="0"/>
        </w:rPr>
        <w:t xml:space="preserve">; </w:t>
      </w:r>
      <w:r>
        <w:rPr>
          <w:b w:val="0"/>
          <w:i/>
        </w:rPr>
        <w:t>vivente</w:t>
      </w:r>
      <w:r>
        <w:rPr>
          <w:b w:val="0"/>
          <w:i w:val="0"/>
        </w:rPr>
        <w:t xml:space="preserve">; </w:t>
      </w:r>
      <w:r>
        <w:rPr>
          <w:b w:val="0"/>
          <w:i/>
        </w:rPr>
        <w:t>vivere</w:t>
      </w:r>
      <w:r>
        <w:rPr>
          <w:b w:val="0"/>
          <w:i w:val="0"/>
        </w:rPr>
        <w:t xml:space="preserve">; </w:t>
      </w:r>
      <w:r>
        <w:rPr>
          <w:b w:val="0"/>
          <w:i/>
        </w:rPr>
        <w:t>vivificando</w:t>
      </w:r>
      <w:r>
        <w:rPr>
          <w:b w:val="0"/>
          <w:i w:val="0"/>
        </w:rPr>
        <w:t xml:space="preserve">; </w:t>
      </w:r>
      <w:r>
        <w:rPr>
          <w:b w:val="0"/>
          <w:i/>
        </w:rPr>
        <w:t>vivificans</w:t>
      </w:r>
      <w:r>
        <w:rPr>
          <w:b w:val="0"/>
          <w:i w:val="0"/>
        </w:rPr>
        <w:t xml:space="preserve">; </w:t>
      </w:r>
      <w:r>
        <w:rPr>
          <w:b w:val="0"/>
          <w:i/>
        </w:rPr>
        <w:t>vivificat</w:t>
      </w:r>
      <w:r>
        <w:rPr>
          <w:b w:val="0"/>
          <w:i w:val="0"/>
        </w:rPr>
        <w:t xml:space="preserve">; </w:t>
      </w:r>
      <w:r>
        <w:rPr>
          <w:b w:val="0"/>
          <w:i/>
        </w:rPr>
        <w:t>vivit</w:t>
      </w:r>
      <w:r>
        <w:rPr>
          <w:b w:val="0"/>
          <w:i w:val="0"/>
        </w:rPr>
        <w:t>.</w:t>
      </w:r>
    </w:p>
    <w:p>
      <w:pPr>
        <w:widowControl/>
      </w:pPr>
      <w:r>
        <w:rPr>
          <w:b w:val="0"/>
          <w:i w:val="0"/>
        </w:rPr>
        <w:t xml:space="preserve">Life, living, and giving life. Goodness has wider scope than life; animating minds give life while angelic minds govern in the reported theory. References: </w:t>
      </w:r>
      <w:hyperlink w:anchor="passage-ii-6-5">
        <w:r>
          <w:rPr>
            <w:color w:val="000000"/>
          </w:rPr>
          <w:t xml:space="preserve">II.6.5</w:t>
        </w:r>
      </w:hyperlink>
      <w:r>
        <w:rPr>
          <w:b w:val="0"/>
          <w:i w:val="0"/>
        </w:rPr>
        <w:t xml:space="preserve">, </w:t>
      </w:r>
      <w:hyperlink w:anchor="passage-ii-6-23">
        <w:r>
          <w:rPr>
            <w:color w:val="000000"/>
          </w:rPr>
          <w:t xml:space="preserve">II.6.23</w:t>
        </w:r>
      </w:hyperlink>
      <w:r>
        <w:rPr>
          <w:b w:val="0"/>
          <w:i w:val="0"/>
        </w:rPr>
        <w:t xml:space="preserve">, </w:t>
      </w:r>
      <w:hyperlink w:anchor="passage-ii-6-24">
        <w:r>
          <w:rPr>
            <w:color w:val="000000"/>
          </w:rPr>
          <w:t xml:space="preserve">II.6.24</w:t>
        </w:r>
      </w:hyperlink>
      <w:r>
        <w:rPr>
          <w:b w:val="0"/>
          <w:i w:val="0"/>
        </w:rPr>
        <w:t xml:space="preserve">, </w:t>
      </w:r>
      <w:hyperlink w:anchor="passage-ii-8-3">
        <w:r>
          <w:rPr>
            <w:color w:val="000000"/>
          </w:rPr>
          <w:t xml:space="preserve">II.8.3</w:t>
        </w:r>
      </w:hyperlink>
      <w:r>
        <w:rPr>
          <w:b w:val="0"/>
          <w:i w:val="0"/>
        </w:rPr>
        <w:t xml:space="preserve">. See </w:t>
      </w:r>
      <w:hyperlink w:anchor="life">
        <w:r>
          <w:rPr>
            <w:color w:val="000000"/>
          </w:rPr>
          <w:t xml:space="preserve">Life</w:t>
        </w:r>
      </w:hyperlink>
      <w:r>
        <w:rPr>
          <w:b w:val="0"/>
          <w:i w:val="0"/>
        </w:rPr>
        <w:t>.</w:t>
      </w:r>
    </w:p>
    <w:p>
      <w:pPr>
        <w:widowControl/>
      </w:pPr>
      <w:r>
        <w:rPr>
          <w:b w:val="0"/>
          <w:i w:val="0"/>
        </w:rPr>
        <w:t xml:space="preserve">Life / live / give life. The third essence is life that animates bodies; its intelligent activity and its life-giving effect are both needed in the definition. References: </w:t>
      </w:r>
      <w:hyperlink w:anchor="passage-iii-2-23">
        <w:r>
          <w:rPr>
            <w:color w:val="000000"/>
          </w:rPr>
          <w:t xml:space="preserve">III.2.23</w:t>
        </w:r>
      </w:hyperlink>
      <w:r>
        <w:rPr>
          <w:b w:val="0"/>
          <w:i w:val="0"/>
        </w:rPr>
        <w:t xml:space="preserve">, </w:t>
      </w:r>
      <w:hyperlink w:anchor="passage-iii-2-24">
        <w:r>
          <w:rPr>
            <w:color w:val="000000"/>
          </w:rPr>
          <w:t xml:space="preserve">III.2.24</w:t>
        </w:r>
      </w:hyperlink>
      <w:r>
        <w:rPr>
          <w:b w:val="0"/>
          <w:i w:val="0"/>
        </w:rPr>
        <w:t xml:space="preserve">, </w:t>
      </w:r>
      <w:hyperlink w:anchor="passage-iii-2-29">
        <w:r>
          <w:rPr>
            <w:color w:val="000000"/>
          </w:rPr>
          <w:t xml:space="preserve">III.2.29</w:t>
        </w:r>
      </w:hyperlink>
      <w:r>
        <w:rPr>
          <w:b w:val="0"/>
          <w:i w:val="0"/>
        </w:rPr>
        <w:t xml:space="preserve">. See </w:t>
      </w:r>
      <w:hyperlink w:anchor="life">
        <w:r>
          <w:rPr>
            <w:color w:val="000000"/>
          </w:rPr>
          <w:t xml:space="preserve">Life</w:t>
        </w:r>
      </w:hyperlink>
      <w:r>
        <w:rPr>
          <w:b w:val="0"/>
          <w:i w:val="0"/>
        </w:rPr>
        <w:t>.</w:t>
      </w:r>
    </w:p>
    <w:p>
      <w:pPr>
        <w:keepNext/>
        <w:widowControl/>
      </w:pPr>
      <w:bookmarkStart w:id="1526" w:name="latin-record-1275"/>
      <w:bookmarkEnd w:id="1526"/>
      <w:r>
        <w:rPr>
          <w:b/>
          <w:i w:val="0"/>
        </w:rPr>
        <w:t>vita sine sensu</w:t>
      </w:r>
      <w:r>
        <w:rPr>
          <w:b/>
          <w:i w:val="0"/>
        </w:rPr>
        <w:t>.</w:t>
      </w:r>
      <w:r>
        <w:rPr>
          <w:b w:val="0"/>
          <w:i w:val="0"/>
        </w:rPr>
        <w:t xml:space="preserve"> Printed forms: </w:t>
      </w:r>
      <w:r>
        <w:rPr>
          <w:b w:val="0"/>
          <w:i/>
        </w:rPr>
        <w:t>sine sensu</w:t>
      </w:r>
      <w:r>
        <w:rPr>
          <w:b w:val="0"/>
          <w:i w:val="0"/>
        </w:rPr>
        <w:t xml:space="preserve">; </w:t>
      </w:r>
      <w:r>
        <w:rPr>
          <w:b w:val="0"/>
          <w:i/>
        </w:rPr>
        <w:t>vita</w:t>
      </w:r>
      <w:r>
        <w:rPr>
          <w:b w:val="0"/>
          <w:i w:val="0"/>
        </w:rPr>
        <w:t>.</w:t>
      </w:r>
    </w:p>
    <w:p>
      <w:pPr>
        <w:widowControl/>
      </w:pPr>
      <w:r>
        <w:rPr>
          <w:b w:val="0"/>
          <w:i w:val="0"/>
        </w:rPr>
        <w:t xml:space="preserve">Life without sensation. The existence of nonsentient life supports an analogy from what is prior to what can exist separately; life and sensing are not treated as identical. References: </w:t>
      </w:r>
      <w:hyperlink w:anchor="passage-i-3-26">
        <w:r>
          <w:rPr>
            <w:color w:val="000000"/>
          </w:rPr>
          <w:t xml:space="preserve">I.3.26</w:t>
        </w:r>
      </w:hyperlink>
      <w:r>
        <w:rPr>
          <w:b w:val="0"/>
          <w:i w:val="0"/>
        </w:rPr>
        <w:t xml:space="preserve">. See </w:t>
      </w:r>
      <w:hyperlink w:anchor="life">
        <w:r>
          <w:rPr>
            <w:color w:val="000000"/>
          </w:rPr>
          <w:t xml:space="preserve">Life</w:t>
        </w:r>
      </w:hyperlink>
      <w:r>
        <w:rPr>
          <w:b w:val="0"/>
          <w:i w:val="0"/>
        </w:rPr>
        <w:t>.</w:t>
      </w:r>
    </w:p>
    <w:p>
      <w:pPr>
        <w:keepNext/>
        <w:widowControl/>
      </w:pPr>
      <w:bookmarkStart w:id="1527" w:name="latin-record-1276"/>
      <w:bookmarkEnd w:id="1527"/>
      <w:r>
        <w:rPr>
          <w:b/>
          <w:i w:val="0"/>
        </w:rPr>
        <w:t>vita vitarum</w:t>
      </w:r>
      <w:r>
        <w:rPr>
          <w:b/>
          <w:i w:val="0"/>
        </w:rPr>
        <w:t>.</w:t>
      </w:r>
      <w:r>
        <w:rPr>
          <w:b w:val="0"/>
          <w:i w:val="0"/>
        </w:rPr>
        <w:t xml:space="preserve"> Printed forms: </w:t>
      </w:r>
      <w:r>
        <w:rPr>
          <w:b w:val="0"/>
          <w:i/>
        </w:rPr>
        <w:t>vita vitarum</w:t>
      </w:r>
      <w:r>
        <w:rPr>
          <w:b w:val="0"/>
          <w:i w:val="0"/>
        </w:rPr>
        <w:t>.</w:t>
      </w:r>
    </w:p>
    <w:p>
      <w:pPr>
        <w:widowControl/>
      </w:pPr>
      <w:r>
        <w:rPr>
          <w:b w:val="0"/>
          <w:i w:val="0"/>
        </w:rPr>
        <w:t xml:space="preserve">Life of lives. God is placed above bodily vivifying lives and purely intellectual angelic lives, rather than identified with either. References: </w:t>
      </w:r>
      <w:hyperlink w:anchor="passage-iv-1-31">
        <w:r>
          <w:rPr>
            <w:color w:val="000000"/>
          </w:rPr>
          <w:t xml:space="preserve">IV.1.31</w:t>
        </w:r>
      </w:hyperlink>
      <w:r>
        <w:rPr>
          <w:b w:val="0"/>
          <w:i w:val="0"/>
        </w:rPr>
        <w:t xml:space="preserve">. See </w:t>
      </w:r>
      <w:hyperlink w:anchor="life">
        <w:r>
          <w:rPr>
            <w:color w:val="000000"/>
          </w:rPr>
          <w:t xml:space="preserve">Life</w:t>
        </w:r>
      </w:hyperlink>
      <w:r>
        <w:rPr>
          <w:b w:val="0"/>
          <w:i w:val="0"/>
        </w:rPr>
        <w:t>.</w:t>
      </w:r>
    </w:p>
    <w:p>
      <w:pPr>
        <w:keepNext/>
        <w:widowControl/>
      </w:pPr>
      <w:bookmarkStart w:id="1528" w:name="latin-record-1277"/>
      <w:bookmarkEnd w:id="1528"/>
      <w:r>
        <w:rPr>
          <w:b/>
          <w:i w:val="0"/>
        </w:rPr>
        <w:t>vitis / vinaceus</w:t>
      </w:r>
      <w:r>
        <w:rPr>
          <w:b/>
          <w:i w:val="0"/>
        </w:rPr>
        <w:t>.</w:t>
      </w:r>
      <w:r>
        <w:rPr>
          <w:b w:val="0"/>
          <w:i w:val="0"/>
        </w:rPr>
        <w:t xml:space="preserve"> Printed forms: </w:t>
      </w:r>
      <w:r>
        <w:rPr>
          <w:b w:val="0"/>
          <w:i/>
        </w:rPr>
        <w:t>vinaceo</w:t>
      </w:r>
      <w:r>
        <w:rPr>
          <w:b w:val="0"/>
          <w:i w:val="0"/>
        </w:rPr>
        <w:t xml:space="preserve">; </w:t>
      </w:r>
      <w:r>
        <w:rPr>
          <w:b w:val="0"/>
          <w:i/>
        </w:rPr>
        <w:t>vitem</w:t>
      </w:r>
      <w:r>
        <w:rPr>
          <w:b w:val="0"/>
          <w:i w:val="0"/>
        </w:rPr>
        <w:t xml:space="preserve">; </w:t>
      </w:r>
      <w:r>
        <w:rPr>
          <w:b w:val="0"/>
          <w:i/>
        </w:rPr>
        <w:t>vites</w:t>
      </w:r>
      <w:r>
        <w:rPr>
          <w:b w:val="0"/>
          <w:i w:val="0"/>
        </w:rPr>
        <w:t xml:space="preserve">; </w:t>
      </w:r>
      <w:r>
        <w:rPr>
          <w:b w:val="0"/>
          <w:i/>
        </w:rPr>
        <w:t>vitis</w:t>
      </w:r>
      <w:r>
        <w:rPr>
          <w:b w:val="0"/>
          <w:i w:val="0"/>
        </w:rPr>
        <w:t>.</w:t>
      </w:r>
    </w:p>
    <w:p>
      <w:pPr>
        <w:widowControl/>
      </w:pPr>
      <w:r>
        <w:rPr>
          <w:b w:val="0"/>
          <w:i w:val="0"/>
        </w:rPr>
        <w:t xml:space="preserve">Vine; belonging to a grape seed in this phrase. The vine supplies both an example of species-specific production and a contrast between decaying seed and rich living result. References: </w:t>
      </w:r>
      <w:hyperlink w:anchor="passage-iv-1-9">
        <w:r>
          <w:rPr>
            <w:color w:val="000000"/>
          </w:rPr>
          <w:t xml:space="preserve">IV.1.9</w:t>
        </w:r>
      </w:hyperlink>
      <w:r>
        <w:rPr>
          <w:b w:val="0"/>
          <w:i w:val="0"/>
        </w:rPr>
        <w:t xml:space="preserve">, </w:t>
      </w:r>
      <w:hyperlink w:anchor="passage-iv-1-17">
        <w:r>
          <w:rPr>
            <w:color w:val="000000"/>
          </w:rPr>
          <w:t xml:space="preserve">IV.1.17</w:t>
        </w:r>
      </w:hyperlink>
      <w:r>
        <w:rPr>
          <w:b w:val="0"/>
          <w:i w:val="0"/>
        </w:rPr>
        <w:t xml:space="preserve">. See </w:t>
      </w:r>
      <w:hyperlink w:anchor="vine-and-grape-seed">
        <w:r>
          <w:rPr>
            <w:color w:val="000000"/>
          </w:rPr>
          <w:t xml:space="preserve">Vine and grape seed</w:t>
        </w:r>
      </w:hyperlink>
      <w:r>
        <w:rPr>
          <w:b w:val="0"/>
          <w:i w:val="0"/>
        </w:rPr>
        <w:t>.</w:t>
      </w:r>
    </w:p>
    <w:p>
      <w:pPr>
        <w:keepNext/>
        <w:widowControl/>
      </w:pPr>
      <w:bookmarkStart w:id="1529" w:name="latin-record-1278"/>
      <w:bookmarkEnd w:id="1529"/>
      <w:r>
        <w:rPr>
          <w:b/>
          <w:i w:val="0"/>
        </w:rPr>
        <w:t>vitrum / fenestra / pavimentum</w:t>
      </w:r>
      <w:r>
        <w:rPr>
          <w:b/>
          <w:i w:val="0"/>
        </w:rPr>
        <w:t>.</w:t>
      </w:r>
      <w:r>
        <w:rPr>
          <w:b w:val="0"/>
          <w:i w:val="0"/>
        </w:rPr>
        <w:t xml:space="preserve"> Printed forms: </w:t>
      </w:r>
      <w:r>
        <w:rPr>
          <w:b w:val="0"/>
          <w:i/>
        </w:rPr>
        <w:t>fenestras</w:t>
      </w:r>
      <w:r>
        <w:rPr>
          <w:b w:val="0"/>
          <w:i w:val="0"/>
        </w:rPr>
        <w:t xml:space="preserve">; </w:t>
      </w:r>
      <w:r>
        <w:rPr>
          <w:b w:val="0"/>
          <w:i/>
        </w:rPr>
        <w:t>pavimento</w:t>
      </w:r>
      <w:r>
        <w:rPr>
          <w:b w:val="0"/>
          <w:i w:val="0"/>
        </w:rPr>
        <w:t xml:space="preserve">; </w:t>
      </w:r>
      <w:r>
        <w:rPr>
          <w:b w:val="0"/>
          <w:i/>
        </w:rPr>
        <w:t>vitreas</w:t>
      </w:r>
      <w:r>
        <w:rPr>
          <w:b w:val="0"/>
          <w:i w:val="0"/>
        </w:rPr>
        <w:t xml:space="preserve">; </w:t>
      </w:r>
      <w:r>
        <w:rPr>
          <w:b w:val="0"/>
          <w:i/>
        </w:rPr>
        <w:t>vitrum</w:t>
      </w:r>
      <w:r>
        <w:rPr>
          <w:b w:val="0"/>
          <w:i w:val="0"/>
        </w:rPr>
        <w:t>.</w:t>
      </w:r>
    </w:p>
    <w:p>
      <w:pPr>
        <w:widowControl/>
      </w:pPr>
      <w:r>
        <w:rPr>
          <w:b w:val="0"/>
          <w:i w:val="0"/>
        </w:rPr>
        <w:t xml:space="preserve">Glass, window, and pavement. Colored windows shape sunlight into distinct radiances on the floor, illustrating differentiated dependent causation. References: </w:t>
      </w:r>
      <w:hyperlink w:anchor="passage-ii-7-31">
        <w:r>
          <w:rPr>
            <w:color w:val="000000"/>
          </w:rPr>
          <w:t xml:space="preserve">II.7.31</w:t>
        </w:r>
      </w:hyperlink>
      <w:r>
        <w:rPr>
          <w:b w:val="0"/>
          <w:i w:val="0"/>
        </w:rPr>
        <w:t xml:space="preserve">. See </w:t>
      </w:r>
      <w:hyperlink w:anchor="glass-and-colored-radiance">
        <w:r>
          <w:rPr>
            <w:color w:val="000000"/>
          </w:rPr>
          <w:t xml:space="preserve">Glass and colored radiance</w:t>
        </w:r>
      </w:hyperlink>
      <w:r>
        <w:rPr>
          <w:b w:val="0"/>
          <w:i w:val="0"/>
        </w:rPr>
        <w:t>.</w:t>
      </w:r>
    </w:p>
    <w:p>
      <w:pPr>
        <w:keepNext/>
        <w:widowControl/>
      </w:pPr>
      <w:bookmarkStart w:id="1530" w:name="latin-record-1279"/>
      <w:bookmarkEnd w:id="1530"/>
      <w:r>
        <w:rPr>
          <w:b/>
          <w:i w:val="0"/>
        </w:rPr>
        <w:t>vivere ut vult</w:t>
      </w:r>
      <w:r>
        <w:rPr>
          <w:b/>
          <w:i w:val="0"/>
        </w:rPr>
        <w:t>.</w:t>
      </w:r>
      <w:r>
        <w:rPr>
          <w:b w:val="0"/>
          <w:i w:val="0"/>
        </w:rPr>
        <w:t xml:space="preserve"> Printed forms: </w:t>
      </w:r>
      <w:r>
        <w:rPr>
          <w:b w:val="0"/>
          <w:i/>
        </w:rPr>
        <w:t>Vivit ut vult</w:t>
      </w:r>
      <w:r>
        <w:rPr>
          <w:b w:val="0"/>
          <w:i w:val="0"/>
        </w:rPr>
        <w:t xml:space="preserve">; </w:t>
      </w:r>
      <w:r>
        <w:rPr>
          <w:b w:val="0"/>
          <w:i/>
        </w:rPr>
        <w:t>vivit ut vult</w:t>
      </w:r>
      <w:r>
        <w:rPr>
          <w:b w:val="0"/>
          <w:i w:val="0"/>
        </w:rPr>
        <w:t>.</w:t>
      </w:r>
    </w:p>
    <w:p>
      <w:pPr>
        <w:widowControl/>
      </w:pPr>
      <w:r>
        <w:rPr>
          <w:b w:val="0"/>
          <w:i w:val="0"/>
        </w:rPr>
        <w:t xml:space="preserve">Live as one wills. This formulation defines freedom in the argument; goodness itself is then said to satisfy it supremely. References: </w:t>
      </w:r>
      <w:hyperlink w:anchor="passage-ii-12-4">
        <w:r>
          <w:rPr>
            <w:color w:val="000000"/>
          </w:rPr>
          <w:t xml:space="preserve">II.12.4</w:t>
        </w:r>
      </w:hyperlink>
      <w:r>
        <w:rPr>
          <w:b w:val="0"/>
          <w:i w:val="0"/>
        </w:rPr>
        <w:t xml:space="preserve">. See </w:t>
      </w:r>
      <w:hyperlink w:anchor="freedom-and-necessity">
        <w:r>
          <w:rPr>
            <w:color w:val="000000"/>
          </w:rPr>
          <w:t xml:space="preserve">Freedom and necessity</w:t>
        </w:r>
      </w:hyperlink>
      <w:r>
        <w:rPr>
          <w:b w:val="0"/>
          <w:i w:val="0"/>
        </w:rPr>
        <w:t>.</w:t>
      </w:r>
    </w:p>
    <w:p>
      <w:pPr>
        <w:keepNext/>
        <w:widowControl/>
      </w:pPr>
      <w:bookmarkStart w:id="1531" w:name="latin-record-1280"/>
      <w:bookmarkEnd w:id="1531"/>
      <w:r>
        <w:rPr>
          <w:b/>
          <w:i w:val="0"/>
        </w:rPr>
        <w:t>volente Deo</w:t>
      </w:r>
      <w:r>
        <w:rPr>
          <w:b/>
          <w:i w:val="0"/>
        </w:rPr>
        <w:t>.</w:t>
      </w:r>
      <w:r>
        <w:rPr>
          <w:b w:val="0"/>
          <w:i w:val="0"/>
        </w:rPr>
        <w:t xml:space="preserve"> Printed forms: </w:t>
      </w:r>
      <w:r>
        <w:rPr>
          <w:b w:val="0"/>
          <w:i/>
        </w:rPr>
        <w:t>volente Deo</w:t>
      </w:r>
      <w:r>
        <w:rPr>
          <w:b w:val="0"/>
          <w:i w:val="0"/>
        </w:rPr>
        <w:t>.</w:t>
      </w:r>
    </w:p>
    <w:p>
      <w:pPr>
        <w:widowControl/>
      </w:pPr>
      <w:r>
        <w:rPr>
          <w:b w:val="0"/>
          <w:i w:val="0"/>
        </w:rPr>
        <w:t xml:space="preserve">God willing. The conventional qualification accompanies the announced next proof and differs from the technical analysis of divine will that follows. References: </w:t>
      </w:r>
      <w:hyperlink w:anchor="passage-ii-11-24">
        <w:r>
          <w:rPr>
            <w:color w:val="000000"/>
          </w:rPr>
          <w:t xml:space="preserve">II.11.24</w:t>
        </w:r>
      </w:hyperlink>
      <w:r>
        <w:rPr>
          <w:b w:val="0"/>
          <w:i w:val="0"/>
        </w:rPr>
        <w:t xml:space="preserve">. See </w:t>
      </w:r>
      <w:hyperlink w:anchor="qualification-and-attribution">
        <w:r>
          <w:rPr>
            <w:color w:val="000000"/>
          </w:rPr>
          <w:t xml:space="preserve">Qualification and attribution</w:t>
        </w:r>
      </w:hyperlink>
      <w:r>
        <w:rPr>
          <w:b w:val="0"/>
          <w:i w:val="0"/>
        </w:rPr>
        <w:t>.</w:t>
      </w:r>
    </w:p>
    <w:p>
      <w:pPr>
        <w:keepNext/>
        <w:widowControl/>
      </w:pPr>
      <w:bookmarkStart w:id="1532" w:name="latin-record-1281"/>
      <w:bookmarkEnd w:id="1532"/>
      <w:r>
        <w:rPr>
          <w:b/>
          <w:i w:val="0"/>
        </w:rPr>
        <w:t>voluntas / memoria</w:t>
      </w:r>
      <w:r>
        <w:rPr>
          <w:b/>
          <w:i w:val="0"/>
        </w:rPr>
        <w:t>.</w:t>
      </w:r>
      <w:r>
        <w:rPr>
          <w:b w:val="0"/>
          <w:i w:val="0"/>
        </w:rPr>
        <w:t xml:space="preserve"> Printed forms: </w:t>
      </w:r>
      <w:r>
        <w:rPr>
          <w:b w:val="0"/>
          <w:i/>
        </w:rPr>
        <w:t>memoriae</w:t>
      </w:r>
      <w:r>
        <w:rPr>
          <w:b w:val="0"/>
          <w:i w:val="0"/>
        </w:rPr>
        <w:t xml:space="preserve">; </w:t>
      </w:r>
      <w:r>
        <w:rPr>
          <w:b w:val="0"/>
          <w:i/>
        </w:rPr>
        <w:t>voluntatis</w:t>
      </w:r>
      <w:r>
        <w:rPr>
          <w:b w:val="0"/>
          <w:i w:val="0"/>
        </w:rPr>
        <w:t>.</w:t>
      </w:r>
    </w:p>
    <w:p>
      <w:pPr>
        <w:widowControl/>
      </w:pPr>
      <w:r>
        <w:rPr>
          <w:b w:val="0"/>
          <w:i w:val="0"/>
        </w:rPr>
        <w:t xml:space="preserve">Will and memory. Their stability is presented as a sign of soul’s stable essence; this is a sign within Ficino’s argument, not a claim that every act of remembering is unchanging. References: </w:t>
      </w:r>
      <w:hyperlink w:anchor="passage-i-5-1">
        <w:r>
          <w:rPr>
            <w:color w:val="000000"/>
          </w:rPr>
          <w:t xml:space="preserve">I.5.1</w:t>
        </w:r>
      </w:hyperlink>
      <w:r>
        <w:rPr>
          <w:b w:val="0"/>
          <w:i w:val="0"/>
        </w:rPr>
        <w:t xml:space="preserve">. See </w:t>
      </w:r>
      <w:hyperlink w:anchor="habitual-possession">
        <w:r>
          <w:rPr>
            <w:color w:val="000000"/>
          </w:rPr>
          <w:t xml:space="preserve">Habitual possession</w:t>
        </w:r>
      </w:hyperlink>
      <w:r>
        <w:rPr>
          <w:b w:val="0"/>
          <w:i w:val="0"/>
        </w:rPr>
        <w:t>.</w:t>
      </w:r>
    </w:p>
    <w:p>
      <w:pPr>
        <w:keepNext/>
        <w:widowControl/>
      </w:pPr>
      <w:bookmarkStart w:id="1533" w:name="latin-record-1282"/>
      <w:bookmarkEnd w:id="1533"/>
      <w:r>
        <w:rPr>
          <w:b/>
          <w:i w:val="0"/>
        </w:rPr>
        <w:t>voluptas</w:t>
      </w:r>
      <w:r>
        <w:rPr>
          <w:b/>
          <w:i w:val="0"/>
        </w:rPr>
        <w:t>.</w:t>
      </w:r>
      <w:r>
        <w:rPr>
          <w:b w:val="0"/>
          <w:i w:val="0"/>
        </w:rPr>
        <w:t xml:space="preserve"> Printed forms: </w:t>
      </w:r>
      <w:r>
        <w:rPr>
          <w:b w:val="0"/>
          <w:i/>
        </w:rPr>
        <w:t>voluptatem</w:t>
      </w:r>
      <w:r>
        <w:rPr>
          <w:b w:val="0"/>
          <w:i w:val="0"/>
        </w:rPr>
        <w:t>.</w:t>
      </w:r>
    </w:p>
    <w:p>
      <w:pPr>
        <w:widowControl/>
      </w:pPr>
      <w:r>
        <w:rPr>
          <w:b w:val="0"/>
          <w:i w:val="0"/>
        </w:rPr>
        <w:t xml:space="preserve">Pleasure as a possible object of preference. People may prefer pleasure to contemplation, showing knowledge’s subordinate status relative to what is taken as good; this is not an unrestricted endorsement of every pleasure. References: </w:t>
      </w:r>
      <w:hyperlink w:anchor="passage-i-6-19">
        <w:r>
          <w:rPr>
            <w:color w:val="000000"/>
          </w:rPr>
          <w:t xml:space="preserve">I.6.19</w:t>
        </w:r>
      </w:hyperlink>
      <w:r>
        <w:rPr>
          <w:b w:val="0"/>
          <w:i w:val="0"/>
        </w:rPr>
        <w:t xml:space="preserve">. See </w:t>
      </w:r>
      <w:hyperlink w:anchor="love-and-pleasure">
        <w:r>
          <w:rPr>
            <w:color w:val="000000"/>
          </w:rPr>
          <w:t xml:space="preserve">Love and pleasure</w:t>
        </w:r>
      </w:hyperlink>
      <w:r>
        <w:rPr>
          <w:b w:val="0"/>
          <w:i w:val="0"/>
        </w:rPr>
        <w:t>.</w:t>
      </w:r>
    </w:p>
    <w:p>
      <w:pPr>
        <w:keepNext/>
        <w:widowControl/>
      </w:pPr>
      <w:bookmarkStart w:id="1534" w:name="latin-record-1283"/>
      <w:bookmarkEnd w:id="1534"/>
      <w:r>
        <w:rPr>
          <w:b/>
          <w:i w:val="0"/>
        </w:rPr>
        <w:t>voluptas / dilatatio</w:t>
      </w:r>
      <w:r>
        <w:rPr>
          <w:b/>
          <w:i w:val="0"/>
        </w:rPr>
        <w:t>.</w:t>
      </w:r>
      <w:r>
        <w:rPr>
          <w:b w:val="0"/>
          <w:i w:val="0"/>
        </w:rPr>
        <w:t xml:space="preserve"> Printed forms: </w:t>
      </w:r>
      <w:r>
        <w:rPr>
          <w:b w:val="0"/>
          <w:i/>
        </w:rPr>
        <w:t>dilatatio</w:t>
      </w:r>
      <w:r>
        <w:rPr>
          <w:b w:val="0"/>
          <w:i w:val="0"/>
        </w:rPr>
        <w:t xml:space="preserve">; </w:t>
      </w:r>
      <w:r>
        <w:rPr>
          <w:b w:val="0"/>
          <w:i/>
        </w:rPr>
        <w:t>voluptas</w:t>
      </w:r>
      <w:r>
        <w:rPr>
          <w:b w:val="0"/>
          <w:i w:val="0"/>
        </w:rPr>
        <w:t>.</w:t>
      </w:r>
    </w:p>
    <w:p>
      <w:pPr>
        <w:widowControl/>
      </w:pPr>
      <w:r>
        <w:rPr>
          <w:b w:val="0"/>
          <w:i w:val="0"/>
        </w:rPr>
        <w:t xml:space="preserve">Pleasure / expansion or dilation. Mental pleasure is defined through will’s expansion into and repose in the good, distinguishing delight from bare appetite. References: </w:t>
      </w:r>
      <w:hyperlink w:anchor="passage-ii-11-33">
        <w:r>
          <w:rPr>
            <w:color w:val="000000"/>
          </w:rPr>
          <w:t xml:space="preserve">II.11.33</w:t>
        </w:r>
      </w:hyperlink>
      <w:r>
        <w:rPr>
          <w:b w:val="0"/>
          <w:i w:val="0"/>
        </w:rPr>
        <w:t xml:space="preserve">. See </w:t>
      </w:r>
      <w:hyperlink w:anchor="love-and-pleasure">
        <w:r>
          <w:rPr>
            <w:color w:val="000000"/>
          </w:rPr>
          <w:t xml:space="preserve">Love and pleasure</w:t>
        </w:r>
      </w:hyperlink>
      <w:r>
        <w:rPr>
          <w:b w:val="0"/>
          <w:i w:val="0"/>
        </w:rPr>
        <w:t>.</w:t>
      </w:r>
    </w:p>
    <w:p>
      <w:pPr>
        <w:keepNext/>
        <w:widowControl/>
      </w:pPr>
      <w:bookmarkStart w:id="1535" w:name="latin-record-1284"/>
      <w:bookmarkEnd w:id="1535"/>
      <w:r>
        <w:rPr>
          <w:b/>
          <w:i w:val="0"/>
        </w:rPr>
        <w:t>volutare secum</w:t>
      </w:r>
      <w:r>
        <w:rPr>
          <w:b/>
          <w:i w:val="0"/>
        </w:rPr>
        <w:t>.</w:t>
      </w:r>
      <w:r>
        <w:rPr>
          <w:b w:val="0"/>
          <w:i w:val="0"/>
        </w:rPr>
        <w:t xml:space="preserve"> Printed forms: </w:t>
      </w:r>
      <w:r>
        <w:rPr>
          <w:b w:val="0"/>
          <w:i/>
        </w:rPr>
        <w:t>secum ipsa volutat</w:t>
      </w:r>
      <w:r>
        <w:rPr>
          <w:b w:val="0"/>
          <w:i w:val="0"/>
        </w:rPr>
        <w:t>.</w:t>
      </w:r>
    </w:p>
    <w:p>
      <w:pPr>
        <w:widowControl/>
      </w:pPr>
      <w:r>
        <w:rPr>
          <w:b w:val="0"/>
          <w:i w:val="0"/>
        </w:rPr>
        <w:t xml:space="preserve">To turn something over inwardly in thought. Mind’s thinking of geometrical principles shapes imagination without an external hand or drawing tool. References: </w:t>
      </w:r>
      <w:hyperlink w:anchor="passage-iv-1-11">
        <w:r>
          <w:rPr>
            <w:color w:val="000000"/>
          </w:rPr>
          <w:t xml:space="preserve">IV.1.11</w:t>
        </w:r>
      </w:hyperlink>
      <w:r>
        <w:rPr>
          <w:b w:val="0"/>
          <w:i w:val="0"/>
        </w:rPr>
        <w:t xml:space="preserve">. See </w:t>
      </w:r>
      <w:hyperlink w:anchor="sense-and-imagination">
        <w:r>
          <w:rPr>
            <w:color w:val="000000"/>
          </w:rPr>
          <w:t xml:space="preserve">Sense and imagination</w:t>
        </w:r>
      </w:hyperlink>
      <w:r>
        <w:rPr>
          <w:b w:val="0"/>
          <w:i w:val="0"/>
        </w:rPr>
        <w:t>.</w:t>
      </w:r>
    </w:p>
    <w:p>
      <w:pPr>
        <w:keepNext/>
        <w:widowControl/>
      </w:pPr>
      <w:bookmarkStart w:id="1536" w:name="latin-record-1285"/>
      <w:bookmarkEnd w:id="1536"/>
      <w:r>
        <w:rPr>
          <w:b/>
          <w:i w:val="0"/>
        </w:rPr>
        <w:t>vox / significatio</w:t>
      </w:r>
      <w:r>
        <w:rPr>
          <w:b/>
          <w:i w:val="0"/>
        </w:rPr>
        <w:t>.</w:t>
      </w:r>
      <w:r>
        <w:rPr>
          <w:b w:val="0"/>
          <w:i w:val="0"/>
        </w:rPr>
        <w:t xml:space="preserve"> Printed forms: </w:t>
      </w:r>
      <w:r>
        <w:rPr>
          <w:b w:val="0"/>
          <w:i/>
        </w:rPr>
        <w:t>vox significatioque</w:t>
      </w:r>
      <w:r>
        <w:rPr>
          <w:b w:val="0"/>
          <w:i w:val="0"/>
        </w:rPr>
        <w:t>.</w:t>
      </w:r>
    </w:p>
    <w:p>
      <w:pPr>
        <w:widowControl/>
      </w:pPr>
      <w:r>
        <w:rPr>
          <w:b w:val="0"/>
          <w:i w:val="0"/>
        </w:rPr>
        <w:t xml:space="preserve">Utterance and its meaning. One complete utterance is heard and understood almost together across a house, providing a qualified analogy of whole presence. References: </w:t>
      </w:r>
      <w:hyperlink w:anchor="passage-iii-2-13">
        <w:r>
          <w:rPr>
            <w:color w:val="000000"/>
          </w:rPr>
          <w:t xml:space="preserve">III.2.13</w:t>
        </w:r>
      </w:hyperlink>
      <w:r>
        <w:rPr>
          <w:b w:val="0"/>
          <w:i w:val="0"/>
        </w:rPr>
        <w:t xml:space="preserve">. See </w:t>
      </w:r>
      <w:hyperlink w:anchor="utterance-and-meaning">
        <w:r>
          <w:rPr>
            <w:color w:val="000000"/>
          </w:rPr>
          <w:t xml:space="preserve">Utterance and meaning</w:t>
        </w:r>
      </w:hyperlink>
      <w:r>
        <w:rPr>
          <w:b w:val="0"/>
          <w:i w:val="0"/>
        </w:rPr>
        <w:t>.</w:t>
      </w:r>
    </w:p>
    <w:p>
      <w:pPr>
        <w:keepNext/>
        <w:widowControl/>
      </w:pPr>
      <w:bookmarkStart w:id="1537" w:name="latin-record-1286"/>
      <w:bookmarkEnd w:id="1537"/>
      <w:r>
        <w:rPr>
          <w:b/>
          <w:i w:val="0"/>
        </w:rPr>
        <w:t>vult / lubet</w:t>
      </w:r>
      <w:r>
        <w:rPr>
          <w:b/>
          <w:i w:val="0"/>
        </w:rPr>
        <w:t>.</w:t>
      </w:r>
      <w:r>
        <w:rPr>
          <w:b w:val="0"/>
          <w:i w:val="0"/>
        </w:rPr>
        <w:t xml:space="preserve"> Printed forms: </w:t>
      </w:r>
      <w:r>
        <w:rPr>
          <w:b w:val="0"/>
          <w:i/>
        </w:rPr>
        <w:t>lubet</w:t>
      </w:r>
      <w:r>
        <w:rPr>
          <w:b w:val="0"/>
          <w:i w:val="0"/>
        </w:rPr>
        <w:t xml:space="preserve">; </w:t>
      </w:r>
      <w:r>
        <w:rPr>
          <w:b w:val="0"/>
          <w:i/>
        </w:rPr>
        <w:t>vult</w:t>
      </w:r>
      <w:r>
        <w:rPr>
          <w:b w:val="0"/>
          <w:i w:val="0"/>
        </w:rPr>
        <w:t>.</w:t>
      </w:r>
    </w:p>
    <w:p>
      <w:pPr>
        <w:widowControl/>
      </w:pPr>
      <w:r>
        <w:rPr>
          <w:b w:val="0"/>
          <w:i w:val="0"/>
        </w:rPr>
        <w:t xml:space="preserve">Holds or wishes; pleases. Ut vult Plotinus assigns a view to Plotinus, while whenever one pleases permits an arbitrary stopping-point in a thought experiment. References: </w:t>
      </w:r>
      <w:hyperlink w:anchor="passage-iv-2-11">
        <w:r>
          <w:rPr>
            <w:color w:val="000000"/>
          </w:rPr>
          <w:t xml:space="preserve">IV.2.11</w:t>
        </w:r>
      </w:hyperlink>
      <w:r>
        <w:rPr>
          <w:b w:val="0"/>
          <w:i w:val="0"/>
        </w:rPr>
        <w:t xml:space="preserve">, </w:t>
      </w:r>
      <w:hyperlink w:anchor="passage-iv-2-24">
        <w:r>
          <w:rPr>
            <w:color w:val="000000"/>
          </w:rPr>
          <w:t xml:space="preserve">IV.2.24</w:t>
        </w:r>
      </w:hyperlink>
      <w:r>
        <w:rPr>
          <w:b w:val="0"/>
          <w:i w:val="0"/>
        </w:rPr>
        <w:t xml:space="preserve">. See </w:t>
      </w:r>
      <w:hyperlink w:anchor="assertion-report-and-reservation">
        <w:r>
          <w:rPr>
            <w:color w:val="000000"/>
          </w:rPr>
          <w:t xml:space="preserve">Assertion, report, and reservation</w:t>
        </w:r>
      </w:hyperlink>
      <w:r>
        <w:rPr>
          <w:b w:val="0"/>
          <w:i w:val="0"/>
        </w:rPr>
        <w:t>.</w:t>
      </w:r>
    </w:p>
    <w:p>
      <w:pPr>
        <w:keepNext/>
        <w:widowControl/>
      </w:pPr>
      <w:bookmarkStart w:id="1538" w:name="latin-record-1287"/>
      <w:bookmarkEnd w:id="1538"/>
      <w:r>
        <w:rPr>
          <w:b/>
          <w:i w:val="0"/>
        </w:rPr>
        <w:t>vultus / imago</w:t>
      </w:r>
      <w:r>
        <w:rPr>
          <w:b/>
          <w:i w:val="0"/>
        </w:rPr>
        <w:t>.</w:t>
      </w:r>
      <w:r>
        <w:rPr>
          <w:b w:val="0"/>
          <w:i w:val="0"/>
        </w:rPr>
        <w:t xml:space="preserve"> Printed forms: </w:t>
      </w:r>
      <w:r>
        <w:rPr>
          <w:b w:val="0"/>
          <w:i/>
        </w:rPr>
        <w:t>vultus imagines</w:t>
      </w:r>
      <w:r>
        <w:rPr>
          <w:b w:val="0"/>
          <w:i w:val="0"/>
        </w:rPr>
        <w:t>.</w:t>
      </w:r>
    </w:p>
    <w:p>
      <w:pPr>
        <w:widowControl/>
      </w:pPr>
      <w:r>
        <w:rPr>
          <w:b w:val="0"/>
          <w:i w:val="0"/>
        </w:rPr>
        <w:t xml:space="preserve">Images of a countenance. Creatures flowing from God reflect divine goodness, while their being in God is distinguished as identity in that mode. References: </w:t>
      </w:r>
      <w:hyperlink w:anchor="passage-ii-12-12">
        <w:r>
          <w:rPr>
            <w:color w:val="000000"/>
          </w:rPr>
          <w:t xml:space="preserve">II.12.12</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1539" w:name="latin-record-1288"/>
      <w:bookmarkEnd w:id="1539"/>
      <w:r>
        <w:rPr>
          <w:b/>
          <w:i w:val="0"/>
        </w:rPr>
        <w:t>vultus / reluceo</w:t>
      </w:r>
      <w:r>
        <w:rPr>
          <w:b/>
          <w:i w:val="0"/>
        </w:rPr>
        <w:t>.</w:t>
      </w:r>
      <w:r>
        <w:rPr>
          <w:b w:val="0"/>
          <w:i w:val="0"/>
        </w:rPr>
        <w:t xml:space="preserve"> Printed forms: </w:t>
      </w:r>
      <w:r>
        <w:rPr>
          <w:b w:val="0"/>
          <w:i/>
        </w:rPr>
        <w:t>reluceat</w:t>
      </w:r>
      <w:r>
        <w:rPr>
          <w:b w:val="0"/>
          <w:i w:val="0"/>
        </w:rPr>
        <w:t xml:space="preserve">; </w:t>
      </w:r>
      <w:r>
        <w:rPr>
          <w:b w:val="0"/>
          <w:i/>
        </w:rPr>
        <w:t>vultus</w:t>
      </w:r>
      <w:r>
        <w:rPr>
          <w:b w:val="0"/>
          <w:i w:val="0"/>
        </w:rPr>
        <w:t>.</w:t>
      </w:r>
    </w:p>
    <w:p>
      <w:pPr>
        <w:widowControl/>
      </w:pPr>
      <w:r>
        <w:rPr>
          <w:b w:val="0"/>
          <w:i w:val="0"/>
        </w:rPr>
        <w:t xml:space="preserve">A countenance, and to shine by reflection. The divine countenance is mirrored in soul in Ficino’s analogy; the vocabulary does not describe God as having a literal bodily face. References: </w:t>
      </w:r>
      <w:hyperlink w:anchor="passage-proem-4">
        <w:r>
          <w:rPr>
            <w:color w:val="000000"/>
          </w:rPr>
          <w:t xml:space="preserve">Proem.4</w:t>
        </w:r>
      </w:hyperlink>
      <w:r>
        <w:rPr>
          <w:b w:val="0"/>
          <w:i w:val="0"/>
        </w:rPr>
        <w:t xml:space="preserve">. See </w:t>
      </w:r>
      <w:hyperlink w:anchor="image-and-likeness">
        <w:r>
          <w:rPr>
            <w:color w:val="000000"/>
          </w:rPr>
          <w:t xml:space="preserve">Image and likeness</w:t>
        </w:r>
      </w:hyperlink>
      <w:r>
        <w:rPr>
          <w:b w:val="0"/>
          <w:i w:val="0"/>
        </w:rPr>
        <w:t>.</w:t>
      </w:r>
    </w:p>
    <w:p>
      <w:pPr>
        <w:keepNext/>
        <w:widowControl/>
      </w:pPr>
      <w:bookmarkStart w:id="1540" w:name="latin-record-1289"/>
      <w:bookmarkEnd w:id="1540"/>
      <w:r>
        <w:rPr>
          <w:b/>
          <w:i w:val="0"/>
        </w:rPr>
        <w:t>Zoroaster / ignis unus</w:t>
      </w:r>
      <w:r>
        <w:rPr>
          <w:b/>
          <w:i w:val="0"/>
        </w:rPr>
        <w:t>.</w:t>
      </w:r>
      <w:r>
        <w:rPr>
          <w:b w:val="0"/>
          <w:i w:val="0"/>
        </w:rPr>
        <w:t xml:space="preserve"> Printed forms: </w:t>
      </w:r>
      <w:r>
        <w:rPr>
          <w:b w:val="0"/>
          <w:i/>
        </w:rPr>
        <w:t>ex uno igne genita</w:t>
      </w:r>
      <w:r>
        <w:rPr>
          <w:b w:val="0"/>
          <w:i w:val="0"/>
        </w:rPr>
        <w:t xml:space="preserve">; </w:t>
      </w:r>
      <w:r>
        <w:rPr>
          <w:b w:val="0"/>
          <w:i/>
        </w:rPr>
        <w:t>Zoroaster</w:t>
      </w:r>
      <w:r>
        <w:rPr>
          <w:b w:val="0"/>
          <w:i w:val="0"/>
        </w:rPr>
        <w:t>.</w:t>
      </w:r>
    </w:p>
    <w:p>
      <w:pPr>
        <w:widowControl/>
      </w:pPr>
      <w:r>
        <w:rPr>
          <w:b w:val="0"/>
          <w:i w:val="0"/>
        </w:rPr>
        <w:t xml:space="preserve">The named ancient authority and one-fire saying as presented by Ficino. The mystical gloss supports derivation from one source; it should not be made a literal material account of God. References: </w:t>
      </w:r>
      <w:hyperlink w:anchor="passage-ii-7-7">
        <w:r>
          <w:rPr>
            <w:color w:val="000000"/>
          </w:rPr>
          <w:t xml:space="preserve">II.7.7</w:t>
        </w:r>
      </w:hyperlink>
      <w:r>
        <w:rPr>
          <w:b w:val="0"/>
          <w:i w:val="0"/>
        </w:rPr>
        <w:t xml:space="preserve">. See </w:t>
      </w:r>
      <w:hyperlink w:anchor="hermetic-theologians-and-the-magi">
        <w:r>
          <w:rPr>
            <w:color w:val="000000"/>
          </w:rPr>
          <w:t xml:space="preserve">Hermetic theologians and the Magi</w:t>
        </w:r>
      </w:hyperlink>
      <w:r>
        <w:rPr>
          <w:b w:val="0"/>
          <w:i w:val="0"/>
        </w:rPr>
        <w:t>.</w:t>
      </w:r>
    </w:p>
    <w:p>
      <w:pPr>
        <w:keepNext/>
        <w:widowControl/>
      </w:pPr>
      <w:bookmarkStart w:id="1541" w:name="latin-record-1290"/>
      <w:bookmarkEnd w:id="1541"/>
      <w:r>
        <w:rPr>
          <w:b/>
          <w:i w:val="0"/>
        </w:rPr>
        <w:t>Zoroaster / rectores</w:t>
      </w:r>
      <w:r>
        <w:rPr>
          <w:b/>
          <w:i w:val="0"/>
        </w:rPr>
        <w:t>.</w:t>
      </w:r>
      <w:r>
        <w:rPr>
          <w:b w:val="0"/>
          <w:i w:val="0"/>
        </w:rPr>
        <w:t xml:space="preserve"> Printed forms: </w:t>
      </w:r>
      <w:r>
        <w:rPr>
          <w:b w:val="0"/>
          <w:i/>
        </w:rPr>
        <w:t>rectores</w:t>
      </w:r>
      <w:r>
        <w:rPr>
          <w:b w:val="0"/>
          <w:i w:val="0"/>
        </w:rPr>
        <w:t xml:space="preserve">; </w:t>
      </w:r>
      <w:r>
        <w:rPr>
          <w:b w:val="0"/>
          <w:i/>
        </w:rPr>
        <w:t>Zoroaster</w:t>
      </w:r>
      <w:r>
        <w:rPr>
          <w:b w:val="0"/>
          <w:i w:val="0"/>
        </w:rPr>
        <w:t>.</w:t>
      </w:r>
    </w:p>
    <w:p>
      <w:pPr>
        <w:widowControl/>
      </w:pPr>
      <w:r>
        <w:rPr>
          <w:b w:val="0"/>
          <w:i w:val="0"/>
        </w:rPr>
        <w:t xml:space="preserve">Zoroaster as attributed authority; rulers or directors. The saying about immobile intellectual rulers supports the angelic level; the later quotation distinguishes the intelligible from mind. Both are Ficino’s attributions. References: </w:t>
      </w:r>
      <w:hyperlink w:anchor="passage-i-5-19">
        <w:r>
          <w:rPr>
            <w:color w:val="000000"/>
          </w:rPr>
          <w:t xml:space="preserve">I.5.19</w:t>
        </w:r>
      </w:hyperlink>
      <w:r>
        <w:rPr>
          <w:b w:val="0"/>
          <w:i w:val="0"/>
        </w:rPr>
        <w:t xml:space="preserve">, </w:t>
      </w:r>
      <w:hyperlink w:anchor="passage-i-6-9">
        <w:r>
          <w:rPr>
            <w:color w:val="000000"/>
          </w:rPr>
          <w:t xml:space="preserve">I.6.9</w:t>
        </w:r>
      </w:hyperlink>
      <w:r>
        <w:rPr>
          <w:b w:val="0"/>
          <w:i w:val="0"/>
        </w:rPr>
        <w:t xml:space="preserve">. See </w:t>
      </w:r>
      <w:hyperlink w:anchor="hermetic-theologians-and-the-magi">
        <w:r>
          <w:rPr>
            <w:color w:val="000000"/>
          </w:rPr>
          <w:t xml:space="preserve">Hermetic theologians and the Magi</w:t>
        </w:r>
      </w:hyperlink>
      <w:r>
        <w:rPr>
          <w:b w:val="0"/>
          <w:i w:val="0"/>
        </w:rPr>
        <w:t>.</w:t>
      </w:r>
    </w:p>
    <w:p>
      <w:pPr>
        <w:keepNext/>
        <w:widowControl/>
      </w:pPr>
      <w:bookmarkStart w:id="1542" w:name="latin-record-1291"/>
      <w:bookmarkEnd w:id="1542"/>
      <w:r>
        <w:rPr>
          <w:b/>
          <w:i w:val="0"/>
        </w:rPr>
        <w:t>Zoroastris sectatores</w:t>
      </w:r>
      <w:r>
        <w:rPr>
          <w:b/>
          <w:i w:val="0"/>
        </w:rPr>
        <w:t>.</w:t>
      </w:r>
      <w:r>
        <w:rPr>
          <w:b w:val="0"/>
          <w:i w:val="0"/>
        </w:rPr>
        <w:t xml:space="preserve"> Printed forms: </w:t>
      </w:r>
      <w:r>
        <w:rPr>
          <w:b w:val="0"/>
          <w:i/>
        </w:rPr>
        <w:t>Zoroastris sectatores</w:t>
      </w:r>
      <w:r>
        <w:rPr>
          <w:b w:val="0"/>
          <w:i w:val="0"/>
        </w:rPr>
        <w:t>.</w:t>
      </w:r>
    </w:p>
    <w:p>
      <w:pPr>
        <w:widowControl/>
      </w:pPr>
      <w:r>
        <w:rPr>
          <w:b w:val="0"/>
          <w:i w:val="0"/>
        </w:rPr>
        <w:t xml:space="preserve">Followers of Zoroaster. The self-production saying is attributed to this group before Plotinus’s exposition is reported; the groups and authorial voices remain distinct. References: </w:t>
      </w:r>
      <w:hyperlink w:anchor="passage-ii-12-8">
        <w:r>
          <w:rPr>
            <w:color w:val="000000"/>
          </w:rPr>
          <w:t xml:space="preserve">II.12.8</w:t>
        </w:r>
      </w:hyperlink>
      <w:r>
        <w:rPr>
          <w:b w:val="0"/>
          <w:i w:val="0"/>
        </w:rPr>
        <w:t xml:space="preserve">. See </w:t>
      </w:r>
      <w:hyperlink w:anchor="self-production-and-reservation">
        <w:r>
          <w:rPr>
            <w:color w:val="000000"/>
          </w:rPr>
          <w:t xml:space="preserve">Self-production and reservation</w:t>
        </w:r>
      </w:hyperlink>
      <w:r>
        <w:rPr>
          <w:b w:val="0"/>
          <w:i w:val="0"/>
        </w:rPr>
        <w:t>.</w:t>
      </w:r>
    </w:p>
    <w:p>
      <w:bookmarkStart w:id="1543" w:name="greek-quotations"/>
      <w:pPr>
        <w:pStyle w:val="Heading1"/>
      </w:pPr>
      <w:r>
        <w:rPr>
          <w:b w:val="0"/>
          <w:i w:val="0"/>
        </w:rPr>
        <w:t>Greek quotations in the Latin text</w:t>
      </w:r>
      <w:bookmarkEnd w:id="1543"/>
    </w:p>
    <w:p>
      <w:pPr>
        <w:widowControl/>
      </w:pPr>
      <w:r>
        <w:rPr>
          <w:b w:val="0"/>
          <w:i w:val="0"/>
        </w:rPr>
        <w:t>These 22 passage records explain the function of Greek expressions quoted within the supplied Latin text. They follow Ficino’s accompanying Latin glosses and the edition’s notes. They are not an independent Greek dictionary or a new verification of the attributed ancient sources.</w:t>
      </w:r>
    </w:p>
    <w:p>
      <w:bookmarkStart w:id="1544" w:name="greek-record-01"/>
      <w:pPr>
        <w:pStyle w:val="Heading2"/>
      </w:pPr>
      <w:r>
        <w:rPr>
          <w:b w:val="0"/>
          <w:i w:val="0"/>
        </w:rPr>
        <w:t>Intellectual immovable rulers</w:t>
      </w:r>
      <w:bookmarkEnd w:id="1544"/>
    </w:p>
    <w:p>
      <w:pPr>
        <w:widowControl/>
        <w:keepNext/>
      </w:pPr>
      <w:r>
        <w:rPr>
          <w:b w:val="0"/>
          <w:i/>
        </w:rPr>
        <w:t>νοερούς ἀνοχῆας ἀκαμπεῖς</w:t>
      </w:r>
    </w:p>
    <w:p>
      <w:pPr>
        <w:widowControl/>
      </w:pPr>
      <w:r>
        <w:rPr>
          <w:b w:val="0"/>
          <w:i w:val="0"/>
        </w:rPr>
        <w:t>Ficino attributes the saying to Zoroaster and immediately glosses its rulers as intellectual and immovable. It supports the transition from souls, which are partly mobile, to angels, which move other things without being moved in the same way. The source apparatus preserves a difference in Greek word order between its witnesses; this lexicon follows the supplied reading and its Latin gloss.</w:t>
      </w:r>
    </w:p>
    <w:p>
      <w:pPr>
        <w:widowControl/>
      </w:pPr>
      <w:r>
        <w:rPr>
          <w:b/>
          <w:i w:val="0"/>
        </w:rPr>
        <w:t>Place.</w:t>
      </w:r>
      <w:r>
        <w:rPr>
          <w:b w:val="0"/>
          <w:i w:val="0"/>
        </w:rPr>
        <w:t xml:space="preserve"> </w:t>
      </w:r>
      <w:hyperlink w:anchor="passage-i-5-19">
        <w:r>
          <w:rPr>
            <w:color w:val="000000"/>
          </w:rPr>
          <w:t xml:space="preserve">I.5.19</w:t>
        </w:r>
      </w:hyperlink>
      <w:r>
        <w:rPr>
          <w:b w:val="0"/>
          <w:i w:val="0"/>
        </w:rPr>
        <w:t xml:space="preserve">, source PDF pp. 74–75. See </w:t>
      </w:r>
      <w:hyperlink w:anchor="angel">
        <w:r>
          <w:rPr>
            <w:color w:val="000000"/>
          </w:rPr>
          <w:t xml:space="preserve">Angel</w:t>
        </w:r>
      </w:hyperlink>
      <w:r>
        <w:rPr>
          <w:b w:val="0"/>
          <w:i w:val="0"/>
        </w:rPr>
        <w:t>.</w:t>
      </w:r>
    </w:p>
    <w:p>
      <w:bookmarkStart w:id="1545" w:name="greek-record-02"/>
      <w:pPr>
        <w:pStyle w:val="Heading2"/>
      </w:pPr>
      <w:r>
        <w:rPr>
          <w:b w:val="0"/>
          <w:i w:val="0"/>
        </w:rPr>
        <w:t>The intelligible beyond mind</w:t>
      </w:r>
      <w:bookmarkEnd w:id="1545"/>
    </w:p>
    <w:p>
      <w:pPr>
        <w:widowControl/>
        <w:keepNext/>
      </w:pPr>
      <w:r>
        <w:rPr>
          <w:b w:val="0"/>
          <w:i/>
        </w:rPr>
        <w:t>τὸ νοητὸν</w:t>
      </w:r>
    </w:p>
    <w:p>
      <w:pPr>
        <w:widowControl/>
      </w:pPr>
      <w:r>
        <w:rPr>
          <w:b w:val="0"/>
          <w:i w:val="0"/>
        </w:rPr>
        <w:t>The quoted instruction is glossed by Ficino as recognizing that the intelligible itself is outside mind. In his imagined expansion of the human intellectual faculty into pure angelic mind, truth remains distinct from the mind that contemplates it. The expression therefore supplies a step beyond angelic cognition, not a claim that knowing occurs without an object.</w:t>
      </w:r>
    </w:p>
    <w:p>
      <w:pPr>
        <w:widowControl/>
      </w:pPr>
      <w:r>
        <w:rPr>
          <w:b/>
          <w:i w:val="0"/>
        </w:rPr>
        <w:t>Place.</w:t>
      </w:r>
      <w:r>
        <w:rPr>
          <w:b w:val="0"/>
          <w:i w:val="0"/>
        </w:rPr>
        <w:t xml:space="preserve"> </w:t>
      </w:r>
      <w:hyperlink w:anchor="passage-i-6-9">
        <w:r>
          <w:rPr>
            <w:color w:val="000000"/>
          </w:rPr>
          <w:t xml:space="preserve">I.6.9</w:t>
        </w:r>
      </w:hyperlink>
      <w:r>
        <w:rPr>
          <w:b w:val="0"/>
          <w:i w:val="0"/>
        </w:rPr>
        <w:t xml:space="preserve">, source PDF pp. 86–87. See </w:t>
      </w:r>
      <w:hyperlink w:anchor="truth">
        <w:r>
          <w:rPr>
            <w:color w:val="000000"/>
          </w:rPr>
          <w:t xml:space="preserve">Truth</w:t>
        </w:r>
      </w:hyperlink>
      <w:r>
        <w:rPr>
          <w:b w:val="0"/>
          <w:i w:val="0"/>
        </w:rPr>
        <w:t>.</w:t>
      </w:r>
    </w:p>
    <w:p>
      <w:bookmarkStart w:id="1546" w:name="greek-record-03"/>
      <w:pPr>
        <w:pStyle w:val="Heading2"/>
      </w:pPr>
      <w:r>
        <w:rPr>
          <w:b w:val="0"/>
          <w:i w:val="0"/>
        </w:rPr>
        <w:t>An infinite end</w:t>
      </w:r>
      <w:bookmarkEnd w:id="1546"/>
    </w:p>
    <w:p>
      <w:pPr>
        <w:widowControl/>
        <w:keepNext/>
      </w:pPr>
      <w:r>
        <w:rPr>
          <w:b w:val="0"/>
          <w:i/>
        </w:rPr>
        <w:t>ἀτελὴς τελευτή</w:t>
      </w:r>
    </w:p>
    <w:p>
      <w:pPr>
        <w:widowControl/>
      </w:pPr>
      <w:r>
        <w:rPr>
          <w:b w:val="0"/>
          <w:i w:val="0"/>
        </w:rPr>
        <w:t>The expression attributed to Orpheus is rendered by Ficino’s infinitus finis. It joins the language of end or limit to that of absence of limit, at the conclusion of an argument connecting derivative kinds of infinity with divine actual infinity. It is a deliberate paradox, not a reason to erase either half of the expression.</w:t>
      </w:r>
    </w:p>
    <w:p>
      <w:pPr>
        <w:widowControl/>
      </w:pPr>
      <w:r>
        <w:rPr>
          <w:b/>
          <w:i w:val="0"/>
        </w:rPr>
        <w:t>Place.</w:t>
      </w:r>
      <w:r>
        <w:rPr>
          <w:b w:val="0"/>
          <w:i w:val="0"/>
        </w:rPr>
        <w:t xml:space="preserve"> </w:t>
      </w:r>
      <w:hyperlink w:anchor="passage-ii-4-8">
        <w:r>
          <w:rPr>
            <w:color w:val="000000"/>
          </w:rPr>
          <w:t xml:space="preserve">II.4.8</w:t>
        </w:r>
      </w:hyperlink>
      <w:r>
        <w:rPr>
          <w:b w:val="0"/>
          <w:i w:val="0"/>
        </w:rPr>
        <w:t xml:space="preserve">, source PDF pp. 124–125. See </w:t>
      </w:r>
      <w:hyperlink w:anchor="infinity">
        <w:r>
          <w:rPr>
            <w:color w:val="000000"/>
          </w:rPr>
          <w:t xml:space="preserve">Infinity</w:t>
        </w:r>
      </w:hyperlink>
      <w:r>
        <w:rPr>
          <w:b w:val="0"/>
          <w:i w:val="0"/>
        </w:rPr>
        <w:t>.</w:t>
      </w:r>
    </w:p>
    <w:p>
      <w:bookmarkStart w:id="1547" w:name="greek-record-04"/>
      <w:pPr>
        <w:pStyle w:val="Heading2"/>
      </w:pPr>
      <w:r>
        <w:rPr>
          <w:b w:val="0"/>
          <w:i w:val="0"/>
        </w:rPr>
        <w:t>Indwelling throughout the world</w:t>
      </w:r>
      <w:bookmarkEnd w:id="1547"/>
    </w:p>
    <w:p>
      <w:pPr>
        <w:widowControl/>
        <w:keepNext/>
      </w:pPr>
      <w:r>
        <w:rPr>
          <w:b w:val="0"/>
          <w:i/>
        </w:rPr>
        <w:t>ὃς ναίεις κατὰ πάντα μέρη κόσμοιο γενάρχα</w:t>
      </w:r>
    </w:p>
    <w:p>
      <w:pPr>
        <w:widowControl/>
      </w:pPr>
      <w:r>
        <w:rPr>
          <w:b w:val="0"/>
          <w:i w:val="0"/>
        </w:rPr>
        <w:t>Ficino identifies the line as Orphic and associates it with Saturn’s hymn. His Latin gloss names one who inhabits all the world’s parts and is the source of generation. The quotation supports sustaining divine presence; it does not make divine being a quantity divided among those parts.</w:t>
      </w:r>
    </w:p>
    <w:p>
      <w:pPr>
        <w:widowControl/>
      </w:pPr>
      <w:r>
        <w:rPr>
          <w:b/>
          <w:i w:val="0"/>
        </w:rPr>
        <w:t>Place.</w:t>
      </w:r>
      <w:r>
        <w:rPr>
          <w:b w:val="0"/>
          <w:i w:val="0"/>
        </w:rPr>
        <w:t xml:space="preserve"> </w:t>
      </w:r>
      <w:hyperlink w:anchor="passage-ii-6-11">
        <w:r>
          <w:rPr>
            <w:color w:val="000000"/>
          </w:rPr>
          <w:t xml:space="preserve">II.6.11</w:t>
        </w:r>
      </w:hyperlink>
      <w:r>
        <w:rPr>
          <w:b w:val="0"/>
          <w:i w:val="0"/>
        </w:rPr>
        <w:t xml:space="preserve">, source PDF pp. 132–133. See </w:t>
      </w:r>
      <w:hyperlink w:anchor="omnipresence-and-place">
        <w:r>
          <w:rPr>
            <w:color w:val="000000"/>
          </w:rPr>
          <w:t xml:space="preserve">Omnipresence and place</w:t>
        </w:r>
      </w:hyperlink>
      <w:r>
        <w:rPr>
          <w:b w:val="0"/>
          <w:i w:val="0"/>
        </w:rPr>
        <w:t>.</w:t>
      </w:r>
    </w:p>
    <w:p>
      <w:bookmarkStart w:id="1548" w:name="greek-record-05"/>
      <w:pPr>
        <w:pStyle w:val="Heading2"/>
      </w:pPr>
      <w:r>
        <w:rPr>
          <w:b w:val="0"/>
          <w:i w:val="0"/>
        </w:rPr>
        <w:t>One unmoved infinite being</w:t>
      </w:r>
      <w:bookmarkEnd w:id="1548"/>
    </w:p>
    <w:p>
      <w:pPr>
        <w:widowControl/>
        <w:keepNext/>
      </w:pPr>
      <w:r>
        <w:rPr>
          <w:b w:val="0"/>
          <w:i/>
        </w:rPr>
        <w:t>ὂν ἓν ἀκίνητον ἄπειρον</w:t>
      </w:r>
    </w:p>
    <w:p>
      <w:pPr>
        <w:widowControl/>
      </w:pPr>
      <w:r>
        <w:rPr>
          <w:b w:val="0"/>
          <w:i w:val="0"/>
        </w:rPr>
        <w:t>The fourfold expression is attributed by Ficino to Parmenides the Pythagorean and glossed as being, one, immobile and infinite. It recapitulates claims already argued before the chapter turns to divine action and preservation. Ficino’s title and attribution are reported here, without an independent identification or reconstruction of a Parmenidean original.</w:t>
      </w:r>
    </w:p>
    <w:p>
      <w:pPr>
        <w:widowControl/>
      </w:pPr>
      <w:r>
        <w:rPr>
          <w:b/>
          <w:i w:val="0"/>
        </w:rPr>
        <w:t>Place.</w:t>
      </w:r>
      <w:r>
        <w:rPr>
          <w:b w:val="0"/>
          <w:i w:val="0"/>
        </w:rPr>
        <w:t xml:space="preserve"> </w:t>
      </w:r>
      <w:hyperlink w:anchor="passage-ii-7-1">
        <w:r>
          <w:rPr>
            <w:color w:val="000000"/>
          </w:rPr>
          <w:t xml:space="preserve">II.7.1</w:t>
        </w:r>
      </w:hyperlink>
      <w:r>
        <w:rPr>
          <w:b w:val="0"/>
          <w:i w:val="0"/>
        </w:rPr>
        <w:t xml:space="preserve">, source PDF pp. 144–145. See </w:t>
      </w:r>
      <w:hyperlink w:anchor="god">
        <w:r>
          <w:rPr>
            <w:color w:val="000000"/>
          </w:rPr>
          <w:t xml:space="preserve">God</w:t>
        </w:r>
      </w:hyperlink>
      <w:r>
        <w:rPr>
          <w:b w:val="0"/>
          <w:i w:val="0"/>
        </w:rPr>
        <w:t>.</w:t>
      </w:r>
    </w:p>
    <w:p>
      <w:bookmarkStart w:id="1549" w:name="greek-record-06"/>
      <w:pPr>
        <w:pStyle w:val="Heading2"/>
      </w:pPr>
      <w:r>
        <w:rPr>
          <w:b w:val="0"/>
          <w:i w:val="0"/>
        </w:rPr>
        <w:t>Generated from one fire</w:t>
      </w:r>
      <w:bookmarkEnd w:id="1549"/>
    </w:p>
    <w:p>
      <w:pPr>
        <w:widowControl/>
        <w:keepNext/>
      </w:pPr>
      <w:r>
        <w:rPr>
          <w:b w:val="0"/>
          <w:i/>
        </w:rPr>
        <w:t>εἰσὶ πάντα πυρὸς ἑνὸς ἐκγεγαῶτα</w:t>
      </w:r>
    </w:p>
    <w:p>
      <w:pPr>
        <w:widowControl/>
      </w:pPr>
      <w:r>
        <w:rPr>
          <w:b w:val="0"/>
          <w:i w:val="0"/>
        </w:rPr>
        <w:t>Ficino’s gloss says that all things are generated from a single fire; he attributes the statement to Zoroaster. It figures the unity of the source while the surrounding discussion distinguishes ways in which lower and higher bodies change. The fire image should not be substituted for the argument’s incorporeal first cause. The edition notes a Greek reading adopted in accordance with the Latin gloss.</w:t>
      </w:r>
    </w:p>
    <w:p>
      <w:pPr>
        <w:widowControl/>
      </w:pPr>
      <w:r>
        <w:rPr>
          <w:b/>
          <w:i w:val="0"/>
        </w:rPr>
        <w:t>Place.</w:t>
      </w:r>
      <w:r>
        <w:rPr>
          <w:b w:val="0"/>
          <w:i w:val="0"/>
        </w:rPr>
        <w:t xml:space="preserve"> </w:t>
      </w:r>
      <w:hyperlink w:anchor="passage-ii-7-7">
        <w:r>
          <w:rPr>
            <w:color w:val="000000"/>
          </w:rPr>
          <w:t xml:space="preserve">II.7.7</w:t>
        </w:r>
      </w:hyperlink>
      <w:r>
        <w:rPr>
          <w:b w:val="0"/>
          <w:i w:val="0"/>
        </w:rPr>
        <w:t xml:space="preserve">, source PDF pp. 146–147. See </w:t>
      </w:r>
      <w:hyperlink w:anchor="cause">
        <w:r>
          <w:rPr>
            <w:color w:val="000000"/>
          </w:rPr>
          <w:t xml:space="preserve">Cause</w:t>
        </w:r>
      </w:hyperlink>
      <w:r>
        <w:rPr>
          <w:b w:val="0"/>
          <w:i w:val="0"/>
        </w:rPr>
        <w:t>.</w:t>
      </w:r>
    </w:p>
    <w:p>
      <w:bookmarkStart w:id="1550" w:name="greek-record-07"/>
      <w:pPr>
        <w:pStyle w:val="Heading2"/>
      </w:pPr>
      <w:r>
        <w:rPr>
          <w:b w:val="0"/>
          <w:i w:val="0"/>
        </w:rPr>
        <w:t>Necessity ruling all things</w:t>
      </w:r>
      <w:bookmarkEnd w:id="1550"/>
    </w:p>
    <w:p>
      <w:pPr>
        <w:widowControl/>
        <w:keepNext/>
      </w:pPr>
      <w:r>
        <w:rPr>
          <w:b w:val="0"/>
          <w:i/>
        </w:rPr>
        <w:t>δεινὴ γὰρ ἀνάγκη πάντα κρατεῖ</w:t>
      </w:r>
    </w:p>
    <w:p>
      <w:pPr>
        <w:widowControl/>
      </w:pPr>
      <w:r>
        <w:rPr>
          <w:b w:val="0"/>
          <w:i w:val="0"/>
        </w:rPr>
        <w:t>The quotation attributed to Orpheus is glossed as a strong necessity ruling everything. Ficino uses it while identifying God with supreme necessity of being. The point is the dependence of other beings, not an undifferentiated denial of creaturely freedom. The apparatus reports a correction in the Greek verb supported by the Latin dominatur.</w:t>
      </w:r>
    </w:p>
    <w:p>
      <w:pPr>
        <w:widowControl/>
      </w:pPr>
      <w:r>
        <w:rPr>
          <w:b/>
          <w:i w:val="0"/>
        </w:rPr>
        <w:t>Place.</w:t>
      </w:r>
      <w:r>
        <w:rPr>
          <w:b w:val="0"/>
          <w:i w:val="0"/>
        </w:rPr>
        <w:t xml:space="preserve"> </w:t>
      </w:r>
      <w:hyperlink w:anchor="passage-ii-7-11">
        <w:r>
          <w:rPr>
            <w:color w:val="000000"/>
          </w:rPr>
          <w:t xml:space="preserve">II.7.11</w:t>
        </w:r>
      </w:hyperlink>
      <w:r>
        <w:rPr>
          <w:b w:val="0"/>
          <w:i w:val="0"/>
        </w:rPr>
        <w:t xml:space="preserve">, source PDF pp. 148–149. See </w:t>
      </w:r>
      <w:hyperlink w:anchor="freedom-and-necessity">
        <w:r>
          <w:rPr>
            <w:color w:val="000000"/>
          </w:rPr>
          <w:t xml:space="preserve">Freedom and necessity</w:t>
        </w:r>
      </w:hyperlink>
      <w:r>
        <w:rPr>
          <w:b w:val="0"/>
          <w:i w:val="0"/>
        </w:rPr>
        <w:t>.</w:t>
      </w:r>
    </w:p>
    <w:p>
      <w:bookmarkStart w:id="1551" w:name="greek-record-08"/>
      <w:pPr>
        <w:pStyle w:val="Heading2"/>
      </w:pPr>
      <w:r>
        <w:rPr>
          <w:b w:val="0"/>
          <w:i w:val="0"/>
        </w:rPr>
        <w:t>The perfect eye of Jupiter</w:t>
      </w:r>
      <w:bookmarkEnd w:id="1551"/>
    </w:p>
    <w:p>
      <w:pPr>
        <w:widowControl/>
        <w:keepNext/>
      </w:pPr>
      <w:r>
        <w:rPr>
          <w:b w:val="0"/>
          <w:i/>
        </w:rPr>
        <w:t>Διὸς ὄμμα τέλειον</w:t>
      </w:r>
    </w:p>
    <w:p>
      <w:pPr>
        <w:widowControl/>
      </w:pPr>
      <w:r>
        <w:rPr>
          <w:b w:val="0"/>
          <w:i w:val="0"/>
        </w:rPr>
        <w:t>This is the expression identified by Ficino’s immediately following Latin gloss, Iovis perfectus oculus. The supplied Greek includes a longer sequence concerning what comes to pass and divine knowledge. The short gloss must not be represented as a full independent translation of every word in that sequence. Its local function is to continue the account of divine cognition.</w:t>
      </w:r>
    </w:p>
    <w:p>
      <w:pPr>
        <w:widowControl/>
      </w:pPr>
      <w:r>
        <w:rPr>
          <w:b/>
          <w:i w:val="0"/>
        </w:rPr>
        <w:t>Place.</w:t>
      </w:r>
      <w:r>
        <w:rPr>
          <w:b w:val="0"/>
          <w:i w:val="0"/>
        </w:rPr>
        <w:t xml:space="preserve"> </w:t>
      </w:r>
      <w:hyperlink w:anchor="passage-ii-9-18">
        <w:r>
          <w:rPr>
            <w:color w:val="000000"/>
          </w:rPr>
          <w:t xml:space="preserve">II.9.18</w:t>
        </w:r>
      </w:hyperlink>
      <w:r>
        <w:rPr>
          <w:b w:val="0"/>
          <w:i w:val="0"/>
        </w:rPr>
        <w:t xml:space="preserve">, source PDF pp. 172–173. See </w:t>
      </w:r>
      <w:hyperlink w:anchor="intellect-and-intellection">
        <w:r>
          <w:rPr>
            <w:color w:val="000000"/>
          </w:rPr>
          <w:t xml:space="preserve">Intellect and intellection</w:t>
        </w:r>
      </w:hyperlink>
      <w:r>
        <w:rPr>
          <w:b w:val="0"/>
          <w:i w:val="0"/>
        </w:rPr>
        <w:t>.</w:t>
      </w:r>
    </w:p>
    <w:p>
      <w:bookmarkStart w:id="1552" w:name="greek-record-09"/>
      <w:pPr>
        <w:pStyle w:val="Heading2"/>
      </w:pPr>
      <w:r>
        <w:rPr>
          <w:b w:val="0"/>
          <w:i w:val="0"/>
        </w:rPr>
        <w:t>The bounds of the world and cosmic tuning</w:t>
      </w:r>
      <w:bookmarkEnd w:id="1552"/>
    </w:p>
    <w:p>
      <w:pPr>
        <w:widowControl/>
        <w:keepNext/>
      </w:pPr>
      <w:r>
        <w:rPr>
          <w:b w:val="0"/>
          <w:i/>
        </w:rPr>
        <w:t>τὰ πείρατα κόσμου</w:t>
      </w:r>
    </w:p>
    <w:p>
      <w:pPr>
        <w:widowControl/>
      </w:pPr>
      <w:r>
        <w:rPr>
          <w:b w:val="0"/>
          <w:i w:val="0"/>
        </w:rPr>
        <w:t>In the passage attributed to Orpheus’s hymn to Apollo, Ficino’s extended Latin gloss joins the world’s bounds, care for beginning and end, universal flourishing, and the tuning of the whole sphere. The local argument concerns the order in which things apparently poor or ugly contribute to the whole. The musical image supports intelligible arrangement rather than erasing differences among parts.</w:t>
      </w:r>
    </w:p>
    <w:p>
      <w:pPr>
        <w:widowControl/>
      </w:pPr>
      <w:r>
        <w:rPr>
          <w:b/>
          <w:i w:val="0"/>
        </w:rPr>
        <w:t>Place.</w:t>
      </w:r>
      <w:r>
        <w:rPr>
          <w:b w:val="0"/>
          <w:i w:val="0"/>
        </w:rPr>
        <w:t xml:space="preserve"> </w:t>
      </w:r>
      <w:hyperlink w:anchor="passage-ii-9-22">
        <w:r>
          <w:rPr>
            <w:color w:val="000000"/>
          </w:rPr>
          <w:t xml:space="preserve">II.9.22</w:t>
        </w:r>
      </w:hyperlink>
      <w:r>
        <w:rPr>
          <w:b w:val="0"/>
          <w:i w:val="0"/>
        </w:rPr>
        <w:t xml:space="preserve">, source PDF pp. 174–175. See </w:t>
      </w:r>
      <w:hyperlink w:anchor="order-and-harmony">
        <w:r>
          <w:rPr>
            <w:color w:val="000000"/>
          </w:rPr>
          <w:t xml:space="preserve">Order and harmony</w:t>
        </w:r>
      </w:hyperlink>
      <w:r>
        <w:rPr>
          <w:b w:val="0"/>
          <w:i w:val="0"/>
        </w:rPr>
        <w:t>.</w:t>
      </w:r>
    </w:p>
    <w:p>
      <w:bookmarkStart w:id="1553" w:name="greek-record-10"/>
      <w:pPr>
        <w:pStyle w:val="Heading2"/>
      </w:pPr>
      <w:r>
        <w:rPr>
          <w:b w:val="0"/>
          <w:i w:val="0"/>
        </w:rPr>
        <w:t>The infinite eye</w:t>
      </w:r>
      <w:bookmarkEnd w:id="1553"/>
    </w:p>
    <w:p>
      <w:pPr>
        <w:widowControl/>
        <w:keepNext/>
      </w:pPr>
      <w:r>
        <w:rPr>
          <w:b w:val="0"/>
          <w:i/>
        </w:rPr>
        <w:t>ἄπειρον ὄμμα</w:t>
      </w:r>
    </w:p>
    <w:p>
      <w:pPr>
        <w:widowControl/>
      </w:pPr>
      <w:r>
        <w:rPr>
          <w:b w:val="0"/>
          <w:i w:val="0"/>
        </w:rPr>
        <w:t>The Orphic designation is glossed as an infinite eye. It concludes the comparison between human thought’s ability to continue potentially without limit and divine understanding’s actual knowledge of an unlimited range. The eye is an image of cognition, not an organ with infinite physical dimensions.</w:t>
      </w:r>
    </w:p>
    <w:p>
      <w:pPr>
        <w:widowControl/>
      </w:pPr>
      <w:r>
        <w:rPr>
          <w:b/>
          <w:i w:val="0"/>
        </w:rPr>
        <w:t>Place.</w:t>
      </w:r>
      <w:r>
        <w:rPr>
          <w:b w:val="0"/>
          <w:i w:val="0"/>
        </w:rPr>
        <w:t xml:space="preserve"> </w:t>
      </w:r>
      <w:hyperlink w:anchor="passage-ii-10-7">
        <w:r>
          <w:rPr>
            <w:color w:val="000000"/>
          </w:rPr>
          <w:t xml:space="preserve">II.10.7</w:t>
        </w:r>
      </w:hyperlink>
      <w:r>
        <w:rPr>
          <w:b w:val="0"/>
          <w:i w:val="0"/>
        </w:rPr>
        <w:t xml:space="preserve">, source PDF pp. 178–179. See </w:t>
      </w:r>
      <w:hyperlink w:anchor="infinity">
        <w:r>
          <w:rPr>
            <w:color w:val="000000"/>
          </w:rPr>
          <w:t xml:space="preserve">Infinity</w:t>
        </w:r>
      </w:hyperlink>
      <w:r>
        <w:rPr>
          <w:b w:val="0"/>
          <w:i w:val="0"/>
        </w:rPr>
        <w:t>.</w:t>
      </w:r>
    </w:p>
    <w:p>
      <w:bookmarkStart w:id="1554" w:name="greek-record-11"/>
      <w:pPr>
        <w:pStyle w:val="Heading2"/>
      </w:pPr>
      <w:r>
        <w:rPr>
          <w:b w:val="0"/>
          <w:i w:val="0"/>
        </w:rPr>
        <w:t>Jupiter as the form of all things</w:t>
      </w:r>
      <w:bookmarkEnd w:id="1554"/>
    </w:p>
    <w:p>
      <w:pPr>
        <w:widowControl/>
        <w:keepNext/>
      </w:pPr>
      <w:r>
        <w:rPr>
          <w:b w:val="0"/>
          <w:i/>
        </w:rPr>
        <w:t>Ζεὺς εἶδος πάντων</w:t>
      </w:r>
    </w:p>
    <w:p>
      <w:pPr>
        <w:widowControl/>
      </w:pPr>
      <w:r>
        <w:rPr>
          <w:b w:val="0"/>
          <w:i w:val="0"/>
        </w:rPr>
        <w:t>Ficino’s gloss, Iupiter species omnium, makes this an expression of the all-containing causal source. The chapter immediately asks how the forms are in God and rejects a mode of plurality that would compel production by natural necessity. The quotation therefore does not license a simple identification of God with the aggregate of bodily forms.</w:t>
      </w:r>
    </w:p>
    <w:p>
      <w:pPr>
        <w:widowControl/>
      </w:pPr>
      <w:r>
        <w:rPr>
          <w:b/>
          <w:i w:val="0"/>
        </w:rPr>
        <w:t>Place.</w:t>
      </w:r>
      <w:r>
        <w:rPr>
          <w:b w:val="0"/>
          <w:i w:val="0"/>
        </w:rPr>
        <w:t xml:space="preserve"> </w:t>
      </w:r>
      <w:hyperlink w:anchor="passage-ii-11-1">
        <w:r>
          <w:rPr>
            <w:color w:val="000000"/>
          </w:rPr>
          <w:t xml:space="preserve">II.11.1</w:t>
        </w:r>
      </w:hyperlink>
      <w:r>
        <w:rPr>
          <w:b w:val="0"/>
          <w:i w:val="0"/>
        </w:rPr>
        <w:t xml:space="preserve">, source PDF pp. 182–183. See </w:t>
      </w:r>
      <w:hyperlink w:anchor="ideas-and-exemplars">
        <w:r>
          <w:rPr>
            <w:color w:val="000000"/>
          </w:rPr>
          <w:t xml:space="preserve">Ideas and exemplars</w:t>
        </w:r>
      </w:hyperlink>
      <w:r>
        <w:rPr>
          <w:b w:val="0"/>
          <w:i w:val="0"/>
        </w:rPr>
        <w:t>.</w:t>
      </w:r>
    </w:p>
    <w:p>
      <w:bookmarkStart w:id="1555" w:name="greek-record-12"/>
      <w:pPr>
        <w:pStyle w:val="Heading2"/>
      </w:pPr>
      <w:r>
        <w:rPr>
          <w:b w:val="0"/>
          <w:i w:val="0"/>
        </w:rPr>
        <w:t>Turning through an everlasting pivot</w:t>
      </w:r>
      <w:bookmarkEnd w:id="1555"/>
    </w:p>
    <w:p>
      <w:pPr>
        <w:widowControl/>
        <w:keepNext/>
      </w:pPr>
      <w:r>
        <w:rPr>
          <w:b w:val="0"/>
          <w:i/>
        </w:rPr>
        <w:t>ἀενάῳ στροφάλιγγι θοὸν ῥῦμα δινεύουσα</w:t>
      </w:r>
    </w:p>
    <w:p>
      <w:pPr>
        <w:widowControl/>
      </w:pPr>
      <w:r>
        <w:rPr>
          <w:b w:val="0"/>
          <w:i w:val="0"/>
        </w:rPr>
        <w:t>The Orphic line is glossed through the language of a perpetual hinge or pivot and a swift impulse. Ficino uses it in a sustained explanation of effortless divine governance through subordinate orders. The apparatus reports adopting volutans rather than voluntas in the Latin gloss: turning, not merely a coincidental occurrence of the noun will.</w:t>
      </w:r>
    </w:p>
    <w:p>
      <w:pPr>
        <w:widowControl/>
      </w:pPr>
      <w:r>
        <w:rPr>
          <w:b/>
          <w:i w:val="0"/>
        </w:rPr>
        <w:t>Place.</w:t>
      </w:r>
      <w:r>
        <w:rPr>
          <w:b w:val="0"/>
          <w:i w:val="0"/>
        </w:rPr>
        <w:t xml:space="preserve"> </w:t>
      </w:r>
      <w:hyperlink w:anchor="passage-ii-13-12">
        <w:r>
          <w:rPr>
            <w:color w:val="000000"/>
          </w:rPr>
          <w:t xml:space="preserve">II.13.12</w:t>
        </w:r>
      </w:hyperlink>
      <w:r>
        <w:rPr>
          <w:b w:val="0"/>
          <w:i w:val="0"/>
        </w:rPr>
        <w:t xml:space="preserve">, source PDF pp. 224–225. See </w:t>
      </w:r>
      <w:hyperlink w:anchor="hinge-and-center">
        <w:r>
          <w:rPr>
            <w:color w:val="000000"/>
          </w:rPr>
          <w:t xml:space="preserve">Hinge and center</w:t>
        </w:r>
      </w:hyperlink>
      <w:r>
        <w:rPr>
          <w:b w:val="0"/>
          <w:i w:val="0"/>
        </w:rPr>
        <w:t>.</w:t>
      </w:r>
    </w:p>
    <w:p>
      <w:bookmarkStart w:id="1556" w:name="greek-record-13"/>
      <w:pPr>
        <w:pStyle w:val="Heading2"/>
      </w:pPr>
      <w:r>
        <w:rPr>
          <w:b w:val="0"/>
          <w:i w:val="0"/>
        </w:rPr>
        <w:t>Begetter beginning and end</w:t>
      </w:r>
      <w:bookmarkEnd w:id="1556"/>
    </w:p>
    <w:p>
      <w:pPr>
        <w:widowControl/>
        <w:keepNext/>
      </w:pPr>
      <w:r>
        <w:rPr>
          <w:b w:val="0"/>
          <w:i/>
        </w:rPr>
        <w:t>παντογένεθλ’, ἀρχὴ πάντων, πάντων τε τελευτή</w:t>
      </w:r>
    </w:p>
    <w:p>
      <w:pPr>
        <w:widowControl/>
      </w:pPr>
      <w:r>
        <w:rPr>
          <w:b w:val="0"/>
          <w:i w:val="0"/>
        </w:rPr>
        <w:t>Ficino glosses the Orphic address to Jupiter as begetter, beginning and end of all. It supports the claim that the first principle moves things for its own sake, while the life of the world provides under that higher direction. Beginning and end are causal and final relations here, not simply the earliest and latest moments of a temporal sequence.</w:t>
      </w:r>
    </w:p>
    <w:p>
      <w:pPr>
        <w:widowControl/>
      </w:pPr>
      <w:r>
        <w:rPr>
          <w:b/>
          <w:i w:val="0"/>
        </w:rPr>
        <w:t>Place.</w:t>
      </w:r>
      <w:r>
        <w:rPr>
          <w:b w:val="0"/>
          <w:i w:val="0"/>
        </w:rPr>
        <w:t xml:space="preserve"> </w:t>
      </w:r>
      <w:hyperlink w:anchor="passage-ii-13-21">
        <w:r>
          <w:rPr>
            <w:color w:val="000000"/>
          </w:rPr>
          <w:t xml:space="preserve">II.13.21</w:t>
        </w:r>
      </w:hyperlink>
      <w:r>
        <w:rPr>
          <w:b w:val="0"/>
          <w:i w:val="0"/>
        </w:rPr>
        <w:t xml:space="preserve">, source PDF pp. 230–231. See </w:t>
      </w:r>
      <w:hyperlink w:anchor="principle">
        <w:r>
          <w:rPr>
            <w:color w:val="000000"/>
          </w:rPr>
          <w:t xml:space="preserve">Principle</w:t>
        </w:r>
      </w:hyperlink>
      <w:r>
        <w:rPr>
          <w:b w:val="0"/>
          <w:i w:val="0"/>
        </w:rPr>
        <w:t>.</w:t>
      </w:r>
    </w:p>
    <w:p>
      <w:bookmarkStart w:id="1557" w:name="greek-record-14"/>
      <w:pPr>
        <w:pStyle w:val="Heading2"/>
      </w:pPr>
      <w:r>
        <w:rPr>
          <w:b w:val="0"/>
          <w:i w:val="0"/>
        </w:rPr>
        <w:t>Seeing hearing and distributing</w:t>
      </w:r>
      <w:bookmarkEnd w:id="1557"/>
    </w:p>
    <w:p>
      <w:pPr>
        <w:widowControl/>
        <w:keepNext/>
      </w:pPr>
      <w:r>
        <w:rPr>
          <w:b w:val="0"/>
          <w:i/>
        </w:rPr>
        <w:t>πάντ’ ἐσορᾷς, καὶ πάντ’ ἐπακούεις, πάντα βραβεύεις</w:t>
      </w:r>
    </w:p>
    <w:p>
      <w:pPr>
        <w:widowControl/>
      </w:pPr>
      <w:r>
        <w:rPr>
          <w:b w:val="0"/>
          <w:i w:val="0"/>
        </w:rPr>
        <w:t>The supplied Latin gloss makes the Orphic address concern seeing within, hearing within and distributing all things. In context it supports the care of the whole without neglect of its parts. The apparatus notes a connective variation in the Greek tradition; this lexicon does not silently import a fuller line from another edition.</w:t>
      </w:r>
    </w:p>
    <w:p>
      <w:pPr>
        <w:widowControl/>
      </w:pPr>
      <w:r>
        <w:rPr>
          <w:b/>
          <w:i w:val="0"/>
        </w:rPr>
        <w:t>Place.</w:t>
      </w:r>
      <w:r>
        <w:rPr>
          <w:b w:val="0"/>
          <w:i w:val="0"/>
        </w:rPr>
        <w:t xml:space="preserve"> </w:t>
      </w:r>
      <w:hyperlink w:anchor="passage-ii-13-22">
        <w:r>
          <w:rPr>
            <w:color w:val="000000"/>
          </w:rPr>
          <w:t xml:space="preserve">II.13.22</w:t>
        </w:r>
      </w:hyperlink>
      <w:r>
        <w:rPr>
          <w:b w:val="0"/>
          <w:i w:val="0"/>
        </w:rPr>
        <w:t xml:space="preserve">, source PDF pp. 230–231. See </w:t>
      </w:r>
      <w:hyperlink w:anchor="providence">
        <w:r>
          <w:rPr>
            <w:color w:val="000000"/>
          </w:rPr>
          <w:t xml:space="preserve">Providence</w:t>
        </w:r>
      </w:hyperlink>
      <w:r>
        <w:rPr>
          <w:b w:val="0"/>
          <w:i w:val="0"/>
        </w:rPr>
        <w:t>.</w:t>
      </w:r>
    </w:p>
    <w:p>
      <w:bookmarkStart w:id="1558" w:name="greek-record-15"/>
      <w:pPr>
        <w:pStyle w:val="Heading2"/>
      </w:pPr>
      <w:r>
        <w:rPr>
          <w:b w:val="0"/>
          <w:i w:val="0"/>
        </w:rPr>
        <w:t>Everlasting life and immortal providence</w:t>
      </w:r>
      <w:bookmarkEnd w:id="1558"/>
    </w:p>
    <w:p>
      <w:pPr>
        <w:widowControl/>
        <w:keepNext/>
      </w:pPr>
      <w:r>
        <w:rPr>
          <w:b w:val="0"/>
          <w:i/>
        </w:rPr>
        <w:t>ἀΐδιος ζωή, ἠδ’ ἀθανάτη τε πρόνοια</w:t>
      </w:r>
    </w:p>
    <w:p>
      <w:pPr>
        <w:widowControl/>
      </w:pPr>
      <w:r>
        <w:rPr>
          <w:b w:val="0"/>
          <w:i w:val="0"/>
        </w:rPr>
        <w:t>The Orphic description is glossed as everlasting life and immortal providence. It appears where Ficino relates apparent local defects to the good of the whole, then proceeds to authorities on providence and freedom. It is a theological characterization within that argument, not a substitute for the following distinctions about how willing and foreknowledge operate.</w:t>
      </w:r>
    </w:p>
    <w:p>
      <w:pPr>
        <w:widowControl/>
      </w:pPr>
      <w:r>
        <w:rPr>
          <w:b/>
          <w:i w:val="0"/>
        </w:rPr>
        <w:t>Place.</w:t>
      </w:r>
      <w:r>
        <w:rPr>
          <w:b w:val="0"/>
          <w:i w:val="0"/>
        </w:rPr>
        <w:t xml:space="preserve"> </w:t>
      </w:r>
      <w:hyperlink w:anchor="passage-ii-13-24">
        <w:r>
          <w:rPr>
            <w:color w:val="000000"/>
          </w:rPr>
          <w:t xml:space="preserve">II.13.24</w:t>
        </w:r>
      </w:hyperlink>
      <w:r>
        <w:rPr>
          <w:b w:val="0"/>
          <w:i w:val="0"/>
        </w:rPr>
        <w:t xml:space="preserve">, source PDF pp. 232–233. See </w:t>
      </w:r>
      <w:hyperlink w:anchor="providence">
        <w:r>
          <w:rPr>
            <w:color w:val="000000"/>
          </w:rPr>
          <w:t xml:space="preserve">Providence</w:t>
        </w:r>
      </w:hyperlink>
      <w:r>
        <w:rPr>
          <w:b w:val="0"/>
          <w:i w:val="0"/>
        </w:rPr>
        <w:t>.</w:t>
      </w:r>
    </w:p>
    <w:p>
      <w:bookmarkStart w:id="1559" w:name="greek-record-16"/>
      <w:pPr>
        <w:pStyle w:val="Heading2"/>
      </w:pPr>
      <w:r>
        <w:rPr>
          <w:b w:val="0"/>
          <w:i w:val="0"/>
        </w:rPr>
        <w:t>Persuasion rather than fear</w:t>
      </w:r>
      <w:bookmarkEnd w:id="1559"/>
    </w:p>
    <w:p>
      <w:pPr>
        <w:widowControl/>
        <w:keepNext/>
      </w:pPr>
      <w:r>
        <w:rPr>
          <w:b w:val="0"/>
          <w:i/>
        </w:rPr>
        <w:t>πατὴρ οὐ φόβον ἐνθρῴσκει, πειθὼ δ’ ἐπιχέει</w:t>
      </w:r>
    </w:p>
    <w:p>
      <w:pPr>
        <w:widowControl/>
      </w:pPr>
      <w:r>
        <w:rPr>
          <w:b w:val="0"/>
          <w:i w:val="0"/>
        </w:rPr>
        <w:t>Ficino attributes the saying to Zoroaster and glosses it as the father not striking in fear but introducing persuasion. The contrast belongs to the account of how higher causation preserves the characteristic mode of a rational nature. It should be read with the next passage’s carefully qualified language of compelling souls toward the universal good.</w:t>
      </w:r>
    </w:p>
    <w:p>
      <w:pPr>
        <w:widowControl/>
      </w:pPr>
      <w:r>
        <w:rPr>
          <w:b/>
          <w:i w:val="0"/>
        </w:rPr>
        <w:t>Place.</w:t>
      </w:r>
      <w:r>
        <w:rPr>
          <w:b w:val="0"/>
          <w:i w:val="0"/>
        </w:rPr>
        <w:t xml:space="preserve"> </w:t>
      </w:r>
      <w:hyperlink w:anchor="passage-ii-13-27">
        <w:r>
          <w:rPr>
            <w:color w:val="000000"/>
          </w:rPr>
          <w:t xml:space="preserve">II.13.27</w:t>
        </w:r>
      </w:hyperlink>
      <w:r>
        <w:rPr>
          <w:b w:val="0"/>
          <w:i w:val="0"/>
        </w:rPr>
        <w:t xml:space="preserve">, source PDF pp. 234–235. See </w:t>
      </w:r>
      <w:hyperlink w:anchor="choice-and-free-judgment">
        <w:r>
          <w:rPr>
            <w:color w:val="000000"/>
          </w:rPr>
          <w:t xml:space="preserve">Choice and free judgment</w:t>
        </w:r>
      </w:hyperlink>
      <w:r>
        <w:rPr>
          <w:b w:val="0"/>
          <w:i w:val="0"/>
        </w:rPr>
        <w:t>.</w:t>
      </w:r>
    </w:p>
    <w:p>
      <w:bookmarkStart w:id="1560" w:name="greek-record-17"/>
      <w:pPr>
        <w:pStyle w:val="Heading2"/>
      </w:pPr>
      <w:r>
        <w:rPr>
          <w:b w:val="0"/>
          <w:i w:val="0"/>
        </w:rPr>
        <w:t>Giving to the second mind</w:t>
      </w:r>
      <w:bookmarkEnd w:id="1560"/>
    </w:p>
    <w:p>
      <w:pPr>
        <w:widowControl/>
        <w:keepNext/>
      </w:pPr>
      <w:r>
        <w:rPr>
          <w:b w:val="0"/>
          <w:i/>
        </w:rPr>
        <w:t>καὶ νῷ παρέδωκε δευτέρῳ</w:t>
      </w:r>
    </w:p>
    <w:p>
      <w:pPr>
        <w:widowControl/>
      </w:pPr>
      <w:r>
        <w:rPr>
          <w:b w:val="0"/>
          <w:i w:val="0"/>
        </w:rPr>
        <w:t>In the Zoroastrian attribution, the father perfects all things and hands them to a second mind. Ficino applies the line to an angelic essence receiving illumination and the adornment of forms. The language of first and second moments explains dependence; the lexicon does not infer a literal temporal gap in angelic creation from that wording alone.</w:t>
      </w:r>
    </w:p>
    <w:p>
      <w:pPr>
        <w:widowControl/>
      </w:pPr>
      <w:r>
        <w:rPr>
          <w:b/>
          <w:i w:val="0"/>
        </w:rPr>
        <w:t>Place.</w:t>
      </w:r>
      <w:r>
        <w:rPr>
          <w:b w:val="0"/>
          <w:i w:val="0"/>
        </w:rPr>
        <w:t xml:space="preserve"> </w:t>
      </w:r>
      <w:hyperlink w:anchor="passage-iii-1-12">
        <w:r>
          <w:rPr>
            <w:color w:val="000000"/>
          </w:rPr>
          <w:t xml:space="preserve">III.1.12</w:t>
        </w:r>
      </w:hyperlink>
      <w:r>
        <w:rPr>
          <w:b w:val="0"/>
          <w:i w:val="0"/>
        </w:rPr>
        <w:t xml:space="preserve">, source PDF pp. 248–249. See </w:t>
      </w:r>
      <w:hyperlink w:anchor="second-mind">
        <w:r>
          <w:rPr>
            <w:color w:val="000000"/>
          </w:rPr>
          <w:t xml:space="preserve">Second mind</w:t>
        </w:r>
      </w:hyperlink>
      <w:r>
        <w:rPr>
          <w:b w:val="0"/>
          <w:i w:val="0"/>
        </w:rPr>
        <w:t>.</w:t>
      </w:r>
    </w:p>
    <w:p>
      <w:bookmarkStart w:id="1561" w:name="greek-record-18"/>
      <w:pPr>
        <w:pStyle w:val="Heading2"/>
      </w:pPr>
      <w:r>
        <w:rPr>
          <w:b w:val="0"/>
          <w:i w:val="0"/>
        </w:rPr>
        <w:t>The father withdrawing himself</w:t>
      </w:r>
      <w:bookmarkEnd w:id="1561"/>
    </w:p>
    <w:p>
      <w:pPr>
        <w:widowControl/>
        <w:keepNext/>
      </w:pPr>
      <w:r>
        <w:rPr>
          <w:b w:val="0"/>
          <w:i/>
        </w:rPr>
        <w:t>Πατὴρ ἑαυτὸν ἥρπασεν</w:t>
      </w:r>
    </w:p>
    <w:p>
      <w:pPr>
        <w:widowControl/>
      </w:pPr>
      <w:r>
        <w:rPr>
          <w:b w:val="0"/>
          <w:i w:val="0"/>
        </w:rPr>
        <w:t>Ficino’s gloss says that the father withdrew himself and did not enclose his own fire even in the mind that follows him. Ficino then explains the point as the divine source’s incomparability with other things. The image marks transcendence within the comparison of causes; it should not be read as a geographical departure.</w:t>
      </w:r>
    </w:p>
    <w:p>
      <w:pPr>
        <w:widowControl/>
      </w:pPr>
      <w:r>
        <w:rPr>
          <w:b/>
          <w:i w:val="0"/>
        </w:rPr>
        <w:t>Place.</w:t>
      </w:r>
      <w:r>
        <w:rPr>
          <w:b w:val="0"/>
          <w:i w:val="0"/>
        </w:rPr>
        <w:t xml:space="preserve"> </w:t>
      </w:r>
      <w:hyperlink w:anchor="passage-iii-1-21">
        <w:r>
          <w:rPr>
            <w:color w:val="000000"/>
          </w:rPr>
          <w:t xml:space="preserve">III.1.21</w:t>
        </w:r>
      </w:hyperlink>
      <w:r>
        <w:rPr>
          <w:b w:val="0"/>
          <w:i w:val="0"/>
        </w:rPr>
        <w:t xml:space="preserve">, source PDF pp. 252–253. See </w:t>
      </w:r>
      <w:hyperlink w:anchor="degree-and-mediation">
        <w:r>
          <w:rPr>
            <w:color w:val="000000"/>
          </w:rPr>
          <w:t xml:space="preserve">Degree and mediation</w:t>
        </w:r>
      </w:hyperlink>
      <w:r>
        <w:rPr>
          <w:b w:val="0"/>
          <w:i w:val="0"/>
        </w:rPr>
        <w:t>.</w:t>
      </w:r>
    </w:p>
    <w:p>
      <w:bookmarkStart w:id="1562" w:name="greek-record-19"/>
      <w:pPr>
        <w:pStyle w:val="Heading2"/>
      </w:pPr>
      <w:r>
        <w:rPr>
          <w:b w:val="0"/>
          <w:i w:val="0"/>
        </w:rPr>
        <w:t>Apollo simplicity and the good</w:t>
      </w:r>
      <w:bookmarkEnd w:id="1562"/>
    </w:p>
    <w:p>
      <w:pPr>
        <w:widowControl/>
        <w:keepNext/>
      </w:pPr>
      <w:r>
        <w:rPr>
          <w:b w:val="0"/>
          <w:i/>
        </w:rPr>
        <w:t>Ἀπόλλωνα · ἁπλοῦν · ἀπὸ πολλῶν · τἀγαθόν</w:t>
      </w:r>
    </w:p>
    <w:p>
      <w:pPr>
        <w:widowControl/>
      </w:pPr>
      <w:r>
        <w:rPr>
          <w:b w:val="0"/>
          <w:i w:val="0"/>
        </w:rPr>
        <w:t>These expressions belong to the Pythagorean wordplay reported by Ficino: Apollo is connected with simplicity and separation from multiplicity, and with the good itself. His accompanying Latin gloss controls the use here. The associations are not presented as modern historical etymologies, and the paragraph remains within the explicitly marked Pythagorean excursion.</w:t>
      </w:r>
    </w:p>
    <w:p>
      <w:pPr>
        <w:widowControl/>
      </w:pPr>
      <w:r>
        <w:rPr>
          <w:b/>
          <w:i w:val="0"/>
        </w:rPr>
        <w:t>Place.</w:t>
      </w:r>
      <w:r>
        <w:rPr>
          <w:b w:val="0"/>
          <w:i w:val="0"/>
        </w:rPr>
        <w:t xml:space="preserve"> </w:t>
      </w:r>
      <w:hyperlink w:anchor="passage-iv-1-51">
        <w:r>
          <w:rPr>
            <w:color w:val="000000"/>
          </w:rPr>
          <w:t xml:space="preserve">IV.1.51</w:t>
        </w:r>
      </w:hyperlink>
      <w:r>
        <w:rPr>
          <w:b w:val="0"/>
          <w:i w:val="0"/>
        </w:rPr>
        <w:t xml:space="preserve">, source PDF pp. 306–307. See </w:t>
      </w:r>
      <w:hyperlink w:anchor="apollo">
        <w:r>
          <w:rPr>
            <w:color w:val="000000"/>
          </w:rPr>
          <w:t xml:space="preserve">Apollo</w:t>
        </w:r>
      </w:hyperlink>
      <w:r>
        <w:rPr>
          <w:b w:val="0"/>
          <w:i w:val="0"/>
        </w:rPr>
        <w:t>.</w:t>
      </w:r>
    </w:p>
    <w:p>
      <w:bookmarkStart w:id="1563" w:name="greek-record-20"/>
      <w:pPr>
        <w:pStyle w:val="Heading2"/>
      </w:pPr>
      <w:r>
        <w:rPr>
          <w:b w:val="0"/>
          <w:i w:val="0"/>
        </w:rPr>
        <w:t>Tuning the whole heaven</w:t>
      </w:r>
      <w:bookmarkEnd w:id="1563"/>
    </w:p>
    <w:p>
      <w:pPr>
        <w:widowControl/>
        <w:keepNext/>
      </w:pPr>
      <w:r>
        <w:rPr>
          <w:b w:val="0"/>
          <w:i/>
        </w:rPr>
        <w:t>Σὺ δὲ πάντα πόλον κιθάρῃ πολυκρέκτῳ ἁρμόζεις</w:t>
      </w:r>
    </w:p>
    <w:p>
      <w:pPr>
        <w:widowControl/>
      </w:pPr>
      <w:r>
        <w:rPr>
          <w:b w:val="0"/>
          <w:i w:val="0"/>
        </w:rPr>
        <w:t>Ficino’s Latin gloss describes tuning the whole heaven with a melodious lyre. The line gives musical form to the ordered chorus of Muses under Apollo. The same unit retains perhaps in its hierarchy and closes by leaving the Pythagorean conversation for the established Platonic order. Both qualifications matter to the quotation’s doctrinal use.</w:t>
      </w:r>
    </w:p>
    <w:p>
      <w:pPr>
        <w:widowControl/>
      </w:pPr>
      <w:r>
        <w:rPr>
          <w:b/>
          <w:i w:val="0"/>
        </w:rPr>
        <w:t>Place.</w:t>
      </w:r>
      <w:r>
        <w:rPr>
          <w:b w:val="0"/>
          <w:i w:val="0"/>
        </w:rPr>
        <w:t xml:space="preserve"> </w:t>
      </w:r>
      <w:hyperlink w:anchor="passage-iv-1-52">
        <w:r>
          <w:rPr>
            <w:color w:val="000000"/>
          </w:rPr>
          <w:t xml:space="preserve">IV.1.52</w:t>
        </w:r>
      </w:hyperlink>
      <w:r>
        <w:rPr>
          <w:b w:val="0"/>
          <w:i w:val="0"/>
        </w:rPr>
        <w:t xml:space="preserve">, source PDF pp. 308–309. See </w:t>
      </w:r>
      <w:hyperlink w:anchor="bacchus-and-the-muses">
        <w:r>
          <w:rPr>
            <w:color w:val="000000"/>
          </w:rPr>
          <w:t xml:space="preserve">Bacchus and the Muses</w:t>
        </w:r>
      </w:hyperlink>
      <w:r>
        <w:rPr>
          <w:b w:val="0"/>
          <w:i w:val="0"/>
        </w:rPr>
        <w:t>.</w:t>
      </w:r>
    </w:p>
    <w:p>
      <w:bookmarkStart w:id="1564" w:name="greek-record-21"/>
      <w:pPr>
        <w:pStyle w:val="Heading2"/>
      </w:pPr>
      <w:r>
        <w:rPr>
          <w:b w:val="0"/>
          <w:i w:val="0"/>
        </w:rPr>
        <w:t>Everlasting will and the work of necessity</w:t>
      </w:r>
      <w:bookmarkEnd w:id="1564"/>
    </w:p>
    <w:p>
      <w:pPr>
        <w:widowControl/>
        <w:keepNext/>
      </w:pPr>
      <w:r>
        <w:rPr>
          <w:b w:val="0"/>
          <w:i/>
        </w:rPr>
        <w:t>ἀϊδίῳ βουλῇ φέρεται, ἀεὶ τρέχει ἔργῳ ἀνάγκης</w:t>
      </w:r>
    </w:p>
    <w:p>
      <w:pPr>
        <w:widowControl/>
      </w:pPr>
      <w:r>
        <w:rPr>
          <w:b w:val="0"/>
          <w:i w:val="0"/>
        </w:rPr>
        <w:t>The saying attributed to Zoroaster is glossed as heaven’s being carried by everlasting will and continually running through necessity’s work. It follows the account of heavenly motion through appetite aroused by thought, with thought governed by a fatal law. Will and necessity therefore occur in a structured causal account rather than as mutually exclusive labels.</w:t>
      </w:r>
    </w:p>
    <w:p>
      <w:pPr>
        <w:widowControl/>
      </w:pPr>
      <w:r>
        <w:rPr>
          <w:b/>
          <w:i w:val="0"/>
        </w:rPr>
        <w:t>Place.</w:t>
      </w:r>
      <w:r>
        <w:rPr>
          <w:b w:val="0"/>
          <w:i w:val="0"/>
        </w:rPr>
        <w:t xml:space="preserve"> </w:t>
      </w:r>
      <w:hyperlink w:anchor="passage-iv-2-2">
        <w:r>
          <w:rPr>
            <w:color w:val="000000"/>
          </w:rPr>
          <w:t xml:space="preserve">IV.2.2</w:t>
        </w:r>
      </w:hyperlink>
      <w:r>
        <w:rPr>
          <w:b w:val="0"/>
          <w:i w:val="0"/>
        </w:rPr>
        <w:t xml:space="preserve">, source PDF pp. 334–335. See </w:t>
      </w:r>
      <w:hyperlink w:anchor="fate">
        <w:r>
          <w:rPr>
            <w:color w:val="000000"/>
          </w:rPr>
          <w:t xml:space="preserve">Fate</w:t>
        </w:r>
      </w:hyperlink>
      <w:r>
        <w:rPr>
          <w:b w:val="0"/>
          <w:i w:val="0"/>
        </w:rPr>
        <w:t>.</w:t>
      </w:r>
    </w:p>
    <w:p>
      <w:bookmarkStart w:id="1565" w:name="greek-record-22"/>
      <w:pPr>
        <w:pStyle w:val="Heading2"/>
      </w:pPr>
      <w:r>
        <w:rPr>
          <w:b w:val="0"/>
          <w:i w:val="0"/>
        </w:rPr>
        <w:t>The world’s many fullnesses</w:t>
      </w:r>
      <w:bookmarkEnd w:id="1565"/>
    </w:p>
    <w:p>
      <w:pPr>
        <w:widowControl/>
        <w:keepNext/>
      </w:pPr>
      <w:r>
        <w:rPr>
          <w:b w:val="0"/>
          <w:i/>
        </w:rPr>
        <w:t>καὶ ἴσχει κόσμου πολλὰ πληρώματα κόλπων</w:t>
      </w:r>
    </w:p>
    <w:p>
      <w:pPr>
        <w:widowControl/>
      </w:pPr>
      <w:r>
        <w:rPr>
          <w:b w:val="0"/>
          <w:i w:val="0"/>
        </w:rPr>
        <w:t>Ficino glosses the Zoroastrian expression through the many fullnesses of the world’s recesses or folds. It helps explain soul’s mediation between higher gifts and lower productive powers. The unit then distinguishes Ideas held together in celestial mind from seminal powers held habitually but actualized successively; the image must not flatten that contrast.</w:t>
      </w:r>
    </w:p>
    <w:p>
      <w:pPr>
        <w:widowControl/>
      </w:pPr>
      <w:r>
        <w:rPr>
          <w:b/>
          <w:i w:val="0"/>
        </w:rPr>
        <w:t>Place.</w:t>
      </w:r>
      <w:r>
        <w:rPr>
          <w:b w:val="0"/>
          <w:i w:val="0"/>
        </w:rPr>
        <w:t xml:space="preserve"> </w:t>
      </w:r>
      <w:hyperlink w:anchor="passage-iv-2-10">
        <w:r>
          <w:rPr>
            <w:color w:val="000000"/>
          </w:rPr>
          <w:t xml:space="preserve">IV.2.10</w:t>
        </w:r>
      </w:hyperlink>
      <w:r>
        <w:rPr>
          <w:b w:val="0"/>
          <w:i w:val="0"/>
        </w:rPr>
        <w:t xml:space="preserve">, source PDF pp. 338–339. See </w:t>
      </w:r>
      <w:hyperlink w:anchor="habitual-possession">
        <w:r>
          <w:rPr>
            <w:color w:val="000000"/>
          </w:rPr>
          <w:t xml:space="preserve">Habitual possession</w:t>
        </w:r>
      </w:hyperlink>
      <w:r>
        <w:rPr>
          <w:b w:val="0"/>
          <w:i w:val="0"/>
        </w:rPr>
        <w:t>.</w:t>
      </w:r>
    </w:p>
    <w:p>
      <w:bookmarkStart w:id="1566" w:name="printed-form-lookup"/>
      <w:pPr>
        <w:pStyle w:val="Heading1"/>
      </w:pPr>
      <w:r>
        <w:rPr>
          <w:b w:val="0"/>
          <w:i w:val="0"/>
        </w:rPr>
        <w:t>Additional printed-form lookup</w:t>
      </w:r>
      <w:bookmarkEnd w:id="1566"/>
    </w:p>
    <w:p>
      <w:pPr>
        <w:widowControl/>
      </w:pPr>
      <w:r>
        <w:rPr>
          <w:b w:val="0"/>
          <w:i w:val="0"/>
        </w:rPr>
        <w:t>These printed forms lead directly to their explained Latin records; the earlier Latin word and phrase index remains available below.</w:t>
      </w:r>
    </w:p>
    <w:p>
      <w:pPr>
        <w:widowControl/>
      </w:pPr>
      <w:r>
        <w:rPr>
          <w:b/>
          <w:i w:val="0"/>
        </w:rPr>
        <w:t>Abamon.</w:t>
      </w:r>
      <w:r>
        <w:rPr>
          <w:b w:val="0"/>
          <w:i w:val="0"/>
        </w:rPr>
        <w:t xml:space="preserve"> </w:t>
      </w:r>
      <w:hyperlink w:anchor="latin-record-0066">
        <w:r>
          <w:rPr>
            <w:color w:val="000000"/>
          </w:rPr>
          <w:t xml:space="preserve">Anebon / Abamon / Plotinus / Iamblichus / Julianus</w:t>
        </w:r>
      </w:hyperlink>
      <w:r>
        <w:rPr>
          <w:b w:val="0"/>
          <w:i w:val="0"/>
        </w:rPr>
        <w:t>.</w:t>
      </w:r>
    </w:p>
    <w:p>
      <w:pPr>
        <w:widowControl/>
      </w:pPr>
      <w:r>
        <w:rPr>
          <w:b/>
          <w:i w:val="0"/>
        </w:rPr>
        <w:t>aberrare.</w:t>
      </w:r>
      <w:r>
        <w:rPr>
          <w:b w:val="0"/>
          <w:i w:val="0"/>
        </w:rPr>
        <w:t xml:space="preserve"> </w:t>
      </w:r>
      <w:hyperlink w:anchor="latin-record-0001">
        <w:r>
          <w:rPr>
            <w:color w:val="000000"/>
          </w:rPr>
          <w:t xml:space="preserve">aberro</w:t>
        </w:r>
      </w:hyperlink>
      <w:r>
        <w:rPr>
          <w:b w:val="0"/>
          <w:i w:val="0"/>
        </w:rPr>
        <w:t>.</w:t>
      </w:r>
    </w:p>
    <w:p>
      <w:pPr>
        <w:widowControl/>
      </w:pPr>
      <w:r>
        <w:rPr>
          <w:b/>
          <w:i w:val="0"/>
        </w:rPr>
        <w:t>absens.</w:t>
      </w:r>
      <w:r>
        <w:rPr>
          <w:b w:val="0"/>
          <w:i w:val="0"/>
        </w:rPr>
        <w:t xml:space="preserve"> </w:t>
      </w:r>
      <w:hyperlink w:anchor="latin-record-0002">
        <w:r>
          <w:rPr>
            <w:color w:val="000000"/>
          </w:rPr>
          <w:t xml:space="preserve">absens / praesens</w:t>
        </w:r>
      </w:hyperlink>
      <w:r>
        <w:rPr>
          <w:b w:val="0"/>
          <w:i w:val="0"/>
        </w:rPr>
        <w:t>.</w:t>
      </w:r>
    </w:p>
    <w:p>
      <w:pPr>
        <w:widowControl/>
      </w:pPr>
      <w:r>
        <w:rPr>
          <w:b/>
          <w:i w:val="0"/>
        </w:rPr>
        <w:t>absente.</w:t>
      </w:r>
      <w:r>
        <w:rPr>
          <w:b w:val="0"/>
          <w:i w:val="0"/>
        </w:rPr>
        <w:t xml:space="preserve"> </w:t>
      </w:r>
      <w:hyperlink w:anchor="latin-record-0024">
        <w:r>
          <w:rPr>
            <w:color w:val="000000"/>
          </w:rPr>
          <w:t xml:space="preserve">adesse / abesse</w:t>
        </w:r>
      </w:hyperlink>
      <w:r>
        <w:rPr>
          <w:b w:val="0"/>
          <w:i w:val="0"/>
        </w:rPr>
        <w:t>.</w:t>
      </w:r>
    </w:p>
    <w:p>
      <w:pPr>
        <w:widowControl/>
      </w:pPr>
      <w:r>
        <w:rPr>
          <w:b/>
          <w:i w:val="0"/>
        </w:rPr>
        <w:t>absit.</w:t>
      </w:r>
      <w:r>
        <w:rPr>
          <w:b w:val="0"/>
          <w:i w:val="0"/>
        </w:rPr>
        <w:t xml:space="preserve"> </w:t>
      </w:r>
      <w:hyperlink w:anchor="latin-record-0024">
        <w:r>
          <w:rPr>
            <w:color w:val="000000"/>
          </w:rPr>
          <w:t xml:space="preserve">adesse / abesse</w:t>
        </w:r>
      </w:hyperlink>
      <w:r>
        <w:rPr>
          <w:b w:val="0"/>
          <w:i w:val="0"/>
        </w:rPr>
        <w:t>.</w:t>
      </w:r>
    </w:p>
    <w:p>
      <w:pPr>
        <w:widowControl/>
      </w:pPr>
      <w:r>
        <w:rPr>
          <w:b/>
          <w:i w:val="0"/>
        </w:rPr>
        <w:t>absolutae.</w:t>
      </w:r>
      <w:r>
        <w:rPr>
          <w:b w:val="0"/>
          <w:i w:val="0"/>
        </w:rPr>
        <w:t xml:space="preserve"> </w:t>
      </w:r>
      <w:hyperlink w:anchor="latin-record-0003">
        <w:r>
          <w:rPr>
            <w:color w:val="000000"/>
          </w:rPr>
          <w:t xml:space="preserve">absolutus / absolute</w:t>
        </w:r>
      </w:hyperlink>
      <w:r>
        <w:rPr>
          <w:b w:val="0"/>
          <w:i w:val="0"/>
        </w:rPr>
        <w:t>.</w:t>
      </w:r>
    </w:p>
    <w:p>
      <w:pPr>
        <w:widowControl/>
      </w:pPr>
      <w:r>
        <w:rPr>
          <w:b/>
          <w:i w:val="0"/>
        </w:rPr>
        <w:t>absolutasque.</w:t>
      </w:r>
      <w:r>
        <w:rPr>
          <w:b w:val="0"/>
          <w:i w:val="0"/>
        </w:rPr>
        <w:t xml:space="preserve"> </w:t>
      </w:r>
      <w:hyperlink w:anchor="latin-record-0004">
        <w:r>
          <w:rPr>
            <w:color w:val="000000"/>
          </w:rPr>
          <w:t xml:space="preserve">absolutus / adstrictus</w:t>
        </w:r>
      </w:hyperlink>
      <w:r>
        <w:rPr>
          <w:b w:val="0"/>
          <w:i w:val="0"/>
        </w:rPr>
        <w:t>.</w:t>
      </w:r>
    </w:p>
    <w:p>
      <w:pPr>
        <w:widowControl/>
      </w:pPr>
      <w:r>
        <w:rPr>
          <w:b/>
          <w:i w:val="0"/>
        </w:rPr>
        <w:t>absolute.</w:t>
      </w:r>
      <w:r>
        <w:rPr>
          <w:b w:val="0"/>
          <w:i w:val="0"/>
        </w:rPr>
        <w:t xml:space="preserve"> </w:t>
      </w:r>
      <w:hyperlink w:anchor="latin-record-0003">
        <w:r>
          <w:rPr>
            <w:color w:val="000000"/>
          </w:rPr>
          <w:t xml:space="preserve">absolutus / absolute</w:t>
        </w:r>
      </w:hyperlink>
      <w:r>
        <w:rPr>
          <w:b w:val="0"/>
          <w:i w:val="0"/>
        </w:rPr>
        <w:t>.</w:t>
      </w:r>
    </w:p>
    <w:p>
      <w:pPr>
        <w:widowControl/>
      </w:pPr>
      <w:r>
        <w:rPr>
          <w:b/>
          <w:i w:val="0"/>
        </w:rPr>
        <w:t>absolutum.</w:t>
      </w:r>
      <w:r>
        <w:rPr>
          <w:b w:val="0"/>
          <w:i w:val="0"/>
        </w:rPr>
        <w:t xml:space="preserve"> </w:t>
      </w:r>
      <w:hyperlink w:anchor="latin-record-0003">
        <w:r>
          <w:rPr>
            <w:color w:val="000000"/>
          </w:rPr>
          <w:t xml:space="preserve">absolutus / absolute</w:t>
        </w:r>
      </w:hyperlink>
      <w:r>
        <w:rPr>
          <w:b w:val="0"/>
          <w:i w:val="0"/>
        </w:rPr>
        <w:t>.</w:t>
      </w:r>
    </w:p>
    <w:p>
      <w:pPr>
        <w:widowControl/>
      </w:pPr>
      <w:r>
        <w:rPr>
          <w:b/>
          <w:i w:val="0"/>
        </w:rPr>
        <w:t>absunt.</w:t>
      </w:r>
      <w:r>
        <w:rPr>
          <w:b w:val="0"/>
          <w:i w:val="0"/>
        </w:rPr>
        <w:t xml:space="preserve"> </w:t>
      </w:r>
      <w:hyperlink w:anchor="latin-record-0024">
        <w:r>
          <w:rPr>
            <w:color w:val="000000"/>
          </w:rPr>
          <w:t xml:space="preserve">adesse / abesse</w:t>
        </w:r>
      </w:hyperlink>
      <w:r>
        <w:rPr>
          <w:b w:val="0"/>
          <w:i w:val="0"/>
        </w:rPr>
        <w:t>.</w:t>
      </w:r>
    </w:p>
    <w:p>
      <w:pPr>
        <w:widowControl/>
      </w:pPr>
      <w:r>
        <w:rPr>
          <w:b/>
          <w:i w:val="0"/>
        </w:rPr>
        <w:t>absurda.</w:t>
      </w:r>
      <w:r>
        <w:rPr>
          <w:b w:val="0"/>
          <w:i w:val="0"/>
        </w:rPr>
        <w:t xml:space="preserve"> </w:t>
      </w:r>
      <w:hyperlink w:anchor="latin-record-0005">
        <w:r>
          <w:rPr>
            <w:color w:val="000000"/>
          </w:rPr>
          <w:t xml:space="preserve">absurdus</w:t>
        </w:r>
      </w:hyperlink>
      <w:r>
        <w:rPr>
          <w:b w:val="0"/>
          <w:i w:val="0"/>
        </w:rPr>
        <w:t>.</w:t>
      </w:r>
    </w:p>
    <w:p>
      <w:pPr>
        <w:widowControl/>
      </w:pPr>
      <w:r>
        <w:rPr>
          <w:b/>
          <w:i w:val="0"/>
        </w:rPr>
        <w:t>absurdum.</w:t>
      </w:r>
      <w:r>
        <w:rPr>
          <w:b w:val="0"/>
          <w:i w:val="0"/>
        </w:rPr>
        <w:t xml:space="preserve"> </w:t>
      </w:r>
      <w:hyperlink w:anchor="latin-record-0005">
        <w:r>
          <w:rPr>
            <w:color w:val="000000"/>
          </w:rPr>
          <w:t xml:space="preserve">absurdus</w:t>
        </w:r>
      </w:hyperlink>
      <w:r>
        <w:rPr>
          <w:b w:val="0"/>
          <w:i w:val="0"/>
        </w:rPr>
        <w:t xml:space="preserve">; </w:t>
      </w:r>
      <w:hyperlink w:anchor="latin-record-0256">
        <w:r>
          <w:rPr>
            <w:color w:val="000000"/>
          </w:rPr>
          <w:t xml:space="preserve">conspiratio / absurdum</w:t>
        </w:r>
      </w:hyperlink>
      <w:r>
        <w:rPr>
          <w:b w:val="0"/>
          <w:i w:val="0"/>
        </w:rPr>
        <w:t>.</w:t>
      </w:r>
    </w:p>
    <w:p>
      <w:pPr>
        <w:widowControl/>
      </w:pPr>
      <w:r>
        <w:rPr>
          <w:b/>
          <w:i w:val="0"/>
        </w:rPr>
        <w:t>accedente.</w:t>
      </w:r>
      <w:r>
        <w:rPr>
          <w:b w:val="0"/>
          <w:i w:val="0"/>
        </w:rPr>
        <w:t xml:space="preserve"> </w:t>
      </w:r>
      <w:hyperlink w:anchor="latin-record-0020">
        <w:r>
          <w:rPr>
            <w:color w:val="000000"/>
          </w:rPr>
          <w:t xml:space="preserve">addere / accedere / advenire</w:t>
        </w:r>
      </w:hyperlink>
      <w:r>
        <w:rPr>
          <w:b w:val="0"/>
          <w:i w:val="0"/>
        </w:rPr>
        <w:t>.</w:t>
      </w:r>
    </w:p>
    <w:p>
      <w:pPr>
        <w:widowControl/>
      </w:pPr>
      <w:r>
        <w:rPr>
          <w:b/>
          <w:i w:val="0"/>
        </w:rPr>
        <w:t>accedet.</w:t>
      </w:r>
      <w:r>
        <w:rPr>
          <w:b w:val="0"/>
          <w:i w:val="0"/>
        </w:rPr>
        <w:t xml:space="preserve"> </w:t>
      </w:r>
      <w:hyperlink w:anchor="latin-record-0006">
        <w:r>
          <w:rPr>
            <w:color w:val="000000"/>
          </w:rPr>
          <w:t xml:space="preserve">accedere / recedere</w:t>
        </w:r>
      </w:hyperlink>
      <w:r>
        <w:rPr>
          <w:b w:val="0"/>
          <w:i w:val="0"/>
        </w:rPr>
        <w:t>.</w:t>
      </w:r>
    </w:p>
    <w:p>
      <w:pPr>
        <w:widowControl/>
      </w:pPr>
      <w:r>
        <w:rPr>
          <w:b/>
          <w:i w:val="0"/>
        </w:rPr>
        <w:t>Accedit.</w:t>
      </w:r>
      <w:r>
        <w:rPr>
          <w:b w:val="0"/>
          <w:i w:val="0"/>
        </w:rPr>
        <w:t xml:space="preserve"> </w:t>
      </w:r>
      <w:hyperlink w:anchor="latin-record-0023">
        <w:r>
          <w:rPr>
            <w:color w:val="000000"/>
          </w:rPr>
          <w:t xml:space="preserve">addo / accedo</w:t>
        </w:r>
      </w:hyperlink>
      <w:r>
        <w:rPr>
          <w:b w:val="0"/>
          <w:i w:val="0"/>
        </w:rPr>
        <w:t>.</w:t>
      </w:r>
    </w:p>
    <w:p>
      <w:pPr>
        <w:widowControl/>
      </w:pPr>
      <w:r>
        <w:rPr>
          <w:b/>
          <w:i w:val="0"/>
        </w:rPr>
        <w:t>accedunt.</w:t>
      </w:r>
      <w:r>
        <w:rPr>
          <w:b w:val="0"/>
          <w:i w:val="0"/>
        </w:rPr>
        <w:t xml:space="preserve"> </w:t>
      </w:r>
      <w:hyperlink w:anchor="latin-record-0020">
        <w:r>
          <w:rPr>
            <w:color w:val="000000"/>
          </w:rPr>
          <w:t xml:space="preserve">addere / accedere / advenire</w:t>
        </w:r>
      </w:hyperlink>
      <w:r>
        <w:rPr>
          <w:b w:val="0"/>
          <w:i w:val="0"/>
        </w:rPr>
        <w:t>.</w:t>
      </w:r>
    </w:p>
    <w:p>
      <w:pPr>
        <w:widowControl/>
      </w:pPr>
      <w:r>
        <w:rPr>
          <w:b/>
          <w:i w:val="0"/>
        </w:rPr>
        <w:t>accendantur.</w:t>
      </w:r>
      <w:r>
        <w:rPr>
          <w:b w:val="0"/>
          <w:i w:val="0"/>
        </w:rPr>
        <w:t xml:space="preserve"> </w:t>
      </w:r>
      <w:hyperlink w:anchor="latin-record-0524">
        <w:r>
          <w:rPr>
            <w:color w:val="000000"/>
          </w:rPr>
          <w:t xml:space="preserve">illuminare / fulgere / radius / accendere</w:t>
        </w:r>
      </w:hyperlink>
      <w:r>
        <w:rPr>
          <w:b w:val="0"/>
          <w:i w:val="0"/>
        </w:rPr>
        <w:t>.</w:t>
      </w:r>
    </w:p>
    <w:p>
      <w:pPr>
        <w:widowControl/>
      </w:pPr>
      <w:r>
        <w:rPr>
          <w:b/>
          <w:i w:val="0"/>
        </w:rPr>
        <w:t>accendit.</w:t>
      </w:r>
      <w:r>
        <w:rPr>
          <w:b w:val="0"/>
          <w:i w:val="0"/>
        </w:rPr>
        <w:t xml:space="preserve"> </w:t>
      </w:r>
      <w:hyperlink w:anchor="latin-record-0007">
        <w:r>
          <w:rPr>
            <w:color w:val="000000"/>
          </w:rPr>
          <w:t xml:space="preserve">accendere / accensio</w:t>
        </w:r>
      </w:hyperlink>
      <w:r>
        <w:rPr>
          <w:b w:val="0"/>
          <w:i w:val="0"/>
        </w:rPr>
        <w:t>.</w:t>
      </w:r>
    </w:p>
    <w:p>
      <w:pPr>
        <w:widowControl/>
      </w:pPr>
      <w:r>
        <w:rPr>
          <w:b/>
          <w:i w:val="0"/>
        </w:rPr>
        <w:t>accensio.</w:t>
      </w:r>
      <w:r>
        <w:rPr>
          <w:b w:val="0"/>
          <w:i w:val="0"/>
        </w:rPr>
        <w:t xml:space="preserve"> </w:t>
      </w:r>
      <w:hyperlink w:anchor="latin-record-0007">
        <w:r>
          <w:rPr>
            <w:color w:val="000000"/>
          </w:rPr>
          <w:t xml:space="preserve">accendere / accensio</w:t>
        </w:r>
      </w:hyperlink>
      <w:r>
        <w:rPr>
          <w:b w:val="0"/>
          <w:i w:val="0"/>
        </w:rPr>
        <w:t>.</w:t>
      </w:r>
    </w:p>
    <w:p>
      <w:pPr>
        <w:widowControl/>
      </w:pPr>
      <w:r>
        <w:rPr>
          <w:b/>
          <w:i w:val="0"/>
        </w:rPr>
        <w:t>acceperit.</w:t>
      </w:r>
      <w:r>
        <w:rPr>
          <w:b w:val="0"/>
          <w:i w:val="0"/>
        </w:rPr>
        <w:t xml:space="preserve"> </w:t>
      </w:r>
      <w:hyperlink w:anchor="latin-record-0008">
        <w:r>
          <w:rPr>
            <w:color w:val="000000"/>
          </w:rPr>
          <w:t xml:space="preserve">accipere</w:t>
        </w:r>
      </w:hyperlink>
      <w:r>
        <w:rPr>
          <w:b w:val="0"/>
          <w:i w:val="0"/>
        </w:rPr>
        <w:t xml:space="preserve">; </w:t>
      </w:r>
      <w:hyperlink w:anchor="latin-record-0009">
        <w:r>
          <w:rPr>
            <w:color w:val="000000"/>
          </w:rPr>
          <w:t xml:space="preserve">accipere / capere / suscipere</w:t>
        </w:r>
      </w:hyperlink>
      <w:r>
        <w:rPr>
          <w:b w:val="0"/>
          <w:i w:val="0"/>
        </w:rPr>
        <w:t>.</w:t>
      </w:r>
    </w:p>
    <w:p>
      <w:pPr>
        <w:widowControl/>
      </w:pPr>
      <w:r>
        <w:rPr>
          <w:b/>
          <w:i w:val="0"/>
        </w:rPr>
        <w:t>accepimus.</w:t>
      </w:r>
      <w:r>
        <w:rPr>
          <w:b w:val="0"/>
          <w:i w:val="0"/>
        </w:rPr>
        <w:t xml:space="preserve"> </w:t>
      </w:r>
      <w:hyperlink w:anchor="latin-record-0010">
        <w:r>
          <w:rPr>
            <w:color w:val="000000"/>
          </w:rPr>
          <w:t xml:space="preserve">accipere / concedere</w:t>
        </w:r>
      </w:hyperlink>
      <w:r>
        <w:rPr>
          <w:b w:val="0"/>
          <w:i w:val="0"/>
        </w:rPr>
        <w:t>.</w:t>
      </w:r>
    </w:p>
    <w:p>
      <w:pPr>
        <w:widowControl/>
      </w:pPr>
      <w:r>
        <w:rPr>
          <w:b/>
          <w:i w:val="0"/>
        </w:rPr>
        <w:t>accepit.</w:t>
      </w:r>
      <w:r>
        <w:rPr>
          <w:b w:val="0"/>
          <w:i w:val="0"/>
        </w:rPr>
        <w:t xml:space="preserve"> </w:t>
      </w:r>
      <w:hyperlink w:anchor="latin-record-0009">
        <w:r>
          <w:rPr>
            <w:color w:val="000000"/>
          </w:rPr>
          <w:t xml:space="preserve">accipere / capere / suscipere</w:t>
        </w:r>
      </w:hyperlink>
      <w:r>
        <w:rPr>
          <w:b w:val="0"/>
          <w:i w:val="0"/>
        </w:rPr>
        <w:t>.</w:t>
      </w:r>
    </w:p>
    <w:p>
      <w:pPr>
        <w:widowControl/>
      </w:pPr>
      <w:r>
        <w:rPr>
          <w:b/>
          <w:i w:val="0"/>
        </w:rPr>
        <w:t>accepta.</w:t>
      </w:r>
      <w:r>
        <w:rPr>
          <w:b w:val="0"/>
          <w:i w:val="0"/>
        </w:rPr>
        <w:t xml:space="preserve"> </w:t>
      </w:r>
      <w:hyperlink w:anchor="latin-record-0009">
        <w:r>
          <w:rPr>
            <w:color w:val="000000"/>
          </w:rPr>
          <w:t xml:space="preserve">accipere / capere / suscipere</w:t>
        </w:r>
      </w:hyperlink>
      <w:r>
        <w:rPr>
          <w:b w:val="0"/>
          <w:i w:val="0"/>
        </w:rPr>
        <w:t>.</w:t>
      </w:r>
    </w:p>
    <w:p>
      <w:pPr>
        <w:widowControl/>
      </w:pPr>
      <w:r>
        <w:rPr>
          <w:b/>
          <w:i w:val="0"/>
        </w:rPr>
        <w:t>accidentalem.</w:t>
      </w:r>
      <w:r>
        <w:rPr>
          <w:b w:val="0"/>
          <w:i w:val="0"/>
        </w:rPr>
        <w:t xml:space="preserve"> </w:t>
      </w:r>
      <w:hyperlink w:anchor="latin-record-0227">
        <w:r>
          <w:rPr>
            <w:color w:val="000000"/>
          </w:rPr>
          <w:t xml:space="preserve">condicio / accidens</w:t>
        </w:r>
      </w:hyperlink>
      <w:r>
        <w:rPr>
          <w:b w:val="0"/>
          <w:i w:val="0"/>
        </w:rPr>
        <w:t xml:space="preserve">; </w:t>
      </w:r>
      <w:hyperlink w:anchor="latin-record-1222">
        <w:r>
          <w:rPr>
            <w:color w:val="000000"/>
          </w:rPr>
          <w:t xml:space="preserve">unitas accidentalis / substantialis</w:t>
        </w:r>
      </w:hyperlink>
      <w:r>
        <w:rPr>
          <w:b w:val="0"/>
          <w:i w:val="0"/>
        </w:rPr>
        <w:t>.</w:t>
      </w:r>
    </w:p>
    <w:p>
      <w:pPr>
        <w:widowControl/>
      </w:pPr>
      <w:r>
        <w:rPr>
          <w:b/>
          <w:i w:val="0"/>
        </w:rPr>
        <w:t>accidentales.</w:t>
      </w:r>
      <w:r>
        <w:rPr>
          <w:b w:val="0"/>
          <w:i w:val="0"/>
        </w:rPr>
        <w:t xml:space="preserve"> </w:t>
      </w:r>
      <w:hyperlink w:anchor="latin-record-0388">
        <w:r>
          <w:rPr>
            <w:color w:val="000000"/>
          </w:rPr>
          <w:t xml:space="preserve">essentialis / accidentalis</w:t>
        </w:r>
      </w:hyperlink>
      <w:r>
        <w:rPr>
          <w:b w:val="0"/>
          <w:i w:val="0"/>
        </w:rPr>
        <w:t>.</w:t>
      </w:r>
    </w:p>
    <w:p>
      <w:pPr>
        <w:widowControl/>
      </w:pPr>
      <w:r>
        <w:rPr>
          <w:b/>
          <w:i w:val="0"/>
        </w:rPr>
        <w:t>accipe.</w:t>
      </w:r>
      <w:r>
        <w:rPr>
          <w:b w:val="0"/>
          <w:i w:val="0"/>
        </w:rPr>
        <w:t xml:space="preserve"> </w:t>
      </w:r>
      <w:hyperlink w:anchor="latin-record-0011">
        <w:r>
          <w:rPr>
            <w:color w:val="000000"/>
          </w:rPr>
          <w:t xml:space="preserve">accipere — example and lantern</w:t>
        </w:r>
      </w:hyperlink>
      <w:r>
        <w:rPr>
          <w:b w:val="0"/>
          <w:i w:val="0"/>
        </w:rPr>
        <w:t>.</w:t>
      </w:r>
    </w:p>
    <w:p>
      <w:pPr>
        <w:widowControl/>
      </w:pPr>
      <w:r>
        <w:rPr>
          <w:b/>
          <w:i w:val="0"/>
        </w:rPr>
        <w:t>accipiamus.</w:t>
      </w:r>
      <w:r>
        <w:rPr>
          <w:b w:val="0"/>
          <w:i w:val="0"/>
        </w:rPr>
        <w:t xml:space="preserve"> </w:t>
      </w:r>
      <w:hyperlink w:anchor="latin-record-0010">
        <w:r>
          <w:rPr>
            <w:color w:val="000000"/>
          </w:rPr>
          <w:t xml:space="preserve">accipere / concedere</w:t>
        </w:r>
      </w:hyperlink>
      <w:r>
        <w:rPr>
          <w:b w:val="0"/>
          <w:i w:val="0"/>
        </w:rPr>
        <w:t>.</w:t>
      </w:r>
    </w:p>
    <w:p>
      <w:pPr>
        <w:widowControl/>
      </w:pPr>
      <w:r>
        <w:rPr>
          <w:b/>
          <w:i w:val="0"/>
        </w:rPr>
        <w:t>accipit.</w:t>
      </w:r>
      <w:r>
        <w:rPr>
          <w:b w:val="0"/>
          <w:i w:val="0"/>
        </w:rPr>
        <w:t xml:space="preserve"> </w:t>
      </w:r>
      <w:hyperlink w:anchor="latin-record-0008">
        <w:r>
          <w:rPr>
            <w:color w:val="000000"/>
          </w:rPr>
          <w:t xml:space="preserve">accipere</w:t>
        </w:r>
      </w:hyperlink>
      <w:r>
        <w:rPr>
          <w:b w:val="0"/>
          <w:i w:val="0"/>
        </w:rPr>
        <w:t xml:space="preserve">; </w:t>
      </w:r>
      <w:hyperlink w:anchor="latin-record-0009">
        <w:r>
          <w:rPr>
            <w:color w:val="000000"/>
          </w:rPr>
          <w:t xml:space="preserve">accipere / capere / suscipere</w:t>
        </w:r>
      </w:hyperlink>
      <w:r>
        <w:rPr>
          <w:b w:val="0"/>
          <w:i w:val="0"/>
        </w:rPr>
        <w:t>.</w:t>
      </w:r>
    </w:p>
    <w:p>
      <w:pPr>
        <w:widowControl/>
      </w:pPr>
      <w:r>
        <w:rPr>
          <w:b/>
          <w:i w:val="0"/>
        </w:rPr>
        <w:t>accipitque.</w:t>
      </w:r>
      <w:r>
        <w:rPr>
          <w:b w:val="0"/>
          <w:i w:val="0"/>
        </w:rPr>
        <w:t xml:space="preserve"> </w:t>
      </w:r>
      <w:hyperlink w:anchor="latin-record-0011">
        <w:r>
          <w:rPr>
            <w:color w:val="000000"/>
          </w:rPr>
          <w:t xml:space="preserve">accipere — example and lantern</w:t>
        </w:r>
      </w:hyperlink>
      <w:r>
        <w:rPr>
          <w:b w:val="0"/>
          <w:i w:val="0"/>
        </w:rPr>
        <w:t>.</w:t>
      </w:r>
    </w:p>
    <w:p>
      <w:pPr>
        <w:widowControl/>
      </w:pPr>
      <w:r>
        <w:rPr>
          <w:b/>
          <w:i w:val="0"/>
        </w:rPr>
        <w:t>Achates.</w:t>
      </w:r>
      <w:r>
        <w:rPr>
          <w:b w:val="0"/>
          <w:i w:val="0"/>
        </w:rPr>
        <w:t xml:space="preserve"> </w:t>
      </w:r>
      <w:hyperlink w:anchor="latin-record-0012">
        <w:r>
          <w:rPr>
            <w:color w:val="000000"/>
          </w:rPr>
          <w:t xml:space="preserve">Achates / adamas</w:t>
        </w:r>
      </w:hyperlink>
      <w:r>
        <w:rPr>
          <w:b w:val="0"/>
          <w:i w:val="0"/>
        </w:rPr>
        <w:t>.</w:t>
      </w:r>
    </w:p>
    <w:p>
      <w:pPr>
        <w:widowControl/>
      </w:pPr>
      <w:r>
        <w:rPr>
          <w:b/>
          <w:i w:val="0"/>
        </w:rPr>
        <w:t>aciem oculorum.</w:t>
      </w:r>
      <w:r>
        <w:rPr>
          <w:b w:val="0"/>
          <w:i w:val="0"/>
        </w:rPr>
        <w:t xml:space="preserve"> </w:t>
      </w:r>
      <w:hyperlink w:anchor="latin-record-0014">
        <w:r>
          <w:rPr>
            <w:color w:val="000000"/>
          </w:rPr>
          <w:t xml:space="preserve">acies oculorum</w:t>
        </w:r>
      </w:hyperlink>
      <w:r>
        <w:rPr>
          <w:b w:val="0"/>
          <w:i w:val="0"/>
        </w:rPr>
        <w:t>.</w:t>
      </w:r>
    </w:p>
    <w:p>
      <w:pPr>
        <w:widowControl/>
      </w:pPr>
      <w:r>
        <w:rPr>
          <w:b/>
          <w:i w:val="0"/>
        </w:rPr>
        <w:t>acquiescant.</w:t>
      </w:r>
      <w:r>
        <w:rPr>
          <w:b w:val="0"/>
          <w:i w:val="0"/>
        </w:rPr>
        <w:t xml:space="preserve"> </w:t>
      </w:r>
      <w:hyperlink w:anchor="latin-record-0015">
        <w:r>
          <w:rPr>
            <w:color w:val="000000"/>
          </w:rPr>
          <w:t xml:space="preserve">acquiesco</w:t>
        </w:r>
      </w:hyperlink>
      <w:r>
        <w:rPr>
          <w:b w:val="0"/>
          <w:i w:val="0"/>
        </w:rPr>
        <w:t>.</w:t>
      </w:r>
    </w:p>
    <w:p>
      <w:pPr>
        <w:widowControl/>
      </w:pPr>
      <w:r>
        <w:rPr>
          <w:b/>
          <w:i w:val="0"/>
        </w:rPr>
        <w:t>acquisita.</w:t>
      </w:r>
      <w:r>
        <w:rPr>
          <w:b w:val="0"/>
          <w:i w:val="0"/>
        </w:rPr>
        <w:t xml:space="preserve"> </w:t>
      </w:r>
      <w:hyperlink w:anchor="latin-record-0743">
        <w:r>
          <w:rPr>
            <w:color w:val="000000"/>
          </w:rPr>
          <w:t xml:space="preserve">naturalis / acquisitus</w:t>
        </w:r>
      </w:hyperlink>
      <w:r>
        <w:rPr>
          <w:b w:val="0"/>
          <w:i w:val="0"/>
        </w:rPr>
        <w:t>.</w:t>
      </w:r>
    </w:p>
    <w:p>
      <w:pPr>
        <w:widowControl/>
      </w:pPr>
      <w:r>
        <w:rPr>
          <w:b/>
          <w:i w:val="0"/>
        </w:rPr>
        <w:t>Actio.</w:t>
      </w:r>
      <w:r>
        <w:rPr>
          <w:b w:val="0"/>
          <w:i w:val="0"/>
        </w:rPr>
        <w:t xml:space="preserve"> </w:t>
      </w:r>
      <w:hyperlink w:anchor="latin-record-0016">
        <w:r>
          <w:rPr>
            <w:color w:val="000000"/>
          </w:rPr>
          <w:t xml:space="preserve">actus / actio / agere</w:t>
        </w:r>
      </w:hyperlink>
      <w:r>
        <w:rPr>
          <w:b w:val="0"/>
          <w:i w:val="0"/>
        </w:rPr>
        <w:t>.</w:t>
      </w:r>
    </w:p>
    <w:p>
      <w:pPr>
        <w:widowControl/>
      </w:pPr>
      <w:r>
        <w:rPr>
          <w:b/>
          <w:i w:val="0"/>
        </w:rPr>
        <w:t>actio.</w:t>
      </w:r>
      <w:r>
        <w:rPr>
          <w:b w:val="0"/>
          <w:i w:val="0"/>
        </w:rPr>
        <w:t xml:space="preserve"> </w:t>
      </w:r>
      <w:hyperlink w:anchor="latin-record-0016">
        <w:r>
          <w:rPr>
            <w:color w:val="000000"/>
          </w:rPr>
          <w:t xml:space="preserve">actus / actio / agere</w:t>
        </w:r>
      </w:hyperlink>
      <w:r>
        <w:rPr>
          <w:b w:val="0"/>
          <w:i w:val="0"/>
        </w:rPr>
        <w:t xml:space="preserve">; </w:t>
      </w:r>
      <w:hyperlink w:anchor="latin-record-0385">
        <w:r>
          <w:rPr>
            <w:color w:val="000000"/>
          </w:rPr>
          <w:t xml:space="preserve">essentia / virtus / actio</w:t>
        </w:r>
      </w:hyperlink>
      <w:r>
        <w:rPr>
          <w:b w:val="0"/>
          <w:i w:val="0"/>
        </w:rPr>
        <w:t>.</w:t>
      </w:r>
    </w:p>
    <w:p>
      <w:pPr>
        <w:widowControl/>
      </w:pPr>
      <w:r>
        <w:rPr>
          <w:b/>
          <w:i w:val="0"/>
        </w:rPr>
        <w:t>actionem.</w:t>
      </w:r>
      <w:r>
        <w:rPr>
          <w:b w:val="0"/>
          <w:i w:val="0"/>
        </w:rPr>
        <w:t xml:space="preserve"> </w:t>
      </w:r>
      <w:hyperlink w:anchor="latin-record-0016">
        <w:r>
          <w:rPr>
            <w:color w:val="000000"/>
          </w:rPr>
          <w:t xml:space="preserve">actus / actio / agere</w:t>
        </w:r>
      </w:hyperlink>
      <w:r>
        <w:rPr>
          <w:b w:val="0"/>
          <w:i w:val="0"/>
        </w:rPr>
        <w:t>.</w:t>
      </w:r>
    </w:p>
    <w:p>
      <w:pPr>
        <w:widowControl/>
      </w:pPr>
      <w:r>
        <w:rPr>
          <w:b/>
          <w:i w:val="0"/>
        </w:rPr>
        <w:t>actionis.</w:t>
      </w:r>
      <w:r>
        <w:rPr>
          <w:b w:val="0"/>
          <w:i w:val="0"/>
        </w:rPr>
        <w:t xml:space="preserve"> </w:t>
      </w:r>
      <w:hyperlink w:anchor="latin-record-0016">
        <w:r>
          <w:rPr>
            <w:color w:val="000000"/>
          </w:rPr>
          <w:t xml:space="preserve">actus / actio / agere</w:t>
        </w:r>
      </w:hyperlink>
      <w:r>
        <w:rPr>
          <w:b w:val="0"/>
          <w:i w:val="0"/>
        </w:rPr>
        <w:t>.</w:t>
      </w:r>
    </w:p>
    <w:p>
      <w:pPr>
        <w:widowControl/>
      </w:pPr>
      <w:r>
        <w:rPr>
          <w:b/>
          <w:i w:val="0"/>
        </w:rPr>
        <w:t>acto.</w:t>
      </w:r>
      <w:r>
        <w:rPr>
          <w:b w:val="0"/>
          <w:i w:val="0"/>
        </w:rPr>
        <w:t xml:space="preserve"> </w:t>
      </w:r>
      <w:hyperlink w:anchor="latin-record-0017">
        <w:r>
          <w:rPr>
            <w:color w:val="000000"/>
          </w:rPr>
          <w:t xml:space="preserve">actus / actum (product)</w:t>
        </w:r>
      </w:hyperlink>
      <w:r>
        <w:rPr>
          <w:b w:val="0"/>
          <w:i w:val="0"/>
        </w:rPr>
        <w:t>.</w:t>
      </w:r>
    </w:p>
    <w:p>
      <w:pPr>
        <w:widowControl/>
      </w:pPr>
      <w:r>
        <w:rPr>
          <w:b/>
          <w:i w:val="0"/>
        </w:rPr>
        <w:t>actu.</w:t>
      </w:r>
      <w:r>
        <w:rPr>
          <w:b w:val="0"/>
          <w:i w:val="0"/>
        </w:rPr>
        <w:t xml:space="preserve"> </w:t>
      </w:r>
      <w:hyperlink w:anchor="latin-record-0016">
        <w:r>
          <w:rPr>
            <w:color w:val="000000"/>
          </w:rPr>
          <w:t xml:space="preserve">actus / actio / agere</w:t>
        </w:r>
      </w:hyperlink>
      <w:r>
        <w:rPr>
          <w:b w:val="0"/>
          <w:i w:val="0"/>
        </w:rPr>
        <w:t xml:space="preserve">; </w:t>
      </w:r>
      <w:hyperlink w:anchor="latin-record-0497">
        <w:r>
          <w:rPr>
            <w:color w:val="000000"/>
          </w:rPr>
          <w:t xml:space="preserve">habitus / actus / potentia</w:t>
        </w:r>
      </w:hyperlink>
      <w:r>
        <w:rPr>
          <w:b w:val="0"/>
          <w:i w:val="0"/>
        </w:rPr>
        <w:t>.</w:t>
      </w:r>
    </w:p>
    <w:p>
      <w:pPr>
        <w:widowControl/>
      </w:pPr>
      <w:r>
        <w:rPr>
          <w:b/>
          <w:i w:val="0"/>
        </w:rPr>
        <w:t>actui.</w:t>
      </w:r>
      <w:r>
        <w:rPr>
          <w:b w:val="0"/>
          <w:i w:val="0"/>
        </w:rPr>
        <w:t xml:space="preserve"> </w:t>
      </w:r>
      <w:hyperlink w:anchor="latin-record-0016">
        <w:r>
          <w:rPr>
            <w:color w:val="000000"/>
          </w:rPr>
          <w:t xml:space="preserve">actus / actio / agere</w:t>
        </w:r>
      </w:hyperlink>
      <w:r>
        <w:rPr>
          <w:b w:val="0"/>
          <w:i w:val="0"/>
        </w:rPr>
        <w:t>.</w:t>
      </w:r>
    </w:p>
    <w:p>
      <w:pPr>
        <w:widowControl/>
      </w:pPr>
      <w:r>
        <w:rPr>
          <w:b/>
          <w:i w:val="0"/>
        </w:rPr>
        <w:t>actum.</w:t>
      </w:r>
      <w:r>
        <w:rPr>
          <w:b w:val="0"/>
          <w:i w:val="0"/>
        </w:rPr>
        <w:t xml:space="preserve"> </w:t>
      </w:r>
      <w:hyperlink w:anchor="latin-record-0017">
        <w:r>
          <w:rPr>
            <w:color w:val="000000"/>
          </w:rPr>
          <w:t xml:space="preserve">actus / actum (product)</w:t>
        </w:r>
      </w:hyperlink>
      <w:r>
        <w:rPr>
          <w:b w:val="0"/>
          <w:i w:val="0"/>
        </w:rPr>
        <w:t>.</w:t>
      </w:r>
    </w:p>
    <w:p>
      <w:pPr>
        <w:widowControl/>
      </w:pPr>
      <w:r>
        <w:rPr>
          <w:b/>
          <w:i w:val="0"/>
        </w:rPr>
        <w:t>Actus.</w:t>
      </w:r>
      <w:r>
        <w:rPr>
          <w:b w:val="0"/>
          <w:i w:val="0"/>
        </w:rPr>
        <w:t xml:space="preserve"> </w:t>
      </w:r>
      <w:hyperlink w:anchor="latin-record-0016">
        <w:r>
          <w:rPr>
            <w:color w:val="000000"/>
          </w:rPr>
          <w:t xml:space="preserve">actus / actio / agere</w:t>
        </w:r>
      </w:hyperlink>
      <w:r>
        <w:rPr>
          <w:b w:val="0"/>
          <w:i w:val="0"/>
        </w:rPr>
        <w:t>.</w:t>
      </w:r>
    </w:p>
    <w:p>
      <w:pPr>
        <w:widowControl/>
      </w:pPr>
      <w:r>
        <w:rPr>
          <w:b/>
          <w:i w:val="0"/>
        </w:rPr>
        <w:t>actus.</w:t>
      </w:r>
      <w:r>
        <w:rPr>
          <w:b w:val="0"/>
          <w:i w:val="0"/>
        </w:rPr>
        <w:t xml:space="preserve"> </w:t>
      </w:r>
      <w:hyperlink w:anchor="latin-record-0017">
        <w:r>
          <w:rPr>
            <w:color w:val="000000"/>
          </w:rPr>
          <w:t xml:space="preserve">actus / actum (product)</w:t>
        </w:r>
      </w:hyperlink>
      <w:r>
        <w:rPr>
          <w:b w:val="0"/>
          <w:i w:val="0"/>
        </w:rPr>
        <w:t>.</w:t>
      </w:r>
    </w:p>
    <w:p>
      <w:pPr>
        <w:widowControl/>
      </w:pPr>
      <w:r>
        <w:rPr>
          <w:b/>
          <w:i w:val="0"/>
        </w:rPr>
        <w:t>acutum.</w:t>
      </w:r>
      <w:r>
        <w:rPr>
          <w:b w:val="0"/>
          <w:i w:val="0"/>
        </w:rPr>
        <w:t xml:space="preserve"> </w:t>
      </w:r>
      <w:hyperlink w:anchor="latin-record-0643">
        <w:r>
          <w:rPr>
            <w:color w:val="000000"/>
          </w:rPr>
          <w:t xml:space="preserve">lignum / acutus / latus</w:t>
        </w:r>
      </w:hyperlink>
      <w:r>
        <w:rPr>
          <w:b w:val="0"/>
          <w:i w:val="0"/>
        </w:rPr>
        <w:t>.</w:t>
      </w:r>
    </w:p>
    <w:p>
      <w:pPr>
        <w:widowControl/>
      </w:pPr>
      <w:r>
        <w:rPr>
          <w:b/>
          <w:i w:val="0"/>
        </w:rPr>
        <w:t>ad punctum.</w:t>
      </w:r>
      <w:r>
        <w:rPr>
          <w:b w:val="0"/>
          <w:i w:val="0"/>
        </w:rPr>
        <w:t xml:space="preserve"> </w:t>
      </w:r>
      <w:hyperlink w:anchor="latin-record-0547">
        <w:r>
          <w:rPr>
            <w:color w:val="000000"/>
          </w:rPr>
          <w:t xml:space="preserve">in angustum / ad punctum</w:t>
        </w:r>
      </w:hyperlink>
      <w:r>
        <w:rPr>
          <w:b w:val="0"/>
          <w:i w:val="0"/>
        </w:rPr>
        <w:t>.</w:t>
      </w:r>
    </w:p>
    <w:p>
      <w:pPr>
        <w:widowControl/>
      </w:pPr>
      <w:r>
        <w:rPr>
          <w:b/>
          <w:i w:val="0"/>
        </w:rPr>
        <w:t>ad quaestionem hic propositam revertamur.</w:t>
      </w:r>
      <w:r>
        <w:rPr>
          <w:b w:val="0"/>
          <w:i w:val="0"/>
        </w:rPr>
        <w:t xml:space="preserve"> </w:t>
      </w:r>
      <w:hyperlink w:anchor="latin-record-1060">
        <w:r>
          <w:rPr>
            <w:color w:val="000000"/>
          </w:rPr>
          <w:t xml:space="preserve">revertamur ad quaestionem</w:t>
        </w:r>
      </w:hyperlink>
      <w:r>
        <w:rPr>
          <w:b w:val="0"/>
          <w:i w:val="0"/>
        </w:rPr>
        <w:t>.</w:t>
      </w:r>
    </w:p>
    <w:p>
      <w:pPr>
        <w:widowControl/>
      </w:pPr>
      <w:r>
        <w:rPr>
          <w:b/>
          <w:i w:val="0"/>
        </w:rPr>
        <w:t>ad speciem mentis perfectae conducit.</w:t>
      </w:r>
      <w:r>
        <w:rPr>
          <w:b w:val="0"/>
          <w:i w:val="0"/>
        </w:rPr>
        <w:t xml:space="preserve"> </w:t>
      </w:r>
      <w:hyperlink w:anchor="latin-record-0230">
        <w:r>
          <w:rPr>
            <w:color w:val="000000"/>
          </w:rPr>
          <w:t xml:space="preserve">conducere ad speciem</w:t>
        </w:r>
      </w:hyperlink>
      <w:r>
        <w:rPr>
          <w:b w:val="0"/>
          <w:i w:val="0"/>
        </w:rPr>
        <w:t>.</w:t>
      </w:r>
    </w:p>
    <w:p>
      <w:pPr>
        <w:widowControl/>
      </w:pPr>
      <w:r>
        <w:rPr>
          <w:b/>
          <w:i w:val="0"/>
        </w:rPr>
        <w:t>adaequari.</w:t>
      </w:r>
      <w:r>
        <w:rPr>
          <w:b w:val="0"/>
          <w:i w:val="0"/>
        </w:rPr>
        <w:t xml:space="preserve"> </w:t>
      </w:r>
      <w:hyperlink w:anchor="latin-record-0018">
        <w:r>
          <w:rPr>
            <w:color w:val="000000"/>
          </w:rPr>
          <w:t xml:space="preserve">adaequare / sibimet</w:t>
        </w:r>
      </w:hyperlink>
      <w:r>
        <w:rPr>
          <w:b w:val="0"/>
          <w:i w:val="0"/>
        </w:rPr>
        <w:t>.</w:t>
      </w:r>
    </w:p>
    <w:p>
      <w:pPr>
        <w:widowControl/>
      </w:pPr>
      <w:r>
        <w:rPr>
          <w:b/>
          <w:i w:val="0"/>
        </w:rPr>
        <w:t>adaequatum.</w:t>
      </w:r>
      <w:r>
        <w:rPr>
          <w:b w:val="0"/>
          <w:i w:val="0"/>
        </w:rPr>
        <w:t xml:space="preserve"> </w:t>
      </w:r>
      <w:hyperlink w:anchor="latin-record-0019">
        <w:r>
          <w:rPr>
            <w:color w:val="000000"/>
          </w:rPr>
          <w:t xml:space="preserve">adaequatus</w:t>
        </w:r>
      </w:hyperlink>
      <w:r>
        <w:rPr>
          <w:b w:val="0"/>
          <w:i w:val="0"/>
        </w:rPr>
        <w:t>.</w:t>
      </w:r>
    </w:p>
    <w:p>
      <w:pPr>
        <w:widowControl/>
      </w:pPr>
      <w:r>
        <w:rPr>
          <w:b/>
          <w:i w:val="0"/>
        </w:rPr>
        <w:t>adamas.</w:t>
      </w:r>
      <w:r>
        <w:rPr>
          <w:b w:val="0"/>
          <w:i w:val="0"/>
        </w:rPr>
        <w:t xml:space="preserve"> </w:t>
      </w:r>
      <w:hyperlink w:anchor="latin-record-0012">
        <w:r>
          <w:rPr>
            <w:color w:val="000000"/>
          </w:rPr>
          <w:t xml:space="preserve">Achates / adamas</w:t>
        </w:r>
      </w:hyperlink>
      <w:r>
        <w:rPr>
          <w:b w:val="0"/>
          <w:i w:val="0"/>
        </w:rPr>
        <w:t>.</w:t>
      </w:r>
    </w:p>
    <w:p>
      <w:pPr>
        <w:widowControl/>
      </w:pPr>
      <w:r>
        <w:rPr>
          <w:b/>
          <w:i w:val="0"/>
        </w:rPr>
        <w:t>Adde.</w:t>
      </w:r>
      <w:r>
        <w:rPr>
          <w:b w:val="0"/>
          <w:i w:val="0"/>
        </w:rPr>
        <w:t xml:space="preserve"> </w:t>
      </w:r>
      <w:hyperlink w:anchor="latin-record-0021">
        <w:r>
          <w:rPr>
            <w:color w:val="000000"/>
          </w:rPr>
          <w:t xml:space="preserve">addere / mittere / omittere</w:t>
        </w:r>
      </w:hyperlink>
      <w:r>
        <w:rPr>
          <w:b w:val="0"/>
          <w:i w:val="0"/>
        </w:rPr>
        <w:t xml:space="preserve">; </w:t>
      </w:r>
      <w:hyperlink w:anchor="latin-record-0023">
        <w:r>
          <w:rPr>
            <w:color w:val="000000"/>
          </w:rPr>
          <w:t xml:space="preserve">addo / accedo</w:t>
        </w:r>
      </w:hyperlink>
      <w:r>
        <w:rPr>
          <w:b w:val="0"/>
          <w:i w:val="0"/>
        </w:rPr>
        <w:t>.</w:t>
      </w:r>
    </w:p>
    <w:p>
      <w:pPr>
        <w:widowControl/>
      </w:pPr>
      <w:r>
        <w:rPr>
          <w:b/>
          <w:i w:val="0"/>
        </w:rPr>
        <w:t>addiciuntur.</w:t>
      </w:r>
      <w:r>
        <w:rPr>
          <w:b w:val="0"/>
          <w:i w:val="0"/>
        </w:rPr>
        <w:t xml:space="preserve"> </w:t>
      </w:r>
      <w:hyperlink w:anchor="latin-record-0020">
        <w:r>
          <w:rPr>
            <w:color w:val="000000"/>
          </w:rPr>
          <w:t xml:space="preserve">addere / accedere / advenire</w:t>
        </w:r>
      </w:hyperlink>
      <w:r>
        <w:rPr>
          <w:b w:val="0"/>
          <w:i w:val="0"/>
        </w:rPr>
        <w:t>.</w:t>
      </w:r>
    </w:p>
    <w:p>
      <w:pPr>
        <w:widowControl/>
      </w:pPr>
      <w:r>
        <w:rPr>
          <w:b/>
          <w:i w:val="0"/>
        </w:rPr>
        <w:t>additam.</w:t>
      </w:r>
      <w:r>
        <w:rPr>
          <w:b w:val="0"/>
          <w:i w:val="0"/>
        </w:rPr>
        <w:t xml:space="preserve"> </w:t>
      </w:r>
      <w:hyperlink w:anchor="latin-record-0020">
        <w:r>
          <w:rPr>
            <w:color w:val="000000"/>
          </w:rPr>
          <w:t xml:space="preserve">addere / accedere / advenire</w:t>
        </w:r>
      </w:hyperlink>
      <w:r>
        <w:rPr>
          <w:b w:val="0"/>
          <w:i w:val="0"/>
        </w:rPr>
        <w:t>.</w:t>
      </w:r>
    </w:p>
    <w:p>
      <w:pPr>
        <w:widowControl/>
      </w:pPr>
      <w:r>
        <w:rPr>
          <w:b/>
          <w:i w:val="0"/>
        </w:rPr>
        <w:t>additamentum.</w:t>
      </w:r>
      <w:r>
        <w:rPr>
          <w:b w:val="0"/>
          <w:i w:val="0"/>
        </w:rPr>
        <w:t xml:space="preserve"> </w:t>
      </w:r>
      <w:hyperlink w:anchor="latin-record-0022">
        <w:r>
          <w:rPr>
            <w:color w:val="000000"/>
          </w:rPr>
          <w:t xml:space="preserve">additamentum / permixtio</w:t>
        </w:r>
      </w:hyperlink>
      <w:r>
        <w:rPr>
          <w:b w:val="0"/>
          <w:i w:val="0"/>
        </w:rPr>
        <w:t>.</w:t>
      </w:r>
    </w:p>
    <w:p>
      <w:pPr>
        <w:widowControl/>
      </w:pPr>
      <w:r>
        <w:rPr>
          <w:b/>
          <w:i w:val="0"/>
        </w:rPr>
        <w:t>adductus.</w:t>
      </w:r>
      <w:r>
        <w:rPr>
          <w:b w:val="0"/>
          <w:i w:val="0"/>
        </w:rPr>
        <w:t xml:space="preserve"> </w:t>
      </w:r>
      <w:hyperlink w:anchor="latin-record-0471">
        <w:r>
          <w:rPr>
            <w:color w:val="000000"/>
          </w:rPr>
          <w:t xml:space="preserve">fretus / adductus</w:t>
        </w:r>
      </w:hyperlink>
      <w:r>
        <w:rPr>
          <w:b w:val="0"/>
          <w:i w:val="0"/>
        </w:rPr>
        <w:t>.</w:t>
      </w:r>
    </w:p>
    <w:p>
      <w:pPr>
        <w:widowControl/>
      </w:pPr>
      <w:r>
        <w:rPr>
          <w:b/>
          <w:i w:val="0"/>
        </w:rPr>
        <w:t>adesse.</w:t>
      </w:r>
      <w:r>
        <w:rPr>
          <w:b w:val="0"/>
          <w:i w:val="0"/>
        </w:rPr>
        <w:t xml:space="preserve"> </w:t>
      </w:r>
      <w:hyperlink w:anchor="latin-record-0024">
        <w:r>
          <w:rPr>
            <w:color w:val="000000"/>
          </w:rPr>
          <w:t xml:space="preserve">adesse / abesse</w:t>
        </w:r>
      </w:hyperlink>
      <w:r>
        <w:rPr>
          <w:b w:val="0"/>
          <w:i w:val="0"/>
        </w:rPr>
        <w:t xml:space="preserve">; </w:t>
      </w:r>
      <w:hyperlink w:anchor="latin-record-0561">
        <w:r>
          <w:rPr>
            <w:color w:val="000000"/>
          </w:rPr>
          <w:t xml:space="preserve">inesse / adesse / insitus</w:t>
        </w:r>
      </w:hyperlink>
      <w:r>
        <w:rPr>
          <w:b w:val="0"/>
          <w:i w:val="0"/>
        </w:rPr>
        <w:t>.</w:t>
      </w:r>
    </w:p>
    <w:p>
      <w:pPr>
        <w:widowControl/>
      </w:pPr>
      <w:r>
        <w:rPr>
          <w:b/>
          <w:i w:val="0"/>
        </w:rPr>
        <w:t>adest.</w:t>
      </w:r>
      <w:r>
        <w:rPr>
          <w:b w:val="0"/>
          <w:i w:val="0"/>
        </w:rPr>
        <w:t xml:space="preserve"> </w:t>
      </w:r>
      <w:hyperlink w:anchor="latin-record-0024">
        <w:r>
          <w:rPr>
            <w:color w:val="000000"/>
          </w:rPr>
          <w:t xml:space="preserve">adesse / abesse</w:t>
        </w:r>
      </w:hyperlink>
      <w:r>
        <w:rPr>
          <w:b w:val="0"/>
          <w:i w:val="0"/>
        </w:rPr>
        <w:t>.</w:t>
      </w:r>
    </w:p>
    <w:p>
      <w:pPr>
        <w:widowControl/>
      </w:pPr>
      <w:r>
        <w:rPr>
          <w:b/>
          <w:i w:val="0"/>
        </w:rPr>
        <w:t>adhortatur.</w:t>
      </w:r>
      <w:r>
        <w:rPr>
          <w:b w:val="0"/>
          <w:i w:val="0"/>
        </w:rPr>
        <w:t xml:space="preserve"> </w:t>
      </w:r>
      <w:hyperlink w:anchor="latin-record-0026">
        <w:r>
          <w:rPr>
            <w:color w:val="000000"/>
          </w:rPr>
          <w:t xml:space="preserve">adhortor / admoneo</w:t>
        </w:r>
      </w:hyperlink>
      <w:r>
        <w:rPr>
          <w:b w:val="0"/>
          <w:i w:val="0"/>
        </w:rPr>
        <w:t>.</w:t>
      </w:r>
    </w:p>
    <w:p>
      <w:pPr>
        <w:widowControl/>
      </w:pPr>
      <w:r>
        <w:rPr>
          <w:b/>
          <w:i w:val="0"/>
        </w:rPr>
        <w:t>adipiscatur.</w:t>
      </w:r>
      <w:r>
        <w:rPr>
          <w:b w:val="0"/>
          <w:i w:val="0"/>
        </w:rPr>
        <w:t xml:space="preserve"> </w:t>
      </w:r>
      <w:hyperlink w:anchor="latin-record-0945">
        <w:r>
          <w:rPr>
            <w:color w:val="000000"/>
          </w:rPr>
          <w:t xml:space="preserve">proficio / adipiscor</w:t>
        </w:r>
      </w:hyperlink>
      <w:r>
        <w:rPr>
          <w:b w:val="0"/>
          <w:i w:val="0"/>
        </w:rPr>
        <w:t>.</w:t>
      </w:r>
    </w:p>
    <w:p>
      <w:pPr>
        <w:widowControl/>
      </w:pPr>
      <w:r>
        <w:rPr>
          <w:b/>
          <w:i w:val="0"/>
        </w:rPr>
        <w:t>adipiscitur.</w:t>
      </w:r>
      <w:r>
        <w:rPr>
          <w:b w:val="0"/>
          <w:i w:val="0"/>
        </w:rPr>
        <w:t xml:space="preserve"> </w:t>
      </w:r>
      <w:hyperlink w:anchor="latin-record-1121">
        <w:r>
          <w:rPr>
            <w:color w:val="000000"/>
          </w:rPr>
          <w:t xml:space="preserve">sortiri / adipisci</w:t>
        </w:r>
      </w:hyperlink>
      <w:r>
        <w:rPr>
          <w:b w:val="0"/>
          <w:i w:val="0"/>
        </w:rPr>
        <w:t>.</w:t>
      </w:r>
    </w:p>
    <w:p>
      <w:pPr>
        <w:widowControl/>
      </w:pPr>
      <w:r>
        <w:rPr>
          <w:b/>
          <w:i w:val="0"/>
        </w:rPr>
        <w:t>adiuvante.</w:t>
      </w:r>
      <w:r>
        <w:rPr>
          <w:b w:val="0"/>
          <w:i w:val="0"/>
        </w:rPr>
        <w:t xml:space="preserve"> </w:t>
      </w:r>
      <w:hyperlink w:anchor="latin-record-0118">
        <w:r>
          <w:rPr>
            <w:color w:val="000000"/>
          </w:rPr>
          <w:t xml:space="preserve">auxilium / subsidium</w:t>
        </w:r>
      </w:hyperlink>
      <w:r>
        <w:rPr>
          <w:b w:val="0"/>
          <w:i w:val="0"/>
        </w:rPr>
        <w:t>.</w:t>
      </w:r>
    </w:p>
    <w:p>
      <w:pPr>
        <w:widowControl/>
      </w:pPr>
      <w:r>
        <w:rPr>
          <w:b/>
          <w:i w:val="0"/>
        </w:rPr>
        <w:t>administratione.</w:t>
      </w:r>
      <w:r>
        <w:rPr>
          <w:b w:val="0"/>
          <w:i w:val="0"/>
        </w:rPr>
        <w:t xml:space="preserve"> </w:t>
      </w:r>
      <w:hyperlink w:anchor="latin-record-0817">
        <w:r>
          <w:rPr>
            <w:color w:val="000000"/>
          </w:rPr>
          <w:t xml:space="preserve">otium / administratio</w:t>
        </w:r>
      </w:hyperlink>
      <w:r>
        <w:rPr>
          <w:b w:val="0"/>
          <w:i w:val="0"/>
        </w:rPr>
        <w:t>.</w:t>
      </w:r>
    </w:p>
    <w:p>
      <w:pPr>
        <w:widowControl/>
      </w:pPr>
      <w:r>
        <w:rPr>
          <w:b/>
          <w:i w:val="0"/>
        </w:rPr>
        <w:t>Admirationem.</w:t>
      </w:r>
      <w:r>
        <w:rPr>
          <w:b w:val="0"/>
          <w:i w:val="0"/>
        </w:rPr>
        <w:t xml:space="preserve"> </w:t>
      </w:r>
      <w:hyperlink w:anchor="latin-record-0027">
        <w:r>
          <w:rPr>
            <w:color w:val="000000"/>
          </w:rPr>
          <w:t xml:space="preserve">admiratio / consuetudo</w:t>
        </w:r>
      </w:hyperlink>
      <w:r>
        <w:rPr>
          <w:b w:val="0"/>
          <w:i w:val="0"/>
        </w:rPr>
        <w:t>.</w:t>
      </w:r>
    </w:p>
    <w:p>
      <w:pPr>
        <w:widowControl/>
      </w:pPr>
      <w:r>
        <w:rPr>
          <w:b/>
          <w:i w:val="0"/>
        </w:rPr>
        <w:t>admiratus.</w:t>
      </w:r>
      <w:r>
        <w:rPr>
          <w:b w:val="0"/>
          <w:i w:val="0"/>
        </w:rPr>
        <w:t xml:space="preserve"> </w:t>
      </w:r>
      <w:hyperlink w:anchor="latin-record-0027">
        <w:r>
          <w:rPr>
            <w:color w:val="000000"/>
          </w:rPr>
          <w:t xml:space="preserve">admiratio / consuetudo</w:t>
        </w:r>
      </w:hyperlink>
      <w:r>
        <w:rPr>
          <w:b w:val="0"/>
          <w:i w:val="0"/>
        </w:rPr>
        <w:t>.</w:t>
      </w:r>
    </w:p>
    <w:p>
      <w:pPr>
        <w:widowControl/>
      </w:pPr>
      <w:r>
        <w:rPr>
          <w:b/>
          <w:i w:val="0"/>
        </w:rPr>
        <w:t>admittimus.</w:t>
      </w:r>
      <w:r>
        <w:rPr>
          <w:b w:val="0"/>
          <w:i w:val="0"/>
        </w:rPr>
        <w:t xml:space="preserve"> </w:t>
      </w:r>
      <w:hyperlink w:anchor="latin-record-0218">
        <w:r>
          <w:rPr>
            <w:color w:val="000000"/>
          </w:rPr>
          <w:t xml:space="preserve">concedere / admittere / dare as grant</w:t>
        </w:r>
      </w:hyperlink>
      <w:r>
        <w:rPr>
          <w:b w:val="0"/>
          <w:i w:val="0"/>
        </w:rPr>
        <w:t>.</w:t>
      </w:r>
    </w:p>
    <w:p>
      <w:pPr>
        <w:widowControl/>
      </w:pPr>
      <w:r>
        <w:rPr>
          <w:b/>
          <w:i w:val="0"/>
        </w:rPr>
        <w:t>admixtionem.</w:t>
      </w:r>
      <w:r>
        <w:rPr>
          <w:b w:val="0"/>
          <w:i w:val="0"/>
        </w:rPr>
        <w:t xml:space="preserve"> </w:t>
      </w:r>
      <w:hyperlink w:anchor="latin-record-0028">
        <w:r>
          <w:rPr>
            <w:color w:val="000000"/>
          </w:rPr>
          <w:t xml:space="preserve">admixtio / inquinatio</w:t>
        </w:r>
      </w:hyperlink>
      <w:r>
        <w:rPr>
          <w:b w:val="0"/>
          <w:i w:val="0"/>
        </w:rPr>
        <w:t>.</w:t>
      </w:r>
    </w:p>
    <w:p>
      <w:pPr>
        <w:widowControl/>
      </w:pPr>
      <w:r>
        <w:rPr>
          <w:b/>
          <w:i w:val="0"/>
        </w:rPr>
        <w:t>admonere.</w:t>
      </w:r>
      <w:r>
        <w:rPr>
          <w:b w:val="0"/>
          <w:i w:val="0"/>
        </w:rPr>
        <w:t xml:space="preserve"> </w:t>
      </w:r>
      <w:hyperlink w:anchor="latin-record-0026">
        <w:r>
          <w:rPr>
            <w:color w:val="000000"/>
          </w:rPr>
          <w:t xml:space="preserve">adhortor / admoneo</w:t>
        </w:r>
      </w:hyperlink>
      <w:r>
        <w:rPr>
          <w:b w:val="0"/>
          <w:i w:val="0"/>
        </w:rPr>
        <w:t>.</w:t>
      </w:r>
    </w:p>
    <w:p>
      <w:pPr>
        <w:widowControl/>
      </w:pPr>
      <w:r>
        <w:rPr>
          <w:b/>
          <w:i w:val="0"/>
        </w:rPr>
        <w:t>admovetur.</w:t>
      </w:r>
      <w:r>
        <w:rPr>
          <w:b w:val="0"/>
          <w:i w:val="0"/>
        </w:rPr>
        <w:t xml:space="preserve"> </w:t>
      </w:r>
      <w:hyperlink w:anchor="latin-record-0917">
        <w:r>
          <w:rPr>
            <w:color w:val="000000"/>
          </w:rPr>
          <w:t xml:space="preserve">praesentia / admovere</w:t>
        </w:r>
      </w:hyperlink>
      <w:r>
        <w:rPr>
          <w:b w:val="0"/>
          <w:i w:val="0"/>
        </w:rPr>
        <w:t>.</w:t>
      </w:r>
    </w:p>
    <w:p>
      <w:pPr>
        <w:widowControl/>
      </w:pPr>
      <w:r>
        <w:rPr>
          <w:b/>
          <w:i w:val="0"/>
        </w:rPr>
        <w:t>adsciscere.</w:t>
      </w:r>
      <w:r>
        <w:rPr>
          <w:b w:val="0"/>
          <w:i w:val="0"/>
        </w:rPr>
        <w:t xml:space="preserve"> </w:t>
      </w:r>
      <w:hyperlink w:anchor="latin-record-0029">
        <w:r>
          <w:rPr>
            <w:color w:val="000000"/>
          </w:rPr>
          <w:t xml:space="preserve">adsciscere / complecti</w:t>
        </w:r>
      </w:hyperlink>
      <w:r>
        <w:rPr>
          <w:b w:val="0"/>
          <w:i w:val="0"/>
        </w:rPr>
        <w:t>.</w:t>
      </w:r>
    </w:p>
    <w:p>
      <w:pPr>
        <w:widowControl/>
      </w:pPr>
      <w:r>
        <w:rPr>
          <w:b/>
          <w:i w:val="0"/>
        </w:rPr>
        <w:t>adsit.</w:t>
      </w:r>
      <w:r>
        <w:rPr>
          <w:b w:val="0"/>
          <w:i w:val="0"/>
        </w:rPr>
        <w:t xml:space="preserve"> </w:t>
      </w:r>
      <w:hyperlink w:anchor="latin-record-0025">
        <w:r>
          <w:rPr>
            <w:color w:val="000000"/>
          </w:rPr>
          <w:t xml:space="preserve">adesse / inesse</w:t>
        </w:r>
      </w:hyperlink>
      <w:r>
        <w:rPr>
          <w:b w:val="0"/>
          <w:i w:val="0"/>
        </w:rPr>
        <w:t>.</w:t>
      </w:r>
    </w:p>
    <w:p>
      <w:pPr>
        <w:widowControl/>
      </w:pPr>
      <w:r>
        <w:rPr>
          <w:b/>
          <w:i w:val="0"/>
        </w:rPr>
        <w:t>adstat.</w:t>
      </w:r>
      <w:r>
        <w:rPr>
          <w:b w:val="0"/>
          <w:i w:val="0"/>
        </w:rPr>
        <w:t xml:space="preserve"> </w:t>
      </w:r>
      <w:hyperlink w:anchor="latin-record-0341">
        <w:r>
          <w:rPr>
            <w:color w:val="000000"/>
          </w:rPr>
          <w:t xml:space="preserve">distrahere / adstare</w:t>
        </w:r>
      </w:hyperlink>
      <w:r>
        <w:rPr>
          <w:b w:val="0"/>
          <w:i w:val="0"/>
        </w:rPr>
        <w:t>.</w:t>
      </w:r>
    </w:p>
    <w:p>
      <w:pPr>
        <w:widowControl/>
      </w:pPr>
      <w:r>
        <w:rPr>
          <w:b/>
          <w:i w:val="0"/>
        </w:rPr>
        <w:t>adstet.</w:t>
      </w:r>
      <w:r>
        <w:rPr>
          <w:b w:val="0"/>
          <w:i w:val="0"/>
        </w:rPr>
        <w:t xml:space="preserve"> </w:t>
      </w:r>
      <w:hyperlink w:anchor="latin-record-0341">
        <w:r>
          <w:rPr>
            <w:color w:val="000000"/>
          </w:rPr>
          <w:t xml:space="preserve">distrahere / adstare</w:t>
        </w:r>
      </w:hyperlink>
      <w:r>
        <w:rPr>
          <w:b w:val="0"/>
          <w:i w:val="0"/>
        </w:rPr>
        <w:t>.</w:t>
      </w:r>
    </w:p>
    <w:p>
      <w:pPr>
        <w:widowControl/>
      </w:pPr>
      <w:r>
        <w:rPr>
          <w:b/>
          <w:i w:val="0"/>
        </w:rPr>
        <w:t>adstricta dimensionibus.</w:t>
      </w:r>
      <w:r>
        <w:rPr>
          <w:b w:val="0"/>
          <w:i w:val="0"/>
        </w:rPr>
        <w:t xml:space="preserve"> </w:t>
      </w:r>
      <w:hyperlink w:anchor="latin-record-0984">
        <w:r>
          <w:rPr>
            <w:color w:val="000000"/>
          </w:rPr>
          <w:t xml:space="preserve">punctum / adstrictus dimensionibus</w:t>
        </w:r>
      </w:hyperlink>
      <w:r>
        <w:rPr>
          <w:b w:val="0"/>
          <w:i w:val="0"/>
        </w:rPr>
        <w:t>.</w:t>
      </w:r>
    </w:p>
    <w:p>
      <w:pPr>
        <w:widowControl/>
      </w:pPr>
      <w:r>
        <w:rPr>
          <w:b/>
          <w:i w:val="0"/>
        </w:rPr>
        <w:t>adstrictas.</w:t>
      </w:r>
      <w:r>
        <w:rPr>
          <w:b w:val="0"/>
          <w:i w:val="0"/>
        </w:rPr>
        <w:t xml:space="preserve"> </w:t>
      </w:r>
      <w:hyperlink w:anchor="latin-record-0004">
        <w:r>
          <w:rPr>
            <w:color w:val="000000"/>
          </w:rPr>
          <w:t xml:space="preserve">absolutus / adstrictus</w:t>
        </w:r>
      </w:hyperlink>
      <w:r>
        <w:rPr>
          <w:b w:val="0"/>
          <w:i w:val="0"/>
        </w:rPr>
        <w:t>.</w:t>
      </w:r>
    </w:p>
    <w:p>
      <w:pPr>
        <w:widowControl/>
      </w:pPr>
      <w:r>
        <w:rPr>
          <w:b/>
          <w:i w:val="0"/>
        </w:rPr>
        <w:t>adultam.</w:t>
      </w:r>
      <w:r>
        <w:rPr>
          <w:b w:val="0"/>
          <w:i w:val="0"/>
        </w:rPr>
        <w:t xml:space="preserve"> </w:t>
      </w:r>
      <w:hyperlink w:anchor="latin-record-0030">
        <w:r>
          <w:rPr>
            <w:color w:val="000000"/>
          </w:rPr>
          <w:t xml:space="preserve">adultus / affectio corporis</w:t>
        </w:r>
      </w:hyperlink>
      <w:r>
        <w:rPr>
          <w:b w:val="0"/>
          <w:i w:val="0"/>
        </w:rPr>
        <w:t>.</w:t>
      </w:r>
    </w:p>
    <w:p>
      <w:pPr>
        <w:widowControl/>
      </w:pPr>
      <w:r>
        <w:rPr>
          <w:b/>
          <w:i w:val="0"/>
        </w:rPr>
        <w:t>advenit.</w:t>
      </w:r>
      <w:r>
        <w:rPr>
          <w:b w:val="0"/>
          <w:i w:val="0"/>
        </w:rPr>
        <w:t xml:space="preserve"> </w:t>
      </w:r>
      <w:hyperlink w:anchor="latin-record-0020">
        <w:r>
          <w:rPr>
            <w:color w:val="000000"/>
          </w:rPr>
          <w:t xml:space="preserve">addere / accedere / advenire</w:t>
        </w:r>
      </w:hyperlink>
      <w:r>
        <w:rPr>
          <w:b w:val="0"/>
          <w:i w:val="0"/>
        </w:rPr>
        <w:t>.</w:t>
      </w:r>
    </w:p>
    <w:p>
      <w:pPr>
        <w:widowControl/>
      </w:pPr>
      <w:r>
        <w:rPr>
          <w:b/>
          <w:i w:val="0"/>
        </w:rPr>
        <w:t>adveniunt.</w:t>
      </w:r>
      <w:r>
        <w:rPr>
          <w:b w:val="0"/>
          <w:i w:val="0"/>
        </w:rPr>
        <w:t xml:space="preserve"> </w:t>
      </w:r>
      <w:hyperlink w:anchor="latin-record-0020">
        <w:r>
          <w:rPr>
            <w:color w:val="000000"/>
          </w:rPr>
          <w:t xml:space="preserve">addere / accedere / advenire</w:t>
        </w:r>
      </w:hyperlink>
      <w:r>
        <w:rPr>
          <w:b w:val="0"/>
          <w:i w:val="0"/>
        </w:rPr>
        <w:t>.</w:t>
      </w:r>
    </w:p>
    <w:p>
      <w:pPr>
        <w:widowControl/>
      </w:pPr>
      <w:r>
        <w:rPr>
          <w:b/>
          <w:i w:val="0"/>
        </w:rPr>
        <w:t>adventitiam.</w:t>
      </w:r>
      <w:r>
        <w:rPr>
          <w:b w:val="0"/>
          <w:i w:val="0"/>
        </w:rPr>
        <w:t xml:space="preserve"> </w:t>
      </w:r>
      <w:hyperlink w:anchor="latin-record-0774">
        <w:r>
          <w:rPr>
            <w:color w:val="000000"/>
          </w:rPr>
          <w:t xml:space="preserve">nudus / adventitius</w:t>
        </w:r>
      </w:hyperlink>
      <w:r>
        <w:rPr>
          <w:b w:val="0"/>
          <w:i w:val="0"/>
        </w:rPr>
        <w:t>.</w:t>
      </w:r>
    </w:p>
    <w:p>
      <w:pPr>
        <w:widowControl/>
      </w:pPr>
      <w:r>
        <w:rPr>
          <w:b/>
          <w:i w:val="0"/>
        </w:rPr>
        <w:t>adversatur.</w:t>
      </w:r>
      <w:r>
        <w:rPr>
          <w:b w:val="0"/>
          <w:i w:val="0"/>
        </w:rPr>
        <w:t xml:space="preserve"> </w:t>
      </w:r>
      <w:hyperlink w:anchor="latin-record-0031">
        <w:r>
          <w:rPr>
            <w:color w:val="000000"/>
          </w:rPr>
          <w:t xml:space="preserve">adversari / repugnare</w:t>
        </w:r>
      </w:hyperlink>
      <w:r>
        <w:rPr>
          <w:b w:val="0"/>
          <w:i w:val="0"/>
        </w:rPr>
        <w:t>.</w:t>
      </w:r>
    </w:p>
    <w:p>
      <w:pPr>
        <w:widowControl/>
      </w:pPr>
      <w:r>
        <w:rPr>
          <w:b/>
          <w:i w:val="0"/>
        </w:rPr>
        <w:t>aedificii.</w:t>
      </w:r>
      <w:r>
        <w:rPr>
          <w:b w:val="0"/>
          <w:i w:val="0"/>
        </w:rPr>
        <w:t xml:space="preserve"> </w:t>
      </w:r>
      <w:hyperlink w:anchor="latin-record-0033">
        <w:r>
          <w:rPr>
            <w:color w:val="000000"/>
          </w:rPr>
          <w:t xml:space="preserve">aedificium / domus</w:t>
        </w:r>
      </w:hyperlink>
      <w:r>
        <w:rPr>
          <w:b w:val="0"/>
          <w:i w:val="0"/>
        </w:rPr>
        <w:t>.</w:t>
      </w:r>
    </w:p>
    <w:p>
      <w:pPr>
        <w:widowControl/>
      </w:pPr>
      <w:r>
        <w:rPr>
          <w:b/>
          <w:i w:val="0"/>
        </w:rPr>
        <w:t>aedificiis.</w:t>
      </w:r>
      <w:r>
        <w:rPr>
          <w:b w:val="0"/>
          <w:i w:val="0"/>
        </w:rPr>
        <w:t xml:space="preserve"> </w:t>
      </w:r>
      <w:hyperlink w:anchor="latin-record-0032">
        <w:r>
          <w:rPr>
            <w:color w:val="000000"/>
          </w:rPr>
          <w:t xml:space="preserve">aedificia / machinae</w:t>
        </w:r>
      </w:hyperlink>
      <w:r>
        <w:rPr>
          <w:b w:val="0"/>
          <w:i w:val="0"/>
        </w:rPr>
        <w:t>.</w:t>
      </w:r>
    </w:p>
    <w:p>
      <w:pPr>
        <w:widowControl/>
      </w:pPr>
      <w:r>
        <w:rPr>
          <w:b/>
          <w:i w:val="0"/>
        </w:rPr>
        <w:t>Aegyptii.</w:t>
      </w:r>
      <w:r>
        <w:rPr>
          <w:b w:val="0"/>
          <w:i w:val="0"/>
        </w:rPr>
        <w:t xml:space="preserve"> </w:t>
      </w:r>
      <w:hyperlink w:anchor="latin-record-0517">
        <w:r>
          <w:rPr>
            <w:color w:val="000000"/>
          </w:rPr>
          <w:t xml:space="preserve">hymnus / theologia / sacerdos</w:t>
        </w:r>
      </w:hyperlink>
      <w:r>
        <w:rPr>
          <w:b w:val="0"/>
          <w:i w:val="0"/>
        </w:rPr>
        <w:t>.</w:t>
      </w:r>
    </w:p>
    <w:p>
      <w:pPr>
        <w:widowControl/>
      </w:pPr>
      <w:r>
        <w:rPr>
          <w:b/>
          <w:i w:val="0"/>
        </w:rPr>
        <w:t>aeneae.</w:t>
      </w:r>
      <w:r>
        <w:rPr>
          <w:b w:val="0"/>
          <w:i w:val="0"/>
        </w:rPr>
        <w:t xml:space="preserve"> </w:t>
      </w:r>
      <w:hyperlink w:anchor="latin-record-0091">
        <w:r>
          <w:rPr>
            <w:color w:val="000000"/>
          </w:rPr>
          <w:t xml:space="preserve">Archimedes / aeneus</w:t>
        </w:r>
      </w:hyperlink>
      <w:r>
        <w:rPr>
          <w:b w:val="0"/>
          <w:i w:val="0"/>
        </w:rPr>
        <w:t>.</w:t>
      </w:r>
    </w:p>
    <w:p>
      <w:pPr>
        <w:widowControl/>
      </w:pPr>
      <w:r>
        <w:rPr>
          <w:b/>
          <w:i w:val="0"/>
        </w:rPr>
        <w:t>aenigma.</w:t>
      </w:r>
      <w:r>
        <w:rPr>
          <w:b w:val="0"/>
          <w:i w:val="0"/>
        </w:rPr>
        <w:t xml:space="preserve"> </w:t>
      </w:r>
      <w:hyperlink w:anchor="latin-record-0034">
        <w:r>
          <w:rPr>
            <w:color w:val="000000"/>
          </w:rPr>
          <w:t xml:space="preserve">aenigma / Xenocrates</w:t>
        </w:r>
      </w:hyperlink>
      <w:r>
        <w:rPr>
          <w:b w:val="0"/>
          <w:i w:val="0"/>
        </w:rPr>
        <w:t>.</w:t>
      </w:r>
    </w:p>
    <w:p>
      <w:pPr>
        <w:widowControl/>
      </w:pPr>
      <w:r>
        <w:rPr>
          <w:b/>
          <w:i w:val="0"/>
        </w:rPr>
        <w:t>aequabilior.</w:t>
      </w:r>
      <w:r>
        <w:rPr>
          <w:b w:val="0"/>
          <w:i w:val="0"/>
        </w:rPr>
        <w:t xml:space="preserve"> </w:t>
      </w:r>
      <w:hyperlink w:anchor="latin-record-1186">
        <w:r>
          <w:rPr>
            <w:color w:val="000000"/>
          </w:rPr>
          <w:t xml:space="preserve">temperatio / aequabilis</w:t>
        </w:r>
      </w:hyperlink>
      <w:r>
        <w:rPr>
          <w:b w:val="0"/>
          <w:i w:val="0"/>
        </w:rPr>
        <w:t>.</w:t>
      </w:r>
    </w:p>
    <w:p>
      <w:pPr>
        <w:widowControl/>
      </w:pPr>
      <w:r>
        <w:rPr>
          <w:b/>
          <w:i w:val="0"/>
        </w:rPr>
        <w:t>aequalem.</w:t>
      </w:r>
      <w:r>
        <w:rPr>
          <w:b w:val="0"/>
          <w:i w:val="0"/>
        </w:rPr>
        <w:t xml:space="preserve"> </w:t>
      </w:r>
      <w:hyperlink w:anchor="latin-record-0035">
        <w:r>
          <w:rPr>
            <w:color w:val="000000"/>
          </w:rPr>
          <w:t xml:space="preserve">aequalis / aeque</w:t>
        </w:r>
      </w:hyperlink>
      <w:r>
        <w:rPr>
          <w:b w:val="0"/>
          <w:i w:val="0"/>
        </w:rPr>
        <w:t>.</w:t>
      </w:r>
    </w:p>
    <w:p>
      <w:pPr>
        <w:widowControl/>
      </w:pPr>
      <w:r>
        <w:rPr>
          <w:b/>
          <w:i w:val="0"/>
        </w:rPr>
        <w:t>aequales.</w:t>
      </w:r>
      <w:r>
        <w:rPr>
          <w:b w:val="0"/>
          <w:i w:val="0"/>
        </w:rPr>
        <w:t xml:space="preserve"> </w:t>
      </w:r>
      <w:hyperlink w:anchor="latin-record-1105">
        <w:r>
          <w:rPr>
            <w:color w:val="000000"/>
          </w:rPr>
          <w:t xml:space="preserve">similis / aequalis</w:t>
        </w:r>
      </w:hyperlink>
      <w:r>
        <w:rPr>
          <w:b w:val="0"/>
          <w:i w:val="0"/>
        </w:rPr>
        <w:t>.</w:t>
      </w:r>
    </w:p>
    <w:p>
      <w:pPr>
        <w:widowControl/>
      </w:pPr>
      <w:r>
        <w:rPr>
          <w:b/>
          <w:i w:val="0"/>
        </w:rPr>
        <w:t>aequalia.</w:t>
      </w:r>
      <w:r>
        <w:rPr>
          <w:b w:val="0"/>
          <w:i w:val="0"/>
        </w:rPr>
        <w:t xml:space="preserve"> </w:t>
      </w:r>
      <w:hyperlink w:anchor="latin-record-0035">
        <w:r>
          <w:rPr>
            <w:color w:val="000000"/>
          </w:rPr>
          <w:t xml:space="preserve">aequalis / aeque</w:t>
        </w:r>
      </w:hyperlink>
      <w:r>
        <w:rPr>
          <w:b w:val="0"/>
          <w:i w:val="0"/>
        </w:rPr>
        <w:t>.</w:t>
      </w:r>
    </w:p>
    <w:p>
      <w:pPr>
        <w:widowControl/>
      </w:pPr>
      <w:r>
        <w:rPr>
          <w:b/>
          <w:i w:val="0"/>
        </w:rPr>
        <w:t>aequalitatem.</w:t>
      </w:r>
      <w:r>
        <w:rPr>
          <w:b w:val="0"/>
          <w:i w:val="0"/>
        </w:rPr>
        <w:t xml:space="preserve"> </w:t>
      </w:r>
      <w:hyperlink w:anchor="latin-record-0693">
        <w:r>
          <w:rPr>
            <w:color w:val="000000"/>
          </w:rPr>
          <w:t xml:space="preserve">mereri / aequalitatem recuperare</w:t>
        </w:r>
      </w:hyperlink>
      <w:r>
        <w:rPr>
          <w:b w:val="0"/>
          <w:i w:val="0"/>
        </w:rPr>
        <w:t>.</w:t>
      </w:r>
    </w:p>
    <w:p>
      <w:pPr>
        <w:widowControl/>
      </w:pPr>
      <w:r>
        <w:rPr>
          <w:b/>
          <w:i w:val="0"/>
        </w:rPr>
        <w:t>aeque.</w:t>
      </w:r>
      <w:r>
        <w:rPr>
          <w:b w:val="0"/>
          <w:i w:val="0"/>
        </w:rPr>
        <w:t xml:space="preserve"> </w:t>
      </w:r>
      <w:hyperlink w:anchor="latin-record-0035">
        <w:r>
          <w:rPr>
            <w:color w:val="000000"/>
          </w:rPr>
          <w:t xml:space="preserve">aequalis / aeque</w:t>
        </w:r>
      </w:hyperlink>
      <w:r>
        <w:rPr>
          <w:b w:val="0"/>
          <w:i w:val="0"/>
        </w:rPr>
        <w:t>.</w:t>
      </w:r>
    </w:p>
    <w:p>
      <w:pPr>
        <w:widowControl/>
      </w:pPr>
      <w:r>
        <w:rPr>
          <w:b/>
          <w:i w:val="0"/>
        </w:rPr>
        <w:t>aer.</w:t>
      </w:r>
      <w:r>
        <w:rPr>
          <w:b w:val="0"/>
          <w:i w:val="0"/>
        </w:rPr>
        <w:t xml:space="preserve"> </w:t>
      </w:r>
      <w:hyperlink w:anchor="latin-record-0036">
        <w:r>
          <w:rPr>
            <w:color w:val="000000"/>
          </w:rPr>
          <w:t xml:space="preserve">aer / aqua / terra</w:t>
        </w:r>
      </w:hyperlink>
      <w:r>
        <w:rPr>
          <w:b w:val="0"/>
          <w:i w:val="0"/>
        </w:rPr>
        <w:t>.</w:t>
      </w:r>
    </w:p>
    <w:p>
      <w:pPr>
        <w:widowControl/>
      </w:pPr>
      <w:r>
        <w:rPr>
          <w:b/>
          <w:i w:val="0"/>
        </w:rPr>
        <w:t>aere.</w:t>
      </w:r>
      <w:r>
        <w:rPr>
          <w:b w:val="0"/>
          <w:i w:val="0"/>
        </w:rPr>
        <w:t xml:space="preserve"> </w:t>
      </w:r>
      <w:hyperlink w:anchor="latin-record-0036">
        <w:r>
          <w:rPr>
            <w:color w:val="000000"/>
          </w:rPr>
          <w:t xml:space="preserve">aer / aqua / terra</w:t>
        </w:r>
      </w:hyperlink>
      <w:r>
        <w:rPr>
          <w:b w:val="0"/>
          <w:i w:val="0"/>
        </w:rPr>
        <w:t xml:space="preserve">; </w:t>
      </w:r>
      <w:hyperlink w:anchor="latin-record-0683">
        <w:r>
          <w:rPr>
            <w:color w:val="000000"/>
          </w:rPr>
          <w:t xml:space="preserve">membra / lignum / aer</w:t>
        </w:r>
      </w:hyperlink>
      <w:r>
        <w:rPr>
          <w:b w:val="0"/>
          <w:i w:val="0"/>
        </w:rPr>
        <w:t>.</w:t>
      </w:r>
    </w:p>
    <w:p>
      <w:pPr>
        <w:widowControl/>
      </w:pPr>
      <w:r>
        <w:rPr>
          <w:b/>
          <w:i w:val="0"/>
        </w:rPr>
        <w:t>aerem.</w:t>
      </w:r>
      <w:r>
        <w:rPr>
          <w:b w:val="0"/>
          <w:i w:val="0"/>
        </w:rPr>
        <w:t xml:space="preserve"> </w:t>
      </w:r>
      <w:hyperlink w:anchor="latin-record-0036">
        <w:r>
          <w:rPr>
            <w:color w:val="000000"/>
          </w:rPr>
          <w:t xml:space="preserve">aer / aqua / terra</w:t>
        </w:r>
      </w:hyperlink>
      <w:r>
        <w:rPr>
          <w:b w:val="0"/>
          <w:i w:val="0"/>
        </w:rPr>
        <w:t xml:space="preserve">; </w:t>
      </w:r>
      <w:hyperlink w:anchor="latin-record-0131">
        <w:r>
          <w:rPr>
            <w:color w:val="000000"/>
          </w:rPr>
          <w:t xml:space="preserve">calefacere / aqua / aer</w:t>
        </w:r>
      </w:hyperlink>
      <w:r>
        <w:rPr>
          <w:b w:val="0"/>
          <w:i w:val="0"/>
        </w:rPr>
        <w:t>.</w:t>
      </w:r>
    </w:p>
    <w:p>
      <w:pPr>
        <w:widowControl/>
      </w:pPr>
      <w:r>
        <w:rPr>
          <w:b/>
          <w:i w:val="0"/>
        </w:rPr>
        <w:t>aeris.</w:t>
      </w:r>
      <w:r>
        <w:rPr>
          <w:b w:val="0"/>
          <w:i w:val="0"/>
        </w:rPr>
        <w:t xml:space="preserve"> </w:t>
      </w:r>
      <w:hyperlink w:anchor="latin-record-1140">
        <w:r>
          <w:rPr>
            <w:color w:val="000000"/>
          </w:rPr>
          <w:t xml:space="preserve">statua / lapis / aes</w:t>
        </w:r>
      </w:hyperlink>
      <w:r>
        <w:rPr>
          <w:b w:val="0"/>
          <w:i w:val="0"/>
        </w:rPr>
        <w:t>.</w:t>
      </w:r>
    </w:p>
    <w:p>
      <w:pPr>
        <w:widowControl/>
      </w:pPr>
      <w:r>
        <w:rPr>
          <w:b/>
          <w:i w:val="0"/>
        </w:rPr>
        <w:t>aestate.</w:t>
      </w:r>
      <w:r>
        <w:rPr>
          <w:b w:val="0"/>
          <w:i w:val="0"/>
        </w:rPr>
        <w:t xml:space="preserve"> </w:t>
      </w:r>
      <w:hyperlink w:anchor="latin-record-0512">
        <w:r>
          <w:rPr>
            <w:color w:val="000000"/>
          </w:rPr>
          <w:t xml:space="preserve">hiems / ver / aestas / autumnus</w:t>
        </w:r>
      </w:hyperlink>
      <w:r>
        <w:rPr>
          <w:b w:val="0"/>
          <w:i w:val="0"/>
        </w:rPr>
        <w:t>.</w:t>
      </w:r>
    </w:p>
    <w:p>
      <w:pPr>
        <w:widowControl/>
      </w:pPr>
      <w:r>
        <w:rPr>
          <w:b/>
          <w:i w:val="0"/>
        </w:rPr>
        <w:t>aestatem.</w:t>
      </w:r>
      <w:r>
        <w:rPr>
          <w:b w:val="0"/>
          <w:i w:val="0"/>
        </w:rPr>
        <w:t xml:space="preserve"> </w:t>
      </w:r>
      <w:hyperlink w:anchor="latin-record-0512">
        <w:r>
          <w:rPr>
            <w:color w:val="000000"/>
          </w:rPr>
          <w:t xml:space="preserve">hiems / ver / aestas / autumnus</w:t>
        </w:r>
      </w:hyperlink>
      <w:r>
        <w:rPr>
          <w:b w:val="0"/>
          <w:i w:val="0"/>
        </w:rPr>
        <w:t>.</w:t>
      </w:r>
    </w:p>
    <w:p>
      <w:pPr>
        <w:widowControl/>
      </w:pPr>
      <w:r>
        <w:rPr>
          <w:b/>
          <w:i w:val="0"/>
        </w:rPr>
        <w:t>Aeterna.</w:t>
      </w:r>
      <w:r>
        <w:rPr>
          <w:b w:val="0"/>
          <w:i w:val="0"/>
        </w:rPr>
        <w:t xml:space="preserve"> </w:t>
      </w:r>
      <w:hyperlink w:anchor="latin-record-1089">
        <w:r>
          <w:rPr>
            <w:color w:val="000000"/>
          </w:rPr>
          <w:t xml:space="preserve">sempiternitas / aeternitas</w:t>
        </w:r>
      </w:hyperlink>
      <w:r>
        <w:rPr>
          <w:b w:val="0"/>
          <w:i w:val="0"/>
        </w:rPr>
        <w:t>.</w:t>
      </w:r>
    </w:p>
    <w:p>
      <w:pPr>
        <w:widowControl/>
      </w:pPr>
      <w:r>
        <w:rPr>
          <w:b/>
          <w:i w:val="0"/>
        </w:rPr>
        <w:t>aeternam.</w:t>
      </w:r>
      <w:r>
        <w:rPr>
          <w:b w:val="0"/>
          <w:i w:val="0"/>
        </w:rPr>
        <w:t xml:space="preserve"> </w:t>
      </w:r>
      <w:hyperlink w:anchor="latin-record-1089">
        <w:r>
          <w:rPr>
            <w:color w:val="000000"/>
          </w:rPr>
          <w:t xml:space="preserve">sempiternitas / aeternitas</w:t>
        </w:r>
      </w:hyperlink>
      <w:r>
        <w:rPr>
          <w:b w:val="0"/>
          <w:i w:val="0"/>
        </w:rPr>
        <w:t>.</w:t>
      </w:r>
    </w:p>
    <w:p>
      <w:pPr>
        <w:widowControl/>
      </w:pPr>
      <w:r>
        <w:rPr>
          <w:b/>
          <w:i w:val="0"/>
        </w:rPr>
        <w:t>aeterni.</w:t>
      </w:r>
      <w:r>
        <w:rPr>
          <w:b w:val="0"/>
          <w:i w:val="0"/>
        </w:rPr>
        <w:t xml:space="preserve"> </w:t>
      </w:r>
      <w:hyperlink w:anchor="latin-record-1089">
        <w:r>
          <w:rPr>
            <w:color w:val="000000"/>
          </w:rPr>
          <w:t xml:space="preserve">sempiternitas / aeternitas</w:t>
        </w:r>
      </w:hyperlink>
      <w:r>
        <w:rPr>
          <w:b w:val="0"/>
          <w:i w:val="0"/>
        </w:rPr>
        <w:t>.</w:t>
      </w:r>
    </w:p>
    <w:p>
      <w:pPr>
        <w:widowControl/>
      </w:pPr>
      <w:r>
        <w:rPr>
          <w:b/>
          <w:i w:val="0"/>
        </w:rPr>
        <w:t>aeternitatem.</w:t>
      </w:r>
      <w:r>
        <w:rPr>
          <w:b w:val="0"/>
          <w:i w:val="0"/>
        </w:rPr>
        <w:t xml:space="preserve"> </w:t>
      </w:r>
      <w:hyperlink w:anchor="latin-record-1089">
        <w:r>
          <w:rPr>
            <w:color w:val="000000"/>
          </w:rPr>
          <w:t xml:space="preserve">sempiternitas / aeternitas</w:t>
        </w:r>
      </w:hyperlink>
      <w:r>
        <w:rPr>
          <w:b w:val="0"/>
          <w:i w:val="0"/>
        </w:rPr>
        <w:t>.</w:t>
      </w:r>
    </w:p>
    <w:p>
      <w:pPr>
        <w:widowControl/>
      </w:pPr>
      <w:r>
        <w:rPr>
          <w:b/>
          <w:i w:val="0"/>
        </w:rPr>
        <w:t>aeternitatis.</w:t>
      </w:r>
      <w:r>
        <w:rPr>
          <w:b w:val="0"/>
          <w:i w:val="0"/>
        </w:rPr>
        <w:t xml:space="preserve"> </w:t>
      </w:r>
      <w:hyperlink w:anchor="latin-record-1089">
        <w:r>
          <w:rPr>
            <w:color w:val="000000"/>
          </w:rPr>
          <w:t xml:space="preserve">sempiternitas / aeternitas</w:t>
        </w:r>
      </w:hyperlink>
      <w:r>
        <w:rPr>
          <w:b w:val="0"/>
          <w:i w:val="0"/>
        </w:rPr>
        <w:t>.</w:t>
      </w:r>
    </w:p>
    <w:p>
      <w:pPr>
        <w:widowControl/>
      </w:pPr>
      <w:r>
        <w:rPr>
          <w:b/>
          <w:i w:val="0"/>
        </w:rPr>
        <w:t>aeternum.</w:t>
      </w:r>
      <w:r>
        <w:rPr>
          <w:b w:val="0"/>
          <w:i w:val="0"/>
        </w:rPr>
        <w:t xml:space="preserve"> </w:t>
      </w:r>
      <w:hyperlink w:anchor="latin-record-1089">
        <w:r>
          <w:rPr>
            <w:color w:val="000000"/>
          </w:rPr>
          <w:t xml:space="preserve">sempiternitas / aeternitas</w:t>
        </w:r>
      </w:hyperlink>
      <w:r>
        <w:rPr>
          <w:b w:val="0"/>
          <w:i w:val="0"/>
        </w:rPr>
        <w:t>.</w:t>
      </w:r>
    </w:p>
    <w:p>
      <w:pPr>
        <w:widowControl/>
      </w:pPr>
      <w:r>
        <w:rPr>
          <w:b/>
          <w:i w:val="0"/>
        </w:rPr>
        <w:t>aethereo animae indumento.</w:t>
      </w:r>
      <w:r>
        <w:rPr>
          <w:b w:val="0"/>
          <w:i w:val="0"/>
        </w:rPr>
        <w:t xml:space="preserve"> </w:t>
      </w:r>
      <w:hyperlink w:anchor="latin-record-0558">
        <w:r>
          <w:rPr>
            <w:color w:val="000000"/>
          </w:rPr>
          <w:t xml:space="preserve">indumentum aethereum</w:t>
        </w:r>
      </w:hyperlink>
      <w:r>
        <w:rPr>
          <w:b w:val="0"/>
          <w:i w:val="0"/>
        </w:rPr>
        <w:t>.</w:t>
      </w:r>
    </w:p>
    <w:p>
      <w:pPr>
        <w:widowControl/>
      </w:pPr>
      <w:r>
        <w:rPr>
          <w:b/>
          <w:i w:val="0"/>
        </w:rPr>
        <w:t>aevum.</w:t>
      </w:r>
      <w:r>
        <w:rPr>
          <w:b w:val="0"/>
          <w:i w:val="0"/>
        </w:rPr>
        <w:t xml:space="preserve"> </w:t>
      </w:r>
      <w:hyperlink w:anchor="latin-record-0037">
        <w:r>
          <w:rPr>
            <w:color w:val="000000"/>
          </w:rPr>
          <w:t xml:space="preserve">aevum</w:t>
        </w:r>
      </w:hyperlink>
      <w:r>
        <w:rPr>
          <w:b w:val="0"/>
          <w:i w:val="0"/>
        </w:rPr>
        <w:t>.</w:t>
      </w:r>
    </w:p>
    <w:p>
      <w:pPr>
        <w:widowControl/>
      </w:pPr>
      <w:r>
        <w:rPr>
          <w:b/>
          <w:i w:val="0"/>
        </w:rPr>
        <w:t>affectat.</w:t>
      </w:r>
      <w:r>
        <w:rPr>
          <w:b w:val="0"/>
          <w:i w:val="0"/>
        </w:rPr>
        <w:t xml:space="preserve"> </w:t>
      </w:r>
      <w:hyperlink w:anchor="latin-record-0105">
        <w:r>
          <w:rPr>
            <w:color w:val="000000"/>
          </w:rPr>
          <w:t xml:space="preserve">attingere / affectare</w:t>
        </w:r>
      </w:hyperlink>
      <w:r>
        <w:rPr>
          <w:b w:val="0"/>
          <w:i w:val="0"/>
        </w:rPr>
        <w:t>.</w:t>
      </w:r>
    </w:p>
    <w:p>
      <w:pPr>
        <w:widowControl/>
      </w:pPr>
      <w:r>
        <w:rPr>
          <w:b/>
          <w:i w:val="0"/>
        </w:rPr>
        <w:t>affectio corporis.</w:t>
      </w:r>
      <w:r>
        <w:rPr>
          <w:b w:val="0"/>
          <w:i w:val="0"/>
        </w:rPr>
        <w:t xml:space="preserve"> </w:t>
      </w:r>
      <w:hyperlink w:anchor="latin-record-0030">
        <w:r>
          <w:rPr>
            <w:color w:val="000000"/>
          </w:rPr>
          <w:t xml:space="preserve">adultus / affectio corporis</w:t>
        </w:r>
      </w:hyperlink>
      <w:r>
        <w:rPr>
          <w:b w:val="0"/>
          <w:i w:val="0"/>
        </w:rPr>
        <w:t>.</w:t>
      </w:r>
    </w:p>
    <w:p>
      <w:pPr>
        <w:widowControl/>
      </w:pPr>
      <w:r>
        <w:rPr>
          <w:b/>
          <w:i w:val="0"/>
        </w:rPr>
        <w:t>affectiones.</w:t>
      </w:r>
      <w:r>
        <w:rPr>
          <w:b w:val="0"/>
          <w:i w:val="0"/>
        </w:rPr>
        <w:t xml:space="preserve"> </w:t>
      </w:r>
      <w:hyperlink w:anchor="latin-record-0309">
        <w:r>
          <w:rPr>
            <w:color w:val="000000"/>
          </w:rPr>
          <w:t xml:space="preserve">determinatio / affectio</w:t>
        </w:r>
      </w:hyperlink>
      <w:r>
        <w:rPr>
          <w:b w:val="0"/>
          <w:i w:val="0"/>
        </w:rPr>
        <w:t xml:space="preserve">; </w:t>
      </w:r>
      <w:hyperlink w:anchor="latin-record-1252">
        <w:r>
          <w:rPr>
            <w:color w:val="000000"/>
          </w:rPr>
          <w:t xml:space="preserve">vibrare / affectio</w:t>
        </w:r>
      </w:hyperlink>
      <w:r>
        <w:rPr>
          <w:b w:val="0"/>
          <w:i w:val="0"/>
        </w:rPr>
        <w:t>.</w:t>
      </w:r>
    </w:p>
    <w:p>
      <w:pPr>
        <w:widowControl/>
      </w:pPr>
      <w:r>
        <w:rPr>
          <w:b/>
          <w:i w:val="0"/>
        </w:rPr>
        <w:t>affectioque.</w:t>
      </w:r>
      <w:r>
        <w:rPr>
          <w:b w:val="0"/>
          <w:i w:val="0"/>
        </w:rPr>
        <w:t xml:space="preserve"> </w:t>
      </w:r>
      <w:hyperlink w:anchor="latin-record-0039">
        <w:r>
          <w:rPr>
            <w:color w:val="000000"/>
          </w:rPr>
          <w:t xml:space="preserve">afficio / affectio / passio</w:t>
        </w:r>
      </w:hyperlink>
      <w:r>
        <w:rPr>
          <w:b w:val="0"/>
          <w:i w:val="0"/>
        </w:rPr>
        <w:t>.</w:t>
      </w:r>
    </w:p>
    <w:p>
      <w:pPr>
        <w:widowControl/>
      </w:pPr>
      <w:r>
        <w:rPr>
          <w:b/>
          <w:i w:val="0"/>
        </w:rPr>
        <w:t>affectum.</w:t>
      </w:r>
      <w:r>
        <w:rPr>
          <w:b w:val="0"/>
          <w:i w:val="0"/>
        </w:rPr>
        <w:t xml:space="preserve"> </w:t>
      </w:r>
      <w:hyperlink w:anchor="latin-record-0038">
        <w:r>
          <w:rPr>
            <w:color w:val="000000"/>
          </w:rPr>
          <w:t xml:space="preserve">affectus / afficere</w:t>
        </w:r>
      </w:hyperlink>
      <w:r>
        <w:rPr>
          <w:b w:val="0"/>
          <w:i w:val="0"/>
        </w:rPr>
        <w:t xml:space="preserve">; </w:t>
      </w:r>
      <w:hyperlink w:anchor="latin-record-0216">
        <w:r>
          <w:rPr>
            <w:color w:val="000000"/>
          </w:rPr>
          <w:t xml:space="preserve">conatus / affectus</w:t>
        </w:r>
      </w:hyperlink>
      <w:r>
        <w:rPr>
          <w:b w:val="0"/>
          <w:i w:val="0"/>
        </w:rPr>
        <w:t>.</w:t>
      </w:r>
    </w:p>
    <w:p>
      <w:pPr>
        <w:widowControl/>
      </w:pPr>
      <w:r>
        <w:rPr>
          <w:b/>
          <w:i w:val="0"/>
        </w:rPr>
        <w:t>affectus.</w:t>
      </w:r>
      <w:r>
        <w:rPr>
          <w:b w:val="0"/>
          <w:i w:val="0"/>
        </w:rPr>
        <w:t xml:space="preserve"> </w:t>
      </w:r>
      <w:hyperlink w:anchor="latin-record-0216">
        <w:r>
          <w:rPr>
            <w:color w:val="000000"/>
          </w:rPr>
          <w:t xml:space="preserve">conatus / affectus</w:t>
        </w:r>
      </w:hyperlink>
      <w:r>
        <w:rPr>
          <w:b w:val="0"/>
          <w:i w:val="0"/>
        </w:rPr>
        <w:t>.</w:t>
      </w:r>
    </w:p>
    <w:p>
      <w:pPr>
        <w:widowControl/>
      </w:pPr>
      <w:r>
        <w:rPr>
          <w:b/>
          <w:i w:val="0"/>
        </w:rPr>
        <w:t>affici.</w:t>
      </w:r>
      <w:r>
        <w:rPr>
          <w:b w:val="0"/>
          <w:i w:val="0"/>
        </w:rPr>
        <w:t xml:space="preserve"> </w:t>
      </w:r>
      <w:hyperlink w:anchor="latin-record-0039">
        <w:r>
          <w:rPr>
            <w:color w:val="000000"/>
          </w:rPr>
          <w:t xml:space="preserve">afficio / affectio / passio</w:t>
        </w:r>
      </w:hyperlink>
      <w:r>
        <w:rPr>
          <w:b w:val="0"/>
          <w:i w:val="0"/>
        </w:rPr>
        <w:t>.</w:t>
      </w:r>
    </w:p>
    <w:p>
      <w:pPr>
        <w:widowControl/>
      </w:pPr>
      <w:r>
        <w:rPr>
          <w:b/>
          <w:i w:val="0"/>
        </w:rPr>
        <w:t>afficit.</w:t>
      </w:r>
      <w:r>
        <w:rPr>
          <w:b w:val="0"/>
          <w:i w:val="0"/>
        </w:rPr>
        <w:t xml:space="preserve"> </w:t>
      </w:r>
      <w:hyperlink w:anchor="latin-record-0038">
        <w:r>
          <w:rPr>
            <w:color w:val="000000"/>
          </w:rPr>
          <w:t xml:space="preserve">affectus / afficere</w:t>
        </w:r>
      </w:hyperlink>
      <w:r>
        <w:rPr>
          <w:b w:val="0"/>
          <w:i w:val="0"/>
        </w:rPr>
        <w:t>.</w:t>
      </w:r>
    </w:p>
    <w:p>
      <w:pPr>
        <w:widowControl/>
      </w:pPr>
      <w:r>
        <w:rPr>
          <w:b/>
          <w:i w:val="0"/>
        </w:rPr>
        <w:t>affirmet.</w:t>
      </w:r>
      <w:r>
        <w:rPr>
          <w:b w:val="0"/>
          <w:i w:val="0"/>
        </w:rPr>
        <w:t xml:space="preserve"> </w:t>
      </w:r>
      <w:hyperlink w:anchor="latin-record-0433">
        <w:r>
          <w:rPr>
            <w:color w:val="000000"/>
          </w:rPr>
          <w:t xml:space="preserve">fateri / negare / affirmare</w:t>
        </w:r>
      </w:hyperlink>
      <w:r>
        <w:rPr>
          <w:b w:val="0"/>
          <w:i w:val="0"/>
        </w:rPr>
        <w:t>.</w:t>
      </w:r>
    </w:p>
    <w:p>
      <w:pPr>
        <w:widowControl/>
      </w:pPr>
      <w:r>
        <w:rPr>
          <w:b/>
          <w:i w:val="0"/>
        </w:rPr>
        <w:t>affixa.</w:t>
      </w:r>
      <w:r>
        <w:rPr>
          <w:b w:val="0"/>
          <w:i w:val="0"/>
        </w:rPr>
        <w:t xml:space="preserve"> </w:t>
      </w:r>
      <w:hyperlink w:anchor="latin-record-0040">
        <w:r>
          <w:rPr>
            <w:color w:val="000000"/>
          </w:rPr>
          <w:t xml:space="preserve">affixus / situs</w:t>
        </w:r>
      </w:hyperlink>
      <w:r>
        <w:rPr>
          <w:b w:val="0"/>
          <w:i w:val="0"/>
        </w:rPr>
        <w:t>.</w:t>
      </w:r>
    </w:p>
    <w:p>
      <w:pPr>
        <w:widowControl/>
      </w:pPr>
      <w:r>
        <w:rPr>
          <w:b/>
          <w:i w:val="0"/>
        </w:rPr>
        <w:t>Africa.</w:t>
      </w:r>
      <w:r>
        <w:rPr>
          <w:b w:val="0"/>
          <w:i w:val="0"/>
        </w:rPr>
        <w:t xml:space="preserve"> </w:t>
      </w:r>
      <w:hyperlink w:anchor="latin-record-0892">
        <w:r>
          <w:rPr>
            <w:color w:val="000000"/>
          </w:rPr>
          <w:t xml:space="preserve">Porphyrius / Persis / Tusci</w:t>
        </w:r>
      </w:hyperlink>
      <w:r>
        <w:rPr>
          <w:b w:val="0"/>
          <w:i w:val="0"/>
        </w:rPr>
        <w:t>.</w:t>
      </w:r>
    </w:p>
    <w:p>
      <w:pPr>
        <w:widowControl/>
      </w:pPr>
      <w:r>
        <w:rPr>
          <w:b/>
          <w:i w:val="0"/>
        </w:rPr>
        <w:t>agens.</w:t>
      </w:r>
      <w:r>
        <w:rPr>
          <w:b w:val="0"/>
          <w:i w:val="0"/>
        </w:rPr>
        <w:t xml:space="preserve"> </w:t>
      </w:r>
      <w:hyperlink w:anchor="latin-record-0041">
        <w:r>
          <w:rPr>
            <w:color w:val="000000"/>
          </w:rPr>
          <w:t xml:space="preserve">agens / patiens</w:t>
        </w:r>
      </w:hyperlink>
      <w:r>
        <w:rPr>
          <w:b w:val="0"/>
          <w:i w:val="0"/>
        </w:rPr>
        <w:t>.</w:t>
      </w:r>
    </w:p>
    <w:p>
      <w:pPr>
        <w:widowControl/>
      </w:pPr>
      <w:r>
        <w:rPr>
          <w:b/>
          <w:i w:val="0"/>
        </w:rPr>
        <w:t>agente.</w:t>
      </w:r>
      <w:r>
        <w:rPr>
          <w:b w:val="0"/>
          <w:i w:val="0"/>
        </w:rPr>
        <w:t xml:space="preserve"> </w:t>
      </w:r>
      <w:hyperlink w:anchor="latin-record-0016">
        <w:r>
          <w:rPr>
            <w:color w:val="000000"/>
          </w:rPr>
          <w:t xml:space="preserve">actus / actio / agere</w:t>
        </w:r>
      </w:hyperlink>
      <w:r>
        <w:rPr>
          <w:b w:val="0"/>
          <w:i w:val="0"/>
        </w:rPr>
        <w:t>.</w:t>
      </w:r>
    </w:p>
    <w:p>
      <w:pPr>
        <w:widowControl/>
      </w:pPr>
      <w:r>
        <w:rPr>
          <w:b/>
          <w:i w:val="0"/>
        </w:rPr>
        <w:t>agenti.</w:t>
      </w:r>
      <w:r>
        <w:rPr>
          <w:b w:val="0"/>
          <w:i w:val="0"/>
        </w:rPr>
        <w:t xml:space="preserve"> </w:t>
      </w:r>
      <w:hyperlink w:anchor="latin-record-0041">
        <w:r>
          <w:rPr>
            <w:color w:val="000000"/>
          </w:rPr>
          <w:t xml:space="preserve">agens / patiens</w:t>
        </w:r>
      </w:hyperlink>
      <w:r>
        <w:rPr>
          <w:b w:val="0"/>
          <w:i w:val="0"/>
        </w:rPr>
        <w:t>.</w:t>
      </w:r>
    </w:p>
    <w:p>
      <w:pPr>
        <w:widowControl/>
      </w:pPr>
      <w:r>
        <w:rPr>
          <w:b/>
          <w:i w:val="0"/>
        </w:rPr>
        <w:t>agentis.</w:t>
      </w:r>
      <w:r>
        <w:rPr>
          <w:b w:val="0"/>
          <w:i w:val="0"/>
        </w:rPr>
        <w:t xml:space="preserve"> </w:t>
      </w:r>
      <w:hyperlink w:anchor="latin-record-0016">
        <w:r>
          <w:rPr>
            <w:color w:val="000000"/>
          </w:rPr>
          <w:t xml:space="preserve">actus / actio / agere</w:t>
        </w:r>
      </w:hyperlink>
      <w:r>
        <w:rPr>
          <w:b w:val="0"/>
          <w:i w:val="0"/>
        </w:rPr>
        <w:t>.</w:t>
      </w:r>
    </w:p>
    <w:p>
      <w:pPr>
        <w:widowControl/>
      </w:pPr>
      <w:r>
        <w:rPr>
          <w:b/>
          <w:i w:val="0"/>
        </w:rPr>
        <w:t>agile.</w:t>
      </w:r>
      <w:r>
        <w:rPr>
          <w:b w:val="0"/>
          <w:i w:val="0"/>
        </w:rPr>
        <w:t xml:space="preserve"> </w:t>
      </w:r>
      <w:hyperlink w:anchor="latin-record-0559">
        <w:r>
          <w:rPr>
            <w:color w:val="000000"/>
          </w:rPr>
          <w:t xml:space="preserve">ineptus / agilis</w:t>
        </w:r>
      </w:hyperlink>
      <w:r>
        <w:rPr>
          <w:b w:val="0"/>
          <w:i w:val="0"/>
        </w:rPr>
        <w:t>.</w:t>
      </w:r>
    </w:p>
    <w:p>
      <w:pPr>
        <w:widowControl/>
      </w:pPr>
      <w:r>
        <w:rPr>
          <w:b/>
          <w:i w:val="0"/>
        </w:rPr>
        <w:t>agili.</w:t>
      </w:r>
      <w:r>
        <w:rPr>
          <w:b w:val="0"/>
          <w:i w:val="0"/>
        </w:rPr>
        <w:t xml:space="preserve"> </w:t>
      </w:r>
      <w:hyperlink w:anchor="latin-record-0951">
        <w:r>
          <w:rPr>
            <w:color w:val="000000"/>
          </w:rPr>
          <w:t xml:space="preserve">promptus / agilis</w:t>
        </w:r>
      </w:hyperlink>
      <w:r>
        <w:rPr>
          <w:b w:val="0"/>
          <w:i w:val="0"/>
        </w:rPr>
        <w:t>.</w:t>
      </w:r>
    </w:p>
    <w:p>
      <w:pPr>
        <w:widowControl/>
      </w:pPr>
      <w:r>
        <w:rPr>
          <w:b/>
          <w:i w:val="0"/>
        </w:rPr>
        <w:t>agilis.</w:t>
      </w:r>
      <w:r>
        <w:rPr>
          <w:b w:val="0"/>
          <w:i w:val="0"/>
        </w:rPr>
        <w:t xml:space="preserve"> </w:t>
      </w:r>
      <w:hyperlink w:anchor="latin-record-0951">
        <w:r>
          <w:rPr>
            <w:color w:val="000000"/>
          </w:rPr>
          <w:t xml:space="preserve">promptus / agilis</w:t>
        </w:r>
      </w:hyperlink>
      <w:r>
        <w:rPr>
          <w:b w:val="0"/>
          <w:i w:val="0"/>
        </w:rPr>
        <w:t>.</w:t>
      </w:r>
    </w:p>
    <w:p>
      <w:pPr>
        <w:widowControl/>
      </w:pPr>
      <w:r>
        <w:rPr>
          <w:b/>
          <w:i w:val="0"/>
        </w:rPr>
        <w:t>agit.</w:t>
      </w:r>
      <w:r>
        <w:rPr>
          <w:b w:val="0"/>
          <w:i w:val="0"/>
        </w:rPr>
        <w:t xml:space="preserve"> </w:t>
      </w:r>
      <w:hyperlink w:anchor="latin-record-0016">
        <w:r>
          <w:rPr>
            <w:color w:val="000000"/>
          </w:rPr>
          <w:t xml:space="preserve">actus / actio / agere</w:t>
        </w:r>
      </w:hyperlink>
      <w:r>
        <w:rPr>
          <w:b w:val="0"/>
          <w:i w:val="0"/>
        </w:rPr>
        <w:t xml:space="preserve">; </w:t>
      </w:r>
      <w:hyperlink w:anchor="latin-record-0042">
        <w:r>
          <w:rPr>
            <w:color w:val="000000"/>
          </w:rPr>
          <w:t xml:space="preserve">agere / actio / agens</w:t>
        </w:r>
      </w:hyperlink>
      <w:r>
        <w:rPr>
          <w:b w:val="0"/>
          <w:i w:val="0"/>
        </w:rPr>
        <w:t>.</w:t>
      </w:r>
    </w:p>
    <w:p>
      <w:pPr>
        <w:widowControl/>
      </w:pPr>
      <w:r>
        <w:rPr>
          <w:b/>
          <w:i w:val="0"/>
        </w:rPr>
        <w:t>agit primo.</w:t>
      </w:r>
      <w:r>
        <w:rPr>
          <w:b w:val="0"/>
          <w:i w:val="0"/>
        </w:rPr>
        <w:t xml:space="preserve"> </w:t>
      </w:r>
      <w:hyperlink w:anchor="latin-record-0923">
        <w:r>
          <w:rPr>
            <w:color w:val="000000"/>
          </w:rPr>
          <w:t xml:space="preserve">primo agere</w:t>
        </w:r>
      </w:hyperlink>
      <w:r>
        <w:rPr>
          <w:b w:val="0"/>
          <w:i w:val="0"/>
        </w:rPr>
        <w:t>.</w:t>
      </w:r>
    </w:p>
    <w:p>
      <w:pPr>
        <w:widowControl/>
      </w:pPr>
      <w:r>
        <w:rPr>
          <w:b/>
          <w:i w:val="0"/>
        </w:rPr>
        <w:t>agnoscere.</w:t>
      </w:r>
      <w:r>
        <w:rPr>
          <w:b w:val="0"/>
          <w:i w:val="0"/>
        </w:rPr>
        <w:t xml:space="preserve"> </w:t>
      </w:r>
      <w:hyperlink w:anchor="latin-record-0181">
        <w:r>
          <w:rPr>
            <w:color w:val="000000"/>
          </w:rPr>
          <w:t xml:space="preserve">cognosco / agnosco</w:t>
        </w:r>
      </w:hyperlink>
      <w:r>
        <w:rPr>
          <w:b w:val="0"/>
          <w:i w:val="0"/>
        </w:rPr>
        <w:t>.</w:t>
      </w:r>
    </w:p>
    <w:p>
      <w:pPr>
        <w:widowControl/>
      </w:pPr>
      <w:r>
        <w:rPr>
          <w:b/>
          <w:i w:val="0"/>
        </w:rPr>
        <w:t>agnoscit.</w:t>
      </w:r>
      <w:r>
        <w:rPr>
          <w:b w:val="0"/>
          <w:i w:val="0"/>
        </w:rPr>
        <w:t xml:space="preserve"> </w:t>
      </w:r>
      <w:hyperlink w:anchor="latin-record-0071">
        <w:r>
          <w:rPr>
            <w:color w:val="000000"/>
          </w:rPr>
          <w:t xml:space="preserve">animadvertere / agnoscere</w:t>
        </w:r>
      </w:hyperlink>
      <w:r>
        <w:rPr>
          <w:b w:val="0"/>
          <w:i w:val="0"/>
        </w:rPr>
        <w:t>.</w:t>
      </w:r>
    </w:p>
    <w:p>
      <w:pPr>
        <w:widowControl/>
      </w:pPr>
      <w:r>
        <w:rPr>
          <w:b/>
          <w:i w:val="0"/>
        </w:rPr>
        <w:t>albedinis ratio.</w:t>
      </w:r>
      <w:r>
        <w:rPr>
          <w:b w:val="0"/>
          <w:i w:val="0"/>
        </w:rPr>
        <w:t xml:space="preserve"> </w:t>
      </w:r>
      <w:hyperlink w:anchor="latin-record-1023">
        <w:r>
          <w:rPr>
            <w:color w:val="000000"/>
          </w:rPr>
          <w:t xml:space="preserve">ratio albedinis</w:t>
        </w:r>
      </w:hyperlink>
      <w:r>
        <w:rPr>
          <w:b w:val="0"/>
          <w:i w:val="0"/>
        </w:rPr>
        <w:t>.</w:t>
      </w:r>
    </w:p>
    <w:p>
      <w:pPr>
        <w:widowControl/>
      </w:pPr>
      <w:r>
        <w:rPr>
          <w:b/>
          <w:i w:val="0"/>
        </w:rPr>
        <w:t>albedo.</w:t>
      </w:r>
      <w:r>
        <w:rPr>
          <w:b w:val="0"/>
          <w:i w:val="0"/>
        </w:rPr>
        <w:t xml:space="preserve"> </w:t>
      </w:r>
      <w:hyperlink w:anchor="latin-record-0045">
        <w:r>
          <w:rPr>
            <w:color w:val="000000"/>
          </w:rPr>
          <w:t xml:space="preserve">albedo / caro</w:t>
        </w:r>
      </w:hyperlink>
      <w:r>
        <w:rPr>
          <w:b w:val="0"/>
          <w:i w:val="0"/>
        </w:rPr>
        <w:t>.</w:t>
      </w:r>
    </w:p>
    <w:p>
      <w:pPr>
        <w:widowControl/>
      </w:pPr>
      <w:r>
        <w:rPr>
          <w:b/>
          <w:i w:val="0"/>
        </w:rPr>
        <w:t>Albedo.</w:t>
      </w:r>
      <w:r>
        <w:rPr>
          <w:b w:val="0"/>
          <w:i w:val="0"/>
        </w:rPr>
        <w:t xml:space="preserve"> </w:t>
      </w:r>
      <w:hyperlink w:anchor="latin-record-0045">
        <w:r>
          <w:rPr>
            <w:color w:val="000000"/>
          </w:rPr>
          <w:t xml:space="preserve">albedo / caro</w:t>
        </w:r>
      </w:hyperlink>
      <w:r>
        <w:rPr>
          <w:b w:val="0"/>
          <w:i w:val="0"/>
        </w:rPr>
        <w:t>.</w:t>
      </w:r>
    </w:p>
    <w:p>
      <w:pPr>
        <w:widowControl/>
      </w:pPr>
      <w:r>
        <w:rPr>
          <w:b/>
          <w:i w:val="0"/>
        </w:rPr>
        <w:t>alias.</w:t>
      </w:r>
      <w:r>
        <w:rPr>
          <w:b w:val="0"/>
          <w:i w:val="0"/>
        </w:rPr>
        <w:t xml:space="preserve"> </w:t>
      </w:r>
      <w:hyperlink w:anchor="latin-record-0048">
        <w:r>
          <w:rPr>
            <w:color w:val="000000"/>
          </w:rPr>
          <w:t xml:space="preserve">alias / mitto</w:t>
        </w:r>
      </w:hyperlink>
      <w:r>
        <w:rPr>
          <w:b w:val="0"/>
          <w:i w:val="0"/>
        </w:rPr>
        <w:t>.</w:t>
      </w:r>
    </w:p>
    <w:p>
      <w:pPr>
        <w:widowControl/>
      </w:pPr>
      <w:r>
        <w:rPr>
          <w:b/>
          <w:i w:val="0"/>
        </w:rPr>
        <w:t>alieno.</w:t>
      </w:r>
      <w:r>
        <w:rPr>
          <w:b w:val="0"/>
          <w:i w:val="0"/>
        </w:rPr>
        <w:t xml:space="preserve"> </w:t>
      </w:r>
      <w:hyperlink w:anchor="latin-record-1100">
        <w:r>
          <w:rPr>
            <w:color w:val="000000"/>
          </w:rPr>
          <w:t xml:space="preserve">servire / alienus</w:t>
        </w:r>
      </w:hyperlink>
      <w:r>
        <w:rPr>
          <w:b w:val="0"/>
          <w:i w:val="0"/>
        </w:rPr>
        <w:t>.</w:t>
      </w:r>
    </w:p>
    <w:p>
      <w:pPr>
        <w:widowControl/>
      </w:pPr>
      <w:r>
        <w:rPr>
          <w:b/>
          <w:i w:val="0"/>
        </w:rPr>
        <w:t>Alii vero quidam.</w:t>
      </w:r>
      <w:r>
        <w:rPr>
          <w:b w:val="0"/>
          <w:i w:val="0"/>
        </w:rPr>
        <w:t xml:space="preserve"> </w:t>
      </w:r>
      <w:hyperlink w:anchor="latin-record-0049">
        <w:r>
          <w:rPr>
            <w:color w:val="000000"/>
          </w:rPr>
          <w:t xml:space="preserve">alii quidam / Peripatetici</w:t>
        </w:r>
      </w:hyperlink>
      <w:r>
        <w:rPr>
          <w:b w:val="0"/>
          <w:i w:val="0"/>
        </w:rPr>
        <w:t>.</w:t>
      </w:r>
    </w:p>
    <w:p>
      <w:pPr>
        <w:widowControl/>
      </w:pPr>
      <w:r>
        <w:rPr>
          <w:b/>
          <w:i w:val="0"/>
        </w:rPr>
        <w:t>alimenta.</w:t>
      </w:r>
      <w:r>
        <w:rPr>
          <w:b w:val="0"/>
          <w:i w:val="0"/>
        </w:rPr>
        <w:t xml:space="preserve"> </w:t>
      </w:r>
      <w:hyperlink w:anchor="latin-record-0050">
        <w:r>
          <w:rPr>
            <w:color w:val="000000"/>
          </w:rPr>
          <w:t xml:space="preserve">alimentum / providere</w:t>
        </w:r>
      </w:hyperlink>
      <w:r>
        <w:rPr>
          <w:b w:val="0"/>
          <w:i w:val="0"/>
        </w:rPr>
        <w:t xml:space="preserve">; </w:t>
      </w:r>
      <w:hyperlink w:anchor="latin-record-0778">
        <w:r>
          <w:rPr>
            <w:color w:val="000000"/>
          </w:rPr>
          <w:t xml:space="preserve">nutrimentum / alimentum</w:t>
        </w:r>
      </w:hyperlink>
      <w:r>
        <w:rPr>
          <w:b w:val="0"/>
          <w:i w:val="0"/>
        </w:rPr>
        <w:t>.</w:t>
      </w:r>
    </w:p>
    <w:p>
      <w:pPr>
        <w:widowControl/>
      </w:pPr>
      <w:r>
        <w:rPr>
          <w:b/>
          <w:i w:val="0"/>
        </w:rPr>
        <w:t>alio.</w:t>
      </w:r>
      <w:r>
        <w:rPr>
          <w:b w:val="0"/>
          <w:i w:val="0"/>
        </w:rPr>
        <w:t xml:space="preserve"> </w:t>
      </w:r>
      <w:hyperlink w:anchor="latin-record-0053">
        <w:r>
          <w:rPr>
            <w:color w:val="000000"/>
          </w:rPr>
          <w:t xml:space="preserve">alius / idem / uterque — explanatory distinction</w:t>
        </w:r>
      </w:hyperlink>
      <w:r>
        <w:rPr>
          <w:b w:val="0"/>
          <w:i w:val="0"/>
        </w:rPr>
        <w:t>.</w:t>
      </w:r>
    </w:p>
    <w:p>
      <w:pPr>
        <w:widowControl/>
      </w:pPr>
      <w:r>
        <w:rPr>
          <w:b/>
          <w:i w:val="0"/>
        </w:rPr>
        <w:t>aliquando.</w:t>
      </w:r>
      <w:r>
        <w:rPr>
          <w:b w:val="0"/>
          <w:i w:val="0"/>
        </w:rPr>
        <w:t xml:space="preserve"> </w:t>
      </w:r>
      <w:hyperlink w:anchor="latin-record-1087">
        <w:r>
          <w:rPr>
            <w:color w:val="000000"/>
          </w:rPr>
          <w:t xml:space="preserve">semper / aliquando</w:t>
        </w:r>
      </w:hyperlink>
      <w:r>
        <w:rPr>
          <w:b w:val="0"/>
          <w:i w:val="0"/>
        </w:rPr>
        <w:t xml:space="preserve">; </w:t>
      </w:r>
      <w:hyperlink w:anchor="latin-record-1088">
        <w:r>
          <w:rPr>
            <w:color w:val="000000"/>
          </w:rPr>
          <w:t xml:space="preserve">semper / simul / aliquando / nondum / amplius</w:t>
        </w:r>
      </w:hyperlink>
      <w:r>
        <w:rPr>
          <w:b w:val="0"/>
          <w:i w:val="0"/>
        </w:rPr>
        <w:t>.</w:t>
      </w:r>
    </w:p>
    <w:p>
      <w:pPr>
        <w:widowControl/>
      </w:pPr>
      <w:r>
        <w:rPr>
          <w:b/>
          <w:i w:val="0"/>
        </w:rPr>
        <w:t>alis.</w:t>
      </w:r>
      <w:r>
        <w:rPr>
          <w:b w:val="0"/>
          <w:i w:val="0"/>
        </w:rPr>
        <w:t xml:space="preserve"> </w:t>
      </w:r>
      <w:hyperlink w:anchor="latin-record-0044">
        <w:r>
          <w:rPr>
            <w:color w:val="000000"/>
          </w:rPr>
          <w:t xml:space="preserve">ala / dux / patria</w:t>
        </w:r>
      </w:hyperlink>
      <w:r>
        <w:rPr>
          <w:b w:val="0"/>
          <w:i w:val="0"/>
        </w:rPr>
        <w:t>.</w:t>
      </w:r>
    </w:p>
    <w:p>
      <w:pPr>
        <w:widowControl/>
      </w:pPr>
      <w:r>
        <w:rPr>
          <w:b/>
          <w:i w:val="0"/>
        </w:rPr>
        <w:t>alit.</w:t>
      </w:r>
      <w:r>
        <w:rPr>
          <w:b w:val="0"/>
          <w:i w:val="0"/>
        </w:rPr>
        <w:t xml:space="preserve"> </w:t>
      </w:r>
      <w:hyperlink w:anchor="latin-record-0046">
        <w:r>
          <w:rPr>
            <w:color w:val="000000"/>
          </w:rPr>
          <w:t xml:space="preserve">alere</w:t>
        </w:r>
      </w:hyperlink>
      <w:r>
        <w:rPr>
          <w:b w:val="0"/>
          <w:i w:val="0"/>
        </w:rPr>
        <w:t xml:space="preserve">; </w:t>
      </w:r>
      <w:hyperlink w:anchor="latin-record-0047">
        <w:r>
          <w:rPr>
            <w:color w:val="000000"/>
          </w:rPr>
          <w:t xml:space="preserve">alere / nutrire / digerere</w:t>
        </w:r>
      </w:hyperlink>
      <w:r>
        <w:rPr>
          <w:b w:val="0"/>
          <w:i w:val="0"/>
        </w:rPr>
        <w:t xml:space="preserve">; </w:t>
      </w:r>
      <w:hyperlink w:anchor="latin-record-0051">
        <w:r>
          <w:rPr>
            <w:color w:val="000000"/>
          </w:rPr>
          <w:t xml:space="preserve">alit / auget / generat</w:t>
        </w:r>
      </w:hyperlink>
      <w:r>
        <w:rPr>
          <w:b w:val="0"/>
          <w:i w:val="0"/>
        </w:rPr>
        <w:t>.</w:t>
      </w:r>
    </w:p>
    <w:p>
      <w:pPr>
        <w:widowControl/>
      </w:pPr>
      <w:r>
        <w:rPr>
          <w:b/>
          <w:i w:val="0"/>
        </w:rPr>
        <w:t>aliud.</w:t>
      </w:r>
      <w:r>
        <w:rPr>
          <w:b w:val="0"/>
          <w:i w:val="0"/>
        </w:rPr>
        <w:t xml:space="preserve"> </w:t>
      </w:r>
      <w:hyperlink w:anchor="latin-record-0053">
        <w:r>
          <w:rPr>
            <w:color w:val="000000"/>
          </w:rPr>
          <w:t xml:space="preserve">alius / idem / uterque — explanatory distinction</w:t>
        </w:r>
      </w:hyperlink>
      <w:r>
        <w:rPr>
          <w:b w:val="0"/>
          <w:i w:val="0"/>
        </w:rPr>
        <w:t>.</w:t>
      </w:r>
    </w:p>
    <w:p>
      <w:pPr>
        <w:widowControl/>
      </w:pPr>
      <w:r>
        <w:rPr>
          <w:b/>
          <w:i w:val="0"/>
        </w:rPr>
        <w:t>aliunde.</w:t>
      </w:r>
      <w:r>
        <w:rPr>
          <w:b w:val="0"/>
          <w:i w:val="0"/>
        </w:rPr>
        <w:t xml:space="preserve"> </w:t>
      </w:r>
      <w:hyperlink w:anchor="latin-record-0052">
        <w:r>
          <w:rPr>
            <w:color w:val="000000"/>
          </w:rPr>
          <w:t xml:space="preserve">aliunde</w:t>
        </w:r>
      </w:hyperlink>
      <w:r>
        <w:rPr>
          <w:b w:val="0"/>
          <w:i w:val="0"/>
        </w:rPr>
        <w:t xml:space="preserve">; </w:t>
      </w:r>
      <w:hyperlink w:anchor="latin-record-0419">
        <w:r>
          <w:rPr>
            <w:color w:val="000000"/>
          </w:rPr>
          <w:t xml:space="preserve">extrinsecus / aliunde</w:t>
        </w:r>
      </w:hyperlink>
      <w:r>
        <w:rPr>
          <w:b w:val="0"/>
          <w:i w:val="0"/>
        </w:rPr>
        <w:t>.</w:t>
      </w:r>
    </w:p>
    <w:p>
      <w:pPr>
        <w:widowControl/>
      </w:pPr>
      <w:r>
        <w:rPr>
          <w:b/>
          <w:i w:val="0"/>
        </w:rPr>
        <w:t>alliciat.</w:t>
      </w:r>
      <w:r>
        <w:rPr>
          <w:b w:val="0"/>
          <w:i w:val="0"/>
        </w:rPr>
        <w:t xml:space="preserve"> </w:t>
      </w:r>
      <w:hyperlink w:anchor="latin-record-0054">
        <w:r>
          <w:rPr>
            <w:color w:val="000000"/>
          </w:rPr>
          <w:t xml:space="preserve">allicere / cogere / persuadere</w:t>
        </w:r>
      </w:hyperlink>
      <w:r>
        <w:rPr>
          <w:b w:val="0"/>
          <w:i w:val="0"/>
        </w:rPr>
        <w:t>.</w:t>
      </w:r>
    </w:p>
    <w:p>
      <w:pPr>
        <w:widowControl/>
      </w:pPr>
      <w:r>
        <w:rPr>
          <w:b/>
          <w:i w:val="0"/>
        </w:rPr>
        <w:t>alligantur.</w:t>
      </w:r>
      <w:r>
        <w:rPr>
          <w:b w:val="0"/>
          <w:i w:val="0"/>
        </w:rPr>
        <w:t xml:space="preserve"> </w:t>
      </w:r>
      <w:hyperlink w:anchor="latin-record-0979">
        <w:r>
          <w:rPr>
            <w:color w:val="000000"/>
          </w:rPr>
          <w:t xml:space="preserve">pullulare / alligare</w:t>
        </w:r>
      </w:hyperlink>
      <w:r>
        <w:rPr>
          <w:b w:val="0"/>
          <w:i w:val="0"/>
        </w:rPr>
        <w:t>.</w:t>
      </w:r>
    </w:p>
    <w:p>
      <w:pPr>
        <w:widowControl/>
      </w:pPr>
      <w:r>
        <w:rPr>
          <w:b/>
          <w:i w:val="0"/>
        </w:rPr>
        <w:t>Almariani.</w:t>
      </w:r>
      <w:r>
        <w:rPr>
          <w:b w:val="0"/>
          <w:i w:val="0"/>
        </w:rPr>
        <w:t xml:space="preserve"> </w:t>
      </w:r>
      <w:hyperlink w:anchor="latin-record-0055">
        <w:r>
          <w:rPr>
            <w:color w:val="000000"/>
          </w:rPr>
          <w:t xml:space="preserve">Almariani</w:t>
        </w:r>
      </w:hyperlink>
      <w:r>
        <w:rPr>
          <w:b w:val="0"/>
          <w:i w:val="0"/>
        </w:rPr>
        <w:t>.</w:t>
      </w:r>
    </w:p>
    <w:p>
      <w:pPr>
        <w:widowControl/>
      </w:pPr>
      <w:r>
        <w:rPr>
          <w:b/>
          <w:i w:val="0"/>
        </w:rPr>
        <w:t>amari.</w:t>
      </w:r>
      <w:r>
        <w:rPr>
          <w:b w:val="0"/>
          <w:i w:val="0"/>
        </w:rPr>
        <w:t xml:space="preserve"> </w:t>
      </w:r>
      <w:hyperlink w:anchor="latin-record-0056">
        <w:r>
          <w:rPr>
            <w:color w:val="000000"/>
          </w:rPr>
          <w:t xml:space="preserve">amare / amor</w:t>
        </w:r>
      </w:hyperlink>
      <w:r>
        <w:rPr>
          <w:b w:val="0"/>
          <w:i w:val="0"/>
        </w:rPr>
        <w:t>.</w:t>
      </w:r>
    </w:p>
    <w:p>
      <w:pPr>
        <w:widowControl/>
      </w:pPr>
      <w:r>
        <w:rPr>
          <w:b/>
          <w:i w:val="0"/>
        </w:rPr>
        <w:t>ambigere.</w:t>
      </w:r>
      <w:r>
        <w:rPr>
          <w:b w:val="0"/>
          <w:i w:val="0"/>
        </w:rPr>
        <w:t xml:space="preserve"> </w:t>
      </w:r>
      <w:hyperlink w:anchor="latin-record-0057">
        <w:r>
          <w:rPr>
            <w:color w:val="000000"/>
          </w:rPr>
          <w:t xml:space="preserve">ambigere</w:t>
        </w:r>
      </w:hyperlink>
      <w:r>
        <w:rPr>
          <w:b w:val="0"/>
          <w:i w:val="0"/>
        </w:rPr>
        <w:t>.</w:t>
      </w:r>
    </w:p>
    <w:p>
      <w:pPr>
        <w:widowControl/>
      </w:pPr>
      <w:r>
        <w:rPr>
          <w:b/>
          <w:i w:val="0"/>
        </w:rPr>
        <w:t>ambigunt.</w:t>
      </w:r>
      <w:r>
        <w:rPr>
          <w:b w:val="0"/>
          <w:i w:val="0"/>
        </w:rPr>
        <w:t xml:space="preserve"> </w:t>
      </w:r>
      <w:hyperlink w:anchor="latin-record-0058">
        <w:r>
          <w:rPr>
            <w:color w:val="000000"/>
          </w:rPr>
          <w:t xml:space="preserve">ambigere / disserere</w:t>
        </w:r>
      </w:hyperlink>
      <w:r>
        <w:rPr>
          <w:b w:val="0"/>
          <w:i w:val="0"/>
        </w:rPr>
        <w:t>.</w:t>
      </w:r>
    </w:p>
    <w:p>
      <w:pPr>
        <w:widowControl/>
      </w:pPr>
      <w:r>
        <w:rPr>
          <w:b/>
          <w:i w:val="0"/>
        </w:rPr>
        <w:t>ambiguus.</w:t>
      </w:r>
      <w:r>
        <w:rPr>
          <w:b w:val="0"/>
          <w:i w:val="0"/>
        </w:rPr>
        <w:t xml:space="preserve"> </w:t>
      </w:r>
      <w:hyperlink w:anchor="latin-record-0057">
        <w:r>
          <w:rPr>
            <w:color w:val="000000"/>
          </w:rPr>
          <w:t xml:space="preserve">ambigere</w:t>
        </w:r>
      </w:hyperlink>
      <w:r>
        <w:rPr>
          <w:b w:val="0"/>
          <w:i w:val="0"/>
        </w:rPr>
        <w:t>.</w:t>
      </w:r>
    </w:p>
    <w:p>
      <w:pPr>
        <w:widowControl/>
      </w:pPr>
      <w:r>
        <w:rPr>
          <w:b/>
          <w:i w:val="0"/>
        </w:rPr>
        <w:t>Amelius.</w:t>
      </w:r>
      <w:r>
        <w:rPr>
          <w:b w:val="0"/>
          <w:i w:val="0"/>
        </w:rPr>
        <w:t xml:space="preserve"> </w:t>
      </w:r>
      <w:hyperlink w:anchor="latin-record-0614">
        <w:r>
          <w:rPr>
            <w:color w:val="000000"/>
          </w:rPr>
          <w:t xml:space="preserve">Ioannes / Amelius</w:t>
        </w:r>
      </w:hyperlink>
      <w:r>
        <w:rPr>
          <w:b w:val="0"/>
          <w:i w:val="0"/>
        </w:rPr>
        <w:t>.</w:t>
      </w:r>
    </w:p>
    <w:p>
      <w:pPr>
        <w:widowControl/>
      </w:pPr>
      <w:r>
        <w:rPr>
          <w:b/>
          <w:i w:val="0"/>
        </w:rPr>
        <w:t>amittere.</w:t>
      </w:r>
      <w:r>
        <w:rPr>
          <w:b w:val="0"/>
          <w:i w:val="0"/>
        </w:rPr>
        <w:t xml:space="preserve"> </w:t>
      </w:r>
      <w:hyperlink w:anchor="latin-record-0060">
        <w:r>
          <w:rPr>
            <w:color w:val="000000"/>
          </w:rPr>
          <w:t xml:space="preserve">amitto</w:t>
        </w:r>
      </w:hyperlink>
      <w:r>
        <w:rPr>
          <w:b w:val="0"/>
          <w:i w:val="0"/>
        </w:rPr>
        <w:t>.</w:t>
      </w:r>
    </w:p>
    <w:p>
      <w:pPr>
        <w:widowControl/>
      </w:pPr>
      <w:r>
        <w:rPr>
          <w:b/>
          <w:i w:val="0"/>
        </w:rPr>
        <w:t>amittit.</w:t>
      </w:r>
      <w:r>
        <w:rPr>
          <w:b w:val="0"/>
          <w:i w:val="0"/>
        </w:rPr>
        <w:t xml:space="preserve"> </w:t>
      </w:r>
      <w:hyperlink w:anchor="latin-record-1059">
        <w:r>
          <w:rPr>
            <w:color w:val="000000"/>
          </w:rPr>
          <w:t xml:space="preserve">retinere / amittere</w:t>
        </w:r>
      </w:hyperlink>
      <w:r>
        <w:rPr>
          <w:b w:val="0"/>
          <w:i w:val="0"/>
        </w:rPr>
        <w:t>.</w:t>
      </w:r>
    </w:p>
    <w:p>
      <w:pPr>
        <w:widowControl/>
      </w:pPr>
      <w:r>
        <w:rPr>
          <w:b/>
          <w:i w:val="0"/>
        </w:rPr>
        <w:t>amittitur.</w:t>
      </w:r>
      <w:r>
        <w:rPr>
          <w:b w:val="0"/>
          <w:i w:val="0"/>
        </w:rPr>
        <w:t xml:space="preserve"> </w:t>
      </w:r>
      <w:hyperlink w:anchor="latin-record-0059">
        <w:r>
          <w:rPr>
            <w:color w:val="000000"/>
          </w:rPr>
          <w:t xml:space="preserve">amittere / delere</w:t>
        </w:r>
      </w:hyperlink>
      <w:r>
        <w:rPr>
          <w:b w:val="0"/>
          <w:i w:val="0"/>
        </w:rPr>
        <w:t>.</w:t>
      </w:r>
    </w:p>
    <w:p>
      <w:pPr>
        <w:widowControl/>
      </w:pPr>
      <w:r>
        <w:rPr>
          <w:b/>
          <w:i w:val="0"/>
        </w:rPr>
        <w:t>amorem.</w:t>
      </w:r>
      <w:r>
        <w:rPr>
          <w:b w:val="0"/>
          <w:i w:val="0"/>
        </w:rPr>
        <w:t xml:space="preserve"> </w:t>
      </w:r>
      <w:hyperlink w:anchor="latin-record-0056">
        <w:r>
          <w:rPr>
            <w:color w:val="000000"/>
          </w:rPr>
          <w:t xml:space="preserve">amare / amor</w:t>
        </w:r>
      </w:hyperlink>
      <w:r>
        <w:rPr>
          <w:b w:val="0"/>
          <w:i w:val="0"/>
        </w:rPr>
        <w:t>.</w:t>
      </w:r>
    </w:p>
    <w:p>
      <w:pPr>
        <w:widowControl/>
      </w:pPr>
      <w:r>
        <w:rPr>
          <w:b/>
          <w:i w:val="0"/>
        </w:rPr>
        <w:t>amplecti.</w:t>
      </w:r>
      <w:r>
        <w:rPr>
          <w:b w:val="0"/>
          <w:i w:val="0"/>
        </w:rPr>
        <w:t xml:space="preserve"> </w:t>
      </w:r>
      <w:hyperlink w:anchor="latin-record-0244">
        <w:r>
          <w:rPr>
            <w:color w:val="000000"/>
          </w:rPr>
          <w:t xml:space="preserve">conquiescere / amplecti</w:t>
        </w:r>
      </w:hyperlink>
      <w:r>
        <w:rPr>
          <w:b w:val="0"/>
          <w:i w:val="0"/>
        </w:rPr>
        <w:t>.</w:t>
      </w:r>
    </w:p>
    <w:p>
      <w:pPr>
        <w:widowControl/>
      </w:pPr>
      <w:r>
        <w:rPr>
          <w:b/>
          <w:i w:val="0"/>
        </w:rPr>
        <w:t>amplectitur.</w:t>
      </w:r>
      <w:r>
        <w:rPr>
          <w:b w:val="0"/>
          <w:i w:val="0"/>
        </w:rPr>
        <w:t xml:space="preserve"> </w:t>
      </w:r>
      <w:hyperlink w:anchor="latin-record-0061">
        <w:r>
          <w:rPr>
            <w:color w:val="000000"/>
          </w:rPr>
          <w:t xml:space="preserve">amplecti</w:t>
        </w:r>
      </w:hyperlink>
      <w:r>
        <w:rPr>
          <w:b w:val="0"/>
          <w:i w:val="0"/>
        </w:rPr>
        <w:t xml:space="preserve">; </w:t>
      </w:r>
      <w:hyperlink w:anchor="latin-record-0244">
        <w:r>
          <w:rPr>
            <w:color w:val="000000"/>
          </w:rPr>
          <w:t xml:space="preserve">conquiescere / amplecti</w:t>
        </w:r>
      </w:hyperlink>
      <w:r>
        <w:rPr>
          <w:b w:val="0"/>
          <w:i w:val="0"/>
        </w:rPr>
        <w:t>.</w:t>
      </w:r>
    </w:p>
    <w:p>
      <w:pPr>
        <w:widowControl/>
      </w:pPr>
      <w:r>
        <w:rPr>
          <w:b/>
          <w:i w:val="0"/>
        </w:rPr>
        <w:t>amplificare.</w:t>
      </w:r>
      <w:r>
        <w:rPr>
          <w:b w:val="0"/>
          <w:i w:val="0"/>
        </w:rPr>
        <w:t xml:space="preserve"> </w:t>
      </w:r>
      <w:hyperlink w:anchor="latin-record-0062">
        <w:r>
          <w:rPr>
            <w:color w:val="000000"/>
          </w:rPr>
          <w:t xml:space="preserve">amplificare / porrigere</w:t>
        </w:r>
      </w:hyperlink>
      <w:r>
        <w:rPr>
          <w:b w:val="0"/>
          <w:i w:val="0"/>
        </w:rPr>
        <w:t xml:space="preserve">; </w:t>
      </w:r>
      <w:hyperlink w:anchor="latin-record-0952">
        <w:r>
          <w:rPr>
            <w:color w:val="000000"/>
          </w:rPr>
          <w:t xml:space="preserve">propagare / amplificare / dilatare</w:t>
        </w:r>
      </w:hyperlink>
      <w:r>
        <w:rPr>
          <w:b w:val="0"/>
          <w:i w:val="0"/>
        </w:rPr>
        <w:t>.</w:t>
      </w:r>
    </w:p>
    <w:p>
      <w:pPr>
        <w:widowControl/>
      </w:pPr>
      <w:r>
        <w:rPr>
          <w:b/>
          <w:i w:val="0"/>
        </w:rPr>
        <w:t>amplificari.</w:t>
      </w:r>
      <w:r>
        <w:rPr>
          <w:b w:val="0"/>
          <w:i w:val="0"/>
        </w:rPr>
        <w:t xml:space="preserve"> </w:t>
      </w:r>
      <w:hyperlink w:anchor="latin-record-0062">
        <w:r>
          <w:rPr>
            <w:color w:val="000000"/>
          </w:rPr>
          <w:t xml:space="preserve">amplificare / porrigere</w:t>
        </w:r>
      </w:hyperlink>
      <w:r>
        <w:rPr>
          <w:b w:val="0"/>
          <w:i w:val="0"/>
        </w:rPr>
        <w:t xml:space="preserve">; </w:t>
      </w:r>
      <w:hyperlink w:anchor="latin-record-0968">
        <w:r>
          <w:rPr>
            <w:color w:val="000000"/>
          </w:rPr>
          <w:t xml:space="preserve">protendo / amplifico</w:t>
        </w:r>
      </w:hyperlink>
      <w:r>
        <w:rPr>
          <w:b w:val="0"/>
          <w:i w:val="0"/>
        </w:rPr>
        <w:t>.</w:t>
      </w:r>
    </w:p>
    <w:p>
      <w:pPr>
        <w:widowControl/>
      </w:pPr>
      <w:r>
        <w:rPr>
          <w:b/>
          <w:i w:val="0"/>
        </w:rPr>
        <w:t>amplificat.</w:t>
      </w:r>
      <w:r>
        <w:rPr>
          <w:b w:val="0"/>
          <w:i w:val="0"/>
        </w:rPr>
        <w:t xml:space="preserve"> </w:t>
      </w:r>
      <w:hyperlink w:anchor="latin-record-0952">
        <w:r>
          <w:rPr>
            <w:color w:val="000000"/>
          </w:rPr>
          <w:t xml:space="preserve">propagare / amplificare / dilatare</w:t>
        </w:r>
      </w:hyperlink>
      <w:r>
        <w:rPr>
          <w:b w:val="0"/>
          <w:i w:val="0"/>
        </w:rPr>
        <w:t>.</w:t>
      </w:r>
    </w:p>
    <w:p>
      <w:pPr>
        <w:widowControl/>
      </w:pPr>
      <w:r>
        <w:rPr>
          <w:b/>
          <w:i w:val="0"/>
        </w:rPr>
        <w:t>amplificatae.</w:t>
      </w:r>
      <w:r>
        <w:rPr>
          <w:b w:val="0"/>
          <w:i w:val="0"/>
        </w:rPr>
        <w:t xml:space="preserve"> </w:t>
      </w:r>
      <w:hyperlink w:anchor="latin-record-0438">
        <w:r>
          <w:rPr>
            <w:color w:val="000000"/>
          </w:rPr>
          <w:t xml:space="preserve">fecunditas / amplifico</w:t>
        </w:r>
      </w:hyperlink>
      <w:r>
        <w:rPr>
          <w:b w:val="0"/>
          <w:i w:val="0"/>
        </w:rPr>
        <w:t>.</w:t>
      </w:r>
    </w:p>
    <w:p>
      <w:pPr>
        <w:widowControl/>
      </w:pPr>
      <w:r>
        <w:rPr>
          <w:b/>
          <w:i w:val="0"/>
        </w:rPr>
        <w:t>amplior.</w:t>
      </w:r>
      <w:r>
        <w:rPr>
          <w:b w:val="0"/>
          <w:i w:val="0"/>
        </w:rPr>
        <w:t xml:space="preserve"> </w:t>
      </w:r>
      <w:hyperlink w:anchor="latin-record-0064">
        <w:r>
          <w:rPr>
            <w:color w:val="000000"/>
          </w:rPr>
          <w:t xml:space="preserve">amplus / amplior</w:t>
        </w:r>
      </w:hyperlink>
      <w:r>
        <w:rPr>
          <w:b w:val="0"/>
          <w:i w:val="0"/>
        </w:rPr>
        <w:t xml:space="preserve">; </w:t>
      </w:r>
      <w:hyperlink w:anchor="latin-record-0765">
        <w:r>
          <w:rPr>
            <w:color w:val="000000"/>
          </w:rPr>
          <w:t xml:space="preserve">nobilior / amplior</w:t>
        </w:r>
      </w:hyperlink>
      <w:r>
        <w:rPr>
          <w:b w:val="0"/>
          <w:i w:val="0"/>
        </w:rPr>
        <w:t>.</w:t>
      </w:r>
    </w:p>
    <w:p>
      <w:pPr>
        <w:widowControl/>
      </w:pPr>
      <w:r>
        <w:rPr>
          <w:b/>
          <w:i w:val="0"/>
        </w:rPr>
        <w:t>ampliorem.</w:t>
      </w:r>
      <w:r>
        <w:rPr>
          <w:b w:val="0"/>
          <w:i w:val="0"/>
        </w:rPr>
        <w:t xml:space="preserve"> </w:t>
      </w:r>
      <w:hyperlink w:anchor="latin-record-0064">
        <w:r>
          <w:rPr>
            <w:color w:val="000000"/>
          </w:rPr>
          <w:t xml:space="preserve">amplus / amplior</w:t>
        </w:r>
      </w:hyperlink>
      <w:r>
        <w:rPr>
          <w:b w:val="0"/>
          <w:i w:val="0"/>
        </w:rPr>
        <w:t>.</w:t>
      </w:r>
    </w:p>
    <w:p>
      <w:pPr>
        <w:widowControl/>
      </w:pPr>
      <w:r>
        <w:rPr>
          <w:b/>
          <w:i w:val="0"/>
        </w:rPr>
        <w:t>Amplissima.</w:t>
      </w:r>
      <w:r>
        <w:rPr>
          <w:b w:val="0"/>
          <w:i w:val="0"/>
        </w:rPr>
        <w:t xml:space="preserve"> </w:t>
      </w:r>
      <w:hyperlink w:anchor="latin-record-0064">
        <w:r>
          <w:rPr>
            <w:color w:val="000000"/>
          </w:rPr>
          <w:t xml:space="preserve">amplus / amplior</w:t>
        </w:r>
      </w:hyperlink>
      <w:r>
        <w:rPr>
          <w:b w:val="0"/>
          <w:i w:val="0"/>
        </w:rPr>
        <w:t>.</w:t>
      </w:r>
    </w:p>
    <w:p>
      <w:pPr>
        <w:widowControl/>
      </w:pPr>
      <w:r>
        <w:rPr>
          <w:b/>
          <w:i w:val="0"/>
        </w:rPr>
        <w:t>amplissima.</w:t>
      </w:r>
      <w:r>
        <w:rPr>
          <w:b w:val="0"/>
          <w:i w:val="0"/>
        </w:rPr>
        <w:t xml:space="preserve"> </w:t>
      </w:r>
      <w:hyperlink w:anchor="latin-record-0064">
        <w:r>
          <w:rPr>
            <w:color w:val="000000"/>
          </w:rPr>
          <w:t xml:space="preserve">amplus / amplior</w:t>
        </w:r>
      </w:hyperlink>
      <w:r>
        <w:rPr>
          <w:b w:val="0"/>
          <w:i w:val="0"/>
        </w:rPr>
        <w:t>.</w:t>
      </w:r>
    </w:p>
    <w:p>
      <w:pPr>
        <w:widowControl/>
      </w:pPr>
      <w:r>
        <w:rPr>
          <w:b/>
          <w:i w:val="0"/>
        </w:rPr>
        <w:t>amplissimam.</w:t>
      </w:r>
      <w:r>
        <w:rPr>
          <w:b w:val="0"/>
          <w:i w:val="0"/>
        </w:rPr>
        <w:t xml:space="preserve"> </w:t>
      </w:r>
      <w:hyperlink w:anchor="latin-record-0900">
        <w:r>
          <w:rPr>
            <w:color w:val="000000"/>
          </w:rPr>
          <w:t xml:space="preserve">potissimum / summopere / penitus / prorsus / late</w:t>
        </w:r>
      </w:hyperlink>
      <w:r>
        <w:rPr>
          <w:b w:val="0"/>
          <w:i w:val="0"/>
        </w:rPr>
        <w:t>.</w:t>
      </w:r>
    </w:p>
    <w:p>
      <w:pPr>
        <w:widowControl/>
      </w:pPr>
      <w:r>
        <w:rPr>
          <w:b/>
          <w:i w:val="0"/>
        </w:rPr>
        <w:t>amplitudo.</w:t>
      </w:r>
      <w:r>
        <w:rPr>
          <w:b w:val="0"/>
          <w:i w:val="0"/>
        </w:rPr>
        <w:t xml:space="preserve"> </w:t>
      </w:r>
      <w:hyperlink w:anchor="latin-record-0063">
        <w:r>
          <w:rPr>
            <w:color w:val="000000"/>
          </w:rPr>
          <w:t xml:space="preserve">amplitudo / plenitudo / implere</w:t>
        </w:r>
      </w:hyperlink>
      <w:r>
        <w:rPr>
          <w:b w:val="0"/>
          <w:i w:val="0"/>
        </w:rPr>
        <w:t>.</w:t>
      </w:r>
    </w:p>
    <w:p>
      <w:pPr>
        <w:widowControl/>
      </w:pPr>
      <w:r>
        <w:rPr>
          <w:b/>
          <w:i w:val="0"/>
        </w:rPr>
        <w:t>amplius.</w:t>
      </w:r>
      <w:r>
        <w:rPr>
          <w:b w:val="0"/>
          <w:i w:val="0"/>
        </w:rPr>
        <w:t xml:space="preserve"> </w:t>
      </w:r>
      <w:hyperlink w:anchor="latin-record-1088">
        <w:r>
          <w:rPr>
            <w:color w:val="000000"/>
          </w:rPr>
          <w:t xml:space="preserve">semper / simul / aliquando / nondum / amplius</w:t>
        </w:r>
      </w:hyperlink>
      <w:r>
        <w:rPr>
          <w:b w:val="0"/>
          <w:i w:val="0"/>
        </w:rPr>
        <w:t>.</w:t>
      </w:r>
    </w:p>
    <w:p>
      <w:pPr>
        <w:widowControl/>
      </w:pPr>
      <w:r>
        <w:rPr>
          <w:b/>
          <w:i w:val="0"/>
        </w:rPr>
        <w:t>Anaxagora.</w:t>
      </w:r>
      <w:r>
        <w:rPr>
          <w:b w:val="0"/>
          <w:i w:val="0"/>
        </w:rPr>
        <w:t xml:space="preserve"> </w:t>
      </w:r>
      <w:hyperlink w:anchor="latin-record-0065">
        <w:r>
          <w:rPr>
            <w:color w:val="000000"/>
          </w:rPr>
          <w:t xml:space="preserve">Anaxagoras / Hermotimus</w:t>
        </w:r>
      </w:hyperlink>
      <w:r>
        <w:rPr>
          <w:b w:val="0"/>
          <w:i w:val="0"/>
        </w:rPr>
        <w:t>.</w:t>
      </w:r>
    </w:p>
    <w:p>
      <w:pPr>
        <w:widowControl/>
      </w:pPr>
      <w:r>
        <w:rPr>
          <w:b/>
          <w:i w:val="0"/>
        </w:rPr>
        <w:t>Anaxagoras.</w:t>
      </w:r>
      <w:r>
        <w:rPr>
          <w:b w:val="0"/>
          <w:i w:val="0"/>
        </w:rPr>
        <w:t xml:space="preserve"> </w:t>
      </w:r>
      <w:hyperlink w:anchor="latin-record-0065">
        <w:r>
          <w:rPr>
            <w:color w:val="000000"/>
          </w:rPr>
          <w:t xml:space="preserve">Anaxagoras / Hermotimus</w:t>
        </w:r>
      </w:hyperlink>
      <w:r>
        <w:rPr>
          <w:b w:val="0"/>
          <w:i w:val="0"/>
        </w:rPr>
        <w:t>.</w:t>
      </w:r>
    </w:p>
    <w:p>
      <w:pPr>
        <w:widowControl/>
      </w:pPr>
      <w:r>
        <w:rPr>
          <w:b/>
          <w:i w:val="0"/>
        </w:rPr>
        <w:t>Anebon.</w:t>
      </w:r>
      <w:r>
        <w:rPr>
          <w:b w:val="0"/>
          <w:i w:val="0"/>
        </w:rPr>
        <w:t xml:space="preserve"> </w:t>
      </w:r>
      <w:hyperlink w:anchor="latin-record-0066">
        <w:r>
          <w:rPr>
            <w:color w:val="000000"/>
          </w:rPr>
          <w:t xml:space="preserve">Anebon / Abamon / Plotinus / Iamblichus / Julianus</w:t>
        </w:r>
      </w:hyperlink>
      <w:r>
        <w:rPr>
          <w:b w:val="0"/>
          <w:i w:val="0"/>
        </w:rPr>
        <w:t>.</w:t>
      </w:r>
    </w:p>
    <w:p>
      <w:pPr>
        <w:widowControl/>
      </w:pPr>
      <w:r>
        <w:rPr>
          <w:b/>
          <w:i w:val="0"/>
        </w:rPr>
        <w:t>angeli.</w:t>
      </w:r>
      <w:r>
        <w:rPr>
          <w:b w:val="0"/>
          <w:i w:val="0"/>
        </w:rPr>
        <w:t xml:space="preserve"> </w:t>
      </w:r>
      <w:hyperlink w:anchor="latin-record-0067">
        <w:r>
          <w:rPr>
            <w:color w:val="000000"/>
          </w:rPr>
          <w:t xml:space="preserve">angelus</w:t>
        </w:r>
      </w:hyperlink>
      <w:r>
        <w:rPr>
          <w:b w:val="0"/>
          <w:i w:val="0"/>
        </w:rPr>
        <w:t>.</w:t>
      </w:r>
    </w:p>
    <w:p>
      <w:pPr>
        <w:widowControl/>
      </w:pPr>
      <w:r>
        <w:rPr>
          <w:b/>
          <w:i w:val="0"/>
        </w:rPr>
        <w:t>angelicae.</w:t>
      </w:r>
      <w:r>
        <w:rPr>
          <w:b w:val="0"/>
          <w:i w:val="0"/>
        </w:rPr>
        <w:t xml:space="preserve"> </w:t>
      </w:r>
      <w:hyperlink w:anchor="latin-record-0073">
        <w:r>
          <w:rPr>
            <w:color w:val="000000"/>
          </w:rPr>
          <w:t xml:space="preserve">animalis / angelicus</w:t>
        </w:r>
      </w:hyperlink>
      <w:r>
        <w:rPr>
          <w:b w:val="0"/>
          <w:i w:val="0"/>
        </w:rPr>
        <w:t>.</w:t>
      </w:r>
    </w:p>
    <w:p>
      <w:pPr>
        <w:widowControl/>
      </w:pPr>
      <w:r>
        <w:rPr>
          <w:b/>
          <w:i w:val="0"/>
        </w:rPr>
        <w:t>angelicam.</w:t>
      </w:r>
      <w:r>
        <w:rPr>
          <w:b w:val="0"/>
          <w:i w:val="0"/>
        </w:rPr>
        <w:t xml:space="preserve"> </w:t>
      </w:r>
      <w:hyperlink w:anchor="latin-record-0073">
        <w:r>
          <w:rPr>
            <w:color w:val="000000"/>
          </w:rPr>
          <w:t xml:space="preserve">animalis / angelicus</w:t>
        </w:r>
      </w:hyperlink>
      <w:r>
        <w:rPr>
          <w:b w:val="0"/>
          <w:i w:val="0"/>
        </w:rPr>
        <w:t>.</w:t>
      </w:r>
    </w:p>
    <w:p>
      <w:pPr>
        <w:widowControl/>
      </w:pPr>
      <w:r>
        <w:rPr>
          <w:b/>
          <w:i w:val="0"/>
        </w:rPr>
        <w:t>angelo.</w:t>
      </w:r>
      <w:r>
        <w:rPr>
          <w:b w:val="0"/>
          <w:i w:val="0"/>
        </w:rPr>
        <w:t xml:space="preserve"> </w:t>
      </w:r>
      <w:hyperlink w:anchor="latin-record-0067">
        <w:r>
          <w:rPr>
            <w:color w:val="000000"/>
          </w:rPr>
          <w:t xml:space="preserve">angelus</w:t>
        </w:r>
      </w:hyperlink>
      <w:r>
        <w:rPr>
          <w:b w:val="0"/>
          <w:i w:val="0"/>
        </w:rPr>
        <w:t>.</w:t>
      </w:r>
    </w:p>
    <w:p>
      <w:pPr>
        <w:widowControl/>
      </w:pPr>
      <w:r>
        <w:rPr>
          <w:b/>
          <w:i w:val="0"/>
        </w:rPr>
        <w:t>angelos.</w:t>
      </w:r>
      <w:r>
        <w:rPr>
          <w:b w:val="0"/>
          <w:i w:val="0"/>
        </w:rPr>
        <w:t xml:space="preserve"> </w:t>
      </w:r>
      <w:hyperlink w:anchor="latin-record-0068">
        <w:r>
          <w:rPr>
            <w:color w:val="000000"/>
          </w:rPr>
          <w:t xml:space="preserve">angelus / nuntius</w:t>
        </w:r>
      </w:hyperlink>
      <w:r>
        <w:rPr>
          <w:b w:val="0"/>
          <w:i w:val="0"/>
        </w:rPr>
        <w:t>.</w:t>
      </w:r>
    </w:p>
    <w:p>
      <w:pPr>
        <w:widowControl/>
      </w:pPr>
      <w:r>
        <w:rPr>
          <w:b/>
          <w:i w:val="0"/>
        </w:rPr>
        <w:t>angelum.</w:t>
      </w:r>
      <w:r>
        <w:rPr>
          <w:b w:val="0"/>
          <w:i w:val="0"/>
        </w:rPr>
        <w:t xml:space="preserve"> </w:t>
      </w:r>
      <w:hyperlink w:anchor="latin-record-0067">
        <w:r>
          <w:rPr>
            <w:color w:val="000000"/>
          </w:rPr>
          <w:t xml:space="preserve">angelus</w:t>
        </w:r>
      </w:hyperlink>
      <w:r>
        <w:rPr>
          <w:b w:val="0"/>
          <w:i w:val="0"/>
        </w:rPr>
        <w:t>.</w:t>
      </w:r>
    </w:p>
    <w:p>
      <w:pPr>
        <w:widowControl/>
      </w:pPr>
      <w:r>
        <w:rPr>
          <w:b/>
          <w:i w:val="0"/>
        </w:rPr>
        <w:t>Angelus.</w:t>
      </w:r>
      <w:r>
        <w:rPr>
          <w:b w:val="0"/>
          <w:i w:val="0"/>
        </w:rPr>
        <w:t xml:space="preserve"> </w:t>
      </w:r>
      <w:hyperlink w:anchor="latin-record-0067">
        <w:r>
          <w:rPr>
            <w:color w:val="000000"/>
          </w:rPr>
          <w:t xml:space="preserve">angelus</w:t>
        </w:r>
      </w:hyperlink>
      <w:r>
        <w:rPr>
          <w:b w:val="0"/>
          <w:i w:val="0"/>
        </w:rPr>
        <w:t>.</w:t>
      </w:r>
    </w:p>
    <w:p>
      <w:pPr>
        <w:widowControl/>
      </w:pPr>
      <w:r>
        <w:rPr>
          <w:b/>
          <w:i w:val="0"/>
        </w:rPr>
        <w:t>angelus.</w:t>
      </w:r>
      <w:r>
        <w:rPr>
          <w:b w:val="0"/>
          <w:i w:val="0"/>
        </w:rPr>
        <w:t xml:space="preserve"> </w:t>
      </w:r>
      <w:hyperlink w:anchor="latin-record-0067">
        <w:r>
          <w:rPr>
            <w:color w:val="000000"/>
          </w:rPr>
          <w:t xml:space="preserve">angelus</w:t>
        </w:r>
      </w:hyperlink>
      <w:r>
        <w:rPr>
          <w:b w:val="0"/>
          <w:i w:val="0"/>
        </w:rPr>
        <w:t>.</w:t>
      </w:r>
    </w:p>
    <w:p>
      <w:pPr>
        <w:widowControl/>
      </w:pPr>
      <w:r>
        <w:rPr>
          <w:b/>
          <w:i w:val="0"/>
        </w:rPr>
        <w:t>angustiis.</w:t>
      </w:r>
      <w:r>
        <w:rPr>
          <w:b w:val="0"/>
          <w:i w:val="0"/>
        </w:rPr>
        <w:t xml:space="preserve"> </w:t>
      </w:r>
      <w:hyperlink w:anchor="latin-record-0169">
        <w:r>
          <w:rPr>
            <w:color w:val="000000"/>
          </w:rPr>
          <w:t xml:space="preserve">circumscribere / coarctare</w:t>
        </w:r>
      </w:hyperlink>
      <w:r>
        <w:rPr>
          <w:b w:val="0"/>
          <w:i w:val="0"/>
        </w:rPr>
        <w:t>.</w:t>
      </w:r>
    </w:p>
    <w:p>
      <w:pPr>
        <w:widowControl/>
      </w:pPr>
      <w:r>
        <w:rPr>
          <w:b/>
          <w:i w:val="0"/>
        </w:rPr>
        <w:t>anima.</w:t>
      </w:r>
      <w:r>
        <w:rPr>
          <w:b w:val="0"/>
          <w:i w:val="0"/>
        </w:rPr>
        <w:t xml:space="preserve"> </w:t>
      </w:r>
      <w:hyperlink w:anchor="latin-record-0069">
        <w:r>
          <w:rPr>
            <w:color w:val="000000"/>
          </w:rPr>
          <w:t xml:space="preserve">anima / animus</w:t>
        </w:r>
      </w:hyperlink>
      <w:r>
        <w:rPr>
          <w:b w:val="0"/>
          <w:i w:val="0"/>
        </w:rPr>
        <w:t>.</w:t>
      </w:r>
    </w:p>
    <w:p>
      <w:pPr>
        <w:widowControl/>
      </w:pPr>
      <w:r>
        <w:rPr>
          <w:b/>
          <w:i w:val="0"/>
        </w:rPr>
        <w:t>animadvertimus.</w:t>
      </w:r>
      <w:r>
        <w:rPr>
          <w:b w:val="0"/>
          <w:i w:val="0"/>
        </w:rPr>
        <w:t xml:space="preserve"> </w:t>
      </w:r>
      <w:hyperlink w:anchor="latin-record-0325">
        <w:r>
          <w:rPr>
            <w:color w:val="000000"/>
          </w:rPr>
          <w:t xml:space="preserve">discernere / animadvertere</w:t>
        </w:r>
      </w:hyperlink>
      <w:r>
        <w:rPr>
          <w:b w:val="0"/>
          <w:i w:val="0"/>
        </w:rPr>
        <w:t>.</w:t>
      </w:r>
    </w:p>
    <w:p>
      <w:pPr>
        <w:widowControl/>
      </w:pPr>
      <w:r>
        <w:rPr>
          <w:b/>
          <w:i w:val="0"/>
        </w:rPr>
        <w:t>animadvertit.</w:t>
      </w:r>
      <w:r>
        <w:rPr>
          <w:b w:val="0"/>
          <w:i w:val="0"/>
        </w:rPr>
        <w:t xml:space="preserve"> </w:t>
      </w:r>
      <w:hyperlink w:anchor="latin-record-0071">
        <w:r>
          <w:rPr>
            <w:color w:val="000000"/>
          </w:rPr>
          <w:t xml:space="preserve">animadvertere / agnoscere</w:t>
        </w:r>
      </w:hyperlink>
      <w:r>
        <w:rPr>
          <w:b w:val="0"/>
          <w:i w:val="0"/>
        </w:rPr>
        <w:t>.</w:t>
      </w:r>
    </w:p>
    <w:p>
      <w:pPr>
        <w:widowControl/>
      </w:pPr>
      <w:r>
        <w:rPr>
          <w:b/>
          <w:i w:val="0"/>
        </w:rPr>
        <w:t>animae.</w:t>
      </w:r>
      <w:r>
        <w:rPr>
          <w:b w:val="0"/>
          <w:i w:val="0"/>
        </w:rPr>
        <w:t xml:space="preserve"> </w:t>
      </w:r>
      <w:hyperlink w:anchor="latin-record-0069">
        <w:r>
          <w:rPr>
            <w:color w:val="000000"/>
          </w:rPr>
          <w:t xml:space="preserve">anima / animus</w:t>
        </w:r>
      </w:hyperlink>
      <w:r>
        <w:rPr>
          <w:b w:val="0"/>
          <w:i w:val="0"/>
        </w:rPr>
        <w:t xml:space="preserve">; </w:t>
      </w:r>
      <w:hyperlink w:anchor="latin-record-0070">
        <w:r>
          <w:rPr>
            <w:color w:val="000000"/>
          </w:rPr>
          <w:t xml:space="preserve">anima rationalis</w:t>
        </w:r>
      </w:hyperlink>
      <w:r>
        <w:rPr>
          <w:b w:val="0"/>
          <w:i w:val="0"/>
        </w:rPr>
        <w:t>.</w:t>
      </w:r>
    </w:p>
    <w:p>
      <w:pPr>
        <w:widowControl/>
      </w:pPr>
      <w:r>
        <w:rPr>
          <w:b/>
          <w:i w:val="0"/>
        </w:rPr>
        <w:t>animal.</w:t>
      </w:r>
      <w:r>
        <w:rPr>
          <w:b w:val="0"/>
          <w:i w:val="0"/>
        </w:rPr>
        <w:t xml:space="preserve"> </w:t>
      </w:r>
      <w:hyperlink w:anchor="latin-record-0072">
        <w:r>
          <w:rPr>
            <w:color w:val="000000"/>
          </w:rPr>
          <w:t xml:space="preserve">animal / bestia / animans</w:t>
        </w:r>
      </w:hyperlink>
      <w:r>
        <w:rPr>
          <w:b w:val="0"/>
          <w:i w:val="0"/>
        </w:rPr>
        <w:t>.</w:t>
      </w:r>
    </w:p>
    <w:p>
      <w:pPr>
        <w:widowControl/>
      </w:pPr>
      <w:r>
        <w:rPr>
          <w:b/>
          <w:i w:val="0"/>
        </w:rPr>
        <w:t>animalem.</w:t>
      </w:r>
      <w:r>
        <w:rPr>
          <w:b w:val="0"/>
          <w:i w:val="0"/>
        </w:rPr>
        <w:t xml:space="preserve"> </w:t>
      </w:r>
      <w:hyperlink w:anchor="latin-record-0073">
        <w:r>
          <w:rPr>
            <w:color w:val="000000"/>
          </w:rPr>
          <w:t xml:space="preserve">animalis / angelicus</w:t>
        </w:r>
      </w:hyperlink>
      <w:r>
        <w:rPr>
          <w:b w:val="0"/>
          <w:i w:val="0"/>
        </w:rPr>
        <w:t>.</w:t>
      </w:r>
    </w:p>
    <w:p>
      <w:pPr>
        <w:widowControl/>
      </w:pPr>
      <w:r>
        <w:rPr>
          <w:b/>
          <w:i w:val="0"/>
        </w:rPr>
        <w:t>animales.</w:t>
      </w:r>
      <w:r>
        <w:rPr>
          <w:b w:val="0"/>
          <w:i w:val="0"/>
        </w:rPr>
        <w:t xml:space="preserve"> </w:t>
      </w:r>
      <w:hyperlink w:anchor="latin-record-0073">
        <w:r>
          <w:rPr>
            <w:color w:val="000000"/>
          </w:rPr>
          <w:t xml:space="preserve">animalis / angelicus</w:t>
        </w:r>
      </w:hyperlink>
      <w:r>
        <w:rPr>
          <w:b w:val="0"/>
          <w:i w:val="0"/>
        </w:rPr>
        <w:t xml:space="preserve">; </w:t>
      </w:r>
      <w:hyperlink w:anchor="latin-record-0074">
        <w:r>
          <w:rPr>
            <w:color w:val="000000"/>
          </w:rPr>
          <w:t xml:space="preserve">animalis / animales vires</w:t>
        </w:r>
      </w:hyperlink>
      <w:r>
        <w:rPr>
          <w:b w:val="0"/>
          <w:i w:val="0"/>
        </w:rPr>
        <w:t>.</w:t>
      </w:r>
    </w:p>
    <w:p>
      <w:pPr>
        <w:widowControl/>
      </w:pPr>
      <w:r>
        <w:rPr>
          <w:b/>
          <w:i w:val="0"/>
        </w:rPr>
        <w:t>animales vires.</w:t>
      </w:r>
      <w:r>
        <w:rPr>
          <w:b w:val="0"/>
          <w:i w:val="0"/>
        </w:rPr>
        <w:t xml:space="preserve"> </w:t>
      </w:r>
      <w:hyperlink w:anchor="latin-record-0074">
        <w:r>
          <w:rPr>
            <w:color w:val="000000"/>
          </w:rPr>
          <w:t xml:space="preserve">animalis / animales vires</w:t>
        </w:r>
      </w:hyperlink>
      <w:r>
        <w:rPr>
          <w:b w:val="0"/>
          <w:i w:val="0"/>
        </w:rPr>
        <w:t>.</w:t>
      </w:r>
    </w:p>
    <w:p>
      <w:pPr>
        <w:widowControl/>
      </w:pPr>
      <w:r>
        <w:rPr>
          <w:b/>
          <w:i w:val="0"/>
        </w:rPr>
        <w:t>animalis.</w:t>
      </w:r>
      <w:r>
        <w:rPr>
          <w:b w:val="0"/>
          <w:i w:val="0"/>
        </w:rPr>
        <w:t xml:space="preserve"> </w:t>
      </w:r>
      <w:hyperlink w:anchor="latin-record-0879">
        <w:r>
          <w:rPr>
            <w:color w:val="000000"/>
          </w:rPr>
          <w:t xml:space="preserve">planta / animal</w:t>
        </w:r>
      </w:hyperlink>
      <w:r>
        <w:rPr>
          <w:b w:val="0"/>
          <w:i w:val="0"/>
        </w:rPr>
        <w:t>.</w:t>
      </w:r>
    </w:p>
    <w:p>
      <w:pPr>
        <w:widowControl/>
      </w:pPr>
      <w:r>
        <w:rPr>
          <w:b/>
          <w:i w:val="0"/>
        </w:rPr>
        <w:t>animam.</w:t>
      </w:r>
      <w:r>
        <w:rPr>
          <w:b w:val="0"/>
          <w:i w:val="0"/>
        </w:rPr>
        <w:t xml:space="preserve"> </w:t>
      </w:r>
      <w:hyperlink w:anchor="latin-record-0069">
        <w:r>
          <w:rPr>
            <w:color w:val="000000"/>
          </w:rPr>
          <w:t xml:space="preserve">anima / animus</w:t>
        </w:r>
      </w:hyperlink>
      <w:r>
        <w:rPr>
          <w:b w:val="0"/>
          <w:i w:val="0"/>
        </w:rPr>
        <w:t>.</w:t>
      </w:r>
    </w:p>
    <w:p>
      <w:pPr>
        <w:widowControl/>
      </w:pPr>
      <w:r>
        <w:rPr>
          <w:b/>
          <w:i w:val="0"/>
        </w:rPr>
        <w:t>animantibus.</w:t>
      </w:r>
      <w:r>
        <w:rPr>
          <w:b w:val="0"/>
          <w:i w:val="0"/>
        </w:rPr>
        <w:t xml:space="preserve"> </w:t>
      </w:r>
      <w:hyperlink w:anchor="latin-record-0072">
        <w:r>
          <w:rPr>
            <w:color w:val="000000"/>
          </w:rPr>
          <w:t xml:space="preserve">animal / bestia / animans</w:t>
        </w:r>
      </w:hyperlink>
      <w:r>
        <w:rPr>
          <w:b w:val="0"/>
          <w:i w:val="0"/>
        </w:rPr>
        <w:t>.</w:t>
      </w:r>
    </w:p>
    <w:p>
      <w:pPr>
        <w:widowControl/>
      </w:pPr>
      <w:r>
        <w:rPr>
          <w:b/>
          <w:i w:val="0"/>
        </w:rPr>
        <w:t>animas corporales.</w:t>
      </w:r>
      <w:r>
        <w:rPr>
          <w:b w:val="0"/>
          <w:i w:val="0"/>
        </w:rPr>
        <w:t xml:space="preserve"> </w:t>
      </w:r>
      <w:hyperlink w:anchor="latin-record-0597">
        <w:r>
          <w:rPr>
            <w:color w:val="000000"/>
          </w:rPr>
          <w:t xml:space="preserve">intellectus animales / animae corporales</w:t>
        </w:r>
      </w:hyperlink>
      <w:r>
        <w:rPr>
          <w:b w:val="0"/>
          <w:i w:val="0"/>
        </w:rPr>
        <w:t>.</w:t>
      </w:r>
    </w:p>
    <w:p>
      <w:pPr>
        <w:widowControl/>
      </w:pPr>
      <w:r>
        <w:rPr>
          <w:b/>
          <w:i w:val="0"/>
        </w:rPr>
        <w:t>animi.</w:t>
      </w:r>
      <w:r>
        <w:rPr>
          <w:b w:val="0"/>
          <w:i w:val="0"/>
        </w:rPr>
        <w:t xml:space="preserve"> </w:t>
      </w:r>
      <w:hyperlink w:anchor="latin-record-0069">
        <w:r>
          <w:rPr>
            <w:color w:val="000000"/>
          </w:rPr>
          <w:t xml:space="preserve">anima / animus</w:t>
        </w:r>
      </w:hyperlink>
      <w:r>
        <w:rPr>
          <w:b w:val="0"/>
          <w:i w:val="0"/>
        </w:rPr>
        <w:t>.</w:t>
      </w:r>
    </w:p>
    <w:p>
      <w:pPr>
        <w:widowControl/>
      </w:pPr>
      <w:r>
        <w:rPr>
          <w:b/>
          <w:i w:val="0"/>
        </w:rPr>
        <w:t>animorumque.</w:t>
      </w:r>
      <w:r>
        <w:rPr>
          <w:b w:val="0"/>
          <w:i w:val="0"/>
        </w:rPr>
        <w:t xml:space="preserve"> </w:t>
      </w:r>
      <w:hyperlink w:anchor="latin-record-0069">
        <w:r>
          <w:rPr>
            <w:color w:val="000000"/>
          </w:rPr>
          <w:t xml:space="preserve">anima / animus</w:t>
        </w:r>
      </w:hyperlink>
      <w:r>
        <w:rPr>
          <w:b w:val="0"/>
          <w:i w:val="0"/>
        </w:rPr>
        <w:t>.</w:t>
      </w:r>
    </w:p>
    <w:p>
      <w:pPr>
        <w:widowControl/>
      </w:pPr>
      <w:r>
        <w:rPr>
          <w:b/>
          <w:i w:val="0"/>
        </w:rPr>
        <w:t>animos.</w:t>
      </w:r>
      <w:r>
        <w:rPr>
          <w:b w:val="0"/>
          <w:i w:val="0"/>
        </w:rPr>
        <w:t xml:space="preserve"> </w:t>
      </w:r>
      <w:hyperlink w:anchor="latin-record-0069">
        <w:r>
          <w:rPr>
            <w:color w:val="000000"/>
          </w:rPr>
          <w:t xml:space="preserve">anima / animus</w:t>
        </w:r>
      </w:hyperlink>
      <w:r>
        <w:rPr>
          <w:b w:val="0"/>
          <w:i w:val="0"/>
        </w:rPr>
        <w:t>.</w:t>
      </w:r>
    </w:p>
    <w:p>
      <w:pPr>
        <w:widowControl/>
      </w:pPr>
      <w:r>
        <w:rPr>
          <w:b/>
          <w:i w:val="0"/>
        </w:rPr>
        <w:t>annixu.</w:t>
      </w:r>
      <w:r>
        <w:rPr>
          <w:b w:val="0"/>
          <w:i w:val="0"/>
        </w:rPr>
        <w:t xml:space="preserve"> </w:t>
      </w:r>
      <w:hyperlink w:anchor="latin-record-0075">
        <w:r>
          <w:rPr>
            <w:color w:val="000000"/>
          </w:rPr>
          <w:t xml:space="preserve">annixus / coartare</w:t>
        </w:r>
      </w:hyperlink>
      <w:r>
        <w:rPr>
          <w:b w:val="0"/>
          <w:i w:val="0"/>
        </w:rPr>
        <w:t>.</w:t>
      </w:r>
    </w:p>
    <w:p>
      <w:pPr>
        <w:widowControl/>
      </w:pPr>
      <w:r>
        <w:rPr>
          <w:b/>
          <w:i w:val="0"/>
        </w:rPr>
        <w:t>antecedit.</w:t>
      </w:r>
      <w:r>
        <w:rPr>
          <w:b w:val="0"/>
          <w:i w:val="0"/>
        </w:rPr>
        <w:t xml:space="preserve"> </w:t>
      </w:r>
      <w:hyperlink w:anchor="latin-record-0076">
        <w:r>
          <w:rPr>
            <w:color w:val="000000"/>
          </w:rPr>
          <w:t xml:space="preserve">antecedere / sequi / praecedere</w:t>
        </w:r>
      </w:hyperlink>
      <w:r>
        <w:rPr>
          <w:b w:val="0"/>
          <w:i w:val="0"/>
        </w:rPr>
        <w:t>.</w:t>
      </w:r>
    </w:p>
    <w:p>
      <w:pPr>
        <w:widowControl/>
      </w:pPr>
      <w:r>
        <w:rPr>
          <w:b/>
          <w:i w:val="0"/>
        </w:rPr>
        <w:t>anteponant.</w:t>
      </w:r>
      <w:r>
        <w:rPr>
          <w:b w:val="0"/>
          <w:i w:val="0"/>
        </w:rPr>
        <w:t xml:space="preserve"> </w:t>
      </w:r>
      <w:hyperlink w:anchor="latin-record-0908">
        <w:r>
          <w:rPr>
            <w:color w:val="000000"/>
          </w:rPr>
          <w:t xml:space="preserve">praefero / antepono</w:t>
        </w:r>
      </w:hyperlink>
      <w:r>
        <w:rPr>
          <w:b w:val="0"/>
          <w:i w:val="0"/>
        </w:rPr>
        <w:t>.</w:t>
      </w:r>
    </w:p>
    <w:p>
      <w:pPr>
        <w:widowControl/>
      </w:pPr>
      <w:r>
        <w:rPr>
          <w:b/>
          <w:i w:val="0"/>
        </w:rPr>
        <w:t>anteponimus.</w:t>
      </w:r>
      <w:r>
        <w:rPr>
          <w:b w:val="0"/>
          <w:i w:val="0"/>
        </w:rPr>
        <w:t xml:space="preserve"> </w:t>
      </w:r>
      <w:hyperlink w:anchor="latin-record-0908">
        <w:r>
          <w:rPr>
            <w:color w:val="000000"/>
          </w:rPr>
          <w:t xml:space="preserve">praefero / antepono</w:t>
        </w:r>
      </w:hyperlink>
      <w:r>
        <w:rPr>
          <w:b w:val="0"/>
          <w:i w:val="0"/>
        </w:rPr>
        <w:t>.</w:t>
      </w:r>
    </w:p>
    <w:p>
      <w:pPr>
        <w:widowControl/>
      </w:pPr>
      <w:r>
        <w:rPr>
          <w:b/>
          <w:i w:val="0"/>
        </w:rPr>
        <w:t>anticipet.</w:t>
      </w:r>
      <w:r>
        <w:rPr>
          <w:b w:val="0"/>
          <w:i w:val="0"/>
        </w:rPr>
        <w:t xml:space="preserve"> </w:t>
      </w:r>
      <w:hyperlink w:anchor="latin-record-0077">
        <w:r>
          <w:rPr>
            <w:color w:val="000000"/>
          </w:rPr>
          <w:t xml:space="preserve">anticipare / discernere / metiri</w:t>
        </w:r>
      </w:hyperlink>
      <w:r>
        <w:rPr>
          <w:b w:val="0"/>
          <w:i w:val="0"/>
        </w:rPr>
        <w:t>.</w:t>
      </w:r>
    </w:p>
    <w:p>
      <w:pPr>
        <w:widowControl/>
      </w:pPr>
      <w:r>
        <w:rPr>
          <w:b/>
          <w:i w:val="0"/>
        </w:rPr>
        <w:t>Antipodum.</w:t>
      </w:r>
      <w:r>
        <w:rPr>
          <w:b w:val="0"/>
          <w:i w:val="0"/>
        </w:rPr>
        <w:t xml:space="preserve"> </w:t>
      </w:r>
      <w:hyperlink w:anchor="latin-record-0078">
        <w:r>
          <w:rPr>
            <w:color w:val="000000"/>
          </w:rPr>
          <w:t xml:space="preserve">Antipodes / semicirculus</w:t>
        </w:r>
      </w:hyperlink>
      <w:r>
        <w:rPr>
          <w:b w:val="0"/>
          <w:i w:val="0"/>
        </w:rPr>
        <w:t>.</w:t>
      </w:r>
    </w:p>
    <w:p>
      <w:pPr>
        <w:widowControl/>
      </w:pPr>
      <w:r>
        <w:rPr>
          <w:b/>
          <w:i w:val="0"/>
        </w:rPr>
        <w:t>Apelles.</w:t>
      </w:r>
      <w:r>
        <w:rPr>
          <w:b w:val="0"/>
          <w:i w:val="0"/>
        </w:rPr>
        <w:t xml:space="preserve"> </w:t>
      </w:r>
      <w:hyperlink w:anchor="latin-record-0079">
        <w:r>
          <w:rPr>
            <w:color w:val="000000"/>
          </w:rPr>
          <w:t xml:space="preserve">Apelles / pratum</w:t>
        </w:r>
      </w:hyperlink>
      <w:r>
        <w:rPr>
          <w:b w:val="0"/>
          <w:i w:val="0"/>
        </w:rPr>
        <w:t>.</w:t>
      </w:r>
    </w:p>
    <w:p>
      <w:pPr>
        <w:widowControl/>
      </w:pPr>
      <w:r>
        <w:rPr>
          <w:b/>
          <w:i w:val="0"/>
        </w:rPr>
        <w:t>Apellis.</w:t>
      </w:r>
      <w:r>
        <w:rPr>
          <w:b w:val="0"/>
          <w:i w:val="0"/>
        </w:rPr>
        <w:t xml:space="preserve"> </w:t>
      </w:r>
      <w:hyperlink w:anchor="latin-record-0079">
        <w:r>
          <w:rPr>
            <w:color w:val="000000"/>
          </w:rPr>
          <w:t xml:space="preserve">Apelles / pratum</w:t>
        </w:r>
      </w:hyperlink>
      <w:r>
        <w:rPr>
          <w:b w:val="0"/>
          <w:i w:val="0"/>
        </w:rPr>
        <w:t>.</w:t>
      </w:r>
    </w:p>
    <w:p>
      <w:pPr>
        <w:widowControl/>
      </w:pPr>
      <w:r>
        <w:rPr>
          <w:b/>
          <w:i w:val="0"/>
        </w:rPr>
        <w:t>apicem.</w:t>
      </w:r>
      <w:r>
        <w:rPr>
          <w:b w:val="0"/>
          <w:i w:val="0"/>
        </w:rPr>
        <w:t xml:space="preserve"> </w:t>
      </w:r>
      <w:hyperlink w:anchor="latin-record-0080">
        <w:r>
          <w:rPr>
            <w:color w:val="000000"/>
          </w:rPr>
          <w:t xml:space="preserve">apex</w:t>
        </w:r>
      </w:hyperlink>
      <w:r>
        <w:rPr>
          <w:b w:val="0"/>
          <w:i w:val="0"/>
        </w:rPr>
        <w:t>.</w:t>
      </w:r>
    </w:p>
    <w:p>
      <w:pPr>
        <w:widowControl/>
      </w:pPr>
      <w:r>
        <w:rPr>
          <w:b/>
          <w:i w:val="0"/>
        </w:rPr>
        <w:t>Apollinis.</w:t>
      </w:r>
      <w:r>
        <w:rPr>
          <w:b w:val="0"/>
          <w:i w:val="0"/>
        </w:rPr>
        <w:t xml:space="preserve"> </w:t>
      </w:r>
      <w:hyperlink w:anchor="latin-record-0081">
        <w:r>
          <w:rPr>
            <w:color w:val="000000"/>
          </w:rPr>
          <w:t xml:space="preserve">Apollo / cithara / contemperare</w:t>
        </w:r>
      </w:hyperlink>
      <w:r>
        <w:rPr>
          <w:b w:val="0"/>
          <w:i w:val="0"/>
        </w:rPr>
        <w:t>.</w:t>
      </w:r>
    </w:p>
    <w:p>
      <w:pPr>
        <w:widowControl/>
      </w:pPr>
      <w:r>
        <w:rPr>
          <w:b/>
          <w:i w:val="0"/>
        </w:rPr>
        <w:t>apostoli.</w:t>
      </w:r>
      <w:r>
        <w:rPr>
          <w:b w:val="0"/>
          <w:i w:val="0"/>
        </w:rPr>
        <w:t xml:space="preserve"> </w:t>
      </w:r>
      <w:hyperlink w:anchor="latin-record-0517">
        <w:r>
          <w:rPr>
            <w:color w:val="000000"/>
          </w:rPr>
          <w:t xml:space="preserve">hymnus / theologia / sacerdos</w:t>
        </w:r>
      </w:hyperlink>
      <w:r>
        <w:rPr>
          <w:b w:val="0"/>
          <w:i w:val="0"/>
        </w:rPr>
        <w:t>.</w:t>
      </w:r>
    </w:p>
    <w:p>
      <w:pPr>
        <w:widowControl/>
      </w:pPr>
      <w:r>
        <w:rPr>
          <w:b/>
          <w:i w:val="0"/>
        </w:rPr>
        <w:t>appareat.</w:t>
      </w:r>
      <w:r>
        <w:rPr>
          <w:b w:val="0"/>
          <w:i w:val="0"/>
        </w:rPr>
        <w:t xml:space="preserve"> </w:t>
      </w:r>
      <w:hyperlink w:anchor="latin-record-0083">
        <w:r>
          <w:rPr>
            <w:color w:val="000000"/>
          </w:rPr>
          <w:t xml:space="preserve">appareo / pateo</w:t>
        </w:r>
      </w:hyperlink>
      <w:r>
        <w:rPr>
          <w:b w:val="0"/>
          <w:i w:val="0"/>
        </w:rPr>
        <w:t>.</w:t>
      </w:r>
    </w:p>
    <w:p>
      <w:pPr>
        <w:widowControl/>
      </w:pPr>
      <w:r>
        <w:rPr>
          <w:b/>
          <w:i w:val="0"/>
        </w:rPr>
        <w:t>apparens.</w:t>
      </w:r>
      <w:r>
        <w:rPr>
          <w:b w:val="0"/>
          <w:i w:val="0"/>
        </w:rPr>
        <w:t xml:space="preserve"> </w:t>
      </w:r>
      <w:hyperlink w:anchor="latin-record-0196">
        <w:r>
          <w:rPr>
            <w:color w:val="000000"/>
          </w:rPr>
          <w:t xml:space="preserve">commodum / apparens</w:t>
        </w:r>
      </w:hyperlink>
      <w:r>
        <w:rPr>
          <w:b w:val="0"/>
          <w:i w:val="0"/>
        </w:rPr>
        <w:t>.</w:t>
      </w:r>
    </w:p>
    <w:p>
      <w:pPr>
        <w:widowControl/>
      </w:pPr>
      <w:r>
        <w:rPr>
          <w:b/>
          <w:i w:val="0"/>
        </w:rPr>
        <w:t>apparet.</w:t>
      </w:r>
      <w:r>
        <w:rPr>
          <w:b w:val="0"/>
          <w:i w:val="0"/>
        </w:rPr>
        <w:t xml:space="preserve"> </w:t>
      </w:r>
      <w:hyperlink w:anchor="latin-record-0083">
        <w:r>
          <w:rPr>
            <w:color w:val="000000"/>
          </w:rPr>
          <w:t xml:space="preserve">appareo / pateo</w:t>
        </w:r>
      </w:hyperlink>
      <w:r>
        <w:rPr>
          <w:b w:val="0"/>
          <w:i w:val="0"/>
        </w:rPr>
        <w:t>.</w:t>
      </w:r>
    </w:p>
    <w:p>
      <w:pPr>
        <w:widowControl/>
      </w:pPr>
      <w:r>
        <w:rPr>
          <w:b/>
          <w:i w:val="0"/>
        </w:rPr>
        <w:t>appellant.</w:t>
      </w:r>
      <w:r>
        <w:rPr>
          <w:b w:val="0"/>
          <w:i w:val="0"/>
        </w:rPr>
        <w:t xml:space="preserve"> </w:t>
      </w:r>
      <w:hyperlink w:anchor="latin-record-0315">
        <w:r>
          <w:rPr>
            <w:color w:val="000000"/>
          </w:rPr>
          <w:t xml:space="preserve">dicere / appellare / vocare</w:t>
        </w:r>
      </w:hyperlink>
      <w:r>
        <w:rPr>
          <w:b w:val="0"/>
          <w:i w:val="0"/>
        </w:rPr>
        <w:t>.</w:t>
      </w:r>
    </w:p>
    <w:p>
      <w:pPr>
        <w:widowControl/>
      </w:pPr>
      <w:r>
        <w:rPr>
          <w:b/>
          <w:i w:val="0"/>
        </w:rPr>
        <w:t>appellationes.</w:t>
      </w:r>
      <w:r>
        <w:rPr>
          <w:b w:val="0"/>
          <w:i w:val="0"/>
        </w:rPr>
        <w:t xml:space="preserve"> </w:t>
      </w:r>
      <w:hyperlink w:anchor="latin-record-0084">
        <w:r>
          <w:rPr>
            <w:color w:val="000000"/>
          </w:rPr>
          <w:t xml:space="preserve">appellatio / nomen / proprie</w:t>
        </w:r>
      </w:hyperlink>
      <w:r>
        <w:rPr>
          <w:b w:val="0"/>
          <w:i w:val="0"/>
        </w:rPr>
        <w:t xml:space="preserve">; </w:t>
      </w:r>
      <w:hyperlink w:anchor="latin-record-0316">
        <w:r>
          <w:rPr>
            <w:color w:val="000000"/>
          </w:rPr>
          <w:t xml:space="preserve">dicere / vocare / appellare</w:t>
        </w:r>
      </w:hyperlink>
      <w:r>
        <w:rPr>
          <w:b w:val="0"/>
          <w:i w:val="0"/>
        </w:rPr>
        <w:t>.</w:t>
      </w:r>
    </w:p>
    <w:p>
      <w:pPr>
        <w:widowControl/>
      </w:pPr>
      <w:r>
        <w:rPr>
          <w:b/>
          <w:i w:val="0"/>
        </w:rPr>
        <w:t>appellavit.</w:t>
      </w:r>
      <w:r>
        <w:rPr>
          <w:b w:val="0"/>
          <w:i w:val="0"/>
        </w:rPr>
        <w:t xml:space="preserve"> </w:t>
      </w:r>
      <w:hyperlink w:anchor="latin-record-0316">
        <w:r>
          <w:rPr>
            <w:color w:val="000000"/>
          </w:rPr>
          <w:t xml:space="preserve">dicere / vocare / appellare</w:t>
        </w:r>
      </w:hyperlink>
      <w:r>
        <w:rPr>
          <w:b w:val="0"/>
          <w:i w:val="0"/>
        </w:rPr>
        <w:t>.</w:t>
      </w:r>
    </w:p>
    <w:p>
      <w:pPr>
        <w:widowControl/>
      </w:pPr>
      <w:r>
        <w:rPr>
          <w:b/>
          <w:i w:val="0"/>
        </w:rPr>
        <w:t>appetant.</w:t>
      </w:r>
      <w:r>
        <w:rPr>
          <w:b w:val="0"/>
          <w:i w:val="0"/>
        </w:rPr>
        <w:t xml:space="preserve"> </w:t>
      </w:r>
      <w:hyperlink w:anchor="latin-record-0086">
        <w:r>
          <w:rPr>
            <w:color w:val="000000"/>
          </w:rPr>
          <w:t xml:space="preserve">appetibilis / appetere</w:t>
        </w:r>
      </w:hyperlink>
      <w:r>
        <w:rPr>
          <w:b w:val="0"/>
          <w:i w:val="0"/>
        </w:rPr>
        <w:t>.</w:t>
      </w:r>
    </w:p>
    <w:p>
      <w:pPr>
        <w:widowControl/>
      </w:pPr>
      <w:r>
        <w:rPr>
          <w:b/>
          <w:i w:val="0"/>
        </w:rPr>
        <w:t>appetendi vacationem.</w:t>
      </w:r>
      <w:r>
        <w:rPr>
          <w:b w:val="0"/>
          <w:i w:val="0"/>
        </w:rPr>
        <w:t xml:space="preserve"> </w:t>
      </w:r>
      <w:hyperlink w:anchor="latin-record-1231">
        <w:r>
          <w:rPr>
            <w:color w:val="000000"/>
          </w:rPr>
          <w:t xml:space="preserve">vacatio appetendi</w:t>
        </w:r>
      </w:hyperlink>
      <w:r>
        <w:rPr>
          <w:b w:val="0"/>
          <w:i w:val="0"/>
        </w:rPr>
        <w:t>.</w:t>
      </w:r>
    </w:p>
    <w:p>
      <w:pPr>
        <w:widowControl/>
      </w:pPr>
      <w:r>
        <w:rPr>
          <w:b/>
          <w:i w:val="0"/>
        </w:rPr>
        <w:t>appetere.</w:t>
      </w:r>
      <w:r>
        <w:rPr>
          <w:b w:val="0"/>
          <w:i w:val="0"/>
        </w:rPr>
        <w:t xml:space="preserve"> </w:t>
      </w:r>
      <w:hyperlink w:anchor="latin-record-0086">
        <w:r>
          <w:rPr>
            <w:color w:val="000000"/>
          </w:rPr>
          <w:t xml:space="preserve">appetibilis / appetere</w:t>
        </w:r>
      </w:hyperlink>
      <w:r>
        <w:rPr>
          <w:b w:val="0"/>
          <w:i w:val="0"/>
        </w:rPr>
        <w:t>.</w:t>
      </w:r>
    </w:p>
    <w:p>
      <w:pPr>
        <w:widowControl/>
      </w:pPr>
      <w:r>
        <w:rPr>
          <w:b/>
          <w:i w:val="0"/>
        </w:rPr>
        <w:t>appetibile.</w:t>
      </w:r>
      <w:r>
        <w:rPr>
          <w:b w:val="0"/>
          <w:i w:val="0"/>
        </w:rPr>
        <w:t xml:space="preserve"> </w:t>
      </w:r>
      <w:hyperlink w:anchor="latin-record-0085">
        <w:r>
          <w:rPr>
            <w:color w:val="000000"/>
          </w:rPr>
          <w:t xml:space="preserve">appetibile / effectrix</w:t>
        </w:r>
      </w:hyperlink>
      <w:r>
        <w:rPr>
          <w:b w:val="0"/>
          <w:i w:val="0"/>
        </w:rPr>
        <w:t>.</w:t>
      </w:r>
    </w:p>
    <w:p>
      <w:pPr>
        <w:widowControl/>
      </w:pPr>
      <w:r>
        <w:rPr>
          <w:b/>
          <w:i w:val="0"/>
        </w:rPr>
        <w:t>appetibilia.</w:t>
      </w:r>
      <w:r>
        <w:rPr>
          <w:b w:val="0"/>
          <w:i w:val="0"/>
        </w:rPr>
        <w:t xml:space="preserve"> </w:t>
      </w:r>
      <w:hyperlink w:anchor="latin-record-0086">
        <w:r>
          <w:rPr>
            <w:color w:val="000000"/>
          </w:rPr>
          <w:t xml:space="preserve">appetibilis / appetere</w:t>
        </w:r>
      </w:hyperlink>
      <w:r>
        <w:rPr>
          <w:b w:val="0"/>
          <w:i w:val="0"/>
        </w:rPr>
        <w:t>.</w:t>
      </w:r>
    </w:p>
    <w:p>
      <w:pPr>
        <w:widowControl/>
      </w:pPr>
      <w:r>
        <w:rPr>
          <w:b/>
          <w:i w:val="0"/>
        </w:rPr>
        <w:t>appetibilis.</w:t>
      </w:r>
      <w:r>
        <w:rPr>
          <w:b w:val="0"/>
          <w:i w:val="0"/>
        </w:rPr>
        <w:t xml:space="preserve"> </w:t>
      </w:r>
      <w:hyperlink w:anchor="latin-record-0086">
        <w:r>
          <w:rPr>
            <w:color w:val="000000"/>
          </w:rPr>
          <w:t xml:space="preserve">appetibilis / appetere</w:t>
        </w:r>
      </w:hyperlink>
      <w:r>
        <w:rPr>
          <w:b w:val="0"/>
          <w:i w:val="0"/>
        </w:rPr>
        <w:t>.</w:t>
      </w:r>
    </w:p>
    <w:p>
      <w:pPr>
        <w:widowControl/>
      </w:pPr>
      <w:r>
        <w:rPr>
          <w:b/>
          <w:i w:val="0"/>
        </w:rPr>
        <w:t>appetitum.</w:t>
      </w:r>
      <w:r>
        <w:rPr>
          <w:b w:val="0"/>
          <w:i w:val="0"/>
        </w:rPr>
        <w:t xml:space="preserve"> </w:t>
      </w:r>
      <w:hyperlink w:anchor="latin-record-0086">
        <w:r>
          <w:rPr>
            <w:color w:val="000000"/>
          </w:rPr>
          <w:t xml:space="preserve">appetibilis / appetere</w:t>
        </w:r>
      </w:hyperlink>
      <w:r>
        <w:rPr>
          <w:b w:val="0"/>
          <w:i w:val="0"/>
        </w:rPr>
        <w:t xml:space="preserve">; </w:t>
      </w:r>
      <w:hyperlink w:anchor="latin-record-0087">
        <w:r>
          <w:rPr>
            <w:color w:val="000000"/>
          </w:rPr>
          <w:t xml:space="preserve">appetitus excitatus</w:t>
        </w:r>
      </w:hyperlink>
      <w:r>
        <w:rPr>
          <w:b w:val="0"/>
          <w:i w:val="0"/>
        </w:rPr>
        <w:t xml:space="preserve">; </w:t>
      </w:r>
      <w:hyperlink w:anchor="latin-record-0552">
        <w:r>
          <w:rPr>
            <w:color w:val="000000"/>
          </w:rPr>
          <w:t xml:space="preserve">inclinatio / appetitus / voluntas</w:t>
        </w:r>
      </w:hyperlink>
      <w:r>
        <w:rPr>
          <w:b w:val="0"/>
          <w:i w:val="0"/>
        </w:rPr>
        <w:t>.</w:t>
      </w:r>
    </w:p>
    <w:p>
      <w:pPr>
        <w:widowControl/>
      </w:pPr>
      <w:r>
        <w:rPr>
          <w:b/>
          <w:i w:val="0"/>
        </w:rPr>
        <w:t>appetitus.</w:t>
      </w:r>
      <w:r>
        <w:rPr>
          <w:b w:val="0"/>
          <w:i w:val="0"/>
        </w:rPr>
        <w:t xml:space="preserve"> </w:t>
      </w:r>
      <w:hyperlink w:anchor="latin-record-0086">
        <w:r>
          <w:rPr>
            <w:color w:val="000000"/>
          </w:rPr>
          <w:t xml:space="preserve">appetibilis / appetere</w:t>
        </w:r>
      </w:hyperlink>
      <w:r>
        <w:rPr>
          <w:b w:val="0"/>
          <w:i w:val="0"/>
        </w:rPr>
        <w:t>.</w:t>
      </w:r>
    </w:p>
    <w:p>
      <w:pPr>
        <w:widowControl/>
      </w:pPr>
      <w:r>
        <w:rPr>
          <w:b/>
          <w:i w:val="0"/>
        </w:rPr>
        <w:t>approbet.</w:t>
      </w:r>
      <w:r>
        <w:rPr>
          <w:b w:val="0"/>
          <w:i w:val="0"/>
        </w:rPr>
        <w:t xml:space="preserve"> </w:t>
      </w:r>
      <w:hyperlink w:anchor="latin-record-0088">
        <w:r>
          <w:rPr>
            <w:color w:val="000000"/>
          </w:rPr>
          <w:t xml:space="preserve">approbare / eligere</w:t>
        </w:r>
      </w:hyperlink>
      <w:r>
        <w:rPr>
          <w:b w:val="0"/>
          <w:i w:val="0"/>
        </w:rPr>
        <w:t>.</w:t>
      </w:r>
    </w:p>
    <w:p>
      <w:pPr>
        <w:widowControl/>
      </w:pPr>
      <w:r>
        <w:rPr>
          <w:b/>
          <w:i w:val="0"/>
        </w:rPr>
        <w:t>aptissime.</w:t>
      </w:r>
      <w:r>
        <w:rPr>
          <w:b w:val="0"/>
          <w:i w:val="0"/>
        </w:rPr>
        <w:t xml:space="preserve"> </w:t>
      </w:r>
      <w:hyperlink w:anchor="latin-record-0958">
        <w:r>
          <w:rPr>
            <w:color w:val="000000"/>
          </w:rPr>
          <w:t xml:space="preserve">proportio / consonare</w:t>
        </w:r>
      </w:hyperlink>
      <w:r>
        <w:rPr>
          <w:b w:val="0"/>
          <w:i w:val="0"/>
        </w:rPr>
        <w:t>.</w:t>
      </w:r>
    </w:p>
    <w:p>
      <w:pPr>
        <w:widowControl/>
      </w:pPr>
      <w:r>
        <w:rPr>
          <w:b/>
          <w:i w:val="0"/>
        </w:rPr>
        <w:t>aptius.</w:t>
      </w:r>
      <w:r>
        <w:rPr>
          <w:b w:val="0"/>
          <w:i w:val="0"/>
        </w:rPr>
        <w:t xml:space="preserve"> </w:t>
      </w:r>
      <w:hyperlink w:anchor="latin-record-0089">
        <w:r>
          <w:rPr>
            <w:color w:val="000000"/>
          </w:rPr>
          <w:t xml:space="preserve">aptus / convenire / congruere</w:t>
        </w:r>
      </w:hyperlink>
      <w:r>
        <w:rPr>
          <w:b w:val="0"/>
          <w:i w:val="0"/>
        </w:rPr>
        <w:t>.</w:t>
      </w:r>
    </w:p>
    <w:p>
      <w:pPr>
        <w:widowControl/>
      </w:pPr>
      <w:r>
        <w:rPr>
          <w:b/>
          <w:i w:val="0"/>
        </w:rPr>
        <w:t>aqua.</w:t>
      </w:r>
      <w:r>
        <w:rPr>
          <w:b w:val="0"/>
          <w:i w:val="0"/>
        </w:rPr>
        <w:t xml:space="preserve"> </w:t>
      </w:r>
      <w:hyperlink w:anchor="latin-record-0036">
        <w:r>
          <w:rPr>
            <w:color w:val="000000"/>
          </w:rPr>
          <w:t xml:space="preserve">aer / aqua / terra</w:t>
        </w:r>
      </w:hyperlink>
      <w:r>
        <w:rPr>
          <w:b w:val="0"/>
          <w:i w:val="0"/>
        </w:rPr>
        <w:t>.</w:t>
      </w:r>
    </w:p>
    <w:p>
      <w:pPr>
        <w:widowControl/>
      </w:pPr>
      <w:r>
        <w:rPr>
          <w:b/>
          <w:i w:val="0"/>
        </w:rPr>
        <w:t>aquam.</w:t>
      </w:r>
      <w:r>
        <w:rPr>
          <w:b w:val="0"/>
          <w:i w:val="0"/>
        </w:rPr>
        <w:t xml:space="preserve"> </w:t>
      </w:r>
      <w:hyperlink w:anchor="latin-record-0036">
        <w:r>
          <w:rPr>
            <w:color w:val="000000"/>
          </w:rPr>
          <w:t xml:space="preserve">aer / aqua / terra</w:t>
        </w:r>
      </w:hyperlink>
      <w:r>
        <w:rPr>
          <w:b w:val="0"/>
          <w:i w:val="0"/>
        </w:rPr>
        <w:t xml:space="preserve">; </w:t>
      </w:r>
      <w:hyperlink w:anchor="latin-record-0131">
        <w:r>
          <w:rPr>
            <w:color w:val="000000"/>
          </w:rPr>
          <w:t xml:space="preserve">calefacere / aqua / aer</w:t>
        </w:r>
      </w:hyperlink>
      <w:r>
        <w:rPr>
          <w:b w:val="0"/>
          <w:i w:val="0"/>
        </w:rPr>
        <w:t>.</w:t>
      </w:r>
    </w:p>
    <w:p>
      <w:pPr>
        <w:widowControl/>
      </w:pPr>
      <w:r>
        <w:rPr>
          <w:b/>
          <w:i w:val="0"/>
        </w:rPr>
        <w:t>aquamve.</w:t>
      </w:r>
      <w:r>
        <w:rPr>
          <w:b w:val="0"/>
          <w:i w:val="0"/>
        </w:rPr>
        <w:t xml:space="preserve"> </w:t>
      </w:r>
      <w:hyperlink w:anchor="latin-record-0036">
        <w:r>
          <w:rPr>
            <w:color w:val="000000"/>
          </w:rPr>
          <w:t xml:space="preserve">aer / aqua / terra</w:t>
        </w:r>
      </w:hyperlink>
      <w:r>
        <w:rPr>
          <w:b w:val="0"/>
          <w:i w:val="0"/>
        </w:rPr>
        <w:t>.</w:t>
      </w:r>
    </w:p>
    <w:p>
      <w:pPr>
        <w:widowControl/>
      </w:pPr>
      <w:r>
        <w:rPr>
          <w:b/>
          <w:i w:val="0"/>
        </w:rPr>
        <w:t>arbitrantur.</w:t>
      </w:r>
      <w:r>
        <w:rPr>
          <w:b w:val="0"/>
          <w:i w:val="0"/>
        </w:rPr>
        <w:t xml:space="preserve"> </w:t>
      </w:r>
      <w:hyperlink w:anchor="latin-record-0405">
        <w:r>
          <w:rPr>
            <w:color w:val="000000"/>
          </w:rPr>
          <w:t xml:space="preserve">existimare / opinari / arbitrari</w:t>
        </w:r>
      </w:hyperlink>
      <w:r>
        <w:rPr>
          <w:b w:val="0"/>
          <w:i w:val="0"/>
        </w:rPr>
        <w:t>.</w:t>
      </w:r>
    </w:p>
    <w:p>
      <w:pPr>
        <w:widowControl/>
      </w:pPr>
      <w:r>
        <w:rPr>
          <w:b/>
          <w:i w:val="0"/>
        </w:rPr>
        <w:t>arbitremur.</w:t>
      </w:r>
      <w:r>
        <w:rPr>
          <w:b w:val="0"/>
          <w:i w:val="0"/>
        </w:rPr>
        <w:t xml:space="preserve"> </w:t>
      </w:r>
      <w:hyperlink w:anchor="latin-record-0405">
        <w:r>
          <w:rPr>
            <w:color w:val="000000"/>
          </w:rPr>
          <w:t xml:space="preserve">existimare / opinari / arbitrari</w:t>
        </w:r>
      </w:hyperlink>
      <w:r>
        <w:rPr>
          <w:b w:val="0"/>
          <w:i w:val="0"/>
        </w:rPr>
        <w:t>.</w:t>
      </w:r>
    </w:p>
    <w:p>
      <w:pPr>
        <w:widowControl/>
      </w:pPr>
      <w:r>
        <w:rPr>
          <w:b/>
          <w:i w:val="0"/>
        </w:rPr>
        <w:t>arbitror.</w:t>
      </w:r>
      <w:r>
        <w:rPr>
          <w:b w:val="0"/>
          <w:i w:val="0"/>
        </w:rPr>
        <w:t xml:space="preserve"> </w:t>
      </w:r>
      <w:hyperlink w:anchor="latin-record-0991">
        <w:r>
          <w:rPr>
            <w:color w:val="000000"/>
          </w:rPr>
          <w:t xml:space="preserve">putare / arbitrari</w:t>
        </w:r>
      </w:hyperlink>
      <w:r>
        <w:rPr>
          <w:b w:val="0"/>
          <w:i w:val="0"/>
        </w:rPr>
        <w:t>.</w:t>
      </w:r>
    </w:p>
    <w:p>
      <w:pPr>
        <w:widowControl/>
      </w:pPr>
      <w:r>
        <w:rPr>
          <w:b/>
          <w:i w:val="0"/>
        </w:rPr>
        <w:t>arborum.</w:t>
      </w:r>
      <w:r>
        <w:rPr>
          <w:b w:val="0"/>
          <w:i w:val="0"/>
        </w:rPr>
        <w:t xml:space="preserve"> </w:t>
      </w:r>
      <w:hyperlink w:anchor="latin-record-1218">
        <w:r>
          <w:rPr>
            <w:color w:val="000000"/>
          </w:rPr>
          <w:t xml:space="preserve">umbra arborum in torrente</w:t>
        </w:r>
      </w:hyperlink>
      <w:r>
        <w:rPr>
          <w:b w:val="0"/>
          <w:i w:val="0"/>
        </w:rPr>
        <w:t>.</w:t>
      </w:r>
    </w:p>
    <w:p>
      <w:pPr>
        <w:widowControl/>
      </w:pPr>
      <w:r>
        <w:rPr>
          <w:b/>
          <w:i w:val="0"/>
        </w:rPr>
        <w:t>arcana.</w:t>
      </w:r>
      <w:r>
        <w:rPr>
          <w:b w:val="0"/>
          <w:i w:val="0"/>
        </w:rPr>
        <w:t xml:space="preserve"> </w:t>
      </w:r>
      <w:hyperlink w:anchor="latin-record-0090">
        <w:r>
          <w:rPr>
            <w:color w:val="000000"/>
          </w:rPr>
          <w:t xml:space="preserve">arcana / edo</w:t>
        </w:r>
      </w:hyperlink>
      <w:r>
        <w:rPr>
          <w:b w:val="0"/>
          <w:i w:val="0"/>
        </w:rPr>
        <w:t>.</w:t>
      </w:r>
    </w:p>
    <w:p>
      <w:pPr>
        <w:widowControl/>
      </w:pPr>
      <w:r>
        <w:rPr>
          <w:b/>
          <w:i w:val="0"/>
        </w:rPr>
        <w:t>arce.</w:t>
      </w:r>
      <w:r>
        <w:rPr>
          <w:b w:val="0"/>
          <w:i w:val="0"/>
        </w:rPr>
        <w:t xml:space="preserve"> </w:t>
      </w:r>
      <w:hyperlink w:anchor="latin-record-0099">
        <w:r>
          <w:rPr>
            <w:color w:val="000000"/>
          </w:rPr>
          <w:t xml:space="preserve">arx / tertius / medius</w:t>
        </w:r>
      </w:hyperlink>
      <w:r>
        <w:rPr>
          <w:b w:val="0"/>
          <w:i w:val="0"/>
        </w:rPr>
        <w:t>.</w:t>
      </w:r>
    </w:p>
    <w:p>
      <w:pPr>
        <w:widowControl/>
      </w:pPr>
      <w:r>
        <w:rPr>
          <w:b/>
          <w:i w:val="0"/>
        </w:rPr>
        <w:t>Archimedis.</w:t>
      </w:r>
      <w:r>
        <w:rPr>
          <w:b w:val="0"/>
          <w:i w:val="0"/>
        </w:rPr>
        <w:t xml:space="preserve"> </w:t>
      </w:r>
      <w:hyperlink w:anchor="latin-record-0091">
        <w:r>
          <w:rPr>
            <w:color w:val="000000"/>
          </w:rPr>
          <w:t xml:space="preserve">Archimedes / aeneus</w:t>
        </w:r>
      </w:hyperlink>
      <w:r>
        <w:rPr>
          <w:b w:val="0"/>
          <w:i w:val="0"/>
        </w:rPr>
        <w:t>.</w:t>
      </w:r>
    </w:p>
    <w:p>
      <w:pPr>
        <w:widowControl/>
      </w:pPr>
      <w:r>
        <w:rPr>
          <w:b/>
          <w:i w:val="0"/>
        </w:rPr>
        <w:t>architectum.</w:t>
      </w:r>
      <w:r>
        <w:rPr>
          <w:b w:val="0"/>
          <w:i w:val="0"/>
        </w:rPr>
        <w:t xml:space="preserve"> </w:t>
      </w:r>
      <w:hyperlink w:anchor="latin-record-0699">
        <w:r>
          <w:rPr>
            <w:color w:val="000000"/>
          </w:rPr>
          <w:t xml:space="preserve">minister / architectus</w:t>
        </w:r>
      </w:hyperlink>
      <w:r>
        <w:rPr>
          <w:b w:val="0"/>
          <w:i w:val="0"/>
        </w:rPr>
        <w:t xml:space="preserve">; </w:t>
      </w:r>
      <w:hyperlink w:anchor="latin-record-0798">
        <w:r>
          <w:rPr>
            <w:color w:val="000000"/>
          </w:rPr>
          <w:t xml:space="preserve">opifex / architectus</w:t>
        </w:r>
      </w:hyperlink>
      <w:r>
        <w:rPr>
          <w:b w:val="0"/>
          <w:i w:val="0"/>
        </w:rPr>
        <w:t>.</w:t>
      </w:r>
    </w:p>
    <w:p>
      <w:pPr>
        <w:widowControl/>
      </w:pPr>
      <w:r>
        <w:rPr>
          <w:b/>
          <w:i w:val="0"/>
        </w:rPr>
        <w:t>architectus.</w:t>
      </w:r>
      <w:r>
        <w:rPr>
          <w:b w:val="0"/>
          <w:i w:val="0"/>
        </w:rPr>
        <w:t xml:space="preserve"> </w:t>
      </w:r>
      <w:hyperlink w:anchor="latin-record-0699">
        <w:r>
          <w:rPr>
            <w:color w:val="000000"/>
          </w:rPr>
          <w:t xml:space="preserve">minister / architectus</w:t>
        </w:r>
      </w:hyperlink>
      <w:r>
        <w:rPr>
          <w:b w:val="0"/>
          <w:i w:val="0"/>
        </w:rPr>
        <w:t>.</w:t>
      </w:r>
    </w:p>
    <w:p>
      <w:pPr>
        <w:widowControl/>
      </w:pPr>
      <w:r>
        <w:rPr>
          <w:b/>
          <w:i w:val="0"/>
        </w:rPr>
        <w:t>arguit.</w:t>
      </w:r>
      <w:r>
        <w:rPr>
          <w:b w:val="0"/>
          <w:i w:val="0"/>
        </w:rPr>
        <w:t xml:space="preserve"> </w:t>
      </w:r>
      <w:hyperlink w:anchor="latin-record-0093">
        <w:r>
          <w:rPr>
            <w:color w:val="000000"/>
          </w:rPr>
          <w:t xml:space="preserve">arguo / convinco</w:t>
        </w:r>
      </w:hyperlink>
      <w:r>
        <w:rPr>
          <w:b w:val="0"/>
          <w:i w:val="0"/>
        </w:rPr>
        <w:t>.</w:t>
      </w:r>
    </w:p>
    <w:p>
      <w:pPr>
        <w:widowControl/>
      </w:pPr>
      <w:r>
        <w:rPr>
          <w:b/>
          <w:i w:val="0"/>
        </w:rPr>
        <w:t>arguitur.</w:t>
      </w:r>
      <w:r>
        <w:rPr>
          <w:b w:val="0"/>
          <w:i w:val="0"/>
        </w:rPr>
        <w:t xml:space="preserve"> </w:t>
      </w:r>
      <w:hyperlink w:anchor="latin-record-0092">
        <w:r>
          <w:rPr>
            <w:color w:val="000000"/>
          </w:rPr>
          <w:t xml:space="preserve">argumentum / arguere</w:t>
        </w:r>
      </w:hyperlink>
      <w:r>
        <w:rPr>
          <w:b w:val="0"/>
          <w:i w:val="0"/>
        </w:rPr>
        <w:t>.</w:t>
      </w:r>
    </w:p>
    <w:p>
      <w:pPr>
        <w:widowControl/>
      </w:pPr>
      <w:r>
        <w:rPr>
          <w:b/>
          <w:i w:val="0"/>
        </w:rPr>
        <w:t>argumentationibus.</w:t>
      </w:r>
      <w:r>
        <w:rPr>
          <w:b w:val="0"/>
          <w:i w:val="0"/>
        </w:rPr>
        <w:t xml:space="preserve"> </w:t>
      </w:r>
      <w:hyperlink w:anchor="latin-record-1021">
        <w:r>
          <w:rPr>
            <w:color w:val="000000"/>
          </w:rPr>
          <w:t xml:space="preserve">ratio / argumentatio / signum</w:t>
        </w:r>
      </w:hyperlink>
      <w:r>
        <w:rPr>
          <w:b w:val="0"/>
          <w:i w:val="0"/>
        </w:rPr>
        <w:t>.</w:t>
      </w:r>
    </w:p>
    <w:p>
      <w:pPr>
        <w:widowControl/>
      </w:pPr>
      <w:r>
        <w:rPr>
          <w:b/>
          <w:i w:val="0"/>
        </w:rPr>
        <w:t>argumentis.</w:t>
      </w:r>
      <w:r>
        <w:rPr>
          <w:b w:val="0"/>
          <w:i w:val="0"/>
        </w:rPr>
        <w:t xml:space="preserve"> </w:t>
      </w:r>
      <w:hyperlink w:anchor="latin-record-0092">
        <w:r>
          <w:rPr>
            <w:color w:val="000000"/>
          </w:rPr>
          <w:t xml:space="preserve">argumentum / arguere</w:t>
        </w:r>
      </w:hyperlink>
      <w:r>
        <w:rPr>
          <w:b w:val="0"/>
          <w:i w:val="0"/>
        </w:rPr>
        <w:t>.</w:t>
      </w:r>
    </w:p>
    <w:p>
      <w:pPr>
        <w:widowControl/>
      </w:pPr>
      <w:r>
        <w:rPr>
          <w:b/>
          <w:i w:val="0"/>
        </w:rPr>
        <w:t>argumento.</w:t>
      </w:r>
      <w:r>
        <w:rPr>
          <w:b w:val="0"/>
          <w:i w:val="0"/>
        </w:rPr>
        <w:t xml:space="preserve"> </w:t>
      </w:r>
      <w:hyperlink w:anchor="latin-record-0092">
        <w:r>
          <w:rPr>
            <w:color w:val="000000"/>
          </w:rPr>
          <w:t xml:space="preserve">argumentum / arguere</w:t>
        </w:r>
      </w:hyperlink>
      <w:r>
        <w:rPr>
          <w:b w:val="0"/>
          <w:i w:val="0"/>
        </w:rPr>
        <w:t>.</w:t>
      </w:r>
    </w:p>
    <w:p>
      <w:pPr>
        <w:widowControl/>
      </w:pPr>
      <w:r>
        <w:rPr>
          <w:b/>
          <w:i w:val="0"/>
        </w:rPr>
        <w:t>Arimanis.</w:t>
      </w:r>
      <w:r>
        <w:rPr>
          <w:b w:val="0"/>
          <w:i w:val="0"/>
        </w:rPr>
        <w:t xml:space="preserve"> </w:t>
      </w:r>
      <w:hyperlink w:anchor="latin-record-0812">
        <w:r>
          <w:rPr>
            <w:color w:val="000000"/>
          </w:rPr>
          <w:t xml:space="preserve">Oromasis / Mitris / Arimanis</w:t>
        </w:r>
      </w:hyperlink>
      <w:r>
        <w:rPr>
          <w:b w:val="0"/>
          <w:i w:val="0"/>
        </w:rPr>
        <w:t>.</w:t>
      </w:r>
    </w:p>
    <w:p>
      <w:pPr>
        <w:widowControl/>
      </w:pPr>
      <w:r>
        <w:rPr>
          <w:b/>
          <w:i w:val="0"/>
        </w:rPr>
        <w:t>Aristoteles.</w:t>
      </w:r>
      <w:r>
        <w:rPr>
          <w:b w:val="0"/>
          <w:i w:val="0"/>
        </w:rPr>
        <w:t xml:space="preserve"> </w:t>
      </w:r>
      <w:hyperlink w:anchor="latin-record-0094">
        <w:r>
          <w:rPr>
            <w:color w:val="000000"/>
          </w:rPr>
          <w:t xml:space="preserve">Aristoteles</w:t>
        </w:r>
      </w:hyperlink>
      <w:r>
        <w:rPr>
          <w:b w:val="0"/>
          <w:i w:val="0"/>
        </w:rPr>
        <w:t xml:space="preserve">; </w:t>
      </w:r>
      <w:hyperlink w:anchor="latin-record-0095">
        <w:r>
          <w:rPr>
            <w:color w:val="000000"/>
          </w:rPr>
          <w:t xml:space="preserve">Aristoteles / Divinorum</w:t>
        </w:r>
      </w:hyperlink>
      <w:r>
        <w:rPr>
          <w:b w:val="0"/>
          <w:i w:val="0"/>
        </w:rPr>
        <w:t>.</w:t>
      </w:r>
    </w:p>
    <w:p>
      <w:pPr>
        <w:widowControl/>
      </w:pPr>
      <w:r>
        <w:rPr>
          <w:b/>
          <w:i w:val="0"/>
        </w:rPr>
        <w:t>Aristotelis.</w:t>
      </w:r>
      <w:r>
        <w:rPr>
          <w:b w:val="0"/>
          <w:i w:val="0"/>
        </w:rPr>
        <w:t xml:space="preserve"> </w:t>
      </w:r>
      <w:hyperlink w:anchor="latin-record-0119">
        <w:r>
          <w:rPr>
            <w:color w:val="000000"/>
          </w:rPr>
          <w:t xml:space="preserve">Averrois / Aristoteles</w:t>
        </w:r>
      </w:hyperlink>
      <w:r>
        <w:rPr>
          <w:b w:val="0"/>
          <w:i w:val="0"/>
        </w:rPr>
        <w:t>.</w:t>
      </w:r>
    </w:p>
    <w:p>
      <w:pPr>
        <w:widowControl/>
      </w:pPr>
      <w:r>
        <w:rPr>
          <w:b/>
          <w:i w:val="0"/>
        </w:rPr>
        <w:t>ars.</w:t>
      </w:r>
      <w:r>
        <w:rPr>
          <w:b w:val="0"/>
          <w:i w:val="0"/>
        </w:rPr>
        <w:t xml:space="preserve"> </w:t>
      </w:r>
      <w:hyperlink w:anchor="latin-record-0096">
        <w:r>
          <w:rPr>
            <w:color w:val="000000"/>
          </w:rPr>
          <w:t xml:space="preserve">ars / artificium</w:t>
        </w:r>
      </w:hyperlink>
      <w:r>
        <w:rPr>
          <w:b w:val="0"/>
          <w:i w:val="0"/>
        </w:rPr>
        <w:t>.</w:t>
      </w:r>
    </w:p>
    <w:p>
      <w:pPr>
        <w:widowControl/>
      </w:pPr>
      <w:r>
        <w:rPr>
          <w:b/>
          <w:i w:val="0"/>
        </w:rPr>
        <w:t>arte.</w:t>
      </w:r>
      <w:r>
        <w:rPr>
          <w:b w:val="0"/>
          <w:i w:val="0"/>
        </w:rPr>
        <w:t xml:space="preserve"> </w:t>
      </w:r>
      <w:hyperlink w:anchor="latin-record-0465">
        <w:r>
          <w:rPr>
            <w:color w:val="000000"/>
          </w:rPr>
          <w:t xml:space="preserve">formosus / exactus / ars</w:t>
        </w:r>
      </w:hyperlink>
      <w:r>
        <w:rPr>
          <w:b w:val="0"/>
          <w:i w:val="0"/>
        </w:rPr>
        <w:t>.</w:t>
      </w:r>
    </w:p>
    <w:p>
      <w:pPr>
        <w:widowControl/>
      </w:pPr>
      <w:r>
        <w:rPr>
          <w:b/>
          <w:i w:val="0"/>
        </w:rPr>
        <w:t>arti.</w:t>
      </w:r>
      <w:r>
        <w:rPr>
          <w:b w:val="0"/>
          <w:i w:val="0"/>
        </w:rPr>
        <w:t xml:space="preserve"> </w:t>
      </w:r>
      <w:hyperlink w:anchor="latin-record-0096">
        <w:r>
          <w:rPr>
            <w:color w:val="000000"/>
          </w:rPr>
          <w:t xml:space="preserve">ars / artificium</w:t>
        </w:r>
      </w:hyperlink>
      <w:r>
        <w:rPr>
          <w:b w:val="0"/>
          <w:i w:val="0"/>
        </w:rPr>
        <w:t>.</w:t>
      </w:r>
    </w:p>
    <w:p>
      <w:pPr>
        <w:widowControl/>
      </w:pPr>
      <w:r>
        <w:rPr>
          <w:b/>
          <w:i w:val="0"/>
        </w:rPr>
        <w:t>artibus.</w:t>
      </w:r>
      <w:r>
        <w:rPr>
          <w:b w:val="0"/>
          <w:i w:val="0"/>
        </w:rPr>
        <w:t xml:space="preserve"> </w:t>
      </w:r>
      <w:hyperlink w:anchor="latin-record-0096">
        <w:r>
          <w:rPr>
            <w:color w:val="000000"/>
          </w:rPr>
          <w:t xml:space="preserve">ars / artificium</w:t>
        </w:r>
      </w:hyperlink>
      <w:r>
        <w:rPr>
          <w:b w:val="0"/>
          <w:i w:val="0"/>
        </w:rPr>
        <w:t>.</w:t>
      </w:r>
    </w:p>
    <w:p>
      <w:pPr>
        <w:widowControl/>
      </w:pPr>
      <w:r>
        <w:rPr>
          <w:b/>
          <w:i w:val="0"/>
        </w:rPr>
        <w:t>articulos.</w:t>
      </w:r>
      <w:r>
        <w:rPr>
          <w:b w:val="0"/>
          <w:i w:val="0"/>
        </w:rPr>
        <w:t xml:space="preserve"> </w:t>
      </w:r>
      <w:hyperlink w:anchor="latin-record-0098">
        <w:r>
          <w:rPr>
            <w:color w:val="000000"/>
          </w:rPr>
          <w:t xml:space="preserve">artus / articulus</w:t>
        </w:r>
      </w:hyperlink>
      <w:r>
        <w:rPr>
          <w:b w:val="0"/>
          <w:i w:val="0"/>
        </w:rPr>
        <w:t>.</w:t>
      </w:r>
    </w:p>
    <w:p>
      <w:pPr>
        <w:widowControl/>
      </w:pPr>
      <w:r>
        <w:rPr>
          <w:b/>
          <w:i w:val="0"/>
        </w:rPr>
        <w:t>artificii.</w:t>
      </w:r>
      <w:r>
        <w:rPr>
          <w:b w:val="0"/>
          <w:i w:val="0"/>
        </w:rPr>
        <w:t xml:space="preserve"> </w:t>
      </w:r>
      <w:hyperlink w:anchor="latin-record-0096">
        <w:r>
          <w:rPr>
            <w:color w:val="000000"/>
          </w:rPr>
          <w:t xml:space="preserve">ars / artificium</w:t>
        </w:r>
      </w:hyperlink>
      <w:r>
        <w:rPr>
          <w:b w:val="0"/>
          <w:i w:val="0"/>
        </w:rPr>
        <w:t>.</w:t>
      </w:r>
    </w:p>
    <w:p>
      <w:pPr>
        <w:widowControl/>
      </w:pPr>
      <w:r>
        <w:rPr>
          <w:b/>
          <w:i w:val="0"/>
        </w:rPr>
        <w:t>artificium.</w:t>
      </w:r>
      <w:r>
        <w:rPr>
          <w:b w:val="0"/>
          <w:i w:val="0"/>
        </w:rPr>
        <w:t xml:space="preserve"> </w:t>
      </w:r>
      <w:hyperlink w:anchor="latin-record-0097">
        <w:r>
          <w:rPr>
            <w:color w:val="000000"/>
          </w:rPr>
          <w:t xml:space="preserve">artificium / opus</w:t>
        </w:r>
      </w:hyperlink>
      <w:r>
        <w:rPr>
          <w:b w:val="0"/>
          <w:i w:val="0"/>
        </w:rPr>
        <w:t>.</w:t>
      </w:r>
    </w:p>
    <w:p>
      <w:pPr>
        <w:widowControl/>
      </w:pPr>
      <w:r>
        <w:rPr>
          <w:b/>
          <w:i w:val="0"/>
        </w:rPr>
        <w:t>artis.</w:t>
      </w:r>
      <w:r>
        <w:rPr>
          <w:b w:val="0"/>
          <w:i w:val="0"/>
        </w:rPr>
        <w:t xml:space="preserve"> </w:t>
      </w:r>
      <w:hyperlink w:anchor="latin-record-0096">
        <w:r>
          <w:rPr>
            <w:color w:val="000000"/>
          </w:rPr>
          <w:t xml:space="preserve">ars / artificium</w:t>
        </w:r>
      </w:hyperlink>
      <w:r>
        <w:rPr>
          <w:b w:val="0"/>
          <w:i w:val="0"/>
        </w:rPr>
        <w:t>.</w:t>
      </w:r>
    </w:p>
    <w:p>
      <w:pPr>
        <w:widowControl/>
      </w:pPr>
      <w:r>
        <w:rPr>
          <w:b/>
          <w:i w:val="0"/>
        </w:rPr>
        <w:t>Artium.</w:t>
      </w:r>
      <w:r>
        <w:rPr>
          <w:b w:val="0"/>
          <w:i w:val="0"/>
        </w:rPr>
        <w:t xml:space="preserve"> </w:t>
      </w:r>
      <w:hyperlink w:anchor="latin-record-0096">
        <w:r>
          <w:rPr>
            <w:color w:val="000000"/>
          </w:rPr>
          <w:t xml:space="preserve">ars / artificium</w:t>
        </w:r>
      </w:hyperlink>
      <w:r>
        <w:rPr>
          <w:b w:val="0"/>
          <w:i w:val="0"/>
        </w:rPr>
        <w:t>.</w:t>
      </w:r>
    </w:p>
    <w:p>
      <w:pPr>
        <w:widowControl/>
      </w:pPr>
      <w:r>
        <w:rPr>
          <w:b/>
          <w:i w:val="0"/>
        </w:rPr>
        <w:t>artus.</w:t>
      </w:r>
      <w:r>
        <w:rPr>
          <w:b w:val="0"/>
          <w:i w:val="0"/>
        </w:rPr>
        <w:t xml:space="preserve"> </w:t>
      </w:r>
      <w:hyperlink w:anchor="latin-record-0098">
        <w:r>
          <w:rPr>
            <w:color w:val="000000"/>
          </w:rPr>
          <w:t xml:space="preserve">artus / articulus</w:t>
        </w:r>
      </w:hyperlink>
      <w:r>
        <w:rPr>
          <w:b w:val="0"/>
          <w:i w:val="0"/>
        </w:rPr>
        <w:t>.</w:t>
      </w:r>
    </w:p>
    <w:p>
      <w:pPr>
        <w:widowControl/>
      </w:pPr>
      <w:r>
        <w:rPr>
          <w:b/>
          <w:i w:val="0"/>
        </w:rPr>
        <w:t>ascendendo.</w:t>
      </w:r>
      <w:r>
        <w:rPr>
          <w:b w:val="0"/>
          <w:i w:val="0"/>
        </w:rPr>
        <w:t xml:space="preserve"> </w:t>
      </w:r>
      <w:hyperlink w:anchor="latin-record-0100">
        <w:r>
          <w:rPr>
            <w:color w:val="000000"/>
          </w:rPr>
          <w:t xml:space="preserve">ascendere / descendere</w:t>
        </w:r>
      </w:hyperlink>
      <w:r>
        <w:rPr>
          <w:b w:val="0"/>
          <w:i w:val="0"/>
        </w:rPr>
        <w:t>.</w:t>
      </w:r>
    </w:p>
    <w:p>
      <w:pPr>
        <w:widowControl/>
      </w:pPr>
      <w:r>
        <w:rPr>
          <w:b/>
          <w:i w:val="0"/>
        </w:rPr>
        <w:t>ascenderimus.</w:t>
      </w:r>
      <w:r>
        <w:rPr>
          <w:b w:val="0"/>
          <w:i w:val="0"/>
        </w:rPr>
        <w:t xml:space="preserve"> </w:t>
      </w:r>
      <w:hyperlink w:anchor="latin-record-0101">
        <w:r>
          <w:rPr>
            <w:color w:val="000000"/>
          </w:rPr>
          <w:t xml:space="preserve">ascendo / gradus</w:t>
        </w:r>
      </w:hyperlink>
      <w:r>
        <w:rPr>
          <w:b w:val="0"/>
          <w:i w:val="0"/>
        </w:rPr>
        <w:t>.</w:t>
      </w:r>
    </w:p>
    <w:p>
      <w:pPr>
        <w:widowControl/>
      </w:pPr>
      <w:r>
        <w:rPr>
          <w:b/>
          <w:i w:val="0"/>
        </w:rPr>
        <w:t>ascenderunt.</w:t>
      </w:r>
      <w:r>
        <w:rPr>
          <w:b w:val="0"/>
          <w:i w:val="0"/>
        </w:rPr>
        <w:t xml:space="preserve"> </w:t>
      </w:r>
      <w:hyperlink w:anchor="latin-record-0101">
        <w:r>
          <w:rPr>
            <w:color w:val="000000"/>
          </w:rPr>
          <w:t xml:space="preserve">ascendo / gradus</w:t>
        </w:r>
      </w:hyperlink>
      <w:r>
        <w:rPr>
          <w:b w:val="0"/>
          <w:i w:val="0"/>
        </w:rPr>
        <w:t>.</w:t>
      </w:r>
    </w:p>
    <w:p>
      <w:pPr>
        <w:widowControl/>
      </w:pPr>
      <w:r>
        <w:rPr>
          <w:b/>
          <w:i w:val="0"/>
        </w:rPr>
        <w:t>ascendimus.</w:t>
      </w:r>
      <w:r>
        <w:rPr>
          <w:b w:val="0"/>
          <w:i w:val="0"/>
        </w:rPr>
        <w:t xml:space="preserve"> </w:t>
      </w:r>
      <w:hyperlink w:anchor="latin-record-0101">
        <w:r>
          <w:rPr>
            <w:color w:val="000000"/>
          </w:rPr>
          <w:t xml:space="preserve">ascendo / gradus</w:t>
        </w:r>
      </w:hyperlink>
      <w:r>
        <w:rPr>
          <w:b w:val="0"/>
          <w:i w:val="0"/>
        </w:rPr>
        <w:t>.</w:t>
      </w:r>
    </w:p>
    <w:p>
      <w:pPr>
        <w:widowControl/>
      </w:pPr>
      <w:r>
        <w:rPr>
          <w:b/>
          <w:i w:val="0"/>
        </w:rPr>
        <w:t>ascensus.</w:t>
      </w:r>
      <w:r>
        <w:rPr>
          <w:b w:val="0"/>
          <w:i w:val="0"/>
        </w:rPr>
        <w:t xml:space="preserve"> </w:t>
      </w:r>
      <w:hyperlink w:anchor="latin-record-0100">
        <w:r>
          <w:rPr>
            <w:color w:val="000000"/>
          </w:rPr>
          <w:t xml:space="preserve">ascendere / descendere</w:t>
        </w:r>
      </w:hyperlink>
      <w:r>
        <w:rPr>
          <w:b w:val="0"/>
          <w:i w:val="0"/>
        </w:rPr>
        <w:t xml:space="preserve">; </w:t>
      </w:r>
      <w:hyperlink w:anchor="latin-record-0101">
        <w:r>
          <w:rPr>
            <w:color w:val="000000"/>
          </w:rPr>
          <w:t xml:space="preserve">ascendo / gradus</w:t>
        </w:r>
      </w:hyperlink>
      <w:r>
        <w:rPr>
          <w:b w:val="0"/>
          <w:i w:val="0"/>
        </w:rPr>
        <w:t>.</w:t>
      </w:r>
    </w:p>
    <w:p>
      <w:pPr>
        <w:widowControl/>
      </w:pPr>
      <w:r>
        <w:rPr>
          <w:b/>
          <w:i w:val="0"/>
        </w:rPr>
        <w:t>asciscat.</w:t>
      </w:r>
      <w:r>
        <w:rPr>
          <w:b w:val="0"/>
          <w:i w:val="0"/>
        </w:rPr>
        <w:t xml:space="preserve"> </w:t>
      </w:r>
      <w:hyperlink w:anchor="latin-record-0102">
        <w:r>
          <w:rPr>
            <w:color w:val="000000"/>
          </w:rPr>
          <w:t xml:space="preserve">ascisco</w:t>
        </w:r>
      </w:hyperlink>
      <w:r>
        <w:rPr>
          <w:b w:val="0"/>
          <w:i w:val="0"/>
        </w:rPr>
        <w:t>.</w:t>
      </w:r>
    </w:p>
    <w:p>
      <w:pPr>
        <w:widowControl/>
      </w:pPr>
      <w:r>
        <w:rPr>
          <w:b/>
          <w:i w:val="0"/>
        </w:rPr>
        <w:t>assensus.</w:t>
      </w:r>
      <w:r>
        <w:rPr>
          <w:b w:val="0"/>
          <w:i w:val="0"/>
        </w:rPr>
        <w:t xml:space="preserve"> </w:t>
      </w:r>
      <w:hyperlink w:anchor="latin-record-0103">
        <w:r>
          <w:rPr>
            <w:color w:val="000000"/>
          </w:rPr>
          <w:t xml:space="preserve">assensus</w:t>
        </w:r>
      </w:hyperlink>
      <w:r>
        <w:rPr>
          <w:b w:val="0"/>
          <w:i w:val="0"/>
        </w:rPr>
        <w:t>.</w:t>
      </w:r>
    </w:p>
    <w:p>
      <w:pPr>
        <w:widowControl/>
      </w:pPr>
      <w:r>
        <w:rPr>
          <w:b/>
          <w:i w:val="0"/>
        </w:rPr>
        <w:t>assentiendum.</w:t>
      </w:r>
      <w:r>
        <w:rPr>
          <w:b w:val="0"/>
          <w:i w:val="0"/>
        </w:rPr>
        <w:t xml:space="preserve"> </w:t>
      </w:r>
      <w:hyperlink w:anchor="latin-record-0433">
        <w:r>
          <w:rPr>
            <w:color w:val="000000"/>
          </w:rPr>
          <w:t xml:space="preserve">fateri / negare / affirmare</w:t>
        </w:r>
      </w:hyperlink>
      <w:r>
        <w:rPr>
          <w:b w:val="0"/>
          <w:i w:val="0"/>
        </w:rPr>
        <w:t>.</w:t>
      </w:r>
    </w:p>
    <w:p>
      <w:pPr>
        <w:widowControl/>
      </w:pPr>
      <w:r>
        <w:rPr>
          <w:b/>
          <w:i w:val="0"/>
        </w:rPr>
        <w:t>assequatur.</w:t>
      </w:r>
      <w:r>
        <w:rPr>
          <w:b w:val="0"/>
          <w:i w:val="0"/>
        </w:rPr>
        <w:t xml:space="preserve"> </w:t>
      </w:r>
      <w:hyperlink w:anchor="latin-record-1208">
        <w:r>
          <w:rPr>
            <w:color w:val="000000"/>
          </w:rPr>
          <w:t xml:space="preserve">transferre / assequi</w:t>
        </w:r>
      </w:hyperlink>
      <w:r>
        <w:rPr>
          <w:b w:val="0"/>
          <w:i w:val="0"/>
        </w:rPr>
        <w:t>.</w:t>
      </w:r>
    </w:p>
    <w:p>
      <w:pPr>
        <w:widowControl/>
      </w:pPr>
      <w:r>
        <w:rPr>
          <w:b/>
          <w:i w:val="0"/>
        </w:rPr>
        <w:t>assequitur.</w:t>
      </w:r>
      <w:r>
        <w:rPr>
          <w:b w:val="0"/>
          <w:i w:val="0"/>
        </w:rPr>
        <w:t xml:space="preserve"> </w:t>
      </w:r>
      <w:hyperlink w:anchor="latin-record-0247">
        <w:r>
          <w:rPr>
            <w:color w:val="000000"/>
          </w:rPr>
          <w:t xml:space="preserve">consequi / assequi / nancisci</w:t>
        </w:r>
      </w:hyperlink>
      <w:r>
        <w:rPr>
          <w:b w:val="0"/>
          <w:i w:val="0"/>
        </w:rPr>
        <w:t xml:space="preserve">; </w:t>
      </w:r>
      <w:hyperlink w:anchor="latin-record-1208">
        <w:r>
          <w:rPr>
            <w:color w:val="000000"/>
          </w:rPr>
          <w:t xml:space="preserve">transferre / assequi</w:t>
        </w:r>
      </w:hyperlink>
      <w:r>
        <w:rPr>
          <w:b w:val="0"/>
          <w:i w:val="0"/>
        </w:rPr>
        <w:t>.</w:t>
      </w:r>
    </w:p>
    <w:p>
      <w:pPr>
        <w:widowControl/>
      </w:pPr>
      <w:r>
        <w:rPr>
          <w:b/>
          <w:i w:val="0"/>
        </w:rPr>
        <w:t>asserat.</w:t>
      </w:r>
      <w:r>
        <w:rPr>
          <w:b w:val="0"/>
          <w:i w:val="0"/>
        </w:rPr>
        <w:t xml:space="preserve"> </w:t>
      </w:r>
      <w:hyperlink w:anchor="latin-record-0890">
        <w:r>
          <w:rPr>
            <w:color w:val="000000"/>
          </w:rPr>
          <w:t xml:space="preserve">ponere / inducere / asserere</w:t>
        </w:r>
      </w:hyperlink>
      <w:r>
        <w:rPr>
          <w:b w:val="0"/>
          <w:i w:val="0"/>
        </w:rPr>
        <w:t>.</w:t>
      </w:r>
    </w:p>
    <w:p>
      <w:pPr>
        <w:widowControl/>
      </w:pPr>
      <w:r>
        <w:rPr>
          <w:b/>
          <w:i w:val="0"/>
        </w:rPr>
        <w:t>asseverabimus.</w:t>
      </w:r>
      <w:r>
        <w:rPr>
          <w:b w:val="0"/>
          <w:i w:val="0"/>
        </w:rPr>
        <w:t xml:space="preserve"> </w:t>
      </w:r>
      <w:hyperlink w:anchor="latin-record-0303">
        <w:r>
          <w:rPr>
            <w:color w:val="000000"/>
          </w:rPr>
          <w:t xml:space="preserve">demonstro / assevero</w:t>
        </w:r>
      </w:hyperlink>
      <w:r>
        <w:rPr>
          <w:b w:val="0"/>
          <w:i w:val="0"/>
        </w:rPr>
        <w:t>.</w:t>
      </w:r>
    </w:p>
    <w:p>
      <w:pPr>
        <w:widowControl/>
      </w:pPr>
      <w:r>
        <w:rPr>
          <w:b/>
          <w:i w:val="0"/>
        </w:rPr>
        <w:t>asseverabunt.</w:t>
      </w:r>
      <w:r>
        <w:rPr>
          <w:b w:val="0"/>
          <w:i w:val="0"/>
        </w:rPr>
        <w:t xml:space="preserve"> </w:t>
      </w:r>
      <w:hyperlink w:anchor="latin-record-0233">
        <w:r>
          <w:rPr>
            <w:color w:val="000000"/>
          </w:rPr>
          <w:t xml:space="preserve">confiteri / asseverare</w:t>
        </w:r>
      </w:hyperlink>
      <w:r>
        <w:rPr>
          <w:b w:val="0"/>
          <w:i w:val="0"/>
        </w:rPr>
        <w:t>.</w:t>
      </w:r>
    </w:p>
    <w:p>
      <w:pPr>
        <w:widowControl/>
      </w:pPr>
      <w:r>
        <w:rPr>
          <w:b/>
          <w:i w:val="0"/>
        </w:rPr>
        <w:t>assidue.</w:t>
      </w:r>
      <w:r>
        <w:rPr>
          <w:b w:val="0"/>
          <w:i w:val="0"/>
        </w:rPr>
        <w:t xml:space="preserve"> </w:t>
      </w:r>
      <w:hyperlink w:anchor="latin-record-0264">
        <w:r>
          <w:rPr>
            <w:color w:val="000000"/>
          </w:rPr>
          <w:t xml:space="preserve">continuus / assiduus</w:t>
        </w:r>
      </w:hyperlink>
      <w:r>
        <w:rPr>
          <w:b w:val="0"/>
          <w:i w:val="0"/>
        </w:rPr>
        <w:t>.</w:t>
      </w:r>
    </w:p>
    <w:p>
      <w:pPr>
        <w:widowControl/>
      </w:pPr>
      <w:r>
        <w:rPr>
          <w:b/>
          <w:i w:val="0"/>
        </w:rPr>
        <w:t>assignare.</w:t>
      </w:r>
      <w:r>
        <w:rPr>
          <w:b w:val="0"/>
          <w:i w:val="0"/>
        </w:rPr>
        <w:t xml:space="preserve"> </w:t>
      </w:r>
      <w:hyperlink w:anchor="latin-record-0188">
        <w:r>
          <w:rPr>
            <w:color w:val="000000"/>
          </w:rPr>
          <w:t xml:space="preserve">collocare / assignare</w:t>
        </w:r>
      </w:hyperlink>
      <w:r>
        <w:rPr>
          <w:b w:val="0"/>
          <w:i w:val="0"/>
        </w:rPr>
        <w:t>.</w:t>
      </w:r>
    </w:p>
    <w:p>
      <w:pPr>
        <w:widowControl/>
      </w:pPr>
      <w:r>
        <w:rPr>
          <w:b/>
          <w:i w:val="0"/>
        </w:rPr>
        <w:t>assignari.</w:t>
      </w:r>
      <w:r>
        <w:rPr>
          <w:b w:val="0"/>
          <w:i w:val="0"/>
        </w:rPr>
        <w:t xml:space="preserve"> </w:t>
      </w:r>
      <w:hyperlink w:anchor="latin-record-0161">
        <w:r>
          <w:rPr>
            <w:color w:val="000000"/>
          </w:rPr>
          <w:t xml:space="preserve">certus / assignare / limitare</w:t>
        </w:r>
      </w:hyperlink>
      <w:r>
        <w:rPr>
          <w:b w:val="0"/>
          <w:i w:val="0"/>
        </w:rPr>
        <w:t>.</w:t>
      </w:r>
    </w:p>
    <w:p>
      <w:pPr>
        <w:widowControl/>
      </w:pPr>
      <w:r>
        <w:rPr>
          <w:b/>
          <w:i w:val="0"/>
        </w:rPr>
        <w:t>assignatam.</w:t>
      </w:r>
      <w:r>
        <w:rPr>
          <w:b w:val="0"/>
          <w:i w:val="0"/>
        </w:rPr>
        <w:t xml:space="preserve"> </w:t>
      </w:r>
      <w:hyperlink w:anchor="latin-record-0161">
        <w:r>
          <w:rPr>
            <w:color w:val="000000"/>
          </w:rPr>
          <w:t xml:space="preserve">certus / assignare / limitare</w:t>
        </w:r>
      </w:hyperlink>
      <w:r>
        <w:rPr>
          <w:b w:val="0"/>
          <w:i w:val="0"/>
        </w:rPr>
        <w:t xml:space="preserve">; </w:t>
      </w:r>
      <w:hyperlink w:anchor="latin-record-0188">
        <w:r>
          <w:rPr>
            <w:color w:val="000000"/>
          </w:rPr>
          <w:t xml:space="preserve">collocare / assignare</w:t>
        </w:r>
      </w:hyperlink>
      <w:r>
        <w:rPr>
          <w:b w:val="0"/>
          <w:i w:val="0"/>
        </w:rPr>
        <w:t>.</w:t>
      </w:r>
    </w:p>
    <w:p>
      <w:pPr>
        <w:widowControl/>
      </w:pPr>
      <w:r>
        <w:rPr>
          <w:b/>
          <w:i w:val="0"/>
        </w:rPr>
        <w:t>assistebant.</w:t>
      </w:r>
      <w:r>
        <w:rPr>
          <w:b w:val="0"/>
          <w:i w:val="0"/>
        </w:rPr>
        <w:t xml:space="preserve"> </w:t>
      </w:r>
      <w:hyperlink w:anchor="latin-record-0700">
        <w:r>
          <w:rPr>
            <w:color w:val="000000"/>
          </w:rPr>
          <w:t xml:space="preserve">minister / assisto</w:t>
        </w:r>
      </w:hyperlink>
      <w:r>
        <w:rPr>
          <w:b w:val="0"/>
          <w:i w:val="0"/>
        </w:rPr>
        <w:t>.</w:t>
      </w:r>
    </w:p>
    <w:p>
      <w:pPr>
        <w:widowControl/>
      </w:pPr>
      <w:r>
        <w:rPr>
          <w:b/>
          <w:i w:val="0"/>
        </w:rPr>
        <w:t>assurgebant.</w:t>
      </w:r>
      <w:r>
        <w:rPr>
          <w:b w:val="0"/>
          <w:i w:val="0"/>
        </w:rPr>
        <w:t xml:space="preserve"> </w:t>
      </w:r>
      <w:hyperlink w:anchor="latin-record-0104">
        <w:r>
          <w:rPr>
            <w:color w:val="000000"/>
          </w:rPr>
          <w:t xml:space="preserve">assurgere / inclinari</w:t>
        </w:r>
      </w:hyperlink>
      <w:r>
        <w:rPr>
          <w:b w:val="0"/>
          <w:i w:val="0"/>
        </w:rPr>
        <w:t>.</w:t>
      </w:r>
    </w:p>
    <w:p>
      <w:pPr>
        <w:widowControl/>
      </w:pPr>
      <w:r>
        <w:rPr>
          <w:b/>
          <w:i w:val="0"/>
        </w:rPr>
        <w:t>Athenas.</w:t>
      </w:r>
      <w:r>
        <w:rPr>
          <w:b w:val="0"/>
          <w:i w:val="0"/>
        </w:rPr>
        <w:t xml:space="preserve"> </w:t>
      </w:r>
      <w:hyperlink w:anchor="latin-record-0389">
        <w:r>
          <w:rPr>
            <w:color w:val="000000"/>
          </w:rPr>
          <w:t xml:space="preserve">Euclides / Megara / Athenae / Socrates</w:t>
        </w:r>
      </w:hyperlink>
      <w:r>
        <w:rPr>
          <w:b w:val="0"/>
          <w:i w:val="0"/>
        </w:rPr>
        <w:t>.</w:t>
      </w:r>
    </w:p>
    <w:p>
      <w:pPr>
        <w:widowControl/>
      </w:pPr>
      <w:r>
        <w:rPr>
          <w:b/>
          <w:i w:val="0"/>
        </w:rPr>
        <w:t>attingere.</w:t>
      </w:r>
      <w:r>
        <w:rPr>
          <w:b w:val="0"/>
          <w:i w:val="0"/>
        </w:rPr>
        <w:t xml:space="preserve"> </w:t>
      </w:r>
      <w:hyperlink w:anchor="latin-record-0105">
        <w:r>
          <w:rPr>
            <w:color w:val="000000"/>
          </w:rPr>
          <w:t xml:space="preserve">attingere / affectare</w:t>
        </w:r>
      </w:hyperlink>
      <w:r>
        <w:rPr>
          <w:b w:val="0"/>
          <w:i w:val="0"/>
        </w:rPr>
        <w:t>.</w:t>
      </w:r>
    </w:p>
    <w:p>
      <w:pPr>
        <w:widowControl/>
      </w:pPr>
      <w:r>
        <w:rPr>
          <w:b/>
          <w:i w:val="0"/>
        </w:rPr>
        <w:t>attingeret.</w:t>
      </w:r>
      <w:r>
        <w:rPr>
          <w:b w:val="0"/>
          <w:i w:val="0"/>
        </w:rPr>
        <w:t xml:space="preserve"> </w:t>
      </w:r>
      <w:hyperlink w:anchor="latin-record-1183">
        <w:r>
          <w:rPr>
            <w:color w:val="000000"/>
          </w:rPr>
          <w:t xml:space="preserve">tangere / attingere</w:t>
        </w:r>
      </w:hyperlink>
      <w:r>
        <w:rPr>
          <w:b w:val="0"/>
          <w:i w:val="0"/>
        </w:rPr>
        <w:t>.</w:t>
      </w:r>
    </w:p>
    <w:p>
      <w:pPr>
        <w:widowControl/>
      </w:pPr>
      <w:r>
        <w:rPr>
          <w:b/>
          <w:i w:val="0"/>
        </w:rPr>
        <w:t>attingit.</w:t>
      </w:r>
      <w:r>
        <w:rPr>
          <w:b w:val="0"/>
          <w:i w:val="0"/>
        </w:rPr>
        <w:t xml:space="preserve"> </w:t>
      </w:r>
      <w:hyperlink w:anchor="latin-record-0107">
        <w:r>
          <w:rPr>
            <w:color w:val="000000"/>
          </w:rPr>
          <w:t xml:space="preserve">attingo / tango</w:t>
        </w:r>
      </w:hyperlink>
      <w:r>
        <w:rPr>
          <w:b w:val="0"/>
          <w:i w:val="0"/>
        </w:rPr>
        <w:t xml:space="preserve">; </w:t>
      </w:r>
      <w:hyperlink w:anchor="latin-record-1183">
        <w:r>
          <w:rPr>
            <w:color w:val="000000"/>
          </w:rPr>
          <w:t xml:space="preserve">tangere / attingere</w:t>
        </w:r>
      </w:hyperlink>
      <w:r>
        <w:rPr>
          <w:b w:val="0"/>
          <w:i w:val="0"/>
        </w:rPr>
        <w:t>.</w:t>
      </w:r>
    </w:p>
    <w:p>
      <w:pPr>
        <w:widowControl/>
      </w:pPr>
      <w:r>
        <w:rPr>
          <w:b/>
          <w:i w:val="0"/>
        </w:rPr>
        <w:t>Attingit.</w:t>
      </w:r>
      <w:r>
        <w:rPr>
          <w:b w:val="0"/>
          <w:i w:val="0"/>
        </w:rPr>
        <w:t xml:space="preserve"> </w:t>
      </w:r>
      <w:hyperlink w:anchor="latin-record-1183">
        <w:r>
          <w:rPr>
            <w:color w:val="000000"/>
          </w:rPr>
          <w:t xml:space="preserve">tangere / attingere</w:t>
        </w:r>
      </w:hyperlink>
      <w:r>
        <w:rPr>
          <w:b w:val="0"/>
          <w:i w:val="0"/>
        </w:rPr>
        <w:t>.</w:t>
      </w:r>
    </w:p>
    <w:p>
      <w:pPr>
        <w:widowControl/>
      </w:pPr>
      <w:r>
        <w:rPr>
          <w:b/>
          <w:i w:val="0"/>
        </w:rPr>
        <w:t>attingunt.</w:t>
      </w:r>
      <w:r>
        <w:rPr>
          <w:b w:val="0"/>
          <w:i w:val="0"/>
        </w:rPr>
        <w:t xml:space="preserve"> </w:t>
      </w:r>
      <w:hyperlink w:anchor="latin-record-1183">
        <w:r>
          <w:rPr>
            <w:color w:val="000000"/>
          </w:rPr>
          <w:t xml:space="preserve">tangere / attingere</w:t>
        </w:r>
      </w:hyperlink>
      <w:r>
        <w:rPr>
          <w:b w:val="0"/>
          <w:i w:val="0"/>
        </w:rPr>
        <w:t>.</w:t>
      </w:r>
    </w:p>
    <w:p>
      <w:pPr>
        <w:widowControl/>
      </w:pPr>
      <w:r>
        <w:rPr>
          <w:b/>
          <w:i w:val="0"/>
        </w:rPr>
        <w:t>attribueris.</w:t>
      </w:r>
      <w:r>
        <w:rPr>
          <w:b w:val="0"/>
          <w:i w:val="0"/>
        </w:rPr>
        <w:t xml:space="preserve"> </w:t>
      </w:r>
      <w:hyperlink w:anchor="latin-record-0108">
        <w:r>
          <w:rPr>
            <w:color w:val="000000"/>
          </w:rPr>
          <w:t xml:space="preserve">attribuere / dare</w:t>
        </w:r>
      </w:hyperlink>
      <w:r>
        <w:rPr>
          <w:b w:val="0"/>
          <w:i w:val="0"/>
        </w:rPr>
        <w:t>.</w:t>
      </w:r>
    </w:p>
    <w:p>
      <w:pPr>
        <w:widowControl/>
      </w:pPr>
      <w:r>
        <w:rPr>
          <w:b/>
          <w:i w:val="0"/>
        </w:rPr>
        <w:t>auctor.</w:t>
      </w:r>
      <w:r>
        <w:rPr>
          <w:b w:val="0"/>
          <w:i w:val="0"/>
        </w:rPr>
        <w:t xml:space="preserve"> </w:t>
      </w:r>
      <w:hyperlink w:anchor="latin-record-0109">
        <w:r>
          <w:rPr>
            <w:color w:val="000000"/>
          </w:rPr>
          <w:t xml:space="preserve">auctor</w:t>
        </w:r>
      </w:hyperlink>
      <w:r>
        <w:rPr>
          <w:b w:val="0"/>
          <w:i w:val="0"/>
        </w:rPr>
        <w:t>.</w:t>
      </w:r>
    </w:p>
    <w:p>
      <w:pPr>
        <w:widowControl/>
      </w:pPr>
      <w:r>
        <w:rPr>
          <w:b/>
          <w:i w:val="0"/>
        </w:rPr>
        <w:t>auctorem.</w:t>
      </w:r>
      <w:r>
        <w:rPr>
          <w:b w:val="0"/>
          <w:i w:val="0"/>
        </w:rPr>
        <w:t xml:space="preserve"> </w:t>
      </w:r>
      <w:hyperlink w:anchor="latin-record-0110">
        <w:r>
          <w:rPr>
            <w:color w:val="000000"/>
          </w:rPr>
          <w:t xml:space="preserve">auctor / auctoritas role</w:t>
        </w:r>
      </w:hyperlink>
      <w:r>
        <w:rPr>
          <w:b w:val="0"/>
          <w:i w:val="0"/>
        </w:rPr>
        <w:t>.</w:t>
      </w:r>
    </w:p>
    <w:p>
      <w:pPr>
        <w:widowControl/>
      </w:pPr>
      <w:r>
        <w:rPr>
          <w:b/>
          <w:i w:val="0"/>
        </w:rPr>
        <w:t>auctoritate.</w:t>
      </w:r>
      <w:r>
        <w:rPr>
          <w:b w:val="0"/>
          <w:i w:val="0"/>
        </w:rPr>
        <w:t xml:space="preserve"> </w:t>
      </w:r>
      <w:hyperlink w:anchor="latin-record-0111">
        <w:r>
          <w:rPr>
            <w:color w:val="000000"/>
          </w:rPr>
          <w:t xml:space="preserve">auctoritas</w:t>
        </w:r>
      </w:hyperlink>
      <w:r>
        <w:rPr>
          <w:b w:val="0"/>
          <w:i w:val="0"/>
        </w:rPr>
        <w:t>.</w:t>
      </w:r>
    </w:p>
    <w:p>
      <w:pPr>
        <w:widowControl/>
      </w:pPr>
      <w:r>
        <w:rPr>
          <w:b/>
          <w:i w:val="0"/>
        </w:rPr>
        <w:t>auctoritati.</w:t>
      </w:r>
      <w:r>
        <w:rPr>
          <w:b w:val="0"/>
          <w:i w:val="0"/>
        </w:rPr>
        <w:t xml:space="preserve"> </w:t>
      </w:r>
      <w:hyperlink w:anchor="latin-record-0111">
        <w:r>
          <w:rPr>
            <w:color w:val="000000"/>
          </w:rPr>
          <w:t xml:space="preserve">auctoritas</w:t>
        </w:r>
      </w:hyperlink>
      <w:r>
        <w:rPr>
          <w:b w:val="0"/>
          <w:i w:val="0"/>
        </w:rPr>
        <w:t>.</w:t>
      </w:r>
    </w:p>
    <w:p>
      <w:pPr>
        <w:widowControl/>
      </w:pPr>
      <w:r>
        <w:rPr>
          <w:b/>
          <w:i w:val="0"/>
        </w:rPr>
        <w:t>auctorum.</w:t>
      </w:r>
      <w:r>
        <w:rPr>
          <w:b w:val="0"/>
          <w:i w:val="0"/>
        </w:rPr>
        <w:t xml:space="preserve"> </w:t>
      </w:r>
      <w:hyperlink w:anchor="latin-record-0110">
        <w:r>
          <w:rPr>
            <w:color w:val="000000"/>
          </w:rPr>
          <w:t xml:space="preserve">auctor / auctoritas role</w:t>
        </w:r>
      </w:hyperlink>
      <w:r>
        <w:rPr>
          <w:b w:val="0"/>
          <w:i w:val="0"/>
        </w:rPr>
        <w:t>.</w:t>
      </w:r>
    </w:p>
    <w:p>
      <w:pPr>
        <w:widowControl/>
      </w:pPr>
      <w:r>
        <w:rPr>
          <w:b/>
          <w:i w:val="0"/>
        </w:rPr>
        <w:t>aucupabitur.</w:t>
      </w:r>
      <w:r>
        <w:rPr>
          <w:b w:val="0"/>
          <w:i w:val="0"/>
        </w:rPr>
        <w:t xml:space="preserve"> </w:t>
      </w:r>
      <w:hyperlink w:anchor="latin-record-0112">
        <w:r>
          <w:rPr>
            <w:color w:val="000000"/>
          </w:rPr>
          <w:t xml:space="preserve">aucupor</w:t>
        </w:r>
      </w:hyperlink>
      <w:r>
        <w:rPr>
          <w:b w:val="0"/>
          <w:i w:val="0"/>
        </w:rPr>
        <w:t>.</w:t>
      </w:r>
    </w:p>
    <w:p>
      <w:pPr>
        <w:widowControl/>
      </w:pPr>
      <w:r>
        <w:rPr>
          <w:b/>
          <w:i w:val="0"/>
        </w:rPr>
        <w:t>augere.</w:t>
      </w:r>
      <w:r>
        <w:rPr>
          <w:b w:val="0"/>
          <w:i w:val="0"/>
        </w:rPr>
        <w:t xml:space="preserve"> </w:t>
      </w:r>
      <w:hyperlink w:anchor="latin-record-0113">
        <w:r>
          <w:rPr>
            <w:color w:val="000000"/>
          </w:rPr>
          <w:t xml:space="preserve">augere / augmentum</w:t>
        </w:r>
      </w:hyperlink>
      <w:r>
        <w:rPr>
          <w:b w:val="0"/>
          <w:i w:val="0"/>
        </w:rPr>
        <w:t>.</w:t>
      </w:r>
    </w:p>
    <w:p>
      <w:pPr>
        <w:widowControl/>
      </w:pPr>
      <w:r>
        <w:rPr>
          <w:b/>
          <w:i w:val="0"/>
        </w:rPr>
        <w:t>augeri.</w:t>
      </w:r>
      <w:r>
        <w:rPr>
          <w:b w:val="0"/>
          <w:i w:val="0"/>
        </w:rPr>
        <w:t xml:space="preserve"> </w:t>
      </w:r>
      <w:hyperlink w:anchor="latin-record-0113">
        <w:r>
          <w:rPr>
            <w:color w:val="000000"/>
          </w:rPr>
          <w:t xml:space="preserve">augere / augmentum</w:t>
        </w:r>
      </w:hyperlink>
      <w:r>
        <w:rPr>
          <w:b w:val="0"/>
          <w:i w:val="0"/>
        </w:rPr>
        <w:t>.</w:t>
      </w:r>
    </w:p>
    <w:p>
      <w:pPr>
        <w:widowControl/>
      </w:pPr>
      <w:r>
        <w:rPr>
          <w:b/>
          <w:i w:val="0"/>
        </w:rPr>
        <w:t>auget.</w:t>
      </w:r>
      <w:r>
        <w:rPr>
          <w:b w:val="0"/>
          <w:i w:val="0"/>
        </w:rPr>
        <w:t xml:space="preserve"> </w:t>
      </w:r>
      <w:hyperlink w:anchor="latin-record-0051">
        <w:r>
          <w:rPr>
            <w:color w:val="000000"/>
          </w:rPr>
          <w:t xml:space="preserve">alit / auget / generat</w:t>
        </w:r>
      </w:hyperlink>
      <w:r>
        <w:rPr>
          <w:b w:val="0"/>
          <w:i w:val="0"/>
        </w:rPr>
        <w:t xml:space="preserve">; </w:t>
      </w:r>
      <w:hyperlink w:anchor="latin-record-1219">
        <w:r>
          <w:rPr>
            <w:color w:val="000000"/>
          </w:rPr>
          <w:t xml:space="preserve">unio / augeo</w:t>
        </w:r>
      </w:hyperlink>
      <w:r>
        <w:rPr>
          <w:b w:val="0"/>
          <w:i w:val="0"/>
        </w:rPr>
        <w:t>.</w:t>
      </w:r>
    </w:p>
    <w:p>
      <w:pPr>
        <w:widowControl/>
      </w:pPr>
      <w:r>
        <w:rPr>
          <w:b/>
          <w:i w:val="0"/>
        </w:rPr>
        <w:t>augetur.</w:t>
      </w:r>
      <w:r>
        <w:rPr>
          <w:b w:val="0"/>
          <w:i w:val="0"/>
        </w:rPr>
        <w:t xml:space="preserve"> </w:t>
      </w:r>
      <w:hyperlink w:anchor="latin-record-1219">
        <w:r>
          <w:rPr>
            <w:color w:val="000000"/>
          </w:rPr>
          <w:t xml:space="preserve">unio / augeo</w:t>
        </w:r>
      </w:hyperlink>
      <w:r>
        <w:rPr>
          <w:b w:val="0"/>
          <w:i w:val="0"/>
        </w:rPr>
        <w:t>.</w:t>
      </w:r>
    </w:p>
    <w:p>
      <w:pPr>
        <w:widowControl/>
      </w:pPr>
      <w:r>
        <w:rPr>
          <w:b/>
          <w:i w:val="0"/>
        </w:rPr>
        <w:t>augmenti.</w:t>
      </w:r>
      <w:r>
        <w:rPr>
          <w:b w:val="0"/>
          <w:i w:val="0"/>
        </w:rPr>
        <w:t xml:space="preserve"> </w:t>
      </w:r>
      <w:hyperlink w:anchor="latin-record-0113">
        <w:r>
          <w:rPr>
            <w:color w:val="000000"/>
          </w:rPr>
          <w:t xml:space="preserve">augere / augmentum</w:t>
        </w:r>
      </w:hyperlink>
      <w:r>
        <w:rPr>
          <w:b w:val="0"/>
          <w:i w:val="0"/>
        </w:rPr>
        <w:t>.</w:t>
      </w:r>
    </w:p>
    <w:p>
      <w:pPr>
        <w:widowControl/>
      </w:pPr>
      <w:r>
        <w:rPr>
          <w:b/>
          <w:i w:val="0"/>
        </w:rPr>
        <w:t>augmentum.</w:t>
      </w:r>
      <w:r>
        <w:rPr>
          <w:b w:val="0"/>
          <w:i w:val="0"/>
        </w:rPr>
        <w:t xml:space="preserve"> </w:t>
      </w:r>
      <w:hyperlink w:anchor="latin-record-0113">
        <w:r>
          <w:rPr>
            <w:color w:val="000000"/>
          </w:rPr>
          <w:t xml:space="preserve">augere / augmentum</w:t>
        </w:r>
      </w:hyperlink>
      <w:r>
        <w:rPr>
          <w:b w:val="0"/>
          <w:i w:val="0"/>
        </w:rPr>
        <w:t>.</w:t>
      </w:r>
    </w:p>
    <w:p>
      <w:pPr>
        <w:widowControl/>
      </w:pPr>
      <w:r>
        <w:rPr>
          <w:b/>
          <w:i w:val="0"/>
        </w:rPr>
        <w:t>auguratur.</w:t>
      </w:r>
      <w:r>
        <w:rPr>
          <w:b w:val="0"/>
          <w:i w:val="0"/>
        </w:rPr>
        <w:t xml:space="preserve"> </w:t>
      </w:r>
      <w:hyperlink w:anchor="latin-record-0114">
        <w:r>
          <w:rPr>
            <w:color w:val="000000"/>
          </w:rPr>
          <w:t xml:space="preserve">augurari</w:t>
        </w:r>
      </w:hyperlink>
      <w:r>
        <w:rPr>
          <w:b w:val="0"/>
          <w:i w:val="0"/>
        </w:rPr>
        <w:t>.</w:t>
      </w:r>
    </w:p>
    <w:p>
      <w:pPr>
        <w:widowControl/>
      </w:pPr>
      <w:r>
        <w:rPr>
          <w:b/>
          <w:i w:val="0"/>
        </w:rPr>
        <w:t>aula.</w:t>
      </w:r>
      <w:r>
        <w:rPr>
          <w:b w:val="0"/>
          <w:i w:val="0"/>
        </w:rPr>
        <w:t xml:space="preserve"> </w:t>
      </w:r>
      <w:hyperlink w:anchor="latin-record-0137">
        <w:r>
          <w:rPr>
            <w:color w:val="000000"/>
          </w:rPr>
          <w:t xml:space="preserve">candela / aula</w:t>
        </w:r>
      </w:hyperlink>
      <w:r>
        <w:rPr>
          <w:b w:val="0"/>
          <w:i w:val="0"/>
        </w:rPr>
        <w:t>.</w:t>
      </w:r>
    </w:p>
    <w:p>
      <w:pPr>
        <w:widowControl/>
      </w:pPr>
      <w:r>
        <w:rPr>
          <w:b/>
          <w:i w:val="0"/>
        </w:rPr>
        <w:t>aulam.</w:t>
      </w:r>
      <w:r>
        <w:rPr>
          <w:b w:val="0"/>
          <w:i w:val="0"/>
        </w:rPr>
        <w:t xml:space="preserve"> </w:t>
      </w:r>
      <w:hyperlink w:anchor="latin-record-0137">
        <w:r>
          <w:rPr>
            <w:color w:val="000000"/>
          </w:rPr>
          <w:t xml:space="preserve">candela / aula</w:t>
        </w:r>
      </w:hyperlink>
      <w:r>
        <w:rPr>
          <w:b w:val="0"/>
          <w:i w:val="0"/>
        </w:rPr>
        <w:t>.</w:t>
      </w:r>
    </w:p>
    <w:p>
      <w:pPr>
        <w:widowControl/>
      </w:pPr>
      <w:r>
        <w:rPr>
          <w:b/>
          <w:i w:val="0"/>
        </w:rPr>
        <w:t>aura.</w:t>
      </w:r>
      <w:r>
        <w:rPr>
          <w:b w:val="0"/>
          <w:i w:val="0"/>
        </w:rPr>
        <w:t xml:space="preserve"> </w:t>
      </w:r>
      <w:hyperlink w:anchor="latin-record-0115">
        <w:r>
          <w:rPr>
            <w:color w:val="000000"/>
          </w:rPr>
          <w:t xml:space="preserve">aura / viscera / quassare</w:t>
        </w:r>
      </w:hyperlink>
      <w:r>
        <w:rPr>
          <w:b w:val="0"/>
          <w:i w:val="0"/>
        </w:rPr>
        <w:t>.</w:t>
      </w:r>
    </w:p>
    <w:p>
      <w:pPr>
        <w:widowControl/>
      </w:pPr>
      <w:r>
        <w:rPr>
          <w:b/>
          <w:i w:val="0"/>
        </w:rPr>
        <w:t>Aureliana.</w:t>
      </w:r>
      <w:r>
        <w:rPr>
          <w:b w:val="0"/>
          <w:i w:val="0"/>
        </w:rPr>
        <w:t xml:space="preserve"> </w:t>
      </w:r>
      <w:hyperlink w:anchor="latin-record-0116">
        <w:r>
          <w:rPr>
            <w:color w:val="000000"/>
          </w:rPr>
          <w:t xml:space="preserve">Aurelius Augustinus / Aurelianus</w:t>
        </w:r>
      </w:hyperlink>
      <w:r>
        <w:rPr>
          <w:b w:val="0"/>
          <w:i w:val="0"/>
        </w:rPr>
        <w:t>.</w:t>
      </w:r>
    </w:p>
    <w:p>
      <w:pPr>
        <w:widowControl/>
      </w:pPr>
      <w:r>
        <w:rPr>
          <w:b/>
          <w:i w:val="0"/>
        </w:rPr>
        <w:t>Aurelius Augustinus.</w:t>
      </w:r>
      <w:r>
        <w:rPr>
          <w:b w:val="0"/>
          <w:i w:val="0"/>
        </w:rPr>
        <w:t xml:space="preserve"> </w:t>
      </w:r>
      <w:hyperlink w:anchor="latin-record-0116">
        <w:r>
          <w:rPr>
            <w:color w:val="000000"/>
          </w:rPr>
          <w:t xml:space="preserve">Aurelius Augustinus / Aurelianus</w:t>
        </w:r>
      </w:hyperlink>
      <w:r>
        <w:rPr>
          <w:b w:val="0"/>
          <w:i w:val="0"/>
        </w:rPr>
        <w:t>.</w:t>
      </w:r>
    </w:p>
    <w:p>
      <w:pPr>
        <w:widowControl/>
      </w:pPr>
      <w:r>
        <w:rPr>
          <w:b/>
          <w:i w:val="0"/>
        </w:rPr>
        <w:t>aut semper aut plurimum.</w:t>
      </w:r>
      <w:r>
        <w:rPr>
          <w:b w:val="0"/>
          <w:i w:val="0"/>
        </w:rPr>
        <w:t xml:space="preserve"> </w:t>
      </w:r>
      <w:hyperlink w:anchor="latin-record-0117">
        <w:r>
          <w:rPr>
            <w:color w:val="000000"/>
          </w:rPr>
          <w:t xml:space="preserve">aut semper aut plurimum</w:t>
        </w:r>
      </w:hyperlink>
      <w:r>
        <w:rPr>
          <w:b w:val="0"/>
          <w:i w:val="0"/>
        </w:rPr>
        <w:t>.</w:t>
      </w:r>
    </w:p>
    <w:p>
      <w:pPr>
        <w:widowControl/>
      </w:pPr>
      <w:r>
        <w:rPr>
          <w:b/>
          <w:i w:val="0"/>
        </w:rPr>
        <w:t>autumnum.</w:t>
      </w:r>
      <w:r>
        <w:rPr>
          <w:b w:val="0"/>
          <w:i w:val="0"/>
        </w:rPr>
        <w:t xml:space="preserve"> </w:t>
      </w:r>
      <w:hyperlink w:anchor="latin-record-0512">
        <w:r>
          <w:rPr>
            <w:color w:val="000000"/>
          </w:rPr>
          <w:t xml:space="preserve">hiems / ver / aestas / autumnus</w:t>
        </w:r>
      </w:hyperlink>
      <w:r>
        <w:rPr>
          <w:b w:val="0"/>
          <w:i w:val="0"/>
        </w:rPr>
        <w:t>.</w:t>
      </w:r>
    </w:p>
    <w:p>
      <w:pPr>
        <w:widowControl/>
      </w:pPr>
      <w:r>
        <w:rPr>
          <w:b/>
          <w:i w:val="0"/>
        </w:rPr>
        <w:t>auxilio.</w:t>
      </w:r>
      <w:r>
        <w:rPr>
          <w:b w:val="0"/>
          <w:i w:val="0"/>
        </w:rPr>
        <w:t xml:space="preserve"> </w:t>
      </w:r>
      <w:hyperlink w:anchor="latin-record-0118">
        <w:r>
          <w:rPr>
            <w:color w:val="000000"/>
          </w:rPr>
          <w:t xml:space="preserve">auxilium / subsidium</w:t>
        </w:r>
      </w:hyperlink>
      <w:r>
        <w:rPr>
          <w:b w:val="0"/>
          <w:i w:val="0"/>
        </w:rPr>
        <w:t>.</w:t>
      </w:r>
    </w:p>
    <w:p>
      <w:pPr>
        <w:widowControl/>
      </w:pPr>
      <w:r>
        <w:rPr>
          <w:b/>
          <w:i w:val="0"/>
        </w:rPr>
        <w:t>Averroi.</w:t>
      </w:r>
      <w:r>
        <w:rPr>
          <w:b w:val="0"/>
          <w:i w:val="0"/>
        </w:rPr>
        <w:t xml:space="preserve"> </w:t>
      </w:r>
      <w:hyperlink w:anchor="latin-record-0374">
        <w:r>
          <w:rPr>
            <w:color w:val="000000"/>
          </w:rPr>
          <w:t xml:space="preserve">Epicureus / Epicurus / Averroes</w:t>
        </w:r>
      </w:hyperlink>
      <w:r>
        <w:rPr>
          <w:b w:val="0"/>
          <w:i w:val="0"/>
        </w:rPr>
        <w:t>.</w:t>
      </w:r>
    </w:p>
    <w:p>
      <w:pPr>
        <w:widowControl/>
      </w:pPr>
      <w:r>
        <w:rPr>
          <w:b/>
          <w:i w:val="0"/>
        </w:rPr>
        <w:t>Averrois.</w:t>
      </w:r>
      <w:r>
        <w:rPr>
          <w:b w:val="0"/>
          <w:i w:val="0"/>
        </w:rPr>
        <w:t xml:space="preserve"> </w:t>
      </w:r>
      <w:hyperlink w:anchor="latin-record-0119">
        <w:r>
          <w:rPr>
            <w:color w:val="000000"/>
          </w:rPr>
          <w:t xml:space="preserve">Averrois / Aristoteles</w:t>
        </w:r>
      </w:hyperlink>
      <w:r>
        <w:rPr>
          <w:b w:val="0"/>
          <w:i w:val="0"/>
        </w:rPr>
        <w:t xml:space="preserve">; </w:t>
      </w:r>
      <w:hyperlink w:anchor="latin-record-0374">
        <w:r>
          <w:rPr>
            <w:color w:val="000000"/>
          </w:rPr>
          <w:t xml:space="preserve">Epicureus / Epicurus / Averroes</w:t>
        </w:r>
      </w:hyperlink>
      <w:r>
        <w:rPr>
          <w:b w:val="0"/>
          <w:i w:val="0"/>
        </w:rPr>
        <w:t>.</w:t>
      </w:r>
    </w:p>
    <w:p>
      <w:pPr>
        <w:widowControl/>
      </w:pPr>
      <w:r>
        <w:rPr>
          <w:b/>
          <w:i w:val="0"/>
        </w:rPr>
        <w:t>Avicenna.</w:t>
      </w:r>
      <w:r>
        <w:rPr>
          <w:b w:val="0"/>
          <w:i w:val="0"/>
        </w:rPr>
        <w:t xml:space="preserve"> </w:t>
      </w:r>
      <w:hyperlink w:anchor="latin-record-0120">
        <w:r>
          <w:rPr>
            <w:color w:val="000000"/>
          </w:rPr>
          <w:t xml:space="preserve">Avicenna</w:t>
        </w:r>
      </w:hyperlink>
      <w:r>
        <w:rPr>
          <w:b w:val="0"/>
          <w:i w:val="0"/>
        </w:rPr>
        <w:t>.</w:t>
      </w:r>
    </w:p>
    <w:p>
      <w:pPr>
        <w:widowControl/>
      </w:pPr>
      <w:r>
        <w:rPr>
          <w:b/>
          <w:i w:val="0"/>
        </w:rPr>
        <w:t>avida.</w:t>
      </w:r>
      <w:r>
        <w:rPr>
          <w:b w:val="0"/>
          <w:i w:val="0"/>
        </w:rPr>
        <w:t xml:space="preserve"> </w:t>
      </w:r>
      <w:hyperlink w:anchor="latin-record-0287">
        <w:r>
          <w:rPr>
            <w:color w:val="000000"/>
          </w:rPr>
          <w:t xml:space="preserve">cupere / avidus</w:t>
        </w:r>
      </w:hyperlink>
      <w:r>
        <w:rPr>
          <w:b w:val="0"/>
          <w:i w:val="0"/>
        </w:rPr>
        <w:t>.</w:t>
      </w:r>
    </w:p>
    <w:p>
      <w:pPr>
        <w:widowControl/>
      </w:pPr>
      <w:r>
        <w:rPr>
          <w:b/>
          <w:i w:val="0"/>
        </w:rPr>
        <w:t>avidissime.</w:t>
      </w:r>
      <w:r>
        <w:rPr>
          <w:b w:val="0"/>
          <w:i w:val="0"/>
        </w:rPr>
        <w:t xml:space="preserve"> </w:t>
      </w:r>
      <w:hyperlink w:anchor="latin-record-0122">
        <w:r>
          <w:rPr>
            <w:color w:val="000000"/>
          </w:rPr>
          <w:t xml:space="preserve">avidus / intentus</w:t>
        </w:r>
      </w:hyperlink>
      <w:r>
        <w:rPr>
          <w:b w:val="0"/>
          <w:i w:val="0"/>
        </w:rPr>
        <w:t>.</w:t>
      </w:r>
    </w:p>
    <w:p>
      <w:pPr>
        <w:widowControl/>
      </w:pPr>
      <w:r>
        <w:rPr>
          <w:b/>
          <w:i w:val="0"/>
        </w:rPr>
        <w:t>aviditas.</w:t>
      </w:r>
      <w:r>
        <w:rPr>
          <w:b w:val="0"/>
          <w:i w:val="0"/>
        </w:rPr>
        <w:t xml:space="preserve"> </w:t>
      </w:r>
      <w:hyperlink w:anchor="latin-record-0121">
        <w:r>
          <w:rPr>
            <w:color w:val="000000"/>
          </w:rPr>
          <w:t xml:space="preserve">aviditas caeca</w:t>
        </w:r>
      </w:hyperlink>
      <w:r>
        <w:rPr>
          <w:b w:val="0"/>
          <w:i w:val="0"/>
        </w:rPr>
        <w:t>.</w:t>
      </w:r>
    </w:p>
    <w:p>
      <w:pPr>
        <w:widowControl/>
      </w:pPr>
      <w:r>
        <w:rPr>
          <w:b/>
          <w:i w:val="0"/>
        </w:rPr>
        <w:t>beatior.</w:t>
      </w:r>
      <w:r>
        <w:rPr>
          <w:b w:val="0"/>
          <w:i w:val="0"/>
        </w:rPr>
        <w:t xml:space="preserve"> </w:t>
      </w:r>
      <w:hyperlink w:anchor="latin-record-0123">
        <w:r>
          <w:rPr>
            <w:color w:val="000000"/>
          </w:rPr>
          <w:t xml:space="preserve">beatitudo / felicitas</w:t>
        </w:r>
      </w:hyperlink>
      <w:r>
        <w:rPr>
          <w:b w:val="0"/>
          <w:i w:val="0"/>
        </w:rPr>
        <w:t>.</w:t>
      </w:r>
    </w:p>
    <w:p>
      <w:pPr>
        <w:widowControl/>
      </w:pPr>
      <w:r>
        <w:rPr>
          <w:b/>
          <w:i w:val="0"/>
        </w:rPr>
        <w:t>beatitudinem.</w:t>
      </w:r>
      <w:r>
        <w:rPr>
          <w:b w:val="0"/>
          <w:i w:val="0"/>
        </w:rPr>
        <w:t xml:space="preserve"> </w:t>
      </w:r>
      <w:hyperlink w:anchor="latin-record-0123">
        <w:r>
          <w:rPr>
            <w:color w:val="000000"/>
          </w:rPr>
          <w:t xml:space="preserve">beatitudo / felicitas</w:t>
        </w:r>
      </w:hyperlink>
      <w:r>
        <w:rPr>
          <w:b w:val="0"/>
          <w:i w:val="0"/>
        </w:rPr>
        <w:t>.</w:t>
      </w:r>
    </w:p>
    <w:p>
      <w:pPr>
        <w:widowControl/>
      </w:pPr>
      <w:r>
        <w:rPr>
          <w:b/>
          <w:i w:val="0"/>
        </w:rPr>
        <w:t>beatitudinis.</w:t>
      </w:r>
      <w:r>
        <w:rPr>
          <w:b w:val="0"/>
          <w:i w:val="0"/>
        </w:rPr>
        <w:t xml:space="preserve"> </w:t>
      </w:r>
      <w:hyperlink w:anchor="latin-record-0123">
        <w:r>
          <w:rPr>
            <w:color w:val="000000"/>
          </w:rPr>
          <w:t xml:space="preserve">beatitudo / felicitas</w:t>
        </w:r>
      </w:hyperlink>
      <w:r>
        <w:rPr>
          <w:b w:val="0"/>
          <w:i w:val="0"/>
        </w:rPr>
        <w:t>.</w:t>
      </w:r>
    </w:p>
    <w:p>
      <w:pPr>
        <w:widowControl/>
      </w:pPr>
      <w:r>
        <w:rPr>
          <w:b/>
          <w:i w:val="0"/>
        </w:rPr>
        <w:t>bene et bonum.</w:t>
      </w:r>
      <w:r>
        <w:rPr>
          <w:b w:val="0"/>
          <w:i w:val="0"/>
        </w:rPr>
        <w:t xml:space="preserve"> </w:t>
      </w:r>
      <w:hyperlink w:anchor="latin-record-0124">
        <w:r>
          <w:rPr>
            <w:color w:val="000000"/>
          </w:rPr>
          <w:t xml:space="preserve">bene et bonum</w:t>
        </w:r>
      </w:hyperlink>
      <w:r>
        <w:rPr>
          <w:b w:val="0"/>
          <w:i w:val="0"/>
        </w:rPr>
        <w:t>.</w:t>
      </w:r>
    </w:p>
    <w:p>
      <w:pPr>
        <w:widowControl/>
      </w:pPr>
      <w:r>
        <w:rPr>
          <w:b/>
          <w:i w:val="0"/>
        </w:rPr>
        <w:t>beneficio.</w:t>
      </w:r>
      <w:r>
        <w:rPr>
          <w:b w:val="0"/>
          <w:i w:val="0"/>
        </w:rPr>
        <w:t xml:space="preserve"> </w:t>
      </w:r>
      <w:hyperlink w:anchor="latin-record-0125">
        <w:r>
          <w:rPr>
            <w:color w:val="000000"/>
          </w:rPr>
          <w:t xml:space="preserve">beneficium</w:t>
        </w:r>
      </w:hyperlink>
      <w:r>
        <w:rPr>
          <w:b w:val="0"/>
          <w:i w:val="0"/>
        </w:rPr>
        <w:t xml:space="preserve">; </w:t>
      </w:r>
      <w:hyperlink w:anchor="latin-record-0126">
        <w:r>
          <w:rPr>
            <w:color w:val="000000"/>
          </w:rPr>
          <w:t xml:space="preserve">beneficium / officium</w:t>
        </w:r>
      </w:hyperlink>
      <w:r>
        <w:rPr>
          <w:b w:val="0"/>
          <w:i w:val="0"/>
        </w:rPr>
        <w:t>.</w:t>
      </w:r>
    </w:p>
    <w:p>
      <w:pPr>
        <w:widowControl/>
      </w:pPr>
      <w:r>
        <w:rPr>
          <w:b/>
          <w:i w:val="0"/>
        </w:rPr>
        <w:t>bestiae.</w:t>
      </w:r>
      <w:r>
        <w:rPr>
          <w:b w:val="0"/>
          <w:i w:val="0"/>
        </w:rPr>
        <w:t xml:space="preserve"> </w:t>
      </w:r>
      <w:hyperlink w:anchor="latin-record-0072">
        <w:r>
          <w:rPr>
            <w:color w:val="000000"/>
          </w:rPr>
          <w:t xml:space="preserve">animal / bestia / animans</w:t>
        </w:r>
      </w:hyperlink>
      <w:r>
        <w:rPr>
          <w:b w:val="0"/>
          <w:i w:val="0"/>
        </w:rPr>
        <w:t>.</w:t>
      </w:r>
    </w:p>
    <w:p>
      <w:pPr>
        <w:widowControl/>
      </w:pPr>
      <w:r>
        <w:rPr>
          <w:b/>
          <w:i w:val="0"/>
        </w:rPr>
        <w:t>binos.</w:t>
      </w:r>
      <w:r>
        <w:rPr>
          <w:b w:val="0"/>
          <w:i w:val="0"/>
        </w:rPr>
        <w:t xml:space="preserve"> </w:t>
      </w:r>
      <w:hyperlink w:anchor="latin-record-0479">
        <w:r>
          <w:rPr>
            <w:color w:val="000000"/>
          </w:rPr>
          <w:t xml:space="preserve">geminus / binus</w:t>
        </w:r>
      </w:hyperlink>
      <w:r>
        <w:rPr>
          <w:b w:val="0"/>
          <w:i w:val="0"/>
        </w:rPr>
        <w:t>.</w:t>
      </w:r>
    </w:p>
    <w:p>
      <w:pPr>
        <w:widowControl/>
      </w:pPr>
      <w:r>
        <w:rPr>
          <w:b/>
          <w:i w:val="0"/>
        </w:rPr>
        <w:t>bombarda.</w:t>
      </w:r>
      <w:r>
        <w:rPr>
          <w:b w:val="0"/>
          <w:i w:val="0"/>
        </w:rPr>
        <w:t xml:space="preserve"> </w:t>
      </w:r>
      <w:hyperlink w:anchor="latin-record-0478">
        <w:r>
          <w:rPr>
            <w:color w:val="000000"/>
          </w:rPr>
          <w:t xml:space="preserve">fulgur / bombarda</w:t>
        </w:r>
      </w:hyperlink>
      <w:r>
        <w:rPr>
          <w:b w:val="0"/>
          <w:i w:val="0"/>
        </w:rPr>
        <w:t>.</w:t>
      </w:r>
    </w:p>
    <w:p>
      <w:pPr>
        <w:widowControl/>
      </w:pPr>
      <w:r>
        <w:rPr>
          <w:b/>
          <w:i w:val="0"/>
        </w:rPr>
        <w:t>bona.</w:t>
      </w:r>
      <w:r>
        <w:rPr>
          <w:b w:val="0"/>
          <w:i w:val="0"/>
        </w:rPr>
        <w:t xml:space="preserve"> </w:t>
      </w:r>
      <w:hyperlink w:anchor="latin-record-0127">
        <w:r>
          <w:rPr>
            <w:color w:val="000000"/>
          </w:rPr>
          <w:t xml:space="preserve">bonitas / bonum</w:t>
        </w:r>
      </w:hyperlink>
      <w:r>
        <w:rPr>
          <w:b w:val="0"/>
          <w:i w:val="0"/>
        </w:rPr>
        <w:t xml:space="preserve">; </w:t>
      </w:r>
      <w:hyperlink w:anchor="latin-record-0128">
        <w:r>
          <w:rPr>
            <w:color w:val="000000"/>
          </w:rPr>
          <w:t xml:space="preserve">bonum / bonitas</w:t>
        </w:r>
      </w:hyperlink>
      <w:r>
        <w:rPr>
          <w:b w:val="0"/>
          <w:i w:val="0"/>
        </w:rPr>
        <w:t>.</w:t>
      </w:r>
    </w:p>
    <w:p>
      <w:pPr>
        <w:widowControl/>
      </w:pPr>
      <w:r>
        <w:rPr>
          <w:b/>
          <w:i w:val="0"/>
        </w:rPr>
        <w:t>bonae.</w:t>
      </w:r>
      <w:r>
        <w:rPr>
          <w:b w:val="0"/>
          <w:i w:val="0"/>
        </w:rPr>
        <w:t xml:space="preserve"> </w:t>
      </w:r>
      <w:hyperlink w:anchor="latin-record-0127">
        <w:r>
          <w:rPr>
            <w:color w:val="000000"/>
          </w:rPr>
          <w:t xml:space="preserve">bonitas / bonum</w:t>
        </w:r>
      </w:hyperlink>
      <w:r>
        <w:rPr>
          <w:b w:val="0"/>
          <w:i w:val="0"/>
        </w:rPr>
        <w:t>.</w:t>
      </w:r>
    </w:p>
    <w:p>
      <w:pPr>
        <w:widowControl/>
      </w:pPr>
      <w:r>
        <w:rPr>
          <w:b/>
          <w:i w:val="0"/>
        </w:rPr>
        <w:t>boni ipsius gratia.</w:t>
      </w:r>
      <w:r>
        <w:rPr>
          <w:b w:val="0"/>
          <w:i w:val="0"/>
        </w:rPr>
        <w:t xml:space="preserve"> </w:t>
      </w:r>
      <w:hyperlink w:anchor="latin-record-0489">
        <w:r>
          <w:rPr>
            <w:color w:val="000000"/>
          </w:rPr>
          <w:t xml:space="preserve">gratia — purpose</w:t>
        </w:r>
      </w:hyperlink>
      <w:r>
        <w:rPr>
          <w:b w:val="0"/>
          <w:i w:val="0"/>
        </w:rPr>
        <w:t>.</w:t>
      </w:r>
    </w:p>
    <w:p>
      <w:pPr>
        <w:widowControl/>
      </w:pPr>
      <w:r>
        <w:rPr>
          <w:b/>
          <w:i w:val="0"/>
        </w:rPr>
        <w:t>bonitas.</w:t>
      </w:r>
      <w:r>
        <w:rPr>
          <w:b w:val="0"/>
          <w:i w:val="0"/>
        </w:rPr>
        <w:t xml:space="preserve"> </w:t>
      </w:r>
      <w:hyperlink w:anchor="latin-record-0127">
        <w:r>
          <w:rPr>
            <w:color w:val="000000"/>
          </w:rPr>
          <w:t xml:space="preserve">bonitas / bonum</w:t>
        </w:r>
      </w:hyperlink>
      <w:r>
        <w:rPr>
          <w:b w:val="0"/>
          <w:i w:val="0"/>
        </w:rPr>
        <w:t xml:space="preserve">; </w:t>
      </w:r>
      <w:hyperlink w:anchor="latin-record-0128">
        <w:r>
          <w:rPr>
            <w:color w:val="000000"/>
          </w:rPr>
          <w:t xml:space="preserve">bonum / bonitas</w:t>
        </w:r>
      </w:hyperlink>
      <w:r>
        <w:rPr>
          <w:b w:val="0"/>
          <w:i w:val="0"/>
        </w:rPr>
        <w:t>.</w:t>
      </w:r>
    </w:p>
    <w:p>
      <w:pPr>
        <w:widowControl/>
      </w:pPr>
      <w:r>
        <w:rPr>
          <w:b/>
          <w:i w:val="0"/>
        </w:rPr>
        <w:t>bonitate.</w:t>
      </w:r>
      <w:r>
        <w:rPr>
          <w:b w:val="0"/>
          <w:i w:val="0"/>
        </w:rPr>
        <w:t xml:space="preserve"> </w:t>
      </w:r>
      <w:hyperlink w:anchor="latin-record-0127">
        <w:r>
          <w:rPr>
            <w:color w:val="000000"/>
          </w:rPr>
          <w:t xml:space="preserve">bonitas / bonum</w:t>
        </w:r>
      </w:hyperlink>
      <w:r>
        <w:rPr>
          <w:b w:val="0"/>
          <w:i w:val="0"/>
        </w:rPr>
        <w:t>.</w:t>
      </w:r>
    </w:p>
    <w:p>
      <w:pPr>
        <w:widowControl/>
      </w:pPr>
      <w:r>
        <w:rPr>
          <w:b/>
          <w:i w:val="0"/>
        </w:rPr>
        <w:t>bonitatem.</w:t>
      </w:r>
      <w:r>
        <w:rPr>
          <w:b w:val="0"/>
          <w:i w:val="0"/>
        </w:rPr>
        <w:t xml:space="preserve"> </w:t>
      </w:r>
      <w:hyperlink w:anchor="latin-record-0127">
        <w:r>
          <w:rPr>
            <w:color w:val="000000"/>
          </w:rPr>
          <w:t xml:space="preserve">bonitas / bonum</w:t>
        </w:r>
      </w:hyperlink>
      <w:r>
        <w:rPr>
          <w:b w:val="0"/>
          <w:i w:val="0"/>
        </w:rPr>
        <w:t>.</w:t>
      </w:r>
    </w:p>
    <w:p>
      <w:pPr>
        <w:widowControl/>
      </w:pPr>
      <w:r>
        <w:rPr>
          <w:b/>
          <w:i w:val="0"/>
        </w:rPr>
        <w:t>bonitati.</w:t>
      </w:r>
      <w:r>
        <w:rPr>
          <w:b w:val="0"/>
          <w:i w:val="0"/>
        </w:rPr>
        <w:t xml:space="preserve"> </w:t>
      </w:r>
      <w:hyperlink w:anchor="latin-record-0127">
        <w:r>
          <w:rPr>
            <w:color w:val="000000"/>
          </w:rPr>
          <w:t xml:space="preserve">bonitas / bonum</w:t>
        </w:r>
      </w:hyperlink>
      <w:r>
        <w:rPr>
          <w:b w:val="0"/>
          <w:i w:val="0"/>
        </w:rPr>
        <w:t xml:space="preserve">; </w:t>
      </w:r>
      <w:hyperlink w:anchor="latin-record-0973">
        <w:r>
          <w:rPr>
            <w:color w:val="000000"/>
          </w:rPr>
          <w:t xml:space="preserve">proximum bonitati</w:t>
        </w:r>
      </w:hyperlink>
      <w:r>
        <w:rPr>
          <w:b w:val="0"/>
          <w:i w:val="0"/>
        </w:rPr>
        <w:t>.</w:t>
      </w:r>
    </w:p>
    <w:p>
      <w:pPr>
        <w:widowControl/>
      </w:pPr>
      <w:r>
        <w:rPr>
          <w:b/>
          <w:i w:val="0"/>
        </w:rPr>
        <w:t>bonitatis.</w:t>
      </w:r>
      <w:r>
        <w:rPr>
          <w:b w:val="0"/>
          <w:i w:val="0"/>
        </w:rPr>
        <w:t xml:space="preserve"> </w:t>
      </w:r>
      <w:hyperlink w:anchor="latin-record-0127">
        <w:r>
          <w:rPr>
            <w:color w:val="000000"/>
          </w:rPr>
          <w:t xml:space="preserve">bonitas / bonum</w:t>
        </w:r>
      </w:hyperlink>
      <w:r>
        <w:rPr>
          <w:b w:val="0"/>
          <w:i w:val="0"/>
        </w:rPr>
        <w:t>.</w:t>
      </w:r>
    </w:p>
    <w:p>
      <w:pPr>
        <w:widowControl/>
      </w:pPr>
      <w:r>
        <w:rPr>
          <w:b/>
          <w:i w:val="0"/>
        </w:rPr>
        <w:t>bonum.</w:t>
      </w:r>
      <w:r>
        <w:rPr>
          <w:b w:val="0"/>
          <w:i w:val="0"/>
        </w:rPr>
        <w:t xml:space="preserve"> </w:t>
      </w:r>
      <w:hyperlink w:anchor="latin-record-0127">
        <w:r>
          <w:rPr>
            <w:color w:val="000000"/>
          </w:rPr>
          <w:t xml:space="preserve">bonitas / bonum</w:t>
        </w:r>
      </w:hyperlink>
      <w:r>
        <w:rPr>
          <w:b w:val="0"/>
          <w:i w:val="0"/>
        </w:rPr>
        <w:t>.</w:t>
      </w:r>
    </w:p>
    <w:p>
      <w:pPr>
        <w:widowControl/>
      </w:pPr>
      <w:r>
        <w:rPr>
          <w:b/>
          <w:i w:val="0"/>
        </w:rPr>
        <w:t>bonus.</w:t>
      </w:r>
      <w:r>
        <w:rPr>
          <w:b w:val="0"/>
          <w:i w:val="0"/>
        </w:rPr>
        <w:t xml:space="preserve"> </w:t>
      </w:r>
      <w:hyperlink w:anchor="latin-record-0127">
        <w:r>
          <w:rPr>
            <w:color w:val="000000"/>
          </w:rPr>
          <w:t xml:space="preserve">bonitas / bonum</w:t>
        </w:r>
      </w:hyperlink>
      <w:r>
        <w:rPr>
          <w:b w:val="0"/>
          <w:i w:val="0"/>
        </w:rPr>
        <w:t>.</w:t>
      </w:r>
    </w:p>
    <w:p>
      <w:pPr>
        <w:widowControl/>
      </w:pPr>
      <w:r>
        <w:rPr>
          <w:b/>
          <w:i w:val="0"/>
        </w:rPr>
        <w:t>brevitatem.</w:t>
      </w:r>
      <w:r>
        <w:rPr>
          <w:b w:val="0"/>
          <w:i w:val="0"/>
        </w:rPr>
        <w:t xml:space="preserve"> </w:t>
      </w:r>
      <w:hyperlink w:anchor="latin-record-0129">
        <w:r>
          <w:rPr>
            <w:color w:val="000000"/>
          </w:rPr>
          <w:t xml:space="preserve">brevitas / raritas</w:t>
        </w:r>
      </w:hyperlink>
      <w:r>
        <w:rPr>
          <w:b w:val="0"/>
          <w:i w:val="0"/>
        </w:rPr>
        <w:t>.</w:t>
      </w:r>
    </w:p>
    <w:p>
      <w:pPr>
        <w:widowControl/>
      </w:pPr>
      <w:r>
        <w:rPr>
          <w:b/>
          <w:i w:val="0"/>
        </w:rPr>
        <w:t>caeca.</w:t>
      </w:r>
      <w:r>
        <w:rPr>
          <w:b w:val="0"/>
          <w:i w:val="0"/>
        </w:rPr>
        <w:t xml:space="preserve"> </w:t>
      </w:r>
      <w:hyperlink w:anchor="latin-record-0121">
        <w:r>
          <w:rPr>
            <w:color w:val="000000"/>
          </w:rPr>
          <w:t xml:space="preserve">aviditas caeca</w:t>
        </w:r>
      </w:hyperlink>
      <w:r>
        <w:rPr>
          <w:b w:val="0"/>
          <w:i w:val="0"/>
        </w:rPr>
        <w:t>.</w:t>
      </w:r>
    </w:p>
    <w:p>
      <w:pPr>
        <w:widowControl/>
      </w:pPr>
      <w:r>
        <w:rPr>
          <w:b/>
          <w:i w:val="0"/>
        </w:rPr>
        <w:t>caeco.</w:t>
      </w:r>
      <w:r>
        <w:rPr>
          <w:b w:val="0"/>
          <w:i w:val="0"/>
        </w:rPr>
        <w:t xml:space="preserve"> </w:t>
      </w:r>
      <w:hyperlink w:anchor="latin-record-1188">
        <w:r>
          <w:rPr>
            <w:color w:val="000000"/>
          </w:rPr>
          <w:t xml:space="preserve">tenebrae / caecus</w:t>
        </w:r>
      </w:hyperlink>
      <w:r>
        <w:rPr>
          <w:b w:val="0"/>
          <w:i w:val="0"/>
        </w:rPr>
        <w:t>.</w:t>
      </w:r>
    </w:p>
    <w:p>
      <w:pPr>
        <w:widowControl/>
      </w:pPr>
      <w:r>
        <w:rPr>
          <w:b/>
          <w:i w:val="0"/>
        </w:rPr>
        <w:t>caeli.</w:t>
      </w:r>
      <w:r>
        <w:rPr>
          <w:b w:val="0"/>
          <w:i w:val="0"/>
        </w:rPr>
        <w:t xml:space="preserve"> </w:t>
      </w:r>
      <w:hyperlink w:anchor="latin-record-0521">
        <w:r>
          <w:rPr>
            <w:color w:val="000000"/>
          </w:rPr>
          <w:t xml:space="preserve">ignis / sol / caelum / stella</w:t>
        </w:r>
      </w:hyperlink>
      <w:r>
        <w:rPr>
          <w:b w:val="0"/>
          <w:i w:val="0"/>
        </w:rPr>
        <w:t>.</w:t>
      </w:r>
    </w:p>
    <w:p>
      <w:pPr>
        <w:widowControl/>
      </w:pPr>
      <w:r>
        <w:rPr>
          <w:b/>
          <w:i w:val="0"/>
        </w:rPr>
        <w:t>caelo.</w:t>
      </w:r>
      <w:r>
        <w:rPr>
          <w:b w:val="0"/>
          <w:i w:val="0"/>
        </w:rPr>
        <w:t xml:space="preserve"> </w:t>
      </w:r>
      <w:hyperlink w:anchor="latin-record-0521">
        <w:r>
          <w:rPr>
            <w:color w:val="000000"/>
          </w:rPr>
          <w:t xml:space="preserve">ignis / sol / caelum / stella</w:t>
        </w:r>
      </w:hyperlink>
      <w:r>
        <w:rPr>
          <w:b w:val="0"/>
          <w:i w:val="0"/>
        </w:rPr>
        <w:t>.</w:t>
      </w:r>
    </w:p>
    <w:p>
      <w:pPr>
        <w:widowControl/>
      </w:pPr>
      <w:r>
        <w:rPr>
          <w:b/>
          <w:i w:val="0"/>
        </w:rPr>
        <w:t>caelum.</w:t>
      </w:r>
      <w:r>
        <w:rPr>
          <w:b w:val="0"/>
          <w:i w:val="0"/>
        </w:rPr>
        <w:t xml:space="preserve"> </w:t>
      </w:r>
      <w:hyperlink w:anchor="latin-record-0130">
        <w:r>
          <w:rPr>
            <w:color w:val="000000"/>
          </w:rPr>
          <w:t xml:space="preserve">caelum / sphaera / stella</w:t>
        </w:r>
      </w:hyperlink>
      <w:r>
        <w:rPr>
          <w:b w:val="0"/>
          <w:i w:val="0"/>
        </w:rPr>
        <w:t>.</w:t>
      </w:r>
    </w:p>
    <w:p>
      <w:pPr>
        <w:widowControl/>
      </w:pPr>
      <w:r>
        <w:rPr>
          <w:b/>
          <w:i w:val="0"/>
        </w:rPr>
        <w:t>calefaciendam.</w:t>
      </w:r>
      <w:r>
        <w:rPr>
          <w:b w:val="0"/>
          <w:i w:val="0"/>
        </w:rPr>
        <w:t xml:space="preserve"> </w:t>
      </w:r>
      <w:hyperlink w:anchor="latin-record-0131">
        <w:r>
          <w:rPr>
            <w:color w:val="000000"/>
          </w:rPr>
          <w:t xml:space="preserve">calefacere / aqua / aer</w:t>
        </w:r>
      </w:hyperlink>
      <w:r>
        <w:rPr>
          <w:b w:val="0"/>
          <w:i w:val="0"/>
        </w:rPr>
        <w:t>.</w:t>
      </w:r>
    </w:p>
    <w:p>
      <w:pPr>
        <w:widowControl/>
      </w:pPr>
      <w:r>
        <w:rPr>
          <w:b/>
          <w:i w:val="0"/>
        </w:rPr>
        <w:t>calefacit.</w:t>
      </w:r>
      <w:r>
        <w:rPr>
          <w:b w:val="0"/>
          <w:i w:val="0"/>
        </w:rPr>
        <w:t xml:space="preserve"> </w:t>
      </w:r>
      <w:hyperlink w:anchor="latin-record-0131">
        <w:r>
          <w:rPr>
            <w:color w:val="000000"/>
          </w:rPr>
          <w:t xml:space="preserve">calefacere / aqua / aer</w:t>
        </w:r>
      </w:hyperlink>
      <w:r>
        <w:rPr>
          <w:b w:val="0"/>
          <w:i w:val="0"/>
        </w:rPr>
        <w:t xml:space="preserve">; </w:t>
      </w:r>
      <w:hyperlink w:anchor="latin-record-0191">
        <w:r>
          <w:rPr>
            <w:color w:val="000000"/>
          </w:rPr>
          <w:t xml:space="preserve">comburere / calefacere</w:t>
        </w:r>
      </w:hyperlink>
      <w:r>
        <w:rPr>
          <w:b w:val="0"/>
          <w:i w:val="0"/>
        </w:rPr>
        <w:t xml:space="preserve">; </w:t>
      </w:r>
      <w:hyperlink w:anchor="latin-record-0472">
        <w:r>
          <w:rPr>
            <w:color w:val="000000"/>
          </w:rPr>
          <w:t xml:space="preserve">frigefacio / calefacio / uro</w:t>
        </w:r>
      </w:hyperlink>
      <w:r>
        <w:rPr>
          <w:b w:val="0"/>
          <w:i w:val="0"/>
        </w:rPr>
        <w:t>.</w:t>
      </w:r>
    </w:p>
    <w:p>
      <w:pPr>
        <w:widowControl/>
      </w:pPr>
      <w:r>
        <w:rPr>
          <w:b/>
          <w:i w:val="0"/>
        </w:rPr>
        <w:t>calefactio.</w:t>
      </w:r>
      <w:r>
        <w:rPr>
          <w:b w:val="0"/>
          <w:i w:val="0"/>
        </w:rPr>
        <w:t xml:space="preserve"> </w:t>
      </w:r>
      <w:hyperlink w:anchor="latin-record-0132">
        <w:r>
          <w:rPr>
            <w:color w:val="000000"/>
          </w:rPr>
          <w:t xml:space="preserve">calefactio</w:t>
        </w:r>
      </w:hyperlink>
      <w:r>
        <w:rPr>
          <w:b w:val="0"/>
          <w:i w:val="0"/>
        </w:rPr>
        <w:t>.</w:t>
      </w:r>
    </w:p>
    <w:p>
      <w:pPr>
        <w:widowControl/>
      </w:pPr>
      <w:r>
        <w:rPr>
          <w:b/>
          <w:i w:val="0"/>
        </w:rPr>
        <w:t>calefiat.</w:t>
      </w:r>
      <w:r>
        <w:rPr>
          <w:b w:val="0"/>
          <w:i w:val="0"/>
        </w:rPr>
        <w:t xml:space="preserve"> </w:t>
      </w:r>
      <w:hyperlink w:anchor="latin-record-0191">
        <w:r>
          <w:rPr>
            <w:color w:val="000000"/>
          </w:rPr>
          <w:t xml:space="preserve">comburere / calefacere</w:t>
        </w:r>
      </w:hyperlink>
      <w:r>
        <w:rPr>
          <w:b w:val="0"/>
          <w:i w:val="0"/>
        </w:rPr>
        <w:t>.</w:t>
      </w:r>
    </w:p>
    <w:p>
      <w:pPr>
        <w:widowControl/>
      </w:pPr>
      <w:r>
        <w:rPr>
          <w:b/>
          <w:i w:val="0"/>
        </w:rPr>
        <w:t>calida.</w:t>
      </w:r>
      <w:r>
        <w:rPr>
          <w:b w:val="0"/>
          <w:i w:val="0"/>
        </w:rPr>
        <w:t xml:space="preserve"> </w:t>
      </w:r>
      <w:hyperlink w:anchor="latin-record-0133">
        <w:r>
          <w:rPr>
            <w:color w:val="000000"/>
          </w:rPr>
          <w:t xml:space="preserve">calidus / frigidus / siccus / humidus</w:t>
        </w:r>
      </w:hyperlink>
      <w:r>
        <w:rPr>
          <w:b w:val="0"/>
          <w:i w:val="0"/>
        </w:rPr>
        <w:t>.</w:t>
      </w:r>
    </w:p>
    <w:p>
      <w:pPr>
        <w:widowControl/>
      </w:pPr>
      <w:r>
        <w:rPr>
          <w:b/>
          <w:i w:val="0"/>
        </w:rPr>
        <w:t>callet.</w:t>
      </w:r>
      <w:r>
        <w:rPr>
          <w:b w:val="0"/>
          <w:i w:val="0"/>
        </w:rPr>
        <w:t xml:space="preserve"> </w:t>
      </w:r>
      <w:hyperlink w:anchor="latin-record-0560">
        <w:r>
          <w:rPr>
            <w:color w:val="000000"/>
          </w:rPr>
          <w:t xml:space="preserve">iners / callere</w:t>
        </w:r>
      </w:hyperlink>
      <w:r>
        <w:rPr>
          <w:b w:val="0"/>
          <w:i w:val="0"/>
        </w:rPr>
        <w:t>.</w:t>
      </w:r>
    </w:p>
    <w:p>
      <w:pPr>
        <w:widowControl/>
      </w:pPr>
      <w:r>
        <w:rPr>
          <w:b/>
          <w:i w:val="0"/>
        </w:rPr>
        <w:t>calor.</w:t>
      </w:r>
      <w:r>
        <w:rPr>
          <w:b w:val="0"/>
          <w:i w:val="0"/>
        </w:rPr>
        <w:t xml:space="preserve"> </w:t>
      </w:r>
      <w:hyperlink w:anchor="latin-record-0134">
        <w:r>
          <w:rPr>
            <w:color w:val="000000"/>
          </w:rPr>
          <w:t xml:space="preserve">calor / frigus</w:t>
        </w:r>
      </w:hyperlink>
      <w:r>
        <w:rPr>
          <w:b w:val="0"/>
          <w:i w:val="0"/>
        </w:rPr>
        <w:t>.</w:t>
      </w:r>
    </w:p>
    <w:p>
      <w:pPr>
        <w:widowControl/>
      </w:pPr>
      <w:r>
        <w:rPr>
          <w:b/>
          <w:i w:val="0"/>
        </w:rPr>
        <w:t>caloris.</w:t>
      </w:r>
      <w:r>
        <w:rPr>
          <w:b w:val="0"/>
          <w:i w:val="0"/>
        </w:rPr>
        <w:t xml:space="preserve"> </w:t>
      </w:r>
      <w:hyperlink w:anchor="latin-record-0134">
        <w:r>
          <w:rPr>
            <w:color w:val="000000"/>
          </w:rPr>
          <w:t xml:space="preserve">calor / frigus</w:t>
        </w:r>
      </w:hyperlink>
      <w:r>
        <w:rPr>
          <w:b w:val="0"/>
          <w:i w:val="0"/>
        </w:rPr>
        <w:t>.</w:t>
      </w:r>
    </w:p>
    <w:p>
      <w:pPr>
        <w:widowControl/>
      </w:pPr>
      <w:r>
        <w:rPr>
          <w:b/>
          <w:i w:val="0"/>
        </w:rPr>
        <w:t>cancellos.</w:t>
      </w:r>
      <w:r>
        <w:rPr>
          <w:b w:val="0"/>
          <w:i w:val="0"/>
        </w:rPr>
        <w:t xml:space="preserve"> </w:t>
      </w:r>
      <w:hyperlink w:anchor="latin-record-0136">
        <w:r>
          <w:rPr>
            <w:color w:val="000000"/>
          </w:rPr>
          <w:t xml:space="preserve">cancelli / restitutio</w:t>
        </w:r>
      </w:hyperlink>
      <w:r>
        <w:rPr>
          <w:b w:val="0"/>
          <w:i w:val="0"/>
        </w:rPr>
        <w:t>.</w:t>
      </w:r>
    </w:p>
    <w:p>
      <w:pPr>
        <w:widowControl/>
      </w:pPr>
      <w:r>
        <w:rPr>
          <w:b/>
          <w:i w:val="0"/>
        </w:rPr>
        <w:t>candelae.</w:t>
      </w:r>
      <w:r>
        <w:rPr>
          <w:b w:val="0"/>
          <w:i w:val="0"/>
        </w:rPr>
        <w:t xml:space="preserve"> </w:t>
      </w:r>
      <w:hyperlink w:anchor="latin-record-0137">
        <w:r>
          <w:rPr>
            <w:color w:val="000000"/>
          </w:rPr>
          <w:t xml:space="preserve">candela / aula</w:t>
        </w:r>
      </w:hyperlink>
      <w:r>
        <w:rPr>
          <w:b w:val="0"/>
          <w:i w:val="0"/>
        </w:rPr>
        <w:t>.</w:t>
      </w:r>
    </w:p>
    <w:p>
      <w:pPr>
        <w:widowControl/>
      </w:pPr>
      <w:r>
        <w:rPr>
          <w:b/>
          <w:i w:val="0"/>
        </w:rPr>
        <w:t>candelas.</w:t>
      </w:r>
      <w:r>
        <w:rPr>
          <w:b w:val="0"/>
          <w:i w:val="0"/>
        </w:rPr>
        <w:t xml:space="preserve"> </w:t>
      </w:r>
      <w:hyperlink w:anchor="latin-record-0137">
        <w:r>
          <w:rPr>
            <w:color w:val="000000"/>
          </w:rPr>
          <w:t xml:space="preserve">candela / aula</w:t>
        </w:r>
      </w:hyperlink>
      <w:r>
        <w:rPr>
          <w:b w:val="0"/>
          <w:i w:val="0"/>
        </w:rPr>
        <w:t>.</w:t>
      </w:r>
    </w:p>
    <w:p>
      <w:pPr>
        <w:widowControl/>
      </w:pPr>
      <w:r>
        <w:rPr>
          <w:b/>
          <w:i w:val="0"/>
        </w:rPr>
        <w:t>canes.</w:t>
      </w:r>
      <w:r>
        <w:rPr>
          <w:b w:val="0"/>
          <w:i w:val="0"/>
        </w:rPr>
        <w:t xml:space="preserve"> </w:t>
      </w:r>
      <w:hyperlink w:anchor="latin-record-0138">
        <w:r>
          <w:rPr>
            <w:color w:val="000000"/>
          </w:rPr>
          <w:t xml:space="preserve">canis / latrare</w:t>
        </w:r>
      </w:hyperlink>
      <w:r>
        <w:rPr>
          <w:b w:val="0"/>
          <w:i w:val="0"/>
        </w:rPr>
        <w:t>.</w:t>
      </w:r>
    </w:p>
    <w:p>
      <w:pPr>
        <w:widowControl/>
      </w:pPr>
      <w:r>
        <w:rPr>
          <w:b/>
          <w:i w:val="0"/>
        </w:rPr>
        <w:t>cantus.</w:t>
      </w:r>
      <w:r>
        <w:rPr>
          <w:b w:val="0"/>
          <w:i w:val="0"/>
        </w:rPr>
        <w:t xml:space="preserve"> </w:t>
      </w:r>
      <w:hyperlink w:anchor="latin-record-1212">
        <w:r>
          <w:rPr>
            <w:color w:val="000000"/>
          </w:rPr>
          <w:t xml:space="preserve">tuba / cornu / cantus</w:t>
        </w:r>
      </w:hyperlink>
      <w:r>
        <w:rPr>
          <w:b w:val="0"/>
          <w:i w:val="0"/>
        </w:rPr>
        <w:t>.</w:t>
      </w:r>
    </w:p>
    <w:p>
      <w:pPr>
        <w:widowControl/>
      </w:pPr>
      <w:r>
        <w:rPr>
          <w:b/>
          <w:i w:val="0"/>
        </w:rPr>
        <w:t>capacitas.</w:t>
      </w:r>
      <w:r>
        <w:rPr>
          <w:b w:val="0"/>
          <w:i w:val="0"/>
        </w:rPr>
        <w:t xml:space="preserve"> </w:t>
      </w:r>
      <w:hyperlink w:anchor="latin-record-0139">
        <w:r>
          <w:rPr>
            <w:color w:val="000000"/>
          </w:rPr>
          <w:t xml:space="preserve">capacitas / capax</w:t>
        </w:r>
      </w:hyperlink>
      <w:r>
        <w:rPr>
          <w:b w:val="0"/>
          <w:i w:val="0"/>
        </w:rPr>
        <w:t xml:space="preserve">; </w:t>
      </w:r>
      <w:hyperlink w:anchor="latin-record-0140">
        <w:r>
          <w:rPr>
            <w:color w:val="000000"/>
          </w:rPr>
          <w:t xml:space="preserve">capacitas materiae / continuum / multiplicatio</w:t>
        </w:r>
      </w:hyperlink>
      <w:r>
        <w:rPr>
          <w:b w:val="0"/>
          <w:i w:val="0"/>
        </w:rPr>
        <w:t>.</w:t>
      </w:r>
    </w:p>
    <w:p>
      <w:pPr>
        <w:widowControl/>
      </w:pPr>
      <w:r>
        <w:rPr>
          <w:b/>
          <w:i w:val="0"/>
        </w:rPr>
        <w:t>capacitatem.</w:t>
      </w:r>
      <w:r>
        <w:rPr>
          <w:b w:val="0"/>
          <w:i w:val="0"/>
        </w:rPr>
        <w:t xml:space="preserve"> </w:t>
      </w:r>
      <w:hyperlink w:anchor="latin-record-0139">
        <w:r>
          <w:rPr>
            <w:color w:val="000000"/>
          </w:rPr>
          <w:t xml:space="preserve">capacitas / capax</w:t>
        </w:r>
      </w:hyperlink>
      <w:r>
        <w:rPr>
          <w:b w:val="0"/>
          <w:i w:val="0"/>
        </w:rPr>
        <w:t xml:space="preserve">; </w:t>
      </w:r>
      <w:hyperlink w:anchor="latin-record-0143">
        <w:r>
          <w:rPr>
            <w:color w:val="000000"/>
          </w:rPr>
          <w:t xml:space="preserve">caput / capacitas</w:t>
        </w:r>
      </w:hyperlink>
      <w:r>
        <w:rPr>
          <w:b w:val="0"/>
          <w:i w:val="0"/>
        </w:rPr>
        <w:t>.</w:t>
      </w:r>
    </w:p>
    <w:p>
      <w:pPr>
        <w:widowControl/>
      </w:pPr>
      <w:r>
        <w:rPr>
          <w:b/>
          <w:i w:val="0"/>
        </w:rPr>
        <w:t>capax.</w:t>
      </w:r>
      <w:r>
        <w:rPr>
          <w:b w:val="0"/>
          <w:i w:val="0"/>
        </w:rPr>
        <w:t xml:space="preserve"> </w:t>
      </w:r>
      <w:hyperlink w:anchor="latin-record-0139">
        <w:r>
          <w:rPr>
            <w:color w:val="000000"/>
          </w:rPr>
          <w:t xml:space="preserve">capacitas / capax</w:t>
        </w:r>
      </w:hyperlink>
      <w:r>
        <w:rPr>
          <w:b w:val="0"/>
          <w:i w:val="0"/>
        </w:rPr>
        <w:t xml:space="preserve">; </w:t>
      </w:r>
      <w:hyperlink w:anchor="latin-record-0141">
        <w:r>
          <w:rPr>
            <w:color w:val="000000"/>
          </w:rPr>
          <w:t xml:space="preserve">capax / capio</w:t>
        </w:r>
      </w:hyperlink>
      <w:r>
        <w:rPr>
          <w:b w:val="0"/>
          <w:i w:val="0"/>
        </w:rPr>
        <w:t>.</w:t>
      </w:r>
    </w:p>
    <w:p>
      <w:pPr>
        <w:widowControl/>
      </w:pPr>
      <w:r>
        <w:rPr>
          <w:b/>
          <w:i w:val="0"/>
        </w:rPr>
        <w:t>capere.</w:t>
      </w:r>
      <w:r>
        <w:rPr>
          <w:b w:val="0"/>
          <w:i w:val="0"/>
        </w:rPr>
        <w:t xml:space="preserve"> </w:t>
      </w:r>
      <w:hyperlink w:anchor="latin-record-0142">
        <w:r>
          <w:rPr>
            <w:color w:val="000000"/>
          </w:rPr>
          <w:t xml:space="preserve">capere</w:t>
        </w:r>
      </w:hyperlink>
      <w:r>
        <w:rPr>
          <w:b w:val="0"/>
          <w:i w:val="0"/>
        </w:rPr>
        <w:t>.</w:t>
      </w:r>
    </w:p>
    <w:p>
      <w:pPr>
        <w:widowControl/>
      </w:pPr>
      <w:r>
        <w:rPr>
          <w:b/>
          <w:i w:val="0"/>
        </w:rPr>
        <w:t>capiat.</w:t>
      </w:r>
      <w:r>
        <w:rPr>
          <w:b w:val="0"/>
          <w:i w:val="0"/>
        </w:rPr>
        <w:t xml:space="preserve"> </w:t>
      </w:r>
      <w:hyperlink w:anchor="latin-record-0141">
        <w:r>
          <w:rPr>
            <w:color w:val="000000"/>
          </w:rPr>
          <w:t xml:space="preserve">capax / capio</w:t>
        </w:r>
      </w:hyperlink>
      <w:r>
        <w:rPr>
          <w:b w:val="0"/>
          <w:i w:val="0"/>
        </w:rPr>
        <w:t>.</w:t>
      </w:r>
    </w:p>
    <w:p>
      <w:pPr>
        <w:widowControl/>
      </w:pPr>
      <w:r>
        <w:rPr>
          <w:b/>
          <w:i w:val="0"/>
        </w:rPr>
        <w:t>capit.</w:t>
      </w:r>
      <w:r>
        <w:rPr>
          <w:b w:val="0"/>
          <w:i w:val="0"/>
        </w:rPr>
        <w:t xml:space="preserve"> </w:t>
      </w:r>
      <w:hyperlink w:anchor="latin-record-0141">
        <w:r>
          <w:rPr>
            <w:color w:val="000000"/>
          </w:rPr>
          <w:t xml:space="preserve">capax / capio</w:t>
        </w:r>
      </w:hyperlink>
      <w:r>
        <w:rPr>
          <w:b w:val="0"/>
          <w:i w:val="0"/>
        </w:rPr>
        <w:t xml:space="preserve">; </w:t>
      </w:r>
      <w:hyperlink w:anchor="latin-record-0142">
        <w:r>
          <w:rPr>
            <w:color w:val="000000"/>
          </w:rPr>
          <w:t xml:space="preserve">capere</w:t>
        </w:r>
      </w:hyperlink>
      <w:r>
        <w:rPr>
          <w:b w:val="0"/>
          <w:i w:val="0"/>
        </w:rPr>
        <w:t>.</w:t>
      </w:r>
    </w:p>
    <w:p>
      <w:pPr>
        <w:widowControl/>
      </w:pPr>
      <w:r>
        <w:rPr>
          <w:b/>
          <w:i w:val="0"/>
        </w:rPr>
        <w:t>capiunt.</w:t>
      </w:r>
      <w:r>
        <w:rPr>
          <w:b w:val="0"/>
          <w:i w:val="0"/>
        </w:rPr>
        <w:t xml:space="preserve"> </w:t>
      </w:r>
      <w:hyperlink w:anchor="latin-record-0009">
        <w:r>
          <w:rPr>
            <w:color w:val="000000"/>
          </w:rPr>
          <w:t xml:space="preserve">accipere / capere / suscipere</w:t>
        </w:r>
      </w:hyperlink>
      <w:r>
        <w:rPr>
          <w:b w:val="0"/>
          <w:i w:val="0"/>
        </w:rPr>
        <w:t>.</w:t>
      </w:r>
    </w:p>
    <w:p>
      <w:pPr>
        <w:widowControl/>
      </w:pPr>
      <w:r>
        <w:rPr>
          <w:b/>
          <w:i w:val="0"/>
        </w:rPr>
        <w:t>caput.</w:t>
      </w:r>
      <w:r>
        <w:rPr>
          <w:b w:val="0"/>
          <w:i w:val="0"/>
        </w:rPr>
        <w:t xml:space="preserve"> </w:t>
      </w:r>
      <w:hyperlink w:anchor="latin-record-0143">
        <w:r>
          <w:rPr>
            <w:color w:val="000000"/>
          </w:rPr>
          <w:t xml:space="preserve">caput / capacitas</w:t>
        </w:r>
      </w:hyperlink>
      <w:r>
        <w:rPr>
          <w:b w:val="0"/>
          <w:i w:val="0"/>
        </w:rPr>
        <w:t>.</w:t>
      </w:r>
    </w:p>
    <w:p>
      <w:pPr>
        <w:widowControl/>
      </w:pPr>
      <w:r>
        <w:rPr>
          <w:b/>
          <w:i w:val="0"/>
        </w:rPr>
        <w:t>caput rationis.</w:t>
      </w:r>
      <w:r>
        <w:rPr>
          <w:b w:val="0"/>
          <w:i w:val="0"/>
        </w:rPr>
        <w:t xml:space="preserve"> </w:t>
      </w:r>
      <w:hyperlink w:anchor="latin-record-0144">
        <w:r>
          <w:rPr>
            <w:color w:val="000000"/>
          </w:rPr>
          <w:t xml:space="preserve">caput mentis / rationis</w:t>
        </w:r>
      </w:hyperlink>
      <w:r>
        <w:rPr>
          <w:b w:val="0"/>
          <w:i w:val="0"/>
        </w:rPr>
        <w:t>.</w:t>
      </w:r>
    </w:p>
    <w:p>
      <w:pPr>
        <w:widowControl/>
      </w:pPr>
      <w:r>
        <w:rPr>
          <w:b/>
          <w:i w:val="0"/>
        </w:rPr>
        <w:t>carcere.</w:t>
      </w:r>
      <w:r>
        <w:rPr>
          <w:b w:val="0"/>
          <w:i w:val="0"/>
        </w:rPr>
        <w:t xml:space="preserve"> </w:t>
      </w:r>
      <w:hyperlink w:anchor="latin-record-0145">
        <w:r>
          <w:rPr>
            <w:color w:val="000000"/>
          </w:rPr>
          <w:t xml:space="preserve">carcer / claustra</w:t>
        </w:r>
      </w:hyperlink>
      <w:r>
        <w:rPr>
          <w:b w:val="0"/>
          <w:i w:val="0"/>
        </w:rPr>
        <w:t>.</w:t>
      </w:r>
    </w:p>
    <w:p>
      <w:pPr>
        <w:widowControl/>
      </w:pPr>
      <w:r>
        <w:rPr>
          <w:b/>
          <w:i w:val="0"/>
        </w:rPr>
        <w:t>carcere caeco.</w:t>
      </w:r>
      <w:r>
        <w:rPr>
          <w:b w:val="0"/>
          <w:i w:val="0"/>
        </w:rPr>
        <w:t xml:space="preserve"> </w:t>
      </w:r>
      <w:hyperlink w:anchor="latin-record-0145">
        <w:r>
          <w:rPr>
            <w:color w:val="000000"/>
          </w:rPr>
          <w:t xml:space="preserve">carcer / claustra</w:t>
        </w:r>
      </w:hyperlink>
      <w:r>
        <w:rPr>
          <w:b w:val="0"/>
          <w:i w:val="0"/>
        </w:rPr>
        <w:t>.</w:t>
      </w:r>
    </w:p>
    <w:p>
      <w:pPr>
        <w:widowControl/>
      </w:pPr>
      <w:r>
        <w:rPr>
          <w:b/>
          <w:i w:val="0"/>
        </w:rPr>
        <w:t>cardinem.</w:t>
      </w:r>
      <w:r>
        <w:rPr>
          <w:b w:val="0"/>
          <w:i w:val="0"/>
        </w:rPr>
        <w:t xml:space="preserve"> </w:t>
      </w:r>
      <w:hyperlink w:anchor="latin-record-0146">
        <w:r>
          <w:rPr>
            <w:color w:val="000000"/>
          </w:rPr>
          <w:t xml:space="preserve">cardo</w:t>
        </w:r>
      </w:hyperlink>
      <w:r>
        <w:rPr>
          <w:b w:val="0"/>
          <w:i w:val="0"/>
        </w:rPr>
        <w:t xml:space="preserve">; </w:t>
      </w:r>
      <w:hyperlink w:anchor="latin-record-0147">
        <w:r>
          <w:rPr>
            <w:color w:val="000000"/>
          </w:rPr>
          <w:t xml:space="preserve">cardo / fundamentum</w:t>
        </w:r>
      </w:hyperlink>
      <w:r>
        <w:rPr>
          <w:b w:val="0"/>
          <w:i w:val="0"/>
        </w:rPr>
        <w:t>.</w:t>
      </w:r>
    </w:p>
    <w:p>
      <w:pPr>
        <w:widowControl/>
      </w:pPr>
      <w:r>
        <w:rPr>
          <w:b/>
          <w:i w:val="0"/>
        </w:rPr>
        <w:t>cardines.</w:t>
      </w:r>
      <w:r>
        <w:rPr>
          <w:b w:val="0"/>
          <w:i w:val="0"/>
        </w:rPr>
        <w:t xml:space="preserve"> </w:t>
      </w:r>
      <w:hyperlink w:anchor="latin-record-0146">
        <w:r>
          <w:rPr>
            <w:color w:val="000000"/>
          </w:rPr>
          <w:t xml:space="preserve">cardo</w:t>
        </w:r>
      </w:hyperlink>
      <w:r>
        <w:rPr>
          <w:b w:val="0"/>
          <w:i w:val="0"/>
        </w:rPr>
        <w:t>.</w:t>
      </w:r>
    </w:p>
    <w:p>
      <w:pPr>
        <w:widowControl/>
      </w:pPr>
      <w:r>
        <w:rPr>
          <w:b/>
          <w:i w:val="0"/>
        </w:rPr>
        <w:t>cardinis.</w:t>
      </w:r>
      <w:r>
        <w:rPr>
          <w:b w:val="0"/>
          <w:i w:val="0"/>
        </w:rPr>
        <w:t xml:space="preserve"> </w:t>
      </w:r>
      <w:hyperlink w:anchor="latin-record-0148">
        <w:r>
          <w:rPr>
            <w:color w:val="000000"/>
          </w:rPr>
          <w:t xml:space="preserve">cardo / liquidus / solidus</w:t>
        </w:r>
      </w:hyperlink>
      <w:r>
        <w:rPr>
          <w:b w:val="0"/>
          <w:i w:val="0"/>
        </w:rPr>
        <w:t>.</w:t>
      </w:r>
    </w:p>
    <w:p>
      <w:pPr>
        <w:widowControl/>
      </w:pPr>
      <w:r>
        <w:rPr>
          <w:b/>
          <w:i w:val="0"/>
        </w:rPr>
        <w:t>cardo.</w:t>
      </w:r>
      <w:r>
        <w:rPr>
          <w:b w:val="0"/>
          <w:i w:val="0"/>
        </w:rPr>
        <w:t xml:space="preserve"> </w:t>
      </w:r>
      <w:hyperlink w:anchor="latin-record-0146">
        <w:r>
          <w:rPr>
            <w:color w:val="000000"/>
          </w:rPr>
          <w:t xml:space="preserve">cardo</w:t>
        </w:r>
      </w:hyperlink>
      <w:r>
        <w:rPr>
          <w:b w:val="0"/>
          <w:i w:val="0"/>
        </w:rPr>
        <w:t>.</w:t>
      </w:r>
    </w:p>
    <w:p>
      <w:pPr>
        <w:widowControl/>
      </w:pPr>
      <w:r>
        <w:rPr>
          <w:b/>
          <w:i w:val="0"/>
        </w:rPr>
        <w:t>careat.</w:t>
      </w:r>
      <w:r>
        <w:rPr>
          <w:b w:val="0"/>
          <w:i w:val="0"/>
        </w:rPr>
        <w:t xml:space="preserve"> </w:t>
      </w:r>
      <w:hyperlink w:anchor="latin-record-0149">
        <w:r>
          <w:rPr>
            <w:color w:val="000000"/>
          </w:rPr>
          <w:t xml:space="preserve">careo / expers</w:t>
        </w:r>
      </w:hyperlink>
      <w:r>
        <w:rPr>
          <w:b w:val="0"/>
          <w:i w:val="0"/>
        </w:rPr>
        <w:t xml:space="preserve">; </w:t>
      </w:r>
      <w:hyperlink w:anchor="latin-record-0150">
        <w:r>
          <w:rPr>
            <w:color w:val="000000"/>
          </w:rPr>
          <w:t xml:space="preserve">carere / deesse / destituere</w:t>
        </w:r>
      </w:hyperlink>
      <w:r>
        <w:rPr>
          <w:b w:val="0"/>
          <w:i w:val="0"/>
        </w:rPr>
        <w:t>.</w:t>
      </w:r>
    </w:p>
    <w:p>
      <w:pPr>
        <w:widowControl/>
      </w:pPr>
      <w:r>
        <w:rPr>
          <w:b/>
          <w:i w:val="0"/>
        </w:rPr>
        <w:t>carere.</w:t>
      </w:r>
      <w:r>
        <w:rPr>
          <w:b w:val="0"/>
          <w:i w:val="0"/>
        </w:rPr>
        <w:t xml:space="preserve"> </w:t>
      </w:r>
      <w:hyperlink w:anchor="latin-record-0149">
        <w:r>
          <w:rPr>
            <w:color w:val="000000"/>
          </w:rPr>
          <w:t xml:space="preserve">careo / expers</w:t>
        </w:r>
      </w:hyperlink>
      <w:r>
        <w:rPr>
          <w:b w:val="0"/>
          <w:i w:val="0"/>
        </w:rPr>
        <w:t>.</w:t>
      </w:r>
    </w:p>
    <w:p>
      <w:pPr>
        <w:widowControl/>
      </w:pPr>
      <w:r>
        <w:rPr>
          <w:b/>
          <w:i w:val="0"/>
        </w:rPr>
        <w:t>caret.</w:t>
      </w:r>
      <w:r>
        <w:rPr>
          <w:b w:val="0"/>
          <w:i w:val="0"/>
        </w:rPr>
        <w:t xml:space="preserve"> </w:t>
      </w:r>
      <w:hyperlink w:anchor="latin-record-0149">
        <w:r>
          <w:rPr>
            <w:color w:val="000000"/>
          </w:rPr>
          <w:t xml:space="preserve">careo / expers</w:t>
        </w:r>
      </w:hyperlink>
      <w:r>
        <w:rPr>
          <w:b w:val="0"/>
          <w:i w:val="0"/>
        </w:rPr>
        <w:t>.</w:t>
      </w:r>
    </w:p>
    <w:p>
      <w:pPr>
        <w:widowControl/>
      </w:pPr>
      <w:r>
        <w:rPr>
          <w:b/>
          <w:i w:val="0"/>
        </w:rPr>
        <w:t>caritate.</w:t>
      </w:r>
      <w:r>
        <w:rPr>
          <w:b w:val="0"/>
          <w:i w:val="0"/>
        </w:rPr>
        <w:t xml:space="preserve"> </w:t>
      </w:r>
      <w:hyperlink w:anchor="latin-record-0151">
        <w:r>
          <w:rPr>
            <w:color w:val="000000"/>
          </w:rPr>
          <w:t xml:space="preserve">caritas</w:t>
        </w:r>
      </w:hyperlink>
      <w:r>
        <w:rPr>
          <w:b w:val="0"/>
          <w:i w:val="0"/>
        </w:rPr>
        <w:t>.</w:t>
      </w:r>
    </w:p>
    <w:p>
      <w:pPr>
        <w:widowControl/>
      </w:pPr>
      <w:r>
        <w:rPr>
          <w:b/>
          <w:i w:val="0"/>
        </w:rPr>
        <w:t>carne.</w:t>
      </w:r>
      <w:r>
        <w:rPr>
          <w:b w:val="0"/>
          <w:i w:val="0"/>
        </w:rPr>
        <w:t xml:space="preserve"> </w:t>
      </w:r>
      <w:hyperlink w:anchor="latin-record-0045">
        <w:r>
          <w:rPr>
            <w:color w:val="000000"/>
          </w:rPr>
          <w:t xml:space="preserve">albedo / caro</w:t>
        </w:r>
      </w:hyperlink>
      <w:r>
        <w:rPr>
          <w:b w:val="0"/>
          <w:i w:val="0"/>
        </w:rPr>
        <w:t>.</w:t>
      </w:r>
    </w:p>
    <w:p>
      <w:pPr>
        <w:widowControl/>
      </w:pPr>
      <w:r>
        <w:rPr>
          <w:b/>
          <w:i w:val="0"/>
        </w:rPr>
        <w:t>carnis.</w:t>
      </w:r>
      <w:r>
        <w:rPr>
          <w:b w:val="0"/>
          <w:i w:val="0"/>
        </w:rPr>
        <w:t xml:space="preserve"> </w:t>
      </w:r>
      <w:hyperlink w:anchor="latin-record-0045">
        <w:r>
          <w:rPr>
            <w:color w:val="000000"/>
          </w:rPr>
          <w:t xml:space="preserve">albedo / caro</w:t>
        </w:r>
      </w:hyperlink>
      <w:r>
        <w:rPr>
          <w:b w:val="0"/>
          <w:i w:val="0"/>
        </w:rPr>
        <w:t>.</w:t>
      </w:r>
    </w:p>
    <w:p>
      <w:pPr>
        <w:widowControl/>
      </w:pPr>
      <w:r>
        <w:rPr>
          <w:b/>
          <w:i w:val="0"/>
        </w:rPr>
        <w:t>casu.</w:t>
      </w:r>
      <w:r>
        <w:rPr>
          <w:b w:val="0"/>
          <w:i w:val="0"/>
        </w:rPr>
        <w:t xml:space="preserve"> </w:t>
      </w:r>
      <w:hyperlink w:anchor="latin-record-0152">
        <w:r>
          <w:rPr>
            <w:color w:val="000000"/>
          </w:rPr>
          <w:t xml:space="preserve">casus / contingere</w:t>
        </w:r>
      </w:hyperlink>
      <w:r>
        <w:rPr>
          <w:b w:val="0"/>
          <w:i w:val="0"/>
        </w:rPr>
        <w:t>.</w:t>
      </w:r>
    </w:p>
    <w:p>
      <w:pPr>
        <w:widowControl/>
      </w:pPr>
      <w:r>
        <w:rPr>
          <w:b/>
          <w:i w:val="0"/>
        </w:rPr>
        <w:t>causa.</w:t>
      </w:r>
      <w:r>
        <w:rPr>
          <w:b w:val="0"/>
          <w:i w:val="0"/>
        </w:rPr>
        <w:t xml:space="preserve"> </w:t>
      </w:r>
      <w:hyperlink w:anchor="latin-record-0153">
        <w:r>
          <w:rPr>
            <w:color w:val="000000"/>
          </w:rPr>
          <w:t xml:space="preserve">causa / effectus</w:t>
        </w:r>
      </w:hyperlink>
      <w:r>
        <w:rPr>
          <w:b w:val="0"/>
          <w:i w:val="0"/>
        </w:rPr>
        <w:t xml:space="preserve">; </w:t>
      </w:r>
      <w:hyperlink w:anchor="latin-record-1138">
        <w:r>
          <w:rPr>
            <w:color w:val="000000"/>
          </w:rPr>
          <w:t xml:space="preserve">stabilis causa / opus</w:t>
        </w:r>
      </w:hyperlink>
      <w:r>
        <w:rPr>
          <w:b w:val="0"/>
          <w:i w:val="0"/>
        </w:rPr>
        <w:t>.</w:t>
      </w:r>
    </w:p>
    <w:p>
      <w:pPr>
        <w:widowControl/>
      </w:pPr>
      <w:r>
        <w:rPr>
          <w:b/>
          <w:i w:val="0"/>
        </w:rPr>
        <w:t>causae.</w:t>
      </w:r>
      <w:r>
        <w:rPr>
          <w:b w:val="0"/>
          <w:i w:val="0"/>
        </w:rPr>
        <w:t xml:space="preserve"> </w:t>
      </w:r>
      <w:hyperlink w:anchor="latin-record-0153">
        <w:r>
          <w:rPr>
            <w:color w:val="000000"/>
          </w:rPr>
          <w:t xml:space="preserve">causa / effectus</w:t>
        </w:r>
      </w:hyperlink>
      <w:r>
        <w:rPr>
          <w:b w:val="0"/>
          <w:i w:val="0"/>
        </w:rPr>
        <w:t>.</w:t>
      </w:r>
    </w:p>
    <w:p>
      <w:pPr>
        <w:widowControl/>
      </w:pPr>
      <w:r>
        <w:rPr>
          <w:b/>
          <w:i w:val="0"/>
        </w:rPr>
        <w:t>causam.</w:t>
      </w:r>
      <w:r>
        <w:rPr>
          <w:b w:val="0"/>
          <w:i w:val="0"/>
        </w:rPr>
        <w:t xml:space="preserve"> </w:t>
      </w:r>
      <w:hyperlink w:anchor="latin-record-0153">
        <w:r>
          <w:rPr>
            <w:color w:val="000000"/>
          </w:rPr>
          <w:t xml:space="preserve">causa / effectus</w:t>
        </w:r>
      </w:hyperlink>
      <w:r>
        <w:rPr>
          <w:b w:val="0"/>
          <w:i w:val="0"/>
        </w:rPr>
        <w:t>.</w:t>
      </w:r>
    </w:p>
    <w:p>
      <w:pPr>
        <w:widowControl/>
      </w:pPr>
      <w:r>
        <w:rPr>
          <w:b/>
          <w:i w:val="0"/>
        </w:rPr>
        <w:t>causarum.</w:t>
      </w:r>
      <w:r>
        <w:rPr>
          <w:b w:val="0"/>
          <w:i w:val="0"/>
        </w:rPr>
        <w:t xml:space="preserve"> </w:t>
      </w:r>
      <w:hyperlink w:anchor="latin-record-0153">
        <w:r>
          <w:rPr>
            <w:color w:val="000000"/>
          </w:rPr>
          <w:t xml:space="preserve">causa / effectus</w:t>
        </w:r>
      </w:hyperlink>
      <w:r>
        <w:rPr>
          <w:b w:val="0"/>
          <w:i w:val="0"/>
        </w:rPr>
        <w:t>.</w:t>
      </w:r>
    </w:p>
    <w:p>
      <w:pPr>
        <w:widowControl/>
      </w:pPr>
      <w:r>
        <w:rPr>
          <w:b/>
          <w:i w:val="0"/>
        </w:rPr>
        <w:t>causas.</w:t>
      </w:r>
      <w:r>
        <w:rPr>
          <w:b w:val="0"/>
          <w:i w:val="0"/>
        </w:rPr>
        <w:t xml:space="preserve"> </w:t>
      </w:r>
      <w:hyperlink w:anchor="latin-record-0153">
        <w:r>
          <w:rPr>
            <w:color w:val="000000"/>
          </w:rPr>
          <w:t xml:space="preserve">causa / effectus</w:t>
        </w:r>
      </w:hyperlink>
      <w:r>
        <w:rPr>
          <w:b w:val="0"/>
          <w:i w:val="0"/>
        </w:rPr>
        <w:t>.</w:t>
      </w:r>
    </w:p>
    <w:p>
      <w:pPr>
        <w:widowControl/>
      </w:pPr>
      <w:r>
        <w:rPr>
          <w:b/>
          <w:i w:val="0"/>
        </w:rPr>
        <w:t>cecinit.</w:t>
      </w:r>
      <w:r>
        <w:rPr>
          <w:b w:val="0"/>
          <w:i w:val="0"/>
        </w:rPr>
        <w:t xml:space="preserve"> </w:t>
      </w:r>
      <w:hyperlink w:anchor="latin-record-0517">
        <w:r>
          <w:rPr>
            <w:color w:val="000000"/>
          </w:rPr>
          <w:t xml:space="preserve">hymnus / theologia / sacerdos</w:t>
        </w:r>
      </w:hyperlink>
      <w:r>
        <w:rPr>
          <w:b w:val="0"/>
          <w:i w:val="0"/>
        </w:rPr>
        <w:t>.</w:t>
      </w:r>
    </w:p>
    <w:p>
      <w:pPr>
        <w:widowControl/>
      </w:pPr>
      <w:r>
        <w:rPr>
          <w:b/>
          <w:i w:val="0"/>
        </w:rPr>
        <w:t>cedit.</w:t>
      </w:r>
      <w:r>
        <w:rPr>
          <w:b w:val="0"/>
          <w:i w:val="0"/>
        </w:rPr>
        <w:t xml:space="preserve"> </w:t>
      </w:r>
      <w:hyperlink w:anchor="latin-record-0154">
        <w:r>
          <w:rPr>
            <w:color w:val="000000"/>
          </w:rPr>
          <w:t xml:space="preserve">cedere / excedere</w:t>
        </w:r>
      </w:hyperlink>
      <w:r>
        <w:rPr>
          <w:b w:val="0"/>
          <w:i w:val="0"/>
        </w:rPr>
        <w:t>.</w:t>
      </w:r>
    </w:p>
    <w:p>
      <w:pPr>
        <w:widowControl/>
      </w:pPr>
      <w:r>
        <w:rPr>
          <w:b/>
          <w:i w:val="0"/>
        </w:rPr>
        <w:t>cedunt.</w:t>
      </w:r>
      <w:r>
        <w:rPr>
          <w:b w:val="0"/>
          <w:i w:val="0"/>
        </w:rPr>
        <w:t xml:space="preserve"> </w:t>
      </w:r>
      <w:hyperlink w:anchor="latin-record-0155">
        <w:r>
          <w:rPr>
            <w:color w:val="000000"/>
          </w:rPr>
          <w:t xml:space="preserve">cedo</w:t>
        </w:r>
      </w:hyperlink>
      <w:r>
        <w:rPr>
          <w:b w:val="0"/>
          <w:i w:val="0"/>
        </w:rPr>
        <w:t>.</w:t>
      </w:r>
    </w:p>
    <w:p>
      <w:pPr>
        <w:widowControl/>
      </w:pPr>
      <w:r>
        <w:rPr>
          <w:b/>
          <w:i w:val="0"/>
        </w:rPr>
        <w:t>censetur.</w:t>
      </w:r>
      <w:r>
        <w:rPr>
          <w:b w:val="0"/>
          <w:i w:val="0"/>
        </w:rPr>
        <w:t xml:space="preserve"> </w:t>
      </w:r>
      <w:hyperlink w:anchor="latin-record-0156">
        <w:r>
          <w:rPr>
            <w:color w:val="000000"/>
          </w:rPr>
          <w:t xml:space="preserve">censeo</w:t>
        </w:r>
      </w:hyperlink>
      <w:r>
        <w:rPr>
          <w:b w:val="0"/>
          <w:i w:val="0"/>
        </w:rPr>
        <w:t>.</w:t>
      </w:r>
    </w:p>
    <w:p>
      <w:pPr>
        <w:widowControl/>
      </w:pPr>
      <w:r>
        <w:rPr>
          <w:b/>
          <w:i w:val="0"/>
        </w:rPr>
        <w:t>censuerit.</w:t>
      </w:r>
      <w:r>
        <w:rPr>
          <w:b w:val="0"/>
          <w:i w:val="0"/>
        </w:rPr>
        <w:t xml:space="preserve"> </w:t>
      </w:r>
      <w:hyperlink w:anchor="latin-record-0620">
        <w:r>
          <w:rPr>
            <w:color w:val="000000"/>
          </w:rPr>
          <w:t xml:space="preserve">iudicium / censere</w:t>
        </w:r>
      </w:hyperlink>
      <w:r>
        <w:rPr>
          <w:b w:val="0"/>
          <w:i w:val="0"/>
        </w:rPr>
        <w:t>.</w:t>
      </w:r>
    </w:p>
    <w:p>
      <w:pPr>
        <w:widowControl/>
      </w:pPr>
      <w:r>
        <w:rPr>
          <w:b/>
          <w:i w:val="0"/>
        </w:rPr>
        <w:t>censui.</w:t>
      </w:r>
      <w:r>
        <w:rPr>
          <w:b w:val="0"/>
          <w:i w:val="0"/>
        </w:rPr>
        <w:t xml:space="preserve"> </w:t>
      </w:r>
      <w:hyperlink w:anchor="latin-record-0156">
        <w:r>
          <w:rPr>
            <w:color w:val="000000"/>
          </w:rPr>
          <w:t xml:space="preserve">censeo</w:t>
        </w:r>
      </w:hyperlink>
      <w:r>
        <w:rPr>
          <w:b w:val="0"/>
          <w:i w:val="0"/>
        </w:rPr>
        <w:t>.</w:t>
      </w:r>
    </w:p>
    <w:p>
      <w:pPr>
        <w:widowControl/>
      </w:pPr>
      <w:r>
        <w:rPr>
          <w:b/>
          <w:i w:val="0"/>
        </w:rPr>
        <w:t>censuit.</w:t>
      </w:r>
      <w:r>
        <w:rPr>
          <w:b w:val="0"/>
          <w:i w:val="0"/>
        </w:rPr>
        <w:t xml:space="preserve"> </w:t>
      </w:r>
      <w:hyperlink w:anchor="latin-record-0156">
        <w:r>
          <w:rPr>
            <w:color w:val="000000"/>
          </w:rPr>
          <w:t xml:space="preserve">censeo</w:t>
        </w:r>
      </w:hyperlink>
      <w:r>
        <w:rPr>
          <w:b w:val="0"/>
          <w:i w:val="0"/>
        </w:rPr>
        <w:t>.</w:t>
      </w:r>
    </w:p>
    <w:p>
      <w:pPr>
        <w:widowControl/>
      </w:pPr>
      <w:r>
        <w:rPr>
          <w:b/>
          <w:i w:val="0"/>
        </w:rPr>
        <w:t>centrum.</w:t>
      </w:r>
      <w:r>
        <w:rPr>
          <w:b w:val="0"/>
          <w:i w:val="0"/>
        </w:rPr>
        <w:t xml:space="preserve"> </w:t>
      </w:r>
      <w:hyperlink w:anchor="latin-record-0157">
        <w:r>
          <w:rPr>
            <w:color w:val="000000"/>
          </w:rPr>
          <w:t xml:space="preserve">centrum / circumspicere</w:t>
        </w:r>
      </w:hyperlink>
      <w:r>
        <w:rPr>
          <w:b w:val="0"/>
          <w:i w:val="0"/>
        </w:rPr>
        <w:t xml:space="preserve">; </w:t>
      </w:r>
      <w:hyperlink w:anchor="latin-record-0783">
        <w:r>
          <w:rPr>
            <w:color w:val="000000"/>
          </w:rPr>
          <w:t xml:space="preserve">nutus / vibrare / centrum</w:t>
        </w:r>
      </w:hyperlink>
      <w:r>
        <w:rPr>
          <w:b w:val="0"/>
          <w:i w:val="0"/>
        </w:rPr>
        <w:t>.</w:t>
      </w:r>
    </w:p>
    <w:p>
      <w:pPr>
        <w:widowControl/>
      </w:pPr>
      <w:r>
        <w:rPr>
          <w:b/>
          <w:i w:val="0"/>
        </w:rPr>
        <w:t>cerebro.</w:t>
      </w:r>
      <w:r>
        <w:rPr>
          <w:b w:val="0"/>
          <w:i w:val="0"/>
        </w:rPr>
        <w:t xml:space="preserve"> </w:t>
      </w:r>
      <w:hyperlink w:anchor="latin-record-0158">
        <w:r>
          <w:rPr>
            <w:color w:val="000000"/>
          </w:rPr>
          <w:t xml:space="preserve">cerebrum / cor / iecur</w:t>
        </w:r>
      </w:hyperlink>
      <w:r>
        <w:rPr>
          <w:b w:val="0"/>
          <w:i w:val="0"/>
        </w:rPr>
        <w:t>.</w:t>
      </w:r>
    </w:p>
    <w:p>
      <w:pPr>
        <w:widowControl/>
      </w:pPr>
      <w:r>
        <w:rPr>
          <w:b/>
          <w:i w:val="0"/>
        </w:rPr>
        <w:t>cernere.</w:t>
      </w:r>
      <w:r>
        <w:rPr>
          <w:b w:val="0"/>
          <w:i w:val="0"/>
        </w:rPr>
        <w:t xml:space="preserve"> </w:t>
      </w:r>
      <w:hyperlink w:anchor="latin-record-0159">
        <w:r>
          <w:rPr>
            <w:color w:val="000000"/>
          </w:rPr>
          <w:t xml:space="preserve">cernere / respicere</w:t>
        </w:r>
      </w:hyperlink>
      <w:r>
        <w:rPr>
          <w:b w:val="0"/>
          <w:i w:val="0"/>
        </w:rPr>
        <w:t xml:space="preserve">; </w:t>
      </w:r>
      <w:hyperlink w:anchor="latin-record-0609">
        <w:r>
          <w:rPr>
            <w:color w:val="000000"/>
          </w:rPr>
          <w:t xml:space="preserve">intuitus / intueri / conspicere</w:t>
        </w:r>
      </w:hyperlink>
      <w:r>
        <w:rPr>
          <w:b w:val="0"/>
          <w:i w:val="0"/>
        </w:rPr>
        <w:t>.</w:t>
      </w:r>
    </w:p>
    <w:p>
      <w:pPr>
        <w:widowControl/>
      </w:pPr>
      <w:r>
        <w:rPr>
          <w:b/>
          <w:i w:val="0"/>
        </w:rPr>
        <w:t>cernimus.</w:t>
      </w:r>
      <w:r>
        <w:rPr>
          <w:b w:val="0"/>
          <w:i w:val="0"/>
        </w:rPr>
        <w:t xml:space="preserve"> </w:t>
      </w:r>
      <w:hyperlink w:anchor="latin-record-0865">
        <w:r>
          <w:rPr>
            <w:color w:val="000000"/>
          </w:rPr>
          <w:t xml:space="preserve">perspicere / cernere</w:t>
        </w:r>
      </w:hyperlink>
      <w:r>
        <w:rPr>
          <w:b w:val="0"/>
          <w:i w:val="0"/>
        </w:rPr>
        <w:t>.</w:t>
      </w:r>
    </w:p>
    <w:p>
      <w:pPr>
        <w:widowControl/>
      </w:pPr>
      <w:r>
        <w:rPr>
          <w:b/>
          <w:i w:val="0"/>
        </w:rPr>
        <w:t>cernit.</w:t>
      </w:r>
      <w:r>
        <w:rPr>
          <w:b w:val="0"/>
          <w:i w:val="0"/>
        </w:rPr>
        <w:t xml:space="preserve"> </w:t>
      </w:r>
      <w:hyperlink w:anchor="latin-record-0609">
        <w:r>
          <w:rPr>
            <w:color w:val="000000"/>
          </w:rPr>
          <w:t xml:space="preserve">intuitus / intueri / conspicere</w:t>
        </w:r>
      </w:hyperlink>
      <w:r>
        <w:rPr>
          <w:b w:val="0"/>
          <w:i w:val="0"/>
        </w:rPr>
        <w:t>.</w:t>
      </w:r>
    </w:p>
    <w:p>
      <w:pPr>
        <w:widowControl/>
      </w:pPr>
      <w:r>
        <w:rPr>
          <w:b/>
          <w:i w:val="0"/>
        </w:rPr>
        <w:t>certa.</w:t>
      </w:r>
      <w:r>
        <w:rPr>
          <w:b w:val="0"/>
          <w:i w:val="0"/>
        </w:rPr>
        <w:t xml:space="preserve"> </w:t>
      </w:r>
      <w:hyperlink w:anchor="latin-record-0160">
        <w:r>
          <w:rPr>
            <w:color w:val="000000"/>
          </w:rPr>
          <w:t xml:space="preserve">certo / certus</w:t>
        </w:r>
      </w:hyperlink>
      <w:r>
        <w:rPr>
          <w:b w:val="0"/>
          <w:i w:val="0"/>
        </w:rPr>
        <w:t xml:space="preserve">; </w:t>
      </w:r>
      <w:hyperlink w:anchor="latin-record-0162">
        <w:r>
          <w:rPr>
            <w:color w:val="000000"/>
          </w:rPr>
          <w:t xml:space="preserve">certus / incertus</w:t>
        </w:r>
      </w:hyperlink>
      <w:r>
        <w:rPr>
          <w:b w:val="0"/>
          <w:i w:val="0"/>
        </w:rPr>
        <w:t xml:space="preserve">; </w:t>
      </w:r>
      <w:hyperlink w:anchor="latin-record-0163">
        <w:r>
          <w:rPr>
            <w:color w:val="000000"/>
          </w:rPr>
          <w:t xml:space="preserve">certus / plenus</w:t>
        </w:r>
      </w:hyperlink>
      <w:r>
        <w:rPr>
          <w:b w:val="0"/>
          <w:i w:val="0"/>
        </w:rPr>
        <w:t>.</w:t>
      </w:r>
    </w:p>
    <w:p>
      <w:pPr>
        <w:widowControl/>
      </w:pPr>
      <w:r>
        <w:rPr>
          <w:b/>
          <w:i w:val="0"/>
        </w:rPr>
        <w:t>certas.</w:t>
      </w:r>
      <w:r>
        <w:rPr>
          <w:b w:val="0"/>
          <w:i w:val="0"/>
        </w:rPr>
        <w:t xml:space="preserve"> </w:t>
      </w:r>
      <w:hyperlink w:anchor="latin-record-0160">
        <w:r>
          <w:rPr>
            <w:color w:val="000000"/>
          </w:rPr>
          <w:t xml:space="preserve">certo / certus</w:t>
        </w:r>
      </w:hyperlink>
      <w:r>
        <w:rPr>
          <w:b w:val="0"/>
          <w:i w:val="0"/>
        </w:rPr>
        <w:t>.</w:t>
      </w:r>
    </w:p>
    <w:p>
      <w:pPr>
        <w:widowControl/>
      </w:pPr>
      <w:r>
        <w:rPr>
          <w:b/>
          <w:i w:val="0"/>
        </w:rPr>
        <w:t>certis.</w:t>
      </w:r>
      <w:r>
        <w:rPr>
          <w:b w:val="0"/>
          <w:i w:val="0"/>
        </w:rPr>
        <w:t xml:space="preserve"> </w:t>
      </w:r>
      <w:hyperlink w:anchor="latin-record-0160">
        <w:r>
          <w:rPr>
            <w:color w:val="000000"/>
          </w:rPr>
          <w:t xml:space="preserve">certo / certus</w:t>
        </w:r>
      </w:hyperlink>
      <w:r>
        <w:rPr>
          <w:b w:val="0"/>
          <w:i w:val="0"/>
        </w:rPr>
        <w:t xml:space="preserve">; </w:t>
      </w:r>
      <w:hyperlink w:anchor="latin-record-0162">
        <w:r>
          <w:rPr>
            <w:color w:val="000000"/>
          </w:rPr>
          <w:t xml:space="preserve">certus / incertus</w:t>
        </w:r>
      </w:hyperlink>
      <w:r>
        <w:rPr>
          <w:b w:val="0"/>
          <w:i w:val="0"/>
        </w:rPr>
        <w:t>.</w:t>
      </w:r>
    </w:p>
    <w:p>
      <w:pPr>
        <w:widowControl/>
      </w:pPr>
      <w:r>
        <w:rPr>
          <w:b/>
          <w:i w:val="0"/>
        </w:rPr>
        <w:t>certo.</w:t>
      </w:r>
      <w:r>
        <w:rPr>
          <w:b w:val="0"/>
          <w:i w:val="0"/>
        </w:rPr>
        <w:t xml:space="preserve"> </w:t>
      </w:r>
      <w:hyperlink w:anchor="latin-record-0160">
        <w:r>
          <w:rPr>
            <w:color w:val="000000"/>
          </w:rPr>
          <w:t xml:space="preserve">certo / certus</w:t>
        </w:r>
      </w:hyperlink>
      <w:r>
        <w:rPr>
          <w:b w:val="0"/>
          <w:i w:val="0"/>
        </w:rPr>
        <w:t xml:space="preserve">; </w:t>
      </w:r>
      <w:hyperlink w:anchor="latin-record-0161">
        <w:r>
          <w:rPr>
            <w:color w:val="000000"/>
          </w:rPr>
          <w:t xml:space="preserve">certus / assignare / limitare</w:t>
        </w:r>
      </w:hyperlink>
      <w:r>
        <w:rPr>
          <w:b w:val="0"/>
          <w:i w:val="0"/>
        </w:rPr>
        <w:t>.</w:t>
      </w:r>
    </w:p>
    <w:p>
      <w:pPr>
        <w:widowControl/>
      </w:pPr>
      <w:r>
        <w:rPr>
          <w:b/>
          <w:i w:val="0"/>
        </w:rPr>
        <w:t>certum.</w:t>
      </w:r>
      <w:r>
        <w:rPr>
          <w:b w:val="0"/>
          <w:i w:val="0"/>
        </w:rPr>
        <w:t xml:space="preserve"> </w:t>
      </w:r>
      <w:hyperlink w:anchor="latin-record-0160">
        <w:r>
          <w:rPr>
            <w:color w:val="000000"/>
          </w:rPr>
          <w:t xml:space="preserve">certo / certus</w:t>
        </w:r>
      </w:hyperlink>
      <w:r>
        <w:rPr>
          <w:b w:val="0"/>
          <w:i w:val="0"/>
        </w:rPr>
        <w:t>.</w:t>
      </w:r>
    </w:p>
    <w:p>
      <w:pPr>
        <w:widowControl/>
      </w:pPr>
      <w:r>
        <w:rPr>
          <w:b/>
          <w:i w:val="0"/>
        </w:rPr>
        <w:t>cessaret.</w:t>
      </w:r>
      <w:r>
        <w:rPr>
          <w:b w:val="0"/>
          <w:i w:val="0"/>
        </w:rPr>
        <w:t xml:space="preserve"> </w:t>
      </w:r>
      <w:hyperlink w:anchor="latin-record-0164">
        <w:r>
          <w:rPr>
            <w:color w:val="000000"/>
          </w:rPr>
          <w:t xml:space="preserve">cessare</w:t>
        </w:r>
      </w:hyperlink>
      <w:r>
        <w:rPr>
          <w:b w:val="0"/>
          <w:i w:val="0"/>
        </w:rPr>
        <w:t>.</w:t>
      </w:r>
    </w:p>
    <w:p>
      <w:pPr>
        <w:widowControl/>
      </w:pPr>
      <w:r>
        <w:rPr>
          <w:b/>
          <w:i w:val="0"/>
        </w:rPr>
        <w:t>chorea.</w:t>
      </w:r>
      <w:r>
        <w:rPr>
          <w:b w:val="0"/>
          <w:i w:val="0"/>
        </w:rPr>
        <w:t xml:space="preserve"> </w:t>
      </w:r>
      <w:hyperlink w:anchor="latin-record-0165">
        <w:r>
          <w:rPr>
            <w:color w:val="000000"/>
          </w:rPr>
          <w:t xml:space="preserve">chorea / modulus / cithara</w:t>
        </w:r>
      </w:hyperlink>
      <w:r>
        <w:rPr>
          <w:b w:val="0"/>
          <w:i w:val="0"/>
        </w:rPr>
        <w:t>.</w:t>
      </w:r>
    </w:p>
    <w:p>
      <w:pPr>
        <w:widowControl/>
      </w:pPr>
      <w:r>
        <w:rPr>
          <w:b/>
          <w:i w:val="0"/>
        </w:rPr>
        <w:t>Chrysippus.</w:t>
      </w:r>
      <w:r>
        <w:rPr>
          <w:b w:val="0"/>
          <w:i w:val="0"/>
        </w:rPr>
        <w:t xml:space="preserve"> </w:t>
      </w:r>
      <w:hyperlink w:anchor="latin-record-1145">
        <w:r>
          <w:rPr>
            <w:color w:val="000000"/>
          </w:rPr>
          <w:t xml:space="preserve">Strato / Chrysippus</w:t>
        </w:r>
      </w:hyperlink>
      <w:r>
        <w:rPr>
          <w:b w:val="0"/>
          <w:i w:val="0"/>
        </w:rPr>
        <w:t>.</w:t>
      </w:r>
    </w:p>
    <w:p>
      <w:pPr>
        <w:widowControl/>
      </w:pPr>
      <w:r>
        <w:rPr>
          <w:b/>
          <w:i w:val="0"/>
        </w:rPr>
        <w:t>Circuitus.</w:t>
      </w:r>
      <w:r>
        <w:rPr>
          <w:b w:val="0"/>
          <w:i w:val="0"/>
        </w:rPr>
        <w:t xml:space="preserve"> </w:t>
      </w:r>
      <w:hyperlink w:anchor="latin-record-0166">
        <w:r>
          <w:rPr>
            <w:color w:val="000000"/>
          </w:rPr>
          <w:t xml:space="preserve">circuitus</w:t>
        </w:r>
      </w:hyperlink>
      <w:r>
        <w:rPr>
          <w:b w:val="0"/>
          <w:i w:val="0"/>
        </w:rPr>
        <w:t>.</w:t>
      </w:r>
    </w:p>
    <w:p>
      <w:pPr>
        <w:widowControl/>
      </w:pPr>
      <w:r>
        <w:rPr>
          <w:b/>
          <w:i w:val="0"/>
        </w:rPr>
        <w:t>circuitus.</w:t>
      </w:r>
      <w:r>
        <w:rPr>
          <w:b w:val="0"/>
          <w:i w:val="0"/>
        </w:rPr>
        <w:t xml:space="preserve"> </w:t>
      </w:r>
      <w:hyperlink w:anchor="latin-record-0166">
        <w:r>
          <w:rPr>
            <w:color w:val="000000"/>
          </w:rPr>
          <w:t xml:space="preserve">circuitus</w:t>
        </w:r>
      </w:hyperlink>
      <w:r>
        <w:rPr>
          <w:b w:val="0"/>
          <w:i w:val="0"/>
        </w:rPr>
        <w:t xml:space="preserve">; </w:t>
      </w:r>
      <w:hyperlink w:anchor="latin-record-0167">
        <w:r>
          <w:rPr>
            <w:color w:val="000000"/>
          </w:rPr>
          <w:t xml:space="preserve">circulus / circuitus</w:t>
        </w:r>
      </w:hyperlink>
      <w:r>
        <w:rPr>
          <w:b w:val="0"/>
          <w:i w:val="0"/>
        </w:rPr>
        <w:t>.</w:t>
      </w:r>
    </w:p>
    <w:p>
      <w:pPr>
        <w:widowControl/>
      </w:pPr>
      <w:r>
        <w:rPr>
          <w:b/>
          <w:i w:val="0"/>
        </w:rPr>
        <w:t>circulo revolvemur.</w:t>
      </w:r>
      <w:r>
        <w:rPr>
          <w:b w:val="0"/>
          <w:i w:val="0"/>
        </w:rPr>
        <w:t xml:space="preserve"> </w:t>
      </w:r>
      <w:hyperlink w:anchor="latin-record-0549">
        <w:r>
          <w:rPr>
            <w:color w:val="000000"/>
          </w:rPr>
          <w:t xml:space="preserve">in infinitum vagari / circulo revolvi</w:t>
        </w:r>
      </w:hyperlink>
      <w:r>
        <w:rPr>
          <w:b w:val="0"/>
          <w:i w:val="0"/>
        </w:rPr>
        <w:t>.</w:t>
      </w:r>
    </w:p>
    <w:p>
      <w:pPr>
        <w:widowControl/>
      </w:pPr>
      <w:r>
        <w:rPr>
          <w:b/>
          <w:i w:val="0"/>
        </w:rPr>
        <w:t>circulus.</w:t>
      </w:r>
      <w:r>
        <w:rPr>
          <w:b w:val="0"/>
          <w:i w:val="0"/>
        </w:rPr>
        <w:t xml:space="preserve"> </w:t>
      </w:r>
      <w:hyperlink w:anchor="latin-record-0167">
        <w:r>
          <w:rPr>
            <w:color w:val="000000"/>
          </w:rPr>
          <w:t xml:space="preserve">circulus / circuitus</w:t>
        </w:r>
      </w:hyperlink>
      <w:r>
        <w:rPr>
          <w:b w:val="0"/>
          <w:i w:val="0"/>
        </w:rPr>
        <w:t>.</w:t>
      </w:r>
    </w:p>
    <w:p>
      <w:pPr>
        <w:widowControl/>
      </w:pPr>
      <w:r>
        <w:rPr>
          <w:b/>
          <w:i w:val="0"/>
        </w:rPr>
        <w:t>circumcurrit.</w:t>
      </w:r>
      <w:r>
        <w:rPr>
          <w:b w:val="0"/>
          <w:i w:val="0"/>
        </w:rPr>
        <w:t xml:space="preserve"> </w:t>
      </w:r>
      <w:hyperlink w:anchor="latin-record-0168">
        <w:r>
          <w:rPr>
            <w:color w:val="000000"/>
          </w:rPr>
          <w:t xml:space="preserve">circumcurrere</w:t>
        </w:r>
      </w:hyperlink>
      <w:r>
        <w:rPr>
          <w:b w:val="0"/>
          <w:i w:val="0"/>
        </w:rPr>
        <w:t>.</w:t>
      </w:r>
    </w:p>
    <w:p>
      <w:pPr>
        <w:widowControl/>
      </w:pPr>
      <w:r>
        <w:rPr>
          <w:b/>
          <w:i w:val="0"/>
        </w:rPr>
        <w:t>circumferentiam.</w:t>
      </w:r>
      <w:r>
        <w:rPr>
          <w:b w:val="0"/>
          <w:i w:val="0"/>
        </w:rPr>
        <w:t xml:space="preserve"> </w:t>
      </w:r>
      <w:hyperlink w:anchor="latin-record-0985">
        <w:r>
          <w:rPr>
            <w:color w:val="000000"/>
          </w:rPr>
          <w:t xml:space="preserve">punctum / linea / circumferentia</w:t>
        </w:r>
      </w:hyperlink>
      <w:r>
        <w:rPr>
          <w:b w:val="0"/>
          <w:i w:val="0"/>
        </w:rPr>
        <w:t>.</w:t>
      </w:r>
    </w:p>
    <w:p>
      <w:pPr>
        <w:widowControl/>
      </w:pPr>
      <w:r>
        <w:rPr>
          <w:b/>
          <w:i w:val="0"/>
        </w:rPr>
        <w:t>circumscribitur.</w:t>
      </w:r>
      <w:r>
        <w:rPr>
          <w:b w:val="0"/>
          <w:i w:val="0"/>
        </w:rPr>
        <w:t xml:space="preserve"> </w:t>
      </w:r>
      <w:hyperlink w:anchor="latin-record-0169">
        <w:r>
          <w:rPr>
            <w:color w:val="000000"/>
          </w:rPr>
          <w:t xml:space="preserve">circumscribere / coarctare</w:t>
        </w:r>
      </w:hyperlink>
      <w:r>
        <w:rPr>
          <w:b w:val="0"/>
          <w:i w:val="0"/>
        </w:rPr>
        <w:t>.</w:t>
      </w:r>
    </w:p>
    <w:p>
      <w:pPr>
        <w:widowControl/>
      </w:pPr>
      <w:r>
        <w:rPr>
          <w:b/>
          <w:i w:val="0"/>
        </w:rPr>
        <w:t>circumspicit.</w:t>
      </w:r>
      <w:r>
        <w:rPr>
          <w:b w:val="0"/>
          <w:i w:val="0"/>
        </w:rPr>
        <w:t xml:space="preserve"> </w:t>
      </w:r>
      <w:hyperlink w:anchor="latin-record-0157">
        <w:r>
          <w:rPr>
            <w:color w:val="000000"/>
          </w:rPr>
          <w:t xml:space="preserve">centrum / circumspicere</w:t>
        </w:r>
      </w:hyperlink>
      <w:r>
        <w:rPr>
          <w:b w:val="0"/>
          <w:i w:val="0"/>
        </w:rPr>
        <w:t>.</w:t>
      </w:r>
    </w:p>
    <w:p>
      <w:pPr>
        <w:widowControl/>
      </w:pPr>
      <w:r>
        <w:rPr>
          <w:b/>
          <w:i w:val="0"/>
        </w:rPr>
        <w:t>cithara.</w:t>
      </w:r>
      <w:r>
        <w:rPr>
          <w:b w:val="0"/>
          <w:i w:val="0"/>
        </w:rPr>
        <w:t xml:space="preserve"> </w:t>
      </w:r>
      <w:hyperlink w:anchor="latin-record-0081">
        <w:r>
          <w:rPr>
            <w:color w:val="000000"/>
          </w:rPr>
          <w:t xml:space="preserve">Apollo / cithara / contemperare</w:t>
        </w:r>
      </w:hyperlink>
      <w:r>
        <w:rPr>
          <w:b w:val="0"/>
          <w:i w:val="0"/>
        </w:rPr>
        <w:t xml:space="preserve">; </w:t>
      </w:r>
      <w:hyperlink w:anchor="latin-record-0165">
        <w:r>
          <w:rPr>
            <w:color w:val="000000"/>
          </w:rPr>
          <w:t xml:space="preserve">chorea / modulus / cithara</w:t>
        </w:r>
      </w:hyperlink>
      <w:r>
        <w:rPr>
          <w:b w:val="0"/>
          <w:i w:val="0"/>
        </w:rPr>
        <w:t>.</w:t>
      </w:r>
    </w:p>
    <w:p>
      <w:pPr>
        <w:widowControl/>
      </w:pPr>
      <w:r>
        <w:rPr>
          <w:b/>
          <w:i w:val="0"/>
        </w:rPr>
        <w:t>cito.</w:t>
      </w:r>
      <w:r>
        <w:rPr>
          <w:b w:val="0"/>
          <w:i w:val="0"/>
        </w:rPr>
        <w:t xml:space="preserve"> </w:t>
      </w:r>
      <w:hyperlink w:anchor="latin-record-0842">
        <w:r>
          <w:rPr>
            <w:color w:val="000000"/>
          </w:rPr>
          <w:t xml:space="preserve">paulatim / subito / sero</w:t>
        </w:r>
      </w:hyperlink>
      <w:r>
        <w:rPr>
          <w:b w:val="0"/>
          <w:i w:val="0"/>
        </w:rPr>
        <w:t>.</w:t>
      </w:r>
    </w:p>
    <w:p>
      <w:pPr>
        <w:widowControl/>
      </w:pPr>
      <w:r>
        <w:rPr>
          <w:b/>
          <w:i w:val="0"/>
        </w:rPr>
        <w:t>clamat.</w:t>
      </w:r>
      <w:r>
        <w:rPr>
          <w:b w:val="0"/>
          <w:i w:val="0"/>
        </w:rPr>
        <w:t xml:space="preserve"> </w:t>
      </w:r>
      <w:hyperlink w:anchor="latin-record-0170">
        <w:r>
          <w:rPr>
            <w:color w:val="000000"/>
          </w:rPr>
          <w:t xml:space="preserve">clamare / reclamare / persuadere</w:t>
        </w:r>
      </w:hyperlink>
      <w:r>
        <w:rPr>
          <w:b w:val="0"/>
          <w:i w:val="0"/>
        </w:rPr>
        <w:t>.</w:t>
      </w:r>
    </w:p>
    <w:p>
      <w:pPr>
        <w:widowControl/>
      </w:pPr>
      <w:r>
        <w:rPr>
          <w:b/>
          <w:i w:val="0"/>
        </w:rPr>
        <w:t>clara.</w:t>
      </w:r>
      <w:r>
        <w:rPr>
          <w:b w:val="0"/>
          <w:i w:val="0"/>
        </w:rPr>
        <w:t xml:space="preserve"> </w:t>
      </w:r>
      <w:hyperlink w:anchor="latin-record-0796">
        <w:r>
          <w:rPr>
            <w:color w:val="000000"/>
          </w:rPr>
          <w:t xml:space="preserve">opacus / clarus</w:t>
        </w:r>
      </w:hyperlink>
      <w:r>
        <w:rPr>
          <w:b w:val="0"/>
          <w:i w:val="0"/>
        </w:rPr>
        <w:t>.</w:t>
      </w:r>
    </w:p>
    <w:p>
      <w:pPr>
        <w:widowControl/>
      </w:pPr>
      <w:r>
        <w:rPr>
          <w:b/>
          <w:i w:val="0"/>
        </w:rPr>
        <w:t>clare.</w:t>
      </w:r>
      <w:r>
        <w:rPr>
          <w:b w:val="0"/>
          <w:i w:val="0"/>
        </w:rPr>
        <w:t xml:space="preserve"> </w:t>
      </w:r>
      <w:hyperlink w:anchor="latin-record-0339">
        <w:r>
          <w:rPr>
            <w:color w:val="000000"/>
          </w:rPr>
          <w:t xml:space="preserve">distincte / clare / plane</w:t>
        </w:r>
      </w:hyperlink>
      <w:r>
        <w:rPr>
          <w:b w:val="0"/>
          <w:i w:val="0"/>
        </w:rPr>
        <w:t>.</w:t>
      </w:r>
    </w:p>
    <w:p>
      <w:pPr>
        <w:widowControl/>
      </w:pPr>
      <w:r>
        <w:rPr>
          <w:b/>
          <w:i w:val="0"/>
        </w:rPr>
        <w:t>clarescit.</w:t>
      </w:r>
      <w:r>
        <w:rPr>
          <w:b w:val="0"/>
          <w:i w:val="0"/>
        </w:rPr>
        <w:t xml:space="preserve"> </w:t>
      </w:r>
      <w:hyperlink w:anchor="latin-record-1191">
        <w:r>
          <w:rPr>
            <w:color w:val="000000"/>
          </w:rPr>
          <w:t xml:space="preserve">tenuari / clarescere / hebescere</w:t>
        </w:r>
      </w:hyperlink>
      <w:r>
        <w:rPr>
          <w:b w:val="0"/>
          <w:i w:val="0"/>
        </w:rPr>
        <w:t>.</w:t>
      </w:r>
    </w:p>
    <w:p>
      <w:pPr>
        <w:widowControl/>
      </w:pPr>
      <w:r>
        <w:rPr>
          <w:b/>
          <w:i w:val="0"/>
        </w:rPr>
        <w:t>clarissime.</w:t>
      </w:r>
      <w:r>
        <w:rPr>
          <w:b w:val="0"/>
          <w:i w:val="0"/>
        </w:rPr>
        <w:t xml:space="preserve"> </w:t>
      </w:r>
      <w:hyperlink w:anchor="latin-record-0339">
        <w:r>
          <w:rPr>
            <w:color w:val="000000"/>
          </w:rPr>
          <w:t xml:space="preserve">distincte / clare / plane</w:t>
        </w:r>
      </w:hyperlink>
      <w:r>
        <w:rPr>
          <w:b w:val="0"/>
          <w:i w:val="0"/>
        </w:rPr>
        <w:t>.</w:t>
      </w:r>
    </w:p>
    <w:p>
      <w:pPr>
        <w:widowControl/>
      </w:pPr>
      <w:r>
        <w:rPr>
          <w:b/>
          <w:i w:val="0"/>
        </w:rPr>
        <w:t>claudicat.</w:t>
      </w:r>
      <w:r>
        <w:rPr>
          <w:b w:val="0"/>
          <w:i w:val="0"/>
        </w:rPr>
        <w:t xml:space="preserve"> </w:t>
      </w:r>
      <w:hyperlink w:anchor="latin-record-0171">
        <w:r>
          <w:rPr>
            <w:color w:val="000000"/>
          </w:rPr>
          <w:t xml:space="preserve">claudico</w:t>
        </w:r>
      </w:hyperlink>
      <w:r>
        <w:rPr>
          <w:b w:val="0"/>
          <w:i w:val="0"/>
        </w:rPr>
        <w:t xml:space="preserve">; </w:t>
      </w:r>
      <w:hyperlink w:anchor="latin-record-0435">
        <w:r>
          <w:rPr>
            <w:color w:val="000000"/>
          </w:rPr>
          <w:t xml:space="preserve">fatigare / claudicare</w:t>
        </w:r>
      </w:hyperlink>
      <w:r>
        <w:rPr>
          <w:b w:val="0"/>
          <w:i w:val="0"/>
        </w:rPr>
        <w:t>.</w:t>
      </w:r>
    </w:p>
    <w:p>
      <w:pPr>
        <w:widowControl/>
      </w:pPr>
      <w:r>
        <w:rPr>
          <w:b/>
          <w:i w:val="0"/>
        </w:rPr>
        <w:t>clauditur.</w:t>
      </w:r>
      <w:r>
        <w:rPr>
          <w:b w:val="0"/>
          <w:i w:val="0"/>
        </w:rPr>
        <w:t xml:space="preserve"> </w:t>
      </w:r>
      <w:hyperlink w:anchor="latin-record-0948">
        <w:r>
          <w:rPr>
            <w:color w:val="000000"/>
          </w:rPr>
          <w:t xml:space="preserve">prohibere / claudere / includere</w:t>
        </w:r>
      </w:hyperlink>
      <w:r>
        <w:rPr>
          <w:b w:val="0"/>
          <w:i w:val="0"/>
        </w:rPr>
        <w:t>.</w:t>
      </w:r>
    </w:p>
    <w:p>
      <w:pPr>
        <w:widowControl/>
      </w:pPr>
      <w:r>
        <w:rPr>
          <w:b/>
          <w:i w:val="0"/>
        </w:rPr>
        <w:t>claustra.</w:t>
      </w:r>
      <w:r>
        <w:rPr>
          <w:b w:val="0"/>
          <w:i w:val="0"/>
        </w:rPr>
        <w:t xml:space="preserve"> </w:t>
      </w:r>
      <w:hyperlink w:anchor="latin-record-0145">
        <w:r>
          <w:rPr>
            <w:color w:val="000000"/>
          </w:rPr>
          <w:t xml:space="preserve">carcer / claustra</w:t>
        </w:r>
      </w:hyperlink>
      <w:r>
        <w:rPr>
          <w:b w:val="0"/>
          <w:i w:val="0"/>
        </w:rPr>
        <w:t>.</w:t>
      </w:r>
    </w:p>
    <w:p>
      <w:pPr>
        <w:widowControl/>
      </w:pPr>
      <w:r>
        <w:rPr>
          <w:b/>
          <w:i w:val="0"/>
        </w:rPr>
        <w:t>coarctatur.</w:t>
      </w:r>
      <w:r>
        <w:rPr>
          <w:b w:val="0"/>
          <w:i w:val="0"/>
        </w:rPr>
        <w:t xml:space="preserve"> </w:t>
      </w:r>
      <w:hyperlink w:anchor="latin-record-0169">
        <w:r>
          <w:rPr>
            <w:color w:val="000000"/>
          </w:rPr>
          <w:t xml:space="preserve">circumscribere / coarctare</w:t>
        </w:r>
      </w:hyperlink>
      <w:r>
        <w:rPr>
          <w:b w:val="0"/>
          <w:i w:val="0"/>
        </w:rPr>
        <w:t>.</w:t>
      </w:r>
    </w:p>
    <w:p>
      <w:pPr>
        <w:widowControl/>
      </w:pPr>
      <w:r>
        <w:rPr>
          <w:b/>
          <w:i w:val="0"/>
        </w:rPr>
        <w:t>coarctet.</w:t>
      </w:r>
      <w:r>
        <w:rPr>
          <w:b w:val="0"/>
          <w:i w:val="0"/>
        </w:rPr>
        <w:t xml:space="preserve"> </w:t>
      </w:r>
      <w:hyperlink w:anchor="latin-record-0172">
        <w:r>
          <w:rPr>
            <w:color w:val="000000"/>
          </w:rPr>
          <w:t xml:space="preserve">coarcto / rarefacio</w:t>
        </w:r>
      </w:hyperlink>
      <w:r>
        <w:rPr>
          <w:b w:val="0"/>
          <w:i w:val="0"/>
        </w:rPr>
        <w:t>.</w:t>
      </w:r>
    </w:p>
    <w:p>
      <w:pPr>
        <w:widowControl/>
      </w:pPr>
      <w:r>
        <w:rPr>
          <w:b/>
          <w:i w:val="0"/>
        </w:rPr>
        <w:t>coartant.</w:t>
      </w:r>
      <w:r>
        <w:rPr>
          <w:b w:val="0"/>
          <w:i w:val="0"/>
        </w:rPr>
        <w:t xml:space="preserve"> </w:t>
      </w:r>
      <w:hyperlink w:anchor="latin-record-0075">
        <w:r>
          <w:rPr>
            <w:color w:val="000000"/>
          </w:rPr>
          <w:t xml:space="preserve">annixus / coartare</w:t>
        </w:r>
      </w:hyperlink>
      <w:r>
        <w:rPr>
          <w:b w:val="0"/>
          <w:i w:val="0"/>
        </w:rPr>
        <w:t>.</w:t>
      </w:r>
    </w:p>
    <w:p>
      <w:pPr>
        <w:widowControl/>
      </w:pPr>
      <w:r>
        <w:rPr>
          <w:b/>
          <w:i w:val="0"/>
        </w:rPr>
        <w:t>cogantur.</w:t>
      </w:r>
      <w:r>
        <w:rPr>
          <w:b w:val="0"/>
          <w:i w:val="0"/>
        </w:rPr>
        <w:t xml:space="preserve"> </w:t>
      </w:r>
      <w:hyperlink w:anchor="latin-record-0173">
        <w:r>
          <w:rPr>
            <w:color w:val="000000"/>
          </w:rPr>
          <w:t xml:space="preserve">cogere / compellere</w:t>
        </w:r>
      </w:hyperlink>
      <w:r>
        <w:rPr>
          <w:b w:val="0"/>
          <w:i w:val="0"/>
        </w:rPr>
        <w:t>.</w:t>
      </w:r>
    </w:p>
    <w:p>
      <w:pPr>
        <w:widowControl/>
      </w:pPr>
      <w:r>
        <w:rPr>
          <w:b/>
          <w:i w:val="0"/>
        </w:rPr>
        <w:t>cogat.</w:t>
      </w:r>
      <w:r>
        <w:rPr>
          <w:b w:val="0"/>
          <w:i w:val="0"/>
        </w:rPr>
        <w:t xml:space="preserve"> </w:t>
      </w:r>
      <w:hyperlink w:anchor="latin-record-0054">
        <w:r>
          <w:rPr>
            <w:color w:val="000000"/>
          </w:rPr>
          <w:t xml:space="preserve">allicere / cogere / persuadere</w:t>
        </w:r>
      </w:hyperlink>
      <w:r>
        <w:rPr>
          <w:b w:val="0"/>
          <w:i w:val="0"/>
        </w:rPr>
        <w:t>.</w:t>
      </w:r>
    </w:p>
    <w:p>
      <w:pPr>
        <w:widowControl/>
      </w:pPr>
      <w:r>
        <w:rPr>
          <w:b/>
          <w:i w:val="0"/>
        </w:rPr>
        <w:t>cogente.</w:t>
      </w:r>
      <w:r>
        <w:rPr>
          <w:b w:val="0"/>
          <w:i w:val="0"/>
        </w:rPr>
        <w:t xml:space="preserve"> </w:t>
      </w:r>
      <w:hyperlink w:anchor="latin-record-0173">
        <w:r>
          <w:rPr>
            <w:color w:val="000000"/>
          </w:rPr>
          <w:t xml:space="preserve">cogere / compellere</w:t>
        </w:r>
      </w:hyperlink>
      <w:r>
        <w:rPr>
          <w:b w:val="0"/>
          <w:i w:val="0"/>
        </w:rPr>
        <w:t>.</w:t>
      </w:r>
    </w:p>
    <w:p>
      <w:pPr>
        <w:widowControl/>
      </w:pPr>
      <w:r>
        <w:rPr>
          <w:b/>
          <w:i w:val="0"/>
        </w:rPr>
        <w:t>cogeris.</w:t>
      </w:r>
      <w:r>
        <w:rPr>
          <w:b w:val="0"/>
          <w:i w:val="0"/>
        </w:rPr>
        <w:t xml:space="preserve"> </w:t>
      </w:r>
      <w:hyperlink w:anchor="latin-record-0173">
        <w:r>
          <w:rPr>
            <w:color w:val="000000"/>
          </w:rPr>
          <w:t xml:space="preserve">cogere / compellere</w:t>
        </w:r>
      </w:hyperlink>
      <w:r>
        <w:rPr>
          <w:b w:val="0"/>
          <w:i w:val="0"/>
        </w:rPr>
        <w:t>.</w:t>
      </w:r>
    </w:p>
    <w:p>
      <w:pPr>
        <w:widowControl/>
      </w:pPr>
      <w:r>
        <w:rPr>
          <w:b/>
          <w:i w:val="0"/>
        </w:rPr>
        <w:t>cogetur.</w:t>
      </w:r>
      <w:r>
        <w:rPr>
          <w:b w:val="0"/>
          <w:i w:val="0"/>
        </w:rPr>
        <w:t xml:space="preserve"> </w:t>
      </w:r>
      <w:hyperlink w:anchor="latin-record-0173">
        <w:r>
          <w:rPr>
            <w:color w:val="000000"/>
          </w:rPr>
          <w:t xml:space="preserve">cogere / compellere</w:t>
        </w:r>
      </w:hyperlink>
      <w:r>
        <w:rPr>
          <w:b w:val="0"/>
          <w:i w:val="0"/>
        </w:rPr>
        <w:t>.</w:t>
      </w:r>
    </w:p>
    <w:p>
      <w:pPr>
        <w:widowControl/>
      </w:pPr>
      <w:r>
        <w:rPr>
          <w:b/>
          <w:i w:val="0"/>
        </w:rPr>
        <w:t>cogimur.</w:t>
      </w:r>
      <w:r>
        <w:rPr>
          <w:b w:val="0"/>
          <w:i w:val="0"/>
        </w:rPr>
        <w:t xml:space="preserve"> </w:t>
      </w:r>
      <w:hyperlink w:anchor="latin-record-0173">
        <w:r>
          <w:rPr>
            <w:color w:val="000000"/>
          </w:rPr>
          <w:t xml:space="preserve">cogere / compellere</w:t>
        </w:r>
      </w:hyperlink>
      <w:r>
        <w:rPr>
          <w:b w:val="0"/>
          <w:i w:val="0"/>
        </w:rPr>
        <w:t>.</w:t>
      </w:r>
    </w:p>
    <w:p>
      <w:pPr>
        <w:widowControl/>
      </w:pPr>
      <w:r>
        <w:rPr>
          <w:b/>
          <w:i w:val="0"/>
        </w:rPr>
        <w:t>cogit.</w:t>
      </w:r>
      <w:r>
        <w:rPr>
          <w:b w:val="0"/>
          <w:i w:val="0"/>
        </w:rPr>
        <w:t xml:space="preserve"> </w:t>
      </w:r>
      <w:hyperlink w:anchor="latin-record-0054">
        <w:r>
          <w:rPr>
            <w:color w:val="000000"/>
          </w:rPr>
          <w:t xml:space="preserve">allicere / cogere / persuadere</w:t>
        </w:r>
      </w:hyperlink>
      <w:r>
        <w:rPr>
          <w:b w:val="0"/>
          <w:i w:val="0"/>
        </w:rPr>
        <w:t>.</w:t>
      </w:r>
    </w:p>
    <w:p>
      <w:pPr>
        <w:widowControl/>
      </w:pPr>
      <w:r>
        <w:rPr>
          <w:b/>
          <w:i w:val="0"/>
        </w:rPr>
        <w:t>Cogitamus.</w:t>
      </w:r>
      <w:r>
        <w:rPr>
          <w:b w:val="0"/>
          <w:i w:val="0"/>
        </w:rPr>
        <w:t xml:space="preserve"> </w:t>
      </w:r>
      <w:hyperlink w:anchor="latin-record-0175">
        <w:r>
          <w:rPr>
            <w:color w:val="000000"/>
          </w:rPr>
          <w:t xml:space="preserve">cogitare / fingere / effingere</w:t>
        </w:r>
      </w:hyperlink>
      <w:r>
        <w:rPr>
          <w:b w:val="0"/>
          <w:i w:val="0"/>
        </w:rPr>
        <w:t>.</w:t>
      </w:r>
    </w:p>
    <w:p>
      <w:pPr>
        <w:widowControl/>
      </w:pPr>
      <w:r>
        <w:rPr>
          <w:b/>
          <w:i w:val="0"/>
        </w:rPr>
        <w:t>cogitamus.</w:t>
      </w:r>
      <w:r>
        <w:rPr>
          <w:b w:val="0"/>
          <w:i w:val="0"/>
        </w:rPr>
        <w:t xml:space="preserve"> </w:t>
      </w:r>
      <w:hyperlink w:anchor="latin-record-0175">
        <w:r>
          <w:rPr>
            <w:color w:val="000000"/>
          </w:rPr>
          <w:t xml:space="preserve">cogitare / fingere / effingere</w:t>
        </w:r>
      </w:hyperlink>
      <w:r>
        <w:rPr>
          <w:b w:val="0"/>
          <w:i w:val="0"/>
        </w:rPr>
        <w:t>.</w:t>
      </w:r>
    </w:p>
    <w:p>
      <w:pPr>
        <w:widowControl/>
      </w:pPr>
      <w:r>
        <w:rPr>
          <w:b/>
          <w:i w:val="0"/>
        </w:rPr>
        <w:t>cogitare.</w:t>
      </w:r>
      <w:r>
        <w:rPr>
          <w:b w:val="0"/>
          <w:i w:val="0"/>
        </w:rPr>
        <w:t xml:space="preserve"> </w:t>
      </w:r>
      <w:hyperlink w:anchor="latin-record-0175">
        <w:r>
          <w:rPr>
            <w:color w:val="000000"/>
          </w:rPr>
          <w:t xml:space="preserve">cogitare / fingere / effingere</w:t>
        </w:r>
      </w:hyperlink>
      <w:r>
        <w:rPr>
          <w:b w:val="0"/>
          <w:i w:val="0"/>
        </w:rPr>
        <w:t>.</w:t>
      </w:r>
    </w:p>
    <w:p>
      <w:pPr>
        <w:widowControl/>
      </w:pPr>
      <w:r>
        <w:rPr>
          <w:b/>
          <w:i w:val="0"/>
        </w:rPr>
        <w:t>cogitari.</w:t>
      </w:r>
      <w:r>
        <w:rPr>
          <w:b w:val="0"/>
          <w:i w:val="0"/>
        </w:rPr>
        <w:t xml:space="preserve"> </w:t>
      </w:r>
      <w:hyperlink w:anchor="latin-record-0175">
        <w:r>
          <w:rPr>
            <w:color w:val="000000"/>
          </w:rPr>
          <w:t xml:space="preserve">cogitare / fingere / effingere</w:t>
        </w:r>
      </w:hyperlink>
      <w:r>
        <w:rPr>
          <w:b w:val="0"/>
          <w:i w:val="0"/>
        </w:rPr>
        <w:t xml:space="preserve">; </w:t>
      </w:r>
      <w:hyperlink w:anchor="latin-record-0176">
        <w:r>
          <w:rPr>
            <w:color w:val="000000"/>
          </w:rPr>
          <w:t xml:space="preserve">cogito / esse</w:t>
        </w:r>
      </w:hyperlink>
      <w:r>
        <w:rPr>
          <w:b w:val="0"/>
          <w:i w:val="0"/>
        </w:rPr>
        <w:t>.</w:t>
      </w:r>
    </w:p>
    <w:p>
      <w:pPr>
        <w:widowControl/>
      </w:pPr>
      <w:r>
        <w:rPr>
          <w:b/>
          <w:i w:val="0"/>
        </w:rPr>
        <w:t>cogitat.</w:t>
      </w:r>
      <w:r>
        <w:rPr>
          <w:b w:val="0"/>
          <w:i w:val="0"/>
        </w:rPr>
        <w:t xml:space="preserve"> </w:t>
      </w:r>
      <w:hyperlink w:anchor="latin-record-0174">
        <w:r>
          <w:rPr>
            <w:color w:val="000000"/>
          </w:rPr>
          <w:t xml:space="preserve">cogitare / cogitatio</w:t>
        </w:r>
      </w:hyperlink>
      <w:r>
        <w:rPr>
          <w:b w:val="0"/>
          <w:i w:val="0"/>
        </w:rPr>
        <w:t>.</w:t>
      </w:r>
    </w:p>
    <w:p>
      <w:pPr>
        <w:widowControl/>
      </w:pPr>
      <w:r>
        <w:rPr>
          <w:b/>
          <w:i w:val="0"/>
        </w:rPr>
        <w:t>cogitatio.</w:t>
      </w:r>
      <w:r>
        <w:rPr>
          <w:b w:val="0"/>
          <w:i w:val="0"/>
        </w:rPr>
        <w:t xml:space="preserve"> </w:t>
      </w:r>
      <w:hyperlink w:anchor="latin-record-0174">
        <w:r>
          <w:rPr>
            <w:color w:val="000000"/>
          </w:rPr>
          <w:t xml:space="preserve">cogitare / cogitatio</w:t>
        </w:r>
      </w:hyperlink>
      <w:r>
        <w:rPr>
          <w:b w:val="0"/>
          <w:i w:val="0"/>
        </w:rPr>
        <w:t>.</w:t>
      </w:r>
    </w:p>
    <w:p>
      <w:pPr>
        <w:widowControl/>
      </w:pPr>
      <w:r>
        <w:rPr>
          <w:b/>
          <w:i w:val="0"/>
        </w:rPr>
        <w:t>cogitque.</w:t>
      </w:r>
      <w:r>
        <w:rPr>
          <w:b w:val="0"/>
          <w:i w:val="0"/>
        </w:rPr>
        <w:t xml:space="preserve"> </w:t>
      </w:r>
      <w:hyperlink w:anchor="latin-record-0173">
        <w:r>
          <w:rPr>
            <w:color w:val="000000"/>
          </w:rPr>
          <w:t xml:space="preserve">cogere / compellere</w:t>
        </w:r>
      </w:hyperlink>
      <w:r>
        <w:rPr>
          <w:b w:val="0"/>
          <w:i w:val="0"/>
        </w:rPr>
        <w:t>.</w:t>
      </w:r>
    </w:p>
    <w:p>
      <w:pPr>
        <w:widowControl/>
      </w:pPr>
      <w:r>
        <w:rPr>
          <w:b/>
          <w:i w:val="0"/>
        </w:rPr>
        <w:t>cogitur.</w:t>
      </w:r>
      <w:r>
        <w:rPr>
          <w:b w:val="0"/>
          <w:i w:val="0"/>
        </w:rPr>
        <w:t xml:space="preserve"> </w:t>
      </w:r>
      <w:hyperlink w:anchor="latin-record-0173">
        <w:r>
          <w:rPr>
            <w:color w:val="000000"/>
          </w:rPr>
          <w:t xml:space="preserve">cogere / compellere</w:t>
        </w:r>
      </w:hyperlink>
      <w:r>
        <w:rPr>
          <w:b w:val="0"/>
          <w:i w:val="0"/>
        </w:rPr>
        <w:t>.</w:t>
      </w:r>
    </w:p>
    <w:p>
      <w:pPr>
        <w:widowControl/>
      </w:pPr>
      <w:r>
        <w:rPr>
          <w:b/>
          <w:i w:val="0"/>
        </w:rPr>
        <w:t>cognatio.</w:t>
      </w:r>
      <w:r>
        <w:rPr>
          <w:b w:val="0"/>
          <w:i w:val="0"/>
        </w:rPr>
        <w:t xml:space="preserve"> </w:t>
      </w:r>
      <w:hyperlink w:anchor="latin-record-0177">
        <w:r>
          <w:rPr>
            <w:color w:val="000000"/>
          </w:rPr>
          <w:t xml:space="preserve">cognatio</w:t>
        </w:r>
      </w:hyperlink>
      <w:r>
        <w:rPr>
          <w:b w:val="0"/>
          <w:i w:val="0"/>
        </w:rPr>
        <w:t>.</w:t>
      </w:r>
    </w:p>
    <w:p>
      <w:pPr>
        <w:widowControl/>
      </w:pPr>
      <w:r>
        <w:rPr>
          <w:b/>
          <w:i w:val="0"/>
        </w:rPr>
        <w:t>cognatissima.</w:t>
      </w:r>
      <w:r>
        <w:rPr>
          <w:b w:val="0"/>
          <w:i w:val="0"/>
        </w:rPr>
        <w:t xml:space="preserve"> </w:t>
      </w:r>
      <w:hyperlink w:anchor="latin-record-0178">
        <w:r>
          <w:rPr>
            <w:color w:val="000000"/>
          </w:rPr>
          <w:t xml:space="preserve">cognatus</w:t>
        </w:r>
      </w:hyperlink>
      <w:r>
        <w:rPr>
          <w:b w:val="0"/>
          <w:i w:val="0"/>
        </w:rPr>
        <w:t>.</w:t>
      </w:r>
    </w:p>
    <w:p>
      <w:pPr>
        <w:widowControl/>
      </w:pPr>
      <w:r>
        <w:rPr>
          <w:b/>
          <w:i w:val="0"/>
        </w:rPr>
        <w:t>cognatius.</w:t>
      </w:r>
      <w:r>
        <w:rPr>
          <w:b w:val="0"/>
          <w:i w:val="0"/>
        </w:rPr>
        <w:t xml:space="preserve"> </w:t>
      </w:r>
      <w:hyperlink w:anchor="latin-record-0178">
        <w:r>
          <w:rPr>
            <w:color w:val="000000"/>
          </w:rPr>
          <w:t xml:space="preserve">cognatus</w:t>
        </w:r>
      </w:hyperlink>
      <w:r>
        <w:rPr>
          <w:b w:val="0"/>
          <w:i w:val="0"/>
        </w:rPr>
        <w:t>.</w:t>
      </w:r>
    </w:p>
    <w:p>
      <w:pPr>
        <w:widowControl/>
      </w:pPr>
      <w:r>
        <w:rPr>
          <w:b/>
          <w:i w:val="0"/>
        </w:rPr>
        <w:t>cogniti.</w:t>
      </w:r>
      <w:r>
        <w:rPr>
          <w:b w:val="0"/>
          <w:i w:val="0"/>
        </w:rPr>
        <w:t xml:space="preserve"> </w:t>
      </w:r>
      <w:hyperlink w:anchor="latin-record-0181">
        <w:r>
          <w:rPr>
            <w:color w:val="000000"/>
          </w:rPr>
          <w:t xml:space="preserve">cognosco / agnosco</w:t>
        </w:r>
      </w:hyperlink>
      <w:r>
        <w:rPr>
          <w:b w:val="0"/>
          <w:i w:val="0"/>
        </w:rPr>
        <w:t>.</w:t>
      </w:r>
    </w:p>
    <w:p>
      <w:pPr>
        <w:widowControl/>
      </w:pPr>
      <w:r>
        <w:rPr>
          <w:b/>
          <w:i w:val="0"/>
        </w:rPr>
        <w:t>cognitio.</w:t>
      </w:r>
      <w:r>
        <w:rPr>
          <w:b w:val="0"/>
          <w:i w:val="0"/>
        </w:rPr>
        <w:t xml:space="preserve"> </w:t>
      </w:r>
      <w:hyperlink w:anchor="latin-record-0179">
        <w:r>
          <w:rPr>
            <w:color w:val="000000"/>
          </w:rPr>
          <w:t xml:space="preserve">cognitio / intelligentia</w:t>
        </w:r>
      </w:hyperlink>
      <w:r>
        <w:rPr>
          <w:b w:val="0"/>
          <w:i w:val="0"/>
        </w:rPr>
        <w:t xml:space="preserve">; </w:t>
      </w:r>
      <w:hyperlink w:anchor="latin-record-0180">
        <w:r>
          <w:rPr>
            <w:color w:val="000000"/>
          </w:rPr>
          <w:t xml:space="preserve">cognoscere / cognitio</w:t>
        </w:r>
      </w:hyperlink>
      <w:r>
        <w:rPr>
          <w:b w:val="0"/>
          <w:i w:val="0"/>
        </w:rPr>
        <w:t>.</w:t>
      </w:r>
    </w:p>
    <w:p>
      <w:pPr>
        <w:widowControl/>
      </w:pPr>
      <w:r>
        <w:rPr>
          <w:b/>
          <w:i w:val="0"/>
        </w:rPr>
        <w:t>cognitionem.</w:t>
      </w:r>
      <w:r>
        <w:rPr>
          <w:b w:val="0"/>
          <w:i w:val="0"/>
        </w:rPr>
        <w:t xml:space="preserve"> </w:t>
      </w:r>
      <w:hyperlink w:anchor="latin-record-0180">
        <w:r>
          <w:rPr>
            <w:color w:val="000000"/>
          </w:rPr>
          <w:t xml:space="preserve">cognoscere / cognitio</w:t>
        </w:r>
      </w:hyperlink>
      <w:r>
        <w:rPr>
          <w:b w:val="0"/>
          <w:i w:val="0"/>
        </w:rPr>
        <w:t>.</w:t>
      </w:r>
    </w:p>
    <w:p>
      <w:pPr>
        <w:widowControl/>
      </w:pPr>
      <w:r>
        <w:rPr>
          <w:b/>
          <w:i w:val="0"/>
        </w:rPr>
        <w:t>cognoscat.</w:t>
      </w:r>
      <w:r>
        <w:rPr>
          <w:b w:val="0"/>
          <w:i w:val="0"/>
        </w:rPr>
        <w:t xml:space="preserve"> </w:t>
      </w:r>
      <w:hyperlink w:anchor="latin-record-0181">
        <w:r>
          <w:rPr>
            <w:color w:val="000000"/>
          </w:rPr>
          <w:t xml:space="preserve">cognosco / agnosco</w:t>
        </w:r>
      </w:hyperlink>
      <w:r>
        <w:rPr>
          <w:b w:val="0"/>
          <w:i w:val="0"/>
        </w:rPr>
        <w:t>.</w:t>
      </w:r>
    </w:p>
    <w:p>
      <w:pPr>
        <w:widowControl/>
      </w:pPr>
      <w:r>
        <w:rPr>
          <w:b/>
          <w:i w:val="0"/>
        </w:rPr>
        <w:t>cognoscere.</w:t>
      </w:r>
      <w:r>
        <w:rPr>
          <w:b w:val="0"/>
          <w:i w:val="0"/>
        </w:rPr>
        <w:t xml:space="preserve"> </w:t>
      </w:r>
      <w:hyperlink w:anchor="latin-record-0181">
        <w:r>
          <w:rPr>
            <w:color w:val="000000"/>
          </w:rPr>
          <w:t xml:space="preserve">cognosco / agnosco</w:t>
        </w:r>
      </w:hyperlink>
      <w:r>
        <w:rPr>
          <w:b w:val="0"/>
          <w:i w:val="0"/>
        </w:rPr>
        <w:t>.</w:t>
      </w:r>
    </w:p>
    <w:p>
      <w:pPr>
        <w:widowControl/>
      </w:pPr>
      <w:r>
        <w:rPr>
          <w:b/>
          <w:i w:val="0"/>
        </w:rPr>
        <w:t>cognoscit.</w:t>
      </w:r>
      <w:r>
        <w:rPr>
          <w:b w:val="0"/>
          <w:i w:val="0"/>
        </w:rPr>
        <w:t xml:space="preserve"> </w:t>
      </w:r>
      <w:hyperlink w:anchor="latin-record-0180">
        <w:r>
          <w:rPr>
            <w:color w:val="000000"/>
          </w:rPr>
          <w:t xml:space="preserve">cognoscere / cognitio</w:t>
        </w:r>
      </w:hyperlink>
      <w:r>
        <w:rPr>
          <w:b w:val="0"/>
          <w:i w:val="0"/>
        </w:rPr>
        <w:t xml:space="preserve">; </w:t>
      </w:r>
      <w:hyperlink w:anchor="latin-record-0770">
        <w:r>
          <w:rPr>
            <w:color w:val="000000"/>
          </w:rPr>
          <w:t xml:space="preserve">noscere / cognoscere / dinoscere</w:t>
        </w:r>
      </w:hyperlink>
      <w:r>
        <w:rPr>
          <w:b w:val="0"/>
          <w:i w:val="0"/>
        </w:rPr>
        <w:t>.</w:t>
      </w:r>
    </w:p>
    <w:p>
      <w:pPr>
        <w:widowControl/>
      </w:pPr>
      <w:r>
        <w:rPr>
          <w:b/>
          <w:i w:val="0"/>
        </w:rPr>
        <w:t>Cognoscit.</w:t>
      </w:r>
      <w:r>
        <w:rPr>
          <w:b w:val="0"/>
          <w:i w:val="0"/>
        </w:rPr>
        <w:t xml:space="preserve"> </w:t>
      </w:r>
      <w:hyperlink w:anchor="latin-record-0180">
        <w:r>
          <w:rPr>
            <w:color w:val="000000"/>
          </w:rPr>
          <w:t xml:space="preserve">cognoscere / cognitio</w:t>
        </w:r>
      </w:hyperlink>
      <w:r>
        <w:rPr>
          <w:b w:val="0"/>
          <w:i w:val="0"/>
        </w:rPr>
        <w:t xml:space="preserve">; </w:t>
      </w:r>
      <w:hyperlink w:anchor="latin-record-0770">
        <w:r>
          <w:rPr>
            <w:color w:val="000000"/>
          </w:rPr>
          <w:t xml:space="preserve">noscere / cognoscere / dinoscere</w:t>
        </w:r>
      </w:hyperlink>
      <w:r>
        <w:rPr>
          <w:b w:val="0"/>
          <w:i w:val="0"/>
        </w:rPr>
        <w:t>.</w:t>
      </w:r>
    </w:p>
    <w:p>
      <w:pPr>
        <w:widowControl/>
      </w:pPr>
      <w:r>
        <w:rPr>
          <w:b/>
          <w:i w:val="0"/>
        </w:rPr>
        <w:t>cohiberi.</w:t>
      </w:r>
      <w:r>
        <w:rPr>
          <w:b w:val="0"/>
          <w:i w:val="0"/>
        </w:rPr>
        <w:t xml:space="preserve"> </w:t>
      </w:r>
      <w:hyperlink w:anchor="latin-record-0182">
        <w:r>
          <w:rPr>
            <w:color w:val="000000"/>
          </w:rPr>
          <w:t xml:space="preserve">cohibere / detinere</w:t>
        </w:r>
      </w:hyperlink>
      <w:r>
        <w:rPr>
          <w:b w:val="0"/>
          <w:i w:val="0"/>
        </w:rPr>
        <w:t>.</w:t>
      </w:r>
    </w:p>
    <w:p>
      <w:pPr>
        <w:widowControl/>
      </w:pPr>
      <w:r>
        <w:rPr>
          <w:b/>
          <w:i w:val="0"/>
        </w:rPr>
        <w:t>cohibetur.</w:t>
      </w:r>
      <w:r>
        <w:rPr>
          <w:b w:val="0"/>
          <w:i w:val="0"/>
        </w:rPr>
        <w:t xml:space="preserve"> </w:t>
      </w:r>
      <w:hyperlink w:anchor="latin-record-0182">
        <w:r>
          <w:rPr>
            <w:color w:val="000000"/>
          </w:rPr>
          <w:t xml:space="preserve">cohibere / detinere</w:t>
        </w:r>
      </w:hyperlink>
      <w:r>
        <w:rPr>
          <w:b w:val="0"/>
          <w:i w:val="0"/>
        </w:rPr>
        <w:t>.</w:t>
      </w:r>
    </w:p>
    <w:p>
      <w:pPr>
        <w:widowControl/>
      </w:pPr>
      <w:r>
        <w:rPr>
          <w:b/>
          <w:i w:val="0"/>
        </w:rPr>
        <w:t>colamus.</w:t>
      </w:r>
      <w:r>
        <w:rPr>
          <w:b w:val="0"/>
          <w:i w:val="0"/>
        </w:rPr>
        <w:t xml:space="preserve"> </w:t>
      </w:r>
      <w:hyperlink w:anchor="latin-record-0189">
        <w:r>
          <w:rPr>
            <w:color w:val="000000"/>
          </w:rPr>
          <w:t xml:space="preserve">colo / cultus</w:t>
        </w:r>
      </w:hyperlink>
      <w:r>
        <w:rPr>
          <w:b w:val="0"/>
          <w:i w:val="0"/>
        </w:rPr>
        <w:t>.</w:t>
      </w:r>
    </w:p>
    <w:p>
      <w:pPr>
        <w:widowControl/>
      </w:pPr>
      <w:r>
        <w:rPr>
          <w:b/>
          <w:i w:val="0"/>
        </w:rPr>
        <w:t>colat.</w:t>
      </w:r>
      <w:r>
        <w:rPr>
          <w:b w:val="0"/>
          <w:i w:val="0"/>
        </w:rPr>
        <w:t xml:space="preserve"> </w:t>
      </w:r>
      <w:hyperlink w:anchor="latin-record-0189">
        <w:r>
          <w:rPr>
            <w:color w:val="000000"/>
          </w:rPr>
          <w:t xml:space="preserve">colo / cultus</w:t>
        </w:r>
      </w:hyperlink>
      <w:r>
        <w:rPr>
          <w:b w:val="0"/>
          <w:i w:val="0"/>
        </w:rPr>
        <w:t>.</w:t>
      </w:r>
    </w:p>
    <w:p>
      <w:pPr>
        <w:widowControl/>
      </w:pPr>
      <w:r>
        <w:rPr>
          <w:b/>
          <w:i w:val="0"/>
        </w:rPr>
        <w:t>colligantur.</w:t>
      </w:r>
      <w:r>
        <w:rPr>
          <w:b w:val="0"/>
          <w:i w:val="0"/>
        </w:rPr>
        <w:t xml:space="preserve"> </w:t>
      </w:r>
      <w:hyperlink w:anchor="latin-record-0241">
        <w:r>
          <w:rPr>
            <w:color w:val="000000"/>
          </w:rPr>
          <w:t xml:space="preserve">connectere / copulare / colligare</w:t>
        </w:r>
      </w:hyperlink>
      <w:r>
        <w:rPr>
          <w:b w:val="0"/>
          <w:i w:val="0"/>
        </w:rPr>
        <w:t>.</w:t>
      </w:r>
    </w:p>
    <w:p>
      <w:pPr>
        <w:widowControl/>
      </w:pPr>
      <w:r>
        <w:rPr>
          <w:b/>
          <w:i w:val="0"/>
        </w:rPr>
        <w:t>collige.</w:t>
      </w:r>
      <w:r>
        <w:rPr>
          <w:b w:val="0"/>
          <w:i w:val="0"/>
        </w:rPr>
        <w:t xml:space="preserve"> </w:t>
      </w:r>
      <w:hyperlink w:anchor="latin-record-0183">
        <w:r>
          <w:rPr>
            <w:color w:val="000000"/>
          </w:rPr>
          <w:t xml:space="preserve">collige</w:t>
        </w:r>
      </w:hyperlink>
      <w:r>
        <w:rPr>
          <w:b w:val="0"/>
          <w:i w:val="0"/>
        </w:rPr>
        <w:t xml:space="preserve">; </w:t>
      </w:r>
      <w:hyperlink w:anchor="latin-record-1033">
        <w:r>
          <w:rPr>
            <w:color w:val="000000"/>
          </w:rPr>
          <w:t xml:space="preserve">redigere / colligere / referre</w:t>
        </w:r>
      </w:hyperlink>
      <w:r>
        <w:rPr>
          <w:b w:val="0"/>
          <w:i w:val="0"/>
        </w:rPr>
        <w:t>.</w:t>
      </w:r>
    </w:p>
    <w:p>
      <w:pPr>
        <w:widowControl/>
      </w:pPr>
      <w:r>
        <w:rPr>
          <w:b/>
          <w:i w:val="0"/>
        </w:rPr>
        <w:t>colligenda.</w:t>
      </w:r>
      <w:r>
        <w:rPr>
          <w:b w:val="0"/>
          <w:i w:val="0"/>
        </w:rPr>
        <w:t xml:space="preserve"> </w:t>
      </w:r>
      <w:hyperlink w:anchor="latin-record-0184">
        <w:r>
          <w:rPr>
            <w:color w:val="000000"/>
          </w:rPr>
          <w:t xml:space="preserve">colligere / reducere</w:t>
        </w:r>
      </w:hyperlink>
      <w:r>
        <w:rPr>
          <w:b w:val="0"/>
          <w:i w:val="0"/>
        </w:rPr>
        <w:t>.</w:t>
      </w:r>
    </w:p>
    <w:p>
      <w:pPr>
        <w:widowControl/>
      </w:pPr>
      <w:r>
        <w:rPr>
          <w:b/>
          <w:i w:val="0"/>
        </w:rPr>
        <w:t>colligitur.</w:t>
      </w:r>
      <w:r>
        <w:rPr>
          <w:b w:val="0"/>
          <w:i w:val="0"/>
        </w:rPr>
        <w:t xml:space="preserve"> </w:t>
      </w:r>
      <w:hyperlink w:anchor="latin-record-0223">
        <w:r>
          <w:rPr>
            <w:color w:val="000000"/>
          </w:rPr>
          <w:t xml:space="preserve">concludere / colligere</w:t>
        </w:r>
      </w:hyperlink>
      <w:r>
        <w:rPr>
          <w:b w:val="0"/>
          <w:i w:val="0"/>
        </w:rPr>
        <w:t>.</w:t>
      </w:r>
    </w:p>
    <w:p>
      <w:pPr>
        <w:widowControl/>
      </w:pPr>
      <w:r>
        <w:rPr>
          <w:b/>
          <w:i w:val="0"/>
        </w:rPr>
        <w:t>collisione.</w:t>
      </w:r>
      <w:r>
        <w:rPr>
          <w:b w:val="0"/>
          <w:i w:val="0"/>
        </w:rPr>
        <w:t xml:space="preserve"> </w:t>
      </w:r>
      <w:hyperlink w:anchor="latin-record-0185">
        <w:r>
          <w:rPr>
            <w:color w:val="000000"/>
          </w:rPr>
          <w:t xml:space="preserve">collisio</w:t>
        </w:r>
      </w:hyperlink>
      <w:r>
        <w:rPr>
          <w:b w:val="0"/>
          <w:i w:val="0"/>
        </w:rPr>
        <w:t xml:space="preserve">; </w:t>
      </w:r>
      <w:hyperlink w:anchor="latin-record-0186">
        <w:r>
          <w:rPr>
            <w:color w:val="000000"/>
          </w:rPr>
          <w:t xml:space="preserve">collisio / reflexio / lana</w:t>
        </w:r>
      </w:hyperlink>
      <w:r>
        <w:rPr>
          <w:b w:val="0"/>
          <w:i w:val="0"/>
        </w:rPr>
        <w:t>.</w:t>
      </w:r>
    </w:p>
    <w:p>
      <w:pPr>
        <w:widowControl/>
      </w:pPr>
      <w:r>
        <w:rPr>
          <w:b/>
          <w:i w:val="0"/>
        </w:rPr>
        <w:t>collocare.</w:t>
      </w:r>
      <w:r>
        <w:rPr>
          <w:b w:val="0"/>
          <w:i w:val="0"/>
        </w:rPr>
        <w:t xml:space="preserve"> </w:t>
      </w:r>
      <w:hyperlink w:anchor="latin-record-0187">
        <w:r>
          <w:rPr>
            <w:color w:val="000000"/>
          </w:rPr>
          <w:t xml:space="preserve">collocare</w:t>
        </w:r>
      </w:hyperlink>
      <w:r>
        <w:rPr>
          <w:b w:val="0"/>
          <w:i w:val="0"/>
        </w:rPr>
        <w:t>.</w:t>
      </w:r>
    </w:p>
    <w:p>
      <w:pPr>
        <w:widowControl/>
      </w:pPr>
      <w:r>
        <w:rPr>
          <w:b/>
          <w:i w:val="0"/>
        </w:rPr>
        <w:t>collocari.</w:t>
      </w:r>
      <w:r>
        <w:rPr>
          <w:b w:val="0"/>
          <w:i w:val="0"/>
        </w:rPr>
        <w:t xml:space="preserve"> </w:t>
      </w:r>
      <w:hyperlink w:anchor="latin-record-0187">
        <w:r>
          <w:rPr>
            <w:color w:val="000000"/>
          </w:rPr>
          <w:t xml:space="preserve">collocare</w:t>
        </w:r>
      </w:hyperlink>
      <w:r>
        <w:rPr>
          <w:b w:val="0"/>
          <w:i w:val="0"/>
        </w:rPr>
        <w:t>.</w:t>
      </w:r>
    </w:p>
    <w:p>
      <w:pPr>
        <w:widowControl/>
      </w:pPr>
      <w:r>
        <w:rPr>
          <w:b/>
          <w:i w:val="0"/>
        </w:rPr>
        <w:t>collocavimus.</w:t>
      </w:r>
      <w:r>
        <w:rPr>
          <w:b w:val="0"/>
          <w:i w:val="0"/>
        </w:rPr>
        <w:t xml:space="preserve"> </w:t>
      </w:r>
      <w:hyperlink w:anchor="latin-record-0188">
        <w:r>
          <w:rPr>
            <w:color w:val="000000"/>
          </w:rPr>
          <w:t xml:space="preserve">collocare / assignare</w:t>
        </w:r>
      </w:hyperlink>
      <w:r>
        <w:rPr>
          <w:b w:val="0"/>
          <w:i w:val="0"/>
        </w:rPr>
        <w:t>.</w:t>
      </w:r>
    </w:p>
    <w:p>
      <w:pPr>
        <w:widowControl/>
      </w:pPr>
      <w:r>
        <w:rPr>
          <w:b/>
          <w:i w:val="0"/>
        </w:rPr>
        <w:t>color.</w:t>
      </w:r>
      <w:r>
        <w:rPr>
          <w:b w:val="0"/>
          <w:i w:val="0"/>
        </w:rPr>
        <w:t xml:space="preserve"> </w:t>
      </w:r>
      <w:hyperlink w:anchor="latin-record-0190">
        <w:r>
          <w:rPr>
            <w:color w:val="000000"/>
          </w:rPr>
          <w:t xml:space="preserve">color / lumen</w:t>
        </w:r>
      </w:hyperlink>
      <w:r>
        <w:rPr>
          <w:b w:val="0"/>
          <w:i w:val="0"/>
        </w:rPr>
        <w:t>.</w:t>
      </w:r>
    </w:p>
    <w:p>
      <w:pPr>
        <w:widowControl/>
      </w:pPr>
      <w:r>
        <w:rPr>
          <w:b/>
          <w:i w:val="0"/>
        </w:rPr>
        <w:t>colorem.</w:t>
      </w:r>
      <w:r>
        <w:rPr>
          <w:b w:val="0"/>
          <w:i w:val="0"/>
        </w:rPr>
        <w:t xml:space="preserve"> </w:t>
      </w:r>
      <w:hyperlink w:anchor="latin-record-1110">
        <w:r>
          <w:rPr>
            <w:color w:val="000000"/>
          </w:rPr>
          <w:t xml:space="preserve">simulacrum / color</w:t>
        </w:r>
      </w:hyperlink>
      <w:r>
        <w:rPr>
          <w:b w:val="0"/>
          <w:i w:val="0"/>
        </w:rPr>
        <w:t>.</w:t>
      </w:r>
    </w:p>
    <w:p>
      <w:pPr>
        <w:widowControl/>
      </w:pPr>
      <w:r>
        <w:rPr>
          <w:b/>
          <w:i w:val="0"/>
        </w:rPr>
        <w:t>coloribus.</w:t>
      </w:r>
      <w:r>
        <w:rPr>
          <w:b w:val="0"/>
          <w:i w:val="0"/>
        </w:rPr>
        <w:t xml:space="preserve"> </w:t>
      </w:r>
      <w:hyperlink w:anchor="latin-record-1181">
        <w:r>
          <w:rPr>
            <w:color w:val="000000"/>
          </w:rPr>
          <w:t xml:space="preserve">tabula / pingere / color</w:t>
        </w:r>
      </w:hyperlink>
      <w:r>
        <w:rPr>
          <w:b w:val="0"/>
          <w:i w:val="0"/>
        </w:rPr>
        <w:t>.</w:t>
      </w:r>
    </w:p>
    <w:p>
      <w:pPr>
        <w:widowControl/>
      </w:pPr>
      <w:r>
        <w:rPr>
          <w:b/>
          <w:i w:val="0"/>
        </w:rPr>
        <w:t>colorum.</w:t>
      </w:r>
      <w:r>
        <w:rPr>
          <w:b w:val="0"/>
          <w:i w:val="0"/>
        </w:rPr>
        <w:t xml:space="preserve"> </w:t>
      </w:r>
      <w:hyperlink w:anchor="latin-record-1110">
        <w:r>
          <w:rPr>
            <w:color w:val="000000"/>
          </w:rPr>
          <w:t xml:space="preserve">simulacrum / color</w:t>
        </w:r>
      </w:hyperlink>
      <w:r>
        <w:rPr>
          <w:b w:val="0"/>
          <w:i w:val="0"/>
        </w:rPr>
        <w:t>.</w:t>
      </w:r>
    </w:p>
    <w:p>
      <w:pPr>
        <w:widowControl/>
      </w:pPr>
      <w:r>
        <w:rPr>
          <w:b/>
          <w:i w:val="0"/>
        </w:rPr>
        <w:t>comburendum.</w:t>
      </w:r>
      <w:r>
        <w:rPr>
          <w:b w:val="0"/>
          <w:i w:val="0"/>
        </w:rPr>
        <w:t xml:space="preserve"> </w:t>
      </w:r>
      <w:hyperlink w:anchor="latin-record-0191">
        <w:r>
          <w:rPr>
            <w:color w:val="000000"/>
          </w:rPr>
          <w:t xml:space="preserve">comburere / calefacere</w:t>
        </w:r>
      </w:hyperlink>
      <w:r>
        <w:rPr>
          <w:b w:val="0"/>
          <w:i w:val="0"/>
        </w:rPr>
        <w:t xml:space="preserve">; </w:t>
      </w:r>
      <w:hyperlink w:anchor="latin-record-0472">
        <w:r>
          <w:rPr>
            <w:color w:val="000000"/>
          </w:rPr>
          <w:t xml:space="preserve">frigefacio / calefacio / uro</w:t>
        </w:r>
      </w:hyperlink>
      <w:r>
        <w:rPr>
          <w:b w:val="0"/>
          <w:i w:val="0"/>
        </w:rPr>
        <w:t>.</w:t>
      </w:r>
    </w:p>
    <w:p>
      <w:pPr>
        <w:widowControl/>
      </w:pPr>
      <w:r>
        <w:rPr>
          <w:b/>
          <w:i w:val="0"/>
        </w:rPr>
        <w:t>comes.</w:t>
      </w:r>
      <w:r>
        <w:rPr>
          <w:b w:val="0"/>
          <w:i w:val="0"/>
        </w:rPr>
        <w:t xml:space="preserve"> </w:t>
      </w:r>
      <w:hyperlink w:anchor="latin-record-0192">
        <w:r>
          <w:rPr>
            <w:color w:val="000000"/>
          </w:rPr>
          <w:t xml:space="preserve">comes</w:t>
        </w:r>
      </w:hyperlink>
      <w:r>
        <w:rPr>
          <w:b w:val="0"/>
          <w:i w:val="0"/>
        </w:rPr>
        <w:t xml:space="preserve">; </w:t>
      </w:r>
      <w:hyperlink w:anchor="latin-record-0346">
        <w:r>
          <w:rPr>
            <w:color w:val="000000"/>
          </w:rPr>
          <w:t xml:space="preserve">domina / comes</w:t>
        </w:r>
      </w:hyperlink>
      <w:r>
        <w:rPr>
          <w:b w:val="0"/>
          <w:i w:val="0"/>
        </w:rPr>
        <w:t>.</w:t>
      </w:r>
    </w:p>
    <w:p>
      <w:pPr>
        <w:widowControl/>
      </w:pPr>
      <w:r>
        <w:rPr>
          <w:b/>
          <w:i w:val="0"/>
        </w:rPr>
        <w:t>comitantur.</w:t>
      </w:r>
      <w:r>
        <w:rPr>
          <w:b w:val="0"/>
          <w:i w:val="0"/>
        </w:rPr>
        <w:t xml:space="preserve"> </w:t>
      </w:r>
      <w:hyperlink w:anchor="latin-record-0193">
        <w:r>
          <w:rPr>
            <w:color w:val="000000"/>
          </w:rPr>
          <w:t xml:space="preserve">comitari / contingere</w:t>
        </w:r>
      </w:hyperlink>
      <w:r>
        <w:rPr>
          <w:b w:val="0"/>
          <w:i w:val="0"/>
        </w:rPr>
        <w:t>.</w:t>
      </w:r>
    </w:p>
    <w:p>
      <w:pPr>
        <w:widowControl/>
      </w:pPr>
      <w:r>
        <w:rPr>
          <w:b/>
          <w:i w:val="0"/>
        </w:rPr>
        <w:t>commigrare.</w:t>
      </w:r>
      <w:r>
        <w:rPr>
          <w:b w:val="0"/>
          <w:i w:val="0"/>
        </w:rPr>
        <w:t xml:space="preserve"> </w:t>
      </w:r>
      <w:hyperlink w:anchor="latin-record-0194">
        <w:r>
          <w:rPr>
            <w:color w:val="000000"/>
          </w:rPr>
          <w:t xml:space="preserve">commigro</w:t>
        </w:r>
      </w:hyperlink>
      <w:r>
        <w:rPr>
          <w:b w:val="0"/>
          <w:i w:val="0"/>
        </w:rPr>
        <w:t>.</w:t>
      </w:r>
    </w:p>
    <w:p>
      <w:pPr>
        <w:widowControl/>
      </w:pPr>
      <w:r>
        <w:rPr>
          <w:b/>
          <w:i w:val="0"/>
        </w:rPr>
        <w:t>commiscetur.</w:t>
      </w:r>
      <w:r>
        <w:rPr>
          <w:b w:val="0"/>
          <w:i w:val="0"/>
        </w:rPr>
        <w:t xml:space="preserve"> </w:t>
      </w:r>
      <w:hyperlink w:anchor="latin-record-0195">
        <w:r>
          <w:rPr>
            <w:color w:val="000000"/>
          </w:rPr>
          <w:t xml:space="preserve">commiscere / mixtio</w:t>
        </w:r>
      </w:hyperlink>
      <w:r>
        <w:rPr>
          <w:b w:val="0"/>
          <w:i w:val="0"/>
        </w:rPr>
        <w:t>.</w:t>
      </w:r>
    </w:p>
    <w:p>
      <w:pPr>
        <w:widowControl/>
      </w:pPr>
      <w:r>
        <w:rPr>
          <w:b/>
          <w:i w:val="0"/>
        </w:rPr>
        <w:t>commixtione.</w:t>
      </w:r>
      <w:r>
        <w:rPr>
          <w:b w:val="0"/>
          <w:i w:val="0"/>
        </w:rPr>
        <w:t xml:space="preserve"> </w:t>
      </w:r>
      <w:hyperlink w:anchor="latin-record-0195">
        <w:r>
          <w:rPr>
            <w:color w:val="000000"/>
          </w:rPr>
          <w:t xml:space="preserve">commiscere / mixtio</w:t>
        </w:r>
      </w:hyperlink>
      <w:r>
        <w:rPr>
          <w:b w:val="0"/>
          <w:i w:val="0"/>
        </w:rPr>
        <w:t>.</w:t>
      </w:r>
    </w:p>
    <w:p>
      <w:pPr>
        <w:widowControl/>
      </w:pPr>
      <w:r>
        <w:rPr>
          <w:b/>
          <w:i w:val="0"/>
        </w:rPr>
        <w:t>commodum.</w:t>
      </w:r>
      <w:r>
        <w:rPr>
          <w:b w:val="0"/>
          <w:i w:val="0"/>
        </w:rPr>
        <w:t xml:space="preserve"> </w:t>
      </w:r>
      <w:hyperlink w:anchor="latin-record-0196">
        <w:r>
          <w:rPr>
            <w:color w:val="000000"/>
          </w:rPr>
          <w:t xml:space="preserve">commodum / apparens</w:t>
        </w:r>
      </w:hyperlink>
      <w:r>
        <w:rPr>
          <w:b w:val="0"/>
          <w:i w:val="0"/>
        </w:rPr>
        <w:t>.</w:t>
      </w:r>
    </w:p>
    <w:p>
      <w:pPr>
        <w:widowControl/>
      </w:pPr>
      <w:r>
        <w:rPr>
          <w:b/>
          <w:i w:val="0"/>
        </w:rPr>
        <w:t>commoniti.</w:t>
      </w:r>
      <w:r>
        <w:rPr>
          <w:b w:val="0"/>
          <w:i w:val="0"/>
        </w:rPr>
        <w:t xml:space="preserve"> </w:t>
      </w:r>
      <w:hyperlink w:anchor="latin-record-0026">
        <w:r>
          <w:rPr>
            <w:color w:val="000000"/>
          </w:rPr>
          <w:t xml:space="preserve">adhortor / admoneo</w:t>
        </w:r>
      </w:hyperlink>
      <w:r>
        <w:rPr>
          <w:b w:val="0"/>
          <w:i w:val="0"/>
        </w:rPr>
        <w:t>.</w:t>
      </w:r>
    </w:p>
    <w:p>
      <w:pPr>
        <w:widowControl/>
      </w:pPr>
      <w:r>
        <w:rPr>
          <w:b/>
          <w:i w:val="0"/>
        </w:rPr>
        <w:t>commune.</w:t>
      </w:r>
      <w:r>
        <w:rPr>
          <w:b w:val="0"/>
          <w:i w:val="0"/>
        </w:rPr>
        <w:t xml:space="preserve"> </w:t>
      </w:r>
      <w:hyperlink w:anchor="latin-record-0197">
        <w:r>
          <w:rPr>
            <w:color w:val="000000"/>
          </w:rPr>
          <w:t xml:space="preserve">commune / totum in singulis</w:t>
        </w:r>
      </w:hyperlink>
      <w:r>
        <w:rPr>
          <w:b w:val="0"/>
          <w:i w:val="0"/>
        </w:rPr>
        <w:t xml:space="preserve">; </w:t>
      </w:r>
      <w:hyperlink w:anchor="latin-record-0201">
        <w:r>
          <w:rPr>
            <w:color w:val="000000"/>
          </w:rPr>
          <w:t xml:space="preserve">communis</w:t>
        </w:r>
      </w:hyperlink>
      <w:r>
        <w:rPr>
          <w:b w:val="0"/>
          <w:i w:val="0"/>
        </w:rPr>
        <w:t>.</w:t>
      </w:r>
    </w:p>
    <w:p>
      <w:pPr>
        <w:widowControl/>
      </w:pPr>
      <w:r>
        <w:rPr>
          <w:b/>
          <w:i w:val="0"/>
        </w:rPr>
        <w:t>communem.</w:t>
      </w:r>
      <w:r>
        <w:rPr>
          <w:b w:val="0"/>
          <w:i w:val="0"/>
        </w:rPr>
        <w:t xml:space="preserve"> </w:t>
      </w:r>
      <w:hyperlink w:anchor="latin-record-0201">
        <w:r>
          <w:rPr>
            <w:color w:val="000000"/>
          </w:rPr>
          <w:t xml:space="preserve">communis</w:t>
        </w:r>
      </w:hyperlink>
      <w:r>
        <w:rPr>
          <w:b w:val="0"/>
          <w:i w:val="0"/>
        </w:rPr>
        <w:t xml:space="preserve">; </w:t>
      </w:r>
      <w:hyperlink w:anchor="latin-record-0964">
        <w:r>
          <w:rPr>
            <w:color w:val="000000"/>
          </w:rPr>
          <w:t xml:space="preserve">proprius / communis / posterior</w:t>
        </w:r>
      </w:hyperlink>
      <w:r>
        <w:rPr>
          <w:b w:val="0"/>
          <w:i w:val="0"/>
        </w:rPr>
        <w:t>.</w:t>
      </w:r>
    </w:p>
    <w:p>
      <w:pPr>
        <w:widowControl/>
      </w:pPr>
      <w:r>
        <w:rPr>
          <w:b/>
          <w:i w:val="0"/>
        </w:rPr>
        <w:t>communes.</w:t>
      </w:r>
      <w:r>
        <w:rPr>
          <w:b w:val="0"/>
          <w:i w:val="0"/>
        </w:rPr>
        <w:t xml:space="preserve"> </w:t>
      </w:r>
      <w:hyperlink w:anchor="latin-record-0963">
        <w:r>
          <w:rPr>
            <w:color w:val="000000"/>
          </w:rPr>
          <w:t xml:space="preserve">proprius / communis</w:t>
        </w:r>
      </w:hyperlink>
      <w:r>
        <w:rPr>
          <w:b w:val="0"/>
          <w:i w:val="0"/>
        </w:rPr>
        <w:t>.</w:t>
      </w:r>
    </w:p>
    <w:p>
      <w:pPr>
        <w:widowControl/>
      </w:pPr>
      <w:r>
        <w:rPr>
          <w:b/>
          <w:i w:val="0"/>
        </w:rPr>
        <w:t>communi.</w:t>
      </w:r>
      <w:r>
        <w:rPr>
          <w:b w:val="0"/>
          <w:i w:val="0"/>
        </w:rPr>
        <w:t xml:space="preserve"> </w:t>
      </w:r>
      <w:hyperlink w:anchor="latin-record-0201">
        <w:r>
          <w:rPr>
            <w:color w:val="000000"/>
          </w:rPr>
          <w:t xml:space="preserve">communis</w:t>
        </w:r>
      </w:hyperlink>
      <w:r>
        <w:rPr>
          <w:b w:val="0"/>
          <w:i w:val="0"/>
        </w:rPr>
        <w:t xml:space="preserve">; </w:t>
      </w:r>
      <w:hyperlink w:anchor="latin-record-0963">
        <w:r>
          <w:rPr>
            <w:color w:val="000000"/>
          </w:rPr>
          <w:t xml:space="preserve">proprius / communis</w:t>
        </w:r>
      </w:hyperlink>
      <w:r>
        <w:rPr>
          <w:b w:val="0"/>
          <w:i w:val="0"/>
        </w:rPr>
        <w:t>.</w:t>
      </w:r>
    </w:p>
    <w:p>
      <w:pPr>
        <w:widowControl/>
      </w:pPr>
      <w:r>
        <w:rPr>
          <w:b/>
          <w:i w:val="0"/>
        </w:rPr>
        <w:t>communicandam.</w:t>
      </w:r>
      <w:r>
        <w:rPr>
          <w:b w:val="0"/>
          <w:i w:val="0"/>
        </w:rPr>
        <w:t xml:space="preserve"> </w:t>
      </w:r>
      <w:hyperlink w:anchor="latin-record-0198">
        <w:r>
          <w:rPr>
            <w:color w:val="000000"/>
          </w:rPr>
          <w:t xml:space="preserve">communicare</w:t>
        </w:r>
      </w:hyperlink>
      <w:r>
        <w:rPr>
          <w:b w:val="0"/>
          <w:i w:val="0"/>
        </w:rPr>
        <w:t>.</w:t>
      </w:r>
    </w:p>
    <w:p>
      <w:pPr>
        <w:widowControl/>
      </w:pPr>
      <w:r>
        <w:rPr>
          <w:b/>
          <w:i w:val="0"/>
        </w:rPr>
        <w:t>communicant.</w:t>
      </w:r>
      <w:r>
        <w:rPr>
          <w:b w:val="0"/>
          <w:i w:val="0"/>
        </w:rPr>
        <w:t xml:space="preserve"> </w:t>
      </w:r>
      <w:hyperlink w:anchor="latin-record-0199">
        <w:r>
          <w:rPr>
            <w:color w:val="000000"/>
          </w:rPr>
          <w:t xml:space="preserve">communicare — imparting and sharing</w:t>
        </w:r>
      </w:hyperlink>
      <w:r>
        <w:rPr>
          <w:b w:val="0"/>
          <w:i w:val="0"/>
        </w:rPr>
        <w:t>.</w:t>
      </w:r>
    </w:p>
    <w:p>
      <w:pPr>
        <w:widowControl/>
      </w:pPr>
      <w:r>
        <w:rPr>
          <w:b/>
          <w:i w:val="0"/>
        </w:rPr>
        <w:t>communicari.</w:t>
      </w:r>
      <w:r>
        <w:rPr>
          <w:b w:val="0"/>
          <w:i w:val="0"/>
        </w:rPr>
        <w:t xml:space="preserve"> </w:t>
      </w:r>
      <w:hyperlink w:anchor="latin-record-0198">
        <w:r>
          <w:rPr>
            <w:color w:val="000000"/>
          </w:rPr>
          <w:t xml:space="preserve">communicare</w:t>
        </w:r>
      </w:hyperlink>
      <w:r>
        <w:rPr>
          <w:b w:val="0"/>
          <w:i w:val="0"/>
        </w:rPr>
        <w:t>.</w:t>
      </w:r>
    </w:p>
    <w:p>
      <w:pPr>
        <w:widowControl/>
      </w:pPr>
      <w:r>
        <w:rPr>
          <w:b/>
          <w:i w:val="0"/>
        </w:rPr>
        <w:t>communicat.</w:t>
      </w:r>
      <w:r>
        <w:rPr>
          <w:b w:val="0"/>
          <w:i w:val="0"/>
        </w:rPr>
        <w:t xml:space="preserve"> </w:t>
      </w:r>
      <w:hyperlink w:anchor="latin-record-0198">
        <w:r>
          <w:rPr>
            <w:color w:val="000000"/>
          </w:rPr>
          <w:t xml:space="preserve">communicare</w:t>
        </w:r>
      </w:hyperlink>
      <w:r>
        <w:rPr>
          <w:b w:val="0"/>
          <w:i w:val="0"/>
        </w:rPr>
        <w:t xml:space="preserve">; </w:t>
      </w:r>
      <w:hyperlink w:anchor="latin-record-0199">
        <w:r>
          <w:rPr>
            <w:color w:val="000000"/>
          </w:rPr>
          <w:t xml:space="preserve">communicare — imparting and sharing</w:t>
        </w:r>
      </w:hyperlink>
      <w:r>
        <w:rPr>
          <w:b w:val="0"/>
          <w:i w:val="0"/>
        </w:rPr>
        <w:t>.</w:t>
      </w:r>
    </w:p>
    <w:p>
      <w:pPr>
        <w:widowControl/>
      </w:pPr>
      <w:r>
        <w:rPr>
          <w:b/>
          <w:i w:val="0"/>
        </w:rPr>
        <w:t>communicatur.</w:t>
      </w:r>
      <w:r>
        <w:rPr>
          <w:b w:val="0"/>
          <w:i w:val="0"/>
        </w:rPr>
        <w:t xml:space="preserve"> </w:t>
      </w:r>
      <w:hyperlink w:anchor="latin-record-0198">
        <w:r>
          <w:rPr>
            <w:color w:val="000000"/>
          </w:rPr>
          <w:t xml:space="preserve">communicare</w:t>
        </w:r>
      </w:hyperlink>
      <w:r>
        <w:rPr>
          <w:b w:val="0"/>
          <w:i w:val="0"/>
        </w:rPr>
        <w:t>.</w:t>
      </w:r>
    </w:p>
    <w:p>
      <w:pPr>
        <w:widowControl/>
      </w:pPr>
      <w:r>
        <w:rPr>
          <w:b/>
          <w:i w:val="0"/>
        </w:rPr>
        <w:t>communio.</w:t>
      </w:r>
      <w:r>
        <w:rPr>
          <w:b w:val="0"/>
          <w:i w:val="0"/>
        </w:rPr>
        <w:t xml:space="preserve"> </w:t>
      </w:r>
      <w:hyperlink w:anchor="latin-record-0200">
        <w:r>
          <w:rPr>
            <w:color w:val="000000"/>
          </w:rPr>
          <w:t xml:space="preserve">communio</w:t>
        </w:r>
      </w:hyperlink>
      <w:r>
        <w:rPr>
          <w:b w:val="0"/>
          <w:i w:val="0"/>
        </w:rPr>
        <w:t>.</w:t>
      </w:r>
    </w:p>
    <w:p>
      <w:pPr>
        <w:widowControl/>
      </w:pPr>
      <w:r>
        <w:rPr>
          <w:b/>
          <w:i w:val="0"/>
        </w:rPr>
        <w:t>communione.</w:t>
      </w:r>
      <w:r>
        <w:rPr>
          <w:b w:val="0"/>
          <w:i w:val="0"/>
        </w:rPr>
        <w:t xml:space="preserve"> </w:t>
      </w:r>
      <w:hyperlink w:anchor="latin-record-0200">
        <w:r>
          <w:rPr>
            <w:color w:val="000000"/>
          </w:rPr>
          <w:t xml:space="preserve">communio</w:t>
        </w:r>
      </w:hyperlink>
      <w:r>
        <w:rPr>
          <w:b w:val="0"/>
          <w:i w:val="0"/>
        </w:rPr>
        <w:t>.</w:t>
      </w:r>
    </w:p>
    <w:p>
      <w:pPr>
        <w:widowControl/>
      </w:pPr>
      <w:r>
        <w:rPr>
          <w:b/>
          <w:i w:val="0"/>
        </w:rPr>
        <w:t>communis.</w:t>
      </w:r>
      <w:r>
        <w:rPr>
          <w:b w:val="0"/>
          <w:i w:val="0"/>
        </w:rPr>
        <w:t xml:space="preserve"> </w:t>
      </w:r>
      <w:hyperlink w:anchor="latin-record-0201">
        <w:r>
          <w:rPr>
            <w:color w:val="000000"/>
          </w:rPr>
          <w:t xml:space="preserve">communis</w:t>
        </w:r>
      </w:hyperlink>
      <w:r>
        <w:rPr>
          <w:b w:val="0"/>
          <w:i w:val="0"/>
        </w:rPr>
        <w:t xml:space="preserve">; </w:t>
      </w:r>
      <w:hyperlink w:anchor="latin-record-0607">
        <w:r>
          <w:rPr>
            <w:color w:val="000000"/>
          </w:rPr>
          <w:t xml:space="preserve">intimus / communis</w:t>
        </w:r>
      </w:hyperlink>
      <w:r>
        <w:rPr>
          <w:b w:val="0"/>
          <w:i w:val="0"/>
        </w:rPr>
        <w:t>.</w:t>
      </w:r>
    </w:p>
    <w:p>
      <w:pPr>
        <w:widowControl/>
      </w:pPr>
      <w:r>
        <w:rPr>
          <w:b/>
          <w:i w:val="0"/>
        </w:rPr>
        <w:t>compago.</w:t>
      </w:r>
      <w:r>
        <w:rPr>
          <w:b w:val="0"/>
          <w:i w:val="0"/>
        </w:rPr>
        <w:t xml:space="preserve"> </w:t>
      </w:r>
      <w:hyperlink w:anchor="latin-record-0202">
        <w:r>
          <w:rPr>
            <w:color w:val="000000"/>
          </w:rPr>
          <w:t xml:space="preserve">compago / membrum</w:t>
        </w:r>
      </w:hyperlink>
      <w:r>
        <w:rPr>
          <w:b w:val="0"/>
          <w:i w:val="0"/>
        </w:rPr>
        <w:t>.</w:t>
      </w:r>
    </w:p>
    <w:p>
      <w:pPr>
        <w:widowControl/>
      </w:pPr>
      <w:r>
        <w:rPr>
          <w:b/>
          <w:i w:val="0"/>
        </w:rPr>
        <w:t>comparante.</w:t>
      </w:r>
      <w:r>
        <w:rPr>
          <w:b w:val="0"/>
          <w:i w:val="0"/>
        </w:rPr>
        <w:t xml:space="preserve"> </w:t>
      </w:r>
      <w:hyperlink w:anchor="latin-record-0203">
        <w:r>
          <w:rPr>
            <w:color w:val="000000"/>
          </w:rPr>
          <w:t xml:space="preserve">comparare</w:t>
        </w:r>
      </w:hyperlink>
      <w:r>
        <w:rPr>
          <w:b w:val="0"/>
          <w:i w:val="0"/>
        </w:rPr>
        <w:t>.</w:t>
      </w:r>
    </w:p>
    <w:p>
      <w:pPr>
        <w:widowControl/>
      </w:pPr>
      <w:r>
        <w:rPr>
          <w:b/>
          <w:i w:val="0"/>
        </w:rPr>
        <w:t>comparavimus.</w:t>
      </w:r>
      <w:r>
        <w:rPr>
          <w:b w:val="0"/>
          <w:i w:val="0"/>
        </w:rPr>
        <w:t xml:space="preserve"> </w:t>
      </w:r>
      <w:hyperlink w:anchor="latin-record-0204">
        <w:r>
          <w:rPr>
            <w:color w:val="000000"/>
          </w:rPr>
          <w:t xml:space="preserve">comparare / proportio</w:t>
        </w:r>
      </w:hyperlink>
      <w:r>
        <w:rPr>
          <w:b w:val="0"/>
          <w:i w:val="0"/>
        </w:rPr>
        <w:t>.</w:t>
      </w:r>
    </w:p>
    <w:p>
      <w:pPr>
        <w:widowControl/>
      </w:pPr>
      <w:r>
        <w:rPr>
          <w:b/>
          <w:i w:val="0"/>
        </w:rPr>
        <w:t>comparetur.</w:t>
      </w:r>
      <w:r>
        <w:rPr>
          <w:b w:val="0"/>
          <w:i w:val="0"/>
        </w:rPr>
        <w:t xml:space="preserve"> </w:t>
      </w:r>
      <w:hyperlink w:anchor="latin-record-0203">
        <w:r>
          <w:rPr>
            <w:color w:val="000000"/>
          </w:rPr>
          <w:t xml:space="preserve">comparare</w:t>
        </w:r>
      </w:hyperlink>
      <w:r>
        <w:rPr>
          <w:b w:val="0"/>
          <w:i w:val="0"/>
        </w:rPr>
        <w:t xml:space="preserve">; </w:t>
      </w:r>
      <w:hyperlink w:anchor="latin-record-0249">
        <w:r>
          <w:rPr>
            <w:color w:val="000000"/>
          </w:rPr>
          <w:t xml:space="preserve">considerare / comparare</w:t>
        </w:r>
      </w:hyperlink>
      <w:r>
        <w:rPr>
          <w:b w:val="0"/>
          <w:i w:val="0"/>
        </w:rPr>
        <w:t>.</w:t>
      </w:r>
    </w:p>
    <w:p>
      <w:pPr>
        <w:widowControl/>
      </w:pPr>
      <w:r>
        <w:rPr>
          <w:b/>
          <w:i w:val="0"/>
        </w:rPr>
        <w:t>compatiantur.</w:t>
      </w:r>
      <w:r>
        <w:rPr>
          <w:b w:val="0"/>
          <w:i w:val="0"/>
        </w:rPr>
        <w:t xml:space="preserve"> </w:t>
      </w:r>
      <w:hyperlink w:anchor="latin-record-0254">
        <w:r>
          <w:rPr>
            <w:color w:val="000000"/>
          </w:rPr>
          <w:t xml:space="preserve">conspirare / compati</w:t>
        </w:r>
      </w:hyperlink>
      <w:r>
        <w:rPr>
          <w:b w:val="0"/>
          <w:i w:val="0"/>
        </w:rPr>
        <w:t>.</w:t>
      </w:r>
    </w:p>
    <w:p>
      <w:pPr>
        <w:widowControl/>
      </w:pPr>
      <w:r>
        <w:rPr>
          <w:b/>
          <w:i w:val="0"/>
        </w:rPr>
        <w:t>compedum.</w:t>
      </w:r>
      <w:r>
        <w:rPr>
          <w:b w:val="0"/>
          <w:i w:val="0"/>
        </w:rPr>
        <w:t xml:space="preserve"> </w:t>
      </w:r>
      <w:hyperlink w:anchor="latin-record-1120">
        <w:r>
          <w:rPr>
            <w:color w:val="000000"/>
          </w:rPr>
          <w:t xml:space="preserve">solvo / vincula / compedes</w:t>
        </w:r>
      </w:hyperlink>
      <w:r>
        <w:rPr>
          <w:b w:val="0"/>
          <w:i w:val="0"/>
        </w:rPr>
        <w:t>.</w:t>
      </w:r>
    </w:p>
    <w:p>
      <w:pPr>
        <w:widowControl/>
      </w:pPr>
      <w:r>
        <w:rPr>
          <w:b/>
          <w:i w:val="0"/>
        </w:rPr>
        <w:t>compelletur.</w:t>
      </w:r>
      <w:r>
        <w:rPr>
          <w:b w:val="0"/>
          <w:i w:val="0"/>
        </w:rPr>
        <w:t xml:space="preserve"> </w:t>
      </w:r>
      <w:hyperlink w:anchor="latin-record-0173">
        <w:r>
          <w:rPr>
            <w:color w:val="000000"/>
          </w:rPr>
          <w:t xml:space="preserve">cogere / compellere</w:t>
        </w:r>
      </w:hyperlink>
      <w:r>
        <w:rPr>
          <w:b w:val="0"/>
          <w:i w:val="0"/>
        </w:rPr>
        <w:t>.</w:t>
      </w:r>
    </w:p>
    <w:p>
      <w:pPr>
        <w:widowControl/>
      </w:pPr>
      <w:r>
        <w:rPr>
          <w:b/>
          <w:i w:val="0"/>
        </w:rPr>
        <w:t>competit.</w:t>
      </w:r>
      <w:r>
        <w:rPr>
          <w:b w:val="0"/>
          <w:i w:val="0"/>
        </w:rPr>
        <w:t xml:space="preserve"> </w:t>
      </w:r>
      <w:hyperlink w:anchor="latin-record-0205">
        <w:r>
          <w:rPr>
            <w:color w:val="000000"/>
          </w:rPr>
          <w:t xml:space="preserve">competere / convenire</w:t>
        </w:r>
      </w:hyperlink>
      <w:r>
        <w:rPr>
          <w:b w:val="0"/>
          <w:i w:val="0"/>
        </w:rPr>
        <w:t xml:space="preserve">; </w:t>
      </w:r>
      <w:hyperlink w:anchor="latin-record-0206">
        <w:r>
          <w:rPr>
            <w:color w:val="000000"/>
          </w:rPr>
          <w:t xml:space="preserve">competere / pertinere / spectare</w:t>
        </w:r>
      </w:hyperlink>
      <w:r>
        <w:rPr>
          <w:b w:val="0"/>
          <w:i w:val="0"/>
        </w:rPr>
        <w:t>.</w:t>
      </w:r>
    </w:p>
    <w:p>
      <w:pPr>
        <w:widowControl/>
      </w:pPr>
      <w:r>
        <w:rPr>
          <w:b/>
          <w:i w:val="0"/>
        </w:rPr>
        <w:t>compleant.</w:t>
      </w:r>
      <w:r>
        <w:rPr>
          <w:b w:val="0"/>
          <w:i w:val="0"/>
        </w:rPr>
        <w:t xml:space="preserve"> </w:t>
      </w:r>
      <w:hyperlink w:anchor="latin-record-1122">
        <w:r>
          <w:rPr>
            <w:color w:val="000000"/>
          </w:rPr>
          <w:t xml:space="preserve">speciem complere</w:t>
        </w:r>
      </w:hyperlink>
      <w:r>
        <w:rPr>
          <w:b w:val="0"/>
          <w:i w:val="0"/>
        </w:rPr>
        <w:t>.</w:t>
      </w:r>
    </w:p>
    <w:p>
      <w:pPr>
        <w:widowControl/>
      </w:pPr>
      <w:r>
        <w:rPr>
          <w:b/>
          <w:i w:val="0"/>
        </w:rPr>
        <w:t>complectantur.</w:t>
      </w:r>
      <w:r>
        <w:rPr>
          <w:b w:val="0"/>
          <w:i w:val="0"/>
        </w:rPr>
        <w:t xml:space="preserve"> </w:t>
      </w:r>
      <w:hyperlink w:anchor="latin-record-0208">
        <w:r>
          <w:rPr>
            <w:color w:val="000000"/>
          </w:rPr>
          <w:t xml:space="preserve">complecti / comprehendere</w:t>
        </w:r>
      </w:hyperlink>
      <w:r>
        <w:rPr>
          <w:b w:val="0"/>
          <w:i w:val="0"/>
        </w:rPr>
        <w:t>.</w:t>
      </w:r>
    </w:p>
    <w:p>
      <w:pPr>
        <w:widowControl/>
      </w:pPr>
      <w:r>
        <w:rPr>
          <w:b/>
          <w:i w:val="0"/>
        </w:rPr>
        <w:t>complecti.</w:t>
      </w:r>
      <w:r>
        <w:rPr>
          <w:b w:val="0"/>
          <w:i w:val="0"/>
        </w:rPr>
        <w:t xml:space="preserve"> </w:t>
      </w:r>
      <w:hyperlink w:anchor="latin-record-0029">
        <w:r>
          <w:rPr>
            <w:color w:val="000000"/>
          </w:rPr>
          <w:t xml:space="preserve">adsciscere / complecti</w:t>
        </w:r>
      </w:hyperlink>
      <w:r>
        <w:rPr>
          <w:b w:val="0"/>
          <w:i w:val="0"/>
        </w:rPr>
        <w:t>.</w:t>
      </w:r>
    </w:p>
    <w:p>
      <w:pPr>
        <w:widowControl/>
      </w:pPr>
      <w:r>
        <w:rPr>
          <w:b/>
          <w:i w:val="0"/>
        </w:rPr>
        <w:t>complectitur.</w:t>
      </w:r>
      <w:r>
        <w:rPr>
          <w:b w:val="0"/>
          <w:i w:val="0"/>
        </w:rPr>
        <w:t xml:space="preserve"> </w:t>
      </w:r>
      <w:hyperlink w:anchor="latin-record-0207">
        <w:r>
          <w:rPr>
            <w:color w:val="000000"/>
          </w:rPr>
          <w:t xml:space="preserve">complecti</w:t>
        </w:r>
      </w:hyperlink>
      <w:r>
        <w:rPr>
          <w:b w:val="0"/>
          <w:i w:val="0"/>
        </w:rPr>
        <w:t xml:space="preserve">; </w:t>
      </w:r>
      <w:hyperlink w:anchor="latin-record-0208">
        <w:r>
          <w:rPr>
            <w:color w:val="000000"/>
          </w:rPr>
          <w:t xml:space="preserve">complecti / comprehendere</w:t>
        </w:r>
      </w:hyperlink>
      <w:r>
        <w:rPr>
          <w:b w:val="0"/>
          <w:i w:val="0"/>
        </w:rPr>
        <w:t xml:space="preserve">; </w:t>
      </w:r>
      <w:hyperlink w:anchor="latin-record-0261">
        <w:r>
          <w:rPr>
            <w:color w:val="000000"/>
          </w:rPr>
          <w:t xml:space="preserve">contineo / complector</w:t>
        </w:r>
      </w:hyperlink>
      <w:r>
        <w:rPr>
          <w:b w:val="0"/>
          <w:i w:val="0"/>
        </w:rPr>
        <w:t>.</w:t>
      </w:r>
    </w:p>
    <w:p>
      <w:pPr>
        <w:widowControl/>
      </w:pPr>
      <w:r>
        <w:rPr>
          <w:b/>
          <w:i w:val="0"/>
        </w:rPr>
        <w:t>complent.</w:t>
      </w:r>
      <w:r>
        <w:rPr>
          <w:b w:val="0"/>
          <w:i w:val="0"/>
        </w:rPr>
        <w:t xml:space="preserve"> </w:t>
      </w:r>
      <w:hyperlink w:anchor="latin-record-1122">
        <w:r>
          <w:rPr>
            <w:color w:val="000000"/>
          </w:rPr>
          <w:t xml:space="preserve">speciem complere</w:t>
        </w:r>
      </w:hyperlink>
      <w:r>
        <w:rPr>
          <w:b w:val="0"/>
          <w:i w:val="0"/>
        </w:rPr>
        <w:t>.</w:t>
      </w:r>
    </w:p>
    <w:p>
      <w:pPr>
        <w:widowControl/>
      </w:pPr>
      <w:r>
        <w:rPr>
          <w:b/>
          <w:i w:val="0"/>
        </w:rPr>
        <w:t>complexio.</w:t>
      </w:r>
      <w:r>
        <w:rPr>
          <w:b w:val="0"/>
          <w:i w:val="0"/>
        </w:rPr>
        <w:t xml:space="preserve"> </w:t>
      </w:r>
      <w:hyperlink w:anchor="latin-record-0210">
        <w:r>
          <w:rPr>
            <w:color w:val="000000"/>
          </w:rPr>
          <w:t xml:space="preserve">complexio / instrumenta</w:t>
        </w:r>
      </w:hyperlink>
      <w:r>
        <w:rPr>
          <w:b w:val="0"/>
          <w:i w:val="0"/>
        </w:rPr>
        <w:t>.</w:t>
      </w:r>
    </w:p>
    <w:p>
      <w:pPr>
        <w:widowControl/>
      </w:pPr>
      <w:r>
        <w:rPr>
          <w:b/>
          <w:i w:val="0"/>
        </w:rPr>
        <w:t>complexione.</w:t>
      </w:r>
      <w:r>
        <w:rPr>
          <w:b w:val="0"/>
          <w:i w:val="0"/>
        </w:rPr>
        <w:t xml:space="preserve"> </w:t>
      </w:r>
      <w:hyperlink w:anchor="latin-record-0209">
        <w:r>
          <w:rPr>
            <w:color w:val="000000"/>
          </w:rPr>
          <w:t xml:space="preserve">complexio / figura</w:t>
        </w:r>
      </w:hyperlink>
      <w:r>
        <w:rPr>
          <w:b w:val="0"/>
          <w:i w:val="0"/>
        </w:rPr>
        <w:t>.</w:t>
      </w:r>
    </w:p>
    <w:p>
      <w:pPr>
        <w:widowControl/>
      </w:pPr>
      <w:r>
        <w:rPr>
          <w:b/>
          <w:i w:val="0"/>
        </w:rPr>
        <w:t>componeretur.</w:t>
      </w:r>
      <w:r>
        <w:rPr>
          <w:b w:val="0"/>
          <w:i w:val="0"/>
        </w:rPr>
        <w:t xml:space="preserve"> </w:t>
      </w:r>
      <w:hyperlink w:anchor="latin-record-0211">
        <w:r>
          <w:rPr>
            <w:color w:val="000000"/>
          </w:rPr>
          <w:t xml:space="preserve">componere / compositio</w:t>
        </w:r>
      </w:hyperlink>
      <w:r>
        <w:rPr>
          <w:b w:val="0"/>
          <w:i w:val="0"/>
        </w:rPr>
        <w:t>.</w:t>
      </w:r>
    </w:p>
    <w:p>
      <w:pPr>
        <w:widowControl/>
      </w:pPr>
      <w:r>
        <w:rPr>
          <w:b/>
          <w:i w:val="0"/>
        </w:rPr>
        <w:t>compos.</w:t>
      </w:r>
      <w:r>
        <w:rPr>
          <w:b w:val="0"/>
          <w:i w:val="0"/>
        </w:rPr>
        <w:t xml:space="preserve"> </w:t>
      </w:r>
      <w:hyperlink w:anchor="latin-record-0213">
        <w:r>
          <w:rPr>
            <w:color w:val="000000"/>
          </w:rPr>
          <w:t xml:space="preserve">compos</w:t>
        </w:r>
      </w:hyperlink>
      <w:r>
        <w:rPr>
          <w:b w:val="0"/>
          <w:i w:val="0"/>
        </w:rPr>
        <w:t>.</w:t>
      </w:r>
    </w:p>
    <w:p>
      <w:pPr>
        <w:widowControl/>
      </w:pPr>
      <w:r>
        <w:rPr>
          <w:b/>
          <w:i w:val="0"/>
        </w:rPr>
        <w:t>compositio.</w:t>
      </w:r>
      <w:r>
        <w:rPr>
          <w:b w:val="0"/>
          <w:i w:val="0"/>
        </w:rPr>
        <w:t xml:space="preserve"> </w:t>
      </w:r>
      <w:hyperlink w:anchor="latin-record-0211">
        <w:r>
          <w:rPr>
            <w:color w:val="000000"/>
          </w:rPr>
          <w:t xml:space="preserve">componere / compositio</w:t>
        </w:r>
      </w:hyperlink>
      <w:r>
        <w:rPr>
          <w:b w:val="0"/>
          <w:i w:val="0"/>
        </w:rPr>
        <w:t>.</w:t>
      </w:r>
    </w:p>
    <w:p>
      <w:pPr>
        <w:widowControl/>
      </w:pPr>
      <w:r>
        <w:rPr>
          <w:b/>
          <w:i w:val="0"/>
        </w:rPr>
        <w:t>compositum.</w:t>
      </w:r>
      <w:r>
        <w:rPr>
          <w:b w:val="0"/>
          <w:i w:val="0"/>
        </w:rPr>
        <w:t xml:space="preserve"> </w:t>
      </w:r>
      <w:hyperlink w:anchor="latin-record-0211">
        <w:r>
          <w:rPr>
            <w:color w:val="000000"/>
          </w:rPr>
          <w:t xml:space="preserve">componere / compositio</w:t>
        </w:r>
      </w:hyperlink>
      <w:r>
        <w:rPr>
          <w:b w:val="0"/>
          <w:i w:val="0"/>
        </w:rPr>
        <w:t xml:space="preserve">; </w:t>
      </w:r>
      <w:hyperlink w:anchor="latin-record-0212">
        <w:r>
          <w:rPr>
            <w:color w:val="000000"/>
          </w:rPr>
          <w:t xml:space="preserve">compono / pars / totum</w:t>
        </w:r>
      </w:hyperlink>
      <w:r>
        <w:rPr>
          <w:b w:val="0"/>
          <w:i w:val="0"/>
        </w:rPr>
        <w:t>.</w:t>
      </w:r>
    </w:p>
    <w:p>
      <w:pPr>
        <w:widowControl/>
      </w:pPr>
      <w:r>
        <w:rPr>
          <w:b/>
          <w:i w:val="0"/>
        </w:rPr>
        <w:t>compositus.</w:t>
      </w:r>
      <w:r>
        <w:rPr>
          <w:b w:val="0"/>
          <w:i w:val="0"/>
        </w:rPr>
        <w:t xml:space="preserve"> </w:t>
      </w:r>
      <w:hyperlink w:anchor="latin-record-0212">
        <w:r>
          <w:rPr>
            <w:color w:val="000000"/>
          </w:rPr>
          <w:t xml:space="preserve">compono / pars / totum</w:t>
        </w:r>
      </w:hyperlink>
      <w:r>
        <w:rPr>
          <w:b w:val="0"/>
          <w:i w:val="0"/>
        </w:rPr>
        <w:t>.</w:t>
      </w:r>
    </w:p>
    <w:p>
      <w:pPr>
        <w:widowControl/>
      </w:pPr>
      <w:r>
        <w:rPr>
          <w:b/>
          <w:i w:val="0"/>
        </w:rPr>
        <w:t>compositusque.</w:t>
      </w:r>
      <w:r>
        <w:rPr>
          <w:b w:val="0"/>
          <w:i w:val="0"/>
        </w:rPr>
        <w:t xml:space="preserve"> </w:t>
      </w:r>
      <w:hyperlink w:anchor="latin-record-0726">
        <w:r>
          <w:rPr>
            <w:color w:val="000000"/>
          </w:rPr>
          <w:t xml:space="preserve">multiplex / compositus</w:t>
        </w:r>
      </w:hyperlink>
      <w:r>
        <w:rPr>
          <w:b w:val="0"/>
          <w:i w:val="0"/>
        </w:rPr>
        <w:t>.</w:t>
      </w:r>
    </w:p>
    <w:p>
      <w:pPr>
        <w:widowControl/>
      </w:pPr>
      <w:r>
        <w:rPr>
          <w:b/>
          <w:i w:val="0"/>
        </w:rPr>
        <w:t>compotes rationis.</w:t>
      </w:r>
      <w:r>
        <w:rPr>
          <w:b w:val="0"/>
          <w:i w:val="0"/>
        </w:rPr>
        <w:t xml:space="preserve"> </w:t>
      </w:r>
      <w:hyperlink w:anchor="latin-record-1027">
        <w:r>
          <w:rPr>
            <w:color w:val="000000"/>
          </w:rPr>
          <w:t xml:space="preserve">rationis compos / expers</w:t>
        </w:r>
      </w:hyperlink>
      <w:r>
        <w:rPr>
          <w:b w:val="0"/>
          <w:i w:val="0"/>
        </w:rPr>
        <w:t>.</w:t>
      </w:r>
    </w:p>
    <w:p>
      <w:pPr>
        <w:widowControl/>
      </w:pPr>
      <w:r>
        <w:rPr>
          <w:b/>
          <w:i w:val="0"/>
        </w:rPr>
        <w:t>comprehendantur.</w:t>
      </w:r>
      <w:r>
        <w:rPr>
          <w:b w:val="0"/>
          <w:i w:val="0"/>
        </w:rPr>
        <w:t xml:space="preserve"> </w:t>
      </w:r>
      <w:hyperlink w:anchor="latin-record-1072">
        <w:r>
          <w:rPr>
            <w:color w:val="000000"/>
          </w:rPr>
          <w:t xml:space="preserve">scientia / comprehendere</w:t>
        </w:r>
      </w:hyperlink>
      <w:r>
        <w:rPr>
          <w:b w:val="0"/>
          <w:i w:val="0"/>
        </w:rPr>
        <w:t>.</w:t>
      </w:r>
    </w:p>
    <w:p>
      <w:pPr>
        <w:widowControl/>
      </w:pPr>
      <w:r>
        <w:rPr>
          <w:b/>
          <w:i w:val="0"/>
        </w:rPr>
        <w:t>comprehendi.</w:t>
      </w:r>
      <w:r>
        <w:rPr>
          <w:b w:val="0"/>
          <w:i w:val="0"/>
        </w:rPr>
        <w:t xml:space="preserve"> </w:t>
      </w:r>
      <w:hyperlink w:anchor="latin-record-0215">
        <w:r>
          <w:rPr>
            <w:color w:val="000000"/>
          </w:rPr>
          <w:t xml:space="preserve">comprehendere</w:t>
        </w:r>
      </w:hyperlink>
      <w:r>
        <w:rPr>
          <w:b w:val="0"/>
          <w:i w:val="0"/>
        </w:rPr>
        <w:t xml:space="preserve">; </w:t>
      </w:r>
      <w:hyperlink w:anchor="latin-record-1072">
        <w:r>
          <w:rPr>
            <w:color w:val="000000"/>
          </w:rPr>
          <w:t xml:space="preserve">scientia / comprehendere</w:t>
        </w:r>
      </w:hyperlink>
      <w:r>
        <w:rPr>
          <w:b w:val="0"/>
          <w:i w:val="0"/>
        </w:rPr>
        <w:t>.</w:t>
      </w:r>
    </w:p>
    <w:p>
      <w:pPr>
        <w:widowControl/>
      </w:pPr>
      <w:r>
        <w:rPr>
          <w:b/>
          <w:i w:val="0"/>
        </w:rPr>
        <w:t>Comprehendi.</w:t>
      </w:r>
      <w:r>
        <w:rPr>
          <w:b w:val="0"/>
          <w:i w:val="0"/>
        </w:rPr>
        <w:t xml:space="preserve"> </w:t>
      </w:r>
      <w:hyperlink w:anchor="latin-record-1072">
        <w:r>
          <w:rPr>
            <w:color w:val="000000"/>
          </w:rPr>
          <w:t xml:space="preserve">scientia / comprehendere</w:t>
        </w:r>
      </w:hyperlink>
      <w:r>
        <w:rPr>
          <w:b w:val="0"/>
          <w:i w:val="0"/>
        </w:rPr>
        <w:t>.</w:t>
      </w:r>
    </w:p>
    <w:p>
      <w:pPr>
        <w:widowControl/>
      </w:pPr>
      <w:r>
        <w:rPr>
          <w:b/>
          <w:i w:val="0"/>
        </w:rPr>
        <w:t>comprehendit.</w:t>
      </w:r>
      <w:r>
        <w:rPr>
          <w:b w:val="0"/>
          <w:i w:val="0"/>
        </w:rPr>
        <w:t xml:space="preserve"> </w:t>
      </w:r>
      <w:hyperlink w:anchor="latin-record-0208">
        <w:r>
          <w:rPr>
            <w:color w:val="000000"/>
          </w:rPr>
          <w:t xml:space="preserve">complecti / comprehendere</w:t>
        </w:r>
      </w:hyperlink>
      <w:r>
        <w:rPr>
          <w:b w:val="0"/>
          <w:i w:val="0"/>
        </w:rPr>
        <w:t xml:space="preserve">; </w:t>
      </w:r>
      <w:hyperlink w:anchor="latin-record-1072">
        <w:r>
          <w:rPr>
            <w:color w:val="000000"/>
          </w:rPr>
          <w:t xml:space="preserve">scientia / comprehendere</w:t>
        </w:r>
      </w:hyperlink>
      <w:r>
        <w:rPr>
          <w:b w:val="0"/>
          <w:i w:val="0"/>
        </w:rPr>
        <w:t>.</w:t>
      </w:r>
    </w:p>
    <w:p>
      <w:pPr>
        <w:widowControl/>
      </w:pPr>
      <w:r>
        <w:rPr>
          <w:b/>
          <w:i w:val="0"/>
        </w:rPr>
        <w:t>comprehenduntur.</w:t>
      </w:r>
      <w:r>
        <w:rPr>
          <w:b w:val="0"/>
          <w:i w:val="0"/>
        </w:rPr>
        <w:t xml:space="preserve"> </w:t>
      </w:r>
      <w:hyperlink w:anchor="latin-record-1072">
        <w:r>
          <w:rPr>
            <w:color w:val="000000"/>
          </w:rPr>
          <w:t xml:space="preserve">scientia / comprehendere</w:t>
        </w:r>
      </w:hyperlink>
      <w:r>
        <w:rPr>
          <w:b w:val="0"/>
          <w:i w:val="0"/>
        </w:rPr>
        <w:t>.</w:t>
      </w:r>
    </w:p>
    <w:p>
      <w:pPr>
        <w:widowControl/>
      </w:pPr>
      <w:r>
        <w:rPr>
          <w:b/>
          <w:i w:val="0"/>
        </w:rPr>
        <w:t>comprobet.</w:t>
      </w:r>
      <w:r>
        <w:rPr>
          <w:b w:val="0"/>
          <w:i w:val="0"/>
        </w:rPr>
        <w:t xml:space="preserve"> </w:t>
      </w:r>
      <w:hyperlink w:anchor="latin-record-0938">
        <w:r>
          <w:rPr>
            <w:color w:val="000000"/>
          </w:rPr>
          <w:t xml:space="preserve">probo / comprobo</w:t>
        </w:r>
      </w:hyperlink>
      <w:r>
        <w:rPr>
          <w:b w:val="0"/>
          <w:i w:val="0"/>
        </w:rPr>
        <w:t>.</w:t>
      </w:r>
    </w:p>
    <w:p>
      <w:pPr>
        <w:widowControl/>
      </w:pPr>
      <w:r>
        <w:rPr>
          <w:b/>
          <w:i w:val="0"/>
        </w:rPr>
        <w:t>computavisse.</w:t>
      </w:r>
      <w:r>
        <w:rPr>
          <w:b w:val="0"/>
          <w:i w:val="0"/>
        </w:rPr>
        <w:t xml:space="preserve"> </w:t>
      </w:r>
      <w:hyperlink w:anchor="latin-record-0936">
        <w:r>
          <w:rPr>
            <w:color w:val="000000"/>
          </w:rPr>
          <w:t xml:space="preserve">probabilis / computo</w:t>
        </w:r>
      </w:hyperlink>
      <w:r>
        <w:rPr>
          <w:b w:val="0"/>
          <w:i w:val="0"/>
        </w:rPr>
        <w:t>.</w:t>
      </w:r>
    </w:p>
    <w:p>
      <w:pPr>
        <w:widowControl/>
      </w:pPr>
      <w:r>
        <w:rPr>
          <w:b/>
          <w:i w:val="0"/>
        </w:rPr>
        <w:t>conabimur.</w:t>
      </w:r>
      <w:r>
        <w:rPr>
          <w:b w:val="0"/>
          <w:i w:val="0"/>
        </w:rPr>
        <w:t xml:space="preserve"> </w:t>
      </w:r>
      <w:hyperlink w:anchor="latin-record-0243">
        <w:r>
          <w:rPr>
            <w:color w:val="000000"/>
          </w:rPr>
          <w:t xml:space="preserve">conor / pro viribus</w:t>
        </w:r>
      </w:hyperlink>
      <w:r>
        <w:rPr>
          <w:b w:val="0"/>
          <w:i w:val="0"/>
        </w:rPr>
        <w:t>.</w:t>
      </w:r>
    </w:p>
    <w:p>
      <w:pPr>
        <w:widowControl/>
      </w:pPr>
      <w:r>
        <w:rPr>
          <w:b/>
          <w:i w:val="0"/>
        </w:rPr>
        <w:t>conaretur.</w:t>
      </w:r>
      <w:r>
        <w:rPr>
          <w:b w:val="0"/>
          <w:i w:val="0"/>
        </w:rPr>
        <w:t xml:space="preserve"> </w:t>
      </w:r>
      <w:hyperlink w:anchor="latin-record-0585">
        <w:r>
          <w:rPr>
            <w:color w:val="000000"/>
          </w:rPr>
          <w:t xml:space="preserve">instinctus / niti</w:t>
        </w:r>
      </w:hyperlink>
      <w:r>
        <w:rPr>
          <w:b w:val="0"/>
          <w:i w:val="0"/>
        </w:rPr>
        <w:t>.</w:t>
      </w:r>
    </w:p>
    <w:p>
      <w:pPr>
        <w:widowControl/>
      </w:pPr>
      <w:r>
        <w:rPr>
          <w:b/>
          <w:i w:val="0"/>
        </w:rPr>
        <w:t>conatur.</w:t>
      </w:r>
      <w:r>
        <w:rPr>
          <w:b w:val="0"/>
          <w:i w:val="0"/>
        </w:rPr>
        <w:t xml:space="preserve"> </w:t>
      </w:r>
      <w:hyperlink w:anchor="latin-record-0764">
        <w:r>
          <w:rPr>
            <w:color w:val="000000"/>
          </w:rPr>
          <w:t xml:space="preserve">nixus / nitor / conor</w:t>
        </w:r>
      </w:hyperlink>
      <w:r>
        <w:rPr>
          <w:b w:val="0"/>
          <w:i w:val="0"/>
        </w:rPr>
        <w:t>.</w:t>
      </w:r>
    </w:p>
    <w:p>
      <w:pPr>
        <w:widowControl/>
      </w:pPr>
      <w:r>
        <w:rPr>
          <w:b/>
          <w:i w:val="0"/>
        </w:rPr>
        <w:t>conatus.</w:t>
      </w:r>
      <w:r>
        <w:rPr>
          <w:b w:val="0"/>
          <w:i w:val="0"/>
        </w:rPr>
        <w:t xml:space="preserve"> </w:t>
      </w:r>
      <w:hyperlink w:anchor="latin-record-0216">
        <w:r>
          <w:rPr>
            <w:color w:val="000000"/>
          </w:rPr>
          <w:t xml:space="preserve">conatus / affectus</w:t>
        </w:r>
      </w:hyperlink>
      <w:r>
        <w:rPr>
          <w:b w:val="0"/>
          <w:i w:val="0"/>
        </w:rPr>
        <w:t>.</w:t>
      </w:r>
    </w:p>
    <w:p>
      <w:pPr>
        <w:widowControl/>
      </w:pPr>
      <w:r>
        <w:rPr>
          <w:b/>
          <w:i w:val="0"/>
        </w:rPr>
        <w:t>concava superficies.</w:t>
      </w:r>
      <w:r>
        <w:rPr>
          <w:b w:val="0"/>
          <w:i w:val="0"/>
        </w:rPr>
        <w:t xml:space="preserve"> </w:t>
      </w:r>
      <w:hyperlink w:anchor="latin-record-0217">
        <w:r>
          <w:rPr>
            <w:color w:val="000000"/>
          </w:rPr>
          <w:t xml:space="preserve">concava superficies</w:t>
        </w:r>
      </w:hyperlink>
      <w:r>
        <w:rPr>
          <w:b w:val="0"/>
          <w:i w:val="0"/>
        </w:rPr>
        <w:t>.</w:t>
      </w:r>
    </w:p>
    <w:p>
      <w:pPr>
        <w:widowControl/>
      </w:pPr>
      <w:r>
        <w:rPr>
          <w:b/>
          <w:i w:val="0"/>
        </w:rPr>
        <w:t>concavum.</w:t>
      </w:r>
      <w:r>
        <w:rPr>
          <w:b w:val="0"/>
          <w:i w:val="0"/>
        </w:rPr>
        <w:t xml:space="preserve"> </w:t>
      </w:r>
      <w:hyperlink w:anchor="latin-record-0217">
        <w:r>
          <w:rPr>
            <w:color w:val="000000"/>
          </w:rPr>
          <w:t xml:space="preserve">concava superficies</w:t>
        </w:r>
      </w:hyperlink>
      <w:r>
        <w:rPr>
          <w:b w:val="0"/>
          <w:i w:val="0"/>
        </w:rPr>
        <w:t xml:space="preserve">; </w:t>
      </w:r>
      <w:hyperlink w:anchor="latin-record-0451">
        <w:r>
          <w:rPr>
            <w:color w:val="000000"/>
          </w:rPr>
          <w:t xml:space="preserve">flammula / concavum / evolare</w:t>
        </w:r>
      </w:hyperlink>
      <w:r>
        <w:rPr>
          <w:b w:val="0"/>
          <w:i w:val="0"/>
        </w:rPr>
        <w:t>.</w:t>
      </w:r>
    </w:p>
    <w:p>
      <w:pPr>
        <w:widowControl/>
      </w:pPr>
      <w:r>
        <w:rPr>
          <w:b/>
          <w:i w:val="0"/>
        </w:rPr>
        <w:t>concedatur.</w:t>
      </w:r>
      <w:r>
        <w:rPr>
          <w:b w:val="0"/>
          <w:i w:val="0"/>
        </w:rPr>
        <w:t xml:space="preserve"> </w:t>
      </w:r>
      <w:hyperlink w:anchor="latin-record-0218">
        <w:r>
          <w:rPr>
            <w:color w:val="000000"/>
          </w:rPr>
          <w:t xml:space="preserve">concedere / admittere / dare as grant</w:t>
        </w:r>
      </w:hyperlink>
      <w:r>
        <w:rPr>
          <w:b w:val="0"/>
          <w:i w:val="0"/>
        </w:rPr>
        <w:t>.</w:t>
      </w:r>
    </w:p>
    <w:p>
      <w:pPr>
        <w:widowControl/>
      </w:pPr>
      <w:r>
        <w:rPr>
          <w:b/>
          <w:i w:val="0"/>
        </w:rPr>
        <w:t>concedemus.</w:t>
      </w:r>
      <w:r>
        <w:rPr>
          <w:b w:val="0"/>
          <w:i w:val="0"/>
        </w:rPr>
        <w:t xml:space="preserve"> </w:t>
      </w:r>
      <w:hyperlink w:anchor="latin-record-0010">
        <w:r>
          <w:rPr>
            <w:color w:val="000000"/>
          </w:rPr>
          <w:t xml:space="preserve">accipere / concedere</w:t>
        </w:r>
      </w:hyperlink>
      <w:r>
        <w:rPr>
          <w:b w:val="0"/>
          <w:i w:val="0"/>
        </w:rPr>
        <w:t>.</w:t>
      </w:r>
    </w:p>
    <w:p>
      <w:pPr>
        <w:widowControl/>
      </w:pPr>
      <w:r>
        <w:rPr>
          <w:b/>
          <w:i w:val="0"/>
        </w:rPr>
        <w:t>concedet.</w:t>
      </w:r>
      <w:r>
        <w:rPr>
          <w:b w:val="0"/>
          <w:i w:val="0"/>
        </w:rPr>
        <w:t xml:space="preserve"> </w:t>
      </w:r>
      <w:hyperlink w:anchor="latin-record-0218">
        <w:r>
          <w:rPr>
            <w:color w:val="000000"/>
          </w:rPr>
          <w:t xml:space="preserve">concedere / admittere / dare as grant</w:t>
        </w:r>
      </w:hyperlink>
      <w:r>
        <w:rPr>
          <w:b w:val="0"/>
          <w:i w:val="0"/>
        </w:rPr>
        <w:t>.</w:t>
      </w:r>
    </w:p>
    <w:p>
      <w:pPr>
        <w:widowControl/>
      </w:pPr>
      <w:r>
        <w:rPr>
          <w:b/>
          <w:i w:val="0"/>
        </w:rPr>
        <w:t>concedetur.</w:t>
      </w:r>
      <w:r>
        <w:rPr>
          <w:b w:val="0"/>
          <w:i w:val="0"/>
        </w:rPr>
        <w:t xml:space="preserve"> </w:t>
      </w:r>
      <w:hyperlink w:anchor="latin-record-0218">
        <w:r>
          <w:rPr>
            <w:color w:val="000000"/>
          </w:rPr>
          <w:t xml:space="preserve">concedere / admittere / dare as grant</w:t>
        </w:r>
      </w:hyperlink>
      <w:r>
        <w:rPr>
          <w:b w:val="0"/>
          <w:i w:val="0"/>
        </w:rPr>
        <w:t>.</w:t>
      </w:r>
    </w:p>
    <w:p>
      <w:pPr>
        <w:widowControl/>
      </w:pPr>
      <w:r>
        <w:rPr>
          <w:b/>
          <w:i w:val="0"/>
        </w:rPr>
        <w:t>conciliantur.</w:t>
      </w:r>
      <w:r>
        <w:rPr>
          <w:b w:val="0"/>
          <w:i w:val="0"/>
        </w:rPr>
        <w:t xml:space="preserve"> </w:t>
      </w:r>
      <w:hyperlink w:anchor="latin-record-0219">
        <w:r>
          <w:rPr>
            <w:color w:val="000000"/>
          </w:rPr>
          <w:t xml:space="preserve">conciliare</w:t>
        </w:r>
      </w:hyperlink>
      <w:r>
        <w:rPr>
          <w:b w:val="0"/>
          <w:i w:val="0"/>
        </w:rPr>
        <w:t>.</w:t>
      </w:r>
    </w:p>
    <w:p>
      <w:pPr>
        <w:widowControl/>
      </w:pPr>
      <w:r>
        <w:rPr>
          <w:b/>
          <w:i w:val="0"/>
        </w:rPr>
        <w:t>conciliat.</w:t>
      </w:r>
      <w:r>
        <w:rPr>
          <w:b w:val="0"/>
          <w:i w:val="0"/>
        </w:rPr>
        <w:t xml:space="preserve"> </w:t>
      </w:r>
      <w:hyperlink w:anchor="latin-record-0221">
        <w:r>
          <w:rPr>
            <w:color w:val="000000"/>
          </w:rPr>
          <w:t xml:space="preserve">concilio / vincit in unum</w:t>
        </w:r>
      </w:hyperlink>
      <w:r>
        <w:rPr>
          <w:b w:val="0"/>
          <w:i w:val="0"/>
        </w:rPr>
        <w:t>.</w:t>
      </w:r>
    </w:p>
    <w:p>
      <w:pPr>
        <w:widowControl/>
      </w:pPr>
      <w:r>
        <w:rPr>
          <w:b/>
          <w:i w:val="0"/>
        </w:rPr>
        <w:t>conciliavisset.</w:t>
      </w:r>
      <w:r>
        <w:rPr>
          <w:b w:val="0"/>
          <w:i w:val="0"/>
        </w:rPr>
        <w:t xml:space="preserve"> </w:t>
      </w:r>
      <w:hyperlink w:anchor="latin-record-0219">
        <w:r>
          <w:rPr>
            <w:color w:val="000000"/>
          </w:rPr>
          <w:t xml:space="preserve">conciliare</w:t>
        </w:r>
      </w:hyperlink>
      <w:r>
        <w:rPr>
          <w:b w:val="0"/>
          <w:i w:val="0"/>
        </w:rPr>
        <w:t>.</w:t>
      </w:r>
    </w:p>
    <w:p>
      <w:pPr>
        <w:widowControl/>
      </w:pPr>
      <w:r>
        <w:rPr>
          <w:b/>
          <w:i w:val="0"/>
        </w:rPr>
        <w:t>conciliavit.</w:t>
      </w:r>
      <w:r>
        <w:rPr>
          <w:b w:val="0"/>
          <w:i w:val="0"/>
        </w:rPr>
        <w:t xml:space="preserve"> </w:t>
      </w:r>
      <w:hyperlink w:anchor="latin-record-0219">
        <w:r>
          <w:rPr>
            <w:color w:val="000000"/>
          </w:rPr>
          <w:t xml:space="preserve">conciliare</w:t>
        </w:r>
      </w:hyperlink>
      <w:r>
        <w:rPr>
          <w:b w:val="0"/>
          <w:i w:val="0"/>
        </w:rPr>
        <w:t>.</w:t>
      </w:r>
    </w:p>
    <w:p>
      <w:pPr>
        <w:widowControl/>
      </w:pPr>
      <w:r>
        <w:rPr>
          <w:b/>
          <w:i w:val="0"/>
        </w:rPr>
        <w:t>conciliet.</w:t>
      </w:r>
      <w:r>
        <w:rPr>
          <w:b w:val="0"/>
          <w:i w:val="0"/>
        </w:rPr>
        <w:t xml:space="preserve"> </w:t>
      </w:r>
      <w:hyperlink w:anchor="latin-record-0220">
        <w:r>
          <w:rPr>
            <w:color w:val="000000"/>
          </w:rPr>
          <w:t xml:space="preserve">conciliare / interimere</w:t>
        </w:r>
      </w:hyperlink>
      <w:r>
        <w:rPr>
          <w:b w:val="0"/>
          <w:i w:val="0"/>
        </w:rPr>
        <w:t>.</w:t>
      </w:r>
    </w:p>
    <w:p>
      <w:pPr>
        <w:widowControl/>
      </w:pPr>
      <w:r>
        <w:rPr>
          <w:b/>
          <w:i w:val="0"/>
        </w:rPr>
        <w:t>concinat.</w:t>
      </w:r>
      <w:r>
        <w:rPr>
          <w:b w:val="0"/>
          <w:i w:val="0"/>
        </w:rPr>
        <w:t xml:space="preserve"> </w:t>
      </w:r>
      <w:hyperlink w:anchor="latin-record-0222">
        <w:r>
          <w:rPr>
            <w:color w:val="000000"/>
          </w:rPr>
          <w:t xml:space="preserve">concinere / conducere</w:t>
        </w:r>
      </w:hyperlink>
      <w:r>
        <w:rPr>
          <w:b w:val="0"/>
          <w:i w:val="0"/>
        </w:rPr>
        <w:t>.</w:t>
      </w:r>
    </w:p>
    <w:p>
      <w:pPr>
        <w:widowControl/>
      </w:pPr>
      <w:r>
        <w:rPr>
          <w:b/>
          <w:i w:val="0"/>
        </w:rPr>
        <w:t>Concludamus.</w:t>
      </w:r>
      <w:r>
        <w:rPr>
          <w:b w:val="0"/>
          <w:i w:val="0"/>
        </w:rPr>
        <w:t xml:space="preserve"> </w:t>
      </w:r>
      <w:hyperlink w:anchor="latin-record-0224">
        <w:r>
          <w:rPr>
            <w:color w:val="000000"/>
          </w:rPr>
          <w:t xml:space="preserve">concludere / confirmare / patere</w:t>
        </w:r>
      </w:hyperlink>
      <w:r>
        <w:rPr>
          <w:b w:val="0"/>
          <w:i w:val="0"/>
        </w:rPr>
        <w:t>.</w:t>
      </w:r>
    </w:p>
    <w:p>
      <w:pPr>
        <w:widowControl/>
      </w:pPr>
      <w:r>
        <w:rPr>
          <w:b/>
          <w:i w:val="0"/>
        </w:rPr>
        <w:t>concludit.</w:t>
      </w:r>
      <w:r>
        <w:rPr>
          <w:b w:val="0"/>
          <w:i w:val="0"/>
        </w:rPr>
        <w:t xml:space="preserve"> </w:t>
      </w:r>
      <w:hyperlink w:anchor="latin-record-0223">
        <w:r>
          <w:rPr>
            <w:color w:val="000000"/>
          </w:rPr>
          <w:t xml:space="preserve">concludere / colligere</w:t>
        </w:r>
      </w:hyperlink>
      <w:r>
        <w:rPr>
          <w:b w:val="0"/>
          <w:i w:val="0"/>
        </w:rPr>
        <w:t>.</w:t>
      </w:r>
    </w:p>
    <w:p>
      <w:pPr>
        <w:widowControl/>
      </w:pPr>
      <w:r>
        <w:rPr>
          <w:b/>
          <w:i w:val="0"/>
        </w:rPr>
        <w:t>concoquit.</w:t>
      </w:r>
      <w:r>
        <w:rPr>
          <w:b w:val="0"/>
          <w:i w:val="0"/>
        </w:rPr>
        <w:t xml:space="preserve"> </w:t>
      </w:r>
      <w:hyperlink w:anchor="latin-record-0225">
        <w:r>
          <w:rPr>
            <w:color w:val="000000"/>
          </w:rPr>
          <w:t xml:space="preserve">concoquo / digero</w:t>
        </w:r>
      </w:hyperlink>
      <w:r>
        <w:rPr>
          <w:b w:val="0"/>
          <w:i w:val="0"/>
        </w:rPr>
        <w:t>.</w:t>
      </w:r>
    </w:p>
    <w:p>
      <w:pPr>
        <w:widowControl/>
      </w:pPr>
      <w:r>
        <w:rPr>
          <w:b/>
          <w:i w:val="0"/>
        </w:rPr>
        <w:t>concurrunt.</w:t>
      </w:r>
      <w:r>
        <w:rPr>
          <w:b w:val="0"/>
          <w:i w:val="0"/>
        </w:rPr>
        <w:t xml:space="preserve"> </w:t>
      </w:r>
      <w:hyperlink w:anchor="latin-record-0255">
        <w:r>
          <w:rPr>
            <w:color w:val="000000"/>
          </w:rPr>
          <w:t xml:space="preserve">conspirare / concurrere</w:t>
        </w:r>
      </w:hyperlink>
      <w:r>
        <w:rPr>
          <w:b w:val="0"/>
          <w:i w:val="0"/>
        </w:rPr>
        <w:t>.</w:t>
      </w:r>
    </w:p>
    <w:p>
      <w:pPr>
        <w:widowControl/>
      </w:pPr>
      <w:r>
        <w:rPr>
          <w:b/>
          <w:i w:val="0"/>
        </w:rPr>
        <w:t>concursu.</w:t>
      </w:r>
      <w:r>
        <w:rPr>
          <w:b w:val="0"/>
          <w:i w:val="0"/>
        </w:rPr>
        <w:t xml:space="preserve"> </w:t>
      </w:r>
      <w:hyperlink w:anchor="latin-record-0226">
        <w:r>
          <w:rPr>
            <w:color w:val="000000"/>
          </w:rPr>
          <w:t xml:space="preserve">concursus / confluere</w:t>
        </w:r>
      </w:hyperlink>
      <w:r>
        <w:rPr>
          <w:b w:val="0"/>
          <w:i w:val="0"/>
        </w:rPr>
        <w:t>.</w:t>
      </w:r>
    </w:p>
    <w:p>
      <w:pPr>
        <w:widowControl/>
      </w:pPr>
      <w:r>
        <w:rPr>
          <w:b/>
          <w:i w:val="0"/>
        </w:rPr>
        <w:t>condemnatur.</w:t>
      </w:r>
      <w:r>
        <w:rPr>
          <w:b w:val="0"/>
          <w:i w:val="0"/>
        </w:rPr>
        <w:t xml:space="preserve"> </w:t>
      </w:r>
      <w:hyperlink w:anchor="latin-record-0375">
        <w:r>
          <w:rPr>
            <w:color w:val="000000"/>
          </w:rPr>
          <w:t xml:space="preserve">error / impius / profanus</w:t>
        </w:r>
      </w:hyperlink>
      <w:r>
        <w:rPr>
          <w:b w:val="0"/>
          <w:i w:val="0"/>
        </w:rPr>
        <w:t>.</w:t>
      </w:r>
    </w:p>
    <w:p>
      <w:pPr>
        <w:widowControl/>
      </w:pPr>
      <w:r>
        <w:rPr>
          <w:b/>
          <w:i w:val="0"/>
        </w:rPr>
        <w:t>condensat.</w:t>
      </w:r>
      <w:r>
        <w:rPr>
          <w:b w:val="0"/>
          <w:i w:val="0"/>
        </w:rPr>
        <w:t xml:space="preserve"> </w:t>
      </w:r>
      <w:hyperlink w:anchor="latin-record-0337">
        <w:r>
          <w:rPr>
            <w:color w:val="000000"/>
          </w:rPr>
          <w:t xml:space="preserve">dissolvere / condensare</w:t>
        </w:r>
      </w:hyperlink>
      <w:r>
        <w:rPr>
          <w:b w:val="0"/>
          <w:i w:val="0"/>
        </w:rPr>
        <w:t>.</w:t>
      </w:r>
    </w:p>
    <w:p>
      <w:pPr>
        <w:widowControl/>
      </w:pPr>
      <w:r>
        <w:rPr>
          <w:b/>
          <w:i w:val="0"/>
        </w:rPr>
        <w:t>condiciones.</w:t>
      </w:r>
      <w:r>
        <w:rPr>
          <w:b w:val="0"/>
          <w:i w:val="0"/>
        </w:rPr>
        <w:t xml:space="preserve"> </w:t>
      </w:r>
      <w:hyperlink w:anchor="latin-record-0403">
        <w:r>
          <w:rPr>
            <w:color w:val="000000"/>
          </w:rPr>
          <w:t xml:space="preserve">exigo / condicio</w:t>
        </w:r>
      </w:hyperlink>
      <w:r>
        <w:rPr>
          <w:b w:val="0"/>
          <w:i w:val="0"/>
        </w:rPr>
        <w:t>.</w:t>
      </w:r>
    </w:p>
    <w:p>
      <w:pPr>
        <w:widowControl/>
      </w:pPr>
      <w:r>
        <w:rPr>
          <w:b/>
          <w:i w:val="0"/>
        </w:rPr>
        <w:t>conditio.</w:t>
      </w:r>
      <w:r>
        <w:rPr>
          <w:b w:val="0"/>
          <w:i w:val="0"/>
        </w:rPr>
        <w:t xml:space="preserve"> </w:t>
      </w:r>
      <w:hyperlink w:anchor="latin-record-0228">
        <w:r>
          <w:rPr>
            <w:color w:val="000000"/>
          </w:rPr>
          <w:t xml:space="preserve">condicio / innatus</w:t>
        </w:r>
      </w:hyperlink>
      <w:r>
        <w:rPr>
          <w:b w:val="0"/>
          <w:i w:val="0"/>
        </w:rPr>
        <w:t>.</w:t>
      </w:r>
    </w:p>
    <w:p>
      <w:pPr>
        <w:widowControl/>
      </w:pPr>
      <w:r>
        <w:rPr>
          <w:b/>
          <w:i w:val="0"/>
        </w:rPr>
        <w:t>Conditionali quadam necessitate.</w:t>
      </w:r>
      <w:r>
        <w:rPr>
          <w:b w:val="0"/>
          <w:i w:val="0"/>
        </w:rPr>
        <w:t xml:space="preserve"> </w:t>
      </w:r>
      <w:hyperlink w:anchor="latin-record-0229">
        <w:r>
          <w:rPr>
            <w:color w:val="000000"/>
          </w:rPr>
          <w:t xml:space="preserve">conditionali necessitate</w:t>
        </w:r>
      </w:hyperlink>
      <w:r>
        <w:rPr>
          <w:b w:val="0"/>
          <w:i w:val="0"/>
        </w:rPr>
        <w:t>.</w:t>
      </w:r>
    </w:p>
    <w:p>
      <w:pPr>
        <w:widowControl/>
      </w:pPr>
      <w:r>
        <w:rPr>
          <w:b/>
          <w:i w:val="0"/>
        </w:rPr>
        <w:t>conditionem.</w:t>
      </w:r>
      <w:r>
        <w:rPr>
          <w:b w:val="0"/>
          <w:i w:val="0"/>
        </w:rPr>
        <w:t xml:space="preserve"> </w:t>
      </w:r>
      <w:hyperlink w:anchor="latin-record-0768">
        <w:r>
          <w:rPr>
            <w:color w:val="000000"/>
          </w:rPr>
          <w:t xml:space="preserve">norma / condicio</w:t>
        </w:r>
      </w:hyperlink>
      <w:r>
        <w:rPr>
          <w:b w:val="0"/>
          <w:i w:val="0"/>
        </w:rPr>
        <w:t>.</w:t>
      </w:r>
    </w:p>
    <w:p>
      <w:pPr>
        <w:widowControl/>
      </w:pPr>
      <w:r>
        <w:rPr>
          <w:b/>
          <w:i w:val="0"/>
        </w:rPr>
        <w:t>conditionibus.</w:t>
      </w:r>
      <w:r>
        <w:rPr>
          <w:b w:val="0"/>
          <w:i w:val="0"/>
        </w:rPr>
        <w:t xml:space="preserve"> </w:t>
      </w:r>
      <w:hyperlink w:anchor="latin-record-0227">
        <w:r>
          <w:rPr>
            <w:color w:val="000000"/>
          </w:rPr>
          <w:t xml:space="preserve">condicio / accidens</w:t>
        </w:r>
      </w:hyperlink>
      <w:r>
        <w:rPr>
          <w:b w:val="0"/>
          <w:i w:val="0"/>
        </w:rPr>
        <w:t>.</w:t>
      </w:r>
    </w:p>
    <w:p>
      <w:pPr>
        <w:widowControl/>
      </w:pPr>
      <w:r>
        <w:rPr>
          <w:b/>
          <w:i w:val="0"/>
        </w:rPr>
        <w:t>conducant.</w:t>
      </w:r>
      <w:r>
        <w:rPr>
          <w:b w:val="0"/>
          <w:i w:val="0"/>
        </w:rPr>
        <w:t xml:space="preserve"> </w:t>
      </w:r>
      <w:hyperlink w:anchor="latin-record-0232">
        <w:r>
          <w:rPr>
            <w:color w:val="000000"/>
          </w:rPr>
          <w:t xml:space="preserve">conferre / conducere</w:t>
        </w:r>
      </w:hyperlink>
      <w:r>
        <w:rPr>
          <w:b w:val="0"/>
          <w:i w:val="0"/>
        </w:rPr>
        <w:t>.</w:t>
      </w:r>
    </w:p>
    <w:p>
      <w:pPr>
        <w:widowControl/>
      </w:pPr>
      <w:r>
        <w:rPr>
          <w:b/>
          <w:i w:val="0"/>
        </w:rPr>
        <w:t>conducat.</w:t>
      </w:r>
      <w:r>
        <w:rPr>
          <w:b w:val="0"/>
          <w:i w:val="0"/>
        </w:rPr>
        <w:t xml:space="preserve"> </w:t>
      </w:r>
      <w:hyperlink w:anchor="latin-record-0222">
        <w:r>
          <w:rPr>
            <w:color w:val="000000"/>
          </w:rPr>
          <w:t xml:space="preserve">concinere / conducere</w:t>
        </w:r>
      </w:hyperlink>
      <w:r>
        <w:rPr>
          <w:b w:val="0"/>
          <w:i w:val="0"/>
        </w:rPr>
        <w:t>.</w:t>
      </w:r>
    </w:p>
    <w:p>
      <w:pPr>
        <w:widowControl/>
      </w:pPr>
      <w:r>
        <w:rPr>
          <w:b/>
          <w:i w:val="0"/>
        </w:rPr>
        <w:t>conducunt.</w:t>
      </w:r>
      <w:r>
        <w:rPr>
          <w:b w:val="0"/>
          <w:i w:val="0"/>
        </w:rPr>
        <w:t xml:space="preserve"> </w:t>
      </w:r>
      <w:hyperlink w:anchor="latin-record-0903">
        <w:r>
          <w:rPr>
            <w:color w:val="000000"/>
          </w:rPr>
          <w:t xml:space="preserve">praebere / conducere</w:t>
        </w:r>
      </w:hyperlink>
      <w:r>
        <w:rPr>
          <w:b w:val="0"/>
          <w:i w:val="0"/>
        </w:rPr>
        <w:t>.</w:t>
      </w:r>
    </w:p>
    <w:p>
      <w:pPr>
        <w:widowControl/>
      </w:pPr>
      <w:r>
        <w:rPr>
          <w:b/>
          <w:i w:val="0"/>
        </w:rPr>
        <w:t>confabulari.</w:t>
      </w:r>
      <w:r>
        <w:rPr>
          <w:b w:val="0"/>
          <w:i w:val="0"/>
        </w:rPr>
        <w:t xml:space="preserve"> </w:t>
      </w:r>
      <w:hyperlink w:anchor="latin-record-0231">
        <w:r>
          <w:rPr>
            <w:color w:val="000000"/>
          </w:rPr>
          <w:t xml:space="preserve">confabulari</w:t>
        </w:r>
      </w:hyperlink>
      <w:r>
        <w:rPr>
          <w:b w:val="0"/>
          <w:i w:val="0"/>
        </w:rPr>
        <w:t>.</w:t>
      </w:r>
    </w:p>
    <w:p>
      <w:pPr>
        <w:widowControl/>
      </w:pPr>
      <w:r>
        <w:rPr>
          <w:b/>
          <w:i w:val="0"/>
        </w:rPr>
        <w:t>confabulati sumus.</w:t>
      </w:r>
      <w:r>
        <w:rPr>
          <w:b w:val="0"/>
          <w:i w:val="0"/>
        </w:rPr>
        <w:t xml:space="preserve"> </w:t>
      </w:r>
      <w:hyperlink w:anchor="latin-record-0231">
        <w:r>
          <w:rPr>
            <w:color w:val="000000"/>
          </w:rPr>
          <w:t xml:space="preserve">confabulari</w:t>
        </w:r>
      </w:hyperlink>
      <w:r>
        <w:rPr>
          <w:b w:val="0"/>
          <w:i w:val="0"/>
        </w:rPr>
        <w:t>.</w:t>
      </w:r>
    </w:p>
    <w:p>
      <w:pPr>
        <w:widowControl/>
      </w:pPr>
      <w:r>
        <w:rPr>
          <w:b/>
          <w:i w:val="0"/>
        </w:rPr>
        <w:t>conferre.</w:t>
      </w:r>
      <w:r>
        <w:rPr>
          <w:b w:val="0"/>
          <w:i w:val="0"/>
        </w:rPr>
        <w:t xml:space="preserve"> </w:t>
      </w:r>
      <w:hyperlink w:anchor="latin-record-0232">
        <w:r>
          <w:rPr>
            <w:color w:val="000000"/>
          </w:rPr>
          <w:t xml:space="preserve">conferre / conducere</w:t>
        </w:r>
      </w:hyperlink>
      <w:r>
        <w:rPr>
          <w:b w:val="0"/>
          <w:i w:val="0"/>
        </w:rPr>
        <w:t>.</w:t>
      </w:r>
    </w:p>
    <w:p>
      <w:pPr>
        <w:widowControl/>
      </w:pPr>
      <w:r>
        <w:rPr>
          <w:b/>
          <w:i w:val="0"/>
        </w:rPr>
        <w:t>confert.</w:t>
      </w:r>
      <w:r>
        <w:rPr>
          <w:b w:val="0"/>
          <w:i w:val="0"/>
        </w:rPr>
        <w:t xml:space="preserve"> </w:t>
      </w:r>
      <w:hyperlink w:anchor="latin-record-0224">
        <w:r>
          <w:rPr>
            <w:color w:val="000000"/>
          </w:rPr>
          <w:t xml:space="preserve">concludere / confirmare / patere</w:t>
        </w:r>
      </w:hyperlink>
      <w:r>
        <w:rPr>
          <w:b w:val="0"/>
          <w:i w:val="0"/>
        </w:rPr>
        <w:t xml:space="preserve">; </w:t>
      </w:r>
      <w:hyperlink w:anchor="latin-record-0232">
        <w:r>
          <w:rPr>
            <w:color w:val="000000"/>
          </w:rPr>
          <w:t xml:space="preserve">conferre / conducere</w:t>
        </w:r>
      </w:hyperlink>
      <w:r>
        <w:rPr>
          <w:b w:val="0"/>
          <w:i w:val="0"/>
        </w:rPr>
        <w:t>.</w:t>
      </w:r>
    </w:p>
    <w:p>
      <w:pPr>
        <w:widowControl/>
      </w:pPr>
      <w:r>
        <w:rPr>
          <w:b/>
          <w:i w:val="0"/>
        </w:rPr>
        <w:t>conficere.</w:t>
      </w:r>
      <w:r>
        <w:rPr>
          <w:b w:val="0"/>
          <w:i w:val="0"/>
        </w:rPr>
        <w:t xml:space="preserve"> </w:t>
      </w:r>
      <w:hyperlink w:anchor="latin-record-0423">
        <w:r>
          <w:rPr>
            <w:color w:val="000000"/>
          </w:rPr>
          <w:t xml:space="preserve">fabricare / construere / conficere</w:t>
        </w:r>
      </w:hyperlink>
      <w:r>
        <w:rPr>
          <w:b w:val="0"/>
          <w:i w:val="0"/>
        </w:rPr>
        <w:t>.</w:t>
      </w:r>
    </w:p>
    <w:p>
      <w:pPr>
        <w:widowControl/>
      </w:pPr>
      <w:r>
        <w:rPr>
          <w:b/>
          <w:i w:val="0"/>
        </w:rPr>
        <w:t>confirmat.</w:t>
      </w:r>
      <w:r>
        <w:rPr>
          <w:b w:val="0"/>
          <w:i w:val="0"/>
        </w:rPr>
        <w:t xml:space="preserve"> </w:t>
      </w:r>
      <w:hyperlink w:anchor="latin-record-0224">
        <w:r>
          <w:rPr>
            <w:color w:val="000000"/>
          </w:rPr>
          <w:t xml:space="preserve">concludere / confirmare / patere</w:t>
        </w:r>
      </w:hyperlink>
      <w:r>
        <w:rPr>
          <w:b w:val="0"/>
          <w:i w:val="0"/>
        </w:rPr>
        <w:t xml:space="preserve">; </w:t>
      </w:r>
      <w:hyperlink w:anchor="latin-record-0245">
        <w:r>
          <w:rPr>
            <w:color w:val="000000"/>
          </w:rPr>
          <w:t xml:space="preserve">consentire / confirmare</w:t>
        </w:r>
      </w:hyperlink>
      <w:r>
        <w:rPr>
          <w:b w:val="0"/>
          <w:i w:val="0"/>
        </w:rPr>
        <w:t>.</w:t>
      </w:r>
    </w:p>
    <w:p>
      <w:pPr>
        <w:widowControl/>
      </w:pPr>
      <w:r>
        <w:rPr>
          <w:b/>
          <w:i w:val="0"/>
        </w:rPr>
        <w:t>confirmatum.</w:t>
      </w:r>
      <w:r>
        <w:rPr>
          <w:b w:val="0"/>
          <w:i w:val="0"/>
        </w:rPr>
        <w:t xml:space="preserve"> </w:t>
      </w:r>
      <w:hyperlink w:anchor="latin-record-0224">
        <w:r>
          <w:rPr>
            <w:color w:val="000000"/>
          </w:rPr>
          <w:t xml:space="preserve">concludere / confirmare / patere</w:t>
        </w:r>
      </w:hyperlink>
      <w:r>
        <w:rPr>
          <w:b w:val="0"/>
          <w:i w:val="0"/>
        </w:rPr>
        <w:t>.</w:t>
      </w:r>
    </w:p>
    <w:p>
      <w:pPr>
        <w:widowControl/>
      </w:pPr>
      <w:r>
        <w:rPr>
          <w:b/>
          <w:i w:val="0"/>
        </w:rPr>
        <w:t>confitebuntur.</w:t>
      </w:r>
      <w:r>
        <w:rPr>
          <w:b w:val="0"/>
          <w:i w:val="0"/>
        </w:rPr>
        <w:t xml:space="preserve"> </w:t>
      </w:r>
      <w:hyperlink w:anchor="latin-record-0233">
        <w:r>
          <w:rPr>
            <w:color w:val="000000"/>
          </w:rPr>
          <w:t xml:space="preserve">confiteri / asseverare</w:t>
        </w:r>
      </w:hyperlink>
      <w:r>
        <w:rPr>
          <w:b w:val="0"/>
          <w:i w:val="0"/>
        </w:rPr>
        <w:t>.</w:t>
      </w:r>
    </w:p>
    <w:p>
      <w:pPr>
        <w:widowControl/>
      </w:pPr>
      <w:r>
        <w:rPr>
          <w:b/>
          <w:i w:val="0"/>
        </w:rPr>
        <w:t>confitentur.</w:t>
      </w:r>
      <w:r>
        <w:rPr>
          <w:b w:val="0"/>
          <w:i w:val="0"/>
        </w:rPr>
        <w:t xml:space="preserve"> </w:t>
      </w:r>
      <w:hyperlink w:anchor="latin-record-0234">
        <w:r>
          <w:rPr>
            <w:color w:val="000000"/>
          </w:rPr>
          <w:t xml:space="preserve">confiteri / tradere</w:t>
        </w:r>
      </w:hyperlink>
      <w:r>
        <w:rPr>
          <w:b w:val="0"/>
          <w:i w:val="0"/>
        </w:rPr>
        <w:t>.</w:t>
      </w:r>
    </w:p>
    <w:p>
      <w:pPr>
        <w:widowControl/>
      </w:pPr>
      <w:r>
        <w:rPr>
          <w:b/>
          <w:i w:val="0"/>
        </w:rPr>
        <w:t>confluentes.</w:t>
      </w:r>
      <w:r>
        <w:rPr>
          <w:b w:val="0"/>
          <w:i w:val="0"/>
        </w:rPr>
        <w:t xml:space="preserve"> </w:t>
      </w:r>
      <w:hyperlink w:anchor="latin-record-0226">
        <w:r>
          <w:rPr>
            <w:color w:val="000000"/>
          </w:rPr>
          <w:t xml:space="preserve">concursus / confluere</w:t>
        </w:r>
      </w:hyperlink>
      <w:r>
        <w:rPr>
          <w:b w:val="0"/>
          <w:i w:val="0"/>
        </w:rPr>
        <w:t>.</w:t>
      </w:r>
    </w:p>
    <w:p>
      <w:pPr>
        <w:widowControl/>
      </w:pPr>
      <w:r>
        <w:rPr>
          <w:b/>
          <w:i w:val="0"/>
        </w:rPr>
        <w:t>confundit.</w:t>
      </w:r>
      <w:r>
        <w:rPr>
          <w:b w:val="0"/>
          <w:i w:val="0"/>
        </w:rPr>
        <w:t xml:space="preserve"> </w:t>
      </w:r>
      <w:hyperlink w:anchor="latin-record-0427">
        <w:r>
          <w:rPr>
            <w:color w:val="000000"/>
          </w:rPr>
          <w:t xml:space="preserve">fallere / praestigiae / confundere</w:t>
        </w:r>
      </w:hyperlink>
      <w:r>
        <w:rPr>
          <w:b w:val="0"/>
          <w:i w:val="0"/>
        </w:rPr>
        <w:t>.</w:t>
      </w:r>
    </w:p>
    <w:p>
      <w:pPr>
        <w:widowControl/>
      </w:pPr>
      <w:r>
        <w:rPr>
          <w:b/>
          <w:i w:val="0"/>
        </w:rPr>
        <w:t>confusam.</w:t>
      </w:r>
      <w:r>
        <w:rPr>
          <w:b w:val="0"/>
          <w:i w:val="0"/>
        </w:rPr>
        <w:t xml:space="preserve"> </w:t>
      </w:r>
      <w:hyperlink w:anchor="latin-record-0236">
        <w:r>
          <w:rPr>
            <w:color w:val="000000"/>
          </w:rPr>
          <w:t xml:space="preserve">confusus / distinctus</w:t>
        </w:r>
      </w:hyperlink>
      <w:r>
        <w:rPr>
          <w:b w:val="0"/>
          <w:i w:val="0"/>
        </w:rPr>
        <w:t>.</w:t>
      </w:r>
    </w:p>
    <w:p>
      <w:pPr>
        <w:widowControl/>
      </w:pPr>
      <w:r>
        <w:rPr>
          <w:b/>
          <w:i w:val="0"/>
        </w:rPr>
        <w:t>confusione.</w:t>
      </w:r>
      <w:r>
        <w:rPr>
          <w:b w:val="0"/>
          <w:i w:val="0"/>
        </w:rPr>
        <w:t xml:space="preserve"> </w:t>
      </w:r>
      <w:hyperlink w:anchor="latin-record-0235">
        <w:r>
          <w:rPr>
            <w:color w:val="000000"/>
          </w:rPr>
          <w:t xml:space="preserve">confusio / permiscere / iungere</w:t>
        </w:r>
      </w:hyperlink>
      <w:r>
        <w:rPr>
          <w:b w:val="0"/>
          <w:i w:val="0"/>
        </w:rPr>
        <w:t>.</w:t>
      </w:r>
    </w:p>
    <w:p>
      <w:pPr>
        <w:widowControl/>
      </w:pPr>
      <w:r>
        <w:rPr>
          <w:b/>
          <w:i w:val="0"/>
        </w:rPr>
        <w:t>confutatum.</w:t>
      </w:r>
      <w:r>
        <w:rPr>
          <w:b w:val="0"/>
          <w:i w:val="0"/>
        </w:rPr>
        <w:t xml:space="preserve"> </w:t>
      </w:r>
      <w:hyperlink w:anchor="latin-record-0237">
        <w:r>
          <w:rPr>
            <w:color w:val="000000"/>
          </w:rPr>
          <w:t xml:space="preserve">confutare / refellere</w:t>
        </w:r>
      </w:hyperlink>
      <w:r>
        <w:rPr>
          <w:b w:val="0"/>
          <w:i w:val="0"/>
        </w:rPr>
        <w:t>.</w:t>
      </w:r>
    </w:p>
    <w:p>
      <w:pPr>
        <w:widowControl/>
      </w:pPr>
      <w:r>
        <w:rPr>
          <w:b/>
          <w:i w:val="0"/>
        </w:rPr>
        <w:t>congeriem.</w:t>
      </w:r>
      <w:r>
        <w:rPr>
          <w:b w:val="0"/>
          <w:i w:val="0"/>
        </w:rPr>
        <w:t xml:space="preserve"> </w:t>
      </w:r>
      <w:hyperlink w:anchor="latin-record-0627">
        <w:r>
          <w:rPr>
            <w:color w:val="000000"/>
          </w:rPr>
          <w:t xml:space="preserve">lapis / paries / congeries</w:t>
        </w:r>
      </w:hyperlink>
      <w:r>
        <w:rPr>
          <w:b w:val="0"/>
          <w:i w:val="0"/>
        </w:rPr>
        <w:t>.</w:t>
      </w:r>
    </w:p>
    <w:p>
      <w:pPr>
        <w:widowControl/>
      </w:pPr>
      <w:r>
        <w:rPr>
          <w:b/>
          <w:i w:val="0"/>
        </w:rPr>
        <w:t>conglutinatur.</w:t>
      </w:r>
      <w:r>
        <w:rPr>
          <w:b w:val="0"/>
          <w:i w:val="0"/>
        </w:rPr>
        <w:t xml:space="preserve"> </w:t>
      </w:r>
      <w:hyperlink w:anchor="latin-record-0238">
        <w:r>
          <w:rPr>
            <w:color w:val="000000"/>
          </w:rPr>
          <w:t xml:space="preserve">conglutinare / consonare</w:t>
        </w:r>
      </w:hyperlink>
      <w:r>
        <w:rPr>
          <w:b w:val="0"/>
          <w:i w:val="0"/>
        </w:rPr>
        <w:t>.</w:t>
      </w:r>
    </w:p>
    <w:p>
      <w:pPr>
        <w:widowControl/>
      </w:pPr>
      <w:r>
        <w:rPr>
          <w:b/>
          <w:i w:val="0"/>
        </w:rPr>
        <w:t>congruant.</w:t>
      </w:r>
      <w:r>
        <w:rPr>
          <w:b w:val="0"/>
          <w:i w:val="0"/>
        </w:rPr>
        <w:t xml:space="preserve"> </w:t>
      </w:r>
      <w:hyperlink w:anchor="latin-record-0271">
        <w:r>
          <w:rPr>
            <w:color w:val="000000"/>
          </w:rPr>
          <w:t xml:space="preserve">convenire / congruere</w:t>
        </w:r>
      </w:hyperlink>
      <w:r>
        <w:rPr>
          <w:b w:val="0"/>
          <w:i w:val="0"/>
        </w:rPr>
        <w:t>.</w:t>
      </w:r>
    </w:p>
    <w:p>
      <w:pPr>
        <w:widowControl/>
      </w:pPr>
      <w:r>
        <w:rPr>
          <w:b/>
          <w:i w:val="0"/>
        </w:rPr>
        <w:t>congruerent.</w:t>
      </w:r>
      <w:r>
        <w:rPr>
          <w:b w:val="0"/>
          <w:i w:val="0"/>
        </w:rPr>
        <w:t xml:space="preserve"> </w:t>
      </w:r>
      <w:hyperlink w:anchor="latin-record-0271">
        <w:r>
          <w:rPr>
            <w:color w:val="000000"/>
          </w:rPr>
          <w:t xml:space="preserve">convenire / congruere</w:t>
        </w:r>
      </w:hyperlink>
      <w:r>
        <w:rPr>
          <w:b w:val="0"/>
          <w:i w:val="0"/>
        </w:rPr>
        <w:t>.</w:t>
      </w:r>
    </w:p>
    <w:p>
      <w:pPr>
        <w:widowControl/>
      </w:pPr>
      <w:r>
        <w:rPr>
          <w:b/>
          <w:i w:val="0"/>
        </w:rPr>
        <w:t>congruit.</w:t>
      </w:r>
      <w:r>
        <w:rPr>
          <w:b w:val="0"/>
          <w:i w:val="0"/>
        </w:rPr>
        <w:t xml:space="preserve"> </w:t>
      </w:r>
      <w:hyperlink w:anchor="latin-record-0089">
        <w:r>
          <w:rPr>
            <w:color w:val="000000"/>
          </w:rPr>
          <w:t xml:space="preserve">aptus / convenire / congruere</w:t>
        </w:r>
      </w:hyperlink>
      <w:r>
        <w:rPr>
          <w:b w:val="0"/>
          <w:i w:val="0"/>
        </w:rPr>
        <w:t>.</w:t>
      </w:r>
    </w:p>
    <w:p>
      <w:pPr>
        <w:widowControl/>
      </w:pPr>
      <w:r>
        <w:rPr>
          <w:b/>
          <w:i w:val="0"/>
        </w:rPr>
        <w:t>conicimus.</w:t>
      </w:r>
      <w:r>
        <w:rPr>
          <w:b w:val="0"/>
          <w:i w:val="0"/>
        </w:rPr>
        <w:t xml:space="preserve"> </w:t>
      </w:r>
      <w:hyperlink w:anchor="latin-record-0239">
        <w:r>
          <w:rPr>
            <w:color w:val="000000"/>
          </w:rPr>
          <w:t xml:space="preserve">conicio</w:t>
        </w:r>
      </w:hyperlink>
      <w:r>
        <w:rPr>
          <w:b w:val="0"/>
          <w:i w:val="0"/>
        </w:rPr>
        <w:t>.</w:t>
      </w:r>
    </w:p>
    <w:p>
      <w:pPr>
        <w:widowControl/>
      </w:pPr>
      <w:r>
        <w:rPr>
          <w:b/>
          <w:i w:val="0"/>
        </w:rPr>
        <w:t>coniectari.</w:t>
      </w:r>
      <w:r>
        <w:rPr>
          <w:b w:val="0"/>
          <w:i w:val="0"/>
        </w:rPr>
        <w:t xml:space="preserve"> </w:t>
      </w:r>
      <w:hyperlink w:anchor="latin-record-0240">
        <w:r>
          <w:rPr>
            <w:color w:val="000000"/>
          </w:rPr>
          <w:t xml:space="preserve">coniectari</w:t>
        </w:r>
      </w:hyperlink>
      <w:r>
        <w:rPr>
          <w:b w:val="0"/>
          <w:i w:val="0"/>
        </w:rPr>
        <w:t>.</w:t>
      </w:r>
    </w:p>
    <w:p>
      <w:pPr>
        <w:widowControl/>
      </w:pPr>
      <w:r>
        <w:rPr>
          <w:b/>
          <w:i w:val="0"/>
        </w:rPr>
        <w:t>connectere.</w:t>
      </w:r>
      <w:r>
        <w:rPr>
          <w:b w:val="0"/>
          <w:i w:val="0"/>
        </w:rPr>
        <w:t xml:space="preserve"> </w:t>
      </w:r>
      <w:hyperlink w:anchor="latin-record-1263">
        <w:r>
          <w:rPr>
            <w:color w:val="000000"/>
          </w:rPr>
          <w:t xml:space="preserve">vincire / connectere</w:t>
        </w:r>
      </w:hyperlink>
      <w:r>
        <w:rPr>
          <w:b w:val="0"/>
          <w:i w:val="0"/>
        </w:rPr>
        <w:t>.</w:t>
      </w:r>
    </w:p>
    <w:p>
      <w:pPr>
        <w:widowControl/>
      </w:pPr>
      <w:r>
        <w:rPr>
          <w:b/>
          <w:i w:val="0"/>
        </w:rPr>
        <w:t>connectit.</w:t>
      </w:r>
      <w:r>
        <w:rPr>
          <w:b w:val="0"/>
          <w:i w:val="0"/>
        </w:rPr>
        <w:t xml:space="preserve"> </w:t>
      </w:r>
      <w:hyperlink w:anchor="latin-record-0241">
        <w:r>
          <w:rPr>
            <w:color w:val="000000"/>
          </w:rPr>
          <w:t xml:space="preserve">connectere / copulare / colligare</w:t>
        </w:r>
      </w:hyperlink>
      <w:r>
        <w:rPr>
          <w:b w:val="0"/>
          <w:i w:val="0"/>
        </w:rPr>
        <w:t xml:space="preserve">; </w:t>
      </w:r>
      <w:hyperlink w:anchor="latin-record-1264">
        <w:r>
          <w:rPr>
            <w:color w:val="000000"/>
          </w:rPr>
          <w:t xml:space="preserve">vinculum / connecto</w:t>
        </w:r>
      </w:hyperlink>
      <w:r>
        <w:rPr>
          <w:b w:val="0"/>
          <w:i w:val="0"/>
        </w:rPr>
        <w:t>.</w:t>
      </w:r>
    </w:p>
    <w:p>
      <w:pPr>
        <w:widowControl/>
      </w:pPr>
      <w:r>
        <w:rPr>
          <w:b/>
          <w:i w:val="0"/>
        </w:rPr>
        <w:t>connexio.</w:t>
      </w:r>
      <w:r>
        <w:rPr>
          <w:b w:val="0"/>
          <w:i w:val="0"/>
        </w:rPr>
        <w:t xml:space="preserve"> </w:t>
      </w:r>
      <w:hyperlink w:anchor="latin-record-0241">
        <w:r>
          <w:rPr>
            <w:color w:val="000000"/>
          </w:rPr>
          <w:t xml:space="preserve">connectere / copulare / colligare</w:t>
        </w:r>
      </w:hyperlink>
      <w:r>
        <w:rPr>
          <w:b w:val="0"/>
          <w:i w:val="0"/>
        </w:rPr>
        <w:t>.</w:t>
      </w:r>
    </w:p>
    <w:p>
      <w:pPr>
        <w:widowControl/>
      </w:pPr>
      <w:r>
        <w:rPr>
          <w:b/>
          <w:i w:val="0"/>
        </w:rPr>
        <w:t>connexioni.</w:t>
      </w:r>
      <w:r>
        <w:rPr>
          <w:b w:val="0"/>
          <w:i w:val="0"/>
        </w:rPr>
        <w:t xml:space="preserve"> </w:t>
      </w:r>
      <w:hyperlink w:anchor="latin-record-0242">
        <w:r>
          <w:rPr>
            <w:color w:val="000000"/>
          </w:rPr>
          <w:t xml:space="preserve">connexio</w:t>
        </w:r>
      </w:hyperlink>
      <w:r>
        <w:rPr>
          <w:b w:val="0"/>
          <w:i w:val="0"/>
        </w:rPr>
        <w:t>.</w:t>
      </w:r>
    </w:p>
    <w:p>
      <w:pPr>
        <w:widowControl/>
      </w:pPr>
      <w:r>
        <w:rPr>
          <w:b/>
          <w:i w:val="0"/>
        </w:rPr>
        <w:t>conquiescat.</w:t>
      </w:r>
      <w:r>
        <w:rPr>
          <w:b w:val="0"/>
          <w:i w:val="0"/>
        </w:rPr>
        <w:t xml:space="preserve"> </w:t>
      </w:r>
      <w:hyperlink w:anchor="latin-record-0244">
        <w:r>
          <w:rPr>
            <w:color w:val="000000"/>
          </w:rPr>
          <w:t xml:space="preserve">conquiescere / amplecti</w:t>
        </w:r>
      </w:hyperlink>
      <w:r>
        <w:rPr>
          <w:b w:val="0"/>
          <w:i w:val="0"/>
        </w:rPr>
        <w:t>.</w:t>
      </w:r>
    </w:p>
    <w:p>
      <w:pPr>
        <w:widowControl/>
      </w:pPr>
      <w:r>
        <w:rPr>
          <w:b/>
          <w:i w:val="0"/>
        </w:rPr>
        <w:t>consentiant.</w:t>
      </w:r>
      <w:r>
        <w:rPr>
          <w:b w:val="0"/>
          <w:i w:val="0"/>
        </w:rPr>
        <w:t xml:space="preserve"> </w:t>
      </w:r>
      <w:hyperlink w:anchor="latin-record-0246">
        <w:r>
          <w:rPr>
            <w:color w:val="000000"/>
          </w:rPr>
          <w:t xml:space="preserve">consentire / dissentire</w:t>
        </w:r>
      </w:hyperlink>
      <w:r>
        <w:rPr>
          <w:b w:val="0"/>
          <w:i w:val="0"/>
        </w:rPr>
        <w:t>.</w:t>
      </w:r>
    </w:p>
    <w:p>
      <w:pPr>
        <w:widowControl/>
      </w:pPr>
      <w:r>
        <w:rPr>
          <w:b/>
          <w:i w:val="0"/>
        </w:rPr>
        <w:t>consentire.</w:t>
      </w:r>
      <w:r>
        <w:rPr>
          <w:b w:val="0"/>
          <w:i w:val="0"/>
        </w:rPr>
        <w:t xml:space="preserve"> </w:t>
      </w:r>
      <w:hyperlink w:anchor="latin-record-0246">
        <w:r>
          <w:rPr>
            <w:color w:val="000000"/>
          </w:rPr>
          <w:t xml:space="preserve">consentire / dissentire</w:t>
        </w:r>
      </w:hyperlink>
      <w:r>
        <w:rPr>
          <w:b w:val="0"/>
          <w:i w:val="0"/>
        </w:rPr>
        <w:t>.</w:t>
      </w:r>
    </w:p>
    <w:p>
      <w:pPr>
        <w:widowControl/>
      </w:pPr>
      <w:r>
        <w:rPr>
          <w:b/>
          <w:i w:val="0"/>
        </w:rPr>
        <w:t>consentit.</w:t>
      </w:r>
      <w:r>
        <w:rPr>
          <w:b w:val="0"/>
          <w:i w:val="0"/>
        </w:rPr>
        <w:t xml:space="preserve"> </w:t>
      </w:r>
      <w:hyperlink w:anchor="latin-record-0245">
        <w:r>
          <w:rPr>
            <w:color w:val="000000"/>
          </w:rPr>
          <w:t xml:space="preserve">consentire / confirmare</w:t>
        </w:r>
      </w:hyperlink>
      <w:r>
        <w:rPr>
          <w:b w:val="0"/>
          <w:i w:val="0"/>
        </w:rPr>
        <w:t>.</w:t>
      </w:r>
    </w:p>
    <w:p>
      <w:pPr>
        <w:widowControl/>
      </w:pPr>
      <w:r>
        <w:rPr>
          <w:b/>
          <w:i w:val="0"/>
        </w:rPr>
        <w:t>consequens.</w:t>
      </w:r>
      <w:r>
        <w:rPr>
          <w:b w:val="0"/>
          <w:i w:val="0"/>
        </w:rPr>
        <w:t xml:space="preserve"> </w:t>
      </w:r>
      <w:hyperlink w:anchor="latin-record-0247">
        <w:r>
          <w:rPr>
            <w:color w:val="000000"/>
          </w:rPr>
          <w:t xml:space="preserve">consequi / assequi / nancisci</w:t>
        </w:r>
      </w:hyperlink>
      <w:r>
        <w:rPr>
          <w:b w:val="0"/>
          <w:i w:val="0"/>
        </w:rPr>
        <w:t xml:space="preserve">; </w:t>
      </w:r>
      <w:hyperlink w:anchor="latin-record-0248">
        <w:r>
          <w:rPr>
            <w:color w:val="000000"/>
          </w:rPr>
          <w:t xml:space="preserve">consequi / consequens</w:t>
        </w:r>
      </w:hyperlink>
      <w:r>
        <w:rPr>
          <w:b w:val="0"/>
          <w:i w:val="0"/>
        </w:rPr>
        <w:t>.</w:t>
      </w:r>
    </w:p>
    <w:p>
      <w:pPr>
        <w:widowControl/>
      </w:pPr>
      <w:r>
        <w:rPr>
          <w:b/>
          <w:i w:val="0"/>
        </w:rPr>
        <w:t>consequitur.</w:t>
      </w:r>
      <w:r>
        <w:rPr>
          <w:b w:val="0"/>
          <w:i w:val="0"/>
        </w:rPr>
        <w:t xml:space="preserve"> </w:t>
      </w:r>
      <w:hyperlink w:anchor="latin-record-0247">
        <w:r>
          <w:rPr>
            <w:color w:val="000000"/>
          </w:rPr>
          <w:t xml:space="preserve">consequi / assequi / nancisci</w:t>
        </w:r>
      </w:hyperlink>
      <w:r>
        <w:rPr>
          <w:b w:val="0"/>
          <w:i w:val="0"/>
        </w:rPr>
        <w:t xml:space="preserve">; </w:t>
      </w:r>
      <w:hyperlink w:anchor="latin-record-0248">
        <w:r>
          <w:rPr>
            <w:color w:val="000000"/>
          </w:rPr>
          <w:t xml:space="preserve">consequi / consequens</w:t>
        </w:r>
      </w:hyperlink>
      <w:r>
        <w:rPr>
          <w:b w:val="0"/>
          <w:i w:val="0"/>
        </w:rPr>
        <w:t>.</w:t>
      </w:r>
    </w:p>
    <w:p>
      <w:pPr>
        <w:widowControl/>
      </w:pPr>
      <w:r>
        <w:rPr>
          <w:b/>
          <w:i w:val="0"/>
        </w:rPr>
        <w:t>consequuntur.</w:t>
      </w:r>
      <w:r>
        <w:rPr>
          <w:b w:val="0"/>
          <w:i w:val="0"/>
        </w:rPr>
        <w:t xml:space="preserve"> </w:t>
      </w:r>
      <w:hyperlink w:anchor="latin-record-0248">
        <w:r>
          <w:rPr>
            <w:color w:val="000000"/>
          </w:rPr>
          <w:t xml:space="preserve">consequi / consequens</w:t>
        </w:r>
      </w:hyperlink>
      <w:r>
        <w:rPr>
          <w:b w:val="0"/>
          <w:i w:val="0"/>
        </w:rPr>
        <w:t>.</w:t>
      </w:r>
    </w:p>
    <w:p>
      <w:pPr>
        <w:widowControl/>
      </w:pPr>
      <w:r>
        <w:rPr>
          <w:b/>
          <w:i w:val="0"/>
        </w:rPr>
        <w:t>conservari.</w:t>
      </w:r>
      <w:r>
        <w:rPr>
          <w:b w:val="0"/>
          <w:i w:val="0"/>
        </w:rPr>
        <w:t xml:space="preserve"> </w:t>
      </w:r>
      <w:hyperlink w:anchor="latin-record-0358">
        <w:r>
          <w:rPr>
            <w:color w:val="000000"/>
          </w:rPr>
          <w:t xml:space="preserve">edere / servare / conservare</w:t>
        </w:r>
      </w:hyperlink>
      <w:r>
        <w:rPr>
          <w:b w:val="0"/>
          <w:i w:val="0"/>
        </w:rPr>
        <w:t>.</w:t>
      </w:r>
    </w:p>
    <w:p>
      <w:pPr>
        <w:widowControl/>
      </w:pPr>
      <w:r>
        <w:rPr>
          <w:b/>
          <w:i w:val="0"/>
        </w:rPr>
        <w:t>conservat.</w:t>
      </w:r>
      <w:r>
        <w:rPr>
          <w:b w:val="0"/>
          <w:i w:val="0"/>
        </w:rPr>
        <w:t xml:space="preserve"> </w:t>
      </w:r>
      <w:hyperlink w:anchor="latin-record-0358">
        <w:r>
          <w:rPr>
            <w:color w:val="000000"/>
          </w:rPr>
          <w:t xml:space="preserve">edere / servare / conservare</w:t>
        </w:r>
      </w:hyperlink>
      <w:r>
        <w:rPr>
          <w:b w:val="0"/>
          <w:i w:val="0"/>
        </w:rPr>
        <w:t>.</w:t>
      </w:r>
    </w:p>
    <w:p>
      <w:pPr>
        <w:widowControl/>
      </w:pPr>
      <w:r>
        <w:rPr>
          <w:b/>
          <w:i w:val="0"/>
        </w:rPr>
        <w:t>conservatore.</w:t>
      </w:r>
      <w:r>
        <w:rPr>
          <w:b w:val="0"/>
          <w:i w:val="0"/>
        </w:rPr>
        <w:t xml:space="preserve"> </w:t>
      </w:r>
      <w:hyperlink w:anchor="latin-record-0358">
        <w:r>
          <w:rPr>
            <w:color w:val="000000"/>
          </w:rPr>
          <w:t xml:space="preserve">edere / servare / conservare</w:t>
        </w:r>
      </w:hyperlink>
      <w:r>
        <w:rPr>
          <w:b w:val="0"/>
          <w:i w:val="0"/>
        </w:rPr>
        <w:t>.</w:t>
      </w:r>
    </w:p>
    <w:p>
      <w:pPr>
        <w:widowControl/>
      </w:pPr>
      <w:r>
        <w:rPr>
          <w:b/>
          <w:i w:val="0"/>
        </w:rPr>
        <w:t>considerantur.</w:t>
      </w:r>
      <w:r>
        <w:rPr>
          <w:b w:val="0"/>
          <w:i w:val="0"/>
        </w:rPr>
        <w:t xml:space="preserve"> </w:t>
      </w:r>
      <w:hyperlink w:anchor="latin-record-0249">
        <w:r>
          <w:rPr>
            <w:color w:val="000000"/>
          </w:rPr>
          <w:t xml:space="preserve">considerare / comparare</w:t>
        </w:r>
      </w:hyperlink>
      <w:r>
        <w:rPr>
          <w:b w:val="0"/>
          <w:i w:val="0"/>
        </w:rPr>
        <w:t>.</w:t>
      </w:r>
    </w:p>
    <w:p>
      <w:pPr>
        <w:widowControl/>
      </w:pPr>
      <w:r>
        <w:rPr>
          <w:b/>
          <w:i w:val="0"/>
        </w:rPr>
        <w:t>consideratur.</w:t>
      </w:r>
      <w:r>
        <w:rPr>
          <w:b w:val="0"/>
          <w:i w:val="0"/>
        </w:rPr>
        <w:t xml:space="preserve"> </w:t>
      </w:r>
      <w:hyperlink w:anchor="latin-record-0249">
        <w:r>
          <w:rPr>
            <w:color w:val="000000"/>
          </w:rPr>
          <w:t xml:space="preserve">considerare / comparare</w:t>
        </w:r>
      </w:hyperlink>
      <w:r>
        <w:rPr>
          <w:b w:val="0"/>
          <w:i w:val="0"/>
        </w:rPr>
        <w:t>.</w:t>
      </w:r>
    </w:p>
    <w:p>
      <w:pPr>
        <w:widowControl/>
      </w:pPr>
      <w:r>
        <w:rPr>
          <w:b/>
          <w:i w:val="0"/>
        </w:rPr>
        <w:t>consiliique.</w:t>
      </w:r>
      <w:r>
        <w:rPr>
          <w:b w:val="0"/>
          <w:i w:val="0"/>
        </w:rPr>
        <w:t xml:space="preserve"> </w:t>
      </w:r>
      <w:hyperlink w:anchor="latin-record-0250">
        <w:r>
          <w:rPr>
            <w:color w:val="000000"/>
          </w:rPr>
          <w:t xml:space="preserve">consilium</w:t>
        </w:r>
      </w:hyperlink>
      <w:r>
        <w:rPr>
          <w:b w:val="0"/>
          <w:i w:val="0"/>
        </w:rPr>
        <w:t>.</w:t>
      </w:r>
    </w:p>
    <w:p>
      <w:pPr>
        <w:widowControl/>
      </w:pPr>
      <w:r>
        <w:rPr>
          <w:b/>
          <w:i w:val="0"/>
        </w:rPr>
        <w:t>consilio.</w:t>
      </w:r>
      <w:r>
        <w:rPr>
          <w:b w:val="0"/>
          <w:i w:val="0"/>
        </w:rPr>
        <w:t xml:space="preserve"> </w:t>
      </w:r>
      <w:hyperlink w:anchor="latin-record-0250">
        <w:r>
          <w:rPr>
            <w:color w:val="000000"/>
          </w:rPr>
          <w:t xml:space="preserve">consilium</w:t>
        </w:r>
      </w:hyperlink>
      <w:r>
        <w:rPr>
          <w:b w:val="0"/>
          <w:i w:val="0"/>
        </w:rPr>
        <w:t xml:space="preserve">; </w:t>
      </w:r>
      <w:hyperlink w:anchor="latin-record-0251">
        <w:r>
          <w:rPr>
            <w:color w:val="000000"/>
          </w:rPr>
          <w:t xml:space="preserve">consilium / consultare</w:t>
        </w:r>
      </w:hyperlink>
      <w:r>
        <w:rPr>
          <w:b w:val="0"/>
          <w:i w:val="0"/>
        </w:rPr>
        <w:t xml:space="preserve">; </w:t>
      </w:r>
      <w:hyperlink w:anchor="latin-record-0252">
        <w:r>
          <w:rPr>
            <w:color w:val="000000"/>
          </w:rPr>
          <w:t xml:space="preserve">consilium / propositum</w:t>
        </w:r>
      </w:hyperlink>
      <w:r>
        <w:rPr>
          <w:b w:val="0"/>
          <w:i w:val="0"/>
        </w:rPr>
        <w:t>.</w:t>
      </w:r>
    </w:p>
    <w:p>
      <w:pPr>
        <w:widowControl/>
      </w:pPr>
      <w:r>
        <w:rPr>
          <w:b/>
          <w:i w:val="0"/>
        </w:rPr>
        <w:t>consilium.</w:t>
      </w:r>
      <w:r>
        <w:rPr>
          <w:b w:val="0"/>
          <w:i w:val="0"/>
        </w:rPr>
        <w:t xml:space="preserve"> </w:t>
      </w:r>
      <w:hyperlink w:anchor="latin-record-0250">
        <w:r>
          <w:rPr>
            <w:color w:val="000000"/>
          </w:rPr>
          <w:t xml:space="preserve">consilium</w:t>
        </w:r>
      </w:hyperlink>
      <w:r>
        <w:rPr>
          <w:b w:val="0"/>
          <w:i w:val="0"/>
        </w:rPr>
        <w:t xml:space="preserve">; </w:t>
      </w:r>
      <w:hyperlink w:anchor="latin-record-0251">
        <w:r>
          <w:rPr>
            <w:color w:val="000000"/>
          </w:rPr>
          <w:t xml:space="preserve">consilium / consultare</w:t>
        </w:r>
      </w:hyperlink>
      <w:r>
        <w:rPr>
          <w:b w:val="0"/>
          <w:i w:val="0"/>
        </w:rPr>
        <w:t xml:space="preserve">; </w:t>
      </w:r>
      <w:hyperlink w:anchor="latin-record-0253">
        <w:r>
          <w:rPr>
            <w:color w:val="000000"/>
          </w:rPr>
          <w:t xml:space="preserve">consilium / statuo</w:t>
        </w:r>
      </w:hyperlink>
      <w:r>
        <w:rPr>
          <w:b w:val="0"/>
          <w:i w:val="0"/>
        </w:rPr>
        <w:t>.</w:t>
      </w:r>
    </w:p>
    <w:p>
      <w:pPr>
        <w:widowControl/>
      </w:pPr>
      <w:r>
        <w:rPr>
          <w:b/>
          <w:i w:val="0"/>
        </w:rPr>
        <w:t>Consilium.</w:t>
      </w:r>
      <w:r>
        <w:rPr>
          <w:b w:val="0"/>
          <w:i w:val="0"/>
        </w:rPr>
        <w:t xml:space="preserve"> </w:t>
      </w:r>
      <w:hyperlink w:anchor="latin-record-0251">
        <w:r>
          <w:rPr>
            <w:color w:val="000000"/>
          </w:rPr>
          <w:t xml:space="preserve">consilium / consultare</w:t>
        </w:r>
      </w:hyperlink>
      <w:r>
        <w:rPr>
          <w:b w:val="0"/>
          <w:i w:val="0"/>
        </w:rPr>
        <w:t>.</w:t>
      </w:r>
    </w:p>
    <w:p>
      <w:pPr>
        <w:widowControl/>
      </w:pPr>
      <w:r>
        <w:rPr>
          <w:b/>
          <w:i w:val="0"/>
        </w:rPr>
        <w:t>consistentem.</w:t>
      </w:r>
      <w:r>
        <w:rPr>
          <w:b w:val="0"/>
          <w:i w:val="0"/>
        </w:rPr>
        <w:t xml:space="preserve"> </w:t>
      </w:r>
      <w:hyperlink w:anchor="latin-record-1141">
        <w:r>
          <w:rPr>
            <w:color w:val="000000"/>
          </w:rPr>
          <w:t xml:space="preserve">status / stare</w:t>
        </w:r>
      </w:hyperlink>
      <w:r>
        <w:rPr>
          <w:b w:val="0"/>
          <w:i w:val="0"/>
        </w:rPr>
        <w:t>.</w:t>
      </w:r>
    </w:p>
    <w:p>
      <w:pPr>
        <w:widowControl/>
      </w:pPr>
      <w:r>
        <w:rPr>
          <w:b/>
          <w:i w:val="0"/>
        </w:rPr>
        <w:t>consistit.</w:t>
      </w:r>
      <w:r>
        <w:rPr>
          <w:b w:val="0"/>
          <w:i w:val="0"/>
        </w:rPr>
        <w:t xml:space="preserve"> </w:t>
      </w:r>
      <w:hyperlink w:anchor="latin-record-0258">
        <w:r>
          <w:rPr>
            <w:color w:val="000000"/>
          </w:rPr>
          <w:t xml:space="preserve">constare / consistere / constituere</w:t>
        </w:r>
      </w:hyperlink>
      <w:r>
        <w:rPr>
          <w:b w:val="0"/>
          <w:i w:val="0"/>
        </w:rPr>
        <w:t>.</w:t>
      </w:r>
    </w:p>
    <w:p>
      <w:pPr>
        <w:widowControl/>
      </w:pPr>
      <w:r>
        <w:rPr>
          <w:b/>
          <w:i w:val="0"/>
        </w:rPr>
        <w:t>consonare.</w:t>
      </w:r>
      <w:r>
        <w:rPr>
          <w:b w:val="0"/>
          <w:i w:val="0"/>
        </w:rPr>
        <w:t xml:space="preserve"> </w:t>
      </w:r>
      <w:hyperlink w:anchor="latin-record-0958">
        <w:r>
          <w:rPr>
            <w:color w:val="000000"/>
          </w:rPr>
          <w:t xml:space="preserve">proportio / consonare</w:t>
        </w:r>
      </w:hyperlink>
      <w:r>
        <w:rPr>
          <w:b w:val="0"/>
          <w:i w:val="0"/>
        </w:rPr>
        <w:t>.</w:t>
      </w:r>
    </w:p>
    <w:p>
      <w:pPr>
        <w:widowControl/>
      </w:pPr>
      <w:r>
        <w:rPr>
          <w:b/>
          <w:i w:val="0"/>
        </w:rPr>
        <w:t>consonet.</w:t>
      </w:r>
      <w:r>
        <w:rPr>
          <w:b w:val="0"/>
          <w:i w:val="0"/>
        </w:rPr>
        <w:t xml:space="preserve"> </w:t>
      </w:r>
      <w:hyperlink w:anchor="latin-record-0238">
        <w:r>
          <w:rPr>
            <w:color w:val="000000"/>
          </w:rPr>
          <w:t xml:space="preserve">conglutinare / consonare</w:t>
        </w:r>
      </w:hyperlink>
      <w:r>
        <w:rPr>
          <w:b w:val="0"/>
          <w:i w:val="0"/>
        </w:rPr>
        <w:t>.</w:t>
      </w:r>
    </w:p>
    <w:p>
      <w:pPr>
        <w:widowControl/>
      </w:pPr>
      <w:r>
        <w:rPr>
          <w:b/>
          <w:i w:val="0"/>
        </w:rPr>
        <w:t>conspicit.</w:t>
      </w:r>
      <w:r>
        <w:rPr>
          <w:b w:val="0"/>
          <w:i w:val="0"/>
        </w:rPr>
        <w:t xml:space="preserve"> </w:t>
      </w:r>
      <w:hyperlink w:anchor="latin-record-0609">
        <w:r>
          <w:rPr>
            <w:color w:val="000000"/>
          </w:rPr>
          <w:t xml:space="preserve">intuitus / intueri / conspicere</w:t>
        </w:r>
      </w:hyperlink>
      <w:r>
        <w:rPr>
          <w:b w:val="0"/>
          <w:i w:val="0"/>
        </w:rPr>
        <w:t>.</w:t>
      </w:r>
    </w:p>
    <w:p>
      <w:pPr>
        <w:widowControl/>
      </w:pPr>
      <w:r>
        <w:rPr>
          <w:b/>
          <w:i w:val="0"/>
        </w:rPr>
        <w:t>conspirant.</w:t>
      </w:r>
      <w:r>
        <w:rPr>
          <w:b w:val="0"/>
          <w:i w:val="0"/>
        </w:rPr>
        <w:t xml:space="preserve"> </w:t>
      </w:r>
      <w:hyperlink w:anchor="latin-record-0254">
        <w:r>
          <w:rPr>
            <w:color w:val="000000"/>
          </w:rPr>
          <w:t xml:space="preserve">conspirare / compati</w:t>
        </w:r>
      </w:hyperlink>
      <w:r>
        <w:rPr>
          <w:b w:val="0"/>
          <w:i w:val="0"/>
        </w:rPr>
        <w:t xml:space="preserve">; </w:t>
      </w:r>
      <w:hyperlink w:anchor="latin-record-0255">
        <w:r>
          <w:rPr>
            <w:color w:val="000000"/>
          </w:rPr>
          <w:t xml:space="preserve">conspirare / concurrere</w:t>
        </w:r>
      </w:hyperlink>
      <w:r>
        <w:rPr>
          <w:b w:val="0"/>
          <w:i w:val="0"/>
        </w:rPr>
        <w:t>.</w:t>
      </w:r>
    </w:p>
    <w:p>
      <w:pPr>
        <w:widowControl/>
      </w:pPr>
      <w:r>
        <w:rPr>
          <w:b/>
          <w:i w:val="0"/>
        </w:rPr>
        <w:t>conspirationis.</w:t>
      </w:r>
      <w:r>
        <w:rPr>
          <w:b w:val="0"/>
          <w:i w:val="0"/>
        </w:rPr>
        <w:t xml:space="preserve"> </w:t>
      </w:r>
      <w:hyperlink w:anchor="latin-record-0256">
        <w:r>
          <w:rPr>
            <w:color w:val="000000"/>
          </w:rPr>
          <w:t xml:space="preserve">conspiratio / absurdum</w:t>
        </w:r>
      </w:hyperlink>
      <w:r>
        <w:rPr>
          <w:b w:val="0"/>
          <w:i w:val="0"/>
        </w:rPr>
        <w:t xml:space="preserve">; </w:t>
      </w:r>
      <w:hyperlink w:anchor="latin-record-0276">
        <w:r>
          <w:rPr>
            <w:color w:val="000000"/>
          </w:rPr>
          <w:t xml:space="preserve">copulo / conspiratio</w:t>
        </w:r>
      </w:hyperlink>
      <w:r>
        <w:rPr>
          <w:b w:val="0"/>
          <w:i w:val="0"/>
        </w:rPr>
        <w:t>.</w:t>
      </w:r>
    </w:p>
    <w:p>
      <w:pPr>
        <w:widowControl/>
      </w:pPr>
      <w:r>
        <w:rPr>
          <w:b/>
          <w:i w:val="0"/>
        </w:rPr>
        <w:t>constare.</w:t>
      </w:r>
      <w:r>
        <w:rPr>
          <w:b w:val="0"/>
          <w:i w:val="0"/>
        </w:rPr>
        <w:t xml:space="preserve"> </w:t>
      </w:r>
      <w:hyperlink w:anchor="latin-record-0444">
        <w:r>
          <w:rPr>
            <w:color w:val="000000"/>
          </w:rPr>
          <w:t xml:space="preserve">fieri / constare</w:t>
        </w:r>
      </w:hyperlink>
      <w:r>
        <w:rPr>
          <w:b w:val="0"/>
          <w:i w:val="0"/>
        </w:rPr>
        <w:t>.</w:t>
      </w:r>
    </w:p>
    <w:p>
      <w:pPr>
        <w:widowControl/>
      </w:pPr>
      <w:r>
        <w:rPr>
          <w:b/>
          <w:i w:val="0"/>
        </w:rPr>
        <w:t>constat.</w:t>
      </w:r>
      <w:r>
        <w:rPr>
          <w:b w:val="0"/>
          <w:i w:val="0"/>
        </w:rPr>
        <w:t xml:space="preserve"> </w:t>
      </w:r>
      <w:hyperlink w:anchor="latin-record-0257">
        <w:r>
          <w:rPr>
            <w:color w:val="000000"/>
          </w:rPr>
          <w:t xml:space="preserve">constare / consistere</w:t>
        </w:r>
      </w:hyperlink>
      <w:r>
        <w:rPr>
          <w:b w:val="0"/>
          <w:i w:val="0"/>
        </w:rPr>
        <w:t xml:space="preserve">; </w:t>
      </w:r>
      <w:hyperlink w:anchor="latin-record-0258">
        <w:r>
          <w:rPr>
            <w:color w:val="000000"/>
          </w:rPr>
          <w:t xml:space="preserve">constare / consistere / constituere</w:t>
        </w:r>
      </w:hyperlink>
      <w:r>
        <w:rPr>
          <w:b w:val="0"/>
          <w:i w:val="0"/>
        </w:rPr>
        <w:t xml:space="preserve">; </w:t>
      </w:r>
      <w:hyperlink w:anchor="latin-record-0444">
        <w:r>
          <w:rPr>
            <w:color w:val="000000"/>
          </w:rPr>
          <w:t xml:space="preserve">fieri / constare</w:t>
        </w:r>
      </w:hyperlink>
      <w:r>
        <w:rPr>
          <w:b w:val="0"/>
          <w:i w:val="0"/>
        </w:rPr>
        <w:t>.</w:t>
      </w:r>
    </w:p>
    <w:p>
      <w:pPr>
        <w:widowControl/>
      </w:pPr>
      <w:r>
        <w:rPr>
          <w:b/>
          <w:i w:val="0"/>
        </w:rPr>
        <w:t>constituunt.</w:t>
      </w:r>
      <w:r>
        <w:rPr>
          <w:b w:val="0"/>
          <w:i w:val="0"/>
        </w:rPr>
        <w:t xml:space="preserve"> </w:t>
      </w:r>
      <w:hyperlink w:anchor="latin-record-0258">
        <w:r>
          <w:rPr>
            <w:color w:val="000000"/>
          </w:rPr>
          <w:t xml:space="preserve">constare / consistere / constituere</w:t>
        </w:r>
      </w:hyperlink>
      <w:r>
        <w:rPr>
          <w:b w:val="0"/>
          <w:i w:val="0"/>
        </w:rPr>
        <w:t>.</w:t>
      </w:r>
    </w:p>
    <w:p>
      <w:pPr>
        <w:widowControl/>
      </w:pPr>
      <w:r>
        <w:rPr>
          <w:b/>
          <w:i w:val="0"/>
        </w:rPr>
        <w:t>constructa.</w:t>
      </w:r>
      <w:r>
        <w:rPr>
          <w:b w:val="0"/>
          <w:i w:val="0"/>
        </w:rPr>
        <w:t xml:space="preserve"> </w:t>
      </w:r>
      <w:hyperlink w:anchor="latin-record-0423">
        <w:r>
          <w:rPr>
            <w:color w:val="000000"/>
          </w:rPr>
          <w:t xml:space="preserve">fabricare / construere / conficere</w:t>
        </w:r>
      </w:hyperlink>
      <w:r>
        <w:rPr>
          <w:b w:val="0"/>
          <w:i w:val="0"/>
        </w:rPr>
        <w:t>.</w:t>
      </w:r>
    </w:p>
    <w:p>
      <w:pPr>
        <w:widowControl/>
      </w:pPr>
      <w:r>
        <w:rPr>
          <w:b/>
          <w:i w:val="0"/>
        </w:rPr>
        <w:t>construi.</w:t>
      </w:r>
      <w:r>
        <w:rPr>
          <w:b w:val="0"/>
          <w:i w:val="0"/>
        </w:rPr>
        <w:t xml:space="preserve"> </w:t>
      </w:r>
      <w:hyperlink w:anchor="latin-record-0423">
        <w:r>
          <w:rPr>
            <w:color w:val="000000"/>
          </w:rPr>
          <w:t xml:space="preserve">fabricare / construere / conficere</w:t>
        </w:r>
      </w:hyperlink>
      <w:r>
        <w:rPr>
          <w:b w:val="0"/>
          <w:i w:val="0"/>
        </w:rPr>
        <w:t>.</w:t>
      </w:r>
    </w:p>
    <w:p>
      <w:pPr>
        <w:widowControl/>
      </w:pPr>
      <w:r>
        <w:rPr>
          <w:b/>
          <w:i w:val="0"/>
        </w:rPr>
        <w:t>consuetudo.</w:t>
      </w:r>
      <w:r>
        <w:rPr>
          <w:b w:val="0"/>
          <w:i w:val="0"/>
        </w:rPr>
        <w:t xml:space="preserve"> </w:t>
      </w:r>
      <w:hyperlink w:anchor="latin-record-0027">
        <w:r>
          <w:rPr>
            <w:color w:val="000000"/>
          </w:rPr>
          <w:t xml:space="preserve">admiratio / consuetudo</w:t>
        </w:r>
      </w:hyperlink>
      <w:r>
        <w:rPr>
          <w:b w:val="0"/>
          <w:i w:val="0"/>
        </w:rPr>
        <w:t>.</w:t>
      </w:r>
    </w:p>
    <w:p>
      <w:pPr>
        <w:widowControl/>
      </w:pPr>
      <w:r>
        <w:rPr>
          <w:b/>
          <w:i w:val="0"/>
        </w:rPr>
        <w:t>consultando.</w:t>
      </w:r>
      <w:r>
        <w:rPr>
          <w:b w:val="0"/>
          <w:i w:val="0"/>
        </w:rPr>
        <w:t xml:space="preserve"> </w:t>
      </w:r>
      <w:hyperlink w:anchor="latin-record-1233">
        <w:r>
          <w:rPr>
            <w:color w:val="000000"/>
          </w:rPr>
          <w:t xml:space="preserve">vagari / consultare</w:t>
        </w:r>
      </w:hyperlink>
      <w:r>
        <w:rPr>
          <w:b w:val="0"/>
          <w:i w:val="0"/>
        </w:rPr>
        <w:t>.</w:t>
      </w:r>
    </w:p>
    <w:p>
      <w:pPr>
        <w:widowControl/>
      </w:pPr>
      <w:r>
        <w:rPr>
          <w:b/>
          <w:i w:val="0"/>
        </w:rPr>
        <w:t>consultare.</w:t>
      </w:r>
      <w:r>
        <w:rPr>
          <w:b w:val="0"/>
          <w:i w:val="0"/>
        </w:rPr>
        <w:t xml:space="preserve"> </w:t>
      </w:r>
      <w:hyperlink w:anchor="latin-record-0251">
        <w:r>
          <w:rPr>
            <w:color w:val="000000"/>
          </w:rPr>
          <w:t xml:space="preserve">consilium / consultare</w:t>
        </w:r>
      </w:hyperlink>
      <w:r>
        <w:rPr>
          <w:b w:val="0"/>
          <w:i w:val="0"/>
        </w:rPr>
        <w:t>.</w:t>
      </w:r>
    </w:p>
    <w:p>
      <w:pPr>
        <w:widowControl/>
      </w:pPr>
      <w:r>
        <w:rPr>
          <w:b/>
          <w:i w:val="0"/>
        </w:rPr>
        <w:t>consultat.</w:t>
      </w:r>
      <w:r>
        <w:rPr>
          <w:b w:val="0"/>
          <w:i w:val="0"/>
        </w:rPr>
        <w:t xml:space="preserve"> </w:t>
      </w:r>
      <w:hyperlink w:anchor="latin-record-0251">
        <w:r>
          <w:rPr>
            <w:color w:val="000000"/>
          </w:rPr>
          <w:t xml:space="preserve">consilium / consultare</w:t>
        </w:r>
      </w:hyperlink>
      <w:r>
        <w:rPr>
          <w:b w:val="0"/>
          <w:i w:val="0"/>
        </w:rPr>
        <w:t>.</w:t>
      </w:r>
    </w:p>
    <w:p>
      <w:pPr>
        <w:widowControl/>
      </w:pPr>
      <w:r>
        <w:rPr>
          <w:b/>
          <w:i w:val="0"/>
        </w:rPr>
        <w:t>consumaret.</w:t>
      </w:r>
      <w:r>
        <w:rPr>
          <w:b w:val="0"/>
          <w:i w:val="0"/>
        </w:rPr>
        <w:t xml:space="preserve"> </w:t>
      </w:r>
      <w:hyperlink w:anchor="latin-record-1209">
        <w:r>
          <w:rPr>
            <w:color w:val="000000"/>
          </w:rPr>
          <w:t xml:space="preserve">transigo / perago / consummation</w:t>
        </w:r>
      </w:hyperlink>
      <w:r>
        <w:rPr>
          <w:b w:val="0"/>
          <w:i w:val="0"/>
        </w:rPr>
        <w:t>.</w:t>
      </w:r>
    </w:p>
    <w:p>
      <w:pPr>
        <w:widowControl/>
      </w:pPr>
      <w:r>
        <w:rPr>
          <w:b/>
          <w:i w:val="0"/>
        </w:rPr>
        <w:t>contagione.</w:t>
      </w:r>
      <w:r>
        <w:rPr>
          <w:b w:val="0"/>
          <w:i w:val="0"/>
        </w:rPr>
        <w:t xml:space="preserve"> </w:t>
      </w:r>
      <w:hyperlink w:anchor="latin-record-0578">
        <w:r>
          <w:rPr>
            <w:color w:val="000000"/>
          </w:rPr>
          <w:t xml:space="preserve">inquinare / contagio</w:t>
        </w:r>
      </w:hyperlink>
      <w:r>
        <w:rPr>
          <w:b w:val="0"/>
          <w:i w:val="0"/>
        </w:rPr>
        <w:t>.</w:t>
      </w:r>
    </w:p>
    <w:p>
      <w:pPr>
        <w:widowControl/>
      </w:pPr>
      <w:r>
        <w:rPr>
          <w:b/>
          <w:i w:val="0"/>
        </w:rPr>
        <w:t>contemperas.</w:t>
      </w:r>
      <w:r>
        <w:rPr>
          <w:b w:val="0"/>
          <w:i w:val="0"/>
        </w:rPr>
        <w:t xml:space="preserve"> </w:t>
      </w:r>
      <w:hyperlink w:anchor="latin-record-0081">
        <w:r>
          <w:rPr>
            <w:color w:val="000000"/>
          </w:rPr>
          <w:t xml:space="preserve">Apollo / cithara / contemperare</w:t>
        </w:r>
      </w:hyperlink>
      <w:r>
        <w:rPr>
          <w:b w:val="0"/>
          <w:i w:val="0"/>
        </w:rPr>
        <w:t>.</w:t>
      </w:r>
    </w:p>
    <w:p>
      <w:pPr>
        <w:widowControl/>
      </w:pPr>
      <w:r>
        <w:rPr>
          <w:b/>
          <w:i w:val="0"/>
        </w:rPr>
        <w:t>contemperat.</w:t>
      </w:r>
      <w:r>
        <w:rPr>
          <w:b w:val="0"/>
          <w:i w:val="0"/>
        </w:rPr>
        <w:t xml:space="preserve"> </w:t>
      </w:r>
      <w:hyperlink w:anchor="latin-record-0259">
        <w:r>
          <w:rPr>
            <w:color w:val="000000"/>
          </w:rPr>
          <w:t xml:space="preserve">contemperare / continuare</w:t>
        </w:r>
      </w:hyperlink>
      <w:r>
        <w:rPr>
          <w:b w:val="0"/>
          <w:i w:val="0"/>
        </w:rPr>
        <w:t>.</w:t>
      </w:r>
    </w:p>
    <w:p>
      <w:pPr>
        <w:widowControl/>
      </w:pPr>
      <w:r>
        <w:rPr>
          <w:b/>
          <w:i w:val="0"/>
        </w:rPr>
        <w:t>contemplabimur.</w:t>
      </w:r>
      <w:r>
        <w:rPr>
          <w:b w:val="0"/>
          <w:i w:val="0"/>
        </w:rPr>
        <w:t xml:space="preserve"> </w:t>
      </w:r>
      <w:hyperlink w:anchor="latin-record-0260">
        <w:r>
          <w:rPr>
            <w:color w:val="000000"/>
          </w:rPr>
          <w:t xml:space="preserve">contemplor / contemplatio</w:t>
        </w:r>
      </w:hyperlink>
      <w:r>
        <w:rPr>
          <w:b w:val="0"/>
          <w:i w:val="0"/>
        </w:rPr>
        <w:t>.</w:t>
      </w:r>
    </w:p>
    <w:p>
      <w:pPr>
        <w:widowControl/>
      </w:pPr>
      <w:r>
        <w:rPr>
          <w:b/>
          <w:i w:val="0"/>
        </w:rPr>
        <w:t>contemplationem.</w:t>
      </w:r>
      <w:r>
        <w:rPr>
          <w:b w:val="0"/>
          <w:i w:val="0"/>
        </w:rPr>
        <w:t xml:space="preserve"> </w:t>
      </w:r>
      <w:hyperlink w:anchor="latin-record-0260">
        <w:r>
          <w:rPr>
            <w:color w:val="000000"/>
          </w:rPr>
          <w:t xml:space="preserve">contemplor / contemplatio</w:t>
        </w:r>
      </w:hyperlink>
      <w:r>
        <w:rPr>
          <w:b w:val="0"/>
          <w:i w:val="0"/>
        </w:rPr>
        <w:t>.</w:t>
      </w:r>
    </w:p>
    <w:p>
      <w:pPr>
        <w:widowControl/>
      </w:pPr>
      <w:r>
        <w:rPr>
          <w:b/>
          <w:i w:val="0"/>
        </w:rPr>
        <w:t>contemplemur.</w:t>
      </w:r>
      <w:r>
        <w:rPr>
          <w:b w:val="0"/>
          <w:i w:val="0"/>
        </w:rPr>
        <w:t xml:space="preserve"> </w:t>
      </w:r>
      <w:hyperlink w:anchor="latin-record-0260">
        <w:r>
          <w:rPr>
            <w:color w:val="000000"/>
          </w:rPr>
          <w:t xml:space="preserve">contemplor / contemplatio</w:t>
        </w:r>
      </w:hyperlink>
      <w:r>
        <w:rPr>
          <w:b w:val="0"/>
          <w:i w:val="0"/>
        </w:rPr>
        <w:t>.</w:t>
      </w:r>
    </w:p>
    <w:p>
      <w:pPr>
        <w:widowControl/>
      </w:pPr>
      <w:r>
        <w:rPr>
          <w:b/>
          <w:i w:val="0"/>
        </w:rPr>
        <w:t>contemplentur.</w:t>
      </w:r>
      <w:r>
        <w:rPr>
          <w:b w:val="0"/>
          <w:i w:val="0"/>
        </w:rPr>
        <w:t xml:space="preserve"> </w:t>
      </w:r>
      <w:hyperlink w:anchor="latin-record-0260">
        <w:r>
          <w:rPr>
            <w:color w:val="000000"/>
          </w:rPr>
          <w:t xml:space="preserve">contemplor / contemplatio</w:t>
        </w:r>
      </w:hyperlink>
      <w:r>
        <w:rPr>
          <w:b w:val="0"/>
          <w:i w:val="0"/>
        </w:rPr>
        <w:t>.</w:t>
      </w:r>
    </w:p>
    <w:p>
      <w:pPr>
        <w:widowControl/>
      </w:pPr>
      <w:r>
        <w:rPr>
          <w:b/>
          <w:i w:val="0"/>
        </w:rPr>
        <w:t>contigit.</w:t>
      </w:r>
      <w:r>
        <w:rPr>
          <w:b w:val="0"/>
          <w:i w:val="0"/>
        </w:rPr>
        <w:t xml:space="preserve"> </w:t>
      </w:r>
      <w:hyperlink w:anchor="latin-record-0152">
        <w:r>
          <w:rPr>
            <w:color w:val="000000"/>
          </w:rPr>
          <w:t xml:space="preserve">casus / contingere</w:t>
        </w:r>
      </w:hyperlink>
      <w:r>
        <w:rPr>
          <w:b w:val="0"/>
          <w:i w:val="0"/>
        </w:rPr>
        <w:t>.</w:t>
      </w:r>
    </w:p>
    <w:p>
      <w:pPr>
        <w:widowControl/>
      </w:pPr>
      <w:r>
        <w:rPr>
          <w:b/>
          <w:i w:val="0"/>
        </w:rPr>
        <w:t>continet.</w:t>
      </w:r>
      <w:r>
        <w:rPr>
          <w:b w:val="0"/>
          <w:i w:val="0"/>
        </w:rPr>
        <w:t xml:space="preserve"> </w:t>
      </w:r>
      <w:hyperlink w:anchor="latin-record-0261">
        <w:r>
          <w:rPr>
            <w:color w:val="000000"/>
          </w:rPr>
          <w:t xml:space="preserve">contineo / complector</w:t>
        </w:r>
      </w:hyperlink>
      <w:r>
        <w:rPr>
          <w:b w:val="0"/>
          <w:i w:val="0"/>
        </w:rPr>
        <w:t>.</w:t>
      </w:r>
    </w:p>
    <w:p>
      <w:pPr>
        <w:widowControl/>
      </w:pPr>
      <w:r>
        <w:rPr>
          <w:b/>
          <w:i w:val="0"/>
        </w:rPr>
        <w:t>contingentes.</w:t>
      </w:r>
      <w:r>
        <w:rPr>
          <w:b w:val="0"/>
          <w:i w:val="0"/>
        </w:rPr>
        <w:t xml:space="preserve"> </w:t>
      </w:r>
      <w:hyperlink w:anchor="latin-record-0262">
        <w:r>
          <w:rPr>
            <w:color w:val="000000"/>
          </w:rPr>
          <w:t xml:space="preserve">contingens / essentialis</w:t>
        </w:r>
      </w:hyperlink>
      <w:r>
        <w:rPr>
          <w:b w:val="0"/>
          <w:i w:val="0"/>
        </w:rPr>
        <w:t>.</w:t>
      </w:r>
    </w:p>
    <w:p>
      <w:pPr>
        <w:widowControl/>
      </w:pPr>
      <w:r>
        <w:rPr>
          <w:b/>
          <w:i w:val="0"/>
        </w:rPr>
        <w:t>contingunt.</w:t>
      </w:r>
      <w:r>
        <w:rPr>
          <w:b w:val="0"/>
          <w:i w:val="0"/>
        </w:rPr>
        <w:t xml:space="preserve"> </w:t>
      </w:r>
      <w:hyperlink w:anchor="latin-record-0193">
        <w:r>
          <w:rPr>
            <w:color w:val="000000"/>
          </w:rPr>
          <w:t xml:space="preserve">comitari / contingere</w:t>
        </w:r>
      </w:hyperlink>
      <w:r>
        <w:rPr>
          <w:b w:val="0"/>
          <w:i w:val="0"/>
        </w:rPr>
        <w:t>.</w:t>
      </w:r>
    </w:p>
    <w:p>
      <w:pPr>
        <w:widowControl/>
      </w:pPr>
      <w:r>
        <w:rPr>
          <w:b/>
          <w:i w:val="0"/>
        </w:rPr>
        <w:t>continuam.</w:t>
      </w:r>
      <w:r>
        <w:rPr>
          <w:b w:val="0"/>
          <w:i w:val="0"/>
        </w:rPr>
        <w:t xml:space="preserve"> </w:t>
      </w:r>
      <w:hyperlink w:anchor="latin-record-0265">
        <w:r>
          <w:rPr>
            <w:color w:val="000000"/>
          </w:rPr>
          <w:t xml:space="preserve">continuus / continuare / continuatio</w:t>
        </w:r>
      </w:hyperlink>
      <w:r>
        <w:rPr>
          <w:b w:val="0"/>
          <w:i w:val="0"/>
        </w:rPr>
        <w:t>.</w:t>
      </w:r>
    </w:p>
    <w:p>
      <w:pPr>
        <w:widowControl/>
      </w:pPr>
      <w:r>
        <w:rPr>
          <w:b/>
          <w:i w:val="0"/>
        </w:rPr>
        <w:t>continuat.</w:t>
      </w:r>
      <w:r>
        <w:rPr>
          <w:b w:val="0"/>
          <w:i w:val="0"/>
        </w:rPr>
        <w:t xml:space="preserve"> </w:t>
      </w:r>
      <w:hyperlink w:anchor="latin-record-0259">
        <w:r>
          <w:rPr>
            <w:color w:val="000000"/>
          </w:rPr>
          <w:t xml:space="preserve">contemperare / continuare</w:t>
        </w:r>
      </w:hyperlink>
      <w:r>
        <w:rPr>
          <w:b w:val="0"/>
          <w:i w:val="0"/>
        </w:rPr>
        <w:t>.</w:t>
      </w:r>
    </w:p>
    <w:p>
      <w:pPr>
        <w:widowControl/>
      </w:pPr>
      <w:r>
        <w:rPr>
          <w:b/>
          <w:i w:val="0"/>
        </w:rPr>
        <w:t>continuatione.</w:t>
      </w:r>
      <w:r>
        <w:rPr>
          <w:b w:val="0"/>
          <w:i w:val="0"/>
        </w:rPr>
        <w:t xml:space="preserve"> </w:t>
      </w:r>
      <w:hyperlink w:anchor="latin-record-0265">
        <w:r>
          <w:rPr>
            <w:color w:val="000000"/>
          </w:rPr>
          <w:t xml:space="preserve">continuus / continuare / continuatio</w:t>
        </w:r>
      </w:hyperlink>
      <w:r>
        <w:rPr>
          <w:b w:val="0"/>
          <w:i w:val="0"/>
        </w:rPr>
        <w:t>.</w:t>
      </w:r>
    </w:p>
    <w:p>
      <w:pPr>
        <w:widowControl/>
      </w:pPr>
      <w:r>
        <w:rPr>
          <w:b/>
          <w:i w:val="0"/>
        </w:rPr>
        <w:t>continuationem.</w:t>
      </w:r>
      <w:r>
        <w:rPr>
          <w:b w:val="0"/>
          <w:i w:val="0"/>
        </w:rPr>
        <w:t xml:space="preserve"> </w:t>
      </w:r>
      <w:hyperlink w:anchor="latin-record-0263">
        <w:r>
          <w:rPr>
            <w:color w:val="000000"/>
          </w:rPr>
          <w:t xml:space="preserve">continuatio / reflectere in gyrum</w:t>
        </w:r>
      </w:hyperlink>
      <w:r>
        <w:rPr>
          <w:b w:val="0"/>
          <w:i w:val="0"/>
        </w:rPr>
        <w:t>.</w:t>
      </w:r>
    </w:p>
    <w:p>
      <w:pPr>
        <w:widowControl/>
      </w:pPr>
      <w:r>
        <w:rPr>
          <w:b/>
          <w:i w:val="0"/>
        </w:rPr>
        <w:t>continuatis.</w:t>
      </w:r>
      <w:r>
        <w:rPr>
          <w:b w:val="0"/>
          <w:i w:val="0"/>
        </w:rPr>
        <w:t xml:space="preserve"> </w:t>
      </w:r>
      <w:hyperlink w:anchor="latin-record-0265">
        <w:r>
          <w:rPr>
            <w:color w:val="000000"/>
          </w:rPr>
          <w:t xml:space="preserve">continuus / continuare / continuatio</w:t>
        </w:r>
      </w:hyperlink>
      <w:r>
        <w:rPr>
          <w:b w:val="0"/>
          <w:i w:val="0"/>
        </w:rPr>
        <w:t>.</w:t>
      </w:r>
    </w:p>
    <w:p>
      <w:pPr>
        <w:widowControl/>
      </w:pPr>
      <w:r>
        <w:rPr>
          <w:b/>
          <w:i w:val="0"/>
        </w:rPr>
        <w:t>continue.</w:t>
      </w:r>
      <w:r>
        <w:rPr>
          <w:b w:val="0"/>
          <w:i w:val="0"/>
        </w:rPr>
        <w:t xml:space="preserve"> </w:t>
      </w:r>
      <w:hyperlink w:anchor="latin-record-0264">
        <w:r>
          <w:rPr>
            <w:color w:val="000000"/>
          </w:rPr>
          <w:t xml:space="preserve">continuus / assiduus</w:t>
        </w:r>
      </w:hyperlink>
      <w:r>
        <w:rPr>
          <w:b w:val="0"/>
          <w:i w:val="0"/>
        </w:rPr>
        <w:t>.</w:t>
      </w:r>
    </w:p>
    <w:p>
      <w:pPr>
        <w:widowControl/>
      </w:pPr>
      <w:r>
        <w:rPr>
          <w:b/>
          <w:i w:val="0"/>
        </w:rPr>
        <w:t>continui.</w:t>
      </w:r>
      <w:r>
        <w:rPr>
          <w:b w:val="0"/>
          <w:i w:val="0"/>
        </w:rPr>
        <w:t xml:space="preserve"> </w:t>
      </w:r>
      <w:hyperlink w:anchor="latin-record-0140">
        <w:r>
          <w:rPr>
            <w:color w:val="000000"/>
          </w:rPr>
          <w:t xml:space="preserve">capacitas materiae / continuum / multiplicatio</w:t>
        </w:r>
      </w:hyperlink>
      <w:r>
        <w:rPr>
          <w:b w:val="0"/>
          <w:i w:val="0"/>
        </w:rPr>
        <w:t>.</w:t>
      </w:r>
    </w:p>
    <w:p>
      <w:pPr>
        <w:widowControl/>
      </w:pPr>
      <w:r>
        <w:rPr>
          <w:b/>
          <w:i w:val="0"/>
        </w:rPr>
        <w:t>continuo.</w:t>
      </w:r>
      <w:r>
        <w:rPr>
          <w:b w:val="0"/>
          <w:i w:val="0"/>
        </w:rPr>
        <w:t xml:space="preserve"> </w:t>
      </w:r>
      <w:hyperlink w:anchor="latin-record-0264">
        <w:r>
          <w:rPr>
            <w:color w:val="000000"/>
          </w:rPr>
          <w:t xml:space="preserve">continuus / assiduus</w:t>
        </w:r>
      </w:hyperlink>
      <w:r>
        <w:rPr>
          <w:b w:val="0"/>
          <w:i w:val="0"/>
        </w:rPr>
        <w:t>.</w:t>
      </w:r>
    </w:p>
    <w:p>
      <w:pPr>
        <w:widowControl/>
      </w:pPr>
      <w:r>
        <w:rPr>
          <w:b/>
          <w:i w:val="0"/>
        </w:rPr>
        <w:t>Contradictio.</w:t>
      </w:r>
      <w:r>
        <w:rPr>
          <w:b w:val="0"/>
          <w:i w:val="0"/>
        </w:rPr>
        <w:t xml:space="preserve"> </w:t>
      </w:r>
      <w:hyperlink w:anchor="latin-record-0266">
        <w:r>
          <w:rPr>
            <w:color w:val="000000"/>
          </w:rPr>
          <w:t xml:space="preserve">contradictio</w:t>
        </w:r>
      </w:hyperlink>
      <w:r>
        <w:rPr>
          <w:b w:val="0"/>
          <w:i w:val="0"/>
        </w:rPr>
        <w:t>.</w:t>
      </w:r>
    </w:p>
    <w:p>
      <w:pPr>
        <w:widowControl/>
      </w:pPr>
      <w:r>
        <w:rPr>
          <w:b/>
          <w:i w:val="0"/>
        </w:rPr>
        <w:t>contradictionem.</w:t>
      </w:r>
      <w:r>
        <w:rPr>
          <w:b w:val="0"/>
          <w:i w:val="0"/>
        </w:rPr>
        <w:t xml:space="preserve"> </w:t>
      </w:r>
      <w:hyperlink w:anchor="latin-record-0266">
        <w:r>
          <w:rPr>
            <w:color w:val="000000"/>
          </w:rPr>
          <w:t xml:space="preserve">contradictio</w:t>
        </w:r>
      </w:hyperlink>
      <w:r>
        <w:rPr>
          <w:b w:val="0"/>
          <w:i w:val="0"/>
        </w:rPr>
        <w:t>.</w:t>
      </w:r>
    </w:p>
    <w:p>
      <w:pPr>
        <w:widowControl/>
      </w:pPr>
      <w:r>
        <w:rPr>
          <w:b/>
          <w:i w:val="0"/>
        </w:rPr>
        <w:t>contrahi.</w:t>
      </w:r>
      <w:r>
        <w:rPr>
          <w:b w:val="0"/>
          <w:i w:val="0"/>
        </w:rPr>
        <w:t xml:space="preserve"> </w:t>
      </w:r>
      <w:hyperlink w:anchor="latin-record-0267">
        <w:r>
          <w:rPr>
            <w:color w:val="000000"/>
          </w:rPr>
          <w:t xml:space="preserve">contrahere</w:t>
        </w:r>
      </w:hyperlink>
      <w:r>
        <w:rPr>
          <w:b w:val="0"/>
          <w:i w:val="0"/>
        </w:rPr>
        <w:t>.</w:t>
      </w:r>
    </w:p>
    <w:p>
      <w:pPr>
        <w:widowControl/>
      </w:pPr>
      <w:r>
        <w:rPr>
          <w:b/>
          <w:i w:val="0"/>
        </w:rPr>
        <w:t>contrahit.</w:t>
      </w:r>
      <w:r>
        <w:rPr>
          <w:b w:val="0"/>
          <w:i w:val="0"/>
        </w:rPr>
        <w:t xml:space="preserve"> </w:t>
      </w:r>
      <w:hyperlink w:anchor="latin-record-0267">
        <w:r>
          <w:rPr>
            <w:color w:val="000000"/>
          </w:rPr>
          <w:t xml:space="preserve">contrahere</w:t>
        </w:r>
      </w:hyperlink>
      <w:r>
        <w:rPr>
          <w:b w:val="0"/>
          <w:i w:val="0"/>
        </w:rPr>
        <w:t>.</w:t>
      </w:r>
    </w:p>
    <w:p>
      <w:pPr>
        <w:widowControl/>
      </w:pPr>
      <w:r>
        <w:rPr>
          <w:b/>
          <w:i w:val="0"/>
        </w:rPr>
        <w:t>contrariorum.</w:t>
      </w:r>
      <w:r>
        <w:rPr>
          <w:b w:val="0"/>
          <w:i w:val="0"/>
        </w:rPr>
        <w:t xml:space="preserve"> </w:t>
      </w:r>
      <w:hyperlink w:anchor="latin-record-0268">
        <w:r>
          <w:rPr>
            <w:color w:val="000000"/>
          </w:rPr>
          <w:t xml:space="preserve">contrarium / oppositio</w:t>
        </w:r>
      </w:hyperlink>
      <w:r>
        <w:rPr>
          <w:b w:val="0"/>
          <w:i w:val="0"/>
        </w:rPr>
        <w:t>.</w:t>
      </w:r>
    </w:p>
    <w:p>
      <w:pPr>
        <w:widowControl/>
      </w:pPr>
      <w:r>
        <w:rPr>
          <w:b/>
          <w:i w:val="0"/>
        </w:rPr>
        <w:t>contrarius.</w:t>
      </w:r>
      <w:r>
        <w:rPr>
          <w:b w:val="0"/>
          <w:i w:val="0"/>
        </w:rPr>
        <w:t xml:space="preserve"> </w:t>
      </w:r>
      <w:hyperlink w:anchor="latin-record-0801">
        <w:r>
          <w:rPr>
            <w:color w:val="000000"/>
          </w:rPr>
          <w:t xml:space="preserve">oppositus / contrarius / diversus</w:t>
        </w:r>
      </w:hyperlink>
      <w:r>
        <w:rPr>
          <w:b w:val="0"/>
          <w:i w:val="0"/>
        </w:rPr>
        <w:t>.</w:t>
      </w:r>
    </w:p>
    <w:p>
      <w:pPr>
        <w:widowControl/>
      </w:pPr>
      <w:r>
        <w:rPr>
          <w:b/>
          <w:i w:val="0"/>
        </w:rPr>
        <w:t>contueatur.</w:t>
      </w:r>
      <w:r>
        <w:rPr>
          <w:b w:val="0"/>
          <w:i w:val="0"/>
        </w:rPr>
        <w:t xml:space="preserve"> </w:t>
      </w:r>
      <w:hyperlink w:anchor="latin-record-0269">
        <w:r>
          <w:rPr>
            <w:color w:val="000000"/>
          </w:rPr>
          <w:t xml:space="preserve">contueri / intueri / intuitus</w:t>
        </w:r>
      </w:hyperlink>
      <w:r>
        <w:rPr>
          <w:b w:val="0"/>
          <w:i w:val="0"/>
        </w:rPr>
        <w:t>.</w:t>
      </w:r>
    </w:p>
    <w:p>
      <w:pPr>
        <w:widowControl/>
      </w:pPr>
      <w:r>
        <w:rPr>
          <w:b/>
          <w:i w:val="0"/>
        </w:rPr>
        <w:t>contuetur.</w:t>
      </w:r>
      <w:r>
        <w:rPr>
          <w:b w:val="0"/>
          <w:i w:val="0"/>
        </w:rPr>
        <w:t xml:space="preserve"> </w:t>
      </w:r>
      <w:hyperlink w:anchor="latin-record-0609">
        <w:r>
          <w:rPr>
            <w:color w:val="000000"/>
          </w:rPr>
          <w:t xml:space="preserve">intuitus / intueri / conspicere</w:t>
        </w:r>
      </w:hyperlink>
      <w:r>
        <w:rPr>
          <w:b w:val="0"/>
          <w:i w:val="0"/>
        </w:rPr>
        <w:t>.</w:t>
      </w:r>
    </w:p>
    <w:p>
      <w:pPr>
        <w:widowControl/>
      </w:pPr>
      <w:r>
        <w:rPr>
          <w:b/>
          <w:i w:val="0"/>
        </w:rPr>
        <w:t>conveniant.</w:t>
      </w:r>
      <w:r>
        <w:rPr>
          <w:b w:val="0"/>
          <w:i w:val="0"/>
        </w:rPr>
        <w:t xml:space="preserve"> </w:t>
      </w:r>
      <w:hyperlink w:anchor="latin-record-0271">
        <w:r>
          <w:rPr>
            <w:color w:val="000000"/>
          </w:rPr>
          <w:t xml:space="preserve">convenire / congruere</w:t>
        </w:r>
      </w:hyperlink>
      <w:r>
        <w:rPr>
          <w:b w:val="0"/>
          <w:i w:val="0"/>
        </w:rPr>
        <w:t>.</w:t>
      </w:r>
    </w:p>
    <w:p>
      <w:pPr>
        <w:widowControl/>
      </w:pPr>
      <w:r>
        <w:rPr>
          <w:b/>
          <w:i w:val="0"/>
        </w:rPr>
        <w:t>conveniat.</w:t>
      </w:r>
      <w:r>
        <w:rPr>
          <w:b w:val="0"/>
          <w:i w:val="0"/>
        </w:rPr>
        <w:t xml:space="preserve"> </w:t>
      </w:r>
      <w:hyperlink w:anchor="latin-record-0089">
        <w:r>
          <w:rPr>
            <w:color w:val="000000"/>
          </w:rPr>
          <w:t xml:space="preserve">aptus / convenire / congruere</w:t>
        </w:r>
      </w:hyperlink>
      <w:r>
        <w:rPr>
          <w:b w:val="0"/>
          <w:i w:val="0"/>
        </w:rPr>
        <w:t>.</w:t>
      </w:r>
    </w:p>
    <w:p>
      <w:pPr>
        <w:widowControl/>
      </w:pPr>
      <w:r>
        <w:rPr>
          <w:b/>
          <w:i w:val="0"/>
        </w:rPr>
        <w:t>convenientior.</w:t>
      </w:r>
      <w:r>
        <w:rPr>
          <w:b w:val="0"/>
          <w:i w:val="0"/>
        </w:rPr>
        <w:t xml:space="preserve"> </w:t>
      </w:r>
      <w:hyperlink w:anchor="latin-record-0956">
        <w:r>
          <w:rPr>
            <w:color w:val="000000"/>
          </w:rPr>
          <w:t xml:space="preserve">propinquus / conveniens</w:t>
        </w:r>
      </w:hyperlink>
      <w:r>
        <w:rPr>
          <w:b w:val="0"/>
          <w:i w:val="0"/>
        </w:rPr>
        <w:t>.</w:t>
      </w:r>
    </w:p>
    <w:p>
      <w:pPr>
        <w:widowControl/>
      </w:pPr>
      <w:r>
        <w:rPr>
          <w:b/>
          <w:i w:val="0"/>
        </w:rPr>
        <w:t>convenire.</w:t>
      </w:r>
      <w:r>
        <w:rPr>
          <w:b w:val="0"/>
          <w:i w:val="0"/>
        </w:rPr>
        <w:t xml:space="preserve"> </w:t>
      </w:r>
      <w:hyperlink w:anchor="latin-record-1026">
        <w:r>
          <w:rPr>
            <w:color w:val="000000"/>
          </w:rPr>
          <w:t xml:space="preserve">ratio naturalis and usualness</w:t>
        </w:r>
      </w:hyperlink>
      <w:r>
        <w:rPr>
          <w:b w:val="0"/>
          <w:i w:val="0"/>
        </w:rPr>
        <w:t>.</w:t>
      </w:r>
    </w:p>
    <w:p>
      <w:pPr>
        <w:widowControl/>
      </w:pPr>
      <w:r>
        <w:rPr>
          <w:b/>
          <w:i w:val="0"/>
        </w:rPr>
        <w:t>convenit.</w:t>
      </w:r>
      <w:r>
        <w:rPr>
          <w:b w:val="0"/>
          <w:i w:val="0"/>
        </w:rPr>
        <w:t xml:space="preserve"> </w:t>
      </w:r>
      <w:hyperlink w:anchor="latin-record-0205">
        <w:r>
          <w:rPr>
            <w:color w:val="000000"/>
          </w:rPr>
          <w:t xml:space="preserve">competere / convenire</w:t>
        </w:r>
      </w:hyperlink>
      <w:r>
        <w:rPr>
          <w:b w:val="0"/>
          <w:i w:val="0"/>
        </w:rPr>
        <w:t xml:space="preserve">; </w:t>
      </w:r>
      <w:hyperlink w:anchor="latin-record-0270">
        <w:r>
          <w:rPr>
            <w:color w:val="000000"/>
          </w:rPr>
          <w:t xml:space="preserve">convenio / discrepo</w:t>
        </w:r>
      </w:hyperlink>
      <w:r>
        <w:rPr>
          <w:b w:val="0"/>
          <w:i w:val="0"/>
        </w:rPr>
        <w:t xml:space="preserve">; </w:t>
      </w:r>
      <w:hyperlink w:anchor="latin-record-0271">
        <w:r>
          <w:rPr>
            <w:color w:val="000000"/>
          </w:rPr>
          <w:t xml:space="preserve">convenire / congruere</w:t>
        </w:r>
      </w:hyperlink>
      <w:r>
        <w:rPr>
          <w:b w:val="0"/>
          <w:i w:val="0"/>
        </w:rPr>
        <w:t>.</w:t>
      </w:r>
    </w:p>
    <w:p>
      <w:pPr>
        <w:widowControl/>
      </w:pPr>
      <w:r>
        <w:rPr>
          <w:b/>
          <w:i w:val="0"/>
        </w:rPr>
        <w:t>conveniunt.</w:t>
      </w:r>
      <w:r>
        <w:rPr>
          <w:b w:val="0"/>
          <w:i w:val="0"/>
        </w:rPr>
        <w:t xml:space="preserve"> </w:t>
      </w:r>
      <w:hyperlink w:anchor="latin-record-0271">
        <w:r>
          <w:rPr>
            <w:color w:val="000000"/>
          </w:rPr>
          <w:t xml:space="preserve">convenire / congruere</w:t>
        </w:r>
      </w:hyperlink>
      <w:r>
        <w:rPr>
          <w:b w:val="0"/>
          <w:i w:val="0"/>
        </w:rPr>
        <w:t>.</w:t>
      </w:r>
    </w:p>
    <w:p>
      <w:pPr>
        <w:widowControl/>
      </w:pPr>
      <w:r>
        <w:rPr>
          <w:b/>
          <w:i w:val="0"/>
        </w:rPr>
        <w:t>conversa.</w:t>
      </w:r>
      <w:r>
        <w:rPr>
          <w:b w:val="0"/>
          <w:i w:val="0"/>
        </w:rPr>
        <w:t xml:space="preserve"> </w:t>
      </w:r>
      <w:hyperlink w:anchor="latin-record-0273">
        <w:r>
          <w:rPr>
            <w:color w:val="000000"/>
          </w:rPr>
          <w:t xml:space="preserve">convertere / reverti</w:t>
        </w:r>
      </w:hyperlink>
      <w:r>
        <w:rPr>
          <w:b w:val="0"/>
          <w:i w:val="0"/>
        </w:rPr>
        <w:t>.</w:t>
      </w:r>
    </w:p>
    <w:p>
      <w:pPr>
        <w:widowControl/>
      </w:pPr>
      <w:r>
        <w:rPr>
          <w:b/>
          <w:i w:val="0"/>
        </w:rPr>
        <w:t>conversio.</w:t>
      </w:r>
      <w:r>
        <w:rPr>
          <w:b w:val="0"/>
          <w:i w:val="0"/>
        </w:rPr>
        <w:t xml:space="preserve"> </w:t>
      </w:r>
      <w:hyperlink w:anchor="latin-record-0272">
        <w:r>
          <w:rPr>
            <w:color w:val="000000"/>
          </w:rPr>
          <w:t xml:space="preserve">conversio / profectio</w:t>
        </w:r>
      </w:hyperlink>
      <w:r>
        <w:rPr>
          <w:b w:val="0"/>
          <w:i w:val="0"/>
        </w:rPr>
        <w:t>.</w:t>
      </w:r>
    </w:p>
    <w:p>
      <w:pPr>
        <w:widowControl/>
      </w:pPr>
      <w:r>
        <w:rPr>
          <w:b/>
          <w:i w:val="0"/>
        </w:rPr>
        <w:t>converso.</w:t>
      </w:r>
      <w:r>
        <w:rPr>
          <w:b w:val="0"/>
          <w:i w:val="0"/>
        </w:rPr>
        <w:t xml:space="preserve"> </w:t>
      </w:r>
      <w:hyperlink w:anchor="latin-record-0274">
        <w:r>
          <w:rPr>
            <w:color w:val="000000"/>
          </w:rPr>
          <w:t xml:space="preserve">convertere / reverti / converso</w:t>
        </w:r>
      </w:hyperlink>
      <w:r>
        <w:rPr>
          <w:b w:val="0"/>
          <w:i w:val="0"/>
        </w:rPr>
        <w:t>.</w:t>
      </w:r>
    </w:p>
    <w:p>
      <w:pPr>
        <w:widowControl/>
      </w:pPr>
      <w:r>
        <w:rPr>
          <w:b/>
          <w:i w:val="0"/>
        </w:rPr>
        <w:t>converterentur.</w:t>
      </w:r>
      <w:r>
        <w:rPr>
          <w:b w:val="0"/>
          <w:i w:val="0"/>
        </w:rPr>
        <w:t xml:space="preserve"> </w:t>
      </w:r>
      <w:hyperlink w:anchor="latin-record-0274">
        <w:r>
          <w:rPr>
            <w:color w:val="000000"/>
          </w:rPr>
          <w:t xml:space="preserve">convertere / reverti / converso</w:t>
        </w:r>
      </w:hyperlink>
      <w:r>
        <w:rPr>
          <w:b w:val="0"/>
          <w:i w:val="0"/>
        </w:rPr>
        <w:t>.</w:t>
      </w:r>
    </w:p>
    <w:p>
      <w:pPr>
        <w:widowControl/>
      </w:pPr>
      <w:r>
        <w:rPr>
          <w:b/>
          <w:i w:val="0"/>
        </w:rPr>
        <w:t>convertitur.</w:t>
      </w:r>
      <w:r>
        <w:rPr>
          <w:b w:val="0"/>
          <w:i w:val="0"/>
        </w:rPr>
        <w:t xml:space="preserve"> </w:t>
      </w:r>
      <w:hyperlink w:anchor="latin-record-0844">
        <w:r>
          <w:rPr>
            <w:color w:val="000000"/>
          </w:rPr>
          <w:t xml:space="preserve">pendere / converti</w:t>
        </w:r>
      </w:hyperlink>
      <w:r>
        <w:rPr>
          <w:b w:val="0"/>
          <w:i w:val="0"/>
        </w:rPr>
        <w:t>.</w:t>
      </w:r>
    </w:p>
    <w:p>
      <w:pPr>
        <w:widowControl/>
      </w:pPr>
      <w:r>
        <w:rPr>
          <w:b/>
          <w:i w:val="0"/>
        </w:rPr>
        <w:t>convertuntur.</w:t>
      </w:r>
      <w:r>
        <w:rPr>
          <w:b w:val="0"/>
          <w:i w:val="0"/>
        </w:rPr>
        <w:t xml:space="preserve"> </w:t>
      </w:r>
      <w:hyperlink w:anchor="latin-record-0272">
        <w:r>
          <w:rPr>
            <w:color w:val="000000"/>
          </w:rPr>
          <w:t xml:space="preserve">conversio / profectio</w:t>
        </w:r>
      </w:hyperlink>
      <w:r>
        <w:rPr>
          <w:b w:val="0"/>
          <w:i w:val="0"/>
        </w:rPr>
        <w:t>.</w:t>
      </w:r>
    </w:p>
    <w:p>
      <w:pPr>
        <w:widowControl/>
      </w:pPr>
      <w:r>
        <w:rPr>
          <w:b/>
          <w:i w:val="0"/>
        </w:rPr>
        <w:t>convincitur.</w:t>
      </w:r>
      <w:r>
        <w:rPr>
          <w:b w:val="0"/>
          <w:i w:val="0"/>
        </w:rPr>
        <w:t xml:space="preserve"> </w:t>
      </w:r>
      <w:hyperlink w:anchor="latin-record-0093">
        <w:r>
          <w:rPr>
            <w:color w:val="000000"/>
          </w:rPr>
          <w:t xml:space="preserve">arguo / convinco</w:t>
        </w:r>
      </w:hyperlink>
      <w:r>
        <w:rPr>
          <w:b w:val="0"/>
          <w:i w:val="0"/>
        </w:rPr>
        <w:t>.</w:t>
      </w:r>
    </w:p>
    <w:p>
      <w:pPr>
        <w:widowControl/>
      </w:pPr>
      <w:r>
        <w:rPr>
          <w:b/>
          <w:i w:val="0"/>
        </w:rPr>
        <w:t>convolvitur.</w:t>
      </w:r>
      <w:r>
        <w:rPr>
          <w:b w:val="0"/>
          <w:i w:val="0"/>
        </w:rPr>
        <w:t xml:space="preserve"> </w:t>
      </w:r>
      <w:hyperlink w:anchor="latin-record-0275">
        <w:r>
          <w:rPr>
            <w:color w:val="000000"/>
          </w:rPr>
          <w:t xml:space="preserve">convolvi / revolvi</w:t>
        </w:r>
      </w:hyperlink>
      <w:r>
        <w:rPr>
          <w:b w:val="0"/>
          <w:i w:val="0"/>
        </w:rPr>
        <w:t>.</w:t>
      </w:r>
    </w:p>
    <w:p>
      <w:pPr>
        <w:widowControl/>
      </w:pPr>
      <w:r>
        <w:rPr>
          <w:b/>
          <w:i w:val="0"/>
        </w:rPr>
        <w:t>copula.</w:t>
      </w:r>
      <w:r>
        <w:rPr>
          <w:b w:val="0"/>
          <w:i w:val="0"/>
        </w:rPr>
        <w:t xml:space="preserve"> </w:t>
      </w:r>
      <w:hyperlink w:anchor="latin-record-0241">
        <w:r>
          <w:rPr>
            <w:color w:val="000000"/>
          </w:rPr>
          <w:t xml:space="preserve">connectere / copulare / colligare</w:t>
        </w:r>
      </w:hyperlink>
      <w:r>
        <w:rPr>
          <w:b w:val="0"/>
          <w:i w:val="0"/>
        </w:rPr>
        <w:t xml:space="preserve">; </w:t>
      </w:r>
      <w:hyperlink w:anchor="latin-record-0276">
        <w:r>
          <w:rPr>
            <w:color w:val="000000"/>
          </w:rPr>
          <w:t xml:space="preserve">copulo / conspiratio</w:t>
        </w:r>
      </w:hyperlink>
      <w:r>
        <w:rPr>
          <w:b w:val="0"/>
          <w:i w:val="0"/>
        </w:rPr>
        <w:t>.</w:t>
      </w:r>
    </w:p>
    <w:p>
      <w:pPr>
        <w:widowControl/>
      </w:pPr>
      <w:r>
        <w:rPr>
          <w:b/>
          <w:i w:val="0"/>
        </w:rPr>
        <w:t>copulante.</w:t>
      </w:r>
      <w:r>
        <w:rPr>
          <w:b w:val="0"/>
          <w:i w:val="0"/>
        </w:rPr>
        <w:t xml:space="preserve"> </w:t>
      </w:r>
      <w:hyperlink w:anchor="latin-record-0276">
        <w:r>
          <w:rPr>
            <w:color w:val="000000"/>
          </w:rPr>
          <w:t xml:space="preserve">copulo / conspiratio</w:t>
        </w:r>
      </w:hyperlink>
      <w:r>
        <w:rPr>
          <w:b w:val="0"/>
          <w:i w:val="0"/>
        </w:rPr>
        <w:t>.</w:t>
      </w:r>
    </w:p>
    <w:p>
      <w:pPr>
        <w:widowControl/>
      </w:pPr>
      <w:r>
        <w:rPr>
          <w:b/>
          <w:i w:val="0"/>
        </w:rPr>
        <w:t>cor.</w:t>
      </w:r>
      <w:r>
        <w:rPr>
          <w:b w:val="0"/>
          <w:i w:val="0"/>
        </w:rPr>
        <w:t xml:space="preserve"> </w:t>
      </w:r>
      <w:hyperlink w:anchor="latin-record-0277">
        <w:r>
          <w:rPr>
            <w:color w:val="000000"/>
          </w:rPr>
          <w:t xml:space="preserve">cor / principalis stella</w:t>
        </w:r>
      </w:hyperlink>
      <w:r>
        <w:rPr>
          <w:b w:val="0"/>
          <w:i w:val="0"/>
        </w:rPr>
        <w:t>.</w:t>
      </w:r>
    </w:p>
    <w:p>
      <w:pPr>
        <w:widowControl/>
      </w:pPr>
      <w:r>
        <w:rPr>
          <w:b/>
          <w:i w:val="0"/>
        </w:rPr>
        <w:t>Corallus.</w:t>
      </w:r>
      <w:r>
        <w:rPr>
          <w:b w:val="0"/>
          <w:i w:val="0"/>
        </w:rPr>
        <w:t xml:space="preserve"> </w:t>
      </w:r>
      <w:hyperlink w:anchor="latin-record-0279">
        <w:r>
          <w:rPr>
            <w:color w:val="000000"/>
          </w:rPr>
          <w:t xml:space="preserve">Corneola / Onyx / Corallus</w:t>
        </w:r>
      </w:hyperlink>
      <w:r>
        <w:rPr>
          <w:b w:val="0"/>
          <w:i w:val="0"/>
        </w:rPr>
        <w:t>.</w:t>
      </w:r>
    </w:p>
    <w:p>
      <w:pPr>
        <w:widowControl/>
      </w:pPr>
      <w:r>
        <w:rPr>
          <w:b/>
          <w:i w:val="0"/>
        </w:rPr>
        <w:t>corde.</w:t>
      </w:r>
      <w:r>
        <w:rPr>
          <w:b w:val="0"/>
          <w:i w:val="0"/>
        </w:rPr>
        <w:t xml:space="preserve"> </w:t>
      </w:r>
      <w:hyperlink w:anchor="latin-record-0277">
        <w:r>
          <w:rPr>
            <w:color w:val="000000"/>
          </w:rPr>
          <w:t xml:space="preserve">cor / principalis stella</w:t>
        </w:r>
      </w:hyperlink>
      <w:r>
        <w:rPr>
          <w:b w:val="0"/>
          <w:i w:val="0"/>
        </w:rPr>
        <w:t xml:space="preserve">; </w:t>
      </w:r>
      <w:hyperlink w:anchor="latin-record-0278">
        <w:r>
          <w:rPr>
            <w:color w:val="000000"/>
          </w:rPr>
          <w:t xml:space="preserve">cor / putare</w:t>
        </w:r>
      </w:hyperlink>
      <w:r>
        <w:rPr>
          <w:b w:val="0"/>
          <w:i w:val="0"/>
        </w:rPr>
        <w:t>.</w:t>
      </w:r>
    </w:p>
    <w:p>
      <w:pPr>
        <w:widowControl/>
      </w:pPr>
      <w:r>
        <w:rPr>
          <w:b/>
          <w:i w:val="0"/>
        </w:rPr>
        <w:t>cordi.</w:t>
      </w:r>
      <w:r>
        <w:rPr>
          <w:b w:val="0"/>
          <w:i w:val="0"/>
        </w:rPr>
        <w:t xml:space="preserve"> </w:t>
      </w:r>
      <w:hyperlink w:anchor="latin-record-0158">
        <w:r>
          <w:rPr>
            <w:color w:val="000000"/>
          </w:rPr>
          <w:t xml:space="preserve">cerebrum / cor / iecur</w:t>
        </w:r>
      </w:hyperlink>
      <w:r>
        <w:rPr>
          <w:b w:val="0"/>
          <w:i w:val="0"/>
        </w:rPr>
        <w:t>.</w:t>
      </w:r>
    </w:p>
    <w:p>
      <w:pPr>
        <w:widowControl/>
      </w:pPr>
      <w:r>
        <w:rPr>
          <w:b/>
          <w:i w:val="0"/>
        </w:rPr>
        <w:t>Corneola.</w:t>
      </w:r>
      <w:r>
        <w:rPr>
          <w:b w:val="0"/>
          <w:i w:val="0"/>
        </w:rPr>
        <w:t xml:space="preserve"> </w:t>
      </w:r>
      <w:hyperlink w:anchor="latin-record-0279">
        <w:r>
          <w:rPr>
            <w:color w:val="000000"/>
          </w:rPr>
          <w:t xml:space="preserve">Corneola / Onyx / Corallus</w:t>
        </w:r>
      </w:hyperlink>
      <w:r>
        <w:rPr>
          <w:b w:val="0"/>
          <w:i w:val="0"/>
        </w:rPr>
        <w:t>.</w:t>
      </w:r>
    </w:p>
    <w:p>
      <w:pPr>
        <w:widowControl/>
      </w:pPr>
      <w:r>
        <w:rPr>
          <w:b/>
          <w:i w:val="0"/>
        </w:rPr>
        <w:t>cornuum.</w:t>
      </w:r>
      <w:r>
        <w:rPr>
          <w:b w:val="0"/>
          <w:i w:val="0"/>
        </w:rPr>
        <w:t xml:space="preserve"> </w:t>
      </w:r>
      <w:hyperlink w:anchor="latin-record-1212">
        <w:r>
          <w:rPr>
            <w:color w:val="000000"/>
          </w:rPr>
          <w:t xml:space="preserve">tuba / cornu / cantus</w:t>
        </w:r>
      </w:hyperlink>
      <w:r>
        <w:rPr>
          <w:b w:val="0"/>
          <w:i w:val="0"/>
        </w:rPr>
        <w:t>.</w:t>
      </w:r>
    </w:p>
    <w:p>
      <w:pPr>
        <w:widowControl/>
      </w:pPr>
      <w:r>
        <w:rPr>
          <w:b/>
          <w:i w:val="0"/>
        </w:rPr>
        <w:t>coronabant.</w:t>
      </w:r>
      <w:r>
        <w:rPr>
          <w:b w:val="0"/>
          <w:i w:val="0"/>
        </w:rPr>
        <w:t xml:space="preserve"> </w:t>
      </w:r>
      <w:hyperlink w:anchor="latin-record-0280">
        <w:r>
          <w:rPr>
            <w:color w:val="000000"/>
          </w:rPr>
          <w:t xml:space="preserve">coronare / vulnerare</w:t>
        </w:r>
      </w:hyperlink>
      <w:r>
        <w:rPr>
          <w:b w:val="0"/>
          <w:i w:val="0"/>
        </w:rPr>
        <w:t>.</w:t>
      </w:r>
    </w:p>
    <w:p>
      <w:pPr>
        <w:widowControl/>
      </w:pPr>
      <w:r>
        <w:rPr>
          <w:b/>
          <w:i w:val="0"/>
        </w:rPr>
        <w:t>corpora.</w:t>
      </w:r>
      <w:r>
        <w:rPr>
          <w:b w:val="0"/>
          <w:i w:val="0"/>
        </w:rPr>
        <w:t xml:space="preserve"> </w:t>
      </w:r>
      <w:hyperlink w:anchor="latin-record-0281">
        <w:r>
          <w:rPr>
            <w:color w:val="000000"/>
          </w:rPr>
          <w:t xml:space="preserve">corpus / corporalis</w:t>
        </w:r>
      </w:hyperlink>
      <w:r>
        <w:rPr>
          <w:b w:val="0"/>
          <w:i w:val="0"/>
        </w:rPr>
        <w:t>.</w:t>
      </w:r>
    </w:p>
    <w:p>
      <w:pPr>
        <w:widowControl/>
      </w:pPr>
      <w:r>
        <w:rPr>
          <w:b/>
          <w:i w:val="0"/>
        </w:rPr>
        <w:t>corporalis.</w:t>
      </w:r>
      <w:r>
        <w:rPr>
          <w:b w:val="0"/>
          <w:i w:val="0"/>
        </w:rPr>
        <w:t xml:space="preserve"> </w:t>
      </w:r>
      <w:hyperlink w:anchor="latin-record-0281">
        <w:r>
          <w:rPr>
            <w:color w:val="000000"/>
          </w:rPr>
          <w:t xml:space="preserve">corpus / corporalis</w:t>
        </w:r>
      </w:hyperlink>
      <w:r>
        <w:rPr>
          <w:b w:val="0"/>
          <w:i w:val="0"/>
        </w:rPr>
        <w:t>.</w:t>
      </w:r>
    </w:p>
    <w:p>
      <w:pPr>
        <w:widowControl/>
      </w:pPr>
      <w:r>
        <w:rPr>
          <w:b/>
          <w:i w:val="0"/>
        </w:rPr>
        <w:t>corpori.</w:t>
      </w:r>
      <w:r>
        <w:rPr>
          <w:b w:val="0"/>
          <w:i w:val="0"/>
        </w:rPr>
        <w:t xml:space="preserve"> </w:t>
      </w:r>
      <w:hyperlink w:anchor="latin-record-0281">
        <w:r>
          <w:rPr>
            <w:color w:val="000000"/>
          </w:rPr>
          <w:t xml:space="preserve">corpus / corporalis</w:t>
        </w:r>
      </w:hyperlink>
      <w:r>
        <w:rPr>
          <w:b w:val="0"/>
          <w:i w:val="0"/>
        </w:rPr>
        <w:t>.</w:t>
      </w:r>
    </w:p>
    <w:p>
      <w:pPr>
        <w:widowControl/>
      </w:pPr>
      <w:r>
        <w:rPr>
          <w:b/>
          <w:i w:val="0"/>
        </w:rPr>
        <w:t>corporibus.</w:t>
      </w:r>
      <w:r>
        <w:rPr>
          <w:b w:val="0"/>
          <w:i w:val="0"/>
        </w:rPr>
        <w:t xml:space="preserve"> </w:t>
      </w:r>
      <w:hyperlink w:anchor="latin-record-0281">
        <w:r>
          <w:rPr>
            <w:color w:val="000000"/>
          </w:rPr>
          <w:t xml:space="preserve">corpus / corporalis</w:t>
        </w:r>
      </w:hyperlink>
      <w:r>
        <w:rPr>
          <w:b w:val="0"/>
          <w:i w:val="0"/>
        </w:rPr>
        <w:t>.</w:t>
      </w:r>
    </w:p>
    <w:p>
      <w:pPr>
        <w:widowControl/>
      </w:pPr>
      <w:r>
        <w:rPr>
          <w:b/>
          <w:i w:val="0"/>
        </w:rPr>
        <w:t>corporis.</w:t>
      </w:r>
      <w:r>
        <w:rPr>
          <w:b w:val="0"/>
          <w:i w:val="0"/>
        </w:rPr>
        <w:t xml:space="preserve"> </w:t>
      </w:r>
      <w:hyperlink w:anchor="latin-record-0281">
        <w:r>
          <w:rPr>
            <w:color w:val="000000"/>
          </w:rPr>
          <w:t xml:space="preserve">corpus / corporalis</w:t>
        </w:r>
      </w:hyperlink>
      <w:r>
        <w:rPr>
          <w:b w:val="0"/>
          <w:i w:val="0"/>
        </w:rPr>
        <w:t>.</w:t>
      </w:r>
    </w:p>
    <w:p>
      <w:pPr>
        <w:widowControl/>
      </w:pPr>
      <w:r>
        <w:rPr>
          <w:b/>
          <w:i w:val="0"/>
        </w:rPr>
        <w:t>corpus.</w:t>
      </w:r>
      <w:r>
        <w:rPr>
          <w:b w:val="0"/>
          <w:i w:val="0"/>
        </w:rPr>
        <w:t xml:space="preserve"> </w:t>
      </w:r>
      <w:hyperlink w:anchor="latin-record-0281">
        <w:r>
          <w:rPr>
            <w:color w:val="000000"/>
          </w:rPr>
          <w:t xml:space="preserve">corpus / corporalis</w:t>
        </w:r>
      </w:hyperlink>
      <w:r>
        <w:rPr>
          <w:b w:val="0"/>
          <w:i w:val="0"/>
        </w:rPr>
        <w:t>.</w:t>
      </w:r>
    </w:p>
    <w:p>
      <w:pPr>
        <w:widowControl/>
      </w:pPr>
      <w:r>
        <w:rPr>
          <w:b/>
          <w:i w:val="0"/>
        </w:rPr>
        <w:t>corpusculi talis causa.</w:t>
      </w:r>
      <w:r>
        <w:rPr>
          <w:b w:val="0"/>
          <w:i w:val="0"/>
        </w:rPr>
        <w:t xml:space="preserve"> </w:t>
      </w:r>
      <w:hyperlink w:anchor="latin-record-0488">
        <w:r>
          <w:rPr>
            <w:color w:val="000000"/>
          </w:rPr>
          <w:t xml:space="preserve">gratia / causa with genitive</w:t>
        </w:r>
      </w:hyperlink>
      <w:r>
        <w:rPr>
          <w:b w:val="0"/>
          <w:i w:val="0"/>
        </w:rPr>
        <w:t>.</w:t>
      </w:r>
    </w:p>
    <w:p>
      <w:pPr>
        <w:widowControl/>
      </w:pPr>
      <w:r>
        <w:rPr>
          <w:b/>
          <w:i w:val="0"/>
        </w:rPr>
        <w:t>corruunt.</w:t>
      </w:r>
      <w:r>
        <w:rPr>
          <w:b w:val="0"/>
          <w:i w:val="0"/>
        </w:rPr>
        <w:t xml:space="preserve"> </w:t>
      </w:r>
      <w:hyperlink w:anchor="latin-record-0282">
        <w:r>
          <w:rPr>
            <w:color w:val="000000"/>
          </w:rPr>
          <w:t xml:space="preserve">corruo / renascor</w:t>
        </w:r>
      </w:hyperlink>
      <w:r>
        <w:rPr>
          <w:b w:val="0"/>
          <w:i w:val="0"/>
        </w:rPr>
        <w:t>.</w:t>
      </w:r>
    </w:p>
    <w:p>
      <w:pPr>
        <w:widowControl/>
      </w:pPr>
      <w:r>
        <w:rPr>
          <w:b/>
          <w:i w:val="0"/>
        </w:rPr>
        <w:t>crassitudo.</w:t>
      </w:r>
      <w:r>
        <w:rPr>
          <w:b w:val="0"/>
          <w:i w:val="0"/>
        </w:rPr>
        <w:t xml:space="preserve"> </w:t>
      </w:r>
      <w:hyperlink w:anchor="latin-record-1116">
        <w:r>
          <w:rPr>
            <w:color w:val="000000"/>
          </w:rPr>
          <w:t xml:space="preserve">soliditas / densitas / crassitudo</w:t>
        </w:r>
      </w:hyperlink>
      <w:r>
        <w:rPr>
          <w:b w:val="0"/>
          <w:i w:val="0"/>
        </w:rPr>
        <w:t>.</w:t>
      </w:r>
    </w:p>
    <w:p>
      <w:pPr>
        <w:widowControl/>
      </w:pPr>
      <w:r>
        <w:rPr>
          <w:b/>
          <w:i w:val="0"/>
        </w:rPr>
        <w:t>creat.</w:t>
      </w:r>
      <w:r>
        <w:rPr>
          <w:b w:val="0"/>
          <w:i w:val="0"/>
        </w:rPr>
        <w:t xml:space="preserve"> </w:t>
      </w:r>
      <w:hyperlink w:anchor="latin-record-0283">
        <w:r>
          <w:rPr>
            <w:color w:val="000000"/>
          </w:rPr>
          <w:t xml:space="preserve">creare / ex nihilo</w:t>
        </w:r>
      </w:hyperlink>
      <w:r>
        <w:rPr>
          <w:b w:val="0"/>
          <w:i w:val="0"/>
        </w:rPr>
        <w:t>.</w:t>
      </w:r>
    </w:p>
    <w:p>
      <w:pPr>
        <w:widowControl/>
      </w:pPr>
      <w:r>
        <w:rPr>
          <w:b/>
          <w:i w:val="0"/>
        </w:rPr>
        <w:t>creationis.</w:t>
      </w:r>
      <w:r>
        <w:rPr>
          <w:b w:val="0"/>
          <w:i w:val="0"/>
        </w:rPr>
        <w:t xml:space="preserve"> </w:t>
      </w:r>
      <w:hyperlink w:anchor="latin-record-0283">
        <w:r>
          <w:rPr>
            <w:color w:val="000000"/>
          </w:rPr>
          <w:t xml:space="preserve">creare / ex nihilo</w:t>
        </w:r>
      </w:hyperlink>
      <w:r>
        <w:rPr>
          <w:b w:val="0"/>
          <w:i w:val="0"/>
        </w:rPr>
        <w:t>.</w:t>
      </w:r>
    </w:p>
    <w:p>
      <w:pPr>
        <w:widowControl/>
      </w:pPr>
      <w:r>
        <w:rPr>
          <w:b/>
          <w:i w:val="0"/>
        </w:rPr>
        <w:t>crescere.</w:t>
      </w:r>
      <w:r>
        <w:rPr>
          <w:b w:val="0"/>
          <w:i w:val="0"/>
        </w:rPr>
        <w:t xml:space="preserve"> </w:t>
      </w:r>
      <w:hyperlink w:anchor="latin-record-0284">
        <w:r>
          <w:rPr>
            <w:color w:val="000000"/>
          </w:rPr>
          <w:t xml:space="preserve">crescere / decrescere / minuere</w:t>
        </w:r>
      </w:hyperlink>
      <w:r>
        <w:rPr>
          <w:b w:val="0"/>
          <w:i w:val="0"/>
        </w:rPr>
        <w:t>.</w:t>
      </w:r>
    </w:p>
    <w:p>
      <w:pPr>
        <w:widowControl/>
      </w:pPr>
      <w:r>
        <w:rPr>
          <w:b/>
          <w:i w:val="0"/>
        </w:rPr>
        <w:t>crescit.</w:t>
      </w:r>
      <w:r>
        <w:rPr>
          <w:b w:val="0"/>
          <w:i w:val="0"/>
        </w:rPr>
        <w:t xml:space="preserve"> </w:t>
      </w:r>
      <w:hyperlink w:anchor="latin-record-0284">
        <w:r>
          <w:rPr>
            <w:color w:val="000000"/>
          </w:rPr>
          <w:t xml:space="preserve">crescere / decrescere / minuere</w:t>
        </w:r>
      </w:hyperlink>
      <w:r>
        <w:rPr>
          <w:b w:val="0"/>
          <w:i w:val="0"/>
        </w:rPr>
        <w:t>.</w:t>
      </w:r>
    </w:p>
    <w:p>
      <w:pPr>
        <w:widowControl/>
      </w:pPr>
      <w:r>
        <w:rPr>
          <w:b/>
          <w:i w:val="0"/>
        </w:rPr>
        <w:t>crinitarum.</w:t>
      </w:r>
      <w:r>
        <w:rPr>
          <w:b w:val="0"/>
          <w:i w:val="0"/>
        </w:rPr>
        <w:t xml:space="preserve"> </w:t>
      </w:r>
      <w:hyperlink w:anchor="latin-record-0366">
        <w:r>
          <w:rPr>
            <w:color w:val="000000"/>
          </w:rPr>
          <w:t xml:space="preserve">Egelias / crinitae</w:t>
        </w:r>
      </w:hyperlink>
      <w:r>
        <w:rPr>
          <w:b w:val="0"/>
          <w:i w:val="0"/>
        </w:rPr>
        <w:t>.</w:t>
      </w:r>
    </w:p>
    <w:p>
      <w:pPr>
        <w:widowControl/>
      </w:pPr>
      <w:r>
        <w:rPr>
          <w:b/>
          <w:i w:val="0"/>
        </w:rPr>
        <w:t>Critia.</w:t>
      </w:r>
      <w:r>
        <w:rPr>
          <w:b w:val="0"/>
          <w:i w:val="0"/>
        </w:rPr>
        <w:t xml:space="preserve"> </w:t>
      </w:r>
      <w:hyperlink w:anchor="latin-record-0634">
        <w:r>
          <w:rPr>
            <w:color w:val="000000"/>
          </w:rPr>
          <w:t xml:space="preserve">leges / respublica / regnum / Critias (titles)</w:t>
        </w:r>
      </w:hyperlink>
      <w:r>
        <w:rPr>
          <w:b w:val="0"/>
          <w:i w:val="0"/>
        </w:rPr>
        <w:t>.</w:t>
      </w:r>
    </w:p>
    <w:p>
      <w:pPr>
        <w:widowControl/>
      </w:pPr>
      <w:r>
        <w:rPr>
          <w:b/>
          <w:i w:val="0"/>
        </w:rPr>
        <w:t>culpanda.</w:t>
      </w:r>
      <w:r>
        <w:rPr>
          <w:b w:val="0"/>
          <w:i w:val="0"/>
        </w:rPr>
        <w:t xml:space="preserve"> </w:t>
      </w:r>
      <w:hyperlink w:anchor="latin-record-0285">
        <w:r>
          <w:rPr>
            <w:color w:val="000000"/>
          </w:rPr>
          <w:t xml:space="preserve">culpare / deformis</w:t>
        </w:r>
      </w:hyperlink>
      <w:r>
        <w:rPr>
          <w:b w:val="0"/>
          <w:i w:val="0"/>
        </w:rPr>
        <w:t>.</w:t>
      </w:r>
    </w:p>
    <w:p>
      <w:pPr>
        <w:widowControl/>
      </w:pPr>
      <w:r>
        <w:rPr>
          <w:b/>
          <w:i w:val="0"/>
        </w:rPr>
        <w:t>cultu.</w:t>
      </w:r>
      <w:r>
        <w:rPr>
          <w:b w:val="0"/>
          <w:i w:val="0"/>
        </w:rPr>
        <w:t xml:space="preserve"> </w:t>
      </w:r>
      <w:hyperlink w:anchor="latin-record-0189">
        <w:r>
          <w:rPr>
            <w:color w:val="000000"/>
          </w:rPr>
          <w:t xml:space="preserve">colo / cultus</w:t>
        </w:r>
      </w:hyperlink>
      <w:r>
        <w:rPr>
          <w:b w:val="0"/>
          <w:i w:val="0"/>
        </w:rPr>
        <w:t>.</w:t>
      </w:r>
    </w:p>
    <w:p>
      <w:pPr>
        <w:widowControl/>
      </w:pPr>
      <w:r>
        <w:rPr>
          <w:b/>
          <w:i w:val="0"/>
        </w:rPr>
        <w:t>cultum.</w:t>
      </w:r>
      <w:r>
        <w:rPr>
          <w:b w:val="0"/>
          <w:i w:val="0"/>
        </w:rPr>
        <w:t xml:space="preserve"> </w:t>
      </w:r>
      <w:hyperlink w:anchor="latin-record-0189">
        <w:r>
          <w:rPr>
            <w:color w:val="000000"/>
          </w:rPr>
          <w:t xml:space="preserve">colo / cultus</w:t>
        </w:r>
      </w:hyperlink>
      <w:r>
        <w:rPr>
          <w:b w:val="0"/>
          <w:i w:val="0"/>
        </w:rPr>
        <w:t>.</w:t>
      </w:r>
    </w:p>
    <w:p>
      <w:pPr>
        <w:widowControl/>
      </w:pPr>
      <w:r>
        <w:rPr>
          <w:b/>
          <w:i w:val="0"/>
        </w:rPr>
        <w:t>cumulus.</w:t>
      </w:r>
      <w:r>
        <w:rPr>
          <w:b w:val="0"/>
          <w:i w:val="0"/>
        </w:rPr>
        <w:t xml:space="preserve"> </w:t>
      </w:r>
      <w:hyperlink w:anchor="latin-record-0286">
        <w:r>
          <w:rPr>
            <w:color w:val="000000"/>
          </w:rPr>
          <w:t xml:space="preserve">cumulus</w:t>
        </w:r>
      </w:hyperlink>
      <w:r>
        <w:rPr>
          <w:b w:val="0"/>
          <w:i w:val="0"/>
        </w:rPr>
        <w:t>.</w:t>
      </w:r>
    </w:p>
    <w:p>
      <w:pPr>
        <w:widowControl/>
      </w:pPr>
      <w:r>
        <w:rPr>
          <w:b/>
          <w:i w:val="0"/>
        </w:rPr>
        <w:t>cuncta.</w:t>
      </w:r>
      <w:r>
        <w:rPr>
          <w:b w:val="0"/>
          <w:i w:val="0"/>
        </w:rPr>
        <w:t xml:space="preserve"> </w:t>
      </w:r>
      <w:hyperlink w:anchor="latin-record-0794">
        <w:r>
          <w:rPr>
            <w:color w:val="000000"/>
          </w:rPr>
          <w:t xml:space="preserve">omnis / cunctus / singulus</w:t>
        </w:r>
      </w:hyperlink>
      <w:r>
        <w:rPr>
          <w:b w:val="0"/>
          <w:i w:val="0"/>
        </w:rPr>
        <w:t>.</w:t>
      </w:r>
    </w:p>
    <w:p>
      <w:pPr>
        <w:widowControl/>
      </w:pPr>
      <w:r>
        <w:rPr>
          <w:b/>
          <w:i w:val="0"/>
        </w:rPr>
        <w:t>cupere.</w:t>
      </w:r>
      <w:r>
        <w:rPr>
          <w:b w:val="0"/>
          <w:i w:val="0"/>
        </w:rPr>
        <w:t xml:space="preserve"> </w:t>
      </w:r>
      <w:hyperlink w:anchor="latin-record-0287">
        <w:r>
          <w:rPr>
            <w:color w:val="000000"/>
          </w:rPr>
          <w:t xml:space="preserve">cupere / avidus</w:t>
        </w:r>
      </w:hyperlink>
      <w:r>
        <w:rPr>
          <w:b w:val="0"/>
          <w:i w:val="0"/>
        </w:rPr>
        <w:t>.</w:t>
      </w:r>
    </w:p>
    <w:p>
      <w:pPr>
        <w:widowControl/>
      </w:pPr>
      <w:r>
        <w:rPr>
          <w:b/>
          <w:i w:val="0"/>
        </w:rPr>
        <w:t>cupit.</w:t>
      </w:r>
      <w:r>
        <w:rPr>
          <w:b w:val="0"/>
          <w:i w:val="0"/>
        </w:rPr>
        <w:t xml:space="preserve"> </w:t>
      </w:r>
      <w:hyperlink w:anchor="latin-record-0802">
        <w:r>
          <w:rPr>
            <w:color w:val="000000"/>
          </w:rPr>
          <w:t xml:space="preserve">opto / cupio</w:t>
        </w:r>
      </w:hyperlink>
      <w:r>
        <w:rPr>
          <w:b w:val="0"/>
          <w:i w:val="0"/>
        </w:rPr>
        <w:t>.</w:t>
      </w:r>
    </w:p>
    <w:p>
      <w:pPr>
        <w:widowControl/>
      </w:pPr>
      <w:r>
        <w:rPr>
          <w:b/>
          <w:i w:val="0"/>
        </w:rPr>
        <w:t>cupiunt.</w:t>
      </w:r>
      <w:r>
        <w:rPr>
          <w:b w:val="0"/>
          <w:i w:val="0"/>
        </w:rPr>
        <w:t xml:space="preserve"> </w:t>
      </w:r>
      <w:hyperlink w:anchor="latin-record-0287">
        <w:r>
          <w:rPr>
            <w:color w:val="000000"/>
          </w:rPr>
          <w:t xml:space="preserve">cupere / avidus</w:t>
        </w:r>
      </w:hyperlink>
      <w:r>
        <w:rPr>
          <w:b w:val="0"/>
          <w:i w:val="0"/>
        </w:rPr>
        <w:t>.</w:t>
      </w:r>
    </w:p>
    <w:p>
      <w:pPr>
        <w:widowControl/>
      </w:pPr>
      <w:r>
        <w:rPr>
          <w:b/>
          <w:i w:val="0"/>
        </w:rPr>
        <w:t>cura.</w:t>
      </w:r>
      <w:r>
        <w:rPr>
          <w:b w:val="0"/>
          <w:i w:val="0"/>
        </w:rPr>
        <w:t xml:space="preserve"> </w:t>
      </w:r>
      <w:hyperlink w:anchor="latin-record-0288">
        <w:r>
          <w:rPr>
            <w:color w:val="000000"/>
          </w:rPr>
          <w:t xml:space="preserve">cura / labor / facilis</w:t>
        </w:r>
      </w:hyperlink>
      <w:r>
        <w:rPr>
          <w:b w:val="0"/>
          <w:i w:val="0"/>
        </w:rPr>
        <w:t>.</w:t>
      </w:r>
    </w:p>
    <w:p>
      <w:pPr>
        <w:widowControl/>
      </w:pPr>
      <w:r>
        <w:rPr>
          <w:b/>
          <w:i w:val="0"/>
        </w:rPr>
        <w:t>curam.</w:t>
      </w:r>
      <w:r>
        <w:rPr>
          <w:b w:val="0"/>
          <w:i w:val="0"/>
        </w:rPr>
        <w:t xml:space="preserve"> </w:t>
      </w:r>
      <w:hyperlink w:anchor="latin-record-0290">
        <w:r>
          <w:rPr>
            <w:color w:val="000000"/>
          </w:rPr>
          <w:t xml:space="preserve">custodire / cura</w:t>
        </w:r>
      </w:hyperlink>
      <w:r>
        <w:rPr>
          <w:b w:val="0"/>
          <w:i w:val="0"/>
        </w:rPr>
        <w:t>.</w:t>
      </w:r>
    </w:p>
    <w:p>
      <w:pPr>
        <w:widowControl/>
      </w:pPr>
      <w:r>
        <w:rPr>
          <w:b/>
          <w:i w:val="0"/>
        </w:rPr>
        <w:t>curriculis.</w:t>
      </w:r>
      <w:r>
        <w:rPr>
          <w:b w:val="0"/>
          <w:i w:val="0"/>
        </w:rPr>
        <w:t xml:space="preserve"> </w:t>
      </w:r>
      <w:hyperlink w:anchor="latin-record-1160">
        <w:r>
          <w:rPr>
            <w:color w:val="000000"/>
          </w:rPr>
          <w:t xml:space="preserve">successio / curriculum</w:t>
        </w:r>
      </w:hyperlink>
      <w:r>
        <w:rPr>
          <w:b w:val="0"/>
          <w:i w:val="0"/>
        </w:rPr>
        <w:t>.</w:t>
      </w:r>
    </w:p>
    <w:p>
      <w:pPr>
        <w:widowControl/>
      </w:pPr>
      <w:r>
        <w:rPr>
          <w:b/>
          <w:i w:val="0"/>
        </w:rPr>
        <w:t>currit.</w:t>
      </w:r>
      <w:r>
        <w:rPr>
          <w:b w:val="0"/>
          <w:i w:val="0"/>
        </w:rPr>
        <w:t xml:space="preserve"> </w:t>
      </w:r>
      <w:hyperlink w:anchor="latin-record-0289">
        <w:r>
          <w:rPr>
            <w:color w:val="000000"/>
          </w:rPr>
          <w:t xml:space="preserve">currere / incurrere / incumbere</w:t>
        </w:r>
      </w:hyperlink>
      <w:r>
        <w:rPr>
          <w:b w:val="0"/>
          <w:i w:val="0"/>
        </w:rPr>
        <w:t>.</w:t>
      </w:r>
    </w:p>
    <w:p>
      <w:pPr>
        <w:widowControl/>
      </w:pPr>
      <w:r>
        <w:rPr>
          <w:b/>
          <w:i w:val="0"/>
        </w:rPr>
        <w:t>custodiendis.</w:t>
      </w:r>
      <w:r>
        <w:rPr>
          <w:b w:val="0"/>
          <w:i w:val="0"/>
        </w:rPr>
        <w:t xml:space="preserve"> </w:t>
      </w:r>
      <w:hyperlink w:anchor="latin-record-0290">
        <w:r>
          <w:rPr>
            <w:color w:val="000000"/>
          </w:rPr>
          <w:t xml:space="preserve">custodire / cura</w:t>
        </w:r>
      </w:hyperlink>
      <w:r>
        <w:rPr>
          <w:b w:val="0"/>
          <w:i w:val="0"/>
        </w:rPr>
        <w:t>.</w:t>
      </w:r>
    </w:p>
    <w:p>
      <w:pPr>
        <w:widowControl/>
      </w:pPr>
      <w:r>
        <w:rPr>
          <w:b/>
          <w:i w:val="0"/>
        </w:rPr>
        <w:t>custodire.</w:t>
      </w:r>
      <w:r>
        <w:rPr>
          <w:b w:val="0"/>
          <w:i w:val="0"/>
        </w:rPr>
        <w:t xml:space="preserve"> </w:t>
      </w:r>
      <w:hyperlink w:anchor="latin-record-0290">
        <w:r>
          <w:rPr>
            <w:color w:val="000000"/>
          </w:rPr>
          <w:t xml:space="preserve">custodire / cura</w:t>
        </w:r>
      </w:hyperlink>
      <w:r>
        <w:rPr>
          <w:b w:val="0"/>
          <w:i w:val="0"/>
        </w:rPr>
        <w:t>.</w:t>
      </w:r>
    </w:p>
    <w:p>
      <w:pPr>
        <w:widowControl/>
      </w:pPr>
      <w:r>
        <w:rPr>
          <w:b/>
          <w:i w:val="0"/>
        </w:rPr>
        <w:t>Cynicorumque.</w:t>
      </w:r>
      <w:r>
        <w:rPr>
          <w:b w:val="0"/>
          <w:i w:val="0"/>
        </w:rPr>
        <w:t xml:space="preserve"> </w:t>
      </w:r>
      <w:hyperlink w:anchor="latin-record-1144">
        <w:r>
          <w:rPr>
            <w:color w:val="000000"/>
          </w:rPr>
          <w:t xml:space="preserve">Stoici / Cynici</w:t>
        </w:r>
      </w:hyperlink>
      <w:r>
        <w:rPr>
          <w:b w:val="0"/>
          <w:i w:val="0"/>
        </w:rPr>
        <w:t>.</w:t>
      </w:r>
    </w:p>
    <w:p>
      <w:pPr>
        <w:widowControl/>
      </w:pPr>
      <w:r>
        <w:rPr>
          <w:b/>
          <w:i w:val="0"/>
        </w:rPr>
        <w:t>Cyrenaici.</w:t>
      </w:r>
      <w:r>
        <w:rPr>
          <w:b w:val="0"/>
          <w:i w:val="0"/>
        </w:rPr>
        <w:t xml:space="preserve"> </w:t>
      </w:r>
      <w:hyperlink w:anchor="latin-record-0302">
        <w:r>
          <w:rPr>
            <w:color w:val="000000"/>
          </w:rPr>
          <w:t xml:space="preserve">Democritii / Cyrenaici / Epicurei</w:t>
        </w:r>
      </w:hyperlink>
      <w:r>
        <w:rPr>
          <w:b w:val="0"/>
          <w:i w:val="0"/>
        </w:rPr>
        <w:t>.</w:t>
      </w:r>
    </w:p>
    <w:p>
      <w:pPr>
        <w:widowControl/>
      </w:pPr>
      <w:r>
        <w:rPr>
          <w:b/>
          <w:i w:val="0"/>
        </w:rPr>
        <w:t>Cyrenaicorum.</w:t>
      </w:r>
      <w:r>
        <w:rPr>
          <w:b w:val="0"/>
          <w:i w:val="0"/>
        </w:rPr>
        <w:t xml:space="preserve"> </w:t>
      </w:r>
      <w:hyperlink w:anchor="latin-record-0302">
        <w:r>
          <w:rPr>
            <w:color w:val="000000"/>
          </w:rPr>
          <w:t xml:space="preserve">Democritii / Cyrenaici / Epicurei</w:t>
        </w:r>
      </w:hyperlink>
      <w:r>
        <w:rPr>
          <w:b w:val="0"/>
          <w:i w:val="0"/>
        </w:rPr>
        <w:t>.</w:t>
      </w:r>
    </w:p>
    <w:p>
      <w:pPr>
        <w:widowControl/>
      </w:pPr>
      <w:r>
        <w:rPr>
          <w:b/>
          <w:i w:val="0"/>
        </w:rPr>
        <w:t>dabit.</w:t>
      </w:r>
      <w:r>
        <w:rPr>
          <w:b w:val="0"/>
          <w:i w:val="0"/>
        </w:rPr>
        <w:t xml:space="preserve"> </w:t>
      </w:r>
      <w:hyperlink w:anchor="latin-record-0108">
        <w:r>
          <w:rPr>
            <w:color w:val="000000"/>
          </w:rPr>
          <w:t xml:space="preserve">attribuere / dare</w:t>
        </w:r>
      </w:hyperlink>
      <w:r>
        <w:rPr>
          <w:b w:val="0"/>
          <w:i w:val="0"/>
        </w:rPr>
        <w:t>.</w:t>
      </w:r>
    </w:p>
    <w:p>
      <w:pPr>
        <w:widowControl/>
      </w:pPr>
      <w:r>
        <w:rPr>
          <w:b/>
          <w:i w:val="0"/>
        </w:rPr>
        <w:t>Danielis.</w:t>
      </w:r>
      <w:r>
        <w:rPr>
          <w:b w:val="0"/>
          <w:i w:val="0"/>
        </w:rPr>
        <w:t xml:space="preserve"> </w:t>
      </w:r>
      <w:hyperlink w:anchor="latin-record-0323">
        <w:r>
          <w:rPr>
            <w:color w:val="000000"/>
          </w:rPr>
          <w:t xml:space="preserve">Dionysius Areopagita / Daniel</w:t>
        </w:r>
      </w:hyperlink>
      <w:r>
        <w:rPr>
          <w:b w:val="0"/>
          <w:i w:val="0"/>
        </w:rPr>
        <w:t>.</w:t>
      </w:r>
    </w:p>
    <w:p>
      <w:pPr>
        <w:widowControl/>
      </w:pPr>
      <w:r>
        <w:rPr>
          <w:b/>
          <w:i w:val="0"/>
        </w:rPr>
        <w:t>dat.</w:t>
      </w:r>
      <w:r>
        <w:rPr>
          <w:b w:val="0"/>
          <w:i w:val="0"/>
        </w:rPr>
        <w:t xml:space="preserve"> </w:t>
      </w:r>
      <w:hyperlink w:anchor="latin-record-0108">
        <w:r>
          <w:rPr>
            <w:color w:val="000000"/>
          </w:rPr>
          <w:t xml:space="preserve">attribuere / dare</w:t>
        </w:r>
      </w:hyperlink>
      <w:r>
        <w:rPr>
          <w:b w:val="0"/>
          <w:i w:val="0"/>
        </w:rPr>
        <w:t xml:space="preserve">; </w:t>
      </w:r>
      <w:hyperlink w:anchor="latin-record-0291">
        <w:r>
          <w:rPr>
            <w:color w:val="000000"/>
          </w:rPr>
          <w:t xml:space="preserve">dare</w:t>
        </w:r>
      </w:hyperlink>
      <w:r>
        <w:rPr>
          <w:b w:val="0"/>
          <w:i w:val="0"/>
        </w:rPr>
        <w:t>.</w:t>
      </w:r>
    </w:p>
    <w:p>
      <w:pPr>
        <w:widowControl/>
      </w:pPr>
      <w:r>
        <w:rPr>
          <w:b/>
          <w:i w:val="0"/>
        </w:rPr>
        <w:t>datura.</w:t>
      </w:r>
      <w:r>
        <w:rPr>
          <w:b w:val="0"/>
          <w:i w:val="0"/>
        </w:rPr>
        <w:t xml:space="preserve"> </w:t>
      </w:r>
      <w:hyperlink w:anchor="latin-record-0902">
        <w:r>
          <w:rPr>
            <w:color w:val="000000"/>
          </w:rPr>
          <w:t xml:space="preserve">praebeo / do</w:t>
        </w:r>
      </w:hyperlink>
      <w:r>
        <w:rPr>
          <w:b w:val="0"/>
          <w:i w:val="0"/>
        </w:rPr>
        <w:t>.</w:t>
      </w:r>
    </w:p>
    <w:p>
      <w:pPr>
        <w:widowControl/>
      </w:pPr>
      <w:r>
        <w:rPr>
          <w:b/>
          <w:i w:val="0"/>
        </w:rPr>
        <w:t>debacchantur.</w:t>
      </w:r>
      <w:r>
        <w:rPr>
          <w:b w:val="0"/>
          <w:i w:val="0"/>
        </w:rPr>
        <w:t xml:space="preserve"> </w:t>
      </w:r>
      <w:hyperlink w:anchor="latin-record-0752">
        <w:r>
          <w:rPr>
            <w:color w:val="000000"/>
          </w:rPr>
          <w:t xml:space="preserve">nectar / ebrius / debacchari</w:t>
        </w:r>
      </w:hyperlink>
      <w:r>
        <w:rPr>
          <w:b w:val="0"/>
          <w:i w:val="0"/>
        </w:rPr>
        <w:t>.</w:t>
      </w:r>
    </w:p>
    <w:p>
      <w:pPr>
        <w:widowControl/>
      </w:pPr>
      <w:r>
        <w:rPr>
          <w:b/>
          <w:i w:val="0"/>
        </w:rPr>
        <w:t>debet.</w:t>
      </w:r>
      <w:r>
        <w:rPr>
          <w:b w:val="0"/>
          <w:i w:val="0"/>
        </w:rPr>
        <w:t xml:space="preserve"> </w:t>
      </w:r>
      <w:hyperlink w:anchor="latin-record-0799">
        <w:r>
          <w:rPr>
            <w:color w:val="000000"/>
          </w:rPr>
          <w:t xml:space="preserve">oportere / debere / decere</w:t>
        </w:r>
      </w:hyperlink>
      <w:r>
        <w:rPr>
          <w:b w:val="0"/>
          <w:i w:val="0"/>
        </w:rPr>
        <w:t>.</w:t>
      </w:r>
    </w:p>
    <w:p>
      <w:pPr>
        <w:widowControl/>
      </w:pPr>
      <w:r>
        <w:rPr>
          <w:b/>
          <w:i w:val="0"/>
        </w:rPr>
        <w:t>debilitat.</w:t>
      </w:r>
      <w:r>
        <w:rPr>
          <w:b w:val="0"/>
          <w:i w:val="0"/>
        </w:rPr>
        <w:t xml:space="preserve"> </w:t>
      </w:r>
      <w:hyperlink w:anchor="latin-record-0701">
        <w:r>
          <w:rPr>
            <w:color w:val="000000"/>
          </w:rPr>
          <w:t xml:space="preserve">minuo / debilito</w:t>
        </w:r>
      </w:hyperlink>
      <w:r>
        <w:rPr>
          <w:b w:val="0"/>
          <w:i w:val="0"/>
        </w:rPr>
        <w:t>.</w:t>
      </w:r>
    </w:p>
    <w:p>
      <w:pPr>
        <w:widowControl/>
      </w:pPr>
      <w:r>
        <w:rPr>
          <w:b/>
          <w:i w:val="0"/>
        </w:rPr>
        <w:t>debilitetur.</w:t>
      </w:r>
      <w:r>
        <w:rPr>
          <w:b w:val="0"/>
          <w:i w:val="0"/>
        </w:rPr>
        <w:t xml:space="preserve"> </w:t>
      </w:r>
      <w:hyperlink w:anchor="latin-record-0293">
        <w:r>
          <w:rPr>
            <w:color w:val="000000"/>
          </w:rPr>
          <w:t xml:space="preserve">debilitare / deficere</w:t>
        </w:r>
      </w:hyperlink>
      <w:r>
        <w:rPr>
          <w:b w:val="0"/>
          <w:i w:val="0"/>
        </w:rPr>
        <w:t xml:space="preserve">; </w:t>
      </w:r>
      <w:hyperlink w:anchor="latin-record-0701">
        <w:r>
          <w:rPr>
            <w:color w:val="000000"/>
          </w:rPr>
          <w:t xml:space="preserve">minuo / debilito</w:t>
        </w:r>
      </w:hyperlink>
      <w:r>
        <w:rPr>
          <w:b w:val="0"/>
          <w:i w:val="0"/>
        </w:rPr>
        <w:t>.</w:t>
      </w:r>
    </w:p>
    <w:p>
      <w:pPr>
        <w:widowControl/>
      </w:pPr>
      <w:r>
        <w:rPr>
          <w:b/>
          <w:i w:val="0"/>
        </w:rPr>
        <w:t>decentia.</w:t>
      </w:r>
      <w:r>
        <w:rPr>
          <w:b w:val="0"/>
          <w:i w:val="0"/>
        </w:rPr>
        <w:t xml:space="preserve"> </w:t>
      </w:r>
      <w:hyperlink w:anchor="latin-record-0295">
        <w:r>
          <w:rPr>
            <w:color w:val="000000"/>
          </w:rPr>
          <w:t xml:space="preserve">decet / decor</w:t>
        </w:r>
      </w:hyperlink>
      <w:r>
        <w:rPr>
          <w:b w:val="0"/>
          <w:i w:val="0"/>
        </w:rPr>
        <w:t>.</w:t>
      </w:r>
    </w:p>
    <w:p>
      <w:pPr>
        <w:widowControl/>
      </w:pPr>
      <w:r>
        <w:rPr>
          <w:b/>
          <w:i w:val="0"/>
        </w:rPr>
        <w:t>decere.</w:t>
      </w:r>
      <w:r>
        <w:rPr>
          <w:b w:val="0"/>
          <w:i w:val="0"/>
        </w:rPr>
        <w:t xml:space="preserve"> </w:t>
      </w:r>
      <w:hyperlink w:anchor="latin-record-0799">
        <w:r>
          <w:rPr>
            <w:color w:val="000000"/>
          </w:rPr>
          <w:t xml:space="preserve">oportere / debere / decere</w:t>
        </w:r>
      </w:hyperlink>
      <w:r>
        <w:rPr>
          <w:b w:val="0"/>
          <w:i w:val="0"/>
        </w:rPr>
        <w:t>.</w:t>
      </w:r>
    </w:p>
    <w:p>
      <w:pPr>
        <w:widowControl/>
      </w:pPr>
      <w:r>
        <w:rPr>
          <w:b/>
          <w:i w:val="0"/>
        </w:rPr>
        <w:t>decet.</w:t>
      </w:r>
      <w:r>
        <w:rPr>
          <w:b w:val="0"/>
          <w:i w:val="0"/>
        </w:rPr>
        <w:t xml:space="preserve"> </w:t>
      </w:r>
      <w:hyperlink w:anchor="latin-record-0294">
        <w:r>
          <w:rPr>
            <w:color w:val="000000"/>
          </w:rPr>
          <w:t xml:space="preserve">decere / dignitas</w:t>
        </w:r>
      </w:hyperlink>
      <w:r>
        <w:rPr>
          <w:b w:val="0"/>
          <w:i w:val="0"/>
        </w:rPr>
        <w:t xml:space="preserve">; </w:t>
      </w:r>
      <w:hyperlink w:anchor="latin-record-0295">
        <w:r>
          <w:rPr>
            <w:color w:val="000000"/>
          </w:rPr>
          <w:t xml:space="preserve">decet / decor</w:t>
        </w:r>
      </w:hyperlink>
      <w:r>
        <w:rPr>
          <w:b w:val="0"/>
          <w:i w:val="0"/>
        </w:rPr>
        <w:t xml:space="preserve">; </w:t>
      </w:r>
      <w:hyperlink w:anchor="latin-record-0799">
        <w:r>
          <w:rPr>
            <w:color w:val="000000"/>
          </w:rPr>
          <w:t xml:space="preserve">oportere / debere / decere</w:t>
        </w:r>
      </w:hyperlink>
      <w:r>
        <w:rPr>
          <w:b w:val="0"/>
          <w:i w:val="0"/>
        </w:rPr>
        <w:t>.</w:t>
      </w:r>
    </w:p>
    <w:p>
      <w:pPr>
        <w:widowControl/>
      </w:pPr>
      <w:r>
        <w:rPr>
          <w:b/>
          <w:i w:val="0"/>
        </w:rPr>
        <w:t>decidet.</w:t>
      </w:r>
      <w:r>
        <w:rPr>
          <w:b w:val="0"/>
          <w:i w:val="0"/>
        </w:rPr>
        <w:t xml:space="preserve"> </w:t>
      </w:r>
      <w:hyperlink w:anchor="latin-record-0296">
        <w:r>
          <w:rPr>
            <w:color w:val="000000"/>
          </w:rPr>
          <w:t xml:space="preserve">decidere</w:t>
        </w:r>
      </w:hyperlink>
      <w:r>
        <w:rPr>
          <w:b w:val="0"/>
          <w:i w:val="0"/>
        </w:rPr>
        <w:t>.</w:t>
      </w:r>
    </w:p>
    <w:p>
      <w:pPr>
        <w:widowControl/>
      </w:pPr>
      <w:r>
        <w:rPr>
          <w:b/>
          <w:i w:val="0"/>
        </w:rPr>
        <w:t>decor.</w:t>
      </w:r>
      <w:r>
        <w:rPr>
          <w:b w:val="0"/>
          <w:i w:val="0"/>
        </w:rPr>
        <w:t xml:space="preserve"> </w:t>
      </w:r>
      <w:hyperlink w:anchor="latin-record-0295">
        <w:r>
          <w:rPr>
            <w:color w:val="000000"/>
          </w:rPr>
          <w:t xml:space="preserve">decet / decor</w:t>
        </w:r>
      </w:hyperlink>
      <w:r>
        <w:rPr>
          <w:b w:val="0"/>
          <w:i w:val="0"/>
        </w:rPr>
        <w:t>.</w:t>
      </w:r>
    </w:p>
    <w:p>
      <w:pPr>
        <w:widowControl/>
      </w:pPr>
      <w:r>
        <w:rPr>
          <w:b/>
          <w:i w:val="0"/>
        </w:rPr>
        <w:t>decorum.</w:t>
      </w:r>
      <w:r>
        <w:rPr>
          <w:b w:val="0"/>
          <w:i w:val="0"/>
        </w:rPr>
        <w:t xml:space="preserve"> </w:t>
      </w:r>
      <w:hyperlink w:anchor="latin-record-0295">
        <w:r>
          <w:rPr>
            <w:color w:val="000000"/>
          </w:rPr>
          <w:t xml:space="preserve">decet / decor</w:t>
        </w:r>
      </w:hyperlink>
      <w:r>
        <w:rPr>
          <w:b w:val="0"/>
          <w:i w:val="0"/>
        </w:rPr>
        <w:t>.</w:t>
      </w:r>
    </w:p>
    <w:p>
      <w:pPr>
        <w:widowControl/>
      </w:pPr>
      <w:r>
        <w:rPr>
          <w:b/>
          <w:i w:val="0"/>
        </w:rPr>
        <w:t>decremento.</w:t>
      </w:r>
      <w:r>
        <w:rPr>
          <w:b w:val="0"/>
          <w:i w:val="0"/>
        </w:rPr>
        <w:t xml:space="preserve"> </w:t>
      </w:r>
      <w:hyperlink w:anchor="latin-record-0297">
        <w:r>
          <w:rPr>
            <w:color w:val="000000"/>
          </w:rPr>
          <w:t xml:space="preserve">decrementum / remissio</w:t>
        </w:r>
      </w:hyperlink>
      <w:r>
        <w:rPr>
          <w:b w:val="0"/>
          <w:i w:val="0"/>
        </w:rPr>
        <w:t>.</w:t>
      </w:r>
    </w:p>
    <w:p>
      <w:pPr>
        <w:widowControl/>
      </w:pPr>
      <w:r>
        <w:rPr>
          <w:b/>
          <w:i w:val="0"/>
        </w:rPr>
        <w:t>decrescat.</w:t>
      </w:r>
      <w:r>
        <w:rPr>
          <w:b w:val="0"/>
          <w:i w:val="0"/>
        </w:rPr>
        <w:t xml:space="preserve"> </w:t>
      </w:r>
      <w:hyperlink w:anchor="latin-record-0297">
        <w:r>
          <w:rPr>
            <w:color w:val="000000"/>
          </w:rPr>
          <w:t xml:space="preserve">decrementum / remissio</w:t>
        </w:r>
      </w:hyperlink>
      <w:r>
        <w:rPr>
          <w:b w:val="0"/>
          <w:i w:val="0"/>
        </w:rPr>
        <w:t>.</w:t>
      </w:r>
    </w:p>
    <w:p>
      <w:pPr>
        <w:widowControl/>
      </w:pPr>
      <w:r>
        <w:rPr>
          <w:b/>
          <w:i w:val="0"/>
        </w:rPr>
        <w:t>decrescere.</w:t>
      </w:r>
      <w:r>
        <w:rPr>
          <w:b w:val="0"/>
          <w:i w:val="0"/>
        </w:rPr>
        <w:t xml:space="preserve"> </w:t>
      </w:r>
      <w:hyperlink w:anchor="latin-record-0284">
        <w:r>
          <w:rPr>
            <w:color w:val="000000"/>
          </w:rPr>
          <w:t xml:space="preserve">crescere / decrescere / minuere</w:t>
        </w:r>
      </w:hyperlink>
      <w:r>
        <w:rPr>
          <w:b w:val="0"/>
          <w:i w:val="0"/>
        </w:rPr>
        <w:t>.</w:t>
      </w:r>
    </w:p>
    <w:p>
      <w:pPr>
        <w:widowControl/>
      </w:pPr>
      <w:r>
        <w:rPr>
          <w:b/>
          <w:i w:val="0"/>
        </w:rPr>
        <w:t>decretum.</w:t>
      </w:r>
      <w:r>
        <w:rPr>
          <w:b w:val="0"/>
          <w:i w:val="0"/>
        </w:rPr>
        <w:t xml:space="preserve"> </w:t>
      </w:r>
      <w:hyperlink w:anchor="latin-record-0972">
        <w:r>
          <w:rPr>
            <w:color w:val="000000"/>
          </w:rPr>
          <w:t xml:space="preserve">providentia / decretum</w:t>
        </w:r>
      </w:hyperlink>
      <w:r>
        <w:rPr>
          <w:b w:val="0"/>
          <w:i w:val="0"/>
        </w:rPr>
        <w:t>.</w:t>
      </w:r>
    </w:p>
    <w:p>
      <w:pPr>
        <w:widowControl/>
      </w:pPr>
      <w:r>
        <w:rPr>
          <w:b/>
          <w:i w:val="0"/>
        </w:rPr>
        <w:t>decuit.</w:t>
      </w:r>
      <w:r>
        <w:rPr>
          <w:b w:val="0"/>
          <w:i w:val="0"/>
        </w:rPr>
        <w:t xml:space="preserve"> </w:t>
      </w:r>
      <w:hyperlink w:anchor="latin-record-0295">
        <w:r>
          <w:rPr>
            <w:color w:val="000000"/>
          </w:rPr>
          <w:t xml:space="preserve">decet / decor</w:t>
        </w:r>
      </w:hyperlink>
      <w:r>
        <w:rPr>
          <w:b w:val="0"/>
          <w:i w:val="0"/>
        </w:rPr>
        <w:t>.</w:t>
      </w:r>
    </w:p>
    <w:p>
      <w:pPr>
        <w:widowControl/>
      </w:pPr>
      <w:r>
        <w:rPr>
          <w:b/>
          <w:i w:val="0"/>
        </w:rPr>
        <w:t>dedicandum.</w:t>
      </w:r>
      <w:r>
        <w:rPr>
          <w:b w:val="0"/>
          <w:i w:val="0"/>
        </w:rPr>
        <w:t xml:space="preserve"> </w:t>
      </w:r>
      <w:hyperlink w:anchor="latin-record-0298">
        <w:r>
          <w:rPr>
            <w:color w:val="000000"/>
          </w:rPr>
          <w:t xml:space="preserve">dedico / gratulor</w:t>
        </w:r>
      </w:hyperlink>
      <w:r>
        <w:rPr>
          <w:b w:val="0"/>
          <w:i w:val="0"/>
        </w:rPr>
        <w:t>.</w:t>
      </w:r>
    </w:p>
    <w:p>
      <w:pPr>
        <w:widowControl/>
      </w:pPr>
      <w:r>
        <w:rPr>
          <w:b/>
          <w:i w:val="0"/>
        </w:rPr>
        <w:t>dedit.</w:t>
      </w:r>
      <w:r>
        <w:rPr>
          <w:b w:val="0"/>
          <w:i w:val="0"/>
        </w:rPr>
        <w:t xml:space="preserve"> </w:t>
      </w:r>
      <w:hyperlink w:anchor="latin-record-0291">
        <w:r>
          <w:rPr>
            <w:color w:val="000000"/>
          </w:rPr>
          <w:t xml:space="preserve">dare</w:t>
        </w:r>
      </w:hyperlink>
      <w:r>
        <w:rPr>
          <w:b w:val="0"/>
          <w:i w:val="0"/>
        </w:rPr>
        <w:t>.</w:t>
      </w:r>
    </w:p>
    <w:p>
      <w:pPr>
        <w:widowControl/>
      </w:pPr>
      <w:r>
        <w:rPr>
          <w:b/>
          <w:i w:val="0"/>
        </w:rPr>
        <w:t>deducit.</w:t>
      </w:r>
      <w:r>
        <w:rPr>
          <w:b w:val="0"/>
          <w:i w:val="0"/>
        </w:rPr>
        <w:t xml:space="preserve"> </w:t>
      </w:r>
      <w:hyperlink w:anchor="latin-record-0601">
        <w:r>
          <w:rPr>
            <w:color w:val="000000"/>
          </w:rPr>
          <w:t xml:space="preserve">intercedere / deducere</w:t>
        </w:r>
      </w:hyperlink>
      <w:r>
        <w:rPr>
          <w:b w:val="0"/>
          <w:i w:val="0"/>
        </w:rPr>
        <w:t>.</w:t>
      </w:r>
    </w:p>
    <w:p>
      <w:pPr>
        <w:widowControl/>
      </w:pPr>
      <w:r>
        <w:rPr>
          <w:b/>
          <w:i w:val="0"/>
        </w:rPr>
        <w:t>deducta.</w:t>
      </w:r>
      <w:r>
        <w:rPr>
          <w:b w:val="0"/>
          <w:i w:val="0"/>
        </w:rPr>
        <w:t xml:space="preserve"> </w:t>
      </w:r>
      <w:hyperlink w:anchor="latin-record-0352">
        <w:r>
          <w:rPr>
            <w:color w:val="000000"/>
          </w:rPr>
          <w:t xml:space="preserve">ducere / deducere / trahere</w:t>
        </w:r>
      </w:hyperlink>
      <w:r>
        <w:rPr>
          <w:b w:val="0"/>
          <w:i w:val="0"/>
        </w:rPr>
        <w:t>.</w:t>
      </w:r>
    </w:p>
    <w:p>
      <w:pPr>
        <w:widowControl/>
      </w:pPr>
      <w:r>
        <w:rPr>
          <w:b/>
          <w:i w:val="0"/>
        </w:rPr>
        <w:t>deducuntur.</w:t>
      </w:r>
      <w:r>
        <w:rPr>
          <w:b w:val="0"/>
          <w:i w:val="0"/>
        </w:rPr>
        <w:t xml:space="preserve"> </w:t>
      </w:r>
      <w:hyperlink w:anchor="latin-record-0352">
        <w:r>
          <w:rPr>
            <w:color w:val="000000"/>
          </w:rPr>
          <w:t xml:space="preserve">ducere / deducere / trahere</w:t>
        </w:r>
      </w:hyperlink>
      <w:r>
        <w:rPr>
          <w:b w:val="0"/>
          <w:i w:val="0"/>
        </w:rPr>
        <w:t>.</w:t>
      </w:r>
    </w:p>
    <w:p>
      <w:pPr>
        <w:widowControl/>
      </w:pPr>
      <w:r>
        <w:rPr>
          <w:b/>
          <w:i w:val="0"/>
        </w:rPr>
        <w:t>deesse.</w:t>
      </w:r>
      <w:r>
        <w:rPr>
          <w:b w:val="0"/>
          <w:i w:val="0"/>
        </w:rPr>
        <w:t xml:space="preserve"> </w:t>
      </w:r>
      <w:hyperlink w:anchor="latin-record-0150">
        <w:r>
          <w:rPr>
            <w:color w:val="000000"/>
          </w:rPr>
          <w:t xml:space="preserve">carere / deesse / destituere</w:t>
        </w:r>
      </w:hyperlink>
      <w:r>
        <w:rPr>
          <w:b w:val="0"/>
          <w:i w:val="0"/>
        </w:rPr>
        <w:t>.</w:t>
      </w:r>
    </w:p>
    <w:p>
      <w:pPr>
        <w:widowControl/>
      </w:pPr>
      <w:r>
        <w:rPr>
          <w:b/>
          <w:i w:val="0"/>
        </w:rPr>
        <w:t>Deest.</w:t>
      </w:r>
      <w:r>
        <w:rPr>
          <w:b w:val="0"/>
          <w:i w:val="0"/>
        </w:rPr>
        <w:t xml:space="preserve"> </w:t>
      </w:r>
      <w:hyperlink w:anchor="latin-record-0150">
        <w:r>
          <w:rPr>
            <w:color w:val="000000"/>
          </w:rPr>
          <w:t xml:space="preserve">carere / deesse / destituere</w:t>
        </w:r>
      </w:hyperlink>
      <w:r>
        <w:rPr>
          <w:b w:val="0"/>
          <w:i w:val="0"/>
        </w:rPr>
        <w:t>.</w:t>
      </w:r>
    </w:p>
    <w:p>
      <w:pPr>
        <w:widowControl/>
      </w:pPr>
      <w:r>
        <w:rPr>
          <w:b/>
          <w:i w:val="0"/>
        </w:rPr>
        <w:t>deficere.</w:t>
      </w:r>
      <w:r>
        <w:rPr>
          <w:b w:val="0"/>
          <w:i w:val="0"/>
        </w:rPr>
        <w:t xml:space="preserve"> </w:t>
      </w:r>
      <w:hyperlink w:anchor="latin-record-0293">
        <w:r>
          <w:rPr>
            <w:color w:val="000000"/>
          </w:rPr>
          <w:t xml:space="preserve">debilitare / deficere</w:t>
        </w:r>
      </w:hyperlink>
      <w:r>
        <w:rPr>
          <w:b w:val="0"/>
          <w:i w:val="0"/>
        </w:rPr>
        <w:t xml:space="preserve">; </w:t>
      </w:r>
      <w:hyperlink w:anchor="latin-record-0528">
        <w:r>
          <w:rPr>
            <w:color w:val="000000"/>
          </w:rPr>
          <w:t xml:space="preserve">imitari / deficere</w:t>
        </w:r>
      </w:hyperlink>
      <w:r>
        <w:rPr>
          <w:b w:val="0"/>
          <w:i w:val="0"/>
        </w:rPr>
        <w:t>.</w:t>
      </w:r>
    </w:p>
    <w:p>
      <w:pPr>
        <w:widowControl/>
      </w:pPr>
      <w:r>
        <w:rPr>
          <w:b/>
          <w:i w:val="0"/>
        </w:rPr>
        <w:t>deficient.</w:t>
      </w:r>
      <w:r>
        <w:rPr>
          <w:b w:val="0"/>
          <w:i w:val="0"/>
        </w:rPr>
        <w:t xml:space="preserve"> </w:t>
      </w:r>
      <w:hyperlink w:anchor="latin-record-0293">
        <w:r>
          <w:rPr>
            <w:color w:val="000000"/>
          </w:rPr>
          <w:t xml:space="preserve">debilitare / deficere</w:t>
        </w:r>
      </w:hyperlink>
      <w:r>
        <w:rPr>
          <w:b w:val="0"/>
          <w:i w:val="0"/>
        </w:rPr>
        <w:t>.</w:t>
      </w:r>
    </w:p>
    <w:p>
      <w:pPr>
        <w:widowControl/>
      </w:pPr>
      <w:r>
        <w:rPr>
          <w:b/>
          <w:i w:val="0"/>
        </w:rPr>
        <w:t>deficit.</w:t>
      </w:r>
      <w:r>
        <w:rPr>
          <w:b w:val="0"/>
          <w:i w:val="0"/>
        </w:rPr>
        <w:t xml:space="preserve"> </w:t>
      </w:r>
      <w:hyperlink w:anchor="latin-record-0299">
        <w:r>
          <w:rPr>
            <w:color w:val="000000"/>
          </w:rPr>
          <w:t xml:space="preserve">deficio / validus</w:t>
        </w:r>
      </w:hyperlink>
      <w:r>
        <w:rPr>
          <w:b w:val="0"/>
          <w:i w:val="0"/>
        </w:rPr>
        <w:t>.</w:t>
      </w:r>
    </w:p>
    <w:p>
      <w:pPr>
        <w:widowControl/>
      </w:pPr>
      <w:r>
        <w:rPr>
          <w:b/>
          <w:i w:val="0"/>
        </w:rPr>
        <w:t>definitio.</w:t>
      </w:r>
      <w:r>
        <w:rPr>
          <w:b w:val="0"/>
          <w:i w:val="0"/>
        </w:rPr>
        <w:t xml:space="preserve"> </w:t>
      </w:r>
      <w:hyperlink w:anchor="latin-record-0300">
        <w:r>
          <w:rPr>
            <w:color w:val="000000"/>
          </w:rPr>
          <w:t xml:space="preserve">definitio</w:t>
        </w:r>
      </w:hyperlink>
      <w:r>
        <w:rPr>
          <w:b w:val="0"/>
          <w:i w:val="0"/>
        </w:rPr>
        <w:t>.</w:t>
      </w:r>
    </w:p>
    <w:p>
      <w:pPr>
        <w:widowControl/>
      </w:pPr>
      <w:r>
        <w:rPr>
          <w:b/>
          <w:i w:val="0"/>
        </w:rPr>
        <w:t>definitione.</w:t>
      </w:r>
      <w:r>
        <w:rPr>
          <w:b w:val="0"/>
          <w:i w:val="0"/>
        </w:rPr>
        <w:t xml:space="preserve"> </w:t>
      </w:r>
      <w:hyperlink w:anchor="latin-record-0300">
        <w:r>
          <w:rPr>
            <w:color w:val="000000"/>
          </w:rPr>
          <w:t xml:space="preserve">definitio</w:t>
        </w:r>
      </w:hyperlink>
      <w:r>
        <w:rPr>
          <w:b w:val="0"/>
          <w:i w:val="0"/>
        </w:rPr>
        <w:t>.</w:t>
      </w:r>
    </w:p>
    <w:p>
      <w:pPr>
        <w:widowControl/>
      </w:pPr>
      <w:r>
        <w:rPr>
          <w:b/>
          <w:i w:val="0"/>
        </w:rPr>
        <w:t>definitionem.</w:t>
      </w:r>
      <w:r>
        <w:rPr>
          <w:b w:val="0"/>
          <w:i w:val="0"/>
        </w:rPr>
        <w:t xml:space="preserve"> </w:t>
      </w:r>
      <w:hyperlink w:anchor="latin-record-0300">
        <w:r>
          <w:rPr>
            <w:color w:val="000000"/>
          </w:rPr>
          <w:t xml:space="preserve">definitio</w:t>
        </w:r>
      </w:hyperlink>
      <w:r>
        <w:rPr>
          <w:b w:val="0"/>
          <w:i w:val="0"/>
        </w:rPr>
        <w:t>.</w:t>
      </w:r>
    </w:p>
    <w:p>
      <w:pPr>
        <w:widowControl/>
      </w:pPr>
      <w:r>
        <w:rPr>
          <w:b/>
          <w:i w:val="0"/>
        </w:rPr>
        <w:t>deformia.</w:t>
      </w:r>
      <w:r>
        <w:rPr>
          <w:b w:val="0"/>
          <w:i w:val="0"/>
        </w:rPr>
        <w:t xml:space="preserve"> </w:t>
      </w:r>
      <w:hyperlink w:anchor="latin-record-0285">
        <w:r>
          <w:rPr>
            <w:color w:val="000000"/>
          </w:rPr>
          <w:t xml:space="preserve">culpare / deformis</w:t>
        </w:r>
      </w:hyperlink>
      <w:r>
        <w:rPr>
          <w:b w:val="0"/>
          <w:i w:val="0"/>
        </w:rPr>
        <w:t>.</w:t>
      </w:r>
    </w:p>
    <w:p>
      <w:pPr>
        <w:widowControl/>
      </w:pPr>
      <w:r>
        <w:rPr>
          <w:b/>
          <w:i w:val="0"/>
        </w:rPr>
        <w:t>degenerare.</w:t>
      </w:r>
      <w:r>
        <w:rPr>
          <w:b w:val="0"/>
          <w:i w:val="0"/>
        </w:rPr>
        <w:t xml:space="preserve"> </w:t>
      </w:r>
      <w:hyperlink w:anchor="latin-record-0301">
        <w:r>
          <w:rPr>
            <w:color w:val="000000"/>
          </w:rPr>
          <w:t xml:space="preserve">degenerare</w:t>
        </w:r>
      </w:hyperlink>
      <w:r>
        <w:rPr>
          <w:b w:val="0"/>
          <w:i w:val="0"/>
        </w:rPr>
        <w:t>.</w:t>
      </w:r>
    </w:p>
    <w:p>
      <w:pPr>
        <w:widowControl/>
      </w:pPr>
      <w:r>
        <w:rPr>
          <w:b/>
          <w:i w:val="0"/>
        </w:rPr>
        <w:t>degenerat.</w:t>
      </w:r>
      <w:r>
        <w:rPr>
          <w:b w:val="0"/>
          <w:i w:val="0"/>
        </w:rPr>
        <w:t xml:space="preserve"> </w:t>
      </w:r>
      <w:hyperlink w:anchor="latin-record-0301">
        <w:r>
          <w:rPr>
            <w:color w:val="000000"/>
          </w:rPr>
          <w:t xml:space="preserve">degenerare</w:t>
        </w:r>
      </w:hyperlink>
      <w:r>
        <w:rPr>
          <w:b w:val="0"/>
          <w:i w:val="0"/>
        </w:rPr>
        <w:t>.</w:t>
      </w:r>
    </w:p>
    <w:p>
      <w:pPr>
        <w:widowControl/>
      </w:pPr>
      <w:r>
        <w:rPr>
          <w:b/>
          <w:i w:val="0"/>
        </w:rPr>
        <w:t>Dei.</w:t>
      </w:r>
      <w:r>
        <w:rPr>
          <w:b w:val="0"/>
          <w:i w:val="0"/>
        </w:rPr>
        <w:t xml:space="preserve"> </w:t>
      </w:r>
      <w:hyperlink w:anchor="latin-record-0311">
        <w:r>
          <w:rPr>
            <w:color w:val="000000"/>
          </w:rPr>
          <w:t xml:space="preserve">Deus / divinus</w:t>
        </w:r>
      </w:hyperlink>
      <w:r>
        <w:rPr>
          <w:b w:val="0"/>
          <w:i w:val="0"/>
        </w:rPr>
        <w:t>.</w:t>
      </w:r>
    </w:p>
    <w:p>
      <w:pPr>
        <w:widowControl/>
      </w:pPr>
      <w:r>
        <w:rPr>
          <w:b/>
          <w:i w:val="0"/>
        </w:rPr>
        <w:t>Deinde.</w:t>
      </w:r>
      <w:r>
        <w:rPr>
          <w:b w:val="0"/>
          <w:i w:val="0"/>
        </w:rPr>
        <w:t xml:space="preserve"> </w:t>
      </w:r>
      <w:hyperlink w:anchor="latin-record-0932">
        <w:r>
          <w:rPr>
            <w:color w:val="000000"/>
          </w:rPr>
          <w:t xml:space="preserve">prius / posterius / deinde</w:t>
        </w:r>
      </w:hyperlink>
      <w:r>
        <w:rPr>
          <w:b w:val="0"/>
          <w:i w:val="0"/>
        </w:rPr>
        <w:t>.</w:t>
      </w:r>
    </w:p>
    <w:p>
      <w:pPr>
        <w:widowControl/>
      </w:pPr>
      <w:r>
        <w:rPr>
          <w:b/>
          <w:i w:val="0"/>
        </w:rPr>
        <w:t>deletis.</w:t>
      </w:r>
      <w:r>
        <w:rPr>
          <w:b w:val="0"/>
          <w:i w:val="0"/>
        </w:rPr>
        <w:t xml:space="preserve"> </w:t>
      </w:r>
      <w:hyperlink w:anchor="latin-record-0448">
        <w:r>
          <w:rPr>
            <w:color w:val="000000"/>
          </w:rPr>
          <w:t xml:space="preserve">fingo and removed members</w:t>
        </w:r>
      </w:hyperlink>
      <w:r>
        <w:rPr>
          <w:b w:val="0"/>
          <w:i w:val="0"/>
        </w:rPr>
        <w:t>.</w:t>
      </w:r>
    </w:p>
    <w:p>
      <w:pPr>
        <w:widowControl/>
      </w:pPr>
      <w:r>
        <w:rPr>
          <w:b/>
          <w:i w:val="0"/>
        </w:rPr>
        <w:t>deletur.</w:t>
      </w:r>
      <w:r>
        <w:rPr>
          <w:b w:val="0"/>
          <w:i w:val="0"/>
        </w:rPr>
        <w:t xml:space="preserve"> </w:t>
      </w:r>
      <w:hyperlink w:anchor="latin-record-0059">
        <w:r>
          <w:rPr>
            <w:color w:val="000000"/>
          </w:rPr>
          <w:t xml:space="preserve">amittere / delere</w:t>
        </w:r>
      </w:hyperlink>
      <w:r>
        <w:rPr>
          <w:b w:val="0"/>
          <w:i w:val="0"/>
        </w:rPr>
        <w:t>.</w:t>
      </w:r>
    </w:p>
    <w:p>
      <w:pPr>
        <w:widowControl/>
      </w:pPr>
      <w:r>
        <w:rPr>
          <w:b/>
          <w:i w:val="0"/>
        </w:rPr>
        <w:t>Democritii.</w:t>
      </w:r>
      <w:r>
        <w:rPr>
          <w:b w:val="0"/>
          <w:i w:val="0"/>
        </w:rPr>
        <w:t xml:space="preserve"> </w:t>
      </w:r>
      <w:hyperlink w:anchor="latin-record-0302">
        <w:r>
          <w:rPr>
            <w:color w:val="000000"/>
          </w:rPr>
          <w:t xml:space="preserve">Democritii / Cyrenaici / Epicurei</w:t>
        </w:r>
      </w:hyperlink>
      <w:r>
        <w:rPr>
          <w:b w:val="0"/>
          <w:i w:val="0"/>
        </w:rPr>
        <w:t>.</w:t>
      </w:r>
    </w:p>
    <w:p>
      <w:pPr>
        <w:widowControl/>
      </w:pPr>
      <w:r>
        <w:rPr>
          <w:b/>
          <w:i w:val="0"/>
        </w:rPr>
        <w:t>Democritiorum.</w:t>
      </w:r>
      <w:r>
        <w:rPr>
          <w:b w:val="0"/>
          <w:i w:val="0"/>
        </w:rPr>
        <w:t xml:space="preserve"> </w:t>
      </w:r>
      <w:hyperlink w:anchor="latin-record-0302">
        <w:r>
          <w:rPr>
            <w:color w:val="000000"/>
          </w:rPr>
          <w:t xml:space="preserve">Democritii / Cyrenaici / Epicurei</w:t>
        </w:r>
      </w:hyperlink>
      <w:r>
        <w:rPr>
          <w:b w:val="0"/>
          <w:i w:val="0"/>
        </w:rPr>
        <w:t>.</w:t>
      </w:r>
    </w:p>
    <w:p>
      <w:pPr>
        <w:widowControl/>
      </w:pPr>
      <w:r>
        <w:rPr>
          <w:b/>
          <w:i w:val="0"/>
        </w:rPr>
        <w:t>demonstrandum.</w:t>
      </w:r>
      <w:r>
        <w:rPr>
          <w:b w:val="0"/>
          <w:i w:val="0"/>
        </w:rPr>
        <w:t xml:space="preserve"> </w:t>
      </w:r>
      <w:hyperlink w:anchor="latin-record-0937">
        <w:r>
          <w:rPr>
            <w:color w:val="000000"/>
          </w:rPr>
          <w:t xml:space="preserve">probare / ostendere / demonstrare</w:t>
        </w:r>
      </w:hyperlink>
      <w:r>
        <w:rPr>
          <w:b w:val="0"/>
          <w:i w:val="0"/>
        </w:rPr>
        <w:t>.</w:t>
      </w:r>
    </w:p>
    <w:p>
      <w:pPr>
        <w:widowControl/>
      </w:pPr>
      <w:r>
        <w:rPr>
          <w:b/>
          <w:i w:val="0"/>
        </w:rPr>
        <w:t>demonstrare.</w:t>
      </w:r>
      <w:r>
        <w:rPr>
          <w:b w:val="0"/>
          <w:i w:val="0"/>
        </w:rPr>
        <w:t xml:space="preserve"> </w:t>
      </w:r>
      <w:hyperlink w:anchor="latin-record-0303">
        <w:r>
          <w:rPr>
            <w:color w:val="000000"/>
          </w:rPr>
          <w:t xml:space="preserve">demonstro / assevero</w:t>
        </w:r>
      </w:hyperlink>
      <w:r>
        <w:rPr>
          <w:b w:val="0"/>
          <w:i w:val="0"/>
        </w:rPr>
        <w:t>.</w:t>
      </w:r>
    </w:p>
    <w:p>
      <w:pPr>
        <w:widowControl/>
      </w:pPr>
      <w:r>
        <w:rPr>
          <w:b/>
          <w:i w:val="0"/>
        </w:rPr>
        <w:t>densa.</w:t>
      </w:r>
      <w:r>
        <w:rPr>
          <w:b w:val="0"/>
          <w:i w:val="0"/>
        </w:rPr>
        <w:t xml:space="preserve"> </w:t>
      </w:r>
      <w:hyperlink w:anchor="latin-record-1019">
        <w:r>
          <w:rPr>
            <w:color w:val="000000"/>
          </w:rPr>
          <w:t xml:space="preserve">rarus / densus</w:t>
        </w:r>
      </w:hyperlink>
      <w:r>
        <w:rPr>
          <w:b w:val="0"/>
          <w:i w:val="0"/>
        </w:rPr>
        <w:t>.</w:t>
      </w:r>
    </w:p>
    <w:p>
      <w:pPr>
        <w:widowControl/>
      </w:pPr>
      <w:r>
        <w:rPr>
          <w:b/>
          <w:i w:val="0"/>
        </w:rPr>
        <w:t>densitateque.</w:t>
      </w:r>
      <w:r>
        <w:rPr>
          <w:b w:val="0"/>
          <w:i w:val="0"/>
        </w:rPr>
        <w:t xml:space="preserve"> </w:t>
      </w:r>
      <w:hyperlink w:anchor="latin-record-1116">
        <w:r>
          <w:rPr>
            <w:color w:val="000000"/>
          </w:rPr>
          <w:t xml:space="preserve">soliditas / densitas / crassitudo</w:t>
        </w:r>
      </w:hyperlink>
      <w:r>
        <w:rPr>
          <w:b w:val="0"/>
          <w:i w:val="0"/>
        </w:rPr>
        <w:t>.</w:t>
      </w:r>
    </w:p>
    <w:p>
      <w:pPr>
        <w:widowControl/>
      </w:pPr>
      <w:r>
        <w:rPr>
          <w:b/>
          <w:i w:val="0"/>
        </w:rPr>
        <w:t>dentes.</w:t>
      </w:r>
      <w:r>
        <w:rPr>
          <w:b w:val="0"/>
          <w:i w:val="0"/>
        </w:rPr>
        <w:t xml:space="preserve"> </w:t>
      </w:r>
      <w:hyperlink w:anchor="latin-record-0304">
        <w:r>
          <w:rPr>
            <w:color w:val="000000"/>
          </w:rPr>
          <w:t xml:space="preserve">dens / pilus</w:t>
        </w:r>
      </w:hyperlink>
      <w:r>
        <w:rPr>
          <w:b w:val="0"/>
          <w:i w:val="0"/>
        </w:rPr>
        <w:t>.</w:t>
      </w:r>
    </w:p>
    <w:p>
      <w:pPr>
        <w:widowControl/>
      </w:pPr>
      <w:r>
        <w:rPr>
          <w:b/>
          <w:i w:val="0"/>
        </w:rPr>
        <w:t>Deo.</w:t>
      </w:r>
      <w:r>
        <w:rPr>
          <w:b w:val="0"/>
          <w:i w:val="0"/>
        </w:rPr>
        <w:t xml:space="preserve"> </w:t>
      </w:r>
      <w:hyperlink w:anchor="latin-record-0311">
        <w:r>
          <w:rPr>
            <w:color w:val="000000"/>
          </w:rPr>
          <w:t xml:space="preserve">Deus / divinus</w:t>
        </w:r>
      </w:hyperlink>
      <w:r>
        <w:rPr>
          <w:b w:val="0"/>
          <w:i w:val="0"/>
        </w:rPr>
        <w:t>.</w:t>
      </w:r>
    </w:p>
    <w:p>
      <w:pPr>
        <w:widowControl/>
      </w:pPr>
      <w:r>
        <w:rPr>
          <w:b/>
          <w:i w:val="0"/>
        </w:rPr>
        <w:t>Deo aspirante.</w:t>
      </w:r>
      <w:r>
        <w:rPr>
          <w:b w:val="0"/>
          <w:i w:val="0"/>
        </w:rPr>
        <w:t xml:space="preserve"> </w:t>
      </w:r>
      <w:hyperlink w:anchor="latin-record-1132">
        <w:r>
          <w:rPr>
            <w:color w:val="000000"/>
          </w:rPr>
          <w:t xml:space="preserve">spiritual aid and confidence</w:t>
        </w:r>
      </w:hyperlink>
      <w:r>
        <w:rPr>
          <w:b w:val="0"/>
          <w:i w:val="0"/>
        </w:rPr>
        <w:t>.</w:t>
      </w:r>
    </w:p>
    <w:p>
      <w:pPr>
        <w:widowControl/>
      </w:pPr>
      <w:r>
        <w:rPr>
          <w:b/>
          <w:i w:val="0"/>
        </w:rPr>
        <w:t>Deo duce.</w:t>
      </w:r>
      <w:r>
        <w:rPr>
          <w:b w:val="0"/>
          <w:i w:val="0"/>
        </w:rPr>
        <w:t xml:space="preserve"> </w:t>
      </w:r>
      <w:hyperlink w:anchor="latin-record-0044">
        <w:r>
          <w:rPr>
            <w:color w:val="000000"/>
          </w:rPr>
          <w:t xml:space="preserve">ala / dux / patria</w:t>
        </w:r>
      </w:hyperlink>
      <w:r>
        <w:rPr>
          <w:b w:val="0"/>
          <w:i w:val="0"/>
        </w:rPr>
        <w:t>.</w:t>
      </w:r>
    </w:p>
    <w:p>
      <w:pPr>
        <w:widowControl/>
      </w:pPr>
      <w:r>
        <w:rPr>
          <w:b/>
          <w:i w:val="0"/>
        </w:rPr>
        <w:t>deorsum.</w:t>
      </w:r>
      <w:r>
        <w:rPr>
          <w:b w:val="0"/>
          <w:i w:val="0"/>
        </w:rPr>
        <w:t xml:space="preserve"> </w:t>
      </w:r>
      <w:hyperlink w:anchor="latin-record-0313">
        <w:r>
          <w:rPr>
            <w:color w:val="000000"/>
          </w:rPr>
          <w:t xml:space="preserve">dextra / sinistra / sursum / deorsum</w:t>
        </w:r>
      </w:hyperlink>
      <w:r>
        <w:rPr>
          <w:b w:val="0"/>
          <w:i w:val="0"/>
        </w:rPr>
        <w:t xml:space="preserve">; </w:t>
      </w:r>
      <w:hyperlink w:anchor="latin-record-1176">
        <w:r>
          <w:rPr>
            <w:color w:val="000000"/>
          </w:rPr>
          <w:t xml:space="preserve">sursum / deorsum</w:t>
        </w:r>
      </w:hyperlink>
      <w:r>
        <w:rPr>
          <w:b w:val="0"/>
          <w:i w:val="0"/>
        </w:rPr>
        <w:t>.</w:t>
      </w:r>
    </w:p>
    <w:p>
      <w:pPr>
        <w:widowControl/>
      </w:pPr>
      <w:r>
        <w:rPr>
          <w:b/>
          <w:i w:val="0"/>
        </w:rPr>
        <w:t>dependeat.</w:t>
      </w:r>
      <w:r>
        <w:rPr>
          <w:b w:val="0"/>
          <w:i w:val="0"/>
        </w:rPr>
        <w:t xml:space="preserve"> </w:t>
      </w:r>
      <w:hyperlink w:anchor="latin-record-0305">
        <w:r>
          <w:rPr>
            <w:color w:val="000000"/>
          </w:rPr>
          <w:t xml:space="preserve">dependere / pendere</w:t>
        </w:r>
      </w:hyperlink>
      <w:r>
        <w:rPr>
          <w:b w:val="0"/>
          <w:i w:val="0"/>
        </w:rPr>
        <w:t>.</w:t>
      </w:r>
    </w:p>
    <w:p>
      <w:pPr>
        <w:widowControl/>
      </w:pPr>
      <w:r>
        <w:rPr>
          <w:b/>
          <w:i w:val="0"/>
        </w:rPr>
        <w:t>dependebit.</w:t>
      </w:r>
      <w:r>
        <w:rPr>
          <w:b w:val="0"/>
          <w:i w:val="0"/>
        </w:rPr>
        <w:t xml:space="preserve"> </w:t>
      </w:r>
      <w:hyperlink w:anchor="latin-record-0845">
        <w:r>
          <w:rPr>
            <w:color w:val="000000"/>
          </w:rPr>
          <w:t xml:space="preserve">pendere / dependere</w:t>
        </w:r>
      </w:hyperlink>
      <w:r>
        <w:rPr>
          <w:b w:val="0"/>
          <w:i w:val="0"/>
        </w:rPr>
        <w:t>.</w:t>
      </w:r>
    </w:p>
    <w:p>
      <w:pPr>
        <w:widowControl/>
      </w:pPr>
      <w:r>
        <w:rPr>
          <w:b/>
          <w:i w:val="0"/>
        </w:rPr>
        <w:t>dependere.</w:t>
      </w:r>
      <w:r>
        <w:rPr>
          <w:b w:val="0"/>
          <w:i w:val="0"/>
        </w:rPr>
        <w:t xml:space="preserve"> </w:t>
      </w:r>
      <w:hyperlink w:anchor="latin-record-0845">
        <w:r>
          <w:rPr>
            <w:color w:val="000000"/>
          </w:rPr>
          <w:t xml:space="preserve">pendere / dependere</w:t>
        </w:r>
      </w:hyperlink>
      <w:r>
        <w:rPr>
          <w:b w:val="0"/>
          <w:i w:val="0"/>
        </w:rPr>
        <w:t>.</w:t>
      </w:r>
    </w:p>
    <w:p>
      <w:pPr>
        <w:widowControl/>
      </w:pPr>
      <w:r>
        <w:rPr>
          <w:b/>
          <w:i w:val="0"/>
        </w:rPr>
        <w:t>dependet.</w:t>
      </w:r>
      <w:r>
        <w:rPr>
          <w:b w:val="0"/>
          <w:i w:val="0"/>
        </w:rPr>
        <w:t xml:space="preserve"> </w:t>
      </w:r>
      <w:hyperlink w:anchor="latin-record-0305">
        <w:r>
          <w:rPr>
            <w:color w:val="000000"/>
          </w:rPr>
          <w:t xml:space="preserve">dependere / pendere</w:t>
        </w:r>
      </w:hyperlink>
      <w:r>
        <w:rPr>
          <w:b w:val="0"/>
          <w:i w:val="0"/>
        </w:rPr>
        <w:t xml:space="preserve">; </w:t>
      </w:r>
      <w:hyperlink w:anchor="latin-record-1159">
        <w:r>
          <w:rPr>
            <w:color w:val="000000"/>
          </w:rPr>
          <w:t xml:space="preserve">subsisto / dependeo</w:t>
        </w:r>
      </w:hyperlink>
      <w:r>
        <w:rPr>
          <w:b w:val="0"/>
          <w:i w:val="0"/>
        </w:rPr>
        <w:t>.</w:t>
      </w:r>
    </w:p>
    <w:p>
      <w:pPr>
        <w:widowControl/>
      </w:pPr>
      <w:r>
        <w:rPr>
          <w:b/>
          <w:i w:val="0"/>
        </w:rPr>
        <w:t>depravata.</w:t>
      </w:r>
      <w:r>
        <w:rPr>
          <w:b w:val="0"/>
          <w:i w:val="0"/>
        </w:rPr>
        <w:t xml:space="preserve"> </w:t>
      </w:r>
      <w:hyperlink w:anchor="latin-record-1101">
        <w:r>
          <w:rPr>
            <w:color w:val="000000"/>
          </w:rPr>
          <w:t xml:space="preserve">servire / depravare</w:t>
        </w:r>
      </w:hyperlink>
      <w:r>
        <w:rPr>
          <w:b w:val="0"/>
          <w:i w:val="0"/>
        </w:rPr>
        <w:t>.</w:t>
      </w:r>
    </w:p>
    <w:p>
      <w:pPr>
        <w:widowControl/>
      </w:pPr>
      <w:r>
        <w:rPr>
          <w:b/>
          <w:i w:val="0"/>
        </w:rPr>
        <w:t>descendendo.</w:t>
      </w:r>
      <w:r>
        <w:rPr>
          <w:b w:val="0"/>
          <w:i w:val="0"/>
        </w:rPr>
        <w:t xml:space="preserve"> </w:t>
      </w:r>
      <w:hyperlink w:anchor="latin-record-0100">
        <w:r>
          <w:rPr>
            <w:color w:val="000000"/>
          </w:rPr>
          <w:t xml:space="preserve">ascendere / descendere</w:t>
        </w:r>
      </w:hyperlink>
      <w:r>
        <w:rPr>
          <w:b w:val="0"/>
          <w:i w:val="0"/>
        </w:rPr>
        <w:t>.</w:t>
      </w:r>
    </w:p>
    <w:p>
      <w:pPr>
        <w:widowControl/>
      </w:pPr>
      <w:r>
        <w:rPr>
          <w:b/>
          <w:i w:val="0"/>
        </w:rPr>
        <w:t>descendit.</w:t>
      </w:r>
      <w:r>
        <w:rPr>
          <w:b w:val="0"/>
          <w:i w:val="0"/>
        </w:rPr>
        <w:t xml:space="preserve"> </w:t>
      </w:r>
      <w:hyperlink w:anchor="latin-record-0100">
        <w:r>
          <w:rPr>
            <w:color w:val="000000"/>
          </w:rPr>
          <w:t xml:space="preserve">ascendere / descendere</w:t>
        </w:r>
      </w:hyperlink>
      <w:r>
        <w:rPr>
          <w:b w:val="0"/>
          <w:i w:val="0"/>
        </w:rPr>
        <w:t>.</w:t>
      </w:r>
    </w:p>
    <w:p>
      <w:pPr>
        <w:widowControl/>
      </w:pPr>
      <w:r>
        <w:rPr>
          <w:b/>
          <w:i w:val="0"/>
        </w:rPr>
        <w:t>describit.</w:t>
      </w:r>
      <w:r>
        <w:rPr>
          <w:b w:val="0"/>
          <w:i w:val="0"/>
        </w:rPr>
        <w:t xml:space="preserve"> </w:t>
      </w:r>
      <w:hyperlink w:anchor="latin-record-0982">
        <w:r>
          <w:rPr>
            <w:color w:val="000000"/>
          </w:rPr>
          <w:t xml:space="preserve">pulvis / describere</w:t>
        </w:r>
      </w:hyperlink>
      <w:r>
        <w:rPr>
          <w:b w:val="0"/>
          <w:i w:val="0"/>
        </w:rPr>
        <w:t>.</w:t>
      </w:r>
    </w:p>
    <w:p>
      <w:pPr>
        <w:widowControl/>
      </w:pPr>
      <w:r>
        <w:rPr>
          <w:b/>
          <w:i w:val="0"/>
        </w:rPr>
        <w:t>deserat.</w:t>
      </w:r>
      <w:r>
        <w:rPr>
          <w:b w:val="0"/>
          <w:i w:val="0"/>
        </w:rPr>
        <w:t xml:space="preserve"> </w:t>
      </w:r>
      <w:hyperlink w:anchor="latin-record-0306">
        <w:r>
          <w:rPr>
            <w:color w:val="000000"/>
          </w:rPr>
          <w:t xml:space="preserve">deserere / relinquere</w:t>
        </w:r>
      </w:hyperlink>
      <w:r>
        <w:rPr>
          <w:b w:val="0"/>
          <w:i w:val="0"/>
        </w:rPr>
        <w:t>.</w:t>
      </w:r>
    </w:p>
    <w:p>
      <w:pPr>
        <w:widowControl/>
      </w:pPr>
      <w:r>
        <w:rPr>
          <w:b/>
          <w:i w:val="0"/>
        </w:rPr>
        <w:t>deserit.</w:t>
      </w:r>
      <w:r>
        <w:rPr>
          <w:b w:val="0"/>
          <w:i w:val="0"/>
        </w:rPr>
        <w:t xml:space="preserve"> </w:t>
      </w:r>
      <w:hyperlink w:anchor="latin-record-0306">
        <w:r>
          <w:rPr>
            <w:color w:val="000000"/>
          </w:rPr>
          <w:t xml:space="preserve">deserere / relinquere</w:t>
        </w:r>
      </w:hyperlink>
      <w:r>
        <w:rPr>
          <w:b w:val="0"/>
          <w:i w:val="0"/>
        </w:rPr>
        <w:t>.</w:t>
      </w:r>
    </w:p>
    <w:p>
      <w:pPr>
        <w:widowControl/>
      </w:pPr>
      <w:r>
        <w:rPr>
          <w:b/>
          <w:i w:val="0"/>
        </w:rPr>
        <w:t>desideratur.</w:t>
      </w:r>
      <w:r>
        <w:rPr>
          <w:b w:val="0"/>
          <w:i w:val="0"/>
        </w:rPr>
        <w:t xml:space="preserve"> </w:t>
      </w:r>
      <w:hyperlink w:anchor="latin-record-0409">
        <w:r>
          <w:rPr>
            <w:color w:val="000000"/>
          </w:rPr>
          <w:t xml:space="preserve">expetere / desiderare</w:t>
        </w:r>
      </w:hyperlink>
      <w:r>
        <w:rPr>
          <w:b w:val="0"/>
          <w:i w:val="0"/>
        </w:rPr>
        <w:t>.</w:t>
      </w:r>
    </w:p>
    <w:p>
      <w:pPr>
        <w:widowControl/>
      </w:pPr>
      <w:r>
        <w:rPr>
          <w:b/>
          <w:i w:val="0"/>
        </w:rPr>
        <w:t>designans.</w:t>
      </w:r>
      <w:r>
        <w:rPr>
          <w:b w:val="0"/>
          <w:i w:val="0"/>
        </w:rPr>
        <w:t xml:space="preserve"> </w:t>
      </w:r>
      <w:hyperlink w:anchor="latin-record-0914">
        <w:r>
          <w:rPr>
            <w:color w:val="000000"/>
          </w:rPr>
          <w:t xml:space="preserve">praescribere / designare</w:t>
        </w:r>
      </w:hyperlink>
      <w:r>
        <w:rPr>
          <w:b w:val="0"/>
          <w:i w:val="0"/>
        </w:rPr>
        <w:t>.</w:t>
      </w:r>
    </w:p>
    <w:p>
      <w:pPr>
        <w:widowControl/>
      </w:pPr>
      <w:r>
        <w:rPr>
          <w:b/>
          <w:i w:val="0"/>
        </w:rPr>
        <w:t>designantur.</w:t>
      </w:r>
      <w:r>
        <w:rPr>
          <w:b w:val="0"/>
          <w:i w:val="0"/>
        </w:rPr>
        <w:t xml:space="preserve"> </w:t>
      </w:r>
      <w:hyperlink w:anchor="latin-record-0307">
        <w:r>
          <w:rPr>
            <w:color w:val="000000"/>
          </w:rPr>
          <w:t xml:space="preserve">designare</w:t>
        </w:r>
      </w:hyperlink>
      <w:r>
        <w:rPr>
          <w:b w:val="0"/>
          <w:i w:val="0"/>
        </w:rPr>
        <w:t>.</w:t>
      </w:r>
    </w:p>
    <w:p>
      <w:pPr>
        <w:widowControl/>
      </w:pPr>
      <w:r>
        <w:rPr>
          <w:b/>
          <w:i w:val="0"/>
        </w:rPr>
        <w:t>desinere.</w:t>
      </w:r>
      <w:r>
        <w:rPr>
          <w:b w:val="0"/>
          <w:i w:val="0"/>
        </w:rPr>
        <w:t xml:space="preserve"> </w:t>
      </w:r>
      <w:hyperlink w:anchor="latin-record-0574">
        <w:r>
          <w:rPr>
            <w:color w:val="000000"/>
          </w:rPr>
          <w:t xml:space="preserve">initium / incipere / desinere</w:t>
        </w:r>
      </w:hyperlink>
      <w:r>
        <w:rPr>
          <w:b w:val="0"/>
          <w:i w:val="0"/>
        </w:rPr>
        <w:t>.</w:t>
      </w:r>
    </w:p>
    <w:p>
      <w:pPr>
        <w:widowControl/>
      </w:pPr>
      <w:r>
        <w:rPr>
          <w:b/>
          <w:i w:val="0"/>
        </w:rPr>
        <w:t>desinunt.</w:t>
      </w:r>
      <w:r>
        <w:rPr>
          <w:b w:val="0"/>
          <w:i w:val="0"/>
        </w:rPr>
        <w:t xml:space="preserve"> </w:t>
      </w:r>
      <w:hyperlink w:anchor="latin-record-0551">
        <w:r>
          <w:rPr>
            <w:color w:val="000000"/>
          </w:rPr>
          <w:t xml:space="preserve">incipio / desino</w:t>
        </w:r>
      </w:hyperlink>
      <w:r>
        <w:rPr>
          <w:b w:val="0"/>
          <w:i w:val="0"/>
        </w:rPr>
        <w:t>.</w:t>
      </w:r>
    </w:p>
    <w:p>
      <w:pPr>
        <w:widowControl/>
      </w:pPr>
      <w:r>
        <w:rPr>
          <w:b/>
          <w:i w:val="0"/>
        </w:rPr>
        <w:t>desivisse.</w:t>
      </w:r>
      <w:r>
        <w:rPr>
          <w:b w:val="0"/>
          <w:i w:val="0"/>
        </w:rPr>
        <w:t xml:space="preserve"> </w:t>
      </w:r>
      <w:hyperlink w:anchor="latin-record-0574">
        <w:r>
          <w:rPr>
            <w:color w:val="000000"/>
          </w:rPr>
          <w:t xml:space="preserve">initium / incipere / desinere</w:t>
        </w:r>
      </w:hyperlink>
      <w:r>
        <w:rPr>
          <w:b w:val="0"/>
          <w:i w:val="0"/>
        </w:rPr>
        <w:t>.</w:t>
      </w:r>
    </w:p>
    <w:p>
      <w:pPr>
        <w:widowControl/>
      </w:pPr>
      <w:r>
        <w:rPr>
          <w:b/>
          <w:i w:val="0"/>
        </w:rPr>
        <w:t>destitutam.</w:t>
      </w:r>
      <w:r>
        <w:rPr>
          <w:b w:val="0"/>
          <w:i w:val="0"/>
        </w:rPr>
        <w:t xml:space="preserve"> </w:t>
      </w:r>
      <w:hyperlink w:anchor="latin-record-0150">
        <w:r>
          <w:rPr>
            <w:color w:val="000000"/>
          </w:rPr>
          <w:t xml:space="preserve">carere / deesse / destituere</w:t>
        </w:r>
      </w:hyperlink>
      <w:r>
        <w:rPr>
          <w:b w:val="0"/>
          <w:i w:val="0"/>
        </w:rPr>
        <w:t>.</w:t>
      </w:r>
    </w:p>
    <w:p>
      <w:pPr>
        <w:widowControl/>
      </w:pPr>
      <w:r>
        <w:rPr>
          <w:b/>
          <w:i w:val="0"/>
        </w:rPr>
        <w:t>deterioribus.</w:t>
      </w:r>
      <w:r>
        <w:rPr>
          <w:b w:val="0"/>
          <w:i w:val="0"/>
        </w:rPr>
        <w:t xml:space="preserve"> </w:t>
      </w:r>
      <w:hyperlink w:anchor="latin-record-0394">
        <w:r>
          <w:rPr>
            <w:color w:val="000000"/>
          </w:rPr>
          <w:t xml:space="preserve">excellens / eminens / deterior / altior / remotior</w:t>
        </w:r>
      </w:hyperlink>
      <w:r>
        <w:rPr>
          <w:b w:val="0"/>
          <w:i w:val="0"/>
        </w:rPr>
        <w:t>.</w:t>
      </w:r>
    </w:p>
    <w:p>
      <w:pPr>
        <w:widowControl/>
      </w:pPr>
      <w:r>
        <w:rPr>
          <w:b/>
          <w:i w:val="0"/>
        </w:rPr>
        <w:t>determinationes.</w:t>
      </w:r>
      <w:r>
        <w:rPr>
          <w:b w:val="0"/>
          <w:i w:val="0"/>
        </w:rPr>
        <w:t xml:space="preserve"> </w:t>
      </w:r>
      <w:hyperlink w:anchor="latin-record-0309">
        <w:r>
          <w:rPr>
            <w:color w:val="000000"/>
          </w:rPr>
          <w:t xml:space="preserve">determinatio / affectio</w:t>
        </w:r>
      </w:hyperlink>
      <w:r>
        <w:rPr>
          <w:b w:val="0"/>
          <w:i w:val="0"/>
        </w:rPr>
        <w:t>.</w:t>
      </w:r>
    </w:p>
    <w:p>
      <w:pPr>
        <w:widowControl/>
      </w:pPr>
      <w:r>
        <w:rPr>
          <w:b/>
          <w:i w:val="0"/>
        </w:rPr>
        <w:t>determinatur.</w:t>
      </w:r>
      <w:r>
        <w:rPr>
          <w:b w:val="0"/>
          <w:i w:val="0"/>
        </w:rPr>
        <w:t xml:space="preserve"> </w:t>
      </w:r>
      <w:hyperlink w:anchor="latin-record-0308">
        <w:r>
          <w:rPr>
            <w:color w:val="000000"/>
          </w:rPr>
          <w:t xml:space="preserve">determinare</w:t>
        </w:r>
      </w:hyperlink>
      <w:r>
        <w:rPr>
          <w:b w:val="0"/>
          <w:i w:val="0"/>
        </w:rPr>
        <w:t>.</w:t>
      </w:r>
    </w:p>
    <w:p>
      <w:pPr>
        <w:widowControl/>
      </w:pPr>
      <w:r>
        <w:rPr>
          <w:b/>
          <w:i w:val="0"/>
        </w:rPr>
        <w:t>determinet.</w:t>
      </w:r>
      <w:r>
        <w:rPr>
          <w:b w:val="0"/>
          <w:i w:val="0"/>
        </w:rPr>
        <w:t xml:space="preserve"> </w:t>
      </w:r>
      <w:hyperlink w:anchor="latin-record-0308">
        <w:r>
          <w:rPr>
            <w:color w:val="000000"/>
          </w:rPr>
          <w:t xml:space="preserve">determinare</w:t>
        </w:r>
      </w:hyperlink>
      <w:r>
        <w:rPr>
          <w:b w:val="0"/>
          <w:i w:val="0"/>
        </w:rPr>
        <w:t>.</w:t>
      </w:r>
    </w:p>
    <w:p>
      <w:pPr>
        <w:widowControl/>
      </w:pPr>
      <w:r>
        <w:rPr>
          <w:b/>
          <w:i w:val="0"/>
        </w:rPr>
        <w:t>determinetur.</w:t>
      </w:r>
      <w:r>
        <w:rPr>
          <w:b w:val="0"/>
          <w:i w:val="0"/>
        </w:rPr>
        <w:t xml:space="preserve"> </w:t>
      </w:r>
      <w:hyperlink w:anchor="latin-record-0554">
        <w:r>
          <w:rPr>
            <w:color w:val="000000"/>
          </w:rPr>
          <w:t xml:space="preserve">indifferens / determino</w:t>
        </w:r>
      </w:hyperlink>
      <w:r>
        <w:rPr>
          <w:b w:val="0"/>
          <w:i w:val="0"/>
        </w:rPr>
        <w:t>.</w:t>
      </w:r>
    </w:p>
    <w:p>
      <w:pPr>
        <w:widowControl/>
      </w:pPr>
      <w:r>
        <w:rPr>
          <w:b/>
          <w:i w:val="0"/>
        </w:rPr>
        <w:t>detestatur.</w:t>
      </w:r>
      <w:r>
        <w:rPr>
          <w:b w:val="0"/>
          <w:i w:val="0"/>
        </w:rPr>
        <w:t xml:space="preserve"> </w:t>
      </w:r>
      <w:hyperlink w:anchor="latin-record-0310">
        <w:r>
          <w:rPr>
            <w:color w:val="000000"/>
          </w:rPr>
          <w:t xml:space="preserve">detestari</w:t>
        </w:r>
      </w:hyperlink>
      <w:r>
        <w:rPr>
          <w:b w:val="0"/>
          <w:i w:val="0"/>
        </w:rPr>
        <w:t>.</w:t>
      </w:r>
    </w:p>
    <w:p>
      <w:pPr>
        <w:widowControl/>
      </w:pPr>
      <w:r>
        <w:rPr>
          <w:b/>
          <w:i w:val="0"/>
        </w:rPr>
        <w:t>detinerentur.</w:t>
      </w:r>
      <w:r>
        <w:rPr>
          <w:b w:val="0"/>
          <w:i w:val="0"/>
        </w:rPr>
        <w:t xml:space="preserve"> </w:t>
      </w:r>
      <w:hyperlink w:anchor="latin-record-0182">
        <w:r>
          <w:rPr>
            <w:color w:val="000000"/>
          </w:rPr>
          <w:t xml:space="preserve">cohibere / detinere</w:t>
        </w:r>
      </w:hyperlink>
      <w:r>
        <w:rPr>
          <w:b w:val="0"/>
          <w:i w:val="0"/>
        </w:rPr>
        <w:t>.</w:t>
      </w:r>
    </w:p>
    <w:p>
      <w:pPr>
        <w:widowControl/>
      </w:pPr>
      <w:r>
        <w:rPr>
          <w:b/>
          <w:i w:val="0"/>
        </w:rPr>
        <w:t>detur.</w:t>
      </w:r>
      <w:r>
        <w:rPr>
          <w:b w:val="0"/>
          <w:i w:val="0"/>
        </w:rPr>
        <w:t xml:space="preserve"> </w:t>
      </w:r>
      <w:hyperlink w:anchor="latin-record-0218">
        <w:r>
          <w:rPr>
            <w:color w:val="000000"/>
          </w:rPr>
          <w:t xml:space="preserve">concedere / admittere / dare as grant</w:t>
        </w:r>
      </w:hyperlink>
      <w:r>
        <w:rPr>
          <w:b w:val="0"/>
          <w:i w:val="0"/>
        </w:rPr>
        <w:t>.</w:t>
      </w:r>
    </w:p>
    <w:p>
      <w:pPr>
        <w:widowControl/>
      </w:pPr>
      <w:r>
        <w:rPr>
          <w:b/>
          <w:i w:val="0"/>
        </w:rPr>
        <w:t>Deum.</w:t>
      </w:r>
      <w:r>
        <w:rPr>
          <w:b w:val="0"/>
          <w:i w:val="0"/>
        </w:rPr>
        <w:t xml:space="preserve"> </w:t>
      </w:r>
      <w:hyperlink w:anchor="latin-record-0311">
        <w:r>
          <w:rPr>
            <w:color w:val="000000"/>
          </w:rPr>
          <w:t xml:space="preserve">Deus / divinus</w:t>
        </w:r>
      </w:hyperlink>
      <w:r>
        <w:rPr>
          <w:b w:val="0"/>
          <w:i w:val="0"/>
        </w:rPr>
        <w:t>.</w:t>
      </w:r>
    </w:p>
    <w:p>
      <w:pPr>
        <w:widowControl/>
      </w:pPr>
      <w:r>
        <w:rPr>
          <w:b/>
          <w:i w:val="0"/>
        </w:rPr>
        <w:t>Deus.</w:t>
      </w:r>
      <w:r>
        <w:rPr>
          <w:b w:val="0"/>
          <w:i w:val="0"/>
        </w:rPr>
        <w:t xml:space="preserve"> </w:t>
      </w:r>
      <w:hyperlink w:anchor="latin-record-0311">
        <w:r>
          <w:rPr>
            <w:color w:val="000000"/>
          </w:rPr>
          <w:t xml:space="preserve">Deus / divinus</w:t>
        </w:r>
      </w:hyperlink>
      <w:r>
        <w:rPr>
          <w:b w:val="0"/>
          <w:i w:val="0"/>
        </w:rPr>
        <w:t>.</w:t>
      </w:r>
    </w:p>
    <w:p>
      <w:pPr>
        <w:widowControl/>
      </w:pPr>
      <w:r>
        <w:rPr>
          <w:b/>
          <w:i w:val="0"/>
        </w:rPr>
        <w:t>Deus ipse viderit.</w:t>
      </w:r>
      <w:r>
        <w:rPr>
          <w:b w:val="0"/>
          <w:i w:val="0"/>
        </w:rPr>
        <w:t xml:space="preserve"> </w:t>
      </w:r>
      <w:hyperlink w:anchor="latin-record-0312">
        <w:r>
          <w:rPr>
            <w:color w:val="000000"/>
          </w:rPr>
          <w:t xml:space="preserve">Deus ipse viderit</w:t>
        </w:r>
      </w:hyperlink>
      <w:r>
        <w:rPr>
          <w:b w:val="0"/>
          <w:i w:val="0"/>
        </w:rPr>
        <w:t>.</w:t>
      </w:r>
    </w:p>
    <w:p>
      <w:pPr>
        <w:widowControl/>
      </w:pPr>
      <w:r>
        <w:rPr>
          <w:b/>
          <w:i w:val="0"/>
        </w:rPr>
        <w:t>dextram.</w:t>
      </w:r>
      <w:r>
        <w:rPr>
          <w:b w:val="0"/>
          <w:i w:val="0"/>
        </w:rPr>
        <w:t xml:space="preserve"> </w:t>
      </w:r>
      <w:hyperlink w:anchor="latin-record-0313">
        <w:r>
          <w:rPr>
            <w:color w:val="000000"/>
          </w:rPr>
          <w:t xml:space="preserve">dextra / sinistra / sursum / deorsum</w:t>
        </w:r>
      </w:hyperlink>
      <w:r>
        <w:rPr>
          <w:b w:val="0"/>
          <w:i w:val="0"/>
        </w:rPr>
        <w:t>.</w:t>
      </w:r>
    </w:p>
    <w:p>
      <w:pPr>
        <w:widowControl/>
      </w:pPr>
      <w:r>
        <w:rPr>
          <w:b/>
          <w:i w:val="0"/>
        </w:rPr>
        <w:t>dialecticum.</w:t>
      </w:r>
      <w:r>
        <w:rPr>
          <w:b w:val="0"/>
          <w:i w:val="0"/>
        </w:rPr>
        <w:t xml:space="preserve"> </w:t>
      </w:r>
      <w:hyperlink w:anchor="latin-record-0314">
        <w:r>
          <w:rPr>
            <w:color w:val="000000"/>
          </w:rPr>
          <w:t xml:space="preserve">dialecticum / mathematicum / physicum</w:t>
        </w:r>
      </w:hyperlink>
      <w:r>
        <w:rPr>
          <w:b w:val="0"/>
          <w:i w:val="0"/>
        </w:rPr>
        <w:t>.</w:t>
      </w:r>
    </w:p>
    <w:p>
      <w:pPr>
        <w:widowControl/>
      </w:pPr>
      <w:r>
        <w:rPr>
          <w:b/>
          <w:i w:val="0"/>
        </w:rPr>
        <w:t>diaphanum.</w:t>
      </w:r>
      <w:r>
        <w:rPr>
          <w:b w:val="0"/>
          <w:i w:val="0"/>
        </w:rPr>
        <w:t xml:space="preserve"> </w:t>
      </w:r>
      <w:hyperlink w:anchor="latin-record-0866">
        <w:r>
          <w:rPr>
            <w:color w:val="000000"/>
          </w:rPr>
          <w:t xml:space="preserve">perspicuus / diaphanus</w:t>
        </w:r>
      </w:hyperlink>
      <w:r>
        <w:rPr>
          <w:b w:val="0"/>
          <w:i w:val="0"/>
        </w:rPr>
        <w:t>.</w:t>
      </w:r>
    </w:p>
    <w:p>
      <w:pPr>
        <w:widowControl/>
      </w:pPr>
      <w:r>
        <w:rPr>
          <w:b/>
          <w:i w:val="0"/>
        </w:rPr>
        <w:t>dicuntur.</w:t>
      </w:r>
      <w:r>
        <w:rPr>
          <w:b w:val="0"/>
          <w:i w:val="0"/>
        </w:rPr>
        <w:t xml:space="preserve"> </w:t>
      </w:r>
      <w:hyperlink w:anchor="latin-record-0316">
        <w:r>
          <w:rPr>
            <w:color w:val="000000"/>
          </w:rPr>
          <w:t xml:space="preserve">dicere / vocare / appellare</w:t>
        </w:r>
      </w:hyperlink>
      <w:r>
        <w:rPr>
          <w:b w:val="0"/>
          <w:i w:val="0"/>
        </w:rPr>
        <w:t>.</w:t>
      </w:r>
    </w:p>
    <w:p>
      <w:pPr>
        <w:widowControl/>
      </w:pPr>
      <w:r>
        <w:rPr>
          <w:b/>
          <w:i w:val="0"/>
        </w:rPr>
        <w:t>differant.</w:t>
      </w:r>
      <w:r>
        <w:rPr>
          <w:b w:val="0"/>
          <w:i w:val="0"/>
        </w:rPr>
        <w:t xml:space="preserve"> </w:t>
      </w:r>
      <w:hyperlink w:anchor="latin-record-0317">
        <w:r>
          <w:rPr>
            <w:color w:val="000000"/>
          </w:rPr>
          <w:t xml:space="preserve">differre / discrepare</w:t>
        </w:r>
      </w:hyperlink>
      <w:r>
        <w:rPr>
          <w:b w:val="0"/>
          <w:i w:val="0"/>
        </w:rPr>
        <w:t>.</w:t>
      </w:r>
    </w:p>
    <w:p>
      <w:pPr>
        <w:widowControl/>
      </w:pPr>
      <w:r>
        <w:rPr>
          <w:b/>
          <w:i w:val="0"/>
        </w:rPr>
        <w:t>differt.</w:t>
      </w:r>
      <w:r>
        <w:rPr>
          <w:b w:val="0"/>
          <w:i w:val="0"/>
        </w:rPr>
        <w:t xml:space="preserve"> </w:t>
      </w:r>
      <w:hyperlink w:anchor="latin-record-0317">
        <w:r>
          <w:rPr>
            <w:color w:val="000000"/>
          </w:rPr>
          <w:t xml:space="preserve">differre / discrepare</w:t>
        </w:r>
      </w:hyperlink>
      <w:r>
        <w:rPr>
          <w:b w:val="0"/>
          <w:i w:val="0"/>
        </w:rPr>
        <w:t xml:space="preserve">; </w:t>
      </w:r>
      <w:hyperlink w:anchor="latin-record-1057">
        <w:r>
          <w:rPr>
            <w:color w:val="000000"/>
          </w:rPr>
          <w:t xml:space="preserve">retardo / differo</w:t>
        </w:r>
      </w:hyperlink>
      <w:r>
        <w:rPr>
          <w:b w:val="0"/>
          <w:i w:val="0"/>
        </w:rPr>
        <w:t>.</w:t>
      </w:r>
    </w:p>
    <w:p>
      <w:pPr>
        <w:widowControl/>
      </w:pPr>
      <w:r>
        <w:rPr>
          <w:b/>
          <w:i w:val="0"/>
        </w:rPr>
        <w:t>differunt.</w:t>
      </w:r>
      <w:r>
        <w:rPr>
          <w:b w:val="0"/>
          <w:i w:val="0"/>
        </w:rPr>
        <w:t xml:space="preserve"> </w:t>
      </w:r>
      <w:hyperlink w:anchor="latin-record-0317">
        <w:r>
          <w:rPr>
            <w:color w:val="000000"/>
          </w:rPr>
          <w:t xml:space="preserve">differre / discrepare</w:t>
        </w:r>
      </w:hyperlink>
      <w:r>
        <w:rPr>
          <w:b w:val="0"/>
          <w:i w:val="0"/>
        </w:rPr>
        <w:t>.</w:t>
      </w:r>
    </w:p>
    <w:p>
      <w:pPr>
        <w:widowControl/>
      </w:pPr>
      <w:r>
        <w:rPr>
          <w:b/>
          <w:i w:val="0"/>
        </w:rPr>
        <w:t>Difficile.</w:t>
      </w:r>
      <w:r>
        <w:rPr>
          <w:b w:val="0"/>
          <w:i w:val="0"/>
        </w:rPr>
        <w:t xml:space="preserve"> </w:t>
      </w:r>
      <w:hyperlink w:anchor="latin-record-0350">
        <w:r>
          <w:rPr>
            <w:color w:val="000000"/>
          </w:rPr>
          <w:t xml:space="preserve">dubitare / diffidere / difficile</w:t>
        </w:r>
      </w:hyperlink>
      <w:r>
        <w:rPr>
          <w:b w:val="0"/>
          <w:i w:val="0"/>
        </w:rPr>
        <w:t>.</w:t>
      </w:r>
    </w:p>
    <w:p>
      <w:pPr>
        <w:widowControl/>
      </w:pPr>
      <w:r>
        <w:rPr>
          <w:b/>
          <w:i w:val="0"/>
        </w:rPr>
        <w:t>difficili.</w:t>
      </w:r>
      <w:r>
        <w:rPr>
          <w:b w:val="0"/>
          <w:i w:val="0"/>
        </w:rPr>
        <w:t xml:space="preserve"> </w:t>
      </w:r>
      <w:hyperlink w:anchor="latin-record-0425">
        <w:r>
          <w:rPr>
            <w:color w:val="000000"/>
          </w:rPr>
          <w:t xml:space="preserve">facile / difficilis</w:t>
        </w:r>
      </w:hyperlink>
      <w:r>
        <w:rPr>
          <w:b w:val="0"/>
          <w:i w:val="0"/>
        </w:rPr>
        <w:t>.</w:t>
      </w:r>
    </w:p>
    <w:p>
      <w:pPr>
        <w:widowControl/>
      </w:pPr>
      <w:r>
        <w:rPr>
          <w:b/>
          <w:i w:val="0"/>
        </w:rPr>
        <w:t>Difficilius.</w:t>
      </w:r>
      <w:r>
        <w:rPr>
          <w:b w:val="0"/>
          <w:i w:val="0"/>
        </w:rPr>
        <w:t xml:space="preserve"> </w:t>
      </w:r>
      <w:hyperlink w:anchor="latin-record-0350">
        <w:r>
          <w:rPr>
            <w:color w:val="000000"/>
          </w:rPr>
          <w:t xml:space="preserve">dubitare / diffidere / difficile</w:t>
        </w:r>
      </w:hyperlink>
      <w:r>
        <w:rPr>
          <w:b w:val="0"/>
          <w:i w:val="0"/>
        </w:rPr>
        <w:t>.</w:t>
      </w:r>
    </w:p>
    <w:p>
      <w:pPr>
        <w:widowControl/>
      </w:pPr>
      <w:r>
        <w:rPr>
          <w:b/>
          <w:i w:val="0"/>
        </w:rPr>
        <w:t>diffidere.</w:t>
      </w:r>
      <w:r>
        <w:rPr>
          <w:b w:val="0"/>
          <w:i w:val="0"/>
        </w:rPr>
        <w:t xml:space="preserve"> </w:t>
      </w:r>
      <w:hyperlink w:anchor="latin-record-0318">
        <w:r>
          <w:rPr>
            <w:color w:val="000000"/>
          </w:rPr>
          <w:t xml:space="preserve">diffido</w:t>
        </w:r>
      </w:hyperlink>
      <w:r>
        <w:rPr>
          <w:b w:val="0"/>
          <w:i w:val="0"/>
        </w:rPr>
        <w:t>.</w:t>
      </w:r>
    </w:p>
    <w:p>
      <w:pPr>
        <w:widowControl/>
      </w:pPr>
      <w:r>
        <w:rPr>
          <w:b/>
          <w:i w:val="0"/>
        </w:rPr>
        <w:t>diffidit.</w:t>
      </w:r>
      <w:r>
        <w:rPr>
          <w:b w:val="0"/>
          <w:i w:val="0"/>
        </w:rPr>
        <w:t xml:space="preserve"> </w:t>
      </w:r>
      <w:hyperlink w:anchor="latin-record-0350">
        <w:r>
          <w:rPr>
            <w:color w:val="000000"/>
          </w:rPr>
          <w:t xml:space="preserve">dubitare / diffidere / difficile</w:t>
        </w:r>
      </w:hyperlink>
      <w:r>
        <w:rPr>
          <w:b w:val="0"/>
          <w:i w:val="0"/>
        </w:rPr>
        <w:t>.</w:t>
      </w:r>
    </w:p>
    <w:p>
      <w:pPr>
        <w:widowControl/>
      </w:pPr>
      <w:r>
        <w:rPr>
          <w:b/>
          <w:i w:val="0"/>
        </w:rPr>
        <w:t>diffunduntur.</w:t>
      </w:r>
      <w:r>
        <w:rPr>
          <w:b w:val="0"/>
          <w:i w:val="0"/>
        </w:rPr>
        <w:t xml:space="preserve"> </w:t>
      </w:r>
      <w:hyperlink w:anchor="latin-record-0420">
        <w:r>
          <w:rPr>
            <w:color w:val="000000"/>
          </w:rPr>
          <w:t xml:space="preserve">exuberare / fundere</w:t>
        </w:r>
      </w:hyperlink>
      <w:r>
        <w:rPr>
          <w:b w:val="0"/>
          <w:i w:val="0"/>
        </w:rPr>
        <w:t>.</w:t>
      </w:r>
    </w:p>
    <w:p>
      <w:pPr>
        <w:widowControl/>
      </w:pPr>
      <w:r>
        <w:rPr>
          <w:b/>
          <w:i w:val="0"/>
        </w:rPr>
        <w:t>diffusio.</w:t>
      </w:r>
      <w:r>
        <w:rPr>
          <w:b w:val="0"/>
          <w:i w:val="0"/>
        </w:rPr>
        <w:t xml:space="preserve"> </w:t>
      </w:r>
      <w:hyperlink w:anchor="latin-record-0319">
        <w:r>
          <w:rPr>
            <w:color w:val="000000"/>
          </w:rPr>
          <w:t xml:space="preserve">diffusio</w:t>
        </w:r>
      </w:hyperlink>
      <w:r>
        <w:rPr>
          <w:b w:val="0"/>
          <w:i w:val="0"/>
        </w:rPr>
        <w:t>.</w:t>
      </w:r>
    </w:p>
    <w:p>
      <w:pPr>
        <w:widowControl/>
      </w:pPr>
      <w:r>
        <w:rPr>
          <w:b/>
          <w:i w:val="0"/>
        </w:rPr>
        <w:t>digerit.</w:t>
      </w:r>
      <w:r>
        <w:rPr>
          <w:b w:val="0"/>
          <w:i w:val="0"/>
        </w:rPr>
        <w:t xml:space="preserve"> </w:t>
      </w:r>
      <w:hyperlink w:anchor="latin-record-0225">
        <w:r>
          <w:rPr>
            <w:color w:val="000000"/>
          </w:rPr>
          <w:t xml:space="preserve">concoquo / digero</w:t>
        </w:r>
      </w:hyperlink>
      <w:r>
        <w:rPr>
          <w:b w:val="0"/>
          <w:i w:val="0"/>
        </w:rPr>
        <w:t>.</w:t>
      </w:r>
    </w:p>
    <w:p>
      <w:pPr>
        <w:widowControl/>
      </w:pPr>
      <w:r>
        <w:rPr>
          <w:b/>
          <w:i w:val="0"/>
        </w:rPr>
        <w:t>digeritque.</w:t>
      </w:r>
      <w:r>
        <w:rPr>
          <w:b w:val="0"/>
          <w:i w:val="0"/>
        </w:rPr>
        <w:t xml:space="preserve"> </w:t>
      </w:r>
      <w:hyperlink w:anchor="latin-record-0047">
        <w:r>
          <w:rPr>
            <w:color w:val="000000"/>
          </w:rPr>
          <w:t xml:space="preserve">alere / nutrire / digerere</w:t>
        </w:r>
      </w:hyperlink>
      <w:r>
        <w:rPr>
          <w:b w:val="0"/>
          <w:i w:val="0"/>
        </w:rPr>
        <w:t>.</w:t>
      </w:r>
    </w:p>
    <w:p>
      <w:pPr>
        <w:widowControl/>
      </w:pPr>
      <w:r>
        <w:rPr>
          <w:b/>
          <w:i w:val="0"/>
        </w:rPr>
        <w:t>digna.</w:t>
      </w:r>
      <w:r>
        <w:rPr>
          <w:b w:val="0"/>
          <w:i w:val="0"/>
        </w:rPr>
        <w:t xml:space="preserve"> </w:t>
      </w:r>
      <w:hyperlink w:anchor="latin-record-0294">
        <w:r>
          <w:rPr>
            <w:color w:val="000000"/>
          </w:rPr>
          <w:t xml:space="preserve">decere / dignitas</w:t>
        </w:r>
      </w:hyperlink>
      <w:r>
        <w:rPr>
          <w:b w:val="0"/>
          <w:i w:val="0"/>
        </w:rPr>
        <w:t>.</w:t>
      </w:r>
    </w:p>
    <w:p>
      <w:pPr>
        <w:widowControl/>
      </w:pPr>
      <w:r>
        <w:rPr>
          <w:b/>
          <w:i w:val="0"/>
        </w:rPr>
        <w:t>dignitatem.</w:t>
      </w:r>
      <w:r>
        <w:rPr>
          <w:b w:val="0"/>
          <w:i w:val="0"/>
        </w:rPr>
        <w:t xml:space="preserve"> </w:t>
      </w:r>
      <w:hyperlink w:anchor="latin-record-0294">
        <w:r>
          <w:rPr>
            <w:color w:val="000000"/>
          </w:rPr>
          <w:t xml:space="preserve">decere / dignitas</w:t>
        </w:r>
      </w:hyperlink>
      <w:r>
        <w:rPr>
          <w:b w:val="0"/>
          <w:i w:val="0"/>
        </w:rPr>
        <w:t>.</w:t>
      </w:r>
    </w:p>
    <w:p>
      <w:pPr>
        <w:widowControl/>
      </w:pPr>
      <w:r>
        <w:rPr>
          <w:b/>
          <w:i w:val="0"/>
        </w:rPr>
        <w:t>dignitatis.</w:t>
      </w:r>
      <w:r>
        <w:rPr>
          <w:b w:val="0"/>
          <w:i w:val="0"/>
        </w:rPr>
        <w:t xml:space="preserve"> </w:t>
      </w:r>
      <w:hyperlink w:anchor="latin-record-0320">
        <w:r>
          <w:rPr>
            <w:color w:val="000000"/>
          </w:rPr>
          <w:t xml:space="preserve">dignitas</w:t>
        </w:r>
      </w:hyperlink>
      <w:r>
        <w:rPr>
          <w:b w:val="0"/>
          <w:i w:val="0"/>
        </w:rPr>
        <w:t>.</w:t>
      </w:r>
    </w:p>
    <w:p>
      <w:pPr>
        <w:widowControl/>
      </w:pPr>
      <w:r>
        <w:rPr>
          <w:b/>
          <w:i w:val="0"/>
        </w:rPr>
        <w:t>dii.</w:t>
      </w:r>
      <w:r>
        <w:rPr>
          <w:b w:val="0"/>
          <w:i w:val="0"/>
        </w:rPr>
        <w:t xml:space="preserve"> </w:t>
      </w:r>
      <w:hyperlink w:anchor="latin-record-0311">
        <w:r>
          <w:rPr>
            <w:color w:val="000000"/>
          </w:rPr>
          <w:t xml:space="preserve">Deus / divinus</w:t>
        </w:r>
      </w:hyperlink>
      <w:r>
        <w:rPr>
          <w:b w:val="0"/>
          <w:i w:val="0"/>
        </w:rPr>
        <w:t>.</w:t>
      </w:r>
    </w:p>
    <w:p>
      <w:pPr>
        <w:widowControl/>
      </w:pPr>
      <w:r>
        <w:rPr>
          <w:b/>
          <w:i w:val="0"/>
        </w:rPr>
        <w:t>dilatare.</w:t>
      </w:r>
      <w:r>
        <w:rPr>
          <w:b w:val="0"/>
          <w:i w:val="0"/>
        </w:rPr>
        <w:t xml:space="preserve"> </w:t>
      </w:r>
      <w:hyperlink w:anchor="latin-record-0952">
        <w:r>
          <w:rPr>
            <w:color w:val="000000"/>
          </w:rPr>
          <w:t xml:space="preserve">propagare / amplificare / dilatare</w:t>
        </w:r>
      </w:hyperlink>
      <w:r>
        <w:rPr>
          <w:b w:val="0"/>
          <w:i w:val="0"/>
        </w:rPr>
        <w:t>.</w:t>
      </w:r>
    </w:p>
    <w:p>
      <w:pPr>
        <w:widowControl/>
      </w:pPr>
      <w:r>
        <w:rPr>
          <w:b/>
          <w:i w:val="0"/>
        </w:rPr>
        <w:t>dilatatio.</w:t>
      </w:r>
      <w:r>
        <w:rPr>
          <w:b w:val="0"/>
          <w:i w:val="0"/>
        </w:rPr>
        <w:t xml:space="preserve"> </w:t>
      </w:r>
      <w:hyperlink w:anchor="latin-record-0952">
        <w:r>
          <w:rPr>
            <w:color w:val="000000"/>
          </w:rPr>
          <w:t xml:space="preserve">propagare / amplificare / dilatare</w:t>
        </w:r>
      </w:hyperlink>
      <w:r>
        <w:rPr>
          <w:b w:val="0"/>
          <w:i w:val="0"/>
        </w:rPr>
        <w:t xml:space="preserve">; </w:t>
      </w:r>
      <w:hyperlink w:anchor="latin-record-1283">
        <w:r>
          <w:rPr>
            <w:color w:val="000000"/>
          </w:rPr>
          <w:t xml:space="preserve">voluptas / dilatatio</w:t>
        </w:r>
      </w:hyperlink>
      <w:r>
        <w:rPr>
          <w:b w:val="0"/>
          <w:i w:val="0"/>
        </w:rPr>
        <w:t>.</w:t>
      </w:r>
    </w:p>
    <w:p>
      <w:pPr>
        <w:widowControl/>
      </w:pPr>
      <w:r>
        <w:rPr>
          <w:b/>
          <w:i w:val="0"/>
        </w:rPr>
        <w:t>Dilectio.</w:t>
      </w:r>
      <w:r>
        <w:rPr>
          <w:b w:val="0"/>
          <w:i w:val="0"/>
        </w:rPr>
        <w:t xml:space="preserve"> </w:t>
      </w:r>
      <w:hyperlink w:anchor="latin-record-0321">
        <w:r>
          <w:rPr>
            <w:color w:val="000000"/>
          </w:rPr>
          <w:t xml:space="preserve">dilectio / diligere</w:t>
        </w:r>
      </w:hyperlink>
      <w:r>
        <w:rPr>
          <w:b w:val="0"/>
          <w:i w:val="0"/>
        </w:rPr>
        <w:t>.</w:t>
      </w:r>
    </w:p>
    <w:p>
      <w:pPr>
        <w:widowControl/>
      </w:pPr>
      <w:r>
        <w:rPr>
          <w:b/>
          <w:i w:val="0"/>
        </w:rPr>
        <w:t>dilectione.</w:t>
      </w:r>
      <w:r>
        <w:rPr>
          <w:b w:val="0"/>
          <w:i w:val="0"/>
        </w:rPr>
        <w:t xml:space="preserve"> </w:t>
      </w:r>
      <w:hyperlink w:anchor="latin-record-0321">
        <w:r>
          <w:rPr>
            <w:color w:val="000000"/>
          </w:rPr>
          <w:t xml:space="preserve">dilectio / diligere</w:t>
        </w:r>
      </w:hyperlink>
      <w:r>
        <w:rPr>
          <w:b w:val="0"/>
          <w:i w:val="0"/>
        </w:rPr>
        <w:t>.</w:t>
      </w:r>
    </w:p>
    <w:p>
      <w:pPr>
        <w:widowControl/>
      </w:pPr>
      <w:r>
        <w:rPr>
          <w:b/>
          <w:i w:val="0"/>
        </w:rPr>
        <w:t>diligenter.</w:t>
      </w:r>
      <w:r>
        <w:rPr>
          <w:b w:val="0"/>
          <w:i w:val="0"/>
        </w:rPr>
        <w:t xml:space="preserve"> </w:t>
      </w:r>
      <w:hyperlink w:anchor="latin-record-0635">
        <w:r>
          <w:rPr>
            <w:color w:val="000000"/>
          </w:rPr>
          <w:t xml:space="preserve">lego / diligentia</w:t>
        </w:r>
      </w:hyperlink>
      <w:r>
        <w:rPr>
          <w:b w:val="0"/>
          <w:i w:val="0"/>
        </w:rPr>
        <w:t>.</w:t>
      </w:r>
    </w:p>
    <w:p>
      <w:pPr>
        <w:widowControl/>
      </w:pPr>
      <w:r>
        <w:rPr>
          <w:b/>
          <w:i w:val="0"/>
        </w:rPr>
        <w:t>diligentia.</w:t>
      </w:r>
      <w:r>
        <w:rPr>
          <w:b w:val="0"/>
          <w:i w:val="0"/>
        </w:rPr>
        <w:t xml:space="preserve"> </w:t>
      </w:r>
      <w:hyperlink w:anchor="latin-record-0322">
        <w:r>
          <w:rPr>
            <w:color w:val="000000"/>
          </w:rPr>
          <w:t xml:space="preserve">diligentia / procurator</w:t>
        </w:r>
      </w:hyperlink>
      <w:r>
        <w:rPr>
          <w:b w:val="0"/>
          <w:i w:val="0"/>
        </w:rPr>
        <w:t>.</w:t>
      </w:r>
    </w:p>
    <w:p>
      <w:pPr>
        <w:widowControl/>
      </w:pPr>
      <w:r>
        <w:rPr>
          <w:b/>
          <w:i w:val="0"/>
        </w:rPr>
        <w:t>diligentior.</w:t>
      </w:r>
      <w:r>
        <w:rPr>
          <w:b w:val="0"/>
          <w:i w:val="0"/>
        </w:rPr>
        <w:t xml:space="preserve"> </w:t>
      </w:r>
      <w:hyperlink w:anchor="latin-record-0322">
        <w:r>
          <w:rPr>
            <w:color w:val="000000"/>
          </w:rPr>
          <w:t xml:space="preserve">diligentia / procurator</w:t>
        </w:r>
      </w:hyperlink>
      <w:r>
        <w:rPr>
          <w:b w:val="0"/>
          <w:i w:val="0"/>
        </w:rPr>
        <w:t>.</w:t>
      </w:r>
    </w:p>
    <w:p>
      <w:pPr>
        <w:widowControl/>
      </w:pPr>
      <w:r>
        <w:rPr>
          <w:b/>
          <w:i w:val="0"/>
        </w:rPr>
        <w:t>diligentissime.</w:t>
      </w:r>
      <w:r>
        <w:rPr>
          <w:b w:val="0"/>
          <w:i w:val="0"/>
        </w:rPr>
        <w:t xml:space="preserve"> </w:t>
      </w:r>
      <w:hyperlink w:anchor="latin-record-0635">
        <w:r>
          <w:rPr>
            <w:color w:val="000000"/>
          </w:rPr>
          <w:t xml:space="preserve">lego / diligentia</w:t>
        </w:r>
      </w:hyperlink>
      <w:r>
        <w:rPr>
          <w:b w:val="0"/>
          <w:i w:val="0"/>
        </w:rPr>
        <w:t>.</w:t>
      </w:r>
    </w:p>
    <w:p>
      <w:pPr>
        <w:widowControl/>
      </w:pPr>
      <w:r>
        <w:rPr>
          <w:b/>
          <w:i w:val="0"/>
        </w:rPr>
        <w:t>diligit.</w:t>
      </w:r>
      <w:r>
        <w:rPr>
          <w:b w:val="0"/>
          <w:i w:val="0"/>
        </w:rPr>
        <w:t xml:space="preserve"> </w:t>
      </w:r>
      <w:hyperlink w:anchor="latin-record-0321">
        <w:r>
          <w:rPr>
            <w:color w:val="000000"/>
          </w:rPr>
          <w:t xml:space="preserve">dilectio / diligere</w:t>
        </w:r>
      </w:hyperlink>
      <w:r>
        <w:rPr>
          <w:b w:val="0"/>
          <w:i w:val="0"/>
        </w:rPr>
        <w:t>.</w:t>
      </w:r>
    </w:p>
    <w:p>
      <w:pPr>
        <w:widowControl/>
      </w:pPr>
      <w:r>
        <w:rPr>
          <w:b/>
          <w:i w:val="0"/>
        </w:rPr>
        <w:t>dimensio.</w:t>
      </w:r>
      <w:r>
        <w:rPr>
          <w:b w:val="0"/>
          <w:i w:val="0"/>
        </w:rPr>
        <w:t xml:space="preserve"> </w:t>
      </w:r>
      <w:hyperlink w:anchor="latin-record-1006">
        <w:r>
          <w:rPr>
            <w:color w:val="000000"/>
          </w:rPr>
          <w:t xml:space="preserve">quantitas / dimensio</w:t>
        </w:r>
      </w:hyperlink>
      <w:r>
        <w:rPr>
          <w:b w:val="0"/>
          <w:i w:val="0"/>
        </w:rPr>
        <w:t>.</w:t>
      </w:r>
    </w:p>
    <w:p>
      <w:pPr>
        <w:widowControl/>
      </w:pPr>
      <w:r>
        <w:rPr>
          <w:b/>
          <w:i w:val="0"/>
        </w:rPr>
        <w:t>dimensionem.</w:t>
      </w:r>
      <w:r>
        <w:rPr>
          <w:b w:val="0"/>
          <w:i w:val="0"/>
        </w:rPr>
        <w:t xml:space="preserve"> </w:t>
      </w:r>
      <w:hyperlink w:anchor="latin-record-1006">
        <w:r>
          <w:rPr>
            <w:color w:val="000000"/>
          </w:rPr>
          <w:t xml:space="preserve">quantitas / dimensio</w:t>
        </w:r>
      </w:hyperlink>
      <w:r>
        <w:rPr>
          <w:b w:val="0"/>
          <w:i w:val="0"/>
        </w:rPr>
        <w:t>.</w:t>
      </w:r>
    </w:p>
    <w:p>
      <w:pPr>
        <w:widowControl/>
      </w:pPr>
      <w:r>
        <w:rPr>
          <w:b/>
          <w:i w:val="0"/>
        </w:rPr>
        <w:t>dimensiones.</w:t>
      </w:r>
      <w:r>
        <w:rPr>
          <w:b w:val="0"/>
          <w:i w:val="0"/>
        </w:rPr>
        <w:t xml:space="preserve"> </w:t>
      </w:r>
      <w:hyperlink w:anchor="latin-record-1006">
        <w:r>
          <w:rPr>
            <w:color w:val="000000"/>
          </w:rPr>
          <w:t xml:space="preserve">quantitas / dimensio</w:t>
        </w:r>
      </w:hyperlink>
      <w:r>
        <w:rPr>
          <w:b w:val="0"/>
          <w:i w:val="0"/>
        </w:rPr>
        <w:t>.</w:t>
      </w:r>
    </w:p>
    <w:p>
      <w:pPr>
        <w:widowControl/>
      </w:pPr>
      <w:r>
        <w:rPr>
          <w:b/>
          <w:i w:val="0"/>
        </w:rPr>
        <w:t>dimensioni.</w:t>
      </w:r>
      <w:r>
        <w:rPr>
          <w:b w:val="0"/>
          <w:i w:val="0"/>
        </w:rPr>
        <w:t xml:space="preserve"> </w:t>
      </w:r>
      <w:hyperlink w:anchor="latin-record-1006">
        <w:r>
          <w:rPr>
            <w:color w:val="000000"/>
          </w:rPr>
          <w:t xml:space="preserve">quantitas / dimensio</w:t>
        </w:r>
      </w:hyperlink>
      <w:r>
        <w:rPr>
          <w:b w:val="0"/>
          <w:i w:val="0"/>
        </w:rPr>
        <w:t>.</w:t>
      </w:r>
    </w:p>
    <w:p>
      <w:pPr>
        <w:widowControl/>
      </w:pPr>
      <w:r>
        <w:rPr>
          <w:b/>
          <w:i w:val="0"/>
        </w:rPr>
        <w:t>dinoscit.</w:t>
      </w:r>
      <w:r>
        <w:rPr>
          <w:b w:val="0"/>
          <w:i w:val="0"/>
        </w:rPr>
        <w:t xml:space="preserve"> </w:t>
      </w:r>
      <w:hyperlink w:anchor="latin-record-0770">
        <w:r>
          <w:rPr>
            <w:color w:val="000000"/>
          </w:rPr>
          <w:t xml:space="preserve">noscere / cognoscere / dinoscere</w:t>
        </w:r>
      </w:hyperlink>
      <w:r>
        <w:rPr>
          <w:b w:val="0"/>
          <w:i w:val="0"/>
        </w:rPr>
        <w:t>.</w:t>
      </w:r>
    </w:p>
    <w:p>
      <w:pPr>
        <w:widowControl/>
      </w:pPr>
      <w:r>
        <w:rPr>
          <w:b/>
          <w:i w:val="0"/>
        </w:rPr>
        <w:t>Dionysius Areopagita.</w:t>
      </w:r>
      <w:r>
        <w:rPr>
          <w:b w:val="0"/>
          <w:i w:val="0"/>
        </w:rPr>
        <w:t xml:space="preserve"> </w:t>
      </w:r>
      <w:hyperlink w:anchor="latin-record-0323">
        <w:r>
          <w:rPr>
            <w:color w:val="000000"/>
          </w:rPr>
          <w:t xml:space="preserve">Dionysius Areopagita / Daniel</w:t>
        </w:r>
      </w:hyperlink>
      <w:r>
        <w:rPr>
          <w:b w:val="0"/>
          <w:i w:val="0"/>
        </w:rPr>
        <w:t>.</w:t>
      </w:r>
    </w:p>
    <w:p>
      <w:pPr>
        <w:widowControl/>
      </w:pPr>
      <w:r>
        <w:rPr>
          <w:b/>
          <w:i w:val="0"/>
        </w:rPr>
        <w:t>dirigere.</w:t>
      </w:r>
      <w:r>
        <w:rPr>
          <w:b w:val="0"/>
          <w:i w:val="0"/>
        </w:rPr>
        <w:t xml:space="preserve"> </w:t>
      </w:r>
      <w:hyperlink w:anchor="latin-record-0324">
        <w:r>
          <w:rPr>
            <w:color w:val="000000"/>
          </w:rPr>
          <w:t xml:space="preserve">dirigere / manifestus</w:t>
        </w:r>
      </w:hyperlink>
      <w:r>
        <w:rPr>
          <w:b w:val="0"/>
          <w:i w:val="0"/>
        </w:rPr>
        <w:t xml:space="preserve">; </w:t>
      </w:r>
      <w:hyperlink w:anchor="latin-record-0343">
        <w:r>
          <w:rPr>
            <w:color w:val="000000"/>
          </w:rPr>
          <w:t xml:space="preserve">diverto / dirigo</w:t>
        </w:r>
      </w:hyperlink>
      <w:r>
        <w:rPr>
          <w:b w:val="0"/>
          <w:i w:val="0"/>
        </w:rPr>
        <w:t>.</w:t>
      </w:r>
    </w:p>
    <w:p>
      <w:pPr>
        <w:widowControl/>
      </w:pPr>
      <w:r>
        <w:rPr>
          <w:b/>
          <w:i w:val="0"/>
        </w:rPr>
        <w:t>diriguntur.</w:t>
      </w:r>
      <w:r>
        <w:rPr>
          <w:b w:val="0"/>
          <w:i w:val="0"/>
        </w:rPr>
        <w:t xml:space="preserve"> </w:t>
      </w:r>
      <w:hyperlink w:anchor="latin-record-0324">
        <w:r>
          <w:rPr>
            <w:color w:val="000000"/>
          </w:rPr>
          <w:t xml:space="preserve">dirigere / manifestus</w:t>
        </w:r>
      </w:hyperlink>
      <w:r>
        <w:rPr>
          <w:b w:val="0"/>
          <w:i w:val="0"/>
        </w:rPr>
        <w:t>.</w:t>
      </w:r>
    </w:p>
    <w:p>
      <w:pPr>
        <w:widowControl/>
      </w:pPr>
      <w:r>
        <w:rPr>
          <w:b/>
          <w:i w:val="0"/>
        </w:rPr>
        <w:t>discedentibus.</w:t>
      </w:r>
      <w:r>
        <w:rPr>
          <w:b w:val="0"/>
          <w:i w:val="0"/>
        </w:rPr>
        <w:t xml:space="preserve"> </w:t>
      </w:r>
      <w:hyperlink w:anchor="latin-record-1172">
        <w:r>
          <w:rPr>
            <w:color w:val="000000"/>
          </w:rPr>
          <w:t xml:space="preserve">superesse / discedere</w:t>
        </w:r>
      </w:hyperlink>
      <w:r>
        <w:rPr>
          <w:b w:val="0"/>
          <w:i w:val="0"/>
        </w:rPr>
        <w:t>.</w:t>
      </w:r>
    </w:p>
    <w:p>
      <w:pPr>
        <w:widowControl/>
      </w:pPr>
      <w:r>
        <w:rPr>
          <w:b/>
          <w:i w:val="0"/>
        </w:rPr>
        <w:t>discernamus.</w:t>
      </w:r>
      <w:r>
        <w:rPr>
          <w:b w:val="0"/>
          <w:i w:val="0"/>
        </w:rPr>
        <w:t xml:space="preserve"> </w:t>
      </w:r>
      <w:hyperlink w:anchor="latin-record-0325">
        <w:r>
          <w:rPr>
            <w:color w:val="000000"/>
          </w:rPr>
          <w:t xml:space="preserve">discernere / animadvertere</w:t>
        </w:r>
      </w:hyperlink>
      <w:r>
        <w:rPr>
          <w:b w:val="0"/>
          <w:i w:val="0"/>
        </w:rPr>
        <w:t>.</w:t>
      </w:r>
    </w:p>
    <w:p>
      <w:pPr>
        <w:widowControl/>
      </w:pPr>
      <w:r>
        <w:rPr>
          <w:b/>
          <w:i w:val="0"/>
        </w:rPr>
        <w:t>discernat.</w:t>
      </w:r>
      <w:r>
        <w:rPr>
          <w:b w:val="0"/>
          <w:i w:val="0"/>
        </w:rPr>
        <w:t xml:space="preserve"> </w:t>
      </w:r>
      <w:hyperlink w:anchor="latin-record-0077">
        <w:r>
          <w:rPr>
            <w:color w:val="000000"/>
          </w:rPr>
          <w:t xml:space="preserve">anticipare / discernere / metiri</w:t>
        </w:r>
      </w:hyperlink>
      <w:r>
        <w:rPr>
          <w:b w:val="0"/>
          <w:i w:val="0"/>
        </w:rPr>
        <w:t>.</w:t>
      </w:r>
    </w:p>
    <w:p>
      <w:pPr>
        <w:widowControl/>
      </w:pPr>
      <w:r>
        <w:rPr>
          <w:b/>
          <w:i w:val="0"/>
        </w:rPr>
        <w:t>Discernere.</w:t>
      </w:r>
      <w:r>
        <w:rPr>
          <w:b w:val="0"/>
          <w:i w:val="0"/>
        </w:rPr>
        <w:t xml:space="preserve"> </w:t>
      </w:r>
      <w:hyperlink w:anchor="latin-record-0325">
        <w:r>
          <w:rPr>
            <w:color w:val="000000"/>
          </w:rPr>
          <w:t xml:space="preserve">discernere / animadvertere</w:t>
        </w:r>
      </w:hyperlink>
      <w:r>
        <w:rPr>
          <w:b w:val="0"/>
          <w:i w:val="0"/>
        </w:rPr>
        <w:t>.</w:t>
      </w:r>
    </w:p>
    <w:p>
      <w:pPr>
        <w:widowControl/>
      </w:pPr>
      <w:r>
        <w:rPr>
          <w:b/>
          <w:i w:val="0"/>
        </w:rPr>
        <w:t>discernit.</w:t>
      </w:r>
      <w:r>
        <w:rPr>
          <w:b w:val="0"/>
          <w:i w:val="0"/>
        </w:rPr>
        <w:t xml:space="preserve"> </w:t>
      </w:r>
      <w:hyperlink w:anchor="latin-record-0325">
        <w:r>
          <w:rPr>
            <w:color w:val="000000"/>
          </w:rPr>
          <w:t xml:space="preserve">discernere / animadvertere</w:t>
        </w:r>
      </w:hyperlink>
      <w:r>
        <w:rPr>
          <w:b w:val="0"/>
          <w:i w:val="0"/>
        </w:rPr>
        <w:t>.</w:t>
      </w:r>
    </w:p>
    <w:p>
      <w:pPr>
        <w:widowControl/>
      </w:pPr>
      <w:r>
        <w:rPr>
          <w:b/>
          <w:i w:val="0"/>
        </w:rPr>
        <w:t>discerptam.</w:t>
      </w:r>
      <w:r>
        <w:rPr>
          <w:b w:val="0"/>
          <w:i w:val="0"/>
        </w:rPr>
        <w:t xml:space="preserve"> </w:t>
      </w:r>
      <w:hyperlink w:anchor="latin-record-0330">
        <w:r>
          <w:rPr>
            <w:color w:val="000000"/>
          </w:rPr>
          <w:t xml:space="preserve">discursio / discerptio family</w:t>
        </w:r>
      </w:hyperlink>
      <w:r>
        <w:rPr>
          <w:b w:val="0"/>
          <w:i w:val="0"/>
        </w:rPr>
        <w:t>.</w:t>
      </w:r>
    </w:p>
    <w:p>
      <w:pPr>
        <w:widowControl/>
      </w:pPr>
      <w:r>
        <w:rPr>
          <w:b/>
          <w:i w:val="0"/>
        </w:rPr>
        <w:t>discerptatur.</w:t>
      </w:r>
      <w:r>
        <w:rPr>
          <w:b w:val="0"/>
          <w:i w:val="0"/>
        </w:rPr>
        <w:t xml:space="preserve"> </w:t>
      </w:r>
      <w:hyperlink w:anchor="latin-record-0330">
        <w:r>
          <w:rPr>
            <w:color w:val="000000"/>
          </w:rPr>
          <w:t xml:space="preserve">discursio / discerptio family</w:t>
        </w:r>
      </w:hyperlink>
      <w:r>
        <w:rPr>
          <w:b w:val="0"/>
          <w:i w:val="0"/>
        </w:rPr>
        <w:t>.</w:t>
      </w:r>
    </w:p>
    <w:p>
      <w:pPr>
        <w:widowControl/>
      </w:pPr>
      <w:r>
        <w:rPr>
          <w:b/>
          <w:i w:val="0"/>
        </w:rPr>
        <w:t>discessum.</w:t>
      </w:r>
      <w:r>
        <w:rPr>
          <w:b w:val="0"/>
          <w:i w:val="0"/>
        </w:rPr>
        <w:t xml:space="preserve"> </w:t>
      </w:r>
      <w:hyperlink w:anchor="latin-record-0326">
        <w:r>
          <w:rPr>
            <w:color w:val="000000"/>
          </w:rPr>
          <w:t xml:space="preserve">discessus / seorsum / semovere</w:t>
        </w:r>
      </w:hyperlink>
      <w:r>
        <w:rPr>
          <w:b w:val="0"/>
          <w:i w:val="0"/>
        </w:rPr>
        <w:t>.</w:t>
      </w:r>
    </w:p>
    <w:p>
      <w:pPr>
        <w:widowControl/>
      </w:pPr>
      <w:r>
        <w:rPr>
          <w:b/>
          <w:i w:val="0"/>
        </w:rPr>
        <w:t>discessus.</w:t>
      </w:r>
      <w:r>
        <w:rPr>
          <w:b w:val="0"/>
          <w:i w:val="0"/>
        </w:rPr>
        <w:t xml:space="preserve"> </w:t>
      </w:r>
      <w:hyperlink w:anchor="latin-record-0326">
        <w:r>
          <w:rPr>
            <w:color w:val="000000"/>
          </w:rPr>
          <w:t xml:space="preserve">discessus / seorsum / semovere</w:t>
        </w:r>
      </w:hyperlink>
      <w:r>
        <w:rPr>
          <w:b w:val="0"/>
          <w:i w:val="0"/>
        </w:rPr>
        <w:t>.</w:t>
      </w:r>
    </w:p>
    <w:p>
      <w:pPr>
        <w:widowControl/>
      </w:pPr>
      <w:r>
        <w:rPr>
          <w:b/>
          <w:i w:val="0"/>
        </w:rPr>
        <w:t>Discrepat.</w:t>
      </w:r>
      <w:r>
        <w:rPr>
          <w:b w:val="0"/>
          <w:i w:val="0"/>
        </w:rPr>
        <w:t xml:space="preserve"> </w:t>
      </w:r>
      <w:hyperlink w:anchor="latin-record-0270">
        <w:r>
          <w:rPr>
            <w:color w:val="000000"/>
          </w:rPr>
          <w:t xml:space="preserve">convenio / discrepo</w:t>
        </w:r>
      </w:hyperlink>
      <w:r>
        <w:rPr>
          <w:b w:val="0"/>
          <w:i w:val="0"/>
        </w:rPr>
        <w:t>.</w:t>
      </w:r>
    </w:p>
    <w:p>
      <w:pPr>
        <w:widowControl/>
      </w:pPr>
      <w:r>
        <w:rPr>
          <w:b/>
          <w:i w:val="0"/>
        </w:rPr>
        <w:t>discrepent.</w:t>
      </w:r>
      <w:r>
        <w:rPr>
          <w:b w:val="0"/>
          <w:i w:val="0"/>
        </w:rPr>
        <w:t xml:space="preserve"> </w:t>
      </w:r>
      <w:hyperlink w:anchor="latin-record-0317">
        <w:r>
          <w:rPr>
            <w:color w:val="000000"/>
          </w:rPr>
          <w:t xml:space="preserve">differre / discrepare</w:t>
        </w:r>
      </w:hyperlink>
      <w:r>
        <w:rPr>
          <w:b w:val="0"/>
          <w:i w:val="0"/>
        </w:rPr>
        <w:t>.</w:t>
      </w:r>
    </w:p>
    <w:p>
      <w:pPr>
        <w:widowControl/>
      </w:pPr>
      <w:r>
        <w:rPr>
          <w:b/>
          <w:i w:val="0"/>
        </w:rPr>
        <w:t>discretae.</w:t>
      </w:r>
      <w:r>
        <w:rPr>
          <w:b w:val="0"/>
          <w:i w:val="0"/>
        </w:rPr>
        <w:t xml:space="preserve"> </w:t>
      </w:r>
      <w:hyperlink w:anchor="latin-record-0327">
        <w:r>
          <w:rPr>
            <w:color w:val="000000"/>
          </w:rPr>
          <w:t xml:space="preserve">discretus</w:t>
        </w:r>
      </w:hyperlink>
      <w:r>
        <w:rPr>
          <w:b w:val="0"/>
          <w:i w:val="0"/>
        </w:rPr>
        <w:t>.</w:t>
      </w:r>
    </w:p>
    <w:p>
      <w:pPr>
        <w:widowControl/>
      </w:pPr>
      <w:r>
        <w:rPr>
          <w:b/>
          <w:i w:val="0"/>
        </w:rPr>
        <w:t>discurrendo.</w:t>
      </w:r>
      <w:r>
        <w:rPr>
          <w:b w:val="0"/>
          <w:i w:val="0"/>
        </w:rPr>
        <w:t xml:space="preserve"> </w:t>
      </w:r>
      <w:hyperlink w:anchor="latin-record-0331">
        <w:r>
          <w:rPr>
            <w:color w:val="000000"/>
          </w:rPr>
          <w:t xml:space="preserve">discursus / discurrere</w:t>
        </w:r>
      </w:hyperlink>
      <w:r>
        <w:rPr>
          <w:b w:val="0"/>
          <w:i w:val="0"/>
        </w:rPr>
        <w:t>.</w:t>
      </w:r>
    </w:p>
    <w:p>
      <w:pPr>
        <w:widowControl/>
      </w:pPr>
      <w:r>
        <w:rPr>
          <w:b/>
          <w:i w:val="0"/>
        </w:rPr>
        <w:t>discurrens.</w:t>
      </w:r>
      <w:r>
        <w:rPr>
          <w:b w:val="0"/>
          <w:i w:val="0"/>
        </w:rPr>
        <w:t xml:space="preserve"> </w:t>
      </w:r>
      <w:hyperlink w:anchor="latin-record-0331">
        <w:r>
          <w:rPr>
            <w:color w:val="000000"/>
          </w:rPr>
          <w:t xml:space="preserve">discursus / discurrere</w:t>
        </w:r>
      </w:hyperlink>
      <w:r>
        <w:rPr>
          <w:b w:val="0"/>
          <w:i w:val="0"/>
        </w:rPr>
        <w:t>.</w:t>
      </w:r>
    </w:p>
    <w:p>
      <w:pPr>
        <w:widowControl/>
      </w:pPr>
      <w:r>
        <w:rPr>
          <w:b/>
          <w:i w:val="0"/>
        </w:rPr>
        <w:t>discurrere.</w:t>
      </w:r>
      <w:r>
        <w:rPr>
          <w:b w:val="0"/>
          <w:i w:val="0"/>
        </w:rPr>
        <w:t xml:space="preserve"> </w:t>
      </w:r>
      <w:hyperlink w:anchor="latin-record-0328">
        <w:r>
          <w:rPr>
            <w:color w:val="000000"/>
          </w:rPr>
          <w:t xml:space="preserve">discurrere / cursus</w:t>
        </w:r>
      </w:hyperlink>
      <w:r>
        <w:rPr>
          <w:b w:val="0"/>
          <w:i w:val="0"/>
        </w:rPr>
        <w:t>.</w:t>
      </w:r>
    </w:p>
    <w:p>
      <w:pPr>
        <w:widowControl/>
      </w:pPr>
      <w:r>
        <w:rPr>
          <w:b/>
          <w:i w:val="0"/>
        </w:rPr>
        <w:t>discurrit.</w:t>
      </w:r>
      <w:r>
        <w:rPr>
          <w:b w:val="0"/>
          <w:i w:val="0"/>
        </w:rPr>
        <w:t xml:space="preserve"> </w:t>
      </w:r>
      <w:hyperlink w:anchor="latin-record-0328">
        <w:r>
          <w:rPr>
            <w:color w:val="000000"/>
          </w:rPr>
          <w:t xml:space="preserve">discurrere / cursus</w:t>
        </w:r>
      </w:hyperlink>
      <w:r>
        <w:rPr>
          <w:b w:val="0"/>
          <w:i w:val="0"/>
        </w:rPr>
        <w:t>.</w:t>
      </w:r>
    </w:p>
    <w:p>
      <w:pPr>
        <w:widowControl/>
      </w:pPr>
      <w:r>
        <w:rPr>
          <w:b/>
          <w:i w:val="0"/>
        </w:rPr>
        <w:t>discursio.</w:t>
      </w:r>
      <w:r>
        <w:rPr>
          <w:b w:val="0"/>
          <w:i w:val="0"/>
        </w:rPr>
        <w:t xml:space="preserve"> </w:t>
      </w:r>
      <w:hyperlink w:anchor="latin-record-0329">
        <w:r>
          <w:rPr>
            <w:color w:val="000000"/>
          </w:rPr>
          <w:t xml:space="preserve">discursio</w:t>
        </w:r>
      </w:hyperlink>
      <w:r>
        <w:rPr>
          <w:b w:val="0"/>
          <w:i w:val="0"/>
        </w:rPr>
        <w:t>.</w:t>
      </w:r>
    </w:p>
    <w:p>
      <w:pPr>
        <w:widowControl/>
      </w:pPr>
      <w:r>
        <w:rPr>
          <w:b/>
          <w:i w:val="0"/>
        </w:rPr>
        <w:t>discursione.</w:t>
      </w:r>
      <w:r>
        <w:rPr>
          <w:b w:val="0"/>
          <w:i w:val="0"/>
        </w:rPr>
        <w:t xml:space="preserve"> </w:t>
      </w:r>
      <w:hyperlink w:anchor="latin-record-0330">
        <w:r>
          <w:rPr>
            <w:color w:val="000000"/>
          </w:rPr>
          <w:t xml:space="preserve">discursio / discerptio family</w:t>
        </w:r>
      </w:hyperlink>
      <w:r>
        <w:rPr>
          <w:b w:val="0"/>
          <w:i w:val="0"/>
        </w:rPr>
        <w:t>.</w:t>
      </w:r>
    </w:p>
    <w:p>
      <w:pPr>
        <w:widowControl/>
      </w:pPr>
      <w:r>
        <w:rPr>
          <w:b/>
          <w:i w:val="0"/>
        </w:rPr>
        <w:t>discursum.</w:t>
      </w:r>
      <w:r>
        <w:rPr>
          <w:b w:val="0"/>
          <w:i w:val="0"/>
        </w:rPr>
        <w:t xml:space="preserve"> </w:t>
      </w:r>
      <w:hyperlink w:anchor="latin-record-0331">
        <w:r>
          <w:rPr>
            <w:color w:val="000000"/>
          </w:rPr>
          <w:t xml:space="preserve">discursus / discurrere</w:t>
        </w:r>
      </w:hyperlink>
      <w:r>
        <w:rPr>
          <w:b w:val="0"/>
          <w:i w:val="0"/>
        </w:rPr>
        <w:t>.</w:t>
      </w:r>
    </w:p>
    <w:p>
      <w:pPr>
        <w:widowControl/>
      </w:pPr>
      <w:r>
        <w:rPr>
          <w:b/>
          <w:i w:val="0"/>
        </w:rPr>
        <w:t>disiunguntur.</w:t>
      </w:r>
      <w:r>
        <w:rPr>
          <w:b w:val="0"/>
          <w:i w:val="0"/>
        </w:rPr>
        <w:t xml:space="preserve"> </w:t>
      </w:r>
      <w:hyperlink w:anchor="latin-record-0332">
        <w:r>
          <w:rPr>
            <w:color w:val="000000"/>
          </w:rPr>
          <w:t xml:space="preserve">disiungere / disponere / instituere</w:t>
        </w:r>
      </w:hyperlink>
      <w:r>
        <w:rPr>
          <w:b w:val="0"/>
          <w:i w:val="0"/>
        </w:rPr>
        <w:t>.</w:t>
      </w:r>
    </w:p>
    <w:p>
      <w:pPr>
        <w:widowControl/>
      </w:pPr>
      <w:r>
        <w:rPr>
          <w:b/>
          <w:i w:val="0"/>
        </w:rPr>
        <w:t>disiunxerit.</w:t>
      </w:r>
      <w:r>
        <w:rPr>
          <w:b w:val="0"/>
          <w:i w:val="0"/>
        </w:rPr>
        <w:t xml:space="preserve"> </w:t>
      </w:r>
      <w:hyperlink w:anchor="latin-record-1083">
        <w:r>
          <w:rPr>
            <w:color w:val="000000"/>
          </w:rPr>
          <w:t xml:space="preserve">seiungo / disiungo</w:t>
        </w:r>
      </w:hyperlink>
      <w:r>
        <w:rPr>
          <w:b w:val="0"/>
          <w:i w:val="0"/>
        </w:rPr>
        <w:t>.</w:t>
      </w:r>
    </w:p>
    <w:p>
      <w:pPr>
        <w:widowControl/>
      </w:pPr>
      <w:r>
        <w:rPr>
          <w:b/>
          <w:i w:val="0"/>
        </w:rPr>
        <w:t>dispergit.</w:t>
      </w:r>
      <w:r>
        <w:rPr>
          <w:b w:val="0"/>
          <w:i w:val="0"/>
        </w:rPr>
        <w:t xml:space="preserve"> </w:t>
      </w:r>
      <w:hyperlink w:anchor="latin-record-0333">
        <w:r>
          <w:rPr>
            <w:color w:val="000000"/>
          </w:rPr>
          <w:t xml:space="preserve">dispergo / distractio</w:t>
        </w:r>
      </w:hyperlink>
      <w:r>
        <w:rPr>
          <w:b w:val="0"/>
          <w:i w:val="0"/>
        </w:rPr>
        <w:t>.</w:t>
      </w:r>
    </w:p>
    <w:p>
      <w:pPr>
        <w:widowControl/>
      </w:pPr>
      <w:r>
        <w:rPr>
          <w:b/>
          <w:i w:val="0"/>
        </w:rPr>
        <w:t>dispersa.</w:t>
      </w:r>
      <w:r>
        <w:rPr>
          <w:b w:val="0"/>
          <w:i w:val="0"/>
        </w:rPr>
        <w:t xml:space="preserve"> </w:t>
      </w:r>
      <w:hyperlink w:anchor="latin-record-0333">
        <w:r>
          <w:rPr>
            <w:color w:val="000000"/>
          </w:rPr>
          <w:t xml:space="preserve">dispergo / distractio</w:t>
        </w:r>
      </w:hyperlink>
      <w:r>
        <w:rPr>
          <w:b w:val="0"/>
          <w:i w:val="0"/>
        </w:rPr>
        <w:t>.</w:t>
      </w:r>
    </w:p>
    <w:p>
      <w:pPr>
        <w:widowControl/>
      </w:pPr>
      <w:r>
        <w:rPr>
          <w:b/>
          <w:i w:val="0"/>
        </w:rPr>
        <w:t>dispersione.</w:t>
      </w:r>
      <w:r>
        <w:rPr>
          <w:b w:val="0"/>
          <w:i w:val="0"/>
        </w:rPr>
        <w:t xml:space="preserve"> </w:t>
      </w:r>
      <w:hyperlink w:anchor="latin-record-0333">
        <w:r>
          <w:rPr>
            <w:color w:val="000000"/>
          </w:rPr>
          <w:t xml:space="preserve">dispergo / distractio</w:t>
        </w:r>
      </w:hyperlink>
      <w:r>
        <w:rPr>
          <w:b w:val="0"/>
          <w:i w:val="0"/>
        </w:rPr>
        <w:t xml:space="preserve">; </w:t>
      </w:r>
      <w:hyperlink w:anchor="latin-record-0334">
        <w:r>
          <w:rPr>
            <w:color w:val="000000"/>
          </w:rPr>
          <w:t xml:space="preserve">dispersio / imbecillitas</w:t>
        </w:r>
      </w:hyperlink>
      <w:r>
        <w:rPr>
          <w:b w:val="0"/>
          <w:i w:val="0"/>
        </w:rPr>
        <w:t>.</w:t>
      </w:r>
    </w:p>
    <w:p>
      <w:pPr>
        <w:widowControl/>
      </w:pPr>
      <w:r>
        <w:rPr>
          <w:b/>
          <w:i w:val="0"/>
        </w:rPr>
        <w:t>displicet.</w:t>
      </w:r>
      <w:r>
        <w:rPr>
          <w:b w:val="0"/>
          <w:i w:val="0"/>
        </w:rPr>
        <w:t xml:space="preserve"> </w:t>
      </w:r>
      <w:hyperlink w:anchor="latin-record-0877">
        <w:r>
          <w:rPr>
            <w:color w:val="000000"/>
          </w:rPr>
          <w:t xml:space="preserve">placere / displicere</w:t>
        </w:r>
      </w:hyperlink>
      <w:r>
        <w:rPr>
          <w:b w:val="0"/>
          <w:i w:val="0"/>
        </w:rPr>
        <w:t>.</w:t>
      </w:r>
    </w:p>
    <w:p>
      <w:pPr>
        <w:widowControl/>
      </w:pPr>
      <w:r>
        <w:rPr>
          <w:b/>
          <w:i w:val="0"/>
        </w:rPr>
        <w:t>disponendam.</w:t>
      </w:r>
      <w:r>
        <w:rPr>
          <w:b w:val="0"/>
          <w:i w:val="0"/>
        </w:rPr>
        <w:t xml:space="preserve"> </w:t>
      </w:r>
      <w:hyperlink w:anchor="latin-record-0335">
        <w:r>
          <w:rPr>
            <w:color w:val="000000"/>
          </w:rPr>
          <w:t xml:space="preserve">disponere</w:t>
        </w:r>
      </w:hyperlink>
      <w:r>
        <w:rPr>
          <w:b w:val="0"/>
          <w:i w:val="0"/>
        </w:rPr>
        <w:t>.</w:t>
      </w:r>
    </w:p>
    <w:p>
      <w:pPr>
        <w:widowControl/>
      </w:pPr>
      <w:r>
        <w:rPr>
          <w:b/>
          <w:i w:val="0"/>
        </w:rPr>
        <w:t>disponimus.</w:t>
      </w:r>
      <w:r>
        <w:rPr>
          <w:b w:val="0"/>
          <w:i w:val="0"/>
        </w:rPr>
        <w:t xml:space="preserve"> </w:t>
      </w:r>
      <w:hyperlink w:anchor="latin-record-0332">
        <w:r>
          <w:rPr>
            <w:color w:val="000000"/>
          </w:rPr>
          <w:t xml:space="preserve">disiungere / disponere / instituere</w:t>
        </w:r>
      </w:hyperlink>
      <w:r>
        <w:rPr>
          <w:b w:val="0"/>
          <w:i w:val="0"/>
        </w:rPr>
        <w:t>.</w:t>
      </w:r>
    </w:p>
    <w:p>
      <w:pPr>
        <w:widowControl/>
      </w:pPr>
      <w:r>
        <w:rPr>
          <w:b/>
          <w:i w:val="0"/>
        </w:rPr>
        <w:t>disposita.</w:t>
      </w:r>
      <w:r>
        <w:rPr>
          <w:b w:val="0"/>
          <w:i w:val="0"/>
        </w:rPr>
        <w:t xml:space="preserve"> </w:t>
      </w:r>
      <w:hyperlink w:anchor="latin-record-0335">
        <w:r>
          <w:rPr>
            <w:color w:val="000000"/>
          </w:rPr>
          <w:t xml:space="preserve">disponere</w:t>
        </w:r>
      </w:hyperlink>
      <w:r>
        <w:rPr>
          <w:b w:val="0"/>
          <w:i w:val="0"/>
        </w:rPr>
        <w:t>.</w:t>
      </w:r>
    </w:p>
    <w:p>
      <w:pPr>
        <w:widowControl/>
      </w:pPr>
      <w:r>
        <w:rPr>
          <w:b/>
          <w:i w:val="0"/>
        </w:rPr>
        <w:t>dissentiant.</w:t>
      </w:r>
      <w:r>
        <w:rPr>
          <w:b w:val="0"/>
          <w:i w:val="0"/>
        </w:rPr>
        <w:t xml:space="preserve"> </w:t>
      </w:r>
      <w:hyperlink w:anchor="latin-record-0246">
        <w:r>
          <w:rPr>
            <w:color w:val="000000"/>
          </w:rPr>
          <w:t xml:space="preserve">consentire / dissentire</w:t>
        </w:r>
      </w:hyperlink>
      <w:r>
        <w:rPr>
          <w:b w:val="0"/>
          <w:i w:val="0"/>
        </w:rPr>
        <w:t>.</w:t>
      </w:r>
    </w:p>
    <w:p>
      <w:pPr>
        <w:widowControl/>
      </w:pPr>
      <w:r>
        <w:rPr>
          <w:b/>
          <w:i w:val="0"/>
        </w:rPr>
        <w:t>dissentire.</w:t>
      </w:r>
      <w:r>
        <w:rPr>
          <w:b w:val="0"/>
          <w:i w:val="0"/>
        </w:rPr>
        <w:t xml:space="preserve"> </w:t>
      </w:r>
      <w:hyperlink w:anchor="latin-record-0246">
        <w:r>
          <w:rPr>
            <w:color w:val="000000"/>
          </w:rPr>
          <w:t xml:space="preserve">consentire / dissentire</w:t>
        </w:r>
      </w:hyperlink>
      <w:r>
        <w:rPr>
          <w:b w:val="0"/>
          <w:i w:val="0"/>
        </w:rPr>
        <w:t>.</w:t>
      </w:r>
    </w:p>
    <w:p>
      <w:pPr>
        <w:widowControl/>
      </w:pPr>
      <w:r>
        <w:rPr>
          <w:b/>
          <w:i w:val="0"/>
        </w:rPr>
        <w:t>disseremus.</w:t>
      </w:r>
      <w:r>
        <w:rPr>
          <w:b w:val="0"/>
          <w:i w:val="0"/>
        </w:rPr>
        <w:t xml:space="preserve"> </w:t>
      </w:r>
      <w:hyperlink w:anchor="latin-record-0685">
        <w:r>
          <w:rPr>
            <w:color w:val="000000"/>
          </w:rPr>
          <w:t xml:space="preserve">memorare / respondere / docere</w:t>
        </w:r>
      </w:hyperlink>
      <w:r>
        <w:rPr>
          <w:b w:val="0"/>
          <w:i w:val="0"/>
        </w:rPr>
        <w:t>.</w:t>
      </w:r>
    </w:p>
    <w:p>
      <w:pPr>
        <w:widowControl/>
      </w:pPr>
      <w:r>
        <w:rPr>
          <w:b/>
          <w:i w:val="0"/>
        </w:rPr>
        <w:t>disseruerunt.</w:t>
      </w:r>
      <w:r>
        <w:rPr>
          <w:b w:val="0"/>
          <w:i w:val="0"/>
        </w:rPr>
        <w:t xml:space="preserve"> </w:t>
      </w:r>
      <w:hyperlink w:anchor="latin-record-0058">
        <w:r>
          <w:rPr>
            <w:color w:val="000000"/>
          </w:rPr>
          <w:t xml:space="preserve">ambigere / disserere</w:t>
        </w:r>
      </w:hyperlink>
      <w:r>
        <w:rPr>
          <w:b w:val="0"/>
          <w:i w:val="0"/>
        </w:rPr>
        <w:t>.</w:t>
      </w:r>
    </w:p>
    <w:p>
      <w:pPr>
        <w:widowControl/>
      </w:pPr>
      <w:r>
        <w:rPr>
          <w:b/>
          <w:i w:val="0"/>
        </w:rPr>
        <w:t>dissimiles.</w:t>
      </w:r>
      <w:r>
        <w:rPr>
          <w:b w:val="0"/>
          <w:i w:val="0"/>
        </w:rPr>
        <w:t xml:space="preserve"> </w:t>
      </w:r>
      <w:hyperlink w:anchor="latin-record-0801">
        <w:r>
          <w:rPr>
            <w:color w:val="000000"/>
          </w:rPr>
          <w:t xml:space="preserve">oppositus / contrarius / diversus</w:t>
        </w:r>
      </w:hyperlink>
      <w:r>
        <w:rPr>
          <w:b w:val="0"/>
          <w:i w:val="0"/>
        </w:rPr>
        <w:t>.</w:t>
      </w:r>
    </w:p>
    <w:p>
      <w:pPr>
        <w:widowControl/>
      </w:pPr>
      <w:r>
        <w:rPr>
          <w:b/>
          <w:i w:val="0"/>
        </w:rPr>
        <w:t>dissimillimum.</w:t>
      </w:r>
      <w:r>
        <w:rPr>
          <w:b w:val="0"/>
          <w:i w:val="0"/>
        </w:rPr>
        <w:t xml:space="preserve"> </w:t>
      </w:r>
      <w:hyperlink w:anchor="latin-record-1106">
        <w:r>
          <w:rPr>
            <w:color w:val="000000"/>
          </w:rPr>
          <w:t xml:space="preserve">similis / dissimilis / similitudo</w:t>
        </w:r>
      </w:hyperlink>
      <w:r>
        <w:rPr>
          <w:b w:val="0"/>
          <w:i w:val="0"/>
        </w:rPr>
        <w:t>.</w:t>
      </w:r>
    </w:p>
    <w:p>
      <w:pPr>
        <w:widowControl/>
      </w:pPr>
      <w:r>
        <w:rPr>
          <w:b/>
          <w:i w:val="0"/>
        </w:rPr>
        <w:t>dissolubiles.</w:t>
      </w:r>
      <w:r>
        <w:rPr>
          <w:b w:val="0"/>
          <w:i w:val="0"/>
        </w:rPr>
        <w:t xml:space="preserve"> </w:t>
      </w:r>
      <w:hyperlink w:anchor="latin-record-0336">
        <w:r>
          <w:rPr>
            <w:color w:val="000000"/>
          </w:rPr>
          <w:t xml:space="preserve">dissolubilis / indissolubilis</w:t>
        </w:r>
      </w:hyperlink>
      <w:r>
        <w:rPr>
          <w:b w:val="0"/>
          <w:i w:val="0"/>
        </w:rPr>
        <w:t>.</w:t>
      </w:r>
    </w:p>
    <w:p>
      <w:pPr>
        <w:widowControl/>
      </w:pPr>
      <w:r>
        <w:rPr>
          <w:b/>
          <w:i w:val="0"/>
        </w:rPr>
        <w:t>dissolubilia.</w:t>
      </w:r>
      <w:r>
        <w:rPr>
          <w:b w:val="0"/>
          <w:i w:val="0"/>
        </w:rPr>
        <w:t xml:space="preserve"> </w:t>
      </w:r>
      <w:hyperlink w:anchor="latin-record-0336">
        <w:r>
          <w:rPr>
            <w:color w:val="000000"/>
          </w:rPr>
          <w:t xml:space="preserve">dissolubilis / indissolubilis</w:t>
        </w:r>
      </w:hyperlink>
      <w:r>
        <w:rPr>
          <w:b w:val="0"/>
          <w:i w:val="0"/>
        </w:rPr>
        <w:t>.</w:t>
      </w:r>
    </w:p>
    <w:p>
      <w:pPr>
        <w:widowControl/>
      </w:pPr>
      <w:r>
        <w:rPr>
          <w:b/>
          <w:i w:val="0"/>
        </w:rPr>
        <w:t>dissolutionem.</w:t>
      </w:r>
      <w:r>
        <w:rPr>
          <w:b w:val="0"/>
          <w:i w:val="0"/>
        </w:rPr>
        <w:t xml:space="preserve"> </w:t>
      </w:r>
      <w:hyperlink w:anchor="latin-record-1050">
        <w:r>
          <w:rPr>
            <w:color w:val="000000"/>
          </w:rPr>
          <w:t xml:space="preserve">resolvi / dissolutio</w:t>
        </w:r>
      </w:hyperlink>
      <w:r>
        <w:rPr>
          <w:b w:val="0"/>
          <w:i w:val="0"/>
        </w:rPr>
        <w:t>.</w:t>
      </w:r>
    </w:p>
    <w:p>
      <w:pPr>
        <w:widowControl/>
      </w:pPr>
      <w:r>
        <w:rPr>
          <w:b/>
          <w:i w:val="0"/>
        </w:rPr>
        <w:t>dissolutioni.</w:t>
      </w:r>
      <w:r>
        <w:rPr>
          <w:b w:val="0"/>
          <w:i w:val="0"/>
        </w:rPr>
        <w:t xml:space="preserve"> </w:t>
      </w:r>
      <w:hyperlink w:anchor="latin-record-1050">
        <w:r>
          <w:rPr>
            <w:color w:val="000000"/>
          </w:rPr>
          <w:t xml:space="preserve">resolvi / dissolutio</w:t>
        </w:r>
      </w:hyperlink>
      <w:r>
        <w:rPr>
          <w:b w:val="0"/>
          <w:i w:val="0"/>
        </w:rPr>
        <w:t>.</w:t>
      </w:r>
    </w:p>
    <w:p>
      <w:pPr>
        <w:widowControl/>
      </w:pPr>
      <w:r>
        <w:rPr>
          <w:b/>
          <w:i w:val="0"/>
        </w:rPr>
        <w:t>dissolvi.</w:t>
      </w:r>
      <w:r>
        <w:rPr>
          <w:b w:val="0"/>
          <w:i w:val="0"/>
        </w:rPr>
        <w:t xml:space="preserve"> </w:t>
      </w:r>
      <w:hyperlink w:anchor="latin-record-0556">
        <w:r>
          <w:rPr>
            <w:color w:val="000000"/>
          </w:rPr>
          <w:t xml:space="preserve">indissolubilis / dissolvo</w:t>
        </w:r>
      </w:hyperlink>
      <w:r>
        <w:rPr>
          <w:b w:val="0"/>
          <w:i w:val="0"/>
        </w:rPr>
        <w:t>.</w:t>
      </w:r>
    </w:p>
    <w:p>
      <w:pPr>
        <w:widowControl/>
      </w:pPr>
      <w:r>
        <w:rPr>
          <w:b/>
          <w:i w:val="0"/>
        </w:rPr>
        <w:t>dissolvit.</w:t>
      </w:r>
      <w:r>
        <w:rPr>
          <w:b w:val="0"/>
          <w:i w:val="0"/>
        </w:rPr>
        <w:t xml:space="preserve"> </w:t>
      </w:r>
      <w:hyperlink w:anchor="latin-record-0337">
        <w:r>
          <w:rPr>
            <w:color w:val="000000"/>
          </w:rPr>
          <w:t xml:space="preserve">dissolvere / condensare</w:t>
        </w:r>
      </w:hyperlink>
      <w:r>
        <w:rPr>
          <w:b w:val="0"/>
          <w:i w:val="0"/>
        </w:rPr>
        <w:t>.</w:t>
      </w:r>
    </w:p>
    <w:p>
      <w:pPr>
        <w:widowControl/>
      </w:pPr>
      <w:r>
        <w:rPr>
          <w:b/>
          <w:i w:val="0"/>
        </w:rPr>
        <w:t>distans.</w:t>
      </w:r>
      <w:r>
        <w:rPr>
          <w:b w:val="0"/>
          <w:i w:val="0"/>
        </w:rPr>
        <w:t xml:space="preserve"> </w:t>
      </w:r>
      <w:hyperlink w:anchor="latin-record-0954">
        <w:r>
          <w:rPr>
            <w:color w:val="000000"/>
          </w:rPr>
          <w:t xml:space="preserve">prope / disto</w:t>
        </w:r>
      </w:hyperlink>
      <w:r>
        <w:rPr>
          <w:b w:val="0"/>
          <w:i w:val="0"/>
        </w:rPr>
        <w:t>.</w:t>
      </w:r>
    </w:p>
    <w:p>
      <w:pPr>
        <w:widowControl/>
      </w:pPr>
      <w:r>
        <w:rPr>
          <w:b/>
          <w:i w:val="0"/>
        </w:rPr>
        <w:t>distantia.</w:t>
      </w:r>
      <w:r>
        <w:rPr>
          <w:b w:val="0"/>
          <w:i w:val="0"/>
        </w:rPr>
        <w:t xml:space="preserve"> </w:t>
      </w:r>
      <w:hyperlink w:anchor="latin-record-0954">
        <w:r>
          <w:rPr>
            <w:color w:val="000000"/>
          </w:rPr>
          <w:t xml:space="preserve">prope / disto</w:t>
        </w:r>
      </w:hyperlink>
      <w:r>
        <w:rPr>
          <w:b w:val="0"/>
          <w:i w:val="0"/>
        </w:rPr>
        <w:t>.</w:t>
      </w:r>
    </w:p>
    <w:p>
      <w:pPr>
        <w:widowControl/>
      </w:pPr>
      <w:r>
        <w:rPr>
          <w:b/>
          <w:i w:val="0"/>
        </w:rPr>
        <w:t>distantiam.</w:t>
      </w:r>
      <w:r>
        <w:rPr>
          <w:b w:val="0"/>
          <w:i w:val="0"/>
        </w:rPr>
        <w:t xml:space="preserve"> </w:t>
      </w:r>
      <w:hyperlink w:anchor="latin-record-0820">
        <w:r>
          <w:rPr>
            <w:color w:val="000000"/>
          </w:rPr>
          <w:t xml:space="preserve">paries / distantia</w:t>
        </w:r>
      </w:hyperlink>
      <w:r>
        <w:rPr>
          <w:b w:val="0"/>
          <w:i w:val="0"/>
        </w:rPr>
        <w:t>.</w:t>
      </w:r>
    </w:p>
    <w:p>
      <w:pPr>
        <w:widowControl/>
      </w:pPr>
      <w:r>
        <w:rPr>
          <w:b/>
          <w:i w:val="0"/>
        </w:rPr>
        <w:t>distaret.</w:t>
      </w:r>
      <w:r>
        <w:rPr>
          <w:b w:val="0"/>
          <w:i w:val="0"/>
        </w:rPr>
        <w:t xml:space="preserve"> </w:t>
      </w:r>
      <w:hyperlink w:anchor="latin-record-0338">
        <w:r>
          <w:rPr>
            <w:color w:val="000000"/>
          </w:rPr>
          <w:t xml:space="preserve">distare</w:t>
        </w:r>
      </w:hyperlink>
      <w:r>
        <w:rPr>
          <w:b w:val="0"/>
          <w:i w:val="0"/>
        </w:rPr>
        <w:t>.</w:t>
      </w:r>
    </w:p>
    <w:p>
      <w:pPr>
        <w:widowControl/>
      </w:pPr>
      <w:r>
        <w:rPr>
          <w:b/>
          <w:i w:val="0"/>
        </w:rPr>
        <w:t>distat.</w:t>
      </w:r>
      <w:r>
        <w:rPr>
          <w:b w:val="0"/>
          <w:i w:val="0"/>
        </w:rPr>
        <w:t xml:space="preserve"> </w:t>
      </w:r>
      <w:hyperlink w:anchor="latin-record-0338">
        <w:r>
          <w:rPr>
            <w:color w:val="000000"/>
          </w:rPr>
          <w:t xml:space="preserve">distare</w:t>
        </w:r>
      </w:hyperlink>
      <w:r>
        <w:rPr>
          <w:b w:val="0"/>
          <w:i w:val="0"/>
        </w:rPr>
        <w:t>.</w:t>
      </w:r>
    </w:p>
    <w:p>
      <w:pPr>
        <w:widowControl/>
      </w:pPr>
      <w:r>
        <w:rPr>
          <w:b/>
          <w:i w:val="0"/>
        </w:rPr>
        <w:t>distinctam.</w:t>
      </w:r>
      <w:r>
        <w:rPr>
          <w:b w:val="0"/>
          <w:i w:val="0"/>
        </w:rPr>
        <w:t xml:space="preserve"> </w:t>
      </w:r>
      <w:hyperlink w:anchor="latin-record-0339">
        <w:r>
          <w:rPr>
            <w:color w:val="000000"/>
          </w:rPr>
          <w:t xml:space="preserve">distincte / clare / plane</w:t>
        </w:r>
      </w:hyperlink>
      <w:r>
        <w:rPr>
          <w:b w:val="0"/>
          <w:i w:val="0"/>
        </w:rPr>
        <w:t>.</w:t>
      </w:r>
    </w:p>
    <w:p>
      <w:pPr>
        <w:widowControl/>
      </w:pPr>
      <w:r>
        <w:rPr>
          <w:b/>
          <w:i w:val="0"/>
        </w:rPr>
        <w:t>distinctas.</w:t>
      </w:r>
      <w:r>
        <w:rPr>
          <w:b w:val="0"/>
          <w:i w:val="0"/>
        </w:rPr>
        <w:t xml:space="preserve"> </w:t>
      </w:r>
      <w:hyperlink w:anchor="latin-record-0339">
        <w:r>
          <w:rPr>
            <w:color w:val="000000"/>
          </w:rPr>
          <w:t xml:space="preserve">distincte / clare / plane</w:t>
        </w:r>
      </w:hyperlink>
      <w:r>
        <w:rPr>
          <w:b w:val="0"/>
          <w:i w:val="0"/>
        </w:rPr>
        <w:t>.</w:t>
      </w:r>
    </w:p>
    <w:p>
      <w:pPr>
        <w:widowControl/>
      </w:pPr>
      <w:r>
        <w:rPr>
          <w:b/>
          <w:i w:val="0"/>
        </w:rPr>
        <w:t>distincte.</w:t>
      </w:r>
      <w:r>
        <w:rPr>
          <w:b w:val="0"/>
          <w:i w:val="0"/>
        </w:rPr>
        <w:t xml:space="preserve"> </w:t>
      </w:r>
      <w:hyperlink w:anchor="latin-record-0339">
        <w:r>
          <w:rPr>
            <w:color w:val="000000"/>
          </w:rPr>
          <w:t xml:space="preserve">distincte / clare / plane</w:t>
        </w:r>
      </w:hyperlink>
      <w:r>
        <w:rPr>
          <w:b w:val="0"/>
          <w:i w:val="0"/>
        </w:rPr>
        <w:t>.</w:t>
      </w:r>
    </w:p>
    <w:p>
      <w:pPr>
        <w:widowControl/>
      </w:pPr>
      <w:r>
        <w:rPr>
          <w:b/>
          <w:i w:val="0"/>
        </w:rPr>
        <w:t>distinctum.</w:t>
      </w:r>
      <w:r>
        <w:rPr>
          <w:b w:val="0"/>
          <w:i w:val="0"/>
        </w:rPr>
        <w:t xml:space="preserve"> </w:t>
      </w:r>
      <w:hyperlink w:anchor="latin-record-0236">
        <w:r>
          <w:rPr>
            <w:color w:val="000000"/>
          </w:rPr>
          <w:t xml:space="preserve">confusus / distinctus</w:t>
        </w:r>
      </w:hyperlink>
      <w:r>
        <w:rPr>
          <w:b w:val="0"/>
          <w:i w:val="0"/>
        </w:rPr>
        <w:t>.</w:t>
      </w:r>
    </w:p>
    <w:p>
      <w:pPr>
        <w:widowControl/>
      </w:pPr>
      <w:r>
        <w:rPr>
          <w:b/>
          <w:i w:val="0"/>
        </w:rPr>
        <w:t>distinguunt.</w:t>
      </w:r>
      <w:r>
        <w:rPr>
          <w:b w:val="0"/>
          <w:i w:val="0"/>
        </w:rPr>
        <w:t xml:space="preserve"> </w:t>
      </w:r>
      <w:hyperlink w:anchor="latin-record-0340">
        <w:r>
          <w:rPr>
            <w:color w:val="000000"/>
          </w:rPr>
          <w:t xml:space="preserve">distinguere / dividere / divisio</w:t>
        </w:r>
      </w:hyperlink>
      <w:r>
        <w:rPr>
          <w:b w:val="0"/>
          <w:i w:val="0"/>
        </w:rPr>
        <w:t>.</w:t>
      </w:r>
    </w:p>
    <w:p>
      <w:pPr>
        <w:widowControl/>
      </w:pPr>
      <w:r>
        <w:rPr>
          <w:b/>
          <w:i w:val="0"/>
        </w:rPr>
        <w:t>distinguuntur.</w:t>
      </w:r>
      <w:r>
        <w:rPr>
          <w:b w:val="0"/>
          <w:i w:val="0"/>
        </w:rPr>
        <w:t xml:space="preserve"> </w:t>
      </w:r>
      <w:hyperlink w:anchor="latin-record-0340">
        <w:r>
          <w:rPr>
            <w:color w:val="000000"/>
          </w:rPr>
          <w:t xml:space="preserve">distinguere / dividere / divisio</w:t>
        </w:r>
      </w:hyperlink>
      <w:r>
        <w:rPr>
          <w:b w:val="0"/>
          <w:i w:val="0"/>
        </w:rPr>
        <w:t>.</w:t>
      </w:r>
    </w:p>
    <w:p>
      <w:pPr>
        <w:widowControl/>
      </w:pPr>
      <w:r>
        <w:rPr>
          <w:b/>
          <w:i w:val="0"/>
        </w:rPr>
        <w:t>distracta.</w:t>
      </w:r>
      <w:r>
        <w:rPr>
          <w:b w:val="0"/>
          <w:i w:val="0"/>
        </w:rPr>
        <w:t xml:space="preserve"> </w:t>
      </w:r>
      <w:hyperlink w:anchor="latin-record-0333">
        <w:r>
          <w:rPr>
            <w:color w:val="000000"/>
          </w:rPr>
          <w:t xml:space="preserve">dispergo / distractio</w:t>
        </w:r>
      </w:hyperlink>
      <w:r>
        <w:rPr>
          <w:b w:val="0"/>
          <w:i w:val="0"/>
        </w:rPr>
        <w:t>.</w:t>
      </w:r>
    </w:p>
    <w:p>
      <w:pPr>
        <w:widowControl/>
      </w:pPr>
      <w:r>
        <w:rPr>
          <w:b/>
          <w:i w:val="0"/>
        </w:rPr>
        <w:t>distrahitur.</w:t>
      </w:r>
      <w:r>
        <w:rPr>
          <w:b w:val="0"/>
          <w:i w:val="0"/>
        </w:rPr>
        <w:t xml:space="preserve"> </w:t>
      </w:r>
      <w:hyperlink w:anchor="latin-record-0342">
        <w:r>
          <w:rPr>
            <w:color w:val="000000"/>
          </w:rPr>
          <w:t xml:space="preserve">distrahere / divertere / possidere</w:t>
        </w:r>
      </w:hyperlink>
      <w:r>
        <w:rPr>
          <w:b w:val="0"/>
          <w:i w:val="0"/>
        </w:rPr>
        <w:t>.</w:t>
      </w:r>
    </w:p>
    <w:p>
      <w:pPr>
        <w:widowControl/>
      </w:pPr>
      <w:r>
        <w:rPr>
          <w:b/>
          <w:i w:val="0"/>
        </w:rPr>
        <w:t>distrahiturve.</w:t>
      </w:r>
      <w:r>
        <w:rPr>
          <w:b w:val="0"/>
          <w:i w:val="0"/>
        </w:rPr>
        <w:t xml:space="preserve"> </w:t>
      </w:r>
      <w:hyperlink w:anchor="latin-record-0341">
        <w:r>
          <w:rPr>
            <w:color w:val="000000"/>
          </w:rPr>
          <w:t xml:space="preserve">distrahere / adstare</w:t>
        </w:r>
      </w:hyperlink>
      <w:r>
        <w:rPr>
          <w:b w:val="0"/>
          <w:i w:val="0"/>
        </w:rPr>
        <w:t>.</w:t>
      </w:r>
    </w:p>
    <w:p>
      <w:pPr>
        <w:widowControl/>
      </w:pPr>
      <w:r>
        <w:rPr>
          <w:b/>
          <w:i w:val="0"/>
        </w:rPr>
        <w:t>diuturnior.</w:t>
      </w:r>
      <w:r>
        <w:rPr>
          <w:b w:val="0"/>
          <w:i w:val="0"/>
        </w:rPr>
        <w:t xml:space="preserve"> </w:t>
      </w:r>
      <w:hyperlink w:anchor="latin-record-0777">
        <w:r>
          <w:rPr>
            <w:color w:val="000000"/>
          </w:rPr>
          <w:t xml:space="preserve">nuper / semel / diuturnior / perpetuo / generatio / successio</w:t>
        </w:r>
      </w:hyperlink>
      <w:r>
        <w:rPr>
          <w:b w:val="0"/>
          <w:i w:val="0"/>
        </w:rPr>
        <w:t>.</w:t>
      </w:r>
    </w:p>
    <w:p>
      <w:pPr>
        <w:widowControl/>
      </w:pPr>
      <w:r>
        <w:rPr>
          <w:b/>
          <w:i w:val="0"/>
        </w:rPr>
        <w:t>diversa.</w:t>
      </w:r>
      <w:r>
        <w:rPr>
          <w:b w:val="0"/>
          <w:i w:val="0"/>
        </w:rPr>
        <w:t xml:space="preserve"> </w:t>
      </w:r>
      <w:hyperlink w:anchor="latin-record-0801">
        <w:r>
          <w:rPr>
            <w:color w:val="000000"/>
          </w:rPr>
          <w:t xml:space="preserve">oppositus / contrarius / diversus</w:t>
        </w:r>
      </w:hyperlink>
      <w:r>
        <w:rPr>
          <w:b w:val="0"/>
          <w:i w:val="0"/>
        </w:rPr>
        <w:t>.</w:t>
      </w:r>
    </w:p>
    <w:p>
      <w:pPr>
        <w:widowControl/>
      </w:pPr>
      <w:r>
        <w:rPr>
          <w:b/>
          <w:i w:val="0"/>
        </w:rPr>
        <w:t>diversos.</w:t>
      </w:r>
      <w:r>
        <w:rPr>
          <w:b w:val="0"/>
          <w:i w:val="0"/>
        </w:rPr>
        <w:t xml:space="preserve"> </w:t>
      </w:r>
      <w:hyperlink w:anchor="latin-record-0801">
        <w:r>
          <w:rPr>
            <w:color w:val="000000"/>
          </w:rPr>
          <w:t xml:space="preserve">oppositus / contrarius / diversus</w:t>
        </w:r>
      </w:hyperlink>
      <w:r>
        <w:rPr>
          <w:b w:val="0"/>
          <w:i w:val="0"/>
        </w:rPr>
        <w:t>.</w:t>
      </w:r>
    </w:p>
    <w:p>
      <w:pPr>
        <w:widowControl/>
      </w:pPr>
      <w:r>
        <w:rPr>
          <w:b/>
          <w:i w:val="0"/>
        </w:rPr>
        <w:t>divertit.</w:t>
      </w:r>
      <w:r>
        <w:rPr>
          <w:b w:val="0"/>
          <w:i w:val="0"/>
        </w:rPr>
        <w:t xml:space="preserve"> </w:t>
      </w:r>
      <w:hyperlink w:anchor="latin-record-0343">
        <w:r>
          <w:rPr>
            <w:color w:val="000000"/>
          </w:rPr>
          <w:t xml:space="preserve">diverto / dirigo</w:t>
        </w:r>
      </w:hyperlink>
      <w:r>
        <w:rPr>
          <w:b w:val="0"/>
          <w:i w:val="0"/>
        </w:rPr>
        <w:t>.</w:t>
      </w:r>
    </w:p>
    <w:p>
      <w:pPr>
        <w:widowControl/>
      </w:pPr>
      <w:r>
        <w:rPr>
          <w:b/>
          <w:i w:val="0"/>
        </w:rPr>
        <w:t>divertitur.</w:t>
      </w:r>
      <w:r>
        <w:rPr>
          <w:b w:val="0"/>
          <w:i w:val="0"/>
        </w:rPr>
        <w:t xml:space="preserve"> </w:t>
      </w:r>
      <w:hyperlink w:anchor="latin-record-0342">
        <w:r>
          <w:rPr>
            <w:color w:val="000000"/>
          </w:rPr>
          <w:t xml:space="preserve">distrahere / divertere / possidere</w:t>
        </w:r>
      </w:hyperlink>
      <w:r>
        <w:rPr>
          <w:b w:val="0"/>
          <w:i w:val="0"/>
        </w:rPr>
        <w:t>.</w:t>
      </w:r>
    </w:p>
    <w:p>
      <w:pPr>
        <w:widowControl/>
      </w:pPr>
      <w:r>
        <w:rPr>
          <w:b/>
          <w:i w:val="0"/>
        </w:rPr>
        <w:t>dividatur.</w:t>
      </w:r>
      <w:r>
        <w:rPr>
          <w:b w:val="0"/>
          <w:i w:val="0"/>
        </w:rPr>
        <w:t xml:space="preserve"> </w:t>
      </w:r>
      <w:hyperlink w:anchor="latin-record-0340">
        <w:r>
          <w:rPr>
            <w:color w:val="000000"/>
          </w:rPr>
          <w:t xml:space="preserve">distinguere / dividere / divisio</w:t>
        </w:r>
      </w:hyperlink>
      <w:r>
        <w:rPr>
          <w:b w:val="0"/>
          <w:i w:val="0"/>
        </w:rPr>
        <w:t>.</w:t>
      </w:r>
    </w:p>
    <w:p>
      <w:pPr>
        <w:widowControl/>
      </w:pPr>
      <w:r>
        <w:rPr>
          <w:b/>
          <w:i w:val="0"/>
        </w:rPr>
        <w:t>dividua.</w:t>
      </w:r>
      <w:r>
        <w:rPr>
          <w:b w:val="0"/>
          <w:i w:val="0"/>
        </w:rPr>
        <w:t xml:space="preserve"> </w:t>
      </w:r>
      <w:hyperlink w:anchor="latin-record-0344">
        <w:r>
          <w:rPr>
            <w:color w:val="000000"/>
          </w:rPr>
          <w:t xml:space="preserve">dividuus / individuus</w:t>
        </w:r>
      </w:hyperlink>
      <w:r>
        <w:rPr>
          <w:b w:val="0"/>
          <w:i w:val="0"/>
        </w:rPr>
        <w:t>.</w:t>
      </w:r>
    </w:p>
    <w:p>
      <w:pPr>
        <w:widowControl/>
      </w:pPr>
      <w:r>
        <w:rPr>
          <w:b/>
          <w:i w:val="0"/>
        </w:rPr>
        <w:t>divina.</w:t>
      </w:r>
      <w:r>
        <w:rPr>
          <w:b w:val="0"/>
          <w:i w:val="0"/>
        </w:rPr>
        <w:t xml:space="preserve"> </w:t>
      </w:r>
      <w:hyperlink w:anchor="latin-record-0311">
        <w:r>
          <w:rPr>
            <w:color w:val="000000"/>
          </w:rPr>
          <w:t xml:space="preserve">Deus / divinus</w:t>
        </w:r>
      </w:hyperlink>
      <w:r>
        <w:rPr>
          <w:b w:val="0"/>
          <w:i w:val="0"/>
        </w:rPr>
        <w:t>.</w:t>
      </w:r>
    </w:p>
    <w:p>
      <w:pPr>
        <w:widowControl/>
      </w:pPr>
      <w:r>
        <w:rPr>
          <w:b/>
          <w:i w:val="0"/>
        </w:rPr>
        <w:t>divina dumtaxat ope confisi.</w:t>
      </w:r>
      <w:r>
        <w:rPr>
          <w:b w:val="0"/>
          <w:i w:val="0"/>
        </w:rPr>
        <w:t xml:space="preserve"> </w:t>
      </w:r>
      <w:hyperlink w:anchor="latin-record-1132">
        <w:r>
          <w:rPr>
            <w:color w:val="000000"/>
          </w:rPr>
          <w:t xml:space="preserve">spiritual aid and confidence</w:t>
        </w:r>
      </w:hyperlink>
      <w:r>
        <w:rPr>
          <w:b w:val="0"/>
          <w:i w:val="0"/>
        </w:rPr>
        <w:t>.</w:t>
      </w:r>
    </w:p>
    <w:p>
      <w:pPr>
        <w:widowControl/>
      </w:pPr>
      <w:r>
        <w:rPr>
          <w:b/>
          <w:i w:val="0"/>
        </w:rPr>
        <w:t>divina lex.</w:t>
      </w:r>
      <w:r>
        <w:rPr>
          <w:b w:val="0"/>
          <w:i w:val="0"/>
        </w:rPr>
        <w:t xml:space="preserve"> </w:t>
      </w:r>
      <w:hyperlink w:anchor="latin-record-0639">
        <w:r>
          <w:rPr>
            <w:color w:val="000000"/>
          </w:rPr>
          <w:t xml:space="preserve">lex divina</w:t>
        </w:r>
      </w:hyperlink>
      <w:r>
        <w:rPr>
          <w:b w:val="0"/>
          <w:i w:val="0"/>
        </w:rPr>
        <w:t>.</w:t>
      </w:r>
    </w:p>
    <w:p>
      <w:pPr>
        <w:widowControl/>
      </w:pPr>
      <w:r>
        <w:rPr>
          <w:b/>
          <w:i w:val="0"/>
        </w:rPr>
        <w:t>divinae legis.</w:t>
      </w:r>
      <w:r>
        <w:rPr>
          <w:b w:val="0"/>
          <w:i w:val="0"/>
        </w:rPr>
        <w:t xml:space="preserve"> </w:t>
      </w:r>
      <w:hyperlink w:anchor="latin-record-0639">
        <w:r>
          <w:rPr>
            <w:color w:val="000000"/>
          </w:rPr>
          <w:t xml:space="preserve">lex divina</w:t>
        </w:r>
      </w:hyperlink>
      <w:r>
        <w:rPr>
          <w:b w:val="0"/>
          <w:i w:val="0"/>
        </w:rPr>
        <w:t>.</w:t>
      </w:r>
    </w:p>
    <w:p>
      <w:pPr>
        <w:widowControl/>
      </w:pPr>
      <w:r>
        <w:rPr>
          <w:b/>
          <w:i w:val="0"/>
        </w:rPr>
        <w:t>Divine.</w:t>
      </w:r>
      <w:r>
        <w:rPr>
          <w:b w:val="0"/>
          <w:i w:val="0"/>
        </w:rPr>
        <w:t xml:space="preserve"> </w:t>
      </w:r>
      <w:hyperlink w:anchor="latin-record-0311">
        <w:r>
          <w:rPr>
            <w:color w:val="000000"/>
          </w:rPr>
          <w:t xml:space="preserve">Deus / divinus</w:t>
        </w:r>
      </w:hyperlink>
      <w:r>
        <w:rPr>
          <w:b w:val="0"/>
          <w:i w:val="0"/>
        </w:rPr>
        <w:t>.</w:t>
      </w:r>
    </w:p>
    <w:p>
      <w:pPr>
        <w:widowControl/>
      </w:pPr>
      <w:r>
        <w:rPr>
          <w:b/>
          <w:i w:val="0"/>
        </w:rPr>
        <w:t>Divinorum.</w:t>
      </w:r>
      <w:r>
        <w:rPr>
          <w:b w:val="0"/>
          <w:i w:val="0"/>
        </w:rPr>
        <w:t xml:space="preserve"> </w:t>
      </w:r>
      <w:hyperlink w:anchor="latin-record-0095">
        <w:r>
          <w:rPr>
            <w:color w:val="000000"/>
          </w:rPr>
          <w:t xml:space="preserve">Aristoteles / Divinorum</w:t>
        </w:r>
      </w:hyperlink>
      <w:r>
        <w:rPr>
          <w:b w:val="0"/>
          <w:i w:val="0"/>
        </w:rPr>
        <w:t>.</w:t>
      </w:r>
    </w:p>
    <w:p>
      <w:pPr>
        <w:widowControl/>
      </w:pPr>
      <w:r>
        <w:rPr>
          <w:b/>
          <w:i w:val="0"/>
        </w:rPr>
        <w:t>Divisio.</w:t>
      </w:r>
      <w:r>
        <w:rPr>
          <w:b w:val="0"/>
          <w:i w:val="0"/>
        </w:rPr>
        <w:t xml:space="preserve"> </w:t>
      </w:r>
      <w:hyperlink w:anchor="latin-record-0340">
        <w:r>
          <w:rPr>
            <w:color w:val="000000"/>
          </w:rPr>
          <w:t xml:space="preserve">distinguere / dividere / divisio</w:t>
        </w:r>
      </w:hyperlink>
      <w:r>
        <w:rPr>
          <w:b w:val="0"/>
          <w:i w:val="0"/>
        </w:rPr>
        <w:t>.</w:t>
      </w:r>
    </w:p>
    <w:p>
      <w:pPr>
        <w:widowControl/>
      </w:pPr>
      <w:r>
        <w:rPr>
          <w:b/>
          <w:i w:val="0"/>
        </w:rPr>
        <w:t>doctrina.</w:t>
      </w:r>
      <w:r>
        <w:rPr>
          <w:b w:val="0"/>
          <w:i w:val="0"/>
        </w:rPr>
        <w:t xml:space="preserve"> </w:t>
      </w:r>
      <w:hyperlink w:anchor="latin-record-0345">
        <w:r>
          <w:rPr>
            <w:color w:val="000000"/>
          </w:rPr>
          <w:t xml:space="preserve">doctrina / tracto</w:t>
        </w:r>
      </w:hyperlink>
      <w:r>
        <w:rPr>
          <w:b w:val="0"/>
          <w:i w:val="0"/>
        </w:rPr>
        <w:t>.</w:t>
      </w:r>
    </w:p>
    <w:p>
      <w:pPr>
        <w:widowControl/>
      </w:pPr>
      <w:r>
        <w:rPr>
          <w:b/>
          <w:i w:val="0"/>
        </w:rPr>
        <w:t>domina.</w:t>
      </w:r>
      <w:r>
        <w:rPr>
          <w:b w:val="0"/>
          <w:i w:val="0"/>
        </w:rPr>
        <w:t xml:space="preserve"> </w:t>
      </w:r>
      <w:hyperlink w:anchor="latin-record-0346">
        <w:r>
          <w:rPr>
            <w:color w:val="000000"/>
          </w:rPr>
          <w:t xml:space="preserve">domina / comes</w:t>
        </w:r>
      </w:hyperlink>
      <w:r>
        <w:rPr>
          <w:b w:val="0"/>
          <w:i w:val="0"/>
        </w:rPr>
        <w:t>.</w:t>
      </w:r>
    </w:p>
    <w:p>
      <w:pPr>
        <w:widowControl/>
      </w:pPr>
      <w:r>
        <w:rPr>
          <w:b/>
          <w:i w:val="0"/>
        </w:rPr>
        <w:t>dominabitur.</w:t>
      </w:r>
      <w:r>
        <w:rPr>
          <w:b w:val="0"/>
          <w:i w:val="0"/>
        </w:rPr>
        <w:t xml:space="preserve"> </w:t>
      </w:r>
      <w:hyperlink w:anchor="latin-record-0349">
        <w:r>
          <w:rPr>
            <w:color w:val="000000"/>
          </w:rPr>
          <w:t xml:space="preserve">dominor</w:t>
        </w:r>
      </w:hyperlink>
      <w:r>
        <w:rPr>
          <w:b w:val="0"/>
          <w:i w:val="0"/>
        </w:rPr>
        <w:t>.</w:t>
      </w:r>
    </w:p>
    <w:p>
      <w:pPr>
        <w:widowControl/>
      </w:pPr>
      <w:r>
        <w:rPr>
          <w:b/>
          <w:i w:val="0"/>
        </w:rPr>
        <w:t>dominam.</w:t>
      </w:r>
      <w:r>
        <w:rPr>
          <w:b w:val="0"/>
          <w:i w:val="0"/>
        </w:rPr>
        <w:t xml:space="preserve"> </w:t>
      </w:r>
      <w:hyperlink w:anchor="latin-record-0539">
        <w:r>
          <w:rPr>
            <w:color w:val="000000"/>
          </w:rPr>
          <w:t xml:space="preserve">impero / domina</w:t>
        </w:r>
      </w:hyperlink>
      <w:r>
        <w:rPr>
          <w:b w:val="0"/>
          <w:i w:val="0"/>
        </w:rPr>
        <w:t>.</w:t>
      </w:r>
    </w:p>
    <w:p>
      <w:pPr>
        <w:widowControl/>
      </w:pPr>
      <w:r>
        <w:rPr>
          <w:b/>
          <w:i w:val="0"/>
        </w:rPr>
        <w:t>dominari.</w:t>
      </w:r>
      <w:r>
        <w:rPr>
          <w:b w:val="0"/>
          <w:i w:val="0"/>
        </w:rPr>
        <w:t xml:space="preserve"> </w:t>
      </w:r>
      <w:hyperlink w:anchor="latin-record-0349">
        <w:r>
          <w:rPr>
            <w:color w:val="000000"/>
          </w:rPr>
          <w:t xml:space="preserve">dominor</w:t>
        </w:r>
      </w:hyperlink>
      <w:r>
        <w:rPr>
          <w:b w:val="0"/>
          <w:i w:val="0"/>
        </w:rPr>
        <w:t>.</w:t>
      </w:r>
    </w:p>
    <w:p>
      <w:pPr>
        <w:widowControl/>
      </w:pPr>
      <w:r>
        <w:rPr>
          <w:b/>
          <w:i w:val="0"/>
        </w:rPr>
        <w:t>dominatur.</w:t>
      </w:r>
      <w:r>
        <w:rPr>
          <w:b w:val="0"/>
          <w:i w:val="0"/>
        </w:rPr>
        <w:t xml:space="preserve"> </w:t>
      </w:r>
      <w:hyperlink w:anchor="latin-record-0347">
        <w:r>
          <w:rPr>
            <w:color w:val="000000"/>
          </w:rPr>
          <w:t xml:space="preserve">dominari</w:t>
        </w:r>
      </w:hyperlink>
      <w:r>
        <w:rPr>
          <w:b w:val="0"/>
          <w:i w:val="0"/>
        </w:rPr>
        <w:t xml:space="preserve">; </w:t>
      </w:r>
      <w:hyperlink w:anchor="latin-record-0348">
        <w:r>
          <w:rPr>
            <w:color w:val="000000"/>
          </w:rPr>
          <w:t xml:space="preserve">dominari / praevalere</w:t>
        </w:r>
      </w:hyperlink>
      <w:r>
        <w:rPr>
          <w:b w:val="0"/>
          <w:i w:val="0"/>
        </w:rPr>
        <w:t xml:space="preserve">; </w:t>
      </w:r>
      <w:hyperlink w:anchor="latin-record-0349">
        <w:r>
          <w:rPr>
            <w:color w:val="000000"/>
          </w:rPr>
          <w:t xml:space="preserve">dominor</w:t>
        </w:r>
      </w:hyperlink>
      <w:r>
        <w:rPr>
          <w:b w:val="0"/>
          <w:i w:val="0"/>
        </w:rPr>
        <w:t>.</w:t>
      </w:r>
    </w:p>
    <w:p>
      <w:pPr>
        <w:widowControl/>
      </w:pPr>
      <w:r>
        <w:rPr>
          <w:b/>
          <w:i w:val="0"/>
        </w:rPr>
        <w:t>domui.</w:t>
      </w:r>
      <w:r>
        <w:rPr>
          <w:b w:val="0"/>
          <w:i w:val="0"/>
        </w:rPr>
        <w:t xml:space="preserve"> </w:t>
      </w:r>
      <w:hyperlink w:anchor="latin-record-0033">
        <w:r>
          <w:rPr>
            <w:color w:val="000000"/>
          </w:rPr>
          <w:t xml:space="preserve">aedificium / domus</w:t>
        </w:r>
      </w:hyperlink>
      <w:r>
        <w:rPr>
          <w:b w:val="0"/>
          <w:i w:val="0"/>
        </w:rPr>
        <w:t>.</w:t>
      </w:r>
    </w:p>
    <w:p>
      <w:pPr>
        <w:widowControl/>
      </w:pPr>
      <w:r>
        <w:rPr>
          <w:b/>
          <w:i w:val="0"/>
        </w:rPr>
        <w:t>domus.</w:t>
      </w:r>
      <w:r>
        <w:rPr>
          <w:b w:val="0"/>
          <w:i w:val="0"/>
        </w:rPr>
        <w:t xml:space="preserve"> </w:t>
      </w:r>
      <w:hyperlink w:anchor="latin-record-0033">
        <w:r>
          <w:rPr>
            <w:color w:val="000000"/>
          </w:rPr>
          <w:t xml:space="preserve">aedificium / domus</w:t>
        </w:r>
      </w:hyperlink>
      <w:r>
        <w:rPr>
          <w:b w:val="0"/>
          <w:i w:val="0"/>
        </w:rPr>
        <w:t>.</w:t>
      </w:r>
    </w:p>
    <w:p>
      <w:pPr>
        <w:widowControl/>
      </w:pPr>
      <w:r>
        <w:rPr>
          <w:b/>
          <w:i w:val="0"/>
        </w:rPr>
        <w:t>dona.</w:t>
      </w:r>
      <w:r>
        <w:rPr>
          <w:b w:val="0"/>
          <w:i w:val="0"/>
        </w:rPr>
        <w:t xml:space="preserve"> </w:t>
      </w:r>
      <w:hyperlink w:anchor="latin-record-0732">
        <w:r>
          <w:rPr>
            <w:color w:val="000000"/>
          </w:rPr>
          <w:t xml:space="preserve">munus / donum</w:t>
        </w:r>
      </w:hyperlink>
      <w:r>
        <w:rPr>
          <w:b w:val="0"/>
          <w:i w:val="0"/>
        </w:rPr>
        <w:t>.</w:t>
      </w:r>
    </w:p>
    <w:p>
      <w:pPr>
        <w:widowControl/>
      </w:pPr>
      <w:r>
        <w:rPr>
          <w:b/>
          <w:i w:val="0"/>
        </w:rPr>
        <w:t>donata.</w:t>
      </w:r>
      <w:r>
        <w:rPr>
          <w:b w:val="0"/>
          <w:i w:val="0"/>
        </w:rPr>
        <w:t xml:space="preserve"> </w:t>
      </w:r>
      <w:hyperlink w:anchor="latin-record-0292">
        <w:r>
          <w:rPr>
            <w:color w:val="000000"/>
          </w:rPr>
          <w:t xml:space="preserve">dare / donare / exhibere</w:t>
        </w:r>
      </w:hyperlink>
      <w:r>
        <w:rPr>
          <w:b w:val="0"/>
          <w:i w:val="0"/>
        </w:rPr>
        <w:t>.</w:t>
      </w:r>
    </w:p>
    <w:p>
      <w:pPr>
        <w:widowControl/>
      </w:pPr>
      <w:r>
        <w:rPr>
          <w:b/>
          <w:i w:val="0"/>
        </w:rPr>
        <w:t>dubio.</w:t>
      </w:r>
      <w:r>
        <w:rPr>
          <w:b w:val="0"/>
          <w:i w:val="0"/>
        </w:rPr>
        <w:t xml:space="preserve"> </w:t>
      </w:r>
      <w:hyperlink w:anchor="latin-record-0350">
        <w:r>
          <w:rPr>
            <w:color w:val="000000"/>
          </w:rPr>
          <w:t xml:space="preserve">dubitare / diffidere / difficile</w:t>
        </w:r>
      </w:hyperlink>
      <w:r>
        <w:rPr>
          <w:b w:val="0"/>
          <w:i w:val="0"/>
        </w:rPr>
        <w:t>.</w:t>
      </w:r>
    </w:p>
    <w:p>
      <w:pPr>
        <w:widowControl/>
      </w:pPr>
      <w:r>
        <w:rPr>
          <w:b/>
          <w:i w:val="0"/>
        </w:rPr>
        <w:t>dubitare.</w:t>
      </w:r>
      <w:r>
        <w:rPr>
          <w:b w:val="0"/>
          <w:i w:val="0"/>
        </w:rPr>
        <w:t xml:space="preserve"> </w:t>
      </w:r>
      <w:hyperlink w:anchor="latin-record-0350">
        <w:r>
          <w:rPr>
            <w:color w:val="000000"/>
          </w:rPr>
          <w:t xml:space="preserve">dubitare / diffidere / difficile</w:t>
        </w:r>
      </w:hyperlink>
      <w:r>
        <w:rPr>
          <w:b w:val="0"/>
          <w:i w:val="0"/>
        </w:rPr>
        <w:t>.</w:t>
      </w:r>
    </w:p>
    <w:p>
      <w:pPr>
        <w:widowControl/>
      </w:pPr>
      <w:r>
        <w:rPr>
          <w:b/>
          <w:i w:val="0"/>
        </w:rPr>
        <w:t>dubitatio.</w:t>
      </w:r>
      <w:r>
        <w:rPr>
          <w:b w:val="0"/>
          <w:i w:val="0"/>
        </w:rPr>
        <w:t xml:space="preserve"> </w:t>
      </w:r>
      <w:hyperlink w:anchor="latin-record-0351">
        <w:r>
          <w:rPr>
            <w:color w:val="000000"/>
          </w:rPr>
          <w:t xml:space="preserve">dubitatio / respondere</w:t>
        </w:r>
      </w:hyperlink>
      <w:r>
        <w:rPr>
          <w:b w:val="0"/>
          <w:i w:val="0"/>
        </w:rPr>
        <w:t>.</w:t>
      </w:r>
    </w:p>
    <w:p>
      <w:pPr>
        <w:widowControl/>
      </w:pPr>
      <w:r>
        <w:rPr>
          <w:b/>
          <w:i w:val="0"/>
        </w:rPr>
        <w:t>ducatur.</w:t>
      </w:r>
      <w:r>
        <w:rPr>
          <w:b w:val="0"/>
          <w:i w:val="0"/>
        </w:rPr>
        <w:t xml:space="preserve"> </w:t>
      </w:r>
      <w:hyperlink w:anchor="latin-record-0352">
        <w:r>
          <w:rPr>
            <w:color w:val="000000"/>
          </w:rPr>
          <w:t xml:space="preserve">ducere / deducere / trahere</w:t>
        </w:r>
      </w:hyperlink>
      <w:r>
        <w:rPr>
          <w:b w:val="0"/>
          <w:i w:val="0"/>
        </w:rPr>
        <w:t>.</w:t>
      </w:r>
    </w:p>
    <w:p>
      <w:pPr>
        <w:widowControl/>
      </w:pPr>
      <w:r>
        <w:rPr>
          <w:b/>
          <w:i w:val="0"/>
        </w:rPr>
        <w:t>duce.</w:t>
      </w:r>
      <w:r>
        <w:rPr>
          <w:b w:val="0"/>
          <w:i w:val="0"/>
        </w:rPr>
        <w:t xml:space="preserve"> </w:t>
      </w:r>
      <w:hyperlink w:anchor="latin-record-0400">
        <w:r>
          <w:rPr>
            <w:color w:val="000000"/>
          </w:rPr>
          <w:t xml:space="preserve">exercitus / dux / princeps</w:t>
        </w:r>
      </w:hyperlink>
      <w:r>
        <w:rPr>
          <w:b w:val="0"/>
          <w:i w:val="0"/>
        </w:rPr>
        <w:t>.</w:t>
      </w:r>
    </w:p>
    <w:p>
      <w:pPr>
        <w:widowControl/>
      </w:pPr>
      <w:r>
        <w:rPr>
          <w:b/>
          <w:i w:val="0"/>
        </w:rPr>
        <w:t>ducem.</w:t>
      </w:r>
      <w:r>
        <w:rPr>
          <w:b w:val="0"/>
          <w:i w:val="0"/>
        </w:rPr>
        <w:t xml:space="preserve"> </w:t>
      </w:r>
      <w:hyperlink w:anchor="latin-record-0355">
        <w:r>
          <w:rPr>
            <w:color w:val="000000"/>
          </w:rPr>
          <w:t xml:space="preserve">dux / lex superioris</w:t>
        </w:r>
      </w:hyperlink>
      <w:r>
        <w:rPr>
          <w:b w:val="0"/>
          <w:i w:val="0"/>
        </w:rPr>
        <w:t xml:space="preserve">; </w:t>
      </w:r>
      <w:hyperlink w:anchor="latin-record-0399">
        <w:r>
          <w:rPr>
            <w:color w:val="000000"/>
          </w:rPr>
          <w:t xml:space="preserve">exercitus / dux</w:t>
        </w:r>
      </w:hyperlink>
      <w:r>
        <w:rPr>
          <w:b w:val="0"/>
          <w:i w:val="0"/>
        </w:rPr>
        <w:t xml:space="preserve">; </w:t>
      </w:r>
      <w:hyperlink w:anchor="latin-record-0400">
        <w:r>
          <w:rPr>
            <w:color w:val="000000"/>
          </w:rPr>
          <w:t xml:space="preserve">exercitus / dux / princeps</w:t>
        </w:r>
      </w:hyperlink>
      <w:r>
        <w:rPr>
          <w:b w:val="0"/>
          <w:i w:val="0"/>
        </w:rPr>
        <w:t>.</w:t>
      </w:r>
    </w:p>
    <w:p>
      <w:pPr>
        <w:widowControl/>
      </w:pPr>
      <w:r>
        <w:rPr>
          <w:b/>
          <w:i w:val="0"/>
        </w:rPr>
        <w:t>duci.</w:t>
      </w:r>
      <w:r>
        <w:rPr>
          <w:b w:val="0"/>
          <w:i w:val="0"/>
        </w:rPr>
        <w:t xml:space="preserve"> </w:t>
      </w:r>
      <w:hyperlink w:anchor="latin-record-0352">
        <w:r>
          <w:rPr>
            <w:color w:val="000000"/>
          </w:rPr>
          <w:t xml:space="preserve">ducere / deducere / trahere</w:t>
        </w:r>
      </w:hyperlink>
      <w:r>
        <w:rPr>
          <w:b w:val="0"/>
          <w:i w:val="0"/>
        </w:rPr>
        <w:t>.</w:t>
      </w:r>
    </w:p>
    <w:p>
      <w:pPr>
        <w:widowControl/>
      </w:pPr>
      <w:r>
        <w:rPr>
          <w:b/>
          <w:i w:val="0"/>
        </w:rPr>
        <w:t>ducitur.</w:t>
      </w:r>
      <w:r>
        <w:rPr>
          <w:b w:val="0"/>
          <w:i w:val="0"/>
        </w:rPr>
        <w:t xml:space="preserve"> </w:t>
      </w:r>
      <w:hyperlink w:anchor="latin-record-1062">
        <w:r>
          <w:rPr>
            <w:color w:val="000000"/>
          </w:rPr>
          <w:t xml:space="preserve">roboro / duco</w:t>
        </w:r>
      </w:hyperlink>
      <w:r>
        <w:rPr>
          <w:b w:val="0"/>
          <w:i w:val="0"/>
        </w:rPr>
        <w:t>.</w:t>
      </w:r>
    </w:p>
    <w:p>
      <w:pPr>
        <w:widowControl/>
      </w:pPr>
      <w:r>
        <w:rPr>
          <w:b/>
          <w:i w:val="0"/>
        </w:rPr>
        <w:t>dulcedo.</w:t>
      </w:r>
      <w:r>
        <w:rPr>
          <w:b w:val="0"/>
          <w:i w:val="0"/>
        </w:rPr>
        <w:t xml:space="preserve"> </w:t>
      </w:r>
      <w:hyperlink w:anchor="latin-record-0353">
        <w:r>
          <w:rPr>
            <w:color w:val="000000"/>
          </w:rPr>
          <w:t xml:space="preserve">dulcedo / odor / flavus</w:t>
        </w:r>
      </w:hyperlink>
      <w:r>
        <w:rPr>
          <w:b w:val="0"/>
          <w:i w:val="0"/>
        </w:rPr>
        <w:t>.</w:t>
      </w:r>
    </w:p>
    <w:p>
      <w:pPr>
        <w:widowControl/>
      </w:pPr>
      <w:r>
        <w:rPr>
          <w:b/>
          <w:i w:val="0"/>
        </w:rPr>
        <w:t>dulcis.</w:t>
      </w:r>
      <w:r>
        <w:rPr>
          <w:b w:val="0"/>
          <w:i w:val="0"/>
        </w:rPr>
        <w:t xml:space="preserve"> </w:t>
      </w:r>
      <w:hyperlink w:anchor="latin-record-0353">
        <w:r>
          <w:rPr>
            <w:color w:val="000000"/>
          </w:rPr>
          <w:t xml:space="preserve">dulcedo / odor / flavus</w:t>
        </w:r>
      </w:hyperlink>
      <w:r>
        <w:rPr>
          <w:b w:val="0"/>
          <w:i w:val="0"/>
        </w:rPr>
        <w:t>.</w:t>
      </w:r>
    </w:p>
    <w:p>
      <w:pPr>
        <w:widowControl/>
      </w:pPr>
      <w:r>
        <w:rPr>
          <w:b/>
          <w:i w:val="0"/>
        </w:rPr>
        <w:t>dumtaxat.</w:t>
      </w:r>
      <w:r>
        <w:rPr>
          <w:b w:val="0"/>
          <w:i w:val="0"/>
        </w:rPr>
        <w:t xml:space="preserve"> </w:t>
      </w:r>
      <w:hyperlink w:anchor="latin-record-0354">
        <w:r>
          <w:rPr>
            <w:color w:val="000000"/>
          </w:rPr>
          <w:t xml:space="preserve">dumtaxat</w:t>
        </w:r>
      </w:hyperlink>
      <w:r>
        <w:rPr>
          <w:b w:val="0"/>
          <w:i w:val="0"/>
        </w:rPr>
        <w:t>.</w:t>
      </w:r>
    </w:p>
    <w:p>
      <w:pPr>
        <w:widowControl/>
      </w:pPr>
      <w:r>
        <w:rPr>
          <w:b/>
          <w:i w:val="0"/>
        </w:rPr>
        <w:t>duodenario.</w:t>
      </w:r>
      <w:r>
        <w:rPr>
          <w:b w:val="0"/>
          <w:i w:val="0"/>
        </w:rPr>
        <w:t xml:space="preserve"> </w:t>
      </w:r>
      <w:hyperlink w:anchor="latin-record-1197">
        <w:r>
          <w:rPr>
            <w:color w:val="000000"/>
          </w:rPr>
          <w:t xml:space="preserve">ternarius / novenarius / septenarius / duodenarius</w:t>
        </w:r>
      </w:hyperlink>
      <w:r>
        <w:rPr>
          <w:b w:val="0"/>
          <w:i w:val="0"/>
        </w:rPr>
        <w:t>.</w:t>
      </w:r>
    </w:p>
    <w:p>
      <w:pPr>
        <w:widowControl/>
      </w:pPr>
      <w:r>
        <w:rPr>
          <w:b/>
          <w:i w:val="0"/>
        </w:rPr>
        <w:t>duodenarium.</w:t>
      </w:r>
      <w:r>
        <w:rPr>
          <w:b w:val="0"/>
          <w:i w:val="0"/>
        </w:rPr>
        <w:t xml:space="preserve"> </w:t>
      </w:r>
      <w:hyperlink w:anchor="latin-record-1197">
        <w:r>
          <w:rPr>
            <w:color w:val="000000"/>
          </w:rPr>
          <w:t xml:space="preserve">ternarius / novenarius / septenarius / duodenarius</w:t>
        </w:r>
      </w:hyperlink>
      <w:r>
        <w:rPr>
          <w:b w:val="0"/>
          <w:i w:val="0"/>
        </w:rPr>
        <w:t>.</w:t>
      </w:r>
    </w:p>
    <w:p>
      <w:pPr>
        <w:widowControl/>
      </w:pPr>
      <w:r>
        <w:rPr>
          <w:b/>
          <w:i w:val="0"/>
        </w:rPr>
        <w:t>durationem.</w:t>
      </w:r>
      <w:r>
        <w:rPr>
          <w:b w:val="0"/>
          <w:i w:val="0"/>
        </w:rPr>
        <w:t xml:space="preserve"> </w:t>
      </w:r>
      <w:hyperlink w:anchor="latin-record-1067">
        <w:r>
          <w:rPr>
            <w:color w:val="000000"/>
          </w:rPr>
          <w:t xml:space="preserve">saeculum / duratio</w:t>
        </w:r>
      </w:hyperlink>
      <w:r>
        <w:rPr>
          <w:b w:val="0"/>
          <w:i w:val="0"/>
        </w:rPr>
        <w:t>.</w:t>
      </w:r>
    </w:p>
    <w:p>
      <w:pPr>
        <w:widowControl/>
      </w:pPr>
      <w:r>
        <w:rPr>
          <w:b/>
          <w:i w:val="0"/>
        </w:rPr>
        <w:t>durationemque.</w:t>
      </w:r>
      <w:r>
        <w:rPr>
          <w:b w:val="0"/>
          <w:i w:val="0"/>
        </w:rPr>
        <w:t xml:space="preserve"> </w:t>
      </w:r>
      <w:hyperlink w:anchor="latin-record-1067">
        <w:r>
          <w:rPr>
            <w:color w:val="000000"/>
          </w:rPr>
          <w:t xml:space="preserve">saeculum / duratio</w:t>
        </w:r>
      </w:hyperlink>
      <w:r>
        <w:rPr>
          <w:b w:val="0"/>
          <w:i w:val="0"/>
        </w:rPr>
        <w:t>.</w:t>
      </w:r>
    </w:p>
    <w:p>
      <w:pPr>
        <w:widowControl/>
      </w:pPr>
      <w:r>
        <w:rPr>
          <w:b/>
          <w:i w:val="0"/>
        </w:rPr>
        <w:t>dux.</w:t>
      </w:r>
      <w:r>
        <w:rPr>
          <w:b w:val="0"/>
          <w:i w:val="0"/>
        </w:rPr>
        <w:t xml:space="preserve"> </w:t>
      </w:r>
      <w:hyperlink w:anchor="latin-record-0399">
        <w:r>
          <w:rPr>
            <w:color w:val="000000"/>
          </w:rPr>
          <w:t xml:space="preserve">exercitus / dux</w:t>
        </w:r>
      </w:hyperlink>
      <w:r>
        <w:rPr>
          <w:b w:val="0"/>
          <w:i w:val="0"/>
        </w:rPr>
        <w:t>.</w:t>
      </w:r>
    </w:p>
    <w:p>
      <w:pPr>
        <w:widowControl/>
      </w:pPr>
      <w:r>
        <w:rPr>
          <w:b/>
          <w:i w:val="0"/>
        </w:rPr>
        <w:t>e converso.</w:t>
      </w:r>
      <w:r>
        <w:rPr>
          <w:b w:val="0"/>
          <w:i w:val="0"/>
        </w:rPr>
        <w:t xml:space="preserve"> </w:t>
      </w:r>
      <w:hyperlink w:anchor="latin-record-1171">
        <w:r>
          <w:rPr>
            <w:color w:val="000000"/>
          </w:rPr>
          <w:t xml:space="preserve">superare / e converso</w:t>
        </w:r>
      </w:hyperlink>
      <w:r>
        <w:rPr>
          <w:b w:val="0"/>
          <w:i w:val="0"/>
        </w:rPr>
        <w:t>.</w:t>
      </w:r>
    </w:p>
    <w:p>
      <w:pPr>
        <w:widowControl/>
      </w:pPr>
      <w:r>
        <w:rPr>
          <w:b/>
          <w:i w:val="0"/>
        </w:rPr>
        <w:t>e regione.</w:t>
      </w:r>
      <w:r>
        <w:rPr>
          <w:b w:val="0"/>
          <w:i w:val="0"/>
        </w:rPr>
        <w:t xml:space="preserve"> </w:t>
      </w:r>
      <w:hyperlink w:anchor="latin-record-0356">
        <w:r>
          <w:rPr>
            <w:color w:val="000000"/>
          </w:rPr>
          <w:t xml:space="preserve">e regione / suscipere</w:t>
        </w:r>
      </w:hyperlink>
      <w:r>
        <w:rPr>
          <w:b w:val="0"/>
          <w:i w:val="0"/>
        </w:rPr>
        <w:t>.</w:t>
      </w:r>
    </w:p>
    <w:p>
      <w:pPr>
        <w:widowControl/>
      </w:pPr>
      <w:r>
        <w:rPr>
          <w:b/>
          <w:i w:val="0"/>
        </w:rPr>
        <w:t>eatenus.</w:t>
      </w:r>
      <w:r>
        <w:rPr>
          <w:b w:val="0"/>
          <w:i w:val="0"/>
        </w:rPr>
        <w:t xml:space="preserve"> </w:t>
      </w:r>
      <w:hyperlink w:anchor="latin-record-1008">
        <w:r>
          <w:rPr>
            <w:color w:val="000000"/>
          </w:rPr>
          <w:t xml:space="preserve">quantum / quatenus / eatenus</w:t>
        </w:r>
      </w:hyperlink>
      <w:r>
        <w:rPr>
          <w:b w:val="0"/>
          <w:i w:val="0"/>
        </w:rPr>
        <w:t>.</w:t>
      </w:r>
    </w:p>
    <w:p>
      <w:pPr>
        <w:widowControl/>
      </w:pPr>
      <w:r>
        <w:rPr>
          <w:b/>
          <w:i w:val="0"/>
        </w:rPr>
        <w:t>ebriae.</w:t>
      </w:r>
      <w:r>
        <w:rPr>
          <w:b w:val="0"/>
          <w:i w:val="0"/>
        </w:rPr>
        <w:t xml:space="preserve"> </w:t>
      </w:r>
      <w:hyperlink w:anchor="latin-record-0752">
        <w:r>
          <w:rPr>
            <w:color w:val="000000"/>
          </w:rPr>
          <w:t xml:space="preserve">nectar / ebrius / debacchari</w:t>
        </w:r>
      </w:hyperlink>
      <w:r>
        <w:rPr>
          <w:b w:val="0"/>
          <w:i w:val="0"/>
        </w:rPr>
        <w:t>.</w:t>
      </w:r>
    </w:p>
    <w:p>
      <w:pPr>
        <w:widowControl/>
      </w:pPr>
      <w:r>
        <w:rPr>
          <w:b/>
          <w:i w:val="0"/>
        </w:rPr>
        <w:t>eclipsim.</w:t>
      </w:r>
      <w:r>
        <w:rPr>
          <w:b w:val="0"/>
          <w:i w:val="0"/>
        </w:rPr>
        <w:t xml:space="preserve"> </w:t>
      </w:r>
      <w:hyperlink w:anchor="latin-record-0357">
        <w:r>
          <w:rPr>
            <w:color w:val="000000"/>
          </w:rPr>
          <w:t xml:space="preserve">eclipsis / nox / momentum</w:t>
        </w:r>
      </w:hyperlink>
      <w:r>
        <w:rPr>
          <w:b w:val="0"/>
          <w:i w:val="0"/>
        </w:rPr>
        <w:t>.</w:t>
      </w:r>
    </w:p>
    <w:p>
      <w:pPr>
        <w:widowControl/>
      </w:pPr>
      <w:r>
        <w:rPr>
          <w:b/>
          <w:i w:val="0"/>
        </w:rPr>
        <w:t>edat.</w:t>
      </w:r>
      <w:r>
        <w:rPr>
          <w:b w:val="0"/>
          <w:i w:val="0"/>
        </w:rPr>
        <w:t xml:space="preserve"> </w:t>
      </w:r>
      <w:hyperlink w:anchor="latin-record-0408">
        <w:r>
          <w:rPr>
            <w:color w:val="000000"/>
          </w:rPr>
          <w:t xml:space="preserve">experiri / edere</w:t>
        </w:r>
      </w:hyperlink>
      <w:r>
        <w:rPr>
          <w:b w:val="0"/>
          <w:i w:val="0"/>
        </w:rPr>
        <w:t>.</w:t>
      </w:r>
    </w:p>
    <w:p>
      <w:pPr>
        <w:widowControl/>
      </w:pPr>
      <w:r>
        <w:rPr>
          <w:b/>
          <w:i w:val="0"/>
        </w:rPr>
        <w:t>edit.</w:t>
      </w:r>
      <w:r>
        <w:rPr>
          <w:b w:val="0"/>
          <w:i w:val="0"/>
        </w:rPr>
        <w:t xml:space="preserve"> </w:t>
      </w:r>
      <w:hyperlink w:anchor="latin-record-0358">
        <w:r>
          <w:rPr>
            <w:color w:val="000000"/>
          </w:rPr>
          <w:t xml:space="preserve">edere / servare / conservare</w:t>
        </w:r>
      </w:hyperlink>
      <w:r>
        <w:rPr>
          <w:b w:val="0"/>
          <w:i w:val="0"/>
        </w:rPr>
        <w:t>.</w:t>
      </w:r>
    </w:p>
    <w:p>
      <w:pPr>
        <w:widowControl/>
      </w:pPr>
      <w:r>
        <w:rPr>
          <w:b/>
          <w:i w:val="0"/>
        </w:rPr>
        <w:t>editurus.</w:t>
      </w:r>
      <w:r>
        <w:rPr>
          <w:b w:val="0"/>
          <w:i w:val="0"/>
        </w:rPr>
        <w:t xml:space="preserve"> </w:t>
      </w:r>
      <w:hyperlink w:anchor="latin-record-0090">
        <w:r>
          <w:rPr>
            <w:color w:val="000000"/>
          </w:rPr>
          <w:t xml:space="preserve">arcana / edo</w:t>
        </w:r>
      </w:hyperlink>
      <w:r>
        <w:rPr>
          <w:b w:val="0"/>
          <w:i w:val="0"/>
        </w:rPr>
        <w:t>.</w:t>
      </w:r>
    </w:p>
    <w:p>
      <w:pPr>
        <w:widowControl/>
      </w:pPr>
      <w:r>
        <w:rPr>
          <w:b/>
          <w:i w:val="0"/>
        </w:rPr>
        <w:t>educavissent.</w:t>
      </w:r>
      <w:r>
        <w:rPr>
          <w:b w:val="0"/>
          <w:i w:val="0"/>
        </w:rPr>
        <w:t xml:space="preserve"> </w:t>
      </w:r>
      <w:hyperlink w:anchor="latin-record-0359">
        <w:r>
          <w:rPr>
            <w:color w:val="000000"/>
          </w:rPr>
          <w:t xml:space="preserve">educare / spectaculum</w:t>
        </w:r>
      </w:hyperlink>
      <w:r>
        <w:rPr>
          <w:b w:val="0"/>
          <w:i w:val="0"/>
        </w:rPr>
        <w:t>.</w:t>
      </w:r>
    </w:p>
    <w:p>
      <w:pPr>
        <w:widowControl/>
      </w:pPr>
      <w:r>
        <w:rPr>
          <w:b/>
          <w:i w:val="0"/>
        </w:rPr>
        <w:t>educit.</w:t>
      </w:r>
      <w:r>
        <w:rPr>
          <w:b w:val="0"/>
          <w:i w:val="0"/>
        </w:rPr>
        <w:t xml:space="preserve"> </w:t>
      </w:r>
      <w:hyperlink w:anchor="latin-record-0377">
        <w:r>
          <w:rPr>
            <w:color w:val="000000"/>
          </w:rPr>
          <w:t xml:space="preserve">eruere / educere</w:t>
        </w:r>
      </w:hyperlink>
      <w:r>
        <w:rPr>
          <w:b w:val="0"/>
          <w:i w:val="0"/>
        </w:rPr>
        <w:t>.</w:t>
      </w:r>
    </w:p>
    <w:p>
      <w:pPr>
        <w:widowControl/>
      </w:pPr>
      <w:r>
        <w:rPr>
          <w:b/>
          <w:i w:val="0"/>
        </w:rPr>
        <w:t>effectibus.</w:t>
      </w:r>
      <w:r>
        <w:rPr>
          <w:b w:val="0"/>
          <w:i w:val="0"/>
        </w:rPr>
        <w:t xml:space="preserve"> </w:t>
      </w:r>
      <w:hyperlink w:anchor="latin-record-0153">
        <w:r>
          <w:rPr>
            <w:color w:val="000000"/>
          </w:rPr>
          <w:t xml:space="preserve">causa / effectus</w:t>
        </w:r>
      </w:hyperlink>
      <w:r>
        <w:rPr>
          <w:b w:val="0"/>
          <w:i w:val="0"/>
        </w:rPr>
        <w:t>.</w:t>
      </w:r>
    </w:p>
    <w:p>
      <w:pPr>
        <w:widowControl/>
      </w:pPr>
      <w:r>
        <w:rPr>
          <w:b/>
          <w:i w:val="0"/>
        </w:rPr>
        <w:t>effectrix.</w:t>
      </w:r>
      <w:r>
        <w:rPr>
          <w:b w:val="0"/>
          <w:i w:val="0"/>
        </w:rPr>
        <w:t xml:space="preserve"> </w:t>
      </w:r>
      <w:hyperlink w:anchor="latin-record-0360">
        <w:r>
          <w:rPr>
            <w:color w:val="000000"/>
          </w:rPr>
          <w:t xml:space="preserve">effectrix / machinatrix</w:t>
        </w:r>
      </w:hyperlink>
      <w:r>
        <w:rPr>
          <w:b w:val="0"/>
          <w:i w:val="0"/>
        </w:rPr>
        <w:t>.</w:t>
      </w:r>
    </w:p>
    <w:p>
      <w:pPr>
        <w:widowControl/>
      </w:pPr>
      <w:r>
        <w:rPr>
          <w:b/>
          <w:i w:val="0"/>
        </w:rPr>
        <w:t>effectrixque.</w:t>
      </w:r>
      <w:r>
        <w:rPr>
          <w:b w:val="0"/>
          <w:i w:val="0"/>
        </w:rPr>
        <w:t xml:space="preserve"> </w:t>
      </w:r>
      <w:hyperlink w:anchor="latin-record-0085">
        <w:r>
          <w:rPr>
            <w:color w:val="000000"/>
          </w:rPr>
          <w:t xml:space="preserve">appetibile / effectrix</w:t>
        </w:r>
      </w:hyperlink>
      <w:r>
        <w:rPr>
          <w:b w:val="0"/>
          <w:i w:val="0"/>
        </w:rPr>
        <w:t>.</w:t>
      </w:r>
    </w:p>
    <w:p>
      <w:pPr>
        <w:widowControl/>
      </w:pPr>
      <w:r>
        <w:rPr>
          <w:b/>
          <w:i w:val="0"/>
        </w:rPr>
        <w:t>effectu.</w:t>
      </w:r>
      <w:r>
        <w:rPr>
          <w:b w:val="0"/>
          <w:i w:val="0"/>
        </w:rPr>
        <w:t xml:space="preserve"> </w:t>
      </w:r>
      <w:hyperlink w:anchor="latin-record-0153">
        <w:r>
          <w:rPr>
            <w:color w:val="000000"/>
          </w:rPr>
          <w:t xml:space="preserve">causa / effectus</w:t>
        </w:r>
      </w:hyperlink>
      <w:r>
        <w:rPr>
          <w:b w:val="0"/>
          <w:i w:val="0"/>
        </w:rPr>
        <w:t>.</w:t>
      </w:r>
    </w:p>
    <w:p>
      <w:pPr>
        <w:widowControl/>
      </w:pPr>
      <w:r>
        <w:rPr>
          <w:b/>
          <w:i w:val="0"/>
        </w:rPr>
        <w:t>effectui.</w:t>
      </w:r>
      <w:r>
        <w:rPr>
          <w:b w:val="0"/>
          <w:i w:val="0"/>
        </w:rPr>
        <w:t xml:space="preserve"> </w:t>
      </w:r>
      <w:hyperlink w:anchor="latin-record-0153">
        <w:r>
          <w:rPr>
            <w:color w:val="000000"/>
          </w:rPr>
          <w:t xml:space="preserve">causa / effectus</w:t>
        </w:r>
      </w:hyperlink>
      <w:r>
        <w:rPr>
          <w:b w:val="0"/>
          <w:i w:val="0"/>
        </w:rPr>
        <w:t>.</w:t>
      </w:r>
    </w:p>
    <w:p>
      <w:pPr>
        <w:widowControl/>
      </w:pPr>
      <w:r>
        <w:rPr>
          <w:b/>
          <w:i w:val="0"/>
        </w:rPr>
        <w:t>Effectui.</w:t>
      </w:r>
      <w:r>
        <w:rPr>
          <w:b w:val="0"/>
          <w:i w:val="0"/>
        </w:rPr>
        <w:t xml:space="preserve"> </w:t>
      </w:r>
      <w:hyperlink w:anchor="latin-record-0361">
        <w:r>
          <w:rPr>
            <w:color w:val="000000"/>
          </w:rPr>
          <w:t xml:space="preserve">effectus / efficiens</w:t>
        </w:r>
      </w:hyperlink>
      <w:r>
        <w:rPr>
          <w:b w:val="0"/>
          <w:i w:val="0"/>
        </w:rPr>
        <w:t>.</w:t>
      </w:r>
    </w:p>
    <w:p>
      <w:pPr>
        <w:widowControl/>
      </w:pPr>
      <w:r>
        <w:rPr>
          <w:b/>
          <w:i w:val="0"/>
        </w:rPr>
        <w:t>effectum.</w:t>
      </w:r>
      <w:r>
        <w:rPr>
          <w:b w:val="0"/>
          <w:i w:val="0"/>
        </w:rPr>
        <w:t xml:space="preserve"> </w:t>
      </w:r>
      <w:hyperlink w:anchor="latin-record-0153">
        <w:r>
          <w:rPr>
            <w:color w:val="000000"/>
          </w:rPr>
          <w:t xml:space="preserve">causa / effectus</w:t>
        </w:r>
      </w:hyperlink>
      <w:r>
        <w:rPr>
          <w:b w:val="0"/>
          <w:i w:val="0"/>
        </w:rPr>
        <w:t>.</w:t>
      </w:r>
    </w:p>
    <w:p>
      <w:pPr>
        <w:widowControl/>
      </w:pPr>
      <w:r>
        <w:rPr>
          <w:b/>
          <w:i w:val="0"/>
        </w:rPr>
        <w:t>effectus.</w:t>
      </w:r>
      <w:r>
        <w:rPr>
          <w:b w:val="0"/>
          <w:i w:val="0"/>
        </w:rPr>
        <w:t xml:space="preserve"> </w:t>
      </w:r>
      <w:hyperlink w:anchor="latin-record-0153">
        <w:r>
          <w:rPr>
            <w:color w:val="000000"/>
          </w:rPr>
          <w:t xml:space="preserve">causa / effectus</w:t>
        </w:r>
      </w:hyperlink>
      <w:r>
        <w:rPr>
          <w:b w:val="0"/>
          <w:i w:val="0"/>
        </w:rPr>
        <w:t xml:space="preserve">; </w:t>
      </w:r>
      <w:hyperlink w:anchor="latin-record-0361">
        <w:r>
          <w:rPr>
            <w:color w:val="000000"/>
          </w:rPr>
          <w:t xml:space="preserve">effectus / efficiens</w:t>
        </w:r>
      </w:hyperlink>
      <w:r>
        <w:rPr>
          <w:b w:val="0"/>
          <w:i w:val="0"/>
        </w:rPr>
        <w:t>.</w:t>
      </w:r>
    </w:p>
    <w:p>
      <w:pPr>
        <w:widowControl/>
      </w:pPr>
      <w:r>
        <w:rPr>
          <w:b/>
          <w:i w:val="0"/>
        </w:rPr>
        <w:t>effectuum.</w:t>
      </w:r>
      <w:r>
        <w:rPr>
          <w:b w:val="0"/>
          <w:i w:val="0"/>
        </w:rPr>
        <w:t xml:space="preserve"> </w:t>
      </w:r>
      <w:hyperlink w:anchor="latin-record-0153">
        <w:r>
          <w:rPr>
            <w:color w:val="000000"/>
          </w:rPr>
          <w:t xml:space="preserve">causa / effectus</w:t>
        </w:r>
      </w:hyperlink>
      <w:r>
        <w:rPr>
          <w:b w:val="0"/>
          <w:i w:val="0"/>
        </w:rPr>
        <w:t>.</w:t>
      </w:r>
    </w:p>
    <w:p>
      <w:pPr>
        <w:widowControl/>
      </w:pPr>
      <w:r>
        <w:rPr>
          <w:b/>
          <w:i w:val="0"/>
        </w:rPr>
        <w:t>efficacem.</w:t>
      </w:r>
      <w:r>
        <w:rPr>
          <w:b w:val="0"/>
          <w:i w:val="0"/>
        </w:rPr>
        <w:t xml:space="preserve"> </w:t>
      </w:r>
      <w:hyperlink w:anchor="latin-record-0363">
        <w:r>
          <w:rPr>
            <w:color w:val="000000"/>
          </w:rPr>
          <w:t xml:space="preserve">efficax / efficacia</w:t>
        </w:r>
      </w:hyperlink>
      <w:r>
        <w:rPr>
          <w:b w:val="0"/>
          <w:i w:val="0"/>
        </w:rPr>
        <w:t>.</w:t>
      </w:r>
    </w:p>
    <w:p>
      <w:pPr>
        <w:widowControl/>
      </w:pPr>
      <w:r>
        <w:rPr>
          <w:b/>
          <w:i w:val="0"/>
        </w:rPr>
        <w:t>efficacia.</w:t>
      </w:r>
      <w:r>
        <w:rPr>
          <w:b w:val="0"/>
          <w:i w:val="0"/>
        </w:rPr>
        <w:t xml:space="preserve"> </w:t>
      </w:r>
      <w:hyperlink w:anchor="latin-record-0363">
        <w:r>
          <w:rPr>
            <w:color w:val="000000"/>
          </w:rPr>
          <w:t xml:space="preserve">efficax / efficacia</w:t>
        </w:r>
      </w:hyperlink>
      <w:r>
        <w:rPr>
          <w:b w:val="0"/>
          <w:i w:val="0"/>
        </w:rPr>
        <w:t xml:space="preserve">; </w:t>
      </w:r>
      <w:hyperlink w:anchor="latin-record-0941">
        <w:r>
          <w:rPr>
            <w:color w:val="000000"/>
          </w:rPr>
          <w:t xml:space="preserve">proclivitas / efficacia</w:t>
        </w:r>
      </w:hyperlink>
      <w:r>
        <w:rPr>
          <w:b w:val="0"/>
          <w:i w:val="0"/>
        </w:rPr>
        <w:t>.</w:t>
      </w:r>
    </w:p>
    <w:p>
      <w:pPr>
        <w:widowControl/>
      </w:pPr>
      <w:r>
        <w:rPr>
          <w:b/>
          <w:i w:val="0"/>
        </w:rPr>
        <w:t>efficacior.</w:t>
      </w:r>
      <w:r>
        <w:rPr>
          <w:b w:val="0"/>
          <w:i w:val="0"/>
        </w:rPr>
        <w:t xml:space="preserve"> </w:t>
      </w:r>
      <w:hyperlink w:anchor="latin-record-0362">
        <w:r>
          <w:rPr>
            <w:color w:val="000000"/>
          </w:rPr>
          <w:t xml:space="preserve">efficax</w:t>
        </w:r>
      </w:hyperlink>
      <w:r>
        <w:rPr>
          <w:b w:val="0"/>
          <w:i w:val="0"/>
        </w:rPr>
        <w:t xml:space="preserve">; </w:t>
      </w:r>
      <w:hyperlink w:anchor="latin-record-0364">
        <w:r>
          <w:rPr>
            <w:color w:val="000000"/>
          </w:rPr>
          <w:t xml:space="preserve">efficax / validus</w:t>
        </w:r>
      </w:hyperlink>
      <w:r>
        <w:rPr>
          <w:b w:val="0"/>
          <w:i w:val="0"/>
        </w:rPr>
        <w:t>.</w:t>
      </w:r>
    </w:p>
    <w:p>
      <w:pPr>
        <w:widowControl/>
      </w:pPr>
      <w:r>
        <w:rPr>
          <w:b/>
          <w:i w:val="0"/>
        </w:rPr>
        <w:t>efficacissimam.</w:t>
      </w:r>
      <w:r>
        <w:rPr>
          <w:b w:val="0"/>
          <w:i w:val="0"/>
        </w:rPr>
        <w:t xml:space="preserve"> </w:t>
      </w:r>
      <w:hyperlink w:anchor="latin-record-0362">
        <w:r>
          <w:rPr>
            <w:color w:val="000000"/>
          </w:rPr>
          <w:t xml:space="preserve">efficax</w:t>
        </w:r>
      </w:hyperlink>
      <w:r>
        <w:rPr>
          <w:b w:val="0"/>
          <w:i w:val="0"/>
        </w:rPr>
        <w:t>.</w:t>
      </w:r>
    </w:p>
    <w:p>
      <w:pPr>
        <w:widowControl/>
      </w:pPr>
      <w:r>
        <w:rPr>
          <w:b/>
          <w:i w:val="0"/>
        </w:rPr>
        <w:t>efficacissimus.</w:t>
      </w:r>
      <w:r>
        <w:rPr>
          <w:b w:val="0"/>
          <w:i w:val="0"/>
        </w:rPr>
        <w:t xml:space="preserve"> </w:t>
      </w:r>
      <w:hyperlink w:anchor="latin-record-0363">
        <w:r>
          <w:rPr>
            <w:color w:val="000000"/>
          </w:rPr>
          <w:t xml:space="preserve">efficax / efficacia</w:t>
        </w:r>
      </w:hyperlink>
      <w:r>
        <w:rPr>
          <w:b w:val="0"/>
          <w:i w:val="0"/>
        </w:rPr>
        <w:t>.</w:t>
      </w:r>
    </w:p>
    <w:p>
      <w:pPr>
        <w:widowControl/>
      </w:pPr>
      <w:r>
        <w:rPr>
          <w:b/>
          <w:i w:val="0"/>
        </w:rPr>
        <w:t>efficax.</w:t>
      </w:r>
      <w:r>
        <w:rPr>
          <w:b w:val="0"/>
          <w:i w:val="0"/>
        </w:rPr>
        <w:t xml:space="preserve"> </w:t>
      </w:r>
      <w:hyperlink w:anchor="latin-record-0362">
        <w:r>
          <w:rPr>
            <w:color w:val="000000"/>
          </w:rPr>
          <w:t xml:space="preserve">efficax</w:t>
        </w:r>
      </w:hyperlink>
      <w:r>
        <w:rPr>
          <w:b w:val="0"/>
          <w:i w:val="0"/>
        </w:rPr>
        <w:t xml:space="preserve">; </w:t>
      </w:r>
      <w:hyperlink w:anchor="latin-record-0363">
        <w:r>
          <w:rPr>
            <w:color w:val="000000"/>
          </w:rPr>
          <w:t xml:space="preserve">efficax / efficacia</w:t>
        </w:r>
      </w:hyperlink>
      <w:r>
        <w:rPr>
          <w:b w:val="0"/>
          <w:i w:val="0"/>
        </w:rPr>
        <w:t xml:space="preserve">; </w:t>
      </w:r>
      <w:hyperlink w:anchor="latin-record-0364">
        <w:r>
          <w:rPr>
            <w:color w:val="000000"/>
          </w:rPr>
          <w:t xml:space="preserve">efficax / validus</w:t>
        </w:r>
      </w:hyperlink>
      <w:r>
        <w:rPr>
          <w:b w:val="0"/>
          <w:i w:val="0"/>
        </w:rPr>
        <w:t>.</w:t>
      </w:r>
    </w:p>
    <w:p>
      <w:pPr>
        <w:widowControl/>
      </w:pPr>
      <w:r>
        <w:rPr>
          <w:b/>
          <w:i w:val="0"/>
        </w:rPr>
        <w:t>efficere.</w:t>
      </w:r>
      <w:r>
        <w:rPr>
          <w:b w:val="0"/>
          <w:i w:val="0"/>
        </w:rPr>
        <w:t xml:space="preserve"> </w:t>
      </w:r>
      <w:hyperlink w:anchor="latin-record-0858">
        <w:r>
          <w:rPr>
            <w:color w:val="000000"/>
          </w:rPr>
          <w:t xml:space="preserve">perficere / efficere</w:t>
        </w:r>
      </w:hyperlink>
      <w:r>
        <w:rPr>
          <w:b w:val="0"/>
          <w:i w:val="0"/>
        </w:rPr>
        <w:t>.</w:t>
      </w:r>
    </w:p>
    <w:p>
      <w:pPr>
        <w:widowControl/>
      </w:pPr>
      <w:r>
        <w:rPr>
          <w:b/>
          <w:i w:val="0"/>
        </w:rPr>
        <w:t>efficiens.</w:t>
      </w:r>
      <w:r>
        <w:rPr>
          <w:b w:val="0"/>
          <w:i w:val="0"/>
        </w:rPr>
        <w:t xml:space="preserve"> </w:t>
      </w:r>
      <w:hyperlink w:anchor="latin-record-0361">
        <w:r>
          <w:rPr>
            <w:color w:val="000000"/>
          </w:rPr>
          <w:t xml:space="preserve">effectus / efficiens</w:t>
        </w:r>
      </w:hyperlink>
      <w:r>
        <w:rPr>
          <w:b w:val="0"/>
          <w:i w:val="0"/>
        </w:rPr>
        <w:t>.</w:t>
      </w:r>
    </w:p>
    <w:p>
      <w:pPr>
        <w:widowControl/>
      </w:pPr>
      <w:r>
        <w:rPr>
          <w:b/>
          <w:i w:val="0"/>
        </w:rPr>
        <w:t>efficit.</w:t>
      </w:r>
      <w:r>
        <w:rPr>
          <w:b w:val="0"/>
          <w:i w:val="0"/>
        </w:rPr>
        <w:t xml:space="preserve"> </w:t>
      </w:r>
      <w:hyperlink w:anchor="latin-record-0858">
        <w:r>
          <w:rPr>
            <w:color w:val="000000"/>
          </w:rPr>
          <w:t xml:space="preserve">perficere / efficere</w:t>
        </w:r>
      </w:hyperlink>
      <w:r>
        <w:rPr>
          <w:b w:val="0"/>
          <w:i w:val="0"/>
        </w:rPr>
        <w:t>.</w:t>
      </w:r>
    </w:p>
    <w:p>
      <w:pPr>
        <w:widowControl/>
      </w:pPr>
      <w:r>
        <w:rPr>
          <w:b/>
          <w:i w:val="0"/>
        </w:rPr>
        <w:t>efficiuntur.</w:t>
      </w:r>
      <w:r>
        <w:rPr>
          <w:b w:val="0"/>
          <w:i w:val="0"/>
        </w:rPr>
        <w:t xml:space="preserve"> </w:t>
      </w:r>
      <w:hyperlink w:anchor="latin-record-0858">
        <w:r>
          <w:rPr>
            <w:color w:val="000000"/>
          </w:rPr>
          <w:t xml:space="preserve">perficere / efficere</w:t>
        </w:r>
      </w:hyperlink>
      <w:r>
        <w:rPr>
          <w:b w:val="0"/>
          <w:i w:val="0"/>
        </w:rPr>
        <w:t>.</w:t>
      </w:r>
    </w:p>
    <w:p>
      <w:pPr>
        <w:widowControl/>
      </w:pPr>
      <w:r>
        <w:rPr>
          <w:b/>
          <w:i w:val="0"/>
        </w:rPr>
        <w:t>effingi.</w:t>
      </w:r>
      <w:r>
        <w:rPr>
          <w:b w:val="0"/>
          <w:i w:val="0"/>
        </w:rPr>
        <w:t xml:space="preserve"> </w:t>
      </w:r>
      <w:hyperlink w:anchor="latin-record-0175">
        <w:r>
          <w:rPr>
            <w:color w:val="000000"/>
          </w:rPr>
          <w:t xml:space="preserve">cogitare / fingere / effingere</w:t>
        </w:r>
      </w:hyperlink>
      <w:r>
        <w:rPr>
          <w:b w:val="0"/>
          <w:i w:val="0"/>
        </w:rPr>
        <w:t xml:space="preserve">; </w:t>
      </w:r>
      <w:hyperlink w:anchor="latin-record-0365">
        <w:r>
          <w:rPr>
            <w:color w:val="000000"/>
          </w:rPr>
          <w:t xml:space="preserve">effingere</w:t>
        </w:r>
      </w:hyperlink>
      <w:r>
        <w:rPr>
          <w:b w:val="0"/>
          <w:i w:val="0"/>
        </w:rPr>
        <w:t>.</w:t>
      </w:r>
    </w:p>
    <w:p>
      <w:pPr>
        <w:widowControl/>
      </w:pPr>
      <w:r>
        <w:rPr>
          <w:b/>
          <w:i w:val="0"/>
        </w:rPr>
        <w:t>effinguntur.</w:t>
      </w:r>
      <w:r>
        <w:rPr>
          <w:b w:val="0"/>
          <w:i w:val="0"/>
        </w:rPr>
        <w:t xml:space="preserve"> </w:t>
      </w:r>
      <w:hyperlink w:anchor="latin-record-0365">
        <w:r>
          <w:rPr>
            <w:color w:val="000000"/>
          </w:rPr>
          <w:t xml:space="preserve">effingere</w:t>
        </w:r>
      </w:hyperlink>
      <w:r>
        <w:rPr>
          <w:b w:val="0"/>
          <w:i w:val="0"/>
        </w:rPr>
        <w:t>.</w:t>
      </w:r>
    </w:p>
    <w:p>
      <w:pPr>
        <w:widowControl/>
      </w:pPr>
      <w:r>
        <w:rPr>
          <w:b/>
          <w:i w:val="0"/>
        </w:rPr>
        <w:t>effluit.</w:t>
      </w:r>
      <w:r>
        <w:rPr>
          <w:b w:val="0"/>
          <w:i w:val="0"/>
        </w:rPr>
        <w:t xml:space="preserve"> </w:t>
      </w:r>
      <w:hyperlink w:anchor="latin-record-0456">
        <w:r>
          <w:rPr>
            <w:color w:val="000000"/>
          </w:rPr>
          <w:t xml:space="preserve">fluere</w:t>
        </w:r>
      </w:hyperlink>
      <w:r>
        <w:rPr>
          <w:b w:val="0"/>
          <w:i w:val="0"/>
        </w:rPr>
        <w:t>.</w:t>
      </w:r>
    </w:p>
    <w:p>
      <w:pPr>
        <w:widowControl/>
      </w:pPr>
      <w:r>
        <w:rPr>
          <w:b/>
          <w:i w:val="0"/>
        </w:rPr>
        <w:t>effluxus.</w:t>
      </w:r>
      <w:r>
        <w:rPr>
          <w:b w:val="0"/>
          <w:i w:val="0"/>
        </w:rPr>
        <w:t xml:space="preserve"> </w:t>
      </w:r>
      <w:hyperlink w:anchor="latin-record-0457">
        <w:r>
          <w:rPr>
            <w:color w:val="000000"/>
          </w:rPr>
          <w:t xml:space="preserve">fluere / fluitare / fluxus</w:t>
        </w:r>
      </w:hyperlink>
      <w:r>
        <w:rPr>
          <w:b w:val="0"/>
          <w:i w:val="0"/>
        </w:rPr>
        <w:t>.</w:t>
      </w:r>
    </w:p>
    <w:p>
      <w:pPr>
        <w:widowControl/>
      </w:pPr>
      <w:r>
        <w:rPr>
          <w:b/>
          <w:i w:val="0"/>
        </w:rPr>
        <w:t>effugiat.</w:t>
      </w:r>
      <w:r>
        <w:rPr>
          <w:b w:val="0"/>
          <w:i w:val="0"/>
        </w:rPr>
        <w:t xml:space="preserve"> </w:t>
      </w:r>
      <w:hyperlink w:anchor="latin-record-0922">
        <w:r>
          <w:rPr>
            <w:color w:val="000000"/>
          </w:rPr>
          <w:t xml:space="preserve">praevaricari / effugere</w:t>
        </w:r>
      </w:hyperlink>
      <w:r>
        <w:rPr>
          <w:b w:val="0"/>
          <w:i w:val="0"/>
        </w:rPr>
        <w:t>.</w:t>
      </w:r>
    </w:p>
    <w:p>
      <w:pPr>
        <w:widowControl/>
      </w:pPr>
      <w:r>
        <w:rPr>
          <w:b/>
          <w:i w:val="0"/>
        </w:rPr>
        <w:t>egeat.</w:t>
      </w:r>
      <w:r>
        <w:rPr>
          <w:b w:val="0"/>
          <w:i w:val="0"/>
        </w:rPr>
        <w:t xml:space="preserve"> </w:t>
      </w:r>
      <w:hyperlink w:anchor="latin-record-0367">
        <w:r>
          <w:rPr>
            <w:color w:val="000000"/>
          </w:rPr>
          <w:t xml:space="preserve">egere / indigere</w:t>
        </w:r>
      </w:hyperlink>
      <w:r>
        <w:rPr>
          <w:b w:val="0"/>
          <w:i w:val="0"/>
        </w:rPr>
        <w:t>.</w:t>
      </w:r>
    </w:p>
    <w:p>
      <w:pPr>
        <w:widowControl/>
      </w:pPr>
      <w:r>
        <w:rPr>
          <w:b/>
          <w:i w:val="0"/>
        </w:rPr>
        <w:t>Egelias.</w:t>
      </w:r>
      <w:r>
        <w:rPr>
          <w:b w:val="0"/>
          <w:i w:val="0"/>
        </w:rPr>
        <w:t xml:space="preserve"> </w:t>
      </w:r>
      <w:hyperlink w:anchor="latin-record-0366">
        <w:r>
          <w:rPr>
            <w:color w:val="000000"/>
          </w:rPr>
          <w:t xml:space="preserve">Egelias / crinitae</w:t>
        </w:r>
      </w:hyperlink>
      <w:r>
        <w:rPr>
          <w:b w:val="0"/>
          <w:i w:val="0"/>
        </w:rPr>
        <w:t>.</w:t>
      </w:r>
    </w:p>
    <w:p>
      <w:pPr>
        <w:widowControl/>
      </w:pPr>
      <w:r>
        <w:rPr>
          <w:b/>
          <w:i w:val="0"/>
        </w:rPr>
        <w:t>egerit.</w:t>
      </w:r>
      <w:r>
        <w:rPr>
          <w:b w:val="0"/>
          <w:i w:val="0"/>
        </w:rPr>
        <w:t xml:space="preserve"> </w:t>
      </w:r>
      <w:hyperlink w:anchor="latin-record-0043">
        <w:r>
          <w:rPr>
            <w:color w:val="000000"/>
          </w:rPr>
          <w:t xml:space="preserve">agere: egerit</w:t>
        </w:r>
      </w:hyperlink>
      <w:r>
        <w:rPr>
          <w:b w:val="0"/>
          <w:i w:val="0"/>
        </w:rPr>
        <w:t>.</w:t>
      </w:r>
    </w:p>
    <w:p>
      <w:pPr>
        <w:widowControl/>
      </w:pPr>
      <w:r>
        <w:rPr>
          <w:b/>
          <w:i w:val="0"/>
        </w:rPr>
        <w:t>eget.</w:t>
      </w:r>
      <w:r>
        <w:rPr>
          <w:b w:val="0"/>
          <w:i w:val="0"/>
        </w:rPr>
        <w:t xml:space="preserve"> </w:t>
      </w:r>
      <w:hyperlink w:anchor="latin-record-0367">
        <w:r>
          <w:rPr>
            <w:color w:val="000000"/>
          </w:rPr>
          <w:t xml:space="preserve">egere / indigere</w:t>
        </w:r>
      </w:hyperlink>
      <w:r>
        <w:rPr>
          <w:b w:val="0"/>
          <w:i w:val="0"/>
        </w:rPr>
        <w:t>.</w:t>
      </w:r>
    </w:p>
    <w:p>
      <w:pPr>
        <w:widowControl/>
      </w:pPr>
      <w:r>
        <w:rPr>
          <w:b/>
          <w:i w:val="0"/>
        </w:rPr>
        <w:t>electio.</w:t>
      </w:r>
      <w:r>
        <w:rPr>
          <w:b w:val="0"/>
          <w:i w:val="0"/>
        </w:rPr>
        <w:t xml:space="preserve"> </w:t>
      </w:r>
      <w:hyperlink w:anchor="latin-record-0368">
        <w:r>
          <w:rPr>
            <w:color w:val="000000"/>
          </w:rPr>
          <w:t xml:space="preserve">electio / eligere</w:t>
        </w:r>
      </w:hyperlink>
      <w:r>
        <w:rPr>
          <w:b w:val="0"/>
          <w:i w:val="0"/>
        </w:rPr>
        <w:t>.</w:t>
      </w:r>
    </w:p>
    <w:p>
      <w:pPr>
        <w:widowControl/>
      </w:pPr>
      <w:r>
        <w:rPr>
          <w:b/>
          <w:i w:val="0"/>
        </w:rPr>
        <w:t>electione.</w:t>
      </w:r>
      <w:r>
        <w:rPr>
          <w:b w:val="0"/>
          <w:i w:val="0"/>
        </w:rPr>
        <w:t xml:space="preserve"> </w:t>
      </w:r>
      <w:hyperlink w:anchor="latin-record-0368">
        <w:r>
          <w:rPr>
            <w:color w:val="000000"/>
          </w:rPr>
          <w:t xml:space="preserve">electio / eligere</w:t>
        </w:r>
      </w:hyperlink>
      <w:r>
        <w:rPr>
          <w:b w:val="0"/>
          <w:i w:val="0"/>
        </w:rPr>
        <w:t>.</w:t>
      </w:r>
    </w:p>
    <w:p>
      <w:pPr>
        <w:widowControl/>
      </w:pPr>
      <w:r>
        <w:rPr>
          <w:b/>
          <w:i w:val="0"/>
        </w:rPr>
        <w:t>electionem.</w:t>
      </w:r>
      <w:r>
        <w:rPr>
          <w:b w:val="0"/>
          <w:i w:val="0"/>
        </w:rPr>
        <w:t xml:space="preserve"> </w:t>
      </w:r>
      <w:hyperlink w:anchor="latin-record-0368">
        <w:r>
          <w:rPr>
            <w:color w:val="000000"/>
          </w:rPr>
          <w:t xml:space="preserve">electio / eligere</w:t>
        </w:r>
      </w:hyperlink>
      <w:r>
        <w:rPr>
          <w:b w:val="0"/>
          <w:i w:val="0"/>
        </w:rPr>
        <w:t>.</w:t>
      </w:r>
    </w:p>
    <w:p>
      <w:pPr>
        <w:widowControl/>
      </w:pPr>
      <w:r>
        <w:rPr>
          <w:b/>
          <w:i w:val="0"/>
        </w:rPr>
        <w:t>electiones.</w:t>
      </w:r>
      <w:r>
        <w:rPr>
          <w:b w:val="0"/>
          <w:i w:val="0"/>
        </w:rPr>
        <w:t xml:space="preserve"> </w:t>
      </w:r>
      <w:hyperlink w:anchor="latin-record-0368">
        <w:r>
          <w:rPr>
            <w:color w:val="000000"/>
          </w:rPr>
          <w:t xml:space="preserve">electio / eligere</w:t>
        </w:r>
      </w:hyperlink>
      <w:r>
        <w:rPr>
          <w:b w:val="0"/>
          <w:i w:val="0"/>
        </w:rPr>
        <w:t>.</w:t>
      </w:r>
    </w:p>
    <w:p>
      <w:pPr>
        <w:widowControl/>
      </w:pPr>
      <w:r>
        <w:rPr>
          <w:b/>
          <w:i w:val="0"/>
        </w:rPr>
        <w:t>electionis.</w:t>
      </w:r>
      <w:r>
        <w:rPr>
          <w:b w:val="0"/>
          <w:i w:val="0"/>
        </w:rPr>
        <w:t xml:space="preserve"> </w:t>
      </w:r>
      <w:hyperlink w:anchor="latin-record-0368">
        <w:r>
          <w:rPr>
            <w:color w:val="000000"/>
          </w:rPr>
          <w:t xml:space="preserve">electio / eligere</w:t>
        </w:r>
      </w:hyperlink>
      <w:r>
        <w:rPr>
          <w:b w:val="0"/>
          <w:i w:val="0"/>
        </w:rPr>
        <w:t>.</w:t>
      </w:r>
    </w:p>
    <w:p>
      <w:pPr>
        <w:widowControl/>
      </w:pPr>
      <w:r>
        <w:rPr>
          <w:b/>
          <w:i w:val="0"/>
        </w:rPr>
        <w:t>eligat.</w:t>
      </w:r>
      <w:r>
        <w:rPr>
          <w:b w:val="0"/>
          <w:i w:val="0"/>
        </w:rPr>
        <w:t xml:space="preserve"> </w:t>
      </w:r>
      <w:hyperlink w:anchor="latin-record-0088">
        <w:r>
          <w:rPr>
            <w:color w:val="000000"/>
          </w:rPr>
          <w:t xml:space="preserve">approbare / eligere</w:t>
        </w:r>
      </w:hyperlink>
      <w:r>
        <w:rPr>
          <w:b w:val="0"/>
          <w:i w:val="0"/>
        </w:rPr>
        <w:t>.</w:t>
      </w:r>
    </w:p>
    <w:p>
      <w:pPr>
        <w:widowControl/>
      </w:pPr>
      <w:r>
        <w:rPr>
          <w:b/>
          <w:i w:val="0"/>
        </w:rPr>
        <w:t>eligendo.</w:t>
      </w:r>
      <w:r>
        <w:rPr>
          <w:b w:val="0"/>
          <w:i w:val="0"/>
        </w:rPr>
        <w:t xml:space="preserve"> </w:t>
      </w:r>
      <w:hyperlink w:anchor="latin-record-0368">
        <w:r>
          <w:rPr>
            <w:color w:val="000000"/>
          </w:rPr>
          <w:t xml:space="preserve">electio / eligere</w:t>
        </w:r>
      </w:hyperlink>
      <w:r>
        <w:rPr>
          <w:b w:val="0"/>
          <w:i w:val="0"/>
        </w:rPr>
        <w:t>.</w:t>
      </w:r>
    </w:p>
    <w:p>
      <w:pPr>
        <w:widowControl/>
      </w:pPr>
      <w:r>
        <w:rPr>
          <w:b/>
          <w:i w:val="0"/>
        </w:rPr>
        <w:t>eligeremus.</w:t>
      </w:r>
      <w:r>
        <w:rPr>
          <w:b w:val="0"/>
          <w:i w:val="0"/>
        </w:rPr>
        <w:t xml:space="preserve"> </w:t>
      </w:r>
      <w:hyperlink w:anchor="latin-record-0370">
        <w:r>
          <w:rPr>
            <w:color w:val="000000"/>
          </w:rPr>
          <w:t xml:space="preserve">eligo</w:t>
        </w:r>
      </w:hyperlink>
      <w:r>
        <w:rPr>
          <w:b w:val="0"/>
          <w:i w:val="0"/>
        </w:rPr>
        <w:t>.</w:t>
      </w:r>
    </w:p>
    <w:p>
      <w:pPr>
        <w:widowControl/>
      </w:pPr>
      <w:r>
        <w:rPr>
          <w:b/>
          <w:i w:val="0"/>
        </w:rPr>
        <w:t>eligimus.</w:t>
      </w:r>
      <w:r>
        <w:rPr>
          <w:b w:val="0"/>
          <w:i w:val="0"/>
        </w:rPr>
        <w:t xml:space="preserve"> </w:t>
      </w:r>
      <w:hyperlink w:anchor="latin-record-0370">
        <w:r>
          <w:rPr>
            <w:color w:val="000000"/>
          </w:rPr>
          <w:t xml:space="preserve">eligo</w:t>
        </w:r>
      </w:hyperlink>
      <w:r>
        <w:rPr>
          <w:b w:val="0"/>
          <w:i w:val="0"/>
        </w:rPr>
        <w:t>.</w:t>
      </w:r>
    </w:p>
    <w:p>
      <w:pPr>
        <w:widowControl/>
      </w:pPr>
      <w:r>
        <w:rPr>
          <w:b/>
          <w:i w:val="0"/>
        </w:rPr>
        <w:t>eligit.</w:t>
      </w:r>
      <w:r>
        <w:rPr>
          <w:b w:val="0"/>
          <w:i w:val="0"/>
        </w:rPr>
        <w:t xml:space="preserve"> </w:t>
      </w:r>
      <w:hyperlink w:anchor="latin-record-0369">
        <w:r>
          <w:rPr>
            <w:color w:val="000000"/>
          </w:rPr>
          <w:t xml:space="preserve">eligere / peragere</w:t>
        </w:r>
      </w:hyperlink>
      <w:r>
        <w:rPr>
          <w:b w:val="0"/>
          <w:i w:val="0"/>
        </w:rPr>
        <w:t>.</w:t>
      </w:r>
    </w:p>
    <w:p>
      <w:pPr>
        <w:widowControl/>
      </w:pPr>
      <w:r>
        <w:rPr>
          <w:b/>
          <w:i w:val="0"/>
        </w:rPr>
        <w:t>eligunt.</w:t>
      </w:r>
      <w:r>
        <w:rPr>
          <w:b w:val="0"/>
          <w:i w:val="0"/>
        </w:rPr>
        <w:t xml:space="preserve"> </w:t>
      </w:r>
      <w:hyperlink w:anchor="latin-record-0368">
        <w:r>
          <w:rPr>
            <w:color w:val="000000"/>
          </w:rPr>
          <w:t xml:space="preserve">electio / eligere</w:t>
        </w:r>
      </w:hyperlink>
      <w:r>
        <w:rPr>
          <w:b w:val="0"/>
          <w:i w:val="0"/>
        </w:rPr>
        <w:t>.</w:t>
      </w:r>
    </w:p>
    <w:p>
      <w:pPr>
        <w:widowControl/>
      </w:pPr>
      <w:r>
        <w:rPr>
          <w:b/>
          <w:i w:val="0"/>
        </w:rPr>
        <w:t>emanabit.</w:t>
      </w:r>
      <w:r>
        <w:rPr>
          <w:b w:val="0"/>
          <w:i w:val="0"/>
        </w:rPr>
        <w:t xml:space="preserve"> </w:t>
      </w:r>
      <w:hyperlink w:anchor="latin-record-0668">
        <w:r>
          <w:rPr>
            <w:color w:val="000000"/>
          </w:rPr>
          <w:t xml:space="preserve">manare / emanare</w:t>
        </w:r>
      </w:hyperlink>
      <w:r>
        <w:rPr>
          <w:b w:val="0"/>
          <w:i w:val="0"/>
        </w:rPr>
        <w:t>.</w:t>
      </w:r>
    </w:p>
    <w:p>
      <w:pPr>
        <w:widowControl/>
      </w:pPr>
      <w:r>
        <w:rPr>
          <w:b/>
          <w:i w:val="0"/>
        </w:rPr>
        <w:t>eminentem.</w:t>
      </w:r>
      <w:r>
        <w:rPr>
          <w:b w:val="0"/>
          <w:i w:val="0"/>
        </w:rPr>
        <w:t xml:space="preserve"> </w:t>
      </w:r>
      <w:hyperlink w:anchor="latin-record-0827">
        <w:r>
          <w:rPr>
            <w:color w:val="000000"/>
          </w:rPr>
          <w:t xml:space="preserve">participatio / forma / eminentia</w:t>
        </w:r>
      </w:hyperlink>
      <w:r>
        <w:rPr>
          <w:b w:val="0"/>
          <w:i w:val="0"/>
        </w:rPr>
        <w:t>.</w:t>
      </w:r>
    </w:p>
    <w:p>
      <w:pPr>
        <w:widowControl/>
      </w:pPr>
      <w:r>
        <w:rPr>
          <w:b/>
          <w:i w:val="0"/>
        </w:rPr>
        <w:t>eminentior.</w:t>
      </w:r>
      <w:r>
        <w:rPr>
          <w:b w:val="0"/>
          <w:i w:val="0"/>
        </w:rPr>
        <w:t xml:space="preserve"> </w:t>
      </w:r>
      <w:hyperlink w:anchor="latin-record-0394">
        <w:r>
          <w:rPr>
            <w:color w:val="000000"/>
          </w:rPr>
          <w:t xml:space="preserve">excellens / eminens / deterior / altior / remotior</w:t>
        </w:r>
      </w:hyperlink>
      <w:r>
        <w:rPr>
          <w:b w:val="0"/>
          <w:i w:val="0"/>
        </w:rPr>
        <w:t>.</w:t>
      </w:r>
    </w:p>
    <w:p>
      <w:pPr>
        <w:widowControl/>
      </w:pPr>
      <w:r>
        <w:rPr>
          <w:b/>
          <w:i w:val="0"/>
        </w:rPr>
        <w:t>empyreum.</w:t>
      </w:r>
      <w:r>
        <w:rPr>
          <w:b w:val="0"/>
          <w:i w:val="0"/>
        </w:rPr>
        <w:t xml:space="preserve"> </w:t>
      </w:r>
      <w:hyperlink w:anchor="latin-record-0371">
        <w:r>
          <w:rPr>
            <w:color w:val="000000"/>
          </w:rPr>
          <w:t xml:space="preserve">empyreus / prorsus immobile</w:t>
        </w:r>
      </w:hyperlink>
      <w:r>
        <w:rPr>
          <w:b w:val="0"/>
          <w:i w:val="0"/>
        </w:rPr>
        <w:t>.</w:t>
      </w:r>
    </w:p>
    <w:p>
      <w:pPr>
        <w:widowControl/>
      </w:pPr>
      <w:r>
        <w:rPr>
          <w:b/>
          <w:i w:val="0"/>
        </w:rPr>
        <w:t>enigma.</w:t>
      </w:r>
      <w:r>
        <w:rPr>
          <w:b w:val="0"/>
          <w:i w:val="0"/>
        </w:rPr>
        <w:t xml:space="preserve"> </w:t>
      </w:r>
      <w:hyperlink w:anchor="latin-record-0661">
        <w:r>
          <w:rPr>
            <w:color w:val="000000"/>
          </w:rPr>
          <w:t xml:space="preserve">Magi / aenigma</w:t>
        </w:r>
      </w:hyperlink>
      <w:r>
        <w:rPr>
          <w:b w:val="0"/>
          <w:i w:val="0"/>
        </w:rPr>
        <w:t>.</w:t>
      </w:r>
    </w:p>
    <w:p>
      <w:pPr>
        <w:widowControl/>
      </w:pPr>
      <w:r>
        <w:rPr>
          <w:b/>
          <w:i w:val="0"/>
        </w:rPr>
        <w:t>enodatur.</w:t>
      </w:r>
      <w:r>
        <w:rPr>
          <w:b w:val="0"/>
          <w:i w:val="0"/>
        </w:rPr>
        <w:t xml:space="preserve"> </w:t>
      </w:r>
      <w:hyperlink w:anchor="latin-record-0372">
        <w:r>
          <w:rPr>
            <w:color w:val="000000"/>
          </w:rPr>
          <w:t xml:space="preserve">enodo</w:t>
        </w:r>
      </w:hyperlink>
      <w:r>
        <w:rPr>
          <w:b w:val="0"/>
          <w:i w:val="0"/>
        </w:rPr>
        <w:t>.</w:t>
      </w:r>
    </w:p>
    <w:p>
      <w:pPr>
        <w:widowControl/>
      </w:pPr>
      <w:r>
        <w:rPr>
          <w:b/>
          <w:i w:val="0"/>
        </w:rPr>
        <w:t>enumerando.</w:t>
      </w:r>
      <w:r>
        <w:rPr>
          <w:b w:val="0"/>
          <w:i w:val="0"/>
        </w:rPr>
        <w:t xml:space="preserve"> </w:t>
      </w:r>
      <w:hyperlink w:anchor="latin-record-0373">
        <w:r>
          <w:rPr>
            <w:color w:val="000000"/>
          </w:rPr>
          <w:t xml:space="preserve">enumerare / gradatim / summatim</w:t>
        </w:r>
      </w:hyperlink>
      <w:r>
        <w:rPr>
          <w:b w:val="0"/>
          <w:i w:val="0"/>
        </w:rPr>
        <w:t>.</w:t>
      </w:r>
    </w:p>
    <w:p>
      <w:pPr>
        <w:widowControl/>
      </w:pPr>
      <w:r>
        <w:rPr>
          <w:b/>
          <w:i w:val="0"/>
        </w:rPr>
        <w:t>Epicurei.</w:t>
      </w:r>
      <w:r>
        <w:rPr>
          <w:b w:val="0"/>
          <w:i w:val="0"/>
        </w:rPr>
        <w:t xml:space="preserve"> </w:t>
      </w:r>
      <w:hyperlink w:anchor="latin-record-0302">
        <w:r>
          <w:rPr>
            <w:color w:val="000000"/>
          </w:rPr>
          <w:t xml:space="preserve">Democritii / Cyrenaici / Epicurei</w:t>
        </w:r>
      </w:hyperlink>
      <w:r>
        <w:rPr>
          <w:b w:val="0"/>
          <w:i w:val="0"/>
        </w:rPr>
        <w:t>.</w:t>
      </w:r>
    </w:p>
    <w:p>
      <w:pPr>
        <w:widowControl/>
      </w:pPr>
      <w:r>
        <w:rPr>
          <w:b/>
          <w:i w:val="0"/>
        </w:rPr>
        <w:t>Epicureorum.</w:t>
      </w:r>
      <w:r>
        <w:rPr>
          <w:b w:val="0"/>
          <w:i w:val="0"/>
        </w:rPr>
        <w:t xml:space="preserve"> </w:t>
      </w:r>
      <w:hyperlink w:anchor="latin-record-0302">
        <w:r>
          <w:rPr>
            <w:color w:val="000000"/>
          </w:rPr>
          <w:t xml:space="preserve">Democritii / Cyrenaici / Epicurei</w:t>
        </w:r>
      </w:hyperlink>
      <w:r>
        <w:rPr>
          <w:b w:val="0"/>
          <w:i w:val="0"/>
        </w:rPr>
        <w:t>.</w:t>
      </w:r>
    </w:p>
    <w:p>
      <w:pPr>
        <w:widowControl/>
      </w:pPr>
      <w:r>
        <w:rPr>
          <w:b/>
          <w:i w:val="0"/>
        </w:rPr>
        <w:t>Epicureus.</w:t>
      </w:r>
      <w:r>
        <w:rPr>
          <w:b w:val="0"/>
          <w:i w:val="0"/>
        </w:rPr>
        <w:t xml:space="preserve"> </w:t>
      </w:r>
      <w:hyperlink w:anchor="latin-record-0374">
        <w:r>
          <w:rPr>
            <w:color w:val="000000"/>
          </w:rPr>
          <w:t xml:space="preserve">Epicureus / Epicurus / Averroes</w:t>
        </w:r>
      </w:hyperlink>
      <w:r>
        <w:rPr>
          <w:b w:val="0"/>
          <w:i w:val="0"/>
        </w:rPr>
        <w:t>.</w:t>
      </w:r>
    </w:p>
    <w:p>
      <w:pPr>
        <w:widowControl/>
      </w:pPr>
      <w:r>
        <w:rPr>
          <w:b/>
          <w:i w:val="0"/>
        </w:rPr>
        <w:t>Epicuro.</w:t>
      </w:r>
      <w:r>
        <w:rPr>
          <w:b w:val="0"/>
          <w:i w:val="0"/>
        </w:rPr>
        <w:t xml:space="preserve"> </w:t>
      </w:r>
      <w:hyperlink w:anchor="latin-record-0374">
        <w:r>
          <w:rPr>
            <w:color w:val="000000"/>
          </w:rPr>
          <w:t xml:space="preserve">Epicureus / Epicurus / Averroes</w:t>
        </w:r>
      </w:hyperlink>
      <w:r>
        <w:rPr>
          <w:b w:val="0"/>
          <w:i w:val="0"/>
        </w:rPr>
        <w:t>.</w:t>
      </w:r>
    </w:p>
    <w:p>
      <w:pPr>
        <w:widowControl/>
      </w:pPr>
      <w:r>
        <w:rPr>
          <w:b/>
          <w:i w:val="0"/>
        </w:rPr>
        <w:t>equinam.</w:t>
      </w:r>
      <w:r>
        <w:rPr>
          <w:b w:val="0"/>
          <w:i w:val="0"/>
        </w:rPr>
        <w:t xml:space="preserve"> </w:t>
      </w:r>
      <w:hyperlink w:anchor="latin-record-0514">
        <w:r>
          <w:rPr>
            <w:color w:val="000000"/>
          </w:rPr>
          <w:t xml:space="preserve">homo / equus</w:t>
        </w:r>
      </w:hyperlink>
      <w:r>
        <w:rPr>
          <w:b w:val="0"/>
          <w:i w:val="0"/>
        </w:rPr>
        <w:t>.</w:t>
      </w:r>
    </w:p>
    <w:p>
      <w:pPr>
        <w:widowControl/>
      </w:pPr>
      <w:r>
        <w:rPr>
          <w:b/>
          <w:i w:val="0"/>
        </w:rPr>
        <w:t>equorum.</w:t>
      </w:r>
      <w:r>
        <w:rPr>
          <w:b w:val="0"/>
          <w:i w:val="0"/>
        </w:rPr>
        <w:t xml:space="preserve"> </w:t>
      </w:r>
      <w:hyperlink w:anchor="latin-record-0514">
        <w:r>
          <w:rPr>
            <w:color w:val="000000"/>
          </w:rPr>
          <w:t xml:space="preserve">homo / equus</w:t>
        </w:r>
      </w:hyperlink>
      <w:r>
        <w:rPr>
          <w:b w:val="0"/>
          <w:i w:val="0"/>
        </w:rPr>
        <w:t>.</w:t>
      </w:r>
    </w:p>
    <w:p>
      <w:pPr>
        <w:widowControl/>
      </w:pPr>
      <w:r>
        <w:rPr>
          <w:b/>
          <w:i w:val="0"/>
        </w:rPr>
        <w:t>erit.</w:t>
      </w:r>
      <w:r>
        <w:rPr>
          <w:b w:val="0"/>
          <w:i w:val="0"/>
        </w:rPr>
        <w:t xml:space="preserve"> </w:t>
      </w:r>
      <w:hyperlink w:anchor="latin-record-0380">
        <w:r>
          <w:rPr>
            <w:color w:val="000000"/>
          </w:rPr>
          <w:t xml:space="preserve">esse — existence and predication</w:t>
        </w:r>
      </w:hyperlink>
      <w:r>
        <w:rPr>
          <w:b w:val="0"/>
          <w:i w:val="0"/>
        </w:rPr>
        <w:t>.</w:t>
      </w:r>
    </w:p>
    <w:p>
      <w:pPr>
        <w:widowControl/>
      </w:pPr>
      <w:r>
        <w:rPr>
          <w:b/>
          <w:i w:val="0"/>
        </w:rPr>
        <w:t>errat.</w:t>
      </w:r>
      <w:r>
        <w:rPr>
          <w:b w:val="0"/>
          <w:i w:val="0"/>
        </w:rPr>
        <w:t xml:space="preserve"> </w:t>
      </w:r>
      <w:hyperlink w:anchor="latin-record-0376">
        <w:r>
          <w:rPr>
            <w:color w:val="000000"/>
          </w:rPr>
          <w:t xml:space="preserve">errāre / iudicare</w:t>
        </w:r>
      </w:hyperlink>
      <w:r>
        <w:rPr>
          <w:b w:val="0"/>
          <w:i w:val="0"/>
        </w:rPr>
        <w:t>.</w:t>
      </w:r>
    </w:p>
    <w:p>
      <w:pPr>
        <w:widowControl/>
      </w:pPr>
      <w:r>
        <w:rPr>
          <w:b/>
          <w:i w:val="0"/>
        </w:rPr>
        <w:t>error.</w:t>
      </w:r>
      <w:r>
        <w:rPr>
          <w:b w:val="0"/>
          <w:i w:val="0"/>
        </w:rPr>
        <w:t xml:space="preserve"> </w:t>
      </w:r>
      <w:hyperlink w:anchor="latin-record-0375">
        <w:r>
          <w:rPr>
            <w:color w:val="000000"/>
          </w:rPr>
          <w:t xml:space="preserve">error / impius / profanus</w:t>
        </w:r>
      </w:hyperlink>
      <w:r>
        <w:rPr>
          <w:b w:val="0"/>
          <w:i w:val="0"/>
        </w:rPr>
        <w:t>.</w:t>
      </w:r>
    </w:p>
    <w:p>
      <w:pPr>
        <w:widowControl/>
      </w:pPr>
      <w:r>
        <w:rPr>
          <w:b/>
          <w:i w:val="0"/>
        </w:rPr>
        <w:t>eruit.</w:t>
      </w:r>
      <w:r>
        <w:rPr>
          <w:b w:val="0"/>
          <w:i w:val="0"/>
        </w:rPr>
        <w:t xml:space="preserve"> </w:t>
      </w:r>
      <w:hyperlink w:anchor="latin-record-0377">
        <w:r>
          <w:rPr>
            <w:color w:val="000000"/>
          </w:rPr>
          <w:t xml:space="preserve">eruere / educere</w:t>
        </w:r>
      </w:hyperlink>
      <w:r>
        <w:rPr>
          <w:b w:val="0"/>
          <w:i w:val="0"/>
        </w:rPr>
        <w:t>.</w:t>
      </w:r>
    </w:p>
    <w:p>
      <w:pPr>
        <w:widowControl/>
      </w:pPr>
      <w:r>
        <w:rPr>
          <w:b/>
          <w:i w:val="0"/>
        </w:rPr>
        <w:t>esse.</w:t>
      </w:r>
      <w:r>
        <w:rPr>
          <w:b w:val="0"/>
          <w:i w:val="0"/>
        </w:rPr>
        <w:t xml:space="preserve"> </w:t>
      </w:r>
      <w:hyperlink w:anchor="latin-record-0176">
        <w:r>
          <w:rPr>
            <w:color w:val="000000"/>
          </w:rPr>
          <w:t xml:space="preserve">cogito / esse</w:t>
        </w:r>
      </w:hyperlink>
      <w:r>
        <w:rPr>
          <w:b w:val="0"/>
          <w:i w:val="0"/>
        </w:rPr>
        <w:t xml:space="preserve">; </w:t>
      </w:r>
      <w:hyperlink w:anchor="latin-record-0378">
        <w:r>
          <w:rPr>
            <w:color w:val="000000"/>
          </w:rPr>
          <w:t xml:space="preserve">esse / ens / exsistere</w:t>
        </w:r>
      </w:hyperlink>
      <w:r>
        <w:rPr>
          <w:b w:val="0"/>
          <w:i w:val="0"/>
        </w:rPr>
        <w:t xml:space="preserve">; </w:t>
      </w:r>
      <w:hyperlink w:anchor="latin-record-0380">
        <w:r>
          <w:rPr>
            <w:color w:val="000000"/>
          </w:rPr>
          <w:t xml:space="preserve">esse — existence and predication</w:t>
        </w:r>
      </w:hyperlink>
      <w:r>
        <w:rPr>
          <w:b w:val="0"/>
          <w:i w:val="0"/>
        </w:rPr>
        <w:t xml:space="preserve">; </w:t>
      </w:r>
      <w:hyperlink w:anchor="latin-record-0386">
        <w:r>
          <w:rPr>
            <w:color w:val="000000"/>
          </w:rPr>
          <w:t xml:space="preserve">essentia atque esse</w:t>
        </w:r>
      </w:hyperlink>
      <w:r>
        <w:rPr>
          <w:b w:val="0"/>
          <w:i w:val="0"/>
        </w:rPr>
        <w:t>.</w:t>
      </w:r>
    </w:p>
    <w:p>
      <w:pPr>
        <w:widowControl/>
      </w:pPr>
      <w:r>
        <w:rPr>
          <w:b/>
          <w:i w:val="0"/>
        </w:rPr>
        <w:t>Esse.</w:t>
      </w:r>
      <w:r>
        <w:rPr>
          <w:b w:val="0"/>
          <w:i w:val="0"/>
        </w:rPr>
        <w:t xml:space="preserve"> </w:t>
      </w:r>
      <w:hyperlink w:anchor="latin-record-0378">
        <w:r>
          <w:rPr>
            <w:color w:val="000000"/>
          </w:rPr>
          <w:t xml:space="preserve">esse / ens / exsistere</w:t>
        </w:r>
      </w:hyperlink>
      <w:r>
        <w:rPr>
          <w:b w:val="0"/>
          <w:i w:val="0"/>
        </w:rPr>
        <w:t>.</w:t>
      </w:r>
    </w:p>
    <w:p>
      <w:pPr>
        <w:widowControl/>
      </w:pPr>
      <w:r>
        <w:rPr>
          <w:b/>
          <w:i w:val="0"/>
        </w:rPr>
        <w:t>esse debet.</w:t>
      </w:r>
      <w:r>
        <w:rPr>
          <w:b w:val="0"/>
          <w:i w:val="0"/>
        </w:rPr>
        <w:t xml:space="preserve"> </w:t>
      </w:r>
      <w:hyperlink w:anchor="latin-record-0800">
        <w:r>
          <w:rPr>
            <w:color w:val="000000"/>
          </w:rPr>
          <w:t xml:space="preserve">oportet / necesse est / debet</w:t>
        </w:r>
      </w:hyperlink>
      <w:r>
        <w:rPr>
          <w:b w:val="0"/>
          <w:i w:val="0"/>
        </w:rPr>
        <w:t>.</w:t>
      </w:r>
    </w:p>
    <w:p>
      <w:pPr>
        <w:widowControl/>
      </w:pPr>
      <w:r>
        <w:rPr>
          <w:b/>
          <w:i w:val="0"/>
        </w:rPr>
        <w:t>essendi.</w:t>
      </w:r>
      <w:r>
        <w:rPr>
          <w:b w:val="0"/>
          <w:i w:val="0"/>
        </w:rPr>
        <w:t xml:space="preserve"> </w:t>
      </w:r>
      <w:hyperlink w:anchor="latin-record-0378">
        <w:r>
          <w:rPr>
            <w:color w:val="000000"/>
          </w:rPr>
          <w:t xml:space="preserve">esse / ens / exsistere</w:t>
        </w:r>
      </w:hyperlink>
      <w:r>
        <w:rPr>
          <w:b w:val="0"/>
          <w:i w:val="0"/>
        </w:rPr>
        <w:t>.</w:t>
      </w:r>
    </w:p>
    <w:p>
      <w:pPr>
        <w:widowControl/>
      </w:pPr>
      <w:r>
        <w:rPr>
          <w:b/>
          <w:i w:val="0"/>
        </w:rPr>
        <w:t>essendi modo.</w:t>
      </w:r>
      <w:r>
        <w:rPr>
          <w:b w:val="0"/>
          <w:i w:val="0"/>
        </w:rPr>
        <w:t xml:space="preserve"> </w:t>
      </w:r>
      <w:hyperlink w:anchor="latin-record-0381">
        <w:r>
          <w:rPr>
            <w:color w:val="000000"/>
          </w:rPr>
          <w:t xml:space="preserve">essendi modus</w:t>
        </w:r>
      </w:hyperlink>
      <w:r>
        <w:rPr>
          <w:b w:val="0"/>
          <w:i w:val="0"/>
        </w:rPr>
        <w:t>.</w:t>
      </w:r>
    </w:p>
    <w:p>
      <w:pPr>
        <w:widowControl/>
      </w:pPr>
      <w:r>
        <w:rPr>
          <w:b/>
          <w:i w:val="0"/>
        </w:rPr>
        <w:t>essendi modos.</w:t>
      </w:r>
      <w:r>
        <w:rPr>
          <w:b w:val="0"/>
          <w:i w:val="0"/>
        </w:rPr>
        <w:t xml:space="preserve"> </w:t>
      </w:r>
      <w:hyperlink w:anchor="latin-record-0381">
        <w:r>
          <w:rPr>
            <w:color w:val="000000"/>
          </w:rPr>
          <w:t xml:space="preserve">essendi modus</w:t>
        </w:r>
      </w:hyperlink>
      <w:r>
        <w:rPr>
          <w:b w:val="0"/>
          <w:i w:val="0"/>
        </w:rPr>
        <w:t>.</w:t>
      </w:r>
    </w:p>
    <w:p>
      <w:pPr>
        <w:widowControl/>
      </w:pPr>
      <w:r>
        <w:rPr>
          <w:b/>
          <w:i w:val="0"/>
        </w:rPr>
        <w:t>essendi principium.</w:t>
      </w:r>
      <w:r>
        <w:rPr>
          <w:b w:val="0"/>
          <w:i w:val="0"/>
        </w:rPr>
        <w:t xml:space="preserve"> </w:t>
      </w:r>
      <w:hyperlink w:anchor="latin-record-0382">
        <w:r>
          <w:rPr>
            <w:color w:val="000000"/>
          </w:rPr>
          <w:t xml:space="preserve">essendi principium</w:t>
        </w:r>
      </w:hyperlink>
      <w:r>
        <w:rPr>
          <w:b w:val="0"/>
          <w:i w:val="0"/>
        </w:rPr>
        <w:t>.</w:t>
      </w:r>
    </w:p>
    <w:p>
      <w:pPr>
        <w:widowControl/>
      </w:pPr>
      <w:r>
        <w:rPr>
          <w:b/>
          <w:i w:val="0"/>
        </w:rPr>
        <w:t>essentia.</w:t>
      </w:r>
      <w:r>
        <w:rPr>
          <w:b w:val="0"/>
          <w:i w:val="0"/>
        </w:rPr>
        <w:t xml:space="preserve"> </w:t>
      </w:r>
      <w:hyperlink w:anchor="latin-record-0383">
        <w:r>
          <w:rPr>
            <w:color w:val="000000"/>
          </w:rPr>
          <w:t xml:space="preserve">essentia / essentialis / substantia</w:t>
        </w:r>
      </w:hyperlink>
      <w:r>
        <w:rPr>
          <w:b w:val="0"/>
          <w:i w:val="0"/>
        </w:rPr>
        <w:t xml:space="preserve">; </w:t>
      </w:r>
      <w:hyperlink w:anchor="latin-record-0385">
        <w:r>
          <w:rPr>
            <w:color w:val="000000"/>
          </w:rPr>
          <w:t xml:space="preserve">essentia / virtus / actio</w:t>
        </w:r>
      </w:hyperlink>
      <w:r>
        <w:rPr>
          <w:b w:val="0"/>
          <w:i w:val="0"/>
        </w:rPr>
        <w:t xml:space="preserve">; </w:t>
      </w:r>
      <w:hyperlink w:anchor="latin-record-0387">
        <w:r>
          <w:rPr>
            <w:color w:val="000000"/>
          </w:rPr>
          <w:t xml:space="preserve">essentia puncto momento</w:t>
        </w:r>
      </w:hyperlink>
      <w:r>
        <w:rPr>
          <w:b w:val="0"/>
          <w:i w:val="0"/>
        </w:rPr>
        <w:t xml:space="preserve">; </w:t>
      </w:r>
      <w:hyperlink w:anchor="latin-record-1198">
        <w:r>
          <w:rPr>
            <w:color w:val="000000"/>
          </w:rPr>
          <w:t xml:space="preserve">tertia essentia</w:t>
        </w:r>
      </w:hyperlink>
      <w:r>
        <w:rPr>
          <w:b w:val="0"/>
          <w:i w:val="0"/>
        </w:rPr>
        <w:t>.</w:t>
      </w:r>
    </w:p>
    <w:p>
      <w:pPr>
        <w:widowControl/>
      </w:pPr>
      <w:r>
        <w:rPr>
          <w:b/>
          <w:i w:val="0"/>
        </w:rPr>
        <w:t>essentiales.</w:t>
      </w:r>
      <w:r>
        <w:rPr>
          <w:b w:val="0"/>
          <w:i w:val="0"/>
        </w:rPr>
        <w:t xml:space="preserve"> </w:t>
      </w:r>
      <w:hyperlink w:anchor="latin-record-0262">
        <w:r>
          <w:rPr>
            <w:color w:val="000000"/>
          </w:rPr>
          <w:t xml:space="preserve">contingens / essentialis</w:t>
        </w:r>
      </w:hyperlink>
      <w:r>
        <w:rPr>
          <w:b w:val="0"/>
          <w:i w:val="0"/>
        </w:rPr>
        <w:t xml:space="preserve">; </w:t>
      </w:r>
      <w:hyperlink w:anchor="latin-record-0388">
        <w:r>
          <w:rPr>
            <w:color w:val="000000"/>
          </w:rPr>
          <w:t xml:space="preserve">essentialis / accidentalis</w:t>
        </w:r>
      </w:hyperlink>
      <w:r>
        <w:rPr>
          <w:b w:val="0"/>
          <w:i w:val="0"/>
        </w:rPr>
        <w:t>.</w:t>
      </w:r>
    </w:p>
    <w:p>
      <w:pPr>
        <w:widowControl/>
      </w:pPr>
      <w:r>
        <w:rPr>
          <w:b/>
          <w:i w:val="0"/>
        </w:rPr>
        <w:t>essentiam.</w:t>
      </w:r>
      <w:r>
        <w:rPr>
          <w:b w:val="0"/>
          <w:i w:val="0"/>
        </w:rPr>
        <w:t xml:space="preserve"> </w:t>
      </w:r>
      <w:hyperlink w:anchor="latin-record-0383">
        <w:r>
          <w:rPr>
            <w:color w:val="000000"/>
          </w:rPr>
          <w:t xml:space="preserve">essentia / essentialis / substantia</w:t>
        </w:r>
      </w:hyperlink>
      <w:r>
        <w:rPr>
          <w:b w:val="0"/>
          <w:i w:val="0"/>
        </w:rPr>
        <w:t xml:space="preserve">; </w:t>
      </w:r>
      <w:hyperlink w:anchor="latin-record-0384">
        <w:r>
          <w:rPr>
            <w:color w:val="000000"/>
          </w:rPr>
          <w:t xml:space="preserve">essentia / substantia</w:t>
        </w:r>
      </w:hyperlink>
      <w:r>
        <w:rPr>
          <w:b w:val="0"/>
          <w:i w:val="0"/>
        </w:rPr>
        <w:t xml:space="preserve">; </w:t>
      </w:r>
      <w:hyperlink w:anchor="latin-record-0386">
        <w:r>
          <w:rPr>
            <w:color w:val="000000"/>
          </w:rPr>
          <w:t xml:space="preserve">essentia atque esse</w:t>
        </w:r>
      </w:hyperlink>
      <w:r>
        <w:rPr>
          <w:b w:val="0"/>
          <w:i w:val="0"/>
        </w:rPr>
        <w:t>.</w:t>
      </w:r>
    </w:p>
    <w:p>
      <w:pPr>
        <w:widowControl/>
      </w:pPr>
      <w:r>
        <w:rPr>
          <w:b/>
          <w:i w:val="0"/>
        </w:rPr>
        <w:t>esset.</w:t>
      </w:r>
      <w:r>
        <w:rPr>
          <w:b w:val="0"/>
          <w:i w:val="0"/>
        </w:rPr>
        <w:t xml:space="preserve"> </w:t>
      </w:r>
      <w:hyperlink w:anchor="latin-record-0380">
        <w:r>
          <w:rPr>
            <w:color w:val="000000"/>
          </w:rPr>
          <w:t xml:space="preserve">esse — existence and predication</w:t>
        </w:r>
      </w:hyperlink>
      <w:r>
        <w:rPr>
          <w:b w:val="0"/>
          <w:i w:val="0"/>
        </w:rPr>
        <w:t>.</w:t>
      </w:r>
    </w:p>
    <w:p>
      <w:pPr>
        <w:widowControl/>
      </w:pPr>
      <w:r>
        <w:rPr>
          <w:b/>
          <w:i w:val="0"/>
        </w:rPr>
        <w:t>est.</w:t>
      </w:r>
      <w:r>
        <w:rPr>
          <w:b w:val="0"/>
          <w:i w:val="0"/>
        </w:rPr>
        <w:t xml:space="preserve"> </w:t>
      </w:r>
      <w:hyperlink w:anchor="latin-record-0379">
        <w:r>
          <w:rPr>
            <w:color w:val="000000"/>
          </w:rPr>
          <w:t xml:space="preserve">esse / fieri</w:t>
        </w:r>
      </w:hyperlink>
      <w:r>
        <w:rPr>
          <w:b w:val="0"/>
          <w:i w:val="0"/>
        </w:rPr>
        <w:t xml:space="preserve">; </w:t>
      </w:r>
      <w:hyperlink w:anchor="latin-record-0380">
        <w:r>
          <w:rPr>
            <w:color w:val="000000"/>
          </w:rPr>
          <w:t xml:space="preserve">esse — existence and predication</w:t>
        </w:r>
      </w:hyperlink>
      <w:r>
        <w:rPr>
          <w:b w:val="0"/>
          <w:i w:val="0"/>
        </w:rPr>
        <w:t>.</w:t>
      </w:r>
    </w:p>
    <w:p>
      <w:pPr>
        <w:widowControl/>
      </w:pPr>
      <w:r>
        <w:rPr>
          <w:b/>
          <w:i w:val="0"/>
        </w:rPr>
        <w:t>Est.</w:t>
      </w:r>
      <w:r>
        <w:rPr>
          <w:b w:val="0"/>
          <w:i w:val="0"/>
        </w:rPr>
        <w:t xml:space="preserve"> </w:t>
      </w:r>
      <w:hyperlink w:anchor="latin-record-0380">
        <w:r>
          <w:rPr>
            <w:color w:val="000000"/>
          </w:rPr>
          <w:t xml:space="preserve">esse — existence and predication</w:t>
        </w:r>
      </w:hyperlink>
      <w:r>
        <w:rPr>
          <w:b w:val="0"/>
          <w:i w:val="0"/>
        </w:rPr>
        <w:t>.</w:t>
      </w:r>
    </w:p>
    <w:p>
      <w:pPr>
        <w:widowControl/>
      </w:pPr>
      <w:r>
        <w:rPr>
          <w:b/>
          <w:i w:val="0"/>
        </w:rPr>
        <w:t>Euclides.</w:t>
      </w:r>
      <w:r>
        <w:rPr>
          <w:b w:val="0"/>
          <w:i w:val="0"/>
        </w:rPr>
        <w:t xml:space="preserve"> </w:t>
      </w:r>
      <w:hyperlink w:anchor="latin-record-0389">
        <w:r>
          <w:rPr>
            <w:color w:val="000000"/>
          </w:rPr>
          <w:t xml:space="preserve">Euclides / Megara / Athenae / Socrates</w:t>
        </w:r>
      </w:hyperlink>
      <w:r>
        <w:rPr>
          <w:b w:val="0"/>
          <w:i w:val="0"/>
        </w:rPr>
        <w:t>.</w:t>
      </w:r>
    </w:p>
    <w:p>
      <w:pPr>
        <w:widowControl/>
      </w:pPr>
      <w:r>
        <w:rPr>
          <w:b/>
          <w:i w:val="0"/>
        </w:rPr>
        <w:t>evellantur.</w:t>
      </w:r>
      <w:r>
        <w:rPr>
          <w:b w:val="0"/>
          <w:i w:val="0"/>
        </w:rPr>
        <w:t xml:space="preserve"> </w:t>
      </w:r>
      <w:hyperlink w:anchor="latin-record-0390">
        <w:r>
          <w:rPr>
            <w:color w:val="000000"/>
          </w:rPr>
          <w:t xml:space="preserve">evellere / extirpare</w:t>
        </w:r>
      </w:hyperlink>
      <w:r>
        <w:rPr>
          <w:b w:val="0"/>
          <w:i w:val="0"/>
        </w:rPr>
        <w:t>.</w:t>
      </w:r>
    </w:p>
    <w:p>
      <w:pPr>
        <w:widowControl/>
      </w:pPr>
      <w:r>
        <w:rPr>
          <w:b/>
          <w:i w:val="0"/>
        </w:rPr>
        <w:t>evolaret.</w:t>
      </w:r>
      <w:r>
        <w:rPr>
          <w:b w:val="0"/>
          <w:i w:val="0"/>
        </w:rPr>
        <w:t xml:space="preserve"> </w:t>
      </w:r>
      <w:hyperlink w:anchor="latin-record-0451">
        <w:r>
          <w:rPr>
            <w:color w:val="000000"/>
          </w:rPr>
          <w:t xml:space="preserve">flammula / concavum / evolare</w:t>
        </w:r>
      </w:hyperlink>
      <w:r>
        <w:rPr>
          <w:b w:val="0"/>
          <w:i w:val="0"/>
        </w:rPr>
        <w:t>.</w:t>
      </w:r>
    </w:p>
    <w:p>
      <w:pPr>
        <w:widowControl/>
      </w:pPr>
      <w:r>
        <w:rPr>
          <w:b/>
          <w:i w:val="0"/>
        </w:rPr>
        <w:t>ex.</w:t>
      </w:r>
      <w:r>
        <w:rPr>
          <w:b w:val="0"/>
          <w:i w:val="0"/>
        </w:rPr>
        <w:t xml:space="preserve"> </w:t>
      </w:r>
      <w:hyperlink w:anchor="latin-record-0391">
        <w:r>
          <w:rPr>
            <w:color w:val="000000"/>
          </w:rPr>
          <w:t xml:space="preserve">ex / per / in causal uses</w:t>
        </w:r>
      </w:hyperlink>
      <w:r>
        <w:rPr>
          <w:b w:val="0"/>
          <w:i w:val="0"/>
        </w:rPr>
        <w:t>.</w:t>
      </w:r>
    </w:p>
    <w:p>
      <w:pPr>
        <w:widowControl/>
      </w:pPr>
      <w:r>
        <w:rPr>
          <w:b/>
          <w:i w:val="0"/>
        </w:rPr>
        <w:t>ex nihilo.</w:t>
      </w:r>
      <w:r>
        <w:rPr>
          <w:b w:val="0"/>
          <w:i w:val="0"/>
        </w:rPr>
        <w:t xml:space="preserve"> </w:t>
      </w:r>
      <w:hyperlink w:anchor="latin-record-0283">
        <w:r>
          <w:rPr>
            <w:color w:val="000000"/>
          </w:rPr>
          <w:t xml:space="preserve">creare / ex nihilo</w:t>
        </w:r>
      </w:hyperlink>
      <w:r>
        <w:rPr>
          <w:b w:val="0"/>
          <w:i w:val="0"/>
        </w:rPr>
        <w:t>.</w:t>
      </w:r>
    </w:p>
    <w:p>
      <w:pPr>
        <w:widowControl/>
      </w:pPr>
      <w:r>
        <w:rPr>
          <w:b/>
          <w:i w:val="0"/>
        </w:rPr>
        <w:t>ex toto.</w:t>
      </w:r>
      <w:r>
        <w:rPr>
          <w:b w:val="0"/>
          <w:i w:val="0"/>
        </w:rPr>
        <w:t xml:space="preserve"> </w:t>
      </w:r>
      <w:hyperlink w:anchor="latin-record-1080">
        <w:r>
          <w:rPr>
            <w:color w:val="000000"/>
          </w:rPr>
          <w:t xml:space="preserve">secundum partem / ex toto</w:t>
        </w:r>
      </w:hyperlink>
      <w:r>
        <w:rPr>
          <w:b w:val="0"/>
          <w:i w:val="0"/>
        </w:rPr>
        <w:t>.</w:t>
      </w:r>
    </w:p>
    <w:p>
      <w:pPr>
        <w:widowControl/>
      </w:pPr>
      <w:r>
        <w:rPr>
          <w:b/>
          <w:i w:val="0"/>
        </w:rPr>
        <w:t>ex uno igne genita.</w:t>
      </w:r>
      <w:r>
        <w:rPr>
          <w:b w:val="0"/>
          <w:i w:val="0"/>
        </w:rPr>
        <w:t xml:space="preserve"> </w:t>
      </w:r>
      <w:hyperlink w:anchor="latin-record-1289">
        <w:r>
          <w:rPr>
            <w:color w:val="000000"/>
          </w:rPr>
          <w:t xml:space="preserve">Zoroaster / ignis unus</w:t>
        </w:r>
      </w:hyperlink>
      <w:r>
        <w:rPr>
          <w:b w:val="0"/>
          <w:i w:val="0"/>
        </w:rPr>
        <w:t>.</w:t>
      </w:r>
    </w:p>
    <w:p>
      <w:pPr>
        <w:widowControl/>
      </w:pPr>
      <w:r>
        <w:rPr>
          <w:b/>
          <w:i w:val="0"/>
        </w:rPr>
        <w:t>exactissima.</w:t>
      </w:r>
      <w:r>
        <w:rPr>
          <w:b w:val="0"/>
          <w:i w:val="0"/>
        </w:rPr>
        <w:t xml:space="preserve"> </w:t>
      </w:r>
      <w:hyperlink w:anchor="latin-record-0465">
        <w:r>
          <w:rPr>
            <w:color w:val="000000"/>
          </w:rPr>
          <w:t xml:space="preserve">formosus / exactus / ars</w:t>
        </w:r>
      </w:hyperlink>
      <w:r>
        <w:rPr>
          <w:b w:val="0"/>
          <w:i w:val="0"/>
        </w:rPr>
        <w:t>.</w:t>
      </w:r>
    </w:p>
    <w:p>
      <w:pPr>
        <w:widowControl/>
      </w:pPr>
      <w:r>
        <w:rPr>
          <w:b/>
          <w:i w:val="0"/>
        </w:rPr>
        <w:t>exactius.</w:t>
      </w:r>
      <w:r>
        <w:rPr>
          <w:b w:val="0"/>
          <w:i w:val="0"/>
        </w:rPr>
        <w:t xml:space="preserve"> </w:t>
      </w:r>
      <w:hyperlink w:anchor="latin-record-0465">
        <w:r>
          <w:rPr>
            <w:color w:val="000000"/>
          </w:rPr>
          <w:t xml:space="preserve">formosus / exactus / ars</w:t>
        </w:r>
      </w:hyperlink>
      <w:r>
        <w:rPr>
          <w:b w:val="0"/>
          <w:i w:val="0"/>
        </w:rPr>
        <w:t>.</w:t>
      </w:r>
    </w:p>
    <w:p>
      <w:pPr>
        <w:widowControl/>
      </w:pPr>
      <w:r>
        <w:rPr>
          <w:b/>
          <w:i w:val="0"/>
        </w:rPr>
        <w:t>excedat.</w:t>
      </w:r>
      <w:r>
        <w:rPr>
          <w:b w:val="0"/>
          <w:i w:val="0"/>
        </w:rPr>
        <w:t xml:space="preserve"> </w:t>
      </w:r>
      <w:hyperlink w:anchor="latin-record-0393">
        <w:r>
          <w:rPr>
            <w:color w:val="000000"/>
          </w:rPr>
          <w:t xml:space="preserve">excedere / superare</w:t>
        </w:r>
      </w:hyperlink>
      <w:r>
        <w:rPr>
          <w:b w:val="0"/>
          <w:i w:val="0"/>
        </w:rPr>
        <w:t>.</w:t>
      </w:r>
    </w:p>
    <w:p>
      <w:pPr>
        <w:widowControl/>
      </w:pPr>
      <w:r>
        <w:rPr>
          <w:b/>
          <w:i w:val="0"/>
        </w:rPr>
        <w:t>excedetur.</w:t>
      </w:r>
      <w:r>
        <w:rPr>
          <w:b w:val="0"/>
          <w:i w:val="0"/>
        </w:rPr>
        <w:t xml:space="preserve"> </w:t>
      </w:r>
      <w:hyperlink w:anchor="latin-record-0393">
        <w:r>
          <w:rPr>
            <w:color w:val="000000"/>
          </w:rPr>
          <w:t xml:space="preserve">excedere / superare</w:t>
        </w:r>
      </w:hyperlink>
      <w:r>
        <w:rPr>
          <w:b w:val="0"/>
          <w:i w:val="0"/>
        </w:rPr>
        <w:t>.</w:t>
      </w:r>
    </w:p>
    <w:p>
      <w:pPr>
        <w:widowControl/>
      </w:pPr>
      <w:r>
        <w:rPr>
          <w:b/>
          <w:i w:val="0"/>
        </w:rPr>
        <w:t>excedit.</w:t>
      </w:r>
      <w:r>
        <w:rPr>
          <w:b w:val="0"/>
          <w:i w:val="0"/>
        </w:rPr>
        <w:t xml:space="preserve"> </w:t>
      </w:r>
      <w:hyperlink w:anchor="latin-record-0154">
        <w:r>
          <w:rPr>
            <w:color w:val="000000"/>
          </w:rPr>
          <w:t xml:space="preserve">cedere / excedere</w:t>
        </w:r>
      </w:hyperlink>
      <w:r>
        <w:rPr>
          <w:b w:val="0"/>
          <w:i w:val="0"/>
        </w:rPr>
        <w:t>.</w:t>
      </w:r>
    </w:p>
    <w:p>
      <w:pPr>
        <w:widowControl/>
      </w:pPr>
      <w:r>
        <w:rPr>
          <w:b/>
          <w:i w:val="0"/>
        </w:rPr>
        <w:t>excellentissimam.</w:t>
      </w:r>
      <w:r>
        <w:rPr>
          <w:b w:val="0"/>
          <w:i w:val="0"/>
        </w:rPr>
        <w:t xml:space="preserve"> </w:t>
      </w:r>
      <w:hyperlink w:anchor="latin-record-0394">
        <w:r>
          <w:rPr>
            <w:color w:val="000000"/>
          </w:rPr>
          <w:t xml:space="preserve">excellens / eminens / deterior / altior / remotior</w:t>
        </w:r>
      </w:hyperlink>
      <w:r>
        <w:rPr>
          <w:b w:val="0"/>
          <w:i w:val="0"/>
        </w:rPr>
        <w:t>.</w:t>
      </w:r>
    </w:p>
    <w:p>
      <w:pPr>
        <w:widowControl/>
      </w:pPr>
      <w:r>
        <w:rPr>
          <w:b/>
          <w:i w:val="0"/>
        </w:rPr>
        <w:t>excellentius.</w:t>
      </w:r>
      <w:r>
        <w:rPr>
          <w:b w:val="0"/>
          <w:i w:val="0"/>
        </w:rPr>
        <w:t xml:space="preserve"> </w:t>
      </w:r>
      <w:hyperlink w:anchor="latin-record-0394">
        <w:r>
          <w:rPr>
            <w:color w:val="000000"/>
          </w:rPr>
          <w:t xml:space="preserve">excellens / eminens / deterior / altior / remotior</w:t>
        </w:r>
      </w:hyperlink>
      <w:r>
        <w:rPr>
          <w:b w:val="0"/>
          <w:i w:val="0"/>
        </w:rPr>
        <w:t>.</w:t>
      </w:r>
    </w:p>
    <w:p>
      <w:pPr>
        <w:widowControl/>
      </w:pPr>
      <w:r>
        <w:rPr>
          <w:b/>
          <w:i w:val="0"/>
        </w:rPr>
        <w:t>excessus.</w:t>
      </w:r>
      <w:r>
        <w:rPr>
          <w:b w:val="0"/>
          <w:i w:val="0"/>
        </w:rPr>
        <w:t xml:space="preserve"> </w:t>
      </w:r>
      <w:hyperlink w:anchor="latin-record-0393">
        <w:r>
          <w:rPr>
            <w:color w:val="000000"/>
          </w:rPr>
          <w:t xml:space="preserve">excedere / superare</w:t>
        </w:r>
      </w:hyperlink>
      <w:r>
        <w:rPr>
          <w:b w:val="0"/>
          <w:i w:val="0"/>
        </w:rPr>
        <w:t>.</w:t>
      </w:r>
    </w:p>
    <w:p>
      <w:pPr>
        <w:widowControl/>
      </w:pPr>
      <w:r>
        <w:rPr>
          <w:b/>
          <w:i w:val="0"/>
        </w:rPr>
        <w:t>excitatur.</w:t>
      </w:r>
      <w:r>
        <w:rPr>
          <w:b w:val="0"/>
          <w:i w:val="0"/>
        </w:rPr>
        <w:t xml:space="preserve"> </w:t>
      </w:r>
      <w:hyperlink w:anchor="latin-record-0087">
        <w:r>
          <w:rPr>
            <w:color w:val="000000"/>
          </w:rPr>
          <w:t xml:space="preserve">appetitus excitatus</w:t>
        </w:r>
      </w:hyperlink>
      <w:r>
        <w:rPr>
          <w:b w:val="0"/>
          <w:i w:val="0"/>
        </w:rPr>
        <w:t>.</w:t>
      </w:r>
    </w:p>
    <w:p>
      <w:pPr>
        <w:widowControl/>
      </w:pPr>
      <w:r>
        <w:rPr>
          <w:b/>
          <w:i w:val="0"/>
        </w:rPr>
        <w:t>excogitemus.</w:t>
      </w:r>
      <w:r>
        <w:rPr>
          <w:b w:val="0"/>
          <w:i w:val="0"/>
        </w:rPr>
        <w:t xml:space="preserve"> </w:t>
      </w:r>
      <w:hyperlink w:anchor="latin-record-0392">
        <w:r>
          <w:rPr>
            <w:color w:val="000000"/>
          </w:rPr>
          <w:t xml:space="preserve">ex-cogitare / fateri</w:t>
        </w:r>
      </w:hyperlink>
      <w:r>
        <w:rPr>
          <w:b w:val="0"/>
          <w:i w:val="0"/>
        </w:rPr>
        <w:t>.</w:t>
      </w:r>
    </w:p>
    <w:p>
      <w:pPr>
        <w:widowControl/>
      </w:pPr>
      <w:r>
        <w:rPr>
          <w:b/>
          <w:i w:val="0"/>
        </w:rPr>
        <w:t>excrescere.</w:t>
      </w:r>
      <w:r>
        <w:rPr>
          <w:b w:val="0"/>
          <w:i w:val="0"/>
        </w:rPr>
        <w:t xml:space="preserve"> </w:t>
      </w:r>
      <w:hyperlink w:anchor="latin-record-0395">
        <w:r>
          <w:rPr>
            <w:color w:val="000000"/>
          </w:rPr>
          <w:t xml:space="preserve">excresco / invalesco</w:t>
        </w:r>
      </w:hyperlink>
      <w:r>
        <w:rPr>
          <w:b w:val="0"/>
          <w:i w:val="0"/>
        </w:rPr>
        <w:t>.</w:t>
      </w:r>
    </w:p>
    <w:p>
      <w:pPr>
        <w:widowControl/>
      </w:pPr>
      <w:r>
        <w:rPr>
          <w:b/>
          <w:i w:val="0"/>
        </w:rPr>
        <w:t>exemplar.</w:t>
      </w:r>
      <w:r>
        <w:rPr>
          <w:b w:val="0"/>
          <w:i w:val="0"/>
        </w:rPr>
        <w:t xml:space="preserve"> </w:t>
      </w:r>
      <w:hyperlink w:anchor="latin-record-0396">
        <w:r>
          <w:rPr>
            <w:color w:val="000000"/>
          </w:rPr>
          <w:t xml:space="preserve">exemplar / exprimere / imitari</w:t>
        </w:r>
      </w:hyperlink>
      <w:r>
        <w:rPr>
          <w:b w:val="0"/>
          <w:i w:val="0"/>
        </w:rPr>
        <w:t>.</w:t>
      </w:r>
    </w:p>
    <w:p>
      <w:pPr>
        <w:widowControl/>
      </w:pPr>
      <w:r>
        <w:rPr>
          <w:b/>
          <w:i w:val="0"/>
        </w:rPr>
        <w:t>exemplaria.</w:t>
      </w:r>
      <w:r>
        <w:rPr>
          <w:b w:val="0"/>
          <w:i w:val="0"/>
        </w:rPr>
        <w:t xml:space="preserve"> </w:t>
      </w:r>
      <w:hyperlink w:anchor="latin-record-0733">
        <w:r>
          <w:rPr>
            <w:color w:val="000000"/>
          </w:rPr>
          <w:t xml:space="preserve">munus / imago / exemplar</w:t>
        </w:r>
      </w:hyperlink>
      <w:r>
        <w:rPr>
          <w:b w:val="0"/>
          <w:i w:val="0"/>
        </w:rPr>
        <w:t>.</w:t>
      </w:r>
    </w:p>
    <w:p>
      <w:pPr>
        <w:widowControl/>
      </w:pPr>
      <w:r>
        <w:rPr>
          <w:b/>
          <w:i w:val="0"/>
        </w:rPr>
        <w:t>exemplaris.</w:t>
      </w:r>
      <w:r>
        <w:rPr>
          <w:b w:val="0"/>
          <w:i w:val="0"/>
        </w:rPr>
        <w:t xml:space="preserve"> </w:t>
      </w:r>
      <w:hyperlink w:anchor="latin-record-0396">
        <w:r>
          <w:rPr>
            <w:color w:val="000000"/>
          </w:rPr>
          <w:t xml:space="preserve">exemplar / exprimere / imitari</w:t>
        </w:r>
      </w:hyperlink>
      <w:r>
        <w:rPr>
          <w:b w:val="0"/>
          <w:i w:val="0"/>
        </w:rPr>
        <w:t>.</w:t>
      </w:r>
    </w:p>
    <w:p>
      <w:pPr>
        <w:widowControl/>
      </w:pPr>
      <w:r>
        <w:rPr>
          <w:b/>
          <w:i w:val="0"/>
        </w:rPr>
        <w:t>exemplo.</w:t>
      </w:r>
      <w:r>
        <w:rPr>
          <w:b w:val="0"/>
          <w:i w:val="0"/>
        </w:rPr>
        <w:t xml:space="preserve"> </w:t>
      </w:r>
      <w:hyperlink w:anchor="latin-record-0398">
        <w:r>
          <w:rPr>
            <w:color w:val="000000"/>
          </w:rPr>
          <w:t xml:space="preserve">exemplum / signum / indicare</w:t>
        </w:r>
      </w:hyperlink>
      <w:r>
        <w:rPr>
          <w:b w:val="0"/>
          <w:i w:val="0"/>
        </w:rPr>
        <w:t>.</w:t>
      </w:r>
    </w:p>
    <w:p>
      <w:pPr>
        <w:widowControl/>
      </w:pPr>
      <w:r>
        <w:rPr>
          <w:b/>
          <w:i w:val="0"/>
        </w:rPr>
        <w:t>exemplum.</w:t>
      </w:r>
      <w:r>
        <w:rPr>
          <w:b w:val="0"/>
          <w:i w:val="0"/>
        </w:rPr>
        <w:t xml:space="preserve"> </w:t>
      </w:r>
      <w:hyperlink w:anchor="latin-record-0397">
        <w:r>
          <w:rPr>
            <w:color w:val="000000"/>
          </w:rPr>
          <w:t xml:space="preserve">exemplum / instar</w:t>
        </w:r>
      </w:hyperlink>
      <w:r>
        <w:rPr>
          <w:b w:val="0"/>
          <w:i w:val="0"/>
        </w:rPr>
        <w:t>.</w:t>
      </w:r>
    </w:p>
    <w:p>
      <w:pPr>
        <w:widowControl/>
      </w:pPr>
      <w:r>
        <w:rPr>
          <w:b/>
          <w:i w:val="0"/>
        </w:rPr>
        <w:t>exercitus.</w:t>
      </w:r>
      <w:r>
        <w:rPr>
          <w:b w:val="0"/>
          <w:i w:val="0"/>
        </w:rPr>
        <w:t xml:space="preserve"> </w:t>
      </w:r>
      <w:hyperlink w:anchor="latin-record-0399">
        <w:r>
          <w:rPr>
            <w:color w:val="000000"/>
          </w:rPr>
          <w:t xml:space="preserve">exercitus / dux</w:t>
        </w:r>
      </w:hyperlink>
      <w:r>
        <w:rPr>
          <w:b w:val="0"/>
          <w:i w:val="0"/>
        </w:rPr>
        <w:t xml:space="preserve">; </w:t>
      </w:r>
      <w:hyperlink w:anchor="latin-record-0400">
        <w:r>
          <w:rPr>
            <w:color w:val="000000"/>
          </w:rPr>
          <w:t xml:space="preserve">exercitus / dux / princeps</w:t>
        </w:r>
      </w:hyperlink>
      <w:r>
        <w:rPr>
          <w:b w:val="0"/>
          <w:i w:val="0"/>
        </w:rPr>
        <w:t>.</w:t>
      </w:r>
    </w:p>
    <w:p>
      <w:pPr>
        <w:widowControl/>
      </w:pPr>
      <w:r>
        <w:rPr>
          <w:b/>
          <w:i w:val="0"/>
        </w:rPr>
        <w:t>exhalationem.</w:t>
      </w:r>
      <w:r>
        <w:rPr>
          <w:b w:val="0"/>
          <w:i w:val="0"/>
        </w:rPr>
        <w:t xml:space="preserve"> </w:t>
      </w:r>
      <w:hyperlink w:anchor="latin-record-0401">
        <w:r>
          <w:rPr>
            <w:color w:val="000000"/>
          </w:rPr>
          <w:t xml:space="preserve">exhalatio</w:t>
        </w:r>
      </w:hyperlink>
      <w:r>
        <w:rPr>
          <w:b w:val="0"/>
          <w:i w:val="0"/>
        </w:rPr>
        <w:t>.</w:t>
      </w:r>
    </w:p>
    <w:p>
      <w:pPr>
        <w:widowControl/>
      </w:pPr>
      <w:r>
        <w:rPr>
          <w:b/>
          <w:i w:val="0"/>
        </w:rPr>
        <w:t>exhalationibus.</w:t>
      </w:r>
      <w:r>
        <w:rPr>
          <w:b w:val="0"/>
          <w:i w:val="0"/>
        </w:rPr>
        <w:t xml:space="preserve"> </w:t>
      </w:r>
      <w:hyperlink w:anchor="latin-record-0401">
        <w:r>
          <w:rPr>
            <w:color w:val="000000"/>
          </w:rPr>
          <w:t xml:space="preserve">exhalatio</w:t>
        </w:r>
      </w:hyperlink>
      <w:r>
        <w:rPr>
          <w:b w:val="0"/>
          <w:i w:val="0"/>
        </w:rPr>
        <w:t>.</w:t>
      </w:r>
    </w:p>
    <w:p>
      <w:pPr>
        <w:widowControl/>
      </w:pPr>
      <w:r>
        <w:rPr>
          <w:b/>
          <w:i w:val="0"/>
        </w:rPr>
        <w:t>exhibebit.</w:t>
      </w:r>
      <w:r>
        <w:rPr>
          <w:b w:val="0"/>
          <w:i w:val="0"/>
        </w:rPr>
        <w:t xml:space="preserve"> </w:t>
      </w:r>
      <w:hyperlink w:anchor="latin-record-0292">
        <w:r>
          <w:rPr>
            <w:color w:val="000000"/>
          </w:rPr>
          <w:t xml:space="preserve">dare / donare / exhibere</w:t>
        </w:r>
      </w:hyperlink>
      <w:r>
        <w:rPr>
          <w:b w:val="0"/>
          <w:i w:val="0"/>
        </w:rPr>
        <w:t>.</w:t>
      </w:r>
    </w:p>
    <w:p>
      <w:pPr>
        <w:widowControl/>
      </w:pPr>
      <w:r>
        <w:rPr>
          <w:b/>
          <w:i w:val="0"/>
        </w:rPr>
        <w:t>exigit.</w:t>
      </w:r>
      <w:r>
        <w:rPr>
          <w:b w:val="0"/>
          <w:i w:val="0"/>
        </w:rPr>
        <w:t xml:space="preserve"> </w:t>
      </w:r>
      <w:hyperlink w:anchor="latin-record-0402">
        <w:r>
          <w:rPr>
            <w:color w:val="000000"/>
          </w:rPr>
          <w:t xml:space="preserve">exigere / requirere</w:t>
        </w:r>
      </w:hyperlink>
      <w:r>
        <w:rPr>
          <w:b w:val="0"/>
          <w:i w:val="0"/>
        </w:rPr>
        <w:t>.</w:t>
      </w:r>
    </w:p>
    <w:p>
      <w:pPr>
        <w:widowControl/>
      </w:pPr>
      <w:r>
        <w:rPr>
          <w:b/>
          <w:i w:val="0"/>
        </w:rPr>
        <w:t>exiguam.</w:t>
      </w:r>
      <w:r>
        <w:rPr>
          <w:b w:val="0"/>
          <w:i w:val="0"/>
        </w:rPr>
        <w:t xml:space="preserve"> </w:t>
      </w:r>
      <w:hyperlink w:anchor="latin-record-0404">
        <w:r>
          <w:rPr>
            <w:color w:val="000000"/>
          </w:rPr>
          <w:t xml:space="preserve">exilis / exiguus / parvitas</w:t>
        </w:r>
      </w:hyperlink>
      <w:r>
        <w:rPr>
          <w:b w:val="0"/>
          <w:i w:val="0"/>
        </w:rPr>
        <w:t>.</w:t>
      </w:r>
    </w:p>
    <w:p>
      <w:pPr>
        <w:widowControl/>
      </w:pPr>
      <w:r>
        <w:rPr>
          <w:b/>
          <w:i w:val="0"/>
        </w:rPr>
        <w:t>exiguntur.</w:t>
      </w:r>
      <w:r>
        <w:rPr>
          <w:b w:val="0"/>
          <w:i w:val="0"/>
        </w:rPr>
        <w:t xml:space="preserve"> </w:t>
      </w:r>
      <w:hyperlink w:anchor="latin-record-0403">
        <w:r>
          <w:rPr>
            <w:color w:val="000000"/>
          </w:rPr>
          <w:t xml:space="preserve">exigo / condicio</w:t>
        </w:r>
      </w:hyperlink>
      <w:r>
        <w:rPr>
          <w:b w:val="0"/>
          <w:i w:val="0"/>
        </w:rPr>
        <w:t>.</w:t>
      </w:r>
    </w:p>
    <w:p>
      <w:pPr>
        <w:widowControl/>
      </w:pPr>
      <w:r>
        <w:rPr>
          <w:b/>
          <w:i w:val="0"/>
        </w:rPr>
        <w:t>exilem.</w:t>
      </w:r>
      <w:r>
        <w:rPr>
          <w:b w:val="0"/>
          <w:i w:val="0"/>
        </w:rPr>
        <w:t xml:space="preserve"> </w:t>
      </w:r>
      <w:hyperlink w:anchor="latin-record-0404">
        <w:r>
          <w:rPr>
            <w:color w:val="000000"/>
          </w:rPr>
          <w:t xml:space="preserve">exilis / exiguus / parvitas</w:t>
        </w:r>
      </w:hyperlink>
      <w:r>
        <w:rPr>
          <w:b w:val="0"/>
          <w:i w:val="0"/>
        </w:rPr>
        <w:t>.</w:t>
      </w:r>
    </w:p>
    <w:p>
      <w:pPr>
        <w:widowControl/>
      </w:pPr>
      <w:r>
        <w:rPr>
          <w:b/>
          <w:i w:val="0"/>
        </w:rPr>
        <w:t>existimarunt.</w:t>
      </w:r>
      <w:r>
        <w:rPr>
          <w:b w:val="0"/>
          <w:i w:val="0"/>
        </w:rPr>
        <w:t xml:space="preserve"> </w:t>
      </w:r>
      <w:hyperlink w:anchor="latin-record-0405">
        <w:r>
          <w:rPr>
            <w:color w:val="000000"/>
          </w:rPr>
          <w:t xml:space="preserve">existimare / opinari / arbitrari</w:t>
        </w:r>
      </w:hyperlink>
      <w:r>
        <w:rPr>
          <w:b w:val="0"/>
          <w:i w:val="0"/>
        </w:rPr>
        <w:t>.</w:t>
      </w:r>
    </w:p>
    <w:p>
      <w:pPr>
        <w:widowControl/>
      </w:pPr>
      <w:r>
        <w:rPr>
          <w:b/>
          <w:i w:val="0"/>
        </w:rPr>
        <w:t>existunt.</w:t>
      </w:r>
      <w:r>
        <w:rPr>
          <w:b w:val="0"/>
          <w:i w:val="0"/>
        </w:rPr>
        <w:t xml:space="preserve"> </w:t>
      </w:r>
      <w:hyperlink w:anchor="latin-record-0378">
        <w:r>
          <w:rPr>
            <w:color w:val="000000"/>
          </w:rPr>
          <w:t xml:space="preserve">esse / ens / exsistere</w:t>
        </w:r>
      </w:hyperlink>
      <w:r>
        <w:rPr>
          <w:b w:val="0"/>
          <w:i w:val="0"/>
        </w:rPr>
        <w:t>.</w:t>
      </w:r>
    </w:p>
    <w:p>
      <w:pPr>
        <w:widowControl/>
      </w:pPr>
      <w:r>
        <w:rPr>
          <w:b/>
          <w:i w:val="0"/>
        </w:rPr>
        <w:t>exordiatur.</w:t>
      </w:r>
      <w:r>
        <w:rPr>
          <w:b w:val="0"/>
          <w:i w:val="0"/>
        </w:rPr>
        <w:t xml:space="preserve"> </w:t>
      </w:r>
      <w:hyperlink w:anchor="latin-record-0406">
        <w:r>
          <w:rPr>
            <w:color w:val="000000"/>
          </w:rPr>
          <w:t xml:space="preserve">exordiri / prodire</w:t>
        </w:r>
      </w:hyperlink>
      <w:r>
        <w:rPr>
          <w:b w:val="0"/>
          <w:i w:val="0"/>
        </w:rPr>
        <w:t>.</w:t>
      </w:r>
    </w:p>
    <w:p>
      <w:pPr>
        <w:widowControl/>
      </w:pPr>
      <w:r>
        <w:rPr>
          <w:b/>
          <w:i w:val="0"/>
        </w:rPr>
        <w:t>exordium.</w:t>
      </w:r>
      <w:r>
        <w:rPr>
          <w:b w:val="0"/>
          <w:i w:val="0"/>
        </w:rPr>
        <w:t xml:space="preserve"> </w:t>
      </w:r>
      <w:hyperlink w:anchor="latin-record-0407">
        <w:r>
          <w:rPr>
            <w:color w:val="000000"/>
          </w:rPr>
          <w:t xml:space="preserve">exordium / exordiri</w:t>
        </w:r>
      </w:hyperlink>
      <w:r>
        <w:rPr>
          <w:b w:val="0"/>
          <w:i w:val="0"/>
        </w:rPr>
        <w:t>.</w:t>
      </w:r>
    </w:p>
    <w:p>
      <w:pPr>
        <w:widowControl/>
      </w:pPr>
      <w:r>
        <w:rPr>
          <w:b/>
          <w:i w:val="0"/>
        </w:rPr>
        <w:t>experiatur.</w:t>
      </w:r>
      <w:r>
        <w:rPr>
          <w:b w:val="0"/>
          <w:i w:val="0"/>
        </w:rPr>
        <w:t xml:space="preserve"> </w:t>
      </w:r>
      <w:hyperlink w:anchor="latin-record-0408">
        <w:r>
          <w:rPr>
            <w:color w:val="000000"/>
          </w:rPr>
          <w:t xml:space="preserve">experiri / edere</w:t>
        </w:r>
      </w:hyperlink>
      <w:r>
        <w:rPr>
          <w:b w:val="0"/>
          <w:i w:val="0"/>
        </w:rPr>
        <w:t>.</w:t>
      </w:r>
    </w:p>
    <w:p>
      <w:pPr>
        <w:widowControl/>
      </w:pPr>
      <w:r>
        <w:rPr>
          <w:b/>
          <w:i w:val="0"/>
        </w:rPr>
        <w:t>expers.</w:t>
      </w:r>
      <w:r>
        <w:rPr>
          <w:b w:val="0"/>
          <w:i w:val="0"/>
        </w:rPr>
        <w:t xml:space="preserve"> </w:t>
      </w:r>
      <w:hyperlink w:anchor="latin-record-0149">
        <w:r>
          <w:rPr>
            <w:color w:val="000000"/>
          </w:rPr>
          <w:t xml:space="preserve">careo / expers</w:t>
        </w:r>
      </w:hyperlink>
      <w:r>
        <w:rPr>
          <w:b w:val="0"/>
          <w:i w:val="0"/>
        </w:rPr>
        <w:t xml:space="preserve">; </w:t>
      </w:r>
      <w:hyperlink w:anchor="latin-record-0933">
        <w:r>
          <w:rPr>
            <w:color w:val="000000"/>
          </w:rPr>
          <w:t xml:space="preserve">privare / expers</w:t>
        </w:r>
      </w:hyperlink>
      <w:r>
        <w:rPr>
          <w:b w:val="0"/>
          <w:i w:val="0"/>
        </w:rPr>
        <w:t>.</w:t>
      </w:r>
    </w:p>
    <w:p>
      <w:pPr>
        <w:widowControl/>
      </w:pPr>
      <w:r>
        <w:rPr>
          <w:b/>
          <w:i w:val="0"/>
        </w:rPr>
        <w:t>expetendaque.</w:t>
      </w:r>
      <w:r>
        <w:rPr>
          <w:b w:val="0"/>
          <w:i w:val="0"/>
        </w:rPr>
        <w:t xml:space="preserve"> </w:t>
      </w:r>
      <w:hyperlink w:anchor="latin-record-0409">
        <w:r>
          <w:rPr>
            <w:color w:val="000000"/>
          </w:rPr>
          <w:t xml:space="preserve">expetere / desiderare</w:t>
        </w:r>
      </w:hyperlink>
      <w:r>
        <w:rPr>
          <w:b w:val="0"/>
          <w:i w:val="0"/>
        </w:rPr>
        <w:t>.</w:t>
      </w:r>
    </w:p>
    <w:p>
      <w:pPr>
        <w:widowControl/>
      </w:pPr>
      <w:r>
        <w:rPr>
          <w:b/>
          <w:i w:val="0"/>
        </w:rPr>
        <w:t>expetunt.</w:t>
      </w:r>
      <w:r>
        <w:rPr>
          <w:b w:val="0"/>
          <w:i w:val="0"/>
        </w:rPr>
        <w:t xml:space="preserve"> </w:t>
      </w:r>
      <w:hyperlink w:anchor="latin-record-0409">
        <w:r>
          <w:rPr>
            <w:color w:val="000000"/>
          </w:rPr>
          <w:t xml:space="preserve">expetere / desiderare</w:t>
        </w:r>
      </w:hyperlink>
      <w:r>
        <w:rPr>
          <w:b w:val="0"/>
          <w:i w:val="0"/>
        </w:rPr>
        <w:t>.</w:t>
      </w:r>
    </w:p>
    <w:p>
      <w:pPr>
        <w:widowControl/>
      </w:pPr>
      <w:r>
        <w:rPr>
          <w:b/>
          <w:i w:val="0"/>
        </w:rPr>
        <w:t>expletur.</w:t>
      </w:r>
      <w:r>
        <w:rPr>
          <w:b w:val="0"/>
          <w:i w:val="0"/>
        </w:rPr>
        <w:t xml:space="preserve"> </w:t>
      </w:r>
      <w:hyperlink w:anchor="latin-record-0853">
        <w:r>
          <w:rPr>
            <w:color w:val="000000"/>
          </w:rPr>
          <w:t xml:space="preserve">peragere / explere</w:t>
        </w:r>
      </w:hyperlink>
      <w:r>
        <w:rPr>
          <w:b w:val="0"/>
          <w:i w:val="0"/>
        </w:rPr>
        <w:t>.</w:t>
      </w:r>
    </w:p>
    <w:p>
      <w:pPr>
        <w:widowControl/>
      </w:pPr>
      <w:r>
        <w:rPr>
          <w:b/>
          <w:i w:val="0"/>
        </w:rPr>
        <w:t>explicat.</w:t>
      </w:r>
      <w:r>
        <w:rPr>
          <w:b w:val="0"/>
          <w:i w:val="0"/>
        </w:rPr>
        <w:t xml:space="preserve"> </w:t>
      </w:r>
      <w:hyperlink w:anchor="latin-record-0543">
        <w:r>
          <w:rPr>
            <w:color w:val="000000"/>
          </w:rPr>
          <w:t xml:space="preserve">implicare / explicare / replicare</w:t>
        </w:r>
      </w:hyperlink>
      <w:r>
        <w:rPr>
          <w:b w:val="0"/>
          <w:i w:val="0"/>
        </w:rPr>
        <w:t xml:space="preserve">; </w:t>
      </w:r>
      <w:hyperlink w:anchor="latin-record-1046">
        <w:r>
          <w:rPr>
            <w:color w:val="000000"/>
          </w:rPr>
          <w:t xml:space="preserve">replicare / explicare</w:t>
        </w:r>
      </w:hyperlink>
      <w:r>
        <w:rPr>
          <w:b w:val="0"/>
          <w:i w:val="0"/>
        </w:rPr>
        <w:t xml:space="preserve">; </w:t>
      </w:r>
      <w:hyperlink w:anchor="latin-record-1097">
        <w:r>
          <w:rPr>
            <w:color w:val="000000"/>
          </w:rPr>
          <w:t xml:space="preserve">serere / parere / explicare</w:t>
        </w:r>
      </w:hyperlink>
      <w:r>
        <w:rPr>
          <w:b w:val="0"/>
          <w:i w:val="0"/>
        </w:rPr>
        <w:t>.</w:t>
      </w:r>
    </w:p>
    <w:p>
      <w:pPr>
        <w:widowControl/>
      </w:pPr>
      <w:r>
        <w:rPr>
          <w:b/>
          <w:i w:val="0"/>
        </w:rPr>
        <w:t>explicatur.</w:t>
      </w:r>
      <w:r>
        <w:rPr>
          <w:b w:val="0"/>
          <w:i w:val="0"/>
        </w:rPr>
        <w:t xml:space="preserve"> </w:t>
      </w:r>
      <w:hyperlink w:anchor="latin-record-0543">
        <w:r>
          <w:rPr>
            <w:color w:val="000000"/>
          </w:rPr>
          <w:t xml:space="preserve">implicare / explicare / replicare</w:t>
        </w:r>
      </w:hyperlink>
      <w:r>
        <w:rPr>
          <w:b w:val="0"/>
          <w:i w:val="0"/>
        </w:rPr>
        <w:t>.</w:t>
      </w:r>
    </w:p>
    <w:p>
      <w:pPr>
        <w:widowControl/>
      </w:pPr>
      <w:r>
        <w:rPr>
          <w:b/>
          <w:i w:val="0"/>
        </w:rPr>
        <w:t>exposita.</w:t>
      </w:r>
      <w:r>
        <w:rPr>
          <w:b w:val="0"/>
          <w:i w:val="0"/>
        </w:rPr>
        <w:t xml:space="preserve"> </w:t>
      </w:r>
      <w:hyperlink w:anchor="latin-record-0630">
        <w:r>
          <w:rPr>
            <w:color w:val="000000"/>
          </w:rPr>
          <w:t xml:space="preserve">latere / exponere</w:t>
        </w:r>
      </w:hyperlink>
      <w:r>
        <w:rPr>
          <w:b w:val="0"/>
          <w:i w:val="0"/>
        </w:rPr>
        <w:t>.</w:t>
      </w:r>
    </w:p>
    <w:p>
      <w:pPr>
        <w:widowControl/>
      </w:pPr>
      <w:r>
        <w:rPr>
          <w:b/>
          <w:i w:val="0"/>
        </w:rPr>
        <w:t>exprimatur.</w:t>
      </w:r>
      <w:r>
        <w:rPr>
          <w:b w:val="0"/>
          <w:i w:val="0"/>
        </w:rPr>
        <w:t xml:space="preserve"> </w:t>
      </w:r>
      <w:hyperlink w:anchor="latin-record-0410">
        <w:r>
          <w:rPr>
            <w:color w:val="000000"/>
          </w:rPr>
          <w:t xml:space="preserve">exprimere / referre</w:t>
        </w:r>
      </w:hyperlink>
      <w:r>
        <w:rPr>
          <w:b w:val="0"/>
          <w:i w:val="0"/>
        </w:rPr>
        <w:t>.</w:t>
      </w:r>
    </w:p>
    <w:p>
      <w:pPr>
        <w:widowControl/>
      </w:pPr>
      <w:r>
        <w:rPr>
          <w:b/>
          <w:i w:val="0"/>
        </w:rPr>
        <w:t>exprimere.</w:t>
      </w:r>
      <w:r>
        <w:rPr>
          <w:b w:val="0"/>
          <w:i w:val="0"/>
        </w:rPr>
        <w:t xml:space="preserve"> </w:t>
      </w:r>
      <w:hyperlink w:anchor="latin-record-0530">
        <w:r>
          <w:rPr>
            <w:color w:val="000000"/>
          </w:rPr>
          <w:t xml:space="preserve">imitor / exprimo</w:t>
        </w:r>
      </w:hyperlink>
      <w:r>
        <w:rPr>
          <w:b w:val="0"/>
          <w:i w:val="0"/>
        </w:rPr>
        <w:t>.</w:t>
      </w:r>
    </w:p>
    <w:p>
      <w:pPr>
        <w:widowControl/>
      </w:pPr>
      <w:r>
        <w:rPr>
          <w:b/>
          <w:i w:val="0"/>
        </w:rPr>
        <w:t>exprimi.</w:t>
      </w:r>
      <w:r>
        <w:rPr>
          <w:b w:val="0"/>
          <w:i w:val="0"/>
        </w:rPr>
        <w:t xml:space="preserve"> </w:t>
      </w:r>
      <w:hyperlink w:anchor="latin-record-0396">
        <w:r>
          <w:rPr>
            <w:color w:val="000000"/>
          </w:rPr>
          <w:t xml:space="preserve">exemplar / exprimere / imitari</w:t>
        </w:r>
      </w:hyperlink>
      <w:r>
        <w:rPr>
          <w:b w:val="0"/>
          <w:i w:val="0"/>
        </w:rPr>
        <w:t>.</w:t>
      </w:r>
    </w:p>
    <w:p>
      <w:pPr>
        <w:widowControl/>
      </w:pPr>
      <w:r>
        <w:rPr>
          <w:b/>
          <w:i w:val="0"/>
        </w:rPr>
        <w:t>expugnat.</w:t>
      </w:r>
      <w:r>
        <w:rPr>
          <w:b w:val="0"/>
          <w:i w:val="0"/>
        </w:rPr>
        <w:t xml:space="preserve"> </w:t>
      </w:r>
      <w:hyperlink w:anchor="latin-record-0411">
        <w:r>
          <w:rPr>
            <w:color w:val="000000"/>
          </w:rPr>
          <w:t xml:space="preserve">expugnare / repugnare</w:t>
        </w:r>
      </w:hyperlink>
      <w:r>
        <w:rPr>
          <w:b w:val="0"/>
          <w:i w:val="0"/>
        </w:rPr>
        <w:t>.</w:t>
      </w:r>
    </w:p>
    <w:p>
      <w:pPr>
        <w:widowControl/>
      </w:pPr>
      <w:r>
        <w:rPr>
          <w:b/>
          <w:i w:val="0"/>
        </w:rPr>
        <w:t>exsuperet.</w:t>
      </w:r>
      <w:r>
        <w:rPr>
          <w:b w:val="0"/>
          <w:i w:val="0"/>
        </w:rPr>
        <w:t xml:space="preserve"> </w:t>
      </w:r>
      <w:hyperlink w:anchor="latin-record-0669">
        <w:r>
          <w:rPr>
            <w:color w:val="000000"/>
          </w:rPr>
          <w:t xml:space="preserve">manere / exsuperare</w:t>
        </w:r>
      </w:hyperlink>
      <w:r>
        <w:rPr>
          <w:b w:val="0"/>
          <w:i w:val="0"/>
        </w:rPr>
        <w:t>.</w:t>
      </w:r>
    </w:p>
    <w:p>
      <w:pPr>
        <w:widowControl/>
      </w:pPr>
      <w:r>
        <w:rPr>
          <w:b/>
          <w:i w:val="0"/>
        </w:rPr>
        <w:t>extendere.</w:t>
      </w:r>
      <w:r>
        <w:rPr>
          <w:b w:val="0"/>
          <w:i w:val="0"/>
        </w:rPr>
        <w:t xml:space="preserve"> </w:t>
      </w:r>
      <w:hyperlink w:anchor="latin-record-0412">
        <w:r>
          <w:rPr>
            <w:color w:val="000000"/>
          </w:rPr>
          <w:t xml:space="preserve">extendere / extensio</w:t>
        </w:r>
      </w:hyperlink>
      <w:r>
        <w:rPr>
          <w:b w:val="0"/>
          <w:i w:val="0"/>
        </w:rPr>
        <w:t>.</w:t>
      </w:r>
    </w:p>
    <w:p>
      <w:pPr>
        <w:widowControl/>
      </w:pPr>
      <w:r>
        <w:rPr>
          <w:b/>
          <w:i w:val="0"/>
        </w:rPr>
        <w:t>extendi.</w:t>
      </w:r>
      <w:r>
        <w:rPr>
          <w:b w:val="0"/>
          <w:i w:val="0"/>
        </w:rPr>
        <w:t xml:space="preserve"> </w:t>
      </w:r>
      <w:hyperlink w:anchor="latin-record-0413">
        <w:r>
          <w:rPr>
            <w:color w:val="000000"/>
          </w:rPr>
          <w:t xml:space="preserve">extendo / extensio</w:t>
        </w:r>
      </w:hyperlink>
      <w:r>
        <w:rPr>
          <w:b w:val="0"/>
          <w:i w:val="0"/>
        </w:rPr>
        <w:t>.</w:t>
      </w:r>
    </w:p>
    <w:p>
      <w:pPr>
        <w:widowControl/>
      </w:pPr>
      <w:r>
        <w:rPr>
          <w:b/>
          <w:i w:val="0"/>
        </w:rPr>
        <w:t>extendit.</w:t>
      </w:r>
      <w:r>
        <w:rPr>
          <w:b w:val="0"/>
          <w:i w:val="0"/>
        </w:rPr>
        <w:t xml:space="preserve"> </w:t>
      </w:r>
      <w:hyperlink w:anchor="latin-record-0412">
        <w:r>
          <w:rPr>
            <w:color w:val="000000"/>
          </w:rPr>
          <w:t xml:space="preserve">extendere / extensio</w:t>
        </w:r>
      </w:hyperlink>
      <w:r>
        <w:rPr>
          <w:b w:val="0"/>
          <w:i w:val="0"/>
        </w:rPr>
        <w:t xml:space="preserve">; </w:t>
      </w:r>
      <w:hyperlink w:anchor="latin-record-0413">
        <w:r>
          <w:rPr>
            <w:color w:val="000000"/>
          </w:rPr>
          <w:t xml:space="preserve">extendo / extensio</w:t>
        </w:r>
      </w:hyperlink>
      <w:r>
        <w:rPr>
          <w:b w:val="0"/>
          <w:i w:val="0"/>
        </w:rPr>
        <w:t>.</w:t>
      </w:r>
    </w:p>
    <w:p>
      <w:pPr>
        <w:widowControl/>
      </w:pPr>
      <w:r>
        <w:rPr>
          <w:b/>
          <w:i w:val="0"/>
        </w:rPr>
        <w:t>extenditur.</w:t>
      </w:r>
      <w:r>
        <w:rPr>
          <w:b w:val="0"/>
          <w:i w:val="0"/>
        </w:rPr>
        <w:t xml:space="preserve"> </w:t>
      </w:r>
      <w:hyperlink w:anchor="latin-record-0412">
        <w:r>
          <w:rPr>
            <w:color w:val="000000"/>
          </w:rPr>
          <w:t xml:space="preserve">extendere / extensio</w:t>
        </w:r>
      </w:hyperlink>
      <w:r>
        <w:rPr>
          <w:b w:val="0"/>
          <w:i w:val="0"/>
        </w:rPr>
        <w:t xml:space="preserve">; </w:t>
      </w:r>
      <w:hyperlink w:anchor="latin-record-0413">
        <w:r>
          <w:rPr>
            <w:color w:val="000000"/>
          </w:rPr>
          <w:t xml:space="preserve">extendo / extensio</w:t>
        </w:r>
      </w:hyperlink>
      <w:r>
        <w:rPr>
          <w:b w:val="0"/>
          <w:i w:val="0"/>
        </w:rPr>
        <w:t>.</w:t>
      </w:r>
    </w:p>
    <w:p>
      <w:pPr>
        <w:widowControl/>
      </w:pPr>
      <w:r>
        <w:rPr>
          <w:b/>
          <w:i w:val="0"/>
        </w:rPr>
        <w:t>extensa.</w:t>
      </w:r>
      <w:r>
        <w:rPr>
          <w:b w:val="0"/>
          <w:i w:val="0"/>
        </w:rPr>
        <w:t xml:space="preserve"> </w:t>
      </w:r>
      <w:hyperlink w:anchor="latin-record-1007">
        <w:r>
          <w:rPr>
            <w:color w:val="000000"/>
          </w:rPr>
          <w:t xml:space="preserve">quantitas / extensio / dimensio</w:t>
        </w:r>
      </w:hyperlink>
      <w:r>
        <w:rPr>
          <w:b w:val="0"/>
          <w:i w:val="0"/>
        </w:rPr>
        <w:t>.</w:t>
      </w:r>
    </w:p>
    <w:p>
      <w:pPr>
        <w:widowControl/>
      </w:pPr>
      <w:r>
        <w:rPr>
          <w:b/>
          <w:i w:val="0"/>
        </w:rPr>
        <w:t>extensio.</w:t>
      </w:r>
      <w:r>
        <w:rPr>
          <w:b w:val="0"/>
          <w:i w:val="0"/>
        </w:rPr>
        <w:t xml:space="preserve"> </w:t>
      </w:r>
      <w:hyperlink w:anchor="latin-record-0413">
        <w:r>
          <w:rPr>
            <w:color w:val="000000"/>
          </w:rPr>
          <w:t xml:space="preserve">extendo / extensio</w:t>
        </w:r>
      </w:hyperlink>
      <w:r>
        <w:rPr>
          <w:b w:val="0"/>
          <w:i w:val="0"/>
        </w:rPr>
        <w:t>.</w:t>
      </w:r>
    </w:p>
    <w:p>
      <w:pPr>
        <w:widowControl/>
      </w:pPr>
      <w:r>
        <w:rPr>
          <w:b/>
          <w:i w:val="0"/>
        </w:rPr>
        <w:t>Extensio.</w:t>
      </w:r>
      <w:r>
        <w:rPr>
          <w:b w:val="0"/>
          <w:i w:val="0"/>
        </w:rPr>
        <w:t xml:space="preserve"> </w:t>
      </w:r>
      <w:hyperlink w:anchor="latin-record-1007">
        <w:r>
          <w:rPr>
            <w:color w:val="000000"/>
          </w:rPr>
          <w:t xml:space="preserve">quantitas / extensio / dimensio</w:t>
        </w:r>
      </w:hyperlink>
      <w:r>
        <w:rPr>
          <w:b w:val="0"/>
          <w:i w:val="0"/>
        </w:rPr>
        <w:t>.</w:t>
      </w:r>
    </w:p>
    <w:p>
      <w:pPr>
        <w:widowControl/>
      </w:pPr>
      <w:r>
        <w:rPr>
          <w:b/>
          <w:i w:val="0"/>
        </w:rPr>
        <w:t>extensione.</w:t>
      </w:r>
      <w:r>
        <w:rPr>
          <w:b w:val="0"/>
          <w:i w:val="0"/>
        </w:rPr>
        <w:t xml:space="preserve"> </w:t>
      </w:r>
      <w:hyperlink w:anchor="latin-record-1007">
        <w:r>
          <w:rPr>
            <w:color w:val="000000"/>
          </w:rPr>
          <w:t xml:space="preserve">quantitas / extensio / dimensio</w:t>
        </w:r>
      </w:hyperlink>
      <w:r>
        <w:rPr>
          <w:b w:val="0"/>
          <w:i w:val="0"/>
        </w:rPr>
        <w:t>.</w:t>
      </w:r>
    </w:p>
    <w:p>
      <w:pPr>
        <w:widowControl/>
      </w:pPr>
      <w:r>
        <w:rPr>
          <w:b/>
          <w:i w:val="0"/>
        </w:rPr>
        <w:t>externa.</w:t>
      </w:r>
      <w:r>
        <w:rPr>
          <w:b w:val="0"/>
          <w:i w:val="0"/>
        </w:rPr>
        <w:t xml:space="preserve"> </w:t>
      </w:r>
      <w:hyperlink w:anchor="latin-record-0414">
        <w:r>
          <w:rPr>
            <w:color w:val="000000"/>
          </w:rPr>
          <w:t xml:space="preserve">exterior / externus</w:t>
        </w:r>
      </w:hyperlink>
      <w:r>
        <w:rPr>
          <w:b w:val="0"/>
          <w:i w:val="0"/>
        </w:rPr>
        <w:t>.</w:t>
      </w:r>
    </w:p>
    <w:p>
      <w:pPr>
        <w:widowControl/>
      </w:pPr>
      <w:r>
        <w:rPr>
          <w:b/>
          <w:i w:val="0"/>
        </w:rPr>
        <w:t>externam.</w:t>
      </w:r>
      <w:r>
        <w:rPr>
          <w:b w:val="0"/>
          <w:i w:val="0"/>
        </w:rPr>
        <w:t xml:space="preserve"> </w:t>
      </w:r>
      <w:hyperlink w:anchor="latin-record-0414">
        <w:r>
          <w:rPr>
            <w:color w:val="000000"/>
          </w:rPr>
          <w:t xml:space="preserve">exterior / externus</w:t>
        </w:r>
      </w:hyperlink>
      <w:r>
        <w:rPr>
          <w:b w:val="0"/>
          <w:i w:val="0"/>
        </w:rPr>
        <w:t>.</w:t>
      </w:r>
    </w:p>
    <w:p>
      <w:pPr>
        <w:widowControl/>
      </w:pPr>
      <w:r>
        <w:rPr>
          <w:b/>
          <w:i w:val="0"/>
        </w:rPr>
        <w:t>extinctus.</w:t>
      </w:r>
      <w:r>
        <w:rPr>
          <w:b w:val="0"/>
          <w:i w:val="0"/>
        </w:rPr>
        <w:t xml:space="preserve"> </w:t>
      </w:r>
      <w:hyperlink w:anchor="latin-record-0415">
        <w:r>
          <w:rPr>
            <w:color w:val="000000"/>
          </w:rPr>
          <w:t xml:space="preserve">extinguo / remotus</w:t>
        </w:r>
      </w:hyperlink>
      <w:r>
        <w:rPr>
          <w:b w:val="0"/>
          <w:i w:val="0"/>
        </w:rPr>
        <w:t>.</w:t>
      </w:r>
    </w:p>
    <w:p>
      <w:pPr>
        <w:widowControl/>
      </w:pPr>
      <w:r>
        <w:rPr>
          <w:b/>
          <w:i w:val="0"/>
        </w:rPr>
        <w:t>extirpentur.</w:t>
      </w:r>
      <w:r>
        <w:rPr>
          <w:b w:val="0"/>
          <w:i w:val="0"/>
        </w:rPr>
        <w:t xml:space="preserve"> </w:t>
      </w:r>
      <w:hyperlink w:anchor="latin-record-0390">
        <w:r>
          <w:rPr>
            <w:color w:val="000000"/>
          </w:rPr>
          <w:t xml:space="preserve">evellere / extirpare</w:t>
        </w:r>
      </w:hyperlink>
      <w:r>
        <w:rPr>
          <w:b w:val="0"/>
          <w:i w:val="0"/>
        </w:rPr>
        <w:t>.</w:t>
      </w:r>
    </w:p>
    <w:p>
      <w:pPr>
        <w:widowControl/>
      </w:pPr>
      <w:r>
        <w:rPr>
          <w:b/>
          <w:i w:val="0"/>
        </w:rPr>
        <w:t>extra.</w:t>
      </w:r>
      <w:r>
        <w:rPr>
          <w:b w:val="0"/>
          <w:i w:val="0"/>
        </w:rPr>
        <w:t xml:space="preserve"> </w:t>
      </w:r>
      <w:hyperlink w:anchor="latin-record-0416">
        <w:r>
          <w:rPr>
            <w:color w:val="000000"/>
          </w:rPr>
          <w:t xml:space="preserve">extra / intus</w:t>
        </w:r>
      </w:hyperlink>
      <w:r>
        <w:rPr>
          <w:b w:val="0"/>
          <w:i w:val="0"/>
        </w:rPr>
        <w:t xml:space="preserve">; </w:t>
      </w:r>
      <w:hyperlink w:anchor="latin-record-0610">
        <w:r>
          <w:rPr>
            <w:color w:val="000000"/>
          </w:rPr>
          <w:t xml:space="preserve">intus / intro / extra / ultra / superne / undique</w:t>
        </w:r>
      </w:hyperlink>
      <w:r>
        <w:rPr>
          <w:b w:val="0"/>
          <w:i w:val="0"/>
        </w:rPr>
        <w:t>.</w:t>
      </w:r>
    </w:p>
    <w:p>
      <w:pPr>
        <w:widowControl/>
      </w:pPr>
      <w:r>
        <w:rPr>
          <w:b/>
          <w:i w:val="0"/>
        </w:rPr>
        <w:t>extrema.</w:t>
      </w:r>
      <w:r>
        <w:rPr>
          <w:b w:val="0"/>
          <w:i w:val="0"/>
        </w:rPr>
        <w:t xml:space="preserve"> </w:t>
      </w:r>
      <w:hyperlink w:anchor="latin-record-0417">
        <w:r>
          <w:rPr>
            <w:color w:val="000000"/>
          </w:rPr>
          <w:t xml:space="preserve">extremum</w:t>
        </w:r>
      </w:hyperlink>
      <w:r>
        <w:rPr>
          <w:b w:val="0"/>
          <w:i w:val="0"/>
        </w:rPr>
        <w:t>.</w:t>
      </w:r>
    </w:p>
    <w:p>
      <w:pPr>
        <w:widowControl/>
      </w:pPr>
      <w:r>
        <w:rPr>
          <w:b/>
          <w:i w:val="0"/>
        </w:rPr>
        <w:t>extremo.</w:t>
      </w:r>
      <w:r>
        <w:rPr>
          <w:b w:val="0"/>
          <w:i w:val="0"/>
        </w:rPr>
        <w:t xml:space="preserve"> </w:t>
      </w:r>
      <w:hyperlink w:anchor="latin-record-0418">
        <w:r>
          <w:rPr>
            <w:color w:val="000000"/>
          </w:rPr>
          <w:t xml:space="preserve">extremum sine medio</w:t>
        </w:r>
      </w:hyperlink>
      <w:r>
        <w:rPr>
          <w:b w:val="0"/>
          <w:i w:val="0"/>
        </w:rPr>
        <w:t>.</w:t>
      </w:r>
    </w:p>
    <w:p>
      <w:pPr>
        <w:widowControl/>
      </w:pPr>
      <w:r>
        <w:rPr>
          <w:b/>
          <w:i w:val="0"/>
        </w:rPr>
        <w:t>extremum.</w:t>
      </w:r>
      <w:r>
        <w:rPr>
          <w:b w:val="0"/>
          <w:i w:val="0"/>
        </w:rPr>
        <w:t xml:space="preserve"> </w:t>
      </w:r>
      <w:hyperlink w:anchor="latin-record-0418">
        <w:r>
          <w:rPr>
            <w:color w:val="000000"/>
          </w:rPr>
          <w:t xml:space="preserve">extremum sine medio</w:t>
        </w:r>
      </w:hyperlink>
      <w:r>
        <w:rPr>
          <w:b w:val="0"/>
          <w:i w:val="0"/>
        </w:rPr>
        <w:t>.</w:t>
      </w:r>
    </w:p>
    <w:p>
      <w:pPr>
        <w:widowControl/>
      </w:pPr>
      <w:r>
        <w:rPr>
          <w:b/>
          <w:i w:val="0"/>
        </w:rPr>
        <w:t>extrinseca.</w:t>
      </w:r>
      <w:r>
        <w:rPr>
          <w:b w:val="0"/>
          <w:i w:val="0"/>
        </w:rPr>
        <w:t xml:space="preserve"> </w:t>
      </w:r>
      <w:hyperlink w:anchor="latin-record-0608">
        <w:r>
          <w:rPr>
            <w:color w:val="000000"/>
          </w:rPr>
          <w:t xml:space="preserve">intrinsecus / extrinsecus</w:t>
        </w:r>
      </w:hyperlink>
      <w:r>
        <w:rPr>
          <w:b w:val="0"/>
          <w:i w:val="0"/>
        </w:rPr>
        <w:t>.</w:t>
      </w:r>
    </w:p>
    <w:p>
      <w:pPr>
        <w:widowControl/>
      </w:pPr>
      <w:r>
        <w:rPr>
          <w:b/>
          <w:i w:val="0"/>
        </w:rPr>
        <w:t>extrinseco.</w:t>
      </w:r>
      <w:r>
        <w:rPr>
          <w:b w:val="0"/>
          <w:i w:val="0"/>
        </w:rPr>
        <w:t xml:space="preserve"> </w:t>
      </w:r>
      <w:hyperlink w:anchor="latin-record-0419">
        <w:r>
          <w:rPr>
            <w:color w:val="000000"/>
          </w:rPr>
          <w:t xml:space="preserve">extrinsecus / aliunde</w:t>
        </w:r>
      </w:hyperlink>
      <w:r>
        <w:rPr>
          <w:b w:val="0"/>
          <w:i w:val="0"/>
        </w:rPr>
        <w:t>.</w:t>
      </w:r>
    </w:p>
    <w:p>
      <w:pPr>
        <w:widowControl/>
      </w:pPr>
      <w:r>
        <w:rPr>
          <w:b/>
          <w:i w:val="0"/>
        </w:rPr>
        <w:t>extrinsecum.</w:t>
      </w:r>
      <w:r>
        <w:rPr>
          <w:b w:val="0"/>
          <w:i w:val="0"/>
        </w:rPr>
        <w:t xml:space="preserve"> </w:t>
      </w:r>
      <w:hyperlink w:anchor="latin-record-0608">
        <w:r>
          <w:rPr>
            <w:color w:val="000000"/>
          </w:rPr>
          <w:t xml:space="preserve">intrinsecus / extrinsecus</w:t>
        </w:r>
      </w:hyperlink>
      <w:r>
        <w:rPr>
          <w:b w:val="0"/>
          <w:i w:val="0"/>
        </w:rPr>
        <w:t>.</w:t>
      </w:r>
    </w:p>
    <w:p>
      <w:pPr>
        <w:widowControl/>
      </w:pPr>
      <w:r>
        <w:rPr>
          <w:b/>
          <w:i w:val="0"/>
        </w:rPr>
        <w:t>extrinsecus.</w:t>
      </w:r>
      <w:r>
        <w:rPr>
          <w:b w:val="0"/>
          <w:i w:val="0"/>
        </w:rPr>
        <w:t xml:space="preserve"> </w:t>
      </w:r>
      <w:hyperlink w:anchor="latin-record-0419">
        <w:r>
          <w:rPr>
            <w:color w:val="000000"/>
          </w:rPr>
          <w:t xml:space="preserve">extrinsecus / aliunde</w:t>
        </w:r>
      </w:hyperlink>
      <w:r>
        <w:rPr>
          <w:b w:val="0"/>
          <w:i w:val="0"/>
        </w:rPr>
        <w:t xml:space="preserve">; </w:t>
      </w:r>
      <w:hyperlink w:anchor="latin-record-0608">
        <w:r>
          <w:rPr>
            <w:color w:val="000000"/>
          </w:rPr>
          <w:t xml:space="preserve">intrinsecus / extrinsecus</w:t>
        </w:r>
      </w:hyperlink>
      <w:r>
        <w:rPr>
          <w:b w:val="0"/>
          <w:i w:val="0"/>
        </w:rPr>
        <w:t>.</w:t>
      </w:r>
    </w:p>
    <w:p>
      <w:pPr>
        <w:widowControl/>
      </w:pPr>
      <w:r>
        <w:rPr>
          <w:b/>
          <w:i w:val="0"/>
        </w:rPr>
        <w:t>exuberando.</w:t>
      </w:r>
      <w:r>
        <w:rPr>
          <w:b w:val="0"/>
          <w:i w:val="0"/>
        </w:rPr>
        <w:t xml:space="preserve"> </w:t>
      </w:r>
      <w:hyperlink w:anchor="latin-record-0420">
        <w:r>
          <w:rPr>
            <w:color w:val="000000"/>
          </w:rPr>
          <w:t xml:space="preserve">exuberare / fundere</w:t>
        </w:r>
      </w:hyperlink>
      <w:r>
        <w:rPr>
          <w:b w:val="0"/>
          <w:i w:val="0"/>
        </w:rPr>
        <w:t>.</w:t>
      </w:r>
    </w:p>
    <w:p>
      <w:pPr>
        <w:widowControl/>
      </w:pPr>
      <w:r>
        <w:rPr>
          <w:b/>
          <w:i w:val="0"/>
        </w:rPr>
        <w:t>faber.</w:t>
      </w:r>
      <w:r>
        <w:rPr>
          <w:b w:val="0"/>
          <w:i w:val="0"/>
        </w:rPr>
        <w:t xml:space="preserve"> </w:t>
      </w:r>
      <w:hyperlink w:anchor="latin-record-0421">
        <w:r>
          <w:rPr>
            <w:color w:val="000000"/>
          </w:rPr>
          <w:t xml:space="preserve">faber / genitor / filius</w:t>
        </w:r>
      </w:hyperlink>
      <w:r>
        <w:rPr>
          <w:b w:val="0"/>
          <w:i w:val="0"/>
        </w:rPr>
        <w:t>.</w:t>
      </w:r>
    </w:p>
    <w:p>
      <w:pPr>
        <w:widowControl/>
      </w:pPr>
      <w:r>
        <w:rPr>
          <w:b/>
          <w:i w:val="0"/>
        </w:rPr>
        <w:t>faber lignarius.</w:t>
      </w:r>
      <w:r>
        <w:rPr>
          <w:b w:val="0"/>
          <w:i w:val="0"/>
        </w:rPr>
        <w:t xml:space="preserve"> </w:t>
      </w:r>
      <w:hyperlink w:anchor="latin-record-0422">
        <w:r>
          <w:rPr>
            <w:color w:val="000000"/>
          </w:rPr>
          <w:t xml:space="preserve">faber lignarius</w:t>
        </w:r>
      </w:hyperlink>
      <w:r>
        <w:rPr>
          <w:b w:val="0"/>
          <w:i w:val="0"/>
        </w:rPr>
        <w:t>.</w:t>
      </w:r>
    </w:p>
    <w:p>
      <w:pPr>
        <w:widowControl/>
      </w:pPr>
      <w:r>
        <w:rPr>
          <w:b/>
          <w:i w:val="0"/>
        </w:rPr>
        <w:t>fabricat.</w:t>
      </w:r>
      <w:r>
        <w:rPr>
          <w:b w:val="0"/>
          <w:i w:val="0"/>
        </w:rPr>
        <w:t xml:space="preserve"> </w:t>
      </w:r>
      <w:hyperlink w:anchor="latin-record-0423">
        <w:r>
          <w:rPr>
            <w:color w:val="000000"/>
          </w:rPr>
          <w:t xml:space="preserve">fabricare / construere / conficere</w:t>
        </w:r>
      </w:hyperlink>
      <w:r>
        <w:rPr>
          <w:b w:val="0"/>
          <w:i w:val="0"/>
        </w:rPr>
        <w:t>.</w:t>
      </w:r>
    </w:p>
    <w:p>
      <w:pPr>
        <w:widowControl/>
      </w:pPr>
      <w:r>
        <w:rPr>
          <w:b/>
          <w:i w:val="0"/>
        </w:rPr>
        <w:t>facere.</w:t>
      </w:r>
      <w:r>
        <w:rPr>
          <w:b w:val="0"/>
          <w:i w:val="0"/>
        </w:rPr>
        <w:t xml:space="preserve"> </w:t>
      </w:r>
      <w:hyperlink w:anchor="latin-record-0424">
        <w:r>
          <w:rPr>
            <w:color w:val="000000"/>
          </w:rPr>
          <w:t xml:space="preserve">facere / efficere</w:t>
        </w:r>
      </w:hyperlink>
      <w:r>
        <w:rPr>
          <w:b w:val="0"/>
          <w:i w:val="0"/>
        </w:rPr>
        <w:t>.</w:t>
      </w:r>
    </w:p>
    <w:p>
      <w:pPr>
        <w:widowControl/>
      </w:pPr>
      <w:r>
        <w:rPr>
          <w:b/>
          <w:i w:val="0"/>
        </w:rPr>
        <w:t>facile.</w:t>
      </w:r>
      <w:r>
        <w:rPr>
          <w:b w:val="0"/>
          <w:i w:val="0"/>
        </w:rPr>
        <w:t xml:space="preserve"> </w:t>
      </w:r>
      <w:hyperlink w:anchor="latin-record-0425">
        <w:r>
          <w:rPr>
            <w:color w:val="000000"/>
          </w:rPr>
          <w:t xml:space="preserve">facile / difficilis</w:t>
        </w:r>
      </w:hyperlink>
      <w:r>
        <w:rPr>
          <w:b w:val="0"/>
          <w:i w:val="0"/>
        </w:rPr>
        <w:t>.</w:t>
      </w:r>
    </w:p>
    <w:p>
      <w:pPr>
        <w:widowControl/>
      </w:pPr>
      <w:r>
        <w:rPr>
          <w:b/>
          <w:i w:val="0"/>
        </w:rPr>
        <w:t>facilior.</w:t>
      </w:r>
      <w:r>
        <w:rPr>
          <w:b w:val="0"/>
          <w:i w:val="0"/>
        </w:rPr>
        <w:t xml:space="preserve"> </w:t>
      </w:r>
      <w:hyperlink w:anchor="latin-record-0288">
        <w:r>
          <w:rPr>
            <w:color w:val="000000"/>
          </w:rPr>
          <w:t xml:space="preserve">cura / labor / facilis</w:t>
        </w:r>
      </w:hyperlink>
      <w:r>
        <w:rPr>
          <w:b w:val="0"/>
          <w:i w:val="0"/>
        </w:rPr>
        <w:t>.</w:t>
      </w:r>
    </w:p>
    <w:p>
      <w:pPr>
        <w:widowControl/>
      </w:pPr>
      <w:r>
        <w:rPr>
          <w:b/>
          <w:i w:val="0"/>
        </w:rPr>
        <w:t>facillime.</w:t>
      </w:r>
      <w:r>
        <w:rPr>
          <w:b w:val="0"/>
          <w:i w:val="0"/>
        </w:rPr>
        <w:t xml:space="preserve"> </w:t>
      </w:r>
      <w:hyperlink w:anchor="latin-record-0288">
        <w:r>
          <w:rPr>
            <w:color w:val="000000"/>
          </w:rPr>
          <w:t xml:space="preserve">cura / labor / facilis</w:t>
        </w:r>
      </w:hyperlink>
      <w:r>
        <w:rPr>
          <w:b w:val="0"/>
          <w:i w:val="0"/>
        </w:rPr>
        <w:t xml:space="preserve">; </w:t>
      </w:r>
      <w:hyperlink w:anchor="latin-record-0425">
        <w:r>
          <w:rPr>
            <w:color w:val="000000"/>
          </w:rPr>
          <w:t xml:space="preserve">facile / difficilis</w:t>
        </w:r>
      </w:hyperlink>
      <w:r>
        <w:rPr>
          <w:b w:val="0"/>
          <w:i w:val="0"/>
        </w:rPr>
        <w:t>.</w:t>
      </w:r>
    </w:p>
    <w:p>
      <w:pPr>
        <w:widowControl/>
      </w:pPr>
      <w:r>
        <w:rPr>
          <w:b/>
          <w:i w:val="0"/>
        </w:rPr>
        <w:t>facillimo.</w:t>
      </w:r>
      <w:r>
        <w:rPr>
          <w:b w:val="0"/>
          <w:i w:val="0"/>
        </w:rPr>
        <w:t xml:space="preserve"> </w:t>
      </w:r>
      <w:hyperlink w:anchor="latin-record-0288">
        <w:r>
          <w:rPr>
            <w:color w:val="000000"/>
          </w:rPr>
          <w:t xml:space="preserve">cura / labor / facilis</w:t>
        </w:r>
      </w:hyperlink>
      <w:r>
        <w:rPr>
          <w:b w:val="0"/>
          <w:i w:val="0"/>
        </w:rPr>
        <w:t>.</w:t>
      </w:r>
    </w:p>
    <w:p>
      <w:pPr>
        <w:widowControl/>
      </w:pPr>
      <w:r>
        <w:rPr>
          <w:b/>
          <w:i w:val="0"/>
        </w:rPr>
        <w:t>facit.</w:t>
      </w:r>
      <w:r>
        <w:rPr>
          <w:b w:val="0"/>
          <w:i w:val="0"/>
        </w:rPr>
        <w:t xml:space="preserve"> </w:t>
      </w:r>
      <w:hyperlink w:anchor="latin-record-0426">
        <w:r>
          <w:rPr>
            <w:color w:val="000000"/>
          </w:rPr>
          <w:t xml:space="preserve">facio / servo</w:t>
        </w:r>
      </w:hyperlink>
      <w:r>
        <w:rPr>
          <w:b w:val="0"/>
          <w:i w:val="0"/>
        </w:rPr>
        <w:t>.</w:t>
      </w:r>
    </w:p>
    <w:p>
      <w:pPr>
        <w:widowControl/>
      </w:pPr>
      <w:r>
        <w:rPr>
          <w:b/>
          <w:i w:val="0"/>
        </w:rPr>
        <w:t>facta.</w:t>
      </w:r>
      <w:r>
        <w:rPr>
          <w:b w:val="0"/>
          <w:i w:val="0"/>
        </w:rPr>
        <w:t xml:space="preserve"> </w:t>
      </w:r>
      <w:hyperlink w:anchor="latin-record-0424">
        <w:r>
          <w:rPr>
            <w:color w:val="000000"/>
          </w:rPr>
          <w:t xml:space="preserve">facere / efficere</w:t>
        </w:r>
      </w:hyperlink>
      <w:r>
        <w:rPr>
          <w:b w:val="0"/>
          <w:i w:val="0"/>
        </w:rPr>
        <w:t>.</w:t>
      </w:r>
    </w:p>
    <w:p>
      <w:pPr>
        <w:widowControl/>
      </w:pPr>
      <w:r>
        <w:rPr>
          <w:b/>
          <w:i w:val="0"/>
        </w:rPr>
        <w:t>factum.</w:t>
      </w:r>
      <w:r>
        <w:rPr>
          <w:b w:val="0"/>
          <w:i w:val="0"/>
        </w:rPr>
        <w:t xml:space="preserve"> </w:t>
      </w:r>
      <w:hyperlink w:anchor="latin-record-0944">
        <w:r>
          <w:rPr>
            <w:color w:val="000000"/>
          </w:rPr>
          <w:t xml:space="preserve">producere / facere / gignere</w:t>
        </w:r>
      </w:hyperlink>
      <w:r>
        <w:rPr>
          <w:b w:val="0"/>
          <w:i w:val="0"/>
        </w:rPr>
        <w:t>.</w:t>
      </w:r>
    </w:p>
    <w:p>
      <w:pPr>
        <w:widowControl/>
      </w:pPr>
      <w:r>
        <w:rPr>
          <w:b/>
          <w:i w:val="0"/>
        </w:rPr>
        <w:t>facultas.</w:t>
      </w:r>
      <w:r>
        <w:rPr>
          <w:b w:val="0"/>
          <w:i w:val="0"/>
        </w:rPr>
        <w:t xml:space="preserve"> </w:t>
      </w:r>
      <w:hyperlink w:anchor="latin-record-0953">
        <w:r>
          <w:rPr>
            <w:color w:val="000000"/>
          </w:rPr>
          <w:t xml:space="preserve">propago / facultas</w:t>
        </w:r>
      </w:hyperlink>
      <w:r>
        <w:rPr>
          <w:b w:val="0"/>
          <w:i w:val="0"/>
        </w:rPr>
        <w:t>.</w:t>
      </w:r>
    </w:p>
    <w:p>
      <w:pPr>
        <w:widowControl/>
      </w:pPr>
      <w:r>
        <w:rPr>
          <w:b/>
          <w:i w:val="0"/>
        </w:rPr>
        <w:t>fallit.</w:t>
      </w:r>
      <w:r>
        <w:rPr>
          <w:b w:val="0"/>
          <w:i w:val="0"/>
        </w:rPr>
        <w:t xml:space="preserve"> </w:t>
      </w:r>
      <w:hyperlink w:anchor="latin-record-0427">
        <w:r>
          <w:rPr>
            <w:color w:val="000000"/>
          </w:rPr>
          <w:t xml:space="preserve">fallere / praestigiae / confundere</w:t>
        </w:r>
      </w:hyperlink>
      <w:r>
        <w:rPr>
          <w:b w:val="0"/>
          <w:i w:val="0"/>
        </w:rPr>
        <w:t xml:space="preserve">; </w:t>
      </w:r>
      <w:hyperlink w:anchor="latin-record-0428">
        <w:r>
          <w:rPr>
            <w:color w:val="000000"/>
          </w:rPr>
          <w:t xml:space="preserve">fallo / falsum</w:t>
        </w:r>
      </w:hyperlink>
      <w:r>
        <w:rPr>
          <w:b w:val="0"/>
          <w:i w:val="0"/>
        </w:rPr>
        <w:t>.</w:t>
      </w:r>
    </w:p>
    <w:p>
      <w:pPr>
        <w:widowControl/>
      </w:pPr>
      <w:r>
        <w:rPr>
          <w:b/>
          <w:i w:val="0"/>
        </w:rPr>
        <w:t>Fallit.</w:t>
      </w:r>
      <w:r>
        <w:rPr>
          <w:b w:val="0"/>
          <w:i w:val="0"/>
        </w:rPr>
        <w:t xml:space="preserve"> </w:t>
      </w:r>
      <w:hyperlink w:anchor="latin-record-0427">
        <w:r>
          <w:rPr>
            <w:color w:val="000000"/>
          </w:rPr>
          <w:t xml:space="preserve">fallere / praestigiae / confundere</w:t>
        </w:r>
      </w:hyperlink>
      <w:r>
        <w:rPr>
          <w:b w:val="0"/>
          <w:i w:val="0"/>
        </w:rPr>
        <w:t>.</w:t>
      </w:r>
    </w:p>
    <w:p>
      <w:pPr>
        <w:widowControl/>
      </w:pPr>
      <w:r>
        <w:rPr>
          <w:b/>
          <w:i w:val="0"/>
        </w:rPr>
        <w:t>falso.</w:t>
      </w:r>
      <w:r>
        <w:rPr>
          <w:b w:val="0"/>
          <w:i w:val="0"/>
        </w:rPr>
        <w:t xml:space="preserve"> </w:t>
      </w:r>
      <w:hyperlink w:anchor="latin-record-0428">
        <w:r>
          <w:rPr>
            <w:color w:val="000000"/>
          </w:rPr>
          <w:t xml:space="preserve">fallo / falsum</w:t>
        </w:r>
      </w:hyperlink>
      <w:r>
        <w:rPr>
          <w:b w:val="0"/>
          <w:i w:val="0"/>
        </w:rPr>
        <w:t>.</w:t>
      </w:r>
    </w:p>
    <w:p>
      <w:pPr>
        <w:widowControl/>
      </w:pPr>
      <w:r>
        <w:rPr>
          <w:b/>
          <w:i w:val="0"/>
        </w:rPr>
        <w:t>falsum.</w:t>
      </w:r>
      <w:r>
        <w:rPr>
          <w:b w:val="0"/>
          <w:i w:val="0"/>
        </w:rPr>
        <w:t xml:space="preserve"> </w:t>
      </w:r>
      <w:hyperlink w:anchor="latin-record-0428">
        <w:r>
          <w:rPr>
            <w:color w:val="000000"/>
          </w:rPr>
          <w:t xml:space="preserve">fallo / falsum</w:t>
        </w:r>
      </w:hyperlink>
      <w:r>
        <w:rPr>
          <w:b w:val="0"/>
          <w:i w:val="0"/>
        </w:rPr>
        <w:t xml:space="preserve">; </w:t>
      </w:r>
      <w:hyperlink w:anchor="latin-record-0429">
        <w:r>
          <w:rPr>
            <w:color w:val="000000"/>
          </w:rPr>
          <w:t xml:space="preserve">falsus / falsum</w:t>
        </w:r>
      </w:hyperlink>
      <w:r>
        <w:rPr>
          <w:b w:val="0"/>
          <w:i w:val="0"/>
        </w:rPr>
        <w:t>.</w:t>
      </w:r>
    </w:p>
    <w:p>
      <w:pPr>
        <w:widowControl/>
      </w:pPr>
      <w:r>
        <w:rPr>
          <w:b/>
          <w:i w:val="0"/>
        </w:rPr>
        <w:t>familiarissima.</w:t>
      </w:r>
      <w:r>
        <w:rPr>
          <w:b w:val="0"/>
          <w:i w:val="0"/>
        </w:rPr>
        <w:t xml:space="preserve"> </w:t>
      </w:r>
      <w:hyperlink w:anchor="latin-record-0430">
        <w:r>
          <w:rPr>
            <w:color w:val="000000"/>
          </w:rPr>
          <w:t xml:space="preserve">familiarissimus</w:t>
        </w:r>
      </w:hyperlink>
      <w:r>
        <w:rPr>
          <w:b w:val="0"/>
          <w:i w:val="0"/>
        </w:rPr>
        <w:t>.</w:t>
      </w:r>
    </w:p>
    <w:p>
      <w:pPr>
        <w:widowControl/>
      </w:pPr>
      <w:r>
        <w:rPr>
          <w:b/>
          <w:i w:val="0"/>
        </w:rPr>
        <w:t>familiarissimos.</w:t>
      </w:r>
      <w:r>
        <w:rPr>
          <w:b w:val="0"/>
          <w:i w:val="0"/>
        </w:rPr>
        <w:t xml:space="preserve"> </w:t>
      </w:r>
      <w:hyperlink w:anchor="latin-record-0430">
        <w:r>
          <w:rPr>
            <w:color w:val="000000"/>
          </w:rPr>
          <w:t xml:space="preserve">familiarissimus</w:t>
        </w:r>
      </w:hyperlink>
      <w:r>
        <w:rPr>
          <w:b w:val="0"/>
          <w:i w:val="0"/>
        </w:rPr>
        <w:t>.</w:t>
      </w:r>
    </w:p>
    <w:p>
      <w:pPr>
        <w:widowControl/>
      </w:pPr>
      <w:r>
        <w:rPr>
          <w:b/>
          <w:i w:val="0"/>
        </w:rPr>
        <w:t>fascinandos.</w:t>
      </w:r>
      <w:r>
        <w:rPr>
          <w:b w:val="0"/>
          <w:i w:val="0"/>
        </w:rPr>
        <w:t xml:space="preserve"> </w:t>
      </w:r>
      <w:hyperlink w:anchor="latin-record-0431">
        <w:r>
          <w:rPr>
            <w:color w:val="000000"/>
          </w:rPr>
          <w:t xml:space="preserve">fascinare / roborare</w:t>
        </w:r>
      </w:hyperlink>
      <w:r>
        <w:rPr>
          <w:b w:val="0"/>
          <w:i w:val="0"/>
        </w:rPr>
        <w:t>.</w:t>
      </w:r>
    </w:p>
    <w:p>
      <w:pPr>
        <w:widowControl/>
      </w:pPr>
      <w:r>
        <w:rPr>
          <w:b/>
          <w:i w:val="0"/>
        </w:rPr>
        <w:t>fatali.</w:t>
      </w:r>
      <w:r>
        <w:rPr>
          <w:b w:val="0"/>
          <w:i w:val="0"/>
        </w:rPr>
        <w:t xml:space="preserve"> </w:t>
      </w:r>
      <w:hyperlink w:anchor="latin-record-0432">
        <w:r>
          <w:rPr>
            <w:color w:val="000000"/>
          </w:rPr>
          <w:t xml:space="preserve">fatalis lex / innata cupiditas</w:t>
        </w:r>
      </w:hyperlink>
      <w:r>
        <w:rPr>
          <w:b w:val="0"/>
          <w:i w:val="0"/>
        </w:rPr>
        <w:t>.</w:t>
      </w:r>
    </w:p>
    <w:p>
      <w:pPr>
        <w:widowControl/>
      </w:pPr>
      <w:r>
        <w:rPr>
          <w:b/>
          <w:i w:val="0"/>
        </w:rPr>
        <w:t>fatentur.</w:t>
      </w:r>
      <w:r>
        <w:rPr>
          <w:b w:val="0"/>
          <w:i w:val="0"/>
        </w:rPr>
        <w:t xml:space="preserve"> </w:t>
      </w:r>
      <w:hyperlink w:anchor="latin-record-0433">
        <w:r>
          <w:rPr>
            <w:color w:val="000000"/>
          </w:rPr>
          <w:t xml:space="preserve">fateri / negare / affirmare</w:t>
        </w:r>
      </w:hyperlink>
      <w:r>
        <w:rPr>
          <w:b w:val="0"/>
          <w:i w:val="0"/>
        </w:rPr>
        <w:t>.</w:t>
      </w:r>
    </w:p>
    <w:p>
      <w:pPr>
        <w:widowControl/>
      </w:pPr>
      <w:r>
        <w:rPr>
          <w:b/>
          <w:i w:val="0"/>
        </w:rPr>
        <w:t>fateri.</w:t>
      </w:r>
      <w:r>
        <w:rPr>
          <w:b w:val="0"/>
          <w:i w:val="0"/>
        </w:rPr>
        <w:t xml:space="preserve"> </w:t>
      </w:r>
      <w:hyperlink w:anchor="latin-record-0392">
        <w:r>
          <w:rPr>
            <w:color w:val="000000"/>
          </w:rPr>
          <w:t xml:space="preserve">ex-cogitare / fateri</w:t>
        </w:r>
      </w:hyperlink>
      <w:r>
        <w:rPr>
          <w:b w:val="0"/>
          <w:i w:val="0"/>
        </w:rPr>
        <w:t xml:space="preserve">; </w:t>
      </w:r>
      <w:hyperlink w:anchor="latin-record-0433">
        <w:r>
          <w:rPr>
            <w:color w:val="000000"/>
          </w:rPr>
          <w:t xml:space="preserve">fateri / negare / affirmare</w:t>
        </w:r>
      </w:hyperlink>
      <w:r>
        <w:rPr>
          <w:b w:val="0"/>
          <w:i w:val="0"/>
        </w:rPr>
        <w:t>.</w:t>
      </w:r>
    </w:p>
    <w:p>
      <w:pPr>
        <w:widowControl/>
      </w:pPr>
      <w:r>
        <w:rPr>
          <w:b/>
          <w:i w:val="0"/>
        </w:rPr>
        <w:t>fatigari.</w:t>
      </w:r>
      <w:r>
        <w:rPr>
          <w:b w:val="0"/>
          <w:i w:val="0"/>
        </w:rPr>
        <w:t xml:space="preserve"> </w:t>
      </w:r>
      <w:hyperlink w:anchor="latin-record-0434">
        <w:r>
          <w:rPr>
            <w:color w:val="000000"/>
          </w:rPr>
          <w:t xml:space="preserve">fatigare</w:t>
        </w:r>
      </w:hyperlink>
      <w:r>
        <w:rPr>
          <w:b w:val="0"/>
          <w:i w:val="0"/>
        </w:rPr>
        <w:t>.</w:t>
      </w:r>
    </w:p>
    <w:p>
      <w:pPr>
        <w:widowControl/>
      </w:pPr>
      <w:r>
        <w:rPr>
          <w:b/>
          <w:i w:val="0"/>
        </w:rPr>
        <w:t>fatigatur.</w:t>
      </w:r>
      <w:r>
        <w:rPr>
          <w:b w:val="0"/>
          <w:i w:val="0"/>
        </w:rPr>
        <w:t xml:space="preserve"> </w:t>
      </w:r>
      <w:hyperlink w:anchor="latin-record-0434">
        <w:r>
          <w:rPr>
            <w:color w:val="000000"/>
          </w:rPr>
          <w:t xml:space="preserve">fatigare</w:t>
        </w:r>
      </w:hyperlink>
      <w:r>
        <w:rPr>
          <w:b w:val="0"/>
          <w:i w:val="0"/>
        </w:rPr>
        <w:t xml:space="preserve">; </w:t>
      </w:r>
      <w:hyperlink w:anchor="latin-record-0435">
        <w:r>
          <w:rPr>
            <w:color w:val="000000"/>
          </w:rPr>
          <w:t xml:space="preserve">fatigare / claudicare</w:t>
        </w:r>
      </w:hyperlink>
      <w:r>
        <w:rPr>
          <w:b w:val="0"/>
          <w:i w:val="0"/>
        </w:rPr>
        <w:t>.</w:t>
      </w:r>
    </w:p>
    <w:p>
      <w:pPr>
        <w:widowControl/>
      </w:pPr>
      <w:r>
        <w:rPr>
          <w:b/>
          <w:i w:val="0"/>
        </w:rPr>
        <w:t>fatum.</w:t>
      </w:r>
      <w:r>
        <w:rPr>
          <w:b w:val="0"/>
          <w:i w:val="0"/>
        </w:rPr>
        <w:t xml:space="preserve"> </w:t>
      </w:r>
      <w:hyperlink w:anchor="latin-record-0436">
        <w:r>
          <w:rPr>
            <w:color w:val="000000"/>
          </w:rPr>
          <w:t xml:space="preserve">fatum</w:t>
        </w:r>
      </w:hyperlink>
      <w:r>
        <w:rPr>
          <w:b w:val="0"/>
          <w:i w:val="0"/>
        </w:rPr>
        <w:t>.</w:t>
      </w:r>
    </w:p>
    <w:p>
      <w:pPr>
        <w:widowControl/>
      </w:pPr>
      <w:r>
        <w:rPr>
          <w:b/>
          <w:i w:val="0"/>
        </w:rPr>
        <w:t>fecit.</w:t>
      </w:r>
      <w:r>
        <w:rPr>
          <w:b w:val="0"/>
          <w:i w:val="0"/>
        </w:rPr>
        <w:t xml:space="preserve"> </w:t>
      </w:r>
      <w:hyperlink w:anchor="latin-record-0424">
        <w:r>
          <w:rPr>
            <w:color w:val="000000"/>
          </w:rPr>
          <w:t xml:space="preserve">facere / efficere</w:t>
        </w:r>
      </w:hyperlink>
      <w:r>
        <w:rPr>
          <w:b w:val="0"/>
          <w:i w:val="0"/>
        </w:rPr>
        <w:t>.</w:t>
      </w:r>
    </w:p>
    <w:p>
      <w:pPr>
        <w:widowControl/>
      </w:pPr>
      <w:r>
        <w:rPr>
          <w:b/>
          <w:i w:val="0"/>
        </w:rPr>
        <w:t>fecundiam.</w:t>
      </w:r>
      <w:r>
        <w:rPr>
          <w:b w:val="0"/>
          <w:i w:val="0"/>
        </w:rPr>
        <w:t xml:space="preserve"> </w:t>
      </w:r>
      <w:hyperlink w:anchor="latin-record-0788">
        <w:r>
          <w:rPr>
            <w:color w:val="000000"/>
          </w:rPr>
          <w:t xml:space="preserve">obtundere / fecundia</w:t>
        </w:r>
      </w:hyperlink>
      <w:r>
        <w:rPr>
          <w:b w:val="0"/>
          <w:i w:val="0"/>
        </w:rPr>
        <w:t>.</w:t>
      </w:r>
    </w:p>
    <w:p>
      <w:pPr>
        <w:widowControl/>
      </w:pPr>
      <w:r>
        <w:rPr>
          <w:b/>
          <w:i w:val="0"/>
        </w:rPr>
        <w:t>fecunditas.</w:t>
      </w:r>
      <w:r>
        <w:rPr>
          <w:b w:val="0"/>
          <w:i w:val="0"/>
        </w:rPr>
        <w:t xml:space="preserve"> </w:t>
      </w:r>
      <w:hyperlink w:anchor="latin-record-0437">
        <w:r>
          <w:rPr>
            <w:color w:val="000000"/>
          </w:rPr>
          <w:t xml:space="preserve">fecunditas</w:t>
        </w:r>
      </w:hyperlink>
      <w:r>
        <w:rPr>
          <w:b w:val="0"/>
          <w:i w:val="0"/>
        </w:rPr>
        <w:t>.</w:t>
      </w:r>
    </w:p>
    <w:p>
      <w:pPr>
        <w:widowControl/>
      </w:pPr>
      <w:r>
        <w:rPr>
          <w:b/>
          <w:i w:val="0"/>
        </w:rPr>
        <w:t>fecunditate.</w:t>
      </w:r>
      <w:r>
        <w:rPr>
          <w:b w:val="0"/>
          <w:i w:val="0"/>
        </w:rPr>
        <w:t xml:space="preserve"> </w:t>
      </w:r>
      <w:hyperlink w:anchor="latin-record-0437">
        <w:r>
          <w:rPr>
            <w:color w:val="000000"/>
          </w:rPr>
          <w:t xml:space="preserve">fecunditas</w:t>
        </w:r>
      </w:hyperlink>
      <w:r>
        <w:rPr>
          <w:b w:val="0"/>
          <w:i w:val="0"/>
        </w:rPr>
        <w:t xml:space="preserve">; </w:t>
      </w:r>
      <w:hyperlink w:anchor="latin-record-0438">
        <w:r>
          <w:rPr>
            <w:color w:val="000000"/>
          </w:rPr>
          <w:t xml:space="preserve">fecunditas / amplifico</w:t>
        </w:r>
      </w:hyperlink>
      <w:r>
        <w:rPr>
          <w:b w:val="0"/>
          <w:i w:val="0"/>
        </w:rPr>
        <w:t>.</w:t>
      </w:r>
    </w:p>
    <w:p>
      <w:pPr>
        <w:widowControl/>
      </w:pPr>
      <w:r>
        <w:rPr>
          <w:b/>
          <w:i w:val="0"/>
        </w:rPr>
        <w:t>fecundus.</w:t>
      </w:r>
      <w:r>
        <w:rPr>
          <w:b w:val="0"/>
          <w:i w:val="0"/>
        </w:rPr>
        <w:t xml:space="preserve"> </w:t>
      </w:r>
      <w:hyperlink w:anchor="latin-record-0439">
        <w:r>
          <w:rPr>
            <w:color w:val="000000"/>
          </w:rPr>
          <w:t xml:space="preserve">fecundus</w:t>
        </w:r>
      </w:hyperlink>
      <w:r>
        <w:rPr>
          <w:b w:val="0"/>
          <w:i w:val="0"/>
        </w:rPr>
        <w:t>.</w:t>
      </w:r>
    </w:p>
    <w:p>
      <w:pPr>
        <w:widowControl/>
      </w:pPr>
      <w:r>
        <w:rPr>
          <w:b/>
          <w:i w:val="0"/>
        </w:rPr>
        <w:t>felicitas.</w:t>
      </w:r>
      <w:r>
        <w:rPr>
          <w:b w:val="0"/>
          <w:i w:val="0"/>
        </w:rPr>
        <w:t xml:space="preserve"> </w:t>
      </w:r>
      <w:hyperlink w:anchor="latin-record-0123">
        <w:r>
          <w:rPr>
            <w:color w:val="000000"/>
          </w:rPr>
          <w:t xml:space="preserve">beatitudo / felicitas</w:t>
        </w:r>
      </w:hyperlink>
      <w:r>
        <w:rPr>
          <w:b w:val="0"/>
          <w:i w:val="0"/>
        </w:rPr>
        <w:t>.</w:t>
      </w:r>
    </w:p>
    <w:p>
      <w:pPr>
        <w:widowControl/>
      </w:pPr>
      <w:r>
        <w:rPr>
          <w:b/>
          <w:i w:val="0"/>
        </w:rPr>
        <w:t>fenestras.</w:t>
      </w:r>
      <w:r>
        <w:rPr>
          <w:b w:val="0"/>
          <w:i w:val="0"/>
        </w:rPr>
        <w:t xml:space="preserve"> </w:t>
      </w:r>
      <w:hyperlink w:anchor="latin-record-1278">
        <w:r>
          <w:rPr>
            <w:color w:val="000000"/>
          </w:rPr>
          <w:t xml:space="preserve">vitrum / fenestra / pavimentum</w:t>
        </w:r>
      </w:hyperlink>
      <w:r>
        <w:rPr>
          <w:b w:val="0"/>
          <w:i w:val="0"/>
        </w:rPr>
        <w:t>.</w:t>
      </w:r>
    </w:p>
    <w:p>
      <w:pPr>
        <w:widowControl/>
      </w:pPr>
      <w:r>
        <w:rPr>
          <w:b/>
          <w:i w:val="0"/>
        </w:rPr>
        <w:t>ferme.</w:t>
      </w:r>
      <w:r>
        <w:rPr>
          <w:b w:val="0"/>
          <w:i w:val="0"/>
        </w:rPr>
        <w:t xml:space="preserve"> </w:t>
      </w:r>
      <w:hyperlink w:anchor="latin-record-0440">
        <w:r>
          <w:rPr>
            <w:color w:val="000000"/>
          </w:rPr>
          <w:t xml:space="preserve">ferme / quoad fieri potest</w:t>
        </w:r>
      </w:hyperlink>
      <w:r>
        <w:rPr>
          <w:b w:val="0"/>
          <w:i w:val="0"/>
        </w:rPr>
        <w:t xml:space="preserve">; </w:t>
      </w:r>
      <w:hyperlink w:anchor="latin-record-0441">
        <w:r>
          <w:rPr>
            <w:color w:val="000000"/>
          </w:rPr>
          <w:t xml:space="preserve">ferme / ut ita loquar</w:t>
        </w:r>
      </w:hyperlink>
      <w:r>
        <w:rPr>
          <w:b w:val="0"/>
          <w:i w:val="0"/>
        </w:rPr>
        <w:t>.</w:t>
      </w:r>
    </w:p>
    <w:p>
      <w:pPr>
        <w:widowControl/>
      </w:pPr>
      <w:r>
        <w:rPr>
          <w:b/>
          <w:i w:val="0"/>
        </w:rPr>
        <w:t>ferri.</w:t>
      </w:r>
      <w:r>
        <w:rPr>
          <w:b w:val="0"/>
          <w:i w:val="0"/>
        </w:rPr>
        <w:t xml:space="preserve"> </w:t>
      </w:r>
      <w:hyperlink w:anchor="latin-record-0442">
        <w:r>
          <w:rPr>
            <w:color w:val="000000"/>
          </w:rPr>
          <w:t xml:space="preserve">ferre</w:t>
        </w:r>
      </w:hyperlink>
      <w:r>
        <w:rPr>
          <w:b w:val="0"/>
          <w:i w:val="0"/>
        </w:rPr>
        <w:t>.</w:t>
      </w:r>
    </w:p>
    <w:p>
      <w:pPr>
        <w:widowControl/>
      </w:pPr>
      <w:r>
        <w:rPr>
          <w:b/>
          <w:i w:val="0"/>
        </w:rPr>
        <w:t>ferrum.</w:t>
      </w:r>
      <w:r>
        <w:rPr>
          <w:b w:val="0"/>
          <w:i w:val="0"/>
        </w:rPr>
        <w:t xml:space="preserve"> </w:t>
      </w:r>
      <w:hyperlink w:anchor="latin-record-0663">
        <w:r>
          <w:rPr>
            <w:color w:val="000000"/>
          </w:rPr>
          <w:t xml:space="preserve">magnes / ferrum</w:t>
        </w:r>
      </w:hyperlink>
      <w:r>
        <w:rPr>
          <w:b w:val="0"/>
          <w:i w:val="0"/>
        </w:rPr>
        <w:t>.</w:t>
      </w:r>
    </w:p>
    <w:p>
      <w:pPr>
        <w:widowControl/>
      </w:pPr>
      <w:r>
        <w:rPr>
          <w:b/>
          <w:i w:val="0"/>
        </w:rPr>
        <w:t>fertur.</w:t>
      </w:r>
      <w:r>
        <w:rPr>
          <w:b w:val="0"/>
          <w:i w:val="0"/>
        </w:rPr>
        <w:t xml:space="preserve"> </w:t>
      </w:r>
      <w:hyperlink w:anchor="latin-record-0442">
        <w:r>
          <w:rPr>
            <w:color w:val="000000"/>
          </w:rPr>
          <w:t xml:space="preserve">ferre</w:t>
        </w:r>
      </w:hyperlink>
      <w:r>
        <w:rPr>
          <w:b w:val="0"/>
          <w:i w:val="0"/>
        </w:rPr>
        <w:t>.</w:t>
      </w:r>
    </w:p>
    <w:p>
      <w:pPr>
        <w:widowControl/>
      </w:pPr>
      <w:r>
        <w:rPr>
          <w:b/>
          <w:i w:val="0"/>
        </w:rPr>
        <w:t>feruntur.</w:t>
      </w:r>
      <w:r>
        <w:rPr>
          <w:b w:val="0"/>
          <w:i w:val="0"/>
        </w:rPr>
        <w:t xml:space="preserve"> </w:t>
      </w:r>
      <w:hyperlink w:anchor="latin-record-0442">
        <w:r>
          <w:rPr>
            <w:color w:val="000000"/>
          </w:rPr>
          <w:t xml:space="preserve">ferre</w:t>
        </w:r>
      </w:hyperlink>
      <w:r>
        <w:rPr>
          <w:b w:val="0"/>
          <w:i w:val="0"/>
        </w:rPr>
        <w:t>.</w:t>
      </w:r>
    </w:p>
    <w:p>
      <w:pPr>
        <w:widowControl/>
      </w:pPr>
      <w:r>
        <w:rPr>
          <w:b/>
          <w:i w:val="0"/>
        </w:rPr>
        <w:t>fetus.</w:t>
      </w:r>
      <w:r>
        <w:rPr>
          <w:b w:val="0"/>
          <w:i w:val="0"/>
        </w:rPr>
        <w:t xml:space="preserve"> </w:t>
      </w:r>
      <w:hyperlink w:anchor="latin-record-1242">
        <w:r>
          <w:rPr>
            <w:color w:val="000000"/>
          </w:rPr>
          <w:t xml:space="preserve">venter / fetus</w:t>
        </w:r>
      </w:hyperlink>
      <w:r>
        <w:rPr>
          <w:b w:val="0"/>
          <w:i w:val="0"/>
        </w:rPr>
        <w:t>.</w:t>
      </w:r>
    </w:p>
    <w:p>
      <w:pPr>
        <w:widowControl/>
      </w:pPr>
      <w:r>
        <w:rPr>
          <w:b/>
          <w:i w:val="0"/>
        </w:rPr>
        <w:t>fidem adhibeat.</w:t>
      </w:r>
      <w:r>
        <w:rPr>
          <w:b w:val="0"/>
          <w:i w:val="0"/>
        </w:rPr>
        <w:t xml:space="preserve"> </w:t>
      </w:r>
      <w:hyperlink w:anchor="latin-record-0443">
        <w:r>
          <w:rPr>
            <w:color w:val="000000"/>
          </w:rPr>
          <w:t xml:space="preserve">fides adhibita</w:t>
        </w:r>
      </w:hyperlink>
      <w:r>
        <w:rPr>
          <w:b w:val="0"/>
          <w:i w:val="0"/>
        </w:rPr>
        <w:t>.</w:t>
      </w:r>
    </w:p>
    <w:p>
      <w:pPr>
        <w:widowControl/>
      </w:pPr>
      <w:r>
        <w:rPr>
          <w:b/>
          <w:i w:val="0"/>
        </w:rPr>
        <w:t>fides.</w:t>
      </w:r>
      <w:r>
        <w:rPr>
          <w:b w:val="0"/>
          <w:i w:val="0"/>
        </w:rPr>
        <w:t xml:space="preserve"> </w:t>
      </w:r>
      <w:hyperlink w:anchor="latin-record-1041">
        <w:r>
          <w:rPr>
            <w:color w:val="000000"/>
          </w:rPr>
          <w:t xml:space="preserve">reor / fides</w:t>
        </w:r>
      </w:hyperlink>
      <w:r>
        <w:rPr>
          <w:b w:val="0"/>
          <w:i w:val="0"/>
        </w:rPr>
        <w:t>.</w:t>
      </w:r>
    </w:p>
    <w:p>
      <w:pPr>
        <w:widowControl/>
      </w:pPr>
      <w:r>
        <w:rPr>
          <w:b/>
          <w:i w:val="0"/>
        </w:rPr>
        <w:t>figat.</w:t>
      </w:r>
      <w:r>
        <w:rPr>
          <w:b w:val="0"/>
          <w:i w:val="0"/>
        </w:rPr>
        <w:t xml:space="preserve"> </w:t>
      </w:r>
      <w:hyperlink w:anchor="latin-record-0445">
        <w:r>
          <w:rPr>
            <w:color w:val="000000"/>
          </w:rPr>
          <w:t xml:space="preserve">figere / ponere</w:t>
        </w:r>
      </w:hyperlink>
      <w:r>
        <w:rPr>
          <w:b w:val="0"/>
          <w:i w:val="0"/>
        </w:rPr>
        <w:t>.</w:t>
      </w:r>
    </w:p>
    <w:p>
      <w:pPr>
        <w:widowControl/>
      </w:pPr>
      <w:r>
        <w:rPr>
          <w:b/>
          <w:i w:val="0"/>
        </w:rPr>
        <w:t>figura.</w:t>
      </w:r>
      <w:r>
        <w:rPr>
          <w:b w:val="0"/>
          <w:i w:val="0"/>
        </w:rPr>
        <w:t xml:space="preserve"> </w:t>
      </w:r>
      <w:hyperlink w:anchor="latin-record-0209">
        <w:r>
          <w:rPr>
            <w:color w:val="000000"/>
          </w:rPr>
          <w:t xml:space="preserve">complexio / figura</w:t>
        </w:r>
      </w:hyperlink>
      <w:r>
        <w:rPr>
          <w:b w:val="0"/>
          <w:i w:val="0"/>
        </w:rPr>
        <w:t>.</w:t>
      </w:r>
    </w:p>
    <w:p>
      <w:pPr>
        <w:widowControl/>
      </w:pPr>
      <w:r>
        <w:rPr>
          <w:b/>
          <w:i w:val="0"/>
        </w:rPr>
        <w:t>figurant.</w:t>
      </w:r>
      <w:r>
        <w:rPr>
          <w:b w:val="0"/>
          <w:i w:val="0"/>
        </w:rPr>
        <w:t xml:space="preserve"> </w:t>
      </w:r>
      <w:hyperlink w:anchor="latin-record-0876">
        <w:r>
          <w:rPr>
            <w:color w:val="000000"/>
          </w:rPr>
          <w:t xml:space="preserve">pingere / figurare</w:t>
        </w:r>
      </w:hyperlink>
      <w:r>
        <w:rPr>
          <w:b w:val="0"/>
          <w:i w:val="0"/>
        </w:rPr>
        <w:t>.</w:t>
      </w:r>
    </w:p>
    <w:p>
      <w:pPr>
        <w:widowControl/>
      </w:pPr>
      <w:r>
        <w:rPr>
          <w:b/>
          <w:i w:val="0"/>
        </w:rPr>
        <w:t>filii.</w:t>
      </w:r>
      <w:r>
        <w:rPr>
          <w:b w:val="0"/>
          <w:i w:val="0"/>
        </w:rPr>
        <w:t xml:space="preserve"> </w:t>
      </w:r>
      <w:hyperlink w:anchor="latin-record-0446">
        <w:r>
          <w:rPr>
            <w:color w:val="000000"/>
          </w:rPr>
          <w:t xml:space="preserve">filius / parens</w:t>
        </w:r>
      </w:hyperlink>
      <w:r>
        <w:rPr>
          <w:b w:val="0"/>
          <w:i w:val="0"/>
        </w:rPr>
        <w:t>.</w:t>
      </w:r>
    </w:p>
    <w:p>
      <w:pPr>
        <w:widowControl/>
      </w:pPr>
      <w:r>
        <w:rPr>
          <w:b/>
          <w:i w:val="0"/>
        </w:rPr>
        <w:t>filium.</w:t>
      </w:r>
      <w:r>
        <w:rPr>
          <w:b w:val="0"/>
          <w:i w:val="0"/>
        </w:rPr>
        <w:t xml:space="preserve"> </w:t>
      </w:r>
      <w:hyperlink w:anchor="latin-record-0421">
        <w:r>
          <w:rPr>
            <w:color w:val="000000"/>
          </w:rPr>
          <w:t xml:space="preserve">faber / genitor / filius</w:t>
        </w:r>
      </w:hyperlink>
      <w:r>
        <w:rPr>
          <w:b w:val="0"/>
          <w:i w:val="0"/>
        </w:rPr>
        <w:t>.</w:t>
      </w:r>
    </w:p>
    <w:p>
      <w:pPr>
        <w:widowControl/>
      </w:pPr>
      <w:r>
        <w:rPr>
          <w:b/>
          <w:i w:val="0"/>
        </w:rPr>
        <w:t>fimi.</w:t>
      </w:r>
      <w:r>
        <w:rPr>
          <w:b w:val="0"/>
          <w:i w:val="0"/>
        </w:rPr>
        <w:t xml:space="preserve"> </w:t>
      </w:r>
      <w:hyperlink w:anchor="latin-record-0654">
        <w:r>
          <w:rPr>
            <w:color w:val="000000"/>
          </w:rPr>
          <w:t xml:space="preserve">lutum / fimus / rana / musca</w:t>
        </w:r>
      </w:hyperlink>
      <w:r>
        <w:rPr>
          <w:b w:val="0"/>
          <w:i w:val="0"/>
        </w:rPr>
        <w:t>.</w:t>
      </w:r>
    </w:p>
    <w:p>
      <w:pPr>
        <w:widowControl/>
      </w:pPr>
      <w:r>
        <w:rPr>
          <w:b/>
          <w:i w:val="0"/>
        </w:rPr>
        <w:t>fimo.</w:t>
      </w:r>
      <w:r>
        <w:rPr>
          <w:b w:val="0"/>
          <w:i w:val="0"/>
        </w:rPr>
        <w:t xml:space="preserve"> </w:t>
      </w:r>
      <w:hyperlink w:anchor="latin-record-0654">
        <w:r>
          <w:rPr>
            <w:color w:val="000000"/>
          </w:rPr>
          <w:t xml:space="preserve">lutum / fimus / rana / musca</w:t>
        </w:r>
      </w:hyperlink>
      <w:r>
        <w:rPr>
          <w:b w:val="0"/>
          <w:i w:val="0"/>
        </w:rPr>
        <w:t>.</w:t>
      </w:r>
    </w:p>
    <w:p>
      <w:pPr>
        <w:widowControl/>
      </w:pPr>
      <w:r>
        <w:rPr>
          <w:b/>
          <w:i w:val="0"/>
        </w:rPr>
        <w:t>Finge animo.</w:t>
      </w:r>
      <w:r>
        <w:rPr>
          <w:b w:val="0"/>
          <w:i w:val="0"/>
        </w:rPr>
        <w:t xml:space="preserve"> </w:t>
      </w:r>
      <w:hyperlink w:anchor="latin-record-0447">
        <w:r>
          <w:rPr>
            <w:color w:val="000000"/>
          </w:rPr>
          <w:t xml:space="preserve">finge animo / finge iterum</w:t>
        </w:r>
      </w:hyperlink>
      <w:r>
        <w:rPr>
          <w:b w:val="0"/>
          <w:i w:val="0"/>
        </w:rPr>
        <w:t>.</w:t>
      </w:r>
    </w:p>
    <w:p>
      <w:pPr>
        <w:widowControl/>
      </w:pPr>
      <w:r>
        <w:rPr>
          <w:b/>
          <w:i w:val="0"/>
        </w:rPr>
        <w:t>Finge iterum.</w:t>
      </w:r>
      <w:r>
        <w:rPr>
          <w:b w:val="0"/>
          <w:i w:val="0"/>
        </w:rPr>
        <w:t xml:space="preserve"> </w:t>
      </w:r>
      <w:hyperlink w:anchor="latin-record-0447">
        <w:r>
          <w:rPr>
            <w:color w:val="000000"/>
          </w:rPr>
          <w:t xml:space="preserve">finge animo / finge iterum</w:t>
        </w:r>
      </w:hyperlink>
      <w:r>
        <w:rPr>
          <w:b w:val="0"/>
          <w:i w:val="0"/>
        </w:rPr>
        <w:t>.</w:t>
      </w:r>
    </w:p>
    <w:p>
      <w:pPr>
        <w:widowControl/>
      </w:pPr>
      <w:r>
        <w:rPr>
          <w:b/>
          <w:i w:val="0"/>
        </w:rPr>
        <w:t>fingi.</w:t>
      </w:r>
      <w:r>
        <w:rPr>
          <w:b w:val="0"/>
          <w:i w:val="0"/>
        </w:rPr>
        <w:t xml:space="preserve"> </w:t>
      </w:r>
      <w:hyperlink w:anchor="latin-record-0175">
        <w:r>
          <w:rPr>
            <w:color w:val="000000"/>
          </w:rPr>
          <w:t xml:space="preserve">cogitare / fingere / effingere</w:t>
        </w:r>
      </w:hyperlink>
      <w:r>
        <w:rPr>
          <w:b w:val="0"/>
          <w:i w:val="0"/>
        </w:rPr>
        <w:t>.</w:t>
      </w:r>
    </w:p>
    <w:p>
      <w:pPr>
        <w:widowControl/>
      </w:pPr>
      <w:r>
        <w:rPr>
          <w:b/>
          <w:i w:val="0"/>
        </w:rPr>
        <w:t>finiri.</w:t>
      </w:r>
      <w:r>
        <w:rPr>
          <w:b w:val="0"/>
          <w:i w:val="0"/>
        </w:rPr>
        <w:t xml:space="preserve"> </w:t>
      </w:r>
      <w:hyperlink w:anchor="latin-record-1192">
        <w:r>
          <w:rPr>
            <w:color w:val="000000"/>
          </w:rPr>
          <w:t xml:space="preserve">terminare / finire</w:t>
        </w:r>
      </w:hyperlink>
      <w:r>
        <w:rPr>
          <w:b w:val="0"/>
          <w:i w:val="0"/>
        </w:rPr>
        <w:t>.</w:t>
      </w:r>
    </w:p>
    <w:p>
      <w:pPr>
        <w:widowControl/>
      </w:pPr>
      <w:r>
        <w:rPr>
          <w:b/>
          <w:i w:val="0"/>
        </w:rPr>
        <w:t>finis.</w:t>
      </w:r>
      <w:r>
        <w:rPr>
          <w:b w:val="0"/>
          <w:i w:val="0"/>
        </w:rPr>
        <w:t xml:space="preserve"> </w:t>
      </w:r>
      <w:hyperlink w:anchor="latin-record-0449">
        <w:r>
          <w:rPr>
            <w:color w:val="000000"/>
          </w:rPr>
          <w:t xml:space="preserve">finis</w:t>
        </w:r>
      </w:hyperlink>
      <w:r>
        <w:rPr>
          <w:b w:val="0"/>
          <w:i w:val="0"/>
        </w:rPr>
        <w:t xml:space="preserve">; </w:t>
      </w:r>
      <w:hyperlink w:anchor="latin-record-0450">
        <w:r>
          <w:rPr>
            <w:color w:val="000000"/>
          </w:rPr>
          <w:t xml:space="preserve">finis / scopus</w:t>
        </w:r>
      </w:hyperlink>
      <w:r>
        <w:rPr>
          <w:b w:val="0"/>
          <w:i w:val="0"/>
        </w:rPr>
        <w:t>.</w:t>
      </w:r>
    </w:p>
    <w:p>
      <w:pPr>
        <w:widowControl/>
      </w:pPr>
      <w:r>
        <w:rPr>
          <w:b/>
          <w:i w:val="0"/>
        </w:rPr>
        <w:t>Finis.</w:t>
      </w:r>
      <w:r>
        <w:rPr>
          <w:b w:val="0"/>
          <w:i w:val="0"/>
        </w:rPr>
        <w:t xml:space="preserve"> </w:t>
      </w:r>
      <w:hyperlink w:anchor="latin-record-0450">
        <w:r>
          <w:rPr>
            <w:color w:val="000000"/>
          </w:rPr>
          <w:t xml:space="preserve">finis / scopus</w:t>
        </w:r>
      </w:hyperlink>
      <w:r>
        <w:rPr>
          <w:b w:val="0"/>
          <w:i w:val="0"/>
        </w:rPr>
        <w:t>.</w:t>
      </w:r>
    </w:p>
    <w:p>
      <w:pPr>
        <w:widowControl/>
      </w:pPr>
      <w:r>
        <w:rPr>
          <w:b/>
          <w:i w:val="0"/>
        </w:rPr>
        <w:t>finisque.</w:t>
      </w:r>
      <w:r>
        <w:rPr>
          <w:b w:val="0"/>
          <w:i w:val="0"/>
        </w:rPr>
        <w:t xml:space="preserve"> </w:t>
      </w:r>
      <w:hyperlink w:anchor="latin-record-0450">
        <w:r>
          <w:rPr>
            <w:color w:val="000000"/>
          </w:rPr>
          <w:t xml:space="preserve">finis / scopus</w:t>
        </w:r>
      </w:hyperlink>
      <w:r>
        <w:rPr>
          <w:b w:val="0"/>
          <w:i w:val="0"/>
        </w:rPr>
        <w:t>.</w:t>
      </w:r>
    </w:p>
    <w:p>
      <w:pPr>
        <w:widowControl/>
      </w:pPr>
      <w:r>
        <w:rPr>
          <w:b/>
          <w:i w:val="0"/>
        </w:rPr>
        <w:t>finit.</w:t>
      </w:r>
      <w:r>
        <w:rPr>
          <w:b w:val="0"/>
          <w:i w:val="0"/>
        </w:rPr>
        <w:t xml:space="preserve"> </w:t>
      </w:r>
      <w:hyperlink w:anchor="latin-record-1192">
        <w:r>
          <w:rPr>
            <w:color w:val="000000"/>
          </w:rPr>
          <w:t xml:space="preserve">terminare / finire</w:t>
        </w:r>
      </w:hyperlink>
      <w:r>
        <w:rPr>
          <w:b w:val="0"/>
          <w:i w:val="0"/>
        </w:rPr>
        <w:t>.</w:t>
      </w:r>
    </w:p>
    <w:p>
      <w:pPr>
        <w:widowControl/>
      </w:pPr>
      <w:r>
        <w:rPr>
          <w:b/>
          <w:i w:val="0"/>
        </w:rPr>
        <w:t>finita.</w:t>
      </w:r>
      <w:r>
        <w:rPr>
          <w:b w:val="0"/>
          <w:i w:val="0"/>
        </w:rPr>
        <w:t xml:space="preserve"> </w:t>
      </w:r>
      <w:hyperlink w:anchor="latin-record-1192">
        <w:r>
          <w:rPr>
            <w:color w:val="000000"/>
          </w:rPr>
          <w:t xml:space="preserve">terminare / finire</w:t>
        </w:r>
      </w:hyperlink>
      <w:r>
        <w:rPr>
          <w:b w:val="0"/>
          <w:i w:val="0"/>
        </w:rPr>
        <w:t>.</w:t>
      </w:r>
    </w:p>
    <w:p>
      <w:pPr>
        <w:widowControl/>
      </w:pPr>
      <w:r>
        <w:rPr>
          <w:b/>
          <w:i w:val="0"/>
        </w:rPr>
        <w:t>finitam.</w:t>
      </w:r>
      <w:r>
        <w:rPr>
          <w:b w:val="0"/>
          <w:i w:val="0"/>
        </w:rPr>
        <w:t xml:space="preserve"> </w:t>
      </w:r>
      <w:hyperlink w:anchor="latin-record-0602">
        <w:r>
          <w:rPr>
            <w:color w:val="000000"/>
          </w:rPr>
          <w:t xml:space="preserve">interminatus / infinitus / finitus</w:t>
        </w:r>
      </w:hyperlink>
      <w:r>
        <w:rPr>
          <w:b w:val="0"/>
          <w:i w:val="0"/>
        </w:rPr>
        <w:t xml:space="preserve">; </w:t>
      </w:r>
      <w:hyperlink w:anchor="latin-record-1192">
        <w:r>
          <w:rPr>
            <w:color w:val="000000"/>
          </w:rPr>
          <w:t xml:space="preserve">terminare / finire</w:t>
        </w:r>
      </w:hyperlink>
      <w:r>
        <w:rPr>
          <w:b w:val="0"/>
          <w:i w:val="0"/>
        </w:rPr>
        <w:t>.</w:t>
      </w:r>
    </w:p>
    <w:p>
      <w:pPr>
        <w:widowControl/>
      </w:pPr>
      <w:r>
        <w:rPr>
          <w:b/>
          <w:i w:val="0"/>
        </w:rPr>
        <w:t>finitas.</w:t>
      </w:r>
      <w:r>
        <w:rPr>
          <w:b w:val="0"/>
          <w:i w:val="0"/>
        </w:rPr>
        <w:t xml:space="preserve"> </w:t>
      </w:r>
      <w:hyperlink w:anchor="latin-record-0602">
        <w:r>
          <w:rPr>
            <w:color w:val="000000"/>
          </w:rPr>
          <w:t xml:space="preserve">interminatus / infinitus / finitus</w:t>
        </w:r>
      </w:hyperlink>
      <w:r>
        <w:rPr>
          <w:b w:val="0"/>
          <w:i w:val="0"/>
        </w:rPr>
        <w:t>.</w:t>
      </w:r>
    </w:p>
    <w:p>
      <w:pPr>
        <w:widowControl/>
      </w:pPr>
      <w:r>
        <w:rPr>
          <w:b/>
          <w:i w:val="0"/>
        </w:rPr>
        <w:t>finiti.</w:t>
      </w:r>
      <w:r>
        <w:rPr>
          <w:b w:val="0"/>
          <w:i w:val="0"/>
        </w:rPr>
        <w:t xml:space="preserve"> </w:t>
      </w:r>
      <w:hyperlink w:anchor="latin-record-1192">
        <w:r>
          <w:rPr>
            <w:color w:val="000000"/>
          </w:rPr>
          <w:t xml:space="preserve">terminare / finire</w:t>
        </w:r>
      </w:hyperlink>
      <w:r>
        <w:rPr>
          <w:b w:val="0"/>
          <w:i w:val="0"/>
        </w:rPr>
        <w:t>.</w:t>
      </w:r>
    </w:p>
    <w:p>
      <w:pPr>
        <w:widowControl/>
      </w:pPr>
      <w:r>
        <w:rPr>
          <w:b/>
          <w:i w:val="0"/>
        </w:rPr>
        <w:t>finito.</w:t>
      </w:r>
      <w:r>
        <w:rPr>
          <w:b w:val="0"/>
          <w:i w:val="0"/>
        </w:rPr>
        <w:t xml:space="preserve"> </w:t>
      </w:r>
      <w:hyperlink w:anchor="latin-record-1192">
        <w:r>
          <w:rPr>
            <w:color w:val="000000"/>
          </w:rPr>
          <w:t xml:space="preserve">terminare / finire</w:t>
        </w:r>
      </w:hyperlink>
      <w:r>
        <w:rPr>
          <w:b w:val="0"/>
          <w:i w:val="0"/>
        </w:rPr>
        <w:t>.</w:t>
      </w:r>
    </w:p>
    <w:p>
      <w:pPr>
        <w:widowControl/>
      </w:pPr>
      <w:r>
        <w:rPr>
          <w:b/>
          <w:i w:val="0"/>
        </w:rPr>
        <w:t>finitum.</w:t>
      </w:r>
      <w:r>
        <w:rPr>
          <w:b w:val="0"/>
          <w:i w:val="0"/>
        </w:rPr>
        <w:t xml:space="preserve"> </w:t>
      </w:r>
      <w:hyperlink w:anchor="latin-record-1192">
        <w:r>
          <w:rPr>
            <w:color w:val="000000"/>
          </w:rPr>
          <w:t xml:space="preserve">terminare / finire</w:t>
        </w:r>
      </w:hyperlink>
      <w:r>
        <w:rPr>
          <w:b w:val="0"/>
          <w:i w:val="0"/>
        </w:rPr>
        <w:t>.</w:t>
      </w:r>
    </w:p>
    <w:p>
      <w:pPr>
        <w:widowControl/>
      </w:pPr>
      <w:r>
        <w:rPr>
          <w:b/>
          <w:i w:val="0"/>
        </w:rPr>
        <w:t>firmant.</w:t>
      </w:r>
      <w:r>
        <w:rPr>
          <w:b w:val="0"/>
          <w:i w:val="0"/>
        </w:rPr>
        <w:t xml:space="preserve"> </w:t>
      </w:r>
      <w:hyperlink w:anchor="latin-record-0724">
        <w:r>
          <w:rPr>
            <w:color w:val="000000"/>
          </w:rPr>
          <w:t xml:space="preserve">movere / sistere / firmare</w:t>
        </w:r>
      </w:hyperlink>
      <w:r>
        <w:rPr>
          <w:b w:val="0"/>
          <w:i w:val="0"/>
        </w:rPr>
        <w:t>.</w:t>
      </w:r>
    </w:p>
    <w:p>
      <w:pPr>
        <w:widowControl/>
      </w:pPr>
      <w:r>
        <w:rPr>
          <w:b/>
          <w:i w:val="0"/>
        </w:rPr>
        <w:t>firmatur.</w:t>
      </w:r>
      <w:r>
        <w:rPr>
          <w:b w:val="0"/>
          <w:i w:val="0"/>
        </w:rPr>
        <w:t xml:space="preserve"> </w:t>
      </w:r>
      <w:hyperlink w:anchor="latin-record-0724">
        <w:r>
          <w:rPr>
            <w:color w:val="000000"/>
          </w:rPr>
          <w:t xml:space="preserve">movere / sistere / firmare</w:t>
        </w:r>
      </w:hyperlink>
      <w:r>
        <w:rPr>
          <w:b w:val="0"/>
          <w:i w:val="0"/>
        </w:rPr>
        <w:t>.</w:t>
      </w:r>
    </w:p>
    <w:p>
      <w:pPr>
        <w:widowControl/>
      </w:pPr>
      <w:r>
        <w:rPr>
          <w:b/>
          <w:i w:val="0"/>
        </w:rPr>
        <w:t>firmiterque.</w:t>
      </w:r>
      <w:r>
        <w:rPr>
          <w:b w:val="0"/>
          <w:i w:val="0"/>
        </w:rPr>
        <w:t xml:space="preserve"> </w:t>
      </w:r>
      <w:hyperlink w:anchor="latin-record-0724">
        <w:r>
          <w:rPr>
            <w:color w:val="000000"/>
          </w:rPr>
          <w:t xml:space="preserve">movere / sistere / firmare</w:t>
        </w:r>
      </w:hyperlink>
      <w:r>
        <w:rPr>
          <w:b w:val="0"/>
          <w:i w:val="0"/>
        </w:rPr>
        <w:t>.</w:t>
      </w:r>
    </w:p>
    <w:p>
      <w:pPr>
        <w:widowControl/>
      </w:pPr>
      <w:r>
        <w:rPr>
          <w:b/>
          <w:i w:val="0"/>
        </w:rPr>
        <w:t>fit.</w:t>
      </w:r>
      <w:r>
        <w:rPr>
          <w:b w:val="0"/>
          <w:i w:val="0"/>
        </w:rPr>
        <w:t xml:space="preserve"> </w:t>
      </w:r>
      <w:hyperlink w:anchor="latin-record-0379">
        <w:r>
          <w:rPr>
            <w:color w:val="000000"/>
          </w:rPr>
          <w:t xml:space="preserve">esse / fieri</w:t>
        </w:r>
      </w:hyperlink>
      <w:r>
        <w:rPr>
          <w:b w:val="0"/>
          <w:i w:val="0"/>
        </w:rPr>
        <w:t xml:space="preserve">; </w:t>
      </w:r>
      <w:hyperlink w:anchor="latin-record-0444">
        <w:r>
          <w:rPr>
            <w:color w:val="000000"/>
          </w:rPr>
          <w:t xml:space="preserve">fieri / constare</w:t>
        </w:r>
      </w:hyperlink>
      <w:r>
        <w:rPr>
          <w:b w:val="0"/>
          <w:i w:val="0"/>
        </w:rPr>
        <w:t>.</w:t>
      </w:r>
    </w:p>
    <w:p>
      <w:pPr>
        <w:widowControl/>
      </w:pPr>
      <w:r>
        <w:rPr>
          <w:b/>
          <w:i w:val="0"/>
        </w:rPr>
        <w:t>flammam.</w:t>
      </w:r>
      <w:r>
        <w:rPr>
          <w:b w:val="0"/>
          <w:i w:val="0"/>
        </w:rPr>
        <w:t xml:space="preserve"> </w:t>
      </w:r>
      <w:hyperlink w:anchor="latin-record-1073">
        <w:r>
          <w:rPr>
            <w:color w:val="000000"/>
          </w:rPr>
          <w:t xml:space="preserve">scintilla / flamma</w:t>
        </w:r>
      </w:hyperlink>
      <w:r>
        <w:rPr>
          <w:b w:val="0"/>
          <w:i w:val="0"/>
        </w:rPr>
        <w:t>.</w:t>
      </w:r>
    </w:p>
    <w:p>
      <w:pPr>
        <w:widowControl/>
      </w:pPr>
      <w:r>
        <w:rPr>
          <w:b/>
          <w:i w:val="0"/>
        </w:rPr>
        <w:t>flammula.</w:t>
      </w:r>
      <w:r>
        <w:rPr>
          <w:b w:val="0"/>
          <w:i w:val="0"/>
        </w:rPr>
        <w:t xml:space="preserve"> </w:t>
      </w:r>
      <w:hyperlink w:anchor="latin-record-0451">
        <w:r>
          <w:rPr>
            <w:color w:val="000000"/>
          </w:rPr>
          <w:t xml:space="preserve">flammula / concavum / evolare</w:t>
        </w:r>
      </w:hyperlink>
      <w:r>
        <w:rPr>
          <w:b w:val="0"/>
          <w:i w:val="0"/>
        </w:rPr>
        <w:t>.</w:t>
      </w:r>
    </w:p>
    <w:p>
      <w:pPr>
        <w:widowControl/>
      </w:pPr>
      <w:r>
        <w:rPr>
          <w:b/>
          <w:i w:val="0"/>
        </w:rPr>
        <w:t>flava.</w:t>
      </w:r>
      <w:r>
        <w:rPr>
          <w:b w:val="0"/>
          <w:i w:val="0"/>
        </w:rPr>
        <w:t xml:space="preserve"> </w:t>
      </w:r>
      <w:hyperlink w:anchor="latin-record-0353">
        <w:r>
          <w:rPr>
            <w:color w:val="000000"/>
          </w:rPr>
          <w:t xml:space="preserve">dulcedo / odor / flavus</w:t>
        </w:r>
      </w:hyperlink>
      <w:r>
        <w:rPr>
          <w:b w:val="0"/>
          <w:i w:val="0"/>
        </w:rPr>
        <w:t>.</w:t>
      </w:r>
    </w:p>
    <w:p>
      <w:pPr>
        <w:widowControl/>
      </w:pPr>
      <w:r>
        <w:rPr>
          <w:b/>
          <w:i w:val="0"/>
        </w:rPr>
        <w:t>flavus.</w:t>
      </w:r>
      <w:r>
        <w:rPr>
          <w:b w:val="0"/>
          <w:i w:val="0"/>
        </w:rPr>
        <w:t xml:space="preserve"> </w:t>
      </w:r>
      <w:hyperlink w:anchor="latin-record-0353">
        <w:r>
          <w:rPr>
            <w:color w:val="000000"/>
          </w:rPr>
          <w:t xml:space="preserve">dulcedo / odor / flavus</w:t>
        </w:r>
      </w:hyperlink>
      <w:r>
        <w:rPr>
          <w:b w:val="0"/>
          <w:i w:val="0"/>
        </w:rPr>
        <w:t>.</w:t>
      </w:r>
    </w:p>
    <w:p>
      <w:pPr>
        <w:widowControl/>
      </w:pPr>
      <w:r>
        <w:rPr>
          <w:b/>
          <w:i w:val="0"/>
        </w:rPr>
        <w:t>florem.</w:t>
      </w:r>
      <w:r>
        <w:rPr>
          <w:b w:val="0"/>
          <w:i w:val="0"/>
        </w:rPr>
        <w:t xml:space="preserve"> </w:t>
      </w:r>
      <w:hyperlink w:anchor="latin-record-0454">
        <w:r>
          <w:rPr>
            <w:color w:val="000000"/>
          </w:rPr>
          <w:t xml:space="preserve">flos / herba</w:t>
        </w:r>
      </w:hyperlink>
      <w:r>
        <w:rPr>
          <w:b w:val="0"/>
          <w:i w:val="0"/>
        </w:rPr>
        <w:t>.</w:t>
      </w:r>
    </w:p>
    <w:p>
      <w:pPr>
        <w:widowControl/>
      </w:pPr>
      <w:r>
        <w:rPr>
          <w:b/>
          <w:i w:val="0"/>
        </w:rPr>
        <w:t>Florentiae.</w:t>
      </w:r>
      <w:r>
        <w:rPr>
          <w:b w:val="0"/>
          <w:i w:val="0"/>
        </w:rPr>
        <w:t xml:space="preserve"> </w:t>
      </w:r>
      <w:hyperlink w:anchor="latin-record-0452">
        <w:r>
          <w:rPr>
            <w:color w:val="000000"/>
          </w:rPr>
          <w:t xml:space="preserve">Florentia / Germanus</w:t>
        </w:r>
      </w:hyperlink>
      <w:r>
        <w:rPr>
          <w:b w:val="0"/>
          <w:i w:val="0"/>
        </w:rPr>
        <w:t>.</w:t>
      </w:r>
    </w:p>
    <w:p>
      <w:pPr>
        <w:widowControl/>
      </w:pPr>
      <w:r>
        <w:rPr>
          <w:b/>
          <w:i w:val="0"/>
        </w:rPr>
        <w:t>flores.</w:t>
      </w:r>
      <w:r>
        <w:rPr>
          <w:b w:val="0"/>
          <w:i w:val="0"/>
        </w:rPr>
        <w:t xml:space="preserve"> </w:t>
      </w:r>
      <w:hyperlink w:anchor="latin-record-1085">
        <w:r>
          <w:rPr>
            <w:color w:val="000000"/>
          </w:rPr>
          <w:t xml:space="preserve">semen / flos</w:t>
        </w:r>
      </w:hyperlink>
      <w:r>
        <w:rPr>
          <w:b w:val="0"/>
          <w:i w:val="0"/>
        </w:rPr>
        <w:t>.</w:t>
      </w:r>
    </w:p>
    <w:p>
      <w:pPr>
        <w:widowControl/>
      </w:pPr>
      <w:r>
        <w:rPr>
          <w:b/>
          <w:i w:val="0"/>
        </w:rPr>
        <w:t>fluctuabit.</w:t>
      </w:r>
      <w:r>
        <w:rPr>
          <w:b w:val="0"/>
          <w:i w:val="0"/>
        </w:rPr>
        <w:t xml:space="preserve"> </w:t>
      </w:r>
      <w:hyperlink w:anchor="latin-record-0455">
        <w:r>
          <w:rPr>
            <w:color w:val="000000"/>
          </w:rPr>
          <w:t xml:space="preserve">fluctuo / labens</w:t>
        </w:r>
      </w:hyperlink>
      <w:r>
        <w:rPr>
          <w:b w:val="0"/>
          <w:i w:val="0"/>
        </w:rPr>
        <w:t>.</w:t>
      </w:r>
    </w:p>
    <w:p>
      <w:pPr>
        <w:widowControl/>
      </w:pPr>
      <w:r>
        <w:rPr>
          <w:b/>
          <w:i w:val="0"/>
        </w:rPr>
        <w:t>fluentium.</w:t>
      </w:r>
      <w:r>
        <w:rPr>
          <w:b w:val="0"/>
          <w:i w:val="0"/>
        </w:rPr>
        <w:t xml:space="preserve"> </w:t>
      </w:r>
      <w:hyperlink w:anchor="latin-record-0457">
        <w:r>
          <w:rPr>
            <w:color w:val="000000"/>
          </w:rPr>
          <w:t xml:space="preserve">fluere / fluitare / fluxus</w:t>
        </w:r>
      </w:hyperlink>
      <w:r>
        <w:rPr>
          <w:b w:val="0"/>
          <w:i w:val="0"/>
        </w:rPr>
        <w:t>.</w:t>
      </w:r>
    </w:p>
    <w:p>
      <w:pPr>
        <w:widowControl/>
      </w:pPr>
      <w:r>
        <w:rPr>
          <w:b/>
          <w:i w:val="0"/>
        </w:rPr>
        <w:t>Fluet.</w:t>
      </w:r>
      <w:r>
        <w:rPr>
          <w:b w:val="0"/>
          <w:i w:val="0"/>
        </w:rPr>
        <w:t xml:space="preserve"> </w:t>
      </w:r>
      <w:hyperlink w:anchor="latin-record-0456">
        <w:r>
          <w:rPr>
            <w:color w:val="000000"/>
          </w:rPr>
          <w:t xml:space="preserve">fluere</w:t>
        </w:r>
      </w:hyperlink>
      <w:r>
        <w:rPr>
          <w:b w:val="0"/>
          <w:i w:val="0"/>
        </w:rPr>
        <w:t>.</w:t>
      </w:r>
    </w:p>
    <w:p>
      <w:pPr>
        <w:widowControl/>
      </w:pPr>
      <w:r>
        <w:rPr>
          <w:b/>
          <w:i w:val="0"/>
        </w:rPr>
        <w:t>fluit.</w:t>
      </w:r>
      <w:r>
        <w:rPr>
          <w:b w:val="0"/>
          <w:i w:val="0"/>
        </w:rPr>
        <w:t xml:space="preserve"> </w:t>
      </w:r>
      <w:hyperlink w:anchor="latin-record-0457">
        <w:r>
          <w:rPr>
            <w:color w:val="000000"/>
          </w:rPr>
          <w:t xml:space="preserve">fluere / fluitare / fluxus</w:t>
        </w:r>
      </w:hyperlink>
      <w:r>
        <w:rPr>
          <w:b w:val="0"/>
          <w:i w:val="0"/>
        </w:rPr>
        <w:t>.</w:t>
      </w:r>
    </w:p>
    <w:p>
      <w:pPr>
        <w:widowControl/>
      </w:pPr>
      <w:r>
        <w:rPr>
          <w:b/>
          <w:i w:val="0"/>
        </w:rPr>
        <w:t>fluitabunt.</w:t>
      </w:r>
      <w:r>
        <w:rPr>
          <w:b w:val="0"/>
          <w:i w:val="0"/>
        </w:rPr>
        <w:t xml:space="preserve"> </w:t>
      </w:r>
      <w:hyperlink w:anchor="latin-record-0457">
        <w:r>
          <w:rPr>
            <w:color w:val="000000"/>
          </w:rPr>
          <w:t xml:space="preserve">fluere / fluitare / fluxus</w:t>
        </w:r>
      </w:hyperlink>
      <w:r>
        <w:rPr>
          <w:b w:val="0"/>
          <w:i w:val="0"/>
        </w:rPr>
        <w:t>.</w:t>
      </w:r>
    </w:p>
    <w:p>
      <w:pPr>
        <w:widowControl/>
      </w:pPr>
      <w:r>
        <w:rPr>
          <w:b/>
          <w:i w:val="0"/>
        </w:rPr>
        <w:t>fluitat.</w:t>
      </w:r>
      <w:r>
        <w:rPr>
          <w:b w:val="0"/>
          <w:i w:val="0"/>
        </w:rPr>
        <w:t xml:space="preserve"> </w:t>
      </w:r>
      <w:hyperlink w:anchor="latin-record-0457">
        <w:r>
          <w:rPr>
            <w:color w:val="000000"/>
          </w:rPr>
          <w:t xml:space="preserve">fluere / fluitare / fluxus</w:t>
        </w:r>
      </w:hyperlink>
      <w:r>
        <w:rPr>
          <w:b w:val="0"/>
          <w:i w:val="0"/>
        </w:rPr>
        <w:t>.</w:t>
      </w:r>
    </w:p>
    <w:p>
      <w:pPr>
        <w:widowControl/>
      </w:pPr>
      <w:r>
        <w:rPr>
          <w:b/>
          <w:i w:val="0"/>
        </w:rPr>
        <w:t>fluxerunt.</w:t>
      </w:r>
      <w:r>
        <w:rPr>
          <w:b w:val="0"/>
          <w:i w:val="0"/>
        </w:rPr>
        <w:t xml:space="preserve"> </w:t>
      </w:r>
      <w:hyperlink w:anchor="latin-record-0457">
        <w:r>
          <w:rPr>
            <w:color w:val="000000"/>
          </w:rPr>
          <w:t xml:space="preserve">fluere / fluitare / fluxus</w:t>
        </w:r>
      </w:hyperlink>
      <w:r>
        <w:rPr>
          <w:b w:val="0"/>
          <w:i w:val="0"/>
        </w:rPr>
        <w:t>.</w:t>
      </w:r>
    </w:p>
    <w:p>
      <w:pPr>
        <w:widowControl/>
      </w:pPr>
      <w:r>
        <w:rPr>
          <w:b/>
          <w:i w:val="0"/>
        </w:rPr>
        <w:t>fluxum.</w:t>
      </w:r>
      <w:r>
        <w:rPr>
          <w:b w:val="0"/>
          <w:i w:val="0"/>
        </w:rPr>
        <w:t xml:space="preserve"> </w:t>
      </w:r>
      <w:hyperlink w:anchor="latin-record-0457">
        <w:r>
          <w:rPr>
            <w:color w:val="000000"/>
          </w:rPr>
          <w:t xml:space="preserve">fluere / fluitare / fluxus</w:t>
        </w:r>
      </w:hyperlink>
      <w:r>
        <w:rPr>
          <w:b w:val="0"/>
          <w:i w:val="0"/>
        </w:rPr>
        <w:t>.</w:t>
      </w:r>
    </w:p>
    <w:p>
      <w:pPr>
        <w:widowControl/>
      </w:pPr>
      <w:r>
        <w:rPr>
          <w:b/>
          <w:i w:val="0"/>
        </w:rPr>
        <w:t>fomento.</w:t>
      </w:r>
      <w:r>
        <w:rPr>
          <w:b w:val="0"/>
          <w:i w:val="0"/>
        </w:rPr>
        <w:t xml:space="preserve"> </w:t>
      </w:r>
      <w:hyperlink w:anchor="latin-record-0458">
        <w:r>
          <w:rPr>
            <w:color w:val="000000"/>
          </w:rPr>
          <w:t xml:space="preserve">fomentum</w:t>
        </w:r>
      </w:hyperlink>
      <w:r>
        <w:rPr>
          <w:b w:val="0"/>
          <w:i w:val="0"/>
        </w:rPr>
        <w:t xml:space="preserve">; </w:t>
      </w:r>
      <w:hyperlink w:anchor="latin-record-0459">
        <w:r>
          <w:rPr>
            <w:color w:val="000000"/>
          </w:rPr>
          <w:t xml:space="preserve">fomentum / fovere</w:t>
        </w:r>
      </w:hyperlink>
      <w:r>
        <w:rPr>
          <w:b w:val="0"/>
          <w:i w:val="0"/>
        </w:rPr>
        <w:t>.</w:t>
      </w:r>
    </w:p>
    <w:p>
      <w:pPr>
        <w:widowControl/>
      </w:pPr>
      <w:r>
        <w:rPr>
          <w:b/>
          <w:i w:val="0"/>
        </w:rPr>
        <w:t>fons.</w:t>
      </w:r>
      <w:r>
        <w:rPr>
          <w:b w:val="0"/>
          <w:i w:val="0"/>
        </w:rPr>
        <w:t xml:space="preserve"> </w:t>
      </w:r>
      <w:hyperlink w:anchor="latin-record-0460">
        <w:r>
          <w:rPr>
            <w:color w:val="000000"/>
          </w:rPr>
          <w:t xml:space="preserve">fons / influxus</w:t>
        </w:r>
      </w:hyperlink>
      <w:r>
        <w:rPr>
          <w:b w:val="0"/>
          <w:i w:val="0"/>
        </w:rPr>
        <w:t xml:space="preserve">; </w:t>
      </w:r>
      <w:hyperlink w:anchor="latin-record-0462">
        <w:r>
          <w:rPr>
            <w:color w:val="000000"/>
          </w:rPr>
          <w:t xml:space="preserve">fons formarum</w:t>
        </w:r>
      </w:hyperlink>
      <w:r>
        <w:rPr>
          <w:b w:val="0"/>
          <w:i w:val="0"/>
        </w:rPr>
        <w:t>.</w:t>
      </w:r>
    </w:p>
    <w:p>
      <w:pPr>
        <w:widowControl/>
      </w:pPr>
      <w:r>
        <w:rPr>
          <w:b/>
          <w:i w:val="0"/>
        </w:rPr>
        <w:t>fonte.</w:t>
      </w:r>
      <w:r>
        <w:rPr>
          <w:b w:val="0"/>
          <w:i w:val="0"/>
        </w:rPr>
        <w:t xml:space="preserve"> </w:t>
      </w:r>
      <w:hyperlink w:anchor="latin-record-0460">
        <w:r>
          <w:rPr>
            <w:color w:val="000000"/>
          </w:rPr>
          <w:t xml:space="preserve">fons / influxus</w:t>
        </w:r>
      </w:hyperlink>
      <w:r>
        <w:rPr>
          <w:b w:val="0"/>
          <w:i w:val="0"/>
        </w:rPr>
        <w:t>.</w:t>
      </w:r>
    </w:p>
    <w:p>
      <w:pPr>
        <w:widowControl/>
      </w:pPr>
      <w:r>
        <w:rPr>
          <w:b/>
          <w:i w:val="0"/>
        </w:rPr>
        <w:t>fontem.</w:t>
      </w:r>
      <w:r>
        <w:rPr>
          <w:b w:val="0"/>
          <w:i w:val="0"/>
        </w:rPr>
        <w:t xml:space="preserve"> </w:t>
      </w:r>
      <w:hyperlink w:anchor="latin-record-0461">
        <w:r>
          <w:rPr>
            <w:color w:val="000000"/>
          </w:rPr>
          <w:t xml:space="preserve">fons / principium</w:t>
        </w:r>
      </w:hyperlink>
      <w:r>
        <w:rPr>
          <w:b w:val="0"/>
          <w:i w:val="0"/>
        </w:rPr>
        <w:t>.</w:t>
      </w:r>
    </w:p>
    <w:p>
      <w:pPr>
        <w:widowControl/>
      </w:pPr>
      <w:r>
        <w:rPr>
          <w:b/>
          <w:i w:val="0"/>
        </w:rPr>
        <w:t>fontem et principium motionis.</w:t>
      </w:r>
      <w:r>
        <w:rPr>
          <w:b w:val="0"/>
          <w:i w:val="0"/>
        </w:rPr>
        <w:t xml:space="preserve"> </w:t>
      </w:r>
      <w:hyperlink w:anchor="latin-record-0461">
        <w:r>
          <w:rPr>
            <w:color w:val="000000"/>
          </w:rPr>
          <w:t xml:space="preserve">fons / principium</w:t>
        </w:r>
      </w:hyperlink>
      <w:r>
        <w:rPr>
          <w:b w:val="0"/>
          <w:i w:val="0"/>
        </w:rPr>
        <w:t>.</w:t>
      </w:r>
    </w:p>
    <w:p>
      <w:pPr>
        <w:widowControl/>
      </w:pPr>
      <w:r>
        <w:rPr>
          <w:b/>
          <w:i w:val="0"/>
        </w:rPr>
        <w:t>forma.</w:t>
      </w:r>
      <w:r>
        <w:rPr>
          <w:b w:val="0"/>
          <w:i w:val="0"/>
        </w:rPr>
        <w:t xml:space="preserve"> </w:t>
      </w:r>
      <w:hyperlink w:anchor="latin-record-0463">
        <w:r>
          <w:rPr>
            <w:color w:val="000000"/>
          </w:rPr>
          <w:t xml:space="preserve">forma / formare</w:t>
        </w:r>
      </w:hyperlink>
      <w:r>
        <w:rPr>
          <w:b w:val="0"/>
          <w:i w:val="0"/>
        </w:rPr>
        <w:t>.</w:t>
      </w:r>
    </w:p>
    <w:p>
      <w:pPr>
        <w:widowControl/>
      </w:pPr>
      <w:r>
        <w:rPr>
          <w:b/>
          <w:i w:val="0"/>
        </w:rPr>
        <w:t>formae.</w:t>
      </w:r>
      <w:r>
        <w:rPr>
          <w:b w:val="0"/>
          <w:i w:val="0"/>
        </w:rPr>
        <w:t xml:space="preserve"> </w:t>
      </w:r>
      <w:hyperlink w:anchor="latin-record-0464">
        <w:r>
          <w:rPr>
            <w:color w:val="000000"/>
          </w:rPr>
          <w:t xml:space="preserve">forma / species</w:t>
        </w:r>
      </w:hyperlink>
      <w:r>
        <w:rPr>
          <w:b w:val="0"/>
          <w:i w:val="0"/>
        </w:rPr>
        <w:t>.</w:t>
      </w:r>
    </w:p>
    <w:p>
      <w:pPr>
        <w:widowControl/>
      </w:pPr>
      <w:r>
        <w:rPr>
          <w:b/>
          <w:i w:val="0"/>
        </w:rPr>
        <w:t>formam.</w:t>
      </w:r>
      <w:r>
        <w:rPr>
          <w:b w:val="0"/>
          <w:i w:val="0"/>
        </w:rPr>
        <w:t xml:space="preserve"> </w:t>
      </w:r>
      <w:hyperlink w:anchor="latin-record-0463">
        <w:r>
          <w:rPr>
            <w:color w:val="000000"/>
          </w:rPr>
          <w:t xml:space="preserve">forma / formare</w:t>
        </w:r>
      </w:hyperlink>
      <w:r>
        <w:rPr>
          <w:b w:val="0"/>
          <w:i w:val="0"/>
        </w:rPr>
        <w:t xml:space="preserve">; </w:t>
      </w:r>
      <w:hyperlink w:anchor="latin-record-0464">
        <w:r>
          <w:rPr>
            <w:color w:val="000000"/>
          </w:rPr>
          <w:t xml:space="preserve">forma / species</w:t>
        </w:r>
      </w:hyperlink>
      <w:r>
        <w:rPr>
          <w:b w:val="0"/>
          <w:i w:val="0"/>
        </w:rPr>
        <w:t xml:space="preserve">; </w:t>
      </w:r>
      <w:hyperlink w:anchor="latin-record-0827">
        <w:r>
          <w:rPr>
            <w:color w:val="000000"/>
          </w:rPr>
          <w:t xml:space="preserve">participatio / forma / eminentia</w:t>
        </w:r>
      </w:hyperlink>
      <w:r>
        <w:rPr>
          <w:b w:val="0"/>
          <w:i w:val="0"/>
        </w:rPr>
        <w:t>.</w:t>
      </w:r>
    </w:p>
    <w:p>
      <w:pPr>
        <w:widowControl/>
      </w:pPr>
      <w:r>
        <w:rPr>
          <w:b/>
          <w:i w:val="0"/>
        </w:rPr>
        <w:t>formarum.</w:t>
      </w:r>
      <w:r>
        <w:rPr>
          <w:b w:val="0"/>
          <w:i w:val="0"/>
        </w:rPr>
        <w:t xml:space="preserve"> </w:t>
      </w:r>
      <w:hyperlink w:anchor="latin-record-0462">
        <w:r>
          <w:rPr>
            <w:color w:val="000000"/>
          </w:rPr>
          <w:t xml:space="preserve">fons formarum</w:t>
        </w:r>
      </w:hyperlink>
      <w:r>
        <w:rPr>
          <w:b w:val="0"/>
          <w:i w:val="0"/>
        </w:rPr>
        <w:t>.</w:t>
      </w:r>
    </w:p>
    <w:p>
      <w:pPr>
        <w:widowControl/>
      </w:pPr>
      <w:r>
        <w:rPr>
          <w:b/>
          <w:i w:val="0"/>
        </w:rPr>
        <w:t>formas.</w:t>
      </w:r>
      <w:r>
        <w:rPr>
          <w:b w:val="0"/>
          <w:i w:val="0"/>
        </w:rPr>
        <w:t xml:space="preserve"> </w:t>
      </w:r>
      <w:hyperlink w:anchor="latin-record-0464">
        <w:r>
          <w:rPr>
            <w:color w:val="000000"/>
          </w:rPr>
          <w:t xml:space="preserve">forma / species</w:t>
        </w:r>
      </w:hyperlink>
      <w:r>
        <w:rPr>
          <w:b w:val="0"/>
          <w:i w:val="0"/>
        </w:rPr>
        <w:t>.</w:t>
      </w:r>
    </w:p>
    <w:p>
      <w:pPr>
        <w:widowControl/>
      </w:pPr>
      <w:r>
        <w:rPr>
          <w:b/>
          <w:i w:val="0"/>
        </w:rPr>
        <w:t>formata.</w:t>
      </w:r>
      <w:r>
        <w:rPr>
          <w:b w:val="0"/>
          <w:i w:val="0"/>
        </w:rPr>
        <w:t xml:space="preserve"> </w:t>
      </w:r>
      <w:hyperlink w:anchor="latin-record-0463">
        <w:r>
          <w:rPr>
            <w:color w:val="000000"/>
          </w:rPr>
          <w:t xml:space="preserve">forma / formare</w:t>
        </w:r>
      </w:hyperlink>
      <w:r>
        <w:rPr>
          <w:b w:val="0"/>
          <w:i w:val="0"/>
        </w:rPr>
        <w:t>.</w:t>
      </w:r>
    </w:p>
    <w:p>
      <w:pPr>
        <w:widowControl/>
      </w:pPr>
      <w:r>
        <w:rPr>
          <w:b/>
          <w:i w:val="0"/>
        </w:rPr>
        <w:t>formosa.</w:t>
      </w:r>
      <w:r>
        <w:rPr>
          <w:b w:val="0"/>
          <w:i w:val="0"/>
        </w:rPr>
        <w:t xml:space="preserve"> </w:t>
      </w:r>
      <w:hyperlink w:anchor="latin-record-0465">
        <w:r>
          <w:rPr>
            <w:color w:val="000000"/>
          </w:rPr>
          <w:t xml:space="preserve">formosus / exactus / ars</w:t>
        </w:r>
      </w:hyperlink>
      <w:r>
        <w:rPr>
          <w:b w:val="0"/>
          <w:i w:val="0"/>
        </w:rPr>
        <w:t>.</w:t>
      </w:r>
    </w:p>
    <w:p>
      <w:pPr>
        <w:widowControl/>
      </w:pPr>
      <w:r>
        <w:rPr>
          <w:b/>
          <w:i w:val="0"/>
        </w:rPr>
        <w:t>forsitan.</w:t>
      </w:r>
      <w:r>
        <w:rPr>
          <w:b w:val="0"/>
          <w:i w:val="0"/>
        </w:rPr>
        <w:t xml:space="preserve"> </w:t>
      </w:r>
      <w:hyperlink w:anchor="latin-record-0466">
        <w:r>
          <w:rPr>
            <w:color w:val="000000"/>
          </w:rPr>
          <w:t xml:space="preserve">forsitan / forte</w:t>
        </w:r>
      </w:hyperlink>
      <w:r>
        <w:rPr>
          <w:b w:val="0"/>
          <w:i w:val="0"/>
        </w:rPr>
        <w:t xml:space="preserve">; </w:t>
      </w:r>
      <w:hyperlink w:anchor="latin-record-0467">
        <w:r>
          <w:rPr>
            <w:color w:val="000000"/>
          </w:rPr>
          <w:t xml:space="preserve">forsitan / quodammodo</w:t>
        </w:r>
      </w:hyperlink>
      <w:r>
        <w:rPr>
          <w:b w:val="0"/>
          <w:i w:val="0"/>
        </w:rPr>
        <w:t>.</w:t>
      </w:r>
    </w:p>
    <w:p>
      <w:pPr>
        <w:widowControl/>
      </w:pPr>
      <w:r>
        <w:rPr>
          <w:b/>
          <w:i w:val="0"/>
        </w:rPr>
        <w:t>forte.</w:t>
      </w:r>
      <w:r>
        <w:rPr>
          <w:b w:val="0"/>
          <w:i w:val="0"/>
        </w:rPr>
        <w:t xml:space="preserve"> </w:t>
      </w:r>
      <w:hyperlink w:anchor="latin-record-0466">
        <w:r>
          <w:rPr>
            <w:color w:val="000000"/>
          </w:rPr>
          <w:t xml:space="preserve">forsitan / forte</w:t>
        </w:r>
      </w:hyperlink>
      <w:r>
        <w:rPr>
          <w:b w:val="0"/>
          <w:i w:val="0"/>
        </w:rPr>
        <w:t xml:space="preserve">; </w:t>
      </w:r>
      <w:hyperlink w:anchor="latin-record-0468">
        <w:r>
          <w:rPr>
            <w:color w:val="000000"/>
          </w:rPr>
          <w:t xml:space="preserve">forte / fortuitus / sors</w:t>
        </w:r>
      </w:hyperlink>
      <w:r>
        <w:rPr>
          <w:b w:val="0"/>
          <w:i w:val="0"/>
        </w:rPr>
        <w:t xml:space="preserve">; </w:t>
      </w:r>
      <w:hyperlink w:anchor="latin-record-0469">
        <w:r>
          <w:rPr>
            <w:color w:val="000000"/>
          </w:rPr>
          <w:t xml:space="preserve">forte / suspicor / vaticinor</w:t>
        </w:r>
      </w:hyperlink>
      <w:r>
        <w:rPr>
          <w:b w:val="0"/>
          <w:i w:val="0"/>
        </w:rPr>
        <w:t>.</w:t>
      </w:r>
    </w:p>
    <w:p>
      <w:pPr>
        <w:widowControl/>
      </w:pPr>
      <w:r>
        <w:rPr>
          <w:b/>
          <w:i w:val="0"/>
        </w:rPr>
        <w:t>fortius.</w:t>
      </w:r>
      <w:r>
        <w:rPr>
          <w:b w:val="0"/>
          <w:i w:val="0"/>
        </w:rPr>
        <w:t xml:space="preserve"> </w:t>
      </w:r>
      <w:hyperlink w:anchor="latin-record-0470">
        <w:r>
          <w:rPr>
            <w:color w:val="000000"/>
          </w:rPr>
          <w:t xml:space="preserve">fortis / vehementia / valere</w:t>
        </w:r>
      </w:hyperlink>
      <w:r>
        <w:rPr>
          <w:b w:val="0"/>
          <w:i w:val="0"/>
        </w:rPr>
        <w:t>.</w:t>
      </w:r>
    </w:p>
    <w:p>
      <w:pPr>
        <w:widowControl/>
      </w:pPr>
      <w:r>
        <w:rPr>
          <w:b/>
          <w:i w:val="0"/>
        </w:rPr>
        <w:t>fortuito.</w:t>
      </w:r>
      <w:r>
        <w:rPr>
          <w:b w:val="0"/>
          <w:i w:val="0"/>
        </w:rPr>
        <w:t xml:space="preserve"> </w:t>
      </w:r>
      <w:hyperlink w:anchor="latin-record-0468">
        <w:r>
          <w:rPr>
            <w:color w:val="000000"/>
          </w:rPr>
          <w:t xml:space="preserve">forte / fortuitus / sors</w:t>
        </w:r>
      </w:hyperlink>
      <w:r>
        <w:rPr>
          <w:b w:val="0"/>
          <w:i w:val="0"/>
        </w:rPr>
        <w:t>.</w:t>
      </w:r>
    </w:p>
    <w:p>
      <w:pPr>
        <w:widowControl/>
      </w:pPr>
      <w:r>
        <w:rPr>
          <w:b/>
          <w:i w:val="0"/>
        </w:rPr>
        <w:t>fortuitum.</w:t>
      </w:r>
      <w:r>
        <w:rPr>
          <w:b w:val="0"/>
          <w:i w:val="0"/>
        </w:rPr>
        <w:t xml:space="preserve"> </w:t>
      </w:r>
      <w:hyperlink w:anchor="latin-record-0468">
        <w:r>
          <w:rPr>
            <w:color w:val="000000"/>
          </w:rPr>
          <w:t xml:space="preserve">forte / fortuitus / sors</w:t>
        </w:r>
      </w:hyperlink>
      <w:r>
        <w:rPr>
          <w:b w:val="0"/>
          <w:i w:val="0"/>
        </w:rPr>
        <w:t>.</w:t>
      </w:r>
    </w:p>
    <w:p>
      <w:pPr>
        <w:widowControl/>
      </w:pPr>
      <w:r>
        <w:rPr>
          <w:b/>
          <w:i w:val="0"/>
        </w:rPr>
        <w:t>foveant.</w:t>
      </w:r>
      <w:r>
        <w:rPr>
          <w:b w:val="0"/>
          <w:i w:val="0"/>
        </w:rPr>
        <w:t xml:space="preserve"> </w:t>
      </w:r>
      <w:hyperlink w:anchor="latin-record-0459">
        <w:r>
          <w:rPr>
            <w:color w:val="000000"/>
          </w:rPr>
          <w:t xml:space="preserve">fomentum / fovere</w:t>
        </w:r>
      </w:hyperlink>
      <w:r>
        <w:rPr>
          <w:b w:val="0"/>
          <w:i w:val="0"/>
        </w:rPr>
        <w:t>.</w:t>
      </w:r>
    </w:p>
    <w:p>
      <w:pPr>
        <w:widowControl/>
      </w:pPr>
      <w:r>
        <w:rPr>
          <w:b/>
          <w:i w:val="0"/>
        </w:rPr>
        <w:t>fovendo.</w:t>
      </w:r>
      <w:r>
        <w:rPr>
          <w:b w:val="0"/>
          <w:i w:val="0"/>
        </w:rPr>
        <w:t xml:space="preserve"> </w:t>
      </w:r>
      <w:hyperlink w:anchor="latin-record-0818">
        <w:r>
          <w:rPr>
            <w:color w:val="000000"/>
          </w:rPr>
          <w:t xml:space="preserve">ovum / fovere</w:t>
        </w:r>
      </w:hyperlink>
      <w:r>
        <w:rPr>
          <w:b w:val="0"/>
          <w:i w:val="0"/>
        </w:rPr>
        <w:t>.</w:t>
      </w:r>
    </w:p>
    <w:p>
      <w:pPr>
        <w:widowControl/>
      </w:pPr>
      <w:r>
        <w:rPr>
          <w:b/>
          <w:i w:val="0"/>
        </w:rPr>
        <w:t>fovet.</w:t>
      </w:r>
      <w:r>
        <w:rPr>
          <w:b w:val="0"/>
          <w:i w:val="0"/>
        </w:rPr>
        <w:t xml:space="preserve"> </w:t>
      </w:r>
      <w:hyperlink w:anchor="latin-record-0459">
        <w:r>
          <w:rPr>
            <w:color w:val="000000"/>
          </w:rPr>
          <w:t xml:space="preserve">fomentum / fovere</w:t>
        </w:r>
      </w:hyperlink>
      <w:r>
        <w:rPr>
          <w:b w:val="0"/>
          <w:i w:val="0"/>
        </w:rPr>
        <w:t>.</w:t>
      </w:r>
    </w:p>
    <w:p>
      <w:pPr>
        <w:widowControl/>
      </w:pPr>
      <w:r>
        <w:rPr>
          <w:b/>
          <w:i w:val="0"/>
        </w:rPr>
        <w:t>fretus.</w:t>
      </w:r>
      <w:r>
        <w:rPr>
          <w:b w:val="0"/>
          <w:i w:val="0"/>
        </w:rPr>
        <w:t xml:space="preserve"> </w:t>
      </w:r>
      <w:hyperlink w:anchor="latin-record-0471">
        <w:r>
          <w:rPr>
            <w:color w:val="000000"/>
          </w:rPr>
          <w:t xml:space="preserve">fretus / adductus</w:t>
        </w:r>
      </w:hyperlink>
      <w:r>
        <w:rPr>
          <w:b w:val="0"/>
          <w:i w:val="0"/>
        </w:rPr>
        <w:t>.</w:t>
      </w:r>
    </w:p>
    <w:p>
      <w:pPr>
        <w:widowControl/>
      </w:pPr>
      <w:r>
        <w:rPr>
          <w:b/>
          <w:i w:val="0"/>
        </w:rPr>
        <w:t>frigefacerentque.</w:t>
      </w:r>
      <w:r>
        <w:rPr>
          <w:b w:val="0"/>
          <w:i w:val="0"/>
        </w:rPr>
        <w:t xml:space="preserve"> </w:t>
      </w:r>
      <w:hyperlink w:anchor="latin-record-1227">
        <w:r>
          <w:rPr>
            <w:color w:val="000000"/>
          </w:rPr>
          <w:t xml:space="preserve">urere / frigefacere</w:t>
        </w:r>
      </w:hyperlink>
      <w:r>
        <w:rPr>
          <w:b w:val="0"/>
          <w:i w:val="0"/>
        </w:rPr>
        <w:t>.</w:t>
      </w:r>
    </w:p>
    <w:p>
      <w:pPr>
        <w:widowControl/>
      </w:pPr>
      <w:r>
        <w:rPr>
          <w:b/>
          <w:i w:val="0"/>
        </w:rPr>
        <w:t>frigefacit.</w:t>
      </w:r>
      <w:r>
        <w:rPr>
          <w:b w:val="0"/>
          <w:i w:val="0"/>
        </w:rPr>
        <w:t xml:space="preserve"> </w:t>
      </w:r>
      <w:hyperlink w:anchor="latin-record-0472">
        <w:r>
          <w:rPr>
            <w:color w:val="000000"/>
          </w:rPr>
          <w:t xml:space="preserve">frigefacio / calefacio / uro</w:t>
        </w:r>
      </w:hyperlink>
      <w:r>
        <w:rPr>
          <w:b w:val="0"/>
          <w:i w:val="0"/>
        </w:rPr>
        <w:t>.</w:t>
      </w:r>
    </w:p>
    <w:p>
      <w:pPr>
        <w:widowControl/>
      </w:pPr>
      <w:r>
        <w:rPr>
          <w:b/>
          <w:i w:val="0"/>
        </w:rPr>
        <w:t>frigida.</w:t>
      </w:r>
      <w:r>
        <w:rPr>
          <w:b w:val="0"/>
          <w:i w:val="0"/>
        </w:rPr>
        <w:t xml:space="preserve"> </w:t>
      </w:r>
      <w:hyperlink w:anchor="latin-record-0133">
        <w:r>
          <w:rPr>
            <w:color w:val="000000"/>
          </w:rPr>
          <w:t xml:space="preserve">calidus / frigidus / siccus / humidus</w:t>
        </w:r>
      </w:hyperlink>
      <w:r>
        <w:rPr>
          <w:b w:val="0"/>
          <w:i w:val="0"/>
        </w:rPr>
        <w:t>.</w:t>
      </w:r>
    </w:p>
    <w:p>
      <w:pPr>
        <w:widowControl/>
      </w:pPr>
      <w:r>
        <w:rPr>
          <w:b/>
          <w:i w:val="0"/>
        </w:rPr>
        <w:t>frigiditatem.</w:t>
      </w:r>
      <w:r>
        <w:rPr>
          <w:b w:val="0"/>
          <w:i w:val="0"/>
        </w:rPr>
        <w:t xml:space="preserve"> </w:t>
      </w:r>
      <w:hyperlink w:anchor="latin-record-0134">
        <w:r>
          <w:rPr>
            <w:color w:val="000000"/>
          </w:rPr>
          <w:t xml:space="preserve">calor / frigus</w:t>
        </w:r>
      </w:hyperlink>
      <w:r>
        <w:rPr>
          <w:b w:val="0"/>
          <w:i w:val="0"/>
        </w:rPr>
        <w:t>.</w:t>
      </w:r>
    </w:p>
    <w:p>
      <w:pPr>
        <w:widowControl/>
      </w:pPr>
      <w:r>
        <w:rPr>
          <w:b/>
          <w:i w:val="0"/>
        </w:rPr>
        <w:t>frigori.</w:t>
      </w:r>
      <w:r>
        <w:rPr>
          <w:b w:val="0"/>
          <w:i w:val="0"/>
        </w:rPr>
        <w:t xml:space="preserve"> </w:t>
      </w:r>
      <w:hyperlink w:anchor="latin-record-0134">
        <w:r>
          <w:rPr>
            <w:color w:val="000000"/>
          </w:rPr>
          <w:t xml:space="preserve">calor / frigus</w:t>
        </w:r>
      </w:hyperlink>
      <w:r>
        <w:rPr>
          <w:b w:val="0"/>
          <w:i w:val="0"/>
        </w:rPr>
        <w:t>.</w:t>
      </w:r>
    </w:p>
    <w:p>
      <w:pPr>
        <w:widowControl/>
      </w:pPr>
      <w:r>
        <w:rPr>
          <w:b/>
          <w:i w:val="0"/>
        </w:rPr>
        <w:t>frigoris.</w:t>
      </w:r>
      <w:r>
        <w:rPr>
          <w:b w:val="0"/>
          <w:i w:val="0"/>
        </w:rPr>
        <w:t xml:space="preserve"> </w:t>
      </w:r>
      <w:hyperlink w:anchor="latin-record-0134">
        <w:r>
          <w:rPr>
            <w:color w:val="000000"/>
          </w:rPr>
          <w:t xml:space="preserve">calor / frigus</w:t>
        </w:r>
      </w:hyperlink>
      <w:r>
        <w:rPr>
          <w:b w:val="0"/>
          <w:i w:val="0"/>
        </w:rPr>
        <w:t>.</w:t>
      </w:r>
    </w:p>
    <w:p>
      <w:pPr>
        <w:widowControl/>
      </w:pPr>
      <w:r>
        <w:rPr>
          <w:b/>
          <w:i w:val="0"/>
        </w:rPr>
        <w:t>fruendae.</w:t>
      </w:r>
      <w:r>
        <w:rPr>
          <w:b w:val="0"/>
          <w:i w:val="0"/>
        </w:rPr>
        <w:t xml:space="preserve"> </w:t>
      </w:r>
      <w:hyperlink w:anchor="latin-record-0474">
        <w:r>
          <w:rPr>
            <w:color w:val="000000"/>
          </w:rPr>
          <w:t xml:space="preserve">frui / perfrui</w:t>
        </w:r>
      </w:hyperlink>
      <w:r>
        <w:rPr>
          <w:b w:val="0"/>
          <w:i w:val="0"/>
        </w:rPr>
        <w:t>.</w:t>
      </w:r>
    </w:p>
    <w:p>
      <w:pPr>
        <w:widowControl/>
      </w:pPr>
      <w:r>
        <w:rPr>
          <w:b/>
          <w:i w:val="0"/>
        </w:rPr>
        <w:t>frueretur.</w:t>
      </w:r>
      <w:r>
        <w:rPr>
          <w:b w:val="0"/>
          <w:i w:val="0"/>
        </w:rPr>
        <w:t xml:space="preserve"> </w:t>
      </w:r>
      <w:hyperlink w:anchor="latin-record-0473">
        <w:r>
          <w:rPr>
            <w:color w:val="000000"/>
          </w:rPr>
          <w:t xml:space="preserve">frui</w:t>
        </w:r>
      </w:hyperlink>
      <w:r>
        <w:rPr>
          <w:b w:val="0"/>
          <w:i w:val="0"/>
        </w:rPr>
        <w:t>.</w:t>
      </w:r>
    </w:p>
    <w:p>
      <w:pPr>
        <w:widowControl/>
      </w:pPr>
      <w:r>
        <w:rPr>
          <w:b/>
          <w:i w:val="0"/>
        </w:rPr>
        <w:t>fruetur.</w:t>
      </w:r>
      <w:r>
        <w:rPr>
          <w:b w:val="0"/>
          <w:i w:val="0"/>
        </w:rPr>
        <w:t xml:space="preserve"> </w:t>
      </w:r>
      <w:hyperlink w:anchor="latin-record-0475">
        <w:r>
          <w:rPr>
            <w:color w:val="000000"/>
          </w:rPr>
          <w:t xml:space="preserve">fruor</w:t>
        </w:r>
      </w:hyperlink>
      <w:r>
        <w:rPr>
          <w:b w:val="0"/>
          <w:i w:val="0"/>
        </w:rPr>
        <w:t>.</w:t>
      </w:r>
    </w:p>
    <w:p>
      <w:pPr>
        <w:widowControl/>
      </w:pPr>
      <w:r>
        <w:rPr>
          <w:b/>
          <w:i w:val="0"/>
        </w:rPr>
        <w:t>frui.</w:t>
      </w:r>
      <w:r>
        <w:rPr>
          <w:b w:val="0"/>
          <w:i w:val="0"/>
        </w:rPr>
        <w:t xml:space="preserve"> </w:t>
      </w:r>
      <w:hyperlink w:anchor="latin-record-0473">
        <w:r>
          <w:rPr>
            <w:color w:val="000000"/>
          </w:rPr>
          <w:t xml:space="preserve">frui</w:t>
        </w:r>
      </w:hyperlink>
      <w:r>
        <w:rPr>
          <w:b w:val="0"/>
          <w:i w:val="0"/>
        </w:rPr>
        <w:t>.</w:t>
      </w:r>
    </w:p>
    <w:p>
      <w:pPr>
        <w:widowControl/>
      </w:pPr>
      <w:r>
        <w:rPr>
          <w:b/>
          <w:i w:val="0"/>
        </w:rPr>
        <w:t>fruitur.</w:t>
      </w:r>
      <w:r>
        <w:rPr>
          <w:b w:val="0"/>
          <w:i w:val="0"/>
        </w:rPr>
        <w:t xml:space="preserve"> </w:t>
      </w:r>
      <w:hyperlink w:anchor="latin-record-0473">
        <w:r>
          <w:rPr>
            <w:color w:val="000000"/>
          </w:rPr>
          <w:t xml:space="preserve">frui</w:t>
        </w:r>
      </w:hyperlink>
      <w:r>
        <w:rPr>
          <w:b w:val="0"/>
          <w:i w:val="0"/>
        </w:rPr>
        <w:t>.</w:t>
      </w:r>
    </w:p>
    <w:p>
      <w:pPr>
        <w:widowControl/>
      </w:pPr>
      <w:r>
        <w:rPr>
          <w:b/>
          <w:i w:val="0"/>
        </w:rPr>
        <w:t>frustra.</w:t>
      </w:r>
      <w:r>
        <w:rPr>
          <w:b w:val="0"/>
          <w:i w:val="0"/>
        </w:rPr>
        <w:t xml:space="preserve"> </w:t>
      </w:r>
      <w:hyperlink w:anchor="latin-record-0476">
        <w:r>
          <w:rPr>
            <w:color w:val="000000"/>
          </w:rPr>
          <w:t xml:space="preserve">frustra / superfluus</w:t>
        </w:r>
      </w:hyperlink>
      <w:r>
        <w:rPr>
          <w:b w:val="0"/>
          <w:i w:val="0"/>
        </w:rPr>
        <w:t>.</w:t>
      </w:r>
    </w:p>
    <w:p>
      <w:pPr>
        <w:widowControl/>
      </w:pPr>
      <w:r>
        <w:rPr>
          <w:b/>
          <w:i w:val="0"/>
        </w:rPr>
        <w:t>fulget.</w:t>
      </w:r>
      <w:r>
        <w:rPr>
          <w:b w:val="0"/>
          <w:i w:val="0"/>
        </w:rPr>
        <w:t xml:space="preserve"> </w:t>
      </w:r>
      <w:hyperlink w:anchor="latin-record-0524">
        <w:r>
          <w:rPr>
            <w:color w:val="000000"/>
          </w:rPr>
          <w:t xml:space="preserve">illuminare / fulgere / radius / accendere</w:t>
        </w:r>
      </w:hyperlink>
      <w:r>
        <w:rPr>
          <w:b w:val="0"/>
          <w:i w:val="0"/>
        </w:rPr>
        <w:t>.</w:t>
      </w:r>
    </w:p>
    <w:p>
      <w:pPr>
        <w:widowControl/>
      </w:pPr>
      <w:r>
        <w:rPr>
          <w:b/>
          <w:i w:val="0"/>
        </w:rPr>
        <w:t>fulgure.</w:t>
      </w:r>
      <w:r>
        <w:rPr>
          <w:b w:val="0"/>
          <w:i w:val="0"/>
        </w:rPr>
        <w:t xml:space="preserve"> </w:t>
      </w:r>
      <w:hyperlink w:anchor="latin-record-0478">
        <w:r>
          <w:rPr>
            <w:color w:val="000000"/>
          </w:rPr>
          <w:t xml:space="preserve">fulgur / bombarda</w:t>
        </w:r>
      </w:hyperlink>
      <w:r>
        <w:rPr>
          <w:b w:val="0"/>
          <w:i w:val="0"/>
        </w:rPr>
        <w:t>.</w:t>
      </w:r>
    </w:p>
    <w:p>
      <w:pPr>
        <w:widowControl/>
      </w:pPr>
      <w:r>
        <w:rPr>
          <w:b/>
          <w:i w:val="0"/>
        </w:rPr>
        <w:t>fundamentum.</w:t>
      </w:r>
      <w:r>
        <w:rPr>
          <w:b w:val="0"/>
          <w:i w:val="0"/>
        </w:rPr>
        <w:t xml:space="preserve"> </w:t>
      </w:r>
      <w:hyperlink w:anchor="latin-record-0147">
        <w:r>
          <w:rPr>
            <w:color w:val="000000"/>
          </w:rPr>
          <w:t xml:space="preserve">cardo / fundamentum</w:t>
        </w:r>
      </w:hyperlink>
      <w:r>
        <w:rPr>
          <w:b w:val="0"/>
          <w:i w:val="0"/>
        </w:rPr>
        <w:t>.</w:t>
      </w:r>
    </w:p>
    <w:p>
      <w:pPr>
        <w:widowControl/>
      </w:pPr>
      <w:r>
        <w:rPr>
          <w:b/>
          <w:i w:val="0"/>
        </w:rPr>
        <w:t>fundant.</w:t>
      </w:r>
      <w:r>
        <w:rPr>
          <w:b w:val="0"/>
          <w:i w:val="0"/>
        </w:rPr>
        <w:t xml:space="preserve"> </w:t>
      </w:r>
      <w:hyperlink w:anchor="latin-record-0544">
        <w:r>
          <w:rPr>
            <w:color w:val="000000"/>
          </w:rPr>
          <w:t xml:space="preserve">imprimere / fundare / stabilire</w:t>
        </w:r>
      </w:hyperlink>
      <w:r>
        <w:rPr>
          <w:b w:val="0"/>
          <w:i w:val="0"/>
        </w:rPr>
        <w:t>.</w:t>
      </w:r>
    </w:p>
    <w:p>
      <w:pPr>
        <w:widowControl/>
      </w:pPr>
      <w:r>
        <w:rPr>
          <w:b/>
          <w:i w:val="0"/>
        </w:rPr>
        <w:t>fundere.</w:t>
      </w:r>
      <w:r>
        <w:rPr>
          <w:b w:val="0"/>
          <w:i w:val="0"/>
        </w:rPr>
        <w:t xml:space="preserve"> </w:t>
      </w:r>
      <w:hyperlink w:anchor="latin-record-0420">
        <w:r>
          <w:rPr>
            <w:color w:val="000000"/>
          </w:rPr>
          <w:t xml:space="preserve">exuberare / fundere</w:t>
        </w:r>
      </w:hyperlink>
      <w:r>
        <w:rPr>
          <w:b w:val="0"/>
          <w:i w:val="0"/>
        </w:rPr>
        <w:t>.</w:t>
      </w:r>
    </w:p>
    <w:p>
      <w:pPr>
        <w:widowControl/>
      </w:pPr>
      <w:r>
        <w:rPr>
          <w:b/>
          <w:i w:val="0"/>
        </w:rPr>
        <w:t>funditus.</w:t>
      </w:r>
      <w:r>
        <w:rPr>
          <w:b w:val="0"/>
          <w:i w:val="0"/>
        </w:rPr>
        <w:t xml:space="preserve"> </w:t>
      </w:r>
      <w:hyperlink w:anchor="latin-record-1173">
        <w:r>
          <w:rPr>
            <w:color w:val="000000"/>
          </w:rPr>
          <w:t xml:space="preserve">superficies / fundus</w:t>
        </w:r>
      </w:hyperlink>
      <w:r>
        <w:rPr>
          <w:b w:val="0"/>
          <w:i w:val="0"/>
        </w:rPr>
        <w:t>.</w:t>
      </w:r>
    </w:p>
    <w:p>
      <w:pPr>
        <w:widowControl/>
      </w:pPr>
      <w:r>
        <w:rPr>
          <w:b/>
          <w:i w:val="0"/>
        </w:rPr>
        <w:t>fundo.</w:t>
      </w:r>
      <w:r>
        <w:rPr>
          <w:b w:val="0"/>
          <w:i w:val="0"/>
        </w:rPr>
        <w:t xml:space="preserve"> </w:t>
      </w:r>
      <w:hyperlink w:anchor="latin-record-1173">
        <w:r>
          <w:rPr>
            <w:color w:val="000000"/>
          </w:rPr>
          <w:t xml:space="preserve">superficies / fundus</w:t>
        </w:r>
      </w:hyperlink>
      <w:r>
        <w:rPr>
          <w:b w:val="0"/>
          <w:i w:val="0"/>
        </w:rPr>
        <w:t>.</w:t>
      </w:r>
    </w:p>
    <w:p>
      <w:pPr>
        <w:widowControl/>
      </w:pPr>
      <w:r>
        <w:rPr>
          <w:b/>
          <w:i w:val="0"/>
        </w:rPr>
        <w:t>futurum.</w:t>
      </w:r>
      <w:r>
        <w:rPr>
          <w:b w:val="0"/>
          <w:i w:val="0"/>
        </w:rPr>
        <w:t xml:space="preserve"> </w:t>
      </w:r>
      <w:hyperlink w:anchor="latin-record-0921">
        <w:r>
          <w:rPr>
            <w:color w:val="000000"/>
          </w:rPr>
          <w:t xml:space="preserve">praeteritum / futurum</w:t>
        </w:r>
      </w:hyperlink>
      <w:r>
        <w:rPr>
          <w:b w:val="0"/>
          <w:i w:val="0"/>
        </w:rPr>
        <w:t>.</w:t>
      </w:r>
    </w:p>
    <w:p>
      <w:pPr>
        <w:widowControl/>
      </w:pPr>
      <w:r>
        <w:rPr>
          <w:b/>
          <w:i w:val="0"/>
        </w:rPr>
        <w:t>geminas.</w:t>
      </w:r>
      <w:r>
        <w:rPr>
          <w:b w:val="0"/>
          <w:i w:val="0"/>
        </w:rPr>
        <w:t xml:space="preserve"> </w:t>
      </w:r>
      <w:hyperlink w:anchor="latin-record-1163">
        <w:r>
          <w:rPr>
            <w:color w:val="000000"/>
          </w:rPr>
          <w:t xml:space="preserve">sufficere / geminus</w:t>
        </w:r>
      </w:hyperlink>
      <w:r>
        <w:rPr>
          <w:b w:val="0"/>
          <w:i w:val="0"/>
        </w:rPr>
        <w:t>.</w:t>
      </w:r>
    </w:p>
    <w:p>
      <w:pPr>
        <w:widowControl/>
      </w:pPr>
      <w:r>
        <w:rPr>
          <w:b/>
          <w:i w:val="0"/>
        </w:rPr>
        <w:t>gemini.</w:t>
      </w:r>
      <w:r>
        <w:rPr>
          <w:b w:val="0"/>
          <w:i w:val="0"/>
        </w:rPr>
        <w:t xml:space="preserve"> </w:t>
      </w:r>
      <w:hyperlink w:anchor="latin-record-0479">
        <w:r>
          <w:rPr>
            <w:color w:val="000000"/>
          </w:rPr>
          <w:t xml:space="preserve">geminus / binus</w:t>
        </w:r>
      </w:hyperlink>
      <w:r>
        <w:rPr>
          <w:b w:val="0"/>
          <w:i w:val="0"/>
        </w:rPr>
        <w:t>.</w:t>
      </w:r>
    </w:p>
    <w:p>
      <w:pPr>
        <w:widowControl/>
      </w:pPr>
      <w:r>
        <w:rPr>
          <w:b/>
          <w:i w:val="0"/>
        </w:rPr>
        <w:t>geminis.</w:t>
      </w:r>
      <w:r>
        <w:rPr>
          <w:b w:val="0"/>
          <w:i w:val="0"/>
        </w:rPr>
        <w:t xml:space="preserve"> </w:t>
      </w:r>
      <w:hyperlink w:anchor="latin-record-0479">
        <w:r>
          <w:rPr>
            <w:color w:val="000000"/>
          </w:rPr>
          <w:t xml:space="preserve">geminus / binus</w:t>
        </w:r>
      </w:hyperlink>
      <w:r>
        <w:rPr>
          <w:b w:val="0"/>
          <w:i w:val="0"/>
        </w:rPr>
        <w:t>.</w:t>
      </w:r>
    </w:p>
    <w:p>
      <w:pPr>
        <w:widowControl/>
      </w:pPr>
      <w:r>
        <w:rPr>
          <w:b/>
          <w:i w:val="0"/>
        </w:rPr>
        <w:t>generat.</w:t>
      </w:r>
      <w:r>
        <w:rPr>
          <w:b w:val="0"/>
          <w:i w:val="0"/>
        </w:rPr>
        <w:t xml:space="preserve"> </w:t>
      </w:r>
      <w:hyperlink w:anchor="latin-record-0051">
        <w:r>
          <w:rPr>
            <w:color w:val="000000"/>
          </w:rPr>
          <w:t xml:space="preserve">alit / auget / generat</w:t>
        </w:r>
      </w:hyperlink>
      <w:r>
        <w:rPr>
          <w:b w:val="0"/>
          <w:i w:val="0"/>
        </w:rPr>
        <w:t>.</w:t>
      </w:r>
    </w:p>
    <w:p>
      <w:pPr>
        <w:widowControl/>
      </w:pPr>
      <w:r>
        <w:rPr>
          <w:b/>
          <w:i w:val="0"/>
        </w:rPr>
        <w:t>generationemque.</w:t>
      </w:r>
      <w:r>
        <w:rPr>
          <w:b w:val="0"/>
          <w:i w:val="0"/>
        </w:rPr>
        <w:t xml:space="preserve"> </w:t>
      </w:r>
      <w:hyperlink w:anchor="latin-record-0870">
        <w:r>
          <w:rPr>
            <w:color w:val="000000"/>
          </w:rPr>
          <w:t xml:space="preserve">phantasia / sensus / generatio</w:t>
        </w:r>
      </w:hyperlink>
      <w:r>
        <w:rPr>
          <w:b w:val="0"/>
          <w:i w:val="0"/>
        </w:rPr>
        <w:t>.</w:t>
      </w:r>
    </w:p>
    <w:p>
      <w:pPr>
        <w:widowControl/>
      </w:pPr>
      <w:r>
        <w:rPr>
          <w:b/>
          <w:i w:val="0"/>
        </w:rPr>
        <w:t>generationis.</w:t>
      </w:r>
      <w:r>
        <w:rPr>
          <w:b w:val="0"/>
          <w:i w:val="0"/>
        </w:rPr>
        <w:t xml:space="preserve"> </w:t>
      </w:r>
      <w:hyperlink w:anchor="latin-record-0480">
        <w:r>
          <w:rPr>
            <w:color w:val="000000"/>
          </w:rPr>
          <w:t xml:space="preserve">generatio / successio</w:t>
        </w:r>
      </w:hyperlink>
      <w:r>
        <w:rPr>
          <w:b w:val="0"/>
          <w:i w:val="0"/>
        </w:rPr>
        <w:t>.</w:t>
      </w:r>
    </w:p>
    <w:p>
      <w:pPr>
        <w:widowControl/>
      </w:pPr>
      <w:r>
        <w:rPr>
          <w:b/>
          <w:i w:val="0"/>
        </w:rPr>
        <w:t>generationis successionem.</w:t>
      </w:r>
      <w:r>
        <w:rPr>
          <w:b w:val="0"/>
          <w:i w:val="0"/>
        </w:rPr>
        <w:t xml:space="preserve"> </w:t>
      </w:r>
      <w:hyperlink w:anchor="latin-record-1161">
        <w:r>
          <w:rPr>
            <w:color w:val="000000"/>
          </w:rPr>
          <w:t xml:space="preserve">successio singulorum</w:t>
        </w:r>
      </w:hyperlink>
      <w:r>
        <w:rPr>
          <w:b w:val="0"/>
          <w:i w:val="0"/>
        </w:rPr>
        <w:t>.</w:t>
      </w:r>
    </w:p>
    <w:p>
      <w:pPr>
        <w:widowControl/>
      </w:pPr>
      <w:r>
        <w:rPr>
          <w:b/>
          <w:i w:val="0"/>
        </w:rPr>
        <w:t>genere.</w:t>
      </w:r>
      <w:r>
        <w:rPr>
          <w:b w:val="0"/>
          <w:i w:val="0"/>
        </w:rPr>
        <w:t xml:space="preserve"> </w:t>
      </w:r>
      <w:hyperlink w:anchor="latin-record-0481">
        <w:r>
          <w:rPr>
            <w:color w:val="000000"/>
          </w:rPr>
          <w:t xml:space="preserve">genus</w:t>
        </w:r>
      </w:hyperlink>
      <w:r>
        <w:rPr>
          <w:b w:val="0"/>
          <w:i w:val="0"/>
        </w:rPr>
        <w:t>.</w:t>
      </w:r>
    </w:p>
    <w:p>
      <w:pPr>
        <w:widowControl/>
      </w:pPr>
      <w:r>
        <w:rPr>
          <w:b/>
          <w:i w:val="0"/>
        </w:rPr>
        <w:t>generi.</w:t>
      </w:r>
      <w:r>
        <w:rPr>
          <w:b w:val="0"/>
          <w:i w:val="0"/>
        </w:rPr>
        <w:t xml:space="preserve"> </w:t>
      </w:r>
      <w:hyperlink w:anchor="latin-record-1026">
        <w:r>
          <w:rPr>
            <w:color w:val="000000"/>
          </w:rPr>
          <w:t xml:space="preserve">ratio naturalis and usualness</w:t>
        </w:r>
      </w:hyperlink>
      <w:r>
        <w:rPr>
          <w:b w:val="0"/>
          <w:i w:val="0"/>
        </w:rPr>
        <w:t>.</w:t>
      </w:r>
    </w:p>
    <w:p>
      <w:pPr>
        <w:widowControl/>
      </w:pPr>
      <w:r>
        <w:rPr>
          <w:b/>
          <w:i w:val="0"/>
        </w:rPr>
        <w:t>generis.</w:t>
      </w:r>
      <w:r>
        <w:rPr>
          <w:b w:val="0"/>
          <w:i w:val="0"/>
        </w:rPr>
        <w:t xml:space="preserve"> </w:t>
      </w:r>
      <w:hyperlink w:anchor="latin-record-0481">
        <w:r>
          <w:rPr>
            <w:color w:val="000000"/>
          </w:rPr>
          <w:t xml:space="preserve">genus</w:t>
        </w:r>
      </w:hyperlink>
      <w:r>
        <w:rPr>
          <w:b w:val="0"/>
          <w:i w:val="0"/>
        </w:rPr>
        <w:t>.</w:t>
      </w:r>
    </w:p>
    <w:p>
      <w:pPr>
        <w:widowControl/>
      </w:pPr>
      <w:r>
        <w:rPr>
          <w:b/>
          <w:i w:val="0"/>
        </w:rPr>
        <w:t>generum.</w:t>
      </w:r>
      <w:r>
        <w:rPr>
          <w:b w:val="0"/>
          <w:i w:val="0"/>
        </w:rPr>
        <w:t xml:space="preserve"> </w:t>
      </w:r>
      <w:hyperlink w:anchor="latin-record-1123">
        <w:r>
          <w:rPr>
            <w:color w:val="000000"/>
          </w:rPr>
          <w:t xml:space="preserve">species / genus</w:t>
        </w:r>
      </w:hyperlink>
      <w:r>
        <w:rPr>
          <w:b w:val="0"/>
          <w:i w:val="0"/>
        </w:rPr>
        <w:t>.</w:t>
      </w:r>
    </w:p>
    <w:p>
      <w:pPr>
        <w:widowControl/>
      </w:pPr>
      <w:r>
        <w:rPr>
          <w:b/>
          <w:i w:val="0"/>
        </w:rPr>
        <w:t>genito.</w:t>
      </w:r>
      <w:r>
        <w:rPr>
          <w:b w:val="0"/>
          <w:i w:val="0"/>
        </w:rPr>
        <w:t xml:space="preserve"> </w:t>
      </w:r>
      <w:hyperlink w:anchor="latin-record-0484">
        <w:r>
          <w:rPr>
            <w:color w:val="000000"/>
          </w:rPr>
          <w:t xml:space="preserve">gignere / producere</w:t>
        </w:r>
      </w:hyperlink>
      <w:r>
        <w:rPr>
          <w:b w:val="0"/>
          <w:i w:val="0"/>
        </w:rPr>
        <w:t>.</w:t>
      </w:r>
    </w:p>
    <w:p>
      <w:pPr>
        <w:widowControl/>
      </w:pPr>
      <w:r>
        <w:rPr>
          <w:b/>
          <w:i w:val="0"/>
        </w:rPr>
        <w:t>genitor.</w:t>
      </w:r>
      <w:r>
        <w:rPr>
          <w:b w:val="0"/>
          <w:i w:val="0"/>
        </w:rPr>
        <w:t xml:space="preserve"> </w:t>
      </w:r>
      <w:hyperlink w:anchor="latin-record-0421">
        <w:r>
          <w:rPr>
            <w:color w:val="000000"/>
          </w:rPr>
          <w:t xml:space="preserve">faber / genitor / filius</w:t>
        </w:r>
      </w:hyperlink>
      <w:r>
        <w:rPr>
          <w:b w:val="0"/>
          <w:i w:val="0"/>
        </w:rPr>
        <w:t>.</w:t>
      </w:r>
    </w:p>
    <w:p>
      <w:pPr>
        <w:widowControl/>
      </w:pPr>
      <w:r>
        <w:rPr>
          <w:b/>
          <w:i w:val="0"/>
        </w:rPr>
        <w:t>genitum.</w:t>
      </w:r>
      <w:r>
        <w:rPr>
          <w:b w:val="0"/>
          <w:i w:val="0"/>
        </w:rPr>
        <w:t xml:space="preserve"> </w:t>
      </w:r>
      <w:hyperlink w:anchor="latin-record-0484">
        <w:r>
          <w:rPr>
            <w:color w:val="000000"/>
          </w:rPr>
          <w:t xml:space="preserve">gignere / producere</w:t>
        </w:r>
      </w:hyperlink>
      <w:r>
        <w:rPr>
          <w:b w:val="0"/>
          <w:i w:val="0"/>
        </w:rPr>
        <w:t>.</w:t>
      </w:r>
    </w:p>
    <w:p>
      <w:pPr>
        <w:widowControl/>
      </w:pPr>
      <w:r>
        <w:rPr>
          <w:b/>
          <w:i w:val="0"/>
        </w:rPr>
        <w:t>genus.</w:t>
      </w:r>
      <w:r>
        <w:rPr>
          <w:b w:val="0"/>
          <w:i w:val="0"/>
        </w:rPr>
        <w:t xml:space="preserve"> </w:t>
      </w:r>
      <w:hyperlink w:anchor="latin-record-0481">
        <w:r>
          <w:rPr>
            <w:color w:val="000000"/>
          </w:rPr>
          <w:t xml:space="preserve">genus</w:t>
        </w:r>
      </w:hyperlink>
      <w:r>
        <w:rPr>
          <w:b w:val="0"/>
          <w:i w:val="0"/>
        </w:rPr>
        <w:t xml:space="preserve">; </w:t>
      </w:r>
      <w:hyperlink w:anchor="latin-record-1123">
        <w:r>
          <w:rPr>
            <w:color w:val="000000"/>
          </w:rPr>
          <w:t xml:space="preserve">species / genus</w:t>
        </w:r>
      </w:hyperlink>
      <w:r>
        <w:rPr>
          <w:b w:val="0"/>
          <w:i w:val="0"/>
        </w:rPr>
        <w:t>.</w:t>
      </w:r>
    </w:p>
    <w:p>
      <w:pPr>
        <w:widowControl/>
      </w:pPr>
      <w:r>
        <w:rPr>
          <w:b/>
          <w:i w:val="0"/>
        </w:rPr>
        <w:t>geometrae.</w:t>
      </w:r>
      <w:r>
        <w:rPr>
          <w:b w:val="0"/>
          <w:i w:val="0"/>
        </w:rPr>
        <w:t xml:space="preserve"> </w:t>
      </w:r>
      <w:hyperlink w:anchor="latin-record-0482">
        <w:r>
          <w:rPr>
            <w:color w:val="000000"/>
          </w:rPr>
          <w:t xml:space="preserve">geometra / geometrica mens</w:t>
        </w:r>
      </w:hyperlink>
      <w:r>
        <w:rPr>
          <w:b w:val="0"/>
          <w:i w:val="0"/>
        </w:rPr>
        <w:t>.</w:t>
      </w:r>
    </w:p>
    <w:p>
      <w:pPr>
        <w:widowControl/>
      </w:pPr>
      <w:r>
        <w:rPr>
          <w:b/>
          <w:i w:val="0"/>
        </w:rPr>
        <w:t>geometrica mens.</w:t>
      </w:r>
      <w:r>
        <w:rPr>
          <w:b w:val="0"/>
          <w:i w:val="0"/>
        </w:rPr>
        <w:t xml:space="preserve"> </w:t>
      </w:r>
      <w:hyperlink w:anchor="latin-record-0482">
        <w:r>
          <w:rPr>
            <w:color w:val="000000"/>
          </w:rPr>
          <w:t xml:space="preserve">geometra / geometrica mens</w:t>
        </w:r>
      </w:hyperlink>
      <w:r>
        <w:rPr>
          <w:b w:val="0"/>
          <w:i w:val="0"/>
        </w:rPr>
        <w:t>.</w:t>
      </w:r>
    </w:p>
    <w:p>
      <w:pPr>
        <w:widowControl/>
      </w:pPr>
      <w:r>
        <w:rPr>
          <w:b/>
          <w:i w:val="0"/>
        </w:rPr>
        <w:t>gerit subiecti vicem.</w:t>
      </w:r>
      <w:r>
        <w:rPr>
          <w:b w:val="0"/>
          <w:i w:val="0"/>
        </w:rPr>
        <w:t xml:space="preserve"> </w:t>
      </w:r>
      <w:hyperlink w:anchor="latin-record-1253">
        <w:r>
          <w:rPr>
            <w:color w:val="000000"/>
          </w:rPr>
          <w:t xml:space="preserve">vicem gerere</w:t>
        </w:r>
      </w:hyperlink>
      <w:r>
        <w:rPr>
          <w:b w:val="0"/>
          <w:i w:val="0"/>
        </w:rPr>
        <w:t>.</w:t>
      </w:r>
    </w:p>
    <w:p>
      <w:pPr>
        <w:widowControl/>
      </w:pPr>
      <w:r>
        <w:rPr>
          <w:b/>
          <w:i w:val="0"/>
        </w:rPr>
        <w:t>Germani.</w:t>
      </w:r>
      <w:r>
        <w:rPr>
          <w:b w:val="0"/>
          <w:i w:val="0"/>
        </w:rPr>
        <w:t xml:space="preserve"> </w:t>
      </w:r>
      <w:hyperlink w:anchor="latin-record-0452">
        <w:r>
          <w:rPr>
            <w:color w:val="000000"/>
          </w:rPr>
          <w:t xml:space="preserve">Florentia / Germanus</w:t>
        </w:r>
      </w:hyperlink>
      <w:r>
        <w:rPr>
          <w:b w:val="0"/>
          <w:i w:val="0"/>
        </w:rPr>
        <w:t>.</w:t>
      </w:r>
    </w:p>
    <w:p>
      <w:pPr>
        <w:widowControl/>
      </w:pPr>
      <w:r>
        <w:rPr>
          <w:b/>
          <w:i w:val="0"/>
        </w:rPr>
        <w:t>germine corporali.</w:t>
      </w:r>
      <w:r>
        <w:rPr>
          <w:b w:val="0"/>
          <w:i w:val="0"/>
        </w:rPr>
        <w:t xml:space="preserve"> </w:t>
      </w:r>
      <w:hyperlink w:anchor="latin-record-0483">
        <w:r>
          <w:rPr>
            <w:color w:val="000000"/>
          </w:rPr>
          <w:t xml:space="preserve">germen / corporale semen</w:t>
        </w:r>
      </w:hyperlink>
      <w:r>
        <w:rPr>
          <w:b w:val="0"/>
          <w:i w:val="0"/>
        </w:rPr>
        <w:t>.</w:t>
      </w:r>
    </w:p>
    <w:p>
      <w:pPr>
        <w:widowControl/>
      </w:pPr>
      <w:r>
        <w:rPr>
          <w:b/>
          <w:i w:val="0"/>
        </w:rPr>
        <w:t>gignit.</w:t>
      </w:r>
      <w:r>
        <w:rPr>
          <w:b w:val="0"/>
          <w:i w:val="0"/>
        </w:rPr>
        <w:t xml:space="preserve"> </w:t>
      </w:r>
      <w:hyperlink w:anchor="latin-record-0484">
        <w:r>
          <w:rPr>
            <w:color w:val="000000"/>
          </w:rPr>
          <w:t xml:space="preserve">gignere / producere</w:t>
        </w:r>
      </w:hyperlink>
      <w:r>
        <w:rPr>
          <w:b w:val="0"/>
          <w:i w:val="0"/>
        </w:rPr>
        <w:t xml:space="preserve">; </w:t>
      </w:r>
      <w:hyperlink w:anchor="latin-record-0944">
        <w:r>
          <w:rPr>
            <w:color w:val="000000"/>
          </w:rPr>
          <w:t xml:space="preserve">producere / facere / gignere</w:t>
        </w:r>
      </w:hyperlink>
      <w:r>
        <w:rPr>
          <w:b w:val="0"/>
          <w:i w:val="0"/>
        </w:rPr>
        <w:t>.</w:t>
      </w:r>
    </w:p>
    <w:p>
      <w:pPr>
        <w:widowControl/>
      </w:pPr>
      <w:r>
        <w:rPr>
          <w:b/>
          <w:i w:val="0"/>
        </w:rPr>
        <w:t>Gnosticisque.</w:t>
      </w:r>
      <w:r>
        <w:rPr>
          <w:b w:val="0"/>
          <w:i w:val="0"/>
        </w:rPr>
        <w:t xml:space="preserve"> </w:t>
      </w:r>
      <w:hyperlink w:anchor="latin-record-0672">
        <w:r>
          <w:rPr>
            <w:color w:val="000000"/>
          </w:rPr>
          <w:t xml:space="preserve">Manichaei / Gnostici</w:t>
        </w:r>
      </w:hyperlink>
      <w:r>
        <w:rPr>
          <w:b w:val="0"/>
          <w:i w:val="0"/>
        </w:rPr>
        <w:t>.</w:t>
      </w:r>
    </w:p>
    <w:p>
      <w:pPr>
        <w:widowControl/>
      </w:pPr>
      <w:r>
        <w:rPr>
          <w:b/>
          <w:i w:val="0"/>
        </w:rPr>
        <w:t>gradatim.</w:t>
      </w:r>
      <w:r>
        <w:rPr>
          <w:b w:val="0"/>
          <w:i w:val="0"/>
        </w:rPr>
        <w:t xml:space="preserve"> </w:t>
      </w:r>
      <w:hyperlink w:anchor="latin-record-0373">
        <w:r>
          <w:rPr>
            <w:color w:val="000000"/>
          </w:rPr>
          <w:t xml:space="preserve">enumerare / gradatim / summatim</w:t>
        </w:r>
      </w:hyperlink>
      <w:r>
        <w:rPr>
          <w:b w:val="0"/>
          <w:i w:val="0"/>
        </w:rPr>
        <w:t xml:space="preserve">; </w:t>
      </w:r>
      <w:hyperlink w:anchor="latin-record-0485">
        <w:r>
          <w:rPr>
            <w:color w:val="000000"/>
          </w:rPr>
          <w:t xml:space="preserve">gradus / gradatim</w:t>
        </w:r>
      </w:hyperlink>
      <w:r>
        <w:rPr>
          <w:b w:val="0"/>
          <w:i w:val="0"/>
        </w:rPr>
        <w:t>.</w:t>
      </w:r>
    </w:p>
    <w:p>
      <w:pPr>
        <w:widowControl/>
      </w:pPr>
      <w:r>
        <w:rPr>
          <w:b/>
          <w:i w:val="0"/>
        </w:rPr>
        <w:t>gradibus.</w:t>
      </w:r>
      <w:r>
        <w:rPr>
          <w:b w:val="0"/>
          <w:i w:val="0"/>
        </w:rPr>
        <w:t xml:space="preserve"> </w:t>
      </w:r>
      <w:hyperlink w:anchor="latin-record-0485">
        <w:r>
          <w:rPr>
            <w:color w:val="000000"/>
          </w:rPr>
          <w:t xml:space="preserve">gradus / gradatim</w:t>
        </w:r>
      </w:hyperlink>
      <w:r>
        <w:rPr>
          <w:b w:val="0"/>
          <w:i w:val="0"/>
        </w:rPr>
        <w:t xml:space="preserve">; </w:t>
      </w:r>
      <w:hyperlink w:anchor="latin-record-0486">
        <w:r>
          <w:rPr>
            <w:color w:val="000000"/>
          </w:rPr>
          <w:t xml:space="preserve">gradus / mensura / proportio</w:t>
        </w:r>
      </w:hyperlink>
      <w:r>
        <w:rPr>
          <w:b w:val="0"/>
          <w:i w:val="0"/>
        </w:rPr>
        <w:t>.</w:t>
      </w:r>
    </w:p>
    <w:p>
      <w:pPr>
        <w:widowControl/>
      </w:pPr>
      <w:r>
        <w:rPr>
          <w:b/>
          <w:i w:val="0"/>
        </w:rPr>
        <w:t>gradu.</w:t>
      </w:r>
      <w:r>
        <w:rPr>
          <w:b w:val="0"/>
          <w:i w:val="0"/>
        </w:rPr>
        <w:t xml:space="preserve"> </w:t>
      </w:r>
      <w:hyperlink w:anchor="latin-record-0486">
        <w:r>
          <w:rPr>
            <w:color w:val="000000"/>
          </w:rPr>
          <w:t xml:space="preserve">gradus / mensura / proportio</w:t>
        </w:r>
      </w:hyperlink>
      <w:r>
        <w:rPr>
          <w:b w:val="0"/>
          <w:i w:val="0"/>
        </w:rPr>
        <w:t>.</w:t>
      </w:r>
    </w:p>
    <w:p>
      <w:pPr>
        <w:widowControl/>
      </w:pPr>
      <w:r>
        <w:rPr>
          <w:b/>
          <w:i w:val="0"/>
        </w:rPr>
        <w:t>gradum minimum naturalem.</w:t>
      </w:r>
      <w:r>
        <w:rPr>
          <w:b w:val="0"/>
          <w:i w:val="0"/>
        </w:rPr>
        <w:t xml:space="preserve"> </w:t>
      </w:r>
      <w:hyperlink w:anchor="latin-record-0487">
        <w:r>
          <w:rPr>
            <w:color w:val="000000"/>
          </w:rPr>
          <w:t xml:space="preserve">gradus minimus naturalis</w:t>
        </w:r>
      </w:hyperlink>
      <w:r>
        <w:rPr>
          <w:b w:val="0"/>
          <w:i w:val="0"/>
        </w:rPr>
        <w:t>.</w:t>
      </w:r>
    </w:p>
    <w:p>
      <w:pPr>
        <w:widowControl/>
      </w:pPr>
      <w:r>
        <w:rPr>
          <w:b/>
          <w:i w:val="0"/>
        </w:rPr>
        <w:t>gradus.</w:t>
      </w:r>
      <w:r>
        <w:rPr>
          <w:b w:val="0"/>
          <w:i w:val="0"/>
        </w:rPr>
        <w:t xml:space="preserve"> </w:t>
      </w:r>
      <w:hyperlink w:anchor="latin-record-0101">
        <w:r>
          <w:rPr>
            <w:color w:val="000000"/>
          </w:rPr>
          <w:t xml:space="preserve">ascendo / gradus</w:t>
        </w:r>
      </w:hyperlink>
      <w:r>
        <w:rPr>
          <w:b w:val="0"/>
          <w:i w:val="0"/>
        </w:rPr>
        <w:t xml:space="preserve">; </w:t>
      </w:r>
      <w:hyperlink w:anchor="latin-record-0485">
        <w:r>
          <w:rPr>
            <w:color w:val="000000"/>
          </w:rPr>
          <w:t xml:space="preserve">gradus / gradatim</w:t>
        </w:r>
      </w:hyperlink>
      <w:r>
        <w:rPr>
          <w:b w:val="0"/>
          <w:i w:val="0"/>
        </w:rPr>
        <w:t xml:space="preserve">; </w:t>
      </w:r>
      <w:hyperlink w:anchor="latin-record-0486">
        <w:r>
          <w:rPr>
            <w:color w:val="000000"/>
          </w:rPr>
          <w:t xml:space="preserve">gradus / mensura / proportio</w:t>
        </w:r>
      </w:hyperlink>
      <w:r>
        <w:rPr>
          <w:b w:val="0"/>
          <w:i w:val="0"/>
        </w:rPr>
        <w:t>.</w:t>
      </w:r>
    </w:p>
    <w:p>
      <w:pPr>
        <w:widowControl/>
      </w:pPr>
      <w:r>
        <w:rPr>
          <w:b/>
          <w:i w:val="0"/>
        </w:rPr>
        <w:t>graduum.</w:t>
      </w:r>
      <w:r>
        <w:rPr>
          <w:b w:val="0"/>
          <w:i w:val="0"/>
        </w:rPr>
        <w:t xml:space="preserve"> </w:t>
      </w:r>
      <w:hyperlink w:anchor="latin-record-0486">
        <w:r>
          <w:rPr>
            <w:color w:val="000000"/>
          </w:rPr>
          <w:t xml:space="preserve">gradus / mensura / proportio</w:t>
        </w:r>
      </w:hyperlink>
      <w:r>
        <w:rPr>
          <w:b w:val="0"/>
          <w:i w:val="0"/>
        </w:rPr>
        <w:t>.</w:t>
      </w:r>
    </w:p>
    <w:p>
      <w:pPr>
        <w:widowControl/>
      </w:pPr>
      <w:r>
        <w:rPr>
          <w:b/>
          <w:i w:val="0"/>
        </w:rPr>
        <w:t>gratia.</w:t>
      </w:r>
      <w:r>
        <w:rPr>
          <w:b w:val="0"/>
          <w:i w:val="0"/>
        </w:rPr>
        <w:t xml:space="preserve"> </w:t>
      </w:r>
      <w:hyperlink w:anchor="latin-record-1148">
        <w:r>
          <w:rPr>
            <w:color w:val="000000"/>
          </w:rPr>
          <w:t xml:space="preserve">stultus / sapienter / perspicue / vulgo / gratia / idealis</w:t>
        </w:r>
      </w:hyperlink>
      <w:r>
        <w:rPr>
          <w:b w:val="0"/>
          <w:i w:val="0"/>
        </w:rPr>
        <w:t>.</w:t>
      </w:r>
    </w:p>
    <w:p>
      <w:pPr>
        <w:widowControl/>
      </w:pPr>
      <w:r>
        <w:rPr>
          <w:b/>
          <w:i w:val="0"/>
        </w:rPr>
        <w:t>gratulaturus.</w:t>
      </w:r>
      <w:r>
        <w:rPr>
          <w:b w:val="0"/>
          <w:i w:val="0"/>
        </w:rPr>
        <w:t xml:space="preserve"> </w:t>
      </w:r>
      <w:hyperlink w:anchor="latin-record-0298">
        <w:r>
          <w:rPr>
            <w:color w:val="000000"/>
          </w:rPr>
          <w:t xml:space="preserve">dedico / gratulor</w:t>
        </w:r>
      </w:hyperlink>
      <w:r>
        <w:rPr>
          <w:b w:val="0"/>
          <w:i w:val="0"/>
        </w:rPr>
        <w:t>.</w:t>
      </w:r>
    </w:p>
    <w:p>
      <w:pPr>
        <w:widowControl/>
      </w:pPr>
      <w:r>
        <w:rPr>
          <w:b/>
          <w:i w:val="0"/>
        </w:rPr>
        <w:t>gravioribus.</w:t>
      </w:r>
      <w:r>
        <w:rPr>
          <w:b w:val="0"/>
          <w:i w:val="0"/>
        </w:rPr>
        <w:t xml:space="preserve"> </w:t>
      </w:r>
      <w:hyperlink w:anchor="latin-record-0490">
        <w:r>
          <w:rPr>
            <w:color w:val="000000"/>
          </w:rPr>
          <w:t xml:space="preserve">gravior / levior</w:t>
        </w:r>
      </w:hyperlink>
      <w:r>
        <w:rPr>
          <w:b w:val="0"/>
          <w:i w:val="0"/>
        </w:rPr>
        <w:t>.</w:t>
      </w:r>
    </w:p>
    <w:p>
      <w:pPr>
        <w:widowControl/>
      </w:pPr>
      <w:r>
        <w:rPr>
          <w:b/>
          <w:i w:val="0"/>
        </w:rPr>
        <w:t>gravitas.</w:t>
      </w:r>
      <w:r>
        <w:rPr>
          <w:b w:val="0"/>
          <w:i w:val="0"/>
        </w:rPr>
        <w:t xml:space="preserve"> </w:t>
      </w:r>
      <w:hyperlink w:anchor="latin-record-0491">
        <w:r>
          <w:rPr>
            <w:color w:val="000000"/>
          </w:rPr>
          <w:t xml:space="preserve">gravitas / levitas</w:t>
        </w:r>
      </w:hyperlink>
      <w:r>
        <w:rPr>
          <w:b w:val="0"/>
          <w:i w:val="0"/>
        </w:rPr>
        <w:t>.</w:t>
      </w:r>
    </w:p>
    <w:p>
      <w:pPr>
        <w:widowControl/>
      </w:pPr>
      <w:r>
        <w:rPr>
          <w:b/>
          <w:i w:val="0"/>
        </w:rPr>
        <w:t>gravitate.</w:t>
      </w:r>
      <w:r>
        <w:rPr>
          <w:b w:val="0"/>
          <w:i w:val="0"/>
        </w:rPr>
        <w:t xml:space="preserve"> </w:t>
      </w:r>
      <w:hyperlink w:anchor="latin-record-0491">
        <w:r>
          <w:rPr>
            <w:color w:val="000000"/>
          </w:rPr>
          <w:t xml:space="preserve">gravitas / levitas</w:t>
        </w:r>
      </w:hyperlink>
      <w:r>
        <w:rPr>
          <w:b w:val="0"/>
          <w:i w:val="0"/>
        </w:rPr>
        <w:t>.</w:t>
      </w:r>
    </w:p>
    <w:p>
      <w:pPr>
        <w:widowControl/>
      </w:pPr>
      <w:r>
        <w:rPr>
          <w:b/>
          <w:i w:val="0"/>
        </w:rPr>
        <w:t>gravitatis.</w:t>
      </w:r>
      <w:r>
        <w:rPr>
          <w:b w:val="0"/>
          <w:i w:val="0"/>
        </w:rPr>
        <w:t xml:space="preserve"> </w:t>
      </w:r>
      <w:hyperlink w:anchor="latin-record-0637">
        <w:r>
          <w:rPr>
            <w:color w:val="000000"/>
          </w:rPr>
          <w:t xml:space="preserve">levitas / gravitas</w:t>
        </w:r>
      </w:hyperlink>
      <w:r>
        <w:rPr>
          <w:b w:val="0"/>
          <w:i w:val="0"/>
        </w:rPr>
        <w:t>.</w:t>
      </w:r>
    </w:p>
    <w:p>
      <w:pPr>
        <w:widowControl/>
      </w:pPr>
      <w:r>
        <w:rPr>
          <w:b/>
          <w:i w:val="0"/>
        </w:rPr>
        <w:t>gremio.</w:t>
      </w:r>
      <w:r>
        <w:rPr>
          <w:b w:val="0"/>
          <w:i w:val="0"/>
        </w:rPr>
        <w:t xml:space="preserve"> </w:t>
      </w:r>
      <w:hyperlink w:anchor="latin-record-0949">
        <w:r>
          <w:rPr>
            <w:color w:val="000000"/>
          </w:rPr>
          <w:t xml:space="preserve">proles / gremium</w:t>
        </w:r>
      </w:hyperlink>
      <w:r>
        <w:rPr>
          <w:b w:val="0"/>
          <w:i w:val="0"/>
        </w:rPr>
        <w:t>.</w:t>
      </w:r>
    </w:p>
    <w:p>
      <w:pPr>
        <w:widowControl/>
      </w:pPr>
      <w:r>
        <w:rPr>
          <w:b/>
          <w:i w:val="0"/>
        </w:rPr>
        <w:t>gubernando.</w:t>
      </w:r>
      <w:r>
        <w:rPr>
          <w:b w:val="0"/>
          <w:i w:val="0"/>
        </w:rPr>
        <w:t xml:space="preserve"> </w:t>
      </w:r>
      <w:hyperlink w:anchor="latin-record-0927">
        <w:r>
          <w:rPr>
            <w:color w:val="000000"/>
          </w:rPr>
          <w:t xml:space="preserve">principatus / gubernare / regere</w:t>
        </w:r>
      </w:hyperlink>
      <w:r>
        <w:rPr>
          <w:b w:val="0"/>
          <w:i w:val="0"/>
        </w:rPr>
        <w:t>.</w:t>
      </w:r>
    </w:p>
    <w:p>
      <w:pPr>
        <w:widowControl/>
      </w:pPr>
      <w:r>
        <w:rPr>
          <w:b/>
          <w:i w:val="0"/>
        </w:rPr>
        <w:t>gubernare.</w:t>
      </w:r>
      <w:r>
        <w:rPr>
          <w:b w:val="0"/>
          <w:i w:val="0"/>
        </w:rPr>
        <w:t xml:space="preserve"> </w:t>
      </w:r>
      <w:hyperlink w:anchor="latin-record-1030">
        <w:r>
          <w:rPr>
            <w:color w:val="000000"/>
          </w:rPr>
          <w:t xml:space="preserve">rector / gubernare / regere</w:t>
        </w:r>
      </w:hyperlink>
      <w:r>
        <w:rPr>
          <w:b w:val="0"/>
          <w:i w:val="0"/>
        </w:rPr>
        <w:t>.</w:t>
      </w:r>
    </w:p>
    <w:p>
      <w:pPr>
        <w:widowControl/>
      </w:pPr>
      <w:r>
        <w:rPr>
          <w:b/>
          <w:i w:val="0"/>
        </w:rPr>
        <w:t>gubernatore.</w:t>
      </w:r>
      <w:r>
        <w:rPr>
          <w:b w:val="0"/>
          <w:i w:val="0"/>
        </w:rPr>
        <w:t xml:space="preserve"> </w:t>
      </w:r>
      <w:hyperlink w:anchor="latin-record-0927">
        <w:r>
          <w:rPr>
            <w:color w:val="000000"/>
          </w:rPr>
          <w:t xml:space="preserve">principatus / gubernare / regere</w:t>
        </w:r>
      </w:hyperlink>
      <w:r>
        <w:rPr>
          <w:b w:val="0"/>
          <w:i w:val="0"/>
        </w:rPr>
        <w:t>.</w:t>
      </w:r>
    </w:p>
    <w:p>
      <w:pPr>
        <w:widowControl/>
      </w:pPr>
      <w:r>
        <w:rPr>
          <w:b/>
          <w:i w:val="0"/>
        </w:rPr>
        <w:t>gustus.</w:t>
      </w:r>
      <w:r>
        <w:rPr>
          <w:b w:val="0"/>
          <w:i w:val="0"/>
        </w:rPr>
        <w:t xml:space="preserve"> </w:t>
      </w:r>
      <w:hyperlink w:anchor="latin-record-0492">
        <w:r>
          <w:rPr>
            <w:color w:val="000000"/>
          </w:rPr>
          <w:t xml:space="preserve">gustus</w:t>
        </w:r>
      </w:hyperlink>
      <w:r>
        <w:rPr>
          <w:b w:val="0"/>
          <w:i w:val="0"/>
        </w:rPr>
        <w:t>.</w:t>
      </w:r>
    </w:p>
    <w:p>
      <w:pPr>
        <w:widowControl/>
      </w:pPr>
      <w:r>
        <w:rPr>
          <w:b/>
          <w:i w:val="0"/>
        </w:rPr>
        <w:t>guttula.</w:t>
      </w:r>
      <w:r>
        <w:rPr>
          <w:b w:val="0"/>
          <w:i w:val="0"/>
        </w:rPr>
        <w:t xml:space="preserve"> </w:t>
      </w:r>
      <w:hyperlink w:anchor="latin-record-0681">
        <w:r>
          <w:rPr>
            <w:color w:val="000000"/>
          </w:rPr>
          <w:t xml:space="preserve">mel / guttula</w:t>
        </w:r>
      </w:hyperlink>
      <w:r>
        <w:rPr>
          <w:b w:val="0"/>
          <w:i w:val="0"/>
        </w:rPr>
        <w:t>.</w:t>
      </w:r>
    </w:p>
    <w:p>
      <w:pPr>
        <w:widowControl/>
      </w:pPr>
      <w:r>
        <w:rPr>
          <w:b/>
          <w:i w:val="0"/>
        </w:rPr>
        <w:t>habeat.</w:t>
      </w:r>
      <w:r>
        <w:rPr>
          <w:b w:val="0"/>
          <w:i w:val="0"/>
        </w:rPr>
        <w:t xml:space="preserve"> </w:t>
      </w:r>
      <w:hyperlink w:anchor="latin-record-0494">
        <w:r>
          <w:rPr>
            <w:color w:val="000000"/>
          </w:rPr>
          <w:t xml:space="preserve">habere / tenere / possidere</w:t>
        </w:r>
      </w:hyperlink>
      <w:r>
        <w:rPr>
          <w:b w:val="0"/>
          <w:i w:val="0"/>
        </w:rPr>
        <w:t>.</w:t>
      </w:r>
    </w:p>
    <w:p>
      <w:pPr>
        <w:widowControl/>
      </w:pPr>
      <w:r>
        <w:rPr>
          <w:b/>
          <w:i w:val="0"/>
        </w:rPr>
        <w:t>habet.</w:t>
      </w:r>
      <w:r>
        <w:rPr>
          <w:b w:val="0"/>
          <w:i w:val="0"/>
        </w:rPr>
        <w:t xml:space="preserve"> </w:t>
      </w:r>
      <w:hyperlink w:anchor="latin-record-0494">
        <w:r>
          <w:rPr>
            <w:color w:val="000000"/>
          </w:rPr>
          <w:t xml:space="preserve">habere / tenere / possidere</w:t>
        </w:r>
      </w:hyperlink>
      <w:r>
        <w:rPr>
          <w:b w:val="0"/>
          <w:i w:val="0"/>
        </w:rPr>
        <w:t>.</w:t>
      </w:r>
    </w:p>
    <w:p>
      <w:pPr>
        <w:widowControl/>
      </w:pPr>
      <w:r>
        <w:rPr>
          <w:b/>
          <w:i w:val="0"/>
        </w:rPr>
        <w:t>habitas.</w:t>
      </w:r>
      <w:r>
        <w:rPr>
          <w:b w:val="0"/>
          <w:i w:val="0"/>
        </w:rPr>
        <w:t xml:space="preserve"> </w:t>
      </w:r>
      <w:hyperlink w:anchor="latin-record-0495">
        <w:r>
          <w:rPr>
            <w:color w:val="000000"/>
          </w:rPr>
          <w:t xml:space="preserve">habitare</w:t>
        </w:r>
      </w:hyperlink>
      <w:r>
        <w:rPr>
          <w:b w:val="0"/>
          <w:i w:val="0"/>
        </w:rPr>
        <w:t>.</w:t>
      </w:r>
    </w:p>
    <w:p>
      <w:pPr>
        <w:widowControl/>
      </w:pPr>
      <w:r>
        <w:rPr>
          <w:b/>
          <w:i w:val="0"/>
        </w:rPr>
        <w:t>habitu.</w:t>
      </w:r>
      <w:r>
        <w:rPr>
          <w:b w:val="0"/>
          <w:i w:val="0"/>
        </w:rPr>
        <w:t xml:space="preserve"> </w:t>
      </w:r>
      <w:hyperlink w:anchor="latin-record-0497">
        <w:r>
          <w:rPr>
            <w:color w:val="000000"/>
          </w:rPr>
          <w:t xml:space="preserve">habitus / actus / potentia</w:t>
        </w:r>
      </w:hyperlink>
      <w:r>
        <w:rPr>
          <w:b w:val="0"/>
          <w:i w:val="0"/>
        </w:rPr>
        <w:t xml:space="preserve">; </w:t>
      </w:r>
      <w:hyperlink w:anchor="latin-record-0501">
        <w:r>
          <w:rPr>
            <w:color w:val="000000"/>
          </w:rPr>
          <w:t xml:space="preserve">habitus — settled skill</w:t>
        </w:r>
      </w:hyperlink>
      <w:r>
        <w:rPr>
          <w:b w:val="0"/>
          <w:i w:val="0"/>
        </w:rPr>
        <w:t>.</w:t>
      </w:r>
    </w:p>
    <w:p>
      <w:pPr>
        <w:widowControl/>
      </w:pPr>
      <w:r>
        <w:rPr>
          <w:b/>
          <w:i w:val="0"/>
        </w:rPr>
        <w:t>habitum.</w:t>
      </w:r>
      <w:r>
        <w:rPr>
          <w:b w:val="0"/>
          <w:i w:val="0"/>
        </w:rPr>
        <w:t xml:space="preserve"> </w:t>
      </w:r>
      <w:hyperlink w:anchor="latin-record-0496">
        <w:r>
          <w:rPr>
            <w:color w:val="000000"/>
          </w:rPr>
          <w:t xml:space="preserve">habitus</w:t>
        </w:r>
      </w:hyperlink>
      <w:r>
        <w:rPr>
          <w:b w:val="0"/>
          <w:i w:val="0"/>
        </w:rPr>
        <w:t>.</w:t>
      </w:r>
    </w:p>
    <w:p>
      <w:pPr>
        <w:widowControl/>
      </w:pPr>
      <w:r>
        <w:rPr>
          <w:b/>
          <w:i w:val="0"/>
        </w:rPr>
        <w:t>habituras.</w:t>
      </w:r>
      <w:r>
        <w:rPr>
          <w:b w:val="0"/>
          <w:i w:val="0"/>
        </w:rPr>
        <w:t xml:space="preserve"> </w:t>
      </w:r>
      <w:hyperlink w:anchor="latin-record-1075">
        <w:r>
          <w:rPr>
            <w:color w:val="000000"/>
          </w:rPr>
          <w:t xml:space="preserve">se habere</w:t>
        </w:r>
      </w:hyperlink>
      <w:r>
        <w:rPr>
          <w:b w:val="0"/>
          <w:i w:val="0"/>
        </w:rPr>
        <w:t>.</w:t>
      </w:r>
    </w:p>
    <w:p>
      <w:pPr>
        <w:widowControl/>
      </w:pPr>
      <w:r>
        <w:rPr>
          <w:b/>
          <w:i w:val="0"/>
        </w:rPr>
        <w:t>habitus.</w:t>
      </w:r>
      <w:r>
        <w:rPr>
          <w:b w:val="0"/>
          <w:i w:val="0"/>
        </w:rPr>
        <w:t xml:space="preserve"> </w:t>
      </w:r>
      <w:hyperlink w:anchor="latin-record-0496">
        <w:r>
          <w:rPr>
            <w:color w:val="000000"/>
          </w:rPr>
          <w:t xml:space="preserve">habitus</w:t>
        </w:r>
      </w:hyperlink>
      <w:r>
        <w:rPr>
          <w:b w:val="0"/>
          <w:i w:val="0"/>
        </w:rPr>
        <w:t xml:space="preserve">; </w:t>
      </w:r>
      <w:hyperlink w:anchor="latin-record-0498">
        <w:r>
          <w:rPr>
            <w:color w:val="000000"/>
          </w:rPr>
          <w:t xml:space="preserve">habitus — condition of the whole</w:t>
        </w:r>
      </w:hyperlink>
      <w:r>
        <w:rPr>
          <w:b w:val="0"/>
          <w:i w:val="0"/>
        </w:rPr>
        <w:t xml:space="preserve">; </w:t>
      </w:r>
      <w:hyperlink w:anchor="latin-record-0499">
        <w:r>
          <w:rPr>
            <w:color w:val="000000"/>
          </w:rPr>
          <w:t xml:space="preserve">habitus — possession</w:t>
        </w:r>
      </w:hyperlink>
      <w:r>
        <w:rPr>
          <w:b w:val="0"/>
          <w:i w:val="0"/>
        </w:rPr>
        <w:t>.</w:t>
      </w:r>
    </w:p>
    <w:p>
      <w:pPr>
        <w:widowControl/>
      </w:pPr>
      <w:r>
        <w:rPr>
          <w:b/>
          <w:i w:val="0"/>
        </w:rPr>
        <w:t>Hactenus.</w:t>
      </w:r>
      <w:r>
        <w:rPr>
          <w:b w:val="0"/>
          <w:i w:val="0"/>
        </w:rPr>
        <w:t xml:space="preserve"> </w:t>
      </w:r>
      <w:hyperlink w:anchor="latin-record-0502">
        <w:r>
          <w:rPr>
            <w:color w:val="000000"/>
          </w:rPr>
          <w:t xml:space="preserve">hactenus / hucusque</w:t>
        </w:r>
      </w:hyperlink>
      <w:r>
        <w:rPr>
          <w:b w:val="0"/>
          <w:i w:val="0"/>
        </w:rPr>
        <w:t>.</w:t>
      </w:r>
    </w:p>
    <w:p>
      <w:pPr>
        <w:widowControl/>
      </w:pPr>
      <w:r>
        <w:rPr>
          <w:b/>
          <w:i w:val="0"/>
        </w:rPr>
        <w:t>Haec Platonici.</w:t>
      </w:r>
      <w:r>
        <w:rPr>
          <w:b w:val="0"/>
          <w:i w:val="0"/>
        </w:rPr>
        <w:t xml:space="preserve"> </w:t>
      </w:r>
      <w:hyperlink w:anchor="latin-record-0503">
        <w:r>
          <w:rPr>
            <w:color w:val="000000"/>
          </w:rPr>
          <w:t xml:space="preserve">Haec Platonici</w:t>
        </w:r>
      </w:hyperlink>
      <w:r>
        <w:rPr>
          <w:b w:val="0"/>
          <w:i w:val="0"/>
        </w:rPr>
        <w:t>.</w:t>
      </w:r>
    </w:p>
    <w:p>
      <w:pPr>
        <w:widowControl/>
      </w:pPr>
      <w:r>
        <w:rPr>
          <w:b/>
          <w:i w:val="0"/>
        </w:rPr>
        <w:t>haerent.</w:t>
      </w:r>
      <w:r>
        <w:rPr>
          <w:b w:val="0"/>
          <w:i w:val="0"/>
        </w:rPr>
        <w:t xml:space="preserve"> </w:t>
      </w:r>
      <w:hyperlink w:anchor="latin-record-0505">
        <w:r>
          <w:rPr>
            <w:color w:val="000000"/>
          </w:rPr>
          <w:t xml:space="preserve">haerere / seiunctus</w:t>
        </w:r>
      </w:hyperlink>
      <w:r>
        <w:rPr>
          <w:b w:val="0"/>
          <w:i w:val="0"/>
        </w:rPr>
        <w:t>.</w:t>
      </w:r>
    </w:p>
    <w:p>
      <w:pPr>
        <w:widowControl/>
      </w:pPr>
      <w:r>
        <w:rPr>
          <w:b/>
          <w:i w:val="0"/>
        </w:rPr>
        <w:t>haerere.</w:t>
      </w:r>
      <w:r>
        <w:rPr>
          <w:b w:val="0"/>
          <w:i w:val="0"/>
        </w:rPr>
        <w:t xml:space="preserve"> </w:t>
      </w:r>
      <w:hyperlink w:anchor="latin-record-0504">
        <w:r>
          <w:rPr>
            <w:color w:val="000000"/>
          </w:rPr>
          <w:t xml:space="preserve">haerere</w:t>
        </w:r>
      </w:hyperlink>
      <w:r>
        <w:rPr>
          <w:b w:val="0"/>
          <w:i w:val="0"/>
        </w:rPr>
        <w:t>.</w:t>
      </w:r>
    </w:p>
    <w:p>
      <w:pPr>
        <w:widowControl/>
      </w:pPr>
      <w:r>
        <w:rPr>
          <w:b/>
          <w:i w:val="0"/>
        </w:rPr>
        <w:t>haeret.</w:t>
      </w:r>
      <w:r>
        <w:rPr>
          <w:b w:val="0"/>
          <w:i w:val="0"/>
        </w:rPr>
        <w:t xml:space="preserve"> </w:t>
      </w:r>
      <w:hyperlink w:anchor="latin-record-0504">
        <w:r>
          <w:rPr>
            <w:color w:val="000000"/>
          </w:rPr>
          <w:t xml:space="preserve">haerere</w:t>
        </w:r>
      </w:hyperlink>
      <w:r>
        <w:rPr>
          <w:b w:val="0"/>
          <w:i w:val="0"/>
        </w:rPr>
        <w:t>.</w:t>
      </w:r>
    </w:p>
    <w:p>
      <w:pPr>
        <w:widowControl/>
      </w:pPr>
      <w:r>
        <w:rPr>
          <w:b/>
          <w:i w:val="0"/>
        </w:rPr>
        <w:t>harmoniae.</w:t>
      </w:r>
      <w:r>
        <w:rPr>
          <w:b w:val="0"/>
          <w:i w:val="0"/>
        </w:rPr>
        <w:t xml:space="preserve"> </w:t>
      </w:r>
      <w:hyperlink w:anchor="latin-record-0506">
        <w:r>
          <w:rPr>
            <w:color w:val="000000"/>
          </w:rPr>
          <w:t xml:space="preserve">harmonia</w:t>
        </w:r>
      </w:hyperlink>
      <w:r>
        <w:rPr>
          <w:b w:val="0"/>
          <w:i w:val="0"/>
        </w:rPr>
        <w:t>.</w:t>
      </w:r>
    </w:p>
    <w:p>
      <w:pPr>
        <w:widowControl/>
      </w:pPr>
      <w:r>
        <w:rPr>
          <w:b/>
          <w:i w:val="0"/>
        </w:rPr>
        <w:t>haud propria omnino ratione.</w:t>
      </w:r>
      <w:r>
        <w:rPr>
          <w:b w:val="0"/>
          <w:i w:val="0"/>
        </w:rPr>
        <w:t xml:space="preserve"> </w:t>
      </w:r>
      <w:hyperlink w:anchor="latin-record-0507">
        <w:r>
          <w:rPr>
            <w:color w:val="000000"/>
          </w:rPr>
          <w:t xml:space="preserve">haud propria omnino ratione</w:t>
        </w:r>
      </w:hyperlink>
      <w:r>
        <w:rPr>
          <w:b w:val="0"/>
          <w:i w:val="0"/>
        </w:rPr>
        <w:t>.</w:t>
      </w:r>
    </w:p>
    <w:p>
      <w:pPr>
        <w:widowControl/>
      </w:pPr>
      <w:r>
        <w:rPr>
          <w:b/>
          <w:i w:val="0"/>
        </w:rPr>
        <w:t>haurit.</w:t>
      </w:r>
      <w:r>
        <w:rPr>
          <w:b w:val="0"/>
          <w:i w:val="0"/>
        </w:rPr>
        <w:t xml:space="preserve"> </w:t>
      </w:r>
      <w:hyperlink w:anchor="latin-record-0508">
        <w:r>
          <w:rPr>
            <w:color w:val="000000"/>
          </w:rPr>
          <w:t xml:space="preserve">haurio / liquor / infundo</w:t>
        </w:r>
      </w:hyperlink>
      <w:r>
        <w:rPr>
          <w:b w:val="0"/>
          <w:i w:val="0"/>
        </w:rPr>
        <w:t xml:space="preserve">; </w:t>
      </w:r>
      <w:hyperlink w:anchor="latin-record-0509">
        <w:r>
          <w:rPr>
            <w:color w:val="000000"/>
          </w:rPr>
          <w:t xml:space="preserve">haurire / implere</w:t>
        </w:r>
      </w:hyperlink>
      <w:r>
        <w:rPr>
          <w:b w:val="0"/>
          <w:i w:val="0"/>
        </w:rPr>
        <w:t>.</w:t>
      </w:r>
    </w:p>
    <w:p>
      <w:pPr>
        <w:widowControl/>
      </w:pPr>
      <w:r>
        <w:rPr>
          <w:b/>
          <w:i w:val="0"/>
        </w:rPr>
        <w:t>hebescit.</w:t>
      </w:r>
      <w:r>
        <w:rPr>
          <w:b w:val="0"/>
          <w:i w:val="0"/>
        </w:rPr>
        <w:t xml:space="preserve"> </w:t>
      </w:r>
      <w:hyperlink w:anchor="latin-record-1191">
        <w:r>
          <w:rPr>
            <w:color w:val="000000"/>
          </w:rPr>
          <w:t xml:space="preserve">tenuari / clarescere / hebescere</w:t>
        </w:r>
      </w:hyperlink>
      <w:r>
        <w:rPr>
          <w:b w:val="0"/>
          <w:i w:val="0"/>
        </w:rPr>
        <w:t>.</w:t>
      </w:r>
    </w:p>
    <w:p>
      <w:pPr>
        <w:widowControl/>
      </w:pPr>
      <w:r>
        <w:rPr>
          <w:b/>
          <w:i w:val="0"/>
        </w:rPr>
        <w:t>Heraclitus.</w:t>
      </w:r>
      <w:r>
        <w:rPr>
          <w:b w:val="0"/>
          <w:i w:val="0"/>
        </w:rPr>
        <w:t xml:space="preserve"> </w:t>
      </w:r>
      <w:hyperlink w:anchor="latin-record-0510">
        <w:r>
          <w:rPr>
            <w:color w:val="000000"/>
          </w:rPr>
          <w:t xml:space="preserve">Heraclitus / Varro / Manilius</w:t>
        </w:r>
      </w:hyperlink>
      <w:r>
        <w:rPr>
          <w:b w:val="0"/>
          <w:i w:val="0"/>
        </w:rPr>
        <w:t>.</w:t>
      </w:r>
    </w:p>
    <w:p>
      <w:pPr>
        <w:widowControl/>
      </w:pPr>
      <w:r>
        <w:rPr>
          <w:b/>
          <w:i w:val="0"/>
        </w:rPr>
        <w:t>herba.</w:t>
      </w:r>
      <w:r>
        <w:rPr>
          <w:b w:val="0"/>
          <w:i w:val="0"/>
        </w:rPr>
        <w:t xml:space="preserve"> </w:t>
      </w:r>
      <w:hyperlink w:anchor="latin-record-0454">
        <w:r>
          <w:rPr>
            <w:color w:val="000000"/>
          </w:rPr>
          <w:t xml:space="preserve">flos / herba</w:t>
        </w:r>
      </w:hyperlink>
      <w:r>
        <w:rPr>
          <w:b w:val="0"/>
          <w:i w:val="0"/>
        </w:rPr>
        <w:t>.</w:t>
      </w:r>
    </w:p>
    <w:p>
      <w:pPr>
        <w:widowControl/>
      </w:pPr>
      <w:r>
        <w:rPr>
          <w:b/>
          <w:i w:val="0"/>
        </w:rPr>
        <w:t>Hermotimo.</w:t>
      </w:r>
      <w:r>
        <w:rPr>
          <w:b w:val="0"/>
          <w:i w:val="0"/>
        </w:rPr>
        <w:t xml:space="preserve"> </w:t>
      </w:r>
      <w:hyperlink w:anchor="latin-record-0065">
        <w:r>
          <w:rPr>
            <w:color w:val="000000"/>
          </w:rPr>
          <w:t xml:space="preserve">Anaxagoras / Hermotimus</w:t>
        </w:r>
      </w:hyperlink>
      <w:r>
        <w:rPr>
          <w:b w:val="0"/>
          <w:i w:val="0"/>
        </w:rPr>
        <w:t>.</w:t>
      </w:r>
    </w:p>
    <w:p>
      <w:pPr>
        <w:widowControl/>
      </w:pPr>
      <w:r>
        <w:rPr>
          <w:b/>
          <w:i w:val="0"/>
        </w:rPr>
        <w:t>Hermotimus.</w:t>
      </w:r>
      <w:r>
        <w:rPr>
          <w:b w:val="0"/>
          <w:i w:val="0"/>
        </w:rPr>
        <w:t xml:space="preserve"> </w:t>
      </w:r>
      <w:hyperlink w:anchor="latin-record-0065">
        <w:r>
          <w:rPr>
            <w:color w:val="000000"/>
          </w:rPr>
          <w:t xml:space="preserve">Anaxagoras / Hermotimus</w:t>
        </w:r>
      </w:hyperlink>
      <w:r>
        <w:rPr>
          <w:b w:val="0"/>
          <w:i w:val="0"/>
        </w:rPr>
        <w:t>.</w:t>
      </w:r>
    </w:p>
    <w:p>
      <w:pPr>
        <w:widowControl/>
      </w:pPr>
      <w:r>
        <w:rPr>
          <w:b/>
          <w:i w:val="0"/>
        </w:rPr>
        <w:t>hic.</w:t>
      </w:r>
      <w:r>
        <w:rPr>
          <w:b w:val="0"/>
          <w:i w:val="0"/>
        </w:rPr>
        <w:t xml:space="preserve"> </w:t>
      </w:r>
      <w:hyperlink w:anchor="latin-record-0511">
        <w:r>
          <w:rPr>
            <w:color w:val="000000"/>
          </w:rPr>
          <w:t xml:space="preserve">hic / illic</w:t>
        </w:r>
      </w:hyperlink>
      <w:r>
        <w:rPr>
          <w:b w:val="0"/>
          <w:i w:val="0"/>
        </w:rPr>
        <w:t>.</w:t>
      </w:r>
    </w:p>
    <w:p>
      <w:pPr>
        <w:widowControl/>
      </w:pPr>
      <w:r>
        <w:rPr>
          <w:b/>
          <w:i w:val="0"/>
        </w:rPr>
        <w:t>hieme.</w:t>
      </w:r>
      <w:r>
        <w:rPr>
          <w:b w:val="0"/>
          <w:i w:val="0"/>
        </w:rPr>
        <w:t xml:space="preserve"> </w:t>
      </w:r>
      <w:hyperlink w:anchor="latin-record-0512">
        <w:r>
          <w:rPr>
            <w:color w:val="000000"/>
          </w:rPr>
          <w:t xml:space="preserve">hiems / ver / aestas / autumnus</w:t>
        </w:r>
      </w:hyperlink>
      <w:r>
        <w:rPr>
          <w:b w:val="0"/>
          <w:i w:val="0"/>
        </w:rPr>
        <w:t>.</w:t>
      </w:r>
    </w:p>
    <w:p>
      <w:pPr>
        <w:widowControl/>
      </w:pPr>
      <w:r>
        <w:rPr>
          <w:b/>
          <w:i w:val="0"/>
        </w:rPr>
        <w:t>hiemem.</w:t>
      </w:r>
      <w:r>
        <w:rPr>
          <w:b w:val="0"/>
          <w:i w:val="0"/>
        </w:rPr>
        <w:t xml:space="preserve"> </w:t>
      </w:r>
      <w:hyperlink w:anchor="latin-record-0512">
        <w:r>
          <w:rPr>
            <w:color w:val="000000"/>
          </w:rPr>
          <w:t xml:space="preserve">hiems / ver / aestas / autumnus</w:t>
        </w:r>
      </w:hyperlink>
      <w:r>
        <w:rPr>
          <w:b w:val="0"/>
          <w:i w:val="0"/>
        </w:rPr>
        <w:t>.</w:t>
      </w:r>
    </w:p>
    <w:p>
      <w:pPr>
        <w:widowControl/>
      </w:pPr>
      <w:r>
        <w:rPr>
          <w:b/>
          <w:i w:val="0"/>
        </w:rPr>
        <w:t>hierobotanum.</w:t>
      </w:r>
      <w:r>
        <w:rPr>
          <w:b w:val="0"/>
          <w:i w:val="0"/>
        </w:rPr>
        <w:t xml:space="preserve"> </w:t>
      </w:r>
      <w:hyperlink w:anchor="latin-record-0513">
        <w:r>
          <w:rPr>
            <w:color w:val="000000"/>
          </w:rPr>
          <w:t xml:space="preserve">hierobotanum</w:t>
        </w:r>
      </w:hyperlink>
      <w:r>
        <w:rPr>
          <w:b w:val="0"/>
          <w:i w:val="0"/>
        </w:rPr>
        <w:t>.</w:t>
      </w:r>
    </w:p>
    <w:p>
      <w:pPr>
        <w:widowControl/>
      </w:pPr>
      <w:r>
        <w:rPr>
          <w:b/>
          <w:i w:val="0"/>
        </w:rPr>
        <w:t>hominum.</w:t>
      </w:r>
      <w:r>
        <w:rPr>
          <w:b w:val="0"/>
          <w:i w:val="0"/>
        </w:rPr>
        <w:t xml:space="preserve"> </w:t>
      </w:r>
      <w:hyperlink w:anchor="latin-record-0514">
        <w:r>
          <w:rPr>
            <w:color w:val="000000"/>
          </w:rPr>
          <w:t xml:space="preserve">homo / equus</w:t>
        </w:r>
      </w:hyperlink>
      <w:r>
        <w:rPr>
          <w:b w:val="0"/>
          <w:i w:val="0"/>
        </w:rPr>
        <w:t>.</w:t>
      </w:r>
    </w:p>
    <w:p>
      <w:pPr>
        <w:widowControl/>
      </w:pPr>
      <w:r>
        <w:rPr>
          <w:b/>
          <w:i w:val="0"/>
        </w:rPr>
        <w:t>hora.</w:t>
      </w:r>
      <w:r>
        <w:rPr>
          <w:b w:val="0"/>
          <w:i w:val="0"/>
        </w:rPr>
        <w:t xml:space="preserve"> </w:t>
      </w:r>
      <w:hyperlink w:anchor="latin-record-0515">
        <w:r>
          <w:rPr>
            <w:color w:val="000000"/>
          </w:rPr>
          <w:t xml:space="preserve">hora / par / impar</w:t>
        </w:r>
      </w:hyperlink>
      <w:r>
        <w:rPr>
          <w:b w:val="0"/>
          <w:i w:val="0"/>
        </w:rPr>
        <w:t>.</w:t>
      </w:r>
    </w:p>
    <w:p>
      <w:pPr>
        <w:widowControl/>
      </w:pPr>
      <w:r>
        <w:rPr>
          <w:b/>
          <w:i w:val="0"/>
        </w:rPr>
        <w:t>Hucusque.</w:t>
      </w:r>
      <w:r>
        <w:rPr>
          <w:b w:val="0"/>
          <w:i w:val="0"/>
        </w:rPr>
        <w:t xml:space="preserve"> </w:t>
      </w:r>
      <w:hyperlink w:anchor="latin-record-0502">
        <w:r>
          <w:rPr>
            <w:color w:val="000000"/>
          </w:rPr>
          <w:t xml:space="preserve">hactenus / hucusque</w:t>
        </w:r>
      </w:hyperlink>
      <w:r>
        <w:rPr>
          <w:b w:val="0"/>
          <w:i w:val="0"/>
        </w:rPr>
        <w:t>.</w:t>
      </w:r>
    </w:p>
    <w:p>
      <w:pPr>
        <w:widowControl/>
      </w:pPr>
      <w:r>
        <w:rPr>
          <w:b/>
          <w:i w:val="0"/>
        </w:rPr>
        <w:t>humanam.</w:t>
      </w:r>
      <w:r>
        <w:rPr>
          <w:b w:val="0"/>
          <w:i w:val="0"/>
        </w:rPr>
        <w:t xml:space="preserve"> </w:t>
      </w:r>
      <w:hyperlink w:anchor="latin-record-0514">
        <w:r>
          <w:rPr>
            <w:color w:val="000000"/>
          </w:rPr>
          <w:t xml:space="preserve">homo / equus</w:t>
        </w:r>
      </w:hyperlink>
      <w:r>
        <w:rPr>
          <w:b w:val="0"/>
          <w:i w:val="0"/>
        </w:rPr>
        <w:t>.</w:t>
      </w:r>
    </w:p>
    <w:p>
      <w:pPr>
        <w:widowControl/>
      </w:pPr>
      <w:r>
        <w:rPr>
          <w:b/>
          <w:i w:val="0"/>
        </w:rPr>
        <w:t>humida.</w:t>
      </w:r>
      <w:r>
        <w:rPr>
          <w:b w:val="0"/>
          <w:i w:val="0"/>
        </w:rPr>
        <w:t xml:space="preserve"> </w:t>
      </w:r>
      <w:hyperlink w:anchor="latin-record-0133">
        <w:r>
          <w:rPr>
            <w:color w:val="000000"/>
          </w:rPr>
          <w:t xml:space="preserve">calidus / frigidus / siccus / humidus</w:t>
        </w:r>
      </w:hyperlink>
      <w:r>
        <w:rPr>
          <w:b w:val="0"/>
          <w:i w:val="0"/>
        </w:rPr>
        <w:t>.</w:t>
      </w:r>
    </w:p>
    <w:p>
      <w:pPr>
        <w:widowControl/>
      </w:pPr>
      <w:r>
        <w:rPr>
          <w:b/>
          <w:i w:val="0"/>
        </w:rPr>
        <w:t>humiditas.</w:t>
      </w:r>
      <w:r>
        <w:rPr>
          <w:b w:val="0"/>
          <w:i w:val="0"/>
        </w:rPr>
        <w:t xml:space="preserve"> </w:t>
      </w:r>
      <w:hyperlink w:anchor="latin-record-1103">
        <w:r>
          <w:rPr>
            <w:color w:val="000000"/>
          </w:rPr>
          <w:t xml:space="preserve">siccitas / humiditas</w:t>
        </w:r>
      </w:hyperlink>
      <w:r>
        <w:rPr>
          <w:b w:val="0"/>
          <w:i w:val="0"/>
        </w:rPr>
        <w:t>.</w:t>
      </w:r>
    </w:p>
    <w:p>
      <w:pPr>
        <w:widowControl/>
      </w:pPr>
      <w:r>
        <w:rPr>
          <w:b/>
          <w:i w:val="0"/>
        </w:rPr>
        <w:t>humores.</w:t>
      </w:r>
      <w:r>
        <w:rPr>
          <w:b w:val="0"/>
          <w:i w:val="0"/>
        </w:rPr>
        <w:t xml:space="preserve"> </w:t>
      </w:r>
      <w:hyperlink w:anchor="latin-record-0516">
        <w:r>
          <w:rPr>
            <w:color w:val="000000"/>
          </w:rPr>
          <w:t xml:space="preserve">humor / humores</w:t>
        </w:r>
      </w:hyperlink>
      <w:r>
        <w:rPr>
          <w:b w:val="0"/>
          <w:i w:val="0"/>
        </w:rPr>
        <w:t>.</w:t>
      </w:r>
    </w:p>
    <w:p>
      <w:pPr>
        <w:widowControl/>
      </w:pPr>
      <w:r>
        <w:rPr>
          <w:b/>
          <w:i w:val="0"/>
        </w:rPr>
        <w:t>hymno.</w:t>
      </w:r>
      <w:r>
        <w:rPr>
          <w:b w:val="0"/>
          <w:i w:val="0"/>
        </w:rPr>
        <w:t xml:space="preserve"> </w:t>
      </w:r>
      <w:hyperlink w:anchor="latin-record-0517">
        <w:r>
          <w:rPr>
            <w:color w:val="000000"/>
          </w:rPr>
          <w:t xml:space="preserve">hymnus / theologia / sacerdos</w:t>
        </w:r>
      </w:hyperlink>
      <w:r>
        <w:rPr>
          <w:b w:val="0"/>
          <w:i w:val="0"/>
        </w:rPr>
        <w:t>.</w:t>
      </w:r>
    </w:p>
    <w:p>
      <w:pPr>
        <w:widowControl/>
      </w:pPr>
      <w:r>
        <w:rPr>
          <w:b/>
          <w:i w:val="0"/>
        </w:rPr>
        <w:t>iaciat.</w:t>
      </w:r>
      <w:r>
        <w:rPr>
          <w:b w:val="0"/>
          <w:i w:val="0"/>
        </w:rPr>
        <w:t xml:space="preserve"> </w:t>
      </w:r>
      <w:hyperlink w:anchor="latin-record-0518">
        <w:r>
          <w:rPr>
            <w:color w:val="000000"/>
          </w:rPr>
          <w:t xml:space="preserve">iacere / iactus</w:t>
        </w:r>
      </w:hyperlink>
      <w:r>
        <w:rPr>
          <w:b w:val="0"/>
          <w:i w:val="0"/>
        </w:rPr>
        <w:t>.</w:t>
      </w:r>
    </w:p>
    <w:p>
      <w:pPr>
        <w:widowControl/>
      </w:pPr>
      <w:r>
        <w:rPr>
          <w:b/>
          <w:i w:val="0"/>
        </w:rPr>
        <w:t>iactus.</w:t>
      </w:r>
      <w:r>
        <w:rPr>
          <w:b w:val="0"/>
          <w:i w:val="0"/>
        </w:rPr>
        <w:t xml:space="preserve"> </w:t>
      </w:r>
      <w:hyperlink w:anchor="latin-record-0518">
        <w:r>
          <w:rPr>
            <w:color w:val="000000"/>
          </w:rPr>
          <w:t xml:space="preserve">iacere / iactus</w:t>
        </w:r>
      </w:hyperlink>
      <w:r>
        <w:rPr>
          <w:b w:val="0"/>
          <w:i w:val="0"/>
        </w:rPr>
        <w:t>.</w:t>
      </w:r>
    </w:p>
    <w:p>
      <w:pPr>
        <w:widowControl/>
      </w:pPr>
      <w:r>
        <w:rPr>
          <w:b/>
          <w:i w:val="0"/>
        </w:rPr>
        <w:t>Iamblichus.</w:t>
      </w:r>
      <w:r>
        <w:rPr>
          <w:b w:val="0"/>
          <w:i w:val="0"/>
        </w:rPr>
        <w:t xml:space="preserve"> </w:t>
      </w:r>
      <w:hyperlink w:anchor="latin-record-0519">
        <w:r>
          <w:rPr>
            <w:color w:val="000000"/>
          </w:rPr>
          <w:t xml:space="preserve">Iamblichus / Proclus</w:t>
        </w:r>
      </w:hyperlink>
      <w:r>
        <w:rPr>
          <w:b w:val="0"/>
          <w:i w:val="0"/>
        </w:rPr>
        <w:t>.</w:t>
      </w:r>
    </w:p>
    <w:p>
      <w:pPr>
        <w:widowControl/>
      </w:pPr>
      <w:r>
        <w:rPr>
          <w:b/>
          <w:i w:val="0"/>
        </w:rPr>
        <w:t>Iamblicusque.</w:t>
      </w:r>
      <w:r>
        <w:rPr>
          <w:b w:val="0"/>
          <w:i w:val="0"/>
        </w:rPr>
        <w:t xml:space="preserve"> </w:t>
      </w:r>
      <w:hyperlink w:anchor="latin-record-0066">
        <w:r>
          <w:rPr>
            <w:color w:val="000000"/>
          </w:rPr>
          <w:t xml:space="preserve">Anebon / Abamon / Plotinus / Iamblichus / Julianus</w:t>
        </w:r>
      </w:hyperlink>
      <w:r>
        <w:rPr>
          <w:b w:val="0"/>
          <w:i w:val="0"/>
        </w:rPr>
        <w:t>.</w:t>
      </w:r>
    </w:p>
    <w:p>
      <w:pPr>
        <w:widowControl/>
      </w:pPr>
      <w:r>
        <w:rPr>
          <w:b/>
          <w:i w:val="0"/>
        </w:rPr>
        <w:t>ibi.</w:t>
      </w:r>
      <w:r>
        <w:rPr>
          <w:b w:val="0"/>
          <w:i w:val="0"/>
        </w:rPr>
        <w:t xml:space="preserve"> </w:t>
      </w:r>
      <w:hyperlink w:anchor="latin-record-0511">
        <w:r>
          <w:rPr>
            <w:color w:val="000000"/>
          </w:rPr>
          <w:t xml:space="preserve">hic / illic</w:t>
        </w:r>
      </w:hyperlink>
      <w:r>
        <w:rPr>
          <w:b w:val="0"/>
          <w:i w:val="0"/>
        </w:rPr>
        <w:t>.</w:t>
      </w:r>
    </w:p>
    <w:p>
      <w:pPr>
        <w:widowControl/>
      </w:pPr>
      <w:r>
        <w:rPr>
          <w:b/>
          <w:i w:val="0"/>
        </w:rPr>
        <w:t>idea.</w:t>
      </w:r>
      <w:r>
        <w:rPr>
          <w:b w:val="0"/>
          <w:i w:val="0"/>
        </w:rPr>
        <w:t xml:space="preserve"> </w:t>
      </w:r>
      <w:hyperlink w:anchor="latin-record-1124">
        <w:r>
          <w:rPr>
            <w:color w:val="000000"/>
          </w:rPr>
          <w:t xml:space="preserve">species / idea</w:t>
        </w:r>
      </w:hyperlink>
      <w:r>
        <w:rPr>
          <w:b w:val="0"/>
          <w:i w:val="0"/>
        </w:rPr>
        <w:t>.</w:t>
      </w:r>
    </w:p>
    <w:p>
      <w:pPr>
        <w:widowControl/>
      </w:pPr>
      <w:r>
        <w:rPr>
          <w:b/>
          <w:i w:val="0"/>
        </w:rPr>
        <w:t>ideae.</w:t>
      </w:r>
      <w:r>
        <w:rPr>
          <w:b w:val="0"/>
          <w:i w:val="0"/>
        </w:rPr>
        <w:t xml:space="preserve"> </w:t>
      </w:r>
      <w:hyperlink w:anchor="latin-record-1124">
        <w:r>
          <w:rPr>
            <w:color w:val="000000"/>
          </w:rPr>
          <w:t xml:space="preserve">species / idea</w:t>
        </w:r>
      </w:hyperlink>
      <w:r>
        <w:rPr>
          <w:b w:val="0"/>
          <w:i w:val="0"/>
        </w:rPr>
        <w:t>.</w:t>
      </w:r>
    </w:p>
    <w:p>
      <w:pPr>
        <w:widowControl/>
      </w:pPr>
      <w:r>
        <w:rPr>
          <w:b/>
          <w:i w:val="0"/>
        </w:rPr>
        <w:t>idealis.</w:t>
      </w:r>
      <w:r>
        <w:rPr>
          <w:b w:val="0"/>
          <w:i w:val="0"/>
        </w:rPr>
        <w:t xml:space="preserve"> </w:t>
      </w:r>
      <w:hyperlink w:anchor="latin-record-1148">
        <w:r>
          <w:rPr>
            <w:color w:val="000000"/>
          </w:rPr>
          <w:t xml:space="preserve">stultus / sapienter / perspicue / vulgo / gratia / idealis</w:t>
        </w:r>
      </w:hyperlink>
      <w:r>
        <w:rPr>
          <w:b w:val="0"/>
          <w:i w:val="0"/>
        </w:rPr>
        <w:t>.</w:t>
      </w:r>
    </w:p>
    <w:p>
      <w:pPr>
        <w:widowControl/>
      </w:pPr>
      <w:r>
        <w:rPr>
          <w:b/>
          <w:i w:val="0"/>
        </w:rPr>
        <w:t>idearum.</w:t>
      </w:r>
      <w:r>
        <w:rPr>
          <w:b w:val="0"/>
          <w:i w:val="0"/>
        </w:rPr>
        <w:t xml:space="preserve"> </w:t>
      </w:r>
      <w:hyperlink w:anchor="latin-record-1124">
        <w:r>
          <w:rPr>
            <w:color w:val="000000"/>
          </w:rPr>
          <w:t xml:space="preserve">species / idea</w:t>
        </w:r>
      </w:hyperlink>
      <w:r>
        <w:rPr>
          <w:b w:val="0"/>
          <w:i w:val="0"/>
        </w:rPr>
        <w:t>.</w:t>
      </w:r>
    </w:p>
    <w:p>
      <w:pPr>
        <w:widowControl/>
      </w:pPr>
      <w:r>
        <w:rPr>
          <w:b/>
          <w:i w:val="0"/>
        </w:rPr>
        <w:t>Idem.</w:t>
      </w:r>
      <w:r>
        <w:rPr>
          <w:b w:val="0"/>
          <w:i w:val="0"/>
        </w:rPr>
        <w:t xml:space="preserve"> </w:t>
      </w:r>
      <w:hyperlink w:anchor="latin-record-0053">
        <w:r>
          <w:rPr>
            <w:color w:val="000000"/>
          </w:rPr>
          <w:t xml:space="preserve">alius / idem / uterque — explanatory distinction</w:t>
        </w:r>
      </w:hyperlink>
      <w:r>
        <w:rPr>
          <w:b w:val="0"/>
          <w:i w:val="0"/>
        </w:rPr>
        <w:t>.</w:t>
      </w:r>
    </w:p>
    <w:p>
      <w:pPr>
        <w:widowControl/>
      </w:pPr>
      <w:r>
        <w:rPr>
          <w:b/>
          <w:i w:val="0"/>
        </w:rPr>
        <w:t>iecori.</w:t>
      </w:r>
      <w:r>
        <w:rPr>
          <w:b w:val="0"/>
          <w:i w:val="0"/>
        </w:rPr>
        <w:t xml:space="preserve"> </w:t>
      </w:r>
      <w:hyperlink w:anchor="latin-record-0158">
        <w:r>
          <w:rPr>
            <w:color w:val="000000"/>
          </w:rPr>
          <w:t xml:space="preserve">cerebrum / cor / iecur</w:t>
        </w:r>
      </w:hyperlink>
      <w:r>
        <w:rPr>
          <w:b w:val="0"/>
          <w:i w:val="0"/>
        </w:rPr>
        <w:t>.</w:t>
      </w:r>
    </w:p>
    <w:p>
      <w:pPr>
        <w:widowControl/>
      </w:pPr>
      <w:r>
        <w:rPr>
          <w:b/>
          <w:i w:val="0"/>
        </w:rPr>
        <w:t>ignara.</w:t>
      </w:r>
      <w:r>
        <w:rPr>
          <w:b w:val="0"/>
          <w:i w:val="0"/>
        </w:rPr>
        <w:t xml:space="preserve"> </w:t>
      </w:r>
      <w:hyperlink w:anchor="latin-record-0520">
        <w:r>
          <w:rPr>
            <w:color w:val="000000"/>
          </w:rPr>
          <w:t xml:space="preserve">ignarus / nescire</w:t>
        </w:r>
      </w:hyperlink>
      <w:r>
        <w:rPr>
          <w:b w:val="0"/>
          <w:i w:val="0"/>
        </w:rPr>
        <w:t>.</w:t>
      </w:r>
    </w:p>
    <w:p>
      <w:pPr>
        <w:widowControl/>
      </w:pPr>
      <w:r>
        <w:rPr>
          <w:b/>
          <w:i w:val="0"/>
        </w:rPr>
        <w:t>igne.</w:t>
      </w:r>
      <w:r>
        <w:rPr>
          <w:b w:val="0"/>
          <w:i w:val="0"/>
        </w:rPr>
        <w:t xml:space="preserve"> </w:t>
      </w:r>
      <w:hyperlink w:anchor="latin-record-0135">
        <w:r>
          <w:rPr>
            <w:color w:val="000000"/>
          </w:rPr>
          <w:t xml:space="preserve">calor / ignis / lignum</w:t>
        </w:r>
      </w:hyperlink>
      <w:r>
        <w:rPr>
          <w:b w:val="0"/>
          <w:i w:val="0"/>
        </w:rPr>
        <w:t>.</w:t>
      </w:r>
    </w:p>
    <w:p>
      <w:pPr>
        <w:widowControl/>
      </w:pPr>
      <w:r>
        <w:rPr>
          <w:b/>
          <w:i w:val="0"/>
        </w:rPr>
        <w:t>ignis.</w:t>
      </w:r>
      <w:r>
        <w:rPr>
          <w:b w:val="0"/>
          <w:i w:val="0"/>
        </w:rPr>
        <w:t xml:space="preserve"> </w:t>
      </w:r>
      <w:hyperlink w:anchor="latin-record-0521">
        <w:r>
          <w:rPr>
            <w:color w:val="000000"/>
          </w:rPr>
          <w:t xml:space="preserve">ignis / sol / caelum / stella</w:t>
        </w:r>
      </w:hyperlink>
      <w:r>
        <w:rPr>
          <w:b w:val="0"/>
          <w:i w:val="0"/>
        </w:rPr>
        <w:t xml:space="preserve">; </w:t>
      </w:r>
      <w:hyperlink w:anchor="latin-record-0522">
        <w:r>
          <w:rPr>
            <w:color w:val="000000"/>
          </w:rPr>
          <w:t xml:space="preserve">ignis / tenuis</w:t>
        </w:r>
      </w:hyperlink>
      <w:r>
        <w:rPr>
          <w:b w:val="0"/>
          <w:i w:val="0"/>
        </w:rPr>
        <w:t>.</w:t>
      </w:r>
    </w:p>
    <w:p>
      <w:pPr>
        <w:widowControl/>
      </w:pPr>
      <w:r>
        <w:rPr>
          <w:b/>
          <w:i w:val="0"/>
        </w:rPr>
        <w:t>ignito.</w:t>
      </w:r>
      <w:r>
        <w:rPr>
          <w:b w:val="0"/>
          <w:i w:val="0"/>
        </w:rPr>
        <w:t xml:space="preserve"> </w:t>
      </w:r>
      <w:hyperlink w:anchor="latin-record-0521">
        <w:r>
          <w:rPr>
            <w:color w:val="000000"/>
          </w:rPr>
          <w:t xml:space="preserve">ignis / sol / caelum / stella</w:t>
        </w:r>
      </w:hyperlink>
      <w:r>
        <w:rPr>
          <w:b w:val="0"/>
          <w:i w:val="0"/>
        </w:rPr>
        <w:t>.</w:t>
      </w:r>
    </w:p>
    <w:p>
      <w:pPr>
        <w:widowControl/>
      </w:pPr>
      <w:r>
        <w:rPr>
          <w:b/>
          <w:i w:val="0"/>
        </w:rPr>
        <w:t>ignorat.</w:t>
      </w:r>
      <w:r>
        <w:rPr>
          <w:b w:val="0"/>
          <w:i w:val="0"/>
        </w:rPr>
        <w:t xml:space="preserve"> </w:t>
      </w:r>
      <w:hyperlink w:anchor="latin-record-0770">
        <w:r>
          <w:rPr>
            <w:color w:val="000000"/>
          </w:rPr>
          <w:t xml:space="preserve">noscere / cognoscere / dinoscere</w:t>
        </w:r>
      </w:hyperlink>
      <w:r>
        <w:rPr>
          <w:b w:val="0"/>
          <w:i w:val="0"/>
        </w:rPr>
        <w:t>.</w:t>
      </w:r>
    </w:p>
    <w:p>
      <w:pPr>
        <w:widowControl/>
      </w:pPr>
      <w:r>
        <w:rPr>
          <w:b/>
          <w:i w:val="0"/>
        </w:rPr>
        <w:t>illecta.</w:t>
      </w:r>
      <w:r>
        <w:rPr>
          <w:b w:val="0"/>
          <w:i w:val="0"/>
        </w:rPr>
        <w:t xml:space="preserve"> </w:t>
      </w:r>
      <w:hyperlink w:anchor="latin-record-0523">
        <w:r>
          <w:rPr>
            <w:color w:val="000000"/>
          </w:rPr>
          <w:t xml:space="preserve">illicere</w:t>
        </w:r>
      </w:hyperlink>
      <w:r>
        <w:rPr>
          <w:b w:val="0"/>
          <w:i w:val="0"/>
        </w:rPr>
        <w:t>.</w:t>
      </w:r>
    </w:p>
    <w:p>
      <w:pPr>
        <w:widowControl/>
      </w:pPr>
      <w:r>
        <w:rPr>
          <w:b/>
          <w:i w:val="0"/>
        </w:rPr>
        <w:t>illic.</w:t>
      </w:r>
      <w:r>
        <w:rPr>
          <w:b w:val="0"/>
          <w:i w:val="0"/>
        </w:rPr>
        <w:t xml:space="preserve"> </w:t>
      </w:r>
      <w:hyperlink w:anchor="latin-record-0511">
        <w:r>
          <w:rPr>
            <w:color w:val="000000"/>
          </w:rPr>
          <w:t xml:space="preserve">hic / illic</w:t>
        </w:r>
      </w:hyperlink>
      <w:r>
        <w:rPr>
          <w:b w:val="0"/>
          <w:i w:val="0"/>
        </w:rPr>
        <w:t>.</w:t>
      </w:r>
    </w:p>
    <w:p>
      <w:pPr>
        <w:widowControl/>
      </w:pPr>
      <w:r>
        <w:rPr>
          <w:b/>
          <w:i w:val="0"/>
        </w:rPr>
        <w:t>illuminando.</w:t>
      </w:r>
      <w:r>
        <w:rPr>
          <w:b w:val="0"/>
          <w:i w:val="0"/>
        </w:rPr>
        <w:t xml:space="preserve"> </w:t>
      </w:r>
      <w:hyperlink w:anchor="latin-record-0524">
        <w:r>
          <w:rPr>
            <w:color w:val="000000"/>
          </w:rPr>
          <w:t xml:space="preserve">illuminare / fulgere / radius / accendere</w:t>
        </w:r>
      </w:hyperlink>
      <w:r>
        <w:rPr>
          <w:b w:val="0"/>
          <w:i w:val="0"/>
        </w:rPr>
        <w:t>.</w:t>
      </w:r>
    </w:p>
    <w:p>
      <w:pPr>
        <w:widowControl/>
      </w:pPr>
      <w:r>
        <w:rPr>
          <w:b/>
          <w:i w:val="0"/>
        </w:rPr>
        <w:t>illuminat.</w:t>
      </w:r>
      <w:r>
        <w:rPr>
          <w:b w:val="0"/>
          <w:i w:val="0"/>
        </w:rPr>
        <w:t xml:space="preserve"> </w:t>
      </w:r>
      <w:hyperlink w:anchor="latin-record-0524">
        <w:r>
          <w:rPr>
            <w:color w:val="000000"/>
          </w:rPr>
          <w:t xml:space="preserve">illuminare / fulgere / radius / accendere</w:t>
        </w:r>
      </w:hyperlink>
      <w:r>
        <w:rPr>
          <w:b w:val="0"/>
          <w:i w:val="0"/>
        </w:rPr>
        <w:t>.</w:t>
      </w:r>
    </w:p>
    <w:p>
      <w:pPr>
        <w:widowControl/>
      </w:pPr>
      <w:r>
        <w:rPr>
          <w:b/>
          <w:i w:val="0"/>
        </w:rPr>
        <w:t>illustratur.</w:t>
      </w:r>
      <w:r>
        <w:rPr>
          <w:b w:val="0"/>
          <w:i w:val="0"/>
        </w:rPr>
        <w:t xml:space="preserve"> </w:t>
      </w:r>
      <w:hyperlink w:anchor="latin-record-0656">
        <w:r>
          <w:rPr>
            <w:color w:val="000000"/>
          </w:rPr>
          <w:t xml:space="preserve">lux / lumen / illuminare</w:t>
        </w:r>
      </w:hyperlink>
      <w:r>
        <w:rPr>
          <w:b w:val="0"/>
          <w:i w:val="0"/>
        </w:rPr>
        <w:t>.</w:t>
      </w:r>
    </w:p>
    <w:p>
      <w:pPr>
        <w:widowControl/>
      </w:pPr>
      <w:r>
        <w:rPr>
          <w:b/>
          <w:i w:val="0"/>
        </w:rPr>
        <w:t>imaginarium.</w:t>
      </w:r>
      <w:r>
        <w:rPr>
          <w:b w:val="0"/>
          <w:i w:val="0"/>
        </w:rPr>
        <w:t xml:space="preserve"> </w:t>
      </w:r>
      <w:hyperlink w:anchor="latin-record-1217">
        <w:r>
          <w:rPr>
            <w:color w:val="000000"/>
          </w:rPr>
          <w:t xml:space="preserve">umbra / umbratilis / vanus</w:t>
        </w:r>
      </w:hyperlink>
      <w:r>
        <w:rPr>
          <w:b w:val="0"/>
          <w:i w:val="0"/>
        </w:rPr>
        <w:t>.</w:t>
      </w:r>
    </w:p>
    <w:p>
      <w:pPr>
        <w:widowControl/>
      </w:pPr>
      <w:r>
        <w:rPr>
          <w:b/>
          <w:i w:val="0"/>
        </w:rPr>
        <w:t>imagines.</w:t>
      </w:r>
      <w:r>
        <w:rPr>
          <w:b w:val="0"/>
          <w:i w:val="0"/>
        </w:rPr>
        <w:t xml:space="preserve"> </w:t>
      </w:r>
      <w:hyperlink w:anchor="latin-record-0733">
        <w:r>
          <w:rPr>
            <w:color w:val="000000"/>
          </w:rPr>
          <w:t xml:space="preserve">munus / imago / exemplar</w:t>
        </w:r>
      </w:hyperlink>
      <w:r>
        <w:rPr>
          <w:b w:val="0"/>
          <w:i w:val="0"/>
        </w:rPr>
        <w:t xml:space="preserve">; </w:t>
      </w:r>
      <w:hyperlink w:anchor="latin-record-0809">
        <w:r>
          <w:rPr>
            <w:color w:val="000000"/>
          </w:rPr>
          <w:t xml:space="preserve">ordo / umbra / imago</w:t>
        </w:r>
      </w:hyperlink>
      <w:r>
        <w:rPr>
          <w:b w:val="0"/>
          <w:i w:val="0"/>
        </w:rPr>
        <w:t xml:space="preserve">; </w:t>
      </w:r>
      <w:hyperlink w:anchor="latin-record-1128">
        <w:r>
          <w:rPr>
            <w:color w:val="000000"/>
          </w:rPr>
          <w:t xml:space="preserve">speculum / imago</w:t>
        </w:r>
      </w:hyperlink>
      <w:r>
        <w:rPr>
          <w:b w:val="0"/>
          <w:i w:val="0"/>
        </w:rPr>
        <w:t>.</w:t>
      </w:r>
    </w:p>
    <w:p>
      <w:pPr>
        <w:widowControl/>
      </w:pPr>
      <w:r>
        <w:rPr>
          <w:b/>
          <w:i w:val="0"/>
        </w:rPr>
        <w:t>imago.</w:t>
      </w:r>
      <w:r>
        <w:rPr>
          <w:b w:val="0"/>
          <w:i w:val="0"/>
        </w:rPr>
        <w:t xml:space="preserve"> </w:t>
      </w:r>
      <w:hyperlink w:anchor="latin-record-0525">
        <w:r>
          <w:rPr>
            <w:color w:val="000000"/>
          </w:rPr>
          <w:t xml:space="preserve">imago / simulacrum</w:t>
        </w:r>
      </w:hyperlink>
      <w:r>
        <w:rPr>
          <w:b w:val="0"/>
          <w:i w:val="0"/>
        </w:rPr>
        <w:t>.</w:t>
      </w:r>
    </w:p>
    <w:p>
      <w:pPr>
        <w:widowControl/>
      </w:pPr>
      <w:r>
        <w:rPr>
          <w:b/>
          <w:i w:val="0"/>
        </w:rPr>
        <w:t>imbecillitas.</w:t>
      </w:r>
      <w:r>
        <w:rPr>
          <w:b w:val="0"/>
          <w:i w:val="0"/>
        </w:rPr>
        <w:t xml:space="preserve"> </w:t>
      </w:r>
      <w:hyperlink w:anchor="latin-record-0334">
        <w:r>
          <w:rPr>
            <w:color w:val="000000"/>
          </w:rPr>
          <w:t xml:space="preserve">dispersio / imbecillitas</w:t>
        </w:r>
      </w:hyperlink>
      <w:r>
        <w:rPr>
          <w:b w:val="0"/>
          <w:i w:val="0"/>
        </w:rPr>
        <w:t xml:space="preserve">; </w:t>
      </w:r>
      <w:hyperlink w:anchor="latin-record-0526">
        <w:r>
          <w:rPr>
            <w:color w:val="000000"/>
          </w:rPr>
          <w:t xml:space="preserve">imbecillitas / insipientia</w:t>
        </w:r>
      </w:hyperlink>
      <w:r>
        <w:rPr>
          <w:b w:val="0"/>
          <w:i w:val="0"/>
        </w:rPr>
        <w:t>.</w:t>
      </w:r>
    </w:p>
    <w:p>
      <w:pPr>
        <w:widowControl/>
      </w:pPr>
      <w:r>
        <w:rPr>
          <w:b/>
          <w:i w:val="0"/>
        </w:rPr>
        <w:t>imbecillitatemque.</w:t>
      </w:r>
      <w:r>
        <w:rPr>
          <w:b w:val="0"/>
          <w:i w:val="0"/>
        </w:rPr>
        <w:t xml:space="preserve"> </w:t>
      </w:r>
      <w:hyperlink w:anchor="latin-record-0577">
        <w:r>
          <w:rPr>
            <w:color w:val="000000"/>
          </w:rPr>
          <w:t xml:space="preserve">inquietudo / imbecillitas</w:t>
        </w:r>
      </w:hyperlink>
      <w:r>
        <w:rPr>
          <w:b w:val="0"/>
          <w:i w:val="0"/>
        </w:rPr>
        <w:t>.</w:t>
      </w:r>
    </w:p>
    <w:p>
      <w:pPr>
        <w:widowControl/>
      </w:pPr>
      <w:r>
        <w:rPr>
          <w:b/>
          <w:i w:val="0"/>
        </w:rPr>
        <w:t>imbuit.</w:t>
      </w:r>
      <w:r>
        <w:rPr>
          <w:b w:val="0"/>
          <w:i w:val="0"/>
        </w:rPr>
        <w:t xml:space="preserve"> </w:t>
      </w:r>
      <w:hyperlink w:anchor="latin-record-0527">
        <w:r>
          <w:rPr>
            <w:color w:val="000000"/>
          </w:rPr>
          <w:t xml:space="preserve">imbuere</w:t>
        </w:r>
      </w:hyperlink>
      <w:r>
        <w:rPr>
          <w:b w:val="0"/>
          <w:i w:val="0"/>
        </w:rPr>
        <w:t>.</w:t>
      </w:r>
    </w:p>
    <w:p>
      <w:pPr>
        <w:widowControl/>
      </w:pPr>
      <w:r>
        <w:rPr>
          <w:b/>
          <w:i w:val="0"/>
        </w:rPr>
        <w:t>imitandum.</w:t>
      </w:r>
      <w:r>
        <w:rPr>
          <w:b w:val="0"/>
          <w:i w:val="0"/>
        </w:rPr>
        <w:t xml:space="preserve"> </w:t>
      </w:r>
      <w:hyperlink w:anchor="latin-record-0530">
        <w:r>
          <w:rPr>
            <w:color w:val="000000"/>
          </w:rPr>
          <w:t xml:space="preserve">imitor / exprimo</w:t>
        </w:r>
      </w:hyperlink>
      <w:r>
        <w:rPr>
          <w:b w:val="0"/>
          <w:i w:val="0"/>
        </w:rPr>
        <w:t>.</w:t>
      </w:r>
    </w:p>
    <w:p>
      <w:pPr>
        <w:widowControl/>
      </w:pPr>
      <w:r>
        <w:rPr>
          <w:b/>
          <w:i w:val="0"/>
        </w:rPr>
        <w:t>imitari.</w:t>
      </w:r>
      <w:r>
        <w:rPr>
          <w:b w:val="0"/>
          <w:i w:val="0"/>
        </w:rPr>
        <w:t xml:space="preserve"> </w:t>
      </w:r>
      <w:hyperlink w:anchor="latin-record-0396">
        <w:r>
          <w:rPr>
            <w:color w:val="000000"/>
          </w:rPr>
          <w:t xml:space="preserve">exemplar / exprimere / imitari</w:t>
        </w:r>
      </w:hyperlink>
      <w:r>
        <w:rPr>
          <w:b w:val="0"/>
          <w:i w:val="0"/>
        </w:rPr>
        <w:t xml:space="preserve">; </w:t>
      </w:r>
      <w:hyperlink w:anchor="latin-record-0528">
        <w:r>
          <w:rPr>
            <w:color w:val="000000"/>
          </w:rPr>
          <w:t xml:space="preserve">imitari / deficere</w:t>
        </w:r>
      </w:hyperlink>
      <w:r>
        <w:rPr>
          <w:b w:val="0"/>
          <w:i w:val="0"/>
        </w:rPr>
        <w:t>.</w:t>
      </w:r>
    </w:p>
    <w:p>
      <w:pPr>
        <w:widowControl/>
      </w:pPr>
      <w:r>
        <w:rPr>
          <w:b/>
          <w:i w:val="0"/>
        </w:rPr>
        <w:t>imitati.</w:t>
      </w:r>
      <w:r>
        <w:rPr>
          <w:b w:val="0"/>
          <w:i w:val="0"/>
        </w:rPr>
        <w:t xml:space="preserve"> </w:t>
      </w:r>
      <w:hyperlink w:anchor="latin-record-0530">
        <w:r>
          <w:rPr>
            <w:color w:val="000000"/>
          </w:rPr>
          <w:t xml:space="preserve">imitor / exprimo</w:t>
        </w:r>
      </w:hyperlink>
      <w:r>
        <w:rPr>
          <w:b w:val="0"/>
          <w:i w:val="0"/>
        </w:rPr>
        <w:t>.</w:t>
      </w:r>
    </w:p>
    <w:p>
      <w:pPr>
        <w:widowControl/>
      </w:pPr>
      <w:r>
        <w:rPr>
          <w:b/>
          <w:i w:val="0"/>
        </w:rPr>
        <w:t>imitatio.</w:t>
      </w:r>
      <w:r>
        <w:rPr>
          <w:b w:val="0"/>
          <w:i w:val="0"/>
        </w:rPr>
        <w:t xml:space="preserve"> </w:t>
      </w:r>
      <w:hyperlink w:anchor="latin-record-0529">
        <w:r>
          <w:rPr>
            <w:color w:val="000000"/>
          </w:rPr>
          <w:t xml:space="preserve">imitatio / imitari</w:t>
        </w:r>
      </w:hyperlink>
      <w:r>
        <w:rPr>
          <w:b w:val="0"/>
          <w:i w:val="0"/>
        </w:rPr>
        <w:t>.</w:t>
      </w:r>
    </w:p>
    <w:p>
      <w:pPr>
        <w:widowControl/>
      </w:pPr>
      <w:r>
        <w:rPr>
          <w:b/>
          <w:i w:val="0"/>
        </w:rPr>
        <w:t>imitetur.</w:t>
      </w:r>
      <w:r>
        <w:rPr>
          <w:b w:val="0"/>
          <w:i w:val="0"/>
        </w:rPr>
        <w:t xml:space="preserve"> </w:t>
      </w:r>
      <w:hyperlink w:anchor="latin-record-0529">
        <w:r>
          <w:rPr>
            <w:color w:val="000000"/>
          </w:rPr>
          <w:t xml:space="preserve">imitatio / imitari</w:t>
        </w:r>
      </w:hyperlink>
      <w:r>
        <w:rPr>
          <w:b w:val="0"/>
          <w:i w:val="0"/>
        </w:rPr>
        <w:t>.</w:t>
      </w:r>
    </w:p>
    <w:p>
      <w:pPr>
        <w:widowControl/>
      </w:pPr>
      <w:r>
        <w:rPr>
          <w:b/>
          <w:i w:val="0"/>
        </w:rPr>
        <w:t>immaterialia.</w:t>
      </w:r>
      <w:r>
        <w:rPr>
          <w:b w:val="0"/>
          <w:i w:val="0"/>
        </w:rPr>
        <w:t xml:space="preserve"> </w:t>
      </w:r>
      <w:hyperlink w:anchor="latin-record-0531">
        <w:r>
          <w:rPr>
            <w:color w:val="000000"/>
          </w:rPr>
          <w:t xml:space="preserve">immaterialis / incorporeus</w:t>
        </w:r>
      </w:hyperlink>
      <w:r>
        <w:rPr>
          <w:b w:val="0"/>
          <w:i w:val="0"/>
        </w:rPr>
        <w:t>.</w:t>
      </w:r>
    </w:p>
    <w:p>
      <w:pPr>
        <w:widowControl/>
      </w:pPr>
      <w:r>
        <w:rPr>
          <w:b/>
          <w:i w:val="0"/>
        </w:rPr>
        <w:t>immensae.</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immensi.</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immensum.</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immixtam.</w:t>
      </w:r>
      <w:r>
        <w:rPr>
          <w:b w:val="0"/>
          <w:i w:val="0"/>
        </w:rPr>
        <w:t xml:space="preserve"> </w:t>
      </w:r>
      <w:hyperlink w:anchor="latin-record-0195">
        <w:r>
          <w:rPr>
            <w:color w:val="000000"/>
          </w:rPr>
          <w:t xml:space="preserve">commiscere / mixtio</w:t>
        </w:r>
      </w:hyperlink>
      <w:r>
        <w:rPr>
          <w:b w:val="0"/>
          <w:i w:val="0"/>
        </w:rPr>
        <w:t>.</w:t>
      </w:r>
    </w:p>
    <w:p>
      <w:pPr>
        <w:widowControl/>
      </w:pPr>
      <w:r>
        <w:rPr>
          <w:b/>
          <w:i w:val="0"/>
        </w:rPr>
        <w:t>immo.</w:t>
      </w:r>
      <w:r>
        <w:rPr>
          <w:b w:val="0"/>
          <w:i w:val="0"/>
        </w:rPr>
        <w:t xml:space="preserve"> </w:t>
      </w:r>
      <w:hyperlink w:anchor="latin-record-0532">
        <w:r>
          <w:rPr>
            <w:color w:val="000000"/>
          </w:rPr>
          <w:t xml:space="preserve">immo / potius / minime</w:t>
        </w:r>
      </w:hyperlink>
      <w:r>
        <w:rPr>
          <w:b w:val="0"/>
          <w:i w:val="0"/>
        </w:rPr>
        <w:t>.</w:t>
      </w:r>
    </w:p>
    <w:p>
      <w:pPr>
        <w:widowControl/>
      </w:pPr>
      <w:r>
        <w:rPr>
          <w:b/>
          <w:i w:val="0"/>
        </w:rPr>
        <w:t>immobile.</w:t>
      </w:r>
      <w:r>
        <w:rPr>
          <w:b w:val="0"/>
          <w:i w:val="0"/>
        </w:rPr>
        <w:t xml:space="preserve"> </w:t>
      </w:r>
      <w:hyperlink w:anchor="latin-record-0533">
        <w:r>
          <w:rPr>
            <w:color w:val="000000"/>
          </w:rPr>
          <w:t xml:space="preserve">immutabilis / immobilis</w:t>
        </w:r>
      </w:hyperlink>
      <w:r>
        <w:rPr>
          <w:b w:val="0"/>
          <w:i w:val="0"/>
        </w:rPr>
        <w:t>.</w:t>
      </w:r>
    </w:p>
    <w:p>
      <w:pPr>
        <w:widowControl/>
      </w:pPr>
      <w:r>
        <w:rPr>
          <w:b/>
          <w:i w:val="0"/>
        </w:rPr>
        <w:t>immobilis.</w:t>
      </w:r>
      <w:r>
        <w:rPr>
          <w:b w:val="0"/>
          <w:i w:val="0"/>
        </w:rPr>
        <w:t xml:space="preserve"> </w:t>
      </w:r>
      <w:hyperlink w:anchor="latin-record-0533">
        <w:r>
          <w:rPr>
            <w:color w:val="000000"/>
          </w:rPr>
          <w:t xml:space="preserve">immutabilis / immobilis</w:t>
        </w:r>
      </w:hyperlink>
      <w:r>
        <w:rPr>
          <w:b w:val="0"/>
          <w:i w:val="0"/>
        </w:rPr>
        <w:t>.</w:t>
      </w:r>
    </w:p>
    <w:p>
      <w:pPr>
        <w:widowControl/>
      </w:pPr>
      <w:r>
        <w:rPr>
          <w:b/>
          <w:i w:val="0"/>
        </w:rPr>
        <w:t>immobilis multitudo.</w:t>
      </w:r>
      <w:r>
        <w:rPr>
          <w:b w:val="0"/>
          <w:i w:val="0"/>
        </w:rPr>
        <w:t xml:space="preserve"> </w:t>
      </w:r>
      <w:hyperlink w:anchor="latin-record-0705">
        <w:r>
          <w:rPr>
            <w:color w:val="000000"/>
          </w:rPr>
          <w:t xml:space="preserve">mobilis multitudo / immobilis multitudo</w:t>
        </w:r>
      </w:hyperlink>
      <w:r>
        <w:rPr>
          <w:b w:val="0"/>
          <w:i w:val="0"/>
        </w:rPr>
        <w:t>.</w:t>
      </w:r>
    </w:p>
    <w:p>
      <w:pPr>
        <w:widowControl/>
      </w:pPr>
      <w:r>
        <w:rPr>
          <w:b/>
          <w:i w:val="0"/>
        </w:rPr>
        <w:t>immortalis.</w:t>
      </w:r>
      <w:r>
        <w:rPr>
          <w:b w:val="0"/>
          <w:i w:val="0"/>
        </w:rPr>
        <w:t xml:space="preserve"> </w:t>
      </w:r>
      <w:hyperlink w:anchor="latin-record-0718">
        <w:r>
          <w:rPr>
            <w:color w:val="000000"/>
          </w:rPr>
          <w:t xml:space="preserve">mortalis / immortalis</w:t>
        </w:r>
      </w:hyperlink>
      <w:r>
        <w:rPr>
          <w:b w:val="0"/>
          <w:i w:val="0"/>
        </w:rPr>
        <w:t>.</w:t>
      </w:r>
    </w:p>
    <w:p>
      <w:pPr>
        <w:widowControl/>
      </w:pPr>
      <w:r>
        <w:rPr>
          <w:b/>
          <w:i w:val="0"/>
        </w:rPr>
        <w:t>immortalitatem.</w:t>
      </w:r>
      <w:r>
        <w:rPr>
          <w:b w:val="0"/>
          <w:i w:val="0"/>
        </w:rPr>
        <w:t xml:space="preserve"> </w:t>
      </w:r>
      <w:hyperlink w:anchor="latin-record-0718">
        <w:r>
          <w:rPr>
            <w:color w:val="000000"/>
          </w:rPr>
          <w:t xml:space="preserve">mortalis / immortalis</w:t>
        </w:r>
      </w:hyperlink>
      <w:r>
        <w:rPr>
          <w:b w:val="0"/>
          <w:i w:val="0"/>
        </w:rPr>
        <w:t>.</w:t>
      </w:r>
    </w:p>
    <w:p>
      <w:pPr>
        <w:widowControl/>
      </w:pPr>
      <w:r>
        <w:rPr>
          <w:b/>
          <w:i w:val="0"/>
        </w:rPr>
        <w:t>immutabilis.</w:t>
      </w:r>
      <w:r>
        <w:rPr>
          <w:b w:val="0"/>
          <w:i w:val="0"/>
        </w:rPr>
        <w:t xml:space="preserve"> </w:t>
      </w:r>
      <w:hyperlink w:anchor="latin-record-0533">
        <w:r>
          <w:rPr>
            <w:color w:val="000000"/>
          </w:rPr>
          <w:t xml:space="preserve">immutabilis / immobilis</w:t>
        </w:r>
      </w:hyperlink>
      <w:r>
        <w:rPr>
          <w:b w:val="0"/>
          <w:i w:val="0"/>
        </w:rPr>
        <w:t>.</w:t>
      </w:r>
    </w:p>
    <w:p>
      <w:pPr>
        <w:widowControl/>
      </w:pPr>
      <w:r>
        <w:rPr>
          <w:b/>
          <w:i w:val="0"/>
        </w:rPr>
        <w:t>impar.</w:t>
      </w:r>
      <w:r>
        <w:rPr>
          <w:b w:val="0"/>
          <w:i w:val="0"/>
        </w:rPr>
        <w:t xml:space="preserve"> </w:t>
      </w:r>
      <w:hyperlink w:anchor="latin-record-0515">
        <w:r>
          <w:rPr>
            <w:color w:val="000000"/>
          </w:rPr>
          <w:t xml:space="preserve">hora / par / impar</w:t>
        </w:r>
      </w:hyperlink>
      <w:r>
        <w:rPr>
          <w:b w:val="0"/>
          <w:i w:val="0"/>
        </w:rPr>
        <w:t>.</w:t>
      </w:r>
    </w:p>
    <w:p>
      <w:pPr>
        <w:widowControl/>
      </w:pPr>
      <w:r>
        <w:rPr>
          <w:b/>
          <w:i w:val="0"/>
        </w:rPr>
        <w:t>impartit.</w:t>
      </w:r>
      <w:r>
        <w:rPr>
          <w:b w:val="0"/>
          <w:i w:val="0"/>
        </w:rPr>
        <w:t xml:space="preserve"> </w:t>
      </w:r>
      <w:hyperlink w:anchor="latin-record-0540">
        <w:r>
          <w:rPr>
            <w:color w:val="000000"/>
          </w:rPr>
          <w:t xml:space="preserve">impertire / impartire / largiri</w:t>
        </w:r>
      </w:hyperlink>
      <w:r>
        <w:rPr>
          <w:b w:val="0"/>
          <w:i w:val="0"/>
        </w:rPr>
        <w:t>.</w:t>
      </w:r>
    </w:p>
    <w:p>
      <w:pPr>
        <w:widowControl/>
      </w:pPr>
      <w:r>
        <w:rPr>
          <w:b/>
          <w:i w:val="0"/>
        </w:rPr>
        <w:t>impediat.</w:t>
      </w:r>
      <w:r>
        <w:rPr>
          <w:b w:val="0"/>
          <w:i w:val="0"/>
        </w:rPr>
        <w:t xml:space="preserve"> </w:t>
      </w:r>
      <w:hyperlink w:anchor="latin-record-0535">
        <w:r>
          <w:rPr>
            <w:color w:val="000000"/>
          </w:rPr>
          <w:t xml:space="preserve">impedire / obesse</w:t>
        </w:r>
      </w:hyperlink>
      <w:r>
        <w:rPr>
          <w:b w:val="0"/>
          <w:i w:val="0"/>
        </w:rPr>
        <w:t>.</w:t>
      </w:r>
    </w:p>
    <w:p>
      <w:pPr>
        <w:widowControl/>
      </w:pPr>
      <w:r>
        <w:rPr>
          <w:b/>
          <w:i w:val="0"/>
        </w:rPr>
        <w:t>impedimento.</w:t>
      </w:r>
      <w:r>
        <w:rPr>
          <w:b w:val="0"/>
          <w:i w:val="0"/>
        </w:rPr>
        <w:t xml:space="preserve"> </w:t>
      </w:r>
      <w:hyperlink w:anchor="latin-record-0534">
        <w:r>
          <w:rPr>
            <w:color w:val="000000"/>
          </w:rPr>
          <w:t xml:space="preserve">impedimentum / impedio</w:t>
        </w:r>
      </w:hyperlink>
      <w:r>
        <w:rPr>
          <w:b w:val="0"/>
          <w:i w:val="0"/>
        </w:rPr>
        <w:t>.</w:t>
      </w:r>
    </w:p>
    <w:p>
      <w:pPr>
        <w:widowControl/>
      </w:pPr>
      <w:r>
        <w:rPr>
          <w:b/>
          <w:i w:val="0"/>
        </w:rPr>
        <w:t>impedit.</w:t>
      </w:r>
      <w:r>
        <w:rPr>
          <w:b w:val="0"/>
          <w:i w:val="0"/>
        </w:rPr>
        <w:t xml:space="preserve"> </w:t>
      </w:r>
      <w:hyperlink w:anchor="latin-record-0534">
        <w:r>
          <w:rPr>
            <w:color w:val="000000"/>
          </w:rPr>
          <w:t xml:space="preserve">impedimentum / impedio</w:t>
        </w:r>
      </w:hyperlink>
      <w:r>
        <w:rPr>
          <w:b w:val="0"/>
          <w:i w:val="0"/>
        </w:rPr>
        <w:t xml:space="preserve">; </w:t>
      </w:r>
      <w:hyperlink w:anchor="latin-record-0535">
        <w:r>
          <w:rPr>
            <w:color w:val="000000"/>
          </w:rPr>
          <w:t xml:space="preserve">impedire / obesse</w:t>
        </w:r>
      </w:hyperlink>
      <w:r>
        <w:rPr>
          <w:b w:val="0"/>
          <w:i w:val="0"/>
        </w:rPr>
        <w:t>.</w:t>
      </w:r>
    </w:p>
    <w:p>
      <w:pPr>
        <w:widowControl/>
      </w:pPr>
      <w:r>
        <w:rPr>
          <w:b/>
          <w:i w:val="0"/>
        </w:rPr>
        <w:t>impedita.</w:t>
      </w:r>
      <w:r>
        <w:rPr>
          <w:b w:val="0"/>
          <w:i w:val="0"/>
        </w:rPr>
        <w:t xml:space="preserve"> </w:t>
      </w:r>
      <w:hyperlink w:anchor="latin-record-0534">
        <w:r>
          <w:rPr>
            <w:color w:val="000000"/>
          </w:rPr>
          <w:t xml:space="preserve">impedimentum / impedio</w:t>
        </w:r>
      </w:hyperlink>
      <w:r>
        <w:rPr>
          <w:b w:val="0"/>
          <w:i w:val="0"/>
        </w:rPr>
        <w:t>.</w:t>
      </w:r>
    </w:p>
    <w:p>
      <w:pPr>
        <w:widowControl/>
      </w:pPr>
      <w:r>
        <w:rPr>
          <w:b/>
          <w:i w:val="0"/>
        </w:rPr>
        <w:t>impeditur.</w:t>
      </w:r>
      <w:r>
        <w:rPr>
          <w:b w:val="0"/>
          <w:i w:val="0"/>
        </w:rPr>
        <w:t xml:space="preserve"> </w:t>
      </w:r>
      <w:hyperlink w:anchor="latin-record-0536">
        <w:r>
          <w:rPr>
            <w:color w:val="000000"/>
          </w:rPr>
          <w:t xml:space="preserve">impedire / purgare</w:t>
        </w:r>
      </w:hyperlink>
      <w:r>
        <w:rPr>
          <w:b w:val="0"/>
          <w:i w:val="0"/>
        </w:rPr>
        <w:t>.</w:t>
      </w:r>
    </w:p>
    <w:p>
      <w:pPr>
        <w:widowControl/>
      </w:pPr>
      <w:r>
        <w:rPr>
          <w:b/>
          <w:i w:val="0"/>
        </w:rPr>
        <w:t>impellit.</w:t>
      </w:r>
      <w:r>
        <w:rPr>
          <w:b w:val="0"/>
          <w:i w:val="0"/>
        </w:rPr>
        <w:t xml:space="preserve"> </w:t>
      </w:r>
      <w:hyperlink w:anchor="latin-record-0537">
        <w:r>
          <w:rPr>
            <w:color w:val="000000"/>
          </w:rPr>
          <w:t xml:space="preserve">impellere / inferre</w:t>
        </w:r>
      </w:hyperlink>
      <w:r>
        <w:rPr>
          <w:b w:val="0"/>
          <w:i w:val="0"/>
        </w:rPr>
        <w:t>.</w:t>
      </w:r>
    </w:p>
    <w:p>
      <w:pPr>
        <w:widowControl/>
      </w:pPr>
      <w:r>
        <w:rPr>
          <w:b/>
          <w:i w:val="0"/>
        </w:rPr>
        <w:t>imperat.</w:t>
      </w:r>
      <w:r>
        <w:rPr>
          <w:b w:val="0"/>
          <w:i w:val="0"/>
        </w:rPr>
        <w:t xml:space="preserve"> </w:t>
      </w:r>
      <w:hyperlink w:anchor="latin-record-0539">
        <w:r>
          <w:rPr>
            <w:color w:val="000000"/>
          </w:rPr>
          <w:t xml:space="preserve">impero / domina</w:t>
        </w:r>
      </w:hyperlink>
      <w:r>
        <w:rPr>
          <w:b w:val="0"/>
          <w:i w:val="0"/>
        </w:rPr>
        <w:t>.</w:t>
      </w:r>
    </w:p>
    <w:p>
      <w:pPr>
        <w:widowControl/>
      </w:pPr>
      <w:r>
        <w:rPr>
          <w:b/>
          <w:i w:val="0"/>
        </w:rPr>
        <w:t>imperii.</w:t>
      </w:r>
      <w:r>
        <w:rPr>
          <w:b w:val="0"/>
          <w:i w:val="0"/>
        </w:rPr>
        <w:t xml:space="preserve"> </w:t>
      </w:r>
      <w:hyperlink w:anchor="latin-record-0538">
        <w:r>
          <w:rPr>
            <w:color w:val="000000"/>
          </w:rPr>
          <w:t xml:space="preserve">imperium</w:t>
        </w:r>
      </w:hyperlink>
      <w:r>
        <w:rPr>
          <w:b w:val="0"/>
          <w:i w:val="0"/>
        </w:rPr>
        <w:t>.</w:t>
      </w:r>
    </w:p>
    <w:p>
      <w:pPr>
        <w:widowControl/>
      </w:pPr>
      <w:r>
        <w:rPr>
          <w:b/>
          <w:i w:val="0"/>
        </w:rPr>
        <w:t>imperio.</w:t>
      </w:r>
      <w:r>
        <w:rPr>
          <w:b w:val="0"/>
          <w:i w:val="0"/>
        </w:rPr>
        <w:t xml:space="preserve"> </w:t>
      </w:r>
      <w:hyperlink w:anchor="latin-record-0538">
        <w:r>
          <w:rPr>
            <w:color w:val="000000"/>
          </w:rPr>
          <w:t xml:space="preserve">imperium</w:t>
        </w:r>
      </w:hyperlink>
      <w:r>
        <w:rPr>
          <w:b w:val="0"/>
          <w:i w:val="0"/>
        </w:rPr>
        <w:t>.</w:t>
      </w:r>
    </w:p>
    <w:p>
      <w:pPr>
        <w:widowControl/>
      </w:pPr>
      <w:r>
        <w:rPr>
          <w:b/>
          <w:i w:val="0"/>
        </w:rPr>
        <w:t>imperium.</w:t>
      </w:r>
      <w:r>
        <w:rPr>
          <w:b w:val="0"/>
          <w:i w:val="0"/>
        </w:rPr>
        <w:t xml:space="preserve"> </w:t>
      </w:r>
      <w:hyperlink w:anchor="latin-record-0538">
        <w:r>
          <w:rPr>
            <w:color w:val="000000"/>
          </w:rPr>
          <w:t xml:space="preserve">imperium</w:t>
        </w:r>
      </w:hyperlink>
      <w:r>
        <w:rPr>
          <w:b w:val="0"/>
          <w:i w:val="0"/>
        </w:rPr>
        <w:t>.</w:t>
      </w:r>
    </w:p>
    <w:p>
      <w:pPr>
        <w:widowControl/>
      </w:pPr>
      <w:r>
        <w:rPr>
          <w:b/>
          <w:i w:val="0"/>
        </w:rPr>
        <w:t>impertiet.</w:t>
      </w:r>
      <w:r>
        <w:rPr>
          <w:b w:val="0"/>
          <w:i w:val="0"/>
        </w:rPr>
        <w:t xml:space="preserve"> </w:t>
      </w:r>
      <w:hyperlink w:anchor="latin-record-0540">
        <w:r>
          <w:rPr>
            <w:color w:val="000000"/>
          </w:rPr>
          <w:t xml:space="preserve">impertire / impartire / largiri</w:t>
        </w:r>
      </w:hyperlink>
      <w:r>
        <w:rPr>
          <w:b w:val="0"/>
          <w:i w:val="0"/>
        </w:rPr>
        <w:t>.</w:t>
      </w:r>
    </w:p>
    <w:p>
      <w:pPr>
        <w:widowControl/>
      </w:pPr>
      <w:r>
        <w:rPr>
          <w:b/>
          <w:i w:val="0"/>
        </w:rPr>
        <w:t>impertit.</w:t>
      </w:r>
      <w:r>
        <w:rPr>
          <w:b w:val="0"/>
          <w:i w:val="0"/>
        </w:rPr>
        <w:t xml:space="preserve"> </w:t>
      </w:r>
      <w:hyperlink w:anchor="latin-record-0540">
        <w:r>
          <w:rPr>
            <w:color w:val="000000"/>
          </w:rPr>
          <w:t xml:space="preserve">impertire / impartire / largiri</w:t>
        </w:r>
      </w:hyperlink>
      <w:r>
        <w:rPr>
          <w:b w:val="0"/>
          <w:i w:val="0"/>
        </w:rPr>
        <w:t>.</w:t>
      </w:r>
    </w:p>
    <w:p>
      <w:pPr>
        <w:widowControl/>
      </w:pPr>
      <w:r>
        <w:rPr>
          <w:b/>
          <w:i w:val="0"/>
        </w:rPr>
        <w:t>impetu.</w:t>
      </w:r>
      <w:r>
        <w:rPr>
          <w:b w:val="0"/>
          <w:i w:val="0"/>
        </w:rPr>
        <w:t xml:space="preserve"> </w:t>
      </w:r>
      <w:hyperlink w:anchor="latin-record-0541">
        <w:r>
          <w:rPr>
            <w:color w:val="000000"/>
          </w:rPr>
          <w:t xml:space="preserve">impetus</w:t>
        </w:r>
      </w:hyperlink>
      <w:r>
        <w:rPr>
          <w:b w:val="0"/>
          <w:i w:val="0"/>
        </w:rPr>
        <w:t>.</w:t>
      </w:r>
    </w:p>
    <w:p>
      <w:pPr>
        <w:widowControl/>
      </w:pPr>
      <w:r>
        <w:rPr>
          <w:b/>
          <w:i w:val="0"/>
        </w:rPr>
        <w:t>impie.</w:t>
      </w:r>
      <w:r>
        <w:rPr>
          <w:b w:val="0"/>
          <w:i w:val="0"/>
        </w:rPr>
        <w:t xml:space="preserve"> </w:t>
      </w:r>
      <w:hyperlink w:anchor="latin-record-0375">
        <w:r>
          <w:rPr>
            <w:color w:val="000000"/>
          </w:rPr>
          <w:t xml:space="preserve">error / impius / profanus</w:t>
        </w:r>
      </w:hyperlink>
      <w:r>
        <w:rPr>
          <w:b w:val="0"/>
          <w:i w:val="0"/>
        </w:rPr>
        <w:t>.</w:t>
      </w:r>
    </w:p>
    <w:p>
      <w:pPr>
        <w:widowControl/>
      </w:pPr>
      <w:r>
        <w:rPr>
          <w:b/>
          <w:i w:val="0"/>
        </w:rPr>
        <w:t>impius.</w:t>
      </w:r>
      <w:r>
        <w:rPr>
          <w:b w:val="0"/>
          <w:i w:val="0"/>
        </w:rPr>
        <w:t xml:space="preserve"> </w:t>
      </w:r>
      <w:hyperlink w:anchor="latin-record-0375">
        <w:r>
          <w:rPr>
            <w:color w:val="000000"/>
          </w:rPr>
          <w:t xml:space="preserve">error / impius / profanus</w:t>
        </w:r>
      </w:hyperlink>
      <w:r>
        <w:rPr>
          <w:b w:val="0"/>
          <w:i w:val="0"/>
        </w:rPr>
        <w:t>.</w:t>
      </w:r>
    </w:p>
    <w:p>
      <w:pPr>
        <w:widowControl/>
      </w:pPr>
      <w:r>
        <w:rPr>
          <w:b/>
          <w:i w:val="0"/>
        </w:rPr>
        <w:t>impleat.</w:t>
      </w:r>
      <w:r>
        <w:rPr>
          <w:b w:val="0"/>
          <w:i w:val="0"/>
        </w:rPr>
        <w:t xml:space="preserve"> </w:t>
      </w:r>
      <w:hyperlink w:anchor="latin-record-0063">
        <w:r>
          <w:rPr>
            <w:color w:val="000000"/>
          </w:rPr>
          <w:t xml:space="preserve">amplitudo / plenitudo / implere</w:t>
        </w:r>
      </w:hyperlink>
      <w:r>
        <w:rPr>
          <w:b w:val="0"/>
          <w:i w:val="0"/>
        </w:rPr>
        <w:t xml:space="preserve">; </w:t>
      </w:r>
      <w:hyperlink w:anchor="latin-record-0542">
        <w:r>
          <w:rPr>
            <w:color w:val="000000"/>
          </w:rPr>
          <w:t xml:space="preserve">impleo / prohibeo</w:t>
        </w:r>
      </w:hyperlink>
      <w:r>
        <w:rPr>
          <w:b w:val="0"/>
          <w:i w:val="0"/>
        </w:rPr>
        <w:t>.</w:t>
      </w:r>
    </w:p>
    <w:p>
      <w:pPr>
        <w:widowControl/>
      </w:pPr>
      <w:r>
        <w:rPr>
          <w:b/>
          <w:i w:val="0"/>
        </w:rPr>
        <w:t>implere.</w:t>
      </w:r>
      <w:r>
        <w:rPr>
          <w:b w:val="0"/>
          <w:i w:val="0"/>
        </w:rPr>
        <w:t xml:space="preserve"> </w:t>
      </w:r>
      <w:hyperlink w:anchor="latin-record-0063">
        <w:r>
          <w:rPr>
            <w:color w:val="000000"/>
          </w:rPr>
          <w:t xml:space="preserve">amplitudo / plenitudo / implere</w:t>
        </w:r>
      </w:hyperlink>
      <w:r>
        <w:rPr>
          <w:b w:val="0"/>
          <w:i w:val="0"/>
        </w:rPr>
        <w:t>.</w:t>
      </w:r>
    </w:p>
    <w:p>
      <w:pPr>
        <w:widowControl/>
      </w:pPr>
      <w:r>
        <w:rPr>
          <w:b/>
          <w:i w:val="0"/>
        </w:rPr>
        <w:t>impletur.</w:t>
      </w:r>
      <w:r>
        <w:rPr>
          <w:b w:val="0"/>
          <w:i w:val="0"/>
        </w:rPr>
        <w:t xml:space="preserve"> </w:t>
      </w:r>
      <w:hyperlink w:anchor="latin-record-0509">
        <w:r>
          <w:rPr>
            <w:color w:val="000000"/>
          </w:rPr>
          <w:t xml:space="preserve">haurire / implere</w:t>
        </w:r>
      </w:hyperlink>
      <w:r>
        <w:rPr>
          <w:b w:val="0"/>
          <w:i w:val="0"/>
        </w:rPr>
        <w:t>.</w:t>
      </w:r>
    </w:p>
    <w:p>
      <w:pPr>
        <w:widowControl/>
      </w:pPr>
      <w:r>
        <w:rPr>
          <w:b/>
          <w:i w:val="0"/>
        </w:rPr>
        <w:t>implicat.</w:t>
      </w:r>
      <w:r>
        <w:rPr>
          <w:b w:val="0"/>
          <w:i w:val="0"/>
        </w:rPr>
        <w:t xml:space="preserve"> </w:t>
      </w:r>
      <w:hyperlink w:anchor="latin-record-0543">
        <w:r>
          <w:rPr>
            <w:color w:val="000000"/>
          </w:rPr>
          <w:t xml:space="preserve">implicare / explicare / replicare</w:t>
        </w:r>
      </w:hyperlink>
      <w:r>
        <w:rPr>
          <w:b w:val="0"/>
          <w:i w:val="0"/>
        </w:rPr>
        <w:t>.</w:t>
      </w:r>
    </w:p>
    <w:p>
      <w:pPr>
        <w:widowControl/>
      </w:pPr>
      <w:r>
        <w:rPr>
          <w:b/>
          <w:i w:val="0"/>
        </w:rPr>
        <w:t>imprimatur.</w:t>
      </w:r>
      <w:r>
        <w:rPr>
          <w:b w:val="0"/>
          <w:i w:val="0"/>
        </w:rPr>
        <w:t xml:space="preserve"> </w:t>
      </w:r>
      <w:hyperlink w:anchor="latin-record-0544">
        <w:r>
          <w:rPr>
            <w:color w:val="000000"/>
          </w:rPr>
          <w:t xml:space="preserve">imprimere / fundare / stabilire</w:t>
        </w:r>
      </w:hyperlink>
      <w:r>
        <w:rPr>
          <w:b w:val="0"/>
          <w:i w:val="0"/>
        </w:rPr>
        <w:t>.</w:t>
      </w:r>
    </w:p>
    <w:p>
      <w:pPr>
        <w:widowControl/>
      </w:pPr>
      <w:r>
        <w:rPr>
          <w:b/>
          <w:i w:val="0"/>
        </w:rPr>
        <w:t>imprimitur.</w:t>
      </w:r>
      <w:r>
        <w:rPr>
          <w:b w:val="0"/>
          <w:i w:val="0"/>
        </w:rPr>
        <w:t xml:space="preserve"> </w:t>
      </w:r>
      <w:hyperlink w:anchor="latin-record-0544">
        <w:r>
          <w:rPr>
            <w:color w:val="000000"/>
          </w:rPr>
          <w:t xml:space="preserve">imprimere / fundare / stabilire</w:t>
        </w:r>
      </w:hyperlink>
      <w:r>
        <w:rPr>
          <w:b w:val="0"/>
          <w:i w:val="0"/>
        </w:rPr>
        <w:t>.</w:t>
      </w:r>
    </w:p>
    <w:p>
      <w:pPr>
        <w:widowControl/>
      </w:pPr>
      <w:r>
        <w:rPr>
          <w:b/>
          <w:i w:val="0"/>
        </w:rPr>
        <w:t>impulsu.</w:t>
      </w:r>
      <w:r>
        <w:rPr>
          <w:b w:val="0"/>
          <w:i w:val="0"/>
        </w:rPr>
        <w:t xml:space="preserve"> </w:t>
      </w:r>
      <w:hyperlink w:anchor="latin-record-0545">
        <w:r>
          <w:rPr>
            <w:color w:val="000000"/>
          </w:rPr>
          <w:t xml:space="preserve">impulsus / incitamentum</w:t>
        </w:r>
      </w:hyperlink>
      <w:r>
        <w:rPr>
          <w:b w:val="0"/>
          <w:i w:val="0"/>
        </w:rPr>
        <w:t xml:space="preserve">; </w:t>
      </w:r>
      <w:hyperlink w:anchor="latin-record-0546">
        <w:r>
          <w:rPr>
            <w:color w:val="000000"/>
          </w:rPr>
          <w:t xml:space="preserve">impulsus / sua sponte</w:t>
        </w:r>
      </w:hyperlink>
      <w:r>
        <w:rPr>
          <w:b w:val="0"/>
          <w:i w:val="0"/>
        </w:rPr>
        <w:t>.</w:t>
      </w:r>
    </w:p>
    <w:p>
      <w:pPr>
        <w:widowControl/>
      </w:pPr>
      <w:r>
        <w:rPr>
          <w:b/>
          <w:i w:val="0"/>
        </w:rPr>
        <w:t>in.</w:t>
      </w:r>
      <w:r>
        <w:rPr>
          <w:b w:val="0"/>
          <w:i w:val="0"/>
        </w:rPr>
        <w:t xml:space="preserve"> </w:t>
      </w:r>
      <w:hyperlink w:anchor="latin-record-0391">
        <w:r>
          <w:rPr>
            <w:color w:val="000000"/>
          </w:rPr>
          <w:t xml:space="preserve">ex / per / in causal uses</w:t>
        </w:r>
      </w:hyperlink>
      <w:r>
        <w:rPr>
          <w:b w:val="0"/>
          <w:i w:val="0"/>
        </w:rPr>
        <w:t>.</w:t>
      </w:r>
    </w:p>
    <w:p>
      <w:pPr>
        <w:widowControl/>
      </w:pPr>
      <w:r>
        <w:rPr>
          <w:b/>
          <w:i w:val="0"/>
        </w:rPr>
        <w:t>in actum perduci.</w:t>
      </w:r>
      <w:r>
        <w:rPr>
          <w:b w:val="0"/>
          <w:i w:val="0"/>
        </w:rPr>
        <w:t xml:space="preserve"> </w:t>
      </w:r>
      <w:hyperlink w:anchor="latin-record-0855">
        <w:r>
          <w:rPr>
            <w:color w:val="000000"/>
          </w:rPr>
          <w:t xml:space="preserve">perducere in actum</w:t>
        </w:r>
      </w:hyperlink>
      <w:r>
        <w:rPr>
          <w:b w:val="0"/>
          <w:i w:val="0"/>
        </w:rPr>
        <w:t>.</w:t>
      </w:r>
    </w:p>
    <w:p>
      <w:pPr>
        <w:widowControl/>
      </w:pPr>
      <w:r>
        <w:rPr>
          <w:b/>
          <w:i w:val="0"/>
        </w:rPr>
        <w:t>in agente manent.</w:t>
      </w:r>
      <w:r>
        <w:rPr>
          <w:b w:val="0"/>
          <w:i w:val="0"/>
        </w:rPr>
        <w:t xml:space="preserve"> </w:t>
      </w:r>
      <w:hyperlink w:anchor="latin-record-0671">
        <w:r>
          <w:rPr>
            <w:color w:val="000000"/>
          </w:rPr>
          <w:t xml:space="preserve">manere in agente</w:t>
        </w:r>
      </w:hyperlink>
      <w:r>
        <w:rPr>
          <w:b w:val="0"/>
          <w:i w:val="0"/>
        </w:rPr>
        <w:t>.</w:t>
      </w:r>
    </w:p>
    <w:p>
      <w:pPr>
        <w:widowControl/>
      </w:pPr>
      <w:r>
        <w:rPr>
          <w:b/>
          <w:i w:val="0"/>
        </w:rPr>
        <w:t>in angustum.</w:t>
      </w:r>
      <w:r>
        <w:rPr>
          <w:b w:val="0"/>
          <w:i w:val="0"/>
        </w:rPr>
        <w:t xml:space="preserve"> </w:t>
      </w:r>
      <w:hyperlink w:anchor="latin-record-0547">
        <w:r>
          <w:rPr>
            <w:color w:val="000000"/>
          </w:rPr>
          <w:t xml:space="preserve">in angustum / ad punctum</w:t>
        </w:r>
      </w:hyperlink>
      <w:r>
        <w:rPr>
          <w:b w:val="0"/>
          <w:i w:val="0"/>
        </w:rPr>
        <w:t>.</w:t>
      </w:r>
    </w:p>
    <w:p>
      <w:pPr>
        <w:widowControl/>
      </w:pPr>
      <w:r>
        <w:rPr>
          <w:b/>
          <w:i w:val="0"/>
        </w:rPr>
        <w:t>in aquae summo.</w:t>
      </w:r>
      <w:r>
        <w:rPr>
          <w:b w:val="0"/>
          <w:i w:val="0"/>
        </w:rPr>
        <w:t xml:space="preserve"> </w:t>
      </w:r>
      <w:hyperlink w:anchor="latin-record-1237">
        <w:r>
          <w:rPr>
            <w:color w:val="000000"/>
          </w:rPr>
          <w:t xml:space="preserve">vas / aquae summum</w:t>
        </w:r>
      </w:hyperlink>
      <w:r>
        <w:rPr>
          <w:b w:val="0"/>
          <w:i w:val="0"/>
        </w:rPr>
        <w:t>.</w:t>
      </w:r>
    </w:p>
    <w:p>
      <w:pPr>
        <w:widowControl/>
      </w:pPr>
      <w:r>
        <w:rPr>
          <w:b/>
          <w:i w:val="0"/>
        </w:rPr>
        <w:t>in corporalibus rerum speciebus rationibusque.</w:t>
      </w:r>
      <w:r>
        <w:rPr>
          <w:b w:val="0"/>
          <w:i w:val="0"/>
        </w:rPr>
        <w:t xml:space="preserve"> </w:t>
      </w:r>
      <w:hyperlink w:anchor="latin-record-0548">
        <w:r>
          <w:rPr>
            <w:color w:val="000000"/>
          </w:rPr>
          <w:t xml:space="preserve">in corporalibus rerum speciebus rationibusque</w:t>
        </w:r>
      </w:hyperlink>
      <w:r>
        <w:rPr>
          <w:b w:val="0"/>
          <w:i w:val="0"/>
        </w:rPr>
        <w:t>.</w:t>
      </w:r>
    </w:p>
    <w:p>
      <w:pPr>
        <w:widowControl/>
      </w:pPr>
      <w:r>
        <w:rPr>
          <w:b/>
          <w:i w:val="0"/>
        </w:rPr>
        <w:t>in infinitum progressio.</w:t>
      </w:r>
      <w:r>
        <w:rPr>
          <w:b w:val="0"/>
          <w:i w:val="0"/>
        </w:rPr>
        <w:t xml:space="preserve"> </w:t>
      </w:r>
      <w:hyperlink w:anchor="latin-record-0947">
        <w:r>
          <w:rPr>
            <w:color w:val="000000"/>
          </w:rPr>
          <w:t xml:space="preserve">progressio in infinitum</w:t>
        </w:r>
      </w:hyperlink>
      <w:r>
        <w:rPr>
          <w:b w:val="0"/>
          <w:i w:val="0"/>
        </w:rPr>
        <w:t>.</w:t>
      </w:r>
    </w:p>
    <w:p>
      <w:pPr>
        <w:widowControl/>
      </w:pPr>
      <w:r>
        <w:rPr>
          <w:b/>
          <w:i w:val="0"/>
        </w:rPr>
        <w:t>in infinitum vagabimur.</w:t>
      </w:r>
      <w:r>
        <w:rPr>
          <w:b w:val="0"/>
          <w:i w:val="0"/>
        </w:rPr>
        <w:t xml:space="preserve"> </w:t>
      </w:r>
      <w:hyperlink w:anchor="latin-record-0549">
        <w:r>
          <w:rPr>
            <w:color w:val="000000"/>
          </w:rPr>
          <w:t xml:space="preserve">in infinitum vagari / circulo revolvi</w:t>
        </w:r>
      </w:hyperlink>
      <w:r>
        <w:rPr>
          <w:b w:val="0"/>
          <w:i w:val="0"/>
        </w:rPr>
        <w:t>.</w:t>
      </w:r>
    </w:p>
    <w:p>
      <w:pPr>
        <w:widowControl/>
      </w:pPr>
      <w:r>
        <w:rPr>
          <w:b/>
          <w:i w:val="0"/>
        </w:rPr>
        <w:t>in nihilum ruituras.</w:t>
      </w:r>
      <w:r>
        <w:rPr>
          <w:b w:val="0"/>
          <w:i w:val="0"/>
        </w:rPr>
        <w:t xml:space="preserve"> </w:t>
      </w:r>
      <w:hyperlink w:anchor="latin-record-1066">
        <w:r>
          <w:rPr>
            <w:color w:val="000000"/>
          </w:rPr>
          <w:t xml:space="preserve">ruere in nihilum</w:t>
        </w:r>
      </w:hyperlink>
      <w:r>
        <w:rPr>
          <w:b w:val="0"/>
          <w:i w:val="0"/>
        </w:rPr>
        <w:t>.</w:t>
      </w:r>
    </w:p>
    <w:p>
      <w:pPr>
        <w:widowControl/>
      </w:pPr>
      <w:r>
        <w:rPr>
          <w:b/>
          <w:i w:val="0"/>
        </w:rPr>
        <w:t>in torrente.</w:t>
      </w:r>
      <w:r>
        <w:rPr>
          <w:b w:val="0"/>
          <w:i w:val="0"/>
        </w:rPr>
        <w:t xml:space="preserve"> </w:t>
      </w:r>
      <w:hyperlink w:anchor="latin-record-1218">
        <w:r>
          <w:rPr>
            <w:color w:val="000000"/>
          </w:rPr>
          <w:t xml:space="preserve">umbra arborum in torrente</w:t>
        </w:r>
      </w:hyperlink>
      <w:r>
        <w:rPr>
          <w:b w:val="0"/>
          <w:i w:val="0"/>
        </w:rPr>
        <w:t>.</w:t>
      </w:r>
    </w:p>
    <w:p>
      <w:pPr>
        <w:widowControl/>
      </w:pPr>
      <w:r>
        <w:rPr>
          <w:b/>
          <w:i w:val="0"/>
        </w:rPr>
        <w:t>inane.</w:t>
      </w:r>
      <w:r>
        <w:rPr>
          <w:b w:val="0"/>
          <w:i w:val="0"/>
        </w:rPr>
        <w:t xml:space="preserve"> </w:t>
      </w:r>
      <w:hyperlink w:anchor="latin-record-0550">
        <w:r>
          <w:rPr>
            <w:color w:val="000000"/>
          </w:rPr>
          <w:t xml:space="preserve">inane</w:t>
        </w:r>
      </w:hyperlink>
      <w:r>
        <w:rPr>
          <w:b w:val="0"/>
          <w:i w:val="0"/>
        </w:rPr>
        <w:t xml:space="preserve">; </w:t>
      </w:r>
      <w:hyperlink w:anchor="latin-record-0746">
        <w:r>
          <w:rPr>
            <w:color w:val="000000"/>
          </w:rPr>
          <w:t xml:space="preserve">ne frustra / ne inane</w:t>
        </w:r>
      </w:hyperlink>
      <w:r>
        <w:rPr>
          <w:b w:val="0"/>
          <w:i w:val="0"/>
        </w:rPr>
        <w:t>.</w:t>
      </w:r>
    </w:p>
    <w:p>
      <w:pPr>
        <w:widowControl/>
      </w:pPr>
      <w:r>
        <w:rPr>
          <w:b/>
          <w:i w:val="0"/>
        </w:rPr>
        <w:t>incepisse.</w:t>
      </w:r>
      <w:r>
        <w:rPr>
          <w:b w:val="0"/>
          <w:i w:val="0"/>
        </w:rPr>
        <w:t xml:space="preserve"> </w:t>
      </w:r>
      <w:hyperlink w:anchor="latin-record-0574">
        <w:r>
          <w:rPr>
            <w:color w:val="000000"/>
          </w:rPr>
          <w:t xml:space="preserve">initium / incipere / desinere</w:t>
        </w:r>
      </w:hyperlink>
      <w:r>
        <w:rPr>
          <w:b w:val="0"/>
          <w:i w:val="0"/>
        </w:rPr>
        <w:t>.</w:t>
      </w:r>
    </w:p>
    <w:p>
      <w:pPr>
        <w:widowControl/>
      </w:pPr>
      <w:r>
        <w:rPr>
          <w:b/>
          <w:i w:val="0"/>
        </w:rPr>
        <w:t>incepit.</w:t>
      </w:r>
      <w:r>
        <w:rPr>
          <w:b w:val="0"/>
          <w:i w:val="0"/>
        </w:rPr>
        <w:t xml:space="preserve"> </w:t>
      </w:r>
      <w:hyperlink w:anchor="latin-record-0574">
        <w:r>
          <w:rPr>
            <w:color w:val="000000"/>
          </w:rPr>
          <w:t xml:space="preserve">initium / incipere / desinere</w:t>
        </w:r>
      </w:hyperlink>
      <w:r>
        <w:rPr>
          <w:b w:val="0"/>
          <w:i w:val="0"/>
        </w:rPr>
        <w:t>.</w:t>
      </w:r>
    </w:p>
    <w:p>
      <w:pPr>
        <w:widowControl/>
      </w:pPr>
      <w:r>
        <w:rPr>
          <w:b/>
          <w:i w:val="0"/>
        </w:rPr>
        <w:t>incepturam.</w:t>
      </w:r>
      <w:r>
        <w:rPr>
          <w:b w:val="0"/>
          <w:i w:val="0"/>
        </w:rPr>
        <w:t xml:space="preserve"> </w:t>
      </w:r>
      <w:hyperlink w:anchor="latin-record-0574">
        <w:r>
          <w:rPr>
            <w:color w:val="000000"/>
          </w:rPr>
          <w:t xml:space="preserve">initium / incipere / desinere</w:t>
        </w:r>
      </w:hyperlink>
      <w:r>
        <w:rPr>
          <w:b w:val="0"/>
          <w:i w:val="0"/>
        </w:rPr>
        <w:t>.</w:t>
      </w:r>
    </w:p>
    <w:p>
      <w:pPr>
        <w:widowControl/>
      </w:pPr>
      <w:r>
        <w:rPr>
          <w:b/>
          <w:i w:val="0"/>
        </w:rPr>
        <w:t>incerta.</w:t>
      </w:r>
      <w:r>
        <w:rPr>
          <w:b w:val="0"/>
          <w:i w:val="0"/>
        </w:rPr>
        <w:t xml:space="preserve"> </w:t>
      </w:r>
      <w:hyperlink w:anchor="latin-record-0162">
        <w:r>
          <w:rPr>
            <w:color w:val="000000"/>
          </w:rPr>
          <w:t xml:space="preserve">certus / incertus</w:t>
        </w:r>
      </w:hyperlink>
      <w:r>
        <w:rPr>
          <w:b w:val="0"/>
          <w:i w:val="0"/>
        </w:rPr>
        <w:t>.</w:t>
      </w:r>
    </w:p>
    <w:p>
      <w:pPr>
        <w:widowControl/>
      </w:pPr>
      <w:r>
        <w:rPr>
          <w:b/>
          <w:i w:val="0"/>
        </w:rPr>
        <w:t>incipere.</w:t>
      </w:r>
      <w:r>
        <w:rPr>
          <w:b w:val="0"/>
          <w:i w:val="0"/>
        </w:rPr>
        <w:t xml:space="preserve"> </w:t>
      </w:r>
      <w:hyperlink w:anchor="latin-record-0574">
        <w:r>
          <w:rPr>
            <w:color w:val="000000"/>
          </w:rPr>
          <w:t xml:space="preserve">initium / incipere / desinere</w:t>
        </w:r>
      </w:hyperlink>
      <w:r>
        <w:rPr>
          <w:b w:val="0"/>
          <w:i w:val="0"/>
        </w:rPr>
        <w:t>.</w:t>
      </w:r>
    </w:p>
    <w:p>
      <w:pPr>
        <w:widowControl/>
      </w:pPr>
      <w:r>
        <w:rPr>
          <w:b/>
          <w:i w:val="0"/>
        </w:rPr>
        <w:t>inciperet.</w:t>
      </w:r>
      <w:r>
        <w:rPr>
          <w:b w:val="0"/>
          <w:i w:val="0"/>
        </w:rPr>
        <w:t xml:space="preserve"> </w:t>
      </w:r>
      <w:hyperlink w:anchor="latin-record-0574">
        <w:r>
          <w:rPr>
            <w:color w:val="000000"/>
          </w:rPr>
          <w:t xml:space="preserve">initium / incipere / desinere</w:t>
        </w:r>
      </w:hyperlink>
      <w:r>
        <w:rPr>
          <w:b w:val="0"/>
          <w:i w:val="0"/>
        </w:rPr>
        <w:t>.</w:t>
      </w:r>
    </w:p>
    <w:p>
      <w:pPr>
        <w:widowControl/>
      </w:pPr>
      <w:r>
        <w:rPr>
          <w:b/>
          <w:i w:val="0"/>
        </w:rPr>
        <w:t>incipiunt.</w:t>
      </w:r>
      <w:r>
        <w:rPr>
          <w:b w:val="0"/>
          <w:i w:val="0"/>
        </w:rPr>
        <w:t xml:space="preserve"> </w:t>
      </w:r>
      <w:hyperlink w:anchor="latin-record-0551">
        <w:r>
          <w:rPr>
            <w:color w:val="000000"/>
          </w:rPr>
          <w:t xml:space="preserve">incipio / desino</w:t>
        </w:r>
      </w:hyperlink>
      <w:r>
        <w:rPr>
          <w:b w:val="0"/>
          <w:i w:val="0"/>
        </w:rPr>
        <w:t>.</w:t>
      </w:r>
    </w:p>
    <w:p>
      <w:pPr>
        <w:widowControl/>
      </w:pPr>
      <w:r>
        <w:rPr>
          <w:b/>
          <w:i w:val="0"/>
        </w:rPr>
        <w:t>incitamentum.</w:t>
      </w:r>
      <w:r>
        <w:rPr>
          <w:b w:val="0"/>
          <w:i w:val="0"/>
        </w:rPr>
        <w:t xml:space="preserve"> </w:t>
      </w:r>
      <w:hyperlink w:anchor="latin-record-0545">
        <w:r>
          <w:rPr>
            <w:color w:val="000000"/>
          </w:rPr>
          <w:t xml:space="preserve">impulsus / incitamentum</w:t>
        </w:r>
      </w:hyperlink>
      <w:r>
        <w:rPr>
          <w:b w:val="0"/>
          <w:i w:val="0"/>
        </w:rPr>
        <w:t>.</w:t>
      </w:r>
    </w:p>
    <w:p>
      <w:pPr>
        <w:widowControl/>
      </w:pPr>
      <w:r>
        <w:rPr>
          <w:b/>
          <w:i w:val="0"/>
        </w:rPr>
        <w:t>inclinabantur.</w:t>
      </w:r>
      <w:r>
        <w:rPr>
          <w:b w:val="0"/>
          <w:i w:val="0"/>
        </w:rPr>
        <w:t xml:space="preserve"> </w:t>
      </w:r>
      <w:hyperlink w:anchor="latin-record-0104">
        <w:r>
          <w:rPr>
            <w:color w:val="000000"/>
          </w:rPr>
          <w:t xml:space="preserve">assurgere / inclinari</w:t>
        </w:r>
      </w:hyperlink>
      <w:r>
        <w:rPr>
          <w:b w:val="0"/>
          <w:i w:val="0"/>
        </w:rPr>
        <w:t>.</w:t>
      </w:r>
    </w:p>
    <w:p>
      <w:pPr>
        <w:widowControl/>
      </w:pPr>
      <w:r>
        <w:rPr>
          <w:b/>
          <w:i w:val="0"/>
        </w:rPr>
        <w:t>inclinationem.</w:t>
      </w:r>
      <w:r>
        <w:rPr>
          <w:b w:val="0"/>
          <w:i w:val="0"/>
        </w:rPr>
        <w:t xml:space="preserve"> </w:t>
      </w:r>
      <w:hyperlink w:anchor="latin-record-0552">
        <w:r>
          <w:rPr>
            <w:color w:val="000000"/>
          </w:rPr>
          <w:t xml:space="preserve">inclinatio / appetitus / voluntas</w:t>
        </w:r>
      </w:hyperlink>
      <w:r>
        <w:rPr>
          <w:b w:val="0"/>
          <w:i w:val="0"/>
        </w:rPr>
        <w:t>.</w:t>
      </w:r>
    </w:p>
    <w:p>
      <w:pPr>
        <w:widowControl/>
      </w:pPr>
      <w:r>
        <w:rPr>
          <w:b/>
          <w:i w:val="0"/>
        </w:rPr>
        <w:t>includit.</w:t>
      </w:r>
      <w:r>
        <w:rPr>
          <w:b w:val="0"/>
          <w:i w:val="0"/>
        </w:rPr>
        <w:t xml:space="preserve"> </w:t>
      </w:r>
      <w:hyperlink w:anchor="latin-record-0948">
        <w:r>
          <w:rPr>
            <w:color w:val="000000"/>
          </w:rPr>
          <w:t xml:space="preserve">prohibere / claudere / includere</w:t>
        </w:r>
      </w:hyperlink>
      <w:r>
        <w:rPr>
          <w:b w:val="0"/>
          <w:i w:val="0"/>
        </w:rPr>
        <w:t>.</w:t>
      </w:r>
    </w:p>
    <w:p>
      <w:pPr>
        <w:widowControl/>
      </w:pPr>
      <w:r>
        <w:rPr>
          <w:b/>
          <w:i w:val="0"/>
        </w:rPr>
        <w:t>inclusit.</w:t>
      </w:r>
      <w:r>
        <w:rPr>
          <w:b w:val="0"/>
          <w:i w:val="0"/>
        </w:rPr>
        <w:t xml:space="preserve"> </w:t>
      </w:r>
      <w:hyperlink w:anchor="latin-record-1017">
        <w:r>
          <w:rPr>
            <w:color w:val="000000"/>
          </w:rPr>
          <w:t xml:space="preserve">rapere / includere</w:t>
        </w:r>
      </w:hyperlink>
      <w:r>
        <w:rPr>
          <w:b w:val="0"/>
          <w:i w:val="0"/>
        </w:rPr>
        <w:t>.</w:t>
      </w:r>
    </w:p>
    <w:p>
      <w:pPr>
        <w:widowControl/>
      </w:pPr>
      <w:r>
        <w:rPr>
          <w:b/>
          <w:i w:val="0"/>
        </w:rPr>
        <w:t>incohationes.</w:t>
      </w:r>
      <w:r>
        <w:rPr>
          <w:b w:val="0"/>
          <w:i w:val="0"/>
        </w:rPr>
        <w:t xml:space="preserve"> </w:t>
      </w:r>
      <w:hyperlink w:anchor="latin-record-0980">
        <w:r>
          <w:rPr>
            <w:color w:val="000000"/>
          </w:rPr>
          <w:t xml:space="preserve">pullulo / incohatio</w:t>
        </w:r>
      </w:hyperlink>
      <w:r>
        <w:rPr>
          <w:b w:val="0"/>
          <w:i w:val="0"/>
        </w:rPr>
        <w:t>.</w:t>
      </w:r>
    </w:p>
    <w:p>
      <w:pPr>
        <w:widowControl/>
      </w:pPr>
      <w:r>
        <w:rPr>
          <w:b/>
          <w:i w:val="0"/>
        </w:rPr>
        <w:t>incorporalis.</w:t>
      </w:r>
      <w:r>
        <w:rPr>
          <w:b w:val="0"/>
          <w:i w:val="0"/>
        </w:rPr>
        <w:t xml:space="preserve"> </w:t>
      </w:r>
      <w:hyperlink w:anchor="latin-record-0553">
        <w:r>
          <w:rPr>
            <w:color w:val="000000"/>
          </w:rPr>
          <w:t xml:space="preserve">incorporeus / incorporalis / indivisibilis</w:t>
        </w:r>
      </w:hyperlink>
      <w:r>
        <w:rPr>
          <w:b w:val="0"/>
          <w:i w:val="0"/>
        </w:rPr>
        <w:t>.</w:t>
      </w:r>
    </w:p>
    <w:p>
      <w:pPr>
        <w:widowControl/>
      </w:pPr>
      <w:r>
        <w:rPr>
          <w:b/>
          <w:i w:val="0"/>
        </w:rPr>
        <w:t>incorporea.</w:t>
      </w:r>
      <w:r>
        <w:rPr>
          <w:b w:val="0"/>
          <w:i w:val="0"/>
        </w:rPr>
        <w:t xml:space="preserve"> </w:t>
      </w:r>
      <w:hyperlink w:anchor="latin-record-0553">
        <w:r>
          <w:rPr>
            <w:color w:val="000000"/>
          </w:rPr>
          <w:t xml:space="preserve">incorporeus / incorporalis / indivisibilis</w:t>
        </w:r>
      </w:hyperlink>
      <w:r>
        <w:rPr>
          <w:b w:val="0"/>
          <w:i w:val="0"/>
        </w:rPr>
        <w:t>.</w:t>
      </w:r>
    </w:p>
    <w:p>
      <w:pPr>
        <w:widowControl/>
      </w:pPr>
      <w:r>
        <w:rPr>
          <w:b/>
          <w:i w:val="0"/>
        </w:rPr>
        <w:t>incorporeum.</w:t>
      </w:r>
      <w:r>
        <w:rPr>
          <w:b w:val="0"/>
          <w:i w:val="0"/>
        </w:rPr>
        <w:t xml:space="preserve"> </w:t>
      </w:r>
      <w:hyperlink w:anchor="latin-record-0531">
        <w:r>
          <w:rPr>
            <w:color w:val="000000"/>
          </w:rPr>
          <w:t xml:space="preserve">immaterialis / incorporeus</w:t>
        </w:r>
      </w:hyperlink>
      <w:r>
        <w:rPr>
          <w:b w:val="0"/>
          <w:i w:val="0"/>
        </w:rPr>
        <w:t>.</w:t>
      </w:r>
    </w:p>
    <w:p>
      <w:pPr>
        <w:widowControl/>
      </w:pPr>
      <w:r>
        <w:rPr>
          <w:b/>
          <w:i w:val="0"/>
        </w:rPr>
        <w:t>incorrupta.</w:t>
      </w:r>
      <w:r>
        <w:rPr>
          <w:b w:val="0"/>
          <w:i w:val="0"/>
        </w:rPr>
        <w:t xml:space="preserve"> </w:t>
      </w:r>
      <w:hyperlink w:anchor="latin-record-0694">
        <w:r>
          <w:rPr>
            <w:color w:val="000000"/>
          </w:rPr>
          <w:t xml:space="preserve">merus / incorruptus / revera</w:t>
        </w:r>
      </w:hyperlink>
      <w:r>
        <w:rPr>
          <w:b w:val="0"/>
          <w:i w:val="0"/>
        </w:rPr>
        <w:t>.</w:t>
      </w:r>
    </w:p>
    <w:p>
      <w:pPr>
        <w:widowControl/>
      </w:pPr>
      <w:r>
        <w:rPr>
          <w:b/>
          <w:i w:val="0"/>
        </w:rPr>
        <w:t>incubui.</w:t>
      </w:r>
      <w:r>
        <w:rPr>
          <w:b w:val="0"/>
          <w:i w:val="0"/>
        </w:rPr>
        <w:t xml:space="preserve"> </w:t>
      </w:r>
      <w:hyperlink w:anchor="latin-record-1147">
        <w:r>
          <w:rPr>
            <w:color w:val="000000"/>
          </w:rPr>
          <w:t xml:space="preserve">studium / incumbo</w:t>
        </w:r>
      </w:hyperlink>
      <w:r>
        <w:rPr>
          <w:b w:val="0"/>
          <w:i w:val="0"/>
        </w:rPr>
        <w:t>.</w:t>
      </w:r>
    </w:p>
    <w:p>
      <w:pPr>
        <w:widowControl/>
      </w:pPr>
      <w:r>
        <w:rPr>
          <w:b/>
          <w:i w:val="0"/>
        </w:rPr>
        <w:t>incumbunt.</w:t>
      </w:r>
      <w:r>
        <w:rPr>
          <w:b w:val="0"/>
          <w:i w:val="0"/>
        </w:rPr>
        <w:t xml:space="preserve"> </w:t>
      </w:r>
      <w:hyperlink w:anchor="latin-record-0289">
        <w:r>
          <w:rPr>
            <w:color w:val="000000"/>
          </w:rPr>
          <w:t xml:space="preserve">currere / incurrere / incumbere</w:t>
        </w:r>
      </w:hyperlink>
      <w:r>
        <w:rPr>
          <w:b w:val="0"/>
          <w:i w:val="0"/>
        </w:rPr>
        <w:t>.</w:t>
      </w:r>
    </w:p>
    <w:p>
      <w:pPr>
        <w:widowControl/>
      </w:pPr>
      <w:r>
        <w:rPr>
          <w:b/>
          <w:i w:val="0"/>
        </w:rPr>
        <w:t>incurrunt.</w:t>
      </w:r>
      <w:r>
        <w:rPr>
          <w:b w:val="0"/>
          <w:i w:val="0"/>
        </w:rPr>
        <w:t xml:space="preserve"> </w:t>
      </w:r>
      <w:hyperlink w:anchor="latin-record-0289">
        <w:r>
          <w:rPr>
            <w:color w:val="000000"/>
          </w:rPr>
          <w:t xml:space="preserve">currere / incurrere / incumbere</w:t>
        </w:r>
      </w:hyperlink>
      <w:r>
        <w:rPr>
          <w:b w:val="0"/>
          <w:i w:val="0"/>
        </w:rPr>
        <w:t>.</w:t>
      </w:r>
    </w:p>
    <w:p>
      <w:pPr>
        <w:widowControl/>
      </w:pPr>
      <w:r>
        <w:rPr>
          <w:b/>
          <w:i w:val="0"/>
        </w:rPr>
        <w:t>indagat.</w:t>
      </w:r>
      <w:r>
        <w:rPr>
          <w:b w:val="0"/>
          <w:i w:val="0"/>
        </w:rPr>
        <w:t xml:space="preserve"> </w:t>
      </w:r>
      <w:hyperlink w:anchor="latin-record-0862">
        <w:r>
          <w:rPr>
            <w:color w:val="000000"/>
          </w:rPr>
          <w:t xml:space="preserve">perscrutor / indago</w:t>
        </w:r>
      </w:hyperlink>
      <w:r>
        <w:rPr>
          <w:b w:val="0"/>
          <w:i w:val="0"/>
        </w:rPr>
        <w:t>.</w:t>
      </w:r>
    </w:p>
    <w:p>
      <w:pPr>
        <w:widowControl/>
      </w:pPr>
      <w:r>
        <w:rPr>
          <w:b/>
          <w:i w:val="0"/>
        </w:rPr>
        <w:t>indicat.</w:t>
      </w:r>
      <w:r>
        <w:rPr>
          <w:b w:val="0"/>
          <w:i w:val="0"/>
        </w:rPr>
        <w:t xml:space="preserve"> </w:t>
      </w:r>
      <w:hyperlink w:anchor="latin-record-0398">
        <w:r>
          <w:rPr>
            <w:color w:val="000000"/>
          </w:rPr>
          <w:t xml:space="preserve">exemplum / signum / indicare</w:t>
        </w:r>
      </w:hyperlink>
      <w:r>
        <w:rPr>
          <w:b w:val="0"/>
          <w:i w:val="0"/>
        </w:rPr>
        <w:t>.</w:t>
      </w:r>
    </w:p>
    <w:p>
      <w:pPr>
        <w:widowControl/>
      </w:pPr>
      <w:r>
        <w:rPr>
          <w:b/>
          <w:i w:val="0"/>
        </w:rPr>
        <w:t>indifferens.</w:t>
      </w:r>
      <w:r>
        <w:rPr>
          <w:b w:val="0"/>
          <w:i w:val="0"/>
        </w:rPr>
        <w:t xml:space="preserve"> </w:t>
      </w:r>
      <w:hyperlink w:anchor="latin-record-0554">
        <w:r>
          <w:rPr>
            <w:color w:val="000000"/>
          </w:rPr>
          <w:t xml:space="preserve">indifferens / determino</w:t>
        </w:r>
      </w:hyperlink>
      <w:r>
        <w:rPr>
          <w:b w:val="0"/>
          <w:i w:val="0"/>
        </w:rPr>
        <w:t>.</w:t>
      </w:r>
    </w:p>
    <w:p>
      <w:pPr>
        <w:widowControl/>
      </w:pPr>
      <w:r>
        <w:rPr>
          <w:b/>
          <w:i w:val="0"/>
        </w:rPr>
        <w:t>indigentiam.</w:t>
      </w:r>
      <w:r>
        <w:rPr>
          <w:b w:val="0"/>
          <w:i w:val="0"/>
        </w:rPr>
        <w:t xml:space="preserve"> </w:t>
      </w:r>
      <w:hyperlink w:anchor="latin-record-0555">
        <w:r>
          <w:rPr>
            <w:color w:val="000000"/>
          </w:rPr>
          <w:t xml:space="preserve">indigentia</w:t>
        </w:r>
      </w:hyperlink>
      <w:r>
        <w:rPr>
          <w:b w:val="0"/>
          <w:i w:val="0"/>
        </w:rPr>
        <w:t>.</w:t>
      </w:r>
    </w:p>
    <w:p>
      <w:pPr>
        <w:widowControl/>
      </w:pPr>
      <w:r>
        <w:rPr>
          <w:b/>
          <w:i w:val="0"/>
        </w:rPr>
        <w:t>indiget.</w:t>
      </w:r>
      <w:r>
        <w:rPr>
          <w:b w:val="0"/>
          <w:i w:val="0"/>
        </w:rPr>
        <w:t xml:space="preserve"> </w:t>
      </w:r>
      <w:hyperlink w:anchor="latin-record-0367">
        <w:r>
          <w:rPr>
            <w:color w:val="000000"/>
          </w:rPr>
          <w:t xml:space="preserve">egere / indigere</w:t>
        </w:r>
      </w:hyperlink>
      <w:r>
        <w:rPr>
          <w:b w:val="0"/>
          <w:i w:val="0"/>
        </w:rPr>
        <w:t>.</w:t>
      </w:r>
    </w:p>
    <w:p>
      <w:pPr>
        <w:widowControl/>
      </w:pPr>
      <w:r>
        <w:rPr>
          <w:b/>
          <w:i w:val="0"/>
        </w:rPr>
        <w:t>indignam.</w:t>
      </w:r>
      <w:r>
        <w:rPr>
          <w:b w:val="0"/>
          <w:i w:val="0"/>
        </w:rPr>
        <w:t xml:space="preserve"> </w:t>
      </w:r>
      <w:hyperlink w:anchor="latin-record-0665">
        <w:r>
          <w:rPr>
            <w:color w:val="000000"/>
          </w:rPr>
          <w:t xml:space="preserve">maiestas / indignus</w:t>
        </w:r>
      </w:hyperlink>
      <w:r>
        <w:rPr>
          <w:b w:val="0"/>
          <w:i w:val="0"/>
        </w:rPr>
        <w:t>.</w:t>
      </w:r>
    </w:p>
    <w:p>
      <w:pPr>
        <w:widowControl/>
      </w:pPr>
      <w:r>
        <w:rPr>
          <w:b/>
          <w:i w:val="0"/>
        </w:rPr>
        <w:t>indissolubile.</w:t>
      </w:r>
      <w:r>
        <w:rPr>
          <w:b w:val="0"/>
          <w:i w:val="0"/>
        </w:rPr>
        <w:t xml:space="preserve"> </w:t>
      </w:r>
      <w:hyperlink w:anchor="latin-record-0556">
        <w:r>
          <w:rPr>
            <w:color w:val="000000"/>
          </w:rPr>
          <w:t xml:space="preserve">indissolubilis / dissolvo</w:t>
        </w:r>
      </w:hyperlink>
      <w:r>
        <w:rPr>
          <w:b w:val="0"/>
          <w:i w:val="0"/>
        </w:rPr>
        <w:t>.</w:t>
      </w:r>
    </w:p>
    <w:p>
      <w:pPr>
        <w:widowControl/>
      </w:pPr>
      <w:r>
        <w:rPr>
          <w:b/>
          <w:i w:val="0"/>
        </w:rPr>
        <w:t>indissolubiles.</w:t>
      </w:r>
      <w:r>
        <w:rPr>
          <w:b w:val="0"/>
          <w:i w:val="0"/>
        </w:rPr>
        <w:t xml:space="preserve"> </w:t>
      </w:r>
      <w:hyperlink w:anchor="latin-record-0336">
        <w:r>
          <w:rPr>
            <w:color w:val="000000"/>
          </w:rPr>
          <w:t xml:space="preserve">dissolubilis / indissolubilis</w:t>
        </w:r>
      </w:hyperlink>
      <w:r>
        <w:rPr>
          <w:b w:val="0"/>
          <w:i w:val="0"/>
        </w:rPr>
        <w:t>.</w:t>
      </w:r>
    </w:p>
    <w:p>
      <w:pPr>
        <w:widowControl/>
      </w:pPr>
      <w:r>
        <w:rPr>
          <w:b/>
          <w:i w:val="0"/>
        </w:rPr>
        <w:t>Individua.</w:t>
      </w:r>
      <w:r>
        <w:rPr>
          <w:b w:val="0"/>
          <w:i w:val="0"/>
        </w:rPr>
        <w:t xml:space="preserve"> </w:t>
      </w:r>
      <w:hyperlink w:anchor="latin-record-0344">
        <w:r>
          <w:rPr>
            <w:color w:val="000000"/>
          </w:rPr>
          <w:t xml:space="preserve">dividuus / individuus</w:t>
        </w:r>
      </w:hyperlink>
      <w:r>
        <w:rPr>
          <w:b w:val="0"/>
          <w:i w:val="0"/>
        </w:rPr>
        <w:t>.</w:t>
      </w:r>
    </w:p>
    <w:p>
      <w:pPr>
        <w:widowControl/>
      </w:pPr>
      <w:r>
        <w:rPr>
          <w:b/>
          <w:i w:val="0"/>
        </w:rPr>
        <w:t>individua.</w:t>
      </w:r>
      <w:r>
        <w:rPr>
          <w:b w:val="0"/>
          <w:i w:val="0"/>
        </w:rPr>
        <w:t xml:space="preserve"> </w:t>
      </w:r>
      <w:hyperlink w:anchor="latin-record-0344">
        <w:r>
          <w:rPr>
            <w:color w:val="000000"/>
          </w:rPr>
          <w:t xml:space="preserve">dividuus / individuus</w:t>
        </w:r>
      </w:hyperlink>
      <w:r>
        <w:rPr>
          <w:b w:val="0"/>
          <w:i w:val="0"/>
        </w:rPr>
        <w:t>.</w:t>
      </w:r>
    </w:p>
    <w:p>
      <w:pPr>
        <w:widowControl/>
      </w:pPr>
      <w:r>
        <w:rPr>
          <w:b/>
          <w:i w:val="0"/>
        </w:rPr>
        <w:t>indivisibile.</w:t>
      </w:r>
      <w:r>
        <w:rPr>
          <w:b w:val="0"/>
          <w:i w:val="0"/>
        </w:rPr>
        <w:t xml:space="preserve"> </w:t>
      </w:r>
      <w:hyperlink w:anchor="latin-record-0553">
        <w:r>
          <w:rPr>
            <w:color w:val="000000"/>
          </w:rPr>
          <w:t xml:space="preserve">incorporeus / incorporalis / indivisibilis</w:t>
        </w:r>
      </w:hyperlink>
      <w:r>
        <w:rPr>
          <w:b w:val="0"/>
          <w:i w:val="0"/>
        </w:rPr>
        <w:t>.</w:t>
      </w:r>
    </w:p>
    <w:p>
      <w:pPr>
        <w:widowControl/>
      </w:pPr>
      <w:r>
        <w:rPr>
          <w:b/>
          <w:i w:val="0"/>
        </w:rPr>
        <w:t>induit.</w:t>
      </w:r>
      <w:r>
        <w:rPr>
          <w:b w:val="0"/>
          <w:i w:val="0"/>
        </w:rPr>
        <w:t xml:space="preserve"> </w:t>
      </w:r>
      <w:hyperlink w:anchor="latin-record-0557">
        <w:r>
          <w:rPr>
            <w:color w:val="000000"/>
          </w:rPr>
          <w:t xml:space="preserve">induere / involvere</w:t>
        </w:r>
      </w:hyperlink>
      <w:r>
        <w:rPr>
          <w:b w:val="0"/>
          <w:i w:val="0"/>
        </w:rPr>
        <w:t>.</w:t>
      </w:r>
    </w:p>
    <w:p>
      <w:pPr>
        <w:widowControl/>
      </w:pPr>
      <w:r>
        <w:rPr>
          <w:b/>
          <w:i w:val="0"/>
        </w:rPr>
        <w:t>induxeris.</w:t>
      </w:r>
      <w:r>
        <w:rPr>
          <w:b w:val="0"/>
          <w:i w:val="0"/>
        </w:rPr>
        <w:t xml:space="preserve"> </w:t>
      </w:r>
      <w:hyperlink w:anchor="latin-record-0890">
        <w:r>
          <w:rPr>
            <w:color w:val="000000"/>
          </w:rPr>
          <w:t xml:space="preserve">ponere / inducere / asserere</w:t>
        </w:r>
      </w:hyperlink>
      <w:r>
        <w:rPr>
          <w:b w:val="0"/>
          <w:i w:val="0"/>
        </w:rPr>
        <w:t>.</w:t>
      </w:r>
    </w:p>
    <w:p>
      <w:pPr>
        <w:widowControl/>
      </w:pPr>
      <w:r>
        <w:rPr>
          <w:b/>
          <w:i w:val="0"/>
        </w:rPr>
        <w:t>inepta.</w:t>
      </w:r>
      <w:r>
        <w:rPr>
          <w:b w:val="0"/>
          <w:i w:val="0"/>
        </w:rPr>
        <w:t xml:space="preserve"> </w:t>
      </w:r>
      <w:hyperlink w:anchor="latin-record-0786">
        <w:r>
          <w:rPr>
            <w:color w:val="000000"/>
          </w:rPr>
          <w:t xml:space="preserve">obnoxius / ineptus</w:t>
        </w:r>
      </w:hyperlink>
      <w:r>
        <w:rPr>
          <w:b w:val="0"/>
          <w:i w:val="0"/>
        </w:rPr>
        <w:t>.</w:t>
      </w:r>
    </w:p>
    <w:p>
      <w:pPr>
        <w:widowControl/>
      </w:pPr>
      <w:r>
        <w:rPr>
          <w:b/>
          <w:i w:val="0"/>
        </w:rPr>
        <w:t>ineptum.</w:t>
      </w:r>
      <w:r>
        <w:rPr>
          <w:b w:val="0"/>
          <w:i w:val="0"/>
        </w:rPr>
        <w:t xml:space="preserve"> </w:t>
      </w:r>
      <w:hyperlink w:anchor="latin-record-0559">
        <w:r>
          <w:rPr>
            <w:color w:val="000000"/>
          </w:rPr>
          <w:t xml:space="preserve">ineptus / agilis</w:t>
        </w:r>
      </w:hyperlink>
      <w:r>
        <w:rPr>
          <w:b w:val="0"/>
          <w:i w:val="0"/>
        </w:rPr>
        <w:t>.</w:t>
      </w:r>
    </w:p>
    <w:p>
      <w:pPr>
        <w:widowControl/>
      </w:pPr>
      <w:r>
        <w:rPr>
          <w:b/>
          <w:i w:val="0"/>
        </w:rPr>
        <w:t>inerit.</w:t>
      </w:r>
      <w:r>
        <w:rPr>
          <w:b w:val="0"/>
          <w:i w:val="0"/>
        </w:rPr>
        <w:t xml:space="preserve"> </w:t>
      </w:r>
      <w:hyperlink w:anchor="latin-record-0562">
        <w:r>
          <w:rPr>
            <w:color w:val="000000"/>
          </w:rPr>
          <w:t xml:space="preserve">inesse / insitus</w:t>
        </w:r>
      </w:hyperlink>
      <w:r>
        <w:rPr>
          <w:b w:val="0"/>
          <w:i w:val="0"/>
        </w:rPr>
        <w:t>.</w:t>
      </w:r>
    </w:p>
    <w:p>
      <w:pPr>
        <w:widowControl/>
      </w:pPr>
      <w:r>
        <w:rPr>
          <w:b/>
          <w:i w:val="0"/>
        </w:rPr>
        <w:t>inertes.</w:t>
      </w:r>
      <w:r>
        <w:rPr>
          <w:b w:val="0"/>
          <w:i w:val="0"/>
        </w:rPr>
        <w:t xml:space="preserve"> </w:t>
      </w:r>
      <w:hyperlink w:anchor="latin-record-0560">
        <w:r>
          <w:rPr>
            <w:color w:val="000000"/>
          </w:rPr>
          <w:t xml:space="preserve">iners / callere</w:t>
        </w:r>
      </w:hyperlink>
      <w:r>
        <w:rPr>
          <w:b w:val="0"/>
          <w:i w:val="0"/>
        </w:rPr>
        <w:t>.</w:t>
      </w:r>
    </w:p>
    <w:p>
      <w:pPr>
        <w:widowControl/>
      </w:pPr>
      <w:r>
        <w:rPr>
          <w:b/>
          <w:i w:val="0"/>
        </w:rPr>
        <w:t>inesse.</w:t>
      </w:r>
      <w:r>
        <w:rPr>
          <w:b w:val="0"/>
          <w:i w:val="0"/>
        </w:rPr>
        <w:t xml:space="preserve"> </w:t>
      </w:r>
      <w:hyperlink w:anchor="latin-record-0561">
        <w:r>
          <w:rPr>
            <w:color w:val="000000"/>
          </w:rPr>
          <w:t xml:space="preserve">inesse / adesse / insitus</w:t>
        </w:r>
      </w:hyperlink>
      <w:r>
        <w:rPr>
          <w:b w:val="0"/>
          <w:i w:val="0"/>
        </w:rPr>
        <w:t xml:space="preserve">; </w:t>
      </w:r>
      <w:hyperlink w:anchor="latin-record-0563">
        <w:r>
          <w:rPr>
            <w:color w:val="000000"/>
          </w:rPr>
          <w:t xml:space="preserve">inesse / praeesse</w:t>
        </w:r>
      </w:hyperlink>
      <w:r>
        <w:rPr>
          <w:b w:val="0"/>
          <w:i w:val="0"/>
        </w:rPr>
        <w:t>.</w:t>
      </w:r>
    </w:p>
    <w:p>
      <w:pPr>
        <w:widowControl/>
      </w:pPr>
      <w:r>
        <w:rPr>
          <w:b/>
          <w:i w:val="0"/>
        </w:rPr>
        <w:t>inest.</w:t>
      </w:r>
      <w:r>
        <w:rPr>
          <w:b w:val="0"/>
          <w:i w:val="0"/>
        </w:rPr>
        <w:t xml:space="preserve"> </w:t>
      </w:r>
      <w:hyperlink w:anchor="latin-record-0561">
        <w:r>
          <w:rPr>
            <w:color w:val="000000"/>
          </w:rPr>
          <w:t xml:space="preserve">inesse / adesse / insitus</w:t>
        </w:r>
      </w:hyperlink>
      <w:r>
        <w:rPr>
          <w:b w:val="0"/>
          <w:i w:val="0"/>
        </w:rPr>
        <w:t>.</w:t>
      </w:r>
    </w:p>
    <w:p>
      <w:pPr>
        <w:widowControl/>
      </w:pPr>
      <w:r>
        <w:rPr>
          <w:b/>
          <w:i w:val="0"/>
        </w:rPr>
        <w:t>infatigabilem.</w:t>
      </w:r>
      <w:r>
        <w:rPr>
          <w:b w:val="0"/>
          <w:i w:val="0"/>
        </w:rPr>
        <w:t xml:space="preserve"> </w:t>
      </w:r>
      <w:hyperlink w:anchor="latin-record-0435">
        <w:r>
          <w:rPr>
            <w:color w:val="000000"/>
          </w:rPr>
          <w:t xml:space="preserve">fatigare / claudicare</w:t>
        </w:r>
      </w:hyperlink>
      <w:r>
        <w:rPr>
          <w:b w:val="0"/>
          <w:i w:val="0"/>
        </w:rPr>
        <w:t>.</w:t>
      </w:r>
    </w:p>
    <w:p>
      <w:pPr>
        <w:widowControl/>
      </w:pPr>
      <w:r>
        <w:rPr>
          <w:b/>
          <w:i w:val="0"/>
        </w:rPr>
        <w:t>infelicius.</w:t>
      </w:r>
      <w:r>
        <w:rPr>
          <w:b w:val="0"/>
          <w:i w:val="0"/>
        </w:rPr>
        <w:t xml:space="preserve"> </w:t>
      </w:r>
      <w:hyperlink w:anchor="latin-record-0123">
        <w:r>
          <w:rPr>
            <w:color w:val="000000"/>
          </w:rPr>
          <w:t xml:space="preserve">beatitudo / felicitas</w:t>
        </w:r>
      </w:hyperlink>
      <w:r>
        <w:rPr>
          <w:b w:val="0"/>
          <w:i w:val="0"/>
        </w:rPr>
        <w:t>.</w:t>
      </w:r>
    </w:p>
    <w:p>
      <w:pPr>
        <w:widowControl/>
      </w:pPr>
      <w:r>
        <w:rPr>
          <w:b/>
          <w:i w:val="0"/>
        </w:rPr>
        <w:t>Inferiora.</w:t>
      </w:r>
      <w:r>
        <w:rPr>
          <w:b w:val="0"/>
          <w:i w:val="0"/>
        </w:rPr>
        <w:t xml:space="preserve"> </w:t>
      </w:r>
      <w:hyperlink w:anchor="latin-record-1174">
        <w:r>
          <w:rPr>
            <w:color w:val="000000"/>
          </w:rPr>
          <w:t xml:space="preserve">superior / inferior</w:t>
        </w:r>
      </w:hyperlink>
      <w:r>
        <w:rPr>
          <w:b w:val="0"/>
          <w:i w:val="0"/>
        </w:rPr>
        <w:t>.</w:t>
      </w:r>
    </w:p>
    <w:p>
      <w:pPr>
        <w:widowControl/>
      </w:pPr>
      <w:r>
        <w:rPr>
          <w:b/>
          <w:i w:val="0"/>
        </w:rPr>
        <w:t>inferiorem.</w:t>
      </w:r>
      <w:r>
        <w:rPr>
          <w:b w:val="0"/>
          <w:i w:val="0"/>
        </w:rPr>
        <w:t xml:space="preserve"> </w:t>
      </w:r>
      <w:hyperlink w:anchor="latin-record-1174">
        <w:r>
          <w:rPr>
            <w:color w:val="000000"/>
          </w:rPr>
          <w:t xml:space="preserve">superior / inferior</w:t>
        </w:r>
      </w:hyperlink>
      <w:r>
        <w:rPr>
          <w:b w:val="0"/>
          <w:i w:val="0"/>
        </w:rPr>
        <w:t>.</w:t>
      </w:r>
    </w:p>
    <w:p>
      <w:pPr>
        <w:widowControl/>
      </w:pPr>
      <w:r>
        <w:rPr>
          <w:b/>
          <w:i w:val="0"/>
        </w:rPr>
        <w:t>inferiores.</w:t>
      </w:r>
      <w:r>
        <w:rPr>
          <w:b w:val="0"/>
          <w:i w:val="0"/>
        </w:rPr>
        <w:t xml:space="preserve"> </w:t>
      </w:r>
      <w:hyperlink w:anchor="latin-record-1174">
        <w:r>
          <w:rPr>
            <w:color w:val="000000"/>
          </w:rPr>
          <w:t xml:space="preserve">superior / inferior</w:t>
        </w:r>
      </w:hyperlink>
      <w:r>
        <w:rPr>
          <w:b w:val="0"/>
          <w:i w:val="0"/>
        </w:rPr>
        <w:t>.</w:t>
      </w:r>
    </w:p>
    <w:p>
      <w:pPr>
        <w:widowControl/>
      </w:pPr>
      <w:r>
        <w:rPr>
          <w:b/>
          <w:i w:val="0"/>
        </w:rPr>
        <w:t>inferiori.</w:t>
      </w:r>
      <w:r>
        <w:rPr>
          <w:b w:val="0"/>
          <w:i w:val="0"/>
        </w:rPr>
        <w:t xml:space="preserve"> </w:t>
      </w:r>
      <w:hyperlink w:anchor="latin-record-1174">
        <w:r>
          <w:rPr>
            <w:color w:val="000000"/>
          </w:rPr>
          <w:t xml:space="preserve">superior / inferior</w:t>
        </w:r>
      </w:hyperlink>
      <w:r>
        <w:rPr>
          <w:b w:val="0"/>
          <w:i w:val="0"/>
        </w:rPr>
        <w:t>.</w:t>
      </w:r>
    </w:p>
    <w:p>
      <w:pPr>
        <w:widowControl/>
      </w:pPr>
      <w:r>
        <w:rPr>
          <w:b/>
          <w:i w:val="0"/>
        </w:rPr>
        <w:t>inferioribus.</w:t>
      </w:r>
      <w:r>
        <w:rPr>
          <w:b w:val="0"/>
          <w:i w:val="0"/>
        </w:rPr>
        <w:t xml:space="preserve"> </w:t>
      </w:r>
      <w:hyperlink w:anchor="latin-record-1174">
        <w:r>
          <w:rPr>
            <w:color w:val="000000"/>
          </w:rPr>
          <w:t xml:space="preserve">superior / inferior</w:t>
        </w:r>
      </w:hyperlink>
      <w:r>
        <w:rPr>
          <w:b w:val="0"/>
          <w:i w:val="0"/>
        </w:rPr>
        <w:t>.</w:t>
      </w:r>
    </w:p>
    <w:p>
      <w:pPr>
        <w:widowControl/>
      </w:pPr>
      <w:r>
        <w:rPr>
          <w:b/>
          <w:i w:val="0"/>
        </w:rPr>
        <w:t>inferioris.</w:t>
      </w:r>
      <w:r>
        <w:rPr>
          <w:b w:val="0"/>
          <w:i w:val="0"/>
        </w:rPr>
        <w:t xml:space="preserve"> </w:t>
      </w:r>
      <w:hyperlink w:anchor="latin-record-1174">
        <w:r>
          <w:rPr>
            <w:color w:val="000000"/>
          </w:rPr>
          <w:t xml:space="preserve">superior / inferior</w:t>
        </w:r>
      </w:hyperlink>
      <w:r>
        <w:rPr>
          <w:b w:val="0"/>
          <w:i w:val="0"/>
        </w:rPr>
        <w:t>.</w:t>
      </w:r>
    </w:p>
    <w:p>
      <w:pPr>
        <w:widowControl/>
      </w:pPr>
      <w:r>
        <w:rPr>
          <w:b/>
          <w:i w:val="0"/>
        </w:rPr>
        <w:t>infert.</w:t>
      </w:r>
      <w:r>
        <w:rPr>
          <w:b w:val="0"/>
          <w:i w:val="0"/>
        </w:rPr>
        <w:t xml:space="preserve"> </w:t>
      </w:r>
      <w:hyperlink w:anchor="latin-record-0537">
        <w:r>
          <w:rPr>
            <w:color w:val="000000"/>
          </w:rPr>
          <w:t xml:space="preserve">impellere / inferre</w:t>
        </w:r>
      </w:hyperlink>
      <w:r>
        <w:rPr>
          <w:b w:val="0"/>
          <w:i w:val="0"/>
        </w:rPr>
        <w:t>.</w:t>
      </w:r>
    </w:p>
    <w:p>
      <w:pPr>
        <w:widowControl/>
      </w:pPr>
      <w:r>
        <w:rPr>
          <w:b/>
          <w:i w:val="0"/>
        </w:rPr>
        <w:t>inficiente.</w:t>
      </w:r>
      <w:r>
        <w:rPr>
          <w:b w:val="0"/>
          <w:i w:val="0"/>
        </w:rPr>
        <w:t xml:space="preserve"> </w:t>
      </w:r>
      <w:hyperlink w:anchor="latin-record-0564">
        <w:r>
          <w:rPr>
            <w:color w:val="000000"/>
          </w:rPr>
          <w:t xml:space="preserve">inficio / inquino</w:t>
        </w:r>
      </w:hyperlink>
      <w:r>
        <w:rPr>
          <w:b w:val="0"/>
          <w:i w:val="0"/>
        </w:rPr>
        <w:t>.</w:t>
      </w:r>
    </w:p>
    <w:p>
      <w:pPr>
        <w:widowControl/>
      </w:pPr>
      <w:r>
        <w:rPr>
          <w:b/>
          <w:i w:val="0"/>
        </w:rPr>
        <w:t>inficitur.</w:t>
      </w:r>
      <w:r>
        <w:rPr>
          <w:b w:val="0"/>
          <w:i w:val="0"/>
        </w:rPr>
        <w:t xml:space="preserve"> </w:t>
      </w:r>
      <w:hyperlink w:anchor="latin-record-0564">
        <w:r>
          <w:rPr>
            <w:color w:val="000000"/>
          </w:rPr>
          <w:t xml:space="preserve">inficio / inquino</w:t>
        </w:r>
      </w:hyperlink>
      <w:r>
        <w:rPr>
          <w:b w:val="0"/>
          <w:i w:val="0"/>
        </w:rPr>
        <w:t>.</w:t>
      </w:r>
    </w:p>
    <w:p>
      <w:pPr>
        <w:widowControl/>
      </w:pPr>
      <w:r>
        <w:rPr>
          <w:b/>
          <w:i w:val="0"/>
        </w:rPr>
        <w:t>infima.</w:t>
      </w:r>
      <w:r>
        <w:rPr>
          <w:b w:val="0"/>
          <w:i w:val="0"/>
        </w:rPr>
        <w:t xml:space="preserve"> </w:t>
      </w:r>
      <w:hyperlink w:anchor="latin-record-1113">
        <w:r>
          <w:rPr>
            <w:color w:val="000000"/>
          </w:rPr>
          <w:t xml:space="preserve">singulus / minimus / infimus</w:t>
        </w:r>
      </w:hyperlink>
      <w:r>
        <w:rPr>
          <w:b w:val="0"/>
          <w:i w:val="0"/>
        </w:rPr>
        <w:t>.</w:t>
      </w:r>
    </w:p>
    <w:p>
      <w:pPr>
        <w:widowControl/>
      </w:pPr>
      <w:r>
        <w:rPr>
          <w:b/>
          <w:i w:val="0"/>
        </w:rPr>
        <w:t>infimarum.</w:t>
      </w:r>
      <w:r>
        <w:rPr>
          <w:b w:val="0"/>
          <w:i w:val="0"/>
        </w:rPr>
        <w:t xml:space="preserve"> </w:t>
      </w:r>
      <w:hyperlink w:anchor="latin-record-1113">
        <w:r>
          <w:rPr>
            <w:color w:val="000000"/>
          </w:rPr>
          <w:t xml:space="preserve">singulus / minimus / infimus</w:t>
        </w:r>
      </w:hyperlink>
      <w:r>
        <w:rPr>
          <w:b w:val="0"/>
          <w:i w:val="0"/>
        </w:rPr>
        <w:t>.</w:t>
      </w:r>
    </w:p>
    <w:p>
      <w:pPr>
        <w:widowControl/>
      </w:pPr>
      <w:r>
        <w:rPr>
          <w:b/>
          <w:i w:val="0"/>
        </w:rPr>
        <w:t>infinita.</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infinitae.</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infinitam.</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Infinitam multitudinem.</w:t>
      </w:r>
      <w:r>
        <w:rPr>
          <w:b w:val="0"/>
          <w:i w:val="0"/>
        </w:rPr>
        <w:t xml:space="preserve"> </w:t>
      </w:r>
      <w:hyperlink w:anchor="latin-record-0728">
        <w:r>
          <w:rPr>
            <w:color w:val="000000"/>
          </w:rPr>
          <w:t xml:space="preserve">multitudo infinita</w:t>
        </w:r>
      </w:hyperlink>
      <w:r>
        <w:rPr>
          <w:b w:val="0"/>
          <w:i w:val="0"/>
        </w:rPr>
        <w:t>.</w:t>
      </w:r>
    </w:p>
    <w:p>
      <w:pPr>
        <w:widowControl/>
      </w:pPr>
      <w:r>
        <w:rPr>
          <w:b/>
          <w:i w:val="0"/>
        </w:rPr>
        <w:t>infinitarum.</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infinitas.</w:t>
      </w:r>
      <w:r>
        <w:rPr>
          <w:b w:val="0"/>
          <w:i w:val="0"/>
        </w:rPr>
        <w:t xml:space="preserve"> </w:t>
      </w:r>
      <w:hyperlink w:anchor="latin-record-0602">
        <w:r>
          <w:rPr>
            <w:color w:val="000000"/>
          </w:rPr>
          <w:t xml:space="preserve">interminatus / infinitus / finitus</w:t>
        </w:r>
      </w:hyperlink>
      <w:r>
        <w:rPr>
          <w:b w:val="0"/>
          <w:i w:val="0"/>
        </w:rPr>
        <w:t>.</w:t>
      </w:r>
    </w:p>
    <w:p>
      <w:pPr>
        <w:widowControl/>
      </w:pPr>
      <w:r>
        <w:rPr>
          <w:b/>
          <w:i w:val="0"/>
        </w:rPr>
        <w:t>infinitatem.</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infinitis.</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infinito.</w:t>
      </w:r>
      <w:r>
        <w:rPr>
          <w:b w:val="0"/>
          <w:i w:val="0"/>
        </w:rPr>
        <w:t xml:space="preserve"> </w:t>
      </w:r>
      <w:hyperlink w:anchor="latin-record-1194">
        <w:r>
          <w:rPr>
            <w:color w:val="000000"/>
          </w:rPr>
          <w:t xml:space="preserve">terminus / infinitum</w:t>
        </w:r>
      </w:hyperlink>
      <w:r>
        <w:rPr>
          <w:b w:val="0"/>
          <w:i w:val="0"/>
        </w:rPr>
        <w:t>.</w:t>
      </w:r>
    </w:p>
    <w:p>
      <w:pPr>
        <w:widowControl/>
      </w:pPr>
      <w:r>
        <w:rPr>
          <w:b/>
          <w:i w:val="0"/>
        </w:rPr>
        <w:t>infinitos.</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infinitum.</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infinitus.</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influxibus.</w:t>
      </w:r>
      <w:r>
        <w:rPr>
          <w:b w:val="0"/>
          <w:i w:val="0"/>
        </w:rPr>
        <w:t xml:space="preserve"> </w:t>
      </w:r>
      <w:hyperlink w:anchor="latin-record-0568">
        <w:r>
          <w:rPr>
            <w:color w:val="000000"/>
          </w:rPr>
          <w:t xml:space="preserve">influxus / instinctus</w:t>
        </w:r>
      </w:hyperlink>
      <w:r>
        <w:rPr>
          <w:b w:val="0"/>
          <w:i w:val="0"/>
        </w:rPr>
        <w:t>.</w:t>
      </w:r>
    </w:p>
    <w:p>
      <w:pPr>
        <w:widowControl/>
      </w:pPr>
      <w:r>
        <w:rPr>
          <w:b/>
          <w:i w:val="0"/>
        </w:rPr>
        <w:t>influxu.</w:t>
      </w:r>
      <w:r>
        <w:rPr>
          <w:b w:val="0"/>
          <w:i w:val="0"/>
        </w:rPr>
        <w:t xml:space="preserve"> </w:t>
      </w:r>
      <w:hyperlink w:anchor="latin-record-0460">
        <w:r>
          <w:rPr>
            <w:color w:val="000000"/>
          </w:rPr>
          <w:t xml:space="preserve">fons / influxus</w:t>
        </w:r>
      </w:hyperlink>
      <w:r>
        <w:rPr>
          <w:b w:val="0"/>
          <w:i w:val="0"/>
        </w:rPr>
        <w:t>.</w:t>
      </w:r>
    </w:p>
    <w:p>
      <w:pPr>
        <w:widowControl/>
      </w:pPr>
      <w:r>
        <w:rPr>
          <w:b/>
          <w:i w:val="0"/>
        </w:rPr>
        <w:t>influxum.</w:t>
      </w:r>
      <w:r>
        <w:rPr>
          <w:b w:val="0"/>
          <w:i w:val="0"/>
        </w:rPr>
        <w:t xml:space="preserve"> </w:t>
      </w:r>
      <w:hyperlink w:anchor="latin-record-0567">
        <w:r>
          <w:rPr>
            <w:color w:val="000000"/>
          </w:rPr>
          <w:t xml:space="preserve">influxus</w:t>
        </w:r>
      </w:hyperlink>
      <w:r>
        <w:rPr>
          <w:b w:val="0"/>
          <w:i w:val="0"/>
        </w:rPr>
        <w:t>.</w:t>
      </w:r>
    </w:p>
    <w:p>
      <w:pPr>
        <w:widowControl/>
      </w:pPr>
      <w:r>
        <w:rPr>
          <w:b/>
          <w:i w:val="0"/>
        </w:rPr>
        <w:t>influxus.</w:t>
      </w:r>
      <w:r>
        <w:rPr>
          <w:b w:val="0"/>
          <w:i w:val="0"/>
        </w:rPr>
        <w:t xml:space="preserve"> </w:t>
      </w:r>
      <w:hyperlink w:anchor="latin-record-0568">
        <w:r>
          <w:rPr>
            <w:color w:val="000000"/>
          </w:rPr>
          <w:t xml:space="preserve">influxus / instinctus</w:t>
        </w:r>
      </w:hyperlink>
      <w:r>
        <w:rPr>
          <w:b w:val="0"/>
          <w:i w:val="0"/>
        </w:rPr>
        <w:t>.</w:t>
      </w:r>
    </w:p>
    <w:p>
      <w:pPr>
        <w:widowControl/>
      </w:pPr>
      <w:r>
        <w:rPr>
          <w:b/>
          <w:i w:val="0"/>
        </w:rPr>
        <w:t>informe.</w:t>
      </w:r>
      <w:r>
        <w:rPr>
          <w:b w:val="0"/>
          <w:i w:val="0"/>
        </w:rPr>
        <w:t xml:space="preserve"> </w:t>
      </w:r>
      <w:hyperlink w:anchor="latin-record-0569">
        <w:r>
          <w:rPr>
            <w:color w:val="000000"/>
          </w:rPr>
          <w:t xml:space="preserve">informis / informe subiectum</w:t>
        </w:r>
      </w:hyperlink>
      <w:r>
        <w:rPr>
          <w:b w:val="0"/>
          <w:i w:val="0"/>
        </w:rPr>
        <w:t>.</w:t>
      </w:r>
    </w:p>
    <w:p>
      <w:pPr>
        <w:widowControl/>
      </w:pPr>
      <w:r>
        <w:rPr>
          <w:b/>
          <w:i w:val="0"/>
        </w:rPr>
        <w:t>informe subiectum.</w:t>
      </w:r>
      <w:r>
        <w:rPr>
          <w:b w:val="0"/>
          <w:i w:val="0"/>
        </w:rPr>
        <w:t xml:space="preserve"> </w:t>
      </w:r>
      <w:hyperlink w:anchor="latin-record-0569">
        <w:r>
          <w:rPr>
            <w:color w:val="000000"/>
          </w:rPr>
          <w:t xml:space="preserve">informis / informe subiectum</w:t>
        </w:r>
      </w:hyperlink>
      <w:r>
        <w:rPr>
          <w:b w:val="0"/>
          <w:i w:val="0"/>
        </w:rPr>
        <w:t>.</w:t>
      </w:r>
    </w:p>
    <w:p>
      <w:pPr>
        <w:widowControl/>
      </w:pPr>
      <w:r>
        <w:rPr>
          <w:b/>
          <w:i w:val="0"/>
        </w:rPr>
        <w:t>informis.</w:t>
      </w:r>
      <w:r>
        <w:rPr>
          <w:b w:val="0"/>
          <w:i w:val="0"/>
        </w:rPr>
        <w:t xml:space="preserve"> </w:t>
      </w:r>
      <w:hyperlink w:anchor="latin-record-0569">
        <w:r>
          <w:rPr>
            <w:color w:val="000000"/>
          </w:rPr>
          <w:t xml:space="preserve">informis / informe subiectum</w:t>
        </w:r>
      </w:hyperlink>
      <w:r>
        <w:rPr>
          <w:b w:val="0"/>
          <w:i w:val="0"/>
        </w:rPr>
        <w:t xml:space="preserve">; </w:t>
      </w:r>
      <w:hyperlink w:anchor="latin-record-0570">
        <w:r>
          <w:rPr>
            <w:color w:val="000000"/>
          </w:rPr>
          <w:t xml:space="preserve">informis / ornatus</w:t>
        </w:r>
      </w:hyperlink>
      <w:r>
        <w:rPr>
          <w:b w:val="0"/>
          <w:i w:val="0"/>
        </w:rPr>
        <w:t xml:space="preserve">; </w:t>
      </w:r>
      <w:hyperlink w:anchor="latin-record-0631">
        <w:r>
          <w:rPr>
            <w:color w:val="000000"/>
          </w:rPr>
          <w:t xml:space="preserve">latere / informis</w:t>
        </w:r>
      </w:hyperlink>
      <w:r>
        <w:rPr>
          <w:b w:val="0"/>
          <w:i w:val="0"/>
        </w:rPr>
        <w:t>.</w:t>
      </w:r>
    </w:p>
    <w:p>
      <w:pPr>
        <w:widowControl/>
      </w:pPr>
      <w:r>
        <w:rPr>
          <w:b/>
          <w:i w:val="0"/>
        </w:rPr>
        <w:t>infundat.</w:t>
      </w:r>
      <w:r>
        <w:rPr>
          <w:b w:val="0"/>
          <w:i w:val="0"/>
        </w:rPr>
        <w:t xml:space="preserve"> </w:t>
      </w:r>
      <w:hyperlink w:anchor="latin-record-0508">
        <w:r>
          <w:rPr>
            <w:color w:val="000000"/>
          </w:rPr>
          <w:t xml:space="preserve">haurio / liquor / infundo</w:t>
        </w:r>
      </w:hyperlink>
      <w:r>
        <w:rPr>
          <w:b w:val="0"/>
          <w:i w:val="0"/>
        </w:rPr>
        <w:t>.</w:t>
      </w:r>
    </w:p>
    <w:p>
      <w:pPr>
        <w:widowControl/>
      </w:pPr>
      <w:r>
        <w:rPr>
          <w:b/>
          <w:i w:val="0"/>
        </w:rPr>
        <w:t>infundit.</w:t>
      </w:r>
      <w:r>
        <w:rPr>
          <w:b w:val="0"/>
          <w:i w:val="0"/>
        </w:rPr>
        <w:t xml:space="preserve"> </w:t>
      </w:r>
      <w:hyperlink w:anchor="latin-record-0571">
        <w:r>
          <w:rPr>
            <w:color w:val="000000"/>
          </w:rPr>
          <w:t xml:space="preserve">infusio / infundere</w:t>
        </w:r>
      </w:hyperlink>
      <w:r>
        <w:rPr>
          <w:b w:val="0"/>
          <w:i w:val="0"/>
        </w:rPr>
        <w:t>.</w:t>
      </w:r>
    </w:p>
    <w:p>
      <w:pPr>
        <w:widowControl/>
      </w:pPr>
      <w:r>
        <w:rPr>
          <w:b/>
          <w:i w:val="0"/>
        </w:rPr>
        <w:t>Infusio.</w:t>
      </w:r>
      <w:r>
        <w:rPr>
          <w:b w:val="0"/>
          <w:i w:val="0"/>
        </w:rPr>
        <w:t xml:space="preserve"> </w:t>
      </w:r>
      <w:hyperlink w:anchor="latin-record-0571">
        <w:r>
          <w:rPr>
            <w:color w:val="000000"/>
          </w:rPr>
          <w:t xml:space="preserve">infusio / infundere</w:t>
        </w:r>
      </w:hyperlink>
      <w:r>
        <w:rPr>
          <w:b w:val="0"/>
          <w:i w:val="0"/>
        </w:rPr>
        <w:t>.</w:t>
      </w:r>
    </w:p>
    <w:p>
      <w:pPr>
        <w:widowControl/>
      </w:pPr>
      <w:r>
        <w:rPr>
          <w:b/>
          <w:i w:val="0"/>
        </w:rPr>
        <w:t>ingenia.</w:t>
      </w:r>
      <w:r>
        <w:rPr>
          <w:b w:val="0"/>
          <w:i w:val="0"/>
        </w:rPr>
        <w:t xml:space="preserve"> </w:t>
      </w:r>
      <w:hyperlink w:anchor="latin-record-0572">
        <w:r>
          <w:rPr>
            <w:color w:val="000000"/>
          </w:rPr>
          <w:t xml:space="preserve">ingenium</w:t>
        </w:r>
      </w:hyperlink>
      <w:r>
        <w:rPr>
          <w:b w:val="0"/>
          <w:i w:val="0"/>
        </w:rPr>
        <w:t>.</w:t>
      </w:r>
    </w:p>
    <w:p>
      <w:pPr>
        <w:widowControl/>
      </w:pPr>
      <w:r>
        <w:rPr>
          <w:b/>
          <w:i w:val="0"/>
        </w:rPr>
        <w:t>ingenio.</w:t>
      </w:r>
      <w:r>
        <w:rPr>
          <w:b w:val="0"/>
          <w:i w:val="0"/>
        </w:rPr>
        <w:t xml:space="preserve"> </w:t>
      </w:r>
      <w:hyperlink w:anchor="latin-record-0572">
        <w:r>
          <w:rPr>
            <w:color w:val="000000"/>
          </w:rPr>
          <w:t xml:space="preserve">ingenium</w:t>
        </w:r>
      </w:hyperlink>
      <w:r>
        <w:rPr>
          <w:b w:val="0"/>
          <w:i w:val="0"/>
        </w:rPr>
        <w:t>.</w:t>
      </w:r>
    </w:p>
    <w:p>
      <w:pPr>
        <w:widowControl/>
      </w:pPr>
      <w:r>
        <w:rPr>
          <w:b/>
          <w:i w:val="0"/>
        </w:rPr>
        <w:t>inhaeret.</w:t>
      </w:r>
      <w:r>
        <w:rPr>
          <w:b w:val="0"/>
          <w:i w:val="0"/>
        </w:rPr>
        <w:t xml:space="preserve"> </w:t>
      </w:r>
      <w:hyperlink w:anchor="latin-record-0573">
        <w:r>
          <w:rPr>
            <w:color w:val="000000"/>
          </w:rPr>
          <w:t xml:space="preserve">inhaereo / sustineo</w:t>
        </w:r>
      </w:hyperlink>
      <w:r>
        <w:rPr>
          <w:b w:val="0"/>
          <w:i w:val="0"/>
        </w:rPr>
        <w:t>.</w:t>
      </w:r>
    </w:p>
    <w:p>
      <w:pPr>
        <w:widowControl/>
      </w:pPr>
      <w:r>
        <w:rPr>
          <w:b/>
          <w:i w:val="0"/>
        </w:rPr>
        <w:t>initium.</w:t>
      </w:r>
      <w:r>
        <w:rPr>
          <w:b w:val="0"/>
          <w:i w:val="0"/>
        </w:rPr>
        <w:t xml:space="preserve"> </w:t>
      </w:r>
      <w:hyperlink w:anchor="latin-record-0574">
        <w:r>
          <w:rPr>
            <w:color w:val="000000"/>
          </w:rPr>
          <w:t xml:space="preserve">initium / incipere / desinere</w:t>
        </w:r>
      </w:hyperlink>
      <w:r>
        <w:rPr>
          <w:b w:val="0"/>
          <w:i w:val="0"/>
        </w:rPr>
        <w:t xml:space="preserve">; </w:t>
      </w:r>
      <w:hyperlink w:anchor="latin-record-0810">
        <w:r>
          <w:rPr>
            <w:color w:val="000000"/>
          </w:rPr>
          <w:t xml:space="preserve">orior / initium</w:t>
        </w:r>
      </w:hyperlink>
      <w:r>
        <w:rPr>
          <w:b w:val="0"/>
          <w:i w:val="0"/>
        </w:rPr>
        <w:t>.</w:t>
      </w:r>
    </w:p>
    <w:p>
      <w:pPr>
        <w:widowControl/>
      </w:pPr>
      <w:r>
        <w:rPr>
          <w:b/>
          <w:i w:val="0"/>
        </w:rPr>
        <w:t>innata.</w:t>
      </w:r>
      <w:r>
        <w:rPr>
          <w:b w:val="0"/>
          <w:i w:val="0"/>
        </w:rPr>
        <w:t xml:space="preserve"> </w:t>
      </w:r>
      <w:hyperlink w:anchor="latin-record-0228">
        <w:r>
          <w:rPr>
            <w:color w:val="000000"/>
          </w:rPr>
          <w:t xml:space="preserve">condicio / innatus</w:t>
        </w:r>
      </w:hyperlink>
      <w:r>
        <w:rPr>
          <w:b w:val="0"/>
          <w:i w:val="0"/>
        </w:rPr>
        <w:t>.</w:t>
      </w:r>
    </w:p>
    <w:p>
      <w:pPr>
        <w:widowControl/>
      </w:pPr>
      <w:r>
        <w:rPr>
          <w:b/>
          <w:i w:val="0"/>
        </w:rPr>
        <w:t>innata cupiditas.</w:t>
      </w:r>
      <w:r>
        <w:rPr>
          <w:b w:val="0"/>
          <w:i w:val="0"/>
        </w:rPr>
        <w:t xml:space="preserve"> </w:t>
      </w:r>
      <w:hyperlink w:anchor="latin-record-0432">
        <w:r>
          <w:rPr>
            <w:color w:val="000000"/>
          </w:rPr>
          <w:t xml:space="preserve">fatalis lex / innata cupiditas</w:t>
        </w:r>
      </w:hyperlink>
      <w:r>
        <w:rPr>
          <w:b w:val="0"/>
          <w:i w:val="0"/>
        </w:rPr>
        <w:t>.</w:t>
      </w:r>
    </w:p>
    <w:p>
      <w:pPr>
        <w:widowControl/>
      </w:pPr>
      <w:r>
        <w:rPr>
          <w:b/>
          <w:i w:val="0"/>
        </w:rPr>
        <w:t>innititur.</w:t>
      </w:r>
      <w:r>
        <w:rPr>
          <w:b w:val="0"/>
          <w:i w:val="0"/>
        </w:rPr>
        <w:t xml:space="preserve"> </w:t>
      </w:r>
      <w:hyperlink w:anchor="latin-record-0575">
        <w:r>
          <w:rPr>
            <w:color w:val="000000"/>
          </w:rPr>
          <w:t xml:space="preserve">inniti / subsistere</w:t>
        </w:r>
      </w:hyperlink>
      <w:r>
        <w:rPr>
          <w:b w:val="0"/>
          <w:i w:val="0"/>
        </w:rPr>
        <w:t xml:space="preserve">; </w:t>
      </w:r>
      <w:hyperlink w:anchor="latin-record-0762">
        <w:r>
          <w:rPr>
            <w:color w:val="000000"/>
          </w:rPr>
          <w:t xml:space="preserve">nixus / inniti</w:t>
        </w:r>
      </w:hyperlink>
      <w:r>
        <w:rPr>
          <w:b w:val="0"/>
          <w:i w:val="0"/>
        </w:rPr>
        <w:t>.</w:t>
      </w:r>
    </w:p>
    <w:p>
      <w:pPr>
        <w:widowControl/>
      </w:pPr>
      <w:r>
        <w:rPr>
          <w:b/>
          <w:i w:val="0"/>
        </w:rPr>
        <w:t>innumerabilia.</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innumeras.</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innumere.</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inordinataeque.</w:t>
      </w:r>
      <w:r>
        <w:rPr>
          <w:b w:val="0"/>
          <w:i w:val="0"/>
        </w:rPr>
        <w:t xml:space="preserve"> </w:t>
      </w:r>
      <w:hyperlink w:anchor="latin-record-1137">
        <w:r>
          <w:rPr>
            <w:color w:val="000000"/>
          </w:rPr>
          <w:t xml:space="preserve">stabilis / instabilis / inordinatus</w:t>
        </w:r>
      </w:hyperlink>
      <w:r>
        <w:rPr>
          <w:b w:val="0"/>
          <w:i w:val="0"/>
        </w:rPr>
        <w:t>.</w:t>
      </w:r>
    </w:p>
    <w:p>
      <w:pPr>
        <w:widowControl/>
      </w:pPr>
      <w:r>
        <w:rPr>
          <w:b/>
          <w:i w:val="0"/>
        </w:rPr>
        <w:t>inquam.</w:t>
      </w:r>
      <w:r>
        <w:rPr>
          <w:b w:val="0"/>
          <w:i w:val="0"/>
        </w:rPr>
        <w:t xml:space="preserve"> </w:t>
      </w:r>
      <w:hyperlink w:anchor="latin-record-0576">
        <w:r>
          <w:rPr>
            <w:color w:val="000000"/>
          </w:rPr>
          <w:t xml:space="preserve">inquam / inquit</w:t>
        </w:r>
      </w:hyperlink>
      <w:r>
        <w:rPr>
          <w:b w:val="0"/>
          <w:i w:val="0"/>
        </w:rPr>
        <w:t>.</w:t>
      </w:r>
    </w:p>
    <w:p>
      <w:pPr>
        <w:widowControl/>
      </w:pPr>
      <w:r>
        <w:rPr>
          <w:b/>
          <w:i w:val="0"/>
        </w:rPr>
        <w:t>inquietudinem.</w:t>
      </w:r>
      <w:r>
        <w:rPr>
          <w:b w:val="0"/>
          <w:i w:val="0"/>
        </w:rPr>
        <w:t xml:space="preserve"> </w:t>
      </w:r>
      <w:hyperlink w:anchor="latin-record-0577">
        <w:r>
          <w:rPr>
            <w:color w:val="000000"/>
          </w:rPr>
          <w:t xml:space="preserve">inquietudo / imbecillitas</w:t>
        </w:r>
      </w:hyperlink>
      <w:r>
        <w:rPr>
          <w:b w:val="0"/>
          <w:i w:val="0"/>
        </w:rPr>
        <w:t>.</w:t>
      </w:r>
    </w:p>
    <w:p>
      <w:pPr>
        <w:widowControl/>
      </w:pPr>
      <w:r>
        <w:rPr>
          <w:b/>
          <w:i w:val="0"/>
        </w:rPr>
        <w:t>inquinata.</w:t>
      </w:r>
      <w:r>
        <w:rPr>
          <w:b w:val="0"/>
          <w:i w:val="0"/>
        </w:rPr>
        <w:t xml:space="preserve"> </w:t>
      </w:r>
      <w:hyperlink w:anchor="latin-record-0578">
        <w:r>
          <w:rPr>
            <w:color w:val="000000"/>
          </w:rPr>
          <w:t xml:space="preserve">inquinare / contagio</w:t>
        </w:r>
      </w:hyperlink>
      <w:r>
        <w:rPr>
          <w:b w:val="0"/>
          <w:i w:val="0"/>
        </w:rPr>
        <w:t>.</w:t>
      </w:r>
    </w:p>
    <w:p>
      <w:pPr>
        <w:widowControl/>
      </w:pPr>
      <w:r>
        <w:rPr>
          <w:b/>
          <w:i w:val="0"/>
        </w:rPr>
        <w:t>inquinatae.</w:t>
      </w:r>
      <w:r>
        <w:rPr>
          <w:b w:val="0"/>
          <w:i w:val="0"/>
        </w:rPr>
        <w:t xml:space="preserve"> </w:t>
      </w:r>
      <w:hyperlink w:anchor="latin-record-0578">
        <w:r>
          <w:rPr>
            <w:color w:val="000000"/>
          </w:rPr>
          <w:t xml:space="preserve">inquinare / contagio</w:t>
        </w:r>
      </w:hyperlink>
      <w:r>
        <w:rPr>
          <w:b w:val="0"/>
          <w:i w:val="0"/>
        </w:rPr>
        <w:t>.</w:t>
      </w:r>
    </w:p>
    <w:p>
      <w:pPr>
        <w:widowControl/>
      </w:pPr>
      <w:r>
        <w:rPr>
          <w:b/>
          <w:i w:val="0"/>
        </w:rPr>
        <w:t>inquinationem.</w:t>
      </w:r>
      <w:r>
        <w:rPr>
          <w:b w:val="0"/>
          <w:i w:val="0"/>
        </w:rPr>
        <w:t xml:space="preserve"> </w:t>
      </w:r>
      <w:hyperlink w:anchor="latin-record-0028">
        <w:r>
          <w:rPr>
            <w:color w:val="000000"/>
          </w:rPr>
          <w:t xml:space="preserve">admixtio / inquinatio</w:t>
        </w:r>
      </w:hyperlink>
      <w:r>
        <w:rPr>
          <w:b w:val="0"/>
          <w:i w:val="0"/>
        </w:rPr>
        <w:t>.</w:t>
      </w:r>
    </w:p>
    <w:p>
      <w:pPr>
        <w:widowControl/>
      </w:pPr>
      <w:r>
        <w:rPr>
          <w:b/>
          <w:i w:val="0"/>
        </w:rPr>
        <w:t>inquinetur.</w:t>
      </w:r>
      <w:r>
        <w:rPr>
          <w:b w:val="0"/>
          <w:i w:val="0"/>
        </w:rPr>
        <w:t xml:space="preserve"> </w:t>
      </w:r>
      <w:hyperlink w:anchor="latin-record-0564">
        <w:r>
          <w:rPr>
            <w:color w:val="000000"/>
          </w:rPr>
          <w:t xml:space="preserve">inficio / inquino</w:t>
        </w:r>
      </w:hyperlink>
      <w:r>
        <w:rPr>
          <w:b w:val="0"/>
          <w:i w:val="0"/>
        </w:rPr>
        <w:t>.</w:t>
      </w:r>
    </w:p>
    <w:p>
      <w:pPr>
        <w:widowControl/>
      </w:pPr>
      <w:r>
        <w:rPr>
          <w:b/>
          <w:i w:val="0"/>
        </w:rPr>
        <w:t>inquit.</w:t>
      </w:r>
      <w:r>
        <w:rPr>
          <w:b w:val="0"/>
          <w:i w:val="0"/>
        </w:rPr>
        <w:t xml:space="preserve"> </w:t>
      </w:r>
      <w:hyperlink w:anchor="latin-record-0576">
        <w:r>
          <w:rPr>
            <w:color w:val="000000"/>
          </w:rPr>
          <w:t xml:space="preserve">inquam / inquit</w:t>
        </w:r>
      </w:hyperlink>
      <w:r>
        <w:rPr>
          <w:b w:val="0"/>
          <w:i w:val="0"/>
        </w:rPr>
        <w:t>.</w:t>
      </w:r>
    </w:p>
    <w:p>
      <w:pPr>
        <w:widowControl/>
      </w:pPr>
      <w:r>
        <w:rPr>
          <w:b/>
          <w:i w:val="0"/>
        </w:rPr>
        <w:t>inscitia.</w:t>
      </w:r>
      <w:r>
        <w:rPr>
          <w:b w:val="0"/>
          <w:i w:val="0"/>
        </w:rPr>
        <w:t xml:space="preserve"> </w:t>
      </w:r>
      <w:hyperlink w:anchor="latin-record-1269">
        <w:r>
          <w:rPr>
            <w:color w:val="000000"/>
          </w:rPr>
          <w:t xml:space="preserve">vis / inscitia</w:t>
        </w:r>
      </w:hyperlink>
      <w:r>
        <w:rPr>
          <w:b w:val="0"/>
          <w:i w:val="0"/>
        </w:rPr>
        <w:t>.</w:t>
      </w:r>
    </w:p>
    <w:p>
      <w:pPr>
        <w:widowControl/>
      </w:pPr>
      <w:r>
        <w:rPr>
          <w:b/>
          <w:i w:val="0"/>
        </w:rPr>
        <w:t>inscribendum.</w:t>
      </w:r>
      <w:r>
        <w:rPr>
          <w:b w:val="0"/>
          <w:i w:val="0"/>
        </w:rPr>
        <w:t xml:space="preserve"> </w:t>
      </w:r>
      <w:hyperlink w:anchor="latin-record-0579">
        <w:r>
          <w:rPr>
            <w:color w:val="000000"/>
          </w:rPr>
          <w:t xml:space="preserve">inscribo / opus</w:t>
        </w:r>
      </w:hyperlink>
      <w:r>
        <w:rPr>
          <w:b w:val="0"/>
          <w:i w:val="0"/>
        </w:rPr>
        <w:t>.</w:t>
      </w:r>
    </w:p>
    <w:p>
      <w:pPr>
        <w:widowControl/>
      </w:pPr>
      <w:r>
        <w:rPr>
          <w:b/>
          <w:i w:val="0"/>
        </w:rPr>
        <w:t>inserit.</w:t>
      </w:r>
      <w:r>
        <w:rPr>
          <w:b w:val="0"/>
          <w:i w:val="0"/>
        </w:rPr>
        <w:t xml:space="preserve"> </w:t>
      </w:r>
      <w:hyperlink w:anchor="latin-record-0580">
        <w:r>
          <w:rPr>
            <w:color w:val="000000"/>
          </w:rPr>
          <w:t xml:space="preserve">inserere / retrahere</w:t>
        </w:r>
      </w:hyperlink>
      <w:r>
        <w:rPr>
          <w:b w:val="0"/>
          <w:i w:val="0"/>
        </w:rPr>
        <w:t>.</w:t>
      </w:r>
    </w:p>
    <w:p>
      <w:pPr>
        <w:widowControl/>
      </w:pPr>
      <w:r>
        <w:rPr>
          <w:b/>
          <w:i w:val="0"/>
        </w:rPr>
        <w:t>insint.</w:t>
      </w:r>
      <w:r>
        <w:rPr>
          <w:b w:val="0"/>
          <w:i w:val="0"/>
        </w:rPr>
        <w:t xml:space="preserve"> </w:t>
      </w:r>
      <w:hyperlink w:anchor="latin-record-0562">
        <w:r>
          <w:rPr>
            <w:color w:val="000000"/>
          </w:rPr>
          <w:t xml:space="preserve">inesse / insitus</w:t>
        </w:r>
      </w:hyperlink>
      <w:r>
        <w:rPr>
          <w:b w:val="0"/>
          <w:i w:val="0"/>
        </w:rPr>
        <w:t>.</w:t>
      </w:r>
    </w:p>
    <w:p>
      <w:pPr>
        <w:widowControl/>
      </w:pPr>
      <w:r>
        <w:rPr>
          <w:b/>
          <w:i w:val="0"/>
        </w:rPr>
        <w:t>insinuat.</w:t>
      </w:r>
      <w:r>
        <w:rPr>
          <w:b w:val="0"/>
          <w:i w:val="0"/>
        </w:rPr>
        <w:t xml:space="preserve"> </w:t>
      </w:r>
      <w:hyperlink w:anchor="latin-record-0581">
        <w:r>
          <w:rPr>
            <w:color w:val="000000"/>
          </w:rPr>
          <w:t xml:space="preserve">insinuo</w:t>
        </w:r>
      </w:hyperlink>
      <w:r>
        <w:rPr>
          <w:b w:val="0"/>
          <w:i w:val="0"/>
        </w:rPr>
        <w:t>.</w:t>
      </w:r>
    </w:p>
    <w:p>
      <w:pPr>
        <w:widowControl/>
      </w:pPr>
      <w:r>
        <w:rPr>
          <w:b/>
          <w:i w:val="0"/>
        </w:rPr>
        <w:t>insipientiaque.</w:t>
      </w:r>
      <w:r>
        <w:rPr>
          <w:b w:val="0"/>
          <w:i w:val="0"/>
        </w:rPr>
        <w:t xml:space="preserve"> </w:t>
      </w:r>
      <w:hyperlink w:anchor="latin-record-0526">
        <w:r>
          <w:rPr>
            <w:color w:val="000000"/>
          </w:rPr>
          <w:t xml:space="preserve">imbecillitas / insipientia</w:t>
        </w:r>
      </w:hyperlink>
      <w:r>
        <w:rPr>
          <w:b w:val="0"/>
          <w:i w:val="0"/>
        </w:rPr>
        <w:t>.</w:t>
      </w:r>
    </w:p>
    <w:p>
      <w:pPr>
        <w:widowControl/>
      </w:pPr>
      <w:r>
        <w:rPr>
          <w:b/>
          <w:i w:val="0"/>
        </w:rPr>
        <w:t>insit.</w:t>
      </w:r>
      <w:r>
        <w:rPr>
          <w:b w:val="0"/>
          <w:i w:val="0"/>
        </w:rPr>
        <w:t xml:space="preserve"> </w:t>
      </w:r>
      <w:hyperlink w:anchor="latin-record-0025">
        <w:r>
          <w:rPr>
            <w:color w:val="000000"/>
          </w:rPr>
          <w:t xml:space="preserve">adesse / inesse</w:t>
        </w:r>
      </w:hyperlink>
      <w:r>
        <w:rPr>
          <w:b w:val="0"/>
          <w:i w:val="0"/>
        </w:rPr>
        <w:t>.</w:t>
      </w:r>
    </w:p>
    <w:p>
      <w:pPr>
        <w:widowControl/>
      </w:pPr>
      <w:r>
        <w:rPr>
          <w:b/>
          <w:i w:val="0"/>
        </w:rPr>
        <w:t>insita.</w:t>
      </w:r>
      <w:r>
        <w:rPr>
          <w:b w:val="0"/>
          <w:i w:val="0"/>
        </w:rPr>
        <w:t xml:space="preserve"> </w:t>
      </w:r>
      <w:hyperlink w:anchor="latin-record-0561">
        <w:r>
          <w:rPr>
            <w:color w:val="000000"/>
          </w:rPr>
          <w:t xml:space="preserve">inesse / adesse / insitus</w:t>
        </w:r>
      </w:hyperlink>
      <w:r>
        <w:rPr>
          <w:b w:val="0"/>
          <w:i w:val="0"/>
        </w:rPr>
        <w:t xml:space="preserve">; </w:t>
      </w:r>
      <w:hyperlink w:anchor="latin-record-0582">
        <w:r>
          <w:rPr>
            <w:color w:val="000000"/>
          </w:rPr>
          <w:t xml:space="preserve">insitus</w:t>
        </w:r>
      </w:hyperlink>
      <w:r>
        <w:rPr>
          <w:b w:val="0"/>
          <w:i w:val="0"/>
        </w:rPr>
        <w:t>.</w:t>
      </w:r>
    </w:p>
    <w:p>
      <w:pPr>
        <w:widowControl/>
      </w:pPr>
      <w:r>
        <w:rPr>
          <w:b/>
          <w:i w:val="0"/>
        </w:rPr>
        <w:t>insitam.</w:t>
      </w:r>
      <w:r>
        <w:rPr>
          <w:b w:val="0"/>
          <w:i w:val="0"/>
        </w:rPr>
        <w:t xml:space="preserve"> </w:t>
      </w:r>
      <w:hyperlink w:anchor="latin-record-0562">
        <w:r>
          <w:rPr>
            <w:color w:val="000000"/>
          </w:rPr>
          <w:t xml:space="preserve">inesse / insitus</w:t>
        </w:r>
      </w:hyperlink>
      <w:r>
        <w:rPr>
          <w:b w:val="0"/>
          <w:i w:val="0"/>
        </w:rPr>
        <w:t>.</w:t>
      </w:r>
    </w:p>
    <w:p>
      <w:pPr>
        <w:widowControl/>
      </w:pPr>
      <w:r>
        <w:rPr>
          <w:b/>
          <w:i w:val="0"/>
        </w:rPr>
        <w:t>insitum.</w:t>
      </w:r>
      <w:r>
        <w:rPr>
          <w:b w:val="0"/>
          <w:i w:val="0"/>
        </w:rPr>
        <w:t xml:space="preserve"> </w:t>
      </w:r>
      <w:hyperlink w:anchor="latin-record-0582">
        <w:r>
          <w:rPr>
            <w:color w:val="000000"/>
          </w:rPr>
          <w:t xml:space="preserve">insitus</w:t>
        </w:r>
      </w:hyperlink>
      <w:r>
        <w:rPr>
          <w:b w:val="0"/>
          <w:i w:val="0"/>
        </w:rPr>
        <w:t>.</w:t>
      </w:r>
    </w:p>
    <w:p>
      <w:pPr>
        <w:widowControl/>
      </w:pPr>
      <w:r>
        <w:rPr>
          <w:b/>
          <w:i w:val="0"/>
        </w:rPr>
        <w:t>inspicit.</w:t>
      </w:r>
      <w:r>
        <w:rPr>
          <w:b w:val="0"/>
          <w:i w:val="0"/>
        </w:rPr>
        <w:t xml:space="preserve"> </w:t>
      </w:r>
      <w:hyperlink w:anchor="latin-record-0609">
        <w:r>
          <w:rPr>
            <w:color w:val="000000"/>
          </w:rPr>
          <w:t xml:space="preserve">intuitus / intueri / conspicere</w:t>
        </w:r>
      </w:hyperlink>
      <w:r>
        <w:rPr>
          <w:b w:val="0"/>
          <w:i w:val="0"/>
        </w:rPr>
        <w:t xml:space="preserve">; </w:t>
      </w:r>
      <w:hyperlink w:anchor="latin-record-1054">
        <w:r>
          <w:rPr>
            <w:color w:val="000000"/>
          </w:rPr>
          <w:t xml:space="preserve">respicere / suspicere / inspicere</w:t>
        </w:r>
      </w:hyperlink>
      <w:r>
        <w:rPr>
          <w:b w:val="0"/>
          <w:i w:val="0"/>
        </w:rPr>
        <w:t>.</w:t>
      </w:r>
    </w:p>
    <w:p>
      <w:pPr>
        <w:widowControl/>
      </w:pPr>
      <w:r>
        <w:rPr>
          <w:b/>
          <w:i w:val="0"/>
        </w:rPr>
        <w:t>instabiles.</w:t>
      </w:r>
      <w:r>
        <w:rPr>
          <w:b w:val="0"/>
          <w:i w:val="0"/>
        </w:rPr>
        <w:t xml:space="preserve"> </w:t>
      </w:r>
      <w:hyperlink w:anchor="latin-record-1137">
        <w:r>
          <w:rPr>
            <w:color w:val="000000"/>
          </w:rPr>
          <w:t xml:space="preserve">stabilis / instabilis / inordinatus</w:t>
        </w:r>
      </w:hyperlink>
      <w:r>
        <w:rPr>
          <w:b w:val="0"/>
          <w:i w:val="0"/>
        </w:rPr>
        <w:t>.</w:t>
      </w:r>
    </w:p>
    <w:p>
      <w:pPr>
        <w:widowControl/>
      </w:pPr>
      <w:r>
        <w:rPr>
          <w:b/>
          <w:i w:val="0"/>
        </w:rPr>
        <w:t>instar.</w:t>
      </w:r>
      <w:r>
        <w:rPr>
          <w:b w:val="0"/>
          <w:i w:val="0"/>
        </w:rPr>
        <w:t xml:space="preserve"> </w:t>
      </w:r>
      <w:hyperlink w:anchor="latin-record-0397">
        <w:r>
          <w:rPr>
            <w:color w:val="000000"/>
          </w:rPr>
          <w:t xml:space="preserve">exemplum / instar</w:t>
        </w:r>
      </w:hyperlink>
      <w:r>
        <w:rPr>
          <w:b w:val="0"/>
          <w:i w:val="0"/>
        </w:rPr>
        <w:t xml:space="preserve">; </w:t>
      </w:r>
      <w:hyperlink w:anchor="latin-record-0583">
        <w:r>
          <w:rPr>
            <w:color w:val="000000"/>
          </w:rPr>
          <w:t xml:space="preserve">instar</w:t>
        </w:r>
      </w:hyperlink>
      <w:r>
        <w:rPr>
          <w:b w:val="0"/>
          <w:i w:val="0"/>
        </w:rPr>
        <w:t>.</w:t>
      </w:r>
    </w:p>
    <w:p>
      <w:pPr>
        <w:widowControl/>
      </w:pPr>
      <w:r>
        <w:rPr>
          <w:b/>
          <w:i w:val="0"/>
        </w:rPr>
        <w:t>instinctu.</w:t>
      </w:r>
      <w:r>
        <w:rPr>
          <w:b w:val="0"/>
          <w:i w:val="0"/>
        </w:rPr>
        <w:t xml:space="preserve"> </w:t>
      </w:r>
      <w:hyperlink w:anchor="latin-record-0584">
        <w:r>
          <w:rPr>
            <w:color w:val="000000"/>
          </w:rPr>
          <w:t xml:space="preserve">instinctus</w:t>
        </w:r>
      </w:hyperlink>
      <w:r>
        <w:rPr>
          <w:b w:val="0"/>
          <w:i w:val="0"/>
        </w:rPr>
        <w:t xml:space="preserve">; </w:t>
      </w:r>
      <w:hyperlink w:anchor="latin-record-0585">
        <w:r>
          <w:rPr>
            <w:color w:val="000000"/>
          </w:rPr>
          <w:t xml:space="preserve">instinctus / niti</w:t>
        </w:r>
      </w:hyperlink>
      <w:r>
        <w:rPr>
          <w:b w:val="0"/>
          <w:i w:val="0"/>
        </w:rPr>
        <w:t>.</w:t>
      </w:r>
    </w:p>
    <w:p>
      <w:pPr>
        <w:widowControl/>
      </w:pPr>
      <w:r>
        <w:rPr>
          <w:b/>
          <w:i w:val="0"/>
        </w:rPr>
        <w:t>instinctum.</w:t>
      </w:r>
      <w:r>
        <w:rPr>
          <w:b w:val="0"/>
          <w:i w:val="0"/>
        </w:rPr>
        <w:t xml:space="preserve"> </w:t>
      </w:r>
      <w:hyperlink w:anchor="latin-record-0585">
        <w:r>
          <w:rPr>
            <w:color w:val="000000"/>
          </w:rPr>
          <w:t xml:space="preserve">instinctus / niti</w:t>
        </w:r>
      </w:hyperlink>
      <w:r>
        <w:rPr>
          <w:b w:val="0"/>
          <w:i w:val="0"/>
        </w:rPr>
        <w:t>.</w:t>
      </w:r>
    </w:p>
    <w:p>
      <w:pPr>
        <w:widowControl/>
      </w:pPr>
      <w:r>
        <w:rPr>
          <w:b/>
          <w:i w:val="0"/>
        </w:rPr>
        <w:t>instinctus.</w:t>
      </w:r>
      <w:r>
        <w:rPr>
          <w:b w:val="0"/>
          <w:i w:val="0"/>
        </w:rPr>
        <w:t xml:space="preserve"> </w:t>
      </w:r>
      <w:hyperlink w:anchor="latin-record-0568">
        <w:r>
          <w:rPr>
            <w:color w:val="000000"/>
          </w:rPr>
          <w:t xml:space="preserve">influxus / instinctus</w:t>
        </w:r>
      </w:hyperlink>
      <w:r>
        <w:rPr>
          <w:b w:val="0"/>
          <w:i w:val="0"/>
        </w:rPr>
        <w:t>.</w:t>
      </w:r>
    </w:p>
    <w:p>
      <w:pPr>
        <w:widowControl/>
      </w:pPr>
      <w:r>
        <w:rPr>
          <w:b/>
          <w:i w:val="0"/>
        </w:rPr>
        <w:t>instituta.</w:t>
      </w:r>
      <w:r>
        <w:rPr>
          <w:b w:val="0"/>
          <w:i w:val="0"/>
        </w:rPr>
        <w:t xml:space="preserve"> </w:t>
      </w:r>
      <w:hyperlink w:anchor="latin-record-0586">
        <w:r>
          <w:rPr>
            <w:color w:val="000000"/>
          </w:rPr>
          <w:t xml:space="preserve">instituo</w:t>
        </w:r>
      </w:hyperlink>
      <w:r>
        <w:rPr>
          <w:b w:val="0"/>
          <w:i w:val="0"/>
        </w:rPr>
        <w:t>.</w:t>
      </w:r>
    </w:p>
    <w:p>
      <w:pPr>
        <w:widowControl/>
      </w:pPr>
      <w:r>
        <w:rPr>
          <w:b/>
          <w:i w:val="0"/>
        </w:rPr>
        <w:t>institutio vitae.</w:t>
      </w:r>
      <w:r>
        <w:rPr>
          <w:b w:val="0"/>
          <w:i w:val="0"/>
        </w:rPr>
        <w:t xml:space="preserve"> </w:t>
      </w:r>
      <w:hyperlink w:anchor="latin-record-0587">
        <w:r>
          <w:rPr>
            <w:color w:val="000000"/>
          </w:rPr>
          <w:t xml:space="preserve">institutio vitae</w:t>
        </w:r>
      </w:hyperlink>
      <w:r>
        <w:rPr>
          <w:b w:val="0"/>
          <w:i w:val="0"/>
        </w:rPr>
        <w:t>.</w:t>
      </w:r>
    </w:p>
    <w:p>
      <w:pPr>
        <w:widowControl/>
      </w:pPr>
      <w:r>
        <w:rPr>
          <w:b/>
          <w:i w:val="0"/>
        </w:rPr>
        <w:t>institutum.</w:t>
      </w:r>
      <w:r>
        <w:rPr>
          <w:b w:val="0"/>
          <w:i w:val="0"/>
        </w:rPr>
        <w:t xml:space="preserve"> </w:t>
      </w:r>
      <w:hyperlink w:anchor="latin-record-0960">
        <w:r>
          <w:rPr>
            <w:color w:val="000000"/>
          </w:rPr>
          <w:t xml:space="preserve">propositum / institutum</w:t>
        </w:r>
      </w:hyperlink>
      <w:r>
        <w:rPr>
          <w:b w:val="0"/>
          <w:i w:val="0"/>
        </w:rPr>
        <w:t>.</w:t>
      </w:r>
    </w:p>
    <w:p>
      <w:pPr>
        <w:widowControl/>
      </w:pPr>
      <w:r>
        <w:rPr>
          <w:b/>
          <w:i w:val="0"/>
        </w:rPr>
        <w:t>institutus.</w:t>
      </w:r>
      <w:r>
        <w:rPr>
          <w:b w:val="0"/>
          <w:i w:val="0"/>
        </w:rPr>
        <w:t xml:space="preserve"> </w:t>
      </w:r>
      <w:hyperlink w:anchor="latin-record-0332">
        <w:r>
          <w:rPr>
            <w:color w:val="000000"/>
          </w:rPr>
          <w:t xml:space="preserve">disiungere / disponere / instituere</w:t>
        </w:r>
      </w:hyperlink>
      <w:r>
        <w:rPr>
          <w:b w:val="0"/>
          <w:i w:val="0"/>
        </w:rPr>
        <w:t xml:space="preserve">; </w:t>
      </w:r>
      <w:hyperlink w:anchor="latin-record-0586">
        <w:r>
          <w:rPr>
            <w:color w:val="000000"/>
          </w:rPr>
          <w:t xml:space="preserve">instituo</w:t>
        </w:r>
      </w:hyperlink>
      <w:r>
        <w:rPr>
          <w:b w:val="0"/>
          <w:i w:val="0"/>
        </w:rPr>
        <w:t>.</w:t>
      </w:r>
    </w:p>
    <w:p>
      <w:pPr>
        <w:widowControl/>
      </w:pPr>
      <w:r>
        <w:rPr>
          <w:b/>
          <w:i w:val="0"/>
        </w:rPr>
        <w:t>instructum.</w:t>
      </w:r>
      <w:r>
        <w:rPr>
          <w:b w:val="0"/>
          <w:i w:val="0"/>
        </w:rPr>
        <w:t xml:space="preserve"> </w:t>
      </w:r>
      <w:hyperlink w:anchor="latin-record-0588">
        <w:r>
          <w:rPr>
            <w:color w:val="000000"/>
          </w:rPr>
          <w:t xml:space="preserve">instruere / instrumentum</w:t>
        </w:r>
      </w:hyperlink>
      <w:r>
        <w:rPr>
          <w:b w:val="0"/>
          <w:i w:val="0"/>
        </w:rPr>
        <w:t>.</w:t>
      </w:r>
    </w:p>
    <w:p>
      <w:pPr>
        <w:widowControl/>
      </w:pPr>
      <w:r>
        <w:rPr>
          <w:b/>
          <w:i w:val="0"/>
        </w:rPr>
        <w:t>instrumenta.</w:t>
      </w:r>
      <w:r>
        <w:rPr>
          <w:b w:val="0"/>
          <w:i w:val="0"/>
        </w:rPr>
        <w:t xml:space="preserve"> </w:t>
      </w:r>
      <w:hyperlink w:anchor="latin-record-0589">
        <w:r>
          <w:rPr>
            <w:color w:val="000000"/>
          </w:rPr>
          <w:t xml:space="preserve">instrumentum</w:t>
        </w:r>
      </w:hyperlink>
      <w:r>
        <w:rPr>
          <w:b w:val="0"/>
          <w:i w:val="0"/>
        </w:rPr>
        <w:t xml:space="preserve">; </w:t>
      </w:r>
      <w:hyperlink w:anchor="latin-record-0590">
        <w:r>
          <w:rPr>
            <w:color w:val="000000"/>
          </w:rPr>
          <w:t xml:space="preserve">instrumentum / opifex</w:t>
        </w:r>
      </w:hyperlink>
      <w:r>
        <w:rPr>
          <w:b w:val="0"/>
          <w:i w:val="0"/>
        </w:rPr>
        <w:t>.</w:t>
      </w:r>
    </w:p>
    <w:p>
      <w:pPr>
        <w:widowControl/>
      </w:pPr>
      <w:r>
        <w:rPr>
          <w:b/>
          <w:i w:val="0"/>
        </w:rPr>
        <w:t>instrumentis.</w:t>
      </w:r>
      <w:r>
        <w:rPr>
          <w:b w:val="0"/>
          <w:i w:val="0"/>
        </w:rPr>
        <w:t xml:space="preserve"> </w:t>
      </w:r>
      <w:hyperlink w:anchor="latin-record-0210">
        <w:r>
          <w:rPr>
            <w:color w:val="000000"/>
          </w:rPr>
          <w:t xml:space="preserve">complexio / instrumenta</w:t>
        </w:r>
      </w:hyperlink>
      <w:r>
        <w:rPr>
          <w:b w:val="0"/>
          <w:i w:val="0"/>
        </w:rPr>
        <w:t xml:space="preserve">; </w:t>
      </w:r>
      <w:hyperlink w:anchor="latin-record-0588">
        <w:r>
          <w:rPr>
            <w:color w:val="000000"/>
          </w:rPr>
          <w:t xml:space="preserve">instruere / instrumentum</w:t>
        </w:r>
      </w:hyperlink>
      <w:r>
        <w:rPr>
          <w:b w:val="0"/>
          <w:i w:val="0"/>
        </w:rPr>
        <w:t>.</w:t>
      </w:r>
    </w:p>
    <w:p>
      <w:pPr>
        <w:widowControl/>
      </w:pPr>
      <w:r>
        <w:rPr>
          <w:b/>
          <w:i w:val="0"/>
        </w:rPr>
        <w:t>instrumentum.</w:t>
      </w:r>
      <w:r>
        <w:rPr>
          <w:b w:val="0"/>
          <w:i w:val="0"/>
        </w:rPr>
        <w:t xml:space="preserve"> </w:t>
      </w:r>
      <w:hyperlink w:anchor="latin-record-0589">
        <w:r>
          <w:rPr>
            <w:color w:val="000000"/>
          </w:rPr>
          <w:t xml:space="preserve">instrumentum</w:t>
        </w:r>
      </w:hyperlink>
      <w:r>
        <w:rPr>
          <w:b w:val="0"/>
          <w:i w:val="0"/>
        </w:rPr>
        <w:t xml:space="preserve">; </w:t>
      </w:r>
      <w:hyperlink w:anchor="latin-record-0590">
        <w:r>
          <w:rPr>
            <w:color w:val="000000"/>
          </w:rPr>
          <w:t xml:space="preserve">instrumentum / opifex</w:t>
        </w:r>
      </w:hyperlink>
      <w:r>
        <w:rPr>
          <w:b w:val="0"/>
          <w:i w:val="0"/>
        </w:rPr>
        <w:t>.</w:t>
      </w:r>
    </w:p>
    <w:p>
      <w:pPr>
        <w:widowControl/>
      </w:pPr>
      <w:r>
        <w:rPr>
          <w:b/>
          <w:i w:val="0"/>
        </w:rPr>
        <w:t>insunt.</w:t>
      </w:r>
      <w:r>
        <w:rPr>
          <w:b w:val="0"/>
          <w:i w:val="0"/>
        </w:rPr>
        <w:t xml:space="preserve"> </w:t>
      </w:r>
      <w:hyperlink w:anchor="latin-record-0562">
        <w:r>
          <w:rPr>
            <w:color w:val="000000"/>
          </w:rPr>
          <w:t xml:space="preserve">inesse / insitus</w:t>
        </w:r>
      </w:hyperlink>
      <w:r>
        <w:rPr>
          <w:b w:val="0"/>
          <w:i w:val="0"/>
        </w:rPr>
        <w:t>.</w:t>
      </w:r>
    </w:p>
    <w:p>
      <w:pPr>
        <w:widowControl/>
      </w:pPr>
      <w:r>
        <w:rPr>
          <w:b/>
          <w:i w:val="0"/>
        </w:rPr>
        <w:t>Insunt.</w:t>
      </w:r>
      <w:r>
        <w:rPr>
          <w:b w:val="0"/>
          <w:i w:val="0"/>
        </w:rPr>
        <w:t xml:space="preserve"> </w:t>
      </w:r>
      <w:hyperlink w:anchor="latin-record-1042">
        <w:r>
          <w:rPr>
            <w:color w:val="000000"/>
          </w:rPr>
          <w:t xml:space="preserve">reperio / insum</w:t>
        </w:r>
      </w:hyperlink>
      <w:r>
        <w:rPr>
          <w:b w:val="0"/>
          <w:i w:val="0"/>
        </w:rPr>
        <w:t>.</w:t>
      </w:r>
    </w:p>
    <w:p>
      <w:pPr>
        <w:widowControl/>
      </w:pPr>
      <w:r>
        <w:rPr>
          <w:b/>
          <w:i w:val="0"/>
        </w:rPr>
        <w:t>integram.</w:t>
      </w:r>
      <w:r>
        <w:rPr>
          <w:b w:val="0"/>
          <w:i w:val="0"/>
        </w:rPr>
        <w:t xml:space="preserve"> </w:t>
      </w:r>
      <w:hyperlink w:anchor="latin-record-0592">
        <w:r>
          <w:rPr>
            <w:color w:val="000000"/>
          </w:rPr>
          <w:t xml:space="preserve">integer / totus / plenus</w:t>
        </w:r>
      </w:hyperlink>
      <w:r>
        <w:rPr>
          <w:b w:val="0"/>
          <w:i w:val="0"/>
        </w:rPr>
        <w:t>.</w:t>
      </w:r>
    </w:p>
    <w:p>
      <w:pPr>
        <w:widowControl/>
      </w:pPr>
      <w:r>
        <w:rPr>
          <w:b/>
          <w:i w:val="0"/>
        </w:rPr>
        <w:t>integritate.</w:t>
      </w:r>
      <w:r>
        <w:rPr>
          <w:b w:val="0"/>
          <w:i w:val="0"/>
        </w:rPr>
        <w:t xml:space="preserve"> </w:t>
      </w:r>
      <w:hyperlink w:anchor="latin-record-0593">
        <w:r>
          <w:rPr>
            <w:color w:val="000000"/>
          </w:rPr>
          <w:t xml:space="preserve">integritas / segregare</w:t>
        </w:r>
      </w:hyperlink>
      <w:r>
        <w:rPr>
          <w:b w:val="0"/>
          <w:i w:val="0"/>
        </w:rPr>
        <w:t>.</w:t>
      </w:r>
    </w:p>
    <w:p>
      <w:pPr>
        <w:widowControl/>
      </w:pPr>
      <w:r>
        <w:rPr>
          <w:b/>
          <w:i w:val="0"/>
        </w:rPr>
        <w:t>integrum.</w:t>
      </w:r>
      <w:r>
        <w:rPr>
          <w:b w:val="0"/>
          <w:i w:val="0"/>
        </w:rPr>
        <w:t xml:space="preserve"> </w:t>
      </w:r>
      <w:hyperlink w:anchor="latin-record-0592">
        <w:r>
          <w:rPr>
            <w:color w:val="000000"/>
          </w:rPr>
          <w:t xml:space="preserve">integer / totus / plenus</w:t>
        </w:r>
      </w:hyperlink>
      <w:r>
        <w:rPr>
          <w:b w:val="0"/>
          <w:i w:val="0"/>
        </w:rPr>
        <w:t>.</w:t>
      </w:r>
    </w:p>
    <w:p>
      <w:pPr>
        <w:widowControl/>
      </w:pPr>
      <w:r>
        <w:rPr>
          <w:b/>
          <w:i w:val="0"/>
        </w:rPr>
        <w:t>intellecti.</w:t>
      </w:r>
      <w:r>
        <w:rPr>
          <w:b w:val="0"/>
          <w:i w:val="0"/>
        </w:rPr>
        <w:t xml:space="preserve"> </w:t>
      </w:r>
      <w:hyperlink w:anchor="latin-record-1028">
        <w:r>
          <w:rPr>
            <w:color w:val="000000"/>
          </w:rPr>
          <w:t xml:space="preserve">realis / intellectus (adjectival)</w:t>
        </w:r>
      </w:hyperlink>
      <w:r>
        <w:rPr>
          <w:b w:val="0"/>
          <w:i w:val="0"/>
        </w:rPr>
        <w:t>.</w:t>
      </w:r>
    </w:p>
    <w:p>
      <w:pPr>
        <w:widowControl/>
      </w:pPr>
      <w:r>
        <w:rPr>
          <w:b/>
          <w:i w:val="0"/>
        </w:rPr>
        <w:t>intellectio.</w:t>
      </w:r>
      <w:r>
        <w:rPr>
          <w:b w:val="0"/>
          <w:i w:val="0"/>
        </w:rPr>
        <w:t xml:space="preserve"> </w:t>
      </w:r>
      <w:hyperlink w:anchor="latin-record-0594">
        <w:r>
          <w:rPr>
            <w:color w:val="000000"/>
          </w:rPr>
          <w:t xml:space="preserve">intellectus / intellectio / intelligibile</w:t>
        </w:r>
      </w:hyperlink>
      <w:r>
        <w:rPr>
          <w:b w:val="0"/>
          <w:i w:val="0"/>
        </w:rPr>
        <w:t>.</w:t>
      </w:r>
    </w:p>
    <w:p>
      <w:pPr>
        <w:widowControl/>
      </w:pPr>
      <w:r>
        <w:rPr>
          <w:b/>
          <w:i w:val="0"/>
        </w:rPr>
        <w:t>intellectu.</w:t>
      </w:r>
      <w:r>
        <w:rPr>
          <w:b w:val="0"/>
          <w:i w:val="0"/>
        </w:rPr>
        <w:t xml:space="preserve"> </w:t>
      </w:r>
      <w:hyperlink w:anchor="latin-record-0596">
        <w:r>
          <w:rPr>
            <w:color w:val="000000"/>
          </w:rPr>
          <w:t xml:space="preserve">intellectus / intelligere</w:t>
        </w:r>
      </w:hyperlink>
      <w:r>
        <w:rPr>
          <w:b w:val="0"/>
          <w:i w:val="0"/>
        </w:rPr>
        <w:t>.</w:t>
      </w:r>
    </w:p>
    <w:p>
      <w:pPr>
        <w:widowControl/>
      </w:pPr>
      <w:r>
        <w:rPr>
          <w:b/>
          <w:i w:val="0"/>
        </w:rPr>
        <w:t>intellectum.</w:t>
      </w:r>
      <w:r>
        <w:rPr>
          <w:b w:val="0"/>
          <w:i w:val="0"/>
        </w:rPr>
        <w:t xml:space="preserve"> </w:t>
      </w:r>
      <w:hyperlink w:anchor="latin-record-0596">
        <w:r>
          <w:rPr>
            <w:color w:val="000000"/>
          </w:rPr>
          <w:t xml:space="preserve">intellectus / intelligere</w:t>
        </w:r>
      </w:hyperlink>
      <w:r>
        <w:rPr>
          <w:b w:val="0"/>
          <w:i w:val="0"/>
        </w:rPr>
        <w:t>.</w:t>
      </w:r>
    </w:p>
    <w:p>
      <w:pPr>
        <w:widowControl/>
      </w:pPr>
      <w:r>
        <w:rPr>
          <w:b/>
          <w:i w:val="0"/>
        </w:rPr>
        <w:t>intellectus.</w:t>
      </w:r>
      <w:r>
        <w:rPr>
          <w:b w:val="0"/>
          <w:i w:val="0"/>
        </w:rPr>
        <w:t xml:space="preserve"> </w:t>
      </w:r>
      <w:hyperlink w:anchor="latin-record-0594">
        <w:r>
          <w:rPr>
            <w:color w:val="000000"/>
          </w:rPr>
          <w:t xml:space="preserve">intellectus / intellectio / intelligibile</w:t>
        </w:r>
      </w:hyperlink>
      <w:r>
        <w:rPr>
          <w:b w:val="0"/>
          <w:i w:val="0"/>
        </w:rPr>
        <w:t xml:space="preserve">; </w:t>
      </w:r>
      <w:hyperlink w:anchor="latin-record-0595">
        <w:r>
          <w:rPr>
            <w:color w:val="000000"/>
          </w:rPr>
          <w:t xml:space="preserve">intellectus / intelligentia / intelligere</w:t>
        </w:r>
      </w:hyperlink>
      <w:r>
        <w:rPr>
          <w:b w:val="0"/>
          <w:i w:val="0"/>
        </w:rPr>
        <w:t xml:space="preserve">; </w:t>
      </w:r>
      <w:hyperlink w:anchor="latin-record-0596">
        <w:r>
          <w:rPr>
            <w:color w:val="000000"/>
          </w:rPr>
          <w:t xml:space="preserve">intellectus / intelligere</w:t>
        </w:r>
      </w:hyperlink>
      <w:r>
        <w:rPr>
          <w:b w:val="0"/>
          <w:i w:val="0"/>
        </w:rPr>
        <w:t>.</w:t>
      </w:r>
    </w:p>
    <w:p>
      <w:pPr>
        <w:widowControl/>
      </w:pPr>
      <w:r>
        <w:rPr>
          <w:b/>
          <w:i w:val="0"/>
        </w:rPr>
        <w:t>Intellectus.</w:t>
      </w:r>
      <w:r>
        <w:rPr>
          <w:b w:val="0"/>
          <w:i w:val="0"/>
        </w:rPr>
        <w:t xml:space="preserve"> </w:t>
      </w:r>
      <w:hyperlink w:anchor="latin-record-0596">
        <w:r>
          <w:rPr>
            <w:color w:val="000000"/>
          </w:rPr>
          <w:t xml:space="preserve">intellectus / intelligere</w:t>
        </w:r>
      </w:hyperlink>
      <w:r>
        <w:rPr>
          <w:b w:val="0"/>
          <w:i w:val="0"/>
        </w:rPr>
        <w:t>.</w:t>
      </w:r>
    </w:p>
    <w:p>
      <w:pPr>
        <w:widowControl/>
      </w:pPr>
      <w:r>
        <w:rPr>
          <w:b/>
          <w:i w:val="0"/>
        </w:rPr>
        <w:t>intellectus animales.</w:t>
      </w:r>
      <w:r>
        <w:rPr>
          <w:b w:val="0"/>
          <w:i w:val="0"/>
        </w:rPr>
        <w:t xml:space="preserve"> </w:t>
      </w:r>
      <w:hyperlink w:anchor="latin-record-0597">
        <w:r>
          <w:rPr>
            <w:color w:val="000000"/>
          </w:rPr>
          <w:t xml:space="preserve">intellectus animales / animae corporales</w:t>
        </w:r>
      </w:hyperlink>
      <w:r>
        <w:rPr>
          <w:b w:val="0"/>
          <w:i w:val="0"/>
        </w:rPr>
        <w:t>.</w:t>
      </w:r>
    </w:p>
    <w:p>
      <w:pPr>
        <w:widowControl/>
      </w:pPr>
      <w:r>
        <w:rPr>
          <w:b/>
          <w:i w:val="0"/>
        </w:rPr>
        <w:t>intelligantur.</w:t>
      </w:r>
      <w:r>
        <w:rPr>
          <w:b w:val="0"/>
          <w:i w:val="0"/>
        </w:rPr>
        <w:t xml:space="preserve"> </w:t>
      </w:r>
      <w:hyperlink w:anchor="latin-record-0596">
        <w:r>
          <w:rPr>
            <w:color w:val="000000"/>
          </w:rPr>
          <w:t xml:space="preserve">intellectus / intelligere</w:t>
        </w:r>
      </w:hyperlink>
      <w:r>
        <w:rPr>
          <w:b w:val="0"/>
          <w:i w:val="0"/>
        </w:rPr>
        <w:t>.</w:t>
      </w:r>
    </w:p>
    <w:p>
      <w:pPr>
        <w:widowControl/>
      </w:pPr>
      <w:r>
        <w:rPr>
          <w:b/>
          <w:i w:val="0"/>
        </w:rPr>
        <w:t>intelligenda.</w:t>
      </w:r>
      <w:r>
        <w:rPr>
          <w:b w:val="0"/>
          <w:i w:val="0"/>
        </w:rPr>
        <w:t xml:space="preserve"> </w:t>
      </w:r>
      <w:hyperlink w:anchor="latin-record-0598">
        <w:r>
          <w:rPr>
            <w:color w:val="000000"/>
          </w:rPr>
          <w:t xml:space="preserve">intelligibilis / intelligendus / intelligens</w:t>
        </w:r>
      </w:hyperlink>
      <w:r>
        <w:rPr>
          <w:b w:val="0"/>
          <w:i w:val="0"/>
        </w:rPr>
        <w:t>.</w:t>
      </w:r>
    </w:p>
    <w:p>
      <w:pPr>
        <w:widowControl/>
      </w:pPr>
      <w:r>
        <w:rPr>
          <w:b/>
          <w:i w:val="0"/>
        </w:rPr>
        <w:t>intelligendae.</w:t>
      </w:r>
      <w:r>
        <w:rPr>
          <w:b w:val="0"/>
          <w:i w:val="0"/>
        </w:rPr>
        <w:t xml:space="preserve"> </w:t>
      </w:r>
      <w:hyperlink w:anchor="latin-record-0598">
        <w:r>
          <w:rPr>
            <w:color w:val="000000"/>
          </w:rPr>
          <w:t xml:space="preserve">intelligibilis / intelligendus / intelligens</w:t>
        </w:r>
      </w:hyperlink>
      <w:r>
        <w:rPr>
          <w:b w:val="0"/>
          <w:i w:val="0"/>
        </w:rPr>
        <w:t>.</w:t>
      </w:r>
    </w:p>
    <w:p>
      <w:pPr>
        <w:widowControl/>
      </w:pPr>
      <w:r>
        <w:rPr>
          <w:b/>
          <w:i w:val="0"/>
        </w:rPr>
        <w:t>intelligendam.</w:t>
      </w:r>
      <w:r>
        <w:rPr>
          <w:b w:val="0"/>
          <w:i w:val="0"/>
        </w:rPr>
        <w:t xml:space="preserve"> </w:t>
      </w:r>
      <w:hyperlink w:anchor="latin-record-0598">
        <w:r>
          <w:rPr>
            <w:color w:val="000000"/>
          </w:rPr>
          <w:t xml:space="preserve">intelligibilis / intelligendus / intelligens</w:t>
        </w:r>
      </w:hyperlink>
      <w:r>
        <w:rPr>
          <w:b w:val="0"/>
          <w:i w:val="0"/>
        </w:rPr>
        <w:t>.</w:t>
      </w:r>
    </w:p>
    <w:p>
      <w:pPr>
        <w:widowControl/>
      </w:pPr>
      <w:r>
        <w:rPr>
          <w:b/>
          <w:i w:val="0"/>
        </w:rPr>
        <w:t>intelligens.</w:t>
      </w:r>
      <w:r>
        <w:rPr>
          <w:b w:val="0"/>
          <w:i w:val="0"/>
        </w:rPr>
        <w:t xml:space="preserve"> </w:t>
      </w:r>
      <w:hyperlink w:anchor="latin-record-0598">
        <w:r>
          <w:rPr>
            <w:color w:val="000000"/>
          </w:rPr>
          <w:t xml:space="preserve">intelligibilis / intelligendus / intelligens</w:t>
        </w:r>
      </w:hyperlink>
      <w:r>
        <w:rPr>
          <w:b w:val="0"/>
          <w:i w:val="0"/>
        </w:rPr>
        <w:t>.</w:t>
      </w:r>
    </w:p>
    <w:p>
      <w:pPr>
        <w:widowControl/>
      </w:pPr>
      <w:r>
        <w:rPr>
          <w:b/>
          <w:i w:val="0"/>
        </w:rPr>
        <w:t>intelligentia.</w:t>
      </w:r>
      <w:r>
        <w:rPr>
          <w:b w:val="0"/>
          <w:i w:val="0"/>
        </w:rPr>
        <w:t xml:space="preserve"> </w:t>
      </w:r>
      <w:hyperlink w:anchor="latin-record-0179">
        <w:r>
          <w:rPr>
            <w:color w:val="000000"/>
          </w:rPr>
          <w:t xml:space="preserve">cognitio / intelligentia</w:t>
        </w:r>
      </w:hyperlink>
      <w:r>
        <w:rPr>
          <w:b w:val="0"/>
          <w:i w:val="0"/>
        </w:rPr>
        <w:t xml:space="preserve">; </w:t>
      </w:r>
      <w:hyperlink w:anchor="latin-record-0595">
        <w:r>
          <w:rPr>
            <w:color w:val="000000"/>
          </w:rPr>
          <w:t xml:space="preserve">intellectus / intelligentia / intelligere</w:t>
        </w:r>
      </w:hyperlink>
      <w:r>
        <w:rPr>
          <w:b w:val="0"/>
          <w:i w:val="0"/>
        </w:rPr>
        <w:t>.</w:t>
      </w:r>
    </w:p>
    <w:p>
      <w:pPr>
        <w:widowControl/>
      </w:pPr>
      <w:r>
        <w:rPr>
          <w:b/>
          <w:i w:val="0"/>
        </w:rPr>
        <w:t>intelligentiam.</w:t>
      </w:r>
      <w:r>
        <w:rPr>
          <w:b w:val="0"/>
          <w:i w:val="0"/>
        </w:rPr>
        <w:t xml:space="preserve"> </w:t>
      </w:r>
      <w:hyperlink w:anchor="latin-record-0179">
        <w:r>
          <w:rPr>
            <w:color w:val="000000"/>
          </w:rPr>
          <w:t xml:space="preserve">cognitio / intelligentia</w:t>
        </w:r>
      </w:hyperlink>
      <w:r>
        <w:rPr>
          <w:b w:val="0"/>
          <w:i w:val="0"/>
        </w:rPr>
        <w:t>.</w:t>
      </w:r>
    </w:p>
    <w:p>
      <w:pPr>
        <w:widowControl/>
      </w:pPr>
      <w:r>
        <w:rPr>
          <w:b/>
          <w:i w:val="0"/>
        </w:rPr>
        <w:t>intelligere.</w:t>
      </w:r>
      <w:r>
        <w:rPr>
          <w:b w:val="0"/>
          <w:i w:val="0"/>
        </w:rPr>
        <w:t xml:space="preserve"> </w:t>
      </w:r>
      <w:hyperlink w:anchor="latin-record-0595">
        <w:r>
          <w:rPr>
            <w:color w:val="000000"/>
          </w:rPr>
          <w:t xml:space="preserve">intellectus / intelligentia / intelligere</w:t>
        </w:r>
      </w:hyperlink>
      <w:r>
        <w:rPr>
          <w:b w:val="0"/>
          <w:i w:val="0"/>
        </w:rPr>
        <w:t xml:space="preserve">; </w:t>
      </w:r>
      <w:hyperlink w:anchor="latin-record-0596">
        <w:r>
          <w:rPr>
            <w:color w:val="000000"/>
          </w:rPr>
          <w:t xml:space="preserve">intellectus / intelligere</w:t>
        </w:r>
      </w:hyperlink>
      <w:r>
        <w:rPr>
          <w:b w:val="0"/>
          <w:i w:val="0"/>
        </w:rPr>
        <w:t>.</w:t>
      </w:r>
    </w:p>
    <w:p>
      <w:pPr>
        <w:widowControl/>
      </w:pPr>
      <w:r>
        <w:rPr>
          <w:b/>
          <w:i w:val="0"/>
        </w:rPr>
        <w:t>intelligi.</w:t>
      </w:r>
      <w:r>
        <w:rPr>
          <w:b w:val="0"/>
          <w:i w:val="0"/>
        </w:rPr>
        <w:t xml:space="preserve"> </w:t>
      </w:r>
      <w:hyperlink w:anchor="latin-record-0596">
        <w:r>
          <w:rPr>
            <w:color w:val="000000"/>
          </w:rPr>
          <w:t xml:space="preserve">intellectus / intelligere</w:t>
        </w:r>
      </w:hyperlink>
      <w:r>
        <w:rPr>
          <w:b w:val="0"/>
          <w:i w:val="0"/>
        </w:rPr>
        <w:t>.</w:t>
      </w:r>
    </w:p>
    <w:p>
      <w:pPr>
        <w:widowControl/>
      </w:pPr>
      <w:r>
        <w:rPr>
          <w:b/>
          <w:i w:val="0"/>
        </w:rPr>
        <w:t>intelligibile.</w:t>
      </w:r>
      <w:r>
        <w:rPr>
          <w:b w:val="0"/>
          <w:i w:val="0"/>
        </w:rPr>
        <w:t xml:space="preserve"> </w:t>
      </w:r>
      <w:hyperlink w:anchor="latin-record-0594">
        <w:r>
          <w:rPr>
            <w:color w:val="000000"/>
          </w:rPr>
          <w:t xml:space="preserve">intellectus / intellectio / intelligibile</w:t>
        </w:r>
      </w:hyperlink>
      <w:r>
        <w:rPr>
          <w:b w:val="0"/>
          <w:i w:val="0"/>
        </w:rPr>
        <w:t xml:space="preserve">; </w:t>
      </w:r>
      <w:hyperlink w:anchor="latin-record-0598">
        <w:r>
          <w:rPr>
            <w:color w:val="000000"/>
          </w:rPr>
          <w:t xml:space="preserve">intelligibilis / intelligendus / intelligens</w:t>
        </w:r>
      </w:hyperlink>
      <w:r>
        <w:rPr>
          <w:b w:val="0"/>
          <w:i w:val="0"/>
        </w:rPr>
        <w:t>.</w:t>
      </w:r>
    </w:p>
    <w:p>
      <w:pPr>
        <w:widowControl/>
      </w:pPr>
      <w:r>
        <w:rPr>
          <w:b/>
          <w:i w:val="0"/>
        </w:rPr>
        <w:t>intelligibilisque.</w:t>
      </w:r>
      <w:r>
        <w:rPr>
          <w:b w:val="0"/>
          <w:i w:val="0"/>
        </w:rPr>
        <w:t xml:space="preserve"> </w:t>
      </w:r>
      <w:hyperlink w:anchor="latin-record-0598">
        <w:r>
          <w:rPr>
            <w:color w:val="000000"/>
          </w:rPr>
          <w:t xml:space="preserve">intelligibilis / intelligendus / intelligens</w:t>
        </w:r>
      </w:hyperlink>
      <w:r>
        <w:rPr>
          <w:b w:val="0"/>
          <w:i w:val="0"/>
        </w:rPr>
        <w:t>.</w:t>
      </w:r>
    </w:p>
    <w:p>
      <w:pPr>
        <w:widowControl/>
      </w:pPr>
      <w:r>
        <w:rPr>
          <w:b/>
          <w:i w:val="0"/>
        </w:rPr>
        <w:t>intelligit.</w:t>
      </w:r>
      <w:r>
        <w:rPr>
          <w:b w:val="0"/>
          <w:i w:val="0"/>
        </w:rPr>
        <w:t xml:space="preserve"> </w:t>
      </w:r>
      <w:hyperlink w:anchor="latin-record-0596">
        <w:r>
          <w:rPr>
            <w:color w:val="000000"/>
          </w:rPr>
          <w:t xml:space="preserve">intellectus / intelligere</w:t>
        </w:r>
      </w:hyperlink>
      <w:r>
        <w:rPr>
          <w:b w:val="0"/>
          <w:i w:val="0"/>
        </w:rPr>
        <w:t>.</w:t>
      </w:r>
    </w:p>
    <w:p>
      <w:pPr>
        <w:widowControl/>
      </w:pPr>
      <w:r>
        <w:rPr>
          <w:b/>
          <w:i w:val="0"/>
        </w:rPr>
        <w:t>intelliguntur.</w:t>
      </w:r>
      <w:r>
        <w:rPr>
          <w:b w:val="0"/>
          <w:i w:val="0"/>
        </w:rPr>
        <w:t xml:space="preserve"> </w:t>
      </w:r>
      <w:hyperlink w:anchor="latin-record-0596">
        <w:r>
          <w:rPr>
            <w:color w:val="000000"/>
          </w:rPr>
          <w:t xml:space="preserve">intellectus / intelligere</w:t>
        </w:r>
      </w:hyperlink>
      <w:r>
        <w:rPr>
          <w:b w:val="0"/>
          <w:i w:val="0"/>
        </w:rPr>
        <w:t>.</w:t>
      </w:r>
    </w:p>
    <w:p>
      <w:pPr>
        <w:widowControl/>
      </w:pPr>
      <w:r>
        <w:rPr>
          <w:b/>
          <w:i w:val="0"/>
        </w:rPr>
        <w:t>intemperantia.</w:t>
      </w:r>
      <w:r>
        <w:rPr>
          <w:b w:val="0"/>
          <w:i w:val="0"/>
        </w:rPr>
        <w:t xml:space="preserve"> </w:t>
      </w:r>
      <w:hyperlink w:anchor="latin-record-1184">
        <w:r>
          <w:rPr>
            <w:color w:val="000000"/>
          </w:rPr>
          <w:t xml:space="preserve">temperantia / intemperantia</w:t>
        </w:r>
      </w:hyperlink>
      <w:r>
        <w:rPr>
          <w:b w:val="0"/>
          <w:i w:val="0"/>
        </w:rPr>
        <w:t>.</w:t>
      </w:r>
    </w:p>
    <w:p>
      <w:pPr>
        <w:widowControl/>
      </w:pPr>
      <w:r>
        <w:rPr>
          <w:b/>
          <w:i w:val="0"/>
        </w:rPr>
        <w:t>intenditur.</w:t>
      </w:r>
      <w:r>
        <w:rPr>
          <w:b w:val="0"/>
          <w:i w:val="0"/>
        </w:rPr>
        <w:t xml:space="preserve"> </w:t>
      </w:r>
      <w:hyperlink w:anchor="latin-record-0599">
        <w:r>
          <w:rPr>
            <w:color w:val="000000"/>
          </w:rPr>
          <w:t xml:space="preserve">intendo / remitto</w:t>
        </w:r>
      </w:hyperlink>
      <w:r>
        <w:rPr>
          <w:b w:val="0"/>
          <w:i w:val="0"/>
        </w:rPr>
        <w:t>.</w:t>
      </w:r>
    </w:p>
    <w:p>
      <w:pPr>
        <w:widowControl/>
      </w:pPr>
      <w:r>
        <w:rPr>
          <w:b/>
          <w:i w:val="0"/>
        </w:rPr>
        <w:t>intentus.</w:t>
      </w:r>
      <w:r>
        <w:rPr>
          <w:b w:val="0"/>
          <w:i w:val="0"/>
        </w:rPr>
        <w:t xml:space="preserve"> </w:t>
      </w:r>
      <w:hyperlink w:anchor="latin-record-0122">
        <w:r>
          <w:rPr>
            <w:color w:val="000000"/>
          </w:rPr>
          <w:t xml:space="preserve">avidus / intentus</w:t>
        </w:r>
      </w:hyperlink>
      <w:r>
        <w:rPr>
          <w:b w:val="0"/>
          <w:i w:val="0"/>
        </w:rPr>
        <w:t>.</w:t>
      </w:r>
    </w:p>
    <w:p>
      <w:pPr>
        <w:widowControl/>
      </w:pPr>
      <w:r>
        <w:rPr>
          <w:b/>
          <w:i w:val="0"/>
        </w:rPr>
        <w:t>intercedat.</w:t>
      </w:r>
      <w:r>
        <w:rPr>
          <w:b w:val="0"/>
          <w:i w:val="0"/>
        </w:rPr>
        <w:t xml:space="preserve"> </w:t>
      </w:r>
      <w:hyperlink w:anchor="latin-record-0600">
        <w:r>
          <w:rPr>
            <w:color w:val="000000"/>
          </w:rPr>
          <w:t xml:space="preserve">intercedere</w:t>
        </w:r>
      </w:hyperlink>
      <w:r>
        <w:rPr>
          <w:b w:val="0"/>
          <w:i w:val="0"/>
        </w:rPr>
        <w:t>.</w:t>
      </w:r>
    </w:p>
    <w:p>
      <w:pPr>
        <w:widowControl/>
      </w:pPr>
      <w:r>
        <w:rPr>
          <w:b/>
          <w:i w:val="0"/>
        </w:rPr>
        <w:t>intercesserit.</w:t>
      </w:r>
      <w:r>
        <w:rPr>
          <w:b w:val="0"/>
          <w:i w:val="0"/>
        </w:rPr>
        <w:t xml:space="preserve"> </w:t>
      </w:r>
      <w:hyperlink w:anchor="latin-record-0600">
        <w:r>
          <w:rPr>
            <w:color w:val="000000"/>
          </w:rPr>
          <w:t xml:space="preserve">intercedere</w:t>
        </w:r>
      </w:hyperlink>
      <w:r>
        <w:rPr>
          <w:b w:val="0"/>
          <w:i w:val="0"/>
        </w:rPr>
        <w:t xml:space="preserve">; </w:t>
      </w:r>
      <w:hyperlink w:anchor="latin-record-0601">
        <w:r>
          <w:rPr>
            <w:color w:val="000000"/>
          </w:rPr>
          <w:t xml:space="preserve">intercedere / deducere</w:t>
        </w:r>
      </w:hyperlink>
      <w:r>
        <w:rPr>
          <w:b w:val="0"/>
          <w:i w:val="0"/>
        </w:rPr>
        <w:t>.</w:t>
      </w:r>
    </w:p>
    <w:p>
      <w:pPr>
        <w:widowControl/>
      </w:pPr>
      <w:r>
        <w:rPr>
          <w:b/>
          <w:i w:val="0"/>
        </w:rPr>
        <w:t>interimant.</w:t>
      </w:r>
      <w:r>
        <w:rPr>
          <w:b w:val="0"/>
          <w:i w:val="0"/>
        </w:rPr>
        <w:t xml:space="preserve"> </w:t>
      </w:r>
      <w:hyperlink w:anchor="latin-record-0220">
        <w:r>
          <w:rPr>
            <w:color w:val="000000"/>
          </w:rPr>
          <w:t xml:space="preserve">conciliare / interimere</w:t>
        </w:r>
      </w:hyperlink>
      <w:r>
        <w:rPr>
          <w:b w:val="0"/>
          <w:i w:val="0"/>
        </w:rPr>
        <w:t>.</w:t>
      </w:r>
    </w:p>
    <w:p>
      <w:pPr>
        <w:widowControl/>
      </w:pPr>
      <w:r>
        <w:rPr>
          <w:b/>
          <w:i w:val="0"/>
        </w:rPr>
        <w:t>interminabili.</w:t>
      </w:r>
      <w:r>
        <w:rPr>
          <w:b w:val="0"/>
          <w:i w:val="0"/>
        </w:rPr>
        <w:t xml:space="preserve"> </w:t>
      </w:r>
      <w:hyperlink w:anchor="latin-record-0566">
        <w:r>
          <w:rPr>
            <w:color w:val="000000"/>
          </w:rPr>
          <w:t xml:space="preserve">infinitus / infinitas / immensus / innumerus</w:t>
        </w:r>
      </w:hyperlink>
      <w:r>
        <w:rPr>
          <w:b w:val="0"/>
          <w:i w:val="0"/>
        </w:rPr>
        <w:t>.</w:t>
      </w:r>
    </w:p>
    <w:p>
      <w:pPr>
        <w:widowControl/>
      </w:pPr>
      <w:r>
        <w:rPr>
          <w:b/>
          <w:i w:val="0"/>
        </w:rPr>
        <w:t>interminata.</w:t>
      </w:r>
      <w:r>
        <w:rPr>
          <w:b w:val="0"/>
          <w:i w:val="0"/>
        </w:rPr>
        <w:t xml:space="preserve"> </w:t>
      </w:r>
      <w:hyperlink w:anchor="latin-record-0602">
        <w:r>
          <w:rPr>
            <w:color w:val="000000"/>
          </w:rPr>
          <w:t xml:space="preserve">interminatus / infinitus / finitus</w:t>
        </w:r>
      </w:hyperlink>
      <w:r>
        <w:rPr>
          <w:b w:val="0"/>
          <w:i w:val="0"/>
        </w:rPr>
        <w:t>.</w:t>
      </w:r>
    </w:p>
    <w:p>
      <w:pPr>
        <w:widowControl/>
      </w:pPr>
      <w:r>
        <w:rPr>
          <w:b/>
          <w:i w:val="0"/>
        </w:rPr>
        <w:t>interponendus.</w:t>
      </w:r>
      <w:r>
        <w:rPr>
          <w:b w:val="0"/>
          <w:i w:val="0"/>
        </w:rPr>
        <w:t xml:space="preserve"> </w:t>
      </w:r>
      <w:hyperlink w:anchor="latin-record-0678">
        <w:r>
          <w:rPr>
            <w:color w:val="000000"/>
          </w:rPr>
          <w:t xml:space="preserve">medium / interpono</w:t>
        </w:r>
      </w:hyperlink>
      <w:r>
        <w:rPr>
          <w:b w:val="0"/>
          <w:i w:val="0"/>
        </w:rPr>
        <w:t>.</w:t>
      </w:r>
    </w:p>
    <w:p>
      <w:pPr>
        <w:widowControl/>
      </w:pPr>
      <w:r>
        <w:rPr>
          <w:b/>
          <w:i w:val="0"/>
        </w:rPr>
        <w:t>interrogamus.</w:t>
      </w:r>
      <w:r>
        <w:rPr>
          <w:b w:val="0"/>
          <w:i w:val="0"/>
        </w:rPr>
        <w:t xml:space="preserve"> </w:t>
      </w:r>
      <w:hyperlink w:anchor="latin-record-0999">
        <w:r>
          <w:rPr>
            <w:color w:val="000000"/>
          </w:rPr>
          <w:t xml:space="preserve">quaerere / interrogare</w:t>
        </w:r>
      </w:hyperlink>
      <w:r>
        <w:rPr>
          <w:b w:val="0"/>
          <w:i w:val="0"/>
        </w:rPr>
        <w:t>.</w:t>
      </w:r>
    </w:p>
    <w:p>
      <w:pPr>
        <w:widowControl/>
      </w:pPr>
      <w:r>
        <w:rPr>
          <w:b/>
          <w:i w:val="0"/>
        </w:rPr>
        <w:t>intervallaque.</w:t>
      </w:r>
      <w:r>
        <w:rPr>
          <w:b w:val="0"/>
          <w:i w:val="0"/>
        </w:rPr>
        <w:t xml:space="preserve"> </w:t>
      </w:r>
      <w:hyperlink w:anchor="latin-record-0603">
        <w:r>
          <w:rPr>
            <w:color w:val="000000"/>
          </w:rPr>
          <w:t xml:space="preserve">intervallum</w:t>
        </w:r>
      </w:hyperlink>
      <w:r>
        <w:rPr>
          <w:b w:val="0"/>
          <w:i w:val="0"/>
        </w:rPr>
        <w:t>.</w:t>
      </w:r>
    </w:p>
    <w:p>
      <w:pPr>
        <w:widowControl/>
      </w:pPr>
      <w:r>
        <w:rPr>
          <w:b/>
          <w:i w:val="0"/>
        </w:rPr>
        <w:t>intervallis.</w:t>
      </w:r>
      <w:r>
        <w:rPr>
          <w:b w:val="0"/>
          <w:i w:val="0"/>
        </w:rPr>
        <w:t xml:space="preserve"> </w:t>
      </w:r>
      <w:hyperlink w:anchor="latin-record-0604">
        <w:r>
          <w:rPr>
            <w:color w:val="000000"/>
          </w:rPr>
          <w:t xml:space="preserve">intervallum / mensura</w:t>
        </w:r>
      </w:hyperlink>
      <w:r>
        <w:rPr>
          <w:b w:val="0"/>
          <w:i w:val="0"/>
        </w:rPr>
        <w:t>.</w:t>
      </w:r>
    </w:p>
    <w:p>
      <w:pPr>
        <w:widowControl/>
      </w:pPr>
      <w:r>
        <w:rPr>
          <w:b/>
          <w:i w:val="0"/>
        </w:rPr>
        <w:t>intervallum.</w:t>
      </w:r>
      <w:r>
        <w:rPr>
          <w:b w:val="0"/>
          <w:i w:val="0"/>
        </w:rPr>
        <w:t xml:space="preserve"> </w:t>
      </w:r>
      <w:hyperlink w:anchor="latin-record-0604">
        <w:r>
          <w:rPr>
            <w:color w:val="000000"/>
          </w:rPr>
          <w:t xml:space="preserve">intervallum / mensura</w:t>
        </w:r>
      </w:hyperlink>
      <w:r>
        <w:rPr>
          <w:b w:val="0"/>
          <w:i w:val="0"/>
        </w:rPr>
        <w:t xml:space="preserve">; </w:t>
      </w:r>
      <w:hyperlink w:anchor="latin-record-0605">
        <w:r>
          <w:rPr>
            <w:color w:val="000000"/>
          </w:rPr>
          <w:t xml:space="preserve">intervallum / spatium</w:t>
        </w:r>
      </w:hyperlink>
      <w:r>
        <w:rPr>
          <w:b w:val="0"/>
          <w:i w:val="0"/>
        </w:rPr>
        <w:t xml:space="preserve">; </w:t>
      </w:r>
      <w:hyperlink w:anchor="latin-record-0606">
        <w:r>
          <w:rPr>
            <w:color w:val="000000"/>
          </w:rPr>
          <w:t xml:space="preserve">intervallum / tempus primum</w:t>
        </w:r>
      </w:hyperlink>
      <w:r>
        <w:rPr>
          <w:b w:val="0"/>
          <w:i w:val="0"/>
        </w:rPr>
        <w:t>.</w:t>
      </w:r>
    </w:p>
    <w:p>
      <w:pPr>
        <w:widowControl/>
      </w:pPr>
      <w:r>
        <w:rPr>
          <w:b/>
          <w:i w:val="0"/>
        </w:rPr>
        <w:t>intima.</w:t>
      </w:r>
      <w:r>
        <w:rPr>
          <w:b w:val="0"/>
          <w:i w:val="0"/>
        </w:rPr>
        <w:t xml:space="preserve"> </w:t>
      </w:r>
      <w:hyperlink w:anchor="latin-record-0611">
        <w:r>
          <w:rPr>
            <w:color w:val="000000"/>
          </w:rPr>
          <w:t xml:space="preserve">intus / intro / intimus</w:t>
        </w:r>
      </w:hyperlink>
      <w:r>
        <w:rPr>
          <w:b w:val="0"/>
          <w:i w:val="0"/>
        </w:rPr>
        <w:t>.</w:t>
      </w:r>
    </w:p>
    <w:p>
      <w:pPr>
        <w:widowControl/>
      </w:pPr>
      <w:r>
        <w:rPr>
          <w:b/>
          <w:i w:val="0"/>
        </w:rPr>
        <w:t>intimus.</w:t>
      </w:r>
      <w:r>
        <w:rPr>
          <w:b w:val="0"/>
          <w:i w:val="0"/>
        </w:rPr>
        <w:t xml:space="preserve"> </w:t>
      </w:r>
      <w:hyperlink w:anchor="latin-record-0607">
        <w:r>
          <w:rPr>
            <w:color w:val="000000"/>
          </w:rPr>
          <w:t xml:space="preserve">intimus / communis</w:t>
        </w:r>
      </w:hyperlink>
      <w:r>
        <w:rPr>
          <w:b w:val="0"/>
          <w:i w:val="0"/>
        </w:rPr>
        <w:t>.</w:t>
      </w:r>
    </w:p>
    <w:p>
      <w:pPr>
        <w:widowControl/>
      </w:pPr>
      <w:r>
        <w:rPr>
          <w:b/>
          <w:i w:val="0"/>
        </w:rPr>
        <w:t>intrinseca.</w:t>
      </w:r>
      <w:r>
        <w:rPr>
          <w:b w:val="0"/>
          <w:i w:val="0"/>
        </w:rPr>
        <w:t xml:space="preserve"> </w:t>
      </w:r>
      <w:hyperlink w:anchor="latin-record-0608">
        <w:r>
          <w:rPr>
            <w:color w:val="000000"/>
          </w:rPr>
          <w:t xml:space="preserve">intrinsecus / extrinsecus</w:t>
        </w:r>
      </w:hyperlink>
      <w:r>
        <w:rPr>
          <w:b w:val="0"/>
          <w:i w:val="0"/>
        </w:rPr>
        <w:t>.</w:t>
      </w:r>
    </w:p>
    <w:p>
      <w:pPr>
        <w:widowControl/>
      </w:pPr>
      <w:r>
        <w:rPr>
          <w:b/>
          <w:i w:val="0"/>
        </w:rPr>
        <w:t>intrinsecos.</w:t>
      </w:r>
      <w:r>
        <w:rPr>
          <w:b w:val="0"/>
          <w:i w:val="0"/>
        </w:rPr>
        <w:t xml:space="preserve"> </w:t>
      </w:r>
      <w:hyperlink w:anchor="latin-record-0608">
        <w:r>
          <w:rPr>
            <w:color w:val="000000"/>
          </w:rPr>
          <w:t xml:space="preserve">intrinsecus / extrinsecus</w:t>
        </w:r>
      </w:hyperlink>
      <w:r>
        <w:rPr>
          <w:b w:val="0"/>
          <w:i w:val="0"/>
        </w:rPr>
        <w:t>.</w:t>
      </w:r>
    </w:p>
    <w:p>
      <w:pPr>
        <w:widowControl/>
      </w:pPr>
      <w:r>
        <w:rPr>
          <w:b/>
          <w:i w:val="0"/>
        </w:rPr>
        <w:t>intrinsecum.</w:t>
      </w:r>
      <w:r>
        <w:rPr>
          <w:b w:val="0"/>
          <w:i w:val="0"/>
        </w:rPr>
        <w:t xml:space="preserve"> </w:t>
      </w:r>
      <w:hyperlink w:anchor="latin-record-0608">
        <w:r>
          <w:rPr>
            <w:color w:val="000000"/>
          </w:rPr>
          <w:t xml:space="preserve">intrinsecus / extrinsecus</w:t>
        </w:r>
      </w:hyperlink>
      <w:r>
        <w:rPr>
          <w:b w:val="0"/>
          <w:i w:val="0"/>
        </w:rPr>
        <w:t>.</w:t>
      </w:r>
    </w:p>
    <w:p>
      <w:pPr>
        <w:widowControl/>
      </w:pPr>
      <w:r>
        <w:rPr>
          <w:b/>
          <w:i w:val="0"/>
        </w:rPr>
        <w:t>intrinsecus.</w:t>
      </w:r>
      <w:r>
        <w:rPr>
          <w:b w:val="0"/>
          <w:i w:val="0"/>
        </w:rPr>
        <w:t xml:space="preserve"> </w:t>
      </w:r>
      <w:hyperlink w:anchor="latin-record-0608">
        <w:r>
          <w:rPr>
            <w:color w:val="000000"/>
          </w:rPr>
          <w:t xml:space="preserve">intrinsecus / extrinsecus</w:t>
        </w:r>
      </w:hyperlink>
      <w:r>
        <w:rPr>
          <w:b w:val="0"/>
          <w:i w:val="0"/>
        </w:rPr>
        <w:t>.</w:t>
      </w:r>
    </w:p>
    <w:p>
      <w:pPr>
        <w:widowControl/>
      </w:pPr>
      <w:r>
        <w:rPr>
          <w:b/>
          <w:i w:val="0"/>
        </w:rPr>
        <w:t>intro.</w:t>
      </w:r>
      <w:r>
        <w:rPr>
          <w:b w:val="0"/>
          <w:i w:val="0"/>
        </w:rPr>
        <w:t xml:space="preserve"> </w:t>
      </w:r>
      <w:hyperlink w:anchor="latin-record-0610">
        <w:r>
          <w:rPr>
            <w:color w:val="000000"/>
          </w:rPr>
          <w:t xml:space="preserve">intus / intro / extra / ultra / superne / undique</w:t>
        </w:r>
      </w:hyperlink>
      <w:r>
        <w:rPr>
          <w:b w:val="0"/>
          <w:i w:val="0"/>
        </w:rPr>
        <w:t xml:space="preserve">; </w:t>
      </w:r>
      <w:hyperlink w:anchor="latin-record-0611">
        <w:r>
          <w:rPr>
            <w:color w:val="000000"/>
          </w:rPr>
          <w:t xml:space="preserve">intus / intro / intimus</w:t>
        </w:r>
      </w:hyperlink>
      <w:r>
        <w:rPr>
          <w:b w:val="0"/>
          <w:i w:val="0"/>
        </w:rPr>
        <w:t>.</w:t>
      </w:r>
    </w:p>
    <w:p>
      <w:pPr>
        <w:widowControl/>
      </w:pPr>
      <w:r>
        <w:rPr>
          <w:b/>
          <w:i w:val="0"/>
        </w:rPr>
        <w:t>intuendo.</w:t>
      </w:r>
      <w:r>
        <w:rPr>
          <w:b w:val="0"/>
          <w:i w:val="0"/>
        </w:rPr>
        <w:t xml:space="preserve"> </w:t>
      </w:r>
      <w:hyperlink w:anchor="latin-record-0609">
        <w:r>
          <w:rPr>
            <w:color w:val="000000"/>
          </w:rPr>
          <w:t xml:space="preserve">intuitus / intueri / conspicere</w:t>
        </w:r>
      </w:hyperlink>
      <w:r>
        <w:rPr>
          <w:b w:val="0"/>
          <w:i w:val="0"/>
        </w:rPr>
        <w:t>.</w:t>
      </w:r>
    </w:p>
    <w:p>
      <w:pPr>
        <w:widowControl/>
      </w:pPr>
      <w:r>
        <w:rPr>
          <w:b/>
          <w:i w:val="0"/>
        </w:rPr>
        <w:t>intuetur.</w:t>
      </w:r>
      <w:r>
        <w:rPr>
          <w:b w:val="0"/>
          <w:i w:val="0"/>
        </w:rPr>
        <w:t xml:space="preserve"> </w:t>
      </w:r>
      <w:hyperlink w:anchor="latin-record-0609">
        <w:r>
          <w:rPr>
            <w:color w:val="000000"/>
          </w:rPr>
          <w:t xml:space="preserve">intuitus / intueri / conspicere</w:t>
        </w:r>
      </w:hyperlink>
      <w:r>
        <w:rPr>
          <w:b w:val="0"/>
          <w:i w:val="0"/>
        </w:rPr>
        <w:t>.</w:t>
      </w:r>
    </w:p>
    <w:p>
      <w:pPr>
        <w:widowControl/>
      </w:pPr>
      <w:r>
        <w:rPr>
          <w:b/>
          <w:i w:val="0"/>
        </w:rPr>
        <w:t>intuitu.</w:t>
      </w:r>
      <w:r>
        <w:rPr>
          <w:b w:val="0"/>
          <w:i w:val="0"/>
        </w:rPr>
        <w:t xml:space="preserve"> </w:t>
      </w:r>
      <w:hyperlink w:anchor="latin-record-0269">
        <w:r>
          <w:rPr>
            <w:color w:val="000000"/>
          </w:rPr>
          <w:t xml:space="preserve">contueri / intueri / intuitus</w:t>
        </w:r>
      </w:hyperlink>
      <w:r>
        <w:rPr>
          <w:b w:val="0"/>
          <w:i w:val="0"/>
        </w:rPr>
        <w:t xml:space="preserve">; </w:t>
      </w:r>
      <w:hyperlink w:anchor="latin-record-0609">
        <w:r>
          <w:rPr>
            <w:color w:val="000000"/>
          </w:rPr>
          <w:t xml:space="preserve">intuitus / intueri / conspicere</w:t>
        </w:r>
      </w:hyperlink>
      <w:r>
        <w:rPr>
          <w:b w:val="0"/>
          <w:i w:val="0"/>
        </w:rPr>
        <w:t xml:space="preserve">; </w:t>
      </w:r>
      <w:hyperlink w:anchor="latin-record-0967">
        <w:r>
          <w:rPr>
            <w:color w:val="000000"/>
          </w:rPr>
          <w:t xml:space="preserve">prospectus / intuitus</w:t>
        </w:r>
      </w:hyperlink>
      <w:r>
        <w:rPr>
          <w:b w:val="0"/>
          <w:i w:val="0"/>
        </w:rPr>
        <w:t>.</w:t>
      </w:r>
    </w:p>
    <w:p>
      <w:pPr>
        <w:widowControl/>
      </w:pPr>
      <w:r>
        <w:rPr>
          <w:b/>
          <w:i w:val="0"/>
        </w:rPr>
        <w:t>Intuitum.</w:t>
      </w:r>
      <w:r>
        <w:rPr>
          <w:b w:val="0"/>
          <w:i w:val="0"/>
        </w:rPr>
        <w:t xml:space="preserve"> </w:t>
      </w:r>
      <w:hyperlink w:anchor="latin-record-0269">
        <w:r>
          <w:rPr>
            <w:color w:val="000000"/>
          </w:rPr>
          <w:t xml:space="preserve">contueri / intueri / intuitus</w:t>
        </w:r>
      </w:hyperlink>
      <w:r>
        <w:rPr>
          <w:b w:val="0"/>
          <w:i w:val="0"/>
        </w:rPr>
        <w:t>.</w:t>
      </w:r>
    </w:p>
    <w:p>
      <w:pPr>
        <w:widowControl/>
      </w:pPr>
      <w:r>
        <w:rPr>
          <w:b/>
          <w:i w:val="0"/>
        </w:rPr>
        <w:t>intus.</w:t>
      </w:r>
      <w:r>
        <w:rPr>
          <w:b w:val="0"/>
          <w:i w:val="0"/>
        </w:rPr>
        <w:t xml:space="preserve"> </w:t>
      </w:r>
      <w:hyperlink w:anchor="latin-record-0416">
        <w:r>
          <w:rPr>
            <w:color w:val="000000"/>
          </w:rPr>
          <w:t xml:space="preserve">extra / intus</w:t>
        </w:r>
      </w:hyperlink>
      <w:r>
        <w:rPr>
          <w:b w:val="0"/>
          <w:i w:val="0"/>
        </w:rPr>
        <w:t xml:space="preserve">; </w:t>
      </w:r>
      <w:hyperlink w:anchor="latin-record-0610">
        <w:r>
          <w:rPr>
            <w:color w:val="000000"/>
          </w:rPr>
          <w:t xml:space="preserve">intus / intro / extra / ultra / superne / undique</w:t>
        </w:r>
      </w:hyperlink>
      <w:r>
        <w:rPr>
          <w:b w:val="0"/>
          <w:i w:val="0"/>
        </w:rPr>
        <w:t xml:space="preserve">; </w:t>
      </w:r>
      <w:hyperlink w:anchor="latin-record-0611">
        <w:r>
          <w:rPr>
            <w:color w:val="000000"/>
          </w:rPr>
          <w:t xml:space="preserve">intus / intro / intimus</w:t>
        </w:r>
      </w:hyperlink>
      <w:r>
        <w:rPr>
          <w:b w:val="0"/>
          <w:i w:val="0"/>
        </w:rPr>
        <w:t>.</w:t>
      </w:r>
    </w:p>
    <w:p>
      <w:pPr>
        <w:widowControl/>
      </w:pPr>
      <w:r>
        <w:rPr>
          <w:b/>
          <w:i w:val="0"/>
        </w:rPr>
        <w:t>invalescere.</w:t>
      </w:r>
      <w:r>
        <w:rPr>
          <w:b w:val="0"/>
          <w:i w:val="0"/>
        </w:rPr>
        <w:t xml:space="preserve"> </w:t>
      </w:r>
      <w:hyperlink w:anchor="latin-record-0395">
        <w:r>
          <w:rPr>
            <w:color w:val="000000"/>
          </w:rPr>
          <w:t xml:space="preserve">excresco / invalesco</w:t>
        </w:r>
      </w:hyperlink>
      <w:r>
        <w:rPr>
          <w:b w:val="0"/>
          <w:i w:val="0"/>
        </w:rPr>
        <w:t>.</w:t>
      </w:r>
    </w:p>
    <w:p>
      <w:pPr>
        <w:widowControl/>
      </w:pPr>
      <w:r>
        <w:rPr>
          <w:b/>
          <w:i w:val="0"/>
        </w:rPr>
        <w:t>inveniamus.</w:t>
      </w:r>
      <w:r>
        <w:rPr>
          <w:b w:val="0"/>
          <w:i w:val="0"/>
        </w:rPr>
        <w:t xml:space="preserve"> </w:t>
      </w:r>
      <w:hyperlink w:anchor="latin-record-1001">
        <w:r>
          <w:rPr>
            <w:color w:val="000000"/>
          </w:rPr>
          <w:t xml:space="preserve">quaero / invenio</w:t>
        </w:r>
      </w:hyperlink>
      <w:r>
        <w:rPr>
          <w:b w:val="0"/>
          <w:i w:val="0"/>
        </w:rPr>
        <w:t>.</w:t>
      </w:r>
    </w:p>
    <w:p>
      <w:pPr>
        <w:widowControl/>
      </w:pPr>
      <w:r>
        <w:rPr>
          <w:b/>
          <w:i w:val="0"/>
        </w:rPr>
        <w:t>inveniretur.</w:t>
      </w:r>
      <w:r>
        <w:rPr>
          <w:b w:val="0"/>
          <w:i w:val="0"/>
        </w:rPr>
        <w:t xml:space="preserve"> </w:t>
      </w:r>
      <w:hyperlink w:anchor="latin-record-1043">
        <w:r>
          <w:rPr>
            <w:color w:val="000000"/>
          </w:rPr>
          <w:t xml:space="preserve">reperire / invenire</w:t>
        </w:r>
      </w:hyperlink>
      <w:r>
        <w:rPr>
          <w:b w:val="0"/>
          <w:i w:val="0"/>
        </w:rPr>
        <w:t>.</w:t>
      </w:r>
    </w:p>
    <w:p>
      <w:pPr>
        <w:widowControl/>
      </w:pPr>
      <w:r>
        <w:rPr>
          <w:b/>
          <w:i w:val="0"/>
        </w:rPr>
        <w:t>inventamque.</w:t>
      </w:r>
      <w:r>
        <w:rPr>
          <w:b w:val="0"/>
          <w:i w:val="0"/>
        </w:rPr>
        <w:t xml:space="preserve"> </w:t>
      </w:r>
      <w:hyperlink w:anchor="latin-record-1001">
        <w:r>
          <w:rPr>
            <w:color w:val="000000"/>
          </w:rPr>
          <w:t xml:space="preserve">quaero / invenio</w:t>
        </w:r>
      </w:hyperlink>
      <w:r>
        <w:rPr>
          <w:b w:val="0"/>
          <w:i w:val="0"/>
        </w:rPr>
        <w:t>.</w:t>
      </w:r>
    </w:p>
    <w:p>
      <w:pPr>
        <w:widowControl/>
      </w:pPr>
      <w:r>
        <w:rPr>
          <w:b/>
          <w:i w:val="0"/>
        </w:rPr>
        <w:t>invicem.</w:t>
      </w:r>
      <w:r>
        <w:rPr>
          <w:b w:val="0"/>
          <w:i w:val="0"/>
        </w:rPr>
        <w:t xml:space="preserve"> </w:t>
      </w:r>
      <w:hyperlink w:anchor="latin-record-0740">
        <w:r>
          <w:rPr>
            <w:color w:val="000000"/>
          </w:rPr>
          <w:t xml:space="preserve">mutuus / invicem</w:t>
        </w:r>
      </w:hyperlink>
      <w:r>
        <w:rPr>
          <w:b w:val="0"/>
          <w:i w:val="0"/>
        </w:rPr>
        <w:t xml:space="preserve">; </w:t>
      </w:r>
      <w:hyperlink w:anchor="latin-record-1254">
        <w:r>
          <w:rPr>
            <w:color w:val="000000"/>
          </w:rPr>
          <w:t xml:space="preserve">vicissim / invicem</w:t>
        </w:r>
      </w:hyperlink>
      <w:r>
        <w:rPr>
          <w:b w:val="0"/>
          <w:i w:val="0"/>
        </w:rPr>
        <w:t>.</w:t>
      </w:r>
    </w:p>
    <w:p>
      <w:pPr>
        <w:widowControl/>
      </w:pPr>
      <w:r>
        <w:rPr>
          <w:b/>
          <w:i w:val="0"/>
        </w:rPr>
        <w:t>invidet.</w:t>
      </w:r>
      <w:r>
        <w:rPr>
          <w:b w:val="0"/>
          <w:i w:val="0"/>
        </w:rPr>
        <w:t xml:space="preserve"> </w:t>
      </w:r>
      <w:hyperlink w:anchor="latin-record-0613">
        <w:r>
          <w:rPr>
            <w:color w:val="000000"/>
          </w:rPr>
          <w:t xml:space="preserve">invidere</w:t>
        </w:r>
      </w:hyperlink>
      <w:r>
        <w:rPr>
          <w:b w:val="0"/>
          <w:i w:val="0"/>
        </w:rPr>
        <w:t>.</w:t>
      </w:r>
    </w:p>
    <w:p>
      <w:pPr>
        <w:widowControl/>
      </w:pPr>
      <w:r>
        <w:rPr>
          <w:b/>
          <w:i w:val="0"/>
        </w:rPr>
        <w:t>invidit.</w:t>
      </w:r>
      <w:r>
        <w:rPr>
          <w:b w:val="0"/>
          <w:i w:val="0"/>
        </w:rPr>
        <w:t xml:space="preserve"> </w:t>
      </w:r>
      <w:hyperlink w:anchor="latin-record-0613">
        <w:r>
          <w:rPr>
            <w:color w:val="000000"/>
          </w:rPr>
          <w:t xml:space="preserve">invidere</w:t>
        </w:r>
      </w:hyperlink>
      <w:r>
        <w:rPr>
          <w:b w:val="0"/>
          <w:i w:val="0"/>
        </w:rPr>
        <w:t>.</w:t>
      </w:r>
    </w:p>
    <w:p>
      <w:pPr>
        <w:widowControl/>
      </w:pPr>
      <w:r>
        <w:rPr>
          <w:b/>
          <w:i w:val="0"/>
        </w:rPr>
        <w:t>invisibile.</w:t>
      </w:r>
      <w:r>
        <w:rPr>
          <w:b w:val="0"/>
          <w:i w:val="0"/>
        </w:rPr>
        <w:t xml:space="preserve"> </w:t>
      </w:r>
      <w:hyperlink w:anchor="latin-record-1257">
        <w:r>
          <w:rPr>
            <w:color w:val="000000"/>
          </w:rPr>
          <w:t xml:space="preserve">videre / visibilis</w:t>
        </w:r>
      </w:hyperlink>
      <w:r>
        <w:rPr>
          <w:b w:val="0"/>
          <w:i w:val="0"/>
        </w:rPr>
        <w:t>.</w:t>
      </w:r>
    </w:p>
    <w:p>
      <w:pPr>
        <w:widowControl/>
      </w:pPr>
      <w:r>
        <w:rPr>
          <w:b/>
          <w:i w:val="0"/>
        </w:rPr>
        <w:t>involutus.</w:t>
      </w:r>
      <w:r>
        <w:rPr>
          <w:b w:val="0"/>
          <w:i w:val="0"/>
        </w:rPr>
        <w:t xml:space="preserve"> </w:t>
      </w:r>
      <w:hyperlink w:anchor="latin-record-0557">
        <w:r>
          <w:rPr>
            <w:color w:val="000000"/>
          </w:rPr>
          <w:t xml:space="preserve">induere / involvere</w:t>
        </w:r>
      </w:hyperlink>
      <w:r>
        <w:rPr>
          <w:b w:val="0"/>
          <w:i w:val="0"/>
        </w:rPr>
        <w:t>.</w:t>
      </w:r>
    </w:p>
    <w:p>
      <w:pPr>
        <w:widowControl/>
      </w:pPr>
      <w:r>
        <w:rPr>
          <w:b/>
          <w:i w:val="0"/>
        </w:rPr>
        <w:t>Ioannis.</w:t>
      </w:r>
      <w:r>
        <w:rPr>
          <w:b w:val="0"/>
          <w:i w:val="0"/>
        </w:rPr>
        <w:t xml:space="preserve"> </w:t>
      </w:r>
      <w:hyperlink w:anchor="latin-record-0614">
        <w:r>
          <w:rPr>
            <w:color w:val="000000"/>
          </w:rPr>
          <w:t xml:space="preserve">Ioannes / Amelius</w:t>
        </w:r>
      </w:hyperlink>
      <w:r>
        <w:rPr>
          <w:b w:val="0"/>
          <w:i w:val="0"/>
        </w:rPr>
        <w:t>.</w:t>
      </w:r>
    </w:p>
    <w:p>
      <w:pPr>
        <w:widowControl/>
      </w:pPr>
      <w:r>
        <w:rPr>
          <w:b/>
          <w:i w:val="0"/>
        </w:rPr>
        <w:t>Iovis.</w:t>
      </w:r>
      <w:r>
        <w:rPr>
          <w:b w:val="0"/>
          <w:i w:val="0"/>
        </w:rPr>
        <w:t xml:space="preserve"> </w:t>
      </w:r>
      <w:hyperlink w:anchor="latin-record-0624">
        <w:r>
          <w:rPr>
            <w:color w:val="000000"/>
          </w:rPr>
          <w:t xml:space="preserve">Iuppiter / oculus</w:t>
        </w:r>
      </w:hyperlink>
      <w:r>
        <w:rPr>
          <w:b w:val="0"/>
          <w:i w:val="0"/>
        </w:rPr>
        <w:t>.</w:t>
      </w:r>
    </w:p>
    <w:p>
      <w:pPr>
        <w:widowControl/>
      </w:pPr>
      <w:r>
        <w:rPr>
          <w:b/>
          <w:i w:val="0"/>
        </w:rPr>
        <w:t>ipsum semper.</w:t>
      </w:r>
      <w:r>
        <w:rPr>
          <w:b w:val="0"/>
          <w:i w:val="0"/>
        </w:rPr>
        <w:t xml:space="preserve"> </w:t>
      </w:r>
      <w:hyperlink w:anchor="latin-record-0615">
        <w:r>
          <w:rPr>
            <w:color w:val="000000"/>
          </w:rPr>
          <w:t xml:space="preserve">ipsum semper</w:t>
        </w:r>
      </w:hyperlink>
      <w:r>
        <w:rPr>
          <w:b w:val="0"/>
          <w:i w:val="0"/>
        </w:rPr>
        <w:t>.</w:t>
      </w:r>
    </w:p>
    <w:p>
      <w:pPr>
        <w:widowControl/>
      </w:pPr>
      <w:r>
        <w:rPr>
          <w:b/>
          <w:i w:val="0"/>
        </w:rPr>
        <w:t>irrationales.</w:t>
      </w:r>
      <w:r>
        <w:rPr>
          <w:b w:val="0"/>
          <w:i w:val="0"/>
        </w:rPr>
        <w:t xml:space="preserve"> </w:t>
      </w:r>
      <w:hyperlink w:anchor="latin-record-0616">
        <w:r>
          <w:rPr>
            <w:color w:val="000000"/>
          </w:rPr>
          <w:t xml:space="preserve">irrationalis</w:t>
        </w:r>
      </w:hyperlink>
      <w:r>
        <w:rPr>
          <w:b w:val="0"/>
          <w:i w:val="0"/>
        </w:rPr>
        <w:t>.</w:t>
      </w:r>
    </w:p>
    <w:p>
      <w:pPr>
        <w:widowControl/>
      </w:pPr>
      <w:r>
        <w:rPr>
          <w:b/>
          <w:i w:val="0"/>
        </w:rPr>
        <w:t>irrationalis.</w:t>
      </w:r>
      <w:r>
        <w:rPr>
          <w:b w:val="0"/>
          <w:i w:val="0"/>
        </w:rPr>
        <w:t xml:space="preserve"> </w:t>
      </w:r>
      <w:hyperlink w:anchor="latin-record-0121">
        <w:r>
          <w:rPr>
            <w:color w:val="000000"/>
          </w:rPr>
          <w:t xml:space="preserve">aviditas caeca</w:t>
        </w:r>
      </w:hyperlink>
      <w:r>
        <w:rPr>
          <w:b w:val="0"/>
          <w:i w:val="0"/>
        </w:rPr>
        <w:t>.</w:t>
      </w:r>
    </w:p>
    <w:p>
      <w:pPr>
        <w:widowControl/>
      </w:pPr>
      <w:r>
        <w:rPr>
          <w:b/>
          <w:i w:val="0"/>
        </w:rPr>
        <w:t>irrationalis anima.</w:t>
      </w:r>
      <w:r>
        <w:rPr>
          <w:b w:val="0"/>
          <w:i w:val="0"/>
        </w:rPr>
        <w:t xml:space="preserve"> </w:t>
      </w:r>
      <w:hyperlink w:anchor="latin-record-0617">
        <w:r>
          <w:rPr>
            <w:color w:val="000000"/>
          </w:rPr>
          <w:t xml:space="preserve">irrationalis anima</w:t>
        </w:r>
      </w:hyperlink>
      <w:r>
        <w:rPr>
          <w:b w:val="0"/>
          <w:i w:val="0"/>
        </w:rPr>
        <w:t>.</w:t>
      </w:r>
    </w:p>
    <w:p>
      <w:pPr>
        <w:widowControl/>
      </w:pPr>
      <w:r>
        <w:rPr>
          <w:b/>
          <w:i w:val="0"/>
        </w:rPr>
        <w:t>irrationalisque.</w:t>
      </w:r>
      <w:r>
        <w:rPr>
          <w:b w:val="0"/>
          <w:i w:val="0"/>
        </w:rPr>
        <w:t xml:space="preserve"> </w:t>
      </w:r>
      <w:hyperlink w:anchor="latin-record-0616">
        <w:r>
          <w:rPr>
            <w:color w:val="000000"/>
          </w:rPr>
          <w:t xml:space="preserve">irrationalis</w:t>
        </w:r>
      </w:hyperlink>
      <w:r>
        <w:rPr>
          <w:b w:val="0"/>
          <w:i w:val="0"/>
        </w:rPr>
        <w:t>.</w:t>
      </w:r>
    </w:p>
    <w:p>
      <w:pPr>
        <w:widowControl/>
      </w:pPr>
      <w:r>
        <w:rPr>
          <w:b/>
          <w:i w:val="0"/>
        </w:rPr>
        <w:t>iter.</w:t>
      </w:r>
      <w:r>
        <w:rPr>
          <w:b w:val="0"/>
          <w:i w:val="0"/>
        </w:rPr>
        <w:t xml:space="preserve"> </w:t>
      </w:r>
      <w:hyperlink w:anchor="latin-record-0618">
        <w:r>
          <w:rPr>
            <w:color w:val="000000"/>
          </w:rPr>
          <w:t xml:space="preserve">iter / passus</w:t>
        </w:r>
      </w:hyperlink>
      <w:r>
        <w:rPr>
          <w:b w:val="0"/>
          <w:i w:val="0"/>
        </w:rPr>
        <w:t>.</w:t>
      </w:r>
    </w:p>
    <w:p>
      <w:pPr>
        <w:widowControl/>
      </w:pPr>
      <w:r>
        <w:rPr>
          <w:b/>
          <w:i w:val="0"/>
        </w:rPr>
        <w:t>iudicabit.</w:t>
      </w:r>
      <w:r>
        <w:rPr>
          <w:b w:val="0"/>
          <w:i w:val="0"/>
        </w:rPr>
        <w:t xml:space="preserve"> </w:t>
      </w:r>
      <w:hyperlink w:anchor="latin-record-0622">
        <w:r>
          <w:rPr>
            <w:color w:val="000000"/>
          </w:rPr>
          <w:t xml:space="preserve">iudico</w:t>
        </w:r>
      </w:hyperlink>
      <w:r>
        <w:rPr>
          <w:b w:val="0"/>
          <w:i w:val="0"/>
        </w:rPr>
        <w:t>.</w:t>
      </w:r>
    </w:p>
    <w:p>
      <w:pPr>
        <w:widowControl/>
      </w:pPr>
      <w:r>
        <w:rPr>
          <w:b/>
          <w:i w:val="0"/>
        </w:rPr>
        <w:t>iudicamus.</w:t>
      </w:r>
      <w:r>
        <w:rPr>
          <w:b w:val="0"/>
          <w:i w:val="0"/>
        </w:rPr>
        <w:t xml:space="preserve"> </w:t>
      </w:r>
      <w:hyperlink w:anchor="latin-record-0619">
        <w:r>
          <w:rPr>
            <w:color w:val="000000"/>
          </w:rPr>
          <w:t xml:space="preserve">iudicare / percipere / nescire / nosse / notitia / speculari</w:t>
        </w:r>
      </w:hyperlink>
      <w:r>
        <w:rPr>
          <w:b w:val="0"/>
          <w:i w:val="0"/>
        </w:rPr>
        <w:t>.</w:t>
      </w:r>
    </w:p>
    <w:p>
      <w:pPr>
        <w:widowControl/>
      </w:pPr>
      <w:r>
        <w:rPr>
          <w:b/>
          <w:i w:val="0"/>
        </w:rPr>
        <w:t>iudicant.</w:t>
      </w:r>
      <w:r>
        <w:rPr>
          <w:b w:val="0"/>
          <w:i w:val="0"/>
        </w:rPr>
        <w:t xml:space="preserve"> </w:t>
      </w:r>
      <w:hyperlink w:anchor="latin-record-0376">
        <w:r>
          <w:rPr>
            <w:color w:val="000000"/>
          </w:rPr>
          <w:t xml:space="preserve">errāre / iudicare</w:t>
        </w:r>
      </w:hyperlink>
      <w:r>
        <w:rPr>
          <w:b w:val="0"/>
          <w:i w:val="0"/>
        </w:rPr>
        <w:t xml:space="preserve">; </w:t>
      </w:r>
      <w:hyperlink w:anchor="latin-record-0622">
        <w:r>
          <w:rPr>
            <w:color w:val="000000"/>
          </w:rPr>
          <w:t xml:space="preserve">iudico</w:t>
        </w:r>
      </w:hyperlink>
      <w:r>
        <w:rPr>
          <w:b w:val="0"/>
          <w:i w:val="0"/>
        </w:rPr>
        <w:t>.</w:t>
      </w:r>
    </w:p>
    <w:p>
      <w:pPr>
        <w:widowControl/>
      </w:pPr>
      <w:r>
        <w:rPr>
          <w:b/>
          <w:i w:val="0"/>
        </w:rPr>
        <w:t>iudicari.</w:t>
      </w:r>
      <w:r>
        <w:rPr>
          <w:b w:val="0"/>
          <w:i w:val="0"/>
        </w:rPr>
        <w:t xml:space="preserve"> </w:t>
      </w:r>
      <w:hyperlink w:anchor="latin-record-0619">
        <w:r>
          <w:rPr>
            <w:color w:val="000000"/>
          </w:rPr>
          <w:t xml:space="preserve">iudicare / percipere / nescire / nosse / notitia / speculari</w:t>
        </w:r>
      </w:hyperlink>
      <w:r>
        <w:rPr>
          <w:b w:val="0"/>
          <w:i w:val="0"/>
        </w:rPr>
        <w:t>.</w:t>
      </w:r>
    </w:p>
    <w:p>
      <w:pPr>
        <w:widowControl/>
      </w:pPr>
      <w:r>
        <w:rPr>
          <w:b/>
          <w:i w:val="0"/>
        </w:rPr>
        <w:t>iudicavi.</w:t>
      </w:r>
      <w:r>
        <w:rPr>
          <w:b w:val="0"/>
          <w:i w:val="0"/>
        </w:rPr>
        <w:t xml:space="preserve"> </w:t>
      </w:r>
      <w:hyperlink w:anchor="latin-record-0622">
        <w:r>
          <w:rPr>
            <w:color w:val="000000"/>
          </w:rPr>
          <w:t xml:space="preserve">iudico</w:t>
        </w:r>
      </w:hyperlink>
      <w:r>
        <w:rPr>
          <w:b w:val="0"/>
          <w:i w:val="0"/>
        </w:rPr>
        <w:t>.</w:t>
      </w:r>
    </w:p>
    <w:p>
      <w:pPr>
        <w:widowControl/>
      </w:pPr>
      <w:r>
        <w:rPr>
          <w:b/>
          <w:i w:val="0"/>
        </w:rPr>
        <w:t>iudicet.</w:t>
      </w:r>
      <w:r>
        <w:rPr>
          <w:b w:val="0"/>
          <w:i w:val="0"/>
        </w:rPr>
        <w:t xml:space="preserve"> </w:t>
      </w:r>
      <w:hyperlink w:anchor="latin-record-0620">
        <w:r>
          <w:rPr>
            <w:color w:val="000000"/>
          </w:rPr>
          <w:t xml:space="preserve">iudicium / censere</w:t>
        </w:r>
      </w:hyperlink>
      <w:r>
        <w:rPr>
          <w:b w:val="0"/>
          <w:i w:val="0"/>
        </w:rPr>
        <w:t>.</w:t>
      </w:r>
    </w:p>
    <w:p>
      <w:pPr>
        <w:widowControl/>
      </w:pPr>
      <w:r>
        <w:rPr>
          <w:b/>
          <w:i w:val="0"/>
        </w:rPr>
        <w:t>iudicium.</w:t>
      </w:r>
      <w:r>
        <w:rPr>
          <w:b w:val="0"/>
          <w:i w:val="0"/>
        </w:rPr>
        <w:t xml:space="preserve"> </w:t>
      </w:r>
      <w:hyperlink w:anchor="latin-record-0620">
        <w:r>
          <w:rPr>
            <w:color w:val="000000"/>
          </w:rPr>
          <w:t xml:space="preserve">iudicium / censere</w:t>
        </w:r>
      </w:hyperlink>
      <w:r>
        <w:rPr>
          <w:b w:val="0"/>
          <w:i w:val="0"/>
        </w:rPr>
        <w:t xml:space="preserve">; </w:t>
      </w:r>
      <w:hyperlink w:anchor="latin-record-0621">
        <w:r>
          <w:rPr>
            <w:color w:val="000000"/>
          </w:rPr>
          <w:t xml:space="preserve">iudicium / perdo</w:t>
        </w:r>
      </w:hyperlink>
      <w:r>
        <w:rPr>
          <w:b w:val="0"/>
          <w:i w:val="0"/>
        </w:rPr>
        <w:t>.</w:t>
      </w:r>
    </w:p>
    <w:p>
      <w:pPr>
        <w:widowControl/>
      </w:pPr>
      <w:r>
        <w:rPr>
          <w:b/>
          <w:i w:val="0"/>
        </w:rPr>
        <w:t>Iulianus.</w:t>
      </w:r>
      <w:r>
        <w:rPr>
          <w:b w:val="0"/>
          <w:i w:val="0"/>
        </w:rPr>
        <w:t xml:space="preserve"> </w:t>
      </w:r>
      <w:hyperlink w:anchor="latin-record-0066">
        <w:r>
          <w:rPr>
            <w:color w:val="000000"/>
          </w:rPr>
          <w:t xml:space="preserve">Anebon / Abamon / Plotinus / Iamblichus / Julianus</w:t>
        </w:r>
      </w:hyperlink>
      <w:r>
        <w:rPr>
          <w:b w:val="0"/>
          <w:i w:val="0"/>
        </w:rPr>
        <w:t>.</w:t>
      </w:r>
    </w:p>
    <w:p>
      <w:pPr>
        <w:widowControl/>
      </w:pPr>
      <w:r>
        <w:rPr>
          <w:b/>
          <w:i w:val="0"/>
        </w:rPr>
        <w:t>iuncta.</w:t>
      </w:r>
      <w:r>
        <w:rPr>
          <w:b w:val="0"/>
          <w:i w:val="0"/>
        </w:rPr>
        <w:t xml:space="preserve"> </w:t>
      </w:r>
      <w:hyperlink w:anchor="latin-record-0235">
        <w:r>
          <w:rPr>
            <w:color w:val="000000"/>
          </w:rPr>
          <w:t xml:space="preserve">confusio / permiscere / iungere</w:t>
        </w:r>
      </w:hyperlink>
      <w:r>
        <w:rPr>
          <w:b w:val="0"/>
          <w:i w:val="0"/>
        </w:rPr>
        <w:t>.</w:t>
      </w:r>
    </w:p>
    <w:p>
      <w:pPr>
        <w:widowControl/>
      </w:pPr>
      <w:r>
        <w:rPr>
          <w:b/>
          <w:i w:val="0"/>
        </w:rPr>
        <w:t>Iupiter.</w:t>
      </w:r>
      <w:r>
        <w:rPr>
          <w:b w:val="0"/>
          <w:i w:val="0"/>
        </w:rPr>
        <w:t xml:space="preserve"> </w:t>
      </w:r>
      <w:hyperlink w:anchor="latin-record-0623">
        <w:r>
          <w:rPr>
            <w:color w:val="000000"/>
          </w:rPr>
          <w:t xml:space="preserve">Iupiter</w:t>
        </w:r>
      </w:hyperlink>
      <w:r>
        <w:rPr>
          <w:b w:val="0"/>
          <w:i w:val="0"/>
        </w:rPr>
        <w:t>.</w:t>
      </w:r>
    </w:p>
    <w:p>
      <w:pPr>
        <w:widowControl/>
      </w:pPr>
      <w:r>
        <w:rPr>
          <w:b/>
          <w:i w:val="0"/>
        </w:rPr>
        <w:t>Iupiter particularis.</w:t>
      </w:r>
      <w:r>
        <w:rPr>
          <w:b w:val="0"/>
          <w:i w:val="0"/>
        </w:rPr>
        <w:t xml:space="preserve"> </w:t>
      </w:r>
      <w:hyperlink w:anchor="latin-record-0871">
        <w:r>
          <w:rPr>
            <w:color w:val="000000"/>
          </w:rPr>
          <w:t xml:space="preserve">Phoebus particularis / Iupiter particularis</w:t>
        </w:r>
      </w:hyperlink>
      <w:r>
        <w:rPr>
          <w:b w:val="0"/>
          <w:i w:val="0"/>
        </w:rPr>
        <w:t>.</w:t>
      </w:r>
    </w:p>
    <w:p>
      <w:pPr>
        <w:widowControl/>
      </w:pPr>
      <w:r>
        <w:rPr>
          <w:b/>
          <w:i w:val="0"/>
        </w:rPr>
        <w:t>labatur.</w:t>
      </w:r>
      <w:r>
        <w:rPr>
          <w:b w:val="0"/>
          <w:i w:val="0"/>
        </w:rPr>
        <w:t xml:space="preserve"> </w:t>
      </w:r>
      <w:hyperlink w:anchor="latin-record-0625">
        <w:r>
          <w:rPr>
            <w:color w:val="000000"/>
          </w:rPr>
          <w:t xml:space="preserve">labi</w:t>
        </w:r>
      </w:hyperlink>
      <w:r>
        <w:rPr>
          <w:b w:val="0"/>
          <w:i w:val="0"/>
        </w:rPr>
        <w:t>.</w:t>
      </w:r>
    </w:p>
    <w:p>
      <w:pPr>
        <w:widowControl/>
      </w:pPr>
      <w:r>
        <w:rPr>
          <w:b/>
          <w:i w:val="0"/>
        </w:rPr>
        <w:t>labentes.</w:t>
      </w:r>
      <w:r>
        <w:rPr>
          <w:b w:val="0"/>
          <w:i w:val="0"/>
        </w:rPr>
        <w:t xml:space="preserve"> </w:t>
      </w:r>
      <w:hyperlink w:anchor="latin-record-0455">
        <w:r>
          <w:rPr>
            <w:color w:val="000000"/>
          </w:rPr>
          <w:t xml:space="preserve">fluctuo / labens</w:t>
        </w:r>
      </w:hyperlink>
      <w:r>
        <w:rPr>
          <w:b w:val="0"/>
          <w:i w:val="0"/>
        </w:rPr>
        <w:t>.</w:t>
      </w:r>
    </w:p>
    <w:p>
      <w:pPr>
        <w:widowControl/>
      </w:pPr>
      <w:r>
        <w:rPr>
          <w:b/>
          <w:i w:val="0"/>
        </w:rPr>
        <w:t>labentium.</w:t>
      </w:r>
      <w:r>
        <w:rPr>
          <w:b w:val="0"/>
          <w:i w:val="0"/>
        </w:rPr>
        <w:t xml:space="preserve"> </w:t>
      </w:r>
      <w:hyperlink w:anchor="latin-record-0455">
        <w:r>
          <w:rPr>
            <w:color w:val="000000"/>
          </w:rPr>
          <w:t xml:space="preserve">fluctuo / labens</w:t>
        </w:r>
      </w:hyperlink>
      <w:r>
        <w:rPr>
          <w:b w:val="0"/>
          <w:i w:val="0"/>
        </w:rPr>
        <w:t>.</w:t>
      </w:r>
    </w:p>
    <w:p>
      <w:pPr>
        <w:widowControl/>
      </w:pPr>
      <w:r>
        <w:rPr>
          <w:b/>
          <w:i w:val="0"/>
        </w:rPr>
        <w:t>labor.</w:t>
      </w:r>
      <w:r>
        <w:rPr>
          <w:b w:val="0"/>
          <w:i w:val="0"/>
        </w:rPr>
        <w:t xml:space="preserve"> </w:t>
      </w:r>
      <w:hyperlink w:anchor="latin-record-0626">
        <w:r>
          <w:rPr>
            <w:color w:val="000000"/>
          </w:rPr>
          <w:t xml:space="preserve">labor / transgressio</w:t>
        </w:r>
      </w:hyperlink>
      <w:r>
        <w:rPr>
          <w:b w:val="0"/>
          <w:i w:val="0"/>
        </w:rPr>
        <w:t>.</w:t>
      </w:r>
    </w:p>
    <w:p>
      <w:pPr>
        <w:widowControl/>
      </w:pPr>
      <w:r>
        <w:rPr>
          <w:b/>
          <w:i w:val="0"/>
        </w:rPr>
        <w:t>laborat.</w:t>
      </w:r>
      <w:r>
        <w:rPr>
          <w:b w:val="0"/>
          <w:i w:val="0"/>
        </w:rPr>
        <w:t xml:space="preserve"> </w:t>
      </w:r>
      <w:hyperlink w:anchor="latin-record-0288">
        <w:r>
          <w:rPr>
            <w:color w:val="000000"/>
          </w:rPr>
          <w:t xml:space="preserve">cura / labor / facilis</w:t>
        </w:r>
      </w:hyperlink>
      <w:r>
        <w:rPr>
          <w:b w:val="0"/>
          <w:i w:val="0"/>
        </w:rPr>
        <w:t>.</w:t>
      </w:r>
    </w:p>
    <w:p>
      <w:pPr>
        <w:widowControl/>
      </w:pPr>
      <w:r>
        <w:rPr>
          <w:b/>
          <w:i w:val="0"/>
        </w:rPr>
        <w:t>labore.</w:t>
      </w:r>
      <w:r>
        <w:rPr>
          <w:b w:val="0"/>
          <w:i w:val="0"/>
        </w:rPr>
        <w:t xml:space="preserve"> </w:t>
      </w:r>
      <w:hyperlink w:anchor="latin-record-0288">
        <w:r>
          <w:rPr>
            <w:color w:val="000000"/>
          </w:rPr>
          <w:t xml:space="preserve">cura / labor / facilis</w:t>
        </w:r>
      </w:hyperlink>
      <w:r>
        <w:rPr>
          <w:b w:val="0"/>
          <w:i w:val="0"/>
        </w:rPr>
        <w:t>.</w:t>
      </w:r>
    </w:p>
    <w:p>
      <w:pPr>
        <w:widowControl/>
      </w:pPr>
      <w:r>
        <w:rPr>
          <w:b/>
          <w:i w:val="0"/>
        </w:rPr>
        <w:t>lana.</w:t>
      </w:r>
      <w:r>
        <w:rPr>
          <w:b w:val="0"/>
          <w:i w:val="0"/>
        </w:rPr>
        <w:t xml:space="preserve"> </w:t>
      </w:r>
      <w:hyperlink w:anchor="latin-record-0186">
        <w:r>
          <w:rPr>
            <w:color w:val="000000"/>
          </w:rPr>
          <w:t xml:space="preserve">collisio / reflexio / lana</w:t>
        </w:r>
      </w:hyperlink>
      <w:r>
        <w:rPr>
          <w:b w:val="0"/>
          <w:i w:val="0"/>
        </w:rPr>
        <w:t>.</w:t>
      </w:r>
    </w:p>
    <w:p>
      <w:pPr>
        <w:widowControl/>
      </w:pPr>
      <w:r>
        <w:rPr>
          <w:b/>
          <w:i w:val="0"/>
        </w:rPr>
        <w:t>lanam.</w:t>
      </w:r>
      <w:r>
        <w:rPr>
          <w:b w:val="0"/>
          <w:i w:val="0"/>
        </w:rPr>
        <w:t xml:space="preserve"> </w:t>
      </w:r>
      <w:hyperlink w:anchor="latin-record-0186">
        <w:r>
          <w:rPr>
            <w:color w:val="000000"/>
          </w:rPr>
          <w:t xml:space="preserve">collisio / reflexio / lana</w:t>
        </w:r>
      </w:hyperlink>
      <w:r>
        <w:rPr>
          <w:b w:val="0"/>
          <w:i w:val="0"/>
        </w:rPr>
        <w:t>.</w:t>
      </w:r>
    </w:p>
    <w:p>
      <w:pPr>
        <w:widowControl/>
      </w:pPr>
      <w:r>
        <w:rPr>
          <w:b/>
          <w:i w:val="0"/>
        </w:rPr>
        <w:t>lapides.</w:t>
      </w:r>
      <w:r>
        <w:rPr>
          <w:b w:val="0"/>
          <w:i w:val="0"/>
        </w:rPr>
        <w:t xml:space="preserve"> </w:t>
      </w:r>
      <w:hyperlink w:anchor="latin-record-0627">
        <w:r>
          <w:rPr>
            <w:color w:val="000000"/>
          </w:rPr>
          <w:t xml:space="preserve">lapis / paries / congeries</w:t>
        </w:r>
      </w:hyperlink>
      <w:r>
        <w:rPr>
          <w:b w:val="0"/>
          <w:i w:val="0"/>
        </w:rPr>
        <w:t>.</w:t>
      </w:r>
    </w:p>
    <w:p>
      <w:pPr>
        <w:widowControl/>
      </w:pPr>
      <w:r>
        <w:rPr>
          <w:b/>
          <w:i w:val="0"/>
        </w:rPr>
        <w:t>lapidis.</w:t>
      </w:r>
      <w:r>
        <w:rPr>
          <w:b w:val="0"/>
          <w:i w:val="0"/>
        </w:rPr>
        <w:t xml:space="preserve"> </w:t>
      </w:r>
      <w:hyperlink w:anchor="latin-record-1140">
        <w:r>
          <w:rPr>
            <w:color w:val="000000"/>
          </w:rPr>
          <w:t xml:space="preserve">statua / lapis / aes</w:t>
        </w:r>
      </w:hyperlink>
      <w:r>
        <w:rPr>
          <w:b w:val="0"/>
          <w:i w:val="0"/>
        </w:rPr>
        <w:t>.</w:t>
      </w:r>
    </w:p>
    <w:p>
      <w:pPr>
        <w:widowControl/>
      </w:pPr>
      <w:r>
        <w:rPr>
          <w:b/>
          <w:i w:val="0"/>
        </w:rPr>
        <w:t>lapidum.</w:t>
      </w:r>
      <w:r>
        <w:rPr>
          <w:b w:val="0"/>
          <w:i w:val="0"/>
        </w:rPr>
        <w:t xml:space="preserve"> </w:t>
      </w:r>
      <w:hyperlink w:anchor="latin-record-0888">
        <w:r>
          <w:rPr>
            <w:color w:val="000000"/>
          </w:rPr>
          <w:t xml:space="preserve">pondus / lapis</w:t>
        </w:r>
      </w:hyperlink>
      <w:r>
        <w:rPr>
          <w:b w:val="0"/>
          <w:i w:val="0"/>
        </w:rPr>
        <w:t>.</w:t>
      </w:r>
    </w:p>
    <w:p>
      <w:pPr>
        <w:widowControl/>
      </w:pPr>
      <w:r>
        <w:rPr>
          <w:b/>
          <w:i w:val="0"/>
        </w:rPr>
        <w:t>largietur.</w:t>
      </w:r>
      <w:r>
        <w:rPr>
          <w:b w:val="0"/>
          <w:i w:val="0"/>
        </w:rPr>
        <w:t xml:space="preserve"> </w:t>
      </w:r>
      <w:hyperlink w:anchor="latin-record-0540">
        <w:r>
          <w:rPr>
            <w:color w:val="000000"/>
          </w:rPr>
          <w:t xml:space="preserve">impertire / impartire / largiri</w:t>
        </w:r>
      </w:hyperlink>
      <w:r>
        <w:rPr>
          <w:b w:val="0"/>
          <w:i w:val="0"/>
        </w:rPr>
        <w:t>.</w:t>
      </w:r>
    </w:p>
    <w:p>
      <w:pPr>
        <w:widowControl/>
      </w:pPr>
      <w:r>
        <w:rPr>
          <w:b/>
          <w:i w:val="0"/>
        </w:rPr>
        <w:t>largitio.</w:t>
      </w:r>
      <w:r>
        <w:rPr>
          <w:b w:val="0"/>
          <w:i w:val="0"/>
        </w:rPr>
        <w:t xml:space="preserve"> </w:t>
      </w:r>
      <w:hyperlink w:anchor="latin-record-0628">
        <w:r>
          <w:rPr>
            <w:color w:val="000000"/>
          </w:rPr>
          <w:t xml:space="preserve">largitio</w:t>
        </w:r>
      </w:hyperlink>
      <w:r>
        <w:rPr>
          <w:b w:val="0"/>
          <w:i w:val="0"/>
        </w:rPr>
        <w:t>.</w:t>
      </w:r>
    </w:p>
    <w:p>
      <w:pPr>
        <w:widowControl/>
      </w:pPr>
      <w:r>
        <w:rPr>
          <w:b/>
          <w:i w:val="0"/>
        </w:rPr>
        <w:t>Largitur.</w:t>
      </w:r>
      <w:r>
        <w:rPr>
          <w:b w:val="0"/>
          <w:i w:val="0"/>
        </w:rPr>
        <w:t xml:space="preserve"> </w:t>
      </w:r>
      <w:hyperlink w:anchor="latin-record-0540">
        <w:r>
          <w:rPr>
            <w:color w:val="000000"/>
          </w:rPr>
          <w:t xml:space="preserve">impertire / impartire / largiri</w:t>
        </w:r>
      </w:hyperlink>
      <w:r>
        <w:rPr>
          <w:b w:val="0"/>
          <w:i w:val="0"/>
        </w:rPr>
        <w:t>.</w:t>
      </w:r>
    </w:p>
    <w:p>
      <w:pPr>
        <w:widowControl/>
      </w:pPr>
      <w:r>
        <w:rPr>
          <w:b/>
          <w:i w:val="0"/>
        </w:rPr>
        <w:t>largitur.</w:t>
      </w:r>
      <w:r>
        <w:rPr>
          <w:b w:val="0"/>
          <w:i w:val="0"/>
        </w:rPr>
        <w:t xml:space="preserve"> </w:t>
      </w:r>
      <w:hyperlink w:anchor="latin-record-0540">
        <w:r>
          <w:rPr>
            <w:color w:val="000000"/>
          </w:rPr>
          <w:t xml:space="preserve">impertire / impartire / largiri</w:t>
        </w:r>
      </w:hyperlink>
      <w:r>
        <w:rPr>
          <w:b w:val="0"/>
          <w:i w:val="0"/>
        </w:rPr>
        <w:t>.</w:t>
      </w:r>
    </w:p>
    <w:p>
      <w:pPr>
        <w:widowControl/>
      </w:pPr>
      <w:r>
        <w:rPr>
          <w:b/>
          <w:i w:val="0"/>
        </w:rPr>
        <w:t>lateat.</w:t>
      </w:r>
      <w:r>
        <w:rPr>
          <w:b w:val="0"/>
          <w:i w:val="0"/>
        </w:rPr>
        <w:t xml:space="preserve"> </w:t>
      </w:r>
      <w:hyperlink w:anchor="latin-record-0629">
        <w:r>
          <w:rPr>
            <w:color w:val="000000"/>
          </w:rPr>
          <w:t xml:space="preserve">lateo</w:t>
        </w:r>
      </w:hyperlink>
      <w:r>
        <w:rPr>
          <w:b w:val="0"/>
          <w:i w:val="0"/>
        </w:rPr>
        <w:t xml:space="preserve">; </w:t>
      </w:r>
      <w:hyperlink w:anchor="latin-record-0631">
        <w:r>
          <w:rPr>
            <w:color w:val="000000"/>
          </w:rPr>
          <w:t xml:space="preserve">latere / informis</w:t>
        </w:r>
      </w:hyperlink>
      <w:r>
        <w:rPr>
          <w:b w:val="0"/>
          <w:i w:val="0"/>
        </w:rPr>
        <w:t>.</w:t>
      </w:r>
    </w:p>
    <w:p>
      <w:pPr>
        <w:widowControl/>
      </w:pPr>
      <w:r>
        <w:rPr>
          <w:b/>
          <w:i w:val="0"/>
        </w:rPr>
        <w:t>latens.</w:t>
      </w:r>
      <w:r>
        <w:rPr>
          <w:b w:val="0"/>
          <w:i w:val="0"/>
        </w:rPr>
        <w:t xml:space="preserve"> </w:t>
      </w:r>
      <w:hyperlink w:anchor="latin-record-0629">
        <w:r>
          <w:rPr>
            <w:color w:val="000000"/>
          </w:rPr>
          <w:t xml:space="preserve">lateo</w:t>
        </w:r>
      </w:hyperlink>
      <w:r>
        <w:rPr>
          <w:b w:val="0"/>
          <w:i w:val="0"/>
        </w:rPr>
        <w:t>.</w:t>
      </w:r>
    </w:p>
    <w:p>
      <w:pPr>
        <w:widowControl/>
      </w:pPr>
      <w:r>
        <w:rPr>
          <w:b/>
          <w:i w:val="0"/>
        </w:rPr>
        <w:t>latent.</w:t>
      </w:r>
      <w:r>
        <w:rPr>
          <w:b w:val="0"/>
          <w:i w:val="0"/>
        </w:rPr>
        <w:t xml:space="preserve"> </w:t>
      </w:r>
      <w:hyperlink w:anchor="latin-record-0630">
        <w:r>
          <w:rPr>
            <w:color w:val="000000"/>
          </w:rPr>
          <w:t xml:space="preserve">latere / exponere</w:t>
        </w:r>
      </w:hyperlink>
      <w:r>
        <w:rPr>
          <w:b w:val="0"/>
          <w:i w:val="0"/>
        </w:rPr>
        <w:t>.</w:t>
      </w:r>
    </w:p>
    <w:p>
      <w:pPr>
        <w:widowControl/>
      </w:pPr>
      <w:r>
        <w:rPr>
          <w:b/>
          <w:i w:val="0"/>
        </w:rPr>
        <w:t>laterna.</w:t>
      </w:r>
      <w:r>
        <w:rPr>
          <w:b w:val="0"/>
          <w:i w:val="0"/>
        </w:rPr>
        <w:t xml:space="preserve"> </w:t>
      </w:r>
      <w:hyperlink w:anchor="latin-record-0632">
        <w:r>
          <w:rPr>
            <w:color w:val="000000"/>
          </w:rPr>
          <w:t xml:space="preserve">laterna</w:t>
        </w:r>
      </w:hyperlink>
      <w:r>
        <w:rPr>
          <w:b w:val="0"/>
          <w:i w:val="0"/>
        </w:rPr>
        <w:t>.</w:t>
      </w:r>
    </w:p>
    <w:p>
      <w:pPr>
        <w:widowControl/>
      </w:pPr>
      <w:r>
        <w:rPr>
          <w:b/>
          <w:i w:val="0"/>
        </w:rPr>
        <w:t>laternam.</w:t>
      </w:r>
      <w:r>
        <w:rPr>
          <w:b w:val="0"/>
          <w:i w:val="0"/>
        </w:rPr>
        <w:t xml:space="preserve"> </w:t>
      </w:r>
      <w:hyperlink w:anchor="latin-record-0632">
        <w:r>
          <w:rPr>
            <w:color w:val="000000"/>
          </w:rPr>
          <w:t xml:space="preserve">laterna</w:t>
        </w:r>
      </w:hyperlink>
      <w:r>
        <w:rPr>
          <w:b w:val="0"/>
          <w:i w:val="0"/>
        </w:rPr>
        <w:t>.</w:t>
      </w:r>
    </w:p>
    <w:p>
      <w:pPr>
        <w:widowControl/>
      </w:pPr>
      <w:r>
        <w:rPr>
          <w:b/>
          <w:i w:val="0"/>
        </w:rPr>
        <w:t>Latina feci.</w:t>
      </w:r>
      <w:r>
        <w:rPr>
          <w:b w:val="0"/>
          <w:i w:val="0"/>
        </w:rPr>
        <w:t xml:space="preserve"> </w:t>
      </w:r>
      <w:hyperlink w:anchor="latin-record-0882">
        <w:r>
          <w:rPr>
            <w:color w:val="000000"/>
          </w:rPr>
          <w:t xml:space="preserve">Platonica / Latina facere</w:t>
        </w:r>
      </w:hyperlink>
      <w:r>
        <w:rPr>
          <w:b w:val="0"/>
          <w:i w:val="0"/>
        </w:rPr>
        <w:t>.</w:t>
      </w:r>
    </w:p>
    <w:p>
      <w:pPr>
        <w:widowControl/>
      </w:pPr>
      <w:r>
        <w:rPr>
          <w:b/>
          <w:i w:val="0"/>
        </w:rPr>
        <w:t>latissime.</w:t>
      </w:r>
      <w:r>
        <w:rPr>
          <w:b w:val="0"/>
          <w:i w:val="0"/>
        </w:rPr>
        <w:t xml:space="preserve"> </w:t>
      </w:r>
      <w:hyperlink w:anchor="latin-record-0900">
        <w:r>
          <w:rPr>
            <w:color w:val="000000"/>
          </w:rPr>
          <w:t xml:space="preserve">potissimum / summopere / penitus / prorsus / late</w:t>
        </w:r>
      </w:hyperlink>
      <w:r>
        <w:rPr>
          <w:b w:val="0"/>
          <w:i w:val="0"/>
        </w:rPr>
        <w:t>.</w:t>
      </w:r>
    </w:p>
    <w:p>
      <w:pPr>
        <w:widowControl/>
      </w:pPr>
      <w:r>
        <w:rPr>
          <w:b/>
          <w:i w:val="0"/>
        </w:rPr>
        <w:t>latrant.</w:t>
      </w:r>
      <w:r>
        <w:rPr>
          <w:b w:val="0"/>
          <w:i w:val="0"/>
        </w:rPr>
        <w:t xml:space="preserve"> </w:t>
      </w:r>
      <w:hyperlink w:anchor="latin-record-0138">
        <w:r>
          <w:rPr>
            <w:color w:val="000000"/>
          </w:rPr>
          <w:t xml:space="preserve">canis / latrare</w:t>
        </w:r>
      </w:hyperlink>
      <w:r>
        <w:rPr>
          <w:b w:val="0"/>
          <w:i w:val="0"/>
        </w:rPr>
        <w:t>.</w:t>
      </w:r>
    </w:p>
    <w:p>
      <w:pPr>
        <w:widowControl/>
      </w:pPr>
      <w:r>
        <w:rPr>
          <w:b/>
          <w:i w:val="0"/>
        </w:rPr>
        <w:t>latum.</w:t>
      </w:r>
      <w:r>
        <w:rPr>
          <w:b w:val="0"/>
          <w:i w:val="0"/>
        </w:rPr>
        <w:t xml:space="preserve"> </w:t>
      </w:r>
      <w:hyperlink w:anchor="latin-record-0643">
        <w:r>
          <w:rPr>
            <w:color w:val="000000"/>
          </w:rPr>
          <w:t xml:space="preserve">lignum / acutus / latus</w:t>
        </w:r>
      </w:hyperlink>
      <w:r>
        <w:rPr>
          <w:b w:val="0"/>
          <w:i w:val="0"/>
        </w:rPr>
        <w:t xml:space="preserve">; </w:t>
      </w:r>
      <w:hyperlink w:anchor="latin-record-0644">
        <w:r>
          <w:rPr>
            <w:color w:val="000000"/>
          </w:rPr>
          <w:t xml:space="preserve">linea / longum / latum / profundum</w:t>
        </w:r>
      </w:hyperlink>
      <w:r>
        <w:rPr>
          <w:b w:val="0"/>
          <w:i w:val="0"/>
        </w:rPr>
        <w:t xml:space="preserve">; </w:t>
      </w:r>
      <w:hyperlink w:anchor="latin-record-0649">
        <w:r>
          <w:rPr>
            <w:color w:val="000000"/>
          </w:rPr>
          <w:t xml:space="preserve">longum / latum / profundum</w:t>
        </w:r>
      </w:hyperlink>
      <w:r>
        <w:rPr>
          <w:b w:val="0"/>
          <w:i w:val="0"/>
        </w:rPr>
        <w:t>.</w:t>
      </w:r>
    </w:p>
    <w:p>
      <w:pPr>
        <w:widowControl/>
      </w:pPr>
      <w:r>
        <w:rPr>
          <w:b/>
          <w:i w:val="0"/>
        </w:rPr>
        <w:t>Laurenti.</w:t>
      </w:r>
      <w:r>
        <w:rPr>
          <w:b w:val="0"/>
          <w:i w:val="0"/>
        </w:rPr>
        <w:t xml:space="preserve"> </w:t>
      </w:r>
      <w:hyperlink w:anchor="latin-record-0633">
        <w:r>
          <w:rPr>
            <w:color w:val="000000"/>
          </w:rPr>
          <w:t xml:space="preserve">Laurenti / magnanimus</w:t>
        </w:r>
      </w:hyperlink>
      <w:r>
        <w:rPr>
          <w:b w:val="0"/>
          <w:i w:val="0"/>
        </w:rPr>
        <w:t>.</w:t>
      </w:r>
    </w:p>
    <w:p>
      <w:pPr>
        <w:widowControl/>
      </w:pPr>
      <w:r>
        <w:rPr>
          <w:b/>
          <w:i w:val="0"/>
        </w:rPr>
        <w:t>lege.</w:t>
      </w:r>
      <w:r>
        <w:rPr>
          <w:b w:val="0"/>
          <w:i w:val="0"/>
        </w:rPr>
        <w:t xml:space="preserve"> </w:t>
      </w:r>
      <w:hyperlink w:anchor="latin-record-0432">
        <w:r>
          <w:rPr>
            <w:color w:val="000000"/>
          </w:rPr>
          <w:t xml:space="preserve">fatalis lex / innata cupiditas</w:t>
        </w:r>
      </w:hyperlink>
      <w:r>
        <w:rPr>
          <w:b w:val="0"/>
          <w:i w:val="0"/>
        </w:rPr>
        <w:t xml:space="preserve">; </w:t>
      </w:r>
      <w:hyperlink w:anchor="latin-record-0638">
        <w:r>
          <w:rPr>
            <w:color w:val="000000"/>
          </w:rPr>
          <w:t xml:space="preserve">lex</w:t>
        </w:r>
      </w:hyperlink>
      <w:r>
        <w:rPr>
          <w:b w:val="0"/>
          <w:i w:val="0"/>
        </w:rPr>
        <w:t xml:space="preserve">; </w:t>
      </w:r>
      <w:hyperlink w:anchor="latin-record-0915">
        <w:r>
          <w:rPr>
            <w:color w:val="000000"/>
          </w:rPr>
          <w:t xml:space="preserve">praescribere / lex</w:t>
        </w:r>
      </w:hyperlink>
      <w:r>
        <w:rPr>
          <w:b w:val="0"/>
          <w:i w:val="0"/>
        </w:rPr>
        <w:t xml:space="preserve">; </w:t>
      </w:r>
      <w:hyperlink w:anchor="latin-record-1190">
        <w:r>
          <w:rPr>
            <w:color w:val="000000"/>
          </w:rPr>
          <w:t xml:space="preserve">tenor / lex</w:t>
        </w:r>
      </w:hyperlink>
      <w:r>
        <w:rPr>
          <w:b w:val="0"/>
          <w:i w:val="0"/>
        </w:rPr>
        <w:t>.</w:t>
      </w:r>
    </w:p>
    <w:p>
      <w:pPr>
        <w:widowControl/>
      </w:pPr>
      <w:r>
        <w:rPr>
          <w:b/>
          <w:i w:val="0"/>
        </w:rPr>
        <w:t>lege alicuius superioris.</w:t>
      </w:r>
      <w:r>
        <w:rPr>
          <w:b w:val="0"/>
          <w:i w:val="0"/>
        </w:rPr>
        <w:t xml:space="preserve"> </w:t>
      </w:r>
      <w:hyperlink w:anchor="latin-record-0355">
        <w:r>
          <w:rPr>
            <w:color w:val="000000"/>
          </w:rPr>
          <w:t xml:space="preserve">dux / lex superioris</w:t>
        </w:r>
      </w:hyperlink>
      <w:r>
        <w:rPr>
          <w:b w:val="0"/>
          <w:i w:val="0"/>
        </w:rPr>
        <w:t>.</w:t>
      </w:r>
    </w:p>
    <w:p>
      <w:pPr>
        <w:widowControl/>
      </w:pPr>
      <w:r>
        <w:rPr>
          <w:b/>
          <w:i w:val="0"/>
        </w:rPr>
        <w:t>legerit.</w:t>
      </w:r>
      <w:r>
        <w:rPr>
          <w:b w:val="0"/>
          <w:i w:val="0"/>
        </w:rPr>
        <w:t xml:space="preserve"> </w:t>
      </w:r>
      <w:hyperlink w:anchor="latin-record-0635">
        <w:r>
          <w:rPr>
            <w:color w:val="000000"/>
          </w:rPr>
          <w:t xml:space="preserve">lego / diligentia</w:t>
        </w:r>
      </w:hyperlink>
      <w:r>
        <w:rPr>
          <w:b w:val="0"/>
          <w:i w:val="0"/>
        </w:rPr>
        <w:t>.</w:t>
      </w:r>
    </w:p>
    <w:p>
      <w:pPr>
        <w:widowControl/>
      </w:pPr>
      <w:r>
        <w:rPr>
          <w:b/>
          <w:i w:val="0"/>
        </w:rPr>
        <w:t>Legibus.</w:t>
      </w:r>
      <w:r>
        <w:rPr>
          <w:b w:val="0"/>
          <w:i w:val="0"/>
        </w:rPr>
        <w:t xml:space="preserve"> </w:t>
      </w:r>
      <w:hyperlink w:anchor="latin-record-0634">
        <w:r>
          <w:rPr>
            <w:color w:val="000000"/>
          </w:rPr>
          <w:t xml:space="preserve">leges / respublica / regnum / Critias (titles)</w:t>
        </w:r>
      </w:hyperlink>
      <w:r>
        <w:rPr>
          <w:b w:val="0"/>
          <w:i w:val="0"/>
        </w:rPr>
        <w:t>.</w:t>
      </w:r>
    </w:p>
    <w:p>
      <w:pPr>
        <w:widowControl/>
      </w:pPr>
      <w:r>
        <w:rPr>
          <w:b/>
          <w:i w:val="0"/>
        </w:rPr>
        <w:t>Legum.</w:t>
      </w:r>
      <w:r>
        <w:rPr>
          <w:b w:val="0"/>
          <w:i w:val="0"/>
        </w:rPr>
        <w:t xml:space="preserve"> </w:t>
      </w:r>
      <w:hyperlink w:anchor="latin-record-0634">
        <w:r>
          <w:rPr>
            <w:color w:val="000000"/>
          </w:rPr>
          <w:t xml:space="preserve">leges / respublica / regnum / Critias (titles)</w:t>
        </w:r>
      </w:hyperlink>
      <w:r>
        <w:rPr>
          <w:b w:val="0"/>
          <w:i w:val="0"/>
        </w:rPr>
        <w:t>.</w:t>
      </w:r>
    </w:p>
    <w:p>
      <w:pPr>
        <w:widowControl/>
      </w:pPr>
      <w:r>
        <w:rPr>
          <w:b/>
          <w:i w:val="0"/>
        </w:rPr>
        <w:t>Letheo flumine.</w:t>
      </w:r>
      <w:r>
        <w:rPr>
          <w:b w:val="0"/>
          <w:i w:val="0"/>
        </w:rPr>
        <w:t xml:space="preserve"> </w:t>
      </w:r>
      <w:hyperlink w:anchor="latin-record-0636">
        <w:r>
          <w:rPr>
            <w:color w:val="000000"/>
          </w:rPr>
          <w:t xml:space="preserve">Letheus / mergo</w:t>
        </w:r>
      </w:hyperlink>
      <w:r>
        <w:rPr>
          <w:b w:val="0"/>
          <w:i w:val="0"/>
        </w:rPr>
        <w:t>.</w:t>
      </w:r>
    </w:p>
    <w:p>
      <w:pPr>
        <w:widowControl/>
      </w:pPr>
      <w:r>
        <w:rPr>
          <w:b/>
          <w:i w:val="0"/>
        </w:rPr>
        <w:t>leviora.</w:t>
      </w:r>
      <w:r>
        <w:rPr>
          <w:b w:val="0"/>
          <w:i w:val="0"/>
        </w:rPr>
        <w:t xml:space="preserve"> </w:t>
      </w:r>
      <w:hyperlink w:anchor="latin-record-0490">
        <w:r>
          <w:rPr>
            <w:color w:val="000000"/>
          </w:rPr>
          <w:t xml:space="preserve">gravior / levior</w:t>
        </w:r>
      </w:hyperlink>
      <w:r>
        <w:rPr>
          <w:b w:val="0"/>
          <w:i w:val="0"/>
        </w:rPr>
        <w:t>.</w:t>
      </w:r>
    </w:p>
    <w:p>
      <w:pPr>
        <w:widowControl/>
      </w:pPr>
      <w:r>
        <w:rPr>
          <w:b/>
          <w:i w:val="0"/>
        </w:rPr>
        <w:t>Levitas.</w:t>
      </w:r>
      <w:r>
        <w:rPr>
          <w:b w:val="0"/>
          <w:i w:val="0"/>
        </w:rPr>
        <w:t xml:space="preserve"> </w:t>
      </w:r>
      <w:hyperlink w:anchor="latin-record-0491">
        <w:r>
          <w:rPr>
            <w:color w:val="000000"/>
          </w:rPr>
          <w:t xml:space="preserve">gravitas / levitas</w:t>
        </w:r>
      </w:hyperlink>
      <w:r>
        <w:rPr>
          <w:b w:val="0"/>
          <w:i w:val="0"/>
        </w:rPr>
        <w:t>.</w:t>
      </w:r>
    </w:p>
    <w:p>
      <w:pPr>
        <w:widowControl/>
      </w:pPr>
      <w:r>
        <w:rPr>
          <w:b/>
          <w:i w:val="0"/>
        </w:rPr>
        <w:t>levitate.</w:t>
      </w:r>
      <w:r>
        <w:rPr>
          <w:b w:val="0"/>
          <w:i w:val="0"/>
        </w:rPr>
        <w:t xml:space="preserve"> </w:t>
      </w:r>
      <w:hyperlink w:anchor="latin-record-0491">
        <w:r>
          <w:rPr>
            <w:color w:val="000000"/>
          </w:rPr>
          <w:t xml:space="preserve">gravitas / levitas</w:t>
        </w:r>
      </w:hyperlink>
      <w:r>
        <w:rPr>
          <w:b w:val="0"/>
          <w:i w:val="0"/>
        </w:rPr>
        <w:t>.</w:t>
      </w:r>
    </w:p>
    <w:p>
      <w:pPr>
        <w:widowControl/>
      </w:pPr>
      <w:r>
        <w:rPr>
          <w:b/>
          <w:i w:val="0"/>
        </w:rPr>
        <w:t>levitatis.</w:t>
      </w:r>
      <w:r>
        <w:rPr>
          <w:b w:val="0"/>
          <w:i w:val="0"/>
        </w:rPr>
        <w:t xml:space="preserve"> </w:t>
      </w:r>
      <w:hyperlink w:anchor="latin-record-0637">
        <w:r>
          <w:rPr>
            <w:color w:val="000000"/>
          </w:rPr>
          <w:t xml:space="preserve">levitas / gravitas</w:t>
        </w:r>
      </w:hyperlink>
      <w:r>
        <w:rPr>
          <w:b w:val="0"/>
          <w:i w:val="0"/>
        </w:rPr>
        <w:t>.</w:t>
      </w:r>
    </w:p>
    <w:p>
      <w:pPr>
        <w:widowControl/>
      </w:pPr>
      <w:r>
        <w:rPr>
          <w:b/>
          <w:i w:val="0"/>
        </w:rPr>
        <w:t>lex.</w:t>
      </w:r>
      <w:r>
        <w:rPr>
          <w:b w:val="0"/>
          <w:i w:val="0"/>
        </w:rPr>
        <w:t xml:space="preserve"> </w:t>
      </w:r>
      <w:hyperlink w:anchor="latin-record-0638">
        <w:r>
          <w:rPr>
            <w:color w:val="000000"/>
          </w:rPr>
          <w:t xml:space="preserve">lex</w:t>
        </w:r>
      </w:hyperlink>
      <w:r>
        <w:rPr>
          <w:b w:val="0"/>
          <w:i w:val="0"/>
        </w:rPr>
        <w:t>.</w:t>
      </w:r>
    </w:p>
    <w:p>
      <w:pPr>
        <w:widowControl/>
      </w:pPr>
      <w:r>
        <w:rPr>
          <w:b/>
          <w:i w:val="0"/>
        </w:rPr>
        <w:t>libenter.</w:t>
      </w:r>
      <w:r>
        <w:rPr>
          <w:b w:val="0"/>
          <w:i w:val="0"/>
        </w:rPr>
        <w:t xml:space="preserve"> </w:t>
      </w:r>
      <w:hyperlink w:anchor="latin-record-0878">
        <w:r>
          <w:rPr>
            <w:color w:val="000000"/>
          </w:rPr>
          <w:t xml:space="preserve">placere / libenter</w:t>
        </w:r>
      </w:hyperlink>
      <w:r>
        <w:rPr>
          <w:b w:val="0"/>
          <w:i w:val="0"/>
        </w:rPr>
        <w:t>.</w:t>
      </w:r>
    </w:p>
    <w:p>
      <w:pPr>
        <w:widowControl/>
      </w:pPr>
      <w:r>
        <w:rPr>
          <w:b/>
          <w:i w:val="0"/>
        </w:rPr>
        <w:t>Liber.</w:t>
      </w:r>
      <w:r>
        <w:rPr>
          <w:b w:val="0"/>
          <w:i w:val="0"/>
        </w:rPr>
        <w:t xml:space="preserve"> </w:t>
      </w:r>
      <w:hyperlink w:anchor="latin-record-0641">
        <w:r>
          <w:rPr>
            <w:color w:val="000000"/>
          </w:rPr>
          <w:t xml:space="preserve">liber / libertas</w:t>
        </w:r>
      </w:hyperlink>
      <w:r>
        <w:rPr>
          <w:b w:val="0"/>
          <w:i w:val="0"/>
        </w:rPr>
        <w:t>.</w:t>
      </w:r>
    </w:p>
    <w:p>
      <w:pPr>
        <w:widowControl/>
      </w:pPr>
      <w:r>
        <w:rPr>
          <w:b/>
          <w:i w:val="0"/>
        </w:rPr>
        <w:t>libera.</w:t>
      </w:r>
      <w:r>
        <w:rPr>
          <w:b w:val="0"/>
          <w:i w:val="0"/>
        </w:rPr>
        <w:t xml:space="preserve"> </w:t>
      </w:r>
      <w:hyperlink w:anchor="latin-record-0640">
        <w:r>
          <w:rPr>
            <w:color w:val="000000"/>
          </w:rPr>
          <w:t xml:space="preserve">liber / liberior</w:t>
        </w:r>
      </w:hyperlink>
      <w:r>
        <w:rPr>
          <w:b w:val="0"/>
          <w:i w:val="0"/>
        </w:rPr>
        <w:t>.</w:t>
      </w:r>
    </w:p>
    <w:p>
      <w:pPr>
        <w:widowControl/>
      </w:pPr>
      <w:r>
        <w:rPr>
          <w:b/>
          <w:i w:val="0"/>
        </w:rPr>
        <w:t>libera voluntate disponens.</w:t>
      </w:r>
      <w:r>
        <w:rPr>
          <w:b w:val="0"/>
          <w:i w:val="0"/>
        </w:rPr>
        <w:t xml:space="preserve"> </w:t>
      </w:r>
      <w:hyperlink w:anchor="latin-record-0642">
        <w:r>
          <w:rPr>
            <w:color w:val="000000"/>
          </w:rPr>
          <w:t xml:space="preserve">libera voluntate disponere</w:t>
        </w:r>
      </w:hyperlink>
      <w:r>
        <w:rPr>
          <w:b w:val="0"/>
          <w:i w:val="0"/>
        </w:rPr>
        <w:t>.</w:t>
      </w:r>
    </w:p>
    <w:p>
      <w:pPr>
        <w:widowControl/>
      </w:pPr>
      <w:r>
        <w:rPr>
          <w:b/>
          <w:i w:val="0"/>
        </w:rPr>
        <w:t>liberam.</w:t>
      </w:r>
      <w:r>
        <w:rPr>
          <w:b w:val="0"/>
          <w:i w:val="0"/>
        </w:rPr>
        <w:t xml:space="preserve"> </w:t>
      </w:r>
      <w:hyperlink w:anchor="latin-record-0640">
        <w:r>
          <w:rPr>
            <w:color w:val="000000"/>
          </w:rPr>
          <w:t xml:space="preserve">liber / liberior</w:t>
        </w:r>
      </w:hyperlink>
      <w:r>
        <w:rPr>
          <w:b w:val="0"/>
          <w:i w:val="0"/>
        </w:rPr>
        <w:t>.</w:t>
      </w:r>
    </w:p>
    <w:p>
      <w:pPr>
        <w:widowControl/>
      </w:pPr>
      <w:r>
        <w:rPr>
          <w:b/>
          <w:i w:val="0"/>
        </w:rPr>
        <w:t>liberiorem.</w:t>
      </w:r>
      <w:r>
        <w:rPr>
          <w:b w:val="0"/>
          <w:i w:val="0"/>
        </w:rPr>
        <w:t xml:space="preserve"> </w:t>
      </w:r>
      <w:hyperlink w:anchor="latin-record-0640">
        <w:r>
          <w:rPr>
            <w:color w:val="000000"/>
          </w:rPr>
          <w:t xml:space="preserve">liber / liberior</w:t>
        </w:r>
      </w:hyperlink>
      <w:r>
        <w:rPr>
          <w:b w:val="0"/>
          <w:i w:val="0"/>
        </w:rPr>
        <w:t>.</w:t>
      </w:r>
    </w:p>
    <w:p>
      <w:pPr>
        <w:widowControl/>
      </w:pPr>
      <w:r>
        <w:rPr>
          <w:b/>
          <w:i w:val="0"/>
        </w:rPr>
        <w:t>Libertas.</w:t>
      </w:r>
      <w:r>
        <w:rPr>
          <w:b w:val="0"/>
          <w:i w:val="0"/>
        </w:rPr>
        <w:t xml:space="preserve"> </w:t>
      </w:r>
      <w:hyperlink w:anchor="latin-record-0641">
        <w:r>
          <w:rPr>
            <w:color w:val="000000"/>
          </w:rPr>
          <w:t xml:space="preserve">liber / libertas</w:t>
        </w:r>
      </w:hyperlink>
      <w:r>
        <w:rPr>
          <w:b w:val="0"/>
          <w:i w:val="0"/>
        </w:rPr>
        <w:t>.</w:t>
      </w:r>
    </w:p>
    <w:p>
      <w:pPr>
        <w:widowControl/>
      </w:pPr>
      <w:r>
        <w:rPr>
          <w:b/>
          <w:i w:val="0"/>
        </w:rPr>
        <w:t>libertas.</w:t>
      </w:r>
      <w:r>
        <w:rPr>
          <w:b w:val="0"/>
          <w:i w:val="0"/>
        </w:rPr>
        <w:t xml:space="preserve"> </w:t>
      </w:r>
      <w:hyperlink w:anchor="latin-record-0641">
        <w:r>
          <w:rPr>
            <w:color w:val="000000"/>
          </w:rPr>
          <w:t xml:space="preserve">liber / libertas</w:t>
        </w:r>
      </w:hyperlink>
      <w:r>
        <w:rPr>
          <w:b w:val="0"/>
          <w:i w:val="0"/>
        </w:rPr>
        <w:t>.</w:t>
      </w:r>
    </w:p>
    <w:p>
      <w:pPr>
        <w:widowControl/>
      </w:pPr>
      <w:r>
        <w:rPr>
          <w:b/>
          <w:i w:val="0"/>
        </w:rPr>
        <w:t>libertate.</w:t>
      </w:r>
      <w:r>
        <w:rPr>
          <w:b w:val="0"/>
          <w:i w:val="0"/>
        </w:rPr>
        <w:t xml:space="preserve"> </w:t>
      </w:r>
      <w:hyperlink w:anchor="latin-record-0750">
        <w:r>
          <w:rPr>
            <w:color w:val="000000"/>
          </w:rPr>
          <w:t xml:space="preserve">necessitas and willing acceptance</w:t>
        </w:r>
      </w:hyperlink>
      <w:r>
        <w:rPr>
          <w:b w:val="0"/>
          <w:i w:val="0"/>
        </w:rPr>
        <w:t>.</w:t>
      </w:r>
    </w:p>
    <w:p>
      <w:pPr>
        <w:widowControl/>
      </w:pPr>
      <w:r>
        <w:rPr>
          <w:b/>
          <w:i w:val="0"/>
        </w:rPr>
        <w:t>librata.</w:t>
      </w:r>
      <w:r>
        <w:rPr>
          <w:b w:val="0"/>
          <w:i w:val="0"/>
        </w:rPr>
        <w:t xml:space="preserve"> </w:t>
      </w:r>
      <w:hyperlink w:anchor="latin-record-0889">
        <w:r>
          <w:rPr>
            <w:color w:val="000000"/>
          </w:rPr>
          <w:t xml:space="preserve">pondus / librare</w:t>
        </w:r>
      </w:hyperlink>
      <w:r>
        <w:rPr>
          <w:b w:val="0"/>
          <w:i w:val="0"/>
        </w:rPr>
        <w:t>.</w:t>
      </w:r>
    </w:p>
    <w:p>
      <w:pPr>
        <w:widowControl/>
      </w:pPr>
      <w:r>
        <w:rPr>
          <w:b/>
          <w:i w:val="0"/>
        </w:rPr>
        <w:t>licet.</w:t>
      </w:r>
      <w:r>
        <w:rPr>
          <w:b w:val="0"/>
          <w:i w:val="0"/>
        </w:rPr>
        <w:t xml:space="preserve"> </w:t>
      </w:r>
      <w:hyperlink w:anchor="latin-record-1004">
        <w:r>
          <w:rPr>
            <w:color w:val="000000"/>
          </w:rPr>
          <w:t xml:space="preserve">quamvis / licet</w:t>
        </w:r>
      </w:hyperlink>
      <w:r>
        <w:rPr>
          <w:b w:val="0"/>
          <w:i w:val="0"/>
        </w:rPr>
        <w:t>.</w:t>
      </w:r>
    </w:p>
    <w:p>
      <w:pPr>
        <w:widowControl/>
      </w:pPr>
      <w:r>
        <w:rPr>
          <w:b/>
          <w:i w:val="0"/>
        </w:rPr>
        <w:t>ligno.</w:t>
      </w:r>
      <w:r>
        <w:rPr>
          <w:b w:val="0"/>
          <w:i w:val="0"/>
        </w:rPr>
        <w:t xml:space="preserve"> </w:t>
      </w:r>
      <w:hyperlink w:anchor="latin-record-0422">
        <w:r>
          <w:rPr>
            <w:color w:val="000000"/>
          </w:rPr>
          <w:t xml:space="preserve">faber lignarius</w:t>
        </w:r>
      </w:hyperlink>
      <w:r>
        <w:rPr>
          <w:b w:val="0"/>
          <w:i w:val="0"/>
        </w:rPr>
        <w:t xml:space="preserve">; </w:t>
      </w:r>
      <w:hyperlink w:anchor="latin-record-0683">
        <w:r>
          <w:rPr>
            <w:color w:val="000000"/>
          </w:rPr>
          <w:t xml:space="preserve">membra / lignum / aer</w:t>
        </w:r>
      </w:hyperlink>
      <w:r>
        <w:rPr>
          <w:b w:val="0"/>
          <w:i w:val="0"/>
        </w:rPr>
        <w:t>.</w:t>
      </w:r>
    </w:p>
    <w:p>
      <w:pPr>
        <w:widowControl/>
      </w:pPr>
      <w:r>
        <w:rPr>
          <w:b/>
          <w:i w:val="0"/>
        </w:rPr>
        <w:t>lignum.</w:t>
      </w:r>
      <w:r>
        <w:rPr>
          <w:b w:val="0"/>
          <w:i w:val="0"/>
        </w:rPr>
        <w:t xml:space="preserve"> </w:t>
      </w:r>
      <w:hyperlink w:anchor="latin-record-0135">
        <w:r>
          <w:rPr>
            <w:color w:val="000000"/>
          </w:rPr>
          <w:t xml:space="preserve">calor / ignis / lignum</w:t>
        </w:r>
      </w:hyperlink>
      <w:r>
        <w:rPr>
          <w:b w:val="0"/>
          <w:i w:val="0"/>
        </w:rPr>
        <w:t xml:space="preserve">; </w:t>
      </w:r>
      <w:hyperlink w:anchor="latin-record-0643">
        <w:r>
          <w:rPr>
            <w:color w:val="000000"/>
          </w:rPr>
          <w:t xml:space="preserve">lignum / acutus / latus</w:t>
        </w:r>
      </w:hyperlink>
      <w:r>
        <w:rPr>
          <w:b w:val="0"/>
          <w:i w:val="0"/>
        </w:rPr>
        <w:t>.</w:t>
      </w:r>
    </w:p>
    <w:p>
      <w:pPr>
        <w:widowControl/>
      </w:pPr>
      <w:r>
        <w:rPr>
          <w:b/>
          <w:i w:val="0"/>
        </w:rPr>
        <w:t>limites.</w:t>
      </w:r>
      <w:r>
        <w:rPr>
          <w:b w:val="0"/>
          <w:i w:val="0"/>
        </w:rPr>
        <w:t xml:space="preserve"> </w:t>
      </w:r>
      <w:hyperlink w:anchor="latin-record-0161">
        <w:r>
          <w:rPr>
            <w:color w:val="000000"/>
          </w:rPr>
          <w:t xml:space="preserve">certus / assignare / limitare</w:t>
        </w:r>
      </w:hyperlink>
      <w:r>
        <w:rPr>
          <w:b w:val="0"/>
          <w:i w:val="0"/>
        </w:rPr>
        <w:t>.</w:t>
      </w:r>
    </w:p>
    <w:p>
      <w:pPr>
        <w:widowControl/>
      </w:pPr>
      <w:r>
        <w:rPr>
          <w:b/>
          <w:i w:val="0"/>
        </w:rPr>
        <w:t>linea.</w:t>
      </w:r>
      <w:r>
        <w:rPr>
          <w:b w:val="0"/>
          <w:i w:val="0"/>
        </w:rPr>
        <w:t xml:space="preserve"> </w:t>
      </w:r>
      <w:hyperlink w:anchor="latin-record-0644">
        <w:r>
          <w:rPr>
            <w:color w:val="000000"/>
          </w:rPr>
          <w:t xml:space="preserve">linea / longum / latum / profundum</w:t>
        </w:r>
      </w:hyperlink>
      <w:r>
        <w:rPr>
          <w:b w:val="0"/>
          <w:i w:val="0"/>
        </w:rPr>
        <w:t xml:space="preserve">; </w:t>
      </w:r>
      <w:hyperlink w:anchor="latin-record-0985">
        <w:r>
          <w:rPr>
            <w:color w:val="000000"/>
          </w:rPr>
          <w:t xml:space="preserve">punctum / linea / circumferentia</w:t>
        </w:r>
      </w:hyperlink>
      <w:r>
        <w:rPr>
          <w:b w:val="0"/>
          <w:i w:val="0"/>
        </w:rPr>
        <w:t>.</w:t>
      </w:r>
    </w:p>
    <w:p>
      <w:pPr>
        <w:widowControl/>
      </w:pPr>
      <w:r>
        <w:rPr>
          <w:b/>
          <w:i w:val="0"/>
        </w:rPr>
        <w:t>lineae.</w:t>
      </w:r>
      <w:r>
        <w:rPr>
          <w:b w:val="0"/>
          <w:i w:val="0"/>
        </w:rPr>
        <w:t xml:space="preserve"> </w:t>
      </w:r>
      <w:hyperlink w:anchor="latin-record-0644">
        <w:r>
          <w:rPr>
            <w:color w:val="000000"/>
          </w:rPr>
          <w:t xml:space="preserve">linea / longum / latum / profundum</w:t>
        </w:r>
      </w:hyperlink>
      <w:r>
        <w:rPr>
          <w:b w:val="0"/>
          <w:i w:val="0"/>
        </w:rPr>
        <w:t>.</w:t>
      </w:r>
    </w:p>
    <w:p>
      <w:pPr>
        <w:widowControl/>
      </w:pPr>
      <w:r>
        <w:rPr>
          <w:b/>
          <w:i w:val="0"/>
        </w:rPr>
        <w:t>linearum.</w:t>
      </w:r>
      <w:r>
        <w:rPr>
          <w:b w:val="0"/>
          <w:i w:val="0"/>
        </w:rPr>
        <w:t xml:space="preserve"> </w:t>
      </w:r>
      <w:hyperlink w:anchor="latin-record-0644">
        <w:r>
          <w:rPr>
            <w:color w:val="000000"/>
          </w:rPr>
          <w:t xml:space="preserve">linea / longum / latum / profundum</w:t>
        </w:r>
      </w:hyperlink>
      <w:r>
        <w:rPr>
          <w:b w:val="0"/>
          <w:i w:val="0"/>
        </w:rPr>
        <w:t>.</w:t>
      </w:r>
    </w:p>
    <w:p>
      <w:pPr>
        <w:widowControl/>
      </w:pPr>
      <w:r>
        <w:rPr>
          <w:b/>
          <w:i w:val="0"/>
        </w:rPr>
        <w:t>liquido.</w:t>
      </w:r>
      <w:r>
        <w:rPr>
          <w:b w:val="0"/>
          <w:i w:val="0"/>
        </w:rPr>
        <w:t xml:space="preserve"> </w:t>
      </w:r>
      <w:hyperlink w:anchor="latin-record-0148">
        <w:r>
          <w:rPr>
            <w:color w:val="000000"/>
          </w:rPr>
          <w:t xml:space="preserve">cardo / liquidus / solidus</w:t>
        </w:r>
      </w:hyperlink>
      <w:r>
        <w:rPr>
          <w:b w:val="0"/>
          <w:i w:val="0"/>
        </w:rPr>
        <w:t>.</w:t>
      </w:r>
    </w:p>
    <w:p>
      <w:pPr>
        <w:widowControl/>
      </w:pPr>
      <w:r>
        <w:rPr>
          <w:b/>
          <w:i w:val="0"/>
        </w:rPr>
        <w:t>liquidorum.</w:t>
      </w:r>
      <w:r>
        <w:rPr>
          <w:b w:val="0"/>
          <w:i w:val="0"/>
        </w:rPr>
        <w:t xml:space="preserve"> </w:t>
      </w:r>
      <w:hyperlink w:anchor="latin-record-0148">
        <w:r>
          <w:rPr>
            <w:color w:val="000000"/>
          </w:rPr>
          <w:t xml:space="preserve">cardo / liquidus / solidus</w:t>
        </w:r>
      </w:hyperlink>
      <w:r>
        <w:rPr>
          <w:b w:val="0"/>
          <w:i w:val="0"/>
        </w:rPr>
        <w:t>.</w:t>
      </w:r>
    </w:p>
    <w:p>
      <w:pPr>
        <w:widowControl/>
      </w:pPr>
      <w:r>
        <w:rPr>
          <w:b/>
          <w:i w:val="0"/>
        </w:rPr>
        <w:t>liquorem.</w:t>
      </w:r>
      <w:r>
        <w:rPr>
          <w:b w:val="0"/>
          <w:i w:val="0"/>
        </w:rPr>
        <w:t xml:space="preserve"> </w:t>
      </w:r>
      <w:hyperlink w:anchor="latin-record-0508">
        <w:r>
          <w:rPr>
            <w:color w:val="000000"/>
          </w:rPr>
          <w:t xml:space="preserve">haurio / liquor / infundo</w:t>
        </w:r>
      </w:hyperlink>
      <w:r>
        <w:rPr>
          <w:b w:val="0"/>
          <w:i w:val="0"/>
        </w:rPr>
        <w:t>.</w:t>
      </w:r>
    </w:p>
    <w:p>
      <w:pPr>
        <w:widowControl/>
      </w:pPr>
      <w:r>
        <w:rPr>
          <w:b/>
          <w:i w:val="0"/>
        </w:rPr>
        <w:t>localem.</w:t>
      </w:r>
      <w:r>
        <w:rPr>
          <w:b w:val="0"/>
          <w:i w:val="0"/>
        </w:rPr>
        <w:t xml:space="preserve"> </w:t>
      </w:r>
      <w:hyperlink w:anchor="latin-record-0645">
        <w:r>
          <w:rPr>
            <w:color w:val="000000"/>
          </w:rPr>
          <w:t xml:space="preserve">locare / regio / localis</w:t>
        </w:r>
      </w:hyperlink>
      <w:r>
        <w:rPr>
          <w:b w:val="0"/>
          <w:i w:val="0"/>
        </w:rPr>
        <w:t>.</w:t>
      </w:r>
    </w:p>
    <w:p>
      <w:pPr>
        <w:widowControl/>
      </w:pPr>
      <w:r>
        <w:rPr>
          <w:b/>
          <w:i w:val="0"/>
        </w:rPr>
        <w:t>Localis.</w:t>
      </w:r>
      <w:r>
        <w:rPr>
          <w:b w:val="0"/>
          <w:i w:val="0"/>
        </w:rPr>
        <w:t xml:space="preserve"> </w:t>
      </w:r>
      <w:hyperlink w:anchor="latin-record-0645">
        <w:r>
          <w:rPr>
            <w:color w:val="000000"/>
          </w:rPr>
          <w:t xml:space="preserve">locare / regio / localis</w:t>
        </w:r>
      </w:hyperlink>
      <w:r>
        <w:rPr>
          <w:b w:val="0"/>
          <w:i w:val="0"/>
        </w:rPr>
        <w:t>.</w:t>
      </w:r>
    </w:p>
    <w:p>
      <w:pPr>
        <w:widowControl/>
      </w:pPr>
      <w:r>
        <w:rPr>
          <w:b/>
          <w:i w:val="0"/>
        </w:rPr>
        <w:t>locatur.</w:t>
      </w:r>
      <w:r>
        <w:rPr>
          <w:b w:val="0"/>
          <w:i w:val="0"/>
        </w:rPr>
        <w:t xml:space="preserve"> </w:t>
      </w:r>
      <w:hyperlink w:anchor="latin-record-0645">
        <w:r>
          <w:rPr>
            <w:color w:val="000000"/>
          </w:rPr>
          <w:t xml:space="preserve">locare / regio / localis</w:t>
        </w:r>
      </w:hyperlink>
      <w:r>
        <w:rPr>
          <w:b w:val="0"/>
          <w:i w:val="0"/>
        </w:rPr>
        <w:t>.</w:t>
      </w:r>
    </w:p>
    <w:p>
      <w:pPr>
        <w:widowControl/>
      </w:pPr>
      <w:r>
        <w:rPr>
          <w:b/>
          <w:i w:val="0"/>
        </w:rPr>
        <w:t>loci.</w:t>
      </w:r>
      <w:r>
        <w:rPr>
          <w:b w:val="0"/>
          <w:i w:val="0"/>
        </w:rPr>
        <w:t xml:space="preserve"> </w:t>
      </w:r>
      <w:hyperlink w:anchor="latin-record-0646">
        <w:r>
          <w:rPr>
            <w:color w:val="000000"/>
          </w:rPr>
          <w:t xml:space="preserve">locus / situs / spatium</w:t>
        </w:r>
      </w:hyperlink>
      <w:r>
        <w:rPr>
          <w:b w:val="0"/>
          <w:i w:val="0"/>
        </w:rPr>
        <w:t>.</w:t>
      </w:r>
    </w:p>
    <w:p>
      <w:pPr>
        <w:widowControl/>
      </w:pPr>
      <w:r>
        <w:rPr>
          <w:b/>
          <w:i w:val="0"/>
        </w:rPr>
        <w:t>Locrus.</w:t>
      </w:r>
      <w:r>
        <w:rPr>
          <w:b w:val="0"/>
          <w:i w:val="0"/>
        </w:rPr>
        <w:t xml:space="preserve"> </w:t>
      </w:r>
      <w:hyperlink w:anchor="latin-record-1200">
        <w:r>
          <w:rPr>
            <w:color w:val="000000"/>
          </w:rPr>
          <w:t xml:space="preserve">Timaeus / Timaeus Locrus</w:t>
        </w:r>
      </w:hyperlink>
      <w:r>
        <w:rPr>
          <w:b w:val="0"/>
          <w:i w:val="0"/>
        </w:rPr>
        <w:t>.</w:t>
      </w:r>
    </w:p>
    <w:p>
      <w:pPr>
        <w:widowControl/>
      </w:pPr>
      <w:r>
        <w:rPr>
          <w:b/>
          <w:i w:val="0"/>
        </w:rPr>
        <w:t>locum.</w:t>
      </w:r>
      <w:r>
        <w:rPr>
          <w:b w:val="0"/>
          <w:i w:val="0"/>
        </w:rPr>
        <w:t xml:space="preserve"> </w:t>
      </w:r>
      <w:hyperlink w:anchor="latin-record-0647">
        <w:r>
          <w:rPr>
            <w:color w:val="000000"/>
          </w:rPr>
          <w:t xml:space="preserve">locus / spatium</w:t>
        </w:r>
      </w:hyperlink>
      <w:r>
        <w:rPr>
          <w:b w:val="0"/>
          <w:i w:val="0"/>
        </w:rPr>
        <w:t>.</w:t>
      </w:r>
    </w:p>
    <w:p>
      <w:pPr>
        <w:widowControl/>
      </w:pPr>
      <w:r>
        <w:rPr>
          <w:b/>
          <w:i w:val="0"/>
        </w:rPr>
        <w:t>locus.</w:t>
      </w:r>
      <w:r>
        <w:rPr>
          <w:b w:val="0"/>
          <w:i w:val="0"/>
        </w:rPr>
        <w:t xml:space="preserve"> </w:t>
      </w:r>
      <w:hyperlink w:anchor="latin-record-0647">
        <w:r>
          <w:rPr>
            <w:color w:val="000000"/>
          </w:rPr>
          <w:t xml:space="preserve">locus / spatium</w:t>
        </w:r>
      </w:hyperlink>
      <w:r>
        <w:rPr>
          <w:b w:val="0"/>
          <w:i w:val="0"/>
        </w:rPr>
        <w:t>.</w:t>
      </w:r>
    </w:p>
    <w:p>
      <w:pPr>
        <w:widowControl/>
      </w:pPr>
      <w:r>
        <w:rPr>
          <w:b/>
          <w:i w:val="0"/>
        </w:rPr>
        <w:t>longius operatur.</w:t>
      </w:r>
      <w:r>
        <w:rPr>
          <w:b w:val="0"/>
          <w:i w:val="0"/>
        </w:rPr>
        <w:t xml:space="preserve"> </w:t>
      </w:r>
      <w:hyperlink w:anchor="latin-record-0648">
        <w:r>
          <w:rPr>
            <w:color w:val="000000"/>
          </w:rPr>
          <w:t xml:space="preserve">longius operatur</w:t>
        </w:r>
      </w:hyperlink>
      <w:r>
        <w:rPr>
          <w:b w:val="0"/>
          <w:i w:val="0"/>
        </w:rPr>
        <w:t>.</w:t>
      </w:r>
    </w:p>
    <w:p>
      <w:pPr>
        <w:widowControl/>
      </w:pPr>
      <w:r>
        <w:rPr>
          <w:b/>
          <w:i w:val="0"/>
        </w:rPr>
        <w:t>longum.</w:t>
      </w:r>
      <w:r>
        <w:rPr>
          <w:b w:val="0"/>
          <w:i w:val="0"/>
        </w:rPr>
        <w:t xml:space="preserve"> </w:t>
      </w:r>
      <w:hyperlink w:anchor="latin-record-0644">
        <w:r>
          <w:rPr>
            <w:color w:val="000000"/>
          </w:rPr>
          <w:t xml:space="preserve">linea / longum / latum / profundum</w:t>
        </w:r>
      </w:hyperlink>
      <w:r>
        <w:rPr>
          <w:b w:val="0"/>
          <w:i w:val="0"/>
        </w:rPr>
        <w:t xml:space="preserve">; </w:t>
      </w:r>
      <w:hyperlink w:anchor="latin-record-0649">
        <w:r>
          <w:rPr>
            <w:color w:val="000000"/>
          </w:rPr>
          <w:t xml:space="preserve">longum / latum / profundum</w:t>
        </w:r>
      </w:hyperlink>
      <w:r>
        <w:rPr>
          <w:b w:val="0"/>
          <w:i w:val="0"/>
        </w:rPr>
        <w:t>.</w:t>
      </w:r>
    </w:p>
    <w:p>
      <w:pPr>
        <w:widowControl/>
      </w:pPr>
      <w:r>
        <w:rPr>
          <w:b/>
          <w:i w:val="0"/>
        </w:rPr>
        <w:t>loquente.</w:t>
      </w:r>
      <w:r>
        <w:rPr>
          <w:b w:val="0"/>
          <w:i w:val="0"/>
        </w:rPr>
        <w:t xml:space="preserve"> </w:t>
      </w:r>
      <w:hyperlink w:anchor="latin-record-0650">
        <w:r>
          <w:rPr>
            <w:color w:val="000000"/>
          </w:rPr>
          <w:t xml:space="preserve">loqui</w:t>
        </w:r>
      </w:hyperlink>
      <w:r>
        <w:rPr>
          <w:b w:val="0"/>
          <w:i w:val="0"/>
        </w:rPr>
        <w:t>.</w:t>
      </w:r>
    </w:p>
    <w:p>
      <w:pPr>
        <w:widowControl/>
      </w:pPr>
      <w:r>
        <w:rPr>
          <w:b/>
          <w:i w:val="0"/>
        </w:rPr>
        <w:t>loquitur.</w:t>
      </w:r>
      <w:r>
        <w:rPr>
          <w:b w:val="0"/>
          <w:i w:val="0"/>
        </w:rPr>
        <w:t xml:space="preserve"> </w:t>
      </w:r>
      <w:hyperlink w:anchor="latin-record-0650">
        <w:r>
          <w:rPr>
            <w:color w:val="000000"/>
          </w:rPr>
          <w:t xml:space="preserve">loqui</w:t>
        </w:r>
      </w:hyperlink>
      <w:r>
        <w:rPr>
          <w:b w:val="0"/>
          <w:i w:val="0"/>
        </w:rPr>
        <w:t>.</w:t>
      </w:r>
    </w:p>
    <w:p>
      <w:pPr>
        <w:widowControl/>
      </w:pPr>
      <w:r>
        <w:rPr>
          <w:b/>
          <w:i w:val="0"/>
        </w:rPr>
        <w:t>lubet.</w:t>
      </w:r>
      <w:r>
        <w:rPr>
          <w:b w:val="0"/>
          <w:i w:val="0"/>
        </w:rPr>
        <w:t xml:space="preserve"> </w:t>
      </w:r>
      <w:hyperlink w:anchor="latin-record-1286">
        <w:r>
          <w:rPr>
            <w:color w:val="000000"/>
          </w:rPr>
          <w:t xml:space="preserve">vult / lubet</w:t>
        </w:r>
      </w:hyperlink>
      <w:r>
        <w:rPr>
          <w:b w:val="0"/>
          <w:i w:val="0"/>
        </w:rPr>
        <w:t>.</w:t>
      </w:r>
    </w:p>
    <w:p>
      <w:pPr>
        <w:widowControl/>
      </w:pPr>
      <w:r>
        <w:rPr>
          <w:b/>
          <w:i w:val="0"/>
        </w:rPr>
        <w:t>luceat.</w:t>
      </w:r>
      <w:r>
        <w:rPr>
          <w:b w:val="0"/>
          <w:i w:val="0"/>
        </w:rPr>
        <w:t xml:space="preserve"> </w:t>
      </w:r>
      <w:hyperlink w:anchor="latin-record-0655">
        <w:r>
          <w:rPr>
            <w:color w:val="000000"/>
          </w:rPr>
          <w:t xml:space="preserve">lux / lumen</w:t>
        </w:r>
      </w:hyperlink>
      <w:r>
        <w:rPr>
          <w:b w:val="0"/>
          <w:i w:val="0"/>
        </w:rPr>
        <w:t>.</w:t>
      </w:r>
    </w:p>
    <w:p>
      <w:pPr>
        <w:widowControl/>
      </w:pPr>
      <w:r>
        <w:rPr>
          <w:b/>
          <w:i w:val="0"/>
        </w:rPr>
        <w:t>luces.</w:t>
      </w:r>
      <w:r>
        <w:rPr>
          <w:b w:val="0"/>
          <w:i w:val="0"/>
        </w:rPr>
        <w:t xml:space="preserve"> </w:t>
      </w:r>
      <w:hyperlink w:anchor="latin-record-0655">
        <w:r>
          <w:rPr>
            <w:color w:val="000000"/>
          </w:rPr>
          <w:t xml:space="preserve">lux / lumen</w:t>
        </w:r>
      </w:hyperlink>
      <w:r>
        <w:rPr>
          <w:b w:val="0"/>
          <w:i w:val="0"/>
        </w:rPr>
        <w:t>.</w:t>
      </w:r>
    </w:p>
    <w:p>
      <w:pPr>
        <w:widowControl/>
      </w:pPr>
      <w:r>
        <w:rPr>
          <w:b/>
          <w:i w:val="0"/>
        </w:rPr>
        <w:t>lucida.</w:t>
      </w:r>
      <w:r>
        <w:rPr>
          <w:b w:val="0"/>
          <w:i w:val="0"/>
        </w:rPr>
        <w:t xml:space="preserve"> </w:t>
      </w:r>
      <w:hyperlink w:anchor="latin-record-0651">
        <w:r>
          <w:rPr>
            <w:color w:val="000000"/>
          </w:rPr>
          <w:t xml:space="preserve">lucidus / obscurus</w:t>
        </w:r>
      </w:hyperlink>
      <w:r>
        <w:rPr>
          <w:b w:val="0"/>
          <w:i w:val="0"/>
        </w:rPr>
        <w:t>.</w:t>
      </w:r>
    </w:p>
    <w:p>
      <w:pPr>
        <w:widowControl/>
      </w:pPr>
      <w:r>
        <w:rPr>
          <w:b/>
          <w:i w:val="0"/>
        </w:rPr>
        <w:t>lucidum.</w:t>
      </w:r>
      <w:r>
        <w:rPr>
          <w:b w:val="0"/>
          <w:i w:val="0"/>
        </w:rPr>
        <w:t xml:space="preserve"> </w:t>
      </w:r>
      <w:hyperlink w:anchor="latin-record-0796">
        <w:r>
          <w:rPr>
            <w:color w:val="000000"/>
          </w:rPr>
          <w:t xml:space="preserve">opacus / clarus</w:t>
        </w:r>
      </w:hyperlink>
      <w:r>
        <w:rPr>
          <w:b w:val="0"/>
          <w:i w:val="0"/>
        </w:rPr>
        <w:t>.</w:t>
      </w:r>
    </w:p>
    <w:p>
      <w:pPr>
        <w:widowControl/>
      </w:pPr>
      <w:r>
        <w:rPr>
          <w:b/>
          <w:i w:val="0"/>
        </w:rPr>
        <w:t>Lucreti.</w:t>
      </w:r>
      <w:r>
        <w:rPr>
          <w:b w:val="0"/>
          <w:i w:val="0"/>
        </w:rPr>
        <w:t xml:space="preserve"> </w:t>
      </w:r>
      <w:hyperlink w:anchor="latin-record-0652">
        <w:r>
          <w:rPr>
            <w:color w:val="000000"/>
          </w:rPr>
          <w:t xml:space="preserve">Lucretius / taceat</w:t>
        </w:r>
      </w:hyperlink>
      <w:r>
        <w:rPr>
          <w:b w:val="0"/>
          <w:i w:val="0"/>
        </w:rPr>
        <w:t>.</w:t>
      </w:r>
    </w:p>
    <w:p>
      <w:pPr>
        <w:widowControl/>
      </w:pPr>
      <w:r>
        <w:rPr>
          <w:b/>
          <w:i w:val="0"/>
        </w:rPr>
        <w:t>Lucretius.</w:t>
      </w:r>
      <w:r>
        <w:rPr>
          <w:b w:val="0"/>
          <w:i w:val="0"/>
        </w:rPr>
        <w:t xml:space="preserve"> </w:t>
      </w:r>
      <w:hyperlink w:anchor="latin-record-0652">
        <w:r>
          <w:rPr>
            <w:color w:val="000000"/>
          </w:rPr>
          <w:t xml:space="preserve">Lucretius / taceat</w:t>
        </w:r>
      </w:hyperlink>
      <w:r>
        <w:rPr>
          <w:b w:val="0"/>
          <w:i w:val="0"/>
        </w:rPr>
        <w:t>.</w:t>
      </w:r>
    </w:p>
    <w:p>
      <w:pPr>
        <w:widowControl/>
      </w:pPr>
      <w:r>
        <w:rPr>
          <w:b/>
          <w:i w:val="0"/>
        </w:rPr>
        <w:t>lumen.</w:t>
      </w:r>
      <w:r>
        <w:rPr>
          <w:b w:val="0"/>
          <w:i w:val="0"/>
        </w:rPr>
        <w:t xml:space="preserve"> </w:t>
      </w:r>
      <w:hyperlink w:anchor="latin-record-0655">
        <w:r>
          <w:rPr>
            <w:color w:val="000000"/>
          </w:rPr>
          <w:t xml:space="preserve">lux / lumen</w:t>
        </w:r>
      </w:hyperlink>
      <w:r>
        <w:rPr>
          <w:b w:val="0"/>
          <w:i w:val="0"/>
        </w:rPr>
        <w:t xml:space="preserve">; </w:t>
      </w:r>
      <w:hyperlink w:anchor="latin-record-0656">
        <w:r>
          <w:rPr>
            <w:color w:val="000000"/>
          </w:rPr>
          <w:t xml:space="preserve">lux / lumen / illuminare</w:t>
        </w:r>
      </w:hyperlink>
      <w:r>
        <w:rPr>
          <w:b w:val="0"/>
          <w:i w:val="0"/>
        </w:rPr>
        <w:t>.</w:t>
      </w:r>
    </w:p>
    <w:p>
      <w:pPr>
        <w:widowControl/>
      </w:pPr>
      <w:r>
        <w:rPr>
          <w:b/>
          <w:i w:val="0"/>
        </w:rPr>
        <w:t>lumenque.</w:t>
      </w:r>
      <w:r>
        <w:rPr>
          <w:b w:val="0"/>
          <w:i w:val="0"/>
        </w:rPr>
        <w:t xml:space="preserve"> </w:t>
      </w:r>
      <w:hyperlink w:anchor="latin-record-0190">
        <w:r>
          <w:rPr>
            <w:color w:val="000000"/>
          </w:rPr>
          <w:t xml:space="preserve">color / lumen</w:t>
        </w:r>
      </w:hyperlink>
      <w:r>
        <w:rPr>
          <w:b w:val="0"/>
          <w:i w:val="0"/>
        </w:rPr>
        <w:t>.</w:t>
      </w:r>
    </w:p>
    <w:p>
      <w:pPr>
        <w:widowControl/>
      </w:pPr>
      <w:r>
        <w:rPr>
          <w:b/>
          <w:i w:val="0"/>
        </w:rPr>
        <w:t>lumenque luminum.</w:t>
      </w:r>
      <w:r>
        <w:rPr>
          <w:b w:val="0"/>
          <w:i w:val="0"/>
        </w:rPr>
        <w:t xml:space="preserve"> </w:t>
      </w:r>
      <w:hyperlink w:anchor="latin-record-0688">
        <w:r>
          <w:rPr>
            <w:color w:val="000000"/>
          </w:rPr>
          <w:t xml:space="preserve">mens mentium / lumen luminum</w:t>
        </w:r>
      </w:hyperlink>
      <w:r>
        <w:rPr>
          <w:b w:val="0"/>
          <w:i w:val="0"/>
        </w:rPr>
        <w:t>.</w:t>
      </w:r>
    </w:p>
    <w:p>
      <w:pPr>
        <w:widowControl/>
      </w:pPr>
      <w:r>
        <w:rPr>
          <w:b/>
          <w:i w:val="0"/>
        </w:rPr>
        <w:t>lumine.</w:t>
      </w:r>
      <w:r>
        <w:rPr>
          <w:b w:val="0"/>
          <w:i w:val="0"/>
        </w:rPr>
        <w:t xml:space="preserve"> </w:t>
      </w:r>
      <w:hyperlink w:anchor="latin-record-0655">
        <w:r>
          <w:rPr>
            <w:color w:val="000000"/>
          </w:rPr>
          <w:t xml:space="preserve">lux / lumen</w:t>
        </w:r>
      </w:hyperlink>
      <w:r>
        <w:rPr>
          <w:b w:val="0"/>
          <w:i w:val="0"/>
        </w:rPr>
        <w:t>.</w:t>
      </w:r>
    </w:p>
    <w:p>
      <w:pPr>
        <w:widowControl/>
      </w:pPr>
      <w:r>
        <w:rPr>
          <w:b/>
          <w:i w:val="0"/>
        </w:rPr>
        <w:t>luminis.</w:t>
      </w:r>
      <w:r>
        <w:rPr>
          <w:b w:val="0"/>
          <w:i w:val="0"/>
        </w:rPr>
        <w:t xml:space="preserve"> </w:t>
      </w:r>
      <w:hyperlink w:anchor="latin-record-0190">
        <w:r>
          <w:rPr>
            <w:color w:val="000000"/>
          </w:rPr>
          <w:t xml:space="preserve">color / lumen</w:t>
        </w:r>
      </w:hyperlink>
      <w:r>
        <w:rPr>
          <w:b w:val="0"/>
          <w:i w:val="0"/>
        </w:rPr>
        <w:t xml:space="preserve">; </w:t>
      </w:r>
      <w:hyperlink w:anchor="latin-record-0656">
        <w:r>
          <w:rPr>
            <w:color w:val="000000"/>
          </w:rPr>
          <w:t xml:space="preserve">lux / lumen / illuminare</w:t>
        </w:r>
      </w:hyperlink>
      <w:r>
        <w:rPr>
          <w:b w:val="0"/>
          <w:i w:val="0"/>
        </w:rPr>
        <w:t>.</w:t>
      </w:r>
    </w:p>
    <w:p>
      <w:pPr>
        <w:widowControl/>
      </w:pPr>
      <w:r>
        <w:rPr>
          <w:b/>
          <w:i w:val="0"/>
        </w:rPr>
        <w:t>luna.</w:t>
      </w:r>
      <w:r>
        <w:rPr>
          <w:b w:val="0"/>
          <w:i w:val="0"/>
        </w:rPr>
        <w:t xml:space="preserve"> </w:t>
      </w:r>
      <w:hyperlink w:anchor="latin-record-0653">
        <w:r>
          <w:rPr>
            <w:color w:val="000000"/>
          </w:rPr>
          <w:t xml:space="preserve">luna / sol / stella</w:t>
        </w:r>
      </w:hyperlink>
      <w:r>
        <w:rPr>
          <w:b w:val="0"/>
          <w:i w:val="0"/>
        </w:rPr>
        <w:t xml:space="preserve">; </w:t>
      </w:r>
      <w:hyperlink w:anchor="latin-record-1115">
        <w:r>
          <w:rPr>
            <w:color w:val="000000"/>
          </w:rPr>
          <w:t xml:space="preserve">sol / luna</w:t>
        </w:r>
      </w:hyperlink>
      <w:r>
        <w:rPr>
          <w:b w:val="0"/>
          <w:i w:val="0"/>
        </w:rPr>
        <w:t>.</w:t>
      </w:r>
    </w:p>
    <w:p>
      <w:pPr>
        <w:widowControl/>
      </w:pPr>
      <w:r>
        <w:rPr>
          <w:b/>
          <w:i w:val="0"/>
        </w:rPr>
        <w:t>Luna.</w:t>
      </w:r>
      <w:r>
        <w:rPr>
          <w:b w:val="0"/>
          <w:i w:val="0"/>
        </w:rPr>
        <w:t xml:space="preserve"> </w:t>
      </w:r>
      <w:hyperlink w:anchor="latin-record-1115">
        <w:r>
          <w:rPr>
            <w:color w:val="000000"/>
          </w:rPr>
          <w:t xml:space="preserve">sol / luna</w:t>
        </w:r>
      </w:hyperlink>
      <w:r>
        <w:rPr>
          <w:b w:val="0"/>
          <w:i w:val="0"/>
        </w:rPr>
        <w:t>.</w:t>
      </w:r>
    </w:p>
    <w:p>
      <w:pPr>
        <w:widowControl/>
      </w:pPr>
      <w:r>
        <w:rPr>
          <w:b/>
          <w:i w:val="0"/>
        </w:rPr>
        <w:t>lunam.</w:t>
      </w:r>
      <w:r>
        <w:rPr>
          <w:b w:val="0"/>
          <w:i w:val="0"/>
        </w:rPr>
        <w:t xml:space="preserve"> </w:t>
      </w:r>
      <w:hyperlink w:anchor="latin-record-1115">
        <w:r>
          <w:rPr>
            <w:color w:val="000000"/>
          </w:rPr>
          <w:t xml:space="preserve">sol / luna</w:t>
        </w:r>
      </w:hyperlink>
      <w:r>
        <w:rPr>
          <w:b w:val="0"/>
          <w:i w:val="0"/>
        </w:rPr>
        <w:t>.</w:t>
      </w:r>
    </w:p>
    <w:p>
      <w:pPr>
        <w:widowControl/>
      </w:pPr>
      <w:r>
        <w:rPr>
          <w:b/>
          <w:i w:val="0"/>
        </w:rPr>
        <w:t>luto.</w:t>
      </w:r>
      <w:r>
        <w:rPr>
          <w:b w:val="0"/>
          <w:i w:val="0"/>
        </w:rPr>
        <w:t xml:space="preserve"> </w:t>
      </w:r>
      <w:hyperlink w:anchor="latin-record-0654">
        <w:r>
          <w:rPr>
            <w:color w:val="000000"/>
          </w:rPr>
          <w:t xml:space="preserve">lutum / fimus / rana / musca</w:t>
        </w:r>
      </w:hyperlink>
      <w:r>
        <w:rPr>
          <w:b w:val="0"/>
          <w:i w:val="0"/>
        </w:rPr>
        <w:t>.</w:t>
      </w:r>
    </w:p>
    <w:p>
      <w:pPr>
        <w:widowControl/>
      </w:pPr>
      <w:r>
        <w:rPr>
          <w:b/>
          <w:i w:val="0"/>
        </w:rPr>
        <w:t>lux.</w:t>
      </w:r>
      <w:r>
        <w:rPr>
          <w:b w:val="0"/>
          <w:i w:val="0"/>
        </w:rPr>
        <w:t xml:space="preserve"> </w:t>
      </w:r>
      <w:hyperlink w:anchor="latin-record-0655">
        <w:r>
          <w:rPr>
            <w:color w:val="000000"/>
          </w:rPr>
          <w:t xml:space="preserve">lux / lumen</w:t>
        </w:r>
      </w:hyperlink>
      <w:r>
        <w:rPr>
          <w:b w:val="0"/>
          <w:i w:val="0"/>
        </w:rPr>
        <w:t>.</w:t>
      </w:r>
    </w:p>
    <w:p>
      <w:pPr>
        <w:widowControl/>
      </w:pPr>
      <w:r>
        <w:rPr>
          <w:b/>
          <w:i w:val="0"/>
        </w:rPr>
        <w:t>Lux.</w:t>
      </w:r>
      <w:r>
        <w:rPr>
          <w:b w:val="0"/>
          <w:i w:val="0"/>
        </w:rPr>
        <w:t xml:space="preserve"> </w:t>
      </w:r>
      <w:hyperlink w:anchor="latin-record-0655">
        <w:r>
          <w:rPr>
            <w:color w:val="000000"/>
          </w:rPr>
          <w:t xml:space="preserve">lux / lumen</w:t>
        </w:r>
      </w:hyperlink>
      <w:r>
        <w:rPr>
          <w:b w:val="0"/>
          <w:i w:val="0"/>
        </w:rPr>
        <w:t>.</w:t>
      </w:r>
    </w:p>
    <w:p>
      <w:pPr>
        <w:widowControl/>
      </w:pPr>
      <w:r>
        <w:rPr>
          <w:b/>
          <w:i w:val="0"/>
        </w:rPr>
        <w:t>lux se ipsa videns.</w:t>
      </w:r>
      <w:r>
        <w:rPr>
          <w:b w:val="0"/>
          <w:i w:val="0"/>
        </w:rPr>
        <w:t xml:space="preserve"> </w:t>
      </w:r>
      <w:hyperlink w:anchor="latin-record-0657">
        <w:r>
          <w:rPr>
            <w:color w:val="000000"/>
          </w:rPr>
          <w:t xml:space="preserve">lux se ipsa videns</w:t>
        </w:r>
      </w:hyperlink>
      <w:r>
        <w:rPr>
          <w:b w:val="0"/>
          <w:i w:val="0"/>
        </w:rPr>
        <w:t>.</w:t>
      </w:r>
    </w:p>
    <w:p>
      <w:pPr>
        <w:widowControl/>
      </w:pPr>
      <w:r>
        <w:rPr>
          <w:b/>
          <w:i w:val="0"/>
        </w:rPr>
        <w:t>machina.</w:t>
      </w:r>
      <w:r>
        <w:rPr>
          <w:b w:val="0"/>
          <w:i w:val="0"/>
        </w:rPr>
        <w:t xml:space="preserve"> </w:t>
      </w:r>
      <w:hyperlink w:anchor="latin-record-0659">
        <w:r>
          <w:rPr>
            <w:color w:val="000000"/>
          </w:rPr>
          <w:t xml:space="preserve">machina / tela / retexere</w:t>
        </w:r>
      </w:hyperlink>
      <w:r>
        <w:rPr>
          <w:b w:val="0"/>
          <w:i w:val="0"/>
        </w:rPr>
        <w:t>.</w:t>
      </w:r>
    </w:p>
    <w:p>
      <w:pPr>
        <w:widowControl/>
      </w:pPr>
      <w:r>
        <w:rPr>
          <w:b/>
          <w:i w:val="0"/>
        </w:rPr>
        <w:t>machinae.</w:t>
      </w:r>
      <w:r>
        <w:rPr>
          <w:b w:val="0"/>
          <w:i w:val="0"/>
        </w:rPr>
        <w:t xml:space="preserve"> </w:t>
      </w:r>
      <w:hyperlink w:anchor="latin-record-0658">
        <w:r>
          <w:rPr>
            <w:color w:val="000000"/>
          </w:rPr>
          <w:t xml:space="preserve">machina / praesideo</w:t>
        </w:r>
      </w:hyperlink>
      <w:r>
        <w:rPr>
          <w:b w:val="0"/>
          <w:i w:val="0"/>
        </w:rPr>
        <w:t xml:space="preserve">; </w:t>
      </w:r>
      <w:hyperlink w:anchor="latin-record-0659">
        <w:r>
          <w:rPr>
            <w:color w:val="000000"/>
          </w:rPr>
          <w:t xml:space="preserve">machina / tela / retexere</w:t>
        </w:r>
      </w:hyperlink>
      <w:r>
        <w:rPr>
          <w:b w:val="0"/>
          <w:i w:val="0"/>
        </w:rPr>
        <w:t>.</w:t>
      </w:r>
    </w:p>
    <w:p>
      <w:pPr>
        <w:widowControl/>
      </w:pPr>
      <w:r>
        <w:rPr>
          <w:b/>
          <w:i w:val="0"/>
        </w:rPr>
        <w:t>machinam.</w:t>
      </w:r>
      <w:r>
        <w:rPr>
          <w:b w:val="0"/>
          <w:i w:val="0"/>
        </w:rPr>
        <w:t xml:space="preserve"> </w:t>
      </w:r>
      <w:hyperlink w:anchor="latin-record-0659">
        <w:r>
          <w:rPr>
            <w:color w:val="000000"/>
          </w:rPr>
          <w:t xml:space="preserve">machina / tela / retexere</w:t>
        </w:r>
      </w:hyperlink>
      <w:r>
        <w:rPr>
          <w:b w:val="0"/>
          <w:i w:val="0"/>
        </w:rPr>
        <w:t>.</w:t>
      </w:r>
    </w:p>
    <w:p>
      <w:pPr>
        <w:widowControl/>
      </w:pPr>
      <w:r>
        <w:rPr>
          <w:b/>
          <w:i w:val="0"/>
        </w:rPr>
        <w:t>machinationem.</w:t>
      </w:r>
      <w:r>
        <w:rPr>
          <w:b w:val="0"/>
          <w:i w:val="0"/>
        </w:rPr>
        <w:t xml:space="preserve"> </w:t>
      </w:r>
      <w:hyperlink w:anchor="latin-record-0660">
        <w:r>
          <w:rPr>
            <w:color w:val="000000"/>
          </w:rPr>
          <w:t xml:space="preserve">machinatio / machinari</w:t>
        </w:r>
      </w:hyperlink>
      <w:r>
        <w:rPr>
          <w:b w:val="0"/>
          <w:i w:val="0"/>
        </w:rPr>
        <w:t>.</w:t>
      </w:r>
    </w:p>
    <w:p>
      <w:pPr>
        <w:widowControl/>
      </w:pPr>
      <w:r>
        <w:rPr>
          <w:b/>
          <w:i w:val="0"/>
        </w:rPr>
        <w:t>machinatrix.</w:t>
      </w:r>
      <w:r>
        <w:rPr>
          <w:b w:val="0"/>
          <w:i w:val="0"/>
        </w:rPr>
        <w:t xml:space="preserve"> </w:t>
      </w:r>
      <w:hyperlink w:anchor="latin-record-0360">
        <w:r>
          <w:rPr>
            <w:color w:val="000000"/>
          </w:rPr>
          <w:t xml:space="preserve">effectrix / machinatrix</w:t>
        </w:r>
      </w:hyperlink>
      <w:r>
        <w:rPr>
          <w:b w:val="0"/>
          <w:i w:val="0"/>
        </w:rPr>
        <w:t>.</w:t>
      </w:r>
    </w:p>
    <w:p>
      <w:pPr>
        <w:widowControl/>
      </w:pPr>
      <w:r>
        <w:rPr>
          <w:b/>
          <w:i w:val="0"/>
        </w:rPr>
        <w:t>machinatur.</w:t>
      </w:r>
      <w:r>
        <w:rPr>
          <w:b w:val="0"/>
          <w:i w:val="0"/>
        </w:rPr>
        <w:t xml:space="preserve"> </w:t>
      </w:r>
      <w:hyperlink w:anchor="latin-record-0660">
        <w:r>
          <w:rPr>
            <w:color w:val="000000"/>
          </w:rPr>
          <w:t xml:space="preserve">machinatio / machinari</w:t>
        </w:r>
      </w:hyperlink>
      <w:r>
        <w:rPr>
          <w:b w:val="0"/>
          <w:i w:val="0"/>
        </w:rPr>
        <w:t>.</w:t>
      </w:r>
    </w:p>
    <w:p>
      <w:pPr>
        <w:widowControl/>
      </w:pPr>
      <w:r>
        <w:rPr>
          <w:b/>
          <w:i w:val="0"/>
        </w:rPr>
        <w:t>machinis.</w:t>
      </w:r>
      <w:r>
        <w:rPr>
          <w:b w:val="0"/>
          <w:i w:val="0"/>
        </w:rPr>
        <w:t xml:space="preserve"> </w:t>
      </w:r>
      <w:hyperlink w:anchor="latin-record-0032">
        <w:r>
          <w:rPr>
            <w:color w:val="000000"/>
          </w:rPr>
          <w:t xml:space="preserve">aedificia / machinae</w:t>
        </w:r>
      </w:hyperlink>
      <w:r>
        <w:rPr>
          <w:b w:val="0"/>
          <w:i w:val="0"/>
        </w:rPr>
        <w:t>.</w:t>
      </w:r>
    </w:p>
    <w:p>
      <w:pPr>
        <w:widowControl/>
      </w:pPr>
      <w:r>
        <w:rPr>
          <w:b/>
          <w:i w:val="0"/>
        </w:rPr>
        <w:t>magis.</w:t>
      </w:r>
      <w:r>
        <w:rPr>
          <w:b w:val="0"/>
          <w:i w:val="0"/>
        </w:rPr>
        <w:t xml:space="preserve"> </w:t>
      </w:r>
      <w:hyperlink w:anchor="latin-record-0662">
        <w:r>
          <w:rPr>
            <w:color w:val="000000"/>
          </w:rPr>
          <w:t xml:space="preserve">magis / minus / minime</w:t>
        </w:r>
      </w:hyperlink>
      <w:r>
        <w:rPr>
          <w:b w:val="0"/>
          <w:i w:val="0"/>
        </w:rPr>
        <w:t xml:space="preserve">; </w:t>
      </w:r>
      <w:hyperlink w:anchor="latin-record-0885">
        <w:r>
          <w:rPr>
            <w:color w:val="000000"/>
          </w:rPr>
          <w:t xml:space="preserve">plus et minus</w:t>
        </w:r>
      </w:hyperlink>
      <w:r>
        <w:rPr>
          <w:b w:val="0"/>
          <w:i w:val="0"/>
        </w:rPr>
        <w:t>.</w:t>
      </w:r>
    </w:p>
    <w:p>
      <w:pPr>
        <w:widowControl/>
      </w:pPr>
      <w:r>
        <w:rPr>
          <w:b/>
          <w:i w:val="0"/>
        </w:rPr>
        <w:t>magnanime.</w:t>
      </w:r>
      <w:r>
        <w:rPr>
          <w:b w:val="0"/>
          <w:i w:val="0"/>
        </w:rPr>
        <w:t xml:space="preserve"> </w:t>
      </w:r>
      <w:hyperlink w:anchor="latin-record-0633">
        <w:r>
          <w:rPr>
            <w:color w:val="000000"/>
          </w:rPr>
          <w:t xml:space="preserve">Laurenti / magnanimus</w:t>
        </w:r>
      </w:hyperlink>
      <w:r>
        <w:rPr>
          <w:b w:val="0"/>
          <w:i w:val="0"/>
        </w:rPr>
        <w:t>.</w:t>
      </w:r>
    </w:p>
    <w:p>
      <w:pPr>
        <w:widowControl/>
      </w:pPr>
      <w:r>
        <w:rPr>
          <w:b/>
          <w:i w:val="0"/>
        </w:rPr>
        <w:t>magnes.</w:t>
      </w:r>
      <w:r>
        <w:rPr>
          <w:b w:val="0"/>
          <w:i w:val="0"/>
        </w:rPr>
        <w:t xml:space="preserve"> </w:t>
      </w:r>
      <w:hyperlink w:anchor="latin-record-0663">
        <w:r>
          <w:rPr>
            <w:color w:val="000000"/>
          </w:rPr>
          <w:t xml:space="preserve">magnes / ferrum</w:t>
        </w:r>
      </w:hyperlink>
      <w:r>
        <w:rPr>
          <w:b w:val="0"/>
          <w:i w:val="0"/>
        </w:rPr>
        <w:t>.</w:t>
      </w:r>
    </w:p>
    <w:p>
      <w:pPr>
        <w:widowControl/>
      </w:pPr>
      <w:r>
        <w:rPr>
          <w:b/>
          <w:i w:val="0"/>
        </w:rPr>
        <w:t>magnetem.</w:t>
      </w:r>
      <w:r>
        <w:rPr>
          <w:b w:val="0"/>
          <w:i w:val="0"/>
        </w:rPr>
        <w:t xml:space="preserve"> </w:t>
      </w:r>
      <w:hyperlink w:anchor="latin-record-0663">
        <w:r>
          <w:rPr>
            <w:color w:val="000000"/>
          </w:rPr>
          <w:t xml:space="preserve">magnes / ferrum</w:t>
        </w:r>
      </w:hyperlink>
      <w:r>
        <w:rPr>
          <w:b w:val="0"/>
          <w:i w:val="0"/>
        </w:rPr>
        <w:t>.</w:t>
      </w:r>
    </w:p>
    <w:p>
      <w:pPr>
        <w:widowControl/>
      </w:pPr>
      <w:r>
        <w:rPr>
          <w:b/>
          <w:i w:val="0"/>
        </w:rPr>
        <w:t>magnitudinem.</w:t>
      </w:r>
      <w:r>
        <w:rPr>
          <w:b w:val="0"/>
          <w:i w:val="0"/>
        </w:rPr>
        <w:t xml:space="preserve"> </w:t>
      </w:r>
      <w:hyperlink w:anchor="latin-record-0664">
        <w:r>
          <w:rPr>
            <w:color w:val="000000"/>
          </w:rPr>
          <w:t xml:space="preserve">magnum / magnitudo / maior</w:t>
        </w:r>
      </w:hyperlink>
      <w:r>
        <w:rPr>
          <w:b w:val="0"/>
          <w:i w:val="0"/>
        </w:rPr>
        <w:t>.</w:t>
      </w:r>
    </w:p>
    <w:p>
      <w:pPr>
        <w:widowControl/>
      </w:pPr>
      <w:r>
        <w:rPr>
          <w:b/>
          <w:i w:val="0"/>
        </w:rPr>
        <w:t>Magnum.</w:t>
      </w:r>
      <w:r>
        <w:rPr>
          <w:b w:val="0"/>
          <w:i w:val="0"/>
        </w:rPr>
        <w:t xml:space="preserve"> </w:t>
      </w:r>
      <w:hyperlink w:anchor="latin-record-0664">
        <w:r>
          <w:rPr>
            <w:color w:val="000000"/>
          </w:rPr>
          <w:t xml:space="preserve">magnum / magnitudo / maior</w:t>
        </w:r>
      </w:hyperlink>
      <w:r>
        <w:rPr>
          <w:b w:val="0"/>
          <w:i w:val="0"/>
        </w:rPr>
        <w:t>.</w:t>
      </w:r>
    </w:p>
    <w:p>
      <w:pPr>
        <w:widowControl/>
      </w:pPr>
      <w:r>
        <w:rPr>
          <w:b/>
          <w:i w:val="0"/>
        </w:rPr>
        <w:t>magnumque.</w:t>
      </w:r>
      <w:r>
        <w:rPr>
          <w:b w:val="0"/>
          <w:i w:val="0"/>
        </w:rPr>
        <w:t xml:space="preserve"> </w:t>
      </w:r>
      <w:hyperlink w:anchor="latin-record-0664">
        <w:r>
          <w:rPr>
            <w:color w:val="000000"/>
          </w:rPr>
          <w:t xml:space="preserve">magnum / magnitudo / maior</w:t>
        </w:r>
      </w:hyperlink>
      <w:r>
        <w:rPr>
          <w:b w:val="0"/>
          <w:i w:val="0"/>
        </w:rPr>
        <w:t>.</w:t>
      </w:r>
    </w:p>
    <w:p>
      <w:pPr>
        <w:widowControl/>
      </w:pPr>
      <w:r>
        <w:rPr>
          <w:b/>
          <w:i w:val="0"/>
        </w:rPr>
        <w:t>Magorum.</w:t>
      </w:r>
      <w:r>
        <w:rPr>
          <w:b w:val="0"/>
          <w:i w:val="0"/>
        </w:rPr>
        <w:t xml:space="preserve"> </w:t>
      </w:r>
      <w:hyperlink w:anchor="latin-record-0661">
        <w:r>
          <w:rPr>
            <w:color w:val="000000"/>
          </w:rPr>
          <w:t xml:space="preserve">Magi / aenigma</w:t>
        </w:r>
      </w:hyperlink>
      <w:r>
        <w:rPr>
          <w:b w:val="0"/>
          <w:i w:val="0"/>
        </w:rPr>
        <w:t>.</w:t>
      </w:r>
    </w:p>
    <w:p>
      <w:pPr>
        <w:widowControl/>
      </w:pPr>
      <w:r>
        <w:rPr>
          <w:b/>
          <w:i w:val="0"/>
        </w:rPr>
        <w:t>maiestate.</w:t>
      </w:r>
      <w:r>
        <w:rPr>
          <w:b w:val="0"/>
          <w:i w:val="0"/>
        </w:rPr>
        <w:t xml:space="preserve"> </w:t>
      </w:r>
      <w:hyperlink w:anchor="latin-record-0665">
        <w:r>
          <w:rPr>
            <w:color w:val="000000"/>
          </w:rPr>
          <w:t xml:space="preserve">maiestas / indignus</w:t>
        </w:r>
      </w:hyperlink>
      <w:r>
        <w:rPr>
          <w:b w:val="0"/>
          <w:i w:val="0"/>
        </w:rPr>
        <w:t>.</w:t>
      </w:r>
    </w:p>
    <w:p>
      <w:pPr>
        <w:widowControl/>
      </w:pPr>
      <w:r>
        <w:rPr>
          <w:b/>
          <w:i w:val="0"/>
        </w:rPr>
        <w:t>maiora.</w:t>
      </w:r>
      <w:r>
        <w:rPr>
          <w:b w:val="0"/>
          <w:i w:val="0"/>
        </w:rPr>
        <w:t xml:space="preserve"> </w:t>
      </w:r>
      <w:hyperlink w:anchor="latin-record-0885">
        <w:r>
          <w:rPr>
            <w:color w:val="000000"/>
          </w:rPr>
          <w:t xml:space="preserve">plus et minus</w:t>
        </w:r>
      </w:hyperlink>
      <w:r>
        <w:rPr>
          <w:b w:val="0"/>
          <w:i w:val="0"/>
        </w:rPr>
        <w:t>.</w:t>
      </w:r>
    </w:p>
    <w:p>
      <w:pPr>
        <w:widowControl/>
      </w:pPr>
      <w:r>
        <w:rPr>
          <w:b/>
          <w:i w:val="0"/>
        </w:rPr>
        <w:t>maiorem.</w:t>
      </w:r>
      <w:r>
        <w:rPr>
          <w:b w:val="0"/>
          <w:i w:val="0"/>
        </w:rPr>
        <w:t xml:space="preserve"> </w:t>
      </w:r>
      <w:hyperlink w:anchor="latin-record-0664">
        <w:r>
          <w:rPr>
            <w:color w:val="000000"/>
          </w:rPr>
          <w:t xml:space="preserve">magnum / magnitudo / maior</w:t>
        </w:r>
      </w:hyperlink>
      <w:r>
        <w:rPr>
          <w:b w:val="0"/>
          <w:i w:val="0"/>
        </w:rPr>
        <w:t>.</w:t>
      </w:r>
    </w:p>
    <w:p>
      <w:pPr>
        <w:widowControl/>
      </w:pPr>
      <w:r>
        <w:rPr>
          <w:b/>
          <w:i w:val="0"/>
        </w:rPr>
        <w:t>mali.</w:t>
      </w:r>
      <w:r>
        <w:rPr>
          <w:b w:val="0"/>
          <w:i w:val="0"/>
        </w:rPr>
        <w:t xml:space="preserve"> </w:t>
      </w:r>
      <w:hyperlink w:anchor="latin-record-0667">
        <w:r>
          <w:rPr>
            <w:color w:val="000000"/>
          </w:rPr>
          <w:t xml:space="preserve">malum</w:t>
        </w:r>
      </w:hyperlink>
      <w:r>
        <w:rPr>
          <w:b w:val="0"/>
          <w:i w:val="0"/>
        </w:rPr>
        <w:t>.</w:t>
      </w:r>
    </w:p>
    <w:p>
      <w:pPr>
        <w:widowControl/>
      </w:pPr>
      <w:r>
        <w:rPr>
          <w:b/>
          <w:i w:val="0"/>
        </w:rPr>
        <w:t>malle.</w:t>
      </w:r>
      <w:r>
        <w:rPr>
          <w:b w:val="0"/>
          <w:i w:val="0"/>
        </w:rPr>
        <w:t xml:space="preserve"> </w:t>
      </w:r>
      <w:hyperlink w:anchor="latin-record-1239">
        <w:r>
          <w:rPr>
            <w:color w:val="000000"/>
          </w:rPr>
          <w:t xml:space="preserve">velle / nolle / malle</w:t>
        </w:r>
      </w:hyperlink>
      <w:r>
        <w:rPr>
          <w:b w:val="0"/>
          <w:i w:val="0"/>
        </w:rPr>
        <w:t>.</w:t>
      </w:r>
    </w:p>
    <w:p>
      <w:pPr>
        <w:widowControl/>
      </w:pPr>
      <w:r>
        <w:rPr>
          <w:b/>
          <w:i w:val="0"/>
        </w:rPr>
        <w:t>malo.</w:t>
      </w:r>
      <w:r>
        <w:rPr>
          <w:b w:val="0"/>
          <w:i w:val="0"/>
        </w:rPr>
        <w:t xml:space="preserve"> </w:t>
      </w:r>
      <w:hyperlink w:anchor="latin-record-0667">
        <w:r>
          <w:rPr>
            <w:color w:val="000000"/>
          </w:rPr>
          <w:t xml:space="preserve">malum</w:t>
        </w:r>
      </w:hyperlink>
      <w:r>
        <w:rPr>
          <w:b w:val="0"/>
          <w:i w:val="0"/>
        </w:rPr>
        <w:t>.</w:t>
      </w:r>
    </w:p>
    <w:p>
      <w:pPr>
        <w:widowControl/>
      </w:pPr>
      <w:r>
        <w:rPr>
          <w:b/>
          <w:i w:val="0"/>
        </w:rPr>
        <w:t>malorum.</w:t>
      </w:r>
      <w:r>
        <w:rPr>
          <w:b w:val="0"/>
          <w:i w:val="0"/>
        </w:rPr>
        <w:t xml:space="preserve"> </w:t>
      </w:r>
      <w:hyperlink w:anchor="latin-record-0667">
        <w:r>
          <w:rPr>
            <w:color w:val="000000"/>
          </w:rPr>
          <w:t xml:space="preserve">malum</w:t>
        </w:r>
      </w:hyperlink>
      <w:r>
        <w:rPr>
          <w:b w:val="0"/>
          <w:i w:val="0"/>
        </w:rPr>
        <w:t>.</w:t>
      </w:r>
    </w:p>
    <w:p>
      <w:pPr>
        <w:widowControl/>
      </w:pPr>
      <w:r>
        <w:rPr>
          <w:b/>
          <w:i w:val="0"/>
        </w:rPr>
        <w:t>malum.</w:t>
      </w:r>
      <w:r>
        <w:rPr>
          <w:b w:val="0"/>
          <w:i w:val="0"/>
        </w:rPr>
        <w:t xml:space="preserve"> </w:t>
      </w:r>
      <w:hyperlink w:anchor="latin-record-0667">
        <w:r>
          <w:rPr>
            <w:color w:val="000000"/>
          </w:rPr>
          <w:t xml:space="preserve">malum</w:t>
        </w:r>
      </w:hyperlink>
      <w:r>
        <w:rPr>
          <w:b w:val="0"/>
          <w:i w:val="0"/>
        </w:rPr>
        <w:t xml:space="preserve">; </w:t>
      </w:r>
      <w:hyperlink w:anchor="latin-record-0934">
        <w:r>
          <w:rPr>
            <w:color w:val="000000"/>
          </w:rPr>
          <w:t xml:space="preserve">privatio / malum</w:t>
        </w:r>
      </w:hyperlink>
      <w:r>
        <w:rPr>
          <w:b w:val="0"/>
          <w:i w:val="0"/>
        </w:rPr>
        <w:t>.</w:t>
      </w:r>
    </w:p>
    <w:p>
      <w:pPr>
        <w:widowControl/>
      </w:pPr>
      <w:r>
        <w:rPr>
          <w:b/>
          <w:i w:val="0"/>
        </w:rPr>
        <w:t>manantis.</w:t>
      </w:r>
      <w:r>
        <w:rPr>
          <w:b w:val="0"/>
          <w:i w:val="0"/>
        </w:rPr>
        <w:t xml:space="preserve"> </w:t>
      </w:r>
      <w:hyperlink w:anchor="latin-record-0668">
        <w:r>
          <w:rPr>
            <w:color w:val="000000"/>
          </w:rPr>
          <w:t xml:space="preserve">manare / emanare</w:t>
        </w:r>
      </w:hyperlink>
      <w:r>
        <w:rPr>
          <w:b w:val="0"/>
          <w:i w:val="0"/>
        </w:rPr>
        <w:t>.</w:t>
      </w:r>
    </w:p>
    <w:p>
      <w:pPr>
        <w:widowControl/>
      </w:pPr>
      <w:r>
        <w:rPr>
          <w:b/>
          <w:i w:val="0"/>
        </w:rPr>
        <w:t>manantium.</w:t>
      </w:r>
      <w:r>
        <w:rPr>
          <w:b w:val="0"/>
          <w:i w:val="0"/>
        </w:rPr>
        <w:t xml:space="preserve"> </w:t>
      </w:r>
      <w:hyperlink w:anchor="latin-record-0668">
        <w:r>
          <w:rPr>
            <w:color w:val="000000"/>
          </w:rPr>
          <w:t xml:space="preserve">manare / emanare</w:t>
        </w:r>
      </w:hyperlink>
      <w:r>
        <w:rPr>
          <w:b w:val="0"/>
          <w:i w:val="0"/>
        </w:rPr>
        <w:t>.</w:t>
      </w:r>
    </w:p>
    <w:p>
      <w:pPr>
        <w:widowControl/>
      </w:pPr>
      <w:r>
        <w:rPr>
          <w:b/>
          <w:i w:val="0"/>
        </w:rPr>
        <w:t>manaverint.</w:t>
      </w:r>
      <w:r>
        <w:rPr>
          <w:b w:val="0"/>
          <w:i w:val="0"/>
        </w:rPr>
        <w:t xml:space="preserve"> </w:t>
      </w:r>
      <w:hyperlink w:anchor="latin-record-0668">
        <w:r>
          <w:rPr>
            <w:color w:val="000000"/>
          </w:rPr>
          <w:t xml:space="preserve">manare / emanare</w:t>
        </w:r>
      </w:hyperlink>
      <w:r>
        <w:rPr>
          <w:b w:val="0"/>
          <w:i w:val="0"/>
        </w:rPr>
        <w:t>.</w:t>
      </w:r>
    </w:p>
    <w:p>
      <w:pPr>
        <w:widowControl/>
      </w:pPr>
      <w:r>
        <w:rPr>
          <w:b/>
          <w:i w:val="0"/>
        </w:rPr>
        <w:t>manet.</w:t>
      </w:r>
      <w:r>
        <w:rPr>
          <w:b w:val="0"/>
          <w:i w:val="0"/>
        </w:rPr>
        <w:t xml:space="preserve"> </w:t>
      </w:r>
      <w:hyperlink w:anchor="latin-record-0669">
        <w:r>
          <w:rPr>
            <w:color w:val="000000"/>
          </w:rPr>
          <w:t xml:space="preserve">manere / exsuperare</w:t>
        </w:r>
      </w:hyperlink>
      <w:r>
        <w:rPr>
          <w:b w:val="0"/>
          <w:i w:val="0"/>
        </w:rPr>
        <w:t>.</w:t>
      </w:r>
    </w:p>
    <w:p>
      <w:pPr>
        <w:widowControl/>
      </w:pPr>
      <w:r>
        <w:rPr>
          <w:b/>
          <w:i w:val="0"/>
        </w:rPr>
        <w:t>Manichaeis.</w:t>
      </w:r>
      <w:r>
        <w:rPr>
          <w:b w:val="0"/>
          <w:i w:val="0"/>
        </w:rPr>
        <w:t xml:space="preserve"> </w:t>
      </w:r>
      <w:hyperlink w:anchor="latin-record-0672">
        <w:r>
          <w:rPr>
            <w:color w:val="000000"/>
          </w:rPr>
          <w:t xml:space="preserve">Manichaei / Gnostici</w:t>
        </w:r>
      </w:hyperlink>
      <w:r>
        <w:rPr>
          <w:b w:val="0"/>
          <w:i w:val="0"/>
        </w:rPr>
        <w:t>.</w:t>
      </w:r>
    </w:p>
    <w:p>
      <w:pPr>
        <w:widowControl/>
      </w:pPr>
      <w:r>
        <w:rPr>
          <w:b/>
          <w:i w:val="0"/>
        </w:rPr>
        <w:t>manifestius.</w:t>
      </w:r>
      <w:r>
        <w:rPr>
          <w:b w:val="0"/>
          <w:i w:val="0"/>
        </w:rPr>
        <w:t xml:space="preserve"> </w:t>
      </w:r>
      <w:hyperlink w:anchor="latin-record-0324">
        <w:r>
          <w:rPr>
            <w:color w:val="000000"/>
          </w:rPr>
          <w:t xml:space="preserve">dirigere / manifestus</w:t>
        </w:r>
      </w:hyperlink>
      <w:r>
        <w:rPr>
          <w:b w:val="0"/>
          <w:i w:val="0"/>
        </w:rPr>
        <w:t>.</w:t>
      </w:r>
    </w:p>
    <w:p>
      <w:pPr>
        <w:widowControl/>
      </w:pPr>
      <w:r>
        <w:rPr>
          <w:b/>
          <w:i w:val="0"/>
        </w:rPr>
        <w:t>Manilius.</w:t>
      </w:r>
      <w:r>
        <w:rPr>
          <w:b w:val="0"/>
          <w:i w:val="0"/>
        </w:rPr>
        <w:t xml:space="preserve"> </w:t>
      </w:r>
      <w:hyperlink w:anchor="latin-record-0510">
        <w:r>
          <w:rPr>
            <w:color w:val="000000"/>
          </w:rPr>
          <w:t xml:space="preserve">Heraclitus / Varro / Manilius</w:t>
        </w:r>
      </w:hyperlink>
      <w:r>
        <w:rPr>
          <w:b w:val="0"/>
          <w:i w:val="0"/>
        </w:rPr>
        <w:t>.</w:t>
      </w:r>
    </w:p>
    <w:p>
      <w:pPr>
        <w:widowControl/>
      </w:pPr>
      <w:r>
        <w:rPr>
          <w:b/>
          <w:i w:val="0"/>
        </w:rPr>
        <w:t>Marcus Varro.</w:t>
      </w:r>
      <w:r>
        <w:rPr>
          <w:b w:val="0"/>
          <w:i w:val="0"/>
        </w:rPr>
        <w:t xml:space="preserve"> </w:t>
      </w:r>
      <w:hyperlink w:anchor="latin-record-0510">
        <w:r>
          <w:rPr>
            <w:color w:val="000000"/>
          </w:rPr>
          <w:t xml:space="preserve">Heraclitus / Varro / Manilius</w:t>
        </w:r>
      </w:hyperlink>
      <w:r>
        <w:rPr>
          <w:b w:val="0"/>
          <w:i w:val="0"/>
        </w:rPr>
        <w:t>.</w:t>
      </w:r>
    </w:p>
    <w:p>
      <w:pPr>
        <w:widowControl/>
      </w:pPr>
      <w:r>
        <w:rPr>
          <w:b/>
          <w:i w:val="0"/>
        </w:rPr>
        <w:t>Marcusque Manilius.</w:t>
      </w:r>
      <w:r>
        <w:rPr>
          <w:b w:val="0"/>
          <w:i w:val="0"/>
        </w:rPr>
        <w:t xml:space="preserve"> </w:t>
      </w:r>
      <w:hyperlink w:anchor="latin-record-0510">
        <w:r>
          <w:rPr>
            <w:color w:val="000000"/>
          </w:rPr>
          <w:t xml:space="preserve">Heraclitus / Varro / Manilius</w:t>
        </w:r>
      </w:hyperlink>
      <w:r>
        <w:rPr>
          <w:b w:val="0"/>
          <w:i w:val="0"/>
        </w:rPr>
        <w:t>.</w:t>
      </w:r>
    </w:p>
    <w:p>
      <w:pPr>
        <w:widowControl/>
      </w:pPr>
      <w:r>
        <w:rPr>
          <w:b/>
          <w:i w:val="0"/>
        </w:rPr>
        <w:t>materia.</w:t>
      </w:r>
      <w:r>
        <w:rPr>
          <w:b w:val="0"/>
          <w:i w:val="0"/>
        </w:rPr>
        <w:t xml:space="preserve"> </w:t>
      </w:r>
      <w:hyperlink w:anchor="latin-record-0673">
        <w:r>
          <w:rPr>
            <w:color w:val="000000"/>
          </w:rPr>
          <w:t xml:space="preserve">materia</w:t>
        </w:r>
      </w:hyperlink>
      <w:r>
        <w:rPr>
          <w:b w:val="0"/>
          <w:i w:val="0"/>
        </w:rPr>
        <w:t xml:space="preserve">; </w:t>
      </w:r>
      <w:hyperlink w:anchor="latin-record-0674">
        <w:r>
          <w:rPr>
            <w:color w:val="000000"/>
          </w:rPr>
          <w:t xml:space="preserve">materia / quantitas</w:t>
        </w:r>
      </w:hyperlink>
      <w:r>
        <w:rPr>
          <w:b w:val="0"/>
          <w:i w:val="0"/>
        </w:rPr>
        <w:t>.</w:t>
      </w:r>
    </w:p>
    <w:p>
      <w:pPr>
        <w:widowControl/>
      </w:pPr>
      <w:r>
        <w:rPr>
          <w:b/>
          <w:i w:val="0"/>
        </w:rPr>
        <w:t>materia propria.</w:t>
      </w:r>
      <w:r>
        <w:rPr>
          <w:b w:val="0"/>
          <w:i w:val="0"/>
        </w:rPr>
        <w:t xml:space="preserve"> </w:t>
      </w:r>
      <w:hyperlink w:anchor="latin-record-0675">
        <w:r>
          <w:rPr>
            <w:color w:val="000000"/>
          </w:rPr>
          <w:t xml:space="preserve">materia aliena / propria</w:t>
        </w:r>
      </w:hyperlink>
      <w:r>
        <w:rPr>
          <w:b w:val="0"/>
          <w:i w:val="0"/>
        </w:rPr>
        <w:t>.</w:t>
      </w:r>
    </w:p>
    <w:p>
      <w:pPr>
        <w:widowControl/>
      </w:pPr>
      <w:r>
        <w:rPr>
          <w:b/>
          <w:i w:val="0"/>
        </w:rPr>
        <w:t>materiae.</w:t>
      </w:r>
      <w:r>
        <w:rPr>
          <w:b w:val="0"/>
          <w:i w:val="0"/>
        </w:rPr>
        <w:t xml:space="preserve"> </w:t>
      </w:r>
      <w:hyperlink w:anchor="latin-record-0673">
        <w:r>
          <w:rPr>
            <w:color w:val="000000"/>
          </w:rPr>
          <w:t xml:space="preserve">materia</w:t>
        </w:r>
      </w:hyperlink>
      <w:r>
        <w:rPr>
          <w:b w:val="0"/>
          <w:i w:val="0"/>
        </w:rPr>
        <w:t>.</w:t>
      </w:r>
    </w:p>
    <w:p>
      <w:pPr>
        <w:widowControl/>
      </w:pPr>
      <w:r>
        <w:rPr>
          <w:b/>
          <w:i w:val="0"/>
        </w:rPr>
        <w:t>materiam.</w:t>
      </w:r>
      <w:r>
        <w:rPr>
          <w:b w:val="0"/>
          <w:i w:val="0"/>
        </w:rPr>
        <w:t xml:space="preserve"> </w:t>
      </w:r>
      <w:hyperlink w:anchor="latin-record-0673">
        <w:r>
          <w:rPr>
            <w:color w:val="000000"/>
          </w:rPr>
          <w:t xml:space="preserve">materia</w:t>
        </w:r>
      </w:hyperlink>
      <w:r>
        <w:rPr>
          <w:b w:val="0"/>
          <w:i w:val="0"/>
        </w:rPr>
        <w:t>.</w:t>
      </w:r>
    </w:p>
    <w:p>
      <w:pPr>
        <w:widowControl/>
      </w:pPr>
      <w:r>
        <w:rPr>
          <w:b/>
          <w:i w:val="0"/>
        </w:rPr>
        <w:t>materiam alienam.</w:t>
      </w:r>
      <w:r>
        <w:rPr>
          <w:b w:val="0"/>
          <w:i w:val="0"/>
        </w:rPr>
        <w:t xml:space="preserve"> </w:t>
      </w:r>
      <w:hyperlink w:anchor="latin-record-0675">
        <w:r>
          <w:rPr>
            <w:color w:val="000000"/>
          </w:rPr>
          <w:t xml:space="preserve">materia aliena / propria</w:t>
        </w:r>
      </w:hyperlink>
      <w:r>
        <w:rPr>
          <w:b w:val="0"/>
          <w:i w:val="0"/>
        </w:rPr>
        <w:t>.</w:t>
      </w:r>
    </w:p>
    <w:p>
      <w:pPr>
        <w:widowControl/>
      </w:pPr>
      <w:r>
        <w:rPr>
          <w:b/>
          <w:i w:val="0"/>
        </w:rPr>
        <w:t>materiam fugiat.</w:t>
      </w:r>
      <w:r>
        <w:rPr>
          <w:b w:val="0"/>
          <w:i w:val="0"/>
        </w:rPr>
        <w:t xml:space="preserve"> </w:t>
      </w:r>
      <w:hyperlink w:anchor="latin-record-0477">
        <w:r>
          <w:rPr>
            <w:color w:val="000000"/>
          </w:rPr>
          <w:t xml:space="preserve">fugere materiam</w:t>
        </w:r>
      </w:hyperlink>
      <w:r>
        <w:rPr>
          <w:b w:val="0"/>
          <w:i w:val="0"/>
        </w:rPr>
        <w:t>.</w:t>
      </w:r>
    </w:p>
    <w:p>
      <w:pPr>
        <w:widowControl/>
      </w:pPr>
      <w:r>
        <w:rPr>
          <w:b/>
          <w:i w:val="0"/>
        </w:rPr>
        <w:t>mathematicas.</w:t>
      </w:r>
      <w:r>
        <w:rPr>
          <w:b w:val="0"/>
          <w:i w:val="0"/>
        </w:rPr>
        <w:t xml:space="preserve"> </w:t>
      </w:r>
      <w:hyperlink w:anchor="latin-record-0676">
        <w:r>
          <w:rPr>
            <w:color w:val="000000"/>
          </w:rPr>
          <w:t xml:space="preserve">mathematicus / metaphysicus</w:t>
        </w:r>
      </w:hyperlink>
      <w:r>
        <w:rPr>
          <w:b w:val="0"/>
          <w:i w:val="0"/>
        </w:rPr>
        <w:t>.</w:t>
      </w:r>
    </w:p>
    <w:p>
      <w:pPr>
        <w:widowControl/>
      </w:pPr>
      <w:r>
        <w:rPr>
          <w:b/>
          <w:i w:val="0"/>
        </w:rPr>
        <w:t>mathematicum.</w:t>
      </w:r>
      <w:r>
        <w:rPr>
          <w:b w:val="0"/>
          <w:i w:val="0"/>
        </w:rPr>
        <w:t xml:space="preserve"> </w:t>
      </w:r>
      <w:hyperlink w:anchor="latin-record-0314">
        <w:r>
          <w:rPr>
            <w:color w:val="000000"/>
          </w:rPr>
          <w:t xml:space="preserve">dialecticum / mathematicum / physicum</w:t>
        </w:r>
      </w:hyperlink>
      <w:r>
        <w:rPr>
          <w:b w:val="0"/>
          <w:i w:val="0"/>
        </w:rPr>
        <w:t>.</w:t>
      </w:r>
    </w:p>
    <w:p>
      <w:pPr>
        <w:widowControl/>
      </w:pPr>
      <w:r>
        <w:rPr>
          <w:b/>
          <w:i w:val="0"/>
        </w:rPr>
        <w:t>media.</w:t>
      </w:r>
      <w:r>
        <w:rPr>
          <w:b w:val="0"/>
          <w:i w:val="0"/>
        </w:rPr>
        <w:t xml:space="preserve"> </w:t>
      </w:r>
      <w:hyperlink w:anchor="latin-record-0677">
        <w:r>
          <w:rPr>
            <w:color w:val="000000"/>
          </w:rPr>
          <w:t xml:space="preserve">medium</w:t>
        </w:r>
      </w:hyperlink>
      <w:r>
        <w:rPr>
          <w:b w:val="0"/>
          <w:i w:val="0"/>
        </w:rPr>
        <w:t>.</w:t>
      </w:r>
    </w:p>
    <w:p>
      <w:pPr>
        <w:widowControl/>
      </w:pPr>
      <w:r>
        <w:rPr>
          <w:b/>
          <w:i w:val="0"/>
        </w:rPr>
        <w:t>Media.</w:t>
      </w:r>
      <w:r>
        <w:rPr>
          <w:b w:val="0"/>
          <w:i w:val="0"/>
        </w:rPr>
        <w:t xml:space="preserve"> </w:t>
      </w:r>
      <w:hyperlink w:anchor="latin-record-0678">
        <w:r>
          <w:rPr>
            <w:color w:val="000000"/>
          </w:rPr>
          <w:t xml:space="preserve">medium / interpono</w:t>
        </w:r>
      </w:hyperlink>
      <w:r>
        <w:rPr>
          <w:b w:val="0"/>
          <w:i w:val="0"/>
        </w:rPr>
        <w:t>.</w:t>
      </w:r>
    </w:p>
    <w:p>
      <w:pPr>
        <w:widowControl/>
      </w:pPr>
      <w:r>
        <w:rPr>
          <w:b/>
          <w:i w:val="0"/>
        </w:rPr>
        <w:t>mediam.</w:t>
      </w:r>
      <w:r>
        <w:rPr>
          <w:b w:val="0"/>
          <w:i w:val="0"/>
        </w:rPr>
        <w:t xml:space="preserve"> </w:t>
      </w:r>
      <w:hyperlink w:anchor="latin-record-0099">
        <w:r>
          <w:rPr>
            <w:color w:val="000000"/>
          </w:rPr>
          <w:t xml:space="preserve">arx / tertius / medius</w:t>
        </w:r>
      </w:hyperlink>
      <w:r>
        <w:rPr>
          <w:b w:val="0"/>
          <w:i w:val="0"/>
        </w:rPr>
        <w:t>.</w:t>
      </w:r>
    </w:p>
    <w:p>
      <w:pPr>
        <w:widowControl/>
      </w:pPr>
      <w:r>
        <w:rPr>
          <w:b/>
          <w:i w:val="0"/>
        </w:rPr>
        <w:t>medias.</w:t>
      </w:r>
      <w:r>
        <w:rPr>
          <w:b w:val="0"/>
          <w:i w:val="0"/>
        </w:rPr>
        <w:t xml:space="preserve"> </w:t>
      </w:r>
      <w:hyperlink w:anchor="latin-record-0679">
        <w:r>
          <w:rPr>
            <w:color w:val="000000"/>
          </w:rPr>
          <w:t xml:space="preserve">medium / particularis</w:t>
        </w:r>
      </w:hyperlink>
      <w:r>
        <w:rPr>
          <w:b w:val="0"/>
          <w:i w:val="0"/>
        </w:rPr>
        <w:t>.</w:t>
      </w:r>
    </w:p>
    <w:p>
      <w:pPr>
        <w:widowControl/>
      </w:pPr>
      <w:r>
        <w:rPr>
          <w:b/>
          <w:i w:val="0"/>
        </w:rPr>
        <w:t>medio.</w:t>
      </w:r>
      <w:r>
        <w:rPr>
          <w:b w:val="0"/>
          <w:i w:val="0"/>
        </w:rPr>
        <w:t xml:space="preserve"> </w:t>
      </w:r>
      <w:hyperlink w:anchor="latin-record-0677">
        <w:r>
          <w:rPr>
            <w:color w:val="000000"/>
          </w:rPr>
          <w:t xml:space="preserve">medium</w:t>
        </w:r>
      </w:hyperlink>
      <w:r>
        <w:rPr>
          <w:b w:val="0"/>
          <w:i w:val="0"/>
        </w:rPr>
        <w:t>.</w:t>
      </w:r>
    </w:p>
    <w:p>
      <w:pPr>
        <w:widowControl/>
      </w:pPr>
      <w:r>
        <w:rPr>
          <w:b/>
          <w:i w:val="0"/>
        </w:rPr>
        <w:t>mediorum.</w:t>
      </w:r>
      <w:r>
        <w:rPr>
          <w:b w:val="0"/>
          <w:i w:val="0"/>
        </w:rPr>
        <w:t xml:space="preserve"> </w:t>
      </w:r>
      <w:hyperlink w:anchor="latin-record-0677">
        <w:r>
          <w:rPr>
            <w:color w:val="000000"/>
          </w:rPr>
          <w:t xml:space="preserve">medium</w:t>
        </w:r>
      </w:hyperlink>
      <w:r>
        <w:rPr>
          <w:b w:val="0"/>
          <w:i w:val="0"/>
        </w:rPr>
        <w:t>.</w:t>
      </w:r>
    </w:p>
    <w:p>
      <w:pPr>
        <w:widowControl/>
      </w:pPr>
      <w:r>
        <w:rPr>
          <w:b/>
          <w:i w:val="0"/>
        </w:rPr>
        <w:t>medium.</w:t>
      </w:r>
      <w:r>
        <w:rPr>
          <w:b w:val="0"/>
          <w:i w:val="0"/>
        </w:rPr>
        <w:t xml:space="preserve"> </w:t>
      </w:r>
      <w:hyperlink w:anchor="latin-record-0678">
        <w:r>
          <w:rPr>
            <w:color w:val="000000"/>
          </w:rPr>
          <w:t xml:space="preserve">medium / interpono</w:t>
        </w:r>
      </w:hyperlink>
      <w:r>
        <w:rPr>
          <w:b w:val="0"/>
          <w:i w:val="0"/>
        </w:rPr>
        <w:t>.</w:t>
      </w:r>
    </w:p>
    <w:p>
      <w:pPr>
        <w:widowControl/>
      </w:pPr>
      <w:r>
        <w:rPr>
          <w:b/>
          <w:i w:val="0"/>
        </w:rPr>
        <w:t>medium competens.</w:t>
      </w:r>
      <w:r>
        <w:rPr>
          <w:b w:val="0"/>
          <w:i w:val="0"/>
        </w:rPr>
        <w:t xml:space="preserve"> </w:t>
      </w:r>
      <w:hyperlink w:anchor="latin-record-0680">
        <w:r>
          <w:rPr>
            <w:color w:val="000000"/>
          </w:rPr>
          <w:t xml:space="preserve">medium competens</w:t>
        </w:r>
      </w:hyperlink>
      <w:r>
        <w:rPr>
          <w:b w:val="0"/>
          <w:i w:val="0"/>
        </w:rPr>
        <w:t>.</w:t>
      </w:r>
    </w:p>
    <w:p>
      <w:pPr>
        <w:widowControl/>
      </w:pPr>
      <w:r>
        <w:rPr>
          <w:b/>
          <w:i w:val="0"/>
        </w:rPr>
        <w:t>medius.</w:t>
      </w:r>
      <w:r>
        <w:rPr>
          <w:b w:val="0"/>
          <w:i w:val="0"/>
        </w:rPr>
        <w:t xml:space="preserve"> </w:t>
      </w:r>
      <w:hyperlink w:anchor="latin-record-0679">
        <w:r>
          <w:rPr>
            <w:color w:val="000000"/>
          </w:rPr>
          <w:t xml:space="preserve">medium / particularis</w:t>
        </w:r>
      </w:hyperlink>
      <w:r>
        <w:rPr>
          <w:b w:val="0"/>
          <w:i w:val="0"/>
        </w:rPr>
        <w:t>.</w:t>
      </w:r>
    </w:p>
    <w:p>
      <w:pPr>
        <w:widowControl/>
      </w:pPr>
      <w:r>
        <w:rPr>
          <w:b/>
          <w:i w:val="0"/>
        </w:rPr>
        <w:t>Megaris.</w:t>
      </w:r>
      <w:r>
        <w:rPr>
          <w:b w:val="0"/>
          <w:i w:val="0"/>
        </w:rPr>
        <w:t xml:space="preserve"> </w:t>
      </w:r>
      <w:hyperlink w:anchor="latin-record-0389">
        <w:r>
          <w:rPr>
            <w:color w:val="000000"/>
          </w:rPr>
          <w:t xml:space="preserve">Euclides / Megara / Athenae / Socrates</w:t>
        </w:r>
      </w:hyperlink>
      <w:r>
        <w:rPr>
          <w:b w:val="0"/>
          <w:i w:val="0"/>
        </w:rPr>
        <w:t>.</w:t>
      </w:r>
    </w:p>
    <w:p>
      <w:pPr>
        <w:widowControl/>
      </w:pPr>
      <w:r>
        <w:rPr>
          <w:b/>
          <w:i w:val="0"/>
        </w:rPr>
        <w:t>melior.</w:t>
      </w:r>
      <w:r>
        <w:rPr>
          <w:b w:val="0"/>
          <w:i w:val="0"/>
        </w:rPr>
        <w:t xml:space="preserve"> </w:t>
      </w:r>
      <w:hyperlink w:anchor="latin-record-0682">
        <w:r>
          <w:rPr>
            <w:color w:val="000000"/>
          </w:rPr>
          <w:t xml:space="preserve">melior / melius</w:t>
        </w:r>
      </w:hyperlink>
      <w:r>
        <w:rPr>
          <w:b w:val="0"/>
          <w:i w:val="0"/>
        </w:rPr>
        <w:t>.</w:t>
      </w:r>
    </w:p>
    <w:p>
      <w:pPr>
        <w:widowControl/>
      </w:pPr>
      <w:r>
        <w:rPr>
          <w:b/>
          <w:i w:val="0"/>
        </w:rPr>
        <w:t>meliorem.</w:t>
      </w:r>
      <w:r>
        <w:rPr>
          <w:b w:val="0"/>
          <w:i w:val="0"/>
        </w:rPr>
        <w:t xml:space="preserve"> </w:t>
      </w:r>
      <w:hyperlink w:anchor="latin-record-0682">
        <w:r>
          <w:rPr>
            <w:color w:val="000000"/>
          </w:rPr>
          <w:t xml:space="preserve">melior / melius</w:t>
        </w:r>
      </w:hyperlink>
      <w:r>
        <w:rPr>
          <w:b w:val="0"/>
          <w:i w:val="0"/>
        </w:rPr>
        <w:t>.</w:t>
      </w:r>
    </w:p>
    <w:p>
      <w:pPr>
        <w:widowControl/>
      </w:pPr>
      <w:r>
        <w:rPr>
          <w:b/>
          <w:i w:val="0"/>
        </w:rPr>
        <w:t>meliores.</w:t>
      </w:r>
      <w:r>
        <w:rPr>
          <w:b w:val="0"/>
          <w:i w:val="0"/>
        </w:rPr>
        <w:t xml:space="preserve"> </w:t>
      </w:r>
      <w:hyperlink w:anchor="latin-record-0682">
        <w:r>
          <w:rPr>
            <w:color w:val="000000"/>
          </w:rPr>
          <w:t xml:space="preserve">melior / melius</w:t>
        </w:r>
      </w:hyperlink>
      <w:r>
        <w:rPr>
          <w:b w:val="0"/>
          <w:i w:val="0"/>
        </w:rPr>
        <w:t>.</w:t>
      </w:r>
    </w:p>
    <w:p>
      <w:pPr>
        <w:widowControl/>
      </w:pPr>
      <w:r>
        <w:rPr>
          <w:b/>
          <w:i w:val="0"/>
        </w:rPr>
        <w:t>meliori.</w:t>
      </w:r>
      <w:r>
        <w:rPr>
          <w:b w:val="0"/>
          <w:i w:val="0"/>
        </w:rPr>
        <w:t xml:space="preserve"> </w:t>
      </w:r>
      <w:hyperlink w:anchor="latin-record-0682">
        <w:r>
          <w:rPr>
            <w:color w:val="000000"/>
          </w:rPr>
          <w:t xml:space="preserve">melior / melius</w:t>
        </w:r>
      </w:hyperlink>
      <w:r>
        <w:rPr>
          <w:b w:val="0"/>
          <w:i w:val="0"/>
        </w:rPr>
        <w:t>.</w:t>
      </w:r>
    </w:p>
    <w:p>
      <w:pPr>
        <w:widowControl/>
      </w:pPr>
      <w:r>
        <w:rPr>
          <w:b/>
          <w:i w:val="0"/>
        </w:rPr>
        <w:t>Melius.</w:t>
      </w:r>
      <w:r>
        <w:rPr>
          <w:b w:val="0"/>
          <w:i w:val="0"/>
        </w:rPr>
        <w:t xml:space="preserve"> </w:t>
      </w:r>
      <w:hyperlink w:anchor="latin-record-0682">
        <w:r>
          <w:rPr>
            <w:color w:val="000000"/>
          </w:rPr>
          <w:t xml:space="preserve">melior / melius</w:t>
        </w:r>
      </w:hyperlink>
      <w:r>
        <w:rPr>
          <w:b w:val="0"/>
          <w:i w:val="0"/>
        </w:rPr>
        <w:t>.</w:t>
      </w:r>
    </w:p>
    <w:p>
      <w:pPr>
        <w:widowControl/>
      </w:pPr>
      <w:r>
        <w:rPr>
          <w:b/>
          <w:i w:val="0"/>
        </w:rPr>
        <w:t>melius.</w:t>
      </w:r>
      <w:r>
        <w:rPr>
          <w:b w:val="0"/>
          <w:i w:val="0"/>
        </w:rPr>
        <w:t xml:space="preserve"> </w:t>
      </w:r>
      <w:hyperlink w:anchor="latin-record-0682">
        <w:r>
          <w:rPr>
            <w:color w:val="000000"/>
          </w:rPr>
          <w:t xml:space="preserve">melior / melius</w:t>
        </w:r>
      </w:hyperlink>
      <w:r>
        <w:rPr>
          <w:b w:val="0"/>
          <w:i w:val="0"/>
        </w:rPr>
        <w:t>.</w:t>
      </w:r>
    </w:p>
    <w:p>
      <w:pPr>
        <w:widowControl/>
      </w:pPr>
      <w:r>
        <w:rPr>
          <w:b/>
          <w:i w:val="0"/>
        </w:rPr>
        <w:t>mellis.</w:t>
      </w:r>
      <w:r>
        <w:rPr>
          <w:b w:val="0"/>
          <w:i w:val="0"/>
        </w:rPr>
        <w:t xml:space="preserve"> </w:t>
      </w:r>
      <w:hyperlink w:anchor="latin-record-0681">
        <w:r>
          <w:rPr>
            <w:color w:val="000000"/>
          </w:rPr>
          <w:t xml:space="preserve">mel / guttula</w:t>
        </w:r>
      </w:hyperlink>
      <w:r>
        <w:rPr>
          <w:b w:val="0"/>
          <w:i w:val="0"/>
        </w:rPr>
        <w:t>.</w:t>
      </w:r>
    </w:p>
    <w:p>
      <w:pPr>
        <w:widowControl/>
      </w:pPr>
      <w:r>
        <w:rPr>
          <w:b/>
          <w:i w:val="0"/>
        </w:rPr>
        <w:t>membra.</w:t>
      </w:r>
      <w:r>
        <w:rPr>
          <w:b w:val="0"/>
          <w:i w:val="0"/>
        </w:rPr>
        <w:t xml:space="preserve"> </w:t>
      </w:r>
      <w:hyperlink w:anchor="latin-record-0202">
        <w:r>
          <w:rPr>
            <w:color w:val="000000"/>
          </w:rPr>
          <w:t xml:space="preserve">compago / membrum</w:t>
        </w:r>
      </w:hyperlink>
      <w:r>
        <w:rPr>
          <w:b w:val="0"/>
          <w:i w:val="0"/>
        </w:rPr>
        <w:t xml:space="preserve">; </w:t>
      </w:r>
      <w:hyperlink w:anchor="latin-record-0683">
        <w:r>
          <w:rPr>
            <w:color w:val="000000"/>
          </w:rPr>
          <w:t xml:space="preserve">membra / lignum / aer</w:t>
        </w:r>
      </w:hyperlink>
      <w:r>
        <w:rPr>
          <w:b w:val="0"/>
          <w:i w:val="0"/>
        </w:rPr>
        <w:t>.</w:t>
      </w:r>
    </w:p>
    <w:p>
      <w:pPr>
        <w:widowControl/>
      </w:pPr>
      <w:r>
        <w:rPr>
          <w:b/>
          <w:i w:val="0"/>
        </w:rPr>
        <w:t>membro.</w:t>
      </w:r>
      <w:r>
        <w:rPr>
          <w:b w:val="0"/>
          <w:i w:val="0"/>
        </w:rPr>
        <w:t xml:space="preserve"> </w:t>
      </w:r>
      <w:hyperlink w:anchor="latin-record-0684">
        <w:r>
          <w:rPr>
            <w:color w:val="000000"/>
          </w:rPr>
          <w:t xml:space="preserve">membrum / vicem gerere</w:t>
        </w:r>
      </w:hyperlink>
      <w:r>
        <w:rPr>
          <w:b w:val="0"/>
          <w:i w:val="0"/>
        </w:rPr>
        <w:t>.</w:t>
      </w:r>
    </w:p>
    <w:p>
      <w:pPr>
        <w:widowControl/>
      </w:pPr>
      <w:r>
        <w:rPr>
          <w:b/>
          <w:i w:val="0"/>
        </w:rPr>
        <w:t>Memento.</w:t>
      </w:r>
      <w:r>
        <w:rPr>
          <w:b w:val="0"/>
          <w:i w:val="0"/>
        </w:rPr>
        <w:t xml:space="preserve"> </w:t>
      </w:r>
      <w:hyperlink w:anchor="latin-record-0685">
        <w:r>
          <w:rPr>
            <w:color w:val="000000"/>
          </w:rPr>
          <w:t xml:space="preserve">memorare / respondere / docere</w:t>
        </w:r>
      </w:hyperlink>
      <w:r>
        <w:rPr>
          <w:b w:val="0"/>
          <w:i w:val="0"/>
        </w:rPr>
        <w:t>.</w:t>
      </w:r>
    </w:p>
    <w:p>
      <w:pPr>
        <w:widowControl/>
      </w:pPr>
      <w:r>
        <w:rPr>
          <w:b/>
          <w:i w:val="0"/>
        </w:rPr>
        <w:t>meminisse.</w:t>
      </w:r>
      <w:r>
        <w:rPr>
          <w:b w:val="0"/>
          <w:i w:val="0"/>
        </w:rPr>
        <w:t xml:space="preserve"> </w:t>
      </w:r>
      <w:hyperlink w:anchor="latin-record-0685">
        <w:r>
          <w:rPr>
            <w:color w:val="000000"/>
          </w:rPr>
          <w:t xml:space="preserve">memorare / respondere / docere</w:t>
        </w:r>
      </w:hyperlink>
      <w:r>
        <w:rPr>
          <w:b w:val="0"/>
          <w:i w:val="0"/>
        </w:rPr>
        <w:t>.</w:t>
      </w:r>
    </w:p>
    <w:p>
      <w:pPr>
        <w:widowControl/>
      </w:pPr>
      <w:r>
        <w:rPr>
          <w:b/>
          <w:i w:val="0"/>
        </w:rPr>
        <w:t>memoriae.</w:t>
      </w:r>
      <w:r>
        <w:rPr>
          <w:b w:val="0"/>
          <w:i w:val="0"/>
        </w:rPr>
        <w:t xml:space="preserve"> </w:t>
      </w:r>
      <w:hyperlink w:anchor="latin-record-1281">
        <w:r>
          <w:rPr>
            <w:color w:val="000000"/>
          </w:rPr>
          <w:t xml:space="preserve">voluntas / memoria</w:t>
        </w:r>
      </w:hyperlink>
      <w:r>
        <w:rPr>
          <w:b w:val="0"/>
          <w:i w:val="0"/>
        </w:rPr>
        <w:t>.</w:t>
      </w:r>
    </w:p>
    <w:p>
      <w:pPr>
        <w:widowControl/>
      </w:pPr>
      <w:r>
        <w:rPr>
          <w:b/>
          <w:i w:val="0"/>
        </w:rPr>
        <w:t>Mens.</w:t>
      </w:r>
      <w:r>
        <w:rPr>
          <w:b w:val="0"/>
          <w:i w:val="0"/>
        </w:rPr>
        <w:t xml:space="preserve"> </w:t>
      </w:r>
      <w:hyperlink w:anchor="latin-record-0686">
        <w:r>
          <w:rPr>
            <w:color w:val="000000"/>
          </w:rPr>
          <w:t xml:space="preserve">mens</w:t>
        </w:r>
      </w:hyperlink>
      <w:r>
        <w:rPr>
          <w:b w:val="0"/>
          <w:i w:val="0"/>
        </w:rPr>
        <w:t>.</w:t>
      </w:r>
    </w:p>
    <w:p>
      <w:pPr>
        <w:widowControl/>
      </w:pPr>
      <w:r>
        <w:rPr>
          <w:b/>
          <w:i w:val="0"/>
        </w:rPr>
        <w:t>mens sit mentium.</w:t>
      </w:r>
      <w:r>
        <w:rPr>
          <w:b w:val="0"/>
          <w:i w:val="0"/>
        </w:rPr>
        <w:t xml:space="preserve"> </w:t>
      </w:r>
      <w:hyperlink w:anchor="latin-record-0688">
        <w:r>
          <w:rPr>
            <w:color w:val="000000"/>
          </w:rPr>
          <w:t xml:space="preserve">mens mentium / lumen luminum</w:t>
        </w:r>
      </w:hyperlink>
      <w:r>
        <w:rPr>
          <w:b w:val="0"/>
          <w:i w:val="0"/>
        </w:rPr>
        <w:t>.</w:t>
      </w:r>
    </w:p>
    <w:p>
      <w:pPr>
        <w:widowControl/>
      </w:pPr>
      <w:r>
        <w:rPr>
          <w:b/>
          <w:i w:val="0"/>
        </w:rPr>
        <w:t>mensuram.</w:t>
      </w:r>
      <w:r>
        <w:rPr>
          <w:b w:val="0"/>
          <w:i w:val="0"/>
        </w:rPr>
        <w:t xml:space="preserve"> </w:t>
      </w:r>
      <w:hyperlink w:anchor="latin-record-0486">
        <w:r>
          <w:rPr>
            <w:color w:val="000000"/>
          </w:rPr>
          <w:t xml:space="preserve">gradus / mensura / proportio</w:t>
        </w:r>
      </w:hyperlink>
      <w:r>
        <w:rPr>
          <w:b w:val="0"/>
          <w:i w:val="0"/>
        </w:rPr>
        <w:t>.</w:t>
      </w:r>
    </w:p>
    <w:p>
      <w:pPr>
        <w:widowControl/>
      </w:pPr>
      <w:r>
        <w:rPr>
          <w:b/>
          <w:i w:val="0"/>
        </w:rPr>
        <w:t>mensuraque.</w:t>
      </w:r>
      <w:r>
        <w:rPr>
          <w:b w:val="0"/>
          <w:i w:val="0"/>
        </w:rPr>
        <w:t xml:space="preserve"> </w:t>
      </w:r>
      <w:hyperlink w:anchor="latin-record-0604">
        <w:r>
          <w:rPr>
            <w:color w:val="000000"/>
          </w:rPr>
          <w:t xml:space="preserve">intervallum / mensura</w:t>
        </w:r>
      </w:hyperlink>
      <w:r>
        <w:rPr>
          <w:b w:val="0"/>
          <w:i w:val="0"/>
        </w:rPr>
        <w:t>.</w:t>
      </w:r>
    </w:p>
    <w:p>
      <w:pPr>
        <w:widowControl/>
      </w:pPr>
      <w:r>
        <w:rPr>
          <w:b/>
          <w:i w:val="0"/>
        </w:rPr>
        <w:t>mentem.</w:t>
      </w:r>
      <w:r>
        <w:rPr>
          <w:b w:val="0"/>
          <w:i w:val="0"/>
        </w:rPr>
        <w:t xml:space="preserve"> </w:t>
      </w:r>
      <w:hyperlink w:anchor="latin-record-0686">
        <w:r>
          <w:rPr>
            <w:color w:val="000000"/>
          </w:rPr>
          <w:t xml:space="preserve">mens</w:t>
        </w:r>
      </w:hyperlink>
      <w:r>
        <w:rPr>
          <w:b w:val="0"/>
          <w:i w:val="0"/>
        </w:rPr>
        <w:t>.</w:t>
      </w:r>
    </w:p>
    <w:p>
      <w:pPr>
        <w:widowControl/>
      </w:pPr>
      <w:r>
        <w:rPr>
          <w:b/>
          <w:i w:val="0"/>
        </w:rPr>
        <w:t>mentem angelicam.</w:t>
      </w:r>
      <w:r>
        <w:rPr>
          <w:b w:val="0"/>
          <w:i w:val="0"/>
        </w:rPr>
        <w:t xml:space="preserve"> </w:t>
      </w:r>
      <w:hyperlink w:anchor="latin-record-0687">
        <w:r>
          <w:rPr>
            <w:color w:val="000000"/>
          </w:rPr>
          <w:t xml:space="preserve">mens angelica</w:t>
        </w:r>
      </w:hyperlink>
      <w:r>
        <w:rPr>
          <w:b w:val="0"/>
          <w:i w:val="0"/>
        </w:rPr>
        <w:t>.</w:t>
      </w:r>
    </w:p>
    <w:p>
      <w:pPr>
        <w:widowControl/>
      </w:pPr>
      <w:r>
        <w:rPr>
          <w:b/>
          <w:i w:val="0"/>
        </w:rPr>
        <w:t>menti.</w:t>
      </w:r>
      <w:r>
        <w:rPr>
          <w:b w:val="0"/>
          <w:i w:val="0"/>
        </w:rPr>
        <w:t xml:space="preserve"> </w:t>
      </w:r>
      <w:hyperlink w:anchor="latin-record-0686">
        <w:r>
          <w:rPr>
            <w:color w:val="000000"/>
          </w:rPr>
          <w:t xml:space="preserve">mens</w:t>
        </w:r>
      </w:hyperlink>
      <w:r>
        <w:rPr>
          <w:b w:val="0"/>
          <w:i w:val="0"/>
        </w:rPr>
        <w:t>.</w:t>
      </w:r>
    </w:p>
    <w:p>
      <w:pPr>
        <w:widowControl/>
      </w:pPr>
      <w:r>
        <w:rPr>
          <w:b/>
          <w:i w:val="0"/>
        </w:rPr>
        <w:t>menti praebuit secundae.</w:t>
      </w:r>
      <w:r>
        <w:rPr>
          <w:b w:val="0"/>
          <w:i w:val="0"/>
        </w:rPr>
        <w:t xml:space="preserve"> </w:t>
      </w:r>
      <w:hyperlink w:anchor="latin-record-0689">
        <w:r>
          <w:rPr>
            <w:color w:val="000000"/>
          </w:rPr>
          <w:t xml:space="preserve">mens secunda</w:t>
        </w:r>
      </w:hyperlink>
      <w:r>
        <w:rPr>
          <w:b w:val="0"/>
          <w:i w:val="0"/>
        </w:rPr>
        <w:t>.</w:t>
      </w:r>
    </w:p>
    <w:p>
      <w:pPr>
        <w:widowControl/>
      </w:pPr>
      <w:r>
        <w:rPr>
          <w:b/>
          <w:i w:val="0"/>
        </w:rPr>
        <w:t>mentis aciem.</w:t>
      </w:r>
      <w:r>
        <w:rPr>
          <w:b w:val="0"/>
          <w:i w:val="0"/>
        </w:rPr>
        <w:t xml:space="preserve"> </w:t>
      </w:r>
      <w:hyperlink w:anchor="latin-record-0013">
        <w:r>
          <w:rPr>
            <w:color w:val="000000"/>
          </w:rPr>
          <w:t xml:space="preserve">acies / oculus mentis</w:t>
        </w:r>
      </w:hyperlink>
      <w:r>
        <w:rPr>
          <w:b w:val="0"/>
          <w:i w:val="0"/>
        </w:rPr>
        <w:t>.</w:t>
      </w:r>
    </w:p>
    <w:p>
      <w:pPr>
        <w:widowControl/>
      </w:pPr>
      <w:r>
        <w:rPr>
          <w:b/>
          <w:i w:val="0"/>
        </w:rPr>
        <w:t>mentis est caput.</w:t>
      </w:r>
      <w:r>
        <w:rPr>
          <w:b w:val="0"/>
          <w:i w:val="0"/>
        </w:rPr>
        <w:t xml:space="preserve"> </w:t>
      </w:r>
      <w:hyperlink w:anchor="latin-record-0144">
        <w:r>
          <w:rPr>
            <w:color w:val="000000"/>
          </w:rPr>
          <w:t xml:space="preserve">caput mentis / rationis</w:t>
        </w:r>
      </w:hyperlink>
      <w:r>
        <w:rPr>
          <w:b w:val="0"/>
          <w:i w:val="0"/>
        </w:rPr>
        <w:t>.</w:t>
      </w:r>
    </w:p>
    <w:p>
      <w:pPr>
        <w:widowControl/>
      </w:pPr>
      <w:r>
        <w:rPr>
          <w:b/>
          <w:i w:val="0"/>
        </w:rPr>
        <w:t>mentis oculo.</w:t>
      </w:r>
      <w:r>
        <w:rPr>
          <w:b w:val="0"/>
          <w:i w:val="0"/>
        </w:rPr>
        <w:t xml:space="preserve"> </w:t>
      </w:r>
      <w:hyperlink w:anchor="latin-record-0013">
        <w:r>
          <w:rPr>
            <w:color w:val="000000"/>
          </w:rPr>
          <w:t xml:space="preserve">acies / oculus mentis</w:t>
        </w:r>
      </w:hyperlink>
      <w:r>
        <w:rPr>
          <w:b w:val="0"/>
          <w:i w:val="0"/>
        </w:rPr>
        <w:t>.</w:t>
      </w:r>
    </w:p>
    <w:p>
      <w:pPr>
        <w:widowControl/>
      </w:pPr>
      <w:r>
        <w:rPr>
          <w:b/>
          <w:i w:val="0"/>
        </w:rPr>
        <w:t>mera.</w:t>
      </w:r>
      <w:r>
        <w:rPr>
          <w:b w:val="0"/>
          <w:i w:val="0"/>
        </w:rPr>
        <w:t xml:space="preserve"> </w:t>
      </w:r>
      <w:hyperlink w:anchor="latin-record-0695">
        <w:r>
          <w:rPr>
            <w:color w:val="000000"/>
          </w:rPr>
          <w:t xml:space="preserve">merus / verus / perfectus</w:t>
        </w:r>
      </w:hyperlink>
      <w:r>
        <w:rPr>
          <w:b w:val="0"/>
          <w:i w:val="0"/>
        </w:rPr>
        <w:t>.</w:t>
      </w:r>
    </w:p>
    <w:p>
      <w:pPr>
        <w:widowControl/>
      </w:pPr>
      <w:r>
        <w:rPr>
          <w:b/>
          <w:i w:val="0"/>
        </w:rPr>
        <w:t>merae.</w:t>
      </w:r>
      <w:r>
        <w:rPr>
          <w:b w:val="0"/>
          <w:i w:val="0"/>
        </w:rPr>
        <w:t xml:space="preserve"> </w:t>
      </w:r>
      <w:hyperlink w:anchor="latin-record-0694">
        <w:r>
          <w:rPr>
            <w:color w:val="000000"/>
          </w:rPr>
          <w:t xml:space="preserve">merus / incorruptus / revera</w:t>
        </w:r>
      </w:hyperlink>
      <w:r>
        <w:rPr>
          <w:b w:val="0"/>
          <w:i w:val="0"/>
        </w:rPr>
        <w:t>.</w:t>
      </w:r>
    </w:p>
    <w:p>
      <w:pPr>
        <w:widowControl/>
      </w:pPr>
      <w:r>
        <w:rPr>
          <w:b/>
          <w:i w:val="0"/>
        </w:rPr>
        <w:t>Mercurium.</w:t>
      </w:r>
      <w:r>
        <w:rPr>
          <w:b w:val="0"/>
          <w:i w:val="0"/>
        </w:rPr>
        <w:t xml:space="preserve"> </w:t>
      </w:r>
      <w:hyperlink w:anchor="latin-record-0692">
        <w:r>
          <w:rPr>
            <w:color w:val="000000"/>
          </w:rPr>
          <w:t xml:space="preserve">Mercurius — planet</w:t>
        </w:r>
      </w:hyperlink>
      <w:r>
        <w:rPr>
          <w:b w:val="0"/>
          <w:i w:val="0"/>
        </w:rPr>
        <w:t>.</w:t>
      </w:r>
    </w:p>
    <w:p>
      <w:pPr>
        <w:widowControl/>
      </w:pPr>
      <w:r>
        <w:rPr>
          <w:b/>
          <w:i w:val="0"/>
        </w:rPr>
        <w:t>Mercurium Trismegistrum.</w:t>
      </w:r>
      <w:r>
        <w:rPr>
          <w:b w:val="0"/>
          <w:i w:val="0"/>
        </w:rPr>
        <w:t xml:space="preserve"> </w:t>
      </w:r>
      <w:hyperlink w:anchor="latin-record-0691">
        <w:r>
          <w:rPr>
            <w:color w:val="000000"/>
          </w:rPr>
          <w:t xml:space="preserve">Mercurius — Hermetic authority</w:t>
        </w:r>
      </w:hyperlink>
      <w:r>
        <w:rPr>
          <w:b w:val="0"/>
          <w:i w:val="0"/>
        </w:rPr>
        <w:t>.</w:t>
      </w:r>
    </w:p>
    <w:p>
      <w:pPr>
        <w:widowControl/>
      </w:pPr>
      <w:r>
        <w:rPr>
          <w:b/>
          <w:i w:val="0"/>
        </w:rPr>
        <w:t>Mercurius.</w:t>
      </w:r>
      <w:r>
        <w:rPr>
          <w:b w:val="0"/>
          <w:i w:val="0"/>
        </w:rPr>
        <w:t xml:space="preserve"> </w:t>
      </w:r>
      <w:hyperlink w:anchor="latin-record-0691">
        <w:r>
          <w:rPr>
            <w:color w:val="000000"/>
          </w:rPr>
          <w:t xml:space="preserve">Mercurius — Hermetic authority</w:t>
        </w:r>
      </w:hyperlink>
      <w:r>
        <w:rPr>
          <w:b w:val="0"/>
          <w:i w:val="0"/>
        </w:rPr>
        <w:t xml:space="preserve">; </w:t>
      </w:r>
      <w:hyperlink w:anchor="latin-record-0692">
        <w:r>
          <w:rPr>
            <w:color w:val="000000"/>
          </w:rPr>
          <w:t xml:space="preserve">Mercurius — planet</w:t>
        </w:r>
      </w:hyperlink>
      <w:r>
        <w:rPr>
          <w:b w:val="0"/>
          <w:i w:val="0"/>
        </w:rPr>
        <w:t>.</w:t>
      </w:r>
    </w:p>
    <w:p>
      <w:pPr>
        <w:widowControl/>
      </w:pPr>
      <w:r>
        <w:rPr>
          <w:b/>
          <w:i w:val="0"/>
        </w:rPr>
        <w:t>Mercurius Trismegistus.</w:t>
      </w:r>
      <w:r>
        <w:rPr>
          <w:b w:val="0"/>
          <w:i w:val="0"/>
        </w:rPr>
        <w:t xml:space="preserve"> </w:t>
      </w:r>
      <w:hyperlink w:anchor="latin-record-0690">
        <w:r>
          <w:rPr>
            <w:color w:val="000000"/>
          </w:rPr>
          <w:t xml:space="preserve">Mercurius Trismegistus / Timaeus</w:t>
        </w:r>
      </w:hyperlink>
      <w:r>
        <w:rPr>
          <w:b w:val="0"/>
          <w:i w:val="0"/>
        </w:rPr>
        <w:t>.</w:t>
      </w:r>
    </w:p>
    <w:p>
      <w:pPr>
        <w:widowControl/>
      </w:pPr>
      <w:r>
        <w:rPr>
          <w:b/>
          <w:i w:val="0"/>
        </w:rPr>
        <w:t>merentur.</w:t>
      </w:r>
      <w:r>
        <w:rPr>
          <w:b w:val="0"/>
          <w:i w:val="0"/>
        </w:rPr>
        <w:t xml:space="preserve"> </w:t>
      </w:r>
      <w:hyperlink w:anchor="latin-record-0693">
        <w:r>
          <w:rPr>
            <w:color w:val="000000"/>
          </w:rPr>
          <w:t xml:space="preserve">mereri / aequalitatem recuperare</w:t>
        </w:r>
      </w:hyperlink>
      <w:r>
        <w:rPr>
          <w:b w:val="0"/>
          <w:i w:val="0"/>
        </w:rPr>
        <w:t>.</w:t>
      </w:r>
    </w:p>
    <w:p>
      <w:pPr>
        <w:widowControl/>
      </w:pPr>
      <w:r>
        <w:rPr>
          <w:b/>
          <w:i w:val="0"/>
        </w:rPr>
        <w:t>mergitur.</w:t>
      </w:r>
      <w:r>
        <w:rPr>
          <w:b w:val="0"/>
          <w:i w:val="0"/>
        </w:rPr>
        <w:t xml:space="preserve"> </w:t>
      </w:r>
      <w:hyperlink w:anchor="latin-record-0636">
        <w:r>
          <w:rPr>
            <w:color w:val="000000"/>
          </w:rPr>
          <w:t xml:space="preserve">Letheus / mergo</w:t>
        </w:r>
      </w:hyperlink>
      <w:r>
        <w:rPr>
          <w:b w:val="0"/>
          <w:i w:val="0"/>
        </w:rPr>
        <w:t>.</w:t>
      </w:r>
    </w:p>
    <w:p>
      <w:pPr>
        <w:widowControl/>
      </w:pPr>
      <w:r>
        <w:rPr>
          <w:b/>
          <w:i w:val="0"/>
        </w:rPr>
        <w:t>merus.</w:t>
      </w:r>
      <w:r>
        <w:rPr>
          <w:b w:val="0"/>
          <w:i w:val="0"/>
        </w:rPr>
        <w:t xml:space="preserve"> </w:t>
      </w:r>
      <w:hyperlink w:anchor="latin-record-0988">
        <w:r>
          <w:rPr>
            <w:color w:val="000000"/>
          </w:rPr>
          <w:t xml:space="preserve">purus / merus</w:t>
        </w:r>
      </w:hyperlink>
      <w:r>
        <w:rPr>
          <w:b w:val="0"/>
          <w:i w:val="0"/>
        </w:rPr>
        <w:t>.</w:t>
      </w:r>
    </w:p>
    <w:p>
      <w:pPr>
        <w:widowControl/>
      </w:pPr>
      <w:r>
        <w:rPr>
          <w:b/>
          <w:i w:val="0"/>
        </w:rPr>
        <w:t>metaphysicas.</w:t>
      </w:r>
      <w:r>
        <w:rPr>
          <w:b w:val="0"/>
          <w:i w:val="0"/>
        </w:rPr>
        <w:t xml:space="preserve"> </w:t>
      </w:r>
      <w:hyperlink w:anchor="latin-record-0676">
        <w:r>
          <w:rPr>
            <w:color w:val="000000"/>
          </w:rPr>
          <w:t xml:space="preserve">mathematicus / metaphysicus</w:t>
        </w:r>
      </w:hyperlink>
      <w:r>
        <w:rPr>
          <w:b w:val="0"/>
          <w:i w:val="0"/>
        </w:rPr>
        <w:t>.</w:t>
      </w:r>
    </w:p>
    <w:p>
      <w:pPr>
        <w:widowControl/>
      </w:pPr>
      <w:r>
        <w:rPr>
          <w:b/>
          <w:i w:val="0"/>
        </w:rPr>
        <w:t>metaphysici.</w:t>
      </w:r>
      <w:r>
        <w:rPr>
          <w:b w:val="0"/>
          <w:i w:val="0"/>
        </w:rPr>
        <w:t xml:space="preserve"> </w:t>
      </w:r>
      <w:hyperlink w:anchor="latin-record-0881">
        <w:r>
          <w:rPr>
            <w:color w:val="000000"/>
          </w:rPr>
          <w:t xml:space="preserve">Plato / Platonici / philosophi / physici</w:t>
        </w:r>
      </w:hyperlink>
      <w:r>
        <w:rPr>
          <w:b w:val="0"/>
          <w:i w:val="0"/>
        </w:rPr>
        <w:t>.</w:t>
      </w:r>
    </w:p>
    <w:p>
      <w:pPr>
        <w:widowControl/>
      </w:pPr>
      <w:r>
        <w:rPr>
          <w:b/>
          <w:i w:val="0"/>
        </w:rPr>
        <w:t>metiatur.</w:t>
      </w:r>
      <w:r>
        <w:rPr>
          <w:b w:val="0"/>
          <w:i w:val="0"/>
        </w:rPr>
        <w:t xml:space="preserve"> </w:t>
      </w:r>
      <w:hyperlink w:anchor="latin-record-0077">
        <w:r>
          <w:rPr>
            <w:color w:val="000000"/>
          </w:rPr>
          <w:t xml:space="preserve">anticipare / discernere / metiri</w:t>
        </w:r>
      </w:hyperlink>
      <w:r>
        <w:rPr>
          <w:b w:val="0"/>
          <w:i w:val="0"/>
        </w:rPr>
        <w:t>.</w:t>
      </w:r>
    </w:p>
    <w:p>
      <w:pPr>
        <w:widowControl/>
      </w:pPr>
      <w:r>
        <w:rPr>
          <w:b/>
          <w:i w:val="0"/>
        </w:rPr>
        <w:t>Metrodorus.</w:t>
      </w:r>
      <w:r>
        <w:rPr>
          <w:b w:val="0"/>
          <w:i w:val="0"/>
        </w:rPr>
        <w:t xml:space="preserve"> </w:t>
      </w:r>
      <w:hyperlink w:anchor="latin-record-0696">
        <w:r>
          <w:rPr>
            <w:color w:val="000000"/>
          </w:rPr>
          <w:t xml:space="preserve">Metrodorus / Zoroaster</w:t>
        </w:r>
      </w:hyperlink>
      <w:r>
        <w:rPr>
          <w:b w:val="0"/>
          <w:i w:val="0"/>
        </w:rPr>
        <w:t>.</w:t>
      </w:r>
    </w:p>
    <w:p>
      <w:pPr>
        <w:widowControl/>
      </w:pPr>
      <w:r>
        <w:rPr>
          <w:b/>
          <w:i w:val="0"/>
        </w:rPr>
        <w:t>metum.</w:t>
      </w:r>
      <w:r>
        <w:rPr>
          <w:b w:val="0"/>
          <w:i w:val="0"/>
        </w:rPr>
        <w:t xml:space="preserve"> </w:t>
      </w:r>
      <w:hyperlink w:anchor="latin-record-0697">
        <w:r>
          <w:rPr>
            <w:color w:val="000000"/>
          </w:rPr>
          <w:t xml:space="preserve">metus / persuasio</w:t>
        </w:r>
      </w:hyperlink>
      <w:r>
        <w:rPr>
          <w:b w:val="0"/>
          <w:i w:val="0"/>
        </w:rPr>
        <w:t>.</w:t>
      </w:r>
    </w:p>
    <w:p>
      <w:pPr>
        <w:widowControl/>
      </w:pPr>
      <w:r>
        <w:rPr>
          <w:b/>
          <w:i w:val="0"/>
        </w:rPr>
        <w:t>migrant.</w:t>
      </w:r>
      <w:r>
        <w:rPr>
          <w:b w:val="0"/>
          <w:i w:val="0"/>
        </w:rPr>
        <w:t xml:space="preserve"> </w:t>
      </w:r>
      <w:hyperlink w:anchor="latin-record-0698">
        <w:r>
          <w:rPr>
            <w:color w:val="000000"/>
          </w:rPr>
          <w:t xml:space="preserve">migrare / transire</w:t>
        </w:r>
      </w:hyperlink>
      <w:r>
        <w:rPr>
          <w:b w:val="0"/>
          <w:i w:val="0"/>
        </w:rPr>
        <w:t>.</w:t>
      </w:r>
    </w:p>
    <w:p>
      <w:pPr>
        <w:widowControl/>
      </w:pPr>
      <w:r>
        <w:rPr>
          <w:b/>
          <w:i w:val="0"/>
        </w:rPr>
        <w:t>migrat.</w:t>
      </w:r>
      <w:r>
        <w:rPr>
          <w:b w:val="0"/>
          <w:i w:val="0"/>
        </w:rPr>
        <w:t xml:space="preserve"> </w:t>
      </w:r>
      <w:hyperlink w:anchor="latin-record-0698">
        <w:r>
          <w:rPr>
            <w:color w:val="000000"/>
          </w:rPr>
          <w:t xml:space="preserve">migrare / transire</w:t>
        </w:r>
      </w:hyperlink>
      <w:r>
        <w:rPr>
          <w:b w:val="0"/>
          <w:i w:val="0"/>
        </w:rPr>
        <w:t xml:space="preserve">; </w:t>
      </w:r>
      <w:hyperlink w:anchor="latin-record-0966">
        <w:r>
          <w:rPr>
            <w:color w:val="000000"/>
          </w:rPr>
          <w:t xml:space="preserve">prorumpo / migro</w:t>
        </w:r>
      </w:hyperlink>
      <w:r>
        <w:rPr>
          <w:b w:val="0"/>
          <w:i w:val="0"/>
        </w:rPr>
        <w:t>.</w:t>
      </w:r>
    </w:p>
    <w:p>
      <w:pPr>
        <w:widowControl/>
      </w:pPr>
      <w:r>
        <w:rPr>
          <w:b/>
          <w:i w:val="0"/>
        </w:rPr>
        <w:t>minimarum.</w:t>
      </w:r>
      <w:r>
        <w:rPr>
          <w:b w:val="0"/>
          <w:i w:val="0"/>
        </w:rPr>
        <w:t xml:space="preserve"> </w:t>
      </w:r>
      <w:hyperlink w:anchor="latin-record-1113">
        <w:r>
          <w:rPr>
            <w:color w:val="000000"/>
          </w:rPr>
          <w:t xml:space="preserve">singulus / minimus / infimus</w:t>
        </w:r>
      </w:hyperlink>
      <w:r>
        <w:rPr>
          <w:b w:val="0"/>
          <w:i w:val="0"/>
        </w:rPr>
        <w:t>.</w:t>
      </w:r>
    </w:p>
    <w:p>
      <w:pPr>
        <w:widowControl/>
      </w:pPr>
      <w:r>
        <w:rPr>
          <w:b/>
          <w:i w:val="0"/>
        </w:rPr>
        <w:t>minimas.</w:t>
      </w:r>
      <w:r>
        <w:rPr>
          <w:b w:val="0"/>
          <w:i w:val="0"/>
        </w:rPr>
        <w:t xml:space="preserve"> </w:t>
      </w:r>
      <w:hyperlink w:anchor="latin-record-1113">
        <w:r>
          <w:rPr>
            <w:color w:val="000000"/>
          </w:rPr>
          <w:t xml:space="preserve">singulus / minimus / infimus</w:t>
        </w:r>
      </w:hyperlink>
      <w:r>
        <w:rPr>
          <w:b w:val="0"/>
          <w:i w:val="0"/>
        </w:rPr>
        <w:t>.</w:t>
      </w:r>
    </w:p>
    <w:p>
      <w:pPr>
        <w:widowControl/>
      </w:pPr>
      <w:r>
        <w:rPr>
          <w:b/>
          <w:i w:val="0"/>
        </w:rPr>
        <w:t>Minime.</w:t>
      </w:r>
      <w:r>
        <w:rPr>
          <w:b w:val="0"/>
          <w:i w:val="0"/>
        </w:rPr>
        <w:t xml:space="preserve"> </w:t>
      </w:r>
      <w:hyperlink w:anchor="latin-record-0532">
        <w:r>
          <w:rPr>
            <w:color w:val="000000"/>
          </w:rPr>
          <w:t xml:space="preserve">immo / potius / minime</w:t>
        </w:r>
      </w:hyperlink>
      <w:r>
        <w:rPr>
          <w:b w:val="0"/>
          <w:i w:val="0"/>
        </w:rPr>
        <w:t>.</w:t>
      </w:r>
    </w:p>
    <w:p>
      <w:pPr>
        <w:widowControl/>
      </w:pPr>
      <w:r>
        <w:rPr>
          <w:b/>
          <w:i w:val="0"/>
        </w:rPr>
        <w:t>minime.</w:t>
      </w:r>
      <w:r>
        <w:rPr>
          <w:b w:val="0"/>
          <w:i w:val="0"/>
        </w:rPr>
        <w:t xml:space="preserve"> </w:t>
      </w:r>
      <w:hyperlink w:anchor="latin-record-0662">
        <w:r>
          <w:rPr>
            <w:color w:val="000000"/>
          </w:rPr>
          <w:t xml:space="preserve">magis / minus / minime</w:t>
        </w:r>
      </w:hyperlink>
      <w:r>
        <w:rPr>
          <w:b w:val="0"/>
          <w:i w:val="0"/>
        </w:rPr>
        <w:t>.</w:t>
      </w:r>
    </w:p>
    <w:p>
      <w:pPr>
        <w:widowControl/>
      </w:pPr>
      <w:r>
        <w:rPr>
          <w:b/>
          <w:i w:val="0"/>
        </w:rPr>
        <w:t>minimum.</w:t>
      </w:r>
      <w:r>
        <w:rPr>
          <w:b w:val="0"/>
          <w:i w:val="0"/>
        </w:rPr>
        <w:t xml:space="preserve"> </w:t>
      </w:r>
      <w:hyperlink w:anchor="latin-record-0662">
        <w:r>
          <w:rPr>
            <w:color w:val="000000"/>
          </w:rPr>
          <w:t xml:space="preserve">magis / minus / minime</w:t>
        </w:r>
      </w:hyperlink>
      <w:r>
        <w:rPr>
          <w:b w:val="0"/>
          <w:i w:val="0"/>
        </w:rPr>
        <w:t>.</w:t>
      </w:r>
    </w:p>
    <w:p>
      <w:pPr>
        <w:widowControl/>
      </w:pPr>
      <w:r>
        <w:rPr>
          <w:b/>
          <w:i w:val="0"/>
        </w:rPr>
        <w:t>minister.</w:t>
      </w:r>
      <w:r>
        <w:rPr>
          <w:b w:val="0"/>
          <w:i w:val="0"/>
        </w:rPr>
        <w:t xml:space="preserve"> </w:t>
      </w:r>
      <w:hyperlink w:anchor="latin-record-0699">
        <w:r>
          <w:rPr>
            <w:color w:val="000000"/>
          </w:rPr>
          <w:t xml:space="preserve">minister / architectus</w:t>
        </w:r>
      </w:hyperlink>
      <w:r>
        <w:rPr>
          <w:b w:val="0"/>
          <w:i w:val="0"/>
        </w:rPr>
        <w:t>.</w:t>
      </w:r>
    </w:p>
    <w:p>
      <w:pPr>
        <w:widowControl/>
      </w:pPr>
      <w:r>
        <w:rPr>
          <w:b/>
          <w:i w:val="0"/>
        </w:rPr>
        <w:t>ministrabant.</w:t>
      </w:r>
      <w:r>
        <w:rPr>
          <w:b w:val="0"/>
          <w:i w:val="0"/>
        </w:rPr>
        <w:t xml:space="preserve"> </w:t>
      </w:r>
      <w:hyperlink w:anchor="latin-record-0700">
        <w:r>
          <w:rPr>
            <w:color w:val="000000"/>
          </w:rPr>
          <w:t xml:space="preserve">minister / assisto</w:t>
        </w:r>
      </w:hyperlink>
      <w:r>
        <w:rPr>
          <w:b w:val="0"/>
          <w:i w:val="0"/>
        </w:rPr>
        <w:t>.</w:t>
      </w:r>
    </w:p>
    <w:p>
      <w:pPr>
        <w:widowControl/>
      </w:pPr>
      <w:r>
        <w:rPr>
          <w:b/>
          <w:i w:val="0"/>
        </w:rPr>
        <w:t>minora.</w:t>
      </w:r>
      <w:r>
        <w:rPr>
          <w:b w:val="0"/>
          <w:i w:val="0"/>
        </w:rPr>
        <w:t xml:space="preserve"> </w:t>
      </w:r>
      <w:hyperlink w:anchor="latin-record-0885">
        <w:r>
          <w:rPr>
            <w:color w:val="000000"/>
          </w:rPr>
          <w:t xml:space="preserve">plus et minus</w:t>
        </w:r>
      </w:hyperlink>
      <w:r>
        <w:rPr>
          <w:b w:val="0"/>
          <w:i w:val="0"/>
        </w:rPr>
        <w:t>.</w:t>
      </w:r>
    </w:p>
    <w:p>
      <w:pPr>
        <w:widowControl/>
      </w:pPr>
      <w:r>
        <w:rPr>
          <w:b/>
          <w:i w:val="0"/>
        </w:rPr>
        <w:t>minuatur.</w:t>
      </w:r>
      <w:r>
        <w:rPr>
          <w:b w:val="0"/>
          <w:i w:val="0"/>
        </w:rPr>
        <w:t xml:space="preserve"> </w:t>
      </w:r>
      <w:hyperlink w:anchor="latin-record-0284">
        <w:r>
          <w:rPr>
            <w:color w:val="000000"/>
          </w:rPr>
          <w:t xml:space="preserve">crescere / decrescere / minuere</w:t>
        </w:r>
      </w:hyperlink>
      <w:r>
        <w:rPr>
          <w:b w:val="0"/>
          <w:i w:val="0"/>
        </w:rPr>
        <w:t>.</w:t>
      </w:r>
    </w:p>
    <w:p>
      <w:pPr>
        <w:widowControl/>
      </w:pPr>
      <w:r>
        <w:rPr>
          <w:b/>
          <w:i w:val="0"/>
        </w:rPr>
        <w:t>minui.</w:t>
      </w:r>
      <w:r>
        <w:rPr>
          <w:b w:val="0"/>
          <w:i w:val="0"/>
        </w:rPr>
        <w:t xml:space="preserve"> </w:t>
      </w:r>
      <w:hyperlink w:anchor="latin-record-0701">
        <w:r>
          <w:rPr>
            <w:color w:val="000000"/>
          </w:rPr>
          <w:t xml:space="preserve">minuo / debilito</w:t>
        </w:r>
      </w:hyperlink>
      <w:r>
        <w:rPr>
          <w:b w:val="0"/>
          <w:i w:val="0"/>
        </w:rPr>
        <w:t>.</w:t>
      </w:r>
    </w:p>
    <w:p>
      <w:pPr>
        <w:widowControl/>
      </w:pPr>
      <w:r>
        <w:rPr>
          <w:b/>
          <w:i w:val="0"/>
        </w:rPr>
        <w:t>minuitur.</w:t>
      </w:r>
      <w:r>
        <w:rPr>
          <w:b w:val="0"/>
          <w:i w:val="0"/>
        </w:rPr>
        <w:t xml:space="preserve"> </w:t>
      </w:r>
      <w:hyperlink w:anchor="latin-record-0284">
        <w:r>
          <w:rPr>
            <w:color w:val="000000"/>
          </w:rPr>
          <w:t xml:space="preserve">crescere / decrescere / minuere</w:t>
        </w:r>
      </w:hyperlink>
      <w:r>
        <w:rPr>
          <w:b w:val="0"/>
          <w:i w:val="0"/>
        </w:rPr>
        <w:t xml:space="preserve">; </w:t>
      </w:r>
      <w:hyperlink w:anchor="latin-record-0701">
        <w:r>
          <w:rPr>
            <w:color w:val="000000"/>
          </w:rPr>
          <w:t xml:space="preserve">minuo / debilito</w:t>
        </w:r>
      </w:hyperlink>
      <w:r>
        <w:rPr>
          <w:b w:val="0"/>
          <w:i w:val="0"/>
        </w:rPr>
        <w:t>.</w:t>
      </w:r>
    </w:p>
    <w:p>
      <w:pPr>
        <w:widowControl/>
      </w:pPr>
      <w:r>
        <w:rPr>
          <w:b/>
          <w:i w:val="0"/>
        </w:rPr>
        <w:t>minus.</w:t>
      </w:r>
      <w:r>
        <w:rPr>
          <w:b w:val="0"/>
          <w:i w:val="0"/>
        </w:rPr>
        <w:t xml:space="preserve"> </w:t>
      </w:r>
      <w:hyperlink w:anchor="latin-record-0662">
        <w:r>
          <w:rPr>
            <w:color w:val="000000"/>
          </w:rPr>
          <w:t xml:space="preserve">magis / minus / minime</w:t>
        </w:r>
      </w:hyperlink>
      <w:r>
        <w:rPr>
          <w:b w:val="0"/>
          <w:i w:val="0"/>
        </w:rPr>
        <w:t>.</w:t>
      </w:r>
    </w:p>
    <w:p>
      <w:pPr>
        <w:widowControl/>
      </w:pPr>
      <w:r>
        <w:rPr>
          <w:b/>
          <w:i w:val="0"/>
        </w:rPr>
        <w:t>minusve.</w:t>
      </w:r>
      <w:r>
        <w:rPr>
          <w:b w:val="0"/>
          <w:i w:val="0"/>
        </w:rPr>
        <w:t xml:space="preserve"> </w:t>
      </w:r>
      <w:hyperlink w:anchor="latin-record-0885">
        <w:r>
          <w:rPr>
            <w:color w:val="000000"/>
          </w:rPr>
          <w:t xml:space="preserve">plus et minus</w:t>
        </w:r>
      </w:hyperlink>
      <w:r>
        <w:rPr>
          <w:b w:val="0"/>
          <w:i w:val="0"/>
        </w:rPr>
        <w:t>.</w:t>
      </w:r>
    </w:p>
    <w:p>
      <w:pPr>
        <w:widowControl/>
      </w:pPr>
      <w:r>
        <w:rPr>
          <w:b/>
          <w:i w:val="0"/>
        </w:rPr>
        <w:t>miraberis.</w:t>
      </w:r>
      <w:r>
        <w:rPr>
          <w:b w:val="0"/>
          <w:i w:val="0"/>
        </w:rPr>
        <w:t xml:space="preserve"> </w:t>
      </w:r>
      <w:hyperlink w:anchor="latin-record-0703">
        <w:r>
          <w:rPr>
            <w:color w:val="000000"/>
          </w:rPr>
          <w:t xml:space="preserve">mirari / mirabilis</w:t>
        </w:r>
      </w:hyperlink>
      <w:r>
        <w:rPr>
          <w:b w:val="0"/>
          <w:i w:val="0"/>
        </w:rPr>
        <w:t>.</w:t>
      </w:r>
    </w:p>
    <w:p>
      <w:pPr>
        <w:widowControl/>
      </w:pPr>
      <w:r>
        <w:rPr>
          <w:b/>
          <w:i w:val="0"/>
        </w:rPr>
        <w:t>mirabilem.</w:t>
      </w:r>
      <w:r>
        <w:rPr>
          <w:b w:val="0"/>
          <w:i w:val="0"/>
        </w:rPr>
        <w:t xml:space="preserve"> </w:t>
      </w:r>
      <w:hyperlink w:anchor="latin-record-0703">
        <w:r>
          <w:rPr>
            <w:color w:val="000000"/>
          </w:rPr>
          <w:t xml:space="preserve">mirari / mirabilis</w:t>
        </w:r>
      </w:hyperlink>
      <w:r>
        <w:rPr>
          <w:b w:val="0"/>
          <w:i w:val="0"/>
        </w:rPr>
        <w:t>.</w:t>
      </w:r>
    </w:p>
    <w:p>
      <w:pPr>
        <w:widowControl/>
      </w:pPr>
      <w:r>
        <w:rPr>
          <w:b/>
          <w:i w:val="0"/>
        </w:rPr>
        <w:t>mirabiles.</w:t>
      </w:r>
      <w:r>
        <w:rPr>
          <w:b w:val="0"/>
          <w:i w:val="0"/>
        </w:rPr>
        <w:t xml:space="preserve"> </w:t>
      </w:r>
      <w:hyperlink w:anchor="latin-record-0703">
        <w:r>
          <w:rPr>
            <w:color w:val="000000"/>
          </w:rPr>
          <w:t xml:space="preserve">mirari / mirabilis</w:t>
        </w:r>
      </w:hyperlink>
      <w:r>
        <w:rPr>
          <w:b w:val="0"/>
          <w:i w:val="0"/>
        </w:rPr>
        <w:t>.</w:t>
      </w:r>
    </w:p>
    <w:p>
      <w:pPr>
        <w:widowControl/>
      </w:pPr>
      <w:r>
        <w:rPr>
          <w:b/>
          <w:i w:val="0"/>
        </w:rPr>
        <w:t>mirabiliter.</w:t>
      </w:r>
      <w:r>
        <w:rPr>
          <w:b w:val="0"/>
          <w:i w:val="0"/>
        </w:rPr>
        <w:t xml:space="preserve"> </w:t>
      </w:r>
      <w:hyperlink w:anchor="latin-record-0704">
        <w:r>
          <w:rPr>
            <w:color w:val="000000"/>
          </w:rPr>
          <w:t xml:space="preserve">mirus / mirabilis / mirabiliter</w:t>
        </w:r>
      </w:hyperlink>
      <w:r>
        <w:rPr>
          <w:b w:val="0"/>
          <w:i w:val="0"/>
        </w:rPr>
        <w:t>.</w:t>
      </w:r>
    </w:p>
    <w:p>
      <w:pPr>
        <w:widowControl/>
      </w:pPr>
      <w:r>
        <w:rPr>
          <w:b/>
          <w:i w:val="0"/>
        </w:rPr>
        <w:t>mirabilius.</w:t>
      </w:r>
      <w:r>
        <w:rPr>
          <w:b w:val="0"/>
          <w:i w:val="0"/>
        </w:rPr>
        <w:t xml:space="preserve"> </w:t>
      </w:r>
      <w:hyperlink w:anchor="latin-record-0704">
        <w:r>
          <w:rPr>
            <w:color w:val="000000"/>
          </w:rPr>
          <w:t xml:space="preserve">mirus / mirabilis / mirabiliter</w:t>
        </w:r>
      </w:hyperlink>
      <w:r>
        <w:rPr>
          <w:b w:val="0"/>
          <w:i w:val="0"/>
        </w:rPr>
        <w:t>.</w:t>
      </w:r>
    </w:p>
    <w:p>
      <w:pPr>
        <w:widowControl/>
      </w:pPr>
      <w:r>
        <w:rPr>
          <w:b/>
          <w:i w:val="0"/>
        </w:rPr>
        <w:t>miraculum.</w:t>
      </w:r>
      <w:r>
        <w:rPr>
          <w:b w:val="0"/>
          <w:i w:val="0"/>
        </w:rPr>
        <w:t xml:space="preserve"> </w:t>
      </w:r>
      <w:hyperlink w:anchor="latin-record-0702">
        <w:r>
          <w:rPr>
            <w:color w:val="000000"/>
          </w:rPr>
          <w:t xml:space="preserve">miraculum</w:t>
        </w:r>
      </w:hyperlink>
      <w:r>
        <w:rPr>
          <w:b w:val="0"/>
          <w:i w:val="0"/>
        </w:rPr>
        <w:t>.</w:t>
      </w:r>
    </w:p>
    <w:p>
      <w:pPr>
        <w:widowControl/>
      </w:pPr>
      <w:r>
        <w:rPr>
          <w:b/>
          <w:i w:val="0"/>
        </w:rPr>
        <w:t>miro.</w:t>
      </w:r>
      <w:r>
        <w:rPr>
          <w:b w:val="0"/>
          <w:i w:val="0"/>
        </w:rPr>
        <w:t xml:space="preserve"> </w:t>
      </w:r>
      <w:hyperlink w:anchor="latin-record-0704">
        <w:r>
          <w:rPr>
            <w:color w:val="000000"/>
          </w:rPr>
          <w:t xml:space="preserve">mirus / mirabilis / mirabiliter</w:t>
        </w:r>
      </w:hyperlink>
      <w:r>
        <w:rPr>
          <w:b w:val="0"/>
          <w:i w:val="0"/>
        </w:rPr>
        <w:t>.</w:t>
      </w:r>
    </w:p>
    <w:p>
      <w:pPr>
        <w:widowControl/>
      </w:pPr>
      <w:r>
        <w:rPr>
          <w:b/>
          <w:i w:val="0"/>
        </w:rPr>
        <w:t>miscetur.</w:t>
      </w:r>
      <w:r>
        <w:rPr>
          <w:b w:val="0"/>
          <w:i w:val="0"/>
        </w:rPr>
        <w:t xml:space="preserve"> </w:t>
      </w:r>
      <w:hyperlink w:anchor="latin-record-0195">
        <w:r>
          <w:rPr>
            <w:color w:val="000000"/>
          </w:rPr>
          <w:t xml:space="preserve">commiscere / mixtio</w:t>
        </w:r>
      </w:hyperlink>
      <w:r>
        <w:rPr>
          <w:b w:val="0"/>
          <w:i w:val="0"/>
        </w:rPr>
        <w:t>.</w:t>
      </w:r>
    </w:p>
    <w:p>
      <w:pPr>
        <w:widowControl/>
      </w:pPr>
      <w:r>
        <w:rPr>
          <w:b/>
          <w:i w:val="0"/>
        </w:rPr>
        <w:t>mitigat.</w:t>
      </w:r>
      <w:r>
        <w:rPr>
          <w:b w:val="0"/>
          <w:i w:val="0"/>
        </w:rPr>
        <w:t xml:space="preserve"> </w:t>
      </w:r>
      <w:hyperlink w:anchor="latin-record-1114">
        <w:r>
          <w:rPr>
            <w:color w:val="000000"/>
          </w:rPr>
          <w:t xml:space="preserve">sistere / mitigare / repellere</w:t>
        </w:r>
      </w:hyperlink>
      <w:r>
        <w:rPr>
          <w:b w:val="0"/>
          <w:i w:val="0"/>
        </w:rPr>
        <w:t>.</w:t>
      </w:r>
    </w:p>
    <w:p>
      <w:pPr>
        <w:widowControl/>
      </w:pPr>
      <w:r>
        <w:rPr>
          <w:b/>
          <w:i w:val="0"/>
        </w:rPr>
        <w:t>Mitris.</w:t>
      </w:r>
      <w:r>
        <w:rPr>
          <w:b w:val="0"/>
          <w:i w:val="0"/>
        </w:rPr>
        <w:t xml:space="preserve"> </w:t>
      </w:r>
      <w:hyperlink w:anchor="latin-record-0812">
        <w:r>
          <w:rPr>
            <w:color w:val="000000"/>
          </w:rPr>
          <w:t xml:space="preserve">Oromasis / Mitris / Arimanis</w:t>
        </w:r>
      </w:hyperlink>
      <w:r>
        <w:rPr>
          <w:b w:val="0"/>
          <w:i w:val="0"/>
        </w:rPr>
        <w:t>.</w:t>
      </w:r>
    </w:p>
    <w:p>
      <w:pPr>
        <w:widowControl/>
      </w:pPr>
      <w:r>
        <w:rPr>
          <w:b/>
          <w:i w:val="0"/>
        </w:rPr>
        <w:t>Mitto.</w:t>
      </w:r>
      <w:r>
        <w:rPr>
          <w:b w:val="0"/>
          <w:i w:val="0"/>
        </w:rPr>
        <w:t xml:space="preserve"> </w:t>
      </w:r>
      <w:hyperlink w:anchor="latin-record-0021">
        <w:r>
          <w:rPr>
            <w:color w:val="000000"/>
          </w:rPr>
          <w:t xml:space="preserve">addere / mittere / omittere</w:t>
        </w:r>
      </w:hyperlink>
      <w:r>
        <w:rPr>
          <w:b w:val="0"/>
          <w:i w:val="0"/>
        </w:rPr>
        <w:t xml:space="preserve">; </w:t>
      </w:r>
      <w:hyperlink w:anchor="latin-record-0048">
        <w:r>
          <w:rPr>
            <w:color w:val="000000"/>
          </w:rPr>
          <w:t xml:space="preserve">alias / mitto</w:t>
        </w:r>
      </w:hyperlink>
      <w:r>
        <w:rPr>
          <w:b w:val="0"/>
          <w:i w:val="0"/>
        </w:rPr>
        <w:t>.</w:t>
      </w:r>
    </w:p>
    <w:p>
      <w:pPr>
        <w:widowControl/>
      </w:pPr>
      <w:r>
        <w:rPr>
          <w:b/>
          <w:i w:val="0"/>
        </w:rPr>
        <w:t>mixta.</w:t>
      </w:r>
      <w:r>
        <w:rPr>
          <w:b w:val="0"/>
          <w:i w:val="0"/>
        </w:rPr>
        <w:t xml:space="preserve"> </w:t>
      </w:r>
      <w:hyperlink w:anchor="latin-record-0195">
        <w:r>
          <w:rPr>
            <w:color w:val="000000"/>
          </w:rPr>
          <w:t xml:space="preserve">commiscere / mixtio</w:t>
        </w:r>
      </w:hyperlink>
      <w:r>
        <w:rPr>
          <w:b w:val="0"/>
          <w:i w:val="0"/>
        </w:rPr>
        <w:t>.</w:t>
      </w:r>
    </w:p>
    <w:p>
      <w:pPr>
        <w:widowControl/>
      </w:pPr>
      <w:r>
        <w:rPr>
          <w:b/>
          <w:i w:val="0"/>
        </w:rPr>
        <w:t>mixtionem.</w:t>
      </w:r>
      <w:r>
        <w:rPr>
          <w:b w:val="0"/>
          <w:i w:val="0"/>
        </w:rPr>
        <w:t xml:space="preserve"> </w:t>
      </w:r>
      <w:hyperlink w:anchor="latin-record-0195">
        <w:r>
          <w:rPr>
            <w:color w:val="000000"/>
          </w:rPr>
          <w:t xml:space="preserve">commiscere / mixtio</w:t>
        </w:r>
      </w:hyperlink>
      <w:r>
        <w:rPr>
          <w:b w:val="0"/>
          <w:i w:val="0"/>
        </w:rPr>
        <w:t>.</w:t>
      </w:r>
    </w:p>
    <w:p>
      <w:pPr>
        <w:widowControl/>
      </w:pPr>
      <w:r>
        <w:rPr>
          <w:b/>
          <w:i w:val="0"/>
        </w:rPr>
        <w:t>mobilibus.</w:t>
      </w:r>
      <w:r>
        <w:rPr>
          <w:b w:val="0"/>
          <w:i w:val="0"/>
        </w:rPr>
        <w:t xml:space="preserve"> </w:t>
      </w:r>
      <w:hyperlink w:anchor="latin-record-0720">
        <w:r>
          <w:rPr>
            <w:color w:val="000000"/>
          </w:rPr>
          <w:t xml:space="preserve">motus / motio / motor / mutare</w:t>
        </w:r>
      </w:hyperlink>
      <w:r>
        <w:rPr>
          <w:b w:val="0"/>
          <w:i w:val="0"/>
        </w:rPr>
        <w:t>.</w:t>
      </w:r>
    </w:p>
    <w:p>
      <w:pPr>
        <w:widowControl/>
      </w:pPr>
      <w:r>
        <w:rPr>
          <w:b/>
          <w:i w:val="0"/>
        </w:rPr>
        <w:t>mobilis multitudo.</w:t>
      </w:r>
      <w:r>
        <w:rPr>
          <w:b w:val="0"/>
          <w:i w:val="0"/>
        </w:rPr>
        <w:t xml:space="preserve"> </w:t>
      </w:r>
      <w:hyperlink w:anchor="latin-record-0705">
        <w:r>
          <w:rPr>
            <w:color w:val="000000"/>
          </w:rPr>
          <w:t xml:space="preserve">mobilis multitudo / immobilis multitudo</w:t>
        </w:r>
      </w:hyperlink>
      <w:r>
        <w:rPr>
          <w:b w:val="0"/>
          <w:i w:val="0"/>
        </w:rPr>
        <w:t>.</w:t>
      </w:r>
    </w:p>
    <w:p>
      <w:pPr>
        <w:widowControl/>
      </w:pPr>
      <w:r>
        <w:rPr>
          <w:b/>
          <w:i w:val="0"/>
        </w:rPr>
        <w:t>modique.</w:t>
      </w:r>
      <w:r>
        <w:rPr>
          <w:b w:val="0"/>
          <w:i w:val="0"/>
        </w:rPr>
        <w:t xml:space="preserve"> </w:t>
      </w:r>
      <w:hyperlink w:anchor="latin-record-0706">
        <w:r>
          <w:rPr>
            <w:color w:val="000000"/>
          </w:rPr>
          <w:t xml:space="preserve">modus</w:t>
        </w:r>
      </w:hyperlink>
      <w:r>
        <w:rPr>
          <w:b w:val="0"/>
          <w:i w:val="0"/>
        </w:rPr>
        <w:t>.</w:t>
      </w:r>
    </w:p>
    <w:p>
      <w:pPr>
        <w:widowControl/>
      </w:pPr>
      <w:r>
        <w:rPr>
          <w:b/>
          <w:i w:val="0"/>
        </w:rPr>
        <w:t>modis.</w:t>
      </w:r>
      <w:r>
        <w:rPr>
          <w:b w:val="0"/>
          <w:i w:val="0"/>
        </w:rPr>
        <w:t xml:space="preserve"> </w:t>
      </w:r>
      <w:hyperlink w:anchor="latin-record-0708">
        <w:r>
          <w:rPr>
            <w:color w:val="000000"/>
          </w:rPr>
          <w:t xml:space="preserve">modus unitatis</w:t>
        </w:r>
      </w:hyperlink>
      <w:r>
        <w:rPr>
          <w:b w:val="0"/>
          <w:i w:val="0"/>
        </w:rPr>
        <w:t>.</w:t>
      </w:r>
    </w:p>
    <w:p>
      <w:pPr>
        <w:widowControl/>
      </w:pPr>
      <w:r>
        <w:rPr>
          <w:b/>
          <w:i w:val="0"/>
        </w:rPr>
        <w:t>modo.</w:t>
      </w:r>
      <w:r>
        <w:rPr>
          <w:b w:val="0"/>
          <w:i w:val="0"/>
        </w:rPr>
        <w:t xml:space="preserve"> </w:t>
      </w:r>
      <w:hyperlink w:anchor="latin-record-0707">
        <w:r>
          <w:rPr>
            <w:color w:val="000000"/>
          </w:rPr>
          <w:t xml:space="preserve">modus / modo</w:t>
        </w:r>
      </w:hyperlink>
      <w:r>
        <w:rPr>
          <w:b w:val="0"/>
          <w:i w:val="0"/>
        </w:rPr>
        <w:t>.</w:t>
      </w:r>
    </w:p>
    <w:p>
      <w:pPr>
        <w:widowControl/>
      </w:pPr>
      <w:r>
        <w:rPr>
          <w:b/>
          <w:i w:val="0"/>
        </w:rPr>
        <w:t>modulis.</w:t>
      </w:r>
      <w:r>
        <w:rPr>
          <w:b w:val="0"/>
          <w:i w:val="0"/>
        </w:rPr>
        <w:t xml:space="preserve"> </w:t>
      </w:r>
      <w:hyperlink w:anchor="latin-record-0165">
        <w:r>
          <w:rPr>
            <w:color w:val="000000"/>
          </w:rPr>
          <w:t xml:space="preserve">chorea / modulus / cithara</w:t>
        </w:r>
      </w:hyperlink>
      <w:r>
        <w:rPr>
          <w:b w:val="0"/>
          <w:i w:val="0"/>
        </w:rPr>
        <w:t>.</w:t>
      </w:r>
    </w:p>
    <w:p>
      <w:pPr>
        <w:widowControl/>
      </w:pPr>
      <w:r>
        <w:rPr>
          <w:b/>
          <w:i w:val="0"/>
        </w:rPr>
        <w:t>modum.</w:t>
      </w:r>
      <w:r>
        <w:rPr>
          <w:b w:val="0"/>
          <w:i w:val="0"/>
        </w:rPr>
        <w:t xml:space="preserve"> </w:t>
      </w:r>
      <w:hyperlink w:anchor="latin-record-0706">
        <w:r>
          <w:rPr>
            <w:color w:val="000000"/>
          </w:rPr>
          <w:t xml:space="preserve">modus</w:t>
        </w:r>
      </w:hyperlink>
      <w:r>
        <w:rPr>
          <w:b w:val="0"/>
          <w:i w:val="0"/>
        </w:rPr>
        <w:t>.</w:t>
      </w:r>
    </w:p>
    <w:p>
      <w:pPr>
        <w:widowControl/>
      </w:pPr>
      <w:r>
        <w:rPr>
          <w:b/>
          <w:i w:val="0"/>
        </w:rPr>
        <w:t>modum unitatis.</w:t>
      </w:r>
      <w:r>
        <w:rPr>
          <w:b w:val="0"/>
          <w:i w:val="0"/>
        </w:rPr>
        <w:t xml:space="preserve"> </w:t>
      </w:r>
      <w:hyperlink w:anchor="latin-record-0708">
        <w:r>
          <w:rPr>
            <w:color w:val="000000"/>
          </w:rPr>
          <w:t xml:space="preserve">modus unitatis</w:t>
        </w:r>
      </w:hyperlink>
      <w:r>
        <w:rPr>
          <w:b w:val="0"/>
          <w:i w:val="0"/>
        </w:rPr>
        <w:t>.</w:t>
      </w:r>
    </w:p>
    <w:p>
      <w:pPr>
        <w:widowControl/>
      </w:pPr>
      <w:r>
        <w:rPr>
          <w:b/>
          <w:i w:val="0"/>
        </w:rPr>
        <w:t>modus.</w:t>
      </w:r>
      <w:r>
        <w:rPr>
          <w:b w:val="0"/>
          <w:i w:val="0"/>
        </w:rPr>
        <w:t xml:space="preserve"> </w:t>
      </w:r>
      <w:hyperlink w:anchor="latin-record-0706">
        <w:r>
          <w:rPr>
            <w:color w:val="000000"/>
          </w:rPr>
          <w:t xml:space="preserve">modus</w:t>
        </w:r>
      </w:hyperlink>
      <w:r>
        <w:rPr>
          <w:b w:val="0"/>
          <w:i w:val="0"/>
        </w:rPr>
        <w:t xml:space="preserve">; </w:t>
      </w:r>
      <w:hyperlink w:anchor="latin-record-0707">
        <w:r>
          <w:rPr>
            <w:color w:val="000000"/>
          </w:rPr>
          <w:t xml:space="preserve">modus / modo</w:t>
        </w:r>
      </w:hyperlink>
      <w:r>
        <w:rPr>
          <w:b w:val="0"/>
          <w:i w:val="0"/>
        </w:rPr>
        <w:t>.</w:t>
      </w:r>
    </w:p>
    <w:p>
      <w:pPr>
        <w:widowControl/>
      </w:pPr>
      <w:r>
        <w:rPr>
          <w:b/>
          <w:i w:val="0"/>
        </w:rPr>
        <w:t>molem.</w:t>
      </w:r>
      <w:r>
        <w:rPr>
          <w:b w:val="0"/>
          <w:i w:val="0"/>
        </w:rPr>
        <w:t xml:space="preserve"> </w:t>
      </w:r>
      <w:hyperlink w:anchor="latin-record-0709">
        <w:r>
          <w:rPr>
            <w:color w:val="000000"/>
          </w:rPr>
          <w:t xml:space="preserve">moles / piger</w:t>
        </w:r>
      </w:hyperlink>
      <w:r>
        <w:rPr>
          <w:b w:val="0"/>
          <w:i w:val="0"/>
        </w:rPr>
        <w:t>.</w:t>
      </w:r>
    </w:p>
    <w:p>
      <w:pPr>
        <w:widowControl/>
      </w:pPr>
      <w:r>
        <w:rPr>
          <w:b/>
          <w:i w:val="0"/>
        </w:rPr>
        <w:t>moles.</w:t>
      </w:r>
      <w:r>
        <w:rPr>
          <w:b w:val="0"/>
          <w:i w:val="0"/>
        </w:rPr>
        <w:t xml:space="preserve"> </w:t>
      </w:r>
      <w:hyperlink w:anchor="latin-record-0709">
        <w:r>
          <w:rPr>
            <w:color w:val="000000"/>
          </w:rPr>
          <w:t xml:space="preserve">moles / piger</w:t>
        </w:r>
      </w:hyperlink>
      <w:r>
        <w:rPr>
          <w:b w:val="0"/>
          <w:i w:val="0"/>
        </w:rPr>
        <w:t>.</w:t>
      </w:r>
    </w:p>
    <w:p>
      <w:pPr>
        <w:widowControl/>
      </w:pPr>
      <w:r>
        <w:rPr>
          <w:b/>
          <w:i w:val="0"/>
        </w:rPr>
        <w:t>moliti.</w:t>
      </w:r>
      <w:r>
        <w:rPr>
          <w:b w:val="0"/>
          <w:i w:val="0"/>
        </w:rPr>
        <w:t xml:space="preserve"> </w:t>
      </w:r>
      <w:hyperlink w:anchor="latin-record-0710">
        <w:r>
          <w:rPr>
            <w:color w:val="000000"/>
          </w:rPr>
          <w:t xml:space="preserve">molior / perficio</w:t>
        </w:r>
      </w:hyperlink>
      <w:r>
        <w:rPr>
          <w:b w:val="0"/>
          <w:i w:val="0"/>
        </w:rPr>
        <w:t>.</w:t>
      </w:r>
    </w:p>
    <w:p>
      <w:pPr>
        <w:widowControl/>
      </w:pPr>
      <w:r>
        <w:rPr>
          <w:b/>
          <w:i w:val="0"/>
        </w:rPr>
        <w:t>momenta.</w:t>
      </w:r>
      <w:r>
        <w:rPr>
          <w:b w:val="0"/>
          <w:i w:val="0"/>
        </w:rPr>
        <w:t xml:space="preserve"> </w:t>
      </w:r>
      <w:hyperlink w:anchor="latin-record-0357">
        <w:r>
          <w:rPr>
            <w:color w:val="000000"/>
          </w:rPr>
          <w:t xml:space="preserve">eclipsis / nox / momentum</w:t>
        </w:r>
      </w:hyperlink>
      <w:r>
        <w:rPr>
          <w:b w:val="0"/>
          <w:i w:val="0"/>
        </w:rPr>
        <w:t>.</w:t>
      </w:r>
    </w:p>
    <w:p>
      <w:pPr>
        <w:widowControl/>
      </w:pPr>
      <w:r>
        <w:rPr>
          <w:b/>
          <w:i w:val="0"/>
        </w:rPr>
        <w:t>momento.</w:t>
      </w:r>
      <w:r>
        <w:rPr>
          <w:b w:val="0"/>
          <w:i w:val="0"/>
        </w:rPr>
        <w:t xml:space="preserve"> </w:t>
      </w:r>
      <w:hyperlink w:anchor="latin-record-0357">
        <w:r>
          <w:rPr>
            <w:color w:val="000000"/>
          </w:rPr>
          <w:t xml:space="preserve">eclipsis / nox / momentum</w:t>
        </w:r>
      </w:hyperlink>
      <w:r>
        <w:rPr>
          <w:b w:val="0"/>
          <w:i w:val="0"/>
        </w:rPr>
        <w:t xml:space="preserve">; </w:t>
      </w:r>
      <w:hyperlink w:anchor="latin-record-0387">
        <w:r>
          <w:rPr>
            <w:color w:val="000000"/>
          </w:rPr>
          <w:t xml:space="preserve">essentia puncto momento</w:t>
        </w:r>
      </w:hyperlink>
      <w:r>
        <w:rPr>
          <w:b w:val="0"/>
          <w:i w:val="0"/>
        </w:rPr>
        <w:t xml:space="preserve">; </w:t>
      </w:r>
      <w:hyperlink w:anchor="latin-record-0711">
        <w:r>
          <w:rPr>
            <w:color w:val="000000"/>
          </w:rPr>
          <w:t xml:space="preserve">momentum</w:t>
        </w:r>
      </w:hyperlink>
      <w:r>
        <w:rPr>
          <w:b w:val="0"/>
          <w:i w:val="0"/>
        </w:rPr>
        <w:t>.</w:t>
      </w:r>
    </w:p>
    <w:p>
      <w:pPr>
        <w:widowControl/>
      </w:pPr>
      <w:r>
        <w:rPr>
          <w:b/>
          <w:i w:val="0"/>
        </w:rPr>
        <w:t>momentum.</w:t>
      </w:r>
      <w:r>
        <w:rPr>
          <w:b w:val="0"/>
          <w:i w:val="0"/>
        </w:rPr>
        <w:t xml:space="preserve"> </w:t>
      </w:r>
      <w:hyperlink w:anchor="latin-record-0357">
        <w:r>
          <w:rPr>
            <w:color w:val="000000"/>
          </w:rPr>
          <w:t xml:space="preserve">eclipsis / nox / momentum</w:t>
        </w:r>
      </w:hyperlink>
      <w:r>
        <w:rPr>
          <w:b w:val="0"/>
          <w:i w:val="0"/>
        </w:rPr>
        <w:t xml:space="preserve">; </w:t>
      </w:r>
      <w:hyperlink w:anchor="latin-record-0712">
        <w:r>
          <w:rPr>
            <w:color w:val="000000"/>
          </w:rPr>
          <w:t xml:space="preserve">momentum / signum</w:t>
        </w:r>
      </w:hyperlink>
      <w:r>
        <w:rPr>
          <w:b w:val="0"/>
          <w:i w:val="0"/>
        </w:rPr>
        <w:t>.</w:t>
      </w:r>
    </w:p>
    <w:p>
      <w:pPr>
        <w:widowControl/>
      </w:pPr>
      <w:r>
        <w:rPr>
          <w:b/>
          <w:i w:val="0"/>
        </w:rPr>
        <w:t>monstravimus.</w:t>
      </w:r>
      <w:r>
        <w:rPr>
          <w:b w:val="0"/>
          <w:i w:val="0"/>
        </w:rPr>
        <w:t xml:space="preserve"> </w:t>
      </w:r>
      <w:hyperlink w:anchor="latin-record-0815">
        <w:r>
          <w:rPr>
            <w:color w:val="000000"/>
          </w:rPr>
          <w:t xml:space="preserve">ostendere / monstrare / probare</w:t>
        </w:r>
      </w:hyperlink>
      <w:r>
        <w:rPr>
          <w:b w:val="0"/>
          <w:i w:val="0"/>
        </w:rPr>
        <w:t>.</w:t>
      </w:r>
    </w:p>
    <w:p>
      <w:pPr>
        <w:widowControl/>
      </w:pPr>
      <w:r>
        <w:rPr>
          <w:b/>
          <w:i w:val="0"/>
        </w:rPr>
        <w:t>mora.</w:t>
      </w:r>
      <w:r>
        <w:rPr>
          <w:b w:val="0"/>
          <w:i w:val="0"/>
        </w:rPr>
        <w:t xml:space="preserve"> </w:t>
      </w:r>
      <w:hyperlink w:anchor="latin-record-0713">
        <w:r>
          <w:rPr>
            <w:color w:val="000000"/>
          </w:rPr>
          <w:t xml:space="preserve">mora / transgressio / retractatio</w:t>
        </w:r>
      </w:hyperlink>
      <w:r>
        <w:rPr>
          <w:b w:val="0"/>
          <w:i w:val="0"/>
        </w:rPr>
        <w:t>.</w:t>
      </w:r>
    </w:p>
    <w:p>
      <w:pPr>
        <w:widowControl/>
      </w:pPr>
      <w:r>
        <w:rPr>
          <w:b/>
          <w:i w:val="0"/>
        </w:rPr>
        <w:t>morale.</w:t>
      </w:r>
      <w:r>
        <w:rPr>
          <w:b w:val="0"/>
          <w:i w:val="0"/>
        </w:rPr>
        <w:t xml:space="preserve"> </w:t>
      </w:r>
      <w:hyperlink w:anchor="latin-record-0716">
        <w:r>
          <w:rPr>
            <w:color w:val="000000"/>
          </w:rPr>
          <w:t xml:space="preserve">mores / morale</w:t>
        </w:r>
      </w:hyperlink>
      <w:r>
        <w:rPr>
          <w:b w:val="0"/>
          <w:i w:val="0"/>
        </w:rPr>
        <w:t>.</w:t>
      </w:r>
    </w:p>
    <w:p>
      <w:pPr>
        <w:widowControl/>
      </w:pPr>
      <w:r>
        <w:rPr>
          <w:b/>
          <w:i w:val="0"/>
        </w:rPr>
        <w:t>more Platonico.</w:t>
      </w:r>
      <w:r>
        <w:rPr>
          <w:b w:val="0"/>
          <w:i w:val="0"/>
        </w:rPr>
        <w:t xml:space="preserve"> </w:t>
      </w:r>
      <w:hyperlink w:anchor="latin-record-0714">
        <w:r>
          <w:rPr>
            <w:color w:val="000000"/>
          </w:rPr>
          <w:t xml:space="preserve">more Platonico</w:t>
        </w:r>
      </w:hyperlink>
      <w:r>
        <w:rPr>
          <w:b w:val="0"/>
          <w:i w:val="0"/>
        </w:rPr>
        <w:t>.</w:t>
      </w:r>
    </w:p>
    <w:p>
      <w:pPr>
        <w:widowControl/>
      </w:pPr>
      <w:r>
        <w:rPr>
          <w:b/>
          <w:i w:val="0"/>
        </w:rPr>
        <w:t>mores.</w:t>
      </w:r>
      <w:r>
        <w:rPr>
          <w:b w:val="0"/>
          <w:i w:val="0"/>
        </w:rPr>
        <w:t xml:space="preserve"> </w:t>
      </w:r>
      <w:hyperlink w:anchor="latin-record-0716">
        <w:r>
          <w:rPr>
            <w:color w:val="000000"/>
          </w:rPr>
          <w:t xml:space="preserve">mores / morale</w:t>
        </w:r>
      </w:hyperlink>
      <w:r>
        <w:rPr>
          <w:b w:val="0"/>
          <w:i w:val="0"/>
        </w:rPr>
        <w:t>.</w:t>
      </w:r>
    </w:p>
    <w:p>
      <w:pPr>
        <w:widowControl/>
      </w:pPr>
      <w:r>
        <w:rPr>
          <w:b/>
          <w:i w:val="0"/>
        </w:rPr>
        <w:t>moribus.</w:t>
      </w:r>
      <w:r>
        <w:rPr>
          <w:b w:val="0"/>
          <w:i w:val="0"/>
        </w:rPr>
        <w:t xml:space="preserve"> </w:t>
      </w:r>
      <w:hyperlink w:anchor="latin-record-0715">
        <w:r>
          <w:rPr>
            <w:color w:val="000000"/>
          </w:rPr>
          <w:t xml:space="preserve">mores</w:t>
        </w:r>
      </w:hyperlink>
      <w:r>
        <w:rPr>
          <w:b w:val="0"/>
          <w:i w:val="0"/>
        </w:rPr>
        <w:t>.</w:t>
      </w:r>
    </w:p>
    <w:p>
      <w:pPr>
        <w:widowControl/>
      </w:pPr>
      <w:r>
        <w:rPr>
          <w:b/>
          <w:i w:val="0"/>
        </w:rPr>
        <w:t>mors.</w:t>
      </w:r>
      <w:r>
        <w:rPr>
          <w:b w:val="0"/>
          <w:i w:val="0"/>
        </w:rPr>
        <w:t xml:space="preserve"> </w:t>
      </w:r>
      <w:hyperlink w:anchor="latin-record-0717">
        <w:r>
          <w:rPr>
            <w:color w:val="000000"/>
          </w:rPr>
          <w:t xml:space="preserve">mors / resolutio</w:t>
        </w:r>
      </w:hyperlink>
      <w:r>
        <w:rPr>
          <w:b w:val="0"/>
          <w:i w:val="0"/>
        </w:rPr>
        <w:t>.</w:t>
      </w:r>
    </w:p>
    <w:p>
      <w:pPr>
        <w:widowControl/>
      </w:pPr>
      <w:r>
        <w:rPr>
          <w:b/>
          <w:i w:val="0"/>
        </w:rPr>
        <w:t>mortalia.</w:t>
      </w:r>
      <w:r>
        <w:rPr>
          <w:b w:val="0"/>
          <w:i w:val="0"/>
        </w:rPr>
        <w:t xml:space="preserve"> </w:t>
      </w:r>
      <w:hyperlink w:anchor="latin-record-0718">
        <w:r>
          <w:rPr>
            <w:color w:val="000000"/>
          </w:rPr>
          <w:t xml:space="preserve">mortalis / immortalis</w:t>
        </w:r>
      </w:hyperlink>
      <w:r>
        <w:rPr>
          <w:b w:val="0"/>
          <w:i w:val="0"/>
        </w:rPr>
        <w:t>.</w:t>
      </w:r>
    </w:p>
    <w:p>
      <w:pPr>
        <w:widowControl/>
      </w:pPr>
      <w:r>
        <w:rPr>
          <w:b/>
          <w:i w:val="0"/>
        </w:rPr>
        <w:t>Motio.</w:t>
      </w:r>
      <w:r>
        <w:rPr>
          <w:b w:val="0"/>
          <w:i w:val="0"/>
        </w:rPr>
        <w:t xml:space="preserve"> </w:t>
      </w:r>
      <w:hyperlink w:anchor="latin-record-0721">
        <w:r>
          <w:rPr>
            <w:color w:val="000000"/>
          </w:rPr>
          <w:t xml:space="preserve">motus / motio / operatio</w:t>
        </w:r>
      </w:hyperlink>
      <w:r>
        <w:rPr>
          <w:b w:val="0"/>
          <w:i w:val="0"/>
        </w:rPr>
        <w:t>.</w:t>
      </w:r>
    </w:p>
    <w:p>
      <w:pPr>
        <w:widowControl/>
      </w:pPr>
      <w:r>
        <w:rPr>
          <w:b/>
          <w:i w:val="0"/>
        </w:rPr>
        <w:t>moto.</w:t>
      </w:r>
      <w:r>
        <w:rPr>
          <w:b w:val="0"/>
          <w:i w:val="0"/>
        </w:rPr>
        <w:t xml:space="preserve"> </w:t>
      </w:r>
      <w:hyperlink w:anchor="latin-record-0719">
        <w:r>
          <w:rPr>
            <w:color w:val="000000"/>
          </w:rPr>
          <w:t xml:space="preserve">motor / motum</w:t>
        </w:r>
      </w:hyperlink>
      <w:r>
        <w:rPr>
          <w:b w:val="0"/>
          <w:i w:val="0"/>
        </w:rPr>
        <w:t>.</w:t>
      </w:r>
    </w:p>
    <w:p>
      <w:pPr>
        <w:widowControl/>
      </w:pPr>
      <w:r>
        <w:rPr>
          <w:b/>
          <w:i w:val="0"/>
        </w:rPr>
        <w:t>motor.</w:t>
      </w:r>
      <w:r>
        <w:rPr>
          <w:b w:val="0"/>
          <w:i w:val="0"/>
        </w:rPr>
        <w:t xml:space="preserve"> </w:t>
      </w:r>
      <w:hyperlink w:anchor="latin-record-0719">
        <w:r>
          <w:rPr>
            <w:color w:val="000000"/>
          </w:rPr>
          <w:t xml:space="preserve">motor / motum</w:t>
        </w:r>
      </w:hyperlink>
      <w:r>
        <w:rPr>
          <w:b w:val="0"/>
          <w:i w:val="0"/>
        </w:rPr>
        <w:t>.</w:t>
      </w:r>
    </w:p>
    <w:p>
      <w:pPr>
        <w:widowControl/>
      </w:pPr>
      <w:r>
        <w:rPr>
          <w:b/>
          <w:i w:val="0"/>
        </w:rPr>
        <w:t>Motor.</w:t>
      </w:r>
      <w:r>
        <w:rPr>
          <w:b w:val="0"/>
          <w:i w:val="0"/>
        </w:rPr>
        <w:t xml:space="preserve"> </w:t>
      </w:r>
      <w:hyperlink w:anchor="latin-record-0719">
        <w:r>
          <w:rPr>
            <w:color w:val="000000"/>
          </w:rPr>
          <w:t xml:space="preserve">motor / motum</w:t>
        </w:r>
      </w:hyperlink>
      <w:r>
        <w:rPr>
          <w:b w:val="0"/>
          <w:i w:val="0"/>
        </w:rPr>
        <w:t>.</w:t>
      </w:r>
    </w:p>
    <w:p>
      <w:pPr>
        <w:widowControl/>
      </w:pPr>
      <w:r>
        <w:rPr>
          <w:b/>
          <w:i w:val="0"/>
        </w:rPr>
        <w:t>motorem.</w:t>
      </w:r>
      <w:r>
        <w:rPr>
          <w:b w:val="0"/>
          <w:i w:val="0"/>
        </w:rPr>
        <w:t xml:space="preserve"> </w:t>
      </w:r>
      <w:hyperlink w:anchor="latin-record-0719">
        <w:r>
          <w:rPr>
            <w:color w:val="000000"/>
          </w:rPr>
          <w:t xml:space="preserve">motor / motum</w:t>
        </w:r>
      </w:hyperlink>
      <w:r>
        <w:rPr>
          <w:b w:val="0"/>
          <w:i w:val="0"/>
        </w:rPr>
        <w:t>.</w:t>
      </w:r>
    </w:p>
    <w:p>
      <w:pPr>
        <w:widowControl/>
      </w:pPr>
      <w:r>
        <w:rPr>
          <w:b/>
          <w:i w:val="0"/>
        </w:rPr>
        <w:t>motoris.</w:t>
      </w:r>
      <w:r>
        <w:rPr>
          <w:b w:val="0"/>
          <w:i w:val="0"/>
        </w:rPr>
        <w:t xml:space="preserve"> </w:t>
      </w:r>
      <w:hyperlink w:anchor="latin-record-0720">
        <w:r>
          <w:rPr>
            <w:color w:val="000000"/>
          </w:rPr>
          <w:t xml:space="preserve">motus / motio / motor / mutare</w:t>
        </w:r>
      </w:hyperlink>
      <w:r>
        <w:rPr>
          <w:b w:val="0"/>
          <w:i w:val="0"/>
        </w:rPr>
        <w:t>.</w:t>
      </w:r>
    </w:p>
    <w:p>
      <w:pPr>
        <w:widowControl/>
      </w:pPr>
      <w:r>
        <w:rPr>
          <w:b/>
          <w:i w:val="0"/>
        </w:rPr>
        <w:t>motum appellant aeternum.</w:t>
      </w:r>
      <w:r>
        <w:rPr>
          <w:b w:val="0"/>
          <w:i w:val="0"/>
        </w:rPr>
        <w:t xml:space="preserve"> </w:t>
      </w:r>
      <w:hyperlink w:anchor="latin-record-0722">
        <w:r>
          <w:rPr>
            <w:color w:val="000000"/>
          </w:rPr>
          <w:t xml:space="preserve">motus aeternus</w:t>
        </w:r>
      </w:hyperlink>
      <w:r>
        <w:rPr>
          <w:b w:val="0"/>
          <w:i w:val="0"/>
        </w:rPr>
        <w:t>.</w:t>
      </w:r>
    </w:p>
    <w:p>
      <w:pPr>
        <w:widowControl/>
      </w:pPr>
      <w:r>
        <w:rPr>
          <w:b/>
          <w:i w:val="0"/>
        </w:rPr>
        <w:t>Motus.</w:t>
      </w:r>
      <w:r>
        <w:rPr>
          <w:b w:val="0"/>
          <w:i w:val="0"/>
        </w:rPr>
        <w:t xml:space="preserve"> </w:t>
      </w:r>
      <w:hyperlink w:anchor="latin-record-0720">
        <w:r>
          <w:rPr>
            <w:color w:val="000000"/>
          </w:rPr>
          <w:t xml:space="preserve">motus / motio / motor / mutare</w:t>
        </w:r>
      </w:hyperlink>
      <w:r>
        <w:rPr>
          <w:b w:val="0"/>
          <w:i w:val="0"/>
        </w:rPr>
        <w:t xml:space="preserve">; </w:t>
      </w:r>
      <w:hyperlink w:anchor="latin-record-0721">
        <w:r>
          <w:rPr>
            <w:color w:val="000000"/>
          </w:rPr>
          <w:t xml:space="preserve">motus / motio / operatio</w:t>
        </w:r>
      </w:hyperlink>
      <w:r>
        <w:rPr>
          <w:b w:val="0"/>
          <w:i w:val="0"/>
        </w:rPr>
        <w:t>.</w:t>
      </w:r>
    </w:p>
    <w:p>
      <w:pPr>
        <w:widowControl/>
      </w:pPr>
      <w:r>
        <w:rPr>
          <w:b/>
          <w:i w:val="0"/>
        </w:rPr>
        <w:t>motus.</w:t>
      </w:r>
      <w:r>
        <w:rPr>
          <w:b w:val="0"/>
          <w:i w:val="0"/>
        </w:rPr>
        <w:t xml:space="preserve"> </w:t>
      </w:r>
      <w:hyperlink w:anchor="latin-record-0720">
        <w:r>
          <w:rPr>
            <w:color w:val="000000"/>
          </w:rPr>
          <w:t xml:space="preserve">motus / motio / motor / mutare</w:t>
        </w:r>
      </w:hyperlink>
      <w:r>
        <w:rPr>
          <w:b w:val="0"/>
          <w:i w:val="0"/>
        </w:rPr>
        <w:t xml:space="preserve">; </w:t>
      </w:r>
      <w:hyperlink w:anchor="latin-record-0721">
        <w:r>
          <w:rPr>
            <w:color w:val="000000"/>
          </w:rPr>
          <w:t xml:space="preserve">motus / motio / operatio</w:t>
        </w:r>
      </w:hyperlink>
      <w:r>
        <w:rPr>
          <w:b w:val="0"/>
          <w:i w:val="0"/>
        </w:rPr>
        <w:t>.</w:t>
      </w:r>
    </w:p>
    <w:p>
      <w:pPr>
        <w:widowControl/>
      </w:pPr>
      <w:r>
        <w:rPr>
          <w:b/>
          <w:i w:val="0"/>
        </w:rPr>
        <w:t>moveat.</w:t>
      </w:r>
      <w:r>
        <w:rPr>
          <w:b w:val="0"/>
          <w:i w:val="0"/>
        </w:rPr>
        <w:t xml:space="preserve"> </w:t>
      </w:r>
      <w:hyperlink w:anchor="latin-record-0724">
        <w:r>
          <w:rPr>
            <w:color w:val="000000"/>
          </w:rPr>
          <w:t xml:space="preserve">movere / sistere / firmare</w:t>
        </w:r>
      </w:hyperlink>
      <w:r>
        <w:rPr>
          <w:b w:val="0"/>
          <w:i w:val="0"/>
        </w:rPr>
        <w:t>.</w:t>
      </w:r>
    </w:p>
    <w:p>
      <w:pPr>
        <w:widowControl/>
      </w:pPr>
      <w:r>
        <w:rPr>
          <w:b/>
          <w:i w:val="0"/>
        </w:rPr>
        <w:t>movere.</w:t>
      </w:r>
      <w:r>
        <w:rPr>
          <w:b w:val="0"/>
          <w:i w:val="0"/>
        </w:rPr>
        <w:t xml:space="preserve"> </w:t>
      </w:r>
      <w:hyperlink w:anchor="latin-record-0723">
        <w:r>
          <w:rPr>
            <w:color w:val="000000"/>
          </w:rPr>
          <w:t xml:space="preserve">movere / moveri</w:t>
        </w:r>
      </w:hyperlink>
      <w:r>
        <w:rPr>
          <w:b w:val="0"/>
          <w:i w:val="0"/>
        </w:rPr>
        <w:t>.</w:t>
      </w:r>
    </w:p>
    <w:p>
      <w:pPr>
        <w:widowControl/>
      </w:pPr>
      <w:r>
        <w:rPr>
          <w:b/>
          <w:i w:val="0"/>
        </w:rPr>
        <w:t>moveri.</w:t>
      </w:r>
      <w:r>
        <w:rPr>
          <w:b w:val="0"/>
          <w:i w:val="0"/>
        </w:rPr>
        <w:t xml:space="preserve"> </w:t>
      </w:r>
      <w:hyperlink w:anchor="latin-record-0723">
        <w:r>
          <w:rPr>
            <w:color w:val="000000"/>
          </w:rPr>
          <w:t xml:space="preserve">movere / moveri</w:t>
        </w:r>
      </w:hyperlink>
      <w:r>
        <w:rPr>
          <w:b w:val="0"/>
          <w:i w:val="0"/>
        </w:rPr>
        <w:t>.</w:t>
      </w:r>
    </w:p>
    <w:p>
      <w:pPr>
        <w:widowControl/>
      </w:pPr>
      <w:r>
        <w:rPr>
          <w:b/>
          <w:i w:val="0"/>
        </w:rPr>
        <w:t>movetur.</w:t>
      </w:r>
      <w:r>
        <w:rPr>
          <w:b w:val="0"/>
          <w:i w:val="0"/>
        </w:rPr>
        <w:t xml:space="preserve"> </w:t>
      </w:r>
      <w:hyperlink w:anchor="latin-record-0724">
        <w:r>
          <w:rPr>
            <w:color w:val="000000"/>
          </w:rPr>
          <w:t xml:space="preserve">movere / sistere / firmare</w:t>
        </w:r>
      </w:hyperlink>
      <w:r>
        <w:rPr>
          <w:b w:val="0"/>
          <w:i w:val="0"/>
        </w:rPr>
        <w:t>.</w:t>
      </w:r>
    </w:p>
    <w:p>
      <w:pPr>
        <w:widowControl/>
      </w:pPr>
      <w:r>
        <w:rPr>
          <w:b/>
          <w:i w:val="0"/>
        </w:rPr>
        <w:t>multa et unum.</w:t>
      </w:r>
      <w:r>
        <w:rPr>
          <w:b w:val="0"/>
          <w:i w:val="0"/>
        </w:rPr>
        <w:t xml:space="preserve"> </w:t>
      </w:r>
      <w:hyperlink w:anchor="latin-record-0725">
        <w:r>
          <w:rPr>
            <w:color w:val="000000"/>
          </w:rPr>
          <w:t xml:space="preserve">multa et unum / unum et multa / unum multa</w:t>
        </w:r>
      </w:hyperlink>
      <w:r>
        <w:rPr>
          <w:b w:val="0"/>
          <w:i w:val="0"/>
        </w:rPr>
        <w:t>.</w:t>
      </w:r>
    </w:p>
    <w:p>
      <w:pPr>
        <w:widowControl/>
      </w:pPr>
      <w:r>
        <w:rPr>
          <w:b/>
          <w:i w:val="0"/>
        </w:rPr>
        <w:t>multiplex.</w:t>
      </w:r>
      <w:r>
        <w:rPr>
          <w:b w:val="0"/>
          <w:i w:val="0"/>
        </w:rPr>
        <w:t xml:space="preserve"> </w:t>
      </w:r>
      <w:hyperlink w:anchor="latin-record-0726">
        <w:r>
          <w:rPr>
            <w:color w:val="000000"/>
          </w:rPr>
          <w:t xml:space="preserve">multiplex / compositus</w:t>
        </w:r>
      </w:hyperlink>
      <w:r>
        <w:rPr>
          <w:b w:val="0"/>
          <w:i w:val="0"/>
        </w:rPr>
        <w:t xml:space="preserve">; </w:t>
      </w:r>
      <w:hyperlink w:anchor="latin-record-0727">
        <w:r>
          <w:rPr>
            <w:color w:val="000000"/>
          </w:rPr>
          <w:t xml:space="preserve">multitudo / multiplex</w:t>
        </w:r>
      </w:hyperlink>
      <w:r>
        <w:rPr>
          <w:b w:val="0"/>
          <w:i w:val="0"/>
        </w:rPr>
        <w:t>.</w:t>
      </w:r>
    </w:p>
    <w:p>
      <w:pPr>
        <w:widowControl/>
      </w:pPr>
      <w:r>
        <w:rPr>
          <w:b/>
          <w:i w:val="0"/>
        </w:rPr>
        <w:t>Multiplicatio.</w:t>
      </w:r>
      <w:r>
        <w:rPr>
          <w:b w:val="0"/>
          <w:i w:val="0"/>
        </w:rPr>
        <w:t xml:space="preserve"> </w:t>
      </w:r>
      <w:hyperlink w:anchor="latin-record-0140">
        <w:r>
          <w:rPr>
            <w:color w:val="000000"/>
          </w:rPr>
          <w:t xml:space="preserve">capacitas materiae / continuum / multiplicatio</w:t>
        </w:r>
      </w:hyperlink>
      <w:r>
        <w:rPr>
          <w:b w:val="0"/>
          <w:i w:val="0"/>
        </w:rPr>
        <w:t>.</w:t>
      </w:r>
    </w:p>
    <w:p>
      <w:pPr>
        <w:widowControl/>
      </w:pPr>
      <w:r>
        <w:rPr>
          <w:b/>
          <w:i w:val="0"/>
        </w:rPr>
        <w:t>multiplicem.</w:t>
      </w:r>
      <w:r>
        <w:rPr>
          <w:b w:val="0"/>
          <w:i w:val="0"/>
        </w:rPr>
        <w:t xml:space="preserve"> </w:t>
      </w:r>
      <w:hyperlink w:anchor="latin-record-0727">
        <w:r>
          <w:rPr>
            <w:color w:val="000000"/>
          </w:rPr>
          <w:t xml:space="preserve">multitudo / multiplex</w:t>
        </w:r>
      </w:hyperlink>
      <w:r>
        <w:rPr>
          <w:b w:val="0"/>
          <w:i w:val="0"/>
        </w:rPr>
        <w:t>.</w:t>
      </w:r>
    </w:p>
    <w:p>
      <w:pPr>
        <w:widowControl/>
      </w:pPr>
      <w:r>
        <w:rPr>
          <w:b/>
          <w:i w:val="0"/>
        </w:rPr>
        <w:t>multitudine infinita.</w:t>
      </w:r>
      <w:r>
        <w:rPr>
          <w:b w:val="0"/>
          <w:i w:val="0"/>
        </w:rPr>
        <w:t xml:space="preserve"> </w:t>
      </w:r>
      <w:hyperlink w:anchor="latin-record-0728">
        <w:r>
          <w:rPr>
            <w:color w:val="000000"/>
          </w:rPr>
          <w:t xml:space="preserve">multitudo infinita</w:t>
        </w:r>
      </w:hyperlink>
      <w:r>
        <w:rPr>
          <w:b w:val="0"/>
          <w:i w:val="0"/>
        </w:rPr>
        <w:t>.</w:t>
      </w:r>
    </w:p>
    <w:p>
      <w:pPr>
        <w:widowControl/>
      </w:pPr>
      <w:r>
        <w:rPr>
          <w:b/>
          <w:i w:val="0"/>
        </w:rPr>
        <w:t>multitudinem.</w:t>
      </w:r>
      <w:r>
        <w:rPr>
          <w:b w:val="0"/>
          <w:i w:val="0"/>
        </w:rPr>
        <w:t xml:space="preserve"> </w:t>
      </w:r>
      <w:hyperlink w:anchor="latin-record-0727">
        <w:r>
          <w:rPr>
            <w:color w:val="000000"/>
          </w:rPr>
          <w:t xml:space="preserve">multitudo / multiplex</w:t>
        </w:r>
      </w:hyperlink>
      <w:r>
        <w:rPr>
          <w:b w:val="0"/>
          <w:i w:val="0"/>
        </w:rPr>
        <w:t>.</w:t>
      </w:r>
    </w:p>
    <w:p>
      <w:pPr>
        <w:widowControl/>
      </w:pPr>
      <w:r>
        <w:rPr>
          <w:b/>
          <w:i w:val="0"/>
        </w:rPr>
        <w:t>multitudo.</w:t>
      </w:r>
      <w:r>
        <w:rPr>
          <w:b w:val="0"/>
          <w:i w:val="0"/>
        </w:rPr>
        <w:t xml:space="preserve"> </w:t>
      </w:r>
      <w:hyperlink w:anchor="latin-record-0727">
        <w:r>
          <w:rPr>
            <w:color w:val="000000"/>
          </w:rPr>
          <w:t xml:space="preserve">multitudo / multiplex</w:t>
        </w:r>
      </w:hyperlink>
      <w:r>
        <w:rPr>
          <w:b w:val="0"/>
          <w:i w:val="0"/>
        </w:rPr>
        <w:t xml:space="preserve">; </w:t>
      </w:r>
      <w:hyperlink w:anchor="latin-record-1226">
        <w:r>
          <w:rPr>
            <w:color w:val="000000"/>
          </w:rPr>
          <w:t xml:space="preserve">unus / unitas / multitudo</w:t>
        </w:r>
      </w:hyperlink>
      <w:r>
        <w:rPr>
          <w:b w:val="0"/>
          <w:i w:val="0"/>
        </w:rPr>
        <w:t>.</w:t>
      </w:r>
    </w:p>
    <w:p>
      <w:pPr>
        <w:widowControl/>
      </w:pPr>
      <w:r>
        <w:rPr>
          <w:b/>
          <w:i w:val="0"/>
        </w:rPr>
        <w:t>mundanae.</w:t>
      </w:r>
      <w:r>
        <w:rPr>
          <w:b w:val="0"/>
          <w:i w:val="0"/>
        </w:rPr>
        <w:t xml:space="preserve"> </w:t>
      </w:r>
      <w:hyperlink w:anchor="latin-record-0730">
        <w:r>
          <w:rPr>
            <w:color w:val="000000"/>
          </w:rPr>
          <w:t xml:space="preserve">mundus / universum</w:t>
        </w:r>
      </w:hyperlink>
      <w:r>
        <w:rPr>
          <w:b w:val="0"/>
          <w:i w:val="0"/>
        </w:rPr>
        <w:t>.</w:t>
      </w:r>
    </w:p>
    <w:p>
      <w:pPr>
        <w:widowControl/>
      </w:pPr>
      <w:r>
        <w:rPr>
          <w:b/>
          <w:i w:val="0"/>
        </w:rPr>
        <w:t>mundi.</w:t>
      </w:r>
      <w:r>
        <w:rPr>
          <w:b w:val="0"/>
          <w:i w:val="0"/>
        </w:rPr>
        <w:t xml:space="preserve"> </w:t>
      </w:r>
      <w:hyperlink w:anchor="latin-record-0730">
        <w:r>
          <w:rPr>
            <w:color w:val="000000"/>
          </w:rPr>
          <w:t xml:space="preserve">mundus / universum</w:t>
        </w:r>
      </w:hyperlink>
      <w:r>
        <w:rPr>
          <w:b w:val="0"/>
          <w:i w:val="0"/>
        </w:rPr>
        <w:t>.</w:t>
      </w:r>
    </w:p>
    <w:p>
      <w:pPr>
        <w:widowControl/>
      </w:pPr>
      <w:r>
        <w:rPr>
          <w:b/>
          <w:i w:val="0"/>
        </w:rPr>
        <w:t>mundi restitutionem.</w:t>
      </w:r>
      <w:r>
        <w:rPr>
          <w:b w:val="0"/>
          <w:i w:val="0"/>
        </w:rPr>
        <w:t xml:space="preserve"> </w:t>
      </w:r>
      <w:hyperlink w:anchor="latin-record-1090">
        <w:r>
          <w:rPr>
            <w:color w:val="000000"/>
          </w:rPr>
          <w:t xml:space="preserve">senium / restitutio mundi</w:t>
        </w:r>
      </w:hyperlink>
      <w:r>
        <w:rPr>
          <w:b w:val="0"/>
          <w:i w:val="0"/>
        </w:rPr>
        <w:t>.</w:t>
      </w:r>
    </w:p>
    <w:p>
      <w:pPr>
        <w:widowControl/>
      </w:pPr>
      <w:r>
        <w:rPr>
          <w:b/>
          <w:i w:val="0"/>
        </w:rPr>
        <w:t>mundi series.</w:t>
      </w:r>
      <w:r>
        <w:rPr>
          <w:b w:val="0"/>
          <w:i w:val="0"/>
        </w:rPr>
        <w:t xml:space="preserve"> </w:t>
      </w:r>
      <w:hyperlink w:anchor="latin-record-0729">
        <w:r>
          <w:rPr>
            <w:color w:val="000000"/>
          </w:rPr>
          <w:t xml:space="preserve">mundi series / vultus omnium</w:t>
        </w:r>
      </w:hyperlink>
      <w:r>
        <w:rPr>
          <w:b w:val="0"/>
          <w:i w:val="0"/>
        </w:rPr>
        <w:t>.</w:t>
      </w:r>
    </w:p>
    <w:p>
      <w:pPr>
        <w:widowControl/>
      </w:pPr>
      <w:r>
        <w:rPr>
          <w:b/>
          <w:i w:val="0"/>
        </w:rPr>
        <w:t>mundo.</w:t>
      </w:r>
      <w:r>
        <w:rPr>
          <w:b w:val="0"/>
          <w:i w:val="0"/>
        </w:rPr>
        <w:t xml:space="preserve"> </w:t>
      </w:r>
      <w:hyperlink w:anchor="latin-record-0730">
        <w:r>
          <w:rPr>
            <w:color w:val="000000"/>
          </w:rPr>
          <w:t xml:space="preserve">mundus / universum</w:t>
        </w:r>
      </w:hyperlink>
      <w:r>
        <w:rPr>
          <w:b w:val="0"/>
          <w:i w:val="0"/>
        </w:rPr>
        <w:t>.</w:t>
      </w:r>
    </w:p>
    <w:p>
      <w:pPr>
        <w:widowControl/>
      </w:pPr>
      <w:r>
        <w:rPr>
          <w:b/>
          <w:i w:val="0"/>
        </w:rPr>
        <w:t>mundum.</w:t>
      </w:r>
      <w:r>
        <w:rPr>
          <w:b w:val="0"/>
          <w:i w:val="0"/>
        </w:rPr>
        <w:t xml:space="preserve"> </w:t>
      </w:r>
      <w:hyperlink w:anchor="latin-record-0730">
        <w:r>
          <w:rPr>
            <w:color w:val="000000"/>
          </w:rPr>
          <w:t xml:space="preserve">mundus / universum</w:t>
        </w:r>
      </w:hyperlink>
      <w:r>
        <w:rPr>
          <w:b w:val="0"/>
          <w:i w:val="0"/>
        </w:rPr>
        <w:t>.</w:t>
      </w:r>
    </w:p>
    <w:p>
      <w:pPr>
        <w:widowControl/>
      </w:pPr>
      <w:r>
        <w:rPr>
          <w:b/>
          <w:i w:val="0"/>
        </w:rPr>
        <w:t>munera.</w:t>
      </w:r>
      <w:r>
        <w:rPr>
          <w:b w:val="0"/>
          <w:i w:val="0"/>
        </w:rPr>
        <w:t xml:space="preserve"> </w:t>
      </w:r>
      <w:hyperlink w:anchor="latin-record-0731">
        <w:r>
          <w:rPr>
            <w:color w:val="000000"/>
          </w:rPr>
          <w:t xml:space="preserve">munus</w:t>
        </w:r>
      </w:hyperlink>
      <w:r>
        <w:rPr>
          <w:b w:val="0"/>
          <w:i w:val="0"/>
        </w:rPr>
        <w:t xml:space="preserve">; </w:t>
      </w:r>
      <w:hyperlink w:anchor="latin-record-0733">
        <w:r>
          <w:rPr>
            <w:color w:val="000000"/>
          </w:rPr>
          <w:t xml:space="preserve">munus / imago / exemplar</w:t>
        </w:r>
      </w:hyperlink>
      <w:r>
        <w:rPr>
          <w:b w:val="0"/>
          <w:i w:val="0"/>
        </w:rPr>
        <w:t>.</w:t>
      </w:r>
    </w:p>
    <w:p>
      <w:pPr>
        <w:widowControl/>
      </w:pPr>
      <w:r>
        <w:rPr>
          <w:b/>
          <w:i w:val="0"/>
        </w:rPr>
        <w:t>munere.</w:t>
      </w:r>
      <w:r>
        <w:rPr>
          <w:b w:val="0"/>
          <w:i w:val="0"/>
        </w:rPr>
        <w:t xml:space="preserve"> </w:t>
      </w:r>
      <w:hyperlink w:anchor="latin-record-0731">
        <w:r>
          <w:rPr>
            <w:color w:val="000000"/>
          </w:rPr>
          <w:t xml:space="preserve">munus</w:t>
        </w:r>
      </w:hyperlink>
      <w:r>
        <w:rPr>
          <w:b w:val="0"/>
          <w:i w:val="0"/>
        </w:rPr>
        <w:t>.</w:t>
      </w:r>
    </w:p>
    <w:p>
      <w:pPr>
        <w:widowControl/>
      </w:pPr>
      <w:r>
        <w:rPr>
          <w:b/>
          <w:i w:val="0"/>
        </w:rPr>
        <w:t>munus.</w:t>
      </w:r>
      <w:r>
        <w:rPr>
          <w:b w:val="0"/>
          <w:i w:val="0"/>
        </w:rPr>
        <w:t xml:space="preserve"> </w:t>
      </w:r>
      <w:hyperlink w:anchor="latin-record-0731">
        <w:r>
          <w:rPr>
            <w:color w:val="000000"/>
          </w:rPr>
          <w:t xml:space="preserve">munus</w:t>
        </w:r>
      </w:hyperlink>
      <w:r>
        <w:rPr>
          <w:b w:val="0"/>
          <w:i w:val="0"/>
        </w:rPr>
        <w:t xml:space="preserve">; </w:t>
      </w:r>
      <w:hyperlink w:anchor="latin-record-0732">
        <w:r>
          <w:rPr>
            <w:color w:val="000000"/>
          </w:rPr>
          <w:t xml:space="preserve">munus / donum</w:t>
        </w:r>
      </w:hyperlink>
      <w:r>
        <w:rPr>
          <w:b w:val="0"/>
          <w:i w:val="0"/>
        </w:rPr>
        <w:t xml:space="preserve">; </w:t>
      </w:r>
      <w:hyperlink w:anchor="latin-record-0734">
        <w:r>
          <w:rPr>
            <w:color w:val="000000"/>
          </w:rPr>
          <w:t xml:space="preserve">munus / ordinatio</w:t>
        </w:r>
      </w:hyperlink>
      <w:r>
        <w:rPr>
          <w:b w:val="0"/>
          <w:i w:val="0"/>
        </w:rPr>
        <w:t>.</w:t>
      </w:r>
    </w:p>
    <w:p>
      <w:pPr>
        <w:widowControl/>
      </w:pPr>
      <w:r>
        <w:rPr>
          <w:b/>
          <w:i w:val="0"/>
        </w:rPr>
        <w:t>muscae.</w:t>
      </w:r>
      <w:r>
        <w:rPr>
          <w:b w:val="0"/>
          <w:i w:val="0"/>
        </w:rPr>
        <w:t xml:space="preserve"> </w:t>
      </w:r>
      <w:hyperlink w:anchor="latin-record-0654">
        <w:r>
          <w:rPr>
            <w:color w:val="000000"/>
          </w:rPr>
          <w:t xml:space="preserve">lutum / fimus / rana / musca</w:t>
        </w:r>
      </w:hyperlink>
      <w:r>
        <w:rPr>
          <w:b w:val="0"/>
          <w:i w:val="0"/>
        </w:rPr>
        <w:t>.</w:t>
      </w:r>
    </w:p>
    <w:p>
      <w:pPr>
        <w:widowControl/>
      </w:pPr>
      <w:r>
        <w:rPr>
          <w:b/>
          <w:i w:val="0"/>
        </w:rPr>
        <w:t>muscarum.</w:t>
      </w:r>
      <w:r>
        <w:rPr>
          <w:b w:val="0"/>
          <w:i w:val="0"/>
        </w:rPr>
        <w:t xml:space="preserve"> </w:t>
      </w:r>
      <w:hyperlink w:anchor="latin-record-0735">
        <w:r>
          <w:rPr>
            <w:color w:val="000000"/>
          </w:rPr>
          <w:t xml:space="preserve">musca</w:t>
        </w:r>
      </w:hyperlink>
      <w:r>
        <w:rPr>
          <w:b w:val="0"/>
          <w:i w:val="0"/>
        </w:rPr>
        <w:t>.</w:t>
      </w:r>
    </w:p>
    <w:p>
      <w:pPr>
        <w:widowControl/>
      </w:pPr>
      <w:r>
        <w:rPr>
          <w:b/>
          <w:i w:val="0"/>
        </w:rPr>
        <w:t>muscas.</w:t>
      </w:r>
      <w:r>
        <w:rPr>
          <w:b w:val="0"/>
          <w:i w:val="0"/>
        </w:rPr>
        <w:t xml:space="preserve"> </w:t>
      </w:r>
      <w:hyperlink w:anchor="latin-record-0735">
        <w:r>
          <w:rPr>
            <w:color w:val="000000"/>
          </w:rPr>
          <w:t xml:space="preserve">musca</w:t>
        </w:r>
      </w:hyperlink>
      <w:r>
        <w:rPr>
          <w:b w:val="0"/>
          <w:i w:val="0"/>
        </w:rPr>
        <w:t>.</w:t>
      </w:r>
    </w:p>
    <w:p>
      <w:pPr>
        <w:widowControl/>
      </w:pPr>
      <w:r>
        <w:rPr>
          <w:b/>
          <w:i w:val="0"/>
        </w:rPr>
        <w:t>mutabitur.</w:t>
      </w:r>
      <w:r>
        <w:rPr>
          <w:b w:val="0"/>
          <w:i w:val="0"/>
        </w:rPr>
        <w:t xml:space="preserve"> </w:t>
      </w:r>
      <w:hyperlink w:anchor="latin-record-0736">
        <w:r>
          <w:rPr>
            <w:color w:val="000000"/>
          </w:rPr>
          <w:t xml:space="preserve">mutare / mutatio</w:t>
        </w:r>
      </w:hyperlink>
      <w:r>
        <w:rPr>
          <w:b w:val="0"/>
          <w:i w:val="0"/>
        </w:rPr>
        <w:t>.</w:t>
      </w:r>
    </w:p>
    <w:p>
      <w:pPr>
        <w:widowControl/>
      </w:pPr>
      <w:r>
        <w:rPr>
          <w:b/>
          <w:i w:val="0"/>
        </w:rPr>
        <w:t>mutantur.</w:t>
      </w:r>
      <w:r>
        <w:rPr>
          <w:b w:val="0"/>
          <w:i w:val="0"/>
        </w:rPr>
        <w:t xml:space="preserve"> </w:t>
      </w:r>
      <w:hyperlink w:anchor="latin-record-0720">
        <w:r>
          <w:rPr>
            <w:color w:val="000000"/>
          </w:rPr>
          <w:t xml:space="preserve">motus / motio / motor / mutare</w:t>
        </w:r>
      </w:hyperlink>
      <w:r>
        <w:rPr>
          <w:b w:val="0"/>
          <w:i w:val="0"/>
        </w:rPr>
        <w:t>.</w:t>
      </w:r>
    </w:p>
    <w:p>
      <w:pPr>
        <w:widowControl/>
      </w:pPr>
      <w:r>
        <w:rPr>
          <w:b/>
          <w:i w:val="0"/>
        </w:rPr>
        <w:t>mutationem.</w:t>
      </w:r>
      <w:r>
        <w:rPr>
          <w:b w:val="0"/>
          <w:i w:val="0"/>
        </w:rPr>
        <w:t xml:space="preserve"> </w:t>
      </w:r>
      <w:hyperlink w:anchor="latin-record-0736">
        <w:r>
          <w:rPr>
            <w:color w:val="000000"/>
          </w:rPr>
          <w:t xml:space="preserve">mutare / mutatio</w:t>
        </w:r>
      </w:hyperlink>
      <w:r>
        <w:rPr>
          <w:b w:val="0"/>
          <w:i w:val="0"/>
        </w:rPr>
        <w:t>.</w:t>
      </w:r>
    </w:p>
    <w:p>
      <w:pPr>
        <w:widowControl/>
      </w:pPr>
      <w:r>
        <w:rPr>
          <w:b/>
          <w:i w:val="0"/>
        </w:rPr>
        <w:t>mutatis paucis.</w:t>
      </w:r>
      <w:r>
        <w:rPr>
          <w:b w:val="0"/>
          <w:i w:val="0"/>
        </w:rPr>
        <w:t xml:space="preserve"> </w:t>
      </w:r>
      <w:hyperlink w:anchor="latin-record-0737">
        <w:r>
          <w:rPr>
            <w:color w:val="000000"/>
          </w:rPr>
          <w:t xml:space="preserve">mutatis paucis</w:t>
        </w:r>
      </w:hyperlink>
      <w:r>
        <w:rPr>
          <w:b w:val="0"/>
          <w:i w:val="0"/>
        </w:rPr>
        <w:t>.</w:t>
      </w:r>
    </w:p>
    <w:p>
      <w:pPr>
        <w:widowControl/>
      </w:pPr>
      <w:r>
        <w:rPr>
          <w:b/>
          <w:i w:val="0"/>
        </w:rPr>
        <w:t>mutatur.</w:t>
      </w:r>
      <w:r>
        <w:rPr>
          <w:b w:val="0"/>
          <w:i w:val="0"/>
        </w:rPr>
        <w:t xml:space="preserve"> </w:t>
      </w:r>
      <w:hyperlink w:anchor="latin-record-0736">
        <w:r>
          <w:rPr>
            <w:color w:val="000000"/>
          </w:rPr>
          <w:t xml:space="preserve">mutare / mutatio</w:t>
        </w:r>
      </w:hyperlink>
      <w:r>
        <w:rPr>
          <w:b w:val="0"/>
          <w:i w:val="0"/>
        </w:rPr>
        <w:t>.</w:t>
      </w:r>
    </w:p>
    <w:p>
      <w:pPr>
        <w:widowControl/>
      </w:pPr>
      <w:r>
        <w:rPr>
          <w:b/>
          <w:i w:val="0"/>
        </w:rPr>
        <w:t>mutua.</w:t>
      </w:r>
      <w:r>
        <w:rPr>
          <w:b w:val="0"/>
          <w:i w:val="0"/>
        </w:rPr>
        <w:t xml:space="preserve"> </w:t>
      </w:r>
      <w:hyperlink w:anchor="latin-record-0740">
        <w:r>
          <w:rPr>
            <w:color w:val="000000"/>
          </w:rPr>
          <w:t xml:space="preserve">mutuus / invicem</w:t>
        </w:r>
      </w:hyperlink>
      <w:r>
        <w:rPr>
          <w:b w:val="0"/>
          <w:i w:val="0"/>
        </w:rPr>
        <w:t>.</w:t>
      </w:r>
    </w:p>
    <w:p>
      <w:pPr>
        <w:widowControl/>
      </w:pPr>
      <w:r>
        <w:rPr>
          <w:b/>
          <w:i w:val="0"/>
        </w:rPr>
        <w:t>mutua offensione.</w:t>
      </w:r>
      <w:r>
        <w:rPr>
          <w:b w:val="0"/>
          <w:i w:val="0"/>
        </w:rPr>
        <w:t xml:space="preserve"> </w:t>
      </w:r>
      <w:hyperlink w:anchor="latin-record-0738">
        <w:r>
          <w:rPr>
            <w:color w:val="000000"/>
          </w:rPr>
          <w:t xml:space="preserve">mutua offensio</w:t>
        </w:r>
      </w:hyperlink>
      <w:r>
        <w:rPr>
          <w:b w:val="0"/>
          <w:i w:val="0"/>
        </w:rPr>
        <w:t>.</w:t>
      </w:r>
    </w:p>
    <w:p>
      <w:pPr>
        <w:widowControl/>
      </w:pPr>
      <w:r>
        <w:rPr>
          <w:b/>
          <w:i w:val="0"/>
        </w:rPr>
        <w:t>mutuant.</w:t>
      </w:r>
      <w:r>
        <w:rPr>
          <w:b w:val="0"/>
          <w:i w:val="0"/>
        </w:rPr>
        <w:t xml:space="preserve"> </w:t>
      </w:r>
      <w:hyperlink w:anchor="latin-record-0739">
        <w:r>
          <w:rPr>
            <w:color w:val="000000"/>
          </w:rPr>
          <w:t xml:space="preserve">mutuare / mutuari</w:t>
        </w:r>
      </w:hyperlink>
      <w:r>
        <w:rPr>
          <w:b w:val="0"/>
          <w:i w:val="0"/>
        </w:rPr>
        <w:t>.</w:t>
      </w:r>
    </w:p>
    <w:p>
      <w:pPr>
        <w:widowControl/>
      </w:pPr>
      <w:r>
        <w:rPr>
          <w:b/>
          <w:i w:val="0"/>
        </w:rPr>
        <w:t>mutuarentque.</w:t>
      </w:r>
      <w:r>
        <w:rPr>
          <w:b w:val="0"/>
          <w:i w:val="0"/>
        </w:rPr>
        <w:t xml:space="preserve"> </w:t>
      </w:r>
      <w:hyperlink w:anchor="latin-record-0739">
        <w:r>
          <w:rPr>
            <w:color w:val="000000"/>
          </w:rPr>
          <w:t xml:space="preserve">mutuare / mutuari</w:t>
        </w:r>
      </w:hyperlink>
      <w:r>
        <w:rPr>
          <w:b w:val="0"/>
          <w:i w:val="0"/>
        </w:rPr>
        <w:t>.</w:t>
      </w:r>
    </w:p>
    <w:p>
      <w:pPr>
        <w:widowControl/>
      </w:pPr>
      <w:r>
        <w:rPr>
          <w:b/>
          <w:i w:val="0"/>
        </w:rPr>
        <w:t>mutuarentur.</w:t>
      </w:r>
      <w:r>
        <w:rPr>
          <w:b w:val="0"/>
          <w:i w:val="0"/>
        </w:rPr>
        <w:t xml:space="preserve"> </w:t>
      </w:r>
      <w:hyperlink w:anchor="latin-record-0739">
        <w:r>
          <w:rPr>
            <w:color w:val="000000"/>
          </w:rPr>
          <w:t xml:space="preserve">mutuare / mutuari</w:t>
        </w:r>
      </w:hyperlink>
      <w:r>
        <w:rPr>
          <w:b w:val="0"/>
          <w:i w:val="0"/>
        </w:rPr>
        <w:t>.</w:t>
      </w:r>
    </w:p>
    <w:p>
      <w:pPr>
        <w:widowControl/>
      </w:pPr>
      <w:r>
        <w:rPr>
          <w:b/>
          <w:i w:val="0"/>
        </w:rPr>
        <w:t>mutuari.</w:t>
      </w:r>
      <w:r>
        <w:rPr>
          <w:b w:val="0"/>
          <w:i w:val="0"/>
        </w:rPr>
        <w:t xml:space="preserve"> </w:t>
      </w:r>
      <w:hyperlink w:anchor="latin-record-0739">
        <w:r>
          <w:rPr>
            <w:color w:val="000000"/>
          </w:rPr>
          <w:t xml:space="preserve">mutuare / mutuari</w:t>
        </w:r>
      </w:hyperlink>
      <w:r>
        <w:rPr>
          <w:b w:val="0"/>
          <w:i w:val="0"/>
        </w:rPr>
        <w:t>.</w:t>
      </w:r>
    </w:p>
    <w:p>
      <w:pPr>
        <w:widowControl/>
      </w:pPr>
      <w:r>
        <w:rPr>
          <w:b/>
          <w:i w:val="0"/>
        </w:rPr>
        <w:t>mutuo.</w:t>
      </w:r>
      <w:r>
        <w:rPr>
          <w:b w:val="0"/>
          <w:i w:val="0"/>
        </w:rPr>
        <w:t xml:space="preserve"> </w:t>
      </w:r>
      <w:hyperlink w:anchor="latin-record-0740">
        <w:r>
          <w:rPr>
            <w:color w:val="000000"/>
          </w:rPr>
          <w:t xml:space="preserve">mutuus / invicem</w:t>
        </w:r>
      </w:hyperlink>
      <w:r>
        <w:rPr>
          <w:b w:val="0"/>
          <w:i w:val="0"/>
        </w:rPr>
        <w:t>.</w:t>
      </w:r>
    </w:p>
    <w:p>
      <w:pPr>
        <w:widowControl/>
      </w:pPr>
      <w:r>
        <w:rPr>
          <w:b/>
          <w:i w:val="0"/>
        </w:rPr>
        <w:t>mutuoque.</w:t>
      </w:r>
      <w:r>
        <w:rPr>
          <w:b w:val="0"/>
          <w:i w:val="0"/>
        </w:rPr>
        <w:t xml:space="preserve"> </w:t>
      </w:r>
      <w:hyperlink w:anchor="latin-record-0740">
        <w:r>
          <w:rPr>
            <w:color w:val="000000"/>
          </w:rPr>
          <w:t xml:space="preserve">mutuus / invicem</w:t>
        </w:r>
      </w:hyperlink>
      <w:r>
        <w:rPr>
          <w:b w:val="0"/>
          <w:i w:val="0"/>
        </w:rPr>
        <w:t>.</w:t>
      </w:r>
    </w:p>
    <w:p>
      <w:pPr>
        <w:widowControl/>
      </w:pPr>
      <w:r>
        <w:rPr>
          <w:b/>
          <w:i w:val="0"/>
        </w:rPr>
        <w:t>mutuus.</w:t>
      </w:r>
      <w:r>
        <w:rPr>
          <w:b w:val="0"/>
          <w:i w:val="0"/>
        </w:rPr>
        <w:t xml:space="preserve"> </w:t>
      </w:r>
      <w:hyperlink w:anchor="latin-record-0740">
        <w:r>
          <w:rPr>
            <w:color w:val="000000"/>
          </w:rPr>
          <w:t xml:space="preserve">mutuus / invicem</w:t>
        </w:r>
      </w:hyperlink>
      <w:r>
        <w:rPr>
          <w:b w:val="0"/>
          <w:i w:val="0"/>
        </w:rPr>
        <w:t>.</w:t>
      </w:r>
    </w:p>
    <w:p>
      <w:pPr>
        <w:widowControl/>
      </w:pPr>
      <w:r>
        <w:rPr>
          <w:b/>
          <w:i w:val="0"/>
        </w:rPr>
        <w:t>mystice.</w:t>
      </w:r>
      <w:r>
        <w:rPr>
          <w:b w:val="0"/>
          <w:i w:val="0"/>
        </w:rPr>
        <w:t xml:space="preserve"> </w:t>
      </w:r>
      <w:hyperlink w:anchor="latin-record-0517">
        <w:r>
          <w:rPr>
            <w:color w:val="000000"/>
          </w:rPr>
          <w:t xml:space="preserve">hymnus / theologia / sacerdos</w:t>
        </w:r>
      </w:hyperlink>
      <w:r>
        <w:rPr>
          <w:b w:val="0"/>
          <w:i w:val="0"/>
        </w:rPr>
        <w:t>.</w:t>
      </w:r>
    </w:p>
    <w:p>
      <w:pPr>
        <w:widowControl/>
      </w:pPr>
      <w:r>
        <w:rPr>
          <w:b/>
          <w:i w:val="0"/>
        </w:rPr>
        <w:t>nanciscantur.</w:t>
      </w:r>
      <w:r>
        <w:rPr>
          <w:b w:val="0"/>
          <w:i w:val="0"/>
        </w:rPr>
        <w:t xml:space="preserve"> </w:t>
      </w:r>
      <w:hyperlink w:anchor="latin-record-0247">
        <w:r>
          <w:rPr>
            <w:color w:val="000000"/>
          </w:rPr>
          <w:t xml:space="preserve">consequi / assequi / nancisci</w:t>
        </w:r>
      </w:hyperlink>
      <w:r>
        <w:rPr>
          <w:b w:val="0"/>
          <w:i w:val="0"/>
        </w:rPr>
        <w:t>.</w:t>
      </w:r>
    </w:p>
    <w:p>
      <w:pPr>
        <w:widowControl/>
      </w:pPr>
      <w:r>
        <w:rPr>
          <w:b/>
          <w:i w:val="0"/>
        </w:rPr>
        <w:t>nanciscitur.</w:t>
      </w:r>
      <w:r>
        <w:rPr>
          <w:b w:val="0"/>
          <w:i w:val="0"/>
        </w:rPr>
        <w:t xml:space="preserve"> </w:t>
      </w:r>
      <w:hyperlink w:anchor="latin-record-0247">
        <w:r>
          <w:rPr>
            <w:color w:val="000000"/>
          </w:rPr>
          <w:t xml:space="preserve">consequi / assequi / nancisci</w:t>
        </w:r>
      </w:hyperlink>
      <w:r>
        <w:rPr>
          <w:b w:val="0"/>
          <w:i w:val="0"/>
        </w:rPr>
        <w:t>.</w:t>
      </w:r>
    </w:p>
    <w:p>
      <w:pPr>
        <w:widowControl/>
      </w:pPr>
      <w:r>
        <w:rPr>
          <w:b/>
          <w:i w:val="0"/>
        </w:rPr>
        <w:t>naribusque suavis.</w:t>
      </w:r>
      <w:r>
        <w:rPr>
          <w:b w:val="0"/>
          <w:i w:val="0"/>
        </w:rPr>
        <w:t xml:space="preserve"> </w:t>
      </w:r>
      <w:hyperlink w:anchor="latin-record-1149">
        <w:r>
          <w:rPr>
            <w:color w:val="000000"/>
          </w:rPr>
          <w:t xml:space="preserve">suavis / naris</w:t>
        </w:r>
      </w:hyperlink>
      <w:r>
        <w:rPr>
          <w:b w:val="0"/>
          <w:i w:val="0"/>
        </w:rPr>
        <w:t>.</w:t>
      </w:r>
    </w:p>
    <w:p>
      <w:pPr>
        <w:widowControl/>
      </w:pPr>
      <w:r>
        <w:rPr>
          <w:b/>
          <w:i w:val="0"/>
        </w:rPr>
        <w:t>nascantur.</w:t>
      </w:r>
      <w:r>
        <w:rPr>
          <w:b w:val="0"/>
          <w:i w:val="0"/>
        </w:rPr>
        <w:t xml:space="preserve"> </w:t>
      </w:r>
      <w:hyperlink w:anchor="latin-record-0971">
        <w:r>
          <w:rPr>
            <w:color w:val="000000"/>
          </w:rPr>
          <w:t xml:space="preserve">provenire / oriri / nasci</w:t>
        </w:r>
      </w:hyperlink>
      <w:r>
        <w:rPr>
          <w:b w:val="0"/>
          <w:i w:val="0"/>
        </w:rPr>
        <w:t>.</w:t>
      </w:r>
    </w:p>
    <w:p>
      <w:pPr>
        <w:widowControl/>
      </w:pPr>
      <w:r>
        <w:rPr>
          <w:b/>
          <w:i w:val="0"/>
        </w:rPr>
        <w:t>nascatur.</w:t>
      </w:r>
      <w:r>
        <w:rPr>
          <w:b w:val="0"/>
          <w:i w:val="0"/>
        </w:rPr>
        <w:t xml:space="preserve"> </w:t>
      </w:r>
      <w:hyperlink w:anchor="latin-record-0971">
        <w:r>
          <w:rPr>
            <w:color w:val="000000"/>
          </w:rPr>
          <w:t xml:space="preserve">provenire / oriri / nasci</w:t>
        </w:r>
      </w:hyperlink>
      <w:r>
        <w:rPr>
          <w:b w:val="0"/>
          <w:i w:val="0"/>
        </w:rPr>
        <w:t>.</w:t>
      </w:r>
    </w:p>
    <w:p>
      <w:pPr>
        <w:widowControl/>
      </w:pPr>
      <w:r>
        <w:rPr>
          <w:b/>
          <w:i w:val="0"/>
        </w:rPr>
        <w:t>natura.</w:t>
      </w:r>
      <w:r>
        <w:rPr>
          <w:b w:val="0"/>
          <w:i w:val="0"/>
        </w:rPr>
        <w:t xml:space="preserve"> </w:t>
      </w:r>
      <w:hyperlink w:anchor="latin-record-0741">
        <w:r>
          <w:rPr>
            <w:color w:val="000000"/>
          </w:rPr>
          <w:t xml:space="preserve">natura / naturalis</w:t>
        </w:r>
      </w:hyperlink>
      <w:r>
        <w:rPr>
          <w:b w:val="0"/>
          <w:i w:val="0"/>
        </w:rPr>
        <w:t xml:space="preserve">; </w:t>
      </w:r>
      <w:hyperlink w:anchor="latin-record-0744">
        <w:r>
          <w:rPr>
            <w:color w:val="000000"/>
          </w:rPr>
          <w:t xml:space="preserve">naturalis / natura</w:t>
        </w:r>
      </w:hyperlink>
      <w:r>
        <w:rPr>
          <w:b w:val="0"/>
          <w:i w:val="0"/>
        </w:rPr>
        <w:t>.</w:t>
      </w:r>
    </w:p>
    <w:p>
      <w:pPr>
        <w:widowControl/>
      </w:pPr>
      <w:r>
        <w:rPr>
          <w:b/>
          <w:i w:val="0"/>
        </w:rPr>
        <w:t>natura communi.</w:t>
      </w:r>
      <w:r>
        <w:rPr>
          <w:b w:val="0"/>
          <w:i w:val="0"/>
        </w:rPr>
        <w:t xml:space="preserve"> </w:t>
      </w:r>
      <w:hyperlink w:anchor="latin-record-0742">
        <w:r>
          <w:rPr>
            <w:color w:val="000000"/>
          </w:rPr>
          <w:t xml:space="preserve">natura communis / propria</w:t>
        </w:r>
      </w:hyperlink>
      <w:r>
        <w:rPr>
          <w:b w:val="0"/>
          <w:i w:val="0"/>
        </w:rPr>
        <w:t>.</w:t>
      </w:r>
    </w:p>
    <w:p>
      <w:pPr>
        <w:widowControl/>
      </w:pPr>
      <w:r>
        <w:rPr>
          <w:b/>
          <w:i w:val="0"/>
        </w:rPr>
        <w:t>naturae.</w:t>
      </w:r>
      <w:r>
        <w:rPr>
          <w:b w:val="0"/>
          <w:i w:val="0"/>
        </w:rPr>
        <w:t xml:space="preserve"> </w:t>
      </w:r>
      <w:hyperlink w:anchor="latin-record-0741">
        <w:r>
          <w:rPr>
            <w:color w:val="000000"/>
          </w:rPr>
          <w:t xml:space="preserve">natura / naturalis</w:t>
        </w:r>
      </w:hyperlink>
      <w:r>
        <w:rPr>
          <w:b w:val="0"/>
          <w:i w:val="0"/>
        </w:rPr>
        <w:t>.</w:t>
      </w:r>
    </w:p>
    <w:p>
      <w:pPr>
        <w:widowControl/>
      </w:pPr>
      <w:r>
        <w:rPr>
          <w:b/>
          <w:i w:val="0"/>
        </w:rPr>
        <w:t>naturae opus.</w:t>
      </w:r>
      <w:r>
        <w:rPr>
          <w:b w:val="0"/>
          <w:i w:val="0"/>
        </w:rPr>
        <w:t xml:space="preserve"> </w:t>
      </w:r>
      <w:hyperlink w:anchor="latin-record-0097">
        <w:r>
          <w:rPr>
            <w:color w:val="000000"/>
          </w:rPr>
          <w:t xml:space="preserve">artificium / opus</w:t>
        </w:r>
      </w:hyperlink>
      <w:r>
        <w:rPr>
          <w:b w:val="0"/>
          <w:i w:val="0"/>
        </w:rPr>
        <w:t>.</w:t>
      </w:r>
    </w:p>
    <w:p>
      <w:pPr>
        <w:widowControl/>
      </w:pPr>
      <w:r>
        <w:rPr>
          <w:b/>
          <w:i w:val="0"/>
        </w:rPr>
        <w:t>naturae suae necessitate.</w:t>
      </w:r>
      <w:r>
        <w:rPr>
          <w:b w:val="0"/>
          <w:i w:val="0"/>
        </w:rPr>
        <w:t xml:space="preserve"> </w:t>
      </w:r>
      <w:hyperlink w:anchor="latin-record-0751">
        <w:r>
          <w:rPr>
            <w:color w:val="000000"/>
          </w:rPr>
          <w:t xml:space="preserve">necessitas naturae</w:t>
        </w:r>
      </w:hyperlink>
      <w:r>
        <w:rPr>
          <w:b w:val="0"/>
          <w:i w:val="0"/>
        </w:rPr>
        <w:t>.</w:t>
      </w:r>
    </w:p>
    <w:p>
      <w:pPr>
        <w:widowControl/>
      </w:pPr>
      <w:r>
        <w:rPr>
          <w:b/>
          <w:i w:val="0"/>
        </w:rPr>
        <w:t>naturale.</w:t>
      </w:r>
      <w:r>
        <w:rPr>
          <w:b w:val="0"/>
          <w:i w:val="0"/>
        </w:rPr>
        <w:t xml:space="preserve"> </w:t>
      </w:r>
      <w:hyperlink w:anchor="latin-record-0741">
        <w:r>
          <w:rPr>
            <w:color w:val="000000"/>
          </w:rPr>
          <w:t xml:space="preserve">natura / naturalis</w:t>
        </w:r>
      </w:hyperlink>
      <w:r>
        <w:rPr>
          <w:b w:val="0"/>
          <w:i w:val="0"/>
        </w:rPr>
        <w:t>.</w:t>
      </w:r>
    </w:p>
    <w:p>
      <w:pPr>
        <w:widowControl/>
      </w:pPr>
      <w:r>
        <w:rPr>
          <w:b/>
          <w:i w:val="0"/>
        </w:rPr>
        <w:t>naturalem.</w:t>
      </w:r>
      <w:r>
        <w:rPr>
          <w:b w:val="0"/>
          <w:i w:val="0"/>
        </w:rPr>
        <w:t xml:space="preserve"> </w:t>
      </w:r>
      <w:hyperlink w:anchor="latin-record-0741">
        <w:r>
          <w:rPr>
            <w:color w:val="000000"/>
          </w:rPr>
          <w:t xml:space="preserve">natura / naturalis</w:t>
        </w:r>
      </w:hyperlink>
      <w:r>
        <w:rPr>
          <w:b w:val="0"/>
          <w:i w:val="0"/>
        </w:rPr>
        <w:t>.</w:t>
      </w:r>
    </w:p>
    <w:p>
      <w:pPr>
        <w:widowControl/>
      </w:pPr>
      <w:r>
        <w:rPr>
          <w:b/>
          <w:i w:val="0"/>
        </w:rPr>
        <w:t>naturali quadam necessitate.</w:t>
      </w:r>
      <w:r>
        <w:rPr>
          <w:b w:val="0"/>
          <w:i w:val="0"/>
        </w:rPr>
        <w:t xml:space="preserve"> </w:t>
      </w:r>
      <w:hyperlink w:anchor="latin-record-0751">
        <w:r>
          <w:rPr>
            <w:color w:val="000000"/>
          </w:rPr>
          <w:t xml:space="preserve">necessitas naturae</w:t>
        </w:r>
      </w:hyperlink>
      <w:r>
        <w:rPr>
          <w:b w:val="0"/>
          <w:i w:val="0"/>
        </w:rPr>
        <w:t>.</w:t>
      </w:r>
    </w:p>
    <w:p>
      <w:pPr>
        <w:widowControl/>
      </w:pPr>
      <w:r>
        <w:rPr>
          <w:b/>
          <w:i w:val="0"/>
        </w:rPr>
        <w:t>naturalia.</w:t>
      </w:r>
      <w:r>
        <w:rPr>
          <w:b w:val="0"/>
          <w:i w:val="0"/>
        </w:rPr>
        <w:t xml:space="preserve"> </w:t>
      </w:r>
      <w:hyperlink w:anchor="latin-record-0741">
        <w:r>
          <w:rPr>
            <w:color w:val="000000"/>
          </w:rPr>
          <w:t xml:space="preserve">natura / naturalis</w:t>
        </w:r>
      </w:hyperlink>
      <w:r>
        <w:rPr>
          <w:b w:val="0"/>
          <w:i w:val="0"/>
        </w:rPr>
        <w:t>.</w:t>
      </w:r>
    </w:p>
    <w:p>
      <w:pPr>
        <w:widowControl/>
      </w:pPr>
      <w:r>
        <w:rPr>
          <w:b/>
          <w:i w:val="0"/>
        </w:rPr>
        <w:t>naturalis.</w:t>
      </w:r>
      <w:r>
        <w:rPr>
          <w:b w:val="0"/>
          <w:i w:val="0"/>
        </w:rPr>
        <w:t xml:space="preserve"> </w:t>
      </w:r>
      <w:hyperlink w:anchor="latin-record-0743">
        <w:r>
          <w:rPr>
            <w:color w:val="000000"/>
          </w:rPr>
          <w:t xml:space="preserve">naturalis / acquisitus</w:t>
        </w:r>
      </w:hyperlink>
      <w:r>
        <w:rPr>
          <w:b w:val="0"/>
          <w:i w:val="0"/>
        </w:rPr>
        <w:t xml:space="preserve">; </w:t>
      </w:r>
      <w:hyperlink w:anchor="latin-record-0744">
        <w:r>
          <w:rPr>
            <w:color w:val="000000"/>
          </w:rPr>
          <w:t xml:space="preserve">naturalis / natura</w:t>
        </w:r>
      </w:hyperlink>
      <w:r>
        <w:rPr>
          <w:b w:val="0"/>
          <w:i w:val="0"/>
        </w:rPr>
        <w:t>.</w:t>
      </w:r>
    </w:p>
    <w:p>
      <w:pPr>
        <w:widowControl/>
      </w:pPr>
      <w:r>
        <w:rPr>
          <w:b/>
          <w:i w:val="0"/>
        </w:rPr>
        <w:t>naturam.</w:t>
      </w:r>
      <w:r>
        <w:rPr>
          <w:b w:val="0"/>
          <w:i w:val="0"/>
        </w:rPr>
        <w:t xml:space="preserve"> </w:t>
      </w:r>
      <w:hyperlink w:anchor="latin-record-0741">
        <w:r>
          <w:rPr>
            <w:color w:val="000000"/>
          </w:rPr>
          <w:t xml:space="preserve">natura / naturalis</w:t>
        </w:r>
      </w:hyperlink>
      <w:r>
        <w:rPr>
          <w:b w:val="0"/>
          <w:i w:val="0"/>
        </w:rPr>
        <w:t>.</w:t>
      </w:r>
    </w:p>
    <w:p>
      <w:pPr>
        <w:widowControl/>
      </w:pPr>
      <w:r>
        <w:rPr>
          <w:b/>
          <w:i w:val="0"/>
        </w:rPr>
        <w:t>ne.</w:t>
      </w:r>
      <w:r>
        <w:rPr>
          <w:b w:val="0"/>
          <w:i w:val="0"/>
        </w:rPr>
        <w:t xml:space="preserve"> </w:t>
      </w:r>
      <w:hyperlink w:anchor="latin-record-0745">
        <w:r>
          <w:rPr>
            <w:color w:val="000000"/>
          </w:rPr>
          <w:t xml:space="preserve">ne / nisi</w:t>
        </w:r>
      </w:hyperlink>
      <w:r>
        <w:rPr>
          <w:b w:val="0"/>
          <w:i w:val="0"/>
        </w:rPr>
        <w:t>.</w:t>
      </w:r>
    </w:p>
    <w:p>
      <w:pPr>
        <w:widowControl/>
      </w:pPr>
      <w:r>
        <w:rPr>
          <w:b/>
          <w:i w:val="0"/>
        </w:rPr>
        <w:t>ne frustra.</w:t>
      </w:r>
      <w:r>
        <w:rPr>
          <w:b w:val="0"/>
          <w:i w:val="0"/>
        </w:rPr>
        <w:t xml:space="preserve"> </w:t>
      </w:r>
      <w:hyperlink w:anchor="latin-record-0746">
        <w:r>
          <w:rPr>
            <w:color w:val="000000"/>
          </w:rPr>
          <w:t xml:space="preserve">ne frustra / ne inane</w:t>
        </w:r>
      </w:hyperlink>
      <w:r>
        <w:rPr>
          <w:b w:val="0"/>
          <w:i w:val="0"/>
        </w:rPr>
        <w:t>.</w:t>
      </w:r>
    </w:p>
    <w:p>
      <w:pPr>
        <w:widowControl/>
      </w:pPr>
      <w:r>
        <w:rPr>
          <w:b/>
          <w:i w:val="0"/>
        </w:rPr>
        <w:t>necessario.</w:t>
      </w:r>
      <w:r>
        <w:rPr>
          <w:b w:val="0"/>
          <w:i w:val="0"/>
        </w:rPr>
        <w:t xml:space="preserve"> </w:t>
      </w:r>
      <w:hyperlink w:anchor="latin-record-0748">
        <w:r>
          <w:rPr>
            <w:color w:val="000000"/>
          </w:rPr>
          <w:t xml:space="preserve">necessitas / necessario</w:t>
        </w:r>
      </w:hyperlink>
      <w:r>
        <w:rPr>
          <w:b w:val="0"/>
          <w:i w:val="0"/>
        </w:rPr>
        <w:t>.</w:t>
      </w:r>
    </w:p>
    <w:p>
      <w:pPr>
        <w:widowControl/>
      </w:pPr>
      <w:r>
        <w:rPr>
          <w:b/>
          <w:i w:val="0"/>
        </w:rPr>
        <w:t>necessarium.</w:t>
      </w:r>
      <w:r>
        <w:rPr>
          <w:b w:val="0"/>
          <w:i w:val="0"/>
        </w:rPr>
        <w:t xml:space="preserve"> </w:t>
      </w:r>
      <w:hyperlink w:anchor="latin-record-0747">
        <w:r>
          <w:rPr>
            <w:color w:val="000000"/>
          </w:rPr>
          <w:t xml:space="preserve">necesse / oportere</w:t>
        </w:r>
      </w:hyperlink>
      <w:r>
        <w:rPr>
          <w:b w:val="0"/>
          <w:i w:val="0"/>
        </w:rPr>
        <w:t xml:space="preserve">; </w:t>
      </w:r>
      <w:hyperlink w:anchor="latin-record-0749">
        <w:r>
          <w:rPr>
            <w:color w:val="000000"/>
          </w:rPr>
          <w:t xml:space="preserve">necessitas / oportere</w:t>
        </w:r>
      </w:hyperlink>
      <w:r>
        <w:rPr>
          <w:b w:val="0"/>
          <w:i w:val="0"/>
        </w:rPr>
        <w:t>.</w:t>
      </w:r>
    </w:p>
    <w:p>
      <w:pPr>
        <w:widowControl/>
      </w:pPr>
      <w:r>
        <w:rPr>
          <w:b/>
          <w:i w:val="0"/>
        </w:rPr>
        <w:t>necesse est.</w:t>
      </w:r>
      <w:r>
        <w:rPr>
          <w:b w:val="0"/>
          <w:i w:val="0"/>
        </w:rPr>
        <w:t xml:space="preserve"> </w:t>
      </w:r>
      <w:hyperlink w:anchor="latin-record-0800">
        <w:r>
          <w:rPr>
            <w:color w:val="000000"/>
          </w:rPr>
          <w:t xml:space="preserve">oportet / necesse est / debet</w:t>
        </w:r>
      </w:hyperlink>
      <w:r>
        <w:rPr>
          <w:b w:val="0"/>
          <w:i w:val="0"/>
        </w:rPr>
        <w:t>.</w:t>
      </w:r>
    </w:p>
    <w:p>
      <w:pPr>
        <w:widowControl/>
      </w:pPr>
      <w:r>
        <w:rPr>
          <w:b/>
          <w:i w:val="0"/>
        </w:rPr>
        <w:t>necessitas.</w:t>
      </w:r>
      <w:r>
        <w:rPr>
          <w:b w:val="0"/>
          <w:i w:val="0"/>
        </w:rPr>
        <w:t xml:space="preserve"> </w:t>
      </w:r>
      <w:hyperlink w:anchor="latin-record-0748">
        <w:r>
          <w:rPr>
            <w:color w:val="000000"/>
          </w:rPr>
          <w:t xml:space="preserve">necessitas / necessario</w:t>
        </w:r>
      </w:hyperlink>
      <w:r>
        <w:rPr>
          <w:b w:val="0"/>
          <w:i w:val="0"/>
        </w:rPr>
        <w:t xml:space="preserve">; </w:t>
      </w:r>
      <w:hyperlink w:anchor="latin-record-0749">
        <w:r>
          <w:rPr>
            <w:color w:val="000000"/>
          </w:rPr>
          <w:t xml:space="preserve">necessitas / oportere</w:t>
        </w:r>
      </w:hyperlink>
      <w:r>
        <w:rPr>
          <w:b w:val="0"/>
          <w:i w:val="0"/>
        </w:rPr>
        <w:t xml:space="preserve">; </w:t>
      </w:r>
      <w:hyperlink w:anchor="latin-record-0750">
        <w:r>
          <w:rPr>
            <w:color w:val="000000"/>
          </w:rPr>
          <w:t xml:space="preserve">necessitas and willing acceptance</w:t>
        </w:r>
      </w:hyperlink>
      <w:r>
        <w:rPr>
          <w:b w:val="0"/>
          <w:i w:val="0"/>
        </w:rPr>
        <w:t>.</w:t>
      </w:r>
    </w:p>
    <w:p>
      <w:pPr>
        <w:widowControl/>
      </w:pPr>
      <w:r>
        <w:rPr>
          <w:b/>
          <w:i w:val="0"/>
        </w:rPr>
        <w:t>necessitatem.</w:t>
      </w:r>
      <w:r>
        <w:rPr>
          <w:b w:val="0"/>
          <w:i w:val="0"/>
        </w:rPr>
        <w:t xml:space="preserve"> </w:t>
      </w:r>
      <w:hyperlink w:anchor="latin-record-0748">
        <w:r>
          <w:rPr>
            <w:color w:val="000000"/>
          </w:rPr>
          <w:t xml:space="preserve">necessitas / necessario</w:t>
        </w:r>
      </w:hyperlink>
      <w:r>
        <w:rPr>
          <w:b w:val="0"/>
          <w:i w:val="0"/>
        </w:rPr>
        <w:t>.</w:t>
      </w:r>
    </w:p>
    <w:p>
      <w:pPr>
        <w:widowControl/>
      </w:pPr>
      <w:r>
        <w:rPr>
          <w:b/>
          <w:i w:val="0"/>
        </w:rPr>
        <w:t>necessitatis.</w:t>
      </w:r>
      <w:r>
        <w:rPr>
          <w:b w:val="0"/>
          <w:i w:val="0"/>
        </w:rPr>
        <w:t xml:space="preserve"> </w:t>
      </w:r>
      <w:hyperlink w:anchor="latin-record-0749">
        <w:r>
          <w:rPr>
            <w:color w:val="000000"/>
          </w:rPr>
          <w:t xml:space="preserve">necessitas / oportere</w:t>
        </w:r>
      </w:hyperlink>
      <w:r>
        <w:rPr>
          <w:b w:val="0"/>
          <w:i w:val="0"/>
        </w:rPr>
        <w:t>.</w:t>
      </w:r>
    </w:p>
    <w:p>
      <w:pPr>
        <w:widowControl/>
      </w:pPr>
      <w:r>
        <w:rPr>
          <w:b/>
          <w:i w:val="0"/>
        </w:rPr>
        <w:t>nectare.</w:t>
      </w:r>
      <w:r>
        <w:rPr>
          <w:b w:val="0"/>
          <w:i w:val="0"/>
        </w:rPr>
        <w:t xml:space="preserve"> </w:t>
      </w:r>
      <w:hyperlink w:anchor="latin-record-0752">
        <w:r>
          <w:rPr>
            <w:color w:val="000000"/>
          </w:rPr>
          <w:t xml:space="preserve">nectar / ebrius / debacchari</w:t>
        </w:r>
      </w:hyperlink>
      <w:r>
        <w:rPr>
          <w:b w:val="0"/>
          <w:i w:val="0"/>
        </w:rPr>
        <w:t>.</w:t>
      </w:r>
    </w:p>
    <w:p>
      <w:pPr>
        <w:widowControl/>
      </w:pPr>
      <w:r>
        <w:rPr>
          <w:b/>
          <w:i w:val="0"/>
        </w:rPr>
        <w:t>negabunt.</w:t>
      </w:r>
      <w:r>
        <w:rPr>
          <w:b w:val="0"/>
          <w:i w:val="0"/>
        </w:rPr>
        <w:t xml:space="preserve"> </w:t>
      </w:r>
      <w:hyperlink w:anchor="latin-record-0753">
        <w:r>
          <w:rPr>
            <w:color w:val="000000"/>
          </w:rPr>
          <w:t xml:space="preserve">negare</w:t>
        </w:r>
      </w:hyperlink>
      <w:r>
        <w:rPr>
          <w:b w:val="0"/>
          <w:i w:val="0"/>
        </w:rPr>
        <w:t>.</w:t>
      </w:r>
    </w:p>
    <w:p>
      <w:pPr>
        <w:widowControl/>
      </w:pPr>
      <w:r>
        <w:rPr>
          <w:b/>
          <w:i w:val="0"/>
        </w:rPr>
        <w:t>negant.</w:t>
      </w:r>
      <w:r>
        <w:rPr>
          <w:b w:val="0"/>
          <w:i w:val="0"/>
        </w:rPr>
        <w:t xml:space="preserve"> </w:t>
      </w:r>
      <w:hyperlink w:anchor="latin-record-0753">
        <w:r>
          <w:rPr>
            <w:color w:val="000000"/>
          </w:rPr>
          <w:t xml:space="preserve">negare</w:t>
        </w:r>
      </w:hyperlink>
      <w:r>
        <w:rPr>
          <w:b w:val="0"/>
          <w:i w:val="0"/>
        </w:rPr>
        <w:t>.</w:t>
      </w:r>
    </w:p>
    <w:p>
      <w:pPr>
        <w:widowControl/>
      </w:pPr>
      <w:r>
        <w:rPr>
          <w:b/>
          <w:i w:val="0"/>
        </w:rPr>
        <w:t>negas.</w:t>
      </w:r>
      <w:r>
        <w:rPr>
          <w:b w:val="0"/>
          <w:i w:val="0"/>
        </w:rPr>
        <w:t xml:space="preserve"> </w:t>
      </w:r>
      <w:hyperlink w:anchor="latin-record-0433">
        <w:r>
          <w:rPr>
            <w:color w:val="000000"/>
          </w:rPr>
          <w:t xml:space="preserve">fateri / negare / affirmare</w:t>
        </w:r>
      </w:hyperlink>
      <w:r>
        <w:rPr>
          <w:b w:val="0"/>
          <w:i w:val="0"/>
        </w:rPr>
        <w:t>.</w:t>
      </w:r>
    </w:p>
    <w:p>
      <w:pPr>
        <w:widowControl/>
      </w:pPr>
      <w:r>
        <w:rPr>
          <w:b/>
          <w:i w:val="0"/>
        </w:rPr>
        <w:t>negentur.</w:t>
      </w:r>
      <w:r>
        <w:rPr>
          <w:b w:val="0"/>
          <w:i w:val="0"/>
        </w:rPr>
        <w:t xml:space="preserve"> </w:t>
      </w:r>
      <w:hyperlink w:anchor="latin-record-0433">
        <w:r>
          <w:rPr>
            <w:color w:val="000000"/>
          </w:rPr>
          <w:t xml:space="preserve">fateri / negare / affirmare</w:t>
        </w:r>
      </w:hyperlink>
      <w:r>
        <w:rPr>
          <w:b w:val="0"/>
          <w:i w:val="0"/>
        </w:rPr>
        <w:t>.</w:t>
      </w:r>
    </w:p>
    <w:p>
      <w:pPr>
        <w:widowControl/>
      </w:pPr>
      <w:r>
        <w:rPr>
          <w:b/>
          <w:i w:val="0"/>
        </w:rPr>
        <w:t>neget.</w:t>
      </w:r>
      <w:r>
        <w:rPr>
          <w:b w:val="0"/>
          <w:i w:val="0"/>
        </w:rPr>
        <w:t xml:space="preserve"> </w:t>
      </w:r>
      <w:hyperlink w:anchor="latin-record-0753">
        <w:r>
          <w:rPr>
            <w:color w:val="000000"/>
          </w:rPr>
          <w:t xml:space="preserve">negare</w:t>
        </w:r>
      </w:hyperlink>
      <w:r>
        <w:rPr>
          <w:b w:val="0"/>
          <w:i w:val="0"/>
        </w:rPr>
        <w:t>.</w:t>
      </w:r>
    </w:p>
    <w:p>
      <w:pPr>
        <w:widowControl/>
      </w:pPr>
      <w:r>
        <w:rPr>
          <w:b/>
          <w:i w:val="0"/>
        </w:rPr>
        <w:t>negligit.</w:t>
      </w:r>
      <w:r>
        <w:rPr>
          <w:b w:val="0"/>
          <w:i w:val="0"/>
        </w:rPr>
        <w:t xml:space="preserve"> </w:t>
      </w:r>
      <w:hyperlink w:anchor="latin-record-0754">
        <w:r>
          <w:rPr>
            <w:color w:val="000000"/>
          </w:rPr>
          <w:t xml:space="preserve">neglegere</w:t>
        </w:r>
      </w:hyperlink>
      <w:r>
        <w:rPr>
          <w:b w:val="0"/>
          <w:i w:val="0"/>
        </w:rPr>
        <w:t>.</w:t>
      </w:r>
    </w:p>
    <w:p>
      <w:pPr>
        <w:widowControl/>
      </w:pPr>
      <w:r>
        <w:rPr>
          <w:b/>
          <w:i w:val="0"/>
        </w:rPr>
        <w:t>Neque.</w:t>
      </w:r>
      <w:r>
        <w:rPr>
          <w:b w:val="0"/>
          <w:i w:val="0"/>
        </w:rPr>
        <w:t xml:space="preserve"> </w:t>
      </w:r>
      <w:hyperlink w:anchor="latin-record-0755">
        <w:r>
          <w:rPr>
            <w:color w:val="000000"/>
          </w:rPr>
          <w:t xml:space="preserve">neque … neque</w:t>
        </w:r>
      </w:hyperlink>
      <w:r>
        <w:rPr>
          <w:b w:val="0"/>
          <w:i w:val="0"/>
        </w:rPr>
        <w:t>.</w:t>
      </w:r>
    </w:p>
    <w:p>
      <w:pPr>
        <w:widowControl/>
      </w:pPr>
      <w:r>
        <w:rPr>
          <w:b/>
          <w:i w:val="0"/>
        </w:rPr>
        <w:t>neque.</w:t>
      </w:r>
      <w:r>
        <w:rPr>
          <w:b w:val="0"/>
          <w:i w:val="0"/>
        </w:rPr>
        <w:t xml:space="preserve"> </w:t>
      </w:r>
      <w:hyperlink w:anchor="latin-record-0755">
        <w:r>
          <w:rPr>
            <w:color w:val="000000"/>
          </w:rPr>
          <w:t xml:space="preserve">neque … neque</w:t>
        </w:r>
      </w:hyperlink>
      <w:r>
        <w:rPr>
          <w:b w:val="0"/>
          <w:i w:val="0"/>
        </w:rPr>
        <w:t>.</w:t>
      </w:r>
    </w:p>
    <w:p>
      <w:pPr>
        <w:widowControl/>
      </w:pPr>
      <w:r>
        <w:rPr>
          <w:b/>
          <w:i w:val="0"/>
        </w:rPr>
        <w:t>nequit.</w:t>
      </w:r>
      <w:r>
        <w:rPr>
          <w:b w:val="0"/>
          <w:i w:val="0"/>
        </w:rPr>
        <w:t xml:space="preserve"> </w:t>
      </w:r>
      <w:hyperlink w:anchor="latin-record-0896">
        <w:r>
          <w:rPr>
            <w:color w:val="000000"/>
          </w:rPr>
          <w:t xml:space="preserve">posse / nequire</w:t>
        </w:r>
      </w:hyperlink>
      <w:r>
        <w:rPr>
          <w:b w:val="0"/>
          <w:i w:val="0"/>
        </w:rPr>
        <w:t>.</w:t>
      </w:r>
    </w:p>
    <w:p>
      <w:pPr>
        <w:widowControl/>
      </w:pPr>
      <w:r>
        <w:rPr>
          <w:b/>
          <w:i w:val="0"/>
        </w:rPr>
        <w:t>Nereides.</w:t>
      </w:r>
      <w:r>
        <w:rPr>
          <w:b w:val="0"/>
          <w:i w:val="0"/>
        </w:rPr>
        <w:t xml:space="preserve"> </w:t>
      </w:r>
      <w:hyperlink w:anchor="latin-record-0756">
        <w:r>
          <w:rPr>
            <w:color w:val="000000"/>
          </w:rPr>
          <w:t xml:space="preserve">Nereides</w:t>
        </w:r>
      </w:hyperlink>
      <w:r>
        <w:rPr>
          <w:b w:val="0"/>
          <w:i w:val="0"/>
        </w:rPr>
        <w:t>.</w:t>
      </w:r>
    </w:p>
    <w:p>
      <w:pPr>
        <w:widowControl/>
      </w:pPr>
      <w:r>
        <w:rPr>
          <w:b/>
          <w:i w:val="0"/>
        </w:rPr>
        <w:t>nervum.</w:t>
      </w:r>
      <w:r>
        <w:rPr>
          <w:b w:val="0"/>
          <w:i w:val="0"/>
        </w:rPr>
        <w:t xml:space="preserve"> </w:t>
      </w:r>
      <w:hyperlink w:anchor="latin-record-0757">
        <w:r>
          <w:rPr>
            <w:color w:val="000000"/>
          </w:rPr>
          <w:t xml:space="preserve">nervus / nucha</w:t>
        </w:r>
      </w:hyperlink>
      <w:r>
        <w:rPr>
          <w:b w:val="0"/>
          <w:i w:val="0"/>
        </w:rPr>
        <w:t>.</w:t>
      </w:r>
    </w:p>
    <w:p>
      <w:pPr>
        <w:widowControl/>
      </w:pPr>
      <w:r>
        <w:rPr>
          <w:b/>
          <w:i w:val="0"/>
        </w:rPr>
        <w:t>nesciant.</w:t>
      </w:r>
      <w:r>
        <w:rPr>
          <w:b w:val="0"/>
          <w:i w:val="0"/>
        </w:rPr>
        <w:t xml:space="preserve"> </w:t>
      </w:r>
      <w:hyperlink w:anchor="latin-record-0520">
        <w:r>
          <w:rPr>
            <w:color w:val="000000"/>
          </w:rPr>
          <w:t xml:space="preserve">ignarus / nescire</w:t>
        </w:r>
      </w:hyperlink>
      <w:r>
        <w:rPr>
          <w:b w:val="0"/>
          <w:i w:val="0"/>
        </w:rPr>
        <w:t>.</w:t>
      </w:r>
    </w:p>
    <w:p>
      <w:pPr>
        <w:widowControl/>
      </w:pPr>
      <w:r>
        <w:rPr>
          <w:b/>
          <w:i w:val="0"/>
        </w:rPr>
        <w:t>nescit.</w:t>
      </w:r>
      <w:r>
        <w:rPr>
          <w:b w:val="0"/>
          <w:i w:val="0"/>
        </w:rPr>
        <w:t xml:space="preserve"> </w:t>
      </w:r>
      <w:hyperlink w:anchor="latin-record-0619">
        <w:r>
          <w:rPr>
            <w:color w:val="000000"/>
          </w:rPr>
          <w:t xml:space="preserve">iudicare / percipere / nescire / nosse / notitia / speculari</w:t>
        </w:r>
      </w:hyperlink>
      <w:r>
        <w:rPr>
          <w:b w:val="0"/>
          <w:i w:val="0"/>
        </w:rPr>
        <w:t>.</w:t>
      </w:r>
    </w:p>
    <w:p>
      <w:pPr>
        <w:widowControl/>
      </w:pPr>
      <w:r>
        <w:rPr>
          <w:b/>
          <w:i w:val="0"/>
        </w:rPr>
        <w:t>nescit quiescere.</w:t>
      </w:r>
      <w:r>
        <w:rPr>
          <w:b w:val="0"/>
          <w:i w:val="0"/>
        </w:rPr>
        <w:t xml:space="preserve"> </w:t>
      </w:r>
      <w:hyperlink w:anchor="latin-record-0758">
        <w:r>
          <w:rPr>
            <w:color w:val="000000"/>
          </w:rPr>
          <w:t xml:space="preserve">nescire quiescere</w:t>
        </w:r>
      </w:hyperlink>
      <w:r>
        <w:rPr>
          <w:b w:val="0"/>
          <w:i w:val="0"/>
        </w:rPr>
        <w:t>.</w:t>
      </w:r>
    </w:p>
    <w:p>
      <w:pPr>
        <w:widowControl/>
      </w:pPr>
      <w:r>
        <w:rPr>
          <w:b/>
          <w:i w:val="0"/>
        </w:rPr>
        <w:t>Nihil.</w:t>
      </w:r>
      <w:r>
        <w:rPr>
          <w:b w:val="0"/>
          <w:i w:val="0"/>
        </w:rPr>
        <w:t xml:space="preserve"> </w:t>
      </w:r>
      <w:hyperlink w:anchor="latin-record-0759">
        <w:r>
          <w:rPr>
            <w:color w:val="000000"/>
          </w:rPr>
          <w:t xml:space="preserve">nihil / non ens</w:t>
        </w:r>
      </w:hyperlink>
      <w:r>
        <w:rPr>
          <w:b w:val="0"/>
          <w:i w:val="0"/>
        </w:rPr>
        <w:t>.</w:t>
      </w:r>
    </w:p>
    <w:p>
      <w:pPr>
        <w:widowControl/>
      </w:pPr>
      <w:r>
        <w:rPr>
          <w:b/>
          <w:i w:val="0"/>
        </w:rPr>
        <w:t>nihil.</w:t>
      </w:r>
      <w:r>
        <w:rPr>
          <w:b w:val="0"/>
          <w:i w:val="0"/>
        </w:rPr>
        <w:t xml:space="preserve"> </w:t>
      </w:r>
      <w:hyperlink w:anchor="latin-record-0760">
        <w:r>
          <w:rPr>
            <w:color w:val="000000"/>
          </w:rPr>
          <w:t xml:space="preserve">nihil / non esse</w:t>
        </w:r>
      </w:hyperlink>
      <w:r>
        <w:rPr>
          <w:b w:val="0"/>
          <w:i w:val="0"/>
        </w:rPr>
        <w:t>.</w:t>
      </w:r>
    </w:p>
    <w:p>
      <w:pPr>
        <w:widowControl/>
      </w:pPr>
      <w:r>
        <w:rPr>
          <w:b/>
          <w:i w:val="0"/>
        </w:rPr>
        <w:t>nihilo.</w:t>
      </w:r>
      <w:r>
        <w:rPr>
          <w:b w:val="0"/>
          <w:i w:val="0"/>
        </w:rPr>
        <w:t xml:space="preserve"> </w:t>
      </w:r>
      <w:hyperlink w:anchor="latin-record-0760">
        <w:r>
          <w:rPr>
            <w:color w:val="000000"/>
          </w:rPr>
          <w:t xml:space="preserve">nihil / non esse</w:t>
        </w:r>
      </w:hyperlink>
      <w:r>
        <w:rPr>
          <w:b w:val="0"/>
          <w:i w:val="0"/>
        </w:rPr>
        <w:t>.</w:t>
      </w:r>
    </w:p>
    <w:p>
      <w:pPr>
        <w:widowControl/>
      </w:pPr>
      <w:r>
        <w:rPr>
          <w:b/>
          <w:i w:val="0"/>
        </w:rPr>
        <w:t>nihilo proximam.</w:t>
      </w:r>
      <w:r>
        <w:rPr>
          <w:b w:val="0"/>
          <w:i w:val="0"/>
        </w:rPr>
        <w:t xml:space="preserve"> </w:t>
      </w:r>
      <w:hyperlink w:anchor="latin-record-0761">
        <w:r>
          <w:rPr>
            <w:color w:val="000000"/>
          </w:rPr>
          <w:t xml:space="preserve">nihilo proximus</w:t>
        </w:r>
      </w:hyperlink>
      <w:r>
        <w:rPr>
          <w:b w:val="0"/>
          <w:i w:val="0"/>
        </w:rPr>
        <w:t>.</w:t>
      </w:r>
    </w:p>
    <w:p>
      <w:pPr>
        <w:widowControl/>
      </w:pPr>
      <w:r>
        <w:rPr>
          <w:b/>
          <w:i w:val="0"/>
        </w:rPr>
        <w:t>nihilum.</w:t>
      </w:r>
      <w:r>
        <w:rPr>
          <w:b w:val="0"/>
          <w:i w:val="0"/>
        </w:rPr>
        <w:t xml:space="preserve"> </w:t>
      </w:r>
      <w:hyperlink w:anchor="latin-record-0760">
        <w:r>
          <w:rPr>
            <w:color w:val="000000"/>
          </w:rPr>
          <w:t xml:space="preserve">nihil / non esse</w:t>
        </w:r>
      </w:hyperlink>
      <w:r>
        <w:rPr>
          <w:b w:val="0"/>
          <w:i w:val="0"/>
        </w:rPr>
        <w:t>.</w:t>
      </w:r>
    </w:p>
    <w:p>
      <w:pPr>
        <w:widowControl/>
      </w:pPr>
      <w:r>
        <w:rPr>
          <w:b/>
          <w:i w:val="0"/>
        </w:rPr>
        <w:t>nisi.</w:t>
      </w:r>
      <w:r>
        <w:rPr>
          <w:b w:val="0"/>
          <w:i w:val="0"/>
        </w:rPr>
        <w:t xml:space="preserve"> </w:t>
      </w:r>
      <w:hyperlink w:anchor="latin-record-0745">
        <w:r>
          <w:rPr>
            <w:color w:val="000000"/>
          </w:rPr>
          <w:t xml:space="preserve">ne / nisi</w:t>
        </w:r>
      </w:hyperlink>
      <w:r>
        <w:rPr>
          <w:b w:val="0"/>
          <w:i w:val="0"/>
        </w:rPr>
        <w:t>.</w:t>
      </w:r>
    </w:p>
    <w:p>
      <w:pPr>
        <w:widowControl/>
      </w:pPr>
      <w:r>
        <w:rPr>
          <w:b/>
          <w:i w:val="0"/>
        </w:rPr>
        <w:t>nititur.</w:t>
      </w:r>
      <w:r>
        <w:rPr>
          <w:b w:val="0"/>
          <w:i w:val="0"/>
        </w:rPr>
        <w:t xml:space="preserve"> </w:t>
      </w:r>
      <w:hyperlink w:anchor="latin-record-0585">
        <w:r>
          <w:rPr>
            <w:color w:val="000000"/>
          </w:rPr>
          <w:t xml:space="preserve">instinctus / niti</w:t>
        </w:r>
      </w:hyperlink>
      <w:r>
        <w:rPr>
          <w:b w:val="0"/>
          <w:i w:val="0"/>
        </w:rPr>
        <w:t xml:space="preserve">; </w:t>
      </w:r>
      <w:hyperlink w:anchor="latin-record-0763">
        <w:r>
          <w:rPr>
            <w:color w:val="000000"/>
          </w:rPr>
          <w:t xml:space="preserve">nixus / niti</w:t>
        </w:r>
      </w:hyperlink>
      <w:r>
        <w:rPr>
          <w:b w:val="0"/>
          <w:i w:val="0"/>
        </w:rPr>
        <w:t xml:space="preserve">; </w:t>
      </w:r>
      <w:hyperlink w:anchor="latin-record-0764">
        <w:r>
          <w:rPr>
            <w:color w:val="000000"/>
          </w:rPr>
          <w:t xml:space="preserve">nixus / nitor / conor</w:t>
        </w:r>
      </w:hyperlink>
      <w:r>
        <w:rPr>
          <w:b w:val="0"/>
          <w:i w:val="0"/>
        </w:rPr>
        <w:t>.</w:t>
      </w:r>
    </w:p>
    <w:p>
      <w:pPr>
        <w:widowControl/>
      </w:pPr>
      <w:r>
        <w:rPr>
          <w:b/>
          <w:i w:val="0"/>
        </w:rPr>
        <w:t>nixu.</w:t>
      </w:r>
      <w:r>
        <w:rPr>
          <w:b w:val="0"/>
          <w:i w:val="0"/>
        </w:rPr>
        <w:t xml:space="preserve"> </w:t>
      </w:r>
      <w:hyperlink w:anchor="latin-record-0763">
        <w:r>
          <w:rPr>
            <w:color w:val="000000"/>
          </w:rPr>
          <w:t xml:space="preserve">nixus / niti</w:t>
        </w:r>
      </w:hyperlink>
      <w:r>
        <w:rPr>
          <w:b w:val="0"/>
          <w:i w:val="0"/>
        </w:rPr>
        <w:t>.</w:t>
      </w:r>
    </w:p>
    <w:p>
      <w:pPr>
        <w:widowControl/>
      </w:pPr>
      <w:r>
        <w:rPr>
          <w:b/>
          <w:i w:val="0"/>
        </w:rPr>
        <w:t>nixum.</w:t>
      </w:r>
      <w:r>
        <w:rPr>
          <w:b w:val="0"/>
          <w:i w:val="0"/>
        </w:rPr>
        <w:t xml:space="preserve"> </w:t>
      </w:r>
      <w:hyperlink w:anchor="latin-record-0764">
        <w:r>
          <w:rPr>
            <w:color w:val="000000"/>
          </w:rPr>
          <w:t xml:space="preserve">nixus / nitor / conor</w:t>
        </w:r>
      </w:hyperlink>
      <w:r>
        <w:rPr>
          <w:b w:val="0"/>
          <w:i w:val="0"/>
        </w:rPr>
        <w:t>.</w:t>
      </w:r>
    </w:p>
    <w:p>
      <w:pPr>
        <w:widowControl/>
      </w:pPr>
      <w:r>
        <w:rPr>
          <w:b/>
          <w:i w:val="0"/>
        </w:rPr>
        <w:t>nixus.</w:t>
      </w:r>
      <w:r>
        <w:rPr>
          <w:b w:val="0"/>
          <w:i w:val="0"/>
        </w:rPr>
        <w:t xml:space="preserve"> </w:t>
      </w:r>
      <w:hyperlink w:anchor="latin-record-0762">
        <w:r>
          <w:rPr>
            <w:color w:val="000000"/>
          </w:rPr>
          <w:t xml:space="preserve">nixus / inniti</w:t>
        </w:r>
      </w:hyperlink>
      <w:r>
        <w:rPr>
          <w:b w:val="0"/>
          <w:i w:val="0"/>
        </w:rPr>
        <w:t xml:space="preserve">; </w:t>
      </w:r>
      <w:hyperlink w:anchor="latin-record-0764">
        <w:r>
          <w:rPr>
            <w:color w:val="000000"/>
          </w:rPr>
          <w:t xml:space="preserve">nixus / nitor / conor</w:t>
        </w:r>
      </w:hyperlink>
      <w:r>
        <w:rPr>
          <w:b w:val="0"/>
          <w:i w:val="0"/>
        </w:rPr>
        <w:t>.</w:t>
      </w:r>
    </w:p>
    <w:p>
      <w:pPr>
        <w:widowControl/>
      </w:pPr>
      <w:r>
        <w:rPr>
          <w:b/>
          <w:i w:val="0"/>
        </w:rPr>
        <w:t>nobilem.</w:t>
      </w:r>
      <w:r>
        <w:rPr>
          <w:b w:val="0"/>
          <w:i w:val="0"/>
        </w:rPr>
        <w:t xml:space="preserve"> </w:t>
      </w:r>
      <w:hyperlink w:anchor="latin-record-1261">
        <w:r>
          <w:rPr>
            <w:color w:val="000000"/>
          </w:rPr>
          <w:t xml:space="preserve">vilis / pretiosus / nobilis</w:t>
        </w:r>
      </w:hyperlink>
      <w:r>
        <w:rPr>
          <w:b w:val="0"/>
          <w:i w:val="0"/>
        </w:rPr>
        <w:t>.</w:t>
      </w:r>
    </w:p>
    <w:p>
      <w:pPr>
        <w:widowControl/>
      </w:pPr>
      <w:r>
        <w:rPr>
          <w:b/>
          <w:i w:val="0"/>
        </w:rPr>
        <w:t>nobilior.</w:t>
      </w:r>
      <w:r>
        <w:rPr>
          <w:b w:val="0"/>
          <w:i w:val="0"/>
        </w:rPr>
        <w:t xml:space="preserve"> </w:t>
      </w:r>
      <w:hyperlink w:anchor="latin-record-0765">
        <w:r>
          <w:rPr>
            <w:color w:val="000000"/>
          </w:rPr>
          <w:t xml:space="preserve">nobilior / amplior</w:t>
        </w:r>
      </w:hyperlink>
      <w:r>
        <w:rPr>
          <w:b w:val="0"/>
          <w:i w:val="0"/>
        </w:rPr>
        <w:t>.</w:t>
      </w:r>
    </w:p>
    <w:p>
      <w:pPr>
        <w:widowControl/>
      </w:pPr>
      <w:r>
        <w:rPr>
          <w:b/>
          <w:i w:val="0"/>
        </w:rPr>
        <w:t>noctem.</w:t>
      </w:r>
      <w:r>
        <w:rPr>
          <w:b w:val="0"/>
          <w:i w:val="0"/>
        </w:rPr>
        <w:t xml:space="preserve"> </w:t>
      </w:r>
      <w:hyperlink w:anchor="latin-record-0357">
        <w:r>
          <w:rPr>
            <w:color w:val="000000"/>
          </w:rPr>
          <w:t xml:space="preserve">eclipsis / nox / momentum</w:t>
        </w:r>
      </w:hyperlink>
      <w:r>
        <w:rPr>
          <w:b w:val="0"/>
          <w:i w:val="0"/>
        </w:rPr>
        <w:t>.</w:t>
      </w:r>
    </w:p>
    <w:p>
      <w:pPr>
        <w:widowControl/>
      </w:pPr>
      <w:r>
        <w:rPr>
          <w:b/>
          <w:i w:val="0"/>
        </w:rPr>
        <w:t>nodus ille divinus.</w:t>
      </w:r>
      <w:r>
        <w:rPr>
          <w:b w:val="0"/>
          <w:i w:val="0"/>
        </w:rPr>
        <w:t xml:space="preserve"> </w:t>
      </w:r>
      <w:hyperlink w:anchor="latin-record-0766">
        <w:r>
          <w:rPr>
            <w:color w:val="000000"/>
          </w:rPr>
          <w:t xml:space="preserve">nodus divinus</w:t>
        </w:r>
      </w:hyperlink>
      <w:r>
        <w:rPr>
          <w:b w:val="0"/>
          <w:i w:val="0"/>
        </w:rPr>
        <w:t>.</w:t>
      </w:r>
    </w:p>
    <w:p>
      <w:pPr>
        <w:widowControl/>
      </w:pPr>
      <w:r>
        <w:rPr>
          <w:b/>
          <w:i w:val="0"/>
        </w:rPr>
        <w:t>nolle.</w:t>
      </w:r>
      <w:r>
        <w:rPr>
          <w:b w:val="0"/>
          <w:i w:val="0"/>
        </w:rPr>
        <w:t xml:space="preserve"> </w:t>
      </w:r>
      <w:hyperlink w:anchor="latin-record-1238">
        <w:r>
          <w:rPr>
            <w:color w:val="000000"/>
          </w:rPr>
          <w:t xml:space="preserve">velle / nolle</w:t>
        </w:r>
      </w:hyperlink>
      <w:r>
        <w:rPr>
          <w:b w:val="0"/>
          <w:i w:val="0"/>
        </w:rPr>
        <w:t xml:space="preserve">; </w:t>
      </w:r>
      <w:hyperlink w:anchor="latin-record-1239">
        <w:r>
          <w:rPr>
            <w:color w:val="000000"/>
          </w:rPr>
          <w:t xml:space="preserve">velle / nolle / malle</w:t>
        </w:r>
      </w:hyperlink>
      <w:r>
        <w:rPr>
          <w:b w:val="0"/>
          <w:i w:val="0"/>
        </w:rPr>
        <w:t>.</w:t>
      </w:r>
    </w:p>
    <w:p>
      <w:pPr>
        <w:widowControl/>
      </w:pPr>
      <w:r>
        <w:rPr>
          <w:b/>
          <w:i w:val="0"/>
        </w:rPr>
        <w:t>nolunt.</w:t>
      </w:r>
      <w:r>
        <w:rPr>
          <w:b w:val="0"/>
          <w:i w:val="0"/>
        </w:rPr>
        <w:t xml:space="preserve"> </w:t>
      </w:r>
      <w:hyperlink w:anchor="latin-record-1239">
        <w:r>
          <w:rPr>
            <w:color w:val="000000"/>
          </w:rPr>
          <w:t xml:space="preserve">velle / nolle / malle</w:t>
        </w:r>
      </w:hyperlink>
      <w:r>
        <w:rPr>
          <w:b w:val="0"/>
          <w:i w:val="0"/>
        </w:rPr>
        <w:t>.</w:t>
      </w:r>
    </w:p>
    <w:p>
      <w:pPr>
        <w:widowControl/>
      </w:pPr>
      <w:r>
        <w:rPr>
          <w:b/>
          <w:i w:val="0"/>
        </w:rPr>
        <w:t>nomen.</w:t>
      </w:r>
      <w:r>
        <w:rPr>
          <w:b w:val="0"/>
          <w:i w:val="0"/>
        </w:rPr>
        <w:t xml:space="preserve"> </w:t>
      </w:r>
      <w:hyperlink w:anchor="latin-record-0084">
        <w:r>
          <w:rPr>
            <w:color w:val="000000"/>
          </w:rPr>
          <w:t xml:space="preserve">appellatio / nomen / proprie</w:t>
        </w:r>
      </w:hyperlink>
      <w:r>
        <w:rPr>
          <w:b w:val="0"/>
          <w:i w:val="0"/>
        </w:rPr>
        <w:t>.</w:t>
      </w:r>
    </w:p>
    <w:p>
      <w:pPr>
        <w:widowControl/>
      </w:pPr>
      <w:r>
        <w:rPr>
          <w:b/>
          <w:i w:val="0"/>
        </w:rPr>
        <w:t>nominamus.</w:t>
      </w:r>
      <w:r>
        <w:rPr>
          <w:b w:val="0"/>
          <w:i w:val="0"/>
        </w:rPr>
        <w:t xml:space="preserve"> </w:t>
      </w:r>
      <w:hyperlink w:anchor="latin-record-0315">
        <w:r>
          <w:rPr>
            <w:color w:val="000000"/>
          </w:rPr>
          <w:t xml:space="preserve">dicere / appellare / vocare</w:t>
        </w:r>
      </w:hyperlink>
      <w:r>
        <w:rPr>
          <w:b w:val="0"/>
          <w:i w:val="0"/>
        </w:rPr>
        <w:t>.</w:t>
      </w:r>
    </w:p>
    <w:p>
      <w:pPr>
        <w:widowControl/>
      </w:pPr>
      <w:r>
        <w:rPr>
          <w:b/>
          <w:i w:val="0"/>
        </w:rPr>
        <w:t>non ens.</w:t>
      </w:r>
      <w:r>
        <w:rPr>
          <w:b w:val="0"/>
          <w:i w:val="0"/>
        </w:rPr>
        <w:t xml:space="preserve"> </w:t>
      </w:r>
      <w:hyperlink w:anchor="latin-record-0759">
        <w:r>
          <w:rPr>
            <w:color w:val="000000"/>
          </w:rPr>
          <w:t xml:space="preserve">nihil / non ens</w:t>
        </w:r>
      </w:hyperlink>
      <w:r>
        <w:rPr>
          <w:b w:val="0"/>
          <w:i w:val="0"/>
        </w:rPr>
        <w:t>.</w:t>
      </w:r>
    </w:p>
    <w:p>
      <w:pPr>
        <w:widowControl/>
      </w:pPr>
      <w:r>
        <w:rPr>
          <w:b/>
          <w:i w:val="0"/>
        </w:rPr>
        <w:t>non esse.</w:t>
      </w:r>
      <w:r>
        <w:rPr>
          <w:b w:val="0"/>
          <w:i w:val="0"/>
        </w:rPr>
        <w:t xml:space="preserve"> </w:t>
      </w:r>
      <w:hyperlink w:anchor="latin-record-0760">
        <w:r>
          <w:rPr>
            <w:color w:val="000000"/>
          </w:rPr>
          <w:t xml:space="preserve">nihil / non esse</w:t>
        </w:r>
      </w:hyperlink>
      <w:r>
        <w:rPr>
          <w:b w:val="0"/>
          <w:i w:val="0"/>
        </w:rPr>
        <w:t>.</w:t>
      </w:r>
    </w:p>
    <w:p>
      <w:pPr>
        <w:widowControl/>
      </w:pPr>
      <w:r>
        <w:rPr>
          <w:b/>
          <w:i w:val="0"/>
        </w:rPr>
        <w:t>non tempore.</w:t>
      </w:r>
      <w:r>
        <w:rPr>
          <w:b w:val="0"/>
          <w:i w:val="0"/>
        </w:rPr>
        <w:t xml:space="preserve"> </w:t>
      </w:r>
      <w:hyperlink w:anchor="latin-record-0929">
        <w:r>
          <w:rPr>
            <w:color w:val="000000"/>
          </w:rPr>
          <w:t xml:space="preserve">prior dignitate / tempore</w:t>
        </w:r>
      </w:hyperlink>
      <w:r>
        <w:rPr>
          <w:b w:val="0"/>
          <w:i w:val="0"/>
        </w:rPr>
        <w:t>.</w:t>
      </w:r>
    </w:p>
    <w:p>
      <w:pPr>
        <w:widowControl/>
      </w:pPr>
      <w:r>
        <w:rPr>
          <w:b/>
          <w:i w:val="0"/>
        </w:rPr>
        <w:t>nondum.</w:t>
      </w:r>
      <w:r>
        <w:rPr>
          <w:b w:val="0"/>
          <w:i w:val="0"/>
        </w:rPr>
        <w:t xml:space="preserve"> </w:t>
      </w:r>
      <w:hyperlink w:anchor="latin-record-1088">
        <w:r>
          <w:rPr>
            <w:color w:val="000000"/>
          </w:rPr>
          <w:t xml:space="preserve">semper / simul / aliquando / nondum / amplius</w:t>
        </w:r>
      </w:hyperlink>
      <w:r>
        <w:rPr>
          <w:b w:val="0"/>
          <w:i w:val="0"/>
        </w:rPr>
        <w:t>.</w:t>
      </w:r>
    </w:p>
    <w:p>
      <w:pPr>
        <w:widowControl/>
      </w:pPr>
      <w:r>
        <w:rPr>
          <w:b/>
          <w:i w:val="0"/>
        </w:rPr>
        <w:t>norma.</w:t>
      </w:r>
      <w:r>
        <w:rPr>
          <w:b w:val="0"/>
          <w:i w:val="0"/>
        </w:rPr>
        <w:t xml:space="preserve"> </w:t>
      </w:r>
      <w:hyperlink w:anchor="latin-record-0767">
        <w:r>
          <w:rPr>
            <w:color w:val="000000"/>
          </w:rPr>
          <w:t xml:space="preserve">norma</w:t>
        </w:r>
      </w:hyperlink>
      <w:r>
        <w:rPr>
          <w:b w:val="0"/>
          <w:i w:val="0"/>
        </w:rPr>
        <w:t>.</w:t>
      </w:r>
    </w:p>
    <w:p>
      <w:pPr>
        <w:widowControl/>
      </w:pPr>
      <w:r>
        <w:rPr>
          <w:b/>
          <w:i w:val="0"/>
        </w:rPr>
        <w:t>normam.</w:t>
      </w:r>
      <w:r>
        <w:rPr>
          <w:b w:val="0"/>
          <w:i w:val="0"/>
        </w:rPr>
        <w:t xml:space="preserve"> </w:t>
      </w:r>
      <w:hyperlink w:anchor="latin-record-0768">
        <w:r>
          <w:rPr>
            <w:color w:val="000000"/>
          </w:rPr>
          <w:t xml:space="preserve">norma / condicio</w:t>
        </w:r>
      </w:hyperlink>
      <w:r>
        <w:rPr>
          <w:b w:val="0"/>
          <w:i w:val="0"/>
        </w:rPr>
        <w:t>.</w:t>
      </w:r>
    </w:p>
    <w:p>
      <w:pPr>
        <w:widowControl/>
      </w:pPr>
      <w:r>
        <w:rPr>
          <w:b/>
          <w:i w:val="0"/>
        </w:rPr>
        <w:t>Nosce te ipsum.</w:t>
      </w:r>
      <w:r>
        <w:rPr>
          <w:b w:val="0"/>
          <w:i w:val="0"/>
        </w:rPr>
        <w:t xml:space="preserve"> </w:t>
      </w:r>
      <w:hyperlink w:anchor="latin-record-0769">
        <w:r>
          <w:rPr>
            <w:color w:val="000000"/>
          </w:rPr>
          <w:t xml:space="preserve">nosce te ipsum</w:t>
        </w:r>
      </w:hyperlink>
      <w:r>
        <w:rPr>
          <w:b w:val="0"/>
          <w:i w:val="0"/>
        </w:rPr>
        <w:t>.</w:t>
      </w:r>
    </w:p>
    <w:p>
      <w:pPr>
        <w:widowControl/>
      </w:pPr>
      <w:r>
        <w:rPr>
          <w:b/>
          <w:i w:val="0"/>
        </w:rPr>
        <w:t>noscens.</w:t>
      </w:r>
      <w:r>
        <w:rPr>
          <w:b w:val="0"/>
          <w:i w:val="0"/>
        </w:rPr>
        <w:t xml:space="preserve"> </w:t>
      </w:r>
      <w:hyperlink w:anchor="latin-record-0770">
        <w:r>
          <w:rPr>
            <w:color w:val="000000"/>
          </w:rPr>
          <w:t xml:space="preserve">noscere / cognoscere / dinoscere</w:t>
        </w:r>
      </w:hyperlink>
      <w:r>
        <w:rPr>
          <w:b w:val="0"/>
          <w:i w:val="0"/>
        </w:rPr>
        <w:t>.</w:t>
      </w:r>
    </w:p>
    <w:p>
      <w:pPr>
        <w:widowControl/>
      </w:pPr>
      <w:r>
        <w:rPr>
          <w:b/>
          <w:i w:val="0"/>
        </w:rPr>
        <w:t>Noscit.</w:t>
      </w:r>
      <w:r>
        <w:rPr>
          <w:b w:val="0"/>
          <w:i w:val="0"/>
        </w:rPr>
        <w:t xml:space="preserve"> </w:t>
      </w:r>
      <w:hyperlink w:anchor="latin-record-0770">
        <w:r>
          <w:rPr>
            <w:color w:val="000000"/>
          </w:rPr>
          <w:t xml:space="preserve">noscere / cognoscere / dinoscere</w:t>
        </w:r>
      </w:hyperlink>
      <w:r>
        <w:rPr>
          <w:b w:val="0"/>
          <w:i w:val="0"/>
        </w:rPr>
        <w:t>.</w:t>
      </w:r>
    </w:p>
    <w:p>
      <w:pPr>
        <w:widowControl/>
      </w:pPr>
      <w:r>
        <w:rPr>
          <w:b/>
          <w:i w:val="0"/>
        </w:rPr>
        <w:t>noscit.</w:t>
      </w:r>
      <w:r>
        <w:rPr>
          <w:b w:val="0"/>
          <w:i w:val="0"/>
        </w:rPr>
        <w:t xml:space="preserve"> </w:t>
      </w:r>
      <w:hyperlink w:anchor="latin-record-0770">
        <w:r>
          <w:rPr>
            <w:color w:val="000000"/>
          </w:rPr>
          <w:t xml:space="preserve">noscere / cognoscere / dinoscere</w:t>
        </w:r>
      </w:hyperlink>
      <w:r>
        <w:rPr>
          <w:b w:val="0"/>
          <w:i w:val="0"/>
        </w:rPr>
        <w:t>.</w:t>
      </w:r>
    </w:p>
    <w:p>
      <w:pPr>
        <w:widowControl/>
      </w:pPr>
      <w:r>
        <w:rPr>
          <w:b/>
          <w:i w:val="0"/>
        </w:rPr>
        <w:t>nosse.</w:t>
      </w:r>
      <w:r>
        <w:rPr>
          <w:b w:val="0"/>
          <w:i w:val="0"/>
        </w:rPr>
        <w:t xml:space="preserve"> </w:t>
      </w:r>
      <w:hyperlink w:anchor="latin-record-0619">
        <w:r>
          <w:rPr>
            <w:color w:val="000000"/>
          </w:rPr>
          <w:t xml:space="preserve">iudicare / percipere / nescire / nosse / notitia / speculari</w:t>
        </w:r>
      </w:hyperlink>
      <w:r>
        <w:rPr>
          <w:b w:val="0"/>
          <w:i w:val="0"/>
        </w:rPr>
        <w:t>.</w:t>
      </w:r>
    </w:p>
    <w:p>
      <w:pPr>
        <w:widowControl/>
      </w:pPr>
      <w:r>
        <w:rPr>
          <w:b/>
          <w:i w:val="0"/>
        </w:rPr>
        <w:t>notitiam.</w:t>
      </w:r>
      <w:r>
        <w:rPr>
          <w:b w:val="0"/>
          <w:i w:val="0"/>
        </w:rPr>
        <w:t xml:space="preserve"> </w:t>
      </w:r>
      <w:hyperlink w:anchor="latin-record-0619">
        <w:r>
          <w:rPr>
            <w:color w:val="000000"/>
          </w:rPr>
          <w:t xml:space="preserve">iudicare / percipere / nescire / nosse / notitia / speculari</w:t>
        </w:r>
      </w:hyperlink>
      <w:r>
        <w:rPr>
          <w:b w:val="0"/>
          <w:i w:val="0"/>
        </w:rPr>
        <w:t>.</w:t>
      </w:r>
    </w:p>
    <w:p>
      <w:pPr>
        <w:widowControl/>
      </w:pPr>
      <w:r>
        <w:rPr>
          <w:b/>
          <w:i w:val="0"/>
        </w:rPr>
        <w:t>nova.</w:t>
      </w:r>
      <w:r>
        <w:rPr>
          <w:b w:val="0"/>
          <w:i w:val="0"/>
        </w:rPr>
        <w:t xml:space="preserve"> </w:t>
      </w:r>
      <w:hyperlink w:anchor="latin-record-0773">
        <w:r>
          <w:rPr>
            <w:color w:val="000000"/>
          </w:rPr>
          <w:t xml:space="preserve">novus / vetus</w:t>
        </w:r>
      </w:hyperlink>
      <w:r>
        <w:rPr>
          <w:b w:val="0"/>
          <w:i w:val="0"/>
        </w:rPr>
        <w:t>.</w:t>
      </w:r>
    </w:p>
    <w:p>
      <w:pPr>
        <w:widowControl/>
      </w:pPr>
      <w:r>
        <w:rPr>
          <w:b/>
          <w:i w:val="0"/>
        </w:rPr>
        <w:t>novas.</w:t>
      </w:r>
      <w:r>
        <w:rPr>
          <w:b w:val="0"/>
          <w:i w:val="0"/>
        </w:rPr>
        <w:t xml:space="preserve"> </w:t>
      </w:r>
      <w:hyperlink w:anchor="latin-record-0772">
        <w:r>
          <w:rPr>
            <w:color w:val="000000"/>
          </w:rPr>
          <w:t xml:space="preserve">novus / varius</w:t>
        </w:r>
      </w:hyperlink>
      <w:r>
        <w:rPr>
          <w:b w:val="0"/>
          <w:i w:val="0"/>
        </w:rPr>
        <w:t>.</w:t>
      </w:r>
    </w:p>
    <w:p>
      <w:pPr>
        <w:widowControl/>
      </w:pPr>
      <w:r>
        <w:rPr>
          <w:b/>
          <w:i w:val="0"/>
        </w:rPr>
        <w:t>novenarioque.</w:t>
      </w:r>
      <w:r>
        <w:rPr>
          <w:b w:val="0"/>
          <w:i w:val="0"/>
        </w:rPr>
        <w:t xml:space="preserve"> </w:t>
      </w:r>
      <w:hyperlink w:anchor="latin-record-1197">
        <w:r>
          <w:rPr>
            <w:color w:val="000000"/>
          </w:rPr>
          <w:t xml:space="preserve">ternarius / novenarius / septenarius / duodenarius</w:t>
        </w:r>
      </w:hyperlink>
      <w:r>
        <w:rPr>
          <w:b w:val="0"/>
          <w:i w:val="0"/>
        </w:rPr>
        <w:t>.</w:t>
      </w:r>
    </w:p>
    <w:p>
      <w:pPr>
        <w:widowControl/>
      </w:pPr>
      <w:r>
        <w:rPr>
          <w:b/>
          <w:i w:val="0"/>
        </w:rPr>
        <w:t>novit.</w:t>
      </w:r>
      <w:r>
        <w:rPr>
          <w:b w:val="0"/>
          <w:i w:val="0"/>
        </w:rPr>
        <w:t xml:space="preserve"> </w:t>
      </w:r>
      <w:hyperlink w:anchor="latin-record-0770">
        <w:r>
          <w:rPr>
            <w:color w:val="000000"/>
          </w:rPr>
          <w:t xml:space="preserve">noscere / cognoscere / dinoscere</w:t>
        </w:r>
      </w:hyperlink>
      <w:r>
        <w:rPr>
          <w:b w:val="0"/>
          <w:i w:val="0"/>
        </w:rPr>
        <w:t>.</w:t>
      </w:r>
    </w:p>
    <w:p>
      <w:pPr>
        <w:widowControl/>
      </w:pPr>
      <w:r>
        <w:rPr>
          <w:b/>
          <w:i w:val="0"/>
        </w:rPr>
        <w:t>novos.</w:t>
      </w:r>
      <w:r>
        <w:rPr>
          <w:b w:val="0"/>
          <w:i w:val="0"/>
        </w:rPr>
        <w:t xml:space="preserve"> </w:t>
      </w:r>
      <w:hyperlink w:anchor="latin-record-0772">
        <w:r>
          <w:rPr>
            <w:color w:val="000000"/>
          </w:rPr>
          <w:t xml:space="preserve">novus / varius</w:t>
        </w:r>
      </w:hyperlink>
      <w:r>
        <w:rPr>
          <w:b w:val="0"/>
          <w:i w:val="0"/>
        </w:rPr>
        <w:t>.</w:t>
      </w:r>
    </w:p>
    <w:p>
      <w:pPr>
        <w:widowControl/>
      </w:pPr>
      <w:r>
        <w:rPr>
          <w:b/>
          <w:i w:val="0"/>
        </w:rPr>
        <w:t>novum.</w:t>
      </w:r>
      <w:r>
        <w:rPr>
          <w:b w:val="0"/>
          <w:i w:val="0"/>
        </w:rPr>
        <w:t xml:space="preserve"> </w:t>
      </w:r>
      <w:hyperlink w:anchor="latin-record-0773">
        <w:r>
          <w:rPr>
            <w:color w:val="000000"/>
          </w:rPr>
          <w:t xml:space="preserve">novus / vetus</w:t>
        </w:r>
      </w:hyperlink>
      <w:r>
        <w:rPr>
          <w:b w:val="0"/>
          <w:i w:val="0"/>
        </w:rPr>
        <w:t>.</w:t>
      </w:r>
    </w:p>
    <w:p>
      <w:pPr>
        <w:widowControl/>
      </w:pPr>
      <w:r>
        <w:rPr>
          <w:b/>
          <w:i w:val="0"/>
        </w:rPr>
        <w:t>novus.</w:t>
      </w:r>
      <w:r>
        <w:rPr>
          <w:b w:val="0"/>
          <w:i w:val="0"/>
        </w:rPr>
        <w:t xml:space="preserve"> </w:t>
      </w:r>
      <w:hyperlink w:anchor="latin-record-0771">
        <w:r>
          <w:rPr>
            <w:color w:val="000000"/>
          </w:rPr>
          <w:t xml:space="preserve">novus / relinquere</w:t>
        </w:r>
      </w:hyperlink>
      <w:r>
        <w:rPr>
          <w:b w:val="0"/>
          <w:i w:val="0"/>
        </w:rPr>
        <w:t>.</w:t>
      </w:r>
    </w:p>
    <w:p>
      <w:pPr>
        <w:widowControl/>
      </w:pPr>
      <w:r>
        <w:rPr>
          <w:b/>
          <w:i w:val="0"/>
        </w:rPr>
        <w:t>nucam.</w:t>
      </w:r>
      <w:r>
        <w:rPr>
          <w:b w:val="0"/>
          <w:i w:val="0"/>
        </w:rPr>
        <w:t xml:space="preserve"> </w:t>
      </w:r>
      <w:hyperlink w:anchor="latin-record-0757">
        <w:r>
          <w:rPr>
            <w:color w:val="000000"/>
          </w:rPr>
          <w:t xml:space="preserve">nervus / nucha</w:t>
        </w:r>
      </w:hyperlink>
      <w:r>
        <w:rPr>
          <w:b w:val="0"/>
          <w:i w:val="0"/>
        </w:rPr>
        <w:t>.</w:t>
      </w:r>
    </w:p>
    <w:p>
      <w:pPr>
        <w:widowControl/>
      </w:pPr>
      <w:r>
        <w:rPr>
          <w:b/>
          <w:i w:val="0"/>
        </w:rPr>
        <w:t>nudam.</w:t>
      </w:r>
      <w:r>
        <w:rPr>
          <w:b w:val="0"/>
          <w:i w:val="0"/>
        </w:rPr>
        <w:t xml:space="preserve"> </w:t>
      </w:r>
      <w:hyperlink w:anchor="latin-record-0774">
        <w:r>
          <w:rPr>
            <w:color w:val="000000"/>
          </w:rPr>
          <w:t xml:space="preserve">nudus / adventitius</w:t>
        </w:r>
      </w:hyperlink>
      <w:r>
        <w:rPr>
          <w:b w:val="0"/>
          <w:i w:val="0"/>
        </w:rPr>
        <w:t>.</w:t>
      </w:r>
    </w:p>
    <w:p>
      <w:pPr>
        <w:widowControl/>
      </w:pPr>
      <w:r>
        <w:rPr>
          <w:b/>
          <w:i w:val="0"/>
        </w:rPr>
        <w:t>numeri.</w:t>
      </w:r>
      <w:r>
        <w:rPr>
          <w:b w:val="0"/>
          <w:i w:val="0"/>
        </w:rPr>
        <w:t xml:space="preserve"> </w:t>
      </w:r>
      <w:hyperlink w:anchor="latin-record-0775">
        <w:r>
          <w:rPr>
            <w:color w:val="000000"/>
          </w:rPr>
          <w:t xml:space="preserve">numerus / unicus / unire</w:t>
        </w:r>
      </w:hyperlink>
      <w:r>
        <w:rPr>
          <w:b w:val="0"/>
          <w:i w:val="0"/>
        </w:rPr>
        <w:t>.</w:t>
      </w:r>
    </w:p>
    <w:p>
      <w:pPr>
        <w:widowControl/>
      </w:pPr>
      <w:r>
        <w:rPr>
          <w:b/>
          <w:i w:val="0"/>
        </w:rPr>
        <w:t>numero.</w:t>
      </w:r>
      <w:r>
        <w:rPr>
          <w:b w:val="0"/>
          <w:i w:val="0"/>
        </w:rPr>
        <w:t xml:space="preserve"> </w:t>
      </w:r>
      <w:hyperlink w:anchor="latin-record-0775">
        <w:r>
          <w:rPr>
            <w:color w:val="000000"/>
          </w:rPr>
          <w:t xml:space="preserve">numerus / unicus / unire</w:t>
        </w:r>
      </w:hyperlink>
      <w:r>
        <w:rPr>
          <w:b w:val="0"/>
          <w:i w:val="0"/>
        </w:rPr>
        <w:t>.</w:t>
      </w:r>
    </w:p>
    <w:p>
      <w:pPr>
        <w:widowControl/>
      </w:pPr>
      <w:r>
        <w:rPr>
          <w:b/>
          <w:i w:val="0"/>
        </w:rPr>
        <w:t>numerorum.</w:t>
      </w:r>
      <w:r>
        <w:rPr>
          <w:b w:val="0"/>
          <w:i w:val="0"/>
        </w:rPr>
        <w:t xml:space="preserve"> </w:t>
      </w:r>
      <w:hyperlink w:anchor="latin-record-0775">
        <w:r>
          <w:rPr>
            <w:color w:val="000000"/>
          </w:rPr>
          <w:t xml:space="preserve">numerus / unicus / unire</w:t>
        </w:r>
      </w:hyperlink>
      <w:r>
        <w:rPr>
          <w:b w:val="0"/>
          <w:i w:val="0"/>
        </w:rPr>
        <w:t>.</w:t>
      </w:r>
    </w:p>
    <w:p>
      <w:pPr>
        <w:widowControl/>
      </w:pPr>
      <w:r>
        <w:rPr>
          <w:b/>
          <w:i w:val="0"/>
        </w:rPr>
        <w:t>numeros.</w:t>
      </w:r>
      <w:r>
        <w:rPr>
          <w:b w:val="0"/>
          <w:i w:val="0"/>
        </w:rPr>
        <w:t xml:space="preserve"> </w:t>
      </w:r>
      <w:hyperlink w:anchor="latin-record-0775">
        <w:r>
          <w:rPr>
            <w:color w:val="000000"/>
          </w:rPr>
          <w:t xml:space="preserve">numerus / unicus / unire</w:t>
        </w:r>
      </w:hyperlink>
      <w:r>
        <w:rPr>
          <w:b w:val="0"/>
          <w:i w:val="0"/>
        </w:rPr>
        <w:t>.</w:t>
      </w:r>
    </w:p>
    <w:p>
      <w:pPr>
        <w:widowControl/>
      </w:pPr>
      <w:r>
        <w:rPr>
          <w:b/>
          <w:i w:val="0"/>
        </w:rPr>
        <w:t>numerum.</w:t>
      </w:r>
      <w:r>
        <w:rPr>
          <w:b w:val="0"/>
          <w:i w:val="0"/>
        </w:rPr>
        <w:t xml:space="preserve"> </w:t>
      </w:r>
      <w:hyperlink w:anchor="latin-record-0775">
        <w:r>
          <w:rPr>
            <w:color w:val="000000"/>
          </w:rPr>
          <w:t xml:space="preserve">numerus / unicus / unire</w:t>
        </w:r>
      </w:hyperlink>
      <w:r>
        <w:rPr>
          <w:b w:val="0"/>
          <w:i w:val="0"/>
        </w:rPr>
        <w:t>.</w:t>
      </w:r>
    </w:p>
    <w:p>
      <w:pPr>
        <w:widowControl/>
      </w:pPr>
      <w:r>
        <w:rPr>
          <w:b/>
          <w:i w:val="0"/>
        </w:rPr>
        <w:t>numerum se moventem.</w:t>
      </w:r>
      <w:r>
        <w:rPr>
          <w:b w:val="0"/>
          <w:i w:val="0"/>
        </w:rPr>
        <w:t xml:space="preserve"> </w:t>
      </w:r>
      <w:hyperlink w:anchor="latin-record-0776">
        <w:r>
          <w:rPr>
            <w:color w:val="000000"/>
          </w:rPr>
          <w:t xml:space="preserve">numerus se movens</w:t>
        </w:r>
      </w:hyperlink>
      <w:r>
        <w:rPr>
          <w:b w:val="0"/>
          <w:i w:val="0"/>
        </w:rPr>
        <w:t>.</w:t>
      </w:r>
    </w:p>
    <w:p>
      <w:pPr>
        <w:widowControl/>
      </w:pPr>
      <w:r>
        <w:rPr>
          <w:b/>
          <w:i w:val="0"/>
        </w:rPr>
        <w:t>numerus.</w:t>
      </w:r>
      <w:r>
        <w:rPr>
          <w:b w:val="0"/>
          <w:i w:val="0"/>
        </w:rPr>
        <w:t xml:space="preserve"> </w:t>
      </w:r>
      <w:hyperlink w:anchor="latin-record-0775">
        <w:r>
          <w:rPr>
            <w:color w:val="000000"/>
          </w:rPr>
          <w:t xml:space="preserve">numerus / unicus / unire</w:t>
        </w:r>
      </w:hyperlink>
      <w:r>
        <w:rPr>
          <w:b w:val="0"/>
          <w:i w:val="0"/>
        </w:rPr>
        <w:t>.</w:t>
      </w:r>
    </w:p>
    <w:p>
      <w:pPr>
        <w:widowControl/>
      </w:pPr>
      <w:r>
        <w:rPr>
          <w:b/>
          <w:i w:val="0"/>
        </w:rPr>
        <w:t>nuncupantur.</w:t>
      </w:r>
      <w:r>
        <w:rPr>
          <w:b w:val="0"/>
          <w:i w:val="0"/>
        </w:rPr>
        <w:t xml:space="preserve"> </w:t>
      </w:r>
      <w:hyperlink w:anchor="latin-record-0316">
        <w:r>
          <w:rPr>
            <w:color w:val="000000"/>
          </w:rPr>
          <w:t xml:space="preserve">dicere / vocare / appellare</w:t>
        </w:r>
      </w:hyperlink>
      <w:r>
        <w:rPr>
          <w:b w:val="0"/>
          <w:i w:val="0"/>
        </w:rPr>
        <w:t>.</w:t>
      </w:r>
    </w:p>
    <w:p>
      <w:pPr>
        <w:widowControl/>
      </w:pPr>
      <w:r>
        <w:rPr>
          <w:b/>
          <w:i w:val="0"/>
        </w:rPr>
        <w:t>nuntiosque.</w:t>
      </w:r>
      <w:r>
        <w:rPr>
          <w:b w:val="0"/>
          <w:i w:val="0"/>
        </w:rPr>
        <w:t xml:space="preserve"> </w:t>
      </w:r>
      <w:hyperlink w:anchor="latin-record-0068">
        <w:r>
          <w:rPr>
            <w:color w:val="000000"/>
          </w:rPr>
          <w:t xml:space="preserve">angelus / nuntius</w:t>
        </w:r>
      </w:hyperlink>
      <w:r>
        <w:rPr>
          <w:b w:val="0"/>
          <w:i w:val="0"/>
        </w:rPr>
        <w:t>.</w:t>
      </w:r>
    </w:p>
    <w:p>
      <w:pPr>
        <w:widowControl/>
      </w:pPr>
      <w:r>
        <w:rPr>
          <w:b/>
          <w:i w:val="0"/>
        </w:rPr>
        <w:t>nuper.</w:t>
      </w:r>
      <w:r>
        <w:rPr>
          <w:b w:val="0"/>
          <w:i w:val="0"/>
        </w:rPr>
        <w:t xml:space="preserve"> </w:t>
      </w:r>
      <w:hyperlink w:anchor="latin-record-0777">
        <w:r>
          <w:rPr>
            <w:color w:val="000000"/>
          </w:rPr>
          <w:t xml:space="preserve">nuper / semel / diuturnior / perpetuo / generatio / successio</w:t>
        </w:r>
      </w:hyperlink>
      <w:r>
        <w:rPr>
          <w:b w:val="0"/>
          <w:i w:val="0"/>
        </w:rPr>
        <w:t>.</w:t>
      </w:r>
    </w:p>
    <w:p>
      <w:pPr>
        <w:widowControl/>
      </w:pPr>
      <w:r>
        <w:rPr>
          <w:b/>
          <w:i w:val="0"/>
        </w:rPr>
        <w:t>nusquam.</w:t>
      </w:r>
      <w:r>
        <w:rPr>
          <w:b w:val="0"/>
          <w:i w:val="0"/>
        </w:rPr>
        <w:t xml:space="preserve"> </w:t>
      </w:r>
      <w:hyperlink w:anchor="latin-record-1214">
        <w:r>
          <w:rPr>
            <w:color w:val="000000"/>
          </w:rPr>
          <w:t xml:space="preserve">ubique / nusquam / ubi</w:t>
        </w:r>
      </w:hyperlink>
      <w:r>
        <w:rPr>
          <w:b w:val="0"/>
          <w:i w:val="0"/>
        </w:rPr>
        <w:t>.</w:t>
      </w:r>
    </w:p>
    <w:p>
      <w:pPr>
        <w:widowControl/>
      </w:pPr>
      <w:r>
        <w:rPr>
          <w:b/>
          <w:i w:val="0"/>
        </w:rPr>
        <w:t>Nusquam.</w:t>
      </w:r>
      <w:r>
        <w:rPr>
          <w:b w:val="0"/>
          <w:i w:val="0"/>
        </w:rPr>
        <w:t xml:space="preserve"> </w:t>
      </w:r>
      <w:hyperlink w:anchor="latin-record-1214">
        <w:r>
          <w:rPr>
            <w:color w:val="000000"/>
          </w:rPr>
          <w:t xml:space="preserve">ubique / nusquam / ubi</w:t>
        </w:r>
      </w:hyperlink>
      <w:r>
        <w:rPr>
          <w:b w:val="0"/>
          <w:i w:val="0"/>
        </w:rPr>
        <w:t>.</w:t>
      </w:r>
    </w:p>
    <w:p>
      <w:pPr>
        <w:widowControl/>
      </w:pPr>
      <w:r>
        <w:rPr>
          <w:b/>
          <w:i w:val="0"/>
        </w:rPr>
        <w:t>nutricem.</w:t>
      </w:r>
      <w:r>
        <w:rPr>
          <w:b w:val="0"/>
          <w:i w:val="0"/>
        </w:rPr>
        <w:t xml:space="preserve"> </w:t>
      </w:r>
      <w:hyperlink w:anchor="latin-record-0780">
        <w:r>
          <w:rPr>
            <w:color w:val="000000"/>
          </w:rPr>
          <w:t xml:space="preserve">nutrix</w:t>
        </w:r>
      </w:hyperlink>
      <w:r>
        <w:rPr>
          <w:b w:val="0"/>
          <w:i w:val="0"/>
        </w:rPr>
        <w:t>.</w:t>
      </w:r>
    </w:p>
    <w:p>
      <w:pPr>
        <w:widowControl/>
      </w:pPr>
      <w:r>
        <w:rPr>
          <w:b/>
          <w:i w:val="0"/>
        </w:rPr>
        <w:t>nutrimentum.</w:t>
      </w:r>
      <w:r>
        <w:rPr>
          <w:b w:val="0"/>
          <w:i w:val="0"/>
        </w:rPr>
        <w:t xml:space="preserve"> </w:t>
      </w:r>
      <w:hyperlink w:anchor="latin-record-0778">
        <w:r>
          <w:rPr>
            <w:color w:val="000000"/>
          </w:rPr>
          <w:t xml:space="preserve">nutrimentum / alimentum</w:t>
        </w:r>
      </w:hyperlink>
      <w:r>
        <w:rPr>
          <w:b w:val="0"/>
          <w:i w:val="0"/>
        </w:rPr>
        <w:t>.</w:t>
      </w:r>
    </w:p>
    <w:p>
      <w:pPr>
        <w:widowControl/>
      </w:pPr>
      <w:r>
        <w:rPr>
          <w:b/>
          <w:i w:val="0"/>
        </w:rPr>
        <w:t>nutrire.</w:t>
      </w:r>
      <w:r>
        <w:rPr>
          <w:b w:val="0"/>
          <w:i w:val="0"/>
        </w:rPr>
        <w:t xml:space="preserve"> </w:t>
      </w:r>
      <w:hyperlink w:anchor="latin-record-0779">
        <w:r>
          <w:rPr>
            <w:color w:val="000000"/>
          </w:rPr>
          <w:t xml:space="preserve">nutrire / nutritio</w:t>
        </w:r>
      </w:hyperlink>
      <w:r>
        <w:rPr>
          <w:b w:val="0"/>
          <w:i w:val="0"/>
        </w:rPr>
        <w:t>.</w:t>
      </w:r>
    </w:p>
    <w:p>
      <w:pPr>
        <w:widowControl/>
      </w:pPr>
      <w:r>
        <w:rPr>
          <w:b/>
          <w:i w:val="0"/>
        </w:rPr>
        <w:t>nutriri.</w:t>
      </w:r>
      <w:r>
        <w:rPr>
          <w:b w:val="0"/>
          <w:i w:val="0"/>
        </w:rPr>
        <w:t xml:space="preserve"> </w:t>
      </w:r>
      <w:hyperlink w:anchor="latin-record-0779">
        <w:r>
          <w:rPr>
            <w:color w:val="000000"/>
          </w:rPr>
          <w:t xml:space="preserve">nutrire / nutritio</w:t>
        </w:r>
      </w:hyperlink>
      <w:r>
        <w:rPr>
          <w:b w:val="0"/>
          <w:i w:val="0"/>
        </w:rPr>
        <w:t>.</w:t>
      </w:r>
    </w:p>
    <w:p>
      <w:pPr>
        <w:widowControl/>
      </w:pPr>
      <w:r>
        <w:rPr>
          <w:b/>
          <w:i w:val="0"/>
        </w:rPr>
        <w:t>nutrit.</w:t>
      </w:r>
      <w:r>
        <w:rPr>
          <w:b w:val="0"/>
          <w:i w:val="0"/>
        </w:rPr>
        <w:t xml:space="preserve"> </w:t>
      </w:r>
      <w:hyperlink w:anchor="latin-record-0047">
        <w:r>
          <w:rPr>
            <w:color w:val="000000"/>
          </w:rPr>
          <w:t xml:space="preserve">alere / nutrire / digerere</w:t>
        </w:r>
      </w:hyperlink>
      <w:r>
        <w:rPr>
          <w:b w:val="0"/>
          <w:i w:val="0"/>
        </w:rPr>
        <w:t>.</w:t>
      </w:r>
    </w:p>
    <w:p>
      <w:pPr>
        <w:widowControl/>
      </w:pPr>
      <w:r>
        <w:rPr>
          <w:b/>
          <w:i w:val="0"/>
        </w:rPr>
        <w:t>nutritio.</w:t>
      </w:r>
      <w:r>
        <w:rPr>
          <w:b w:val="0"/>
          <w:i w:val="0"/>
        </w:rPr>
        <w:t xml:space="preserve"> </w:t>
      </w:r>
      <w:hyperlink w:anchor="latin-record-0779">
        <w:r>
          <w:rPr>
            <w:color w:val="000000"/>
          </w:rPr>
          <w:t xml:space="preserve">nutrire / nutritio</w:t>
        </w:r>
      </w:hyperlink>
      <w:r>
        <w:rPr>
          <w:b w:val="0"/>
          <w:i w:val="0"/>
        </w:rPr>
        <w:t>.</w:t>
      </w:r>
    </w:p>
    <w:p>
      <w:pPr>
        <w:widowControl/>
      </w:pPr>
      <w:r>
        <w:rPr>
          <w:b/>
          <w:i w:val="0"/>
        </w:rPr>
        <w:t>nutritionis.</w:t>
      </w:r>
      <w:r>
        <w:rPr>
          <w:b w:val="0"/>
          <w:i w:val="0"/>
        </w:rPr>
        <w:t xml:space="preserve"> </w:t>
      </w:r>
      <w:hyperlink w:anchor="latin-record-0779">
        <w:r>
          <w:rPr>
            <w:color w:val="000000"/>
          </w:rPr>
          <w:t xml:space="preserve">nutrire / nutritio</w:t>
        </w:r>
      </w:hyperlink>
      <w:r>
        <w:rPr>
          <w:b w:val="0"/>
          <w:i w:val="0"/>
        </w:rPr>
        <w:t>.</w:t>
      </w:r>
    </w:p>
    <w:p>
      <w:pPr>
        <w:widowControl/>
      </w:pPr>
      <w:r>
        <w:rPr>
          <w:b/>
          <w:i w:val="0"/>
        </w:rPr>
        <w:t>nutu.</w:t>
      </w:r>
      <w:r>
        <w:rPr>
          <w:b w:val="0"/>
          <w:i w:val="0"/>
        </w:rPr>
        <w:t xml:space="preserve"> </w:t>
      </w:r>
      <w:hyperlink w:anchor="latin-record-0782">
        <w:r>
          <w:rPr>
            <w:color w:val="000000"/>
          </w:rPr>
          <w:t xml:space="preserve">nutus / vibrare</w:t>
        </w:r>
      </w:hyperlink>
      <w:r>
        <w:rPr>
          <w:b w:val="0"/>
          <w:i w:val="0"/>
        </w:rPr>
        <w:t xml:space="preserve">; </w:t>
      </w:r>
      <w:hyperlink w:anchor="latin-record-0783">
        <w:r>
          <w:rPr>
            <w:color w:val="000000"/>
          </w:rPr>
          <w:t xml:space="preserve">nutus / vibrare / centrum</w:t>
        </w:r>
      </w:hyperlink>
      <w:r>
        <w:rPr>
          <w:b w:val="0"/>
          <w:i w:val="0"/>
        </w:rPr>
        <w:t>.</w:t>
      </w:r>
    </w:p>
    <w:p>
      <w:pPr>
        <w:widowControl/>
      </w:pPr>
      <w:r>
        <w:rPr>
          <w:b/>
          <w:i w:val="0"/>
        </w:rPr>
        <w:t>nutu oculi.</w:t>
      </w:r>
      <w:r>
        <w:rPr>
          <w:b w:val="0"/>
          <w:i w:val="0"/>
        </w:rPr>
        <w:t xml:space="preserve"> </w:t>
      </w:r>
      <w:hyperlink w:anchor="latin-record-0781">
        <w:r>
          <w:rPr>
            <w:color w:val="000000"/>
          </w:rPr>
          <w:t xml:space="preserve">nutu oculi</w:t>
        </w:r>
      </w:hyperlink>
      <w:r>
        <w:rPr>
          <w:b w:val="0"/>
          <w:i w:val="0"/>
        </w:rPr>
        <w:t>.</w:t>
      </w:r>
    </w:p>
    <w:p>
      <w:pPr>
        <w:widowControl/>
      </w:pPr>
      <w:r>
        <w:rPr>
          <w:b/>
          <w:i w:val="0"/>
        </w:rPr>
        <w:t>oberras.</w:t>
      </w:r>
      <w:r>
        <w:rPr>
          <w:b w:val="0"/>
          <w:i w:val="0"/>
        </w:rPr>
        <w:t xml:space="preserve"> </w:t>
      </w:r>
      <w:hyperlink w:anchor="latin-record-1206">
        <w:r>
          <w:rPr>
            <w:color w:val="000000"/>
          </w:rPr>
          <w:t xml:space="preserve">trames / oberrare</w:t>
        </w:r>
      </w:hyperlink>
      <w:r>
        <w:rPr>
          <w:b w:val="0"/>
          <w:i w:val="0"/>
        </w:rPr>
        <w:t>.</w:t>
      </w:r>
    </w:p>
    <w:p>
      <w:pPr>
        <w:widowControl/>
      </w:pPr>
      <w:r>
        <w:rPr>
          <w:b/>
          <w:i w:val="0"/>
        </w:rPr>
        <w:t>obiecto.</w:t>
      </w:r>
      <w:r>
        <w:rPr>
          <w:b w:val="0"/>
          <w:i w:val="0"/>
        </w:rPr>
        <w:t xml:space="preserve"> </w:t>
      </w:r>
      <w:hyperlink w:anchor="latin-record-0784">
        <w:r>
          <w:rPr>
            <w:color w:val="000000"/>
          </w:rPr>
          <w:t xml:space="preserve">obiectum</w:t>
        </w:r>
      </w:hyperlink>
      <w:r>
        <w:rPr>
          <w:b w:val="0"/>
          <w:i w:val="0"/>
        </w:rPr>
        <w:t xml:space="preserve">; </w:t>
      </w:r>
      <w:hyperlink w:anchor="latin-record-0785">
        <w:r>
          <w:rPr>
            <w:color w:val="000000"/>
          </w:rPr>
          <w:t xml:space="preserve">obiectum / proximus</w:t>
        </w:r>
      </w:hyperlink>
      <w:r>
        <w:rPr>
          <w:b w:val="0"/>
          <w:i w:val="0"/>
        </w:rPr>
        <w:t>.</w:t>
      </w:r>
    </w:p>
    <w:p>
      <w:pPr>
        <w:widowControl/>
      </w:pPr>
      <w:r>
        <w:rPr>
          <w:b/>
          <w:i w:val="0"/>
        </w:rPr>
        <w:t>obiectum.</w:t>
      </w:r>
      <w:r>
        <w:rPr>
          <w:b w:val="0"/>
          <w:i w:val="0"/>
        </w:rPr>
        <w:t xml:space="preserve"> </w:t>
      </w:r>
      <w:hyperlink w:anchor="latin-record-0784">
        <w:r>
          <w:rPr>
            <w:color w:val="000000"/>
          </w:rPr>
          <w:t xml:space="preserve">obiectum</w:t>
        </w:r>
      </w:hyperlink>
      <w:r>
        <w:rPr>
          <w:b w:val="0"/>
          <w:i w:val="0"/>
        </w:rPr>
        <w:t xml:space="preserve">; </w:t>
      </w:r>
      <w:hyperlink w:anchor="latin-record-0785">
        <w:r>
          <w:rPr>
            <w:color w:val="000000"/>
          </w:rPr>
          <w:t xml:space="preserve">obiectum / proximus</w:t>
        </w:r>
      </w:hyperlink>
      <w:r>
        <w:rPr>
          <w:b w:val="0"/>
          <w:i w:val="0"/>
        </w:rPr>
        <w:t>.</w:t>
      </w:r>
    </w:p>
    <w:p>
      <w:pPr>
        <w:widowControl/>
      </w:pPr>
      <w:r>
        <w:rPr>
          <w:b/>
          <w:i w:val="0"/>
        </w:rPr>
        <w:t>obnoxia.</w:t>
      </w:r>
      <w:r>
        <w:rPr>
          <w:b w:val="0"/>
          <w:i w:val="0"/>
        </w:rPr>
        <w:t xml:space="preserve"> </w:t>
      </w:r>
      <w:hyperlink w:anchor="latin-record-0786">
        <w:r>
          <w:rPr>
            <w:color w:val="000000"/>
          </w:rPr>
          <w:t xml:space="preserve">obnoxius / ineptus</w:t>
        </w:r>
      </w:hyperlink>
      <w:r>
        <w:rPr>
          <w:b w:val="0"/>
          <w:i w:val="0"/>
        </w:rPr>
        <w:t>.</w:t>
      </w:r>
    </w:p>
    <w:p>
      <w:pPr>
        <w:widowControl/>
      </w:pPr>
      <w:r>
        <w:rPr>
          <w:b/>
          <w:i w:val="0"/>
        </w:rPr>
        <w:t>obscura.</w:t>
      </w:r>
      <w:r>
        <w:rPr>
          <w:b w:val="0"/>
          <w:i w:val="0"/>
        </w:rPr>
        <w:t xml:space="preserve"> </w:t>
      </w:r>
      <w:hyperlink w:anchor="latin-record-0651">
        <w:r>
          <w:rPr>
            <w:color w:val="000000"/>
          </w:rPr>
          <w:t xml:space="preserve">lucidus / obscurus</w:t>
        </w:r>
      </w:hyperlink>
      <w:r>
        <w:rPr>
          <w:b w:val="0"/>
          <w:i w:val="0"/>
        </w:rPr>
        <w:t>.</w:t>
      </w:r>
    </w:p>
    <w:p>
      <w:pPr>
        <w:widowControl/>
      </w:pPr>
      <w:r>
        <w:rPr>
          <w:b/>
          <w:i w:val="0"/>
        </w:rPr>
        <w:t>obscurus.</w:t>
      </w:r>
      <w:r>
        <w:rPr>
          <w:b w:val="0"/>
          <w:i w:val="0"/>
        </w:rPr>
        <w:t xml:space="preserve"> </w:t>
      </w:r>
      <w:hyperlink w:anchor="latin-record-0651">
        <w:r>
          <w:rPr>
            <w:color w:val="000000"/>
          </w:rPr>
          <w:t xml:space="preserve">lucidus / obscurus</w:t>
        </w:r>
      </w:hyperlink>
      <w:r>
        <w:rPr>
          <w:b w:val="0"/>
          <w:i w:val="0"/>
        </w:rPr>
        <w:t>.</w:t>
      </w:r>
    </w:p>
    <w:p>
      <w:pPr>
        <w:widowControl/>
      </w:pPr>
      <w:r>
        <w:rPr>
          <w:b/>
          <w:i w:val="0"/>
        </w:rPr>
        <w:t>obstat.</w:t>
      </w:r>
      <w:r>
        <w:rPr>
          <w:b w:val="0"/>
          <w:i w:val="0"/>
        </w:rPr>
        <w:t xml:space="preserve"> </w:t>
      </w:r>
      <w:hyperlink w:anchor="latin-record-0535">
        <w:r>
          <w:rPr>
            <w:color w:val="000000"/>
          </w:rPr>
          <w:t xml:space="preserve">impedire / obesse</w:t>
        </w:r>
      </w:hyperlink>
      <w:r>
        <w:rPr>
          <w:b w:val="0"/>
          <w:i w:val="0"/>
        </w:rPr>
        <w:t xml:space="preserve">; </w:t>
      </w:r>
      <w:hyperlink w:anchor="latin-record-0848">
        <w:r>
          <w:rPr>
            <w:color w:val="000000"/>
          </w:rPr>
          <w:t xml:space="preserve">penetrare / resistere / obstare</w:t>
        </w:r>
      </w:hyperlink>
      <w:r>
        <w:rPr>
          <w:b w:val="0"/>
          <w:i w:val="0"/>
        </w:rPr>
        <w:t>.</w:t>
      </w:r>
    </w:p>
    <w:p>
      <w:pPr>
        <w:widowControl/>
      </w:pPr>
      <w:r>
        <w:rPr>
          <w:b/>
          <w:i w:val="0"/>
        </w:rPr>
        <w:t>obtigit.</w:t>
      </w:r>
      <w:r>
        <w:rPr>
          <w:b w:val="0"/>
          <w:i w:val="0"/>
        </w:rPr>
        <w:t xml:space="preserve"> </w:t>
      </w:r>
      <w:hyperlink w:anchor="latin-record-0152">
        <w:r>
          <w:rPr>
            <w:color w:val="000000"/>
          </w:rPr>
          <w:t xml:space="preserve">casus / contingere</w:t>
        </w:r>
      </w:hyperlink>
      <w:r>
        <w:rPr>
          <w:b w:val="0"/>
          <w:i w:val="0"/>
        </w:rPr>
        <w:t>.</w:t>
      </w:r>
    </w:p>
    <w:p>
      <w:pPr>
        <w:widowControl/>
      </w:pPr>
      <w:r>
        <w:rPr>
          <w:b/>
          <w:i w:val="0"/>
        </w:rPr>
        <w:t>obtinens.</w:t>
      </w:r>
      <w:r>
        <w:rPr>
          <w:b w:val="0"/>
          <w:i w:val="0"/>
        </w:rPr>
        <w:t xml:space="preserve"> </w:t>
      </w:r>
      <w:hyperlink w:anchor="latin-record-0787">
        <w:r>
          <w:rPr>
            <w:color w:val="000000"/>
          </w:rPr>
          <w:t xml:space="preserve">obtineo</w:t>
        </w:r>
      </w:hyperlink>
      <w:r>
        <w:rPr>
          <w:b w:val="0"/>
          <w:i w:val="0"/>
        </w:rPr>
        <w:t>.</w:t>
      </w:r>
    </w:p>
    <w:p>
      <w:pPr>
        <w:widowControl/>
      </w:pPr>
      <w:r>
        <w:rPr>
          <w:b/>
          <w:i w:val="0"/>
        </w:rPr>
        <w:t>obtundit.</w:t>
      </w:r>
      <w:r>
        <w:rPr>
          <w:b w:val="0"/>
          <w:i w:val="0"/>
        </w:rPr>
        <w:t xml:space="preserve"> </w:t>
      </w:r>
      <w:hyperlink w:anchor="latin-record-0788">
        <w:r>
          <w:rPr>
            <w:color w:val="000000"/>
          </w:rPr>
          <w:t xml:space="preserve">obtundere / fecundia</w:t>
        </w:r>
      </w:hyperlink>
      <w:r>
        <w:rPr>
          <w:b w:val="0"/>
          <w:i w:val="0"/>
        </w:rPr>
        <w:t>.</w:t>
      </w:r>
    </w:p>
    <w:p>
      <w:pPr>
        <w:widowControl/>
      </w:pPr>
      <w:r>
        <w:rPr>
          <w:b/>
          <w:i w:val="0"/>
        </w:rPr>
        <w:t>occasionem nacti.</w:t>
      </w:r>
      <w:r>
        <w:rPr>
          <w:b w:val="0"/>
          <w:i w:val="0"/>
        </w:rPr>
        <w:t xml:space="preserve"> </w:t>
      </w:r>
      <w:hyperlink w:anchor="latin-record-0789">
        <w:r>
          <w:rPr>
            <w:color w:val="000000"/>
          </w:rPr>
          <w:t xml:space="preserve">occasio / nancisci</w:t>
        </w:r>
      </w:hyperlink>
      <w:r>
        <w:rPr>
          <w:b w:val="0"/>
          <w:i w:val="0"/>
        </w:rPr>
        <w:t>.</w:t>
      </w:r>
    </w:p>
    <w:p>
      <w:pPr>
        <w:widowControl/>
      </w:pPr>
      <w:r>
        <w:rPr>
          <w:b/>
          <w:i w:val="0"/>
        </w:rPr>
        <w:t>Oceanum.</w:t>
      </w:r>
      <w:r>
        <w:rPr>
          <w:b w:val="0"/>
          <w:i w:val="0"/>
        </w:rPr>
        <w:t xml:space="preserve"> </w:t>
      </w:r>
      <w:hyperlink w:anchor="latin-record-0790">
        <w:r>
          <w:rPr>
            <w:color w:val="000000"/>
          </w:rPr>
          <w:t xml:space="preserve">Oceanus / Thetis</w:t>
        </w:r>
      </w:hyperlink>
      <w:r>
        <w:rPr>
          <w:b w:val="0"/>
          <w:i w:val="0"/>
        </w:rPr>
        <w:t>.</w:t>
      </w:r>
    </w:p>
    <w:p>
      <w:pPr>
        <w:widowControl/>
      </w:pPr>
      <w:r>
        <w:rPr>
          <w:b/>
          <w:i w:val="0"/>
        </w:rPr>
        <w:t>oculi.</w:t>
      </w:r>
      <w:r>
        <w:rPr>
          <w:b w:val="0"/>
          <w:i w:val="0"/>
        </w:rPr>
        <w:t xml:space="preserve"> </w:t>
      </w:r>
      <w:hyperlink w:anchor="latin-record-0624">
        <w:r>
          <w:rPr>
            <w:color w:val="000000"/>
          </w:rPr>
          <w:t xml:space="preserve">Iuppiter / oculus</w:t>
        </w:r>
      </w:hyperlink>
      <w:r>
        <w:rPr>
          <w:b w:val="0"/>
          <w:i w:val="0"/>
        </w:rPr>
        <w:t>.</w:t>
      </w:r>
    </w:p>
    <w:p>
      <w:pPr>
        <w:widowControl/>
      </w:pPr>
      <w:r>
        <w:rPr>
          <w:b/>
          <w:i w:val="0"/>
        </w:rPr>
        <w:t>oculus.</w:t>
      </w:r>
      <w:r>
        <w:rPr>
          <w:b w:val="0"/>
          <w:i w:val="0"/>
        </w:rPr>
        <w:t xml:space="preserve"> </w:t>
      </w:r>
      <w:hyperlink w:anchor="latin-record-0624">
        <w:r>
          <w:rPr>
            <w:color w:val="000000"/>
          </w:rPr>
          <w:t xml:space="preserve">Iuppiter / oculus</w:t>
        </w:r>
      </w:hyperlink>
      <w:r>
        <w:rPr>
          <w:b w:val="0"/>
          <w:i w:val="0"/>
        </w:rPr>
        <w:t>.</w:t>
      </w:r>
    </w:p>
    <w:p>
      <w:pPr>
        <w:widowControl/>
      </w:pPr>
      <w:r>
        <w:rPr>
          <w:b/>
          <w:i w:val="0"/>
        </w:rPr>
        <w:t>odor.</w:t>
      </w:r>
      <w:r>
        <w:rPr>
          <w:b w:val="0"/>
          <w:i w:val="0"/>
        </w:rPr>
        <w:t xml:space="preserve"> </w:t>
      </w:r>
      <w:hyperlink w:anchor="latin-record-0353">
        <w:r>
          <w:rPr>
            <w:color w:val="000000"/>
          </w:rPr>
          <w:t xml:space="preserve">dulcedo / odor / flavus</w:t>
        </w:r>
      </w:hyperlink>
      <w:r>
        <w:rPr>
          <w:b w:val="0"/>
          <w:i w:val="0"/>
        </w:rPr>
        <w:t>.</w:t>
      </w:r>
    </w:p>
    <w:p>
      <w:pPr>
        <w:widowControl/>
      </w:pPr>
      <w:r>
        <w:rPr>
          <w:b/>
          <w:i w:val="0"/>
        </w:rPr>
        <w:t>offerat.</w:t>
      </w:r>
      <w:r>
        <w:rPr>
          <w:b w:val="0"/>
          <w:i w:val="0"/>
        </w:rPr>
        <w:t xml:space="preserve"> </w:t>
      </w:r>
      <w:hyperlink w:anchor="latin-record-0909">
        <w:r>
          <w:rPr>
            <w:color w:val="000000"/>
          </w:rPr>
          <w:t xml:space="preserve">praeparare / offerre</w:t>
        </w:r>
      </w:hyperlink>
      <w:r>
        <w:rPr>
          <w:b w:val="0"/>
          <w:i w:val="0"/>
        </w:rPr>
        <w:t>.</w:t>
      </w:r>
    </w:p>
    <w:p>
      <w:pPr>
        <w:widowControl/>
      </w:pPr>
      <w:r>
        <w:rPr>
          <w:b/>
          <w:i w:val="0"/>
        </w:rPr>
        <w:t>offert.</w:t>
      </w:r>
      <w:r>
        <w:rPr>
          <w:b w:val="0"/>
          <w:i w:val="0"/>
        </w:rPr>
        <w:t xml:space="preserve"> </w:t>
      </w:r>
      <w:hyperlink w:anchor="latin-record-0292">
        <w:r>
          <w:rPr>
            <w:color w:val="000000"/>
          </w:rPr>
          <w:t xml:space="preserve">dare / donare / exhibere</w:t>
        </w:r>
      </w:hyperlink>
      <w:r>
        <w:rPr>
          <w:b w:val="0"/>
          <w:i w:val="0"/>
        </w:rPr>
        <w:t>.</w:t>
      </w:r>
    </w:p>
    <w:p>
      <w:pPr>
        <w:widowControl/>
      </w:pPr>
      <w:r>
        <w:rPr>
          <w:b/>
          <w:i w:val="0"/>
        </w:rPr>
        <w:t>officio.</w:t>
      </w:r>
      <w:r>
        <w:rPr>
          <w:b w:val="0"/>
          <w:i w:val="0"/>
        </w:rPr>
        <w:t xml:space="preserve"> </w:t>
      </w:r>
      <w:hyperlink w:anchor="latin-record-0126">
        <w:r>
          <w:rPr>
            <w:color w:val="000000"/>
          </w:rPr>
          <w:t xml:space="preserve">beneficium / officium</w:t>
        </w:r>
      </w:hyperlink>
      <w:r>
        <w:rPr>
          <w:b w:val="0"/>
          <w:i w:val="0"/>
        </w:rPr>
        <w:t xml:space="preserve">; </w:t>
      </w:r>
      <w:hyperlink w:anchor="latin-record-0791">
        <w:r>
          <w:rPr>
            <w:color w:val="000000"/>
          </w:rPr>
          <w:t xml:space="preserve">officium / perseverare</w:t>
        </w:r>
      </w:hyperlink>
      <w:r>
        <w:rPr>
          <w:b w:val="0"/>
          <w:i w:val="0"/>
        </w:rPr>
        <w:t>.</w:t>
      </w:r>
    </w:p>
    <w:p>
      <w:pPr>
        <w:widowControl/>
      </w:pPr>
      <w:r>
        <w:rPr>
          <w:b/>
          <w:i w:val="0"/>
        </w:rPr>
        <w:t>omittam.</w:t>
      </w:r>
      <w:r>
        <w:rPr>
          <w:b w:val="0"/>
          <w:i w:val="0"/>
        </w:rPr>
        <w:t xml:space="preserve"> </w:t>
      </w:r>
      <w:hyperlink w:anchor="latin-record-0021">
        <w:r>
          <w:rPr>
            <w:color w:val="000000"/>
          </w:rPr>
          <w:t xml:space="preserve">addere / mittere / omittere</w:t>
        </w:r>
      </w:hyperlink>
      <w:r>
        <w:rPr>
          <w:b w:val="0"/>
          <w:i w:val="0"/>
        </w:rPr>
        <w:t>.</w:t>
      </w:r>
    </w:p>
    <w:p>
      <w:pPr>
        <w:widowControl/>
      </w:pPr>
      <w:r>
        <w:rPr>
          <w:b/>
          <w:i w:val="0"/>
        </w:rPr>
        <w:t>omnicolorem.</w:t>
      </w:r>
      <w:r>
        <w:rPr>
          <w:b w:val="0"/>
          <w:i w:val="0"/>
        </w:rPr>
        <w:t xml:space="preserve"> </w:t>
      </w:r>
      <w:hyperlink w:anchor="latin-record-0792">
        <w:r>
          <w:rPr>
            <w:color w:val="000000"/>
          </w:rPr>
          <w:t xml:space="preserve">omniformis / unicolor / omnicolor</w:t>
        </w:r>
      </w:hyperlink>
      <w:r>
        <w:rPr>
          <w:b w:val="0"/>
          <w:i w:val="0"/>
        </w:rPr>
        <w:t>.</w:t>
      </w:r>
    </w:p>
    <w:p>
      <w:pPr>
        <w:widowControl/>
      </w:pPr>
      <w:r>
        <w:rPr>
          <w:b/>
          <w:i w:val="0"/>
        </w:rPr>
        <w:t>omniformem.</w:t>
      </w:r>
      <w:r>
        <w:rPr>
          <w:b w:val="0"/>
          <w:i w:val="0"/>
        </w:rPr>
        <w:t xml:space="preserve"> </w:t>
      </w:r>
      <w:hyperlink w:anchor="latin-record-0792">
        <w:r>
          <w:rPr>
            <w:color w:val="000000"/>
          </w:rPr>
          <w:t xml:space="preserve">omniformis / unicolor / omnicolor</w:t>
        </w:r>
      </w:hyperlink>
      <w:r>
        <w:rPr>
          <w:b w:val="0"/>
          <w:i w:val="0"/>
        </w:rPr>
        <w:t xml:space="preserve">; </w:t>
      </w:r>
      <w:hyperlink w:anchor="latin-record-0793">
        <w:r>
          <w:rPr>
            <w:color w:val="000000"/>
          </w:rPr>
          <w:t xml:space="preserve">omniformis / uniformis</w:t>
        </w:r>
      </w:hyperlink>
      <w:r>
        <w:rPr>
          <w:b w:val="0"/>
          <w:i w:val="0"/>
        </w:rPr>
        <w:t>.</w:t>
      </w:r>
    </w:p>
    <w:p>
      <w:pPr>
        <w:widowControl/>
      </w:pPr>
      <w:r>
        <w:rPr>
          <w:b/>
          <w:i w:val="0"/>
        </w:rPr>
        <w:t>omniformis.</w:t>
      </w:r>
      <w:r>
        <w:rPr>
          <w:b w:val="0"/>
          <w:i w:val="0"/>
        </w:rPr>
        <w:t xml:space="preserve"> </w:t>
      </w:r>
      <w:hyperlink w:anchor="latin-record-0793">
        <w:r>
          <w:rPr>
            <w:color w:val="000000"/>
          </w:rPr>
          <w:t xml:space="preserve">omniformis / uniformis</w:t>
        </w:r>
      </w:hyperlink>
      <w:r>
        <w:rPr>
          <w:b w:val="0"/>
          <w:i w:val="0"/>
        </w:rPr>
        <w:t>.</w:t>
      </w:r>
    </w:p>
    <w:p>
      <w:pPr>
        <w:widowControl/>
      </w:pPr>
      <w:r>
        <w:rPr>
          <w:b/>
          <w:i w:val="0"/>
        </w:rPr>
        <w:t>omnium.</w:t>
      </w:r>
      <w:r>
        <w:rPr>
          <w:b w:val="0"/>
          <w:i w:val="0"/>
        </w:rPr>
        <w:t xml:space="preserve"> </w:t>
      </w:r>
      <w:hyperlink w:anchor="latin-record-0794">
        <w:r>
          <w:rPr>
            <w:color w:val="000000"/>
          </w:rPr>
          <w:t xml:space="preserve">omnis / cunctus / singulus</w:t>
        </w:r>
      </w:hyperlink>
      <w:r>
        <w:rPr>
          <w:b w:val="0"/>
          <w:i w:val="0"/>
        </w:rPr>
        <w:t>.</w:t>
      </w:r>
    </w:p>
    <w:p>
      <w:pPr>
        <w:widowControl/>
      </w:pPr>
      <w:r>
        <w:rPr>
          <w:b/>
          <w:i w:val="0"/>
        </w:rPr>
        <w:t>onerari.</w:t>
      </w:r>
      <w:r>
        <w:rPr>
          <w:b w:val="0"/>
          <w:i w:val="0"/>
        </w:rPr>
        <w:t xml:space="preserve"> </w:t>
      </w:r>
      <w:hyperlink w:anchor="latin-record-1117">
        <w:r>
          <w:rPr>
            <w:color w:val="000000"/>
          </w:rPr>
          <w:t xml:space="preserve">sollicitare / sollicitudo / onerare</w:t>
        </w:r>
      </w:hyperlink>
      <w:r>
        <w:rPr>
          <w:b w:val="0"/>
          <w:i w:val="0"/>
        </w:rPr>
        <w:t>.</w:t>
      </w:r>
    </w:p>
    <w:p>
      <w:pPr>
        <w:widowControl/>
      </w:pPr>
      <w:r>
        <w:rPr>
          <w:b/>
          <w:i w:val="0"/>
        </w:rPr>
        <w:t>Onyx.</w:t>
      </w:r>
      <w:r>
        <w:rPr>
          <w:b w:val="0"/>
          <w:i w:val="0"/>
        </w:rPr>
        <w:t xml:space="preserve"> </w:t>
      </w:r>
      <w:hyperlink w:anchor="latin-record-0279">
        <w:r>
          <w:rPr>
            <w:color w:val="000000"/>
          </w:rPr>
          <w:t xml:space="preserve">Corneola / Onyx / Corallus</w:t>
        </w:r>
      </w:hyperlink>
      <w:r>
        <w:rPr>
          <w:b w:val="0"/>
          <w:i w:val="0"/>
        </w:rPr>
        <w:t>.</w:t>
      </w:r>
    </w:p>
    <w:p>
      <w:pPr>
        <w:widowControl/>
      </w:pPr>
      <w:r>
        <w:rPr>
          <w:b/>
          <w:i w:val="0"/>
        </w:rPr>
        <w:t>opaca.</w:t>
      </w:r>
      <w:r>
        <w:rPr>
          <w:b w:val="0"/>
          <w:i w:val="0"/>
        </w:rPr>
        <w:t xml:space="preserve"> </w:t>
      </w:r>
      <w:hyperlink w:anchor="latin-record-0795">
        <w:r>
          <w:rPr>
            <w:color w:val="000000"/>
          </w:rPr>
          <w:t xml:space="preserve">opacus</w:t>
        </w:r>
      </w:hyperlink>
      <w:r>
        <w:rPr>
          <w:b w:val="0"/>
          <w:i w:val="0"/>
        </w:rPr>
        <w:t>.</w:t>
      </w:r>
    </w:p>
    <w:p>
      <w:pPr>
        <w:widowControl/>
      </w:pPr>
      <w:r>
        <w:rPr>
          <w:b/>
          <w:i w:val="0"/>
        </w:rPr>
        <w:t>opaco.</w:t>
      </w:r>
      <w:r>
        <w:rPr>
          <w:b w:val="0"/>
          <w:i w:val="0"/>
        </w:rPr>
        <w:t xml:space="preserve"> </w:t>
      </w:r>
      <w:hyperlink w:anchor="latin-record-0796">
        <w:r>
          <w:rPr>
            <w:color w:val="000000"/>
          </w:rPr>
          <w:t xml:space="preserve">opacus / clarus</w:t>
        </w:r>
      </w:hyperlink>
      <w:r>
        <w:rPr>
          <w:b w:val="0"/>
          <w:i w:val="0"/>
        </w:rPr>
        <w:t>.</w:t>
      </w:r>
    </w:p>
    <w:p>
      <w:pPr>
        <w:widowControl/>
      </w:pPr>
      <w:r>
        <w:rPr>
          <w:b/>
          <w:i w:val="0"/>
        </w:rPr>
        <w:t>operari.</w:t>
      </w:r>
      <w:r>
        <w:rPr>
          <w:b w:val="0"/>
          <w:i w:val="0"/>
        </w:rPr>
        <w:t xml:space="preserve"> </w:t>
      </w:r>
      <w:hyperlink w:anchor="latin-record-0804">
        <w:r>
          <w:rPr>
            <w:color w:val="000000"/>
          </w:rPr>
          <w:t xml:space="preserve">opus / operari / operatio</w:t>
        </w:r>
      </w:hyperlink>
      <w:r>
        <w:rPr>
          <w:b w:val="0"/>
          <w:i w:val="0"/>
        </w:rPr>
        <w:t>.</w:t>
      </w:r>
    </w:p>
    <w:p>
      <w:pPr>
        <w:widowControl/>
      </w:pPr>
      <w:r>
        <w:rPr>
          <w:b/>
          <w:i w:val="0"/>
        </w:rPr>
        <w:t>operatio.</w:t>
      </w:r>
      <w:r>
        <w:rPr>
          <w:b w:val="0"/>
          <w:i w:val="0"/>
        </w:rPr>
        <w:t xml:space="preserve"> </w:t>
      </w:r>
      <w:hyperlink w:anchor="latin-record-0804">
        <w:r>
          <w:rPr>
            <w:color w:val="000000"/>
          </w:rPr>
          <w:t xml:space="preserve">opus / operari / operatio</w:t>
        </w:r>
      </w:hyperlink>
      <w:r>
        <w:rPr>
          <w:b w:val="0"/>
          <w:i w:val="0"/>
        </w:rPr>
        <w:t>.</w:t>
      </w:r>
    </w:p>
    <w:p>
      <w:pPr>
        <w:widowControl/>
      </w:pPr>
      <w:r>
        <w:rPr>
          <w:b/>
          <w:i w:val="0"/>
        </w:rPr>
        <w:t>operationem.</w:t>
      </w:r>
      <w:r>
        <w:rPr>
          <w:b w:val="0"/>
          <w:i w:val="0"/>
        </w:rPr>
        <w:t xml:space="preserve"> </w:t>
      </w:r>
      <w:hyperlink w:anchor="latin-record-0804">
        <w:r>
          <w:rPr>
            <w:color w:val="000000"/>
          </w:rPr>
          <w:t xml:space="preserve">opus / operari / operatio</w:t>
        </w:r>
      </w:hyperlink>
      <w:r>
        <w:rPr>
          <w:b w:val="0"/>
          <w:i w:val="0"/>
        </w:rPr>
        <w:t>.</w:t>
      </w:r>
    </w:p>
    <w:p>
      <w:pPr>
        <w:widowControl/>
      </w:pPr>
      <w:r>
        <w:rPr>
          <w:b/>
          <w:i w:val="0"/>
        </w:rPr>
        <w:t>operationis.</w:t>
      </w:r>
      <w:r>
        <w:rPr>
          <w:b w:val="0"/>
          <w:i w:val="0"/>
        </w:rPr>
        <w:t xml:space="preserve"> </w:t>
      </w:r>
      <w:hyperlink w:anchor="latin-record-0721">
        <w:r>
          <w:rPr>
            <w:color w:val="000000"/>
          </w:rPr>
          <w:t xml:space="preserve">motus / motio / operatio</w:t>
        </w:r>
      </w:hyperlink>
      <w:r>
        <w:rPr>
          <w:b w:val="0"/>
          <w:i w:val="0"/>
        </w:rPr>
        <w:t>.</w:t>
      </w:r>
    </w:p>
    <w:p>
      <w:pPr>
        <w:widowControl/>
      </w:pPr>
      <w:r>
        <w:rPr>
          <w:b/>
          <w:i w:val="0"/>
        </w:rPr>
        <w:t>operatur.</w:t>
      </w:r>
      <w:r>
        <w:rPr>
          <w:b w:val="0"/>
          <w:i w:val="0"/>
        </w:rPr>
        <w:t xml:space="preserve"> </w:t>
      </w:r>
      <w:hyperlink w:anchor="latin-record-0804">
        <w:r>
          <w:rPr>
            <w:color w:val="000000"/>
          </w:rPr>
          <w:t xml:space="preserve">opus / operari / operatio</w:t>
        </w:r>
      </w:hyperlink>
      <w:r>
        <w:rPr>
          <w:b w:val="0"/>
          <w:i w:val="0"/>
        </w:rPr>
        <w:t>.</w:t>
      </w:r>
    </w:p>
    <w:p>
      <w:pPr>
        <w:widowControl/>
      </w:pPr>
      <w:r>
        <w:rPr>
          <w:b/>
          <w:i w:val="0"/>
        </w:rPr>
        <w:t>operis.</w:t>
      </w:r>
      <w:r>
        <w:rPr>
          <w:b w:val="0"/>
          <w:i w:val="0"/>
        </w:rPr>
        <w:t xml:space="preserve"> </w:t>
      </w:r>
      <w:hyperlink w:anchor="latin-record-0803">
        <w:r>
          <w:rPr>
            <w:color w:val="000000"/>
          </w:rPr>
          <w:t xml:space="preserve">opus</w:t>
        </w:r>
      </w:hyperlink>
      <w:r>
        <w:rPr>
          <w:b w:val="0"/>
          <w:i w:val="0"/>
        </w:rPr>
        <w:t>.</w:t>
      </w:r>
    </w:p>
    <w:p>
      <w:pPr>
        <w:widowControl/>
      </w:pPr>
      <w:r>
        <w:rPr>
          <w:b/>
          <w:i w:val="0"/>
        </w:rPr>
        <w:t>opificem.</w:t>
      </w:r>
      <w:r>
        <w:rPr>
          <w:b w:val="0"/>
          <w:i w:val="0"/>
        </w:rPr>
        <w:t xml:space="preserve"> </w:t>
      </w:r>
      <w:hyperlink w:anchor="latin-record-0798">
        <w:r>
          <w:rPr>
            <w:color w:val="000000"/>
          </w:rPr>
          <w:t xml:space="preserve">opifex / architectus</w:t>
        </w:r>
      </w:hyperlink>
      <w:r>
        <w:rPr>
          <w:b w:val="0"/>
          <w:i w:val="0"/>
        </w:rPr>
        <w:t>.</w:t>
      </w:r>
    </w:p>
    <w:p>
      <w:pPr>
        <w:widowControl/>
      </w:pPr>
      <w:r>
        <w:rPr>
          <w:b/>
          <w:i w:val="0"/>
        </w:rPr>
        <w:t>opificis.</w:t>
      </w:r>
      <w:r>
        <w:rPr>
          <w:b w:val="0"/>
          <w:i w:val="0"/>
        </w:rPr>
        <w:t xml:space="preserve"> </w:t>
      </w:r>
      <w:hyperlink w:anchor="latin-record-0590">
        <w:r>
          <w:rPr>
            <w:color w:val="000000"/>
          </w:rPr>
          <w:t xml:space="preserve">instrumentum / opifex</w:t>
        </w:r>
      </w:hyperlink>
      <w:r>
        <w:rPr>
          <w:b w:val="0"/>
          <w:i w:val="0"/>
        </w:rPr>
        <w:t xml:space="preserve">; </w:t>
      </w:r>
      <w:hyperlink w:anchor="latin-record-0797">
        <w:r>
          <w:rPr>
            <w:color w:val="000000"/>
          </w:rPr>
          <w:t xml:space="preserve">opifex</w:t>
        </w:r>
      </w:hyperlink>
      <w:r>
        <w:rPr>
          <w:b w:val="0"/>
          <w:i w:val="0"/>
        </w:rPr>
        <w:t>.</w:t>
      </w:r>
    </w:p>
    <w:p>
      <w:pPr>
        <w:widowControl/>
      </w:pPr>
      <w:r>
        <w:rPr>
          <w:b/>
          <w:i w:val="0"/>
        </w:rPr>
        <w:t>opinantur.</w:t>
      </w:r>
      <w:r>
        <w:rPr>
          <w:b w:val="0"/>
          <w:i w:val="0"/>
        </w:rPr>
        <w:t xml:space="preserve"> </w:t>
      </w:r>
      <w:hyperlink w:anchor="latin-record-0405">
        <w:r>
          <w:rPr>
            <w:color w:val="000000"/>
          </w:rPr>
          <w:t xml:space="preserve">existimare / opinari / arbitrari</w:t>
        </w:r>
      </w:hyperlink>
      <w:r>
        <w:rPr>
          <w:b w:val="0"/>
          <w:i w:val="0"/>
        </w:rPr>
        <w:t>.</w:t>
      </w:r>
    </w:p>
    <w:p>
      <w:pPr>
        <w:widowControl/>
      </w:pPr>
      <w:r>
        <w:rPr>
          <w:b/>
          <w:i w:val="0"/>
        </w:rPr>
        <w:t>oportet.</w:t>
      </w:r>
      <w:r>
        <w:rPr>
          <w:b w:val="0"/>
          <w:i w:val="0"/>
        </w:rPr>
        <w:t xml:space="preserve"> </w:t>
      </w:r>
      <w:hyperlink w:anchor="latin-record-0747">
        <w:r>
          <w:rPr>
            <w:color w:val="000000"/>
          </w:rPr>
          <w:t xml:space="preserve">necesse / oportere</w:t>
        </w:r>
      </w:hyperlink>
      <w:r>
        <w:rPr>
          <w:b w:val="0"/>
          <w:i w:val="0"/>
        </w:rPr>
        <w:t xml:space="preserve">; </w:t>
      </w:r>
      <w:hyperlink w:anchor="latin-record-0749">
        <w:r>
          <w:rPr>
            <w:color w:val="000000"/>
          </w:rPr>
          <w:t xml:space="preserve">necessitas / oportere</w:t>
        </w:r>
      </w:hyperlink>
      <w:r>
        <w:rPr>
          <w:b w:val="0"/>
          <w:i w:val="0"/>
        </w:rPr>
        <w:t xml:space="preserve">; </w:t>
      </w:r>
      <w:hyperlink w:anchor="latin-record-0800">
        <w:r>
          <w:rPr>
            <w:color w:val="000000"/>
          </w:rPr>
          <w:t xml:space="preserve">oportet / necesse est / debet</w:t>
        </w:r>
      </w:hyperlink>
      <w:r>
        <w:rPr>
          <w:b w:val="0"/>
          <w:i w:val="0"/>
        </w:rPr>
        <w:t>.</w:t>
      </w:r>
    </w:p>
    <w:p>
      <w:pPr>
        <w:widowControl/>
      </w:pPr>
      <w:r>
        <w:rPr>
          <w:b/>
          <w:i w:val="0"/>
        </w:rPr>
        <w:t>opposita.</w:t>
      </w:r>
      <w:r>
        <w:rPr>
          <w:b w:val="0"/>
          <w:i w:val="0"/>
        </w:rPr>
        <w:t xml:space="preserve"> </w:t>
      </w:r>
      <w:hyperlink w:anchor="latin-record-0801">
        <w:r>
          <w:rPr>
            <w:color w:val="000000"/>
          </w:rPr>
          <w:t xml:space="preserve">oppositus / contrarius / diversus</w:t>
        </w:r>
      </w:hyperlink>
      <w:r>
        <w:rPr>
          <w:b w:val="0"/>
          <w:i w:val="0"/>
        </w:rPr>
        <w:t>.</w:t>
      </w:r>
    </w:p>
    <w:p>
      <w:pPr>
        <w:widowControl/>
      </w:pPr>
      <w:r>
        <w:rPr>
          <w:b/>
          <w:i w:val="0"/>
        </w:rPr>
        <w:t>oppositio.</w:t>
      </w:r>
      <w:r>
        <w:rPr>
          <w:b w:val="0"/>
          <w:i w:val="0"/>
        </w:rPr>
        <w:t xml:space="preserve"> </w:t>
      </w:r>
      <w:hyperlink w:anchor="latin-record-0268">
        <w:r>
          <w:rPr>
            <w:color w:val="000000"/>
          </w:rPr>
          <w:t xml:space="preserve">contrarium / oppositio</w:t>
        </w:r>
      </w:hyperlink>
      <w:r>
        <w:rPr>
          <w:b w:val="0"/>
          <w:i w:val="0"/>
        </w:rPr>
        <w:t>.</w:t>
      </w:r>
    </w:p>
    <w:p>
      <w:pPr>
        <w:widowControl/>
      </w:pPr>
      <w:r>
        <w:rPr>
          <w:b/>
          <w:i w:val="0"/>
        </w:rPr>
        <w:t>optat.</w:t>
      </w:r>
      <w:r>
        <w:rPr>
          <w:b w:val="0"/>
          <w:i w:val="0"/>
        </w:rPr>
        <w:t xml:space="preserve"> </w:t>
      </w:r>
      <w:hyperlink w:anchor="latin-record-0802">
        <w:r>
          <w:rPr>
            <w:color w:val="000000"/>
          </w:rPr>
          <w:t xml:space="preserve">opto / cupio</w:t>
        </w:r>
      </w:hyperlink>
      <w:r>
        <w:rPr>
          <w:b w:val="0"/>
          <w:i w:val="0"/>
        </w:rPr>
        <w:t>.</w:t>
      </w:r>
    </w:p>
    <w:p>
      <w:pPr>
        <w:widowControl/>
      </w:pPr>
      <w:r>
        <w:rPr>
          <w:b/>
          <w:i w:val="0"/>
        </w:rPr>
        <w:t>opus.</w:t>
      </w:r>
      <w:r>
        <w:rPr>
          <w:b w:val="0"/>
          <w:i w:val="0"/>
        </w:rPr>
        <w:t xml:space="preserve"> </w:t>
      </w:r>
      <w:hyperlink w:anchor="latin-record-0579">
        <w:r>
          <w:rPr>
            <w:color w:val="000000"/>
          </w:rPr>
          <w:t xml:space="preserve">inscribo / opus</w:t>
        </w:r>
      </w:hyperlink>
      <w:r>
        <w:rPr>
          <w:b w:val="0"/>
          <w:i w:val="0"/>
        </w:rPr>
        <w:t xml:space="preserve">; </w:t>
      </w:r>
      <w:hyperlink w:anchor="latin-record-0803">
        <w:r>
          <w:rPr>
            <w:color w:val="000000"/>
          </w:rPr>
          <w:t xml:space="preserve">opus</w:t>
        </w:r>
      </w:hyperlink>
      <w:r>
        <w:rPr>
          <w:b w:val="0"/>
          <w:i w:val="0"/>
        </w:rPr>
        <w:t xml:space="preserve">; </w:t>
      </w:r>
      <w:hyperlink w:anchor="latin-record-1138">
        <w:r>
          <w:rPr>
            <w:color w:val="000000"/>
          </w:rPr>
          <w:t xml:space="preserve">stabilis causa / opus</w:t>
        </w:r>
      </w:hyperlink>
      <w:r>
        <w:rPr>
          <w:b w:val="0"/>
          <w:i w:val="0"/>
        </w:rPr>
        <w:t>.</w:t>
      </w:r>
    </w:p>
    <w:p>
      <w:pPr>
        <w:widowControl/>
      </w:pPr>
      <w:r>
        <w:rPr>
          <w:b/>
          <w:i w:val="0"/>
        </w:rPr>
        <w:t>oraculum.</w:t>
      </w:r>
      <w:r>
        <w:rPr>
          <w:b w:val="0"/>
          <w:i w:val="0"/>
        </w:rPr>
        <w:t xml:space="preserve"> </w:t>
      </w:r>
      <w:hyperlink w:anchor="latin-record-0805">
        <w:r>
          <w:rPr>
            <w:color w:val="000000"/>
          </w:rPr>
          <w:t xml:space="preserve">oraculum</w:t>
        </w:r>
      </w:hyperlink>
      <w:r>
        <w:rPr>
          <w:b w:val="0"/>
          <w:i w:val="0"/>
        </w:rPr>
        <w:t>.</w:t>
      </w:r>
    </w:p>
    <w:p>
      <w:pPr>
        <w:widowControl/>
      </w:pPr>
      <w:r>
        <w:rPr>
          <w:b/>
          <w:i w:val="0"/>
        </w:rPr>
        <w:t>ordinantur.</w:t>
      </w:r>
      <w:r>
        <w:rPr>
          <w:b w:val="0"/>
          <w:i w:val="0"/>
        </w:rPr>
        <w:t xml:space="preserve"> </w:t>
      </w:r>
      <w:hyperlink w:anchor="latin-record-0808">
        <w:r>
          <w:rPr>
            <w:color w:val="000000"/>
          </w:rPr>
          <w:t xml:space="preserve">ordo / ordinare</w:t>
        </w:r>
      </w:hyperlink>
      <w:r>
        <w:rPr>
          <w:b w:val="0"/>
          <w:i w:val="0"/>
        </w:rPr>
        <w:t>.</w:t>
      </w:r>
    </w:p>
    <w:p>
      <w:pPr>
        <w:widowControl/>
      </w:pPr>
      <w:r>
        <w:rPr>
          <w:b/>
          <w:i w:val="0"/>
        </w:rPr>
        <w:t>ordinate.</w:t>
      </w:r>
      <w:r>
        <w:rPr>
          <w:b w:val="0"/>
          <w:i w:val="0"/>
        </w:rPr>
        <w:t xml:space="preserve"> </w:t>
      </w:r>
      <w:hyperlink w:anchor="latin-record-1150">
        <w:r>
          <w:rPr>
            <w:color w:val="000000"/>
          </w:rPr>
          <w:t xml:space="preserve">suaviter / ordinate</w:t>
        </w:r>
      </w:hyperlink>
      <w:r>
        <w:rPr>
          <w:b w:val="0"/>
          <w:i w:val="0"/>
        </w:rPr>
        <w:t>.</w:t>
      </w:r>
    </w:p>
    <w:p>
      <w:pPr>
        <w:widowControl/>
      </w:pPr>
      <w:r>
        <w:rPr>
          <w:b/>
          <w:i w:val="0"/>
        </w:rPr>
        <w:t>Ordinatio.</w:t>
      </w:r>
      <w:r>
        <w:rPr>
          <w:b w:val="0"/>
          <w:i w:val="0"/>
        </w:rPr>
        <w:t xml:space="preserve"> </w:t>
      </w:r>
      <w:hyperlink w:anchor="latin-record-0734">
        <w:r>
          <w:rPr>
            <w:color w:val="000000"/>
          </w:rPr>
          <w:t xml:space="preserve">munus / ordinatio</w:t>
        </w:r>
      </w:hyperlink>
      <w:r>
        <w:rPr>
          <w:b w:val="0"/>
          <w:i w:val="0"/>
        </w:rPr>
        <w:t>.</w:t>
      </w:r>
    </w:p>
    <w:p>
      <w:pPr>
        <w:widowControl/>
      </w:pPr>
      <w:r>
        <w:rPr>
          <w:b/>
          <w:i w:val="0"/>
        </w:rPr>
        <w:t>ordinator.</w:t>
      </w:r>
      <w:r>
        <w:rPr>
          <w:b w:val="0"/>
          <w:i w:val="0"/>
        </w:rPr>
        <w:t xml:space="preserve"> </w:t>
      </w:r>
      <w:hyperlink w:anchor="latin-record-0807">
        <w:r>
          <w:rPr>
            <w:color w:val="000000"/>
          </w:rPr>
          <w:t xml:space="preserve">ordinare / ordinator / ordo</w:t>
        </w:r>
      </w:hyperlink>
      <w:r>
        <w:rPr>
          <w:b w:val="0"/>
          <w:i w:val="0"/>
        </w:rPr>
        <w:t>.</w:t>
      </w:r>
    </w:p>
    <w:p>
      <w:pPr>
        <w:widowControl/>
      </w:pPr>
      <w:r>
        <w:rPr>
          <w:b/>
          <w:i w:val="0"/>
        </w:rPr>
        <w:t>ordinatore.</w:t>
      </w:r>
      <w:r>
        <w:rPr>
          <w:b w:val="0"/>
          <w:i w:val="0"/>
        </w:rPr>
        <w:t xml:space="preserve"> </w:t>
      </w:r>
      <w:hyperlink w:anchor="latin-record-0807">
        <w:r>
          <w:rPr>
            <w:color w:val="000000"/>
          </w:rPr>
          <w:t xml:space="preserve">ordinare / ordinator / ordo</w:t>
        </w:r>
      </w:hyperlink>
      <w:r>
        <w:rPr>
          <w:b w:val="0"/>
          <w:i w:val="0"/>
        </w:rPr>
        <w:t>.</w:t>
      </w:r>
    </w:p>
    <w:p>
      <w:pPr>
        <w:widowControl/>
      </w:pPr>
      <w:r>
        <w:rPr>
          <w:b/>
          <w:i w:val="0"/>
        </w:rPr>
        <w:t>ordinatoribus.</w:t>
      </w:r>
      <w:r>
        <w:rPr>
          <w:b w:val="0"/>
          <w:i w:val="0"/>
        </w:rPr>
        <w:t xml:space="preserve"> </w:t>
      </w:r>
      <w:hyperlink w:anchor="latin-record-0807">
        <w:r>
          <w:rPr>
            <w:color w:val="000000"/>
          </w:rPr>
          <w:t xml:space="preserve">ordinare / ordinator / ordo</w:t>
        </w:r>
      </w:hyperlink>
      <w:r>
        <w:rPr>
          <w:b w:val="0"/>
          <w:i w:val="0"/>
        </w:rPr>
        <w:t>.</w:t>
      </w:r>
    </w:p>
    <w:p>
      <w:pPr>
        <w:widowControl/>
      </w:pPr>
      <w:r>
        <w:rPr>
          <w:b/>
          <w:i w:val="0"/>
        </w:rPr>
        <w:t>ordine.</w:t>
      </w:r>
      <w:r>
        <w:rPr>
          <w:b w:val="0"/>
          <w:i w:val="0"/>
        </w:rPr>
        <w:t xml:space="preserve"> </w:t>
      </w:r>
      <w:hyperlink w:anchor="latin-record-0807">
        <w:r>
          <w:rPr>
            <w:color w:val="000000"/>
          </w:rPr>
          <w:t xml:space="preserve">ordinare / ordinator / ordo</w:t>
        </w:r>
      </w:hyperlink>
      <w:r>
        <w:rPr>
          <w:b w:val="0"/>
          <w:i w:val="0"/>
        </w:rPr>
        <w:t>.</w:t>
      </w:r>
    </w:p>
    <w:p>
      <w:pPr>
        <w:widowControl/>
      </w:pPr>
      <w:r>
        <w:rPr>
          <w:b/>
          <w:i w:val="0"/>
        </w:rPr>
        <w:t>ordinem.</w:t>
      </w:r>
      <w:r>
        <w:rPr>
          <w:b w:val="0"/>
          <w:i w:val="0"/>
        </w:rPr>
        <w:t xml:space="preserve"> </w:t>
      </w:r>
      <w:hyperlink w:anchor="latin-record-0807">
        <w:r>
          <w:rPr>
            <w:color w:val="000000"/>
          </w:rPr>
          <w:t xml:space="preserve">ordinare / ordinator / ordo</w:t>
        </w:r>
      </w:hyperlink>
      <w:r>
        <w:rPr>
          <w:b w:val="0"/>
          <w:i w:val="0"/>
        </w:rPr>
        <w:t>.</w:t>
      </w:r>
    </w:p>
    <w:p>
      <w:pPr>
        <w:widowControl/>
      </w:pPr>
      <w:r>
        <w:rPr>
          <w:b/>
          <w:i w:val="0"/>
        </w:rPr>
        <w:t>ordines.</w:t>
      </w:r>
      <w:r>
        <w:rPr>
          <w:b w:val="0"/>
          <w:i w:val="0"/>
        </w:rPr>
        <w:t xml:space="preserve"> </w:t>
      </w:r>
      <w:hyperlink w:anchor="latin-record-0809">
        <w:r>
          <w:rPr>
            <w:color w:val="000000"/>
          </w:rPr>
          <w:t xml:space="preserve">ordo / umbra / imago</w:t>
        </w:r>
      </w:hyperlink>
      <w:r>
        <w:rPr>
          <w:b w:val="0"/>
          <w:i w:val="0"/>
        </w:rPr>
        <w:t>.</w:t>
      </w:r>
    </w:p>
    <w:p>
      <w:pPr>
        <w:widowControl/>
      </w:pPr>
      <w:r>
        <w:rPr>
          <w:b/>
          <w:i w:val="0"/>
        </w:rPr>
        <w:t>ordinet.</w:t>
      </w:r>
      <w:r>
        <w:rPr>
          <w:b w:val="0"/>
          <w:i w:val="0"/>
        </w:rPr>
        <w:t xml:space="preserve"> </w:t>
      </w:r>
      <w:hyperlink w:anchor="latin-record-0806">
        <w:r>
          <w:rPr>
            <w:color w:val="000000"/>
          </w:rPr>
          <w:t xml:space="preserve">ordinare</w:t>
        </w:r>
      </w:hyperlink>
      <w:r>
        <w:rPr>
          <w:b w:val="0"/>
          <w:i w:val="0"/>
        </w:rPr>
        <w:t>.</w:t>
      </w:r>
    </w:p>
    <w:p>
      <w:pPr>
        <w:widowControl/>
      </w:pPr>
      <w:r>
        <w:rPr>
          <w:b/>
          <w:i w:val="0"/>
        </w:rPr>
        <w:t>ordo.</w:t>
      </w:r>
      <w:r>
        <w:rPr>
          <w:b w:val="0"/>
          <w:i w:val="0"/>
        </w:rPr>
        <w:t xml:space="preserve"> </w:t>
      </w:r>
      <w:hyperlink w:anchor="latin-record-0807">
        <w:r>
          <w:rPr>
            <w:color w:val="000000"/>
          </w:rPr>
          <w:t xml:space="preserve">ordinare / ordinator / ordo</w:t>
        </w:r>
      </w:hyperlink>
      <w:r>
        <w:rPr>
          <w:b w:val="0"/>
          <w:i w:val="0"/>
        </w:rPr>
        <w:t xml:space="preserve">; </w:t>
      </w:r>
      <w:hyperlink w:anchor="latin-record-0808">
        <w:r>
          <w:rPr>
            <w:color w:val="000000"/>
          </w:rPr>
          <w:t xml:space="preserve">ordo / ordinare</w:t>
        </w:r>
      </w:hyperlink>
      <w:r>
        <w:rPr>
          <w:b w:val="0"/>
          <w:i w:val="0"/>
        </w:rPr>
        <w:t>.</w:t>
      </w:r>
    </w:p>
    <w:p>
      <w:pPr>
        <w:widowControl/>
      </w:pPr>
      <w:r>
        <w:rPr>
          <w:b/>
          <w:i w:val="0"/>
        </w:rPr>
        <w:t>oriatur.</w:t>
      </w:r>
      <w:r>
        <w:rPr>
          <w:b w:val="0"/>
          <w:i w:val="0"/>
        </w:rPr>
        <w:t xml:space="preserve"> </w:t>
      </w:r>
      <w:hyperlink w:anchor="latin-record-0810">
        <w:r>
          <w:rPr>
            <w:color w:val="000000"/>
          </w:rPr>
          <w:t xml:space="preserve">orior / initium</w:t>
        </w:r>
      </w:hyperlink>
      <w:r>
        <w:rPr>
          <w:b w:val="0"/>
          <w:i w:val="0"/>
        </w:rPr>
        <w:t>.</w:t>
      </w:r>
    </w:p>
    <w:p>
      <w:pPr>
        <w:widowControl/>
      </w:pPr>
      <w:r>
        <w:rPr>
          <w:b/>
          <w:i w:val="0"/>
        </w:rPr>
        <w:t>origo.</w:t>
      </w:r>
      <w:r>
        <w:rPr>
          <w:b w:val="0"/>
          <w:i w:val="0"/>
        </w:rPr>
        <w:t xml:space="preserve"> </w:t>
      </w:r>
      <w:hyperlink w:anchor="latin-record-0928">
        <w:r>
          <w:rPr>
            <w:color w:val="000000"/>
          </w:rPr>
          <w:t xml:space="preserve">principium / origo</w:t>
        </w:r>
      </w:hyperlink>
      <w:r>
        <w:rPr>
          <w:b w:val="0"/>
          <w:i w:val="0"/>
        </w:rPr>
        <w:t>.</w:t>
      </w:r>
    </w:p>
    <w:p>
      <w:pPr>
        <w:widowControl/>
      </w:pPr>
      <w:r>
        <w:rPr>
          <w:b/>
          <w:i w:val="0"/>
        </w:rPr>
        <w:t>oritur.</w:t>
      </w:r>
      <w:r>
        <w:rPr>
          <w:b w:val="0"/>
          <w:i w:val="0"/>
        </w:rPr>
        <w:t xml:space="preserve"> </w:t>
      </w:r>
      <w:hyperlink w:anchor="latin-record-0810">
        <w:r>
          <w:rPr>
            <w:color w:val="000000"/>
          </w:rPr>
          <w:t xml:space="preserve">orior / initium</w:t>
        </w:r>
      </w:hyperlink>
      <w:r>
        <w:rPr>
          <w:b w:val="0"/>
          <w:i w:val="0"/>
        </w:rPr>
        <w:t>.</w:t>
      </w:r>
    </w:p>
    <w:p>
      <w:pPr>
        <w:widowControl/>
      </w:pPr>
      <w:r>
        <w:rPr>
          <w:b/>
          <w:i w:val="0"/>
        </w:rPr>
        <w:t>oriuntur.</w:t>
      </w:r>
      <w:r>
        <w:rPr>
          <w:b w:val="0"/>
          <w:i w:val="0"/>
        </w:rPr>
        <w:t xml:space="preserve"> </w:t>
      </w:r>
      <w:hyperlink w:anchor="latin-record-0971">
        <w:r>
          <w:rPr>
            <w:color w:val="000000"/>
          </w:rPr>
          <w:t xml:space="preserve">provenire / oriri / nasci</w:t>
        </w:r>
      </w:hyperlink>
      <w:r>
        <w:rPr>
          <w:b w:val="0"/>
          <w:i w:val="0"/>
        </w:rPr>
        <w:t>.</w:t>
      </w:r>
    </w:p>
    <w:p>
      <w:pPr>
        <w:widowControl/>
      </w:pPr>
      <w:r>
        <w:rPr>
          <w:b/>
          <w:i w:val="0"/>
        </w:rPr>
        <w:t>ornatum.</w:t>
      </w:r>
      <w:r>
        <w:rPr>
          <w:b w:val="0"/>
          <w:i w:val="0"/>
        </w:rPr>
        <w:t xml:space="preserve"> </w:t>
      </w:r>
      <w:hyperlink w:anchor="latin-record-0570">
        <w:r>
          <w:rPr>
            <w:color w:val="000000"/>
          </w:rPr>
          <w:t xml:space="preserve">informis / ornatus</w:t>
        </w:r>
      </w:hyperlink>
      <w:r>
        <w:rPr>
          <w:b w:val="0"/>
          <w:i w:val="0"/>
        </w:rPr>
        <w:t>.</w:t>
      </w:r>
    </w:p>
    <w:p>
      <w:pPr>
        <w:widowControl/>
      </w:pPr>
      <w:r>
        <w:rPr>
          <w:b/>
          <w:i w:val="0"/>
        </w:rPr>
        <w:t>ornetur.</w:t>
      </w:r>
      <w:r>
        <w:rPr>
          <w:b w:val="0"/>
          <w:i w:val="0"/>
        </w:rPr>
        <w:t xml:space="preserve"> </w:t>
      </w:r>
      <w:hyperlink w:anchor="latin-record-0811">
        <w:r>
          <w:rPr>
            <w:color w:val="000000"/>
          </w:rPr>
          <w:t xml:space="preserve">orno</w:t>
        </w:r>
      </w:hyperlink>
      <w:r>
        <w:rPr>
          <w:b w:val="0"/>
          <w:i w:val="0"/>
        </w:rPr>
        <w:t>.</w:t>
      </w:r>
    </w:p>
    <w:p>
      <w:pPr>
        <w:widowControl/>
      </w:pPr>
      <w:r>
        <w:rPr>
          <w:b/>
          <w:i w:val="0"/>
        </w:rPr>
        <w:t>Oromasis.</w:t>
      </w:r>
      <w:r>
        <w:rPr>
          <w:b w:val="0"/>
          <w:i w:val="0"/>
        </w:rPr>
        <w:t xml:space="preserve"> </w:t>
      </w:r>
      <w:hyperlink w:anchor="latin-record-0812">
        <w:r>
          <w:rPr>
            <w:color w:val="000000"/>
          </w:rPr>
          <w:t xml:space="preserve">Oromasis / Mitris / Arimanis</w:t>
        </w:r>
      </w:hyperlink>
      <w:r>
        <w:rPr>
          <w:b w:val="0"/>
          <w:i w:val="0"/>
        </w:rPr>
        <w:t>.</w:t>
      </w:r>
    </w:p>
    <w:p>
      <w:pPr>
        <w:widowControl/>
      </w:pPr>
      <w:r>
        <w:rPr>
          <w:b/>
          <w:i w:val="0"/>
        </w:rPr>
        <w:t>Orpheo.</w:t>
      </w:r>
      <w:r>
        <w:rPr>
          <w:b w:val="0"/>
          <w:i w:val="0"/>
        </w:rPr>
        <w:t xml:space="preserve"> </w:t>
      </w:r>
      <w:hyperlink w:anchor="latin-record-0813">
        <w:r>
          <w:rPr>
            <w:color w:val="000000"/>
          </w:rPr>
          <w:t xml:space="preserve">Orpheus / Orphici</w:t>
        </w:r>
      </w:hyperlink>
      <w:r>
        <w:rPr>
          <w:b w:val="0"/>
          <w:i w:val="0"/>
        </w:rPr>
        <w:t>.</w:t>
      </w:r>
    </w:p>
    <w:p>
      <w:pPr>
        <w:widowControl/>
      </w:pPr>
      <w:r>
        <w:rPr>
          <w:b/>
          <w:i w:val="0"/>
        </w:rPr>
        <w:t>Orpheum.</w:t>
      </w:r>
      <w:r>
        <w:rPr>
          <w:b w:val="0"/>
          <w:i w:val="0"/>
        </w:rPr>
        <w:t xml:space="preserve"> </w:t>
      </w:r>
      <w:hyperlink w:anchor="latin-record-0814">
        <w:r>
          <w:rPr>
            <w:color w:val="000000"/>
          </w:rPr>
          <w:t xml:space="preserve">Orpheus / Orphicus</w:t>
        </w:r>
      </w:hyperlink>
      <w:r>
        <w:rPr>
          <w:b w:val="0"/>
          <w:i w:val="0"/>
        </w:rPr>
        <w:t>.</w:t>
      </w:r>
    </w:p>
    <w:p>
      <w:pPr>
        <w:widowControl/>
      </w:pPr>
      <w:r>
        <w:rPr>
          <w:b/>
          <w:i w:val="0"/>
        </w:rPr>
        <w:t>Orpheus.</w:t>
      </w:r>
      <w:r>
        <w:rPr>
          <w:b w:val="0"/>
          <w:i w:val="0"/>
        </w:rPr>
        <w:t xml:space="preserve"> </w:t>
      </w:r>
      <w:hyperlink w:anchor="latin-record-0813">
        <w:r>
          <w:rPr>
            <w:color w:val="000000"/>
          </w:rPr>
          <w:t xml:space="preserve">Orpheus / Orphici</w:t>
        </w:r>
      </w:hyperlink>
      <w:r>
        <w:rPr>
          <w:b w:val="0"/>
          <w:i w:val="0"/>
        </w:rPr>
        <w:t xml:space="preserve">; </w:t>
      </w:r>
      <w:hyperlink w:anchor="latin-record-0814">
        <w:r>
          <w:rPr>
            <w:color w:val="000000"/>
          </w:rPr>
          <w:t xml:space="preserve">Orpheus / Orphicus</w:t>
        </w:r>
      </w:hyperlink>
      <w:r>
        <w:rPr>
          <w:b w:val="0"/>
          <w:i w:val="0"/>
        </w:rPr>
        <w:t>.</w:t>
      </w:r>
    </w:p>
    <w:p>
      <w:pPr>
        <w:widowControl/>
      </w:pPr>
      <w:r>
        <w:rPr>
          <w:b/>
          <w:i w:val="0"/>
        </w:rPr>
        <w:t>Orphicis.</w:t>
      </w:r>
      <w:r>
        <w:rPr>
          <w:b w:val="0"/>
          <w:i w:val="0"/>
        </w:rPr>
        <w:t xml:space="preserve"> </w:t>
      </w:r>
      <w:hyperlink w:anchor="latin-record-0813">
        <w:r>
          <w:rPr>
            <w:color w:val="000000"/>
          </w:rPr>
          <w:t xml:space="preserve">Orpheus / Orphici</w:t>
        </w:r>
      </w:hyperlink>
      <w:r>
        <w:rPr>
          <w:b w:val="0"/>
          <w:i w:val="0"/>
        </w:rPr>
        <w:t>.</w:t>
      </w:r>
    </w:p>
    <w:p>
      <w:pPr>
        <w:widowControl/>
      </w:pPr>
      <w:r>
        <w:rPr>
          <w:b/>
          <w:i w:val="0"/>
        </w:rPr>
        <w:t>Orphicum.</w:t>
      </w:r>
      <w:r>
        <w:rPr>
          <w:b w:val="0"/>
          <w:i w:val="0"/>
        </w:rPr>
        <w:t xml:space="preserve"> </w:t>
      </w:r>
      <w:hyperlink w:anchor="latin-record-0814">
        <w:r>
          <w:rPr>
            <w:color w:val="000000"/>
          </w:rPr>
          <w:t xml:space="preserve">Orpheus / Orphicus</w:t>
        </w:r>
      </w:hyperlink>
      <w:r>
        <w:rPr>
          <w:b w:val="0"/>
          <w:i w:val="0"/>
        </w:rPr>
        <w:t>.</w:t>
      </w:r>
    </w:p>
    <w:p>
      <w:pPr>
        <w:widowControl/>
      </w:pPr>
      <w:r>
        <w:rPr>
          <w:b/>
          <w:i w:val="0"/>
        </w:rPr>
        <w:t>ostendemus.</w:t>
      </w:r>
      <w:r>
        <w:rPr>
          <w:b w:val="0"/>
          <w:i w:val="0"/>
        </w:rPr>
        <w:t xml:space="preserve"> </w:t>
      </w:r>
      <w:hyperlink w:anchor="latin-record-0815">
        <w:r>
          <w:rPr>
            <w:color w:val="000000"/>
          </w:rPr>
          <w:t xml:space="preserve">ostendere / monstrare / probare</w:t>
        </w:r>
      </w:hyperlink>
      <w:r>
        <w:rPr>
          <w:b w:val="0"/>
          <w:i w:val="0"/>
        </w:rPr>
        <w:t>.</w:t>
      </w:r>
    </w:p>
    <w:p>
      <w:pPr>
        <w:widowControl/>
      </w:pPr>
      <w:r>
        <w:rPr>
          <w:b/>
          <w:i w:val="0"/>
        </w:rPr>
        <w:t>ostendimus.</w:t>
      </w:r>
      <w:r>
        <w:rPr>
          <w:b w:val="0"/>
          <w:i w:val="0"/>
        </w:rPr>
        <w:t xml:space="preserve"> </w:t>
      </w:r>
      <w:hyperlink w:anchor="latin-record-0815">
        <w:r>
          <w:rPr>
            <w:color w:val="000000"/>
          </w:rPr>
          <w:t xml:space="preserve">ostendere / monstrare / probare</w:t>
        </w:r>
      </w:hyperlink>
      <w:r>
        <w:rPr>
          <w:b w:val="0"/>
          <w:i w:val="0"/>
        </w:rPr>
        <w:t>.</w:t>
      </w:r>
    </w:p>
    <w:p>
      <w:pPr>
        <w:widowControl/>
      </w:pPr>
      <w:r>
        <w:rPr>
          <w:b/>
          <w:i w:val="0"/>
        </w:rPr>
        <w:t>otio.</w:t>
      </w:r>
      <w:r>
        <w:rPr>
          <w:b w:val="0"/>
          <w:i w:val="0"/>
        </w:rPr>
        <w:t xml:space="preserve"> </w:t>
      </w:r>
      <w:hyperlink w:anchor="latin-record-0816">
        <w:r>
          <w:rPr>
            <w:color w:val="000000"/>
          </w:rPr>
          <w:t xml:space="preserve">otium</w:t>
        </w:r>
      </w:hyperlink>
      <w:r>
        <w:rPr>
          <w:b w:val="0"/>
          <w:i w:val="0"/>
        </w:rPr>
        <w:t>.</w:t>
      </w:r>
    </w:p>
    <w:p>
      <w:pPr>
        <w:widowControl/>
      </w:pPr>
      <w:r>
        <w:rPr>
          <w:b/>
          <w:i w:val="0"/>
        </w:rPr>
        <w:t>otium.</w:t>
      </w:r>
      <w:r>
        <w:rPr>
          <w:b w:val="0"/>
          <w:i w:val="0"/>
        </w:rPr>
        <w:t xml:space="preserve"> </w:t>
      </w:r>
      <w:hyperlink w:anchor="latin-record-0816">
        <w:r>
          <w:rPr>
            <w:color w:val="000000"/>
          </w:rPr>
          <w:t xml:space="preserve">otium</w:t>
        </w:r>
      </w:hyperlink>
      <w:r>
        <w:rPr>
          <w:b w:val="0"/>
          <w:i w:val="0"/>
        </w:rPr>
        <w:t xml:space="preserve">; </w:t>
      </w:r>
      <w:hyperlink w:anchor="latin-record-0817">
        <w:r>
          <w:rPr>
            <w:color w:val="000000"/>
          </w:rPr>
          <w:t xml:space="preserve">otium / administratio</w:t>
        </w:r>
      </w:hyperlink>
      <w:r>
        <w:rPr>
          <w:b w:val="0"/>
          <w:i w:val="0"/>
        </w:rPr>
        <w:t>.</w:t>
      </w:r>
    </w:p>
    <w:p>
      <w:pPr>
        <w:widowControl/>
      </w:pPr>
      <w:r>
        <w:rPr>
          <w:b/>
          <w:i w:val="0"/>
        </w:rPr>
        <w:t>ovum.</w:t>
      </w:r>
      <w:r>
        <w:rPr>
          <w:b w:val="0"/>
          <w:i w:val="0"/>
        </w:rPr>
        <w:t xml:space="preserve"> </w:t>
      </w:r>
      <w:hyperlink w:anchor="latin-record-0818">
        <w:r>
          <w:rPr>
            <w:color w:val="000000"/>
          </w:rPr>
          <w:t xml:space="preserve">ovum / fovere</w:t>
        </w:r>
      </w:hyperlink>
      <w:r>
        <w:rPr>
          <w:b w:val="0"/>
          <w:i w:val="0"/>
        </w:rPr>
        <w:t>.</w:t>
      </w:r>
    </w:p>
    <w:p>
      <w:pPr>
        <w:widowControl/>
      </w:pPr>
      <w:r>
        <w:rPr>
          <w:b/>
          <w:i w:val="0"/>
        </w:rPr>
        <w:t>pacto.</w:t>
      </w:r>
      <w:r>
        <w:rPr>
          <w:b w:val="0"/>
          <w:i w:val="0"/>
        </w:rPr>
        <w:t xml:space="preserve"> </w:t>
      </w:r>
      <w:hyperlink w:anchor="latin-record-1251">
        <w:r>
          <w:rPr>
            <w:color w:val="000000"/>
          </w:rPr>
          <w:t xml:space="preserve">via / pactum / tractus</w:t>
        </w:r>
      </w:hyperlink>
      <w:r>
        <w:rPr>
          <w:b w:val="0"/>
          <w:i w:val="0"/>
        </w:rPr>
        <w:t>.</w:t>
      </w:r>
    </w:p>
    <w:p>
      <w:pPr>
        <w:widowControl/>
      </w:pPr>
      <w:r>
        <w:rPr>
          <w:b/>
          <w:i w:val="0"/>
        </w:rPr>
        <w:t>paene.</w:t>
      </w:r>
      <w:r>
        <w:rPr>
          <w:b w:val="0"/>
          <w:i w:val="0"/>
        </w:rPr>
        <w:t xml:space="preserve"> </w:t>
      </w:r>
      <w:hyperlink w:anchor="latin-record-0819">
        <w:r>
          <w:rPr>
            <w:color w:val="000000"/>
          </w:rPr>
          <w:t xml:space="preserve">paene / quodammodo</w:t>
        </w:r>
      </w:hyperlink>
      <w:r>
        <w:rPr>
          <w:b w:val="0"/>
          <w:i w:val="0"/>
        </w:rPr>
        <w:t>.</w:t>
      </w:r>
    </w:p>
    <w:p>
      <w:pPr>
        <w:widowControl/>
      </w:pPr>
      <w:r>
        <w:rPr>
          <w:b/>
          <w:i w:val="0"/>
        </w:rPr>
        <w:t>paene innumeros.</w:t>
      </w:r>
      <w:r>
        <w:rPr>
          <w:b w:val="0"/>
          <w:i w:val="0"/>
        </w:rPr>
        <w:t xml:space="preserve"> </w:t>
      </w:r>
      <w:hyperlink w:anchor="latin-record-0565">
        <w:r>
          <w:rPr>
            <w:color w:val="000000"/>
          </w:rPr>
          <w:t xml:space="preserve">infinite and almost countless</w:t>
        </w:r>
      </w:hyperlink>
      <w:r>
        <w:rPr>
          <w:b w:val="0"/>
          <w:i w:val="0"/>
        </w:rPr>
        <w:t>.</w:t>
      </w:r>
    </w:p>
    <w:p>
      <w:pPr>
        <w:widowControl/>
      </w:pPr>
      <w:r>
        <w:rPr>
          <w:b/>
          <w:i w:val="0"/>
        </w:rPr>
        <w:t>par.</w:t>
      </w:r>
      <w:r>
        <w:rPr>
          <w:b w:val="0"/>
          <w:i w:val="0"/>
        </w:rPr>
        <w:t xml:space="preserve"> </w:t>
      </w:r>
      <w:hyperlink w:anchor="latin-record-0515">
        <w:r>
          <w:rPr>
            <w:color w:val="000000"/>
          </w:rPr>
          <w:t xml:space="preserve">hora / par / impar</w:t>
        </w:r>
      </w:hyperlink>
      <w:r>
        <w:rPr>
          <w:b w:val="0"/>
          <w:i w:val="0"/>
        </w:rPr>
        <w:t>.</w:t>
      </w:r>
    </w:p>
    <w:p>
      <w:pPr>
        <w:widowControl/>
      </w:pPr>
      <w:r>
        <w:rPr>
          <w:b/>
          <w:i w:val="0"/>
        </w:rPr>
        <w:t>parentum.</w:t>
      </w:r>
      <w:r>
        <w:rPr>
          <w:b w:val="0"/>
          <w:i w:val="0"/>
        </w:rPr>
        <w:t xml:space="preserve"> </w:t>
      </w:r>
      <w:hyperlink w:anchor="latin-record-0446">
        <w:r>
          <w:rPr>
            <w:color w:val="000000"/>
          </w:rPr>
          <w:t xml:space="preserve">filius / parens</w:t>
        </w:r>
      </w:hyperlink>
      <w:r>
        <w:rPr>
          <w:b w:val="0"/>
          <w:i w:val="0"/>
        </w:rPr>
        <w:t>.</w:t>
      </w:r>
    </w:p>
    <w:p>
      <w:pPr>
        <w:widowControl/>
      </w:pPr>
      <w:r>
        <w:rPr>
          <w:b/>
          <w:i w:val="0"/>
        </w:rPr>
        <w:t>paries.</w:t>
      </w:r>
      <w:r>
        <w:rPr>
          <w:b w:val="0"/>
          <w:i w:val="0"/>
        </w:rPr>
        <w:t xml:space="preserve"> </w:t>
      </w:r>
      <w:hyperlink w:anchor="latin-record-0820">
        <w:r>
          <w:rPr>
            <w:color w:val="000000"/>
          </w:rPr>
          <w:t xml:space="preserve">paries / distantia</w:t>
        </w:r>
      </w:hyperlink>
      <w:r>
        <w:rPr>
          <w:b w:val="0"/>
          <w:i w:val="0"/>
        </w:rPr>
        <w:t>.</w:t>
      </w:r>
    </w:p>
    <w:p>
      <w:pPr>
        <w:widowControl/>
      </w:pPr>
      <w:r>
        <w:rPr>
          <w:b/>
          <w:i w:val="0"/>
        </w:rPr>
        <w:t>parietibus.</w:t>
      </w:r>
      <w:r>
        <w:rPr>
          <w:b w:val="0"/>
          <w:i w:val="0"/>
        </w:rPr>
        <w:t xml:space="preserve"> </w:t>
      </w:r>
      <w:hyperlink w:anchor="latin-record-0627">
        <w:r>
          <w:rPr>
            <w:color w:val="000000"/>
          </w:rPr>
          <w:t xml:space="preserve">lapis / paries / congeries</w:t>
        </w:r>
      </w:hyperlink>
      <w:r>
        <w:rPr>
          <w:b w:val="0"/>
          <w:i w:val="0"/>
        </w:rPr>
        <w:t>.</w:t>
      </w:r>
    </w:p>
    <w:p>
      <w:pPr>
        <w:widowControl/>
      </w:pPr>
      <w:r>
        <w:rPr>
          <w:b/>
          <w:i w:val="0"/>
        </w:rPr>
        <w:t>parit.</w:t>
      </w:r>
      <w:r>
        <w:rPr>
          <w:b w:val="0"/>
          <w:i w:val="0"/>
        </w:rPr>
        <w:t xml:space="preserve"> </w:t>
      </w:r>
      <w:hyperlink w:anchor="latin-record-1097">
        <w:r>
          <w:rPr>
            <w:color w:val="000000"/>
          </w:rPr>
          <w:t xml:space="preserve">serere / parere / explicare</w:t>
        </w:r>
      </w:hyperlink>
      <w:r>
        <w:rPr>
          <w:b w:val="0"/>
          <w:i w:val="0"/>
        </w:rPr>
        <w:t>.</w:t>
      </w:r>
    </w:p>
    <w:p>
      <w:pPr>
        <w:widowControl/>
      </w:pPr>
      <w:r>
        <w:rPr>
          <w:b/>
          <w:i w:val="0"/>
        </w:rPr>
        <w:t>Parmenides.</w:t>
      </w:r>
      <w:r>
        <w:rPr>
          <w:b w:val="0"/>
          <w:i w:val="0"/>
        </w:rPr>
        <w:t xml:space="preserve"> </w:t>
      </w:r>
      <w:hyperlink w:anchor="latin-record-0821">
        <w:r>
          <w:rPr>
            <w:color w:val="000000"/>
          </w:rPr>
          <w:t xml:space="preserve">Parmenides / Pythagoreus</w:t>
        </w:r>
      </w:hyperlink>
      <w:r>
        <w:rPr>
          <w:b w:val="0"/>
          <w:i w:val="0"/>
        </w:rPr>
        <w:t>.</w:t>
      </w:r>
    </w:p>
    <w:p>
      <w:pPr>
        <w:widowControl/>
      </w:pPr>
      <w:r>
        <w:rPr>
          <w:b/>
          <w:i w:val="0"/>
        </w:rPr>
        <w:t>Parmenides Pythagoreus.</w:t>
      </w:r>
      <w:r>
        <w:rPr>
          <w:b w:val="0"/>
          <w:i w:val="0"/>
        </w:rPr>
        <w:t xml:space="preserve"> </w:t>
      </w:r>
      <w:hyperlink w:anchor="latin-record-0822">
        <w:r>
          <w:rPr>
            <w:color w:val="000000"/>
          </w:rPr>
          <w:t xml:space="preserve">Parmenides Pythagoreus</w:t>
        </w:r>
      </w:hyperlink>
      <w:r>
        <w:rPr>
          <w:b w:val="0"/>
          <w:i w:val="0"/>
        </w:rPr>
        <w:t>.</w:t>
      </w:r>
    </w:p>
    <w:p>
      <w:pPr>
        <w:widowControl/>
      </w:pPr>
      <w:r>
        <w:rPr>
          <w:b/>
          <w:i w:val="0"/>
        </w:rPr>
        <w:t>pars.</w:t>
      </w:r>
      <w:r>
        <w:rPr>
          <w:b w:val="0"/>
          <w:i w:val="0"/>
        </w:rPr>
        <w:t xml:space="preserve"> </w:t>
      </w:r>
      <w:hyperlink w:anchor="latin-record-0212">
        <w:r>
          <w:rPr>
            <w:color w:val="000000"/>
          </w:rPr>
          <w:t xml:space="preserve">compono / pars / totum</w:t>
        </w:r>
      </w:hyperlink>
      <w:r>
        <w:rPr>
          <w:b w:val="0"/>
          <w:i w:val="0"/>
        </w:rPr>
        <w:t xml:space="preserve">; </w:t>
      </w:r>
      <w:hyperlink w:anchor="latin-record-0824">
        <w:r>
          <w:rPr>
            <w:color w:val="000000"/>
          </w:rPr>
          <w:t xml:space="preserve">pars / totus</w:t>
        </w:r>
      </w:hyperlink>
      <w:r>
        <w:rPr>
          <w:b w:val="0"/>
          <w:i w:val="0"/>
        </w:rPr>
        <w:t>.</w:t>
      </w:r>
    </w:p>
    <w:p>
      <w:pPr>
        <w:widowControl/>
      </w:pPr>
      <w:r>
        <w:rPr>
          <w:b/>
          <w:i w:val="0"/>
        </w:rPr>
        <w:t>pars albedinis.</w:t>
      </w:r>
      <w:r>
        <w:rPr>
          <w:b w:val="0"/>
          <w:i w:val="0"/>
        </w:rPr>
        <w:t xml:space="preserve"> </w:t>
      </w:r>
      <w:hyperlink w:anchor="latin-record-0832">
        <w:r>
          <w:rPr>
            <w:color w:val="000000"/>
          </w:rPr>
          <w:t xml:space="preserve">partis albedo / pars albedinis</w:t>
        </w:r>
      </w:hyperlink>
      <w:r>
        <w:rPr>
          <w:b w:val="0"/>
          <w:i w:val="0"/>
        </w:rPr>
        <w:t>.</w:t>
      </w:r>
    </w:p>
    <w:p>
      <w:pPr>
        <w:widowControl/>
      </w:pPr>
      <w:r>
        <w:rPr>
          <w:b/>
          <w:i w:val="0"/>
        </w:rPr>
        <w:t>parte.</w:t>
      </w:r>
      <w:r>
        <w:rPr>
          <w:b w:val="0"/>
          <w:i w:val="0"/>
        </w:rPr>
        <w:t xml:space="preserve"> </w:t>
      </w:r>
      <w:hyperlink w:anchor="latin-record-0823">
        <w:r>
          <w:rPr>
            <w:color w:val="000000"/>
          </w:rPr>
          <w:t xml:space="preserve">pars / totum</w:t>
        </w:r>
      </w:hyperlink>
      <w:r>
        <w:rPr>
          <w:b w:val="0"/>
          <w:i w:val="0"/>
        </w:rPr>
        <w:t>.</w:t>
      </w:r>
    </w:p>
    <w:p>
      <w:pPr>
        <w:widowControl/>
      </w:pPr>
      <w:r>
        <w:rPr>
          <w:b/>
          <w:i w:val="0"/>
        </w:rPr>
        <w:t>partes.</w:t>
      </w:r>
      <w:r>
        <w:rPr>
          <w:b w:val="0"/>
          <w:i w:val="0"/>
        </w:rPr>
        <w:t xml:space="preserve"> </w:t>
      </w:r>
      <w:hyperlink w:anchor="latin-record-0823">
        <w:r>
          <w:rPr>
            <w:color w:val="000000"/>
          </w:rPr>
          <w:t xml:space="preserve">pars / totum</w:t>
        </w:r>
      </w:hyperlink>
      <w:r>
        <w:rPr>
          <w:b w:val="0"/>
          <w:i w:val="0"/>
        </w:rPr>
        <w:t xml:space="preserve">; </w:t>
      </w:r>
      <w:hyperlink w:anchor="latin-record-0824">
        <w:r>
          <w:rPr>
            <w:color w:val="000000"/>
          </w:rPr>
          <w:t xml:space="preserve">pars / totus</w:t>
        </w:r>
      </w:hyperlink>
      <w:r>
        <w:rPr>
          <w:b w:val="0"/>
          <w:i w:val="0"/>
        </w:rPr>
        <w:t>.</w:t>
      </w:r>
    </w:p>
    <w:p>
      <w:pPr>
        <w:widowControl/>
      </w:pPr>
      <w:r>
        <w:rPr>
          <w:b/>
          <w:i w:val="0"/>
        </w:rPr>
        <w:t>partibus.</w:t>
      </w:r>
      <w:r>
        <w:rPr>
          <w:b w:val="0"/>
          <w:i w:val="0"/>
        </w:rPr>
        <w:t xml:space="preserve"> </w:t>
      </w:r>
      <w:hyperlink w:anchor="latin-record-0823">
        <w:r>
          <w:rPr>
            <w:color w:val="000000"/>
          </w:rPr>
          <w:t xml:space="preserve">pars / totum</w:t>
        </w:r>
      </w:hyperlink>
      <w:r>
        <w:rPr>
          <w:b w:val="0"/>
          <w:i w:val="0"/>
        </w:rPr>
        <w:t xml:space="preserve">; </w:t>
      </w:r>
      <w:hyperlink w:anchor="latin-record-0824">
        <w:r>
          <w:rPr>
            <w:color w:val="000000"/>
          </w:rPr>
          <w:t xml:space="preserve">pars / totus</w:t>
        </w:r>
      </w:hyperlink>
      <w:r>
        <w:rPr>
          <w:b w:val="0"/>
          <w:i w:val="0"/>
        </w:rPr>
        <w:t>.</w:t>
      </w:r>
    </w:p>
    <w:p>
      <w:pPr>
        <w:widowControl/>
      </w:pPr>
      <w:r>
        <w:rPr>
          <w:b/>
          <w:i w:val="0"/>
        </w:rPr>
        <w:t>particeps.</w:t>
      </w:r>
      <w:r>
        <w:rPr>
          <w:b w:val="0"/>
          <w:i w:val="0"/>
        </w:rPr>
        <w:t xml:space="preserve"> </w:t>
      </w:r>
      <w:hyperlink w:anchor="latin-record-0825">
        <w:r>
          <w:rPr>
            <w:color w:val="000000"/>
          </w:rPr>
          <w:t xml:space="preserve">particeps / participium</w:t>
        </w:r>
      </w:hyperlink>
      <w:r>
        <w:rPr>
          <w:b w:val="0"/>
          <w:i w:val="0"/>
        </w:rPr>
        <w:t xml:space="preserve">; </w:t>
      </w:r>
      <w:hyperlink w:anchor="latin-record-0826">
        <w:r>
          <w:rPr>
            <w:color w:val="000000"/>
          </w:rPr>
          <w:t xml:space="preserve">participare / particeps</w:t>
        </w:r>
      </w:hyperlink>
      <w:r>
        <w:rPr>
          <w:b w:val="0"/>
          <w:i w:val="0"/>
        </w:rPr>
        <w:t>.</w:t>
      </w:r>
    </w:p>
    <w:p>
      <w:pPr>
        <w:widowControl/>
      </w:pPr>
      <w:r>
        <w:rPr>
          <w:b/>
          <w:i w:val="0"/>
        </w:rPr>
        <w:t>participatione.</w:t>
      </w:r>
      <w:r>
        <w:rPr>
          <w:b w:val="0"/>
          <w:i w:val="0"/>
        </w:rPr>
        <w:t xml:space="preserve"> </w:t>
      </w:r>
      <w:hyperlink w:anchor="latin-record-0826">
        <w:r>
          <w:rPr>
            <w:color w:val="000000"/>
          </w:rPr>
          <w:t xml:space="preserve">participare / particeps</w:t>
        </w:r>
      </w:hyperlink>
      <w:r>
        <w:rPr>
          <w:b w:val="0"/>
          <w:i w:val="0"/>
        </w:rPr>
        <w:t>.</w:t>
      </w:r>
    </w:p>
    <w:p>
      <w:pPr>
        <w:widowControl/>
      </w:pPr>
      <w:r>
        <w:rPr>
          <w:b/>
          <w:i w:val="0"/>
        </w:rPr>
        <w:t>participationem.</w:t>
      </w:r>
      <w:r>
        <w:rPr>
          <w:b w:val="0"/>
          <w:i w:val="0"/>
        </w:rPr>
        <w:t xml:space="preserve"> </w:t>
      </w:r>
      <w:hyperlink w:anchor="latin-record-0827">
        <w:r>
          <w:rPr>
            <w:color w:val="000000"/>
          </w:rPr>
          <w:t xml:space="preserve">participatio / forma / eminentia</w:t>
        </w:r>
      </w:hyperlink>
      <w:r>
        <w:rPr>
          <w:b w:val="0"/>
          <w:i w:val="0"/>
        </w:rPr>
        <w:t>.</w:t>
      </w:r>
    </w:p>
    <w:p>
      <w:pPr>
        <w:widowControl/>
      </w:pPr>
      <w:r>
        <w:rPr>
          <w:b/>
          <w:i w:val="0"/>
        </w:rPr>
        <w:t>participia.</w:t>
      </w:r>
      <w:r>
        <w:rPr>
          <w:b w:val="0"/>
          <w:i w:val="0"/>
        </w:rPr>
        <w:t xml:space="preserve"> </w:t>
      </w:r>
      <w:hyperlink w:anchor="latin-record-0825">
        <w:r>
          <w:rPr>
            <w:color w:val="000000"/>
          </w:rPr>
          <w:t xml:space="preserve">particeps / participium</w:t>
        </w:r>
      </w:hyperlink>
      <w:r>
        <w:rPr>
          <w:b w:val="0"/>
          <w:i w:val="0"/>
        </w:rPr>
        <w:t>.</w:t>
      </w:r>
    </w:p>
    <w:p>
      <w:pPr>
        <w:widowControl/>
      </w:pPr>
      <w:r>
        <w:rPr>
          <w:b/>
          <w:i w:val="0"/>
        </w:rPr>
        <w:t>particulae.</w:t>
      </w:r>
      <w:r>
        <w:rPr>
          <w:b w:val="0"/>
          <w:i w:val="0"/>
        </w:rPr>
        <w:t xml:space="preserve"> </w:t>
      </w:r>
      <w:hyperlink w:anchor="latin-record-0828">
        <w:r>
          <w:rPr>
            <w:color w:val="000000"/>
          </w:rPr>
          <w:t xml:space="preserve">particula / particularis</w:t>
        </w:r>
      </w:hyperlink>
      <w:r>
        <w:rPr>
          <w:b w:val="0"/>
          <w:i w:val="0"/>
        </w:rPr>
        <w:t>.</w:t>
      </w:r>
    </w:p>
    <w:p>
      <w:pPr>
        <w:widowControl/>
      </w:pPr>
      <w:r>
        <w:rPr>
          <w:b/>
          <w:i w:val="0"/>
        </w:rPr>
        <w:t>particulari.</w:t>
      </w:r>
      <w:r>
        <w:rPr>
          <w:b w:val="0"/>
          <w:i w:val="0"/>
        </w:rPr>
        <w:t xml:space="preserve"> </w:t>
      </w:r>
      <w:hyperlink w:anchor="latin-record-0679">
        <w:r>
          <w:rPr>
            <w:color w:val="000000"/>
          </w:rPr>
          <w:t xml:space="preserve">medium / particularis</w:t>
        </w:r>
      </w:hyperlink>
      <w:r>
        <w:rPr>
          <w:b w:val="0"/>
          <w:i w:val="0"/>
        </w:rPr>
        <w:t>.</w:t>
      </w:r>
    </w:p>
    <w:p>
      <w:pPr>
        <w:widowControl/>
      </w:pPr>
      <w:r>
        <w:rPr>
          <w:b/>
          <w:i w:val="0"/>
        </w:rPr>
        <w:t>particularia.</w:t>
      </w:r>
      <w:r>
        <w:rPr>
          <w:b w:val="0"/>
          <w:i w:val="0"/>
        </w:rPr>
        <w:t xml:space="preserve"> </w:t>
      </w:r>
      <w:hyperlink w:anchor="latin-record-0829">
        <w:r>
          <w:rPr>
            <w:color w:val="000000"/>
          </w:rPr>
          <w:t xml:space="preserve">particularis / universalis</w:t>
        </w:r>
      </w:hyperlink>
      <w:r>
        <w:rPr>
          <w:b w:val="0"/>
          <w:i w:val="0"/>
        </w:rPr>
        <w:t>.</w:t>
      </w:r>
    </w:p>
    <w:p>
      <w:pPr>
        <w:widowControl/>
      </w:pPr>
      <w:r>
        <w:rPr>
          <w:b/>
          <w:i w:val="0"/>
        </w:rPr>
        <w:t>particularibus.</w:t>
      </w:r>
      <w:r>
        <w:rPr>
          <w:b w:val="0"/>
          <w:i w:val="0"/>
        </w:rPr>
        <w:t xml:space="preserve"> </w:t>
      </w:r>
      <w:hyperlink w:anchor="latin-record-0829">
        <w:r>
          <w:rPr>
            <w:color w:val="000000"/>
          </w:rPr>
          <w:t xml:space="preserve">particularis / universalis</w:t>
        </w:r>
      </w:hyperlink>
      <w:r>
        <w:rPr>
          <w:b w:val="0"/>
          <w:i w:val="0"/>
        </w:rPr>
        <w:t>.</w:t>
      </w:r>
    </w:p>
    <w:p>
      <w:pPr>
        <w:widowControl/>
      </w:pPr>
      <w:r>
        <w:rPr>
          <w:b/>
          <w:i w:val="0"/>
        </w:rPr>
        <w:t>particularis.</w:t>
      </w:r>
      <w:r>
        <w:rPr>
          <w:b w:val="0"/>
          <w:i w:val="0"/>
        </w:rPr>
        <w:t xml:space="preserve"> </w:t>
      </w:r>
      <w:hyperlink w:anchor="latin-record-0679">
        <w:r>
          <w:rPr>
            <w:color w:val="000000"/>
          </w:rPr>
          <w:t xml:space="preserve">medium / particularis</w:t>
        </w:r>
      </w:hyperlink>
      <w:r>
        <w:rPr>
          <w:b w:val="0"/>
          <w:i w:val="0"/>
        </w:rPr>
        <w:t>.</w:t>
      </w:r>
    </w:p>
    <w:p>
      <w:pPr>
        <w:widowControl/>
      </w:pPr>
      <w:r>
        <w:rPr>
          <w:b/>
          <w:i w:val="0"/>
        </w:rPr>
        <w:t>particulas.</w:t>
      </w:r>
      <w:r>
        <w:rPr>
          <w:b w:val="0"/>
          <w:i w:val="0"/>
        </w:rPr>
        <w:t xml:space="preserve"> </w:t>
      </w:r>
      <w:hyperlink w:anchor="latin-record-0679">
        <w:r>
          <w:rPr>
            <w:color w:val="000000"/>
          </w:rPr>
          <w:t xml:space="preserve">medium / particularis</w:t>
        </w:r>
      </w:hyperlink>
      <w:r>
        <w:rPr>
          <w:b w:val="0"/>
          <w:i w:val="0"/>
        </w:rPr>
        <w:t>.</w:t>
      </w:r>
    </w:p>
    <w:p>
      <w:pPr>
        <w:widowControl/>
      </w:pPr>
      <w:r>
        <w:rPr>
          <w:b/>
          <w:i w:val="0"/>
        </w:rPr>
        <w:t>partim.</w:t>
      </w:r>
      <w:r>
        <w:rPr>
          <w:b w:val="0"/>
          <w:i w:val="0"/>
        </w:rPr>
        <w:t xml:space="preserve"> </w:t>
      </w:r>
      <w:hyperlink w:anchor="latin-record-0830">
        <w:r>
          <w:rPr>
            <w:color w:val="000000"/>
          </w:rPr>
          <w:t xml:space="preserve">partim</w:t>
        </w:r>
      </w:hyperlink>
      <w:r>
        <w:rPr>
          <w:b w:val="0"/>
          <w:i w:val="0"/>
        </w:rPr>
        <w:t>.</w:t>
      </w:r>
    </w:p>
    <w:p>
      <w:pPr>
        <w:widowControl/>
      </w:pPr>
      <w:r>
        <w:rPr>
          <w:b/>
          <w:i w:val="0"/>
        </w:rPr>
        <w:t>partim stat, partim vero movetur.</w:t>
      </w:r>
      <w:r>
        <w:rPr>
          <w:b w:val="0"/>
          <w:i w:val="0"/>
        </w:rPr>
        <w:t xml:space="preserve"> </w:t>
      </w:r>
      <w:hyperlink w:anchor="latin-record-0831">
        <w:r>
          <w:rPr>
            <w:color w:val="000000"/>
          </w:rPr>
          <w:t xml:space="preserve">partim … partim</w:t>
        </w:r>
      </w:hyperlink>
      <w:r>
        <w:rPr>
          <w:b w:val="0"/>
          <w:i w:val="0"/>
        </w:rPr>
        <w:t>.</w:t>
      </w:r>
    </w:p>
    <w:p>
      <w:pPr>
        <w:widowControl/>
      </w:pPr>
      <w:r>
        <w:rPr>
          <w:b/>
          <w:i w:val="0"/>
        </w:rPr>
        <w:t>partis.</w:t>
      </w:r>
      <w:r>
        <w:rPr>
          <w:b w:val="0"/>
          <w:i w:val="0"/>
        </w:rPr>
        <w:t xml:space="preserve"> </w:t>
      </w:r>
      <w:hyperlink w:anchor="latin-record-0823">
        <w:r>
          <w:rPr>
            <w:color w:val="000000"/>
          </w:rPr>
          <w:t xml:space="preserve">pars / totum</w:t>
        </w:r>
      </w:hyperlink>
      <w:r>
        <w:rPr>
          <w:b w:val="0"/>
          <w:i w:val="0"/>
        </w:rPr>
        <w:t xml:space="preserve">; </w:t>
      </w:r>
      <w:hyperlink w:anchor="latin-record-0824">
        <w:r>
          <w:rPr>
            <w:color w:val="000000"/>
          </w:rPr>
          <w:t xml:space="preserve">pars / totus</w:t>
        </w:r>
      </w:hyperlink>
      <w:r>
        <w:rPr>
          <w:b w:val="0"/>
          <w:i w:val="0"/>
        </w:rPr>
        <w:t>.</w:t>
      </w:r>
    </w:p>
    <w:p>
      <w:pPr>
        <w:widowControl/>
      </w:pPr>
      <w:r>
        <w:rPr>
          <w:b/>
          <w:i w:val="0"/>
        </w:rPr>
        <w:t>partis albedo.</w:t>
      </w:r>
      <w:r>
        <w:rPr>
          <w:b w:val="0"/>
          <w:i w:val="0"/>
        </w:rPr>
        <w:t xml:space="preserve"> </w:t>
      </w:r>
      <w:hyperlink w:anchor="latin-record-0832">
        <w:r>
          <w:rPr>
            <w:color w:val="000000"/>
          </w:rPr>
          <w:t xml:space="preserve">partis albedo / pars albedinis</w:t>
        </w:r>
      </w:hyperlink>
      <w:r>
        <w:rPr>
          <w:b w:val="0"/>
          <w:i w:val="0"/>
        </w:rPr>
        <w:t>.</w:t>
      </w:r>
    </w:p>
    <w:p>
      <w:pPr>
        <w:widowControl/>
      </w:pPr>
      <w:r>
        <w:rPr>
          <w:b/>
          <w:i w:val="0"/>
        </w:rPr>
        <w:t>partium.</w:t>
      </w:r>
      <w:r>
        <w:rPr>
          <w:b w:val="0"/>
          <w:i w:val="0"/>
        </w:rPr>
        <w:t xml:space="preserve"> </w:t>
      </w:r>
      <w:hyperlink w:anchor="latin-record-0824">
        <w:r>
          <w:rPr>
            <w:color w:val="000000"/>
          </w:rPr>
          <w:t xml:space="preserve">pars / totus</w:t>
        </w:r>
      </w:hyperlink>
      <w:r>
        <w:rPr>
          <w:b w:val="0"/>
          <w:i w:val="0"/>
        </w:rPr>
        <w:t>.</w:t>
      </w:r>
    </w:p>
    <w:p>
      <w:pPr>
        <w:widowControl/>
      </w:pPr>
      <w:r>
        <w:rPr>
          <w:b/>
          <w:i w:val="0"/>
        </w:rPr>
        <w:t>parturiunt.</w:t>
      </w:r>
      <w:r>
        <w:rPr>
          <w:b w:val="0"/>
          <w:i w:val="0"/>
        </w:rPr>
        <w:t xml:space="preserve"> </w:t>
      </w:r>
      <w:hyperlink w:anchor="latin-record-0833">
        <w:r>
          <w:rPr>
            <w:color w:val="000000"/>
          </w:rPr>
          <w:t xml:space="preserve">parturire</w:t>
        </w:r>
      </w:hyperlink>
      <w:r>
        <w:rPr>
          <w:b w:val="0"/>
          <w:i w:val="0"/>
        </w:rPr>
        <w:t>.</w:t>
      </w:r>
    </w:p>
    <w:p>
      <w:pPr>
        <w:widowControl/>
      </w:pPr>
      <w:r>
        <w:rPr>
          <w:b/>
          <w:i w:val="0"/>
        </w:rPr>
        <w:t>parum.</w:t>
      </w:r>
      <w:r>
        <w:rPr>
          <w:b w:val="0"/>
          <w:i w:val="0"/>
        </w:rPr>
        <w:t xml:space="preserve"> </w:t>
      </w:r>
      <w:hyperlink w:anchor="latin-record-0834">
        <w:r>
          <w:rPr>
            <w:color w:val="000000"/>
          </w:rPr>
          <w:t xml:space="preserve">parum / paululum / paulum</w:t>
        </w:r>
      </w:hyperlink>
      <w:r>
        <w:rPr>
          <w:b w:val="0"/>
          <w:i w:val="0"/>
        </w:rPr>
        <w:t>.</w:t>
      </w:r>
    </w:p>
    <w:p>
      <w:pPr>
        <w:widowControl/>
      </w:pPr>
      <w:r>
        <w:rPr>
          <w:b/>
          <w:i w:val="0"/>
        </w:rPr>
        <w:t>parvas.</w:t>
      </w:r>
      <w:r>
        <w:rPr>
          <w:b w:val="0"/>
          <w:i w:val="0"/>
        </w:rPr>
        <w:t xml:space="preserve"> </w:t>
      </w:r>
      <w:hyperlink w:anchor="latin-record-0404">
        <w:r>
          <w:rPr>
            <w:color w:val="000000"/>
          </w:rPr>
          <w:t xml:space="preserve">exilis / exiguus / parvitas</w:t>
        </w:r>
      </w:hyperlink>
      <w:r>
        <w:rPr>
          <w:b w:val="0"/>
          <w:i w:val="0"/>
        </w:rPr>
        <w:t>.</w:t>
      </w:r>
    </w:p>
    <w:p>
      <w:pPr>
        <w:widowControl/>
      </w:pPr>
      <w:r>
        <w:rPr>
          <w:b/>
          <w:i w:val="0"/>
        </w:rPr>
        <w:t>parvitatem.</w:t>
      </w:r>
      <w:r>
        <w:rPr>
          <w:b w:val="0"/>
          <w:i w:val="0"/>
        </w:rPr>
        <w:t xml:space="preserve"> </w:t>
      </w:r>
      <w:hyperlink w:anchor="latin-record-0404">
        <w:r>
          <w:rPr>
            <w:color w:val="000000"/>
          </w:rPr>
          <w:t xml:space="preserve">exilis / exiguus / parvitas</w:t>
        </w:r>
      </w:hyperlink>
      <w:r>
        <w:rPr>
          <w:b w:val="0"/>
          <w:i w:val="0"/>
        </w:rPr>
        <w:t>.</w:t>
      </w:r>
    </w:p>
    <w:p>
      <w:pPr>
        <w:widowControl/>
      </w:pPr>
      <w:r>
        <w:rPr>
          <w:b/>
          <w:i w:val="0"/>
        </w:rPr>
        <w:t>parvum.</w:t>
      </w:r>
      <w:r>
        <w:rPr>
          <w:b w:val="0"/>
          <w:i w:val="0"/>
        </w:rPr>
        <w:t xml:space="preserve"> </w:t>
      </w:r>
      <w:hyperlink w:anchor="latin-record-0404">
        <w:r>
          <w:rPr>
            <w:color w:val="000000"/>
          </w:rPr>
          <w:t xml:space="preserve">exilis / exiguus / parvitas</w:t>
        </w:r>
      </w:hyperlink>
      <w:r>
        <w:rPr>
          <w:b w:val="0"/>
          <w:i w:val="0"/>
        </w:rPr>
        <w:t>.</w:t>
      </w:r>
    </w:p>
    <w:p>
      <w:pPr>
        <w:widowControl/>
      </w:pPr>
      <w:r>
        <w:rPr>
          <w:b/>
          <w:i w:val="0"/>
        </w:rPr>
        <w:t>passim.</w:t>
      </w:r>
      <w:r>
        <w:rPr>
          <w:b w:val="0"/>
          <w:i w:val="0"/>
        </w:rPr>
        <w:t xml:space="preserve"> </w:t>
      </w:r>
      <w:hyperlink w:anchor="latin-record-0835">
        <w:r>
          <w:rPr>
            <w:color w:val="000000"/>
          </w:rPr>
          <w:t xml:space="preserve">passim</w:t>
        </w:r>
      </w:hyperlink>
      <w:r>
        <w:rPr>
          <w:b w:val="0"/>
          <w:i w:val="0"/>
        </w:rPr>
        <w:t>.</w:t>
      </w:r>
    </w:p>
    <w:p>
      <w:pPr>
        <w:widowControl/>
      </w:pPr>
      <w:r>
        <w:rPr>
          <w:b/>
          <w:i w:val="0"/>
        </w:rPr>
        <w:t>passio.</w:t>
      </w:r>
      <w:r>
        <w:rPr>
          <w:b w:val="0"/>
          <w:i w:val="0"/>
        </w:rPr>
        <w:t xml:space="preserve"> </w:t>
      </w:r>
      <w:hyperlink w:anchor="latin-record-0836">
        <w:r>
          <w:rPr>
            <w:color w:val="000000"/>
          </w:rPr>
          <w:t xml:space="preserve">passio / patiens / pati</w:t>
        </w:r>
      </w:hyperlink>
      <w:r>
        <w:rPr>
          <w:b w:val="0"/>
          <w:i w:val="0"/>
        </w:rPr>
        <w:t>.</w:t>
      </w:r>
    </w:p>
    <w:p>
      <w:pPr>
        <w:widowControl/>
      </w:pPr>
      <w:r>
        <w:rPr>
          <w:b/>
          <w:i w:val="0"/>
        </w:rPr>
        <w:t>passione.</w:t>
      </w:r>
      <w:r>
        <w:rPr>
          <w:b w:val="0"/>
          <w:i w:val="0"/>
        </w:rPr>
        <w:t xml:space="preserve"> </w:t>
      </w:r>
      <w:hyperlink w:anchor="latin-record-0839">
        <w:r>
          <w:rPr>
            <w:color w:val="000000"/>
          </w:rPr>
          <w:t xml:space="preserve">pati / passio</w:t>
        </w:r>
      </w:hyperlink>
      <w:r>
        <w:rPr>
          <w:b w:val="0"/>
          <w:i w:val="0"/>
        </w:rPr>
        <w:t>.</w:t>
      </w:r>
    </w:p>
    <w:p>
      <w:pPr>
        <w:widowControl/>
      </w:pPr>
      <w:r>
        <w:rPr>
          <w:b/>
          <w:i w:val="0"/>
        </w:rPr>
        <w:t>passiones.</w:t>
      </w:r>
      <w:r>
        <w:rPr>
          <w:b w:val="0"/>
          <w:i w:val="0"/>
        </w:rPr>
        <w:t xml:space="preserve"> </w:t>
      </w:r>
      <w:hyperlink w:anchor="latin-record-0039">
        <w:r>
          <w:rPr>
            <w:color w:val="000000"/>
          </w:rPr>
          <w:t xml:space="preserve">afficio / affectio / passio</w:t>
        </w:r>
      </w:hyperlink>
      <w:r>
        <w:rPr>
          <w:b w:val="0"/>
          <w:i w:val="0"/>
        </w:rPr>
        <w:t>.</w:t>
      </w:r>
    </w:p>
    <w:p>
      <w:pPr>
        <w:widowControl/>
      </w:pPr>
      <w:r>
        <w:rPr>
          <w:b/>
          <w:i w:val="0"/>
        </w:rPr>
        <w:t>passioni.</w:t>
      </w:r>
      <w:r>
        <w:rPr>
          <w:b w:val="0"/>
          <w:i w:val="0"/>
        </w:rPr>
        <w:t xml:space="preserve"> </w:t>
      </w:r>
      <w:hyperlink w:anchor="latin-record-0039">
        <w:r>
          <w:rPr>
            <w:color w:val="000000"/>
          </w:rPr>
          <w:t xml:space="preserve">afficio / affectio / passio</w:t>
        </w:r>
      </w:hyperlink>
      <w:r>
        <w:rPr>
          <w:b w:val="0"/>
          <w:i w:val="0"/>
        </w:rPr>
        <w:t>.</w:t>
      </w:r>
    </w:p>
    <w:p>
      <w:pPr>
        <w:widowControl/>
      </w:pPr>
      <w:r>
        <w:rPr>
          <w:b/>
          <w:i w:val="0"/>
        </w:rPr>
        <w:t>passiva.</w:t>
      </w:r>
      <w:r>
        <w:rPr>
          <w:b w:val="0"/>
          <w:i w:val="0"/>
        </w:rPr>
        <w:t xml:space="preserve"> </w:t>
      </w:r>
      <w:hyperlink w:anchor="latin-record-0836">
        <w:r>
          <w:rPr>
            <w:color w:val="000000"/>
          </w:rPr>
          <w:t xml:space="preserve">passio / patiens / pati</w:t>
        </w:r>
      </w:hyperlink>
      <w:r>
        <w:rPr>
          <w:b w:val="0"/>
          <w:i w:val="0"/>
        </w:rPr>
        <w:t xml:space="preserve">; </w:t>
      </w:r>
      <w:hyperlink w:anchor="latin-record-1177">
        <w:r>
          <w:rPr>
            <w:color w:val="000000"/>
          </w:rPr>
          <w:t xml:space="preserve">susceptivus / passivus</w:t>
        </w:r>
      </w:hyperlink>
      <w:r>
        <w:rPr>
          <w:b w:val="0"/>
          <w:i w:val="0"/>
        </w:rPr>
        <w:t>.</w:t>
      </w:r>
    </w:p>
    <w:p>
      <w:pPr>
        <w:widowControl/>
      </w:pPr>
      <w:r>
        <w:rPr>
          <w:b/>
          <w:i w:val="0"/>
        </w:rPr>
        <w:t>passivae.</w:t>
      </w:r>
      <w:r>
        <w:rPr>
          <w:b w:val="0"/>
          <w:i w:val="0"/>
        </w:rPr>
        <w:t xml:space="preserve"> </w:t>
      </w:r>
      <w:hyperlink w:anchor="latin-record-0836">
        <w:r>
          <w:rPr>
            <w:color w:val="000000"/>
          </w:rPr>
          <w:t xml:space="preserve">passio / patiens / pati</w:t>
        </w:r>
      </w:hyperlink>
      <w:r>
        <w:rPr>
          <w:b w:val="0"/>
          <w:i w:val="0"/>
        </w:rPr>
        <w:t>.</w:t>
      </w:r>
    </w:p>
    <w:p>
      <w:pPr>
        <w:widowControl/>
      </w:pPr>
      <w:r>
        <w:rPr>
          <w:b/>
          <w:i w:val="0"/>
        </w:rPr>
        <w:t>passivam.</w:t>
      </w:r>
      <w:r>
        <w:rPr>
          <w:b w:val="0"/>
          <w:i w:val="0"/>
        </w:rPr>
        <w:t xml:space="preserve"> </w:t>
      </w:r>
      <w:hyperlink w:anchor="latin-record-0840">
        <w:r>
          <w:rPr>
            <w:color w:val="000000"/>
          </w:rPr>
          <w:t xml:space="preserve">pati / passivus</w:t>
        </w:r>
      </w:hyperlink>
      <w:r>
        <w:rPr>
          <w:b w:val="0"/>
          <w:i w:val="0"/>
        </w:rPr>
        <w:t xml:space="preserve">; </w:t>
      </w:r>
      <w:hyperlink w:anchor="latin-record-1177">
        <w:r>
          <w:rPr>
            <w:color w:val="000000"/>
          </w:rPr>
          <w:t xml:space="preserve">susceptivus / passivus</w:t>
        </w:r>
      </w:hyperlink>
      <w:r>
        <w:rPr>
          <w:b w:val="0"/>
          <w:i w:val="0"/>
        </w:rPr>
        <w:t>.</w:t>
      </w:r>
    </w:p>
    <w:p>
      <w:pPr>
        <w:widowControl/>
      </w:pPr>
      <w:r>
        <w:rPr>
          <w:b/>
          <w:i w:val="0"/>
        </w:rPr>
        <w:t>passum.</w:t>
      </w:r>
      <w:r>
        <w:rPr>
          <w:b w:val="0"/>
          <w:i w:val="0"/>
        </w:rPr>
        <w:t xml:space="preserve"> </w:t>
      </w:r>
      <w:hyperlink w:anchor="latin-record-0618">
        <w:r>
          <w:rPr>
            <w:color w:val="000000"/>
          </w:rPr>
          <w:t xml:space="preserve">iter / passus</w:t>
        </w:r>
      </w:hyperlink>
      <w:r>
        <w:rPr>
          <w:b w:val="0"/>
          <w:i w:val="0"/>
        </w:rPr>
        <w:t>.</w:t>
      </w:r>
    </w:p>
    <w:p>
      <w:pPr>
        <w:widowControl/>
      </w:pPr>
      <w:r>
        <w:rPr>
          <w:b/>
          <w:i w:val="0"/>
        </w:rPr>
        <w:t>passus.</w:t>
      </w:r>
      <w:r>
        <w:rPr>
          <w:b w:val="0"/>
          <w:i w:val="0"/>
        </w:rPr>
        <w:t xml:space="preserve"> </w:t>
      </w:r>
      <w:hyperlink w:anchor="latin-record-0618">
        <w:r>
          <w:rPr>
            <w:color w:val="000000"/>
          </w:rPr>
          <w:t xml:space="preserve">iter / passus</w:t>
        </w:r>
      </w:hyperlink>
      <w:r>
        <w:rPr>
          <w:b w:val="0"/>
          <w:i w:val="0"/>
        </w:rPr>
        <w:t>.</w:t>
      </w:r>
    </w:p>
    <w:p>
      <w:pPr>
        <w:widowControl/>
      </w:pPr>
      <w:r>
        <w:rPr>
          <w:b/>
          <w:i w:val="0"/>
        </w:rPr>
        <w:t>pater.</w:t>
      </w:r>
      <w:r>
        <w:rPr>
          <w:b w:val="0"/>
          <w:i w:val="0"/>
        </w:rPr>
        <w:t xml:space="preserve"> </w:t>
      </w:r>
      <w:hyperlink w:anchor="latin-record-0838">
        <w:r>
          <w:rPr>
            <w:color w:val="000000"/>
          </w:rPr>
          <w:t xml:space="preserve">pater philosophorum</w:t>
        </w:r>
      </w:hyperlink>
      <w:r>
        <w:rPr>
          <w:b w:val="0"/>
          <w:i w:val="0"/>
        </w:rPr>
        <w:t>.</w:t>
      </w:r>
    </w:p>
    <w:p>
      <w:pPr>
        <w:widowControl/>
      </w:pPr>
      <w:r>
        <w:rPr>
          <w:b/>
          <w:i w:val="0"/>
        </w:rPr>
        <w:t>patet.</w:t>
      </w:r>
      <w:r>
        <w:rPr>
          <w:b w:val="0"/>
          <w:i w:val="0"/>
        </w:rPr>
        <w:t xml:space="preserve"> </w:t>
      </w:r>
      <w:hyperlink w:anchor="latin-record-0083">
        <w:r>
          <w:rPr>
            <w:color w:val="000000"/>
          </w:rPr>
          <w:t xml:space="preserve">appareo / pateo</w:t>
        </w:r>
      </w:hyperlink>
      <w:r>
        <w:rPr>
          <w:b w:val="0"/>
          <w:i w:val="0"/>
        </w:rPr>
        <w:t xml:space="preserve">; </w:t>
      </w:r>
      <w:hyperlink w:anchor="latin-record-0224">
        <w:r>
          <w:rPr>
            <w:color w:val="000000"/>
          </w:rPr>
          <w:t xml:space="preserve">concludere / confirmare / patere</w:t>
        </w:r>
      </w:hyperlink>
      <w:r>
        <w:rPr>
          <w:b w:val="0"/>
          <w:i w:val="0"/>
        </w:rPr>
        <w:t>.</w:t>
      </w:r>
    </w:p>
    <w:p>
      <w:pPr>
        <w:widowControl/>
      </w:pPr>
      <w:r>
        <w:rPr>
          <w:b/>
          <w:i w:val="0"/>
        </w:rPr>
        <w:t>pati.</w:t>
      </w:r>
      <w:r>
        <w:rPr>
          <w:b w:val="0"/>
          <w:i w:val="0"/>
        </w:rPr>
        <w:t xml:space="preserve"> </w:t>
      </w:r>
      <w:hyperlink w:anchor="latin-record-0839">
        <w:r>
          <w:rPr>
            <w:color w:val="000000"/>
          </w:rPr>
          <w:t xml:space="preserve">pati / passio</w:t>
        </w:r>
      </w:hyperlink>
      <w:r>
        <w:rPr>
          <w:b w:val="0"/>
          <w:i w:val="0"/>
        </w:rPr>
        <w:t xml:space="preserve">; </w:t>
      </w:r>
      <w:hyperlink w:anchor="latin-record-0840">
        <w:r>
          <w:rPr>
            <w:color w:val="000000"/>
          </w:rPr>
          <w:t xml:space="preserve">pati / passivus</w:t>
        </w:r>
      </w:hyperlink>
      <w:r>
        <w:rPr>
          <w:b w:val="0"/>
          <w:i w:val="0"/>
        </w:rPr>
        <w:t xml:space="preserve">; </w:t>
      </w:r>
      <w:hyperlink w:anchor="latin-record-0841">
        <w:r>
          <w:rPr>
            <w:color w:val="000000"/>
          </w:rPr>
          <w:t xml:space="preserve">pati / patior</w:t>
        </w:r>
      </w:hyperlink>
      <w:r>
        <w:rPr>
          <w:b w:val="0"/>
          <w:i w:val="0"/>
        </w:rPr>
        <w:t>.</w:t>
      </w:r>
    </w:p>
    <w:p>
      <w:pPr>
        <w:widowControl/>
      </w:pPr>
      <w:r>
        <w:rPr>
          <w:b/>
          <w:i w:val="0"/>
        </w:rPr>
        <w:t>patiatur.</w:t>
      </w:r>
      <w:r>
        <w:rPr>
          <w:b w:val="0"/>
          <w:i w:val="0"/>
        </w:rPr>
        <w:t xml:space="preserve"> </w:t>
      </w:r>
      <w:hyperlink w:anchor="latin-record-0839">
        <w:r>
          <w:rPr>
            <w:color w:val="000000"/>
          </w:rPr>
          <w:t xml:space="preserve">pati / passio</w:t>
        </w:r>
      </w:hyperlink>
      <w:r>
        <w:rPr>
          <w:b w:val="0"/>
          <w:i w:val="0"/>
        </w:rPr>
        <w:t xml:space="preserve">; </w:t>
      </w:r>
      <w:hyperlink w:anchor="latin-record-0841">
        <w:r>
          <w:rPr>
            <w:color w:val="000000"/>
          </w:rPr>
          <w:t xml:space="preserve">pati / patior</w:t>
        </w:r>
      </w:hyperlink>
      <w:r>
        <w:rPr>
          <w:b w:val="0"/>
          <w:i w:val="0"/>
        </w:rPr>
        <w:t>.</w:t>
      </w:r>
    </w:p>
    <w:p>
      <w:pPr>
        <w:widowControl/>
      </w:pPr>
      <w:r>
        <w:rPr>
          <w:b/>
          <w:i w:val="0"/>
        </w:rPr>
        <w:t>patiendi.</w:t>
      </w:r>
      <w:r>
        <w:rPr>
          <w:b w:val="0"/>
          <w:i w:val="0"/>
        </w:rPr>
        <w:t xml:space="preserve"> </w:t>
      </w:r>
      <w:hyperlink w:anchor="latin-record-0836">
        <w:r>
          <w:rPr>
            <w:color w:val="000000"/>
          </w:rPr>
          <w:t xml:space="preserve">passio / patiens / pati</w:t>
        </w:r>
      </w:hyperlink>
      <w:r>
        <w:rPr>
          <w:b w:val="0"/>
          <w:i w:val="0"/>
        </w:rPr>
        <w:t>.</w:t>
      </w:r>
    </w:p>
    <w:p>
      <w:pPr>
        <w:widowControl/>
      </w:pPr>
      <w:r>
        <w:rPr>
          <w:b/>
          <w:i w:val="0"/>
        </w:rPr>
        <w:t>patiendique.</w:t>
      </w:r>
      <w:r>
        <w:rPr>
          <w:b w:val="0"/>
          <w:i w:val="0"/>
        </w:rPr>
        <w:t xml:space="preserve"> </w:t>
      </w:r>
      <w:hyperlink w:anchor="latin-record-0839">
        <w:r>
          <w:rPr>
            <w:color w:val="000000"/>
          </w:rPr>
          <w:t xml:space="preserve">pati / passio</w:t>
        </w:r>
      </w:hyperlink>
      <w:r>
        <w:rPr>
          <w:b w:val="0"/>
          <w:i w:val="0"/>
        </w:rPr>
        <w:t>.</w:t>
      </w:r>
    </w:p>
    <w:p>
      <w:pPr>
        <w:widowControl/>
      </w:pPr>
      <w:r>
        <w:rPr>
          <w:b/>
          <w:i w:val="0"/>
        </w:rPr>
        <w:t>patiens.</w:t>
      </w:r>
      <w:r>
        <w:rPr>
          <w:b w:val="0"/>
          <w:i w:val="0"/>
        </w:rPr>
        <w:t xml:space="preserve"> </w:t>
      </w:r>
      <w:hyperlink w:anchor="latin-record-0041">
        <w:r>
          <w:rPr>
            <w:color w:val="000000"/>
          </w:rPr>
          <w:t xml:space="preserve">agens / patiens</w:t>
        </w:r>
      </w:hyperlink>
      <w:r>
        <w:rPr>
          <w:b w:val="0"/>
          <w:i w:val="0"/>
        </w:rPr>
        <w:t xml:space="preserve">; </w:t>
      </w:r>
      <w:hyperlink w:anchor="latin-record-0836">
        <w:r>
          <w:rPr>
            <w:color w:val="000000"/>
          </w:rPr>
          <w:t xml:space="preserve">passio / patiens / pati</w:t>
        </w:r>
      </w:hyperlink>
      <w:r>
        <w:rPr>
          <w:b w:val="0"/>
          <w:i w:val="0"/>
        </w:rPr>
        <w:t>.</w:t>
      </w:r>
    </w:p>
    <w:p>
      <w:pPr>
        <w:widowControl/>
      </w:pPr>
      <w:r>
        <w:rPr>
          <w:b/>
          <w:i w:val="0"/>
        </w:rPr>
        <w:t>patienti.</w:t>
      </w:r>
      <w:r>
        <w:rPr>
          <w:b w:val="0"/>
          <w:i w:val="0"/>
        </w:rPr>
        <w:t xml:space="preserve"> </w:t>
      </w:r>
      <w:hyperlink w:anchor="latin-record-0041">
        <w:r>
          <w:rPr>
            <w:color w:val="000000"/>
          </w:rPr>
          <w:t xml:space="preserve">agens / patiens</w:t>
        </w:r>
      </w:hyperlink>
      <w:r>
        <w:rPr>
          <w:b w:val="0"/>
          <w:i w:val="0"/>
        </w:rPr>
        <w:t>.</w:t>
      </w:r>
    </w:p>
    <w:p>
      <w:pPr>
        <w:widowControl/>
      </w:pPr>
      <w:r>
        <w:rPr>
          <w:b/>
          <w:i w:val="0"/>
        </w:rPr>
        <w:t>patitur.</w:t>
      </w:r>
      <w:r>
        <w:rPr>
          <w:b w:val="0"/>
          <w:i w:val="0"/>
        </w:rPr>
        <w:t xml:space="preserve"> </w:t>
      </w:r>
      <w:hyperlink w:anchor="latin-record-0836">
        <w:r>
          <w:rPr>
            <w:color w:val="000000"/>
          </w:rPr>
          <w:t xml:space="preserve">passio / patiens / pati</w:t>
        </w:r>
      </w:hyperlink>
      <w:r>
        <w:rPr>
          <w:b w:val="0"/>
          <w:i w:val="0"/>
        </w:rPr>
        <w:t xml:space="preserve">; </w:t>
      </w:r>
      <w:hyperlink w:anchor="latin-record-0840">
        <w:r>
          <w:rPr>
            <w:color w:val="000000"/>
          </w:rPr>
          <w:t xml:space="preserve">pati / passivus</w:t>
        </w:r>
      </w:hyperlink>
      <w:r>
        <w:rPr>
          <w:b w:val="0"/>
          <w:i w:val="0"/>
        </w:rPr>
        <w:t xml:space="preserve">; </w:t>
      </w:r>
      <w:hyperlink w:anchor="latin-record-0841">
        <w:r>
          <w:rPr>
            <w:color w:val="000000"/>
          </w:rPr>
          <w:t xml:space="preserve">pati / patior</w:t>
        </w:r>
      </w:hyperlink>
      <w:r>
        <w:rPr>
          <w:b w:val="0"/>
          <w:i w:val="0"/>
        </w:rPr>
        <w:t>.</w:t>
      </w:r>
    </w:p>
    <w:p>
      <w:pPr>
        <w:widowControl/>
      </w:pPr>
      <w:r>
        <w:rPr>
          <w:b/>
          <w:i w:val="0"/>
        </w:rPr>
        <w:t>patiuntur.</w:t>
      </w:r>
      <w:r>
        <w:rPr>
          <w:b w:val="0"/>
          <w:i w:val="0"/>
        </w:rPr>
        <w:t xml:space="preserve"> </w:t>
      </w:r>
      <w:hyperlink w:anchor="latin-record-0841">
        <w:r>
          <w:rPr>
            <w:color w:val="000000"/>
          </w:rPr>
          <w:t xml:space="preserve">pati / patior</w:t>
        </w:r>
      </w:hyperlink>
      <w:r>
        <w:rPr>
          <w:b w:val="0"/>
          <w:i w:val="0"/>
        </w:rPr>
        <w:t>.</w:t>
      </w:r>
    </w:p>
    <w:p>
      <w:pPr>
        <w:widowControl/>
      </w:pPr>
      <w:r>
        <w:rPr>
          <w:b/>
          <w:i w:val="0"/>
        </w:rPr>
        <w:t>patre.</w:t>
      </w:r>
      <w:r>
        <w:rPr>
          <w:b w:val="0"/>
          <w:i w:val="0"/>
        </w:rPr>
        <w:t xml:space="preserve"> </w:t>
      </w:r>
      <w:hyperlink w:anchor="latin-record-0837">
        <w:r>
          <w:rPr>
            <w:color w:val="000000"/>
          </w:rPr>
          <w:t xml:space="preserve">pater / patria</w:t>
        </w:r>
      </w:hyperlink>
      <w:r>
        <w:rPr>
          <w:b w:val="0"/>
          <w:i w:val="0"/>
        </w:rPr>
        <w:t>.</w:t>
      </w:r>
    </w:p>
    <w:p>
      <w:pPr>
        <w:widowControl/>
      </w:pPr>
      <w:r>
        <w:rPr>
          <w:b/>
          <w:i w:val="0"/>
        </w:rPr>
        <w:t>patriae.</w:t>
      </w:r>
      <w:r>
        <w:rPr>
          <w:b w:val="0"/>
          <w:i w:val="0"/>
        </w:rPr>
        <w:t xml:space="preserve"> </w:t>
      </w:r>
      <w:hyperlink w:anchor="latin-record-0044">
        <w:r>
          <w:rPr>
            <w:color w:val="000000"/>
          </w:rPr>
          <w:t xml:space="preserve">ala / dux / patria</w:t>
        </w:r>
      </w:hyperlink>
      <w:r>
        <w:rPr>
          <w:b w:val="0"/>
          <w:i w:val="0"/>
        </w:rPr>
        <w:t>.</w:t>
      </w:r>
    </w:p>
    <w:p>
      <w:pPr>
        <w:widowControl/>
      </w:pPr>
      <w:r>
        <w:rPr>
          <w:b/>
          <w:i w:val="0"/>
        </w:rPr>
        <w:t>patriam.</w:t>
      </w:r>
      <w:r>
        <w:rPr>
          <w:b w:val="0"/>
          <w:i w:val="0"/>
        </w:rPr>
        <w:t xml:space="preserve"> </w:t>
      </w:r>
      <w:hyperlink w:anchor="latin-record-0044">
        <w:r>
          <w:rPr>
            <w:color w:val="000000"/>
          </w:rPr>
          <w:t xml:space="preserve">ala / dux / patria</w:t>
        </w:r>
      </w:hyperlink>
      <w:r>
        <w:rPr>
          <w:b w:val="0"/>
          <w:i w:val="0"/>
        </w:rPr>
        <w:t xml:space="preserve">; </w:t>
      </w:r>
      <w:hyperlink w:anchor="latin-record-0837">
        <w:r>
          <w:rPr>
            <w:color w:val="000000"/>
          </w:rPr>
          <w:t xml:space="preserve">pater / patria</w:t>
        </w:r>
      </w:hyperlink>
      <w:r>
        <w:rPr>
          <w:b w:val="0"/>
          <w:i w:val="0"/>
        </w:rPr>
        <w:t>.</w:t>
      </w:r>
    </w:p>
    <w:p>
      <w:pPr>
        <w:widowControl/>
      </w:pPr>
      <w:r>
        <w:rPr>
          <w:b/>
          <w:i w:val="0"/>
        </w:rPr>
        <w:t>paulatim.</w:t>
      </w:r>
      <w:r>
        <w:rPr>
          <w:b w:val="0"/>
          <w:i w:val="0"/>
        </w:rPr>
        <w:t xml:space="preserve"> </w:t>
      </w:r>
      <w:hyperlink w:anchor="latin-record-0842">
        <w:r>
          <w:rPr>
            <w:color w:val="000000"/>
          </w:rPr>
          <w:t xml:space="preserve">paulatim / subito / sero</w:t>
        </w:r>
      </w:hyperlink>
      <w:r>
        <w:rPr>
          <w:b w:val="0"/>
          <w:i w:val="0"/>
        </w:rPr>
        <w:t xml:space="preserve">; </w:t>
      </w:r>
      <w:hyperlink w:anchor="latin-record-1157">
        <w:r>
          <w:rPr>
            <w:color w:val="000000"/>
          </w:rPr>
          <w:t xml:space="preserve">subito / paulatim</w:t>
        </w:r>
      </w:hyperlink>
      <w:r>
        <w:rPr>
          <w:b w:val="0"/>
          <w:i w:val="0"/>
        </w:rPr>
        <w:t>.</w:t>
      </w:r>
    </w:p>
    <w:p>
      <w:pPr>
        <w:widowControl/>
      </w:pPr>
      <w:r>
        <w:rPr>
          <w:b/>
          <w:i w:val="0"/>
        </w:rPr>
        <w:t>paululum.</w:t>
      </w:r>
      <w:r>
        <w:rPr>
          <w:b w:val="0"/>
          <w:i w:val="0"/>
        </w:rPr>
        <w:t xml:space="preserve"> </w:t>
      </w:r>
      <w:hyperlink w:anchor="latin-record-0834">
        <w:r>
          <w:rPr>
            <w:color w:val="000000"/>
          </w:rPr>
          <w:t xml:space="preserve">parum / paululum / paulum</w:t>
        </w:r>
      </w:hyperlink>
      <w:r>
        <w:rPr>
          <w:b w:val="0"/>
          <w:i w:val="0"/>
        </w:rPr>
        <w:t>.</w:t>
      </w:r>
    </w:p>
    <w:p>
      <w:pPr>
        <w:widowControl/>
      </w:pPr>
      <w:r>
        <w:rPr>
          <w:b/>
          <w:i w:val="0"/>
        </w:rPr>
        <w:t>paulum.</w:t>
      </w:r>
      <w:r>
        <w:rPr>
          <w:b w:val="0"/>
          <w:i w:val="0"/>
        </w:rPr>
        <w:t xml:space="preserve"> </w:t>
      </w:r>
      <w:hyperlink w:anchor="latin-record-0834">
        <w:r>
          <w:rPr>
            <w:color w:val="000000"/>
          </w:rPr>
          <w:t xml:space="preserve">parum / paululum / paulum</w:t>
        </w:r>
      </w:hyperlink>
      <w:r>
        <w:rPr>
          <w:b w:val="0"/>
          <w:i w:val="0"/>
        </w:rPr>
        <w:t>.</w:t>
      </w:r>
    </w:p>
    <w:p>
      <w:pPr>
        <w:widowControl/>
      </w:pPr>
      <w:r>
        <w:rPr>
          <w:b/>
          <w:i w:val="0"/>
        </w:rPr>
        <w:t>pavimento.</w:t>
      </w:r>
      <w:r>
        <w:rPr>
          <w:b w:val="0"/>
          <w:i w:val="0"/>
        </w:rPr>
        <w:t xml:space="preserve"> </w:t>
      </w:r>
      <w:hyperlink w:anchor="latin-record-1278">
        <w:r>
          <w:rPr>
            <w:color w:val="000000"/>
          </w:rPr>
          <w:t xml:space="preserve">vitrum / fenestra / pavimentum</w:t>
        </w:r>
      </w:hyperlink>
      <w:r>
        <w:rPr>
          <w:b w:val="0"/>
          <w:i w:val="0"/>
        </w:rPr>
        <w:t>.</w:t>
      </w:r>
    </w:p>
    <w:p>
      <w:pPr>
        <w:widowControl/>
      </w:pPr>
      <w:r>
        <w:rPr>
          <w:b/>
          <w:i w:val="0"/>
        </w:rPr>
        <w:t>pedisequa.</w:t>
      </w:r>
      <w:r>
        <w:rPr>
          <w:b w:val="0"/>
          <w:i w:val="0"/>
        </w:rPr>
        <w:t xml:space="preserve"> </w:t>
      </w:r>
      <w:hyperlink w:anchor="latin-record-1038">
        <w:r>
          <w:rPr>
            <w:color w:val="000000"/>
          </w:rPr>
          <w:t xml:space="preserve">regina / pedisequa</w:t>
        </w:r>
      </w:hyperlink>
      <w:r>
        <w:rPr>
          <w:b w:val="0"/>
          <w:i w:val="0"/>
        </w:rPr>
        <w:t>.</w:t>
      </w:r>
    </w:p>
    <w:p>
      <w:pPr>
        <w:widowControl/>
      </w:pPr>
      <w:r>
        <w:rPr>
          <w:b/>
          <w:i w:val="0"/>
        </w:rPr>
        <w:t>pellet.</w:t>
      </w:r>
      <w:r>
        <w:rPr>
          <w:b w:val="0"/>
          <w:i w:val="0"/>
        </w:rPr>
        <w:t xml:space="preserve"> </w:t>
      </w:r>
      <w:hyperlink w:anchor="latin-record-0843">
        <w:r>
          <w:rPr>
            <w:color w:val="000000"/>
          </w:rPr>
          <w:t xml:space="preserve">pellere</w:t>
        </w:r>
      </w:hyperlink>
      <w:r>
        <w:rPr>
          <w:b w:val="0"/>
          <w:i w:val="0"/>
        </w:rPr>
        <w:t>.</w:t>
      </w:r>
    </w:p>
    <w:p>
      <w:pPr>
        <w:widowControl/>
      </w:pPr>
      <w:r>
        <w:rPr>
          <w:b/>
          <w:i w:val="0"/>
        </w:rPr>
        <w:t>pellitque.</w:t>
      </w:r>
      <w:r>
        <w:rPr>
          <w:b w:val="0"/>
          <w:i w:val="0"/>
        </w:rPr>
        <w:t xml:space="preserve"> </w:t>
      </w:r>
      <w:hyperlink w:anchor="latin-record-0843">
        <w:r>
          <w:rPr>
            <w:color w:val="000000"/>
          </w:rPr>
          <w:t xml:space="preserve">pellere</w:t>
        </w:r>
      </w:hyperlink>
      <w:r>
        <w:rPr>
          <w:b w:val="0"/>
          <w:i w:val="0"/>
        </w:rPr>
        <w:t>.</w:t>
      </w:r>
    </w:p>
    <w:p>
      <w:pPr>
        <w:widowControl/>
      </w:pPr>
      <w:r>
        <w:rPr>
          <w:b/>
          <w:i w:val="0"/>
        </w:rPr>
        <w:t>pendeant.</w:t>
      </w:r>
      <w:r>
        <w:rPr>
          <w:b w:val="0"/>
          <w:i w:val="0"/>
        </w:rPr>
        <w:t xml:space="preserve"> </w:t>
      </w:r>
      <w:hyperlink w:anchor="latin-record-0845">
        <w:r>
          <w:rPr>
            <w:color w:val="000000"/>
          </w:rPr>
          <w:t xml:space="preserve">pendere / dependere</w:t>
        </w:r>
      </w:hyperlink>
      <w:r>
        <w:rPr>
          <w:b w:val="0"/>
          <w:i w:val="0"/>
        </w:rPr>
        <w:t>.</w:t>
      </w:r>
    </w:p>
    <w:p>
      <w:pPr>
        <w:widowControl/>
      </w:pPr>
      <w:r>
        <w:rPr>
          <w:b/>
          <w:i w:val="0"/>
        </w:rPr>
        <w:t>pendentem.</w:t>
      </w:r>
      <w:r>
        <w:rPr>
          <w:b w:val="0"/>
          <w:i w:val="0"/>
        </w:rPr>
        <w:t xml:space="preserve"> </w:t>
      </w:r>
      <w:hyperlink w:anchor="latin-record-0845">
        <w:r>
          <w:rPr>
            <w:color w:val="000000"/>
          </w:rPr>
          <w:t xml:space="preserve">pendere / dependere</w:t>
        </w:r>
      </w:hyperlink>
      <w:r>
        <w:rPr>
          <w:b w:val="0"/>
          <w:i w:val="0"/>
        </w:rPr>
        <w:t>.</w:t>
      </w:r>
    </w:p>
    <w:p>
      <w:pPr>
        <w:widowControl/>
      </w:pPr>
      <w:r>
        <w:rPr>
          <w:b/>
          <w:i w:val="0"/>
        </w:rPr>
        <w:t>pendet.</w:t>
      </w:r>
      <w:r>
        <w:rPr>
          <w:b w:val="0"/>
          <w:i w:val="0"/>
        </w:rPr>
        <w:t xml:space="preserve"> </w:t>
      </w:r>
      <w:hyperlink w:anchor="latin-record-0305">
        <w:r>
          <w:rPr>
            <w:color w:val="000000"/>
          </w:rPr>
          <w:t xml:space="preserve">dependere / pendere</w:t>
        </w:r>
      </w:hyperlink>
      <w:r>
        <w:rPr>
          <w:b w:val="0"/>
          <w:i w:val="0"/>
        </w:rPr>
        <w:t xml:space="preserve">; </w:t>
      </w:r>
      <w:hyperlink w:anchor="latin-record-0844">
        <w:r>
          <w:rPr>
            <w:color w:val="000000"/>
          </w:rPr>
          <w:t xml:space="preserve">pendere / converti</w:t>
        </w:r>
      </w:hyperlink>
      <w:r>
        <w:rPr>
          <w:b w:val="0"/>
          <w:i w:val="0"/>
        </w:rPr>
        <w:t xml:space="preserve">; </w:t>
      </w:r>
      <w:hyperlink w:anchor="latin-record-0845">
        <w:r>
          <w:rPr>
            <w:color w:val="000000"/>
          </w:rPr>
          <w:t xml:space="preserve">pendere / dependere</w:t>
        </w:r>
      </w:hyperlink>
      <w:r>
        <w:rPr>
          <w:b w:val="0"/>
          <w:i w:val="0"/>
        </w:rPr>
        <w:t>.</w:t>
      </w:r>
    </w:p>
    <w:p>
      <w:pPr>
        <w:widowControl/>
      </w:pPr>
      <w:r>
        <w:rPr>
          <w:b/>
          <w:i w:val="0"/>
        </w:rPr>
        <w:t>penetralibus.</w:t>
      </w:r>
      <w:r>
        <w:rPr>
          <w:b w:val="0"/>
          <w:i w:val="0"/>
        </w:rPr>
        <w:t xml:space="preserve"> </w:t>
      </w:r>
      <w:hyperlink w:anchor="latin-record-0846">
        <w:r>
          <w:rPr>
            <w:color w:val="000000"/>
          </w:rPr>
          <w:t xml:space="preserve">penetralia</w:t>
        </w:r>
      </w:hyperlink>
      <w:r>
        <w:rPr>
          <w:b w:val="0"/>
          <w:i w:val="0"/>
        </w:rPr>
        <w:t>.</w:t>
      </w:r>
    </w:p>
    <w:p>
      <w:pPr>
        <w:widowControl/>
      </w:pPr>
      <w:r>
        <w:rPr>
          <w:b/>
          <w:i w:val="0"/>
        </w:rPr>
        <w:t>penetrant.</w:t>
      </w:r>
      <w:r>
        <w:rPr>
          <w:b w:val="0"/>
          <w:i w:val="0"/>
        </w:rPr>
        <w:t xml:space="preserve"> </w:t>
      </w:r>
      <w:hyperlink w:anchor="latin-record-0847">
        <w:r>
          <w:rPr>
            <w:color w:val="000000"/>
          </w:rPr>
          <w:t xml:space="preserve">penetrare</w:t>
        </w:r>
      </w:hyperlink>
      <w:r>
        <w:rPr>
          <w:b w:val="0"/>
          <w:i w:val="0"/>
        </w:rPr>
        <w:t>.</w:t>
      </w:r>
    </w:p>
    <w:p>
      <w:pPr>
        <w:widowControl/>
      </w:pPr>
      <w:r>
        <w:rPr>
          <w:b/>
          <w:i w:val="0"/>
        </w:rPr>
        <w:t>penetrante.</w:t>
      </w:r>
      <w:r>
        <w:rPr>
          <w:b w:val="0"/>
          <w:i w:val="0"/>
        </w:rPr>
        <w:t xml:space="preserve"> </w:t>
      </w:r>
      <w:hyperlink w:anchor="latin-record-0847">
        <w:r>
          <w:rPr>
            <w:color w:val="000000"/>
          </w:rPr>
          <w:t xml:space="preserve">penetrare</w:t>
        </w:r>
      </w:hyperlink>
      <w:r>
        <w:rPr>
          <w:b w:val="0"/>
          <w:i w:val="0"/>
        </w:rPr>
        <w:t>.</w:t>
      </w:r>
    </w:p>
    <w:p>
      <w:pPr>
        <w:widowControl/>
      </w:pPr>
      <w:r>
        <w:rPr>
          <w:b/>
          <w:i w:val="0"/>
        </w:rPr>
        <w:t>penetrare.</w:t>
      </w:r>
      <w:r>
        <w:rPr>
          <w:b w:val="0"/>
          <w:i w:val="0"/>
        </w:rPr>
        <w:t xml:space="preserve"> </w:t>
      </w:r>
      <w:hyperlink w:anchor="latin-record-0848">
        <w:r>
          <w:rPr>
            <w:color w:val="000000"/>
          </w:rPr>
          <w:t xml:space="preserve">penetrare / resistere / obstare</w:t>
        </w:r>
      </w:hyperlink>
      <w:r>
        <w:rPr>
          <w:b w:val="0"/>
          <w:i w:val="0"/>
        </w:rPr>
        <w:t>.</w:t>
      </w:r>
    </w:p>
    <w:p>
      <w:pPr>
        <w:widowControl/>
      </w:pPr>
      <w:r>
        <w:rPr>
          <w:b/>
          <w:i w:val="0"/>
        </w:rPr>
        <w:t>penetrat.</w:t>
      </w:r>
      <w:r>
        <w:rPr>
          <w:b w:val="0"/>
          <w:i w:val="0"/>
        </w:rPr>
        <w:t xml:space="preserve"> </w:t>
      </w:r>
      <w:hyperlink w:anchor="latin-record-0847">
        <w:r>
          <w:rPr>
            <w:color w:val="000000"/>
          </w:rPr>
          <w:t xml:space="preserve">penetrare</w:t>
        </w:r>
      </w:hyperlink>
      <w:r>
        <w:rPr>
          <w:b w:val="0"/>
          <w:i w:val="0"/>
        </w:rPr>
        <w:t xml:space="preserve">; </w:t>
      </w:r>
      <w:hyperlink w:anchor="latin-record-0848">
        <w:r>
          <w:rPr>
            <w:color w:val="000000"/>
          </w:rPr>
          <w:t xml:space="preserve">penetrare / resistere / obstare</w:t>
        </w:r>
      </w:hyperlink>
      <w:r>
        <w:rPr>
          <w:b w:val="0"/>
          <w:i w:val="0"/>
        </w:rPr>
        <w:t>.</w:t>
      </w:r>
    </w:p>
    <w:p>
      <w:pPr>
        <w:widowControl/>
      </w:pPr>
      <w:r>
        <w:rPr>
          <w:b/>
          <w:i w:val="0"/>
        </w:rPr>
        <w:t>penetrationem.</w:t>
      </w:r>
      <w:r>
        <w:rPr>
          <w:b w:val="0"/>
          <w:i w:val="0"/>
        </w:rPr>
        <w:t xml:space="preserve"> </w:t>
      </w:r>
      <w:hyperlink w:anchor="latin-record-0849">
        <w:r>
          <w:rPr>
            <w:color w:val="000000"/>
          </w:rPr>
          <w:t xml:space="preserve">penetro / penetratio</w:t>
        </w:r>
      </w:hyperlink>
      <w:r>
        <w:rPr>
          <w:b w:val="0"/>
          <w:i w:val="0"/>
        </w:rPr>
        <w:t>.</w:t>
      </w:r>
    </w:p>
    <w:p>
      <w:pPr>
        <w:widowControl/>
      </w:pPr>
      <w:r>
        <w:rPr>
          <w:b/>
          <w:i w:val="0"/>
        </w:rPr>
        <w:t>penetrationisque.</w:t>
      </w:r>
      <w:r>
        <w:rPr>
          <w:b w:val="0"/>
          <w:i w:val="0"/>
        </w:rPr>
        <w:t xml:space="preserve"> </w:t>
      </w:r>
      <w:hyperlink w:anchor="latin-record-0849">
        <w:r>
          <w:rPr>
            <w:color w:val="000000"/>
          </w:rPr>
          <w:t xml:space="preserve">penetro / penetratio</w:t>
        </w:r>
      </w:hyperlink>
      <w:r>
        <w:rPr>
          <w:b w:val="0"/>
          <w:i w:val="0"/>
        </w:rPr>
        <w:t>.</w:t>
      </w:r>
    </w:p>
    <w:p>
      <w:pPr>
        <w:widowControl/>
      </w:pPr>
      <w:r>
        <w:rPr>
          <w:b/>
          <w:i w:val="0"/>
        </w:rPr>
        <w:t>penetret.</w:t>
      </w:r>
      <w:r>
        <w:rPr>
          <w:b w:val="0"/>
          <w:i w:val="0"/>
        </w:rPr>
        <w:t xml:space="preserve"> </w:t>
      </w:r>
      <w:hyperlink w:anchor="latin-record-0848">
        <w:r>
          <w:rPr>
            <w:color w:val="000000"/>
          </w:rPr>
          <w:t xml:space="preserve">penetrare / resistere / obstare</w:t>
        </w:r>
      </w:hyperlink>
      <w:r>
        <w:rPr>
          <w:b w:val="0"/>
          <w:i w:val="0"/>
        </w:rPr>
        <w:t xml:space="preserve">; </w:t>
      </w:r>
      <w:hyperlink w:anchor="latin-record-0849">
        <w:r>
          <w:rPr>
            <w:color w:val="000000"/>
          </w:rPr>
          <w:t xml:space="preserve">penetro / penetratio</w:t>
        </w:r>
      </w:hyperlink>
      <w:r>
        <w:rPr>
          <w:b w:val="0"/>
          <w:i w:val="0"/>
        </w:rPr>
        <w:t>.</w:t>
      </w:r>
    </w:p>
    <w:p>
      <w:pPr>
        <w:widowControl/>
      </w:pPr>
      <w:r>
        <w:rPr>
          <w:b/>
          <w:i w:val="0"/>
        </w:rPr>
        <w:t>per.</w:t>
      </w:r>
      <w:r>
        <w:rPr>
          <w:b w:val="0"/>
          <w:i w:val="0"/>
        </w:rPr>
        <w:t xml:space="preserve"> </w:t>
      </w:r>
      <w:hyperlink w:anchor="latin-record-0391">
        <w:r>
          <w:rPr>
            <w:color w:val="000000"/>
          </w:rPr>
          <w:t xml:space="preserve">ex / per / in causal uses</w:t>
        </w:r>
      </w:hyperlink>
      <w:r>
        <w:rPr>
          <w:b w:val="0"/>
          <w:i w:val="0"/>
        </w:rPr>
        <w:t>.</w:t>
      </w:r>
    </w:p>
    <w:p>
      <w:pPr>
        <w:widowControl/>
      </w:pPr>
      <w:r>
        <w:rPr>
          <w:b/>
          <w:i w:val="0"/>
        </w:rPr>
        <w:t>per formam.</w:t>
      </w:r>
      <w:r>
        <w:rPr>
          <w:b w:val="0"/>
          <w:i w:val="0"/>
        </w:rPr>
        <w:t xml:space="preserve"> </w:t>
      </w:r>
      <w:hyperlink w:anchor="latin-record-1079">
        <w:r>
          <w:rPr>
            <w:color w:val="000000"/>
          </w:rPr>
          <w:t xml:space="preserve">secundum causam / per formam</w:t>
        </w:r>
      </w:hyperlink>
      <w:r>
        <w:rPr>
          <w:b w:val="0"/>
          <w:i w:val="0"/>
        </w:rPr>
        <w:t>.</w:t>
      </w:r>
    </w:p>
    <w:p>
      <w:pPr>
        <w:widowControl/>
      </w:pPr>
      <w:r>
        <w:rPr>
          <w:b/>
          <w:i w:val="0"/>
        </w:rPr>
        <w:t>per materiam.</w:t>
      </w:r>
      <w:r>
        <w:rPr>
          <w:b w:val="0"/>
          <w:i w:val="0"/>
        </w:rPr>
        <w:t xml:space="preserve"> </w:t>
      </w:r>
      <w:hyperlink w:anchor="latin-record-0850">
        <w:r>
          <w:rPr>
            <w:color w:val="000000"/>
          </w:rPr>
          <w:t xml:space="preserve">per materiam / per substantiam</w:t>
        </w:r>
      </w:hyperlink>
      <w:r>
        <w:rPr>
          <w:b w:val="0"/>
          <w:i w:val="0"/>
        </w:rPr>
        <w:t>.</w:t>
      </w:r>
    </w:p>
    <w:p>
      <w:pPr>
        <w:widowControl/>
      </w:pPr>
      <w:r>
        <w:rPr>
          <w:b/>
          <w:i w:val="0"/>
        </w:rPr>
        <w:t>per naturam et dignitatem prior.</w:t>
      </w:r>
      <w:r>
        <w:rPr>
          <w:b w:val="0"/>
          <w:i w:val="0"/>
        </w:rPr>
        <w:t xml:space="preserve"> </w:t>
      </w:r>
      <w:hyperlink w:anchor="latin-record-0930">
        <w:r>
          <w:rPr>
            <w:color w:val="000000"/>
          </w:rPr>
          <w:t xml:space="preserve">prior natura et dignitate</w:t>
        </w:r>
      </w:hyperlink>
      <w:r>
        <w:rPr>
          <w:b w:val="0"/>
          <w:i w:val="0"/>
        </w:rPr>
        <w:t>.</w:t>
      </w:r>
    </w:p>
    <w:p>
      <w:pPr>
        <w:widowControl/>
      </w:pPr>
      <w:r>
        <w:rPr>
          <w:b/>
          <w:i w:val="0"/>
        </w:rPr>
        <w:t>per se.</w:t>
      </w:r>
      <w:r>
        <w:rPr>
          <w:b w:val="0"/>
          <w:i w:val="0"/>
        </w:rPr>
        <w:t xml:space="preserve"> </w:t>
      </w:r>
      <w:hyperlink w:anchor="latin-record-0851">
        <w:r>
          <w:rPr>
            <w:color w:val="000000"/>
          </w:rPr>
          <w:t xml:space="preserve">per se / per superiora</w:t>
        </w:r>
      </w:hyperlink>
      <w:r>
        <w:rPr>
          <w:b w:val="0"/>
          <w:i w:val="0"/>
        </w:rPr>
        <w:t>.</w:t>
      </w:r>
    </w:p>
    <w:p>
      <w:pPr>
        <w:widowControl/>
      </w:pPr>
      <w:r>
        <w:rPr>
          <w:b/>
          <w:i w:val="0"/>
        </w:rPr>
        <w:t>per se ipsum.</w:t>
      </w:r>
      <w:r>
        <w:rPr>
          <w:b w:val="0"/>
          <w:i w:val="0"/>
        </w:rPr>
        <w:t xml:space="preserve"> </w:t>
      </w:r>
      <w:hyperlink w:anchor="latin-record-1081">
        <w:r>
          <w:rPr>
            <w:color w:val="000000"/>
          </w:rPr>
          <w:t xml:space="preserve">secundum se / per se</w:t>
        </w:r>
      </w:hyperlink>
      <w:r>
        <w:rPr>
          <w:b w:val="0"/>
          <w:i w:val="0"/>
        </w:rPr>
        <w:t>.</w:t>
      </w:r>
    </w:p>
    <w:p>
      <w:pPr>
        <w:widowControl/>
      </w:pPr>
      <w:r>
        <w:rPr>
          <w:b/>
          <w:i w:val="0"/>
        </w:rPr>
        <w:t>per substantiam.</w:t>
      </w:r>
      <w:r>
        <w:rPr>
          <w:b w:val="0"/>
          <w:i w:val="0"/>
        </w:rPr>
        <w:t xml:space="preserve"> </w:t>
      </w:r>
      <w:hyperlink w:anchor="latin-record-0850">
        <w:r>
          <w:rPr>
            <w:color w:val="000000"/>
          </w:rPr>
          <w:t xml:space="preserve">per materiam / per substantiam</w:t>
        </w:r>
      </w:hyperlink>
      <w:r>
        <w:rPr>
          <w:b w:val="0"/>
          <w:i w:val="0"/>
        </w:rPr>
        <w:t>.</w:t>
      </w:r>
    </w:p>
    <w:p>
      <w:pPr>
        <w:widowControl/>
      </w:pPr>
      <w:r>
        <w:rPr>
          <w:b/>
          <w:i w:val="0"/>
        </w:rPr>
        <w:t>per superiora.</w:t>
      </w:r>
      <w:r>
        <w:rPr>
          <w:b w:val="0"/>
          <w:i w:val="0"/>
        </w:rPr>
        <w:t xml:space="preserve"> </w:t>
      </w:r>
      <w:hyperlink w:anchor="latin-record-0851">
        <w:r>
          <w:rPr>
            <w:color w:val="000000"/>
          </w:rPr>
          <w:t xml:space="preserve">per se / per superiora</w:t>
        </w:r>
      </w:hyperlink>
      <w:r>
        <w:rPr>
          <w:b w:val="0"/>
          <w:i w:val="0"/>
        </w:rPr>
        <w:t>.</w:t>
      </w:r>
    </w:p>
    <w:p>
      <w:pPr>
        <w:widowControl/>
      </w:pPr>
      <w:r>
        <w:rPr>
          <w:b/>
          <w:i w:val="0"/>
        </w:rPr>
        <w:t>peragant.</w:t>
      </w:r>
      <w:r>
        <w:rPr>
          <w:b w:val="0"/>
          <w:i w:val="0"/>
        </w:rPr>
        <w:t xml:space="preserve"> </w:t>
      </w:r>
      <w:hyperlink w:anchor="latin-record-0852">
        <w:r>
          <w:rPr>
            <w:color w:val="000000"/>
          </w:rPr>
          <w:t xml:space="preserve">peragere</w:t>
        </w:r>
      </w:hyperlink>
      <w:r>
        <w:rPr>
          <w:b w:val="0"/>
          <w:i w:val="0"/>
        </w:rPr>
        <w:t>.</w:t>
      </w:r>
    </w:p>
    <w:p>
      <w:pPr>
        <w:widowControl/>
      </w:pPr>
      <w:r>
        <w:rPr>
          <w:b/>
          <w:i w:val="0"/>
        </w:rPr>
        <w:t>peragit.</w:t>
      </w:r>
      <w:r>
        <w:rPr>
          <w:b w:val="0"/>
          <w:i w:val="0"/>
        </w:rPr>
        <w:t xml:space="preserve"> </w:t>
      </w:r>
      <w:hyperlink w:anchor="latin-record-0369">
        <w:r>
          <w:rPr>
            <w:color w:val="000000"/>
          </w:rPr>
          <w:t xml:space="preserve">eligere / peragere</w:t>
        </w:r>
      </w:hyperlink>
      <w:r>
        <w:rPr>
          <w:b w:val="0"/>
          <w:i w:val="0"/>
        </w:rPr>
        <w:t>.</w:t>
      </w:r>
    </w:p>
    <w:p>
      <w:pPr>
        <w:widowControl/>
      </w:pPr>
      <w:r>
        <w:rPr>
          <w:b/>
          <w:i w:val="0"/>
        </w:rPr>
        <w:t>peragitur.</w:t>
      </w:r>
      <w:r>
        <w:rPr>
          <w:b w:val="0"/>
          <w:i w:val="0"/>
        </w:rPr>
        <w:t xml:space="preserve"> </w:t>
      </w:r>
      <w:hyperlink w:anchor="latin-record-0853">
        <w:r>
          <w:rPr>
            <w:color w:val="000000"/>
          </w:rPr>
          <w:t xml:space="preserve">peragere / explere</w:t>
        </w:r>
      </w:hyperlink>
      <w:r>
        <w:rPr>
          <w:b w:val="0"/>
          <w:i w:val="0"/>
        </w:rPr>
        <w:t xml:space="preserve">; </w:t>
      </w:r>
      <w:hyperlink w:anchor="latin-record-1209">
        <w:r>
          <w:rPr>
            <w:color w:val="000000"/>
          </w:rPr>
          <w:t xml:space="preserve">transigo / perago / consummation</w:t>
        </w:r>
      </w:hyperlink>
      <w:r>
        <w:rPr>
          <w:b w:val="0"/>
          <w:i w:val="0"/>
        </w:rPr>
        <w:t>.</w:t>
      </w:r>
    </w:p>
    <w:p>
      <w:pPr>
        <w:widowControl/>
      </w:pPr>
      <w:r>
        <w:rPr>
          <w:b/>
          <w:i w:val="0"/>
        </w:rPr>
        <w:t>peragunt.</w:t>
      </w:r>
      <w:r>
        <w:rPr>
          <w:b w:val="0"/>
          <w:i w:val="0"/>
        </w:rPr>
        <w:t xml:space="preserve"> </w:t>
      </w:r>
      <w:hyperlink w:anchor="latin-record-0369">
        <w:r>
          <w:rPr>
            <w:color w:val="000000"/>
          </w:rPr>
          <w:t xml:space="preserve">eligere / peragere</w:t>
        </w:r>
      </w:hyperlink>
      <w:r>
        <w:rPr>
          <w:b w:val="0"/>
          <w:i w:val="0"/>
        </w:rPr>
        <w:t>.</w:t>
      </w:r>
    </w:p>
    <w:p>
      <w:pPr>
        <w:widowControl/>
      </w:pPr>
      <w:r>
        <w:rPr>
          <w:b/>
          <w:i w:val="0"/>
        </w:rPr>
        <w:t>perceptio.</w:t>
      </w:r>
      <w:r>
        <w:rPr>
          <w:b w:val="0"/>
          <w:i w:val="0"/>
        </w:rPr>
        <w:t xml:space="preserve"> </w:t>
      </w:r>
      <w:hyperlink w:anchor="latin-record-0854">
        <w:r>
          <w:rPr>
            <w:color w:val="000000"/>
          </w:rPr>
          <w:t xml:space="preserve">percipio / perceptio</w:t>
        </w:r>
      </w:hyperlink>
      <w:r>
        <w:rPr>
          <w:b w:val="0"/>
          <w:i w:val="0"/>
        </w:rPr>
        <w:t>.</w:t>
      </w:r>
    </w:p>
    <w:p>
      <w:pPr>
        <w:widowControl/>
      </w:pPr>
      <w:r>
        <w:rPr>
          <w:b/>
          <w:i w:val="0"/>
        </w:rPr>
        <w:t>percipiat.</w:t>
      </w:r>
      <w:r>
        <w:rPr>
          <w:b w:val="0"/>
          <w:i w:val="0"/>
        </w:rPr>
        <w:t xml:space="preserve"> </w:t>
      </w:r>
      <w:hyperlink w:anchor="latin-record-0619">
        <w:r>
          <w:rPr>
            <w:color w:val="000000"/>
          </w:rPr>
          <w:t xml:space="preserve">iudicare / percipere / nescire / nosse / notitia / speculari</w:t>
        </w:r>
      </w:hyperlink>
      <w:r>
        <w:rPr>
          <w:b w:val="0"/>
          <w:i w:val="0"/>
        </w:rPr>
        <w:t xml:space="preserve">; </w:t>
      </w:r>
      <w:hyperlink w:anchor="latin-record-0854">
        <w:r>
          <w:rPr>
            <w:color w:val="000000"/>
          </w:rPr>
          <w:t xml:space="preserve">percipio / perceptio</w:t>
        </w:r>
      </w:hyperlink>
      <w:r>
        <w:rPr>
          <w:b w:val="0"/>
          <w:i w:val="0"/>
        </w:rPr>
        <w:t>.</w:t>
      </w:r>
    </w:p>
    <w:p>
      <w:pPr>
        <w:widowControl/>
      </w:pPr>
      <w:r>
        <w:rPr>
          <w:b/>
          <w:i w:val="0"/>
        </w:rPr>
        <w:t>percipiendam.</w:t>
      </w:r>
      <w:r>
        <w:rPr>
          <w:b w:val="0"/>
          <w:i w:val="0"/>
        </w:rPr>
        <w:t xml:space="preserve"> </w:t>
      </w:r>
      <w:hyperlink w:anchor="latin-record-0854">
        <w:r>
          <w:rPr>
            <w:color w:val="000000"/>
          </w:rPr>
          <w:t xml:space="preserve">percipio / perceptio</w:t>
        </w:r>
      </w:hyperlink>
      <w:r>
        <w:rPr>
          <w:b w:val="0"/>
          <w:i w:val="0"/>
        </w:rPr>
        <w:t>.</w:t>
      </w:r>
    </w:p>
    <w:p>
      <w:pPr>
        <w:widowControl/>
      </w:pPr>
      <w:r>
        <w:rPr>
          <w:b/>
          <w:i w:val="0"/>
        </w:rPr>
        <w:t>perditur.</w:t>
      </w:r>
      <w:r>
        <w:rPr>
          <w:b w:val="0"/>
          <w:i w:val="0"/>
        </w:rPr>
        <w:t xml:space="preserve"> </w:t>
      </w:r>
      <w:hyperlink w:anchor="latin-record-0621">
        <w:r>
          <w:rPr>
            <w:color w:val="000000"/>
          </w:rPr>
          <w:t xml:space="preserve">iudicium / perdo</w:t>
        </w:r>
      </w:hyperlink>
      <w:r>
        <w:rPr>
          <w:b w:val="0"/>
          <w:i w:val="0"/>
        </w:rPr>
        <w:t>.</w:t>
      </w:r>
    </w:p>
    <w:p>
      <w:pPr>
        <w:widowControl/>
      </w:pPr>
      <w:r>
        <w:rPr>
          <w:b/>
          <w:i w:val="0"/>
        </w:rPr>
        <w:t>perdurabit.</w:t>
      </w:r>
      <w:r>
        <w:rPr>
          <w:b w:val="0"/>
          <w:i w:val="0"/>
        </w:rPr>
        <w:t xml:space="preserve"> </w:t>
      </w:r>
      <w:hyperlink w:anchor="latin-record-0859">
        <w:r>
          <w:rPr>
            <w:color w:val="000000"/>
          </w:rPr>
          <w:t xml:space="preserve">permaneo / perduro / persevero</w:t>
        </w:r>
      </w:hyperlink>
      <w:r>
        <w:rPr>
          <w:b w:val="0"/>
          <w:i w:val="0"/>
        </w:rPr>
        <w:t>.</w:t>
      </w:r>
    </w:p>
    <w:p>
      <w:pPr>
        <w:widowControl/>
      </w:pPr>
      <w:r>
        <w:rPr>
          <w:b/>
          <w:i w:val="0"/>
        </w:rPr>
        <w:t>perfecerimus.</w:t>
      </w:r>
      <w:r>
        <w:rPr>
          <w:b w:val="0"/>
          <w:i w:val="0"/>
        </w:rPr>
        <w:t xml:space="preserve"> </w:t>
      </w:r>
      <w:hyperlink w:anchor="latin-record-0710">
        <w:r>
          <w:rPr>
            <w:color w:val="000000"/>
          </w:rPr>
          <w:t xml:space="preserve">molior / perficio</w:t>
        </w:r>
      </w:hyperlink>
      <w:r>
        <w:rPr>
          <w:b w:val="0"/>
          <w:i w:val="0"/>
        </w:rPr>
        <w:t>.</w:t>
      </w:r>
    </w:p>
    <w:p>
      <w:pPr>
        <w:widowControl/>
      </w:pPr>
      <w:r>
        <w:rPr>
          <w:b/>
          <w:i w:val="0"/>
        </w:rPr>
        <w:t>perfecit.</w:t>
      </w:r>
      <w:r>
        <w:rPr>
          <w:b w:val="0"/>
          <w:i w:val="0"/>
        </w:rPr>
        <w:t xml:space="preserve"> </w:t>
      </w:r>
      <w:hyperlink w:anchor="latin-record-0857">
        <w:r>
          <w:rPr>
            <w:color w:val="000000"/>
          </w:rPr>
          <w:t xml:space="preserve">perfectus / perficere</w:t>
        </w:r>
      </w:hyperlink>
      <w:r>
        <w:rPr>
          <w:b w:val="0"/>
          <w:i w:val="0"/>
        </w:rPr>
        <w:t>.</w:t>
      </w:r>
    </w:p>
    <w:p>
      <w:pPr>
        <w:widowControl/>
      </w:pPr>
      <w:r>
        <w:rPr>
          <w:b/>
          <w:i w:val="0"/>
        </w:rPr>
        <w:t>perfecta.</w:t>
      </w:r>
      <w:r>
        <w:rPr>
          <w:b w:val="0"/>
          <w:i w:val="0"/>
        </w:rPr>
        <w:t xml:space="preserve"> </w:t>
      </w:r>
      <w:hyperlink w:anchor="latin-record-0695">
        <w:r>
          <w:rPr>
            <w:color w:val="000000"/>
          </w:rPr>
          <w:t xml:space="preserve">merus / verus / perfectus</w:t>
        </w:r>
      </w:hyperlink>
      <w:r>
        <w:rPr>
          <w:b w:val="0"/>
          <w:i w:val="0"/>
        </w:rPr>
        <w:t xml:space="preserve">; </w:t>
      </w:r>
      <w:hyperlink w:anchor="latin-record-0856">
        <w:r>
          <w:rPr>
            <w:color w:val="000000"/>
          </w:rPr>
          <w:t xml:space="preserve">perfectio / perfectus</w:t>
        </w:r>
      </w:hyperlink>
      <w:r>
        <w:rPr>
          <w:b w:val="0"/>
          <w:i w:val="0"/>
        </w:rPr>
        <w:t>.</w:t>
      </w:r>
    </w:p>
    <w:p>
      <w:pPr>
        <w:widowControl/>
      </w:pPr>
      <w:r>
        <w:rPr>
          <w:b/>
          <w:i w:val="0"/>
        </w:rPr>
        <w:t>perfectio.</w:t>
      </w:r>
      <w:r>
        <w:rPr>
          <w:b w:val="0"/>
          <w:i w:val="0"/>
        </w:rPr>
        <w:t xml:space="preserve"> </w:t>
      </w:r>
      <w:hyperlink w:anchor="latin-record-0856">
        <w:r>
          <w:rPr>
            <w:color w:val="000000"/>
          </w:rPr>
          <w:t xml:space="preserve">perfectio / perfectus</w:t>
        </w:r>
      </w:hyperlink>
      <w:r>
        <w:rPr>
          <w:b w:val="0"/>
          <w:i w:val="0"/>
        </w:rPr>
        <w:t xml:space="preserve">; </w:t>
      </w:r>
      <w:hyperlink w:anchor="latin-record-0857">
        <w:r>
          <w:rPr>
            <w:color w:val="000000"/>
          </w:rPr>
          <w:t xml:space="preserve">perfectus / perficere</w:t>
        </w:r>
      </w:hyperlink>
      <w:r>
        <w:rPr>
          <w:b w:val="0"/>
          <w:i w:val="0"/>
        </w:rPr>
        <w:t>.</w:t>
      </w:r>
    </w:p>
    <w:p>
      <w:pPr>
        <w:widowControl/>
      </w:pPr>
      <w:r>
        <w:rPr>
          <w:b/>
          <w:i w:val="0"/>
        </w:rPr>
        <w:t>perfectionem.</w:t>
      </w:r>
      <w:r>
        <w:rPr>
          <w:b w:val="0"/>
          <w:i w:val="0"/>
        </w:rPr>
        <w:t xml:space="preserve"> </w:t>
      </w:r>
      <w:hyperlink w:anchor="latin-record-0856">
        <w:r>
          <w:rPr>
            <w:color w:val="000000"/>
          </w:rPr>
          <w:t xml:space="preserve">perfectio / perfectus</w:t>
        </w:r>
      </w:hyperlink>
      <w:r>
        <w:rPr>
          <w:b w:val="0"/>
          <w:i w:val="0"/>
        </w:rPr>
        <w:t xml:space="preserve">; </w:t>
      </w:r>
      <w:hyperlink w:anchor="latin-record-0857">
        <w:r>
          <w:rPr>
            <w:color w:val="000000"/>
          </w:rPr>
          <w:t xml:space="preserve">perfectus / perficere</w:t>
        </w:r>
      </w:hyperlink>
      <w:r>
        <w:rPr>
          <w:b w:val="0"/>
          <w:i w:val="0"/>
        </w:rPr>
        <w:t>.</w:t>
      </w:r>
    </w:p>
    <w:p>
      <w:pPr>
        <w:widowControl/>
      </w:pPr>
      <w:r>
        <w:rPr>
          <w:b/>
          <w:i w:val="0"/>
        </w:rPr>
        <w:t>perfectionemque.</w:t>
      </w:r>
      <w:r>
        <w:rPr>
          <w:b w:val="0"/>
          <w:i w:val="0"/>
        </w:rPr>
        <w:t xml:space="preserve"> </w:t>
      </w:r>
      <w:hyperlink w:anchor="latin-record-0856">
        <w:r>
          <w:rPr>
            <w:color w:val="000000"/>
          </w:rPr>
          <w:t xml:space="preserve">perfectio / perfectus</w:t>
        </w:r>
      </w:hyperlink>
      <w:r>
        <w:rPr>
          <w:b w:val="0"/>
          <w:i w:val="0"/>
        </w:rPr>
        <w:t>.</w:t>
      </w:r>
    </w:p>
    <w:p>
      <w:pPr>
        <w:widowControl/>
      </w:pPr>
      <w:r>
        <w:rPr>
          <w:b/>
          <w:i w:val="0"/>
        </w:rPr>
        <w:t>perfectionis.</w:t>
      </w:r>
      <w:r>
        <w:rPr>
          <w:b w:val="0"/>
          <w:i w:val="0"/>
        </w:rPr>
        <w:t xml:space="preserve"> </w:t>
      </w:r>
      <w:hyperlink w:anchor="latin-record-0856">
        <w:r>
          <w:rPr>
            <w:color w:val="000000"/>
          </w:rPr>
          <w:t xml:space="preserve">perfectio / perfectus</w:t>
        </w:r>
      </w:hyperlink>
      <w:r>
        <w:rPr>
          <w:b w:val="0"/>
          <w:i w:val="0"/>
        </w:rPr>
        <w:t>.</w:t>
      </w:r>
    </w:p>
    <w:p>
      <w:pPr>
        <w:widowControl/>
      </w:pPr>
      <w:r>
        <w:rPr>
          <w:b/>
          <w:i w:val="0"/>
        </w:rPr>
        <w:t>perfectionisque.</w:t>
      </w:r>
      <w:r>
        <w:rPr>
          <w:b w:val="0"/>
          <w:i w:val="0"/>
        </w:rPr>
        <w:t xml:space="preserve"> </w:t>
      </w:r>
      <w:hyperlink w:anchor="latin-record-0856">
        <w:r>
          <w:rPr>
            <w:color w:val="000000"/>
          </w:rPr>
          <w:t xml:space="preserve">perfectio / perfectus</w:t>
        </w:r>
      </w:hyperlink>
      <w:r>
        <w:rPr>
          <w:b w:val="0"/>
          <w:i w:val="0"/>
        </w:rPr>
        <w:t>.</w:t>
      </w:r>
    </w:p>
    <w:p>
      <w:pPr>
        <w:widowControl/>
      </w:pPr>
      <w:r>
        <w:rPr>
          <w:b/>
          <w:i w:val="0"/>
        </w:rPr>
        <w:t>perfectiores.</w:t>
      </w:r>
      <w:r>
        <w:rPr>
          <w:b w:val="0"/>
          <w:i w:val="0"/>
        </w:rPr>
        <w:t xml:space="preserve"> </w:t>
      </w:r>
      <w:hyperlink w:anchor="latin-record-0856">
        <w:r>
          <w:rPr>
            <w:color w:val="000000"/>
          </w:rPr>
          <w:t xml:space="preserve">perfectio / perfectus</w:t>
        </w:r>
      </w:hyperlink>
      <w:r>
        <w:rPr>
          <w:b w:val="0"/>
          <w:i w:val="0"/>
        </w:rPr>
        <w:t>.</w:t>
      </w:r>
    </w:p>
    <w:p>
      <w:pPr>
        <w:widowControl/>
      </w:pPr>
      <w:r>
        <w:rPr>
          <w:b/>
          <w:i w:val="0"/>
        </w:rPr>
        <w:t>perfectissima.</w:t>
      </w:r>
      <w:r>
        <w:rPr>
          <w:b w:val="0"/>
          <w:i w:val="0"/>
        </w:rPr>
        <w:t xml:space="preserve"> </w:t>
      </w:r>
      <w:hyperlink w:anchor="latin-record-0856">
        <w:r>
          <w:rPr>
            <w:color w:val="000000"/>
          </w:rPr>
          <w:t xml:space="preserve">perfectio / perfectus</w:t>
        </w:r>
      </w:hyperlink>
      <w:r>
        <w:rPr>
          <w:b w:val="0"/>
          <w:i w:val="0"/>
        </w:rPr>
        <w:t>.</w:t>
      </w:r>
    </w:p>
    <w:p>
      <w:pPr>
        <w:widowControl/>
      </w:pPr>
      <w:r>
        <w:rPr>
          <w:b/>
          <w:i w:val="0"/>
        </w:rPr>
        <w:t>perficere.</w:t>
      </w:r>
      <w:r>
        <w:rPr>
          <w:b w:val="0"/>
          <w:i w:val="0"/>
        </w:rPr>
        <w:t xml:space="preserve"> </w:t>
      </w:r>
      <w:hyperlink w:anchor="latin-record-0858">
        <w:r>
          <w:rPr>
            <w:color w:val="000000"/>
          </w:rPr>
          <w:t xml:space="preserve">perficere / efficere</w:t>
        </w:r>
      </w:hyperlink>
      <w:r>
        <w:rPr>
          <w:b w:val="0"/>
          <w:i w:val="0"/>
        </w:rPr>
        <w:t>.</w:t>
      </w:r>
    </w:p>
    <w:p>
      <w:pPr>
        <w:widowControl/>
      </w:pPr>
      <w:r>
        <w:rPr>
          <w:b/>
          <w:i w:val="0"/>
        </w:rPr>
        <w:t>perficiuntur.</w:t>
      </w:r>
      <w:r>
        <w:rPr>
          <w:b w:val="0"/>
          <w:i w:val="0"/>
        </w:rPr>
        <w:t xml:space="preserve"> </w:t>
      </w:r>
      <w:hyperlink w:anchor="latin-record-0858">
        <w:r>
          <w:rPr>
            <w:color w:val="000000"/>
          </w:rPr>
          <w:t xml:space="preserve">perficere / efficere</w:t>
        </w:r>
      </w:hyperlink>
      <w:r>
        <w:rPr>
          <w:b w:val="0"/>
          <w:i w:val="0"/>
        </w:rPr>
        <w:t>.</w:t>
      </w:r>
    </w:p>
    <w:p>
      <w:pPr>
        <w:widowControl/>
      </w:pPr>
      <w:r>
        <w:rPr>
          <w:b/>
          <w:i w:val="0"/>
        </w:rPr>
        <w:t>perfruatur.</w:t>
      </w:r>
      <w:r>
        <w:rPr>
          <w:b w:val="0"/>
          <w:i w:val="0"/>
        </w:rPr>
        <w:t xml:space="preserve"> </w:t>
      </w:r>
      <w:hyperlink w:anchor="latin-record-0474">
        <w:r>
          <w:rPr>
            <w:color w:val="000000"/>
          </w:rPr>
          <w:t xml:space="preserve">frui / perfrui</w:t>
        </w:r>
      </w:hyperlink>
      <w:r>
        <w:rPr>
          <w:b w:val="0"/>
          <w:i w:val="0"/>
        </w:rPr>
        <w:t>.</w:t>
      </w:r>
    </w:p>
    <w:p>
      <w:pPr>
        <w:widowControl/>
      </w:pPr>
      <w:r>
        <w:rPr>
          <w:b/>
          <w:i w:val="0"/>
        </w:rPr>
        <w:t>Peripateticos.</w:t>
      </w:r>
      <w:r>
        <w:rPr>
          <w:b w:val="0"/>
          <w:i w:val="0"/>
        </w:rPr>
        <w:t xml:space="preserve"> </w:t>
      </w:r>
      <w:hyperlink w:anchor="latin-record-0049">
        <w:r>
          <w:rPr>
            <w:color w:val="000000"/>
          </w:rPr>
          <w:t xml:space="preserve">alii quidam / Peripatetici</w:t>
        </w:r>
      </w:hyperlink>
      <w:r>
        <w:rPr>
          <w:b w:val="0"/>
          <w:i w:val="0"/>
        </w:rPr>
        <w:t>.</w:t>
      </w:r>
    </w:p>
    <w:p>
      <w:pPr>
        <w:widowControl/>
      </w:pPr>
      <w:r>
        <w:rPr>
          <w:b/>
          <w:i w:val="0"/>
        </w:rPr>
        <w:t>permanent.</w:t>
      </w:r>
      <w:r>
        <w:rPr>
          <w:b w:val="0"/>
          <w:i w:val="0"/>
        </w:rPr>
        <w:t xml:space="preserve"> </w:t>
      </w:r>
      <w:hyperlink w:anchor="latin-record-0860">
        <w:r>
          <w:rPr>
            <w:color w:val="000000"/>
          </w:rPr>
          <w:t xml:space="preserve">permanere / perseverare</w:t>
        </w:r>
      </w:hyperlink>
      <w:r>
        <w:rPr>
          <w:b w:val="0"/>
          <w:i w:val="0"/>
        </w:rPr>
        <w:t>.</w:t>
      </w:r>
    </w:p>
    <w:p>
      <w:pPr>
        <w:widowControl/>
      </w:pPr>
      <w:r>
        <w:rPr>
          <w:b/>
          <w:i w:val="0"/>
        </w:rPr>
        <w:t>permanet.</w:t>
      </w:r>
      <w:r>
        <w:rPr>
          <w:b w:val="0"/>
          <w:i w:val="0"/>
        </w:rPr>
        <w:t xml:space="preserve"> </w:t>
      </w:r>
      <w:hyperlink w:anchor="latin-record-0670">
        <w:r>
          <w:rPr>
            <w:color w:val="000000"/>
          </w:rPr>
          <w:t xml:space="preserve">manere / permanere / remanere</w:t>
        </w:r>
      </w:hyperlink>
      <w:r>
        <w:rPr>
          <w:b w:val="0"/>
          <w:i w:val="0"/>
        </w:rPr>
        <w:t xml:space="preserve">; </w:t>
      </w:r>
      <w:hyperlink w:anchor="latin-record-0860">
        <w:r>
          <w:rPr>
            <w:color w:val="000000"/>
          </w:rPr>
          <w:t xml:space="preserve">permanere / perseverare</w:t>
        </w:r>
      </w:hyperlink>
      <w:r>
        <w:rPr>
          <w:b w:val="0"/>
          <w:i w:val="0"/>
        </w:rPr>
        <w:t>.</w:t>
      </w:r>
    </w:p>
    <w:p>
      <w:pPr>
        <w:widowControl/>
      </w:pPr>
      <w:r>
        <w:rPr>
          <w:b/>
          <w:i w:val="0"/>
        </w:rPr>
        <w:t>permansisse.</w:t>
      </w:r>
      <w:r>
        <w:rPr>
          <w:b w:val="0"/>
          <w:i w:val="0"/>
        </w:rPr>
        <w:t xml:space="preserve"> </w:t>
      </w:r>
      <w:hyperlink w:anchor="latin-record-0859">
        <w:r>
          <w:rPr>
            <w:color w:val="000000"/>
          </w:rPr>
          <w:t xml:space="preserve">permaneo / perduro / persevero</w:t>
        </w:r>
      </w:hyperlink>
      <w:r>
        <w:rPr>
          <w:b w:val="0"/>
          <w:i w:val="0"/>
        </w:rPr>
        <w:t>.</w:t>
      </w:r>
    </w:p>
    <w:p>
      <w:pPr>
        <w:widowControl/>
      </w:pPr>
      <w:r>
        <w:rPr>
          <w:b/>
          <w:i w:val="0"/>
        </w:rPr>
        <w:t>permixta.</w:t>
      </w:r>
      <w:r>
        <w:rPr>
          <w:b w:val="0"/>
          <w:i w:val="0"/>
        </w:rPr>
        <w:t xml:space="preserve"> </w:t>
      </w:r>
      <w:hyperlink w:anchor="latin-record-0235">
        <w:r>
          <w:rPr>
            <w:color w:val="000000"/>
          </w:rPr>
          <w:t xml:space="preserve">confusio / permiscere / iungere</w:t>
        </w:r>
      </w:hyperlink>
      <w:r>
        <w:rPr>
          <w:b w:val="0"/>
          <w:i w:val="0"/>
        </w:rPr>
        <w:t>.</w:t>
      </w:r>
    </w:p>
    <w:p>
      <w:pPr>
        <w:widowControl/>
      </w:pPr>
      <w:r>
        <w:rPr>
          <w:b/>
          <w:i w:val="0"/>
        </w:rPr>
        <w:t>permixtione.</w:t>
      </w:r>
      <w:r>
        <w:rPr>
          <w:b w:val="0"/>
          <w:i w:val="0"/>
        </w:rPr>
        <w:t xml:space="preserve"> </w:t>
      </w:r>
      <w:hyperlink w:anchor="latin-record-0022">
        <w:r>
          <w:rPr>
            <w:color w:val="000000"/>
          </w:rPr>
          <w:t xml:space="preserve">additamentum / permixtio</w:t>
        </w:r>
      </w:hyperlink>
      <w:r>
        <w:rPr>
          <w:b w:val="0"/>
          <w:i w:val="0"/>
        </w:rPr>
        <w:t>.</w:t>
      </w:r>
    </w:p>
    <w:p>
      <w:pPr>
        <w:widowControl/>
      </w:pPr>
      <w:r>
        <w:rPr>
          <w:b/>
          <w:i w:val="0"/>
        </w:rPr>
        <w:t>perscrutabimur.</w:t>
      </w:r>
      <w:r>
        <w:rPr>
          <w:b w:val="0"/>
          <w:i w:val="0"/>
        </w:rPr>
        <w:t xml:space="preserve"> </w:t>
      </w:r>
      <w:hyperlink w:anchor="latin-record-0861">
        <w:r>
          <w:rPr>
            <w:color w:val="000000"/>
          </w:rPr>
          <w:t xml:space="preserve">perscrutari</w:t>
        </w:r>
      </w:hyperlink>
      <w:r>
        <w:rPr>
          <w:b w:val="0"/>
          <w:i w:val="0"/>
        </w:rPr>
        <w:t>.</w:t>
      </w:r>
    </w:p>
    <w:p>
      <w:pPr>
        <w:widowControl/>
      </w:pPr>
      <w:r>
        <w:rPr>
          <w:b/>
          <w:i w:val="0"/>
        </w:rPr>
        <w:t>perscrutemur.</w:t>
      </w:r>
      <w:r>
        <w:rPr>
          <w:b w:val="0"/>
          <w:i w:val="0"/>
        </w:rPr>
        <w:t xml:space="preserve"> </w:t>
      </w:r>
      <w:hyperlink w:anchor="latin-record-0862">
        <w:r>
          <w:rPr>
            <w:color w:val="000000"/>
          </w:rPr>
          <w:t xml:space="preserve">perscrutor / indago</w:t>
        </w:r>
      </w:hyperlink>
      <w:r>
        <w:rPr>
          <w:b w:val="0"/>
          <w:i w:val="0"/>
        </w:rPr>
        <w:t>.</w:t>
      </w:r>
    </w:p>
    <w:p>
      <w:pPr>
        <w:widowControl/>
      </w:pPr>
      <w:r>
        <w:rPr>
          <w:b/>
          <w:i w:val="0"/>
        </w:rPr>
        <w:t>perseverant.</w:t>
      </w:r>
      <w:r>
        <w:rPr>
          <w:b w:val="0"/>
          <w:i w:val="0"/>
        </w:rPr>
        <w:t xml:space="preserve"> </w:t>
      </w:r>
      <w:hyperlink w:anchor="latin-record-0859">
        <w:r>
          <w:rPr>
            <w:color w:val="000000"/>
          </w:rPr>
          <w:t xml:space="preserve">permaneo / perduro / persevero</w:t>
        </w:r>
      </w:hyperlink>
      <w:r>
        <w:rPr>
          <w:b w:val="0"/>
          <w:i w:val="0"/>
        </w:rPr>
        <w:t>.</w:t>
      </w:r>
    </w:p>
    <w:p>
      <w:pPr>
        <w:widowControl/>
      </w:pPr>
      <w:r>
        <w:rPr>
          <w:b/>
          <w:i w:val="0"/>
        </w:rPr>
        <w:t>perseverare.</w:t>
      </w:r>
      <w:r>
        <w:rPr>
          <w:b w:val="0"/>
          <w:i w:val="0"/>
        </w:rPr>
        <w:t xml:space="preserve"> </w:t>
      </w:r>
      <w:hyperlink w:anchor="latin-record-0863">
        <w:r>
          <w:rPr>
            <w:color w:val="000000"/>
          </w:rPr>
          <w:t xml:space="preserve">perseverare</w:t>
        </w:r>
      </w:hyperlink>
      <w:r>
        <w:rPr>
          <w:b w:val="0"/>
          <w:i w:val="0"/>
        </w:rPr>
        <w:t>.</w:t>
      </w:r>
    </w:p>
    <w:p>
      <w:pPr>
        <w:widowControl/>
      </w:pPr>
      <w:r>
        <w:rPr>
          <w:b/>
          <w:i w:val="0"/>
        </w:rPr>
        <w:t>Perseverat.</w:t>
      </w:r>
      <w:r>
        <w:rPr>
          <w:b w:val="0"/>
          <w:i w:val="0"/>
        </w:rPr>
        <w:t xml:space="preserve"> </w:t>
      </w:r>
      <w:hyperlink w:anchor="latin-record-0791">
        <w:r>
          <w:rPr>
            <w:color w:val="000000"/>
          </w:rPr>
          <w:t xml:space="preserve">officium / perseverare</w:t>
        </w:r>
      </w:hyperlink>
      <w:r>
        <w:rPr>
          <w:b w:val="0"/>
          <w:i w:val="0"/>
        </w:rPr>
        <w:t>.</w:t>
      </w:r>
    </w:p>
    <w:p>
      <w:pPr>
        <w:widowControl/>
      </w:pPr>
      <w:r>
        <w:rPr>
          <w:b/>
          <w:i w:val="0"/>
        </w:rPr>
        <w:t>perseveret.</w:t>
      </w:r>
      <w:r>
        <w:rPr>
          <w:b w:val="0"/>
          <w:i w:val="0"/>
        </w:rPr>
        <w:t xml:space="preserve"> </w:t>
      </w:r>
      <w:hyperlink w:anchor="latin-record-0860">
        <w:r>
          <w:rPr>
            <w:color w:val="000000"/>
          </w:rPr>
          <w:t xml:space="preserve">permanere / perseverare</w:t>
        </w:r>
      </w:hyperlink>
      <w:r>
        <w:rPr>
          <w:b w:val="0"/>
          <w:i w:val="0"/>
        </w:rPr>
        <w:t>.</w:t>
      </w:r>
    </w:p>
    <w:p>
      <w:pPr>
        <w:widowControl/>
      </w:pPr>
      <w:r>
        <w:rPr>
          <w:b/>
          <w:i w:val="0"/>
        </w:rPr>
        <w:t>Perside.</w:t>
      </w:r>
      <w:r>
        <w:rPr>
          <w:b w:val="0"/>
          <w:i w:val="0"/>
        </w:rPr>
        <w:t xml:space="preserve"> </w:t>
      </w:r>
      <w:hyperlink w:anchor="latin-record-0892">
        <w:r>
          <w:rPr>
            <w:color w:val="000000"/>
          </w:rPr>
          <w:t xml:space="preserve">Porphyrius / Persis / Tusci</w:t>
        </w:r>
      </w:hyperlink>
      <w:r>
        <w:rPr>
          <w:b w:val="0"/>
          <w:i w:val="0"/>
        </w:rPr>
        <w:t>.</w:t>
      </w:r>
    </w:p>
    <w:p>
      <w:pPr>
        <w:widowControl/>
      </w:pPr>
      <w:r>
        <w:rPr>
          <w:b/>
          <w:i w:val="0"/>
        </w:rPr>
        <w:t>persimiles.</w:t>
      </w:r>
      <w:r>
        <w:rPr>
          <w:b w:val="0"/>
          <w:i w:val="0"/>
        </w:rPr>
        <w:t xml:space="preserve"> </w:t>
      </w:r>
      <w:hyperlink w:anchor="latin-record-1105">
        <w:r>
          <w:rPr>
            <w:color w:val="000000"/>
          </w:rPr>
          <w:t xml:space="preserve">similis / aequalis</w:t>
        </w:r>
      </w:hyperlink>
      <w:r>
        <w:rPr>
          <w:b w:val="0"/>
          <w:i w:val="0"/>
        </w:rPr>
        <w:t>.</w:t>
      </w:r>
    </w:p>
    <w:p>
      <w:pPr>
        <w:widowControl/>
      </w:pPr>
      <w:r>
        <w:rPr>
          <w:b/>
          <w:i w:val="0"/>
        </w:rPr>
        <w:t>perspectio.</w:t>
      </w:r>
      <w:r>
        <w:rPr>
          <w:b w:val="0"/>
          <w:i w:val="0"/>
        </w:rPr>
        <w:t xml:space="preserve"> </w:t>
      </w:r>
      <w:hyperlink w:anchor="latin-record-0864">
        <w:r>
          <w:rPr>
            <w:color w:val="000000"/>
          </w:rPr>
          <w:t xml:space="preserve">perspicacia / perspectio</w:t>
        </w:r>
      </w:hyperlink>
      <w:r>
        <w:rPr>
          <w:b w:val="0"/>
          <w:i w:val="0"/>
        </w:rPr>
        <w:t>.</w:t>
      </w:r>
    </w:p>
    <w:p>
      <w:pPr>
        <w:widowControl/>
      </w:pPr>
      <w:r>
        <w:rPr>
          <w:b/>
          <w:i w:val="0"/>
        </w:rPr>
        <w:t>perspicacia.</w:t>
      </w:r>
      <w:r>
        <w:rPr>
          <w:b w:val="0"/>
          <w:i w:val="0"/>
        </w:rPr>
        <w:t xml:space="preserve"> </w:t>
      </w:r>
      <w:hyperlink w:anchor="latin-record-0864">
        <w:r>
          <w:rPr>
            <w:color w:val="000000"/>
          </w:rPr>
          <w:t xml:space="preserve">perspicacia / perspectio</w:t>
        </w:r>
      </w:hyperlink>
      <w:r>
        <w:rPr>
          <w:b w:val="0"/>
          <w:i w:val="0"/>
        </w:rPr>
        <w:t>.</w:t>
      </w:r>
    </w:p>
    <w:p>
      <w:pPr>
        <w:widowControl/>
      </w:pPr>
      <w:r>
        <w:rPr>
          <w:b/>
          <w:i w:val="0"/>
        </w:rPr>
        <w:t>perspicimus.</w:t>
      </w:r>
      <w:r>
        <w:rPr>
          <w:b w:val="0"/>
          <w:i w:val="0"/>
        </w:rPr>
        <w:t xml:space="preserve"> </w:t>
      </w:r>
      <w:hyperlink w:anchor="latin-record-0865">
        <w:r>
          <w:rPr>
            <w:color w:val="000000"/>
          </w:rPr>
          <w:t xml:space="preserve">perspicere / cernere</w:t>
        </w:r>
      </w:hyperlink>
      <w:r>
        <w:rPr>
          <w:b w:val="0"/>
          <w:i w:val="0"/>
        </w:rPr>
        <w:t>.</w:t>
      </w:r>
    </w:p>
    <w:p>
      <w:pPr>
        <w:widowControl/>
      </w:pPr>
      <w:r>
        <w:rPr>
          <w:b/>
          <w:i w:val="0"/>
        </w:rPr>
        <w:t>perspicuam.</w:t>
      </w:r>
      <w:r>
        <w:rPr>
          <w:b w:val="0"/>
          <w:i w:val="0"/>
        </w:rPr>
        <w:t xml:space="preserve"> </w:t>
      </w:r>
      <w:hyperlink w:anchor="latin-record-0866">
        <w:r>
          <w:rPr>
            <w:color w:val="000000"/>
          </w:rPr>
          <w:t xml:space="preserve">perspicuus / diaphanus</w:t>
        </w:r>
      </w:hyperlink>
      <w:r>
        <w:rPr>
          <w:b w:val="0"/>
          <w:i w:val="0"/>
        </w:rPr>
        <w:t>.</w:t>
      </w:r>
    </w:p>
    <w:p>
      <w:pPr>
        <w:widowControl/>
      </w:pPr>
      <w:r>
        <w:rPr>
          <w:b/>
          <w:i w:val="0"/>
        </w:rPr>
        <w:t>perspicue.</w:t>
      </w:r>
      <w:r>
        <w:rPr>
          <w:b w:val="0"/>
          <w:i w:val="0"/>
        </w:rPr>
        <w:t xml:space="preserve"> </w:t>
      </w:r>
      <w:hyperlink w:anchor="latin-record-1148">
        <w:r>
          <w:rPr>
            <w:color w:val="000000"/>
          </w:rPr>
          <w:t xml:space="preserve">stultus / sapienter / perspicue / vulgo / gratia / idealis</w:t>
        </w:r>
      </w:hyperlink>
      <w:r>
        <w:rPr>
          <w:b w:val="0"/>
          <w:i w:val="0"/>
        </w:rPr>
        <w:t>.</w:t>
      </w:r>
    </w:p>
    <w:p>
      <w:pPr>
        <w:widowControl/>
      </w:pPr>
      <w:r>
        <w:rPr>
          <w:b/>
          <w:i w:val="0"/>
        </w:rPr>
        <w:t>perspicuum.</w:t>
      </w:r>
      <w:r>
        <w:rPr>
          <w:b w:val="0"/>
          <w:i w:val="0"/>
        </w:rPr>
        <w:t xml:space="preserve"> </w:t>
      </w:r>
      <w:hyperlink w:anchor="latin-record-0866">
        <w:r>
          <w:rPr>
            <w:color w:val="000000"/>
          </w:rPr>
          <w:t xml:space="preserve">perspicuus / diaphanus</w:t>
        </w:r>
      </w:hyperlink>
      <w:r>
        <w:rPr>
          <w:b w:val="0"/>
          <w:i w:val="0"/>
        </w:rPr>
        <w:t>.</w:t>
      </w:r>
    </w:p>
    <w:p>
      <w:pPr>
        <w:widowControl/>
      </w:pPr>
      <w:r>
        <w:rPr>
          <w:b/>
          <w:i w:val="0"/>
        </w:rPr>
        <w:t>persuadeat.</w:t>
      </w:r>
      <w:r>
        <w:rPr>
          <w:b w:val="0"/>
          <w:i w:val="0"/>
        </w:rPr>
        <w:t xml:space="preserve"> </w:t>
      </w:r>
      <w:hyperlink w:anchor="latin-record-0054">
        <w:r>
          <w:rPr>
            <w:color w:val="000000"/>
          </w:rPr>
          <w:t xml:space="preserve">allicere / cogere / persuadere</w:t>
        </w:r>
      </w:hyperlink>
      <w:r>
        <w:rPr>
          <w:b w:val="0"/>
          <w:i w:val="0"/>
        </w:rPr>
        <w:t>.</w:t>
      </w:r>
    </w:p>
    <w:p>
      <w:pPr>
        <w:widowControl/>
      </w:pPr>
      <w:r>
        <w:rPr>
          <w:b/>
          <w:i w:val="0"/>
        </w:rPr>
        <w:t>persuadet.</w:t>
      </w:r>
      <w:r>
        <w:rPr>
          <w:b w:val="0"/>
          <w:i w:val="0"/>
        </w:rPr>
        <w:t xml:space="preserve"> </w:t>
      </w:r>
      <w:hyperlink w:anchor="latin-record-0170">
        <w:r>
          <w:rPr>
            <w:color w:val="000000"/>
          </w:rPr>
          <w:t xml:space="preserve">clamare / reclamare / persuadere</w:t>
        </w:r>
      </w:hyperlink>
      <w:r>
        <w:rPr>
          <w:b w:val="0"/>
          <w:i w:val="0"/>
        </w:rPr>
        <w:t xml:space="preserve">; </w:t>
      </w:r>
      <w:hyperlink w:anchor="latin-record-1000">
        <w:r>
          <w:rPr>
            <w:color w:val="000000"/>
          </w:rPr>
          <w:t xml:space="preserve">quaerere / persuadere</w:t>
        </w:r>
      </w:hyperlink>
      <w:r>
        <w:rPr>
          <w:b w:val="0"/>
          <w:i w:val="0"/>
        </w:rPr>
        <w:t>.</w:t>
      </w:r>
    </w:p>
    <w:p>
      <w:pPr>
        <w:widowControl/>
      </w:pPr>
      <w:r>
        <w:rPr>
          <w:b/>
          <w:i w:val="0"/>
        </w:rPr>
        <w:t>persuasionem.</w:t>
      </w:r>
      <w:r>
        <w:rPr>
          <w:b w:val="0"/>
          <w:i w:val="0"/>
        </w:rPr>
        <w:t xml:space="preserve"> </w:t>
      </w:r>
      <w:hyperlink w:anchor="latin-record-0697">
        <w:r>
          <w:rPr>
            <w:color w:val="000000"/>
          </w:rPr>
          <w:t xml:space="preserve">metus / persuasio</w:t>
        </w:r>
      </w:hyperlink>
      <w:r>
        <w:rPr>
          <w:b w:val="0"/>
          <w:i w:val="0"/>
        </w:rPr>
        <w:t>.</w:t>
      </w:r>
    </w:p>
    <w:p>
      <w:pPr>
        <w:widowControl/>
      </w:pPr>
      <w:r>
        <w:rPr>
          <w:b/>
          <w:i w:val="0"/>
        </w:rPr>
        <w:t>pertineant.</w:t>
      </w:r>
      <w:r>
        <w:rPr>
          <w:b w:val="0"/>
          <w:i w:val="0"/>
        </w:rPr>
        <w:t xml:space="preserve"> </w:t>
      </w:r>
      <w:hyperlink w:anchor="latin-record-0206">
        <w:r>
          <w:rPr>
            <w:color w:val="000000"/>
          </w:rPr>
          <w:t xml:space="preserve">competere / pertinere / spectare</w:t>
        </w:r>
      </w:hyperlink>
      <w:r>
        <w:rPr>
          <w:b w:val="0"/>
          <w:i w:val="0"/>
        </w:rPr>
        <w:t>.</w:t>
      </w:r>
    </w:p>
    <w:p>
      <w:pPr>
        <w:widowControl/>
      </w:pPr>
      <w:r>
        <w:rPr>
          <w:b/>
          <w:i w:val="0"/>
        </w:rPr>
        <w:t>pervenire.</w:t>
      </w:r>
      <w:r>
        <w:rPr>
          <w:b w:val="0"/>
          <w:i w:val="0"/>
        </w:rPr>
        <w:t xml:space="preserve"> </w:t>
      </w:r>
      <w:hyperlink w:anchor="latin-record-0939">
        <w:r>
          <w:rPr>
            <w:color w:val="000000"/>
          </w:rPr>
          <w:t xml:space="preserve">procedere / progredi / proficere</w:t>
        </w:r>
      </w:hyperlink>
      <w:r>
        <w:rPr>
          <w:b w:val="0"/>
          <w:i w:val="0"/>
        </w:rPr>
        <w:t>.</w:t>
      </w:r>
    </w:p>
    <w:p>
      <w:pPr>
        <w:widowControl/>
      </w:pPr>
      <w:r>
        <w:rPr>
          <w:b/>
          <w:i w:val="0"/>
        </w:rPr>
        <w:t>pervigil.</w:t>
      </w:r>
      <w:r>
        <w:rPr>
          <w:b w:val="0"/>
          <w:i w:val="0"/>
        </w:rPr>
        <w:t xml:space="preserve"> </w:t>
      </w:r>
      <w:hyperlink w:anchor="latin-record-0867">
        <w:r>
          <w:rPr>
            <w:color w:val="000000"/>
          </w:rPr>
          <w:t xml:space="preserve">pervigil / vigilare</w:t>
        </w:r>
      </w:hyperlink>
      <w:r>
        <w:rPr>
          <w:b w:val="0"/>
          <w:i w:val="0"/>
        </w:rPr>
        <w:t>.</w:t>
      </w:r>
    </w:p>
    <w:p>
      <w:pPr>
        <w:widowControl/>
      </w:pPr>
      <w:r>
        <w:rPr>
          <w:b/>
          <w:i w:val="0"/>
        </w:rPr>
        <w:t>Phaedone.</w:t>
      </w:r>
      <w:r>
        <w:rPr>
          <w:b w:val="0"/>
          <w:i w:val="0"/>
        </w:rPr>
        <w:t xml:space="preserve"> </w:t>
      </w:r>
      <w:hyperlink w:anchor="latin-record-0868">
        <w:r>
          <w:rPr>
            <w:color w:val="000000"/>
          </w:rPr>
          <w:t xml:space="preserve">Phaedo / Philebus / Politicus / Phaedrus</w:t>
        </w:r>
      </w:hyperlink>
      <w:r>
        <w:rPr>
          <w:b w:val="0"/>
          <w:i w:val="0"/>
        </w:rPr>
        <w:t>.</w:t>
      </w:r>
    </w:p>
    <w:p>
      <w:pPr>
        <w:widowControl/>
      </w:pPr>
      <w:r>
        <w:rPr>
          <w:b/>
          <w:i w:val="0"/>
        </w:rPr>
        <w:t>Phaedro.</w:t>
      </w:r>
      <w:r>
        <w:rPr>
          <w:b w:val="0"/>
          <w:i w:val="0"/>
        </w:rPr>
        <w:t xml:space="preserve"> </w:t>
      </w:r>
      <w:hyperlink w:anchor="latin-record-0868">
        <w:r>
          <w:rPr>
            <w:color w:val="000000"/>
          </w:rPr>
          <w:t xml:space="preserve">Phaedo / Philebus / Politicus / Phaedrus</w:t>
        </w:r>
      </w:hyperlink>
      <w:r>
        <w:rPr>
          <w:b w:val="0"/>
          <w:i w:val="0"/>
        </w:rPr>
        <w:t>.</w:t>
      </w:r>
    </w:p>
    <w:p>
      <w:pPr>
        <w:widowControl/>
      </w:pPr>
      <w:r>
        <w:rPr>
          <w:b/>
          <w:i w:val="0"/>
        </w:rPr>
        <w:t>phantasia.</w:t>
      </w:r>
      <w:r>
        <w:rPr>
          <w:b w:val="0"/>
          <w:i w:val="0"/>
        </w:rPr>
        <w:t xml:space="preserve"> </w:t>
      </w:r>
      <w:hyperlink w:anchor="latin-record-0869">
        <w:r>
          <w:rPr>
            <w:color w:val="000000"/>
          </w:rPr>
          <w:t xml:space="preserve">phantasia</w:t>
        </w:r>
      </w:hyperlink>
      <w:r>
        <w:rPr>
          <w:b w:val="0"/>
          <w:i w:val="0"/>
        </w:rPr>
        <w:t>.</w:t>
      </w:r>
    </w:p>
    <w:p>
      <w:pPr>
        <w:widowControl/>
      </w:pPr>
      <w:r>
        <w:rPr>
          <w:b/>
          <w:i w:val="0"/>
        </w:rPr>
        <w:t>Phantasia.</w:t>
      </w:r>
      <w:r>
        <w:rPr>
          <w:b w:val="0"/>
          <w:i w:val="0"/>
        </w:rPr>
        <w:t xml:space="preserve"> </w:t>
      </w:r>
      <w:hyperlink w:anchor="latin-record-0869">
        <w:r>
          <w:rPr>
            <w:color w:val="000000"/>
          </w:rPr>
          <w:t xml:space="preserve">phantasia</w:t>
        </w:r>
      </w:hyperlink>
      <w:r>
        <w:rPr>
          <w:b w:val="0"/>
          <w:i w:val="0"/>
        </w:rPr>
        <w:t>.</w:t>
      </w:r>
    </w:p>
    <w:p>
      <w:pPr>
        <w:widowControl/>
      </w:pPr>
      <w:r>
        <w:rPr>
          <w:b/>
          <w:i w:val="0"/>
        </w:rPr>
        <w:t>phantasiam.</w:t>
      </w:r>
      <w:r>
        <w:rPr>
          <w:b w:val="0"/>
          <w:i w:val="0"/>
        </w:rPr>
        <w:t xml:space="preserve"> </w:t>
      </w:r>
      <w:hyperlink w:anchor="latin-record-0870">
        <w:r>
          <w:rPr>
            <w:color w:val="000000"/>
          </w:rPr>
          <w:t xml:space="preserve">phantasia / sensus / generatio</w:t>
        </w:r>
      </w:hyperlink>
      <w:r>
        <w:rPr>
          <w:b w:val="0"/>
          <w:i w:val="0"/>
        </w:rPr>
        <w:t>.</w:t>
      </w:r>
    </w:p>
    <w:p>
      <w:pPr>
        <w:widowControl/>
      </w:pPr>
      <w:r>
        <w:rPr>
          <w:b/>
          <w:i w:val="0"/>
        </w:rPr>
        <w:t>Philebo.</w:t>
      </w:r>
      <w:r>
        <w:rPr>
          <w:b w:val="0"/>
          <w:i w:val="0"/>
        </w:rPr>
        <w:t xml:space="preserve"> </w:t>
      </w:r>
      <w:hyperlink w:anchor="latin-record-0868">
        <w:r>
          <w:rPr>
            <w:color w:val="000000"/>
          </w:rPr>
          <w:t xml:space="preserve">Phaedo / Philebus / Politicus / Phaedrus</w:t>
        </w:r>
      </w:hyperlink>
      <w:r>
        <w:rPr>
          <w:b w:val="0"/>
          <w:i w:val="0"/>
        </w:rPr>
        <w:t>.</w:t>
      </w:r>
    </w:p>
    <w:p>
      <w:pPr>
        <w:widowControl/>
      </w:pPr>
      <w:r>
        <w:rPr>
          <w:b/>
          <w:i w:val="0"/>
        </w:rPr>
        <w:t>Phoebus particularis.</w:t>
      </w:r>
      <w:r>
        <w:rPr>
          <w:b w:val="0"/>
          <w:i w:val="0"/>
        </w:rPr>
        <w:t xml:space="preserve"> </w:t>
      </w:r>
      <w:hyperlink w:anchor="latin-record-0871">
        <w:r>
          <w:rPr>
            <w:color w:val="000000"/>
          </w:rPr>
          <w:t xml:space="preserve">Phoebus particularis / Iupiter particularis</w:t>
        </w:r>
      </w:hyperlink>
      <w:r>
        <w:rPr>
          <w:b w:val="0"/>
          <w:i w:val="0"/>
        </w:rPr>
        <w:t>.</w:t>
      </w:r>
    </w:p>
    <w:p>
      <w:pPr>
        <w:widowControl/>
      </w:pPr>
      <w:r>
        <w:rPr>
          <w:b/>
          <w:i w:val="0"/>
        </w:rPr>
        <w:t>physici.</w:t>
      </w:r>
      <w:r>
        <w:rPr>
          <w:b w:val="0"/>
          <w:i w:val="0"/>
        </w:rPr>
        <w:t xml:space="preserve"> </w:t>
      </w:r>
      <w:hyperlink w:anchor="latin-record-0872">
        <w:r>
          <w:rPr>
            <w:color w:val="000000"/>
          </w:rPr>
          <w:t xml:space="preserve">physici</w:t>
        </w:r>
      </w:hyperlink>
      <w:r>
        <w:rPr>
          <w:b w:val="0"/>
          <w:i w:val="0"/>
        </w:rPr>
        <w:t>.</w:t>
      </w:r>
    </w:p>
    <w:p>
      <w:pPr>
        <w:widowControl/>
      </w:pPr>
      <w:r>
        <w:rPr>
          <w:b/>
          <w:i w:val="0"/>
        </w:rPr>
        <w:t>physicis.</w:t>
      </w:r>
      <w:r>
        <w:rPr>
          <w:b w:val="0"/>
          <w:i w:val="0"/>
        </w:rPr>
        <w:t xml:space="preserve"> </w:t>
      </w:r>
      <w:hyperlink w:anchor="latin-record-0872">
        <w:r>
          <w:rPr>
            <w:color w:val="000000"/>
          </w:rPr>
          <w:t xml:space="preserve">physici</w:t>
        </w:r>
      </w:hyperlink>
      <w:r>
        <w:rPr>
          <w:b w:val="0"/>
          <w:i w:val="0"/>
        </w:rPr>
        <w:t xml:space="preserve">; </w:t>
      </w:r>
      <w:hyperlink w:anchor="latin-record-0881">
        <w:r>
          <w:rPr>
            <w:color w:val="000000"/>
          </w:rPr>
          <w:t xml:space="preserve">Plato / Platonici / philosophi / physici</w:t>
        </w:r>
      </w:hyperlink>
      <w:r>
        <w:rPr>
          <w:b w:val="0"/>
          <w:i w:val="0"/>
        </w:rPr>
        <w:t>.</w:t>
      </w:r>
    </w:p>
    <w:p>
      <w:pPr>
        <w:widowControl/>
      </w:pPr>
      <w:r>
        <w:rPr>
          <w:b/>
          <w:i w:val="0"/>
        </w:rPr>
        <w:t>physicum.</w:t>
      </w:r>
      <w:r>
        <w:rPr>
          <w:b w:val="0"/>
          <w:i w:val="0"/>
        </w:rPr>
        <w:t xml:space="preserve"> </w:t>
      </w:r>
      <w:hyperlink w:anchor="latin-record-0314">
        <w:r>
          <w:rPr>
            <w:color w:val="000000"/>
          </w:rPr>
          <w:t xml:space="preserve">dialecticum / mathematicum / physicum</w:t>
        </w:r>
      </w:hyperlink>
      <w:r>
        <w:rPr>
          <w:b w:val="0"/>
          <w:i w:val="0"/>
        </w:rPr>
        <w:t>.</w:t>
      </w:r>
    </w:p>
    <w:p>
      <w:pPr>
        <w:widowControl/>
      </w:pPr>
      <w:r>
        <w:rPr>
          <w:b/>
          <w:i w:val="0"/>
        </w:rPr>
        <w:t>picturae.</w:t>
      </w:r>
      <w:r>
        <w:rPr>
          <w:b w:val="0"/>
          <w:i w:val="0"/>
        </w:rPr>
        <w:t xml:space="preserve"> </w:t>
      </w:r>
      <w:hyperlink w:anchor="latin-record-0873">
        <w:r>
          <w:rPr>
            <w:color w:val="000000"/>
          </w:rPr>
          <w:t xml:space="preserve">pictura</w:t>
        </w:r>
      </w:hyperlink>
      <w:r>
        <w:rPr>
          <w:b w:val="0"/>
          <w:i w:val="0"/>
        </w:rPr>
        <w:t>.</w:t>
      </w:r>
    </w:p>
    <w:p>
      <w:pPr>
        <w:widowControl/>
      </w:pPr>
      <w:r>
        <w:rPr>
          <w:b/>
          <w:i w:val="0"/>
        </w:rPr>
        <w:t>pietate.</w:t>
      </w:r>
      <w:r>
        <w:rPr>
          <w:b w:val="0"/>
          <w:i w:val="0"/>
        </w:rPr>
        <w:t xml:space="preserve"> </w:t>
      </w:r>
      <w:hyperlink w:anchor="latin-record-0874">
        <w:r>
          <w:rPr>
            <w:color w:val="000000"/>
          </w:rPr>
          <w:t xml:space="preserve">pietas / pius</w:t>
        </w:r>
      </w:hyperlink>
      <w:r>
        <w:rPr>
          <w:b w:val="0"/>
          <w:i w:val="0"/>
        </w:rPr>
        <w:t>.</w:t>
      </w:r>
    </w:p>
    <w:p>
      <w:pPr>
        <w:widowControl/>
      </w:pPr>
      <w:r>
        <w:rPr>
          <w:b/>
          <w:i w:val="0"/>
        </w:rPr>
        <w:t>pietatis.</w:t>
      </w:r>
      <w:r>
        <w:rPr>
          <w:b w:val="0"/>
          <w:i w:val="0"/>
        </w:rPr>
        <w:t xml:space="preserve"> </w:t>
      </w:r>
      <w:hyperlink w:anchor="latin-record-0874">
        <w:r>
          <w:rPr>
            <w:color w:val="000000"/>
          </w:rPr>
          <w:t xml:space="preserve">pietas / pius</w:t>
        </w:r>
      </w:hyperlink>
      <w:r>
        <w:rPr>
          <w:b w:val="0"/>
          <w:i w:val="0"/>
        </w:rPr>
        <w:t>.</w:t>
      </w:r>
    </w:p>
    <w:p>
      <w:pPr>
        <w:widowControl/>
      </w:pPr>
      <w:r>
        <w:rPr>
          <w:b/>
          <w:i w:val="0"/>
        </w:rPr>
        <w:t>pigram.</w:t>
      </w:r>
      <w:r>
        <w:rPr>
          <w:b w:val="0"/>
          <w:i w:val="0"/>
        </w:rPr>
        <w:t xml:space="preserve"> </w:t>
      </w:r>
      <w:hyperlink w:anchor="latin-record-0709">
        <w:r>
          <w:rPr>
            <w:color w:val="000000"/>
          </w:rPr>
          <w:t xml:space="preserve">moles / piger</w:t>
        </w:r>
      </w:hyperlink>
      <w:r>
        <w:rPr>
          <w:b w:val="0"/>
          <w:i w:val="0"/>
        </w:rPr>
        <w:t>.</w:t>
      </w:r>
    </w:p>
    <w:p>
      <w:pPr>
        <w:widowControl/>
      </w:pPr>
      <w:r>
        <w:rPr>
          <w:b/>
          <w:i w:val="0"/>
        </w:rPr>
        <w:t>pigras.</w:t>
      </w:r>
      <w:r>
        <w:rPr>
          <w:b w:val="0"/>
          <w:i w:val="0"/>
        </w:rPr>
        <w:t xml:space="preserve"> </w:t>
      </w:r>
      <w:hyperlink w:anchor="latin-record-0875">
        <w:r>
          <w:rPr>
            <w:color w:val="000000"/>
          </w:rPr>
          <w:t xml:space="preserve">piger</w:t>
        </w:r>
      </w:hyperlink>
      <w:r>
        <w:rPr>
          <w:b w:val="0"/>
          <w:i w:val="0"/>
        </w:rPr>
        <w:t>.</w:t>
      </w:r>
    </w:p>
    <w:p>
      <w:pPr>
        <w:widowControl/>
      </w:pPr>
      <w:r>
        <w:rPr>
          <w:b/>
          <w:i w:val="0"/>
        </w:rPr>
        <w:t>pigrius.</w:t>
      </w:r>
      <w:r>
        <w:rPr>
          <w:b w:val="0"/>
          <w:i w:val="0"/>
        </w:rPr>
        <w:t xml:space="preserve"> </w:t>
      </w:r>
      <w:hyperlink w:anchor="latin-record-0709">
        <w:r>
          <w:rPr>
            <w:color w:val="000000"/>
          </w:rPr>
          <w:t xml:space="preserve">moles / piger</w:t>
        </w:r>
      </w:hyperlink>
      <w:r>
        <w:rPr>
          <w:b w:val="0"/>
          <w:i w:val="0"/>
        </w:rPr>
        <w:t>.</w:t>
      </w:r>
    </w:p>
    <w:p>
      <w:pPr>
        <w:widowControl/>
      </w:pPr>
      <w:r>
        <w:rPr>
          <w:b/>
          <w:i w:val="0"/>
        </w:rPr>
        <w:t>pilae.</w:t>
      </w:r>
      <w:r>
        <w:rPr>
          <w:b w:val="0"/>
          <w:i w:val="0"/>
        </w:rPr>
        <w:t xml:space="preserve"> </w:t>
      </w:r>
      <w:hyperlink w:anchor="latin-record-1180">
        <w:r>
          <w:rPr>
            <w:color w:val="000000"/>
          </w:rPr>
          <w:t xml:space="preserve">tabernaculum / statua / pila</w:t>
        </w:r>
      </w:hyperlink>
      <w:r>
        <w:rPr>
          <w:b w:val="0"/>
          <w:i w:val="0"/>
        </w:rPr>
        <w:t>.</w:t>
      </w:r>
    </w:p>
    <w:p>
      <w:pPr>
        <w:widowControl/>
      </w:pPr>
      <w:r>
        <w:rPr>
          <w:b/>
          <w:i w:val="0"/>
        </w:rPr>
        <w:t>pilam.</w:t>
      </w:r>
      <w:r>
        <w:rPr>
          <w:b w:val="0"/>
          <w:i w:val="0"/>
        </w:rPr>
        <w:t xml:space="preserve"> </w:t>
      </w:r>
      <w:hyperlink w:anchor="latin-record-1180">
        <w:r>
          <w:rPr>
            <w:color w:val="000000"/>
          </w:rPr>
          <w:t xml:space="preserve">tabernaculum / statua / pila</w:t>
        </w:r>
      </w:hyperlink>
      <w:r>
        <w:rPr>
          <w:b w:val="0"/>
          <w:i w:val="0"/>
        </w:rPr>
        <w:t>.</w:t>
      </w:r>
    </w:p>
    <w:p>
      <w:pPr>
        <w:widowControl/>
      </w:pPr>
      <w:r>
        <w:rPr>
          <w:b/>
          <w:i w:val="0"/>
        </w:rPr>
        <w:t>pilos.</w:t>
      </w:r>
      <w:r>
        <w:rPr>
          <w:b w:val="0"/>
          <w:i w:val="0"/>
        </w:rPr>
        <w:t xml:space="preserve"> </w:t>
      </w:r>
      <w:hyperlink w:anchor="latin-record-0304">
        <w:r>
          <w:rPr>
            <w:color w:val="000000"/>
          </w:rPr>
          <w:t xml:space="preserve">dens / pilus</w:t>
        </w:r>
      </w:hyperlink>
      <w:r>
        <w:rPr>
          <w:b w:val="0"/>
          <w:i w:val="0"/>
        </w:rPr>
        <w:t>.</w:t>
      </w:r>
    </w:p>
    <w:p>
      <w:pPr>
        <w:widowControl/>
      </w:pPr>
      <w:r>
        <w:rPr>
          <w:b/>
          <w:i w:val="0"/>
        </w:rPr>
        <w:t>pingendi.</w:t>
      </w:r>
      <w:r>
        <w:rPr>
          <w:b w:val="0"/>
          <w:i w:val="0"/>
        </w:rPr>
        <w:t xml:space="preserve"> </w:t>
      </w:r>
      <w:hyperlink w:anchor="latin-record-1181">
        <w:r>
          <w:rPr>
            <w:color w:val="000000"/>
          </w:rPr>
          <w:t xml:space="preserve">tabula / pingere / color</w:t>
        </w:r>
      </w:hyperlink>
      <w:r>
        <w:rPr>
          <w:b w:val="0"/>
          <w:i w:val="0"/>
        </w:rPr>
        <w:t>.</w:t>
      </w:r>
    </w:p>
    <w:p>
      <w:pPr>
        <w:widowControl/>
      </w:pPr>
      <w:r>
        <w:rPr>
          <w:b/>
          <w:i w:val="0"/>
        </w:rPr>
        <w:t>pingere.</w:t>
      </w:r>
      <w:r>
        <w:rPr>
          <w:b w:val="0"/>
          <w:i w:val="0"/>
        </w:rPr>
        <w:t xml:space="preserve"> </w:t>
      </w:r>
      <w:hyperlink w:anchor="latin-record-1181">
        <w:r>
          <w:rPr>
            <w:color w:val="000000"/>
          </w:rPr>
          <w:t xml:space="preserve">tabula / pingere / color</w:t>
        </w:r>
      </w:hyperlink>
      <w:r>
        <w:rPr>
          <w:b w:val="0"/>
          <w:i w:val="0"/>
        </w:rPr>
        <w:t>.</w:t>
      </w:r>
    </w:p>
    <w:p>
      <w:pPr>
        <w:widowControl/>
      </w:pPr>
      <w:r>
        <w:rPr>
          <w:b/>
          <w:i w:val="0"/>
        </w:rPr>
        <w:t>pingunt.</w:t>
      </w:r>
      <w:r>
        <w:rPr>
          <w:b w:val="0"/>
          <w:i w:val="0"/>
        </w:rPr>
        <w:t xml:space="preserve"> </w:t>
      </w:r>
      <w:hyperlink w:anchor="latin-record-0876">
        <w:r>
          <w:rPr>
            <w:color w:val="000000"/>
          </w:rPr>
          <w:t xml:space="preserve">pingere / figurare</w:t>
        </w:r>
      </w:hyperlink>
      <w:r>
        <w:rPr>
          <w:b w:val="0"/>
          <w:i w:val="0"/>
        </w:rPr>
        <w:t>.</w:t>
      </w:r>
    </w:p>
    <w:p>
      <w:pPr>
        <w:widowControl/>
      </w:pPr>
      <w:r>
        <w:rPr>
          <w:b/>
          <w:i w:val="0"/>
        </w:rPr>
        <w:t>pium.</w:t>
      </w:r>
      <w:r>
        <w:rPr>
          <w:b w:val="0"/>
          <w:i w:val="0"/>
        </w:rPr>
        <w:t xml:space="preserve"> </w:t>
      </w:r>
      <w:hyperlink w:anchor="latin-record-0874">
        <w:r>
          <w:rPr>
            <w:color w:val="000000"/>
          </w:rPr>
          <w:t xml:space="preserve">pietas / pius</w:t>
        </w:r>
      </w:hyperlink>
      <w:r>
        <w:rPr>
          <w:b w:val="0"/>
          <w:i w:val="0"/>
        </w:rPr>
        <w:t>.</w:t>
      </w:r>
    </w:p>
    <w:p>
      <w:pPr>
        <w:widowControl/>
      </w:pPr>
      <w:r>
        <w:rPr>
          <w:b/>
          <w:i w:val="0"/>
        </w:rPr>
        <w:t>piumque.</w:t>
      </w:r>
      <w:r>
        <w:rPr>
          <w:b w:val="0"/>
          <w:i w:val="0"/>
        </w:rPr>
        <w:t xml:space="preserve"> </w:t>
      </w:r>
      <w:hyperlink w:anchor="latin-record-0874">
        <w:r>
          <w:rPr>
            <w:color w:val="000000"/>
          </w:rPr>
          <w:t xml:space="preserve">pietas / pius</w:t>
        </w:r>
      </w:hyperlink>
      <w:r>
        <w:rPr>
          <w:b w:val="0"/>
          <w:i w:val="0"/>
        </w:rPr>
        <w:t>.</w:t>
      </w:r>
    </w:p>
    <w:p>
      <w:pPr>
        <w:widowControl/>
      </w:pPr>
      <w:r>
        <w:rPr>
          <w:b/>
          <w:i w:val="0"/>
        </w:rPr>
        <w:t>placet.</w:t>
      </w:r>
      <w:r>
        <w:rPr>
          <w:b w:val="0"/>
          <w:i w:val="0"/>
        </w:rPr>
        <w:t xml:space="preserve"> </w:t>
      </w:r>
      <w:hyperlink w:anchor="latin-record-0877">
        <w:r>
          <w:rPr>
            <w:color w:val="000000"/>
          </w:rPr>
          <w:t xml:space="preserve">placere / displicere</w:t>
        </w:r>
      </w:hyperlink>
      <w:r>
        <w:rPr>
          <w:b w:val="0"/>
          <w:i w:val="0"/>
        </w:rPr>
        <w:t xml:space="preserve">; </w:t>
      </w:r>
      <w:hyperlink w:anchor="latin-record-0878">
        <w:r>
          <w:rPr>
            <w:color w:val="000000"/>
          </w:rPr>
          <w:t xml:space="preserve">placere / libenter</w:t>
        </w:r>
      </w:hyperlink>
      <w:r>
        <w:rPr>
          <w:b w:val="0"/>
          <w:i w:val="0"/>
        </w:rPr>
        <w:t>.</w:t>
      </w:r>
    </w:p>
    <w:p>
      <w:pPr>
        <w:widowControl/>
      </w:pPr>
      <w:r>
        <w:rPr>
          <w:b/>
          <w:i w:val="0"/>
        </w:rPr>
        <w:t>plane.</w:t>
      </w:r>
      <w:r>
        <w:rPr>
          <w:b w:val="0"/>
          <w:i w:val="0"/>
        </w:rPr>
        <w:t xml:space="preserve"> </w:t>
      </w:r>
      <w:hyperlink w:anchor="latin-record-0339">
        <w:r>
          <w:rPr>
            <w:color w:val="000000"/>
          </w:rPr>
          <w:t xml:space="preserve">distincte / clare / plane</w:t>
        </w:r>
      </w:hyperlink>
      <w:r>
        <w:rPr>
          <w:b w:val="0"/>
          <w:i w:val="0"/>
        </w:rPr>
        <w:t>.</w:t>
      </w:r>
    </w:p>
    <w:p>
      <w:pPr>
        <w:widowControl/>
      </w:pPr>
      <w:r>
        <w:rPr>
          <w:b/>
          <w:i w:val="0"/>
        </w:rPr>
        <w:t>planissime.</w:t>
      </w:r>
      <w:r>
        <w:rPr>
          <w:b w:val="0"/>
          <w:i w:val="0"/>
        </w:rPr>
        <w:t xml:space="preserve"> </w:t>
      </w:r>
      <w:hyperlink w:anchor="latin-record-0339">
        <w:r>
          <w:rPr>
            <w:color w:val="000000"/>
          </w:rPr>
          <w:t xml:space="preserve">distincte / clare / plane</w:t>
        </w:r>
      </w:hyperlink>
      <w:r>
        <w:rPr>
          <w:b w:val="0"/>
          <w:i w:val="0"/>
        </w:rPr>
        <w:t>.</w:t>
      </w:r>
    </w:p>
    <w:p>
      <w:pPr>
        <w:widowControl/>
      </w:pPr>
      <w:r>
        <w:rPr>
          <w:b/>
          <w:i w:val="0"/>
        </w:rPr>
        <w:t>plantando.</w:t>
      </w:r>
      <w:r>
        <w:rPr>
          <w:b w:val="0"/>
          <w:i w:val="0"/>
        </w:rPr>
        <w:t xml:space="preserve"> </w:t>
      </w:r>
      <w:hyperlink w:anchor="latin-record-1098">
        <w:r>
          <w:rPr>
            <w:color w:val="000000"/>
          </w:rPr>
          <w:t xml:space="preserve">serere / plantare</w:t>
        </w:r>
      </w:hyperlink>
      <w:r>
        <w:rPr>
          <w:b w:val="0"/>
          <w:i w:val="0"/>
        </w:rPr>
        <w:t>.</w:t>
      </w:r>
    </w:p>
    <w:p>
      <w:pPr>
        <w:widowControl/>
      </w:pPr>
      <w:r>
        <w:rPr>
          <w:b/>
          <w:i w:val="0"/>
        </w:rPr>
        <w:t>plantarum.</w:t>
      </w:r>
      <w:r>
        <w:rPr>
          <w:b w:val="0"/>
          <w:i w:val="0"/>
        </w:rPr>
        <w:t xml:space="preserve"> </w:t>
      </w:r>
      <w:hyperlink w:anchor="latin-record-0879">
        <w:r>
          <w:rPr>
            <w:color w:val="000000"/>
          </w:rPr>
          <w:t xml:space="preserve">planta / animal</w:t>
        </w:r>
      </w:hyperlink>
      <w:r>
        <w:rPr>
          <w:b w:val="0"/>
          <w:i w:val="0"/>
        </w:rPr>
        <w:t>.</w:t>
      </w:r>
    </w:p>
    <w:p>
      <w:pPr>
        <w:widowControl/>
      </w:pPr>
      <w:r>
        <w:rPr>
          <w:b/>
          <w:i w:val="0"/>
        </w:rPr>
        <w:t>Plato.</w:t>
      </w:r>
      <w:r>
        <w:rPr>
          <w:b w:val="0"/>
          <w:i w:val="0"/>
        </w:rPr>
        <w:t xml:space="preserve"> </w:t>
      </w:r>
      <w:hyperlink w:anchor="latin-record-0880">
        <w:r>
          <w:rPr>
            <w:color w:val="000000"/>
          </w:rPr>
          <w:t xml:space="preserve">Plato / Platonici</w:t>
        </w:r>
      </w:hyperlink>
      <w:r>
        <w:rPr>
          <w:b w:val="0"/>
          <w:i w:val="0"/>
        </w:rPr>
        <w:t>.</w:t>
      </w:r>
    </w:p>
    <w:p>
      <w:pPr>
        <w:widowControl/>
      </w:pPr>
      <w:r>
        <w:rPr>
          <w:b/>
          <w:i w:val="0"/>
        </w:rPr>
        <w:t>Platonica.</w:t>
      </w:r>
      <w:r>
        <w:rPr>
          <w:b w:val="0"/>
          <w:i w:val="0"/>
        </w:rPr>
        <w:t xml:space="preserve"> </w:t>
      </w:r>
      <w:hyperlink w:anchor="latin-record-0882">
        <w:r>
          <w:rPr>
            <w:color w:val="000000"/>
          </w:rPr>
          <w:t xml:space="preserve">Platonica / Latina facere</w:t>
        </w:r>
      </w:hyperlink>
      <w:r>
        <w:rPr>
          <w:b w:val="0"/>
          <w:i w:val="0"/>
        </w:rPr>
        <w:t>.</w:t>
      </w:r>
    </w:p>
    <w:p>
      <w:pPr>
        <w:widowControl/>
      </w:pPr>
      <w:r>
        <w:rPr>
          <w:b/>
          <w:i w:val="0"/>
        </w:rPr>
        <w:t>Platonici.</w:t>
      </w:r>
      <w:r>
        <w:rPr>
          <w:b w:val="0"/>
          <w:i w:val="0"/>
        </w:rPr>
        <w:t xml:space="preserve"> </w:t>
      </w:r>
      <w:hyperlink w:anchor="latin-record-0880">
        <w:r>
          <w:rPr>
            <w:color w:val="000000"/>
          </w:rPr>
          <w:t xml:space="preserve">Plato / Platonici</w:t>
        </w:r>
      </w:hyperlink>
      <w:r>
        <w:rPr>
          <w:b w:val="0"/>
          <w:i w:val="0"/>
        </w:rPr>
        <w:t xml:space="preserve">; </w:t>
      </w:r>
      <w:hyperlink w:anchor="latin-record-0881">
        <w:r>
          <w:rPr>
            <w:color w:val="000000"/>
          </w:rPr>
          <w:t xml:space="preserve">Plato / Platonici / philosophi / physici</w:t>
        </w:r>
      </w:hyperlink>
      <w:r>
        <w:rPr>
          <w:b w:val="0"/>
          <w:i w:val="0"/>
        </w:rPr>
        <w:t>.</w:t>
      </w:r>
    </w:p>
    <w:p>
      <w:pPr>
        <w:widowControl/>
      </w:pPr>
      <w:r>
        <w:rPr>
          <w:b/>
          <w:i w:val="0"/>
        </w:rPr>
        <w:t>Platonicorumque.</w:t>
      </w:r>
      <w:r>
        <w:rPr>
          <w:b w:val="0"/>
          <w:i w:val="0"/>
        </w:rPr>
        <w:t xml:space="preserve"> </w:t>
      </w:r>
      <w:hyperlink w:anchor="latin-record-0880">
        <w:r>
          <w:rPr>
            <w:color w:val="000000"/>
          </w:rPr>
          <w:t xml:space="preserve">Plato / Platonici</w:t>
        </w:r>
      </w:hyperlink>
      <w:r>
        <w:rPr>
          <w:b w:val="0"/>
          <w:i w:val="0"/>
        </w:rPr>
        <w:t>.</w:t>
      </w:r>
    </w:p>
    <w:p>
      <w:pPr>
        <w:widowControl/>
      </w:pPr>
      <w:r>
        <w:rPr>
          <w:b/>
          <w:i w:val="0"/>
        </w:rPr>
        <w:t>Platonis.</w:t>
      </w:r>
      <w:r>
        <w:rPr>
          <w:b w:val="0"/>
          <w:i w:val="0"/>
        </w:rPr>
        <w:t xml:space="preserve"> </w:t>
      </w:r>
      <w:hyperlink w:anchor="latin-record-0880">
        <w:r>
          <w:rPr>
            <w:color w:val="000000"/>
          </w:rPr>
          <w:t xml:space="preserve">Plato / Platonici</w:t>
        </w:r>
      </w:hyperlink>
      <w:r>
        <w:rPr>
          <w:b w:val="0"/>
          <w:i w:val="0"/>
        </w:rPr>
        <w:t xml:space="preserve">; </w:t>
      </w:r>
      <w:hyperlink w:anchor="latin-record-0881">
        <w:r>
          <w:rPr>
            <w:color w:val="000000"/>
          </w:rPr>
          <w:t xml:space="preserve">Plato / Platonici / philosophi / physici</w:t>
        </w:r>
      </w:hyperlink>
      <w:r>
        <w:rPr>
          <w:b w:val="0"/>
          <w:i w:val="0"/>
        </w:rPr>
        <w:t>.</w:t>
      </w:r>
    </w:p>
    <w:p>
      <w:pPr>
        <w:widowControl/>
      </w:pPr>
      <w:r>
        <w:rPr>
          <w:b/>
          <w:i w:val="0"/>
        </w:rPr>
        <w:t>plenissima.</w:t>
      </w:r>
      <w:r>
        <w:rPr>
          <w:b w:val="0"/>
          <w:i w:val="0"/>
        </w:rPr>
        <w:t xml:space="preserve"> </w:t>
      </w:r>
      <w:hyperlink w:anchor="latin-record-0163">
        <w:r>
          <w:rPr>
            <w:color w:val="000000"/>
          </w:rPr>
          <w:t xml:space="preserve">certus / plenus</w:t>
        </w:r>
      </w:hyperlink>
      <w:r>
        <w:rPr>
          <w:b w:val="0"/>
          <w:i w:val="0"/>
        </w:rPr>
        <w:t xml:space="preserve">; </w:t>
      </w:r>
      <w:hyperlink w:anchor="latin-record-0592">
        <w:r>
          <w:rPr>
            <w:color w:val="000000"/>
          </w:rPr>
          <w:t xml:space="preserve">integer / totus / plenus</w:t>
        </w:r>
      </w:hyperlink>
      <w:r>
        <w:rPr>
          <w:b w:val="0"/>
          <w:i w:val="0"/>
        </w:rPr>
        <w:t>.</w:t>
      </w:r>
    </w:p>
    <w:p>
      <w:pPr>
        <w:widowControl/>
      </w:pPr>
      <w:r>
        <w:rPr>
          <w:b/>
          <w:i w:val="0"/>
        </w:rPr>
        <w:t>plenitudinem.</w:t>
      </w:r>
      <w:r>
        <w:rPr>
          <w:b w:val="0"/>
          <w:i w:val="0"/>
        </w:rPr>
        <w:t xml:space="preserve"> </w:t>
      </w:r>
      <w:hyperlink w:anchor="latin-record-0883">
        <w:r>
          <w:rPr>
            <w:color w:val="000000"/>
          </w:rPr>
          <w:t xml:space="preserve">plenitudo</w:t>
        </w:r>
      </w:hyperlink>
      <w:r>
        <w:rPr>
          <w:b w:val="0"/>
          <w:i w:val="0"/>
        </w:rPr>
        <w:t>.</w:t>
      </w:r>
    </w:p>
    <w:p>
      <w:pPr>
        <w:widowControl/>
      </w:pPr>
      <w:r>
        <w:rPr>
          <w:b/>
          <w:i w:val="0"/>
        </w:rPr>
        <w:t>plenitudo.</w:t>
      </w:r>
      <w:r>
        <w:rPr>
          <w:b w:val="0"/>
          <w:i w:val="0"/>
        </w:rPr>
        <w:t xml:space="preserve"> </w:t>
      </w:r>
      <w:hyperlink w:anchor="latin-record-0063">
        <w:r>
          <w:rPr>
            <w:color w:val="000000"/>
          </w:rPr>
          <w:t xml:space="preserve">amplitudo / plenitudo / implere</w:t>
        </w:r>
      </w:hyperlink>
      <w:r>
        <w:rPr>
          <w:b w:val="0"/>
          <w:i w:val="0"/>
        </w:rPr>
        <w:t>.</w:t>
      </w:r>
    </w:p>
    <w:p>
      <w:pPr>
        <w:widowControl/>
      </w:pPr>
      <w:r>
        <w:rPr>
          <w:b/>
          <w:i w:val="0"/>
        </w:rPr>
        <w:t>plenus.</w:t>
      </w:r>
      <w:r>
        <w:rPr>
          <w:b w:val="0"/>
          <w:i w:val="0"/>
        </w:rPr>
        <w:t xml:space="preserve"> </w:t>
      </w:r>
      <w:hyperlink w:anchor="latin-record-0163">
        <w:r>
          <w:rPr>
            <w:color w:val="000000"/>
          </w:rPr>
          <w:t xml:space="preserve">certus / plenus</w:t>
        </w:r>
      </w:hyperlink>
      <w:r>
        <w:rPr>
          <w:b w:val="0"/>
          <w:i w:val="0"/>
        </w:rPr>
        <w:t>.</w:t>
      </w:r>
    </w:p>
    <w:p>
      <w:pPr>
        <w:widowControl/>
      </w:pPr>
      <w:r>
        <w:rPr>
          <w:b/>
          <w:i w:val="0"/>
        </w:rPr>
        <w:t>Plotini.</w:t>
      </w:r>
      <w:r>
        <w:rPr>
          <w:b w:val="0"/>
          <w:i w:val="0"/>
        </w:rPr>
        <w:t xml:space="preserve"> </w:t>
      </w:r>
      <w:hyperlink w:anchor="latin-record-0884">
        <w:r>
          <w:rPr>
            <w:color w:val="000000"/>
          </w:rPr>
          <w:t xml:space="preserve">Plotinus</w:t>
        </w:r>
      </w:hyperlink>
      <w:r>
        <w:rPr>
          <w:b w:val="0"/>
          <w:i w:val="0"/>
        </w:rPr>
        <w:t>.</w:t>
      </w:r>
    </w:p>
    <w:p>
      <w:pPr>
        <w:widowControl/>
      </w:pPr>
      <w:r>
        <w:rPr>
          <w:b/>
          <w:i w:val="0"/>
        </w:rPr>
        <w:t>Plotinus.</w:t>
      </w:r>
      <w:r>
        <w:rPr>
          <w:b w:val="0"/>
          <w:i w:val="0"/>
        </w:rPr>
        <w:t xml:space="preserve"> </w:t>
      </w:r>
      <w:hyperlink w:anchor="latin-record-0066">
        <w:r>
          <w:rPr>
            <w:color w:val="000000"/>
          </w:rPr>
          <w:t xml:space="preserve">Anebon / Abamon / Plotinus / Iamblichus / Julianus</w:t>
        </w:r>
      </w:hyperlink>
      <w:r>
        <w:rPr>
          <w:b w:val="0"/>
          <w:i w:val="0"/>
        </w:rPr>
        <w:t xml:space="preserve">; </w:t>
      </w:r>
      <w:hyperlink w:anchor="latin-record-0884">
        <w:r>
          <w:rPr>
            <w:color w:val="000000"/>
          </w:rPr>
          <w:t xml:space="preserve">Plotinus</w:t>
        </w:r>
      </w:hyperlink>
      <w:r>
        <w:rPr>
          <w:b w:val="0"/>
          <w:i w:val="0"/>
        </w:rPr>
        <w:t>.</w:t>
      </w:r>
    </w:p>
    <w:p>
      <w:pPr>
        <w:widowControl/>
      </w:pPr>
      <w:r>
        <w:rPr>
          <w:b/>
          <w:i w:val="0"/>
        </w:rPr>
        <w:t>plurimum.</w:t>
      </w:r>
      <w:r>
        <w:rPr>
          <w:b w:val="0"/>
          <w:i w:val="0"/>
        </w:rPr>
        <w:t xml:space="preserve"> </w:t>
      </w:r>
      <w:hyperlink w:anchor="latin-record-0900">
        <w:r>
          <w:rPr>
            <w:color w:val="000000"/>
          </w:rPr>
          <w:t xml:space="preserve">potissimum / summopere / penitus / prorsus / late</w:t>
        </w:r>
      </w:hyperlink>
      <w:r>
        <w:rPr>
          <w:b w:val="0"/>
          <w:i w:val="0"/>
        </w:rPr>
        <w:t>.</w:t>
      </w:r>
    </w:p>
    <w:p>
      <w:pPr>
        <w:widowControl/>
      </w:pPr>
      <w:r>
        <w:rPr>
          <w:b/>
          <w:i w:val="0"/>
        </w:rPr>
        <w:t>Plutonem.</w:t>
      </w:r>
      <w:r>
        <w:rPr>
          <w:b w:val="0"/>
          <w:i w:val="0"/>
        </w:rPr>
        <w:t xml:space="preserve"> </w:t>
      </w:r>
      <w:hyperlink w:anchor="latin-record-0886">
        <w:r>
          <w:rPr>
            <w:color w:val="000000"/>
          </w:rPr>
          <w:t xml:space="preserve">Pluto / Proserpina</w:t>
        </w:r>
      </w:hyperlink>
      <w:r>
        <w:rPr>
          <w:b w:val="0"/>
          <w:i w:val="0"/>
        </w:rPr>
        <w:t>.</w:t>
      </w:r>
    </w:p>
    <w:p>
      <w:pPr>
        <w:widowControl/>
      </w:pPr>
      <w:r>
        <w:rPr>
          <w:b/>
          <w:i w:val="0"/>
        </w:rPr>
        <w:t>Politico.</w:t>
      </w:r>
      <w:r>
        <w:rPr>
          <w:b w:val="0"/>
          <w:i w:val="0"/>
        </w:rPr>
        <w:t xml:space="preserve"> </w:t>
      </w:r>
      <w:hyperlink w:anchor="latin-record-0868">
        <w:r>
          <w:rPr>
            <w:color w:val="000000"/>
          </w:rPr>
          <w:t xml:space="preserve">Phaedo / Philebus / Politicus / Phaedrus</w:t>
        </w:r>
      </w:hyperlink>
      <w:r>
        <w:rPr>
          <w:b w:val="0"/>
          <w:i w:val="0"/>
        </w:rPr>
        <w:t>.</w:t>
      </w:r>
    </w:p>
    <w:p>
      <w:pPr>
        <w:widowControl/>
      </w:pPr>
      <w:r>
        <w:rPr>
          <w:b/>
          <w:i w:val="0"/>
        </w:rPr>
        <w:t>polos.</w:t>
      </w:r>
      <w:r>
        <w:rPr>
          <w:b w:val="0"/>
          <w:i w:val="0"/>
        </w:rPr>
        <w:t xml:space="preserve"> </w:t>
      </w:r>
      <w:hyperlink w:anchor="latin-record-0887">
        <w:r>
          <w:rPr>
            <w:color w:val="000000"/>
          </w:rPr>
          <w:t xml:space="preserve">polus / revolutio / restitutio</w:t>
        </w:r>
      </w:hyperlink>
      <w:r>
        <w:rPr>
          <w:b w:val="0"/>
          <w:i w:val="0"/>
        </w:rPr>
        <w:t>.</w:t>
      </w:r>
    </w:p>
    <w:p>
      <w:pPr>
        <w:widowControl/>
      </w:pPr>
      <w:r>
        <w:rPr>
          <w:b/>
          <w:i w:val="0"/>
        </w:rPr>
        <w:t>pondere.</w:t>
      </w:r>
      <w:r>
        <w:rPr>
          <w:b w:val="0"/>
          <w:i w:val="0"/>
        </w:rPr>
        <w:t xml:space="preserve"> </w:t>
      </w:r>
      <w:hyperlink w:anchor="latin-record-0888">
        <w:r>
          <w:rPr>
            <w:color w:val="000000"/>
          </w:rPr>
          <w:t xml:space="preserve">pondus / lapis</w:t>
        </w:r>
      </w:hyperlink>
      <w:r>
        <w:rPr>
          <w:b w:val="0"/>
          <w:i w:val="0"/>
        </w:rPr>
        <w:t>.</w:t>
      </w:r>
    </w:p>
    <w:p>
      <w:pPr>
        <w:widowControl/>
      </w:pPr>
      <w:r>
        <w:rPr>
          <w:b/>
          <w:i w:val="0"/>
        </w:rPr>
        <w:t>ponderibus.</w:t>
      </w:r>
      <w:r>
        <w:rPr>
          <w:b w:val="0"/>
          <w:i w:val="0"/>
        </w:rPr>
        <w:t xml:space="preserve"> </w:t>
      </w:r>
      <w:hyperlink w:anchor="latin-record-0889">
        <w:r>
          <w:rPr>
            <w:color w:val="000000"/>
          </w:rPr>
          <w:t xml:space="preserve">pondus / librare</w:t>
        </w:r>
      </w:hyperlink>
      <w:r>
        <w:rPr>
          <w:b w:val="0"/>
          <w:i w:val="0"/>
        </w:rPr>
        <w:t>.</w:t>
      </w:r>
    </w:p>
    <w:p>
      <w:pPr>
        <w:widowControl/>
      </w:pPr>
      <w:r>
        <w:rPr>
          <w:b/>
          <w:i w:val="0"/>
        </w:rPr>
        <w:t>ponere.</w:t>
      </w:r>
      <w:r>
        <w:rPr>
          <w:b w:val="0"/>
          <w:i w:val="0"/>
        </w:rPr>
        <w:t xml:space="preserve"> </w:t>
      </w:r>
      <w:hyperlink w:anchor="latin-record-0445">
        <w:r>
          <w:rPr>
            <w:color w:val="000000"/>
          </w:rPr>
          <w:t xml:space="preserve">figere / ponere</w:t>
        </w:r>
      </w:hyperlink>
      <w:r>
        <w:rPr>
          <w:b w:val="0"/>
          <w:i w:val="0"/>
        </w:rPr>
        <w:t>.</w:t>
      </w:r>
    </w:p>
    <w:p>
      <w:pPr>
        <w:widowControl/>
      </w:pPr>
      <w:r>
        <w:rPr>
          <w:b/>
          <w:i w:val="0"/>
        </w:rPr>
        <w:t>poneretur.</w:t>
      </w:r>
      <w:r>
        <w:rPr>
          <w:b w:val="0"/>
          <w:i w:val="0"/>
        </w:rPr>
        <w:t xml:space="preserve"> </w:t>
      </w:r>
      <w:hyperlink w:anchor="latin-record-0890">
        <w:r>
          <w:rPr>
            <w:color w:val="000000"/>
          </w:rPr>
          <w:t xml:space="preserve">ponere / inducere / asserere</w:t>
        </w:r>
      </w:hyperlink>
      <w:r>
        <w:rPr>
          <w:b w:val="0"/>
          <w:i w:val="0"/>
        </w:rPr>
        <w:t>.</w:t>
      </w:r>
    </w:p>
    <w:p>
      <w:pPr>
        <w:widowControl/>
      </w:pPr>
      <w:r>
        <w:rPr>
          <w:b/>
          <w:i w:val="0"/>
        </w:rPr>
        <w:t>ponit.</w:t>
      </w:r>
      <w:r>
        <w:rPr>
          <w:b w:val="0"/>
          <w:i w:val="0"/>
        </w:rPr>
        <w:t xml:space="preserve"> </w:t>
      </w:r>
      <w:hyperlink w:anchor="latin-record-0891">
        <w:r>
          <w:rPr>
            <w:color w:val="000000"/>
          </w:rPr>
          <w:t xml:space="preserve">ponere / signare in esse</w:t>
        </w:r>
      </w:hyperlink>
      <w:r>
        <w:rPr>
          <w:b w:val="0"/>
          <w:i w:val="0"/>
        </w:rPr>
        <w:t>.</w:t>
      </w:r>
    </w:p>
    <w:p>
      <w:pPr>
        <w:widowControl/>
      </w:pPr>
      <w:r>
        <w:rPr>
          <w:b/>
          <w:i w:val="0"/>
        </w:rPr>
        <w:t>Porphyrius.</w:t>
      </w:r>
      <w:r>
        <w:rPr>
          <w:b w:val="0"/>
          <w:i w:val="0"/>
        </w:rPr>
        <w:t xml:space="preserve"> </w:t>
      </w:r>
      <w:hyperlink w:anchor="latin-record-0892">
        <w:r>
          <w:rPr>
            <w:color w:val="000000"/>
          </w:rPr>
          <w:t xml:space="preserve">Porphyrius / Persis / Tusci</w:t>
        </w:r>
      </w:hyperlink>
      <w:r>
        <w:rPr>
          <w:b w:val="0"/>
          <w:i w:val="0"/>
        </w:rPr>
        <w:t>.</w:t>
      </w:r>
    </w:p>
    <w:p>
      <w:pPr>
        <w:widowControl/>
      </w:pPr>
      <w:r>
        <w:rPr>
          <w:b/>
          <w:i w:val="0"/>
        </w:rPr>
        <w:t>porrigere.</w:t>
      </w:r>
      <w:r>
        <w:rPr>
          <w:b w:val="0"/>
          <w:i w:val="0"/>
        </w:rPr>
        <w:t xml:space="preserve"> </w:t>
      </w:r>
      <w:hyperlink w:anchor="latin-record-0062">
        <w:r>
          <w:rPr>
            <w:color w:val="000000"/>
          </w:rPr>
          <w:t xml:space="preserve">amplificare / porrigere</w:t>
        </w:r>
      </w:hyperlink>
      <w:r>
        <w:rPr>
          <w:b w:val="0"/>
          <w:i w:val="0"/>
        </w:rPr>
        <w:t>.</w:t>
      </w:r>
    </w:p>
    <w:p>
      <w:pPr>
        <w:widowControl/>
      </w:pPr>
      <w:r>
        <w:rPr>
          <w:b/>
          <w:i w:val="0"/>
        </w:rPr>
        <w:t>porrigi.</w:t>
      </w:r>
      <w:r>
        <w:rPr>
          <w:b w:val="0"/>
          <w:i w:val="0"/>
        </w:rPr>
        <w:t xml:space="preserve"> </w:t>
      </w:r>
      <w:hyperlink w:anchor="latin-record-0893">
        <w:r>
          <w:rPr>
            <w:color w:val="000000"/>
          </w:rPr>
          <w:t xml:space="preserve">porrigere / tendere</w:t>
        </w:r>
      </w:hyperlink>
      <w:r>
        <w:rPr>
          <w:b w:val="0"/>
          <w:i w:val="0"/>
        </w:rPr>
        <w:t>.</w:t>
      </w:r>
    </w:p>
    <w:p>
      <w:pPr>
        <w:widowControl/>
      </w:pPr>
      <w:r>
        <w:rPr>
          <w:b/>
          <w:i w:val="0"/>
        </w:rPr>
        <w:t>porrigit.</w:t>
      </w:r>
      <w:r>
        <w:rPr>
          <w:b w:val="0"/>
          <w:i w:val="0"/>
        </w:rPr>
        <w:t xml:space="preserve"> </w:t>
      </w:r>
      <w:hyperlink w:anchor="latin-record-0893">
        <w:r>
          <w:rPr>
            <w:color w:val="000000"/>
          </w:rPr>
          <w:t xml:space="preserve">porrigere / tendere</w:t>
        </w:r>
      </w:hyperlink>
      <w:r>
        <w:rPr>
          <w:b w:val="0"/>
          <w:i w:val="0"/>
        </w:rPr>
        <w:t>.</w:t>
      </w:r>
    </w:p>
    <w:p>
      <w:pPr>
        <w:widowControl/>
      </w:pPr>
      <w:r>
        <w:rPr>
          <w:b/>
          <w:i w:val="0"/>
        </w:rPr>
        <w:t>portione.</w:t>
      </w:r>
      <w:r>
        <w:rPr>
          <w:b w:val="0"/>
          <w:i w:val="0"/>
        </w:rPr>
        <w:t xml:space="preserve"> </w:t>
      </w:r>
      <w:hyperlink w:anchor="latin-record-0894">
        <w:r>
          <w:rPr>
            <w:color w:val="000000"/>
          </w:rPr>
          <w:t xml:space="preserve">portio</w:t>
        </w:r>
      </w:hyperlink>
      <w:r>
        <w:rPr>
          <w:b w:val="0"/>
          <w:i w:val="0"/>
        </w:rPr>
        <w:t>.</w:t>
      </w:r>
    </w:p>
    <w:p>
      <w:pPr>
        <w:widowControl/>
      </w:pPr>
      <w:r>
        <w:rPr>
          <w:b/>
          <w:i w:val="0"/>
        </w:rPr>
        <w:t>portionem.</w:t>
      </w:r>
      <w:r>
        <w:rPr>
          <w:b w:val="0"/>
          <w:i w:val="0"/>
        </w:rPr>
        <w:t xml:space="preserve"> </w:t>
      </w:r>
      <w:hyperlink w:anchor="latin-record-0894">
        <w:r>
          <w:rPr>
            <w:color w:val="000000"/>
          </w:rPr>
          <w:t xml:space="preserve">portio</w:t>
        </w:r>
      </w:hyperlink>
      <w:r>
        <w:rPr>
          <w:b w:val="0"/>
          <w:i w:val="0"/>
        </w:rPr>
        <w:t>.</w:t>
      </w:r>
    </w:p>
    <w:p>
      <w:pPr>
        <w:widowControl/>
      </w:pPr>
      <w:r>
        <w:rPr>
          <w:b/>
          <w:i w:val="0"/>
        </w:rPr>
        <w:t>positionemve.</w:t>
      </w:r>
      <w:r>
        <w:rPr>
          <w:b w:val="0"/>
          <w:i w:val="0"/>
        </w:rPr>
        <w:t xml:space="preserve"> </w:t>
      </w:r>
      <w:hyperlink w:anchor="latin-record-0895">
        <w:r>
          <w:rPr>
            <w:color w:val="000000"/>
          </w:rPr>
          <w:t xml:space="preserve">positio</w:t>
        </w:r>
      </w:hyperlink>
      <w:r>
        <w:rPr>
          <w:b w:val="0"/>
          <w:i w:val="0"/>
        </w:rPr>
        <w:t>.</w:t>
      </w:r>
    </w:p>
    <w:p>
      <w:pPr>
        <w:widowControl/>
      </w:pPr>
      <w:r>
        <w:rPr>
          <w:b/>
          <w:i w:val="0"/>
        </w:rPr>
        <w:t>posse.</w:t>
      </w:r>
      <w:r>
        <w:rPr>
          <w:b w:val="0"/>
          <w:i w:val="0"/>
        </w:rPr>
        <w:t xml:space="preserve"> </w:t>
      </w:r>
      <w:hyperlink w:anchor="latin-record-0897">
        <w:r>
          <w:rPr>
            <w:color w:val="000000"/>
          </w:rPr>
          <w:t xml:space="preserve">possum</w:t>
        </w:r>
      </w:hyperlink>
      <w:r>
        <w:rPr>
          <w:b w:val="0"/>
          <w:i w:val="0"/>
        </w:rPr>
        <w:t>.</w:t>
      </w:r>
    </w:p>
    <w:p>
      <w:pPr>
        <w:widowControl/>
      </w:pPr>
      <w:r>
        <w:rPr>
          <w:b/>
          <w:i w:val="0"/>
        </w:rPr>
        <w:t>possideant.</w:t>
      </w:r>
      <w:r>
        <w:rPr>
          <w:b w:val="0"/>
          <w:i w:val="0"/>
        </w:rPr>
        <w:t xml:space="preserve"> </w:t>
      </w:r>
      <w:hyperlink w:anchor="latin-record-1256">
        <w:r>
          <w:rPr>
            <w:color w:val="000000"/>
          </w:rPr>
          <w:t xml:space="preserve">videor habere / revera possideo</w:t>
        </w:r>
      </w:hyperlink>
      <w:r>
        <w:rPr>
          <w:b w:val="0"/>
          <w:i w:val="0"/>
        </w:rPr>
        <w:t>.</w:t>
      </w:r>
    </w:p>
    <w:p>
      <w:pPr>
        <w:widowControl/>
      </w:pPr>
      <w:r>
        <w:rPr>
          <w:b/>
          <w:i w:val="0"/>
        </w:rPr>
        <w:t>possidebat.</w:t>
      </w:r>
      <w:r>
        <w:rPr>
          <w:b w:val="0"/>
          <w:i w:val="0"/>
        </w:rPr>
        <w:t xml:space="preserve"> </w:t>
      </w:r>
      <w:hyperlink w:anchor="latin-record-0493">
        <w:r>
          <w:rPr>
            <w:color w:val="000000"/>
          </w:rPr>
          <w:t xml:space="preserve">habere / possidere</w:t>
        </w:r>
      </w:hyperlink>
      <w:r>
        <w:rPr>
          <w:b w:val="0"/>
          <w:i w:val="0"/>
        </w:rPr>
        <w:t>.</w:t>
      </w:r>
    </w:p>
    <w:p>
      <w:pPr>
        <w:widowControl/>
      </w:pPr>
      <w:r>
        <w:rPr>
          <w:b/>
          <w:i w:val="0"/>
        </w:rPr>
        <w:t>possideri.</w:t>
      </w:r>
      <w:r>
        <w:rPr>
          <w:b w:val="0"/>
          <w:i w:val="0"/>
        </w:rPr>
        <w:t xml:space="preserve"> </w:t>
      </w:r>
      <w:hyperlink w:anchor="latin-record-0493">
        <w:r>
          <w:rPr>
            <w:color w:val="000000"/>
          </w:rPr>
          <w:t xml:space="preserve">habere / possidere</w:t>
        </w:r>
      </w:hyperlink>
      <w:r>
        <w:rPr>
          <w:b w:val="0"/>
          <w:i w:val="0"/>
        </w:rPr>
        <w:t>.</w:t>
      </w:r>
    </w:p>
    <w:p>
      <w:pPr>
        <w:widowControl/>
      </w:pPr>
      <w:r>
        <w:rPr>
          <w:b/>
          <w:i w:val="0"/>
        </w:rPr>
        <w:t>possidet.</w:t>
      </w:r>
      <w:r>
        <w:rPr>
          <w:b w:val="0"/>
          <w:i w:val="0"/>
        </w:rPr>
        <w:t xml:space="preserve"> </w:t>
      </w:r>
      <w:hyperlink w:anchor="latin-record-0342">
        <w:r>
          <w:rPr>
            <w:color w:val="000000"/>
          </w:rPr>
          <w:t xml:space="preserve">distrahere / divertere / possidere</w:t>
        </w:r>
      </w:hyperlink>
      <w:r>
        <w:rPr>
          <w:b w:val="0"/>
          <w:i w:val="0"/>
        </w:rPr>
        <w:t xml:space="preserve">; </w:t>
      </w:r>
      <w:hyperlink w:anchor="latin-record-0493">
        <w:r>
          <w:rPr>
            <w:color w:val="000000"/>
          </w:rPr>
          <w:t xml:space="preserve">habere / possidere</w:t>
        </w:r>
      </w:hyperlink>
      <w:r>
        <w:rPr>
          <w:b w:val="0"/>
          <w:i w:val="0"/>
        </w:rPr>
        <w:t>.</w:t>
      </w:r>
    </w:p>
    <w:p>
      <w:pPr>
        <w:widowControl/>
      </w:pPr>
      <w:r>
        <w:rPr>
          <w:b/>
          <w:i w:val="0"/>
        </w:rPr>
        <w:t>possidetur.</w:t>
      </w:r>
      <w:r>
        <w:rPr>
          <w:b w:val="0"/>
          <w:i w:val="0"/>
        </w:rPr>
        <w:t xml:space="preserve"> </w:t>
      </w:r>
      <w:hyperlink w:anchor="latin-record-0493">
        <w:r>
          <w:rPr>
            <w:color w:val="000000"/>
          </w:rPr>
          <w:t xml:space="preserve">habere / possidere</w:t>
        </w:r>
      </w:hyperlink>
      <w:r>
        <w:rPr>
          <w:b w:val="0"/>
          <w:i w:val="0"/>
        </w:rPr>
        <w:t>.</w:t>
      </w:r>
    </w:p>
    <w:p>
      <w:pPr>
        <w:widowControl/>
      </w:pPr>
      <w:r>
        <w:rPr>
          <w:b/>
          <w:i w:val="0"/>
        </w:rPr>
        <w:t>post.</w:t>
      </w:r>
      <w:r>
        <w:rPr>
          <w:b w:val="0"/>
          <w:i w:val="0"/>
        </w:rPr>
        <w:t xml:space="preserve"> </w:t>
      </w:r>
      <w:hyperlink w:anchor="latin-record-0901">
        <w:r>
          <w:rPr>
            <w:color w:val="000000"/>
          </w:rPr>
          <w:t xml:space="preserve">prae / post / infra / supra</w:t>
        </w:r>
      </w:hyperlink>
      <w:r>
        <w:rPr>
          <w:b w:val="0"/>
          <w:i w:val="0"/>
        </w:rPr>
        <w:t>.</w:t>
      </w:r>
    </w:p>
    <w:p>
      <w:pPr>
        <w:widowControl/>
      </w:pPr>
      <w:r>
        <w:rPr>
          <w:b/>
          <w:i w:val="0"/>
        </w:rPr>
        <w:t>posteriorem.</w:t>
      </w:r>
      <w:r>
        <w:rPr>
          <w:b w:val="0"/>
          <w:i w:val="0"/>
        </w:rPr>
        <w:t xml:space="preserve"> </w:t>
      </w:r>
      <w:hyperlink w:anchor="latin-record-0964">
        <w:r>
          <w:rPr>
            <w:color w:val="000000"/>
          </w:rPr>
          <w:t xml:space="preserve">proprius / communis / posterior</w:t>
        </w:r>
      </w:hyperlink>
      <w:r>
        <w:rPr>
          <w:b w:val="0"/>
          <w:i w:val="0"/>
        </w:rPr>
        <w:t>.</w:t>
      </w:r>
    </w:p>
    <w:p>
      <w:pPr>
        <w:widowControl/>
      </w:pPr>
      <w:r>
        <w:rPr>
          <w:b/>
          <w:i w:val="0"/>
        </w:rPr>
        <w:t>posterius.</w:t>
      </w:r>
      <w:r>
        <w:rPr>
          <w:b w:val="0"/>
          <w:i w:val="0"/>
        </w:rPr>
        <w:t xml:space="preserve"> </w:t>
      </w:r>
      <w:hyperlink w:anchor="latin-record-0931">
        <w:r>
          <w:rPr>
            <w:color w:val="000000"/>
          </w:rPr>
          <w:t xml:space="preserve">prius / posterius</w:t>
        </w:r>
      </w:hyperlink>
      <w:r>
        <w:rPr>
          <w:b w:val="0"/>
          <w:i w:val="0"/>
        </w:rPr>
        <w:t xml:space="preserve">; </w:t>
      </w:r>
      <w:hyperlink w:anchor="latin-record-0932">
        <w:r>
          <w:rPr>
            <w:color w:val="000000"/>
          </w:rPr>
          <w:t xml:space="preserve">prius / posterius / deinde</w:t>
        </w:r>
      </w:hyperlink>
      <w:r>
        <w:rPr>
          <w:b w:val="0"/>
          <w:i w:val="0"/>
        </w:rPr>
        <w:t>.</w:t>
      </w:r>
    </w:p>
    <w:p>
      <w:pPr>
        <w:widowControl/>
      </w:pPr>
      <w:r>
        <w:rPr>
          <w:b/>
          <w:i w:val="0"/>
        </w:rPr>
        <w:t>potentia.</w:t>
      </w:r>
      <w:r>
        <w:rPr>
          <w:b w:val="0"/>
          <w:i w:val="0"/>
        </w:rPr>
        <w:t xml:space="preserve"> </w:t>
      </w:r>
      <w:hyperlink w:anchor="latin-record-0497">
        <w:r>
          <w:rPr>
            <w:color w:val="000000"/>
          </w:rPr>
          <w:t xml:space="preserve">habitus / actus / potentia</w:t>
        </w:r>
      </w:hyperlink>
      <w:r>
        <w:rPr>
          <w:b w:val="0"/>
          <w:i w:val="0"/>
        </w:rPr>
        <w:t xml:space="preserve">; </w:t>
      </w:r>
      <w:hyperlink w:anchor="latin-record-0899">
        <w:r>
          <w:rPr>
            <w:color w:val="000000"/>
          </w:rPr>
          <w:t xml:space="preserve">potentia / potestas / virtus</w:t>
        </w:r>
      </w:hyperlink>
      <w:r>
        <w:rPr>
          <w:b w:val="0"/>
          <w:i w:val="0"/>
        </w:rPr>
        <w:t>.</w:t>
      </w:r>
    </w:p>
    <w:p>
      <w:pPr>
        <w:widowControl/>
      </w:pPr>
      <w:r>
        <w:rPr>
          <w:b/>
          <w:i w:val="0"/>
        </w:rPr>
        <w:t>potentiae.</w:t>
      </w:r>
      <w:r>
        <w:rPr>
          <w:b w:val="0"/>
          <w:i w:val="0"/>
        </w:rPr>
        <w:t xml:space="preserve"> </w:t>
      </w:r>
      <w:hyperlink w:anchor="latin-record-0899">
        <w:r>
          <w:rPr>
            <w:color w:val="000000"/>
          </w:rPr>
          <w:t xml:space="preserve">potentia / potestas / virtus</w:t>
        </w:r>
      </w:hyperlink>
      <w:r>
        <w:rPr>
          <w:b w:val="0"/>
          <w:i w:val="0"/>
        </w:rPr>
        <w:t>.</w:t>
      </w:r>
    </w:p>
    <w:p>
      <w:pPr>
        <w:widowControl/>
      </w:pPr>
      <w:r>
        <w:rPr>
          <w:b/>
          <w:i w:val="0"/>
        </w:rPr>
        <w:t>potentiam.</w:t>
      </w:r>
      <w:r>
        <w:rPr>
          <w:b w:val="0"/>
          <w:i w:val="0"/>
        </w:rPr>
        <w:t xml:space="preserve"> </w:t>
      </w:r>
      <w:hyperlink w:anchor="latin-record-0899">
        <w:r>
          <w:rPr>
            <w:color w:val="000000"/>
          </w:rPr>
          <w:t xml:space="preserve">potentia / potestas / virtus</w:t>
        </w:r>
      </w:hyperlink>
      <w:r>
        <w:rPr>
          <w:b w:val="0"/>
          <w:i w:val="0"/>
        </w:rPr>
        <w:t>.</w:t>
      </w:r>
    </w:p>
    <w:p>
      <w:pPr>
        <w:widowControl/>
      </w:pPr>
      <w:r>
        <w:rPr>
          <w:b/>
          <w:i w:val="0"/>
        </w:rPr>
        <w:t>potest.</w:t>
      </w:r>
      <w:r>
        <w:rPr>
          <w:b w:val="0"/>
          <w:i w:val="0"/>
        </w:rPr>
        <w:t xml:space="preserve"> </w:t>
      </w:r>
      <w:hyperlink w:anchor="latin-record-0896">
        <w:r>
          <w:rPr>
            <w:color w:val="000000"/>
          </w:rPr>
          <w:t xml:space="preserve">posse / nequire</w:t>
        </w:r>
      </w:hyperlink>
      <w:r>
        <w:rPr>
          <w:b w:val="0"/>
          <w:i w:val="0"/>
        </w:rPr>
        <w:t xml:space="preserve">; </w:t>
      </w:r>
      <w:hyperlink w:anchor="latin-record-0897">
        <w:r>
          <w:rPr>
            <w:color w:val="000000"/>
          </w:rPr>
          <w:t xml:space="preserve">possum</w:t>
        </w:r>
      </w:hyperlink>
      <w:r>
        <w:rPr>
          <w:b w:val="0"/>
          <w:i w:val="0"/>
        </w:rPr>
        <w:t>.</w:t>
      </w:r>
    </w:p>
    <w:p>
      <w:pPr>
        <w:widowControl/>
      </w:pPr>
      <w:r>
        <w:rPr>
          <w:b/>
          <w:i w:val="0"/>
        </w:rPr>
        <w:t>potestas.</w:t>
      </w:r>
      <w:r>
        <w:rPr>
          <w:b w:val="0"/>
          <w:i w:val="0"/>
        </w:rPr>
        <w:t xml:space="preserve"> </w:t>
      </w:r>
      <w:hyperlink w:anchor="latin-record-0899">
        <w:r>
          <w:rPr>
            <w:color w:val="000000"/>
          </w:rPr>
          <w:t xml:space="preserve">potentia / potestas / virtus</w:t>
        </w:r>
      </w:hyperlink>
      <w:r>
        <w:rPr>
          <w:b w:val="0"/>
          <w:i w:val="0"/>
        </w:rPr>
        <w:t xml:space="preserve">; </w:t>
      </w:r>
      <w:hyperlink w:anchor="latin-record-1271">
        <w:r>
          <w:rPr>
            <w:color w:val="000000"/>
          </w:rPr>
          <w:t xml:space="preserve">vis / virtus / potestas</w:t>
        </w:r>
      </w:hyperlink>
      <w:r>
        <w:rPr>
          <w:b w:val="0"/>
          <w:i w:val="0"/>
        </w:rPr>
        <w:t>.</w:t>
      </w:r>
    </w:p>
    <w:p>
      <w:pPr>
        <w:widowControl/>
      </w:pPr>
      <w:r>
        <w:rPr>
          <w:b/>
          <w:i w:val="0"/>
        </w:rPr>
        <w:t>praebeant.</w:t>
      </w:r>
      <w:r>
        <w:rPr>
          <w:b w:val="0"/>
          <w:i w:val="0"/>
        </w:rPr>
        <w:t xml:space="preserve"> </w:t>
      </w:r>
      <w:hyperlink w:anchor="latin-record-0903">
        <w:r>
          <w:rPr>
            <w:color w:val="000000"/>
          </w:rPr>
          <w:t xml:space="preserve">praebere / conducere</w:t>
        </w:r>
      </w:hyperlink>
      <w:r>
        <w:rPr>
          <w:b w:val="0"/>
          <w:i w:val="0"/>
        </w:rPr>
        <w:t>.</w:t>
      </w:r>
    </w:p>
    <w:p>
      <w:pPr>
        <w:widowControl/>
      </w:pPr>
      <w:r>
        <w:rPr>
          <w:b/>
          <w:i w:val="0"/>
        </w:rPr>
        <w:t>praebere.</w:t>
      </w:r>
      <w:r>
        <w:rPr>
          <w:b w:val="0"/>
          <w:i w:val="0"/>
        </w:rPr>
        <w:t xml:space="preserve"> </w:t>
      </w:r>
      <w:hyperlink w:anchor="latin-record-0902">
        <w:r>
          <w:rPr>
            <w:color w:val="000000"/>
          </w:rPr>
          <w:t xml:space="preserve">praebeo / do</w:t>
        </w:r>
      </w:hyperlink>
      <w:r>
        <w:rPr>
          <w:b w:val="0"/>
          <w:i w:val="0"/>
        </w:rPr>
        <w:t>.</w:t>
      </w:r>
    </w:p>
    <w:p>
      <w:pPr>
        <w:widowControl/>
      </w:pPr>
      <w:r>
        <w:rPr>
          <w:b/>
          <w:i w:val="0"/>
        </w:rPr>
        <w:t>praebitura.</w:t>
      </w:r>
      <w:r>
        <w:rPr>
          <w:b w:val="0"/>
          <w:i w:val="0"/>
        </w:rPr>
        <w:t xml:space="preserve"> </w:t>
      </w:r>
      <w:hyperlink w:anchor="latin-record-0902">
        <w:r>
          <w:rPr>
            <w:color w:val="000000"/>
          </w:rPr>
          <w:t xml:space="preserve">praebeo / do</w:t>
        </w:r>
      </w:hyperlink>
      <w:r>
        <w:rPr>
          <w:b w:val="0"/>
          <w:i w:val="0"/>
        </w:rPr>
        <w:t>.</w:t>
      </w:r>
    </w:p>
    <w:p>
      <w:pPr>
        <w:widowControl/>
      </w:pPr>
      <w:r>
        <w:rPr>
          <w:b/>
          <w:i w:val="0"/>
        </w:rPr>
        <w:t>praecedat.</w:t>
      </w:r>
      <w:r>
        <w:rPr>
          <w:b w:val="0"/>
          <w:i w:val="0"/>
        </w:rPr>
        <w:t xml:space="preserve"> </w:t>
      </w:r>
      <w:hyperlink w:anchor="latin-record-0904">
        <w:r>
          <w:rPr>
            <w:color w:val="000000"/>
          </w:rPr>
          <w:t xml:space="preserve">praecedo</w:t>
        </w:r>
      </w:hyperlink>
      <w:r>
        <w:rPr>
          <w:b w:val="0"/>
          <w:i w:val="0"/>
        </w:rPr>
        <w:t>.</w:t>
      </w:r>
    </w:p>
    <w:p>
      <w:pPr>
        <w:widowControl/>
      </w:pPr>
      <w:r>
        <w:rPr>
          <w:b/>
          <w:i w:val="0"/>
        </w:rPr>
        <w:t>praecedens.</w:t>
      </w:r>
      <w:r>
        <w:rPr>
          <w:b w:val="0"/>
          <w:i w:val="0"/>
        </w:rPr>
        <w:t xml:space="preserve"> </w:t>
      </w:r>
      <w:hyperlink w:anchor="latin-record-0076">
        <w:r>
          <w:rPr>
            <w:color w:val="000000"/>
          </w:rPr>
          <w:t xml:space="preserve">antecedere / sequi / praecedere</w:t>
        </w:r>
      </w:hyperlink>
      <w:r>
        <w:rPr>
          <w:b w:val="0"/>
          <w:i w:val="0"/>
        </w:rPr>
        <w:t>.</w:t>
      </w:r>
    </w:p>
    <w:p>
      <w:pPr>
        <w:widowControl/>
      </w:pPr>
      <w:r>
        <w:rPr>
          <w:b/>
          <w:i w:val="0"/>
        </w:rPr>
        <w:t>praecedente.</w:t>
      </w:r>
      <w:r>
        <w:rPr>
          <w:b w:val="0"/>
          <w:i w:val="0"/>
        </w:rPr>
        <w:t xml:space="preserve"> </w:t>
      </w:r>
      <w:hyperlink w:anchor="latin-record-0076">
        <w:r>
          <w:rPr>
            <w:color w:val="000000"/>
          </w:rPr>
          <w:t xml:space="preserve">antecedere / sequi / praecedere</w:t>
        </w:r>
      </w:hyperlink>
      <w:r>
        <w:rPr>
          <w:b w:val="0"/>
          <w:i w:val="0"/>
        </w:rPr>
        <w:t>.</w:t>
      </w:r>
    </w:p>
    <w:p>
      <w:pPr>
        <w:widowControl/>
      </w:pPr>
      <w:r>
        <w:rPr>
          <w:b/>
          <w:i w:val="0"/>
        </w:rPr>
        <w:t>praecedit.</w:t>
      </w:r>
      <w:r>
        <w:rPr>
          <w:b w:val="0"/>
          <w:i w:val="0"/>
        </w:rPr>
        <w:t xml:space="preserve"> </w:t>
      </w:r>
      <w:hyperlink w:anchor="latin-record-0904">
        <w:r>
          <w:rPr>
            <w:color w:val="000000"/>
          </w:rPr>
          <w:t xml:space="preserve">praecedo</w:t>
        </w:r>
      </w:hyperlink>
      <w:r>
        <w:rPr>
          <w:b w:val="0"/>
          <w:i w:val="0"/>
        </w:rPr>
        <w:t>.</w:t>
      </w:r>
    </w:p>
    <w:p>
      <w:pPr>
        <w:widowControl/>
      </w:pPr>
      <w:r>
        <w:rPr>
          <w:b/>
          <w:i w:val="0"/>
        </w:rPr>
        <w:t>praecipitium.</w:t>
      </w:r>
      <w:r>
        <w:rPr>
          <w:b w:val="0"/>
          <w:i w:val="0"/>
        </w:rPr>
        <w:t xml:space="preserve"> </w:t>
      </w:r>
      <w:hyperlink w:anchor="latin-record-0905">
        <w:r>
          <w:rPr>
            <w:color w:val="000000"/>
          </w:rPr>
          <w:t xml:space="preserve">praecipitium / tenor</w:t>
        </w:r>
      </w:hyperlink>
      <w:r>
        <w:rPr>
          <w:b w:val="0"/>
          <w:i w:val="0"/>
        </w:rPr>
        <w:t>.</w:t>
      </w:r>
    </w:p>
    <w:p>
      <w:pPr>
        <w:widowControl/>
      </w:pPr>
      <w:r>
        <w:rPr>
          <w:b/>
          <w:i w:val="0"/>
        </w:rPr>
        <w:t>praedita.</w:t>
      </w:r>
      <w:r>
        <w:rPr>
          <w:b w:val="0"/>
          <w:i w:val="0"/>
        </w:rPr>
        <w:t xml:space="preserve"> </w:t>
      </w:r>
      <w:hyperlink w:anchor="latin-record-0906">
        <w:r>
          <w:rPr>
            <w:color w:val="000000"/>
          </w:rPr>
          <w:t xml:space="preserve">praeditus</w:t>
        </w:r>
      </w:hyperlink>
      <w:r>
        <w:rPr>
          <w:b w:val="0"/>
          <w:i w:val="0"/>
        </w:rPr>
        <w:t>.</w:t>
      </w:r>
    </w:p>
    <w:p>
      <w:pPr>
        <w:widowControl/>
      </w:pPr>
      <w:r>
        <w:rPr>
          <w:b/>
          <w:i w:val="0"/>
        </w:rPr>
        <w:t>praeditis.</w:t>
      </w:r>
      <w:r>
        <w:rPr>
          <w:b w:val="0"/>
          <w:i w:val="0"/>
        </w:rPr>
        <w:t xml:space="preserve"> </w:t>
      </w:r>
      <w:hyperlink w:anchor="latin-record-0906">
        <w:r>
          <w:rPr>
            <w:color w:val="000000"/>
          </w:rPr>
          <w:t xml:space="preserve">praeditus</w:t>
        </w:r>
      </w:hyperlink>
      <w:r>
        <w:rPr>
          <w:b w:val="0"/>
          <w:i w:val="0"/>
        </w:rPr>
        <w:t>.</w:t>
      </w:r>
    </w:p>
    <w:p>
      <w:pPr>
        <w:widowControl/>
      </w:pPr>
      <w:r>
        <w:rPr>
          <w:b/>
          <w:i w:val="0"/>
        </w:rPr>
        <w:t>praeesse.</w:t>
      </w:r>
      <w:r>
        <w:rPr>
          <w:b w:val="0"/>
          <w:i w:val="0"/>
        </w:rPr>
        <w:t xml:space="preserve"> </w:t>
      </w:r>
      <w:hyperlink w:anchor="latin-record-0563">
        <w:r>
          <w:rPr>
            <w:color w:val="000000"/>
          </w:rPr>
          <w:t xml:space="preserve">inesse / praeesse</w:t>
        </w:r>
      </w:hyperlink>
      <w:r>
        <w:rPr>
          <w:b w:val="0"/>
          <w:i w:val="0"/>
        </w:rPr>
        <w:t>.</w:t>
      </w:r>
    </w:p>
    <w:p>
      <w:pPr>
        <w:widowControl/>
      </w:pPr>
      <w:r>
        <w:rPr>
          <w:b/>
          <w:i w:val="0"/>
        </w:rPr>
        <w:t>praeest.</w:t>
      </w:r>
      <w:r>
        <w:rPr>
          <w:b w:val="0"/>
          <w:i w:val="0"/>
        </w:rPr>
        <w:t xml:space="preserve"> </w:t>
      </w:r>
      <w:hyperlink w:anchor="latin-record-0907">
        <w:r>
          <w:rPr>
            <w:color w:val="000000"/>
          </w:rPr>
          <w:t xml:space="preserve">praeesse</w:t>
        </w:r>
      </w:hyperlink>
      <w:r>
        <w:rPr>
          <w:b w:val="0"/>
          <w:i w:val="0"/>
        </w:rPr>
        <w:t>.</w:t>
      </w:r>
    </w:p>
    <w:p>
      <w:pPr>
        <w:widowControl/>
      </w:pPr>
      <w:r>
        <w:rPr>
          <w:b/>
          <w:i w:val="0"/>
        </w:rPr>
        <w:t>praeferantur.</w:t>
      </w:r>
      <w:r>
        <w:rPr>
          <w:b w:val="0"/>
          <w:i w:val="0"/>
        </w:rPr>
        <w:t xml:space="preserve"> </w:t>
      </w:r>
      <w:hyperlink w:anchor="latin-record-0911">
        <w:r>
          <w:rPr>
            <w:color w:val="000000"/>
          </w:rPr>
          <w:t xml:space="preserve">praeponere / praeferre</w:t>
        </w:r>
      </w:hyperlink>
      <w:r>
        <w:rPr>
          <w:b w:val="0"/>
          <w:i w:val="0"/>
        </w:rPr>
        <w:t>.</w:t>
      </w:r>
    </w:p>
    <w:p>
      <w:pPr>
        <w:widowControl/>
      </w:pPr>
      <w:r>
        <w:rPr>
          <w:b/>
          <w:i w:val="0"/>
        </w:rPr>
        <w:t>praeferunt.</w:t>
      </w:r>
      <w:r>
        <w:rPr>
          <w:b w:val="0"/>
          <w:i w:val="0"/>
        </w:rPr>
        <w:t xml:space="preserve"> </w:t>
      </w:r>
      <w:hyperlink w:anchor="latin-record-0908">
        <w:r>
          <w:rPr>
            <w:color w:val="000000"/>
          </w:rPr>
          <w:t xml:space="preserve">praefero / antepono</w:t>
        </w:r>
      </w:hyperlink>
      <w:r>
        <w:rPr>
          <w:b w:val="0"/>
          <w:i w:val="0"/>
        </w:rPr>
        <w:t>.</w:t>
      </w:r>
    </w:p>
    <w:p>
      <w:pPr>
        <w:widowControl/>
      </w:pPr>
      <w:r>
        <w:rPr>
          <w:b/>
          <w:i w:val="0"/>
        </w:rPr>
        <w:t>praeparantur.</w:t>
      </w:r>
      <w:r>
        <w:rPr>
          <w:b w:val="0"/>
          <w:i w:val="0"/>
        </w:rPr>
        <w:t xml:space="preserve"> </w:t>
      </w:r>
      <w:hyperlink w:anchor="latin-record-0909">
        <w:r>
          <w:rPr>
            <w:color w:val="000000"/>
          </w:rPr>
          <w:t xml:space="preserve">praeparare / offerre</w:t>
        </w:r>
      </w:hyperlink>
      <w:r>
        <w:rPr>
          <w:b w:val="0"/>
          <w:i w:val="0"/>
        </w:rPr>
        <w:t>.</w:t>
      </w:r>
    </w:p>
    <w:p>
      <w:pPr>
        <w:widowControl/>
      </w:pPr>
      <w:r>
        <w:rPr>
          <w:b/>
          <w:i w:val="0"/>
        </w:rPr>
        <w:t>praeparationibus.</w:t>
      </w:r>
      <w:r>
        <w:rPr>
          <w:b w:val="0"/>
          <w:i w:val="0"/>
        </w:rPr>
        <w:t xml:space="preserve"> </w:t>
      </w:r>
      <w:hyperlink w:anchor="latin-record-0910">
        <w:r>
          <w:rPr>
            <w:color w:val="000000"/>
          </w:rPr>
          <w:t xml:space="preserve">praeparatio</w:t>
        </w:r>
      </w:hyperlink>
      <w:r>
        <w:rPr>
          <w:b w:val="0"/>
          <w:i w:val="0"/>
        </w:rPr>
        <w:t>.</w:t>
      </w:r>
    </w:p>
    <w:p>
      <w:pPr>
        <w:widowControl/>
      </w:pPr>
      <w:r>
        <w:rPr>
          <w:b/>
          <w:i w:val="0"/>
        </w:rPr>
        <w:t>praeparatur.</w:t>
      </w:r>
      <w:r>
        <w:rPr>
          <w:b w:val="0"/>
          <w:i w:val="0"/>
        </w:rPr>
        <w:t xml:space="preserve"> </w:t>
      </w:r>
      <w:hyperlink w:anchor="latin-record-0909">
        <w:r>
          <w:rPr>
            <w:color w:val="000000"/>
          </w:rPr>
          <w:t xml:space="preserve">praeparare / offerre</w:t>
        </w:r>
      </w:hyperlink>
      <w:r>
        <w:rPr>
          <w:b w:val="0"/>
          <w:i w:val="0"/>
        </w:rPr>
        <w:t>.</w:t>
      </w:r>
    </w:p>
    <w:p>
      <w:pPr>
        <w:widowControl/>
      </w:pPr>
      <w:r>
        <w:rPr>
          <w:b/>
          <w:i w:val="0"/>
        </w:rPr>
        <w:t>praeponitur.</w:t>
      </w:r>
      <w:r>
        <w:rPr>
          <w:b w:val="0"/>
          <w:i w:val="0"/>
        </w:rPr>
        <w:t xml:space="preserve"> </w:t>
      </w:r>
      <w:hyperlink w:anchor="latin-record-0911">
        <w:r>
          <w:rPr>
            <w:color w:val="000000"/>
          </w:rPr>
          <w:t xml:space="preserve">praeponere / praeferre</w:t>
        </w:r>
      </w:hyperlink>
      <w:r>
        <w:rPr>
          <w:b w:val="0"/>
          <w:i w:val="0"/>
        </w:rPr>
        <w:t>.</w:t>
      </w:r>
    </w:p>
    <w:p>
      <w:pPr>
        <w:widowControl/>
      </w:pPr>
      <w:r>
        <w:rPr>
          <w:b/>
          <w:i w:val="0"/>
        </w:rPr>
        <w:t>praeponuntur.</w:t>
      </w:r>
      <w:r>
        <w:rPr>
          <w:b w:val="0"/>
          <w:i w:val="0"/>
        </w:rPr>
        <w:t xml:space="preserve"> </w:t>
      </w:r>
      <w:hyperlink w:anchor="latin-record-0911">
        <w:r>
          <w:rPr>
            <w:color w:val="000000"/>
          </w:rPr>
          <w:t xml:space="preserve">praeponere / praeferre</w:t>
        </w:r>
      </w:hyperlink>
      <w:r>
        <w:rPr>
          <w:b w:val="0"/>
          <w:i w:val="0"/>
        </w:rPr>
        <w:t>.</w:t>
      </w:r>
    </w:p>
    <w:p>
      <w:pPr>
        <w:widowControl/>
      </w:pPr>
      <w:r>
        <w:rPr>
          <w:b/>
          <w:i w:val="0"/>
        </w:rPr>
        <w:t>praescientia.</w:t>
      </w:r>
      <w:r>
        <w:rPr>
          <w:b w:val="0"/>
          <w:i w:val="0"/>
        </w:rPr>
        <w:t xml:space="preserve"> </w:t>
      </w:r>
      <w:hyperlink w:anchor="latin-record-0912">
        <w:r>
          <w:rPr>
            <w:color w:val="000000"/>
          </w:rPr>
          <w:t xml:space="preserve">praescientia / praevisio</w:t>
        </w:r>
      </w:hyperlink>
      <w:r>
        <w:rPr>
          <w:b w:val="0"/>
          <w:i w:val="0"/>
        </w:rPr>
        <w:t>.</w:t>
      </w:r>
    </w:p>
    <w:p>
      <w:pPr>
        <w:widowControl/>
      </w:pPr>
      <w:r>
        <w:rPr>
          <w:b/>
          <w:i w:val="0"/>
        </w:rPr>
        <w:t>praescribere.</w:t>
      </w:r>
      <w:r>
        <w:rPr>
          <w:b w:val="0"/>
          <w:i w:val="0"/>
        </w:rPr>
        <w:t xml:space="preserve"> </w:t>
      </w:r>
      <w:hyperlink w:anchor="latin-record-0913">
        <w:r>
          <w:rPr>
            <w:color w:val="000000"/>
          </w:rPr>
          <w:t xml:space="preserve">praescribere</w:t>
        </w:r>
      </w:hyperlink>
      <w:r>
        <w:rPr>
          <w:b w:val="0"/>
          <w:i w:val="0"/>
        </w:rPr>
        <w:t>.</w:t>
      </w:r>
    </w:p>
    <w:p>
      <w:pPr>
        <w:widowControl/>
      </w:pPr>
      <w:r>
        <w:rPr>
          <w:b/>
          <w:i w:val="0"/>
        </w:rPr>
        <w:t>praescribet.</w:t>
      </w:r>
      <w:r>
        <w:rPr>
          <w:b w:val="0"/>
          <w:i w:val="0"/>
        </w:rPr>
        <w:t xml:space="preserve"> </w:t>
      </w:r>
      <w:hyperlink w:anchor="latin-record-0913">
        <w:r>
          <w:rPr>
            <w:color w:val="000000"/>
          </w:rPr>
          <w:t xml:space="preserve">praescribere</w:t>
        </w:r>
      </w:hyperlink>
      <w:r>
        <w:rPr>
          <w:b w:val="0"/>
          <w:i w:val="0"/>
        </w:rPr>
        <w:t>.</w:t>
      </w:r>
    </w:p>
    <w:p>
      <w:pPr>
        <w:widowControl/>
      </w:pPr>
      <w:r>
        <w:rPr>
          <w:b/>
          <w:i w:val="0"/>
        </w:rPr>
        <w:t>praescribit.</w:t>
      </w:r>
      <w:r>
        <w:rPr>
          <w:b w:val="0"/>
          <w:i w:val="0"/>
        </w:rPr>
        <w:t xml:space="preserve"> </w:t>
      </w:r>
      <w:hyperlink w:anchor="latin-record-0914">
        <w:r>
          <w:rPr>
            <w:color w:val="000000"/>
          </w:rPr>
          <w:t xml:space="preserve">praescribere / designare</w:t>
        </w:r>
      </w:hyperlink>
      <w:r>
        <w:rPr>
          <w:b w:val="0"/>
          <w:i w:val="0"/>
        </w:rPr>
        <w:t>.</w:t>
      </w:r>
    </w:p>
    <w:p>
      <w:pPr>
        <w:widowControl/>
      </w:pPr>
      <w:r>
        <w:rPr>
          <w:b/>
          <w:i w:val="0"/>
        </w:rPr>
        <w:t>praescribitur.</w:t>
      </w:r>
      <w:r>
        <w:rPr>
          <w:b w:val="0"/>
          <w:i w:val="0"/>
        </w:rPr>
        <w:t xml:space="preserve"> </w:t>
      </w:r>
      <w:hyperlink w:anchor="latin-record-0915">
        <w:r>
          <w:rPr>
            <w:color w:val="000000"/>
          </w:rPr>
          <w:t xml:space="preserve">praescribere / lex</w:t>
        </w:r>
      </w:hyperlink>
      <w:r>
        <w:rPr>
          <w:b w:val="0"/>
          <w:i w:val="0"/>
        </w:rPr>
        <w:t>.</w:t>
      </w:r>
    </w:p>
    <w:p>
      <w:pPr>
        <w:widowControl/>
      </w:pPr>
      <w:r>
        <w:rPr>
          <w:b/>
          <w:i w:val="0"/>
        </w:rPr>
        <w:t>praescriptum.</w:t>
      </w:r>
      <w:r>
        <w:rPr>
          <w:b w:val="0"/>
          <w:i w:val="0"/>
        </w:rPr>
        <w:t xml:space="preserve"> </w:t>
      </w:r>
      <w:hyperlink w:anchor="latin-record-0913">
        <w:r>
          <w:rPr>
            <w:color w:val="000000"/>
          </w:rPr>
          <w:t xml:space="preserve">praescribere</w:t>
        </w:r>
      </w:hyperlink>
      <w:r>
        <w:rPr>
          <w:b w:val="0"/>
          <w:i w:val="0"/>
        </w:rPr>
        <w:t>.</w:t>
      </w:r>
    </w:p>
    <w:p>
      <w:pPr>
        <w:widowControl/>
      </w:pPr>
      <w:r>
        <w:rPr>
          <w:b/>
          <w:i w:val="0"/>
        </w:rPr>
        <w:t>praesens.</w:t>
      </w:r>
      <w:r>
        <w:rPr>
          <w:b w:val="0"/>
          <w:i w:val="0"/>
        </w:rPr>
        <w:t xml:space="preserve"> </w:t>
      </w:r>
      <w:hyperlink w:anchor="latin-record-0002">
        <w:r>
          <w:rPr>
            <w:color w:val="000000"/>
          </w:rPr>
          <w:t xml:space="preserve">absens / praesens</w:t>
        </w:r>
      </w:hyperlink>
      <w:r>
        <w:rPr>
          <w:b w:val="0"/>
          <w:i w:val="0"/>
        </w:rPr>
        <w:t>.</w:t>
      </w:r>
    </w:p>
    <w:p>
      <w:pPr>
        <w:widowControl/>
      </w:pPr>
      <w:r>
        <w:rPr>
          <w:b/>
          <w:i w:val="0"/>
        </w:rPr>
        <w:t>praesenti.</w:t>
      </w:r>
      <w:r>
        <w:rPr>
          <w:b w:val="0"/>
          <w:i w:val="0"/>
        </w:rPr>
        <w:t xml:space="preserve"> </w:t>
      </w:r>
      <w:hyperlink w:anchor="latin-record-0002">
        <w:r>
          <w:rPr>
            <w:color w:val="000000"/>
          </w:rPr>
          <w:t xml:space="preserve">absens / praesens</w:t>
        </w:r>
      </w:hyperlink>
      <w:r>
        <w:rPr>
          <w:b w:val="0"/>
          <w:i w:val="0"/>
        </w:rPr>
        <w:t>.</w:t>
      </w:r>
    </w:p>
    <w:p>
      <w:pPr>
        <w:widowControl/>
      </w:pPr>
      <w:r>
        <w:rPr>
          <w:b/>
          <w:i w:val="0"/>
        </w:rPr>
        <w:t>praesenti habitu.</w:t>
      </w:r>
      <w:r>
        <w:rPr>
          <w:b w:val="0"/>
          <w:i w:val="0"/>
        </w:rPr>
        <w:t xml:space="preserve"> </w:t>
      </w:r>
      <w:hyperlink w:anchor="latin-record-0500">
        <w:r>
          <w:rPr>
            <w:color w:val="000000"/>
          </w:rPr>
          <w:t xml:space="preserve">habitus — present state</w:t>
        </w:r>
      </w:hyperlink>
      <w:r>
        <w:rPr>
          <w:b w:val="0"/>
          <w:i w:val="0"/>
        </w:rPr>
        <w:t>.</w:t>
      </w:r>
    </w:p>
    <w:p>
      <w:pPr>
        <w:widowControl/>
      </w:pPr>
      <w:r>
        <w:rPr>
          <w:b/>
          <w:i w:val="0"/>
        </w:rPr>
        <w:t>praesentia.</w:t>
      </w:r>
      <w:r>
        <w:rPr>
          <w:b w:val="0"/>
          <w:i w:val="0"/>
        </w:rPr>
        <w:t xml:space="preserve"> </w:t>
      </w:r>
      <w:hyperlink w:anchor="latin-record-0916">
        <w:r>
          <w:rPr>
            <w:color w:val="000000"/>
          </w:rPr>
          <w:t xml:space="preserve">praesentia</w:t>
        </w:r>
      </w:hyperlink>
      <w:r>
        <w:rPr>
          <w:b w:val="0"/>
          <w:i w:val="0"/>
        </w:rPr>
        <w:t xml:space="preserve">; </w:t>
      </w:r>
      <w:hyperlink w:anchor="latin-record-0917">
        <w:r>
          <w:rPr>
            <w:color w:val="000000"/>
          </w:rPr>
          <w:t xml:space="preserve">praesentia / admovere</w:t>
        </w:r>
      </w:hyperlink>
      <w:r>
        <w:rPr>
          <w:b w:val="0"/>
          <w:i w:val="0"/>
        </w:rPr>
        <w:t>.</w:t>
      </w:r>
    </w:p>
    <w:p>
      <w:pPr>
        <w:widowControl/>
      </w:pPr>
      <w:r>
        <w:rPr>
          <w:b/>
          <w:i w:val="0"/>
        </w:rPr>
        <w:t>praesentiam.</w:t>
      </w:r>
      <w:r>
        <w:rPr>
          <w:b w:val="0"/>
          <w:i w:val="0"/>
        </w:rPr>
        <w:t xml:space="preserve"> </w:t>
      </w:r>
      <w:hyperlink w:anchor="latin-record-0916">
        <w:r>
          <w:rPr>
            <w:color w:val="000000"/>
          </w:rPr>
          <w:t xml:space="preserve">praesentia</w:t>
        </w:r>
      </w:hyperlink>
      <w:r>
        <w:rPr>
          <w:b w:val="0"/>
          <w:i w:val="0"/>
        </w:rPr>
        <w:t>.</w:t>
      </w:r>
    </w:p>
    <w:p>
      <w:pPr>
        <w:widowControl/>
      </w:pPr>
      <w:r>
        <w:rPr>
          <w:b/>
          <w:i w:val="0"/>
        </w:rPr>
        <w:t>praesidet.</w:t>
      </w:r>
      <w:r>
        <w:rPr>
          <w:b w:val="0"/>
          <w:i w:val="0"/>
        </w:rPr>
        <w:t xml:space="preserve"> </w:t>
      </w:r>
      <w:hyperlink w:anchor="latin-record-0658">
        <w:r>
          <w:rPr>
            <w:color w:val="000000"/>
          </w:rPr>
          <w:t xml:space="preserve">machina / praesideo</w:t>
        </w:r>
      </w:hyperlink>
      <w:r>
        <w:rPr>
          <w:b w:val="0"/>
          <w:i w:val="0"/>
        </w:rPr>
        <w:t>.</w:t>
      </w:r>
    </w:p>
    <w:p>
      <w:pPr>
        <w:widowControl/>
      </w:pPr>
      <w:r>
        <w:rPr>
          <w:b/>
          <w:i w:val="0"/>
        </w:rPr>
        <w:t>praestabit.</w:t>
      </w:r>
      <w:r>
        <w:rPr>
          <w:b w:val="0"/>
          <w:i w:val="0"/>
        </w:rPr>
        <w:t xml:space="preserve"> </w:t>
      </w:r>
      <w:hyperlink w:anchor="latin-record-0920">
        <w:r>
          <w:rPr>
            <w:color w:val="000000"/>
          </w:rPr>
          <w:t xml:space="preserve">praestare / praestans</w:t>
        </w:r>
      </w:hyperlink>
      <w:r>
        <w:rPr>
          <w:b w:val="0"/>
          <w:i w:val="0"/>
        </w:rPr>
        <w:t>.</w:t>
      </w:r>
    </w:p>
    <w:p>
      <w:pPr>
        <w:widowControl/>
      </w:pPr>
      <w:r>
        <w:rPr>
          <w:b/>
          <w:i w:val="0"/>
        </w:rPr>
        <w:t>praestantior.</w:t>
      </w:r>
      <w:r>
        <w:rPr>
          <w:b w:val="0"/>
          <w:i w:val="0"/>
        </w:rPr>
        <w:t xml:space="preserve"> </w:t>
      </w:r>
      <w:hyperlink w:anchor="latin-record-0920">
        <w:r>
          <w:rPr>
            <w:color w:val="000000"/>
          </w:rPr>
          <w:t xml:space="preserve">praestare / praestans</w:t>
        </w:r>
      </w:hyperlink>
      <w:r>
        <w:rPr>
          <w:b w:val="0"/>
          <w:i w:val="0"/>
        </w:rPr>
        <w:t>.</w:t>
      </w:r>
    </w:p>
    <w:p>
      <w:pPr>
        <w:widowControl/>
      </w:pPr>
      <w:r>
        <w:rPr>
          <w:b/>
          <w:i w:val="0"/>
        </w:rPr>
        <w:t>praestantiore.</w:t>
      </w:r>
      <w:r>
        <w:rPr>
          <w:b w:val="0"/>
          <w:i w:val="0"/>
        </w:rPr>
        <w:t xml:space="preserve"> </w:t>
      </w:r>
      <w:hyperlink w:anchor="latin-record-0918">
        <w:r>
          <w:rPr>
            <w:color w:val="000000"/>
          </w:rPr>
          <w:t xml:space="preserve">praestantior</w:t>
        </w:r>
      </w:hyperlink>
      <w:r>
        <w:rPr>
          <w:b w:val="0"/>
          <w:i w:val="0"/>
        </w:rPr>
        <w:t>.</w:t>
      </w:r>
    </w:p>
    <w:p>
      <w:pPr>
        <w:widowControl/>
      </w:pPr>
      <w:r>
        <w:rPr>
          <w:b/>
          <w:i w:val="0"/>
        </w:rPr>
        <w:t>praestantissimo.</w:t>
      </w:r>
      <w:r>
        <w:rPr>
          <w:b w:val="0"/>
          <w:i w:val="0"/>
        </w:rPr>
        <w:t xml:space="preserve"> </w:t>
      </w:r>
      <w:hyperlink w:anchor="latin-record-0918">
        <w:r>
          <w:rPr>
            <w:color w:val="000000"/>
          </w:rPr>
          <w:t xml:space="preserve">praestantior</w:t>
        </w:r>
      </w:hyperlink>
      <w:r>
        <w:rPr>
          <w:b w:val="0"/>
          <w:i w:val="0"/>
        </w:rPr>
        <w:t>.</w:t>
      </w:r>
    </w:p>
    <w:p>
      <w:pPr>
        <w:widowControl/>
      </w:pPr>
      <w:r>
        <w:rPr>
          <w:b/>
          <w:i w:val="0"/>
        </w:rPr>
        <w:t>praestantius.</w:t>
      </w:r>
      <w:r>
        <w:rPr>
          <w:b w:val="0"/>
          <w:i w:val="0"/>
        </w:rPr>
        <w:t xml:space="preserve"> </w:t>
      </w:r>
      <w:hyperlink w:anchor="latin-record-0920">
        <w:r>
          <w:rPr>
            <w:color w:val="000000"/>
          </w:rPr>
          <w:t xml:space="preserve">praestare / praestans</w:t>
        </w:r>
      </w:hyperlink>
      <w:r>
        <w:rPr>
          <w:b w:val="0"/>
          <w:i w:val="0"/>
        </w:rPr>
        <w:t>.</w:t>
      </w:r>
    </w:p>
    <w:p>
      <w:pPr>
        <w:widowControl/>
      </w:pPr>
      <w:r>
        <w:rPr>
          <w:b/>
          <w:i w:val="0"/>
        </w:rPr>
        <w:t>Praestantius.</w:t>
      </w:r>
      <w:r>
        <w:rPr>
          <w:b w:val="0"/>
          <w:i w:val="0"/>
        </w:rPr>
        <w:t xml:space="preserve"> </w:t>
      </w:r>
      <w:hyperlink w:anchor="latin-record-0920">
        <w:r>
          <w:rPr>
            <w:color w:val="000000"/>
          </w:rPr>
          <w:t xml:space="preserve">praestare / praestans</w:t>
        </w:r>
      </w:hyperlink>
      <w:r>
        <w:rPr>
          <w:b w:val="0"/>
          <w:i w:val="0"/>
        </w:rPr>
        <w:t>.</w:t>
      </w:r>
    </w:p>
    <w:p>
      <w:pPr>
        <w:widowControl/>
      </w:pPr>
      <w:r>
        <w:rPr>
          <w:b/>
          <w:i w:val="0"/>
        </w:rPr>
        <w:t>praestat.</w:t>
      </w:r>
      <w:r>
        <w:rPr>
          <w:b w:val="0"/>
          <w:i w:val="0"/>
        </w:rPr>
        <w:t xml:space="preserve"> </w:t>
      </w:r>
      <w:hyperlink w:anchor="latin-record-0919">
        <w:r>
          <w:rPr>
            <w:color w:val="000000"/>
          </w:rPr>
          <w:t xml:space="preserve">praestare</w:t>
        </w:r>
      </w:hyperlink>
      <w:r>
        <w:rPr>
          <w:b w:val="0"/>
          <w:i w:val="0"/>
        </w:rPr>
        <w:t xml:space="preserve">; </w:t>
      </w:r>
      <w:hyperlink w:anchor="latin-record-0920">
        <w:r>
          <w:rPr>
            <w:color w:val="000000"/>
          </w:rPr>
          <w:t xml:space="preserve">praestare / praestans</w:t>
        </w:r>
      </w:hyperlink>
      <w:r>
        <w:rPr>
          <w:b w:val="0"/>
          <w:i w:val="0"/>
        </w:rPr>
        <w:t>.</w:t>
      </w:r>
    </w:p>
    <w:p>
      <w:pPr>
        <w:widowControl/>
      </w:pPr>
      <w:r>
        <w:rPr>
          <w:b/>
          <w:i w:val="0"/>
        </w:rPr>
        <w:t>praestigiis.</w:t>
      </w:r>
      <w:r>
        <w:rPr>
          <w:b w:val="0"/>
          <w:i w:val="0"/>
        </w:rPr>
        <w:t xml:space="preserve"> </w:t>
      </w:r>
      <w:hyperlink w:anchor="latin-record-0427">
        <w:r>
          <w:rPr>
            <w:color w:val="000000"/>
          </w:rPr>
          <w:t xml:space="preserve">fallere / praestigiae / confundere</w:t>
        </w:r>
      </w:hyperlink>
      <w:r>
        <w:rPr>
          <w:b w:val="0"/>
          <w:i w:val="0"/>
        </w:rPr>
        <w:t>.</w:t>
      </w:r>
    </w:p>
    <w:p>
      <w:pPr>
        <w:widowControl/>
      </w:pPr>
      <w:r>
        <w:rPr>
          <w:b/>
          <w:i w:val="0"/>
        </w:rPr>
        <w:t>praesunt.</w:t>
      </w:r>
      <w:r>
        <w:rPr>
          <w:b w:val="0"/>
          <w:i w:val="0"/>
        </w:rPr>
        <w:t xml:space="preserve"> </w:t>
      </w:r>
      <w:hyperlink w:anchor="latin-record-0907">
        <w:r>
          <w:rPr>
            <w:color w:val="000000"/>
          </w:rPr>
          <w:t xml:space="preserve">praeesse</w:t>
        </w:r>
      </w:hyperlink>
      <w:r>
        <w:rPr>
          <w:b w:val="0"/>
          <w:i w:val="0"/>
        </w:rPr>
        <w:t>.</w:t>
      </w:r>
    </w:p>
    <w:p>
      <w:pPr>
        <w:widowControl/>
      </w:pPr>
      <w:r>
        <w:rPr>
          <w:b/>
          <w:i w:val="0"/>
        </w:rPr>
        <w:t>praeteritum.</w:t>
      </w:r>
      <w:r>
        <w:rPr>
          <w:b w:val="0"/>
          <w:i w:val="0"/>
        </w:rPr>
        <w:t xml:space="preserve"> </w:t>
      </w:r>
      <w:hyperlink w:anchor="latin-record-0921">
        <w:r>
          <w:rPr>
            <w:color w:val="000000"/>
          </w:rPr>
          <w:t xml:space="preserve">praeteritum / futurum</w:t>
        </w:r>
      </w:hyperlink>
      <w:r>
        <w:rPr>
          <w:b w:val="0"/>
          <w:i w:val="0"/>
        </w:rPr>
        <w:t>.</w:t>
      </w:r>
    </w:p>
    <w:p>
      <w:pPr>
        <w:widowControl/>
      </w:pPr>
      <w:r>
        <w:rPr>
          <w:b/>
          <w:i w:val="0"/>
        </w:rPr>
        <w:t>praevaleret.</w:t>
      </w:r>
      <w:r>
        <w:rPr>
          <w:b w:val="0"/>
          <w:i w:val="0"/>
        </w:rPr>
        <w:t xml:space="preserve"> </w:t>
      </w:r>
      <w:hyperlink w:anchor="latin-record-0348">
        <w:r>
          <w:rPr>
            <w:color w:val="000000"/>
          </w:rPr>
          <w:t xml:space="preserve">dominari / praevalere</w:t>
        </w:r>
      </w:hyperlink>
      <w:r>
        <w:rPr>
          <w:b w:val="0"/>
          <w:i w:val="0"/>
        </w:rPr>
        <w:t>.</w:t>
      </w:r>
    </w:p>
    <w:p>
      <w:pPr>
        <w:widowControl/>
      </w:pPr>
      <w:r>
        <w:rPr>
          <w:b/>
          <w:i w:val="0"/>
        </w:rPr>
        <w:t>praevalet.</w:t>
      </w:r>
      <w:r>
        <w:rPr>
          <w:b w:val="0"/>
          <w:i w:val="0"/>
        </w:rPr>
        <w:t xml:space="preserve"> </w:t>
      </w:r>
      <w:hyperlink w:anchor="latin-record-0950">
        <w:r>
          <w:rPr>
            <w:color w:val="000000"/>
          </w:rPr>
          <w:t xml:space="preserve">promere / praevalere</w:t>
        </w:r>
      </w:hyperlink>
      <w:r>
        <w:rPr>
          <w:b w:val="0"/>
          <w:i w:val="0"/>
        </w:rPr>
        <w:t>.</w:t>
      </w:r>
    </w:p>
    <w:p>
      <w:pPr>
        <w:widowControl/>
      </w:pPr>
      <w:r>
        <w:rPr>
          <w:b/>
          <w:i w:val="0"/>
        </w:rPr>
        <w:t>praevaricatur.</w:t>
      </w:r>
      <w:r>
        <w:rPr>
          <w:b w:val="0"/>
          <w:i w:val="0"/>
        </w:rPr>
        <w:t xml:space="preserve"> </w:t>
      </w:r>
      <w:hyperlink w:anchor="latin-record-0922">
        <w:r>
          <w:rPr>
            <w:color w:val="000000"/>
          </w:rPr>
          <w:t xml:space="preserve">praevaricari / effugere</w:t>
        </w:r>
      </w:hyperlink>
      <w:r>
        <w:rPr>
          <w:b w:val="0"/>
          <w:i w:val="0"/>
        </w:rPr>
        <w:t>.</w:t>
      </w:r>
    </w:p>
    <w:p>
      <w:pPr>
        <w:widowControl/>
      </w:pPr>
      <w:r>
        <w:rPr>
          <w:b/>
          <w:i w:val="0"/>
        </w:rPr>
        <w:t>praevisio.</w:t>
      </w:r>
      <w:r>
        <w:rPr>
          <w:b w:val="0"/>
          <w:i w:val="0"/>
        </w:rPr>
        <w:t xml:space="preserve"> </w:t>
      </w:r>
      <w:hyperlink w:anchor="latin-record-0912">
        <w:r>
          <w:rPr>
            <w:color w:val="000000"/>
          </w:rPr>
          <w:t xml:space="preserve">praescientia / praevisio</w:t>
        </w:r>
      </w:hyperlink>
      <w:r>
        <w:rPr>
          <w:b w:val="0"/>
          <w:i w:val="0"/>
        </w:rPr>
        <w:t>.</w:t>
      </w:r>
    </w:p>
    <w:p>
      <w:pPr>
        <w:widowControl/>
      </w:pPr>
      <w:r>
        <w:rPr>
          <w:b/>
          <w:i w:val="0"/>
        </w:rPr>
        <w:t>Pratum.</w:t>
      </w:r>
      <w:r>
        <w:rPr>
          <w:b w:val="0"/>
          <w:i w:val="0"/>
        </w:rPr>
        <w:t xml:space="preserve"> </w:t>
      </w:r>
      <w:hyperlink w:anchor="latin-record-0079">
        <w:r>
          <w:rPr>
            <w:color w:val="000000"/>
          </w:rPr>
          <w:t xml:space="preserve">Apelles / pratum</w:t>
        </w:r>
      </w:hyperlink>
      <w:r>
        <w:rPr>
          <w:b w:val="0"/>
          <w:i w:val="0"/>
        </w:rPr>
        <w:t>.</w:t>
      </w:r>
    </w:p>
    <w:p>
      <w:pPr>
        <w:widowControl/>
      </w:pPr>
      <w:r>
        <w:rPr>
          <w:b/>
          <w:i w:val="0"/>
        </w:rPr>
        <w:t>pratum.</w:t>
      </w:r>
      <w:r>
        <w:rPr>
          <w:b w:val="0"/>
          <w:i w:val="0"/>
        </w:rPr>
        <w:t xml:space="preserve"> </w:t>
      </w:r>
      <w:hyperlink w:anchor="latin-record-0079">
        <w:r>
          <w:rPr>
            <w:color w:val="000000"/>
          </w:rPr>
          <w:t xml:space="preserve">Apelles / pratum</w:t>
        </w:r>
      </w:hyperlink>
      <w:r>
        <w:rPr>
          <w:b w:val="0"/>
          <w:i w:val="0"/>
        </w:rPr>
        <w:t>.</w:t>
      </w:r>
    </w:p>
    <w:p>
      <w:pPr>
        <w:widowControl/>
      </w:pPr>
      <w:r>
        <w:rPr>
          <w:b/>
          <w:i w:val="0"/>
        </w:rPr>
        <w:t>pretiosamque.</w:t>
      </w:r>
      <w:r>
        <w:rPr>
          <w:b w:val="0"/>
          <w:i w:val="0"/>
        </w:rPr>
        <w:t xml:space="preserve"> </w:t>
      </w:r>
      <w:hyperlink w:anchor="latin-record-0994">
        <w:r>
          <w:rPr>
            <w:color w:val="000000"/>
          </w:rPr>
          <w:t xml:space="preserve">putridus / vilis / pretiosus</w:t>
        </w:r>
      </w:hyperlink>
      <w:r>
        <w:rPr>
          <w:b w:val="0"/>
          <w:i w:val="0"/>
        </w:rPr>
        <w:t>.</w:t>
      </w:r>
    </w:p>
    <w:p>
      <w:pPr>
        <w:widowControl/>
      </w:pPr>
      <w:r>
        <w:rPr>
          <w:b/>
          <w:i w:val="0"/>
        </w:rPr>
        <w:t>pretiosiora.</w:t>
      </w:r>
      <w:r>
        <w:rPr>
          <w:b w:val="0"/>
          <w:i w:val="0"/>
        </w:rPr>
        <w:t xml:space="preserve"> </w:t>
      </w:r>
      <w:hyperlink w:anchor="latin-record-1261">
        <w:r>
          <w:rPr>
            <w:color w:val="000000"/>
          </w:rPr>
          <w:t xml:space="preserve">vilis / pretiosus / nobilis</w:t>
        </w:r>
      </w:hyperlink>
      <w:r>
        <w:rPr>
          <w:b w:val="0"/>
          <w:i w:val="0"/>
        </w:rPr>
        <w:t>.</w:t>
      </w:r>
    </w:p>
    <w:p>
      <w:pPr>
        <w:widowControl/>
      </w:pPr>
      <w:r>
        <w:rPr>
          <w:b/>
          <w:i w:val="0"/>
        </w:rPr>
        <w:t>pretiosis.</w:t>
      </w:r>
      <w:r>
        <w:rPr>
          <w:b w:val="0"/>
          <w:i w:val="0"/>
        </w:rPr>
        <w:t xml:space="preserve"> </w:t>
      </w:r>
      <w:hyperlink w:anchor="latin-record-0994">
        <w:r>
          <w:rPr>
            <w:color w:val="000000"/>
          </w:rPr>
          <w:t xml:space="preserve">putridus / vilis / pretiosus</w:t>
        </w:r>
      </w:hyperlink>
      <w:r>
        <w:rPr>
          <w:b w:val="0"/>
          <w:i w:val="0"/>
        </w:rPr>
        <w:t>.</w:t>
      </w:r>
    </w:p>
    <w:p>
      <w:pPr>
        <w:widowControl/>
      </w:pPr>
      <w:r>
        <w:rPr>
          <w:b/>
          <w:i w:val="0"/>
        </w:rPr>
        <w:t>pretiosissima.</w:t>
      </w:r>
      <w:r>
        <w:rPr>
          <w:b w:val="0"/>
          <w:i w:val="0"/>
        </w:rPr>
        <w:t xml:space="preserve"> </w:t>
      </w:r>
      <w:hyperlink w:anchor="latin-record-1261">
        <w:r>
          <w:rPr>
            <w:color w:val="000000"/>
          </w:rPr>
          <w:t xml:space="preserve">vilis / pretiosus / nobilis</w:t>
        </w:r>
      </w:hyperlink>
      <w:r>
        <w:rPr>
          <w:b w:val="0"/>
          <w:i w:val="0"/>
        </w:rPr>
        <w:t>.</w:t>
      </w:r>
    </w:p>
    <w:p>
      <w:pPr>
        <w:widowControl/>
      </w:pPr>
      <w:r>
        <w:rPr>
          <w:b/>
          <w:i w:val="0"/>
        </w:rPr>
        <w:t>primo.</w:t>
      </w:r>
      <w:r>
        <w:rPr>
          <w:b w:val="0"/>
          <w:i w:val="0"/>
        </w:rPr>
        <w:t xml:space="preserve"> </w:t>
      </w:r>
      <w:hyperlink w:anchor="latin-record-0924">
        <w:r>
          <w:rPr>
            <w:color w:val="000000"/>
          </w:rPr>
          <w:t xml:space="preserve">primum / summum / ultimum</w:t>
        </w:r>
      </w:hyperlink>
      <w:r>
        <w:rPr>
          <w:b w:val="0"/>
          <w:i w:val="0"/>
        </w:rPr>
        <w:t>.</w:t>
      </w:r>
    </w:p>
    <w:p>
      <w:pPr>
        <w:widowControl/>
      </w:pPr>
      <w:r>
        <w:rPr>
          <w:b/>
          <w:i w:val="0"/>
        </w:rPr>
        <w:t>primo agit.</w:t>
      </w:r>
      <w:r>
        <w:rPr>
          <w:b w:val="0"/>
          <w:i w:val="0"/>
        </w:rPr>
        <w:t xml:space="preserve"> </w:t>
      </w:r>
      <w:hyperlink w:anchor="latin-record-0923">
        <w:r>
          <w:rPr>
            <w:color w:val="000000"/>
          </w:rPr>
          <w:t xml:space="preserve">primo agere</w:t>
        </w:r>
      </w:hyperlink>
      <w:r>
        <w:rPr>
          <w:b w:val="0"/>
          <w:i w:val="0"/>
        </w:rPr>
        <w:t>.</w:t>
      </w:r>
    </w:p>
    <w:p>
      <w:pPr>
        <w:widowControl/>
      </w:pPr>
      <w:r>
        <w:rPr>
          <w:b/>
          <w:i w:val="0"/>
        </w:rPr>
        <w:t>primum.</w:t>
      </w:r>
      <w:r>
        <w:rPr>
          <w:b w:val="0"/>
          <w:i w:val="0"/>
        </w:rPr>
        <w:t xml:space="preserve"> </w:t>
      </w:r>
      <w:hyperlink w:anchor="latin-record-0924">
        <w:r>
          <w:rPr>
            <w:color w:val="000000"/>
          </w:rPr>
          <w:t xml:space="preserve">primum / summum / ultimum</w:t>
        </w:r>
      </w:hyperlink>
      <w:r>
        <w:rPr>
          <w:b w:val="0"/>
          <w:i w:val="0"/>
        </w:rPr>
        <w:t xml:space="preserve">; </w:t>
      </w:r>
      <w:hyperlink w:anchor="latin-record-0925">
        <w:r>
          <w:rPr>
            <w:color w:val="000000"/>
          </w:rPr>
          <w:t xml:space="preserve">primum / ultimum</w:t>
        </w:r>
      </w:hyperlink>
      <w:r>
        <w:rPr>
          <w:b w:val="0"/>
          <w:i w:val="0"/>
        </w:rPr>
        <w:t>.</w:t>
      </w:r>
    </w:p>
    <w:p>
      <w:pPr>
        <w:widowControl/>
      </w:pPr>
      <w:r>
        <w:rPr>
          <w:b/>
          <w:i w:val="0"/>
        </w:rPr>
        <w:t>primumque.</w:t>
      </w:r>
      <w:r>
        <w:rPr>
          <w:b w:val="0"/>
          <w:i w:val="0"/>
        </w:rPr>
        <w:t xml:space="preserve"> </w:t>
      </w:r>
      <w:hyperlink w:anchor="latin-record-0924">
        <w:r>
          <w:rPr>
            <w:color w:val="000000"/>
          </w:rPr>
          <w:t xml:space="preserve">primum / summum / ultimum</w:t>
        </w:r>
      </w:hyperlink>
      <w:r>
        <w:rPr>
          <w:b w:val="0"/>
          <w:i w:val="0"/>
        </w:rPr>
        <w:t>.</w:t>
      </w:r>
    </w:p>
    <w:p>
      <w:pPr>
        <w:widowControl/>
      </w:pPr>
      <w:r>
        <w:rPr>
          <w:b/>
          <w:i w:val="0"/>
        </w:rPr>
        <w:t>princeps.</w:t>
      </w:r>
      <w:r>
        <w:rPr>
          <w:b w:val="0"/>
          <w:i w:val="0"/>
        </w:rPr>
        <w:t xml:space="preserve"> </w:t>
      </w:r>
      <w:hyperlink w:anchor="latin-record-0927">
        <w:r>
          <w:rPr>
            <w:color w:val="000000"/>
          </w:rPr>
          <w:t xml:space="preserve">principatus / gubernare / regere</w:t>
        </w:r>
      </w:hyperlink>
      <w:r>
        <w:rPr>
          <w:b w:val="0"/>
          <w:i w:val="0"/>
        </w:rPr>
        <w:t>.</w:t>
      </w:r>
    </w:p>
    <w:p>
      <w:pPr>
        <w:widowControl/>
      </w:pPr>
      <w:r>
        <w:rPr>
          <w:b/>
          <w:i w:val="0"/>
        </w:rPr>
        <w:t>principe.</w:t>
      </w:r>
      <w:r>
        <w:rPr>
          <w:b w:val="0"/>
          <w:i w:val="0"/>
        </w:rPr>
        <w:t xml:space="preserve"> </w:t>
      </w:r>
      <w:hyperlink w:anchor="latin-record-0400">
        <w:r>
          <w:rPr>
            <w:color w:val="000000"/>
          </w:rPr>
          <w:t xml:space="preserve">exercitus / dux / princeps</w:t>
        </w:r>
      </w:hyperlink>
      <w:r>
        <w:rPr>
          <w:b w:val="0"/>
          <w:i w:val="0"/>
        </w:rPr>
        <w:t>.</w:t>
      </w:r>
    </w:p>
    <w:p>
      <w:pPr>
        <w:widowControl/>
      </w:pPr>
      <w:r>
        <w:rPr>
          <w:b/>
          <w:i w:val="0"/>
        </w:rPr>
        <w:t>principem.</w:t>
      </w:r>
      <w:r>
        <w:rPr>
          <w:b w:val="0"/>
          <w:i w:val="0"/>
        </w:rPr>
        <w:t xml:space="preserve"> </w:t>
      </w:r>
      <w:hyperlink w:anchor="latin-record-0926">
        <w:r>
          <w:rPr>
            <w:color w:val="000000"/>
          </w:rPr>
          <w:t xml:space="preserve">princeps</w:t>
        </w:r>
      </w:hyperlink>
      <w:r>
        <w:rPr>
          <w:b w:val="0"/>
          <w:i w:val="0"/>
        </w:rPr>
        <w:t xml:space="preserve">; </w:t>
      </w:r>
      <w:hyperlink w:anchor="latin-record-0927">
        <w:r>
          <w:rPr>
            <w:color w:val="000000"/>
          </w:rPr>
          <w:t xml:space="preserve">principatus / gubernare / regere</w:t>
        </w:r>
      </w:hyperlink>
      <w:r>
        <w:rPr>
          <w:b w:val="0"/>
          <w:i w:val="0"/>
        </w:rPr>
        <w:t>.</w:t>
      </w:r>
    </w:p>
    <w:p>
      <w:pPr>
        <w:widowControl/>
      </w:pPr>
      <w:r>
        <w:rPr>
          <w:b/>
          <w:i w:val="0"/>
        </w:rPr>
        <w:t>principes.</w:t>
      </w:r>
      <w:r>
        <w:rPr>
          <w:b w:val="0"/>
          <w:i w:val="0"/>
        </w:rPr>
        <w:t xml:space="preserve"> </w:t>
      </w:r>
      <w:hyperlink w:anchor="latin-record-0926">
        <w:r>
          <w:rPr>
            <w:color w:val="000000"/>
          </w:rPr>
          <w:t xml:space="preserve">princeps</w:t>
        </w:r>
      </w:hyperlink>
      <w:r>
        <w:rPr>
          <w:b w:val="0"/>
          <w:i w:val="0"/>
        </w:rPr>
        <w:t>.</w:t>
      </w:r>
    </w:p>
    <w:p>
      <w:pPr>
        <w:widowControl/>
      </w:pPr>
      <w:r>
        <w:rPr>
          <w:b/>
          <w:i w:val="0"/>
        </w:rPr>
        <w:t>principium.</w:t>
      </w:r>
      <w:r>
        <w:rPr>
          <w:b w:val="0"/>
          <w:i w:val="0"/>
        </w:rPr>
        <w:t xml:space="preserve"> </w:t>
      </w:r>
      <w:hyperlink w:anchor="latin-record-0461">
        <w:r>
          <w:rPr>
            <w:color w:val="000000"/>
          </w:rPr>
          <w:t xml:space="preserve">fons / principium</w:t>
        </w:r>
      </w:hyperlink>
      <w:r>
        <w:rPr>
          <w:b w:val="0"/>
          <w:i w:val="0"/>
        </w:rPr>
        <w:t xml:space="preserve">; </w:t>
      </w:r>
      <w:hyperlink w:anchor="latin-record-0928">
        <w:r>
          <w:rPr>
            <w:color w:val="000000"/>
          </w:rPr>
          <w:t xml:space="preserve">principium / origo</w:t>
        </w:r>
      </w:hyperlink>
      <w:r>
        <w:rPr>
          <w:b w:val="0"/>
          <w:i w:val="0"/>
        </w:rPr>
        <w:t>.</w:t>
      </w:r>
    </w:p>
    <w:p>
      <w:pPr>
        <w:widowControl/>
      </w:pPr>
      <w:r>
        <w:rPr>
          <w:b/>
          <w:i w:val="0"/>
        </w:rPr>
        <w:t>prior.</w:t>
      </w:r>
      <w:r>
        <w:rPr>
          <w:b w:val="0"/>
          <w:i w:val="0"/>
        </w:rPr>
        <w:t xml:space="preserve"> </w:t>
      </w:r>
      <w:hyperlink w:anchor="latin-record-0931">
        <w:r>
          <w:rPr>
            <w:color w:val="000000"/>
          </w:rPr>
          <w:t xml:space="preserve">prius / posterius</w:t>
        </w:r>
      </w:hyperlink>
      <w:r>
        <w:rPr>
          <w:b w:val="0"/>
          <w:i w:val="0"/>
        </w:rPr>
        <w:t>.</w:t>
      </w:r>
    </w:p>
    <w:p>
      <w:pPr>
        <w:widowControl/>
      </w:pPr>
      <w:r>
        <w:rPr>
          <w:b/>
          <w:i w:val="0"/>
        </w:rPr>
        <w:t>prior est dignitate.</w:t>
      </w:r>
      <w:r>
        <w:rPr>
          <w:b w:val="0"/>
          <w:i w:val="0"/>
        </w:rPr>
        <w:t xml:space="preserve"> </w:t>
      </w:r>
      <w:hyperlink w:anchor="latin-record-0929">
        <w:r>
          <w:rPr>
            <w:color w:val="000000"/>
          </w:rPr>
          <w:t xml:space="preserve">prior dignitate / tempore</w:t>
        </w:r>
      </w:hyperlink>
      <w:r>
        <w:rPr>
          <w:b w:val="0"/>
          <w:i w:val="0"/>
        </w:rPr>
        <w:t>.</w:t>
      </w:r>
    </w:p>
    <w:p>
      <w:pPr>
        <w:widowControl/>
      </w:pPr>
      <w:r>
        <w:rPr>
          <w:b/>
          <w:i w:val="0"/>
        </w:rPr>
        <w:t>prius.</w:t>
      </w:r>
      <w:r>
        <w:rPr>
          <w:b w:val="0"/>
          <w:i w:val="0"/>
        </w:rPr>
        <w:t xml:space="preserve"> </w:t>
      </w:r>
      <w:hyperlink w:anchor="latin-record-0931">
        <w:r>
          <w:rPr>
            <w:color w:val="000000"/>
          </w:rPr>
          <w:t xml:space="preserve">prius / posterius</w:t>
        </w:r>
      </w:hyperlink>
      <w:r>
        <w:rPr>
          <w:b w:val="0"/>
          <w:i w:val="0"/>
        </w:rPr>
        <w:t xml:space="preserve">; </w:t>
      </w:r>
      <w:hyperlink w:anchor="latin-record-0932">
        <w:r>
          <w:rPr>
            <w:color w:val="000000"/>
          </w:rPr>
          <w:t xml:space="preserve">prius / posterius / deinde</w:t>
        </w:r>
      </w:hyperlink>
      <w:r>
        <w:rPr>
          <w:b w:val="0"/>
          <w:i w:val="0"/>
        </w:rPr>
        <w:t>.</w:t>
      </w:r>
    </w:p>
    <w:p>
      <w:pPr>
        <w:widowControl/>
      </w:pPr>
      <w:r>
        <w:rPr>
          <w:b/>
          <w:i w:val="0"/>
        </w:rPr>
        <w:t>Prius.</w:t>
      </w:r>
      <w:r>
        <w:rPr>
          <w:b w:val="0"/>
          <w:i w:val="0"/>
        </w:rPr>
        <w:t xml:space="preserve"> </w:t>
      </w:r>
      <w:hyperlink w:anchor="latin-record-0932">
        <w:r>
          <w:rPr>
            <w:color w:val="000000"/>
          </w:rPr>
          <w:t xml:space="preserve">prius / posterius / deinde</w:t>
        </w:r>
      </w:hyperlink>
      <w:r>
        <w:rPr>
          <w:b w:val="0"/>
          <w:i w:val="0"/>
        </w:rPr>
        <w:t>.</w:t>
      </w:r>
    </w:p>
    <w:p>
      <w:pPr>
        <w:widowControl/>
      </w:pPr>
      <w:r>
        <w:rPr>
          <w:b/>
          <w:i w:val="0"/>
        </w:rPr>
        <w:t>privata.</w:t>
      </w:r>
      <w:r>
        <w:rPr>
          <w:b w:val="0"/>
          <w:i w:val="0"/>
        </w:rPr>
        <w:t xml:space="preserve"> </w:t>
      </w:r>
      <w:hyperlink w:anchor="latin-record-0933">
        <w:r>
          <w:rPr>
            <w:color w:val="000000"/>
          </w:rPr>
          <w:t xml:space="preserve">privare / expers</w:t>
        </w:r>
      </w:hyperlink>
      <w:r>
        <w:rPr>
          <w:b w:val="0"/>
          <w:i w:val="0"/>
        </w:rPr>
        <w:t>.</w:t>
      </w:r>
    </w:p>
    <w:p>
      <w:pPr>
        <w:widowControl/>
      </w:pPr>
      <w:r>
        <w:rPr>
          <w:b/>
          <w:i w:val="0"/>
        </w:rPr>
        <w:t>privatio.</w:t>
      </w:r>
      <w:r>
        <w:rPr>
          <w:b w:val="0"/>
          <w:i w:val="0"/>
        </w:rPr>
        <w:t xml:space="preserve"> </w:t>
      </w:r>
      <w:hyperlink w:anchor="latin-record-0934">
        <w:r>
          <w:rPr>
            <w:color w:val="000000"/>
          </w:rPr>
          <w:t xml:space="preserve">privatio / malum</w:t>
        </w:r>
      </w:hyperlink>
      <w:r>
        <w:rPr>
          <w:b w:val="0"/>
          <w:i w:val="0"/>
        </w:rPr>
        <w:t>.</w:t>
      </w:r>
    </w:p>
    <w:p>
      <w:pPr>
        <w:widowControl/>
      </w:pPr>
      <w:r>
        <w:rPr>
          <w:b/>
          <w:i w:val="0"/>
        </w:rPr>
        <w:t>privationis.</w:t>
      </w:r>
      <w:r>
        <w:rPr>
          <w:b w:val="0"/>
          <w:i w:val="0"/>
        </w:rPr>
        <w:t xml:space="preserve"> </w:t>
      </w:r>
      <w:hyperlink w:anchor="latin-record-0933">
        <w:r>
          <w:rPr>
            <w:color w:val="000000"/>
          </w:rPr>
          <w:t xml:space="preserve">privare / expers</w:t>
        </w:r>
      </w:hyperlink>
      <w:r>
        <w:rPr>
          <w:b w:val="0"/>
          <w:i w:val="0"/>
        </w:rPr>
        <w:t>.</w:t>
      </w:r>
    </w:p>
    <w:p>
      <w:pPr>
        <w:widowControl/>
      </w:pPr>
      <w:r>
        <w:rPr>
          <w:b/>
          <w:i w:val="0"/>
        </w:rPr>
        <w:t>privatum.</w:t>
      </w:r>
      <w:r>
        <w:rPr>
          <w:b w:val="0"/>
          <w:i w:val="0"/>
        </w:rPr>
        <w:t xml:space="preserve"> </w:t>
      </w:r>
      <w:hyperlink w:anchor="latin-record-0933">
        <w:r>
          <w:rPr>
            <w:color w:val="000000"/>
          </w:rPr>
          <w:t xml:space="preserve">privare / expers</w:t>
        </w:r>
      </w:hyperlink>
      <w:r>
        <w:rPr>
          <w:b w:val="0"/>
          <w:i w:val="0"/>
        </w:rPr>
        <w:t>.</w:t>
      </w:r>
    </w:p>
    <w:p>
      <w:pPr>
        <w:widowControl/>
      </w:pPr>
      <w:r>
        <w:rPr>
          <w:b/>
          <w:i w:val="0"/>
        </w:rPr>
        <w:t>pro arbitrio.</w:t>
      </w:r>
      <w:r>
        <w:rPr>
          <w:b w:val="0"/>
          <w:i w:val="0"/>
        </w:rPr>
        <w:t xml:space="preserve"> </w:t>
      </w:r>
      <w:hyperlink w:anchor="latin-record-0935">
        <w:r>
          <w:rPr>
            <w:color w:val="000000"/>
          </w:rPr>
          <w:t xml:space="preserve">pro arbitrio</w:t>
        </w:r>
      </w:hyperlink>
      <w:r>
        <w:rPr>
          <w:b w:val="0"/>
          <w:i w:val="0"/>
        </w:rPr>
        <w:t>.</w:t>
      </w:r>
    </w:p>
    <w:p>
      <w:pPr>
        <w:widowControl/>
      </w:pPr>
      <w:r>
        <w:rPr>
          <w:b/>
          <w:i w:val="0"/>
        </w:rPr>
        <w:t>pro viribus.</w:t>
      </w:r>
      <w:r>
        <w:rPr>
          <w:b w:val="0"/>
          <w:i w:val="0"/>
        </w:rPr>
        <w:t xml:space="preserve"> </w:t>
      </w:r>
      <w:hyperlink w:anchor="latin-record-0243">
        <w:r>
          <w:rPr>
            <w:color w:val="000000"/>
          </w:rPr>
          <w:t xml:space="preserve">conor / pro viribus</w:t>
        </w:r>
      </w:hyperlink>
      <w:r>
        <w:rPr>
          <w:b w:val="0"/>
          <w:i w:val="0"/>
        </w:rPr>
        <w:t>.</w:t>
      </w:r>
    </w:p>
    <w:p>
      <w:pPr>
        <w:widowControl/>
      </w:pPr>
      <w:r>
        <w:rPr>
          <w:b/>
          <w:i w:val="0"/>
        </w:rPr>
        <w:t>probabili.</w:t>
      </w:r>
      <w:r>
        <w:rPr>
          <w:b w:val="0"/>
          <w:i w:val="0"/>
        </w:rPr>
        <w:t xml:space="preserve"> </w:t>
      </w:r>
      <w:hyperlink w:anchor="latin-record-0936">
        <w:r>
          <w:rPr>
            <w:color w:val="000000"/>
          </w:rPr>
          <w:t xml:space="preserve">probabilis / computo</w:t>
        </w:r>
      </w:hyperlink>
      <w:r>
        <w:rPr>
          <w:b w:val="0"/>
          <w:i w:val="0"/>
        </w:rPr>
        <w:t>.</w:t>
      </w:r>
    </w:p>
    <w:p>
      <w:pPr>
        <w:widowControl/>
      </w:pPr>
      <w:r>
        <w:rPr>
          <w:b/>
          <w:i w:val="0"/>
        </w:rPr>
        <w:t>probabimus.</w:t>
      </w:r>
      <w:r>
        <w:rPr>
          <w:b w:val="0"/>
          <w:i w:val="0"/>
        </w:rPr>
        <w:t xml:space="preserve"> </w:t>
      </w:r>
      <w:hyperlink w:anchor="latin-record-0815">
        <w:r>
          <w:rPr>
            <w:color w:val="000000"/>
          </w:rPr>
          <w:t xml:space="preserve">ostendere / monstrare / probare</w:t>
        </w:r>
      </w:hyperlink>
      <w:r>
        <w:rPr>
          <w:b w:val="0"/>
          <w:i w:val="0"/>
        </w:rPr>
        <w:t>.</w:t>
      </w:r>
    </w:p>
    <w:p>
      <w:pPr>
        <w:widowControl/>
      </w:pPr>
      <w:r>
        <w:rPr>
          <w:b/>
          <w:i w:val="0"/>
        </w:rPr>
        <w:t>probare.</w:t>
      </w:r>
      <w:r>
        <w:rPr>
          <w:b w:val="0"/>
          <w:i w:val="0"/>
        </w:rPr>
        <w:t xml:space="preserve"> </w:t>
      </w:r>
      <w:hyperlink w:anchor="latin-record-0815">
        <w:r>
          <w:rPr>
            <w:color w:val="000000"/>
          </w:rPr>
          <w:t xml:space="preserve">ostendere / monstrare / probare</w:t>
        </w:r>
      </w:hyperlink>
      <w:r>
        <w:rPr>
          <w:b w:val="0"/>
          <w:i w:val="0"/>
        </w:rPr>
        <w:t>.</w:t>
      </w:r>
    </w:p>
    <w:p>
      <w:pPr>
        <w:widowControl/>
      </w:pPr>
      <w:r>
        <w:rPr>
          <w:b/>
          <w:i w:val="0"/>
        </w:rPr>
        <w:t>probatum.</w:t>
      </w:r>
      <w:r>
        <w:rPr>
          <w:b w:val="0"/>
          <w:i w:val="0"/>
        </w:rPr>
        <w:t xml:space="preserve"> </w:t>
      </w:r>
      <w:hyperlink w:anchor="latin-record-0937">
        <w:r>
          <w:rPr>
            <w:color w:val="000000"/>
          </w:rPr>
          <w:t xml:space="preserve">probare / ostendere / demonstrare</w:t>
        </w:r>
      </w:hyperlink>
      <w:r>
        <w:rPr>
          <w:b w:val="0"/>
          <w:i w:val="0"/>
        </w:rPr>
        <w:t xml:space="preserve">; </w:t>
      </w:r>
      <w:hyperlink w:anchor="latin-record-0938">
        <w:r>
          <w:rPr>
            <w:color w:val="000000"/>
          </w:rPr>
          <w:t xml:space="preserve">probo / comprobo</w:t>
        </w:r>
      </w:hyperlink>
      <w:r>
        <w:rPr>
          <w:b w:val="0"/>
          <w:i w:val="0"/>
        </w:rPr>
        <w:t>.</w:t>
      </w:r>
    </w:p>
    <w:p>
      <w:pPr>
        <w:widowControl/>
      </w:pPr>
      <w:r>
        <w:rPr>
          <w:b/>
          <w:i w:val="0"/>
        </w:rPr>
        <w:t>procedunt.</w:t>
      </w:r>
      <w:r>
        <w:rPr>
          <w:b w:val="0"/>
          <w:i w:val="0"/>
        </w:rPr>
        <w:t xml:space="preserve"> </w:t>
      </w:r>
      <w:hyperlink w:anchor="latin-record-0272">
        <w:r>
          <w:rPr>
            <w:color w:val="000000"/>
          </w:rPr>
          <w:t xml:space="preserve">conversio / profectio</w:t>
        </w:r>
      </w:hyperlink>
      <w:r>
        <w:rPr>
          <w:b w:val="0"/>
          <w:i w:val="0"/>
        </w:rPr>
        <w:t>.</w:t>
      </w:r>
    </w:p>
    <w:p>
      <w:pPr>
        <w:widowControl/>
      </w:pPr>
      <w:r>
        <w:rPr>
          <w:b/>
          <w:i w:val="0"/>
        </w:rPr>
        <w:t>proclivitas.</w:t>
      </w:r>
      <w:r>
        <w:rPr>
          <w:b w:val="0"/>
          <w:i w:val="0"/>
        </w:rPr>
        <w:t xml:space="preserve"> </w:t>
      </w:r>
      <w:hyperlink w:anchor="latin-record-0941">
        <w:r>
          <w:rPr>
            <w:color w:val="000000"/>
          </w:rPr>
          <w:t xml:space="preserve">proclivitas / efficacia</w:t>
        </w:r>
      </w:hyperlink>
      <w:r>
        <w:rPr>
          <w:b w:val="0"/>
          <w:i w:val="0"/>
        </w:rPr>
        <w:t>.</w:t>
      </w:r>
    </w:p>
    <w:p>
      <w:pPr>
        <w:widowControl/>
      </w:pPr>
      <w:r>
        <w:rPr>
          <w:b/>
          <w:i w:val="0"/>
        </w:rPr>
        <w:t>proclivitasque.</w:t>
      </w:r>
      <w:r>
        <w:rPr>
          <w:b w:val="0"/>
          <w:i w:val="0"/>
        </w:rPr>
        <w:t xml:space="preserve"> </w:t>
      </w:r>
      <w:hyperlink w:anchor="latin-record-0940">
        <w:r>
          <w:rPr>
            <w:color w:val="000000"/>
          </w:rPr>
          <w:t xml:space="preserve">proclivitas</w:t>
        </w:r>
      </w:hyperlink>
      <w:r>
        <w:rPr>
          <w:b w:val="0"/>
          <w:i w:val="0"/>
        </w:rPr>
        <w:t>.</w:t>
      </w:r>
    </w:p>
    <w:p>
      <w:pPr>
        <w:widowControl/>
      </w:pPr>
      <w:r>
        <w:rPr>
          <w:b/>
          <w:i w:val="0"/>
        </w:rPr>
        <w:t>Proclo.</w:t>
      </w:r>
      <w:r>
        <w:rPr>
          <w:b w:val="0"/>
          <w:i w:val="0"/>
        </w:rPr>
        <w:t xml:space="preserve"> </w:t>
      </w:r>
      <w:hyperlink w:anchor="latin-record-0942">
        <w:r>
          <w:rPr>
            <w:color w:val="000000"/>
          </w:rPr>
          <w:t xml:space="preserve">Proclus / Syrianus</w:t>
        </w:r>
      </w:hyperlink>
      <w:r>
        <w:rPr>
          <w:b w:val="0"/>
          <w:i w:val="0"/>
        </w:rPr>
        <w:t>.</w:t>
      </w:r>
    </w:p>
    <w:p>
      <w:pPr>
        <w:widowControl/>
      </w:pPr>
      <w:r>
        <w:rPr>
          <w:b/>
          <w:i w:val="0"/>
        </w:rPr>
        <w:t>Proclus.</w:t>
      </w:r>
      <w:r>
        <w:rPr>
          <w:b w:val="0"/>
          <w:i w:val="0"/>
        </w:rPr>
        <w:t xml:space="preserve"> </w:t>
      </w:r>
      <w:hyperlink w:anchor="latin-record-0942">
        <w:r>
          <w:rPr>
            <w:color w:val="000000"/>
          </w:rPr>
          <w:t xml:space="preserve">Proclus / Syrianus</w:t>
        </w:r>
      </w:hyperlink>
      <w:r>
        <w:rPr>
          <w:b w:val="0"/>
          <w:i w:val="0"/>
        </w:rPr>
        <w:t>.</w:t>
      </w:r>
    </w:p>
    <w:p>
      <w:pPr>
        <w:widowControl/>
      </w:pPr>
      <w:r>
        <w:rPr>
          <w:b/>
          <w:i w:val="0"/>
        </w:rPr>
        <w:t>Proclusque.</w:t>
      </w:r>
      <w:r>
        <w:rPr>
          <w:b w:val="0"/>
          <w:i w:val="0"/>
        </w:rPr>
        <w:t xml:space="preserve"> </w:t>
      </w:r>
      <w:hyperlink w:anchor="latin-record-0519">
        <w:r>
          <w:rPr>
            <w:color w:val="000000"/>
          </w:rPr>
          <w:t xml:space="preserve">Iamblichus / Proclus</w:t>
        </w:r>
      </w:hyperlink>
      <w:r>
        <w:rPr>
          <w:b w:val="0"/>
          <w:i w:val="0"/>
        </w:rPr>
        <w:t>.</w:t>
      </w:r>
    </w:p>
    <w:p>
      <w:pPr>
        <w:widowControl/>
      </w:pPr>
      <w:r>
        <w:rPr>
          <w:b/>
          <w:i w:val="0"/>
        </w:rPr>
        <w:t>procuratoris.</w:t>
      </w:r>
      <w:r>
        <w:rPr>
          <w:b w:val="0"/>
          <w:i w:val="0"/>
        </w:rPr>
        <w:t xml:space="preserve"> </w:t>
      </w:r>
      <w:hyperlink w:anchor="latin-record-0322">
        <w:r>
          <w:rPr>
            <w:color w:val="000000"/>
          </w:rPr>
          <w:t xml:space="preserve">diligentia / procurator</w:t>
        </w:r>
      </w:hyperlink>
      <w:r>
        <w:rPr>
          <w:b w:val="0"/>
          <w:i w:val="0"/>
        </w:rPr>
        <w:t>.</w:t>
      </w:r>
    </w:p>
    <w:p>
      <w:pPr>
        <w:widowControl/>
      </w:pPr>
      <w:r>
        <w:rPr>
          <w:b/>
          <w:i w:val="0"/>
        </w:rPr>
        <w:t>prodiret.</w:t>
      </w:r>
      <w:r>
        <w:rPr>
          <w:b w:val="0"/>
          <w:i w:val="0"/>
        </w:rPr>
        <w:t xml:space="preserve"> </w:t>
      </w:r>
      <w:hyperlink w:anchor="latin-record-0406">
        <w:r>
          <w:rPr>
            <w:color w:val="000000"/>
          </w:rPr>
          <w:t xml:space="preserve">exordiri / prodire</w:t>
        </w:r>
      </w:hyperlink>
      <w:r>
        <w:rPr>
          <w:b w:val="0"/>
          <w:i w:val="0"/>
        </w:rPr>
        <w:t>.</w:t>
      </w:r>
    </w:p>
    <w:p>
      <w:pPr>
        <w:widowControl/>
      </w:pPr>
      <w:r>
        <w:rPr>
          <w:b/>
          <w:i w:val="0"/>
        </w:rPr>
        <w:t>Prodit.</w:t>
      </w:r>
      <w:r>
        <w:rPr>
          <w:b w:val="0"/>
          <w:i w:val="0"/>
        </w:rPr>
        <w:t xml:space="preserve"> </w:t>
      </w:r>
      <w:hyperlink w:anchor="latin-record-0406">
        <w:r>
          <w:rPr>
            <w:color w:val="000000"/>
          </w:rPr>
          <w:t xml:space="preserve">exordiri / prodire</w:t>
        </w:r>
      </w:hyperlink>
      <w:r>
        <w:rPr>
          <w:b w:val="0"/>
          <w:i w:val="0"/>
        </w:rPr>
        <w:t>.</w:t>
      </w:r>
    </w:p>
    <w:p>
      <w:pPr>
        <w:widowControl/>
      </w:pPr>
      <w:r>
        <w:rPr>
          <w:b/>
          <w:i w:val="0"/>
        </w:rPr>
        <w:t>prodit.</w:t>
      </w:r>
      <w:r>
        <w:rPr>
          <w:b w:val="0"/>
          <w:i w:val="0"/>
        </w:rPr>
        <w:t xml:space="preserve"> </w:t>
      </w:r>
      <w:hyperlink w:anchor="latin-record-0406">
        <w:r>
          <w:rPr>
            <w:color w:val="000000"/>
          </w:rPr>
          <w:t xml:space="preserve">exordiri / prodire</w:t>
        </w:r>
      </w:hyperlink>
      <w:r>
        <w:rPr>
          <w:b w:val="0"/>
          <w:i w:val="0"/>
        </w:rPr>
        <w:t>.</w:t>
      </w:r>
    </w:p>
    <w:p>
      <w:pPr>
        <w:widowControl/>
      </w:pPr>
      <w:r>
        <w:rPr>
          <w:b/>
          <w:i w:val="0"/>
        </w:rPr>
        <w:t>proditur.</w:t>
      </w:r>
      <w:r>
        <w:rPr>
          <w:b w:val="0"/>
          <w:i w:val="0"/>
        </w:rPr>
        <w:t xml:space="preserve"> </w:t>
      </w:r>
      <w:hyperlink w:anchor="latin-record-1259">
        <w:r>
          <w:rPr>
            <w:color w:val="000000"/>
          </w:rPr>
          <w:t xml:space="preserve">vigeo / prodo</w:t>
        </w:r>
      </w:hyperlink>
      <w:r>
        <w:rPr>
          <w:b w:val="0"/>
          <w:i w:val="0"/>
        </w:rPr>
        <w:t>.</w:t>
      </w:r>
    </w:p>
    <w:p>
      <w:pPr>
        <w:widowControl/>
      </w:pPr>
      <w:r>
        <w:rPr>
          <w:b/>
          <w:i w:val="0"/>
        </w:rPr>
        <w:t>producant.</w:t>
      </w:r>
      <w:r>
        <w:rPr>
          <w:b w:val="0"/>
          <w:i w:val="0"/>
        </w:rPr>
        <w:t xml:space="preserve"> </w:t>
      </w:r>
      <w:hyperlink w:anchor="latin-record-0943">
        <w:r>
          <w:rPr>
            <w:color w:val="000000"/>
          </w:rPr>
          <w:t xml:space="preserve">produce / become</w:t>
        </w:r>
      </w:hyperlink>
      <w:r>
        <w:rPr>
          <w:b w:val="0"/>
          <w:i w:val="0"/>
        </w:rPr>
        <w:t>.</w:t>
      </w:r>
    </w:p>
    <w:p>
      <w:pPr>
        <w:widowControl/>
      </w:pPr>
      <w:r>
        <w:rPr>
          <w:b/>
          <w:i w:val="0"/>
        </w:rPr>
        <w:t>producendis.</w:t>
      </w:r>
      <w:r>
        <w:rPr>
          <w:b w:val="0"/>
          <w:i w:val="0"/>
        </w:rPr>
        <w:t xml:space="preserve"> </w:t>
      </w:r>
      <w:hyperlink w:anchor="latin-record-0944">
        <w:r>
          <w:rPr>
            <w:color w:val="000000"/>
          </w:rPr>
          <w:t xml:space="preserve">producere / facere / gignere</w:t>
        </w:r>
      </w:hyperlink>
      <w:r>
        <w:rPr>
          <w:b w:val="0"/>
          <w:i w:val="0"/>
        </w:rPr>
        <w:t>.</w:t>
      </w:r>
    </w:p>
    <w:p>
      <w:pPr>
        <w:widowControl/>
      </w:pPr>
      <w:r>
        <w:rPr>
          <w:b/>
          <w:i w:val="0"/>
        </w:rPr>
        <w:t>producit.</w:t>
      </w:r>
      <w:r>
        <w:rPr>
          <w:b w:val="0"/>
          <w:i w:val="0"/>
        </w:rPr>
        <w:t xml:space="preserve"> </w:t>
      </w:r>
      <w:hyperlink w:anchor="latin-record-0484">
        <w:r>
          <w:rPr>
            <w:color w:val="000000"/>
          </w:rPr>
          <w:t xml:space="preserve">gignere / producere</w:t>
        </w:r>
      </w:hyperlink>
      <w:r>
        <w:rPr>
          <w:b w:val="0"/>
          <w:i w:val="0"/>
        </w:rPr>
        <w:t xml:space="preserve">; </w:t>
      </w:r>
      <w:hyperlink w:anchor="latin-record-0944">
        <w:r>
          <w:rPr>
            <w:color w:val="000000"/>
          </w:rPr>
          <w:t xml:space="preserve">producere / facere / gignere</w:t>
        </w:r>
      </w:hyperlink>
      <w:r>
        <w:rPr>
          <w:b w:val="0"/>
          <w:i w:val="0"/>
        </w:rPr>
        <w:t>.</w:t>
      </w:r>
    </w:p>
    <w:p>
      <w:pPr>
        <w:widowControl/>
      </w:pPr>
      <w:r>
        <w:rPr>
          <w:b/>
          <w:i w:val="0"/>
        </w:rPr>
        <w:t>profana.</w:t>
      </w:r>
      <w:r>
        <w:rPr>
          <w:b w:val="0"/>
          <w:i w:val="0"/>
        </w:rPr>
        <w:t xml:space="preserve"> </w:t>
      </w:r>
      <w:hyperlink w:anchor="latin-record-0375">
        <w:r>
          <w:rPr>
            <w:color w:val="000000"/>
          </w:rPr>
          <w:t xml:space="preserve">error / impius / profanus</w:t>
        </w:r>
      </w:hyperlink>
      <w:r>
        <w:rPr>
          <w:b w:val="0"/>
          <w:i w:val="0"/>
        </w:rPr>
        <w:t>.</w:t>
      </w:r>
    </w:p>
    <w:p>
      <w:pPr>
        <w:widowControl/>
      </w:pPr>
      <w:r>
        <w:rPr>
          <w:b/>
          <w:i w:val="0"/>
        </w:rPr>
        <w:t>profectio.</w:t>
      </w:r>
      <w:r>
        <w:rPr>
          <w:b w:val="0"/>
          <w:i w:val="0"/>
        </w:rPr>
        <w:t xml:space="preserve"> </w:t>
      </w:r>
      <w:hyperlink w:anchor="latin-record-0272">
        <w:r>
          <w:rPr>
            <w:color w:val="000000"/>
          </w:rPr>
          <w:t xml:space="preserve">conversio / profectio</w:t>
        </w:r>
      </w:hyperlink>
      <w:r>
        <w:rPr>
          <w:b w:val="0"/>
          <w:i w:val="0"/>
        </w:rPr>
        <w:t>.</w:t>
      </w:r>
    </w:p>
    <w:p>
      <w:pPr>
        <w:widowControl/>
      </w:pPr>
      <w:r>
        <w:rPr>
          <w:b/>
          <w:i w:val="0"/>
        </w:rPr>
        <w:t>proficere.</w:t>
      </w:r>
      <w:r>
        <w:rPr>
          <w:b w:val="0"/>
          <w:i w:val="0"/>
        </w:rPr>
        <w:t xml:space="preserve"> </w:t>
      </w:r>
      <w:hyperlink w:anchor="latin-record-0945">
        <w:r>
          <w:rPr>
            <w:color w:val="000000"/>
          </w:rPr>
          <w:t xml:space="preserve">proficio / adipiscor</w:t>
        </w:r>
      </w:hyperlink>
      <w:r>
        <w:rPr>
          <w:b w:val="0"/>
          <w:i w:val="0"/>
        </w:rPr>
        <w:t>.</w:t>
      </w:r>
    </w:p>
    <w:p>
      <w:pPr>
        <w:widowControl/>
      </w:pPr>
      <w:r>
        <w:rPr>
          <w:b/>
          <w:i w:val="0"/>
        </w:rPr>
        <w:t>proficiendi.</w:t>
      </w:r>
      <w:r>
        <w:rPr>
          <w:b w:val="0"/>
          <w:i w:val="0"/>
        </w:rPr>
        <w:t xml:space="preserve"> </w:t>
      </w:r>
      <w:hyperlink w:anchor="latin-record-0945">
        <w:r>
          <w:rPr>
            <w:color w:val="000000"/>
          </w:rPr>
          <w:t xml:space="preserve">proficio / adipiscor</w:t>
        </w:r>
      </w:hyperlink>
      <w:r>
        <w:rPr>
          <w:b w:val="0"/>
          <w:i w:val="0"/>
        </w:rPr>
        <w:t>.</w:t>
      </w:r>
    </w:p>
    <w:p>
      <w:pPr>
        <w:widowControl/>
      </w:pPr>
      <w:r>
        <w:rPr>
          <w:b/>
          <w:i w:val="0"/>
        </w:rPr>
        <w:t>proficiscitur.</w:t>
      </w:r>
      <w:r>
        <w:rPr>
          <w:b w:val="0"/>
          <w:i w:val="0"/>
        </w:rPr>
        <w:t xml:space="preserve"> </w:t>
      </w:r>
      <w:hyperlink w:anchor="latin-record-0946">
        <w:r>
          <w:rPr>
            <w:color w:val="000000"/>
          </w:rPr>
          <w:t xml:space="preserve">proficisci</w:t>
        </w:r>
      </w:hyperlink>
      <w:r>
        <w:rPr>
          <w:b w:val="0"/>
          <w:i w:val="0"/>
        </w:rPr>
        <w:t>.</w:t>
      </w:r>
    </w:p>
    <w:p>
      <w:pPr>
        <w:widowControl/>
      </w:pPr>
      <w:r>
        <w:rPr>
          <w:b/>
          <w:i w:val="0"/>
        </w:rPr>
        <w:t>proficiscuntur.</w:t>
      </w:r>
      <w:r>
        <w:rPr>
          <w:b w:val="0"/>
          <w:i w:val="0"/>
        </w:rPr>
        <w:t xml:space="preserve"> </w:t>
      </w:r>
      <w:hyperlink w:anchor="latin-record-0946">
        <w:r>
          <w:rPr>
            <w:color w:val="000000"/>
          </w:rPr>
          <w:t xml:space="preserve">proficisci</w:t>
        </w:r>
      </w:hyperlink>
      <w:r>
        <w:rPr>
          <w:b w:val="0"/>
          <w:i w:val="0"/>
        </w:rPr>
        <w:t>.</w:t>
      </w:r>
    </w:p>
    <w:p>
      <w:pPr>
        <w:widowControl/>
      </w:pPr>
      <w:r>
        <w:rPr>
          <w:b/>
          <w:i w:val="0"/>
        </w:rPr>
        <w:t>proficit.</w:t>
      </w:r>
      <w:r>
        <w:rPr>
          <w:b w:val="0"/>
          <w:i w:val="0"/>
        </w:rPr>
        <w:t xml:space="preserve"> </w:t>
      </w:r>
      <w:hyperlink w:anchor="latin-record-0939">
        <w:r>
          <w:rPr>
            <w:color w:val="000000"/>
          </w:rPr>
          <w:t xml:space="preserve">procedere / progredi / proficere</w:t>
        </w:r>
      </w:hyperlink>
      <w:r>
        <w:rPr>
          <w:b w:val="0"/>
          <w:i w:val="0"/>
        </w:rPr>
        <w:t>.</w:t>
      </w:r>
    </w:p>
    <w:p>
      <w:pPr>
        <w:widowControl/>
      </w:pPr>
      <w:r>
        <w:rPr>
          <w:b/>
          <w:i w:val="0"/>
        </w:rPr>
        <w:t>profundum.</w:t>
      </w:r>
      <w:r>
        <w:rPr>
          <w:b w:val="0"/>
          <w:i w:val="0"/>
        </w:rPr>
        <w:t xml:space="preserve"> </w:t>
      </w:r>
      <w:hyperlink w:anchor="latin-record-0644">
        <w:r>
          <w:rPr>
            <w:color w:val="000000"/>
          </w:rPr>
          <w:t xml:space="preserve">linea / longum / latum / profundum</w:t>
        </w:r>
      </w:hyperlink>
      <w:r>
        <w:rPr>
          <w:b w:val="0"/>
          <w:i w:val="0"/>
        </w:rPr>
        <w:t xml:space="preserve">; </w:t>
      </w:r>
      <w:hyperlink w:anchor="latin-record-0649">
        <w:r>
          <w:rPr>
            <w:color w:val="000000"/>
          </w:rPr>
          <w:t xml:space="preserve">longum / latum / profundum</w:t>
        </w:r>
      </w:hyperlink>
      <w:r>
        <w:rPr>
          <w:b w:val="0"/>
          <w:i w:val="0"/>
        </w:rPr>
        <w:t>.</w:t>
      </w:r>
    </w:p>
    <w:p>
      <w:pPr>
        <w:widowControl/>
      </w:pPr>
      <w:r>
        <w:rPr>
          <w:b/>
          <w:i w:val="0"/>
        </w:rPr>
        <w:t>progredi.</w:t>
      </w:r>
      <w:r>
        <w:rPr>
          <w:b w:val="0"/>
          <w:i w:val="0"/>
        </w:rPr>
        <w:t xml:space="preserve"> </w:t>
      </w:r>
      <w:hyperlink w:anchor="latin-record-0939">
        <w:r>
          <w:rPr>
            <w:color w:val="000000"/>
          </w:rPr>
          <w:t xml:space="preserve">procedere / progredi / proficere</w:t>
        </w:r>
      </w:hyperlink>
      <w:r>
        <w:rPr>
          <w:b w:val="0"/>
          <w:i w:val="0"/>
        </w:rPr>
        <w:t>.</w:t>
      </w:r>
    </w:p>
    <w:p>
      <w:pPr>
        <w:widowControl/>
      </w:pPr>
      <w:r>
        <w:rPr>
          <w:b/>
          <w:i w:val="0"/>
        </w:rPr>
        <w:t>progrediantur.</w:t>
      </w:r>
      <w:r>
        <w:rPr>
          <w:b w:val="0"/>
          <w:i w:val="0"/>
        </w:rPr>
        <w:t xml:space="preserve"> </w:t>
      </w:r>
      <w:hyperlink w:anchor="latin-record-0939">
        <w:r>
          <w:rPr>
            <w:color w:val="000000"/>
          </w:rPr>
          <w:t xml:space="preserve">procedere / progredi / proficere</w:t>
        </w:r>
      </w:hyperlink>
      <w:r>
        <w:rPr>
          <w:b w:val="0"/>
          <w:i w:val="0"/>
        </w:rPr>
        <w:t>.</w:t>
      </w:r>
    </w:p>
    <w:p>
      <w:pPr>
        <w:widowControl/>
      </w:pPr>
      <w:r>
        <w:rPr>
          <w:b/>
          <w:i w:val="0"/>
        </w:rPr>
        <w:t>progreditur.</w:t>
      </w:r>
      <w:r>
        <w:rPr>
          <w:b w:val="0"/>
          <w:i w:val="0"/>
        </w:rPr>
        <w:t xml:space="preserve"> </w:t>
      </w:r>
      <w:hyperlink w:anchor="latin-record-0939">
        <w:r>
          <w:rPr>
            <w:color w:val="000000"/>
          </w:rPr>
          <w:t xml:space="preserve">procedere / progredi / proficere</w:t>
        </w:r>
      </w:hyperlink>
      <w:r>
        <w:rPr>
          <w:b w:val="0"/>
          <w:i w:val="0"/>
        </w:rPr>
        <w:t>.</w:t>
      </w:r>
    </w:p>
    <w:p>
      <w:pPr>
        <w:widowControl/>
      </w:pPr>
      <w:r>
        <w:rPr>
          <w:b/>
          <w:i w:val="0"/>
        </w:rPr>
        <w:t>progressionem.</w:t>
      </w:r>
      <w:r>
        <w:rPr>
          <w:b w:val="0"/>
          <w:i w:val="0"/>
        </w:rPr>
        <w:t xml:space="preserve"> </w:t>
      </w:r>
      <w:hyperlink w:anchor="latin-record-0939">
        <w:r>
          <w:rPr>
            <w:color w:val="000000"/>
          </w:rPr>
          <w:t xml:space="preserve">procedere / progredi / proficere</w:t>
        </w:r>
      </w:hyperlink>
      <w:r>
        <w:rPr>
          <w:b w:val="0"/>
          <w:i w:val="0"/>
        </w:rPr>
        <w:t>.</w:t>
      </w:r>
    </w:p>
    <w:p>
      <w:pPr>
        <w:widowControl/>
      </w:pPr>
      <w:r>
        <w:rPr>
          <w:b/>
          <w:i w:val="0"/>
        </w:rPr>
        <w:t>prohibeatur.</w:t>
      </w:r>
      <w:r>
        <w:rPr>
          <w:b w:val="0"/>
          <w:i w:val="0"/>
        </w:rPr>
        <w:t xml:space="preserve"> </w:t>
      </w:r>
      <w:hyperlink w:anchor="latin-record-0948">
        <w:r>
          <w:rPr>
            <w:color w:val="000000"/>
          </w:rPr>
          <w:t xml:space="preserve">prohibere / claudere / includere</w:t>
        </w:r>
      </w:hyperlink>
      <w:r>
        <w:rPr>
          <w:b w:val="0"/>
          <w:i w:val="0"/>
        </w:rPr>
        <w:t>.</w:t>
      </w:r>
    </w:p>
    <w:p>
      <w:pPr>
        <w:widowControl/>
      </w:pPr>
      <w:r>
        <w:rPr>
          <w:b/>
          <w:i w:val="0"/>
        </w:rPr>
        <w:t>prohibent.</w:t>
      </w:r>
      <w:r>
        <w:rPr>
          <w:b w:val="0"/>
          <w:i w:val="0"/>
        </w:rPr>
        <w:t xml:space="preserve"> </w:t>
      </w:r>
      <w:hyperlink w:anchor="latin-record-0542">
        <w:r>
          <w:rPr>
            <w:color w:val="000000"/>
          </w:rPr>
          <w:t xml:space="preserve">impleo / prohibeo</w:t>
        </w:r>
      </w:hyperlink>
      <w:r>
        <w:rPr>
          <w:b w:val="0"/>
          <w:i w:val="0"/>
        </w:rPr>
        <w:t>.</w:t>
      </w:r>
    </w:p>
    <w:p>
      <w:pPr>
        <w:widowControl/>
      </w:pPr>
      <w:r>
        <w:rPr>
          <w:b/>
          <w:i w:val="0"/>
        </w:rPr>
        <w:t>prohiberet.</w:t>
      </w:r>
      <w:r>
        <w:rPr>
          <w:b w:val="0"/>
          <w:i w:val="0"/>
        </w:rPr>
        <w:t xml:space="preserve"> </w:t>
      </w:r>
      <w:hyperlink w:anchor="latin-record-0948">
        <w:r>
          <w:rPr>
            <w:color w:val="000000"/>
          </w:rPr>
          <w:t xml:space="preserve">prohibere / claudere / includere</w:t>
        </w:r>
      </w:hyperlink>
      <w:r>
        <w:rPr>
          <w:b w:val="0"/>
          <w:i w:val="0"/>
        </w:rPr>
        <w:t>.</w:t>
      </w:r>
    </w:p>
    <w:p>
      <w:pPr>
        <w:widowControl/>
      </w:pPr>
      <w:r>
        <w:rPr>
          <w:b/>
          <w:i w:val="0"/>
        </w:rPr>
        <w:t>prohibet.</w:t>
      </w:r>
      <w:r>
        <w:rPr>
          <w:b w:val="0"/>
          <w:i w:val="0"/>
        </w:rPr>
        <w:t xml:space="preserve"> </w:t>
      </w:r>
      <w:hyperlink w:anchor="latin-record-0948">
        <w:r>
          <w:rPr>
            <w:color w:val="000000"/>
          </w:rPr>
          <w:t xml:space="preserve">prohibere / claudere / includere</w:t>
        </w:r>
      </w:hyperlink>
      <w:r>
        <w:rPr>
          <w:b w:val="0"/>
          <w:i w:val="0"/>
        </w:rPr>
        <w:t>.</w:t>
      </w:r>
    </w:p>
    <w:p>
      <w:pPr>
        <w:widowControl/>
      </w:pPr>
      <w:r>
        <w:rPr>
          <w:b/>
          <w:i w:val="0"/>
        </w:rPr>
        <w:t>prohibetur.</w:t>
      </w:r>
      <w:r>
        <w:rPr>
          <w:b w:val="0"/>
          <w:i w:val="0"/>
        </w:rPr>
        <w:t xml:space="preserve"> </w:t>
      </w:r>
      <w:hyperlink w:anchor="latin-record-0948">
        <w:r>
          <w:rPr>
            <w:color w:val="000000"/>
          </w:rPr>
          <w:t xml:space="preserve">prohibere / claudere / includere</w:t>
        </w:r>
      </w:hyperlink>
      <w:r>
        <w:rPr>
          <w:b w:val="0"/>
          <w:i w:val="0"/>
        </w:rPr>
        <w:t>.</w:t>
      </w:r>
    </w:p>
    <w:p>
      <w:pPr>
        <w:widowControl/>
      </w:pPr>
      <w:r>
        <w:rPr>
          <w:b/>
          <w:i w:val="0"/>
        </w:rPr>
        <w:t>prolem.</w:t>
      </w:r>
      <w:r>
        <w:rPr>
          <w:b w:val="0"/>
          <w:i w:val="0"/>
        </w:rPr>
        <w:t xml:space="preserve"> </w:t>
      </w:r>
      <w:hyperlink w:anchor="latin-record-0949">
        <w:r>
          <w:rPr>
            <w:color w:val="000000"/>
          </w:rPr>
          <w:t xml:space="preserve">proles / gremium</w:t>
        </w:r>
      </w:hyperlink>
      <w:r>
        <w:rPr>
          <w:b w:val="0"/>
          <w:i w:val="0"/>
        </w:rPr>
        <w:t>.</w:t>
      </w:r>
    </w:p>
    <w:p>
      <w:pPr>
        <w:widowControl/>
      </w:pPr>
      <w:r>
        <w:rPr>
          <w:b/>
          <w:i w:val="0"/>
        </w:rPr>
        <w:t>promat.</w:t>
      </w:r>
      <w:r>
        <w:rPr>
          <w:b w:val="0"/>
          <w:i w:val="0"/>
        </w:rPr>
        <w:t xml:space="preserve"> </w:t>
      </w:r>
      <w:hyperlink w:anchor="latin-record-0950">
        <w:r>
          <w:rPr>
            <w:color w:val="000000"/>
          </w:rPr>
          <w:t xml:space="preserve">promere / praevalere</w:t>
        </w:r>
      </w:hyperlink>
      <w:r>
        <w:rPr>
          <w:b w:val="0"/>
          <w:i w:val="0"/>
        </w:rPr>
        <w:t>.</w:t>
      </w:r>
    </w:p>
    <w:p>
      <w:pPr>
        <w:widowControl/>
      </w:pPr>
      <w:r>
        <w:rPr>
          <w:b/>
          <w:i w:val="0"/>
        </w:rPr>
        <w:t>promptissimum.</w:t>
      </w:r>
      <w:r>
        <w:rPr>
          <w:b w:val="0"/>
          <w:i w:val="0"/>
        </w:rPr>
        <w:t xml:space="preserve"> </w:t>
      </w:r>
      <w:hyperlink w:anchor="latin-record-0951">
        <w:r>
          <w:rPr>
            <w:color w:val="000000"/>
          </w:rPr>
          <w:t xml:space="preserve">promptus / agilis</w:t>
        </w:r>
      </w:hyperlink>
      <w:r>
        <w:rPr>
          <w:b w:val="0"/>
          <w:i w:val="0"/>
        </w:rPr>
        <w:t>.</w:t>
      </w:r>
    </w:p>
    <w:p>
      <w:pPr>
        <w:widowControl/>
      </w:pPr>
      <w:r>
        <w:rPr>
          <w:b/>
          <w:i w:val="0"/>
        </w:rPr>
        <w:t>propagandae.</w:t>
      </w:r>
      <w:r>
        <w:rPr>
          <w:b w:val="0"/>
          <w:i w:val="0"/>
        </w:rPr>
        <w:t xml:space="preserve"> </w:t>
      </w:r>
      <w:hyperlink w:anchor="latin-record-0953">
        <w:r>
          <w:rPr>
            <w:color w:val="000000"/>
          </w:rPr>
          <w:t xml:space="preserve">propago / facultas</w:t>
        </w:r>
      </w:hyperlink>
      <w:r>
        <w:rPr>
          <w:b w:val="0"/>
          <w:i w:val="0"/>
        </w:rPr>
        <w:t>.</w:t>
      </w:r>
    </w:p>
    <w:p>
      <w:pPr>
        <w:widowControl/>
      </w:pPr>
      <w:r>
        <w:rPr>
          <w:b/>
          <w:i w:val="0"/>
        </w:rPr>
        <w:t>propagare.</w:t>
      </w:r>
      <w:r>
        <w:rPr>
          <w:b w:val="0"/>
          <w:i w:val="0"/>
        </w:rPr>
        <w:t xml:space="preserve"> </w:t>
      </w:r>
      <w:hyperlink w:anchor="latin-record-0952">
        <w:r>
          <w:rPr>
            <w:color w:val="000000"/>
          </w:rPr>
          <w:t xml:space="preserve">propagare / amplificare / dilatare</w:t>
        </w:r>
      </w:hyperlink>
      <w:r>
        <w:rPr>
          <w:b w:val="0"/>
          <w:i w:val="0"/>
        </w:rPr>
        <w:t>.</w:t>
      </w:r>
    </w:p>
    <w:p>
      <w:pPr>
        <w:widowControl/>
      </w:pPr>
      <w:r>
        <w:rPr>
          <w:b/>
          <w:i w:val="0"/>
        </w:rPr>
        <w:t>propagat.</w:t>
      </w:r>
      <w:r>
        <w:rPr>
          <w:b w:val="0"/>
          <w:i w:val="0"/>
        </w:rPr>
        <w:t xml:space="preserve"> </w:t>
      </w:r>
      <w:hyperlink w:anchor="latin-record-0952">
        <w:r>
          <w:rPr>
            <w:color w:val="000000"/>
          </w:rPr>
          <w:t xml:space="preserve">propagare / amplificare / dilatare</w:t>
        </w:r>
      </w:hyperlink>
      <w:r>
        <w:rPr>
          <w:b w:val="0"/>
          <w:i w:val="0"/>
        </w:rPr>
        <w:t>.</w:t>
      </w:r>
    </w:p>
    <w:p>
      <w:pPr>
        <w:widowControl/>
      </w:pPr>
      <w:r>
        <w:rPr>
          <w:b/>
          <w:i w:val="0"/>
        </w:rPr>
        <w:t>propagatione.</w:t>
      </w:r>
      <w:r>
        <w:rPr>
          <w:b w:val="0"/>
          <w:i w:val="0"/>
        </w:rPr>
        <w:t xml:space="preserve"> </w:t>
      </w:r>
      <w:hyperlink w:anchor="latin-record-0993">
        <w:r>
          <w:rPr>
            <w:color w:val="000000"/>
          </w:rPr>
          <w:t xml:space="preserve">putrefactio / propagatio</w:t>
        </w:r>
      </w:hyperlink>
      <w:r>
        <w:rPr>
          <w:b w:val="0"/>
          <w:i w:val="0"/>
        </w:rPr>
        <w:t>.</w:t>
      </w:r>
    </w:p>
    <w:p>
      <w:pPr>
        <w:widowControl/>
      </w:pPr>
      <w:r>
        <w:rPr>
          <w:b/>
          <w:i w:val="0"/>
        </w:rPr>
        <w:t>propagatur.</w:t>
      </w:r>
      <w:r>
        <w:rPr>
          <w:b w:val="0"/>
          <w:i w:val="0"/>
        </w:rPr>
        <w:t xml:space="preserve"> </w:t>
      </w:r>
      <w:hyperlink w:anchor="latin-record-0952">
        <w:r>
          <w:rPr>
            <w:color w:val="000000"/>
          </w:rPr>
          <w:t xml:space="preserve">propagare / amplificare / dilatare</w:t>
        </w:r>
      </w:hyperlink>
      <w:r>
        <w:rPr>
          <w:b w:val="0"/>
          <w:i w:val="0"/>
        </w:rPr>
        <w:t>.</w:t>
      </w:r>
    </w:p>
    <w:p>
      <w:pPr>
        <w:widowControl/>
      </w:pPr>
      <w:r>
        <w:rPr>
          <w:b/>
          <w:i w:val="0"/>
        </w:rPr>
        <w:t>propinqua.</w:t>
      </w:r>
      <w:r>
        <w:rPr>
          <w:b w:val="0"/>
          <w:i w:val="0"/>
        </w:rPr>
        <w:t xml:space="preserve"> </w:t>
      </w:r>
      <w:hyperlink w:anchor="latin-record-1175">
        <w:r>
          <w:rPr>
            <w:color w:val="000000"/>
          </w:rPr>
          <w:t xml:space="preserve">superior / inferior / propinquus</w:t>
        </w:r>
      </w:hyperlink>
      <w:r>
        <w:rPr>
          <w:b w:val="0"/>
          <w:i w:val="0"/>
        </w:rPr>
        <w:t>.</w:t>
      </w:r>
    </w:p>
    <w:p>
      <w:pPr>
        <w:widowControl/>
      </w:pPr>
      <w:r>
        <w:rPr>
          <w:b/>
          <w:i w:val="0"/>
        </w:rPr>
        <w:t>propinquas.</w:t>
      </w:r>
      <w:r>
        <w:rPr>
          <w:b w:val="0"/>
          <w:i w:val="0"/>
        </w:rPr>
        <w:t xml:space="preserve"> </w:t>
      </w:r>
      <w:hyperlink w:anchor="latin-record-0955">
        <w:r>
          <w:rPr>
            <w:color w:val="000000"/>
          </w:rPr>
          <w:t xml:space="preserve">propinquo / propinquus</w:t>
        </w:r>
      </w:hyperlink>
      <w:r>
        <w:rPr>
          <w:b w:val="0"/>
          <w:i w:val="0"/>
        </w:rPr>
        <w:t>.</w:t>
      </w:r>
    </w:p>
    <w:p>
      <w:pPr>
        <w:widowControl/>
      </w:pPr>
      <w:r>
        <w:rPr>
          <w:b/>
          <w:i w:val="0"/>
        </w:rPr>
        <w:t>propinquat.</w:t>
      </w:r>
      <w:r>
        <w:rPr>
          <w:b w:val="0"/>
          <w:i w:val="0"/>
        </w:rPr>
        <w:t xml:space="preserve"> </w:t>
      </w:r>
      <w:hyperlink w:anchor="latin-record-0955">
        <w:r>
          <w:rPr>
            <w:color w:val="000000"/>
          </w:rPr>
          <w:t xml:space="preserve">propinquo / propinquus</w:t>
        </w:r>
      </w:hyperlink>
      <w:r>
        <w:rPr>
          <w:b w:val="0"/>
          <w:i w:val="0"/>
        </w:rPr>
        <w:t>.</w:t>
      </w:r>
    </w:p>
    <w:p>
      <w:pPr>
        <w:widowControl/>
      </w:pPr>
      <w:r>
        <w:rPr>
          <w:b/>
          <w:i w:val="0"/>
        </w:rPr>
        <w:t>propinquior.</w:t>
      </w:r>
      <w:r>
        <w:rPr>
          <w:b w:val="0"/>
          <w:i w:val="0"/>
        </w:rPr>
        <w:t xml:space="preserve"> </w:t>
      </w:r>
      <w:hyperlink w:anchor="latin-record-0956">
        <w:r>
          <w:rPr>
            <w:color w:val="000000"/>
          </w:rPr>
          <w:t xml:space="preserve">propinquus / conveniens</w:t>
        </w:r>
      </w:hyperlink>
      <w:r>
        <w:rPr>
          <w:b w:val="0"/>
          <w:i w:val="0"/>
        </w:rPr>
        <w:t xml:space="preserve">; </w:t>
      </w:r>
      <w:hyperlink w:anchor="latin-record-1175">
        <w:r>
          <w:rPr>
            <w:color w:val="000000"/>
          </w:rPr>
          <w:t xml:space="preserve">superior / inferior / propinquus</w:t>
        </w:r>
      </w:hyperlink>
      <w:r>
        <w:rPr>
          <w:b w:val="0"/>
          <w:i w:val="0"/>
        </w:rPr>
        <w:t>.</w:t>
      </w:r>
    </w:p>
    <w:p>
      <w:pPr>
        <w:widowControl/>
      </w:pPr>
      <w:r>
        <w:rPr>
          <w:b/>
          <w:i w:val="0"/>
        </w:rPr>
        <w:t>propinquius.</w:t>
      </w:r>
      <w:r>
        <w:rPr>
          <w:b w:val="0"/>
          <w:i w:val="0"/>
        </w:rPr>
        <w:t xml:space="preserve"> </w:t>
      </w:r>
      <w:hyperlink w:anchor="latin-record-0955">
        <w:r>
          <w:rPr>
            <w:color w:val="000000"/>
          </w:rPr>
          <w:t xml:space="preserve">propinquo / propinquus</w:t>
        </w:r>
      </w:hyperlink>
      <w:r>
        <w:rPr>
          <w:b w:val="0"/>
          <w:i w:val="0"/>
        </w:rPr>
        <w:t xml:space="preserve">; </w:t>
      </w:r>
      <w:hyperlink w:anchor="latin-record-1175">
        <w:r>
          <w:rPr>
            <w:color w:val="000000"/>
          </w:rPr>
          <w:t xml:space="preserve">superior / inferior / propinquus</w:t>
        </w:r>
      </w:hyperlink>
      <w:r>
        <w:rPr>
          <w:b w:val="0"/>
          <w:i w:val="0"/>
        </w:rPr>
        <w:t>.</w:t>
      </w:r>
    </w:p>
    <w:p>
      <w:pPr>
        <w:widowControl/>
      </w:pPr>
      <w:r>
        <w:rPr>
          <w:b/>
          <w:i w:val="0"/>
        </w:rPr>
        <w:t>propitium.</w:t>
      </w:r>
      <w:r>
        <w:rPr>
          <w:b w:val="0"/>
          <w:i w:val="0"/>
        </w:rPr>
        <w:t xml:space="preserve"> </w:t>
      </w:r>
      <w:hyperlink w:anchor="latin-record-0957">
        <w:r>
          <w:rPr>
            <w:color w:val="000000"/>
          </w:rPr>
          <w:t xml:space="preserve">propitius / punire</w:t>
        </w:r>
      </w:hyperlink>
      <w:r>
        <w:rPr>
          <w:b w:val="0"/>
          <w:i w:val="0"/>
        </w:rPr>
        <w:t>.</w:t>
      </w:r>
    </w:p>
    <w:p>
      <w:pPr>
        <w:widowControl/>
      </w:pPr>
      <w:r>
        <w:rPr>
          <w:b/>
          <w:i w:val="0"/>
        </w:rPr>
        <w:t>propius.</w:t>
      </w:r>
      <w:r>
        <w:rPr>
          <w:b w:val="0"/>
          <w:i w:val="0"/>
        </w:rPr>
        <w:t xml:space="preserve"> </w:t>
      </w:r>
      <w:hyperlink w:anchor="latin-record-0954">
        <w:r>
          <w:rPr>
            <w:color w:val="000000"/>
          </w:rPr>
          <w:t xml:space="preserve">prope / disto</w:t>
        </w:r>
      </w:hyperlink>
      <w:r>
        <w:rPr>
          <w:b w:val="0"/>
          <w:i w:val="0"/>
        </w:rPr>
        <w:t>.</w:t>
      </w:r>
    </w:p>
    <w:p>
      <w:pPr>
        <w:widowControl/>
      </w:pPr>
      <w:r>
        <w:rPr>
          <w:b/>
          <w:i w:val="0"/>
        </w:rPr>
        <w:t>proportio.</w:t>
      </w:r>
      <w:r>
        <w:rPr>
          <w:b w:val="0"/>
          <w:i w:val="0"/>
        </w:rPr>
        <w:t xml:space="preserve"> </w:t>
      </w:r>
      <w:hyperlink w:anchor="latin-record-0204">
        <w:r>
          <w:rPr>
            <w:color w:val="000000"/>
          </w:rPr>
          <w:t xml:space="preserve">comparare / proportio</w:t>
        </w:r>
      </w:hyperlink>
      <w:r>
        <w:rPr>
          <w:b w:val="0"/>
          <w:i w:val="0"/>
        </w:rPr>
        <w:t>.</w:t>
      </w:r>
    </w:p>
    <w:p>
      <w:pPr>
        <w:widowControl/>
      </w:pPr>
      <w:r>
        <w:rPr>
          <w:b/>
          <w:i w:val="0"/>
        </w:rPr>
        <w:t>proportionem.</w:t>
      </w:r>
      <w:r>
        <w:rPr>
          <w:b w:val="0"/>
          <w:i w:val="0"/>
        </w:rPr>
        <w:t xml:space="preserve"> </w:t>
      </w:r>
      <w:hyperlink w:anchor="latin-record-0486">
        <w:r>
          <w:rPr>
            <w:color w:val="000000"/>
          </w:rPr>
          <w:t xml:space="preserve">gradus / mensura / proportio</w:t>
        </w:r>
      </w:hyperlink>
      <w:r>
        <w:rPr>
          <w:b w:val="0"/>
          <w:i w:val="0"/>
        </w:rPr>
        <w:t>.</w:t>
      </w:r>
    </w:p>
    <w:p>
      <w:pPr>
        <w:widowControl/>
      </w:pPr>
      <w:r>
        <w:rPr>
          <w:b/>
          <w:i w:val="0"/>
        </w:rPr>
        <w:t>proportionibusque.</w:t>
      </w:r>
      <w:r>
        <w:rPr>
          <w:b w:val="0"/>
          <w:i w:val="0"/>
        </w:rPr>
        <w:t xml:space="preserve"> </w:t>
      </w:r>
      <w:hyperlink w:anchor="latin-record-0958">
        <w:r>
          <w:rPr>
            <w:color w:val="000000"/>
          </w:rPr>
          <w:t xml:space="preserve">proportio / consonare</w:t>
        </w:r>
      </w:hyperlink>
      <w:r>
        <w:rPr>
          <w:b w:val="0"/>
          <w:i w:val="0"/>
        </w:rPr>
        <w:t>.</w:t>
      </w:r>
    </w:p>
    <w:p>
      <w:pPr>
        <w:widowControl/>
      </w:pPr>
      <w:r>
        <w:rPr>
          <w:b/>
          <w:i w:val="0"/>
        </w:rPr>
        <w:t>proposito.</w:t>
      </w:r>
      <w:r>
        <w:rPr>
          <w:b w:val="0"/>
          <w:i w:val="0"/>
        </w:rPr>
        <w:t xml:space="preserve"> </w:t>
      </w:r>
      <w:hyperlink w:anchor="latin-record-0252">
        <w:r>
          <w:rPr>
            <w:color w:val="000000"/>
          </w:rPr>
          <w:t xml:space="preserve">consilium / propositum</w:t>
        </w:r>
      </w:hyperlink>
      <w:r>
        <w:rPr>
          <w:b w:val="0"/>
          <w:i w:val="0"/>
        </w:rPr>
        <w:t xml:space="preserve">; </w:t>
      </w:r>
      <w:hyperlink w:anchor="latin-record-0959">
        <w:r>
          <w:rPr>
            <w:color w:val="000000"/>
          </w:rPr>
          <w:t xml:space="preserve">propositum</w:t>
        </w:r>
      </w:hyperlink>
      <w:r>
        <w:rPr>
          <w:b w:val="0"/>
          <w:i w:val="0"/>
        </w:rPr>
        <w:t xml:space="preserve">; </w:t>
      </w:r>
      <w:hyperlink w:anchor="latin-record-0960">
        <w:r>
          <w:rPr>
            <w:color w:val="000000"/>
          </w:rPr>
          <w:t xml:space="preserve">propositum / institutum</w:t>
        </w:r>
      </w:hyperlink>
      <w:r>
        <w:rPr>
          <w:b w:val="0"/>
          <w:i w:val="0"/>
        </w:rPr>
        <w:t>.</w:t>
      </w:r>
    </w:p>
    <w:p>
      <w:pPr>
        <w:widowControl/>
      </w:pPr>
      <w:r>
        <w:rPr>
          <w:b/>
          <w:i w:val="0"/>
        </w:rPr>
        <w:t>propositum.</w:t>
      </w:r>
      <w:r>
        <w:rPr>
          <w:b w:val="0"/>
          <w:i w:val="0"/>
        </w:rPr>
        <w:t xml:space="preserve"> </w:t>
      </w:r>
      <w:hyperlink w:anchor="latin-record-0959">
        <w:r>
          <w:rPr>
            <w:color w:val="000000"/>
          </w:rPr>
          <w:t xml:space="preserve">propositum</w:t>
        </w:r>
      </w:hyperlink>
      <w:r>
        <w:rPr>
          <w:b w:val="0"/>
          <w:i w:val="0"/>
        </w:rPr>
        <w:t>.</w:t>
      </w:r>
    </w:p>
    <w:p>
      <w:pPr>
        <w:widowControl/>
      </w:pPr>
      <w:r>
        <w:rPr>
          <w:b/>
          <w:i w:val="0"/>
        </w:rPr>
        <w:t>proposuimus.</w:t>
      </w:r>
      <w:r>
        <w:rPr>
          <w:b w:val="0"/>
          <w:i w:val="0"/>
        </w:rPr>
        <w:t xml:space="preserve"> </w:t>
      </w:r>
      <w:hyperlink w:anchor="latin-record-0959">
        <w:r>
          <w:rPr>
            <w:color w:val="000000"/>
          </w:rPr>
          <w:t xml:space="preserve">propositum</w:t>
        </w:r>
      </w:hyperlink>
      <w:r>
        <w:rPr>
          <w:b w:val="0"/>
          <w:i w:val="0"/>
        </w:rPr>
        <w:t>.</w:t>
      </w:r>
    </w:p>
    <w:p>
      <w:pPr>
        <w:widowControl/>
      </w:pPr>
      <w:r>
        <w:rPr>
          <w:b/>
          <w:i w:val="0"/>
        </w:rPr>
        <w:t>propria.</w:t>
      </w:r>
      <w:r>
        <w:rPr>
          <w:b w:val="0"/>
          <w:i w:val="0"/>
        </w:rPr>
        <w:t xml:space="preserve"> </w:t>
      </w:r>
      <w:hyperlink w:anchor="latin-record-0742">
        <w:r>
          <w:rPr>
            <w:color w:val="000000"/>
          </w:rPr>
          <w:t xml:space="preserve">natura communis / propria</w:t>
        </w:r>
      </w:hyperlink>
      <w:r>
        <w:rPr>
          <w:b w:val="0"/>
          <w:i w:val="0"/>
        </w:rPr>
        <w:t xml:space="preserve">; </w:t>
      </w:r>
      <w:hyperlink w:anchor="latin-record-0965">
        <w:r>
          <w:rPr>
            <w:color w:val="000000"/>
          </w:rPr>
          <w:t xml:space="preserve">proprius / proprietas</w:t>
        </w:r>
      </w:hyperlink>
      <w:r>
        <w:rPr>
          <w:b w:val="0"/>
          <w:i w:val="0"/>
        </w:rPr>
        <w:t>.</w:t>
      </w:r>
    </w:p>
    <w:p>
      <w:pPr>
        <w:widowControl/>
      </w:pPr>
      <w:r>
        <w:rPr>
          <w:b/>
          <w:i w:val="0"/>
        </w:rPr>
        <w:t>Propria.</w:t>
      </w:r>
      <w:r>
        <w:rPr>
          <w:b w:val="0"/>
          <w:i w:val="0"/>
        </w:rPr>
        <w:t xml:space="preserve"> </w:t>
      </w:r>
      <w:hyperlink w:anchor="latin-record-0965">
        <w:r>
          <w:rPr>
            <w:color w:val="000000"/>
          </w:rPr>
          <w:t xml:space="preserve">proprius / proprietas</w:t>
        </w:r>
      </w:hyperlink>
      <w:r>
        <w:rPr>
          <w:b w:val="0"/>
          <w:i w:val="0"/>
        </w:rPr>
        <w:t>.</w:t>
      </w:r>
    </w:p>
    <w:p>
      <w:pPr>
        <w:widowControl/>
      </w:pPr>
      <w:r>
        <w:rPr>
          <w:b/>
          <w:i w:val="0"/>
        </w:rPr>
        <w:t>Propriae.</w:t>
      </w:r>
      <w:r>
        <w:rPr>
          <w:b w:val="0"/>
          <w:i w:val="0"/>
        </w:rPr>
        <w:t xml:space="preserve"> </w:t>
      </w:r>
      <w:hyperlink w:anchor="latin-record-0962">
        <w:r>
          <w:rPr>
            <w:color w:val="000000"/>
          </w:rPr>
          <w:t xml:space="preserve">proprius</w:t>
        </w:r>
      </w:hyperlink>
      <w:r>
        <w:rPr>
          <w:b w:val="0"/>
          <w:i w:val="0"/>
        </w:rPr>
        <w:t>.</w:t>
      </w:r>
    </w:p>
    <w:p>
      <w:pPr>
        <w:widowControl/>
      </w:pPr>
      <w:r>
        <w:rPr>
          <w:b/>
          <w:i w:val="0"/>
        </w:rPr>
        <w:t>propriae.</w:t>
      </w:r>
      <w:r>
        <w:rPr>
          <w:b w:val="0"/>
          <w:i w:val="0"/>
        </w:rPr>
        <w:t xml:space="preserve"> </w:t>
      </w:r>
      <w:hyperlink w:anchor="latin-record-0965">
        <w:r>
          <w:rPr>
            <w:color w:val="000000"/>
          </w:rPr>
          <w:t xml:space="preserve">proprius / proprietas</w:t>
        </w:r>
      </w:hyperlink>
      <w:r>
        <w:rPr>
          <w:b w:val="0"/>
          <w:i w:val="0"/>
        </w:rPr>
        <w:t>.</w:t>
      </w:r>
    </w:p>
    <w:p>
      <w:pPr>
        <w:widowControl/>
      </w:pPr>
      <w:r>
        <w:rPr>
          <w:b/>
          <w:i w:val="0"/>
        </w:rPr>
        <w:t>propriam.</w:t>
      </w:r>
      <w:r>
        <w:rPr>
          <w:b w:val="0"/>
          <w:i w:val="0"/>
        </w:rPr>
        <w:t xml:space="preserve"> </w:t>
      </w:r>
      <w:hyperlink w:anchor="latin-record-0963">
        <w:r>
          <w:rPr>
            <w:color w:val="000000"/>
          </w:rPr>
          <w:t xml:space="preserve">proprius / communis</w:t>
        </w:r>
      </w:hyperlink>
      <w:r>
        <w:rPr>
          <w:b w:val="0"/>
          <w:i w:val="0"/>
        </w:rPr>
        <w:t xml:space="preserve">; </w:t>
      </w:r>
      <w:hyperlink w:anchor="latin-record-0964">
        <w:r>
          <w:rPr>
            <w:color w:val="000000"/>
          </w:rPr>
          <w:t xml:space="preserve">proprius / communis / posterior</w:t>
        </w:r>
      </w:hyperlink>
      <w:r>
        <w:rPr>
          <w:b w:val="0"/>
          <w:i w:val="0"/>
        </w:rPr>
        <w:t>.</w:t>
      </w:r>
    </w:p>
    <w:p>
      <w:pPr>
        <w:widowControl/>
      </w:pPr>
      <w:r>
        <w:rPr>
          <w:b/>
          <w:i w:val="0"/>
        </w:rPr>
        <w:t>proprias.</w:t>
      </w:r>
      <w:r>
        <w:rPr>
          <w:b w:val="0"/>
          <w:i w:val="0"/>
        </w:rPr>
        <w:t xml:space="preserve"> </w:t>
      </w:r>
      <w:hyperlink w:anchor="latin-record-0962">
        <w:r>
          <w:rPr>
            <w:color w:val="000000"/>
          </w:rPr>
          <w:t xml:space="preserve">proprius</w:t>
        </w:r>
      </w:hyperlink>
      <w:r>
        <w:rPr>
          <w:b w:val="0"/>
          <w:i w:val="0"/>
        </w:rPr>
        <w:t>.</w:t>
      </w:r>
    </w:p>
    <w:p>
      <w:pPr>
        <w:widowControl/>
      </w:pPr>
      <w:r>
        <w:rPr>
          <w:b/>
          <w:i w:val="0"/>
        </w:rPr>
        <w:t>Proprie.</w:t>
      </w:r>
      <w:r>
        <w:rPr>
          <w:b w:val="0"/>
          <w:i w:val="0"/>
        </w:rPr>
        <w:t xml:space="preserve"> </w:t>
      </w:r>
      <w:hyperlink w:anchor="latin-record-0084">
        <w:r>
          <w:rPr>
            <w:color w:val="000000"/>
          </w:rPr>
          <w:t xml:space="preserve">appellatio / nomen / proprie</w:t>
        </w:r>
      </w:hyperlink>
      <w:r>
        <w:rPr>
          <w:b w:val="0"/>
          <w:i w:val="0"/>
        </w:rPr>
        <w:t>.</w:t>
      </w:r>
    </w:p>
    <w:p>
      <w:pPr>
        <w:widowControl/>
      </w:pPr>
      <w:r>
        <w:rPr>
          <w:b/>
          <w:i w:val="0"/>
        </w:rPr>
        <w:t>proprietas.</w:t>
      </w:r>
      <w:r>
        <w:rPr>
          <w:b w:val="0"/>
          <w:i w:val="0"/>
        </w:rPr>
        <w:t xml:space="preserve"> </w:t>
      </w:r>
      <w:hyperlink w:anchor="latin-record-0961">
        <w:r>
          <w:rPr>
            <w:color w:val="000000"/>
          </w:rPr>
          <w:t xml:space="preserve">proprietas</w:t>
        </w:r>
      </w:hyperlink>
      <w:r>
        <w:rPr>
          <w:b w:val="0"/>
          <w:i w:val="0"/>
        </w:rPr>
        <w:t xml:space="preserve">; </w:t>
      </w:r>
      <w:hyperlink w:anchor="latin-record-0965">
        <w:r>
          <w:rPr>
            <w:color w:val="000000"/>
          </w:rPr>
          <w:t xml:space="preserve">proprius / proprietas</w:t>
        </w:r>
      </w:hyperlink>
      <w:r>
        <w:rPr>
          <w:b w:val="0"/>
          <w:i w:val="0"/>
        </w:rPr>
        <w:t>.</w:t>
      </w:r>
    </w:p>
    <w:p>
      <w:pPr>
        <w:widowControl/>
      </w:pPr>
      <w:r>
        <w:rPr>
          <w:b/>
          <w:i w:val="0"/>
        </w:rPr>
        <w:t>proprietate.</w:t>
      </w:r>
      <w:r>
        <w:rPr>
          <w:b w:val="0"/>
          <w:i w:val="0"/>
        </w:rPr>
        <w:t xml:space="preserve"> </w:t>
      </w:r>
      <w:hyperlink w:anchor="latin-record-0965">
        <w:r>
          <w:rPr>
            <w:color w:val="000000"/>
          </w:rPr>
          <w:t xml:space="preserve">proprius / proprietas</w:t>
        </w:r>
      </w:hyperlink>
      <w:r>
        <w:rPr>
          <w:b w:val="0"/>
          <w:i w:val="0"/>
        </w:rPr>
        <w:t>.</w:t>
      </w:r>
    </w:p>
    <w:p>
      <w:pPr>
        <w:widowControl/>
      </w:pPr>
      <w:r>
        <w:rPr>
          <w:b/>
          <w:i w:val="0"/>
        </w:rPr>
        <w:t>proprietatem.</w:t>
      </w:r>
      <w:r>
        <w:rPr>
          <w:b w:val="0"/>
          <w:i w:val="0"/>
        </w:rPr>
        <w:t xml:space="preserve"> </w:t>
      </w:r>
      <w:hyperlink w:anchor="latin-record-0961">
        <w:r>
          <w:rPr>
            <w:color w:val="000000"/>
          </w:rPr>
          <w:t xml:space="preserve">proprietas</w:t>
        </w:r>
      </w:hyperlink>
      <w:r>
        <w:rPr>
          <w:b w:val="0"/>
          <w:i w:val="0"/>
        </w:rPr>
        <w:t xml:space="preserve">; </w:t>
      </w:r>
      <w:hyperlink w:anchor="latin-record-0965">
        <w:r>
          <w:rPr>
            <w:color w:val="000000"/>
          </w:rPr>
          <w:t xml:space="preserve">proprius / proprietas</w:t>
        </w:r>
      </w:hyperlink>
      <w:r>
        <w:rPr>
          <w:b w:val="0"/>
          <w:i w:val="0"/>
        </w:rPr>
        <w:t>.</w:t>
      </w:r>
    </w:p>
    <w:p>
      <w:pPr>
        <w:widowControl/>
      </w:pPr>
      <w:r>
        <w:rPr>
          <w:b/>
          <w:i w:val="0"/>
        </w:rPr>
        <w:t>Proprietates.</w:t>
      </w:r>
      <w:r>
        <w:rPr>
          <w:b w:val="0"/>
          <w:i w:val="0"/>
        </w:rPr>
        <w:t xml:space="preserve"> </w:t>
      </w:r>
      <w:hyperlink w:anchor="latin-record-0961">
        <w:r>
          <w:rPr>
            <w:color w:val="000000"/>
          </w:rPr>
          <w:t xml:space="preserve">proprietas</w:t>
        </w:r>
      </w:hyperlink>
      <w:r>
        <w:rPr>
          <w:b w:val="0"/>
          <w:i w:val="0"/>
        </w:rPr>
        <w:t>.</w:t>
      </w:r>
    </w:p>
    <w:p>
      <w:pPr>
        <w:widowControl/>
      </w:pPr>
      <w:r>
        <w:rPr>
          <w:b/>
          <w:i w:val="0"/>
        </w:rPr>
        <w:t>proprietates.</w:t>
      </w:r>
      <w:r>
        <w:rPr>
          <w:b w:val="0"/>
          <w:i w:val="0"/>
        </w:rPr>
        <w:t xml:space="preserve"> </w:t>
      </w:r>
      <w:hyperlink w:anchor="latin-record-0965">
        <w:r>
          <w:rPr>
            <w:color w:val="000000"/>
          </w:rPr>
          <w:t xml:space="preserve">proprius / proprietas</w:t>
        </w:r>
      </w:hyperlink>
      <w:r>
        <w:rPr>
          <w:b w:val="0"/>
          <w:i w:val="0"/>
        </w:rPr>
        <w:t>.</w:t>
      </w:r>
    </w:p>
    <w:p>
      <w:pPr>
        <w:widowControl/>
      </w:pPr>
      <w:r>
        <w:rPr>
          <w:b/>
          <w:i w:val="0"/>
        </w:rPr>
        <w:t>propriis.</w:t>
      </w:r>
      <w:r>
        <w:rPr>
          <w:b w:val="0"/>
          <w:i w:val="0"/>
        </w:rPr>
        <w:t xml:space="preserve"> </w:t>
      </w:r>
      <w:hyperlink w:anchor="latin-record-0963">
        <w:r>
          <w:rPr>
            <w:color w:val="000000"/>
          </w:rPr>
          <w:t xml:space="preserve">proprius / communis</w:t>
        </w:r>
      </w:hyperlink>
      <w:r>
        <w:rPr>
          <w:b w:val="0"/>
          <w:i w:val="0"/>
        </w:rPr>
        <w:t>.</w:t>
      </w:r>
    </w:p>
    <w:p>
      <w:pPr>
        <w:widowControl/>
      </w:pPr>
      <w:r>
        <w:rPr>
          <w:b/>
          <w:i w:val="0"/>
        </w:rPr>
        <w:t>proprium.</w:t>
      </w:r>
      <w:r>
        <w:rPr>
          <w:b w:val="0"/>
          <w:i w:val="0"/>
        </w:rPr>
        <w:t xml:space="preserve"> </w:t>
      </w:r>
      <w:hyperlink w:anchor="latin-record-0962">
        <w:r>
          <w:rPr>
            <w:color w:val="000000"/>
          </w:rPr>
          <w:t xml:space="preserve">proprius</w:t>
        </w:r>
      </w:hyperlink>
      <w:r>
        <w:rPr>
          <w:b w:val="0"/>
          <w:i w:val="0"/>
        </w:rPr>
        <w:t>.</w:t>
      </w:r>
    </w:p>
    <w:p>
      <w:pPr>
        <w:widowControl/>
      </w:pPr>
      <w:r>
        <w:rPr>
          <w:b/>
          <w:i w:val="0"/>
        </w:rPr>
        <w:t>prorsus.</w:t>
      </w:r>
      <w:r>
        <w:rPr>
          <w:b w:val="0"/>
          <w:i w:val="0"/>
        </w:rPr>
        <w:t xml:space="preserve"> </w:t>
      </w:r>
      <w:hyperlink w:anchor="latin-record-0900">
        <w:r>
          <w:rPr>
            <w:color w:val="000000"/>
          </w:rPr>
          <w:t xml:space="preserve">potissimum / summopere / penitus / prorsus / late</w:t>
        </w:r>
      </w:hyperlink>
      <w:r>
        <w:rPr>
          <w:b w:val="0"/>
          <w:i w:val="0"/>
        </w:rPr>
        <w:t>.</w:t>
      </w:r>
    </w:p>
    <w:p>
      <w:pPr>
        <w:widowControl/>
      </w:pPr>
      <w:r>
        <w:rPr>
          <w:b/>
          <w:i w:val="0"/>
        </w:rPr>
        <w:t>prorsus immobile.</w:t>
      </w:r>
      <w:r>
        <w:rPr>
          <w:b w:val="0"/>
          <w:i w:val="0"/>
        </w:rPr>
        <w:t xml:space="preserve"> </w:t>
      </w:r>
      <w:hyperlink w:anchor="latin-record-0371">
        <w:r>
          <w:rPr>
            <w:color w:val="000000"/>
          </w:rPr>
          <w:t xml:space="preserve">empyreus / prorsus immobile</w:t>
        </w:r>
      </w:hyperlink>
      <w:r>
        <w:rPr>
          <w:b w:val="0"/>
          <w:i w:val="0"/>
        </w:rPr>
        <w:t>.</w:t>
      </w:r>
    </w:p>
    <w:p>
      <w:pPr>
        <w:widowControl/>
      </w:pPr>
      <w:r>
        <w:rPr>
          <w:b/>
          <w:i w:val="0"/>
        </w:rPr>
        <w:t>prorumpit.</w:t>
      </w:r>
      <w:r>
        <w:rPr>
          <w:b w:val="0"/>
          <w:i w:val="0"/>
        </w:rPr>
        <w:t xml:space="preserve"> </w:t>
      </w:r>
      <w:hyperlink w:anchor="latin-record-0966">
        <w:r>
          <w:rPr>
            <w:color w:val="000000"/>
          </w:rPr>
          <w:t xml:space="preserve">prorumpo / migro</w:t>
        </w:r>
      </w:hyperlink>
      <w:r>
        <w:rPr>
          <w:b w:val="0"/>
          <w:i w:val="0"/>
        </w:rPr>
        <w:t>.</w:t>
      </w:r>
    </w:p>
    <w:p>
      <w:pPr>
        <w:widowControl/>
      </w:pPr>
      <w:r>
        <w:rPr>
          <w:b/>
          <w:i w:val="0"/>
        </w:rPr>
        <w:t>Proserpinam.</w:t>
      </w:r>
      <w:r>
        <w:rPr>
          <w:b w:val="0"/>
          <w:i w:val="0"/>
        </w:rPr>
        <w:t xml:space="preserve"> </w:t>
      </w:r>
      <w:hyperlink w:anchor="latin-record-0886">
        <w:r>
          <w:rPr>
            <w:color w:val="000000"/>
          </w:rPr>
          <w:t xml:space="preserve">Pluto / Proserpina</w:t>
        </w:r>
      </w:hyperlink>
      <w:r>
        <w:rPr>
          <w:b w:val="0"/>
          <w:i w:val="0"/>
        </w:rPr>
        <w:t>.</w:t>
      </w:r>
    </w:p>
    <w:p>
      <w:pPr>
        <w:widowControl/>
      </w:pPr>
      <w:r>
        <w:rPr>
          <w:b/>
          <w:i w:val="0"/>
        </w:rPr>
        <w:t>prospectu.</w:t>
      </w:r>
      <w:r>
        <w:rPr>
          <w:b w:val="0"/>
          <w:i w:val="0"/>
        </w:rPr>
        <w:t xml:space="preserve"> </w:t>
      </w:r>
      <w:hyperlink w:anchor="latin-record-0967">
        <w:r>
          <w:rPr>
            <w:color w:val="000000"/>
          </w:rPr>
          <w:t xml:space="preserve">prospectus / intuitus</w:t>
        </w:r>
      </w:hyperlink>
      <w:r>
        <w:rPr>
          <w:b w:val="0"/>
          <w:i w:val="0"/>
        </w:rPr>
        <w:t>.</w:t>
      </w:r>
    </w:p>
    <w:p>
      <w:pPr>
        <w:widowControl/>
      </w:pPr>
      <w:r>
        <w:rPr>
          <w:b/>
          <w:i w:val="0"/>
        </w:rPr>
        <w:t>protendatur.</w:t>
      </w:r>
      <w:r>
        <w:rPr>
          <w:b w:val="0"/>
          <w:i w:val="0"/>
        </w:rPr>
        <w:t xml:space="preserve"> </w:t>
      </w:r>
      <w:hyperlink w:anchor="latin-record-0969">
        <w:r>
          <w:rPr>
            <w:color w:val="000000"/>
          </w:rPr>
          <w:t xml:space="preserve">protendo / tumeo</w:t>
        </w:r>
      </w:hyperlink>
      <w:r>
        <w:rPr>
          <w:b w:val="0"/>
          <w:i w:val="0"/>
        </w:rPr>
        <w:t>.</w:t>
      </w:r>
    </w:p>
    <w:p>
      <w:pPr>
        <w:widowControl/>
      </w:pPr>
      <w:r>
        <w:rPr>
          <w:b/>
          <w:i w:val="0"/>
        </w:rPr>
        <w:t>protenduntur.</w:t>
      </w:r>
      <w:r>
        <w:rPr>
          <w:b w:val="0"/>
          <w:i w:val="0"/>
        </w:rPr>
        <w:t xml:space="preserve"> </w:t>
      </w:r>
      <w:hyperlink w:anchor="latin-record-0968">
        <w:r>
          <w:rPr>
            <w:color w:val="000000"/>
          </w:rPr>
          <w:t xml:space="preserve">protendo / amplifico</w:t>
        </w:r>
      </w:hyperlink>
      <w:r>
        <w:rPr>
          <w:b w:val="0"/>
          <w:i w:val="0"/>
        </w:rPr>
        <w:t>.</w:t>
      </w:r>
    </w:p>
    <w:p>
      <w:pPr>
        <w:widowControl/>
      </w:pPr>
      <w:r>
        <w:rPr>
          <w:b/>
          <w:i w:val="0"/>
        </w:rPr>
        <w:t>prout.</w:t>
      </w:r>
      <w:r>
        <w:rPr>
          <w:b w:val="0"/>
          <w:i w:val="0"/>
        </w:rPr>
        <w:t xml:space="preserve"> </w:t>
      </w:r>
      <w:hyperlink w:anchor="latin-record-0970">
        <w:r>
          <w:rPr>
            <w:color w:val="000000"/>
          </w:rPr>
          <w:t xml:space="preserve">prout</w:t>
        </w:r>
      </w:hyperlink>
      <w:r>
        <w:rPr>
          <w:b w:val="0"/>
          <w:i w:val="0"/>
        </w:rPr>
        <w:t>.</w:t>
      </w:r>
    </w:p>
    <w:p>
      <w:pPr>
        <w:widowControl/>
      </w:pPr>
      <w:r>
        <w:rPr>
          <w:b/>
          <w:i w:val="0"/>
        </w:rPr>
        <w:t>provehamur.</w:t>
      </w:r>
      <w:r>
        <w:rPr>
          <w:b w:val="0"/>
          <w:i w:val="0"/>
        </w:rPr>
        <w:t xml:space="preserve"> </w:t>
      </w:r>
      <w:hyperlink w:anchor="latin-record-1207">
        <w:r>
          <w:rPr>
            <w:color w:val="000000"/>
          </w:rPr>
          <w:t xml:space="preserve">transcendo / proveho</w:t>
        </w:r>
      </w:hyperlink>
      <w:r>
        <w:rPr>
          <w:b w:val="0"/>
          <w:i w:val="0"/>
        </w:rPr>
        <w:t>.</w:t>
      </w:r>
    </w:p>
    <w:p>
      <w:pPr>
        <w:widowControl/>
      </w:pPr>
      <w:r>
        <w:rPr>
          <w:b/>
          <w:i w:val="0"/>
        </w:rPr>
        <w:t>provenientem.</w:t>
      </w:r>
      <w:r>
        <w:rPr>
          <w:b w:val="0"/>
          <w:i w:val="0"/>
        </w:rPr>
        <w:t xml:space="preserve"> </w:t>
      </w:r>
      <w:hyperlink w:anchor="latin-record-0971">
        <w:r>
          <w:rPr>
            <w:color w:val="000000"/>
          </w:rPr>
          <w:t xml:space="preserve">provenire / oriri / nasci</w:t>
        </w:r>
      </w:hyperlink>
      <w:r>
        <w:rPr>
          <w:b w:val="0"/>
          <w:i w:val="0"/>
        </w:rPr>
        <w:t>.</w:t>
      </w:r>
    </w:p>
    <w:p>
      <w:pPr>
        <w:widowControl/>
      </w:pPr>
      <w:r>
        <w:rPr>
          <w:b/>
          <w:i w:val="0"/>
        </w:rPr>
        <w:t>provenire.</w:t>
      </w:r>
      <w:r>
        <w:rPr>
          <w:b w:val="0"/>
          <w:i w:val="0"/>
        </w:rPr>
        <w:t xml:space="preserve"> </w:t>
      </w:r>
      <w:hyperlink w:anchor="latin-record-0943">
        <w:r>
          <w:rPr>
            <w:color w:val="000000"/>
          </w:rPr>
          <w:t xml:space="preserve">produce / become</w:t>
        </w:r>
      </w:hyperlink>
      <w:r>
        <w:rPr>
          <w:b w:val="0"/>
          <w:i w:val="0"/>
        </w:rPr>
        <w:t>.</w:t>
      </w:r>
    </w:p>
    <w:p>
      <w:pPr>
        <w:widowControl/>
      </w:pPr>
      <w:r>
        <w:rPr>
          <w:b/>
          <w:i w:val="0"/>
        </w:rPr>
        <w:t>provenit.</w:t>
      </w:r>
      <w:r>
        <w:rPr>
          <w:b w:val="0"/>
          <w:i w:val="0"/>
        </w:rPr>
        <w:t xml:space="preserve"> </w:t>
      </w:r>
      <w:hyperlink w:anchor="latin-record-0943">
        <w:r>
          <w:rPr>
            <w:color w:val="000000"/>
          </w:rPr>
          <w:t xml:space="preserve">produce / become</w:t>
        </w:r>
      </w:hyperlink>
      <w:r>
        <w:rPr>
          <w:b w:val="0"/>
          <w:i w:val="0"/>
        </w:rPr>
        <w:t xml:space="preserve">; </w:t>
      </w:r>
      <w:hyperlink w:anchor="latin-record-0971">
        <w:r>
          <w:rPr>
            <w:color w:val="000000"/>
          </w:rPr>
          <w:t xml:space="preserve">provenire / oriri / nasci</w:t>
        </w:r>
      </w:hyperlink>
      <w:r>
        <w:rPr>
          <w:b w:val="0"/>
          <w:i w:val="0"/>
        </w:rPr>
        <w:t>.</w:t>
      </w:r>
    </w:p>
    <w:p>
      <w:pPr>
        <w:widowControl/>
      </w:pPr>
      <w:r>
        <w:rPr>
          <w:b/>
          <w:i w:val="0"/>
        </w:rPr>
        <w:t>providentia.</w:t>
      </w:r>
      <w:r>
        <w:rPr>
          <w:b w:val="0"/>
          <w:i w:val="0"/>
        </w:rPr>
        <w:t xml:space="preserve"> </w:t>
      </w:r>
      <w:hyperlink w:anchor="latin-record-0972">
        <w:r>
          <w:rPr>
            <w:color w:val="000000"/>
          </w:rPr>
          <w:t xml:space="preserve">providentia / decretum</w:t>
        </w:r>
      </w:hyperlink>
      <w:r>
        <w:rPr>
          <w:b w:val="0"/>
          <w:i w:val="0"/>
        </w:rPr>
        <w:t>.</w:t>
      </w:r>
    </w:p>
    <w:p>
      <w:pPr>
        <w:widowControl/>
      </w:pPr>
      <w:r>
        <w:rPr>
          <w:b/>
          <w:i w:val="0"/>
        </w:rPr>
        <w:t>providisses.</w:t>
      </w:r>
      <w:r>
        <w:rPr>
          <w:b w:val="0"/>
          <w:i w:val="0"/>
        </w:rPr>
        <w:t xml:space="preserve"> </w:t>
      </w:r>
      <w:hyperlink w:anchor="latin-record-0050">
        <w:r>
          <w:rPr>
            <w:color w:val="000000"/>
          </w:rPr>
          <w:t xml:space="preserve">alimentum / providere</w:t>
        </w:r>
      </w:hyperlink>
      <w:r>
        <w:rPr>
          <w:b w:val="0"/>
          <w:i w:val="0"/>
        </w:rPr>
        <w:t>.</w:t>
      </w:r>
    </w:p>
    <w:p>
      <w:pPr>
        <w:widowControl/>
      </w:pPr>
      <w:r>
        <w:rPr>
          <w:b/>
          <w:i w:val="0"/>
        </w:rPr>
        <w:t>provisa.</w:t>
      </w:r>
      <w:r>
        <w:rPr>
          <w:b w:val="0"/>
          <w:i w:val="0"/>
        </w:rPr>
        <w:t xml:space="preserve"> </w:t>
      </w:r>
      <w:hyperlink w:anchor="latin-record-0050">
        <w:r>
          <w:rPr>
            <w:color w:val="000000"/>
          </w:rPr>
          <w:t xml:space="preserve">alimentum / providere</w:t>
        </w:r>
      </w:hyperlink>
      <w:r>
        <w:rPr>
          <w:b w:val="0"/>
          <w:i w:val="0"/>
        </w:rPr>
        <w:t>.</w:t>
      </w:r>
    </w:p>
    <w:p>
      <w:pPr>
        <w:widowControl/>
      </w:pPr>
      <w:r>
        <w:rPr>
          <w:b/>
          <w:i w:val="0"/>
        </w:rPr>
        <w:t>provisurus.</w:t>
      </w:r>
      <w:r>
        <w:rPr>
          <w:b w:val="0"/>
          <w:i w:val="0"/>
        </w:rPr>
        <w:t xml:space="preserve"> </w:t>
      </w:r>
      <w:hyperlink w:anchor="latin-record-0050">
        <w:r>
          <w:rPr>
            <w:color w:val="000000"/>
          </w:rPr>
          <w:t xml:space="preserve">alimentum / providere</w:t>
        </w:r>
      </w:hyperlink>
      <w:r>
        <w:rPr>
          <w:b w:val="0"/>
          <w:i w:val="0"/>
        </w:rPr>
        <w:t>.</w:t>
      </w:r>
    </w:p>
    <w:p>
      <w:pPr>
        <w:widowControl/>
      </w:pPr>
      <w:r>
        <w:rPr>
          <w:b/>
          <w:i w:val="0"/>
        </w:rPr>
        <w:t>proxima.</w:t>
      </w:r>
      <w:r>
        <w:rPr>
          <w:b w:val="0"/>
          <w:i w:val="0"/>
        </w:rPr>
        <w:t xml:space="preserve"> </w:t>
      </w:r>
      <w:hyperlink w:anchor="latin-record-0785">
        <w:r>
          <w:rPr>
            <w:color w:val="000000"/>
          </w:rPr>
          <w:t xml:space="preserve">obiectum / proximus</w:t>
        </w:r>
      </w:hyperlink>
      <w:r>
        <w:rPr>
          <w:b w:val="0"/>
          <w:i w:val="0"/>
        </w:rPr>
        <w:t>.</w:t>
      </w:r>
    </w:p>
    <w:p>
      <w:pPr>
        <w:widowControl/>
      </w:pPr>
      <w:r>
        <w:rPr>
          <w:b/>
          <w:i w:val="0"/>
        </w:rPr>
        <w:t>proximae.</w:t>
      </w:r>
      <w:r>
        <w:rPr>
          <w:b w:val="0"/>
          <w:i w:val="0"/>
        </w:rPr>
        <w:t xml:space="preserve"> </w:t>
      </w:r>
      <w:hyperlink w:anchor="latin-record-0974">
        <w:r>
          <w:rPr>
            <w:color w:val="000000"/>
          </w:rPr>
          <w:t xml:space="preserve">proximus</w:t>
        </w:r>
      </w:hyperlink>
      <w:r>
        <w:rPr>
          <w:b w:val="0"/>
          <w:i w:val="0"/>
        </w:rPr>
        <w:t>.</w:t>
      </w:r>
    </w:p>
    <w:p>
      <w:pPr>
        <w:widowControl/>
      </w:pPr>
      <w:r>
        <w:rPr>
          <w:b/>
          <w:i w:val="0"/>
        </w:rPr>
        <w:t>proximarum.</w:t>
      </w:r>
      <w:r>
        <w:rPr>
          <w:b w:val="0"/>
          <w:i w:val="0"/>
        </w:rPr>
        <w:t xml:space="preserve"> </w:t>
      </w:r>
      <w:hyperlink w:anchor="latin-record-0975">
        <w:r>
          <w:rPr>
            <w:color w:val="000000"/>
          </w:rPr>
          <w:t xml:space="preserve">proximus / remotus</w:t>
        </w:r>
      </w:hyperlink>
      <w:r>
        <w:rPr>
          <w:b w:val="0"/>
          <w:i w:val="0"/>
        </w:rPr>
        <w:t>.</w:t>
      </w:r>
    </w:p>
    <w:p>
      <w:pPr>
        <w:widowControl/>
      </w:pPr>
      <w:r>
        <w:rPr>
          <w:b/>
          <w:i w:val="0"/>
        </w:rPr>
        <w:t>proxime.</w:t>
      </w:r>
      <w:r>
        <w:rPr>
          <w:b w:val="0"/>
          <w:i w:val="0"/>
        </w:rPr>
        <w:t xml:space="preserve"> </w:t>
      </w:r>
      <w:hyperlink w:anchor="latin-record-0954">
        <w:r>
          <w:rPr>
            <w:color w:val="000000"/>
          </w:rPr>
          <w:t xml:space="preserve">prope / disto</w:t>
        </w:r>
      </w:hyperlink>
      <w:r>
        <w:rPr>
          <w:b w:val="0"/>
          <w:i w:val="0"/>
        </w:rPr>
        <w:t xml:space="preserve">; </w:t>
      </w:r>
      <w:hyperlink w:anchor="latin-record-0974">
        <w:r>
          <w:rPr>
            <w:color w:val="000000"/>
          </w:rPr>
          <w:t xml:space="preserve">proximus</w:t>
        </w:r>
      </w:hyperlink>
      <w:r>
        <w:rPr>
          <w:b w:val="0"/>
          <w:i w:val="0"/>
        </w:rPr>
        <w:t>.</w:t>
      </w:r>
    </w:p>
    <w:p>
      <w:pPr>
        <w:widowControl/>
      </w:pPr>
      <w:r>
        <w:rPr>
          <w:b/>
          <w:i w:val="0"/>
        </w:rPr>
        <w:t>proximum.</w:t>
      </w:r>
      <w:r>
        <w:rPr>
          <w:b w:val="0"/>
          <w:i w:val="0"/>
        </w:rPr>
        <w:t xml:space="preserve"> </w:t>
      </w:r>
      <w:hyperlink w:anchor="latin-record-0973">
        <w:r>
          <w:rPr>
            <w:color w:val="000000"/>
          </w:rPr>
          <w:t xml:space="preserve">proximum bonitati</w:t>
        </w:r>
      </w:hyperlink>
      <w:r>
        <w:rPr>
          <w:b w:val="0"/>
          <w:i w:val="0"/>
        </w:rPr>
        <w:t xml:space="preserve">; </w:t>
      </w:r>
      <w:hyperlink w:anchor="latin-record-0976">
        <w:r>
          <w:rPr>
            <w:color w:val="000000"/>
          </w:rPr>
          <w:t xml:space="preserve">proximus / simillimus</w:t>
        </w:r>
      </w:hyperlink>
      <w:r>
        <w:rPr>
          <w:b w:val="0"/>
          <w:i w:val="0"/>
        </w:rPr>
        <w:t>.</w:t>
      </w:r>
    </w:p>
    <w:p>
      <w:pPr>
        <w:widowControl/>
      </w:pPr>
      <w:r>
        <w:rPr>
          <w:b/>
          <w:i w:val="0"/>
        </w:rPr>
        <w:t>prudentia.</w:t>
      </w:r>
      <w:r>
        <w:rPr>
          <w:b w:val="0"/>
          <w:i w:val="0"/>
        </w:rPr>
        <w:t xml:space="preserve"> </w:t>
      </w:r>
      <w:hyperlink w:anchor="latin-record-0977">
        <w:r>
          <w:rPr>
            <w:color w:val="000000"/>
          </w:rPr>
          <w:t xml:space="preserve">prudentia</w:t>
        </w:r>
      </w:hyperlink>
      <w:r>
        <w:rPr>
          <w:b w:val="0"/>
          <w:i w:val="0"/>
        </w:rPr>
        <w:t>.</w:t>
      </w:r>
    </w:p>
    <w:p>
      <w:pPr>
        <w:widowControl/>
      </w:pPr>
      <w:r>
        <w:rPr>
          <w:b/>
          <w:i w:val="0"/>
        </w:rPr>
        <w:t>pullulant.</w:t>
      </w:r>
      <w:r>
        <w:rPr>
          <w:b w:val="0"/>
          <w:i w:val="0"/>
        </w:rPr>
        <w:t xml:space="preserve"> </w:t>
      </w:r>
      <w:hyperlink w:anchor="latin-record-0978">
        <w:r>
          <w:rPr>
            <w:color w:val="000000"/>
          </w:rPr>
          <w:t xml:space="preserve">pullulare</w:t>
        </w:r>
      </w:hyperlink>
      <w:r>
        <w:rPr>
          <w:b w:val="0"/>
          <w:i w:val="0"/>
        </w:rPr>
        <w:t xml:space="preserve">; </w:t>
      </w:r>
      <w:hyperlink w:anchor="latin-record-0979">
        <w:r>
          <w:rPr>
            <w:color w:val="000000"/>
          </w:rPr>
          <w:t xml:space="preserve">pullulare / alligare</w:t>
        </w:r>
      </w:hyperlink>
      <w:r>
        <w:rPr>
          <w:b w:val="0"/>
          <w:i w:val="0"/>
        </w:rPr>
        <w:t>.</w:t>
      </w:r>
    </w:p>
    <w:p>
      <w:pPr>
        <w:widowControl/>
      </w:pPr>
      <w:r>
        <w:rPr>
          <w:b/>
          <w:i w:val="0"/>
        </w:rPr>
        <w:t>pullulantium.</w:t>
      </w:r>
      <w:r>
        <w:rPr>
          <w:b w:val="0"/>
          <w:i w:val="0"/>
        </w:rPr>
        <w:t xml:space="preserve"> </w:t>
      </w:r>
      <w:hyperlink w:anchor="latin-record-0980">
        <w:r>
          <w:rPr>
            <w:color w:val="000000"/>
          </w:rPr>
          <w:t xml:space="preserve">pullulo / incohatio</w:t>
        </w:r>
      </w:hyperlink>
      <w:r>
        <w:rPr>
          <w:b w:val="0"/>
          <w:i w:val="0"/>
        </w:rPr>
        <w:t>.</w:t>
      </w:r>
    </w:p>
    <w:p>
      <w:pPr>
        <w:widowControl/>
      </w:pPr>
      <w:r>
        <w:rPr>
          <w:b/>
          <w:i w:val="0"/>
        </w:rPr>
        <w:t>pulsat.</w:t>
      </w:r>
      <w:r>
        <w:rPr>
          <w:b w:val="0"/>
          <w:i w:val="0"/>
        </w:rPr>
        <w:t xml:space="preserve"> </w:t>
      </w:r>
      <w:hyperlink w:anchor="latin-record-0981">
        <w:r>
          <w:rPr>
            <w:color w:val="000000"/>
          </w:rPr>
          <w:t xml:space="preserve">pulsare</w:t>
        </w:r>
      </w:hyperlink>
      <w:r>
        <w:rPr>
          <w:b w:val="0"/>
          <w:i w:val="0"/>
        </w:rPr>
        <w:t>.</w:t>
      </w:r>
    </w:p>
    <w:p>
      <w:pPr>
        <w:widowControl/>
      </w:pPr>
      <w:r>
        <w:rPr>
          <w:b/>
          <w:i w:val="0"/>
        </w:rPr>
        <w:t>pulverem.</w:t>
      </w:r>
      <w:r>
        <w:rPr>
          <w:b w:val="0"/>
          <w:i w:val="0"/>
        </w:rPr>
        <w:t xml:space="preserve"> </w:t>
      </w:r>
      <w:hyperlink w:anchor="latin-record-0982">
        <w:r>
          <w:rPr>
            <w:color w:val="000000"/>
          </w:rPr>
          <w:t xml:space="preserve">pulvis / describere</w:t>
        </w:r>
      </w:hyperlink>
      <w:r>
        <w:rPr>
          <w:b w:val="0"/>
          <w:i w:val="0"/>
        </w:rPr>
        <w:t>.</w:t>
      </w:r>
    </w:p>
    <w:p>
      <w:pPr>
        <w:widowControl/>
      </w:pPr>
      <w:r>
        <w:rPr>
          <w:b/>
          <w:i w:val="0"/>
        </w:rPr>
        <w:t>puncta.</w:t>
      </w:r>
      <w:r>
        <w:rPr>
          <w:b w:val="0"/>
          <w:i w:val="0"/>
        </w:rPr>
        <w:t xml:space="preserve"> </w:t>
      </w:r>
      <w:hyperlink w:anchor="latin-record-0983">
        <w:r>
          <w:rPr>
            <w:color w:val="000000"/>
          </w:rPr>
          <w:t xml:space="preserve">punctum</w:t>
        </w:r>
      </w:hyperlink>
      <w:r>
        <w:rPr>
          <w:b w:val="0"/>
          <w:i w:val="0"/>
        </w:rPr>
        <w:t>.</w:t>
      </w:r>
    </w:p>
    <w:p>
      <w:pPr>
        <w:widowControl/>
      </w:pPr>
      <w:r>
        <w:rPr>
          <w:b/>
          <w:i w:val="0"/>
        </w:rPr>
        <w:t>punctis.</w:t>
      </w:r>
      <w:r>
        <w:rPr>
          <w:b w:val="0"/>
          <w:i w:val="0"/>
        </w:rPr>
        <w:t xml:space="preserve"> </w:t>
      </w:r>
      <w:hyperlink w:anchor="latin-record-0986">
        <w:r>
          <w:rPr>
            <w:color w:val="000000"/>
          </w:rPr>
          <w:t xml:space="preserve">punctum / situs</w:t>
        </w:r>
      </w:hyperlink>
      <w:r>
        <w:rPr>
          <w:b w:val="0"/>
          <w:i w:val="0"/>
        </w:rPr>
        <w:t>.</w:t>
      </w:r>
    </w:p>
    <w:p>
      <w:pPr>
        <w:widowControl/>
      </w:pPr>
      <w:r>
        <w:rPr>
          <w:b/>
          <w:i w:val="0"/>
        </w:rPr>
        <w:t>puncto.</w:t>
      </w:r>
      <w:r>
        <w:rPr>
          <w:b w:val="0"/>
          <w:i w:val="0"/>
        </w:rPr>
        <w:t xml:space="preserve"> </w:t>
      </w:r>
      <w:hyperlink w:anchor="latin-record-0387">
        <w:r>
          <w:rPr>
            <w:color w:val="000000"/>
          </w:rPr>
          <w:t xml:space="preserve">essentia puncto momento</w:t>
        </w:r>
      </w:hyperlink>
      <w:r>
        <w:rPr>
          <w:b w:val="0"/>
          <w:i w:val="0"/>
        </w:rPr>
        <w:t xml:space="preserve">; </w:t>
      </w:r>
      <w:hyperlink w:anchor="latin-record-0983">
        <w:r>
          <w:rPr>
            <w:color w:val="000000"/>
          </w:rPr>
          <w:t xml:space="preserve">punctum</w:t>
        </w:r>
      </w:hyperlink>
      <w:r>
        <w:rPr>
          <w:b w:val="0"/>
          <w:i w:val="0"/>
        </w:rPr>
        <w:t>.</w:t>
      </w:r>
    </w:p>
    <w:p>
      <w:pPr>
        <w:widowControl/>
      </w:pPr>
      <w:r>
        <w:rPr>
          <w:b/>
          <w:i w:val="0"/>
        </w:rPr>
        <w:t>punctum.</w:t>
      </w:r>
      <w:r>
        <w:rPr>
          <w:b w:val="0"/>
          <w:i w:val="0"/>
        </w:rPr>
        <w:t xml:space="preserve"> </w:t>
      </w:r>
      <w:hyperlink w:anchor="latin-record-0983">
        <w:r>
          <w:rPr>
            <w:color w:val="000000"/>
          </w:rPr>
          <w:t xml:space="preserve">punctum</w:t>
        </w:r>
      </w:hyperlink>
      <w:r>
        <w:rPr>
          <w:b w:val="0"/>
          <w:i w:val="0"/>
        </w:rPr>
        <w:t xml:space="preserve">; </w:t>
      </w:r>
      <w:hyperlink w:anchor="latin-record-0984">
        <w:r>
          <w:rPr>
            <w:color w:val="000000"/>
          </w:rPr>
          <w:t xml:space="preserve">punctum / adstrictus dimensionibus</w:t>
        </w:r>
      </w:hyperlink>
      <w:r>
        <w:rPr>
          <w:b w:val="0"/>
          <w:i w:val="0"/>
        </w:rPr>
        <w:t xml:space="preserve">; </w:t>
      </w:r>
      <w:hyperlink w:anchor="latin-record-0985">
        <w:r>
          <w:rPr>
            <w:color w:val="000000"/>
          </w:rPr>
          <w:t xml:space="preserve">punctum / linea / circumferentia</w:t>
        </w:r>
      </w:hyperlink>
      <w:r>
        <w:rPr>
          <w:b w:val="0"/>
          <w:i w:val="0"/>
        </w:rPr>
        <w:t xml:space="preserve">; </w:t>
      </w:r>
      <w:hyperlink w:anchor="latin-record-0986">
        <w:r>
          <w:rPr>
            <w:color w:val="000000"/>
          </w:rPr>
          <w:t xml:space="preserve">punctum / situs</w:t>
        </w:r>
      </w:hyperlink>
      <w:r>
        <w:rPr>
          <w:b w:val="0"/>
          <w:i w:val="0"/>
        </w:rPr>
        <w:t>.</w:t>
      </w:r>
    </w:p>
    <w:p>
      <w:pPr>
        <w:widowControl/>
      </w:pPr>
      <w:r>
        <w:rPr>
          <w:b/>
          <w:i w:val="0"/>
        </w:rPr>
        <w:t>punire.</w:t>
      </w:r>
      <w:r>
        <w:rPr>
          <w:b w:val="0"/>
          <w:i w:val="0"/>
        </w:rPr>
        <w:t xml:space="preserve"> </w:t>
      </w:r>
      <w:hyperlink w:anchor="latin-record-0957">
        <w:r>
          <w:rPr>
            <w:color w:val="000000"/>
          </w:rPr>
          <w:t xml:space="preserve">propitius / punire</w:t>
        </w:r>
      </w:hyperlink>
      <w:r>
        <w:rPr>
          <w:b w:val="0"/>
          <w:i w:val="0"/>
        </w:rPr>
        <w:t>.</w:t>
      </w:r>
    </w:p>
    <w:p>
      <w:pPr>
        <w:widowControl/>
      </w:pPr>
      <w:r>
        <w:rPr>
          <w:b/>
          <w:i w:val="0"/>
        </w:rPr>
        <w:t>pura.</w:t>
      </w:r>
      <w:r>
        <w:rPr>
          <w:b w:val="0"/>
          <w:i w:val="0"/>
        </w:rPr>
        <w:t xml:space="preserve"> </w:t>
      </w:r>
      <w:hyperlink w:anchor="latin-record-0988">
        <w:r>
          <w:rPr>
            <w:color w:val="000000"/>
          </w:rPr>
          <w:t xml:space="preserve">purus / merus</w:t>
        </w:r>
      </w:hyperlink>
      <w:r>
        <w:rPr>
          <w:b w:val="0"/>
          <w:i w:val="0"/>
        </w:rPr>
        <w:t xml:space="preserve">; </w:t>
      </w:r>
      <w:hyperlink w:anchor="latin-record-0989">
        <w:r>
          <w:rPr>
            <w:color w:val="000000"/>
          </w:rPr>
          <w:t xml:space="preserve">purus / puritas</w:t>
        </w:r>
      </w:hyperlink>
      <w:r>
        <w:rPr>
          <w:b w:val="0"/>
          <w:i w:val="0"/>
        </w:rPr>
        <w:t>.</w:t>
      </w:r>
    </w:p>
    <w:p>
      <w:pPr>
        <w:widowControl/>
      </w:pPr>
      <w:r>
        <w:rPr>
          <w:b/>
          <w:i w:val="0"/>
        </w:rPr>
        <w:t>purgandum.</w:t>
      </w:r>
      <w:r>
        <w:rPr>
          <w:b w:val="0"/>
          <w:i w:val="0"/>
        </w:rPr>
        <w:t xml:space="preserve"> </w:t>
      </w:r>
      <w:hyperlink w:anchor="latin-record-0987">
        <w:r>
          <w:rPr>
            <w:color w:val="000000"/>
          </w:rPr>
          <w:t xml:space="preserve">purgo / serenus</w:t>
        </w:r>
      </w:hyperlink>
      <w:r>
        <w:rPr>
          <w:b w:val="0"/>
          <w:i w:val="0"/>
        </w:rPr>
        <w:t>.</w:t>
      </w:r>
    </w:p>
    <w:p>
      <w:pPr>
        <w:widowControl/>
      </w:pPr>
      <w:r>
        <w:rPr>
          <w:b/>
          <w:i w:val="0"/>
        </w:rPr>
        <w:t>purgatam.</w:t>
      </w:r>
      <w:r>
        <w:rPr>
          <w:b w:val="0"/>
          <w:i w:val="0"/>
        </w:rPr>
        <w:t xml:space="preserve"> </w:t>
      </w:r>
      <w:hyperlink w:anchor="latin-record-0987">
        <w:r>
          <w:rPr>
            <w:color w:val="000000"/>
          </w:rPr>
          <w:t xml:space="preserve">purgo / serenus</w:t>
        </w:r>
      </w:hyperlink>
      <w:r>
        <w:rPr>
          <w:b w:val="0"/>
          <w:i w:val="0"/>
        </w:rPr>
        <w:t>.</w:t>
      </w:r>
    </w:p>
    <w:p>
      <w:pPr>
        <w:widowControl/>
      </w:pPr>
      <w:r>
        <w:rPr>
          <w:b/>
          <w:i w:val="0"/>
        </w:rPr>
        <w:t>purgetur.</w:t>
      </w:r>
      <w:r>
        <w:rPr>
          <w:b w:val="0"/>
          <w:i w:val="0"/>
        </w:rPr>
        <w:t xml:space="preserve"> </w:t>
      </w:r>
      <w:hyperlink w:anchor="latin-record-0536">
        <w:r>
          <w:rPr>
            <w:color w:val="000000"/>
          </w:rPr>
          <w:t xml:space="preserve">impedire / purgare</w:t>
        </w:r>
      </w:hyperlink>
      <w:r>
        <w:rPr>
          <w:b w:val="0"/>
          <w:i w:val="0"/>
        </w:rPr>
        <w:t>.</w:t>
      </w:r>
    </w:p>
    <w:p>
      <w:pPr>
        <w:widowControl/>
      </w:pPr>
      <w:r>
        <w:rPr>
          <w:b/>
          <w:i w:val="0"/>
        </w:rPr>
        <w:t>puri.</w:t>
      </w:r>
      <w:r>
        <w:rPr>
          <w:b w:val="0"/>
          <w:i w:val="0"/>
        </w:rPr>
        <w:t xml:space="preserve"> </w:t>
      </w:r>
      <w:hyperlink w:anchor="latin-record-0988">
        <w:r>
          <w:rPr>
            <w:color w:val="000000"/>
          </w:rPr>
          <w:t xml:space="preserve">purus / merus</w:t>
        </w:r>
      </w:hyperlink>
      <w:r>
        <w:rPr>
          <w:b w:val="0"/>
          <w:i w:val="0"/>
        </w:rPr>
        <w:t>.</w:t>
      </w:r>
    </w:p>
    <w:p>
      <w:pPr>
        <w:widowControl/>
      </w:pPr>
      <w:r>
        <w:rPr>
          <w:b/>
          <w:i w:val="0"/>
        </w:rPr>
        <w:t>puritati.</w:t>
      </w:r>
      <w:r>
        <w:rPr>
          <w:b w:val="0"/>
          <w:i w:val="0"/>
        </w:rPr>
        <w:t xml:space="preserve"> </w:t>
      </w:r>
      <w:hyperlink w:anchor="latin-record-0989">
        <w:r>
          <w:rPr>
            <w:color w:val="000000"/>
          </w:rPr>
          <w:t xml:space="preserve">purus / puritas</w:t>
        </w:r>
      </w:hyperlink>
      <w:r>
        <w:rPr>
          <w:b w:val="0"/>
          <w:i w:val="0"/>
        </w:rPr>
        <w:t>.</w:t>
      </w:r>
    </w:p>
    <w:p>
      <w:pPr>
        <w:widowControl/>
      </w:pPr>
      <w:r>
        <w:rPr>
          <w:b/>
          <w:i w:val="0"/>
        </w:rPr>
        <w:t>purum.</w:t>
      </w:r>
      <w:r>
        <w:rPr>
          <w:b w:val="0"/>
          <w:i w:val="0"/>
        </w:rPr>
        <w:t xml:space="preserve"> </w:t>
      </w:r>
      <w:hyperlink w:anchor="latin-record-0989">
        <w:r>
          <w:rPr>
            <w:color w:val="000000"/>
          </w:rPr>
          <w:t xml:space="preserve">purus / puritas</w:t>
        </w:r>
      </w:hyperlink>
      <w:r>
        <w:rPr>
          <w:b w:val="0"/>
          <w:i w:val="0"/>
        </w:rPr>
        <w:t>.</w:t>
      </w:r>
    </w:p>
    <w:p>
      <w:pPr>
        <w:widowControl/>
      </w:pPr>
      <w:r>
        <w:rPr>
          <w:b/>
          <w:i w:val="0"/>
        </w:rPr>
        <w:t>purus.</w:t>
      </w:r>
      <w:r>
        <w:rPr>
          <w:b w:val="0"/>
          <w:i w:val="0"/>
        </w:rPr>
        <w:t xml:space="preserve"> </w:t>
      </w:r>
      <w:hyperlink w:anchor="latin-record-0988">
        <w:r>
          <w:rPr>
            <w:color w:val="000000"/>
          </w:rPr>
          <w:t xml:space="preserve">purus / merus</w:t>
        </w:r>
      </w:hyperlink>
      <w:r>
        <w:rPr>
          <w:b w:val="0"/>
          <w:i w:val="0"/>
        </w:rPr>
        <w:t>.</w:t>
      </w:r>
    </w:p>
    <w:p>
      <w:pPr>
        <w:widowControl/>
      </w:pPr>
      <w:r>
        <w:rPr>
          <w:b/>
          <w:i w:val="0"/>
        </w:rPr>
        <w:t>puta.</w:t>
      </w:r>
      <w:r>
        <w:rPr>
          <w:b w:val="0"/>
          <w:i w:val="0"/>
        </w:rPr>
        <w:t xml:space="preserve"> </w:t>
      </w:r>
      <w:hyperlink w:anchor="latin-record-0990">
        <w:r>
          <w:rPr>
            <w:color w:val="000000"/>
          </w:rPr>
          <w:t xml:space="preserve">puta</w:t>
        </w:r>
      </w:hyperlink>
      <w:r>
        <w:rPr>
          <w:b w:val="0"/>
          <w:i w:val="0"/>
        </w:rPr>
        <w:t>.</w:t>
      </w:r>
    </w:p>
    <w:p>
      <w:pPr>
        <w:widowControl/>
      </w:pPr>
      <w:r>
        <w:rPr>
          <w:b/>
          <w:i w:val="0"/>
        </w:rPr>
        <w:t>putant.</w:t>
      </w:r>
      <w:r>
        <w:rPr>
          <w:b w:val="0"/>
          <w:i w:val="0"/>
        </w:rPr>
        <w:t xml:space="preserve"> </w:t>
      </w:r>
      <w:hyperlink w:anchor="latin-record-0991">
        <w:r>
          <w:rPr>
            <w:color w:val="000000"/>
          </w:rPr>
          <w:t xml:space="preserve">putare / arbitrari</w:t>
        </w:r>
      </w:hyperlink>
      <w:r>
        <w:rPr>
          <w:b w:val="0"/>
          <w:i w:val="0"/>
        </w:rPr>
        <w:t>.</w:t>
      </w:r>
    </w:p>
    <w:p>
      <w:pPr>
        <w:widowControl/>
      </w:pPr>
      <w:r>
        <w:rPr>
          <w:b/>
          <w:i w:val="0"/>
        </w:rPr>
        <w:t>putat.</w:t>
      </w:r>
      <w:r>
        <w:rPr>
          <w:b w:val="0"/>
          <w:i w:val="0"/>
        </w:rPr>
        <w:t xml:space="preserve"> </w:t>
      </w:r>
      <w:hyperlink w:anchor="latin-record-0278">
        <w:r>
          <w:rPr>
            <w:color w:val="000000"/>
          </w:rPr>
          <w:t xml:space="preserve">cor / putare</w:t>
        </w:r>
      </w:hyperlink>
      <w:r>
        <w:rPr>
          <w:b w:val="0"/>
          <w:i w:val="0"/>
        </w:rPr>
        <w:t>.</w:t>
      </w:r>
    </w:p>
    <w:p>
      <w:pPr>
        <w:widowControl/>
      </w:pPr>
      <w:r>
        <w:rPr>
          <w:b/>
          <w:i w:val="0"/>
        </w:rPr>
        <w:t>putet.</w:t>
      </w:r>
      <w:r>
        <w:rPr>
          <w:b w:val="0"/>
          <w:i w:val="0"/>
        </w:rPr>
        <w:t xml:space="preserve"> </w:t>
      </w:r>
      <w:hyperlink w:anchor="latin-record-0278">
        <w:r>
          <w:rPr>
            <w:color w:val="000000"/>
          </w:rPr>
          <w:t xml:space="preserve">cor / putare</w:t>
        </w:r>
      </w:hyperlink>
      <w:r>
        <w:rPr>
          <w:b w:val="0"/>
          <w:i w:val="0"/>
        </w:rPr>
        <w:t>.</w:t>
      </w:r>
    </w:p>
    <w:p>
      <w:pPr>
        <w:widowControl/>
      </w:pPr>
      <w:r>
        <w:rPr>
          <w:b/>
          <w:i w:val="0"/>
        </w:rPr>
        <w:t>putrefactione.</w:t>
      </w:r>
      <w:r>
        <w:rPr>
          <w:b w:val="0"/>
          <w:i w:val="0"/>
        </w:rPr>
        <w:t xml:space="preserve"> </w:t>
      </w:r>
      <w:hyperlink w:anchor="latin-record-0993">
        <w:r>
          <w:rPr>
            <w:color w:val="000000"/>
          </w:rPr>
          <w:t xml:space="preserve">putrefactio / propagatio</w:t>
        </w:r>
      </w:hyperlink>
      <w:r>
        <w:rPr>
          <w:b w:val="0"/>
          <w:i w:val="0"/>
        </w:rPr>
        <w:t>.</w:t>
      </w:r>
    </w:p>
    <w:p>
      <w:pPr>
        <w:widowControl/>
      </w:pPr>
      <w:r>
        <w:rPr>
          <w:b/>
          <w:i w:val="0"/>
        </w:rPr>
        <w:t>putrido.</w:t>
      </w:r>
      <w:r>
        <w:rPr>
          <w:b w:val="0"/>
          <w:i w:val="0"/>
        </w:rPr>
        <w:t xml:space="preserve"> </w:t>
      </w:r>
      <w:hyperlink w:anchor="latin-record-0994">
        <w:r>
          <w:rPr>
            <w:color w:val="000000"/>
          </w:rPr>
          <w:t xml:space="preserve">putridus / vilis / pretiosus</w:t>
        </w:r>
      </w:hyperlink>
      <w:r>
        <w:rPr>
          <w:b w:val="0"/>
          <w:i w:val="0"/>
        </w:rPr>
        <w:t>.</w:t>
      </w:r>
    </w:p>
    <w:p>
      <w:pPr>
        <w:widowControl/>
      </w:pPr>
      <w:r>
        <w:rPr>
          <w:b/>
          <w:i w:val="0"/>
        </w:rPr>
        <w:t>Pythagoreus.</w:t>
      </w:r>
      <w:r>
        <w:rPr>
          <w:b w:val="0"/>
          <w:i w:val="0"/>
        </w:rPr>
        <w:t xml:space="preserve"> </w:t>
      </w:r>
      <w:hyperlink w:anchor="latin-record-0821">
        <w:r>
          <w:rPr>
            <w:color w:val="000000"/>
          </w:rPr>
          <w:t xml:space="preserve">Parmenides / Pythagoreus</w:t>
        </w:r>
      </w:hyperlink>
      <w:r>
        <w:rPr>
          <w:b w:val="0"/>
          <w:i w:val="0"/>
        </w:rPr>
        <w:t>.</w:t>
      </w:r>
    </w:p>
    <w:p>
      <w:pPr>
        <w:widowControl/>
      </w:pPr>
      <w:r>
        <w:rPr>
          <w:b/>
          <w:i w:val="0"/>
        </w:rPr>
        <w:t>Pythagorici.</w:t>
      </w:r>
      <w:r>
        <w:rPr>
          <w:b w:val="0"/>
          <w:i w:val="0"/>
        </w:rPr>
        <w:t xml:space="preserve"> </w:t>
      </w:r>
      <w:hyperlink w:anchor="latin-record-0995">
        <w:r>
          <w:rPr>
            <w:color w:val="000000"/>
          </w:rPr>
          <w:t xml:space="preserve">Pythagorici</w:t>
        </w:r>
      </w:hyperlink>
      <w:r>
        <w:rPr>
          <w:b w:val="0"/>
          <w:i w:val="0"/>
        </w:rPr>
        <w:t>.</w:t>
      </w:r>
    </w:p>
    <w:p>
      <w:pPr>
        <w:widowControl/>
      </w:pPr>
      <w:r>
        <w:rPr>
          <w:b/>
          <w:i w:val="0"/>
        </w:rPr>
        <w:t>qua ratione.</w:t>
      </w:r>
      <w:r>
        <w:rPr>
          <w:b w:val="0"/>
          <w:i w:val="0"/>
        </w:rPr>
        <w:t xml:space="preserve"> </w:t>
      </w:r>
      <w:hyperlink w:anchor="latin-record-0997">
        <w:r>
          <w:rPr>
            <w:color w:val="000000"/>
          </w:rPr>
          <w:t xml:space="preserve">qua ratione / quantum / quatenus</w:t>
        </w:r>
      </w:hyperlink>
      <w:r>
        <w:rPr>
          <w:b w:val="0"/>
          <w:i w:val="0"/>
        </w:rPr>
        <w:t>.</w:t>
      </w:r>
    </w:p>
    <w:p>
      <w:pPr>
        <w:widowControl/>
      </w:pPr>
      <w:r>
        <w:rPr>
          <w:b/>
          <w:i w:val="0"/>
        </w:rPr>
        <w:t>qua ratione sunt, eadem agunt.</w:t>
      </w:r>
      <w:r>
        <w:rPr>
          <w:b w:val="0"/>
          <w:i w:val="0"/>
        </w:rPr>
        <w:t xml:space="preserve"> </w:t>
      </w:r>
      <w:hyperlink w:anchor="latin-record-0996">
        <w:r>
          <w:rPr>
            <w:color w:val="000000"/>
          </w:rPr>
          <w:t xml:space="preserve">qua ratione … eadem</w:t>
        </w:r>
      </w:hyperlink>
      <w:r>
        <w:rPr>
          <w:b w:val="0"/>
          <w:i w:val="0"/>
        </w:rPr>
        <w:t>.</w:t>
      </w:r>
    </w:p>
    <w:p>
      <w:pPr>
        <w:widowControl/>
      </w:pPr>
      <w:r>
        <w:rPr>
          <w:b/>
          <w:i w:val="0"/>
        </w:rPr>
        <w:t>quadrabit.</w:t>
      </w:r>
      <w:r>
        <w:rPr>
          <w:b w:val="0"/>
          <w:i w:val="0"/>
        </w:rPr>
        <w:t xml:space="preserve"> </w:t>
      </w:r>
      <w:hyperlink w:anchor="latin-record-0998">
        <w:r>
          <w:rPr>
            <w:color w:val="000000"/>
          </w:rPr>
          <w:t xml:space="preserve">quadrare</w:t>
        </w:r>
      </w:hyperlink>
      <w:r>
        <w:rPr>
          <w:b w:val="0"/>
          <w:i w:val="0"/>
        </w:rPr>
        <w:t>.</w:t>
      </w:r>
    </w:p>
    <w:p>
      <w:pPr>
        <w:widowControl/>
      </w:pPr>
      <w:r>
        <w:rPr>
          <w:b/>
          <w:i w:val="0"/>
        </w:rPr>
        <w:t>quadrant.</w:t>
      </w:r>
      <w:r>
        <w:rPr>
          <w:b w:val="0"/>
          <w:i w:val="0"/>
        </w:rPr>
        <w:t xml:space="preserve"> </w:t>
      </w:r>
      <w:hyperlink w:anchor="latin-record-0998">
        <w:r>
          <w:rPr>
            <w:color w:val="000000"/>
          </w:rPr>
          <w:t xml:space="preserve">quadrare</w:t>
        </w:r>
      </w:hyperlink>
      <w:r>
        <w:rPr>
          <w:b w:val="0"/>
          <w:i w:val="0"/>
        </w:rPr>
        <w:t>.</w:t>
      </w:r>
    </w:p>
    <w:p>
      <w:pPr>
        <w:widowControl/>
      </w:pPr>
      <w:r>
        <w:rPr>
          <w:b/>
          <w:i w:val="0"/>
        </w:rPr>
        <w:t>quaecumque.</w:t>
      </w:r>
      <w:r>
        <w:rPr>
          <w:b w:val="0"/>
          <w:i w:val="0"/>
        </w:rPr>
        <w:t xml:space="preserve"> </w:t>
      </w:r>
      <w:hyperlink w:anchor="latin-record-1012">
        <w:r>
          <w:rPr>
            <w:color w:val="000000"/>
          </w:rPr>
          <w:t xml:space="preserve">qui / quod — scope of a condition</w:t>
        </w:r>
      </w:hyperlink>
      <w:r>
        <w:rPr>
          <w:b w:val="0"/>
          <w:i w:val="0"/>
        </w:rPr>
        <w:t>.</w:t>
      </w:r>
    </w:p>
    <w:p>
      <w:pPr>
        <w:widowControl/>
      </w:pPr>
      <w:r>
        <w:rPr>
          <w:b/>
          <w:i w:val="0"/>
        </w:rPr>
        <w:t>Quaecumque.</w:t>
      </w:r>
      <w:r>
        <w:rPr>
          <w:b w:val="0"/>
          <w:i w:val="0"/>
        </w:rPr>
        <w:t xml:space="preserve"> </w:t>
      </w:r>
      <w:hyperlink w:anchor="latin-record-1012">
        <w:r>
          <w:rPr>
            <w:color w:val="000000"/>
          </w:rPr>
          <w:t xml:space="preserve">qui / quod — scope of a condition</w:t>
        </w:r>
      </w:hyperlink>
      <w:r>
        <w:rPr>
          <w:b w:val="0"/>
          <w:i w:val="0"/>
        </w:rPr>
        <w:t>.</w:t>
      </w:r>
    </w:p>
    <w:p>
      <w:pPr>
        <w:widowControl/>
      </w:pPr>
      <w:r>
        <w:rPr>
          <w:b/>
          <w:i w:val="0"/>
        </w:rPr>
        <w:t>quaerat.</w:t>
      </w:r>
      <w:r>
        <w:rPr>
          <w:b w:val="0"/>
          <w:i w:val="0"/>
        </w:rPr>
        <w:t xml:space="preserve"> </w:t>
      </w:r>
      <w:hyperlink w:anchor="latin-record-1000">
        <w:r>
          <w:rPr>
            <w:color w:val="000000"/>
          </w:rPr>
          <w:t xml:space="preserve">quaerere / persuadere</w:t>
        </w:r>
      </w:hyperlink>
      <w:r>
        <w:rPr>
          <w:b w:val="0"/>
          <w:i w:val="0"/>
        </w:rPr>
        <w:t>.</w:t>
      </w:r>
    </w:p>
    <w:p>
      <w:pPr>
        <w:widowControl/>
      </w:pPr>
      <w:r>
        <w:rPr>
          <w:b/>
          <w:i w:val="0"/>
        </w:rPr>
        <w:t>quaerendas.</w:t>
      </w:r>
      <w:r>
        <w:rPr>
          <w:b w:val="0"/>
          <w:i w:val="0"/>
        </w:rPr>
        <w:t xml:space="preserve"> </w:t>
      </w:r>
      <w:hyperlink w:anchor="latin-record-1001">
        <w:r>
          <w:rPr>
            <w:color w:val="000000"/>
          </w:rPr>
          <w:t xml:space="preserve">quaero / invenio</w:t>
        </w:r>
      </w:hyperlink>
      <w:r>
        <w:rPr>
          <w:b w:val="0"/>
          <w:i w:val="0"/>
        </w:rPr>
        <w:t>.</w:t>
      </w:r>
    </w:p>
    <w:p>
      <w:pPr>
        <w:widowControl/>
      </w:pPr>
      <w:r>
        <w:rPr>
          <w:b/>
          <w:i w:val="0"/>
        </w:rPr>
        <w:t>Quaerimus.</w:t>
      </w:r>
      <w:r>
        <w:rPr>
          <w:b w:val="0"/>
          <w:i w:val="0"/>
        </w:rPr>
        <w:t xml:space="preserve"> </w:t>
      </w:r>
      <w:hyperlink w:anchor="latin-record-0999">
        <w:r>
          <w:rPr>
            <w:color w:val="000000"/>
          </w:rPr>
          <w:t xml:space="preserve">quaerere / interrogare</w:t>
        </w:r>
      </w:hyperlink>
      <w:r>
        <w:rPr>
          <w:b w:val="0"/>
          <w:i w:val="0"/>
        </w:rPr>
        <w:t>.</w:t>
      </w:r>
    </w:p>
    <w:p>
      <w:pPr>
        <w:widowControl/>
      </w:pPr>
      <w:r>
        <w:rPr>
          <w:b/>
          <w:i w:val="0"/>
        </w:rPr>
        <w:t>quaerit.</w:t>
      </w:r>
      <w:r>
        <w:rPr>
          <w:b w:val="0"/>
          <w:i w:val="0"/>
        </w:rPr>
        <w:t xml:space="preserve"> </w:t>
      </w:r>
      <w:hyperlink w:anchor="latin-record-0999">
        <w:r>
          <w:rPr>
            <w:color w:val="000000"/>
          </w:rPr>
          <w:t xml:space="preserve">quaerere / interrogare</w:t>
        </w:r>
      </w:hyperlink>
      <w:r>
        <w:rPr>
          <w:b w:val="0"/>
          <w:i w:val="0"/>
        </w:rPr>
        <w:t xml:space="preserve">; </w:t>
      </w:r>
      <w:hyperlink w:anchor="latin-record-1001">
        <w:r>
          <w:rPr>
            <w:color w:val="000000"/>
          </w:rPr>
          <w:t xml:space="preserve">quaero / invenio</w:t>
        </w:r>
      </w:hyperlink>
      <w:r>
        <w:rPr>
          <w:b w:val="0"/>
          <w:i w:val="0"/>
        </w:rPr>
        <w:t>.</w:t>
      </w:r>
    </w:p>
    <w:p>
      <w:pPr>
        <w:widowControl/>
      </w:pPr>
      <w:r>
        <w:rPr>
          <w:b/>
          <w:i w:val="0"/>
        </w:rPr>
        <w:t>qualitas.</w:t>
      </w:r>
      <w:r>
        <w:rPr>
          <w:b w:val="0"/>
          <w:i w:val="0"/>
        </w:rPr>
        <w:t xml:space="preserve"> </w:t>
      </w:r>
      <w:hyperlink w:anchor="latin-record-1002">
        <w:r>
          <w:rPr>
            <w:color w:val="000000"/>
          </w:rPr>
          <w:t xml:space="preserve">qualitas</w:t>
        </w:r>
      </w:hyperlink>
      <w:r>
        <w:rPr>
          <w:b w:val="0"/>
          <w:i w:val="0"/>
        </w:rPr>
        <w:t>.</w:t>
      </w:r>
    </w:p>
    <w:p>
      <w:pPr>
        <w:widowControl/>
      </w:pPr>
      <w:r>
        <w:rPr>
          <w:b/>
          <w:i w:val="0"/>
        </w:rPr>
        <w:t>qualitate.</w:t>
      </w:r>
      <w:r>
        <w:rPr>
          <w:b w:val="0"/>
          <w:i w:val="0"/>
        </w:rPr>
        <w:t xml:space="preserve"> </w:t>
      </w:r>
      <w:hyperlink w:anchor="latin-record-1002">
        <w:r>
          <w:rPr>
            <w:color w:val="000000"/>
          </w:rPr>
          <w:t xml:space="preserve">qualitas</w:t>
        </w:r>
      </w:hyperlink>
      <w:r>
        <w:rPr>
          <w:b w:val="0"/>
          <w:i w:val="0"/>
        </w:rPr>
        <w:t xml:space="preserve">; </w:t>
      </w:r>
      <w:hyperlink w:anchor="latin-record-1003">
        <w:r>
          <w:rPr>
            <w:color w:val="000000"/>
          </w:rPr>
          <w:t xml:space="preserve">qualitas / virtus</w:t>
        </w:r>
      </w:hyperlink>
      <w:r>
        <w:rPr>
          <w:b w:val="0"/>
          <w:i w:val="0"/>
        </w:rPr>
        <w:t>.</w:t>
      </w:r>
    </w:p>
    <w:p>
      <w:pPr>
        <w:widowControl/>
      </w:pPr>
      <w:r>
        <w:rPr>
          <w:b/>
          <w:i w:val="0"/>
        </w:rPr>
        <w:t>qualitatem.</w:t>
      </w:r>
      <w:r>
        <w:rPr>
          <w:b w:val="0"/>
          <w:i w:val="0"/>
        </w:rPr>
        <w:t xml:space="preserve"> </w:t>
      </w:r>
      <w:hyperlink w:anchor="latin-record-1003">
        <w:r>
          <w:rPr>
            <w:color w:val="000000"/>
          </w:rPr>
          <w:t xml:space="preserve">qualitas / virtus</w:t>
        </w:r>
      </w:hyperlink>
      <w:r>
        <w:rPr>
          <w:b w:val="0"/>
          <w:i w:val="0"/>
        </w:rPr>
        <w:t>.</w:t>
      </w:r>
    </w:p>
    <w:p>
      <w:pPr>
        <w:widowControl/>
      </w:pPr>
      <w:r>
        <w:rPr>
          <w:b/>
          <w:i w:val="0"/>
        </w:rPr>
        <w:t>qualitates.</w:t>
      </w:r>
      <w:r>
        <w:rPr>
          <w:b w:val="0"/>
          <w:i w:val="0"/>
        </w:rPr>
        <w:t xml:space="preserve"> </w:t>
      </w:r>
      <w:hyperlink w:anchor="latin-record-1002">
        <w:r>
          <w:rPr>
            <w:color w:val="000000"/>
          </w:rPr>
          <w:t xml:space="preserve">qualitas</w:t>
        </w:r>
      </w:hyperlink>
      <w:r>
        <w:rPr>
          <w:b w:val="0"/>
          <w:i w:val="0"/>
        </w:rPr>
        <w:t>.</w:t>
      </w:r>
    </w:p>
    <w:p>
      <w:pPr>
        <w:widowControl/>
      </w:pPr>
      <w:r>
        <w:rPr>
          <w:b/>
          <w:i w:val="0"/>
        </w:rPr>
        <w:t>qualitatis.</w:t>
      </w:r>
      <w:r>
        <w:rPr>
          <w:b w:val="0"/>
          <w:i w:val="0"/>
        </w:rPr>
        <w:t xml:space="preserve"> </w:t>
      </w:r>
      <w:hyperlink w:anchor="latin-record-1002">
        <w:r>
          <w:rPr>
            <w:color w:val="000000"/>
          </w:rPr>
          <w:t xml:space="preserve">qualitas</w:t>
        </w:r>
      </w:hyperlink>
      <w:r>
        <w:rPr>
          <w:b w:val="0"/>
          <w:i w:val="0"/>
        </w:rPr>
        <w:t>.</w:t>
      </w:r>
    </w:p>
    <w:p>
      <w:pPr>
        <w:widowControl/>
      </w:pPr>
      <w:r>
        <w:rPr>
          <w:b/>
          <w:i w:val="0"/>
        </w:rPr>
        <w:t>quamvis.</w:t>
      </w:r>
      <w:r>
        <w:rPr>
          <w:b w:val="0"/>
          <w:i w:val="0"/>
        </w:rPr>
        <w:t xml:space="preserve"> </w:t>
      </w:r>
      <w:hyperlink w:anchor="latin-record-1004">
        <w:r>
          <w:rPr>
            <w:color w:val="000000"/>
          </w:rPr>
          <w:t xml:space="preserve">quamvis / licet</w:t>
        </w:r>
      </w:hyperlink>
      <w:r>
        <w:rPr>
          <w:b w:val="0"/>
          <w:i w:val="0"/>
        </w:rPr>
        <w:t>.</w:t>
      </w:r>
    </w:p>
    <w:p>
      <w:pPr>
        <w:widowControl/>
      </w:pPr>
      <w:r>
        <w:rPr>
          <w:b/>
          <w:i w:val="0"/>
        </w:rPr>
        <w:t>quandoque.</w:t>
      </w:r>
      <w:r>
        <w:rPr>
          <w:b w:val="0"/>
          <w:i w:val="0"/>
        </w:rPr>
        <w:t xml:space="preserve"> </w:t>
      </w:r>
      <w:hyperlink w:anchor="latin-record-1005">
        <w:r>
          <w:rPr>
            <w:color w:val="000000"/>
          </w:rPr>
          <w:t xml:space="preserve">quandoque</w:t>
        </w:r>
      </w:hyperlink>
      <w:r>
        <w:rPr>
          <w:b w:val="0"/>
          <w:i w:val="0"/>
        </w:rPr>
        <w:t>.</w:t>
      </w:r>
    </w:p>
    <w:p>
      <w:pPr>
        <w:widowControl/>
      </w:pPr>
      <w:r>
        <w:rPr>
          <w:b/>
          <w:i w:val="0"/>
        </w:rPr>
        <w:t>Quantitas.</w:t>
      </w:r>
      <w:r>
        <w:rPr>
          <w:b w:val="0"/>
          <w:i w:val="0"/>
        </w:rPr>
        <w:t xml:space="preserve"> </w:t>
      </w:r>
      <w:hyperlink w:anchor="latin-record-0674">
        <w:r>
          <w:rPr>
            <w:color w:val="000000"/>
          </w:rPr>
          <w:t xml:space="preserve">materia / quantitas</w:t>
        </w:r>
      </w:hyperlink>
      <w:r>
        <w:rPr>
          <w:b w:val="0"/>
          <w:i w:val="0"/>
        </w:rPr>
        <w:t>.</w:t>
      </w:r>
    </w:p>
    <w:p>
      <w:pPr>
        <w:widowControl/>
      </w:pPr>
      <w:r>
        <w:rPr>
          <w:b/>
          <w:i w:val="0"/>
        </w:rPr>
        <w:t>quantitate.</w:t>
      </w:r>
      <w:r>
        <w:rPr>
          <w:b w:val="0"/>
          <w:i w:val="0"/>
        </w:rPr>
        <w:t xml:space="preserve"> </w:t>
      </w:r>
      <w:hyperlink w:anchor="latin-record-0674">
        <w:r>
          <w:rPr>
            <w:color w:val="000000"/>
          </w:rPr>
          <w:t xml:space="preserve">materia / quantitas</w:t>
        </w:r>
      </w:hyperlink>
      <w:r>
        <w:rPr>
          <w:b w:val="0"/>
          <w:i w:val="0"/>
        </w:rPr>
        <w:t>.</w:t>
      </w:r>
    </w:p>
    <w:p>
      <w:pPr>
        <w:widowControl/>
      </w:pPr>
      <w:r>
        <w:rPr>
          <w:b/>
          <w:i w:val="0"/>
        </w:rPr>
        <w:t>quantitatem.</w:t>
      </w:r>
      <w:r>
        <w:rPr>
          <w:b w:val="0"/>
          <w:i w:val="0"/>
        </w:rPr>
        <w:t xml:space="preserve"> </w:t>
      </w:r>
      <w:hyperlink w:anchor="latin-record-1007">
        <w:r>
          <w:rPr>
            <w:color w:val="000000"/>
          </w:rPr>
          <w:t xml:space="preserve">quantitas / extensio / dimensio</w:t>
        </w:r>
      </w:hyperlink>
      <w:r>
        <w:rPr>
          <w:b w:val="0"/>
          <w:i w:val="0"/>
        </w:rPr>
        <w:t>.</w:t>
      </w:r>
    </w:p>
    <w:p>
      <w:pPr>
        <w:widowControl/>
      </w:pPr>
      <w:r>
        <w:rPr>
          <w:b/>
          <w:i w:val="0"/>
        </w:rPr>
        <w:t>quantitati.</w:t>
      </w:r>
      <w:r>
        <w:rPr>
          <w:b w:val="0"/>
          <w:i w:val="0"/>
        </w:rPr>
        <w:t xml:space="preserve"> </w:t>
      </w:r>
      <w:hyperlink w:anchor="latin-record-1007">
        <w:r>
          <w:rPr>
            <w:color w:val="000000"/>
          </w:rPr>
          <w:t xml:space="preserve">quantitas / extensio / dimensio</w:t>
        </w:r>
      </w:hyperlink>
      <w:r>
        <w:rPr>
          <w:b w:val="0"/>
          <w:i w:val="0"/>
        </w:rPr>
        <w:t>.</w:t>
      </w:r>
    </w:p>
    <w:p>
      <w:pPr>
        <w:widowControl/>
      </w:pPr>
      <w:r>
        <w:rPr>
          <w:b/>
          <w:i w:val="0"/>
        </w:rPr>
        <w:t>quantitatis.</w:t>
      </w:r>
      <w:r>
        <w:rPr>
          <w:b w:val="0"/>
          <w:i w:val="0"/>
        </w:rPr>
        <w:t xml:space="preserve"> </w:t>
      </w:r>
      <w:hyperlink w:anchor="latin-record-1006">
        <w:r>
          <w:rPr>
            <w:color w:val="000000"/>
          </w:rPr>
          <w:t xml:space="preserve">quantitas / dimensio</w:t>
        </w:r>
      </w:hyperlink>
      <w:r>
        <w:rPr>
          <w:b w:val="0"/>
          <w:i w:val="0"/>
        </w:rPr>
        <w:t xml:space="preserve">; </w:t>
      </w:r>
      <w:hyperlink w:anchor="latin-record-1007">
        <w:r>
          <w:rPr>
            <w:color w:val="000000"/>
          </w:rPr>
          <w:t xml:space="preserve">quantitas / extensio / dimensio</w:t>
        </w:r>
      </w:hyperlink>
      <w:r>
        <w:rPr>
          <w:b w:val="0"/>
          <w:i w:val="0"/>
        </w:rPr>
        <w:t>.</w:t>
      </w:r>
    </w:p>
    <w:p>
      <w:pPr>
        <w:widowControl/>
      </w:pPr>
      <w:r>
        <w:rPr>
          <w:b/>
          <w:i w:val="0"/>
        </w:rPr>
        <w:t>quantum.</w:t>
      </w:r>
      <w:r>
        <w:rPr>
          <w:b w:val="0"/>
          <w:i w:val="0"/>
        </w:rPr>
        <w:t xml:space="preserve"> </w:t>
      </w:r>
      <w:hyperlink w:anchor="latin-record-0997">
        <w:r>
          <w:rPr>
            <w:color w:val="000000"/>
          </w:rPr>
          <w:t xml:space="preserve">qua ratione / quantum / quatenus</w:t>
        </w:r>
      </w:hyperlink>
      <w:r>
        <w:rPr>
          <w:b w:val="0"/>
          <w:i w:val="0"/>
        </w:rPr>
        <w:t xml:space="preserve">; </w:t>
      </w:r>
      <w:hyperlink w:anchor="latin-record-1008">
        <w:r>
          <w:rPr>
            <w:color w:val="000000"/>
          </w:rPr>
          <w:t xml:space="preserve">quantum / quatenus / eatenus</w:t>
        </w:r>
      </w:hyperlink>
      <w:r>
        <w:rPr>
          <w:b w:val="0"/>
          <w:i w:val="0"/>
        </w:rPr>
        <w:t>.</w:t>
      </w:r>
    </w:p>
    <w:p>
      <w:pPr>
        <w:widowControl/>
      </w:pPr>
      <w:r>
        <w:rPr>
          <w:b/>
          <w:i w:val="0"/>
        </w:rPr>
        <w:t>quantum ens est.</w:t>
      </w:r>
      <w:r>
        <w:rPr>
          <w:b w:val="0"/>
          <w:i w:val="0"/>
        </w:rPr>
        <w:t xml:space="preserve"> </w:t>
      </w:r>
      <w:hyperlink w:anchor="latin-record-1009">
        <w:r>
          <w:rPr>
            <w:color w:val="000000"/>
          </w:rPr>
          <w:t xml:space="preserve">quantum ens est</w:t>
        </w:r>
      </w:hyperlink>
      <w:r>
        <w:rPr>
          <w:b w:val="0"/>
          <w:i w:val="0"/>
        </w:rPr>
        <w:t>.</w:t>
      </w:r>
    </w:p>
    <w:p>
      <w:pPr>
        <w:widowControl/>
      </w:pPr>
      <w:r>
        <w:rPr>
          <w:b/>
          <w:i w:val="0"/>
        </w:rPr>
        <w:t>quasi innumeras.</w:t>
      </w:r>
      <w:r>
        <w:rPr>
          <w:b w:val="0"/>
          <w:i w:val="0"/>
        </w:rPr>
        <w:t xml:space="preserve"> </w:t>
      </w:r>
      <w:hyperlink w:anchor="latin-record-0565">
        <w:r>
          <w:rPr>
            <w:color w:val="000000"/>
          </w:rPr>
          <w:t xml:space="preserve">infinite and almost countless</w:t>
        </w:r>
      </w:hyperlink>
      <w:r>
        <w:rPr>
          <w:b w:val="0"/>
          <w:i w:val="0"/>
        </w:rPr>
        <w:t>.</w:t>
      </w:r>
    </w:p>
    <w:p>
      <w:pPr>
        <w:widowControl/>
      </w:pPr>
      <w:r>
        <w:rPr>
          <w:b/>
          <w:i w:val="0"/>
        </w:rPr>
        <w:t>quasi non motus.</w:t>
      </w:r>
      <w:r>
        <w:rPr>
          <w:b w:val="0"/>
          <w:i w:val="0"/>
        </w:rPr>
        <w:t xml:space="preserve"> </w:t>
      </w:r>
      <w:hyperlink w:anchor="latin-record-1010">
        <w:r>
          <w:rPr>
            <w:color w:val="000000"/>
          </w:rPr>
          <w:t xml:space="preserve">quasi non motus</w:t>
        </w:r>
      </w:hyperlink>
      <w:r>
        <w:rPr>
          <w:b w:val="0"/>
          <w:i w:val="0"/>
        </w:rPr>
        <w:t>.</w:t>
      </w:r>
    </w:p>
    <w:p>
      <w:pPr>
        <w:widowControl/>
      </w:pPr>
      <w:r>
        <w:rPr>
          <w:b/>
          <w:i w:val="0"/>
        </w:rPr>
        <w:t>quasi spiritalia.</w:t>
      </w:r>
      <w:r>
        <w:rPr>
          <w:b w:val="0"/>
          <w:i w:val="0"/>
        </w:rPr>
        <w:t xml:space="preserve"> </w:t>
      </w:r>
      <w:hyperlink w:anchor="latin-record-1168">
        <w:r>
          <w:rPr>
            <w:color w:val="000000"/>
          </w:rPr>
          <w:t xml:space="preserve">sulfur / quasi spiritalia</w:t>
        </w:r>
      </w:hyperlink>
      <w:r>
        <w:rPr>
          <w:b w:val="0"/>
          <w:i w:val="0"/>
        </w:rPr>
        <w:t>.</w:t>
      </w:r>
    </w:p>
    <w:p>
      <w:pPr>
        <w:widowControl/>
      </w:pPr>
      <w:r>
        <w:rPr>
          <w:b/>
          <w:i w:val="0"/>
        </w:rPr>
        <w:t>quassat.</w:t>
      </w:r>
      <w:r>
        <w:rPr>
          <w:b w:val="0"/>
          <w:i w:val="0"/>
        </w:rPr>
        <w:t xml:space="preserve"> </w:t>
      </w:r>
      <w:hyperlink w:anchor="latin-record-0115">
        <w:r>
          <w:rPr>
            <w:color w:val="000000"/>
          </w:rPr>
          <w:t xml:space="preserve">aura / viscera / quassare</w:t>
        </w:r>
      </w:hyperlink>
      <w:r>
        <w:rPr>
          <w:b w:val="0"/>
          <w:i w:val="0"/>
        </w:rPr>
        <w:t>.</w:t>
      </w:r>
    </w:p>
    <w:p>
      <w:pPr>
        <w:widowControl/>
      </w:pPr>
      <w:r>
        <w:rPr>
          <w:b/>
          <w:i w:val="0"/>
        </w:rPr>
        <w:t>quatenus.</w:t>
      </w:r>
      <w:r>
        <w:rPr>
          <w:b w:val="0"/>
          <w:i w:val="0"/>
        </w:rPr>
        <w:t xml:space="preserve"> </w:t>
      </w:r>
      <w:hyperlink w:anchor="latin-record-0997">
        <w:r>
          <w:rPr>
            <w:color w:val="000000"/>
          </w:rPr>
          <w:t xml:space="preserve">qua ratione / quantum / quatenus</w:t>
        </w:r>
      </w:hyperlink>
      <w:r>
        <w:rPr>
          <w:b w:val="0"/>
          <w:i w:val="0"/>
        </w:rPr>
        <w:t xml:space="preserve">; </w:t>
      </w:r>
      <w:hyperlink w:anchor="latin-record-1008">
        <w:r>
          <w:rPr>
            <w:color w:val="000000"/>
          </w:rPr>
          <w:t xml:space="preserve">quantum / quatenus / eatenus</w:t>
        </w:r>
      </w:hyperlink>
      <w:r>
        <w:rPr>
          <w:b w:val="0"/>
          <w:i w:val="0"/>
        </w:rPr>
        <w:t>.</w:t>
      </w:r>
    </w:p>
    <w:p>
      <w:pPr>
        <w:widowControl/>
      </w:pPr>
      <w:r>
        <w:rPr>
          <w:b/>
          <w:i w:val="0"/>
        </w:rPr>
        <w:t>quatenus corpus.</w:t>
      </w:r>
      <w:r>
        <w:rPr>
          <w:b w:val="0"/>
          <w:i w:val="0"/>
        </w:rPr>
        <w:t xml:space="preserve"> </w:t>
      </w:r>
      <w:hyperlink w:anchor="latin-record-1011">
        <w:r>
          <w:rPr>
            <w:color w:val="000000"/>
          </w:rPr>
          <w:t xml:space="preserve">quatenus corpus</w:t>
        </w:r>
      </w:hyperlink>
      <w:r>
        <w:rPr>
          <w:b w:val="0"/>
          <w:i w:val="0"/>
        </w:rPr>
        <w:t>.</w:t>
      </w:r>
    </w:p>
    <w:p>
      <w:pPr>
        <w:widowControl/>
      </w:pPr>
      <w:r>
        <w:rPr>
          <w:b/>
          <w:i w:val="0"/>
        </w:rPr>
        <w:t>quicquid.</w:t>
      </w:r>
      <w:r>
        <w:rPr>
          <w:b w:val="0"/>
          <w:i w:val="0"/>
        </w:rPr>
        <w:t xml:space="preserve"> </w:t>
      </w:r>
      <w:hyperlink w:anchor="latin-record-1012">
        <w:r>
          <w:rPr>
            <w:color w:val="000000"/>
          </w:rPr>
          <w:t xml:space="preserve">qui / quod — scope of a condition</w:t>
        </w:r>
      </w:hyperlink>
      <w:r>
        <w:rPr>
          <w:b w:val="0"/>
          <w:i w:val="0"/>
        </w:rPr>
        <w:t>.</w:t>
      </w:r>
    </w:p>
    <w:p>
      <w:pPr>
        <w:widowControl/>
      </w:pPr>
      <w:r>
        <w:rPr>
          <w:b/>
          <w:i w:val="0"/>
        </w:rPr>
        <w:t>quiete.</w:t>
      </w:r>
      <w:r>
        <w:rPr>
          <w:b w:val="0"/>
          <w:i w:val="0"/>
        </w:rPr>
        <w:t xml:space="preserve"> </w:t>
      </w:r>
      <w:hyperlink w:anchor="latin-record-1013">
        <w:r>
          <w:rPr>
            <w:color w:val="000000"/>
          </w:rPr>
          <w:t xml:space="preserve">quies / quiesco</w:t>
        </w:r>
      </w:hyperlink>
      <w:r>
        <w:rPr>
          <w:b w:val="0"/>
          <w:i w:val="0"/>
        </w:rPr>
        <w:t>.</w:t>
      </w:r>
    </w:p>
    <w:p>
      <w:pPr>
        <w:widowControl/>
      </w:pPr>
      <w:r>
        <w:rPr>
          <w:b/>
          <w:i w:val="0"/>
        </w:rPr>
        <w:t>quinque.</w:t>
      </w:r>
      <w:r>
        <w:rPr>
          <w:b w:val="0"/>
          <w:i w:val="0"/>
        </w:rPr>
        <w:t xml:space="preserve"> </w:t>
      </w:r>
      <w:hyperlink w:anchor="latin-record-1014">
        <w:r>
          <w:rPr>
            <w:color w:val="000000"/>
          </w:rPr>
          <w:t xml:space="preserve">quinque sensus / singulatim / summatim</w:t>
        </w:r>
      </w:hyperlink>
      <w:r>
        <w:rPr>
          <w:b w:val="0"/>
          <w:i w:val="0"/>
        </w:rPr>
        <w:t>.</w:t>
      </w:r>
    </w:p>
    <w:p>
      <w:pPr>
        <w:widowControl/>
      </w:pPr>
      <w:r>
        <w:rPr>
          <w:b/>
          <w:i w:val="0"/>
        </w:rPr>
        <w:t>quoad fieri potest.</w:t>
      </w:r>
      <w:r>
        <w:rPr>
          <w:b w:val="0"/>
          <w:i w:val="0"/>
        </w:rPr>
        <w:t xml:space="preserve"> </w:t>
      </w:r>
      <w:hyperlink w:anchor="latin-record-0440">
        <w:r>
          <w:rPr>
            <w:color w:val="000000"/>
          </w:rPr>
          <w:t xml:space="preserve">ferme / quoad fieri potest</w:t>
        </w:r>
      </w:hyperlink>
      <w:r>
        <w:rPr>
          <w:b w:val="0"/>
          <w:i w:val="0"/>
        </w:rPr>
        <w:t>.</w:t>
      </w:r>
    </w:p>
    <w:p>
      <w:pPr>
        <w:widowControl/>
      </w:pPr>
      <w:r>
        <w:rPr>
          <w:b/>
          <w:i w:val="0"/>
        </w:rPr>
        <w:t>quodammodo.</w:t>
      </w:r>
      <w:r>
        <w:rPr>
          <w:b w:val="0"/>
          <w:i w:val="0"/>
        </w:rPr>
        <w:t xml:space="preserve"> </w:t>
      </w:r>
      <w:hyperlink w:anchor="latin-record-0467">
        <w:r>
          <w:rPr>
            <w:color w:val="000000"/>
          </w:rPr>
          <w:t xml:space="preserve">forsitan / quodammodo</w:t>
        </w:r>
      </w:hyperlink>
      <w:r>
        <w:rPr>
          <w:b w:val="0"/>
          <w:i w:val="0"/>
        </w:rPr>
        <w:t xml:space="preserve">; </w:t>
      </w:r>
      <w:hyperlink w:anchor="latin-record-0819">
        <w:r>
          <w:rPr>
            <w:color w:val="000000"/>
          </w:rPr>
          <w:t xml:space="preserve">paene / quodammodo</w:t>
        </w:r>
      </w:hyperlink>
      <w:r>
        <w:rPr>
          <w:b w:val="0"/>
          <w:i w:val="0"/>
        </w:rPr>
        <w:t xml:space="preserve">; </w:t>
      </w:r>
      <w:hyperlink w:anchor="latin-record-1015">
        <w:r>
          <w:rPr>
            <w:color w:val="000000"/>
          </w:rPr>
          <w:t xml:space="preserve">quodammodo</w:t>
        </w:r>
      </w:hyperlink>
      <w:r>
        <w:rPr>
          <w:b w:val="0"/>
          <w:i w:val="0"/>
        </w:rPr>
        <w:t>.</w:t>
      </w:r>
    </w:p>
    <w:p>
      <w:pPr>
        <w:widowControl/>
      </w:pPr>
      <w:r>
        <w:rPr>
          <w:b/>
          <w:i w:val="0"/>
        </w:rPr>
        <w:t>Quorsum.</w:t>
      </w:r>
      <w:r>
        <w:rPr>
          <w:b w:val="0"/>
          <w:i w:val="0"/>
        </w:rPr>
        <w:t xml:space="preserve"> </w:t>
      </w:r>
      <w:hyperlink w:anchor="latin-record-1016">
        <w:r>
          <w:rPr>
            <w:color w:val="000000"/>
          </w:rPr>
          <w:t xml:space="preserve">quorsum</w:t>
        </w:r>
      </w:hyperlink>
      <w:r>
        <w:rPr>
          <w:b w:val="0"/>
          <w:i w:val="0"/>
        </w:rPr>
        <w:t>.</w:t>
      </w:r>
    </w:p>
    <w:p>
      <w:pPr>
        <w:widowControl/>
      </w:pPr>
      <w:r>
        <w:rPr>
          <w:b/>
          <w:i w:val="0"/>
        </w:rPr>
        <w:t>quovis tempore.</w:t>
      </w:r>
      <w:r>
        <w:rPr>
          <w:b w:val="0"/>
          <w:i w:val="0"/>
        </w:rPr>
        <w:t xml:space="preserve"> </w:t>
      </w:r>
      <w:hyperlink w:anchor="latin-record-1143">
        <w:r>
          <w:rPr>
            <w:color w:val="000000"/>
          </w:rPr>
          <w:t xml:space="preserve">statutis temporibus / quovis tempore</w:t>
        </w:r>
      </w:hyperlink>
      <w:r>
        <w:rPr>
          <w:b w:val="0"/>
          <w:i w:val="0"/>
        </w:rPr>
        <w:t>.</w:t>
      </w:r>
    </w:p>
    <w:p>
      <w:pPr>
        <w:widowControl/>
      </w:pPr>
      <w:r>
        <w:rPr>
          <w:b/>
          <w:i w:val="0"/>
        </w:rPr>
        <w:t>radiis.</w:t>
      </w:r>
      <w:r>
        <w:rPr>
          <w:b w:val="0"/>
          <w:i w:val="0"/>
        </w:rPr>
        <w:t xml:space="preserve"> </w:t>
      </w:r>
      <w:hyperlink w:anchor="latin-record-0524">
        <w:r>
          <w:rPr>
            <w:color w:val="000000"/>
          </w:rPr>
          <w:t xml:space="preserve">illuminare / fulgere / radius / accendere</w:t>
        </w:r>
      </w:hyperlink>
      <w:r>
        <w:rPr>
          <w:b w:val="0"/>
          <w:i w:val="0"/>
        </w:rPr>
        <w:t>.</w:t>
      </w:r>
    </w:p>
    <w:p>
      <w:pPr>
        <w:widowControl/>
      </w:pPr>
      <w:r>
        <w:rPr>
          <w:b/>
          <w:i w:val="0"/>
        </w:rPr>
        <w:t>ranae.</w:t>
      </w:r>
      <w:r>
        <w:rPr>
          <w:b w:val="0"/>
          <w:i w:val="0"/>
        </w:rPr>
        <w:t xml:space="preserve"> </w:t>
      </w:r>
      <w:hyperlink w:anchor="latin-record-0654">
        <w:r>
          <w:rPr>
            <w:color w:val="000000"/>
          </w:rPr>
          <w:t xml:space="preserve">lutum / fimus / rana / musca</w:t>
        </w:r>
      </w:hyperlink>
      <w:r>
        <w:rPr>
          <w:b w:val="0"/>
          <w:i w:val="0"/>
        </w:rPr>
        <w:t>.</w:t>
      </w:r>
    </w:p>
    <w:p>
      <w:pPr>
        <w:widowControl/>
      </w:pPr>
      <w:r>
        <w:rPr>
          <w:b/>
          <w:i w:val="0"/>
        </w:rPr>
        <w:t>rapiat.</w:t>
      </w:r>
      <w:r>
        <w:rPr>
          <w:b w:val="0"/>
          <w:i w:val="0"/>
        </w:rPr>
        <w:t xml:space="preserve"> </w:t>
      </w:r>
      <w:hyperlink w:anchor="latin-record-1061">
        <w:r>
          <w:rPr>
            <w:color w:val="000000"/>
          </w:rPr>
          <w:t xml:space="preserve">revocare / rapere</w:t>
        </w:r>
      </w:hyperlink>
      <w:r>
        <w:rPr>
          <w:b w:val="0"/>
          <w:i w:val="0"/>
        </w:rPr>
        <w:t>.</w:t>
      </w:r>
    </w:p>
    <w:p>
      <w:pPr>
        <w:widowControl/>
      </w:pPr>
      <w:r>
        <w:rPr>
          <w:b/>
          <w:i w:val="0"/>
        </w:rPr>
        <w:t>raptaret.</w:t>
      </w:r>
      <w:r>
        <w:rPr>
          <w:b w:val="0"/>
          <w:i w:val="0"/>
        </w:rPr>
        <w:t xml:space="preserve"> </w:t>
      </w:r>
      <w:hyperlink w:anchor="latin-record-1018">
        <w:r>
          <w:rPr>
            <w:color w:val="000000"/>
          </w:rPr>
          <w:t xml:space="preserve">raptare</w:t>
        </w:r>
      </w:hyperlink>
      <w:r>
        <w:rPr>
          <w:b w:val="0"/>
          <w:i w:val="0"/>
        </w:rPr>
        <w:t>.</w:t>
      </w:r>
    </w:p>
    <w:p>
      <w:pPr>
        <w:widowControl/>
      </w:pPr>
      <w:r>
        <w:rPr>
          <w:b/>
          <w:i w:val="0"/>
        </w:rPr>
        <w:t>rapuit.</w:t>
      </w:r>
      <w:r>
        <w:rPr>
          <w:b w:val="0"/>
          <w:i w:val="0"/>
        </w:rPr>
        <w:t xml:space="preserve"> </w:t>
      </w:r>
      <w:hyperlink w:anchor="latin-record-1017">
        <w:r>
          <w:rPr>
            <w:color w:val="000000"/>
          </w:rPr>
          <w:t xml:space="preserve">rapere / includere</w:t>
        </w:r>
      </w:hyperlink>
      <w:r>
        <w:rPr>
          <w:b w:val="0"/>
          <w:i w:val="0"/>
        </w:rPr>
        <w:t>.</w:t>
      </w:r>
    </w:p>
    <w:p>
      <w:pPr>
        <w:widowControl/>
      </w:pPr>
      <w:r>
        <w:rPr>
          <w:b/>
          <w:i w:val="0"/>
        </w:rPr>
        <w:t>rara.</w:t>
      </w:r>
      <w:r>
        <w:rPr>
          <w:b w:val="0"/>
          <w:i w:val="0"/>
        </w:rPr>
        <w:t xml:space="preserve"> </w:t>
      </w:r>
      <w:hyperlink w:anchor="latin-record-1019">
        <w:r>
          <w:rPr>
            <w:color w:val="000000"/>
          </w:rPr>
          <w:t xml:space="preserve">rarus / densus</w:t>
        </w:r>
      </w:hyperlink>
      <w:r>
        <w:rPr>
          <w:b w:val="0"/>
          <w:i w:val="0"/>
        </w:rPr>
        <w:t>.</w:t>
      </w:r>
    </w:p>
    <w:p>
      <w:pPr>
        <w:widowControl/>
      </w:pPr>
      <w:r>
        <w:rPr>
          <w:b/>
          <w:i w:val="0"/>
        </w:rPr>
        <w:t>rarefaciat.</w:t>
      </w:r>
      <w:r>
        <w:rPr>
          <w:b w:val="0"/>
          <w:i w:val="0"/>
        </w:rPr>
        <w:t xml:space="preserve"> </w:t>
      </w:r>
      <w:hyperlink w:anchor="latin-record-0172">
        <w:r>
          <w:rPr>
            <w:color w:val="000000"/>
          </w:rPr>
          <w:t xml:space="preserve">coarcto / rarefacio</w:t>
        </w:r>
      </w:hyperlink>
      <w:r>
        <w:rPr>
          <w:b w:val="0"/>
          <w:i w:val="0"/>
        </w:rPr>
        <w:t>.</w:t>
      </w:r>
    </w:p>
    <w:p>
      <w:pPr>
        <w:widowControl/>
      </w:pPr>
      <w:r>
        <w:rPr>
          <w:b/>
          <w:i w:val="0"/>
        </w:rPr>
        <w:t>raritatem.</w:t>
      </w:r>
      <w:r>
        <w:rPr>
          <w:b w:val="0"/>
          <w:i w:val="0"/>
        </w:rPr>
        <w:t xml:space="preserve"> </w:t>
      </w:r>
      <w:hyperlink w:anchor="latin-record-0129">
        <w:r>
          <w:rPr>
            <w:color w:val="000000"/>
          </w:rPr>
          <w:t xml:space="preserve">brevitas / raritas</w:t>
        </w:r>
      </w:hyperlink>
      <w:r>
        <w:rPr>
          <w:b w:val="0"/>
          <w:i w:val="0"/>
        </w:rPr>
        <w:t>.</w:t>
      </w:r>
    </w:p>
    <w:p>
      <w:pPr>
        <w:widowControl/>
      </w:pPr>
      <w:r>
        <w:rPr>
          <w:b/>
          <w:i w:val="0"/>
        </w:rPr>
        <w:t>ratio.</w:t>
      </w:r>
      <w:r>
        <w:rPr>
          <w:b w:val="0"/>
          <w:i w:val="0"/>
        </w:rPr>
        <w:t xml:space="preserve"> </w:t>
      </w:r>
      <w:hyperlink w:anchor="latin-record-1020">
        <w:r>
          <w:rPr>
            <w:color w:val="000000"/>
          </w:rPr>
          <w:t xml:space="preserve">ratio</w:t>
        </w:r>
      </w:hyperlink>
      <w:r>
        <w:rPr>
          <w:b w:val="0"/>
          <w:i w:val="0"/>
        </w:rPr>
        <w:t>.</w:t>
      </w:r>
    </w:p>
    <w:p>
      <w:pPr>
        <w:widowControl/>
      </w:pPr>
      <w:r>
        <w:rPr>
          <w:b/>
          <w:i w:val="0"/>
        </w:rPr>
        <w:t>ratio appetendi.</w:t>
      </w:r>
      <w:r>
        <w:rPr>
          <w:b w:val="0"/>
          <w:i w:val="0"/>
        </w:rPr>
        <w:t xml:space="preserve"> </w:t>
      </w:r>
      <w:hyperlink w:anchor="latin-record-1024">
        <w:r>
          <w:rPr>
            <w:color w:val="000000"/>
          </w:rPr>
          <w:t xml:space="preserve">ratio appetendi</w:t>
        </w:r>
      </w:hyperlink>
      <w:r>
        <w:rPr>
          <w:b w:val="0"/>
          <w:i w:val="0"/>
        </w:rPr>
        <w:t>.</w:t>
      </w:r>
    </w:p>
    <w:p>
      <w:pPr>
        <w:widowControl/>
      </w:pPr>
      <w:r>
        <w:rPr>
          <w:b/>
          <w:i w:val="0"/>
        </w:rPr>
        <w:t>rationalem animam.</w:t>
      </w:r>
      <w:r>
        <w:rPr>
          <w:b w:val="0"/>
          <w:i w:val="0"/>
        </w:rPr>
        <w:t xml:space="preserve"> </w:t>
      </w:r>
      <w:hyperlink w:anchor="latin-record-0070">
        <w:r>
          <w:rPr>
            <w:color w:val="000000"/>
          </w:rPr>
          <w:t xml:space="preserve">anima rationalis</w:t>
        </w:r>
      </w:hyperlink>
      <w:r>
        <w:rPr>
          <w:b w:val="0"/>
          <w:i w:val="0"/>
        </w:rPr>
        <w:t>.</w:t>
      </w:r>
    </w:p>
    <w:p>
      <w:pPr>
        <w:widowControl/>
      </w:pPr>
      <w:r>
        <w:rPr>
          <w:b/>
          <w:i w:val="0"/>
        </w:rPr>
        <w:t>rationalis.</w:t>
      </w:r>
      <w:r>
        <w:rPr>
          <w:b w:val="0"/>
          <w:i w:val="0"/>
        </w:rPr>
        <w:t xml:space="preserve"> </w:t>
      </w:r>
      <w:hyperlink w:anchor="latin-record-1022">
        <w:r>
          <w:rPr>
            <w:color w:val="000000"/>
          </w:rPr>
          <w:t xml:space="preserve">ratio / rationalis</w:t>
        </w:r>
      </w:hyperlink>
      <w:r>
        <w:rPr>
          <w:b w:val="0"/>
          <w:i w:val="0"/>
        </w:rPr>
        <w:t>.</w:t>
      </w:r>
    </w:p>
    <w:p>
      <w:pPr>
        <w:widowControl/>
      </w:pPr>
      <w:r>
        <w:rPr>
          <w:b/>
          <w:i w:val="0"/>
        </w:rPr>
        <w:t>rationalis animae.</w:t>
      </w:r>
      <w:r>
        <w:rPr>
          <w:b w:val="0"/>
          <w:i w:val="0"/>
        </w:rPr>
        <w:t xml:space="preserve"> </w:t>
      </w:r>
      <w:hyperlink w:anchor="latin-record-0070">
        <w:r>
          <w:rPr>
            <w:color w:val="000000"/>
          </w:rPr>
          <w:t xml:space="preserve">anima rationalis</w:t>
        </w:r>
      </w:hyperlink>
      <w:r>
        <w:rPr>
          <w:b w:val="0"/>
          <w:i w:val="0"/>
        </w:rPr>
        <w:t>.</w:t>
      </w:r>
    </w:p>
    <w:p>
      <w:pPr>
        <w:widowControl/>
      </w:pPr>
      <w:r>
        <w:rPr>
          <w:b/>
          <w:i w:val="0"/>
        </w:rPr>
        <w:t>ratione boni.</w:t>
      </w:r>
      <w:r>
        <w:rPr>
          <w:b w:val="0"/>
          <w:i w:val="0"/>
        </w:rPr>
        <w:t xml:space="preserve"> </w:t>
      </w:r>
      <w:hyperlink w:anchor="latin-record-1025">
        <w:r>
          <w:rPr>
            <w:color w:val="000000"/>
          </w:rPr>
          <w:t xml:space="preserve">ratio boni</w:t>
        </w:r>
      </w:hyperlink>
      <w:r>
        <w:rPr>
          <w:b w:val="0"/>
          <w:i w:val="0"/>
        </w:rPr>
        <w:t>.</w:t>
      </w:r>
    </w:p>
    <w:p>
      <w:pPr>
        <w:widowControl/>
      </w:pPr>
      <w:r>
        <w:rPr>
          <w:b/>
          <w:i w:val="0"/>
        </w:rPr>
        <w:t>ratione capta.</w:t>
      </w:r>
      <w:r>
        <w:rPr>
          <w:b w:val="0"/>
          <w:i w:val="0"/>
        </w:rPr>
        <w:t xml:space="preserve"> </w:t>
      </w:r>
      <w:hyperlink w:anchor="latin-record-0214">
        <w:r>
          <w:rPr>
            <w:color w:val="000000"/>
          </w:rPr>
          <w:t xml:space="preserve">compos rationis / ratione captus</w:t>
        </w:r>
      </w:hyperlink>
      <w:r>
        <w:rPr>
          <w:b w:val="0"/>
          <w:i w:val="0"/>
        </w:rPr>
        <w:t>.</w:t>
      </w:r>
    </w:p>
    <w:p>
      <w:pPr>
        <w:widowControl/>
      </w:pPr>
      <w:r>
        <w:rPr>
          <w:b/>
          <w:i w:val="0"/>
        </w:rPr>
        <w:t>ratione non carent.</w:t>
      </w:r>
      <w:r>
        <w:rPr>
          <w:b w:val="0"/>
          <w:i w:val="0"/>
        </w:rPr>
        <w:t xml:space="preserve"> </w:t>
      </w:r>
      <w:hyperlink w:anchor="latin-record-0214">
        <w:r>
          <w:rPr>
            <w:color w:val="000000"/>
          </w:rPr>
          <w:t xml:space="preserve">compos rationis / ratione captus</w:t>
        </w:r>
      </w:hyperlink>
      <w:r>
        <w:rPr>
          <w:b w:val="0"/>
          <w:i w:val="0"/>
        </w:rPr>
        <w:t>.</w:t>
      </w:r>
    </w:p>
    <w:p>
      <w:pPr>
        <w:widowControl/>
      </w:pPr>
      <w:r>
        <w:rPr>
          <w:b/>
          <w:i w:val="0"/>
        </w:rPr>
        <w:t>rationem.</w:t>
      </w:r>
      <w:r>
        <w:rPr>
          <w:b w:val="0"/>
          <w:i w:val="0"/>
        </w:rPr>
        <w:t xml:space="preserve"> </w:t>
      </w:r>
      <w:hyperlink w:anchor="latin-record-1022">
        <w:r>
          <w:rPr>
            <w:color w:val="000000"/>
          </w:rPr>
          <w:t xml:space="preserve">ratio / rationalis</w:t>
        </w:r>
      </w:hyperlink>
      <w:r>
        <w:rPr>
          <w:b w:val="0"/>
          <w:i w:val="0"/>
        </w:rPr>
        <w:t>.</w:t>
      </w:r>
    </w:p>
    <w:p>
      <w:pPr>
        <w:widowControl/>
      </w:pPr>
      <w:r>
        <w:rPr>
          <w:b/>
          <w:i w:val="0"/>
        </w:rPr>
        <w:t>rationes.</w:t>
      </w:r>
      <w:r>
        <w:rPr>
          <w:b w:val="0"/>
          <w:i w:val="0"/>
        </w:rPr>
        <w:t xml:space="preserve"> </w:t>
      </w:r>
      <w:hyperlink w:anchor="latin-record-1020">
        <w:r>
          <w:rPr>
            <w:color w:val="000000"/>
          </w:rPr>
          <w:t xml:space="preserve">ratio</w:t>
        </w:r>
      </w:hyperlink>
      <w:r>
        <w:rPr>
          <w:b w:val="0"/>
          <w:i w:val="0"/>
        </w:rPr>
        <w:t xml:space="preserve">; </w:t>
      </w:r>
      <w:hyperlink w:anchor="latin-record-1022">
        <w:r>
          <w:rPr>
            <w:color w:val="000000"/>
          </w:rPr>
          <w:t xml:space="preserve">ratio / rationalis</w:t>
        </w:r>
      </w:hyperlink>
      <w:r>
        <w:rPr>
          <w:b w:val="0"/>
          <w:i w:val="0"/>
        </w:rPr>
        <w:t>.</w:t>
      </w:r>
    </w:p>
    <w:p>
      <w:pPr>
        <w:widowControl/>
      </w:pPr>
      <w:r>
        <w:rPr>
          <w:b/>
          <w:i w:val="0"/>
        </w:rPr>
        <w:t>rationibus.</w:t>
      </w:r>
      <w:r>
        <w:rPr>
          <w:b w:val="0"/>
          <w:i w:val="0"/>
        </w:rPr>
        <w:t xml:space="preserve"> </w:t>
      </w:r>
      <w:hyperlink w:anchor="latin-record-1021">
        <w:r>
          <w:rPr>
            <w:color w:val="000000"/>
          </w:rPr>
          <w:t xml:space="preserve">ratio / argumentatio / signum</w:t>
        </w:r>
      </w:hyperlink>
      <w:r>
        <w:rPr>
          <w:b w:val="0"/>
          <w:i w:val="0"/>
        </w:rPr>
        <w:t>.</w:t>
      </w:r>
    </w:p>
    <w:p>
      <w:pPr>
        <w:widowControl/>
      </w:pPr>
      <w:r>
        <w:rPr>
          <w:b/>
          <w:i w:val="0"/>
        </w:rPr>
        <w:t>rationis expertes.</w:t>
      </w:r>
      <w:r>
        <w:rPr>
          <w:b w:val="0"/>
          <w:i w:val="0"/>
        </w:rPr>
        <w:t xml:space="preserve"> </w:t>
      </w:r>
      <w:hyperlink w:anchor="latin-record-1027">
        <w:r>
          <w:rPr>
            <w:color w:val="000000"/>
          </w:rPr>
          <w:t xml:space="preserve">rationis compos / expers</w:t>
        </w:r>
      </w:hyperlink>
      <w:r>
        <w:rPr>
          <w:b w:val="0"/>
          <w:i w:val="0"/>
        </w:rPr>
        <w:t>.</w:t>
      </w:r>
    </w:p>
    <w:p>
      <w:pPr>
        <w:widowControl/>
      </w:pPr>
      <w:r>
        <w:rPr>
          <w:b/>
          <w:i w:val="0"/>
        </w:rPr>
        <w:t>re ipsa.</w:t>
      </w:r>
      <w:r>
        <w:rPr>
          <w:b w:val="0"/>
          <w:i w:val="0"/>
        </w:rPr>
        <w:t xml:space="preserve"> </w:t>
      </w:r>
      <w:hyperlink w:anchor="latin-record-1048">
        <w:r>
          <w:rPr>
            <w:color w:val="000000"/>
          </w:rPr>
          <w:t xml:space="preserve">res / re ipsa</w:t>
        </w:r>
      </w:hyperlink>
      <w:r>
        <w:rPr>
          <w:b w:val="0"/>
          <w:i w:val="0"/>
        </w:rPr>
        <w:t>.</w:t>
      </w:r>
    </w:p>
    <w:p>
      <w:pPr>
        <w:widowControl/>
      </w:pPr>
      <w:r>
        <w:rPr>
          <w:b/>
          <w:i w:val="0"/>
        </w:rPr>
        <w:t>reales.</w:t>
      </w:r>
      <w:r>
        <w:rPr>
          <w:b w:val="0"/>
          <w:i w:val="0"/>
        </w:rPr>
        <w:t xml:space="preserve"> </w:t>
      </w:r>
      <w:hyperlink w:anchor="latin-record-1028">
        <w:r>
          <w:rPr>
            <w:color w:val="000000"/>
          </w:rPr>
          <w:t xml:space="preserve">realis / intellectus (adjectival)</w:t>
        </w:r>
      </w:hyperlink>
      <w:r>
        <w:rPr>
          <w:b w:val="0"/>
          <w:i w:val="0"/>
        </w:rPr>
        <w:t>.</w:t>
      </w:r>
    </w:p>
    <w:p>
      <w:pPr>
        <w:widowControl/>
      </w:pPr>
      <w:r>
        <w:rPr>
          <w:b/>
          <w:i w:val="0"/>
        </w:rPr>
        <w:t>rebus.</w:t>
      </w:r>
      <w:r>
        <w:rPr>
          <w:b w:val="0"/>
          <w:i w:val="0"/>
        </w:rPr>
        <w:t xml:space="preserve"> </w:t>
      </w:r>
      <w:hyperlink w:anchor="latin-record-1047">
        <w:r>
          <w:rPr>
            <w:color w:val="000000"/>
          </w:rPr>
          <w:t xml:space="preserve">res</w:t>
        </w:r>
      </w:hyperlink>
      <w:r>
        <w:rPr>
          <w:b w:val="0"/>
          <w:i w:val="0"/>
        </w:rPr>
        <w:t>.</w:t>
      </w:r>
    </w:p>
    <w:p>
      <w:pPr>
        <w:widowControl/>
      </w:pPr>
      <w:r>
        <w:rPr>
          <w:b/>
          <w:i w:val="0"/>
        </w:rPr>
        <w:t>rebus publicis.</w:t>
      </w:r>
      <w:r>
        <w:rPr>
          <w:b w:val="0"/>
          <w:i w:val="0"/>
        </w:rPr>
        <w:t xml:space="preserve"> </w:t>
      </w:r>
      <w:hyperlink w:anchor="latin-record-1049">
        <w:r>
          <w:rPr>
            <w:color w:val="000000"/>
          </w:rPr>
          <w:t xml:space="preserve">res publicae</w:t>
        </w:r>
      </w:hyperlink>
      <w:r>
        <w:rPr>
          <w:b w:val="0"/>
          <w:i w:val="0"/>
        </w:rPr>
        <w:t>.</w:t>
      </w:r>
    </w:p>
    <w:p>
      <w:pPr>
        <w:widowControl/>
      </w:pPr>
      <w:r>
        <w:rPr>
          <w:b/>
          <w:i w:val="0"/>
        </w:rPr>
        <w:t>rebus veris.</w:t>
      </w:r>
      <w:r>
        <w:rPr>
          <w:b w:val="0"/>
          <w:i w:val="0"/>
        </w:rPr>
        <w:t xml:space="preserve"> </w:t>
      </w:r>
      <w:hyperlink w:anchor="latin-record-1216">
        <w:r>
          <w:rPr>
            <w:color w:val="000000"/>
          </w:rPr>
          <w:t xml:space="preserve">umbra / res vera</w:t>
        </w:r>
      </w:hyperlink>
      <w:r>
        <w:rPr>
          <w:b w:val="0"/>
          <w:i w:val="0"/>
        </w:rPr>
        <w:t>.</w:t>
      </w:r>
    </w:p>
    <w:p>
      <w:pPr>
        <w:widowControl/>
      </w:pPr>
      <w:r>
        <w:rPr>
          <w:b/>
          <w:i w:val="0"/>
        </w:rPr>
        <w:t>recedet.</w:t>
      </w:r>
      <w:r>
        <w:rPr>
          <w:b w:val="0"/>
          <w:i w:val="0"/>
        </w:rPr>
        <w:t xml:space="preserve"> </w:t>
      </w:r>
      <w:hyperlink w:anchor="latin-record-0006">
        <w:r>
          <w:rPr>
            <w:color w:val="000000"/>
          </w:rPr>
          <w:t xml:space="preserve">accedere / recedere</w:t>
        </w:r>
      </w:hyperlink>
      <w:r>
        <w:rPr>
          <w:b w:val="0"/>
          <w:i w:val="0"/>
        </w:rPr>
        <w:t>.</w:t>
      </w:r>
    </w:p>
    <w:p>
      <w:pPr>
        <w:widowControl/>
      </w:pPr>
      <w:r>
        <w:rPr>
          <w:b/>
          <w:i w:val="0"/>
        </w:rPr>
        <w:t>receptacula.</w:t>
      </w:r>
      <w:r>
        <w:rPr>
          <w:b w:val="0"/>
          <w:i w:val="0"/>
        </w:rPr>
        <w:t xml:space="preserve"> </w:t>
      </w:r>
      <w:hyperlink w:anchor="latin-record-1029">
        <w:r>
          <w:rPr>
            <w:color w:val="000000"/>
          </w:rPr>
          <w:t xml:space="preserve">receptaculum</w:t>
        </w:r>
      </w:hyperlink>
      <w:r>
        <w:rPr>
          <w:b w:val="0"/>
          <w:i w:val="0"/>
        </w:rPr>
        <w:t>.</w:t>
      </w:r>
    </w:p>
    <w:p>
      <w:pPr>
        <w:widowControl/>
      </w:pPr>
      <w:r>
        <w:rPr>
          <w:b/>
          <w:i w:val="0"/>
        </w:rPr>
        <w:t>receptaculum.</w:t>
      </w:r>
      <w:r>
        <w:rPr>
          <w:b w:val="0"/>
          <w:i w:val="0"/>
        </w:rPr>
        <w:t xml:space="preserve"> </w:t>
      </w:r>
      <w:hyperlink w:anchor="latin-record-1029">
        <w:r>
          <w:rPr>
            <w:color w:val="000000"/>
          </w:rPr>
          <w:t xml:space="preserve">receptaculum</w:t>
        </w:r>
      </w:hyperlink>
      <w:r>
        <w:rPr>
          <w:b w:val="0"/>
          <w:i w:val="0"/>
        </w:rPr>
        <w:t>.</w:t>
      </w:r>
    </w:p>
    <w:p>
      <w:pPr>
        <w:widowControl/>
      </w:pPr>
      <w:r>
        <w:rPr>
          <w:b/>
          <w:i w:val="0"/>
        </w:rPr>
        <w:t>reclamat.</w:t>
      </w:r>
      <w:r>
        <w:rPr>
          <w:b w:val="0"/>
          <w:i w:val="0"/>
        </w:rPr>
        <w:t xml:space="preserve"> </w:t>
      </w:r>
      <w:hyperlink w:anchor="latin-record-0170">
        <w:r>
          <w:rPr>
            <w:color w:val="000000"/>
          </w:rPr>
          <w:t xml:space="preserve">clamare / reclamare / persuadere</w:t>
        </w:r>
      </w:hyperlink>
      <w:r>
        <w:rPr>
          <w:b w:val="0"/>
          <w:i w:val="0"/>
        </w:rPr>
        <w:t>.</w:t>
      </w:r>
    </w:p>
    <w:p>
      <w:pPr>
        <w:widowControl/>
      </w:pPr>
      <w:r>
        <w:rPr>
          <w:b/>
          <w:i w:val="0"/>
        </w:rPr>
        <w:t>rector.</w:t>
      </w:r>
      <w:r>
        <w:rPr>
          <w:b w:val="0"/>
          <w:i w:val="0"/>
        </w:rPr>
        <w:t xml:space="preserve"> </w:t>
      </w:r>
      <w:hyperlink w:anchor="latin-record-1030">
        <w:r>
          <w:rPr>
            <w:color w:val="000000"/>
          </w:rPr>
          <w:t xml:space="preserve">rector / gubernare / regere</w:t>
        </w:r>
      </w:hyperlink>
      <w:r>
        <w:rPr>
          <w:b w:val="0"/>
          <w:i w:val="0"/>
        </w:rPr>
        <w:t>.</w:t>
      </w:r>
    </w:p>
    <w:p>
      <w:pPr>
        <w:widowControl/>
      </w:pPr>
      <w:r>
        <w:rPr>
          <w:b/>
          <w:i w:val="0"/>
        </w:rPr>
        <w:t>rector proprius.</w:t>
      </w:r>
      <w:r>
        <w:rPr>
          <w:b w:val="0"/>
          <w:i w:val="0"/>
        </w:rPr>
        <w:t xml:space="preserve"> </w:t>
      </w:r>
      <w:hyperlink w:anchor="latin-record-1031">
        <w:r>
          <w:rPr>
            <w:color w:val="000000"/>
          </w:rPr>
          <w:t xml:space="preserve">rector proprius</w:t>
        </w:r>
      </w:hyperlink>
      <w:r>
        <w:rPr>
          <w:b w:val="0"/>
          <w:i w:val="0"/>
        </w:rPr>
        <w:t>.</w:t>
      </w:r>
    </w:p>
    <w:p>
      <w:pPr>
        <w:widowControl/>
      </w:pPr>
      <w:r>
        <w:rPr>
          <w:b/>
          <w:i w:val="0"/>
        </w:rPr>
        <w:t>rectores.</w:t>
      </w:r>
      <w:r>
        <w:rPr>
          <w:b w:val="0"/>
          <w:i w:val="0"/>
        </w:rPr>
        <w:t xml:space="preserve"> </w:t>
      </w:r>
      <w:hyperlink w:anchor="latin-record-1290">
        <w:r>
          <w:rPr>
            <w:color w:val="000000"/>
          </w:rPr>
          <w:t xml:space="preserve">Zoroaster / rectores</w:t>
        </w:r>
      </w:hyperlink>
      <w:r>
        <w:rPr>
          <w:b w:val="0"/>
          <w:i w:val="0"/>
        </w:rPr>
        <w:t>.</w:t>
      </w:r>
    </w:p>
    <w:p>
      <w:pPr>
        <w:widowControl/>
      </w:pPr>
      <w:r>
        <w:rPr>
          <w:b/>
          <w:i w:val="0"/>
        </w:rPr>
        <w:t>recuperent.</w:t>
      </w:r>
      <w:r>
        <w:rPr>
          <w:b w:val="0"/>
          <w:i w:val="0"/>
        </w:rPr>
        <w:t xml:space="preserve"> </w:t>
      </w:r>
      <w:hyperlink w:anchor="latin-record-0693">
        <w:r>
          <w:rPr>
            <w:color w:val="000000"/>
          </w:rPr>
          <w:t xml:space="preserve">mereri / aequalitatem recuperare</w:t>
        </w:r>
      </w:hyperlink>
      <w:r>
        <w:rPr>
          <w:b w:val="0"/>
          <w:i w:val="0"/>
        </w:rPr>
        <w:t>.</w:t>
      </w:r>
    </w:p>
    <w:p>
      <w:pPr>
        <w:widowControl/>
      </w:pPr>
      <w:r>
        <w:rPr>
          <w:b/>
          <w:i w:val="0"/>
        </w:rPr>
        <w:t>recurrit rursus in duodenarium.</w:t>
      </w:r>
      <w:r>
        <w:rPr>
          <w:b w:val="0"/>
          <w:i w:val="0"/>
        </w:rPr>
        <w:t xml:space="preserve"> </w:t>
      </w:r>
      <w:hyperlink w:anchor="latin-record-1032">
        <w:r>
          <w:rPr>
            <w:color w:val="000000"/>
          </w:rPr>
          <w:t xml:space="preserve">recurrere in duodenarium</w:t>
        </w:r>
      </w:hyperlink>
      <w:r>
        <w:rPr>
          <w:b w:val="0"/>
          <w:i w:val="0"/>
        </w:rPr>
        <w:t>.</w:t>
      </w:r>
    </w:p>
    <w:p>
      <w:pPr>
        <w:widowControl/>
      </w:pPr>
      <w:r>
        <w:rPr>
          <w:b/>
          <w:i w:val="0"/>
        </w:rPr>
        <w:t>redigatur.</w:t>
      </w:r>
      <w:r>
        <w:rPr>
          <w:b w:val="0"/>
          <w:i w:val="0"/>
        </w:rPr>
        <w:t xml:space="preserve"> </w:t>
      </w:r>
      <w:hyperlink w:anchor="latin-record-1034">
        <w:r>
          <w:rPr>
            <w:color w:val="000000"/>
          </w:rPr>
          <w:t xml:space="preserve">reducere / redigere</w:t>
        </w:r>
      </w:hyperlink>
      <w:r>
        <w:rPr>
          <w:b w:val="0"/>
          <w:i w:val="0"/>
        </w:rPr>
        <w:t>.</w:t>
      </w:r>
    </w:p>
    <w:p>
      <w:pPr>
        <w:widowControl/>
      </w:pPr>
      <w:r>
        <w:rPr>
          <w:b/>
          <w:i w:val="0"/>
        </w:rPr>
        <w:t>redigitur.</w:t>
      </w:r>
      <w:r>
        <w:rPr>
          <w:b w:val="0"/>
          <w:i w:val="0"/>
        </w:rPr>
        <w:t xml:space="preserve"> </w:t>
      </w:r>
      <w:hyperlink w:anchor="latin-record-1033">
        <w:r>
          <w:rPr>
            <w:color w:val="000000"/>
          </w:rPr>
          <w:t xml:space="preserve">redigere / colligere / referre</w:t>
        </w:r>
      </w:hyperlink>
      <w:r>
        <w:rPr>
          <w:b w:val="0"/>
          <w:i w:val="0"/>
        </w:rPr>
        <w:t>.</w:t>
      </w:r>
    </w:p>
    <w:p>
      <w:pPr>
        <w:widowControl/>
      </w:pPr>
      <w:r>
        <w:rPr>
          <w:b/>
          <w:i w:val="0"/>
        </w:rPr>
        <w:t>reducamus.</w:t>
      </w:r>
      <w:r>
        <w:rPr>
          <w:b w:val="0"/>
          <w:i w:val="0"/>
        </w:rPr>
        <w:t xml:space="preserve"> </w:t>
      </w:r>
      <w:hyperlink w:anchor="latin-record-0184">
        <w:r>
          <w:rPr>
            <w:color w:val="000000"/>
          </w:rPr>
          <w:t xml:space="preserve">colligere / reducere</w:t>
        </w:r>
      </w:hyperlink>
      <w:r>
        <w:rPr>
          <w:b w:val="0"/>
          <w:i w:val="0"/>
        </w:rPr>
        <w:t>.</w:t>
      </w:r>
    </w:p>
    <w:p>
      <w:pPr>
        <w:widowControl/>
      </w:pPr>
      <w:r>
        <w:rPr>
          <w:b/>
          <w:i w:val="0"/>
        </w:rPr>
        <w:t>reducatur.</w:t>
      </w:r>
      <w:r>
        <w:rPr>
          <w:b w:val="0"/>
          <w:i w:val="0"/>
        </w:rPr>
        <w:t xml:space="preserve"> </w:t>
      </w:r>
      <w:hyperlink w:anchor="latin-record-1034">
        <w:r>
          <w:rPr>
            <w:color w:val="000000"/>
          </w:rPr>
          <w:t xml:space="preserve">reducere / redigere</w:t>
        </w:r>
      </w:hyperlink>
      <w:r>
        <w:rPr>
          <w:b w:val="0"/>
          <w:i w:val="0"/>
        </w:rPr>
        <w:t>.</w:t>
      </w:r>
    </w:p>
    <w:p>
      <w:pPr>
        <w:widowControl/>
      </w:pPr>
      <w:r>
        <w:rPr>
          <w:b/>
          <w:i w:val="0"/>
        </w:rPr>
        <w:t>reducenda.</w:t>
      </w:r>
      <w:r>
        <w:rPr>
          <w:b w:val="0"/>
          <w:i w:val="0"/>
        </w:rPr>
        <w:t xml:space="preserve"> </w:t>
      </w:r>
      <w:hyperlink w:anchor="latin-record-0184">
        <w:r>
          <w:rPr>
            <w:color w:val="000000"/>
          </w:rPr>
          <w:t xml:space="preserve">colligere / reducere</w:t>
        </w:r>
      </w:hyperlink>
      <w:r>
        <w:rPr>
          <w:b w:val="0"/>
          <w:i w:val="0"/>
        </w:rPr>
        <w:t>.</w:t>
      </w:r>
    </w:p>
    <w:p>
      <w:pPr>
        <w:widowControl/>
      </w:pPr>
      <w:r>
        <w:rPr>
          <w:b/>
          <w:i w:val="0"/>
        </w:rPr>
        <w:t>reducendum.</w:t>
      </w:r>
      <w:r>
        <w:rPr>
          <w:b w:val="0"/>
          <w:i w:val="0"/>
        </w:rPr>
        <w:t xml:space="preserve"> </w:t>
      </w:r>
      <w:hyperlink w:anchor="latin-record-1035">
        <w:r>
          <w:rPr>
            <w:color w:val="000000"/>
          </w:rPr>
          <w:t xml:space="preserve">reducere / referre</w:t>
        </w:r>
      </w:hyperlink>
      <w:r>
        <w:rPr>
          <w:b w:val="0"/>
          <w:i w:val="0"/>
        </w:rPr>
        <w:t>.</w:t>
      </w:r>
    </w:p>
    <w:p>
      <w:pPr>
        <w:widowControl/>
      </w:pPr>
      <w:r>
        <w:rPr>
          <w:b/>
          <w:i w:val="0"/>
        </w:rPr>
        <w:t>reducuntur.</w:t>
      </w:r>
      <w:r>
        <w:rPr>
          <w:b w:val="0"/>
          <w:i w:val="0"/>
        </w:rPr>
        <w:t xml:space="preserve"> </w:t>
      </w:r>
      <w:hyperlink w:anchor="latin-record-1034">
        <w:r>
          <w:rPr>
            <w:color w:val="000000"/>
          </w:rPr>
          <w:t xml:space="preserve">reducere / redigere</w:t>
        </w:r>
      </w:hyperlink>
      <w:r>
        <w:rPr>
          <w:b w:val="0"/>
          <w:i w:val="0"/>
        </w:rPr>
        <w:t xml:space="preserve">; </w:t>
      </w:r>
      <w:hyperlink w:anchor="latin-record-1035">
        <w:r>
          <w:rPr>
            <w:color w:val="000000"/>
          </w:rPr>
          <w:t xml:space="preserve">reducere / referre</w:t>
        </w:r>
      </w:hyperlink>
      <w:r>
        <w:rPr>
          <w:b w:val="0"/>
          <w:i w:val="0"/>
        </w:rPr>
        <w:t>.</w:t>
      </w:r>
    </w:p>
    <w:p>
      <w:pPr>
        <w:widowControl/>
      </w:pPr>
      <w:r>
        <w:rPr>
          <w:b/>
          <w:i w:val="0"/>
        </w:rPr>
        <w:t>refellemus.</w:t>
      </w:r>
      <w:r>
        <w:rPr>
          <w:b w:val="0"/>
          <w:i w:val="0"/>
        </w:rPr>
        <w:t xml:space="preserve"> </w:t>
      </w:r>
      <w:hyperlink w:anchor="latin-record-0237">
        <w:r>
          <w:rPr>
            <w:color w:val="000000"/>
          </w:rPr>
          <w:t xml:space="preserve">confutare / refellere</w:t>
        </w:r>
      </w:hyperlink>
      <w:r>
        <w:rPr>
          <w:b w:val="0"/>
          <w:i w:val="0"/>
        </w:rPr>
        <w:t>.</w:t>
      </w:r>
    </w:p>
    <w:p>
      <w:pPr>
        <w:widowControl/>
      </w:pPr>
      <w:r>
        <w:rPr>
          <w:b/>
          <w:i w:val="0"/>
        </w:rPr>
        <w:t>referamus.</w:t>
      </w:r>
      <w:r>
        <w:rPr>
          <w:b w:val="0"/>
          <w:i w:val="0"/>
        </w:rPr>
        <w:t xml:space="preserve"> </w:t>
      </w:r>
      <w:hyperlink w:anchor="latin-record-1035">
        <w:r>
          <w:rPr>
            <w:color w:val="000000"/>
          </w:rPr>
          <w:t xml:space="preserve">reducere / referre</w:t>
        </w:r>
      </w:hyperlink>
      <w:r>
        <w:rPr>
          <w:b w:val="0"/>
          <w:i w:val="0"/>
        </w:rPr>
        <w:t>.</w:t>
      </w:r>
    </w:p>
    <w:p>
      <w:pPr>
        <w:widowControl/>
      </w:pPr>
      <w:r>
        <w:rPr>
          <w:b/>
          <w:i w:val="0"/>
        </w:rPr>
        <w:t>referantur.</w:t>
      </w:r>
      <w:r>
        <w:rPr>
          <w:b w:val="0"/>
          <w:i w:val="0"/>
        </w:rPr>
        <w:t xml:space="preserve"> </w:t>
      </w:r>
      <w:hyperlink w:anchor="latin-record-1033">
        <w:r>
          <w:rPr>
            <w:color w:val="000000"/>
          </w:rPr>
          <w:t xml:space="preserve">redigere / colligere / referre</w:t>
        </w:r>
      </w:hyperlink>
      <w:r>
        <w:rPr>
          <w:b w:val="0"/>
          <w:i w:val="0"/>
        </w:rPr>
        <w:t>.</w:t>
      </w:r>
    </w:p>
    <w:p>
      <w:pPr>
        <w:widowControl/>
      </w:pPr>
      <w:r>
        <w:rPr>
          <w:b/>
          <w:i w:val="0"/>
        </w:rPr>
        <w:t>referatque.</w:t>
      </w:r>
      <w:r>
        <w:rPr>
          <w:b w:val="0"/>
          <w:i w:val="0"/>
        </w:rPr>
        <w:t xml:space="preserve"> </w:t>
      </w:r>
      <w:hyperlink w:anchor="latin-record-0410">
        <w:r>
          <w:rPr>
            <w:color w:val="000000"/>
          </w:rPr>
          <w:t xml:space="preserve">exprimere / referre</w:t>
        </w:r>
      </w:hyperlink>
      <w:r>
        <w:rPr>
          <w:b w:val="0"/>
          <w:i w:val="0"/>
        </w:rPr>
        <w:t>.</w:t>
      </w:r>
    </w:p>
    <w:p>
      <w:pPr>
        <w:widowControl/>
      </w:pPr>
      <w:r>
        <w:rPr>
          <w:b/>
          <w:i w:val="0"/>
        </w:rPr>
        <w:t>referatur.</w:t>
      </w:r>
      <w:r>
        <w:rPr>
          <w:b w:val="0"/>
          <w:i w:val="0"/>
        </w:rPr>
        <w:t xml:space="preserve"> </w:t>
      </w:r>
      <w:hyperlink w:anchor="latin-record-1033">
        <w:r>
          <w:rPr>
            <w:color w:val="000000"/>
          </w:rPr>
          <w:t xml:space="preserve">redigere / colligere / referre</w:t>
        </w:r>
      </w:hyperlink>
      <w:r>
        <w:rPr>
          <w:b w:val="0"/>
          <w:i w:val="0"/>
        </w:rPr>
        <w:t>.</w:t>
      </w:r>
    </w:p>
    <w:p>
      <w:pPr>
        <w:widowControl/>
      </w:pPr>
      <w:r>
        <w:rPr>
          <w:b/>
          <w:i w:val="0"/>
        </w:rPr>
        <w:t>referri.</w:t>
      </w:r>
      <w:r>
        <w:rPr>
          <w:b w:val="0"/>
          <w:i w:val="0"/>
        </w:rPr>
        <w:t xml:space="preserve"> </w:t>
      </w:r>
      <w:hyperlink w:anchor="latin-record-1033">
        <w:r>
          <w:rPr>
            <w:color w:val="000000"/>
          </w:rPr>
          <w:t xml:space="preserve">redigere / colligere / referre</w:t>
        </w:r>
      </w:hyperlink>
      <w:r>
        <w:rPr>
          <w:b w:val="0"/>
          <w:i w:val="0"/>
        </w:rPr>
        <w:t>.</w:t>
      </w:r>
    </w:p>
    <w:p>
      <w:pPr>
        <w:widowControl/>
      </w:pPr>
      <w:r>
        <w:rPr>
          <w:b/>
          <w:i w:val="0"/>
        </w:rPr>
        <w:t>reflectatur.</w:t>
      </w:r>
      <w:r>
        <w:rPr>
          <w:b w:val="0"/>
          <w:i w:val="0"/>
        </w:rPr>
        <w:t xml:space="preserve"> </w:t>
      </w:r>
      <w:hyperlink w:anchor="latin-record-1044">
        <w:r>
          <w:rPr>
            <w:color w:val="000000"/>
          </w:rPr>
          <w:t xml:space="preserve">repetere / reflectere</w:t>
        </w:r>
      </w:hyperlink>
      <w:r>
        <w:rPr>
          <w:b w:val="0"/>
          <w:i w:val="0"/>
        </w:rPr>
        <w:t>.</w:t>
      </w:r>
    </w:p>
    <w:p>
      <w:pPr>
        <w:widowControl/>
      </w:pPr>
      <w:r>
        <w:rPr>
          <w:b/>
          <w:i w:val="0"/>
        </w:rPr>
        <w:t>reflectendae.</w:t>
      </w:r>
      <w:r>
        <w:rPr>
          <w:b w:val="0"/>
          <w:i w:val="0"/>
        </w:rPr>
        <w:t xml:space="preserve"> </w:t>
      </w:r>
      <w:hyperlink w:anchor="latin-record-1036">
        <w:r>
          <w:rPr>
            <w:color w:val="000000"/>
          </w:rPr>
          <w:t xml:space="preserve">reflectere</w:t>
        </w:r>
      </w:hyperlink>
      <w:r>
        <w:rPr>
          <w:b w:val="0"/>
          <w:i w:val="0"/>
        </w:rPr>
        <w:t>.</w:t>
      </w:r>
    </w:p>
    <w:p>
      <w:pPr>
        <w:widowControl/>
      </w:pPr>
      <w:r>
        <w:rPr>
          <w:b/>
          <w:i w:val="0"/>
        </w:rPr>
        <w:t>reflecti.</w:t>
      </w:r>
      <w:r>
        <w:rPr>
          <w:b w:val="0"/>
          <w:i w:val="0"/>
        </w:rPr>
        <w:t xml:space="preserve"> </w:t>
      </w:r>
      <w:hyperlink w:anchor="latin-record-1036">
        <w:r>
          <w:rPr>
            <w:color w:val="000000"/>
          </w:rPr>
          <w:t xml:space="preserve">reflectere</w:t>
        </w:r>
      </w:hyperlink>
      <w:r>
        <w:rPr>
          <w:b w:val="0"/>
          <w:i w:val="0"/>
        </w:rPr>
        <w:t>.</w:t>
      </w:r>
    </w:p>
    <w:p>
      <w:pPr>
        <w:widowControl/>
      </w:pPr>
      <w:r>
        <w:rPr>
          <w:b/>
          <w:i w:val="0"/>
        </w:rPr>
        <w:t>reflectunt in gyrum.</w:t>
      </w:r>
      <w:r>
        <w:rPr>
          <w:b w:val="0"/>
          <w:i w:val="0"/>
        </w:rPr>
        <w:t xml:space="preserve"> </w:t>
      </w:r>
      <w:hyperlink w:anchor="latin-record-0263">
        <w:r>
          <w:rPr>
            <w:color w:val="000000"/>
          </w:rPr>
          <w:t xml:space="preserve">continuatio / reflectere in gyrum</w:t>
        </w:r>
      </w:hyperlink>
      <w:r>
        <w:rPr>
          <w:b w:val="0"/>
          <w:i w:val="0"/>
        </w:rPr>
        <w:t>.</w:t>
      </w:r>
    </w:p>
    <w:p>
      <w:pPr>
        <w:widowControl/>
      </w:pPr>
      <w:r>
        <w:rPr>
          <w:b/>
          <w:i w:val="0"/>
        </w:rPr>
        <w:t>reflexio.</w:t>
      </w:r>
      <w:r>
        <w:rPr>
          <w:b w:val="0"/>
          <w:i w:val="0"/>
        </w:rPr>
        <w:t xml:space="preserve"> </w:t>
      </w:r>
      <w:hyperlink w:anchor="latin-record-0186">
        <w:r>
          <w:rPr>
            <w:color w:val="000000"/>
          </w:rPr>
          <w:t xml:space="preserve">collisio / reflexio / lana</w:t>
        </w:r>
      </w:hyperlink>
      <w:r>
        <w:rPr>
          <w:b w:val="0"/>
          <w:i w:val="0"/>
        </w:rPr>
        <w:t>.</w:t>
      </w:r>
    </w:p>
    <w:p>
      <w:pPr>
        <w:widowControl/>
      </w:pPr>
      <w:r>
        <w:rPr>
          <w:b/>
          <w:i w:val="0"/>
        </w:rPr>
        <w:t>refluunt.</w:t>
      </w:r>
      <w:r>
        <w:rPr>
          <w:b w:val="0"/>
          <w:i w:val="0"/>
        </w:rPr>
        <w:t xml:space="preserve"> </w:t>
      </w:r>
      <w:hyperlink w:anchor="latin-record-0457">
        <w:r>
          <w:rPr>
            <w:color w:val="000000"/>
          </w:rPr>
          <w:t xml:space="preserve">fluere / fluitare / fluxus</w:t>
        </w:r>
      </w:hyperlink>
      <w:r>
        <w:rPr>
          <w:b w:val="0"/>
          <w:i w:val="0"/>
        </w:rPr>
        <w:t>.</w:t>
      </w:r>
    </w:p>
    <w:p>
      <w:pPr>
        <w:widowControl/>
      </w:pPr>
      <w:r>
        <w:rPr>
          <w:b/>
          <w:i w:val="0"/>
        </w:rPr>
        <w:t>reformantur.</w:t>
      </w:r>
      <w:r>
        <w:rPr>
          <w:b w:val="0"/>
          <w:i w:val="0"/>
        </w:rPr>
        <w:t xml:space="preserve"> </w:t>
      </w:r>
      <w:hyperlink w:anchor="latin-record-1037">
        <w:r>
          <w:rPr>
            <w:color w:val="000000"/>
          </w:rPr>
          <w:t xml:space="preserve">reformare / restituere</w:t>
        </w:r>
      </w:hyperlink>
      <w:r>
        <w:rPr>
          <w:b w:val="0"/>
          <w:i w:val="0"/>
        </w:rPr>
        <w:t>.</w:t>
      </w:r>
    </w:p>
    <w:p>
      <w:pPr>
        <w:widowControl/>
      </w:pPr>
      <w:r>
        <w:rPr>
          <w:b/>
          <w:i w:val="0"/>
        </w:rPr>
        <w:t>regere.</w:t>
      </w:r>
      <w:r>
        <w:rPr>
          <w:b w:val="0"/>
          <w:i w:val="0"/>
        </w:rPr>
        <w:t xml:space="preserve"> </w:t>
      </w:r>
      <w:hyperlink w:anchor="latin-record-1030">
        <w:r>
          <w:rPr>
            <w:color w:val="000000"/>
          </w:rPr>
          <w:t xml:space="preserve">rector / gubernare / regere</w:t>
        </w:r>
      </w:hyperlink>
      <w:r>
        <w:rPr>
          <w:b w:val="0"/>
          <w:i w:val="0"/>
        </w:rPr>
        <w:t>.</w:t>
      </w:r>
    </w:p>
    <w:p>
      <w:pPr>
        <w:widowControl/>
      </w:pPr>
      <w:r>
        <w:rPr>
          <w:b/>
          <w:i w:val="0"/>
        </w:rPr>
        <w:t>regina.</w:t>
      </w:r>
      <w:r>
        <w:rPr>
          <w:b w:val="0"/>
          <w:i w:val="0"/>
        </w:rPr>
        <w:t xml:space="preserve"> </w:t>
      </w:r>
      <w:hyperlink w:anchor="latin-record-1038">
        <w:r>
          <w:rPr>
            <w:color w:val="000000"/>
          </w:rPr>
          <w:t xml:space="preserve">regina / pedisequa</w:t>
        </w:r>
      </w:hyperlink>
      <w:r>
        <w:rPr>
          <w:b w:val="0"/>
          <w:i w:val="0"/>
        </w:rPr>
        <w:t>.</w:t>
      </w:r>
    </w:p>
    <w:p>
      <w:pPr>
        <w:widowControl/>
      </w:pPr>
      <w:r>
        <w:rPr>
          <w:b/>
          <w:i w:val="0"/>
        </w:rPr>
        <w:t>regionem.</w:t>
      </w:r>
      <w:r>
        <w:rPr>
          <w:b w:val="0"/>
          <w:i w:val="0"/>
        </w:rPr>
        <w:t xml:space="preserve"> </w:t>
      </w:r>
      <w:hyperlink w:anchor="latin-record-0645">
        <w:r>
          <w:rPr>
            <w:color w:val="000000"/>
          </w:rPr>
          <w:t xml:space="preserve">locare / regio / localis</w:t>
        </w:r>
      </w:hyperlink>
      <w:r>
        <w:rPr>
          <w:b w:val="0"/>
          <w:i w:val="0"/>
        </w:rPr>
        <w:t xml:space="preserve">; </w:t>
      </w:r>
      <w:hyperlink w:anchor="latin-record-1082">
        <w:r>
          <w:rPr>
            <w:color w:val="000000"/>
          </w:rPr>
          <w:t xml:space="preserve">sedes / regio</w:t>
        </w:r>
      </w:hyperlink>
      <w:r>
        <w:rPr>
          <w:b w:val="0"/>
          <w:i w:val="0"/>
        </w:rPr>
        <w:t>.</w:t>
      </w:r>
    </w:p>
    <w:p>
      <w:pPr>
        <w:widowControl/>
      </w:pPr>
      <w:r>
        <w:rPr>
          <w:b/>
          <w:i w:val="0"/>
        </w:rPr>
        <w:t>regit.</w:t>
      </w:r>
      <w:r>
        <w:rPr>
          <w:b w:val="0"/>
          <w:i w:val="0"/>
        </w:rPr>
        <w:t xml:space="preserve"> </w:t>
      </w:r>
      <w:hyperlink w:anchor="latin-record-0927">
        <w:r>
          <w:rPr>
            <w:color w:val="000000"/>
          </w:rPr>
          <w:t xml:space="preserve">principatus / gubernare / regere</w:t>
        </w:r>
      </w:hyperlink>
      <w:r>
        <w:rPr>
          <w:b w:val="0"/>
          <w:i w:val="0"/>
        </w:rPr>
        <w:t>.</w:t>
      </w:r>
    </w:p>
    <w:p>
      <w:pPr>
        <w:widowControl/>
      </w:pPr>
      <w:r>
        <w:rPr>
          <w:b/>
          <w:i w:val="0"/>
        </w:rPr>
        <w:t>regno.</w:t>
      </w:r>
      <w:r>
        <w:rPr>
          <w:b w:val="0"/>
          <w:i w:val="0"/>
        </w:rPr>
        <w:t xml:space="preserve"> </w:t>
      </w:r>
      <w:hyperlink w:anchor="latin-record-0634">
        <w:r>
          <w:rPr>
            <w:color w:val="000000"/>
          </w:rPr>
          <w:t xml:space="preserve">leges / respublica / regnum / Critias (titles)</w:t>
        </w:r>
      </w:hyperlink>
      <w:r>
        <w:rPr>
          <w:b w:val="0"/>
          <w:i w:val="0"/>
        </w:rPr>
        <w:t>.</w:t>
      </w:r>
    </w:p>
    <w:p>
      <w:pPr>
        <w:widowControl/>
      </w:pPr>
      <w:r>
        <w:rPr>
          <w:b/>
          <w:i w:val="0"/>
        </w:rPr>
        <w:t>regula.</w:t>
      </w:r>
      <w:r>
        <w:rPr>
          <w:b w:val="0"/>
          <w:i w:val="0"/>
        </w:rPr>
        <w:t xml:space="preserve"> </w:t>
      </w:r>
      <w:hyperlink w:anchor="latin-record-1039">
        <w:r>
          <w:rPr>
            <w:color w:val="000000"/>
          </w:rPr>
          <w:t xml:space="preserve">regula</w:t>
        </w:r>
      </w:hyperlink>
      <w:r>
        <w:rPr>
          <w:b w:val="0"/>
          <w:i w:val="0"/>
        </w:rPr>
        <w:t>.</w:t>
      </w:r>
    </w:p>
    <w:p>
      <w:pPr>
        <w:widowControl/>
      </w:pPr>
      <w:r>
        <w:rPr>
          <w:b/>
          <w:i w:val="0"/>
        </w:rPr>
        <w:t>relicta.</w:t>
      </w:r>
      <w:r>
        <w:rPr>
          <w:b w:val="0"/>
          <w:i w:val="0"/>
        </w:rPr>
        <w:t xml:space="preserve"> </w:t>
      </w:r>
      <w:hyperlink w:anchor="latin-record-0448">
        <w:r>
          <w:rPr>
            <w:color w:val="000000"/>
          </w:rPr>
          <w:t xml:space="preserve">fingo and removed members</w:t>
        </w:r>
      </w:hyperlink>
      <w:r>
        <w:rPr>
          <w:b w:val="0"/>
          <w:i w:val="0"/>
        </w:rPr>
        <w:t>.</w:t>
      </w:r>
    </w:p>
    <w:p>
      <w:pPr>
        <w:widowControl/>
      </w:pPr>
      <w:r>
        <w:rPr>
          <w:b/>
          <w:i w:val="0"/>
        </w:rPr>
        <w:t>relinquat.</w:t>
      </w:r>
      <w:r>
        <w:rPr>
          <w:b w:val="0"/>
          <w:i w:val="0"/>
        </w:rPr>
        <w:t xml:space="preserve"> </w:t>
      </w:r>
      <w:hyperlink w:anchor="latin-record-0771">
        <w:r>
          <w:rPr>
            <w:color w:val="000000"/>
          </w:rPr>
          <w:t xml:space="preserve">novus / relinquere</w:t>
        </w:r>
      </w:hyperlink>
      <w:r>
        <w:rPr>
          <w:b w:val="0"/>
          <w:i w:val="0"/>
        </w:rPr>
        <w:t>.</w:t>
      </w:r>
    </w:p>
    <w:p>
      <w:pPr>
        <w:widowControl/>
      </w:pPr>
      <w:r>
        <w:rPr>
          <w:b/>
          <w:i w:val="0"/>
        </w:rPr>
        <w:t>relinquit.</w:t>
      </w:r>
      <w:r>
        <w:rPr>
          <w:b w:val="0"/>
          <w:i w:val="0"/>
        </w:rPr>
        <w:t xml:space="preserve"> </w:t>
      </w:r>
      <w:hyperlink w:anchor="latin-record-0306">
        <w:r>
          <w:rPr>
            <w:color w:val="000000"/>
          </w:rPr>
          <w:t xml:space="preserve">deserere / relinquere</w:t>
        </w:r>
      </w:hyperlink>
      <w:r>
        <w:rPr>
          <w:b w:val="0"/>
          <w:i w:val="0"/>
        </w:rPr>
        <w:t>.</w:t>
      </w:r>
    </w:p>
    <w:p>
      <w:pPr>
        <w:widowControl/>
      </w:pPr>
      <w:r>
        <w:rPr>
          <w:b/>
          <w:i w:val="0"/>
        </w:rPr>
        <w:t>reluceat.</w:t>
      </w:r>
      <w:r>
        <w:rPr>
          <w:b w:val="0"/>
          <w:i w:val="0"/>
        </w:rPr>
        <w:t xml:space="preserve"> </w:t>
      </w:r>
      <w:hyperlink w:anchor="latin-record-1288">
        <w:r>
          <w:rPr>
            <w:color w:val="000000"/>
          </w:rPr>
          <w:t xml:space="preserve">vultus / reluceo</w:t>
        </w:r>
      </w:hyperlink>
      <w:r>
        <w:rPr>
          <w:b w:val="0"/>
          <w:i w:val="0"/>
        </w:rPr>
        <w:t>.</w:t>
      </w:r>
    </w:p>
    <w:p>
      <w:pPr>
        <w:widowControl/>
      </w:pPr>
      <w:r>
        <w:rPr>
          <w:b/>
          <w:i w:val="0"/>
        </w:rPr>
        <w:t>remanens.</w:t>
      </w:r>
      <w:r>
        <w:rPr>
          <w:b w:val="0"/>
          <w:i w:val="0"/>
        </w:rPr>
        <w:t xml:space="preserve"> </w:t>
      </w:r>
      <w:hyperlink w:anchor="latin-record-0670">
        <w:r>
          <w:rPr>
            <w:color w:val="000000"/>
          </w:rPr>
          <w:t xml:space="preserve">manere / permanere / remanere</w:t>
        </w:r>
      </w:hyperlink>
      <w:r>
        <w:rPr>
          <w:b w:val="0"/>
          <w:i w:val="0"/>
        </w:rPr>
        <w:t>.</w:t>
      </w:r>
    </w:p>
    <w:p>
      <w:pPr>
        <w:widowControl/>
      </w:pPr>
      <w:r>
        <w:rPr>
          <w:b/>
          <w:i w:val="0"/>
        </w:rPr>
        <w:t>remissione.</w:t>
      </w:r>
      <w:r>
        <w:rPr>
          <w:b w:val="0"/>
          <w:i w:val="0"/>
        </w:rPr>
        <w:t xml:space="preserve"> </w:t>
      </w:r>
      <w:hyperlink w:anchor="latin-record-0297">
        <w:r>
          <w:rPr>
            <w:color w:val="000000"/>
          </w:rPr>
          <w:t xml:space="preserve">decrementum / remissio</w:t>
        </w:r>
      </w:hyperlink>
      <w:r>
        <w:rPr>
          <w:b w:val="0"/>
          <w:i w:val="0"/>
        </w:rPr>
        <w:t>.</w:t>
      </w:r>
    </w:p>
    <w:p>
      <w:pPr>
        <w:widowControl/>
      </w:pPr>
      <w:r>
        <w:rPr>
          <w:b/>
          <w:i w:val="0"/>
        </w:rPr>
        <w:t>remissioni.</w:t>
      </w:r>
      <w:r>
        <w:rPr>
          <w:b w:val="0"/>
          <w:i w:val="0"/>
        </w:rPr>
        <w:t xml:space="preserve"> </w:t>
      </w:r>
      <w:hyperlink w:anchor="latin-record-0297">
        <w:r>
          <w:rPr>
            <w:color w:val="000000"/>
          </w:rPr>
          <w:t xml:space="preserve">decrementum / remissio</w:t>
        </w:r>
      </w:hyperlink>
      <w:r>
        <w:rPr>
          <w:b w:val="0"/>
          <w:i w:val="0"/>
        </w:rPr>
        <w:t>.</w:t>
      </w:r>
    </w:p>
    <w:p>
      <w:pPr>
        <w:widowControl/>
      </w:pPr>
      <w:r>
        <w:rPr>
          <w:b/>
          <w:i w:val="0"/>
        </w:rPr>
        <w:t>remissior.</w:t>
      </w:r>
      <w:r>
        <w:rPr>
          <w:b w:val="0"/>
          <w:i w:val="0"/>
        </w:rPr>
        <w:t xml:space="preserve"> </w:t>
      </w:r>
      <w:hyperlink w:anchor="latin-record-1040">
        <w:r>
          <w:rPr>
            <w:color w:val="000000"/>
          </w:rPr>
          <w:t xml:space="preserve">remissior / vehemens</w:t>
        </w:r>
      </w:hyperlink>
      <w:r>
        <w:rPr>
          <w:b w:val="0"/>
          <w:i w:val="0"/>
        </w:rPr>
        <w:t>.</w:t>
      </w:r>
    </w:p>
    <w:p>
      <w:pPr>
        <w:widowControl/>
      </w:pPr>
      <w:r>
        <w:rPr>
          <w:b/>
          <w:i w:val="0"/>
        </w:rPr>
        <w:t>remittatur.</w:t>
      </w:r>
      <w:r>
        <w:rPr>
          <w:b w:val="0"/>
          <w:i w:val="0"/>
        </w:rPr>
        <w:t xml:space="preserve"> </w:t>
      </w:r>
      <w:hyperlink w:anchor="latin-record-0599">
        <w:r>
          <w:rPr>
            <w:color w:val="000000"/>
          </w:rPr>
          <w:t xml:space="preserve">intendo / remitto</w:t>
        </w:r>
      </w:hyperlink>
      <w:r>
        <w:rPr>
          <w:b w:val="0"/>
          <w:i w:val="0"/>
        </w:rPr>
        <w:t>.</w:t>
      </w:r>
    </w:p>
    <w:p>
      <w:pPr>
        <w:widowControl/>
      </w:pPr>
      <w:r>
        <w:rPr>
          <w:b/>
          <w:i w:val="0"/>
        </w:rPr>
        <w:t>remittitur.</w:t>
      </w:r>
      <w:r>
        <w:rPr>
          <w:b w:val="0"/>
          <w:i w:val="0"/>
        </w:rPr>
        <w:t xml:space="preserve"> </w:t>
      </w:r>
      <w:hyperlink w:anchor="latin-record-0599">
        <w:r>
          <w:rPr>
            <w:color w:val="000000"/>
          </w:rPr>
          <w:t xml:space="preserve">intendo / remitto</w:t>
        </w:r>
      </w:hyperlink>
      <w:r>
        <w:rPr>
          <w:b w:val="0"/>
          <w:i w:val="0"/>
        </w:rPr>
        <w:t>.</w:t>
      </w:r>
    </w:p>
    <w:p>
      <w:pPr>
        <w:widowControl/>
      </w:pPr>
      <w:r>
        <w:rPr>
          <w:b/>
          <w:i w:val="0"/>
        </w:rPr>
        <w:t>remotarum.</w:t>
      </w:r>
      <w:r>
        <w:rPr>
          <w:b w:val="0"/>
          <w:i w:val="0"/>
        </w:rPr>
        <w:t xml:space="preserve"> </w:t>
      </w:r>
      <w:hyperlink w:anchor="latin-record-0975">
        <w:r>
          <w:rPr>
            <w:color w:val="000000"/>
          </w:rPr>
          <w:t xml:space="preserve">proximus / remotus</w:t>
        </w:r>
      </w:hyperlink>
      <w:r>
        <w:rPr>
          <w:b w:val="0"/>
          <w:i w:val="0"/>
        </w:rPr>
        <w:t>.</w:t>
      </w:r>
    </w:p>
    <w:p>
      <w:pPr>
        <w:widowControl/>
      </w:pPr>
      <w:r>
        <w:rPr>
          <w:b/>
          <w:i w:val="0"/>
        </w:rPr>
        <w:t>remotiorem.</w:t>
      </w:r>
      <w:r>
        <w:rPr>
          <w:b w:val="0"/>
          <w:i w:val="0"/>
        </w:rPr>
        <w:t xml:space="preserve"> </w:t>
      </w:r>
      <w:hyperlink w:anchor="latin-record-0394">
        <w:r>
          <w:rPr>
            <w:color w:val="000000"/>
          </w:rPr>
          <w:t xml:space="preserve">excellens / eminens / deterior / altior / remotior</w:t>
        </w:r>
      </w:hyperlink>
      <w:r>
        <w:rPr>
          <w:b w:val="0"/>
          <w:i w:val="0"/>
        </w:rPr>
        <w:t>.</w:t>
      </w:r>
    </w:p>
    <w:p>
      <w:pPr>
        <w:widowControl/>
      </w:pPr>
      <w:r>
        <w:rPr>
          <w:b/>
          <w:i w:val="0"/>
        </w:rPr>
        <w:t>remotissimus.</w:t>
      </w:r>
      <w:r>
        <w:rPr>
          <w:b w:val="0"/>
          <w:i w:val="0"/>
        </w:rPr>
        <w:t xml:space="preserve"> </w:t>
      </w:r>
      <w:hyperlink w:anchor="latin-record-0415">
        <w:r>
          <w:rPr>
            <w:color w:val="000000"/>
          </w:rPr>
          <w:t xml:space="preserve">extinguo / remotus</w:t>
        </w:r>
      </w:hyperlink>
      <w:r>
        <w:rPr>
          <w:b w:val="0"/>
          <w:i w:val="0"/>
        </w:rPr>
        <w:t>.</w:t>
      </w:r>
    </w:p>
    <w:p>
      <w:pPr>
        <w:widowControl/>
      </w:pPr>
      <w:r>
        <w:rPr>
          <w:b/>
          <w:i w:val="0"/>
        </w:rPr>
        <w:t>renasci.</w:t>
      </w:r>
      <w:r>
        <w:rPr>
          <w:b w:val="0"/>
          <w:i w:val="0"/>
        </w:rPr>
        <w:t xml:space="preserve"> </w:t>
      </w:r>
      <w:hyperlink w:anchor="latin-record-0282">
        <w:r>
          <w:rPr>
            <w:color w:val="000000"/>
          </w:rPr>
          <w:t xml:space="preserve">corruo / renascor</w:t>
        </w:r>
      </w:hyperlink>
      <w:r>
        <w:rPr>
          <w:b w:val="0"/>
          <w:i w:val="0"/>
        </w:rPr>
        <w:t>.</w:t>
      </w:r>
    </w:p>
    <w:p>
      <w:pPr>
        <w:widowControl/>
      </w:pPr>
      <w:r>
        <w:rPr>
          <w:b/>
          <w:i w:val="0"/>
        </w:rPr>
        <w:t>reor.</w:t>
      </w:r>
      <w:r>
        <w:rPr>
          <w:b w:val="0"/>
          <w:i w:val="0"/>
        </w:rPr>
        <w:t xml:space="preserve"> </w:t>
      </w:r>
      <w:hyperlink w:anchor="latin-record-1041">
        <w:r>
          <w:rPr>
            <w:color w:val="000000"/>
          </w:rPr>
          <w:t xml:space="preserve">reor / fides</w:t>
        </w:r>
      </w:hyperlink>
      <w:r>
        <w:rPr>
          <w:b w:val="0"/>
          <w:i w:val="0"/>
        </w:rPr>
        <w:t>.</w:t>
      </w:r>
    </w:p>
    <w:p>
      <w:pPr>
        <w:widowControl/>
      </w:pPr>
      <w:r>
        <w:rPr>
          <w:b/>
          <w:i w:val="0"/>
        </w:rPr>
        <w:t>repellit.</w:t>
      </w:r>
      <w:r>
        <w:rPr>
          <w:b w:val="0"/>
          <w:i w:val="0"/>
        </w:rPr>
        <w:t xml:space="preserve"> </w:t>
      </w:r>
      <w:hyperlink w:anchor="latin-record-1114">
        <w:r>
          <w:rPr>
            <w:color w:val="000000"/>
          </w:rPr>
          <w:t xml:space="preserve">sistere / mitigare / repellere</w:t>
        </w:r>
      </w:hyperlink>
      <w:r>
        <w:rPr>
          <w:b w:val="0"/>
          <w:i w:val="0"/>
        </w:rPr>
        <w:t>.</w:t>
      </w:r>
    </w:p>
    <w:p>
      <w:pPr>
        <w:widowControl/>
      </w:pPr>
      <w:r>
        <w:rPr>
          <w:b/>
          <w:i w:val="0"/>
        </w:rPr>
        <w:t>reperit.</w:t>
      </w:r>
      <w:r>
        <w:rPr>
          <w:b w:val="0"/>
          <w:i w:val="0"/>
        </w:rPr>
        <w:t xml:space="preserve"> </w:t>
      </w:r>
      <w:hyperlink w:anchor="latin-record-0612">
        <w:r>
          <w:rPr>
            <w:color w:val="000000"/>
          </w:rPr>
          <w:t xml:space="preserve">invenire-related reperire</w:t>
        </w:r>
      </w:hyperlink>
      <w:r>
        <w:rPr>
          <w:b w:val="0"/>
          <w:i w:val="0"/>
        </w:rPr>
        <w:t>.</w:t>
      </w:r>
    </w:p>
    <w:p>
      <w:pPr>
        <w:widowControl/>
      </w:pPr>
      <w:r>
        <w:rPr>
          <w:b/>
          <w:i w:val="0"/>
        </w:rPr>
        <w:t>reperitur.</w:t>
      </w:r>
      <w:r>
        <w:rPr>
          <w:b w:val="0"/>
          <w:i w:val="0"/>
        </w:rPr>
        <w:t xml:space="preserve"> </w:t>
      </w:r>
      <w:hyperlink w:anchor="latin-record-0612">
        <w:r>
          <w:rPr>
            <w:color w:val="000000"/>
          </w:rPr>
          <w:t xml:space="preserve">invenire-related reperire</w:t>
        </w:r>
      </w:hyperlink>
      <w:r>
        <w:rPr>
          <w:b w:val="0"/>
          <w:i w:val="0"/>
        </w:rPr>
        <w:t xml:space="preserve">; </w:t>
      </w:r>
      <w:hyperlink w:anchor="latin-record-1042">
        <w:r>
          <w:rPr>
            <w:color w:val="000000"/>
          </w:rPr>
          <w:t xml:space="preserve">reperio / insum</w:t>
        </w:r>
      </w:hyperlink>
      <w:r>
        <w:rPr>
          <w:b w:val="0"/>
          <w:i w:val="0"/>
        </w:rPr>
        <w:t xml:space="preserve">; </w:t>
      </w:r>
      <w:hyperlink w:anchor="latin-record-1043">
        <w:r>
          <w:rPr>
            <w:color w:val="000000"/>
          </w:rPr>
          <w:t xml:space="preserve">reperire / invenire</w:t>
        </w:r>
      </w:hyperlink>
      <w:r>
        <w:rPr>
          <w:b w:val="0"/>
          <w:i w:val="0"/>
        </w:rPr>
        <w:t>.</w:t>
      </w:r>
    </w:p>
    <w:p>
      <w:pPr>
        <w:widowControl/>
      </w:pPr>
      <w:r>
        <w:rPr>
          <w:b/>
          <w:i w:val="0"/>
        </w:rPr>
        <w:t>reperiuntur.</w:t>
      </w:r>
      <w:r>
        <w:rPr>
          <w:b w:val="0"/>
          <w:i w:val="0"/>
        </w:rPr>
        <w:t xml:space="preserve"> </w:t>
      </w:r>
      <w:hyperlink w:anchor="latin-record-1042">
        <w:r>
          <w:rPr>
            <w:color w:val="000000"/>
          </w:rPr>
          <w:t xml:space="preserve">reperio / insum</w:t>
        </w:r>
      </w:hyperlink>
      <w:r>
        <w:rPr>
          <w:b w:val="0"/>
          <w:i w:val="0"/>
        </w:rPr>
        <w:t xml:space="preserve">; </w:t>
      </w:r>
      <w:hyperlink w:anchor="latin-record-1043">
        <w:r>
          <w:rPr>
            <w:color w:val="000000"/>
          </w:rPr>
          <w:t xml:space="preserve">reperire / invenire</w:t>
        </w:r>
      </w:hyperlink>
      <w:r>
        <w:rPr>
          <w:b w:val="0"/>
          <w:i w:val="0"/>
        </w:rPr>
        <w:t>.</w:t>
      </w:r>
    </w:p>
    <w:p>
      <w:pPr>
        <w:widowControl/>
      </w:pPr>
      <w:r>
        <w:rPr>
          <w:b/>
          <w:i w:val="0"/>
        </w:rPr>
        <w:t>repetit.</w:t>
      </w:r>
      <w:r>
        <w:rPr>
          <w:b w:val="0"/>
          <w:i w:val="0"/>
        </w:rPr>
        <w:t xml:space="preserve"> </w:t>
      </w:r>
      <w:hyperlink w:anchor="latin-record-1044">
        <w:r>
          <w:rPr>
            <w:color w:val="000000"/>
          </w:rPr>
          <w:t xml:space="preserve">repetere / reflectere</w:t>
        </w:r>
      </w:hyperlink>
      <w:r>
        <w:rPr>
          <w:b w:val="0"/>
          <w:i w:val="0"/>
        </w:rPr>
        <w:t>.</w:t>
      </w:r>
    </w:p>
    <w:p>
      <w:pPr>
        <w:widowControl/>
      </w:pPr>
      <w:r>
        <w:rPr>
          <w:b/>
          <w:i w:val="0"/>
        </w:rPr>
        <w:t>repetunt.</w:t>
      </w:r>
      <w:r>
        <w:rPr>
          <w:b w:val="0"/>
          <w:i w:val="0"/>
        </w:rPr>
        <w:t xml:space="preserve"> </w:t>
      </w:r>
      <w:hyperlink w:anchor="latin-record-1045">
        <w:r>
          <w:rPr>
            <w:color w:val="000000"/>
          </w:rPr>
          <w:t xml:space="preserve">repetere / revocare</w:t>
        </w:r>
      </w:hyperlink>
      <w:r>
        <w:rPr>
          <w:b w:val="0"/>
          <w:i w:val="0"/>
        </w:rPr>
        <w:t>.</w:t>
      </w:r>
    </w:p>
    <w:p>
      <w:pPr>
        <w:widowControl/>
      </w:pPr>
      <w:r>
        <w:rPr>
          <w:b/>
          <w:i w:val="0"/>
        </w:rPr>
        <w:t>replere.</w:t>
      </w:r>
      <w:r>
        <w:rPr>
          <w:b w:val="0"/>
          <w:i w:val="0"/>
        </w:rPr>
        <w:t xml:space="preserve"> </w:t>
      </w:r>
      <w:hyperlink w:anchor="latin-record-0063">
        <w:r>
          <w:rPr>
            <w:color w:val="000000"/>
          </w:rPr>
          <w:t xml:space="preserve">amplitudo / plenitudo / implere</w:t>
        </w:r>
      </w:hyperlink>
      <w:r>
        <w:rPr>
          <w:b w:val="0"/>
          <w:i w:val="0"/>
        </w:rPr>
        <w:t>.</w:t>
      </w:r>
    </w:p>
    <w:p>
      <w:pPr>
        <w:widowControl/>
      </w:pPr>
      <w:r>
        <w:rPr>
          <w:b/>
          <w:i w:val="0"/>
        </w:rPr>
        <w:t>replicat.</w:t>
      </w:r>
      <w:r>
        <w:rPr>
          <w:b w:val="0"/>
          <w:i w:val="0"/>
        </w:rPr>
        <w:t xml:space="preserve"> </w:t>
      </w:r>
      <w:hyperlink w:anchor="latin-record-1046">
        <w:r>
          <w:rPr>
            <w:color w:val="000000"/>
          </w:rPr>
          <w:t xml:space="preserve">replicare / explicare</w:t>
        </w:r>
      </w:hyperlink>
      <w:r>
        <w:rPr>
          <w:b w:val="0"/>
          <w:i w:val="0"/>
        </w:rPr>
        <w:t>.</w:t>
      </w:r>
    </w:p>
    <w:p>
      <w:pPr>
        <w:widowControl/>
      </w:pPr>
      <w:r>
        <w:rPr>
          <w:b/>
          <w:i w:val="0"/>
        </w:rPr>
        <w:t>replicatur.</w:t>
      </w:r>
      <w:r>
        <w:rPr>
          <w:b w:val="0"/>
          <w:i w:val="0"/>
        </w:rPr>
        <w:t xml:space="preserve"> </w:t>
      </w:r>
      <w:hyperlink w:anchor="latin-record-0543">
        <w:r>
          <w:rPr>
            <w:color w:val="000000"/>
          </w:rPr>
          <w:t xml:space="preserve">implicare / explicare / replicare</w:t>
        </w:r>
      </w:hyperlink>
      <w:r>
        <w:rPr>
          <w:b w:val="0"/>
          <w:i w:val="0"/>
        </w:rPr>
        <w:t>.</w:t>
      </w:r>
    </w:p>
    <w:p>
      <w:pPr>
        <w:widowControl/>
      </w:pPr>
      <w:r>
        <w:rPr>
          <w:b/>
          <w:i w:val="0"/>
        </w:rPr>
        <w:t>republica.</w:t>
      </w:r>
      <w:r>
        <w:rPr>
          <w:b w:val="0"/>
          <w:i w:val="0"/>
        </w:rPr>
        <w:t xml:space="preserve"> </w:t>
      </w:r>
      <w:hyperlink w:anchor="latin-record-0634">
        <w:r>
          <w:rPr>
            <w:color w:val="000000"/>
          </w:rPr>
          <w:t xml:space="preserve">leges / respublica / regnum / Critias (titles)</w:t>
        </w:r>
      </w:hyperlink>
      <w:r>
        <w:rPr>
          <w:b w:val="0"/>
          <w:i w:val="0"/>
        </w:rPr>
        <w:t>.</w:t>
      </w:r>
    </w:p>
    <w:p>
      <w:pPr>
        <w:widowControl/>
      </w:pPr>
      <w:r>
        <w:rPr>
          <w:b/>
          <w:i w:val="0"/>
        </w:rPr>
        <w:t>repugnat.</w:t>
      </w:r>
      <w:r>
        <w:rPr>
          <w:b w:val="0"/>
          <w:i w:val="0"/>
        </w:rPr>
        <w:t xml:space="preserve"> </w:t>
      </w:r>
      <w:hyperlink w:anchor="latin-record-0411">
        <w:r>
          <w:rPr>
            <w:color w:val="000000"/>
          </w:rPr>
          <w:t xml:space="preserve">expugnare / repugnare</w:t>
        </w:r>
      </w:hyperlink>
      <w:r>
        <w:rPr>
          <w:b w:val="0"/>
          <w:i w:val="0"/>
        </w:rPr>
        <w:t>.</w:t>
      </w:r>
    </w:p>
    <w:p>
      <w:pPr>
        <w:widowControl/>
      </w:pPr>
      <w:r>
        <w:rPr>
          <w:b/>
          <w:i w:val="0"/>
        </w:rPr>
        <w:t>repugnet.</w:t>
      </w:r>
      <w:r>
        <w:rPr>
          <w:b w:val="0"/>
          <w:i w:val="0"/>
        </w:rPr>
        <w:t xml:space="preserve"> </w:t>
      </w:r>
      <w:hyperlink w:anchor="latin-record-0031">
        <w:r>
          <w:rPr>
            <w:color w:val="000000"/>
          </w:rPr>
          <w:t xml:space="preserve">adversari / repugnare</w:t>
        </w:r>
      </w:hyperlink>
      <w:r>
        <w:rPr>
          <w:b w:val="0"/>
          <w:i w:val="0"/>
        </w:rPr>
        <w:t>.</w:t>
      </w:r>
    </w:p>
    <w:p>
      <w:pPr>
        <w:widowControl/>
      </w:pPr>
      <w:r>
        <w:rPr>
          <w:b/>
          <w:i w:val="0"/>
        </w:rPr>
        <w:t>requireret.</w:t>
      </w:r>
      <w:r>
        <w:rPr>
          <w:b w:val="0"/>
          <w:i w:val="0"/>
        </w:rPr>
        <w:t xml:space="preserve"> </w:t>
      </w:r>
      <w:hyperlink w:anchor="latin-record-0402">
        <w:r>
          <w:rPr>
            <w:color w:val="000000"/>
          </w:rPr>
          <w:t xml:space="preserve">exigere / requirere</w:t>
        </w:r>
      </w:hyperlink>
      <w:r>
        <w:rPr>
          <w:b w:val="0"/>
          <w:i w:val="0"/>
        </w:rPr>
        <w:t>.</w:t>
      </w:r>
    </w:p>
    <w:p>
      <w:pPr>
        <w:widowControl/>
      </w:pPr>
      <w:r>
        <w:rPr>
          <w:b/>
          <w:i w:val="0"/>
        </w:rPr>
        <w:t>rerum.</w:t>
      </w:r>
      <w:r>
        <w:rPr>
          <w:b w:val="0"/>
          <w:i w:val="0"/>
        </w:rPr>
        <w:t xml:space="preserve"> </w:t>
      </w:r>
      <w:hyperlink w:anchor="latin-record-1047">
        <w:r>
          <w:rPr>
            <w:color w:val="000000"/>
          </w:rPr>
          <w:t xml:space="preserve">res</w:t>
        </w:r>
      </w:hyperlink>
      <w:r>
        <w:rPr>
          <w:b w:val="0"/>
          <w:i w:val="0"/>
        </w:rPr>
        <w:t>.</w:t>
      </w:r>
    </w:p>
    <w:p>
      <w:pPr>
        <w:widowControl/>
      </w:pPr>
      <w:r>
        <w:rPr>
          <w:b/>
          <w:i w:val="0"/>
        </w:rPr>
        <w:t>rerumque.</w:t>
      </w:r>
      <w:r>
        <w:rPr>
          <w:b w:val="0"/>
          <w:i w:val="0"/>
        </w:rPr>
        <w:t xml:space="preserve"> </w:t>
      </w:r>
      <w:hyperlink w:anchor="latin-record-1047">
        <w:r>
          <w:rPr>
            <w:color w:val="000000"/>
          </w:rPr>
          <w:t xml:space="preserve">res</w:t>
        </w:r>
      </w:hyperlink>
      <w:r>
        <w:rPr>
          <w:b w:val="0"/>
          <w:i w:val="0"/>
        </w:rPr>
        <w:t>.</w:t>
      </w:r>
    </w:p>
    <w:p>
      <w:pPr>
        <w:widowControl/>
      </w:pPr>
      <w:r>
        <w:rPr>
          <w:b/>
          <w:i w:val="0"/>
        </w:rPr>
        <w:t>res.</w:t>
      </w:r>
      <w:r>
        <w:rPr>
          <w:b w:val="0"/>
          <w:i w:val="0"/>
        </w:rPr>
        <w:t xml:space="preserve"> </w:t>
      </w:r>
      <w:hyperlink w:anchor="latin-record-1047">
        <w:r>
          <w:rPr>
            <w:color w:val="000000"/>
          </w:rPr>
          <w:t xml:space="preserve">res</w:t>
        </w:r>
      </w:hyperlink>
      <w:r>
        <w:rPr>
          <w:b w:val="0"/>
          <w:i w:val="0"/>
        </w:rPr>
        <w:t xml:space="preserve">; </w:t>
      </w:r>
      <w:hyperlink w:anchor="latin-record-1048">
        <w:r>
          <w:rPr>
            <w:color w:val="000000"/>
          </w:rPr>
          <w:t xml:space="preserve">res / re ipsa</w:t>
        </w:r>
      </w:hyperlink>
      <w:r>
        <w:rPr>
          <w:b w:val="0"/>
          <w:i w:val="0"/>
        </w:rPr>
        <w:t>.</w:t>
      </w:r>
    </w:p>
    <w:p>
      <w:pPr>
        <w:widowControl/>
      </w:pPr>
      <w:r>
        <w:rPr>
          <w:b/>
          <w:i w:val="0"/>
        </w:rPr>
        <w:t>resistit.</w:t>
      </w:r>
      <w:r>
        <w:rPr>
          <w:b w:val="0"/>
          <w:i w:val="0"/>
        </w:rPr>
        <w:t xml:space="preserve"> </w:t>
      </w:r>
      <w:hyperlink w:anchor="latin-record-0848">
        <w:r>
          <w:rPr>
            <w:color w:val="000000"/>
          </w:rPr>
          <w:t xml:space="preserve">penetrare / resistere / obstare</w:t>
        </w:r>
      </w:hyperlink>
      <w:r>
        <w:rPr>
          <w:b w:val="0"/>
          <w:i w:val="0"/>
        </w:rPr>
        <w:t>.</w:t>
      </w:r>
    </w:p>
    <w:p>
      <w:pPr>
        <w:widowControl/>
      </w:pPr>
      <w:r>
        <w:rPr>
          <w:b/>
          <w:i w:val="0"/>
        </w:rPr>
        <w:t>resolutione.</w:t>
      </w:r>
      <w:r>
        <w:rPr>
          <w:b w:val="0"/>
          <w:i w:val="0"/>
        </w:rPr>
        <w:t xml:space="preserve"> </w:t>
      </w:r>
      <w:hyperlink w:anchor="latin-record-0717">
        <w:r>
          <w:rPr>
            <w:color w:val="000000"/>
          </w:rPr>
          <w:t xml:space="preserve">mors / resolutio</w:t>
        </w:r>
      </w:hyperlink>
      <w:r>
        <w:rPr>
          <w:b w:val="0"/>
          <w:i w:val="0"/>
        </w:rPr>
        <w:t>.</w:t>
      </w:r>
    </w:p>
    <w:p>
      <w:pPr>
        <w:widowControl/>
      </w:pPr>
      <w:r>
        <w:rPr>
          <w:b/>
          <w:i w:val="0"/>
        </w:rPr>
        <w:t>resolvitur.</w:t>
      </w:r>
      <w:r>
        <w:rPr>
          <w:b w:val="0"/>
          <w:i w:val="0"/>
        </w:rPr>
        <w:t xml:space="preserve"> </w:t>
      </w:r>
      <w:hyperlink w:anchor="latin-record-1050">
        <w:r>
          <w:rPr>
            <w:color w:val="000000"/>
          </w:rPr>
          <w:t xml:space="preserve">resolvi / dissolutio</w:t>
        </w:r>
      </w:hyperlink>
      <w:r>
        <w:rPr>
          <w:b w:val="0"/>
          <w:i w:val="0"/>
        </w:rPr>
        <w:t>.</w:t>
      </w:r>
    </w:p>
    <w:p>
      <w:pPr>
        <w:widowControl/>
      </w:pPr>
      <w:r>
        <w:rPr>
          <w:b/>
          <w:i w:val="0"/>
        </w:rPr>
        <w:t>resonante.</w:t>
      </w:r>
      <w:r>
        <w:rPr>
          <w:b w:val="0"/>
          <w:i w:val="0"/>
        </w:rPr>
        <w:t xml:space="preserve"> </w:t>
      </w:r>
      <w:hyperlink w:anchor="latin-record-0081">
        <w:r>
          <w:rPr>
            <w:color w:val="000000"/>
          </w:rPr>
          <w:t xml:space="preserve">Apollo / cithara / contemperare</w:t>
        </w:r>
      </w:hyperlink>
      <w:r>
        <w:rPr>
          <w:b w:val="0"/>
          <w:i w:val="0"/>
        </w:rPr>
        <w:t>.</w:t>
      </w:r>
    </w:p>
    <w:p>
      <w:pPr>
        <w:widowControl/>
      </w:pPr>
      <w:r>
        <w:rPr>
          <w:b/>
          <w:i w:val="0"/>
        </w:rPr>
        <w:t>respectu.</w:t>
      </w:r>
      <w:r>
        <w:rPr>
          <w:b w:val="0"/>
          <w:i w:val="0"/>
        </w:rPr>
        <w:t xml:space="preserve"> </w:t>
      </w:r>
      <w:hyperlink w:anchor="latin-record-1052">
        <w:r>
          <w:rPr>
            <w:color w:val="000000"/>
          </w:rPr>
          <w:t xml:space="preserve">respectus / vigor</w:t>
        </w:r>
      </w:hyperlink>
      <w:r>
        <w:rPr>
          <w:b w:val="0"/>
          <w:i w:val="0"/>
        </w:rPr>
        <w:t>.</w:t>
      </w:r>
    </w:p>
    <w:p>
      <w:pPr>
        <w:widowControl/>
      </w:pPr>
      <w:r>
        <w:rPr>
          <w:b/>
          <w:i w:val="0"/>
        </w:rPr>
        <w:t>respectus.</w:t>
      </w:r>
      <w:r>
        <w:rPr>
          <w:b w:val="0"/>
          <w:i w:val="0"/>
        </w:rPr>
        <w:t xml:space="preserve"> </w:t>
      </w:r>
      <w:hyperlink w:anchor="latin-record-1051">
        <w:r>
          <w:rPr>
            <w:color w:val="000000"/>
          </w:rPr>
          <w:t xml:space="preserve">respectus</w:t>
        </w:r>
      </w:hyperlink>
      <w:r>
        <w:rPr>
          <w:b w:val="0"/>
          <w:i w:val="0"/>
        </w:rPr>
        <w:t>.</w:t>
      </w:r>
    </w:p>
    <w:p>
      <w:pPr>
        <w:widowControl/>
      </w:pPr>
      <w:r>
        <w:rPr>
          <w:b/>
          <w:i w:val="0"/>
        </w:rPr>
        <w:t>Respectusque.</w:t>
      </w:r>
      <w:r>
        <w:rPr>
          <w:b w:val="0"/>
          <w:i w:val="0"/>
        </w:rPr>
        <w:t xml:space="preserve"> </w:t>
      </w:r>
      <w:hyperlink w:anchor="latin-record-1051">
        <w:r>
          <w:rPr>
            <w:color w:val="000000"/>
          </w:rPr>
          <w:t xml:space="preserve">respectus</w:t>
        </w:r>
      </w:hyperlink>
      <w:r>
        <w:rPr>
          <w:b w:val="0"/>
          <w:i w:val="0"/>
        </w:rPr>
        <w:t>.</w:t>
      </w:r>
    </w:p>
    <w:p>
      <w:pPr>
        <w:widowControl/>
      </w:pPr>
      <w:r>
        <w:rPr>
          <w:b/>
          <w:i w:val="0"/>
        </w:rPr>
        <w:t>respiciant.</w:t>
      </w:r>
      <w:r>
        <w:rPr>
          <w:b w:val="0"/>
          <w:i w:val="0"/>
        </w:rPr>
        <w:t xml:space="preserve"> </w:t>
      </w:r>
      <w:hyperlink w:anchor="latin-record-1053">
        <w:r>
          <w:rPr>
            <w:color w:val="000000"/>
          </w:rPr>
          <w:t xml:space="preserve">respicere</w:t>
        </w:r>
      </w:hyperlink>
      <w:r>
        <w:rPr>
          <w:b w:val="0"/>
          <w:i w:val="0"/>
        </w:rPr>
        <w:t>.</w:t>
      </w:r>
    </w:p>
    <w:p>
      <w:pPr>
        <w:widowControl/>
      </w:pPr>
      <w:r>
        <w:rPr>
          <w:b/>
          <w:i w:val="0"/>
        </w:rPr>
        <w:t>respiciunt.</w:t>
      </w:r>
      <w:r>
        <w:rPr>
          <w:b w:val="0"/>
          <w:i w:val="0"/>
        </w:rPr>
        <w:t xml:space="preserve"> </w:t>
      </w:r>
      <w:hyperlink w:anchor="latin-record-0159">
        <w:r>
          <w:rPr>
            <w:color w:val="000000"/>
          </w:rPr>
          <w:t xml:space="preserve">cernere / respicere</w:t>
        </w:r>
      </w:hyperlink>
      <w:r>
        <w:rPr>
          <w:b w:val="0"/>
          <w:i w:val="0"/>
        </w:rPr>
        <w:t>.</w:t>
      </w:r>
    </w:p>
    <w:p>
      <w:pPr>
        <w:widowControl/>
      </w:pPr>
      <w:r>
        <w:rPr>
          <w:b/>
          <w:i w:val="0"/>
        </w:rPr>
        <w:t>Respondeamus.</w:t>
      </w:r>
      <w:r>
        <w:rPr>
          <w:b w:val="0"/>
          <w:i w:val="0"/>
        </w:rPr>
        <w:t xml:space="preserve"> </w:t>
      </w:r>
      <w:hyperlink w:anchor="latin-record-0351">
        <w:r>
          <w:rPr>
            <w:color w:val="000000"/>
          </w:rPr>
          <w:t xml:space="preserve">dubitatio / respondere</w:t>
        </w:r>
      </w:hyperlink>
      <w:r>
        <w:rPr>
          <w:b w:val="0"/>
          <w:i w:val="0"/>
        </w:rPr>
        <w:t>.</w:t>
      </w:r>
    </w:p>
    <w:p>
      <w:pPr>
        <w:widowControl/>
      </w:pPr>
      <w:r>
        <w:rPr>
          <w:b/>
          <w:i w:val="0"/>
        </w:rPr>
        <w:t>respondebunt.</w:t>
      </w:r>
      <w:r>
        <w:rPr>
          <w:b w:val="0"/>
          <w:i w:val="0"/>
        </w:rPr>
        <w:t xml:space="preserve"> </w:t>
      </w:r>
      <w:hyperlink w:anchor="latin-record-1055">
        <w:r>
          <w:rPr>
            <w:color w:val="000000"/>
          </w:rPr>
          <w:t xml:space="preserve">respondere</w:t>
        </w:r>
      </w:hyperlink>
      <w:r>
        <w:rPr>
          <w:b w:val="0"/>
          <w:i w:val="0"/>
        </w:rPr>
        <w:t>.</w:t>
      </w:r>
    </w:p>
    <w:p>
      <w:pPr>
        <w:widowControl/>
      </w:pPr>
      <w:r>
        <w:rPr>
          <w:b/>
          <w:i w:val="0"/>
        </w:rPr>
        <w:t>respondemus.</w:t>
      </w:r>
      <w:r>
        <w:rPr>
          <w:b w:val="0"/>
          <w:i w:val="0"/>
        </w:rPr>
        <w:t xml:space="preserve"> </w:t>
      </w:r>
      <w:hyperlink w:anchor="latin-record-0685">
        <w:r>
          <w:rPr>
            <w:color w:val="000000"/>
          </w:rPr>
          <w:t xml:space="preserve">memorare / respondere / docere</w:t>
        </w:r>
      </w:hyperlink>
      <w:r>
        <w:rPr>
          <w:b w:val="0"/>
          <w:i w:val="0"/>
        </w:rPr>
        <w:t>.</w:t>
      </w:r>
    </w:p>
    <w:p>
      <w:pPr>
        <w:widowControl/>
      </w:pPr>
      <w:r>
        <w:rPr>
          <w:b/>
          <w:i w:val="0"/>
        </w:rPr>
        <w:t>respondentes.</w:t>
      </w:r>
      <w:r>
        <w:rPr>
          <w:b w:val="0"/>
          <w:i w:val="0"/>
        </w:rPr>
        <w:t xml:space="preserve"> </w:t>
      </w:r>
      <w:hyperlink w:anchor="latin-record-1055">
        <w:r>
          <w:rPr>
            <w:color w:val="000000"/>
          </w:rPr>
          <w:t xml:space="preserve">respondere</w:t>
        </w:r>
      </w:hyperlink>
      <w:r>
        <w:rPr>
          <w:b w:val="0"/>
          <w:i w:val="0"/>
        </w:rPr>
        <w:t>.</w:t>
      </w:r>
    </w:p>
    <w:p>
      <w:pPr>
        <w:widowControl/>
      </w:pPr>
      <w:r>
        <w:rPr>
          <w:b/>
          <w:i w:val="0"/>
        </w:rPr>
        <w:t>respondere.</w:t>
      </w:r>
      <w:r>
        <w:rPr>
          <w:b w:val="0"/>
          <w:i w:val="0"/>
        </w:rPr>
        <w:t xml:space="preserve"> </w:t>
      </w:r>
      <w:hyperlink w:anchor="latin-record-0685">
        <w:r>
          <w:rPr>
            <w:color w:val="000000"/>
          </w:rPr>
          <w:t xml:space="preserve">memorare / respondere / docere</w:t>
        </w:r>
      </w:hyperlink>
      <w:r>
        <w:rPr>
          <w:b w:val="0"/>
          <w:i w:val="0"/>
        </w:rPr>
        <w:t>.</w:t>
      </w:r>
    </w:p>
    <w:p>
      <w:pPr>
        <w:widowControl/>
      </w:pPr>
      <w:r>
        <w:rPr>
          <w:b/>
          <w:i w:val="0"/>
        </w:rPr>
        <w:t>respuere.</w:t>
      </w:r>
      <w:r>
        <w:rPr>
          <w:b w:val="0"/>
          <w:i w:val="0"/>
        </w:rPr>
        <w:t xml:space="preserve"> </w:t>
      </w:r>
      <w:hyperlink w:anchor="latin-record-1056">
        <w:r>
          <w:rPr>
            <w:color w:val="000000"/>
          </w:rPr>
          <w:t xml:space="preserve">respuo</w:t>
        </w:r>
      </w:hyperlink>
      <w:r>
        <w:rPr>
          <w:b w:val="0"/>
          <w:i w:val="0"/>
        </w:rPr>
        <w:t>.</w:t>
      </w:r>
    </w:p>
    <w:p>
      <w:pPr>
        <w:widowControl/>
      </w:pPr>
      <w:r>
        <w:rPr>
          <w:b/>
          <w:i w:val="0"/>
        </w:rPr>
        <w:t>respuimus.</w:t>
      </w:r>
      <w:r>
        <w:rPr>
          <w:b w:val="0"/>
          <w:i w:val="0"/>
        </w:rPr>
        <w:t xml:space="preserve"> </w:t>
      </w:r>
      <w:hyperlink w:anchor="latin-record-1056">
        <w:r>
          <w:rPr>
            <w:color w:val="000000"/>
          </w:rPr>
          <w:t xml:space="preserve">respuo</w:t>
        </w:r>
      </w:hyperlink>
      <w:r>
        <w:rPr>
          <w:b w:val="0"/>
          <w:i w:val="0"/>
        </w:rPr>
        <w:t>.</w:t>
      </w:r>
    </w:p>
    <w:p>
      <w:pPr>
        <w:widowControl/>
      </w:pPr>
      <w:r>
        <w:rPr>
          <w:b/>
          <w:i w:val="0"/>
        </w:rPr>
        <w:t>restitutio.</w:t>
      </w:r>
      <w:r>
        <w:rPr>
          <w:b w:val="0"/>
          <w:i w:val="0"/>
        </w:rPr>
        <w:t xml:space="preserve"> </w:t>
      </w:r>
      <w:hyperlink w:anchor="latin-record-0136">
        <w:r>
          <w:rPr>
            <w:color w:val="000000"/>
          </w:rPr>
          <w:t xml:space="preserve">cancelli / restitutio</w:t>
        </w:r>
      </w:hyperlink>
      <w:r>
        <w:rPr>
          <w:b w:val="0"/>
          <w:i w:val="0"/>
        </w:rPr>
        <w:t xml:space="preserve">; </w:t>
      </w:r>
      <w:hyperlink w:anchor="latin-record-0887">
        <w:r>
          <w:rPr>
            <w:color w:val="000000"/>
          </w:rPr>
          <w:t xml:space="preserve">polus / revolutio / restitutio</w:t>
        </w:r>
      </w:hyperlink>
      <w:r>
        <w:rPr>
          <w:b w:val="0"/>
          <w:i w:val="0"/>
        </w:rPr>
        <w:t xml:space="preserve">; </w:t>
      </w:r>
      <w:hyperlink w:anchor="latin-record-1037">
        <w:r>
          <w:rPr>
            <w:color w:val="000000"/>
          </w:rPr>
          <w:t xml:space="preserve">reformare / restituere</w:t>
        </w:r>
      </w:hyperlink>
      <w:r>
        <w:rPr>
          <w:b w:val="0"/>
          <w:i w:val="0"/>
        </w:rPr>
        <w:t>.</w:t>
      </w:r>
    </w:p>
    <w:p>
      <w:pPr>
        <w:widowControl/>
      </w:pPr>
      <w:r>
        <w:rPr>
          <w:b/>
          <w:i w:val="0"/>
        </w:rPr>
        <w:t>restituuntur.</w:t>
      </w:r>
      <w:r>
        <w:rPr>
          <w:b w:val="0"/>
          <w:i w:val="0"/>
        </w:rPr>
        <w:t xml:space="preserve"> </w:t>
      </w:r>
      <w:hyperlink w:anchor="latin-record-1037">
        <w:r>
          <w:rPr>
            <w:color w:val="000000"/>
          </w:rPr>
          <w:t xml:space="preserve">reformare / restituere</w:t>
        </w:r>
      </w:hyperlink>
      <w:r>
        <w:rPr>
          <w:b w:val="0"/>
          <w:i w:val="0"/>
        </w:rPr>
        <w:t>.</w:t>
      </w:r>
    </w:p>
    <w:p>
      <w:pPr>
        <w:widowControl/>
      </w:pPr>
      <w:r>
        <w:rPr>
          <w:b/>
          <w:i w:val="0"/>
        </w:rPr>
        <w:t>retardat.</w:t>
      </w:r>
      <w:r>
        <w:rPr>
          <w:b w:val="0"/>
          <w:i w:val="0"/>
        </w:rPr>
        <w:t xml:space="preserve"> </w:t>
      </w:r>
      <w:hyperlink w:anchor="latin-record-1057">
        <w:r>
          <w:rPr>
            <w:color w:val="000000"/>
          </w:rPr>
          <w:t xml:space="preserve">retardo / differo</w:t>
        </w:r>
      </w:hyperlink>
      <w:r>
        <w:rPr>
          <w:b w:val="0"/>
          <w:i w:val="0"/>
        </w:rPr>
        <w:t>.</w:t>
      </w:r>
    </w:p>
    <w:p>
      <w:pPr>
        <w:widowControl/>
      </w:pPr>
      <w:r>
        <w:rPr>
          <w:b/>
          <w:i w:val="0"/>
        </w:rPr>
        <w:t>retexit.</w:t>
      </w:r>
      <w:r>
        <w:rPr>
          <w:b w:val="0"/>
          <w:i w:val="0"/>
        </w:rPr>
        <w:t xml:space="preserve"> </w:t>
      </w:r>
      <w:hyperlink w:anchor="latin-record-0659">
        <w:r>
          <w:rPr>
            <w:color w:val="000000"/>
          </w:rPr>
          <w:t xml:space="preserve">machina / tela / retexere</w:t>
        </w:r>
      </w:hyperlink>
      <w:r>
        <w:rPr>
          <w:b w:val="0"/>
          <w:i w:val="0"/>
        </w:rPr>
        <w:t>.</w:t>
      </w:r>
    </w:p>
    <w:p>
      <w:pPr>
        <w:widowControl/>
      </w:pPr>
      <w:r>
        <w:rPr>
          <w:b/>
          <w:i w:val="0"/>
        </w:rPr>
        <w:t>retinebit.</w:t>
      </w:r>
      <w:r>
        <w:rPr>
          <w:b w:val="0"/>
          <w:i w:val="0"/>
        </w:rPr>
        <w:t xml:space="preserve"> </w:t>
      </w:r>
      <w:hyperlink w:anchor="latin-record-1059">
        <w:r>
          <w:rPr>
            <w:color w:val="000000"/>
          </w:rPr>
          <w:t xml:space="preserve">retinere / amittere</w:t>
        </w:r>
      </w:hyperlink>
      <w:r>
        <w:rPr>
          <w:b w:val="0"/>
          <w:i w:val="0"/>
        </w:rPr>
        <w:t>.</w:t>
      </w:r>
    </w:p>
    <w:p>
      <w:pPr>
        <w:widowControl/>
      </w:pPr>
      <w:r>
        <w:rPr>
          <w:b/>
          <w:i w:val="0"/>
        </w:rPr>
        <w:t>Retinere.</w:t>
      </w:r>
      <w:r>
        <w:rPr>
          <w:b w:val="0"/>
          <w:i w:val="0"/>
        </w:rPr>
        <w:t xml:space="preserve"> </w:t>
      </w:r>
      <w:hyperlink w:anchor="latin-record-1059">
        <w:r>
          <w:rPr>
            <w:color w:val="000000"/>
          </w:rPr>
          <w:t xml:space="preserve">retinere / amittere</w:t>
        </w:r>
      </w:hyperlink>
      <w:r>
        <w:rPr>
          <w:b w:val="0"/>
          <w:i w:val="0"/>
        </w:rPr>
        <w:t>.</w:t>
      </w:r>
    </w:p>
    <w:p>
      <w:pPr>
        <w:widowControl/>
      </w:pPr>
      <w:r>
        <w:rPr>
          <w:b/>
          <w:i w:val="0"/>
        </w:rPr>
        <w:t>retractatio.</w:t>
      </w:r>
      <w:r>
        <w:rPr>
          <w:b w:val="0"/>
          <w:i w:val="0"/>
        </w:rPr>
        <w:t xml:space="preserve"> </w:t>
      </w:r>
      <w:hyperlink w:anchor="latin-record-0713">
        <w:r>
          <w:rPr>
            <w:color w:val="000000"/>
          </w:rPr>
          <w:t xml:space="preserve">mora / transgressio / retractatio</w:t>
        </w:r>
      </w:hyperlink>
      <w:r>
        <w:rPr>
          <w:b w:val="0"/>
          <w:i w:val="0"/>
        </w:rPr>
        <w:t>.</w:t>
      </w:r>
    </w:p>
    <w:p>
      <w:pPr>
        <w:widowControl/>
      </w:pPr>
      <w:r>
        <w:rPr>
          <w:b/>
          <w:i w:val="0"/>
        </w:rPr>
        <w:t>retrahit.</w:t>
      </w:r>
      <w:r>
        <w:rPr>
          <w:b w:val="0"/>
          <w:i w:val="0"/>
        </w:rPr>
        <w:t xml:space="preserve"> </w:t>
      </w:r>
      <w:hyperlink w:anchor="latin-record-0580">
        <w:r>
          <w:rPr>
            <w:color w:val="000000"/>
          </w:rPr>
          <w:t xml:space="preserve">inserere / retrahere</w:t>
        </w:r>
      </w:hyperlink>
      <w:r>
        <w:rPr>
          <w:b w:val="0"/>
          <w:i w:val="0"/>
        </w:rPr>
        <w:t>.</w:t>
      </w:r>
    </w:p>
    <w:p>
      <w:pPr>
        <w:widowControl/>
      </w:pPr>
      <w:r>
        <w:rPr>
          <w:b/>
          <w:i w:val="0"/>
        </w:rPr>
        <w:t>retulimus.</w:t>
      </w:r>
      <w:r>
        <w:rPr>
          <w:b w:val="0"/>
          <w:i w:val="0"/>
        </w:rPr>
        <w:t xml:space="preserve"> </w:t>
      </w:r>
      <w:hyperlink w:anchor="latin-record-1035">
        <w:r>
          <w:rPr>
            <w:color w:val="000000"/>
          </w:rPr>
          <w:t xml:space="preserve">reducere / referre</w:t>
        </w:r>
      </w:hyperlink>
      <w:r>
        <w:rPr>
          <w:b w:val="0"/>
          <w:i w:val="0"/>
        </w:rPr>
        <w:t>.</w:t>
      </w:r>
    </w:p>
    <w:p>
      <w:pPr>
        <w:widowControl/>
      </w:pPr>
      <w:r>
        <w:rPr>
          <w:b/>
          <w:i w:val="0"/>
        </w:rPr>
        <w:t>revera.</w:t>
      </w:r>
      <w:r>
        <w:rPr>
          <w:b w:val="0"/>
          <w:i w:val="0"/>
        </w:rPr>
        <w:t xml:space="preserve"> </w:t>
      </w:r>
      <w:hyperlink w:anchor="latin-record-0694">
        <w:r>
          <w:rPr>
            <w:color w:val="000000"/>
          </w:rPr>
          <w:t xml:space="preserve">merus / incorruptus / revera</w:t>
        </w:r>
      </w:hyperlink>
      <w:r>
        <w:rPr>
          <w:b w:val="0"/>
          <w:i w:val="0"/>
        </w:rPr>
        <w:t xml:space="preserve">; </w:t>
      </w:r>
      <w:hyperlink w:anchor="latin-record-1256">
        <w:r>
          <w:rPr>
            <w:color w:val="000000"/>
          </w:rPr>
          <w:t xml:space="preserve">videor habere / revera possideo</w:t>
        </w:r>
      </w:hyperlink>
      <w:r>
        <w:rPr>
          <w:b w:val="0"/>
          <w:i w:val="0"/>
        </w:rPr>
        <w:t>.</w:t>
      </w:r>
    </w:p>
    <w:p>
      <w:pPr>
        <w:widowControl/>
      </w:pPr>
      <w:r>
        <w:rPr>
          <w:b/>
          <w:i w:val="0"/>
        </w:rPr>
        <w:t>revertamur.</w:t>
      </w:r>
      <w:r>
        <w:rPr>
          <w:b w:val="0"/>
          <w:i w:val="0"/>
        </w:rPr>
        <w:t xml:space="preserve"> </w:t>
      </w:r>
      <w:hyperlink w:anchor="latin-record-0274">
        <w:r>
          <w:rPr>
            <w:color w:val="000000"/>
          </w:rPr>
          <w:t xml:space="preserve">convertere / reverti / converso</w:t>
        </w:r>
      </w:hyperlink>
      <w:r>
        <w:rPr>
          <w:b w:val="0"/>
          <w:i w:val="0"/>
        </w:rPr>
        <w:t>.</w:t>
      </w:r>
    </w:p>
    <w:p>
      <w:pPr>
        <w:widowControl/>
      </w:pPr>
      <w:r>
        <w:rPr>
          <w:b/>
          <w:i w:val="0"/>
        </w:rPr>
        <w:t>reverti.</w:t>
      </w:r>
      <w:r>
        <w:rPr>
          <w:b w:val="0"/>
          <w:i w:val="0"/>
        </w:rPr>
        <w:t xml:space="preserve"> </w:t>
      </w:r>
      <w:hyperlink w:anchor="latin-record-0273">
        <w:r>
          <w:rPr>
            <w:color w:val="000000"/>
          </w:rPr>
          <w:t xml:space="preserve">convertere / reverti</w:t>
        </w:r>
      </w:hyperlink>
      <w:r>
        <w:rPr>
          <w:b w:val="0"/>
          <w:i w:val="0"/>
        </w:rPr>
        <w:t>.</w:t>
      </w:r>
    </w:p>
    <w:p>
      <w:pPr>
        <w:widowControl/>
      </w:pPr>
      <w:r>
        <w:rPr>
          <w:b/>
          <w:i w:val="0"/>
        </w:rPr>
        <w:t>revertitur.</w:t>
      </w:r>
      <w:r>
        <w:rPr>
          <w:b w:val="0"/>
          <w:i w:val="0"/>
        </w:rPr>
        <w:t xml:space="preserve"> </w:t>
      </w:r>
      <w:hyperlink w:anchor="latin-record-0273">
        <w:r>
          <w:rPr>
            <w:color w:val="000000"/>
          </w:rPr>
          <w:t xml:space="preserve">convertere / reverti</w:t>
        </w:r>
      </w:hyperlink>
      <w:r>
        <w:rPr>
          <w:b w:val="0"/>
          <w:i w:val="0"/>
        </w:rPr>
        <w:t>.</w:t>
      </w:r>
    </w:p>
    <w:p>
      <w:pPr>
        <w:widowControl/>
      </w:pPr>
      <w:r>
        <w:rPr>
          <w:b/>
          <w:i w:val="0"/>
        </w:rPr>
        <w:t>revocando.</w:t>
      </w:r>
      <w:r>
        <w:rPr>
          <w:b w:val="0"/>
          <w:i w:val="0"/>
        </w:rPr>
        <w:t xml:space="preserve"> </w:t>
      </w:r>
      <w:hyperlink w:anchor="latin-record-1045">
        <w:r>
          <w:rPr>
            <w:color w:val="000000"/>
          </w:rPr>
          <w:t xml:space="preserve">repetere / revocare</w:t>
        </w:r>
      </w:hyperlink>
      <w:r>
        <w:rPr>
          <w:b w:val="0"/>
          <w:i w:val="0"/>
        </w:rPr>
        <w:t>.</w:t>
      </w:r>
    </w:p>
    <w:p>
      <w:pPr>
        <w:widowControl/>
      </w:pPr>
      <w:r>
        <w:rPr>
          <w:b/>
          <w:i w:val="0"/>
        </w:rPr>
        <w:t>revocat.</w:t>
      </w:r>
      <w:r>
        <w:rPr>
          <w:b w:val="0"/>
          <w:i w:val="0"/>
        </w:rPr>
        <w:t xml:space="preserve"> </w:t>
      </w:r>
      <w:hyperlink w:anchor="latin-record-1061">
        <w:r>
          <w:rPr>
            <w:color w:val="000000"/>
          </w:rPr>
          <w:t xml:space="preserve">revocare / rapere</w:t>
        </w:r>
      </w:hyperlink>
      <w:r>
        <w:rPr>
          <w:b w:val="0"/>
          <w:i w:val="0"/>
        </w:rPr>
        <w:t>.</w:t>
      </w:r>
    </w:p>
    <w:p>
      <w:pPr>
        <w:widowControl/>
      </w:pPr>
      <w:r>
        <w:rPr>
          <w:b/>
          <w:i w:val="0"/>
        </w:rPr>
        <w:t>revolutio.</w:t>
      </w:r>
      <w:r>
        <w:rPr>
          <w:b w:val="0"/>
          <w:i w:val="0"/>
        </w:rPr>
        <w:t xml:space="preserve"> </w:t>
      </w:r>
      <w:hyperlink w:anchor="latin-record-0887">
        <w:r>
          <w:rPr>
            <w:color w:val="000000"/>
          </w:rPr>
          <w:t xml:space="preserve">polus / revolutio / restitutio</w:t>
        </w:r>
      </w:hyperlink>
      <w:r>
        <w:rPr>
          <w:b w:val="0"/>
          <w:i w:val="0"/>
        </w:rPr>
        <w:t>.</w:t>
      </w:r>
    </w:p>
    <w:p>
      <w:pPr>
        <w:widowControl/>
      </w:pPr>
      <w:r>
        <w:rPr>
          <w:b/>
          <w:i w:val="0"/>
        </w:rPr>
        <w:t>revolvitur.</w:t>
      </w:r>
      <w:r>
        <w:rPr>
          <w:b w:val="0"/>
          <w:i w:val="0"/>
        </w:rPr>
        <w:t xml:space="preserve"> </w:t>
      </w:r>
      <w:hyperlink w:anchor="latin-record-0275">
        <w:r>
          <w:rPr>
            <w:color w:val="000000"/>
          </w:rPr>
          <w:t xml:space="preserve">convolvi / revolvi</w:t>
        </w:r>
      </w:hyperlink>
      <w:r>
        <w:rPr>
          <w:b w:val="0"/>
          <w:i w:val="0"/>
        </w:rPr>
        <w:t>.</w:t>
      </w:r>
    </w:p>
    <w:p>
      <w:pPr>
        <w:widowControl/>
      </w:pPr>
      <w:r>
        <w:rPr>
          <w:b/>
          <w:i w:val="0"/>
        </w:rPr>
        <w:t>roborandos.</w:t>
      </w:r>
      <w:r>
        <w:rPr>
          <w:b w:val="0"/>
          <w:i w:val="0"/>
        </w:rPr>
        <w:t xml:space="preserve"> </w:t>
      </w:r>
      <w:hyperlink w:anchor="latin-record-0431">
        <w:r>
          <w:rPr>
            <w:color w:val="000000"/>
          </w:rPr>
          <w:t xml:space="preserve">fascinare / roborare</w:t>
        </w:r>
      </w:hyperlink>
      <w:r>
        <w:rPr>
          <w:b w:val="0"/>
          <w:i w:val="0"/>
        </w:rPr>
        <w:t>.</w:t>
      </w:r>
    </w:p>
    <w:p>
      <w:pPr>
        <w:widowControl/>
      </w:pPr>
      <w:r>
        <w:rPr>
          <w:b/>
          <w:i w:val="0"/>
        </w:rPr>
        <w:t>Roboratur.</w:t>
      </w:r>
      <w:r>
        <w:rPr>
          <w:b w:val="0"/>
          <w:i w:val="0"/>
        </w:rPr>
        <w:t xml:space="preserve"> </w:t>
      </w:r>
      <w:hyperlink w:anchor="latin-record-1062">
        <w:r>
          <w:rPr>
            <w:color w:val="000000"/>
          </w:rPr>
          <w:t xml:space="preserve">roboro / duco</w:t>
        </w:r>
      </w:hyperlink>
      <w:r>
        <w:rPr>
          <w:b w:val="0"/>
          <w:i w:val="0"/>
        </w:rPr>
        <w:t>.</w:t>
      </w:r>
    </w:p>
    <w:p>
      <w:pPr>
        <w:widowControl/>
      </w:pPr>
      <w:r>
        <w:rPr>
          <w:b/>
          <w:i w:val="0"/>
        </w:rPr>
        <w:t>roboretur.</w:t>
      </w:r>
      <w:r>
        <w:rPr>
          <w:b w:val="0"/>
          <w:i w:val="0"/>
        </w:rPr>
        <w:t xml:space="preserve"> </w:t>
      </w:r>
      <w:hyperlink w:anchor="latin-record-1062">
        <w:r>
          <w:rPr>
            <w:color w:val="000000"/>
          </w:rPr>
          <w:t xml:space="preserve">roboro / duco</w:t>
        </w:r>
      </w:hyperlink>
      <w:r>
        <w:rPr>
          <w:b w:val="0"/>
          <w:i w:val="0"/>
        </w:rPr>
        <w:t>.</w:t>
      </w:r>
    </w:p>
    <w:p>
      <w:pPr>
        <w:widowControl/>
      </w:pPr>
      <w:r>
        <w:rPr>
          <w:b/>
          <w:i w:val="0"/>
        </w:rPr>
        <w:t>rotat.</w:t>
      </w:r>
      <w:r>
        <w:rPr>
          <w:b w:val="0"/>
          <w:i w:val="0"/>
        </w:rPr>
        <w:t xml:space="preserve"> </w:t>
      </w:r>
      <w:hyperlink w:anchor="latin-record-1063">
        <w:r>
          <w:rPr>
            <w:color w:val="000000"/>
          </w:rPr>
          <w:t xml:space="preserve">rotare</w:t>
        </w:r>
      </w:hyperlink>
      <w:r>
        <w:rPr>
          <w:b w:val="0"/>
          <w:i w:val="0"/>
        </w:rPr>
        <w:t>.</w:t>
      </w:r>
    </w:p>
    <w:p>
      <w:pPr>
        <w:widowControl/>
      </w:pPr>
      <w:r>
        <w:rPr>
          <w:b/>
          <w:i w:val="0"/>
        </w:rPr>
        <w:t>rotunditatis.</w:t>
      </w:r>
      <w:r>
        <w:rPr>
          <w:b w:val="0"/>
          <w:i w:val="0"/>
        </w:rPr>
        <w:t xml:space="preserve"> </w:t>
      </w:r>
      <w:hyperlink w:anchor="latin-record-1064">
        <w:r>
          <w:rPr>
            <w:color w:val="000000"/>
          </w:rPr>
          <w:t xml:space="preserve">rotunditas</w:t>
        </w:r>
      </w:hyperlink>
      <w:r>
        <w:rPr>
          <w:b w:val="0"/>
          <w:i w:val="0"/>
        </w:rPr>
        <w:t>.</w:t>
      </w:r>
    </w:p>
    <w:p>
      <w:pPr>
        <w:widowControl/>
      </w:pPr>
      <w:r>
        <w:rPr>
          <w:b/>
          <w:i w:val="0"/>
        </w:rPr>
        <w:t>rubens.</w:t>
      </w:r>
      <w:r>
        <w:rPr>
          <w:b w:val="0"/>
          <w:i w:val="0"/>
        </w:rPr>
        <w:t xml:space="preserve"> </w:t>
      </w:r>
      <w:hyperlink w:anchor="latin-record-1268">
        <w:r>
          <w:rPr>
            <w:color w:val="000000"/>
          </w:rPr>
          <w:t xml:space="preserve">viridis / rubens</w:t>
        </w:r>
      </w:hyperlink>
      <w:r>
        <w:rPr>
          <w:b w:val="0"/>
          <w:i w:val="0"/>
        </w:rPr>
        <w:t>.</w:t>
      </w:r>
    </w:p>
    <w:p>
      <w:pPr>
        <w:widowControl/>
      </w:pPr>
      <w:r>
        <w:rPr>
          <w:b/>
          <w:i w:val="0"/>
        </w:rPr>
        <w:t>rubeus.</w:t>
      </w:r>
      <w:r>
        <w:rPr>
          <w:b w:val="0"/>
          <w:i w:val="0"/>
        </w:rPr>
        <w:t xml:space="preserve"> </w:t>
      </w:r>
      <w:hyperlink w:anchor="latin-record-1065">
        <w:r>
          <w:rPr>
            <w:color w:val="000000"/>
          </w:rPr>
          <w:t xml:space="preserve">ruber / viridis / splendor</w:t>
        </w:r>
      </w:hyperlink>
      <w:r>
        <w:rPr>
          <w:b w:val="0"/>
          <w:i w:val="0"/>
        </w:rPr>
        <w:t>.</w:t>
      </w:r>
    </w:p>
    <w:p>
      <w:pPr>
        <w:widowControl/>
      </w:pPr>
      <w:r>
        <w:rPr>
          <w:b/>
          <w:i w:val="0"/>
        </w:rPr>
        <w:t>rubra.</w:t>
      </w:r>
      <w:r>
        <w:rPr>
          <w:b w:val="0"/>
          <w:i w:val="0"/>
        </w:rPr>
        <w:t xml:space="preserve"> </w:t>
      </w:r>
      <w:hyperlink w:anchor="latin-record-1065">
        <w:r>
          <w:rPr>
            <w:color w:val="000000"/>
          </w:rPr>
          <w:t xml:space="preserve">ruber / viridis / splendor</w:t>
        </w:r>
      </w:hyperlink>
      <w:r>
        <w:rPr>
          <w:b w:val="0"/>
          <w:i w:val="0"/>
        </w:rPr>
        <w:t>.</w:t>
      </w:r>
    </w:p>
    <w:p>
      <w:pPr>
        <w:widowControl/>
      </w:pPr>
      <w:r>
        <w:rPr>
          <w:b/>
          <w:i w:val="0"/>
        </w:rPr>
        <w:t>rubrum.</w:t>
      </w:r>
      <w:r>
        <w:rPr>
          <w:b w:val="0"/>
          <w:i w:val="0"/>
        </w:rPr>
        <w:t xml:space="preserve"> </w:t>
      </w:r>
      <w:hyperlink w:anchor="latin-record-1065">
        <w:r>
          <w:rPr>
            <w:color w:val="000000"/>
          </w:rPr>
          <w:t xml:space="preserve">ruber / viridis / splendor</w:t>
        </w:r>
      </w:hyperlink>
      <w:r>
        <w:rPr>
          <w:b w:val="0"/>
          <w:i w:val="0"/>
        </w:rPr>
        <w:t>.</w:t>
      </w:r>
    </w:p>
    <w:p>
      <w:pPr>
        <w:widowControl/>
      </w:pPr>
      <w:r>
        <w:rPr>
          <w:b/>
          <w:i w:val="0"/>
        </w:rPr>
        <w:t>sacerdotes.</w:t>
      </w:r>
      <w:r>
        <w:rPr>
          <w:b w:val="0"/>
          <w:i w:val="0"/>
        </w:rPr>
        <w:t xml:space="preserve"> </w:t>
      </w:r>
      <w:hyperlink w:anchor="latin-record-0517">
        <w:r>
          <w:rPr>
            <w:color w:val="000000"/>
          </w:rPr>
          <w:t xml:space="preserve">hymnus / theologia / sacerdos</w:t>
        </w:r>
      </w:hyperlink>
      <w:r>
        <w:rPr>
          <w:b w:val="0"/>
          <w:i w:val="0"/>
        </w:rPr>
        <w:t>.</w:t>
      </w:r>
    </w:p>
    <w:p>
      <w:pPr>
        <w:widowControl/>
      </w:pPr>
      <w:r>
        <w:rPr>
          <w:b/>
          <w:i w:val="0"/>
        </w:rPr>
        <w:t>saecula.</w:t>
      </w:r>
      <w:r>
        <w:rPr>
          <w:b w:val="0"/>
          <w:i w:val="0"/>
        </w:rPr>
        <w:t xml:space="preserve"> </w:t>
      </w:r>
      <w:hyperlink w:anchor="latin-record-1067">
        <w:r>
          <w:rPr>
            <w:color w:val="000000"/>
          </w:rPr>
          <w:t xml:space="preserve">saeculum / duratio</w:t>
        </w:r>
      </w:hyperlink>
      <w:r>
        <w:rPr>
          <w:b w:val="0"/>
          <w:i w:val="0"/>
        </w:rPr>
        <w:t>.</w:t>
      </w:r>
    </w:p>
    <w:p>
      <w:pPr>
        <w:widowControl/>
      </w:pPr>
      <w:r>
        <w:rPr>
          <w:b/>
          <w:i w:val="0"/>
        </w:rPr>
        <w:t>sagittae.</w:t>
      </w:r>
      <w:r>
        <w:rPr>
          <w:b w:val="0"/>
          <w:i w:val="0"/>
        </w:rPr>
        <w:t xml:space="preserve"> </w:t>
      </w:r>
      <w:hyperlink w:anchor="latin-record-1068">
        <w:r>
          <w:rPr>
            <w:color w:val="000000"/>
          </w:rPr>
          <w:t xml:space="preserve">sagitta / sagittarius / signum</w:t>
        </w:r>
      </w:hyperlink>
      <w:r>
        <w:rPr>
          <w:b w:val="0"/>
          <w:i w:val="0"/>
        </w:rPr>
        <w:t>.</w:t>
      </w:r>
    </w:p>
    <w:p>
      <w:pPr>
        <w:widowControl/>
      </w:pPr>
      <w:r>
        <w:rPr>
          <w:b/>
          <w:i w:val="0"/>
        </w:rPr>
        <w:t>sagittarii.</w:t>
      </w:r>
      <w:r>
        <w:rPr>
          <w:b w:val="0"/>
          <w:i w:val="0"/>
        </w:rPr>
        <w:t xml:space="preserve"> </w:t>
      </w:r>
      <w:hyperlink w:anchor="latin-record-1068">
        <w:r>
          <w:rPr>
            <w:color w:val="000000"/>
          </w:rPr>
          <w:t xml:space="preserve">sagitta / sagittarius / signum</w:t>
        </w:r>
      </w:hyperlink>
      <w:r>
        <w:rPr>
          <w:b w:val="0"/>
          <w:i w:val="0"/>
        </w:rPr>
        <w:t>.</w:t>
      </w:r>
    </w:p>
    <w:p>
      <w:pPr>
        <w:widowControl/>
      </w:pPr>
      <w:r>
        <w:rPr>
          <w:b/>
          <w:i w:val="0"/>
        </w:rPr>
        <w:t>sapientia.</w:t>
      </w:r>
      <w:r>
        <w:rPr>
          <w:b w:val="0"/>
          <w:i w:val="0"/>
        </w:rPr>
        <w:t xml:space="preserve"> </w:t>
      </w:r>
      <w:hyperlink w:anchor="latin-record-1069">
        <w:r>
          <w:rPr>
            <w:color w:val="000000"/>
          </w:rPr>
          <w:t xml:space="preserve">sapientia / sapiens</w:t>
        </w:r>
      </w:hyperlink>
      <w:r>
        <w:rPr>
          <w:b w:val="0"/>
          <w:i w:val="0"/>
        </w:rPr>
        <w:t>.</w:t>
      </w:r>
    </w:p>
    <w:p>
      <w:pPr>
        <w:widowControl/>
      </w:pPr>
      <w:r>
        <w:rPr>
          <w:b/>
          <w:i w:val="0"/>
        </w:rPr>
        <w:t>sapientiae.</w:t>
      </w:r>
      <w:r>
        <w:rPr>
          <w:b w:val="0"/>
          <w:i w:val="0"/>
        </w:rPr>
        <w:t xml:space="preserve"> </w:t>
      </w:r>
      <w:hyperlink w:anchor="latin-record-1069">
        <w:r>
          <w:rPr>
            <w:color w:val="000000"/>
          </w:rPr>
          <w:t xml:space="preserve">sapientia / sapiens</w:t>
        </w:r>
      </w:hyperlink>
      <w:r>
        <w:rPr>
          <w:b w:val="0"/>
          <w:i w:val="0"/>
        </w:rPr>
        <w:t>.</w:t>
      </w:r>
    </w:p>
    <w:p>
      <w:pPr>
        <w:widowControl/>
      </w:pPr>
      <w:r>
        <w:rPr>
          <w:b/>
          <w:i w:val="0"/>
        </w:rPr>
        <w:t>sapientioribus se dimittere.</w:t>
      </w:r>
      <w:r>
        <w:rPr>
          <w:b w:val="0"/>
          <w:i w:val="0"/>
        </w:rPr>
        <w:t xml:space="preserve"> </w:t>
      </w:r>
      <w:hyperlink w:anchor="latin-record-1070">
        <w:r>
          <w:rPr>
            <w:color w:val="000000"/>
          </w:rPr>
          <w:t xml:space="preserve">sapientioribus se dimittere</w:t>
        </w:r>
      </w:hyperlink>
      <w:r>
        <w:rPr>
          <w:b w:val="0"/>
          <w:i w:val="0"/>
        </w:rPr>
        <w:t>.</w:t>
      </w:r>
    </w:p>
    <w:p>
      <w:pPr>
        <w:widowControl/>
      </w:pPr>
      <w:r>
        <w:rPr>
          <w:b/>
          <w:i w:val="0"/>
        </w:rPr>
        <w:t>sapientissima.</w:t>
      </w:r>
      <w:r>
        <w:rPr>
          <w:b w:val="0"/>
          <w:i w:val="0"/>
        </w:rPr>
        <w:t xml:space="preserve"> </w:t>
      </w:r>
      <w:hyperlink w:anchor="latin-record-1069">
        <w:r>
          <w:rPr>
            <w:color w:val="000000"/>
          </w:rPr>
          <w:t xml:space="preserve">sapientia / sapiens</w:t>
        </w:r>
      </w:hyperlink>
      <w:r>
        <w:rPr>
          <w:b w:val="0"/>
          <w:i w:val="0"/>
        </w:rPr>
        <w:t>.</w:t>
      </w:r>
    </w:p>
    <w:p>
      <w:pPr>
        <w:widowControl/>
      </w:pPr>
      <w:r>
        <w:rPr>
          <w:b/>
          <w:i w:val="0"/>
        </w:rPr>
        <w:t>sapientissimi.</w:t>
      </w:r>
      <w:r>
        <w:rPr>
          <w:b w:val="0"/>
          <w:i w:val="0"/>
        </w:rPr>
        <w:t xml:space="preserve"> </w:t>
      </w:r>
      <w:hyperlink w:anchor="latin-record-1069">
        <w:r>
          <w:rPr>
            <w:color w:val="000000"/>
          </w:rPr>
          <w:t xml:space="preserve">sapientia / sapiens</w:t>
        </w:r>
      </w:hyperlink>
      <w:r>
        <w:rPr>
          <w:b w:val="0"/>
          <w:i w:val="0"/>
        </w:rPr>
        <w:t>.</w:t>
      </w:r>
    </w:p>
    <w:p>
      <w:pPr>
        <w:widowControl/>
      </w:pPr>
      <w:r>
        <w:rPr>
          <w:b/>
          <w:i w:val="0"/>
        </w:rPr>
        <w:t>Saturni.</w:t>
      </w:r>
      <w:r>
        <w:rPr>
          <w:b w:val="0"/>
          <w:i w:val="0"/>
        </w:rPr>
        <w:t xml:space="preserve"> </w:t>
      </w:r>
      <w:hyperlink w:anchor="latin-record-0517">
        <w:r>
          <w:rPr>
            <w:color w:val="000000"/>
          </w:rPr>
          <w:t xml:space="preserve">hymnus / theologia / sacerdos</w:t>
        </w:r>
      </w:hyperlink>
      <w:r>
        <w:rPr>
          <w:b w:val="0"/>
          <w:i w:val="0"/>
        </w:rPr>
        <w:t>.</w:t>
      </w:r>
    </w:p>
    <w:p>
      <w:pPr>
        <w:widowControl/>
      </w:pPr>
      <w:r>
        <w:rPr>
          <w:b/>
          <w:i w:val="0"/>
        </w:rPr>
        <w:t>scaturiens.</w:t>
      </w:r>
      <w:r>
        <w:rPr>
          <w:b w:val="0"/>
          <w:i w:val="0"/>
        </w:rPr>
        <w:t xml:space="preserve"> </w:t>
      </w:r>
      <w:hyperlink w:anchor="latin-record-1071">
        <w:r>
          <w:rPr>
            <w:color w:val="000000"/>
          </w:rPr>
          <w:t xml:space="preserve">scaturire / vena</w:t>
        </w:r>
      </w:hyperlink>
      <w:r>
        <w:rPr>
          <w:b w:val="0"/>
          <w:i w:val="0"/>
        </w:rPr>
        <w:t>.</w:t>
      </w:r>
    </w:p>
    <w:p>
      <w:pPr>
        <w:widowControl/>
      </w:pPr>
      <w:r>
        <w:rPr>
          <w:b/>
          <w:i w:val="0"/>
        </w:rPr>
        <w:t>Scaturiet.</w:t>
      </w:r>
      <w:r>
        <w:rPr>
          <w:b w:val="0"/>
          <w:i w:val="0"/>
        </w:rPr>
        <w:t xml:space="preserve"> </w:t>
      </w:r>
      <w:hyperlink w:anchor="latin-record-1071">
        <w:r>
          <w:rPr>
            <w:color w:val="000000"/>
          </w:rPr>
          <w:t xml:space="preserve">scaturire / vena</w:t>
        </w:r>
      </w:hyperlink>
      <w:r>
        <w:rPr>
          <w:b w:val="0"/>
          <w:i w:val="0"/>
        </w:rPr>
        <w:t>.</w:t>
      </w:r>
    </w:p>
    <w:p>
      <w:pPr>
        <w:widowControl/>
      </w:pPr>
      <w:r>
        <w:rPr>
          <w:b/>
          <w:i w:val="0"/>
        </w:rPr>
        <w:t>scientia.</w:t>
      </w:r>
      <w:r>
        <w:rPr>
          <w:b w:val="0"/>
          <w:i w:val="0"/>
        </w:rPr>
        <w:t xml:space="preserve"> </w:t>
      </w:r>
      <w:hyperlink w:anchor="latin-record-1072">
        <w:r>
          <w:rPr>
            <w:color w:val="000000"/>
          </w:rPr>
          <w:t xml:space="preserve">scientia / comprehendere</w:t>
        </w:r>
      </w:hyperlink>
      <w:r>
        <w:rPr>
          <w:b w:val="0"/>
          <w:i w:val="0"/>
        </w:rPr>
        <w:t>.</w:t>
      </w:r>
    </w:p>
    <w:p>
      <w:pPr>
        <w:widowControl/>
      </w:pPr>
      <w:r>
        <w:rPr>
          <w:b/>
          <w:i w:val="0"/>
        </w:rPr>
        <w:t>Scintilla.</w:t>
      </w:r>
      <w:r>
        <w:rPr>
          <w:b w:val="0"/>
          <w:i w:val="0"/>
        </w:rPr>
        <w:t xml:space="preserve"> </w:t>
      </w:r>
      <w:hyperlink w:anchor="latin-record-1073">
        <w:r>
          <w:rPr>
            <w:color w:val="000000"/>
          </w:rPr>
          <w:t xml:space="preserve">scintilla / flamma</w:t>
        </w:r>
      </w:hyperlink>
      <w:r>
        <w:rPr>
          <w:b w:val="0"/>
          <w:i w:val="0"/>
        </w:rPr>
        <w:t>.</w:t>
      </w:r>
    </w:p>
    <w:p>
      <w:pPr>
        <w:widowControl/>
      </w:pPr>
      <w:r>
        <w:rPr>
          <w:b/>
          <w:i w:val="0"/>
        </w:rPr>
        <w:t>scintillam.</w:t>
      </w:r>
      <w:r>
        <w:rPr>
          <w:b w:val="0"/>
          <w:i w:val="0"/>
        </w:rPr>
        <w:t xml:space="preserve"> </w:t>
      </w:r>
      <w:hyperlink w:anchor="latin-record-1073">
        <w:r>
          <w:rPr>
            <w:color w:val="000000"/>
          </w:rPr>
          <w:t xml:space="preserve">scintilla / flamma</w:t>
        </w:r>
      </w:hyperlink>
      <w:r>
        <w:rPr>
          <w:b w:val="0"/>
          <w:i w:val="0"/>
        </w:rPr>
        <w:t>.</w:t>
      </w:r>
    </w:p>
    <w:p>
      <w:pPr>
        <w:widowControl/>
      </w:pPr>
      <w:r>
        <w:rPr>
          <w:b/>
          <w:i w:val="0"/>
        </w:rPr>
        <w:t>Scopus.</w:t>
      </w:r>
      <w:r>
        <w:rPr>
          <w:b w:val="0"/>
          <w:i w:val="0"/>
        </w:rPr>
        <w:t xml:space="preserve"> </w:t>
      </w:r>
      <w:hyperlink w:anchor="latin-record-0450">
        <w:r>
          <w:rPr>
            <w:color w:val="000000"/>
          </w:rPr>
          <w:t xml:space="preserve">finis / scopus</w:t>
        </w:r>
      </w:hyperlink>
      <w:r>
        <w:rPr>
          <w:b w:val="0"/>
          <w:i w:val="0"/>
        </w:rPr>
        <w:t>.</w:t>
      </w:r>
    </w:p>
    <w:p>
      <w:pPr>
        <w:widowControl/>
      </w:pPr>
      <w:r>
        <w:rPr>
          <w:b/>
          <w:i w:val="0"/>
        </w:rPr>
        <w:t>scripti.</w:t>
      </w:r>
      <w:r>
        <w:rPr>
          <w:b w:val="0"/>
          <w:i w:val="0"/>
        </w:rPr>
        <w:t xml:space="preserve"> </w:t>
      </w:r>
      <w:hyperlink w:anchor="latin-record-1074">
        <w:r>
          <w:rPr>
            <w:color w:val="000000"/>
          </w:rPr>
          <w:t xml:space="preserve">scribere</w:t>
        </w:r>
      </w:hyperlink>
      <w:r>
        <w:rPr>
          <w:b w:val="0"/>
          <w:i w:val="0"/>
        </w:rPr>
        <w:t>.</w:t>
      </w:r>
    </w:p>
    <w:p>
      <w:pPr>
        <w:widowControl/>
      </w:pPr>
      <w:r>
        <w:rPr>
          <w:b/>
          <w:i w:val="0"/>
        </w:rPr>
        <w:t>se ipsam regit.</w:t>
      </w:r>
      <w:r>
        <w:rPr>
          <w:b w:val="0"/>
          <w:i w:val="0"/>
        </w:rPr>
        <w:t xml:space="preserve"> </w:t>
      </w:r>
      <w:hyperlink w:anchor="latin-record-1076">
        <w:r>
          <w:rPr>
            <w:color w:val="000000"/>
          </w:rPr>
          <w:t xml:space="preserve">se regere / se sistere</w:t>
        </w:r>
      </w:hyperlink>
      <w:r>
        <w:rPr>
          <w:b w:val="0"/>
          <w:i w:val="0"/>
        </w:rPr>
        <w:t>.</w:t>
      </w:r>
    </w:p>
    <w:p>
      <w:pPr>
        <w:widowControl/>
      </w:pPr>
      <w:r>
        <w:rPr>
          <w:b/>
          <w:i w:val="0"/>
        </w:rPr>
        <w:t>se sistit.</w:t>
      </w:r>
      <w:r>
        <w:rPr>
          <w:b w:val="0"/>
          <w:i w:val="0"/>
        </w:rPr>
        <w:t xml:space="preserve"> </w:t>
      </w:r>
      <w:hyperlink w:anchor="latin-record-1076">
        <w:r>
          <w:rPr>
            <w:color w:val="000000"/>
          </w:rPr>
          <w:t xml:space="preserve">se regere / se sistere</w:t>
        </w:r>
      </w:hyperlink>
      <w:r>
        <w:rPr>
          <w:b w:val="0"/>
          <w:i w:val="0"/>
        </w:rPr>
        <w:t>.</w:t>
      </w:r>
    </w:p>
    <w:p>
      <w:pPr>
        <w:widowControl/>
      </w:pPr>
      <w:r>
        <w:rPr>
          <w:b/>
          <w:i w:val="0"/>
        </w:rPr>
        <w:t>se toto.</w:t>
      </w:r>
      <w:r>
        <w:rPr>
          <w:b w:val="0"/>
          <w:i w:val="0"/>
        </w:rPr>
        <w:t xml:space="preserve"> </w:t>
      </w:r>
      <w:hyperlink w:anchor="latin-record-1077">
        <w:r>
          <w:rPr>
            <w:color w:val="000000"/>
          </w:rPr>
          <w:t xml:space="preserve">se toto</w:t>
        </w:r>
      </w:hyperlink>
      <w:r>
        <w:rPr>
          <w:b w:val="0"/>
          <w:i w:val="0"/>
        </w:rPr>
        <w:t>.</w:t>
      </w:r>
    </w:p>
    <w:p>
      <w:pPr>
        <w:widowControl/>
      </w:pPr>
      <w:r>
        <w:rPr>
          <w:b/>
          <w:i w:val="0"/>
        </w:rPr>
        <w:t>secum ipsa volutat.</w:t>
      </w:r>
      <w:r>
        <w:rPr>
          <w:b w:val="0"/>
          <w:i w:val="0"/>
        </w:rPr>
        <w:t xml:space="preserve"> </w:t>
      </w:r>
      <w:hyperlink w:anchor="latin-record-1284">
        <w:r>
          <w:rPr>
            <w:color w:val="000000"/>
          </w:rPr>
          <w:t xml:space="preserve">volutare secum</w:t>
        </w:r>
      </w:hyperlink>
      <w:r>
        <w:rPr>
          <w:b w:val="0"/>
          <w:i w:val="0"/>
        </w:rPr>
        <w:t>.</w:t>
      </w:r>
    </w:p>
    <w:p>
      <w:pPr>
        <w:widowControl/>
      </w:pPr>
      <w:r>
        <w:rPr>
          <w:b/>
          <w:i w:val="0"/>
        </w:rPr>
        <w:t>secunda quadam intentione.</w:t>
      </w:r>
      <w:r>
        <w:rPr>
          <w:b w:val="0"/>
          <w:i w:val="0"/>
        </w:rPr>
        <w:t xml:space="preserve"> </w:t>
      </w:r>
      <w:hyperlink w:anchor="latin-record-1078">
        <w:r>
          <w:rPr>
            <w:color w:val="000000"/>
          </w:rPr>
          <w:t xml:space="preserve">secunda intentio</w:t>
        </w:r>
      </w:hyperlink>
      <w:r>
        <w:rPr>
          <w:b w:val="0"/>
          <w:i w:val="0"/>
        </w:rPr>
        <w:t>.</w:t>
      </w:r>
    </w:p>
    <w:p>
      <w:pPr>
        <w:widowControl/>
      </w:pPr>
      <w:r>
        <w:rPr>
          <w:b/>
          <w:i w:val="0"/>
        </w:rPr>
        <w:t>secundum causam.</w:t>
      </w:r>
      <w:r>
        <w:rPr>
          <w:b w:val="0"/>
          <w:i w:val="0"/>
        </w:rPr>
        <w:t xml:space="preserve"> </w:t>
      </w:r>
      <w:hyperlink w:anchor="latin-record-1079">
        <w:r>
          <w:rPr>
            <w:color w:val="000000"/>
          </w:rPr>
          <w:t xml:space="preserve">secundum causam / per formam</w:t>
        </w:r>
      </w:hyperlink>
      <w:r>
        <w:rPr>
          <w:b w:val="0"/>
          <w:i w:val="0"/>
        </w:rPr>
        <w:t>.</w:t>
      </w:r>
    </w:p>
    <w:p>
      <w:pPr>
        <w:widowControl/>
      </w:pPr>
      <w:r>
        <w:rPr>
          <w:b/>
          <w:i w:val="0"/>
        </w:rPr>
        <w:t>secundum partem.</w:t>
      </w:r>
      <w:r>
        <w:rPr>
          <w:b w:val="0"/>
          <w:i w:val="0"/>
        </w:rPr>
        <w:t xml:space="preserve"> </w:t>
      </w:r>
      <w:hyperlink w:anchor="latin-record-1080">
        <w:r>
          <w:rPr>
            <w:color w:val="000000"/>
          </w:rPr>
          <w:t xml:space="preserve">secundum partem / ex toto</w:t>
        </w:r>
      </w:hyperlink>
      <w:r>
        <w:rPr>
          <w:b w:val="0"/>
          <w:i w:val="0"/>
        </w:rPr>
        <w:t>.</w:t>
      </w:r>
    </w:p>
    <w:p>
      <w:pPr>
        <w:widowControl/>
      </w:pPr>
      <w:r>
        <w:rPr>
          <w:b/>
          <w:i w:val="0"/>
        </w:rPr>
        <w:t>secundum se.</w:t>
      </w:r>
      <w:r>
        <w:rPr>
          <w:b w:val="0"/>
          <w:i w:val="0"/>
        </w:rPr>
        <w:t xml:space="preserve"> </w:t>
      </w:r>
      <w:hyperlink w:anchor="latin-record-1081">
        <w:r>
          <w:rPr>
            <w:color w:val="000000"/>
          </w:rPr>
          <w:t xml:space="preserve">secundum se / per se</w:t>
        </w:r>
      </w:hyperlink>
      <w:r>
        <w:rPr>
          <w:b w:val="0"/>
          <w:i w:val="0"/>
        </w:rPr>
        <w:t>.</w:t>
      </w:r>
    </w:p>
    <w:p>
      <w:pPr>
        <w:widowControl/>
      </w:pPr>
      <w:r>
        <w:rPr>
          <w:b/>
          <w:i w:val="0"/>
        </w:rPr>
        <w:t>Sed de his alias.</w:t>
      </w:r>
      <w:r>
        <w:rPr>
          <w:b w:val="0"/>
          <w:i w:val="0"/>
        </w:rPr>
        <w:t xml:space="preserve"> </w:t>
      </w:r>
      <w:hyperlink w:anchor="latin-record-0898">
        <w:r>
          <w:rPr>
            <w:color w:val="000000"/>
          </w:rPr>
          <w:t xml:space="preserve">postponing and returning</w:t>
        </w:r>
      </w:hyperlink>
      <w:r>
        <w:rPr>
          <w:b w:val="0"/>
          <w:i w:val="0"/>
        </w:rPr>
        <w:t>.</w:t>
      </w:r>
    </w:p>
    <w:p>
      <w:pPr>
        <w:widowControl/>
      </w:pPr>
      <w:r>
        <w:rPr>
          <w:b/>
          <w:i w:val="0"/>
        </w:rPr>
        <w:t>Sed de hoc alias.</w:t>
      </w:r>
      <w:r>
        <w:rPr>
          <w:b w:val="0"/>
          <w:i w:val="0"/>
        </w:rPr>
        <w:t xml:space="preserve"> </w:t>
      </w:r>
      <w:hyperlink w:anchor="latin-record-0898">
        <w:r>
          <w:rPr>
            <w:color w:val="000000"/>
          </w:rPr>
          <w:t xml:space="preserve">postponing and returning</w:t>
        </w:r>
      </w:hyperlink>
      <w:r>
        <w:rPr>
          <w:b w:val="0"/>
          <w:i w:val="0"/>
        </w:rPr>
        <w:t>.</w:t>
      </w:r>
    </w:p>
    <w:p>
      <w:pPr>
        <w:widowControl/>
      </w:pPr>
      <w:r>
        <w:rPr>
          <w:b/>
          <w:i w:val="0"/>
        </w:rPr>
        <w:t>sedem.</w:t>
      </w:r>
      <w:r>
        <w:rPr>
          <w:b w:val="0"/>
          <w:i w:val="0"/>
        </w:rPr>
        <w:t xml:space="preserve"> </w:t>
      </w:r>
      <w:hyperlink w:anchor="latin-record-1082">
        <w:r>
          <w:rPr>
            <w:color w:val="000000"/>
          </w:rPr>
          <w:t xml:space="preserve">sedes / regio</w:t>
        </w:r>
      </w:hyperlink>
      <w:r>
        <w:rPr>
          <w:b w:val="0"/>
          <w:i w:val="0"/>
        </w:rPr>
        <w:t>.</w:t>
      </w:r>
    </w:p>
    <w:p>
      <w:pPr>
        <w:widowControl/>
      </w:pPr>
      <w:r>
        <w:rPr>
          <w:b/>
          <w:i w:val="0"/>
        </w:rPr>
        <w:t>segregantur.</w:t>
      </w:r>
      <w:r>
        <w:rPr>
          <w:b w:val="0"/>
          <w:i w:val="0"/>
        </w:rPr>
        <w:t xml:space="preserve"> </w:t>
      </w:r>
      <w:hyperlink w:anchor="latin-record-0593">
        <w:r>
          <w:rPr>
            <w:color w:val="000000"/>
          </w:rPr>
          <w:t xml:space="preserve">integritas / segregare</w:t>
        </w:r>
      </w:hyperlink>
      <w:r>
        <w:rPr>
          <w:b w:val="0"/>
          <w:i w:val="0"/>
        </w:rPr>
        <w:t>.</w:t>
      </w:r>
    </w:p>
    <w:p>
      <w:pPr>
        <w:widowControl/>
      </w:pPr>
      <w:r>
        <w:rPr>
          <w:b/>
          <w:i w:val="0"/>
        </w:rPr>
        <w:t>segregatae.</w:t>
      </w:r>
      <w:r>
        <w:rPr>
          <w:b w:val="0"/>
          <w:i w:val="0"/>
        </w:rPr>
        <w:t xml:space="preserve"> </w:t>
      </w:r>
      <w:hyperlink w:anchor="latin-record-0593">
        <w:r>
          <w:rPr>
            <w:color w:val="000000"/>
          </w:rPr>
          <w:t xml:space="preserve">integritas / segregare</w:t>
        </w:r>
      </w:hyperlink>
      <w:r>
        <w:rPr>
          <w:b w:val="0"/>
          <w:i w:val="0"/>
        </w:rPr>
        <w:t>.</w:t>
      </w:r>
    </w:p>
    <w:p>
      <w:pPr>
        <w:widowControl/>
      </w:pPr>
      <w:r>
        <w:rPr>
          <w:b/>
          <w:i w:val="0"/>
        </w:rPr>
        <w:t>seiuncta.</w:t>
      </w:r>
      <w:r>
        <w:rPr>
          <w:b w:val="0"/>
          <w:i w:val="0"/>
        </w:rPr>
        <w:t xml:space="preserve"> </w:t>
      </w:r>
      <w:hyperlink w:anchor="latin-record-0505">
        <w:r>
          <w:rPr>
            <w:color w:val="000000"/>
          </w:rPr>
          <w:t xml:space="preserve">haerere / seiunctus</w:t>
        </w:r>
      </w:hyperlink>
      <w:r>
        <w:rPr>
          <w:b w:val="0"/>
          <w:i w:val="0"/>
        </w:rPr>
        <w:t>.</w:t>
      </w:r>
    </w:p>
    <w:p>
      <w:pPr>
        <w:widowControl/>
      </w:pPr>
      <w:r>
        <w:rPr>
          <w:b/>
          <w:i w:val="0"/>
        </w:rPr>
        <w:t>seiunctas.</w:t>
      </w:r>
      <w:r>
        <w:rPr>
          <w:b w:val="0"/>
          <w:i w:val="0"/>
        </w:rPr>
        <w:t xml:space="preserve"> </w:t>
      </w:r>
      <w:hyperlink w:anchor="latin-record-1095">
        <w:r>
          <w:rPr>
            <w:color w:val="000000"/>
          </w:rPr>
          <w:t xml:space="preserve">separo / seiungo</w:t>
        </w:r>
      </w:hyperlink>
      <w:r>
        <w:rPr>
          <w:b w:val="0"/>
          <w:i w:val="0"/>
        </w:rPr>
        <w:t>.</w:t>
      </w:r>
    </w:p>
    <w:p>
      <w:pPr>
        <w:widowControl/>
      </w:pPr>
      <w:r>
        <w:rPr>
          <w:b/>
          <w:i w:val="0"/>
        </w:rPr>
        <w:t>seiungi.</w:t>
      </w:r>
      <w:r>
        <w:rPr>
          <w:b w:val="0"/>
          <w:i w:val="0"/>
        </w:rPr>
        <w:t xml:space="preserve"> </w:t>
      </w:r>
      <w:hyperlink w:anchor="latin-record-1095">
        <w:r>
          <w:rPr>
            <w:color w:val="000000"/>
          </w:rPr>
          <w:t xml:space="preserve">separo / seiungo</w:t>
        </w:r>
      </w:hyperlink>
      <w:r>
        <w:rPr>
          <w:b w:val="0"/>
          <w:i w:val="0"/>
        </w:rPr>
        <w:t>.</w:t>
      </w:r>
    </w:p>
    <w:p>
      <w:pPr>
        <w:widowControl/>
      </w:pPr>
      <w:r>
        <w:rPr>
          <w:b/>
          <w:i w:val="0"/>
        </w:rPr>
        <w:t>seiungunt.</w:t>
      </w:r>
      <w:r>
        <w:rPr>
          <w:b w:val="0"/>
          <w:i w:val="0"/>
        </w:rPr>
        <w:t xml:space="preserve"> </w:t>
      </w:r>
      <w:hyperlink w:anchor="latin-record-1083">
        <w:r>
          <w:rPr>
            <w:color w:val="000000"/>
          </w:rPr>
          <w:t xml:space="preserve">seiungo / disiungo</w:t>
        </w:r>
      </w:hyperlink>
      <w:r>
        <w:rPr>
          <w:b w:val="0"/>
          <w:i w:val="0"/>
        </w:rPr>
        <w:t>.</w:t>
      </w:r>
    </w:p>
    <w:p>
      <w:pPr>
        <w:widowControl/>
      </w:pPr>
      <w:r>
        <w:rPr>
          <w:b/>
          <w:i w:val="0"/>
        </w:rPr>
        <w:t>semel.</w:t>
      </w:r>
      <w:r>
        <w:rPr>
          <w:b w:val="0"/>
          <w:i w:val="0"/>
        </w:rPr>
        <w:t xml:space="preserve"> </w:t>
      </w:r>
      <w:hyperlink w:anchor="latin-record-0777">
        <w:r>
          <w:rPr>
            <w:color w:val="000000"/>
          </w:rPr>
          <w:t xml:space="preserve">nuper / semel / diuturnior / perpetuo / generatio / successio</w:t>
        </w:r>
      </w:hyperlink>
      <w:r>
        <w:rPr>
          <w:b w:val="0"/>
          <w:i w:val="0"/>
        </w:rPr>
        <w:t>.</w:t>
      </w:r>
    </w:p>
    <w:p>
      <w:pPr>
        <w:widowControl/>
      </w:pPr>
      <w:r>
        <w:rPr>
          <w:b/>
          <w:i w:val="0"/>
        </w:rPr>
        <w:t>semicirculus.</w:t>
      </w:r>
      <w:r>
        <w:rPr>
          <w:b w:val="0"/>
          <w:i w:val="0"/>
        </w:rPr>
        <w:t xml:space="preserve"> </w:t>
      </w:r>
      <w:hyperlink w:anchor="latin-record-0078">
        <w:r>
          <w:rPr>
            <w:color w:val="000000"/>
          </w:rPr>
          <w:t xml:space="preserve">Antipodes / semicirculus</w:t>
        </w:r>
      </w:hyperlink>
      <w:r>
        <w:rPr>
          <w:b w:val="0"/>
          <w:i w:val="0"/>
        </w:rPr>
        <w:t>.</w:t>
      </w:r>
    </w:p>
    <w:p>
      <w:pPr>
        <w:widowControl/>
      </w:pPr>
      <w:r>
        <w:rPr>
          <w:b/>
          <w:i w:val="0"/>
        </w:rPr>
        <w:t>semina.</w:t>
      </w:r>
      <w:r>
        <w:rPr>
          <w:b w:val="0"/>
          <w:i w:val="0"/>
        </w:rPr>
        <w:t xml:space="preserve"> </w:t>
      </w:r>
      <w:hyperlink w:anchor="latin-record-1085">
        <w:r>
          <w:rPr>
            <w:color w:val="000000"/>
          </w:rPr>
          <w:t xml:space="preserve">semen / flos</w:t>
        </w:r>
      </w:hyperlink>
      <w:r>
        <w:rPr>
          <w:b w:val="0"/>
          <w:i w:val="0"/>
        </w:rPr>
        <w:t>.</w:t>
      </w:r>
    </w:p>
    <w:p>
      <w:pPr>
        <w:widowControl/>
      </w:pPr>
      <w:r>
        <w:rPr>
          <w:b/>
          <w:i w:val="0"/>
        </w:rPr>
        <w:t>semine.</w:t>
      </w:r>
      <w:r>
        <w:rPr>
          <w:b w:val="0"/>
          <w:i w:val="0"/>
        </w:rPr>
        <w:t xml:space="preserve"> </w:t>
      </w:r>
      <w:hyperlink w:anchor="latin-record-1084">
        <w:r>
          <w:rPr>
            <w:color w:val="000000"/>
          </w:rPr>
          <w:t xml:space="preserve">semen</w:t>
        </w:r>
      </w:hyperlink>
      <w:r>
        <w:rPr>
          <w:b w:val="0"/>
          <w:i w:val="0"/>
        </w:rPr>
        <w:t>.</w:t>
      </w:r>
    </w:p>
    <w:p>
      <w:pPr>
        <w:widowControl/>
      </w:pPr>
      <w:r>
        <w:rPr>
          <w:b/>
          <w:i w:val="0"/>
        </w:rPr>
        <w:t>semine corporali.</w:t>
      </w:r>
      <w:r>
        <w:rPr>
          <w:b w:val="0"/>
          <w:i w:val="0"/>
        </w:rPr>
        <w:t xml:space="preserve"> </w:t>
      </w:r>
      <w:hyperlink w:anchor="latin-record-0483">
        <w:r>
          <w:rPr>
            <w:color w:val="000000"/>
          </w:rPr>
          <w:t xml:space="preserve">germen / corporale semen</w:t>
        </w:r>
      </w:hyperlink>
      <w:r>
        <w:rPr>
          <w:b w:val="0"/>
          <w:i w:val="0"/>
        </w:rPr>
        <w:t>.</w:t>
      </w:r>
    </w:p>
    <w:p>
      <w:pPr>
        <w:widowControl/>
      </w:pPr>
      <w:r>
        <w:rPr>
          <w:b/>
          <w:i w:val="0"/>
        </w:rPr>
        <w:t>seminibus.</w:t>
      </w:r>
      <w:r>
        <w:rPr>
          <w:b w:val="0"/>
          <w:i w:val="0"/>
        </w:rPr>
        <w:t xml:space="preserve"> </w:t>
      </w:r>
      <w:hyperlink w:anchor="latin-record-1084">
        <w:r>
          <w:rPr>
            <w:color w:val="000000"/>
          </w:rPr>
          <w:t xml:space="preserve">semen</w:t>
        </w:r>
      </w:hyperlink>
      <w:r>
        <w:rPr>
          <w:b w:val="0"/>
          <w:i w:val="0"/>
        </w:rPr>
        <w:t>.</w:t>
      </w:r>
    </w:p>
    <w:p>
      <w:pPr>
        <w:widowControl/>
      </w:pPr>
      <w:r>
        <w:rPr>
          <w:b/>
          <w:i w:val="0"/>
        </w:rPr>
        <w:t>semotum.</w:t>
      </w:r>
      <w:r>
        <w:rPr>
          <w:b w:val="0"/>
          <w:i w:val="0"/>
        </w:rPr>
        <w:t xml:space="preserve"> </w:t>
      </w:r>
      <w:hyperlink w:anchor="latin-record-0326">
        <w:r>
          <w:rPr>
            <w:color w:val="000000"/>
          </w:rPr>
          <w:t xml:space="preserve">discessus / seorsum / semovere</w:t>
        </w:r>
      </w:hyperlink>
      <w:r>
        <w:rPr>
          <w:b w:val="0"/>
          <w:i w:val="0"/>
        </w:rPr>
        <w:t>.</w:t>
      </w:r>
    </w:p>
    <w:p>
      <w:pPr>
        <w:widowControl/>
      </w:pPr>
      <w:r>
        <w:rPr>
          <w:b/>
          <w:i w:val="0"/>
        </w:rPr>
        <w:t>semotum a multitudine.</w:t>
      </w:r>
      <w:r>
        <w:rPr>
          <w:b w:val="0"/>
          <w:i w:val="0"/>
        </w:rPr>
        <w:t xml:space="preserve"> </w:t>
      </w:r>
      <w:hyperlink w:anchor="latin-record-0082">
        <w:r>
          <w:rPr>
            <w:color w:val="000000"/>
          </w:rPr>
          <w:t xml:space="preserve">Apollo / simplex et semotus</w:t>
        </w:r>
      </w:hyperlink>
      <w:r>
        <w:rPr>
          <w:b w:val="0"/>
          <w:i w:val="0"/>
        </w:rPr>
        <w:t>.</w:t>
      </w:r>
    </w:p>
    <w:p>
      <w:pPr>
        <w:widowControl/>
      </w:pPr>
      <w:r>
        <w:rPr>
          <w:b/>
          <w:i w:val="0"/>
        </w:rPr>
        <w:t>semotus motor.</w:t>
      </w:r>
      <w:r>
        <w:rPr>
          <w:b w:val="0"/>
          <w:i w:val="0"/>
        </w:rPr>
        <w:t xml:space="preserve"> </w:t>
      </w:r>
      <w:hyperlink w:anchor="latin-record-1086">
        <w:r>
          <w:rPr>
            <w:color w:val="000000"/>
          </w:rPr>
          <w:t xml:space="preserve">semotus motor</w:t>
        </w:r>
      </w:hyperlink>
      <w:r>
        <w:rPr>
          <w:b w:val="0"/>
          <w:i w:val="0"/>
        </w:rPr>
        <w:t>.</w:t>
      </w:r>
    </w:p>
    <w:p>
      <w:pPr>
        <w:widowControl/>
      </w:pPr>
      <w:r>
        <w:rPr>
          <w:b/>
          <w:i w:val="0"/>
        </w:rPr>
        <w:t>semper.</w:t>
      </w:r>
      <w:r>
        <w:rPr>
          <w:b w:val="0"/>
          <w:i w:val="0"/>
        </w:rPr>
        <w:t xml:space="preserve"> </w:t>
      </w:r>
      <w:hyperlink w:anchor="latin-record-1087">
        <w:r>
          <w:rPr>
            <w:color w:val="000000"/>
          </w:rPr>
          <w:t xml:space="preserve">semper / aliquando</w:t>
        </w:r>
      </w:hyperlink>
      <w:r>
        <w:rPr>
          <w:b w:val="0"/>
          <w:i w:val="0"/>
        </w:rPr>
        <w:t xml:space="preserve">; </w:t>
      </w:r>
      <w:hyperlink w:anchor="latin-record-1088">
        <w:r>
          <w:rPr>
            <w:color w:val="000000"/>
          </w:rPr>
          <w:t xml:space="preserve">semper / simul / aliquando / nondum / amplius</w:t>
        </w:r>
      </w:hyperlink>
      <w:r>
        <w:rPr>
          <w:b w:val="0"/>
          <w:i w:val="0"/>
        </w:rPr>
        <w:t>.</w:t>
      </w:r>
    </w:p>
    <w:p>
      <w:pPr>
        <w:widowControl/>
      </w:pPr>
      <w:r>
        <w:rPr>
          <w:b/>
          <w:i w:val="0"/>
        </w:rPr>
        <w:t>semper fit.</w:t>
      </w:r>
      <w:r>
        <w:rPr>
          <w:b w:val="0"/>
          <w:i w:val="0"/>
        </w:rPr>
        <w:t xml:space="preserve"> </w:t>
      </w:r>
      <w:hyperlink w:anchor="latin-record-0379">
        <w:r>
          <w:rPr>
            <w:color w:val="000000"/>
          </w:rPr>
          <w:t xml:space="preserve">esse / fieri</w:t>
        </w:r>
      </w:hyperlink>
      <w:r>
        <w:rPr>
          <w:b w:val="0"/>
          <w:i w:val="0"/>
        </w:rPr>
        <w:t>.</w:t>
      </w:r>
    </w:p>
    <w:p>
      <w:pPr>
        <w:widowControl/>
      </w:pPr>
      <w:r>
        <w:rPr>
          <w:b/>
          <w:i w:val="0"/>
        </w:rPr>
        <w:t>sempiterna.</w:t>
      </w:r>
      <w:r>
        <w:rPr>
          <w:b w:val="0"/>
          <w:i w:val="0"/>
        </w:rPr>
        <w:t xml:space="preserve"> </w:t>
      </w:r>
      <w:hyperlink w:anchor="latin-record-1089">
        <w:r>
          <w:rPr>
            <w:color w:val="000000"/>
          </w:rPr>
          <w:t xml:space="preserve">sempiternitas / aeternitas</w:t>
        </w:r>
      </w:hyperlink>
      <w:r>
        <w:rPr>
          <w:b w:val="0"/>
          <w:i w:val="0"/>
        </w:rPr>
        <w:t>.</w:t>
      </w:r>
    </w:p>
    <w:p>
      <w:pPr>
        <w:widowControl/>
      </w:pPr>
      <w:r>
        <w:rPr>
          <w:b/>
          <w:i w:val="0"/>
        </w:rPr>
        <w:t>sempiternitas.</w:t>
      </w:r>
      <w:r>
        <w:rPr>
          <w:b w:val="0"/>
          <w:i w:val="0"/>
        </w:rPr>
        <w:t xml:space="preserve"> </w:t>
      </w:r>
      <w:hyperlink w:anchor="latin-record-1089">
        <w:r>
          <w:rPr>
            <w:color w:val="000000"/>
          </w:rPr>
          <w:t xml:space="preserve">sempiternitas / aeternitas</w:t>
        </w:r>
      </w:hyperlink>
      <w:r>
        <w:rPr>
          <w:b w:val="0"/>
          <w:i w:val="0"/>
        </w:rPr>
        <w:t>.</w:t>
      </w:r>
    </w:p>
    <w:p>
      <w:pPr>
        <w:widowControl/>
      </w:pPr>
      <w:r>
        <w:rPr>
          <w:b/>
          <w:i w:val="0"/>
        </w:rPr>
        <w:t>sempiternitatem.</w:t>
      </w:r>
      <w:r>
        <w:rPr>
          <w:b w:val="0"/>
          <w:i w:val="0"/>
        </w:rPr>
        <w:t xml:space="preserve"> </w:t>
      </w:r>
      <w:hyperlink w:anchor="latin-record-1089">
        <w:r>
          <w:rPr>
            <w:color w:val="000000"/>
          </w:rPr>
          <w:t xml:space="preserve">sempiternitas / aeternitas</w:t>
        </w:r>
      </w:hyperlink>
      <w:r>
        <w:rPr>
          <w:b w:val="0"/>
          <w:i w:val="0"/>
        </w:rPr>
        <w:t>.</w:t>
      </w:r>
    </w:p>
    <w:p>
      <w:pPr>
        <w:widowControl/>
      </w:pPr>
      <w:r>
        <w:rPr>
          <w:b/>
          <w:i w:val="0"/>
        </w:rPr>
        <w:t>senium.</w:t>
      </w:r>
      <w:r>
        <w:rPr>
          <w:b w:val="0"/>
          <w:i w:val="0"/>
        </w:rPr>
        <w:t xml:space="preserve"> </w:t>
      </w:r>
      <w:hyperlink w:anchor="latin-record-1090">
        <w:r>
          <w:rPr>
            <w:color w:val="000000"/>
          </w:rPr>
          <w:t xml:space="preserve">senium / restitutio mundi</w:t>
        </w:r>
      </w:hyperlink>
      <w:r>
        <w:rPr>
          <w:b w:val="0"/>
          <w:i w:val="0"/>
        </w:rPr>
        <w:t>.</w:t>
      </w:r>
    </w:p>
    <w:p>
      <w:pPr>
        <w:widowControl/>
      </w:pPr>
      <w:r>
        <w:rPr>
          <w:b/>
          <w:i w:val="0"/>
        </w:rPr>
        <w:t>sensibus.</w:t>
      </w:r>
      <w:r>
        <w:rPr>
          <w:b w:val="0"/>
          <w:i w:val="0"/>
        </w:rPr>
        <w:t xml:space="preserve"> </w:t>
      </w:r>
      <w:hyperlink w:anchor="latin-record-1014">
        <w:r>
          <w:rPr>
            <w:color w:val="000000"/>
          </w:rPr>
          <w:t xml:space="preserve">quinque sensus / singulatim / summatim</w:t>
        </w:r>
      </w:hyperlink>
      <w:r>
        <w:rPr>
          <w:b w:val="0"/>
          <w:i w:val="0"/>
        </w:rPr>
        <w:t>.</w:t>
      </w:r>
    </w:p>
    <w:p>
      <w:pPr>
        <w:widowControl/>
      </w:pPr>
      <w:r>
        <w:rPr>
          <w:b/>
          <w:i w:val="0"/>
        </w:rPr>
        <w:t>sensum.</w:t>
      </w:r>
      <w:r>
        <w:rPr>
          <w:b w:val="0"/>
          <w:i w:val="0"/>
        </w:rPr>
        <w:t xml:space="preserve"> </w:t>
      </w:r>
      <w:hyperlink w:anchor="latin-record-0870">
        <w:r>
          <w:rPr>
            <w:color w:val="000000"/>
          </w:rPr>
          <w:t xml:space="preserve">phantasia / sensus / generatio</w:t>
        </w:r>
      </w:hyperlink>
      <w:r>
        <w:rPr>
          <w:b w:val="0"/>
          <w:i w:val="0"/>
        </w:rPr>
        <w:t>.</w:t>
      </w:r>
    </w:p>
    <w:p>
      <w:pPr>
        <w:widowControl/>
      </w:pPr>
      <w:r>
        <w:rPr>
          <w:b/>
          <w:i w:val="0"/>
        </w:rPr>
        <w:t>sensum, inquam, rationalem.</w:t>
      </w:r>
      <w:r>
        <w:rPr>
          <w:b w:val="0"/>
          <w:i w:val="0"/>
        </w:rPr>
        <w:t xml:space="preserve"> </w:t>
      </w:r>
      <w:hyperlink w:anchor="latin-record-1091">
        <w:r>
          <w:rPr>
            <w:color w:val="000000"/>
          </w:rPr>
          <w:t xml:space="preserve">sensus rationalis</w:t>
        </w:r>
      </w:hyperlink>
      <w:r>
        <w:rPr>
          <w:b w:val="0"/>
          <w:i w:val="0"/>
        </w:rPr>
        <w:t>.</w:t>
      </w:r>
    </w:p>
    <w:p>
      <w:pPr>
        <w:widowControl/>
      </w:pPr>
      <w:r>
        <w:rPr>
          <w:b/>
          <w:i w:val="0"/>
        </w:rPr>
        <w:t>sensus.</w:t>
      </w:r>
      <w:r>
        <w:rPr>
          <w:b w:val="0"/>
          <w:i w:val="0"/>
        </w:rPr>
        <w:t xml:space="preserve"> </w:t>
      </w:r>
      <w:hyperlink w:anchor="latin-record-1014">
        <w:r>
          <w:rPr>
            <w:color w:val="000000"/>
          </w:rPr>
          <w:t xml:space="preserve">quinque sensus / singulatim / summatim</w:t>
        </w:r>
      </w:hyperlink>
      <w:r>
        <w:rPr>
          <w:b w:val="0"/>
          <w:i w:val="0"/>
        </w:rPr>
        <w:t>.</w:t>
      </w:r>
    </w:p>
    <w:p>
      <w:pPr>
        <w:widowControl/>
      </w:pPr>
      <w:r>
        <w:rPr>
          <w:b/>
          <w:i w:val="0"/>
        </w:rPr>
        <w:t>sententia.</w:t>
      </w:r>
      <w:r>
        <w:rPr>
          <w:b w:val="0"/>
          <w:i w:val="0"/>
        </w:rPr>
        <w:t xml:space="preserve"> </w:t>
      </w:r>
      <w:hyperlink w:anchor="latin-record-1092">
        <w:r>
          <w:rPr>
            <w:color w:val="000000"/>
          </w:rPr>
          <w:t xml:space="preserve">sententia</w:t>
        </w:r>
      </w:hyperlink>
      <w:r>
        <w:rPr>
          <w:b w:val="0"/>
          <w:i w:val="0"/>
        </w:rPr>
        <w:t xml:space="preserve">; </w:t>
      </w:r>
      <w:hyperlink w:anchor="latin-record-1093">
        <w:r>
          <w:rPr>
            <w:color w:val="000000"/>
          </w:rPr>
          <w:t xml:space="preserve">sententia / voluerunt</w:t>
        </w:r>
      </w:hyperlink>
      <w:r>
        <w:rPr>
          <w:b w:val="0"/>
          <w:i w:val="0"/>
        </w:rPr>
        <w:t>.</w:t>
      </w:r>
    </w:p>
    <w:p>
      <w:pPr>
        <w:widowControl/>
      </w:pPr>
      <w:r>
        <w:rPr>
          <w:b/>
          <w:i w:val="0"/>
        </w:rPr>
        <w:t>seorsum.</w:t>
      </w:r>
      <w:r>
        <w:rPr>
          <w:b w:val="0"/>
          <w:i w:val="0"/>
        </w:rPr>
        <w:t xml:space="preserve"> </w:t>
      </w:r>
      <w:hyperlink w:anchor="latin-record-0326">
        <w:r>
          <w:rPr>
            <w:color w:val="000000"/>
          </w:rPr>
          <w:t xml:space="preserve">discessus / seorsum / semovere</w:t>
        </w:r>
      </w:hyperlink>
      <w:r>
        <w:rPr>
          <w:b w:val="0"/>
          <w:i w:val="0"/>
        </w:rPr>
        <w:t xml:space="preserve">; </w:t>
      </w:r>
      <w:hyperlink w:anchor="latin-record-1094">
        <w:r>
          <w:rPr>
            <w:color w:val="000000"/>
          </w:rPr>
          <w:t xml:space="preserve">seorsum</w:t>
        </w:r>
      </w:hyperlink>
      <w:r>
        <w:rPr>
          <w:b w:val="0"/>
          <w:i w:val="0"/>
        </w:rPr>
        <w:t>.</w:t>
      </w:r>
    </w:p>
    <w:p>
      <w:pPr>
        <w:widowControl/>
      </w:pPr>
      <w:r>
        <w:rPr>
          <w:b/>
          <w:i w:val="0"/>
        </w:rPr>
        <w:t>separant.</w:t>
      </w:r>
      <w:r>
        <w:rPr>
          <w:b w:val="0"/>
          <w:i w:val="0"/>
        </w:rPr>
        <w:t xml:space="preserve"> </w:t>
      </w:r>
      <w:hyperlink w:anchor="latin-record-1095">
        <w:r>
          <w:rPr>
            <w:color w:val="000000"/>
          </w:rPr>
          <w:t xml:space="preserve">separo / seiungo</w:t>
        </w:r>
      </w:hyperlink>
      <w:r>
        <w:rPr>
          <w:b w:val="0"/>
          <w:i w:val="0"/>
        </w:rPr>
        <w:t>.</w:t>
      </w:r>
    </w:p>
    <w:p>
      <w:pPr>
        <w:widowControl/>
      </w:pPr>
      <w:r>
        <w:rPr>
          <w:b/>
          <w:i w:val="0"/>
        </w:rPr>
        <w:t>separari.</w:t>
      </w:r>
      <w:r>
        <w:rPr>
          <w:b w:val="0"/>
          <w:i w:val="0"/>
        </w:rPr>
        <w:t xml:space="preserve"> </w:t>
      </w:r>
      <w:hyperlink w:anchor="latin-record-0326">
        <w:r>
          <w:rPr>
            <w:color w:val="000000"/>
          </w:rPr>
          <w:t xml:space="preserve">discessus / seorsum / semovere</w:t>
        </w:r>
      </w:hyperlink>
      <w:r>
        <w:rPr>
          <w:b w:val="0"/>
          <w:i w:val="0"/>
        </w:rPr>
        <w:t>.</w:t>
      </w:r>
    </w:p>
    <w:p>
      <w:pPr>
        <w:widowControl/>
      </w:pPr>
      <w:r>
        <w:rPr>
          <w:b/>
          <w:i w:val="0"/>
        </w:rPr>
        <w:t>separatae.</w:t>
      </w:r>
      <w:r>
        <w:rPr>
          <w:b w:val="0"/>
          <w:i w:val="0"/>
        </w:rPr>
        <w:t xml:space="preserve"> </w:t>
      </w:r>
      <w:hyperlink w:anchor="latin-record-1095">
        <w:r>
          <w:rPr>
            <w:color w:val="000000"/>
          </w:rPr>
          <w:t xml:space="preserve">separo / seiungo</w:t>
        </w:r>
      </w:hyperlink>
      <w:r>
        <w:rPr>
          <w:b w:val="0"/>
          <w:i w:val="0"/>
        </w:rPr>
        <w:t>.</w:t>
      </w:r>
    </w:p>
    <w:p>
      <w:pPr>
        <w:widowControl/>
      </w:pPr>
      <w:r>
        <w:rPr>
          <w:b/>
          <w:i w:val="0"/>
        </w:rPr>
        <w:t>septenario.</w:t>
      </w:r>
      <w:r>
        <w:rPr>
          <w:b w:val="0"/>
          <w:i w:val="0"/>
        </w:rPr>
        <w:t xml:space="preserve"> </w:t>
      </w:r>
      <w:hyperlink w:anchor="latin-record-1197">
        <w:r>
          <w:rPr>
            <w:color w:val="000000"/>
          </w:rPr>
          <w:t xml:space="preserve">ternarius / novenarius / septenarius / duodenarius</w:t>
        </w:r>
      </w:hyperlink>
      <w:r>
        <w:rPr>
          <w:b w:val="0"/>
          <w:i w:val="0"/>
        </w:rPr>
        <w:t>.</w:t>
      </w:r>
    </w:p>
    <w:p>
      <w:pPr>
        <w:widowControl/>
      </w:pPr>
      <w:r>
        <w:rPr>
          <w:b/>
          <w:i w:val="0"/>
        </w:rPr>
        <w:t>sequentes.</w:t>
      </w:r>
      <w:r>
        <w:rPr>
          <w:b w:val="0"/>
          <w:i w:val="0"/>
        </w:rPr>
        <w:t xml:space="preserve"> </w:t>
      </w:r>
      <w:hyperlink w:anchor="latin-record-0076">
        <w:r>
          <w:rPr>
            <w:color w:val="000000"/>
          </w:rPr>
          <w:t xml:space="preserve">antecedere / sequi / praecedere</w:t>
        </w:r>
      </w:hyperlink>
      <w:r>
        <w:rPr>
          <w:b w:val="0"/>
          <w:i w:val="0"/>
        </w:rPr>
        <w:t>.</w:t>
      </w:r>
    </w:p>
    <w:p>
      <w:pPr>
        <w:widowControl/>
      </w:pPr>
      <w:r>
        <w:rPr>
          <w:b/>
          <w:i w:val="0"/>
        </w:rPr>
        <w:t>sequentibus.</w:t>
      </w:r>
      <w:r>
        <w:rPr>
          <w:b w:val="0"/>
          <w:i w:val="0"/>
        </w:rPr>
        <w:t xml:space="preserve"> </w:t>
      </w:r>
      <w:hyperlink w:anchor="latin-record-0076">
        <w:r>
          <w:rPr>
            <w:color w:val="000000"/>
          </w:rPr>
          <w:t xml:space="preserve">antecedere / sequi / praecedere</w:t>
        </w:r>
      </w:hyperlink>
      <w:r>
        <w:rPr>
          <w:b w:val="0"/>
          <w:i w:val="0"/>
        </w:rPr>
        <w:t>.</w:t>
      </w:r>
    </w:p>
    <w:p>
      <w:pPr>
        <w:widowControl/>
      </w:pPr>
      <w:r>
        <w:rPr>
          <w:b/>
          <w:i w:val="0"/>
        </w:rPr>
        <w:t>sequi.</w:t>
      </w:r>
      <w:r>
        <w:rPr>
          <w:b w:val="0"/>
          <w:i w:val="0"/>
        </w:rPr>
        <w:t xml:space="preserve"> </w:t>
      </w:r>
      <w:hyperlink w:anchor="latin-record-1096">
        <w:r>
          <w:rPr>
            <w:color w:val="000000"/>
          </w:rPr>
          <w:t xml:space="preserve">sequi</w:t>
        </w:r>
      </w:hyperlink>
      <w:r>
        <w:rPr>
          <w:b w:val="0"/>
          <w:i w:val="0"/>
        </w:rPr>
        <w:t>.</w:t>
      </w:r>
    </w:p>
    <w:p>
      <w:pPr>
        <w:widowControl/>
      </w:pPr>
      <w:r>
        <w:rPr>
          <w:b/>
          <w:i w:val="0"/>
        </w:rPr>
        <w:t>serendo.</w:t>
      </w:r>
      <w:r>
        <w:rPr>
          <w:b w:val="0"/>
          <w:i w:val="0"/>
        </w:rPr>
        <w:t xml:space="preserve"> </w:t>
      </w:r>
      <w:hyperlink w:anchor="latin-record-1098">
        <w:r>
          <w:rPr>
            <w:color w:val="000000"/>
          </w:rPr>
          <w:t xml:space="preserve">serere / plantare</w:t>
        </w:r>
      </w:hyperlink>
      <w:r>
        <w:rPr>
          <w:b w:val="0"/>
          <w:i w:val="0"/>
        </w:rPr>
        <w:t>.</w:t>
      </w:r>
    </w:p>
    <w:p>
      <w:pPr>
        <w:widowControl/>
      </w:pPr>
      <w:r>
        <w:rPr>
          <w:b/>
          <w:i w:val="0"/>
        </w:rPr>
        <w:t>serenior.</w:t>
      </w:r>
      <w:r>
        <w:rPr>
          <w:b w:val="0"/>
          <w:i w:val="0"/>
        </w:rPr>
        <w:t xml:space="preserve"> </w:t>
      </w:r>
      <w:hyperlink w:anchor="latin-record-0987">
        <w:r>
          <w:rPr>
            <w:color w:val="000000"/>
          </w:rPr>
          <w:t xml:space="preserve">purgo / serenus</w:t>
        </w:r>
      </w:hyperlink>
      <w:r>
        <w:rPr>
          <w:b w:val="0"/>
          <w:i w:val="0"/>
        </w:rPr>
        <w:t>.</w:t>
      </w:r>
    </w:p>
    <w:p>
      <w:pPr>
        <w:widowControl/>
      </w:pPr>
      <w:r>
        <w:rPr>
          <w:b/>
          <w:i w:val="0"/>
        </w:rPr>
        <w:t>serie successionis.</w:t>
      </w:r>
      <w:r>
        <w:rPr>
          <w:b w:val="0"/>
          <w:i w:val="0"/>
        </w:rPr>
        <w:t xml:space="preserve"> </w:t>
      </w:r>
      <w:hyperlink w:anchor="latin-record-1099">
        <w:r>
          <w:rPr>
            <w:color w:val="000000"/>
          </w:rPr>
          <w:t xml:space="preserve">series successionis</w:t>
        </w:r>
      </w:hyperlink>
      <w:r>
        <w:rPr>
          <w:b w:val="0"/>
          <w:i w:val="0"/>
        </w:rPr>
        <w:t>.</w:t>
      </w:r>
    </w:p>
    <w:p>
      <w:pPr>
        <w:widowControl/>
      </w:pPr>
      <w:r>
        <w:rPr>
          <w:b/>
          <w:i w:val="0"/>
        </w:rPr>
        <w:t>seriem successionis.</w:t>
      </w:r>
      <w:r>
        <w:rPr>
          <w:b w:val="0"/>
          <w:i w:val="0"/>
        </w:rPr>
        <w:t xml:space="preserve"> </w:t>
      </w:r>
      <w:hyperlink w:anchor="latin-record-1099">
        <w:r>
          <w:rPr>
            <w:color w:val="000000"/>
          </w:rPr>
          <w:t xml:space="preserve">series successionis</w:t>
        </w:r>
      </w:hyperlink>
      <w:r>
        <w:rPr>
          <w:b w:val="0"/>
          <w:i w:val="0"/>
        </w:rPr>
        <w:t>.</w:t>
      </w:r>
    </w:p>
    <w:p>
      <w:pPr>
        <w:widowControl/>
      </w:pPr>
      <w:r>
        <w:rPr>
          <w:b/>
          <w:i w:val="0"/>
        </w:rPr>
        <w:t>serit.</w:t>
      </w:r>
      <w:r>
        <w:rPr>
          <w:b w:val="0"/>
          <w:i w:val="0"/>
        </w:rPr>
        <w:t xml:space="preserve"> </w:t>
      </w:r>
      <w:hyperlink w:anchor="latin-record-1097">
        <w:r>
          <w:rPr>
            <w:color w:val="000000"/>
          </w:rPr>
          <w:t xml:space="preserve">serere / parere / explicare</w:t>
        </w:r>
      </w:hyperlink>
      <w:r>
        <w:rPr>
          <w:b w:val="0"/>
          <w:i w:val="0"/>
        </w:rPr>
        <w:t>.</w:t>
      </w:r>
    </w:p>
    <w:p>
      <w:pPr>
        <w:widowControl/>
      </w:pPr>
      <w:r>
        <w:rPr>
          <w:b/>
          <w:i w:val="0"/>
        </w:rPr>
        <w:t>sero.</w:t>
      </w:r>
      <w:r>
        <w:rPr>
          <w:b w:val="0"/>
          <w:i w:val="0"/>
        </w:rPr>
        <w:t xml:space="preserve"> </w:t>
      </w:r>
      <w:hyperlink w:anchor="latin-record-0842">
        <w:r>
          <w:rPr>
            <w:color w:val="000000"/>
          </w:rPr>
          <w:t xml:space="preserve">paulatim / subito / sero</w:t>
        </w:r>
      </w:hyperlink>
      <w:r>
        <w:rPr>
          <w:b w:val="0"/>
          <w:i w:val="0"/>
        </w:rPr>
        <w:t>.</w:t>
      </w:r>
    </w:p>
    <w:p>
      <w:pPr>
        <w:widowControl/>
      </w:pPr>
      <w:r>
        <w:rPr>
          <w:b/>
          <w:i w:val="0"/>
        </w:rPr>
        <w:t>servantur.</w:t>
      </w:r>
      <w:r>
        <w:rPr>
          <w:b w:val="0"/>
          <w:i w:val="0"/>
        </w:rPr>
        <w:t xml:space="preserve"> </w:t>
      </w:r>
      <w:hyperlink w:anchor="latin-record-0358">
        <w:r>
          <w:rPr>
            <w:color w:val="000000"/>
          </w:rPr>
          <w:t xml:space="preserve">edere / servare / conservare</w:t>
        </w:r>
      </w:hyperlink>
      <w:r>
        <w:rPr>
          <w:b w:val="0"/>
          <w:i w:val="0"/>
        </w:rPr>
        <w:t>.</w:t>
      </w:r>
    </w:p>
    <w:p>
      <w:pPr>
        <w:widowControl/>
      </w:pPr>
      <w:r>
        <w:rPr>
          <w:b/>
          <w:i w:val="0"/>
        </w:rPr>
        <w:t>servat.</w:t>
      </w:r>
      <w:r>
        <w:rPr>
          <w:b w:val="0"/>
          <w:i w:val="0"/>
        </w:rPr>
        <w:t xml:space="preserve"> </w:t>
      </w:r>
      <w:hyperlink w:anchor="latin-record-0358">
        <w:r>
          <w:rPr>
            <w:color w:val="000000"/>
          </w:rPr>
          <w:t xml:space="preserve">edere / servare / conservare</w:t>
        </w:r>
      </w:hyperlink>
      <w:r>
        <w:rPr>
          <w:b w:val="0"/>
          <w:i w:val="0"/>
        </w:rPr>
        <w:t>.</w:t>
      </w:r>
    </w:p>
    <w:p>
      <w:pPr>
        <w:widowControl/>
      </w:pPr>
      <w:r>
        <w:rPr>
          <w:b/>
          <w:i w:val="0"/>
        </w:rPr>
        <w:t>servatque.</w:t>
      </w:r>
      <w:r>
        <w:rPr>
          <w:b w:val="0"/>
          <w:i w:val="0"/>
        </w:rPr>
        <w:t xml:space="preserve"> </w:t>
      </w:r>
      <w:hyperlink w:anchor="latin-record-0358">
        <w:r>
          <w:rPr>
            <w:color w:val="000000"/>
          </w:rPr>
          <w:t xml:space="preserve">edere / servare / conservare</w:t>
        </w:r>
      </w:hyperlink>
      <w:r>
        <w:rPr>
          <w:b w:val="0"/>
          <w:i w:val="0"/>
        </w:rPr>
        <w:t xml:space="preserve">; </w:t>
      </w:r>
      <w:hyperlink w:anchor="latin-record-0426">
        <w:r>
          <w:rPr>
            <w:color w:val="000000"/>
          </w:rPr>
          <w:t xml:space="preserve">facio / servo</w:t>
        </w:r>
      </w:hyperlink>
      <w:r>
        <w:rPr>
          <w:b w:val="0"/>
          <w:i w:val="0"/>
        </w:rPr>
        <w:t>.</w:t>
      </w:r>
    </w:p>
    <w:p>
      <w:pPr>
        <w:widowControl/>
      </w:pPr>
      <w:r>
        <w:rPr>
          <w:b/>
          <w:i w:val="0"/>
        </w:rPr>
        <w:t>servaturque.</w:t>
      </w:r>
      <w:r>
        <w:rPr>
          <w:b w:val="0"/>
          <w:i w:val="0"/>
        </w:rPr>
        <w:t xml:space="preserve"> </w:t>
      </w:r>
      <w:hyperlink w:anchor="latin-record-0358">
        <w:r>
          <w:rPr>
            <w:color w:val="000000"/>
          </w:rPr>
          <w:t xml:space="preserve">edere / servare / conservare</w:t>
        </w:r>
      </w:hyperlink>
      <w:r>
        <w:rPr>
          <w:b w:val="0"/>
          <w:i w:val="0"/>
        </w:rPr>
        <w:t>.</w:t>
      </w:r>
    </w:p>
    <w:p>
      <w:pPr>
        <w:widowControl/>
      </w:pPr>
      <w:r>
        <w:rPr>
          <w:b/>
          <w:i w:val="0"/>
        </w:rPr>
        <w:t>servit.</w:t>
      </w:r>
      <w:r>
        <w:rPr>
          <w:b w:val="0"/>
          <w:i w:val="0"/>
        </w:rPr>
        <w:t xml:space="preserve"> </w:t>
      </w:r>
      <w:hyperlink w:anchor="latin-record-1100">
        <w:r>
          <w:rPr>
            <w:color w:val="000000"/>
          </w:rPr>
          <w:t xml:space="preserve">servire / alienus</w:t>
        </w:r>
      </w:hyperlink>
      <w:r>
        <w:rPr>
          <w:b w:val="0"/>
          <w:i w:val="0"/>
        </w:rPr>
        <w:t xml:space="preserve">; </w:t>
      </w:r>
      <w:hyperlink w:anchor="latin-record-1101">
        <w:r>
          <w:rPr>
            <w:color w:val="000000"/>
          </w:rPr>
          <w:t xml:space="preserve">servire / depravare</w:t>
        </w:r>
      </w:hyperlink>
      <w:r>
        <w:rPr>
          <w:b w:val="0"/>
          <w:i w:val="0"/>
        </w:rPr>
        <w:t>.</w:t>
      </w:r>
    </w:p>
    <w:p>
      <w:pPr>
        <w:widowControl/>
      </w:pPr>
      <w:r>
        <w:rPr>
          <w:b/>
          <w:i w:val="0"/>
        </w:rPr>
        <w:t>Si.</w:t>
      </w:r>
      <w:r>
        <w:rPr>
          <w:b w:val="0"/>
          <w:i w:val="0"/>
        </w:rPr>
        <w:t xml:space="preserve"> </w:t>
      </w:r>
      <w:hyperlink w:anchor="latin-record-1102">
        <w:r>
          <w:rPr>
            <w:color w:val="000000"/>
          </w:rPr>
          <w:t xml:space="preserve">si / sin</w:t>
        </w:r>
      </w:hyperlink>
      <w:r>
        <w:rPr>
          <w:b w:val="0"/>
          <w:i w:val="0"/>
        </w:rPr>
        <w:t>.</w:t>
      </w:r>
    </w:p>
    <w:p>
      <w:pPr>
        <w:widowControl/>
      </w:pPr>
      <w:r>
        <w:rPr>
          <w:b/>
          <w:i w:val="0"/>
        </w:rPr>
        <w:t>sibimet.</w:t>
      </w:r>
      <w:r>
        <w:rPr>
          <w:b w:val="0"/>
          <w:i w:val="0"/>
        </w:rPr>
        <w:t xml:space="preserve"> </w:t>
      </w:r>
      <w:hyperlink w:anchor="latin-record-0018">
        <w:r>
          <w:rPr>
            <w:color w:val="000000"/>
          </w:rPr>
          <w:t xml:space="preserve">adaequare / sibimet</w:t>
        </w:r>
      </w:hyperlink>
      <w:r>
        <w:rPr>
          <w:b w:val="0"/>
          <w:i w:val="0"/>
        </w:rPr>
        <w:t>.</w:t>
      </w:r>
    </w:p>
    <w:p>
      <w:pPr>
        <w:widowControl/>
      </w:pPr>
      <w:r>
        <w:rPr>
          <w:b/>
          <w:i w:val="0"/>
        </w:rPr>
        <w:t>sicca.</w:t>
      </w:r>
      <w:r>
        <w:rPr>
          <w:b w:val="0"/>
          <w:i w:val="0"/>
        </w:rPr>
        <w:t xml:space="preserve"> </w:t>
      </w:r>
      <w:hyperlink w:anchor="latin-record-0133">
        <w:r>
          <w:rPr>
            <w:color w:val="000000"/>
          </w:rPr>
          <w:t xml:space="preserve">calidus / frigidus / siccus / humidus</w:t>
        </w:r>
      </w:hyperlink>
      <w:r>
        <w:rPr>
          <w:b w:val="0"/>
          <w:i w:val="0"/>
        </w:rPr>
        <w:t>.</w:t>
      </w:r>
    </w:p>
    <w:p>
      <w:pPr>
        <w:widowControl/>
      </w:pPr>
      <w:r>
        <w:rPr>
          <w:b/>
          <w:i w:val="0"/>
        </w:rPr>
        <w:t>siccitas.</w:t>
      </w:r>
      <w:r>
        <w:rPr>
          <w:b w:val="0"/>
          <w:i w:val="0"/>
        </w:rPr>
        <w:t xml:space="preserve"> </w:t>
      </w:r>
      <w:hyperlink w:anchor="latin-record-1103">
        <w:r>
          <w:rPr>
            <w:color w:val="000000"/>
          </w:rPr>
          <w:t xml:space="preserve">siccitas / humiditas</w:t>
        </w:r>
      </w:hyperlink>
      <w:r>
        <w:rPr>
          <w:b w:val="0"/>
          <w:i w:val="0"/>
        </w:rPr>
        <w:t>.</w:t>
      </w:r>
    </w:p>
    <w:p>
      <w:pPr>
        <w:widowControl/>
      </w:pPr>
      <w:r>
        <w:rPr>
          <w:b/>
          <w:i w:val="0"/>
        </w:rPr>
        <w:t>signat in esse.</w:t>
      </w:r>
      <w:r>
        <w:rPr>
          <w:b w:val="0"/>
          <w:i w:val="0"/>
        </w:rPr>
        <w:t xml:space="preserve"> </w:t>
      </w:r>
      <w:hyperlink w:anchor="latin-record-0891">
        <w:r>
          <w:rPr>
            <w:color w:val="000000"/>
          </w:rPr>
          <w:t xml:space="preserve">ponere / signare in esse</w:t>
        </w:r>
      </w:hyperlink>
      <w:r>
        <w:rPr>
          <w:b w:val="0"/>
          <w:i w:val="0"/>
        </w:rPr>
        <w:t>.</w:t>
      </w:r>
    </w:p>
    <w:p>
      <w:pPr>
        <w:widowControl/>
      </w:pPr>
      <w:r>
        <w:rPr>
          <w:b/>
          <w:i w:val="0"/>
        </w:rPr>
        <w:t>significat.</w:t>
      </w:r>
      <w:r>
        <w:rPr>
          <w:b w:val="0"/>
          <w:i w:val="0"/>
        </w:rPr>
        <w:t xml:space="preserve"> </w:t>
      </w:r>
      <w:hyperlink w:anchor="latin-record-1243">
        <w:r>
          <w:rPr>
            <w:color w:val="000000"/>
          </w:rPr>
          <w:t xml:space="preserve">verbum / significatio / significare</w:t>
        </w:r>
      </w:hyperlink>
      <w:r>
        <w:rPr>
          <w:b w:val="0"/>
          <w:i w:val="0"/>
        </w:rPr>
        <w:t>.</w:t>
      </w:r>
    </w:p>
    <w:p>
      <w:pPr>
        <w:widowControl/>
      </w:pPr>
      <w:r>
        <w:rPr>
          <w:b/>
          <w:i w:val="0"/>
        </w:rPr>
        <w:t>significatio.</w:t>
      </w:r>
      <w:r>
        <w:rPr>
          <w:b w:val="0"/>
          <w:i w:val="0"/>
        </w:rPr>
        <w:t xml:space="preserve"> </w:t>
      </w:r>
      <w:hyperlink w:anchor="latin-record-1243">
        <w:r>
          <w:rPr>
            <w:color w:val="000000"/>
          </w:rPr>
          <w:t xml:space="preserve">verbum / significatio / significare</w:t>
        </w:r>
      </w:hyperlink>
      <w:r>
        <w:rPr>
          <w:b w:val="0"/>
          <w:i w:val="0"/>
        </w:rPr>
        <w:t>.</w:t>
      </w:r>
    </w:p>
    <w:p>
      <w:pPr>
        <w:widowControl/>
      </w:pPr>
      <w:r>
        <w:rPr>
          <w:b/>
          <w:i w:val="0"/>
        </w:rPr>
        <w:t>signis.</w:t>
      </w:r>
      <w:r>
        <w:rPr>
          <w:b w:val="0"/>
          <w:i w:val="0"/>
        </w:rPr>
        <w:t xml:space="preserve"> </w:t>
      </w:r>
      <w:hyperlink w:anchor="latin-record-1021">
        <w:r>
          <w:rPr>
            <w:color w:val="000000"/>
          </w:rPr>
          <w:t xml:space="preserve">ratio / argumentatio / signum</w:t>
        </w:r>
      </w:hyperlink>
      <w:r>
        <w:rPr>
          <w:b w:val="0"/>
          <w:i w:val="0"/>
        </w:rPr>
        <w:t>.</w:t>
      </w:r>
    </w:p>
    <w:p>
      <w:pPr>
        <w:widowControl/>
      </w:pPr>
      <w:r>
        <w:rPr>
          <w:b/>
          <w:i w:val="0"/>
        </w:rPr>
        <w:t>signum.</w:t>
      </w:r>
      <w:r>
        <w:rPr>
          <w:b w:val="0"/>
          <w:i w:val="0"/>
        </w:rPr>
        <w:t xml:space="preserve"> </w:t>
      </w:r>
      <w:hyperlink w:anchor="latin-record-0712">
        <w:r>
          <w:rPr>
            <w:color w:val="000000"/>
          </w:rPr>
          <w:t xml:space="preserve">momentum / signum</w:t>
        </w:r>
      </w:hyperlink>
      <w:r>
        <w:rPr>
          <w:b w:val="0"/>
          <w:i w:val="0"/>
        </w:rPr>
        <w:t xml:space="preserve">; </w:t>
      </w:r>
      <w:hyperlink w:anchor="latin-record-1068">
        <w:r>
          <w:rPr>
            <w:color w:val="000000"/>
          </w:rPr>
          <w:t xml:space="preserve">sagitta / sagittarius / signum</w:t>
        </w:r>
      </w:hyperlink>
      <w:r>
        <w:rPr>
          <w:b w:val="0"/>
          <w:i w:val="0"/>
        </w:rPr>
        <w:t xml:space="preserve">; </w:t>
      </w:r>
      <w:hyperlink w:anchor="latin-record-1104">
        <w:r>
          <w:rPr>
            <w:color w:val="000000"/>
          </w:rPr>
          <w:t xml:space="preserve">signum</w:t>
        </w:r>
      </w:hyperlink>
      <w:r>
        <w:rPr>
          <w:b w:val="0"/>
          <w:i w:val="0"/>
        </w:rPr>
        <w:t>.</w:t>
      </w:r>
    </w:p>
    <w:p>
      <w:pPr>
        <w:widowControl/>
      </w:pPr>
      <w:r>
        <w:rPr>
          <w:b/>
          <w:i w:val="0"/>
        </w:rPr>
        <w:t>similem.</w:t>
      </w:r>
      <w:r>
        <w:rPr>
          <w:b w:val="0"/>
          <w:i w:val="0"/>
        </w:rPr>
        <w:t xml:space="preserve"> </w:t>
      </w:r>
      <w:hyperlink w:anchor="latin-record-1106">
        <w:r>
          <w:rPr>
            <w:color w:val="000000"/>
          </w:rPr>
          <w:t xml:space="preserve">similis / dissimilis / similitudo</w:t>
        </w:r>
      </w:hyperlink>
      <w:r>
        <w:rPr>
          <w:b w:val="0"/>
          <w:i w:val="0"/>
        </w:rPr>
        <w:t>.</w:t>
      </w:r>
    </w:p>
    <w:p>
      <w:pPr>
        <w:widowControl/>
      </w:pPr>
      <w:r>
        <w:rPr>
          <w:b/>
          <w:i w:val="0"/>
        </w:rPr>
        <w:t>similes.</w:t>
      </w:r>
      <w:r>
        <w:rPr>
          <w:b w:val="0"/>
          <w:i w:val="0"/>
        </w:rPr>
        <w:t xml:space="preserve"> </w:t>
      </w:r>
      <w:hyperlink w:anchor="latin-record-1105">
        <w:r>
          <w:rPr>
            <w:color w:val="000000"/>
          </w:rPr>
          <w:t xml:space="preserve">similis / aequalis</w:t>
        </w:r>
      </w:hyperlink>
      <w:r>
        <w:rPr>
          <w:b w:val="0"/>
          <w:i w:val="0"/>
        </w:rPr>
        <w:t xml:space="preserve">; </w:t>
      </w:r>
      <w:hyperlink w:anchor="latin-record-1106">
        <w:r>
          <w:rPr>
            <w:color w:val="000000"/>
          </w:rPr>
          <w:t xml:space="preserve">similis / dissimilis / similitudo</w:t>
        </w:r>
      </w:hyperlink>
      <w:r>
        <w:rPr>
          <w:b w:val="0"/>
          <w:i w:val="0"/>
        </w:rPr>
        <w:t>.</w:t>
      </w:r>
    </w:p>
    <w:p>
      <w:pPr>
        <w:widowControl/>
      </w:pPr>
      <w:r>
        <w:rPr>
          <w:b/>
          <w:i w:val="0"/>
        </w:rPr>
        <w:t>similia.</w:t>
      </w:r>
      <w:r>
        <w:rPr>
          <w:b w:val="0"/>
          <w:i w:val="0"/>
        </w:rPr>
        <w:t xml:space="preserve"> </w:t>
      </w:r>
      <w:hyperlink w:anchor="latin-record-1107">
        <w:r>
          <w:rPr>
            <w:color w:val="000000"/>
          </w:rPr>
          <w:t xml:space="preserve">similis / similitudo</w:t>
        </w:r>
      </w:hyperlink>
      <w:r>
        <w:rPr>
          <w:b w:val="0"/>
          <w:i w:val="0"/>
        </w:rPr>
        <w:t>.</w:t>
      </w:r>
    </w:p>
    <w:p>
      <w:pPr>
        <w:widowControl/>
      </w:pPr>
      <w:r>
        <w:rPr>
          <w:b/>
          <w:i w:val="0"/>
        </w:rPr>
        <w:t>similibus.</w:t>
      </w:r>
      <w:r>
        <w:rPr>
          <w:b w:val="0"/>
          <w:i w:val="0"/>
        </w:rPr>
        <w:t xml:space="preserve"> </w:t>
      </w:r>
      <w:hyperlink w:anchor="latin-record-1106">
        <w:r>
          <w:rPr>
            <w:color w:val="000000"/>
          </w:rPr>
          <w:t xml:space="preserve">similis / dissimilis / similitudo</w:t>
        </w:r>
      </w:hyperlink>
      <w:r>
        <w:rPr>
          <w:b w:val="0"/>
          <w:i w:val="0"/>
        </w:rPr>
        <w:t>.</w:t>
      </w:r>
    </w:p>
    <w:p>
      <w:pPr>
        <w:widowControl/>
      </w:pPr>
      <w:r>
        <w:rPr>
          <w:b/>
          <w:i w:val="0"/>
        </w:rPr>
        <w:t>similitudinem.</w:t>
      </w:r>
      <w:r>
        <w:rPr>
          <w:b w:val="0"/>
          <w:i w:val="0"/>
        </w:rPr>
        <w:t xml:space="preserve"> </w:t>
      </w:r>
      <w:hyperlink w:anchor="latin-record-1107">
        <w:r>
          <w:rPr>
            <w:color w:val="000000"/>
          </w:rPr>
          <w:t xml:space="preserve">similis / similitudo</w:t>
        </w:r>
      </w:hyperlink>
      <w:r>
        <w:rPr>
          <w:b w:val="0"/>
          <w:i w:val="0"/>
        </w:rPr>
        <w:t>.</w:t>
      </w:r>
    </w:p>
    <w:p>
      <w:pPr>
        <w:widowControl/>
      </w:pPr>
      <w:r>
        <w:rPr>
          <w:b/>
          <w:i w:val="0"/>
        </w:rPr>
        <w:t>simillimum.</w:t>
      </w:r>
      <w:r>
        <w:rPr>
          <w:b w:val="0"/>
          <w:i w:val="0"/>
        </w:rPr>
        <w:t xml:space="preserve"> </w:t>
      </w:r>
      <w:hyperlink w:anchor="latin-record-0976">
        <w:r>
          <w:rPr>
            <w:color w:val="000000"/>
          </w:rPr>
          <w:t xml:space="preserve">proximus / simillimus</w:t>
        </w:r>
      </w:hyperlink>
      <w:r>
        <w:rPr>
          <w:b w:val="0"/>
          <w:i w:val="0"/>
        </w:rPr>
        <w:t xml:space="preserve">; </w:t>
      </w:r>
      <w:hyperlink w:anchor="latin-record-1106">
        <w:r>
          <w:rPr>
            <w:color w:val="000000"/>
          </w:rPr>
          <w:t xml:space="preserve">similis / dissimilis / similitudo</w:t>
        </w:r>
      </w:hyperlink>
      <w:r>
        <w:rPr>
          <w:b w:val="0"/>
          <w:i w:val="0"/>
        </w:rPr>
        <w:t>.</w:t>
      </w:r>
    </w:p>
    <w:p>
      <w:pPr>
        <w:widowControl/>
      </w:pPr>
      <w:r>
        <w:rPr>
          <w:b/>
          <w:i w:val="0"/>
        </w:rPr>
        <w:t>simplex.</w:t>
      </w:r>
      <w:r>
        <w:rPr>
          <w:b w:val="0"/>
          <w:i w:val="0"/>
        </w:rPr>
        <w:t xml:space="preserve"> </w:t>
      </w:r>
      <w:hyperlink w:anchor="latin-record-1108">
        <w:r>
          <w:rPr>
            <w:color w:val="000000"/>
          </w:rPr>
          <w:t xml:space="preserve">simplex / simplicitas</w:t>
        </w:r>
      </w:hyperlink>
      <w:r>
        <w:rPr>
          <w:b w:val="0"/>
          <w:i w:val="0"/>
        </w:rPr>
        <w:t>.</w:t>
      </w:r>
    </w:p>
    <w:p>
      <w:pPr>
        <w:widowControl/>
      </w:pPr>
      <w:r>
        <w:rPr>
          <w:b/>
          <w:i w:val="0"/>
        </w:rPr>
        <w:t>simplicem.</w:t>
      </w:r>
      <w:r>
        <w:rPr>
          <w:b w:val="0"/>
          <w:i w:val="0"/>
        </w:rPr>
        <w:t xml:space="preserve"> </w:t>
      </w:r>
      <w:hyperlink w:anchor="latin-record-0082">
        <w:r>
          <w:rPr>
            <w:color w:val="000000"/>
          </w:rPr>
          <w:t xml:space="preserve">Apollo / simplex et semotus</w:t>
        </w:r>
      </w:hyperlink>
      <w:r>
        <w:rPr>
          <w:b w:val="0"/>
          <w:i w:val="0"/>
        </w:rPr>
        <w:t xml:space="preserve">; </w:t>
      </w:r>
      <w:hyperlink w:anchor="latin-record-1108">
        <w:r>
          <w:rPr>
            <w:color w:val="000000"/>
          </w:rPr>
          <w:t xml:space="preserve">simplex / simplicitas</w:t>
        </w:r>
      </w:hyperlink>
      <w:r>
        <w:rPr>
          <w:b w:val="0"/>
          <w:i w:val="0"/>
        </w:rPr>
        <w:t>.</w:t>
      </w:r>
    </w:p>
    <w:p>
      <w:pPr>
        <w:widowControl/>
      </w:pPr>
      <w:r>
        <w:rPr>
          <w:b/>
          <w:i w:val="0"/>
        </w:rPr>
        <w:t>simplici.</w:t>
      </w:r>
      <w:r>
        <w:rPr>
          <w:b w:val="0"/>
          <w:i w:val="0"/>
        </w:rPr>
        <w:t xml:space="preserve"> </w:t>
      </w:r>
      <w:hyperlink w:anchor="latin-record-1108">
        <w:r>
          <w:rPr>
            <w:color w:val="000000"/>
          </w:rPr>
          <w:t xml:space="preserve">simplex / simplicitas</w:t>
        </w:r>
      </w:hyperlink>
      <w:r>
        <w:rPr>
          <w:b w:val="0"/>
          <w:i w:val="0"/>
        </w:rPr>
        <w:t>.</w:t>
      </w:r>
    </w:p>
    <w:p>
      <w:pPr>
        <w:widowControl/>
      </w:pPr>
      <w:r>
        <w:rPr>
          <w:b/>
          <w:i w:val="0"/>
        </w:rPr>
        <w:t>simplicissimam.</w:t>
      </w:r>
      <w:r>
        <w:rPr>
          <w:b w:val="0"/>
          <w:i w:val="0"/>
        </w:rPr>
        <w:t xml:space="preserve"> </w:t>
      </w:r>
      <w:hyperlink w:anchor="latin-record-1108">
        <w:r>
          <w:rPr>
            <w:color w:val="000000"/>
          </w:rPr>
          <w:t xml:space="preserve">simplex / simplicitas</w:t>
        </w:r>
      </w:hyperlink>
      <w:r>
        <w:rPr>
          <w:b w:val="0"/>
          <w:i w:val="0"/>
        </w:rPr>
        <w:t>.</w:t>
      </w:r>
    </w:p>
    <w:p>
      <w:pPr>
        <w:widowControl/>
      </w:pPr>
      <w:r>
        <w:rPr>
          <w:b/>
          <w:i w:val="0"/>
        </w:rPr>
        <w:t>simplicissimo.</w:t>
      </w:r>
      <w:r>
        <w:rPr>
          <w:b w:val="0"/>
          <w:i w:val="0"/>
        </w:rPr>
        <w:t xml:space="preserve"> </w:t>
      </w:r>
      <w:hyperlink w:anchor="latin-record-1108">
        <w:r>
          <w:rPr>
            <w:color w:val="000000"/>
          </w:rPr>
          <w:t xml:space="preserve">simplex / simplicitas</w:t>
        </w:r>
      </w:hyperlink>
      <w:r>
        <w:rPr>
          <w:b w:val="0"/>
          <w:i w:val="0"/>
        </w:rPr>
        <w:t>.</w:t>
      </w:r>
    </w:p>
    <w:p>
      <w:pPr>
        <w:widowControl/>
      </w:pPr>
      <w:r>
        <w:rPr>
          <w:b/>
          <w:i w:val="0"/>
        </w:rPr>
        <w:t>simplicissimus.</w:t>
      </w:r>
      <w:r>
        <w:rPr>
          <w:b w:val="0"/>
          <w:i w:val="0"/>
        </w:rPr>
        <w:t xml:space="preserve"> </w:t>
      </w:r>
      <w:hyperlink w:anchor="latin-record-1108">
        <w:r>
          <w:rPr>
            <w:color w:val="000000"/>
          </w:rPr>
          <w:t xml:space="preserve">simplex / simplicitas</w:t>
        </w:r>
      </w:hyperlink>
      <w:r>
        <w:rPr>
          <w:b w:val="0"/>
          <w:i w:val="0"/>
        </w:rPr>
        <w:t>.</w:t>
      </w:r>
    </w:p>
    <w:p>
      <w:pPr>
        <w:widowControl/>
      </w:pPr>
      <w:r>
        <w:rPr>
          <w:b/>
          <w:i w:val="0"/>
        </w:rPr>
        <w:t>simplicitas.</w:t>
      </w:r>
      <w:r>
        <w:rPr>
          <w:b w:val="0"/>
          <w:i w:val="0"/>
        </w:rPr>
        <w:t xml:space="preserve"> </w:t>
      </w:r>
      <w:hyperlink w:anchor="latin-record-1108">
        <w:r>
          <w:rPr>
            <w:color w:val="000000"/>
          </w:rPr>
          <w:t xml:space="preserve">simplex / simplicitas</w:t>
        </w:r>
      </w:hyperlink>
      <w:r>
        <w:rPr>
          <w:b w:val="0"/>
          <w:i w:val="0"/>
        </w:rPr>
        <w:t>.</w:t>
      </w:r>
    </w:p>
    <w:p>
      <w:pPr>
        <w:widowControl/>
      </w:pPr>
      <w:r>
        <w:rPr>
          <w:b/>
          <w:i w:val="0"/>
        </w:rPr>
        <w:t>simplicitate.</w:t>
      </w:r>
      <w:r>
        <w:rPr>
          <w:b w:val="0"/>
          <w:i w:val="0"/>
        </w:rPr>
        <w:t xml:space="preserve"> </w:t>
      </w:r>
      <w:hyperlink w:anchor="latin-record-1108">
        <w:r>
          <w:rPr>
            <w:color w:val="000000"/>
          </w:rPr>
          <w:t xml:space="preserve">simplex / simplicitas</w:t>
        </w:r>
      </w:hyperlink>
      <w:r>
        <w:rPr>
          <w:b w:val="0"/>
          <w:i w:val="0"/>
        </w:rPr>
        <w:t>.</w:t>
      </w:r>
    </w:p>
    <w:p>
      <w:pPr>
        <w:widowControl/>
      </w:pPr>
      <w:r>
        <w:rPr>
          <w:b/>
          <w:i w:val="0"/>
        </w:rPr>
        <w:t>simplicitatem.</w:t>
      </w:r>
      <w:r>
        <w:rPr>
          <w:b w:val="0"/>
          <w:i w:val="0"/>
        </w:rPr>
        <w:t xml:space="preserve"> </w:t>
      </w:r>
      <w:hyperlink w:anchor="latin-record-1108">
        <w:r>
          <w:rPr>
            <w:color w:val="000000"/>
          </w:rPr>
          <w:t xml:space="preserve">simplex / simplicitas</w:t>
        </w:r>
      </w:hyperlink>
      <w:r>
        <w:rPr>
          <w:b w:val="0"/>
          <w:i w:val="0"/>
        </w:rPr>
        <w:t>.</w:t>
      </w:r>
    </w:p>
    <w:p>
      <w:pPr>
        <w:widowControl/>
      </w:pPr>
      <w:r>
        <w:rPr>
          <w:b/>
          <w:i w:val="0"/>
        </w:rPr>
        <w:t>simpliciter.</w:t>
      </w:r>
      <w:r>
        <w:rPr>
          <w:b w:val="0"/>
          <w:i w:val="0"/>
        </w:rPr>
        <w:t xml:space="preserve"> </w:t>
      </w:r>
      <w:hyperlink w:anchor="latin-record-1108">
        <w:r>
          <w:rPr>
            <w:color w:val="000000"/>
          </w:rPr>
          <w:t xml:space="preserve">simplex / simplicitas</w:t>
        </w:r>
      </w:hyperlink>
      <w:r>
        <w:rPr>
          <w:b w:val="0"/>
          <w:i w:val="0"/>
        </w:rPr>
        <w:t>.</w:t>
      </w:r>
    </w:p>
    <w:p>
      <w:pPr>
        <w:widowControl/>
      </w:pPr>
      <w:r>
        <w:rPr>
          <w:b/>
          <w:i w:val="0"/>
        </w:rPr>
        <w:t>simul.</w:t>
      </w:r>
      <w:r>
        <w:rPr>
          <w:b w:val="0"/>
          <w:i w:val="0"/>
        </w:rPr>
        <w:t xml:space="preserve"> </w:t>
      </w:r>
      <w:hyperlink w:anchor="latin-record-1088">
        <w:r>
          <w:rPr>
            <w:color w:val="000000"/>
          </w:rPr>
          <w:t xml:space="preserve">semper / simul / aliquando / nondum / amplius</w:t>
        </w:r>
      </w:hyperlink>
      <w:r>
        <w:rPr>
          <w:b w:val="0"/>
          <w:i w:val="0"/>
        </w:rPr>
        <w:t xml:space="preserve">; </w:t>
      </w:r>
      <w:hyperlink w:anchor="latin-record-1109">
        <w:r>
          <w:rPr>
            <w:color w:val="000000"/>
          </w:rPr>
          <w:t xml:space="preserve">simul</w:t>
        </w:r>
      </w:hyperlink>
      <w:r>
        <w:rPr>
          <w:b w:val="0"/>
          <w:i w:val="0"/>
        </w:rPr>
        <w:t>.</w:t>
      </w:r>
    </w:p>
    <w:p>
      <w:pPr>
        <w:widowControl/>
      </w:pPr>
      <w:r>
        <w:rPr>
          <w:b/>
          <w:i w:val="0"/>
        </w:rPr>
        <w:t>simulacra.</w:t>
      </w:r>
      <w:r>
        <w:rPr>
          <w:b w:val="0"/>
          <w:i w:val="0"/>
        </w:rPr>
        <w:t xml:space="preserve"> </w:t>
      </w:r>
      <w:hyperlink w:anchor="latin-record-1110">
        <w:r>
          <w:rPr>
            <w:color w:val="000000"/>
          </w:rPr>
          <w:t xml:space="preserve">simulacrum / color</w:t>
        </w:r>
      </w:hyperlink>
      <w:r>
        <w:rPr>
          <w:b w:val="0"/>
          <w:i w:val="0"/>
        </w:rPr>
        <w:t>.</w:t>
      </w:r>
    </w:p>
    <w:p>
      <w:pPr>
        <w:widowControl/>
      </w:pPr>
      <w:r>
        <w:rPr>
          <w:b/>
          <w:i w:val="0"/>
        </w:rPr>
        <w:t>simulacrum.</w:t>
      </w:r>
      <w:r>
        <w:rPr>
          <w:b w:val="0"/>
          <w:i w:val="0"/>
        </w:rPr>
        <w:t xml:space="preserve"> </w:t>
      </w:r>
      <w:hyperlink w:anchor="latin-record-0525">
        <w:r>
          <w:rPr>
            <w:color w:val="000000"/>
          </w:rPr>
          <w:t xml:space="preserve">imago / simulacrum</w:t>
        </w:r>
      </w:hyperlink>
      <w:r>
        <w:rPr>
          <w:b w:val="0"/>
          <w:i w:val="0"/>
        </w:rPr>
        <w:t>.</w:t>
      </w:r>
    </w:p>
    <w:p>
      <w:pPr>
        <w:widowControl/>
      </w:pPr>
      <w:r>
        <w:rPr>
          <w:b/>
          <w:i w:val="0"/>
        </w:rPr>
        <w:t>Sin.</w:t>
      </w:r>
      <w:r>
        <w:rPr>
          <w:b w:val="0"/>
          <w:i w:val="0"/>
        </w:rPr>
        <w:t xml:space="preserve"> </w:t>
      </w:r>
      <w:hyperlink w:anchor="latin-record-1102">
        <w:r>
          <w:rPr>
            <w:color w:val="000000"/>
          </w:rPr>
          <w:t xml:space="preserve">si / sin</w:t>
        </w:r>
      </w:hyperlink>
      <w:r>
        <w:rPr>
          <w:b w:val="0"/>
          <w:i w:val="0"/>
        </w:rPr>
        <w:t>.</w:t>
      </w:r>
    </w:p>
    <w:p>
      <w:pPr>
        <w:widowControl/>
      </w:pPr>
      <w:r>
        <w:rPr>
          <w:b/>
          <w:i w:val="0"/>
        </w:rPr>
        <w:t>sine controversia.</w:t>
      </w:r>
      <w:r>
        <w:rPr>
          <w:b w:val="0"/>
          <w:i w:val="0"/>
        </w:rPr>
        <w:t xml:space="preserve"> </w:t>
      </w:r>
      <w:hyperlink w:anchor="latin-record-1111">
        <w:r>
          <w:rPr>
            <w:color w:val="000000"/>
          </w:rPr>
          <w:t xml:space="preserve">sine controversia</w:t>
        </w:r>
      </w:hyperlink>
      <w:r>
        <w:rPr>
          <w:b w:val="0"/>
          <w:i w:val="0"/>
        </w:rPr>
        <w:t>.</w:t>
      </w:r>
    </w:p>
    <w:p>
      <w:pPr>
        <w:widowControl/>
      </w:pPr>
      <w:r>
        <w:rPr>
          <w:b/>
          <w:i w:val="0"/>
        </w:rPr>
        <w:t>sine medio.</w:t>
      </w:r>
      <w:r>
        <w:rPr>
          <w:b w:val="0"/>
          <w:i w:val="0"/>
        </w:rPr>
        <w:t xml:space="preserve"> </w:t>
      </w:r>
      <w:hyperlink w:anchor="latin-record-0418">
        <w:r>
          <w:rPr>
            <w:color w:val="000000"/>
          </w:rPr>
          <w:t xml:space="preserve">extremum sine medio</w:t>
        </w:r>
      </w:hyperlink>
      <w:r>
        <w:rPr>
          <w:b w:val="0"/>
          <w:i w:val="0"/>
        </w:rPr>
        <w:t xml:space="preserve">; </w:t>
      </w:r>
      <w:hyperlink w:anchor="latin-record-1112">
        <w:r>
          <w:rPr>
            <w:color w:val="000000"/>
          </w:rPr>
          <w:t xml:space="preserve">sine medio</w:t>
        </w:r>
      </w:hyperlink>
      <w:r>
        <w:rPr>
          <w:b w:val="0"/>
          <w:i w:val="0"/>
        </w:rPr>
        <w:t>.</w:t>
      </w:r>
    </w:p>
    <w:p>
      <w:pPr>
        <w:widowControl/>
      </w:pPr>
      <w:r>
        <w:rPr>
          <w:b/>
          <w:i w:val="0"/>
        </w:rPr>
        <w:t>sine sensu.</w:t>
      </w:r>
      <w:r>
        <w:rPr>
          <w:b w:val="0"/>
          <w:i w:val="0"/>
        </w:rPr>
        <w:t xml:space="preserve"> </w:t>
      </w:r>
      <w:hyperlink w:anchor="latin-record-1275">
        <w:r>
          <w:rPr>
            <w:color w:val="000000"/>
          </w:rPr>
          <w:t xml:space="preserve">vita sine sensu</w:t>
        </w:r>
      </w:hyperlink>
      <w:r>
        <w:rPr>
          <w:b w:val="0"/>
          <w:i w:val="0"/>
        </w:rPr>
        <w:t>.</w:t>
      </w:r>
    </w:p>
    <w:p>
      <w:pPr>
        <w:widowControl/>
      </w:pPr>
      <w:r>
        <w:rPr>
          <w:b/>
          <w:i w:val="0"/>
        </w:rPr>
        <w:t>singula.</w:t>
      </w:r>
      <w:r>
        <w:rPr>
          <w:b w:val="0"/>
          <w:i w:val="0"/>
        </w:rPr>
        <w:t xml:space="preserve"> </w:t>
      </w:r>
      <w:hyperlink w:anchor="latin-record-0794">
        <w:r>
          <w:rPr>
            <w:color w:val="000000"/>
          </w:rPr>
          <w:t xml:space="preserve">omnis / cunctus / singulus</w:t>
        </w:r>
      </w:hyperlink>
      <w:r>
        <w:rPr>
          <w:b w:val="0"/>
          <w:i w:val="0"/>
        </w:rPr>
        <w:t xml:space="preserve">; </w:t>
      </w:r>
      <w:hyperlink w:anchor="latin-record-1113">
        <w:r>
          <w:rPr>
            <w:color w:val="000000"/>
          </w:rPr>
          <w:t xml:space="preserve">singulus / minimus / infimus</w:t>
        </w:r>
      </w:hyperlink>
      <w:r>
        <w:rPr>
          <w:b w:val="0"/>
          <w:i w:val="0"/>
        </w:rPr>
        <w:t>.</w:t>
      </w:r>
    </w:p>
    <w:p>
      <w:pPr>
        <w:widowControl/>
      </w:pPr>
      <w:r>
        <w:rPr>
          <w:b/>
          <w:i w:val="0"/>
        </w:rPr>
        <w:t>singulatim.</w:t>
      </w:r>
      <w:r>
        <w:rPr>
          <w:b w:val="0"/>
          <w:i w:val="0"/>
        </w:rPr>
        <w:t xml:space="preserve"> </w:t>
      </w:r>
      <w:hyperlink w:anchor="latin-record-1014">
        <w:r>
          <w:rPr>
            <w:color w:val="000000"/>
          </w:rPr>
          <w:t xml:space="preserve">quinque sensus / singulatim / summatim</w:t>
        </w:r>
      </w:hyperlink>
      <w:r>
        <w:rPr>
          <w:b w:val="0"/>
          <w:i w:val="0"/>
        </w:rPr>
        <w:t>.</w:t>
      </w:r>
    </w:p>
    <w:p>
      <w:pPr>
        <w:widowControl/>
      </w:pPr>
      <w:r>
        <w:rPr>
          <w:b/>
          <w:i w:val="0"/>
        </w:rPr>
        <w:t>singulorum.</w:t>
      </w:r>
      <w:r>
        <w:rPr>
          <w:b w:val="0"/>
          <w:i w:val="0"/>
        </w:rPr>
        <w:t xml:space="preserve"> </w:t>
      </w:r>
      <w:hyperlink w:anchor="latin-record-0794">
        <w:r>
          <w:rPr>
            <w:color w:val="000000"/>
          </w:rPr>
          <w:t xml:space="preserve">omnis / cunctus / singulus</w:t>
        </w:r>
      </w:hyperlink>
      <w:r>
        <w:rPr>
          <w:b w:val="0"/>
          <w:i w:val="0"/>
        </w:rPr>
        <w:t>.</w:t>
      </w:r>
    </w:p>
    <w:p>
      <w:pPr>
        <w:widowControl/>
      </w:pPr>
      <w:r>
        <w:rPr>
          <w:b/>
          <w:i w:val="0"/>
        </w:rPr>
        <w:t>singulorum successionem.</w:t>
      </w:r>
      <w:r>
        <w:rPr>
          <w:b w:val="0"/>
          <w:i w:val="0"/>
        </w:rPr>
        <w:t xml:space="preserve"> </w:t>
      </w:r>
      <w:hyperlink w:anchor="latin-record-1161">
        <w:r>
          <w:rPr>
            <w:color w:val="000000"/>
          </w:rPr>
          <w:t xml:space="preserve">successio singulorum</w:t>
        </w:r>
      </w:hyperlink>
      <w:r>
        <w:rPr>
          <w:b w:val="0"/>
          <w:i w:val="0"/>
        </w:rPr>
        <w:t>.</w:t>
      </w:r>
    </w:p>
    <w:p>
      <w:pPr>
        <w:widowControl/>
      </w:pPr>
      <w:r>
        <w:rPr>
          <w:b/>
          <w:i w:val="0"/>
        </w:rPr>
        <w:t>sinistram.</w:t>
      </w:r>
      <w:r>
        <w:rPr>
          <w:b w:val="0"/>
          <w:i w:val="0"/>
        </w:rPr>
        <w:t xml:space="preserve"> </w:t>
      </w:r>
      <w:hyperlink w:anchor="latin-record-0313">
        <w:r>
          <w:rPr>
            <w:color w:val="000000"/>
          </w:rPr>
          <w:t xml:space="preserve">dextra / sinistra / sursum / deorsum</w:t>
        </w:r>
      </w:hyperlink>
      <w:r>
        <w:rPr>
          <w:b w:val="0"/>
          <w:i w:val="0"/>
        </w:rPr>
        <w:t>.</w:t>
      </w:r>
    </w:p>
    <w:p>
      <w:pPr>
        <w:widowControl/>
      </w:pPr>
      <w:r>
        <w:rPr>
          <w:b/>
          <w:i w:val="0"/>
        </w:rPr>
        <w:t>sistat.</w:t>
      </w:r>
      <w:r>
        <w:rPr>
          <w:b w:val="0"/>
          <w:i w:val="0"/>
        </w:rPr>
        <w:t xml:space="preserve"> </w:t>
      </w:r>
      <w:hyperlink w:anchor="latin-record-0724">
        <w:r>
          <w:rPr>
            <w:color w:val="000000"/>
          </w:rPr>
          <w:t xml:space="preserve">movere / sistere / firmare</w:t>
        </w:r>
      </w:hyperlink>
      <w:r>
        <w:rPr>
          <w:b w:val="0"/>
          <w:i w:val="0"/>
        </w:rPr>
        <w:t>.</w:t>
      </w:r>
    </w:p>
    <w:p>
      <w:pPr>
        <w:widowControl/>
      </w:pPr>
      <w:r>
        <w:rPr>
          <w:b/>
          <w:i w:val="0"/>
        </w:rPr>
        <w:t>sistit.</w:t>
      </w:r>
      <w:r>
        <w:rPr>
          <w:b w:val="0"/>
          <w:i w:val="0"/>
        </w:rPr>
        <w:t xml:space="preserve"> </w:t>
      </w:r>
      <w:hyperlink w:anchor="latin-record-1114">
        <w:r>
          <w:rPr>
            <w:color w:val="000000"/>
          </w:rPr>
          <w:t xml:space="preserve">sistere / mitigare / repellere</w:t>
        </w:r>
      </w:hyperlink>
      <w:r>
        <w:rPr>
          <w:b w:val="0"/>
          <w:i w:val="0"/>
        </w:rPr>
        <w:t>.</w:t>
      </w:r>
    </w:p>
    <w:p>
      <w:pPr>
        <w:widowControl/>
      </w:pPr>
      <w:r>
        <w:rPr>
          <w:b/>
          <w:i w:val="0"/>
        </w:rPr>
        <w:t>sit.</w:t>
      </w:r>
      <w:r>
        <w:rPr>
          <w:b w:val="0"/>
          <w:i w:val="0"/>
        </w:rPr>
        <w:t xml:space="preserve"> </w:t>
      </w:r>
      <w:hyperlink w:anchor="latin-record-0380">
        <w:r>
          <w:rPr>
            <w:color w:val="000000"/>
          </w:rPr>
          <w:t xml:space="preserve">esse — existence and predication</w:t>
        </w:r>
      </w:hyperlink>
      <w:r>
        <w:rPr>
          <w:b w:val="0"/>
          <w:i w:val="0"/>
        </w:rPr>
        <w:t>.</w:t>
      </w:r>
    </w:p>
    <w:p>
      <w:pPr>
        <w:widowControl/>
      </w:pPr>
      <w:r>
        <w:rPr>
          <w:b/>
          <w:i w:val="0"/>
        </w:rPr>
        <w:t>situ.</w:t>
      </w:r>
      <w:r>
        <w:rPr>
          <w:b w:val="0"/>
          <w:i w:val="0"/>
        </w:rPr>
        <w:t xml:space="preserve"> </w:t>
      </w:r>
      <w:hyperlink w:anchor="latin-record-0040">
        <w:r>
          <w:rPr>
            <w:color w:val="000000"/>
          </w:rPr>
          <w:t xml:space="preserve">affixus / situs</w:t>
        </w:r>
      </w:hyperlink>
      <w:r>
        <w:rPr>
          <w:b w:val="0"/>
          <w:i w:val="0"/>
        </w:rPr>
        <w:t xml:space="preserve">; </w:t>
      </w:r>
      <w:hyperlink w:anchor="latin-record-0646">
        <w:r>
          <w:rPr>
            <w:color w:val="000000"/>
          </w:rPr>
          <w:t xml:space="preserve">locus / situs / spatium</w:t>
        </w:r>
      </w:hyperlink>
      <w:r>
        <w:rPr>
          <w:b w:val="0"/>
          <w:i w:val="0"/>
        </w:rPr>
        <w:t xml:space="preserve">; </w:t>
      </w:r>
      <w:hyperlink w:anchor="latin-record-0986">
        <w:r>
          <w:rPr>
            <w:color w:val="000000"/>
          </w:rPr>
          <w:t xml:space="preserve">punctum / situs</w:t>
        </w:r>
      </w:hyperlink>
      <w:r>
        <w:rPr>
          <w:b w:val="0"/>
          <w:i w:val="0"/>
        </w:rPr>
        <w:t>.</w:t>
      </w:r>
    </w:p>
    <w:p>
      <w:pPr>
        <w:widowControl/>
      </w:pPr>
      <w:r>
        <w:rPr>
          <w:b/>
          <w:i w:val="0"/>
        </w:rPr>
        <w:t>situm.</w:t>
      </w:r>
      <w:r>
        <w:rPr>
          <w:b w:val="0"/>
          <w:i w:val="0"/>
        </w:rPr>
        <w:t xml:space="preserve"> </w:t>
      </w:r>
      <w:hyperlink w:anchor="latin-record-0040">
        <w:r>
          <w:rPr>
            <w:color w:val="000000"/>
          </w:rPr>
          <w:t xml:space="preserve">affixus / situs</w:t>
        </w:r>
      </w:hyperlink>
      <w:r>
        <w:rPr>
          <w:b w:val="0"/>
          <w:i w:val="0"/>
        </w:rPr>
        <w:t xml:space="preserve">; </w:t>
      </w:r>
      <w:hyperlink w:anchor="latin-record-0986">
        <w:r>
          <w:rPr>
            <w:color w:val="000000"/>
          </w:rPr>
          <w:t xml:space="preserve">punctum / situs</w:t>
        </w:r>
      </w:hyperlink>
      <w:r>
        <w:rPr>
          <w:b w:val="0"/>
          <w:i w:val="0"/>
        </w:rPr>
        <w:t>.</w:t>
      </w:r>
    </w:p>
    <w:p>
      <w:pPr>
        <w:widowControl/>
      </w:pPr>
      <w:r>
        <w:rPr>
          <w:b/>
          <w:i w:val="0"/>
        </w:rPr>
        <w:t>situs.</w:t>
      </w:r>
      <w:r>
        <w:rPr>
          <w:b w:val="0"/>
          <w:i w:val="0"/>
        </w:rPr>
        <w:t xml:space="preserve"> </w:t>
      </w:r>
      <w:hyperlink w:anchor="latin-record-0646">
        <w:r>
          <w:rPr>
            <w:color w:val="000000"/>
          </w:rPr>
          <w:t xml:space="preserve">locus / situs / spatium</w:t>
        </w:r>
      </w:hyperlink>
      <w:r>
        <w:rPr>
          <w:b w:val="0"/>
          <w:i w:val="0"/>
        </w:rPr>
        <w:t>.</w:t>
      </w:r>
    </w:p>
    <w:p>
      <w:pPr>
        <w:widowControl/>
      </w:pPr>
      <w:r>
        <w:rPr>
          <w:b/>
          <w:i w:val="0"/>
        </w:rPr>
        <w:t>Socratem.</w:t>
      </w:r>
      <w:r>
        <w:rPr>
          <w:b w:val="0"/>
          <w:i w:val="0"/>
        </w:rPr>
        <w:t xml:space="preserve"> </w:t>
      </w:r>
      <w:hyperlink w:anchor="latin-record-0389">
        <w:r>
          <w:rPr>
            <w:color w:val="000000"/>
          </w:rPr>
          <w:t xml:space="preserve">Euclides / Megara / Athenae / Socrates</w:t>
        </w:r>
      </w:hyperlink>
      <w:r>
        <w:rPr>
          <w:b w:val="0"/>
          <w:i w:val="0"/>
        </w:rPr>
        <w:t>.</w:t>
      </w:r>
    </w:p>
    <w:p>
      <w:pPr>
        <w:widowControl/>
      </w:pPr>
      <w:r>
        <w:rPr>
          <w:b/>
          <w:i w:val="0"/>
        </w:rPr>
        <w:t>Sol.</w:t>
      </w:r>
      <w:r>
        <w:rPr>
          <w:b w:val="0"/>
          <w:i w:val="0"/>
        </w:rPr>
        <w:t xml:space="preserve"> </w:t>
      </w:r>
      <w:hyperlink w:anchor="latin-record-1115">
        <w:r>
          <w:rPr>
            <w:color w:val="000000"/>
          </w:rPr>
          <w:t xml:space="preserve">sol / luna</w:t>
        </w:r>
      </w:hyperlink>
      <w:r>
        <w:rPr>
          <w:b w:val="0"/>
          <w:i w:val="0"/>
        </w:rPr>
        <w:t>.</w:t>
      </w:r>
    </w:p>
    <w:p>
      <w:pPr>
        <w:widowControl/>
      </w:pPr>
      <w:r>
        <w:rPr>
          <w:b/>
          <w:i w:val="0"/>
        </w:rPr>
        <w:t>sole.</w:t>
      </w:r>
      <w:r>
        <w:rPr>
          <w:b w:val="0"/>
          <w:i w:val="0"/>
        </w:rPr>
        <w:t xml:space="preserve"> </w:t>
      </w:r>
      <w:hyperlink w:anchor="latin-record-0653">
        <w:r>
          <w:rPr>
            <w:color w:val="000000"/>
          </w:rPr>
          <w:t xml:space="preserve">luna / sol / stella</w:t>
        </w:r>
      </w:hyperlink>
      <w:r>
        <w:rPr>
          <w:b w:val="0"/>
          <w:i w:val="0"/>
        </w:rPr>
        <w:t>.</w:t>
      </w:r>
    </w:p>
    <w:p>
      <w:pPr>
        <w:widowControl/>
      </w:pPr>
      <w:r>
        <w:rPr>
          <w:b/>
          <w:i w:val="0"/>
        </w:rPr>
        <w:t>soliditate.</w:t>
      </w:r>
      <w:r>
        <w:rPr>
          <w:b w:val="0"/>
          <w:i w:val="0"/>
        </w:rPr>
        <w:t xml:space="preserve"> </w:t>
      </w:r>
      <w:hyperlink w:anchor="latin-record-1116">
        <w:r>
          <w:rPr>
            <w:color w:val="000000"/>
          </w:rPr>
          <w:t xml:space="preserve">soliditas / densitas / crassitudo</w:t>
        </w:r>
      </w:hyperlink>
      <w:r>
        <w:rPr>
          <w:b w:val="0"/>
          <w:i w:val="0"/>
        </w:rPr>
        <w:t>.</w:t>
      </w:r>
    </w:p>
    <w:p>
      <w:pPr>
        <w:widowControl/>
      </w:pPr>
      <w:r>
        <w:rPr>
          <w:b/>
          <w:i w:val="0"/>
        </w:rPr>
        <w:t>soliditatem.</w:t>
      </w:r>
      <w:r>
        <w:rPr>
          <w:b w:val="0"/>
          <w:i w:val="0"/>
        </w:rPr>
        <w:t xml:space="preserve"> </w:t>
      </w:r>
      <w:hyperlink w:anchor="latin-record-0148">
        <w:r>
          <w:rPr>
            <w:color w:val="000000"/>
          </w:rPr>
          <w:t xml:space="preserve">cardo / liquidus / solidus</w:t>
        </w:r>
      </w:hyperlink>
      <w:r>
        <w:rPr>
          <w:b w:val="0"/>
          <w:i w:val="0"/>
        </w:rPr>
        <w:t xml:space="preserve">; </w:t>
      </w:r>
      <w:hyperlink w:anchor="latin-record-1140">
        <w:r>
          <w:rPr>
            <w:color w:val="000000"/>
          </w:rPr>
          <w:t xml:space="preserve">statua / lapis / aes</w:t>
        </w:r>
      </w:hyperlink>
      <w:r>
        <w:rPr>
          <w:b w:val="0"/>
          <w:i w:val="0"/>
        </w:rPr>
        <w:t>.</w:t>
      </w:r>
    </w:p>
    <w:p>
      <w:pPr>
        <w:widowControl/>
      </w:pPr>
      <w:r>
        <w:rPr>
          <w:b/>
          <w:i w:val="0"/>
        </w:rPr>
        <w:t>solido.</w:t>
      </w:r>
      <w:r>
        <w:rPr>
          <w:b w:val="0"/>
          <w:i w:val="0"/>
        </w:rPr>
        <w:t xml:space="preserve"> </w:t>
      </w:r>
      <w:hyperlink w:anchor="latin-record-0148">
        <w:r>
          <w:rPr>
            <w:color w:val="000000"/>
          </w:rPr>
          <w:t xml:space="preserve">cardo / liquidus / solidus</w:t>
        </w:r>
      </w:hyperlink>
      <w:r>
        <w:rPr>
          <w:b w:val="0"/>
          <w:i w:val="0"/>
        </w:rPr>
        <w:t>.</w:t>
      </w:r>
    </w:p>
    <w:p>
      <w:pPr>
        <w:widowControl/>
      </w:pPr>
      <w:r>
        <w:rPr>
          <w:b/>
          <w:i w:val="0"/>
        </w:rPr>
        <w:t>solis.</w:t>
      </w:r>
      <w:r>
        <w:rPr>
          <w:b w:val="0"/>
          <w:i w:val="0"/>
        </w:rPr>
        <w:t xml:space="preserve"> </w:t>
      </w:r>
      <w:hyperlink w:anchor="latin-record-0521">
        <w:r>
          <w:rPr>
            <w:color w:val="000000"/>
          </w:rPr>
          <w:t xml:space="preserve">ignis / sol / caelum / stella</w:t>
        </w:r>
      </w:hyperlink>
      <w:r>
        <w:rPr>
          <w:b w:val="0"/>
          <w:i w:val="0"/>
        </w:rPr>
        <w:t>.</w:t>
      </w:r>
    </w:p>
    <w:p>
      <w:pPr>
        <w:widowControl/>
      </w:pPr>
      <w:r>
        <w:rPr>
          <w:b/>
          <w:i w:val="0"/>
        </w:rPr>
        <w:t>sollicitari.</w:t>
      </w:r>
      <w:r>
        <w:rPr>
          <w:b w:val="0"/>
          <w:i w:val="0"/>
        </w:rPr>
        <w:t xml:space="preserve"> </w:t>
      </w:r>
      <w:hyperlink w:anchor="latin-record-1117">
        <w:r>
          <w:rPr>
            <w:color w:val="000000"/>
          </w:rPr>
          <w:t xml:space="preserve">sollicitare / sollicitudo / onerare</w:t>
        </w:r>
      </w:hyperlink>
      <w:r>
        <w:rPr>
          <w:b w:val="0"/>
          <w:i w:val="0"/>
        </w:rPr>
        <w:t>.</w:t>
      </w:r>
    </w:p>
    <w:p>
      <w:pPr>
        <w:widowControl/>
      </w:pPr>
      <w:r>
        <w:rPr>
          <w:b/>
          <w:i w:val="0"/>
        </w:rPr>
        <w:t>sollicitudine.</w:t>
      </w:r>
      <w:r>
        <w:rPr>
          <w:b w:val="0"/>
          <w:i w:val="0"/>
        </w:rPr>
        <w:t xml:space="preserve"> </w:t>
      </w:r>
      <w:hyperlink w:anchor="latin-record-1117">
        <w:r>
          <w:rPr>
            <w:color w:val="000000"/>
          </w:rPr>
          <w:t xml:space="preserve">sollicitare / sollicitudo / onerare</w:t>
        </w:r>
      </w:hyperlink>
      <w:r>
        <w:rPr>
          <w:b w:val="0"/>
          <w:i w:val="0"/>
        </w:rPr>
        <w:t>.</w:t>
      </w:r>
    </w:p>
    <w:p>
      <w:pPr>
        <w:widowControl/>
      </w:pPr>
      <w:r>
        <w:rPr>
          <w:b/>
          <w:i w:val="0"/>
        </w:rPr>
        <w:t>solum.</w:t>
      </w:r>
      <w:r>
        <w:rPr>
          <w:b w:val="0"/>
          <w:i w:val="0"/>
        </w:rPr>
        <w:t xml:space="preserve"> </w:t>
      </w:r>
      <w:hyperlink w:anchor="latin-record-1118">
        <w:r>
          <w:rPr>
            <w:color w:val="000000"/>
          </w:rPr>
          <w:t xml:space="preserve">solus / solum</w:t>
        </w:r>
      </w:hyperlink>
      <w:r>
        <w:rPr>
          <w:b w:val="0"/>
          <w:i w:val="0"/>
        </w:rPr>
        <w:t>.</w:t>
      </w:r>
    </w:p>
    <w:p>
      <w:pPr>
        <w:widowControl/>
      </w:pPr>
      <w:r>
        <w:rPr>
          <w:b/>
          <w:i w:val="0"/>
        </w:rPr>
        <w:t>solus.</w:t>
      </w:r>
      <w:r>
        <w:rPr>
          <w:b w:val="0"/>
          <w:i w:val="0"/>
        </w:rPr>
        <w:t xml:space="preserve"> </w:t>
      </w:r>
      <w:hyperlink w:anchor="latin-record-1118">
        <w:r>
          <w:rPr>
            <w:color w:val="000000"/>
          </w:rPr>
          <w:t xml:space="preserve">solus / solum</w:t>
        </w:r>
      </w:hyperlink>
      <w:r>
        <w:rPr>
          <w:b w:val="0"/>
          <w:i w:val="0"/>
        </w:rPr>
        <w:t>.</w:t>
      </w:r>
    </w:p>
    <w:p>
      <w:pPr>
        <w:widowControl/>
      </w:pPr>
      <w:r>
        <w:rPr>
          <w:b/>
          <w:i w:val="0"/>
        </w:rPr>
        <w:t>solutionibus quaestionum.</w:t>
      </w:r>
      <w:r>
        <w:rPr>
          <w:b w:val="0"/>
          <w:i w:val="0"/>
        </w:rPr>
        <w:t xml:space="preserve"> </w:t>
      </w:r>
      <w:hyperlink w:anchor="latin-record-1119">
        <w:r>
          <w:rPr>
            <w:color w:val="000000"/>
          </w:rPr>
          <w:t xml:space="preserve">solutio quaestionum</w:t>
        </w:r>
      </w:hyperlink>
      <w:r>
        <w:rPr>
          <w:b w:val="0"/>
          <w:i w:val="0"/>
        </w:rPr>
        <w:t>.</w:t>
      </w:r>
    </w:p>
    <w:p>
      <w:pPr>
        <w:widowControl/>
      </w:pPr>
      <w:r>
        <w:rPr>
          <w:b/>
          <w:i w:val="0"/>
        </w:rPr>
        <w:t>solvamus.</w:t>
      </w:r>
      <w:r>
        <w:rPr>
          <w:b w:val="0"/>
          <w:i w:val="0"/>
        </w:rPr>
        <w:t xml:space="preserve"> </w:t>
      </w:r>
      <w:hyperlink w:anchor="latin-record-1120">
        <w:r>
          <w:rPr>
            <w:color w:val="000000"/>
          </w:rPr>
          <w:t xml:space="preserve">solvo / vincula / compedes</w:t>
        </w:r>
      </w:hyperlink>
      <w:r>
        <w:rPr>
          <w:b w:val="0"/>
          <w:i w:val="0"/>
        </w:rPr>
        <w:t>.</w:t>
      </w:r>
    </w:p>
    <w:p>
      <w:pPr>
        <w:widowControl/>
      </w:pPr>
      <w:r>
        <w:rPr>
          <w:b/>
          <w:i w:val="0"/>
        </w:rPr>
        <w:t>sortis.</w:t>
      </w:r>
      <w:r>
        <w:rPr>
          <w:b w:val="0"/>
          <w:i w:val="0"/>
        </w:rPr>
        <w:t xml:space="preserve"> </w:t>
      </w:r>
      <w:hyperlink w:anchor="latin-record-0468">
        <w:r>
          <w:rPr>
            <w:color w:val="000000"/>
          </w:rPr>
          <w:t xml:space="preserve">forte / fortuitus / sors</w:t>
        </w:r>
      </w:hyperlink>
      <w:r>
        <w:rPr>
          <w:b w:val="0"/>
          <w:i w:val="0"/>
        </w:rPr>
        <w:t>.</w:t>
      </w:r>
    </w:p>
    <w:p>
      <w:pPr>
        <w:widowControl/>
      </w:pPr>
      <w:r>
        <w:rPr>
          <w:b/>
          <w:i w:val="0"/>
        </w:rPr>
        <w:t>sortitur.</w:t>
      </w:r>
      <w:r>
        <w:rPr>
          <w:b w:val="0"/>
          <w:i w:val="0"/>
        </w:rPr>
        <w:t xml:space="preserve"> </w:t>
      </w:r>
      <w:hyperlink w:anchor="latin-record-1121">
        <w:r>
          <w:rPr>
            <w:color w:val="000000"/>
          </w:rPr>
          <w:t xml:space="preserve">sortiri / adipisci</w:t>
        </w:r>
      </w:hyperlink>
      <w:r>
        <w:rPr>
          <w:b w:val="0"/>
          <w:i w:val="0"/>
        </w:rPr>
        <w:t>.</w:t>
      </w:r>
    </w:p>
    <w:p>
      <w:pPr>
        <w:widowControl/>
      </w:pPr>
      <w:r>
        <w:rPr>
          <w:b/>
          <w:i w:val="0"/>
        </w:rPr>
        <w:t>spatii.</w:t>
      </w:r>
      <w:r>
        <w:rPr>
          <w:b w:val="0"/>
          <w:i w:val="0"/>
        </w:rPr>
        <w:t xml:space="preserve"> </w:t>
      </w:r>
      <w:hyperlink w:anchor="latin-record-0646">
        <w:r>
          <w:rPr>
            <w:color w:val="000000"/>
          </w:rPr>
          <w:t xml:space="preserve">locus / situs / spatium</w:t>
        </w:r>
      </w:hyperlink>
      <w:r>
        <w:rPr>
          <w:b w:val="0"/>
          <w:i w:val="0"/>
        </w:rPr>
        <w:t>.</w:t>
      </w:r>
    </w:p>
    <w:p>
      <w:pPr>
        <w:widowControl/>
      </w:pPr>
      <w:r>
        <w:rPr>
          <w:b/>
          <w:i w:val="0"/>
        </w:rPr>
        <w:t>spatio.</w:t>
      </w:r>
      <w:r>
        <w:rPr>
          <w:b w:val="0"/>
          <w:i w:val="0"/>
        </w:rPr>
        <w:t xml:space="preserve"> </w:t>
      </w:r>
      <w:hyperlink w:anchor="latin-record-0647">
        <w:r>
          <w:rPr>
            <w:color w:val="000000"/>
          </w:rPr>
          <w:t xml:space="preserve">locus / spatium</w:t>
        </w:r>
      </w:hyperlink>
      <w:r>
        <w:rPr>
          <w:b w:val="0"/>
          <w:i w:val="0"/>
        </w:rPr>
        <w:t>.</w:t>
      </w:r>
    </w:p>
    <w:p>
      <w:pPr>
        <w:widowControl/>
      </w:pPr>
      <w:r>
        <w:rPr>
          <w:b/>
          <w:i w:val="0"/>
        </w:rPr>
        <w:t>spatium.</w:t>
      </w:r>
      <w:r>
        <w:rPr>
          <w:b w:val="0"/>
          <w:i w:val="0"/>
        </w:rPr>
        <w:t xml:space="preserve"> </w:t>
      </w:r>
      <w:hyperlink w:anchor="latin-record-0605">
        <w:r>
          <w:rPr>
            <w:color w:val="000000"/>
          </w:rPr>
          <w:t xml:space="preserve">intervallum / spatium</w:t>
        </w:r>
      </w:hyperlink>
      <w:r>
        <w:rPr>
          <w:b w:val="0"/>
          <w:i w:val="0"/>
        </w:rPr>
        <w:t xml:space="preserve">; </w:t>
      </w:r>
      <w:hyperlink w:anchor="latin-record-0646">
        <w:r>
          <w:rPr>
            <w:color w:val="000000"/>
          </w:rPr>
          <w:t xml:space="preserve">locus / situs / spatium</w:t>
        </w:r>
      </w:hyperlink>
      <w:r>
        <w:rPr>
          <w:b w:val="0"/>
          <w:i w:val="0"/>
        </w:rPr>
        <w:t>.</w:t>
      </w:r>
    </w:p>
    <w:p>
      <w:pPr>
        <w:widowControl/>
      </w:pPr>
      <w:r>
        <w:rPr>
          <w:b/>
          <w:i w:val="0"/>
        </w:rPr>
        <w:t>specie.</w:t>
      </w:r>
      <w:r>
        <w:rPr>
          <w:b w:val="0"/>
          <w:i w:val="0"/>
        </w:rPr>
        <w:t xml:space="preserve"> </w:t>
      </w:r>
      <w:hyperlink w:anchor="latin-record-0464">
        <w:r>
          <w:rPr>
            <w:color w:val="000000"/>
          </w:rPr>
          <w:t xml:space="preserve">forma / species</w:t>
        </w:r>
      </w:hyperlink>
      <w:r>
        <w:rPr>
          <w:b w:val="0"/>
          <w:i w:val="0"/>
        </w:rPr>
        <w:t>.</w:t>
      </w:r>
    </w:p>
    <w:p>
      <w:pPr>
        <w:widowControl/>
      </w:pPr>
      <w:r>
        <w:rPr>
          <w:b/>
          <w:i w:val="0"/>
        </w:rPr>
        <w:t>speciem.</w:t>
      </w:r>
      <w:r>
        <w:rPr>
          <w:b w:val="0"/>
          <w:i w:val="0"/>
        </w:rPr>
        <w:t xml:space="preserve"> </w:t>
      </w:r>
      <w:hyperlink w:anchor="latin-record-1122">
        <w:r>
          <w:rPr>
            <w:color w:val="000000"/>
          </w:rPr>
          <w:t xml:space="preserve">speciem complere</w:t>
        </w:r>
      </w:hyperlink>
      <w:r>
        <w:rPr>
          <w:b w:val="0"/>
          <w:i w:val="0"/>
        </w:rPr>
        <w:t xml:space="preserve">; </w:t>
      </w:r>
      <w:hyperlink w:anchor="latin-record-1123">
        <w:r>
          <w:rPr>
            <w:color w:val="000000"/>
          </w:rPr>
          <w:t xml:space="preserve">species / genus</w:t>
        </w:r>
      </w:hyperlink>
      <w:r>
        <w:rPr>
          <w:b w:val="0"/>
          <w:i w:val="0"/>
        </w:rPr>
        <w:t>.</w:t>
      </w:r>
    </w:p>
    <w:p>
      <w:pPr>
        <w:widowControl/>
      </w:pPr>
      <w:r>
        <w:rPr>
          <w:b/>
          <w:i w:val="0"/>
        </w:rPr>
        <w:t>speciem motus.</w:t>
      </w:r>
      <w:r>
        <w:rPr>
          <w:b w:val="0"/>
          <w:i w:val="0"/>
        </w:rPr>
        <w:t xml:space="preserve"> </w:t>
      </w:r>
      <w:hyperlink w:anchor="latin-record-1125">
        <w:r>
          <w:rPr>
            <w:color w:val="000000"/>
          </w:rPr>
          <w:t xml:space="preserve">species motionis</w:t>
        </w:r>
      </w:hyperlink>
      <w:r>
        <w:rPr>
          <w:b w:val="0"/>
          <w:i w:val="0"/>
        </w:rPr>
        <w:t>.</w:t>
      </w:r>
    </w:p>
    <w:p>
      <w:pPr>
        <w:widowControl/>
      </w:pPr>
      <w:r>
        <w:rPr>
          <w:b/>
          <w:i w:val="0"/>
        </w:rPr>
        <w:t>specierum.</w:t>
      </w:r>
      <w:r>
        <w:rPr>
          <w:b w:val="0"/>
          <w:i w:val="0"/>
        </w:rPr>
        <w:t xml:space="preserve"> </w:t>
      </w:r>
      <w:hyperlink w:anchor="latin-record-1123">
        <w:r>
          <w:rPr>
            <w:color w:val="000000"/>
          </w:rPr>
          <w:t xml:space="preserve">species / genus</w:t>
        </w:r>
      </w:hyperlink>
      <w:r>
        <w:rPr>
          <w:b w:val="0"/>
          <w:i w:val="0"/>
        </w:rPr>
        <w:t>.</w:t>
      </w:r>
    </w:p>
    <w:p>
      <w:pPr>
        <w:widowControl/>
      </w:pPr>
      <w:r>
        <w:rPr>
          <w:b/>
          <w:i w:val="0"/>
        </w:rPr>
        <w:t>specierumque.</w:t>
      </w:r>
      <w:r>
        <w:rPr>
          <w:b w:val="0"/>
          <w:i w:val="0"/>
        </w:rPr>
        <w:t xml:space="preserve"> </w:t>
      </w:r>
      <w:hyperlink w:anchor="latin-record-1123">
        <w:r>
          <w:rPr>
            <w:color w:val="000000"/>
          </w:rPr>
          <w:t xml:space="preserve">species / genus</w:t>
        </w:r>
      </w:hyperlink>
      <w:r>
        <w:rPr>
          <w:b w:val="0"/>
          <w:i w:val="0"/>
        </w:rPr>
        <w:t>.</w:t>
      </w:r>
    </w:p>
    <w:p>
      <w:pPr>
        <w:widowControl/>
      </w:pPr>
      <w:r>
        <w:rPr>
          <w:b/>
          <w:i w:val="0"/>
        </w:rPr>
        <w:t>species.</w:t>
      </w:r>
      <w:r>
        <w:rPr>
          <w:b w:val="0"/>
          <w:i w:val="0"/>
        </w:rPr>
        <w:t xml:space="preserve"> </w:t>
      </w:r>
      <w:hyperlink w:anchor="latin-record-0464">
        <w:r>
          <w:rPr>
            <w:color w:val="000000"/>
          </w:rPr>
          <w:t xml:space="preserve">forma / species</w:t>
        </w:r>
      </w:hyperlink>
      <w:r>
        <w:rPr>
          <w:b w:val="0"/>
          <w:i w:val="0"/>
        </w:rPr>
        <w:t xml:space="preserve">; </w:t>
      </w:r>
      <w:hyperlink w:anchor="latin-record-1123">
        <w:r>
          <w:rPr>
            <w:color w:val="000000"/>
          </w:rPr>
          <w:t xml:space="preserve">species / genus</w:t>
        </w:r>
      </w:hyperlink>
      <w:r>
        <w:rPr>
          <w:b w:val="0"/>
          <w:i w:val="0"/>
        </w:rPr>
        <w:t>.</w:t>
      </w:r>
    </w:p>
    <w:p>
      <w:pPr>
        <w:widowControl/>
      </w:pPr>
      <w:r>
        <w:rPr>
          <w:b/>
          <w:i w:val="0"/>
        </w:rPr>
        <w:t>species alias.</w:t>
      </w:r>
      <w:r>
        <w:rPr>
          <w:b w:val="0"/>
          <w:i w:val="0"/>
        </w:rPr>
        <w:t xml:space="preserve"> </w:t>
      </w:r>
      <w:hyperlink w:anchor="latin-record-1125">
        <w:r>
          <w:rPr>
            <w:color w:val="000000"/>
          </w:rPr>
          <w:t xml:space="preserve">species motionis</w:t>
        </w:r>
      </w:hyperlink>
      <w:r>
        <w:rPr>
          <w:b w:val="0"/>
          <w:i w:val="0"/>
        </w:rPr>
        <w:t>.</w:t>
      </w:r>
    </w:p>
    <w:p>
      <w:pPr>
        <w:widowControl/>
      </w:pPr>
      <w:r>
        <w:rPr>
          <w:b/>
          <w:i w:val="0"/>
        </w:rPr>
        <w:t>spectaculum.</w:t>
      </w:r>
      <w:r>
        <w:rPr>
          <w:b w:val="0"/>
          <w:i w:val="0"/>
        </w:rPr>
        <w:t xml:space="preserve"> </w:t>
      </w:r>
      <w:hyperlink w:anchor="latin-record-0359">
        <w:r>
          <w:rPr>
            <w:color w:val="000000"/>
          </w:rPr>
          <w:t xml:space="preserve">educare / spectaculum</w:t>
        </w:r>
      </w:hyperlink>
      <w:r>
        <w:rPr>
          <w:b w:val="0"/>
          <w:i w:val="0"/>
        </w:rPr>
        <w:t>.</w:t>
      </w:r>
    </w:p>
    <w:p>
      <w:pPr>
        <w:widowControl/>
      </w:pPr>
      <w:r>
        <w:rPr>
          <w:b/>
          <w:i w:val="0"/>
        </w:rPr>
        <w:t>spectat.</w:t>
      </w:r>
      <w:r>
        <w:rPr>
          <w:b w:val="0"/>
          <w:i w:val="0"/>
        </w:rPr>
        <w:t xml:space="preserve"> </w:t>
      </w:r>
      <w:hyperlink w:anchor="latin-record-0206">
        <w:r>
          <w:rPr>
            <w:color w:val="000000"/>
          </w:rPr>
          <w:t xml:space="preserve">competere / pertinere / spectare</w:t>
        </w:r>
      </w:hyperlink>
      <w:r>
        <w:rPr>
          <w:b w:val="0"/>
          <w:i w:val="0"/>
        </w:rPr>
        <w:t>.</w:t>
      </w:r>
    </w:p>
    <w:p>
      <w:pPr>
        <w:widowControl/>
      </w:pPr>
      <w:r>
        <w:rPr>
          <w:b/>
          <w:i w:val="0"/>
        </w:rPr>
        <w:t>speculando.</w:t>
      </w:r>
      <w:r>
        <w:rPr>
          <w:b w:val="0"/>
          <w:i w:val="0"/>
        </w:rPr>
        <w:t xml:space="preserve"> </w:t>
      </w:r>
      <w:hyperlink w:anchor="latin-record-1126">
        <w:r>
          <w:rPr>
            <w:color w:val="000000"/>
          </w:rPr>
          <w:t xml:space="preserve">speculari</w:t>
        </w:r>
      </w:hyperlink>
      <w:r>
        <w:rPr>
          <w:b w:val="0"/>
          <w:i w:val="0"/>
        </w:rPr>
        <w:t>.</w:t>
      </w:r>
    </w:p>
    <w:p>
      <w:pPr>
        <w:widowControl/>
      </w:pPr>
      <w:r>
        <w:rPr>
          <w:b/>
          <w:i w:val="0"/>
        </w:rPr>
        <w:t>speculatur.</w:t>
      </w:r>
      <w:r>
        <w:rPr>
          <w:b w:val="0"/>
          <w:i w:val="0"/>
        </w:rPr>
        <w:t xml:space="preserve"> </w:t>
      </w:r>
      <w:hyperlink w:anchor="latin-record-0619">
        <w:r>
          <w:rPr>
            <w:color w:val="000000"/>
          </w:rPr>
          <w:t xml:space="preserve">iudicare / percipere / nescire / nosse / notitia / speculari</w:t>
        </w:r>
      </w:hyperlink>
      <w:r>
        <w:rPr>
          <w:b w:val="0"/>
          <w:i w:val="0"/>
        </w:rPr>
        <w:t>.</w:t>
      </w:r>
    </w:p>
    <w:p>
      <w:pPr>
        <w:widowControl/>
      </w:pPr>
      <w:r>
        <w:rPr>
          <w:b/>
          <w:i w:val="0"/>
        </w:rPr>
        <w:t>speculo.</w:t>
      </w:r>
      <w:r>
        <w:rPr>
          <w:b w:val="0"/>
          <w:i w:val="0"/>
        </w:rPr>
        <w:t xml:space="preserve"> </w:t>
      </w:r>
      <w:hyperlink w:anchor="latin-record-1127">
        <w:r>
          <w:rPr>
            <w:color w:val="000000"/>
          </w:rPr>
          <w:t xml:space="preserve">speculum</w:t>
        </w:r>
      </w:hyperlink>
      <w:r>
        <w:rPr>
          <w:b w:val="0"/>
          <w:i w:val="0"/>
        </w:rPr>
        <w:t xml:space="preserve">; </w:t>
      </w:r>
      <w:hyperlink w:anchor="latin-record-1128">
        <w:r>
          <w:rPr>
            <w:color w:val="000000"/>
          </w:rPr>
          <w:t xml:space="preserve">speculum / imago</w:t>
        </w:r>
      </w:hyperlink>
      <w:r>
        <w:rPr>
          <w:b w:val="0"/>
          <w:i w:val="0"/>
        </w:rPr>
        <w:t>.</w:t>
      </w:r>
    </w:p>
    <w:p>
      <w:pPr>
        <w:widowControl/>
      </w:pPr>
      <w:r>
        <w:rPr>
          <w:b/>
          <w:i w:val="0"/>
        </w:rPr>
        <w:t>speculum.</w:t>
      </w:r>
      <w:r>
        <w:rPr>
          <w:b w:val="0"/>
          <w:i w:val="0"/>
        </w:rPr>
        <w:t xml:space="preserve"> </w:t>
      </w:r>
      <w:hyperlink w:anchor="latin-record-1127">
        <w:r>
          <w:rPr>
            <w:color w:val="000000"/>
          </w:rPr>
          <w:t xml:space="preserve">speculum</w:t>
        </w:r>
      </w:hyperlink>
      <w:r>
        <w:rPr>
          <w:b w:val="0"/>
          <w:i w:val="0"/>
        </w:rPr>
        <w:t>.</w:t>
      </w:r>
    </w:p>
    <w:p>
      <w:pPr>
        <w:widowControl/>
      </w:pPr>
      <w:r>
        <w:rPr>
          <w:b/>
          <w:i w:val="0"/>
        </w:rPr>
        <w:t>sphaeram.</w:t>
      </w:r>
      <w:r>
        <w:rPr>
          <w:b w:val="0"/>
          <w:i w:val="0"/>
        </w:rPr>
        <w:t xml:space="preserve"> </w:t>
      </w:r>
      <w:hyperlink w:anchor="latin-record-1129">
        <w:r>
          <w:rPr>
            <w:color w:val="000000"/>
          </w:rPr>
          <w:t xml:space="preserve">sphaera</w:t>
        </w:r>
      </w:hyperlink>
      <w:r>
        <w:rPr>
          <w:b w:val="0"/>
          <w:i w:val="0"/>
        </w:rPr>
        <w:t>.</w:t>
      </w:r>
    </w:p>
    <w:p>
      <w:pPr>
        <w:widowControl/>
      </w:pPr>
      <w:r>
        <w:rPr>
          <w:b/>
          <w:i w:val="0"/>
        </w:rPr>
        <w:t>sphaeras.</w:t>
      </w:r>
      <w:r>
        <w:rPr>
          <w:b w:val="0"/>
          <w:i w:val="0"/>
        </w:rPr>
        <w:t xml:space="preserve"> </w:t>
      </w:r>
      <w:hyperlink w:anchor="latin-record-0130">
        <w:r>
          <w:rPr>
            <w:color w:val="000000"/>
          </w:rPr>
          <w:t xml:space="preserve">caelum / sphaera / stella</w:t>
        </w:r>
      </w:hyperlink>
      <w:r>
        <w:rPr>
          <w:b w:val="0"/>
          <w:i w:val="0"/>
        </w:rPr>
        <w:t>.</w:t>
      </w:r>
    </w:p>
    <w:p>
      <w:pPr>
        <w:widowControl/>
      </w:pPr>
      <w:r>
        <w:rPr>
          <w:b/>
          <w:i w:val="0"/>
        </w:rPr>
        <w:t>spirabit.</w:t>
      </w:r>
      <w:r>
        <w:rPr>
          <w:b w:val="0"/>
          <w:i w:val="0"/>
        </w:rPr>
        <w:t xml:space="preserve"> </w:t>
      </w:r>
      <w:hyperlink w:anchor="latin-record-1130">
        <w:r>
          <w:rPr>
            <w:color w:val="000000"/>
          </w:rPr>
          <w:t xml:space="preserve">spirare</w:t>
        </w:r>
      </w:hyperlink>
      <w:r>
        <w:rPr>
          <w:b w:val="0"/>
          <w:i w:val="0"/>
        </w:rPr>
        <w:t>.</w:t>
      </w:r>
    </w:p>
    <w:p>
      <w:pPr>
        <w:widowControl/>
      </w:pPr>
      <w:r>
        <w:rPr>
          <w:b/>
          <w:i w:val="0"/>
        </w:rPr>
        <w:t>spiritali.</w:t>
      </w:r>
      <w:r>
        <w:rPr>
          <w:b w:val="0"/>
          <w:i w:val="0"/>
        </w:rPr>
        <w:t xml:space="preserve"> </w:t>
      </w:r>
      <w:hyperlink w:anchor="latin-record-1134">
        <w:r>
          <w:rPr>
            <w:color w:val="000000"/>
          </w:rPr>
          <w:t xml:space="preserve">spiritus / spiritalis</w:t>
        </w:r>
      </w:hyperlink>
      <w:r>
        <w:rPr>
          <w:b w:val="0"/>
          <w:i w:val="0"/>
        </w:rPr>
        <w:t>.</w:t>
      </w:r>
    </w:p>
    <w:p>
      <w:pPr>
        <w:widowControl/>
      </w:pPr>
      <w:r>
        <w:rPr>
          <w:b/>
          <w:i w:val="0"/>
        </w:rPr>
        <w:t>spiritalia et vivifica semina.</w:t>
      </w:r>
      <w:r>
        <w:rPr>
          <w:b w:val="0"/>
          <w:i w:val="0"/>
        </w:rPr>
        <w:t xml:space="preserve"> </w:t>
      </w:r>
      <w:hyperlink w:anchor="latin-record-1131">
        <w:r>
          <w:rPr>
            <w:color w:val="000000"/>
          </w:rPr>
          <w:t xml:space="preserve">spiritalia et vivifica semina</w:t>
        </w:r>
      </w:hyperlink>
      <w:r>
        <w:rPr>
          <w:b w:val="0"/>
          <w:i w:val="0"/>
        </w:rPr>
        <w:t>.</w:t>
      </w:r>
    </w:p>
    <w:p>
      <w:pPr>
        <w:widowControl/>
      </w:pPr>
      <w:r>
        <w:rPr>
          <w:b/>
          <w:i w:val="0"/>
        </w:rPr>
        <w:t>spiritalis.</w:t>
      </w:r>
      <w:r>
        <w:rPr>
          <w:b w:val="0"/>
          <w:i w:val="0"/>
        </w:rPr>
        <w:t xml:space="preserve"> </w:t>
      </w:r>
      <w:hyperlink w:anchor="latin-record-1134">
        <w:r>
          <w:rPr>
            <w:color w:val="000000"/>
          </w:rPr>
          <w:t xml:space="preserve">spiritus / spiritalis</w:t>
        </w:r>
      </w:hyperlink>
      <w:r>
        <w:rPr>
          <w:b w:val="0"/>
          <w:i w:val="0"/>
        </w:rPr>
        <w:t>.</w:t>
      </w:r>
    </w:p>
    <w:p>
      <w:pPr>
        <w:widowControl/>
      </w:pPr>
      <w:r>
        <w:rPr>
          <w:b/>
          <w:i w:val="0"/>
        </w:rPr>
        <w:t>spiritibus.</w:t>
      </w:r>
      <w:r>
        <w:rPr>
          <w:b w:val="0"/>
          <w:i w:val="0"/>
        </w:rPr>
        <w:t xml:space="preserve"> </w:t>
      </w:r>
      <w:hyperlink w:anchor="latin-record-1133">
        <w:r>
          <w:rPr>
            <w:color w:val="000000"/>
          </w:rPr>
          <w:t xml:space="preserve">spiritus</w:t>
        </w:r>
      </w:hyperlink>
      <w:r>
        <w:rPr>
          <w:b w:val="0"/>
          <w:i w:val="0"/>
        </w:rPr>
        <w:t>.</w:t>
      </w:r>
    </w:p>
    <w:p>
      <w:pPr>
        <w:widowControl/>
      </w:pPr>
      <w:r>
        <w:rPr>
          <w:b/>
          <w:i w:val="0"/>
        </w:rPr>
        <w:t>spiritu.</w:t>
      </w:r>
      <w:r>
        <w:rPr>
          <w:b w:val="0"/>
          <w:i w:val="0"/>
        </w:rPr>
        <w:t xml:space="preserve"> </w:t>
      </w:r>
      <w:hyperlink w:anchor="latin-record-1133">
        <w:r>
          <w:rPr>
            <w:color w:val="000000"/>
          </w:rPr>
          <w:t xml:space="preserve">spiritus</w:t>
        </w:r>
      </w:hyperlink>
      <w:r>
        <w:rPr>
          <w:b w:val="0"/>
          <w:i w:val="0"/>
        </w:rPr>
        <w:t>.</w:t>
      </w:r>
    </w:p>
    <w:p>
      <w:pPr>
        <w:widowControl/>
      </w:pPr>
      <w:r>
        <w:rPr>
          <w:b/>
          <w:i w:val="0"/>
        </w:rPr>
        <w:t>spiritui.</w:t>
      </w:r>
      <w:r>
        <w:rPr>
          <w:b w:val="0"/>
          <w:i w:val="0"/>
        </w:rPr>
        <w:t xml:space="preserve"> </w:t>
      </w:r>
      <w:hyperlink w:anchor="latin-record-1133">
        <w:r>
          <w:rPr>
            <w:color w:val="000000"/>
          </w:rPr>
          <w:t xml:space="preserve">spiritus</w:t>
        </w:r>
      </w:hyperlink>
      <w:r>
        <w:rPr>
          <w:b w:val="0"/>
          <w:i w:val="0"/>
        </w:rPr>
        <w:t>.</w:t>
      </w:r>
    </w:p>
    <w:p>
      <w:pPr>
        <w:widowControl/>
      </w:pPr>
      <w:r>
        <w:rPr>
          <w:b/>
          <w:i w:val="0"/>
        </w:rPr>
        <w:t>spiritum.</w:t>
      </w:r>
      <w:r>
        <w:rPr>
          <w:b w:val="0"/>
          <w:i w:val="0"/>
        </w:rPr>
        <w:t xml:space="preserve"> </w:t>
      </w:r>
      <w:hyperlink w:anchor="latin-record-1134">
        <w:r>
          <w:rPr>
            <w:color w:val="000000"/>
          </w:rPr>
          <w:t xml:space="preserve">spiritus / spiritalis</w:t>
        </w:r>
      </w:hyperlink>
      <w:r>
        <w:rPr>
          <w:b w:val="0"/>
          <w:i w:val="0"/>
        </w:rPr>
        <w:t>.</w:t>
      </w:r>
    </w:p>
    <w:p>
      <w:pPr>
        <w:widowControl/>
      </w:pPr>
      <w:r>
        <w:rPr>
          <w:b/>
          <w:i w:val="0"/>
        </w:rPr>
        <w:t>Spiritus.</w:t>
      </w:r>
      <w:r>
        <w:rPr>
          <w:b w:val="0"/>
          <w:i w:val="0"/>
        </w:rPr>
        <w:t xml:space="preserve"> </w:t>
      </w:r>
      <w:hyperlink w:anchor="latin-record-1133">
        <w:r>
          <w:rPr>
            <w:color w:val="000000"/>
          </w:rPr>
          <w:t xml:space="preserve">spiritus</w:t>
        </w:r>
      </w:hyperlink>
      <w:r>
        <w:rPr>
          <w:b w:val="0"/>
          <w:i w:val="0"/>
        </w:rPr>
        <w:t>.</w:t>
      </w:r>
    </w:p>
    <w:p>
      <w:pPr>
        <w:widowControl/>
      </w:pPr>
      <w:r>
        <w:rPr>
          <w:b/>
          <w:i w:val="0"/>
        </w:rPr>
        <w:t>spiritus.</w:t>
      </w:r>
      <w:r>
        <w:rPr>
          <w:b w:val="0"/>
          <w:i w:val="0"/>
        </w:rPr>
        <w:t xml:space="preserve"> </w:t>
      </w:r>
      <w:hyperlink w:anchor="latin-record-1133">
        <w:r>
          <w:rPr>
            <w:color w:val="000000"/>
          </w:rPr>
          <w:t xml:space="preserve">spiritus</w:t>
        </w:r>
      </w:hyperlink>
      <w:r>
        <w:rPr>
          <w:b w:val="0"/>
          <w:i w:val="0"/>
        </w:rPr>
        <w:t>.</w:t>
      </w:r>
    </w:p>
    <w:p>
      <w:pPr>
        <w:widowControl/>
      </w:pPr>
      <w:r>
        <w:rPr>
          <w:b/>
          <w:i w:val="0"/>
        </w:rPr>
        <w:t>splendor.</w:t>
      </w:r>
      <w:r>
        <w:rPr>
          <w:b w:val="0"/>
          <w:i w:val="0"/>
        </w:rPr>
        <w:t xml:space="preserve"> </w:t>
      </w:r>
      <w:hyperlink w:anchor="latin-record-1065">
        <w:r>
          <w:rPr>
            <w:color w:val="000000"/>
          </w:rPr>
          <w:t xml:space="preserve">ruber / viridis / splendor</w:t>
        </w:r>
      </w:hyperlink>
      <w:r>
        <w:rPr>
          <w:b w:val="0"/>
          <w:i w:val="0"/>
        </w:rPr>
        <w:t>.</w:t>
      </w:r>
    </w:p>
    <w:p>
      <w:pPr>
        <w:widowControl/>
      </w:pPr>
      <w:r>
        <w:rPr>
          <w:b/>
          <w:i w:val="0"/>
        </w:rPr>
        <w:t>splendores.</w:t>
      </w:r>
      <w:r>
        <w:rPr>
          <w:b w:val="0"/>
          <w:i w:val="0"/>
        </w:rPr>
        <w:t xml:space="preserve"> </w:t>
      </w:r>
      <w:hyperlink w:anchor="latin-record-1065">
        <w:r>
          <w:rPr>
            <w:color w:val="000000"/>
          </w:rPr>
          <w:t xml:space="preserve">ruber / viridis / splendor</w:t>
        </w:r>
      </w:hyperlink>
      <w:r>
        <w:rPr>
          <w:b w:val="0"/>
          <w:i w:val="0"/>
        </w:rPr>
        <w:t>.</w:t>
      </w:r>
    </w:p>
    <w:p>
      <w:pPr>
        <w:widowControl/>
      </w:pPr>
      <w:r>
        <w:rPr>
          <w:b/>
          <w:i w:val="0"/>
        </w:rPr>
        <w:t>spontaneumque.</w:t>
      </w:r>
      <w:r>
        <w:rPr>
          <w:b w:val="0"/>
          <w:i w:val="0"/>
        </w:rPr>
        <w:t xml:space="preserve"> </w:t>
      </w:r>
      <w:hyperlink w:anchor="latin-record-1136">
        <w:r>
          <w:rPr>
            <w:color w:val="000000"/>
          </w:rPr>
          <w:t xml:space="preserve">spontaneus / voluntarius</w:t>
        </w:r>
      </w:hyperlink>
      <w:r>
        <w:rPr>
          <w:b w:val="0"/>
          <w:i w:val="0"/>
        </w:rPr>
        <w:t>.</w:t>
      </w:r>
    </w:p>
    <w:p>
      <w:pPr>
        <w:widowControl/>
      </w:pPr>
      <w:r>
        <w:rPr>
          <w:b/>
          <w:i w:val="0"/>
        </w:rPr>
        <w:t>spontaneus.</w:t>
      </w:r>
      <w:r>
        <w:rPr>
          <w:b w:val="0"/>
          <w:i w:val="0"/>
        </w:rPr>
        <w:t xml:space="preserve"> </w:t>
      </w:r>
      <w:hyperlink w:anchor="latin-record-1135">
        <w:r>
          <w:rPr>
            <w:color w:val="000000"/>
          </w:rPr>
          <w:t xml:space="preserve">spontaneus / sponte</w:t>
        </w:r>
      </w:hyperlink>
      <w:r>
        <w:rPr>
          <w:b w:val="0"/>
          <w:i w:val="0"/>
        </w:rPr>
        <w:t>.</w:t>
      </w:r>
    </w:p>
    <w:p>
      <w:pPr>
        <w:widowControl/>
      </w:pPr>
      <w:r>
        <w:rPr>
          <w:b/>
          <w:i w:val="0"/>
        </w:rPr>
        <w:t>sponte.</w:t>
      </w:r>
      <w:r>
        <w:rPr>
          <w:b w:val="0"/>
          <w:i w:val="0"/>
        </w:rPr>
        <w:t xml:space="preserve"> </w:t>
      </w:r>
      <w:hyperlink w:anchor="latin-record-1135">
        <w:r>
          <w:rPr>
            <w:color w:val="000000"/>
          </w:rPr>
          <w:t xml:space="preserve">spontaneus / sponte</w:t>
        </w:r>
      </w:hyperlink>
      <w:r>
        <w:rPr>
          <w:b w:val="0"/>
          <w:i w:val="0"/>
        </w:rPr>
        <w:t>.</w:t>
      </w:r>
    </w:p>
    <w:p>
      <w:pPr>
        <w:widowControl/>
      </w:pPr>
      <w:r>
        <w:rPr>
          <w:b/>
          <w:i w:val="0"/>
        </w:rPr>
        <w:t>stabile.</w:t>
      </w:r>
      <w:r>
        <w:rPr>
          <w:b w:val="0"/>
          <w:i w:val="0"/>
        </w:rPr>
        <w:t xml:space="preserve"> </w:t>
      </w:r>
      <w:hyperlink w:anchor="latin-record-1138">
        <w:r>
          <w:rPr>
            <w:color w:val="000000"/>
          </w:rPr>
          <w:t xml:space="preserve">stabilis causa / opus</w:t>
        </w:r>
      </w:hyperlink>
      <w:r>
        <w:rPr>
          <w:b w:val="0"/>
          <w:i w:val="0"/>
        </w:rPr>
        <w:t>.</w:t>
      </w:r>
    </w:p>
    <w:p>
      <w:pPr>
        <w:widowControl/>
      </w:pPr>
      <w:r>
        <w:rPr>
          <w:b/>
          <w:i w:val="0"/>
        </w:rPr>
        <w:t>stabilem.</w:t>
      </w:r>
      <w:r>
        <w:rPr>
          <w:b w:val="0"/>
          <w:i w:val="0"/>
        </w:rPr>
        <w:t xml:space="preserve"> </w:t>
      </w:r>
      <w:hyperlink w:anchor="latin-record-1137">
        <w:r>
          <w:rPr>
            <w:color w:val="000000"/>
          </w:rPr>
          <w:t xml:space="preserve">stabilis / instabilis / inordinatus</w:t>
        </w:r>
      </w:hyperlink>
      <w:r>
        <w:rPr>
          <w:b w:val="0"/>
          <w:i w:val="0"/>
        </w:rPr>
        <w:t>.</w:t>
      </w:r>
    </w:p>
    <w:p>
      <w:pPr>
        <w:widowControl/>
      </w:pPr>
      <w:r>
        <w:rPr>
          <w:b/>
          <w:i w:val="0"/>
        </w:rPr>
        <w:t>stabiliore.</w:t>
      </w:r>
      <w:r>
        <w:rPr>
          <w:b w:val="0"/>
          <w:i w:val="0"/>
        </w:rPr>
        <w:t xml:space="preserve"> </w:t>
      </w:r>
      <w:hyperlink w:anchor="latin-record-1141">
        <w:r>
          <w:rPr>
            <w:color w:val="000000"/>
          </w:rPr>
          <w:t xml:space="preserve">status / stare</w:t>
        </w:r>
      </w:hyperlink>
      <w:r>
        <w:rPr>
          <w:b w:val="0"/>
          <w:i w:val="0"/>
        </w:rPr>
        <w:t>.</w:t>
      </w:r>
    </w:p>
    <w:p>
      <w:pPr>
        <w:widowControl/>
      </w:pPr>
      <w:r>
        <w:rPr>
          <w:b/>
          <w:i w:val="0"/>
        </w:rPr>
        <w:t>stabilis.</w:t>
      </w:r>
      <w:r>
        <w:rPr>
          <w:b w:val="0"/>
          <w:i w:val="0"/>
        </w:rPr>
        <w:t xml:space="preserve"> </w:t>
      </w:r>
      <w:hyperlink w:anchor="latin-record-1138">
        <w:r>
          <w:rPr>
            <w:color w:val="000000"/>
          </w:rPr>
          <w:t xml:space="preserve">stabilis causa / opus</w:t>
        </w:r>
      </w:hyperlink>
      <w:r>
        <w:rPr>
          <w:b w:val="0"/>
          <w:i w:val="0"/>
        </w:rPr>
        <w:t xml:space="preserve">; </w:t>
      </w:r>
      <w:hyperlink w:anchor="latin-record-1141">
        <w:r>
          <w:rPr>
            <w:color w:val="000000"/>
          </w:rPr>
          <w:t xml:space="preserve">status / stare</w:t>
        </w:r>
      </w:hyperlink>
      <w:r>
        <w:rPr>
          <w:b w:val="0"/>
          <w:i w:val="0"/>
        </w:rPr>
        <w:t>.</w:t>
      </w:r>
    </w:p>
    <w:p>
      <w:pPr>
        <w:widowControl/>
      </w:pPr>
      <w:r>
        <w:rPr>
          <w:b/>
          <w:i w:val="0"/>
        </w:rPr>
        <w:t>stabiliunt.</w:t>
      </w:r>
      <w:r>
        <w:rPr>
          <w:b w:val="0"/>
          <w:i w:val="0"/>
        </w:rPr>
        <w:t xml:space="preserve"> </w:t>
      </w:r>
      <w:hyperlink w:anchor="latin-record-0544">
        <w:r>
          <w:rPr>
            <w:color w:val="000000"/>
          </w:rPr>
          <w:t xml:space="preserve">imprimere / fundare / stabilire</w:t>
        </w:r>
      </w:hyperlink>
      <w:r>
        <w:rPr>
          <w:b w:val="0"/>
          <w:i w:val="0"/>
        </w:rPr>
        <w:t>.</w:t>
      </w:r>
    </w:p>
    <w:p>
      <w:pPr>
        <w:widowControl/>
      </w:pPr>
      <w:r>
        <w:rPr>
          <w:b/>
          <w:i w:val="0"/>
        </w:rPr>
        <w:t>stare.</w:t>
      </w:r>
      <w:r>
        <w:rPr>
          <w:b w:val="0"/>
          <w:i w:val="0"/>
        </w:rPr>
        <w:t xml:space="preserve"> </w:t>
      </w:r>
      <w:hyperlink w:anchor="latin-record-1139">
        <w:r>
          <w:rPr>
            <w:color w:val="000000"/>
          </w:rPr>
          <w:t xml:space="preserve">stare / status</w:t>
        </w:r>
      </w:hyperlink>
      <w:r>
        <w:rPr>
          <w:b w:val="0"/>
          <w:i w:val="0"/>
        </w:rPr>
        <w:t>.</w:t>
      </w:r>
    </w:p>
    <w:p>
      <w:pPr>
        <w:widowControl/>
      </w:pPr>
      <w:r>
        <w:rPr>
          <w:b/>
          <w:i w:val="0"/>
        </w:rPr>
        <w:t>stat in motu.</w:t>
      </w:r>
      <w:r>
        <w:rPr>
          <w:b w:val="0"/>
          <w:i w:val="0"/>
        </w:rPr>
        <w:t xml:space="preserve"> </w:t>
      </w:r>
      <w:hyperlink w:anchor="latin-record-1142">
        <w:r>
          <w:rPr>
            <w:color w:val="000000"/>
          </w:rPr>
          <w:t xml:space="preserve">status / stat in motu</w:t>
        </w:r>
      </w:hyperlink>
      <w:r>
        <w:rPr>
          <w:b w:val="0"/>
          <w:i w:val="0"/>
        </w:rPr>
        <w:t>.</w:t>
      </w:r>
    </w:p>
    <w:p>
      <w:pPr>
        <w:widowControl/>
      </w:pPr>
      <w:r>
        <w:rPr>
          <w:b/>
          <w:i w:val="0"/>
        </w:rPr>
        <w:t>statu.</w:t>
      </w:r>
      <w:r>
        <w:rPr>
          <w:b w:val="0"/>
          <w:i w:val="0"/>
        </w:rPr>
        <w:t xml:space="preserve"> </w:t>
      </w:r>
      <w:hyperlink w:anchor="latin-record-1141">
        <w:r>
          <w:rPr>
            <w:color w:val="000000"/>
          </w:rPr>
          <w:t xml:space="preserve">status / stare</w:t>
        </w:r>
      </w:hyperlink>
      <w:r>
        <w:rPr>
          <w:b w:val="0"/>
          <w:i w:val="0"/>
        </w:rPr>
        <w:t>.</w:t>
      </w:r>
    </w:p>
    <w:p>
      <w:pPr>
        <w:widowControl/>
      </w:pPr>
      <w:r>
        <w:rPr>
          <w:b/>
          <w:i w:val="0"/>
        </w:rPr>
        <w:t>statua.</w:t>
      </w:r>
      <w:r>
        <w:rPr>
          <w:b w:val="0"/>
          <w:i w:val="0"/>
        </w:rPr>
        <w:t xml:space="preserve"> </w:t>
      </w:r>
      <w:hyperlink w:anchor="latin-record-1140">
        <w:r>
          <w:rPr>
            <w:color w:val="000000"/>
          </w:rPr>
          <w:t xml:space="preserve">statua / lapis / aes</w:t>
        </w:r>
      </w:hyperlink>
      <w:r>
        <w:rPr>
          <w:b w:val="0"/>
          <w:i w:val="0"/>
        </w:rPr>
        <w:t>.</w:t>
      </w:r>
    </w:p>
    <w:p>
      <w:pPr>
        <w:widowControl/>
      </w:pPr>
      <w:r>
        <w:rPr>
          <w:b/>
          <w:i w:val="0"/>
        </w:rPr>
        <w:t>statuae.</w:t>
      </w:r>
      <w:r>
        <w:rPr>
          <w:b w:val="0"/>
          <w:i w:val="0"/>
        </w:rPr>
        <w:t xml:space="preserve"> </w:t>
      </w:r>
      <w:hyperlink w:anchor="latin-record-1180">
        <w:r>
          <w:rPr>
            <w:color w:val="000000"/>
          </w:rPr>
          <w:t xml:space="preserve">tabernaculum / statua / pila</w:t>
        </w:r>
      </w:hyperlink>
      <w:r>
        <w:rPr>
          <w:b w:val="0"/>
          <w:i w:val="0"/>
        </w:rPr>
        <w:t>.</w:t>
      </w:r>
    </w:p>
    <w:p>
      <w:pPr>
        <w:widowControl/>
      </w:pPr>
      <w:r>
        <w:rPr>
          <w:b/>
          <w:i w:val="0"/>
        </w:rPr>
        <w:t>statuissem.</w:t>
      </w:r>
      <w:r>
        <w:rPr>
          <w:b w:val="0"/>
          <w:i w:val="0"/>
        </w:rPr>
        <w:t xml:space="preserve"> </w:t>
      </w:r>
      <w:hyperlink w:anchor="latin-record-0253">
        <w:r>
          <w:rPr>
            <w:color w:val="000000"/>
          </w:rPr>
          <w:t xml:space="preserve">consilium / statuo</w:t>
        </w:r>
      </w:hyperlink>
      <w:r>
        <w:rPr>
          <w:b w:val="0"/>
          <w:i w:val="0"/>
        </w:rPr>
        <w:t>.</w:t>
      </w:r>
    </w:p>
    <w:p>
      <w:pPr>
        <w:widowControl/>
      </w:pPr>
      <w:r>
        <w:rPr>
          <w:b/>
          <w:i w:val="0"/>
        </w:rPr>
        <w:t>status.</w:t>
      </w:r>
      <w:r>
        <w:rPr>
          <w:b w:val="0"/>
          <w:i w:val="0"/>
        </w:rPr>
        <w:t xml:space="preserve"> </w:t>
      </w:r>
      <w:hyperlink w:anchor="latin-record-1139">
        <w:r>
          <w:rPr>
            <w:color w:val="000000"/>
          </w:rPr>
          <w:t xml:space="preserve">stare / status</w:t>
        </w:r>
      </w:hyperlink>
      <w:r>
        <w:rPr>
          <w:b w:val="0"/>
          <w:i w:val="0"/>
        </w:rPr>
        <w:t xml:space="preserve">; </w:t>
      </w:r>
      <w:hyperlink w:anchor="latin-record-1141">
        <w:r>
          <w:rPr>
            <w:color w:val="000000"/>
          </w:rPr>
          <w:t xml:space="preserve">status / stare</w:t>
        </w:r>
      </w:hyperlink>
      <w:r>
        <w:rPr>
          <w:b w:val="0"/>
          <w:i w:val="0"/>
        </w:rPr>
        <w:t xml:space="preserve">; </w:t>
      </w:r>
      <w:hyperlink w:anchor="latin-record-1142">
        <w:r>
          <w:rPr>
            <w:color w:val="000000"/>
          </w:rPr>
          <w:t xml:space="preserve">status / stat in motu</w:t>
        </w:r>
      </w:hyperlink>
      <w:r>
        <w:rPr>
          <w:b w:val="0"/>
          <w:i w:val="0"/>
        </w:rPr>
        <w:t>.</w:t>
      </w:r>
    </w:p>
    <w:p>
      <w:pPr>
        <w:widowControl/>
      </w:pPr>
      <w:r>
        <w:rPr>
          <w:b/>
          <w:i w:val="0"/>
        </w:rPr>
        <w:t>statutis.</w:t>
      </w:r>
      <w:r>
        <w:rPr>
          <w:b w:val="0"/>
          <w:i w:val="0"/>
        </w:rPr>
        <w:t xml:space="preserve"> </w:t>
      </w:r>
      <w:hyperlink w:anchor="latin-record-1143">
        <w:r>
          <w:rPr>
            <w:color w:val="000000"/>
          </w:rPr>
          <w:t xml:space="preserve">statutis temporibus / quovis tempore</w:t>
        </w:r>
      </w:hyperlink>
      <w:r>
        <w:rPr>
          <w:b w:val="0"/>
          <w:i w:val="0"/>
        </w:rPr>
        <w:t>.</w:t>
      </w:r>
    </w:p>
    <w:p>
      <w:pPr>
        <w:widowControl/>
      </w:pPr>
      <w:r>
        <w:rPr>
          <w:b/>
          <w:i w:val="0"/>
        </w:rPr>
        <w:t>stella.</w:t>
      </w:r>
      <w:r>
        <w:rPr>
          <w:b w:val="0"/>
          <w:i w:val="0"/>
        </w:rPr>
        <w:t xml:space="preserve"> </w:t>
      </w:r>
      <w:hyperlink w:anchor="latin-record-0277">
        <w:r>
          <w:rPr>
            <w:color w:val="000000"/>
          </w:rPr>
          <w:t xml:space="preserve">cor / principalis stella</w:t>
        </w:r>
      </w:hyperlink>
      <w:r>
        <w:rPr>
          <w:b w:val="0"/>
          <w:i w:val="0"/>
        </w:rPr>
        <w:t xml:space="preserve">; </w:t>
      </w:r>
      <w:hyperlink w:anchor="latin-record-0653">
        <w:r>
          <w:rPr>
            <w:color w:val="000000"/>
          </w:rPr>
          <w:t xml:space="preserve">luna / sol / stella</w:t>
        </w:r>
      </w:hyperlink>
      <w:r>
        <w:rPr>
          <w:b w:val="0"/>
          <w:i w:val="0"/>
        </w:rPr>
        <w:t>.</w:t>
      </w:r>
    </w:p>
    <w:p>
      <w:pPr>
        <w:widowControl/>
      </w:pPr>
      <w:r>
        <w:rPr>
          <w:b/>
          <w:i w:val="0"/>
        </w:rPr>
        <w:t>stellas.</w:t>
      </w:r>
      <w:r>
        <w:rPr>
          <w:b w:val="0"/>
          <w:i w:val="0"/>
        </w:rPr>
        <w:t xml:space="preserve"> </w:t>
      </w:r>
      <w:hyperlink w:anchor="latin-record-0521">
        <w:r>
          <w:rPr>
            <w:color w:val="000000"/>
          </w:rPr>
          <w:t xml:space="preserve">ignis / sol / caelum / stella</w:t>
        </w:r>
      </w:hyperlink>
      <w:r>
        <w:rPr>
          <w:b w:val="0"/>
          <w:i w:val="0"/>
        </w:rPr>
        <w:t>.</w:t>
      </w:r>
    </w:p>
    <w:p>
      <w:pPr>
        <w:widowControl/>
      </w:pPr>
      <w:r>
        <w:rPr>
          <w:b/>
          <w:i w:val="0"/>
        </w:rPr>
        <w:t>stellis.</w:t>
      </w:r>
      <w:r>
        <w:rPr>
          <w:b w:val="0"/>
          <w:i w:val="0"/>
        </w:rPr>
        <w:t xml:space="preserve"> </w:t>
      </w:r>
      <w:hyperlink w:anchor="latin-record-0130">
        <w:r>
          <w:rPr>
            <w:color w:val="000000"/>
          </w:rPr>
          <w:t xml:space="preserve">caelum / sphaera / stella</w:t>
        </w:r>
      </w:hyperlink>
      <w:r>
        <w:rPr>
          <w:b w:val="0"/>
          <w:i w:val="0"/>
        </w:rPr>
        <w:t>.</w:t>
      </w:r>
    </w:p>
    <w:p>
      <w:pPr>
        <w:widowControl/>
      </w:pPr>
      <w:r>
        <w:rPr>
          <w:b/>
          <w:i w:val="0"/>
        </w:rPr>
        <w:t>Stoicorum.</w:t>
      </w:r>
      <w:r>
        <w:rPr>
          <w:b w:val="0"/>
          <w:i w:val="0"/>
        </w:rPr>
        <w:t xml:space="preserve"> </w:t>
      </w:r>
      <w:hyperlink w:anchor="latin-record-1144">
        <w:r>
          <w:rPr>
            <w:color w:val="000000"/>
          </w:rPr>
          <w:t xml:space="preserve">Stoici / Cynici</w:t>
        </w:r>
      </w:hyperlink>
      <w:r>
        <w:rPr>
          <w:b w:val="0"/>
          <w:i w:val="0"/>
        </w:rPr>
        <w:t>.</w:t>
      </w:r>
    </w:p>
    <w:p>
      <w:pPr>
        <w:widowControl/>
      </w:pPr>
      <w:r>
        <w:rPr>
          <w:b/>
          <w:i w:val="0"/>
        </w:rPr>
        <w:t>Strato.</w:t>
      </w:r>
      <w:r>
        <w:rPr>
          <w:b w:val="0"/>
          <w:i w:val="0"/>
        </w:rPr>
        <w:t xml:space="preserve"> </w:t>
      </w:r>
      <w:hyperlink w:anchor="latin-record-1145">
        <w:r>
          <w:rPr>
            <w:color w:val="000000"/>
          </w:rPr>
          <w:t xml:space="preserve">Strato / Chrysippus</w:t>
        </w:r>
      </w:hyperlink>
      <w:r>
        <w:rPr>
          <w:b w:val="0"/>
          <w:i w:val="0"/>
        </w:rPr>
        <w:t>.</w:t>
      </w:r>
    </w:p>
    <w:p>
      <w:pPr>
        <w:widowControl/>
      </w:pPr>
      <w:r>
        <w:rPr>
          <w:b/>
          <w:i w:val="0"/>
        </w:rPr>
        <w:t>struthii intuitus.</w:t>
      </w:r>
      <w:r>
        <w:rPr>
          <w:b w:val="0"/>
          <w:i w:val="0"/>
        </w:rPr>
        <w:t xml:space="preserve"> </w:t>
      </w:r>
      <w:hyperlink w:anchor="latin-record-1146">
        <w:r>
          <w:rPr>
            <w:color w:val="000000"/>
          </w:rPr>
          <w:t xml:space="preserve">struthii oculus</w:t>
        </w:r>
      </w:hyperlink>
      <w:r>
        <w:rPr>
          <w:b w:val="0"/>
          <w:i w:val="0"/>
        </w:rPr>
        <w:t>.</w:t>
      </w:r>
    </w:p>
    <w:p>
      <w:pPr>
        <w:widowControl/>
      </w:pPr>
      <w:r>
        <w:rPr>
          <w:b/>
          <w:i w:val="0"/>
        </w:rPr>
        <w:t>struthii oculus.</w:t>
      </w:r>
      <w:r>
        <w:rPr>
          <w:b w:val="0"/>
          <w:i w:val="0"/>
        </w:rPr>
        <w:t xml:space="preserve"> </w:t>
      </w:r>
      <w:hyperlink w:anchor="latin-record-1146">
        <w:r>
          <w:rPr>
            <w:color w:val="000000"/>
          </w:rPr>
          <w:t xml:space="preserve">struthii oculus</w:t>
        </w:r>
      </w:hyperlink>
      <w:r>
        <w:rPr>
          <w:b w:val="0"/>
          <w:i w:val="0"/>
        </w:rPr>
        <w:t>.</w:t>
      </w:r>
    </w:p>
    <w:p>
      <w:pPr>
        <w:widowControl/>
      </w:pPr>
      <w:r>
        <w:rPr>
          <w:b/>
          <w:i w:val="0"/>
        </w:rPr>
        <w:t>studium.</w:t>
      </w:r>
      <w:r>
        <w:rPr>
          <w:b w:val="0"/>
          <w:i w:val="0"/>
        </w:rPr>
        <w:t xml:space="preserve"> </w:t>
      </w:r>
      <w:hyperlink w:anchor="latin-record-1147">
        <w:r>
          <w:rPr>
            <w:color w:val="000000"/>
          </w:rPr>
          <w:t xml:space="preserve">studium / incumbo</w:t>
        </w:r>
      </w:hyperlink>
      <w:r>
        <w:rPr>
          <w:b w:val="0"/>
          <w:i w:val="0"/>
        </w:rPr>
        <w:t>.</w:t>
      </w:r>
    </w:p>
    <w:p>
      <w:pPr>
        <w:widowControl/>
      </w:pPr>
      <w:r>
        <w:rPr>
          <w:b/>
          <w:i w:val="0"/>
        </w:rPr>
        <w:t>stultum.</w:t>
      </w:r>
      <w:r>
        <w:rPr>
          <w:b w:val="0"/>
          <w:i w:val="0"/>
        </w:rPr>
        <w:t xml:space="preserve"> </w:t>
      </w:r>
      <w:hyperlink w:anchor="latin-record-1148">
        <w:r>
          <w:rPr>
            <w:color w:val="000000"/>
          </w:rPr>
          <w:t xml:space="preserve">stultus / sapienter / perspicue / vulgo / gratia / idealis</w:t>
        </w:r>
      </w:hyperlink>
      <w:r>
        <w:rPr>
          <w:b w:val="0"/>
          <w:i w:val="0"/>
        </w:rPr>
        <w:t>.</w:t>
      </w:r>
    </w:p>
    <w:p>
      <w:pPr>
        <w:widowControl/>
      </w:pPr>
      <w:r>
        <w:rPr>
          <w:b/>
          <w:i w:val="0"/>
        </w:rPr>
        <w:t>sua sponte.</w:t>
      </w:r>
      <w:r>
        <w:rPr>
          <w:b w:val="0"/>
          <w:i w:val="0"/>
        </w:rPr>
        <w:t xml:space="preserve"> </w:t>
      </w:r>
      <w:hyperlink w:anchor="latin-record-0546">
        <w:r>
          <w:rPr>
            <w:color w:val="000000"/>
          </w:rPr>
          <w:t xml:space="preserve">impulsus / sua sponte</w:t>
        </w:r>
      </w:hyperlink>
      <w:r>
        <w:rPr>
          <w:b w:val="0"/>
          <w:i w:val="0"/>
        </w:rPr>
        <w:t>.</w:t>
      </w:r>
    </w:p>
    <w:p>
      <w:pPr>
        <w:widowControl/>
      </w:pPr>
      <w:r>
        <w:rPr>
          <w:b/>
          <w:i w:val="0"/>
        </w:rPr>
        <w:t>suaviter.</w:t>
      </w:r>
      <w:r>
        <w:rPr>
          <w:b w:val="0"/>
          <w:i w:val="0"/>
        </w:rPr>
        <w:t xml:space="preserve"> </w:t>
      </w:r>
      <w:hyperlink w:anchor="latin-record-1150">
        <w:r>
          <w:rPr>
            <w:color w:val="000000"/>
          </w:rPr>
          <w:t xml:space="preserve">suaviter / ordinate</w:t>
        </w:r>
      </w:hyperlink>
      <w:r>
        <w:rPr>
          <w:b w:val="0"/>
          <w:i w:val="0"/>
        </w:rPr>
        <w:t>.</w:t>
      </w:r>
    </w:p>
    <w:p>
      <w:pPr>
        <w:widowControl/>
      </w:pPr>
      <w:r>
        <w:rPr>
          <w:b/>
          <w:i w:val="0"/>
        </w:rPr>
        <w:t>sub omni.</w:t>
      </w:r>
      <w:r>
        <w:rPr>
          <w:b w:val="0"/>
          <w:i w:val="0"/>
        </w:rPr>
        <w:t xml:space="preserve"> </w:t>
      </w:r>
      <w:hyperlink w:anchor="latin-record-1170">
        <w:r>
          <w:rPr>
            <w:color w:val="000000"/>
          </w:rPr>
          <w:t xml:space="preserve">super omne / sub omni</w:t>
        </w:r>
      </w:hyperlink>
      <w:r>
        <w:rPr>
          <w:b w:val="0"/>
          <w:i w:val="0"/>
        </w:rPr>
        <w:t>.</w:t>
      </w:r>
    </w:p>
    <w:p>
      <w:pPr>
        <w:widowControl/>
      </w:pPr>
      <w:r>
        <w:rPr>
          <w:b/>
          <w:i w:val="0"/>
        </w:rPr>
        <w:t>sub propria persona.</w:t>
      </w:r>
      <w:r>
        <w:rPr>
          <w:b w:val="0"/>
          <w:i w:val="0"/>
        </w:rPr>
        <w:t xml:space="preserve"> </w:t>
      </w:r>
      <w:hyperlink w:anchor="latin-record-1151">
        <w:r>
          <w:rPr>
            <w:color w:val="000000"/>
          </w:rPr>
          <w:t xml:space="preserve">sub propria persona</w:t>
        </w:r>
      </w:hyperlink>
      <w:r>
        <w:rPr>
          <w:b w:val="0"/>
          <w:i w:val="0"/>
        </w:rPr>
        <w:t>.</w:t>
      </w:r>
    </w:p>
    <w:p>
      <w:pPr>
        <w:widowControl/>
      </w:pPr>
      <w:r>
        <w:rPr>
          <w:b/>
          <w:i w:val="0"/>
        </w:rPr>
        <w:t>subditur.</w:t>
      </w:r>
      <w:r>
        <w:rPr>
          <w:b w:val="0"/>
          <w:i w:val="0"/>
        </w:rPr>
        <w:t xml:space="preserve"> </w:t>
      </w:r>
      <w:hyperlink w:anchor="latin-record-1152">
        <w:r>
          <w:rPr>
            <w:color w:val="000000"/>
          </w:rPr>
          <w:t xml:space="preserve">subdere / subicere</w:t>
        </w:r>
      </w:hyperlink>
      <w:r>
        <w:rPr>
          <w:b w:val="0"/>
          <w:i w:val="0"/>
        </w:rPr>
        <w:t>.</w:t>
      </w:r>
    </w:p>
    <w:p>
      <w:pPr>
        <w:widowControl/>
      </w:pPr>
      <w:r>
        <w:rPr>
          <w:b/>
          <w:i w:val="0"/>
        </w:rPr>
        <w:t>subici.</w:t>
      </w:r>
      <w:r>
        <w:rPr>
          <w:b w:val="0"/>
          <w:i w:val="0"/>
        </w:rPr>
        <w:t xml:space="preserve"> </w:t>
      </w:r>
      <w:hyperlink w:anchor="latin-record-1153">
        <w:r>
          <w:rPr>
            <w:color w:val="000000"/>
          </w:rPr>
          <w:t xml:space="preserve">subicere / tollere / removere</w:t>
        </w:r>
      </w:hyperlink>
      <w:r>
        <w:rPr>
          <w:b w:val="0"/>
          <w:i w:val="0"/>
        </w:rPr>
        <w:t>.</w:t>
      </w:r>
    </w:p>
    <w:p>
      <w:pPr>
        <w:widowControl/>
      </w:pPr>
      <w:r>
        <w:rPr>
          <w:b/>
          <w:i w:val="0"/>
        </w:rPr>
        <w:t>subiciatur.</w:t>
      </w:r>
      <w:r>
        <w:rPr>
          <w:b w:val="0"/>
          <w:i w:val="0"/>
        </w:rPr>
        <w:t xml:space="preserve"> </w:t>
      </w:r>
      <w:hyperlink w:anchor="latin-record-1152">
        <w:r>
          <w:rPr>
            <w:color w:val="000000"/>
          </w:rPr>
          <w:t xml:space="preserve">subdere / subicere</w:t>
        </w:r>
      </w:hyperlink>
      <w:r>
        <w:rPr>
          <w:b w:val="0"/>
          <w:i w:val="0"/>
        </w:rPr>
        <w:t>.</w:t>
      </w:r>
    </w:p>
    <w:p>
      <w:pPr>
        <w:widowControl/>
      </w:pPr>
      <w:r>
        <w:rPr>
          <w:b/>
          <w:i w:val="0"/>
        </w:rPr>
        <w:t>subiecta.</w:t>
      </w:r>
      <w:r>
        <w:rPr>
          <w:b w:val="0"/>
          <w:i w:val="0"/>
        </w:rPr>
        <w:t xml:space="preserve"> </w:t>
      </w:r>
      <w:hyperlink w:anchor="latin-record-1154">
        <w:r>
          <w:rPr>
            <w:color w:val="000000"/>
          </w:rPr>
          <w:t xml:space="preserve">subiectum</w:t>
        </w:r>
      </w:hyperlink>
      <w:r>
        <w:rPr>
          <w:b w:val="0"/>
          <w:i w:val="0"/>
        </w:rPr>
        <w:t>.</w:t>
      </w:r>
    </w:p>
    <w:p>
      <w:pPr>
        <w:widowControl/>
      </w:pPr>
      <w:r>
        <w:rPr>
          <w:b/>
          <w:i w:val="0"/>
        </w:rPr>
        <w:t>subiecti.</w:t>
      </w:r>
      <w:r>
        <w:rPr>
          <w:b w:val="0"/>
          <w:i w:val="0"/>
        </w:rPr>
        <w:t xml:space="preserve"> </w:t>
      </w:r>
      <w:hyperlink w:anchor="latin-record-1154">
        <w:r>
          <w:rPr>
            <w:color w:val="000000"/>
          </w:rPr>
          <w:t xml:space="preserve">subiectum</w:t>
        </w:r>
      </w:hyperlink>
      <w:r>
        <w:rPr>
          <w:b w:val="0"/>
          <w:i w:val="0"/>
        </w:rPr>
        <w:t>.</w:t>
      </w:r>
    </w:p>
    <w:p>
      <w:pPr>
        <w:widowControl/>
      </w:pPr>
      <w:r>
        <w:rPr>
          <w:b/>
          <w:i w:val="0"/>
        </w:rPr>
        <w:t>subiectis.</w:t>
      </w:r>
      <w:r>
        <w:rPr>
          <w:b w:val="0"/>
          <w:i w:val="0"/>
        </w:rPr>
        <w:t xml:space="preserve"> </w:t>
      </w:r>
      <w:hyperlink w:anchor="latin-record-1154">
        <w:r>
          <w:rPr>
            <w:color w:val="000000"/>
          </w:rPr>
          <w:t xml:space="preserve">subiectum</w:t>
        </w:r>
      </w:hyperlink>
      <w:r>
        <w:rPr>
          <w:b w:val="0"/>
          <w:i w:val="0"/>
        </w:rPr>
        <w:t xml:space="preserve">; </w:t>
      </w:r>
      <w:hyperlink w:anchor="latin-record-1155">
        <w:r>
          <w:rPr>
            <w:color w:val="000000"/>
          </w:rPr>
          <w:t xml:space="preserve">subiectus, ruled subject</w:t>
        </w:r>
      </w:hyperlink>
      <w:r>
        <w:rPr>
          <w:b w:val="0"/>
          <w:i w:val="0"/>
        </w:rPr>
        <w:t>.</w:t>
      </w:r>
    </w:p>
    <w:p>
      <w:pPr>
        <w:widowControl/>
      </w:pPr>
      <w:r>
        <w:rPr>
          <w:b/>
          <w:i w:val="0"/>
        </w:rPr>
        <w:t>subiecto.</w:t>
      </w:r>
      <w:r>
        <w:rPr>
          <w:b w:val="0"/>
          <w:i w:val="0"/>
        </w:rPr>
        <w:t xml:space="preserve"> </w:t>
      </w:r>
      <w:hyperlink w:anchor="latin-record-1154">
        <w:r>
          <w:rPr>
            <w:color w:val="000000"/>
          </w:rPr>
          <w:t xml:space="preserve">subiectum</w:t>
        </w:r>
      </w:hyperlink>
      <w:r>
        <w:rPr>
          <w:b w:val="0"/>
          <w:i w:val="0"/>
        </w:rPr>
        <w:t>.</w:t>
      </w:r>
    </w:p>
    <w:p>
      <w:pPr>
        <w:widowControl/>
      </w:pPr>
      <w:r>
        <w:rPr>
          <w:b/>
          <w:i w:val="0"/>
        </w:rPr>
        <w:t>subiectum.</w:t>
      </w:r>
      <w:r>
        <w:rPr>
          <w:b w:val="0"/>
          <w:i w:val="0"/>
        </w:rPr>
        <w:t xml:space="preserve"> </w:t>
      </w:r>
      <w:hyperlink w:anchor="latin-record-1154">
        <w:r>
          <w:rPr>
            <w:color w:val="000000"/>
          </w:rPr>
          <w:t xml:space="preserve">subiectum</w:t>
        </w:r>
      </w:hyperlink>
      <w:r>
        <w:rPr>
          <w:b w:val="0"/>
          <w:i w:val="0"/>
        </w:rPr>
        <w:t>.</w:t>
      </w:r>
    </w:p>
    <w:p>
      <w:pPr>
        <w:widowControl/>
      </w:pPr>
      <w:r>
        <w:rPr>
          <w:b/>
          <w:i w:val="0"/>
        </w:rPr>
        <w:t>subire.</w:t>
      </w:r>
      <w:r>
        <w:rPr>
          <w:b w:val="0"/>
          <w:i w:val="0"/>
        </w:rPr>
        <w:t xml:space="preserve"> </w:t>
      </w:r>
      <w:hyperlink w:anchor="latin-record-1156">
        <w:r>
          <w:rPr>
            <w:color w:val="000000"/>
          </w:rPr>
          <w:t xml:space="preserve">subire</w:t>
        </w:r>
      </w:hyperlink>
      <w:r>
        <w:rPr>
          <w:b w:val="0"/>
          <w:i w:val="0"/>
        </w:rPr>
        <w:t>.</w:t>
      </w:r>
    </w:p>
    <w:p>
      <w:pPr>
        <w:widowControl/>
      </w:pPr>
      <w:r>
        <w:rPr>
          <w:b/>
          <w:i w:val="0"/>
        </w:rPr>
        <w:t>subito.</w:t>
      </w:r>
      <w:r>
        <w:rPr>
          <w:b w:val="0"/>
          <w:i w:val="0"/>
        </w:rPr>
        <w:t xml:space="preserve"> </w:t>
      </w:r>
      <w:hyperlink w:anchor="latin-record-0842">
        <w:r>
          <w:rPr>
            <w:color w:val="000000"/>
          </w:rPr>
          <w:t xml:space="preserve">paulatim / subito / sero</w:t>
        </w:r>
      </w:hyperlink>
      <w:r>
        <w:rPr>
          <w:b w:val="0"/>
          <w:i w:val="0"/>
        </w:rPr>
        <w:t xml:space="preserve">; </w:t>
      </w:r>
      <w:hyperlink w:anchor="latin-record-1157">
        <w:r>
          <w:rPr>
            <w:color w:val="000000"/>
          </w:rPr>
          <w:t xml:space="preserve">subito / paulatim</w:t>
        </w:r>
      </w:hyperlink>
      <w:r>
        <w:rPr>
          <w:b w:val="0"/>
          <w:i w:val="0"/>
        </w:rPr>
        <w:t>.</w:t>
      </w:r>
    </w:p>
    <w:p>
      <w:pPr>
        <w:widowControl/>
      </w:pPr>
      <w:r>
        <w:rPr>
          <w:b/>
          <w:i w:val="0"/>
        </w:rPr>
        <w:t>sublata.</w:t>
      </w:r>
      <w:r>
        <w:rPr>
          <w:b w:val="0"/>
          <w:i w:val="0"/>
        </w:rPr>
        <w:t xml:space="preserve"> </w:t>
      </w:r>
      <w:hyperlink w:anchor="latin-record-0448">
        <w:r>
          <w:rPr>
            <w:color w:val="000000"/>
          </w:rPr>
          <w:t xml:space="preserve">fingo and removed members</w:t>
        </w:r>
      </w:hyperlink>
      <w:r>
        <w:rPr>
          <w:b w:val="0"/>
          <w:i w:val="0"/>
        </w:rPr>
        <w:t xml:space="preserve">; </w:t>
      </w:r>
      <w:hyperlink w:anchor="latin-record-1153">
        <w:r>
          <w:rPr>
            <w:color w:val="000000"/>
          </w:rPr>
          <w:t xml:space="preserve">subicere / tollere / removere</w:t>
        </w:r>
      </w:hyperlink>
      <w:r>
        <w:rPr>
          <w:b w:val="0"/>
          <w:i w:val="0"/>
        </w:rPr>
        <w:t>.</w:t>
      </w:r>
    </w:p>
    <w:p>
      <w:pPr>
        <w:widowControl/>
      </w:pPr>
      <w:r>
        <w:rPr>
          <w:b/>
          <w:i w:val="0"/>
        </w:rPr>
        <w:t>Sublata.</w:t>
      </w:r>
      <w:r>
        <w:rPr>
          <w:b w:val="0"/>
          <w:i w:val="0"/>
        </w:rPr>
        <w:t xml:space="preserve"> </w:t>
      </w:r>
      <w:hyperlink w:anchor="latin-record-1158">
        <w:r>
          <w:rPr>
            <w:color w:val="000000"/>
          </w:rPr>
          <w:t xml:space="preserve">sublatus</w:t>
        </w:r>
      </w:hyperlink>
      <w:r>
        <w:rPr>
          <w:b w:val="0"/>
          <w:i w:val="0"/>
        </w:rPr>
        <w:t>.</w:t>
      </w:r>
    </w:p>
    <w:p>
      <w:pPr>
        <w:widowControl/>
      </w:pPr>
      <w:r>
        <w:rPr>
          <w:b/>
          <w:i w:val="0"/>
        </w:rPr>
        <w:t>sublato.</w:t>
      </w:r>
      <w:r>
        <w:rPr>
          <w:b w:val="0"/>
          <w:i w:val="0"/>
        </w:rPr>
        <w:t xml:space="preserve"> </w:t>
      </w:r>
      <w:hyperlink w:anchor="latin-record-1153">
        <w:r>
          <w:rPr>
            <w:color w:val="000000"/>
          </w:rPr>
          <w:t xml:space="preserve">subicere / tollere / removere</w:t>
        </w:r>
      </w:hyperlink>
      <w:r>
        <w:rPr>
          <w:b w:val="0"/>
          <w:i w:val="0"/>
        </w:rPr>
        <w:t>.</w:t>
      </w:r>
    </w:p>
    <w:p>
      <w:pPr>
        <w:widowControl/>
      </w:pPr>
      <w:r>
        <w:rPr>
          <w:b/>
          <w:i w:val="0"/>
        </w:rPr>
        <w:t>submota.</w:t>
      </w:r>
      <w:r>
        <w:rPr>
          <w:b w:val="0"/>
          <w:i w:val="0"/>
        </w:rPr>
        <w:t xml:space="preserve"> </w:t>
      </w:r>
      <w:hyperlink w:anchor="latin-record-1153">
        <w:r>
          <w:rPr>
            <w:color w:val="000000"/>
          </w:rPr>
          <w:t xml:space="preserve">subicere / tollere / removere</w:t>
        </w:r>
      </w:hyperlink>
      <w:r>
        <w:rPr>
          <w:b w:val="0"/>
          <w:i w:val="0"/>
        </w:rPr>
        <w:t>.</w:t>
      </w:r>
    </w:p>
    <w:p>
      <w:pPr>
        <w:widowControl/>
      </w:pPr>
      <w:r>
        <w:rPr>
          <w:b/>
          <w:i w:val="0"/>
        </w:rPr>
        <w:t>subsidio.</w:t>
      </w:r>
      <w:r>
        <w:rPr>
          <w:b w:val="0"/>
          <w:i w:val="0"/>
        </w:rPr>
        <w:t xml:space="preserve"> </w:t>
      </w:r>
      <w:hyperlink w:anchor="latin-record-0118">
        <w:r>
          <w:rPr>
            <w:color w:val="000000"/>
          </w:rPr>
          <w:t xml:space="preserve">auxilium / subsidium</w:t>
        </w:r>
      </w:hyperlink>
      <w:r>
        <w:rPr>
          <w:b w:val="0"/>
          <w:i w:val="0"/>
        </w:rPr>
        <w:t>.</w:t>
      </w:r>
    </w:p>
    <w:p>
      <w:pPr>
        <w:widowControl/>
      </w:pPr>
      <w:r>
        <w:rPr>
          <w:b/>
          <w:i w:val="0"/>
        </w:rPr>
        <w:t>subsistens.</w:t>
      </w:r>
      <w:r>
        <w:rPr>
          <w:b w:val="0"/>
          <w:i w:val="0"/>
        </w:rPr>
        <w:t xml:space="preserve"> </w:t>
      </w:r>
      <w:hyperlink w:anchor="latin-record-0575">
        <w:r>
          <w:rPr>
            <w:color w:val="000000"/>
          </w:rPr>
          <w:t xml:space="preserve">inniti / subsistere</w:t>
        </w:r>
      </w:hyperlink>
      <w:r>
        <w:rPr>
          <w:b w:val="0"/>
          <w:i w:val="0"/>
        </w:rPr>
        <w:t>.</w:t>
      </w:r>
    </w:p>
    <w:p>
      <w:pPr>
        <w:widowControl/>
      </w:pPr>
      <w:r>
        <w:rPr>
          <w:b/>
          <w:i w:val="0"/>
        </w:rPr>
        <w:t>subsistere.</w:t>
      </w:r>
      <w:r>
        <w:rPr>
          <w:b w:val="0"/>
          <w:i w:val="0"/>
        </w:rPr>
        <w:t xml:space="preserve"> </w:t>
      </w:r>
      <w:hyperlink w:anchor="latin-record-0575">
        <w:r>
          <w:rPr>
            <w:color w:val="000000"/>
          </w:rPr>
          <w:t xml:space="preserve">inniti / subsistere</w:t>
        </w:r>
      </w:hyperlink>
      <w:r>
        <w:rPr>
          <w:b w:val="0"/>
          <w:i w:val="0"/>
        </w:rPr>
        <w:t xml:space="preserve">; </w:t>
      </w:r>
      <w:hyperlink w:anchor="latin-record-1159">
        <w:r>
          <w:rPr>
            <w:color w:val="000000"/>
          </w:rPr>
          <w:t xml:space="preserve">subsisto / dependeo</w:t>
        </w:r>
      </w:hyperlink>
      <w:r>
        <w:rPr>
          <w:b w:val="0"/>
          <w:i w:val="0"/>
        </w:rPr>
        <w:t>.</w:t>
      </w:r>
    </w:p>
    <w:p>
      <w:pPr>
        <w:widowControl/>
      </w:pPr>
      <w:r>
        <w:rPr>
          <w:b/>
          <w:i w:val="0"/>
        </w:rPr>
        <w:t>subsistit.</w:t>
      </w:r>
      <w:r>
        <w:rPr>
          <w:b w:val="0"/>
          <w:i w:val="0"/>
        </w:rPr>
        <w:t xml:space="preserve"> </w:t>
      </w:r>
      <w:hyperlink w:anchor="latin-record-0575">
        <w:r>
          <w:rPr>
            <w:color w:val="000000"/>
          </w:rPr>
          <w:t xml:space="preserve">inniti / subsistere</w:t>
        </w:r>
      </w:hyperlink>
      <w:r>
        <w:rPr>
          <w:b w:val="0"/>
          <w:i w:val="0"/>
        </w:rPr>
        <w:t xml:space="preserve">; </w:t>
      </w:r>
      <w:hyperlink w:anchor="latin-record-1159">
        <w:r>
          <w:rPr>
            <w:color w:val="000000"/>
          </w:rPr>
          <w:t xml:space="preserve">subsisto / dependeo</w:t>
        </w:r>
      </w:hyperlink>
      <w:r>
        <w:rPr>
          <w:b w:val="0"/>
          <w:i w:val="0"/>
        </w:rPr>
        <w:t>.</w:t>
      </w:r>
    </w:p>
    <w:p>
      <w:pPr>
        <w:widowControl/>
      </w:pPr>
      <w:r>
        <w:rPr>
          <w:b/>
          <w:i w:val="0"/>
        </w:rPr>
        <w:t>substantia.</w:t>
      </w:r>
      <w:r>
        <w:rPr>
          <w:b w:val="0"/>
          <w:i w:val="0"/>
        </w:rPr>
        <w:t xml:space="preserve"> </w:t>
      </w:r>
      <w:hyperlink w:anchor="latin-record-0384">
        <w:r>
          <w:rPr>
            <w:color w:val="000000"/>
          </w:rPr>
          <w:t xml:space="preserve">essentia / substantia</w:t>
        </w:r>
      </w:hyperlink>
      <w:r>
        <w:rPr>
          <w:b w:val="0"/>
          <w:i w:val="0"/>
        </w:rPr>
        <w:t>.</w:t>
      </w:r>
    </w:p>
    <w:p>
      <w:pPr>
        <w:widowControl/>
      </w:pPr>
      <w:r>
        <w:rPr>
          <w:b/>
          <w:i w:val="0"/>
        </w:rPr>
        <w:t>substantialem.</w:t>
      </w:r>
      <w:r>
        <w:rPr>
          <w:b w:val="0"/>
          <w:i w:val="0"/>
        </w:rPr>
        <w:t xml:space="preserve"> </w:t>
      </w:r>
      <w:hyperlink w:anchor="latin-record-1222">
        <w:r>
          <w:rPr>
            <w:color w:val="000000"/>
          </w:rPr>
          <w:t xml:space="preserve">unitas accidentalis / substantialis</w:t>
        </w:r>
      </w:hyperlink>
      <w:r>
        <w:rPr>
          <w:b w:val="0"/>
          <w:i w:val="0"/>
        </w:rPr>
        <w:t>.</w:t>
      </w:r>
    </w:p>
    <w:p>
      <w:pPr>
        <w:widowControl/>
      </w:pPr>
      <w:r>
        <w:rPr>
          <w:b/>
          <w:i w:val="0"/>
        </w:rPr>
        <w:t>succedit.</w:t>
      </w:r>
      <w:r>
        <w:rPr>
          <w:b w:val="0"/>
          <w:i w:val="0"/>
        </w:rPr>
        <w:t xml:space="preserve"> </w:t>
      </w:r>
      <w:hyperlink w:anchor="latin-record-0076">
        <w:r>
          <w:rPr>
            <w:color w:val="000000"/>
          </w:rPr>
          <w:t xml:space="preserve">antecedere / sequi / praecedere</w:t>
        </w:r>
      </w:hyperlink>
      <w:r>
        <w:rPr>
          <w:b w:val="0"/>
          <w:i w:val="0"/>
        </w:rPr>
        <w:t>.</w:t>
      </w:r>
    </w:p>
    <w:p>
      <w:pPr>
        <w:widowControl/>
      </w:pPr>
      <w:r>
        <w:rPr>
          <w:b/>
          <w:i w:val="0"/>
        </w:rPr>
        <w:t>successio.</w:t>
      </w:r>
      <w:r>
        <w:rPr>
          <w:b w:val="0"/>
          <w:i w:val="0"/>
        </w:rPr>
        <w:t xml:space="preserve"> </w:t>
      </w:r>
      <w:hyperlink w:anchor="latin-record-0777">
        <w:r>
          <w:rPr>
            <w:color w:val="000000"/>
          </w:rPr>
          <w:t xml:space="preserve">nuper / semel / diuturnior / perpetuo / generatio / successio</w:t>
        </w:r>
      </w:hyperlink>
      <w:r>
        <w:rPr>
          <w:b w:val="0"/>
          <w:i w:val="0"/>
        </w:rPr>
        <w:t>.</w:t>
      </w:r>
    </w:p>
    <w:p>
      <w:pPr>
        <w:widowControl/>
      </w:pPr>
      <w:r>
        <w:rPr>
          <w:b/>
          <w:i w:val="0"/>
        </w:rPr>
        <w:t>successione.</w:t>
      </w:r>
      <w:r>
        <w:rPr>
          <w:b w:val="0"/>
          <w:i w:val="0"/>
        </w:rPr>
        <w:t xml:space="preserve"> </w:t>
      </w:r>
      <w:hyperlink w:anchor="latin-record-0480">
        <w:r>
          <w:rPr>
            <w:color w:val="000000"/>
          </w:rPr>
          <w:t xml:space="preserve">generatio / successio</w:t>
        </w:r>
      </w:hyperlink>
      <w:r>
        <w:rPr>
          <w:b w:val="0"/>
          <w:i w:val="0"/>
        </w:rPr>
        <w:t xml:space="preserve">; </w:t>
      </w:r>
      <w:hyperlink w:anchor="latin-record-1160">
        <w:r>
          <w:rPr>
            <w:color w:val="000000"/>
          </w:rPr>
          <w:t xml:space="preserve">successio / curriculum</w:t>
        </w:r>
      </w:hyperlink>
      <w:r>
        <w:rPr>
          <w:b w:val="0"/>
          <w:i w:val="0"/>
        </w:rPr>
        <w:t>.</w:t>
      </w:r>
    </w:p>
    <w:p>
      <w:pPr>
        <w:widowControl/>
      </w:pPr>
      <w:r>
        <w:rPr>
          <w:b/>
          <w:i w:val="0"/>
        </w:rPr>
        <w:t>successione saltem.</w:t>
      </w:r>
      <w:r>
        <w:rPr>
          <w:b w:val="0"/>
          <w:i w:val="0"/>
        </w:rPr>
        <w:t xml:space="preserve"> </w:t>
      </w:r>
      <w:hyperlink w:anchor="latin-record-1162">
        <w:r>
          <w:rPr>
            <w:color w:val="000000"/>
          </w:rPr>
          <w:t xml:space="preserve">successione saltem</w:t>
        </w:r>
      </w:hyperlink>
      <w:r>
        <w:rPr>
          <w:b w:val="0"/>
          <w:i w:val="0"/>
        </w:rPr>
        <w:t>.</w:t>
      </w:r>
    </w:p>
    <w:p>
      <w:pPr>
        <w:widowControl/>
      </w:pPr>
      <w:r>
        <w:rPr>
          <w:b/>
          <w:i w:val="0"/>
        </w:rPr>
        <w:t>sufficere.</w:t>
      </w:r>
      <w:r>
        <w:rPr>
          <w:b w:val="0"/>
          <w:i w:val="0"/>
        </w:rPr>
        <w:t xml:space="preserve"> </w:t>
      </w:r>
      <w:hyperlink w:anchor="latin-record-1164">
        <w:r>
          <w:rPr>
            <w:color w:val="000000"/>
          </w:rPr>
          <w:t xml:space="preserve">sufficere / sufficientia</w:t>
        </w:r>
      </w:hyperlink>
      <w:r>
        <w:rPr>
          <w:b w:val="0"/>
          <w:i w:val="0"/>
        </w:rPr>
        <w:t>.</w:t>
      </w:r>
    </w:p>
    <w:p>
      <w:pPr>
        <w:widowControl/>
      </w:pPr>
      <w:r>
        <w:rPr>
          <w:b/>
          <w:i w:val="0"/>
        </w:rPr>
        <w:t>sufficiens.</w:t>
      </w:r>
      <w:r>
        <w:rPr>
          <w:b w:val="0"/>
          <w:i w:val="0"/>
        </w:rPr>
        <w:t xml:space="preserve"> </w:t>
      </w:r>
      <w:hyperlink w:anchor="latin-record-1164">
        <w:r>
          <w:rPr>
            <w:color w:val="000000"/>
          </w:rPr>
          <w:t xml:space="preserve">sufficere / sufficientia</w:t>
        </w:r>
      </w:hyperlink>
      <w:r>
        <w:rPr>
          <w:b w:val="0"/>
          <w:i w:val="0"/>
        </w:rPr>
        <w:t>.</w:t>
      </w:r>
    </w:p>
    <w:p>
      <w:pPr>
        <w:widowControl/>
      </w:pPr>
      <w:r>
        <w:rPr>
          <w:b/>
          <w:i w:val="0"/>
        </w:rPr>
        <w:t>sufficienter.</w:t>
      </w:r>
      <w:r>
        <w:rPr>
          <w:b w:val="0"/>
          <w:i w:val="0"/>
        </w:rPr>
        <w:t xml:space="preserve"> </w:t>
      </w:r>
      <w:hyperlink w:anchor="latin-record-1165">
        <w:r>
          <w:rPr>
            <w:color w:val="000000"/>
          </w:rPr>
          <w:t xml:space="preserve">sufficientia / sufficienter</w:t>
        </w:r>
      </w:hyperlink>
      <w:r>
        <w:rPr>
          <w:b w:val="0"/>
          <w:i w:val="0"/>
        </w:rPr>
        <w:t>.</w:t>
      </w:r>
    </w:p>
    <w:p>
      <w:pPr>
        <w:widowControl/>
      </w:pPr>
      <w:r>
        <w:rPr>
          <w:b/>
          <w:i w:val="0"/>
        </w:rPr>
        <w:t>sufficientiam.</w:t>
      </w:r>
      <w:r>
        <w:rPr>
          <w:b w:val="0"/>
          <w:i w:val="0"/>
        </w:rPr>
        <w:t xml:space="preserve"> </w:t>
      </w:r>
      <w:hyperlink w:anchor="latin-record-1164">
        <w:r>
          <w:rPr>
            <w:color w:val="000000"/>
          </w:rPr>
          <w:t xml:space="preserve">sufficere / sufficientia</w:t>
        </w:r>
      </w:hyperlink>
      <w:r>
        <w:rPr>
          <w:b w:val="0"/>
          <w:i w:val="0"/>
        </w:rPr>
        <w:t xml:space="preserve">; </w:t>
      </w:r>
      <w:hyperlink w:anchor="latin-record-1165">
        <w:r>
          <w:rPr>
            <w:color w:val="000000"/>
          </w:rPr>
          <w:t xml:space="preserve">sufficientia / sufficienter</w:t>
        </w:r>
      </w:hyperlink>
      <w:r>
        <w:rPr>
          <w:b w:val="0"/>
          <w:i w:val="0"/>
        </w:rPr>
        <w:t>.</w:t>
      </w:r>
    </w:p>
    <w:p>
      <w:pPr>
        <w:widowControl/>
      </w:pPr>
      <w:r>
        <w:rPr>
          <w:b/>
          <w:i w:val="0"/>
        </w:rPr>
        <w:t>sufficiet.</w:t>
      </w:r>
      <w:r>
        <w:rPr>
          <w:b w:val="0"/>
          <w:i w:val="0"/>
        </w:rPr>
        <w:t xml:space="preserve"> </w:t>
      </w:r>
      <w:hyperlink w:anchor="latin-record-1164">
        <w:r>
          <w:rPr>
            <w:color w:val="000000"/>
          </w:rPr>
          <w:t xml:space="preserve">sufficere / sufficientia</w:t>
        </w:r>
      </w:hyperlink>
      <w:r>
        <w:rPr>
          <w:b w:val="0"/>
          <w:i w:val="0"/>
        </w:rPr>
        <w:t>.</w:t>
      </w:r>
    </w:p>
    <w:p>
      <w:pPr>
        <w:widowControl/>
      </w:pPr>
      <w:r>
        <w:rPr>
          <w:b/>
          <w:i w:val="0"/>
        </w:rPr>
        <w:t>sufficit.</w:t>
      </w:r>
      <w:r>
        <w:rPr>
          <w:b w:val="0"/>
          <w:i w:val="0"/>
        </w:rPr>
        <w:t xml:space="preserve"> </w:t>
      </w:r>
      <w:hyperlink w:anchor="latin-record-1163">
        <w:r>
          <w:rPr>
            <w:color w:val="000000"/>
          </w:rPr>
          <w:t xml:space="preserve">sufficere / geminus</w:t>
        </w:r>
      </w:hyperlink>
      <w:r>
        <w:rPr>
          <w:b w:val="0"/>
          <w:i w:val="0"/>
        </w:rPr>
        <w:t>.</w:t>
      </w:r>
    </w:p>
    <w:p>
      <w:pPr>
        <w:widowControl/>
      </w:pPr>
      <w:r>
        <w:rPr>
          <w:b/>
          <w:i w:val="0"/>
        </w:rPr>
        <w:t>suffragantibus.</w:t>
      </w:r>
      <w:r>
        <w:rPr>
          <w:b w:val="0"/>
          <w:i w:val="0"/>
        </w:rPr>
        <w:t xml:space="preserve"> </w:t>
      </w:r>
      <w:hyperlink w:anchor="latin-record-1166">
        <w:r>
          <w:rPr>
            <w:color w:val="000000"/>
          </w:rPr>
          <w:t xml:space="preserve">suffragor</w:t>
        </w:r>
      </w:hyperlink>
      <w:r>
        <w:rPr>
          <w:b w:val="0"/>
          <w:i w:val="0"/>
        </w:rPr>
        <w:t>.</w:t>
      </w:r>
    </w:p>
    <w:p>
      <w:pPr>
        <w:widowControl/>
      </w:pPr>
      <w:r>
        <w:rPr>
          <w:b/>
          <w:i w:val="0"/>
        </w:rPr>
        <w:t>sui gratia.</w:t>
      </w:r>
      <w:r>
        <w:rPr>
          <w:b w:val="0"/>
          <w:i w:val="0"/>
        </w:rPr>
        <w:t xml:space="preserve"> </w:t>
      </w:r>
      <w:hyperlink w:anchor="latin-record-0489">
        <w:r>
          <w:rPr>
            <w:color w:val="000000"/>
          </w:rPr>
          <w:t xml:space="preserve">gratia — purpose</w:t>
        </w:r>
      </w:hyperlink>
      <w:r>
        <w:rPr>
          <w:b w:val="0"/>
          <w:i w:val="0"/>
        </w:rPr>
        <w:t>.</w:t>
      </w:r>
    </w:p>
    <w:p>
      <w:pPr>
        <w:widowControl/>
      </w:pPr>
      <w:r>
        <w:rPr>
          <w:b/>
          <w:i w:val="0"/>
        </w:rPr>
        <w:t>sui iuris.</w:t>
      </w:r>
      <w:r>
        <w:rPr>
          <w:b w:val="0"/>
          <w:i w:val="0"/>
        </w:rPr>
        <w:t xml:space="preserve"> </w:t>
      </w:r>
      <w:hyperlink w:anchor="latin-record-1167">
        <w:r>
          <w:rPr>
            <w:color w:val="000000"/>
          </w:rPr>
          <w:t xml:space="preserve">sui iuris</w:t>
        </w:r>
      </w:hyperlink>
      <w:r>
        <w:rPr>
          <w:b w:val="0"/>
          <w:i w:val="0"/>
        </w:rPr>
        <w:t>.</w:t>
      </w:r>
    </w:p>
    <w:p>
      <w:pPr>
        <w:widowControl/>
      </w:pPr>
      <w:r>
        <w:rPr>
          <w:b/>
          <w:i w:val="0"/>
        </w:rPr>
        <w:t>sulfur.</w:t>
      </w:r>
      <w:r>
        <w:rPr>
          <w:b w:val="0"/>
          <w:i w:val="0"/>
        </w:rPr>
        <w:t xml:space="preserve"> </w:t>
      </w:r>
      <w:hyperlink w:anchor="latin-record-1168">
        <w:r>
          <w:rPr>
            <w:color w:val="000000"/>
          </w:rPr>
          <w:t xml:space="preserve">sulfur / quasi spiritalia</w:t>
        </w:r>
      </w:hyperlink>
      <w:r>
        <w:rPr>
          <w:b w:val="0"/>
          <w:i w:val="0"/>
        </w:rPr>
        <w:t>.</w:t>
      </w:r>
    </w:p>
    <w:p>
      <w:pPr>
        <w:widowControl/>
      </w:pPr>
      <w:r>
        <w:rPr>
          <w:b/>
          <w:i w:val="0"/>
        </w:rPr>
        <w:t>summa.</w:t>
      </w:r>
      <w:r>
        <w:rPr>
          <w:b w:val="0"/>
          <w:i w:val="0"/>
        </w:rPr>
        <w:t xml:space="preserve"> </w:t>
      </w:r>
      <w:hyperlink w:anchor="latin-record-0924">
        <w:r>
          <w:rPr>
            <w:color w:val="000000"/>
          </w:rPr>
          <w:t xml:space="preserve">primum / summum / ultimum</w:t>
        </w:r>
      </w:hyperlink>
      <w:r>
        <w:rPr>
          <w:b w:val="0"/>
          <w:i w:val="0"/>
        </w:rPr>
        <w:t xml:space="preserve">; </w:t>
      </w:r>
      <w:hyperlink w:anchor="latin-record-1169">
        <w:r>
          <w:rPr>
            <w:color w:val="000000"/>
          </w:rPr>
          <w:t xml:space="preserve">summus / summum</w:t>
        </w:r>
      </w:hyperlink>
      <w:r>
        <w:rPr>
          <w:b w:val="0"/>
          <w:i w:val="0"/>
        </w:rPr>
        <w:t>.</w:t>
      </w:r>
    </w:p>
    <w:p>
      <w:pPr>
        <w:widowControl/>
      </w:pPr>
      <w:r>
        <w:rPr>
          <w:b/>
          <w:i w:val="0"/>
        </w:rPr>
        <w:t>summae.</w:t>
      </w:r>
      <w:r>
        <w:rPr>
          <w:b w:val="0"/>
          <w:i w:val="0"/>
        </w:rPr>
        <w:t xml:space="preserve"> </w:t>
      </w:r>
      <w:hyperlink w:anchor="latin-record-1169">
        <w:r>
          <w:rPr>
            <w:color w:val="000000"/>
          </w:rPr>
          <w:t xml:space="preserve">summus / summum</w:t>
        </w:r>
      </w:hyperlink>
      <w:r>
        <w:rPr>
          <w:b w:val="0"/>
          <w:i w:val="0"/>
        </w:rPr>
        <w:t>.</w:t>
      </w:r>
    </w:p>
    <w:p>
      <w:pPr>
        <w:widowControl/>
      </w:pPr>
      <w:r>
        <w:rPr>
          <w:b/>
          <w:i w:val="0"/>
        </w:rPr>
        <w:t>summam.</w:t>
      </w:r>
      <w:r>
        <w:rPr>
          <w:b w:val="0"/>
          <w:i w:val="0"/>
        </w:rPr>
        <w:t xml:space="preserve"> </w:t>
      </w:r>
      <w:hyperlink w:anchor="latin-record-0924">
        <w:r>
          <w:rPr>
            <w:color w:val="000000"/>
          </w:rPr>
          <w:t xml:space="preserve">primum / summum / ultimum</w:t>
        </w:r>
      </w:hyperlink>
      <w:r>
        <w:rPr>
          <w:b w:val="0"/>
          <w:i w:val="0"/>
        </w:rPr>
        <w:t>.</w:t>
      </w:r>
    </w:p>
    <w:p>
      <w:pPr>
        <w:widowControl/>
      </w:pPr>
      <w:r>
        <w:rPr>
          <w:b/>
          <w:i w:val="0"/>
        </w:rPr>
        <w:t>summatim.</w:t>
      </w:r>
      <w:r>
        <w:rPr>
          <w:b w:val="0"/>
          <w:i w:val="0"/>
        </w:rPr>
        <w:t xml:space="preserve"> </w:t>
      </w:r>
      <w:hyperlink w:anchor="latin-record-0373">
        <w:r>
          <w:rPr>
            <w:color w:val="000000"/>
          </w:rPr>
          <w:t xml:space="preserve">enumerare / gradatim / summatim</w:t>
        </w:r>
      </w:hyperlink>
      <w:r>
        <w:rPr>
          <w:b w:val="0"/>
          <w:i w:val="0"/>
        </w:rPr>
        <w:t xml:space="preserve">; </w:t>
      </w:r>
      <w:hyperlink w:anchor="latin-record-1014">
        <w:r>
          <w:rPr>
            <w:color w:val="000000"/>
          </w:rPr>
          <w:t xml:space="preserve">quinque sensus / singulatim / summatim</w:t>
        </w:r>
      </w:hyperlink>
      <w:r>
        <w:rPr>
          <w:b w:val="0"/>
          <w:i w:val="0"/>
        </w:rPr>
        <w:t>.</w:t>
      </w:r>
    </w:p>
    <w:p>
      <w:pPr>
        <w:widowControl/>
      </w:pPr>
      <w:r>
        <w:rPr>
          <w:b/>
          <w:i w:val="0"/>
        </w:rPr>
        <w:t>summopere.</w:t>
      </w:r>
      <w:r>
        <w:rPr>
          <w:b w:val="0"/>
          <w:i w:val="0"/>
        </w:rPr>
        <w:t xml:space="preserve"> </w:t>
      </w:r>
      <w:hyperlink w:anchor="latin-record-0900">
        <w:r>
          <w:rPr>
            <w:color w:val="000000"/>
          </w:rPr>
          <w:t xml:space="preserve">potissimum / summopere / penitus / prorsus / late</w:t>
        </w:r>
      </w:hyperlink>
      <w:r>
        <w:rPr>
          <w:b w:val="0"/>
          <w:i w:val="0"/>
        </w:rPr>
        <w:t>.</w:t>
      </w:r>
    </w:p>
    <w:p>
      <w:pPr>
        <w:widowControl/>
      </w:pPr>
      <w:r>
        <w:rPr>
          <w:b/>
          <w:i w:val="0"/>
        </w:rPr>
        <w:t>summum.</w:t>
      </w:r>
      <w:r>
        <w:rPr>
          <w:b w:val="0"/>
          <w:i w:val="0"/>
        </w:rPr>
        <w:t xml:space="preserve"> </w:t>
      </w:r>
      <w:hyperlink w:anchor="latin-record-1169">
        <w:r>
          <w:rPr>
            <w:color w:val="000000"/>
          </w:rPr>
          <w:t xml:space="preserve">summus / summum</w:t>
        </w:r>
      </w:hyperlink>
      <w:r>
        <w:rPr>
          <w:b w:val="0"/>
          <w:i w:val="0"/>
        </w:rPr>
        <w:t>.</w:t>
      </w:r>
    </w:p>
    <w:p>
      <w:pPr>
        <w:widowControl/>
      </w:pPr>
      <w:r>
        <w:rPr>
          <w:b/>
          <w:i w:val="0"/>
        </w:rPr>
        <w:t>summus.</w:t>
      </w:r>
      <w:r>
        <w:rPr>
          <w:b w:val="0"/>
          <w:i w:val="0"/>
        </w:rPr>
        <w:t xml:space="preserve"> </w:t>
      </w:r>
      <w:hyperlink w:anchor="latin-record-1169">
        <w:r>
          <w:rPr>
            <w:color w:val="000000"/>
          </w:rPr>
          <w:t xml:space="preserve">summus / summum</w:t>
        </w:r>
      </w:hyperlink>
      <w:r>
        <w:rPr>
          <w:b w:val="0"/>
          <w:i w:val="0"/>
        </w:rPr>
        <w:t>.</w:t>
      </w:r>
    </w:p>
    <w:p>
      <w:pPr>
        <w:widowControl/>
      </w:pPr>
      <w:r>
        <w:rPr>
          <w:b/>
          <w:i w:val="0"/>
        </w:rPr>
        <w:t>super omne.</w:t>
      </w:r>
      <w:r>
        <w:rPr>
          <w:b w:val="0"/>
          <w:i w:val="0"/>
        </w:rPr>
        <w:t xml:space="preserve"> </w:t>
      </w:r>
      <w:hyperlink w:anchor="latin-record-1170">
        <w:r>
          <w:rPr>
            <w:color w:val="000000"/>
          </w:rPr>
          <w:t xml:space="preserve">super omne / sub omni</w:t>
        </w:r>
      </w:hyperlink>
      <w:r>
        <w:rPr>
          <w:b w:val="0"/>
          <w:i w:val="0"/>
        </w:rPr>
        <w:t>.</w:t>
      </w:r>
    </w:p>
    <w:p>
      <w:pPr>
        <w:widowControl/>
      </w:pPr>
      <w:r>
        <w:rPr>
          <w:b/>
          <w:i w:val="0"/>
        </w:rPr>
        <w:t>superabit.</w:t>
      </w:r>
      <w:r>
        <w:rPr>
          <w:b w:val="0"/>
          <w:i w:val="0"/>
        </w:rPr>
        <w:t xml:space="preserve"> </w:t>
      </w:r>
      <w:hyperlink w:anchor="latin-record-0393">
        <w:r>
          <w:rPr>
            <w:color w:val="000000"/>
          </w:rPr>
          <w:t xml:space="preserve">excedere / superare</w:t>
        </w:r>
      </w:hyperlink>
      <w:r>
        <w:rPr>
          <w:b w:val="0"/>
          <w:i w:val="0"/>
        </w:rPr>
        <w:t>.</w:t>
      </w:r>
    </w:p>
    <w:p>
      <w:pPr>
        <w:widowControl/>
      </w:pPr>
      <w:r>
        <w:rPr>
          <w:b/>
          <w:i w:val="0"/>
        </w:rPr>
        <w:t>superant.</w:t>
      </w:r>
      <w:r>
        <w:rPr>
          <w:b w:val="0"/>
          <w:i w:val="0"/>
        </w:rPr>
        <w:t xml:space="preserve"> </w:t>
      </w:r>
      <w:hyperlink w:anchor="latin-record-0393">
        <w:r>
          <w:rPr>
            <w:color w:val="000000"/>
          </w:rPr>
          <w:t xml:space="preserve">excedere / superare</w:t>
        </w:r>
      </w:hyperlink>
      <w:r>
        <w:rPr>
          <w:b w:val="0"/>
          <w:i w:val="0"/>
        </w:rPr>
        <w:t>.</w:t>
      </w:r>
    </w:p>
    <w:p>
      <w:pPr>
        <w:widowControl/>
      </w:pPr>
      <w:r>
        <w:rPr>
          <w:b/>
          <w:i w:val="0"/>
        </w:rPr>
        <w:t>superantes.</w:t>
      </w:r>
      <w:r>
        <w:rPr>
          <w:b w:val="0"/>
          <w:i w:val="0"/>
        </w:rPr>
        <w:t xml:space="preserve"> </w:t>
      </w:r>
      <w:hyperlink w:anchor="latin-record-0393">
        <w:r>
          <w:rPr>
            <w:color w:val="000000"/>
          </w:rPr>
          <w:t xml:space="preserve">excedere / superare</w:t>
        </w:r>
      </w:hyperlink>
      <w:r>
        <w:rPr>
          <w:b w:val="0"/>
          <w:i w:val="0"/>
        </w:rPr>
        <w:t>.</w:t>
      </w:r>
    </w:p>
    <w:p>
      <w:pPr>
        <w:widowControl/>
      </w:pPr>
      <w:r>
        <w:rPr>
          <w:b/>
          <w:i w:val="0"/>
        </w:rPr>
        <w:t>superat.</w:t>
      </w:r>
      <w:r>
        <w:rPr>
          <w:b w:val="0"/>
          <w:i w:val="0"/>
        </w:rPr>
        <w:t xml:space="preserve"> </w:t>
      </w:r>
      <w:hyperlink w:anchor="latin-record-0666">
        <w:r>
          <w:rPr>
            <w:color w:val="000000"/>
          </w:rPr>
          <w:t xml:space="preserve">maior range of causal giving</w:t>
        </w:r>
      </w:hyperlink>
      <w:r>
        <w:rPr>
          <w:b w:val="0"/>
          <w:i w:val="0"/>
        </w:rPr>
        <w:t xml:space="preserve">; </w:t>
      </w:r>
      <w:hyperlink w:anchor="latin-record-1171">
        <w:r>
          <w:rPr>
            <w:color w:val="000000"/>
          </w:rPr>
          <w:t xml:space="preserve">superare / e converso</w:t>
        </w:r>
      </w:hyperlink>
      <w:r>
        <w:rPr>
          <w:b w:val="0"/>
          <w:i w:val="0"/>
        </w:rPr>
        <w:t>.</w:t>
      </w:r>
    </w:p>
    <w:p>
      <w:pPr>
        <w:widowControl/>
      </w:pPr>
      <w:r>
        <w:rPr>
          <w:b/>
          <w:i w:val="0"/>
        </w:rPr>
        <w:t>superesse.</w:t>
      </w:r>
      <w:r>
        <w:rPr>
          <w:b w:val="0"/>
          <w:i w:val="0"/>
        </w:rPr>
        <w:t xml:space="preserve"> </w:t>
      </w:r>
      <w:hyperlink w:anchor="latin-record-1172">
        <w:r>
          <w:rPr>
            <w:color w:val="000000"/>
          </w:rPr>
          <w:t xml:space="preserve">superesse / discedere</w:t>
        </w:r>
      </w:hyperlink>
      <w:r>
        <w:rPr>
          <w:b w:val="0"/>
          <w:i w:val="0"/>
        </w:rPr>
        <w:t>.</w:t>
      </w:r>
    </w:p>
    <w:p>
      <w:pPr>
        <w:widowControl/>
      </w:pPr>
      <w:r>
        <w:rPr>
          <w:b/>
          <w:i w:val="0"/>
        </w:rPr>
        <w:t>superest.</w:t>
      </w:r>
      <w:r>
        <w:rPr>
          <w:b w:val="0"/>
          <w:i w:val="0"/>
        </w:rPr>
        <w:t xml:space="preserve"> </w:t>
      </w:r>
      <w:hyperlink w:anchor="latin-record-1228">
        <w:r>
          <w:rPr>
            <w:color w:val="000000"/>
          </w:rPr>
          <w:t xml:space="preserve">usurpare / superesse</w:t>
        </w:r>
      </w:hyperlink>
      <w:r>
        <w:rPr>
          <w:b w:val="0"/>
          <w:i w:val="0"/>
        </w:rPr>
        <w:t>.</w:t>
      </w:r>
    </w:p>
    <w:p>
      <w:pPr>
        <w:widowControl/>
      </w:pPr>
      <w:r>
        <w:rPr>
          <w:b/>
          <w:i w:val="0"/>
        </w:rPr>
        <w:t>superficiem.</w:t>
      </w:r>
      <w:r>
        <w:rPr>
          <w:b w:val="0"/>
          <w:i w:val="0"/>
        </w:rPr>
        <w:t xml:space="preserve"> </w:t>
      </w:r>
      <w:hyperlink w:anchor="latin-record-1173">
        <w:r>
          <w:rPr>
            <w:color w:val="000000"/>
          </w:rPr>
          <w:t xml:space="preserve">superficies / fundus</w:t>
        </w:r>
      </w:hyperlink>
      <w:r>
        <w:rPr>
          <w:b w:val="0"/>
          <w:i w:val="0"/>
        </w:rPr>
        <w:t>.</w:t>
      </w:r>
    </w:p>
    <w:p>
      <w:pPr>
        <w:widowControl/>
      </w:pPr>
      <w:r>
        <w:rPr>
          <w:b/>
          <w:i w:val="0"/>
        </w:rPr>
        <w:t>superfluus.</w:t>
      </w:r>
      <w:r>
        <w:rPr>
          <w:b w:val="0"/>
          <w:i w:val="0"/>
        </w:rPr>
        <w:t xml:space="preserve"> </w:t>
      </w:r>
      <w:hyperlink w:anchor="latin-record-0476">
        <w:r>
          <w:rPr>
            <w:color w:val="000000"/>
          </w:rPr>
          <w:t xml:space="preserve">frustra / superfluus</w:t>
        </w:r>
      </w:hyperlink>
      <w:r>
        <w:rPr>
          <w:b w:val="0"/>
          <w:i w:val="0"/>
        </w:rPr>
        <w:t>.</w:t>
      </w:r>
    </w:p>
    <w:p>
      <w:pPr>
        <w:widowControl/>
      </w:pPr>
      <w:r>
        <w:rPr>
          <w:b/>
          <w:i w:val="0"/>
        </w:rPr>
        <w:t>superior.</w:t>
      </w:r>
      <w:r>
        <w:rPr>
          <w:b w:val="0"/>
          <w:i w:val="0"/>
        </w:rPr>
        <w:t xml:space="preserve"> </w:t>
      </w:r>
      <w:hyperlink w:anchor="latin-record-1174">
        <w:r>
          <w:rPr>
            <w:color w:val="000000"/>
          </w:rPr>
          <w:t xml:space="preserve">superior / inferior</w:t>
        </w:r>
      </w:hyperlink>
      <w:r>
        <w:rPr>
          <w:b w:val="0"/>
          <w:i w:val="0"/>
        </w:rPr>
        <w:t>.</w:t>
      </w:r>
    </w:p>
    <w:p>
      <w:pPr>
        <w:widowControl/>
      </w:pPr>
      <w:r>
        <w:rPr>
          <w:b/>
          <w:i w:val="0"/>
        </w:rPr>
        <w:t>superiore.</w:t>
      </w:r>
      <w:r>
        <w:rPr>
          <w:b w:val="0"/>
          <w:i w:val="0"/>
        </w:rPr>
        <w:t xml:space="preserve"> </w:t>
      </w:r>
      <w:hyperlink w:anchor="latin-record-1174">
        <w:r>
          <w:rPr>
            <w:color w:val="000000"/>
          </w:rPr>
          <w:t xml:space="preserve">superior / inferior</w:t>
        </w:r>
      </w:hyperlink>
      <w:r>
        <w:rPr>
          <w:b w:val="0"/>
          <w:i w:val="0"/>
        </w:rPr>
        <w:t>.</w:t>
      </w:r>
    </w:p>
    <w:p>
      <w:pPr>
        <w:widowControl/>
      </w:pPr>
      <w:r>
        <w:rPr>
          <w:b/>
          <w:i w:val="0"/>
        </w:rPr>
        <w:t>superioribus.</w:t>
      </w:r>
      <w:r>
        <w:rPr>
          <w:b w:val="0"/>
          <w:i w:val="0"/>
        </w:rPr>
        <w:t xml:space="preserve"> </w:t>
      </w:r>
      <w:hyperlink w:anchor="latin-record-1174">
        <w:r>
          <w:rPr>
            <w:color w:val="000000"/>
          </w:rPr>
          <w:t xml:space="preserve">superior / inferior</w:t>
        </w:r>
      </w:hyperlink>
      <w:r>
        <w:rPr>
          <w:b w:val="0"/>
          <w:i w:val="0"/>
        </w:rPr>
        <w:t>.</w:t>
      </w:r>
    </w:p>
    <w:p>
      <w:pPr>
        <w:widowControl/>
      </w:pPr>
      <w:r>
        <w:rPr>
          <w:b/>
          <w:i w:val="0"/>
        </w:rPr>
        <w:t>superioris.</w:t>
      </w:r>
      <w:r>
        <w:rPr>
          <w:b w:val="0"/>
          <w:i w:val="0"/>
        </w:rPr>
        <w:t xml:space="preserve"> </w:t>
      </w:r>
      <w:hyperlink w:anchor="latin-record-1174">
        <w:r>
          <w:rPr>
            <w:color w:val="000000"/>
          </w:rPr>
          <w:t xml:space="preserve">superior / inferior</w:t>
        </w:r>
      </w:hyperlink>
      <w:r>
        <w:rPr>
          <w:b w:val="0"/>
          <w:i w:val="0"/>
        </w:rPr>
        <w:t>.</w:t>
      </w:r>
    </w:p>
    <w:p>
      <w:pPr>
        <w:widowControl/>
      </w:pPr>
      <w:r>
        <w:rPr>
          <w:b/>
          <w:i w:val="0"/>
        </w:rPr>
        <w:t>supra.</w:t>
      </w:r>
      <w:r>
        <w:rPr>
          <w:b w:val="0"/>
          <w:i w:val="0"/>
        </w:rPr>
        <w:t xml:space="preserve"> </w:t>
      </w:r>
      <w:hyperlink w:anchor="latin-record-0901">
        <w:r>
          <w:rPr>
            <w:color w:val="000000"/>
          </w:rPr>
          <w:t xml:space="preserve">prae / post / infra / supra</w:t>
        </w:r>
      </w:hyperlink>
      <w:r>
        <w:rPr>
          <w:b w:val="0"/>
          <w:i w:val="0"/>
        </w:rPr>
        <w:t>.</w:t>
      </w:r>
    </w:p>
    <w:p>
      <w:pPr>
        <w:widowControl/>
      </w:pPr>
      <w:r>
        <w:rPr>
          <w:b/>
          <w:i w:val="0"/>
        </w:rPr>
        <w:t>sursum.</w:t>
      </w:r>
      <w:r>
        <w:rPr>
          <w:b w:val="0"/>
          <w:i w:val="0"/>
        </w:rPr>
        <w:t xml:space="preserve"> </w:t>
      </w:r>
      <w:hyperlink w:anchor="latin-record-0313">
        <w:r>
          <w:rPr>
            <w:color w:val="000000"/>
          </w:rPr>
          <w:t xml:space="preserve">dextra / sinistra / sursum / deorsum</w:t>
        </w:r>
      </w:hyperlink>
      <w:r>
        <w:rPr>
          <w:b w:val="0"/>
          <w:i w:val="0"/>
        </w:rPr>
        <w:t xml:space="preserve">; </w:t>
      </w:r>
      <w:hyperlink w:anchor="latin-record-1176">
        <w:r>
          <w:rPr>
            <w:color w:val="000000"/>
          </w:rPr>
          <w:t xml:space="preserve">sursum / deorsum</w:t>
        </w:r>
      </w:hyperlink>
      <w:r>
        <w:rPr>
          <w:b w:val="0"/>
          <w:i w:val="0"/>
        </w:rPr>
        <w:t>.</w:t>
      </w:r>
    </w:p>
    <w:p>
      <w:pPr>
        <w:widowControl/>
      </w:pPr>
      <w:r>
        <w:rPr>
          <w:b/>
          <w:i w:val="0"/>
        </w:rPr>
        <w:t>susceptiva.</w:t>
      </w:r>
      <w:r>
        <w:rPr>
          <w:b w:val="0"/>
          <w:i w:val="0"/>
        </w:rPr>
        <w:t xml:space="preserve"> </w:t>
      </w:r>
      <w:hyperlink w:anchor="latin-record-1177">
        <w:r>
          <w:rPr>
            <w:color w:val="000000"/>
          </w:rPr>
          <w:t xml:space="preserve">susceptivus / passivus</w:t>
        </w:r>
      </w:hyperlink>
      <w:r>
        <w:rPr>
          <w:b w:val="0"/>
          <w:i w:val="0"/>
        </w:rPr>
        <w:t>.</w:t>
      </w:r>
    </w:p>
    <w:p>
      <w:pPr>
        <w:widowControl/>
      </w:pPr>
      <w:r>
        <w:rPr>
          <w:b/>
          <w:i w:val="0"/>
        </w:rPr>
        <w:t>susceptivam.</w:t>
      </w:r>
      <w:r>
        <w:rPr>
          <w:b w:val="0"/>
          <w:i w:val="0"/>
        </w:rPr>
        <w:t xml:space="preserve"> </w:t>
      </w:r>
      <w:hyperlink w:anchor="latin-record-1177">
        <w:r>
          <w:rPr>
            <w:color w:val="000000"/>
          </w:rPr>
          <w:t xml:space="preserve">susceptivus / passivus</w:t>
        </w:r>
      </w:hyperlink>
      <w:r>
        <w:rPr>
          <w:b w:val="0"/>
          <w:i w:val="0"/>
        </w:rPr>
        <w:t>.</w:t>
      </w:r>
    </w:p>
    <w:p>
      <w:pPr>
        <w:widowControl/>
      </w:pPr>
      <w:r>
        <w:rPr>
          <w:b/>
          <w:i w:val="0"/>
        </w:rPr>
        <w:t>suscipere.</w:t>
      </w:r>
      <w:r>
        <w:rPr>
          <w:b w:val="0"/>
          <w:i w:val="0"/>
        </w:rPr>
        <w:t xml:space="preserve"> </w:t>
      </w:r>
      <w:hyperlink w:anchor="latin-record-1178">
        <w:r>
          <w:rPr>
            <w:color w:val="000000"/>
          </w:rPr>
          <w:t xml:space="preserve">suscipere</w:t>
        </w:r>
      </w:hyperlink>
      <w:r>
        <w:rPr>
          <w:b w:val="0"/>
          <w:i w:val="0"/>
        </w:rPr>
        <w:t>.</w:t>
      </w:r>
    </w:p>
    <w:p>
      <w:pPr>
        <w:widowControl/>
      </w:pPr>
      <w:r>
        <w:rPr>
          <w:b/>
          <w:i w:val="0"/>
        </w:rPr>
        <w:t>suscipiendas.</w:t>
      </w:r>
      <w:r>
        <w:rPr>
          <w:b w:val="0"/>
          <w:i w:val="0"/>
        </w:rPr>
        <w:t xml:space="preserve"> </w:t>
      </w:r>
      <w:hyperlink w:anchor="latin-record-0356">
        <w:r>
          <w:rPr>
            <w:color w:val="000000"/>
          </w:rPr>
          <w:t xml:space="preserve">e regione / suscipere</w:t>
        </w:r>
      </w:hyperlink>
      <w:r>
        <w:rPr>
          <w:b w:val="0"/>
          <w:i w:val="0"/>
        </w:rPr>
        <w:t>.</w:t>
      </w:r>
    </w:p>
    <w:p>
      <w:pPr>
        <w:widowControl/>
      </w:pPr>
      <w:r>
        <w:rPr>
          <w:b/>
          <w:i w:val="0"/>
        </w:rPr>
        <w:t>suscipiendum.</w:t>
      </w:r>
      <w:r>
        <w:rPr>
          <w:b w:val="0"/>
          <w:i w:val="0"/>
        </w:rPr>
        <w:t xml:space="preserve"> </w:t>
      </w:r>
      <w:hyperlink w:anchor="latin-record-0009">
        <w:r>
          <w:rPr>
            <w:color w:val="000000"/>
          </w:rPr>
          <w:t xml:space="preserve">accipere / capere / suscipere</w:t>
        </w:r>
      </w:hyperlink>
      <w:r>
        <w:rPr>
          <w:b w:val="0"/>
          <w:i w:val="0"/>
        </w:rPr>
        <w:t>.</w:t>
      </w:r>
    </w:p>
    <w:p>
      <w:pPr>
        <w:widowControl/>
      </w:pPr>
      <w:r>
        <w:rPr>
          <w:b/>
          <w:i w:val="0"/>
        </w:rPr>
        <w:t>suscipit.</w:t>
      </w:r>
      <w:r>
        <w:rPr>
          <w:b w:val="0"/>
          <w:i w:val="0"/>
        </w:rPr>
        <w:t xml:space="preserve"> </w:t>
      </w:r>
      <w:hyperlink w:anchor="latin-record-0009">
        <w:r>
          <w:rPr>
            <w:color w:val="000000"/>
          </w:rPr>
          <w:t xml:space="preserve">accipere / capere / suscipere</w:t>
        </w:r>
      </w:hyperlink>
      <w:r>
        <w:rPr>
          <w:b w:val="0"/>
          <w:i w:val="0"/>
        </w:rPr>
        <w:t xml:space="preserve">; </w:t>
      </w:r>
      <w:hyperlink w:anchor="latin-record-1178">
        <w:r>
          <w:rPr>
            <w:color w:val="000000"/>
          </w:rPr>
          <w:t xml:space="preserve">suscipere</w:t>
        </w:r>
      </w:hyperlink>
      <w:r>
        <w:rPr>
          <w:b w:val="0"/>
          <w:i w:val="0"/>
        </w:rPr>
        <w:t>.</w:t>
      </w:r>
    </w:p>
    <w:p>
      <w:pPr>
        <w:widowControl/>
      </w:pPr>
      <w:r>
        <w:rPr>
          <w:b/>
          <w:i w:val="0"/>
        </w:rPr>
        <w:t>suscipitur.</w:t>
      </w:r>
      <w:r>
        <w:rPr>
          <w:b w:val="0"/>
          <w:i w:val="0"/>
        </w:rPr>
        <w:t xml:space="preserve"> </w:t>
      </w:r>
      <w:hyperlink w:anchor="latin-record-1178">
        <w:r>
          <w:rPr>
            <w:color w:val="000000"/>
          </w:rPr>
          <w:t xml:space="preserve">suscipere</w:t>
        </w:r>
      </w:hyperlink>
      <w:r>
        <w:rPr>
          <w:b w:val="0"/>
          <w:i w:val="0"/>
        </w:rPr>
        <w:t>.</w:t>
      </w:r>
    </w:p>
    <w:p>
      <w:pPr>
        <w:widowControl/>
      </w:pPr>
      <w:r>
        <w:rPr>
          <w:b/>
          <w:i w:val="0"/>
        </w:rPr>
        <w:t>suscitet.</w:t>
      </w:r>
      <w:r>
        <w:rPr>
          <w:b w:val="0"/>
          <w:i w:val="0"/>
        </w:rPr>
        <w:t xml:space="preserve"> </w:t>
      </w:r>
      <w:hyperlink w:anchor="latin-record-1202">
        <w:r>
          <w:rPr>
            <w:color w:val="000000"/>
          </w:rPr>
          <w:t xml:space="preserve">torpere / suscitare</w:t>
        </w:r>
      </w:hyperlink>
      <w:r>
        <w:rPr>
          <w:b w:val="0"/>
          <w:i w:val="0"/>
        </w:rPr>
        <w:t>.</w:t>
      </w:r>
    </w:p>
    <w:p>
      <w:pPr>
        <w:widowControl/>
      </w:pPr>
      <w:r>
        <w:rPr>
          <w:b/>
          <w:i w:val="0"/>
        </w:rPr>
        <w:t>suspicabatur.</w:t>
      </w:r>
      <w:r>
        <w:rPr>
          <w:b w:val="0"/>
          <w:i w:val="0"/>
        </w:rPr>
        <w:t xml:space="preserve"> </w:t>
      </w:r>
      <w:hyperlink w:anchor="latin-record-0469">
        <w:r>
          <w:rPr>
            <w:color w:val="000000"/>
          </w:rPr>
          <w:t xml:space="preserve">forte / suspicor / vaticinor</w:t>
        </w:r>
      </w:hyperlink>
      <w:r>
        <w:rPr>
          <w:b w:val="0"/>
          <w:i w:val="0"/>
        </w:rPr>
        <w:t>.</w:t>
      </w:r>
    </w:p>
    <w:p>
      <w:pPr>
        <w:widowControl/>
      </w:pPr>
      <w:r>
        <w:rPr>
          <w:b/>
          <w:i w:val="0"/>
        </w:rPr>
        <w:t>suspicetur.</w:t>
      </w:r>
      <w:r>
        <w:rPr>
          <w:b w:val="0"/>
          <w:i w:val="0"/>
        </w:rPr>
        <w:t xml:space="preserve"> </w:t>
      </w:r>
      <w:hyperlink w:anchor="latin-record-1179">
        <w:r>
          <w:rPr>
            <w:color w:val="000000"/>
          </w:rPr>
          <w:t xml:space="preserve">suspicari</w:t>
        </w:r>
      </w:hyperlink>
      <w:r>
        <w:rPr>
          <w:b w:val="0"/>
          <w:i w:val="0"/>
        </w:rPr>
        <w:t>.</w:t>
      </w:r>
    </w:p>
    <w:p>
      <w:pPr>
        <w:widowControl/>
      </w:pPr>
      <w:r>
        <w:rPr>
          <w:b/>
          <w:i w:val="0"/>
        </w:rPr>
        <w:t>suspicit.</w:t>
      </w:r>
      <w:r>
        <w:rPr>
          <w:b w:val="0"/>
          <w:i w:val="0"/>
        </w:rPr>
        <w:t xml:space="preserve"> </w:t>
      </w:r>
      <w:hyperlink w:anchor="latin-record-1054">
        <w:r>
          <w:rPr>
            <w:color w:val="000000"/>
          </w:rPr>
          <w:t xml:space="preserve">respicere / suspicere / inspicere</w:t>
        </w:r>
      </w:hyperlink>
      <w:r>
        <w:rPr>
          <w:b w:val="0"/>
          <w:i w:val="0"/>
        </w:rPr>
        <w:t>.</w:t>
      </w:r>
    </w:p>
    <w:p>
      <w:pPr>
        <w:widowControl/>
      </w:pPr>
      <w:r>
        <w:rPr>
          <w:b/>
          <w:i w:val="0"/>
        </w:rPr>
        <w:t>sustinet.</w:t>
      </w:r>
      <w:r>
        <w:rPr>
          <w:b w:val="0"/>
          <w:i w:val="0"/>
        </w:rPr>
        <w:t xml:space="preserve"> </w:t>
      </w:r>
      <w:hyperlink w:anchor="latin-record-0573">
        <w:r>
          <w:rPr>
            <w:color w:val="000000"/>
          </w:rPr>
          <w:t xml:space="preserve">inhaereo / sustineo</w:t>
        </w:r>
      </w:hyperlink>
      <w:r>
        <w:rPr>
          <w:b w:val="0"/>
          <w:i w:val="0"/>
        </w:rPr>
        <w:t>.</w:t>
      </w:r>
    </w:p>
    <w:p>
      <w:pPr>
        <w:widowControl/>
      </w:pPr>
      <w:r>
        <w:rPr>
          <w:b/>
          <w:i w:val="0"/>
        </w:rPr>
        <w:t>sustinetur.</w:t>
      </w:r>
      <w:r>
        <w:rPr>
          <w:b w:val="0"/>
          <w:i w:val="0"/>
        </w:rPr>
        <w:t xml:space="preserve"> </w:t>
      </w:r>
      <w:hyperlink w:anchor="latin-record-0573">
        <w:r>
          <w:rPr>
            <w:color w:val="000000"/>
          </w:rPr>
          <w:t xml:space="preserve">inhaereo / sustineo</w:t>
        </w:r>
      </w:hyperlink>
      <w:r>
        <w:rPr>
          <w:b w:val="0"/>
          <w:i w:val="0"/>
        </w:rPr>
        <w:t>.</w:t>
      </w:r>
    </w:p>
    <w:p>
      <w:pPr>
        <w:widowControl/>
      </w:pPr>
      <w:r>
        <w:rPr>
          <w:b/>
          <w:i w:val="0"/>
        </w:rPr>
        <w:t>Syrianus.</w:t>
      </w:r>
      <w:r>
        <w:rPr>
          <w:b w:val="0"/>
          <w:i w:val="0"/>
        </w:rPr>
        <w:t xml:space="preserve"> </w:t>
      </w:r>
      <w:hyperlink w:anchor="latin-record-0942">
        <w:r>
          <w:rPr>
            <w:color w:val="000000"/>
          </w:rPr>
          <w:t xml:space="preserve">Proclus / Syrianus</w:t>
        </w:r>
      </w:hyperlink>
      <w:r>
        <w:rPr>
          <w:b w:val="0"/>
          <w:i w:val="0"/>
        </w:rPr>
        <w:t>.</w:t>
      </w:r>
    </w:p>
    <w:p>
      <w:pPr>
        <w:widowControl/>
      </w:pPr>
      <w:r>
        <w:rPr>
          <w:b/>
          <w:i w:val="0"/>
        </w:rPr>
        <w:t>tabernaculum.</w:t>
      </w:r>
      <w:r>
        <w:rPr>
          <w:b w:val="0"/>
          <w:i w:val="0"/>
        </w:rPr>
        <w:t xml:space="preserve"> </w:t>
      </w:r>
      <w:hyperlink w:anchor="latin-record-1180">
        <w:r>
          <w:rPr>
            <w:color w:val="000000"/>
          </w:rPr>
          <w:t xml:space="preserve">tabernaculum / statua / pila</w:t>
        </w:r>
      </w:hyperlink>
      <w:r>
        <w:rPr>
          <w:b w:val="0"/>
          <w:i w:val="0"/>
        </w:rPr>
        <w:t>.</w:t>
      </w:r>
    </w:p>
    <w:p>
      <w:pPr>
        <w:widowControl/>
      </w:pPr>
      <w:r>
        <w:rPr>
          <w:b/>
          <w:i w:val="0"/>
        </w:rPr>
        <w:t>tabula.</w:t>
      </w:r>
      <w:r>
        <w:rPr>
          <w:b w:val="0"/>
          <w:i w:val="0"/>
        </w:rPr>
        <w:t xml:space="preserve"> </w:t>
      </w:r>
      <w:hyperlink w:anchor="latin-record-1181">
        <w:r>
          <w:rPr>
            <w:color w:val="000000"/>
          </w:rPr>
          <w:t xml:space="preserve">tabula / pingere / color</w:t>
        </w:r>
      </w:hyperlink>
      <w:r>
        <w:rPr>
          <w:b w:val="0"/>
          <w:i w:val="0"/>
        </w:rPr>
        <w:t>.</w:t>
      </w:r>
    </w:p>
    <w:p>
      <w:pPr>
        <w:widowControl/>
      </w:pPr>
      <w:r>
        <w:rPr>
          <w:b/>
          <w:i w:val="0"/>
        </w:rPr>
        <w:t>Taceat.</w:t>
      </w:r>
      <w:r>
        <w:rPr>
          <w:b w:val="0"/>
          <w:i w:val="0"/>
        </w:rPr>
        <w:t xml:space="preserve"> </w:t>
      </w:r>
      <w:hyperlink w:anchor="latin-record-0652">
        <w:r>
          <w:rPr>
            <w:color w:val="000000"/>
          </w:rPr>
          <w:t xml:space="preserve">Lucretius / taceat</w:t>
        </w:r>
      </w:hyperlink>
      <w:r>
        <w:rPr>
          <w:b w:val="0"/>
          <w:i w:val="0"/>
        </w:rPr>
        <w:t>.</w:t>
      </w:r>
    </w:p>
    <w:p>
      <w:pPr>
        <w:widowControl/>
      </w:pPr>
      <w:r>
        <w:rPr>
          <w:b/>
          <w:i w:val="0"/>
        </w:rPr>
        <w:t>tangendum.</w:t>
      </w:r>
      <w:r>
        <w:rPr>
          <w:b w:val="0"/>
          <w:i w:val="0"/>
        </w:rPr>
        <w:t xml:space="preserve"> </w:t>
      </w:r>
      <w:hyperlink w:anchor="latin-record-1182">
        <w:r>
          <w:rPr>
            <w:color w:val="000000"/>
          </w:rPr>
          <w:t xml:space="preserve">tangere</w:t>
        </w:r>
      </w:hyperlink>
      <w:r>
        <w:rPr>
          <w:b w:val="0"/>
          <w:i w:val="0"/>
        </w:rPr>
        <w:t>.</w:t>
      </w:r>
    </w:p>
    <w:p>
      <w:pPr>
        <w:widowControl/>
      </w:pPr>
      <w:r>
        <w:rPr>
          <w:b/>
          <w:i w:val="0"/>
        </w:rPr>
        <w:t>tangent.</w:t>
      </w:r>
      <w:r>
        <w:rPr>
          <w:b w:val="0"/>
          <w:i w:val="0"/>
        </w:rPr>
        <w:t xml:space="preserve"> </w:t>
      </w:r>
      <w:hyperlink w:anchor="latin-record-1183">
        <w:r>
          <w:rPr>
            <w:color w:val="000000"/>
          </w:rPr>
          <w:t xml:space="preserve">tangere / attingere</w:t>
        </w:r>
      </w:hyperlink>
      <w:r>
        <w:rPr>
          <w:b w:val="0"/>
          <w:i w:val="0"/>
        </w:rPr>
        <w:t>.</w:t>
      </w:r>
    </w:p>
    <w:p>
      <w:pPr>
        <w:widowControl/>
      </w:pPr>
      <w:r>
        <w:rPr>
          <w:b/>
          <w:i w:val="0"/>
        </w:rPr>
        <w:t>tangi.</w:t>
      </w:r>
      <w:r>
        <w:rPr>
          <w:b w:val="0"/>
          <w:i w:val="0"/>
        </w:rPr>
        <w:t xml:space="preserve"> </w:t>
      </w:r>
      <w:hyperlink w:anchor="latin-record-1183">
        <w:r>
          <w:rPr>
            <w:color w:val="000000"/>
          </w:rPr>
          <w:t xml:space="preserve">tangere / attingere</w:t>
        </w:r>
      </w:hyperlink>
      <w:r>
        <w:rPr>
          <w:b w:val="0"/>
          <w:i w:val="0"/>
        </w:rPr>
        <w:t>.</w:t>
      </w:r>
    </w:p>
    <w:p>
      <w:pPr>
        <w:widowControl/>
      </w:pPr>
      <w:r>
        <w:rPr>
          <w:b/>
          <w:i w:val="0"/>
        </w:rPr>
        <w:t>tangit.</w:t>
      </w:r>
      <w:r>
        <w:rPr>
          <w:b w:val="0"/>
          <w:i w:val="0"/>
        </w:rPr>
        <w:t xml:space="preserve"> </w:t>
      </w:r>
      <w:hyperlink w:anchor="latin-record-0107">
        <w:r>
          <w:rPr>
            <w:color w:val="000000"/>
          </w:rPr>
          <w:t xml:space="preserve">attingo / tango</w:t>
        </w:r>
      </w:hyperlink>
      <w:r>
        <w:rPr>
          <w:b w:val="0"/>
          <w:i w:val="0"/>
        </w:rPr>
        <w:t xml:space="preserve">; </w:t>
      </w:r>
      <w:hyperlink w:anchor="latin-record-1182">
        <w:r>
          <w:rPr>
            <w:color w:val="000000"/>
          </w:rPr>
          <w:t xml:space="preserve">tangere</w:t>
        </w:r>
      </w:hyperlink>
      <w:r>
        <w:rPr>
          <w:b w:val="0"/>
          <w:i w:val="0"/>
        </w:rPr>
        <w:t xml:space="preserve">; </w:t>
      </w:r>
      <w:hyperlink w:anchor="latin-record-1183">
        <w:r>
          <w:rPr>
            <w:color w:val="000000"/>
          </w:rPr>
          <w:t xml:space="preserve">tangere / attingere</w:t>
        </w:r>
      </w:hyperlink>
      <w:r>
        <w:rPr>
          <w:b w:val="0"/>
          <w:i w:val="0"/>
        </w:rPr>
        <w:t>.</w:t>
      </w:r>
    </w:p>
    <w:p>
      <w:pPr>
        <w:widowControl/>
      </w:pPr>
      <w:r>
        <w:rPr>
          <w:b/>
          <w:i w:val="0"/>
        </w:rPr>
        <w:t>tardius.</w:t>
      </w:r>
      <w:r>
        <w:rPr>
          <w:b w:val="0"/>
          <w:i w:val="0"/>
        </w:rPr>
        <w:t xml:space="preserve"> </w:t>
      </w:r>
      <w:hyperlink w:anchor="latin-record-1240">
        <w:r>
          <w:rPr>
            <w:color w:val="000000"/>
          </w:rPr>
          <w:t xml:space="preserve">velox / tardus</w:t>
        </w:r>
      </w:hyperlink>
      <w:r>
        <w:rPr>
          <w:b w:val="0"/>
          <w:i w:val="0"/>
        </w:rPr>
        <w:t>.</w:t>
      </w:r>
    </w:p>
    <w:p>
      <w:pPr>
        <w:widowControl/>
      </w:pPr>
      <w:r>
        <w:rPr>
          <w:b/>
          <w:i w:val="0"/>
        </w:rPr>
        <w:t>telam.</w:t>
      </w:r>
      <w:r>
        <w:rPr>
          <w:b w:val="0"/>
          <w:i w:val="0"/>
        </w:rPr>
        <w:t xml:space="preserve"> </w:t>
      </w:r>
      <w:hyperlink w:anchor="latin-record-0659">
        <w:r>
          <w:rPr>
            <w:color w:val="000000"/>
          </w:rPr>
          <w:t xml:space="preserve">machina / tela / retexere</w:t>
        </w:r>
      </w:hyperlink>
      <w:r>
        <w:rPr>
          <w:b w:val="0"/>
          <w:i w:val="0"/>
        </w:rPr>
        <w:t>.</w:t>
      </w:r>
    </w:p>
    <w:p>
      <w:pPr>
        <w:widowControl/>
      </w:pPr>
      <w:r>
        <w:rPr>
          <w:b/>
          <w:i w:val="0"/>
        </w:rPr>
        <w:t>telam generationis retexere.</w:t>
      </w:r>
      <w:r>
        <w:rPr>
          <w:b w:val="0"/>
          <w:i w:val="0"/>
        </w:rPr>
        <w:t xml:space="preserve"> </w:t>
      </w:r>
      <w:hyperlink w:anchor="latin-record-1058">
        <w:r>
          <w:rPr>
            <w:color w:val="000000"/>
          </w:rPr>
          <w:t xml:space="preserve">retexere telam</w:t>
        </w:r>
      </w:hyperlink>
      <w:r>
        <w:rPr>
          <w:b w:val="0"/>
          <w:i w:val="0"/>
        </w:rPr>
        <w:t>.</w:t>
      </w:r>
    </w:p>
    <w:p>
      <w:pPr>
        <w:widowControl/>
      </w:pPr>
      <w:r>
        <w:rPr>
          <w:b/>
          <w:i w:val="0"/>
        </w:rPr>
        <w:t>temperans.</w:t>
      </w:r>
      <w:r>
        <w:rPr>
          <w:b w:val="0"/>
          <w:i w:val="0"/>
        </w:rPr>
        <w:t xml:space="preserve"> </w:t>
      </w:r>
      <w:hyperlink w:anchor="latin-record-1185">
        <w:r>
          <w:rPr>
            <w:color w:val="000000"/>
          </w:rPr>
          <w:t xml:space="preserve">temperare</w:t>
        </w:r>
      </w:hyperlink>
      <w:r>
        <w:rPr>
          <w:b w:val="0"/>
          <w:i w:val="0"/>
        </w:rPr>
        <w:t>.</w:t>
      </w:r>
    </w:p>
    <w:p>
      <w:pPr>
        <w:widowControl/>
      </w:pPr>
      <w:r>
        <w:rPr>
          <w:b/>
          <w:i w:val="0"/>
        </w:rPr>
        <w:t>temperantiam.</w:t>
      </w:r>
      <w:r>
        <w:rPr>
          <w:b w:val="0"/>
          <w:i w:val="0"/>
        </w:rPr>
        <w:t xml:space="preserve"> </w:t>
      </w:r>
      <w:hyperlink w:anchor="latin-record-1184">
        <w:r>
          <w:rPr>
            <w:color w:val="000000"/>
          </w:rPr>
          <w:t xml:space="preserve">temperantia / intemperantia</w:t>
        </w:r>
      </w:hyperlink>
      <w:r>
        <w:rPr>
          <w:b w:val="0"/>
          <w:i w:val="0"/>
        </w:rPr>
        <w:t>.</w:t>
      </w:r>
    </w:p>
    <w:p>
      <w:pPr>
        <w:widowControl/>
      </w:pPr>
      <w:r>
        <w:rPr>
          <w:b/>
          <w:i w:val="0"/>
        </w:rPr>
        <w:t>temperas.</w:t>
      </w:r>
      <w:r>
        <w:rPr>
          <w:b w:val="0"/>
          <w:i w:val="0"/>
        </w:rPr>
        <w:t xml:space="preserve"> </w:t>
      </w:r>
      <w:hyperlink w:anchor="latin-record-1185">
        <w:r>
          <w:rPr>
            <w:color w:val="000000"/>
          </w:rPr>
          <w:t xml:space="preserve">temperare</w:t>
        </w:r>
      </w:hyperlink>
      <w:r>
        <w:rPr>
          <w:b w:val="0"/>
          <w:i w:val="0"/>
        </w:rPr>
        <w:t>.</w:t>
      </w:r>
    </w:p>
    <w:p>
      <w:pPr>
        <w:widowControl/>
      </w:pPr>
      <w:r>
        <w:rPr>
          <w:b/>
          <w:i w:val="0"/>
        </w:rPr>
        <w:t>temperat.</w:t>
      </w:r>
      <w:r>
        <w:rPr>
          <w:b w:val="0"/>
          <w:i w:val="0"/>
        </w:rPr>
        <w:t xml:space="preserve"> </w:t>
      </w:r>
      <w:hyperlink w:anchor="latin-record-1185">
        <w:r>
          <w:rPr>
            <w:color w:val="000000"/>
          </w:rPr>
          <w:t xml:space="preserve">temperare</w:t>
        </w:r>
      </w:hyperlink>
      <w:r>
        <w:rPr>
          <w:b w:val="0"/>
          <w:i w:val="0"/>
        </w:rPr>
        <w:t>.</w:t>
      </w:r>
    </w:p>
    <w:p>
      <w:pPr>
        <w:widowControl/>
      </w:pPr>
      <w:r>
        <w:rPr>
          <w:b/>
          <w:i w:val="0"/>
        </w:rPr>
        <w:t>temperatio.</w:t>
      </w:r>
      <w:r>
        <w:rPr>
          <w:b w:val="0"/>
          <w:i w:val="0"/>
        </w:rPr>
        <w:t xml:space="preserve"> </w:t>
      </w:r>
      <w:hyperlink w:anchor="latin-record-1186">
        <w:r>
          <w:rPr>
            <w:color w:val="000000"/>
          </w:rPr>
          <w:t xml:space="preserve">temperatio / aequabilis</w:t>
        </w:r>
      </w:hyperlink>
      <w:r>
        <w:rPr>
          <w:b w:val="0"/>
          <w:i w:val="0"/>
        </w:rPr>
        <w:t>.</w:t>
      </w:r>
    </w:p>
    <w:p>
      <w:pPr>
        <w:widowControl/>
      </w:pPr>
      <w:r>
        <w:rPr>
          <w:b/>
          <w:i w:val="0"/>
        </w:rPr>
        <w:t>temperatione.</w:t>
      </w:r>
      <w:r>
        <w:rPr>
          <w:b w:val="0"/>
          <w:i w:val="0"/>
        </w:rPr>
        <w:t xml:space="preserve"> </w:t>
      </w:r>
      <w:hyperlink w:anchor="latin-record-1186">
        <w:r>
          <w:rPr>
            <w:color w:val="000000"/>
          </w:rPr>
          <w:t xml:space="preserve">temperatio / aequabilis</w:t>
        </w:r>
      </w:hyperlink>
      <w:r>
        <w:rPr>
          <w:b w:val="0"/>
          <w:i w:val="0"/>
        </w:rPr>
        <w:t>.</w:t>
      </w:r>
    </w:p>
    <w:p>
      <w:pPr>
        <w:widowControl/>
      </w:pPr>
      <w:r>
        <w:rPr>
          <w:b/>
          <w:i w:val="0"/>
        </w:rPr>
        <w:t>temporale.</w:t>
      </w:r>
      <w:r>
        <w:rPr>
          <w:b w:val="0"/>
          <w:i w:val="0"/>
        </w:rPr>
        <w:t xml:space="preserve"> </w:t>
      </w:r>
      <w:hyperlink w:anchor="latin-record-1187">
        <w:r>
          <w:rPr>
            <w:color w:val="000000"/>
          </w:rPr>
          <w:t xml:space="preserve">tempus / temporalis</w:t>
        </w:r>
      </w:hyperlink>
      <w:r>
        <w:rPr>
          <w:b w:val="0"/>
          <w:i w:val="0"/>
        </w:rPr>
        <w:t>.</w:t>
      </w:r>
    </w:p>
    <w:p>
      <w:pPr>
        <w:widowControl/>
      </w:pPr>
      <w:r>
        <w:rPr>
          <w:b/>
          <w:i w:val="0"/>
        </w:rPr>
        <w:t>temporalem.</w:t>
      </w:r>
      <w:r>
        <w:rPr>
          <w:b w:val="0"/>
          <w:i w:val="0"/>
        </w:rPr>
        <w:t xml:space="preserve"> </w:t>
      </w:r>
      <w:hyperlink w:anchor="latin-record-1187">
        <w:r>
          <w:rPr>
            <w:color w:val="000000"/>
          </w:rPr>
          <w:t xml:space="preserve">tempus / temporalis</w:t>
        </w:r>
      </w:hyperlink>
      <w:r>
        <w:rPr>
          <w:b w:val="0"/>
          <w:i w:val="0"/>
        </w:rPr>
        <w:t>.</w:t>
      </w:r>
    </w:p>
    <w:p>
      <w:pPr>
        <w:widowControl/>
      </w:pPr>
      <w:r>
        <w:rPr>
          <w:b/>
          <w:i w:val="0"/>
        </w:rPr>
        <w:t>temporali.</w:t>
      </w:r>
      <w:r>
        <w:rPr>
          <w:b w:val="0"/>
          <w:i w:val="0"/>
        </w:rPr>
        <w:t xml:space="preserve"> </w:t>
      </w:r>
      <w:hyperlink w:anchor="latin-record-1187">
        <w:r>
          <w:rPr>
            <w:color w:val="000000"/>
          </w:rPr>
          <w:t xml:space="preserve">tempus / temporalis</w:t>
        </w:r>
      </w:hyperlink>
      <w:r>
        <w:rPr>
          <w:b w:val="0"/>
          <w:i w:val="0"/>
        </w:rPr>
        <w:t>.</w:t>
      </w:r>
    </w:p>
    <w:p>
      <w:pPr>
        <w:widowControl/>
      </w:pPr>
      <w:r>
        <w:rPr>
          <w:b/>
          <w:i w:val="0"/>
        </w:rPr>
        <w:t>temporalis.</w:t>
      </w:r>
      <w:r>
        <w:rPr>
          <w:b w:val="0"/>
          <w:i w:val="0"/>
        </w:rPr>
        <w:t xml:space="preserve"> </w:t>
      </w:r>
      <w:hyperlink w:anchor="latin-record-1187">
        <w:r>
          <w:rPr>
            <w:color w:val="000000"/>
          </w:rPr>
          <w:t xml:space="preserve">tempus / temporalis</w:t>
        </w:r>
      </w:hyperlink>
      <w:r>
        <w:rPr>
          <w:b w:val="0"/>
          <w:i w:val="0"/>
        </w:rPr>
        <w:t>.</w:t>
      </w:r>
    </w:p>
    <w:p>
      <w:pPr>
        <w:widowControl/>
      </w:pPr>
      <w:r>
        <w:rPr>
          <w:b/>
          <w:i w:val="0"/>
        </w:rPr>
        <w:t>temporibus.</w:t>
      </w:r>
      <w:r>
        <w:rPr>
          <w:b w:val="0"/>
          <w:i w:val="0"/>
        </w:rPr>
        <w:t xml:space="preserve"> </w:t>
      </w:r>
      <w:hyperlink w:anchor="latin-record-1143">
        <w:r>
          <w:rPr>
            <w:color w:val="000000"/>
          </w:rPr>
          <w:t xml:space="preserve">statutis temporibus / quovis tempore</w:t>
        </w:r>
      </w:hyperlink>
      <w:r>
        <w:rPr>
          <w:b w:val="0"/>
          <w:i w:val="0"/>
        </w:rPr>
        <w:t>.</w:t>
      </w:r>
    </w:p>
    <w:p>
      <w:pPr>
        <w:widowControl/>
      </w:pPr>
      <w:r>
        <w:rPr>
          <w:b/>
          <w:i w:val="0"/>
        </w:rPr>
        <w:t>temporis.</w:t>
      </w:r>
      <w:r>
        <w:rPr>
          <w:b w:val="0"/>
          <w:i w:val="0"/>
        </w:rPr>
        <w:t xml:space="preserve"> </w:t>
      </w:r>
      <w:hyperlink w:anchor="latin-record-1187">
        <w:r>
          <w:rPr>
            <w:color w:val="000000"/>
          </w:rPr>
          <w:t xml:space="preserve">tempus / temporalis</w:t>
        </w:r>
      </w:hyperlink>
      <w:r>
        <w:rPr>
          <w:b w:val="0"/>
          <w:i w:val="0"/>
        </w:rPr>
        <w:t>.</w:t>
      </w:r>
    </w:p>
    <w:p>
      <w:pPr>
        <w:widowControl/>
      </w:pPr>
      <w:r>
        <w:rPr>
          <w:b/>
          <w:i w:val="0"/>
        </w:rPr>
        <w:t>tempus.</w:t>
      </w:r>
      <w:r>
        <w:rPr>
          <w:b w:val="0"/>
          <w:i w:val="0"/>
        </w:rPr>
        <w:t xml:space="preserve"> </w:t>
      </w:r>
      <w:hyperlink w:anchor="latin-record-1187">
        <w:r>
          <w:rPr>
            <w:color w:val="000000"/>
          </w:rPr>
          <w:t xml:space="preserve">tempus / temporalis</w:t>
        </w:r>
      </w:hyperlink>
      <w:r>
        <w:rPr>
          <w:b w:val="0"/>
          <w:i w:val="0"/>
        </w:rPr>
        <w:t>.</w:t>
      </w:r>
    </w:p>
    <w:p>
      <w:pPr>
        <w:widowControl/>
      </w:pPr>
      <w:r>
        <w:rPr>
          <w:b/>
          <w:i w:val="0"/>
        </w:rPr>
        <w:t>tempus primum.</w:t>
      </w:r>
      <w:r>
        <w:rPr>
          <w:b w:val="0"/>
          <w:i w:val="0"/>
        </w:rPr>
        <w:t xml:space="preserve"> </w:t>
      </w:r>
      <w:hyperlink w:anchor="latin-record-0606">
        <w:r>
          <w:rPr>
            <w:color w:val="000000"/>
          </w:rPr>
          <w:t xml:space="preserve">intervallum / tempus primum</w:t>
        </w:r>
      </w:hyperlink>
      <w:r>
        <w:rPr>
          <w:b w:val="0"/>
          <w:i w:val="0"/>
        </w:rPr>
        <w:t>.</w:t>
      </w:r>
    </w:p>
    <w:p>
      <w:pPr>
        <w:widowControl/>
      </w:pPr>
      <w:r>
        <w:rPr>
          <w:b/>
          <w:i w:val="0"/>
        </w:rPr>
        <w:t>tempusque.</w:t>
      </w:r>
      <w:r>
        <w:rPr>
          <w:b w:val="0"/>
          <w:i w:val="0"/>
        </w:rPr>
        <w:t xml:space="preserve"> </w:t>
      </w:r>
      <w:hyperlink w:anchor="latin-record-1187">
        <w:r>
          <w:rPr>
            <w:color w:val="000000"/>
          </w:rPr>
          <w:t xml:space="preserve">tempus / temporalis</w:t>
        </w:r>
      </w:hyperlink>
      <w:r>
        <w:rPr>
          <w:b w:val="0"/>
          <w:i w:val="0"/>
        </w:rPr>
        <w:t>.</w:t>
      </w:r>
    </w:p>
    <w:p>
      <w:pPr>
        <w:widowControl/>
      </w:pPr>
      <w:r>
        <w:rPr>
          <w:b/>
          <w:i w:val="0"/>
        </w:rPr>
        <w:t>tendit.</w:t>
      </w:r>
      <w:r>
        <w:rPr>
          <w:b w:val="0"/>
          <w:i w:val="0"/>
        </w:rPr>
        <w:t xml:space="preserve"> </w:t>
      </w:r>
      <w:hyperlink w:anchor="latin-record-0666">
        <w:r>
          <w:rPr>
            <w:color w:val="000000"/>
          </w:rPr>
          <w:t xml:space="preserve">maior range of causal giving</w:t>
        </w:r>
      </w:hyperlink>
      <w:r>
        <w:rPr>
          <w:b w:val="0"/>
          <w:i w:val="0"/>
        </w:rPr>
        <w:t>.</w:t>
      </w:r>
    </w:p>
    <w:p>
      <w:pPr>
        <w:widowControl/>
      </w:pPr>
      <w:r>
        <w:rPr>
          <w:b/>
          <w:i w:val="0"/>
        </w:rPr>
        <w:t>tenditur.</w:t>
      </w:r>
      <w:r>
        <w:rPr>
          <w:b w:val="0"/>
          <w:i w:val="0"/>
        </w:rPr>
        <w:t xml:space="preserve"> </w:t>
      </w:r>
      <w:hyperlink w:anchor="latin-record-0893">
        <w:r>
          <w:rPr>
            <w:color w:val="000000"/>
          </w:rPr>
          <w:t xml:space="preserve">porrigere / tendere</w:t>
        </w:r>
      </w:hyperlink>
      <w:r>
        <w:rPr>
          <w:b w:val="0"/>
          <w:i w:val="0"/>
        </w:rPr>
        <w:t>.</w:t>
      </w:r>
    </w:p>
    <w:p>
      <w:pPr>
        <w:widowControl/>
      </w:pPr>
      <w:r>
        <w:rPr>
          <w:b/>
          <w:i w:val="0"/>
        </w:rPr>
        <w:t>tenebris.</w:t>
      </w:r>
      <w:r>
        <w:rPr>
          <w:b w:val="0"/>
          <w:i w:val="0"/>
        </w:rPr>
        <w:t xml:space="preserve"> </w:t>
      </w:r>
      <w:hyperlink w:anchor="latin-record-1188">
        <w:r>
          <w:rPr>
            <w:color w:val="000000"/>
          </w:rPr>
          <w:t xml:space="preserve">tenebrae / caecus</w:t>
        </w:r>
      </w:hyperlink>
      <w:r>
        <w:rPr>
          <w:b w:val="0"/>
          <w:i w:val="0"/>
        </w:rPr>
        <w:t>.</w:t>
      </w:r>
    </w:p>
    <w:p>
      <w:pPr>
        <w:widowControl/>
      </w:pPr>
      <w:r>
        <w:rPr>
          <w:b/>
          <w:i w:val="0"/>
        </w:rPr>
        <w:t>tenet.</w:t>
      </w:r>
      <w:r>
        <w:rPr>
          <w:b w:val="0"/>
          <w:i w:val="0"/>
        </w:rPr>
        <w:t xml:space="preserve"> </w:t>
      </w:r>
      <w:hyperlink w:anchor="latin-record-0494">
        <w:r>
          <w:rPr>
            <w:color w:val="000000"/>
          </w:rPr>
          <w:t xml:space="preserve">habere / tenere / possidere</w:t>
        </w:r>
      </w:hyperlink>
      <w:r>
        <w:rPr>
          <w:b w:val="0"/>
          <w:i w:val="0"/>
        </w:rPr>
        <w:t>.</w:t>
      </w:r>
    </w:p>
    <w:p>
      <w:pPr>
        <w:widowControl/>
      </w:pPr>
      <w:r>
        <w:rPr>
          <w:b/>
          <w:i w:val="0"/>
        </w:rPr>
        <w:t>tenore.</w:t>
      </w:r>
      <w:r>
        <w:rPr>
          <w:b w:val="0"/>
          <w:i w:val="0"/>
        </w:rPr>
        <w:t xml:space="preserve"> </w:t>
      </w:r>
      <w:hyperlink w:anchor="latin-record-1189">
        <w:r>
          <w:rPr>
            <w:color w:val="000000"/>
          </w:rPr>
          <w:t xml:space="preserve">tenor</w:t>
        </w:r>
      </w:hyperlink>
      <w:r>
        <w:rPr>
          <w:b w:val="0"/>
          <w:i w:val="0"/>
        </w:rPr>
        <w:t>.</w:t>
      </w:r>
    </w:p>
    <w:p>
      <w:pPr>
        <w:widowControl/>
      </w:pPr>
      <w:r>
        <w:rPr>
          <w:b/>
          <w:i w:val="0"/>
        </w:rPr>
        <w:t>tenorem.</w:t>
      </w:r>
      <w:r>
        <w:rPr>
          <w:b w:val="0"/>
          <w:i w:val="0"/>
        </w:rPr>
        <w:t xml:space="preserve"> </w:t>
      </w:r>
      <w:hyperlink w:anchor="latin-record-0905">
        <w:r>
          <w:rPr>
            <w:color w:val="000000"/>
          </w:rPr>
          <w:t xml:space="preserve">praecipitium / tenor</w:t>
        </w:r>
      </w:hyperlink>
      <w:r>
        <w:rPr>
          <w:b w:val="0"/>
          <w:i w:val="0"/>
        </w:rPr>
        <w:t xml:space="preserve">; </w:t>
      </w:r>
      <w:hyperlink w:anchor="latin-record-1190">
        <w:r>
          <w:rPr>
            <w:color w:val="000000"/>
          </w:rPr>
          <w:t xml:space="preserve">tenor / lex</w:t>
        </w:r>
      </w:hyperlink>
      <w:r>
        <w:rPr>
          <w:b w:val="0"/>
          <w:i w:val="0"/>
        </w:rPr>
        <w:t>.</w:t>
      </w:r>
    </w:p>
    <w:p>
      <w:pPr>
        <w:widowControl/>
      </w:pPr>
      <w:r>
        <w:rPr>
          <w:b/>
          <w:i w:val="0"/>
        </w:rPr>
        <w:t>tenuatur.</w:t>
      </w:r>
      <w:r>
        <w:rPr>
          <w:b w:val="0"/>
          <w:i w:val="0"/>
        </w:rPr>
        <w:t xml:space="preserve"> </w:t>
      </w:r>
      <w:hyperlink w:anchor="latin-record-1191">
        <w:r>
          <w:rPr>
            <w:color w:val="000000"/>
          </w:rPr>
          <w:t xml:space="preserve">tenuari / clarescere / hebescere</w:t>
        </w:r>
      </w:hyperlink>
      <w:r>
        <w:rPr>
          <w:b w:val="0"/>
          <w:i w:val="0"/>
        </w:rPr>
        <w:t>.</w:t>
      </w:r>
    </w:p>
    <w:p>
      <w:pPr>
        <w:widowControl/>
      </w:pPr>
      <w:r>
        <w:rPr>
          <w:b/>
          <w:i w:val="0"/>
        </w:rPr>
        <w:t>tenuis.</w:t>
      </w:r>
      <w:r>
        <w:rPr>
          <w:b w:val="0"/>
          <w:i w:val="0"/>
        </w:rPr>
        <w:t xml:space="preserve"> </w:t>
      </w:r>
      <w:hyperlink w:anchor="latin-record-0522">
        <w:r>
          <w:rPr>
            <w:color w:val="000000"/>
          </w:rPr>
          <w:t xml:space="preserve">ignis / tenuis</w:t>
        </w:r>
      </w:hyperlink>
      <w:r>
        <w:rPr>
          <w:b w:val="0"/>
          <w:i w:val="0"/>
        </w:rPr>
        <w:t>.</w:t>
      </w:r>
    </w:p>
    <w:p>
      <w:pPr>
        <w:widowControl/>
      </w:pPr>
      <w:r>
        <w:rPr>
          <w:b/>
          <w:i w:val="0"/>
        </w:rPr>
        <w:t>tenuitate.</w:t>
      </w:r>
      <w:r>
        <w:rPr>
          <w:b w:val="0"/>
          <w:i w:val="0"/>
        </w:rPr>
        <w:t xml:space="preserve"> </w:t>
      </w:r>
      <w:hyperlink w:anchor="latin-record-0522">
        <w:r>
          <w:rPr>
            <w:color w:val="000000"/>
          </w:rPr>
          <w:t xml:space="preserve">ignis / tenuis</w:t>
        </w:r>
      </w:hyperlink>
      <w:r>
        <w:rPr>
          <w:b w:val="0"/>
          <w:i w:val="0"/>
        </w:rPr>
        <w:t>.</w:t>
      </w:r>
    </w:p>
    <w:p>
      <w:pPr>
        <w:widowControl/>
      </w:pPr>
      <w:r>
        <w:rPr>
          <w:b/>
          <w:i w:val="0"/>
        </w:rPr>
        <w:t>terminandum.</w:t>
      </w:r>
      <w:r>
        <w:rPr>
          <w:b w:val="0"/>
          <w:i w:val="0"/>
        </w:rPr>
        <w:t xml:space="preserve"> </w:t>
      </w:r>
      <w:hyperlink w:anchor="latin-record-1193">
        <w:r>
          <w:rPr>
            <w:color w:val="000000"/>
          </w:rPr>
          <w:t xml:space="preserve">termino</w:t>
        </w:r>
      </w:hyperlink>
      <w:r>
        <w:rPr>
          <w:b w:val="0"/>
          <w:i w:val="0"/>
        </w:rPr>
        <w:t>.</w:t>
      </w:r>
    </w:p>
    <w:p>
      <w:pPr>
        <w:widowControl/>
      </w:pPr>
      <w:r>
        <w:rPr>
          <w:b/>
          <w:i w:val="0"/>
        </w:rPr>
        <w:t>terminante.</w:t>
      </w:r>
      <w:r>
        <w:rPr>
          <w:b w:val="0"/>
          <w:i w:val="0"/>
        </w:rPr>
        <w:t xml:space="preserve"> </w:t>
      </w:r>
      <w:hyperlink w:anchor="latin-record-1192">
        <w:r>
          <w:rPr>
            <w:color w:val="000000"/>
          </w:rPr>
          <w:t xml:space="preserve">terminare / finire</w:t>
        </w:r>
      </w:hyperlink>
      <w:r>
        <w:rPr>
          <w:b w:val="0"/>
          <w:i w:val="0"/>
        </w:rPr>
        <w:t>.</w:t>
      </w:r>
    </w:p>
    <w:p>
      <w:pPr>
        <w:widowControl/>
      </w:pPr>
      <w:r>
        <w:rPr>
          <w:b/>
          <w:i w:val="0"/>
        </w:rPr>
        <w:t>termino.</w:t>
      </w:r>
      <w:r>
        <w:rPr>
          <w:b w:val="0"/>
          <w:i w:val="0"/>
        </w:rPr>
        <w:t xml:space="preserve"> </w:t>
      </w:r>
      <w:hyperlink w:anchor="latin-record-1192">
        <w:r>
          <w:rPr>
            <w:color w:val="000000"/>
          </w:rPr>
          <w:t xml:space="preserve">terminare / finire</w:t>
        </w:r>
      </w:hyperlink>
      <w:r>
        <w:rPr>
          <w:b w:val="0"/>
          <w:i w:val="0"/>
        </w:rPr>
        <w:t>.</w:t>
      </w:r>
    </w:p>
    <w:p>
      <w:pPr>
        <w:widowControl/>
      </w:pPr>
      <w:r>
        <w:rPr>
          <w:b/>
          <w:i w:val="0"/>
        </w:rPr>
        <w:t>terminum.</w:t>
      </w:r>
      <w:r>
        <w:rPr>
          <w:b w:val="0"/>
          <w:i w:val="0"/>
        </w:rPr>
        <w:t xml:space="preserve"> </w:t>
      </w:r>
      <w:hyperlink w:anchor="latin-record-1192">
        <w:r>
          <w:rPr>
            <w:color w:val="000000"/>
          </w:rPr>
          <w:t xml:space="preserve">terminare / finire</w:t>
        </w:r>
      </w:hyperlink>
      <w:r>
        <w:rPr>
          <w:b w:val="0"/>
          <w:i w:val="0"/>
        </w:rPr>
        <w:t xml:space="preserve">; </w:t>
      </w:r>
      <w:hyperlink w:anchor="latin-record-1194">
        <w:r>
          <w:rPr>
            <w:color w:val="000000"/>
          </w:rPr>
          <w:t xml:space="preserve">terminus / infinitum</w:t>
        </w:r>
      </w:hyperlink>
      <w:r>
        <w:rPr>
          <w:b w:val="0"/>
          <w:i w:val="0"/>
        </w:rPr>
        <w:t>.</w:t>
      </w:r>
    </w:p>
    <w:p>
      <w:pPr>
        <w:widowControl/>
      </w:pPr>
      <w:r>
        <w:rPr>
          <w:b/>
          <w:i w:val="0"/>
        </w:rPr>
        <w:t>terminum vivendi.</w:t>
      </w:r>
      <w:r>
        <w:rPr>
          <w:b w:val="0"/>
          <w:i w:val="0"/>
        </w:rPr>
        <w:t xml:space="preserve"> </w:t>
      </w:r>
      <w:hyperlink w:anchor="latin-record-1196">
        <w:r>
          <w:rPr>
            <w:color w:val="000000"/>
          </w:rPr>
          <w:t xml:space="preserve">terminus vivendi</w:t>
        </w:r>
      </w:hyperlink>
      <w:r>
        <w:rPr>
          <w:b w:val="0"/>
          <w:i w:val="0"/>
        </w:rPr>
        <w:t>.</w:t>
      </w:r>
    </w:p>
    <w:p>
      <w:pPr>
        <w:widowControl/>
      </w:pPr>
      <w:r>
        <w:rPr>
          <w:b/>
          <w:i w:val="0"/>
        </w:rPr>
        <w:t>ternario.</w:t>
      </w:r>
      <w:r>
        <w:rPr>
          <w:b w:val="0"/>
          <w:i w:val="0"/>
        </w:rPr>
        <w:t xml:space="preserve"> </w:t>
      </w:r>
      <w:hyperlink w:anchor="latin-record-1197">
        <w:r>
          <w:rPr>
            <w:color w:val="000000"/>
          </w:rPr>
          <w:t xml:space="preserve">ternarius / novenarius / septenarius / duodenarius</w:t>
        </w:r>
      </w:hyperlink>
      <w:r>
        <w:rPr>
          <w:b w:val="0"/>
          <w:i w:val="0"/>
        </w:rPr>
        <w:t>.</w:t>
      </w:r>
    </w:p>
    <w:p>
      <w:pPr>
        <w:widowControl/>
      </w:pPr>
      <w:r>
        <w:rPr>
          <w:b/>
          <w:i w:val="0"/>
        </w:rPr>
        <w:t>terra.</w:t>
      </w:r>
      <w:r>
        <w:rPr>
          <w:b w:val="0"/>
          <w:i w:val="0"/>
        </w:rPr>
        <w:t xml:space="preserve"> </w:t>
      </w:r>
      <w:hyperlink w:anchor="latin-record-0036">
        <w:r>
          <w:rPr>
            <w:color w:val="000000"/>
          </w:rPr>
          <w:t xml:space="preserve">aer / aqua / terra</w:t>
        </w:r>
      </w:hyperlink>
      <w:r>
        <w:rPr>
          <w:b w:val="0"/>
          <w:i w:val="0"/>
        </w:rPr>
        <w:t>.</w:t>
      </w:r>
    </w:p>
    <w:p>
      <w:pPr>
        <w:widowControl/>
      </w:pPr>
      <w:r>
        <w:rPr>
          <w:b/>
          <w:i w:val="0"/>
        </w:rPr>
        <w:t>tertia.</w:t>
      </w:r>
      <w:r>
        <w:rPr>
          <w:b w:val="0"/>
          <w:i w:val="0"/>
        </w:rPr>
        <w:t xml:space="preserve"> </w:t>
      </w:r>
      <w:hyperlink w:anchor="latin-record-1198">
        <w:r>
          <w:rPr>
            <w:color w:val="000000"/>
          </w:rPr>
          <w:t xml:space="preserve">tertia essentia</w:t>
        </w:r>
      </w:hyperlink>
      <w:r>
        <w:rPr>
          <w:b w:val="0"/>
          <w:i w:val="0"/>
        </w:rPr>
        <w:t>.</w:t>
      </w:r>
    </w:p>
    <w:p>
      <w:pPr>
        <w:widowControl/>
      </w:pPr>
      <w:r>
        <w:rPr>
          <w:b/>
          <w:i w:val="0"/>
        </w:rPr>
        <w:t>tertiam.</w:t>
      </w:r>
      <w:r>
        <w:rPr>
          <w:b w:val="0"/>
          <w:i w:val="0"/>
        </w:rPr>
        <w:t xml:space="preserve"> </w:t>
      </w:r>
      <w:hyperlink w:anchor="latin-record-0099">
        <w:r>
          <w:rPr>
            <w:color w:val="000000"/>
          </w:rPr>
          <w:t xml:space="preserve">arx / tertius / medius</w:t>
        </w:r>
      </w:hyperlink>
      <w:r>
        <w:rPr>
          <w:b w:val="0"/>
          <w:i w:val="0"/>
        </w:rPr>
        <w:t>.</w:t>
      </w:r>
    </w:p>
    <w:p>
      <w:pPr>
        <w:widowControl/>
      </w:pPr>
      <w:r>
        <w:rPr>
          <w:b/>
          <w:i w:val="0"/>
        </w:rPr>
        <w:t>tetigit.</w:t>
      </w:r>
      <w:r>
        <w:rPr>
          <w:b w:val="0"/>
          <w:i w:val="0"/>
        </w:rPr>
        <w:t xml:space="preserve"> </w:t>
      </w:r>
      <w:hyperlink w:anchor="latin-record-0106">
        <w:r>
          <w:rPr>
            <w:color w:val="000000"/>
          </w:rPr>
          <w:t xml:space="preserve">attingere / tetigit</w:t>
        </w:r>
      </w:hyperlink>
      <w:r>
        <w:rPr>
          <w:b w:val="0"/>
          <w:i w:val="0"/>
        </w:rPr>
        <w:t>.</w:t>
      </w:r>
    </w:p>
    <w:p>
      <w:pPr>
        <w:widowControl/>
      </w:pPr>
      <w:r>
        <w:rPr>
          <w:b/>
          <w:i w:val="0"/>
        </w:rPr>
        <w:t>theologia.</w:t>
      </w:r>
      <w:r>
        <w:rPr>
          <w:b w:val="0"/>
          <w:i w:val="0"/>
        </w:rPr>
        <w:t xml:space="preserve"> </w:t>
      </w:r>
      <w:hyperlink w:anchor="latin-record-0517">
        <w:r>
          <w:rPr>
            <w:color w:val="000000"/>
          </w:rPr>
          <w:t xml:space="preserve">hymnus / theologia / sacerdos</w:t>
        </w:r>
      </w:hyperlink>
      <w:r>
        <w:rPr>
          <w:b w:val="0"/>
          <w:i w:val="0"/>
        </w:rPr>
        <w:t>.</w:t>
      </w:r>
    </w:p>
    <w:p>
      <w:pPr>
        <w:widowControl/>
      </w:pPr>
      <w:r>
        <w:rPr>
          <w:b/>
          <w:i w:val="0"/>
        </w:rPr>
        <w:t>theologorum.</w:t>
      </w:r>
      <w:r>
        <w:rPr>
          <w:b w:val="0"/>
          <w:i w:val="0"/>
        </w:rPr>
        <w:t xml:space="preserve"> </w:t>
      </w:r>
      <w:hyperlink w:anchor="latin-record-0517">
        <w:r>
          <w:rPr>
            <w:color w:val="000000"/>
          </w:rPr>
          <w:t xml:space="preserve">hymnus / theologia / sacerdos</w:t>
        </w:r>
      </w:hyperlink>
      <w:r>
        <w:rPr>
          <w:b w:val="0"/>
          <w:i w:val="0"/>
        </w:rPr>
        <w:t>.</w:t>
      </w:r>
    </w:p>
    <w:p>
      <w:pPr>
        <w:widowControl/>
      </w:pPr>
      <w:r>
        <w:rPr>
          <w:b/>
          <w:i w:val="0"/>
        </w:rPr>
        <w:t>Thetin.</w:t>
      </w:r>
      <w:r>
        <w:rPr>
          <w:b w:val="0"/>
          <w:i w:val="0"/>
        </w:rPr>
        <w:t xml:space="preserve"> </w:t>
      </w:r>
      <w:hyperlink w:anchor="latin-record-0790">
        <w:r>
          <w:rPr>
            <w:color w:val="000000"/>
          </w:rPr>
          <w:t xml:space="preserve">Oceanus / Thetis</w:t>
        </w:r>
      </w:hyperlink>
      <w:r>
        <w:rPr>
          <w:b w:val="0"/>
          <w:i w:val="0"/>
        </w:rPr>
        <w:t>.</w:t>
      </w:r>
    </w:p>
    <w:p>
      <w:pPr>
        <w:widowControl/>
      </w:pPr>
      <w:r>
        <w:rPr>
          <w:b/>
          <w:i w:val="0"/>
        </w:rPr>
        <w:t>Thomae Aquinati.</w:t>
      </w:r>
      <w:r>
        <w:rPr>
          <w:b w:val="0"/>
          <w:i w:val="0"/>
        </w:rPr>
        <w:t xml:space="preserve"> </w:t>
      </w:r>
      <w:hyperlink w:anchor="latin-record-1199">
        <w:r>
          <w:rPr>
            <w:color w:val="000000"/>
          </w:rPr>
          <w:t xml:space="preserve">Thomas Aquinas</w:t>
        </w:r>
      </w:hyperlink>
      <w:r>
        <w:rPr>
          <w:b w:val="0"/>
          <w:i w:val="0"/>
        </w:rPr>
        <w:t>.</w:t>
      </w:r>
    </w:p>
    <w:p>
      <w:pPr>
        <w:widowControl/>
      </w:pPr>
      <w:r>
        <w:rPr>
          <w:b/>
          <w:i w:val="0"/>
        </w:rPr>
        <w:t>Timaeus.</w:t>
      </w:r>
      <w:r>
        <w:rPr>
          <w:b w:val="0"/>
          <w:i w:val="0"/>
        </w:rPr>
        <w:t xml:space="preserve"> </w:t>
      </w:r>
      <w:hyperlink w:anchor="latin-record-1200">
        <w:r>
          <w:rPr>
            <w:color w:val="000000"/>
          </w:rPr>
          <w:t xml:space="preserve">Timaeus / Timaeus Locrus</w:t>
        </w:r>
      </w:hyperlink>
      <w:r>
        <w:rPr>
          <w:b w:val="0"/>
          <w:i w:val="0"/>
        </w:rPr>
        <w:t>.</w:t>
      </w:r>
    </w:p>
    <w:p>
      <w:pPr>
        <w:widowControl/>
      </w:pPr>
      <w:r>
        <w:rPr>
          <w:b/>
          <w:i w:val="0"/>
        </w:rPr>
        <w:t>Timaeusque.</w:t>
      </w:r>
      <w:r>
        <w:rPr>
          <w:b w:val="0"/>
          <w:i w:val="0"/>
        </w:rPr>
        <w:t xml:space="preserve"> </w:t>
      </w:r>
      <w:hyperlink w:anchor="latin-record-0690">
        <w:r>
          <w:rPr>
            <w:color w:val="000000"/>
          </w:rPr>
          <w:t xml:space="preserve">Mercurius Trismegistus / Timaeus</w:t>
        </w:r>
      </w:hyperlink>
      <w:r>
        <w:rPr>
          <w:b w:val="0"/>
          <w:i w:val="0"/>
        </w:rPr>
        <w:t>.</w:t>
      </w:r>
    </w:p>
    <w:p>
      <w:pPr>
        <w:widowControl/>
      </w:pPr>
      <w:r>
        <w:rPr>
          <w:b/>
          <w:i w:val="0"/>
        </w:rPr>
        <w:t>tollit.</w:t>
      </w:r>
      <w:r>
        <w:rPr>
          <w:b w:val="0"/>
          <w:i w:val="0"/>
        </w:rPr>
        <w:t xml:space="preserve"> </w:t>
      </w:r>
      <w:hyperlink w:anchor="latin-record-1201">
        <w:r>
          <w:rPr>
            <w:color w:val="000000"/>
          </w:rPr>
          <w:t xml:space="preserve">tollo / traho / transfero</w:t>
        </w:r>
      </w:hyperlink>
      <w:r>
        <w:rPr>
          <w:b w:val="0"/>
          <w:i w:val="0"/>
        </w:rPr>
        <w:t>.</w:t>
      </w:r>
    </w:p>
    <w:p>
      <w:pPr>
        <w:widowControl/>
      </w:pPr>
      <w:r>
        <w:rPr>
          <w:b/>
          <w:i w:val="0"/>
        </w:rPr>
        <w:t>torpent.</w:t>
      </w:r>
      <w:r>
        <w:rPr>
          <w:b w:val="0"/>
          <w:i w:val="0"/>
        </w:rPr>
        <w:t xml:space="preserve"> </w:t>
      </w:r>
      <w:hyperlink w:anchor="latin-record-1202">
        <w:r>
          <w:rPr>
            <w:color w:val="000000"/>
          </w:rPr>
          <w:t xml:space="preserve">torpere / suscitare</w:t>
        </w:r>
      </w:hyperlink>
      <w:r>
        <w:rPr>
          <w:b w:val="0"/>
          <w:i w:val="0"/>
        </w:rPr>
        <w:t>.</w:t>
      </w:r>
    </w:p>
    <w:p>
      <w:pPr>
        <w:widowControl/>
      </w:pPr>
      <w:r>
        <w:rPr>
          <w:b/>
          <w:i w:val="0"/>
        </w:rPr>
        <w:t>torpentia.</w:t>
      </w:r>
      <w:r>
        <w:rPr>
          <w:b w:val="0"/>
          <w:i w:val="0"/>
        </w:rPr>
        <w:t xml:space="preserve"> </w:t>
      </w:r>
      <w:hyperlink w:anchor="latin-record-1202">
        <w:r>
          <w:rPr>
            <w:color w:val="000000"/>
          </w:rPr>
          <w:t xml:space="preserve">torpere / suscitare</w:t>
        </w:r>
      </w:hyperlink>
      <w:r>
        <w:rPr>
          <w:b w:val="0"/>
          <w:i w:val="0"/>
        </w:rPr>
        <w:t>.</w:t>
      </w:r>
    </w:p>
    <w:p>
      <w:pPr>
        <w:widowControl/>
      </w:pPr>
      <w:r>
        <w:rPr>
          <w:b/>
          <w:i w:val="0"/>
        </w:rPr>
        <w:t>tota.</w:t>
      </w:r>
      <w:r>
        <w:rPr>
          <w:b w:val="0"/>
          <w:i w:val="0"/>
        </w:rPr>
        <w:t xml:space="preserve"> </w:t>
      </w:r>
      <w:hyperlink w:anchor="latin-record-0823">
        <w:r>
          <w:rPr>
            <w:color w:val="000000"/>
          </w:rPr>
          <w:t xml:space="preserve">pars / totum</w:t>
        </w:r>
      </w:hyperlink>
      <w:r>
        <w:rPr>
          <w:b w:val="0"/>
          <w:i w:val="0"/>
        </w:rPr>
        <w:t>.</w:t>
      </w:r>
    </w:p>
    <w:p>
      <w:pPr>
        <w:widowControl/>
      </w:pPr>
      <w:r>
        <w:rPr>
          <w:b/>
          <w:i w:val="0"/>
        </w:rPr>
        <w:t>tota simul.</w:t>
      </w:r>
      <w:r>
        <w:rPr>
          <w:b w:val="0"/>
          <w:i w:val="0"/>
        </w:rPr>
        <w:t xml:space="preserve"> </w:t>
      </w:r>
      <w:hyperlink w:anchor="latin-record-1203">
        <w:r>
          <w:rPr>
            <w:color w:val="000000"/>
          </w:rPr>
          <w:t xml:space="preserve">tota simul</w:t>
        </w:r>
      </w:hyperlink>
      <w:r>
        <w:rPr>
          <w:b w:val="0"/>
          <w:i w:val="0"/>
        </w:rPr>
        <w:t>.</w:t>
      </w:r>
    </w:p>
    <w:p>
      <w:pPr>
        <w:widowControl/>
      </w:pPr>
      <w:r>
        <w:rPr>
          <w:b/>
          <w:i w:val="0"/>
        </w:rPr>
        <w:t>totam.</w:t>
      </w:r>
      <w:r>
        <w:rPr>
          <w:b w:val="0"/>
          <w:i w:val="0"/>
        </w:rPr>
        <w:t xml:space="preserve"> </w:t>
      </w:r>
      <w:hyperlink w:anchor="latin-record-0824">
        <w:r>
          <w:rPr>
            <w:color w:val="000000"/>
          </w:rPr>
          <w:t xml:space="preserve">pars / totus</w:t>
        </w:r>
      </w:hyperlink>
      <w:r>
        <w:rPr>
          <w:b w:val="0"/>
          <w:i w:val="0"/>
        </w:rPr>
        <w:t>.</w:t>
      </w:r>
    </w:p>
    <w:p>
      <w:pPr>
        <w:widowControl/>
      </w:pPr>
      <w:r>
        <w:rPr>
          <w:b/>
          <w:i w:val="0"/>
        </w:rPr>
        <w:t>totique.</w:t>
      </w:r>
      <w:r>
        <w:rPr>
          <w:b w:val="0"/>
          <w:i w:val="0"/>
        </w:rPr>
        <w:t xml:space="preserve"> </w:t>
      </w:r>
      <w:hyperlink w:anchor="latin-record-0823">
        <w:r>
          <w:rPr>
            <w:color w:val="000000"/>
          </w:rPr>
          <w:t xml:space="preserve">pars / totum</w:t>
        </w:r>
      </w:hyperlink>
      <w:r>
        <w:rPr>
          <w:b w:val="0"/>
          <w:i w:val="0"/>
        </w:rPr>
        <w:t>.</w:t>
      </w:r>
    </w:p>
    <w:p>
      <w:pPr>
        <w:widowControl/>
      </w:pPr>
      <w:r>
        <w:rPr>
          <w:b/>
          <w:i w:val="0"/>
        </w:rPr>
        <w:t>totius.</w:t>
      </w:r>
      <w:r>
        <w:rPr>
          <w:b w:val="0"/>
          <w:i w:val="0"/>
        </w:rPr>
        <w:t xml:space="preserve"> </w:t>
      </w:r>
      <w:hyperlink w:anchor="latin-record-0823">
        <w:r>
          <w:rPr>
            <w:color w:val="000000"/>
          </w:rPr>
          <w:t xml:space="preserve">pars / totum</w:t>
        </w:r>
      </w:hyperlink>
      <w:r>
        <w:rPr>
          <w:b w:val="0"/>
          <w:i w:val="0"/>
        </w:rPr>
        <w:t xml:space="preserve">; </w:t>
      </w:r>
      <w:hyperlink w:anchor="latin-record-0824">
        <w:r>
          <w:rPr>
            <w:color w:val="000000"/>
          </w:rPr>
          <w:t xml:space="preserve">pars / totus</w:t>
        </w:r>
      </w:hyperlink>
      <w:r>
        <w:rPr>
          <w:b w:val="0"/>
          <w:i w:val="0"/>
        </w:rPr>
        <w:t>.</w:t>
      </w:r>
    </w:p>
    <w:p>
      <w:pPr>
        <w:widowControl/>
      </w:pPr>
      <w:r>
        <w:rPr>
          <w:b/>
          <w:i w:val="0"/>
        </w:rPr>
        <w:t>totius mundi gratia.</w:t>
      </w:r>
      <w:r>
        <w:rPr>
          <w:b w:val="0"/>
          <w:i w:val="0"/>
        </w:rPr>
        <w:t xml:space="preserve"> </w:t>
      </w:r>
      <w:hyperlink w:anchor="latin-record-0488">
        <w:r>
          <w:rPr>
            <w:color w:val="000000"/>
          </w:rPr>
          <w:t xml:space="preserve">gratia / causa with genitive</w:t>
        </w:r>
      </w:hyperlink>
      <w:r>
        <w:rPr>
          <w:b w:val="0"/>
          <w:i w:val="0"/>
        </w:rPr>
        <w:t>.</w:t>
      </w:r>
    </w:p>
    <w:p>
      <w:pPr>
        <w:widowControl/>
      </w:pPr>
      <w:r>
        <w:rPr>
          <w:b/>
          <w:i w:val="0"/>
        </w:rPr>
        <w:t>toto.</w:t>
      </w:r>
      <w:r>
        <w:rPr>
          <w:b w:val="0"/>
          <w:i w:val="0"/>
        </w:rPr>
        <w:t xml:space="preserve"> </w:t>
      </w:r>
      <w:hyperlink w:anchor="latin-record-0823">
        <w:r>
          <w:rPr>
            <w:color w:val="000000"/>
          </w:rPr>
          <w:t xml:space="preserve">pars / totum</w:t>
        </w:r>
      </w:hyperlink>
      <w:r>
        <w:rPr>
          <w:b w:val="0"/>
          <w:i w:val="0"/>
        </w:rPr>
        <w:t xml:space="preserve">; </w:t>
      </w:r>
      <w:hyperlink w:anchor="latin-record-0824">
        <w:r>
          <w:rPr>
            <w:color w:val="000000"/>
          </w:rPr>
          <w:t xml:space="preserve">pars / totus</w:t>
        </w:r>
      </w:hyperlink>
      <w:r>
        <w:rPr>
          <w:b w:val="0"/>
          <w:i w:val="0"/>
        </w:rPr>
        <w:t>.</w:t>
      </w:r>
    </w:p>
    <w:p>
      <w:pPr>
        <w:widowControl/>
      </w:pPr>
      <w:r>
        <w:rPr>
          <w:b/>
          <w:i w:val="0"/>
        </w:rPr>
        <w:t>totum.</w:t>
      </w:r>
      <w:r>
        <w:rPr>
          <w:b w:val="0"/>
          <w:i w:val="0"/>
        </w:rPr>
        <w:t xml:space="preserve"> </w:t>
      </w:r>
      <w:hyperlink w:anchor="latin-record-0212">
        <w:r>
          <w:rPr>
            <w:color w:val="000000"/>
          </w:rPr>
          <w:t xml:space="preserve">compono / pars / totum</w:t>
        </w:r>
      </w:hyperlink>
      <w:r>
        <w:rPr>
          <w:b w:val="0"/>
          <w:i w:val="0"/>
        </w:rPr>
        <w:t xml:space="preserve">; </w:t>
      </w:r>
      <w:hyperlink w:anchor="latin-record-0823">
        <w:r>
          <w:rPr>
            <w:color w:val="000000"/>
          </w:rPr>
          <w:t xml:space="preserve">pars / totum</w:t>
        </w:r>
      </w:hyperlink>
      <w:r>
        <w:rPr>
          <w:b w:val="0"/>
          <w:i w:val="0"/>
        </w:rPr>
        <w:t xml:space="preserve">; </w:t>
      </w:r>
      <w:hyperlink w:anchor="latin-record-0824">
        <w:r>
          <w:rPr>
            <w:color w:val="000000"/>
          </w:rPr>
          <w:t xml:space="preserve">pars / totus</w:t>
        </w:r>
      </w:hyperlink>
      <w:r>
        <w:rPr>
          <w:b w:val="0"/>
          <w:i w:val="0"/>
        </w:rPr>
        <w:t>.</w:t>
      </w:r>
    </w:p>
    <w:p>
      <w:pPr>
        <w:widowControl/>
      </w:pPr>
      <w:r>
        <w:rPr>
          <w:b/>
          <w:i w:val="0"/>
        </w:rPr>
        <w:t>totumque in singulis.</w:t>
      </w:r>
      <w:r>
        <w:rPr>
          <w:b w:val="0"/>
          <w:i w:val="0"/>
        </w:rPr>
        <w:t xml:space="preserve"> </w:t>
      </w:r>
      <w:hyperlink w:anchor="latin-record-0197">
        <w:r>
          <w:rPr>
            <w:color w:val="000000"/>
          </w:rPr>
          <w:t xml:space="preserve">commune / totum in singulis</w:t>
        </w:r>
      </w:hyperlink>
      <w:r>
        <w:rPr>
          <w:b w:val="0"/>
          <w:i w:val="0"/>
        </w:rPr>
        <w:t>.</w:t>
      </w:r>
    </w:p>
    <w:p>
      <w:pPr>
        <w:widowControl/>
      </w:pPr>
      <w:r>
        <w:rPr>
          <w:b/>
          <w:i w:val="0"/>
        </w:rPr>
        <w:t>totus.</w:t>
      </w:r>
      <w:r>
        <w:rPr>
          <w:b w:val="0"/>
          <w:i w:val="0"/>
        </w:rPr>
        <w:t xml:space="preserve"> </w:t>
      </w:r>
      <w:hyperlink w:anchor="latin-record-0824">
        <w:r>
          <w:rPr>
            <w:color w:val="000000"/>
          </w:rPr>
          <w:t xml:space="preserve">pars / totus</w:t>
        </w:r>
      </w:hyperlink>
      <w:r>
        <w:rPr>
          <w:b w:val="0"/>
          <w:i w:val="0"/>
        </w:rPr>
        <w:t>.</w:t>
      </w:r>
    </w:p>
    <w:p>
      <w:pPr>
        <w:widowControl/>
      </w:pPr>
      <w:r>
        <w:rPr>
          <w:b/>
          <w:i w:val="0"/>
        </w:rPr>
        <w:t>tractavimus.</w:t>
      </w:r>
      <w:r>
        <w:rPr>
          <w:b w:val="0"/>
          <w:i w:val="0"/>
        </w:rPr>
        <w:t xml:space="preserve"> </w:t>
      </w:r>
      <w:hyperlink w:anchor="latin-record-0345">
        <w:r>
          <w:rPr>
            <w:color w:val="000000"/>
          </w:rPr>
          <w:t xml:space="preserve">doctrina / tracto</w:t>
        </w:r>
      </w:hyperlink>
      <w:r>
        <w:rPr>
          <w:b w:val="0"/>
          <w:i w:val="0"/>
        </w:rPr>
        <w:t>.</w:t>
      </w:r>
    </w:p>
    <w:p>
      <w:pPr>
        <w:widowControl/>
      </w:pPr>
      <w:r>
        <w:rPr>
          <w:b/>
          <w:i w:val="0"/>
        </w:rPr>
        <w:t>tractet.</w:t>
      </w:r>
      <w:r>
        <w:rPr>
          <w:b w:val="0"/>
          <w:i w:val="0"/>
        </w:rPr>
        <w:t xml:space="preserve"> </w:t>
      </w:r>
      <w:hyperlink w:anchor="latin-record-0345">
        <w:r>
          <w:rPr>
            <w:color w:val="000000"/>
          </w:rPr>
          <w:t xml:space="preserve">doctrina / tracto</w:t>
        </w:r>
      </w:hyperlink>
      <w:r>
        <w:rPr>
          <w:b w:val="0"/>
          <w:i w:val="0"/>
        </w:rPr>
        <w:t>.</w:t>
      </w:r>
    </w:p>
    <w:p>
      <w:pPr>
        <w:widowControl/>
      </w:pPr>
      <w:r>
        <w:rPr>
          <w:b/>
          <w:i w:val="0"/>
        </w:rPr>
        <w:t>tractu.</w:t>
      </w:r>
      <w:r>
        <w:rPr>
          <w:b w:val="0"/>
          <w:i w:val="0"/>
        </w:rPr>
        <w:t xml:space="preserve"> </w:t>
      </w:r>
      <w:hyperlink w:anchor="latin-record-1204">
        <w:r>
          <w:rPr>
            <w:color w:val="000000"/>
          </w:rPr>
          <w:t xml:space="preserve">tractus / trahere</w:t>
        </w:r>
      </w:hyperlink>
      <w:r>
        <w:rPr>
          <w:b w:val="0"/>
          <w:i w:val="0"/>
        </w:rPr>
        <w:t>.</w:t>
      </w:r>
    </w:p>
    <w:p>
      <w:pPr>
        <w:widowControl/>
      </w:pPr>
      <w:r>
        <w:rPr>
          <w:b/>
          <w:i w:val="0"/>
        </w:rPr>
        <w:t>tractum.</w:t>
      </w:r>
      <w:r>
        <w:rPr>
          <w:b w:val="0"/>
          <w:i w:val="0"/>
        </w:rPr>
        <w:t xml:space="preserve"> </w:t>
      </w:r>
      <w:hyperlink w:anchor="latin-record-1251">
        <w:r>
          <w:rPr>
            <w:color w:val="000000"/>
          </w:rPr>
          <w:t xml:space="preserve">via / pactum / tractus</w:t>
        </w:r>
      </w:hyperlink>
      <w:r>
        <w:rPr>
          <w:b w:val="0"/>
          <w:i w:val="0"/>
        </w:rPr>
        <w:t>.</w:t>
      </w:r>
    </w:p>
    <w:p>
      <w:pPr>
        <w:widowControl/>
      </w:pPr>
      <w:r>
        <w:rPr>
          <w:b/>
          <w:i w:val="0"/>
        </w:rPr>
        <w:t>tradit.</w:t>
      </w:r>
      <w:r>
        <w:rPr>
          <w:b w:val="0"/>
          <w:i w:val="0"/>
        </w:rPr>
        <w:t xml:space="preserve"> </w:t>
      </w:r>
      <w:hyperlink w:anchor="latin-record-1211">
        <w:r>
          <w:rPr>
            <w:color w:val="000000"/>
          </w:rPr>
          <w:t xml:space="preserve">tribuere / tradere</w:t>
        </w:r>
      </w:hyperlink>
      <w:r>
        <w:rPr>
          <w:b w:val="0"/>
          <w:i w:val="0"/>
        </w:rPr>
        <w:t>.</w:t>
      </w:r>
    </w:p>
    <w:p>
      <w:pPr>
        <w:widowControl/>
      </w:pPr>
      <w:r>
        <w:rPr>
          <w:b/>
          <w:i w:val="0"/>
        </w:rPr>
        <w:t>tradunt.</w:t>
      </w:r>
      <w:r>
        <w:rPr>
          <w:b w:val="0"/>
          <w:i w:val="0"/>
        </w:rPr>
        <w:t xml:space="preserve"> </w:t>
      </w:r>
      <w:hyperlink w:anchor="latin-record-0234">
        <w:r>
          <w:rPr>
            <w:color w:val="000000"/>
          </w:rPr>
          <w:t xml:space="preserve">confiteri / tradere</w:t>
        </w:r>
      </w:hyperlink>
      <w:r>
        <w:rPr>
          <w:b w:val="0"/>
          <w:i w:val="0"/>
        </w:rPr>
        <w:t>.</w:t>
      </w:r>
    </w:p>
    <w:p>
      <w:pPr>
        <w:widowControl/>
      </w:pPr>
      <w:r>
        <w:rPr>
          <w:b/>
          <w:i w:val="0"/>
        </w:rPr>
        <w:t>trahit.</w:t>
      </w:r>
      <w:r>
        <w:rPr>
          <w:b w:val="0"/>
          <w:i w:val="0"/>
        </w:rPr>
        <w:t xml:space="preserve"> </w:t>
      </w:r>
      <w:hyperlink w:anchor="latin-record-1201">
        <w:r>
          <w:rPr>
            <w:color w:val="000000"/>
          </w:rPr>
          <w:t xml:space="preserve">tollo / traho / transfero</w:t>
        </w:r>
      </w:hyperlink>
      <w:r>
        <w:rPr>
          <w:b w:val="0"/>
          <w:i w:val="0"/>
        </w:rPr>
        <w:t>.</w:t>
      </w:r>
    </w:p>
    <w:p>
      <w:pPr>
        <w:widowControl/>
      </w:pPr>
      <w:r>
        <w:rPr>
          <w:b/>
          <w:i w:val="0"/>
        </w:rPr>
        <w:t>trahitur.</w:t>
      </w:r>
      <w:r>
        <w:rPr>
          <w:b w:val="0"/>
          <w:i w:val="0"/>
        </w:rPr>
        <w:t xml:space="preserve"> </w:t>
      </w:r>
      <w:hyperlink w:anchor="latin-record-0893">
        <w:r>
          <w:rPr>
            <w:color w:val="000000"/>
          </w:rPr>
          <w:t xml:space="preserve">porrigere / tendere</w:t>
        </w:r>
      </w:hyperlink>
      <w:r>
        <w:rPr>
          <w:b w:val="0"/>
          <w:i w:val="0"/>
        </w:rPr>
        <w:t>.</w:t>
      </w:r>
    </w:p>
    <w:p>
      <w:pPr>
        <w:widowControl/>
      </w:pPr>
      <w:r>
        <w:rPr>
          <w:b/>
          <w:i w:val="0"/>
        </w:rPr>
        <w:t>trahunt.</w:t>
      </w:r>
      <w:r>
        <w:rPr>
          <w:b w:val="0"/>
          <w:i w:val="0"/>
        </w:rPr>
        <w:t xml:space="preserve"> </w:t>
      </w:r>
      <w:hyperlink w:anchor="latin-record-1204">
        <w:r>
          <w:rPr>
            <w:color w:val="000000"/>
          </w:rPr>
          <w:t xml:space="preserve">tractus / trahere</w:t>
        </w:r>
      </w:hyperlink>
      <w:r>
        <w:rPr>
          <w:b w:val="0"/>
          <w:i w:val="0"/>
        </w:rPr>
        <w:t>.</w:t>
      </w:r>
    </w:p>
    <w:p>
      <w:pPr>
        <w:widowControl/>
      </w:pPr>
      <w:r>
        <w:rPr>
          <w:b/>
          <w:i w:val="0"/>
        </w:rPr>
        <w:t>trahuntur.</w:t>
      </w:r>
      <w:r>
        <w:rPr>
          <w:b w:val="0"/>
          <w:i w:val="0"/>
        </w:rPr>
        <w:t xml:space="preserve"> </w:t>
      </w:r>
      <w:hyperlink w:anchor="latin-record-0352">
        <w:r>
          <w:rPr>
            <w:color w:val="000000"/>
          </w:rPr>
          <w:t xml:space="preserve">ducere / deducere / trahere</w:t>
        </w:r>
      </w:hyperlink>
      <w:r>
        <w:rPr>
          <w:b w:val="0"/>
          <w:i w:val="0"/>
        </w:rPr>
        <w:t>.</w:t>
      </w:r>
    </w:p>
    <w:p>
      <w:pPr>
        <w:widowControl/>
      </w:pPr>
      <w:r>
        <w:rPr>
          <w:b/>
          <w:i w:val="0"/>
        </w:rPr>
        <w:t>tramite.</w:t>
      </w:r>
      <w:r>
        <w:rPr>
          <w:b w:val="0"/>
          <w:i w:val="0"/>
        </w:rPr>
        <w:t xml:space="preserve"> </w:t>
      </w:r>
      <w:hyperlink w:anchor="latin-record-1206">
        <w:r>
          <w:rPr>
            <w:color w:val="000000"/>
          </w:rPr>
          <w:t xml:space="preserve">trames / oberrare</w:t>
        </w:r>
      </w:hyperlink>
      <w:r>
        <w:rPr>
          <w:b w:val="0"/>
          <w:i w:val="0"/>
        </w:rPr>
        <w:t>.</w:t>
      </w:r>
    </w:p>
    <w:p>
      <w:pPr>
        <w:widowControl/>
      </w:pPr>
      <w:r>
        <w:rPr>
          <w:b/>
          <w:i w:val="0"/>
        </w:rPr>
        <w:t>tramitem.</w:t>
      </w:r>
      <w:r>
        <w:rPr>
          <w:b w:val="0"/>
          <w:i w:val="0"/>
        </w:rPr>
        <w:t xml:space="preserve"> </w:t>
      </w:r>
      <w:hyperlink w:anchor="latin-record-1205">
        <w:r>
          <w:rPr>
            <w:color w:val="000000"/>
          </w:rPr>
          <w:t xml:space="preserve">trames</w:t>
        </w:r>
      </w:hyperlink>
      <w:r>
        <w:rPr>
          <w:b w:val="0"/>
          <w:i w:val="0"/>
        </w:rPr>
        <w:t>.</w:t>
      </w:r>
    </w:p>
    <w:p>
      <w:pPr>
        <w:widowControl/>
      </w:pPr>
      <w:r>
        <w:rPr>
          <w:b/>
          <w:i w:val="0"/>
        </w:rPr>
        <w:t>transcendamus.</w:t>
      </w:r>
      <w:r>
        <w:rPr>
          <w:b w:val="0"/>
          <w:i w:val="0"/>
        </w:rPr>
        <w:t xml:space="preserve"> </w:t>
      </w:r>
      <w:hyperlink w:anchor="latin-record-1207">
        <w:r>
          <w:rPr>
            <w:color w:val="000000"/>
          </w:rPr>
          <w:t xml:space="preserve">transcendo / proveho</w:t>
        </w:r>
      </w:hyperlink>
      <w:r>
        <w:rPr>
          <w:b w:val="0"/>
          <w:i w:val="0"/>
        </w:rPr>
        <w:t>.</w:t>
      </w:r>
    </w:p>
    <w:p>
      <w:pPr>
        <w:widowControl/>
      </w:pPr>
      <w:r>
        <w:rPr>
          <w:b/>
          <w:i w:val="0"/>
        </w:rPr>
        <w:t>transeunt.</w:t>
      </w:r>
      <w:r>
        <w:rPr>
          <w:b w:val="0"/>
          <w:i w:val="0"/>
        </w:rPr>
        <w:t xml:space="preserve"> </w:t>
      </w:r>
      <w:hyperlink w:anchor="latin-record-0698">
        <w:r>
          <w:rPr>
            <w:color w:val="000000"/>
          </w:rPr>
          <w:t xml:space="preserve">migrare / transire</w:t>
        </w:r>
      </w:hyperlink>
      <w:r>
        <w:rPr>
          <w:b w:val="0"/>
          <w:i w:val="0"/>
        </w:rPr>
        <w:t>.</w:t>
      </w:r>
    </w:p>
    <w:p>
      <w:pPr>
        <w:widowControl/>
      </w:pPr>
      <w:r>
        <w:rPr>
          <w:b/>
          <w:i w:val="0"/>
        </w:rPr>
        <w:t>transferre.</w:t>
      </w:r>
      <w:r>
        <w:rPr>
          <w:b w:val="0"/>
          <w:i w:val="0"/>
        </w:rPr>
        <w:t xml:space="preserve"> </w:t>
      </w:r>
      <w:hyperlink w:anchor="latin-record-1208">
        <w:r>
          <w:rPr>
            <w:color w:val="000000"/>
          </w:rPr>
          <w:t xml:space="preserve">transferre / assequi</w:t>
        </w:r>
      </w:hyperlink>
      <w:r>
        <w:rPr>
          <w:b w:val="0"/>
          <w:i w:val="0"/>
        </w:rPr>
        <w:t>.</w:t>
      </w:r>
    </w:p>
    <w:p>
      <w:pPr>
        <w:widowControl/>
      </w:pPr>
      <w:r>
        <w:rPr>
          <w:b/>
          <w:i w:val="0"/>
        </w:rPr>
        <w:t>transfert.</w:t>
      </w:r>
      <w:r>
        <w:rPr>
          <w:b w:val="0"/>
          <w:i w:val="0"/>
        </w:rPr>
        <w:t xml:space="preserve"> </w:t>
      </w:r>
      <w:hyperlink w:anchor="latin-record-1201">
        <w:r>
          <w:rPr>
            <w:color w:val="000000"/>
          </w:rPr>
          <w:t xml:space="preserve">tollo / traho / transfero</w:t>
        </w:r>
      </w:hyperlink>
      <w:r>
        <w:rPr>
          <w:b w:val="0"/>
          <w:i w:val="0"/>
        </w:rPr>
        <w:t>.</w:t>
      </w:r>
    </w:p>
    <w:p>
      <w:pPr>
        <w:widowControl/>
      </w:pPr>
      <w:r>
        <w:rPr>
          <w:b/>
          <w:i w:val="0"/>
        </w:rPr>
        <w:t>transgressio.</w:t>
      </w:r>
      <w:r>
        <w:rPr>
          <w:b w:val="0"/>
          <w:i w:val="0"/>
        </w:rPr>
        <w:t xml:space="preserve"> </w:t>
      </w:r>
      <w:hyperlink w:anchor="latin-record-0713">
        <w:r>
          <w:rPr>
            <w:color w:val="000000"/>
          </w:rPr>
          <w:t xml:space="preserve">mora / transgressio / retractatio</w:t>
        </w:r>
      </w:hyperlink>
      <w:r>
        <w:rPr>
          <w:b w:val="0"/>
          <w:i w:val="0"/>
        </w:rPr>
        <w:t>.</w:t>
      </w:r>
    </w:p>
    <w:p>
      <w:pPr>
        <w:widowControl/>
      </w:pPr>
      <w:r>
        <w:rPr>
          <w:b/>
          <w:i w:val="0"/>
        </w:rPr>
        <w:t>transgressioque.</w:t>
      </w:r>
      <w:r>
        <w:rPr>
          <w:b w:val="0"/>
          <w:i w:val="0"/>
        </w:rPr>
        <w:t xml:space="preserve"> </w:t>
      </w:r>
      <w:hyperlink w:anchor="latin-record-0626">
        <w:r>
          <w:rPr>
            <w:color w:val="000000"/>
          </w:rPr>
          <w:t xml:space="preserve">labor / transgressio</w:t>
        </w:r>
      </w:hyperlink>
      <w:r>
        <w:rPr>
          <w:b w:val="0"/>
          <w:i w:val="0"/>
        </w:rPr>
        <w:t>.</w:t>
      </w:r>
    </w:p>
    <w:p>
      <w:pPr>
        <w:widowControl/>
      </w:pPr>
      <w:r>
        <w:rPr>
          <w:b/>
          <w:i w:val="0"/>
        </w:rPr>
        <w:t>transigitur.</w:t>
      </w:r>
      <w:r>
        <w:rPr>
          <w:b w:val="0"/>
          <w:i w:val="0"/>
        </w:rPr>
        <w:t xml:space="preserve"> </w:t>
      </w:r>
      <w:hyperlink w:anchor="latin-record-1209">
        <w:r>
          <w:rPr>
            <w:color w:val="000000"/>
          </w:rPr>
          <w:t xml:space="preserve">transigo / perago / consummation</w:t>
        </w:r>
      </w:hyperlink>
      <w:r>
        <w:rPr>
          <w:b w:val="0"/>
          <w:i w:val="0"/>
        </w:rPr>
        <w:t>.</w:t>
      </w:r>
    </w:p>
    <w:p>
      <w:pPr>
        <w:widowControl/>
      </w:pPr>
      <w:r>
        <w:rPr>
          <w:b/>
          <w:i w:val="0"/>
        </w:rPr>
        <w:t>transire.</w:t>
      </w:r>
      <w:r>
        <w:rPr>
          <w:b w:val="0"/>
          <w:i w:val="0"/>
        </w:rPr>
        <w:t xml:space="preserve"> </w:t>
      </w:r>
      <w:hyperlink w:anchor="latin-record-0698">
        <w:r>
          <w:rPr>
            <w:color w:val="000000"/>
          </w:rPr>
          <w:t xml:space="preserve">migrare / transire</w:t>
        </w:r>
      </w:hyperlink>
      <w:r>
        <w:rPr>
          <w:b w:val="0"/>
          <w:i w:val="0"/>
        </w:rPr>
        <w:t>.</w:t>
      </w:r>
    </w:p>
    <w:p>
      <w:pPr>
        <w:widowControl/>
      </w:pPr>
      <w:r>
        <w:rPr>
          <w:b/>
          <w:i w:val="0"/>
        </w:rPr>
        <w:t>transit.</w:t>
      </w:r>
      <w:r>
        <w:rPr>
          <w:b w:val="0"/>
          <w:i w:val="0"/>
        </w:rPr>
        <w:t xml:space="preserve"> </w:t>
      </w:r>
      <w:hyperlink w:anchor="latin-record-0698">
        <w:r>
          <w:rPr>
            <w:color w:val="000000"/>
          </w:rPr>
          <w:t xml:space="preserve">migrare / transire</w:t>
        </w:r>
      </w:hyperlink>
      <w:r>
        <w:rPr>
          <w:b w:val="0"/>
          <w:i w:val="0"/>
        </w:rPr>
        <w:t>.</w:t>
      </w:r>
    </w:p>
    <w:p>
      <w:pPr>
        <w:widowControl/>
      </w:pPr>
      <w:r>
        <w:rPr>
          <w:b/>
          <w:i w:val="0"/>
        </w:rPr>
        <w:t>translationem.</w:t>
      </w:r>
      <w:r>
        <w:rPr>
          <w:b w:val="0"/>
          <w:i w:val="0"/>
        </w:rPr>
        <w:t xml:space="preserve"> </w:t>
      </w:r>
      <w:hyperlink w:anchor="latin-record-1210">
        <w:r>
          <w:rPr>
            <w:color w:val="000000"/>
          </w:rPr>
          <w:t xml:space="preserve">translatio</w:t>
        </w:r>
      </w:hyperlink>
      <w:r>
        <w:rPr>
          <w:b w:val="0"/>
          <w:i w:val="0"/>
        </w:rPr>
        <w:t>.</w:t>
      </w:r>
    </w:p>
    <w:p>
      <w:pPr>
        <w:widowControl/>
      </w:pPr>
      <w:r>
        <w:rPr>
          <w:b/>
          <w:i w:val="0"/>
        </w:rPr>
        <w:t>tribuimus.</w:t>
      </w:r>
      <w:r>
        <w:rPr>
          <w:b w:val="0"/>
          <w:i w:val="0"/>
        </w:rPr>
        <w:t xml:space="preserve"> </w:t>
      </w:r>
      <w:hyperlink w:anchor="latin-record-1211">
        <w:r>
          <w:rPr>
            <w:color w:val="000000"/>
          </w:rPr>
          <w:t xml:space="preserve">tribuere / tradere</w:t>
        </w:r>
      </w:hyperlink>
      <w:r>
        <w:rPr>
          <w:b w:val="0"/>
          <w:i w:val="0"/>
        </w:rPr>
        <w:t>.</w:t>
      </w:r>
    </w:p>
    <w:p>
      <w:pPr>
        <w:widowControl/>
      </w:pPr>
      <w:r>
        <w:rPr>
          <w:b/>
          <w:i w:val="0"/>
        </w:rPr>
        <w:t>Tubarum.</w:t>
      </w:r>
      <w:r>
        <w:rPr>
          <w:b w:val="0"/>
          <w:i w:val="0"/>
        </w:rPr>
        <w:t xml:space="preserve"> </w:t>
      </w:r>
      <w:hyperlink w:anchor="latin-record-1212">
        <w:r>
          <w:rPr>
            <w:color w:val="000000"/>
          </w:rPr>
          <w:t xml:space="preserve">tuba / cornu / cantus</w:t>
        </w:r>
      </w:hyperlink>
      <w:r>
        <w:rPr>
          <w:b w:val="0"/>
          <w:i w:val="0"/>
        </w:rPr>
        <w:t>.</w:t>
      </w:r>
    </w:p>
    <w:p>
      <w:pPr>
        <w:widowControl/>
      </w:pPr>
      <w:r>
        <w:rPr>
          <w:b/>
          <w:i w:val="0"/>
        </w:rPr>
        <w:t>tumeat.</w:t>
      </w:r>
      <w:r>
        <w:rPr>
          <w:b w:val="0"/>
          <w:i w:val="0"/>
        </w:rPr>
        <w:t xml:space="preserve"> </w:t>
      </w:r>
      <w:hyperlink w:anchor="latin-record-0969">
        <w:r>
          <w:rPr>
            <w:color w:val="000000"/>
          </w:rPr>
          <w:t xml:space="preserve">protendo / tumeo</w:t>
        </w:r>
      </w:hyperlink>
      <w:r>
        <w:rPr>
          <w:b w:val="0"/>
          <w:i w:val="0"/>
        </w:rPr>
        <w:t>.</w:t>
      </w:r>
    </w:p>
    <w:p>
      <w:pPr>
        <w:widowControl/>
      </w:pPr>
      <w:r>
        <w:rPr>
          <w:b/>
          <w:i w:val="0"/>
        </w:rPr>
        <w:t>tunc demum affirmanda.</w:t>
      </w:r>
      <w:r>
        <w:rPr>
          <w:b w:val="0"/>
          <w:i w:val="0"/>
        </w:rPr>
        <w:t xml:space="preserve"> </w:t>
      </w:r>
      <w:hyperlink w:anchor="latin-record-1213">
        <w:r>
          <w:rPr>
            <w:color w:val="000000"/>
          </w:rPr>
          <w:t xml:space="preserve">tunc demum affirmanda</w:t>
        </w:r>
      </w:hyperlink>
      <w:r>
        <w:rPr>
          <w:b w:val="0"/>
          <w:i w:val="0"/>
        </w:rPr>
        <w:t>.</w:t>
      </w:r>
    </w:p>
    <w:p>
      <w:pPr>
        <w:widowControl/>
      </w:pPr>
      <w:r>
        <w:rPr>
          <w:b/>
          <w:i w:val="0"/>
        </w:rPr>
        <w:t>Tuscos.</w:t>
      </w:r>
      <w:r>
        <w:rPr>
          <w:b w:val="0"/>
          <w:i w:val="0"/>
        </w:rPr>
        <w:t xml:space="preserve"> </w:t>
      </w:r>
      <w:hyperlink w:anchor="latin-record-0892">
        <w:r>
          <w:rPr>
            <w:color w:val="000000"/>
          </w:rPr>
          <w:t xml:space="preserve">Porphyrius / Persis / Tusci</w:t>
        </w:r>
      </w:hyperlink>
      <w:r>
        <w:rPr>
          <w:b w:val="0"/>
          <w:i w:val="0"/>
        </w:rPr>
        <w:t>.</w:t>
      </w:r>
    </w:p>
    <w:p>
      <w:pPr>
        <w:widowControl/>
      </w:pPr>
      <w:r>
        <w:rPr>
          <w:b/>
          <w:i w:val="0"/>
        </w:rPr>
        <w:t>ubi.</w:t>
      </w:r>
      <w:r>
        <w:rPr>
          <w:b w:val="0"/>
          <w:i w:val="0"/>
        </w:rPr>
        <w:t xml:space="preserve"> </w:t>
      </w:r>
      <w:hyperlink w:anchor="latin-record-1214">
        <w:r>
          <w:rPr>
            <w:color w:val="000000"/>
          </w:rPr>
          <w:t xml:space="preserve">ubique / nusquam / ubi</w:t>
        </w:r>
      </w:hyperlink>
      <w:r>
        <w:rPr>
          <w:b w:val="0"/>
          <w:i w:val="0"/>
        </w:rPr>
        <w:t>.</w:t>
      </w:r>
    </w:p>
    <w:p>
      <w:pPr>
        <w:widowControl/>
      </w:pPr>
      <w:r>
        <w:rPr>
          <w:b/>
          <w:i w:val="0"/>
        </w:rPr>
        <w:t>ubique.</w:t>
      </w:r>
      <w:r>
        <w:rPr>
          <w:b w:val="0"/>
          <w:i w:val="0"/>
        </w:rPr>
        <w:t xml:space="preserve"> </w:t>
      </w:r>
      <w:hyperlink w:anchor="latin-record-1214">
        <w:r>
          <w:rPr>
            <w:color w:val="000000"/>
          </w:rPr>
          <w:t xml:space="preserve">ubique / nusquam / ubi</w:t>
        </w:r>
      </w:hyperlink>
      <w:r>
        <w:rPr>
          <w:b w:val="0"/>
          <w:i w:val="0"/>
        </w:rPr>
        <w:t>.</w:t>
      </w:r>
    </w:p>
    <w:p>
      <w:pPr>
        <w:widowControl/>
      </w:pPr>
      <w:r>
        <w:rPr>
          <w:b/>
          <w:i w:val="0"/>
        </w:rPr>
        <w:t>Ultimum.</w:t>
      </w:r>
      <w:r>
        <w:rPr>
          <w:b w:val="0"/>
          <w:i w:val="0"/>
        </w:rPr>
        <w:t xml:space="preserve"> </w:t>
      </w:r>
      <w:hyperlink w:anchor="latin-record-0924">
        <w:r>
          <w:rPr>
            <w:color w:val="000000"/>
          </w:rPr>
          <w:t xml:space="preserve">primum / summum / ultimum</w:t>
        </w:r>
      </w:hyperlink>
      <w:r>
        <w:rPr>
          <w:b w:val="0"/>
          <w:i w:val="0"/>
        </w:rPr>
        <w:t>.</w:t>
      </w:r>
    </w:p>
    <w:p>
      <w:pPr>
        <w:widowControl/>
      </w:pPr>
      <w:r>
        <w:rPr>
          <w:b/>
          <w:i w:val="0"/>
        </w:rPr>
        <w:t>ultimum.</w:t>
      </w:r>
      <w:r>
        <w:rPr>
          <w:b w:val="0"/>
          <w:i w:val="0"/>
        </w:rPr>
        <w:t xml:space="preserve"> </w:t>
      </w:r>
      <w:hyperlink w:anchor="latin-record-0925">
        <w:r>
          <w:rPr>
            <w:color w:val="000000"/>
          </w:rPr>
          <w:t xml:space="preserve">primum / ultimum</w:t>
        </w:r>
      </w:hyperlink>
      <w:r>
        <w:rPr>
          <w:b w:val="0"/>
          <w:i w:val="0"/>
        </w:rPr>
        <w:t xml:space="preserve">; </w:t>
      </w:r>
      <w:hyperlink w:anchor="latin-record-0932">
        <w:r>
          <w:rPr>
            <w:color w:val="000000"/>
          </w:rPr>
          <w:t xml:space="preserve">prius / posterius / deinde</w:t>
        </w:r>
      </w:hyperlink>
      <w:r>
        <w:rPr>
          <w:b w:val="0"/>
          <w:i w:val="0"/>
        </w:rPr>
        <w:t>.</w:t>
      </w:r>
    </w:p>
    <w:p>
      <w:pPr>
        <w:widowControl/>
      </w:pPr>
      <w:r>
        <w:rPr>
          <w:b/>
          <w:i w:val="0"/>
        </w:rPr>
        <w:t>ultimus.</w:t>
      </w:r>
      <w:r>
        <w:rPr>
          <w:b w:val="0"/>
          <w:i w:val="0"/>
        </w:rPr>
        <w:t xml:space="preserve"> </w:t>
      </w:r>
      <w:hyperlink w:anchor="latin-record-0924">
        <w:r>
          <w:rPr>
            <w:color w:val="000000"/>
          </w:rPr>
          <w:t xml:space="preserve">primum / summum / ultimum</w:t>
        </w:r>
      </w:hyperlink>
      <w:r>
        <w:rPr>
          <w:b w:val="0"/>
          <w:i w:val="0"/>
        </w:rPr>
        <w:t>.</w:t>
      </w:r>
    </w:p>
    <w:p>
      <w:pPr>
        <w:widowControl/>
      </w:pPr>
      <w:r>
        <w:rPr>
          <w:b/>
          <w:i w:val="0"/>
        </w:rPr>
        <w:t>umbra.</w:t>
      </w:r>
      <w:r>
        <w:rPr>
          <w:b w:val="0"/>
          <w:i w:val="0"/>
        </w:rPr>
        <w:t xml:space="preserve"> </w:t>
      </w:r>
      <w:hyperlink w:anchor="latin-record-1215">
        <w:r>
          <w:rPr>
            <w:color w:val="000000"/>
          </w:rPr>
          <w:t xml:space="preserve">umbra</w:t>
        </w:r>
      </w:hyperlink>
      <w:r>
        <w:rPr>
          <w:b w:val="0"/>
          <w:i w:val="0"/>
        </w:rPr>
        <w:t xml:space="preserve">; </w:t>
      </w:r>
      <w:hyperlink w:anchor="latin-record-1217">
        <w:r>
          <w:rPr>
            <w:color w:val="000000"/>
          </w:rPr>
          <w:t xml:space="preserve">umbra / umbratilis / vanus</w:t>
        </w:r>
      </w:hyperlink>
      <w:r>
        <w:rPr>
          <w:b w:val="0"/>
          <w:i w:val="0"/>
        </w:rPr>
        <w:t>.</w:t>
      </w:r>
    </w:p>
    <w:p>
      <w:pPr>
        <w:widowControl/>
      </w:pPr>
      <w:r>
        <w:rPr>
          <w:b/>
          <w:i w:val="0"/>
        </w:rPr>
        <w:t>umbrae.</w:t>
      </w:r>
      <w:r>
        <w:rPr>
          <w:b w:val="0"/>
          <w:i w:val="0"/>
        </w:rPr>
        <w:t xml:space="preserve"> </w:t>
      </w:r>
      <w:hyperlink w:anchor="latin-record-0809">
        <w:r>
          <w:rPr>
            <w:color w:val="000000"/>
          </w:rPr>
          <w:t xml:space="preserve">ordo / umbra / imago</w:t>
        </w:r>
      </w:hyperlink>
      <w:r>
        <w:rPr>
          <w:b w:val="0"/>
          <w:i w:val="0"/>
        </w:rPr>
        <w:t>.</w:t>
      </w:r>
    </w:p>
    <w:p>
      <w:pPr>
        <w:widowControl/>
      </w:pPr>
      <w:r>
        <w:rPr>
          <w:b/>
          <w:i w:val="0"/>
        </w:rPr>
        <w:t>umbram.</w:t>
      </w:r>
      <w:r>
        <w:rPr>
          <w:b w:val="0"/>
          <w:i w:val="0"/>
        </w:rPr>
        <w:t xml:space="preserve"> </w:t>
      </w:r>
      <w:hyperlink w:anchor="latin-record-1215">
        <w:r>
          <w:rPr>
            <w:color w:val="000000"/>
          </w:rPr>
          <w:t xml:space="preserve">umbra</w:t>
        </w:r>
      </w:hyperlink>
      <w:r>
        <w:rPr>
          <w:b w:val="0"/>
          <w:i w:val="0"/>
        </w:rPr>
        <w:t>.</w:t>
      </w:r>
    </w:p>
    <w:p>
      <w:pPr>
        <w:widowControl/>
      </w:pPr>
      <w:r>
        <w:rPr>
          <w:b/>
          <w:i w:val="0"/>
        </w:rPr>
        <w:t>umbras.</w:t>
      </w:r>
      <w:r>
        <w:rPr>
          <w:b w:val="0"/>
          <w:i w:val="0"/>
        </w:rPr>
        <w:t xml:space="preserve"> </w:t>
      </w:r>
      <w:hyperlink w:anchor="latin-record-1216">
        <w:r>
          <w:rPr>
            <w:color w:val="000000"/>
          </w:rPr>
          <w:t xml:space="preserve">umbra / res vera</w:t>
        </w:r>
      </w:hyperlink>
      <w:r>
        <w:rPr>
          <w:b w:val="0"/>
          <w:i w:val="0"/>
        </w:rPr>
        <w:t xml:space="preserve">; </w:t>
      </w:r>
      <w:hyperlink w:anchor="latin-record-1218">
        <w:r>
          <w:rPr>
            <w:color w:val="000000"/>
          </w:rPr>
          <w:t xml:space="preserve">umbra arborum in torrente</w:t>
        </w:r>
      </w:hyperlink>
      <w:r>
        <w:rPr>
          <w:b w:val="0"/>
          <w:i w:val="0"/>
        </w:rPr>
        <w:t>.</w:t>
      </w:r>
    </w:p>
    <w:p>
      <w:pPr>
        <w:widowControl/>
      </w:pPr>
      <w:r>
        <w:rPr>
          <w:b/>
          <w:i w:val="0"/>
        </w:rPr>
        <w:t>umbratiles.</w:t>
      </w:r>
      <w:r>
        <w:rPr>
          <w:b w:val="0"/>
          <w:i w:val="0"/>
        </w:rPr>
        <w:t xml:space="preserve"> </w:t>
      </w:r>
      <w:hyperlink w:anchor="latin-record-1236">
        <w:r>
          <w:rPr>
            <w:color w:val="000000"/>
          </w:rPr>
          <w:t xml:space="preserve">vanus / umbratilis</w:t>
        </w:r>
      </w:hyperlink>
      <w:r>
        <w:rPr>
          <w:b w:val="0"/>
          <w:i w:val="0"/>
        </w:rPr>
        <w:t>.</w:t>
      </w:r>
    </w:p>
    <w:p>
      <w:pPr>
        <w:widowControl/>
      </w:pPr>
      <w:r>
        <w:rPr>
          <w:b/>
          <w:i w:val="0"/>
        </w:rPr>
        <w:t>umbratilis.</w:t>
      </w:r>
      <w:r>
        <w:rPr>
          <w:b w:val="0"/>
          <w:i w:val="0"/>
        </w:rPr>
        <w:t xml:space="preserve"> </w:t>
      </w:r>
      <w:hyperlink w:anchor="latin-record-1217">
        <w:r>
          <w:rPr>
            <w:color w:val="000000"/>
          </w:rPr>
          <w:t xml:space="preserve">umbra / umbratilis / vanus</w:t>
        </w:r>
      </w:hyperlink>
      <w:r>
        <w:rPr>
          <w:b w:val="0"/>
          <w:i w:val="0"/>
        </w:rPr>
        <w:t>.</w:t>
      </w:r>
    </w:p>
    <w:p>
      <w:pPr>
        <w:widowControl/>
      </w:pPr>
      <w:r>
        <w:rPr>
          <w:b/>
          <w:i w:val="0"/>
        </w:rPr>
        <w:t>umbris.</w:t>
      </w:r>
      <w:r>
        <w:rPr>
          <w:b w:val="0"/>
          <w:i w:val="0"/>
        </w:rPr>
        <w:t xml:space="preserve"> </w:t>
      </w:r>
      <w:hyperlink w:anchor="latin-record-1216">
        <w:r>
          <w:rPr>
            <w:color w:val="000000"/>
          </w:rPr>
          <w:t xml:space="preserve">umbra / res vera</w:t>
        </w:r>
      </w:hyperlink>
      <w:r>
        <w:rPr>
          <w:b w:val="0"/>
          <w:i w:val="0"/>
        </w:rPr>
        <w:t>.</w:t>
      </w:r>
    </w:p>
    <w:p>
      <w:pPr>
        <w:widowControl/>
      </w:pPr>
      <w:r>
        <w:rPr>
          <w:b/>
          <w:i w:val="0"/>
        </w:rPr>
        <w:t>unam habeat animam.</w:t>
      </w:r>
      <w:r>
        <w:rPr>
          <w:b w:val="0"/>
          <w:i w:val="0"/>
        </w:rPr>
        <w:t xml:space="preserve"> </w:t>
      </w:r>
      <w:hyperlink w:anchor="latin-record-1225">
        <w:r>
          <w:rPr>
            <w:color w:val="000000"/>
          </w:rPr>
          <w:t xml:space="preserve">unum vivens</w:t>
        </w:r>
      </w:hyperlink>
      <w:r>
        <w:rPr>
          <w:b w:val="0"/>
          <w:i w:val="0"/>
        </w:rPr>
        <w:t>.</w:t>
      </w:r>
    </w:p>
    <w:p>
      <w:pPr>
        <w:widowControl/>
      </w:pPr>
      <w:r>
        <w:rPr>
          <w:b/>
          <w:i w:val="0"/>
        </w:rPr>
        <w:t>unam vitam.</w:t>
      </w:r>
      <w:r>
        <w:rPr>
          <w:b w:val="0"/>
          <w:i w:val="0"/>
        </w:rPr>
        <w:t xml:space="preserve"> </w:t>
      </w:r>
      <w:hyperlink w:anchor="latin-record-1225">
        <w:r>
          <w:rPr>
            <w:color w:val="000000"/>
          </w:rPr>
          <w:t xml:space="preserve">unum vivens</w:t>
        </w:r>
      </w:hyperlink>
      <w:r>
        <w:rPr>
          <w:b w:val="0"/>
          <w:i w:val="0"/>
        </w:rPr>
        <w:t>.</w:t>
      </w:r>
    </w:p>
    <w:p>
      <w:pPr>
        <w:widowControl/>
      </w:pPr>
      <w:r>
        <w:rPr>
          <w:b/>
          <w:i w:val="0"/>
        </w:rPr>
        <w:t>unicolor.</w:t>
      </w:r>
      <w:r>
        <w:rPr>
          <w:b w:val="0"/>
          <w:i w:val="0"/>
        </w:rPr>
        <w:t xml:space="preserve"> </w:t>
      </w:r>
      <w:hyperlink w:anchor="latin-record-0792">
        <w:r>
          <w:rPr>
            <w:color w:val="000000"/>
          </w:rPr>
          <w:t xml:space="preserve">omniformis / unicolor / omnicolor</w:t>
        </w:r>
      </w:hyperlink>
      <w:r>
        <w:rPr>
          <w:b w:val="0"/>
          <w:i w:val="0"/>
        </w:rPr>
        <w:t>.</w:t>
      </w:r>
    </w:p>
    <w:p>
      <w:pPr>
        <w:widowControl/>
      </w:pPr>
      <w:r>
        <w:rPr>
          <w:b/>
          <w:i w:val="0"/>
        </w:rPr>
        <w:t>unicum.</w:t>
      </w:r>
      <w:r>
        <w:rPr>
          <w:b w:val="0"/>
          <w:i w:val="0"/>
        </w:rPr>
        <w:t xml:space="preserve"> </w:t>
      </w:r>
      <w:hyperlink w:anchor="latin-record-0775">
        <w:r>
          <w:rPr>
            <w:color w:val="000000"/>
          </w:rPr>
          <w:t xml:space="preserve">numerus / unicus / unire</w:t>
        </w:r>
      </w:hyperlink>
      <w:r>
        <w:rPr>
          <w:b w:val="0"/>
          <w:i w:val="0"/>
        </w:rPr>
        <w:t>.</w:t>
      </w:r>
    </w:p>
    <w:p>
      <w:pPr>
        <w:widowControl/>
      </w:pPr>
      <w:r>
        <w:rPr>
          <w:b/>
          <w:i w:val="0"/>
        </w:rPr>
        <w:t>uniformem.</w:t>
      </w:r>
      <w:r>
        <w:rPr>
          <w:b w:val="0"/>
          <w:i w:val="0"/>
        </w:rPr>
        <w:t xml:space="preserve"> </w:t>
      </w:r>
      <w:hyperlink w:anchor="latin-record-0793">
        <w:r>
          <w:rPr>
            <w:color w:val="000000"/>
          </w:rPr>
          <w:t xml:space="preserve">omniformis / uniformis</w:t>
        </w:r>
      </w:hyperlink>
      <w:r>
        <w:rPr>
          <w:b w:val="0"/>
          <w:i w:val="0"/>
        </w:rPr>
        <w:t>.</w:t>
      </w:r>
    </w:p>
    <w:p>
      <w:pPr>
        <w:widowControl/>
      </w:pPr>
      <w:r>
        <w:rPr>
          <w:b/>
          <w:i w:val="0"/>
        </w:rPr>
        <w:t>unione.</w:t>
      </w:r>
      <w:r>
        <w:rPr>
          <w:b w:val="0"/>
          <w:i w:val="0"/>
        </w:rPr>
        <w:t xml:space="preserve"> </w:t>
      </w:r>
      <w:hyperlink w:anchor="latin-record-1219">
        <w:r>
          <w:rPr>
            <w:color w:val="000000"/>
          </w:rPr>
          <w:t xml:space="preserve">unio / augeo</w:t>
        </w:r>
      </w:hyperlink>
      <w:r>
        <w:rPr>
          <w:b w:val="0"/>
          <w:i w:val="0"/>
        </w:rPr>
        <w:t>.</w:t>
      </w:r>
    </w:p>
    <w:p>
      <w:pPr>
        <w:widowControl/>
      </w:pPr>
      <w:r>
        <w:rPr>
          <w:b/>
          <w:i w:val="0"/>
        </w:rPr>
        <w:t>uniri.</w:t>
      </w:r>
      <w:r>
        <w:rPr>
          <w:b w:val="0"/>
          <w:i w:val="0"/>
        </w:rPr>
        <w:t xml:space="preserve"> </w:t>
      </w:r>
      <w:hyperlink w:anchor="latin-record-1220">
        <w:r>
          <w:rPr>
            <w:color w:val="000000"/>
          </w:rPr>
          <w:t xml:space="preserve">unire</w:t>
        </w:r>
      </w:hyperlink>
      <w:r>
        <w:rPr>
          <w:b w:val="0"/>
          <w:i w:val="0"/>
        </w:rPr>
        <w:t>.</w:t>
      </w:r>
    </w:p>
    <w:p>
      <w:pPr>
        <w:widowControl/>
      </w:pPr>
      <w:r>
        <w:rPr>
          <w:b/>
          <w:i w:val="0"/>
        </w:rPr>
        <w:t>unitas.</w:t>
      </w:r>
      <w:r>
        <w:rPr>
          <w:b w:val="0"/>
          <w:i w:val="0"/>
        </w:rPr>
        <w:t xml:space="preserve"> </w:t>
      </w:r>
      <w:hyperlink w:anchor="latin-record-1221">
        <w:r>
          <w:rPr>
            <w:color w:val="000000"/>
          </w:rPr>
          <w:t xml:space="preserve">unitas / unio</w:t>
        </w:r>
      </w:hyperlink>
      <w:r>
        <w:rPr>
          <w:b w:val="0"/>
          <w:i w:val="0"/>
        </w:rPr>
        <w:t xml:space="preserve">; </w:t>
      </w:r>
      <w:hyperlink w:anchor="latin-record-1226">
        <w:r>
          <w:rPr>
            <w:color w:val="000000"/>
          </w:rPr>
          <w:t xml:space="preserve">unus / unitas / multitudo</w:t>
        </w:r>
      </w:hyperlink>
      <w:r>
        <w:rPr>
          <w:b w:val="0"/>
          <w:i w:val="0"/>
        </w:rPr>
        <w:t>.</w:t>
      </w:r>
    </w:p>
    <w:p>
      <w:pPr>
        <w:widowControl/>
      </w:pPr>
      <w:r>
        <w:rPr>
          <w:b/>
          <w:i w:val="0"/>
        </w:rPr>
        <w:t>unitate.</w:t>
      </w:r>
      <w:r>
        <w:rPr>
          <w:b w:val="0"/>
          <w:i w:val="0"/>
        </w:rPr>
        <w:t xml:space="preserve"> </w:t>
      </w:r>
      <w:hyperlink w:anchor="latin-record-1221">
        <w:r>
          <w:rPr>
            <w:color w:val="000000"/>
          </w:rPr>
          <w:t xml:space="preserve">unitas / unio</w:t>
        </w:r>
      </w:hyperlink>
      <w:r>
        <w:rPr>
          <w:b w:val="0"/>
          <w:i w:val="0"/>
        </w:rPr>
        <w:t>.</w:t>
      </w:r>
    </w:p>
    <w:p>
      <w:pPr>
        <w:widowControl/>
      </w:pPr>
      <w:r>
        <w:rPr>
          <w:b/>
          <w:i w:val="0"/>
        </w:rPr>
        <w:t>unitatem.</w:t>
      </w:r>
      <w:r>
        <w:rPr>
          <w:b w:val="0"/>
          <w:i w:val="0"/>
        </w:rPr>
        <w:t xml:space="preserve"> </w:t>
      </w:r>
      <w:hyperlink w:anchor="latin-record-1221">
        <w:r>
          <w:rPr>
            <w:color w:val="000000"/>
          </w:rPr>
          <w:t xml:space="preserve">unitas / unio</w:t>
        </w:r>
      </w:hyperlink>
      <w:r>
        <w:rPr>
          <w:b w:val="0"/>
          <w:i w:val="0"/>
        </w:rPr>
        <w:t xml:space="preserve">; </w:t>
      </w:r>
      <w:hyperlink w:anchor="latin-record-1222">
        <w:r>
          <w:rPr>
            <w:color w:val="000000"/>
          </w:rPr>
          <w:t xml:space="preserve">unitas accidentalis / substantialis</w:t>
        </w:r>
      </w:hyperlink>
      <w:r>
        <w:rPr>
          <w:b w:val="0"/>
          <w:i w:val="0"/>
        </w:rPr>
        <w:t>.</w:t>
      </w:r>
    </w:p>
    <w:p>
      <w:pPr>
        <w:widowControl/>
      </w:pPr>
      <w:r>
        <w:rPr>
          <w:b/>
          <w:i w:val="0"/>
        </w:rPr>
        <w:t>unitates.</w:t>
      </w:r>
      <w:r>
        <w:rPr>
          <w:b w:val="0"/>
          <w:i w:val="0"/>
        </w:rPr>
        <w:t xml:space="preserve"> </w:t>
      </w:r>
      <w:hyperlink w:anchor="latin-record-1221">
        <w:r>
          <w:rPr>
            <w:color w:val="000000"/>
          </w:rPr>
          <w:t xml:space="preserve">unitas / unio</w:t>
        </w:r>
      </w:hyperlink>
      <w:r>
        <w:rPr>
          <w:b w:val="0"/>
          <w:i w:val="0"/>
        </w:rPr>
        <w:t>.</w:t>
      </w:r>
    </w:p>
    <w:p>
      <w:pPr>
        <w:widowControl/>
      </w:pPr>
      <w:r>
        <w:rPr>
          <w:b/>
          <w:i w:val="0"/>
        </w:rPr>
        <w:t>unitati.</w:t>
      </w:r>
      <w:r>
        <w:rPr>
          <w:b w:val="0"/>
          <w:i w:val="0"/>
        </w:rPr>
        <w:t xml:space="preserve"> </w:t>
      </w:r>
      <w:hyperlink w:anchor="latin-record-1221">
        <w:r>
          <w:rPr>
            <w:color w:val="000000"/>
          </w:rPr>
          <w:t xml:space="preserve">unitas / unio</w:t>
        </w:r>
      </w:hyperlink>
      <w:r>
        <w:rPr>
          <w:b w:val="0"/>
          <w:i w:val="0"/>
        </w:rPr>
        <w:t>.</w:t>
      </w:r>
    </w:p>
    <w:p>
      <w:pPr>
        <w:widowControl/>
      </w:pPr>
      <w:r>
        <w:rPr>
          <w:b/>
          <w:i w:val="0"/>
        </w:rPr>
        <w:t>unitatis.</w:t>
      </w:r>
      <w:r>
        <w:rPr>
          <w:b w:val="0"/>
          <w:i w:val="0"/>
        </w:rPr>
        <w:t xml:space="preserve"> </w:t>
      </w:r>
      <w:hyperlink w:anchor="latin-record-1221">
        <w:r>
          <w:rPr>
            <w:color w:val="000000"/>
          </w:rPr>
          <w:t xml:space="preserve">unitas / unio</w:t>
        </w:r>
      </w:hyperlink>
      <w:r>
        <w:rPr>
          <w:b w:val="0"/>
          <w:i w:val="0"/>
        </w:rPr>
        <w:t>.</w:t>
      </w:r>
    </w:p>
    <w:p>
      <w:pPr>
        <w:widowControl/>
      </w:pPr>
      <w:r>
        <w:rPr>
          <w:b/>
          <w:i w:val="0"/>
        </w:rPr>
        <w:t>universale.</w:t>
      </w:r>
      <w:r>
        <w:rPr>
          <w:b w:val="0"/>
          <w:i w:val="0"/>
        </w:rPr>
        <w:t xml:space="preserve"> </w:t>
      </w:r>
      <w:hyperlink w:anchor="latin-record-1223">
        <w:r>
          <w:rPr>
            <w:color w:val="000000"/>
          </w:rPr>
          <w:t xml:space="preserve">universalis / universalia</w:t>
        </w:r>
      </w:hyperlink>
      <w:r>
        <w:rPr>
          <w:b w:val="0"/>
          <w:i w:val="0"/>
        </w:rPr>
        <w:t>.</w:t>
      </w:r>
    </w:p>
    <w:p>
      <w:pPr>
        <w:widowControl/>
      </w:pPr>
      <w:r>
        <w:rPr>
          <w:b/>
          <w:i w:val="0"/>
        </w:rPr>
        <w:t>universalem.</w:t>
      </w:r>
      <w:r>
        <w:rPr>
          <w:b w:val="0"/>
          <w:i w:val="0"/>
        </w:rPr>
        <w:t xml:space="preserve"> </w:t>
      </w:r>
      <w:hyperlink w:anchor="latin-record-1223">
        <w:r>
          <w:rPr>
            <w:color w:val="000000"/>
          </w:rPr>
          <w:t xml:space="preserve">universalis / universalia</w:t>
        </w:r>
      </w:hyperlink>
      <w:r>
        <w:rPr>
          <w:b w:val="0"/>
          <w:i w:val="0"/>
        </w:rPr>
        <w:t>.</w:t>
      </w:r>
    </w:p>
    <w:p>
      <w:pPr>
        <w:widowControl/>
      </w:pPr>
      <w:r>
        <w:rPr>
          <w:b/>
          <w:i w:val="0"/>
        </w:rPr>
        <w:t>universalem Apollinem.</w:t>
      </w:r>
      <w:r>
        <w:rPr>
          <w:b w:val="0"/>
          <w:i w:val="0"/>
        </w:rPr>
        <w:t xml:space="preserve"> </w:t>
      </w:r>
      <w:hyperlink w:anchor="latin-record-0082">
        <w:r>
          <w:rPr>
            <w:color w:val="000000"/>
          </w:rPr>
          <w:t xml:space="preserve">Apollo / simplex et semotus</w:t>
        </w:r>
      </w:hyperlink>
      <w:r>
        <w:rPr>
          <w:b w:val="0"/>
          <w:i w:val="0"/>
        </w:rPr>
        <w:t>.</w:t>
      </w:r>
    </w:p>
    <w:p>
      <w:pPr>
        <w:widowControl/>
      </w:pPr>
      <w:r>
        <w:rPr>
          <w:b/>
          <w:i w:val="0"/>
        </w:rPr>
        <w:t>universales.</w:t>
      </w:r>
      <w:r>
        <w:rPr>
          <w:b w:val="0"/>
          <w:i w:val="0"/>
        </w:rPr>
        <w:t xml:space="preserve"> </w:t>
      </w:r>
      <w:hyperlink w:anchor="latin-record-0829">
        <w:r>
          <w:rPr>
            <w:color w:val="000000"/>
          </w:rPr>
          <w:t xml:space="preserve">particularis / universalis</w:t>
        </w:r>
      </w:hyperlink>
      <w:r>
        <w:rPr>
          <w:b w:val="0"/>
          <w:i w:val="0"/>
        </w:rPr>
        <w:t xml:space="preserve">; </w:t>
      </w:r>
      <w:hyperlink w:anchor="latin-record-1223">
        <w:r>
          <w:rPr>
            <w:color w:val="000000"/>
          </w:rPr>
          <w:t xml:space="preserve">universalis / universalia</w:t>
        </w:r>
      </w:hyperlink>
      <w:r>
        <w:rPr>
          <w:b w:val="0"/>
          <w:i w:val="0"/>
        </w:rPr>
        <w:t>.</w:t>
      </w:r>
    </w:p>
    <w:p>
      <w:pPr>
        <w:widowControl/>
      </w:pPr>
      <w:r>
        <w:rPr>
          <w:b/>
          <w:i w:val="0"/>
        </w:rPr>
        <w:t>universali.</w:t>
      </w:r>
      <w:r>
        <w:rPr>
          <w:b w:val="0"/>
          <w:i w:val="0"/>
        </w:rPr>
        <w:t xml:space="preserve"> </w:t>
      </w:r>
      <w:hyperlink w:anchor="latin-record-1223">
        <w:r>
          <w:rPr>
            <w:color w:val="000000"/>
          </w:rPr>
          <w:t xml:space="preserve">universalis / universalia</w:t>
        </w:r>
      </w:hyperlink>
      <w:r>
        <w:rPr>
          <w:b w:val="0"/>
          <w:i w:val="0"/>
        </w:rPr>
        <w:t>.</w:t>
      </w:r>
    </w:p>
    <w:p>
      <w:pPr>
        <w:widowControl/>
      </w:pPr>
      <w:r>
        <w:rPr>
          <w:b/>
          <w:i w:val="0"/>
        </w:rPr>
        <w:t>universalia.</w:t>
      </w:r>
      <w:r>
        <w:rPr>
          <w:b w:val="0"/>
          <w:i w:val="0"/>
        </w:rPr>
        <w:t xml:space="preserve"> </w:t>
      </w:r>
      <w:hyperlink w:anchor="latin-record-0829">
        <w:r>
          <w:rPr>
            <w:color w:val="000000"/>
          </w:rPr>
          <w:t xml:space="preserve">particularis / universalis</w:t>
        </w:r>
      </w:hyperlink>
      <w:r>
        <w:rPr>
          <w:b w:val="0"/>
          <w:i w:val="0"/>
        </w:rPr>
        <w:t xml:space="preserve">; </w:t>
      </w:r>
      <w:hyperlink w:anchor="latin-record-1223">
        <w:r>
          <w:rPr>
            <w:color w:val="000000"/>
          </w:rPr>
          <w:t xml:space="preserve">universalis / universalia</w:t>
        </w:r>
      </w:hyperlink>
      <w:r>
        <w:rPr>
          <w:b w:val="0"/>
          <w:i w:val="0"/>
        </w:rPr>
        <w:t>.</w:t>
      </w:r>
    </w:p>
    <w:p>
      <w:pPr>
        <w:widowControl/>
      </w:pPr>
      <w:r>
        <w:rPr>
          <w:b/>
          <w:i w:val="0"/>
        </w:rPr>
        <w:t>universalis.</w:t>
      </w:r>
      <w:r>
        <w:rPr>
          <w:b w:val="0"/>
          <w:i w:val="0"/>
        </w:rPr>
        <w:t xml:space="preserve"> </w:t>
      </w:r>
      <w:hyperlink w:anchor="latin-record-1223">
        <w:r>
          <w:rPr>
            <w:color w:val="000000"/>
          </w:rPr>
          <w:t xml:space="preserve">universalis / universalia</w:t>
        </w:r>
      </w:hyperlink>
      <w:r>
        <w:rPr>
          <w:b w:val="0"/>
          <w:i w:val="0"/>
        </w:rPr>
        <w:t>.</w:t>
      </w:r>
    </w:p>
    <w:p>
      <w:pPr>
        <w:widowControl/>
      </w:pPr>
      <w:r>
        <w:rPr>
          <w:b/>
          <w:i w:val="0"/>
        </w:rPr>
        <w:t>universam.</w:t>
      </w:r>
      <w:r>
        <w:rPr>
          <w:b w:val="0"/>
          <w:i w:val="0"/>
        </w:rPr>
        <w:t xml:space="preserve"> </w:t>
      </w:r>
      <w:hyperlink w:anchor="latin-record-0730">
        <w:r>
          <w:rPr>
            <w:color w:val="000000"/>
          </w:rPr>
          <w:t xml:space="preserve">mundus / universum</w:t>
        </w:r>
      </w:hyperlink>
      <w:r>
        <w:rPr>
          <w:b w:val="0"/>
          <w:i w:val="0"/>
        </w:rPr>
        <w:t>.</w:t>
      </w:r>
    </w:p>
    <w:p>
      <w:pPr>
        <w:widowControl/>
      </w:pPr>
      <w:r>
        <w:rPr>
          <w:b/>
          <w:i w:val="0"/>
        </w:rPr>
        <w:t>universi.</w:t>
      </w:r>
      <w:r>
        <w:rPr>
          <w:b w:val="0"/>
          <w:i w:val="0"/>
        </w:rPr>
        <w:t xml:space="preserve"> </w:t>
      </w:r>
      <w:hyperlink w:anchor="latin-record-0730">
        <w:r>
          <w:rPr>
            <w:color w:val="000000"/>
          </w:rPr>
          <w:t xml:space="preserve">mundus / universum</w:t>
        </w:r>
      </w:hyperlink>
      <w:r>
        <w:rPr>
          <w:b w:val="0"/>
          <w:i w:val="0"/>
        </w:rPr>
        <w:t>.</w:t>
      </w:r>
    </w:p>
    <w:p>
      <w:pPr>
        <w:widowControl/>
      </w:pPr>
      <w:r>
        <w:rPr>
          <w:b/>
          <w:i w:val="0"/>
        </w:rPr>
        <w:t>universum.</w:t>
      </w:r>
      <w:r>
        <w:rPr>
          <w:b w:val="0"/>
          <w:i w:val="0"/>
        </w:rPr>
        <w:t xml:space="preserve"> </w:t>
      </w:r>
      <w:hyperlink w:anchor="latin-record-0730">
        <w:r>
          <w:rPr>
            <w:color w:val="000000"/>
          </w:rPr>
          <w:t xml:space="preserve">mundus / universum</w:t>
        </w:r>
      </w:hyperlink>
      <w:r>
        <w:rPr>
          <w:b w:val="0"/>
          <w:i w:val="0"/>
        </w:rPr>
        <w:t>.</w:t>
      </w:r>
    </w:p>
    <w:p>
      <w:pPr>
        <w:widowControl/>
      </w:pPr>
      <w:r>
        <w:rPr>
          <w:b/>
          <w:i w:val="0"/>
        </w:rPr>
        <w:t>universus.</w:t>
      </w:r>
      <w:r>
        <w:rPr>
          <w:b w:val="0"/>
          <w:i w:val="0"/>
        </w:rPr>
        <w:t xml:space="preserve"> </w:t>
      </w:r>
      <w:hyperlink w:anchor="latin-record-0730">
        <w:r>
          <w:rPr>
            <w:color w:val="000000"/>
          </w:rPr>
          <w:t xml:space="preserve">mundus / universum</w:t>
        </w:r>
      </w:hyperlink>
      <w:r>
        <w:rPr>
          <w:b w:val="0"/>
          <w:i w:val="0"/>
        </w:rPr>
        <w:t>.</w:t>
      </w:r>
    </w:p>
    <w:p>
      <w:pPr>
        <w:widowControl/>
      </w:pPr>
      <w:r>
        <w:rPr>
          <w:b/>
          <w:i w:val="0"/>
        </w:rPr>
        <w:t>unum.</w:t>
      </w:r>
      <w:r>
        <w:rPr>
          <w:b w:val="0"/>
          <w:i w:val="0"/>
        </w:rPr>
        <w:t xml:space="preserve"> </w:t>
      </w:r>
      <w:hyperlink w:anchor="latin-record-1226">
        <w:r>
          <w:rPr>
            <w:color w:val="000000"/>
          </w:rPr>
          <w:t xml:space="preserve">unus / unitas / multitudo</w:t>
        </w:r>
      </w:hyperlink>
      <w:r>
        <w:rPr>
          <w:b w:val="0"/>
          <w:i w:val="0"/>
        </w:rPr>
        <w:t>.</w:t>
      </w:r>
    </w:p>
    <w:p>
      <w:pPr>
        <w:widowControl/>
      </w:pPr>
      <w:r>
        <w:rPr>
          <w:b/>
          <w:i w:val="0"/>
        </w:rPr>
        <w:t>unum et multa.</w:t>
      </w:r>
      <w:r>
        <w:rPr>
          <w:b w:val="0"/>
          <w:i w:val="0"/>
        </w:rPr>
        <w:t xml:space="preserve"> </w:t>
      </w:r>
      <w:hyperlink w:anchor="latin-record-0725">
        <w:r>
          <w:rPr>
            <w:color w:val="000000"/>
          </w:rPr>
          <w:t xml:space="preserve">multa et unum / unum et multa / unum multa</w:t>
        </w:r>
      </w:hyperlink>
      <w:r>
        <w:rPr>
          <w:b w:val="0"/>
          <w:i w:val="0"/>
        </w:rPr>
        <w:t>.</w:t>
      </w:r>
    </w:p>
    <w:p>
      <w:pPr>
        <w:widowControl/>
      </w:pPr>
      <w:r>
        <w:rPr>
          <w:b/>
          <w:i w:val="0"/>
        </w:rPr>
        <w:t>unum ipsum.</w:t>
      </w:r>
      <w:r>
        <w:rPr>
          <w:b w:val="0"/>
          <w:i w:val="0"/>
        </w:rPr>
        <w:t xml:space="preserve"> </w:t>
      </w:r>
      <w:hyperlink w:anchor="latin-record-1224">
        <w:r>
          <w:rPr>
            <w:color w:val="000000"/>
          </w:rPr>
          <w:t xml:space="preserve">unum simpliciter</w:t>
        </w:r>
      </w:hyperlink>
      <w:r>
        <w:rPr>
          <w:b w:val="0"/>
          <w:i w:val="0"/>
        </w:rPr>
        <w:t>.</w:t>
      </w:r>
    </w:p>
    <w:p>
      <w:pPr>
        <w:widowControl/>
      </w:pPr>
      <w:r>
        <w:rPr>
          <w:b/>
          <w:i w:val="0"/>
        </w:rPr>
        <w:t>unum multa.</w:t>
      </w:r>
      <w:r>
        <w:rPr>
          <w:b w:val="0"/>
          <w:i w:val="0"/>
        </w:rPr>
        <w:t xml:space="preserve"> </w:t>
      </w:r>
      <w:hyperlink w:anchor="latin-record-0725">
        <w:r>
          <w:rPr>
            <w:color w:val="000000"/>
          </w:rPr>
          <w:t xml:space="preserve">multa et unum / unum et multa / unum multa</w:t>
        </w:r>
      </w:hyperlink>
      <w:r>
        <w:rPr>
          <w:b w:val="0"/>
          <w:i w:val="0"/>
        </w:rPr>
        <w:t>.</w:t>
      </w:r>
    </w:p>
    <w:p>
      <w:pPr>
        <w:widowControl/>
      </w:pPr>
      <w:r>
        <w:rPr>
          <w:b/>
          <w:i w:val="0"/>
        </w:rPr>
        <w:t>unum simpliciter.</w:t>
      </w:r>
      <w:r>
        <w:rPr>
          <w:b w:val="0"/>
          <w:i w:val="0"/>
        </w:rPr>
        <w:t xml:space="preserve"> </w:t>
      </w:r>
      <w:hyperlink w:anchor="latin-record-1224">
        <w:r>
          <w:rPr>
            <w:color w:val="000000"/>
          </w:rPr>
          <w:t xml:space="preserve">unum simpliciter</w:t>
        </w:r>
      </w:hyperlink>
      <w:r>
        <w:rPr>
          <w:b w:val="0"/>
          <w:i w:val="0"/>
        </w:rPr>
        <w:t>.</w:t>
      </w:r>
    </w:p>
    <w:p>
      <w:pPr>
        <w:widowControl/>
      </w:pPr>
      <w:r>
        <w:rPr>
          <w:b/>
          <w:i w:val="0"/>
        </w:rPr>
        <w:t>unum vivens.</w:t>
      </w:r>
      <w:r>
        <w:rPr>
          <w:b w:val="0"/>
          <w:i w:val="0"/>
        </w:rPr>
        <w:t xml:space="preserve"> </w:t>
      </w:r>
      <w:hyperlink w:anchor="latin-record-1225">
        <w:r>
          <w:rPr>
            <w:color w:val="000000"/>
          </w:rPr>
          <w:t xml:space="preserve">unum vivens</w:t>
        </w:r>
      </w:hyperlink>
      <w:r>
        <w:rPr>
          <w:b w:val="0"/>
          <w:i w:val="0"/>
        </w:rPr>
        <w:t>.</w:t>
      </w:r>
    </w:p>
    <w:p>
      <w:pPr>
        <w:widowControl/>
      </w:pPr>
      <w:r>
        <w:rPr>
          <w:b/>
          <w:i w:val="0"/>
        </w:rPr>
        <w:t>urerent.</w:t>
      </w:r>
      <w:r>
        <w:rPr>
          <w:b w:val="0"/>
          <w:i w:val="0"/>
        </w:rPr>
        <w:t xml:space="preserve"> </w:t>
      </w:r>
      <w:hyperlink w:anchor="latin-record-1227">
        <w:r>
          <w:rPr>
            <w:color w:val="000000"/>
          </w:rPr>
          <w:t xml:space="preserve">urere / frigefacere</w:t>
        </w:r>
      </w:hyperlink>
      <w:r>
        <w:rPr>
          <w:b w:val="0"/>
          <w:i w:val="0"/>
        </w:rPr>
        <w:t>.</w:t>
      </w:r>
    </w:p>
    <w:p>
      <w:pPr>
        <w:widowControl/>
      </w:pPr>
      <w:r>
        <w:rPr>
          <w:b/>
          <w:i w:val="0"/>
        </w:rPr>
        <w:t>urit.</w:t>
      </w:r>
      <w:r>
        <w:rPr>
          <w:b w:val="0"/>
          <w:i w:val="0"/>
        </w:rPr>
        <w:t xml:space="preserve"> </w:t>
      </w:r>
      <w:hyperlink w:anchor="latin-record-0472">
        <w:r>
          <w:rPr>
            <w:color w:val="000000"/>
          </w:rPr>
          <w:t xml:space="preserve">frigefacio / calefacio / uro</w:t>
        </w:r>
      </w:hyperlink>
      <w:r>
        <w:rPr>
          <w:b w:val="0"/>
          <w:i w:val="0"/>
        </w:rPr>
        <w:t>.</w:t>
      </w:r>
    </w:p>
    <w:p>
      <w:pPr>
        <w:widowControl/>
      </w:pPr>
      <w:r>
        <w:rPr>
          <w:b/>
          <w:i w:val="0"/>
        </w:rPr>
        <w:t>usu.</w:t>
      </w:r>
      <w:r>
        <w:rPr>
          <w:b w:val="0"/>
          <w:i w:val="0"/>
        </w:rPr>
        <w:t xml:space="preserve"> </w:t>
      </w:r>
      <w:hyperlink w:anchor="latin-record-1230">
        <w:r>
          <w:rPr>
            <w:color w:val="000000"/>
          </w:rPr>
          <w:t xml:space="preserve">uti / usus</w:t>
        </w:r>
      </w:hyperlink>
      <w:r>
        <w:rPr>
          <w:b w:val="0"/>
          <w:i w:val="0"/>
        </w:rPr>
        <w:t>.</w:t>
      </w:r>
    </w:p>
    <w:p>
      <w:pPr>
        <w:widowControl/>
      </w:pPr>
      <w:r>
        <w:rPr>
          <w:b/>
          <w:i w:val="0"/>
        </w:rPr>
        <w:t>usurpare.</w:t>
      </w:r>
      <w:r>
        <w:rPr>
          <w:b w:val="0"/>
          <w:i w:val="0"/>
        </w:rPr>
        <w:t xml:space="preserve"> </w:t>
      </w:r>
      <w:hyperlink w:anchor="latin-record-1228">
        <w:r>
          <w:rPr>
            <w:color w:val="000000"/>
          </w:rPr>
          <w:t xml:space="preserve">usurpare / superesse</w:t>
        </w:r>
      </w:hyperlink>
      <w:r>
        <w:rPr>
          <w:b w:val="0"/>
          <w:i w:val="0"/>
        </w:rPr>
        <w:t>.</w:t>
      </w:r>
    </w:p>
    <w:p>
      <w:pPr>
        <w:widowControl/>
      </w:pPr>
      <w:r>
        <w:rPr>
          <w:b/>
          <w:i w:val="0"/>
        </w:rPr>
        <w:t>usus vitae.</w:t>
      </w:r>
      <w:r>
        <w:rPr>
          <w:b w:val="0"/>
          <w:i w:val="0"/>
        </w:rPr>
        <w:t xml:space="preserve"> </w:t>
      </w:r>
      <w:hyperlink w:anchor="latin-record-1266">
        <w:r>
          <w:rPr>
            <w:color w:val="000000"/>
          </w:rPr>
          <w:t xml:space="preserve">violentia / usus vitae</w:t>
        </w:r>
      </w:hyperlink>
      <w:r>
        <w:rPr>
          <w:b w:val="0"/>
          <w:i w:val="0"/>
        </w:rPr>
        <w:t>.</w:t>
      </w:r>
    </w:p>
    <w:p>
      <w:pPr>
        <w:widowControl/>
      </w:pPr>
      <w:r>
        <w:rPr>
          <w:b/>
          <w:i w:val="0"/>
        </w:rPr>
        <w:t>ut ita loquar.</w:t>
      </w:r>
      <w:r>
        <w:rPr>
          <w:b w:val="0"/>
          <w:i w:val="0"/>
        </w:rPr>
        <w:t xml:space="preserve"> </w:t>
      </w:r>
      <w:hyperlink w:anchor="latin-record-0441">
        <w:r>
          <w:rPr>
            <w:color w:val="000000"/>
          </w:rPr>
          <w:t xml:space="preserve">ferme / ut ita loquar</w:t>
        </w:r>
      </w:hyperlink>
      <w:r>
        <w:rPr>
          <w:b w:val="0"/>
          <w:i w:val="0"/>
        </w:rPr>
        <w:t>.</w:t>
      </w:r>
    </w:p>
    <w:p>
      <w:pPr>
        <w:widowControl/>
      </w:pPr>
      <w:r>
        <w:rPr>
          <w:b/>
          <w:i w:val="0"/>
        </w:rPr>
        <w:t>ut plurimum.</w:t>
      </w:r>
      <w:r>
        <w:rPr>
          <w:b w:val="0"/>
          <w:i w:val="0"/>
        </w:rPr>
        <w:t xml:space="preserve"> </w:t>
      </w:r>
      <w:hyperlink w:anchor="latin-record-1026">
        <w:r>
          <w:rPr>
            <w:color w:val="000000"/>
          </w:rPr>
          <w:t xml:space="preserve">ratio naturalis and usualness</w:t>
        </w:r>
      </w:hyperlink>
      <w:r>
        <w:rPr>
          <w:b w:val="0"/>
          <w:i w:val="0"/>
        </w:rPr>
        <w:t xml:space="preserve">; </w:t>
      </w:r>
      <w:hyperlink w:anchor="latin-record-1229">
        <w:r>
          <w:rPr>
            <w:color w:val="000000"/>
          </w:rPr>
          <w:t xml:space="preserve">ut plurimum</w:t>
        </w:r>
      </w:hyperlink>
      <w:r>
        <w:rPr>
          <w:b w:val="0"/>
          <w:i w:val="0"/>
        </w:rPr>
        <w:t>.</w:t>
      </w:r>
    </w:p>
    <w:p>
      <w:pPr>
        <w:widowControl/>
      </w:pPr>
      <w:r>
        <w:rPr>
          <w:b/>
          <w:i w:val="0"/>
        </w:rPr>
        <w:t>uti.</w:t>
      </w:r>
      <w:r>
        <w:rPr>
          <w:b w:val="0"/>
          <w:i w:val="0"/>
        </w:rPr>
        <w:t xml:space="preserve"> </w:t>
      </w:r>
      <w:hyperlink w:anchor="latin-record-1230">
        <w:r>
          <w:rPr>
            <w:color w:val="000000"/>
          </w:rPr>
          <w:t xml:space="preserve">uti / usus</w:t>
        </w:r>
      </w:hyperlink>
      <w:r>
        <w:rPr>
          <w:b w:val="0"/>
          <w:i w:val="0"/>
        </w:rPr>
        <w:t>.</w:t>
      </w:r>
    </w:p>
    <w:p>
      <w:pPr>
        <w:widowControl/>
      </w:pPr>
      <w:r>
        <w:rPr>
          <w:b/>
          <w:i w:val="0"/>
        </w:rPr>
        <w:t>utitur.</w:t>
      </w:r>
      <w:r>
        <w:rPr>
          <w:b w:val="0"/>
          <w:i w:val="0"/>
        </w:rPr>
        <w:t xml:space="preserve"> </w:t>
      </w:r>
      <w:hyperlink w:anchor="latin-record-1230">
        <w:r>
          <w:rPr>
            <w:color w:val="000000"/>
          </w:rPr>
          <w:t xml:space="preserve">uti / usus</w:t>
        </w:r>
      </w:hyperlink>
      <w:r>
        <w:rPr>
          <w:b w:val="0"/>
          <w:i w:val="0"/>
        </w:rPr>
        <w:t>.</w:t>
      </w:r>
    </w:p>
    <w:p>
      <w:pPr>
        <w:widowControl/>
      </w:pPr>
      <w:r>
        <w:rPr>
          <w:b/>
          <w:i w:val="0"/>
        </w:rPr>
        <w:t>utrumque.</w:t>
      </w:r>
      <w:r>
        <w:rPr>
          <w:b w:val="0"/>
          <w:i w:val="0"/>
        </w:rPr>
        <w:t xml:space="preserve"> </w:t>
      </w:r>
      <w:hyperlink w:anchor="latin-record-0053">
        <w:r>
          <w:rPr>
            <w:color w:val="000000"/>
          </w:rPr>
          <w:t xml:space="preserve">alius / idem / uterque — explanatory distinction</w:t>
        </w:r>
      </w:hyperlink>
      <w:r>
        <w:rPr>
          <w:b w:val="0"/>
          <w:i w:val="0"/>
        </w:rPr>
        <w:t>.</w:t>
      </w:r>
    </w:p>
    <w:p>
      <w:pPr>
        <w:widowControl/>
      </w:pPr>
      <w:r>
        <w:rPr>
          <w:b/>
          <w:i w:val="0"/>
        </w:rPr>
        <w:t>utrumque terminum.</w:t>
      </w:r>
      <w:r>
        <w:rPr>
          <w:b w:val="0"/>
          <w:i w:val="0"/>
        </w:rPr>
        <w:t xml:space="preserve"> </w:t>
      </w:r>
      <w:hyperlink w:anchor="latin-record-1195">
        <w:r>
          <w:rPr>
            <w:color w:val="000000"/>
          </w:rPr>
          <w:t xml:space="preserve">terminus operationis</w:t>
        </w:r>
      </w:hyperlink>
      <w:r>
        <w:rPr>
          <w:b w:val="0"/>
          <w:i w:val="0"/>
        </w:rPr>
        <w:t>.</w:t>
      </w:r>
    </w:p>
    <w:p>
      <w:pPr>
        <w:widowControl/>
      </w:pPr>
      <w:r>
        <w:rPr>
          <w:b/>
          <w:i w:val="0"/>
        </w:rPr>
        <w:t>vacillaret.</w:t>
      </w:r>
      <w:r>
        <w:rPr>
          <w:b w:val="0"/>
          <w:i w:val="0"/>
        </w:rPr>
        <w:t xml:space="preserve"> </w:t>
      </w:r>
      <w:hyperlink w:anchor="latin-record-1232">
        <w:r>
          <w:rPr>
            <w:color w:val="000000"/>
          </w:rPr>
          <w:t xml:space="preserve">vacillo</w:t>
        </w:r>
      </w:hyperlink>
      <w:r>
        <w:rPr>
          <w:b w:val="0"/>
          <w:i w:val="0"/>
        </w:rPr>
        <w:t>.</w:t>
      </w:r>
    </w:p>
    <w:p>
      <w:pPr>
        <w:widowControl/>
      </w:pPr>
      <w:r>
        <w:rPr>
          <w:b/>
          <w:i w:val="0"/>
        </w:rPr>
        <w:t>vagatur.</w:t>
      </w:r>
      <w:r>
        <w:rPr>
          <w:b w:val="0"/>
          <w:i w:val="0"/>
        </w:rPr>
        <w:t xml:space="preserve"> </w:t>
      </w:r>
      <w:hyperlink w:anchor="latin-record-1233">
        <w:r>
          <w:rPr>
            <w:color w:val="000000"/>
          </w:rPr>
          <w:t xml:space="preserve">vagari / consultare</w:t>
        </w:r>
      </w:hyperlink>
      <w:r>
        <w:rPr>
          <w:b w:val="0"/>
          <w:i w:val="0"/>
        </w:rPr>
        <w:t>.</w:t>
      </w:r>
    </w:p>
    <w:p>
      <w:pPr>
        <w:widowControl/>
      </w:pPr>
      <w:r>
        <w:rPr>
          <w:b/>
          <w:i w:val="0"/>
        </w:rPr>
        <w:t>vagos.</w:t>
      </w:r>
      <w:r>
        <w:rPr>
          <w:b w:val="0"/>
          <w:i w:val="0"/>
        </w:rPr>
        <w:t xml:space="preserve"> </w:t>
      </w:r>
      <w:hyperlink w:anchor="latin-record-1234">
        <w:r>
          <w:rPr>
            <w:color w:val="000000"/>
          </w:rPr>
          <w:t xml:space="preserve">vagus / variabilis</w:t>
        </w:r>
      </w:hyperlink>
      <w:r>
        <w:rPr>
          <w:b w:val="0"/>
          <w:i w:val="0"/>
        </w:rPr>
        <w:t>.</w:t>
      </w:r>
    </w:p>
    <w:p>
      <w:pPr>
        <w:widowControl/>
      </w:pPr>
      <w:r>
        <w:rPr>
          <w:b/>
          <w:i w:val="0"/>
        </w:rPr>
        <w:t>valeant.</w:t>
      </w:r>
      <w:r>
        <w:rPr>
          <w:b w:val="0"/>
          <w:i w:val="0"/>
        </w:rPr>
        <w:t xml:space="preserve"> </w:t>
      </w:r>
      <w:hyperlink w:anchor="latin-record-1235">
        <w:r>
          <w:rPr>
            <w:color w:val="000000"/>
          </w:rPr>
          <w:t xml:space="preserve">valere / praestare</w:t>
        </w:r>
      </w:hyperlink>
      <w:r>
        <w:rPr>
          <w:b w:val="0"/>
          <w:i w:val="0"/>
        </w:rPr>
        <w:t>.</w:t>
      </w:r>
    </w:p>
    <w:p>
      <w:pPr>
        <w:widowControl/>
      </w:pPr>
      <w:r>
        <w:rPr>
          <w:b/>
          <w:i w:val="0"/>
        </w:rPr>
        <w:t>valeat.</w:t>
      </w:r>
      <w:r>
        <w:rPr>
          <w:b w:val="0"/>
          <w:i w:val="0"/>
        </w:rPr>
        <w:t xml:space="preserve"> </w:t>
      </w:r>
      <w:hyperlink w:anchor="latin-record-1235">
        <w:r>
          <w:rPr>
            <w:color w:val="000000"/>
          </w:rPr>
          <w:t xml:space="preserve">valere / praestare</w:t>
        </w:r>
      </w:hyperlink>
      <w:r>
        <w:rPr>
          <w:b w:val="0"/>
          <w:i w:val="0"/>
        </w:rPr>
        <w:t>.</w:t>
      </w:r>
    </w:p>
    <w:p>
      <w:pPr>
        <w:widowControl/>
      </w:pPr>
      <w:r>
        <w:rPr>
          <w:b/>
          <w:i w:val="0"/>
        </w:rPr>
        <w:t>valere.</w:t>
      </w:r>
      <w:r>
        <w:rPr>
          <w:b w:val="0"/>
          <w:i w:val="0"/>
        </w:rPr>
        <w:t xml:space="preserve"> </w:t>
      </w:r>
      <w:hyperlink w:anchor="latin-record-1235">
        <w:r>
          <w:rPr>
            <w:color w:val="000000"/>
          </w:rPr>
          <w:t xml:space="preserve">valere / praestare</w:t>
        </w:r>
      </w:hyperlink>
      <w:r>
        <w:rPr>
          <w:b w:val="0"/>
          <w:i w:val="0"/>
        </w:rPr>
        <w:t>.</w:t>
      </w:r>
    </w:p>
    <w:p>
      <w:pPr>
        <w:widowControl/>
      </w:pPr>
      <w:r>
        <w:rPr>
          <w:b/>
          <w:i w:val="0"/>
        </w:rPr>
        <w:t>valet.</w:t>
      </w:r>
      <w:r>
        <w:rPr>
          <w:b w:val="0"/>
          <w:i w:val="0"/>
        </w:rPr>
        <w:t xml:space="preserve"> </w:t>
      </w:r>
      <w:hyperlink w:anchor="latin-record-0470">
        <w:r>
          <w:rPr>
            <w:color w:val="000000"/>
          </w:rPr>
          <w:t xml:space="preserve">fortis / vehementia / valere</w:t>
        </w:r>
      </w:hyperlink>
      <w:r>
        <w:rPr>
          <w:b w:val="0"/>
          <w:i w:val="0"/>
        </w:rPr>
        <w:t>.</w:t>
      </w:r>
    </w:p>
    <w:p>
      <w:pPr>
        <w:widowControl/>
      </w:pPr>
      <w:r>
        <w:rPr>
          <w:b/>
          <w:i w:val="0"/>
        </w:rPr>
        <w:t>validior.</w:t>
      </w:r>
      <w:r>
        <w:rPr>
          <w:b w:val="0"/>
          <w:i w:val="0"/>
        </w:rPr>
        <w:t xml:space="preserve"> </w:t>
      </w:r>
      <w:hyperlink w:anchor="latin-record-0299">
        <w:r>
          <w:rPr>
            <w:color w:val="000000"/>
          </w:rPr>
          <w:t xml:space="preserve">deficio / validus</w:t>
        </w:r>
      </w:hyperlink>
      <w:r>
        <w:rPr>
          <w:b w:val="0"/>
          <w:i w:val="0"/>
        </w:rPr>
        <w:t>.</w:t>
      </w:r>
    </w:p>
    <w:p>
      <w:pPr>
        <w:widowControl/>
      </w:pPr>
      <w:r>
        <w:rPr>
          <w:b/>
          <w:i w:val="0"/>
        </w:rPr>
        <w:t>validius.</w:t>
      </w:r>
      <w:r>
        <w:rPr>
          <w:b w:val="0"/>
          <w:i w:val="0"/>
        </w:rPr>
        <w:t xml:space="preserve"> </w:t>
      </w:r>
      <w:hyperlink w:anchor="latin-record-0364">
        <w:r>
          <w:rPr>
            <w:color w:val="000000"/>
          </w:rPr>
          <w:t xml:space="preserve">efficax / validus</w:t>
        </w:r>
      </w:hyperlink>
      <w:r>
        <w:rPr>
          <w:b w:val="0"/>
          <w:i w:val="0"/>
        </w:rPr>
        <w:t>.</w:t>
      </w:r>
    </w:p>
    <w:p>
      <w:pPr>
        <w:widowControl/>
      </w:pPr>
      <w:r>
        <w:rPr>
          <w:b/>
          <w:i w:val="0"/>
        </w:rPr>
        <w:t>vanior.</w:t>
      </w:r>
      <w:r>
        <w:rPr>
          <w:b w:val="0"/>
          <w:i w:val="0"/>
        </w:rPr>
        <w:t xml:space="preserve"> </w:t>
      </w:r>
      <w:hyperlink w:anchor="latin-record-1217">
        <w:r>
          <w:rPr>
            <w:color w:val="000000"/>
          </w:rPr>
          <w:t xml:space="preserve">umbra / umbratilis / vanus</w:t>
        </w:r>
      </w:hyperlink>
      <w:r>
        <w:rPr>
          <w:b w:val="0"/>
          <w:i w:val="0"/>
        </w:rPr>
        <w:t>.</w:t>
      </w:r>
    </w:p>
    <w:p>
      <w:pPr>
        <w:widowControl/>
      </w:pPr>
      <w:r>
        <w:rPr>
          <w:b/>
          <w:i w:val="0"/>
        </w:rPr>
        <w:t>vanissimum.</w:t>
      </w:r>
      <w:r>
        <w:rPr>
          <w:b w:val="0"/>
          <w:i w:val="0"/>
        </w:rPr>
        <w:t xml:space="preserve"> </w:t>
      </w:r>
      <w:hyperlink w:anchor="latin-record-1236">
        <w:r>
          <w:rPr>
            <w:color w:val="000000"/>
          </w:rPr>
          <w:t xml:space="preserve">vanus / umbratilis</w:t>
        </w:r>
      </w:hyperlink>
      <w:r>
        <w:rPr>
          <w:b w:val="0"/>
          <w:i w:val="0"/>
        </w:rPr>
        <w:t>.</w:t>
      </w:r>
    </w:p>
    <w:p>
      <w:pPr>
        <w:widowControl/>
      </w:pPr>
      <w:r>
        <w:rPr>
          <w:b/>
          <w:i w:val="0"/>
        </w:rPr>
        <w:t>vanum.</w:t>
      </w:r>
      <w:r>
        <w:rPr>
          <w:b w:val="0"/>
          <w:i w:val="0"/>
        </w:rPr>
        <w:t xml:space="preserve"> </w:t>
      </w:r>
      <w:hyperlink w:anchor="latin-record-1217">
        <w:r>
          <w:rPr>
            <w:color w:val="000000"/>
          </w:rPr>
          <w:t xml:space="preserve">umbra / umbratilis / vanus</w:t>
        </w:r>
      </w:hyperlink>
      <w:r>
        <w:rPr>
          <w:b w:val="0"/>
          <w:i w:val="0"/>
        </w:rPr>
        <w:t>.</w:t>
      </w:r>
    </w:p>
    <w:p>
      <w:pPr>
        <w:widowControl/>
      </w:pPr>
      <w:r>
        <w:rPr>
          <w:b/>
          <w:i w:val="0"/>
        </w:rPr>
        <w:t>vanus.</w:t>
      </w:r>
      <w:r>
        <w:rPr>
          <w:b w:val="0"/>
          <w:i w:val="0"/>
        </w:rPr>
        <w:t xml:space="preserve"> </w:t>
      </w:r>
      <w:hyperlink w:anchor="latin-record-1217">
        <w:r>
          <w:rPr>
            <w:color w:val="000000"/>
          </w:rPr>
          <w:t xml:space="preserve">umbra / umbratilis / vanus</w:t>
        </w:r>
      </w:hyperlink>
      <w:r>
        <w:rPr>
          <w:b w:val="0"/>
          <w:i w:val="0"/>
        </w:rPr>
        <w:t>.</w:t>
      </w:r>
    </w:p>
    <w:p>
      <w:pPr>
        <w:widowControl/>
      </w:pPr>
      <w:r>
        <w:rPr>
          <w:b/>
          <w:i w:val="0"/>
        </w:rPr>
        <w:t>variabili.</w:t>
      </w:r>
      <w:r>
        <w:rPr>
          <w:b w:val="0"/>
          <w:i w:val="0"/>
        </w:rPr>
        <w:t xml:space="preserve"> </w:t>
      </w:r>
      <w:hyperlink w:anchor="latin-record-1234">
        <w:r>
          <w:rPr>
            <w:color w:val="000000"/>
          </w:rPr>
          <w:t xml:space="preserve">vagus / variabilis</w:t>
        </w:r>
      </w:hyperlink>
      <w:r>
        <w:rPr>
          <w:b w:val="0"/>
          <w:i w:val="0"/>
        </w:rPr>
        <w:t>.</w:t>
      </w:r>
    </w:p>
    <w:p>
      <w:pPr>
        <w:widowControl/>
      </w:pPr>
      <w:r>
        <w:rPr>
          <w:b/>
          <w:i w:val="0"/>
        </w:rPr>
        <w:t>varias.</w:t>
      </w:r>
      <w:r>
        <w:rPr>
          <w:b w:val="0"/>
          <w:i w:val="0"/>
        </w:rPr>
        <w:t xml:space="preserve"> </w:t>
      </w:r>
      <w:hyperlink w:anchor="latin-record-0772">
        <w:r>
          <w:rPr>
            <w:color w:val="000000"/>
          </w:rPr>
          <w:t xml:space="preserve">novus / varius</w:t>
        </w:r>
      </w:hyperlink>
      <w:r>
        <w:rPr>
          <w:b w:val="0"/>
          <w:i w:val="0"/>
        </w:rPr>
        <w:t>.</w:t>
      </w:r>
    </w:p>
    <w:p>
      <w:pPr>
        <w:widowControl/>
      </w:pPr>
      <w:r>
        <w:rPr>
          <w:b/>
          <w:i w:val="0"/>
        </w:rPr>
        <w:t>variatur.</w:t>
      </w:r>
      <w:r>
        <w:rPr>
          <w:b w:val="0"/>
          <w:i w:val="0"/>
        </w:rPr>
        <w:t xml:space="preserve"> </w:t>
      </w:r>
      <w:hyperlink w:anchor="latin-record-0772">
        <w:r>
          <w:rPr>
            <w:color w:val="000000"/>
          </w:rPr>
          <w:t xml:space="preserve">novus / varius</w:t>
        </w:r>
      </w:hyperlink>
      <w:r>
        <w:rPr>
          <w:b w:val="0"/>
          <w:i w:val="0"/>
        </w:rPr>
        <w:t>.</w:t>
      </w:r>
    </w:p>
    <w:p>
      <w:pPr>
        <w:widowControl/>
      </w:pPr>
      <w:r>
        <w:rPr>
          <w:b/>
          <w:i w:val="0"/>
        </w:rPr>
        <w:t>variosque.</w:t>
      </w:r>
      <w:r>
        <w:rPr>
          <w:b w:val="0"/>
          <w:i w:val="0"/>
        </w:rPr>
        <w:t xml:space="preserve"> </w:t>
      </w:r>
      <w:hyperlink w:anchor="latin-record-0772">
        <w:r>
          <w:rPr>
            <w:color w:val="000000"/>
          </w:rPr>
          <w:t xml:space="preserve">novus / varius</w:t>
        </w:r>
      </w:hyperlink>
      <w:r>
        <w:rPr>
          <w:b w:val="0"/>
          <w:i w:val="0"/>
        </w:rPr>
        <w:t>.</w:t>
      </w:r>
    </w:p>
    <w:p>
      <w:pPr>
        <w:widowControl/>
      </w:pPr>
      <w:r>
        <w:rPr>
          <w:b/>
          <w:i w:val="0"/>
        </w:rPr>
        <w:t>Varro.</w:t>
      </w:r>
      <w:r>
        <w:rPr>
          <w:b w:val="0"/>
          <w:i w:val="0"/>
        </w:rPr>
        <w:t xml:space="preserve"> </w:t>
      </w:r>
      <w:hyperlink w:anchor="latin-record-0510">
        <w:r>
          <w:rPr>
            <w:color w:val="000000"/>
          </w:rPr>
          <w:t xml:space="preserve">Heraclitus / Varro / Manilius</w:t>
        </w:r>
      </w:hyperlink>
      <w:r>
        <w:rPr>
          <w:b w:val="0"/>
          <w:i w:val="0"/>
        </w:rPr>
        <w:t>.</w:t>
      </w:r>
    </w:p>
    <w:p>
      <w:pPr>
        <w:widowControl/>
      </w:pPr>
      <w:r>
        <w:rPr>
          <w:b/>
          <w:i w:val="0"/>
        </w:rPr>
        <w:t>vas.</w:t>
      </w:r>
      <w:r>
        <w:rPr>
          <w:b w:val="0"/>
          <w:i w:val="0"/>
        </w:rPr>
        <w:t xml:space="preserve"> </w:t>
      </w:r>
      <w:hyperlink w:anchor="latin-record-1237">
        <w:r>
          <w:rPr>
            <w:color w:val="000000"/>
          </w:rPr>
          <w:t xml:space="preserve">vas / aquae summum</w:t>
        </w:r>
      </w:hyperlink>
      <w:r>
        <w:rPr>
          <w:b w:val="0"/>
          <w:i w:val="0"/>
        </w:rPr>
        <w:t>.</w:t>
      </w:r>
    </w:p>
    <w:p>
      <w:pPr>
        <w:widowControl/>
      </w:pPr>
      <w:r>
        <w:rPr>
          <w:b/>
          <w:i w:val="0"/>
        </w:rPr>
        <w:t>vasis.</w:t>
      </w:r>
      <w:r>
        <w:rPr>
          <w:b w:val="0"/>
          <w:i w:val="0"/>
        </w:rPr>
        <w:t xml:space="preserve"> </w:t>
      </w:r>
      <w:hyperlink w:anchor="latin-record-1237">
        <w:r>
          <w:rPr>
            <w:color w:val="000000"/>
          </w:rPr>
          <w:t xml:space="preserve">vas / aquae summum</w:t>
        </w:r>
      </w:hyperlink>
      <w:r>
        <w:rPr>
          <w:b w:val="0"/>
          <w:i w:val="0"/>
        </w:rPr>
        <w:t>.</w:t>
      </w:r>
    </w:p>
    <w:p>
      <w:pPr>
        <w:widowControl/>
      </w:pPr>
      <w:r>
        <w:rPr>
          <w:b/>
          <w:i w:val="0"/>
        </w:rPr>
        <w:t>vaticinabatur.</w:t>
      </w:r>
      <w:r>
        <w:rPr>
          <w:b w:val="0"/>
          <w:i w:val="0"/>
        </w:rPr>
        <w:t xml:space="preserve"> </w:t>
      </w:r>
      <w:hyperlink w:anchor="latin-record-0469">
        <w:r>
          <w:rPr>
            <w:color w:val="000000"/>
          </w:rPr>
          <w:t xml:space="preserve">forte / suspicor / vaticinor</w:t>
        </w:r>
      </w:hyperlink>
      <w:r>
        <w:rPr>
          <w:b w:val="0"/>
          <w:i w:val="0"/>
        </w:rPr>
        <w:t>.</w:t>
      </w:r>
    </w:p>
    <w:p>
      <w:pPr>
        <w:widowControl/>
      </w:pPr>
      <w:r>
        <w:rPr>
          <w:b/>
          <w:i w:val="0"/>
        </w:rPr>
        <w:t>vehemens.</w:t>
      </w:r>
      <w:r>
        <w:rPr>
          <w:b w:val="0"/>
          <w:i w:val="0"/>
        </w:rPr>
        <w:t xml:space="preserve"> </w:t>
      </w:r>
      <w:hyperlink w:anchor="latin-record-1040">
        <w:r>
          <w:rPr>
            <w:color w:val="000000"/>
          </w:rPr>
          <w:t xml:space="preserve">remissior / vehemens</w:t>
        </w:r>
      </w:hyperlink>
      <w:r>
        <w:rPr>
          <w:b w:val="0"/>
          <w:i w:val="0"/>
        </w:rPr>
        <w:t>.</w:t>
      </w:r>
    </w:p>
    <w:p>
      <w:pPr>
        <w:widowControl/>
      </w:pPr>
      <w:r>
        <w:rPr>
          <w:b/>
          <w:i w:val="0"/>
        </w:rPr>
        <w:t>vehementior.</w:t>
      </w:r>
      <w:r>
        <w:rPr>
          <w:b w:val="0"/>
          <w:i w:val="0"/>
        </w:rPr>
        <w:t xml:space="preserve"> </w:t>
      </w:r>
      <w:hyperlink w:anchor="latin-record-0470">
        <w:r>
          <w:rPr>
            <w:color w:val="000000"/>
          </w:rPr>
          <w:t xml:space="preserve">fortis / vehementia / valere</w:t>
        </w:r>
      </w:hyperlink>
      <w:r>
        <w:rPr>
          <w:b w:val="0"/>
          <w:i w:val="0"/>
        </w:rPr>
        <w:t xml:space="preserve">; </w:t>
      </w:r>
      <w:hyperlink w:anchor="latin-record-1040">
        <w:r>
          <w:rPr>
            <w:color w:val="000000"/>
          </w:rPr>
          <w:t xml:space="preserve">remissior / vehemens</w:t>
        </w:r>
      </w:hyperlink>
      <w:r>
        <w:rPr>
          <w:b w:val="0"/>
          <w:i w:val="0"/>
        </w:rPr>
        <w:t>.</w:t>
      </w:r>
    </w:p>
    <w:p>
      <w:pPr>
        <w:widowControl/>
      </w:pPr>
      <w:r>
        <w:rPr>
          <w:b/>
          <w:i w:val="0"/>
        </w:rPr>
        <w:t>vehementius.</w:t>
      </w:r>
      <w:r>
        <w:rPr>
          <w:b w:val="0"/>
          <w:i w:val="0"/>
        </w:rPr>
        <w:t xml:space="preserve"> </w:t>
      </w:r>
      <w:hyperlink w:anchor="latin-record-0470">
        <w:r>
          <w:rPr>
            <w:color w:val="000000"/>
          </w:rPr>
          <w:t xml:space="preserve">fortis / vehementia / valere</w:t>
        </w:r>
      </w:hyperlink>
      <w:r>
        <w:rPr>
          <w:b w:val="0"/>
          <w:i w:val="0"/>
        </w:rPr>
        <w:t>.</w:t>
      </w:r>
    </w:p>
    <w:p>
      <w:pPr>
        <w:widowControl/>
      </w:pPr>
      <w:r>
        <w:rPr>
          <w:b/>
          <w:i w:val="0"/>
        </w:rPr>
        <w:t>velimus.</w:t>
      </w:r>
      <w:r>
        <w:rPr>
          <w:b w:val="0"/>
          <w:i w:val="0"/>
        </w:rPr>
        <w:t xml:space="preserve"> </w:t>
      </w:r>
      <w:hyperlink w:anchor="latin-record-1238">
        <w:r>
          <w:rPr>
            <w:color w:val="000000"/>
          </w:rPr>
          <w:t xml:space="preserve">velle / nolle</w:t>
        </w:r>
      </w:hyperlink>
      <w:r>
        <w:rPr>
          <w:b w:val="0"/>
          <w:i w:val="0"/>
        </w:rPr>
        <w:t>.</w:t>
      </w:r>
    </w:p>
    <w:p>
      <w:pPr>
        <w:widowControl/>
      </w:pPr>
      <w:r>
        <w:rPr>
          <w:b/>
          <w:i w:val="0"/>
        </w:rPr>
        <w:t>velle.</w:t>
      </w:r>
      <w:r>
        <w:rPr>
          <w:b w:val="0"/>
          <w:i w:val="0"/>
        </w:rPr>
        <w:t xml:space="preserve"> </w:t>
      </w:r>
      <w:hyperlink w:anchor="latin-record-1238">
        <w:r>
          <w:rPr>
            <w:color w:val="000000"/>
          </w:rPr>
          <w:t xml:space="preserve">velle / nolle</w:t>
        </w:r>
      </w:hyperlink>
      <w:r>
        <w:rPr>
          <w:b w:val="0"/>
          <w:i w:val="0"/>
        </w:rPr>
        <w:t>.</w:t>
      </w:r>
    </w:p>
    <w:p>
      <w:pPr>
        <w:widowControl/>
      </w:pPr>
      <w:r>
        <w:rPr>
          <w:b/>
          <w:i w:val="0"/>
        </w:rPr>
        <w:t>velocior.</w:t>
      </w:r>
      <w:r>
        <w:rPr>
          <w:b w:val="0"/>
          <w:i w:val="0"/>
        </w:rPr>
        <w:t xml:space="preserve"> </w:t>
      </w:r>
      <w:hyperlink w:anchor="latin-record-1240">
        <w:r>
          <w:rPr>
            <w:color w:val="000000"/>
          </w:rPr>
          <w:t xml:space="preserve">velox / tardus</w:t>
        </w:r>
      </w:hyperlink>
      <w:r>
        <w:rPr>
          <w:b w:val="0"/>
          <w:i w:val="0"/>
        </w:rPr>
        <w:t>.</w:t>
      </w:r>
    </w:p>
    <w:p>
      <w:pPr>
        <w:widowControl/>
      </w:pPr>
      <w:r>
        <w:rPr>
          <w:b/>
          <w:i w:val="0"/>
        </w:rPr>
        <w:t>velocius.</w:t>
      </w:r>
      <w:r>
        <w:rPr>
          <w:b w:val="0"/>
          <w:i w:val="0"/>
        </w:rPr>
        <w:t xml:space="preserve"> </w:t>
      </w:r>
      <w:hyperlink w:anchor="latin-record-1240">
        <w:r>
          <w:rPr>
            <w:color w:val="000000"/>
          </w:rPr>
          <w:t xml:space="preserve">velox / tardus</w:t>
        </w:r>
      </w:hyperlink>
      <w:r>
        <w:rPr>
          <w:b w:val="0"/>
          <w:i w:val="0"/>
        </w:rPr>
        <w:t>.</w:t>
      </w:r>
    </w:p>
    <w:p>
      <w:pPr>
        <w:widowControl/>
      </w:pPr>
      <w:r>
        <w:rPr>
          <w:b/>
          <w:i w:val="0"/>
        </w:rPr>
        <w:t>velox.</w:t>
      </w:r>
      <w:r>
        <w:rPr>
          <w:b w:val="0"/>
          <w:i w:val="0"/>
        </w:rPr>
        <w:t xml:space="preserve"> </w:t>
      </w:r>
      <w:hyperlink w:anchor="latin-record-1240">
        <w:r>
          <w:rPr>
            <w:color w:val="000000"/>
          </w:rPr>
          <w:t xml:space="preserve">velox / tardus</w:t>
        </w:r>
      </w:hyperlink>
      <w:r>
        <w:rPr>
          <w:b w:val="0"/>
          <w:i w:val="0"/>
        </w:rPr>
        <w:t>.</w:t>
      </w:r>
    </w:p>
    <w:p>
      <w:pPr>
        <w:widowControl/>
      </w:pPr>
      <w:r>
        <w:rPr>
          <w:b/>
          <w:i w:val="0"/>
        </w:rPr>
        <w:t>vena.</w:t>
      </w:r>
      <w:r>
        <w:rPr>
          <w:b w:val="0"/>
          <w:i w:val="0"/>
        </w:rPr>
        <w:t xml:space="preserve"> </w:t>
      </w:r>
      <w:hyperlink w:anchor="latin-record-1071">
        <w:r>
          <w:rPr>
            <w:color w:val="000000"/>
          </w:rPr>
          <w:t xml:space="preserve">scaturire / vena</w:t>
        </w:r>
      </w:hyperlink>
      <w:r>
        <w:rPr>
          <w:b w:val="0"/>
          <w:i w:val="0"/>
        </w:rPr>
        <w:t>.</w:t>
      </w:r>
    </w:p>
    <w:p>
      <w:pPr>
        <w:widowControl/>
      </w:pPr>
      <w:r>
        <w:rPr>
          <w:b/>
          <w:i w:val="0"/>
        </w:rPr>
        <w:t>veneratione.</w:t>
      </w:r>
      <w:r>
        <w:rPr>
          <w:b w:val="0"/>
          <w:i w:val="0"/>
        </w:rPr>
        <w:t xml:space="preserve"> </w:t>
      </w:r>
      <w:hyperlink w:anchor="latin-record-1241">
        <w:r>
          <w:rPr>
            <w:color w:val="000000"/>
          </w:rPr>
          <w:t xml:space="preserve">veneror / veneratio</w:t>
        </w:r>
      </w:hyperlink>
      <w:r>
        <w:rPr>
          <w:b w:val="0"/>
          <w:i w:val="0"/>
        </w:rPr>
        <w:t>.</w:t>
      </w:r>
    </w:p>
    <w:p>
      <w:pPr>
        <w:widowControl/>
      </w:pPr>
      <w:r>
        <w:rPr>
          <w:b/>
          <w:i w:val="0"/>
        </w:rPr>
        <w:t>veneremur.</w:t>
      </w:r>
      <w:r>
        <w:rPr>
          <w:b w:val="0"/>
          <w:i w:val="0"/>
        </w:rPr>
        <w:t xml:space="preserve"> </w:t>
      </w:r>
      <w:hyperlink w:anchor="latin-record-1241">
        <w:r>
          <w:rPr>
            <w:color w:val="000000"/>
          </w:rPr>
          <w:t xml:space="preserve">veneror / veneratio</w:t>
        </w:r>
      </w:hyperlink>
      <w:r>
        <w:rPr>
          <w:b w:val="0"/>
          <w:i w:val="0"/>
        </w:rPr>
        <w:t>.</w:t>
      </w:r>
    </w:p>
    <w:p>
      <w:pPr>
        <w:widowControl/>
      </w:pPr>
      <w:r>
        <w:rPr>
          <w:b/>
          <w:i w:val="0"/>
        </w:rPr>
        <w:t>ventrem.</w:t>
      </w:r>
      <w:r>
        <w:rPr>
          <w:b w:val="0"/>
          <w:i w:val="0"/>
        </w:rPr>
        <w:t xml:space="preserve"> </w:t>
      </w:r>
      <w:hyperlink w:anchor="latin-record-1242">
        <w:r>
          <w:rPr>
            <w:color w:val="000000"/>
          </w:rPr>
          <w:t xml:space="preserve">venter / fetus</w:t>
        </w:r>
      </w:hyperlink>
      <w:r>
        <w:rPr>
          <w:b w:val="0"/>
          <w:i w:val="0"/>
        </w:rPr>
        <w:t>.</w:t>
      </w:r>
    </w:p>
    <w:p>
      <w:pPr>
        <w:widowControl/>
      </w:pPr>
      <w:r>
        <w:rPr>
          <w:b/>
          <w:i w:val="0"/>
        </w:rPr>
        <w:t>ver.</w:t>
      </w:r>
      <w:r>
        <w:rPr>
          <w:b w:val="0"/>
          <w:i w:val="0"/>
        </w:rPr>
        <w:t xml:space="preserve"> </w:t>
      </w:r>
      <w:hyperlink w:anchor="latin-record-0512">
        <w:r>
          <w:rPr>
            <w:color w:val="000000"/>
          </w:rPr>
          <w:t xml:space="preserve">hiems / ver / aestas / autumnus</w:t>
        </w:r>
      </w:hyperlink>
      <w:r>
        <w:rPr>
          <w:b w:val="0"/>
          <w:i w:val="0"/>
        </w:rPr>
        <w:t>.</w:t>
      </w:r>
    </w:p>
    <w:p>
      <w:pPr>
        <w:widowControl/>
      </w:pPr>
      <w:r>
        <w:rPr>
          <w:b/>
          <w:i w:val="0"/>
        </w:rPr>
        <w:t>vera.</w:t>
      </w:r>
      <w:r>
        <w:rPr>
          <w:b w:val="0"/>
          <w:i w:val="0"/>
        </w:rPr>
        <w:t xml:space="preserve"> </w:t>
      </w:r>
      <w:hyperlink w:anchor="latin-record-0695">
        <w:r>
          <w:rPr>
            <w:color w:val="000000"/>
          </w:rPr>
          <w:t xml:space="preserve">merus / verus / perfectus</w:t>
        </w:r>
      </w:hyperlink>
      <w:r>
        <w:rPr>
          <w:b w:val="0"/>
          <w:i w:val="0"/>
        </w:rPr>
        <w:t>.</w:t>
      </w:r>
    </w:p>
    <w:p>
      <w:pPr>
        <w:widowControl/>
      </w:pPr>
      <w:r>
        <w:rPr>
          <w:b/>
          <w:i w:val="0"/>
        </w:rPr>
        <w:t>veraque.</w:t>
      </w:r>
      <w:r>
        <w:rPr>
          <w:b w:val="0"/>
          <w:i w:val="0"/>
        </w:rPr>
        <w:t xml:space="preserve"> </w:t>
      </w:r>
      <w:hyperlink w:anchor="latin-record-0694">
        <w:r>
          <w:rPr>
            <w:color w:val="000000"/>
          </w:rPr>
          <w:t xml:space="preserve">merus / incorruptus / revera</w:t>
        </w:r>
      </w:hyperlink>
      <w:r>
        <w:rPr>
          <w:b w:val="0"/>
          <w:i w:val="0"/>
        </w:rPr>
        <w:t>.</w:t>
      </w:r>
    </w:p>
    <w:p>
      <w:pPr>
        <w:widowControl/>
      </w:pPr>
      <w:r>
        <w:rPr>
          <w:b/>
          <w:i w:val="0"/>
        </w:rPr>
        <w:t>verbi.</w:t>
      </w:r>
      <w:r>
        <w:rPr>
          <w:b w:val="0"/>
          <w:i w:val="0"/>
        </w:rPr>
        <w:t xml:space="preserve"> </w:t>
      </w:r>
      <w:hyperlink w:anchor="latin-record-1243">
        <w:r>
          <w:rPr>
            <w:color w:val="000000"/>
          </w:rPr>
          <w:t xml:space="preserve">verbum / significatio / significare</w:t>
        </w:r>
      </w:hyperlink>
      <w:r>
        <w:rPr>
          <w:b w:val="0"/>
          <w:i w:val="0"/>
        </w:rPr>
        <w:t>.</w:t>
      </w:r>
    </w:p>
    <w:p>
      <w:pPr>
        <w:widowControl/>
      </w:pPr>
      <w:r>
        <w:rPr>
          <w:b/>
          <w:i w:val="0"/>
        </w:rPr>
        <w:t>verbum.</w:t>
      </w:r>
      <w:r>
        <w:rPr>
          <w:b w:val="0"/>
          <w:i w:val="0"/>
        </w:rPr>
        <w:t xml:space="preserve"> </w:t>
      </w:r>
      <w:hyperlink w:anchor="latin-record-1243">
        <w:r>
          <w:rPr>
            <w:color w:val="000000"/>
          </w:rPr>
          <w:t xml:space="preserve">verbum / significatio / significare</w:t>
        </w:r>
      </w:hyperlink>
      <w:r>
        <w:rPr>
          <w:b w:val="0"/>
          <w:i w:val="0"/>
        </w:rPr>
        <w:t>.</w:t>
      </w:r>
    </w:p>
    <w:p>
      <w:pPr>
        <w:widowControl/>
      </w:pPr>
      <w:r>
        <w:rPr>
          <w:b/>
          <w:i w:val="0"/>
        </w:rPr>
        <w:t>vergerent.</w:t>
      </w:r>
      <w:r>
        <w:rPr>
          <w:b w:val="0"/>
          <w:i w:val="0"/>
        </w:rPr>
        <w:t xml:space="preserve"> </w:t>
      </w:r>
      <w:hyperlink w:anchor="latin-record-1244">
        <w:r>
          <w:rPr>
            <w:color w:val="000000"/>
          </w:rPr>
          <w:t xml:space="preserve">vergere</w:t>
        </w:r>
      </w:hyperlink>
      <w:r>
        <w:rPr>
          <w:b w:val="0"/>
          <w:i w:val="0"/>
        </w:rPr>
        <w:t>.</w:t>
      </w:r>
    </w:p>
    <w:p>
      <w:pPr>
        <w:widowControl/>
      </w:pPr>
      <w:r>
        <w:rPr>
          <w:b/>
          <w:i w:val="0"/>
        </w:rPr>
        <w:t>veridica.</w:t>
      </w:r>
      <w:r>
        <w:rPr>
          <w:b w:val="0"/>
          <w:i w:val="0"/>
        </w:rPr>
        <w:t xml:space="preserve"> </w:t>
      </w:r>
      <w:hyperlink w:anchor="latin-record-1245">
        <w:r>
          <w:rPr>
            <w:color w:val="000000"/>
          </w:rPr>
          <w:t xml:space="preserve">veridicus</w:t>
        </w:r>
      </w:hyperlink>
      <w:r>
        <w:rPr>
          <w:b w:val="0"/>
          <w:i w:val="0"/>
        </w:rPr>
        <w:t>.</w:t>
      </w:r>
    </w:p>
    <w:p>
      <w:pPr>
        <w:widowControl/>
      </w:pPr>
      <w:r>
        <w:rPr>
          <w:b/>
          <w:i w:val="0"/>
        </w:rPr>
        <w:t>Veritas.</w:t>
      </w:r>
      <w:r>
        <w:rPr>
          <w:b w:val="0"/>
          <w:i w:val="0"/>
        </w:rPr>
        <w:t xml:space="preserve"> </w:t>
      </w:r>
      <w:hyperlink w:anchor="latin-record-1246">
        <w:r>
          <w:rPr>
            <w:color w:val="000000"/>
          </w:rPr>
          <w:t xml:space="preserve">veritas / verus</w:t>
        </w:r>
      </w:hyperlink>
      <w:r>
        <w:rPr>
          <w:b w:val="0"/>
          <w:i w:val="0"/>
        </w:rPr>
        <w:t>.</w:t>
      </w:r>
    </w:p>
    <w:p>
      <w:pPr>
        <w:widowControl/>
      </w:pPr>
      <w:r>
        <w:rPr>
          <w:b/>
          <w:i w:val="0"/>
        </w:rPr>
        <w:t>veritas.</w:t>
      </w:r>
      <w:r>
        <w:rPr>
          <w:b w:val="0"/>
          <w:i w:val="0"/>
        </w:rPr>
        <w:t xml:space="preserve"> </w:t>
      </w:r>
      <w:hyperlink w:anchor="latin-record-1246">
        <w:r>
          <w:rPr>
            <w:color w:val="000000"/>
          </w:rPr>
          <w:t xml:space="preserve">veritas / verus</w:t>
        </w:r>
      </w:hyperlink>
      <w:r>
        <w:rPr>
          <w:b w:val="0"/>
          <w:i w:val="0"/>
        </w:rPr>
        <w:t>.</w:t>
      </w:r>
    </w:p>
    <w:p>
      <w:pPr>
        <w:widowControl/>
      </w:pPr>
      <w:r>
        <w:rPr>
          <w:b/>
          <w:i w:val="0"/>
        </w:rPr>
        <w:t>veritate.</w:t>
      </w:r>
      <w:r>
        <w:rPr>
          <w:b w:val="0"/>
          <w:i w:val="0"/>
        </w:rPr>
        <w:t xml:space="preserve"> </w:t>
      </w:r>
      <w:hyperlink w:anchor="latin-record-1246">
        <w:r>
          <w:rPr>
            <w:color w:val="000000"/>
          </w:rPr>
          <w:t xml:space="preserve">veritas / verus</w:t>
        </w:r>
      </w:hyperlink>
      <w:r>
        <w:rPr>
          <w:b w:val="0"/>
          <w:i w:val="0"/>
        </w:rPr>
        <w:t>.</w:t>
      </w:r>
    </w:p>
    <w:p>
      <w:pPr>
        <w:widowControl/>
      </w:pPr>
      <w:r>
        <w:rPr>
          <w:b/>
          <w:i w:val="0"/>
        </w:rPr>
        <w:t>veritatem.</w:t>
      </w:r>
      <w:r>
        <w:rPr>
          <w:b w:val="0"/>
          <w:i w:val="0"/>
        </w:rPr>
        <w:t xml:space="preserve"> </w:t>
      </w:r>
      <w:hyperlink w:anchor="latin-record-1246">
        <w:r>
          <w:rPr>
            <w:color w:val="000000"/>
          </w:rPr>
          <w:t xml:space="preserve">veritas / verus</w:t>
        </w:r>
      </w:hyperlink>
      <w:r>
        <w:rPr>
          <w:b w:val="0"/>
          <w:i w:val="0"/>
        </w:rPr>
        <w:t>.</w:t>
      </w:r>
    </w:p>
    <w:p>
      <w:pPr>
        <w:widowControl/>
      </w:pPr>
      <w:r>
        <w:rPr>
          <w:b/>
          <w:i w:val="0"/>
        </w:rPr>
        <w:t>veritatis.</w:t>
      </w:r>
      <w:r>
        <w:rPr>
          <w:b w:val="0"/>
          <w:i w:val="0"/>
        </w:rPr>
        <w:t xml:space="preserve"> </w:t>
      </w:r>
      <w:hyperlink w:anchor="latin-record-1246">
        <w:r>
          <w:rPr>
            <w:color w:val="000000"/>
          </w:rPr>
          <w:t xml:space="preserve">veritas / verus</w:t>
        </w:r>
      </w:hyperlink>
      <w:r>
        <w:rPr>
          <w:b w:val="0"/>
          <w:i w:val="0"/>
        </w:rPr>
        <w:t>.</w:t>
      </w:r>
    </w:p>
    <w:p>
      <w:pPr>
        <w:widowControl/>
      </w:pPr>
      <w:r>
        <w:rPr>
          <w:b/>
          <w:i w:val="0"/>
        </w:rPr>
        <w:t>vero.</w:t>
      </w:r>
      <w:r>
        <w:rPr>
          <w:b w:val="0"/>
          <w:i w:val="0"/>
        </w:rPr>
        <w:t xml:space="preserve"> </w:t>
      </w:r>
      <w:hyperlink w:anchor="latin-record-1247">
        <w:r>
          <w:rPr>
            <w:color w:val="000000"/>
          </w:rPr>
          <w:t xml:space="preserve">vero / verum: connectives</w:t>
        </w:r>
      </w:hyperlink>
      <w:r>
        <w:rPr>
          <w:b w:val="0"/>
          <w:i w:val="0"/>
        </w:rPr>
        <w:t>.</w:t>
      </w:r>
    </w:p>
    <w:p>
      <w:pPr>
        <w:widowControl/>
      </w:pPr>
      <w:r>
        <w:rPr>
          <w:b/>
          <w:i w:val="0"/>
        </w:rPr>
        <w:t>versat.</w:t>
      </w:r>
      <w:r>
        <w:rPr>
          <w:b w:val="0"/>
          <w:i w:val="0"/>
        </w:rPr>
        <w:t xml:space="preserve"> </w:t>
      </w:r>
      <w:hyperlink w:anchor="latin-record-1248">
        <w:r>
          <w:rPr>
            <w:color w:val="000000"/>
          </w:rPr>
          <w:t xml:space="preserve">versari / versare</w:t>
        </w:r>
      </w:hyperlink>
      <w:r>
        <w:rPr>
          <w:b w:val="0"/>
          <w:i w:val="0"/>
        </w:rPr>
        <w:t>.</w:t>
      </w:r>
    </w:p>
    <w:p>
      <w:pPr>
        <w:widowControl/>
      </w:pPr>
      <w:r>
        <w:rPr>
          <w:b/>
          <w:i w:val="0"/>
        </w:rPr>
        <w:t>versatur.</w:t>
      </w:r>
      <w:r>
        <w:rPr>
          <w:b w:val="0"/>
          <w:i w:val="0"/>
        </w:rPr>
        <w:t xml:space="preserve"> </w:t>
      </w:r>
      <w:hyperlink w:anchor="latin-record-1248">
        <w:r>
          <w:rPr>
            <w:color w:val="000000"/>
          </w:rPr>
          <w:t xml:space="preserve">versari / versare</w:t>
        </w:r>
      </w:hyperlink>
      <w:r>
        <w:rPr>
          <w:b w:val="0"/>
          <w:i w:val="0"/>
        </w:rPr>
        <w:t>.</w:t>
      </w:r>
    </w:p>
    <w:p>
      <w:pPr>
        <w:widowControl/>
      </w:pPr>
      <w:r>
        <w:rPr>
          <w:b/>
          <w:i w:val="0"/>
        </w:rPr>
        <w:t>Verum.</w:t>
      </w:r>
      <w:r>
        <w:rPr>
          <w:b w:val="0"/>
          <w:i w:val="0"/>
        </w:rPr>
        <w:t xml:space="preserve"> </w:t>
      </w:r>
      <w:hyperlink w:anchor="latin-record-1246">
        <w:r>
          <w:rPr>
            <w:color w:val="000000"/>
          </w:rPr>
          <w:t xml:space="preserve">veritas / verus</w:t>
        </w:r>
      </w:hyperlink>
      <w:r>
        <w:rPr>
          <w:b w:val="0"/>
          <w:i w:val="0"/>
        </w:rPr>
        <w:t xml:space="preserve">; </w:t>
      </w:r>
      <w:hyperlink w:anchor="latin-record-1247">
        <w:r>
          <w:rPr>
            <w:color w:val="000000"/>
          </w:rPr>
          <w:t xml:space="preserve">vero / verum: connectives</w:t>
        </w:r>
      </w:hyperlink>
      <w:r>
        <w:rPr>
          <w:b w:val="0"/>
          <w:i w:val="0"/>
        </w:rPr>
        <w:t>.</w:t>
      </w:r>
    </w:p>
    <w:p>
      <w:pPr>
        <w:widowControl/>
      </w:pPr>
      <w:r>
        <w:rPr>
          <w:b/>
          <w:i w:val="0"/>
        </w:rPr>
        <w:t>verum.</w:t>
      </w:r>
      <w:r>
        <w:rPr>
          <w:b w:val="0"/>
          <w:i w:val="0"/>
        </w:rPr>
        <w:t xml:space="preserve"> </w:t>
      </w:r>
      <w:hyperlink w:anchor="latin-record-1246">
        <w:r>
          <w:rPr>
            <w:color w:val="000000"/>
          </w:rPr>
          <w:t xml:space="preserve">veritas / verus</w:t>
        </w:r>
      </w:hyperlink>
      <w:r>
        <w:rPr>
          <w:b w:val="0"/>
          <w:i w:val="0"/>
        </w:rPr>
        <w:t xml:space="preserve">; </w:t>
      </w:r>
      <w:hyperlink w:anchor="latin-record-1247">
        <w:r>
          <w:rPr>
            <w:color w:val="000000"/>
          </w:rPr>
          <w:t xml:space="preserve">vero / verum: connectives</w:t>
        </w:r>
      </w:hyperlink>
      <w:r>
        <w:rPr>
          <w:b w:val="0"/>
          <w:i w:val="0"/>
        </w:rPr>
        <w:t>.</w:t>
      </w:r>
    </w:p>
    <w:p>
      <w:pPr>
        <w:widowControl/>
      </w:pPr>
      <w:r>
        <w:rPr>
          <w:b/>
          <w:i w:val="0"/>
        </w:rPr>
        <w:t>verumque.</w:t>
      </w:r>
      <w:r>
        <w:rPr>
          <w:b w:val="0"/>
          <w:i w:val="0"/>
        </w:rPr>
        <w:t xml:space="preserve"> </w:t>
      </w:r>
      <w:hyperlink w:anchor="latin-record-0694">
        <w:r>
          <w:rPr>
            <w:color w:val="000000"/>
          </w:rPr>
          <w:t xml:space="preserve">merus / incorruptus / revera</w:t>
        </w:r>
      </w:hyperlink>
      <w:r>
        <w:rPr>
          <w:b w:val="0"/>
          <w:i w:val="0"/>
        </w:rPr>
        <w:t>.</w:t>
      </w:r>
    </w:p>
    <w:p>
      <w:pPr>
        <w:widowControl/>
      </w:pPr>
      <w:r>
        <w:rPr>
          <w:b/>
          <w:i w:val="0"/>
        </w:rPr>
        <w:t>vestigia.</w:t>
      </w:r>
      <w:r>
        <w:rPr>
          <w:b w:val="0"/>
          <w:i w:val="0"/>
        </w:rPr>
        <w:t xml:space="preserve"> </w:t>
      </w:r>
      <w:hyperlink w:anchor="latin-record-1249">
        <w:r>
          <w:rPr>
            <w:color w:val="000000"/>
          </w:rPr>
          <w:t xml:space="preserve">vestigium</w:t>
        </w:r>
      </w:hyperlink>
      <w:r>
        <w:rPr>
          <w:b w:val="0"/>
          <w:i w:val="0"/>
        </w:rPr>
        <w:t>.</w:t>
      </w:r>
    </w:p>
    <w:p>
      <w:pPr>
        <w:widowControl/>
      </w:pPr>
      <w:r>
        <w:rPr>
          <w:b/>
          <w:i w:val="0"/>
        </w:rPr>
        <w:t>vestigium.</w:t>
      </w:r>
      <w:r>
        <w:rPr>
          <w:b w:val="0"/>
          <w:i w:val="0"/>
        </w:rPr>
        <w:t xml:space="preserve"> </w:t>
      </w:r>
      <w:hyperlink w:anchor="latin-record-1249">
        <w:r>
          <w:rPr>
            <w:color w:val="000000"/>
          </w:rPr>
          <w:t xml:space="preserve">vestigium</w:t>
        </w:r>
      </w:hyperlink>
      <w:r>
        <w:rPr>
          <w:b w:val="0"/>
          <w:i w:val="0"/>
        </w:rPr>
        <w:t>.</w:t>
      </w:r>
    </w:p>
    <w:p>
      <w:pPr>
        <w:widowControl/>
      </w:pPr>
      <w:r>
        <w:rPr>
          <w:b/>
          <w:i w:val="0"/>
        </w:rPr>
        <w:t>veteribus.</w:t>
      </w:r>
      <w:r>
        <w:rPr>
          <w:b w:val="0"/>
          <w:i w:val="0"/>
        </w:rPr>
        <w:t xml:space="preserve"> </w:t>
      </w:r>
      <w:hyperlink w:anchor="latin-record-0773">
        <w:r>
          <w:rPr>
            <w:color w:val="000000"/>
          </w:rPr>
          <w:t xml:space="preserve">novus / vetus</w:t>
        </w:r>
      </w:hyperlink>
      <w:r>
        <w:rPr>
          <w:b w:val="0"/>
          <w:i w:val="0"/>
        </w:rPr>
        <w:t>.</w:t>
      </w:r>
    </w:p>
    <w:p>
      <w:pPr>
        <w:widowControl/>
      </w:pPr>
      <w:r>
        <w:rPr>
          <w:b/>
          <w:i w:val="0"/>
        </w:rPr>
        <w:t>vi.</w:t>
      </w:r>
      <w:r>
        <w:rPr>
          <w:b w:val="0"/>
          <w:i w:val="0"/>
        </w:rPr>
        <w:t xml:space="preserve"> </w:t>
      </w:r>
      <w:hyperlink w:anchor="latin-record-1269">
        <w:r>
          <w:rPr>
            <w:color w:val="000000"/>
          </w:rPr>
          <w:t xml:space="preserve">vis / inscitia</w:t>
        </w:r>
      </w:hyperlink>
      <w:r>
        <w:rPr>
          <w:b w:val="0"/>
          <w:i w:val="0"/>
        </w:rPr>
        <w:t xml:space="preserve">; </w:t>
      </w:r>
      <w:hyperlink w:anchor="latin-record-1270">
        <w:r>
          <w:rPr>
            <w:color w:val="000000"/>
          </w:rPr>
          <w:t xml:space="preserve">vis / vires</w:t>
        </w:r>
      </w:hyperlink>
      <w:r>
        <w:rPr>
          <w:b w:val="0"/>
          <w:i w:val="0"/>
        </w:rPr>
        <w:t>.</w:t>
      </w:r>
    </w:p>
    <w:p>
      <w:pPr>
        <w:widowControl/>
      </w:pPr>
      <w:r>
        <w:rPr>
          <w:b/>
          <w:i w:val="0"/>
        </w:rPr>
        <w:t>via.</w:t>
      </w:r>
      <w:r>
        <w:rPr>
          <w:b w:val="0"/>
          <w:i w:val="0"/>
        </w:rPr>
        <w:t xml:space="preserve"> </w:t>
      </w:r>
      <w:hyperlink w:anchor="latin-record-1251">
        <w:r>
          <w:rPr>
            <w:color w:val="000000"/>
          </w:rPr>
          <w:t xml:space="preserve">via / pactum / tractus</w:t>
        </w:r>
      </w:hyperlink>
      <w:r>
        <w:rPr>
          <w:b w:val="0"/>
          <w:i w:val="0"/>
        </w:rPr>
        <w:t>.</w:t>
      </w:r>
    </w:p>
    <w:p>
      <w:pPr>
        <w:widowControl/>
      </w:pPr>
      <w:r>
        <w:rPr>
          <w:b/>
          <w:i w:val="0"/>
        </w:rPr>
        <w:t>viam.</w:t>
      </w:r>
      <w:r>
        <w:rPr>
          <w:b w:val="0"/>
          <w:i w:val="0"/>
        </w:rPr>
        <w:t xml:space="preserve"> </w:t>
      </w:r>
      <w:hyperlink w:anchor="latin-record-1250">
        <w:r>
          <w:rPr>
            <w:color w:val="000000"/>
          </w:rPr>
          <w:t xml:space="preserve">via</w:t>
        </w:r>
      </w:hyperlink>
      <w:r>
        <w:rPr>
          <w:b w:val="0"/>
          <w:i w:val="0"/>
        </w:rPr>
        <w:t>.</w:t>
      </w:r>
    </w:p>
    <w:p>
      <w:pPr>
        <w:widowControl/>
      </w:pPr>
      <w:r>
        <w:rPr>
          <w:b/>
          <w:i w:val="0"/>
        </w:rPr>
        <w:t>vias.</w:t>
      </w:r>
      <w:r>
        <w:rPr>
          <w:b w:val="0"/>
          <w:i w:val="0"/>
        </w:rPr>
        <w:t xml:space="preserve"> </w:t>
      </w:r>
      <w:hyperlink w:anchor="latin-record-1250">
        <w:r>
          <w:rPr>
            <w:color w:val="000000"/>
          </w:rPr>
          <w:t xml:space="preserve">via</w:t>
        </w:r>
      </w:hyperlink>
      <w:r>
        <w:rPr>
          <w:b w:val="0"/>
          <w:i w:val="0"/>
        </w:rPr>
        <w:t>.</w:t>
      </w:r>
    </w:p>
    <w:p>
      <w:pPr>
        <w:widowControl/>
      </w:pPr>
      <w:r>
        <w:rPr>
          <w:b/>
          <w:i w:val="0"/>
        </w:rPr>
        <w:t>vibrantur.</w:t>
      </w:r>
      <w:r>
        <w:rPr>
          <w:b w:val="0"/>
          <w:i w:val="0"/>
        </w:rPr>
        <w:t xml:space="preserve"> </w:t>
      </w:r>
      <w:hyperlink w:anchor="latin-record-1252">
        <w:r>
          <w:rPr>
            <w:color w:val="000000"/>
          </w:rPr>
          <w:t xml:space="preserve">vibrare / affectio</w:t>
        </w:r>
      </w:hyperlink>
      <w:r>
        <w:rPr>
          <w:b w:val="0"/>
          <w:i w:val="0"/>
        </w:rPr>
        <w:t>.</w:t>
      </w:r>
    </w:p>
    <w:p>
      <w:pPr>
        <w:widowControl/>
      </w:pPr>
      <w:r>
        <w:rPr>
          <w:b/>
          <w:i w:val="0"/>
        </w:rPr>
        <w:t>vibrat.</w:t>
      </w:r>
      <w:r>
        <w:rPr>
          <w:b w:val="0"/>
          <w:i w:val="0"/>
        </w:rPr>
        <w:t xml:space="preserve"> </w:t>
      </w:r>
      <w:hyperlink w:anchor="latin-record-0782">
        <w:r>
          <w:rPr>
            <w:color w:val="000000"/>
          </w:rPr>
          <w:t xml:space="preserve">nutus / vibrare</w:t>
        </w:r>
      </w:hyperlink>
      <w:r>
        <w:rPr>
          <w:b w:val="0"/>
          <w:i w:val="0"/>
        </w:rPr>
        <w:t xml:space="preserve">; </w:t>
      </w:r>
      <w:hyperlink w:anchor="latin-record-0783">
        <w:r>
          <w:rPr>
            <w:color w:val="000000"/>
          </w:rPr>
          <w:t xml:space="preserve">nutus / vibrare / centrum</w:t>
        </w:r>
      </w:hyperlink>
      <w:r>
        <w:rPr>
          <w:b w:val="0"/>
          <w:i w:val="0"/>
        </w:rPr>
        <w:t>.</w:t>
      </w:r>
    </w:p>
    <w:p>
      <w:pPr>
        <w:widowControl/>
      </w:pPr>
      <w:r>
        <w:rPr>
          <w:b/>
          <w:i w:val="0"/>
        </w:rPr>
        <w:t>vicem formae gerebat.</w:t>
      </w:r>
      <w:r>
        <w:rPr>
          <w:b w:val="0"/>
          <w:i w:val="0"/>
        </w:rPr>
        <w:t xml:space="preserve"> </w:t>
      </w:r>
      <w:hyperlink w:anchor="latin-record-0684">
        <w:r>
          <w:rPr>
            <w:color w:val="000000"/>
          </w:rPr>
          <w:t xml:space="preserve">membrum / vicem gerere</w:t>
        </w:r>
      </w:hyperlink>
      <w:r>
        <w:rPr>
          <w:b w:val="0"/>
          <w:i w:val="0"/>
        </w:rPr>
        <w:t>.</w:t>
      </w:r>
    </w:p>
    <w:p>
      <w:pPr>
        <w:widowControl/>
      </w:pPr>
      <w:r>
        <w:rPr>
          <w:b/>
          <w:i w:val="0"/>
        </w:rPr>
        <w:t>vicem genitricis substantiae gerit.</w:t>
      </w:r>
      <w:r>
        <w:rPr>
          <w:b w:val="0"/>
          <w:i w:val="0"/>
        </w:rPr>
        <w:t xml:space="preserve"> </w:t>
      </w:r>
      <w:hyperlink w:anchor="latin-record-1253">
        <w:r>
          <w:rPr>
            <w:color w:val="000000"/>
          </w:rPr>
          <w:t xml:space="preserve">vicem gerere</w:t>
        </w:r>
      </w:hyperlink>
      <w:r>
        <w:rPr>
          <w:b w:val="0"/>
          <w:i w:val="0"/>
        </w:rPr>
        <w:t>.</w:t>
      </w:r>
    </w:p>
    <w:p>
      <w:pPr>
        <w:widowControl/>
      </w:pPr>
      <w:r>
        <w:rPr>
          <w:b/>
          <w:i w:val="0"/>
        </w:rPr>
        <w:t>vicem gerit.</w:t>
      </w:r>
      <w:r>
        <w:rPr>
          <w:b w:val="0"/>
          <w:i w:val="0"/>
        </w:rPr>
        <w:t xml:space="preserve"> </w:t>
      </w:r>
      <w:hyperlink w:anchor="latin-record-1253">
        <w:r>
          <w:rPr>
            <w:color w:val="000000"/>
          </w:rPr>
          <w:t xml:space="preserve">vicem gerere</w:t>
        </w:r>
      </w:hyperlink>
      <w:r>
        <w:rPr>
          <w:b w:val="0"/>
          <w:i w:val="0"/>
        </w:rPr>
        <w:t>.</w:t>
      </w:r>
    </w:p>
    <w:p>
      <w:pPr>
        <w:widowControl/>
      </w:pPr>
      <w:r>
        <w:rPr>
          <w:b/>
          <w:i w:val="0"/>
        </w:rPr>
        <w:t>vicissim.</w:t>
      </w:r>
      <w:r>
        <w:rPr>
          <w:b w:val="0"/>
          <w:i w:val="0"/>
        </w:rPr>
        <w:t xml:space="preserve"> </w:t>
      </w:r>
      <w:hyperlink w:anchor="latin-record-1254">
        <w:r>
          <w:rPr>
            <w:color w:val="000000"/>
          </w:rPr>
          <w:t xml:space="preserve">vicissim / invicem</w:t>
        </w:r>
      </w:hyperlink>
      <w:r>
        <w:rPr>
          <w:b w:val="0"/>
          <w:i w:val="0"/>
        </w:rPr>
        <w:t>.</w:t>
      </w:r>
    </w:p>
    <w:p>
      <w:pPr>
        <w:widowControl/>
      </w:pPr>
      <w:r>
        <w:rPr>
          <w:b/>
          <w:i w:val="0"/>
        </w:rPr>
        <w:t>vicissitudine.</w:t>
      </w:r>
      <w:r>
        <w:rPr>
          <w:b w:val="0"/>
          <w:i w:val="0"/>
        </w:rPr>
        <w:t xml:space="preserve"> </w:t>
      </w:r>
      <w:hyperlink w:anchor="latin-record-1255">
        <w:r>
          <w:rPr>
            <w:color w:val="000000"/>
          </w:rPr>
          <w:t xml:space="preserve">vicissitudo</w:t>
        </w:r>
      </w:hyperlink>
      <w:r>
        <w:rPr>
          <w:b w:val="0"/>
          <w:i w:val="0"/>
        </w:rPr>
        <w:t>.</w:t>
      </w:r>
    </w:p>
    <w:p>
      <w:pPr>
        <w:widowControl/>
      </w:pPr>
      <w:r>
        <w:rPr>
          <w:b/>
          <w:i w:val="0"/>
        </w:rPr>
        <w:t>videantur.</w:t>
      </w:r>
      <w:r>
        <w:rPr>
          <w:b w:val="0"/>
          <w:i w:val="0"/>
        </w:rPr>
        <w:t xml:space="preserve"> </w:t>
      </w:r>
      <w:hyperlink w:anchor="latin-record-1258">
        <w:r>
          <w:rPr>
            <w:color w:val="000000"/>
          </w:rPr>
          <w:t xml:space="preserve">videtur</w:t>
        </w:r>
      </w:hyperlink>
      <w:r>
        <w:rPr>
          <w:b w:val="0"/>
          <w:i w:val="0"/>
        </w:rPr>
        <w:t>.</w:t>
      </w:r>
    </w:p>
    <w:p>
      <w:pPr>
        <w:widowControl/>
      </w:pPr>
      <w:r>
        <w:rPr>
          <w:b/>
          <w:i w:val="0"/>
        </w:rPr>
        <w:t>videantur habere.</w:t>
      </w:r>
      <w:r>
        <w:rPr>
          <w:b w:val="0"/>
          <w:i w:val="0"/>
        </w:rPr>
        <w:t xml:space="preserve"> </w:t>
      </w:r>
      <w:hyperlink w:anchor="latin-record-1256">
        <w:r>
          <w:rPr>
            <w:color w:val="000000"/>
          </w:rPr>
          <w:t xml:space="preserve">videor habere / revera possideo</w:t>
        </w:r>
      </w:hyperlink>
      <w:r>
        <w:rPr>
          <w:b w:val="0"/>
          <w:i w:val="0"/>
        </w:rPr>
        <w:t>.</w:t>
      </w:r>
    </w:p>
    <w:p>
      <w:pPr>
        <w:widowControl/>
      </w:pPr>
      <w:r>
        <w:rPr>
          <w:b/>
          <w:i w:val="0"/>
        </w:rPr>
        <w:t>videntur.</w:t>
      </w:r>
      <w:r>
        <w:rPr>
          <w:b w:val="0"/>
          <w:i w:val="0"/>
        </w:rPr>
        <w:t xml:space="preserve"> </w:t>
      </w:r>
      <w:hyperlink w:anchor="latin-record-0992">
        <w:r>
          <w:rPr>
            <w:color w:val="000000"/>
          </w:rPr>
          <w:t xml:space="preserve">putare / videri as appearance</w:t>
        </w:r>
      </w:hyperlink>
      <w:r>
        <w:rPr>
          <w:b w:val="0"/>
          <w:i w:val="0"/>
        </w:rPr>
        <w:t>.</w:t>
      </w:r>
    </w:p>
    <w:p>
      <w:pPr>
        <w:widowControl/>
      </w:pPr>
      <w:r>
        <w:rPr>
          <w:b/>
          <w:i w:val="0"/>
        </w:rPr>
        <w:t>videri.</w:t>
      </w:r>
      <w:r>
        <w:rPr>
          <w:b w:val="0"/>
          <w:i w:val="0"/>
        </w:rPr>
        <w:t xml:space="preserve"> </w:t>
      </w:r>
      <w:hyperlink w:anchor="latin-record-0992">
        <w:r>
          <w:rPr>
            <w:color w:val="000000"/>
          </w:rPr>
          <w:t xml:space="preserve">putare / videri as appearance</w:t>
        </w:r>
      </w:hyperlink>
      <w:r>
        <w:rPr>
          <w:b w:val="0"/>
          <w:i w:val="0"/>
        </w:rPr>
        <w:t>.</w:t>
      </w:r>
    </w:p>
    <w:p>
      <w:pPr>
        <w:widowControl/>
      </w:pPr>
      <w:r>
        <w:rPr>
          <w:b/>
          <w:i w:val="0"/>
        </w:rPr>
        <w:t>videt.</w:t>
      </w:r>
      <w:r>
        <w:rPr>
          <w:b w:val="0"/>
          <w:i w:val="0"/>
        </w:rPr>
        <w:t xml:space="preserve"> </w:t>
      </w:r>
      <w:hyperlink w:anchor="latin-record-1257">
        <w:r>
          <w:rPr>
            <w:color w:val="000000"/>
          </w:rPr>
          <w:t xml:space="preserve">videre / visibilis</w:t>
        </w:r>
      </w:hyperlink>
      <w:r>
        <w:rPr>
          <w:b w:val="0"/>
          <w:i w:val="0"/>
        </w:rPr>
        <w:t xml:space="preserve">; </w:t>
      </w:r>
      <w:hyperlink w:anchor="latin-record-1273">
        <w:r>
          <w:rPr>
            <w:color w:val="000000"/>
          </w:rPr>
          <w:t xml:space="preserve">visus / videre</w:t>
        </w:r>
      </w:hyperlink>
      <w:r>
        <w:rPr>
          <w:b w:val="0"/>
          <w:i w:val="0"/>
        </w:rPr>
        <w:t>.</w:t>
      </w:r>
    </w:p>
    <w:p>
      <w:pPr>
        <w:widowControl/>
      </w:pPr>
      <w:r>
        <w:rPr>
          <w:b/>
          <w:i w:val="0"/>
        </w:rPr>
        <w:t>videtur.</w:t>
      </w:r>
      <w:r>
        <w:rPr>
          <w:b w:val="0"/>
          <w:i w:val="0"/>
        </w:rPr>
        <w:t xml:space="preserve"> </w:t>
      </w:r>
      <w:hyperlink w:anchor="latin-record-0992">
        <w:r>
          <w:rPr>
            <w:color w:val="000000"/>
          </w:rPr>
          <w:t xml:space="preserve">putare / videri as appearance</w:t>
        </w:r>
      </w:hyperlink>
      <w:r>
        <w:rPr>
          <w:b w:val="0"/>
          <w:i w:val="0"/>
        </w:rPr>
        <w:t xml:space="preserve">; </w:t>
      </w:r>
      <w:hyperlink w:anchor="latin-record-1258">
        <w:r>
          <w:rPr>
            <w:color w:val="000000"/>
          </w:rPr>
          <w:t xml:space="preserve">videtur</w:t>
        </w:r>
      </w:hyperlink>
      <w:r>
        <w:rPr>
          <w:b w:val="0"/>
          <w:i w:val="0"/>
        </w:rPr>
        <w:t>.</w:t>
      </w:r>
    </w:p>
    <w:p>
      <w:pPr>
        <w:widowControl/>
      </w:pPr>
      <w:r>
        <w:rPr>
          <w:b/>
          <w:i w:val="0"/>
        </w:rPr>
        <w:t>viget.</w:t>
      </w:r>
      <w:r>
        <w:rPr>
          <w:b w:val="0"/>
          <w:i w:val="0"/>
        </w:rPr>
        <w:t xml:space="preserve"> </w:t>
      </w:r>
      <w:hyperlink w:anchor="latin-record-1259">
        <w:r>
          <w:rPr>
            <w:color w:val="000000"/>
          </w:rPr>
          <w:t xml:space="preserve">vigeo / prodo</w:t>
        </w:r>
      </w:hyperlink>
      <w:r>
        <w:rPr>
          <w:b w:val="0"/>
          <w:i w:val="0"/>
        </w:rPr>
        <w:t>.</w:t>
      </w:r>
    </w:p>
    <w:p>
      <w:pPr>
        <w:widowControl/>
      </w:pPr>
      <w:r>
        <w:rPr>
          <w:b/>
          <w:i w:val="0"/>
        </w:rPr>
        <w:t>vigilat.</w:t>
      </w:r>
      <w:r>
        <w:rPr>
          <w:b w:val="0"/>
          <w:i w:val="0"/>
        </w:rPr>
        <w:t xml:space="preserve"> </w:t>
      </w:r>
      <w:hyperlink w:anchor="latin-record-0867">
        <w:r>
          <w:rPr>
            <w:color w:val="000000"/>
          </w:rPr>
          <w:t xml:space="preserve">pervigil / vigilare</w:t>
        </w:r>
      </w:hyperlink>
      <w:r>
        <w:rPr>
          <w:b w:val="0"/>
          <w:i w:val="0"/>
        </w:rPr>
        <w:t>.</w:t>
      </w:r>
    </w:p>
    <w:p>
      <w:pPr>
        <w:widowControl/>
      </w:pPr>
      <w:r>
        <w:rPr>
          <w:b/>
          <w:i w:val="0"/>
        </w:rPr>
        <w:t>vigor.</w:t>
      </w:r>
      <w:r>
        <w:rPr>
          <w:b w:val="0"/>
          <w:i w:val="0"/>
        </w:rPr>
        <w:t xml:space="preserve"> </w:t>
      </w:r>
      <w:hyperlink w:anchor="latin-record-1260">
        <w:r>
          <w:rPr>
            <w:color w:val="000000"/>
          </w:rPr>
          <w:t xml:space="preserve">vigor</w:t>
        </w:r>
      </w:hyperlink>
      <w:r>
        <w:rPr>
          <w:b w:val="0"/>
          <w:i w:val="0"/>
        </w:rPr>
        <w:t>.</w:t>
      </w:r>
    </w:p>
    <w:p>
      <w:pPr>
        <w:widowControl/>
      </w:pPr>
      <w:r>
        <w:rPr>
          <w:b/>
          <w:i w:val="0"/>
        </w:rPr>
        <w:t>vigore.</w:t>
      </w:r>
      <w:r>
        <w:rPr>
          <w:b w:val="0"/>
          <w:i w:val="0"/>
        </w:rPr>
        <w:t xml:space="preserve"> </w:t>
      </w:r>
      <w:hyperlink w:anchor="latin-record-1052">
        <w:r>
          <w:rPr>
            <w:color w:val="000000"/>
          </w:rPr>
          <w:t xml:space="preserve">respectus / vigor</w:t>
        </w:r>
      </w:hyperlink>
      <w:r>
        <w:rPr>
          <w:b w:val="0"/>
          <w:i w:val="0"/>
        </w:rPr>
        <w:t>.</w:t>
      </w:r>
    </w:p>
    <w:p>
      <w:pPr>
        <w:widowControl/>
      </w:pPr>
      <w:r>
        <w:rPr>
          <w:b/>
          <w:i w:val="0"/>
        </w:rPr>
        <w:t>viliora.</w:t>
      </w:r>
      <w:r>
        <w:rPr>
          <w:b w:val="0"/>
          <w:i w:val="0"/>
        </w:rPr>
        <w:t xml:space="preserve"> </w:t>
      </w:r>
      <w:hyperlink w:anchor="latin-record-1261">
        <w:r>
          <w:rPr>
            <w:color w:val="000000"/>
          </w:rPr>
          <w:t xml:space="preserve">vilis / pretiosus / nobilis</w:t>
        </w:r>
      </w:hyperlink>
      <w:r>
        <w:rPr>
          <w:b w:val="0"/>
          <w:i w:val="0"/>
        </w:rPr>
        <w:t>.</w:t>
      </w:r>
    </w:p>
    <w:p>
      <w:pPr>
        <w:widowControl/>
      </w:pPr>
      <w:r>
        <w:rPr>
          <w:b/>
          <w:i w:val="0"/>
        </w:rPr>
        <w:t>vilis.</w:t>
      </w:r>
      <w:r>
        <w:rPr>
          <w:b w:val="0"/>
          <w:i w:val="0"/>
        </w:rPr>
        <w:t xml:space="preserve"> </w:t>
      </w:r>
      <w:hyperlink w:anchor="latin-record-0994">
        <w:r>
          <w:rPr>
            <w:color w:val="000000"/>
          </w:rPr>
          <w:t xml:space="preserve">putridus / vilis / pretiosus</w:t>
        </w:r>
      </w:hyperlink>
      <w:r>
        <w:rPr>
          <w:b w:val="0"/>
          <w:i w:val="0"/>
        </w:rPr>
        <w:t>.</w:t>
      </w:r>
    </w:p>
    <w:p>
      <w:pPr>
        <w:widowControl/>
      </w:pPr>
      <w:r>
        <w:rPr>
          <w:b/>
          <w:i w:val="0"/>
        </w:rPr>
        <w:t>vilissima.</w:t>
      </w:r>
      <w:r>
        <w:rPr>
          <w:b w:val="0"/>
          <w:i w:val="0"/>
        </w:rPr>
        <w:t xml:space="preserve"> </w:t>
      </w:r>
      <w:hyperlink w:anchor="latin-record-1261">
        <w:r>
          <w:rPr>
            <w:color w:val="000000"/>
          </w:rPr>
          <w:t xml:space="preserve">vilis / pretiosus / nobilis</w:t>
        </w:r>
      </w:hyperlink>
      <w:r>
        <w:rPr>
          <w:b w:val="0"/>
          <w:i w:val="0"/>
        </w:rPr>
        <w:t>.</w:t>
      </w:r>
    </w:p>
    <w:p>
      <w:pPr>
        <w:widowControl/>
      </w:pPr>
      <w:r>
        <w:rPr>
          <w:b/>
          <w:i w:val="0"/>
        </w:rPr>
        <w:t>vilissimarum.</w:t>
      </w:r>
      <w:r>
        <w:rPr>
          <w:b w:val="0"/>
          <w:i w:val="0"/>
        </w:rPr>
        <w:t xml:space="preserve"> </w:t>
      </w:r>
      <w:hyperlink w:anchor="latin-record-1261">
        <w:r>
          <w:rPr>
            <w:color w:val="000000"/>
          </w:rPr>
          <w:t xml:space="preserve">vilis / pretiosus / nobilis</w:t>
        </w:r>
      </w:hyperlink>
      <w:r>
        <w:rPr>
          <w:b w:val="0"/>
          <w:i w:val="0"/>
        </w:rPr>
        <w:t>.</w:t>
      </w:r>
    </w:p>
    <w:p>
      <w:pPr>
        <w:widowControl/>
      </w:pPr>
      <w:r>
        <w:rPr>
          <w:b/>
          <w:i w:val="0"/>
        </w:rPr>
        <w:t>vim.</w:t>
      </w:r>
      <w:r>
        <w:rPr>
          <w:b w:val="0"/>
          <w:i w:val="0"/>
        </w:rPr>
        <w:t xml:space="preserve"> </w:t>
      </w:r>
      <w:hyperlink w:anchor="latin-record-1270">
        <w:r>
          <w:rPr>
            <w:color w:val="000000"/>
          </w:rPr>
          <w:t xml:space="preserve">vis / vires</w:t>
        </w:r>
      </w:hyperlink>
      <w:r>
        <w:rPr>
          <w:b w:val="0"/>
          <w:i w:val="0"/>
        </w:rPr>
        <w:t>.</w:t>
      </w:r>
    </w:p>
    <w:p>
      <w:pPr>
        <w:widowControl/>
      </w:pPr>
      <w:r>
        <w:rPr>
          <w:b/>
          <w:i w:val="0"/>
        </w:rPr>
        <w:t>vim geminam.</w:t>
      </w:r>
      <w:r>
        <w:rPr>
          <w:b w:val="0"/>
          <w:i w:val="0"/>
        </w:rPr>
        <w:t xml:space="preserve"> </w:t>
      </w:r>
      <w:hyperlink w:anchor="latin-record-1272">
        <w:r>
          <w:rPr>
            <w:color w:val="000000"/>
          </w:rPr>
          <w:t xml:space="preserve">vis gemina</w:t>
        </w:r>
      </w:hyperlink>
      <w:r>
        <w:rPr>
          <w:b w:val="0"/>
          <w:i w:val="0"/>
        </w:rPr>
        <w:t>.</w:t>
      </w:r>
    </w:p>
    <w:p>
      <w:pPr>
        <w:widowControl/>
      </w:pPr>
      <w:r>
        <w:rPr>
          <w:b/>
          <w:i w:val="0"/>
        </w:rPr>
        <w:t>vim inferre.</w:t>
      </w:r>
      <w:r>
        <w:rPr>
          <w:b w:val="0"/>
          <w:i w:val="0"/>
        </w:rPr>
        <w:t xml:space="preserve"> </w:t>
      </w:r>
      <w:hyperlink w:anchor="latin-record-1262">
        <w:r>
          <w:rPr>
            <w:color w:val="000000"/>
          </w:rPr>
          <w:t xml:space="preserve">vim inferre</w:t>
        </w:r>
      </w:hyperlink>
      <w:r>
        <w:rPr>
          <w:b w:val="0"/>
          <w:i w:val="0"/>
        </w:rPr>
        <w:t>.</w:t>
      </w:r>
    </w:p>
    <w:p>
      <w:pPr>
        <w:widowControl/>
      </w:pPr>
      <w:r>
        <w:rPr>
          <w:b/>
          <w:i w:val="0"/>
        </w:rPr>
        <w:t>vinaceo.</w:t>
      </w:r>
      <w:r>
        <w:rPr>
          <w:b w:val="0"/>
          <w:i w:val="0"/>
        </w:rPr>
        <w:t xml:space="preserve"> </w:t>
      </w:r>
      <w:hyperlink w:anchor="latin-record-1277">
        <w:r>
          <w:rPr>
            <w:color w:val="000000"/>
          </w:rPr>
          <w:t xml:space="preserve">vitis / vinaceus</w:t>
        </w:r>
      </w:hyperlink>
      <w:r>
        <w:rPr>
          <w:b w:val="0"/>
          <w:i w:val="0"/>
        </w:rPr>
        <w:t>.</w:t>
      </w:r>
    </w:p>
    <w:p>
      <w:pPr>
        <w:widowControl/>
      </w:pPr>
      <w:r>
        <w:rPr>
          <w:b/>
          <w:i w:val="0"/>
        </w:rPr>
        <w:t>vincitque in unum.</w:t>
      </w:r>
      <w:r>
        <w:rPr>
          <w:b w:val="0"/>
          <w:i w:val="0"/>
        </w:rPr>
        <w:t xml:space="preserve"> </w:t>
      </w:r>
      <w:hyperlink w:anchor="latin-record-0221">
        <w:r>
          <w:rPr>
            <w:color w:val="000000"/>
          </w:rPr>
          <w:t xml:space="preserve">concilio / vincit in unum</w:t>
        </w:r>
      </w:hyperlink>
      <w:r>
        <w:rPr>
          <w:b w:val="0"/>
          <w:i w:val="0"/>
        </w:rPr>
        <w:t>.</w:t>
      </w:r>
    </w:p>
    <w:p>
      <w:pPr>
        <w:widowControl/>
      </w:pPr>
      <w:r>
        <w:rPr>
          <w:b/>
          <w:i w:val="0"/>
        </w:rPr>
        <w:t>vinciuntur.</w:t>
      </w:r>
      <w:r>
        <w:rPr>
          <w:b w:val="0"/>
          <w:i w:val="0"/>
        </w:rPr>
        <w:t xml:space="preserve"> </w:t>
      </w:r>
      <w:hyperlink w:anchor="latin-record-1263">
        <w:r>
          <w:rPr>
            <w:color w:val="000000"/>
          </w:rPr>
          <w:t xml:space="preserve">vincire / connectere</w:t>
        </w:r>
      </w:hyperlink>
      <w:r>
        <w:rPr>
          <w:b w:val="0"/>
          <w:i w:val="0"/>
        </w:rPr>
        <w:t>.</w:t>
      </w:r>
    </w:p>
    <w:p>
      <w:pPr>
        <w:widowControl/>
      </w:pPr>
      <w:r>
        <w:rPr>
          <w:b/>
          <w:i w:val="0"/>
        </w:rPr>
        <w:t>vincula.</w:t>
      </w:r>
      <w:r>
        <w:rPr>
          <w:b w:val="0"/>
          <w:i w:val="0"/>
        </w:rPr>
        <w:t xml:space="preserve"> </w:t>
      </w:r>
      <w:hyperlink w:anchor="latin-record-1120">
        <w:r>
          <w:rPr>
            <w:color w:val="000000"/>
          </w:rPr>
          <w:t xml:space="preserve">solvo / vincula / compedes</w:t>
        </w:r>
      </w:hyperlink>
      <w:r>
        <w:rPr>
          <w:b w:val="0"/>
          <w:i w:val="0"/>
        </w:rPr>
        <w:t>.</w:t>
      </w:r>
    </w:p>
    <w:p>
      <w:pPr>
        <w:widowControl/>
      </w:pPr>
      <w:r>
        <w:rPr>
          <w:b/>
          <w:i w:val="0"/>
        </w:rPr>
        <w:t>vinculum.</w:t>
      </w:r>
      <w:r>
        <w:rPr>
          <w:b w:val="0"/>
          <w:i w:val="0"/>
        </w:rPr>
        <w:t xml:space="preserve"> </w:t>
      </w:r>
      <w:hyperlink w:anchor="latin-record-1264">
        <w:r>
          <w:rPr>
            <w:color w:val="000000"/>
          </w:rPr>
          <w:t xml:space="preserve">vinculum / connecto</w:t>
        </w:r>
      </w:hyperlink>
      <w:r>
        <w:rPr>
          <w:b w:val="0"/>
          <w:i w:val="0"/>
        </w:rPr>
        <w:t>.</w:t>
      </w:r>
    </w:p>
    <w:p>
      <w:pPr>
        <w:widowControl/>
      </w:pPr>
      <w:r>
        <w:rPr>
          <w:b/>
          <w:i w:val="0"/>
        </w:rPr>
        <w:t>vinum.</w:t>
      </w:r>
      <w:r>
        <w:rPr>
          <w:b w:val="0"/>
          <w:i w:val="0"/>
        </w:rPr>
        <w:t xml:space="preserve"> </w:t>
      </w:r>
      <w:hyperlink w:anchor="latin-record-1265">
        <w:r>
          <w:rPr>
            <w:color w:val="000000"/>
          </w:rPr>
          <w:t xml:space="preserve">vinum</w:t>
        </w:r>
      </w:hyperlink>
      <w:r>
        <w:rPr>
          <w:b w:val="0"/>
          <w:i w:val="0"/>
        </w:rPr>
        <w:t>.</w:t>
      </w:r>
    </w:p>
    <w:p>
      <w:pPr>
        <w:widowControl/>
      </w:pPr>
      <w:r>
        <w:rPr>
          <w:b/>
          <w:i w:val="0"/>
        </w:rPr>
        <w:t>violentia.</w:t>
      </w:r>
      <w:r>
        <w:rPr>
          <w:b w:val="0"/>
          <w:i w:val="0"/>
        </w:rPr>
        <w:t xml:space="preserve"> </w:t>
      </w:r>
      <w:hyperlink w:anchor="latin-record-1266">
        <w:r>
          <w:rPr>
            <w:color w:val="000000"/>
          </w:rPr>
          <w:t xml:space="preserve">violentia / usus vitae</w:t>
        </w:r>
      </w:hyperlink>
      <w:r>
        <w:rPr>
          <w:b w:val="0"/>
          <w:i w:val="0"/>
        </w:rPr>
        <w:t xml:space="preserve">; </w:t>
      </w:r>
      <w:hyperlink w:anchor="latin-record-1267">
        <w:r>
          <w:rPr>
            <w:color w:val="000000"/>
          </w:rPr>
          <w:t xml:space="preserve">violentus / violentia</w:t>
        </w:r>
      </w:hyperlink>
      <w:r>
        <w:rPr>
          <w:b w:val="0"/>
          <w:i w:val="0"/>
        </w:rPr>
        <w:t>.</w:t>
      </w:r>
    </w:p>
    <w:p>
      <w:pPr>
        <w:widowControl/>
      </w:pPr>
      <w:r>
        <w:rPr>
          <w:b/>
          <w:i w:val="0"/>
        </w:rPr>
        <w:t>violentiam.</w:t>
      </w:r>
      <w:r>
        <w:rPr>
          <w:b w:val="0"/>
          <w:i w:val="0"/>
        </w:rPr>
        <w:t xml:space="preserve"> </w:t>
      </w:r>
      <w:hyperlink w:anchor="latin-record-1267">
        <w:r>
          <w:rPr>
            <w:color w:val="000000"/>
          </w:rPr>
          <w:t xml:space="preserve">violentus / violentia</w:t>
        </w:r>
      </w:hyperlink>
      <w:r>
        <w:rPr>
          <w:b w:val="0"/>
          <w:i w:val="0"/>
        </w:rPr>
        <w:t>.</w:t>
      </w:r>
    </w:p>
    <w:p>
      <w:pPr>
        <w:widowControl/>
      </w:pPr>
      <w:r>
        <w:rPr>
          <w:b/>
          <w:i w:val="0"/>
        </w:rPr>
        <w:t>violentum.</w:t>
      </w:r>
      <w:r>
        <w:rPr>
          <w:b w:val="0"/>
          <w:i w:val="0"/>
        </w:rPr>
        <w:t xml:space="preserve"> </w:t>
      </w:r>
      <w:hyperlink w:anchor="latin-record-1267">
        <w:r>
          <w:rPr>
            <w:color w:val="000000"/>
          </w:rPr>
          <w:t xml:space="preserve">violentus / violentia</w:t>
        </w:r>
      </w:hyperlink>
      <w:r>
        <w:rPr>
          <w:b w:val="0"/>
          <w:i w:val="0"/>
        </w:rPr>
        <w:t>.</w:t>
      </w:r>
    </w:p>
    <w:p>
      <w:pPr>
        <w:widowControl/>
      </w:pPr>
      <w:r>
        <w:rPr>
          <w:b/>
          <w:i w:val="0"/>
        </w:rPr>
        <w:t>virescunt.</w:t>
      </w:r>
      <w:r>
        <w:rPr>
          <w:b w:val="0"/>
          <w:i w:val="0"/>
        </w:rPr>
        <w:t xml:space="preserve"> </w:t>
      </w:r>
      <w:hyperlink w:anchor="latin-record-0453">
        <w:r>
          <w:rPr>
            <w:color w:val="000000"/>
          </w:rPr>
          <w:t xml:space="preserve">florere / virescere</w:t>
        </w:r>
      </w:hyperlink>
      <w:r>
        <w:rPr>
          <w:b w:val="0"/>
          <w:i w:val="0"/>
        </w:rPr>
        <w:t>.</w:t>
      </w:r>
    </w:p>
    <w:p>
      <w:pPr>
        <w:widowControl/>
      </w:pPr>
      <w:r>
        <w:rPr>
          <w:b/>
          <w:i w:val="0"/>
        </w:rPr>
        <w:t>viridem.</w:t>
      </w:r>
      <w:r>
        <w:rPr>
          <w:b w:val="0"/>
          <w:i w:val="0"/>
        </w:rPr>
        <w:t xml:space="preserve"> </w:t>
      </w:r>
      <w:hyperlink w:anchor="latin-record-1065">
        <w:r>
          <w:rPr>
            <w:color w:val="000000"/>
          </w:rPr>
          <w:t xml:space="preserve">ruber / viridis / splendor</w:t>
        </w:r>
      </w:hyperlink>
      <w:r>
        <w:rPr>
          <w:b w:val="0"/>
          <w:i w:val="0"/>
        </w:rPr>
        <w:t>.</w:t>
      </w:r>
    </w:p>
    <w:p>
      <w:pPr>
        <w:widowControl/>
      </w:pPr>
      <w:r>
        <w:rPr>
          <w:b/>
          <w:i w:val="0"/>
        </w:rPr>
        <w:t>viridis.</w:t>
      </w:r>
      <w:r>
        <w:rPr>
          <w:b w:val="0"/>
          <w:i w:val="0"/>
        </w:rPr>
        <w:t xml:space="preserve"> </w:t>
      </w:r>
      <w:hyperlink w:anchor="latin-record-1065">
        <w:r>
          <w:rPr>
            <w:color w:val="000000"/>
          </w:rPr>
          <w:t xml:space="preserve">ruber / viridis / splendor</w:t>
        </w:r>
      </w:hyperlink>
      <w:r>
        <w:rPr>
          <w:b w:val="0"/>
          <w:i w:val="0"/>
        </w:rPr>
        <w:t xml:space="preserve">; </w:t>
      </w:r>
      <w:hyperlink w:anchor="latin-record-1268">
        <w:r>
          <w:rPr>
            <w:color w:val="000000"/>
          </w:rPr>
          <w:t xml:space="preserve">viridis / rubens</w:t>
        </w:r>
      </w:hyperlink>
      <w:r>
        <w:rPr>
          <w:b w:val="0"/>
          <w:i w:val="0"/>
        </w:rPr>
        <w:t>.</w:t>
      </w:r>
    </w:p>
    <w:p>
      <w:pPr>
        <w:widowControl/>
      </w:pPr>
      <w:r>
        <w:rPr>
          <w:b/>
          <w:i w:val="0"/>
        </w:rPr>
        <w:t>virtus.</w:t>
      </w:r>
      <w:r>
        <w:rPr>
          <w:b w:val="0"/>
          <w:i w:val="0"/>
        </w:rPr>
        <w:t xml:space="preserve"> </w:t>
      </w:r>
      <w:hyperlink w:anchor="latin-record-0385">
        <w:r>
          <w:rPr>
            <w:color w:val="000000"/>
          </w:rPr>
          <w:t xml:space="preserve">essentia / virtus / actio</w:t>
        </w:r>
      </w:hyperlink>
      <w:r>
        <w:rPr>
          <w:b w:val="0"/>
          <w:i w:val="0"/>
        </w:rPr>
        <w:t xml:space="preserve">; </w:t>
      </w:r>
      <w:hyperlink w:anchor="latin-record-0899">
        <w:r>
          <w:rPr>
            <w:color w:val="000000"/>
          </w:rPr>
          <w:t xml:space="preserve">potentia / potestas / virtus</w:t>
        </w:r>
      </w:hyperlink>
      <w:r>
        <w:rPr>
          <w:b w:val="0"/>
          <w:i w:val="0"/>
        </w:rPr>
        <w:t xml:space="preserve">; </w:t>
      </w:r>
      <w:hyperlink w:anchor="latin-record-1271">
        <w:r>
          <w:rPr>
            <w:color w:val="000000"/>
          </w:rPr>
          <w:t xml:space="preserve">vis / virtus / potestas</w:t>
        </w:r>
      </w:hyperlink>
      <w:r>
        <w:rPr>
          <w:b w:val="0"/>
          <w:i w:val="0"/>
        </w:rPr>
        <w:t>.</w:t>
      </w:r>
    </w:p>
    <w:p>
      <w:pPr>
        <w:widowControl/>
      </w:pPr>
      <w:r>
        <w:rPr>
          <w:b/>
          <w:i w:val="0"/>
        </w:rPr>
        <w:t>Virtus.</w:t>
      </w:r>
      <w:r>
        <w:rPr>
          <w:b w:val="0"/>
          <w:i w:val="0"/>
        </w:rPr>
        <w:t xml:space="preserve"> </w:t>
      </w:r>
      <w:hyperlink w:anchor="latin-record-0899">
        <w:r>
          <w:rPr>
            <w:color w:val="000000"/>
          </w:rPr>
          <w:t xml:space="preserve">potentia / potestas / virtus</w:t>
        </w:r>
      </w:hyperlink>
      <w:r>
        <w:rPr>
          <w:b w:val="0"/>
          <w:i w:val="0"/>
        </w:rPr>
        <w:t>.</w:t>
      </w:r>
    </w:p>
    <w:p>
      <w:pPr>
        <w:widowControl/>
      </w:pPr>
      <w:r>
        <w:rPr>
          <w:b/>
          <w:i w:val="0"/>
        </w:rPr>
        <w:t>virtute.</w:t>
      </w:r>
      <w:r>
        <w:rPr>
          <w:b w:val="0"/>
          <w:i w:val="0"/>
        </w:rPr>
        <w:t xml:space="preserve"> </w:t>
      </w:r>
      <w:hyperlink w:anchor="latin-record-0899">
        <w:r>
          <w:rPr>
            <w:color w:val="000000"/>
          </w:rPr>
          <w:t xml:space="preserve">potentia / potestas / virtus</w:t>
        </w:r>
      </w:hyperlink>
      <w:r>
        <w:rPr>
          <w:b w:val="0"/>
          <w:i w:val="0"/>
        </w:rPr>
        <w:t>.</w:t>
      </w:r>
    </w:p>
    <w:p>
      <w:pPr>
        <w:widowControl/>
      </w:pPr>
      <w:r>
        <w:rPr>
          <w:b/>
          <w:i w:val="0"/>
        </w:rPr>
        <w:t>virtutem.</w:t>
      </w:r>
      <w:r>
        <w:rPr>
          <w:b w:val="0"/>
          <w:i w:val="0"/>
        </w:rPr>
        <w:t xml:space="preserve"> </w:t>
      </w:r>
      <w:hyperlink w:anchor="latin-record-0899">
        <w:r>
          <w:rPr>
            <w:color w:val="000000"/>
          </w:rPr>
          <w:t xml:space="preserve">potentia / potestas / virtus</w:t>
        </w:r>
      </w:hyperlink>
      <w:r>
        <w:rPr>
          <w:b w:val="0"/>
          <w:i w:val="0"/>
        </w:rPr>
        <w:t xml:space="preserve">; </w:t>
      </w:r>
      <w:hyperlink w:anchor="latin-record-1003">
        <w:r>
          <w:rPr>
            <w:color w:val="000000"/>
          </w:rPr>
          <w:t xml:space="preserve">qualitas / virtus</w:t>
        </w:r>
      </w:hyperlink>
      <w:r>
        <w:rPr>
          <w:b w:val="0"/>
          <w:i w:val="0"/>
        </w:rPr>
        <w:t>.</w:t>
      </w:r>
    </w:p>
    <w:p>
      <w:pPr>
        <w:widowControl/>
      </w:pPr>
      <w:r>
        <w:rPr>
          <w:b/>
          <w:i w:val="0"/>
        </w:rPr>
        <w:t>vis.</w:t>
      </w:r>
      <w:r>
        <w:rPr>
          <w:b w:val="0"/>
          <w:i w:val="0"/>
        </w:rPr>
        <w:t xml:space="preserve"> </w:t>
      </w:r>
      <w:hyperlink w:anchor="latin-record-1270">
        <w:r>
          <w:rPr>
            <w:color w:val="000000"/>
          </w:rPr>
          <w:t xml:space="preserve">vis / vires</w:t>
        </w:r>
      </w:hyperlink>
      <w:r>
        <w:rPr>
          <w:b w:val="0"/>
          <w:i w:val="0"/>
        </w:rPr>
        <w:t xml:space="preserve">; </w:t>
      </w:r>
      <w:hyperlink w:anchor="latin-record-1271">
        <w:r>
          <w:rPr>
            <w:color w:val="000000"/>
          </w:rPr>
          <w:t xml:space="preserve">vis / virtus / potestas</w:t>
        </w:r>
      </w:hyperlink>
      <w:r>
        <w:rPr>
          <w:b w:val="0"/>
          <w:i w:val="0"/>
        </w:rPr>
        <w:t>.</w:t>
      </w:r>
    </w:p>
    <w:p>
      <w:pPr>
        <w:widowControl/>
      </w:pPr>
      <w:r>
        <w:rPr>
          <w:b/>
          <w:i w:val="0"/>
        </w:rPr>
        <w:t>visceribus.</w:t>
      </w:r>
      <w:r>
        <w:rPr>
          <w:b w:val="0"/>
          <w:i w:val="0"/>
        </w:rPr>
        <w:t xml:space="preserve"> </w:t>
      </w:r>
      <w:hyperlink w:anchor="latin-record-0115">
        <w:r>
          <w:rPr>
            <w:color w:val="000000"/>
          </w:rPr>
          <w:t xml:space="preserve">aura / viscera / quassare</w:t>
        </w:r>
      </w:hyperlink>
      <w:r>
        <w:rPr>
          <w:b w:val="0"/>
          <w:i w:val="0"/>
        </w:rPr>
        <w:t>.</w:t>
      </w:r>
    </w:p>
    <w:p>
      <w:pPr>
        <w:widowControl/>
      </w:pPr>
      <w:r>
        <w:rPr>
          <w:b/>
          <w:i w:val="0"/>
        </w:rPr>
        <w:t>visibile.</w:t>
      </w:r>
      <w:r>
        <w:rPr>
          <w:b w:val="0"/>
          <w:i w:val="0"/>
        </w:rPr>
        <w:t xml:space="preserve"> </w:t>
      </w:r>
      <w:hyperlink w:anchor="latin-record-1257">
        <w:r>
          <w:rPr>
            <w:color w:val="000000"/>
          </w:rPr>
          <w:t xml:space="preserve">videre / visibilis</w:t>
        </w:r>
      </w:hyperlink>
      <w:r>
        <w:rPr>
          <w:b w:val="0"/>
          <w:i w:val="0"/>
        </w:rPr>
        <w:t>.</w:t>
      </w:r>
    </w:p>
    <w:p>
      <w:pPr>
        <w:widowControl/>
      </w:pPr>
      <w:r>
        <w:rPr>
          <w:b/>
          <w:i w:val="0"/>
        </w:rPr>
        <w:t>Visus.</w:t>
      </w:r>
      <w:r>
        <w:rPr>
          <w:b w:val="0"/>
          <w:i w:val="0"/>
        </w:rPr>
        <w:t xml:space="preserve"> </w:t>
      </w:r>
      <w:hyperlink w:anchor="latin-record-1273">
        <w:r>
          <w:rPr>
            <w:color w:val="000000"/>
          </w:rPr>
          <w:t xml:space="preserve">visus / videre</w:t>
        </w:r>
      </w:hyperlink>
      <w:r>
        <w:rPr>
          <w:b w:val="0"/>
          <w:i w:val="0"/>
        </w:rPr>
        <w:t>.</w:t>
      </w:r>
    </w:p>
    <w:p>
      <w:pPr>
        <w:widowControl/>
      </w:pPr>
      <w:r>
        <w:rPr>
          <w:b/>
          <w:i w:val="0"/>
        </w:rPr>
        <w:t>visus se ipso lucens.</w:t>
      </w:r>
      <w:r>
        <w:rPr>
          <w:b w:val="0"/>
          <w:i w:val="0"/>
        </w:rPr>
        <w:t xml:space="preserve"> </w:t>
      </w:r>
      <w:hyperlink w:anchor="latin-record-0657">
        <w:r>
          <w:rPr>
            <w:color w:val="000000"/>
          </w:rPr>
          <w:t xml:space="preserve">lux se ipsa videns</w:t>
        </w:r>
      </w:hyperlink>
      <w:r>
        <w:rPr>
          <w:b w:val="0"/>
          <w:i w:val="0"/>
        </w:rPr>
        <w:t>.</w:t>
      </w:r>
    </w:p>
    <w:p>
      <w:pPr>
        <w:widowControl/>
      </w:pPr>
      <w:r>
        <w:rPr>
          <w:b/>
          <w:i w:val="0"/>
        </w:rPr>
        <w:t>vita.</w:t>
      </w:r>
      <w:r>
        <w:rPr>
          <w:b w:val="0"/>
          <w:i w:val="0"/>
        </w:rPr>
        <w:t xml:space="preserve"> </w:t>
      </w:r>
      <w:hyperlink w:anchor="latin-record-1274">
        <w:r>
          <w:rPr>
            <w:color w:val="000000"/>
          </w:rPr>
          <w:t xml:space="preserve">vita / vivere / vivificare</w:t>
        </w:r>
      </w:hyperlink>
      <w:r>
        <w:rPr>
          <w:b w:val="0"/>
          <w:i w:val="0"/>
        </w:rPr>
        <w:t xml:space="preserve">; </w:t>
      </w:r>
      <w:hyperlink w:anchor="latin-record-1275">
        <w:r>
          <w:rPr>
            <w:color w:val="000000"/>
          </w:rPr>
          <w:t xml:space="preserve">vita sine sensu</w:t>
        </w:r>
      </w:hyperlink>
      <w:r>
        <w:rPr>
          <w:b w:val="0"/>
          <w:i w:val="0"/>
        </w:rPr>
        <w:t>.</w:t>
      </w:r>
    </w:p>
    <w:p>
      <w:pPr>
        <w:widowControl/>
      </w:pPr>
      <w:r>
        <w:rPr>
          <w:b/>
          <w:i w:val="0"/>
        </w:rPr>
        <w:t>Vita.</w:t>
      </w:r>
      <w:r>
        <w:rPr>
          <w:b w:val="0"/>
          <w:i w:val="0"/>
        </w:rPr>
        <w:t xml:space="preserve"> </w:t>
      </w:r>
      <w:hyperlink w:anchor="latin-record-1274">
        <w:r>
          <w:rPr>
            <w:color w:val="000000"/>
          </w:rPr>
          <w:t xml:space="preserve">vita / vivere / vivificare</w:t>
        </w:r>
      </w:hyperlink>
      <w:r>
        <w:rPr>
          <w:b w:val="0"/>
          <w:i w:val="0"/>
        </w:rPr>
        <w:t>.</w:t>
      </w:r>
    </w:p>
    <w:p>
      <w:pPr>
        <w:widowControl/>
      </w:pPr>
      <w:r>
        <w:rPr>
          <w:b/>
          <w:i w:val="0"/>
        </w:rPr>
        <w:t>vita vitarum.</w:t>
      </w:r>
      <w:r>
        <w:rPr>
          <w:b w:val="0"/>
          <w:i w:val="0"/>
        </w:rPr>
        <w:t xml:space="preserve"> </w:t>
      </w:r>
      <w:hyperlink w:anchor="latin-record-1276">
        <w:r>
          <w:rPr>
            <w:color w:val="000000"/>
          </w:rPr>
          <w:t xml:space="preserve">vita vitarum</w:t>
        </w:r>
      </w:hyperlink>
      <w:r>
        <w:rPr>
          <w:b w:val="0"/>
          <w:i w:val="0"/>
        </w:rPr>
        <w:t>.</w:t>
      </w:r>
    </w:p>
    <w:p>
      <w:pPr>
        <w:widowControl/>
      </w:pPr>
      <w:r>
        <w:rPr>
          <w:b/>
          <w:i w:val="0"/>
        </w:rPr>
        <w:t>vitae alicuius instrumentum.</w:t>
      </w:r>
      <w:r>
        <w:rPr>
          <w:b w:val="0"/>
          <w:i w:val="0"/>
        </w:rPr>
        <w:t xml:space="preserve"> </w:t>
      </w:r>
      <w:hyperlink w:anchor="latin-record-0591">
        <w:r>
          <w:rPr>
            <w:color w:val="000000"/>
          </w:rPr>
          <w:t xml:space="preserve">instrumentum vitae</w:t>
        </w:r>
      </w:hyperlink>
      <w:r>
        <w:rPr>
          <w:b w:val="0"/>
          <w:i w:val="0"/>
        </w:rPr>
        <w:t>.</w:t>
      </w:r>
    </w:p>
    <w:p>
      <w:pPr>
        <w:widowControl/>
      </w:pPr>
      <w:r>
        <w:rPr>
          <w:b/>
          <w:i w:val="0"/>
        </w:rPr>
        <w:t>vitae rationisque compos.</w:t>
      </w:r>
      <w:r>
        <w:rPr>
          <w:b w:val="0"/>
          <w:i w:val="0"/>
        </w:rPr>
        <w:t xml:space="preserve"> </w:t>
      </w:r>
      <w:hyperlink w:anchor="latin-record-0214">
        <w:r>
          <w:rPr>
            <w:color w:val="000000"/>
          </w:rPr>
          <w:t xml:space="preserve">compos rationis / ratione captus</w:t>
        </w:r>
      </w:hyperlink>
      <w:r>
        <w:rPr>
          <w:b w:val="0"/>
          <w:i w:val="0"/>
        </w:rPr>
        <w:t>.</w:t>
      </w:r>
    </w:p>
    <w:p>
      <w:pPr>
        <w:widowControl/>
      </w:pPr>
      <w:r>
        <w:rPr>
          <w:b/>
          <w:i w:val="0"/>
        </w:rPr>
        <w:t>vitali.</w:t>
      </w:r>
      <w:r>
        <w:rPr>
          <w:b w:val="0"/>
          <w:i w:val="0"/>
        </w:rPr>
        <w:t xml:space="preserve"> </w:t>
      </w:r>
      <w:hyperlink w:anchor="latin-record-1274">
        <w:r>
          <w:rPr>
            <w:color w:val="000000"/>
          </w:rPr>
          <w:t xml:space="preserve">vita / vivere / vivificare</w:t>
        </w:r>
      </w:hyperlink>
      <w:r>
        <w:rPr>
          <w:b w:val="0"/>
          <w:i w:val="0"/>
        </w:rPr>
        <w:t>.</w:t>
      </w:r>
    </w:p>
    <w:p>
      <w:pPr>
        <w:widowControl/>
      </w:pPr>
      <w:r>
        <w:rPr>
          <w:b/>
          <w:i w:val="0"/>
        </w:rPr>
        <w:t>vitam.</w:t>
      </w:r>
      <w:r>
        <w:rPr>
          <w:b w:val="0"/>
          <w:i w:val="0"/>
        </w:rPr>
        <w:t xml:space="preserve"> </w:t>
      </w:r>
      <w:hyperlink w:anchor="latin-record-1274">
        <w:r>
          <w:rPr>
            <w:color w:val="000000"/>
          </w:rPr>
          <w:t xml:space="preserve">vita / vivere / vivificare</w:t>
        </w:r>
      </w:hyperlink>
      <w:r>
        <w:rPr>
          <w:b w:val="0"/>
          <w:i w:val="0"/>
        </w:rPr>
        <w:t>.</w:t>
      </w:r>
    </w:p>
    <w:p>
      <w:pPr>
        <w:widowControl/>
      </w:pPr>
      <w:r>
        <w:rPr>
          <w:b/>
          <w:i w:val="0"/>
        </w:rPr>
        <w:t>vitem.</w:t>
      </w:r>
      <w:r>
        <w:rPr>
          <w:b w:val="0"/>
          <w:i w:val="0"/>
        </w:rPr>
        <w:t xml:space="preserve"> </w:t>
      </w:r>
      <w:hyperlink w:anchor="latin-record-1277">
        <w:r>
          <w:rPr>
            <w:color w:val="000000"/>
          </w:rPr>
          <w:t xml:space="preserve">vitis / vinaceus</w:t>
        </w:r>
      </w:hyperlink>
      <w:r>
        <w:rPr>
          <w:b w:val="0"/>
          <w:i w:val="0"/>
        </w:rPr>
        <w:t>.</w:t>
      </w:r>
    </w:p>
    <w:p>
      <w:pPr>
        <w:widowControl/>
      </w:pPr>
      <w:r>
        <w:rPr>
          <w:b/>
          <w:i w:val="0"/>
        </w:rPr>
        <w:t>vites.</w:t>
      </w:r>
      <w:r>
        <w:rPr>
          <w:b w:val="0"/>
          <w:i w:val="0"/>
        </w:rPr>
        <w:t xml:space="preserve"> </w:t>
      </w:r>
      <w:hyperlink w:anchor="latin-record-1277">
        <w:r>
          <w:rPr>
            <w:color w:val="000000"/>
          </w:rPr>
          <w:t xml:space="preserve">vitis / vinaceus</w:t>
        </w:r>
      </w:hyperlink>
      <w:r>
        <w:rPr>
          <w:b w:val="0"/>
          <w:i w:val="0"/>
        </w:rPr>
        <w:t>.</w:t>
      </w:r>
    </w:p>
    <w:p>
      <w:pPr>
        <w:widowControl/>
      </w:pPr>
      <w:r>
        <w:rPr>
          <w:b/>
          <w:i w:val="0"/>
        </w:rPr>
        <w:t>vitis.</w:t>
      </w:r>
      <w:r>
        <w:rPr>
          <w:b w:val="0"/>
          <w:i w:val="0"/>
        </w:rPr>
        <w:t xml:space="preserve"> </w:t>
      </w:r>
      <w:hyperlink w:anchor="latin-record-1277">
        <w:r>
          <w:rPr>
            <w:color w:val="000000"/>
          </w:rPr>
          <w:t xml:space="preserve">vitis / vinaceus</w:t>
        </w:r>
      </w:hyperlink>
      <w:r>
        <w:rPr>
          <w:b w:val="0"/>
          <w:i w:val="0"/>
        </w:rPr>
        <w:t>.</w:t>
      </w:r>
    </w:p>
    <w:p>
      <w:pPr>
        <w:widowControl/>
      </w:pPr>
      <w:r>
        <w:rPr>
          <w:b/>
          <w:i w:val="0"/>
        </w:rPr>
        <w:t>vitreas.</w:t>
      </w:r>
      <w:r>
        <w:rPr>
          <w:b w:val="0"/>
          <w:i w:val="0"/>
        </w:rPr>
        <w:t xml:space="preserve"> </w:t>
      </w:r>
      <w:hyperlink w:anchor="latin-record-1278">
        <w:r>
          <w:rPr>
            <w:color w:val="000000"/>
          </w:rPr>
          <w:t xml:space="preserve">vitrum / fenestra / pavimentum</w:t>
        </w:r>
      </w:hyperlink>
      <w:r>
        <w:rPr>
          <w:b w:val="0"/>
          <w:i w:val="0"/>
        </w:rPr>
        <w:t>.</w:t>
      </w:r>
    </w:p>
    <w:p>
      <w:pPr>
        <w:widowControl/>
      </w:pPr>
      <w:r>
        <w:rPr>
          <w:b/>
          <w:i w:val="0"/>
        </w:rPr>
        <w:t>vitrum.</w:t>
      </w:r>
      <w:r>
        <w:rPr>
          <w:b w:val="0"/>
          <w:i w:val="0"/>
        </w:rPr>
        <w:t xml:space="preserve"> </w:t>
      </w:r>
      <w:hyperlink w:anchor="latin-record-1278">
        <w:r>
          <w:rPr>
            <w:color w:val="000000"/>
          </w:rPr>
          <w:t xml:space="preserve">vitrum / fenestra / pavimentum</w:t>
        </w:r>
      </w:hyperlink>
      <w:r>
        <w:rPr>
          <w:b w:val="0"/>
          <w:i w:val="0"/>
        </w:rPr>
        <w:t>.</w:t>
      </w:r>
    </w:p>
    <w:p>
      <w:pPr>
        <w:widowControl/>
      </w:pPr>
      <w:r>
        <w:rPr>
          <w:b/>
          <w:i w:val="0"/>
        </w:rPr>
        <w:t>vivant.</w:t>
      </w:r>
      <w:r>
        <w:rPr>
          <w:b w:val="0"/>
          <w:i w:val="0"/>
        </w:rPr>
        <w:t xml:space="preserve"> </w:t>
      </w:r>
      <w:hyperlink w:anchor="latin-record-1274">
        <w:r>
          <w:rPr>
            <w:color w:val="000000"/>
          </w:rPr>
          <w:t xml:space="preserve">vita / vivere / vivificare</w:t>
        </w:r>
      </w:hyperlink>
      <w:r>
        <w:rPr>
          <w:b w:val="0"/>
          <w:i w:val="0"/>
        </w:rPr>
        <w:t>.</w:t>
      </w:r>
    </w:p>
    <w:p>
      <w:pPr>
        <w:widowControl/>
      </w:pPr>
      <w:r>
        <w:rPr>
          <w:b/>
          <w:i w:val="0"/>
        </w:rPr>
        <w:t>vivat.</w:t>
      </w:r>
      <w:r>
        <w:rPr>
          <w:b w:val="0"/>
          <w:i w:val="0"/>
        </w:rPr>
        <w:t xml:space="preserve"> </w:t>
      </w:r>
      <w:hyperlink w:anchor="latin-record-1274">
        <w:r>
          <w:rPr>
            <w:color w:val="000000"/>
          </w:rPr>
          <w:t xml:space="preserve">vita / vivere / vivificare</w:t>
        </w:r>
      </w:hyperlink>
      <w:r>
        <w:rPr>
          <w:b w:val="0"/>
          <w:i w:val="0"/>
        </w:rPr>
        <w:t>.</w:t>
      </w:r>
    </w:p>
    <w:p>
      <w:pPr>
        <w:widowControl/>
      </w:pPr>
      <w:r>
        <w:rPr>
          <w:b/>
          <w:i w:val="0"/>
        </w:rPr>
        <w:t>vivente.</w:t>
      </w:r>
      <w:r>
        <w:rPr>
          <w:b w:val="0"/>
          <w:i w:val="0"/>
        </w:rPr>
        <w:t xml:space="preserve"> </w:t>
      </w:r>
      <w:hyperlink w:anchor="latin-record-1274">
        <w:r>
          <w:rPr>
            <w:color w:val="000000"/>
          </w:rPr>
          <w:t xml:space="preserve">vita / vivere / vivificare</w:t>
        </w:r>
      </w:hyperlink>
      <w:r>
        <w:rPr>
          <w:b w:val="0"/>
          <w:i w:val="0"/>
        </w:rPr>
        <w:t>.</w:t>
      </w:r>
    </w:p>
    <w:p>
      <w:pPr>
        <w:widowControl/>
      </w:pPr>
      <w:r>
        <w:rPr>
          <w:b/>
          <w:i w:val="0"/>
        </w:rPr>
        <w:t>vivere.</w:t>
      </w:r>
      <w:r>
        <w:rPr>
          <w:b w:val="0"/>
          <w:i w:val="0"/>
        </w:rPr>
        <w:t xml:space="preserve"> </w:t>
      </w:r>
      <w:hyperlink w:anchor="latin-record-1274">
        <w:r>
          <w:rPr>
            <w:color w:val="000000"/>
          </w:rPr>
          <w:t xml:space="preserve">vita / vivere / vivificare</w:t>
        </w:r>
      </w:hyperlink>
      <w:r>
        <w:rPr>
          <w:b w:val="0"/>
          <w:i w:val="0"/>
        </w:rPr>
        <w:t>.</w:t>
      </w:r>
    </w:p>
    <w:p>
      <w:pPr>
        <w:widowControl/>
      </w:pPr>
      <w:r>
        <w:rPr>
          <w:b/>
          <w:i w:val="0"/>
        </w:rPr>
        <w:t>vivificando.</w:t>
      </w:r>
      <w:r>
        <w:rPr>
          <w:b w:val="0"/>
          <w:i w:val="0"/>
        </w:rPr>
        <w:t xml:space="preserve"> </w:t>
      </w:r>
      <w:hyperlink w:anchor="latin-record-1274">
        <w:r>
          <w:rPr>
            <w:color w:val="000000"/>
          </w:rPr>
          <w:t xml:space="preserve">vita / vivere / vivificare</w:t>
        </w:r>
      </w:hyperlink>
      <w:r>
        <w:rPr>
          <w:b w:val="0"/>
          <w:i w:val="0"/>
        </w:rPr>
        <w:t>.</w:t>
      </w:r>
    </w:p>
    <w:p>
      <w:pPr>
        <w:widowControl/>
      </w:pPr>
      <w:r>
        <w:rPr>
          <w:b/>
          <w:i w:val="0"/>
        </w:rPr>
        <w:t>vivificans.</w:t>
      </w:r>
      <w:r>
        <w:rPr>
          <w:b w:val="0"/>
          <w:i w:val="0"/>
        </w:rPr>
        <w:t xml:space="preserve"> </w:t>
      </w:r>
      <w:hyperlink w:anchor="latin-record-1274">
        <w:r>
          <w:rPr>
            <w:color w:val="000000"/>
          </w:rPr>
          <w:t xml:space="preserve">vita / vivere / vivificare</w:t>
        </w:r>
      </w:hyperlink>
      <w:r>
        <w:rPr>
          <w:b w:val="0"/>
          <w:i w:val="0"/>
        </w:rPr>
        <w:t>.</w:t>
      </w:r>
    </w:p>
    <w:p>
      <w:pPr>
        <w:widowControl/>
      </w:pPr>
      <w:r>
        <w:rPr>
          <w:b/>
          <w:i w:val="0"/>
        </w:rPr>
        <w:t>vivificat.</w:t>
      </w:r>
      <w:r>
        <w:rPr>
          <w:b w:val="0"/>
          <w:i w:val="0"/>
        </w:rPr>
        <w:t xml:space="preserve"> </w:t>
      </w:r>
      <w:hyperlink w:anchor="latin-record-1274">
        <w:r>
          <w:rPr>
            <w:color w:val="000000"/>
          </w:rPr>
          <w:t xml:space="preserve">vita / vivere / vivificare</w:t>
        </w:r>
      </w:hyperlink>
      <w:r>
        <w:rPr>
          <w:b w:val="0"/>
          <w:i w:val="0"/>
        </w:rPr>
        <w:t>.</w:t>
      </w:r>
    </w:p>
    <w:p>
      <w:pPr>
        <w:widowControl/>
      </w:pPr>
      <w:r>
        <w:rPr>
          <w:b/>
          <w:i w:val="0"/>
        </w:rPr>
        <w:t>vivit.</w:t>
      </w:r>
      <w:r>
        <w:rPr>
          <w:b w:val="0"/>
          <w:i w:val="0"/>
        </w:rPr>
        <w:t xml:space="preserve"> </w:t>
      </w:r>
      <w:hyperlink w:anchor="latin-record-1274">
        <w:r>
          <w:rPr>
            <w:color w:val="000000"/>
          </w:rPr>
          <w:t xml:space="preserve">vita / vivere / vivificare</w:t>
        </w:r>
      </w:hyperlink>
      <w:r>
        <w:rPr>
          <w:b w:val="0"/>
          <w:i w:val="0"/>
        </w:rPr>
        <w:t>.</w:t>
      </w:r>
    </w:p>
    <w:p>
      <w:pPr>
        <w:widowControl/>
      </w:pPr>
      <w:r>
        <w:rPr>
          <w:b/>
          <w:i w:val="0"/>
        </w:rPr>
        <w:t>Vivit ut vult.</w:t>
      </w:r>
      <w:r>
        <w:rPr>
          <w:b w:val="0"/>
          <w:i w:val="0"/>
        </w:rPr>
        <w:t xml:space="preserve"> </w:t>
      </w:r>
      <w:hyperlink w:anchor="latin-record-1279">
        <w:r>
          <w:rPr>
            <w:color w:val="000000"/>
          </w:rPr>
          <w:t xml:space="preserve">vivere ut vult</w:t>
        </w:r>
      </w:hyperlink>
      <w:r>
        <w:rPr>
          <w:b w:val="0"/>
          <w:i w:val="0"/>
        </w:rPr>
        <w:t>.</w:t>
      </w:r>
    </w:p>
    <w:p>
      <w:pPr>
        <w:widowControl/>
      </w:pPr>
      <w:r>
        <w:rPr>
          <w:b/>
          <w:i w:val="0"/>
        </w:rPr>
        <w:t>vivit ut vult.</w:t>
      </w:r>
      <w:r>
        <w:rPr>
          <w:b w:val="0"/>
          <w:i w:val="0"/>
        </w:rPr>
        <w:t xml:space="preserve"> </w:t>
      </w:r>
      <w:hyperlink w:anchor="latin-record-1279">
        <w:r>
          <w:rPr>
            <w:color w:val="000000"/>
          </w:rPr>
          <w:t xml:space="preserve">vivere ut vult</w:t>
        </w:r>
      </w:hyperlink>
      <w:r>
        <w:rPr>
          <w:b w:val="0"/>
          <w:i w:val="0"/>
        </w:rPr>
        <w:t>.</w:t>
      </w:r>
    </w:p>
    <w:p>
      <w:pPr>
        <w:widowControl/>
      </w:pPr>
      <w:r>
        <w:rPr>
          <w:b/>
          <w:i w:val="0"/>
        </w:rPr>
        <w:t>volente Deo.</w:t>
      </w:r>
      <w:r>
        <w:rPr>
          <w:b w:val="0"/>
          <w:i w:val="0"/>
        </w:rPr>
        <w:t xml:space="preserve"> </w:t>
      </w:r>
      <w:hyperlink w:anchor="latin-record-1280">
        <w:r>
          <w:rPr>
            <w:color w:val="000000"/>
          </w:rPr>
          <w:t xml:space="preserve">volente Deo</w:t>
        </w:r>
      </w:hyperlink>
      <w:r>
        <w:rPr>
          <w:b w:val="0"/>
          <w:i w:val="0"/>
        </w:rPr>
        <w:t>.</w:t>
      </w:r>
    </w:p>
    <w:p>
      <w:pPr>
        <w:widowControl/>
      </w:pPr>
      <w:r>
        <w:rPr>
          <w:b/>
          <w:i w:val="0"/>
        </w:rPr>
        <w:t>voluerunt.</w:t>
      </w:r>
      <w:r>
        <w:rPr>
          <w:b w:val="0"/>
          <w:i w:val="0"/>
        </w:rPr>
        <w:t xml:space="preserve"> </w:t>
      </w:r>
      <w:hyperlink w:anchor="latin-record-1093">
        <w:r>
          <w:rPr>
            <w:color w:val="000000"/>
          </w:rPr>
          <w:t xml:space="preserve">sententia / voluerunt</w:t>
        </w:r>
      </w:hyperlink>
      <w:r>
        <w:rPr>
          <w:b w:val="0"/>
          <w:i w:val="0"/>
        </w:rPr>
        <w:t>.</w:t>
      </w:r>
    </w:p>
    <w:p>
      <w:pPr>
        <w:widowControl/>
      </w:pPr>
      <w:r>
        <w:rPr>
          <w:b/>
          <w:i w:val="0"/>
        </w:rPr>
        <w:t>volumus.</w:t>
      </w:r>
      <w:r>
        <w:rPr>
          <w:b w:val="0"/>
          <w:i w:val="0"/>
        </w:rPr>
        <w:t xml:space="preserve"> </w:t>
      </w:r>
      <w:hyperlink w:anchor="latin-record-1238">
        <w:r>
          <w:rPr>
            <w:color w:val="000000"/>
          </w:rPr>
          <w:t xml:space="preserve">velle / nolle</w:t>
        </w:r>
      </w:hyperlink>
      <w:r>
        <w:rPr>
          <w:b w:val="0"/>
          <w:i w:val="0"/>
        </w:rPr>
        <w:t>.</w:t>
      </w:r>
    </w:p>
    <w:p>
      <w:pPr>
        <w:widowControl/>
      </w:pPr>
      <w:r>
        <w:rPr>
          <w:b/>
          <w:i w:val="0"/>
        </w:rPr>
        <w:t>volunt.</w:t>
      </w:r>
      <w:r>
        <w:rPr>
          <w:b w:val="0"/>
          <w:i w:val="0"/>
        </w:rPr>
        <w:t xml:space="preserve"> </w:t>
      </w:r>
      <w:hyperlink w:anchor="latin-record-1239">
        <w:r>
          <w:rPr>
            <w:color w:val="000000"/>
          </w:rPr>
          <w:t xml:space="preserve">velle / nolle / malle</w:t>
        </w:r>
      </w:hyperlink>
      <w:r>
        <w:rPr>
          <w:b w:val="0"/>
          <w:i w:val="0"/>
        </w:rPr>
        <w:t>.</w:t>
      </w:r>
    </w:p>
    <w:p>
      <w:pPr>
        <w:widowControl/>
      </w:pPr>
      <w:r>
        <w:rPr>
          <w:b/>
          <w:i w:val="0"/>
        </w:rPr>
        <w:t>voluntaria.</w:t>
      </w:r>
      <w:r>
        <w:rPr>
          <w:b w:val="0"/>
          <w:i w:val="0"/>
        </w:rPr>
        <w:t xml:space="preserve"> </w:t>
      </w:r>
      <w:hyperlink w:anchor="latin-record-1238">
        <w:r>
          <w:rPr>
            <w:color w:val="000000"/>
          </w:rPr>
          <w:t xml:space="preserve">velle / nolle</w:t>
        </w:r>
      </w:hyperlink>
      <w:r>
        <w:rPr>
          <w:b w:val="0"/>
          <w:i w:val="0"/>
        </w:rPr>
        <w:t>.</w:t>
      </w:r>
    </w:p>
    <w:p>
      <w:pPr>
        <w:widowControl/>
      </w:pPr>
      <w:r>
        <w:rPr>
          <w:b/>
          <w:i w:val="0"/>
        </w:rPr>
        <w:t>voluntarium.</w:t>
      </w:r>
      <w:r>
        <w:rPr>
          <w:b w:val="0"/>
          <w:i w:val="0"/>
        </w:rPr>
        <w:t xml:space="preserve"> </w:t>
      </w:r>
      <w:hyperlink w:anchor="latin-record-0750">
        <w:r>
          <w:rPr>
            <w:color w:val="000000"/>
          </w:rPr>
          <w:t xml:space="preserve">necessitas and willing acceptance</w:t>
        </w:r>
      </w:hyperlink>
      <w:r>
        <w:rPr>
          <w:b w:val="0"/>
          <w:i w:val="0"/>
        </w:rPr>
        <w:t xml:space="preserve">; </w:t>
      </w:r>
      <w:hyperlink w:anchor="latin-record-1136">
        <w:r>
          <w:rPr>
            <w:color w:val="000000"/>
          </w:rPr>
          <w:t xml:space="preserve">spontaneus / voluntarius</w:t>
        </w:r>
      </w:hyperlink>
      <w:r>
        <w:rPr>
          <w:b w:val="0"/>
          <w:i w:val="0"/>
        </w:rPr>
        <w:t>.</w:t>
      </w:r>
    </w:p>
    <w:p>
      <w:pPr>
        <w:widowControl/>
      </w:pPr>
      <w:r>
        <w:rPr>
          <w:b/>
          <w:i w:val="0"/>
        </w:rPr>
        <w:t>voluntariusque.</w:t>
      </w:r>
      <w:r>
        <w:rPr>
          <w:b w:val="0"/>
          <w:i w:val="0"/>
        </w:rPr>
        <w:t xml:space="preserve"> </w:t>
      </w:r>
      <w:hyperlink w:anchor="latin-record-1136">
        <w:r>
          <w:rPr>
            <w:color w:val="000000"/>
          </w:rPr>
          <w:t xml:space="preserve">spontaneus / voluntarius</w:t>
        </w:r>
      </w:hyperlink>
      <w:r>
        <w:rPr>
          <w:b w:val="0"/>
          <w:i w:val="0"/>
        </w:rPr>
        <w:t>.</w:t>
      </w:r>
    </w:p>
    <w:p>
      <w:pPr>
        <w:widowControl/>
      </w:pPr>
      <w:r>
        <w:rPr>
          <w:b/>
          <w:i w:val="0"/>
        </w:rPr>
        <w:t>voluntatem.</w:t>
      </w:r>
      <w:r>
        <w:rPr>
          <w:b w:val="0"/>
          <w:i w:val="0"/>
        </w:rPr>
        <w:t xml:space="preserve"> </w:t>
      </w:r>
      <w:hyperlink w:anchor="latin-record-0552">
        <w:r>
          <w:rPr>
            <w:color w:val="000000"/>
          </w:rPr>
          <w:t xml:space="preserve">inclinatio / appetitus / voluntas</w:t>
        </w:r>
      </w:hyperlink>
      <w:r>
        <w:rPr>
          <w:b w:val="0"/>
          <w:i w:val="0"/>
        </w:rPr>
        <w:t>.</w:t>
      </w:r>
    </w:p>
    <w:p>
      <w:pPr>
        <w:widowControl/>
      </w:pPr>
      <w:r>
        <w:rPr>
          <w:b/>
          <w:i w:val="0"/>
        </w:rPr>
        <w:t>voluntatis.</w:t>
      </w:r>
      <w:r>
        <w:rPr>
          <w:b w:val="0"/>
          <w:i w:val="0"/>
        </w:rPr>
        <w:t xml:space="preserve"> </w:t>
      </w:r>
      <w:hyperlink w:anchor="latin-record-1281">
        <w:r>
          <w:rPr>
            <w:color w:val="000000"/>
          </w:rPr>
          <w:t xml:space="preserve">voluntas / memoria</w:t>
        </w:r>
      </w:hyperlink>
      <w:r>
        <w:rPr>
          <w:b w:val="0"/>
          <w:i w:val="0"/>
        </w:rPr>
        <w:t>.</w:t>
      </w:r>
    </w:p>
    <w:p>
      <w:pPr>
        <w:widowControl/>
      </w:pPr>
      <w:r>
        <w:rPr>
          <w:b/>
          <w:i w:val="0"/>
        </w:rPr>
        <w:t>voluptas.</w:t>
      </w:r>
      <w:r>
        <w:rPr>
          <w:b w:val="0"/>
          <w:i w:val="0"/>
        </w:rPr>
        <w:t xml:space="preserve"> </w:t>
      </w:r>
      <w:hyperlink w:anchor="latin-record-1283">
        <w:r>
          <w:rPr>
            <w:color w:val="000000"/>
          </w:rPr>
          <w:t xml:space="preserve">voluptas / dilatatio</w:t>
        </w:r>
      </w:hyperlink>
      <w:r>
        <w:rPr>
          <w:b w:val="0"/>
          <w:i w:val="0"/>
        </w:rPr>
        <w:t>.</w:t>
      </w:r>
    </w:p>
    <w:p>
      <w:pPr>
        <w:widowControl/>
      </w:pPr>
      <w:r>
        <w:rPr>
          <w:b/>
          <w:i w:val="0"/>
        </w:rPr>
        <w:t>voluptatem.</w:t>
      </w:r>
      <w:r>
        <w:rPr>
          <w:b w:val="0"/>
          <w:i w:val="0"/>
        </w:rPr>
        <w:t xml:space="preserve"> </w:t>
      </w:r>
      <w:hyperlink w:anchor="latin-record-1282">
        <w:r>
          <w:rPr>
            <w:color w:val="000000"/>
          </w:rPr>
          <w:t xml:space="preserve">voluptas</w:t>
        </w:r>
      </w:hyperlink>
      <w:r>
        <w:rPr>
          <w:b w:val="0"/>
          <w:i w:val="0"/>
        </w:rPr>
        <w:t>.</w:t>
      </w:r>
    </w:p>
    <w:p>
      <w:pPr>
        <w:widowControl/>
      </w:pPr>
      <w:r>
        <w:rPr>
          <w:b/>
          <w:i w:val="0"/>
        </w:rPr>
        <w:t>vox significatioque.</w:t>
      </w:r>
      <w:r>
        <w:rPr>
          <w:b w:val="0"/>
          <w:i w:val="0"/>
        </w:rPr>
        <w:t xml:space="preserve"> </w:t>
      </w:r>
      <w:hyperlink w:anchor="latin-record-1285">
        <w:r>
          <w:rPr>
            <w:color w:val="000000"/>
          </w:rPr>
          <w:t xml:space="preserve">vox / significatio</w:t>
        </w:r>
      </w:hyperlink>
      <w:r>
        <w:rPr>
          <w:b w:val="0"/>
          <w:i w:val="0"/>
        </w:rPr>
        <w:t>.</w:t>
      </w:r>
    </w:p>
    <w:p>
      <w:pPr>
        <w:widowControl/>
      </w:pPr>
      <w:r>
        <w:rPr>
          <w:b/>
          <w:i w:val="0"/>
        </w:rPr>
        <w:t>vulgo.</w:t>
      </w:r>
      <w:r>
        <w:rPr>
          <w:b w:val="0"/>
          <w:i w:val="0"/>
        </w:rPr>
        <w:t xml:space="preserve"> </w:t>
      </w:r>
      <w:hyperlink w:anchor="latin-record-1148">
        <w:r>
          <w:rPr>
            <w:color w:val="000000"/>
          </w:rPr>
          <w:t xml:space="preserve">stultus / sapienter / perspicue / vulgo / gratia / idealis</w:t>
        </w:r>
      </w:hyperlink>
      <w:r>
        <w:rPr>
          <w:b w:val="0"/>
          <w:i w:val="0"/>
        </w:rPr>
        <w:t>.</w:t>
      </w:r>
    </w:p>
    <w:p>
      <w:pPr>
        <w:widowControl/>
      </w:pPr>
      <w:r>
        <w:rPr>
          <w:b/>
          <w:i w:val="0"/>
        </w:rPr>
        <w:t>vulnerabant.</w:t>
      </w:r>
      <w:r>
        <w:rPr>
          <w:b w:val="0"/>
          <w:i w:val="0"/>
        </w:rPr>
        <w:t xml:space="preserve"> </w:t>
      </w:r>
      <w:hyperlink w:anchor="latin-record-0280">
        <w:r>
          <w:rPr>
            <w:color w:val="000000"/>
          </w:rPr>
          <w:t xml:space="preserve">coronare / vulnerare</w:t>
        </w:r>
      </w:hyperlink>
      <w:r>
        <w:rPr>
          <w:b w:val="0"/>
          <w:i w:val="0"/>
        </w:rPr>
        <w:t>.</w:t>
      </w:r>
    </w:p>
    <w:p>
      <w:pPr>
        <w:widowControl/>
      </w:pPr>
      <w:r>
        <w:rPr>
          <w:b/>
          <w:i w:val="0"/>
        </w:rPr>
        <w:t>vult.</w:t>
      </w:r>
      <w:r>
        <w:rPr>
          <w:b w:val="0"/>
          <w:i w:val="0"/>
        </w:rPr>
        <w:t xml:space="preserve"> </w:t>
      </w:r>
      <w:hyperlink w:anchor="latin-record-1238">
        <w:r>
          <w:rPr>
            <w:color w:val="000000"/>
          </w:rPr>
          <w:t xml:space="preserve">velle / nolle</w:t>
        </w:r>
      </w:hyperlink>
      <w:r>
        <w:rPr>
          <w:b w:val="0"/>
          <w:i w:val="0"/>
        </w:rPr>
        <w:t xml:space="preserve">; </w:t>
      </w:r>
      <w:hyperlink w:anchor="latin-record-1239">
        <w:r>
          <w:rPr>
            <w:color w:val="000000"/>
          </w:rPr>
          <w:t xml:space="preserve">velle / nolle / malle</w:t>
        </w:r>
      </w:hyperlink>
      <w:r>
        <w:rPr>
          <w:b w:val="0"/>
          <w:i w:val="0"/>
        </w:rPr>
        <w:t xml:space="preserve">; </w:t>
      </w:r>
      <w:hyperlink w:anchor="latin-record-1286">
        <w:r>
          <w:rPr>
            <w:color w:val="000000"/>
          </w:rPr>
          <w:t xml:space="preserve">vult / lubet</w:t>
        </w:r>
      </w:hyperlink>
      <w:r>
        <w:rPr>
          <w:b w:val="0"/>
          <w:i w:val="0"/>
        </w:rPr>
        <w:t>.</w:t>
      </w:r>
    </w:p>
    <w:p>
      <w:pPr>
        <w:widowControl/>
      </w:pPr>
      <w:r>
        <w:rPr>
          <w:b/>
          <w:i w:val="0"/>
        </w:rPr>
        <w:t>vultus.</w:t>
      </w:r>
      <w:r>
        <w:rPr>
          <w:b w:val="0"/>
          <w:i w:val="0"/>
        </w:rPr>
        <w:t xml:space="preserve"> </w:t>
      </w:r>
      <w:hyperlink w:anchor="latin-record-1288">
        <w:r>
          <w:rPr>
            <w:color w:val="000000"/>
          </w:rPr>
          <w:t xml:space="preserve">vultus / reluceo</w:t>
        </w:r>
      </w:hyperlink>
      <w:r>
        <w:rPr>
          <w:b w:val="0"/>
          <w:i w:val="0"/>
        </w:rPr>
        <w:t>.</w:t>
      </w:r>
    </w:p>
    <w:p>
      <w:pPr>
        <w:widowControl/>
      </w:pPr>
      <w:r>
        <w:rPr>
          <w:b/>
          <w:i w:val="0"/>
        </w:rPr>
        <w:t>vultus imagines.</w:t>
      </w:r>
      <w:r>
        <w:rPr>
          <w:b w:val="0"/>
          <w:i w:val="0"/>
        </w:rPr>
        <w:t xml:space="preserve"> </w:t>
      </w:r>
      <w:hyperlink w:anchor="latin-record-1287">
        <w:r>
          <w:rPr>
            <w:color w:val="000000"/>
          </w:rPr>
          <w:t xml:space="preserve">vultus / imago</w:t>
        </w:r>
      </w:hyperlink>
      <w:r>
        <w:rPr>
          <w:b w:val="0"/>
          <w:i w:val="0"/>
        </w:rPr>
        <w:t>.</w:t>
      </w:r>
    </w:p>
    <w:p>
      <w:pPr>
        <w:widowControl/>
      </w:pPr>
      <w:r>
        <w:rPr>
          <w:b/>
          <w:i w:val="0"/>
        </w:rPr>
        <w:t>vultus omnium.</w:t>
      </w:r>
      <w:r>
        <w:rPr>
          <w:b w:val="0"/>
          <w:i w:val="0"/>
        </w:rPr>
        <w:t xml:space="preserve"> </w:t>
      </w:r>
      <w:hyperlink w:anchor="latin-record-0729">
        <w:r>
          <w:rPr>
            <w:color w:val="000000"/>
          </w:rPr>
          <w:t xml:space="preserve">mundi series / vultus omnium</w:t>
        </w:r>
      </w:hyperlink>
      <w:r>
        <w:rPr>
          <w:b w:val="0"/>
          <w:i w:val="0"/>
        </w:rPr>
        <w:t>.</w:t>
      </w:r>
    </w:p>
    <w:p>
      <w:pPr>
        <w:widowControl/>
      </w:pPr>
      <w:r>
        <w:rPr>
          <w:b/>
          <w:i w:val="0"/>
        </w:rPr>
        <w:t>Xenocrate.</w:t>
      </w:r>
      <w:r>
        <w:rPr>
          <w:b w:val="0"/>
          <w:i w:val="0"/>
        </w:rPr>
        <w:t xml:space="preserve"> </w:t>
      </w:r>
      <w:hyperlink w:anchor="latin-record-0034">
        <w:r>
          <w:rPr>
            <w:color w:val="000000"/>
          </w:rPr>
          <w:t xml:space="preserve">aenigma / Xenocrates</w:t>
        </w:r>
      </w:hyperlink>
      <w:r>
        <w:rPr>
          <w:b w:val="0"/>
          <w:i w:val="0"/>
        </w:rPr>
        <w:t>.</w:t>
      </w:r>
    </w:p>
    <w:p>
      <w:pPr>
        <w:widowControl/>
      </w:pPr>
      <w:r>
        <w:rPr>
          <w:b/>
          <w:i w:val="0"/>
        </w:rPr>
        <w:t>Zoroaster.</w:t>
      </w:r>
      <w:r>
        <w:rPr>
          <w:b w:val="0"/>
          <w:i w:val="0"/>
        </w:rPr>
        <w:t xml:space="preserve"> </w:t>
      </w:r>
      <w:hyperlink w:anchor="latin-record-0696">
        <w:r>
          <w:rPr>
            <w:color w:val="000000"/>
          </w:rPr>
          <w:t xml:space="preserve">Metrodorus / Zoroaster</w:t>
        </w:r>
      </w:hyperlink>
      <w:r>
        <w:rPr>
          <w:b w:val="0"/>
          <w:i w:val="0"/>
        </w:rPr>
        <w:t xml:space="preserve">; </w:t>
      </w:r>
      <w:hyperlink w:anchor="latin-record-1289">
        <w:r>
          <w:rPr>
            <w:color w:val="000000"/>
          </w:rPr>
          <w:t xml:space="preserve">Zoroaster / ignis unus</w:t>
        </w:r>
      </w:hyperlink>
      <w:r>
        <w:rPr>
          <w:b w:val="0"/>
          <w:i w:val="0"/>
        </w:rPr>
        <w:t xml:space="preserve">; </w:t>
      </w:r>
      <w:hyperlink w:anchor="latin-record-1290">
        <w:r>
          <w:rPr>
            <w:color w:val="000000"/>
          </w:rPr>
          <w:t xml:space="preserve">Zoroaster / rectores</w:t>
        </w:r>
      </w:hyperlink>
      <w:r>
        <w:rPr>
          <w:b w:val="0"/>
          <w:i w:val="0"/>
        </w:rPr>
        <w:t>.</w:t>
      </w:r>
    </w:p>
    <w:p>
      <w:pPr>
        <w:widowControl/>
      </w:pPr>
      <w:r>
        <w:rPr>
          <w:b/>
          <w:i w:val="0"/>
        </w:rPr>
        <w:t>Zoroastris sectatores.</w:t>
      </w:r>
      <w:r>
        <w:rPr>
          <w:b w:val="0"/>
          <w:i w:val="0"/>
        </w:rPr>
        <w:t xml:space="preserve"> </w:t>
      </w:r>
      <w:hyperlink w:anchor="latin-record-1291">
        <w:r>
          <w:rPr>
            <w:color w:val="000000"/>
          </w:rPr>
          <w:t xml:space="preserve">Zoroastris sectatores</w:t>
        </w:r>
      </w:hyperlink>
      <w:r>
        <w:rPr>
          <w:b w:val="0"/>
          <w:i w:val="0"/>
        </w:rPr>
        <w:t>.</w:t>
      </w:r>
    </w:p>
    <w:p>
      <w:bookmarkStart w:id="1567" w:name="passage-index"/>
      <w:pPr>
        <w:pStyle w:val="Heading1"/>
      </w:pPr>
      <w:r>
        <w:rPr>
          <w:b w:val="0"/>
          <w:i w:val="0"/>
        </w:rPr>
        <w:t>Passage index</w:t>
      </w:r>
      <w:bookmarkEnd w:id="1567"/>
    </w:p>
    <w:p>
      <w:pPr>
        <w:widowControl/>
      </w:pPr>
      <w:r>
        <w:rPr>
          <w:b w:val="0"/>
          <w:i w:val="0"/>
        </w:rPr>
        <w:t>All 533 numbered comparison units appear below, in source order. Each row gives the supplied PDF page pair and reading routes into articles or vocabulary explanations. The unnumbered authorial reservation on source page 13 is discussed in the Introduction. Coverage of a unit is not a claim that every token has an independent definition.</w:t>
      </w:r>
    </w:p>
    <w:p>
      <w:bookmarkStart w:id="1568" w:name="proem-1"/>
      <w:pPr>
        <w:pStyle w:val="Heading2"/>
      </w:pPr>
      <w:r>
        <w:rPr>
          <w:b w:val="0"/>
          <w:i w:val="0"/>
        </w:rPr>
        <w:t>Proem</w:t>
      </w:r>
      <w:bookmarkEnd w:id="1568"/>
    </w:p>
    <w:p>
      <w:pPr>
        <w:widowControl/>
      </w:pPr>
      <w:bookmarkStart w:id="1569" w:name="passage-proem-1"/>
      <w:bookmarkEnd w:id="1569"/>
      <w:r>
        <w:rPr>
          <w:b/>
          <w:i w:val="0"/>
        </w:rPr>
        <w:t>Proem.1</w:t>
      </w:r>
      <w:r>
        <w:rPr>
          <w:b/>
          <w:i w:val="0"/>
        </w:rPr>
        <w:t>, source pp. 6–7.</w:t>
      </w:r>
      <w:r>
        <w:rPr>
          <w:b w:val="0"/>
          <w:i w:val="0"/>
        </w:rPr>
        <w:t xml:space="preserve"> Articles: </w:t>
      </w:r>
      <w:hyperlink w:anchor="god">
        <w:r>
          <w:rPr>
            <w:color w:val="000000"/>
          </w:rPr>
          <w:t xml:space="preserve">God</w:t>
        </w:r>
      </w:hyperlink>
      <w:r>
        <w:rPr>
          <w:b w:val="0"/>
          <w:i w:val="0"/>
        </w:rPr>
        <w:t xml:space="preserve">; </w:t>
      </w:r>
      <w:hyperlink w:anchor="light-and-illumination">
        <w:r>
          <w:rPr>
            <w:color w:val="000000"/>
          </w:rPr>
          <w:t xml:space="preserve">Light and illumination</w:t>
        </w:r>
      </w:hyperlink>
      <w:r>
        <w:rPr>
          <w:b w:val="0"/>
          <w:i w:val="0"/>
        </w:rPr>
        <w:t xml:space="preserve">; </w:t>
      </w:r>
      <w:hyperlink w:anchor="lorenzo-dedication-and-public-authority">
        <w:r>
          <w:rPr>
            <w:color w:val="000000"/>
          </w:rPr>
          <w:t xml:space="preserve">Lorenzo, dedication and public authority</w:t>
        </w:r>
      </w:hyperlink>
      <w:r>
        <w:rPr>
          <w:b w:val="0"/>
          <w:i w:val="0"/>
        </w:rPr>
        <w:t xml:space="preserve">; </w:t>
      </w:r>
      <w:hyperlink w:anchor="mind">
        <w:r>
          <w:rPr>
            <w:color w:val="000000"/>
          </w:rPr>
          <w:t xml:space="preserve">Mind</w:t>
        </w:r>
      </w:hyperlink>
      <w:r>
        <w:rPr>
          <w:b w:val="0"/>
          <w:i w:val="0"/>
        </w:rPr>
        <w:t xml:space="preserve">; </w:t>
      </w:r>
      <w:hyperlink w:anchor="philosophy-and-theology">
        <w:r>
          <w:rPr>
            <w:color w:val="000000"/>
          </w:rPr>
          <w:t xml:space="preserve">Philosophy and theology</w:t>
        </w:r>
      </w:hyperlink>
      <w:r>
        <w:rPr>
          <w:b w:val="0"/>
          <w:i w:val="0"/>
        </w:rPr>
        <w:t xml:space="preserve">; </w:t>
      </w:r>
      <w:hyperlink w:anchor="procession-and-return">
        <w:r>
          <w:rPr>
            <w:color w:val="000000"/>
          </w:rPr>
          <w:t xml:space="preserve">Procession and return</w:t>
        </w:r>
      </w:hyperlink>
      <w:r>
        <w:rPr>
          <w:b w:val="0"/>
          <w:i w:val="0"/>
        </w:rPr>
        <w:t xml:space="preserve">; </w:t>
      </w:r>
      <w:hyperlink w:anchor="returning-referring-and-reducing">
        <w:r>
          <w:rPr>
            <w:color w:val="000000"/>
          </w:rPr>
          <w:t xml:space="preserve">Returning, referring and reducing</w:t>
        </w:r>
      </w:hyperlink>
      <w:r>
        <w:rPr>
          <w:b w:val="0"/>
          <w:i w:val="0"/>
        </w:rPr>
        <w:t xml:space="preserve">; </w:t>
      </w:r>
      <w:hyperlink w:anchor="worship-and-piety">
        <w:r>
          <w:rPr>
            <w:color w:val="000000"/>
          </w:rPr>
          <w:t xml:space="preserve">Worship and piety</w:t>
        </w:r>
      </w:hyperlink>
      <w:r>
        <w:rPr>
          <w:b w:val="0"/>
          <w:i w:val="0"/>
        </w:rPr>
        <w:t xml:space="preserve">. Vocabulary: </w:t>
      </w:r>
      <w:hyperlink w:anchor="latin-record-0156">
        <w:r>
          <w:rPr>
            <w:color w:val="000000"/>
          </w:rPr>
          <w:t xml:space="preserve">censeo</w:t>
        </w:r>
      </w:hyperlink>
      <w:r>
        <w:rPr>
          <w:b w:val="0"/>
          <w:i w:val="0"/>
        </w:rPr>
        <w:t xml:space="preserve">; </w:t>
      </w:r>
      <w:hyperlink w:anchor="latin-record-0181">
        <w:r>
          <w:rPr>
            <w:color w:val="000000"/>
          </w:rPr>
          <w:t xml:space="preserve">cognosco / agnosco</w:t>
        </w:r>
      </w:hyperlink>
      <w:r>
        <w:rPr>
          <w:b w:val="0"/>
          <w:i w:val="0"/>
        </w:rPr>
        <w:t xml:space="preserve">; </w:t>
      </w:r>
      <w:hyperlink w:anchor="latin-record-0633">
        <w:r>
          <w:rPr>
            <w:color w:val="000000"/>
          </w:rPr>
          <w:t xml:space="preserve">Laurenti / magnanimus</w:t>
        </w:r>
      </w:hyperlink>
      <w:r>
        <w:rPr>
          <w:b w:val="0"/>
          <w:i w:val="0"/>
        </w:rPr>
        <w:t xml:space="preserve">; </w:t>
      </w:r>
      <w:hyperlink w:anchor="latin-record-0838">
        <w:r>
          <w:rPr>
            <w:color w:val="000000"/>
          </w:rPr>
          <w:t xml:space="preserve">pater philosophorum</w:t>
        </w:r>
      </w:hyperlink>
      <w:r>
        <w:rPr>
          <w:b w:val="0"/>
          <w:i w:val="0"/>
        </w:rPr>
        <w:t xml:space="preserve">; </w:t>
      </w:r>
      <w:hyperlink w:anchor="latin-record-0874">
        <w:r>
          <w:rPr>
            <w:color w:val="000000"/>
          </w:rPr>
          <w:t xml:space="preserve">pietas / pius</w:t>
        </w:r>
      </w:hyperlink>
      <w:r>
        <w:rPr>
          <w:b w:val="0"/>
          <w:i w:val="0"/>
        </w:rPr>
        <w:t xml:space="preserve">; </w:t>
      </w:r>
      <w:hyperlink w:anchor="latin-record-0897">
        <w:r>
          <w:rPr>
            <w:color w:val="000000"/>
          </w:rPr>
          <w:t xml:space="preserve">possum</w:t>
        </w:r>
      </w:hyperlink>
      <w:r>
        <w:rPr>
          <w:b w:val="0"/>
          <w:i w:val="0"/>
        </w:rPr>
        <w:t>.</w:t>
      </w:r>
    </w:p>
    <w:p>
      <w:pPr>
        <w:widowControl/>
      </w:pPr>
      <w:bookmarkStart w:id="1570" w:name="passage-proem-2"/>
      <w:bookmarkEnd w:id="1570"/>
      <w:r>
        <w:rPr>
          <w:b/>
          <w:i w:val="0"/>
        </w:rPr>
        <w:t>Proem.2</w:t>
      </w:r>
      <w:r>
        <w:rPr>
          <w:b/>
          <w:i w:val="0"/>
        </w:rPr>
        <w:t>, source pp. 6–7.</w:t>
      </w:r>
      <w:r>
        <w:rPr>
          <w:b w:val="0"/>
          <w:i w:val="0"/>
        </w:rPr>
        <w:t xml:space="preserve"> Articles: </w:t>
      </w:r>
      <w:hyperlink w:anchor="god">
        <w:r>
          <w:rPr>
            <w:color w:val="000000"/>
          </w:rPr>
          <w:t xml:space="preserve">God</w:t>
        </w:r>
      </w:hyperlink>
      <w:r>
        <w:rPr>
          <w:b w:val="0"/>
          <w:i w:val="0"/>
        </w:rPr>
        <w:t xml:space="preserve">; </w:t>
      </w:r>
      <w:hyperlink w:anchor="light-and-illumination">
        <w:r>
          <w:rPr>
            <w:color w:val="000000"/>
          </w:rPr>
          <w:t xml:space="preserve">Light and illumination</w:t>
        </w:r>
      </w:hyperlink>
      <w:r>
        <w:rPr>
          <w:b w:val="0"/>
          <w:i w:val="0"/>
        </w:rPr>
        <w:t xml:space="preserve">; </w:t>
      </w:r>
      <w:hyperlink w:anchor="philosophy-and-theology">
        <w:r>
          <w:rPr>
            <w:color w:val="000000"/>
          </w:rPr>
          <w:t xml:space="preserve">Philosophy and theology</w:t>
        </w:r>
      </w:hyperlink>
      <w:r>
        <w:rPr>
          <w:b w:val="0"/>
          <w:i w:val="0"/>
        </w:rPr>
        <w:t xml:space="preserve">; </w:t>
      </w:r>
      <w:hyperlink w:anchor="returning-referring-and-reducing">
        <w:r>
          <w:rPr>
            <w:color w:val="000000"/>
          </w:rPr>
          <w:t xml:space="preserve">Returning, referring and reducing</w:t>
        </w:r>
      </w:hyperlink>
      <w:r>
        <w:rPr>
          <w:b w:val="0"/>
          <w:i w:val="0"/>
        </w:rPr>
        <w:t xml:space="preserve">; </w:t>
      </w:r>
      <w:hyperlink w:anchor="soul">
        <w:r>
          <w:rPr>
            <w:color w:val="000000"/>
          </w:rPr>
          <w:t xml:space="preserve">Soul</w:t>
        </w:r>
      </w:hyperlink>
      <w:r>
        <w:rPr>
          <w:b w:val="0"/>
          <w:i w:val="0"/>
        </w:rPr>
        <w:t xml:space="preserve">; </w:t>
      </w:r>
      <w:hyperlink w:anchor="worship-and-piety">
        <w:r>
          <w:rPr>
            <w:color w:val="000000"/>
          </w:rPr>
          <w:t xml:space="preserve">Worship and piety</w:t>
        </w:r>
      </w:hyperlink>
      <w:r>
        <w:rPr>
          <w:b w:val="0"/>
          <w:i w:val="0"/>
        </w:rPr>
        <w:t xml:space="preserve">. Vocabulary: </w:t>
      </w:r>
      <w:hyperlink w:anchor="latin-record-0189">
        <w:r>
          <w:rPr>
            <w:color w:val="000000"/>
          </w:rPr>
          <w:t xml:space="preserve">colo / cultus</w:t>
        </w:r>
      </w:hyperlink>
      <w:r>
        <w:rPr>
          <w:b w:val="0"/>
          <w:i w:val="0"/>
        </w:rPr>
        <w:t xml:space="preserve">; </w:t>
      </w:r>
      <w:hyperlink w:anchor="latin-record-0716">
        <w:r>
          <w:rPr>
            <w:color w:val="000000"/>
          </w:rPr>
          <w:t xml:space="preserve">mores / morale</w:t>
        </w:r>
      </w:hyperlink>
      <w:r>
        <w:rPr>
          <w:b w:val="0"/>
          <w:i w:val="0"/>
        </w:rPr>
        <w:t xml:space="preserve">; </w:t>
      </w:r>
      <w:hyperlink w:anchor="latin-record-0854">
        <w:r>
          <w:rPr>
            <w:color w:val="000000"/>
          </w:rPr>
          <w:t xml:space="preserve">percipio / perceptio</w:t>
        </w:r>
      </w:hyperlink>
      <w:r>
        <w:rPr>
          <w:b w:val="0"/>
          <w:i w:val="0"/>
        </w:rPr>
        <w:t xml:space="preserve">; </w:t>
      </w:r>
      <w:hyperlink w:anchor="latin-record-0987">
        <w:r>
          <w:rPr>
            <w:color w:val="000000"/>
          </w:rPr>
          <w:t xml:space="preserve">purgo / serenus</w:t>
        </w:r>
      </w:hyperlink>
      <w:r>
        <w:rPr>
          <w:b w:val="0"/>
          <w:i w:val="0"/>
        </w:rPr>
        <w:t>.</w:t>
      </w:r>
    </w:p>
    <w:p>
      <w:pPr>
        <w:widowControl/>
      </w:pPr>
      <w:bookmarkStart w:id="1571" w:name="passage-proem-3"/>
      <w:bookmarkEnd w:id="1571"/>
      <w:r>
        <w:rPr>
          <w:b/>
          <w:i w:val="0"/>
        </w:rPr>
        <w:t>Proem.3</w:t>
      </w:r>
      <w:r>
        <w:rPr>
          <w:b/>
          <w:i w:val="0"/>
        </w:rPr>
        <w:t>, source pp. 6–7.</w:t>
      </w:r>
      <w:r>
        <w:rPr>
          <w:b w:val="0"/>
          <w:i w:val="0"/>
        </w:rPr>
        <w:t xml:space="preserve"> Articles: </w:t>
      </w:r>
      <w:hyperlink w:anchor="cause">
        <w:r>
          <w:rPr>
            <w:color w:val="000000"/>
          </w:rPr>
          <w:t xml:space="preserve">Cause</w:t>
        </w:r>
      </w:hyperlink>
      <w:r>
        <w:rPr>
          <w:b w:val="0"/>
          <w:i w:val="0"/>
        </w:rPr>
        <w:t xml:space="preserve">; </w:t>
      </w:r>
      <w:hyperlink w:anchor="divinity-and-the-divine">
        <w:r>
          <w:rPr>
            <w:color w:val="000000"/>
          </w:rPr>
          <w:t xml:space="preserve">Divinity and the divine</w:t>
        </w:r>
      </w:hyperlink>
      <w:r>
        <w:rPr>
          <w:b w:val="0"/>
          <w:i w:val="0"/>
        </w:rPr>
        <w:t xml:space="preserve">; </w:t>
      </w:r>
      <w:hyperlink w:anchor="god">
        <w:r>
          <w:rPr>
            <w:color w:val="000000"/>
          </w:rPr>
          <w:t xml:space="preserve">God</w:t>
        </w:r>
      </w:hyperlink>
      <w:r>
        <w:rPr>
          <w:b w:val="0"/>
          <w:i w:val="0"/>
        </w:rPr>
        <w:t xml:space="preserve">; </w:t>
      </w:r>
      <w:hyperlink w:anchor="light-and-illumination">
        <w:r>
          <w:rPr>
            <w:color w:val="000000"/>
          </w:rPr>
          <w:t xml:space="preserve">Light and illumination</w:t>
        </w:r>
      </w:hyperlink>
      <w:r>
        <w:rPr>
          <w:b w:val="0"/>
          <w:i w:val="0"/>
        </w:rPr>
        <w:t xml:space="preserve">; </w:t>
      </w:r>
      <w:hyperlink w:anchor="naming-and-defining">
        <w:r>
          <w:rPr>
            <w:color w:val="000000"/>
          </w:rPr>
          <w:t xml:space="preserve">Naming and defining</w:t>
        </w:r>
      </w:hyperlink>
      <w:r>
        <w:rPr>
          <w:b w:val="0"/>
          <w:i w:val="0"/>
        </w:rPr>
        <w:t xml:space="preserve">; </w:t>
      </w:r>
      <w:hyperlink w:anchor="philosophy-and-theology">
        <w:r>
          <w:rPr>
            <w:color w:val="000000"/>
          </w:rPr>
          <w:t xml:space="preserve">Philosophy and theology</w:t>
        </w:r>
      </w:hyperlink>
      <w:r>
        <w:rPr>
          <w:b w:val="0"/>
          <w:i w:val="0"/>
        </w:rPr>
        <w:t xml:space="preserve">; </w:t>
      </w:r>
      <w:hyperlink w:anchor="returning-referring-and-reducing">
        <w:r>
          <w:rPr>
            <w:color w:val="000000"/>
          </w:rPr>
          <w:t xml:space="preserve">Returning, referring and reducing</w:t>
        </w:r>
      </w:hyperlink>
      <w:r>
        <w:rPr>
          <w:b w:val="0"/>
          <w:i w:val="0"/>
        </w:rPr>
        <w:t xml:space="preserve">; </w:t>
      </w:r>
      <w:hyperlink w:anchor="worship-and-piety">
        <w:r>
          <w:rPr>
            <w:color w:val="000000"/>
          </w:rPr>
          <w:t xml:space="preserve">Worship and piety</w:t>
        </w:r>
      </w:hyperlink>
      <w:r>
        <w:rPr>
          <w:b w:val="0"/>
          <w:i w:val="0"/>
        </w:rPr>
        <w:t xml:space="preserve">. Vocabulary: </w:t>
      </w:r>
      <w:hyperlink w:anchor="latin-record-0026">
        <w:r>
          <w:rPr>
            <w:color w:val="000000"/>
          </w:rPr>
          <w:t xml:space="preserve">adhortor / admoneo</w:t>
        </w:r>
      </w:hyperlink>
      <w:r>
        <w:rPr>
          <w:b w:val="0"/>
          <w:i w:val="0"/>
        </w:rPr>
        <w:t xml:space="preserve">; </w:t>
      </w:r>
      <w:hyperlink w:anchor="latin-record-0189">
        <w:r>
          <w:rPr>
            <w:color w:val="000000"/>
          </w:rPr>
          <w:t xml:space="preserve">colo / cultus</w:t>
        </w:r>
      </w:hyperlink>
      <w:r>
        <w:rPr>
          <w:b w:val="0"/>
          <w:i w:val="0"/>
        </w:rPr>
        <w:t xml:space="preserve">; </w:t>
      </w:r>
      <w:hyperlink w:anchor="latin-record-0260">
        <w:r>
          <w:rPr>
            <w:color w:val="000000"/>
          </w:rPr>
          <w:t xml:space="preserve">contemplor / contemplatio</w:t>
        </w:r>
      </w:hyperlink>
      <w:r>
        <w:rPr>
          <w:b w:val="0"/>
          <w:i w:val="0"/>
        </w:rPr>
        <w:t xml:space="preserve">; </w:t>
      </w:r>
      <w:hyperlink w:anchor="latin-record-0314">
        <w:r>
          <w:rPr>
            <w:color w:val="000000"/>
          </w:rPr>
          <w:t xml:space="preserve">dialecticum / mathematicum / physicum</w:t>
        </w:r>
      </w:hyperlink>
      <w:r>
        <w:rPr>
          <w:b w:val="0"/>
          <w:i w:val="0"/>
        </w:rPr>
        <w:t xml:space="preserve">; </w:t>
      </w:r>
      <w:hyperlink w:anchor="latin-record-0345">
        <w:r>
          <w:rPr>
            <w:color w:val="000000"/>
          </w:rPr>
          <w:t xml:space="preserve">doctrina / tracto</w:t>
        </w:r>
      </w:hyperlink>
      <w:r>
        <w:rPr>
          <w:b w:val="0"/>
          <w:i w:val="0"/>
        </w:rPr>
        <w:t xml:space="preserve">; </w:t>
      </w:r>
      <w:hyperlink w:anchor="latin-record-0716">
        <w:r>
          <w:rPr>
            <w:color w:val="000000"/>
          </w:rPr>
          <w:t xml:space="preserve">mores / morale</w:t>
        </w:r>
      </w:hyperlink>
      <w:r>
        <w:rPr>
          <w:b w:val="0"/>
          <w:i w:val="0"/>
        </w:rPr>
        <w:t xml:space="preserve">; </w:t>
      </w:r>
      <w:hyperlink w:anchor="latin-record-0862">
        <w:r>
          <w:rPr>
            <w:color w:val="000000"/>
          </w:rPr>
          <w:t xml:space="preserve">perscrutor / indago</w:t>
        </w:r>
      </w:hyperlink>
      <w:r>
        <w:rPr>
          <w:b w:val="0"/>
          <w:i w:val="0"/>
        </w:rPr>
        <w:t xml:space="preserve">; </w:t>
      </w:r>
      <w:hyperlink w:anchor="latin-record-0874">
        <w:r>
          <w:rPr>
            <w:color w:val="000000"/>
          </w:rPr>
          <w:t xml:space="preserve">pietas / pius</w:t>
        </w:r>
      </w:hyperlink>
      <w:r>
        <w:rPr>
          <w:b w:val="0"/>
          <w:i w:val="0"/>
        </w:rPr>
        <w:t xml:space="preserve">; </w:t>
      </w:r>
      <w:hyperlink w:anchor="latin-record-1001">
        <w:r>
          <w:rPr>
            <w:color w:val="000000"/>
          </w:rPr>
          <w:t xml:space="preserve">quaero / invenio</w:t>
        </w:r>
      </w:hyperlink>
      <w:r>
        <w:rPr>
          <w:b w:val="0"/>
          <w:i w:val="0"/>
        </w:rPr>
        <w:t xml:space="preserve">; </w:t>
      </w:r>
      <w:hyperlink w:anchor="latin-record-1111">
        <w:r>
          <w:rPr>
            <w:color w:val="000000"/>
          </w:rPr>
          <w:t xml:space="preserve">sine controversia</w:t>
        </w:r>
      </w:hyperlink>
      <w:r>
        <w:rPr>
          <w:b w:val="0"/>
          <w:i w:val="0"/>
        </w:rPr>
        <w:t xml:space="preserve">; </w:t>
      </w:r>
      <w:hyperlink w:anchor="latin-record-1241">
        <w:r>
          <w:rPr>
            <w:color w:val="000000"/>
          </w:rPr>
          <w:t xml:space="preserve">veneror / veneratio</w:t>
        </w:r>
      </w:hyperlink>
      <w:r>
        <w:rPr>
          <w:b w:val="0"/>
          <w:i w:val="0"/>
        </w:rPr>
        <w:t>.</w:t>
      </w:r>
    </w:p>
    <w:p>
      <w:pPr>
        <w:widowControl/>
      </w:pPr>
      <w:bookmarkStart w:id="1572" w:name="passage-proem-4"/>
      <w:bookmarkEnd w:id="1572"/>
      <w:r>
        <w:rPr>
          <w:b/>
          <w:i w:val="0"/>
        </w:rPr>
        <w:t>Proem.4</w:t>
      </w:r>
      <w:r>
        <w:rPr>
          <w:b/>
          <w:i w:val="0"/>
        </w:rPr>
        <w:t>, source pp. 6–7.</w:t>
      </w:r>
      <w:r>
        <w:rPr>
          <w:b w:val="0"/>
          <w:i w:val="0"/>
        </w:rPr>
        <w:t xml:space="preserve"> Articles: </w:t>
      </w:r>
      <w:hyperlink w:anchor="divinity-and-the-divine">
        <w:r>
          <w:rPr>
            <w:color w:val="000000"/>
          </w:rPr>
          <w:t xml:space="preserve">Divinity and the divine</w:t>
        </w:r>
      </w:hyperlink>
      <w:r>
        <w:rPr>
          <w:b w:val="0"/>
          <w:i w:val="0"/>
        </w:rPr>
        <w:t xml:space="preserve">; </w:t>
      </w:r>
      <w:hyperlink w:anchor="god">
        <w:r>
          <w:rPr>
            <w:color w:val="000000"/>
          </w:rPr>
          <w:t xml:space="preserve">God</w:t>
        </w:r>
      </w:hyperlink>
      <w:r>
        <w:rPr>
          <w:b w:val="0"/>
          <w:i w:val="0"/>
        </w:rPr>
        <w:t xml:space="preserve">; </w:t>
      </w:r>
      <w:hyperlink w:anchor="image-and-likeness">
        <w:r>
          <w:rPr>
            <w:color w:val="000000"/>
          </w:rPr>
          <w:t xml:space="preserve">Image and likeness</w:t>
        </w:r>
      </w:hyperlink>
      <w:r>
        <w:rPr>
          <w:b w:val="0"/>
          <w:i w:val="0"/>
        </w:rPr>
        <w:t xml:space="preserve">; </w:t>
      </w:r>
      <w:hyperlink w:anchor="light-and-illumination">
        <w:r>
          <w:rPr>
            <w:color w:val="000000"/>
          </w:rPr>
          <w:t xml:space="preserve">Light and illumination</w:t>
        </w:r>
      </w:hyperlink>
      <w:r>
        <w:rPr>
          <w:b w:val="0"/>
          <w:i w:val="0"/>
        </w:rPr>
        <w:t xml:space="preserve">; </w:t>
      </w:r>
      <w:hyperlink w:anchor="philosophy-and-theology">
        <w:r>
          <w:rPr>
            <w:color w:val="000000"/>
          </w:rPr>
          <w:t xml:space="preserve">Philosophy and theology</w:t>
        </w:r>
      </w:hyperlink>
      <w:r>
        <w:rPr>
          <w:b w:val="0"/>
          <w:i w:val="0"/>
        </w:rPr>
        <w:t xml:space="preserve">; </w:t>
      </w:r>
      <w:hyperlink w:anchor="self-knowledge">
        <w:r>
          <w:rPr>
            <w:color w:val="000000"/>
          </w:rPr>
          <w:t xml:space="preserve">Self knowledge</w:t>
        </w:r>
      </w:hyperlink>
      <w:r>
        <w:rPr>
          <w:b w:val="0"/>
          <w:i w:val="0"/>
        </w:rPr>
        <w:t xml:space="preserve">; </w:t>
      </w:r>
      <w:hyperlink w:anchor="soul">
        <w:r>
          <w:rPr>
            <w:color w:val="000000"/>
          </w:rPr>
          <w:t xml:space="preserve">Soul</w:t>
        </w:r>
      </w:hyperlink>
      <w:r>
        <w:rPr>
          <w:b w:val="0"/>
          <w:i w:val="0"/>
        </w:rPr>
        <w:t xml:space="preserve">; </w:t>
      </w:r>
      <w:hyperlink w:anchor="traces">
        <w:r>
          <w:rPr>
            <w:color w:val="000000"/>
          </w:rPr>
          <w:t xml:space="preserve">Traces</w:t>
        </w:r>
      </w:hyperlink>
      <w:r>
        <w:rPr>
          <w:b w:val="0"/>
          <w:i w:val="0"/>
        </w:rPr>
        <w:t xml:space="preserve">; </w:t>
      </w:r>
      <w:hyperlink w:anchor="worship-and-piety">
        <w:r>
          <w:rPr>
            <w:color w:val="000000"/>
          </w:rPr>
          <w:t xml:space="preserve">Worship and piety</w:t>
        </w:r>
      </w:hyperlink>
      <w:r>
        <w:rPr>
          <w:b w:val="0"/>
          <w:i w:val="0"/>
        </w:rPr>
        <w:t xml:space="preserve">. Vocabulary: </w:t>
      </w:r>
      <w:hyperlink w:anchor="latin-record-0026">
        <w:r>
          <w:rPr>
            <w:color w:val="000000"/>
          </w:rPr>
          <w:t xml:space="preserve">adhortor / admoneo</w:t>
        </w:r>
      </w:hyperlink>
      <w:r>
        <w:rPr>
          <w:b w:val="0"/>
          <w:i w:val="0"/>
        </w:rPr>
        <w:t xml:space="preserve">; </w:t>
      </w:r>
      <w:hyperlink w:anchor="latin-record-0181">
        <w:r>
          <w:rPr>
            <w:color w:val="000000"/>
          </w:rPr>
          <w:t xml:space="preserve">cognosco / agnosco</w:t>
        </w:r>
      </w:hyperlink>
      <w:r>
        <w:rPr>
          <w:b w:val="0"/>
          <w:i w:val="0"/>
        </w:rPr>
        <w:t xml:space="preserve">; </w:t>
      </w:r>
      <w:hyperlink w:anchor="latin-record-0343">
        <w:r>
          <w:rPr>
            <w:color w:val="000000"/>
          </w:rPr>
          <w:t xml:space="preserve">diverto / dirigo</w:t>
        </w:r>
      </w:hyperlink>
      <w:r>
        <w:rPr>
          <w:b w:val="0"/>
          <w:i w:val="0"/>
        </w:rPr>
        <w:t xml:space="preserve">; </w:t>
      </w:r>
      <w:hyperlink w:anchor="latin-record-0525">
        <w:r>
          <w:rPr>
            <w:color w:val="000000"/>
          </w:rPr>
          <w:t xml:space="preserve">imago / simulacrum</w:t>
        </w:r>
      </w:hyperlink>
      <w:r>
        <w:rPr>
          <w:b w:val="0"/>
          <w:i w:val="0"/>
        </w:rPr>
        <w:t xml:space="preserve">; </w:t>
      </w:r>
      <w:hyperlink w:anchor="latin-record-0635">
        <w:r>
          <w:rPr>
            <w:color w:val="000000"/>
          </w:rPr>
          <w:t xml:space="preserve">lego / diligentia</w:t>
        </w:r>
      </w:hyperlink>
      <w:r>
        <w:rPr>
          <w:b w:val="0"/>
          <w:i w:val="0"/>
        </w:rPr>
        <w:t xml:space="preserve">; </w:t>
      </w:r>
      <w:hyperlink w:anchor="latin-record-0769">
        <w:r>
          <w:rPr>
            <w:color w:val="000000"/>
          </w:rPr>
          <w:t xml:space="preserve">nosce te ipsum</w:t>
        </w:r>
      </w:hyperlink>
      <w:r>
        <w:rPr>
          <w:b w:val="0"/>
          <w:i w:val="0"/>
        </w:rPr>
        <w:t xml:space="preserve">; </w:t>
      </w:r>
      <w:hyperlink w:anchor="latin-record-0802">
        <w:r>
          <w:rPr>
            <w:color w:val="000000"/>
          </w:rPr>
          <w:t xml:space="preserve">opto / cupio</w:t>
        </w:r>
      </w:hyperlink>
      <w:r>
        <w:rPr>
          <w:b w:val="0"/>
          <w:i w:val="0"/>
        </w:rPr>
        <w:t xml:space="preserve">; </w:t>
      </w:r>
      <w:hyperlink w:anchor="latin-record-0805">
        <w:r>
          <w:rPr>
            <w:color w:val="000000"/>
          </w:rPr>
          <w:t xml:space="preserve">oraculum</w:t>
        </w:r>
      </w:hyperlink>
      <w:r>
        <w:rPr>
          <w:b w:val="0"/>
          <w:i w:val="0"/>
        </w:rPr>
        <w:t xml:space="preserve">; </w:t>
      </w:r>
      <w:hyperlink w:anchor="latin-record-0862">
        <w:r>
          <w:rPr>
            <w:color w:val="000000"/>
          </w:rPr>
          <w:t xml:space="preserve">perscrutor / indago</w:t>
        </w:r>
      </w:hyperlink>
      <w:r>
        <w:rPr>
          <w:b w:val="0"/>
          <w:i w:val="0"/>
        </w:rPr>
        <w:t xml:space="preserve">; </w:t>
      </w:r>
      <w:hyperlink w:anchor="latin-record-1127">
        <w:r>
          <w:rPr>
            <w:color w:val="000000"/>
          </w:rPr>
          <w:t xml:space="preserve">speculum</w:t>
        </w:r>
      </w:hyperlink>
      <w:r>
        <w:rPr>
          <w:b w:val="0"/>
          <w:i w:val="0"/>
        </w:rPr>
        <w:t xml:space="preserve">; </w:t>
      </w:r>
      <w:hyperlink w:anchor="latin-record-1249">
        <w:r>
          <w:rPr>
            <w:color w:val="000000"/>
          </w:rPr>
          <w:t xml:space="preserve">vestigium</w:t>
        </w:r>
      </w:hyperlink>
      <w:r>
        <w:rPr>
          <w:b w:val="0"/>
          <w:i w:val="0"/>
        </w:rPr>
        <w:t xml:space="preserve">; </w:t>
      </w:r>
      <w:hyperlink w:anchor="latin-record-1288">
        <w:r>
          <w:rPr>
            <w:color w:val="000000"/>
          </w:rPr>
          <w:t xml:space="preserve">vultus / reluceo</w:t>
        </w:r>
      </w:hyperlink>
      <w:r>
        <w:rPr>
          <w:b w:val="0"/>
          <w:i w:val="0"/>
        </w:rPr>
        <w:t>.</w:t>
      </w:r>
    </w:p>
    <w:p>
      <w:pPr>
        <w:widowControl/>
      </w:pPr>
      <w:bookmarkStart w:id="1573" w:name="passage-proem-5"/>
      <w:bookmarkEnd w:id="1573"/>
      <w:r>
        <w:rPr>
          <w:b/>
          <w:i w:val="0"/>
        </w:rPr>
        <w:t>Proem.5</w:t>
      </w:r>
      <w:r>
        <w:rPr>
          <w:b/>
          <w:i w:val="0"/>
        </w:rPr>
        <w:t>, source pp. 6–7.</w:t>
      </w:r>
      <w:r>
        <w:rPr>
          <w:b w:val="0"/>
          <w:i w:val="0"/>
        </w:rPr>
        <w:t xml:space="preserve"> Articles: </w:t>
      </w:r>
      <w:hyperlink w:anchor="divinity-and-the-divine">
        <w:r>
          <w:rPr>
            <w:color w:val="000000"/>
          </w:rPr>
          <w:t xml:space="preserve">Divinity and the divine</w:t>
        </w:r>
      </w:hyperlink>
      <w:r>
        <w:rPr>
          <w:b w:val="0"/>
          <w:i w:val="0"/>
        </w:rPr>
        <w:t xml:space="preserve">; </w:t>
      </w:r>
      <w:hyperlink w:anchor="god">
        <w:r>
          <w:rPr>
            <w:color w:val="000000"/>
          </w:rPr>
          <w:t xml:space="preserve">God</w:t>
        </w:r>
      </w:hyperlink>
      <w:r>
        <w:rPr>
          <w:b w:val="0"/>
          <w:i w:val="0"/>
        </w:rPr>
        <w:t xml:space="preserve">; </w:t>
      </w:r>
      <w:hyperlink w:anchor="philosophy-and-theology">
        <w:r>
          <w:rPr>
            <w:color w:val="000000"/>
          </w:rPr>
          <w:t xml:space="preserve">Philosophy and theology</w:t>
        </w:r>
      </w:hyperlink>
      <w:r>
        <w:rPr>
          <w:b w:val="0"/>
          <w:i w:val="0"/>
        </w:rPr>
        <w:t xml:space="preserve">; </w:t>
      </w:r>
      <w:hyperlink w:anchor="soul">
        <w:r>
          <w:rPr>
            <w:color w:val="000000"/>
          </w:rPr>
          <w:t xml:space="preserve">Soul</w:t>
        </w:r>
      </w:hyperlink>
      <w:r>
        <w:rPr>
          <w:b w:val="0"/>
          <w:i w:val="0"/>
        </w:rPr>
        <w:t xml:space="preserve">; </w:t>
      </w:r>
      <w:hyperlink w:anchor="worship-and-piety">
        <w:r>
          <w:rPr>
            <w:color w:val="000000"/>
          </w:rPr>
          <w:t xml:space="preserve">Worship and piety</w:t>
        </w:r>
      </w:hyperlink>
      <w:r>
        <w:rPr>
          <w:b w:val="0"/>
          <w:i w:val="0"/>
        </w:rPr>
        <w:t xml:space="preserve">. Vocabulary: </w:t>
      </w:r>
      <w:hyperlink w:anchor="latin-record-0181">
        <w:r>
          <w:rPr>
            <w:color w:val="000000"/>
          </w:rPr>
          <w:t xml:space="preserve">cognosco / agnosco</w:t>
        </w:r>
      </w:hyperlink>
      <w:r>
        <w:rPr>
          <w:b w:val="0"/>
          <w:i w:val="0"/>
        </w:rPr>
        <w:t xml:space="preserve">; </w:t>
      </w:r>
      <w:hyperlink w:anchor="latin-record-0189">
        <w:r>
          <w:rPr>
            <w:color w:val="000000"/>
          </w:rPr>
          <w:t xml:space="preserve">colo / cultus</w:t>
        </w:r>
      </w:hyperlink>
      <w:r>
        <w:rPr>
          <w:b w:val="0"/>
          <w:i w:val="0"/>
        </w:rPr>
        <w:t xml:space="preserve">; </w:t>
      </w:r>
      <w:hyperlink w:anchor="latin-record-0635">
        <w:r>
          <w:rPr>
            <w:color w:val="000000"/>
          </w:rPr>
          <w:t xml:space="preserve">lego / diligentia</w:t>
        </w:r>
      </w:hyperlink>
      <w:r>
        <w:rPr>
          <w:b w:val="0"/>
          <w:i w:val="0"/>
        </w:rPr>
        <w:t xml:space="preserve">; </w:t>
      </w:r>
      <w:hyperlink w:anchor="latin-record-0874">
        <w:r>
          <w:rPr>
            <w:color w:val="000000"/>
          </w:rPr>
          <w:t xml:space="preserve">pietas / pius</w:t>
        </w:r>
      </w:hyperlink>
      <w:r>
        <w:rPr>
          <w:b w:val="0"/>
          <w:i w:val="0"/>
        </w:rPr>
        <w:t xml:space="preserve">; </w:t>
      </w:r>
      <w:hyperlink w:anchor="latin-record-0882">
        <w:r>
          <w:rPr>
            <w:color w:val="000000"/>
          </w:rPr>
          <w:t xml:space="preserve">Platonica / Latina facere</w:t>
        </w:r>
      </w:hyperlink>
      <w:r>
        <w:rPr>
          <w:b w:val="0"/>
          <w:i w:val="0"/>
        </w:rPr>
        <w:t>.</w:t>
      </w:r>
    </w:p>
    <w:p>
      <w:pPr>
        <w:widowControl/>
      </w:pPr>
      <w:bookmarkStart w:id="1574" w:name="passage-proem-6"/>
      <w:bookmarkEnd w:id="1574"/>
      <w:r>
        <w:rPr>
          <w:b/>
          <w:i w:val="0"/>
        </w:rPr>
        <w:t>Proem.6</w:t>
      </w:r>
      <w:r>
        <w:rPr>
          <w:b/>
          <w:i w:val="0"/>
        </w:rPr>
        <w:t>, source pp. 8–9.</w:t>
      </w:r>
      <w:r>
        <w:rPr>
          <w:b w:val="0"/>
          <w:i w:val="0"/>
        </w:rPr>
        <w:t xml:space="preserve"> Articles: </w:t>
      </w:r>
      <w:hyperlink w:anchor="augustine-and-christian-proximity">
        <w:r>
          <w:rPr>
            <w:color w:val="000000"/>
          </w:rPr>
          <w:t xml:space="preserve">Augustine and Christian proximity</w:t>
        </w:r>
      </w:hyperlink>
      <w:r>
        <w:rPr>
          <w:b w:val="0"/>
          <w:i w:val="0"/>
        </w:rPr>
        <w:t xml:space="preserve">; </w:t>
      </w:r>
      <w:hyperlink w:anchor="blessedness">
        <w:r>
          <w:rPr>
            <w:color w:val="000000"/>
          </w:rPr>
          <w:t xml:space="preserve">Blessedness</w:t>
        </w:r>
      </w:hyperlink>
      <w:r>
        <w:rPr>
          <w:b w:val="0"/>
          <w:i w:val="0"/>
        </w:rPr>
        <w:t xml:space="preserve">; </w:t>
      </w:r>
      <w:hyperlink w:anchor="divinity-and-the-divine">
        <w:r>
          <w:rPr>
            <w:color w:val="000000"/>
          </w:rPr>
          <w:t xml:space="preserve">Divinity and the divine</w:t>
        </w:r>
      </w:hyperlink>
      <w:r>
        <w:rPr>
          <w:b w:val="0"/>
          <w:i w:val="0"/>
        </w:rPr>
        <w:t xml:space="preserve">; </w:t>
      </w:r>
      <w:hyperlink w:anchor="god">
        <w:r>
          <w:rPr>
            <w:color w:val="000000"/>
          </w:rPr>
          <w:t xml:space="preserve">God</w:t>
        </w:r>
      </w:hyperlink>
      <w:r>
        <w:rPr>
          <w:b w:val="0"/>
          <w:i w:val="0"/>
        </w:rPr>
        <w:t xml:space="preserve">; </w:t>
      </w:r>
      <w:hyperlink w:anchor="philosophy-and-theology">
        <w:r>
          <w:rPr>
            <w:color w:val="000000"/>
          </w:rPr>
          <w:t xml:space="preserve">Philosophy and theology</w:t>
        </w:r>
      </w:hyperlink>
      <w:r>
        <w:rPr>
          <w:b w:val="0"/>
          <w:i w:val="0"/>
        </w:rPr>
        <w:t xml:space="preserve">; </w:t>
      </w:r>
      <w:hyperlink w:anchor="soul">
        <w:r>
          <w:rPr>
            <w:color w:val="000000"/>
          </w:rPr>
          <w:t xml:space="preserve">Soul</w:t>
        </w:r>
      </w:hyperlink>
      <w:r>
        <w:rPr>
          <w:b w:val="0"/>
          <w:i w:val="0"/>
        </w:rPr>
        <w:t xml:space="preserve">; </w:t>
      </w:r>
      <w:hyperlink w:anchor="truth">
        <w:r>
          <w:rPr>
            <w:color w:val="000000"/>
          </w:rPr>
          <w:t xml:space="preserve">Truth</w:t>
        </w:r>
      </w:hyperlink>
      <w:r>
        <w:rPr>
          <w:b w:val="0"/>
          <w:i w:val="0"/>
        </w:rPr>
        <w:t xml:space="preserve">; </w:t>
      </w:r>
      <w:hyperlink w:anchor="worship-and-piety">
        <w:r>
          <w:rPr>
            <w:color w:val="000000"/>
          </w:rPr>
          <w:t xml:space="preserve">Worship and piety</w:t>
        </w:r>
      </w:hyperlink>
      <w:r>
        <w:rPr>
          <w:b w:val="0"/>
          <w:i w:val="0"/>
        </w:rPr>
        <w:t xml:space="preserve">. Vocabulary: </w:t>
      </w:r>
      <w:hyperlink w:anchor="latin-record-0116">
        <w:r>
          <w:rPr>
            <w:color w:val="000000"/>
          </w:rPr>
          <w:t xml:space="preserve">Aurelius Augustinus / Aurelianus</w:t>
        </w:r>
      </w:hyperlink>
      <w:r>
        <w:rPr>
          <w:b w:val="0"/>
          <w:i w:val="0"/>
        </w:rPr>
        <w:t xml:space="preserve">; </w:t>
      </w:r>
      <w:hyperlink w:anchor="latin-record-0123">
        <w:r>
          <w:rPr>
            <w:color w:val="000000"/>
          </w:rPr>
          <w:t xml:space="preserve">beatitudo / felicitas</w:t>
        </w:r>
      </w:hyperlink>
      <w:r>
        <w:rPr>
          <w:b w:val="0"/>
          <w:i w:val="0"/>
        </w:rPr>
        <w:t xml:space="preserve">; </w:t>
      </w:r>
      <w:hyperlink w:anchor="latin-record-0530">
        <w:r>
          <w:rPr>
            <w:color w:val="000000"/>
          </w:rPr>
          <w:t xml:space="preserve">imitor / exprimo</w:t>
        </w:r>
      </w:hyperlink>
      <w:r>
        <w:rPr>
          <w:b w:val="0"/>
          <w:i w:val="0"/>
        </w:rPr>
        <w:t xml:space="preserve">; </w:t>
      </w:r>
      <w:hyperlink w:anchor="latin-record-0587">
        <w:r>
          <w:rPr>
            <w:color w:val="000000"/>
          </w:rPr>
          <w:t xml:space="preserve">institutio vitae</w:t>
        </w:r>
      </w:hyperlink>
      <w:r>
        <w:rPr>
          <w:b w:val="0"/>
          <w:i w:val="0"/>
        </w:rPr>
        <w:t xml:space="preserve">; </w:t>
      </w:r>
      <w:hyperlink w:anchor="latin-record-0737">
        <w:r>
          <w:rPr>
            <w:color w:val="000000"/>
          </w:rPr>
          <w:t xml:space="preserve">mutatis paucis</w:t>
        </w:r>
      </w:hyperlink>
      <w:r>
        <w:rPr>
          <w:b w:val="0"/>
          <w:i w:val="0"/>
        </w:rPr>
        <w:t xml:space="preserve">; </w:t>
      </w:r>
      <w:hyperlink w:anchor="latin-record-0854">
        <w:r>
          <w:rPr>
            <w:color w:val="000000"/>
          </w:rPr>
          <w:t xml:space="preserve">percipio / perceptio</w:t>
        </w:r>
      </w:hyperlink>
      <w:r>
        <w:rPr>
          <w:b w:val="0"/>
          <w:i w:val="0"/>
        </w:rPr>
        <w:t xml:space="preserve">; </w:t>
      </w:r>
      <w:hyperlink w:anchor="latin-record-0976">
        <w:r>
          <w:rPr>
            <w:color w:val="000000"/>
          </w:rPr>
          <w:t xml:space="preserve">proximus / simillimus</w:t>
        </w:r>
      </w:hyperlink>
      <w:r>
        <w:rPr>
          <w:b w:val="0"/>
          <w:i w:val="0"/>
        </w:rPr>
        <w:t>.</w:t>
      </w:r>
    </w:p>
    <w:p>
      <w:pPr>
        <w:widowControl/>
      </w:pPr>
      <w:bookmarkStart w:id="1575" w:name="passage-proem-7"/>
      <w:bookmarkEnd w:id="1575"/>
      <w:r>
        <w:rPr>
          <w:b/>
          <w:i w:val="0"/>
        </w:rPr>
        <w:t>Proem.7</w:t>
      </w:r>
      <w:r>
        <w:rPr>
          <w:b/>
          <w:i w:val="0"/>
        </w:rPr>
        <w:t>, source pp. 8–9.</w:t>
      </w:r>
      <w:r>
        <w:rPr>
          <w:b w:val="0"/>
          <w:i w:val="0"/>
        </w:rPr>
        <w:t xml:space="preserve"> Articles: </w:t>
      </w:r>
      <w:hyperlink w:anchor="augustine-and-christian-proximity">
        <w:r>
          <w:rPr>
            <w:color w:val="000000"/>
          </w:rPr>
          <w:t xml:space="preserve">Augustine and Christian proximity</w:t>
        </w:r>
      </w:hyperlink>
      <w:r>
        <w:rPr>
          <w:b w:val="0"/>
          <w:i w:val="0"/>
        </w:rPr>
        <w:t xml:space="preserve">; </w:t>
      </w:r>
      <w:hyperlink w:anchor="divinity-and-the-divine">
        <w:r>
          <w:rPr>
            <w:color w:val="000000"/>
          </w:rPr>
          <w:t xml:space="preserve">Divinity and the divine</w:t>
        </w:r>
      </w:hyperlink>
      <w:r>
        <w:rPr>
          <w:b w:val="0"/>
          <w:i w:val="0"/>
        </w:rPr>
        <w:t xml:space="preserve">; </w:t>
      </w:r>
      <w:hyperlink w:anchor="god">
        <w:r>
          <w:rPr>
            <w:color w:val="000000"/>
          </w:rPr>
          <w:t xml:space="preserve">God</w:t>
        </w:r>
      </w:hyperlink>
      <w:r>
        <w:rPr>
          <w:b w:val="0"/>
          <w:i w:val="0"/>
        </w:rPr>
        <w:t xml:space="preserve">; </w:t>
      </w:r>
      <w:hyperlink w:anchor="image-and-likeness">
        <w:r>
          <w:rPr>
            <w:color w:val="000000"/>
          </w:rPr>
          <w:t xml:space="preserve">Image and likeness</w:t>
        </w:r>
      </w:hyperlink>
      <w:r>
        <w:rPr>
          <w:b w:val="0"/>
          <w:i w:val="0"/>
        </w:rPr>
        <w:t xml:space="preserve">; </w:t>
      </w:r>
      <w:hyperlink w:anchor="immortality">
        <w:r>
          <w:rPr>
            <w:color w:val="000000"/>
          </w:rPr>
          <w:t xml:space="preserve">Immortality</w:t>
        </w:r>
      </w:hyperlink>
      <w:r>
        <w:rPr>
          <w:b w:val="0"/>
          <w:i w:val="0"/>
        </w:rPr>
        <w:t xml:space="preserve">; </w:t>
      </w:r>
      <w:hyperlink w:anchor="mind">
        <w:r>
          <w:rPr>
            <w:color w:val="000000"/>
          </w:rPr>
          <w:t xml:space="preserve">Mind</w:t>
        </w:r>
      </w:hyperlink>
      <w:r>
        <w:rPr>
          <w:b w:val="0"/>
          <w:i w:val="0"/>
        </w:rPr>
        <w:t xml:space="preserve">; </w:t>
      </w:r>
      <w:hyperlink w:anchor="philosophy-and-theology">
        <w:r>
          <w:rPr>
            <w:color w:val="000000"/>
          </w:rPr>
          <w:t xml:space="preserve">Philosophy and theology</w:t>
        </w:r>
      </w:hyperlink>
      <w:r>
        <w:rPr>
          <w:b w:val="0"/>
          <w:i w:val="0"/>
        </w:rPr>
        <w:t xml:space="preserve">; </w:t>
      </w:r>
      <w:hyperlink w:anchor="self-knowledge">
        <w:r>
          <w:rPr>
            <w:color w:val="000000"/>
          </w:rPr>
          <w:t xml:space="preserve">Self knowledge</w:t>
        </w:r>
      </w:hyperlink>
      <w:r>
        <w:rPr>
          <w:b w:val="0"/>
          <w:i w:val="0"/>
        </w:rPr>
        <w:t xml:space="preserve">; </w:t>
      </w:r>
      <w:hyperlink w:anchor="soul">
        <w:r>
          <w:rPr>
            <w:color w:val="000000"/>
          </w:rPr>
          <w:t xml:space="preserve">Soul</w:t>
        </w:r>
      </w:hyperlink>
      <w:r>
        <w:rPr>
          <w:b w:val="0"/>
          <w:i w:val="0"/>
        </w:rPr>
        <w:t xml:space="preserve">; </w:t>
      </w:r>
      <w:hyperlink w:anchor="truth">
        <w:r>
          <w:rPr>
            <w:color w:val="000000"/>
          </w:rPr>
          <w:t xml:space="preserve">Truth</w:t>
        </w:r>
      </w:hyperlink>
      <w:r>
        <w:rPr>
          <w:b w:val="0"/>
          <w:i w:val="0"/>
        </w:rPr>
        <w:t xml:space="preserve">; </w:t>
      </w:r>
      <w:hyperlink w:anchor="worship-and-piety">
        <w:r>
          <w:rPr>
            <w:color w:val="000000"/>
          </w:rPr>
          <w:t xml:space="preserve">Worship and piety</w:t>
        </w:r>
      </w:hyperlink>
      <w:r>
        <w:rPr>
          <w:b w:val="0"/>
          <w:i w:val="0"/>
        </w:rPr>
        <w:t xml:space="preserve">. Vocabulary: </w:t>
      </w:r>
      <w:hyperlink w:anchor="latin-record-0111">
        <w:r>
          <w:rPr>
            <w:color w:val="000000"/>
          </w:rPr>
          <w:t xml:space="preserve">auctoritas</w:t>
        </w:r>
      </w:hyperlink>
      <w:r>
        <w:rPr>
          <w:b w:val="0"/>
          <w:i w:val="0"/>
        </w:rPr>
        <w:t xml:space="preserve">; </w:t>
      </w:r>
      <w:hyperlink w:anchor="latin-record-0116">
        <w:r>
          <w:rPr>
            <w:color w:val="000000"/>
          </w:rPr>
          <w:t xml:space="preserve">Aurelius Augustinus / Aurelianus</w:t>
        </w:r>
      </w:hyperlink>
      <w:r>
        <w:rPr>
          <w:b w:val="0"/>
          <w:i w:val="0"/>
        </w:rPr>
        <w:t xml:space="preserve">; </w:t>
      </w:r>
      <w:hyperlink w:anchor="latin-record-0151">
        <w:r>
          <w:rPr>
            <w:color w:val="000000"/>
          </w:rPr>
          <w:t xml:space="preserve">caritas</w:t>
        </w:r>
      </w:hyperlink>
      <w:r>
        <w:rPr>
          <w:b w:val="0"/>
          <w:i w:val="0"/>
        </w:rPr>
        <w:t xml:space="preserve">; </w:t>
      </w:r>
      <w:hyperlink w:anchor="latin-record-0156">
        <w:r>
          <w:rPr>
            <w:color w:val="000000"/>
          </w:rPr>
          <w:t xml:space="preserve">censeo</w:t>
        </w:r>
      </w:hyperlink>
      <w:r>
        <w:rPr>
          <w:b w:val="0"/>
          <w:i w:val="0"/>
        </w:rPr>
        <w:t xml:space="preserve">; </w:t>
      </w:r>
      <w:hyperlink w:anchor="latin-record-0189">
        <w:r>
          <w:rPr>
            <w:color w:val="000000"/>
          </w:rPr>
          <w:t xml:space="preserve">colo / cultus</w:t>
        </w:r>
      </w:hyperlink>
      <w:r>
        <w:rPr>
          <w:b w:val="0"/>
          <w:i w:val="0"/>
        </w:rPr>
        <w:t xml:space="preserve">; </w:t>
      </w:r>
      <w:hyperlink w:anchor="latin-record-0253">
        <w:r>
          <w:rPr>
            <w:color w:val="000000"/>
          </w:rPr>
          <w:t xml:space="preserve">consilium / statuo</w:t>
        </w:r>
      </w:hyperlink>
      <w:r>
        <w:rPr>
          <w:b w:val="0"/>
          <w:i w:val="0"/>
        </w:rPr>
        <w:t xml:space="preserve">; </w:t>
      </w:r>
      <w:hyperlink w:anchor="latin-record-0260">
        <w:r>
          <w:rPr>
            <w:color w:val="000000"/>
          </w:rPr>
          <w:t xml:space="preserve">contemplor / contemplatio</w:t>
        </w:r>
      </w:hyperlink>
      <w:r>
        <w:rPr>
          <w:b w:val="0"/>
          <w:i w:val="0"/>
        </w:rPr>
        <w:t xml:space="preserve">; </w:t>
      </w:r>
      <w:hyperlink w:anchor="latin-record-0471">
        <w:r>
          <w:rPr>
            <w:color w:val="000000"/>
          </w:rPr>
          <w:t xml:space="preserve">fretus / adductus</w:t>
        </w:r>
      </w:hyperlink>
      <w:r>
        <w:rPr>
          <w:b w:val="0"/>
          <w:i w:val="0"/>
        </w:rPr>
        <w:t xml:space="preserve">; </w:t>
      </w:r>
      <w:hyperlink w:anchor="latin-record-0525">
        <w:r>
          <w:rPr>
            <w:color w:val="000000"/>
          </w:rPr>
          <w:t xml:space="preserve">imago / simulacrum</w:t>
        </w:r>
      </w:hyperlink>
      <w:r>
        <w:rPr>
          <w:b w:val="0"/>
          <w:i w:val="0"/>
        </w:rPr>
        <w:t xml:space="preserve">; </w:t>
      </w:r>
      <w:hyperlink w:anchor="latin-record-0530">
        <w:r>
          <w:rPr>
            <w:color w:val="000000"/>
          </w:rPr>
          <w:t xml:space="preserve">imitor / exprimo</w:t>
        </w:r>
      </w:hyperlink>
      <w:r>
        <w:rPr>
          <w:b w:val="0"/>
          <w:i w:val="0"/>
        </w:rPr>
        <w:t xml:space="preserve">; </w:t>
      </w:r>
      <w:hyperlink w:anchor="latin-record-0579">
        <w:r>
          <w:rPr>
            <w:color w:val="000000"/>
          </w:rPr>
          <w:t xml:space="preserve">inscribo / opus</w:t>
        </w:r>
      </w:hyperlink>
      <w:r>
        <w:rPr>
          <w:b w:val="0"/>
          <w:i w:val="0"/>
        </w:rPr>
        <w:t xml:space="preserve">; </w:t>
      </w:r>
      <w:hyperlink w:anchor="latin-record-0976">
        <w:r>
          <w:rPr>
            <w:color w:val="000000"/>
          </w:rPr>
          <w:t xml:space="preserve">proximus / simillimus</w:t>
        </w:r>
      </w:hyperlink>
      <w:r>
        <w:rPr>
          <w:b w:val="0"/>
          <w:i w:val="0"/>
        </w:rPr>
        <w:t xml:space="preserve">; </w:t>
      </w:r>
      <w:hyperlink w:anchor="latin-record-1127">
        <w:r>
          <w:rPr>
            <w:color w:val="000000"/>
          </w:rPr>
          <w:t xml:space="preserve">speculum</w:t>
        </w:r>
      </w:hyperlink>
      <w:r>
        <w:rPr>
          <w:b w:val="0"/>
          <w:i w:val="0"/>
        </w:rPr>
        <w:t xml:space="preserve">; </w:t>
      </w:r>
      <w:hyperlink w:anchor="latin-record-1147">
        <w:r>
          <w:rPr>
            <w:color w:val="000000"/>
          </w:rPr>
          <w:t xml:space="preserve">studium / incumbo</w:t>
        </w:r>
      </w:hyperlink>
      <w:r>
        <w:rPr>
          <w:b w:val="0"/>
          <w:i w:val="0"/>
        </w:rPr>
        <w:t>.</w:t>
      </w:r>
    </w:p>
    <w:p>
      <w:pPr>
        <w:widowControl/>
      </w:pPr>
      <w:bookmarkStart w:id="1576" w:name="passage-proem-8"/>
      <w:bookmarkEnd w:id="1576"/>
      <w:r>
        <w:rPr>
          <w:b/>
          <w:i w:val="0"/>
        </w:rPr>
        <w:t>Proem.8</w:t>
      </w:r>
      <w:r>
        <w:rPr>
          <w:b/>
          <w:i w:val="0"/>
        </w:rPr>
        <w:t>, source pp. 8–9.</w:t>
      </w:r>
      <w:r>
        <w:rPr>
          <w:b w:val="0"/>
          <w:i w:val="0"/>
        </w:rPr>
        <w:t xml:space="preserve"> Articles: </w:t>
      </w:r>
      <w:hyperlink w:anchor="assent-approval-and-belief">
        <w:r>
          <w:rPr>
            <w:color w:val="000000"/>
          </w:rPr>
          <w:t xml:space="preserve">Assent, approval and belief</w:t>
        </w:r>
      </w:hyperlink>
      <w:r>
        <w:rPr>
          <w:b w:val="0"/>
          <w:i w:val="0"/>
        </w:rPr>
        <w:t xml:space="preserve">; </w:t>
      </w:r>
      <w:hyperlink w:anchor="god">
        <w:r>
          <w:rPr>
            <w:color w:val="000000"/>
          </w:rPr>
          <w:t xml:space="preserve">God</w:t>
        </w:r>
      </w:hyperlink>
      <w:r>
        <w:rPr>
          <w:b w:val="0"/>
          <w:i w:val="0"/>
        </w:rPr>
        <w:t xml:space="preserve">; </w:t>
      </w:r>
      <w:hyperlink w:anchor="order-and-harmony">
        <w:r>
          <w:rPr>
            <w:color w:val="000000"/>
          </w:rPr>
          <w:t xml:space="preserve">Order and harmony</w:t>
        </w:r>
      </w:hyperlink>
      <w:r>
        <w:rPr>
          <w:b w:val="0"/>
          <w:i w:val="0"/>
        </w:rPr>
        <w:t xml:space="preserve">; </w:t>
      </w:r>
      <w:hyperlink w:anchor="philosophy-and-theology">
        <w:r>
          <w:rPr>
            <w:color w:val="000000"/>
          </w:rPr>
          <w:t xml:space="preserve">Philosophy and theology</w:t>
        </w:r>
      </w:hyperlink>
      <w:r>
        <w:rPr>
          <w:b w:val="0"/>
          <w:i w:val="0"/>
        </w:rPr>
        <w:t xml:space="preserve">; </w:t>
      </w:r>
      <w:hyperlink w:anchor="reason-and-account">
        <w:r>
          <w:rPr>
            <w:color w:val="000000"/>
          </w:rPr>
          <w:t xml:space="preserve">Reason and account</w:t>
        </w:r>
      </w:hyperlink>
      <w:r>
        <w:rPr>
          <w:b w:val="0"/>
          <w:i w:val="0"/>
        </w:rPr>
        <w:t xml:space="preserve">; </w:t>
      </w:r>
      <w:hyperlink w:anchor="truth">
        <w:r>
          <w:rPr>
            <w:color w:val="000000"/>
          </w:rPr>
          <w:t xml:space="preserve">Truth</w:t>
        </w:r>
      </w:hyperlink>
      <w:r>
        <w:rPr>
          <w:b w:val="0"/>
          <w:i w:val="0"/>
        </w:rPr>
        <w:t xml:space="preserve">; </w:t>
      </w:r>
      <w:hyperlink w:anchor="will">
        <w:r>
          <w:rPr>
            <w:color w:val="000000"/>
          </w:rPr>
          <w:t xml:space="preserve">Will</w:t>
        </w:r>
      </w:hyperlink>
      <w:r>
        <w:rPr>
          <w:b w:val="0"/>
          <w:i w:val="0"/>
        </w:rPr>
        <w:t xml:space="preserve">; </w:t>
      </w:r>
      <w:hyperlink w:anchor="worship-and-piety">
        <w:r>
          <w:rPr>
            <w:color w:val="000000"/>
          </w:rPr>
          <w:t xml:space="preserve">Worship and piety</w:t>
        </w:r>
      </w:hyperlink>
      <w:r>
        <w:rPr>
          <w:b w:val="0"/>
          <w:i w:val="0"/>
        </w:rPr>
        <w:t xml:space="preserve">. Vocabulary: </w:t>
      </w:r>
      <w:hyperlink w:anchor="latin-record-0001">
        <w:r>
          <w:rPr>
            <w:color w:val="000000"/>
          </w:rPr>
          <w:t xml:space="preserve">aberro</w:t>
        </w:r>
      </w:hyperlink>
      <w:r>
        <w:rPr>
          <w:b w:val="0"/>
          <w:i w:val="0"/>
        </w:rPr>
        <w:t xml:space="preserve">; </w:t>
      </w:r>
      <w:hyperlink w:anchor="latin-record-0015">
        <w:r>
          <w:rPr>
            <w:color w:val="000000"/>
          </w:rPr>
          <w:t xml:space="preserve">acquiesco</w:t>
        </w:r>
      </w:hyperlink>
      <w:r>
        <w:rPr>
          <w:b w:val="0"/>
          <w:i w:val="0"/>
        </w:rPr>
        <w:t xml:space="preserve">; </w:t>
      </w:r>
      <w:hyperlink w:anchor="latin-record-0111">
        <w:r>
          <w:rPr>
            <w:color w:val="000000"/>
          </w:rPr>
          <w:t xml:space="preserve">auctoritas</w:t>
        </w:r>
      </w:hyperlink>
      <w:r>
        <w:rPr>
          <w:b w:val="0"/>
          <w:i w:val="0"/>
        </w:rPr>
        <w:t xml:space="preserve">; </w:t>
      </w:r>
      <w:hyperlink w:anchor="latin-record-0155">
        <w:r>
          <w:rPr>
            <w:color w:val="000000"/>
          </w:rPr>
          <w:t xml:space="preserve">cedo</w:t>
        </w:r>
      </w:hyperlink>
      <w:r>
        <w:rPr>
          <w:b w:val="0"/>
          <w:i w:val="0"/>
        </w:rPr>
        <w:t xml:space="preserve">; </w:t>
      </w:r>
      <w:hyperlink w:anchor="latin-record-0181">
        <w:r>
          <w:rPr>
            <w:color w:val="000000"/>
          </w:rPr>
          <w:t xml:space="preserve">cognosco / agnosco</w:t>
        </w:r>
      </w:hyperlink>
      <w:r>
        <w:rPr>
          <w:b w:val="0"/>
          <w:i w:val="0"/>
        </w:rPr>
        <w:t xml:space="preserve">; </w:t>
      </w:r>
      <w:hyperlink w:anchor="latin-record-0572">
        <w:r>
          <w:rPr>
            <w:color w:val="000000"/>
          </w:rPr>
          <w:t xml:space="preserve">ingenium</w:t>
        </w:r>
      </w:hyperlink>
      <w:r>
        <w:rPr>
          <w:b w:val="0"/>
          <w:i w:val="0"/>
        </w:rPr>
        <w:t xml:space="preserve">; </w:t>
      </w:r>
      <w:hyperlink w:anchor="latin-record-0639">
        <w:r>
          <w:rPr>
            <w:color w:val="000000"/>
          </w:rPr>
          <w:t xml:space="preserve">lex divina</w:t>
        </w:r>
      </w:hyperlink>
      <w:r>
        <w:rPr>
          <w:b w:val="0"/>
          <w:i w:val="0"/>
        </w:rPr>
        <w:t xml:space="preserve">; </w:t>
      </w:r>
      <w:hyperlink w:anchor="latin-record-0972">
        <w:r>
          <w:rPr>
            <w:color w:val="000000"/>
          </w:rPr>
          <w:t xml:space="preserve">providentia / decretum</w:t>
        </w:r>
      </w:hyperlink>
      <w:r>
        <w:rPr>
          <w:b w:val="0"/>
          <w:i w:val="0"/>
        </w:rPr>
        <w:t xml:space="preserve">; </w:t>
      </w:r>
      <w:hyperlink w:anchor="latin-record-1041">
        <w:r>
          <w:rPr>
            <w:color w:val="000000"/>
          </w:rPr>
          <w:t xml:space="preserve">reor / fides</w:t>
        </w:r>
      </w:hyperlink>
      <w:r>
        <w:rPr>
          <w:b w:val="0"/>
          <w:i w:val="0"/>
        </w:rPr>
        <w:t xml:space="preserve">; </w:t>
      </w:r>
      <w:hyperlink w:anchor="latin-record-1083">
        <w:r>
          <w:rPr>
            <w:color w:val="000000"/>
          </w:rPr>
          <w:t xml:space="preserve">seiungo / disiungo</w:t>
        </w:r>
      </w:hyperlink>
      <w:r>
        <w:rPr>
          <w:b w:val="0"/>
          <w:i w:val="0"/>
        </w:rPr>
        <w:t xml:space="preserve">; </w:t>
      </w:r>
      <w:hyperlink w:anchor="latin-record-1147">
        <w:r>
          <w:rPr>
            <w:color w:val="000000"/>
          </w:rPr>
          <w:t xml:space="preserve">studium / incumbo</w:t>
        </w:r>
      </w:hyperlink>
      <w:r>
        <w:rPr>
          <w:b w:val="0"/>
          <w:i w:val="0"/>
        </w:rPr>
        <w:t xml:space="preserve">; </w:t>
      </w:r>
      <w:hyperlink w:anchor="latin-record-1166">
        <w:r>
          <w:rPr>
            <w:color w:val="000000"/>
          </w:rPr>
          <w:t xml:space="preserve">suffragor</w:t>
        </w:r>
      </w:hyperlink>
      <w:r>
        <w:rPr>
          <w:b w:val="0"/>
          <w:i w:val="0"/>
        </w:rPr>
        <w:t>.</w:t>
      </w:r>
    </w:p>
    <w:p>
      <w:pPr>
        <w:widowControl/>
      </w:pPr>
      <w:bookmarkStart w:id="1577" w:name="passage-proem-9"/>
      <w:bookmarkEnd w:id="1577"/>
      <w:r>
        <w:rPr>
          <w:b/>
          <w:i w:val="0"/>
        </w:rPr>
        <w:t>Proem.9</w:t>
      </w:r>
      <w:r>
        <w:rPr>
          <w:b/>
          <w:i w:val="0"/>
        </w:rPr>
        <w:t>, source pp. 8–9.</w:t>
      </w:r>
      <w:r>
        <w:rPr>
          <w:b w:val="0"/>
          <w:i w:val="0"/>
        </w:rPr>
        <w:t xml:space="preserve"> Articles: </w:t>
      </w:r>
      <w:hyperlink w:anchor="god">
        <w:r>
          <w:rPr>
            <w:color w:val="000000"/>
          </w:rPr>
          <w:t xml:space="preserve">God</w:t>
        </w:r>
      </w:hyperlink>
      <w:r>
        <w:rPr>
          <w:b w:val="0"/>
          <w:i w:val="0"/>
        </w:rPr>
        <w:t xml:space="preserve">; </w:t>
      </w:r>
      <w:hyperlink w:anchor="image-and-likeness">
        <w:r>
          <w:rPr>
            <w:color w:val="000000"/>
          </w:rPr>
          <w:t xml:space="preserve">Image and likeness</w:t>
        </w:r>
      </w:hyperlink>
      <w:r>
        <w:rPr>
          <w:b w:val="0"/>
          <w:i w:val="0"/>
        </w:rPr>
        <w:t xml:space="preserve">; </w:t>
      </w:r>
      <w:hyperlink w:anchor="philosophy-and-theology">
        <w:r>
          <w:rPr>
            <w:color w:val="000000"/>
          </w:rPr>
          <w:t xml:space="preserve">Philosophy and theology</w:t>
        </w:r>
      </w:hyperlink>
      <w:r>
        <w:rPr>
          <w:b w:val="0"/>
          <w:i w:val="0"/>
        </w:rPr>
        <w:t xml:space="preserve">; </w:t>
      </w:r>
      <w:hyperlink w:anchor="reason-and-account">
        <w:r>
          <w:rPr>
            <w:color w:val="000000"/>
          </w:rPr>
          <w:t xml:space="preserve">Reason and account</w:t>
        </w:r>
      </w:hyperlink>
      <w:r>
        <w:rPr>
          <w:b w:val="0"/>
          <w:i w:val="0"/>
        </w:rPr>
        <w:t xml:space="preserve">; </w:t>
      </w:r>
      <w:hyperlink w:anchor="sense-and-imagination">
        <w:r>
          <w:rPr>
            <w:color w:val="000000"/>
          </w:rPr>
          <w:t xml:space="preserve">Sense and imagination</w:t>
        </w:r>
      </w:hyperlink>
      <w:r>
        <w:rPr>
          <w:b w:val="0"/>
          <w:i w:val="0"/>
        </w:rPr>
        <w:t xml:space="preserve">; </w:t>
      </w:r>
      <w:hyperlink w:anchor="truth">
        <w:r>
          <w:rPr>
            <w:color w:val="000000"/>
          </w:rPr>
          <w:t xml:space="preserve">Truth</w:t>
        </w:r>
      </w:hyperlink>
      <w:r>
        <w:rPr>
          <w:b w:val="0"/>
          <w:i w:val="0"/>
        </w:rPr>
        <w:t xml:space="preserve">; </w:t>
      </w:r>
      <w:hyperlink w:anchor="worship-and-piety">
        <w:r>
          <w:rPr>
            <w:color w:val="000000"/>
          </w:rPr>
          <w:t xml:space="preserve">Worship and piety</w:t>
        </w:r>
      </w:hyperlink>
      <w:r>
        <w:rPr>
          <w:b w:val="0"/>
          <w:i w:val="0"/>
        </w:rPr>
        <w:t xml:space="preserve">. Vocabulary: </w:t>
      </w:r>
      <w:hyperlink w:anchor="latin-record-0026">
        <w:r>
          <w:rPr>
            <w:color w:val="000000"/>
          </w:rPr>
          <w:t xml:space="preserve">adhortor / admoneo</w:t>
        </w:r>
      </w:hyperlink>
      <w:r>
        <w:rPr>
          <w:b w:val="0"/>
          <w:i w:val="0"/>
        </w:rPr>
        <w:t xml:space="preserve">; </w:t>
      </w:r>
      <w:hyperlink w:anchor="latin-record-0260">
        <w:r>
          <w:rPr>
            <w:color w:val="000000"/>
          </w:rPr>
          <w:t xml:space="preserve">contemplor / contemplatio</w:t>
        </w:r>
      </w:hyperlink>
      <w:r>
        <w:rPr>
          <w:b w:val="0"/>
          <w:i w:val="0"/>
        </w:rPr>
        <w:t xml:space="preserve">; </w:t>
      </w:r>
      <w:hyperlink w:anchor="latin-record-0908">
        <w:r>
          <w:rPr>
            <w:color w:val="000000"/>
          </w:rPr>
          <w:t xml:space="preserve">praefero / antepono</w:t>
        </w:r>
      </w:hyperlink>
      <w:r>
        <w:rPr>
          <w:b w:val="0"/>
          <w:i w:val="0"/>
        </w:rPr>
        <w:t xml:space="preserve">; </w:t>
      </w:r>
      <w:hyperlink w:anchor="latin-record-1047">
        <w:r>
          <w:rPr>
            <w:color w:val="000000"/>
          </w:rPr>
          <w:t xml:space="preserve">res</w:t>
        </w:r>
      </w:hyperlink>
      <w:r>
        <w:rPr>
          <w:b w:val="0"/>
          <w:i w:val="0"/>
        </w:rPr>
        <w:t xml:space="preserve">; </w:t>
      </w:r>
      <w:hyperlink w:anchor="latin-record-1216">
        <w:r>
          <w:rPr>
            <w:color w:val="000000"/>
          </w:rPr>
          <w:t xml:space="preserve">umbra / res vera</w:t>
        </w:r>
      </w:hyperlink>
      <w:r>
        <w:rPr>
          <w:b w:val="0"/>
          <w:i w:val="0"/>
        </w:rPr>
        <w:t>.</w:t>
      </w:r>
    </w:p>
    <w:p>
      <w:pPr>
        <w:widowControl/>
      </w:pPr>
      <w:bookmarkStart w:id="1578" w:name="passage-proem-10"/>
      <w:bookmarkEnd w:id="1578"/>
      <w:r>
        <w:rPr>
          <w:b/>
          <w:i w:val="0"/>
        </w:rPr>
        <w:t>Proem.10</w:t>
      </w:r>
      <w:r>
        <w:rPr>
          <w:b/>
          <w:i w:val="0"/>
        </w:rPr>
        <w:t>, source pp. 10–11.</w:t>
      </w:r>
      <w:r>
        <w:rPr>
          <w:b w:val="0"/>
          <w:i w:val="0"/>
        </w:rPr>
        <w:t xml:space="preserve"> Articles: </w:t>
      </w:r>
      <w:hyperlink w:anchor="assent-approval-and-belief">
        <w:r>
          <w:rPr>
            <w:color w:val="000000"/>
          </w:rPr>
          <w:t xml:space="preserve">Assent, approval and belief</w:t>
        </w:r>
      </w:hyperlink>
      <w:r>
        <w:rPr>
          <w:b w:val="0"/>
          <w:i w:val="0"/>
        </w:rPr>
        <w:t xml:space="preserve">; </w:t>
      </w:r>
      <w:hyperlink w:anchor="augustine-and-christian-proximity">
        <w:r>
          <w:rPr>
            <w:color w:val="000000"/>
          </w:rPr>
          <w:t xml:space="preserve">Augustine and Christian proximity</w:t>
        </w:r>
      </w:hyperlink>
      <w:r>
        <w:rPr>
          <w:b w:val="0"/>
          <w:i w:val="0"/>
        </w:rPr>
        <w:t xml:space="preserve">; </w:t>
      </w:r>
      <w:hyperlink w:anchor="god">
        <w:r>
          <w:rPr>
            <w:color w:val="000000"/>
          </w:rPr>
          <w:t xml:space="preserve">God</w:t>
        </w:r>
      </w:hyperlink>
      <w:r>
        <w:rPr>
          <w:b w:val="0"/>
          <w:i w:val="0"/>
        </w:rPr>
        <w:t xml:space="preserve">; </w:t>
      </w:r>
      <w:hyperlink w:anchor="order-and-harmony">
        <w:r>
          <w:rPr>
            <w:color w:val="000000"/>
          </w:rPr>
          <w:t xml:space="preserve">Order and harmony</w:t>
        </w:r>
      </w:hyperlink>
      <w:r>
        <w:rPr>
          <w:b w:val="0"/>
          <w:i w:val="0"/>
        </w:rPr>
        <w:t xml:space="preserve">; </w:t>
      </w:r>
      <w:hyperlink w:anchor="philosophy-and-theology">
        <w:r>
          <w:rPr>
            <w:color w:val="000000"/>
          </w:rPr>
          <w:t xml:space="preserve">Philosophy and theology</w:t>
        </w:r>
      </w:hyperlink>
      <w:r>
        <w:rPr>
          <w:b w:val="0"/>
          <w:i w:val="0"/>
        </w:rPr>
        <w:t xml:space="preserve">; </w:t>
      </w:r>
      <w:hyperlink w:anchor="truth">
        <w:r>
          <w:rPr>
            <w:color w:val="000000"/>
          </w:rPr>
          <w:t xml:space="preserve">Truth</w:t>
        </w:r>
      </w:hyperlink>
      <w:r>
        <w:rPr>
          <w:b w:val="0"/>
          <w:i w:val="0"/>
        </w:rPr>
        <w:t xml:space="preserve">; </w:t>
      </w:r>
      <w:hyperlink w:anchor="worship-and-piety">
        <w:r>
          <w:rPr>
            <w:color w:val="000000"/>
          </w:rPr>
          <w:t xml:space="preserve">Worship and piety</w:t>
        </w:r>
      </w:hyperlink>
      <w:r>
        <w:rPr>
          <w:b w:val="0"/>
          <w:i w:val="0"/>
        </w:rPr>
        <w:t xml:space="preserve">. Vocabulary: </w:t>
      </w:r>
      <w:hyperlink w:anchor="latin-record-0345">
        <w:r>
          <w:rPr>
            <w:color w:val="000000"/>
          </w:rPr>
          <w:t xml:space="preserve">doctrina / tracto</w:t>
        </w:r>
      </w:hyperlink>
      <w:r>
        <w:rPr>
          <w:b w:val="0"/>
          <w:i w:val="0"/>
        </w:rPr>
        <w:t xml:space="preserve">; </w:t>
      </w:r>
      <w:hyperlink w:anchor="latin-record-0530">
        <w:r>
          <w:rPr>
            <w:color w:val="000000"/>
          </w:rPr>
          <w:t xml:space="preserve">imitor / exprimo</w:t>
        </w:r>
      </w:hyperlink>
      <w:r>
        <w:rPr>
          <w:b w:val="0"/>
          <w:i w:val="0"/>
        </w:rPr>
        <w:t xml:space="preserve">; </w:t>
      </w:r>
      <w:hyperlink w:anchor="latin-record-0579">
        <w:r>
          <w:rPr>
            <w:color w:val="000000"/>
          </w:rPr>
          <w:t xml:space="preserve">inscribo / opus</w:t>
        </w:r>
      </w:hyperlink>
      <w:r>
        <w:rPr>
          <w:b w:val="0"/>
          <w:i w:val="0"/>
        </w:rPr>
        <w:t xml:space="preserve">; </w:t>
      </w:r>
      <w:hyperlink w:anchor="latin-record-0639">
        <w:r>
          <w:rPr>
            <w:color w:val="000000"/>
          </w:rPr>
          <w:t xml:space="preserve">lex divina</w:t>
        </w:r>
      </w:hyperlink>
      <w:r>
        <w:rPr>
          <w:b w:val="0"/>
          <w:i w:val="0"/>
        </w:rPr>
        <w:t xml:space="preserve">; </w:t>
      </w:r>
      <w:hyperlink w:anchor="latin-record-0710">
        <w:r>
          <w:rPr>
            <w:color w:val="000000"/>
          </w:rPr>
          <w:t xml:space="preserve">molior / perficio</w:t>
        </w:r>
      </w:hyperlink>
      <w:r>
        <w:rPr>
          <w:b w:val="0"/>
          <w:i w:val="0"/>
        </w:rPr>
        <w:t xml:space="preserve">; </w:t>
      </w:r>
      <w:hyperlink w:anchor="latin-record-0938">
        <w:r>
          <w:rPr>
            <w:color w:val="000000"/>
          </w:rPr>
          <w:t xml:space="preserve">probo / comprobo</w:t>
        </w:r>
      </w:hyperlink>
      <w:r>
        <w:rPr>
          <w:b w:val="0"/>
          <w:i w:val="0"/>
        </w:rPr>
        <w:t xml:space="preserve">; </w:t>
      </w:r>
      <w:hyperlink w:anchor="latin-record-1132">
        <w:r>
          <w:rPr>
            <w:color w:val="000000"/>
          </w:rPr>
          <w:t xml:space="preserve">spiritual aid and confidence</w:t>
        </w:r>
      </w:hyperlink>
      <w:r>
        <w:rPr>
          <w:b w:val="0"/>
          <w:i w:val="0"/>
        </w:rPr>
        <w:t xml:space="preserve">; </w:t>
      </w:r>
      <w:hyperlink w:anchor="latin-record-1241">
        <w:r>
          <w:rPr>
            <w:color w:val="000000"/>
          </w:rPr>
          <w:t xml:space="preserve">veneror / veneratio</w:t>
        </w:r>
      </w:hyperlink>
      <w:r>
        <w:rPr>
          <w:b w:val="0"/>
          <w:i w:val="0"/>
        </w:rPr>
        <w:t>.</w:t>
      </w:r>
    </w:p>
    <w:p>
      <w:pPr>
        <w:widowControl/>
      </w:pPr>
      <w:bookmarkStart w:id="1579" w:name="passage-proem-11"/>
      <w:bookmarkEnd w:id="1579"/>
      <w:r>
        <w:rPr>
          <w:b/>
          <w:i w:val="0"/>
        </w:rPr>
        <w:t>Proem.11</w:t>
      </w:r>
      <w:r>
        <w:rPr>
          <w:b/>
          <w:i w:val="0"/>
        </w:rPr>
        <w:t>, source pp. 10–11.</w:t>
      </w:r>
      <w:r>
        <w:rPr>
          <w:b w:val="0"/>
          <w:i w:val="0"/>
        </w:rPr>
        <w:t xml:space="preserve"> Articles: </w:t>
      </w:r>
      <w:hyperlink w:anchor="leisure">
        <w:r>
          <w:rPr>
            <w:color w:val="000000"/>
          </w:rPr>
          <w:t xml:space="preserve">Leisure</w:t>
        </w:r>
      </w:hyperlink>
      <w:r>
        <w:rPr>
          <w:b w:val="0"/>
          <w:i w:val="0"/>
        </w:rPr>
        <w:t xml:space="preserve">; </w:t>
      </w:r>
      <w:hyperlink w:anchor="lorenzo-dedication-and-public-authority">
        <w:r>
          <w:rPr>
            <w:color w:val="000000"/>
          </w:rPr>
          <w:t xml:space="preserve">Lorenzo, dedication and public authority</w:t>
        </w:r>
      </w:hyperlink>
      <w:r>
        <w:rPr>
          <w:b w:val="0"/>
          <w:i w:val="0"/>
        </w:rPr>
        <w:t xml:space="preserve">; </w:t>
      </w:r>
      <w:hyperlink w:anchor="philosophy-and-theology">
        <w:r>
          <w:rPr>
            <w:color w:val="000000"/>
          </w:rPr>
          <w:t xml:space="preserve">Philosophy and theology</w:t>
        </w:r>
      </w:hyperlink>
      <w:r>
        <w:rPr>
          <w:b w:val="0"/>
          <w:i w:val="0"/>
        </w:rPr>
        <w:t xml:space="preserve">. Vocabulary: </w:t>
      </w:r>
      <w:hyperlink w:anchor="latin-record-0090">
        <w:r>
          <w:rPr>
            <w:color w:val="000000"/>
          </w:rPr>
          <w:t xml:space="preserve">arcana / edo</w:t>
        </w:r>
      </w:hyperlink>
      <w:r>
        <w:rPr>
          <w:b w:val="0"/>
          <w:i w:val="0"/>
        </w:rPr>
        <w:t xml:space="preserve">; </w:t>
      </w:r>
      <w:hyperlink w:anchor="latin-record-0111">
        <w:r>
          <w:rPr>
            <w:color w:val="000000"/>
          </w:rPr>
          <w:t xml:space="preserve">auctoritas</w:t>
        </w:r>
      </w:hyperlink>
      <w:r>
        <w:rPr>
          <w:b w:val="0"/>
          <w:i w:val="0"/>
        </w:rPr>
        <w:t xml:space="preserve">; </w:t>
      </w:r>
      <w:hyperlink w:anchor="latin-record-0126">
        <w:r>
          <w:rPr>
            <w:color w:val="000000"/>
          </w:rPr>
          <w:t xml:space="preserve">beneficium / officium</w:t>
        </w:r>
      </w:hyperlink>
      <w:r>
        <w:rPr>
          <w:b w:val="0"/>
          <w:i w:val="0"/>
        </w:rPr>
        <w:t xml:space="preserve">; </w:t>
      </w:r>
      <w:hyperlink w:anchor="latin-record-0298">
        <w:r>
          <w:rPr>
            <w:color w:val="000000"/>
          </w:rPr>
          <w:t xml:space="preserve">dedico / gratulor</w:t>
        </w:r>
      </w:hyperlink>
      <w:r>
        <w:rPr>
          <w:b w:val="0"/>
          <w:i w:val="0"/>
        </w:rPr>
        <w:t xml:space="preserve">; </w:t>
      </w:r>
      <w:hyperlink w:anchor="latin-record-0572">
        <w:r>
          <w:rPr>
            <w:color w:val="000000"/>
          </w:rPr>
          <w:t xml:space="preserve">ingenium</w:t>
        </w:r>
      </w:hyperlink>
      <w:r>
        <w:rPr>
          <w:b w:val="0"/>
          <w:i w:val="0"/>
        </w:rPr>
        <w:t xml:space="preserve">; </w:t>
      </w:r>
      <w:hyperlink w:anchor="latin-record-0622">
        <w:r>
          <w:rPr>
            <w:color w:val="000000"/>
          </w:rPr>
          <w:t xml:space="preserve">iudico</w:t>
        </w:r>
      </w:hyperlink>
      <w:r>
        <w:rPr>
          <w:b w:val="0"/>
          <w:i w:val="0"/>
        </w:rPr>
        <w:t xml:space="preserve">; </w:t>
      </w:r>
      <w:hyperlink w:anchor="latin-record-0633">
        <w:r>
          <w:rPr>
            <w:color w:val="000000"/>
          </w:rPr>
          <w:t xml:space="preserve">Laurenti / magnanimus</w:t>
        </w:r>
      </w:hyperlink>
      <w:r>
        <w:rPr>
          <w:b w:val="0"/>
          <w:i w:val="0"/>
        </w:rPr>
        <w:t xml:space="preserve">; </w:t>
      </w:r>
      <w:hyperlink w:anchor="latin-record-0704">
        <w:r>
          <w:rPr>
            <w:color w:val="000000"/>
          </w:rPr>
          <w:t xml:space="preserve">mirus / mirabilis / mirabiliter</w:t>
        </w:r>
      </w:hyperlink>
      <w:r>
        <w:rPr>
          <w:b w:val="0"/>
          <w:i w:val="0"/>
        </w:rPr>
        <w:t xml:space="preserve">; </w:t>
      </w:r>
      <w:hyperlink w:anchor="latin-record-0816">
        <w:r>
          <w:rPr>
            <w:color w:val="000000"/>
          </w:rPr>
          <w:t xml:space="preserve">otium</w:t>
        </w:r>
      </w:hyperlink>
      <w:r>
        <w:rPr>
          <w:b w:val="0"/>
          <w:i w:val="0"/>
        </w:rPr>
        <w:t xml:space="preserve">; </w:t>
      </w:r>
      <w:hyperlink w:anchor="latin-record-1049">
        <w:r>
          <w:rPr>
            <w:color w:val="000000"/>
          </w:rPr>
          <w:t xml:space="preserve">res publicae</w:t>
        </w:r>
      </w:hyperlink>
      <w:r>
        <w:rPr>
          <w:b w:val="0"/>
          <w:i w:val="0"/>
        </w:rPr>
        <w:t>.</w:t>
      </w:r>
    </w:p>
    <w:p>
      <w:bookmarkStart w:id="1580" w:name="chapter-i.1"/>
      <w:pPr>
        <w:pStyle w:val="Heading2"/>
      </w:pPr>
      <w:r>
        <w:rPr>
          <w:b w:val="0"/>
          <w:i w:val="0"/>
        </w:rPr>
        <w:t>Chapter I.1</w:t>
      </w:r>
      <w:bookmarkEnd w:id="1580"/>
    </w:p>
    <w:p>
      <w:pPr>
        <w:widowControl/>
      </w:pPr>
      <w:bookmarkStart w:id="1581" w:name="passage-i-1-1"/>
      <w:bookmarkEnd w:id="1581"/>
      <w:r>
        <w:rPr>
          <w:b/>
          <w:i w:val="0"/>
        </w:rPr>
        <w:t>I.1.1</w:t>
      </w:r>
      <w:r>
        <w:rPr>
          <w:b/>
          <w:i w:val="0"/>
        </w:rPr>
        <w:t>, source pp. 14–15.</w:t>
      </w:r>
      <w:r>
        <w:rPr>
          <w:b w:val="0"/>
          <w:i w:val="0"/>
        </w:rPr>
        <w:t xml:space="preserve"> Articles: </w:t>
      </w:r>
      <w:hyperlink w:anchor="animating-and-animal">
        <w:r>
          <w:rPr>
            <w:color w:val="000000"/>
          </w:rPr>
          <w:t xml:space="preserve">Animating and animal</w:t>
        </w:r>
      </w:hyperlink>
      <w:r>
        <w:rPr>
          <w:b w:val="0"/>
          <w:i w:val="0"/>
        </w:rPr>
        <w:t xml:space="preserve">; </w:t>
      </w:r>
      <w:hyperlink w:anchor="blessedness">
        <w:r>
          <w:rPr>
            <w:color w:val="000000"/>
          </w:rPr>
          <w:t xml:space="preserve">Blessedness</w:t>
        </w:r>
      </w:hyperlink>
      <w:r>
        <w:rPr>
          <w:b w:val="0"/>
          <w:i w:val="0"/>
        </w:rPr>
        <w:t xml:space="preserve">; </w:t>
      </w:r>
      <w:hyperlink w:anchor="body-and-bulk">
        <w:r>
          <w:rPr>
            <w:color w:val="000000"/>
          </w:rPr>
          <w:t xml:space="preserve">Body and bulk</w:t>
        </w:r>
      </w:hyperlink>
      <w:r>
        <w:rPr>
          <w:b w:val="0"/>
          <w:i w:val="0"/>
        </w:rPr>
        <w:t xml:space="preserve">; </w:t>
      </w:r>
      <w:hyperlink w:anchor="divinity-and-the-divine">
        <w:r>
          <w:rPr>
            <w:color w:val="000000"/>
          </w:rPr>
          <w:t xml:space="preserve">Divinity and the divine</w:t>
        </w:r>
      </w:hyperlink>
      <w:r>
        <w:rPr>
          <w:b w:val="0"/>
          <w:i w:val="0"/>
        </w:rPr>
        <w:t xml:space="preserve">; </w:t>
      </w:r>
      <w:hyperlink w:anchor="end-and-limit">
        <w:r>
          <w:rPr>
            <w:color w:val="000000"/>
          </w:rPr>
          <w:t xml:space="preserve">End and limit</w:t>
        </w:r>
      </w:hyperlink>
      <w:r>
        <w:rPr>
          <w:b w:val="0"/>
          <w:i w:val="0"/>
        </w:rPr>
        <w:t xml:space="preserve">; </w:t>
      </w:r>
      <w:hyperlink w:anchor="immortality">
        <w:r>
          <w:rPr>
            <w:color w:val="000000"/>
          </w:rPr>
          <w:t xml:space="preserve">Immortality</w:t>
        </w:r>
      </w:hyperlink>
      <w:r>
        <w:rPr>
          <w:b w:val="0"/>
          <w:i w:val="0"/>
        </w:rPr>
        <w:t xml:space="preserve">; </w:t>
      </w:r>
      <w:hyperlink w:anchor="need-and-sufficiency">
        <w:r>
          <w:rPr>
            <w:color w:val="000000"/>
          </w:rPr>
          <w:t xml:space="preserve">Need and sufficiency</w:t>
        </w:r>
      </w:hyperlink>
      <w:r>
        <w:rPr>
          <w:b w:val="0"/>
          <w:i w:val="0"/>
        </w:rPr>
        <w:t xml:space="preserve">; </w:t>
      </w:r>
      <w:hyperlink w:anchor="prison-and-homeland">
        <w:r>
          <w:rPr>
            <w:color w:val="000000"/>
          </w:rPr>
          <w:t xml:space="preserve">Prison and homeland</w:t>
        </w:r>
      </w:hyperlink>
      <w:r>
        <w:rPr>
          <w:b w:val="0"/>
          <w:i w:val="0"/>
        </w:rPr>
        <w:t xml:space="preserve">; </w:t>
      </w:r>
      <w:hyperlink w:anchor="soul">
        <w:r>
          <w:rPr>
            <w:color w:val="000000"/>
          </w:rPr>
          <w:t xml:space="preserve">Soul</w:t>
        </w:r>
      </w:hyperlink>
      <w:r>
        <w:rPr>
          <w:b w:val="0"/>
          <w:i w:val="0"/>
        </w:rPr>
        <w:t xml:space="preserve">; </w:t>
      </w:r>
      <w:hyperlink w:anchor="worship-and-piety">
        <w:r>
          <w:rPr>
            <w:color w:val="000000"/>
          </w:rPr>
          <w:t xml:space="preserve">Worship and piety</w:t>
        </w:r>
      </w:hyperlink>
      <w:r>
        <w:rPr>
          <w:b w:val="0"/>
          <w:i w:val="0"/>
        </w:rPr>
        <w:t xml:space="preserve">. Vocabulary: </w:t>
      </w:r>
      <w:hyperlink w:anchor="latin-record-0072">
        <w:r>
          <w:rPr>
            <w:color w:val="000000"/>
          </w:rPr>
          <w:t xml:space="preserve">animal / bestia / animans</w:t>
        </w:r>
      </w:hyperlink>
      <w:r>
        <w:rPr>
          <w:b w:val="0"/>
          <w:i w:val="0"/>
        </w:rPr>
        <w:t xml:space="preserve">; </w:t>
      </w:r>
      <w:hyperlink w:anchor="latin-record-0123">
        <w:r>
          <w:rPr>
            <w:color w:val="000000"/>
          </w:rPr>
          <w:t xml:space="preserve">beatitudo / felicitas</w:t>
        </w:r>
      </w:hyperlink>
      <w:r>
        <w:rPr>
          <w:b w:val="0"/>
          <w:i w:val="0"/>
        </w:rPr>
        <w:t xml:space="preserve">; </w:t>
      </w:r>
      <w:hyperlink w:anchor="latin-record-0145">
        <w:r>
          <w:rPr>
            <w:color w:val="000000"/>
          </w:rPr>
          <w:t xml:space="preserve">carcer / claustra</w:t>
        </w:r>
      </w:hyperlink>
      <w:r>
        <w:rPr>
          <w:b w:val="0"/>
          <w:i w:val="0"/>
        </w:rPr>
        <w:t xml:space="preserve">; </w:t>
      </w:r>
      <w:hyperlink w:anchor="latin-record-0189">
        <w:r>
          <w:rPr>
            <w:color w:val="000000"/>
          </w:rPr>
          <w:t xml:space="preserve">colo / cultus</w:t>
        </w:r>
      </w:hyperlink>
      <w:r>
        <w:rPr>
          <w:b w:val="0"/>
          <w:i w:val="0"/>
        </w:rPr>
        <w:t xml:space="preserve">; </w:t>
      </w:r>
      <w:hyperlink w:anchor="latin-record-0481">
        <w:r>
          <w:rPr>
            <w:color w:val="000000"/>
          </w:rPr>
          <w:t xml:space="preserve">genus</w:t>
        </w:r>
      </w:hyperlink>
      <w:r>
        <w:rPr>
          <w:b w:val="0"/>
          <w:i w:val="0"/>
        </w:rPr>
        <w:t xml:space="preserve">; </w:t>
      </w:r>
      <w:hyperlink w:anchor="latin-record-0555">
        <w:r>
          <w:rPr>
            <w:color w:val="000000"/>
          </w:rPr>
          <w:t xml:space="preserve">indigentia</w:t>
        </w:r>
      </w:hyperlink>
      <w:r>
        <w:rPr>
          <w:b w:val="0"/>
          <w:i w:val="0"/>
        </w:rPr>
        <w:t xml:space="preserve">; </w:t>
      </w:r>
      <w:hyperlink w:anchor="latin-record-0577">
        <w:r>
          <w:rPr>
            <w:color w:val="000000"/>
          </w:rPr>
          <w:t xml:space="preserve">inquietudo / imbecillitas</w:t>
        </w:r>
      </w:hyperlink>
      <w:r>
        <w:rPr>
          <w:b w:val="0"/>
          <w:i w:val="0"/>
        </w:rPr>
        <w:t xml:space="preserve">; </w:t>
      </w:r>
      <w:hyperlink w:anchor="latin-record-1172">
        <w:r>
          <w:rPr>
            <w:color w:val="000000"/>
          </w:rPr>
          <w:t xml:space="preserve">superesse / discedere</w:t>
        </w:r>
      </w:hyperlink>
      <w:r>
        <w:rPr>
          <w:b w:val="0"/>
          <w:i w:val="0"/>
        </w:rPr>
        <w:t xml:space="preserve">; </w:t>
      </w:r>
      <w:hyperlink w:anchor="latin-record-1196">
        <w:r>
          <w:rPr>
            <w:color w:val="000000"/>
          </w:rPr>
          <w:t xml:space="preserve">terminus vivendi</w:t>
        </w:r>
      </w:hyperlink>
      <w:r>
        <w:rPr>
          <w:b w:val="0"/>
          <w:i w:val="0"/>
        </w:rPr>
        <w:t xml:space="preserve">; </w:t>
      </w:r>
      <w:hyperlink w:anchor="latin-record-1258">
        <w:r>
          <w:rPr>
            <w:color w:val="000000"/>
          </w:rPr>
          <w:t xml:space="preserve">videtur</w:t>
        </w:r>
      </w:hyperlink>
      <w:r>
        <w:rPr>
          <w:b w:val="0"/>
          <w:i w:val="0"/>
        </w:rPr>
        <w:t>.</w:t>
      </w:r>
    </w:p>
    <w:p>
      <w:pPr>
        <w:widowControl/>
      </w:pPr>
      <w:bookmarkStart w:id="1582" w:name="passage-i-1-2"/>
      <w:bookmarkEnd w:id="1582"/>
      <w:r>
        <w:rPr>
          <w:b/>
          <w:i w:val="0"/>
        </w:rPr>
        <w:t>I.1.2</w:t>
      </w:r>
      <w:r>
        <w:rPr>
          <w:b/>
          <w:i w:val="0"/>
        </w:rPr>
        <w:t>, source pp. 14–15.</w:t>
      </w:r>
      <w:r>
        <w:rPr>
          <w:b w:val="0"/>
          <w:i w:val="0"/>
        </w:rPr>
        <w:t xml:space="preserve"> Articles: </w:t>
      </w:r>
      <w:hyperlink w:anchor="assent-approval-and-belief">
        <w:r>
          <w:rPr>
            <w:color w:val="000000"/>
          </w:rPr>
          <w:t xml:space="preserve">Assent, approval and belief</w:t>
        </w:r>
      </w:hyperlink>
      <w:r>
        <w:rPr>
          <w:b w:val="0"/>
          <w:i w:val="0"/>
        </w:rPr>
        <w:t xml:space="preserve">; </w:t>
      </w:r>
      <w:hyperlink w:anchor="blessedness">
        <w:r>
          <w:rPr>
            <w:color w:val="000000"/>
          </w:rPr>
          <w:t xml:space="preserve">Blessedness</w:t>
        </w:r>
      </w:hyperlink>
      <w:r>
        <w:rPr>
          <w:b w:val="0"/>
          <w:i w:val="0"/>
        </w:rPr>
        <w:t xml:space="preserve">; </w:t>
      </w:r>
      <w:hyperlink w:anchor="body-and-bulk">
        <w:r>
          <w:rPr>
            <w:color w:val="000000"/>
          </w:rPr>
          <w:t xml:space="preserve">Body and bulk</w:t>
        </w:r>
      </w:hyperlink>
      <w:r>
        <w:rPr>
          <w:b w:val="0"/>
          <w:i w:val="0"/>
        </w:rPr>
        <w:t xml:space="preserve">; </w:t>
      </w:r>
      <w:hyperlink w:anchor="divinity-and-the-divine">
        <w:r>
          <w:rPr>
            <w:color w:val="000000"/>
          </w:rPr>
          <w:t xml:space="preserve">Divinity and the divine</w:t>
        </w:r>
      </w:hyperlink>
      <w:r>
        <w:rPr>
          <w:b w:val="0"/>
          <w:i w:val="0"/>
        </w:rPr>
        <w:t xml:space="preserve">; </w:t>
      </w:r>
      <w:hyperlink w:anchor="immortality">
        <w:r>
          <w:rPr>
            <w:color w:val="000000"/>
          </w:rPr>
          <w:t xml:space="preserve">Immortality</w:t>
        </w:r>
      </w:hyperlink>
      <w:r>
        <w:rPr>
          <w:b w:val="0"/>
          <w:i w:val="0"/>
        </w:rPr>
        <w:t xml:space="preserve">; </w:t>
      </w:r>
      <w:hyperlink w:anchor="light-and-illumination">
        <w:r>
          <w:rPr>
            <w:color w:val="000000"/>
          </w:rPr>
          <w:t xml:space="preserve">Light and illumination</w:t>
        </w:r>
      </w:hyperlink>
      <w:r>
        <w:rPr>
          <w:b w:val="0"/>
          <w:i w:val="0"/>
        </w:rPr>
        <w:t xml:space="preserve">; </w:t>
      </w:r>
      <w:hyperlink w:anchor="prison-and-homeland">
        <w:r>
          <w:rPr>
            <w:color w:val="000000"/>
          </w:rPr>
          <w:t xml:space="preserve">Prison and homeland</w:t>
        </w:r>
      </w:hyperlink>
      <w:r>
        <w:rPr>
          <w:b w:val="0"/>
          <w:i w:val="0"/>
        </w:rPr>
        <w:t xml:space="preserve">; </w:t>
      </w:r>
      <w:hyperlink w:anchor="soul">
        <w:r>
          <w:rPr>
            <w:color w:val="000000"/>
          </w:rPr>
          <w:t xml:space="preserve">Soul</w:t>
        </w:r>
      </w:hyperlink>
      <w:r>
        <w:rPr>
          <w:b w:val="0"/>
          <w:i w:val="0"/>
        </w:rPr>
        <w:t xml:space="preserve">. Vocabulary: </w:t>
      </w:r>
      <w:hyperlink w:anchor="latin-record-0044">
        <w:r>
          <w:rPr>
            <w:color w:val="000000"/>
          </w:rPr>
          <w:t xml:space="preserve">ala / dux / patria</w:t>
        </w:r>
      </w:hyperlink>
      <w:r>
        <w:rPr>
          <w:b w:val="0"/>
          <w:i w:val="0"/>
        </w:rPr>
        <w:t xml:space="preserve">; </w:t>
      </w:r>
      <w:hyperlink w:anchor="latin-record-0145">
        <w:r>
          <w:rPr>
            <w:color w:val="000000"/>
          </w:rPr>
          <w:t xml:space="preserve">carcer / claustra</w:t>
        </w:r>
      </w:hyperlink>
      <w:r>
        <w:rPr>
          <w:b w:val="0"/>
          <w:i w:val="0"/>
        </w:rPr>
        <w:t xml:space="preserve">; </w:t>
      </w:r>
      <w:hyperlink w:anchor="latin-record-0159">
        <w:r>
          <w:rPr>
            <w:color w:val="000000"/>
          </w:rPr>
          <w:t xml:space="preserve">cernere / respicere</w:t>
        </w:r>
      </w:hyperlink>
      <w:r>
        <w:rPr>
          <w:b w:val="0"/>
          <w:i w:val="0"/>
        </w:rPr>
        <w:t xml:space="preserve">; </w:t>
      </w:r>
      <w:hyperlink w:anchor="latin-record-0260">
        <w:r>
          <w:rPr>
            <w:color w:val="000000"/>
          </w:rPr>
          <w:t xml:space="preserve">contemplor / contemplatio</w:t>
        </w:r>
      </w:hyperlink>
      <w:r>
        <w:rPr>
          <w:b w:val="0"/>
          <w:i w:val="0"/>
        </w:rPr>
        <w:t xml:space="preserve">; </w:t>
      </w:r>
      <w:hyperlink w:anchor="latin-record-0318">
        <w:r>
          <w:rPr>
            <w:color w:val="000000"/>
          </w:rPr>
          <w:t xml:space="preserve">diffido</w:t>
        </w:r>
      </w:hyperlink>
      <w:r>
        <w:rPr>
          <w:b w:val="0"/>
          <w:i w:val="0"/>
        </w:rPr>
        <w:t xml:space="preserve">; </w:t>
      </w:r>
      <w:hyperlink w:anchor="latin-record-1120">
        <w:r>
          <w:rPr>
            <w:color w:val="000000"/>
          </w:rPr>
          <w:t xml:space="preserve">solvo / vincula / compedes</w:t>
        </w:r>
      </w:hyperlink>
      <w:r>
        <w:rPr>
          <w:b w:val="0"/>
          <w:i w:val="0"/>
        </w:rPr>
        <w:t xml:space="preserve">; </w:t>
      </w:r>
      <w:hyperlink w:anchor="latin-record-1188">
        <w:r>
          <w:rPr>
            <w:color w:val="000000"/>
          </w:rPr>
          <w:t xml:space="preserve">tenebrae / caecus</w:t>
        </w:r>
      </w:hyperlink>
      <w:r>
        <w:rPr>
          <w:b w:val="0"/>
          <w:i w:val="0"/>
        </w:rPr>
        <w:t>.</w:t>
      </w:r>
    </w:p>
    <w:p>
      <w:pPr>
        <w:widowControl/>
      </w:pPr>
      <w:bookmarkStart w:id="1583" w:name="passage-i-1-3"/>
      <w:bookmarkEnd w:id="1583"/>
      <w:r>
        <w:rPr>
          <w:b/>
          <w:i w:val="0"/>
        </w:rPr>
        <w:t>I.1.3</w:t>
      </w:r>
      <w:r>
        <w:rPr>
          <w:b/>
          <w:i w:val="0"/>
        </w:rPr>
        <w:t>, source pp. 14–15.</w:t>
      </w:r>
      <w:r>
        <w:rPr>
          <w:b w:val="0"/>
          <w:i w:val="0"/>
        </w:rPr>
        <w:t xml:space="preserve"> Articles: </w:t>
      </w:r>
      <w:hyperlink w:anchor="ascent">
        <w:r>
          <w:rPr>
            <w:color w:val="000000"/>
          </w:rPr>
          <w:t xml:space="preserve">Ascent</w:t>
        </w:r>
      </w:hyperlink>
      <w:r>
        <w:rPr>
          <w:b w:val="0"/>
          <w:i w:val="0"/>
        </w:rPr>
        <w:t xml:space="preserve">; </w:t>
      </w:r>
      <w:hyperlink w:anchor="blessedness">
        <w:r>
          <w:rPr>
            <w:color w:val="000000"/>
          </w:rPr>
          <w:t xml:space="preserve">Blessedness</w:t>
        </w:r>
      </w:hyperlink>
      <w:r>
        <w:rPr>
          <w:b w:val="0"/>
          <w:i w:val="0"/>
        </w:rPr>
        <w:t xml:space="preserve">; </w:t>
      </w:r>
      <w:hyperlink w:anchor="body-and-bulk">
        <w:r>
          <w:rPr>
            <w:color w:val="000000"/>
          </w:rPr>
          <w:t xml:space="preserve">Body and bulk</w:t>
        </w:r>
      </w:hyperlink>
      <w:r>
        <w:rPr>
          <w:b w:val="0"/>
          <w:i w:val="0"/>
        </w:rPr>
        <w:t xml:space="preserve">; </w:t>
      </w:r>
      <w:hyperlink w:anchor="divinity-and-the-divine">
        <w:r>
          <w:rPr>
            <w:color w:val="000000"/>
          </w:rPr>
          <w:t xml:space="preserve">Divinity and the divine</w:t>
        </w:r>
      </w:hyperlink>
      <w:r>
        <w:rPr>
          <w:b w:val="0"/>
          <w:i w:val="0"/>
        </w:rPr>
        <w:t xml:space="preserve">; </w:t>
      </w:r>
      <w:hyperlink w:anchor="immortality">
        <w:r>
          <w:rPr>
            <w:color w:val="000000"/>
          </w:rPr>
          <w:t xml:space="preserve">Immortality</w:t>
        </w:r>
      </w:hyperlink>
      <w:r>
        <w:rPr>
          <w:b w:val="0"/>
          <w:i w:val="0"/>
        </w:rPr>
        <w:t xml:space="preserve">; </w:t>
      </w:r>
      <w:hyperlink w:anchor="philosophers-and-stopping-points">
        <w:r>
          <w:rPr>
            <w:color w:val="000000"/>
          </w:rPr>
          <w:t xml:space="preserve">Philosophers and stopping points</w:t>
        </w:r>
      </w:hyperlink>
      <w:r>
        <w:rPr>
          <w:b w:val="0"/>
          <w:i w:val="0"/>
        </w:rPr>
        <w:t xml:space="preserve">; </w:t>
      </w:r>
      <w:hyperlink w:anchor="prison-and-homeland">
        <w:r>
          <w:rPr>
            <w:color w:val="000000"/>
          </w:rPr>
          <w:t xml:space="preserve">Prison and homeland</w:t>
        </w:r>
      </w:hyperlink>
      <w:r>
        <w:rPr>
          <w:b w:val="0"/>
          <w:i w:val="0"/>
        </w:rPr>
        <w:t xml:space="preserve">; </w:t>
      </w:r>
      <w:hyperlink w:anchor="proof-signs-and-qualification">
        <w:r>
          <w:rPr>
            <w:color w:val="000000"/>
          </w:rPr>
          <w:t xml:space="preserve">Proof, signs and qualification</w:t>
        </w:r>
      </w:hyperlink>
      <w:r>
        <w:rPr>
          <w:b w:val="0"/>
          <w:i w:val="0"/>
        </w:rPr>
        <w:t xml:space="preserve">; </w:t>
      </w:r>
      <w:hyperlink w:anchor="soul">
        <w:r>
          <w:rPr>
            <w:color w:val="000000"/>
          </w:rPr>
          <w:t xml:space="preserve">Soul</w:t>
        </w:r>
      </w:hyperlink>
      <w:r>
        <w:rPr>
          <w:b w:val="0"/>
          <w:i w:val="0"/>
        </w:rPr>
        <w:t xml:space="preserve">. Vocabulary: </w:t>
      </w:r>
      <w:hyperlink w:anchor="latin-record-0083">
        <w:r>
          <w:rPr>
            <w:color w:val="000000"/>
          </w:rPr>
          <w:t xml:space="preserve">appareo / pateo</w:t>
        </w:r>
      </w:hyperlink>
      <w:r>
        <w:rPr>
          <w:b w:val="0"/>
          <w:i w:val="0"/>
        </w:rPr>
        <w:t xml:space="preserve">; </w:t>
      </w:r>
      <w:hyperlink w:anchor="latin-record-0123">
        <w:r>
          <w:rPr>
            <w:color w:val="000000"/>
          </w:rPr>
          <w:t xml:space="preserve">beatitudo / felicitas</w:t>
        </w:r>
      </w:hyperlink>
      <w:r>
        <w:rPr>
          <w:b w:val="0"/>
          <w:i w:val="0"/>
        </w:rPr>
        <w:t xml:space="preserve">; </w:t>
      </w:r>
      <w:hyperlink w:anchor="latin-record-0145">
        <w:r>
          <w:rPr>
            <w:color w:val="000000"/>
          </w:rPr>
          <w:t xml:space="preserve">carcer / claustra</w:t>
        </w:r>
      </w:hyperlink>
      <w:r>
        <w:rPr>
          <w:b w:val="0"/>
          <w:i w:val="0"/>
        </w:rPr>
        <w:t xml:space="preserve">; </w:t>
      </w:r>
      <w:hyperlink w:anchor="latin-record-0159">
        <w:r>
          <w:rPr>
            <w:color w:val="000000"/>
          </w:rPr>
          <w:t xml:space="preserve">cernere / respicere</w:t>
        </w:r>
      </w:hyperlink>
      <w:r>
        <w:rPr>
          <w:b w:val="0"/>
          <w:i w:val="0"/>
        </w:rPr>
        <w:t xml:space="preserve">; </w:t>
      </w:r>
      <w:hyperlink w:anchor="latin-record-0243">
        <w:r>
          <w:rPr>
            <w:color w:val="000000"/>
          </w:rPr>
          <w:t xml:space="preserve">conor / pro viribus</w:t>
        </w:r>
      </w:hyperlink>
      <w:r>
        <w:rPr>
          <w:b w:val="0"/>
          <w:i w:val="0"/>
        </w:rPr>
        <w:t xml:space="preserve">; </w:t>
      </w:r>
      <w:hyperlink w:anchor="latin-record-0302">
        <w:r>
          <w:rPr>
            <w:color w:val="000000"/>
          </w:rPr>
          <w:t xml:space="preserve">Democritii / Cyrenaici / Epicurei</w:t>
        </w:r>
      </w:hyperlink>
      <w:r>
        <w:rPr>
          <w:b w:val="0"/>
          <w:i w:val="0"/>
        </w:rPr>
        <w:t xml:space="preserve">; </w:t>
      </w:r>
      <w:hyperlink w:anchor="latin-record-0303">
        <w:r>
          <w:rPr>
            <w:color w:val="000000"/>
          </w:rPr>
          <w:t xml:space="preserve">demonstro / assevero</w:t>
        </w:r>
      </w:hyperlink>
      <w:r>
        <w:rPr>
          <w:b w:val="0"/>
          <w:i w:val="0"/>
        </w:rPr>
        <w:t xml:space="preserve">; </w:t>
      </w:r>
      <w:hyperlink w:anchor="latin-record-0363">
        <w:r>
          <w:rPr>
            <w:color w:val="000000"/>
          </w:rPr>
          <w:t xml:space="preserve">efficax / efficacia</w:t>
        </w:r>
      </w:hyperlink>
      <w:r>
        <w:rPr>
          <w:b w:val="0"/>
          <w:i w:val="0"/>
        </w:rPr>
        <w:t xml:space="preserve">; </w:t>
      </w:r>
      <w:hyperlink w:anchor="latin-record-0709">
        <w:r>
          <w:rPr>
            <w:color w:val="000000"/>
          </w:rPr>
          <w:t xml:space="preserve">moles / piger</w:t>
        </w:r>
      </w:hyperlink>
      <w:r>
        <w:rPr>
          <w:b w:val="0"/>
          <w:i w:val="0"/>
        </w:rPr>
        <w:t xml:space="preserve">; </w:t>
      </w:r>
      <w:hyperlink w:anchor="latin-record-0718">
        <w:r>
          <w:rPr>
            <w:color w:val="000000"/>
          </w:rPr>
          <w:t xml:space="preserve">mortalis / immortalis</w:t>
        </w:r>
      </w:hyperlink>
      <w:r>
        <w:rPr>
          <w:b w:val="0"/>
          <w:i w:val="0"/>
        </w:rPr>
        <w:t xml:space="preserve">; </w:t>
      </w:r>
      <w:hyperlink w:anchor="latin-record-1003">
        <w:r>
          <w:rPr>
            <w:color w:val="000000"/>
          </w:rPr>
          <w:t xml:space="preserve">qualitas / virtus</w:t>
        </w:r>
      </w:hyperlink>
      <w:r>
        <w:rPr>
          <w:b w:val="0"/>
          <w:i w:val="0"/>
        </w:rPr>
        <w:t xml:space="preserve">; </w:t>
      </w:r>
      <w:hyperlink w:anchor="latin-record-1144">
        <w:r>
          <w:rPr>
            <w:color w:val="000000"/>
          </w:rPr>
          <w:t xml:space="preserve">Stoici / Cynici</w:t>
        </w:r>
      </w:hyperlink>
      <w:r>
        <w:rPr>
          <w:b w:val="0"/>
          <w:i w:val="0"/>
        </w:rPr>
        <w:t xml:space="preserve">; </w:t>
      </w:r>
      <w:hyperlink w:anchor="latin-record-1235">
        <w:r>
          <w:rPr>
            <w:color w:val="000000"/>
          </w:rPr>
          <w:t xml:space="preserve">valere / praestare</w:t>
        </w:r>
      </w:hyperlink>
      <w:r>
        <w:rPr>
          <w:b w:val="0"/>
          <w:i w:val="0"/>
        </w:rPr>
        <w:t>.</w:t>
      </w:r>
    </w:p>
    <w:p>
      <w:pPr>
        <w:widowControl/>
      </w:pPr>
      <w:bookmarkStart w:id="1584" w:name="passage-i-1-4"/>
      <w:bookmarkEnd w:id="1584"/>
      <w:r>
        <w:rPr>
          <w:b/>
          <w:i w:val="0"/>
        </w:rPr>
        <w:t>I.1.4</w:t>
      </w:r>
      <w:r>
        <w:rPr>
          <w:b/>
          <w:i w:val="0"/>
        </w:rPr>
        <w:t>, source pp. 14–15.</w:t>
      </w:r>
      <w:r>
        <w:rPr>
          <w:b w:val="0"/>
          <w:i w:val="0"/>
        </w:rPr>
        <w:t xml:space="preserve"> Articles: </w:t>
      </w:r>
      <w:hyperlink w:anchor="ascent">
        <w:r>
          <w:rPr>
            <w:color w:val="000000"/>
          </w:rPr>
          <w:t xml:space="preserve">Ascent</w:t>
        </w:r>
      </w:hyperlink>
      <w:r>
        <w:rPr>
          <w:b w:val="0"/>
          <w:i w:val="0"/>
        </w:rPr>
        <w:t xml:space="preserve">; </w:t>
      </w:r>
      <w:hyperlink w:anchor="divinity-and-the-divine">
        <w:r>
          <w:rPr>
            <w:color w:val="000000"/>
          </w:rPr>
          <w:t xml:space="preserve">Divinity and the divine</w:t>
        </w:r>
      </w:hyperlink>
      <w:r>
        <w:rPr>
          <w:b w:val="0"/>
          <w:i w:val="0"/>
        </w:rPr>
        <w:t xml:space="preserve">; </w:t>
      </w:r>
      <w:hyperlink w:anchor="immortality">
        <w:r>
          <w:rPr>
            <w:color w:val="000000"/>
          </w:rPr>
          <w:t xml:space="preserve">Immortality</w:t>
        </w:r>
      </w:hyperlink>
      <w:r>
        <w:rPr>
          <w:b w:val="0"/>
          <w:i w:val="0"/>
        </w:rPr>
        <w:t xml:space="preserve">; </w:t>
      </w:r>
      <w:hyperlink w:anchor="philosophers-and-stopping-points">
        <w:r>
          <w:rPr>
            <w:color w:val="000000"/>
          </w:rPr>
          <w:t xml:space="preserve">Philosophers and stopping points</w:t>
        </w:r>
      </w:hyperlink>
      <w:r>
        <w:rPr>
          <w:b w:val="0"/>
          <w:i w:val="0"/>
        </w:rPr>
        <w:t xml:space="preserve">; </w:t>
      </w:r>
      <w:hyperlink w:anchor="soul">
        <w:r>
          <w:rPr>
            <w:color w:val="000000"/>
          </w:rPr>
          <w:t xml:space="preserve">Soul</w:t>
        </w:r>
      </w:hyperlink>
      <w:r>
        <w:rPr>
          <w:b w:val="0"/>
          <w:i w:val="0"/>
        </w:rPr>
        <w:t xml:space="preserve">. Vocabulary: </w:t>
      </w:r>
      <w:hyperlink w:anchor="latin-record-0070">
        <w:r>
          <w:rPr>
            <w:color w:val="000000"/>
          </w:rPr>
          <w:t xml:space="preserve">anima rationalis</w:t>
        </w:r>
      </w:hyperlink>
      <w:r>
        <w:rPr>
          <w:b w:val="0"/>
          <w:i w:val="0"/>
        </w:rPr>
        <w:t xml:space="preserve">; </w:t>
      </w:r>
      <w:hyperlink w:anchor="latin-record-0101">
        <w:r>
          <w:rPr>
            <w:color w:val="000000"/>
          </w:rPr>
          <w:t xml:space="preserve">ascendo / gradus</w:t>
        </w:r>
      </w:hyperlink>
      <w:r>
        <w:rPr>
          <w:b w:val="0"/>
          <w:i w:val="0"/>
        </w:rPr>
        <w:t xml:space="preserve">; </w:t>
      </w:r>
      <w:hyperlink w:anchor="latin-record-0510">
        <w:r>
          <w:rPr>
            <w:color w:val="000000"/>
          </w:rPr>
          <w:t xml:space="preserve">Heraclitus / Varro / Manilius</w:t>
        </w:r>
      </w:hyperlink>
      <w:r>
        <w:rPr>
          <w:b w:val="0"/>
          <w:i w:val="0"/>
        </w:rPr>
        <w:t xml:space="preserve">; </w:t>
      </w:r>
      <w:hyperlink w:anchor="latin-record-1003">
        <w:r>
          <w:rPr>
            <w:color w:val="000000"/>
          </w:rPr>
          <w:t xml:space="preserve">qualitas / virtus</w:t>
        </w:r>
      </w:hyperlink>
      <w:r>
        <w:rPr>
          <w:b w:val="0"/>
          <w:i w:val="0"/>
        </w:rPr>
        <w:t xml:space="preserve">; </w:t>
      </w:r>
      <w:hyperlink w:anchor="latin-record-1004">
        <w:r>
          <w:rPr>
            <w:color w:val="000000"/>
          </w:rPr>
          <w:t xml:space="preserve">quamvis / licet</w:t>
        </w:r>
      </w:hyperlink>
      <w:r>
        <w:rPr>
          <w:b w:val="0"/>
          <w:i w:val="0"/>
        </w:rPr>
        <w:t>.</w:t>
      </w:r>
    </w:p>
    <w:p>
      <w:pPr>
        <w:widowControl/>
      </w:pPr>
      <w:bookmarkStart w:id="1585" w:name="passage-i-1-5"/>
      <w:bookmarkEnd w:id="1585"/>
      <w:r>
        <w:rPr>
          <w:b/>
          <w:i w:val="0"/>
        </w:rPr>
        <w:t>I.1.5</w:t>
      </w:r>
      <w:r>
        <w:rPr>
          <w:b/>
          <w:i w:val="0"/>
        </w:rPr>
        <w:t>, source pp. 16–17.</w:t>
      </w:r>
      <w:r>
        <w:rPr>
          <w:b w:val="0"/>
          <w:i w:val="0"/>
        </w:rPr>
        <w:t xml:space="preserve"> Articles: </w:t>
      </w:r>
      <w:hyperlink w:anchor="angel">
        <w:r>
          <w:rPr>
            <w:color w:val="000000"/>
          </w:rPr>
          <w:t xml:space="preserve">Angel</w:t>
        </w:r>
      </w:hyperlink>
      <w:r>
        <w:rPr>
          <w:b w:val="0"/>
          <w:i w:val="0"/>
        </w:rPr>
        <w:t xml:space="preserve">; </w:t>
      </w:r>
      <w:hyperlink w:anchor="ascent">
        <w:r>
          <w:rPr>
            <w:color w:val="000000"/>
          </w:rPr>
          <w:t xml:space="preserve">Ascent</w:t>
        </w:r>
      </w:hyperlink>
      <w:r>
        <w:rPr>
          <w:b w:val="0"/>
          <w:i w:val="0"/>
        </w:rPr>
        <w:t xml:space="preserve">; </w:t>
      </w:r>
      <w:hyperlink w:anchor="divinity-and-the-divine">
        <w:r>
          <w:rPr>
            <w:color w:val="000000"/>
          </w:rPr>
          <w:t xml:space="preserve">Divinity and the divine</w:t>
        </w:r>
      </w:hyperlink>
      <w:r>
        <w:rPr>
          <w:b w:val="0"/>
          <w:i w:val="0"/>
        </w:rPr>
        <w:t xml:space="preserve">; </w:t>
      </w:r>
      <w:hyperlink w:anchor="immortality">
        <w:r>
          <w:rPr>
            <w:color w:val="000000"/>
          </w:rPr>
          <w:t xml:space="preserve">Immortality</w:t>
        </w:r>
      </w:hyperlink>
      <w:r>
        <w:rPr>
          <w:b w:val="0"/>
          <w:i w:val="0"/>
        </w:rPr>
        <w:t xml:space="preserve">; </w:t>
      </w:r>
      <w:hyperlink w:anchor="philosophers-and-stopping-points">
        <w:r>
          <w:rPr>
            <w:color w:val="000000"/>
          </w:rPr>
          <w:t xml:space="preserve">Philosophers and stopping points</w:t>
        </w:r>
      </w:hyperlink>
      <w:r>
        <w:rPr>
          <w:b w:val="0"/>
          <w:i w:val="0"/>
        </w:rPr>
        <w:t xml:space="preserve">; </w:t>
      </w:r>
      <w:hyperlink w:anchor="soul">
        <w:r>
          <w:rPr>
            <w:color w:val="000000"/>
          </w:rPr>
          <w:t xml:space="preserve">Soul</w:t>
        </w:r>
      </w:hyperlink>
      <w:r>
        <w:rPr>
          <w:b w:val="0"/>
          <w:i w:val="0"/>
        </w:rPr>
        <w:t xml:space="preserve">. Vocabulary: </w:t>
      </w:r>
      <w:hyperlink w:anchor="latin-record-0065">
        <w:r>
          <w:rPr>
            <w:color w:val="000000"/>
          </w:rPr>
          <w:t xml:space="preserve">Anaxagoras / Hermotimus</w:t>
        </w:r>
      </w:hyperlink>
      <w:r>
        <w:rPr>
          <w:b w:val="0"/>
          <w:i w:val="0"/>
        </w:rPr>
        <w:t xml:space="preserve">; </w:t>
      </w:r>
      <w:hyperlink w:anchor="latin-record-0687">
        <w:r>
          <w:rPr>
            <w:color w:val="000000"/>
          </w:rPr>
          <w:t xml:space="preserve">mens angelica</w:t>
        </w:r>
      </w:hyperlink>
      <w:r>
        <w:rPr>
          <w:b w:val="0"/>
          <w:i w:val="0"/>
        </w:rPr>
        <w:t xml:space="preserve">; </w:t>
      </w:r>
      <w:hyperlink w:anchor="latin-record-1258">
        <w:r>
          <w:rPr>
            <w:color w:val="000000"/>
          </w:rPr>
          <w:t xml:space="preserve">videtur</w:t>
        </w:r>
      </w:hyperlink>
      <w:r>
        <w:rPr>
          <w:b w:val="0"/>
          <w:i w:val="0"/>
        </w:rPr>
        <w:t>.</w:t>
      </w:r>
    </w:p>
    <w:p>
      <w:pPr>
        <w:widowControl/>
      </w:pPr>
      <w:bookmarkStart w:id="1586" w:name="passage-i-1-6"/>
      <w:bookmarkEnd w:id="1586"/>
      <w:r>
        <w:rPr>
          <w:b/>
          <w:i w:val="0"/>
        </w:rPr>
        <w:t>I.1.6</w:t>
      </w:r>
      <w:r>
        <w:rPr>
          <w:b/>
          <w:i w:val="0"/>
        </w:rPr>
        <w:t>, source pp. 16–17.</w:t>
      </w:r>
      <w:r>
        <w:rPr>
          <w:b w:val="0"/>
          <w:i w:val="0"/>
        </w:rPr>
        <w:t xml:space="preserve"> Articles: </w:t>
      </w:r>
      <w:hyperlink w:anchor="angel">
        <w:r>
          <w:rPr>
            <w:color w:val="000000"/>
          </w:rPr>
          <w:t xml:space="preserve">Angel</w:t>
        </w:r>
      </w:hyperlink>
      <w:r>
        <w:rPr>
          <w:b w:val="0"/>
          <w:i w:val="0"/>
        </w:rPr>
        <w:t xml:space="preserve">; </w:t>
      </w:r>
      <w:hyperlink w:anchor="ascent">
        <w:r>
          <w:rPr>
            <w:color w:val="000000"/>
          </w:rPr>
          <w:t xml:space="preserve">Ascent</w:t>
        </w:r>
      </w:hyperlink>
      <w:r>
        <w:rPr>
          <w:b w:val="0"/>
          <w:i w:val="0"/>
        </w:rPr>
        <w:t xml:space="preserve">; </w:t>
      </w:r>
      <w:hyperlink w:anchor="divinity-and-the-divine">
        <w:r>
          <w:rPr>
            <w:color w:val="000000"/>
          </w:rPr>
          <w:t xml:space="preserve">Divinity and the divine</w:t>
        </w:r>
      </w:hyperlink>
      <w:r>
        <w:rPr>
          <w:b w:val="0"/>
          <w:i w:val="0"/>
        </w:rPr>
        <w:t xml:space="preserve">; </w:t>
      </w:r>
      <w:hyperlink w:anchor="immortality">
        <w:r>
          <w:rPr>
            <w:color w:val="000000"/>
          </w:rPr>
          <w:t xml:space="preserve">Immortality</w:t>
        </w:r>
      </w:hyperlink>
      <w:r>
        <w:rPr>
          <w:b w:val="0"/>
          <w:i w:val="0"/>
        </w:rPr>
        <w:t xml:space="preserve">; </w:t>
      </w:r>
      <w:hyperlink w:anchor="light-and-illumination">
        <w:r>
          <w:rPr>
            <w:color w:val="000000"/>
          </w:rPr>
          <w:t xml:space="preserve">Light and illumination</w:t>
        </w:r>
      </w:hyperlink>
      <w:r>
        <w:rPr>
          <w:b w:val="0"/>
          <w:i w:val="0"/>
        </w:rPr>
        <w:t xml:space="preserve">; </w:t>
      </w:r>
      <w:hyperlink w:anchor="philosophers-and-stopping-points">
        <w:r>
          <w:rPr>
            <w:color w:val="000000"/>
          </w:rPr>
          <w:t xml:space="preserve">Philosophers and stopping points</w:t>
        </w:r>
      </w:hyperlink>
      <w:r>
        <w:rPr>
          <w:b w:val="0"/>
          <w:i w:val="0"/>
        </w:rPr>
        <w:t xml:space="preserve">; </w:t>
      </w:r>
      <w:hyperlink w:anchor="soul">
        <w:r>
          <w:rPr>
            <w:color w:val="000000"/>
          </w:rPr>
          <w:t xml:space="preserve">Soul</w:t>
        </w:r>
      </w:hyperlink>
      <w:r>
        <w:rPr>
          <w:b w:val="0"/>
          <w:i w:val="0"/>
        </w:rPr>
        <w:t xml:space="preserve">. Vocabulary: </w:t>
      </w:r>
      <w:hyperlink w:anchor="latin-record-0013">
        <w:r>
          <w:rPr>
            <w:color w:val="000000"/>
          </w:rPr>
          <w:t xml:space="preserve">acies / oculus mentis</w:t>
        </w:r>
      </w:hyperlink>
      <w:r>
        <w:rPr>
          <w:b w:val="0"/>
          <w:i w:val="0"/>
        </w:rPr>
        <w:t xml:space="preserve">; </w:t>
      </w:r>
      <w:hyperlink w:anchor="latin-record-0141">
        <w:r>
          <w:rPr>
            <w:color w:val="000000"/>
          </w:rPr>
          <w:t xml:space="preserve">capax / capio</w:t>
        </w:r>
      </w:hyperlink>
      <w:r>
        <w:rPr>
          <w:b w:val="0"/>
          <w:i w:val="0"/>
        </w:rPr>
        <w:t xml:space="preserve">; </w:t>
      </w:r>
      <w:hyperlink w:anchor="latin-record-0343">
        <w:r>
          <w:rPr>
            <w:color w:val="000000"/>
          </w:rPr>
          <w:t xml:space="preserve">diverto / dirigo</w:t>
        </w:r>
      </w:hyperlink>
      <w:r>
        <w:rPr>
          <w:b w:val="0"/>
          <w:i w:val="0"/>
        </w:rPr>
        <w:t xml:space="preserve">; </w:t>
      </w:r>
      <w:hyperlink w:anchor="latin-record-0802">
        <w:r>
          <w:rPr>
            <w:color w:val="000000"/>
          </w:rPr>
          <w:t xml:space="preserve">opto / cupio</w:t>
        </w:r>
      </w:hyperlink>
      <w:r>
        <w:rPr>
          <w:b w:val="0"/>
          <w:i w:val="0"/>
        </w:rPr>
        <w:t xml:space="preserve">; </w:t>
      </w:r>
      <w:hyperlink w:anchor="latin-record-0987">
        <w:r>
          <w:rPr>
            <w:color w:val="000000"/>
          </w:rPr>
          <w:t xml:space="preserve">purgo / serenus</w:t>
        </w:r>
      </w:hyperlink>
      <w:r>
        <w:rPr>
          <w:b w:val="0"/>
          <w:i w:val="0"/>
        </w:rPr>
        <w:t>.</w:t>
      </w:r>
    </w:p>
    <w:p>
      <w:pPr>
        <w:widowControl/>
      </w:pPr>
      <w:bookmarkStart w:id="1587" w:name="passage-i-1-7"/>
      <w:bookmarkEnd w:id="1587"/>
      <w:r>
        <w:rPr>
          <w:b/>
          <w:i w:val="0"/>
        </w:rPr>
        <w:t>I.1.7</w:t>
      </w:r>
      <w:r>
        <w:rPr>
          <w:b/>
          <w:i w:val="0"/>
        </w:rPr>
        <w:t>, source pp. 16–17.</w:t>
      </w:r>
      <w:r>
        <w:rPr>
          <w:b w:val="0"/>
          <w:i w:val="0"/>
        </w:rPr>
        <w:t xml:space="preserve"> Articles: </w:t>
      </w:r>
      <w:hyperlink w:anchor="angel">
        <w:r>
          <w:rPr>
            <w:color w:val="000000"/>
          </w:rPr>
          <w:t xml:space="preserve">Angel</w:t>
        </w:r>
      </w:hyperlink>
      <w:r>
        <w:rPr>
          <w:b w:val="0"/>
          <w:i w:val="0"/>
        </w:rPr>
        <w:t xml:space="preserve">; </w:t>
      </w:r>
      <w:hyperlink w:anchor="ascent">
        <w:r>
          <w:rPr>
            <w:color w:val="000000"/>
          </w:rPr>
          <w:t xml:space="preserve">Ascent</w:t>
        </w:r>
      </w:hyperlink>
      <w:r>
        <w:rPr>
          <w:b w:val="0"/>
          <w:i w:val="0"/>
        </w:rPr>
        <w:t xml:space="preserve">; </w:t>
      </w:r>
      <w:hyperlink w:anchor="blessedness">
        <w:r>
          <w:rPr>
            <w:color w:val="000000"/>
          </w:rPr>
          <w:t xml:space="preserve">Blessedness</w:t>
        </w:r>
      </w:hyperlink>
      <w:r>
        <w:rPr>
          <w:b w:val="0"/>
          <w:i w:val="0"/>
        </w:rPr>
        <w:t xml:space="preserve">; </w:t>
      </w:r>
      <w:hyperlink w:anchor="body-and-bulk">
        <w:r>
          <w:rPr>
            <w:color w:val="000000"/>
          </w:rPr>
          <w:t xml:space="preserve">Body and bulk</w:t>
        </w:r>
      </w:hyperlink>
      <w:r>
        <w:rPr>
          <w:b w:val="0"/>
          <w:i w:val="0"/>
        </w:rPr>
        <w:t xml:space="preserve">; </w:t>
      </w:r>
      <w:hyperlink w:anchor="bond-knot-and-chain">
        <w:r>
          <w:rPr>
            <w:color w:val="000000"/>
          </w:rPr>
          <w:t xml:space="preserve">Bond knot and chain</w:t>
        </w:r>
      </w:hyperlink>
      <w:r>
        <w:rPr>
          <w:b w:val="0"/>
          <w:i w:val="0"/>
        </w:rPr>
        <w:t xml:space="preserve">; </w:t>
      </w:r>
      <w:hyperlink w:anchor="comparing-resembling-and-equalling">
        <w:r>
          <w:rPr>
            <w:color w:val="000000"/>
          </w:rPr>
          <w:t xml:space="preserve">Comparing, resembling and equalling</w:t>
        </w:r>
      </w:hyperlink>
      <w:r>
        <w:rPr>
          <w:b w:val="0"/>
          <w:i w:val="0"/>
        </w:rPr>
        <w:t xml:space="preserve">; </w:t>
      </w:r>
      <w:hyperlink w:anchor="degree-and-mediation">
        <w:r>
          <w:rPr>
            <w:color w:val="000000"/>
          </w:rPr>
          <w:t xml:space="preserve">Degree and mediation</w:t>
        </w:r>
      </w:hyperlink>
      <w:r>
        <w:rPr>
          <w:b w:val="0"/>
          <w:i w:val="0"/>
        </w:rPr>
        <w:t xml:space="preserve">; </w:t>
      </w:r>
      <w:hyperlink w:anchor="divinity-and-the-divine">
        <w:r>
          <w:rPr>
            <w:color w:val="000000"/>
          </w:rPr>
          <w:t xml:space="preserve">Divinity and the divine</w:t>
        </w:r>
      </w:hyperlink>
      <w:r>
        <w:rPr>
          <w:b w:val="0"/>
          <w:i w:val="0"/>
        </w:rPr>
        <w:t xml:space="preserve">; </w:t>
      </w:r>
      <w:hyperlink w:anchor="god">
        <w:r>
          <w:rPr>
            <w:color w:val="000000"/>
          </w:rPr>
          <w:t xml:space="preserve">God</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immortality">
        <w:r>
          <w:rPr>
            <w:color w:val="000000"/>
          </w:rPr>
          <w:t xml:space="preserve">Immortality</w:t>
        </w:r>
      </w:hyperlink>
      <w:r>
        <w:rPr>
          <w:b w:val="0"/>
          <w:i w:val="0"/>
        </w:rPr>
        <w:t xml:space="preserve">; </w:t>
      </w:r>
      <w:hyperlink w:anchor="proof-signs-and-qualification">
        <w:r>
          <w:rPr>
            <w:color w:val="000000"/>
          </w:rPr>
          <w:t xml:space="preserve">Proof, signs and qualification</w:t>
        </w:r>
      </w:hyperlink>
      <w:r>
        <w:rPr>
          <w:b w:val="0"/>
          <w:i w:val="0"/>
        </w:rPr>
        <w:t xml:space="preserve">; </w:t>
      </w:r>
      <w:hyperlink w:anchor="reason-and-account">
        <w:r>
          <w:rPr>
            <w:color w:val="000000"/>
          </w:rPr>
          <w:t xml:space="preserve">Reason and account</w:t>
        </w:r>
      </w:hyperlink>
      <w:r>
        <w:rPr>
          <w:b w:val="0"/>
          <w:i w:val="0"/>
        </w:rPr>
        <w:t xml:space="preserve">; </w:t>
      </w:r>
      <w:hyperlink w:anchor="soul">
        <w:r>
          <w:rPr>
            <w:color w:val="000000"/>
          </w:rPr>
          <w:t xml:space="preserve">Soul</w:t>
        </w:r>
      </w:hyperlink>
      <w:r>
        <w:rPr>
          <w:b w:val="0"/>
          <w:i w:val="0"/>
        </w:rPr>
        <w:t xml:space="preserve">; </w:t>
      </w:r>
      <w:hyperlink w:anchor="world-and-universe">
        <w:r>
          <w:rPr>
            <w:color w:val="000000"/>
          </w:rPr>
          <w:t xml:space="preserve">World and universe</w:t>
        </w:r>
      </w:hyperlink>
      <w:r>
        <w:rPr>
          <w:b w:val="0"/>
          <w:i w:val="0"/>
        </w:rPr>
        <w:t xml:space="preserve">. Vocabulary: </w:t>
      </w:r>
      <w:hyperlink w:anchor="latin-record-0070">
        <w:r>
          <w:rPr>
            <w:color w:val="000000"/>
          </w:rPr>
          <w:t xml:space="preserve">anima rationalis</w:t>
        </w:r>
      </w:hyperlink>
      <w:r>
        <w:rPr>
          <w:b w:val="0"/>
          <w:i w:val="0"/>
        </w:rPr>
        <w:t xml:space="preserve">; </w:t>
      </w:r>
      <w:hyperlink w:anchor="latin-record-0083">
        <w:r>
          <w:rPr>
            <w:color w:val="000000"/>
          </w:rPr>
          <w:t xml:space="preserve">appareo / pateo</w:t>
        </w:r>
      </w:hyperlink>
      <w:r>
        <w:rPr>
          <w:b w:val="0"/>
          <w:i w:val="0"/>
        </w:rPr>
        <w:t xml:space="preserve">; </w:t>
      </w:r>
      <w:hyperlink w:anchor="latin-record-0101">
        <w:r>
          <w:rPr>
            <w:color w:val="000000"/>
          </w:rPr>
          <w:t xml:space="preserve">ascendo / gradus</w:t>
        </w:r>
      </w:hyperlink>
      <w:r>
        <w:rPr>
          <w:b w:val="0"/>
          <w:i w:val="0"/>
        </w:rPr>
        <w:t xml:space="preserve">; </w:t>
      </w:r>
      <w:hyperlink w:anchor="latin-record-0303">
        <w:r>
          <w:rPr>
            <w:color w:val="000000"/>
          </w:rPr>
          <w:t xml:space="preserve">demonstro / assevero</w:t>
        </w:r>
      </w:hyperlink>
      <w:r>
        <w:rPr>
          <w:b w:val="0"/>
          <w:i w:val="0"/>
        </w:rPr>
        <w:t xml:space="preserve">; </w:t>
      </w:r>
      <w:hyperlink w:anchor="latin-record-0556">
        <w:r>
          <w:rPr>
            <w:color w:val="000000"/>
          </w:rPr>
          <w:t xml:space="preserve">indissolubilis / dissolvo</w:t>
        </w:r>
      </w:hyperlink>
      <w:r>
        <w:rPr>
          <w:b w:val="0"/>
          <w:i w:val="0"/>
        </w:rPr>
        <w:t xml:space="preserve">; </w:t>
      </w:r>
      <w:hyperlink w:anchor="latin-record-0581">
        <w:r>
          <w:rPr>
            <w:color w:val="000000"/>
          </w:rPr>
          <w:t xml:space="preserve">insinuo</w:t>
        </w:r>
      </w:hyperlink>
      <w:r>
        <w:rPr>
          <w:b w:val="0"/>
          <w:i w:val="0"/>
        </w:rPr>
        <w:t xml:space="preserve">; </w:t>
      </w:r>
      <w:hyperlink w:anchor="latin-record-0658">
        <w:r>
          <w:rPr>
            <w:color w:val="000000"/>
          </w:rPr>
          <w:t xml:space="preserve">machina / praesideo</w:t>
        </w:r>
      </w:hyperlink>
      <w:r>
        <w:rPr>
          <w:b w:val="0"/>
          <w:i w:val="0"/>
        </w:rPr>
        <w:t xml:space="preserve">; </w:t>
      </w:r>
      <w:hyperlink w:anchor="latin-record-0787">
        <w:r>
          <w:rPr>
            <w:color w:val="000000"/>
          </w:rPr>
          <w:t xml:space="preserve">obtineo</w:t>
        </w:r>
      </w:hyperlink>
      <w:r>
        <w:rPr>
          <w:b w:val="0"/>
          <w:i w:val="0"/>
        </w:rPr>
        <w:t xml:space="preserve">; </w:t>
      </w:r>
      <w:hyperlink w:anchor="latin-record-1021">
        <w:r>
          <w:rPr>
            <w:color w:val="000000"/>
          </w:rPr>
          <w:t xml:space="preserve">ratio / argumentatio / signum</w:t>
        </w:r>
      </w:hyperlink>
      <w:r>
        <w:rPr>
          <w:b w:val="0"/>
          <w:i w:val="0"/>
        </w:rPr>
        <w:t xml:space="preserve">; </w:t>
      </w:r>
      <w:hyperlink w:anchor="latin-record-1119">
        <w:r>
          <w:rPr>
            <w:color w:val="000000"/>
          </w:rPr>
          <w:t xml:space="preserve">solutio quaestionum</w:t>
        </w:r>
      </w:hyperlink>
      <w:r>
        <w:rPr>
          <w:b w:val="0"/>
          <w:i w:val="0"/>
        </w:rPr>
        <w:t xml:space="preserve">; </w:t>
      </w:r>
      <w:hyperlink w:anchor="latin-record-1264">
        <w:r>
          <w:rPr>
            <w:color w:val="000000"/>
          </w:rPr>
          <w:t xml:space="preserve">vinculum / connecto</w:t>
        </w:r>
      </w:hyperlink>
      <w:r>
        <w:rPr>
          <w:b w:val="0"/>
          <w:i w:val="0"/>
        </w:rPr>
        <w:t>.</w:t>
      </w:r>
    </w:p>
    <w:p>
      <w:bookmarkStart w:id="1588" w:name="chapter-i.2"/>
      <w:pPr>
        <w:pStyle w:val="Heading2"/>
      </w:pPr>
      <w:r>
        <w:rPr>
          <w:b w:val="0"/>
          <w:i w:val="0"/>
        </w:rPr>
        <w:t>Chapter I.2</w:t>
      </w:r>
      <w:bookmarkEnd w:id="1588"/>
    </w:p>
    <w:p>
      <w:pPr>
        <w:widowControl/>
      </w:pPr>
      <w:bookmarkStart w:id="1589" w:name="passage-i-2-1"/>
      <w:bookmarkEnd w:id="1589"/>
      <w:r>
        <w:rPr>
          <w:b/>
          <w:i w:val="0"/>
        </w:rPr>
        <w:t>I.2.1</w:t>
      </w:r>
      <w:r>
        <w:rPr>
          <w:b/>
          <w:i w:val="0"/>
        </w:rPr>
        <w:t>, source pp. 18–19.</w:t>
      </w:r>
      <w:r>
        <w:rPr>
          <w:b w:val="0"/>
          <w:i w:val="0"/>
        </w:rPr>
        <w:t xml:space="preserve"> Articles: </w:t>
      </w:r>
      <w:hyperlink w:anchor="affection-and-passivity">
        <w:r>
          <w:rPr>
            <w:color w:val="000000"/>
          </w:rPr>
          <w:t xml:space="preserve">Affection and passivity</w:t>
        </w:r>
      </w:hyperlink>
      <w:r>
        <w:rPr>
          <w:b w:val="0"/>
          <w:i w:val="0"/>
        </w:rPr>
        <w:t xml:space="preserve">; </w:t>
      </w:r>
      <w:hyperlink w:anchor="art-and-nature">
        <w:r>
          <w:rPr>
            <w:color w:val="000000"/>
          </w:rPr>
          <w:t xml:space="preserve">Art and nature</w:t>
        </w:r>
      </w:hyperlink>
      <w:r>
        <w:rPr>
          <w:b w:val="0"/>
          <w:i w:val="0"/>
        </w:rPr>
        <w:t xml:space="preserve">; </w:t>
      </w:r>
      <w:hyperlink w:anchor="body-and-bulk">
        <w:r>
          <w:rPr>
            <w:color w:val="000000"/>
          </w:rPr>
          <w:t xml:space="preserve">Body and bulk</w:t>
        </w:r>
      </w:hyperlink>
      <w:r>
        <w:rPr>
          <w:b w:val="0"/>
          <w:i w:val="0"/>
        </w:rPr>
        <w:t xml:space="preserve">; </w:t>
      </w:r>
      <w:hyperlink w:anchor="matter">
        <w:r>
          <w:rPr>
            <w:color w:val="000000"/>
          </w:rPr>
          <w:t xml:space="preserve">Matter</w:t>
        </w:r>
      </w:hyperlink>
      <w:r>
        <w:rPr>
          <w:b w:val="0"/>
          <w:i w:val="0"/>
        </w:rPr>
        <w:t xml:space="preserve">; </w:t>
      </w:r>
      <w:hyperlink w:anchor="quantity-and-dimension">
        <w:r>
          <w:rPr>
            <w:color w:val="000000"/>
          </w:rPr>
          <w:t xml:space="preserve">Quantity and dimension</w:t>
        </w:r>
      </w:hyperlink>
      <w:r>
        <w:rPr>
          <w:b w:val="0"/>
          <w:i w:val="0"/>
        </w:rPr>
        <w:t xml:space="preserve">. Vocabulary: </w:t>
      </w:r>
      <w:hyperlink w:anchor="latin-record-0039">
        <w:r>
          <w:rPr>
            <w:color w:val="000000"/>
          </w:rPr>
          <w:t xml:space="preserve">afficio / affectio / passio</w:t>
        </w:r>
      </w:hyperlink>
      <w:r>
        <w:rPr>
          <w:b w:val="0"/>
          <w:i w:val="0"/>
        </w:rPr>
        <w:t xml:space="preserve">; </w:t>
      </w:r>
      <w:hyperlink w:anchor="latin-record-0413">
        <w:r>
          <w:rPr>
            <w:color w:val="000000"/>
          </w:rPr>
          <w:t xml:space="preserve">extendo / extensio</w:t>
        </w:r>
      </w:hyperlink>
      <w:r>
        <w:rPr>
          <w:b w:val="0"/>
          <w:i w:val="0"/>
        </w:rPr>
        <w:t xml:space="preserve">; </w:t>
      </w:r>
      <w:hyperlink w:anchor="latin-record-0444">
        <w:r>
          <w:rPr>
            <w:color w:val="000000"/>
          </w:rPr>
          <w:t xml:space="preserve">fieri / constare</w:t>
        </w:r>
      </w:hyperlink>
      <w:r>
        <w:rPr>
          <w:b w:val="0"/>
          <w:i w:val="0"/>
        </w:rPr>
        <w:t xml:space="preserve">; </w:t>
      </w:r>
      <w:hyperlink w:anchor="latin-record-0674">
        <w:r>
          <w:rPr>
            <w:color w:val="000000"/>
          </w:rPr>
          <w:t xml:space="preserve">materia / quantitas</w:t>
        </w:r>
      </w:hyperlink>
      <w:r>
        <w:rPr>
          <w:b w:val="0"/>
          <w:i w:val="0"/>
        </w:rPr>
        <w:t xml:space="preserve">; </w:t>
      </w:r>
      <w:hyperlink w:anchor="latin-record-0997">
        <w:r>
          <w:rPr>
            <w:color w:val="000000"/>
          </w:rPr>
          <w:t xml:space="preserve">qua ratione / quantum / quatenus</w:t>
        </w:r>
      </w:hyperlink>
      <w:r>
        <w:rPr>
          <w:b w:val="0"/>
          <w:i w:val="0"/>
        </w:rPr>
        <w:t xml:space="preserve">; </w:t>
      </w:r>
      <w:hyperlink w:anchor="latin-record-1011">
        <w:r>
          <w:rPr>
            <w:color w:val="000000"/>
          </w:rPr>
          <w:t xml:space="preserve">quatenus corpus</w:t>
        </w:r>
      </w:hyperlink>
      <w:r>
        <w:rPr>
          <w:b w:val="0"/>
          <w:i w:val="0"/>
        </w:rPr>
        <w:t>.</w:t>
      </w:r>
    </w:p>
    <w:p>
      <w:pPr>
        <w:widowControl/>
      </w:pPr>
      <w:bookmarkStart w:id="1590" w:name="passage-i-2-2"/>
      <w:bookmarkEnd w:id="1590"/>
      <w:r>
        <w:rPr>
          <w:b/>
          <w:i w:val="0"/>
        </w:rPr>
        <w:t>I.2.2</w:t>
      </w:r>
      <w:r>
        <w:rPr>
          <w:b/>
          <w:i w:val="0"/>
        </w:rPr>
        <w:t>, source pp. 18–19.</w:t>
      </w:r>
      <w:r>
        <w:rPr>
          <w:b w:val="0"/>
          <w:i w:val="0"/>
        </w:rPr>
        <w:t xml:space="preserve"> Articles: </w:t>
      </w:r>
      <w:hyperlink w:anchor="affection-and-passivity">
        <w:r>
          <w:rPr>
            <w:color w:val="000000"/>
          </w:rPr>
          <w:t xml:space="preserve">Affection and passivity</w:t>
        </w:r>
      </w:hyperlink>
      <w:r>
        <w:rPr>
          <w:b w:val="0"/>
          <w:i w:val="0"/>
        </w:rPr>
        <w:t xml:space="preserve">; </w:t>
      </w:r>
      <w:hyperlink w:anchor="art-and-nature">
        <w:r>
          <w:rPr>
            <w:color w:val="000000"/>
          </w:rPr>
          <w:t xml:space="preserve">Art and nature</w:t>
        </w:r>
      </w:hyperlink>
      <w:r>
        <w:rPr>
          <w:b w:val="0"/>
          <w:i w:val="0"/>
        </w:rPr>
        <w:t xml:space="preserve">; </w:t>
      </w:r>
      <w:hyperlink w:anchor="body-and-bulk">
        <w:r>
          <w:rPr>
            <w:color w:val="000000"/>
          </w:rPr>
          <w:t xml:space="preserve">Body and bulk</w:t>
        </w:r>
      </w:hyperlink>
      <w:r>
        <w:rPr>
          <w:b w:val="0"/>
          <w:i w:val="0"/>
        </w:rPr>
        <w:t xml:space="preserve">; </w:t>
      </w:r>
      <w:hyperlink w:anchor="dispersion-and-concentration">
        <w:r>
          <w:rPr>
            <w:color w:val="000000"/>
          </w:rPr>
          <w:t xml:space="preserve">Dispersion and concentration</w:t>
        </w:r>
      </w:hyperlink>
      <w:r>
        <w:rPr>
          <w:b w:val="0"/>
          <w:i w:val="0"/>
        </w:rPr>
        <w:t xml:space="preserve">; </w:t>
      </w:r>
      <w:hyperlink w:anchor="fire-spark-lightning-and-cannon">
        <w:r>
          <w:rPr>
            <w:color w:val="000000"/>
          </w:rPr>
          <w:t xml:space="preserve">Fire, spark, lightning and cannon</w:t>
        </w:r>
      </w:hyperlink>
      <w:r>
        <w:rPr>
          <w:b w:val="0"/>
          <w:i w:val="0"/>
        </w:rPr>
        <w:t xml:space="preserve">; </w:t>
      </w:r>
      <w:hyperlink w:anchor="power-and-potency">
        <w:r>
          <w:rPr>
            <w:color w:val="000000"/>
          </w:rPr>
          <w:t xml:space="preserve">Power and potency</w:t>
        </w:r>
      </w:hyperlink>
      <w:r>
        <w:rPr>
          <w:b w:val="0"/>
          <w:i w:val="0"/>
        </w:rPr>
        <w:t xml:space="preserve">; </w:t>
      </w:r>
      <w:hyperlink w:anchor="quantity-and-dimension">
        <w:r>
          <w:rPr>
            <w:color w:val="000000"/>
          </w:rPr>
          <w:t xml:space="preserve">Quantity and dimension</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41">
        <w:r>
          <w:rPr>
            <w:color w:val="000000"/>
          </w:rPr>
          <w:t xml:space="preserve">agens / patiens</w:t>
        </w:r>
      </w:hyperlink>
      <w:r>
        <w:rPr>
          <w:b w:val="0"/>
          <w:i w:val="0"/>
        </w:rPr>
        <w:t xml:space="preserve">; </w:t>
      </w:r>
      <w:hyperlink w:anchor="latin-record-0083">
        <w:r>
          <w:rPr>
            <w:color w:val="000000"/>
          </w:rPr>
          <w:t xml:space="preserve">appareo / pateo</w:t>
        </w:r>
      </w:hyperlink>
      <w:r>
        <w:rPr>
          <w:b w:val="0"/>
          <w:i w:val="0"/>
        </w:rPr>
        <w:t xml:space="preserve">; </w:t>
      </w:r>
      <w:hyperlink w:anchor="latin-record-0134">
        <w:r>
          <w:rPr>
            <w:color w:val="000000"/>
          </w:rPr>
          <w:t xml:space="preserve">calor / frigus</w:t>
        </w:r>
      </w:hyperlink>
      <w:r>
        <w:rPr>
          <w:b w:val="0"/>
          <w:i w:val="0"/>
        </w:rPr>
        <w:t xml:space="preserve">; </w:t>
      </w:r>
      <w:hyperlink w:anchor="latin-record-0172">
        <w:r>
          <w:rPr>
            <w:color w:val="000000"/>
          </w:rPr>
          <w:t xml:space="preserve">coarcto / rarefacio</w:t>
        </w:r>
      </w:hyperlink>
      <w:r>
        <w:rPr>
          <w:b w:val="0"/>
          <w:i w:val="0"/>
        </w:rPr>
        <w:t xml:space="preserve">; </w:t>
      </w:r>
      <w:hyperlink w:anchor="latin-record-0194">
        <w:r>
          <w:rPr>
            <w:color w:val="000000"/>
          </w:rPr>
          <w:t xml:space="preserve">commigro</w:t>
        </w:r>
      </w:hyperlink>
      <w:r>
        <w:rPr>
          <w:b w:val="0"/>
          <w:i w:val="0"/>
        </w:rPr>
        <w:t xml:space="preserve">; </w:t>
      </w:r>
      <w:hyperlink w:anchor="latin-record-0333">
        <w:r>
          <w:rPr>
            <w:color w:val="000000"/>
          </w:rPr>
          <w:t xml:space="preserve">dispergo / distractio</w:t>
        </w:r>
      </w:hyperlink>
      <w:r>
        <w:rPr>
          <w:b w:val="0"/>
          <w:i w:val="0"/>
        </w:rPr>
        <w:t xml:space="preserve">; </w:t>
      </w:r>
      <w:hyperlink w:anchor="latin-record-0403">
        <w:r>
          <w:rPr>
            <w:color w:val="000000"/>
          </w:rPr>
          <w:t xml:space="preserve">exigo / condicio</w:t>
        </w:r>
      </w:hyperlink>
      <w:r>
        <w:rPr>
          <w:b w:val="0"/>
          <w:i w:val="0"/>
        </w:rPr>
        <w:t xml:space="preserve">; </w:t>
      </w:r>
      <w:hyperlink w:anchor="latin-record-0534">
        <w:r>
          <w:rPr>
            <w:color w:val="000000"/>
          </w:rPr>
          <w:t xml:space="preserve">impedimentum / impedio</w:t>
        </w:r>
      </w:hyperlink>
      <w:r>
        <w:rPr>
          <w:b w:val="0"/>
          <w:i w:val="0"/>
        </w:rPr>
        <w:t xml:space="preserve">; </w:t>
      </w:r>
      <w:hyperlink w:anchor="latin-record-0542">
        <w:r>
          <w:rPr>
            <w:color w:val="000000"/>
          </w:rPr>
          <w:t xml:space="preserve">impleo / prohibeo</w:t>
        </w:r>
      </w:hyperlink>
      <w:r>
        <w:rPr>
          <w:b w:val="0"/>
          <w:i w:val="0"/>
        </w:rPr>
        <w:t xml:space="preserve">; </w:t>
      </w:r>
      <w:hyperlink w:anchor="latin-record-0637">
        <w:r>
          <w:rPr>
            <w:color w:val="000000"/>
          </w:rPr>
          <w:t xml:space="preserve">levitas / gravitas</w:t>
        </w:r>
      </w:hyperlink>
      <w:r>
        <w:rPr>
          <w:b w:val="0"/>
          <w:i w:val="0"/>
        </w:rPr>
        <w:t xml:space="preserve">; </w:t>
      </w:r>
      <w:hyperlink w:anchor="latin-record-0643">
        <w:r>
          <w:rPr>
            <w:color w:val="000000"/>
          </w:rPr>
          <w:t xml:space="preserve">lignum / acutus / latus</w:t>
        </w:r>
      </w:hyperlink>
      <w:r>
        <w:rPr>
          <w:b w:val="0"/>
          <w:i w:val="0"/>
        </w:rPr>
        <w:t xml:space="preserve">; </w:t>
      </w:r>
      <w:hyperlink w:anchor="latin-record-0647">
        <w:r>
          <w:rPr>
            <w:color w:val="000000"/>
          </w:rPr>
          <w:t xml:space="preserve">locus / spatium</w:t>
        </w:r>
      </w:hyperlink>
      <w:r>
        <w:rPr>
          <w:b w:val="0"/>
          <w:i w:val="0"/>
        </w:rPr>
        <w:t xml:space="preserve">; </w:t>
      </w:r>
      <w:hyperlink w:anchor="latin-record-0701">
        <w:r>
          <w:rPr>
            <w:color w:val="000000"/>
          </w:rPr>
          <w:t xml:space="preserve">minuo / debilito</w:t>
        </w:r>
      </w:hyperlink>
      <w:r>
        <w:rPr>
          <w:b w:val="0"/>
          <w:i w:val="0"/>
        </w:rPr>
        <w:t xml:space="preserve">; </w:t>
      </w:r>
      <w:hyperlink w:anchor="latin-record-0709">
        <w:r>
          <w:rPr>
            <w:color w:val="000000"/>
          </w:rPr>
          <w:t xml:space="preserve">moles / piger</w:t>
        </w:r>
      </w:hyperlink>
      <w:r>
        <w:rPr>
          <w:b w:val="0"/>
          <w:i w:val="0"/>
        </w:rPr>
        <w:t xml:space="preserve">; </w:t>
      </w:r>
      <w:hyperlink w:anchor="latin-record-0849">
        <w:r>
          <w:rPr>
            <w:color w:val="000000"/>
          </w:rPr>
          <w:t xml:space="preserve">penetro / penetratio</w:t>
        </w:r>
      </w:hyperlink>
      <w:r>
        <w:rPr>
          <w:b w:val="0"/>
          <w:i w:val="0"/>
        </w:rPr>
        <w:t xml:space="preserve">; </w:t>
      </w:r>
      <w:hyperlink w:anchor="latin-record-0951">
        <w:r>
          <w:rPr>
            <w:color w:val="000000"/>
          </w:rPr>
          <w:t xml:space="preserve">promptus / agilis</w:t>
        </w:r>
      </w:hyperlink>
      <w:r>
        <w:rPr>
          <w:b w:val="0"/>
          <w:i w:val="0"/>
        </w:rPr>
        <w:t xml:space="preserve">; </w:t>
      </w:r>
      <w:hyperlink w:anchor="latin-record-0954">
        <w:r>
          <w:rPr>
            <w:color w:val="000000"/>
          </w:rPr>
          <w:t xml:space="preserve">prope / disto</w:t>
        </w:r>
      </w:hyperlink>
      <w:r>
        <w:rPr>
          <w:b w:val="0"/>
          <w:i w:val="0"/>
        </w:rPr>
        <w:t xml:space="preserve">; </w:t>
      </w:r>
      <w:hyperlink w:anchor="latin-record-1057">
        <w:r>
          <w:rPr>
            <w:color w:val="000000"/>
          </w:rPr>
          <w:t xml:space="preserve">retardo / differo</w:t>
        </w:r>
      </w:hyperlink>
      <w:r>
        <w:rPr>
          <w:b w:val="0"/>
          <w:i w:val="0"/>
        </w:rPr>
        <w:t xml:space="preserve">; </w:t>
      </w:r>
      <w:hyperlink w:anchor="latin-record-1073">
        <w:r>
          <w:rPr>
            <w:color w:val="000000"/>
          </w:rPr>
          <w:t xml:space="preserve">scintilla / flamma</w:t>
        </w:r>
      </w:hyperlink>
      <w:r>
        <w:rPr>
          <w:b w:val="0"/>
          <w:i w:val="0"/>
        </w:rPr>
        <w:t xml:space="preserve">; </w:t>
      </w:r>
      <w:hyperlink w:anchor="latin-record-1103">
        <w:r>
          <w:rPr>
            <w:color w:val="000000"/>
          </w:rPr>
          <w:t xml:space="preserve">siccitas / humiditas</w:t>
        </w:r>
      </w:hyperlink>
      <w:r>
        <w:rPr>
          <w:b w:val="0"/>
          <w:i w:val="0"/>
        </w:rPr>
        <w:t xml:space="preserve">; </w:t>
      </w:r>
      <w:hyperlink w:anchor="latin-record-1116">
        <w:r>
          <w:rPr>
            <w:color w:val="000000"/>
          </w:rPr>
          <w:t xml:space="preserve">soliditas / densitas / crassitudo</w:t>
        </w:r>
      </w:hyperlink>
      <w:r>
        <w:rPr>
          <w:b w:val="0"/>
          <w:i w:val="0"/>
        </w:rPr>
        <w:t xml:space="preserve">; </w:t>
      </w:r>
      <w:hyperlink w:anchor="latin-record-1176">
        <w:r>
          <w:rPr>
            <w:color w:val="000000"/>
          </w:rPr>
          <w:t xml:space="preserve">sursum / deorsum</w:t>
        </w:r>
      </w:hyperlink>
      <w:r>
        <w:rPr>
          <w:b w:val="0"/>
          <w:i w:val="0"/>
        </w:rPr>
        <w:t xml:space="preserve">; </w:t>
      </w:r>
      <w:hyperlink w:anchor="latin-record-1201">
        <w:r>
          <w:rPr>
            <w:color w:val="000000"/>
          </w:rPr>
          <w:t xml:space="preserve">tollo / traho / transfero</w:t>
        </w:r>
      </w:hyperlink>
      <w:r>
        <w:rPr>
          <w:b w:val="0"/>
          <w:i w:val="0"/>
        </w:rPr>
        <w:t xml:space="preserve">; </w:t>
      </w:r>
      <w:hyperlink w:anchor="latin-record-1219">
        <w:r>
          <w:rPr>
            <w:color w:val="000000"/>
          </w:rPr>
          <w:t xml:space="preserve">unio / augeo</w:t>
        </w:r>
      </w:hyperlink>
      <w:r>
        <w:rPr>
          <w:b w:val="0"/>
          <w:i w:val="0"/>
        </w:rPr>
        <w:t>.</w:t>
      </w:r>
    </w:p>
    <w:p>
      <w:pPr>
        <w:widowControl/>
      </w:pPr>
      <w:bookmarkStart w:id="1591" w:name="passage-i-2-3"/>
      <w:bookmarkEnd w:id="1591"/>
      <w:r>
        <w:rPr>
          <w:b/>
          <w:i w:val="0"/>
        </w:rPr>
        <w:t>I.2.3</w:t>
      </w:r>
      <w:r>
        <w:rPr>
          <w:b/>
          <w:i w:val="0"/>
        </w:rPr>
        <w:t>, source pp. 20–21.</w:t>
      </w:r>
      <w:r>
        <w:rPr>
          <w:b w:val="0"/>
          <w:i w:val="0"/>
        </w:rPr>
        <w:t xml:space="preserve"> Articles: </w:t>
      </w:r>
      <w:hyperlink w:anchor="affection-and-passivity">
        <w:r>
          <w:rPr>
            <w:color w:val="000000"/>
          </w:rPr>
          <w:t xml:space="preserve">Affection and passivity</w:t>
        </w:r>
      </w:hyperlink>
      <w:r>
        <w:rPr>
          <w:b w:val="0"/>
          <w:i w:val="0"/>
        </w:rPr>
        <w:t xml:space="preserve">; </w:t>
      </w:r>
      <w:hyperlink w:anchor="art-and-nature">
        <w:r>
          <w:rPr>
            <w:color w:val="000000"/>
          </w:rPr>
          <w:t xml:space="preserve">Art and nature</w:t>
        </w:r>
      </w:hyperlink>
      <w:r>
        <w:rPr>
          <w:b w:val="0"/>
          <w:i w:val="0"/>
        </w:rPr>
        <w:t xml:space="preserve">; </w:t>
      </w:r>
      <w:hyperlink w:anchor="body-and-bulk">
        <w:r>
          <w:rPr>
            <w:color w:val="000000"/>
          </w:rPr>
          <w:t xml:space="preserve">Body and bulk</w:t>
        </w:r>
      </w:hyperlink>
      <w:r>
        <w:rPr>
          <w:b w:val="0"/>
          <w:i w:val="0"/>
        </w:rPr>
        <w:t xml:space="preserve">; </w:t>
      </w:r>
      <w:hyperlink w:anchor="dispersion-and-concentration">
        <w:r>
          <w:rPr>
            <w:color w:val="000000"/>
          </w:rPr>
          <w:t xml:space="preserve">Dispersion and concentration</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power-and-potency">
        <w:r>
          <w:rPr>
            <w:color w:val="000000"/>
          </w:rPr>
          <w:t xml:space="preserve">Power and potency</w:t>
        </w:r>
      </w:hyperlink>
      <w:r>
        <w:rPr>
          <w:b w:val="0"/>
          <w:i w:val="0"/>
        </w:rPr>
        <w:t xml:space="preserve">; </w:t>
      </w:r>
      <w:hyperlink w:anchor="quantity-and-dimension">
        <w:r>
          <w:rPr>
            <w:color w:val="000000"/>
          </w:rPr>
          <w:t xml:space="preserve">Quantity and dimension</w:t>
        </w:r>
      </w:hyperlink>
      <w:r>
        <w:rPr>
          <w:b w:val="0"/>
          <w:i w:val="0"/>
        </w:rPr>
        <w:t xml:space="preserve">. Vocabulary: </w:t>
      </w:r>
      <w:hyperlink w:anchor="latin-record-0129">
        <w:r>
          <w:rPr>
            <w:color w:val="000000"/>
          </w:rPr>
          <w:t xml:space="preserve">brevitas / raritas</w:t>
        </w:r>
      </w:hyperlink>
      <w:r>
        <w:rPr>
          <w:b w:val="0"/>
          <w:i w:val="0"/>
        </w:rPr>
        <w:t xml:space="preserve">; </w:t>
      </w:r>
      <w:hyperlink w:anchor="latin-record-0403">
        <w:r>
          <w:rPr>
            <w:color w:val="000000"/>
          </w:rPr>
          <w:t xml:space="preserve">exigo / condicio</w:t>
        </w:r>
      </w:hyperlink>
      <w:r>
        <w:rPr>
          <w:b w:val="0"/>
          <w:i w:val="0"/>
        </w:rPr>
        <w:t xml:space="preserve">; </w:t>
      </w:r>
      <w:hyperlink w:anchor="latin-record-0849">
        <w:r>
          <w:rPr>
            <w:color w:val="000000"/>
          </w:rPr>
          <w:t xml:space="preserve">penetro / penetratio</w:t>
        </w:r>
      </w:hyperlink>
      <w:r>
        <w:rPr>
          <w:b w:val="0"/>
          <w:i w:val="0"/>
        </w:rPr>
        <w:t>.</w:t>
      </w:r>
    </w:p>
    <w:p>
      <w:pPr>
        <w:widowControl/>
      </w:pPr>
      <w:bookmarkStart w:id="1592" w:name="passage-i-2-4"/>
      <w:bookmarkEnd w:id="1592"/>
      <w:r>
        <w:rPr>
          <w:b/>
          <w:i w:val="0"/>
        </w:rPr>
        <w:t>I.2.4</w:t>
      </w:r>
      <w:r>
        <w:rPr>
          <w:b/>
          <w:i w:val="0"/>
        </w:rPr>
        <w:t>, source pp. 20–21.</w:t>
      </w:r>
      <w:r>
        <w:rPr>
          <w:b w:val="0"/>
          <w:i w:val="0"/>
        </w:rPr>
        <w:t xml:space="preserve"> Articles: </w:t>
      </w:r>
      <w:hyperlink w:anchor="affection-and-passivity">
        <w:r>
          <w:rPr>
            <w:color w:val="000000"/>
          </w:rPr>
          <w:t xml:space="preserve">Affection and passivity</w:t>
        </w:r>
      </w:hyperlink>
      <w:r>
        <w:rPr>
          <w:b w:val="0"/>
          <w:i w:val="0"/>
        </w:rPr>
        <w:t xml:space="preserve">; </w:t>
      </w:r>
      <w:hyperlink w:anchor="art-and-nature">
        <w:r>
          <w:rPr>
            <w:color w:val="000000"/>
          </w:rPr>
          <w:t xml:space="preserve">Art and nature</w:t>
        </w:r>
      </w:hyperlink>
      <w:r>
        <w:rPr>
          <w:b w:val="0"/>
          <w:i w:val="0"/>
        </w:rPr>
        <w:t xml:space="preserve">; </w:t>
      </w:r>
      <w:hyperlink w:anchor="body-and-bulk">
        <w:r>
          <w:rPr>
            <w:color w:val="000000"/>
          </w:rPr>
          <w:t xml:space="preserve">Body and bulk</w:t>
        </w:r>
      </w:hyperlink>
      <w:r>
        <w:rPr>
          <w:b w:val="0"/>
          <w:i w:val="0"/>
        </w:rPr>
        <w:t xml:space="preserve">; </w:t>
      </w:r>
      <w:hyperlink w:anchor="dispersion-and-concentration">
        <w:r>
          <w:rPr>
            <w:color w:val="000000"/>
          </w:rPr>
          <w:t xml:space="preserve">Dispersion and concentration</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power-and-potency">
        <w:r>
          <w:rPr>
            <w:color w:val="000000"/>
          </w:rPr>
          <w:t xml:space="preserve">Power and potency</w:t>
        </w:r>
      </w:hyperlink>
      <w:r>
        <w:rPr>
          <w:b w:val="0"/>
          <w:i w:val="0"/>
        </w:rPr>
        <w:t xml:space="preserve">; </w:t>
      </w:r>
      <w:hyperlink w:anchor="quantity-and-dimension">
        <w:r>
          <w:rPr>
            <w:color w:val="000000"/>
          </w:rPr>
          <w:t xml:space="preserve">Quantity and dimension</w:t>
        </w:r>
      </w:hyperlink>
      <w:r>
        <w:rPr>
          <w:b w:val="0"/>
          <w:i w:val="0"/>
        </w:rPr>
        <w:t xml:space="preserve">. Vocabulary: </w:t>
      </w:r>
      <w:hyperlink w:anchor="latin-record-0041">
        <w:r>
          <w:rPr>
            <w:color w:val="000000"/>
          </w:rPr>
          <w:t xml:space="preserve">agens / patiens</w:t>
        </w:r>
      </w:hyperlink>
      <w:r>
        <w:rPr>
          <w:b w:val="0"/>
          <w:i w:val="0"/>
        </w:rPr>
        <w:t xml:space="preserve">; </w:t>
      </w:r>
      <w:hyperlink w:anchor="latin-record-0647">
        <w:r>
          <w:rPr>
            <w:color w:val="000000"/>
          </w:rPr>
          <w:t xml:space="preserve">locus / spatium</w:t>
        </w:r>
      </w:hyperlink>
      <w:r>
        <w:rPr>
          <w:b w:val="0"/>
          <w:i w:val="0"/>
        </w:rPr>
        <w:t xml:space="preserve">; </w:t>
      </w:r>
      <w:hyperlink w:anchor="latin-record-0842">
        <w:r>
          <w:rPr>
            <w:color w:val="000000"/>
          </w:rPr>
          <w:t xml:space="preserve">paulatim / subito / sero</w:t>
        </w:r>
      </w:hyperlink>
      <w:r>
        <w:rPr>
          <w:b w:val="0"/>
          <w:i w:val="0"/>
        </w:rPr>
        <w:t xml:space="preserve">; </w:t>
      </w:r>
      <w:hyperlink w:anchor="latin-record-1040">
        <w:r>
          <w:rPr>
            <w:color w:val="000000"/>
          </w:rPr>
          <w:t xml:space="preserve">remissior / vehemens</w:t>
        </w:r>
      </w:hyperlink>
      <w:r>
        <w:rPr>
          <w:b w:val="0"/>
          <w:i w:val="0"/>
        </w:rPr>
        <w:t xml:space="preserve">; </w:t>
      </w:r>
      <w:hyperlink w:anchor="latin-record-1057">
        <w:r>
          <w:rPr>
            <w:color w:val="000000"/>
          </w:rPr>
          <w:t xml:space="preserve">retardo / differo</w:t>
        </w:r>
      </w:hyperlink>
      <w:r>
        <w:rPr>
          <w:b w:val="0"/>
          <w:i w:val="0"/>
        </w:rPr>
        <w:t xml:space="preserve">; </w:t>
      </w:r>
      <w:hyperlink w:anchor="latin-record-1209">
        <w:r>
          <w:rPr>
            <w:color w:val="000000"/>
          </w:rPr>
          <w:t xml:space="preserve">transigo / perago / consummation</w:t>
        </w:r>
      </w:hyperlink>
      <w:r>
        <w:rPr>
          <w:b w:val="0"/>
          <w:i w:val="0"/>
        </w:rPr>
        <w:t>.</w:t>
      </w:r>
    </w:p>
    <w:p>
      <w:pPr>
        <w:widowControl/>
      </w:pPr>
      <w:bookmarkStart w:id="1593" w:name="passage-i-2-5"/>
      <w:bookmarkEnd w:id="1593"/>
      <w:r>
        <w:rPr>
          <w:b/>
          <w:i w:val="0"/>
        </w:rPr>
        <w:t>I.2.5</w:t>
      </w:r>
      <w:r>
        <w:rPr>
          <w:b/>
          <w:i w:val="0"/>
        </w:rPr>
        <w:t>, source pp. 20–21.</w:t>
      </w:r>
      <w:r>
        <w:rPr>
          <w:b w:val="0"/>
          <w:i w:val="0"/>
        </w:rPr>
        <w:t xml:space="preserve"> Articles: </w:t>
      </w:r>
      <w:hyperlink w:anchor="art-and-nature">
        <w:r>
          <w:rPr>
            <w:color w:val="000000"/>
          </w:rPr>
          <w:t xml:space="preserve">Art and nature</w:t>
        </w:r>
      </w:hyperlink>
      <w:r>
        <w:rPr>
          <w:b w:val="0"/>
          <w:i w:val="0"/>
        </w:rPr>
        <w:t xml:space="preserve">; </w:t>
      </w:r>
      <w:hyperlink w:anchor="body-and-bulk">
        <w:r>
          <w:rPr>
            <w:color w:val="000000"/>
          </w:rPr>
          <w:t xml:space="preserve">Body and bulk</w:t>
        </w:r>
      </w:hyperlink>
      <w:r>
        <w:rPr>
          <w:b w:val="0"/>
          <w:i w:val="0"/>
        </w:rPr>
        <w:t xml:space="preserve">; </w:t>
      </w:r>
      <w:hyperlink w:anchor="fire-spark-lightning-and-cannon">
        <w:r>
          <w:rPr>
            <w:color w:val="000000"/>
          </w:rPr>
          <w:t xml:space="preserve">Fire, spark, lightning and cannon</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light-and-illumination">
        <w:r>
          <w:rPr>
            <w:color w:val="000000"/>
          </w:rPr>
          <w:t xml:space="preserve">Light and illumination</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363">
        <w:r>
          <w:rPr>
            <w:color w:val="000000"/>
          </w:rPr>
          <w:t xml:space="preserve">efficax / efficacia</w:t>
        </w:r>
      </w:hyperlink>
      <w:r>
        <w:rPr>
          <w:b w:val="0"/>
          <w:i w:val="0"/>
        </w:rPr>
        <w:t xml:space="preserve">; </w:t>
      </w:r>
      <w:hyperlink w:anchor="latin-record-0478">
        <w:r>
          <w:rPr>
            <w:color w:val="000000"/>
          </w:rPr>
          <w:t xml:space="preserve">fulgur / bombarda</w:t>
        </w:r>
      </w:hyperlink>
      <w:r>
        <w:rPr>
          <w:b w:val="0"/>
          <w:i w:val="0"/>
        </w:rPr>
        <w:t xml:space="preserve">; </w:t>
      </w:r>
      <w:hyperlink w:anchor="latin-record-0522">
        <w:r>
          <w:rPr>
            <w:color w:val="000000"/>
          </w:rPr>
          <w:t xml:space="preserve">ignis / tenuis</w:t>
        </w:r>
      </w:hyperlink>
      <w:r>
        <w:rPr>
          <w:b w:val="0"/>
          <w:i w:val="0"/>
        </w:rPr>
        <w:t xml:space="preserve">; </w:t>
      </w:r>
      <w:hyperlink w:anchor="latin-record-0704">
        <w:r>
          <w:rPr>
            <w:color w:val="000000"/>
          </w:rPr>
          <w:t xml:space="preserve">mirus / mirabilis / mirabiliter</w:t>
        </w:r>
      </w:hyperlink>
      <w:r>
        <w:rPr>
          <w:b w:val="0"/>
          <w:i w:val="0"/>
        </w:rPr>
        <w:t xml:space="preserve">; </w:t>
      </w:r>
      <w:hyperlink w:anchor="latin-record-0841">
        <w:r>
          <w:rPr>
            <w:color w:val="000000"/>
          </w:rPr>
          <w:t xml:space="preserve">pati / patior</w:t>
        </w:r>
      </w:hyperlink>
      <w:r>
        <w:rPr>
          <w:b w:val="0"/>
          <w:i w:val="0"/>
        </w:rPr>
        <w:t xml:space="preserve">; </w:t>
      </w:r>
      <w:hyperlink w:anchor="latin-record-0888">
        <w:r>
          <w:rPr>
            <w:color w:val="000000"/>
          </w:rPr>
          <w:t xml:space="preserve">pondus / lapis</w:t>
        </w:r>
      </w:hyperlink>
      <w:r>
        <w:rPr>
          <w:b w:val="0"/>
          <w:i w:val="0"/>
        </w:rPr>
        <w:t xml:space="preserve">; </w:t>
      </w:r>
      <w:hyperlink w:anchor="latin-record-0955">
        <w:r>
          <w:rPr>
            <w:color w:val="000000"/>
          </w:rPr>
          <w:t xml:space="preserve">propinquo / propinquus</w:t>
        </w:r>
      </w:hyperlink>
      <w:r>
        <w:rPr>
          <w:b w:val="0"/>
          <w:i w:val="0"/>
        </w:rPr>
        <w:t xml:space="preserve">; </w:t>
      </w:r>
      <w:hyperlink w:anchor="latin-record-1073">
        <w:r>
          <w:rPr>
            <w:color w:val="000000"/>
          </w:rPr>
          <w:t xml:space="preserve">scintilla / flamma</w:t>
        </w:r>
      </w:hyperlink>
      <w:r>
        <w:rPr>
          <w:b w:val="0"/>
          <w:i w:val="0"/>
        </w:rPr>
        <w:t xml:space="preserve">; </w:t>
      </w:r>
      <w:hyperlink w:anchor="latin-record-1237">
        <w:r>
          <w:rPr>
            <w:color w:val="000000"/>
          </w:rPr>
          <w:t xml:space="preserve">vas / aquae summum</w:t>
        </w:r>
      </w:hyperlink>
      <w:r>
        <w:rPr>
          <w:b w:val="0"/>
          <w:i w:val="0"/>
        </w:rPr>
        <w:t>.</w:t>
      </w:r>
    </w:p>
    <w:p>
      <w:pPr>
        <w:widowControl/>
      </w:pPr>
      <w:bookmarkStart w:id="1594" w:name="passage-i-2-6"/>
      <w:bookmarkEnd w:id="1594"/>
      <w:r>
        <w:rPr>
          <w:b/>
          <w:i w:val="0"/>
        </w:rPr>
        <w:t>I.2.6</w:t>
      </w:r>
      <w:r>
        <w:rPr>
          <w:b/>
          <w:i w:val="0"/>
        </w:rPr>
        <w:t>, source pp. 22–23.</w:t>
      </w:r>
      <w:r>
        <w:rPr>
          <w:b w:val="0"/>
          <w:i w:val="0"/>
        </w:rPr>
        <w:t xml:space="preserve"> Articles: </w:t>
      </w:r>
      <w:hyperlink w:anchor="art-and-nature">
        <w:r>
          <w:rPr>
            <w:color w:val="000000"/>
          </w:rPr>
          <w:t xml:space="preserve">Art and nature</w:t>
        </w:r>
      </w:hyperlink>
      <w:r>
        <w:rPr>
          <w:b w:val="0"/>
          <w:i w:val="0"/>
        </w:rPr>
        <w:t xml:space="preserve">; </w:t>
      </w:r>
      <w:hyperlink w:anchor="body-and-bulk">
        <w:r>
          <w:rPr>
            <w:color w:val="000000"/>
          </w:rPr>
          <w:t xml:space="preserve">Body and bulk</w:t>
        </w:r>
      </w:hyperlink>
      <w:r>
        <w:rPr>
          <w:b w:val="0"/>
          <w:i w:val="0"/>
        </w:rPr>
        <w:t xml:space="preserve">; </w:t>
      </w:r>
      <w:hyperlink w:anchor="matter">
        <w:r>
          <w:rPr>
            <w:color w:val="000000"/>
          </w:rPr>
          <w:t xml:space="preserve">Matter</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841">
        <w:r>
          <w:rPr>
            <w:color w:val="000000"/>
          </w:rPr>
          <w:t xml:space="preserve">pati / patior</w:t>
        </w:r>
      </w:hyperlink>
      <w:r>
        <w:rPr>
          <w:b w:val="0"/>
          <w:i w:val="0"/>
        </w:rPr>
        <w:t xml:space="preserve">; </w:t>
      </w:r>
      <w:hyperlink w:anchor="latin-record-0925">
        <w:r>
          <w:rPr>
            <w:color w:val="000000"/>
          </w:rPr>
          <w:t xml:space="preserve">primum / ultimum</w:t>
        </w:r>
      </w:hyperlink>
      <w:r>
        <w:rPr>
          <w:b w:val="0"/>
          <w:i w:val="0"/>
        </w:rPr>
        <w:t>.</w:t>
      </w:r>
    </w:p>
    <w:p>
      <w:pPr>
        <w:widowControl/>
      </w:pPr>
      <w:bookmarkStart w:id="1595" w:name="passage-i-2-7"/>
      <w:bookmarkEnd w:id="1595"/>
      <w:r>
        <w:rPr>
          <w:b/>
          <w:i w:val="0"/>
        </w:rPr>
        <w:t>I.2.7</w:t>
      </w:r>
      <w:r>
        <w:rPr>
          <w:b/>
          <w:i w:val="0"/>
        </w:rPr>
        <w:t>, source pp. 22–23.</w:t>
      </w:r>
      <w:r>
        <w:rPr>
          <w:b w:val="0"/>
          <w:i w:val="0"/>
        </w:rPr>
        <w:t xml:space="preserve"> Articles: </w:t>
      </w:r>
      <w:hyperlink w:anchor="art-and-nature">
        <w:r>
          <w:rPr>
            <w:color w:val="000000"/>
          </w:rPr>
          <w:t xml:space="preserve">Art and nature</w:t>
        </w:r>
      </w:hyperlink>
      <w:r>
        <w:rPr>
          <w:b w:val="0"/>
          <w:i w:val="0"/>
        </w:rPr>
        <w:t xml:space="preserve">; </w:t>
      </w:r>
      <w:hyperlink w:anchor="body-and-bulk">
        <w:r>
          <w:rPr>
            <w:color w:val="000000"/>
          </w:rPr>
          <w:t xml:space="preserve">Body and bulk</w:t>
        </w:r>
      </w:hyperlink>
      <w:r>
        <w:rPr>
          <w:b w:val="0"/>
          <w:i w:val="0"/>
        </w:rPr>
        <w:t xml:space="preserve">; </w:t>
      </w:r>
      <w:hyperlink w:anchor="infinity">
        <w:r>
          <w:rPr>
            <w:color w:val="000000"/>
          </w:rPr>
          <w:t xml:space="preserve">Infinity</w:t>
        </w:r>
      </w:hyperlink>
      <w:r>
        <w:rPr>
          <w:b w:val="0"/>
          <w:i w:val="0"/>
        </w:rPr>
        <w:t xml:space="preserve">; </w:t>
      </w:r>
      <w:hyperlink w:anchor="matter">
        <w:r>
          <w:rPr>
            <w:color w:val="000000"/>
          </w:rPr>
          <w:t xml:space="preserve">Matter</w:t>
        </w:r>
      </w:hyperlink>
      <w:r>
        <w:rPr>
          <w:b w:val="0"/>
          <w:i w:val="0"/>
        </w:rPr>
        <w:t xml:space="preserve">; </w:t>
      </w:r>
      <w:hyperlink w:anchor="power-and-potency">
        <w:r>
          <w:rPr>
            <w:color w:val="000000"/>
          </w:rPr>
          <w:t xml:space="preserve">Power and potency</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728">
        <w:r>
          <w:rPr>
            <w:color w:val="000000"/>
          </w:rPr>
          <w:t xml:space="preserve">multitudo infinita</w:t>
        </w:r>
      </w:hyperlink>
      <w:r>
        <w:rPr>
          <w:b w:val="0"/>
          <w:i w:val="0"/>
        </w:rPr>
        <w:t>.</w:t>
      </w:r>
    </w:p>
    <w:p>
      <w:pPr>
        <w:widowControl/>
      </w:pPr>
      <w:bookmarkStart w:id="1596" w:name="passage-i-2-8"/>
      <w:bookmarkEnd w:id="1596"/>
      <w:r>
        <w:rPr>
          <w:b/>
          <w:i w:val="0"/>
        </w:rPr>
        <w:t>I.2.8</w:t>
      </w:r>
      <w:r>
        <w:rPr>
          <w:b/>
          <w:i w:val="0"/>
        </w:rPr>
        <w:t>, source pp. 22–23.</w:t>
      </w:r>
      <w:r>
        <w:rPr>
          <w:b w:val="0"/>
          <w:i w:val="0"/>
        </w:rPr>
        <w:t xml:space="preserve"> Articles: </w:t>
      </w:r>
      <w:hyperlink w:anchor="art-and-nature">
        <w:r>
          <w:rPr>
            <w:color w:val="000000"/>
          </w:rPr>
          <w:t xml:space="preserve">Art and nature</w:t>
        </w:r>
      </w:hyperlink>
      <w:r>
        <w:rPr>
          <w:b w:val="0"/>
          <w:i w:val="0"/>
        </w:rPr>
        <w:t xml:space="preserve">; </w:t>
      </w:r>
      <w:hyperlink w:anchor="body-and-bulk">
        <w:r>
          <w:rPr>
            <w:color w:val="000000"/>
          </w:rPr>
          <w:t xml:space="preserve">Body and bulk</w:t>
        </w:r>
      </w:hyperlink>
      <w:r>
        <w:rPr>
          <w:b w:val="0"/>
          <w:i w:val="0"/>
        </w:rPr>
        <w:t xml:space="preserve">; </w:t>
      </w:r>
      <w:hyperlink w:anchor="contraries-and-opposition">
        <w:r>
          <w:rPr>
            <w:color w:val="000000"/>
          </w:rPr>
          <w:t xml:space="preserve">Contraries and opposition</w:t>
        </w:r>
      </w:hyperlink>
      <w:r>
        <w:rPr>
          <w:b w:val="0"/>
          <w:i w:val="0"/>
        </w:rPr>
        <w:t xml:space="preserve">; </w:t>
      </w:r>
      <w:hyperlink w:anchor="matter">
        <w:r>
          <w:rPr>
            <w:color w:val="000000"/>
          </w:rPr>
          <w:t xml:space="preserve">Matter</w:t>
        </w:r>
      </w:hyperlink>
      <w:r>
        <w:rPr>
          <w:b w:val="0"/>
          <w:i w:val="0"/>
        </w:rPr>
        <w:t xml:space="preserve">; </w:t>
      </w:r>
      <w:hyperlink w:anchor="philosophers-and-stopping-points">
        <w:r>
          <w:rPr>
            <w:color w:val="000000"/>
          </w:rPr>
          <w:t xml:space="preserve">Philosophers and stopping points</w:t>
        </w:r>
      </w:hyperlink>
      <w:r>
        <w:rPr>
          <w:b w:val="0"/>
          <w:i w:val="0"/>
        </w:rPr>
        <w:t xml:space="preserve">; </w:t>
      </w:r>
      <w:hyperlink w:anchor="quality">
        <w:r>
          <w:rPr>
            <w:color w:val="000000"/>
          </w:rPr>
          <w:t xml:space="preserve">Quality</w:t>
        </w:r>
      </w:hyperlink>
      <w:r>
        <w:rPr>
          <w:b w:val="0"/>
          <w:i w:val="0"/>
        </w:rPr>
        <w:t xml:space="preserve">. Vocabulary: </w:t>
      </w:r>
      <w:hyperlink w:anchor="latin-record-0268">
        <w:r>
          <w:rPr>
            <w:color w:val="000000"/>
          </w:rPr>
          <w:t xml:space="preserve">contrarium / oppositio</w:t>
        </w:r>
      </w:hyperlink>
      <w:r>
        <w:rPr>
          <w:b w:val="0"/>
          <w:i w:val="0"/>
        </w:rPr>
        <w:t xml:space="preserve">; </w:t>
      </w:r>
      <w:hyperlink w:anchor="latin-record-0302">
        <w:r>
          <w:rPr>
            <w:color w:val="000000"/>
          </w:rPr>
          <w:t xml:space="preserve">Democritii / Cyrenaici / Epicurei</w:t>
        </w:r>
      </w:hyperlink>
      <w:r>
        <w:rPr>
          <w:b w:val="0"/>
          <w:i w:val="0"/>
        </w:rPr>
        <w:t xml:space="preserve">; </w:t>
      </w:r>
      <w:hyperlink w:anchor="latin-record-0582">
        <w:r>
          <w:rPr>
            <w:color w:val="000000"/>
          </w:rPr>
          <w:t xml:space="preserve">insitus</w:t>
        </w:r>
      </w:hyperlink>
      <w:r>
        <w:rPr>
          <w:b w:val="0"/>
          <w:i w:val="0"/>
        </w:rPr>
        <w:t xml:space="preserve">; </w:t>
      </w:r>
      <w:hyperlink w:anchor="latin-record-1003">
        <w:r>
          <w:rPr>
            <w:color w:val="000000"/>
          </w:rPr>
          <w:t xml:space="preserve">qualitas / virtus</w:t>
        </w:r>
      </w:hyperlink>
      <w:r>
        <w:rPr>
          <w:b w:val="0"/>
          <w:i w:val="0"/>
        </w:rPr>
        <w:t>.</w:t>
      </w:r>
    </w:p>
    <w:p>
      <w:pPr>
        <w:widowControl/>
      </w:pPr>
      <w:bookmarkStart w:id="1597" w:name="passage-i-2-9"/>
      <w:bookmarkEnd w:id="1597"/>
      <w:r>
        <w:rPr>
          <w:b/>
          <w:i w:val="0"/>
        </w:rPr>
        <w:t>I.2.9</w:t>
      </w:r>
      <w:r>
        <w:rPr>
          <w:b/>
          <w:i w:val="0"/>
        </w:rPr>
        <w:t>, source pp. 22–23.</w:t>
      </w:r>
      <w:r>
        <w:rPr>
          <w:b w:val="0"/>
          <w:i w:val="0"/>
        </w:rPr>
        <w:t xml:space="preserve"> Articles: </w:t>
      </w:r>
      <w:hyperlink w:anchor="art-and-nature">
        <w:r>
          <w:rPr>
            <w:color w:val="000000"/>
          </w:rPr>
          <w:t xml:space="preserve">Art and nature</w:t>
        </w:r>
      </w:hyperlink>
      <w:r>
        <w:rPr>
          <w:b w:val="0"/>
          <w:i w:val="0"/>
        </w:rPr>
        <w:t xml:space="preserve">; </w:t>
      </w:r>
      <w:hyperlink w:anchor="body-and-bulk">
        <w:r>
          <w:rPr>
            <w:color w:val="000000"/>
          </w:rPr>
          <w:t xml:space="preserve">Body and bulk</w:t>
        </w:r>
      </w:hyperlink>
      <w:r>
        <w:rPr>
          <w:b w:val="0"/>
          <w:i w:val="0"/>
        </w:rPr>
        <w:t xml:space="preserve">; </w:t>
      </w:r>
      <w:hyperlink w:anchor="form">
        <w:r>
          <w:rPr>
            <w:color w:val="000000"/>
          </w:rPr>
          <w:t xml:space="preserve">Form</w:t>
        </w:r>
      </w:hyperlink>
      <w:r>
        <w:rPr>
          <w:b w:val="0"/>
          <w:i w:val="0"/>
        </w:rPr>
        <w:t xml:space="preserve">; </w:t>
      </w:r>
      <w:hyperlink w:anchor="matter">
        <w:r>
          <w:rPr>
            <w:color w:val="000000"/>
          </w:rPr>
          <w:t xml:space="preserve">Matter</w:t>
        </w:r>
      </w:hyperlink>
      <w:r>
        <w:rPr>
          <w:b w:val="0"/>
          <w:i w:val="0"/>
        </w:rPr>
        <w:t xml:space="preserve">; </w:t>
      </w:r>
      <w:hyperlink w:anchor="quality">
        <w:r>
          <w:rPr>
            <w:color w:val="000000"/>
          </w:rPr>
          <w:t xml:space="preserve">Quality</w:t>
        </w:r>
      </w:hyperlink>
      <w:r>
        <w:rPr>
          <w:b w:val="0"/>
          <w:i w:val="0"/>
        </w:rPr>
        <w:t xml:space="preserve">; </w:t>
      </w:r>
      <w:hyperlink w:anchor="quantity-and-dimension">
        <w:r>
          <w:rPr>
            <w:color w:val="000000"/>
          </w:rPr>
          <w:t xml:space="preserve">Quantity and dimension</w:t>
        </w:r>
      </w:hyperlink>
      <w:r>
        <w:rPr>
          <w:b w:val="0"/>
          <w:i w:val="0"/>
        </w:rPr>
        <w:t xml:space="preserve">; </w:t>
      </w:r>
      <w:hyperlink w:anchor="species">
        <w:r>
          <w:rPr>
            <w:color w:val="000000"/>
          </w:rPr>
          <w:t xml:space="preserve">Species</w:t>
        </w:r>
      </w:hyperlink>
      <w:r>
        <w:rPr>
          <w:b w:val="0"/>
          <w:i w:val="0"/>
        </w:rPr>
        <w:t xml:space="preserve">. Vocabulary: </w:t>
      </w:r>
      <w:hyperlink w:anchor="latin-record-0023">
        <w:r>
          <w:rPr>
            <w:color w:val="000000"/>
          </w:rPr>
          <w:t xml:space="preserve">addo / accedo</w:t>
        </w:r>
      </w:hyperlink>
      <w:r>
        <w:rPr>
          <w:b w:val="0"/>
          <w:i w:val="0"/>
        </w:rPr>
        <w:t xml:space="preserve">; </w:t>
      </w:r>
      <w:hyperlink w:anchor="latin-record-0464">
        <w:r>
          <w:rPr>
            <w:color w:val="000000"/>
          </w:rPr>
          <w:t xml:space="preserve">forma / species</w:t>
        </w:r>
      </w:hyperlink>
      <w:r>
        <w:rPr>
          <w:b w:val="0"/>
          <w:i w:val="0"/>
        </w:rPr>
        <w:t xml:space="preserve">; </w:t>
      </w:r>
      <w:hyperlink w:anchor="latin-record-0602">
        <w:r>
          <w:rPr>
            <w:color w:val="000000"/>
          </w:rPr>
          <w:t xml:space="preserve">interminatus / infinitus / finitus</w:t>
        </w:r>
      </w:hyperlink>
      <w:r>
        <w:rPr>
          <w:b w:val="0"/>
          <w:i w:val="0"/>
        </w:rPr>
        <w:t xml:space="preserve">; </w:t>
      </w:r>
      <w:hyperlink w:anchor="latin-record-0996">
        <w:r>
          <w:rPr>
            <w:color w:val="000000"/>
          </w:rPr>
          <w:t xml:space="preserve">qua ratione … eadem</w:t>
        </w:r>
      </w:hyperlink>
      <w:r>
        <w:rPr>
          <w:b w:val="0"/>
          <w:i w:val="0"/>
        </w:rPr>
        <w:t xml:space="preserve">; </w:t>
      </w:r>
      <w:hyperlink w:anchor="latin-record-0997">
        <w:r>
          <w:rPr>
            <w:color w:val="000000"/>
          </w:rPr>
          <w:t xml:space="preserve">qua ratione / quantum / quatenus</w:t>
        </w:r>
      </w:hyperlink>
      <w:r>
        <w:rPr>
          <w:b w:val="0"/>
          <w:i w:val="0"/>
        </w:rPr>
        <w:t>.</w:t>
      </w:r>
    </w:p>
    <w:p>
      <w:pPr>
        <w:widowControl/>
      </w:pPr>
      <w:bookmarkStart w:id="1598" w:name="passage-i-2-10"/>
      <w:bookmarkEnd w:id="1598"/>
      <w:r>
        <w:rPr>
          <w:b/>
          <w:i w:val="0"/>
        </w:rPr>
        <w:t>I.2.10</w:t>
      </w:r>
      <w:r>
        <w:rPr>
          <w:b/>
          <w:i w:val="0"/>
        </w:rPr>
        <w:t>, source pp. 22–23.</w:t>
      </w:r>
      <w:r>
        <w:rPr>
          <w:b w:val="0"/>
          <w:i w:val="0"/>
        </w:rPr>
        <w:t xml:space="preserve"> Articles: </w:t>
      </w:r>
      <w:hyperlink w:anchor="body-and-bulk">
        <w:r>
          <w:rPr>
            <w:color w:val="000000"/>
          </w:rPr>
          <w:t xml:space="preserve">Body and bulk</w:t>
        </w:r>
      </w:hyperlink>
      <w:r>
        <w:rPr>
          <w:b w:val="0"/>
          <w:i w:val="0"/>
        </w:rPr>
        <w:t xml:space="preserve">; </w:t>
      </w:r>
      <w:hyperlink w:anchor="form">
        <w:r>
          <w:rPr>
            <w:color w:val="000000"/>
          </w:rPr>
          <w:t xml:space="preserve">Form</w:t>
        </w:r>
      </w:hyperlink>
      <w:r>
        <w:rPr>
          <w:b w:val="0"/>
          <w:i w:val="0"/>
        </w:rPr>
        <w:t xml:space="preserve">; </w:t>
      </w:r>
      <w:hyperlink w:anchor="quality">
        <w:r>
          <w:rPr>
            <w:color w:val="000000"/>
          </w:rPr>
          <w:t xml:space="preserve">Quality</w:t>
        </w:r>
      </w:hyperlink>
      <w:r>
        <w:rPr>
          <w:b w:val="0"/>
          <w:i w:val="0"/>
        </w:rPr>
        <w:t xml:space="preserve">; </w:t>
      </w:r>
      <w:hyperlink w:anchor="quantity-and-dimension">
        <w:r>
          <w:rPr>
            <w:color w:val="000000"/>
          </w:rPr>
          <w:t xml:space="preserve">Quantity and dimension</w:t>
        </w:r>
      </w:hyperlink>
      <w:r>
        <w:rPr>
          <w:b w:val="0"/>
          <w:i w:val="0"/>
        </w:rPr>
        <w:t xml:space="preserve">. Vocabulary: </w:t>
      </w:r>
      <w:hyperlink w:anchor="latin-record-0041">
        <w:r>
          <w:rPr>
            <w:color w:val="000000"/>
          </w:rPr>
          <w:t xml:space="preserve">agens / patiens</w:t>
        </w:r>
      </w:hyperlink>
      <w:r>
        <w:rPr>
          <w:b w:val="0"/>
          <w:i w:val="0"/>
        </w:rPr>
        <w:t xml:space="preserve">; </w:t>
      </w:r>
      <w:hyperlink w:anchor="latin-record-0675">
        <w:r>
          <w:rPr>
            <w:color w:val="000000"/>
          </w:rPr>
          <w:t xml:space="preserve">materia aliena / propria</w:t>
        </w:r>
      </w:hyperlink>
      <w:r>
        <w:rPr>
          <w:b w:val="0"/>
          <w:i w:val="0"/>
        </w:rPr>
        <w:t>.</w:t>
      </w:r>
    </w:p>
    <w:p>
      <w:pPr>
        <w:widowControl/>
      </w:pPr>
      <w:bookmarkStart w:id="1599" w:name="passage-i-2-11"/>
      <w:bookmarkEnd w:id="1599"/>
      <w:r>
        <w:rPr>
          <w:b/>
          <w:i w:val="0"/>
        </w:rPr>
        <w:t>I.2.11</w:t>
      </w:r>
      <w:r>
        <w:rPr>
          <w:b/>
          <w:i w:val="0"/>
        </w:rPr>
        <w:t>, source pp. 24–25.</w:t>
      </w:r>
      <w:r>
        <w:rPr>
          <w:b w:val="0"/>
          <w:i w:val="0"/>
        </w:rPr>
        <w:t xml:space="preserve"> Articles: </w:t>
      </w:r>
      <w:hyperlink w:anchor="body-and-bulk">
        <w:r>
          <w:rPr>
            <w:color w:val="000000"/>
          </w:rPr>
          <w:t xml:space="preserve">Body and bulk</w:t>
        </w:r>
      </w:hyperlink>
      <w:r>
        <w:rPr>
          <w:b w:val="0"/>
          <w:i w:val="0"/>
        </w:rPr>
        <w:t xml:space="preserve">; </w:t>
      </w:r>
      <w:hyperlink w:anchor="dispersion-and-concentration">
        <w:r>
          <w:rPr>
            <w:color w:val="000000"/>
          </w:rPr>
          <w:t xml:space="preserve">Dispersion and concentration</w:t>
        </w:r>
      </w:hyperlink>
      <w:r>
        <w:rPr>
          <w:b w:val="0"/>
          <w:i w:val="0"/>
        </w:rPr>
        <w:t xml:space="preserve">; </w:t>
      </w:r>
      <w:hyperlink w:anchor="fire-spark-lightning-and-cannon">
        <w:r>
          <w:rPr>
            <w:color w:val="000000"/>
          </w:rPr>
          <w:t xml:space="preserve">Fire, spark, lightning and cannon</w:t>
        </w:r>
      </w:hyperlink>
      <w:r>
        <w:rPr>
          <w:b w:val="0"/>
          <w:i w:val="0"/>
        </w:rPr>
        <w:t xml:space="preserve">; </w:t>
      </w:r>
      <w:hyperlink w:anchor="quality">
        <w:r>
          <w:rPr>
            <w:color w:val="000000"/>
          </w:rPr>
          <w:t xml:space="preserve">Quality</w:t>
        </w:r>
      </w:hyperlink>
      <w:r>
        <w:rPr>
          <w:b w:val="0"/>
          <w:i w:val="0"/>
        </w:rPr>
        <w:t xml:space="preserve">; </w:t>
      </w:r>
      <w:hyperlink w:anchor="quantity-and-dimension">
        <w:r>
          <w:rPr>
            <w:color w:val="000000"/>
          </w:rPr>
          <w:t xml:space="preserve">Quantity and dimension</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134">
        <w:r>
          <w:rPr>
            <w:color w:val="000000"/>
          </w:rPr>
          <w:t xml:space="preserve">calor / frigus</w:t>
        </w:r>
      </w:hyperlink>
      <w:r>
        <w:rPr>
          <w:b w:val="0"/>
          <w:i w:val="0"/>
        </w:rPr>
        <w:t xml:space="preserve">; </w:t>
      </w:r>
      <w:hyperlink w:anchor="latin-record-0472">
        <w:r>
          <w:rPr>
            <w:color w:val="000000"/>
          </w:rPr>
          <w:t xml:space="preserve">frigefacio / calefacio / uro</w:t>
        </w:r>
      </w:hyperlink>
      <w:r>
        <w:rPr>
          <w:b w:val="0"/>
          <w:i w:val="0"/>
        </w:rPr>
        <w:t xml:space="preserve">; </w:t>
      </w:r>
      <w:hyperlink w:anchor="latin-record-0547">
        <w:r>
          <w:rPr>
            <w:color w:val="000000"/>
          </w:rPr>
          <w:t xml:space="preserve">in angustum / ad punctum</w:t>
        </w:r>
      </w:hyperlink>
      <w:r>
        <w:rPr>
          <w:b w:val="0"/>
          <w:i w:val="0"/>
        </w:rPr>
        <w:t xml:space="preserve">; </w:t>
      </w:r>
      <w:hyperlink w:anchor="latin-record-0943">
        <w:r>
          <w:rPr>
            <w:color w:val="000000"/>
          </w:rPr>
          <w:t xml:space="preserve">produce / become</w:t>
        </w:r>
      </w:hyperlink>
      <w:r>
        <w:rPr>
          <w:b w:val="0"/>
          <w:i w:val="0"/>
        </w:rPr>
        <w:t>.</w:t>
      </w:r>
    </w:p>
    <w:p>
      <w:pPr>
        <w:widowControl/>
      </w:pPr>
      <w:bookmarkStart w:id="1600" w:name="passage-i-2-12"/>
      <w:bookmarkEnd w:id="1600"/>
      <w:r>
        <w:rPr>
          <w:b/>
          <w:i w:val="0"/>
        </w:rPr>
        <w:t>I.2.12</w:t>
      </w:r>
      <w:r>
        <w:rPr>
          <w:b/>
          <w:i w:val="0"/>
        </w:rPr>
        <w:t>, source pp. 24–25.</w:t>
      </w:r>
      <w:r>
        <w:rPr>
          <w:b w:val="0"/>
          <w:i w:val="0"/>
        </w:rPr>
        <w:t xml:space="preserve"> Articles: </w:t>
      </w:r>
      <w:hyperlink w:anchor="body-and-bulk">
        <w:r>
          <w:rPr>
            <w:color w:val="000000"/>
          </w:rPr>
          <w:t xml:space="preserve">Body and bulk</w:t>
        </w:r>
      </w:hyperlink>
      <w:r>
        <w:rPr>
          <w:b w:val="0"/>
          <w:i w:val="0"/>
        </w:rPr>
        <w:t xml:space="preserve">; </w:t>
      </w:r>
      <w:hyperlink w:anchor="comparing-resembling-and-equalling">
        <w:r>
          <w:rPr>
            <w:color w:val="000000"/>
          </w:rPr>
          <w:t xml:space="preserve">Comparing, resembling and equalling</w:t>
        </w:r>
      </w:hyperlink>
      <w:r>
        <w:rPr>
          <w:b w:val="0"/>
          <w:i w:val="0"/>
        </w:rPr>
        <w:t xml:space="preserve">; </w:t>
      </w:r>
      <w:hyperlink w:anchor="quality">
        <w:r>
          <w:rPr>
            <w:color w:val="000000"/>
          </w:rPr>
          <w:t xml:space="preserve">Quality</w:t>
        </w:r>
      </w:hyperlink>
      <w:r>
        <w:rPr>
          <w:b w:val="0"/>
          <w:i w:val="0"/>
        </w:rPr>
        <w:t xml:space="preserve">; </w:t>
      </w:r>
      <w:hyperlink w:anchor="quantity-and-dimension">
        <w:r>
          <w:rPr>
            <w:color w:val="000000"/>
          </w:rPr>
          <w:t xml:space="preserve">Quantity and dimension</w:t>
        </w:r>
      </w:hyperlink>
      <w:r>
        <w:rPr>
          <w:b w:val="0"/>
          <w:i w:val="0"/>
        </w:rPr>
        <w:t xml:space="preserve">; </w:t>
      </w:r>
      <w:hyperlink w:anchor="returning-referring-and-reducing">
        <w:r>
          <w:rPr>
            <w:color w:val="000000"/>
          </w:rPr>
          <w:t xml:space="preserve">Returning, referring and reducing</w:t>
        </w:r>
      </w:hyperlink>
      <w:r>
        <w:rPr>
          <w:b w:val="0"/>
          <w:i w:val="0"/>
        </w:rPr>
        <w:t xml:space="preserve">. Vocabulary: </w:t>
      </w:r>
      <w:hyperlink w:anchor="latin-record-0209">
        <w:r>
          <w:rPr>
            <w:color w:val="000000"/>
          </w:rPr>
          <w:t xml:space="preserve">complexio / figura</w:t>
        </w:r>
      </w:hyperlink>
      <w:r>
        <w:rPr>
          <w:b w:val="0"/>
          <w:i w:val="0"/>
        </w:rPr>
        <w:t xml:space="preserve">; </w:t>
      </w:r>
      <w:hyperlink w:anchor="latin-record-0446">
        <w:r>
          <w:rPr>
            <w:color w:val="000000"/>
          </w:rPr>
          <w:t xml:space="preserve">filius / parens</w:t>
        </w:r>
      </w:hyperlink>
      <w:r>
        <w:rPr>
          <w:b w:val="0"/>
          <w:i w:val="0"/>
        </w:rPr>
        <w:t xml:space="preserve">; </w:t>
      </w:r>
      <w:hyperlink w:anchor="latin-record-0931">
        <w:r>
          <w:rPr>
            <w:color w:val="000000"/>
          </w:rPr>
          <w:t xml:space="preserve">prius / posterius</w:t>
        </w:r>
      </w:hyperlink>
      <w:r>
        <w:rPr>
          <w:b w:val="0"/>
          <w:i w:val="0"/>
        </w:rPr>
        <w:t xml:space="preserve">; </w:t>
      </w:r>
      <w:hyperlink w:anchor="latin-record-0943">
        <w:r>
          <w:rPr>
            <w:color w:val="000000"/>
          </w:rPr>
          <w:t xml:space="preserve">produce / become</w:t>
        </w:r>
      </w:hyperlink>
      <w:r>
        <w:rPr>
          <w:b w:val="0"/>
          <w:i w:val="0"/>
        </w:rPr>
        <w:t xml:space="preserve">; </w:t>
      </w:r>
      <w:hyperlink w:anchor="latin-record-1105">
        <w:r>
          <w:rPr>
            <w:color w:val="000000"/>
          </w:rPr>
          <w:t xml:space="preserve">similis / aequalis</w:t>
        </w:r>
      </w:hyperlink>
      <w:r>
        <w:rPr>
          <w:b w:val="0"/>
          <w:i w:val="0"/>
        </w:rPr>
        <w:t>.</w:t>
      </w:r>
    </w:p>
    <w:p>
      <w:pPr>
        <w:widowControl/>
      </w:pPr>
      <w:bookmarkStart w:id="1601" w:name="passage-i-2-13"/>
      <w:bookmarkEnd w:id="1601"/>
      <w:r>
        <w:rPr>
          <w:b/>
          <w:i w:val="0"/>
        </w:rPr>
        <w:t>I.2.13</w:t>
      </w:r>
      <w:r>
        <w:rPr>
          <w:b/>
          <w:i w:val="0"/>
        </w:rPr>
        <w:t>, source pp. 24–25.</w:t>
      </w:r>
      <w:r>
        <w:rPr>
          <w:b w:val="0"/>
          <w:i w:val="0"/>
        </w:rPr>
        <w:t xml:space="preserve"> Articles: </w:t>
      </w:r>
      <w:hyperlink w:anchor="body-and-bulk">
        <w:r>
          <w:rPr>
            <w:color w:val="000000"/>
          </w:rPr>
          <w:t xml:space="preserve">Body and bulk</w:t>
        </w:r>
      </w:hyperlink>
      <w:r>
        <w:rPr>
          <w:b w:val="0"/>
          <w:i w:val="0"/>
        </w:rPr>
        <w:t xml:space="preserve">; </w:t>
      </w:r>
      <w:hyperlink w:anchor="honey-whiteness-and-the-wall">
        <w:r>
          <w:rPr>
            <w:color w:val="000000"/>
          </w:rPr>
          <w:t xml:space="preserve">Honey, whiteness and the wall</w:t>
        </w:r>
      </w:hyperlink>
      <w:r>
        <w:rPr>
          <w:b w:val="0"/>
          <w:i w:val="0"/>
        </w:rPr>
        <w:t xml:space="preserve">; </w:t>
      </w:r>
      <w:hyperlink w:anchor="light-and-illumination">
        <w:r>
          <w:rPr>
            <w:color w:val="000000"/>
          </w:rPr>
          <w:t xml:space="preserve">Light and illumination</w:t>
        </w:r>
      </w:hyperlink>
      <w:r>
        <w:rPr>
          <w:b w:val="0"/>
          <w:i w:val="0"/>
        </w:rPr>
        <w:t xml:space="preserve">; </w:t>
      </w:r>
      <w:hyperlink w:anchor="quality">
        <w:r>
          <w:rPr>
            <w:color w:val="000000"/>
          </w:rPr>
          <w:t xml:space="preserve">Quality</w:t>
        </w:r>
      </w:hyperlink>
      <w:r>
        <w:rPr>
          <w:b w:val="0"/>
          <w:i w:val="0"/>
        </w:rPr>
        <w:t xml:space="preserve">; </w:t>
      </w:r>
      <w:hyperlink w:anchor="quantity-and-dimension">
        <w:r>
          <w:rPr>
            <w:color w:val="000000"/>
          </w:rPr>
          <w:t xml:space="preserve">Quantity and dimension</w:t>
        </w:r>
      </w:hyperlink>
      <w:r>
        <w:rPr>
          <w:b w:val="0"/>
          <w:i w:val="0"/>
        </w:rPr>
        <w:t xml:space="preserve">; </w:t>
      </w:r>
      <w:hyperlink w:anchor="sense-and-imagination">
        <w:r>
          <w:rPr>
            <w:color w:val="000000"/>
          </w:rPr>
          <w:t xml:space="preserve">Sense and imagination</w:t>
        </w:r>
      </w:hyperlink>
      <w:r>
        <w:rPr>
          <w:b w:val="0"/>
          <w:i w:val="0"/>
        </w:rPr>
        <w:t xml:space="preserve">. Vocabulary: </w:t>
      </w:r>
      <w:hyperlink w:anchor="latin-record-0190">
        <w:r>
          <w:rPr>
            <w:color w:val="000000"/>
          </w:rPr>
          <w:t xml:space="preserve">color / lumen</w:t>
        </w:r>
      </w:hyperlink>
      <w:r>
        <w:rPr>
          <w:b w:val="0"/>
          <w:i w:val="0"/>
        </w:rPr>
        <w:t xml:space="preserve">; </w:t>
      </w:r>
      <w:hyperlink w:anchor="latin-record-0363">
        <w:r>
          <w:rPr>
            <w:color w:val="000000"/>
          </w:rPr>
          <w:t xml:space="preserve">efficax / efficacia</w:t>
        </w:r>
      </w:hyperlink>
      <w:r>
        <w:rPr>
          <w:b w:val="0"/>
          <w:i w:val="0"/>
        </w:rPr>
        <w:t xml:space="preserve">; </w:t>
      </w:r>
      <w:hyperlink w:anchor="latin-record-0621">
        <w:r>
          <w:rPr>
            <w:color w:val="000000"/>
          </w:rPr>
          <w:t xml:space="preserve">iudicium / perdo</w:t>
        </w:r>
      </w:hyperlink>
      <w:r>
        <w:rPr>
          <w:b w:val="0"/>
          <w:i w:val="0"/>
        </w:rPr>
        <w:t xml:space="preserve">; </w:t>
      </w:r>
      <w:hyperlink w:anchor="latin-record-0622">
        <w:r>
          <w:rPr>
            <w:color w:val="000000"/>
          </w:rPr>
          <w:t xml:space="preserve">iudico</w:t>
        </w:r>
      </w:hyperlink>
      <w:r>
        <w:rPr>
          <w:b w:val="0"/>
          <w:i w:val="0"/>
        </w:rPr>
        <w:t xml:space="preserve">; </w:t>
      </w:r>
      <w:hyperlink w:anchor="latin-record-0820">
        <w:r>
          <w:rPr>
            <w:color w:val="000000"/>
          </w:rPr>
          <w:t xml:space="preserve">paries / distantia</w:t>
        </w:r>
      </w:hyperlink>
      <w:r>
        <w:rPr>
          <w:b w:val="0"/>
          <w:i w:val="0"/>
        </w:rPr>
        <w:t xml:space="preserve">; </w:t>
      </w:r>
      <w:hyperlink w:anchor="latin-record-0955">
        <w:r>
          <w:rPr>
            <w:color w:val="000000"/>
          </w:rPr>
          <w:t xml:space="preserve">propinquo / propinquus</w:t>
        </w:r>
      </w:hyperlink>
      <w:r>
        <w:rPr>
          <w:b w:val="0"/>
          <w:i w:val="0"/>
        </w:rPr>
        <w:t>.</w:t>
      </w:r>
    </w:p>
    <w:p>
      <w:pPr>
        <w:widowControl/>
      </w:pPr>
      <w:bookmarkStart w:id="1602" w:name="passage-i-2-14"/>
      <w:bookmarkEnd w:id="1602"/>
      <w:r>
        <w:rPr>
          <w:b/>
          <w:i w:val="0"/>
        </w:rPr>
        <w:t>I.2.14</w:t>
      </w:r>
      <w:r>
        <w:rPr>
          <w:b/>
          <w:i w:val="0"/>
        </w:rPr>
        <w:t>, source pp. 24–25.</w:t>
      </w:r>
      <w:r>
        <w:rPr>
          <w:b w:val="0"/>
          <w:i w:val="0"/>
        </w:rPr>
        <w:t xml:space="preserve"> Articles: </w:t>
      </w:r>
      <w:hyperlink w:anchor="appetite-and-desire">
        <w:r>
          <w:rPr>
            <w:color w:val="000000"/>
          </w:rPr>
          <w:t xml:space="preserve">Appetite and desire</w:t>
        </w:r>
      </w:hyperlink>
      <w:r>
        <w:rPr>
          <w:b w:val="0"/>
          <w:i w:val="0"/>
        </w:rPr>
        <w:t xml:space="preserve">; </w:t>
      </w:r>
      <w:hyperlink w:anchor="good-and-goodness">
        <w:r>
          <w:rPr>
            <w:color w:val="000000"/>
          </w:rPr>
          <w:t xml:space="preserve">Good and goodness</w:t>
        </w:r>
      </w:hyperlink>
      <w:r>
        <w:rPr>
          <w:b w:val="0"/>
          <w:i w:val="0"/>
        </w:rPr>
        <w:t xml:space="preserve">; </w:t>
      </w:r>
      <w:hyperlink w:anchor="quality">
        <w:r>
          <w:rPr>
            <w:color w:val="000000"/>
          </w:rPr>
          <w:t xml:space="preserve">Quality</w:t>
        </w:r>
      </w:hyperlink>
      <w:r>
        <w:rPr>
          <w:b w:val="0"/>
          <w:i w:val="0"/>
        </w:rPr>
        <w:t xml:space="preserve">; </w:t>
      </w:r>
      <w:hyperlink w:anchor="quantity-and-dimension">
        <w:r>
          <w:rPr>
            <w:color w:val="000000"/>
          </w:rPr>
          <w:t xml:space="preserve">Quantity and dimension</w:t>
        </w:r>
      </w:hyperlink>
      <w:r>
        <w:rPr>
          <w:b w:val="0"/>
          <w:i w:val="0"/>
        </w:rPr>
        <w:t xml:space="preserve">. Vocabulary: </w:t>
      </w:r>
      <w:hyperlink w:anchor="latin-record-0370">
        <w:r>
          <w:rPr>
            <w:color w:val="000000"/>
          </w:rPr>
          <w:t xml:space="preserve">eligo</w:t>
        </w:r>
      </w:hyperlink>
      <w:r>
        <w:rPr>
          <w:b w:val="0"/>
          <w:i w:val="0"/>
        </w:rPr>
        <w:t xml:space="preserve">; </w:t>
      </w:r>
      <w:hyperlink w:anchor="latin-record-0885">
        <w:r>
          <w:rPr>
            <w:color w:val="000000"/>
          </w:rPr>
          <w:t xml:space="preserve">plus et minus</w:t>
        </w:r>
      </w:hyperlink>
      <w:r>
        <w:rPr>
          <w:b w:val="0"/>
          <w:i w:val="0"/>
        </w:rPr>
        <w:t xml:space="preserve">; </w:t>
      </w:r>
      <w:hyperlink w:anchor="latin-record-1025">
        <w:r>
          <w:rPr>
            <w:color w:val="000000"/>
          </w:rPr>
          <w:t xml:space="preserve">ratio boni</w:t>
        </w:r>
      </w:hyperlink>
      <w:r>
        <w:rPr>
          <w:b w:val="0"/>
          <w:i w:val="0"/>
        </w:rPr>
        <w:t>.</w:t>
      </w:r>
    </w:p>
    <w:p>
      <w:pPr>
        <w:widowControl/>
      </w:pPr>
      <w:bookmarkStart w:id="1603" w:name="passage-i-2-15"/>
      <w:bookmarkEnd w:id="1603"/>
      <w:r>
        <w:rPr>
          <w:b/>
          <w:i w:val="0"/>
        </w:rPr>
        <w:t>I.2.15</w:t>
      </w:r>
      <w:r>
        <w:rPr>
          <w:b/>
          <w:i w:val="0"/>
        </w:rPr>
        <w:t>, source pp. 26–27.</w:t>
      </w:r>
      <w:r>
        <w:rPr>
          <w:b w:val="0"/>
          <w:i w:val="0"/>
        </w:rPr>
        <w:t xml:space="preserve"> Articles: </w:t>
      </w:r>
      <w:hyperlink w:anchor="honey-whiteness-and-the-wall">
        <w:r>
          <w:rPr>
            <w:color w:val="000000"/>
          </w:rPr>
          <w:t xml:space="preserve">Honey, whiteness and the wall</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quality">
        <w:r>
          <w:rPr>
            <w:color w:val="000000"/>
          </w:rPr>
          <w:t xml:space="preserve">Quality</w:t>
        </w:r>
      </w:hyperlink>
      <w:r>
        <w:rPr>
          <w:b w:val="0"/>
          <w:i w:val="0"/>
        </w:rPr>
        <w:t xml:space="preserve">; </w:t>
      </w:r>
      <w:hyperlink w:anchor="quantity-and-dimension">
        <w:r>
          <w:rPr>
            <w:color w:val="000000"/>
          </w:rPr>
          <w:t xml:space="preserve">Quantity and dimension</w:t>
        </w:r>
      </w:hyperlink>
      <w:r>
        <w:rPr>
          <w:b w:val="0"/>
          <w:i w:val="0"/>
        </w:rPr>
        <w:t xml:space="preserve">. Vocabulary: </w:t>
      </w:r>
      <w:hyperlink w:anchor="latin-record-0353">
        <w:r>
          <w:rPr>
            <w:color w:val="000000"/>
          </w:rPr>
          <w:t xml:space="preserve">dulcedo / odor / flavus</w:t>
        </w:r>
      </w:hyperlink>
      <w:r>
        <w:rPr>
          <w:b w:val="0"/>
          <w:i w:val="0"/>
        </w:rPr>
        <w:t xml:space="preserve">; </w:t>
      </w:r>
      <w:hyperlink w:anchor="latin-record-0444">
        <w:r>
          <w:rPr>
            <w:color w:val="000000"/>
          </w:rPr>
          <w:t xml:space="preserve">fieri / constare</w:t>
        </w:r>
      </w:hyperlink>
      <w:r>
        <w:rPr>
          <w:b w:val="0"/>
          <w:i w:val="0"/>
        </w:rPr>
        <w:t xml:space="preserve">; </w:t>
      </w:r>
      <w:hyperlink w:anchor="latin-record-0681">
        <w:r>
          <w:rPr>
            <w:color w:val="000000"/>
          </w:rPr>
          <w:t xml:space="preserve">mel / guttula</w:t>
        </w:r>
      </w:hyperlink>
      <w:r>
        <w:rPr>
          <w:b w:val="0"/>
          <w:i w:val="0"/>
        </w:rPr>
        <w:t xml:space="preserve">; </w:t>
      </w:r>
      <w:hyperlink w:anchor="latin-record-0738">
        <w:r>
          <w:rPr>
            <w:color w:val="000000"/>
          </w:rPr>
          <w:t xml:space="preserve">mutua offensio</w:t>
        </w:r>
      </w:hyperlink>
      <w:r>
        <w:rPr>
          <w:b w:val="0"/>
          <w:i w:val="0"/>
        </w:rPr>
        <w:t xml:space="preserve">; </w:t>
      </w:r>
      <w:hyperlink w:anchor="latin-record-1042">
        <w:r>
          <w:rPr>
            <w:color w:val="000000"/>
          </w:rPr>
          <w:t xml:space="preserve">reperio / insum</w:t>
        </w:r>
      </w:hyperlink>
      <w:r>
        <w:rPr>
          <w:b w:val="0"/>
          <w:i w:val="0"/>
        </w:rPr>
        <w:t xml:space="preserve">; </w:t>
      </w:r>
      <w:hyperlink w:anchor="latin-record-1149">
        <w:r>
          <w:rPr>
            <w:color w:val="000000"/>
          </w:rPr>
          <w:t xml:space="preserve">suavis / naris</w:t>
        </w:r>
      </w:hyperlink>
      <w:r>
        <w:rPr>
          <w:b w:val="0"/>
          <w:i w:val="0"/>
        </w:rPr>
        <w:t>.</w:t>
      </w:r>
    </w:p>
    <w:p>
      <w:pPr>
        <w:widowControl/>
      </w:pPr>
      <w:bookmarkStart w:id="1604" w:name="passage-i-2-16"/>
      <w:bookmarkEnd w:id="1604"/>
      <w:r>
        <w:rPr>
          <w:b/>
          <w:i w:val="0"/>
        </w:rPr>
        <w:t>I.2.16</w:t>
      </w:r>
      <w:r>
        <w:rPr>
          <w:b/>
          <w:i w:val="0"/>
        </w:rPr>
        <w:t>, source pp. 26–27.</w:t>
      </w:r>
      <w:r>
        <w:rPr>
          <w:b w:val="0"/>
          <w:i w:val="0"/>
        </w:rPr>
        <w:t xml:space="preserve"> Articles: </w:t>
      </w:r>
      <w:hyperlink w:anchor="incorporeal-and-immaterial">
        <w:r>
          <w:rPr>
            <w:color w:val="000000"/>
          </w:rPr>
          <w:t xml:space="preserve">Incorporeal and immaterial</w:t>
        </w:r>
      </w:hyperlink>
      <w:r>
        <w:rPr>
          <w:b w:val="0"/>
          <w:i w:val="0"/>
        </w:rPr>
        <w:t xml:space="preserve">; </w:t>
      </w:r>
      <w:hyperlink w:anchor="quality">
        <w:r>
          <w:rPr>
            <w:color w:val="000000"/>
          </w:rPr>
          <w:t xml:space="preserve">Quality</w:t>
        </w:r>
      </w:hyperlink>
      <w:r>
        <w:rPr>
          <w:b w:val="0"/>
          <w:i w:val="0"/>
        </w:rPr>
        <w:t xml:space="preserve">; </w:t>
      </w:r>
      <w:hyperlink w:anchor="quantity-and-dimension">
        <w:r>
          <w:rPr>
            <w:color w:val="000000"/>
          </w:rPr>
          <w:t xml:space="preserve">Quantity and dimension</w:t>
        </w:r>
      </w:hyperlink>
      <w:r>
        <w:rPr>
          <w:b w:val="0"/>
          <w:i w:val="0"/>
        </w:rPr>
        <w:t xml:space="preserve">. Vocabulary: </w:t>
      </w:r>
      <w:hyperlink w:anchor="latin-record-0023">
        <w:r>
          <w:rPr>
            <w:color w:val="000000"/>
          </w:rPr>
          <w:t xml:space="preserve">addo / accedo</w:t>
        </w:r>
      </w:hyperlink>
      <w:r>
        <w:rPr>
          <w:b w:val="0"/>
          <w:i w:val="0"/>
        </w:rPr>
        <w:t xml:space="preserve">; </w:t>
      </w:r>
      <w:hyperlink w:anchor="latin-record-0506">
        <w:r>
          <w:rPr>
            <w:color w:val="000000"/>
          </w:rPr>
          <w:t xml:space="preserve">harmonia</w:t>
        </w:r>
      </w:hyperlink>
      <w:r>
        <w:rPr>
          <w:b w:val="0"/>
          <w:i w:val="0"/>
        </w:rPr>
        <w:t xml:space="preserve">; </w:t>
      </w:r>
      <w:hyperlink w:anchor="latin-record-0649">
        <w:r>
          <w:rPr>
            <w:color w:val="000000"/>
          </w:rPr>
          <w:t xml:space="preserve">longum / latum / profundum</w:t>
        </w:r>
      </w:hyperlink>
      <w:r>
        <w:rPr>
          <w:b w:val="0"/>
          <w:i w:val="0"/>
        </w:rPr>
        <w:t xml:space="preserve">; </w:t>
      </w:r>
      <w:hyperlink w:anchor="latin-record-1042">
        <w:r>
          <w:rPr>
            <w:color w:val="000000"/>
          </w:rPr>
          <w:t xml:space="preserve">reperio / insum</w:t>
        </w:r>
      </w:hyperlink>
      <w:r>
        <w:rPr>
          <w:b w:val="0"/>
          <w:i w:val="0"/>
        </w:rPr>
        <w:t>.</w:t>
      </w:r>
    </w:p>
    <w:p>
      <w:pPr>
        <w:widowControl/>
      </w:pPr>
      <w:bookmarkStart w:id="1605" w:name="passage-i-2-17"/>
      <w:bookmarkEnd w:id="1605"/>
      <w:r>
        <w:rPr>
          <w:b/>
          <w:i w:val="0"/>
        </w:rPr>
        <w:t>I.2.17</w:t>
      </w:r>
      <w:r>
        <w:rPr>
          <w:b/>
          <w:i w:val="0"/>
        </w:rPr>
        <w:t>, source pp. 26–27.</w:t>
      </w:r>
      <w:r>
        <w:rPr>
          <w:b w:val="0"/>
          <w:i w:val="0"/>
        </w:rPr>
        <w:t xml:space="preserve"> Articles: </w:t>
      </w:r>
      <w:hyperlink w:anchor="dispersion-and-concentration">
        <w:r>
          <w:rPr>
            <w:color w:val="000000"/>
          </w:rPr>
          <w:t xml:space="preserve">Dispersion and concentration</w:t>
        </w:r>
      </w:hyperlink>
      <w:r>
        <w:rPr>
          <w:b w:val="0"/>
          <w:i w:val="0"/>
        </w:rPr>
        <w:t xml:space="preserve">; </w:t>
      </w:r>
      <w:hyperlink w:anchor="honey-whiteness-and-the-wall">
        <w:r>
          <w:rPr>
            <w:color w:val="000000"/>
          </w:rPr>
          <w:t xml:space="preserve">Honey, whiteness and the wall</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indivisibility">
        <w:r>
          <w:rPr>
            <w:color w:val="000000"/>
          </w:rPr>
          <w:t xml:space="preserve">Indivisibility</w:t>
        </w:r>
      </w:hyperlink>
      <w:r>
        <w:rPr>
          <w:b w:val="0"/>
          <w:i w:val="0"/>
        </w:rPr>
        <w:t xml:space="preserve">; </w:t>
      </w:r>
      <w:hyperlink w:anchor="quality">
        <w:r>
          <w:rPr>
            <w:color w:val="000000"/>
          </w:rPr>
          <w:t xml:space="preserve">Quality</w:t>
        </w:r>
      </w:hyperlink>
      <w:r>
        <w:rPr>
          <w:b w:val="0"/>
          <w:i w:val="0"/>
        </w:rPr>
        <w:t xml:space="preserve">; </w:t>
      </w:r>
      <w:hyperlink w:anchor="quantity-and-dimension">
        <w:r>
          <w:rPr>
            <w:color w:val="000000"/>
          </w:rPr>
          <w:t xml:space="preserve">Quantity and dimension</w:t>
        </w:r>
      </w:hyperlink>
      <w:r>
        <w:rPr>
          <w:b w:val="0"/>
          <w:i w:val="0"/>
        </w:rPr>
        <w:t xml:space="preserve">; </w:t>
      </w:r>
      <w:hyperlink w:anchor="reason-and-account">
        <w:r>
          <w:rPr>
            <w:color w:val="000000"/>
          </w:rPr>
          <w:t xml:space="preserve">Reason and account</w:t>
        </w:r>
      </w:hyperlink>
      <w:r>
        <w:rPr>
          <w:b w:val="0"/>
          <w:i w:val="0"/>
        </w:rPr>
        <w:t xml:space="preserve">. Vocabulary: </w:t>
      </w:r>
      <w:hyperlink w:anchor="latin-record-0333">
        <w:r>
          <w:rPr>
            <w:color w:val="000000"/>
          </w:rPr>
          <w:t xml:space="preserve">dispergo / distractio</w:t>
        </w:r>
      </w:hyperlink>
      <w:r>
        <w:rPr>
          <w:b w:val="0"/>
          <w:i w:val="0"/>
        </w:rPr>
        <w:t xml:space="preserve">; </w:t>
      </w:r>
      <w:hyperlink w:anchor="latin-record-0444">
        <w:r>
          <w:rPr>
            <w:color w:val="000000"/>
          </w:rPr>
          <w:t xml:space="preserve">fieri / constare</w:t>
        </w:r>
      </w:hyperlink>
      <w:r>
        <w:rPr>
          <w:b w:val="0"/>
          <w:i w:val="0"/>
        </w:rPr>
        <w:t xml:space="preserve">; </w:t>
      </w:r>
      <w:hyperlink w:anchor="latin-record-0547">
        <w:r>
          <w:rPr>
            <w:color w:val="000000"/>
          </w:rPr>
          <w:t xml:space="preserve">in angustum / ad punctum</w:t>
        </w:r>
      </w:hyperlink>
      <w:r>
        <w:rPr>
          <w:b w:val="0"/>
          <w:i w:val="0"/>
        </w:rPr>
        <w:t xml:space="preserve">; </w:t>
      </w:r>
      <w:hyperlink w:anchor="latin-record-0832">
        <w:r>
          <w:rPr>
            <w:color w:val="000000"/>
          </w:rPr>
          <w:t xml:space="preserve">partis albedo / pars albedinis</w:t>
        </w:r>
      </w:hyperlink>
      <w:r>
        <w:rPr>
          <w:b w:val="0"/>
          <w:i w:val="0"/>
        </w:rPr>
        <w:t xml:space="preserve">; </w:t>
      </w:r>
      <w:hyperlink w:anchor="latin-record-0943">
        <w:r>
          <w:rPr>
            <w:color w:val="000000"/>
          </w:rPr>
          <w:t xml:space="preserve">produce / become</w:t>
        </w:r>
      </w:hyperlink>
      <w:r>
        <w:rPr>
          <w:b w:val="0"/>
          <w:i w:val="0"/>
        </w:rPr>
        <w:t xml:space="preserve">; </w:t>
      </w:r>
      <w:hyperlink w:anchor="latin-record-0961">
        <w:r>
          <w:rPr>
            <w:color w:val="000000"/>
          </w:rPr>
          <w:t xml:space="preserve">proprietas</w:t>
        </w:r>
      </w:hyperlink>
      <w:r>
        <w:rPr>
          <w:b w:val="0"/>
          <w:i w:val="0"/>
        </w:rPr>
        <w:t xml:space="preserve">; </w:t>
      </w:r>
      <w:hyperlink w:anchor="latin-record-1015">
        <w:r>
          <w:rPr>
            <w:color w:val="000000"/>
          </w:rPr>
          <w:t xml:space="preserve">quodammodo</w:t>
        </w:r>
      </w:hyperlink>
      <w:r>
        <w:rPr>
          <w:b w:val="0"/>
          <w:i w:val="0"/>
        </w:rPr>
        <w:t xml:space="preserve">; </w:t>
      </w:r>
      <w:hyperlink w:anchor="latin-record-1023">
        <w:r>
          <w:rPr>
            <w:color w:val="000000"/>
          </w:rPr>
          <w:t xml:space="preserve">ratio albedinis</w:t>
        </w:r>
      </w:hyperlink>
      <w:r>
        <w:rPr>
          <w:b w:val="0"/>
          <w:i w:val="0"/>
        </w:rPr>
        <w:t>.</w:t>
      </w:r>
    </w:p>
    <w:p>
      <w:bookmarkStart w:id="1606" w:name="chapter-i.3"/>
      <w:pPr>
        <w:pStyle w:val="Heading2"/>
      </w:pPr>
      <w:r>
        <w:rPr>
          <w:b w:val="0"/>
          <w:i w:val="0"/>
        </w:rPr>
        <w:t>Chapter I.3</w:t>
      </w:r>
      <w:bookmarkEnd w:id="1606"/>
    </w:p>
    <w:p>
      <w:pPr>
        <w:widowControl/>
      </w:pPr>
      <w:bookmarkStart w:id="1607" w:name="passage-i-3-1"/>
      <w:bookmarkEnd w:id="1607"/>
      <w:r>
        <w:rPr>
          <w:b/>
          <w:i w:val="0"/>
        </w:rPr>
        <w:t>I.3.1</w:t>
      </w:r>
      <w:r>
        <w:rPr>
          <w:b/>
          <w:i w:val="0"/>
        </w:rPr>
        <w:t>, source pp. 28–29.</w:t>
      </w:r>
      <w:r>
        <w:rPr>
          <w:b w:val="0"/>
          <w:i w:val="0"/>
        </w:rPr>
        <w:t xml:space="preserve"> Articles: </w:t>
      </w:r>
      <w:hyperlink w:anchor="act-and-operation">
        <w:r>
          <w:rPr>
            <w:color w:val="000000"/>
          </w:rPr>
          <w:t xml:space="preserve">Act and operation</w:t>
        </w:r>
      </w:hyperlink>
      <w:r>
        <w:rPr>
          <w:b w:val="0"/>
          <w:i w:val="0"/>
        </w:rPr>
        <w:t xml:space="preserve">; </w:t>
      </w:r>
      <w:hyperlink w:anchor="form">
        <w:r>
          <w:rPr>
            <w:color w:val="000000"/>
          </w:rPr>
          <w:t xml:space="preserve">Form</w:t>
        </w:r>
      </w:hyperlink>
      <w:r>
        <w:rPr>
          <w:b w:val="0"/>
          <w:i w:val="0"/>
        </w:rPr>
        <w:t xml:space="preserve">; </w:t>
      </w:r>
      <w:hyperlink w:anchor="infection-lameness-and-lethe">
        <w:r>
          <w:rPr>
            <w:color w:val="000000"/>
          </w:rPr>
          <w:t xml:space="preserve">Infection, lameness and Lethe</w:t>
        </w:r>
      </w:hyperlink>
      <w:r>
        <w:rPr>
          <w:b w:val="0"/>
          <w:i w:val="0"/>
        </w:rPr>
        <w:t xml:space="preserve">; </w:t>
      </w:r>
      <w:hyperlink w:anchor="naming-and-defining">
        <w:r>
          <w:rPr>
            <w:color w:val="000000"/>
          </w:rPr>
          <w:t xml:space="preserve">Naming and defining</w:t>
        </w:r>
      </w:hyperlink>
      <w:r>
        <w:rPr>
          <w:b w:val="0"/>
          <w:i w:val="0"/>
        </w:rPr>
        <w:t xml:space="preserve">; </w:t>
      </w:r>
      <w:hyperlink w:anchor="perfection">
        <w:r>
          <w:rPr>
            <w:color w:val="000000"/>
          </w:rPr>
          <w:t xml:space="preserve">Perfection</w:t>
        </w:r>
      </w:hyperlink>
      <w:r>
        <w:rPr>
          <w:b w:val="0"/>
          <w:i w:val="0"/>
        </w:rPr>
        <w:t xml:space="preserve">; </w:t>
      </w:r>
      <w:hyperlink w:anchor="philosophers-and-stopping-points">
        <w:r>
          <w:rPr>
            <w:color w:val="000000"/>
          </w:rPr>
          <w:t xml:space="preserve">Philosophers and stopping points</w:t>
        </w:r>
      </w:hyperlink>
      <w:r>
        <w:rPr>
          <w:b w:val="0"/>
          <w:i w:val="0"/>
        </w:rPr>
        <w:t xml:space="preserve">; </w:t>
      </w:r>
      <w:hyperlink w:anchor="quality">
        <w:r>
          <w:rPr>
            <w:color w:val="000000"/>
          </w:rPr>
          <w:t xml:space="preserve">Quality</w:t>
        </w:r>
      </w:hyperlink>
      <w:r>
        <w:rPr>
          <w:b w:val="0"/>
          <w:i w:val="0"/>
        </w:rPr>
        <w:t xml:space="preserve">. Vocabulary: </w:t>
      </w:r>
      <w:hyperlink w:anchor="latin-record-0101">
        <w:r>
          <w:rPr>
            <w:color w:val="000000"/>
          </w:rPr>
          <w:t xml:space="preserve">ascendo / gradus</w:t>
        </w:r>
      </w:hyperlink>
      <w:r>
        <w:rPr>
          <w:b w:val="0"/>
          <w:i w:val="0"/>
        </w:rPr>
        <w:t xml:space="preserve">; </w:t>
      </w:r>
      <w:hyperlink w:anchor="latin-record-0363">
        <w:r>
          <w:rPr>
            <w:color w:val="000000"/>
          </w:rPr>
          <w:t xml:space="preserve">efficax / efficacia</w:t>
        </w:r>
      </w:hyperlink>
      <w:r>
        <w:rPr>
          <w:b w:val="0"/>
          <w:i w:val="0"/>
        </w:rPr>
        <w:t xml:space="preserve">; </w:t>
      </w:r>
      <w:hyperlink w:anchor="latin-record-0564">
        <w:r>
          <w:rPr>
            <w:color w:val="000000"/>
          </w:rPr>
          <w:t xml:space="preserve">inficio / inquino</w:t>
        </w:r>
      </w:hyperlink>
      <w:r>
        <w:rPr>
          <w:b w:val="0"/>
          <w:i w:val="0"/>
        </w:rPr>
        <w:t xml:space="preserve">; </w:t>
      </w:r>
      <w:hyperlink w:anchor="latin-record-0695">
        <w:r>
          <w:rPr>
            <w:color w:val="000000"/>
          </w:rPr>
          <w:t xml:space="preserve">merus / verus / perfectus</w:t>
        </w:r>
      </w:hyperlink>
      <w:r>
        <w:rPr>
          <w:b w:val="0"/>
          <w:i w:val="0"/>
        </w:rPr>
        <w:t xml:space="preserve">; </w:t>
      </w:r>
      <w:hyperlink w:anchor="latin-record-0714">
        <w:r>
          <w:rPr>
            <w:color w:val="000000"/>
          </w:rPr>
          <w:t xml:space="preserve">more Platonico</w:t>
        </w:r>
      </w:hyperlink>
      <w:r>
        <w:rPr>
          <w:b w:val="0"/>
          <w:i w:val="0"/>
        </w:rPr>
        <w:t xml:space="preserve">; </w:t>
      </w:r>
      <w:hyperlink w:anchor="latin-record-0786">
        <w:r>
          <w:rPr>
            <w:color w:val="000000"/>
          </w:rPr>
          <w:t xml:space="preserve">obnoxius / ineptus</w:t>
        </w:r>
      </w:hyperlink>
      <w:r>
        <w:rPr>
          <w:b w:val="0"/>
          <w:i w:val="0"/>
        </w:rPr>
        <w:t xml:space="preserve">; </w:t>
      </w:r>
      <w:hyperlink w:anchor="latin-record-0872">
        <w:r>
          <w:rPr>
            <w:color w:val="000000"/>
          </w:rPr>
          <w:t xml:space="preserve">physici</w:t>
        </w:r>
      </w:hyperlink>
      <w:r>
        <w:rPr>
          <w:b w:val="0"/>
          <w:i w:val="0"/>
        </w:rPr>
        <w:t xml:space="preserve">; </w:t>
      </w:r>
      <w:hyperlink w:anchor="latin-record-0951">
        <w:r>
          <w:rPr>
            <w:color w:val="000000"/>
          </w:rPr>
          <w:t xml:space="preserve">promptus / agilis</w:t>
        </w:r>
      </w:hyperlink>
      <w:r>
        <w:rPr>
          <w:b w:val="0"/>
          <w:i w:val="0"/>
        </w:rPr>
        <w:t xml:space="preserve">; </w:t>
      </w:r>
      <w:hyperlink w:anchor="latin-record-1144">
        <w:r>
          <w:rPr>
            <w:color w:val="000000"/>
          </w:rPr>
          <w:t xml:space="preserve">Stoici / Cynici</w:t>
        </w:r>
      </w:hyperlink>
      <w:r>
        <w:rPr>
          <w:b w:val="0"/>
          <w:i w:val="0"/>
        </w:rPr>
        <w:t>.</w:t>
      </w:r>
    </w:p>
    <w:p>
      <w:pPr>
        <w:widowControl/>
      </w:pPr>
      <w:bookmarkStart w:id="1608" w:name="passage-i-3-2"/>
      <w:bookmarkEnd w:id="1608"/>
      <w:r>
        <w:rPr>
          <w:b/>
          <w:i w:val="0"/>
        </w:rPr>
        <w:t>I.3.2</w:t>
      </w:r>
      <w:r>
        <w:rPr>
          <w:b/>
          <w:i w:val="0"/>
        </w:rPr>
        <w:t>, source pp. 28–29.</w:t>
      </w:r>
      <w:r>
        <w:rPr>
          <w:b w:val="0"/>
          <w:i w:val="0"/>
        </w:rPr>
        <w:t xml:space="preserve"> Articles: </w:t>
      </w:r>
      <w:hyperlink w:anchor="form">
        <w:r>
          <w:rPr>
            <w:color w:val="000000"/>
          </w:rPr>
          <w:t xml:space="preserve">Form</w:t>
        </w:r>
      </w:hyperlink>
      <w:r>
        <w:rPr>
          <w:b w:val="0"/>
          <w:i w:val="0"/>
        </w:rPr>
        <w:t xml:space="preserve">; </w:t>
      </w:r>
      <w:hyperlink w:anchor="perfection">
        <w:r>
          <w:rPr>
            <w:color w:val="000000"/>
          </w:rPr>
          <w:t xml:space="preserve">Perfection</w:t>
        </w:r>
      </w:hyperlink>
      <w:r>
        <w:rPr>
          <w:b w:val="0"/>
          <w:i w:val="0"/>
        </w:rPr>
        <w:t xml:space="preserve">; </w:t>
      </w:r>
      <w:hyperlink w:anchor="sense-and-imagination">
        <w:r>
          <w:rPr>
            <w:color w:val="000000"/>
          </w:rPr>
          <w:t xml:space="preserve">Sense and imagination</w:t>
        </w:r>
      </w:hyperlink>
      <w:r>
        <w:rPr>
          <w:b w:val="0"/>
          <w:i w:val="0"/>
        </w:rPr>
        <w:t xml:space="preserve">; </w:t>
      </w:r>
      <w:hyperlink w:anchor="truth">
        <w:r>
          <w:rPr>
            <w:color w:val="000000"/>
          </w:rPr>
          <w:t xml:space="preserve">Truth</w:t>
        </w:r>
      </w:hyperlink>
      <w:r>
        <w:rPr>
          <w:b w:val="0"/>
          <w:i w:val="0"/>
        </w:rPr>
        <w:t xml:space="preserve">. Vocabulary: </w:t>
      </w:r>
      <w:hyperlink w:anchor="latin-record-0093">
        <w:r>
          <w:rPr>
            <w:color w:val="000000"/>
          </w:rPr>
          <w:t xml:space="preserve">arguo / convinco</w:t>
        </w:r>
      </w:hyperlink>
      <w:r>
        <w:rPr>
          <w:b w:val="0"/>
          <w:i w:val="0"/>
        </w:rPr>
        <w:t xml:space="preserve">; </w:t>
      </w:r>
      <w:hyperlink w:anchor="latin-record-0299">
        <w:r>
          <w:rPr>
            <w:color w:val="000000"/>
          </w:rPr>
          <w:t xml:space="preserve">deficio / validus</w:t>
        </w:r>
      </w:hyperlink>
      <w:r>
        <w:rPr>
          <w:b w:val="0"/>
          <w:i w:val="0"/>
        </w:rPr>
        <w:t xml:space="preserve">; </w:t>
      </w:r>
      <w:hyperlink w:anchor="latin-record-0416">
        <w:r>
          <w:rPr>
            <w:color w:val="000000"/>
          </w:rPr>
          <w:t xml:space="preserve">extra / intus</w:t>
        </w:r>
      </w:hyperlink>
      <w:r>
        <w:rPr>
          <w:b w:val="0"/>
          <w:i w:val="0"/>
        </w:rPr>
        <w:t xml:space="preserve">; </w:t>
      </w:r>
      <w:hyperlink w:anchor="latin-record-0428">
        <w:r>
          <w:rPr>
            <w:color w:val="000000"/>
          </w:rPr>
          <w:t xml:space="preserve">fallo / falsum</w:t>
        </w:r>
      </w:hyperlink>
      <w:r>
        <w:rPr>
          <w:b w:val="0"/>
          <w:i w:val="0"/>
        </w:rPr>
        <w:t xml:space="preserve">; </w:t>
      </w:r>
      <w:hyperlink w:anchor="latin-record-0695">
        <w:r>
          <w:rPr>
            <w:color w:val="000000"/>
          </w:rPr>
          <w:t xml:space="preserve">merus / verus / perfectus</w:t>
        </w:r>
      </w:hyperlink>
      <w:r>
        <w:rPr>
          <w:b w:val="0"/>
          <w:i w:val="0"/>
        </w:rPr>
        <w:t xml:space="preserve">; </w:t>
      </w:r>
      <w:hyperlink w:anchor="latin-record-0730">
        <w:r>
          <w:rPr>
            <w:color w:val="000000"/>
          </w:rPr>
          <w:t xml:space="preserve">mundus / universum</w:t>
        </w:r>
      </w:hyperlink>
      <w:r>
        <w:rPr>
          <w:b w:val="0"/>
          <w:i w:val="0"/>
        </w:rPr>
        <w:t xml:space="preserve">; </w:t>
      </w:r>
      <w:hyperlink w:anchor="latin-record-1042">
        <w:r>
          <w:rPr>
            <w:color w:val="000000"/>
          </w:rPr>
          <w:t xml:space="preserve">reperio / insum</w:t>
        </w:r>
      </w:hyperlink>
      <w:r>
        <w:rPr>
          <w:b w:val="0"/>
          <w:i w:val="0"/>
        </w:rPr>
        <w:t xml:space="preserve">; </w:t>
      </w:r>
      <w:hyperlink w:anchor="latin-record-1235">
        <w:r>
          <w:rPr>
            <w:color w:val="000000"/>
          </w:rPr>
          <w:t xml:space="preserve">valere / praestare</w:t>
        </w:r>
      </w:hyperlink>
      <w:r>
        <w:rPr>
          <w:b w:val="0"/>
          <w:i w:val="0"/>
        </w:rPr>
        <w:t>.</w:t>
      </w:r>
    </w:p>
    <w:p>
      <w:pPr>
        <w:widowControl/>
      </w:pPr>
      <w:bookmarkStart w:id="1609" w:name="passage-i-3-3"/>
      <w:bookmarkEnd w:id="1609"/>
      <w:r>
        <w:rPr>
          <w:b/>
          <w:i w:val="0"/>
        </w:rPr>
        <w:t>I.3.3</w:t>
      </w:r>
      <w:r>
        <w:rPr>
          <w:b/>
          <w:i w:val="0"/>
        </w:rPr>
        <w:t>, source pp. 30–31.</w:t>
      </w:r>
      <w:r>
        <w:rPr>
          <w:b w:val="0"/>
          <w:i w:val="0"/>
        </w:rPr>
        <w:t xml:space="preserve"> Articles: </w:t>
      </w:r>
      <w:hyperlink w:anchor="cause">
        <w:r>
          <w:rPr>
            <w:color w:val="000000"/>
          </w:rPr>
          <w:t xml:space="preserve">Cause</w:t>
        </w:r>
      </w:hyperlink>
      <w:r>
        <w:rPr>
          <w:b w:val="0"/>
          <w:i w:val="0"/>
        </w:rPr>
        <w:t xml:space="preserve">; </w:t>
      </w:r>
      <w:hyperlink w:anchor="containing-receiving-and-lacking">
        <w:r>
          <w:rPr>
            <w:color w:val="000000"/>
          </w:rPr>
          <w:t xml:space="preserve">Containing, receiving and lacking</w:t>
        </w:r>
      </w:hyperlink>
      <w:r>
        <w:rPr>
          <w:b w:val="0"/>
          <w:i w:val="0"/>
        </w:rPr>
        <w:t xml:space="preserve">; </w:t>
      </w:r>
      <w:hyperlink w:anchor="form">
        <w:r>
          <w:rPr>
            <w:color w:val="000000"/>
          </w:rPr>
          <w:t xml:space="preserve">Form</w:t>
        </w:r>
      </w:hyperlink>
      <w:r>
        <w:rPr>
          <w:b w:val="0"/>
          <w:i w:val="0"/>
        </w:rPr>
        <w:t xml:space="preserve">; </w:t>
      </w:r>
      <w:hyperlink w:anchor="perfection">
        <w:r>
          <w:rPr>
            <w:color w:val="000000"/>
          </w:rPr>
          <w:t xml:space="preserve">Perfection</w:t>
        </w:r>
      </w:hyperlink>
      <w:r>
        <w:rPr>
          <w:b w:val="0"/>
          <w:i w:val="0"/>
        </w:rPr>
        <w:t xml:space="preserve">. Vocabulary: </w:t>
      </w:r>
      <w:hyperlink w:anchor="latin-record-0261">
        <w:r>
          <w:rPr>
            <w:color w:val="000000"/>
          </w:rPr>
          <w:t xml:space="preserve">contineo / complector</w:t>
        </w:r>
      </w:hyperlink>
      <w:r>
        <w:rPr>
          <w:b w:val="0"/>
          <w:i w:val="0"/>
        </w:rPr>
        <w:t xml:space="preserve">; </w:t>
      </w:r>
      <w:hyperlink w:anchor="latin-record-0481">
        <w:r>
          <w:rPr>
            <w:color w:val="000000"/>
          </w:rPr>
          <w:t xml:space="preserve">genus</w:t>
        </w:r>
      </w:hyperlink>
      <w:r>
        <w:rPr>
          <w:b w:val="0"/>
          <w:i w:val="0"/>
        </w:rPr>
        <w:t xml:space="preserve">; </w:t>
      </w:r>
      <w:hyperlink w:anchor="latin-record-0695">
        <w:r>
          <w:rPr>
            <w:color w:val="000000"/>
          </w:rPr>
          <w:t xml:space="preserve">merus / verus / perfectus</w:t>
        </w:r>
      </w:hyperlink>
      <w:r>
        <w:rPr>
          <w:b w:val="0"/>
          <w:i w:val="0"/>
        </w:rPr>
        <w:t xml:space="preserve">; </w:t>
      </w:r>
      <w:hyperlink w:anchor="latin-record-0883">
        <w:r>
          <w:rPr>
            <w:color w:val="000000"/>
          </w:rPr>
          <w:t xml:space="preserve">plenitudo</w:t>
        </w:r>
      </w:hyperlink>
      <w:r>
        <w:rPr>
          <w:b w:val="0"/>
          <w:i w:val="0"/>
        </w:rPr>
        <w:t>.</w:t>
      </w:r>
    </w:p>
    <w:p>
      <w:pPr>
        <w:widowControl/>
      </w:pPr>
      <w:bookmarkStart w:id="1610" w:name="passage-i-3-4"/>
      <w:bookmarkEnd w:id="1610"/>
      <w:r>
        <w:rPr>
          <w:b/>
          <w:i w:val="0"/>
        </w:rPr>
        <w:t>I.3.4</w:t>
      </w:r>
      <w:r>
        <w:rPr>
          <w:b/>
          <w:i w:val="0"/>
        </w:rPr>
        <w:t>, source pp. 30–31.</w:t>
      </w:r>
      <w:r>
        <w:rPr>
          <w:b w:val="0"/>
          <w:i w:val="0"/>
        </w:rPr>
        <w:t xml:space="preserve"> Articles: </w:t>
      </w:r>
      <w:hyperlink w:anchor="cause">
        <w:r>
          <w:rPr>
            <w:color w:val="000000"/>
          </w:rPr>
          <w:t xml:space="preserve">Cause</w:t>
        </w:r>
      </w:hyperlink>
      <w:r>
        <w:rPr>
          <w:b w:val="0"/>
          <w:i w:val="0"/>
        </w:rPr>
        <w:t xml:space="preserve">; </w:t>
      </w:r>
      <w:hyperlink w:anchor="essence-and-substance">
        <w:r>
          <w:rPr>
            <w:color w:val="000000"/>
          </w:rPr>
          <w:t xml:space="preserve">Essence and substance</w:t>
        </w:r>
      </w:hyperlink>
      <w:r>
        <w:rPr>
          <w:b w:val="0"/>
          <w:i w:val="0"/>
        </w:rPr>
        <w:t xml:space="preserve">; </w:t>
      </w:r>
      <w:hyperlink w:anchor="form">
        <w:r>
          <w:rPr>
            <w:color w:val="000000"/>
          </w:rPr>
          <w:t xml:space="preserve">Form</w:t>
        </w:r>
      </w:hyperlink>
      <w:r>
        <w:rPr>
          <w:b w:val="0"/>
          <w:i w:val="0"/>
        </w:rPr>
        <w:t xml:space="preserve">; </w:t>
      </w:r>
      <w:hyperlink w:anchor="naming-and-defining">
        <w:r>
          <w:rPr>
            <w:color w:val="000000"/>
          </w:rPr>
          <w:t xml:space="preserve">Naming and defining</w:t>
        </w:r>
      </w:hyperlink>
      <w:r>
        <w:rPr>
          <w:b w:val="0"/>
          <w:i w:val="0"/>
        </w:rPr>
        <w:t xml:space="preserve">; </w:t>
      </w:r>
      <w:hyperlink w:anchor="need-and-sufficiency">
        <w:r>
          <w:rPr>
            <w:color w:val="000000"/>
          </w:rPr>
          <w:t xml:space="preserve">Need and sufficiency</w:t>
        </w:r>
      </w:hyperlink>
      <w:r>
        <w:rPr>
          <w:b w:val="0"/>
          <w:i w:val="0"/>
        </w:rPr>
        <w:t xml:space="preserve">; </w:t>
      </w:r>
      <w:hyperlink w:anchor="quality">
        <w:r>
          <w:rPr>
            <w:color w:val="000000"/>
          </w:rPr>
          <w:t xml:space="preserve">Quality</w:t>
        </w:r>
      </w:hyperlink>
      <w:r>
        <w:rPr>
          <w:b w:val="0"/>
          <w:i w:val="0"/>
        </w:rPr>
        <w:t xml:space="preserve">; </w:t>
      </w:r>
      <w:hyperlink w:anchor="substance-and-accident">
        <w:r>
          <w:rPr>
            <w:color w:val="000000"/>
          </w:rPr>
          <w:t xml:space="preserve">Substance and accident</w:t>
        </w:r>
      </w:hyperlink>
      <w:r>
        <w:rPr>
          <w:b w:val="0"/>
          <w:i w:val="0"/>
        </w:rPr>
        <w:t xml:space="preserve">; </w:t>
      </w:r>
      <w:hyperlink w:anchor="support-inherence-and-dependence">
        <w:r>
          <w:rPr>
            <w:color w:val="000000"/>
          </w:rPr>
          <w:t xml:space="preserve">Support, inherence and dependence</w:t>
        </w:r>
      </w:hyperlink>
      <w:r>
        <w:rPr>
          <w:b w:val="0"/>
          <w:i w:val="0"/>
        </w:rPr>
        <w:t xml:space="preserve">. Vocabulary: </w:t>
      </w:r>
      <w:hyperlink w:anchor="latin-record-0391">
        <w:r>
          <w:rPr>
            <w:color w:val="000000"/>
          </w:rPr>
          <w:t xml:space="preserve">ex / per / in causal uses</w:t>
        </w:r>
      </w:hyperlink>
      <w:r>
        <w:rPr>
          <w:b w:val="0"/>
          <w:i w:val="0"/>
        </w:rPr>
        <w:t xml:space="preserve">; </w:t>
      </w:r>
      <w:hyperlink w:anchor="latin-record-0573">
        <w:r>
          <w:rPr>
            <w:color w:val="000000"/>
          </w:rPr>
          <w:t xml:space="preserve">inhaereo / sustineo</w:t>
        </w:r>
      </w:hyperlink>
      <w:r>
        <w:rPr>
          <w:b w:val="0"/>
          <w:i w:val="0"/>
        </w:rPr>
        <w:t xml:space="preserve">; </w:t>
      </w:r>
      <w:hyperlink w:anchor="latin-record-1159">
        <w:r>
          <w:rPr>
            <w:color w:val="000000"/>
          </w:rPr>
          <w:t xml:space="preserve">subsisto / dependeo</w:t>
        </w:r>
      </w:hyperlink>
      <w:r>
        <w:rPr>
          <w:b w:val="0"/>
          <w:i w:val="0"/>
        </w:rPr>
        <w:t>.</w:t>
      </w:r>
    </w:p>
    <w:p>
      <w:pPr>
        <w:widowControl/>
      </w:pPr>
      <w:bookmarkStart w:id="1611" w:name="passage-i-3-5"/>
      <w:bookmarkEnd w:id="1611"/>
      <w:r>
        <w:rPr>
          <w:b/>
          <w:i w:val="0"/>
        </w:rPr>
        <w:t>I.3.5</w:t>
      </w:r>
      <w:r>
        <w:rPr>
          <w:b/>
          <w:i w:val="0"/>
        </w:rPr>
        <w:t>, source pp. 30–31.</w:t>
      </w:r>
      <w:r>
        <w:rPr>
          <w:b w:val="0"/>
          <w:i w:val="0"/>
        </w:rPr>
        <w:t xml:space="preserve"> Articles: </w:t>
      </w:r>
      <w:hyperlink w:anchor="cause">
        <w:r>
          <w:rPr>
            <w:color w:val="000000"/>
          </w:rPr>
          <w:t xml:space="preserve">Cause</w:t>
        </w:r>
      </w:hyperlink>
      <w:r>
        <w:rPr>
          <w:b w:val="0"/>
          <w:i w:val="0"/>
        </w:rPr>
        <w:t xml:space="preserve">; </w:t>
      </w:r>
      <w:hyperlink w:anchor="form">
        <w:r>
          <w:rPr>
            <w:color w:val="000000"/>
          </w:rPr>
          <w:t xml:space="preserve">Form</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need-and-sufficiency">
        <w:r>
          <w:rPr>
            <w:color w:val="000000"/>
          </w:rPr>
          <w:t xml:space="preserve">Need and sufficiency</w:t>
        </w:r>
      </w:hyperlink>
      <w:r>
        <w:rPr>
          <w:b w:val="0"/>
          <w:i w:val="0"/>
        </w:rPr>
        <w:t xml:space="preserve">; </w:t>
      </w:r>
      <w:hyperlink w:anchor="precedence-and-causal-regress">
        <w:r>
          <w:rPr>
            <w:color w:val="000000"/>
          </w:rPr>
          <w:t xml:space="preserve">Precedence and causal regress</w:t>
        </w:r>
      </w:hyperlink>
      <w:r>
        <w:rPr>
          <w:b w:val="0"/>
          <w:i w:val="0"/>
        </w:rPr>
        <w:t xml:space="preserve">. Vocabulary: </w:t>
      </w:r>
      <w:hyperlink w:anchor="latin-record-0810">
        <w:r>
          <w:rPr>
            <w:color w:val="000000"/>
          </w:rPr>
          <w:t xml:space="preserve">orior / initium</w:t>
        </w:r>
      </w:hyperlink>
      <w:r>
        <w:rPr>
          <w:b w:val="0"/>
          <w:i w:val="0"/>
        </w:rPr>
        <w:t xml:space="preserve">; </w:t>
      </w:r>
      <w:hyperlink w:anchor="latin-record-0904">
        <w:r>
          <w:rPr>
            <w:color w:val="000000"/>
          </w:rPr>
          <w:t xml:space="preserve">praecedo</w:t>
        </w:r>
      </w:hyperlink>
      <w:r>
        <w:rPr>
          <w:b w:val="0"/>
          <w:i w:val="0"/>
        </w:rPr>
        <w:t xml:space="preserve">; </w:t>
      </w:r>
      <w:hyperlink w:anchor="latin-record-1235">
        <w:r>
          <w:rPr>
            <w:color w:val="000000"/>
          </w:rPr>
          <w:t xml:space="preserve">valere / praestare</w:t>
        </w:r>
      </w:hyperlink>
      <w:r>
        <w:rPr>
          <w:b w:val="0"/>
          <w:i w:val="0"/>
        </w:rPr>
        <w:t>.</w:t>
      </w:r>
    </w:p>
    <w:p>
      <w:pPr>
        <w:widowControl/>
      </w:pPr>
      <w:bookmarkStart w:id="1612" w:name="passage-i-3-6"/>
      <w:bookmarkEnd w:id="1612"/>
      <w:r>
        <w:rPr>
          <w:b/>
          <w:i w:val="0"/>
        </w:rPr>
        <w:t>I.3.6</w:t>
      </w:r>
      <w:r>
        <w:rPr>
          <w:b/>
          <w:i w:val="0"/>
        </w:rPr>
        <w:t>, source pp. 32–33.</w:t>
      </w:r>
      <w:r>
        <w:rPr>
          <w:b w:val="0"/>
          <w:i w:val="0"/>
        </w:rPr>
        <w:t xml:space="preserve"> Articles: </w:t>
      </w:r>
      <w:hyperlink w:anchor="art-and-nature">
        <w:r>
          <w:rPr>
            <w:color w:val="000000"/>
          </w:rPr>
          <w:t xml:space="preserve">Art and nature</w:t>
        </w:r>
      </w:hyperlink>
      <w:r>
        <w:rPr>
          <w:b w:val="0"/>
          <w:i w:val="0"/>
        </w:rPr>
        <w:t xml:space="preserve">; </w:t>
      </w:r>
      <w:hyperlink w:anchor="cause">
        <w:r>
          <w:rPr>
            <w:color w:val="000000"/>
          </w:rPr>
          <w:t xml:space="preserve">Cause</w:t>
        </w:r>
      </w:hyperlink>
      <w:r>
        <w:rPr>
          <w:b w:val="0"/>
          <w:i w:val="0"/>
        </w:rPr>
        <w:t xml:space="preserve">; </w:t>
      </w:r>
      <w:hyperlink w:anchor="form">
        <w:r>
          <w:rPr>
            <w:color w:val="000000"/>
          </w:rPr>
          <w:t xml:space="preserve">Form</w:t>
        </w:r>
      </w:hyperlink>
      <w:r>
        <w:rPr>
          <w:b w:val="0"/>
          <w:i w:val="0"/>
        </w:rPr>
        <w:t xml:space="preserve">; </w:t>
      </w:r>
      <w:hyperlink w:anchor="fountain-womb-and-offspring">
        <w:r>
          <w:rPr>
            <w:color w:val="000000"/>
          </w:rPr>
          <w:t xml:space="preserve">Fountain, womb and offspring</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infinity">
        <w:r>
          <w:rPr>
            <w:color w:val="000000"/>
          </w:rPr>
          <w:t xml:space="preserve">Infinity</w:t>
        </w:r>
      </w:hyperlink>
      <w:r>
        <w:rPr>
          <w:b w:val="0"/>
          <w:i w:val="0"/>
        </w:rPr>
        <w:t xml:space="preserve">; </w:t>
      </w:r>
      <w:hyperlink w:anchor="matter">
        <w:r>
          <w:rPr>
            <w:color w:val="000000"/>
          </w:rPr>
          <w:t xml:space="preserve">Matter</w:t>
        </w:r>
      </w:hyperlink>
      <w:r>
        <w:rPr>
          <w:b w:val="0"/>
          <w:i w:val="0"/>
        </w:rPr>
        <w:t xml:space="preserve">; </w:t>
      </w:r>
      <w:hyperlink w:anchor="need-and-sufficiency">
        <w:r>
          <w:rPr>
            <w:color w:val="000000"/>
          </w:rPr>
          <w:t xml:space="preserve">Need and sufficiency</w:t>
        </w:r>
      </w:hyperlink>
      <w:r>
        <w:rPr>
          <w:b w:val="0"/>
          <w:i w:val="0"/>
        </w:rPr>
        <w:t xml:space="preserve">; </w:t>
      </w:r>
      <w:hyperlink w:anchor="precedence-and-causal-regress">
        <w:r>
          <w:rPr>
            <w:color w:val="000000"/>
          </w:rPr>
          <w:t xml:space="preserve">Precedence and causal regress</w:t>
        </w:r>
      </w:hyperlink>
      <w:r>
        <w:rPr>
          <w:b w:val="0"/>
          <w:i w:val="0"/>
        </w:rPr>
        <w:t xml:space="preserve">. Vocabulary: </w:t>
      </w:r>
      <w:hyperlink w:anchor="latin-record-0096">
        <w:r>
          <w:rPr>
            <w:color w:val="000000"/>
          </w:rPr>
          <w:t xml:space="preserve">ars / artificium</w:t>
        </w:r>
      </w:hyperlink>
      <w:r>
        <w:rPr>
          <w:b w:val="0"/>
          <w:i w:val="0"/>
        </w:rPr>
        <w:t xml:space="preserve">; </w:t>
      </w:r>
      <w:hyperlink w:anchor="latin-record-0455">
        <w:r>
          <w:rPr>
            <w:color w:val="000000"/>
          </w:rPr>
          <w:t xml:space="preserve">fluctuo / labens</w:t>
        </w:r>
      </w:hyperlink>
      <w:r>
        <w:rPr>
          <w:b w:val="0"/>
          <w:i w:val="0"/>
        </w:rPr>
        <w:t xml:space="preserve">; </w:t>
      </w:r>
      <w:hyperlink w:anchor="latin-record-0462">
        <w:r>
          <w:rPr>
            <w:color w:val="000000"/>
          </w:rPr>
          <w:t xml:space="preserve">fons formarum</w:t>
        </w:r>
      </w:hyperlink>
      <w:r>
        <w:rPr>
          <w:b w:val="0"/>
          <w:i w:val="0"/>
        </w:rPr>
        <w:t xml:space="preserve">; </w:t>
      </w:r>
      <w:hyperlink w:anchor="latin-record-0569">
        <w:r>
          <w:rPr>
            <w:color w:val="000000"/>
          </w:rPr>
          <w:t xml:space="preserve">informis / informe subiectum</w:t>
        </w:r>
      </w:hyperlink>
      <w:r>
        <w:rPr>
          <w:b w:val="0"/>
          <w:i w:val="0"/>
        </w:rPr>
        <w:t xml:space="preserve">; </w:t>
      </w:r>
      <w:hyperlink w:anchor="latin-record-0811">
        <w:r>
          <w:rPr>
            <w:color w:val="000000"/>
          </w:rPr>
          <w:t xml:space="preserve">orno</w:t>
        </w:r>
      </w:hyperlink>
      <w:r>
        <w:rPr>
          <w:b w:val="0"/>
          <w:i w:val="0"/>
        </w:rPr>
        <w:t xml:space="preserve">; </w:t>
      </w:r>
      <w:hyperlink w:anchor="latin-record-0902">
        <w:r>
          <w:rPr>
            <w:color w:val="000000"/>
          </w:rPr>
          <w:t xml:space="preserve">praebeo / do</w:t>
        </w:r>
      </w:hyperlink>
      <w:r>
        <w:rPr>
          <w:b w:val="0"/>
          <w:i w:val="0"/>
        </w:rPr>
        <w:t xml:space="preserve">; </w:t>
      </w:r>
      <w:hyperlink w:anchor="latin-record-0906">
        <w:r>
          <w:rPr>
            <w:color w:val="000000"/>
          </w:rPr>
          <w:t xml:space="preserve">praeditus</w:t>
        </w:r>
      </w:hyperlink>
      <w:r>
        <w:rPr>
          <w:b w:val="0"/>
          <w:i w:val="0"/>
        </w:rPr>
        <w:t xml:space="preserve">; </w:t>
      </w:r>
      <w:hyperlink w:anchor="latin-record-0997">
        <w:r>
          <w:rPr>
            <w:color w:val="000000"/>
          </w:rPr>
          <w:t xml:space="preserve">qua ratione / quantum / quatenus</w:t>
        </w:r>
      </w:hyperlink>
      <w:r>
        <w:rPr>
          <w:b w:val="0"/>
          <w:i w:val="0"/>
        </w:rPr>
        <w:t xml:space="preserve">; </w:t>
      </w:r>
      <w:hyperlink w:anchor="latin-record-1102">
        <w:r>
          <w:rPr>
            <w:color w:val="000000"/>
          </w:rPr>
          <w:t xml:space="preserve">si / sin</w:t>
        </w:r>
      </w:hyperlink>
      <w:r>
        <w:rPr>
          <w:b w:val="0"/>
          <w:i w:val="0"/>
        </w:rPr>
        <w:t>.</w:t>
      </w:r>
    </w:p>
    <w:p>
      <w:pPr>
        <w:widowControl/>
      </w:pPr>
      <w:bookmarkStart w:id="1613" w:name="passage-i-3-7"/>
      <w:bookmarkEnd w:id="1613"/>
      <w:r>
        <w:rPr>
          <w:b/>
          <w:i w:val="0"/>
        </w:rPr>
        <w:t>I.3.7</w:t>
      </w:r>
      <w:r>
        <w:rPr>
          <w:b/>
          <w:i w:val="0"/>
        </w:rPr>
        <w:t>, source pp. 34–35.</w:t>
      </w:r>
      <w:r>
        <w:rPr>
          <w:b w:val="0"/>
          <w:i w:val="0"/>
        </w:rPr>
        <w:t xml:space="preserve"> Articles: </w:t>
      </w:r>
      <w:hyperlink w:anchor="cause">
        <w:r>
          <w:rPr>
            <w:color w:val="000000"/>
          </w:rPr>
          <w:t xml:space="preserve">Cause</w:t>
        </w:r>
      </w:hyperlink>
      <w:r>
        <w:rPr>
          <w:b w:val="0"/>
          <w:i w:val="0"/>
        </w:rPr>
        <w:t xml:space="preserve">; </w:t>
      </w:r>
      <w:hyperlink w:anchor="fire-spark-lightning-and-cannon">
        <w:r>
          <w:rPr>
            <w:color w:val="000000"/>
          </w:rPr>
          <w:t xml:space="preserve">Fire, spark, lightning and cannon</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instrument">
        <w:r>
          <w:rPr>
            <w:color w:val="000000"/>
          </w:rPr>
          <w:t xml:space="preserve">Instrument</w:t>
        </w:r>
      </w:hyperlink>
      <w:r>
        <w:rPr>
          <w:b w:val="0"/>
          <w:i w:val="0"/>
        </w:rPr>
        <w:t xml:space="preserve">; </w:t>
      </w:r>
      <w:hyperlink w:anchor="need-and-sufficiency">
        <w:r>
          <w:rPr>
            <w:color w:val="000000"/>
          </w:rPr>
          <w:t xml:space="preserve">Need and sufficiency</w:t>
        </w:r>
      </w:hyperlink>
      <w:r>
        <w:rPr>
          <w:b w:val="0"/>
          <w:i w:val="0"/>
        </w:rPr>
        <w:t xml:space="preserve">; </w:t>
      </w:r>
      <w:hyperlink w:anchor="quality">
        <w:r>
          <w:rPr>
            <w:color w:val="000000"/>
          </w:rPr>
          <w:t xml:space="preserve">Quality</w:t>
        </w:r>
      </w:hyperlink>
      <w:r>
        <w:rPr>
          <w:b w:val="0"/>
          <w:i w:val="0"/>
        </w:rPr>
        <w:t xml:space="preserve">; </w:t>
      </w:r>
      <w:hyperlink w:anchor="support-inherence-and-dependence">
        <w:r>
          <w:rPr>
            <w:color w:val="000000"/>
          </w:rPr>
          <w:t xml:space="preserve">Support, inherence and dependence</w:t>
        </w:r>
      </w:hyperlink>
      <w:r>
        <w:rPr>
          <w:b w:val="0"/>
          <w:i w:val="0"/>
        </w:rPr>
        <w:t xml:space="preserve">. Vocabulary: </w:t>
      </w:r>
      <w:hyperlink w:anchor="latin-record-0349">
        <w:r>
          <w:rPr>
            <w:color w:val="000000"/>
          </w:rPr>
          <w:t xml:space="preserve">dominor</w:t>
        </w:r>
      </w:hyperlink>
      <w:r>
        <w:rPr>
          <w:b w:val="0"/>
          <w:i w:val="0"/>
        </w:rPr>
        <w:t xml:space="preserve">; </w:t>
      </w:r>
      <w:hyperlink w:anchor="latin-record-0391">
        <w:r>
          <w:rPr>
            <w:color w:val="000000"/>
          </w:rPr>
          <w:t xml:space="preserve">ex / per / in causal uses</w:t>
        </w:r>
      </w:hyperlink>
      <w:r>
        <w:rPr>
          <w:b w:val="0"/>
          <w:i w:val="0"/>
        </w:rPr>
        <w:t xml:space="preserve">; </w:t>
      </w:r>
      <w:hyperlink w:anchor="latin-record-0458">
        <w:r>
          <w:rPr>
            <w:color w:val="000000"/>
          </w:rPr>
          <w:t xml:space="preserve">fomentum</w:t>
        </w:r>
      </w:hyperlink>
      <w:r>
        <w:rPr>
          <w:b w:val="0"/>
          <w:i w:val="0"/>
        </w:rPr>
        <w:t xml:space="preserve">; </w:t>
      </w:r>
      <w:hyperlink w:anchor="latin-record-1165">
        <w:r>
          <w:rPr>
            <w:color w:val="000000"/>
          </w:rPr>
          <w:t xml:space="preserve">sufficientia / sufficienter</w:t>
        </w:r>
      </w:hyperlink>
      <w:r>
        <w:rPr>
          <w:b w:val="0"/>
          <w:i w:val="0"/>
        </w:rPr>
        <w:t>.</w:t>
      </w:r>
    </w:p>
    <w:p>
      <w:pPr>
        <w:widowControl/>
      </w:pPr>
      <w:bookmarkStart w:id="1614" w:name="passage-i-3-8"/>
      <w:bookmarkEnd w:id="1614"/>
      <w:r>
        <w:rPr>
          <w:b/>
          <w:i w:val="0"/>
        </w:rPr>
        <w:t>I.3.8</w:t>
      </w:r>
      <w:r>
        <w:rPr>
          <w:b/>
          <w:i w:val="0"/>
        </w:rPr>
        <w:t>, source pp. 34–35.</w:t>
      </w:r>
      <w:r>
        <w:rPr>
          <w:b w:val="0"/>
          <w:i w:val="0"/>
        </w:rPr>
        <w:t xml:space="preserve"> Articles: </w:t>
      </w:r>
      <w:hyperlink w:anchor="cause">
        <w:r>
          <w:rPr>
            <w:color w:val="000000"/>
          </w:rPr>
          <w:t xml:space="preserve">Cause</w:t>
        </w:r>
      </w:hyperlink>
      <w:r>
        <w:rPr>
          <w:b w:val="0"/>
          <w:i w:val="0"/>
        </w:rPr>
        <w:t xml:space="preserve">; </w:t>
      </w:r>
      <w:hyperlink w:anchor="fire-spark-lightning-and-cannon">
        <w:r>
          <w:rPr>
            <w:color w:val="000000"/>
          </w:rPr>
          <w:t xml:space="preserve">Fire, spark, lightning and cannon</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instrument">
        <w:r>
          <w:rPr>
            <w:color w:val="000000"/>
          </w:rPr>
          <w:t xml:space="preserve">Instrument</w:t>
        </w:r>
      </w:hyperlink>
      <w:r>
        <w:rPr>
          <w:b w:val="0"/>
          <w:i w:val="0"/>
        </w:rPr>
        <w:t xml:space="preserve">; </w:t>
      </w:r>
      <w:hyperlink w:anchor="need-and-sufficiency">
        <w:r>
          <w:rPr>
            <w:color w:val="000000"/>
          </w:rPr>
          <w:t xml:space="preserve">Need and sufficiency</w:t>
        </w:r>
      </w:hyperlink>
      <w:r>
        <w:rPr>
          <w:b w:val="0"/>
          <w:i w:val="0"/>
        </w:rPr>
        <w:t xml:space="preserve">; </w:t>
      </w:r>
      <w:hyperlink w:anchor="precedence-and-causal-regress">
        <w:r>
          <w:rPr>
            <w:color w:val="000000"/>
          </w:rPr>
          <w:t xml:space="preserve">Precedence and causal regress</w:t>
        </w:r>
      </w:hyperlink>
      <w:r>
        <w:rPr>
          <w:b w:val="0"/>
          <w:i w:val="0"/>
        </w:rPr>
        <w:t xml:space="preserve">; </w:t>
      </w:r>
      <w:hyperlink w:anchor="quality">
        <w:r>
          <w:rPr>
            <w:color w:val="000000"/>
          </w:rPr>
          <w:t xml:space="preserve">Quality</w:t>
        </w:r>
      </w:hyperlink>
      <w:r>
        <w:rPr>
          <w:b w:val="0"/>
          <w:i w:val="0"/>
        </w:rPr>
        <w:t xml:space="preserve">. Vocabulary: </w:t>
      </w:r>
      <w:hyperlink w:anchor="latin-record-0228">
        <w:r>
          <w:rPr>
            <w:color w:val="000000"/>
          </w:rPr>
          <w:t xml:space="preserve">condicio / innatus</w:t>
        </w:r>
      </w:hyperlink>
      <w:r>
        <w:rPr>
          <w:b w:val="0"/>
          <w:i w:val="0"/>
        </w:rPr>
        <w:t xml:space="preserve">; </w:t>
      </w:r>
      <w:hyperlink w:anchor="latin-record-0361">
        <w:r>
          <w:rPr>
            <w:color w:val="000000"/>
          </w:rPr>
          <w:t xml:space="preserve">effectus / efficiens</w:t>
        </w:r>
      </w:hyperlink>
      <w:r>
        <w:rPr>
          <w:b w:val="0"/>
          <w:i w:val="0"/>
        </w:rPr>
        <w:t xml:space="preserve">; </w:t>
      </w:r>
      <w:hyperlink w:anchor="latin-record-0481">
        <w:r>
          <w:rPr>
            <w:color w:val="000000"/>
          </w:rPr>
          <w:t xml:space="preserve">genus</w:t>
        </w:r>
      </w:hyperlink>
      <w:r>
        <w:rPr>
          <w:b w:val="0"/>
          <w:i w:val="0"/>
        </w:rPr>
        <w:t xml:space="preserve">; </w:t>
      </w:r>
      <w:hyperlink w:anchor="latin-record-0589">
        <w:r>
          <w:rPr>
            <w:color w:val="000000"/>
          </w:rPr>
          <w:t xml:space="preserve">instrumentum</w:t>
        </w:r>
      </w:hyperlink>
      <w:r>
        <w:rPr>
          <w:b w:val="0"/>
          <w:i w:val="0"/>
        </w:rPr>
        <w:t>.</w:t>
      </w:r>
    </w:p>
    <w:p>
      <w:pPr>
        <w:widowControl/>
      </w:pPr>
      <w:bookmarkStart w:id="1615" w:name="passage-i-3-9"/>
      <w:bookmarkEnd w:id="1615"/>
      <w:r>
        <w:rPr>
          <w:b/>
          <w:i w:val="0"/>
        </w:rPr>
        <w:t>I.3.9</w:t>
      </w:r>
      <w:r>
        <w:rPr>
          <w:b/>
          <w:i w:val="0"/>
        </w:rPr>
        <w:t>, source pp. 34–35.</w:t>
      </w:r>
      <w:r>
        <w:rPr>
          <w:b w:val="0"/>
          <w:i w:val="0"/>
        </w:rPr>
        <w:t xml:space="preserve"> Articles: </w:t>
      </w:r>
      <w:hyperlink w:anchor="cause">
        <w:r>
          <w:rPr>
            <w:color w:val="000000"/>
          </w:rPr>
          <w:t xml:space="preserve">Cause</w:t>
        </w:r>
      </w:hyperlink>
      <w:r>
        <w:rPr>
          <w:b w:val="0"/>
          <w:i w:val="0"/>
        </w:rPr>
        <w:t xml:space="preserve">; </w:t>
      </w:r>
      <w:hyperlink w:anchor="contraries-and-opposition">
        <w:r>
          <w:rPr>
            <w:color w:val="000000"/>
          </w:rPr>
          <w:t xml:space="preserve">Contraries and opposition</w:t>
        </w:r>
      </w:hyperlink>
      <w:r>
        <w:rPr>
          <w:b w:val="0"/>
          <w:i w:val="0"/>
        </w:rPr>
        <w:t xml:space="preserve">; </w:t>
      </w:r>
      <w:hyperlink w:anchor="fire-spark-lightning-and-cannon">
        <w:r>
          <w:rPr>
            <w:color w:val="000000"/>
          </w:rPr>
          <w:t xml:space="preserve">Fire, spark, lightning and cannon</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instrument">
        <w:r>
          <w:rPr>
            <w:color w:val="000000"/>
          </w:rPr>
          <w:t xml:space="preserve">Instrument</w:t>
        </w:r>
      </w:hyperlink>
      <w:r>
        <w:rPr>
          <w:b w:val="0"/>
          <w:i w:val="0"/>
        </w:rPr>
        <w:t xml:space="preserve">; </w:t>
      </w:r>
      <w:hyperlink w:anchor="need-and-sufficiency">
        <w:r>
          <w:rPr>
            <w:color w:val="000000"/>
          </w:rPr>
          <w:t xml:space="preserve">Need and sufficiency</w:t>
        </w:r>
      </w:hyperlink>
      <w:r>
        <w:rPr>
          <w:b w:val="0"/>
          <w:i w:val="0"/>
        </w:rPr>
        <w:t xml:space="preserve">; </w:t>
      </w:r>
      <w:hyperlink w:anchor="precedence-and-causal-regress">
        <w:r>
          <w:rPr>
            <w:color w:val="000000"/>
          </w:rPr>
          <w:t xml:space="preserve">Precedence and causal regress</w:t>
        </w:r>
      </w:hyperlink>
      <w:r>
        <w:rPr>
          <w:b w:val="0"/>
          <w:i w:val="0"/>
        </w:rPr>
        <w:t xml:space="preserve">; </w:t>
      </w:r>
      <w:hyperlink w:anchor="quality">
        <w:r>
          <w:rPr>
            <w:color w:val="000000"/>
          </w:rPr>
          <w:t xml:space="preserve">Quality</w:t>
        </w:r>
      </w:hyperlink>
      <w:r>
        <w:rPr>
          <w:b w:val="0"/>
          <w:i w:val="0"/>
        </w:rPr>
        <w:t xml:space="preserve">; </w:t>
      </w:r>
      <w:hyperlink w:anchor="reason-and-account">
        <w:r>
          <w:rPr>
            <w:color w:val="000000"/>
          </w:rPr>
          <w:t xml:space="preserve">Reason and account</w:t>
        </w:r>
      </w:hyperlink>
      <w:r>
        <w:rPr>
          <w:b w:val="0"/>
          <w:i w:val="0"/>
        </w:rPr>
        <w:t xml:space="preserve">. Vocabulary: </w:t>
      </w:r>
      <w:hyperlink w:anchor="latin-record-0415">
        <w:r>
          <w:rPr>
            <w:color w:val="000000"/>
          </w:rPr>
          <w:t xml:space="preserve">extinguo / remotus</w:t>
        </w:r>
      </w:hyperlink>
      <w:r>
        <w:rPr>
          <w:b w:val="0"/>
          <w:i w:val="0"/>
        </w:rPr>
        <w:t xml:space="preserve">; </w:t>
      </w:r>
      <w:hyperlink w:anchor="latin-record-0589">
        <w:r>
          <w:rPr>
            <w:color w:val="000000"/>
          </w:rPr>
          <w:t xml:space="preserve">instrumentum</w:t>
        </w:r>
      </w:hyperlink>
      <w:r>
        <w:rPr>
          <w:b w:val="0"/>
          <w:i w:val="0"/>
        </w:rPr>
        <w:t xml:space="preserve">; </w:t>
      </w:r>
      <w:hyperlink w:anchor="latin-record-0678">
        <w:r>
          <w:rPr>
            <w:color w:val="000000"/>
          </w:rPr>
          <w:t xml:space="preserve">medium / interpono</w:t>
        </w:r>
      </w:hyperlink>
      <w:r>
        <w:rPr>
          <w:b w:val="0"/>
          <w:i w:val="0"/>
        </w:rPr>
        <w:t>.</w:t>
      </w:r>
    </w:p>
    <w:p>
      <w:pPr>
        <w:widowControl/>
      </w:pPr>
      <w:bookmarkStart w:id="1616" w:name="passage-i-3-10"/>
      <w:bookmarkEnd w:id="1616"/>
      <w:r>
        <w:rPr>
          <w:b/>
          <w:i w:val="0"/>
        </w:rPr>
        <w:t>I.3.10</w:t>
      </w:r>
      <w:r>
        <w:rPr>
          <w:b/>
          <w:i w:val="0"/>
        </w:rPr>
        <w:t>, source pp. 36–37.</w:t>
      </w:r>
      <w:r>
        <w:rPr>
          <w:b w:val="0"/>
          <w:i w:val="0"/>
        </w:rPr>
        <w:t xml:space="preserve"> Articles: </w:t>
      </w:r>
      <w:hyperlink w:anchor="cause">
        <w:r>
          <w:rPr>
            <w:color w:val="000000"/>
          </w:rPr>
          <w:t xml:space="preserve">Cause</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instrument">
        <w:r>
          <w:rPr>
            <w:color w:val="000000"/>
          </w:rPr>
          <w:t xml:space="preserve">Instrument</w:t>
        </w:r>
      </w:hyperlink>
      <w:r>
        <w:rPr>
          <w:b w:val="0"/>
          <w:i w:val="0"/>
        </w:rPr>
        <w:t xml:space="preserve">; </w:t>
      </w:r>
      <w:hyperlink w:anchor="quality">
        <w:r>
          <w:rPr>
            <w:color w:val="000000"/>
          </w:rPr>
          <w:t xml:space="preserve">Quality</w:t>
        </w:r>
      </w:hyperlink>
      <w:r>
        <w:rPr>
          <w:b w:val="0"/>
          <w:i w:val="0"/>
        </w:rPr>
        <w:t xml:space="preserve">. Vocabulary: </w:t>
      </w:r>
      <w:hyperlink w:anchor="latin-record-0563">
        <w:r>
          <w:rPr>
            <w:color w:val="000000"/>
          </w:rPr>
          <w:t xml:space="preserve">inesse / praeesse</w:t>
        </w:r>
      </w:hyperlink>
      <w:r>
        <w:rPr>
          <w:b w:val="0"/>
          <w:i w:val="0"/>
        </w:rPr>
        <w:t xml:space="preserve">; </w:t>
      </w:r>
      <w:hyperlink w:anchor="latin-record-0589">
        <w:r>
          <w:rPr>
            <w:color w:val="000000"/>
          </w:rPr>
          <w:t xml:space="preserve">instrumentum</w:t>
        </w:r>
      </w:hyperlink>
      <w:r>
        <w:rPr>
          <w:b w:val="0"/>
          <w:i w:val="0"/>
        </w:rPr>
        <w:t>.</w:t>
      </w:r>
    </w:p>
    <w:p>
      <w:pPr>
        <w:widowControl/>
      </w:pPr>
      <w:bookmarkStart w:id="1617" w:name="passage-i-3-11"/>
      <w:bookmarkEnd w:id="1617"/>
      <w:r>
        <w:rPr>
          <w:b/>
          <w:i w:val="0"/>
        </w:rPr>
        <w:t>I.3.11</w:t>
      </w:r>
      <w:r>
        <w:rPr>
          <w:b/>
          <w:i w:val="0"/>
        </w:rPr>
        <w:t>, source pp. 36–37.</w:t>
      </w:r>
      <w:r>
        <w:rPr>
          <w:b w:val="0"/>
          <w:i w:val="0"/>
        </w:rPr>
        <w:t xml:space="preserve"> Articles: </w:t>
      </w:r>
      <w:hyperlink w:anchor="cause">
        <w:r>
          <w:rPr>
            <w:color w:val="000000"/>
          </w:rPr>
          <w:t xml:space="preserve">Cause</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instrument">
        <w:r>
          <w:rPr>
            <w:color w:val="000000"/>
          </w:rPr>
          <w:t xml:space="preserve">Instrument</w:t>
        </w:r>
      </w:hyperlink>
      <w:r>
        <w:rPr>
          <w:b w:val="0"/>
          <w:i w:val="0"/>
        </w:rPr>
        <w:t xml:space="preserve">; </w:t>
      </w:r>
      <w:hyperlink w:anchor="order-and-harmony">
        <w:r>
          <w:rPr>
            <w:color w:val="000000"/>
          </w:rPr>
          <w:t xml:space="preserve">Order and harmony</w:t>
        </w:r>
      </w:hyperlink>
      <w:r>
        <w:rPr>
          <w:b w:val="0"/>
          <w:i w:val="0"/>
        </w:rPr>
        <w:t xml:space="preserve">; </w:t>
      </w:r>
      <w:hyperlink w:anchor="quality">
        <w:r>
          <w:rPr>
            <w:color w:val="000000"/>
          </w:rPr>
          <w:t xml:space="preserve">Quality</w:t>
        </w:r>
      </w:hyperlink>
      <w:r>
        <w:rPr>
          <w:b w:val="0"/>
          <w:i w:val="0"/>
        </w:rPr>
        <w:t xml:space="preserve">. Vocabulary: </w:t>
      </w:r>
      <w:hyperlink w:anchor="latin-record-1137">
        <w:r>
          <w:rPr>
            <w:color w:val="000000"/>
          </w:rPr>
          <w:t xml:space="preserve">stabilis / instabilis / inordinatus</w:t>
        </w:r>
      </w:hyperlink>
      <w:r>
        <w:rPr>
          <w:b w:val="0"/>
          <w:i w:val="0"/>
        </w:rPr>
        <w:t xml:space="preserve">; </w:t>
      </w:r>
      <w:hyperlink w:anchor="latin-record-1143">
        <w:r>
          <w:rPr>
            <w:color w:val="000000"/>
          </w:rPr>
          <w:t xml:space="preserve">statutis temporibus / quovis tempore</w:t>
        </w:r>
      </w:hyperlink>
      <w:r>
        <w:rPr>
          <w:b w:val="0"/>
          <w:i w:val="0"/>
        </w:rPr>
        <w:t xml:space="preserve">; </w:t>
      </w:r>
      <w:hyperlink w:anchor="latin-record-1160">
        <w:r>
          <w:rPr>
            <w:color w:val="000000"/>
          </w:rPr>
          <w:t xml:space="preserve">successio / curriculum</w:t>
        </w:r>
      </w:hyperlink>
      <w:r>
        <w:rPr>
          <w:b w:val="0"/>
          <w:i w:val="0"/>
        </w:rPr>
        <w:t>.</w:t>
      </w:r>
    </w:p>
    <w:p>
      <w:pPr>
        <w:widowControl/>
      </w:pPr>
      <w:bookmarkStart w:id="1618" w:name="passage-i-3-12"/>
      <w:bookmarkEnd w:id="1618"/>
      <w:r>
        <w:rPr>
          <w:b/>
          <w:i w:val="0"/>
        </w:rPr>
        <w:t>I.3.12</w:t>
      </w:r>
      <w:r>
        <w:rPr>
          <w:b/>
          <w:i w:val="0"/>
        </w:rPr>
        <w:t>, source pp. 36–37.</w:t>
      </w:r>
      <w:r>
        <w:rPr>
          <w:b w:val="0"/>
          <w:i w:val="0"/>
        </w:rPr>
        <w:t xml:space="preserve"> Articles: </w:t>
      </w:r>
      <w:hyperlink w:anchor="ascent">
        <w:r>
          <w:rPr>
            <w:color w:val="000000"/>
          </w:rPr>
          <w:t xml:space="preserve">Ascent</w:t>
        </w:r>
      </w:hyperlink>
      <w:r>
        <w:rPr>
          <w:b w:val="0"/>
          <w:i w:val="0"/>
        </w:rPr>
        <w:t xml:space="preserve">; </w:t>
      </w:r>
      <w:hyperlink w:anchor="number">
        <w:r>
          <w:rPr>
            <w:color w:val="000000"/>
          </w:rPr>
          <w:t xml:space="preserve">Number</w:t>
        </w:r>
      </w:hyperlink>
      <w:r>
        <w:rPr>
          <w:b w:val="0"/>
          <w:i w:val="0"/>
        </w:rPr>
        <w:t xml:space="preserve">; </w:t>
      </w:r>
      <w:hyperlink w:anchor="order-and-harmony">
        <w:r>
          <w:rPr>
            <w:color w:val="000000"/>
          </w:rPr>
          <w:t xml:space="preserve">Order and harmony</w:t>
        </w:r>
      </w:hyperlink>
      <w:r>
        <w:rPr>
          <w:b w:val="0"/>
          <w:i w:val="0"/>
        </w:rPr>
        <w:t xml:space="preserve">; </w:t>
      </w:r>
      <w:hyperlink w:anchor="point-position-and-mathematical-ascent">
        <w:r>
          <w:rPr>
            <w:color w:val="000000"/>
          </w:rPr>
          <w:t xml:space="preserve">Point, position and mathematical ascent</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04">
        <w:r>
          <w:rPr>
            <w:color w:val="000000"/>
          </w:rPr>
          <w:t xml:space="preserve">absolutus / adstrictus</w:t>
        </w:r>
      </w:hyperlink>
      <w:r>
        <w:rPr>
          <w:b w:val="0"/>
          <w:i w:val="0"/>
        </w:rPr>
        <w:t xml:space="preserve">; </w:t>
      </w:r>
      <w:hyperlink w:anchor="latin-record-0162">
        <w:r>
          <w:rPr>
            <w:color w:val="000000"/>
          </w:rPr>
          <w:t xml:space="preserve">certus / incertus</w:t>
        </w:r>
      </w:hyperlink>
      <w:r>
        <w:rPr>
          <w:b w:val="0"/>
          <w:i w:val="0"/>
        </w:rPr>
        <w:t xml:space="preserve">; </w:t>
      </w:r>
      <w:hyperlink w:anchor="latin-record-0676">
        <w:r>
          <w:rPr>
            <w:color w:val="000000"/>
          </w:rPr>
          <w:t xml:space="preserve">mathematicus / metaphysicus</w:t>
        </w:r>
      </w:hyperlink>
      <w:r>
        <w:rPr>
          <w:b w:val="0"/>
          <w:i w:val="0"/>
        </w:rPr>
        <w:t xml:space="preserve">; </w:t>
      </w:r>
      <w:hyperlink w:anchor="latin-record-0829">
        <w:r>
          <w:rPr>
            <w:color w:val="000000"/>
          </w:rPr>
          <w:t xml:space="preserve">particularis / universalis</w:t>
        </w:r>
      </w:hyperlink>
      <w:r>
        <w:rPr>
          <w:b w:val="0"/>
          <w:i w:val="0"/>
        </w:rPr>
        <w:t xml:space="preserve">; </w:t>
      </w:r>
      <w:hyperlink w:anchor="latin-record-0986">
        <w:r>
          <w:rPr>
            <w:color w:val="000000"/>
          </w:rPr>
          <w:t xml:space="preserve">punctum / situs</w:t>
        </w:r>
      </w:hyperlink>
      <w:r>
        <w:rPr>
          <w:b w:val="0"/>
          <w:i w:val="0"/>
        </w:rPr>
        <w:t>.</w:t>
      </w:r>
    </w:p>
    <w:p>
      <w:pPr>
        <w:widowControl/>
      </w:pPr>
      <w:bookmarkStart w:id="1619" w:name="passage-i-3-13"/>
      <w:bookmarkEnd w:id="1619"/>
      <w:r>
        <w:rPr>
          <w:b/>
          <w:i w:val="0"/>
        </w:rPr>
        <w:t>I.3.13</w:t>
      </w:r>
      <w:r>
        <w:rPr>
          <w:b/>
          <w:i w:val="0"/>
        </w:rPr>
        <w:t>, source pp. 36–37.</w:t>
      </w:r>
      <w:r>
        <w:rPr>
          <w:b w:val="0"/>
          <w:i w:val="0"/>
        </w:rPr>
        <w:t xml:space="preserve"> Articles: </w:t>
      </w:r>
      <w:hyperlink w:anchor="ascent">
        <w:r>
          <w:rPr>
            <w:color w:val="000000"/>
          </w:rPr>
          <w:t xml:space="preserve">Ascent</w:t>
        </w:r>
      </w:hyperlink>
      <w:r>
        <w:rPr>
          <w:b w:val="0"/>
          <w:i w:val="0"/>
        </w:rPr>
        <w:t xml:space="preserve">; </w:t>
      </w:r>
      <w:hyperlink w:anchor="essence-and-substance">
        <w:r>
          <w:rPr>
            <w:color w:val="000000"/>
          </w:rPr>
          <w:t xml:space="preserve">Essence and substance</w:t>
        </w:r>
      </w:hyperlink>
      <w:r>
        <w:rPr>
          <w:b w:val="0"/>
          <w:i w:val="0"/>
        </w:rPr>
        <w:t xml:space="preserve">; </w:t>
      </w:r>
      <w:hyperlink w:anchor="indivisibility">
        <w:r>
          <w:rPr>
            <w:color w:val="000000"/>
          </w:rPr>
          <w:t xml:space="preserve">Indivisibility</w:t>
        </w:r>
      </w:hyperlink>
      <w:r>
        <w:rPr>
          <w:b w:val="0"/>
          <w:i w:val="0"/>
        </w:rPr>
        <w:t xml:space="preserve">; </w:t>
      </w:r>
      <w:hyperlink w:anchor="number">
        <w:r>
          <w:rPr>
            <w:color w:val="000000"/>
          </w:rPr>
          <w:t xml:space="preserve">Number</w:t>
        </w:r>
      </w:hyperlink>
      <w:r>
        <w:rPr>
          <w:b w:val="0"/>
          <w:i w:val="0"/>
        </w:rPr>
        <w:t xml:space="preserve">; </w:t>
      </w:r>
      <w:hyperlink w:anchor="order-and-harmony">
        <w:r>
          <w:rPr>
            <w:color w:val="000000"/>
          </w:rPr>
          <w:t xml:space="preserve">Order and harmony</w:t>
        </w:r>
      </w:hyperlink>
      <w:r>
        <w:rPr>
          <w:b w:val="0"/>
          <w:i w:val="0"/>
        </w:rPr>
        <w:t xml:space="preserve">; </w:t>
      </w:r>
      <w:hyperlink w:anchor="point-position-and-mathematical-ascent">
        <w:r>
          <w:rPr>
            <w:color w:val="000000"/>
          </w:rPr>
          <w:t xml:space="preserve">Point, position and mathematical ascent</w:t>
        </w:r>
      </w:hyperlink>
      <w:r>
        <w:rPr>
          <w:b w:val="0"/>
          <w:i w:val="0"/>
        </w:rPr>
        <w:t xml:space="preserve">; </w:t>
      </w:r>
      <w:hyperlink w:anchor="reason-and-account">
        <w:r>
          <w:rPr>
            <w:color w:val="000000"/>
          </w:rPr>
          <w:t xml:space="preserve">Reason and account</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ubstance-and-accident">
        <w:r>
          <w:rPr>
            <w:color w:val="000000"/>
          </w:rPr>
          <w:t xml:space="preserve">Substance and accident</w:t>
        </w:r>
      </w:hyperlink>
      <w:r>
        <w:rPr>
          <w:b w:val="0"/>
          <w:i w:val="0"/>
        </w:rPr>
        <w:t xml:space="preserve">; </w:t>
      </w:r>
      <w:hyperlink w:anchor="unity-and-multiplicity">
        <w:r>
          <w:rPr>
            <w:color w:val="000000"/>
          </w:rPr>
          <w:t xml:space="preserve">Unity and multiplicity</w:t>
        </w:r>
      </w:hyperlink>
      <w:r>
        <w:rPr>
          <w:b w:val="0"/>
          <w:i w:val="0"/>
        </w:rPr>
        <w:t xml:space="preserve">; </w:t>
      </w:r>
      <w:hyperlink w:anchor="world-and-universe">
        <w:r>
          <w:rPr>
            <w:color w:val="000000"/>
          </w:rPr>
          <w:t xml:space="preserve">World and universe</w:t>
        </w:r>
      </w:hyperlink>
      <w:r>
        <w:rPr>
          <w:b w:val="0"/>
          <w:i w:val="0"/>
        </w:rPr>
        <w:t xml:space="preserve">. Vocabulary: </w:t>
      </w:r>
      <w:hyperlink w:anchor="latin-record-0147">
        <w:r>
          <w:rPr>
            <w:color w:val="000000"/>
          </w:rPr>
          <w:t xml:space="preserve">cardo / fundamentum</w:t>
        </w:r>
      </w:hyperlink>
      <w:r>
        <w:rPr>
          <w:b w:val="0"/>
          <w:i w:val="0"/>
        </w:rPr>
        <w:t xml:space="preserve">; </w:t>
      </w:r>
      <w:hyperlink w:anchor="latin-record-0534">
        <w:r>
          <w:rPr>
            <w:color w:val="000000"/>
          </w:rPr>
          <w:t xml:space="preserve">impedimentum / impedio</w:t>
        </w:r>
      </w:hyperlink>
      <w:r>
        <w:rPr>
          <w:b w:val="0"/>
          <w:i w:val="0"/>
        </w:rPr>
        <w:t xml:space="preserve">; </w:t>
      </w:r>
      <w:hyperlink w:anchor="latin-record-0730">
        <w:r>
          <w:rPr>
            <w:color w:val="000000"/>
          </w:rPr>
          <w:t xml:space="preserve">mundus / universum</w:t>
        </w:r>
      </w:hyperlink>
      <w:r>
        <w:rPr>
          <w:b w:val="0"/>
          <w:i w:val="0"/>
        </w:rPr>
        <w:t xml:space="preserve">; </w:t>
      </w:r>
      <w:hyperlink w:anchor="latin-record-1201">
        <w:r>
          <w:rPr>
            <w:color w:val="000000"/>
          </w:rPr>
          <w:t xml:space="preserve">tollo / traho / transfero</w:t>
        </w:r>
      </w:hyperlink>
      <w:r>
        <w:rPr>
          <w:b w:val="0"/>
          <w:i w:val="0"/>
        </w:rPr>
        <w:t xml:space="preserve">; </w:t>
      </w:r>
      <w:hyperlink w:anchor="latin-record-1222">
        <w:r>
          <w:rPr>
            <w:color w:val="000000"/>
          </w:rPr>
          <w:t xml:space="preserve">unitas accidentalis / substantialis</w:t>
        </w:r>
      </w:hyperlink>
      <w:r>
        <w:rPr>
          <w:b w:val="0"/>
          <w:i w:val="0"/>
        </w:rPr>
        <w:t xml:space="preserve">; </w:t>
      </w:r>
      <w:hyperlink w:anchor="latin-record-1259">
        <w:r>
          <w:rPr>
            <w:color w:val="000000"/>
          </w:rPr>
          <w:t xml:space="preserve">vigeo / prodo</w:t>
        </w:r>
      </w:hyperlink>
      <w:r>
        <w:rPr>
          <w:b w:val="0"/>
          <w:i w:val="0"/>
        </w:rPr>
        <w:t>.</w:t>
      </w:r>
    </w:p>
    <w:p>
      <w:pPr>
        <w:widowControl/>
      </w:pPr>
      <w:bookmarkStart w:id="1620" w:name="passage-i-3-14"/>
      <w:bookmarkEnd w:id="1620"/>
      <w:r>
        <w:rPr>
          <w:b/>
          <w:i w:val="0"/>
        </w:rPr>
        <w:t>I.3.14</w:t>
      </w:r>
      <w:r>
        <w:rPr>
          <w:b/>
          <w:i w:val="0"/>
        </w:rPr>
        <w:t>, source pp. 38–39.</w:t>
      </w:r>
      <w:r>
        <w:rPr>
          <w:b w:val="0"/>
          <w:i w:val="0"/>
        </w:rPr>
        <w:t xml:space="preserve"> Articles: </w:t>
      </w:r>
      <w:hyperlink w:anchor="ascent">
        <w:r>
          <w:rPr>
            <w:color w:val="000000"/>
          </w:rPr>
          <w:t xml:space="preserve">Ascent</w:t>
        </w:r>
      </w:hyperlink>
      <w:r>
        <w:rPr>
          <w:b w:val="0"/>
          <w:i w:val="0"/>
        </w:rPr>
        <w:t xml:space="preserve">; </w:t>
      </w:r>
      <w:hyperlink w:anchor="form">
        <w:r>
          <w:rPr>
            <w:color w:val="000000"/>
          </w:rPr>
          <w:t xml:space="preserve">Form</w:t>
        </w:r>
      </w:hyperlink>
      <w:r>
        <w:rPr>
          <w:b w:val="0"/>
          <w:i w:val="0"/>
        </w:rPr>
        <w:t xml:space="preserve">; </w:t>
      </w:r>
      <w:hyperlink w:anchor="indivisibility">
        <w:r>
          <w:rPr>
            <w:color w:val="000000"/>
          </w:rPr>
          <w:t xml:space="preserve">Indivisibility</w:t>
        </w:r>
      </w:hyperlink>
      <w:r>
        <w:rPr>
          <w:b w:val="0"/>
          <w:i w:val="0"/>
        </w:rPr>
        <w:t xml:space="preserve">; </w:t>
      </w:r>
      <w:hyperlink w:anchor="least-natural-degree">
        <w:r>
          <w:rPr>
            <w:color w:val="000000"/>
          </w:rPr>
          <w:t xml:space="preserve">Least natural degree</w:t>
        </w:r>
      </w:hyperlink>
      <w:r>
        <w:rPr>
          <w:b w:val="0"/>
          <w:i w:val="0"/>
        </w:rPr>
        <w:t xml:space="preserve">; </w:t>
      </w:r>
      <w:hyperlink w:anchor="number">
        <w:r>
          <w:rPr>
            <w:color w:val="000000"/>
          </w:rPr>
          <w:t xml:space="preserve">Number</w:t>
        </w:r>
      </w:hyperlink>
      <w:r>
        <w:rPr>
          <w:b w:val="0"/>
          <w:i w:val="0"/>
        </w:rPr>
        <w:t xml:space="preserve">; </w:t>
      </w:r>
      <w:hyperlink w:anchor="participation">
        <w:r>
          <w:rPr>
            <w:color w:val="000000"/>
          </w:rPr>
          <w:t xml:space="preserve">Participation</w:t>
        </w:r>
      </w:hyperlink>
      <w:r>
        <w:rPr>
          <w:b w:val="0"/>
          <w:i w:val="0"/>
        </w:rPr>
        <w:t xml:space="preserve">; </w:t>
      </w:r>
      <w:hyperlink w:anchor="point-position-and-mathematical-ascent">
        <w:r>
          <w:rPr>
            <w:color w:val="000000"/>
          </w:rPr>
          <w:t xml:space="preserve">Point, position and mathematical ascent</w:t>
        </w:r>
      </w:hyperlink>
      <w:r>
        <w:rPr>
          <w:b w:val="0"/>
          <w:i w:val="0"/>
        </w:rPr>
        <w:t xml:space="preserve">; </w:t>
      </w:r>
      <w:hyperlink w:anchor="returning-referring-and-reducing">
        <w:r>
          <w:rPr>
            <w:color w:val="000000"/>
          </w:rPr>
          <w:t xml:space="preserve">Returning, referring and reducing</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ubstance-and-accident">
        <w:r>
          <w:rPr>
            <w:color w:val="000000"/>
          </w:rPr>
          <w:t xml:space="preserve">Substance and accident</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23">
        <w:r>
          <w:rPr>
            <w:color w:val="000000"/>
          </w:rPr>
          <w:t xml:space="preserve">addo / accedo</w:t>
        </w:r>
      </w:hyperlink>
      <w:r>
        <w:rPr>
          <w:b w:val="0"/>
          <w:i w:val="0"/>
        </w:rPr>
        <w:t xml:space="preserve">; </w:t>
      </w:r>
      <w:hyperlink w:anchor="latin-record-0487">
        <w:r>
          <w:rPr>
            <w:color w:val="000000"/>
          </w:rPr>
          <w:t xml:space="preserve">gradus minimus naturalis</w:t>
        </w:r>
      </w:hyperlink>
      <w:r>
        <w:rPr>
          <w:b w:val="0"/>
          <w:i w:val="0"/>
        </w:rPr>
        <w:t xml:space="preserve">; </w:t>
      </w:r>
      <w:hyperlink w:anchor="latin-record-0712">
        <w:r>
          <w:rPr>
            <w:color w:val="000000"/>
          </w:rPr>
          <w:t xml:space="preserve">momentum / signum</w:t>
        </w:r>
      </w:hyperlink>
      <w:r>
        <w:rPr>
          <w:b w:val="0"/>
          <w:i w:val="0"/>
        </w:rPr>
        <w:t xml:space="preserve">; </w:t>
      </w:r>
      <w:hyperlink w:anchor="latin-record-0800">
        <w:r>
          <w:rPr>
            <w:color w:val="000000"/>
          </w:rPr>
          <w:t xml:space="preserve">oportet / necesse est / debet</w:t>
        </w:r>
      </w:hyperlink>
      <w:r>
        <w:rPr>
          <w:b w:val="0"/>
          <w:i w:val="0"/>
        </w:rPr>
        <w:t xml:space="preserve">; </w:t>
      </w:r>
      <w:hyperlink w:anchor="latin-record-1034">
        <w:r>
          <w:rPr>
            <w:color w:val="000000"/>
          </w:rPr>
          <w:t xml:space="preserve">reducere / redigere</w:t>
        </w:r>
      </w:hyperlink>
      <w:r>
        <w:rPr>
          <w:b w:val="0"/>
          <w:i w:val="0"/>
        </w:rPr>
        <w:t>.</w:t>
      </w:r>
    </w:p>
    <w:p>
      <w:pPr>
        <w:widowControl/>
      </w:pPr>
      <w:bookmarkStart w:id="1621" w:name="passage-i-3-15"/>
      <w:bookmarkEnd w:id="1621"/>
      <w:r>
        <w:rPr>
          <w:b/>
          <w:i w:val="0"/>
        </w:rPr>
        <w:t>I.3.15</w:t>
      </w:r>
      <w:r>
        <w:rPr>
          <w:b/>
          <w:i w:val="0"/>
        </w:rPr>
        <w:t>, source pp. 38–39.</w:t>
      </w:r>
      <w:r>
        <w:rPr>
          <w:b w:val="0"/>
          <w:i w:val="0"/>
        </w:rPr>
        <w:t xml:space="preserve"> Articles: </w:t>
      </w:r>
      <w:hyperlink w:anchor="ascent">
        <w:r>
          <w:rPr>
            <w:color w:val="000000"/>
          </w:rPr>
          <w:t xml:space="preserve">Ascent</w:t>
        </w:r>
      </w:hyperlink>
      <w:r>
        <w:rPr>
          <w:b w:val="0"/>
          <w:i w:val="0"/>
        </w:rPr>
        <w:t xml:space="preserve">; </w:t>
      </w:r>
      <w:hyperlink w:anchor="form">
        <w:r>
          <w:rPr>
            <w:color w:val="000000"/>
          </w:rPr>
          <w:t xml:space="preserve">Form</w:t>
        </w:r>
      </w:hyperlink>
      <w:r>
        <w:rPr>
          <w:b w:val="0"/>
          <w:i w:val="0"/>
        </w:rPr>
        <w:t xml:space="preserve">; </w:t>
      </w:r>
      <w:hyperlink w:anchor="indivisibility">
        <w:r>
          <w:rPr>
            <w:color w:val="000000"/>
          </w:rPr>
          <w:t xml:space="preserve">Indivisibility</w:t>
        </w:r>
      </w:hyperlink>
      <w:r>
        <w:rPr>
          <w:b w:val="0"/>
          <w:i w:val="0"/>
        </w:rPr>
        <w:t xml:space="preserve">; </w:t>
      </w:r>
      <w:hyperlink w:anchor="perfection">
        <w:r>
          <w:rPr>
            <w:color w:val="000000"/>
          </w:rPr>
          <w:t xml:space="preserve">Perfection</w:t>
        </w:r>
      </w:hyperlink>
      <w:r>
        <w:rPr>
          <w:b w:val="0"/>
          <w:i w:val="0"/>
        </w:rPr>
        <w:t xml:space="preserve">; </w:t>
      </w:r>
      <w:hyperlink w:anchor="quantity-and-dimension">
        <w:r>
          <w:rPr>
            <w:color w:val="000000"/>
          </w:rPr>
          <w:t xml:space="preserve">Quantity and dimension</w:t>
        </w:r>
      </w:hyperlink>
      <w:r>
        <w:rPr>
          <w:b w:val="0"/>
          <w:i w:val="0"/>
        </w:rPr>
        <w:t xml:space="preserve">; </w:t>
      </w:r>
      <w:hyperlink w:anchor="substance-and-accident">
        <w:r>
          <w:rPr>
            <w:color w:val="000000"/>
          </w:rPr>
          <w:t xml:space="preserve">Substance and accident</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101">
        <w:r>
          <w:rPr>
            <w:color w:val="000000"/>
          </w:rPr>
          <w:t xml:space="preserve">ascendo / gradus</w:t>
        </w:r>
      </w:hyperlink>
      <w:r>
        <w:rPr>
          <w:b w:val="0"/>
          <w:i w:val="0"/>
        </w:rPr>
        <w:t xml:space="preserve">; </w:t>
      </w:r>
      <w:hyperlink w:anchor="latin-record-0297">
        <w:r>
          <w:rPr>
            <w:color w:val="000000"/>
          </w:rPr>
          <w:t xml:space="preserve">decrementum / remissio</w:t>
        </w:r>
      </w:hyperlink>
      <w:r>
        <w:rPr>
          <w:b w:val="0"/>
          <w:i w:val="0"/>
        </w:rPr>
        <w:t xml:space="preserve">; </w:t>
      </w:r>
      <w:hyperlink w:anchor="latin-record-0599">
        <w:r>
          <w:rPr>
            <w:color w:val="000000"/>
          </w:rPr>
          <w:t xml:space="preserve">intendo / remitto</w:t>
        </w:r>
      </w:hyperlink>
      <w:r>
        <w:rPr>
          <w:b w:val="0"/>
          <w:i w:val="0"/>
        </w:rPr>
        <w:t xml:space="preserve">; </w:t>
      </w:r>
      <w:hyperlink w:anchor="latin-record-0640">
        <w:r>
          <w:rPr>
            <w:color w:val="000000"/>
          </w:rPr>
          <w:t xml:space="preserve">liber / liberior</w:t>
        </w:r>
      </w:hyperlink>
      <w:r>
        <w:rPr>
          <w:b w:val="0"/>
          <w:i w:val="0"/>
        </w:rPr>
        <w:t xml:space="preserve">; </w:t>
      </w:r>
      <w:hyperlink w:anchor="latin-record-0701">
        <w:r>
          <w:rPr>
            <w:color w:val="000000"/>
          </w:rPr>
          <w:t xml:space="preserve">minuo / debilito</w:t>
        </w:r>
      </w:hyperlink>
      <w:r>
        <w:rPr>
          <w:b w:val="0"/>
          <w:i w:val="0"/>
        </w:rPr>
        <w:t xml:space="preserve">; </w:t>
      </w:r>
      <w:hyperlink w:anchor="latin-record-0800">
        <w:r>
          <w:rPr>
            <w:color w:val="000000"/>
          </w:rPr>
          <w:t xml:space="preserve">oportet / necesse est / debet</w:t>
        </w:r>
      </w:hyperlink>
      <w:r>
        <w:rPr>
          <w:b w:val="0"/>
          <w:i w:val="0"/>
        </w:rPr>
        <w:t xml:space="preserve">; </w:t>
      </w:r>
      <w:hyperlink w:anchor="latin-record-1004">
        <w:r>
          <w:rPr>
            <w:color w:val="000000"/>
          </w:rPr>
          <w:t xml:space="preserve">quamvis / licet</w:t>
        </w:r>
      </w:hyperlink>
      <w:r>
        <w:rPr>
          <w:b w:val="0"/>
          <w:i w:val="0"/>
        </w:rPr>
        <w:t>.</w:t>
      </w:r>
    </w:p>
    <w:p>
      <w:pPr>
        <w:widowControl/>
      </w:pPr>
      <w:bookmarkStart w:id="1622" w:name="passage-i-3-16"/>
      <w:bookmarkEnd w:id="1622"/>
      <w:r>
        <w:rPr>
          <w:b/>
          <w:i w:val="0"/>
        </w:rPr>
        <w:t>I.3.16</w:t>
      </w:r>
      <w:r>
        <w:rPr>
          <w:b/>
          <w:i w:val="0"/>
        </w:rPr>
        <w:t>, source pp. 38–39.</w:t>
      </w:r>
      <w:r>
        <w:rPr>
          <w:b w:val="0"/>
          <w:i w:val="0"/>
        </w:rPr>
        <w:t xml:space="preserve"> Articles: </w:t>
      </w:r>
      <w:hyperlink w:anchor="ascent">
        <w:r>
          <w:rPr>
            <w:color w:val="000000"/>
          </w:rPr>
          <w:t xml:space="preserve">Ascent</w:t>
        </w:r>
      </w:hyperlink>
      <w:r>
        <w:rPr>
          <w:b w:val="0"/>
          <w:i w:val="0"/>
        </w:rPr>
        <w:t xml:space="preserve">; </w:t>
      </w:r>
      <w:hyperlink w:anchor="form">
        <w:r>
          <w:rPr>
            <w:color w:val="000000"/>
          </w:rPr>
          <w:t xml:space="preserve">Form</w:t>
        </w:r>
      </w:hyperlink>
      <w:r>
        <w:rPr>
          <w:b w:val="0"/>
          <w:i w:val="0"/>
        </w:rPr>
        <w:t xml:space="preserve">; </w:t>
      </w:r>
      <w:hyperlink w:anchor="indivisibility">
        <w:r>
          <w:rPr>
            <w:color w:val="000000"/>
          </w:rPr>
          <w:t xml:space="preserve">Indivisibility</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407">
        <w:r>
          <w:rPr>
            <w:color w:val="000000"/>
          </w:rPr>
          <w:t xml:space="preserve">exordium / exordiri</w:t>
        </w:r>
      </w:hyperlink>
      <w:r>
        <w:rPr>
          <w:b w:val="0"/>
          <w:i w:val="0"/>
        </w:rPr>
        <w:t xml:space="preserve">; </w:t>
      </w:r>
      <w:hyperlink w:anchor="latin-record-0800">
        <w:r>
          <w:rPr>
            <w:color w:val="000000"/>
          </w:rPr>
          <w:t xml:space="preserve">oportet / necesse est / debet</w:t>
        </w:r>
      </w:hyperlink>
      <w:r>
        <w:rPr>
          <w:b w:val="0"/>
          <w:i w:val="0"/>
        </w:rPr>
        <w:t xml:space="preserve">; </w:t>
      </w:r>
      <w:hyperlink w:anchor="latin-record-0969">
        <w:r>
          <w:rPr>
            <w:color w:val="000000"/>
          </w:rPr>
          <w:t xml:space="preserve">protendo / tumeo</w:t>
        </w:r>
      </w:hyperlink>
      <w:r>
        <w:rPr>
          <w:b w:val="0"/>
          <w:i w:val="0"/>
        </w:rPr>
        <w:t>.</w:t>
      </w:r>
    </w:p>
    <w:p>
      <w:pPr>
        <w:widowControl/>
      </w:pPr>
      <w:bookmarkStart w:id="1623" w:name="passage-i-3-17"/>
      <w:bookmarkEnd w:id="1623"/>
      <w:r>
        <w:rPr>
          <w:b/>
          <w:i w:val="0"/>
        </w:rPr>
        <w:t>I.3.17</w:t>
      </w:r>
      <w:r>
        <w:rPr>
          <w:b/>
          <w:i w:val="0"/>
        </w:rPr>
        <w:t>, source pp. 40–41.</w:t>
      </w:r>
      <w:r>
        <w:rPr>
          <w:b w:val="0"/>
          <w:i w:val="0"/>
        </w:rPr>
        <w:t xml:space="preserve"> Articles: </w:t>
      </w:r>
      <w:hyperlink w:anchor="art-and-nature">
        <w:r>
          <w:rPr>
            <w:color w:val="000000"/>
          </w:rPr>
          <w:t xml:space="preserve">Art and nature</w:t>
        </w:r>
      </w:hyperlink>
      <w:r>
        <w:rPr>
          <w:b w:val="0"/>
          <w:i w:val="0"/>
        </w:rPr>
        <w:t xml:space="preserve">; </w:t>
      </w:r>
      <w:hyperlink w:anchor="form">
        <w:r>
          <w:rPr>
            <w:color w:val="000000"/>
          </w:rPr>
          <w:t xml:space="preserve">Form</w:t>
        </w:r>
      </w:hyperlink>
      <w:r>
        <w:rPr>
          <w:b w:val="0"/>
          <w:i w:val="0"/>
        </w:rPr>
        <w:t xml:space="preserve">. Vocabulary: </w:t>
      </w:r>
      <w:hyperlink w:anchor="latin-record-0239">
        <w:r>
          <w:rPr>
            <w:color w:val="000000"/>
          </w:rPr>
          <w:t xml:space="preserve">conicio</w:t>
        </w:r>
      </w:hyperlink>
      <w:r>
        <w:rPr>
          <w:b w:val="0"/>
          <w:i w:val="0"/>
        </w:rPr>
        <w:t xml:space="preserve">; </w:t>
      </w:r>
      <w:hyperlink w:anchor="latin-record-0349">
        <w:r>
          <w:rPr>
            <w:color w:val="000000"/>
          </w:rPr>
          <w:t xml:space="preserve">dominor</w:t>
        </w:r>
      </w:hyperlink>
      <w:r>
        <w:rPr>
          <w:b w:val="0"/>
          <w:i w:val="0"/>
        </w:rPr>
        <w:t xml:space="preserve">; </w:t>
      </w:r>
      <w:hyperlink w:anchor="latin-record-0954">
        <w:r>
          <w:rPr>
            <w:color w:val="000000"/>
          </w:rPr>
          <w:t xml:space="preserve">prope / disto</w:t>
        </w:r>
      </w:hyperlink>
      <w:r>
        <w:rPr>
          <w:b w:val="0"/>
          <w:i w:val="0"/>
        </w:rPr>
        <w:t>.</w:t>
      </w:r>
    </w:p>
    <w:p>
      <w:pPr>
        <w:widowControl/>
      </w:pPr>
      <w:bookmarkStart w:id="1624" w:name="passage-i-3-18"/>
      <w:bookmarkEnd w:id="1624"/>
      <w:r>
        <w:rPr>
          <w:b/>
          <w:i w:val="0"/>
        </w:rPr>
        <w:t>I.3.18</w:t>
      </w:r>
      <w:r>
        <w:rPr>
          <w:b/>
          <w:i w:val="0"/>
        </w:rPr>
        <w:t>, source pp. 40–41.</w:t>
      </w:r>
      <w:r>
        <w:rPr>
          <w:b w:val="0"/>
          <w:i w:val="0"/>
        </w:rPr>
        <w:t xml:space="preserve"> Articles: </w:t>
      </w:r>
      <w:hyperlink w:anchor="art-and-nature">
        <w:r>
          <w:rPr>
            <w:color w:val="000000"/>
          </w:rPr>
          <w:t xml:space="preserve">Art and nature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form">
        <w:r>
          <w:rPr>
            <w:color w:val="000000"/>
          </w:rPr>
          <w:t xml:space="preserve">Form</w:t>
        </w:r>
      </w:hyperlink>
      <w:r>
        <w:rPr>
          <w:b w:val="0"/>
          <w:i w:val="0"/>
        </w:rPr>
        <w:t xml:space="preserve">; </w:t>
      </w:r>
      <w:hyperlink w:anchor="fountain-womb-and-offspring">
        <w:r>
          <w:rPr>
            <w:color w:val="000000"/>
          </w:rPr>
          <w:t xml:space="preserve">Fountain, womb and offspring</w:t>
        </w:r>
      </w:hyperlink>
      <w:r>
        <w:rPr>
          <w:b w:val="0"/>
          <w:i w:val="0"/>
        </w:rPr>
        <w:t xml:space="preserve">; </w:t>
      </w:r>
      <w:hyperlink w:anchor="instrument">
        <w:r>
          <w:rPr>
            <w:color w:val="000000"/>
          </w:rPr>
          <w:t xml:space="preserve">Instrument</w:t>
        </w:r>
      </w:hyperlink>
      <w:r>
        <w:rPr>
          <w:b w:val="0"/>
          <w:i w:val="0"/>
        </w:rPr>
        <w:t xml:space="preserve">; </w:t>
      </w:r>
      <w:hyperlink w:anchor="matter">
        <w:r>
          <w:rPr>
            <w:color w:val="000000"/>
          </w:rPr>
          <w:t xml:space="preserve">Matter</w:t>
        </w:r>
      </w:hyperlink>
      <w:r>
        <w:rPr>
          <w:b w:val="0"/>
          <w:i w:val="0"/>
        </w:rPr>
        <w:t xml:space="preserve">; </w:t>
      </w:r>
      <w:hyperlink w:anchor="support-inherence-and-dependence">
        <w:r>
          <w:rPr>
            <w:color w:val="000000"/>
          </w:rPr>
          <w:t xml:space="preserve">Support, inherence and dependence</w:t>
        </w:r>
      </w:hyperlink>
      <w:r>
        <w:rPr>
          <w:b w:val="0"/>
          <w:i w:val="0"/>
        </w:rPr>
        <w:t xml:space="preserve">. Vocabulary: </w:t>
      </w:r>
      <w:hyperlink w:anchor="latin-record-0391">
        <w:r>
          <w:rPr>
            <w:color w:val="000000"/>
          </w:rPr>
          <w:t xml:space="preserve">ex / per / in causal uses</w:t>
        </w:r>
      </w:hyperlink>
      <w:r>
        <w:rPr>
          <w:b w:val="0"/>
          <w:i w:val="0"/>
        </w:rPr>
        <w:t xml:space="preserve">; </w:t>
      </w:r>
      <w:hyperlink w:anchor="latin-record-0426">
        <w:r>
          <w:rPr>
            <w:color w:val="000000"/>
          </w:rPr>
          <w:t xml:space="preserve">facio / servo</w:t>
        </w:r>
      </w:hyperlink>
      <w:r>
        <w:rPr>
          <w:b w:val="0"/>
          <w:i w:val="0"/>
        </w:rPr>
        <w:t xml:space="preserve">; </w:t>
      </w:r>
      <w:hyperlink w:anchor="latin-record-0640">
        <w:r>
          <w:rPr>
            <w:color w:val="000000"/>
          </w:rPr>
          <w:t xml:space="preserve">liber / liberior</w:t>
        </w:r>
      </w:hyperlink>
      <w:r>
        <w:rPr>
          <w:b w:val="0"/>
          <w:i w:val="0"/>
        </w:rPr>
        <w:t xml:space="preserve">; </w:t>
      </w:r>
      <w:hyperlink w:anchor="latin-record-0949">
        <w:r>
          <w:rPr>
            <w:color w:val="000000"/>
          </w:rPr>
          <w:t xml:space="preserve">proles / gremium</w:t>
        </w:r>
      </w:hyperlink>
      <w:r>
        <w:rPr>
          <w:b w:val="0"/>
          <w:i w:val="0"/>
        </w:rPr>
        <w:t>.</w:t>
      </w:r>
    </w:p>
    <w:p>
      <w:pPr>
        <w:widowControl/>
      </w:pPr>
      <w:bookmarkStart w:id="1625" w:name="passage-i-3-19"/>
      <w:bookmarkEnd w:id="1625"/>
      <w:r>
        <w:rPr>
          <w:b/>
          <w:i w:val="0"/>
        </w:rPr>
        <w:t>I.3.19</w:t>
      </w:r>
      <w:r>
        <w:rPr>
          <w:b/>
          <w:i w:val="0"/>
        </w:rPr>
        <w:t>, source pp. 42–43.</w:t>
      </w:r>
      <w:r>
        <w:rPr>
          <w:b w:val="0"/>
          <w:i w:val="0"/>
        </w:rPr>
        <w:t xml:space="preserve"> Articles: </w:t>
      </w:r>
      <w:hyperlink w:anchor="affection-and-passivity">
        <w:r>
          <w:rPr>
            <w:color w:val="000000"/>
          </w:rPr>
          <w:t xml:space="preserve">Affection and passivity</w:t>
        </w:r>
      </w:hyperlink>
      <w:r>
        <w:rPr>
          <w:b w:val="0"/>
          <w:i w:val="0"/>
        </w:rPr>
        <w:t xml:space="preserve">; </w:t>
      </w:r>
      <w:hyperlink w:anchor="degree-and-mediation">
        <w:r>
          <w:rPr>
            <w:color w:val="000000"/>
          </w:rPr>
          <w:t xml:space="preserve">Degree and mediation</w:t>
        </w:r>
      </w:hyperlink>
      <w:r>
        <w:rPr>
          <w:b w:val="0"/>
          <w:i w:val="0"/>
        </w:rPr>
        <w:t xml:space="preserve">; </w:t>
      </w:r>
      <w:hyperlink w:anchor="image-and-likeness">
        <w:r>
          <w:rPr>
            <w:color w:val="000000"/>
          </w:rPr>
          <w:t xml:space="preserve">Image and likeness</w:t>
        </w:r>
      </w:hyperlink>
      <w:r>
        <w:rPr>
          <w:b w:val="0"/>
          <w:i w:val="0"/>
        </w:rPr>
        <w:t xml:space="preserve">; </w:t>
      </w:r>
      <w:hyperlink w:anchor="matter">
        <w:r>
          <w:rPr>
            <w:color w:val="000000"/>
          </w:rPr>
          <w:t xml:space="preserve">Matter</w:t>
        </w:r>
      </w:hyperlink>
      <w:r>
        <w:rPr>
          <w:b w:val="0"/>
          <w:i w:val="0"/>
        </w:rPr>
        <w:t xml:space="preserve">; </w:t>
      </w:r>
      <w:hyperlink w:anchor="nothing-and-nonbeing">
        <w:r>
          <w:rPr>
            <w:color w:val="000000"/>
          </w:rPr>
          <w:t xml:space="preserve">Nothing and nonbeing</w:t>
        </w:r>
      </w:hyperlink>
      <w:r>
        <w:rPr>
          <w:b w:val="0"/>
          <w:i w:val="0"/>
        </w:rPr>
        <w:t xml:space="preserve">; </w:t>
      </w:r>
      <w:hyperlink w:anchor="quality">
        <w:r>
          <w:rPr>
            <w:color w:val="000000"/>
          </w:rPr>
          <w:t xml:space="preserve">Quality</w:t>
        </w:r>
      </w:hyperlink>
      <w:r>
        <w:rPr>
          <w:b w:val="0"/>
          <w:i w:val="0"/>
        </w:rPr>
        <w:t xml:space="preserve">; </w:t>
      </w:r>
      <w:hyperlink w:anchor="quantity-and-dimension">
        <w:r>
          <w:rPr>
            <w:color w:val="000000"/>
          </w:rPr>
          <w:t xml:space="preserve">Quantity and dimension</w:t>
        </w:r>
      </w:hyperlink>
      <w:r>
        <w:rPr>
          <w:b w:val="0"/>
          <w:i w:val="0"/>
        </w:rPr>
        <w:t xml:space="preserve">. Vocabulary: </w:t>
      </w:r>
      <w:hyperlink w:anchor="latin-record-0049">
        <w:r>
          <w:rPr>
            <w:color w:val="000000"/>
          </w:rPr>
          <w:t xml:space="preserve">alii quidam / Peripatetici</w:t>
        </w:r>
      </w:hyperlink>
      <w:r>
        <w:rPr>
          <w:b w:val="0"/>
          <w:i w:val="0"/>
        </w:rPr>
        <w:t xml:space="preserve">; </w:t>
      </w:r>
      <w:hyperlink w:anchor="latin-record-0455">
        <w:r>
          <w:rPr>
            <w:color w:val="000000"/>
          </w:rPr>
          <w:t xml:space="preserve">fluctuo / labens</w:t>
        </w:r>
      </w:hyperlink>
      <w:r>
        <w:rPr>
          <w:b w:val="0"/>
          <w:i w:val="0"/>
        </w:rPr>
        <w:t xml:space="preserve">; </w:t>
      </w:r>
      <w:hyperlink w:anchor="latin-record-0675">
        <w:r>
          <w:rPr>
            <w:color w:val="000000"/>
          </w:rPr>
          <w:t xml:space="preserve">materia aliena / propria</w:t>
        </w:r>
      </w:hyperlink>
      <w:r>
        <w:rPr>
          <w:b w:val="0"/>
          <w:i w:val="0"/>
        </w:rPr>
        <w:t xml:space="preserve">; </w:t>
      </w:r>
      <w:hyperlink w:anchor="latin-record-0690">
        <w:r>
          <w:rPr>
            <w:color w:val="000000"/>
          </w:rPr>
          <w:t xml:space="preserve">Mercurius Trismegistus / Timaeus</w:t>
        </w:r>
      </w:hyperlink>
      <w:r>
        <w:rPr>
          <w:b w:val="0"/>
          <w:i w:val="0"/>
        </w:rPr>
        <w:t xml:space="preserve">; </w:t>
      </w:r>
      <w:hyperlink w:anchor="latin-record-0761">
        <w:r>
          <w:rPr>
            <w:color w:val="000000"/>
          </w:rPr>
          <w:t xml:space="preserve">nihilo proximus</w:t>
        </w:r>
      </w:hyperlink>
      <w:r>
        <w:rPr>
          <w:b w:val="0"/>
          <w:i w:val="0"/>
        </w:rPr>
        <w:t xml:space="preserve">; </w:t>
      </w:r>
      <w:hyperlink w:anchor="latin-record-0884">
        <w:r>
          <w:rPr>
            <w:color w:val="000000"/>
          </w:rPr>
          <w:t xml:space="preserve">Plotinus</w:t>
        </w:r>
      </w:hyperlink>
      <w:r>
        <w:rPr>
          <w:b w:val="0"/>
          <w:i w:val="0"/>
        </w:rPr>
        <w:t xml:space="preserve">; </w:t>
      </w:r>
      <w:hyperlink w:anchor="latin-record-0898">
        <w:r>
          <w:rPr>
            <w:color w:val="000000"/>
          </w:rPr>
          <w:t xml:space="preserve">postponing and returning</w:t>
        </w:r>
      </w:hyperlink>
      <w:r>
        <w:rPr>
          <w:b w:val="0"/>
          <w:i w:val="0"/>
        </w:rPr>
        <w:t xml:space="preserve">; </w:t>
      </w:r>
      <w:hyperlink w:anchor="latin-record-1218">
        <w:r>
          <w:rPr>
            <w:color w:val="000000"/>
          </w:rPr>
          <w:t xml:space="preserve">umbra arborum in torrente</w:t>
        </w:r>
      </w:hyperlink>
      <w:r>
        <w:rPr>
          <w:b w:val="0"/>
          <w:i w:val="0"/>
        </w:rPr>
        <w:t xml:space="preserve">; </w:t>
      </w:r>
      <w:hyperlink w:anchor="latin-record-1236">
        <w:r>
          <w:rPr>
            <w:color w:val="000000"/>
          </w:rPr>
          <w:t xml:space="preserve">vanus / umbratilis</w:t>
        </w:r>
      </w:hyperlink>
      <w:r>
        <w:rPr>
          <w:b w:val="0"/>
          <w:i w:val="0"/>
        </w:rPr>
        <w:t>.</w:t>
      </w:r>
    </w:p>
    <w:p>
      <w:pPr>
        <w:widowControl/>
      </w:pPr>
      <w:bookmarkStart w:id="1626" w:name="passage-i-3-20"/>
      <w:bookmarkEnd w:id="1626"/>
      <w:r>
        <w:rPr>
          <w:b/>
          <w:i w:val="0"/>
        </w:rPr>
        <w:t>I.3.20</w:t>
      </w:r>
      <w:r>
        <w:rPr>
          <w:b/>
          <w:i w:val="0"/>
        </w:rPr>
        <w:t>, source pp. 42–43.</w:t>
      </w:r>
      <w:r>
        <w:rPr>
          <w:b w:val="0"/>
          <w:i w:val="0"/>
        </w:rPr>
        <w:t xml:space="preserve"> Articles: </w:t>
      </w:r>
      <w:hyperlink w:anchor="affection-and-passivity">
        <w:r>
          <w:rPr>
            <w:color w:val="000000"/>
          </w:rPr>
          <w:t xml:space="preserve">Affection and passivity</w:t>
        </w:r>
      </w:hyperlink>
      <w:r>
        <w:rPr>
          <w:b w:val="0"/>
          <w:i w:val="0"/>
        </w:rPr>
        <w:t xml:space="preserve">; </w:t>
      </w:r>
      <w:hyperlink w:anchor="infection-lameness-and-lethe">
        <w:r>
          <w:rPr>
            <w:color w:val="000000"/>
          </w:rPr>
          <w:t xml:space="preserve">Infection, lameness and Lethe</w:t>
        </w:r>
      </w:hyperlink>
      <w:r>
        <w:rPr>
          <w:b w:val="0"/>
          <w:i w:val="0"/>
        </w:rPr>
        <w:t xml:space="preserve">; </w:t>
      </w:r>
      <w:hyperlink w:anchor="quality">
        <w:r>
          <w:rPr>
            <w:color w:val="000000"/>
          </w:rPr>
          <w:t xml:space="preserve">Quality</w:t>
        </w:r>
      </w:hyperlink>
      <w:r>
        <w:rPr>
          <w:b w:val="0"/>
          <w:i w:val="0"/>
        </w:rPr>
        <w:t xml:space="preserve">. Vocabulary: </w:t>
      </w:r>
      <w:hyperlink w:anchor="latin-record-0171">
        <w:r>
          <w:rPr>
            <w:color w:val="000000"/>
          </w:rPr>
          <w:t xml:space="preserve">claudico</w:t>
        </w:r>
      </w:hyperlink>
      <w:r>
        <w:rPr>
          <w:b w:val="0"/>
          <w:i w:val="0"/>
        </w:rPr>
        <w:t>.</w:t>
      </w:r>
    </w:p>
    <w:p>
      <w:pPr>
        <w:widowControl/>
      </w:pPr>
      <w:bookmarkStart w:id="1627" w:name="passage-i-3-21"/>
      <w:bookmarkEnd w:id="1627"/>
      <w:r>
        <w:rPr>
          <w:b/>
          <w:i w:val="0"/>
        </w:rPr>
        <w:t>I.3.21</w:t>
      </w:r>
      <w:r>
        <w:rPr>
          <w:b/>
          <w:i w:val="0"/>
        </w:rPr>
        <w:t>, source pp. 44–45.</w:t>
      </w:r>
      <w:r>
        <w:rPr>
          <w:b w:val="0"/>
          <w:i w:val="0"/>
        </w:rPr>
        <w:t xml:space="preserve"> Articles: </w:t>
      </w:r>
      <w:hyperlink w:anchor="infection-lameness-and-lethe">
        <w:r>
          <w:rPr>
            <w:color w:val="000000"/>
          </w:rPr>
          <w:t xml:space="preserve">Infection, lameness and Lethe</w:t>
        </w:r>
      </w:hyperlink>
      <w:r>
        <w:rPr>
          <w:b w:val="0"/>
          <w:i w:val="0"/>
        </w:rPr>
        <w:t xml:space="preserve">; </w:t>
      </w:r>
      <w:hyperlink w:anchor="quality">
        <w:r>
          <w:rPr>
            <w:color w:val="000000"/>
          </w:rPr>
          <w:t xml:space="preserve">Quality</w:t>
        </w:r>
      </w:hyperlink>
      <w:r>
        <w:rPr>
          <w:b w:val="0"/>
          <w:i w:val="0"/>
        </w:rPr>
        <w:t xml:space="preserve">. Vocabulary: </w:t>
      </w:r>
      <w:hyperlink w:anchor="latin-record-0171">
        <w:r>
          <w:rPr>
            <w:color w:val="000000"/>
          </w:rPr>
          <w:t xml:space="preserve">claudico</w:t>
        </w:r>
      </w:hyperlink>
      <w:r>
        <w:rPr>
          <w:b w:val="0"/>
          <w:i w:val="0"/>
        </w:rPr>
        <w:t xml:space="preserve">; </w:t>
      </w:r>
      <w:hyperlink w:anchor="latin-record-0564">
        <w:r>
          <w:rPr>
            <w:color w:val="000000"/>
          </w:rPr>
          <w:t xml:space="preserve">inficio / inquino</w:t>
        </w:r>
      </w:hyperlink>
      <w:r>
        <w:rPr>
          <w:b w:val="0"/>
          <w:i w:val="0"/>
        </w:rPr>
        <w:t xml:space="preserve">; </w:t>
      </w:r>
      <w:hyperlink w:anchor="latin-record-0636">
        <w:r>
          <w:rPr>
            <w:color w:val="000000"/>
          </w:rPr>
          <w:t xml:space="preserve">Letheus / mergo</w:t>
        </w:r>
      </w:hyperlink>
      <w:r>
        <w:rPr>
          <w:b w:val="0"/>
          <w:i w:val="0"/>
        </w:rPr>
        <w:t xml:space="preserve">; </w:t>
      </w:r>
      <w:hyperlink w:anchor="latin-record-0745">
        <w:r>
          <w:rPr>
            <w:color w:val="000000"/>
          </w:rPr>
          <w:t xml:space="preserve">ne / nisi</w:t>
        </w:r>
      </w:hyperlink>
      <w:r>
        <w:rPr>
          <w:b w:val="0"/>
          <w:i w:val="0"/>
        </w:rPr>
        <w:t xml:space="preserve">; </w:t>
      </w:r>
      <w:hyperlink w:anchor="latin-record-1062">
        <w:r>
          <w:rPr>
            <w:color w:val="000000"/>
          </w:rPr>
          <w:t xml:space="preserve">roboro / duco</w:t>
        </w:r>
      </w:hyperlink>
      <w:r>
        <w:rPr>
          <w:b w:val="0"/>
          <w:i w:val="0"/>
        </w:rPr>
        <w:t>.</w:t>
      </w:r>
    </w:p>
    <w:p>
      <w:pPr>
        <w:widowControl/>
      </w:pPr>
      <w:bookmarkStart w:id="1628" w:name="passage-i-3-22"/>
      <w:bookmarkEnd w:id="1628"/>
      <w:r>
        <w:rPr>
          <w:b/>
          <w:i w:val="0"/>
        </w:rPr>
        <w:t>I.3.22</w:t>
      </w:r>
      <w:r>
        <w:rPr>
          <w:b/>
          <w:i w:val="0"/>
        </w:rPr>
        <w:t>, source pp. 44–45.</w:t>
      </w:r>
      <w:r>
        <w:rPr>
          <w:b w:val="0"/>
          <w:i w:val="0"/>
        </w:rPr>
        <w:t xml:space="preserve"> Articles: </w:t>
      </w:r>
      <w:hyperlink w:anchor="fire-spark-lightning-and-cannon">
        <w:r>
          <w:rPr>
            <w:color w:val="000000"/>
          </w:rPr>
          <w:t xml:space="preserve">Fire, spark, lightning and cannon</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infection-lameness-and-lethe">
        <w:r>
          <w:rPr>
            <w:color w:val="000000"/>
          </w:rPr>
          <w:t xml:space="preserve">Infection, lameness and Lethe</w:t>
        </w:r>
      </w:hyperlink>
      <w:r>
        <w:rPr>
          <w:b w:val="0"/>
          <w:i w:val="0"/>
        </w:rPr>
        <w:t xml:space="preserve">; </w:t>
      </w:r>
      <w:hyperlink w:anchor="life">
        <w:r>
          <w:rPr>
            <w:color w:val="000000"/>
          </w:rPr>
          <w:t xml:space="preserve">Life</w:t>
        </w:r>
      </w:hyperlink>
      <w:r>
        <w:rPr>
          <w:b w:val="0"/>
          <w:i w:val="0"/>
        </w:rPr>
        <w:t xml:space="preserve">; </w:t>
      </w:r>
      <w:hyperlink w:anchor="order-and-harmony">
        <w:r>
          <w:rPr>
            <w:color w:val="000000"/>
          </w:rPr>
          <w:t xml:space="preserve">Order and harmony</w:t>
        </w:r>
      </w:hyperlink>
      <w:r>
        <w:rPr>
          <w:b w:val="0"/>
          <w:i w:val="0"/>
        </w:rPr>
        <w:t xml:space="preserve">; </w:t>
      </w:r>
      <w:hyperlink w:anchor="reason-and-account">
        <w:r>
          <w:rPr>
            <w:color w:val="000000"/>
          </w:rPr>
          <w:t xml:space="preserve">Reason and account</w:t>
        </w:r>
      </w:hyperlink>
      <w:r>
        <w:rPr>
          <w:b w:val="0"/>
          <w:i w:val="0"/>
        </w:rPr>
        <w:t xml:space="preserve">; </w:t>
      </w:r>
      <w:hyperlink w:anchor="seeds">
        <w:r>
          <w:rPr>
            <w:color w:val="000000"/>
          </w:rPr>
          <w:t xml:space="preserve">Seeds</w:t>
        </w:r>
      </w:hyperlink>
      <w:r>
        <w:rPr>
          <w:b w:val="0"/>
          <w:i w:val="0"/>
        </w:rPr>
        <w:t xml:space="preserve">; </w:t>
      </w:r>
      <w:hyperlink w:anchor="species">
        <w:r>
          <w:rPr>
            <w:color w:val="000000"/>
          </w:rPr>
          <w:t xml:space="preserve">Species</w:t>
        </w:r>
      </w:hyperlink>
      <w:r>
        <w:rPr>
          <w:b w:val="0"/>
          <w:i w:val="0"/>
        </w:rPr>
        <w:t xml:space="preserve">; </w:t>
      </w:r>
      <w:hyperlink w:anchor="substance-and-accident">
        <w:r>
          <w:rPr>
            <w:color w:val="000000"/>
          </w:rPr>
          <w:t xml:space="preserve">Substance and accident</w:t>
        </w:r>
      </w:hyperlink>
      <w:r>
        <w:rPr>
          <w:b w:val="0"/>
          <w:i w:val="0"/>
        </w:rPr>
        <w:t xml:space="preserve">. Vocabulary: </w:t>
      </w:r>
      <w:hyperlink w:anchor="latin-record-0186">
        <w:r>
          <w:rPr>
            <w:color w:val="000000"/>
          </w:rPr>
          <w:t xml:space="preserve">collisio / reflexio / lana</w:t>
        </w:r>
      </w:hyperlink>
      <w:r>
        <w:rPr>
          <w:b w:val="0"/>
          <w:i w:val="0"/>
        </w:rPr>
        <w:t xml:space="preserve">; </w:t>
      </w:r>
      <w:hyperlink w:anchor="latin-record-0654">
        <w:r>
          <w:rPr>
            <w:color w:val="000000"/>
          </w:rPr>
          <w:t xml:space="preserve">lutum / fimus / rana / musca</w:t>
        </w:r>
      </w:hyperlink>
      <w:r>
        <w:rPr>
          <w:b w:val="0"/>
          <w:i w:val="0"/>
        </w:rPr>
        <w:t xml:space="preserve">; </w:t>
      </w:r>
      <w:hyperlink w:anchor="latin-record-0717">
        <w:r>
          <w:rPr>
            <w:color w:val="000000"/>
          </w:rPr>
          <w:t xml:space="preserve">mors / resolutio</w:t>
        </w:r>
      </w:hyperlink>
      <w:r>
        <w:rPr>
          <w:b w:val="0"/>
          <w:i w:val="0"/>
        </w:rPr>
        <w:t xml:space="preserve">; </w:t>
      </w:r>
      <w:hyperlink w:anchor="latin-record-1062">
        <w:r>
          <w:rPr>
            <w:color w:val="000000"/>
          </w:rPr>
          <w:t xml:space="preserve">roboro / duco</w:t>
        </w:r>
      </w:hyperlink>
      <w:r>
        <w:rPr>
          <w:b w:val="0"/>
          <w:i w:val="0"/>
        </w:rPr>
        <w:t xml:space="preserve">; </w:t>
      </w:r>
      <w:hyperlink w:anchor="latin-record-1085">
        <w:r>
          <w:rPr>
            <w:color w:val="000000"/>
          </w:rPr>
          <w:t xml:space="preserve">semen / flos</w:t>
        </w:r>
      </w:hyperlink>
      <w:r>
        <w:rPr>
          <w:b w:val="0"/>
          <w:i w:val="0"/>
        </w:rPr>
        <w:t>.</w:t>
      </w:r>
    </w:p>
    <w:p>
      <w:pPr>
        <w:widowControl/>
      </w:pPr>
      <w:bookmarkStart w:id="1629" w:name="passage-i-3-23"/>
      <w:bookmarkEnd w:id="1629"/>
      <w:r>
        <w:rPr>
          <w:b/>
          <w:i w:val="0"/>
        </w:rPr>
        <w:t>I.3.23</w:t>
      </w:r>
      <w:r>
        <w:rPr>
          <w:b/>
          <w:i w:val="0"/>
        </w:rPr>
        <w:t>, source pp. 44–45.</w:t>
      </w:r>
      <w:r>
        <w:rPr>
          <w:b w:val="0"/>
          <w:i w:val="0"/>
        </w:rPr>
        <w:t xml:space="preserve"> Articles: </w:t>
      </w:r>
      <w:hyperlink w:anchor="contraries-and-opposition">
        <w:r>
          <w:rPr>
            <w:color w:val="000000"/>
          </w:rPr>
          <w:t xml:space="preserve">Contraries and opposition</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life">
        <w:r>
          <w:rPr>
            <w:color w:val="000000"/>
          </w:rPr>
          <w:t xml:space="preserve">Life</w:t>
        </w:r>
      </w:hyperlink>
      <w:r>
        <w:rPr>
          <w:b w:val="0"/>
          <w:i w:val="0"/>
        </w:rPr>
        <w:t xml:space="preserve">; </w:t>
      </w:r>
      <w:hyperlink w:anchor="nourishment-digestion-and-growth">
        <w:r>
          <w:rPr>
            <w:color w:val="000000"/>
          </w:rPr>
          <w:t xml:space="preserve">Nourishment, digestion and growth</w:t>
        </w:r>
      </w:hyperlink>
      <w:r>
        <w:rPr>
          <w:b w:val="0"/>
          <w:i w:val="0"/>
        </w:rPr>
        <w:t xml:space="preserve">; </w:t>
      </w:r>
      <w:hyperlink w:anchor="order-and-harmony">
        <w:r>
          <w:rPr>
            <w:color w:val="000000"/>
          </w:rPr>
          <w:t xml:space="preserve">Order and harmony</w:t>
        </w:r>
      </w:hyperlink>
      <w:r>
        <w:rPr>
          <w:b w:val="0"/>
          <w:i w:val="0"/>
        </w:rPr>
        <w:t xml:space="preserve">; </w:t>
      </w:r>
      <w:hyperlink w:anchor="world-and-universe">
        <w:r>
          <w:rPr>
            <w:color w:val="000000"/>
          </w:rPr>
          <w:t xml:space="preserve">World and universe</w:t>
        </w:r>
      </w:hyperlink>
      <w:r>
        <w:rPr>
          <w:b w:val="0"/>
          <w:i w:val="0"/>
        </w:rPr>
        <w:t xml:space="preserve">. Vocabulary: </w:t>
      </w:r>
      <w:hyperlink w:anchor="latin-record-0221">
        <w:r>
          <w:rPr>
            <w:color w:val="000000"/>
          </w:rPr>
          <w:t xml:space="preserve">concilio / vincit in unum</w:t>
        </w:r>
      </w:hyperlink>
      <w:r>
        <w:rPr>
          <w:b w:val="0"/>
          <w:i w:val="0"/>
        </w:rPr>
        <w:t xml:space="preserve">; </w:t>
      </w:r>
      <w:hyperlink w:anchor="latin-record-0225">
        <w:r>
          <w:rPr>
            <w:color w:val="000000"/>
          </w:rPr>
          <w:t xml:space="preserve">concoquo / digero</w:t>
        </w:r>
      </w:hyperlink>
      <w:r>
        <w:rPr>
          <w:b w:val="0"/>
          <w:i w:val="0"/>
        </w:rPr>
        <w:t xml:space="preserve">; </w:t>
      </w:r>
      <w:hyperlink w:anchor="latin-record-0704">
        <w:r>
          <w:rPr>
            <w:color w:val="000000"/>
          </w:rPr>
          <w:t xml:space="preserve">mirus / mirabilis / mirabiliter</w:t>
        </w:r>
      </w:hyperlink>
      <w:r>
        <w:rPr>
          <w:b w:val="0"/>
          <w:i w:val="0"/>
        </w:rPr>
        <w:t xml:space="preserve">; </w:t>
      </w:r>
      <w:hyperlink w:anchor="latin-record-0778">
        <w:r>
          <w:rPr>
            <w:color w:val="000000"/>
          </w:rPr>
          <w:t xml:space="preserve">nutrimentum / alimentum</w:t>
        </w:r>
      </w:hyperlink>
      <w:r>
        <w:rPr>
          <w:b w:val="0"/>
          <w:i w:val="0"/>
        </w:rPr>
        <w:t xml:space="preserve">; </w:t>
      </w:r>
      <w:hyperlink w:anchor="latin-record-0961">
        <w:r>
          <w:rPr>
            <w:color w:val="000000"/>
          </w:rPr>
          <w:t xml:space="preserve">proprietas</w:t>
        </w:r>
      </w:hyperlink>
      <w:r>
        <w:rPr>
          <w:b w:val="0"/>
          <w:i w:val="0"/>
        </w:rPr>
        <w:t xml:space="preserve">; </w:t>
      </w:r>
      <w:hyperlink w:anchor="latin-record-1150">
        <w:r>
          <w:rPr>
            <w:color w:val="000000"/>
          </w:rPr>
          <w:t xml:space="preserve">suaviter / ordinate</w:t>
        </w:r>
      </w:hyperlink>
      <w:r>
        <w:rPr>
          <w:b w:val="0"/>
          <w:i w:val="0"/>
        </w:rPr>
        <w:t xml:space="preserve">; </w:t>
      </w:r>
      <w:hyperlink w:anchor="latin-record-1176">
        <w:r>
          <w:rPr>
            <w:color w:val="000000"/>
          </w:rPr>
          <w:t xml:space="preserve">sursum / deorsum</w:t>
        </w:r>
      </w:hyperlink>
      <w:r>
        <w:rPr>
          <w:b w:val="0"/>
          <w:i w:val="0"/>
        </w:rPr>
        <w:t xml:space="preserve">; </w:t>
      </w:r>
      <w:hyperlink w:anchor="latin-record-1266">
        <w:r>
          <w:rPr>
            <w:color w:val="000000"/>
          </w:rPr>
          <w:t xml:space="preserve">violentia / usus vitae</w:t>
        </w:r>
      </w:hyperlink>
      <w:r>
        <w:rPr>
          <w:b w:val="0"/>
          <w:i w:val="0"/>
        </w:rPr>
        <w:t>.</w:t>
      </w:r>
    </w:p>
    <w:p>
      <w:pPr>
        <w:widowControl/>
      </w:pPr>
      <w:bookmarkStart w:id="1630" w:name="passage-i-3-24"/>
      <w:bookmarkEnd w:id="1630"/>
      <w:r>
        <w:rPr>
          <w:b/>
          <w:i w:val="0"/>
        </w:rPr>
        <w:t>I.3.24</w:t>
      </w:r>
      <w:r>
        <w:rPr>
          <w:b/>
          <w:i w:val="0"/>
        </w:rPr>
        <w:t>, source pp. 46–47.</w:t>
      </w:r>
      <w:r>
        <w:rPr>
          <w:b w:val="0"/>
          <w:i w:val="0"/>
        </w:rPr>
        <w:t xml:space="preserve"> Articles: </w:t>
      </w:r>
      <w:hyperlink w:anchor="cause">
        <w:r>
          <w:rPr>
            <w:color w:val="000000"/>
          </w:rPr>
          <w:t xml:space="preserve">Cause</w:t>
        </w:r>
      </w:hyperlink>
      <w:r>
        <w:rPr>
          <w:b w:val="0"/>
          <w:i w:val="0"/>
        </w:rPr>
        <w:t xml:space="preserve">; </w:t>
      </w:r>
      <w:hyperlink w:anchor="form">
        <w:r>
          <w:rPr>
            <w:color w:val="000000"/>
          </w:rPr>
          <w:t xml:space="preserve">Form</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infinity">
        <w:r>
          <w:rPr>
            <w:color w:val="000000"/>
          </w:rPr>
          <w:t xml:space="preserve">Infinity</w:t>
        </w:r>
      </w:hyperlink>
      <w:r>
        <w:rPr>
          <w:b w:val="0"/>
          <w:i w:val="0"/>
        </w:rPr>
        <w:t xml:space="preserve">; </w:t>
      </w:r>
      <w:hyperlink w:anchor="precedence-and-causal-regress">
        <w:r>
          <w:rPr>
            <w:color w:val="000000"/>
          </w:rPr>
          <w:t xml:space="preserve">Precedence and causal regress</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world-and-universe">
        <w:r>
          <w:rPr>
            <w:color w:val="000000"/>
          </w:rPr>
          <w:t xml:space="preserve">World and universe</w:t>
        </w:r>
      </w:hyperlink>
      <w:r>
        <w:rPr>
          <w:b w:val="0"/>
          <w:i w:val="0"/>
        </w:rPr>
        <w:t xml:space="preserve">. Vocabulary: </w:t>
      </w:r>
      <w:hyperlink w:anchor="latin-record-0183">
        <w:r>
          <w:rPr>
            <w:color w:val="000000"/>
          </w:rPr>
          <w:t xml:space="preserve">collige</w:t>
        </w:r>
      </w:hyperlink>
      <w:r>
        <w:rPr>
          <w:b w:val="0"/>
          <w:i w:val="0"/>
        </w:rPr>
        <w:t xml:space="preserve">; </w:t>
      </w:r>
      <w:hyperlink w:anchor="latin-record-0745">
        <w:r>
          <w:rPr>
            <w:color w:val="000000"/>
          </w:rPr>
          <w:t xml:space="preserve">ne / nisi</w:t>
        </w:r>
      </w:hyperlink>
      <w:r>
        <w:rPr>
          <w:b w:val="0"/>
          <w:i w:val="0"/>
        </w:rPr>
        <w:t xml:space="preserve">; </w:t>
      </w:r>
      <w:hyperlink w:anchor="latin-record-0947">
        <w:r>
          <w:rPr>
            <w:color w:val="000000"/>
          </w:rPr>
          <w:t xml:space="preserve">progressio in infinitum</w:t>
        </w:r>
      </w:hyperlink>
      <w:r>
        <w:rPr>
          <w:b w:val="0"/>
          <w:i w:val="0"/>
        </w:rPr>
        <w:t xml:space="preserve">; </w:t>
      </w:r>
      <w:hyperlink w:anchor="latin-record-1095">
        <w:r>
          <w:rPr>
            <w:color w:val="000000"/>
          </w:rPr>
          <w:t xml:space="preserve">separo / seiungo</w:t>
        </w:r>
      </w:hyperlink>
      <w:r>
        <w:rPr>
          <w:b w:val="0"/>
          <w:i w:val="0"/>
        </w:rPr>
        <w:t>.</w:t>
      </w:r>
    </w:p>
    <w:p>
      <w:pPr>
        <w:widowControl/>
      </w:pPr>
      <w:bookmarkStart w:id="1631" w:name="passage-i-3-25"/>
      <w:bookmarkEnd w:id="1631"/>
      <w:r>
        <w:rPr>
          <w:b/>
          <w:i w:val="0"/>
        </w:rPr>
        <w:t>I.3.25</w:t>
      </w:r>
      <w:r>
        <w:rPr>
          <w:b/>
          <w:i w:val="0"/>
        </w:rPr>
        <w:t>, source pp. 46–47.</w:t>
      </w:r>
      <w:r>
        <w:rPr>
          <w:b w:val="0"/>
          <w:i w:val="0"/>
        </w:rPr>
        <w:t xml:space="preserve"> Articles: </w:t>
      </w:r>
      <w:hyperlink w:anchor="essence-and-substance">
        <w:r>
          <w:rPr>
            <w:color w:val="000000"/>
          </w:rPr>
          <w:t xml:space="preserve">Essence and substance</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perfection">
        <w:r>
          <w:rPr>
            <w:color w:val="000000"/>
          </w:rPr>
          <w:t xml:space="preserve">Perfection</w:t>
        </w:r>
      </w:hyperlink>
      <w:r>
        <w:rPr>
          <w:b w:val="0"/>
          <w:i w:val="0"/>
        </w:rPr>
        <w:t xml:space="preserve">; </w:t>
      </w:r>
      <w:hyperlink w:anchor="power-and-potency">
        <w:r>
          <w:rPr>
            <w:color w:val="000000"/>
          </w:rPr>
          <w:t xml:space="preserve">Power and potency</w:t>
        </w:r>
      </w:hyperlink>
      <w:r>
        <w:rPr>
          <w:b w:val="0"/>
          <w:i w:val="0"/>
        </w:rPr>
        <w:t xml:space="preserve">; </w:t>
      </w:r>
      <w:hyperlink w:anchor="precedence-and-causal-regress">
        <w:r>
          <w:rPr>
            <w:color w:val="000000"/>
          </w:rPr>
          <w:t xml:space="preserve">Precedence and causal regress</w:t>
        </w:r>
      </w:hyperlink>
      <w:r>
        <w:rPr>
          <w:b w:val="0"/>
          <w:i w:val="0"/>
        </w:rPr>
        <w:t xml:space="preserve">; </w:t>
      </w:r>
      <w:hyperlink w:anchor="quantity-and-dimension">
        <w:r>
          <w:rPr>
            <w:color w:val="000000"/>
          </w:rPr>
          <w:t xml:space="preserve">Quantity and dimension</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ubstance-and-accident">
        <w:r>
          <w:rPr>
            <w:color w:val="000000"/>
          </w:rPr>
          <w:t xml:space="preserve">Substance and accident</w:t>
        </w:r>
      </w:hyperlink>
      <w:r>
        <w:rPr>
          <w:b w:val="0"/>
          <w:i w:val="0"/>
        </w:rPr>
        <w:t xml:space="preserve">; </w:t>
      </w:r>
      <w:hyperlink w:anchor="world-and-universe">
        <w:r>
          <w:rPr>
            <w:color w:val="000000"/>
          </w:rPr>
          <w:t xml:space="preserve">World and universe</w:t>
        </w:r>
      </w:hyperlink>
      <w:r>
        <w:rPr>
          <w:b w:val="0"/>
          <w:i w:val="0"/>
        </w:rPr>
        <w:t xml:space="preserve">. Vocabulary: </w:t>
      </w:r>
      <w:hyperlink w:anchor="latin-record-0746">
        <w:r>
          <w:rPr>
            <w:color w:val="000000"/>
          </w:rPr>
          <w:t xml:space="preserve">ne frustra / ne inane</w:t>
        </w:r>
      </w:hyperlink>
      <w:r>
        <w:rPr>
          <w:b w:val="0"/>
          <w:i w:val="0"/>
        </w:rPr>
        <w:t xml:space="preserve">; </w:t>
      </w:r>
      <w:hyperlink w:anchor="latin-record-0872">
        <w:r>
          <w:rPr>
            <w:color w:val="000000"/>
          </w:rPr>
          <w:t xml:space="preserve">physici</w:t>
        </w:r>
      </w:hyperlink>
      <w:r>
        <w:rPr>
          <w:b w:val="0"/>
          <w:i w:val="0"/>
        </w:rPr>
        <w:t xml:space="preserve">; </w:t>
      </w:r>
      <w:hyperlink w:anchor="latin-record-0897">
        <w:r>
          <w:rPr>
            <w:color w:val="000000"/>
          </w:rPr>
          <w:t xml:space="preserve">possum</w:t>
        </w:r>
      </w:hyperlink>
      <w:r>
        <w:rPr>
          <w:b w:val="0"/>
          <w:i w:val="0"/>
        </w:rPr>
        <w:t xml:space="preserve">; </w:t>
      </w:r>
      <w:hyperlink w:anchor="latin-record-0930">
        <w:r>
          <w:rPr>
            <w:color w:val="000000"/>
          </w:rPr>
          <w:t xml:space="preserve">prior natura et dignitate</w:t>
        </w:r>
      </w:hyperlink>
      <w:r>
        <w:rPr>
          <w:b w:val="0"/>
          <w:i w:val="0"/>
        </w:rPr>
        <w:t xml:space="preserve">; </w:t>
      </w:r>
      <w:hyperlink w:anchor="latin-record-0931">
        <w:r>
          <w:rPr>
            <w:color w:val="000000"/>
          </w:rPr>
          <w:t xml:space="preserve">prius / posterius</w:t>
        </w:r>
      </w:hyperlink>
      <w:r>
        <w:rPr>
          <w:b w:val="0"/>
          <w:i w:val="0"/>
        </w:rPr>
        <w:t xml:space="preserve">; </w:t>
      </w:r>
      <w:hyperlink w:anchor="latin-record-1087">
        <w:r>
          <w:rPr>
            <w:color w:val="000000"/>
          </w:rPr>
          <w:t xml:space="preserve">semper / aliquando</w:t>
        </w:r>
      </w:hyperlink>
      <w:r>
        <w:rPr>
          <w:b w:val="0"/>
          <w:i w:val="0"/>
        </w:rPr>
        <w:t>.</w:t>
      </w:r>
    </w:p>
    <w:p>
      <w:pPr>
        <w:widowControl/>
      </w:pPr>
      <w:bookmarkStart w:id="1632" w:name="passage-i-3-26"/>
      <w:bookmarkEnd w:id="1632"/>
      <w:r>
        <w:rPr>
          <w:b/>
          <w:i w:val="0"/>
        </w:rPr>
        <w:t>I.3.26</w:t>
      </w:r>
      <w:r>
        <w:rPr>
          <w:b/>
          <w:i w:val="0"/>
        </w:rPr>
        <w:t>, source pp. 46–47.</w:t>
      </w:r>
      <w:r>
        <w:rPr>
          <w:b w:val="0"/>
          <w:i w:val="0"/>
        </w:rPr>
        <w:t xml:space="preserve"> Articles: </w:t>
      </w:r>
      <w:hyperlink w:anchor="incorporeal-and-immaterial">
        <w:r>
          <w:rPr>
            <w:color w:val="000000"/>
          </w:rPr>
          <w:t xml:space="preserve">Incorporeal and immaterial</w:t>
        </w:r>
      </w:hyperlink>
      <w:r>
        <w:rPr>
          <w:b w:val="0"/>
          <w:i w:val="0"/>
        </w:rPr>
        <w:t xml:space="preserve">; </w:t>
      </w:r>
      <w:hyperlink w:anchor="life">
        <w:r>
          <w:rPr>
            <w:color w:val="000000"/>
          </w:rPr>
          <w:t xml:space="preserve">Life</w:t>
        </w:r>
      </w:hyperlink>
      <w:r>
        <w:rPr>
          <w:b w:val="0"/>
          <w:i w:val="0"/>
        </w:rPr>
        <w:t xml:space="preserve">; </w:t>
      </w:r>
      <w:hyperlink w:anchor="perfection">
        <w:r>
          <w:rPr>
            <w:color w:val="000000"/>
          </w:rPr>
          <w:t xml:space="preserve">Perfection</w:t>
        </w:r>
      </w:hyperlink>
      <w:r>
        <w:rPr>
          <w:b w:val="0"/>
          <w:i w:val="0"/>
        </w:rPr>
        <w:t xml:space="preserve">; </w:t>
      </w:r>
      <w:hyperlink w:anchor="quantity-and-dimension">
        <w:r>
          <w:rPr>
            <w:color w:val="000000"/>
          </w:rPr>
          <w:t xml:space="preserve">Quantity and dimension</w:t>
        </w:r>
      </w:hyperlink>
      <w:r>
        <w:rPr>
          <w:b w:val="0"/>
          <w:i w:val="0"/>
        </w:rPr>
        <w:t xml:space="preserve">; </w:t>
      </w:r>
      <w:hyperlink w:anchor="sense-and-imagination">
        <w:r>
          <w:rPr>
            <w:color w:val="000000"/>
          </w:rPr>
          <w:t xml:space="preserve">Sense and imagination</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ubstance-and-accident">
        <w:r>
          <w:rPr>
            <w:color w:val="000000"/>
          </w:rPr>
          <w:t xml:space="preserve">Substance and accident</w:t>
        </w:r>
      </w:hyperlink>
      <w:r>
        <w:rPr>
          <w:b w:val="0"/>
          <w:i w:val="0"/>
        </w:rPr>
        <w:t xml:space="preserve">; </w:t>
      </w:r>
      <w:hyperlink w:anchor="world-and-universe">
        <w:r>
          <w:rPr>
            <w:color w:val="000000"/>
          </w:rPr>
          <w:t xml:space="preserve">World and universe</w:t>
        </w:r>
      </w:hyperlink>
      <w:r>
        <w:rPr>
          <w:b w:val="0"/>
          <w:i w:val="0"/>
        </w:rPr>
        <w:t xml:space="preserve">. Vocabulary: </w:t>
      </w:r>
      <w:hyperlink w:anchor="latin-record-1275">
        <w:r>
          <w:rPr>
            <w:color w:val="000000"/>
          </w:rPr>
          <w:t xml:space="preserve">vita sine sensu</w:t>
        </w:r>
      </w:hyperlink>
      <w:r>
        <w:rPr>
          <w:b w:val="0"/>
          <w:i w:val="0"/>
        </w:rPr>
        <w:t>.</w:t>
      </w:r>
    </w:p>
    <w:p>
      <w:pPr>
        <w:widowControl/>
      </w:pPr>
      <w:bookmarkStart w:id="1633" w:name="passage-i-3-27"/>
      <w:bookmarkEnd w:id="1633"/>
      <w:r>
        <w:rPr>
          <w:b/>
          <w:i w:val="0"/>
        </w:rPr>
        <w:t>I.3.27</w:t>
      </w:r>
      <w:r>
        <w:rPr>
          <w:b/>
          <w:i w:val="0"/>
        </w:rPr>
        <w:t>, source pp. 48–49.</w:t>
      </w:r>
      <w:r>
        <w:rPr>
          <w:b w:val="0"/>
          <w:i w:val="0"/>
        </w:rPr>
        <w:t xml:space="preserve"> Articles: </w:t>
      </w:r>
      <w:hyperlink w:anchor="comparing-resembling-and-equalling">
        <w:r>
          <w:rPr>
            <w:color w:val="000000"/>
          </w:rPr>
          <w:t xml:space="preserve">Comparing, resembling and equalling</w:t>
        </w:r>
      </w:hyperlink>
      <w:r>
        <w:rPr>
          <w:b w:val="0"/>
          <w:i w:val="0"/>
        </w:rPr>
        <w:t xml:space="preserve">; </w:t>
      </w:r>
      <w:hyperlink w:anchor="degree-and-mediation">
        <w:r>
          <w:rPr>
            <w:color w:val="000000"/>
          </w:rPr>
          <w:t xml:space="preserve">Degree and mediation</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matter">
        <w:r>
          <w:rPr>
            <w:color w:val="000000"/>
          </w:rPr>
          <w:t xml:space="preserve">Matter</w:t>
        </w:r>
      </w:hyperlink>
      <w:r>
        <w:rPr>
          <w:b w:val="0"/>
          <w:i w:val="0"/>
        </w:rPr>
        <w:t xml:space="preserve">; </w:t>
      </w:r>
      <w:hyperlink w:anchor="quantity-and-dimension">
        <w:r>
          <w:rPr>
            <w:color w:val="000000"/>
          </w:rPr>
          <w:t xml:space="preserve">Quantity and dimension</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ubstance-and-accident">
        <w:r>
          <w:rPr>
            <w:color w:val="000000"/>
          </w:rPr>
          <w:t xml:space="preserve">Substance and accident</w:t>
        </w:r>
      </w:hyperlink>
      <w:r>
        <w:rPr>
          <w:b w:val="0"/>
          <w:i w:val="0"/>
        </w:rPr>
        <w:t xml:space="preserve">. Vocabulary: </w:t>
      </w:r>
      <w:hyperlink w:anchor="latin-record-0119">
        <w:r>
          <w:rPr>
            <w:color w:val="000000"/>
          </w:rPr>
          <w:t xml:space="preserve">Averrois / Aristoteles</w:t>
        </w:r>
      </w:hyperlink>
      <w:r>
        <w:rPr>
          <w:b w:val="0"/>
          <w:i w:val="0"/>
        </w:rPr>
        <w:t xml:space="preserve">; </w:t>
      </w:r>
      <w:hyperlink w:anchor="latin-record-0418">
        <w:r>
          <w:rPr>
            <w:color w:val="000000"/>
          </w:rPr>
          <w:t xml:space="preserve">extremum sine medio</w:t>
        </w:r>
      </w:hyperlink>
      <w:r>
        <w:rPr>
          <w:b w:val="0"/>
          <w:i w:val="0"/>
        </w:rPr>
        <w:t>.</w:t>
      </w:r>
    </w:p>
    <w:p>
      <w:pPr>
        <w:widowControl/>
      </w:pPr>
      <w:bookmarkStart w:id="1634" w:name="passage-i-3-28"/>
      <w:bookmarkEnd w:id="1634"/>
      <w:r>
        <w:rPr>
          <w:b/>
          <w:i w:val="0"/>
        </w:rPr>
        <w:t>I.3.28</w:t>
      </w:r>
      <w:r>
        <w:rPr>
          <w:b/>
          <w:i w:val="0"/>
        </w:rPr>
        <w:t>, source pp. 48–49.</w:t>
      </w:r>
      <w:r>
        <w:rPr>
          <w:b w:val="0"/>
          <w:i w:val="0"/>
        </w:rPr>
        <w:t xml:space="preserve"> Articles: </w:t>
      </w:r>
      <w:hyperlink w:anchor="form">
        <w:r>
          <w:rPr>
            <w:color w:val="000000"/>
          </w:rPr>
          <w:t xml:space="preserve">Form</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matter">
        <w:r>
          <w:rPr>
            <w:color w:val="000000"/>
          </w:rPr>
          <w:t xml:space="preserve">Matter</w:t>
        </w:r>
      </w:hyperlink>
      <w:r>
        <w:rPr>
          <w:b w:val="0"/>
          <w:i w:val="0"/>
        </w:rPr>
        <w:t xml:space="preserve">; </w:t>
      </w:r>
      <w:hyperlink w:anchor="naming-and-defining">
        <w:r>
          <w:rPr>
            <w:color w:val="000000"/>
          </w:rPr>
          <w:t xml:space="preserve">Naming and defining</w:t>
        </w:r>
      </w:hyperlink>
      <w:r>
        <w:rPr>
          <w:b w:val="0"/>
          <w:i w:val="0"/>
        </w:rPr>
        <w:t xml:space="preserve">; </w:t>
      </w:r>
      <w:hyperlink w:anchor="proclus-syrianus-and-extending-matter">
        <w:r>
          <w:rPr>
            <w:color w:val="000000"/>
          </w:rPr>
          <w:t xml:space="preserve">Proclus, Syrianus and extending matter</w:t>
        </w:r>
      </w:hyperlink>
      <w:r>
        <w:rPr>
          <w:b w:val="0"/>
          <w:i w:val="0"/>
        </w:rPr>
        <w:t xml:space="preserve">; </w:t>
      </w:r>
      <w:hyperlink w:anchor="quantity-and-dimension">
        <w:r>
          <w:rPr>
            <w:color w:val="000000"/>
          </w:rPr>
          <w:t xml:space="preserve">Quantity and dimension</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pecies">
        <w:r>
          <w:rPr>
            <w:color w:val="000000"/>
          </w:rPr>
          <w:t xml:space="preserve">Species</w:t>
        </w:r>
      </w:hyperlink>
      <w:r>
        <w:rPr>
          <w:b w:val="0"/>
          <w:i w:val="0"/>
        </w:rPr>
        <w:t xml:space="preserve">; </w:t>
      </w:r>
      <w:hyperlink w:anchor="substance-and-accident">
        <w:r>
          <w:rPr>
            <w:color w:val="000000"/>
          </w:rPr>
          <w:t xml:space="preserve">Substance and accident</w:t>
        </w:r>
      </w:hyperlink>
      <w:r>
        <w:rPr>
          <w:b w:val="0"/>
          <w:i w:val="0"/>
        </w:rPr>
        <w:t xml:space="preserve">. Vocabulary: </w:t>
      </w:r>
      <w:hyperlink w:anchor="latin-record-0300">
        <w:r>
          <w:rPr>
            <w:color w:val="000000"/>
          </w:rPr>
          <w:t xml:space="preserve">definitio</w:t>
        </w:r>
      </w:hyperlink>
      <w:r>
        <w:rPr>
          <w:b w:val="0"/>
          <w:i w:val="0"/>
        </w:rPr>
        <w:t xml:space="preserve">; </w:t>
      </w:r>
      <w:hyperlink w:anchor="latin-record-0531">
        <w:r>
          <w:rPr>
            <w:color w:val="000000"/>
          </w:rPr>
          <w:t xml:space="preserve">immaterialis / incorporeus</w:t>
        </w:r>
      </w:hyperlink>
      <w:r>
        <w:rPr>
          <w:b w:val="0"/>
          <w:i w:val="0"/>
        </w:rPr>
        <w:t xml:space="preserve">; </w:t>
      </w:r>
      <w:hyperlink w:anchor="latin-record-0942">
        <w:r>
          <w:rPr>
            <w:color w:val="000000"/>
          </w:rPr>
          <w:t xml:space="preserve">Proclus / Syrianus</w:t>
        </w:r>
      </w:hyperlink>
      <w:r>
        <w:rPr>
          <w:b w:val="0"/>
          <w:i w:val="0"/>
        </w:rPr>
        <w:t>.</w:t>
      </w:r>
    </w:p>
    <w:p>
      <w:pPr>
        <w:widowControl/>
      </w:pPr>
      <w:bookmarkStart w:id="1635" w:name="passage-i-3-29"/>
      <w:bookmarkEnd w:id="1635"/>
      <w:r>
        <w:rPr>
          <w:b/>
          <w:i w:val="0"/>
        </w:rPr>
        <w:t>I.3.29</w:t>
      </w:r>
      <w:r>
        <w:rPr>
          <w:b/>
          <w:i w:val="0"/>
        </w:rPr>
        <w:t>, source pp. 50–51.</w:t>
      </w:r>
      <w:r>
        <w:rPr>
          <w:b w:val="0"/>
          <w:i w:val="0"/>
        </w:rPr>
        <w:t xml:space="preserve"> Articles: </w:t>
      </w:r>
      <w:hyperlink w:anchor="form">
        <w:r>
          <w:rPr>
            <w:color w:val="000000"/>
          </w:rPr>
          <w:t xml:space="preserve">Form</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indivisibility">
        <w:r>
          <w:rPr>
            <w:color w:val="000000"/>
          </w:rPr>
          <w:t xml:space="preserve">Indivisibility</w:t>
        </w:r>
      </w:hyperlink>
      <w:r>
        <w:rPr>
          <w:b w:val="0"/>
          <w:i w:val="0"/>
        </w:rPr>
        <w:t xml:space="preserve">; </w:t>
      </w:r>
      <w:hyperlink w:anchor="matter">
        <w:r>
          <w:rPr>
            <w:color w:val="000000"/>
          </w:rPr>
          <w:t xml:space="preserve">Matter</w:t>
        </w:r>
      </w:hyperlink>
      <w:r>
        <w:rPr>
          <w:b w:val="0"/>
          <w:i w:val="0"/>
        </w:rPr>
        <w:t xml:space="preserve">; </w:t>
      </w:r>
      <w:hyperlink w:anchor="proclus-syrianus-and-extending-matter">
        <w:r>
          <w:rPr>
            <w:color w:val="000000"/>
          </w:rPr>
          <w:t xml:space="preserve">Proclus, Syrianus and extending matter</w:t>
        </w:r>
      </w:hyperlink>
      <w:r>
        <w:rPr>
          <w:b w:val="0"/>
          <w:i w:val="0"/>
        </w:rPr>
        <w:t xml:space="preserve">; </w:t>
      </w:r>
      <w:hyperlink w:anchor="quantity-and-dimension">
        <w:r>
          <w:rPr>
            <w:color w:val="000000"/>
          </w:rPr>
          <w:t xml:space="preserve">Quantity and dimension</w:t>
        </w:r>
      </w:hyperlink>
      <w:r>
        <w:rPr>
          <w:b w:val="0"/>
          <w:i w:val="0"/>
        </w:rPr>
        <w:t xml:space="preserve">; </w:t>
      </w:r>
      <w:hyperlink w:anchor="separation-and-abstraction">
        <w:r>
          <w:rPr>
            <w:color w:val="000000"/>
          </w:rPr>
          <w:t xml:space="preserve">Separation and abstraction</w:t>
        </w:r>
      </w:hyperlink>
      <w:r>
        <w:rPr>
          <w:b w:val="0"/>
          <w:i w:val="0"/>
        </w:rPr>
        <w:t xml:space="preserve">. Vocabulary: </w:t>
      </w:r>
      <w:hyperlink w:anchor="latin-record-0176">
        <w:r>
          <w:rPr>
            <w:color w:val="000000"/>
          </w:rPr>
          <w:t xml:space="preserve">cogito / esse</w:t>
        </w:r>
      </w:hyperlink>
      <w:r>
        <w:rPr>
          <w:b w:val="0"/>
          <w:i w:val="0"/>
        </w:rPr>
        <w:t xml:space="preserve">; </w:t>
      </w:r>
      <w:hyperlink w:anchor="latin-record-0413">
        <w:r>
          <w:rPr>
            <w:color w:val="000000"/>
          </w:rPr>
          <w:t xml:space="preserve">extendo / extensio</w:t>
        </w:r>
      </w:hyperlink>
      <w:r>
        <w:rPr>
          <w:b w:val="0"/>
          <w:i w:val="0"/>
        </w:rPr>
        <w:t xml:space="preserve">; </w:t>
      </w:r>
      <w:hyperlink w:anchor="latin-record-0897">
        <w:r>
          <w:rPr>
            <w:color w:val="000000"/>
          </w:rPr>
          <w:t xml:space="preserve">possum</w:t>
        </w:r>
      </w:hyperlink>
      <w:r>
        <w:rPr>
          <w:b w:val="0"/>
          <w:i w:val="0"/>
        </w:rPr>
        <w:t xml:space="preserve">; </w:t>
      </w:r>
      <w:hyperlink w:anchor="latin-record-0942">
        <w:r>
          <w:rPr>
            <w:color w:val="000000"/>
          </w:rPr>
          <w:t xml:space="preserve">Proclus / Syrianus</w:t>
        </w:r>
      </w:hyperlink>
      <w:r>
        <w:rPr>
          <w:b w:val="0"/>
          <w:i w:val="0"/>
        </w:rPr>
        <w:t>.</w:t>
      </w:r>
    </w:p>
    <w:p>
      <w:pPr>
        <w:widowControl/>
      </w:pPr>
      <w:bookmarkStart w:id="1636" w:name="passage-i-3-30"/>
      <w:bookmarkEnd w:id="1636"/>
      <w:r>
        <w:rPr>
          <w:b/>
          <w:i w:val="0"/>
        </w:rPr>
        <w:t>I.3.30</w:t>
      </w:r>
      <w:r>
        <w:rPr>
          <w:b/>
          <w:i w:val="0"/>
        </w:rPr>
        <w:t>, source pp. 50–51.</w:t>
      </w:r>
      <w:r>
        <w:rPr>
          <w:b w:val="0"/>
          <w:i w:val="0"/>
        </w:rPr>
        <w:t xml:space="preserve"> Articles: </w:t>
      </w:r>
      <w:hyperlink w:anchor="indivisibility">
        <w:r>
          <w:rPr>
            <w:color w:val="000000"/>
          </w:rPr>
          <w:t xml:space="preserve">Indivisibility</w:t>
        </w:r>
      </w:hyperlink>
      <w:r>
        <w:rPr>
          <w:b w:val="0"/>
          <w:i w:val="0"/>
        </w:rPr>
        <w:t xml:space="preserve">; </w:t>
      </w:r>
      <w:hyperlink w:anchor="infinity">
        <w:r>
          <w:rPr>
            <w:color w:val="000000"/>
          </w:rPr>
          <w:t xml:space="preserve">Infinity</w:t>
        </w:r>
      </w:hyperlink>
      <w:r>
        <w:rPr>
          <w:b w:val="0"/>
          <w:i w:val="0"/>
        </w:rPr>
        <w:t xml:space="preserve">; </w:t>
      </w:r>
      <w:hyperlink w:anchor="participation">
        <w:r>
          <w:rPr>
            <w:color w:val="000000"/>
          </w:rPr>
          <w:t xml:space="preserve">Participation</w:t>
        </w:r>
      </w:hyperlink>
      <w:r>
        <w:rPr>
          <w:b w:val="0"/>
          <w:i w:val="0"/>
        </w:rPr>
        <w:t xml:space="preserve">; </w:t>
      </w:r>
      <w:hyperlink w:anchor="precedence-and-causal-regress">
        <w:r>
          <w:rPr>
            <w:color w:val="000000"/>
          </w:rPr>
          <w:t xml:space="preserve">Precedence and causal regress</w:t>
        </w:r>
      </w:hyperlink>
      <w:r>
        <w:rPr>
          <w:b w:val="0"/>
          <w:i w:val="0"/>
        </w:rPr>
        <w:t xml:space="preserve">; </w:t>
      </w:r>
      <w:hyperlink w:anchor="proclus-syrianus-and-extending-matter">
        <w:r>
          <w:rPr>
            <w:color w:val="000000"/>
          </w:rPr>
          <w:t xml:space="preserve">Proclus, Syrianus and extending matter</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197">
        <w:r>
          <w:rPr>
            <w:color w:val="000000"/>
          </w:rPr>
          <w:t xml:space="preserve">commune / totum in singulis</w:t>
        </w:r>
      </w:hyperlink>
      <w:r>
        <w:rPr>
          <w:b w:val="0"/>
          <w:i w:val="0"/>
        </w:rPr>
        <w:t xml:space="preserve">; </w:t>
      </w:r>
      <w:hyperlink w:anchor="latin-record-0276">
        <w:r>
          <w:rPr>
            <w:color w:val="000000"/>
          </w:rPr>
          <w:t xml:space="preserve">copulo / conspiratio</w:t>
        </w:r>
      </w:hyperlink>
      <w:r>
        <w:rPr>
          <w:b w:val="0"/>
          <w:i w:val="0"/>
        </w:rPr>
        <w:t xml:space="preserve">; </w:t>
      </w:r>
      <w:hyperlink w:anchor="latin-record-0582">
        <w:r>
          <w:rPr>
            <w:color w:val="000000"/>
          </w:rPr>
          <w:t xml:space="preserve">insitus</w:t>
        </w:r>
      </w:hyperlink>
      <w:r>
        <w:rPr>
          <w:b w:val="0"/>
          <w:i w:val="0"/>
        </w:rPr>
        <w:t xml:space="preserve">; </w:t>
      </w:r>
      <w:hyperlink w:anchor="latin-record-0800">
        <w:r>
          <w:rPr>
            <w:color w:val="000000"/>
          </w:rPr>
          <w:t xml:space="preserve">oportet / necesse est / debet</w:t>
        </w:r>
      </w:hyperlink>
      <w:r>
        <w:rPr>
          <w:b w:val="0"/>
          <w:i w:val="0"/>
        </w:rPr>
        <w:t>.</w:t>
      </w:r>
    </w:p>
    <w:p>
      <w:pPr>
        <w:widowControl/>
      </w:pPr>
      <w:bookmarkStart w:id="1637" w:name="passage-i-3-31"/>
      <w:bookmarkEnd w:id="1637"/>
      <w:r>
        <w:rPr>
          <w:b/>
          <w:i w:val="0"/>
        </w:rPr>
        <w:t>I.3.31</w:t>
      </w:r>
      <w:r>
        <w:rPr>
          <w:b/>
          <w:i w:val="0"/>
        </w:rPr>
        <w:t>, source pp. 50–51.</w:t>
      </w:r>
      <w:r>
        <w:rPr>
          <w:b w:val="0"/>
          <w:i w:val="0"/>
        </w:rPr>
        <w:t xml:space="preserve"> Articles: </w:t>
      </w:r>
      <w:hyperlink w:anchor="indivisibility">
        <w:r>
          <w:rPr>
            <w:color w:val="000000"/>
          </w:rPr>
          <w:t xml:space="preserve">Indivisibility</w:t>
        </w:r>
      </w:hyperlink>
      <w:r>
        <w:rPr>
          <w:b w:val="0"/>
          <w:i w:val="0"/>
        </w:rPr>
        <w:t xml:space="preserve">; </w:t>
      </w:r>
      <w:hyperlink w:anchor="infinity">
        <w:r>
          <w:rPr>
            <w:color w:val="000000"/>
          </w:rPr>
          <w:t xml:space="preserve">Infinity</w:t>
        </w:r>
      </w:hyperlink>
      <w:r>
        <w:rPr>
          <w:b w:val="0"/>
          <w:i w:val="0"/>
        </w:rPr>
        <w:t xml:space="preserve">; </w:t>
      </w:r>
      <w:hyperlink w:anchor="precedence-and-causal-regress">
        <w:r>
          <w:rPr>
            <w:color w:val="000000"/>
          </w:rPr>
          <w:t xml:space="preserve">Precedence and causal regress</w:t>
        </w:r>
      </w:hyperlink>
      <w:r>
        <w:rPr>
          <w:b w:val="0"/>
          <w:i w:val="0"/>
        </w:rPr>
        <w:t xml:space="preserve">; </w:t>
      </w:r>
      <w:hyperlink w:anchor="proclus-syrianus-and-extending-matter">
        <w:r>
          <w:rPr>
            <w:color w:val="000000"/>
          </w:rPr>
          <w:t xml:space="preserve">Proclus, Syrianus and extending matter</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80">
        <w:r>
          <w:rPr>
            <w:color w:val="000000"/>
          </w:rPr>
          <w:t xml:space="preserve">apex</w:t>
        </w:r>
      </w:hyperlink>
      <w:r>
        <w:rPr>
          <w:b w:val="0"/>
          <w:i w:val="0"/>
        </w:rPr>
        <w:t xml:space="preserve">; </w:t>
      </w:r>
      <w:hyperlink w:anchor="latin-record-0256">
        <w:r>
          <w:rPr>
            <w:color w:val="000000"/>
          </w:rPr>
          <w:t xml:space="preserve">conspiratio / absurdum</w:t>
        </w:r>
      </w:hyperlink>
      <w:r>
        <w:rPr>
          <w:b w:val="0"/>
          <w:i w:val="0"/>
        </w:rPr>
        <w:t xml:space="preserve">; </w:t>
      </w:r>
      <w:hyperlink w:anchor="latin-record-0276">
        <w:r>
          <w:rPr>
            <w:color w:val="000000"/>
          </w:rPr>
          <w:t xml:space="preserve">copulo / conspiratio</w:t>
        </w:r>
      </w:hyperlink>
      <w:r>
        <w:rPr>
          <w:b w:val="0"/>
          <w:i w:val="0"/>
        </w:rPr>
        <w:t xml:space="preserve">; </w:t>
      </w:r>
      <w:hyperlink w:anchor="latin-record-0531">
        <w:r>
          <w:rPr>
            <w:color w:val="000000"/>
          </w:rPr>
          <w:t xml:space="preserve">immaterialis / incorporeus</w:t>
        </w:r>
      </w:hyperlink>
      <w:r>
        <w:rPr>
          <w:b w:val="0"/>
          <w:i w:val="0"/>
        </w:rPr>
        <w:t>.</w:t>
      </w:r>
    </w:p>
    <w:p>
      <w:pPr>
        <w:widowControl/>
      </w:pPr>
      <w:bookmarkStart w:id="1638" w:name="passage-i-3-32"/>
      <w:bookmarkEnd w:id="1638"/>
      <w:r>
        <w:rPr>
          <w:b/>
          <w:i w:val="0"/>
        </w:rPr>
        <w:t>I.3.32</w:t>
      </w:r>
      <w:r>
        <w:rPr>
          <w:b/>
          <w:i w:val="0"/>
        </w:rPr>
        <w:t>, source pp. 52–53.</w:t>
      </w:r>
      <w:r>
        <w:rPr>
          <w:b w:val="0"/>
          <w:i w:val="0"/>
        </w:rPr>
        <w:t xml:space="preserve"> Articles: </w:t>
      </w:r>
      <w:hyperlink w:anchor="art-and-nature">
        <w:r>
          <w:rPr>
            <w:color w:val="000000"/>
          </w:rPr>
          <w:t xml:space="preserve">Art and nature</w:t>
        </w:r>
      </w:hyperlink>
      <w:r>
        <w:rPr>
          <w:b w:val="0"/>
          <w:i w:val="0"/>
        </w:rPr>
        <w:t xml:space="preserve">; </w:t>
      </w:r>
      <w:hyperlink w:anchor="cause">
        <w:r>
          <w:rPr>
            <w:color w:val="000000"/>
          </w:rPr>
          <w:t xml:space="preserve">Cause</w:t>
        </w:r>
      </w:hyperlink>
      <w:r>
        <w:rPr>
          <w:b w:val="0"/>
          <w:i w:val="0"/>
        </w:rPr>
        <w:t xml:space="preserve">; </w:t>
      </w:r>
      <w:hyperlink w:anchor="eternity-and-time">
        <w:r>
          <w:rPr>
            <w:color w:val="000000"/>
          </w:rPr>
          <w:t xml:space="preserve">Eternity and time</w:t>
        </w:r>
      </w:hyperlink>
      <w:r>
        <w:rPr>
          <w:b w:val="0"/>
          <w:i w:val="0"/>
        </w:rPr>
        <w:t xml:space="preserve">; </w:t>
      </w:r>
      <w:hyperlink w:anchor="indivisibility">
        <w:r>
          <w:rPr>
            <w:color w:val="000000"/>
          </w:rPr>
          <w:t xml:space="preserve">Indivisibility</w:t>
        </w:r>
      </w:hyperlink>
      <w:r>
        <w:rPr>
          <w:b w:val="0"/>
          <w:i w:val="0"/>
        </w:rPr>
        <w:t xml:space="preserve">; </w:t>
      </w:r>
      <w:hyperlink w:anchor="infection-lameness-and-lethe">
        <w:r>
          <w:rPr>
            <w:color w:val="000000"/>
          </w:rPr>
          <w:t xml:space="preserve">Infection, lameness and Lethe</w:t>
        </w:r>
      </w:hyperlink>
      <w:r>
        <w:rPr>
          <w:b w:val="0"/>
          <w:i w:val="0"/>
        </w:rPr>
        <w:t xml:space="preserve">; </w:t>
      </w:r>
      <w:hyperlink w:anchor="infinity">
        <w:r>
          <w:rPr>
            <w:color w:val="000000"/>
          </w:rPr>
          <w:t xml:space="preserve">Infinity</w:t>
        </w:r>
      </w:hyperlink>
      <w:r>
        <w:rPr>
          <w:b w:val="0"/>
          <w:i w:val="0"/>
        </w:rPr>
        <w:t xml:space="preserve">; </w:t>
      </w:r>
      <w:hyperlink w:anchor="precedence-and-causal-regress">
        <w:r>
          <w:rPr>
            <w:color w:val="000000"/>
          </w:rPr>
          <w:t xml:space="preserve">Precedence and causal regress</w:t>
        </w:r>
      </w:hyperlink>
      <w:r>
        <w:rPr>
          <w:b w:val="0"/>
          <w:i w:val="0"/>
        </w:rPr>
        <w:t xml:space="preserve">. Vocabulary: </w:t>
      </w:r>
      <w:hyperlink w:anchor="latin-record-0048">
        <w:r>
          <w:rPr>
            <w:color w:val="000000"/>
          </w:rPr>
          <w:t xml:space="preserve">alias / mitto</w:t>
        </w:r>
      </w:hyperlink>
      <w:r>
        <w:rPr>
          <w:b w:val="0"/>
          <w:i w:val="0"/>
        </w:rPr>
        <w:t xml:space="preserve">; </w:t>
      </w:r>
      <w:hyperlink w:anchor="latin-record-0282">
        <w:r>
          <w:rPr>
            <w:color w:val="000000"/>
          </w:rPr>
          <w:t xml:space="preserve">corruo / renascor</w:t>
        </w:r>
      </w:hyperlink>
      <w:r>
        <w:rPr>
          <w:b w:val="0"/>
          <w:i w:val="0"/>
        </w:rPr>
        <w:t xml:space="preserve">; </w:t>
      </w:r>
      <w:hyperlink w:anchor="latin-record-0602">
        <w:r>
          <w:rPr>
            <w:color w:val="000000"/>
          </w:rPr>
          <w:t xml:space="preserve">interminatus / infinitus / finitus</w:t>
        </w:r>
      </w:hyperlink>
      <w:r>
        <w:rPr>
          <w:b w:val="0"/>
          <w:i w:val="0"/>
        </w:rPr>
        <w:t xml:space="preserve">; </w:t>
      </w:r>
      <w:hyperlink w:anchor="latin-record-0798">
        <w:r>
          <w:rPr>
            <w:color w:val="000000"/>
          </w:rPr>
          <w:t xml:space="preserve">opifex / architectus</w:t>
        </w:r>
      </w:hyperlink>
      <w:r>
        <w:rPr>
          <w:b w:val="0"/>
          <w:i w:val="0"/>
        </w:rPr>
        <w:t xml:space="preserve">; </w:t>
      </w:r>
      <w:hyperlink w:anchor="latin-record-1087">
        <w:r>
          <w:rPr>
            <w:color w:val="000000"/>
          </w:rPr>
          <w:t xml:space="preserve">semper / aliquando</w:t>
        </w:r>
      </w:hyperlink>
      <w:r>
        <w:rPr>
          <w:b w:val="0"/>
          <w:i w:val="0"/>
        </w:rPr>
        <w:t>.</w:t>
      </w:r>
    </w:p>
    <w:p>
      <w:pPr>
        <w:widowControl/>
      </w:pPr>
      <w:bookmarkStart w:id="1639" w:name="passage-i-3-33"/>
      <w:bookmarkEnd w:id="1639"/>
      <w:r>
        <w:rPr>
          <w:b/>
          <w:i w:val="0"/>
        </w:rPr>
        <w:t>I.3.33</w:t>
      </w:r>
      <w:r>
        <w:rPr>
          <w:b/>
          <w:i w:val="0"/>
        </w:rPr>
        <w:t>, source pp. 52–53.</w:t>
      </w:r>
      <w:r>
        <w:rPr>
          <w:b w:val="0"/>
          <w:i w:val="0"/>
        </w:rPr>
        <w:t xml:space="preserve"> Articles: </w:t>
      </w:r>
      <w:hyperlink w:anchor="ascent">
        <w:r>
          <w:rPr>
            <w:color w:val="000000"/>
          </w:rPr>
          <w:t xml:space="preserve">Ascent</w:t>
        </w:r>
      </w:hyperlink>
      <w:r>
        <w:rPr>
          <w:b w:val="0"/>
          <w:i w:val="0"/>
        </w:rPr>
        <w:t xml:space="preserve">; </w:t>
      </w:r>
      <w:hyperlink w:anchor="body-and-bulk">
        <w:r>
          <w:rPr>
            <w:color w:val="000000"/>
          </w:rPr>
          <w:t xml:space="preserve">Body and bulk</w:t>
        </w:r>
      </w:hyperlink>
      <w:r>
        <w:rPr>
          <w:b w:val="0"/>
          <w:i w:val="0"/>
        </w:rPr>
        <w:t xml:space="preserve">; </w:t>
      </w:r>
      <w:hyperlink w:anchor="contraries-and-opposition">
        <w:r>
          <w:rPr>
            <w:color w:val="000000"/>
          </w:rPr>
          <w:t xml:space="preserve">Contraries and opposition</w:t>
        </w:r>
      </w:hyperlink>
      <w:r>
        <w:rPr>
          <w:b w:val="0"/>
          <w:i w:val="0"/>
        </w:rPr>
        <w:t xml:space="preserve">; </w:t>
      </w:r>
      <w:hyperlink w:anchor="degree-and-mediation">
        <w:r>
          <w:rPr>
            <w:color w:val="000000"/>
          </w:rPr>
          <w:t xml:space="preserve">Degree and mediation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eternity-and-time">
        <w:r>
          <w:rPr>
            <w:color w:val="000000"/>
          </w:rPr>
          <w:t xml:space="preserve">Eternity and time</w:t>
        </w:r>
      </w:hyperlink>
      <w:r>
        <w:rPr>
          <w:b w:val="0"/>
          <w:i w:val="0"/>
        </w:rPr>
        <w:t xml:space="preserve">; </w:t>
      </w:r>
      <w:hyperlink w:anchor="form">
        <w:r>
          <w:rPr>
            <w:color w:val="000000"/>
          </w:rPr>
          <w:t xml:space="preserve">Form</w:t>
        </w:r>
      </w:hyperlink>
      <w:r>
        <w:rPr>
          <w:b w:val="0"/>
          <w:i w:val="0"/>
        </w:rPr>
        <w:t xml:space="preserve">; </w:t>
      </w:r>
      <w:hyperlink w:anchor="image-and-likeness">
        <w:r>
          <w:rPr>
            <w:color w:val="000000"/>
          </w:rPr>
          <w:t xml:space="preserve">Image and likeness</w:t>
        </w:r>
      </w:hyperlink>
      <w:r>
        <w:rPr>
          <w:b w:val="0"/>
          <w:i w:val="0"/>
        </w:rPr>
        <w:t xml:space="preserve">; </w:t>
      </w:r>
      <w:hyperlink w:anchor="immortality">
        <w:r>
          <w:rPr>
            <w:color w:val="000000"/>
          </w:rPr>
          <w:t xml:space="preserve">Immortality</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indivisibility">
        <w:r>
          <w:rPr>
            <w:color w:val="000000"/>
          </w:rPr>
          <w:t xml:space="preserve">Indivisibility</w:t>
        </w:r>
      </w:hyperlink>
      <w:r>
        <w:rPr>
          <w:b w:val="0"/>
          <w:i w:val="0"/>
        </w:rPr>
        <w:t xml:space="preserve">; </w:t>
      </w:r>
      <w:hyperlink w:anchor="motion-and-stability">
        <w:r>
          <w:rPr>
            <w:color w:val="000000"/>
          </w:rPr>
          <w:t xml:space="preserve">Motion and stability</w:t>
        </w:r>
      </w:hyperlink>
      <w:r>
        <w:rPr>
          <w:b w:val="0"/>
          <w:i w:val="0"/>
        </w:rPr>
        <w:t xml:space="preserve">; </w:t>
      </w:r>
      <w:hyperlink w:anchor="naming-and-defining">
        <w:r>
          <w:rPr>
            <w:color w:val="000000"/>
          </w:rPr>
          <w:t xml:space="preserve">Naming and defining</w:t>
        </w:r>
      </w:hyperlink>
      <w:r>
        <w:rPr>
          <w:b w:val="0"/>
          <w:i w:val="0"/>
        </w:rPr>
        <w:t xml:space="preserve">; </w:t>
      </w:r>
      <w:hyperlink w:anchor="soul">
        <w:r>
          <w:rPr>
            <w:color w:val="000000"/>
          </w:rPr>
          <w:t xml:space="preserve">Soul</w:t>
        </w:r>
      </w:hyperlink>
      <w:r>
        <w:rPr>
          <w:b w:val="0"/>
          <w:i w:val="0"/>
        </w:rPr>
        <w:t xml:space="preserve">; </w:t>
      </w:r>
      <w:hyperlink w:anchor="support-inherence-and-dependence">
        <w:r>
          <w:rPr>
            <w:color w:val="000000"/>
          </w:rPr>
          <w:t xml:space="preserve">Support, inherence and dependence</w:t>
        </w:r>
      </w:hyperlink>
      <w:r>
        <w:rPr>
          <w:b w:val="0"/>
          <w:i w:val="0"/>
        </w:rPr>
        <w:t xml:space="preserve">; </w:t>
      </w:r>
      <w:hyperlink w:anchor="truth">
        <w:r>
          <w:rPr>
            <w:color w:val="000000"/>
          </w:rPr>
          <w:t xml:space="preserve">Truth</w:t>
        </w:r>
      </w:hyperlink>
      <w:r>
        <w:rPr>
          <w:b w:val="0"/>
          <w:i w:val="0"/>
        </w:rPr>
        <w:t xml:space="preserve">. Vocabulary: </w:t>
      </w:r>
      <w:hyperlink w:anchor="latin-record-0070">
        <w:r>
          <w:rPr>
            <w:color w:val="000000"/>
          </w:rPr>
          <w:t xml:space="preserve">anima rationalis</w:t>
        </w:r>
      </w:hyperlink>
      <w:r>
        <w:rPr>
          <w:b w:val="0"/>
          <w:i w:val="0"/>
        </w:rPr>
        <w:t xml:space="preserve">; </w:t>
      </w:r>
      <w:hyperlink w:anchor="latin-record-0556">
        <w:r>
          <w:rPr>
            <w:color w:val="000000"/>
          </w:rPr>
          <w:t xml:space="preserve">indissolubilis / dissolvo</w:t>
        </w:r>
      </w:hyperlink>
      <w:r>
        <w:rPr>
          <w:b w:val="0"/>
          <w:i w:val="0"/>
        </w:rPr>
        <w:t xml:space="preserve">; </w:t>
      </w:r>
      <w:hyperlink w:anchor="latin-record-0617">
        <w:r>
          <w:rPr>
            <w:color w:val="000000"/>
          </w:rPr>
          <w:t xml:space="preserve">irrationalis anima</w:t>
        </w:r>
      </w:hyperlink>
      <w:r>
        <w:rPr>
          <w:b w:val="0"/>
          <w:i w:val="0"/>
        </w:rPr>
        <w:t xml:space="preserve">; </w:t>
      </w:r>
      <w:hyperlink w:anchor="latin-record-0701">
        <w:r>
          <w:rPr>
            <w:color w:val="000000"/>
          </w:rPr>
          <w:t xml:space="preserve">minuo / debilito</w:t>
        </w:r>
      </w:hyperlink>
      <w:r>
        <w:rPr>
          <w:b w:val="0"/>
          <w:i w:val="0"/>
        </w:rPr>
        <w:t xml:space="preserve">; </w:t>
      </w:r>
      <w:hyperlink w:anchor="latin-record-0718">
        <w:r>
          <w:rPr>
            <w:color w:val="000000"/>
          </w:rPr>
          <w:t xml:space="preserve">mortalis / immortalis</w:t>
        </w:r>
      </w:hyperlink>
      <w:r>
        <w:rPr>
          <w:b w:val="0"/>
          <w:i w:val="0"/>
        </w:rPr>
        <w:t xml:space="preserve">; </w:t>
      </w:r>
      <w:hyperlink w:anchor="latin-record-0755">
        <w:r>
          <w:rPr>
            <w:color w:val="000000"/>
          </w:rPr>
          <w:t xml:space="preserve">neque … neque</w:t>
        </w:r>
      </w:hyperlink>
      <w:r>
        <w:rPr>
          <w:b w:val="0"/>
          <w:i w:val="0"/>
        </w:rPr>
        <w:t xml:space="preserve">; </w:t>
      </w:r>
      <w:hyperlink w:anchor="latin-record-1159">
        <w:r>
          <w:rPr>
            <w:color w:val="000000"/>
          </w:rPr>
          <w:t xml:space="preserve">subsisto / dependeo</w:t>
        </w:r>
      </w:hyperlink>
      <w:r>
        <w:rPr>
          <w:b w:val="0"/>
          <w:i w:val="0"/>
        </w:rPr>
        <w:t xml:space="preserve">; </w:t>
      </w:r>
      <w:hyperlink w:anchor="latin-record-1198">
        <w:r>
          <w:rPr>
            <w:color w:val="000000"/>
          </w:rPr>
          <w:t xml:space="preserve">tertia essentia</w:t>
        </w:r>
      </w:hyperlink>
      <w:r>
        <w:rPr>
          <w:b w:val="0"/>
          <w:i w:val="0"/>
        </w:rPr>
        <w:t xml:space="preserve">; </w:t>
      </w:r>
      <w:hyperlink w:anchor="latin-record-1207">
        <w:r>
          <w:rPr>
            <w:color w:val="000000"/>
          </w:rPr>
          <w:t xml:space="preserve">transcendo / proveho</w:t>
        </w:r>
      </w:hyperlink>
      <w:r>
        <w:rPr>
          <w:b w:val="0"/>
          <w:i w:val="0"/>
        </w:rPr>
        <w:t>.</w:t>
      </w:r>
    </w:p>
    <w:p>
      <w:bookmarkStart w:id="1640" w:name="chapter-i.4"/>
      <w:pPr>
        <w:pStyle w:val="Heading2"/>
      </w:pPr>
      <w:r>
        <w:rPr>
          <w:b w:val="0"/>
          <w:i w:val="0"/>
        </w:rPr>
        <w:t>Chapter I.4</w:t>
      </w:r>
      <w:bookmarkEnd w:id="1640"/>
    </w:p>
    <w:p>
      <w:pPr>
        <w:widowControl/>
      </w:pPr>
      <w:bookmarkStart w:id="1641" w:name="passage-i-4-1"/>
      <w:bookmarkEnd w:id="1641"/>
      <w:r>
        <w:rPr>
          <w:b/>
          <w:i w:val="0"/>
        </w:rPr>
        <w:t>I.4.1</w:t>
      </w:r>
      <w:r>
        <w:rPr>
          <w:b/>
          <w:i w:val="0"/>
        </w:rPr>
        <w:t>, source pp. 54–55.</w:t>
      </w:r>
      <w:r>
        <w:rPr>
          <w:b w:val="0"/>
          <w:i w:val="0"/>
        </w:rPr>
        <w:t xml:space="preserve"> Articles: </w:t>
      </w:r>
      <w:hyperlink w:anchor="act-and-operation">
        <w:r>
          <w:rPr>
            <w:color w:val="000000"/>
          </w:rPr>
          <w:t xml:space="preserve">Act and operation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eternity-and-time">
        <w:r>
          <w:rPr>
            <w:color w:val="000000"/>
          </w:rPr>
          <w:t xml:space="preserve">Eternity and time</w:t>
        </w:r>
      </w:hyperlink>
      <w:r>
        <w:rPr>
          <w:b w:val="0"/>
          <w:i w:val="0"/>
        </w:rPr>
        <w:t xml:space="preserve">; </w:t>
      </w:r>
      <w:hyperlink w:anchor="fountain-womb-and-offspring">
        <w:r>
          <w:rPr>
            <w:color w:val="000000"/>
          </w:rPr>
          <w:t xml:space="preserve">Fountain, womb and offspring</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image-and-likeness">
        <w:r>
          <w:rPr>
            <w:color w:val="000000"/>
          </w:rPr>
          <w:t xml:space="preserve">Image and likeness</w:t>
        </w:r>
      </w:hyperlink>
      <w:r>
        <w:rPr>
          <w:b w:val="0"/>
          <w:i w:val="0"/>
        </w:rPr>
        <w:t xml:space="preserve">; </w:t>
      </w:r>
      <w:hyperlink w:anchor="immortality">
        <w:r>
          <w:rPr>
            <w:color w:val="000000"/>
          </w:rPr>
          <w:t xml:space="preserve">Immortality</w:t>
        </w:r>
      </w:hyperlink>
      <w:r>
        <w:rPr>
          <w:b w:val="0"/>
          <w:i w:val="0"/>
        </w:rPr>
        <w:t xml:space="preserve">; </w:t>
      </w:r>
      <w:hyperlink w:anchor="motion-and-stability">
        <w:r>
          <w:rPr>
            <w:color w:val="000000"/>
          </w:rPr>
          <w:t xml:space="preserve">Motion and stability</w:t>
        </w:r>
      </w:hyperlink>
      <w:r>
        <w:rPr>
          <w:b w:val="0"/>
          <w:i w:val="0"/>
        </w:rPr>
        <w:t xml:space="preserve">; </w:t>
      </w:r>
      <w:hyperlink w:anchor="power-and-potency">
        <w:r>
          <w:rPr>
            <w:color w:val="000000"/>
          </w:rPr>
          <w:t xml:space="preserve">Power and potency</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Vocabulary: </w:t>
      </w:r>
      <w:hyperlink w:anchor="latin-record-0132">
        <w:r>
          <w:rPr>
            <w:color w:val="000000"/>
          </w:rPr>
          <w:t xml:space="preserve">calefactio</w:t>
        </w:r>
      </w:hyperlink>
      <w:r>
        <w:rPr>
          <w:b w:val="0"/>
          <w:i w:val="0"/>
        </w:rPr>
        <w:t xml:space="preserve">; </w:t>
      </w:r>
      <w:hyperlink w:anchor="latin-record-0385">
        <w:r>
          <w:rPr>
            <w:color w:val="000000"/>
          </w:rPr>
          <w:t xml:space="preserve">essentia / virtus / actio</w:t>
        </w:r>
      </w:hyperlink>
      <w:r>
        <w:rPr>
          <w:b w:val="0"/>
          <w:i w:val="0"/>
        </w:rPr>
        <w:t xml:space="preserve">; </w:t>
      </w:r>
      <w:hyperlink w:anchor="latin-record-0599">
        <w:r>
          <w:rPr>
            <w:color w:val="000000"/>
          </w:rPr>
          <w:t xml:space="preserve">intendo / remitto</w:t>
        </w:r>
      </w:hyperlink>
      <w:r>
        <w:rPr>
          <w:b w:val="0"/>
          <w:i w:val="0"/>
        </w:rPr>
        <w:t xml:space="preserve">; </w:t>
      </w:r>
      <w:hyperlink w:anchor="latin-record-0885">
        <w:r>
          <w:rPr>
            <w:color w:val="000000"/>
          </w:rPr>
          <w:t xml:space="preserve">plus et minus</w:t>
        </w:r>
      </w:hyperlink>
      <w:r>
        <w:rPr>
          <w:b w:val="0"/>
          <w:i w:val="0"/>
        </w:rPr>
        <w:t>.</w:t>
      </w:r>
    </w:p>
    <w:p>
      <w:pPr>
        <w:widowControl/>
      </w:pPr>
      <w:bookmarkStart w:id="1642" w:name="passage-i-4-2"/>
      <w:bookmarkEnd w:id="1642"/>
      <w:r>
        <w:rPr>
          <w:b/>
          <w:i w:val="0"/>
        </w:rPr>
        <w:t>I.4.2</w:t>
      </w:r>
      <w:r>
        <w:rPr>
          <w:b/>
          <w:i w:val="0"/>
        </w:rPr>
        <w:t>, source pp. 56–57.</w:t>
      </w:r>
      <w:r>
        <w:rPr>
          <w:b w:val="0"/>
          <w:i w:val="0"/>
        </w:rPr>
        <w:t xml:space="preserve"> Articles: </w:t>
      </w:r>
      <w:hyperlink w:anchor="act-and-operation">
        <w:r>
          <w:rPr>
            <w:color w:val="000000"/>
          </w:rPr>
          <w:t xml:space="preserve">Act and operation</w:t>
        </w:r>
      </w:hyperlink>
      <w:r>
        <w:rPr>
          <w:b w:val="0"/>
          <w:i w:val="0"/>
        </w:rPr>
        <w:t xml:space="preserve">; </w:t>
      </w:r>
      <w:hyperlink w:anchor="affection-and-passivity">
        <w:r>
          <w:rPr>
            <w:color w:val="000000"/>
          </w:rPr>
          <w:t xml:space="preserve">Affection and passivity</w:t>
        </w:r>
      </w:hyperlink>
      <w:r>
        <w:rPr>
          <w:b w:val="0"/>
          <w:i w:val="0"/>
        </w:rPr>
        <w:t xml:space="preserve">; </w:t>
      </w:r>
      <w:hyperlink w:anchor="comparing-resembling-and-equalling">
        <w:r>
          <w:rPr>
            <w:color w:val="000000"/>
          </w:rPr>
          <w:t xml:space="preserve">Comparing, resembling and equalling</w:t>
        </w:r>
      </w:hyperlink>
      <w:r>
        <w:rPr>
          <w:b w:val="0"/>
          <w:i w:val="0"/>
        </w:rPr>
        <w:t xml:space="preserve">; </w:t>
      </w:r>
      <w:hyperlink w:anchor="essence-and-substance">
        <w:r>
          <w:rPr>
            <w:color w:val="000000"/>
          </w:rPr>
          <w:t xml:space="preserve">Essence and substance</w:t>
        </w:r>
      </w:hyperlink>
      <w:r>
        <w:rPr>
          <w:b w:val="0"/>
          <w:i w:val="0"/>
        </w:rPr>
        <w:t xml:space="preserve">; </w:t>
      </w:r>
      <w:hyperlink w:anchor="eternity-and-time">
        <w:r>
          <w:rPr>
            <w:color w:val="000000"/>
          </w:rPr>
          <w:t xml:space="preserve">Eternity and time</w:t>
        </w:r>
      </w:hyperlink>
      <w:r>
        <w:rPr>
          <w:b w:val="0"/>
          <w:i w:val="0"/>
        </w:rPr>
        <w:t xml:space="preserve">; </w:t>
      </w:r>
      <w:hyperlink w:anchor="immortality">
        <w:r>
          <w:rPr>
            <w:color w:val="000000"/>
          </w:rPr>
          <w:t xml:space="preserve">Immortality</w:t>
        </w:r>
      </w:hyperlink>
      <w:r>
        <w:rPr>
          <w:b w:val="0"/>
          <w:i w:val="0"/>
        </w:rPr>
        <w:t xml:space="preserve">; </w:t>
      </w:r>
      <w:hyperlink w:anchor="motion-and-stability">
        <w:r>
          <w:rPr>
            <w:color w:val="000000"/>
          </w:rPr>
          <w:t xml:space="preserve">Motion and stability</w:t>
        </w:r>
      </w:hyperlink>
      <w:r>
        <w:rPr>
          <w:b w:val="0"/>
          <w:i w:val="0"/>
        </w:rPr>
        <w:t xml:space="preserve">; </w:t>
      </w:r>
      <w:hyperlink w:anchor="permanence-and-the-hour-test">
        <w:r>
          <w:rPr>
            <w:color w:val="000000"/>
          </w:rPr>
          <w:t xml:space="preserve">Permanence and the hour test</w:t>
        </w:r>
      </w:hyperlink>
      <w:r>
        <w:rPr>
          <w:b w:val="0"/>
          <w:i w:val="0"/>
        </w:rPr>
        <w:t xml:space="preserve">; </w:t>
      </w:r>
      <w:hyperlink w:anchor="power-and-potency">
        <w:r>
          <w:rPr>
            <w:color w:val="000000"/>
          </w:rPr>
          <w:t xml:space="preserve">Power and potency</w:t>
        </w:r>
      </w:hyperlink>
      <w:r>
        <w:rPr>
          <w:b w:val="0"/>
          <w:i w:val="0"/>
        </w:rPr>
        <w:t xml:space="preserve">; </w:t>
      </w:r>
      <w:hyperlink w:anchor="soul">
        <w:r>
          <w:rPr>
            <w:color w:val="000000"/>
          </w:rPr>
          <w:t xml:space="preserve">Soul</w:t>
        </w:r>
      </w:hyperlink>
      <w:r>
        <w:rPr>
          <w:b w:val="0"/>
          <w:i w:val="0"/>
        </w:rPr>
        <w:t xml:space="preserve">. Vocabulary: </w:t>
      </w:r>
      <w:hyperlink w:anchor="latin-record-0030">
        <w:r>
          <w:rPr>
            <w:color w:val="000000"/>
          </w:rPr>
          <w:t xml:space="preserve">adultus / affectio corporis</w:t>
        </w:r>
      </w:hyperlink>
      <w:r>
        <w:rPr>
          <w:b w:val="0"/>
          <w:i w:val="0"/>
        </w:rPr>
        <w:t xml:space="preserve">; </w:t>
      </w:r>
      <w:hyperlink w:anchor="latin-record-0515">
        <w:r>
          <w:rPr>
            <w:color w:val="000000"/>
          </w:rPr>
          <w:t xml:space="preserve">hora / par / impar</w:t>
        </w:r>
      </w:hyperlink>
      <w:r>
        <w:rPr>
          <w:b w:val="0"/>
          <w:i w:val="0"/>
        </w:rPr>
        <w:t xml:space="preserve">; </w:t>
      </w:r>
      <w:hyperlink w:anchor="latin-record-0551">
        <w:r>
          <w:rPr>
            <w:color w:val="000000"/>
          </w:rPr>
          <w:t xml:space="preserve">incipio / desino</w:t>
        </w:r>
      </w:hyperlink>
      <w:r>
        <w:rPr>
          <w:b w:val="0"/>
          <w:i w:val="0"/>
        </w:rPr>
        <w:t xml:space="preserve">; </w:t>
      </w:r>
      <w:hyperlink w:anchor="latin-record-0859">
        <w:r>
          <w:rPr>
            <w:color w:val="000000"/>
          </w:rPr>
          <w:t xml:space="preserve">permaneo / perduro / persevero</w:t>
        </w:r>
      </w:hyperlink>
      <w:r>
        <w:rPr>
          <w:b w:val="0"/>
          <w:i w:val="0"/>
        </w:rPr>
        <w:t>.</w:t>
      </w:r>
    </w:p>
    <w:p>
      <w:pPr>
        <w:widowControl/>
      </w:pPr>
      <w:bookmarkStart w:id="1643" w:name="passage-i-4-3"/>
      <w:bookmarkEnd w:id="1643"/>
      <w:r>
        <w:rPr>
          <w:b/>
          <w:i w:val="0"/>
        </w:rPr>
        <w:t>I.4.3</w:t>
      </w:r>
      <w:r>
        <w:rPr>
          <w:b/>
          <w:i w:val="0"/>
        </w:rPr>
        <w:t>, source pp. 56–57.</w:t>
      </w:r>
      <w:r>
        <w:rPr>
          <w:b w:val="0"/>
          <w:i w:val="0"/>
        </w:rPr>
        <w:t xml:space="preserve"> Articles: </w:t>
      </w:r>
      <w:hyperlink w:anchor="act-and-operation">
        <w:r>
          <w:rPr>
            <w:color w:val="000000"/>
          </w:rPr>
          <w:t xml:space="preserve">Act and operation</w:t>
        </w:r>
      </w:hyperlink>
      <w:r>
        <w:rPr>
          <w:b w:val="0"/>
          <w:i w:val="0"/>
        </w:rPr>
        <w:t xml:space="preserve">; </w:t>
      </w:r>
      <w:hyperlink w:anchor="degree-and-mediation">
        <w:r>
          <w:rPr>
            <w:color w:val="000000"/>
          </w:rPr>
          <w:t xml:space="preserve">Degree and mediation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immortality">
        <w:r>
          <w:rPr>
            <w:color w:val="000000"/>
          </w:rPr>
          <w:t xml:space="preserve">Immortality</w:t>
        </w:r>
      </w:hyperlink>
      <w:r>
        <w:rPr>
          <w:b w:val="0"/>
          <w:i w:val="0"/>
        </w:rPr>
        <w:t xml:space="preserve">; </w:t>
      </w:r>
      <w:hyperlink w:anchor="motion-and-stability">
        <w:r>
          <w:rPr>
            <w:color w:val="000000"/>
          </w:rPr>
          <w:t xml:space="preserve">Motion and stability</w:t>
        </w:r>
      </w:hyperlink>
      <w:r>
        <w:rPr>
          <w:b w:val="0"/>
          <w:i w:val="0"/>
        </w:rPr>
        <w:t xml:space="preserve">; </w:t>
      </w:r>
      <w:hyperlink w:anchor="power-and-potency">
        <w:r>
          <w:rPr>
            <w:color w:val="000000"/>
          </w:rPr>
          <w:t xml:space="preserve">Power and potency</w:t>
        </w:r>
      </w:hyperlink>
      <w:r>
        <w:rPr>
          <w:b w:val="0"/>
          <w:i w:val="0"/>
        </w:rPr>
        <w:t xml:space="preserve">; </w:t>
      </w:r>
      <w:hyperlink w:anchor="returning-referring-and-reducing">
        <w:r>
          <w:rPr>
            <w:color w:val="000000"/>
          </w:rPr>
          <w:t xml:space="preserve">Returning, referring and reducing</w:t>
        </w:r>
      </w:hyperlink>
      <w:r>
        <w:rPr>
          <w:b w:val="0"/>
          <w:i w:val="0"/>
        </w:rPr>
        <w:t xml:space="preserve">; </w:t>
      </w:r>
      <w:hyperlink w:anchor="soul">
        <w:r>
          <w:rPr>
            <w:color w:val="000000"/>
          </w:rPr>
          <w:t xml:space="preserve">Soul</w:t>
        </w:r>
      </w:hyperlink>
      <w:r>
        <w:rPr>
          <w:b w:val="0"/>
          <w:i w:val="0"/>
        </w:rPr>
        <w:t xml:space="preserve">. Vocabulary: </w:t>
      </w:r>
      <w:hyperlink w:anchor="latin-record-0512">
        <w:r>
          <w:rPr>
            <w:color w:val="000000"/>
          </w:rPr>
          <w:t xml:space="preserve">hiems / ver / aestas / autumnus</w:t>
        </w:r>
      </w:hyperlink>
      <w:r>
        <w:rPr>
          <w:b w:val="0"/>
          <w:i w:val="0"/>
        </w:rPr>
        <w:t xml:space="preserve">; </w:t>
      </w:r>
      <w:hyperlink w:anchor="latin-record-1060">
        <w:r>
          <w:rPr>
            <w:color w:val="000000"/>
          </w:rPr>
          <w:t xml:space="preserve">revertamur ad quaestionem</w:t>
        </w:r>
      </w:hyperlink>
      <w:r>
        <w:rPr>
          <w:b w:val="0"/>
          <w:i w:val="0"/>
        </w:rPr>
        <w:t>.</w:t>
      </w:r>
    </w:p>
    <w:p>
      <w:pPr>
        <w:widowControl/>
      </w:pPr>
      <w:bookmarkStart w:id="1644" w:name="passage-i-4-4"/>
      <w:bookmarkEnd w:id="1644"/>
      <w:r>
        <w:rPr>
          <w:b/>
          <w:i w:val="0"/>
        </w:rPr>
        <w:t>I.4.4</w:t>
      </w:r>
      <w:r>
        <w:rPr>
          <w:b/>
          <w:i w:val="0"/>
        </w:rPr>
        <w:t>, source pp. 58–59.</w:t>
      </w:r>
      <w:r>
        <w:rPr>
          <w:b w:val="0"/>
          <w:i w:val="0"/>
        </w:rPr>
        <w:t xml:space="preserve"> Articles: </w:t>
      </w:r>
      <w:hyperlink w:anchor="act-and-operation">
        <w:r>
          <w:rPr>
            <w:color w:val="000000"/>
          </w:rPr>
          <w:t xml:space="preserve">Act and operation</w:t>
        </w:r>
      </w:hyperlink>
      <w:r>
        <w:rPr>
          <w:b w:val="0"/>
          <w:i w:val="0"/>
        </w:rPr>
        <w:t xml:space="preserve">; </w:t>
      </w:r>
      <w:hyperlink w:anchor="degree-and-mediation">
        <w:r>
          <w:rPr>
            <w:color w:val="000000"/>
          </w:rPr>
          <w:t xml:space="preserve">Degree and mediation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immortality">
        <w:r>
          <w:rPr>
            <w:color w:val="000000"/>
          </w:rPr>
          <w:t xml:space="preserve">Immortality</w:t>
        </w:r>
      </w:hyperlink>
      <w:r>
        <w:rPr>
          <w:b w:val="0"/>
          <w:i w:val="0"/>
        </w:rPr>
        <w:t xml:space="preserve">; </w:t>
      </w:r>
      <w:hyperlink w:anchor="motion-and-stability">
        <w:r>
          <w:rPr>
            <w:color w:val="000000"/>
          </w:rPr>
          <w:t xml:space="preserve">Motion and stability</w:t>
        </w:r>
      </w:hyperlink>
      <w:r>
        <w:rPr>
          <w:b w:val="0"/>
          <w:i w:val="0"/>
        </w:rPr>
        <w:t xml:space="preserve">; </w:t>
      </w:r>
      <w:hyperlink w:anchor="power-and-potency">
        <w:r>
          <w:rPr>
            <w:color w:val="000000"/>
          </w:rPr>
          <w:t xml:space="preserve">Power and potency</w:t>
        </w:r>
      </w:hyperlink>
      <w:r>
        <w:rPr>
          <w:b w:val="0"/>
          <w:i w:val="0"/>
        </w:rPr>
        <w:t xml:space="preserve">; </w:t>
      </w:r>
      <w:hyperlink w:anchor="soul">
        <w:r>
          <w:rPr>
            <w:color w:val="000000"/>
          </w:rPr>
          <w:t xml:space="preserve">Soul</w:t>
        </w:r>
      </w:hyperlink>
      <w:r>
        <w:rPr>
          <w:b w:val="0"/>
          <w:i w:val="0"/>
        </w:rPr>
        <w:t xml:space="preserve">. Vocabulary: </w:t>
      </w:r>
      <w:hyperlink w:anchor="latin-record-0831">
        <w:r>
          <w:rPr>
            <w:color w:val="000000"/>
          </w:rPr>
          <w:t xml:space="preserve">partim … partim</w:t>
        </w:r>
      </w:hyperlink>
      <w:r>
        <w:rPr>
          <w:b w:val="0"/>
          <w:i w:val="0"/>
        </w:rPr>
        <w:t xml:space="preserve">; </w:t>
      </w:r>
      <w:hyperlink w:anchor="latin-record-1232">
        <w:r>
          <w:rPr>
            <w:color w:val="000000"/>
          </w:rPr>
          <w:t xml:space="preserve">vacillo</w:t>
        </w:r>
      </w:hyperlink>
      <w:r>
        <w:rPr>
          <w:b w:val="0"/>
          <w:i w:val="0"/>
        </w:rPr>
        <w:t>.</w:t>
      </w:r>
    </w:p>
    <w:p>
      <w:pPr>
        <w:widowControl/>
      </w:pPr>
      <w:bookmarkStart w:id="1645" w:name="passage-i-4-5"/>
      <w:bookmarkEnd w:id="1645"/>
      <w:r>
        <w:rPr>
          <w:b/>
          <w:i w:val="0"/>
        </w:rPr>
        <w:t>I.4.5</w:t>
      </w:r>
      <w:r>
        <w:rPr>
          <w:b/>
          <w:i w:val="0"/>
        </w:rPr>
        <w:t>, source pp. 58–59.</w:t>
      </w:r>
      <w:r>
        <w:rPr>
          <w:b w:val="0"/>
          <w:i w:val="0"/>
        </w:rPr>
        <w:t xml:space="preserve"> Articles: </w:t>
      </w:r>
      <w:hyperlink w:anchor="act-and-operation">
        <w:r>
          <w:rPr>
            <w:color w:val="000000"/>
          </w:rPr>
          <w:t xml:space="preserve">Act and operation</w:t>
        </w:r>
      </w:hyperlink>
      <w:r>
        <w:rPr>
          <w:b w:val="0"/>
          <w:i w:val="0"/>
        </w:rPr>
        <w:t xml:space="preserve">; </w:t>
      </w:r>
      <w:hyperlink w:anchor="degree-and-mediation">
        <w:r>
          <w:rPr>
            <w:color w:val="000000"/>
          </w:rPr>
          <w:t xml:space="preserve">Degree and mediation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immortality">
        <w:r>
          <w:rPr>
            <w:color w:val="000000"/>
          </w:rPr>
          <w:t xml:space="preserve">Immortality</w:t>
        </w:r>
      </w:hyperlink>
      <w:r>
        <w:rPr>
          <w:b w:val="0"/>
          <w:i w:val="0"/>
        </w:rPr>
        <w:t xml:space="preserve">; </w:t>
      </w:r>
      <w:hyperlink w:anchor="motion-and-stability">
        <w:r>
          <w:rPr>
            <w:color w:val="000000"/>
          </w:rPr>
          <w:t xml:space="preserve">Motion and stability</w:t>
        </w:r>
      </w:hyperlink>
      <w:r>
        <w:rPr>
          <w:b w:val="0"/>
          <w:i w:val="0"/>
        </w:rPr>
        <w:t xml:space="preserve">; </w:t>
      </w:r>
      <w:hyperlink w:anchor="power-and-potency">
        <w:r>
          <w:rPr>
            <w:color w:val="000000"/>
          </w:rPr>
          <w:t xml:space="preserve">Power and potency</w:t>
        </w:r>
      </w:hyperlink>
      <w:r>
        <w:rPr>
          <w:b w:val="0"/>
          <w:i w:val="0"/>
        </w:rPr>
        <w:t xml:space="preserve">; </w:t>
      </w:r>
      <w:hyperlink w:anchor="soul">
        <w:r>
          <w:rPr>
            <w:color w:val="000000"/>
          </w:rPr>
          <w:t xml:space="preserve">Soul</w:t>
        </w:r>
      </w:hyperlink>
      <w:r>
        <w:rPr>
          <w:b w:val="0"/>
          <w:i w:val="0"/>
        </w:rPr>
        <w:t xml:space="preserve">. Vocabulary: </w:t>
      </w:r>
      <w:hyperlink w:anchor="latin-record-0385">
        <w:r>
          <w:rPr>
            <w:color w:val="000000"/>
          </w:rPr>
          <w:t xml:space="preserve">essentia / virtus / actio</w:t>
        </w:r>
      </w:hyperlink>
      <w:r>
        <w:rPr>
          <w:b w:val="0"/>
          <w:i w:val="0"/>
        </w:rPr>
        <w:t>.</w:t>
      </w:r>
    </w:p>
    <w:p>
      <w:bookmarkStart w:id="1646" w:name="chapter-i.5"/>
      <w:pPr>
        <w:pStyle w:val="Heading2"/>
      </w:pPr>
      <w:r>
        <w:rPr>
          <w:b w:val="0"/>
          <w:i w:val="0"/>
        </w:rPr>
        <w:t>Chapter I.5</w:t>
      </w:r>
      <w:bookmarkEnd w:id="1646"/>
    </w:p>
    <w:p>
      <w:pPr>
        <w:widowControl/>
      </w:pPr>
      <w:bookmarkStart w:id="1647" w:name="passage-i-5-1"/>
      <w:bookmarkEnd w:id="1647"/>
      <w:r>
        <w:rPr>
          <w:b/>
          <w:i w:val="0"/>
        </w:rPr>
        <w:t>I.5.1</w:t>
      </w:r>
      <w:r>
        <w:rPr>
          <w:b/>
          <w:i w:val="0"/>
        </w:rPr>
        <w:t>, source pp. 60–61.</w:t>
      </w:r>
      <w:r>
        <w:rPr>
          <w:b w:val="0"/>
          <w:i w:val="0"/>
        </w:rPr>
        <w:t xml:space="preserve"> Articles: </w:t>
      </w:r>
      <w:hyperlink w:anchor="act-and-operation">
        <w:r>
          <w:rPr>
            <w:color w:val="000000"/>
          </w:rPr>
          <w:t xml:space="preserve">Act and operation</w:t>
        </w:r>
      </w:hyperlink>
      <w:r>
        <w:rPr>
          <w:b w:val="0"/>
          <w:i w:val="0"/>
        </w:rPr>
        <w:t xml:space="preserve">; </w:t>
      </w:r>
      <w:hyperlink w:anchor="eternity-and-time">
        <w:r>
          <w:rPr>
            <w:color w:val="000000"/>
          </w:rPr>
          <w:t xml:space="preserve">Eternity and time</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habitual-possession">
        <w:r>
          <w:rPr>
            <w:color w:val="000000"/>
          </w:rPr>
          <w:t xml:space="preserve">Habitual possession</w:t>
        </w:r>
      </w:hyperlink>
      <w:r>
        <w:rPr>
          <w:b w:val="0"/>
          <w:i w:val="0"/>
        </w:rPr>
        <w:t xml:space="preserve">; </w:t>
      </w:r>
      <w:hyperlink w:anchor="motion-and-stability">
        <w:r>
          <w:rPr>
            <w:color w:val="000000"/>
          </w:rPr>
          <w:t xml:space="preserve">Motion and stability</w:t>
        </w:r>
      </w:hyperlink>
      <w:r>
        <w:rPr>
          <w:b w:val="0"/>
          <w:i w:val="0"/>
        </w:rPr>
        <w:t xml:space="preserve">; </w:t>
      </w:r>
      <w:hyperlink w:anchor="nourishment-digestion-and-growth">
        <w:r>
          <w:rPr>
            <w:color w:val="000000"/>
          </w:rPr>
          <w:t xml:space="preserve">Nourishment, digestion and growth</w:t>
        </w:r>
      </w:hyperlink>
      <w:r>
        <w:rPr>
          <w:b w:val="0"/>
          <w:i w:val="0"/>
        </w:rPr>
        <w:t xml:space="preserve">; </w:t>
      </w:r>
      <w:hyperlink w:anchor="permanence-and-the-hour-test">
        <w:r>
          <w:rPr>
            <w:color w:val="000000"/>
          </w:rPr>
          <w:t xml:space="preserve">Permanence and the hour test</w:t>
        </w:r>
      </w:hyperlink>
      <w:r>
        <w:rPr>
          <w:b w:val="0"/>
          <w:i w:val="0"/>
        </w:rPr>
        <w:t xml:space="preserve">; </w:t>
      </w:r>
      <w:hyperlink w:anchor="power-and-potency">
        <w:r>
          <w:rPr>
            <w:color w:val="000000"/>
          </w:rPr>
          <w:t xml:space="preserve">Power and potency</w:t>
        </w:r>
      </w:hyperlink>
      <w:r>
        <w:rPr>
          <w:b w:val="0"/>
          <w:i w:val="0"/>
        </w:rPr>
        <w:t xml:space="preserve">; </w:t>
      </w:r>
      <w:hyperlink w:anchor="soul">
        <w:r>
          <w:rPr>
            <w:color w:val="000000"/>
          </w:rPr>
          <w:t xml:space="preserve">Soul</w:t>
        </w:r>
      </w:hyperlink>
      <w:r>
        <w:rPr>
          <w:b w:val="0"/>
          <w:i w:val="0"/>
        </w:rPr>
        <w:t xml:space="preserve">; </w:t>
      </w:r>
      <w:hyperlink w:anchor="will">
        <w:r>
          <w:rPr>
            <w:color w:val="000000"/>
          </w:rPr>
          <w:t xml:space="preserve">Will</w:t>
        </w:r>
      </w:hyperlink>
      <w:r>
        <w:rPr>
          <w:b w:val="0"/>
          <w:i w:val="0"/>
        </w:rPr>
        <w:t xml:space="preserve">. Vocabulary: </w:t>
      </w:r>
      <w:hyperlink w:anchor="latin-record-0051">
        <w:r>
          <w:rPr>
            <w:color w:val="000000"/>
          </w:rPr>
          <w:t xml:space="preserve">alit / auget / generat</w:t>
        </w:r>
      </w:hyperlink>
      <w:r>
        <w:rPr>
          <w:b w:val="0"/>
          <w:i w:val="0"/>
        </w:rPr>
        <w:t xml:space="preserve">; </w:t>
      </w:r>
      <w:hyperlink w:anchor="latin-record-0070">
        <w:r>
          <w:rPr>
            <w:color w:val="000000"/>
          </w:rPr>
          <w:t xml:space="preserve">anima rationalis</w:t>
        </w:r>
      </w:hyperlink>
      <w:r>
        <w:rPr>
          <w:b w:val="0"/>
          <w:i w:val="0"/>
        </w:rPr>
        <w:t xml:space="preserve">; </w:t>
      </w:r>
      <w:hyperlink w:anchor="latin-record-0385">
        <w:r>
          <w:rPr>
            <w:color w:val="000000"/>
          </w:rPr>
          <w:t xml:space="preserve">essentia / virtus / actio</w:t>
        </w:r>
      </w:hyperlink>
      <w:r>
        <w:rPr>
          <w:b w:val="0"/>
          <w:i w:val="0"/>
        </w:rPr>
        <w:t xml:space="preserve">; </w:t>
      </w:r>
      <w:hyperlink w:anchor="latin-record-0496">
        <w:r>
          <w:rPr>
            <w:color w:val="000000"/>
          </w:rPr>
          <w:t xml:space="preserve">habitus</w:t>
        </w:r>
      </w:hyperlink>
      <w:r>
        <w:rPr>
          <w:b w:val="0"/>
          <w:i w:val="0"/>
        </w:rPr>
        <w:t xml:space="preserve">; </w:t>
      </w:r>
      <w:hyperlink w:anchor="latin-record-0502">
        <w:r>
          <w:rPr>
            <w:color w:val="000000"/>
          </w:rPr>
          <w:t xml:space="preserve">hactenus / hucusque</w:t>
        </w:r>
      </w:hyperlink>
      <w:r>
        <w:rPr>
          <w:b w:val="0"/>
          <w:i w:val="0"/>
        </w:rPr>
        <w:t xml:space="preserve">; </w:t>
      </w:r>
      <w:hyperlink w:anchor="latin-record-0743">
        <w:r>
          <w:rPr>
            <w:color w:val="000000"/>
          </w:rPr>
          <w:t xml:space="preserve">naturalis / acquisitus</w:t>
        </w:r>
      </w:hyperlink>
      <w:r>
        <w:rPr>
          <w:b w:val="0"/>
          <w:i w:val="0"/>
        </w:rPr>
        <w:t xml:space="preserve">; </w:t>
      </w:r>
      <w:hyperlink w:anchor="latin-record-1281">
        <w:r>
          <w:rPr>
            <w:color w:val="000000"/>
          </w:rPr>
          <w:t xml:space="preserve">voluntas / memoria</w:t>
        </w:r>
      </w:hyperlink>
      <w:r>
        <w:rPr>
          <w:b w:val="0"/>
          <w:i w:val="0"/>
        </w:rPr>
        <w:t>.</w:t>
      </w:r>
    </w:p>
    <w:p>
      <w:pPr>
        <w:widowControl/>
      </w:pPr>
      <w:bookmarkStart w:id="1648" w:name="passage-i-5-2"/>
      <w:bookmarkEnd w:id="1648"/>
      <w:r>
        <w:rPr>
          <w:b/>
          <w:i w:val="0"/>
        </w:rPr>
        <w:t>I.5.2</w:t>
      </w:r>
      <w:r>
        <w:rPr>
          <w:b/>
          <w:i w:val="0"/>
        </w:rPr>
        <w:t>, source pp. 60–61.</w:t>
      </w:r>
      <w:r>
        <w:rPr>
          <w:b w:val="0"/>
          <w:i w:val="0"/>
        </w:rPr>
        <w:t xml:space="preserve"> Articles: </w:t>
      </w:r>
      <w:hyperlink w:anchor="act-and-operation">
        <w:r>
          <w:rPr>
            <w:color w:val="000000"/>
          </w:rPr>
          <w:t xml:space="preserve">Act and operation</w:t>
        </w:r>
      </w:hyperlink>
      <w:r>
        <w:rPr>
          <w:b w:val="0"/>
          <w:i w:val="0"/>
        </w:rPr>
        <w:t xml:space="preserve">; </w:t>
      </w:r>
      <w:hyperlink w:anchor="dispersion-and-concentration">
        <w:r>
          <w:rPr>
            <w:color w:val="000000"/>
          </w:rPr>
          <w:t xml:space="preserve">Dispersion and concentration</w:t>
        </w:r>
      </w:hyperlink>
      <w:r>
        <w:rPr>
          <w:b w:val="0"/>
          <w:i w:val="0"/>
        </w:rPr>
        <w:t xml:space="preserve">; </w:t>
      </w:r>
      <w:hyperlink w:anchor="eternity-and-time">
        <w:r>
          <w:rPr>
            <w:color w:val="000000"/>
          </w:rPr>
          <w:t xml:space="preserve">Eternity and time</w:t>
        </w:r>
      </w:hyperlink>
      <w:r>
        <w:rPr>
          <w:b w:val="0"/>
          <w:i w:val="0"/>
        </w:rPr>
        <w:t xml:space="preserve">; </w:t>
      </w:r>
      <w:hyperlink w:anchor="life">
        <w:r>
          <w:rPr>
            <w:color w:val="000000"/>
          </w:rPr>
          <w:t xml:space="preserve">Life</w:t>
        </w:r>
      </w:hyperlink>
      <w:r>
        <w:rPr>
          <w:b w:val="0"/>
          <w:i w:val="0"/>
        </w:rPr>
        <w:t xml:space="preserve">; </w:t>
      </w:r>
      <w:hyperlink w:anchor="motion-and-stability">
        <w:r>
          <w:rPr>
            <w:color w:val="000000"/>
          </w:rPr>
          <w:t xml:space="preserve">Motion and stability</w:t>
        </w:r>
      </w:hyperlink>
      <w:r>
        <w:rPr>
          <w:b w:val="0"/>
          <w:i w:val="0"/>
        </w:rPr>
        <w:t xml:space="preserve">; </w:t>
      </w:r>
      <w:hyperlink w:anchor="perfection">
        <w:r>
          <w:rPr>
            <w:color w:val="000000"/>
          </w:rPr>
          <w:t xml:space="preserve">Perfection</w:t>
        </w:r>
      </w:hyperlink>
      <w:r>
        <w:rPr>
          <w:b w:val="0"/>
          <w:i w:val="0"/>
        </w:rPr>
        <w:t xml:space="preserve">; </w:t>
      </w:r>
      <w:hyperlink w:anchor="philosophers-and-stopping-points">
        <w:r>
          <w:rPr>
            <w:color w:val="000000"/>
          </w:rPr>
          <w:t xml:space="preserve">Philosophers and stopping points</w:t>
        </w:r>
      </w:hyperlink>
      <w:r>
        <w:rPr>
          <w:b w:val="0"/>
          <w:i w:val="0"/>
        </w:rPr>
        <w:t xml:space="preserve">. Vocabulary: </w:t>
      </w:r>
      <w:hyperlink w:anchor="latin-record-0333">
        <w:r>
          <w:rPr>
            <w:color w:val="000000"/>
          </w:rPr>
          <w:t xml:space="preserve">dispergo / distractio</w:t>
        </w:r>
      </w:hyperlink>
      <w:r>
        <w:rPr>
          <w:b w:val="0"/>
          <w:i w:val="0"/>
        </w:rPr>
        <w:t xml:space="preserve">; </w:t>
      </w:r>
      <w:hyperlink w:anchor="latin-record-0502">
        <w:r>
          <w:rPr>
            <w:color w:val="000000"/>
          </w:rPr>
          <w:t xml:space="preserve">hactenus / hucusque</w:t>
        </w:r>
      </w:hyperlink>
      <w:r>
        <w:rPr>
          <w:b w:val="0"/>
          <w:i w:val="0"/>
        </w:rPr>
        <w:t xml:space="preserve">; </w:t>
      </w:r>
      <w:hyperlink w:anchor="latin-record-0510">
        <w:r>
          <w:rPr>
            <w:color w:val="000000"/>
          </w:rPr>
          <w:t xml:space="preserve">Heraclitus / Varro / Manilius</w:t>
        </w:r>
      </w:hyperlink>
      <w:r>
        <w:rPr>
          <w:b w:val="0"/>
          <w:i w:val="0"/>
        </w:rPr>
        <w:t xml:space="preserve">; </w:t>
      </w:r>
      <w:hyperlink w:anchor="latin-record-0608">
        <w:r>
          <w:rPr>
            <w:color w:val="000000"/>
          </w:rPr>
          <w:t xml:space="preserve">intrinsecus / extrinsecus</w:t>
        </w:r>
      </w:hyperlink>
      <w:r>
        <w:rPr>
          <w:b w:val="0"/>
          <w:i w:val="0"/>
        </w:rPr>
        <w:t xml:space="preserve">; </w:t>
      </w:r>
      <w:hyperlink w:anchor="latin-record-1203">
        <w:r>
          <w:rPr>
            <w:color w:val="000000"/>
          </w:rPr>
          <w:t xml:space="preserve">tota simul</w:t>
        </w:r>
      </w:hyperlink>
      <w:r>
        <w:rPr>
          <w:b w:val="0"/>
          <w:i w:val="0"/>
        </w:rPr>
        <w:t>.</w:t>
      </w:r>
    </w:p>
    <w:p>
      <w:pPr>
        <w:widowControl/>
      </w:pPr>
      <w:bookmarkStart w:id="1649" w:name="passage-i-5-3"/>
      <w:bookmarkEnd w:id="1649"/>
      <w:r>
        <w:rPr>
          <w:b/>
          <w:i w:val="0"/>
        </w:rPr>
        <w:t>I.5.3</w:t>
      </w:r>
      <w:r>
        <w:rPr>
          <w:b/>
          <w:i w:val="0"/>
        </w:rPr>
        <w:t>, source pp. 60–61.</w:t>
      </w:r>
      <w:r>
        <w:rPr>
          <w:b w:val="0"/>
          <w:i w:val="0"/>
        </w:rPr>
        <w:t xml:space="preserve"> Articles: </w:t>
      </w:r>
      <w:hyperlink w:anchor="act-and-operation">
        <w:r>
          <w:rPr>
            <w:color w:val="000000"/>
          </w:rPr>
          <w:t xml:space="preserve">Act and operation</w:t>
        </w:r>
      </w:hyperlink>
      <w:r>
        <w:rPr>
          <w:b w:val="0"/>
          <w:i w:val="0"/>
        </w:rPr>
        <w:t xml:space="preserve">; </w:t>
      </w:r>
      <w:hyperlink w:anchor="motion-and-stability">
        <w:r>
          <w:rPr>
            <w:color w:val="000000"/>
          </w:rPr>
          <w:t xml:space="preserve">Motion and stability</w:t>
        </w:r>
      </w:hyperlink>
      <w:r>
        <w:rPr>
          <w:b w:val="0"/>
          <w:i w:val="0"/>
        </w:rPr>
        <w:t xml:space="preserve">; </w:t>
      </w:r>
      <w:hyperlink w:anchor="perfection">
        <w:r>
          <w:rPr>
            <w:color w:val="000000"/>
          </w:rPr>
          <w:t xml:space="preserve">Perfection</w:t>
        </w:r>
      </w:hyperlink>
      <w:r>
        <w:rPr>
          <w:b w:val="0"/>
          <w:i w:val="0"/>
        </w:rPr>
        <w:t xml:space="preserve">. Vocabulary: </w:t>
      </w:r>
      <w:hyperlink w:anchor="latin-record-0851">
        <w:r>
          <w:rPr>
            <w:color w:val="000000"/>
          </w:rPr>
          <w:t xml:space="preserve">per se / per superiora</w:t>
        </w:r>
      </w:hyperlink>
      <w:r>
        <w:rPr>
          <w:b w:val="0"/>
          <w:i w:val="0"/>
        </w:rPr>
        <w:t>.</w:t>
      </w:r>
    </w:p>
    <w:p>
      <w:pPr>
        <w:widowControl/>
      </w:pPr>
      <w:bookmarkStart w:id="1650" w:name="passage-i-5-4"/>
      <w:bookmarkEnd w:id="1650"/>
      <w:r>
        <w:rPr>
          <w:b/>
          <w:i w:val="0"/>
        </w:rPr>
        <w:t>I.5.4</w:t>
      </w:r>
      <w:r>
        <w:rPr>
          <w:b/>
          <w:i w:val="0"/>
        </w:rPr>
        <w:t>, source pp. 62–63.</w:t>
      </w:r>
      <w:r>
        <w:rPr>
          <w:b w:val="0"/>
          <w:i w:val="0"/>
        </w:rPr>
        <w:t xml:space="preserve"> Articles: </w:t>
      </w:r>
      <w:hyperlink w:anchor="act-and-operation">
        <w:r>
          <w:rPr>
            <w:color w:val="000000"/>
          </w:rPr>
          <w:t xml:space="preserve">Act and operation</w:t>
        </w:r>
      </w:hyperlink>
      <w:r>
        <w:rPr>
          <w:b w:val="0"/>
          <w:i w:val="0"/>
        </w:rPr>
        <w:t xml:space="preserve">; </w:t>
      </w:r>
      <w:hyperlink w:anchor="appetite-and-desire">
        <w:r>
          <w:rPr>
            <w:color w:val="000000"/>
          </w:rPr>
          <w:t xml:space="preserve">Appetite and desire</w:t>
        </w:r>
      </w:hyperlink>
      <w:r>
        <w:rPr>
          <w:b w:val="0"/>
          <w:i w:val="0"/>
        </w:rPr>
        <w:t xml:space="preserve">; </w:t>
      </w:r>
      <w:hyperlink w:anchor="end-and-limit">
        <w:r>
          <w:rPr>
            <w:color w:val="000000"/>
          </w:rPr>
          <w:t xml:space="preserve">End and limit</w:t>
        </w:r>
      </w:hyperlink>
      <w:r>
        <w:rPr>
          <w:b w:val="0"/>
          <w:i w:val="0"/>
        </w:rPr>
        <w:t xml:space="preserve">; </w:t>
      </w:r>
      <w:hyperlink w:anchor="leisure">
        <w:r>
          <w:rPr>
            <w:color w:val="000000"/>
          </w:rPr>
          <w:t xml:space="preserve">Leisure</w:t>
        </w:r>
      </w:hyperlink>
      <w:r>
        <w:rPr>
          <w:b w:val="0"/>
          <w:i w:val="0"/>
        </w:rPr>
        <w:t xml:space="preserve">; </w:t>
      </w:r>
      <w:hyperlink w:anchor="lorenzo-dedication-and-public-authority">
        <w:r>
          <w:rPr>
            <w:color w:val="000000"/>
          </w:rPr>
          <w:t xml:space="preserve">Lorenzo, dedication and public authority</w:t>
        </w:r>
      </w:hyperlink>
      <w:r>
        <w:rPr>
          <w:b w:val="0"/>
          <w:i w:val="0"/>
        </w:rPr>
        <w:t xml:space="preserve">; </w:t>
      </w:r>
      <w:hyperlink w:anchor="motion-and-stability">
        <w:r>
          <w:rPr>
            <w:color w:val="000000"/>
          </w:rPr>
          <w:t xml:space="preserve">Motion and stability</w:t>
        </w:r>
      </w:hyperlink>
      <w:r>
        <w:rPr>
          <w:b w:val="0"/>
          <w:i w:val="0"/>
        </w:rPr>
        <w:t xml:space="preserve">; </w:t>
      </w:r>
      <w:hyperlink w:anchor="need-and-sufficiency">
        <w:r>
          <w:rPr>
            <w:color w:val="000000"/>
          </w:rPr>
          <w:t xml:space="preserve">Need and sufficiency</w:t>
        </w:r>
      </w:hyperlink>
      <w:r>
        <w:rPr>
          <w:b w:val="0"/>
          <w:i w:val="0"/>
        </w:rPr>
        <w:t xml:space="preserve">; </w:t>
      </w:r>
      <w:hyperlink w:anchor="perfection">
        <w:r>
          <w:rPr>
            <w:color w:val="000000"/>
          </w:rPr>
          <w:t xml:space="preserve">Perfection</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555">
        <w:r>
          <w:rPr>
            <w:color w:val="000000"/>
          </w:rPr>
          <w:t xml:space="preserve">indigentia</w:t>
        </w:r>
      </w:hyperlink>
      <w:r>
        <w:rPr>
          <w:b w:val="0"/>
          <w:i w:val="0"/>
        </w:rPr>
        <w:t xml:space="preserve">; </w:t>
      </w:r>
      <w:hyperlink w:anchor="latin-record-0816">
        <w:r>
          <w:rPr>
            <w:color w:val="000000"/>
          </w:rPr>
          <w:t xml:space="preserve">otium</w:t>
        </w:r>
      </w:hyperlink>
      <w:r>
        <w:rPr>
          <w:b w:val="0"/>
          <w:i w:val="0"/>
        </w:rPr>
        <w:t xml:space="preserve">; </w:t>
      </w:r>
      <w:hyperlink w:anchor="latin-record-0966">
        <w:r>
          <w:rPr>
            <w:color w:val="000000"/>
          </w:rPr>
          <w:t xml:space="preserve">prorumpo / migro</w:t>
        </w:r>
      </w:hyperlink>
      <w:r>
        <w:rPr>
          <w:b w:val="0"/>
          <w:i w:val="0"/>
        </w:rPr>
        <w:t>.</w:t>
      </w:r>
    </w:p>
    <w:p>
      <w:pPr>
        <w:widowControl/>
      </w:pPr>
      <w:bookmarkStart w:id="1651" w:name="passage-i-5-5"/>
      <w:bookmarkEnd w:id="1651"/>
      <w:r>
        <w:rPr>
          <w:b/>
          <w:i w:val="0"/>
        </w:rPr>
        <w:t>I.5.5</w:t>
      </w:r>
      <w:r>
        <w:rPr>
          <w:b/>
          <w:i w:val="0"/>
        </w:rPr>
        <w:t>, source pp. 62–63.</w:t>
      </w:r>
      <w:r>
        <w:rPr>
          <w:b w:val="0"/>
          <w:i w:val="0"/>
        </w:rPr>
        <w:t xml:space="preserve"> Articles: </w:t>
      </w:r>
      <w:hyperlink w:anchor="appetite-and-desire">
        <w:r>
          <w:rPr>
            <w:color w:val="000000"/>
          </w:rPr>
          <w:t xml:space="preserve">Appetite and desire</w:t>
        </w:r>
      </w:hyperlink>
      <w:r>
        <w:rPr>
          <w:b w:val="0"/>
          <w:i w:val="0"/>
        </w:rPr>
        <w:t xml:space="preserve">; </w:t>
      </w:r>
      <w:hyperlink w:anchor="end-and-limit">
        <w:r>
          <w:rPr>
            <w:color w:val="000000"/>
          </w:rPr>
          <w:t xml:space="preserve">End and limit</w:t>
        </w:r>
      </w:hyperlink>
      <w:r>
        <w:rPr>
          <w:b w:val="0"/>
          <w:i w:val="0"/>
        </w:rPr>
        <w:t xml:space="preserve">; </w:t>
      </w:r>
      <w:hyperlink w:anchor="motion-and-stability">
        <w:r>
          <w:rPr>
            <w:color w:val="000000"/>
          </w:rPr>
          <w:t xml:space="preserve">Motion and stability</w:t>
        </w:r>
      </w:hyperlink>
      <w:r>
        <w:rPr>
          <w:b w:val="0"/>
          <w:i w:val="0"/>
        </w:rPr>
        <w:t xml:space="preserve">; </w:t>
      </w:r>
      <w:hyperlink w:anchor="need-and-sufficiency">
        <w:r>
          <w:rPr>
            <w:color w:val="000000"/>
          </w:rPr>
          <w:t xml:space="preserve">Need and sufficiency</w:t>
        </w:r>
      </w:hyperlink>
      <w:r>
        <w:rPr>
          <w:b w:val="0"/>
          <w:i w:val="0"/>
        </w:rPr>
        <w:t xml:space="preserve">; </w:t>
      </w:r>
      <w:hyperlink w:anchor="perfection">
        <w:r>
          <w:rPr>
            <w:color w:val="000000"/>
          </w:rPr>
          <w:t xml:space="preserve">Perfection</w:t>
        </w:r>
      </w:hyperlink>
      <w:r>
        <w:rPr>
          <w:b w:val="0"/>
          <w:i w:val="0"/>
        </w:rPr>
        <w:t xml:space="preserve">. Vocabulary: </w:t>
      </w:r>
      <w:hyperlink w:anchor="latin-record-0945">
        <w:r>
          <w:rPr>
            <w:color w:val="000000"/>
          </w:rPr>
          <w:t xml:space="preserve">proficio / adipiscor</w:t>
        </w:r>
      </w:hyperlink>
      <w:r>
        <w:rPr>
          <w:b w:val="0"/>
          <w:i w:val="0"/>
        </w:rPr>
        <w:t>.</w:t>
      </w:r>
    </w:p>
    <w:p>
      <w:pPr>
        <w:widowControl/>
      </w:pPr>
      <w:bookmarkStart w:id="1652" w:name="passage-i-5-6"/>
      <w:bookmarkEnd w:id="1652"/>
      <w:r>
        <w:rPr>
          <w:b/>
          <w:i w:val="0"/>
        </w:rPr>
        <w:t>I.5.6</w:t>
      </w:r>
      <w:r>
        <w:rPr>
          <w:b/>
          <w:i w:val="0"/>
        </w:rPr>
        <w:t>, source pp. 62–63.</w:t>
      </w:r>
      <w:r>
        <w:rPr>
          <w:b w:val="0"/>
          <w:i w:val="0"/>
        </w:rPr>
        <w:t xml:space="preserve"> Articles: </w:t>
      </w:r>
      <w:hyperlink w:anchor="appetite-and-desire">
        <w:r>
          <w:rPr>
            <w:color w:val="000000"/>
          </w:rPr>
          <w:t xml:space="preserve">Appetite and desire</w:t>
        </w:r>
      </w:hyperlink>
      <w:r>
        <w:rPr>
          <w:b w:val="0"/>
          <w:i w:val="0"/>
        </w:rPr>
        <w:t xml:space="preserve">; </w:t>
      </w:r>
      <w:hyperlink w:anchor="end-and-limit">
        <w:r>
          <w:rPr>
            <w:color w:val="000000"/>
          </w:rPr>
          <w:t xml:space="preserve">End and limit</w:t>
        </w:r>
      </w:hyperlink>
      <w:r>
        <w:rPr>
          <w:b w:val="0"/>
          <w:i w:val="0"/>
        </w:rPr>
        <w:t xml:space="preserve">; </w:t>
      </w:r>
      <w:hyperlink w:anchor="motion-and-stability">
        <w:r>
          <w:rPr>
            <w:color w:val="000000"/>
          </w:rPr>
          <w:t xml:space="preserve">Motion and stability</w:t>
        </w:r>
      </w:hyperlink>
      <w:r>
        <w:rPr>
          <w:b w:val="0"/>
          <w:i w:val="0"/>
        </w:rPr>
        <w:t xml:space="preserve">; </w:t>
      </w:r>
      <w:hyperlink w:anchor="need-and-sufficiency">
        <w:r>
          <w:rPr>
            <w:color w:val="000000"/>
          </w:rPr>
          <w:t xml:space="preserve">Need and sufficiency</w:t>
        </w:r>
      </w:hyperlink>
      <w:r>
        <w:rPr>
          <w:b w:val="0"/>
          <w:i w:val="0"/>
        </w:rPr>
        <w:t xml:space="preserve">; </w:t>
      </w:r>
      <w:hyperlink w:anchor="perfection">
        <w:r>
          <w:rPr>
            <w:color w:val="000000"/>
          </w:rPr>
          <w:t xml:space="preserve">Perfection</w:t>
        </w:r>
      </w:hyperlink>
      <w:r>
        <w:rPr>
          <w:b w:val="0"/>
          <w:i w:val="0"/>
        </w:rPr>
        <w:t xml:space="preserve">. Vocabulary: </w:t>
      </w:r>
      <w:hyperlink w:anchor="latin-record-1193">
        <w:r>
          <w:rPr>
            <w:color w:val="000000"/>
          </w:rPr>
          <w:t xml:space="preserve">termino</w:t>
        </w:r>
      </w:hyperlink>
      <w:r>
        <w:rPr>
          <w:b w:val="0"/>
          <w:i w:val="0"/>
        </w:rPr>
        <w:t>.</w:t>
      </w:r>
    </w:p>
    <w:p>
      <w:pPr>
        <w:widowControl/>
      </w:pPr>
      <w:bookmarkStart w:id="1653" w:name="passage-i-5-7"/>
      <w:bookmarkEnd w:id="1653"/>
      <w:r>
        <w:rPr>
          <w:b/>
          <w:i w:val="0"/>
        </w:rPr>
        <w:t>I.5.7</w:t>
      </w:r>
      <w:r>
        <w:rPr>
          <w:b/>
          <w:i w:val="0"/>
        </w:rPr>
        <w:t>, source pp. 62–63.</w:t>
      </w:r>
      <w:r>
        <w:rPr>
          <w:b w:val="0"/>
          <w:i w:val="0"/>
        </w:rPr>
        <w:t xml:space="preserve"> Articles: </w:t>
      </w:r>
      <w:hyperlink w:anchor="motion-and-stability">
        <w:r>
          <w:rPr>
            <w:color w:val="000000"/>
          </w:rPr>
          <w:t xml:space="preserve">Motion and stability</w:t>
        </w:r>
      </w:hyperlink>
      <w:r>
        <w:rPr>
          <w:b w:val="0"/>
          <w:i w:val="0"/>
        </w:rPr>
        <w:t xml:space="preserve">; </w:t>
      </w:r>
      <w:hyperlink w:anchor="order-and-harmony">
        <w:r>
          <w:rPr>
            <w:color w:val="000000"/>
          </w:rPr>
          <w:t xml:space="preserve">Order and harmony</w:t>
        </w:r>
      </w:hyperlink>
      <w:r>
        <w:rPr>
          <w:b w:val="0"/>
          <w:i w:val="0"/>
        </w:rPr>
        <w:t xml:space="preserve">; </w:t>
      </w:r>
      <w:hyperlink w:anchor="participation">
        <w:r>
          <w:rPr>
            <w:color w:val="000000"/>
          </w:rPr>
          <w:t xml:space="preserve">Participation</w:t>
        </w:r>
      </w:hyperlink>
      <w:r>
        <w:rPr>
          <w:b w:val="0"/>
          <w:i w:val="0"/>
        </w:rPr>
        <w:t xml:space="preserve">; </w:t>
      </w:r>
      <w:hyperlink w:anchor="permanence-and-the-hour-test">
        <w:r>
          <w:rPr>
            <w:color w:val="000000"/>
          </w:rPr>
          <w:t xml:space="preserve">Permanence and the hour test</w:t>
        </w:r>
      </w:hyperlink>
      <w:r>
        <w:rPr>
          <w:b w:val="0"/>
          <w:i w:val="0"/>
        </w:rPr>
        <w:t xml:space="preserve">. Vocabulary: </w:t>
      </w:r>
      <w:hyperlink w:anchor="latin-record-0887">
        <w:r>
          <w:rPr>
            <w:color w:val="000000"/>
          </w:rPr>
          <w:t xml:space="preserve">polus / revolutio / restitutio</w:t>
        </w:r>
      </w:hyperlink>
      <w:r>
        <w:rPr>
          <w:b w:val="0"/>
          <w:i w:val="0"/>
        </w:rPr>
        <w:t xml:space="preserve">; </w:t>
      </w:r>
      <w:hyperlink w:anchor="latin-record-1142">
        <w:r>
          <w:rPr>
            <w:color w:val="000000"/>
          </w:rPr>
          <w:t xml:space="preserve">status / stat in motu</w:t>
        </w:r>
      </w:hyperlink>
      <w:r>
        <w:rPr>
          <w:b w:val="0"/>
          <w:i w:val="0"/>
        </w:rPr>
        <w:t>.</w:t>
      </w:r>
    </w:p>
    <w:p>
      <w:pPr>
        <w:widowControl/>
      </w:pPr>
      <w:bookmarkStart w:id="1654" w:name="passage-i-5-8"/>
      <w:bookmarkEnd w:id="1654"/>
      <w:r>
        <w:rPr>
          <w:b/>
          <w:i w:val="0"/>
        </w:rPr>
        <w:t>I.5.8</w:t>
      </w:r>
      <w:r>
        <w:rPr>
          <w:b/>
          <w:i w:val="0"/>
        </w:rPr>
        <w:t>, source pp. 64–65.</w:t>
      </w:r>
      <w:r>
        <w:rPr>
          <w:b w:val="0"/>
          <w:i w:val="0"/>
        </w:rPr>
        <w:t xml:space="preserve"> Articles: </w:t>
      </w:r>
      <w:hyperlink w:anchor="motion-and-stability">
        <w:r>
          <w:rPr>
            <w:color w:val="000000"/>
          </w:rPr>
          <w:t xml:space="preserve">Motion and stability</w:t>
        </w:r>
      </w:hyperlink>
      <w:r>
        <w:rPr>
          <w:b w:val="0"/>
          <w:i w:val="0"/>
        </w:rPr>
        <w:t xml:space="preserve">; </w:t>
      </w:r>
      <w:hyperlink w:anchor="order-and-harmony">
        <w:r>
          <w:rPr>
            <w:color w:val="000000"/>
          </w:rPr>
          <w:t xml:space="preserve">Order and harmony</w:t>
        </w:r>
      </w:hyperlink>
      <w:r>
        <w:rPr>
          <w:b w:val="0"/>
          <w:i w:val="0"/>
        </w:rPr>
        <w:t xml:space="preserve">; </w:t>
      </w:r>
      <w:hyperlink w:anchor="permanence-and-the-hour-test">
        <w:r>
          <w:rPr>
            <w:color w:val="000000"/>
          </w:rPr>
          <w:t xml:space="preserve">Permanence and the hour test</w:t>
        </w:r>
      </w:hyperlink>
      <w:r>
        <w:rPr>
          <w:b w:val="0"/>
          <w:i w:val="0"/>
        </w:rPr>
        <w:t xml:space="preserve">. Vocabulary: </w:t>
      </w:r>
      <w:hyperlink w:anchor="latin-record-0767">
        <w:r>
          <w:rPr>
            <w:color w:val="000000"/>
          </w:rPr>
          <w:t xml:space="preserve">norma</w:t>
        </w:r>
      </w:hyperlink>
      <w:r>
        <w:rPr>
          <w:b w:val="0"/>
          <w:i w:val="0"/>
        </w:rPr>
        <w:t xml:space="preserve">; </w:t>
      </w:r>
      <w:hyperlink w:anchor="latin-record-1142">
        <w:r>
          <w:rPr>
            <w:color w:val="000000"/>
          </w:rPr>
          <w:t xml:space="preserve">status / stat in motu</w:t>
        </w:r>
      </w:hyperlink>
      <w:r>
        <w:rPr>
          <w:b w:val="0"/>
          <w:i w:val="0"/>
        </w:rPr>
        <w:t>.</w:t>
      </w:r>
    </w:p>
    <w:p>
      <w:pPr>
        <w:widowControl/>
      </w:pPr>
      <w:bookmarkStart w:id="1655" w:name="passage-i-5-9"/>
      <w:bookmarkEnd w:id="1655"/>
      <w:r>
        <w:rPr>
          <w:b/>
          <w:i w:val="0"/>
        </w:rPr>
        <w:t>I.5.9</w:t>
      </w:r>
      <w:r>
        <w:rPr>
          <w:b/>
          <w:i w:val="0"/>
        </w:rPr>
        <w:t>, source pp. 64–65.</w:t>
      </w:r>
      <w:r>
        <w:rPr>
          <w:b w:val="0"/>
          <w:i w:val="0"/>
        </w:rPr>
        <w:t xml:space="preserve"> Articles: </w:t>
      </w:r>
      <w:hyperlink w:anchor="eternity-and-time">
        <w:r>
          <w:rPr>
            <w:color w:val="000000"/>
          </w:rPr>
          <w:t xml:space="preserve">Eternity and time</w:t>
        </w:r>
      </w:hyperlink>
      <w:r>
        <w:rPr>
          <w:b w:val="0"/>
          <w:i w:val="0"/>
        </w:rPr>
        <w:t xml:space="preserve">; </w:t>
      </w:r>
      <w:hyperlink w:anchor="matter">
        <w:r>
          <w:rPr>
            <w:color w:val="000000"/>
          </w:rPr>
          <w:t xml:space="preserve">Matter</w:t>
        </w:r>
      </w:hyperlink>
      <w:r>
        <w:rPr>
          <w:b w:val="0"/>
          <w:i w:val="0"/>
        </w:rPr>
        <w:t xml:space="preserve">; </w:t>
      </w:r>
      <w:hyperlink w:anchor="motion-and-stability">
        <w:r>
          <w:rPr>
            <w:color w:val="000000"/>
          </w:rPr>
          <w:t xml:space="preserve">Motion and stability</w:t>
        </w:r>
      </w:hyperlink>
      <w:r>
        <w:rPr>
          <w:b w:val="0"/>
          <w:i w:val="0"/>
        </w:rPr>
        <w:t xml:space="preserve">; </w:t>
      </w:r>
      <w:hyperlink w:anchor="order-and-harmony">
        <w:r>
          <w:rPr>
            <w:color w:val="000000"/>
          </w:rPr>
          <w:t xml:space="preserve">Order and harmony</w:t>
        </w:r>
      </w:hyperlink>
      <w:r>
        <w:rPr>
          <w:b w:val="0"/>
          <w:i w:val="0"/>
        </w:rPr>
        <w:t xml:space="preserve">; </w:t>
      </w:r>
      <w:hyperlink w:anchor="permanence-and-the-hour-test">
        <w:r>
          <w:rPr>
            <w:color w:val="000000"/>
          </w:rPr>
          <w:t xml:space="preserve">Permanence and the hour test</w:t>
        </w:r>
      </w:hyperlink>
      <w:r>
        <w:rPr>
          <w:b w:val="0"/>
          <w:i w:val="0"/>
        </w:rPr>
        <w:t xml:space="preserve">; </w:t>
      </w:r>
      <w:hyperlink w:anchor="substance-and-accident">
        <w:r>
          <w:rPr>
            <w:color w:val="000000"/>
          </w:rPr>
          <w:t xml:space="preserve">Substance and accident</w:t>
        </w:r>
      </w:hyperlink>
      <w:r>
        <w:rPr>
          <w:b w:val="0"/>
          <w:i w:val="0"/>
        </w:rPr>
        <w:t xml:space="preserve">. Vocabulary: </w:t>
      </w:r>
      <w:hyperlink w:anchor="latin-record-0060">
        <w:r>
          <w:rPr>
            <w:color w:val="000000"/>
          </w:rPr>
          <w:t xml:space="preserve">amitto</w:t>
        </w:r>
      </w:hyperlink>
      <w:r>
        <w:rPr>
          <w:b w:val="0"/>
          <w:i w:val="0"/>
        </w:rPr>
        <w:t xml:space="preserve">; </w:t>
      </w:r>
      <w:hyperlink w:anchor="latin-record-0850">
        <w:r>
          <w:rPr>
            <w:color w:val="000000"/>
          </w:rPr>
          <w:t xml:space="preserve">per materiam / per substantiam</w:t>
        </w:r>
      </w:hyperlink>
      <w:r>
        <w:rPr>
          <w:b w:val="0"/>
          <w:i w:val="0"/>
        </w:rPr>
        <w:t xml:space="preserve">; </w:t>
      </w:r>
      <w:hyperlink w:anchor="latin-record-1125">
        <w:r>
          <w:rPr>
            <w:color w:val="000000"/>
          </w:rPr>
          <w:t xml:space="preserve">species motionis</w:t>
        </w:r>
      </w:hyperlink>
      <w:r>
        <w:rPr>
          <w:b w:val="0"/>
          <w:i w:val="0"/>
        </w:rPr>
        <w:t>.</w:t>
      </w:r>
    </w:p>
    <w:p>
      <w:pPr>
        <w:widowControl/>
      </w:pPr>
      <w:bookmarkStart w:id="1656" w:name="passage-i-5-10"/>
      <w:bookmarkEnd w:id="1656"/>
      <w:r>
        <w:rPr>
          <w:b/>
          <w:i w:val="0"/>
        </w:rPr>
        <w:t>I.5.10</w:t>
      </w:r>
      <w:r>
        <w:rPr>
          <w:b/>
          <w:i w:val="0"/>
        </w:rPr>
        <w:t>, source pp. 64–65.</w:t>
      </w:r>
      <w:r>
        <w:rPr>
          <w:b w:val="0"/>
          <w:i w:val="0"/>
        </w:rPr>
        <w:t xml:space="preserve"> Articles: </w:t>
      </w:r>
      <w:hyperlink w:anchor="intellect-and-intellection">
        <w:r>
          <w:rPr>
            <w:color w:val="000000"/>
          </w:rPr>
          <w:t xml:space="preserve">Intellect and intellection</w:t>
        </w:r>
      </w:hyperlink>
      <w:r>
        <w:rPr>
          <w:b w:val="0"/>
          <w:i w:val="0"/>
        </w:rPr>
        <w:t xml:space="preserve">; </w:t>
      </w:r>
      <w:hyperlink w:anchor="mind">
        <w:r>
          <w:rPr>
            <w:color w:val="000000"/>
          </w:rPr>
          <w:t xml:space="preserve">Mind</w:t>
        </w:r>
      </w:hyperlink>
      <w:r>
        <w:rPr>
          <w:b w:val="0"/>
          <w:i w:val="0"/>
        </w:rPr>
        <w:t xml:space="preserve">; </w:t>
      </w:r>
      <w:hyperlink w:anchor="motion-and-stability">
        <w:r>
          <w:rPr>
            <w:color w:val="000000"/>
          </w:rPr>
          <w:t xml:space="preserve">Motion and stability</w:t>
        </w:r>
      </w:hyperlink>
      <w:r>
        <w:rPr>
          <w:b w:val="0"/>
          <w:i w:val="0"/>
        </w:rPr>
        <w:t xml:space="preserve">. Vocabulary: </w:t>
      </w:r>
      <w:hyperlink w:anchor="latin-record-0554">
        <w:r>
          <w:rPr>
            <w:color w:val="000000"/>
          </w:rPr>
          <w:t xml:space="preserve">indifferens / determino</w:t>
        </w:r>
      </w:hyperlink>
      <w:r>
        <w:rPr>
          <w:b w:val="0"/>
          <w:i w:val="0"/>
        </w:rPr>
        <w:t xml:space="preserve">; </w:t>
      </w:r>
      <w:hyperlink w:anchor="latin-record-0567">
        <w:r>
          <w:rPr>
            <w:color w:val="000000"/>
          </w:rPr>
          <w:t xml:space="preserve">influxus</w:t>
        </w:r>
      </w:hyperlink>
      <w:r>
        <w:rPr>
          <w:b w:val="0"/>
          <w:i w:val="0"/>
        </w:rPr>
        <w:t>.</w:t>
      </w:r>
    </w:p>
    <w:p>
      <w:pPr>
        <w:widowControl/>
      </w:pPr>
      <w:bookmarkStart w:id="1657" w:name="passage-i-5-11"/>
      <w:bookmarkEnd w:id="1657"/>
      <w:r>
        <w:rPr>
          <w:b/>
          <w:i w:val="0"/>
        </w:rPr>
        <w:t>I.5.11</w:t>
      </w:r>
      <w:r>
        <w:rPr>
          <w:b/>
          <w:i w:val="0"/>
        </w:rPr>
        <w:t>, source pp. 66–67.</w:t>
      </w:r>
      <w:r>
        <w:rPr>
          <w:b w:val="0"/>
          <w:i w:val="0"/>
        </w:rPr>
        <w:t xml:space="preserve"> Articles: </w:t>
      </w:r>
      <w:hyperlink w:anchor="art-and-nature">
        <w:r>
          <w:rPr>
            <w:color w:val="000000"/>
          </w:rPr>
          <w:t xml:space="preserve">Art and nature</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mind">
        <w:r>
          <w:rPr>
            <w:color w:val="000000"/>
          </w:rPr>
          <w:t xml:space="preserve">Mind</w:t>
        </w:r>
      </w:hyperlink>
      <w:r>
        <w:rPr>
          <w:b w:val="0"/>
          <w:i w:val="0"/>
        </w:rPr>
        <w:t xml:space="preserve">; </w:t>
      </w:r>
      <w:hyperlink w:anchor="proof-signs-and-qualification">
        <w:r>
          <w:rPr>
            <w:color w:val="000000"/>
          </w:rPr>
          <w:t xml:space="preserve">Proof, signs and qualification</w:t>
        </w:r>
      </w:hyperlink>
      <w:r>
        <w:rPr>
          <w:b w:val="0"/>
          <w:i w:val="0"/>
        </w:rPr>
        <w:t xml:space="preserve">; </w:t>
      </w:r>
      <w:hyperlink w:anchor="soul">
        <w:r>
          <w:rPr>
            <w:color w:val="000000"/>
          </w:rPr>
          <w:t xml:space="preserve">Soul</w:t>
        </w:r>
      </w:hyperlink>
      <w:r>
        <w:rPr>
          <w:b w:val="0"/>
          <w:i w:val="0"/>
        </w:rPr>
        <w:t xml:space="preserve">. Vocabulary: </w:t>
      </w:r>
      <w:hyperlink w:anchor="latin-record-1015">
        <w:r>
          <w:rPr>
            <w:color w:val="000000"/>
          </w:rPr>
          <w:t xml:space="preserve">quodammodo</w:t>
        </w:r>
      </w:hyperlink>
      <w:r>
        <w:rPr>
          <w:b w:val="0"/>
          <w:i w:val="0"/>
        </w:rPr>
        <w:t xml:space="preserve">; </w:t>
      </w:r>
      <w:hyperlink w:anchor="latin-record-1080">
        <w:r>
          <w:rPr>
            <w:color w:val="000000"/>
          </w:rPr>
          <w:t xml:space="preserve">secundum partem / ex toto</w:t>
        </w:r>
      </w:hyperlink>
      <w:r>
        <w:rPr>
          <w:b w:val="0"/>
          <w:i w:val="0"/>
        </w:rPr>
        <w:t>.</w:t>
      </w:r>
    </w:p>
    <w:p>
      <w:pPr>
        <w:widowControl/>
      </w:pPr>
      <w:bookmarkStart w:id="1658" w:name="passage-i-5-12"/>
      <w:bookmarkEnd w:id="1658"/>
      <w:r>
        <w:rPr>
          <w:b/>
          <w:i w:val="0"/>
        </w:rPr>
        <w:t>I.5.12</w:t>
      </w:r>
      <w:r>
        <w:rPr>
          <w:b/>
          <w:i w:val="0"/>
        </w:rPr>
        <w:t>, source pp. 66–67.</w:t>
      </w:r>
      <w:r>
        <w:rPr>
          <w:b w:val="0"/>
          <w:i w:val="0"/>
        </w:rPr>
        <w:t xml:space="preserve"> Articles: </w:t>
      </w:r>
      <w:hyperlink w:anchor="art-and-nature">
        <w:r>
          <w:rPr>
            <w:color w:val="000000"/>
          </w:rPr>
          <w:t xml:space="preserve">Art and nature</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mind">
        <w:r>
          <w:rPr>
            <w:color w:val="000000"/>
          </w:rPr>
          <w:t xml:space="preserve">Mind</w:t>
        </w:r>
      </w:hyperlink>
      <w:r>
        <w:rPr>
          <w:b w:val="0"/>
          <w:i w:val="0"/>
        </w:rPr>
        <w:t xml:space="preserve">; </w:t>
      </w:r>
      <w:hyperlink w:anchor="reason-and-account">
        <w:r>
          <w:rPr>
            <w:color w:val="000000"/>
          </w:rPr>
          <w:t xml:space="preserve">Reason and account</w:t>
        </w:r>
      </w:hyperlink>
      <w:r>
        <w:rPr>
          <w:b w:val="0"/>
          <w:i w:val="0"/>
        </w:rPr>
        <w:t xml:space="preserve">; </w:t>
      </w:r>
      <w:hyperlink w:anchor="soul">
        <w:r>
          <w:rPr>
            <w:color w:val="000000"/>
          </w:rPr>
          <w:t xml:space="preserve">Soul</w:t>
        </w:r>
      </w:hyperlink>
      <w:r>
        <w:rPr>
          <w:b w:val="0"/>
          <w:i w:val="0"/>
        </w:rPr>
        <w:t xml:space="preserve">. Vocabulary: </w:t>
      </w:r>
      <w:hyperlink w:anchor="latin-record-0953">
        <w:r>
          <w:rPr>
            <w:color w:val="000000"/>
          </w:rPr>
          <w:t xml:space="preserve">propago / facultas</w:t>
        </w:r>
      </w:hyperlink>
      <w:r>
        <w:rPr>
          <w:b w:val="0"/>
          <w:i w:val="0"/>
        </w:rPr>
        <w:t>.</w:t>
      </w:r>
    </w:p>
    <w:p>
      <w:pPr>
        <w:widowControl/>
      </w:pPr>
      <w:bookmarkStart w:id="1659" w:name="passage-i-5-13"/>
      <w:bookmarkEnd w:id="1659"/>
      <w:r>
        <w:rPr>
          <w:b/>
          <w:i w:val="0"/>
        </w:rPr>
        <w:t>I.5.13</w:t>
      </w:r>
      <w:r>
        <w:rPr>
          <w:b/>
          <w:i w:val="0"/>
        </w:rPr>
        <w:t>, source pp. 66–67.</w:t>
      </w:r>
      <w:r>
        <w:rPr>
          <w:b w:val="0"/>
          <w:i w:val="0"/>
        </w:rPr>
        <w:t xml:space="preserve"> Articles: </w:t>
      </w:r>
      <w:hyperlink w:anchor="governing-serving-and-dominion">
        <w:r>
          <w:rPr>
            <w:color w:val="000000"/>
          </w:rPr>
          <w:t xml:space="preserve">Governing, serving and dominion</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mind">
        <w:r>
          <w:rPr>
            <w:color w:val="000000"/>
          </w:rPr>
          <w:t xml:space="preserve">Mind</w:t>
        </w:r>
      </w:hyperlink>
      <w:r>
        <w:rPr>
          <w:b w:val="0"/>
          <w:i w:val="0"/>
        </w:rPr>
        <w:t xml:space="preserve">; </w:t>
      </w:r>
      <w:hyperlink w:anchor="soul">
        <w:r>
          <w:rPr>
            <w:color w:val="000000"/>
          </w:rPr>
          <w:t xml:space="preserve">Soul</w:t>
        </w:r>
      </w:hyperlink>
      <w:r>
        <w:rPr>
          <w:b w:val="0"/>
          <w:i w:val="0"/>
        </w:rPr>
        <w:t xml:space="preserve">. Vocabulary: </w:t>
      </w:r>
      <w:hyperlink w:anchor="latin-record-0539">
        <w:r>
          <w:rPr>
            <w:color w:val="000000"/>
          </w:rPr>
          <w:t xml:space="preserve">impero / domina</w:t>
        </w:r>
      </w:hyperlink>
      <w:r>
        <w:rPr>
          <w:b w:val="0"/>
          <w:i w:val="0"/>
        </w:rPr>
        <w:t>.</w:t>
      </w:r>
    </w:p>
    <w:p>
      <w:pPr>
        <w:widowControl/>
      </w:pPr>
      <w:bookmarkStart w:id="1660" w:name="passage-i-5-14"/>
      <w:bookmarkEnd w:id="1660"/>
      <w:r>
        <w:rPr>
          <w:b/>
          <w:i w:val="0"/>
        </w:rPr>
        <w:t>I.5.14</w:t>
      </w:r>
      <w:r>
        <w:rPr>
          <w:b/>
          <w:i w:val="0"/>
        </w:rPr>
        <w:t>, source pp. 68–69.</w:t>
      </w:r>
      <w:r>
        <w:rPr>
          <w:b w:val="0"/>
          <w:i w:val="0"/>
        </w:rPr>
        <w:t xml:space="preserve"> Articles: </w:t>
      </w:r>
      <w:hyperlink w:anchor="angel">
        <w:r>
          <w:rPr>
            <w:color w:val="000000"/>
          </w:rPr>
          <w:t xml:space="preserve">Angel</w:t>
        </w:r>
      </w:hyperlink>
      <w:r>
        <w:rPr>
          <w:b w:val="0"/>
          <w:i w:val="0"/>
        </w:rPr>
        <w:t xml:space="preserve">; </w:t>
      </w:r>
      <w:hyperlink w:anchor="freedom-and-necessity">
        <w:r>
          <w:rPr>
            <w:color w:val="000000"/>
          </w:rPr>
          <w:t xml:space="preserve">Freedom and necessity</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participation">
        <w:r>
          <w:rPr>
            <w:color w:val="000000"/>
          </w:rPr>
          <w:t xml:space="preserve">Participation</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oul">
        <w:r>
          <w:rPr>
            <w:color w:val="000000"/>
          </w:rPr>
          <w:t xml:space="preserve">Soul</w:t>
        </w:r>
      </w:hyperlink>
      <w:r>
        <w:rPr>
          <w:b w:val="0"/>
          <w:i w:val="0"/>
        </w:rPr>
        <w:t xml:space="preserve">. Vocabulary: </w:t>
      </w:r>
      <w:hyperlink w:anchor="latin-record-0107">
        <w:r>
          <w:rPr>
            <w:color w:val="000000"/>
          </w:rPr>
          <w:t xml:space="preserve">attingo / tango</w:t>
        </w:r>
      </w:hyperlink>
      <w:r>
        <w:rPr>
          <w:b w:val="0"/>
          <w:i w:val="0"/>
        </w:rPr>
        <w:t xml:space="preserve">; </w:t>
      </w:r>
      <w:hyperlink w:anchor="latin-record-0143">
        <w:r>
          <w:rPr>
            <w:color w:val="000000"/>
          </w:rPr>
          <w:t xml:space="preserve">caput / capacitas</w:t>
        </w:r>
      </w:hyperlink>
      <w:r>
        <w:rPr>
          <w:b w:val="0"/>
          <w:i w:val="0"/>
        </w:rPr>
        <w:t xml:space="preserve">; </w:t>
      </w:r>
      <w:hyperlink w:anchor="latin-record-0372">
        <w:r>
          <w:rPr>
            <w:color w:val="000000"/>
          </w:rPr>
          <w:t xml:space="preserve">enodo</w:t>
        </w:r>
      </w:hyperlink>
      <w:r>
        <w:rPr>
          <w:b w:val="0"/>
          <w:i w:val="0"/>
        </w:rPr>
        <w:t xml:space="preserve">; </w:t>
      </w:r>
      <w:hyperlink w:anchor="latin-record-0651">
        <w:r>
          <w:rPr>
            <w:color w:val="000000"/>
          </w:rPr>
          <w:t xml:space="preserve">lucidus / obscurus</w:t>
        </w:r>
      </w:hyperlink>
      <w:r>
        <w:rPr>
          <w:b w:val="0"/>
          <w:i w:val="0"/>
        </w:rPr>
        <w:t xml:space="preserve">; </w:t>
      </w:r>
      <w:hyperlink w:anchor="latin-record-0653">
        <w:r>
          <w:rPr>
            <w:color w:val="000000"/>
          </w:rPr>
          <w:t xml:space="preserve">luna / sol / stella</w:t>
        </w:r>
      </w:hyperlink>
      <w:r>
        <w:rPr>
          <w:b w:val="0"/>
          <w:i w:val="0"/>
        </w:rPr>
        <w:t xml:space="preserve">; </w:t>
      </w:r>
      <w:hyperlink w:anchor="latin-record-0661">
        <w:r>
          <w:rPr>
            <w:color w:val="000000"/>
          </w:rPr>
          <w:t xml:space="preserve">Magi / aenigma</w:t>
        </w:r>
      </w:hyperlink>
      <w:r>
        <w:rPr>
          <w:b w:val="0"/>
          <w:i w:val="0"/>
        </w:rPr>
        <w:t xml:space="preserve">; </w:t>
      </w:r>
      <w:hyperlink w:anchor="latin-record-0906">
        <w:r>
          <w:rPr>
            <w:color w:val="000000"/>
          </w:rPr>
          <w:t xml:space="preserve">praeditus</w:t>
        </w:r>
      </w:hyperlink>
      <w:r>
        <w:rPr>
          <w:b w:val="0"/>
          <w:i w:val="0"/>
        </w:rPr>
        <w:t>.</w:t>
      </w:r>
    </w:p>
    <w:p>
      <w:pPr>
        <w:widowControl/>
      </w:pPr>
      <w:bookmarkStart w:id="1661" w:name="passage-i-5-15"/>
      <w:bookmarkEnd w:id="1661"/>
      <w:r>
        <w:rPr>
          <w:b/>
          <w:i w:val="0"/>
        </w:rPr>
        <w:t>I.5.15</w:t>
      </w:r>
      <w:r>
        <w:rPr>
          <w:b/>
          <w:i w:val="0"/>
        </w:rPr>
        <w:t>, source pp. 70–71.</w:t>
      </w:r>
      <w:r>
        <w:rPr>
          <w:b w:val="0"/>
          <w:i w:val="0"/>
        </w:rPr>
        <w:t xml:space="preserve"> Articles: </w:t>
      </w:r>
      <w:hyperlink w:anchor="angel">
        <w:r>
          <w:rPr>
            <w:color w:val="000000"/>
          </w:rPr>
          <w:t xml:space="preserve">Angel</w:t>
        </w:r>
      </w:hyperlink>
      <w:r>
        <w:rPr>
          <w:b w:val="0"/>
          <w:i w:val="0"/>
        </w:rPr>
        <w:t xml:space="preserve">; </w:t>
      </w:r>
      <w:hyperlink w:anchor="degree-and-mediation">
        <w:r>
          <w:rPr>
            <w:color w:val="000000"/>
          </w:rPr>
          <w:t xml:space="preserve">Degree and mediation</w:t>
        </w:r>
      </w:hyperlink>
      <w:r>
        <w:rPr>
          <w:b w:val="0"/>
          <w:i w:val="0"/>
        </w:rPr>
        <w:t xml:space="preserve">; </w:t>
      </w:r>
      <w:hyperlink w:anchor="eternity-and-time">
        <w:r>
          <w:rPr>
            <w:color w:val="000000"/>
          </w:rPr>
          <w:t xml:space="preserve">Eternity and time</w:t>
        </w:r>
      </w:hyperlink>
      <w:r>
        <w:rPr>
          <w:b w:val="0"/>
          <w:i w:val="0"/>
        </w:rPr>
        <w:t xml:space="preserve">; </w:t>
      </w:r>
      <w:hyperlink w:anchor="infinity">
        <w:r>
          <w:rPr>
            <w:color w:val="000000"/>
          </w:rPr>
          <w:t xml:space="preserve">Infinity</w:t>
        </w:r>
      </w:hyperlink>
      <w:r>
        <w:rPr>
          <w:b w:val="0"/>
          <w:i w:val="0"/>
        </w:rPr>
        <w:t xml:space="preserve">; </w:t>
      </w:r>
      <w:hyperlink w:anchor="mind">
        <w:r>
          <w:rPr>
            <w:color w:val="000000"/>
          </w:rPr>
          <w:t xml:space="preserve">Mind</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pecies">
        <w:r>
          <w:rPr>
            <w:color w:val="000000"/>
          </w:rPr>
          <w:t xml:space="preserve">Species</w:t>
        </w:r>
      </w:hyperlink>
      <w:r>
        <w:rPr>
          <w:b w:val="0"/>
          <w:i w:val="0"/>
        </w:rPr>
        <w:t xml:space="preserve">. Vocabulary: </w:t>
      </w:r>
      <w:hyperlink w:anchor="latin-record-0048">
        <w:r>
          <w:rPr>
            <w:color w:val="000000"/>
          </w:rPr>
          <w:t xml:space="preserve">alias / mitto</w:t>
        </w:r>
      </w:hyperlink>
      <w:r>
        <w:rPr>
          <w:b w:val="0"/>
          <w:i w:val="0"/>
        </w:rPr>
        <w:t xml:space="preserve">; </w:t>
      </w:r>
      <w:hyperlink w:anchor="latin-record-0605">
        <w:r>
          <w:rPr>
            <w:color w:val="000000"/>
          </w:rPr>
          <w:t xml:space="preserve">intervallum / spatium</w:t>
        </w:r>
      </w:hyperlink>
      <w:r>
        <w:rPr>
          <w:b w:val="0"/>
          <w:i w:val="0"/>
        </w:rPr>
        <w:t>.</w:t>
      </w:r>
    </w:p>
    <w:p>
      <w:pPr>
        <w:widowControl/>
      </w:pPr>
      <w:bookmarkStart w:id="1662" w:name="passage-i-5-16"/>
      <w:bookmarkEnd w:id="1662"/>
      <w:r>
        <w:rPr>
          <w:b/>
          <w:i w:val="0"/>
        </w:rPr>
        <w:t>I.5.16</w:t>
      </w:r>
      <w:r>
        <w:rPr>
          <w:b/>
          <w:i w:val="0"/>
        </w:rPr>
        <w:t>, source pp. 70–71.</w:t>
      </w:r>
      <w:r>
        <w:rPr>
          <w:b w:val="0"/>
          <w:i w:val="0"/>
        </w:rPr>
        <w:t xml:space="preserve"> Articles: </w:t>
      </w:r>
      <w:hyperlink w:anchor="angel">
        <w:r>
          <w:rPr>
            <w:color w:val="000000"/>
          </w:rPr>
          <w:t xml:space="preserve">Angel</w:t>
        </w:r>
      </w:hyperlink>
      <w:r>
        <w:rPr>
          <w:b w:val="0"/>
          <w:i w:val="0"/>
        </w:rPr>
        <w:t xml:space="preserve">; </w:t>
      </w:r>
      <w:hyperlink w:anchor="mind">
        <w:r>
          <w:rPr>
            <w:color w:val="000000"/>
          </w:rPr>
          <w:t xml:space="preserve">Mind</w:t>
        </w:r>
      </w:hyperlink>
      <w:r>
        <w:rPr>
          <w:b w:val="0"/>
          <w:i w:val="0"/>
        </w:rPr>
        <w:t xml:space="preserve">; </w:t>
      </w:r>
      <w:hyperlink w:anchor="need-and-sufficiency">
        <w:r>
          <w:rPr>
            <w:color w:val="000000"/>
          </w:rPr>
          <w:t xml:space="preserve">Need and sufficiency</w:t>
        </w:r>
      </w:hyperlink>
      <w:r>
        <w:rPr>
          <w:b w:val="0"/>
          <w:i w:val="0"/>
        </w:rPr>
        <w:t xml:space="preserve">; </w:t>
      </w:r>
      <w:hyperlink w:anchor="perfection">
        <w:r>
          <w:rPr>
            <w:color w:val="000000"/>
          </w:rPr>
          <w:t xml:space="preserve">Perfection</w:t>
        </w:r>
      </w:hyperlink>
      <w:r>
        <w:rPr>
          <w:b w:val="0"/>
          <w:i w:val="0"/>
        </w:rPr>
        <w:t xml:space="preserve">; </w:t>
      </w:r>
      <w:hyperlink w:anchor="proof-signs-and-qualification">
        <w:r>
          <w:rPr>
            <w:color w:val="000000"/>
          </w:rPr>
          <w:t xml:space="preserve">Proof, signs and qualification</w:t>
        </w:r>
      </w:hyperlink>
      <w:r>
        <w:rPr>
          <w:b w:val="0"/>
          <w:i w:val="0"/>
        </w:rPr>
        <w:t xml:space="preserve">; </w:t>
      </w:r>
      <w:hyperlink w:anchor="sense-and-imagination">
        <w:r>
          <w:rPr>
            <w:color w:val="000000"/>
          </w:rPr>
          <w:t xml:space="preserve">Sense and imagination</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pecies">
        <w:r>
          <w:rPr>
            <w:color w:val="000000"/>
          </w:rPr>
          <w:t xml:space="preserve">Species</w:t>
        </w:r>
      </w:hyperlink>
      <w:r>
        <w:rPr>
          <w:b w:val="0"/>
          <w:i w:val="0"/>
        </w:rPr>
        <w:t xml:space="preserve">. Vocabulary: </w:t>
      </w:r>
      <w:hyperlink w:anchor="latin-record-1122">
        <w:r>
          <w:rPr>
            <w:color w:val="000000"/>
          </w:rPr>
          <w:t xml:space="preserve">speciem complere</w:t>
        </w:r>
      </w:hyperlink>
      <w:r>
        <w:rPr>
          <w:b w:val="0"/>
          <w:i w:val="0"/>
        </w:rPr>
        <w:t xml:space="preserve">; </w:t>
      </w:r>
      <w:hyperlink w:anchor="latin-record-1229">
        <w:r>
          <w:rPr>
            <w:color w:val="000000"/>
          </w:rPr>
          <w:t xml:space="preserve">ut plurimum</w:t>
        </w:r>
      </w:hyperlink>
      <w:r>
        <w:rPr>
          <w:b w:val="0"/>
          <w:i w:val="0"/>
        </w:rPr>
        <w:t>.</w:t>
      </w:r>
    </w:p>
    <w:p>
      <w:pPr>
        <w:widowControl/>
      </w:pPr>
      <w:bookmarkStart w:id="1663" w:name="passage-i-5-17"/>
      <w:bookmarkEnd w:id="1663"/>
      <w:r>
        <w:rPr>
          <w:b/>
          <w:i w:val="0"/>
        </w:rPr>
        <w:t>I.5.17</w:t>
      </w:r>
      <w:r>
        <w:rPr>
          <w:b/>
          <w:i w:val="0"/>
        </w:rPr>
        <w:t>, source pp. 72–73.</w:t>
      </w:r>
      <w:r>
        <w:rPr>
          <w:b w:val="0"/>
          <w:i w:val="0"/>
        </w:rPr>
        <w:t xml:space="preserve"> Articles: </w:t>
      </w:r>
      <w:hyperlink w:anchor="angel">
        <w:r>
          <w:rPr>
            <w:color w:val="000000"/>
          </w:rPr>
          <w:t xml:space="preserve">Angel</w:t>
        </w:r>
      </w:hyperlink>
      <w:r>
        <w:rPr>
          <w:b w:val="0"/>
          <w:i w:val="0"/>
        </w:rPr>
        <w:t xml:space="preserve">; </w:t>
      </w:r>
      <w:hyperlink w:anchor="art-and-nature">
        <w:r>
          <w:rPr>
            <w:color w:val="000000"/>
          </w:rPr>
          <w:t xml:space="preserve">Art and nature</w:t>
        </w:r>
      </w:hyperlink>
      <w:r>
        <w:rPr>
          <w:b w:val="0"/>
          <w:i w:val="0"/>
        </w:rPr>
        <w:t xml:space="preserve">; </w:t>
      </w:r>
      <w:hyperlink w:anchor="freedom-and-necessity">
        <w:r>
          <w:rPr>
            <w:color w:val="000000"/>
          </w:rPr>
          <w:t xml:space="preserve">Freedom and necessity</w:t>
        </w:r>
      </w:hyperlink>
      <w:r>
        <w:rPr>
          <w:b w:val="0"/>
          <w:i w:val="0"/>
        </w:rPr>
        <w:t xml:space="preserve">; </w:t>
      </w:r>
      <w:hyperlink w:anchor="life">
        <w:r>
          <w:rPr>
            <w:color w:val="000000"/>
          </w:rPr>
          <w:t xml:space="preserve">Life</w:t>
        </w:r>
      </w:hyperlink>
      <w:r>
        <w:rPr>
          <w:b w:val="0"/>
          <w:i w:val="0"/>
        </w:rPr>
        <w:t xml:space="preserve">; </w:t>
      </w:r>
      <w:hyperlink w:anchor="mind">
        <w:r>
          <w:rPr>
            <w:color w:val="000000"/>
          </w:rPr>
          <w:t xml:space="preserve">Mind</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will">
        <w:r>
          <w:rPr>
            <w:color w:val="000000"/>
          </w:rPr>
          <w:t xml:space="preserve">Will</w:t>
        </w:r>
      </w:hyperlink>
      <w:r>
        <w:rPr>
          <w:b w:val="0"/>
          <w:i w:val="0"/>
        </w:rPr>
        <w:t xml:space="preserve">. Vocabulary: </w:t>
      </w:r>
      <w:hyperlink w:anchor="latin-record-1013">
        <w:r>
          <w:rPr>
            <w:color w:val="000000"/>
          </w:rPr>
          <w:t xml:space="preserve">quies / quiesco</w:t>
        </w:r>
      </w:hyperlink>
      <w:r>
        <w:rPr>
          <w:b w:val="0"/>
          <w:i w:val="0"/>
        </w:rPr>
        <w:t xml:space="preserve">; </w:t>
      </w:r>
      <w:hyperlink w:anchor="latin-record-1026">
        <w:r>
          <w:rPr>
            <w:color w:val="000000"/>
          </w:rPr>
          <w:t xml:space="preserve">ratio naturalis and usualness</w:t>
        </w:r>
      </w:hyperlink>
      <w:r>
        <w:rPr>
          <w:b w:val="0"/>
          <w:i w:val="0"/>
        </w:rPr>
        <w:t xml:space="preserve">; </w:t>
      </w:r>
      <w:hyperlink w:anchor="latin-record-1229">
        <w:r>
          <w:rPr>
            <w:color w:val="000000"/>
          </w:rPr>
          <w:t xml:space="preserve">ut plurimum</w:t>
        </w:r>
      </w:hyperlink>
      <w:r>
        <w:rPr>
          <w:b w:val="0"/>
          <w:i w:val="0"/>
        </w:rPr>
        <w:t>.</w:t>
      </w:r>
    </w:p>
    <w:p>
      <w:pPr>
        <w:widowControl/>
      </w:pPr>
      <w:bookmarkStart w:id="1664" w:name="passage-i-5-18"/>
      <w:bookmarkEnd w:id="1664"/>
      <w:r>
        <w:rPr>
          <w:b/>
          <w:i w:val="0"/>
        </w:rPr>
        <w:t>I.5.18</w:t>
      </w:r>
      <w:r>
        <w:rPr>
          <w:b/>
          <w:i w:val="0"/>
        </w:rPr>
        <w:t>, source pp. 72–73.</w:t>
      </w:r>
      <w:r>
        <w:rPr>
          <w:b w:val="0"/>
          <w:i w:val="0"/>
        </w:rPr>
        <w:t xml:space="preserve"> Articles: </w:t>
      </w:r>
      <w:hyperlink w:anchor="angel">
        <w:r>
          <w:rPr>
            <w:color w:val="000000"/>
          </w:rPr>
          <w:t xml:space="preserve">Angel</w:t>
        </w:r>
      </w:hyperlink>
      <w:r>
        <w:rPr>
          <w:b w:val="0"/>
          <w:i w:val="0"/>
        </w:rPr>
        <w:t xml:space="preserve">; </w:t>
      </w:r>
      <w:hyperlink w:anchor="motion-and-stability">
        <w:r>
          <w:rPr>
            <w:color w:val="000000"/>
          </w:rPr>
          <w:t xml:space="preserve">Motion and stability</w:t>
        </w:r>
      </w:hyperlink>
      <w:r>
        <w:rPr>
          <w:b w:val="0"/>
          <w:i w:val="0"/>
        </w:rPr>
        <w:t xml:space="preserve">; </w:t>
      </w:r>
      <w:hyperlink w:anchor="order-and-harmony">
        <w:r>
          <w:rPr>
            <w:color w:val="000000"/>
          </w:rPr>
          <w:t xml:space="preserve">Order and harmony</w:t>
        </w:r>
      </w:hyperlink>
      <w:r>
        <w:rPr>
          <w:b w:val="0"/>
          <w:i w:val="0"/>
        </w:rPr>
        <w:t xml:space="preserve">; </w:t>
      </w:r>
      <w:hyperlink w:anchor="world-and-universe">
        <w:r>
          <w:rPr>
            <w:color w:val="000000"/>
          </w:rPr>
          <w:t xml:space="preserve">World and universe</w:t>
        </w:r>
      </w:hyperlink>
      <w:r>
        <w:rPr>
          <w:b w:val="0"/>
          <w:i w:val="0"/>
        </w:rPr>
        <w:t xml:space="preserve">. Vocabulary: </w:t>
      </w:r>
      <w:hyperlink w:anchor="latin-record-0719">
        <w:r>
          <w:rPr>
            <w:color w:val="000000"/>
          </w:rPr>
          <w:t xml:space="preserve">motor / motum</w:t>
        </w:r>
      </w:hyperlink>
      <w:r>
        <w:rPr>
          <w:b w:val="0"/>
          <w:i w:val="0"/>
        </w:rPr>
        <w:t xml:space="preserve">; </w:t>
      </w:r>
      <w:hyperlink w:anchor="latin-record-1190">
        <w:r>
          <w:rPr>
            <w:color w:val="000000"/>
          </w:rPr>
          <w:t xml:space="preserve">tenor / lex</w:t>
        </w:r>
      </w:hyperlink>
      <w:r>
        <w:rPr>
          <w:b w:val="0"/>
          <w:i w:val="0"/>
        </w:rPr>
        <w:t>.</w:t>
      </w:r>
    </w:p>
    <w:p>
      <w:pPr>
        <w:widowControl/>
      </w:pPr>
      <w:bookmarkStart w:id="1665" w:name="passage-i-5-19"/>
      <w:bookmarkEnd w:id="1665"/>
      <w:r>
        <w:rPr>
          <w:b/>
          <w:i w:val="0"/>
        </w:rPr>
        <w:t>I.5.19</w:t>
      </w:r>
      <w:r>
        <w:rPr>
          <w:b/>
          <w:i w:val="0"/>
        </w:rPr>
        <w:t>, source pp. 74–75.</w:t>
      </w:r>
      <w:r>
        <w:rPr>
          <w:b w:val="0"/>
          <w:i w:val="0"/>
        </w:rPr>
        <w:t xml:space="preserve"> Articles: </w:t>
      </w:r>
      <w:hyperlink w:anchor="act-and-operation">
        <w:r>
          <w:rPr>
            <w:color w:val="000000"/>
          </w:rPr>
          <w:t xml:space="preserve">Act and operation</w:t>
        </w:r>
      </w:hyperlink>
      <w:r>
        <w:rPr>
          <w:b w:val="0"/>
          <w:i w:val="0"/>
        </w:rPr>
        <w:t xml:space="preserve">; </w:t>
      </w:r>
      <w:hyperlink w:anchor="affection-and-passivity">
        <w:r>
          <w:rPr>
            <w:color w:val="000000"/>
          </w:rPr>
          <w:t xml:space="preserve">Affection and passivity</w:t>
        </w:r>
      </w:hyperlink>
      <w:r>
        <w:rPr>
          <w:b w:val="0"/>
          <w:i w:val="0"/>
        </w:rPr>
        <w:t xml:space="preserve">; </w:t>
      </w:r>
      <w:hyperlink w:anchor="angel">
        <w:r>
          <w:rPr>
            <w:color w:val="000000"/>
          </w:rPr>
          <w:t xml:space="preserve">Angel</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motion-and-stability">
        <w:r>
          <w:rPr>
            <w:color w:val="000000"/>
          </w:rPr>
          <w:t xml:space="preserve">Motion and stability</w:t>
        </w:r>
      </w:hyperlink>
      <w:r>
        <w:rPr>
          <w:b w:val="0"/>
          <w:i w:val="0"/>
        </w:rPr>
        <w:t xml:space="preserve">. Vocabulary: </w:t>
      </w:r>
      <w:hyperlink w:anchor="latin-record-0719">
        <w:r>
          <w:rPr>
            <w:color w:val="000000"/>
          </w:rPr>
          <w:t xml:space="preserve">motor / motum</w:t>
        </w:r>
      </w:hyperlink>
      <w:r>
        <w:rPr>
          <w:b w:val="0"/>
          <w:i w:val="0"/>
        </w:rPr>
        <w:t xml:space="preserve">; </w:t>
      </w:r>
      <w:hyperlink w:anchor="latin-record-0723">
        <w:r>
          <w:rPr>
            <w:color w:val="000000"/>
          </w:rPr>
          <w:t xml:space="preserve">movere / moveri</w:t>
        </w:r>
      </w:hyperlink>
      <w:r>
        <w:rPr>
          <w:b w:val="0"/>
          <w:i w:val="0"/>
        </w:rPr>
        <w:t xml:space="preserve">; </w:t>
      </w:r>
      <w:hyperlink w:anchor="latin-record-1290">
        <w:r>
          <w:rPr>
            <w:color w:val="000000"/>
          </w:rPr>
          <w:t xml:space="preserve">Zoroaster / rectores</w:t>
        </w:r>
      </w:hyperlink>
      <w:r>
        <w:rPr>
          <w:b w:val="0"/>
          <w:i w:val="0"/>
        </w:rPr>
        <w:t xml:space="preserve">; </w:t>
      </w:r>
      <w:hyperlink w:anchor="greek-record-01">
        <w:r>
          <w:rPr>
            <w:color w:val="000000"/>
          </w:rPr>
          <w:t xml:space="preserve">Intellectual immovable rulers</w:t>
        </w:r>
      </w:hyperlink>
      <w:r>
        <w:rPr>
          <w:b w:val="0"/>
          <w:i w:val="0"/>
        </w:rPr>
        <w:t>.</w:t>
      </w:r>
    </w:p>
    <w:p>
      <w:pPr>
        <w:widowControl/>
      </w:pPr>
      <w:bookmarkStart w:id="1666" w:name="passage-i-5-20"/>
      <w:bookmarkEnd w:id="1666"/>
      <w:r>
        <w:rPr>
          <w:b/>
          <w:i w:val="0"/>
        </w:rPr>
        <w:t>I.5.20</w:t>
      </w:r>
      <w:r>
        <w:rPr>
          <w:b/>
          <w:i w:val="0"/>
        </w:rPr>
        <w:t>, source pp. 74–75.</w:t>
      </w:r>
      <w:r>
        <w:rPr>
          <w:b w:val="0"/>
          <w:i w:val="0"/>
        </w:rPr>
        <w:t xml:space="preserve"> Articles: </w:t>
      </w:r>
      <w:hyperlink w:anchor="angel">
        <w:r>
          <w:rPr>
            <w:color w:val="000000"/>
          </w:rPr>
          <w:t xml:space="preserve">Angel</w:t>
        </w:r>
      </w:hyperlink>
      <w:r>
        <w:rPr>
          <w:b w:val="0"/>
          <w:i w:val="0"/>
        </w:rPr>
        <w:t xml:space="preserve">; </w:t>
      </w:r>
      <w:hyperlink w:anchor="aristotle-avicenna-and-counting-minds">
        <w:r>
          <w:rPr>
            <w:color w:val="000000"/>
          </w:rPr>
          <w:t xml:space="preserve">Aristotle, Avicenna and counting minds</w:t>
        </w:r>
      </w:hyperlink>
      <w:r>
        <w:rPr>
          <w:b w:val="0"/>
          <w:i w:val="0"/>
        </w:rPr>
        <w:t xml:space="preserve">; </w:t>
      </w:r>
      <w:hyperlink w:anchor="infinity">
        <w:r>
          <w:rPr>
            <w:color w:val="000000"/>
          </w:rPr>
          <w:t xml:space="preserve">Infinity</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motion-and-stability">
        <w:r>
          <w:rPr>
            <w:color w:val="000000"/>
          </w:rPr>
          <w:t xml:space="preserve">Motion and stability</w:t>
        </w:r>
      </w:hyperlink>
      <w:r>
        <w:rPr>
          <w:b w:val="0"/>
          <w:i w:val="0"/>
        </w:rPr>
        <w:t xml:space="preserve">; </w:t>
      </w:r>
      <w:hyperlink w:anchor="number">
        <w:r>
          <w:rPr>
            <w:color w:val="000000"/>
          </w:rPr>
          <w:t xml:space="preserve">Number</w:t>
        </w:r>
      </w:hyperlink>
      <w:r>
        <w:rPr>
          <w:b w:val="0"/>
          <w:i w:val="0"/>
        </w:rPr>
        <w:t xml:space="preserve">; </w:t>
      </w:r>
      <w:hyperlink w:anchor="proof-signs-and-qualification">
        <w:r>
          <w:rPr>
            <w:color w:val="000000"/>
          </w:rPr>
          <w:t xml:space="preserve">Proof, signs and qualification</w:t>
        </w:r>
      </w:hyperlink>
      <w:r>
        <w:rPr>
          <w:b w:val="0"/>
          <w:i w:val="0"/>
        </w:rPr>
        <w:t xml:space="preserve">. Vocabulary: </w:t>
      </w:r>
      <w:hyperlink w:anchor="latin-record-0068">
        <w:r>
          <w:rPr>
            <w:color w:val="000000"/>
          </w:rPr>
          <w:t xml:space="preserve">angelus / nuntius</w:t>
        </w:r>
      </w:hyperlink>
      <w:r>
        <w:rPr>
          <w:b w:val="0"/>
          <w:i w:val="0"/>
        </w:rPr>
        <w:t xml:space="preserve">; </w:t>
      </w:r>
      <w:hyperlink w:anchor="latin-record-0120">
        <w:r>
          <w:rPr>
            <w:color w:val="000000"/>
          </w:rPr>
          <w:t xml:space="preserve">Avicenna</w:t>
        </w:r>
      </w:hyperlink>
      <w:r>
        <w:rPr>
          <w:b w:val="0"/>
          <w:i w:val="0"/>
        </w:rPr>
        <w:t xml:space="preserve">; </w:t>
      </w:r>
      <w:hyperlink w:anchor="latin-record-0936">
        <w:r>
          <w:rPr>
            <w:color w:val="000000"/>
          </w:rPr>
          <w:t xml:space="preserve">probabilis / computo</w:t>
        </w:r>
      </w:hyperlink>
      <w:r>
        <w:rPr>
          <w:b w:val="0"/>
          <w:i w:val="0"/>
        </w:rPr>
        <w:t>.</w:t>
      </w:r>
    </w:p>
    <w:p>
      <w:pPr>
        <w:widowControl/>
      </w:pPr>
      <w:bookmarkStart w:id="1667" w:name="passage-i-5-21"/>
      <w:bookmarkEnd w:id="1667"/>
      <w:r>
        <w:rPr>
          <w:b/>
          <w:i w:val="0"/>
        </w:rPr>
        <w:t>I.5.21</w:t>
      </w:r>
      <w:r>
        <w:rPr>
          <w:b/>
          <w:i w:val="0"/>
        </w:rPr>
        <w:t>, source pp. 74–75.</w:t>
      </w:r>
      <w:r>
        <w:rPr>
          <w:b w:val="0"/>
          <w:i w:val="0"/>
        </w:rPr>
        <w:t xml:space="preserve"> Articles: </w:t>
      </w:r>
      <w:hyperlink w:anchor="angel">
        <w:r>
          <w:rPr>
            <w:color w:val="000000"/>
          </w:rPr>
          <w:t xml:space="preserve">Angel</w:t>
        </w:r>
      </w:hyperlink>
      <w:r>
        <w:rPr>
          <w:b w:val="0"/>
          <w:i w:val="0"/>
        </w:rPr>
        <w:t xml:space="preserve">; </w:t>
      </w:r>
      <w:hyperlink w:anchor="aristotle-avicenna-and-counting-minds">
        <w:r>
          <w:rPr>
            <w:color w:val="000000"/>
          </w:rPr>
          <w:t xml:space="preserve">Aristotle, Avicenna and counting minds</w:t>
        </w:r>
      </w:hyperlink>
      <w:r>
        <w:rPr>
          <w:b w:val="0"/>
          <w:i w:val="0"/>
        </w:rPr>
        <w:t xml:space="preserve">; </w:t>
      </w:r>
      <w:hyperlink w:anchor="number">
        <w:r>
          <w:rPr>
            <w:color w:val="000000"/>
          </w:rPr>
          <w:t xml:space="preserve">Number</w:t>
        </w:r>
      </w:hyperlink>
      <w:r>
        <w:rPr>
          <w:b w:val="0"/>
          <w:i w:val="0"/>
        </w:rPr>
        <w:t xml:space="preserve">; </w:t>
      </w:r>
      <w:hyperlink w:anchor="proof-signs-and-qualification">
        <w:r>
          <w:rPr>
            <w:color w:val="000000"/>
          </w:rPr>
          <w:t xml:space="preserve">Proof, signs and qualification</w:t>
        </w:r>
      </w:hyperlink>
      <w:r>
        <w:rPr>
          <w:b w:val="0"/>
          <w:i w:val="0"/>
        </w:rPr>
        <w:t xml:space="preserve">. Vocabulary: </w:t>
      </w:r>
      <w:hyperlink w:anchor="latin-record-1070">
        <w:r>
          <w:rPr>
            <w:color w:val="000000"/>
          </w:rPr>
          <w:t xml:space="preserve">sapientioribus se dimittere</w:t>
        </w:r>
      </w:hyperlink>
      <w:r>
        <w:rPr>
          <w:b w:val="0"/>
          <w:i w:val="0"/>
        </w:rPr>
        <w:t>.</w:t>
      </w:r>
    </w:p>
    <w:p>
      <w:pPr>
        <w:widowControl/>
      </w:pPr>
      <w:bookmarkStart w:id="1668" w:name="passage-i-5-22"/>
      <w:bookmarkEnd w:id="1668"/>
      <w:r>
        <w:rPr>
          <w:b/>
          <w:i w:val="0"/>
        </w:rPr>
        <w:t>I.5.22</w:t>
      </w:r>
      <w:r>
        <w:rPr>
          <w:b/>
          <w:i w:val="0"/>
        </w:rPr>
        <w:t>, source pp. 76–77.</w:t>
      </w:r>
      <w:r>
        <w:rPr>
          <w:b w:val="0"/>
          <w:i w:val="0"/>
        </w:rPr>
        <w:t xml:space="preserve"> Articles: </w:t>
      </w:r>
      <w:hyperlink w:anchor="angel">
        <w:r>
          <w:rPr>
            <w:color w:val="000000"/>
          </w:rPr>
          <w:t xml:space="preserve">Angel</w:t>
        </w:r>
      </w:hyperlink>
      <w:r>
        <w:rPr>
          <w:b w:val="0"/>
          <w:i w:val="0"/>
        </w:rPr>
        <w:t xml:space="preserve">; </w:t>
      </w:r>
      <w:hyperlink w:anchor="aristotle-avicenna-and-counting-minds">
        <w:r>
          <w:rPr>
            <w:color w:val="000000"/>
          </w:rPr>
          <w:t xml:space="preserve">Aristotle, Avicenna and counting minds</w:t>
        </w:r>
      </w:hyperlink>
      <w:r>
        <w:rPr>
          <w:b w:val="0"/>
          <w:i w:val="0"/>
        </w:rPr>
        <w:t xml:space="preserve">; </w:t>
      </w:r>
      <w:hyperlink w:anchor="end-and-limit">
        <w:r>
          <w:rPr>
            <w:color w:val="000000"/>
          </w:rPr>
          <w:t xml:space="preserve">End and limit</w:t>
        </w:r>
      </w:hyperlink>
      <w:r>
        <w:rPr>
          <w:b w:val="0"/>
          <w:i w:val="0"/>
        </w:rPr>
        <w:t xml:space="preserve">; </w:t>
      </w:r>
      <w:hyperlink w:anchor="number">
        <w:r>
          <w:rPr>
            <w:color w:val="000000"/>
          </w:rPr>
          <w:t xml:space="preserve">Number</w:t>
        </w:r>
      </w:hyperlink>
      <w:r>
        <w:rPr>
          <w:b w:val="0"/>
          <w:i w:val="0"/>
        </w:rPr>
        <w:t xml:space="preserve">; </w:t>
      </w:r>
      <w:hyperlink w:anchor="proof-signs-and-qualification">
        <w:r>
          <w:rPr>
            <w:color w:val="000000"/>
          </w:rPr>
          <w:t xml:space="preserve">Proof, signs and qualification</w:t>
        </w:r>
      </w:hyperlink>
      <w:r>
        <w:rPr>
          <w:b w:val="0"/>
          <w:i w:val="0"/>
        </w:rPr>
        <w:t xml:space="preserve">. Vocabulary: </w:t>
      </w:r>
      <w:hyperlink w:anchor="latin-record-0469">
        <w:r>
          <w:rPr>
            <w:color w:val="000000"/>
          </w:rPr>
          <w:t xml:space="preserve">forte / suspicor / vaticinor</w:t>
        </w:r>
      </w:hyperlink>
      <w:r>
        <w:rPr>
          <w:b w:val="0"/>
          <w:i w:val="0"/>
        </w:rPr>
        <w:t xml:space="preserve">; </w:t>
      </w:r>
      <w:hyperlink w:anchor="latin-record-0964">
        <w:r>
          <w:rPr>
            <w:color w:val="000000"/>
          </w:rPr>
          <w:t xml:space="preserve">proprius / communis / posterior</w:t>
        </w:r>
      </w:hyperlink>
      <w:r>
        <w:rPr>
          <w:b w:val="0"/>
          <w:i w:val="0"/>
        </w:rPr>
        <w:t>.</w:t>
      </w:r>
    </w:p>
    <w:p>
      <w:pPr>
        <w:widowControl/>
      </w:pPr>
      <w:bookmarkStart w:id="1669" w:name="passage-i-5-23"/>
      <w:bookmarkEnd w:id="1669"/>
      <w:r>
        <w:rPr>
          <w:b/>
          <w:i w:val="0"/>
        </w:rPr>
        <w:t>I.5.23</w:t>
      </w:r>
      <w:r>
        <w:rPr>
          <w:b/>
          <w:i w:val="0"/>
        </w:rPr>
        <w:t>, source pp. 76–77.</w:t>
      </w:r>
      <w:r>
        <w:rPr>
          <w:b w:val="0"/>
          <w:i w:val="0"/>
        </w:rPr>
        <w:t xml:space="preserve"> Articles: </w:t>
      </w:r>
      <w:hyperlink w:anchor="angel">
        <w:r>
          <w:rPr>
            <w:color w:val="000000"/>
          </w:rPr>
          <w:t xml:space="preserve">Angel</w:t>
        </w:r>
      </w:hyperlink>
      <w:r>
        <w:rPr>
          <w:b w:val="0"/>
          <w:i w:val="0"/>
        </w:rPr>
        <w:t xml:space="preserve">; </w:t>
      </w:r>
      <w:hyperlink w:anchor="aristotle-avicenna-and-counting-minds">
        <w:r>
          <w:rPr>
            <w:color w:val="000000"/>
          </w:rPr>
          <w:t xml:space="preserve">Aristotle, Avicenna and counting minds</w:t>
        </w:r>
      </w:hyperlink>
      <w:r>
        <w:rPr>
          <w:b w:val="0"/>
          <w:i w:val="0"/>
        </w:rPr>
        <w:t xml:space="preserve">; </w:t>
      </w:r>
      <w:hyperlink w:anchor="infinity">
        <w:r>
          <w:rPr>
            <w:color w:val="000000"/>
          </w:rPr>
          <w:t xml:space="preserve">Infinity</w:t>
        </w:r>
      </w:hyperlink>
      <w:r>
        <w:rPr>
          <w:b w:val="0"/>
          <w:i w:val="0"/>
        </w:rPr>
        <w:t xml:space="preserve">; </w:t>
      </w:r>
      <w:hyperlink w:anchor="number">
        <w:r>
          <w:rPr>
            <w:color w:val="000000"/>
          </w:rPr>
          <w:t xml:space="preserve">Number</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pecies">
        <w:r>
          <w:rPr>
            <w:color w:val="000000"/>
          </w:rPr>
          <w:t xml:space="preserve">Species</w:t>
        </w:r>
      </w:hyperlink>
      <w:r>
        <w:rPr>
          <w:b w:val="0"/>
          <w:i w:val="0"/>
        </w:rPr>
        <w:t xml:space="preserve">. Vocabulary: </w:t>
      </w:r>
      <w:hyperlink w:anchor="latin-record-0438">
        <w:r>
          <w:rPr>
            <w:color w:val="000000"/>
          </w:rPr>
          <w:t xml:space="preserve">fecunditas / amplifico</w:t>
        </w:r>
      </w:hyperlink>
      <w:r>
        <w:rPr>
          <w:b w:val="0"/>
          <w:i w:val="0"/>
        </w:rPr>
        <w:t xml:space="preserve">; </w:t>
      </w:r>
      <w:hyperlink w:anchor="latin-record-0565">
        <w:r>
          <w:rPr>
            <w:color w:val="000000"/>
          </w:rPr>
          <w:t xml:space="preserve">infinite and almost countless</w:t>
        </w:r>
      </w:hyperlink>
      <w:r>
        <w:rPr>
          <w:b w:val="0"/>
          <w:i w:val="0"/>
        </w:rPr>
        <w:t>.</w:t>
      </w:r>
    </w:p>
    <w:p>
      <w:pPr>
        <w:widowControl/>
      </w:pPr>
      <w:bookmarkStart w:id="1670" w:name="passage-i-5-24"/>
      <w:bookmarkEnd w:id="1670"/>
      <w:r>
        <w:rPr>
          <w:b/>
          <w:i w:val="0"/>
        </w:rPr>
        <w:t>I.5.24</w:t>
      </w:r>
      <w:r>
        <w:rPr>
          <w:b/>
          <w:i w:val="0"/>
        </w:rPr>
        <w:t>, source pp. 76–77.</w:t>
      </w:r>
      <w:r>
        <w:rPr>
          <w:b w:val="0"/>
          <w:i w:val="0"/>
        </w:rPr>
        <w:t xml:space="preserve"> Articles: </w:t>
      </w:r>
      <w:hyperlink w:anchor="angel">
        <w:r>
          <w:rPr>
            <w:color w:val="000000"/>
          </w:rPr>
          <w:t xml:space="preserve">Angel</w:t>
        </w:r>
      </w:hyperlink>
      <w:r>
        <w:rPr>
          <w:b w:val="0"/>
          <w:i w:val="0"/>
        </w:rPr>
        <w:t xml:space="preserve">; </w:t>
      </w:r>
      <w:hyperlink w:anchor="aristotle-avicenna-and-counting-minds">
        <w:r>
          <w:rPr>
            <w:color w:val="000000"/>
          </w:rPr>
          <w:t xml:space="preserve">Aristotle, Avicenna and counting minds</w:t>
        </w:r>
      </w:hyperlink>
      <w:r>
        <w:rPr>
          <w:b w:val="0"/>
          <w:i w:val="0"/>
        </w:rPr>
        <w:t xml:space="preserve">; </w:t>
      </w:r>
      <w:hyperlink w:anchor="infinity">
        <w:r>
          <w:rPr>
            <w:color w:val="000000"/>
          </w:rPr>
          <w:t xml:space="preserve">Infinity</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number">
        <w:r>
          <w:rPr>
            <w:color w:val="000000"/>
          </w:rPr>
          <w:t xml:space="preserve">Number</w:t>
        </w:r>
      </w:hyperlink>
      <w:r>
        <w:rPr>
          <w:b w:val="0"/>
          <w:i w:val="0"/>
        </w:rPr>
        <w:t xml:space="preserve">; </w:t>
      </w:r>
      <w:hyperlink w:anchor="point-position-and-mathematical-ascent">
        <w:r>
          <w:rPr>
            <w:color w:val="000000"/>
          </w:rPr>
          <w:t xml:space="preserve">Point, position and mathematical ascent</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pecies">
        <w:r>
          <w:rPr>
            <w:color w:val="000000"/>
          </w:rPr>
          <w:t xml:space="preserve">Species</w:t>
        </w:r>
      </w:hyperlink>
      <w:r>
        <w:rPr>
          <w:b w:val="0"/>
          <w:i w:val="0"/>
        </w:rPr>
        <w:t xml:space="preserve">. Vocabulary: </w:t>
      </w:r>
      <w:hyperlink w:anchor="latin-record-0829">
        <w:r>
          <w:rPr>
            <w:color w:val="000000"/>
          </w:rPr>
          <w:t xml:space="preserve">particularis / universalis</w:t>
        </w:r>
      </w:hyperlink>
      <w:r>
        <w:rPr>
          <w:b w:val="0"/>
          <w:i w:val="0"/>
        </w:rPr>
        <w:t xml:space="preserve">; </w:t>
      </w:r>
      <w:hyperlink w:anchor="latin-record-0935">
        <w:r>
          <w:rPr>
            <w:color w:val="000000"/>
          </w:rPr>
          <w:t xml:space="preserve">pro arbitrio</w:t>
        </w:r>
      </w:hyperlink>
      <w:r>
        <w:rPr>
          <w:b w:val="0"/>
          <w:i w:val="0"/>
        </w:rPr>
        <w:t xml:space="preserve">; </w:t>
      </w:r>
      <w:hyperlink w:anchor="latin-record-0968">
        <w:r>
          <w:rPr>
            <w:color w:val="000000"/>
          </w:rPr>
          <w:t xml:space="preserve">protendo / amplifico</w:t>
        </w:r>
      </w:hyperlink>
      <w:r>
        <w:rPr>
          <w:b w:val="0"/>
          <w:i w:val="0"/>
        </w:rPr>
        <w:t>.</w:t>
      </w:r>
    </w:p>
    <w:p>
      <w:pPr>
        <w:widowControl/>
      </w:pPr>
      <w:bookmarkStart w:id="1671" w:name="passage-i-5-25"/>
      <w:bookmarkEnd w:id="1671"/>
      <w:r>
        <w:rPr>
          <w:b/>
          <w:i w:val="0"/>
        </w:rPr>
        <w:t>I.5.25</w:t>
      </w:r>
      <w:r>
        <w:rPr>
          <w:b/>
          <w:i w:val="0"/>
        </w:rPr>
        <w:t>, source pp. 78–79.</w:t>
      </w:r>
      <w:r>
        <w:rPr>
          <w:b w:val="0"/>
          <w:i w:val="0"/>
        </w:rPr>
        <w:t xml:space="preserve"> Articles: </w:t>
      </w:r>
      <w:hyperlink w:anchor="angel">
        <w:r>
          <w:rPr>
            <w:color w:val="000000"/>
          </w:rPr>
          <w:t xml:space="preserve">Angel</w:t>
        </w:r>
      </w:hyperlink>
      <w:r>
        <w:rPr>
          <w:b w:val="0"/>
          <w:i w:val="0"/>
        </w:rPr>
        <w:t xml:space="preserve">; </w:t>
      </w:r>
      <w:hyperlink w:anchor="aristotle-avicenna-and-counting-minds">
        <w:r>
          <w:rPr>
            <w:color w:val="000000"/>
          </w:rPr>
          <w:t xml:space="preserve">Aristotle, Avicenna and counting minds</w:t>
        </w:r>
      </w:hyperlink>
      <w:r>
        <w:rPr>
          <w:b w:val="0"/>
          <w:i w:val="0"/>
        </w:rPr>
        <w:t xml:space="preserve">; </w:t>
      </w:r>
      <w:hyperlink w:anchor="end-and-limit">
        <w:r>
          <w:rPr>
            <w:color w:val="000000"/>
          </w:rPr>
          <w:t xml:space="preserve">End and limit</w:t>
        </w:r>
      </w:hyperlink>
      <w:r>
        <w:rPr>
          <w:b w:val="0"/>
          <w:i w:val="0"/>
        </w:rPr>
        <w:t xml:space="preserve">; </w:t>
      </w:r>
      <w:hyperlink w:anchor="good-and-goodness">
        <w:r>
          <w:rPr>
            <w:color w:val="000000"/>
          </w:rPr>
          <w:t xml:space="preserve">Good and goodness</w:t>
        </w:r>
      </w:hyperlink>
      <w:r>
        <w:rPr>
          <w:b w:val="0"/>
          <w:i w:val="0"/>
        </w:rPr>
        <w:t xml:space="preserve">; </w:t>
      </w:r>
      <w:hyperlink w:anchor="infinity">
        <w:r>
          <w:rPr>
            <w:color w:val="000000"/>
          </w:rPr>
          <w:t xml:space="preserve">Infinity</w:t>
        </w:r>
      </w:hyperlink>
      <w:r>
        <w:rPr>
          <w:b w:val="0"/>
          <w:i w:val="0"/>
        </w:rPr>
        <w:t xml:space="preserve">; </w:t>
      </w:r>
      <w:hyperlink w:anchor="number">
        <w:r>
          <w:rPr>
            <w:color w:val="000000"/>
          </w:rPr>
          <w:t xml:space="preserve">Number</w:t>
        </w:r>
      </w:hyperlink>
      <w:r>
        <w:rPr>
          <w:b w:val="0"/>
          <w:i w:val="0"/>
        </w:rPr>
        <w:t xml:space="preserve">; </w:t>
      </w:r>
      <w:hyperlink w:anchor="perfection">
        <w:r>
          <w:rPr>
            <w:color w:val="000000"/>
          </w:rPr>
          <w:t xml:space="preserve">Perfection</w:t>
        </w:r>
      </w:hyperlink>
      <w:r>
        <w:rPr>
          <w:b w:val="0"/>
          <w:i w:val="0"/>
        </w:rPr>
        <w:t xml:space="preserve">; </w:t>
      </w:r>
      <w:hyperlink w:anchor="power-and-potency">
        <w:r>
          <w:rPr>
            <w:color w:val="000000"/>
          </w:rPr>
          <w:t xml:space="preserve">Power and potency</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pecies">
        <w:r>
          <w:rPr>
            <w:color w:val="000000"/>
          </w:rPr>
          <w:t xml:space="preserve">Species</w:t>
        </w:r>
      </w:hyperlink>
      <w:r>
        <w:rPr>
          <w:b w:val="0"/>
          <w:i w:val="0"/>
        </w:rPr>
        <w:t xml:space="preserve">; </w:t>
      </w:r>
      <w:hyperlink w:anchor="world-and-universe">
        <w:r>
          <w:rPr>
            <w:color w:val="000000"/>
          </w:rPr>
          <w:t xml:space="preserve">World and universe</w:t>
        </w:r>
      </w:hyperlink>
      <w:r>
        <w:rPr>
          <w:b w:val="0"/>
          <w:i w:val="0"/>
        </w:rPr>
        <w:t xml:space="preserve">. Vocabulary: </w:t>
      </w:r>
      <w:hyperlink w:anchor="latin-record-0102">
        <w:r>
          <w:rPr>
            <w:color w:val="000000"/>
          </w:rPr>
          <w:t xml:space="preserve">ascisco</w:t>
        </w:r>
      </w:hyperlink>
      <w:r>
        <w:rPr>
          <w:b w:val="0"/>
          <w:i w:val="0"/>
        </w:rPr>
        <w:t xml:space="preserve">; </w:t>
      </w:r>
      <w:hyperlink w:anchor="latin-record-0968">
        <w:r>
          <w:rPr>
            <w:color w:val="000000"/>
          </w:rPr>
          <w:t xml:space="preserve">protendo / amplifico</w:t>
        </w:r>
      </w:hyperlink>
      <w:r>
        <w:rPr>
          <w:b w:val="0"/>
          <w:i w:val="0"/>
        </w:rPr>
        <w:t>.</w:t>
      </w:r>
    </w:p>
    <w:p>
      <w:pPr>
        <w:widowControl/>
      </w:pPr>
      <w:bookmarkStart w:id="1672" w:name="passage-i-5-26"/>
      <w:bookmarkEnd w:id="1672"/>
      <w:r>
        <w:rPr>
          <w:b/>
          <w:i w:val="0"/>
        </w:rPr>
        <w:t>I.5.26</w:t>
      </w:r>
      <w:r>
        <w:rPr>
          <w:b/>
          <w:i w:val="0"/>
        </w:rPr>
        <w:t>, source pp. 78–79.</w:t>
      </w:r>
      <w:r>
        <w:rPr>
          <w:b w:val="0"/>
          <w:i w:val="0"/>
        </w:rPr>
        <w:t xml:space="preserve"> Articles: </w:t>
      </w:r>
      <w:hyperlink w:anchor="angel">
        <w:r>
          <w:rPr>
            <w:color w:val="000000"/>
          </w:rPr>
          <w:t xml:space="preserve">Angel</w:t>
        </w:r>
      </w:hyperlink>
      <w:r>
        <w:rPr>
          <w:b w:val="0"/>
          <w:i w:val="0"/>
        </w:rPr>
        <w:t xml:space="preserve">; </w:t>
      </w:r>
      <w:hyperlink w:anchor="aristotle-avicenna-and-counting-minds">
        <w:r>
          <w:rPr>
            <w:color w:val="000000"/>
          </w:rPr>
          <w:t xml:space="preserve">Aristotle, Avicenna and counting minds</w:t>
        </w:r>
      </w:hyperlink>
      <w:r>
        <w:rPr>
          <w:b w:val="0"/>
          <w:i w:val="0"/>
        </w:rPr>
        <w:t xml:space="preserve">; </w:t>
      </w:r>
      <w:hyperlink w:anchor="end-and-limit">
        <w:r>
          <w:rPr>
            <w:color w:val="000000"/>
          </w:rPr>
          <w:t xml:space="preserve">End and limit</w:t>
        </w:r>
      </w:hyperlink>
      <w:r>
        <w:rPr>
          <w:b w:val="0"/>
          <w:i w:val="0"/>
        </w:rPr>
        <w:t xml:space="preserve">; </w:t>
      </w:r>
      <w:hyperlink w:anchor="number">
        <w:r>
          <w:rPr>
            <w:color w:val="000000"/>
          </w:rPr>
          <w:t xml:space="preserve">Number</w:t>
        </w:r>
      </w:hyperlink>
      <w:r>
        <w:rPr>
          <w:b w:val="0"/>
          <w:i w:val="0"/>
        </w:rPr>
        <w:t xml:space="preserve">; </w:t>
      </w:r>
      <w:hyperlink w:anchor="perfection">
        <w:r>
          <w:rPr>
            <w:color w:val="000000"/>
          </w:rPr>
          <w:t xml:space="preserve">Perfection</w:t>
        </w:r>
      </w:hyperlink>
      <w:r>
        <w:rPr>
          <w:b w:val="0"/>
          <w:i w:val="0"/>
        </w:rPr>
        <w:t xml:space="preserve">; </w:t>
      </w:r>
      <w:hyperlink w:anchor="quantity-and-dimension">
        <w:r>
          <w:rPr>
            <w:color w:val="000000"/>
          </w:rPr>
          <w:t xml:space="preserve">Quantity and dimension</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pecies">
        <w:r>
          <w:rPr>
            <w:color w:val="000000"/>
          </w:rPr>
          <w:t xml:space="preserve">Species</w:t>
        </w:r>
      </w:hyperlink>
      <w:r>
        <w:rPr>
          <w:b w:val="0"/>
          <w:i w:val="0"/>
        </w:rPr>
        <w:t xml:space="preserve">; </w:t>
      </w:r>
      <w:hyperlink w:anchor="world-and-universe">
        <w:r>
          <w:rPr>
            <w:color w:val="000000"/>
          </w:rPr>
          <w:t xml:space="preserve">World and universe</w:t>
        </w:r>
      </w:hyperlink>
      <w:r>
        <w:rPr>
          <w:b w:val="0"/>
          <w:i w:val="0"/>
        </w:rPr>
        <w:t xml:space="preserve">. Vocabulary: </w:t>
      </w:r>
      <w:hyperlink w:anchor="latin-record-0765">
        <w:r>
          <w:rPr>
            <w:color w:val="000000"/>
          </w:rPr>
          <w:t xml:space="preserve">nobilior / amplior</w:t>
        </w:r>
      </w:hyperlink>
      <w:r>
        <w:rPr>
          <w:b w:val="0"/>
          <w:i w:val="0"/>
        </w:rPr>
        <w:t>.</w:t>
      </w:r>
    </w:p>
    <w:p>
      <w:pPr>
        <w:widowControl/>
      </w:pPr>
      <w:bookmarkStart w:id="1673" w:name="passage-i-5-27"/>
      <w:bookmarkEnd w:id="1673"/>
      <w:r>
        <w:rPr>
          <w:b/>
          <w:i w:val="0"/>
        </w:rPr>
        <w:t>I.5.27</w:t>
      </w:r>
      <w:r>
        <w:rPr>
          <w:b/>
          <w:i w:val="0"/>
        </w:rPr>
        <w:t>, source pp. 80–81.</w:t>
      </w:r>
      <w:r>
        <w:rPr>
          <w:b w:val="0"/>
          <w:i w:val="0"/>
        </w:rPr>
        <w:t xml:space="preserve"> Articles: </w:t>
      </w:r>
      <w:hyperlink w:anchor="angel">
        <w:r>
          <w:rPr>
            <w:color w:val="000000"/>
          </w:rPr>
          <w:t xml:space="preserve">Angel</w:t>
        </w:r>
      </w:hyperlink>
      <w:r>
        <w:rPr>
          <w:b w:val="0"/>
          <w:i w:val="0"/>
        </w:rPr>
        <w:t xml:space="preserve">; </w:t>
      </w:r>
      <w:hyperlink w:anchor="dionysius-daniel-and-numerical-orders">
        <w:r>
          <w:rPr>
            <w:color w:val="000000"/>
          </w:rPr>
          <w:t xml:space="preserve">Dionysius, Daniel and numerical orders</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number">
        <w:r>
          <w:rPr>
            <w:color w:val="000000"/>
          </w:rPr>
          <w:t xml:space="preserve">Number</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species">
        <w:r>
          <w:rPr>
            <w:color w:val="000000"/>
          </w:rPr>
          <w:t xml:space="preserve">Species</w:t>
        </w:r>
      </w:hyperlink>
      <w:r>
        <w:rPr>
          <w:b w:val="0"/>
          <w:i w:val="0"/>
        </w:rPr>
        <w:t xml:space="preserve">; </w:t>
      </w:r>
      <w:hyperlink w:anchor="world-and-universe">
        <w:r>
          <w:rPr>
            <w:color w:val="000000"/>
          </w:rPr>
          <w:t xml:space="preserve">World and universe</w:t>
        </w:r>
      </w:hyperlink>
      <w:r>
        <w:rPr>
          <w:b w:val="0"/>
          <w:i w:val="0"/>
        </w:rPr>
        <w:t xml:space="preserve">. Vocabulary: </w:t>
      </w:r>
      <w:hyperlink w:anchor="latin-record-0323">
        <w:r>
          <w:rPr>
            <w:color w:val="000000"/>
          </w:rPr>
          <w:t xml:space="preserve">Dionysius Areopagita / Daniel</w:t>
        </w:r>
      </w:hyperlink>
      <w:r>
        <w:rPr>
          <w:b w:val="0"/>
          <w:i w:val="0"/>
        </w:rPr>
        <w:t xml:space="preserve">; </w:t>
      </w:r>
      <w:hyperlink w:anchor="latin-record-0519">
        <w:r>
          <w:rPr>
            <w:color w:val="000000"/>
          </w:rPr>
          <w:t xml:space="preserve">Iamblichus / Proclus</w:t>
        </w:r>
      </w:hyperlink>
      <w:r>
        <w:rPr>
          <w:b w:val="0"/>
          <w:i w:val="0"/>
        </w:rPr>
        <w:t xml:space="preserve">; </w:t>
      </w:r>
      <w:hyperlink w:anchor="latin-record-0700">
        <w:r>
          <w:rPr>
            <w:color w:val="000000"/>
          </w:rPr>
          <w:t xml:space="preserve">minister / assisto</w:t>
        </w:r>
      </w:hyperlink>
      <w:r>
        <w:rPr>
          <w:b w:val="0"/>
          <w:i w:val="0"/>
        </w:rPr>
        <w:t xml:space="preserve">; </w:t>
      </w:r>
      <w:hyperlink w:anchor="latin-record-1197">
        <w:r>
          <w:rPr>
            <w:color w:val="000000"/>
          </w:rPr>
          <w:t xml:space="preserve">ternarius / novenarius / septenarius / duodenarius</w:t>
        </w:r>
      </w:hyperlink>
      <w:r>
        <w:rPr>
          <w:b w:val="0"/>
          <w:i w:val="0"/>
        </w:rPr>
        <w:t>.</w:t>
      </w:r>
    </w:p>
    <w:p>
      <w:pPr>
        <w:widowControl/>
      </w:pPr>
      <w:bookmarkStart w:id="1674" w:name="passage-i-5-28"/>
      <w:bookmarkEnd w:id="1674"/>
      <w:r>
        <w:rPr>
          <w:b/>
          <w:i w:val="0"/>
        </w:rPr>
        <w:t>I.5.28</w:t>
      </w:r>
      <w:r>
        <w:rPr>
          <w:b/>
          <w:i w:val="0"/>
        </w:rPr>
        <w:t>, source pp. 80–81.</w:t>
      </w:r>
      <w:r>
        <w:rPr>
          <w:b w:val="0"/>
          <w:i w:val="0"/>
        </w:rPr>
        <w:t xml:space="preserve"> Articles: </w:t>
      </w:r>
      <w:hyperlink w:anchor="angel">
        <w:r>
          <w:rPr>
            <w:color w:val="000000"/>
          </w:rPr>
          <w:t xml:space="preserve">Angel</w:t>
        </w:r>
      </w:hyperlink>
      <w:r>
        <w:rPr>
          <w:b w:val="0"/>
          <w:i w:val="0"/>
        </w:rPr>
        <w:t xml:space="preserve">; </w:t>
      </w:r>
      <w:hyperlink w:anchor="dionysius-daniel-and-numerical-orders">
        <w:r>
          <w:rPr>
            <w:color w:val="000000"/>
          </w:rPr>
          <w:t xml:space="preserve">Dionysius, Daniel and numerical orders</w:t>
        </w:r>
      </w:hyperlink>
      <w:r>
        <w:rPr>
          <w:b w:val="0"/>
          <w:i w:val="0"/>
        </w:rPr>
        <w:t xml:space="preserve">; </w:t>
      </w:r>
      <w:hyperlink w:anchor="image-and-likeness">
        <w:r>
          <w:rPr>
            <w:color w:val="000000"/>
          </w:rPr>
          <w:t xml:space="preserve">Image and likeness</w:t>
        </w:r>
      </w:hyperlink>
      <w:r>
        <w:rPr>
          <w:b w:val="0"/>
          <w:i w:val="0"/>
        </w:rPr>
        <w:t xml:space="preserve">; </w:t>
      </w:r>
      <w:hyperlink w:anchor="order-and-harmony">
        <w:r>
          <w:rPr>
            <w:color w:val="000000"/>
          </w:rPr>
          <w:t xml:space="preserve">Order and harmony</w:t>
        </w:r>
      </w:hyperlink>
      <w:r>
        <w:rPr>
          <w:b w:val="0"/>
          <w:i w:val="0"/>
        </w:rPr>
        <w:t xml:space="preserve">; </w:t>
      </w:r>
      <w:hyperlink w:anchor="world-and-universe">
        <w:r>
          <w:rPr>
            <w:color w:val="000000"/>
          </w:rPr>
          <w:t xml:space="preserve">World and universe</w:t>
        </w:r>
      </w:hyperlink>
      <w:r>
        <w:rPr>
          <w:b w:val="0"/>
          <w:i w:val="0"/>
        </w:rPr>
        <w:t xml:space="preserve">. Vocabulary: </w:t>
      </w:r>
      <w:hyperlink w:anchor="latin-record-0809">
        <w:r>
          <w:rPr>
            <w:color w:val="000000"/>
          </w:rPr>
          <w:t xml:space="preserve">ordo / umbra / imago</w:t>
        </w:r>
      </w:hyperlink>
      <w:r>
        <w:rPr>
          <w:b w:val="0"/>
          <w:i w:val="0"/>
        </w:rPr>
        <w:t xml:space="preserve">; </w:t>
      </w:r>
      <w:hyperlink w:anchor="latin-record-0898">
        <w:r>
          <w:rPr>
            <w:color w:val="000000"/>
          </w:rPr>
          <w:t xml:space="preserve">postponing and returning</w:t>
        </w:r>
      </w:hyperlink>
      <w:r>
        <w:rPr>
          <w:b w:val="0"/>
          <w:i w:val="0"/>
        </w:rPr>
        <w:t>.</w:t>
      </w:r>
    </w:p>
    <w:p>
      <w:bookmarkStart w:id="1675" w:name="chapter-i.6"/>
      <w:pPr>
        <w:pStyle w:val="Heading2"/>
      </w:pPr>
      <w:r>
        <w:rPr>
          <w:b w:val="0"/>
          <w:i w:val="0"/>
        </w:rPr>
        <w:t>Chapter I.6</w:t>
      </w:r>
      <w:bookmarkEnd w:id="1675"/>
    </w:p>
    <w:p>
      <w:pPr>
        <w:widowControl/>
      </w:pPr>
      <w:bookmarkStart w:id="1676" w:name="passage-i-6-1"/>
      <w:bookmarkEnd w:id="1676"/>
      <w:r>
        <w:rPr>
          <w:b/>
          <w:i w:val="0"/>
        </w:rPr>
        <w:t>I.6.1</w:t>
      </w:r>
      <w:r>
        <w:rPr>
          <w:b/>
          <w:i w:val="0"/>
        </w:rPr>
        <w:t>, source pp. 82–83.</w:t>
      </w:r>
      <w:r>
        <w:rPr>
          <w:b w:val="0"/>
          <w:i w:val="0"/>
        </w:rPr>
        <w:t xml:space="preserve"> Articles: </w:t>
      </w:r>
      <w:hyperlink w:anchor="angel">
        <w:r>
          <w:rPr>
            <w:color w:val="000000"/>
          </w:rPr>
          <w:t xml:space="preserve">Angel</w:t>
        </w:r>
      </w:hyperlink>
      <w:r>
        <w:rPr>
          <w:b w:val="0"/>
          <w:i w:val="0"/>
        </w:rPr>
        <w:t xml:space="preserve">; </w:t>
      </w:r>
      <w:hyperlink w:anchor="ascent">
        <w:r>
          <w:rPr>
            <w:color w:val="000000"/>
          </w:rPr>
          <w:t xml:space="preserve">Ascent</w:t>
        </w:r>
      </w:hyperlink>
      <w:r>
        <w:rPr>
          <w:b w:val="0"/>
          <w:i w:val="0"/>
        </w:rPr>
        <w:t xml:space="preserve">; </w:t>
      </w:r>
      <w:hyperlink w:anchor="contraries-and-opposition">
        <w:r>
          <w:rPr>
            <w:color w:val="000000"/>
          </w:rPr>
          <w:t xml:space="preserve">Contraries and opposition</w:t>
        </w:r>
      </w:hyperlink>
      <w:r>
        <w:rPr>
          <w:b w:val="0"/>
          <w:i w:val="0"/>
        </w:rPr>
        <w:t xml:space="preserve">; </w:t>
      </w:r>
      <w:hyperlink w:anchor="degree-and-mediation">
        <w:r>
          <w:rPr>
            <w:color w:val="000000"/>
          </w:rPr>
          <w:t xml:space="preserve">Degree and mediation</w:t>
        </w:r>
      </w:hyperlink>
      <w:r>
        <w:rPr>
          <w:b w:val="0"/>
          <w:i w:val="0"/>
        </w:rPr>
        <w:t xml:space="preserve">; </w:t>
      </w:r>
      <w:hyperlink w:anchor="god">
        <w:r>
          <w:rPr>
            <w:color w:val="000000"/>
          </w:rPr>
          <w:t xml:space="preserve">God</w:t>
        </w:r>
      </w:hyperlink>
      <w:r>
        <w:rPr>
          <w:b w:val="0"/>
          <w:i w:val="0"/>
        </w:rPr>
        <w:t xml:space="preserve">; </w:t>
      </w:r>
      <w:hyperlink w:anchor="motion-and-stability">
        <w:r>
          <w:rPr>
            <w:color w:val="000000"/>
          </w:rPr>
          <w:t xml:space="preserve">Motion and stability</w:t>
        </w:r>
      </w:hyperlink>
      <w:r>
        <w:rPr>
          <w:b w:val="0"/>
          <w:i w:val="0"/>
        </w:rPr>
        <w:t xml:space="preserve">; </w:t>
      </w:r>
      <w:hyperlink w:anchor="philosophers-and-stopping-points">
        <w:r>
          <w:rPr>
            <w:color w:val="000000"/>
          </w:rPr>
          <w:t xml:space="preserve">Philosophers and stopping points</w:t>
        </w:r>
      </w:hyperlink>
      <w:r>
        <w:rPr>
          <w:b w:val="0"/>
          <w:i w:val="0"/>
        </w:rPr>
        <w:t xml:space="preserve">; </w:t>
      </w:r>
      <w:hyperlink w:anchor="proof-signs-and-qualification">
        <w:r>
          <w:rPr>
            <w:color w:val="000000"/>
          </w:rPr>
          <w:t xml:space="preserve">Proof, signs and qualification</w:t>
        </w:r>
      </w:hyperlink>
      <w:r>
        <w:rPr>
          <w:b w:val="0"/>
          <w:i w:val="0"/>
        </w:rPr>
        <w:t xml:space="preserve">; </w:t>
      </w:r>
      <w:hyperlink w:anchor="unity-and-multiplicity">
        <w:r>
          <w:rPr>
            <w:color w:val="000000"/>
          </w:rPr>
          <w:t xml:space="preserve">Unity and multiplicity</w:t>
        </w:r>
      </w:hyperlink>
      <w:r>
        <w:rPr>
          <w:b w:val="0"/>
          <w:i w:val="0"/>
        </w:rPr>
        <w:t xml:space="preserve">; </w:t>
      </w:r>
      <w:hyperlink w:anchor="will">
        <w:r>
          <w:rPr>
            <w:color w:val="000000"/>
          </w:rPr>
          <w:t xml:space="preserve">Will</w:t>
        </w:r>
      </w:hyperlink>
      <w:r>
        <w:rPr>
          <w:b w:val="0"/>
          <w:i w:val="0"/>
        </w:rPr>
        <w:t xml:space="preserve">. Vocabulary: </w:t>
      </w:r>
      <w:hyperlink w:anchor="latin-record-0065">
        <w:r>
          <w:rPr>
            <w:color w:val="000000"/>
          </w:rPr>
          <w:t xml:space="preserve">Anaxagoras / Hermotimus</w:t>
        </w:r>
      </w:hyperlink>
      <w:r>
        <w:rPr>
          <w:b w:val="0"/>
          <w:i w:val="0"/>
        </w:rPr>
        <w:t xml:space="preserve">; </w:t>
      </w:r>
      <w:hyperlink w:anchor="latin-record-0503">
        <w:r>
          <w:rPr>
            <w:color w:val="000000"/>
          </w:rPr>
          <w:t xml:space="preserve">Haec Platonici</w:t>
        </w:r>
      </w:hyperlink>
      <w:r>
        <w:rPr>
          <w:b w:val="0"/>
          <w:i w:val="0"/>
        </w:rPr>
        <w:t xml:space="preserve">; </w:t>
      </w:r>
      <w:hyperlink w:anchor="latin-record-0705">
        <w:r>
          <w:rPr>
            <w:color w:val="000000"/>
          </w:rPr>
          <w:t xml:space="preserve">mobilis multitudo / immobilis multitudo</w:t>
        </w:r>
      </w:hyperlink>
      <w:r>
        <w:rPr>
          <w:b w:val="0"/>
          <w:i w:val="0"/>
        </w:rPr>
        <w:t>.</w:t>
      </w:r>
    </w:p>
    <w:p>
      <w:pPr>
        <w:widowControl/>
      </w:pPr>
      <w:bookmarkStart w:id="1677" w:name="passage-i-6-2"/>
      <w:bookmarkEnd w:id="1677"/>
      <w:r>
        <w:rPr>
          <w:b/>
          <w:i w:val="0"/>
        </w:rPr>
        <w:t>I.6.2</w:t>
      </w:r>
      <w:r>
        <w:rPr>
          <w:b/>
          <w:i w:val="0"/>
        </w:rPr>
        <w:t>, source pp. 82–83.</w:t>
      </w:r>
      <w:r>
        <w:rPr>
          <w:b w:val="0"/>
          <w:i w:val="0"/>
        </w:rPr>
        <w:t xml:space="preserve"> Articles: </w:t>
      </w:r>
      <w:hyperlink w:anchor="angel">
        <w:r>
          <w:rPr>
            <w:color w:val="000000"/>
          </w:rPr>
          <w:t xml:space="preserve">Angel</w:t>
        </w:r>
      </w:hyperlink>
      <w:r>
        <w:rPr>
          <w:b w:val="0"/>
          <w:i w:val="0"/>
        </w:rPr>
        <w:t xml:space="preserve">; </w:t>
      </w:r>
      <w:hyperlink w:anchor="ascent">
        <w:r>
          <w:rPr>
            <w:color w:val="000000"/>
          </w:rPr>
          <w:t xml:space="preserve">Ascent</w:t>
        </w:r>
      </w:hyperlink>
      <w:r>
        <w:rPr>
          <w:b w:val="0"/>
          <w:i w:val="0"/>
        </w:rPr>
        <w:t xml:space="preserve">; </w:t>
      </w:r>
      <w:hyperlink w:anchor="contraries-and-opposition">
        <w:r>
          <w:rPr>
            <w:color w:val="000000"/>
          </w:rPr>
          <w:t xml:space="preserve">Contraries and opposition</w:t>
        </w:r>
      </w:hyperlink>
      <w:r>
        <w:rPr>
          <w:b w:val="0"/>
          <w:i w:val="0"/>
        </w:rPr>
        <w:t xml:space="preserve">; </w:t>
      </w:r>
      <w:hyperlink w:anchor="degree-and-mediation">
        <w:r>
          <w:rPr>
            <w:color w:val="000000"/>
          </w:rPr>
          <w:t xml:space="preserve">Degree and mediation</w:t>
        </w:r>
      </w:hyperlink>
      <w:r>
        <w:rPr>
          <w:b w:val="0"/>
          <w:i w:val="0"/>
        </w:rPr>
        <w:t xml:space="preserve">; </w:t>
      </w:r>
      <w:hyperlink w:anchor="god">
        <w:r>
          <w:rPr>
            <w:color w:val="000000"/>
          </w:rPr>
          <w:t xml:space="preserve">God</w:t>
        </w:r>
      </w:hyperlink>
      <w:r>
        <w:rPr>
          <w:b w:val="0"/>
          <w:i w:val="0"/>
        </w:rPr>
        <w:t xml:space="preserve">; </w:t>
      </w:r>
      <w:hyperlink w:anchor="motion-and-stability">
        <w:r>
          <w:rPr>
            <w:color w:val="000000"/>
          </w:rPr>
          <w:t xml:space="preserve">Motion and stability</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705">
        <w:r>
          <w:rPr>
            <w:color w:val="000000"/>
          </w:rPr>
          <w:t xml:space="preserve">mobilis multitudo / immobilis multitudo</w:t>
        </w:r>
      </w:hyperlink>
      <w:r>
        <w:rPr>
          <w:b w:val="0"/>
          <w:i w:val="0"/>
        </w:rPr>
        <w:t>.</w:t>
      </w:r>
    </w:p>
    <w:p>
      <w:pPr>
        <w:widowControl/>
      </w:pPr>
      <w:bookmarkStart w:id="1678" w:name="passage-i-6-3"/>
      <w:bookmarkEnd w:id="1678"/>
      <w:r>
        <w:rPr>
          <w:b/>
          <w:i w:val="0"/>
        </w:rPr>
        <w:t>I.6.3</w:t>
      </w:r>
      <w:r>
        <w:rPr>
          <w:b/>
          <w:i w:val="0"/>
        </w:rPr>
        <w:t>, source pp. 82–83.</w:t>
      </w:r>
      <w:r>
        <w:rPr>
          <w:b w:val="0"/>
          <w:i w:val="0"/>
        </w:rPr>
        <w:t xml:space="preserve"> Articles: </w:t>
      </w:r>
      <w:hyperlink w:anchor="angel">
        <w:r>
          <w:rPr>
            <w:color w:val="000000"/>
          </w:rPr>
          <w:t xml:space="preserve">Angel</w:t>
        </w:r>
      </w:hyperlink>
      <w:r>
        <w:rPr>
          <w:b w:val="0"/>
          <w:i w:val="0"/>
        </w:rPr>
        <w:t xml:space="preserve">; </w:t>
      </w:r>
      <w:hyperlink w:anchor="ascent">
        <w:r>
          <w:rPr>
            <w:color w:val="000000"/>
          </w:rPr>
          <w:t xml:space="preserve">Ascent</w:t>
        </w:r>
      </w:hyperlink>
      <w:r>
        <w:rPr>
          <w:b w:val="0"/>
          <w:i w:val="0"/>
        </w:rPr>
        <w:t xml:space="preserve">; </w:t>
      </w:r>
      <w:hyperlink w:anchor="contraries-and-opposition">
        <w:r>
          <w:rPr>
            <w:color w:val="000000"/>
          </w:rPr>
          <w:t xml:space="preserve">Contraries and opposition</w:t>
        </w:r>
      </w:hyperlink>
      <w:r>
        <w:rPr>
          <w:b w:val="0"/>
          <w:i w:val="0"/>
        </w:rPr>
        <w:t xml:space="preserve">; </w:t>
      </w:r>
      <w:hyperlink w:anchor="degree-and-mediation">
        <w:r>
          <w:rPr>
            <w:color w:val="000000"/>
          </w:rPr>
          <w:t xml:space="preserve">Degree and mediation</w:t>
        </w:r>
      </w:hyperlink>
      <w:r>
        <w:rPr>
          <w:b w:val="0"/>
          <w:i w:val="0"/>
        </w:rPr>
        <w:t xml:space="preserve">; </w:t>
      </w:r>
      <w:hyperlink w:anchor="god">
        <w:r>
          <w:rPr>
            <w:color w:val="000000"/>
          </w:rPr>
          <w:t xml:space="preserve">God</w:t>
        </w:r>
      </w:hyperlink>
      <w:r>
        <w:rPr>
          <w:b w:val="0"/>
          <w:i w:val="0"/>
        </w:rPr>
        <w:t xml:space="preserve">; </w:t>
      </w:r>
      <w:hyperlink w:anchor="motion-and-stability">
        <w:r>
          <w:rPr>
            <w:color w:val="000000"/>
          </w:rPr>
          <w:t xml:space="preserve">Motion and stability</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270">
        <w:r>
          <w:rPr>
            <w:color w:val="000000"/>
          </w:rPr>
          <w:t xml:space="preserve">convenio / discrepo</w:t>
        </w:r>
      </w:hyperlink>
      <w:r>
        <w:rPr>
          <w:b w:val="0"/>
          <w:i w:val="0"/>
        </w:rPr>
        <w:t xml:space="preserve">; </w:t>
      </w:r>
      <w:hyperlink w:anchor="latin-record-0705">
        <w:r>
          <w:rPr>
            <w:color w:val="000000"/>
          </w:rPr>
          <w:t xml:space="preserve">mobilis multitudo / immobilis multitudo</w:t>
        </w:r>
      </w:hyperlink>
      <w:r>
        <w:rPr>
          <w:b w:val="0"/>
          <w:i w:val="0"/>
        </w:rPr>
        <w:t>.</w:t>
      </w:r>
    </w:p>
    <w:p>
      <w:pPr>
        <w:widowControl/>
      </w:pPr>
      <w:bookmarkStart w:id="1679" w:name="passage-i-6-4"/>
      <w:bookmarkEnd w:id="1679"/>
      <w:r>
        <w:rPr>
          <w:b/>
          <w:i w:val="0"/>
        </w:rPr>
        <w:t>I.6.4</w:t>
      </w:r>
      <w:r>
        <w:rPr>
          <w:b/>
          <w:i w:val="0"/>
        </w:rPr>
        <w:t>, source pp. 82–83.</w:t>
      </w:r>
      <w:r>
        <w:rPr>
          <w:b w:val="0"/>
          <w:i w:val="0"/>
        </w:rPr>
        <w:t xml:space="preserve"> Articles: </w:t>
      </w:r>
      <w:hyperlink w:anchor="angel">
        <w:r>
          <w:rPr>
            <w:color w:val="000000"/>
          </w:rPr>
          <w:t xml:space="preserve">Angel</w:t>
        </w:r>
      </w:hyperlink>
      <w:r>
        <w:rPr>
          <w:b w:val="0"/>
          <w:i w:val="0"/>
        </w:rPr>
        <w:t xml:space="preserve">; </w:t>
      </w:r>
      <w:hyperlink w:anchor="ascent">
        <w:r>
          <w:rPr>
            <w:color w:val="000000"/>
          </w:rPr>
          <w:t xml:space="preserve">Ascent</w:t>
        </w:r>
      </w:hyperlink>
      <w:r>
        <w:rPr>
          <w:b w:val="0"/>
          <w:i w:val="0"/>
        </w:rPr>
        <w:t xml:space="preserve">; </w:t>
      </w:r>
      <w:hyperlink w:anchor="essence-and-substance">
        <w:r>
          <w:rPr>
            <w:color w:val="000000"/>
          </w:rPr>
          <w:t xml:space="preserve">Essence and substance</w:t>
        </w:r>
      </w:hyperlink>
      <w:r>
        <w:rPr>
          <w:b w:val="0"/>
          <w:i w:val="0"/>
        </w:rPr>
        <w:t xml:space="preserve">; </w:t>
      </w:r>
      <w:hyperlink w:anchor="god">
        <w:r>
          <w:rPr>
            <w:color w:val="000000"/>
          </w:rPr>
          <w:t xml:space="preserve">God</w:t>
        </w:r>
      </w:hyperlink>
      <w:r>
        <w:rPr>
          <w:b w:val="0"/>
          <w:i w:val="0"/>
        </w:rPr>
        <w:t xml:space="preserve">; </w:t>
      </w:r>
      <w:hyperlink w:anchor="indivisibility">
        <w:r>
          <w:rPr>
            <w:color w:val="000000"/>
          </w:rPr>
          <w:t xml:space="preserve">Indivisibility</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number">
        <w:r>
          <w:rPr>
            <w:color w:val="000000"/>
          </w:rPr>
          <w:t xml:space="preserve">Number</w:t>
        </w:r>
      </w:hyperlink>
      <w:r>
        <w:rPr>
          <w:b w:val="0"/>
          <w:i w:val="0"/>
        </w:rPr>
        <w:t xml:space="preserve">; </w:t>
      </w:r>
      <w:hyperlink w:anchor="species">
        <w:r>
          <w:rPr>
            <w:color w:val="000000"/>
          </w:rPr>
          <w:t xml:space="preserve">Species</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386">
        <w:r>
          <w:rPr>
            <w:color w:val="000000"/>
          </w:rPr>
          <w:t xml:space="preserve">essentia atque esse</w:t>
        </w:r>
      </w:hyperlink>
      <w:r>
        <w:rPr>
          <w:b w:val="0"/>
          <w:i w:val="0"/>
        </w:rPr>
        <w:t>.</w:t>
      </w:r>
    </w:p>
    <w:p>
      <w:pPr>
        <w:widowControl/>
      </w:pPr>
      <w:bookmarkStart w:id="1680" w:name="passage-i-6-5"/>
      <w:bookmarkEnd w:id="1680"/>
      <w:r>
        <w:rPr>
          <w:b/>
          <w:i w:val="0"/>
        </w:rPr>
        <w:t>I.6.5</w:t>
      </w:r>
      <w:r>
        <w:rPr>
          <w:b/>
          <w:i w:val="0"/>
        </w:rPr>
        <w:t>, source pp. 84–85.</w:t>
      </w:r>
      <w:r>
        <w:rPr>
          <w:b w:val="0"/>
          <w:i w:val="0"/>
        </w:rPr>
        <w:t xml:space="preserve"> Articles: </w:t>
      </w:r>
      <w:hyperlink w:anchor="angel">
        <w:r>
          <w:rPr>
            <w:color w:val="000000"/>
          </w:rPr>
          <w:t xml:space="preserve">Angel</w:t>
        </w:r>
      </w:hyperlink>
      <w:r>
        <w:rPr>
          <w:b w:val="0"/>
          <w:i w:val="0"/>
        </w:rPr>
        <w:t xml:space="preserve">; </w:t>
      </w:r>
      <w:hyperlink w:anchor="ascent">
        <w:r>
          <w:rPr>
            <w:color w:val="000000"/>
          </w:rPr>
          <w:t xml:space="preserve">Ascent</w:t>
        </w:r>
      </w:hyperlink>
      <w:r>
        <w:rPr>
          <w:b w:val="0"/>
          <w:i w:val="0"/>
        </w:rPr>
        <w:t xml:space="preserve">; </w:t>
      </w:r>
      <w:hyperlink w:anchor="divinity-and-the-divine">
        <w:r>
          <w:rPr>
            <w:color w:val="000000"/>
          </w:rPr>
          <w:t xml:space="preserve">Divinity and the divine</w:t>
        </w:r>
      </w:hyperlink>
      <w:r>
        <w:rPr>
          <w:b w:val="0"/>
          <w:i w:val="0"/>
        </w:rPr>
        <w:t xml:space="preserve">; </w:t>
      </w:r>
      <w:hyperlink w:anchor="god">
        <w:r>
          <w:rPr>
            <w:color w:val="000000"/>
          </w:rPr>
          <w:t xml:space="preserve">God</w:t>
        </w:r>
      </w:hyperlink>
      <w:r>
        <w:rPr>
          <w:b w:val="0"/>
          <w:i w:val="0"/>
        </w:rPr>
        <w:t xml:space="preserve">; </w:t>
      </w:r>
      <w:hyperlink w:anchor="indivisibility">
        <w:r>
          <w:rPr>
            <w:color w:val="000000"/>
          </w:rPr>
          <w:t xml:space="preserve">Indivisibility</w:t>
        </w:r>
      </w:hyperlink>
      <w:r>
        <w:rPr>
          <w:b w:val="0"/>
          <w:i w:val="0"/>
        </w:rPr>
        <w:t xml:space="preserve">; </w:t>
      </w:r>
      <w:hyperlink w:anchor="number">
        <w:r>
          <w:rPr>
            <w:color w:val="000000"/>
          </w:rPr>
          <w:t xml:space="preserve">Number</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1108">
        <w:r>
          <w:rPr>
            <w:color w:val="000000"/>
          </w:rPr>
          <w:t xml:space="preserve">simplex / simplicitas</w:t>
        </w:r>
      </w:hyperlink>
      <w:r>
        <w:rPr>
          <w:b w:val="0"/>
          <w:i w:val="0"/>
        </w:rPr>
        <w:t>.</w:t>
      </w:r>
    </w:p>
    <w:p>
      <w:pPr>
        <w:widowControl/>
      </w:pPr>
      <w:bookmarkStart w:id="1681" w:name="passage-i-6-6"/>
      <w:bookmarkEnd w:id="1681"/>
      <w:r>
        <w:rPr>
          <w:b/>
          <w:i w:val="0"/>
        </w:rPr>
        <w:t>I.6.6</w:t>
      </w:r>
      <w:r>
        <w:rPr>
          <w:b/>
          <w:i w:val="0"/>
        </w:rPr>
        <w:t>, source pp. 84–85.</w:t>
      </w:r>
      <w:r>
        <w:rPr>
          <w:b w:val="0"/>
          <w:i w:val="0"/>
        </w:rPr>
        <w:t xml:space="preserve"> Articles: </w:t>
      </w:r>
      <w:hyperlink w:anchor="angel">
        <w:r>
          <w:rPr>
            <w:color w:val="000000"/>
          </w:rPr>
          <w:t xml:space="preserve">Angel</w:t>
        </w:r>
      </w:hyperlink>
      <w:r>
        <w:rPr>
          <w:b w:val="0"/>
          <w:i w:val="0"/>
        </w:rPr>
        <w:t xml:space="preserve">; </w:t>
      </w:r>
      <w:hyperlink w:anchor="ascent">
        <w:r>
          <w:rPr>
            <w:color w:val="000000"/>
          </w:rPr>
          <w:t xml:space="preserve">Ascent</w:t>
        </w:r>
      </w:hyperlink>
      <w:r>
        <w:rPr>
          <w:b w:val="0"/>
          <w:i w:val="0"/>
        </w:rPr>
        <w:t xml:space="preserve">; </w:t>
      </w:r>
      <w:hyperlink w:anchor="blessedness">
        <w:r>
          <w:rPr>
            <w:color w:val="000000"/>
          </w:rPr>
          <w:t xml:space="preserve">Blessedness</w:t>
        </w:r>
      </w:hyperlink>
      <w:r>
        <w:rPr>
          <w:b w:val="0"/>
          <w:i w:val="0"/>
        </w:rPr>
        <w:t xml:space="preserve">; </w:t>
      </w:r>
      <w:hyperlink w:anchor="containing-receiving-and-lacking">
        <w:r>
          <w:rPr>
            <w:color w:val="000000"/>
          </w:rPr>
          <w:t xml:space="preserve">Containing, receiving and lacking</w:t>
        </w:r>
      </w:hyperlink>
      <w:r>
        <w:rPr>
          <w:b w:val="0"/>
          <w:i w:val="0"/>
        </w:rPr>
        <w:t xml:space="preserve">; </w:t>
      </w:r>
      <w:hyperlink w:anchor="divinity-and-the-divine">
        <w:r>
          <w:rPr>
            <w:color w:val="000000"/>
          </w:rPr>
          <w:t xml:space="preserve">Divinity and the divine</w:t>
        </w:r>
      </w:hyperlink>
      <w:r>
        <w:rPr>
          <w:b w:val="0"/>
          <w:i w:val="0"/>
        </w:rPr>
        <w:t xml:space="preserve">; </w:t>
      </w:r>
      <w:hyperlink w:anchor="god">
        <w:r>
          <w:rPr>
            <w:color w:val="000000"/>
          </w:rPr>
          <w:t xml:space="preserve">God</w:t>
        </w:r>
      </w:hyperlink>
      <w:r>
        <w:rPr>
          <w:b w:val="0"/>
          <w:i w:val="0"/>
        </w:rPr>
        <w:t xml:space="preserve">; </w:t>
      </w:r>
      <w:hyperlink w:anchor="perfection">
        <w:r>
          <w:rPr>
            <w:color w:val="000000"/>
          </w:rPr>
          <w:t xml:space="preserve">Perfection</w:t>
        </w:r>
      </w:hyperlink>
      <w:r>
        <w:rPr>
          <w:b w:val="0"/>
          <w:i w:val="0"/>
        </w:rPr>
        <w:t xml:space="preserve">; </w:t>
      </w:r>
      <w:hyperlink w:anchor="substance-and-accident">
        <w:r>
          <w:rPr>
            <w:color w:val="000000"/>
          </w:rPr>
          <w:t xml:space="preserve">Substance and accident</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212">
        <w:r>
          <w:rPr>
            <w:color w:val="000000"/>
          </w:rPr>
          <w:t xml:space="preserve">compono / pars / totum</w:t>
        </w:r>
      </w:hyperlink>
      <w:r>
        <w:rPr>
          <w:b w:val="0"/>
          <w:i w:val="0"/>
        </w:rPr>
        <w:t xml:space="preserve">; </w:t>
      </w:r>
      <w:hyperlink w:anchor="latin-record-0329">
        <w:r>
          <w:rPr>
            <w:color w:val="000000"/>
          </w:rPr>
          <w:t xml:space="preserve">discursio</w:t>
        </w:r>
      </w:hyperlink>
      <w:r>
        <w:rPr>
          <w:b w:val="0"/>
          <w:i w:val="0"/>
        </w:rPr>
        <w:t xml:space="preserve">; </w:t>
      </w:r>
      <w:hyperlink w:anchor="latin-record-0475">
        <w:r>
          <w:rPr>
            <w:color w:val="000000"/>
          </w:rPr>
          <w:t xml:space="preserve">fruor</w:t>
        </w:r>
      </w:hyperlink>
      <w:r>
        <w:rPr>
          <w:b w:val="0"/>
          <w:i w:val="0"/>
        </w:rPr>
        <w:t xml:space="preserve">; </w:t>
      </w:r>
      <w:hyperlink w:anchor="latin-record-0684">
        <w:r>
          <w:rPr>
            <w:color w:val="000000"/>
          </w:rPr>
          <w:t xml:space="preserve">membrum / vicem gerere</w:t>
        </w:r>
      </w:hyperlink>
      <w:r>
        <w:rPr>
          <w:b w:val="0"/>
          <w:i w:val="0"/>
        </w:rPr>
        <w:t>.</w:t>
      </w:r>
    </w:p>
    <w:p>
      <w:pPr>
        <w:widowControl/>
      </w:pPr>
      <w:bookmarkStart w:id="1682" w:name="passage-i-6-7"/>
      <w:bookmarkEnd w:id="1682"/>
      <w:r>
        <w:rPr>
          <w:b/>
          <w:i w:val="0"/>
        </w:rPr>
        <w:t>I.6.7</w:t>
      </w:r>
      <w:r>
        <w:rPr>
          <w:b/>
          <w:i w:val="0"/>
        </w:rPr>
        <w:t>, source pp. 86–87.</w:t>
      </w:r>
      <w:r>
        <w:rPr>
          <w:b w:val="0"/>
          <w:i w:val="0"/>
        </w:rPr>
        <w:t xml:space="preserve"> Articles: </w:t>
      </w:r>
      <w:hyperlink w:anchor="containing-receiving-and-lacking">
        <w:r>
          <w:rPr>
            <w:color w:val="000000"/>
          </w:rPr>
          <w:t xml:space="preserve">Containing, receiving and lacking</w:t>
        </w:r>
      </w:hyperlink>
      <w:r>
        <w:rPr>
          <w:b w:val="0"/>
          <w:i w:val="0"/>
        </w:rPr>
        <w:t xml:space="preserve">; </w:t>
      </w:r>
      <w:hyperlink w:anchor="divinity-and-the-divine">
        <w:r>
          <w:rPr>
            <w:color w:val="000000"/>
          </w:rPr>
          <w:t xml:space="preserve">Divinity and the divine</w:t>
        </w:r>
      </w:hyperlink>
      <w:r>
        <w:rPr>
          <w:b w:val="0"/>
          <w:i w:val="0"/>
        </w:rPr>
        <w:t xml:space="preserve">; </w:t>
      </w:r>
      <w:hyperlink w:anchor="eye-and-imagined-enlargement">
        <w:r>
          <w:rPr>
            <w:color w:val="000000"/>
          </w:rPr>
          <w:t xml:space="preserve">Eye and imagined enlargement</w:t>
        </w:r>
      </w:hyperlink>
      <w:r>
        <w:rPr>
          <w:b w:val="0"/>
          <w:i w:val="0"/>
        </w:rPr>
        <w:t xml:space="preserve">; </w:t>
      </w:r>
      <w:hyperlink w:anchor="god">
        <w:r>
          <w:rPr>
            <w:color w:val="000000"/>
          </w:rPr>
          <w:t xml:space="preserve">God</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truth">
        <w:r>
          <w:rPr>
            <w:color w:val="000000"/>
          </w:rPr>
          <w:t xml:space="preserve">Truth</w:t>
        </w:r>
      </w:hyperlink>
      <w:r>
        <w:rPr>
          <w:b w:val="0"/>
          <w:i w:val="0"/>
        </w:rPr>
        <w:t xml:space="preserve">. Vocabulary: </w:t>
      </w:r>
      <w:hyperlink w:anchor="latin-record-0141">
        <w:r>
          <w:rPr>
            <w:color w:val="000000"/>
          </w:rPr>
          <w:t xml:space="preserve">capax / capio</w:t>
        </w:r>
      </w:hyperlink>
      <w:r>
        <w:rPr>
          <w:b w:val="0"/>
          <w:i w:val="0"/>
        </w:rPr>
        <w:t xml:space="preserve">; </w:t>
      </w:r>
      <w:hyperlink w:anchor="latin-record-1001">
        <w:r>
          <w:rPr>
            <w:color w:val="000000"/>
          </w:rPr>
          <w:t xml:space="preserve">quaero / invenio</w:t>
        </w:r>
      </w:hyperlink>
      <w:r>
        <w:rPr>
          <w:b w:val="0"/>
          <w:i w:val="0"/>
        </w:rPr>
        <w:t>.</w:t>
      </w:r>
    </w:p>
    <w:p>
      <w:pPr>
        <w:widowControl/>
      </w:pPr>
      <w:bookmarkStart w:id="1683" w:name="passage-i-6-8"/>
      <w:bookmarkEnd w:id="1683"/>
      <w:r>
        <w:rPr>
          <w:b/>
          <w:i w:val="0"/>
        </w:rPr>
        <w:t>I.6.8</w:t>
      </w:r>
      <w:r>
        <w:rPr>
          <w:b/>
          <w:i w:val="0"/>
        </w:rPr>
        <w:t>, source pp. 86–87.</w:t>
      </w:r>
      <w:r>
        <w:rPr>
          <w:b w:val="0"/>
          <w:i w:val="0"/>
        </w:rPr>
        <w:t xml:space="preserve"> Articles: </w:t>
      </w:r>
      <w:hyperlink w:anchor="angel">
        <w:r>
          <w:rPr>
            <w:color w:val="000000"/>
          </w:rPr>
          <w:t xml:space="preserve">Angel</w:t>
        </w:r>
      </w:hyperlink>
      <w:r>
        <w:rPr>
          <w:b w:val="0"/>
          <w:i w:val="0"/>
        </w:rPr>
        <w:t xml:space="preserve">; </w:t>
      </w:r>
      <w:hyperlink w:anchor="containing-receiving-and-lacking">
        <w:r>
          <w:rPr>
            <w:color w:val="000000"/>
          </w:rPr>
          <w:t xml:space="preserve">Containing, receiving and lacking</w:t>
        </w:r>
      </w:hyperlink>
      <w:r>
        <w:rPr>
          <w:b w:val="0"/>
          <w:i w:val="0"/>
        </w:rPr>
        <w:t xml:space="preserve">; </w:t>
      </w:r>
      <w:hyperlink w:anchor="divinity-and-the-divine">
        <w:r>
          <w:rPr>
            <w:color w:val="000000"/>
          </w:rPr>
          <w:t xml:space="preserve">Divinity and the divine</w:t>
        </w:r>
      </w:hyperlink>
      <w:r>
        <w:rPr>
          <w:b w:val="0"/>
          <w:i w:val="0"/>
        </w:rPr>
        <w:t xml:space="preserve">; </w:t>
      </w:r>
      <w:hyperlink w:anchor="eye-and-imagined-enlargement">
        <w:r>
          <w:rPr>
            <w:color w:val="000000"/>
          </w:rPr>
          <w:t xml:space="preserve">Eye and imagined enlargement</w:t>
        </w:r>
      </w:hyperlink>
      <w:r>
        <w:rPr>
          <w:b w:val="0"/>
          <w:i w:val="0"/>
        </w:rPr>
        <w:t xml:space="preserve">; </w:t>
      </w:r>
      <w:hyperlink w:anchor="god">
        <w:r>
          <w:rPr>
            <w:color w:val="000000"/>
          </w:rPr>
          <w:t xml:space="preserve">God</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truth">
        <w:r>
          <w:rPr>
            <w:color w:val="000000"/>
          </w:rPr>
          <w:t xml:space="preserve">Truth</w:t>
        </w:r>
      </w:hyperlink>
      <w:r>
        <w:rPr>
          <w:b w:val="0"/>
          <w:i w:val="0"/>
        </w:rPr>
        <w:t xml:space="preserve">. Vocabulary: </w:t>
      </w:r>
      <w:hyperlink w:anchor="latin-record-0395">
        <w:r>
          <w:rPr>
            <w:color w:val="000000"/>
          </w:rPr>
          <w:t xml:space="preserve">excresco / invalesco</w:t>
        </w:r>
      </w:hyperlink>
      <w:r>
        <w:rPr>
          <w:b w:val="0"/>
          <w:i w:val="0"/>
        </w:rPr>
        <w:t xml:space="preserve">; </w:t>
      </w:r>
      <w:hyperlink w:anchor="latin-record-0447">
        <w:r>
          <w:rPr>
            <w:color w:val="000000"/>
          </w:rPr>
          <w:t xml:space="preserve">finge animo / finge iterum</w:t>
        </w:r>
      </w:hyperlink>
      <w:r>
        <w:rPr>
          <w:b w:val="0"/>
          <w:i w:val="0"/>
        </w:rPr>
        <w:t xml:space="preserve">; </w:t>
      </w:r>
      <w:hyperlink w:anchor="latin-record-0448">
        <w:r>
          <w:rPr>
            <w:color w:val="000000"/>
          </w:rPr>
          <w:t xml:space="preserve">fingo and removed members</w:t>
        </w:r>
      </w:hyperlink>
      <w:r>
        <w:rPr>
          <w:b w:val="0"/>
          <w:i w:val="0"/>
        </w:rPr>
        <w:t xml:space="preserve">; </w:t>
      </w:r>
      <w:hyperlink w:anchor="latin-record-0586">
        <w:r>
          <w:rPr>
            <w:color w:val="000000"/>
          </w:rPr>
          <w:t xml:space="preserve">instituo</w:t>
        </w:r>
      </w:hyperlink>
      <w:r>
        <w:rPr>
          <w:b w:val="0"/>
          <w:i w:val="0"/>
        </w:rPr>
        <w:t xml:space="preserve">; </w:t>
      </w:r>
      <w:hyperlink w:anchor="latin-record-0967">
        <w:r>
          <w:rPr>
            <w:color w:val="000000"/>
          </w:rPr>
          <w:t xml:space="preserve">prospectus / intuitus</w:t>
        </w:r>
      </w:hyperlink>
      <w:r>
        <w:rPr>
          <w:b w:val="0"/>
          <w:i w:val="0"/>
        </w:rPr>
        <w:t>.</w:t>
      </w:r>
    </w:p>
    <w:p>
      <w:pPr>
        <w:widowControl/>
      </w:pPr>
      <w:bookmarkStart w:id="1684" w:name="passage-i-6-9"/>
      <w:bookmarkEnd w:id="1684"/>
      <w:r>
        <w:rPr>
          <w:b/>
          <w:i w:val="0"/>
        </w:rPr>
        <w:t>I.6.9</w:t>
      </w:r>
      <w:r>
        <w:rPr>
          <w:b/>
          <w:i w:val="0"/>
        </w:rPr>
        <w:t>, source pp. 86–87.</w:t>
      </w:r>
      <w:r>
        <w:rPr>
          <w:b w:val="0"/>
          <w:i w:val="0"/>
        </w:rPr>
        <w:t xml:space="preserve"> Articles: </w:t>
      </w:r>
      <w:hyperlink w:anchor="angel">
        <w:r>
          <w:rPr>
            <w:color w:val="000000"/>
          </w:rPr>
          <w:t xml:space="preserve">Angel</w:t>
        </w:r>
      </w:hyperlink>
      <w:r>
        <w:rPr>
          <w:b w:val="0"/>
          <w:i w:val="0"/>
        </w:rPr>
        <w:t xml:space="preserve">; </w:t>
      </w:r>
      <w:hyperlink w:anchor="containing-receiving-and-lacking">
        <w:r>
          <w:rPr>
            <w:color w:val="000000"/>
          </w:rPr>
          <w:t xml:space="preserve">Containing, receiving and lacking</w:t>
        </w:r>
      </w:hyperlink>
      <w:r>
        <w:rPr>
          <w:b w:val="0"/>
          <w:i w:val="0"/>
        </w:rPr>
        <w:t xml:space="preserve">; </w:t>
      </w:r>
      <w:hyperlink w:anchor="divinity-and-the-divine">
        <w:r>
          <w:rPr>
            <w:color w:val="000000"/>
          </w:rPr>
          <w:t xml:space="preserve">Divinity and the divine</w:t>
        </w:r>
      </w:hyperlink>
      <w:r>
        <w:rPr>
          <w:b w:val="0"/>
          <w:i w:val="0"/>
        </w:rPr>
        <w:t xml:space="preserve">; </w:t>
      </w:r>
      <w:hyperlink w:anchor="eye-and-imagined-enlargement">
        <w:r>
          <w:rPr>
            <w:color w:val="000000"/>
          </w:rPr>
          <w:t xml:space="preserve">Eye and imagined enlargement</w:t>
        </w:r>
      </w:hyperlink>
      <w:r>
        <w:rPr>
          <w:b w:val="0"/>
          <w:i w:val="0"/>
        </w:rPr>
        <w:t xml:space="preserve">; </w:t>
      </w:r>
      <w:hyperlink w:anchor="god">
        <w:r>
          <w:rPr>
            <w:color w:val="000000"/>
          </w:rPr>
          <w:t xml:space="preserve">God</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sense-and-imagination">
        <w:r>
          <w:rPr>
            <w:color w:val="000000"/>
          </w:rPr>
          <w:t xml:space="preserve">Sense and imagination</w:t>
        </w:r>
      </w:hyperlink>
      <w:r>
        <w:rPr>
          <w:b w:val="0"/>
          <w:i w:val="0"/>
        </w:rPr>
        <w:t xml:space="preserve">; </w:t>
      </w:r>
      <w:hyperlink w:anchor="truth">
        <w:r>
          <w:rPr>
            <w:color w:val="000000"/>
          </w:rPr>
          <w:t xml:space="preserve">Truth</w:t>
        </w:r>
      </w:hyperlink>
      <w:r>
        <w:rPr>
          <w:b w:val="0"/>
          <w:i w:val="0"/>
        </w:rPr>
        <w:t xml:space="preserve">. Vocabulary: </w:t>
      </w:r>
      <w:hyperlink w:anchor="latin-record-0112">
        <w:r>
          <w:rPr>
            <w:color w:val="000000"/>
          </w:rPr>
          <w:t xml:space="preserve">aucupor</w:t>
        </w:r>
      </w:hyperlink>
      <w:r>
        <w:rPr>
          <w:b w:val="0"/>
          <w:i w:val="0"/>
        </w:rPr>
        <w:t xml:space="preserve">; </w:t>
      </w:r>
      <w:hyperlink w:anchor="latin-record-0395">
        <w:r>
          <w:rPr>
            <w:color w:val="000000"/>
          </w:rPr>
          <w:t xml:space="preserve">excresco / invalesco</w:t>
        </w:r>
      </w:hyperlink>
      <w:r>
        <w:rPr>
          <w:b w:val="0"/>
          <w:i w:val="0"/>
        </w:rPr>
        <w:t xml:space="preserve">; </w:t>
      </w:r>
      <w:hyperlink w:anchor="latin-record-0447">
        <w:r>
          <w:rPr>
            <w:color w:val="000000"/>
          </w:rPr>
          <w:t xml:space="preserve">finge animo / finge iterum</w:t>
        </w:r>
      </w:hyperlink>
      <w:r>
        <w:rPr>
          <w:b w:val="0"/>
          <w:i w:val="0"/>
        </w:rPr>
        <w:t xml:space="preserve">; </w:t>
      </w:r>
      <w:hyperlink w:anchor="latin-record-0448">
        <w:r>
          <w:rPr>
            <w:color w:val="000000"/>
          </w:rPr>
          <w:t xml:space="preserve">fingo and removed members</w:t>
        </w:r>
      </w:hyperlink>
      <w:r>
        <w:rPr>
          <w:b w:val="0"/>
          <w:i w:val="0"/>
        </w:rPr>
        <w:t xml:space="preserve">; </w:t>
      </w:r>
      <w:hyperlink w:anchor="latin-record-0870">
        <w:r>
          <w:rPr>
            <w:color w:val="000000"/>
          </w:rPr>
          <w:t xml:space="preserve">phantasia / sensus / generatio</w:t>
        </w:r>
      </w:hyperlink>
      <w:r>
        <w:rPr>
          <w:b w:val="0"/>
          <w:i w:val="0"/>
        </w:rPr>
        <w:t xml:space="preserve">; </w:t>
      </w:r>
      <w:hyperlink w:anchor="latin-record-0967">
        <w:r>
          <w:rPr>
            <w:color w:val="000000"/>
          </w:rPr>
          <w:t xml:space="preserve">prospectus / intuitus</w:t>
        </w:r>
      </w:hyperlink>
      <w:r>
        <w:rPr>
          <w:b w:val="0"/>
          <w:i w:val="0"/>
        </w:rPr>
        <w:t xml:space="preserve">; </w:t>
      </w:r>
      <w:hyperlink w:anchor="latin-record-1290">
        <w:r>
          <w:rPr>
            <w:color w:val="000000"/>
          </w:rPr>
          <w:t xml:space="preserve">Zoroaster / rectores</w:t>
        </w:r>
      </w:hyperlink>
      <w:r>
        <w:rPr>
          <w:b w:val="0"/>
          <w:i w:val="0"/>
        </w:rPr>
        <w:t xml:space="preserve">; </w:t>
      </w:r>
      <w:hyperlink w:anchor="greek-record-02">
        <w:r>
          <w:rPr>
            <w:color w:val="000000"/>
          </w:rPr>
          <w:t xml:space="preserve">The intelligible beyond mind</w:t>
        </w:r>
      </w:hyperlink>
      <w:r>
        <w:rPr>
          <w:b w:val="0"/>
          <w:i w:val="0"/>
        </w:rPr>
        <w:t>.</w:t>
      </w:r>
    </w:p>
    <w:p>
      <w:pPr>
        <w:widowControl/>
      </w:pPr>
      <w:bookmarkStart w:id="1685" w:name="passage-i-6-10"/>
      <w:bookmarkEnd w:id="1685"/>
      <w:r>
        <w:rPr>
          <w:b/>
          <w:i w:val="0"/>
        </w:rPr>
        <w:t>I.6.10</w:t>
      </w:r>
      <w:r>
        <w:rPr>
          <w:b/>
          <w:i w:val="0"/>
        </w:rPr>
        <w:t>, source pp. 88–89.</w:t>
      </w:r>
      <w:r>
        <w:rPr>
          <w:b w:val="0"/>
          <w:i w:val="0"/>
        </w:rPr>
        <w:t xml:space="preserve"> Articles: </w:t>
      </w:r>
      <w:hyperlink w:anchor="angel">
        <w:r>
          <w:rPr>
            <w:color w:val="000000"/>
          </w:rPr>
          <w:t xml:space="preserve">Angel</w:t>
        </w:r>
      </w:hyperlink>
      <w:r>
        <w:rPr>
          <w:b w:val="0"/>
          <w:i w:val="0"/>
        </w:rPr>
        <w:t xml:space="preserve">; </w:t>
      </w:r>
      <w:hyperlink w:anchor="containing-receiving-and-lacking">
        <w:r>
          <w:rPr>
            <w:color w:val="000000"/>
          </w:rPr>
          <w:t xml:space="preserve">Containing, receiving and lacking</w:t>
        </w:r>
      </w:hyperlink>
      <w:r>
        <w:rPr>
          <w:b w:val="0"/>
          <w:i w:val="0"/>
        </w:rPr>
        <w:t xml:space="preserve">; </w:t>
      </w:r>
      <w:hyperlink w:anchor="divinity-and-the-divine">
        <w:r>
          <w:rPr>
            <w:color w:val="000000"/>
          </w:rPr>
          <w:t xml:space="preserve">Divinity and the divine</w:t>
        </w:r>
      </w:hyperlink>
      <w:r>
        <w:rPr>
          <w:b w:val="0"/>
          <w:i w:val="0"/>
        </w:rPr>
        <w:t xml:space="preserve">; </w:t>
      </w:r>
      <w:hyperlink w:anchor="eye-and-imagined-enlargement">
        <w:r>
          <w:rPr>
            <w:color w:val="000000"/>
          </w:rPr>
          <w:t xml:space="preserve">Eye and imagined enlargement</w:t>
        </w:r>
      </w:hyperlink>
      <w:r>
        <w:rPr>
          <w:b w:val="0"/>
          <w:i w:val="0"/>
        </w:rPr>
        <w:t xml:space="preserve">; </w:t>
      </w:r>
      <w:hyperlink w:anchor="god">
        <w:r>
          <w:rPr>
            <w:color w:val="000000"/>
          </w:rPr>
          <w:t xml:space="preserve">God</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eed-and-sufficiency">
        <w:r>
          <w:rPr>
            <w:color w:val="000000"/>
          </w:rPr>
          <w:t xml:space="preserve">Need and sufficiency</w:t>
        </w:r>
      </w:hyperlink>
      <w:r>
        <w:rPr>
          <w:b w:val="0"/>
          <w:i w:val="0"/>
        </w:rPr>
        <w:t xml:space="preserve">; </w:t>
      </w:r>
      <w:hyperlink w:anchor="participation">
        <w:r>
          <w:rPr>
            <w:color w:val="000000"/>
          </w:rPr>
          <w:t xml:space="preserve">Participation</w:t>
        </w:r>
      </w:hyperlink>
      <w:r>
        <w:rPr>
          <w:b w:val="0"/>
          <w:i w:val="0"/>
        </w:rPr>
        <w:t xml:space="preserve">; </w:t>
      </w:r>
      <w:hyperlink w:anchor="truth">
        <w:r>
          <w:rPr>
            <w:color w:val="000000"/>
          </w:rPr>
          <w:t xml:space="preserve">Truth</w:t>
        </w:r>
      </w:hyperlink>
      <w:r>
        <w:rPr>
          <w:b w:val="0"/>
          <w:i w:val="0"/>
        </w:rPr>
        <w:t xml:space="preserve">. Vocabulary: </w:t>
      </w:r>
      <w:hyperlink w:anchor="latin-record-0586">
        <w:r>
          <w:rPr>
            <w:color w:val="000000"/>
          </w:rPr>
          <w:t xml:space="preserve">instituo</w:t>
        </w:r>
      </w:hyperlink>
      <w:r>
        <w:rPr>
          <w:b w:val="0"/>
          <w:i w:val="0"/>
        </w:rPr>
        <w:t xml:space="preserve">; </w:t>
      </w:r>
      <w:hyperlink w:anchor="latin-record-0854">
        <w:r>
          <w:rPr>
            <w:color w:val="000000"/>
          </w:rPr>
          <w:t xml:space="preserve">percipio / perceptio</w:t>
        </w:r>
      </w:hyperlink>
      <w:r>
        <w:rPr>
          <w:b w:val="0"/>
          <w:i w:val="0"/>
        </w:rPr>
        <w:t xml:space="preserve">; </w:t>
      </w:r>
      <w:hyperlink w:anchor="latin-record-1245">
        <w:r>
          <w:rPr>
            <w:color w:val="000000"/>
          </w:rPr>
          <w:t xml:space="preserve">veridicus</w:t>
        </w:r>
      </w:hyperlink>
      <w:r>
        <w:rPr>
          <w:b w:val="0"/>
          <w:i w:val="0"/>
        </w:rPr>
        <w:t>.</w:t>
      </w:r>
    </w:p>
    <w:p>
      <w:pPr>
        <w:widowControl/>
      </w:pPr>
      <w:bookmarkStart w:id="1686" w:name="passage-i-6-11"/>
      <w:bookmarkEnd w:id="1686"/>
      <w:r>
        <w:rPr>
          <w:b/>
          <w:i w:val="0"/>
        </w:rPr>
        <w:t>I.6.11</w:t>
      </w:r>
      <w:r>
        <w:rPr>
          <w:b/>
          <w:i w:val="0"/>
        </w:rPr>
        <w:t>, source pp. 88–89.</w:t>
      </w:r>
      <w:r>
        <w:rPr>
          <w:b w:val="0"/>
          <w:i w:val="0"/>
        </w:rPr>
        <w:t xml:space="preserve"> Articles: </w:t>
      </w:r>
      <w:hyperlink w:anchor="containing-receiving-and-lacking">
        <w:r>
          <w:rPr>
            <w:color w:val="000000"/>
          </w:rPr>
          <w:t xml:space="preserve">Containing, receiving and lacking</w:t>
        </w:r>
      </w:hyperlink>
      <w:r>
        <w:rPr>
          <w:b w:val="0"/>
          <w:i w:val="0"/>
        </w:rPr>
        <w:t xml:space="preserve">; </w:t>
      </w:r>
      <w:hyperlink w:anchor="divinity-and-the-divine">
        <w:r>
          <w:rPr>
            <w:color w:val="000000"/>
          </w:rPr>
          <w:t xml:space="preserve">Divinity and the divine</w:t>
        </w:r>
      </w:hyperlink>
      <w:r>
        <w:rPr>
          <w:b w:val="0"/>
          <w:i w:val="0"/>
        </w:rPr>
        <w:t xml:space="preserve">; </w:t>
      </w:r>
      <w:hyperlink w:anchor="eye-and-imagined-enlargement">
        <w:r>
          <w:rPr>
            <w:color w:val="000000"/>
          </w:rPr>
          <w:t xml:space="preserve">Eye and imagined enlargement</w:t>
        </w:r>
      </w:hyperlink>
      <w:r>
        <w:rPr>
          <w:b w:val="0"/>
          <w:i w:val="0"/>
        </w:rPr>
        <w:t xml:space="preserve">; </w:t>
      </w:r>
      <w:hyperlink w:anchor="god">
        <w:r>
          <w:rPr>
            <w:color w:val="000000"/>
          </w:rPr>
          <w:t xml:space="preserve">God</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matter">
        <w:r>
          <w:rPr>
            <w:color w:val="000000"/>
          </w:rPr>
          <w:t xml:space="preserve">Matter</w:t>
        </w:r>
      </w:hyperlink>
      <w:r>
        <w:rPr>
          <w:b w:val="0"/>
          <w:i w:val="0"/>
        </w:rPr>
        <w:t xml:space="preserve">; </w:t>
      </w:r>
      <w:hyperlink w:anchor="mind">
        <w:r>
          <w:rPr>
            <w:color w:val="000000"/>
          </w:rPr>
          <w:t xml:space="preserve">Mind</w:t>
        </w:r>
      </w:hyperlink>
      <w:r>
        <w:rPr>
          <w:b w:val="0"/>
          <w:i w:val="0"/>
        </w:rPr>
        <w:t xml:space="preserve">; </w:t>
      </w:r>
      <w:hyperlink w:anchor="need-and-sufficiency">
        <w:r>
          <w:rPr>
            <w:color w:val="000000"/>
          </w:rPr>
          <w:t xml:space="preserve">Need and sufficiency</w:t>
        </w:r>
      </w:hyperlink>
      <w:r>
        <w:rPr>
          <w:b w:val="0"/>
          <w:i w:val="0"/>
        </w:rPr>
        <w:t xml:space="preserve">; </w:t>
      </w:r>
      <w:hyperlink w:anchor="truth">
        <w:r>
          <w:rPr>
            <w:color w:val="000000"/>
          </w:rPr>
          <w:t xml:space="preserve">Truth</w:t>
        </w:r>
      </w:hyperlink>
      <w:r>
        <w:rPr>
          <w:b w:val="0"/>
          <w:i w:val="0"/>
        </w:rPr>
        <w:t xml:space="preserve">. Vocabulary: </w:t>
      </w:r>
      <w:hyperlink w:anchor="latin-record-0538">
        <w:r>
          <w:rPr>
            <w:color w:val="000000"/>
          </w:rPr>
          <w:t xml:space="preserve">imperium</w:t>
        </w:r>
      </w:hyperlink>
      <w:r>
        <w:rPr>
          <w:b w:val="0"/>
          <w:i w:val="0"/>
        </w:rPr>
        <w:t>.</w:t>
      </w:r>
    </w:p>
    <w:p>
      <w:pPr>
        <w:widowControl/>
      </w:pPr>
      <w:bookmarkStart w:id="1687" w:name="passage-i-6-12"/>
      <w:bookmarkEnd w:id="1687"/>
      <w:r>
        <w:rPr>
          <w:b/>
          <w:i w:val="0"/>
        </w:rPr>
        <w:t>I.6.12</w:t>
      </w:r>
      <w:r>
        <w:rPr>
          <w:b/>
          <w:i w:val="0"/>
        </w:rPr>
        <w:t>, source pp. 88–89.</w:t>
      </w:r>
      <w:r>
        <w:rPr>
          <w:b w:val="0"/>
          <w:i w:val="0"/>
        </w:rPr>
        <w:t xml:space="preserve"> Articles: </w:t>
      </w:r>
      <w:hyperlink w:anchor="containing-receiving-and-lacking">
        <w:r>
          <w:rPr>
            <w:color w:val="000000"/>
          </w:rPr>
          <w:t xml:space="preserve">Containing, receiving and lacking</w:t>
        </w:r>
      </w:hyperlink>
      <w:r>
        <w:rPr>
          <w:b w:val="0"/>
          <w:i w:val="0"/>
        </w:rPr>
        <w:t xml:space="preserve">; </w:t>
      </w:r>
      <w:hyperlink w:anchor="divinity-and-the-divine">
        <w:r>
          <w:rPr>
            <w:color w:val="000000"/>
          </w:rPr>
          <w:t xml:space="preserve">Divinity and the divine</w:t>
        </w:r>
      </w:hyperlink>
      <w:r>
        <w:rPr>
          <w:b w:val="0"/>
          <w:i w:val="0"/>
        </w:rPr>
        <w:t xml:space="preserve">; </w:t>
      </w:r>
      <w:hyperlink w:anchor="eye-and-imagined-enlargement">
        <w:r>
          <w:rPr>
            <w:color w:val="000000"/>
          </w:rPr>
          <w:t xml:space="preserve">Eye and imagined enlargement</w:t>
        </w:r>
      </w:hyperlink>
      <w:r>
        <w:rPr>
          <w:b w:val="0"/>
          <w:i w:val="0"/>
        </w:rPr>
        <w:t xml:space="preserve">; </w:t>
      </w:r>
      <w:hyperlink w:anchor="god">
        <w:r>
          <w:rPr>
            <w:color w:val="000000"/>
          </w:rPr>
          <w:t xml:space="preserve">God</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eed-and-sufficiency">
        <w:r>
          <w:rPr>
            <w:color w:val="000000"/>
          </w:rPr>
          <w:t xml:space="preserve">Need and sufficiency</w:t>
        </w:r>
      </w:hyperlink>
      <w:r>
        <w:rPr>
          <w:b w:val="0"/>
          <w:i w:val="0"/>
        </w:rPr>
        <w:t xml:space="preserve">; </w:t>
      </w:r>
      <w:hyperlink w:anchor="object-and-adequate-object">
        <w:r>
          <w:rPr>
            <w:color w:val="000000"/>
          </w:rPr>
          <w:t xml:space="preserve">Object and adequate object</w:t>
        </w:r>
      </w:hyperlink>
      <w:r>
        <w:rPr>
          <w:b w:val="0"/>
          <w:i w:val="0"/>
        </w:rPr>
        <w:t xml:space="preserve">; </w:t>
      </w:r>
      <w:hyperlink w:anchor="participation">
        <w:r>
          <w:rPr>
            <w:color w:val="000000"/>
          </w:rPr>
          <w:t xml:space="preserve">Participation</w:t>
        </w:r>
      </w:hyperlink>
      <w:r>
        <w:rPr>
          <w:b w:val="0"/>
          <w:i w:val="0"/>
        </w:rPr>
        <w:t xml:space="preserve">; </w:t>
      </w:r>
      <w:hyperlink w:anchor="truth">
        <w:r>
          <w:rPr>
            <w:color w:val="000000"/>
          </w:rPr>
          <w:t xml:space="preserve">Truth</w:t>
        </w:r>
      </w:hyperlink>
      <w:r>
        <w:rPr>
          <w:b w:val="0"/>
          <w:i w:val="0"/>
        </w:rPr>
        <w:t xml:space="preserve">. Vocabulary: </w:t>
      </w:r>
      <w:hyperlink w:anchor="latin-record-0594">
        <w:r>
          <w:rPr>
            <w:color w:val="000000"/>
          </w:rPr>
          <w:t xml:space="preserve">intellectus / intellectio / intelligibile</w:t>
        </w:r>
      </w:hyperlink>
      <w:r>
        <w:rPr>
          <w:b w:val="0"/>
          <w:i w:val="0"/>
        </w:rPr>
        <w:t xml:space="preserve">; </w:t>
      </w:r>
      <w:hyperlink w:anchor="latin-record-0629">
        <w:r>
          <w:rPr>
            <w:color w:val="000000"/>
          </w:rPr>
          <w:t xml:space="preserve">lateo</w:t>
        </w:r>
      </w:hyperlink>
      <w:r>
        <w:rPr>
          <w:b w:val="0"/>
          <w:i w:val="0"/>
        </w:rPr>
        <w:t xml:space="preserve">; </w:t>
      </w:r>
      <w:hyperlink w:anchor="latin-record-0657">
        <w:r>
          <w:rPr>
            <w:color w:val="000000"/>
          </w:rPr>
          <w:t xml:space="preserve">lux se ipsa videns</w:t>
        </w:r>
      </w:hyperlink>
      <w:r>
        <w:rPr>
          <w:b w:val="0"/>
          <w:i w:val="0"/>
        </w:rPr>
        <w:t xml:space="preserve">; </w:t>
      </w:r>
      <w:hyperlink w:anchor="latin-record-0827">
        <w:r>
          <w:rPr>
            <w:color w:val="000000"/>
          </w:rPr>
          <w:t xml:space="preserve">participatio / forma / eminentia</w:t>
        </w:r>
      </w:hyperlink>
      <w:r>
        <w:rPr>
          <w:b w:val="0"/>
          <w:i w:val="0"/>
        </w:rPr>
        <w:t xml:space="preserve">; </w:t>
      </w:r>
      <w:hyperlink w:anchor="latin-record-0864">
        <w:r>
          <w:rPr>
            <w:color w:val="000000"/>
          </w:rPr>
          <w:t xml:space="preserve">perspicacia / perspectio</w:t>
        </w:r>
      </w:hyperlink>
      <w:r>
        <w:rPr>
          <w:b w:val="0"/>
          <w:i w:val="0"/>
        </w:rPr>
        <w:t xml:space="preserve">; </w:t>
      </w:r>
      <w:hyperlink w:anchor="latin-record-0884">
        <w:r>
          <w:rPr>
            <w:color w:val="000000"/>
          </w:rPr>
          <w:t xml:space="preserve">Plotinus</w:t>
        </w:r>
      </w:hyperlink>
      <w:r>
        <w:rPr>
          <w:b w:val="0"/>
          <w:i w:val="0"/>
        </w:rPr>
        <w:t>.</w:t>
      </w:r>
    </w:p>
    <w:p>
      <w:pPr>
        <w:widowControl/>
      </w:pPr>
      <w:bookmarkStart w:id="1688" w:name="passage-i-6-13"/>
      <w:bookmarkEnd w:id="1688"/>
      <w:r>
        <w:rPr>
          <w:b/>
          <w:i w:val="0"/>
        </w:rPr>
        <w:t>I.6.13</w:t>
      </w:r>
      <w:r>
        <w:rPr>
          <w:b/>
          <w:i w:val="0"/>
        </w:rPr>
        <w:t>, source pp. 90–91.</w:t>
      </w:r>
      <w:r>
        <w:rPr>
          <w:b w:val="0"/>
          <w:i w:val="0"/>
        </w:rPr>
        <w:t xml:space="preserve"> Articles: </w:t>
      </w:r>
      <w:hyperlink w:anchor="divinity-and-the-divine">
        <w:r>
          <w:rPr>
            <w:color w:val="000000"/>
          </w:rPr>
          <w:t xml:space="preserve">Divinity and the divine</w:t>
        </w:r>
      </w:hyperlink>
      <w:r>
        <w:rPr>
          <w:b w:val="0"/>
          <w:i w:val="0"/>
        </w:rPr>
        <w:t xml:space="preserve">; </w:t>
      </w:r>
      <w:hyperlink w:anchor="eye-and-imagined-enlargement">
        <w:r>
          <w:rPr>
            <w:color w:val="000000"/>
          </w:rPr>
          <w:t xml:space="preserve">Eye and imagined enlargement</w:t>
        </w:r>
      </w:hyperlink>
      <w:r>
        <w:rPr>
          <w:b w:val="0"/>
          <w:i w:val="0"/>
        </w:rPr>
        <w:t xml:space="preserve">; </w:t>
      </w:r>
      <w:hyperlink w:anchor="god">
        <w:r>
          <w:rPr>
            <w:color w:val="000000"/>
          </w:rPr>
          <w:t xml:space="preserve">God</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aming-and-defining">
        <w:r>
          <w:rPr>
            <w:color w:val="000000"/>
          </w:rPr>
          <w:t xml:space="preserve">Naming and defining</w:t>
        </w:r>
      </w:hyperlink>
      <w:r>
        <w:rPr>
          <w:b w:val="0"/>
          <w:i w:val="0"/>
        </w:rPr>
        <w:t xml:space="preserve">; </w:t>
      </w:r>
      <w:hyperlink w:anchor="need-and-sufficiency">
        <w:r>
          <w:rPr>
            <w:color w:val="000000"/>
          </w:rPr>
          <w:t xml:space="preserve">Need and sufficiency</w:t>
        </w:r>
      </w:hyperlink>
      <w:r>
        <w:rPr>
          <w:b w:val="0"/>
          <w:i w:val="0"/>
        </w:rPr>
        <w:t xml:space="preserve">; </w:t>
      </w:r>
      <w:hyperlink w:anchor="object-and-adequate-object">
        <w:r>
          <w:rPr>
            <w:color w:val="000000"/>
          </w:rPr>
          <w:t xml:space="preserve">Object and adequate object</w:t>
        </w:r>
      </w:hyperlink>
      <w:r>
        <w:rPr>
          <w:b w:val="0"/>
          <w:i w:val="0"/>
        </w:rPr>
        <w:t xml:space="preserve">; </w:t>
      </w:r>
      <w:hyperlink w:anchor="truth">
        <w:r>
          <w:rPr>
            <w:color w:val="000000"/>
          </w:rPr>
          <w:t xml:space="preserve">Truth</w:t>
        </w:r>
      </w:hyperlink>
      <w:r>
        <w:rPr>
          <w:b w:val="0"/>
          <w:i w:val="0"/>
        </w:rPr>
        <w:t xml:space="preserve">. Vocabulary: </w:t>
      </w:r>
      <w:hyperlink w:anchor="latin-record-0507">
        <w:r>
          <w:rPr>
            <w:color w:val="000000"/>
          </w:rPr>
          <w:t xml:space="preserve">haud propria omnino ratione</w:t>
        </w:r>
      </w:hyperlink>
      <w:r>
        <w:rPr>
          <w:b w:val="0"/>
          <w:i w:val="0"/>
        </w:rPr>
        <w:t xml:space="preserve">; </w:t>
      </w:r>
      <w:hyperlink w:anchor="latin-record-0594">
        <w:r>
          <w:rPr>
            <w:color w:val="000000"/>
          </w:rPr>
          <w:t xml:space="preserve">intellectus / intellectio / intelligibile</w:t>
        </w:r>
      </w:hyperlink>
      <w:r>
        <w:rPr>
          <w:b w:val="0"/>
          <w:i w:val="0"/>
        </w:rPr>
        <w:t>.</w:t>
      </w:r>
    </w:p>
    <w:p>
      <w:pPr>
        <w:widowControl/>
      </w:pPr>
      <w:bookmarkStart w:id="1689" w:name="passage-i-6-14"/>
      <w:bookmarkEnd w:id="1689"/>
      <w:r>
        <w:rPr>
          <w:b/>
          <w:i w:val="0"/>
        </w:rPr>
        <w:t>I.6.14</w:t>
      </w:r>
      <w:r>
        <w:rPr>
          <w:b/>
          <w:i w:val="0"/>
        </w:rPr>
        <w:t>, source pp. 90–91.</w:t>
      </w:r>
      <w:r>
        <w:rPr>
          <w:b w:val="0"/>
          <w:i w:val="0"/>
        </w:rPr>
        <w:t xml:space="preserve"> Articles: </w:t>
      </w:r>
      <w:hyperlink w:anchor="appetite-and-desire">
        <w:r>
          <w:rPr>
            <w:color w:val="000000"/>
          </w:rPr>
          <w:t xml:space="preserve">Appetite and desire</w:t>
        </w:r>
      </w:hyperlink>
      <w:r>
        <w:rPr>
          <w:b w:val="0"/>
          <w:i w:val="0"/>
        </w:rPr>
        <w:t xml:space="preserve">; </w:t>
      </w:r>
      <w:hyperlink w:anchor="fountain-womb-and-offspring">
        <w:r>
          <w:rPr>
            <w:color w:val="000000"/>
          </w:rPr>
          <w:t xml:space="preserve">Fountain, womb and offspring</w:t>
        </w:r>
      </w:hyperlink>
      <w:r>
        <w:rPr>
          <w:b w:val="0"/>
          <w:i w:val="0"/>
        </w:rPr>
        <w:t xml:space="preserve">; </w:t>
      </w:r>
      <w:hyperlink w:anchor="god">
        <w:r>
          <w:rPr>
            <w:color w:val="000000"/>
          </w:rPr>
          <w:t xml:space="preserve">God</w:t>
        </w:r>
      </w:hyperlink>
      <w:r>
        <w:rPr>
          <w:b w:val="0"/>
          <w:i w:val="0"/>
        </w:rPr>
        <w:t xml:space="preserve">; </w:t>
      </w:r>
      <w:hyperlink w:anchor="good-and-goodness">
        <w:r>
          <w:rPr>
            <w:color w:val="000000"/>
          </w:rPr>
          <w:t xml:space="preserve">Good and goodness</w:t>
        </w:r>
      </w:hyperlink>
      <w:r>
        <w:rPr>
          <w:b w:val="0"/>
          <w:i w:val="0"/>
        </w:rPr>
        <w:t xml:space="preserve">; </w:t>
      </w:r>
      <w:hyperlink w:anchor="life">
        <w:r>
          <w:rPr>
            <w:color w:val="000000"/>
          </w:rPr>
          <w:t xml:space="preserve">Life</w:t>
        </w:r>
      </w:hyperlink>
      <w:r>
        <w:rPr>
          <w:b w:val="0"/>
          <w:i w:val="0"/>
        </w:rPr>
        <w:t xml:space="preserve">; </w:t>
      </w:r>
      <w:hyperlink w:anchor="matter">
        <w:r>
          <w:rPr>
            <w:color w:val="000000"/>
          </w:rPr>
          <w:t xml:space="preserve">Matter</w:t>
        </w:r>
      </w:hyperlink>
      <w:r>
        <w:rPr>
          <w:b w:val="0"/>
          <w:i w:val="0"/>
        </w:rPr>
        <w:t xml:space="preserve">; </w:t>
      </w:r>
      <w:hyperlink w:anchor="need-and-sufficiency">
        <w:r>
          <w:rPr>
            <w:color w:val="000000"/>
          </w:rPr>
          <w:t xml:space="preserve">Need and sufficiency</w:t>
        </w:r>
      </w:hyperlink>
      <w:r>
        <w:rPr>
          <w:b w:val="0"/>
          <w:i w:val="0"/>
        </w:rPr>
        <w:t xml:space="preserve">; </w:t>
      </w:r>
      <w:hyperlink w:anchor="order-and-harmony">
        <w:r>
          <w:rPr>
            <w:color w:val="000000"/>
          </w:rPr>
          <w:t xml:space="preserve">Order and harmony</w:t>
        </w:r>
      </w:hyperlink>
      <w:r>
        <w:rPr>
          <w:b w:val="0"/>
          <w:i w:val="0"/>
        </w:rPr>
        <w:t xml:space="preserve">; </w:t>
      </w:r>
      <w:hyperlink w:anchor="seeds">
        <w:r>
          <w:rPr>
            <w:color w:val="000000"/>
          </w:rPr>
          <w:t xml:space="preserve">Seeds</w:t>
        </w:r>
      </w:hyperlink>
      <w:r>
        <w:rPr>
          <w:b w:val="0"/>
          <w:i w:val="0"/>
        </w:rPr>
        <w:t xml:space="preserve">; </w:t>
      </w:r>
      <w:hyperlink w:anchor="soul">
        <w:r>
          <w:rPr>
            <w:color w:val="000000"/>
          </w:rPr>
          <w:t xml:space="preserve">Soul</w:t>
        </w:r>
      </w:hyperlink>
      <w:r>
        <w:rPr>
          <w:b w:val="0"/>
          <w:i w:val="0"/>
        </w:rPr>
        <w:t xml:space="preserve">; </w:t>
      </w:r>
      <w:hyperlink w:anchor="species">
        <w:r>
          <w:rPr>
            <w:color w:val="000000"/>
          </w:rPr>
          <w:t xml:space="preserve">Species</w:t>
        </w:r>
      </w:hyperlink>
      <w:r>
        <w:rPr>
          <w:b w:val="0"/>
          <w:i w:val="0"/>
        </w:rPr>
        <w:t xml:space="preserve">. Vocabulary: </w:t>
      </w:r>
      <w:hyperlink w:anchor="latin-record-0205">
        <w:r>
          <w:rPr>
            <w:color w:val="000000"/>
          </w:rPr>
          <w:t xml:space="preserve">competere / convenire</w:t>
        </w:r>
      </w:hyperlink>
      <w:r>
        <w:rPr>
          <w:b w:val="0"/>
          <w:i w:val="0"/>
        </w:rPr>
        <w:t xml:space="preserve">; </w:t>
      </w:r>
      <w:hyperlink w:anchor="latin-record-0628">
        <w:r>
          <w:rPr>
            <w:color w:val="000000"/>
          </w:rPr>
          <w:t xml:space="preserve">largitio</w:t>
        </w:r>
      </w:hyperlink>
      <w:r>
        <w:rPr>
          <w:b w:val="0"/>
          <w:i w:val="0"/>
        </w:rPr>
        <w:t xml:space="preserve">; </w:t>
      </w:r>
      <w:hyperlink w:anchor="latin-record-0630">
        <w:r>
          <w:rPr>
            <w:color w:val="000000"/>
          </w:rPr>
          <w:t xml:space="preserve">latere / exponere</w:t>
        </w:r>
      </w:hyperlink>
      <w:r>
        <w:rPr>
          <w:b w:val="0"/>
          <w:i w:val="0"/>
        </w:rPr>
        <w:t xml:space="preserve">; </w:t>
      </w:r>
      <w:hyperlink w:anchor="latin-record-0666">
        <w:r>
          <w:rPr>
            <w:color w:val="000000"/>
          </w:rPr>
          <w:t xml:space="preserve">maior range of causal giving</w:t>
        </w:r>
      </w:hyperlink>
      <w:r>
        <w:rPr>
          <w:b w:val="0"/>
          <w:i w:val="0"/>
        </w:rPr>
        <w:t xml:space="preserve">; </w:t>
      </w:r>
      <w:hyperlink w:anchor="latin-record-0734">
        <w:r>
          <w:rPr>
            <w:color w:val="000000"/>
          </w:rPr>
          <w:t xml:space="preserve">munus / ordinatio</w:t>
        </w:r>
      </w:hyperlink>
      <w:r>
        <w:rPr>
          <w:b w:val="0"/>
          <w:i w:val="0"/>
        </w:rPr>
        <w:t xml:space="preserve">; </w:t>
      </w:r>
      <w:hyperlink w:anchor="latin-record-0902">
        <w:r>
          <w:rPr>
            <w:color w:val="000000"/>
          </w:rPr>
          <w:t xml:space="preserve">praebeo / do</w:t>
        </w:r>
      </w:hyperlink>
      <w:r>
        <w:rPr>
          <w:b w:val="0"/>
          <w:i w:val="0"/>
        </w:rPr>
        <w:t xml:space="preserve">; </w:t>
      </w:r>
      <w:hyperlink w:anchor="latin-record-0980">
        <w:r>
          <w:rPr>
            <w:color w:val="000000"/>
          </w:rPr>
          <w:t xml:space="preserve">pullulo / incohatio</w:t>
        </w:r>
      </w:hyperlink>
      <w:r>
        <w:rPr>
          <w:b w:val="0"/>
          <w:i w:val="0"/>
        </w:rPr>
        <w:t>.</w:t>
      </w:r>
    </w:p>
    <w:p>
      <w:pPr>
        <w:widowControl/>
      </w:pPr>
      <w:bookmarkStart w:id="1690" w:name="passage-i-6-15"/>
      <w:bookmarkEnd w:id="1690"/>
      <w:r>
        <w:rPr>
          <w:b/>
          <w:i w:val="0"/>
        </w:rPr>
        <w:t>I.6.15</w:t>
      </w:r>
      <w:r>
        <w:rPr>
          <w:b/>
          <w:i w:val="0"/>
        </w:rPr>
        <w:t>, source pp. 90–91.</w:t>
      </w:r>
      <w:r>
        <w:rPr>
          <w:b w:val="0"/>
          <w:i w:val="0"/>
        </w:rPr>
        <w:t xml:space="preserve"> Articles: </w:t>
      </w:r>
      <w:hyperlink w:anchor="god">
        <w:r>
          <w:rPr>
            <w:color w:val="000000"/>
          </w:rPr>
          <w:t xml:space="preserve">God</w:t>
        </w:r>
      </w:hyperlink>
      <w:r>
        <w:rPr>
          <w:b w:val="0"/>
          <w:i w:val="0"/>
        </w:rPr>
        <w:t xml:space="preserve">; </w:t>
      </w:r>
      <w:hyperlink w:anchor="good-and-goodness">
        <w:r>
          <w:rPr>
            <w:color w:val="000000"/>
          </w:rPr>
          <w:t xml:space="preserve">Good and goodness</w:t>
        </w:r>
      </w:hyperlink>
      <w:r>
        <w:rPr>
          <w:b w:val="0"/>
          <w:i w:val="0"/>
        </w:rPr>
        <w:t xml:space="preserve">; </w:t>
      </w:r>
      <w:hyperlink w:anchor="need-and-sufficiency">
        <w:r>
          <w:rPr>
            <w:color w:val="000000"/>
          </w:rPr>
          <w:t xml:space="preserve">Need and sufficiency</w:t>
        </w:r>
      </w:hyperlink>
      <w:r>
        <w:rPr>
          <w:b w:val="0"/>
          <w:i w:val="0"/>
        </w:rPr>
        <w:t xml:space="preserve">. Vocabulary: </w:t>
      </w:r>
      <w:hyperlink w:anchor="latin-record-0648">
        <w:r>
          <w:rPr>
            <w:color w:val="000000"/>
          </w:rPr>
          <w:t xml:space="preserve">longius operatur</w:t>
        </w:r>
      </w:hyperlink>
      <w:r>
        <w:rPr>
          <w:b w:val="0"/>
          <w:i w:val="0"/>
        </w:rPr>
        <w:t>.</w:t>
      </w:r>
    </w:p>
    <w:p>
      <w:pPr>
        <w:widowControl/>
      </w:pPr>
      <w:bookmarkStart w:id="1691" w:name="passage-i-6-16"/>
      <w:bookmarkEnd w:id="1691"/>
      <w:r>
        <w:rPr>
          <w:b/>
          <w:i w:val="0"/>
        </w:rPr>
        <w:t>I.6.16</w:t>
      </w:r>
      <w:r>
        <w:rPr>
          <w:b/>
          <w:i w:val="0"/>
        </w:rPr>
        <w:t>, source pp. 92–93.</w:t>
      </w:r>
      <w:r>
        <w:rPr>
          <w:b w:val="0"/>
          <w:i w:val="0"/>
        </w:rPr>
        <w:t xml:space="preserve"> Articles: </w:t>
      </w:r>
      <w:hyperlink w:anchor="appetite-and-desire">
        <w:r>
          <w:rPr>
            <w:color w:val="000000"/>
          </w:rPr>
          <w:t xml:space="preserve">Appetite and desire</w:t>
        </w:r>
      </w:hyperlink>
      <w:r>
        <w:rPr>
          <w:b w:val="0"/>
          <w:i w:val="0"/>
        </w:rPr>
        <w:t xml:space="preserve">; </w:t>
      </w:r>
      <w:hyperlink w:anchor="cause">
        <w:r>
          <w:rPr>
            <w:color w:val="000000"/>
          </w:rPr>
          <w:t xml:space="preserve">Cause</w:t>
        </w:r>
      </w:hyperlink>
      <w:r>
        <w:rPr>
          <w:b w:val="0"/>
          <w:i w:val="0"/>
        </w:rPr>
        <w:t xml:space="preserve">; </w:t>
      </w:r>
      <w:hyperlink w:anchor="god">
        <w:r>
          <w:rPr>
            <w:color w:val="000000"/>
          </w:rPr>
          <w:t xml:space="preserve">God</w:t>
        </w:r>
      </w:hyperlink>
      <w:r>
        <w:rPr>
          <w:b w:val="0"/>
          <w:i w:val="0"/>
        </w:rPr>
        <w:t xml:space="preserve">; </w:t>
      </w:r>
      <w:hyperlink w:anchor="good-and-goodness">
        <w:r>
          <w:rPr>
            <w:color w:val="000000"/>
          </w:rPr>
          <w:t xml:space="preserve">Good and goodness</w:t>
        </w:r>
      </w:hyperlink>
      <w:r>
        <w:rPr>
          <w:b w:val="0"/>
          <w:i w:val="0"/>
        </w:rPr>
        <w:t xml:space="preserve">; </w:t>
      </w:r>
      <w:hyperlink w:anchor="need-and-sufficiency">
        <w:r>
          <w:rPr>
            <w:color w:val="000000"/>
          </w:rPr>
          <w:t xml:space="preserve">Need and sufficiency</w:t>
        </w:r>
      </w:hyperlink>
      <w:r>
        <w:rPr>
          <w:b w:val="0"/>
          <w:i w:val="0"/>
        </w:rPr>
        <w:t xml:space="preserve">; </w:t>
      </w:r>
      <w:hyperlink w:anchor="procession-and-return">
        <w:r>
          <w:rPr>
            <w:color w:val="000000"/>
          </w:rPr>
          <w:t xml:space="preserve">Procession and return</w:t>
        </w:r>
      </w:hyperlink>
      <w:r>
        <w:rPr>
          <w:b w:val="0"/>
          <w:i w:val="0"/>
        </w:rPr>
        <w:t xml:space="preserve">; </w:t>
      </w:r>
      <w:hyperlink w:anchor="returning-referring-and-reducing">
        <w:r>
          <w:rPr>
            <w:color w:val="000000"/>
          </w:rPr>
          <w:t xml:space="preserve">Returning, referring and reducing</w:t>
        </w:r>
      </w:hyperlink>
      <w:r>
        <w:rPr>
          <w:b w:val="0"/>
          <w:i w:val="0"/>
        </w:rPr>
        <w:t xml:space="preserve">. Vocabulary: </w:t>
      </w:r>
      <w:hyperlink w:anchor="latin-record-0272">
        <w:r>
          <w:rPr>
            <w:color w:val="000000"/>
          </w:rPr>
          <w:t xml:space="preserve">conversio / profectio</w:t>
        </w:r>
      </w:hyperlink>
      <w:r>
        <w:rPr>
          <w:b w:val="0"/>
          <w:i w:val="0"/>
        </w:rPr>
        <w:t xml:space="preserve">; </w:t>
      </w:r>
      <w:hyperlink w:anchor="latin-record-0764">
        <w:r>
          <w:rPr>
            <w:color w:val="000000"/>
          </w:rPr>
          <w:t xml:space="preserve">nixus / nitor / conor</w:t>
        </w:r>
      </w:hyperlink>
      <w:r>
        <w:rPr>
          <w:b w:val="0"/>
          <w:i w:val="0"/>
        </w:rPr>
        <w:t>.</w:t>
      </w:r>
    </w:p>
    <w:p>
      <w:pPr>
        <w:widowControl/>
      </w:pPr>
      <w:bookmarkStart w:id="1692" w:name="passage-i-6-17"/>
      <w:bookmarkEnd w:id="1692"/>
      <w:r>
        <w:rPr>
          <w:b/>
          <w:i w:val="0"/>
        </w:rPr>
        <w:t>I.6.17</w:t>
      </w:r>
      <w:r>
        <w:rPr>
          <w:b/>
          <w:i w:val="0"/>
        </w:rPr>
        <w:t>, source pp. 92–93.</w:t>
      </w:r>
      <w:r>
        <w:rPr>
          <w:b w:val="0"/>
          <w:i w:val="0"/>
        </w:rPr>
        <w:t xml:space="preserve"> Articles: </w:t>
      </w:r>
      <w:hyperlink w:anchor="appetite-and-desire">
        <w:r>
          <w:rPr>
            <w:color w:val="000000"/>
          </w:rPr>
          <w:t xml:space="preserve">Appetite and desire</w:t>
        </w:r>
      </w:hyperlink>
      <w:r>
        <w:rPr>
          <w:b w:val="0"/>
          <w:i w:val="0"/>
        </w:rPr>
        <w:t xml:space="preserve">; </w:t>
      </w:r>
      <w:hyperlink w:anchor="fountain-womb-and-offspring">
        <w:r>
          <w:rPr>
            <w:color w:val="000000"/>
          </w:rPr>
          <w:t xml:space="preserve">Fountain, womb and offspring</w:t>
        </w:r>
      </w:hyperlink>
      <w:r>
        <w:rPr>
          <w:b w:val="0"/>
          <w:i w:val="0"/>
        </w:rPr>
        <w:t xml:space="preserve">; </w:t>
      </w:r>
      <w:hyperlink w:anchor="freedom-and-necessity">
        <w:r>
          <w:rPr>
            <w:color w:val="000000"/>
          </w:rPr>
          <w:t xml:space="preserve">Freedom and necessity</w:t>
        </w:r>
      </w:hyperlink>
      <w:r>
        <w:rPr>
          <w:b w:val="0"/>
          <w:i w:val="0"/>
        </w:rPr>
        <w:t xml:space="preserve">; </w:t>
      </w:r>
      <w:hyperlink w:anchor="god">
        <w:r>
          <w:rPr>
            <w:color w:val="000000"/>
          </w:rPr>
          <w:t xml:space="preserve">God</w:t>
        </w:r>
      </w:hyperlink>
      <w:r>
        <w:rPr>
          <w:b w:val="0"/>
          <w:i w:val="0"/>
        </w:rPr>
        <w:t xml:space="preserve">; </w:t>
      </w:r>
      <w:hyperlink w:anchor="good-and-goodness">
        <w:r>
          <w:rPr>
            <w:color w:val="000000"/>
          </w:rPr>
          <w:t xml:space="preserve">Good and goodness</w:t>
        </w:r>
      </w:hyperlink>
      <w:r>
        <w:rPr>
          <w:b w:val="0"/>
          <w:i w:val="0"/>
        </w:rPr>
        <w:t xml:space="preserve">; </w:t>
      </w:r>
      <w:hyperlink w:anchor="need-and-sufficiency">
        <w:r>
          <w:rPr>
            <w:color w:val="000000"/>
          </w:rPr>
          <w:t xml:space="preserve">Need and sufficiency</w:t>
        </w:r>
      </w:hyperlink>
      <w:r>
        <w:rPr>
          <w:b w:val="0"/>
          <w:i w:val="0"/>
        </w:rPr>
        <w:t xml:space="preserve">; </w:t>
      </w:r>
      <w:hyperlink w:anchor="perfection">
        <w:r>
          <w:rPr>
            <w:color w:val="000000"/>
          </w:rPr>
          <w:t xml:space="preserve">Perfection</w:t>
        </w:r>
      </w:hyperlink>
      <w:r>
        <w:rPr>
          <w:b w:val="0"/>
          <w:i w:val="0"/>
        </w:rPr>
        <w:t xml:space="preserve">. Vocabulary: </w:t>
      </w:r>
      <w:hyperlink w:anchor="latin-record-0508">
        <w:r>
          <w:rPr>
            <w:color w:val="000000"/>
          </w:rPr>
          <w:t xml:space="preserve">haurio / liquor / infundo</w:t>
        </w:r>
      </w:hyperlink>
      <w:r>
        <w:rPr>
          <w:b w:val="0"/>
          <w:i w:val="0"/>
        </w:rPr>
        <w:t xml:space="preserve">; </w:t>
      </w:r>
      <w:hyperlink w:anchor="latin-record-0545">
        <w:r>
          <w:rPr>
            <w:color w:val="000000"/>
          </w:rPr>
          <w:t xml:space="preserve">impulsus / incitamentum</w:t>
        </w:r>
      </w:hyperlink>
      <w:r>
        <w:rPr>
          <w:b w:val="0"/>
          <w:i w:val="0"/>
        </w:rPr>
        <w:t xml:space="preserve">; </w:t>
      </w:r>
      <w:hyperlink w:anchor="latin-record-0640">
        <w:r>
          <w:rPr>
            <w:color w:val="000000"/>
          </w:rPr>
          <w:t xml:space="preserve">liber / liberior</w:t>
        </w:r>
      </w:hyperlink>
      <w:r>
        <w:rPr>
          <w:b w:val="0"/>
          <w:i w:val="0"/>
        </w:rPr>
        <w:t xml:space="preserve">; </w:t>
      </w:r>
      <w:hyperlink w:anchor="latin-record-0764">
        <w:r>
          <w:rPr>
            <w:color w:val="000000"/>
          </w:rPr>
          <w:t xml:space="preserve">nixus / nitor / conor</w:t>
        </w:r>
      </w:hyperlink>
      <w:r>
        <w:rPr>
          <w:b w:val="0"/>
          <w:i w:val="0"/>
        </w:rPr>
        <w:t xml:space="preserve">; </w:t>
      </w:r>
      <w:hyperlink w:anchor="latin-record-1269">
        <w:r>
          <w:rPr>
            <w:color w:val="000000"/>
          </w:rPr>
          <w:t xml:space="preserve">vis / inscitia</w:t>
        </w:r>
      </w:hyperlink>
      <w:r>
        <w:rPr>
          <w:b w:val="0"/>
          <w:i w:val="0"/>
        </w:rPr>
        <w:t>.</w:t>
      </w:r>
    </w:p>
    <w:p>
      <w:pPr>
        <w:widowControl/>
      </w:pPr>
      <w:bookmarkStart w:id="1693" w:name="passage-i-6-18"/>
      <w:bookmarkEnd w:id="1693"/>
      <w:r>
        <w:rPr>
          <w:b/>
          <w:i w:val="0"/>
        </w:rPr>
        <w:t>I.6.18</w:t>
      </w:r>
      <w:r>
        <w:rPr>
          <w:b/>
          <w:i w:val="0"/>
        </w:rPr>
        <w:t>, source pp. 92–93.</w:t>
      </w:r>
      <w:r>
        <w:rPr>
          <w:b w:val="0"/>
          <w:i w:val="0"/>
        </w:rPr>
        <w:t xml:space="preserve"> Articles: </w:t>
      </w:r>
      <w:hyperlink w:anchor="appetite-and-desire">
        <w:r>
          <w:rPr>
            <w:color w:val="000000"/>
          </w:rPr>
          <w:t xml:space="preserve">Appetite and desire</w:t>
        </w:r>
      </w:hyperlink>
      <w:r>
        <w:rPr>
          <w:b w:val="0"/>
          <w:i w:val="0"/>
        </w:rPr>
        <w:t xml:space="preserve">; </w:t>
      </w:r>
      <w:hyperlink w:anchor="freedom-and-necessity">
        <w:r>
          <w:rPr>
            <w:color w:val="000000"/>
          </w:rPr>
          <w:t xml:space="preserve">Freedom and necessity</w:t>
        </w:r>
      </w:hyperlink>
      <w:r>
        <w:rPr>
          <w:b w:val="0"/>
          <w:i w:val="0"/>
        </w:rPr>
        <w:t xml:space="preserve">; </w:t>
      </w:r>
      <w:hyperlink w:anchor="god">
        <w:r>
          <w:rPr>
            <w:color w:val="000000"/>
          </w:rPr>
          <w:t xml:space="preserve">God</w:t>
        </w:r>
      </w:hyperlink>
      <w:r>
        <w:rPr>
          <w:b w:val="0"/>
          <w:i w:val="0"/>
        </w:rPr>
        <w:t xml:space="preserve">; </w:t>
      </w:r>
      <w:hyperlink w:anchor="good-and-goodness">
        <w:r>
          <w:rPr>
            <w:color w:val="000000"/>
          </w:rPr>
          <w:t xml:space="preserve">Good and goodness</w:t>
        </w:r>
      </w:hyperlink>
      <w:r>
        <w:rPr>
          <w:b w:val="0"/>
          <w:i w:val="0"/>
        </w:rPr>
        <w:t xml:space="preserve">; </w:t>
      </w:r>
      <w:hyperlink w:anchor="wishing-refusing-and-the-good">
        <w:r>
          <w:rPr>
            <w:color w:val="000000"/>
          </w:rPr>
          <w:t xml:space="preserve">Wishing, refusing and the good</w:t>
        </w:r>
      </w:hyperlink>
      <w:r>
        <w:rPr>
          <w:b w:val="0"/>
          <w:i w:val="0"/>
        </w:rPr>
        <w:t xml:space="preserve">. Vocabulary: </w:t>
      </w:r>
      <w:hyperlink w:anchor="latin-record-0545">
        <w:r>
          <w:rPr>
            <w:color w:val="000000"/>
          </w:rPr>
          <w:t xml:space="preserve">impulsus / incitamentum</w:t>
        </w:r>
      </w:hyperlink>
      <w:r>
        <w:rPr>
          <w:b w:val="0"/>
          <w:i w:val="0"/>
        </w:rPr>
        <w:t xml:space="preserve">; </w:t>
      </w:r>
      <w:hyperlink w:anchor="latin-record-0622">
        <w:r>
          <w:rPr>
            <w:color w:val="000000"/>
          </w:rPr>
          <w:t xml:space="preserve">iudico</w:t>
        </w:r>
      </w:hyperlink>
      <w:r>
        <w:rPr>
          <w:b w:val="0"/>
          <w:i w:val="0"/>
        </w:rPr>
        <w:t xml:space="preserve">; </w:t>
      </w:r>
      <w:hyperlink w:anchor="latin-record-1256">
        <w:r>
          <w:rPr>
            <w:color w:val="000000"/>
          </w:rPr>
          <w:t xml:space="preserve">videor habere / revera possideo</w:t>
        </w:r>
      </w:hyperlink>
      <w:r>
        <w:rPr>
          <w:b w:val="0"/>
          <w:i w:val="0"/>
        </w:rPr>
        <w:t>.</w:t>
      </w:r>
    </w:p>
    <w:p>
      <w:pPr>
        <w:widowControl/>
      </w:pPr>
      <w:bookmarkStart w:id="1694" w:name="passage-i-6-19"/>
      <w:bookmarkEnd w:id="1694"/>
      <w:r>
        <w:rPr>
          <w:b/>
          <w:i w:val="0"/>
        </w:rPr>
        <w:t>I.6.19</w:t>
      </w:r>
      <w:r>
        <w:rPr>
          <w:b/>
          <w:i w:val="0"/>
        </w:rPr>
        <w:t>, source pp. 94–95.</w:t>
      </w:r>
      <w:r>
        <w:rPr>
          <w:b w:val="0"/>
          <w:i w:val="0"/>
        </w:rPr>
        <w:t xml:space="preserve"> Articles: </w:t>
      </w:r>
      <w:hyperlink w:anchor="appetite-and-desire">
        <w:r>
          <w:rPr>
            <w:color w:val="000000"/>
          </w:rPr>
          <w:t xml:space="preserve">Appetite and desire</w:t>
        </w:r>
      </w:hyperlink>
      <w:r>
        <w:rPr>
          <w:b w:val="0"/>
          <w:i w:val="0"/>
        </w:rPr>
        <w:t xml:space="preserve">; </w:t>
      </w:r>
      <w:hyperlink w:anchor="freedom-and-necessity">
        <w:r>
          <w:rPr>
            <w:color w:val="000000"/>
          </w:rPr>
          <w:t xml:space="preserve">Freedom and necessity</w:t>
        </w:r>
      </w:hyperlink>
      <w:r>
        <w:rPr>
          <w:b w:val="0"/>
          <w:i w:val="0"/>
        </w:rPr>
        <w:t xml:space="preserve">; </w:t>
      </w:r>
      <w:hyperlink w:anchor="god">
        <w:r>
          <w:rPr>
            <w:color w:val="000000"/>
          </w:rPr>
          <w:t xml:space="preserve">God</w:t>
        </w:r>
      </w:hyperlink>
      <w:r>
        <w:rPr>
          <w:b w:val="0"/>
          <w:i w:val="0"/>
        </w:rPr>
        <w:t xml:space="preserve">; </w:t>
      </w:r>
      <w:hyperlink w:anchor="good-and-goodness">
        <w:r>
          <w:rPr>
            <w:color w:val="000000"/>
          </w:rPr>
          <w:t xml:space="preserve">Good and goodness</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prison-and-homeland">
        <w:r>
          <w:rPr>
            <w:color w:val="000000"/>
          </w:rPr>
          <w:t xml:space="preserve">Prison and homeland</w:t>
        </w:r>
      </w:hyperlink>
      <w:r>
        <w:rPr>
          <w:b w:val="0"/>
          <w:i w:val="0"/>
        </w:rPr>
        <w:t xml:space="preserve">; </w:t>
      </w:r>
      <w:hyperlink w:anchor="procession-and-return">
        <w:r>
          <w:rPr>
            <w:color w:val="000000"/>
          </w:rPr>
          <w:t xml:space="preserve">Procession and return</w:t>
        </w:r>
      </w:hyperlink>
      <w:r>
        <w:rPr>
          <w:b w:val="0"/>
          <w:i w:val="0"/>
        </w:rPr>
        <w:t xml:space="preserve">; </w:t>
      </w:r>
      <w:hyperlink w:anchor="will">
        <w:r>
          <w:rPr>
            <w:color w:val="000000"/>
          </w:rPr>
          <w:t xml:space="preserve">Will</w:t>
        </w:r>
      </w:hyperlink>
      <w:r>
        <w:rPr>
          <w:b w:val="0"/>
          <w:i w:val="0"/>
        </w:rPr>
        <w:t xml:space="preserve">; </w:t>
      </w:r>
      <w:hyperlink w:anchor="wishing-refusing-and-the-good">
        <w:r>
          <w:rPr>
            <w:color w:val="000000"/>
          </w:rPr>
          <w:t xml:space="preserve">Wishing, refusing and the good</w:t>
        </w:r>
      </w:hyperlink>
      <w:r>
        <w:rPr>
          <w:b w:val="0"/>
          <w:i w:val="0"/>
        </w:rPr>
        <w:t xml:space="preserve">. Vocabulary: </w:t>
      </w:r>
      <w:hyperlink w:anchor="latin-record-0044">
        <w:r>
          <w:rPr>
            <w:color w:val="000000"/>
          </w:rPr>
          <w:t xml:space="preserve">ala / dux / patria</w:t>
        </w:r>
      </w:hyperlink>
      <w:r>
        <w:rPr>
          <w:b w:val="0"/>
          <w:i w:val="0"/>
        </w:rPr>
        <w:t xml:space="preserve">; </w:t>
      </w:r>
      <w:hyperlink w:anchor="latin-record-0124">
        <w:r>
          <w:rPr>
            <w:color w:val="000000"/>
          </w:rPr>
          <w:t xml:space="preserve">bene et bonum</w:t>
        </w:r>
      </w:hyperlink>
      <w:r>
        <w:rPr>
          <w:b w:val="0"/>
          <w:i w:val="0"/>
        </w:rPr>
        <w:t xml:space="preserve">; </w:t>
      </w:r>
      <w:hyperlink w:anchor="latin-record-0156">
        <w:r>
          <w:rPr>
            <w:color w:val="000000"/>
          </w:rPr>
          <w:t xml:space="preserve">censeo</w:t>
        </w:r>
      </w:hyperlink>
      <w:r>
        <w:rPr>
          <w:b w:val="0"/>
          <w:i w:val="0"/>
        </w:rPr>
        <w:t xml:space="preserve">; </w:t>
      </w:r>
      <w:hyperlink w:anchor="latin-record-0545">
        <w:r>
          <w:rPr>
            <w:color w:val="000000"/>
          </w:rPr>
          <w:t xml:space="preserve">impulsus / incitamentum</w:t>
        </w:r>
      </w:hyperlink>
      <w:r>
        <w:rPr>
          <w:b w:val="0"/>
          <w:i w:val="0"/>
        </w:rPr>
        <w:t xml:space="preserve">; </w:t>
      </w:r>
      <w:hyperlink w:anchor="latin-record-0750">
        <w:r>
          <w:rPr>
            <w:color w:val="000000"/>
          </w:rPr>
          <w:t xml:space="preserve">necessitas and willing acceptance</w:t>
        </w:r>
      </w:hyperlink>
      <w:r>
        <w:rPr>
          <w:b w:val="0"/>
          <w:i w:val="0"/>
        </w:rPr>
        <w:t xml:space="preserve">; </w:t>
      </w:r>
      <w:hyperlink w:anchor="latin-record-0837">
        <w:r>
          <w:rPr>
            <w:color w:val="000000"/>
          </w:rPr>
          <w:t xml:space="preserve">pater / patria</w:t>
        </w:r>
      </w:hyperlink>
      <w:r>
        <w:rPr>
          <w:b w:val="0"/>
          <w:i w:val="0"/>
        </w:rPr>
        <w:t xml:space="preserve">; </w:t>
      </w:r>
      <w:hyperlink w:anchor="latin-record-0908">
        <w:r>
          <w:rPr>
            <w:color w:val="000000"/>
          </w:rPr>
          <w:t xml:space="preserve">praefero / antepono</w:t>
        </w:r>
      </w:hyperlink>
      <w:r>
        <w:rPr>
          <w:b w:val="0"/>
          <w:i w:val="0"/>
        </w:rPr>
        <w:t xml:space="preserve">; </w:t>
      </w:r>
      <w:hyperlink w:anchor="latin-record-1056">
        <w:r>
          <w:rPr>
            <w:color w:val="000000"/>
          </w:rPr>
          <w:t xml:space="preserve">respuo</w:t>
        </w:r>
      </w:hyperlink>
      <w:r>
        <w:rPr>
          <w:b w:val="0"/>
          <w:i w:val="0"/>
        </w:rPr>
        <w:t xml:space="preserve">; </w:t>
      </w:r>
      <w:hyperlink w:anchor="latin-record-1155">
        <w:r>
          <w:rPr>
            <w:color w:val="000000"/>
          </w:rPr>
          <w:t xml:space="preserve">subiectus, ruled subject</w:t>
        </w:r>
      </w:hyperlink>
      <w:r>
        <w:rPr>
          <w:b w:val="0"/>
          <w:i w:val="0"/>
        </w:rPr>
        <w:t xml:space="preserve">; </w:t>
      </w:r>
      <w:hyperlink w:anchor="latin-record-1238">
        <w:r>
          <w:rPr>
            <w:color w:val="000000"/>
          </w:rPr>
          <w:t xml:space="preserve">velle / nolle</w:t>
        </w:r>
      </w:hyperlink>
      <w:r>
        <w:rPr>
          <w:b w:val="0"/>
          <w:i w:val="0"/>
        </w:rPr>
        <w:t xml:space="preserve">; </w:t>
      </w:r>
      <w:hyperlink w:anchor="latin-record-1282">
        <w:r>
          <w:rPr>
            <w:color w:val="000000"/>
          </w:rPr>
          <w:t xml:space="preserve">voluptas</w:t>
        </w:r>
      </w:hyperlink>
      <w:r>
        <w:rPr>
          <w:b w:val="0"/>
          <w:i w:val="0"/>
        </w:rPr>
        <w:t>.</w:t>
      </w:r>
    </w:p>
    <w:p>
      <w:bookmarkStart w:id="1695" w:name="chapter-ii.1"/>
      <w:pPr>
        <w:pStyle w:val="Heading2"/>
      </w:pPr>
      <w:r>
        <w:rPr>
          <w:b w:val="0"/>
          <w:i w:val="0"/>
        </w:rPr>
        <w:t>Chapter II.1</w:t>
      </w:r>
      <w:bookmarkEnd w:id="1695"/>
    </w:p>
    <w:p>
      <w:pPr>
        <w:widowControl/>
      </w:pPr>
      <w:bookmarkStart w:id="1696" w:name="passage-ii-1-1"/>
      <w:bookmarkEnd w:id="1696"/>
      <w:r>
        <w:rPr>
          <w:b/>
          <w:i w:val="0"/>
        </w:rPr>
        <w:t>II.1.1</w:t>
      </w:r>
      <w:r>
        <w:rPr>
          <w:b/>
          <w:i w:val="0"/>
        </w:rPr>
        <w:t>, source pp. 98–99.</w:t>
      </w:r>
      <w:r>
        <w:rPr>
          <w:b w:val="0"/>
          <w:i w:val="0"/>
        </w:rPr>
        <w:t xml:space="preserve"> Articles: </w:t>
      </w:r>
      <w:hyperlink w:anchor="good-and-goodness">
        <w:r>
          <w:rPr>
            <w:color w:val="000000"/>
          </w:rPr>
          <w:t xml:space="preserve">Good and goodness</w:t>
        </w:r>
      </w:hyperlink>
      <w:r>
        <w:rPr>
          <w:b w:val="0"/>
          <w:i w:val="0"/>
        </w:rPr>
        <w:t xml:space="preserve">; </w:t>
      </w:r>
      <w:hyperlink w:anchor="purity-and-mixture">
        <w:r>
          <w:rPr>
            <w:color w:val="000000"/>
          </w:rPr>
          <w:t xml:space="preserve">Purity and mixture</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truth">
        <w:r>
          <w:rPr>
            <w:color w:val="000000"/>
          </w:rPr>
          <w:t xml:space="preserve">Truth</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67">
        <w:r>
          <w:rPr>
            <w:color w:val="000000"/>
          </w:rPr>
          <w:t xml:space="preserve">angelus</w:t>
        </w:r>
      </w:hyperlink>
      <w:r>
        <w:rPr>
          <w:b w:val="0"/>
          <w:i w:val="0"/>
        </w:rPr>
        <w:t xml:space="preserve">; </w:t>
      </w:r>
      <w:hyperlink w:anchor="latin-record-0092">
        <w:r>
          <w:rPr>
            <w:color w:val="000000"/>
          </w:rPr>
          <w:t xml:space="preserve">argumentum / arguere</w:t>
        </w:r>
      </w:hyperlink>
      <w:r>
        <w:rPr>
          <w:b w:val="0"/>
          <w:i w:val="0"/>
        </w:rPr>
        <w:t xml:space="preserve">; </w:t>
      </w:r>
      <w:hyperlink w:anchor="latin-record-0127">
        <w:r>
          <w:rPr>
            <w:color w:val="000000"/>
          </w:rPr>
          <w:t xml:space="preserve">bonitas / bonum</w:t>
        </w:r>
      </w:hyperlink>
      <w:r>
        <w:rPr>
          <w:b w:val="0"/>
          <w:i w:val="0"/>
        </w:rPr>
        <w:t xml:space="preserve">; </w:t>
      </w:r>
      <w:hyperlink w:anchor="latin-record-0195">
        <w:r>
          <w:rPr>
            <w:color w:val="000000"/>
          </w:rPr>
          <w:t xml:space="preserve">commiscere / mixtio</w:t>
        </w:r>
      </w:hyperlink>
      <w:r>
        <w:rPr>
          <w:b w:val="0"/>
          <w:i w:val="0"/>
        </w:rPr>
        <w:t xml:space="preserve">; </w:t>
      </w:r>
      <w:hyperlink w:anchor="latin-record-0258">
        <w:r>
          <w:rPr>
            <w:color w:val="000000"/>
          </w:rPr>
          <w:t xml:space="preserve">constare / consistere / constituere</w:t>
        </w:r>
      </w:hyperlink>
      <w:r>
        <w:rPr>
          <w:b w:val="0"/>
          <w:i w:val="0"/>
        </w:rPr>
        <w:t xml:space="preserve">; </w:t>
      </w:r>
      <w:hyperlink w:anchor="latin-record-0394">
        <w:r>
          <w:rPr>
            <w:color w:val="000000"/>
          </w:rPr>
          <w:t xml:space="preserve">excellens / eminens / deterior / altior / remotior</w:t>
        </w:r>
      </w:hyperlink>
      <w:r>
        <w:rPr>
          <w:b w:val="0"/>
          <w:i w:val="0"/>
        </w:rPr>
        <w:t xml:space="preserve">; </w:t>
      </w:r>
      <w:hyperlink w:anchor="latin-record-0669">
        <w:r>
          <w:rPr>
            <w:color w:val="000000"/>
          </w:rPr>
          <w:t xml:space="preserve">manere / exsuperare</w:t>
        </w:r>
      </w:hyperlink>
      <w:r>
        <w:rPr>
          <w:b w:val="0"/>
          <w:i w:val="0"/>
        </w:rPr>
        <w:t xml:space="preserve">; </w:t>
      </w:r>
      <w:hyperlink w:anchor="latin-record-0694">
        <w:r>
          <w:rPr>
            <w:color w:val="000000"/>
          </w:rPr>
          <w:t xml:space="preserve">merus / incorruptus / revera</w:t>
        </w:r>
      </w:hyperlink>
      <w:r>
        <w:rPr>
          <w:b w:val="0"/>
          <w:i w:val="0"/>
        </w:rPr>
        <w:t xml:space="preserve">; </w:t>
      </w:r>
      <w:hyperlink w:anchor="latin-record-0815">
        <w:r>
          <w:rPr>
            <w:color w:val="000000"/>
          </w:rPr>
          <w:t xml:space="preserve">ostendere / monstrare / probare</w:t>
        </w:r>
      </w:hyperlink>
      <w:r>
        <w:rPr>
          <w:b w:val="0"/>
          <w:i w:val="0"/>
        </w:rPr>
        <w:t xml:space="preserve">; </w:t>
      </w:r>
      <w:hyperlink w:anchor="latin-record-0989">
        <w:r>
          <w:rPr>
            <w:color w:val="000000"/>
          </w:rPr>
          <w:t xml:space="preserve">purus / puritas</w:t>
        </w:r>
      </w:hyperlink>
      <w:r>
        <w:rPr>
          <w:b w:val="0"/>
          <w:i w:val="0"/>
        </w:rPr>
        <w:t xml:space="preserve">; </w:t>
      </w:r>
      <w:hyperlink w:anchor="latin-record-1047">
        <w:r>
          <w:rPr>
            <w:color w:val="000000"/>
          </w:rPr>
          <w:t xml:space="preserve">res</w:t>
        </w:r>
      </w:hyperlink>
      <w:r>
        <w:rPr>
          <w:b w:val="0"/>
          <w:i w:val="0"/>
        </w:rPr>
        <w:t xml:space="preserve">; </w:t>
      </w:r>
      <w:hyperlink w:anchor="latin-record-1108">
        <w:r>
          <w:rPr>
            <w:color w:val="000000"/>
          </w:rPr>
          <w:t xml:space="preserve">simplex / simplicitas</w:t>
        </w:r>
      </w:hyperlink>
      <w:r>
        <w:rPr>
          <w:b w:val="0"/>
          <w:i w:val="0"/>
        </w:rPr>
        <w:t xml:space="preserve">; </w:t>
      </w:r>
      <w:hyperlink w:anchor="latin-record-1221">
        <w:r>
          <w:rPr>
            <w:color w:val="000000"/>
          </w:rPr>
          <w:t xml:space="preserve">unitas / unio</w:t>
        </w:r>
      </w:hyperlink>
      <w:r>
        <w:rPr>
          <w:b w:val="0"/>
          <w:i w:val="0"/>
        </w:rPr>
        <w:t xml:space="preserve">; </w:t>
      </w:r>
      <w:hyperlink w:anchor="latin-record-1246">
        <w:r>
          <w:rPr>
            <w:color w:val="000000"/>
          </w:rPr>
          <w:t xml:space="preserve">veritas / verus</w:t>
        </w:r>
      </w:hyperlink>
      <w:r>
        <w:rPr>
          <w:b w:val="0"/>
          <w:i w:val="0"/>
        </w:rPr>
        <w:t xml:space="preserve">; </w:t>
      </w:r>
      <w:hyperlink w:anchor="latin-record-1265">
        <w:r>
          <w:rPr>
            <w:color w:val="000000"/>
          </w:rPr>
          <w:t xml:space="preserve">vinum</w:t>
        </w:r>
      </w:hyperlink>
      <w:r>
        <w:rPr>
          <w:b w:val="0"/>
          <w:i w:val="0"/>
        </w:rPr>
        <w:t>.</w:t>
      </w:r>
    </w:p>
    <w:p>
      <w:pPr>
        <w:widowControl/>
      </w:pPr>
      <w:bookmarkStart w:id="1697" w:name="passage-ii-1-2"/>
      <w:bookmarkEnd w:id="1697"/>
      <w:r>
        <w:rPr>
          <w:b/>
          <w:i w:val="0"/>
        </w:rPr>
        <w:t>II.1.2</w:t>
      </w:r>
      <w:r>
        <w:rPr>
          <w:b/>
          <w:i w:val="0"/>
        </w:rPr>
        <w:t>, source pp. 98–99.</w:t>
      </w:r>
      <w:r>
        <w:rPr>
          <w:b w:val="0"/>
          <w:i w:val="0"/>
        </w:rPr>
        <w:t xml:space="preserve"> Articles: </w:t>
      </w:r>
      <w:hyperlink w:anchor="appetite-and-desire">
        <w:r>
          <w:rPr>
            <w:color w:val="000000"/>
          </w:rPr>
          <w:t xml:space="preserve">Appetite and desire</w:t>
        </w:r>
      </w:hyperlink>
      <w:r>
        <w:rPr>
          <w:b w:val="0"/>
          <w:i w:val="0"/>
        </w:rPr>
        <w:t xml:space="preserve">; </w:t>
      </w:r>
      <w:hyperlink w:anchor="good-and-goodness">
        <w:r>
          <w:rPr>
            <w:color w:val="000000"/>
          </w:rPr>
          <w:t xml:space="preserve">Good and goodness</w:t>
        </w:r>
      </w:hyperlink>
      <w:r>
        <w:rPr>
          <w:b w:val="0"/>
          <w:i w:val="0"/>
        </w:rPr>
        <w:t xml:space="preserve">; </w:t>
      </w:r>
      <w:hyperlink w:anchor="participation">
        <w:r>
          <w:rPr>
            <w:color w:val="000000"/>
          </w:rPr>
          <w:t xml:space="preserve">Participation</w:t>
        </w:r>
      </w:hyperlink>
      <w:r>
        <w:rPr>
          <w:b w:val="0"/>
          <w:i w:val="0"/>
        </w:rPr>
        <w:t xml:space="preserve">; </w:t>
      </w:r>
      <w:hyperlink w:anchor="principle">
        <w:r>
          <w:rPr>
            <w:color w:val="000000"/>
          </w:rPr>
          <w:t xml:space="preserve">Principle</w:t>
        </w:r>
      </w:hyperlink>
      <w:r>
        <w:rPr>
          <w:b w:val="0"/>
          <w:i w:val="0"/>
        </w:rPr>
        <w:t xml:space="preserve">; </w:t>
      </w:r>
      <w:hyperlink w:anchor="purity-and-mixture">
        <w:r>
          <w:rPr>
            <w:color w:val="000000"/>
          </w:rPr>
          <w:t xml:space="preserve">Purity and mixture</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traces">
        <w:r>
          <w:rPr>
            <w:color w:val="000000"/>
          </w:rPr>
          <w:t xml:space="preserve">Traces</w:t>
        </w:r>
      </w:hyperlink>
      <w:r>
        <w:rPr>
          <w:b w:val="0"/>
          <w:i w:val="0"/>
        </w:rPr>
        <w:t xml:space="preserve">; </w:t>
      </w:r>
      <w:hyperlink w:anchor="truth">
        <w:r>
          <w:rPr>
            <w:color w:val="000000"/>
          </w:rPr>
          <w:t xml:space="preserve">Truth</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92">
        <w:r>
          <w:rPr>
            <w:color w:val="000000"/>
          </w:rPr>
          <w:t xml:space="preserve">argumentum / arguere</w:t>
        </w:r>
      </w:hyperlink>
      <w:r>
        <w:rPr>
          <w:b w:val="0"/>
          <w:i w:val="0"/>
        </w:rPr>
        <w:t xml:space="preserve">; </w:t>
      </w:r>
      <w:hyperlink w:anchor="latin-record-0287">
        <w:r>
          <w:rPr>
            <w:color w:val="000000"/>
          </w:rPr>
          <w:t xml:space="preserve">cupere / avidus</w:t>
        </w:r>
      </w:hyperlink>
      <w:r>
        <w:rPr>
          <w:b w:val="0"/>
          <w:i w:val="0"/>
        </w:rPr>
        <w:t xml:space="preserve">; </w:t>
      </w:r>
      <w:hyperlink w:anchor="latin-record-0668">
        <w:r>
          <w:rPr>
            <w:color w:val="000000"/>
          </w:rPr>
          <w:t xml:space="preserve">manare / emanare</w:t>
        </w:r>
      </w:hyperlink>
      <w:r>
        <w:rPr>
          <w:b w:val="0"/>
          <w:i w:val="0"/>
        </w:rPr>
        <w:t xml:space="preserve">; </w:t>
      </w:r>
      <w:hyperlink w:anchor="latin-record-0825">
        <w:r>
          <w:rPr>
            <w:color w:val="000000"/>
          </w:rPr>
          <w:t xml:space="preserve">particeps / participium</w:t>
        </w:r>
      </w:hyperlink>
      <w:r>
        <w:rPr>
          <w:b w:val="0"/>
          <w:i w:val="0"/>
        </w:rPr>
        <w:t xml:space="preserve">; </w:t>
      </w:r>
      <w:hyperlink w:anchor="latin-record-0928">
        <w:r>
          <w:rPr>
            <w:color w:val="000000"/>
          </w:rPr>
          <w:t xml:space="preserve">principium / origo</w:t>
        </w:r>
      </w:hyperlink>
      <w:r>
        <w:rPr>
          <w:b w:val="0"/>
          <w:i w:val="0"/>
        </w:rPr>
        <w:t xml:space="preserve">; </w:t>
      </w:r>
      <w:hyperlink w:anchor="latin-record-1043">
        <w:r>
          <w:rPr>
            <w:color w:val="000000"/>
          </w:rPr>
          <w:t xml:space="preserve">reperire / invenire</w:t>
        </w:r>
      </w:hyperlink>
      <w:r>
        <w:rPr>
          <w:b w:val="0"/>
          <w:i w:val="0"/>
        </w:rPr>
        <w:t xml:space="preserve">; </w:t>
      </w:r>
      <w:hyperlink w:anchor="latin-record-1045">
        <w:r>
          <w:rPr>
            <w:color w:val="000000"/>
          </w:rPr>
          <w:t xml:space="preserve">repetere / revocare</w:t>
        </w:r>
      </w:hyperlink>
      <w:r>
        <w:rPr>
          <w:b w:val="0"/>
          <w:i w:val="0"/>
        </w:rPr>
        <w:t xml:space="preserve">; </w:t>
      </w:r>
      <w:hyperlink w:anchor="latin-record-1249">
        <w:r>
          <w:rPr>
            <w:color w:val="000000"/>
          </w:rPr>
          <w:t xml:space="preserve">vestigium</w:t>
        </w:r>
      </w:hyperlink>
      <w:r>
        <w:rPr>
          <w:b w:val="0"/>
          <w:i w:val="0"/>
        </w:rPr>
        <w:t>.</w:t>
      </w:r>
    </w:p>
    <w:p>
      <w:pPr>
        <w:widowControl/>
      </w:pPr>
      <w:bookmarkStart w:id="1698" w:name="passage-ii-1-3"/>
      <w:bookmarkEnd w:id="1698"/>
      <w:r>
        <w:rPr>
          <w:b/>
          <w:i w:val="0"/>
        </w:rPr>
        <w:t>II.1.3</w:t>
      </w:r>
      <w:r>
        <w:rPr>
          <w:b/>
          <w:i w:val="0"/>
        </w:rPr>
        <w:t>, source pp. 100–101.</w:t>
      </w:r>
      <w:r>
        <w:rPr>
          <w:b w:val="0"/>
          <w:i w:val="0"/>
        </w:rPr>
        <w:t xml:space="preserve"> Articles: </w:t>
      </w:r>
      <w:hyperlink w:anchor="dependence-and-receiving">
        <w:r>
          <w:rPr>
            <w:color w:val="000000"/>
          </w:rPr>
          <w:t xml:space="preserve">Dependence and receiving</w:t>
        </w:r>
      </w:hyperlink>
      <w:r>
        <w:rPr>
          <w:b w:val="0"/>
          <w:i w:val="0"/>
        </w:rPr>
        <w:t xml:space="preserve">; </w:t>
      </w:r>
      <w:hyperlink w:anchor="good-and-goodness">
        <w:r>
          <w:rPr>
            <w:color w:val="000000"/>
          </w:rPr>
          <w:t xml:space="preserve">Good and goodness</w:t>
        </w:r>
      </w:hyperlink>
      <w:r>
        <w:rPr>
          <w:b w:val="0"/>
          <w:i w:val="0"/>
        </w:rPr>
        <w:t xml:space="preserve">; </w:t>
      </w:r>
      <w:hyperlink w:anchor="participation">
        <w:r>
          <w:rPr>
            <w:color w:val="000000"/>
          </w:rPr>
          <w:t xml:space="preserve">Participation</w:t>
        </w:r>
      </w:hyperlink>
      <w:r>
        <w:rPr>
          <w:b w:val="0"/>
          <w:i w:val="0"/>
        </w:rPr>
        <w:t xml:space="preserve">; </w:t>
      </w:r>
      <w:hyperlink w:anchor="principle">
        <w:r>
          <w:rPr>
            <w:color w:val="000000"/>
          </w:rPr>
          <w:t xml:space="preserve">Principle</w:t>
        </w:r>
      </w:hyperlink>
      <w:r>
        <w:rPr>
          <w:b w:val="0"/>
          <w:i w:val="0"/>
        </w:rPr>
        <w:t xml:space="preserve">; </w:t>
      </w:r>
      <w:hyperlink w:anchor="purity-and-mixture">
        <w:r>
          <w:rPr>
            <w:color w:val="000000"/>
          </w:rPr>
          <w:t xml:space="preserve">Purity and mixture</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truth">
        <w:r>
          <w:rPr>
            <w:color w:val="000000"/>
          </w:rPr>
          <w:t xml:space="preserve">Truth</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05">
        <w:r>
          <w:rPr>
            <w:color w:val="000000"/>
          </w:rPr>
          <w:t xml:space="preserve">absurdus</w:t>
        </w:r>
      </w:hyperlink>
      <w:r>
        <w:rPr>
          <w:b w:val="0"/>
          <w:i w:val="0"/>
        </w:rPr>
        <w:t xml:space="preserve">; </w:t>
      </w:r>
      <w:hyperlink w:anchor="latin-record-0009">
        <w:r>
          <w:rPr>
            <w:color w:val="000000"/>
          </w:rPr>
          <w:t xml:space="preserve">accipere / capere / suscipere</w:t>
        </w:r>
      </w:hyperlink>
      <w:r>
        <w:rPr>
          <w:b w:val="0"/>
          <w:i w:val="0"/>
        </w:rPr>
        <w:t xml:space="preserve">; </w:t>
      </w:r>
      <w:hyperlink w:anchor="latin-record-0200">
        <w:r>
          <w:rPr>
            <w:color w:val="000000"/>
          </w:rPr>
          <w:t xml:space="preserve">communio</w:t>
        </w:r>
      </w:hyperlink>
      <w:r>
        <w:rPr>
          <w:b w:val="0"/>
          <w:i w:val="0"/>
        </w:rPr>
        <w:t xml:space="preserve">; </w:t>
      </w:r>
      <w:hyperlink w:anchor="latin-record-0211">
        <w:r>
          <w:rPr>
            <w:color w:val="000000"/>
          </w:rPr>
          <w:t xml:space="preserve">componere / compositio</w:t>
        </w:r>
      </w:hyperlink>
      <w:r>
        <w:rPr>
          <w:b w:val="0"/>
          <w:i w:val="0"/>
        </w:rPr>
        <w:t xml:space="preserve">; </w:t>
      </w:r>
      <w:hyperlink w:anchor="latin-record-0350">
        <w:r>
          <w:rPr>
            <w:color w:val="000000"/>
          </w:rPr>
          <w:t xml:space="preserve">dubitare / diffidere / difficile</w:t>
        </w:r>
      </w:hyperlink>
      <w:r>
        <w:rPr>
          <w:b w:val="0"/>
          <w:i w:val="0"/>
        </w:rPr>
        <w:t xml:space="preserve">; </w:t>
      </w:r>
      <w:hyperlink w:anchor="latin-record-0429">
        <w:r>
          <w:rPr>
            <w:color w:val="000000"/>
          </w:rPr>
          <w:t xml:space="preserve">falsus / falsum</w:t>
        </w:r>
      </w:hyperlink>
      <w:r>
        <w:rPr>
          <w:b w:val="0"/>
          <w:i w:val="0"/>
        </w:rPr>
        <w:t xml:space="preserve">; </w:t>
      </w:r>
      <w:hyperlink w:anchor="latin-record-0562">
        <w:r>
          <w:rPr>
            <w:color w:val="000000"/>
          </w:rPr>
          <w:t xml:space="preserve">inesse / insitus</w:t>
        </w:r>
      </w:hyperlink>
      <w:r>
        <w:rPr>
          <w:b w:val="0"/>
          <w:i w:val="0"/>
        </w:rPr>
        <w:t xml:space="preserve">; </w:t>
      </w:r>
      <w:hyperlink w:anchor="latin-record-0645">
        <w:r>
          <w:rPr>
            <w:color w:val="000000"/>
          </w:rPr>
          <w:t xml:space="preserve">locare / regio / localis</w:t>
        </w:r>
      </w:hyperlink>
      <w:r>
        <w:rPr>
          <w:b w:val="0"/>
          <w:i w:val="0"/>
        </w:rPr>
        <w:t xml:space="preserve">; </w:t>
      </w:r>
      <w:hyperlink w:anchor="latin-record-0727">
        <w:r>
          <w:rPr>
            <w:color w:val="000000"/>
          </w:rPr>
          <w:t xml:space="preserve">multitudo / multiplex</w:t>
        </w:r>
      </w:hyperlink>
      <w:r>
        <w:rPr>
          <w:b w:val="0"/>
          <w:i w:val="0"/>
        </w:rPr>
        <w:t xml:space="preserve">; </w:t>
      </w:r>
      <w:hyperlink w:anchor="latin-record-0825">
        <w:r>
          <w:rPr>
            <w:color w:val="000000"/>
          </w:rPr>
          <w:t xml:space="preserve">particeps / participium</w:t>
        </w:r>
      </w:hyperlink>
      <w:r>
        <w:rPr>
          <w:b w:val="0"/>
          <w:i w:val="0"/>
        </w:rPr>
        <w:t xml:space="preserve">; </w:t>
      </w:r>
      <w:hyperlink w:anchor="latin-record-0894">
        <w:r>
          <w:rPr>
            <w:color w:val="000000"/>
          </w:rPr>
          <w:t xml:space="preserve">portio</w:t>
        </w:r>
      </w:hyperlink>
      <w:r>
        <w:rPr>
          <w:b w:val="0"/>
          <w:i w:val="0"/>
        </w:rPr>
        <w:t xml:space="preserve">; </w:t>
      </w:r>
      <w:hyperlink w:anchor="latin-record-0911">
        <w:r>
          <w:rPr>
            <w:color w:val="000000"/>
          </w:rPr>
          <w:t xml:space="preserve">praeponere / praeferre</w:t>
        </w:r>
      </w:hyperlink>
      <w:r>
        <w:rPr>
          <w:b w:val="0"/>
          <w:i w:val="0"/>
        </w:rPr>
        <w:t xml:space="preserve">; </w:t>
      </w:r>
      <w:hyperlink w:anchor="latin-record-0920">
        <w:r>
          <w:rPr>
            <w:color w:val="000000"/>
          </w:rPr>
          <w:t xml:space="preserve">praestare / praestans</w:t>
        </w:r>
      </w:hyperlink>
      <w:r>
        <w:rPr>
          <w:b w:val="0"/>
          <w:i w:val="0"/>
        </w:rPr>
        <w:t xml:space="preserve">; </w:t>
      </w:r>
      <w:hyperlink w:anchor="latin-record-0933">
        <w:r>
          <w:rPr>
            <w:color w:val="000000"/>
          </w:rPr>
          <w:t xml:space="preserve">privare / expers</w:t>
        </w:r>
      </w:hyperlink>
      <w:r>
        <w:rPr>
          <w:b w:val="0"/>
          <w:i w:val="0"/>
        </w:rPr>
        <w:t xml:space="preserve">; </w:t>
      </w:r>
      <w:hyperlink w:anchor="latin-record-1174">
        <w:r>
          <w:rPr>
            <w:color w:val="000000"/>
          </w:rPr>
          <w:t xml:space="preserve">superior / inferior</w:t>
        </w:r>
      </w:hyperlink>
      <w:r>
        <w:rPr>
          <w:b w:val="0"/>
          <w:i w:val="0"/>
        </w:rPr>
        <w:t xml:space="preserve">; </w:t>
      </w:r>
      <w:hyperlink w:anchor="latin-record-1221">
        <w:r>
          <w:rPr>
            <w:color w:val="000000"/>
          </w:rPr>
          <w:t xml:space="preserve">unitas / unio</w:t>
        </w:r>
      </w:hyperlink>
      <w:r>
        <w:rPr>
          <w:b w:val="0"/>
          <w:i w:val="0"/>
        </w:rPr>
        <w:t xml:space="preserve">; </w:t>
      </w:r>
      <w:hyperlink w:anchor="latin-record-1246">
        <w:r>
          <w:rPr>
            <w:color w:val="000000"/>
          </w:rPr>
          <w:t xml:space="preserve">veritas / verus</w:t>
        </w:r>
      </w:hyperlink>
      <w:r>
        <w:rPr>
          <w:b w:val="0"/>
          <w:i w:val="0"/>
        </w:rPr>
        <w:t xml:space="preserve">; </w:t>
      </w:r>
      <w:hyperlink w:anchor="latin-record-1247">
        <w:r>
          <w:rPr>
            <w:color w:val="000000"/>
          </w:rPr>
          <w:t xml:space="preserve">vero / verum: connectives</w:t>
        </w:r>
      </w:hyperlink>
      <w:r>
        <w:rPr>
          <w:b w:val="0"/>
          <w:i w:val="0"/>
        </w:rPr>
        <w:t xml:space="preserve">; </w:t>
      </w:r>
      <w:hyperlink w:anchor="latin-record-1270">
        <w:r>
          <w:rPr>
            <w:color w:val="000000"/>
          </w:rPr>
          <w:t xml:space="preserve">vis / vires</w:t>
        </w:r>
      </w:hyperlink>
      <w:r>
        <w:rPr>
          <w:b w:val="0"/>
          <w:i w:val="0"/>
        </w:rPr>
        <w:t>.</w:t>
      </w:r>
    </w:p>
    <w:p>
      <w:pPr>
        <w:widowControl/>
      </w:pPr>
      <w:bookmarkStart w:id="1699" w:name="passage-ii-1-4"/>
      <w:bookmarkEnd w:id="1699"/>
      <w:r>
        <w:rPr>
          <w:b/>
          <w:i w:val="0"/>
        </w:rPr>
        <w:t>II.1.4</w:t>
      </w:r>
      <w:r>
        <w:rPr>
          <w:b/>
          <w:i w:val="0"/>
        </w:rPr>
        <w:t>, source pp. 100–101.</w:t>
      </w:r>
      <w:r>
        <w:rPr>
          <w:b w:val="0"/>
          <w:i w:val="0"/>
        </w:rPr>
        <w:t xml:space="preserve"> Articles: </w:t>
      </w:r>
      <w:hyperlink w:anchor="good-and-goodness">
        <w:r>
          <w:rPr>
            <w:color w:val="000000"/>
          </w:rPr>
          <w:t xml:space="preserve">Good and goodness</w:t>
        </w:r>
      </w:hyperlink>
      <w:r>
        <w:rPr>
          <w:b w:val="0"/>
          <w:i w:val="0"/>
        </w:rPr>
        <w:t xml:space="preserve">; </w:t>
      </w:r>
      <w:hyperlink w:anchor="participation">
        <w:r>
          <w:rPr>
            <w:color w:val="000000"/>
          </w:rPr>
          <w:t xml:space="preserve">Participation</w:t>
        </w:r>
      </w:hyperlink>
      <w:r>
        <w:rPr>
          <w:b w:val="0"/>
          <w:i w:val="0"/>
        </w:rPr>
        <w:t xml:space="preserve">; </w:t>
      </w:r>
      <w:hyperlink w:anchor="principle">
        <w:r>
          <w:rPr>
            <w:color w:val="000000"/>
          </w:rPr>
          <w:t xml:space="preserve">Principle</w:t>
        </w:r>
      </w:hyperlink>
      <w:r>
        <w:rPr>
          <w:b w:val="0"/>
          <w:i w:val="0"/>
        </w:rPr>
        <w:t xml:space="preserve">; </w:t>
      </w:r>
      <w:hyperlink w:anchor="purity-and-mixture">
        <w:r>
          <w:rPr>
            <w:color w:val="000000"/>
          </w:rPr>
          <w:t xml:space="preserve">Purity and mixture</w:t>
        </w:r>
      </w:hyperlink>
      <w:r>
        <w:rPr>
          <w:b w:val="0"/>
          <w:i w:val="0"/>
        </w:rPr>
        <w:t xml:space="preserve">; </w:t>
      </w:r>
      <w:hyperlink w:anchor="surpassing-and-comparison">
        <w:r>
          <w:rPr>
            <w:color w:val="000000"/>
          </w:rPr>
          <w:t xml:space="preserve">Surpassing and comparison</w:t>
        </w:r>
      </w:hyperlink>
      <w:r>
        <w:rPr>
          <w:b w:val="0"/>
          <w:i w:val="0"/>
        </w:rPr>
        <w:t xml:space="preserve">. Vocabulary: </w:t>
      </w:r>
      <w:hyperlink w:anchor="latin-record-0127">
        <w:r>
          <w:rPr>
            <w:color w:val="000000"/>
          </w:rPr>
          <w:t xml:space="preserve">bonitas / bonum</w:t>
        </w:r>
      </w:hyperlink>
      <w:r>
        <w:rPr>
          <w:b w:val="0"/>
          <w:i w:val="0"/>
        </w:rPr>
        <w:t xml:space="preserve">; </w:t>
      </w:r>
      <w:hyperlink w:anchor="latin-record-0195">
        <w:r>
          <w:rPr>
            <w:color w:val="000000"/>
          </w:rPr>
          <w:t xml:space="preserve">commiscere / mixtio</w:t>
        </w:r>
      </w:hyperlink>
      <w:r>
        <w:rPr>
          <w:b w:val="0"/>
          <w:i w:val="0"/>
        </w:rPr>
        <w:t xml:space="preserve">; </w:t>
      </w:r>
      <w:hyperlink w:anchor="latin-record-0578">
        <w:r>
          <w:rPr>
            <w:color w:val="000000"/>
          </w:rPr>
          <w:t xml:space="preserve">inquinare / contagio</w:t>
        </w:r>
      </w:hyperlink>
      <w:r>
        <w:rPr>
          <w:b w:val="0"/>
          <w:i w:val="0"/>
        </w:rPr>
        <w:t xml:space="preserve">; </w:t>
      </w:r>
      <w:hyperlink w:anchor="latin-record-0664">
        <w:r>
          <w:rPr>
            <w:color w:val="000000"/>
          </w:rPr>
          <w:t xml:space="preserve">magnum / magnitudo / maior</w:t>
        </w:r>
      </w:hyperlink>
      <w:r>
        <w:rPr>
          <w:b w:val="0"/>
          <w:i w:val="0"/>
        </w:rPr>
        <w:t xml:space="preserve">; </w:t>
      </w:r>
      <w:hyperlink w:anchor="latin-record-0667">
        <w:r>
          <w:rPr>
            <w:color w:val="000000"/>
          </w:rPr>
          <w:t xml:space="preserve">malum</w:t>
        </w:r>
      </w:hyperlink>
      <w:r>
        <w:rPr>
          <w:b w:val="0"/>
          <w:i w:val="0"/>
        </w:rPr>
        <w:t xml:space="preserve">; </w:t>
      </w:r>
      <w:hyperlink w:anchor="latin-record-0894">
        <w:r>
          <w:rPr>
            <w:color w:val="000000"/>
          </w:rPr>
          <w:t xml:space="preserve">portio</w:t>
        </w:r>
      </w:hyperlink>
      <w:r>
        <w:rPr>
          <w:b w:val="0"/>
          <w:i w:val="0"/>
        </w:rPr>
        <w:t>.</w:t>
      </w:r>
    </w:p>
    <w:p>
      <w:pPr>
        <w:widowControl/>
      </w:pPr>
      <w:bookmarkStart w:id="1700" w:name="passage-ii-1-5"/>
      <w:bookmarkEnd w:id="1700"/>
      <w:r>
        <w:rPr>
          <w:b/>
          <w:i w:val="0"/>
        </w:rPr>
        <w:t>II.1.5</w:t>
      </w:r>
      <w:r>
        <w:rPr>
          <w:b/>
          <w:i w:val="0"/>
        </w:rPr>
        <w:t>, source pp. 100–101.</w:t>
      </w:r>
      <w:r>
        <w:rPr>
          <w:b w:val="0"/>
          <w:i w:val="0"/>
        </w:rPr>
        <w:t xml:space="preserve"> Articles: </w:t>
      </w:r>
      <w:hyperlink w:anchor="communication-and-imparting">
        <w:r>
          <w:rPr>
            <w:color w:val="000000"/>
          </w:rPr>
          <w:t xml:space="preserve">Communication and imparting</w:t>
        </w:r>
      </w:hyperlink>
      <w:r>
        <w:rPr>
          <w:b w:val="0"/>
          <w:i w:val="0"/>
        </w:rPr>
        <w:t xml:space="preserve">; </w:t>
      </w:r>
      <w:hyperlink w:anchor="good-and-goodness">
        <w:r>
          <w:rPr>
            <w:color w:val="000000"/>
          </w:rPr>
          <w:t xml:space="preserve">Good and goodness</w:t>
        </w:r>
      </w:hyperlink>
      <w:r>
        <w:rPr>
          <w:b w:val="0"/>
          <w:i w:val="0"/>
        </w:rPr>
        <w:t xml:space="preserve">; </w:t>
      </w:r>
      <w:hyperlink w:anchor="participation">
        <w:r>
          <w:rPr>
            <w:color w:val="000000"/>
          </w:rPr>
          <w:t xml:space="preserve">Participation</w:t>
        </w:r>
      </w:hyperlink>
      <w:r>
        <w:rPr>
          <w:b w:val="0"/>
          <w:i w:val="0"/>
        </w:rPr>
        <w:t xml:space="preserve">; </w:t>
      </w:r>
      <w:hyperlink w:anchor="principle">
        <w:r>
          <w:rPr>
            <w:color w:val="000000"/>
          </w:rPr>
          <w:t xml:space="preserve">Principle</w:t>
        </w:r>
      </w:hyperlink>
      <w:r>
        <w:rPr>
          <w:b w:val="0"/>
          <w:i w:val="0"/>
        </w:rPr>
        <w:t xml:space="preserve">; </w:t>
      </w:r>
      <w:hyperlink w:anchor="surpassing-and-comparison">
        <w:r>
          <w:rPr>
            <w:color w:val="000000"/>
          </w:rPr>
          <w:t xml:space="preserve">Surpassing and comparison</w:t>
        </w:r>
      </w:hyperlink>
      <w:r>
        <w:rPr>
          <w:b w:val="0"/>
          <w:i w:val="0"/>
        </w:rPr>
        <w:t xml:space="preserve">. Vocabulary: </w:t>
      </w:r>
      <w:hyperlink w:anchor="latin-record-0086">
        <w:r>
          <w:rPr>
            <w:color w:val="000000"/>
          </w:rPr>
          <w:t xml:space="preserve">appetibilis / appetere</w:t>
        </w:r>
      </w:hyperlink>
      <w:r>
        <w:rPr>
          <w:b w:val="0"/>
          <w:i w:val="0"/>
        </w:rPr>
        <w:t xml:space="preserve">; </w:t>
      </w:r>
      <w:hyperlink w:anchor="latin-record-0206">
        <w:r>
          <w:rPr>
            <w:color w:val="000000"/>
          </w:rPr>
          <w:t xml:space="preserve">competere / pertinere / spectare</w:t>
        </w:r>
      </w:hyperlink>
      <w:r>
        <w:rPr>
          <w:b w:val="0"/>
          <w:i w:val="0"/>
        </w:rPr>
        <w:t xml:space="preserve">; </w:t>
      </w:r>
      <w:hyperlink w:anchor="latin-record-0393">
        <w:r>
          <w:rPr>
            <w:color w:val="000000"/>
          </w:rPr>
          <w:t xml:space="preserve">excedere / superare</w:t>
        </w:r>
      </w:hyperlink>
      <w:r>
        <w:rPr>
          <w:b w:val="0"/>
          <w:i w:val="0"/>
        </w:rPr>
        <w:t xml:space="preserve">; </w:t>
      </w:r>
      <w:hyperlink w:anchor="latin-record-0538">
        <w:r>
          <w:rPr>
            <w:color w:val="000000"/>
          </w:rPr>
          <w:t xml:space="preserve">imperium</w:t>
        </w:r>
      </w:hyperlink>
      <w:r>
        <w:rPr>
          <w:b w:val="0"/>
          <w:i w:val="0"/>
        </w:rPr>
        <w:t xml:space="preserve">; </w:t>
      </w:r>
      <w:hyperlink w:anchor="latin-record-0540">
        <w:r>
          <w:rPr>
            <w:color w:val="000000"/>
          </w:rPr>
          <w:t xml:space="preserve">impertire / impartire / largiri</w:t>
        </w:r>
      </w:hyperlink>
      <w:r>
        <w:rPr>
          <w:b w:val="0"/>
          <w:i w:val="0"/>
        </w:rPr>
        <w:t xml:space="preserve">; </w:t>
      </w:r>
      <w:hyperlink w:anchor="latin-record-0667">
        <w:r>
          <w:rPr>
            <w:color w:val="000000"/>
          </w:rPr>
          <w:t xml:space="preserve">malum</w:t>
        </w:r>
      </w:hyperlink>
      <w:r>
        <w:rPr>
          <w:b w:val="0"/>
          <w:i w:val="0"/>
        </w:rPr>
        <w:t xml:space="preserve">; </w:t>
      </w:r>
      <w:hyperlink w:anchor="latin-record-0731">
        <w:r>
          <w:rPr>
            <w:color w:val="000000"/>
          </w:rPr>
          <w:t xml:space="preserve">munus</w:t>
        </w:r>
      </w:hyperlink>
      <w:r>
        <w:rPr>
          <w:b w:val="0"/>
          <w:i w:val="0"/>
        </w:rPr>
        <w:t xml:space="preserve">; </w:t>
      </w:r>
      <w:hyperlink w:anchor="latin-record-0920">
        <w:r>
          <w:rPr>
            <w:color w:val="000000"/>
          </w:rPr>
          <w:t xml:space="preserve">praestare / praestans</w:t>
        </w:r>
      </w:hyperlink>
      <w:r>
        <w:rPr>
          <w:b w:val="0"/>
          <w:i w:val="0"/>
        </w:rPr>
        <w:t>.</w:t>
      </w:r>
    </w:p>
    <w:p>
      <w:pPr>
        <w:widowControl/>
      </w:pPr>
      <w:bookmarkStart w:id="1701" w:name="passage-ii-1-6"/>
      <w:bookmarkEnd w:id="1701"/>
      <w:r>
        <w:rPr>
          <w:b/>
          <w:i w:val="0"/>
        </w:rPr>
        <w:t>II.1.6</w:t>
      </w:r>
      <w:r>
        <w:rPr>
          <w:b/>
          <w:i w:val="0"/>
        </w:rPr>
        <w:t>, source pp. 102–103.</w:t>
      </w:r>
      <w:r>
        <w:rPr>
          <w:b w:val="0"/>
          <w:i w:val="0"/>
        </w:rPr>
        <w:t xml:space="preserve"> Articles: </w:t>
      </w:r>
      <w:hyperlink w:anchor="appetite-and-desire">
        <w:r>
          <w:rPr>
            <w:color w:val="000000"/>
          </w:rPr>
          <w:t xml:space="preserve">Appetite and desire</w:t>
        </w:r>
      </w:hyperlink>
      <w:r>
        <w:rPr>
          <w:b w:val="0"/>
          <w:i w:val="0"/>
        </w:rPr>
        <w:t xml:space="preserve">; </w:t>
      </w:r>
      <w:hyperlink w:anchor="communication-and-imparting">
        <w:r>
          <w:rPr>
            <w:color w:val="000000"/>
          </w:rPr>
          <w:t xml:space="preserve">Communication and imparting</w:t>
        </w:r>
      </w:hyperlink>
      <w:r>
        <w:rPr>
          <w:b w:val="0"/>
          <w:i w:val="0"/>
        </w:rPr>
        <w:t xml:space="preserve">; </w:t>
      </w:r>
      <w:hyperlink w:anchor="good-and-goodness">
        <w:r>
          <w:rPr>
            <w:color w:val="000000"/>
          </w:rPr>
          <w:t xml:space="preserve">Good and goodness</w:t>
        </w:r>
      </w:hyperlink>
      <w:r>
        <w:rPr>
          <w:b w:val="0"/>
          <w:i w:val="0"/>
        </w:rPr>
        <w:t xml:space="preserve">; </w:t>
      </w:r>
      <w:hyperlink w:anchor="participation">
        <w:r>
          <w:rPr>
            <w:color w:val="000000"/>
          </w:rPr>
          <w:t xml:space="preserve">Participation</w:t>
        </w:r>
      </w:hyperlink>
      <w:r>
        <w:rPr>
          <w:b w:val="0"/>
          <w:i w:val="0"/>
        </w:rPr>
        <w:t xml:space="preserve">; </w:t>
      </w:r>
      <w:hyperlink w:anchor="principle">
        <w:r>
          <w:rPr>
            <w:color w:val="000000"/>
          </w:rPr>
          <w:t xml:space="preserve">Principle</w:t>
        </w:r>
      </w:hyperlink>
      <w:r>
        <w:rPr>
          <w:b w:val="0"/>
          <w:i w:val="0"/>
        </w:rPr>
        <w:t xml:space="preserve">; </w:t>
      </w:r>
      <w:hyperlink w:anchor="surpassing-and-comparison">
        <w:r>
          <w:rPr>
            <w:color w:val="000000"/>
          </w:rPr>
          <w:t xml:space="preserve">Surpassing and comparison</w:t>
        </w:r>
      </w:hyperlink>
      <w:r>
        <w:rPr>
          <w:b w:val="0"/>
          <w:i w:val="0"/>
        </w:rPr>
        <w:t xml:space="preserve">. Vocabulary: </w:t>
      </w:r>
      <w:hyperlink w:anchor="latin-record-0005">
        <w:r>
          <w:rPr>
            <w:color w:val="000000"/>
          </w:rPr>
          <w:t xml:space="preserve">absurdus</w:t>
        </w:r>
      </w:hyperlink>
      <w:r>
        <w:rPr>
          <w:b w:val="0"/>
          <w:i w:val="0"/>
        </w:rPr>
        <w:t xml:space="preserve">; </w:t>
      </w:r>
      <w:hyperlink w:anchor="latin-record-0086">
        <w:r>
          <w:rPr>
            <w:color w:val="000000"/>
          </w:rPr>
          <w:t xml:space="preserve">appetibilis / appetere</w:t>
        </w:r>
      </w:hyperlink>
      <w:r>
        <w:rPr>
          <w:b w:val="0"/>
          <w:i w:val="0"/>
        </w:rPr>
        <w:t xml:space="preserve">; </w:t>
      </w:r>
      <w:hyperlink w:anchor="latin-record-0100">
        <w:r>
          <w:rPr>
            <w:color w:val="000000"/>
          </w:rPr>
          <w:t xml:space="preserve">ascendere / descendere</w:t>
        </w:r>
      </w:hyperlink>
      <w:r>
        <w:rPr>
          <w:b w:val="0"/>
          <w:i w:val="0"/>
        </w:rPr>
        <w:t xml:space="preserve">; </w:t>
      </w:r>
      <w:hyperlink w:anchor="latin-record-0292">
        <w:r>
          <w:rPr>
            <w:color w:val="000000"/>
          </w:rPr>
          <w:t xml:space="preserve">dare / donare / exhibere</w:t>
        </w:r>
      </w:hyperlink>
      <w:r>
        <w:rPr>
          <w:b w:val="0"/>
          <w:i w:val="0"/>
        </w:rPr>
        <w:t xml:space="preserve">; </w:t>
      </w:r>
      <w:hyperlink w:anchor="latin-record-0409">
        <w:r>
          <w:rPr>
            <w:color w:val="000000"/>
          </w:rPr>
          <w:t xml:space="preserve">expetere / desiderare</w:t>
        </w:r>
      </w:hyperlink>
      <w:r>
        <w:rPr>
          <w:b w:val="0"/>
          <w:i w:val="0"/>
        </w:rPr>
        <w:t xml:space="preserve">; </w:t>
      </w:r>
      <w:hyperlink w:anchor="latin-record-0433">
        <w:r>
          <w:rPr>
            <w:color w:val="000000"/>
          </w:rPr>
          <w:t xml:space="preserve">fateri / negare / affirmare</w:t>
        </w:r>
      </w:hyperlink>
      <w:r>
        <w:rPr>
          <w:b w:val="0"/>
          <w:i w:val="0"/>
        </w:rPr>
        <w:t xml:space="preserve">; </w:t>
      </w:r>
      <w:hyperlink w:anchor="latin-record-0682">
        <w:r>
          <w:rPr>
            <w:color w:val="000000"/>
          </w:rPr>
          <w:t xml:space="preserve">melior / melius</w:t>
        </w:r>
      </w:hyperlink>
      <w:r>
        <w:rPr>
          <w:b w:val="0"/>
          <w:i w:val="0"/>
        </w:rPr>
        <w:t xml:space="preserve">; </w:t>
      </w:r>
      <w:hyperlink w:anchor="latin-record-0731">
        <w:r>
          <w:rPr>
            <w:color w:val="000000"/>
          </w:rPr>
          <w:t xml:space="preserve">munus</w:t>
        </w:r>
      </w:hyperlink>
      <w:r>
        <w:rPr>
          <w:b w:val="0"/>
          <w:i w:val="0"/>
        </w:rPr>
        <w:t xml:space="preserve">; </w:t>
      </w:r>
      <w:hyperlink w:anchor="latin-record-0894">
        <w:r>
          <w:rPr>
            <w:color w:val="000000"/>
          </w:rPr>
          <w:t xml:space="preserve">portio</w:t>
        </w:r>
      </w:hyperlink>
      <w:r>
        <w:rPr>
          <w:b w:val="0"/>
          <w:i w:val="0"/>
        </w:rPr>
        <w:t xml:space="preserve">; </w:t>
      </w:r>
      <w:hyperlink w:anchor="latin-record-0999">
        <w:r>
          <w:rPr>
            <w:color w:val="000000"/>
          </w:rPr>
          <w:t xml:space="preserve">quaerere / interrogare</w:t>
        </w:r>
      </w:hyperlink>
      <w:r>
        <w:rPr>
          <w:b w:val="0"/>
          <w:i w:val="0"/>
        </w:rPr>
        <w:t xml:space="preserve">; </w:t>
      </w:r>
      <w:hyperlink w:anchor="latin-record-1148">
        <w:r>
          <w:rPr>
            <w:color w:val="000000"/>
          </w:rPr>
          <w:t xml:space="preserve">stultus / sapienter / perspicue / vulgo / gratia / idealis</w:t>
        </w:r>
      </w:hyperlink>
      <w:r>
        <w:rPr>
          <w:b w:val="0"/>
          <w:i w:val="0"/>
        </w:rPr>
        <w:t xml:space="preserve">; </w:t>
      </w:r>
      <w:hyperlink w:anchor="latin-record-1174">
        <w:r>
          <w:rPr>
            <w:color w:val="000000"/>
          </w:rPr>
          <w:t xml:space="preserve">superior / inferior</w:t>
        </w:r>
      </w:hyperlink>
      <w:r>
        <w:rPr>
          <w:b w:val="0"/>
          <w:i w:val="0"/>
        </w:rPr>
        <w:t>.</w:t>
      </w:r>
    </w:p>
    <w:p>
      <w:pPr>
        <w:widowControl/>
      </w:pPr>
      <w:bookmarkStart w:id="1702" w:name="passage-ii-1-7"/>
      <w:bookmarkEnd w:id="1702"/>
      <w:r>
        <w:rPr>
          <w:b/>
          <w:i w:val="0"/>
        </w:rPr>
        <w:t>II.1.7</w:t>
      </w:r>
      <w:r>
        <w:rPr>
          <w:b/>
          <w:i w:val="0"/>
        </w:rPr>
        <w:t>, source pp. 102–103.</w:t>
      </w:r>
      <w:r>
        <w:rPr>
          <w:b w:val="0"/>
          <w:i w:val="0"/>
        </w:rPr>
        <w:t xml:space="preserve"> Articles: </w:t>
      </w:r>
      <w:hyperlink w:anchor="appetite-and-desire">
        <w:r>
          <w:rPr>
            <w:color w:val="000000"/>
          </w:rPr>
          <w:t xml:space="preserve">Appetite and desire</w:t>
        </w:r>
      </w:hyperlink>
      <w:r>
        <w:rPr>
          <w:b w:val="0"/>
          <w:i w:val="0"/>
        </w:rPr>
        <w:t xml:space="preserve">; </w:t>
      </w:r>
      <w:hyperlink w:anchor="god">
        <w:r>
          <w:rPr>
            <w:color w:val="000000"/>
          </w:rPr>
          <w:t xml:space="preserve">God</w:t>
        </w:r>
      </w:hyperlink>
      <w:r>
        <w:rPr>
          <w:b w:val="0"/>
          <w:i w:val="0"/>
        </w:rPr>
        <w:t xml:space="preserve">; </w:t>
      </w:r>
      <w:hyperlink w:anchor="good-and-goodness">
        <w:r>
          <w:rPr>
            <w:color w:val="000000"/>
          </w:rPr>
          <w:t xml:space="preserve">Good and goodness</w:t>
        </w:r>
      </w:hyperlink>
      <w:r>
        <w:rPr>
          <w:b w:val="0"/>
          <w:i w:val="0"/>
        </w:rPr>
        <w:t xml:space="preserve">; </w:t>
      </w:r>
      <w:hyperlink w:anchor="participation">
        <w:r>
          <w:rPr>
            <w:color w:val="000000"/>
          </w:rPr>
          <w:t xml:space="preserve">Participation</w:t>
        </w:r>
      </w:hyperlink>
      <w:r>
        <w:rPr>
          <w:b w:val="0"/>
          <w:i w:val="0"/>
        </w:rPr>
        <w:t xml:space="preserve">; </w:t>
      </w:r>
      <w:hyperlink w:anchor="principle">
        <w:r>
          <w:rPr>
            <w:color w:val="000000"/>
          </w:rPr>
          <w:t xml:space="preserve">Principle</w:t>
        </w:r>
      </w:hyperlink>
      <w:r>
        <w:rPr>
          <w:b w:val="0"/>
          <w:i w:val="0"/>
        </w:rPr>
        <w:t xml:space="preserve">. Vocabulary: </w:t>
      </w:r>
      <w:hyperlink w:anchor="latin-record-0056">
        <w:r>
          <w:rPr>
            <w:color w:val="000000"/>
          </w:rPr>
          <w:t xml:space="preserve">amare / amor</w:t>
        </w:r>
      </w:hyperlink>
      <w:r>
        <w:rPr>
          <w:b w:val="0"/>
          <w:i w:val="0"/>
        </w:rPr>
        <w:t xml:space="preserve">; </w:t>
      </w:r>
      <w:hyperlink w:anchor="latin-record-0127">
        <w:r>
          <w:rPr>
            <w:color w:val="000000"/>
          </w:rPr>
          <w:t xml:space="preserve">bonitas / bonum</w:t>
        </w:r>
      </w:hyperlink>
      <w:r>
        <w:rPr>
          <w:b w:val="0"/>
          <w:i w:val="0"/>
        </w:rPr>
        <w:t xml:space="preserve">; </w:t>
      </w:r>
      <w:hyperlink w:anchor="latin-record-0173">
        <w:r>
          <w:rPr>
            <w:color w:val="000000"/>
          </w:rPr>
          <w:t xml:space="preserve">cogere / compellere</w:t>
        </w:r>
      </w:hyperlink>
      <w:r>
        <w:rPr>
          <w:b w:val="0"/>
          <w:i w:val="0"/>
        </w:rPr>
        <w:t xml:space="preserve">; </w:t>
      </w:r>
      <w:hyperlink w:anchor="latin-record-0287">
        <w:r>
          <w:rPr>
            <w:color w:val="000000"/>
          </w:rPr>
          <w:t xml:space="preserve">cupere / avidus</w:t>
        </w:r>
      </w:hyperlink>
      <w:r>
        <w:rPr>
          <w:b w:val="0"/>
          <w:i w:val="0"/>
        </w:rPr>
        <w:t xml:space="preserve">; </w:t>
      </w:r>
      <w:hyperlink w:anchor="latin-record-0311">
        <w:r>
          <w:rPr>
            <w:color w:val="000000"/>
          </w:rPr>
          <w:t xml:space="preserve">Deus / divinus</w:t>
        </w:r>
      </w:hyperlink>
      <w:r>
        <w:rPr>
          <w:b w:val="0"/>
          <w:i w:val="0"/>
        </w:rPr>
        <w:t xml:space="preserve">; </w:t>
      </w:r>
      <w:hyperlink w:anchor="latin-record-0881">
        <w:r>
          <w:rPr>
            <w:color w:val="000000"/>
          </w:rPr>
          <w:t xml:space="preserve">Plato / Platonici / philosophi / physici</w:t>
        </w:r>
      </w:hyperlink>
      <w:r>
        <w:rPr>
          <w:b w:val="0"/>
          <w:i w:val="0"/>
        </w:rPr>
        <w:t xml:space="preserve">; </w:t>
      </w:r>
      <w:hyperlink w:anchor="latin-record-0948">
        <w:r>
          <w:rPr>
            <w:color w:val="000000"/>
          </w:rPr>
          <w:t xml:space="preserve">prohibere / claudere / includere</w:t>
        </w:r>
      </w:hyperlink>
      <w:r>
        <w:rPr>
          <w:b w:val="0"/>
          <w:i w:val="0"/>
        </w:rPr>
        <w:t xml:space="preserve">; </w:t>
      </w:r>
      <w:hyperlink w:anchor="latin-record-1022">
        <w:r>
          <w:rPr>
            <w:color w:val="000000"/>
          </w:rPr>
          <w:t xml:space="preserve">ratio / rationalis</w:t>
        </w:r>
      </w:hyperlink>
      <w:r>
        <w:rPr>
          <w:b w:val="0"/>
          <w:i w:val="0"/>
        </w:rPr>
        <w:t xml:space="preserve">; </w:t>
      </w:r>
      <w:hyperlink w:anchor="latin-record-1024">
        <w:r>
          <w:rPr>
            <w:color w:val="000000"/>
          </w:rPr>
          <w:t xml:space="preserve">ratio appetendi</w:t>
        </w:r>
      </w:hyperlink>
      <w:r>
        <w:rPr>
          <w:b w:val="0"/>
          <w:i w:val="0"/>
        </w:rPr>
        <w:t>.</w:t>
      </w:r>
    </w:p>
    <w:p>
      <w:bookmarkStart w:id="1703" w:name="chapter-ii.2"/>
      <w:pPr>
        <w:pStyle w:val="Heading2"/>
      </w:pPr>
      <w:r>
        <w:rPr>
          <w:b w:val="0"/>
          <w:i w:val="0"/>
        </w:rPr>
        <w:t>Chapter II.2</w:t>
      </w:r>
      <w:bookmarkEnd w:id="1703"/>
    </w:p>
    <w:p>
      <w:pPr>
        <w:widowControl/>
      </w:pPr>
      <w:bookmarkStart w:id="1704" w:name="passage-ii-2-1"/>
      <w:bookmarkEnd w:id="1704"/>
      <w:r>
        <w:rPr>
          <w:b/>
          <w:i w:val="0"/>
        </w:rPr>
        <w:t>II.2.1</w:t>
      </w:r>
      <w:r>
        <w:rPr>
          <w:b/>
          <w:i w:val="0"/>
        </w:rPr>
        <w:t>, source pp. 104–105.</w:t>
      </w:r>
      <w:r>
        <w:rPr>
          <w:b w:val="0"/>
          <w:i w:val="0"/>
        </w:rPr>
        <w:t xml:space="preserve"> Articles: </w:t>
      </w:r>
      <w:hyperlink w:anchor="agreement-and-hypothetical-concession">
        <w:r>
          <w:rPr>
            <w:color w:val="000000"/>
          </w:rPr>
          <w:t xml:space="preserve">Agreement and hypothetical concession</w:t>
        </w:r>
      </w:hyperlink>
      <w:r>
        <w:rPr>
          <w:b w:val="0"/>
          <w:i w:val="0"/>
        </w:rPr>
        <w:t xml:space="preserve">; </w:t>
      </w:r>
      <w:hyperlink w:anchor="god">
        <w:r>
          <w:rPr>
            <w:color w:val="000000"/>
          </w:rPr>
          <w:t xml:space="preserve">God</w:t>
        </w:r>
      </w:hyperlink>
      <w:r>
        <w:rPr>
          <w:b w:val="0"/>
          <w:i w:val="0"/>
        </w:rPr>
        <w:t xml:space="preserve">; </w:t>
      </w:r>
      <w:hyperlink w:anchor="principle">
        <w:r>
          <w:rPr>
            <w:color w:val="000000"/>
          </w:rPr>
          <w:t xml:space="preserve">Principle</w:t>
        </w:r>
      </w:hyperlink>
      <w:r>
        <w:rPr>
          <w:b w:val="0"/>
          <w:i w:val="0"/>
        </w:rPr>
        <w:t xml:space="preserve">. Vocabulary: </w:t>
      </w:r>
      <w:hyperlink w:anchor="latin-record-0035">
        <w:r>
          <w:rPr>
            <w:color w:val="000000"/>
          </w:rPr>
          <w:t xml:space="preserve">aequalis / aeque</w:t>
        </w:r>
      </w:hyperlink>
      <w:r>
        <w:rPr>
          <w:b w:val="0"/>
          <w:i w:val="0"/>
        </w:rPr>
        <w:t xml:space="preserve">; </w:t>
      </w:r>
      <w:hyperlink w:anchor="latin-record-0311">
        <w:r>
          <w:rPr>
            <w:color w:val="000000"/>
          </w:rPr>
          <w:t xml:space="preserve">Deus / divinus</w:t>
        </w:r>
      </w:hyperlink>
      <w:r>
        <w:rPr>
          <w:b w:val="0"/>
          <w:i w:val="0"/>
        </w:rPr>
        <w:t xml:space="preserve">; </w:t>
      </w:r>
      <w:hyperlink w:anchor="latin-record-0317">
        <w:r>
          <w:rPr>
            <w:color w:val="000000"/>
          </w:rPr>
          <w:t xml:space="preserve">differre / discrepare</w:t>
        </w:r>
      </w:hyperlink>
      <w:r>
        <w:rPr>
          <w:b w:val="0"/>
          <w:i w:val="0"/>
        </w:rPr>
        <w:t xml:space="preserve">; </w:t>
      </w:r>
      <w:hyperlink w:anchor="latin-record-0479">
        <w:r>
          <w:rPr>
            <w:color w:val="000000"/>
          </w:rPr>
          <w:t xml:space="preserve">geminus / binus</w:t>
        </w:r>
      </w:hyperlink>
      <w:r>
        <w:rPr>
          <w:b w:val="0"/>
          <w:i w:val="0"/>
        </w:rPr>
        <w:t xml:space="preserve">; </w:t>
      </w:r>
      <w:hyperlink w:anchor="latin-record-0878">
        <w:r>
          <w:rPr>
            <w:color w:val="000000"/>
          </w:rPr>
          <w:t xml:space="preserve">placere / libenter</w:t>
        </w:r>
      </w:hyperlink>
      <w:r>
        <w:rPr>
          <w:b w:val="0"/>
          <w:i w:val="0"/>
        </w:rPr>
        <w:t xml:space="preserve">; </w:t>
      </w:r>
      <w:hyperlink w:anchor="latin-record-0999">
        <w:r>
          <w:rPr>
            <w:color w:val="000000"/>
          </w:rPr>
          <w:t xml:space="preserve">quaerere / interrogare</w:t>
        </w:r>
      </w:hyperlink>
      <w:r>
        <w:rPr>
          <w:b w:val="0"/>
          <w:i w:val="0"/>
        </w:rPr>
        <w:t xml:space="preserve">; </w:t>
      </w:r>
      <w:hyperlink w:anchor="latin-record-1247">
        <w:r>
          <w:rPr>
            <w:color w:val="000000"/>
          </w:rPr>
          <w:t xml:space="preserve">vero / verum: connectives</w:t>
        </w:r>
      </w:hyperlink>
      <w:r>
        <w:rPr>
          <w:b w:val="0"/>
          <w:i w:val="0"/>
        </w:rPr>
        <w:t>.</w:t>
      </w:r>
    </w:p>
    <w:p>
      <w:pPr>
        <w:widowControl/>
      </w:pPr>
      <w:bookmarkStart w:id="1705" w:name="passage-ii-2-2"/>
      <w:bookmarkEnd w:id="1705"/>
      <w:r>
        <w:rPr>
          <w:b/>
          <w:i w:val="0"/>
        </w:rPr>
        <w:t>II.2.2</w:t>
      </w:r>
      <w:r>
        <w:rPr>
          <w:b/>
          <w:i w:val="0"/>
        </w:rPr>
        <w:t>, source pp. 104–105.</w:t>
      </w:r>
      <w:r>
        <w:rPr>
          <w:b w:val="0"/>
          <w:i w:val="0"/>
        </w:rPr>
        <w:t xml:space="preserve"> Articles: </w:t>
      </w:r>
      <w:hyperlink w:anchor="agreement-and-hypothetical-concession">
        <w:r>
          <w:rPr>
            <w:color w:val="000000"/>
          </w:rPr>
          <w:t xml:space="preserve">Agreement and hypothetical concession</w:t>
        </w:r>
      </w:hyperlink>
      <w:r>
        <w:rPr>
          <w:b w:val="0"/>
          <w:i w:val="0"/>
        </w:rPr>
        <w:t xml:space="preserve">; </w:t>
      </w:r>
      <w:hyperlink w:anchor="common-and-proper">
        <w:r>
          <w:rPr>
            <w:color w:val="000000"/>
          </w:rPr>
          <w:t xml:space="preserve">Common and proper</w:t>
        </w:r>
      </w:hyperlink>
      <w:r>
        <w:rPr>
          <w:b w:val="0"/>
          <w:i w:val="0"/>
        </w:rPr>
        <w:t xml:space="preserve">; </w:t>
      </w:r>
      <w:hyperlink w:anchor="concord-and-convergence">
        <w:r>
          <w:rPr>
            <w:color w:val="000000"/>
          </w:rPr>
          <w:t xml:space="preserve">Concord and convergence</w:t>
        </w:r>
      </w:hyperlink>
      <w:r>
        <w:rPr>
          <w:b w:val="0"/>
          <w:i w:val="0"/>
        </w:rPr>
        <w:t xml:space="preserve">; </w:t>
      </w:r>
      <w:hyperlink w:anchor="god">
        <w:r>
          <w:rPr>
            <w:color w:val="000000"/>
          </w:rPr>
          <w:t xml:space="preserve">God</w:t>
        </w:r>
      </w:hyperlink>
      <w:r>
        <w:rPr>
          <w:b w:val="0"/>
          <w:i w:val="0"/>
        </w:rPr>
        <w:t xml:space="preserve">; </w:t>
      </w:r>
      <w:hyperlink w:anchor="order-and-harmony">
        <w:r>
          <w:rPr>
            <w:color w:val="000000"/>
          </w:rPr>
          <w:t xml:space="preserve">Order and harmony</w:t>
        </w:r>
      </w:hyperlink>
      <w:r>
        <w:rPr>
          <w:b w:val="0"/>
          <w:i w:val="0"/>
        </w:rPr>
        <w:t xml:space="preserve">; </w:t>
      </w:r>
      <w:hyperlink w:anchor="principle">
        <w:r>
          <w:rPr>
            <w:color w:val="000000"/>
          </w:rPr>
          <w:t xml:space="preserve">Principle</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weaving-and-world-fabric">
        <w:r>
          <w:rPr>
            <w:color w:val="000000"/>
          </w:rPr>
          <w:t xml:space="preserve">Weaving and world fabric</w:t>
        </w:r>
      </w:hyperlink>
      <w:r>
        <w:rPr>
          <w:b w:val="0"/>
          <w:i w:val="0"/>
        </w:rPr>
        <w:t xml:space="preserve">. Vocabulary: </w:t>
      </w:r>
      <w:hyperlink w:anchor="latin-record-0201">
        <w:r>
          <w:rPr>
            <w:color w:val="000000"/>
          </w:rPr>
          <w:t xml:space="preserve">communis</w:t>
        </w:r>
      </w:hyperlink>
      <w:r>
        <w:rPr>
          <w:b w:val="0"/>
          <w:i w:val="0"/>
        </w:rPr>
        <w:t xml:space="preserve">; </w:t>
      </w:r>
      <w:hyperlink w:anchor="latin-record-0218">
        <w:r>
          <w:rPr>
            <w:color w:val="000000"/>
          </w:rPr>
          <w:t xml:space="preserve">concedere / admittere / dare as grant</w:t>
        </w:r>
      </w:hyperlink>
      <w:r>
        <w:rPr>
          <w:b w:val="0"/>
          <w:i w:val="0"/>
        </w:rPr>
        <w:t xml:space="preserve">; </w:t>
      </w:r>
      <w:hyperlink w:anchor="latin-record-0246">
        <w:r>
          <w:rPr>
            <w:color w:val="000000"/>
          </w:rPr>
          <w:t xml:space="preserve">consentire / dissentire</w:t>
        </w:r>
      </w:hyperlink>
      <w:r>
        <w:rPr>
          <w:b w:val="0"/>
          <w:i w:val="0"/>
        </w:rPr>
        <w:t xml:space="preserve">; </w:t>
      </w:r>
      <w:hyperlink w:anchor="latin-record-0271">
        <w:r>
          <w:rPr>
            <w:color w:val="000000"/>
          </w:rPr>
          <w:t xml:space="preserve">convenire / congruere</w:t>
        </w:r>
      </w:hyperlink>
      <w:r>
        <w:rPr>
          <w:b w:val="0"/>
          <w:i w:val="0"/>
        </w:rPr>
        <w:t xml:space="preserve">; </w:t>
      </w:r>
      <w:hyperlink w:anchor="latin-record-0317">
        <w:r>
          <w:rPr>
            <w:color w:val="000000"/>
          </w:rPr>
          <w:t xml:space="preserve">differre / discrepare</w:t>
        </w:r>
      </w:hyperlink>
      <w:r>
        <w:rPr>
          <w:b w:val="0"/>
          <w:i w:val="0"/>
        </w:rPr>
        <w:t xml:space="preserve">; </w:t>
      </w:r>
      <w:hyperlink w:anchor="latin-record-0659">
        <w:r>
          <w:rPr>
            <w:color w:val="000000"/>
          </w:rPr>
          <w:t xml:space="preserve">machina / tela / retexere</w:t>
        </w:r>
      </w:hyperlink>
      <w:r>
        <w:rPr>
          <w:b w:val="0"/>
          <w:i w:val="0"/>
        </w:rPr>
        <w:t xml:space="preserve">; </w:t>
      </w:r>
      <w:hyperlink w:anchor="latin-record-0999">
        <w:r>
          <w:rPr>
            <w:color w:val="000000"/>
          </w:rPr>
          <w:t xml:space="preserve">quaerere / interrogare</w:t>
        </w:r>
      </w:hyperlink>
      <w:r>
        <w:rPr>
          <w:b w:val="0"/>
          <w:i w:val="0"/>
        </w:rPr>
        <w:t xml:space="preserve">; </w:t>
      </w:r>
      <w:hyperlink w:anchor="latin-record-1247">
        <w:r>
          <w:rPr>
            <w:color w:val="000000"/>
          </w:rPr>
          <w:t xml:space="preserve">vero / verum: connectives</w:t>
        </w:r>
      </w:hyperlink>
      <w:r>
        <w:rPr>
          <w:b w:val="0"/>
          <w:i w:val="0"/>
        </w:rPr>
        <w:t xml:space="preserve">; </w:t>
      </w:r>
      <w:hyperlink w:anchor="latin-record-1251">
        <w:r>
          <w:rPr>
            <w:color w:val="000000"/>
          </w:rPr>
          <w:t xml:space="preserve">via / pactum / tractus</w:t>
        </w:r>
      </w:hyperlink>
      <w:r>
        <w:rPr>
          <w:b w:val="0"/>
          <w:i w:val="0"/>
        </w:rPr>
        <w:t>.</w:t>
      </w:r>
    </w:p>
    <w:p>
      <w:pPr>
        <w:widowControl/>
      </w:pPr>
      <w:bookmarkStart w:id="1706" w:name="passage-ii-2-3"/>
      <w:bookmarkEnd w:id="1706"/>
      <w:r>
        <w:rPr>
          <w:b/>
          <w:i w:val="0"/>
        </w:rPr>
        <w:t>II.2.3</w:t>
      </w:r>
      <w:r>
        <w:rPr>
          <w:b/>
          <w:i w:val="0"/>
        </w:rPr>
        <w:t>, source pp. 104–105.</w:t>
      </w:r>
      <w:r>
        <w:rPr>
          <w:b w:val="0"/>
          <w:i w:val="0"/>
        </w:rPr>
        <w:t xml:space="preserve"> Articles: </w:t>
      </w:r>
      <w:hyperlink w:anchor="common-and-proper">
        <w:r>
          <w:rPr>
            <w:color w:val="000000"/>
          </w:rPr>
          <w:t xml:space="preserve">Common and proper</w:t>
        </w:r>
      </w:hyperlink>
      <w:r>
        <w:rPr>
          <w:b w:val="0"/>
          <w:i w:val="0"/>
        </w:rPr>
        <w:t xml:space="preserve">; </w:t>
      </w:r>
      <w:hyperlink w:anchor="freedom-and-necessity">
        <w:r>
          <w:rPr>
            <w:color w:val="000000"/>
          </w:rPr>
          <w:t xml:space="preserve">Freedom and necessity</w:t>
        </w:r>
      </w:hyperlink>
      <w:r>
        <w:rPr>
          <w:b w:val="0"/>
          <w:i w:val="0"/>
        </w:rPr>
        <w:t xml:space="preserve">; </w:t>
      </w:r>
      <w:hyperlink w:anchor="god">
        <w:r>
          <w:rPr>
            <w:color w:val="000000"/>
          </w:rPr>
          <w:t xml:space="preserve">God</w:t>
        </w:r>
      </w:hyperlink>
      <w:r>
        <w:rPr>
          <w:b w:val="0"/>
          <w:i w:val="0"/>
        </w:rPr>
        <w:t xml:space="preserve">; </w:t>
      </w:r>
      <w:hyperlink w:anchor="need-and-sufficiency">
        <w:r>
          <w:rPr>
            <w:color w:val="000000"/>
          </w:rPr>
          <w:t xml:space="preserve">Need and sufficiency</w:t>
        </w:r>
      </w:hyperlink>
      <w:r>
        <w:rPr>
          <w:b w:val="0"/>
          <w:i w:val="0"/>
        </w:rPr>
        <w:t xml:space="preserve">; </w:t>
      </w:r>
      <w:hyperlink w:anchor="principle">
        <w:r>
          <w:rPr>
            <w:color w:val="000000"/>
          </w:rPr>
          <w:t xml:space="preserve">Principle</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201">
        <w:r>
          <w:rPr>
            <w:color w:val="000000"/>
          </w:rPr>
          <w:t xml:space="preserve">communis</w:t>
        </w:r>
      </w:hyperlink>
      <w:r>
        <w:rPr>
          <w:b w:val="0"/>
          <w:i w:val="0"/>
        </w:rPr>
        <w:t xml:space="preserve">; </w:t>
      </w:r>
      <w:hyperlink w:anchor="latin-record-0211">
        <w:r>
          <w:rPr>
            <w:color w:val="000000"/>
          </w:rPr>
          <w:t xml:space="preserve">componere / compositio</w:t>
        </w:r>
      </w:hyperlink>
      <w:r>
        <w:rPr>
          <w:b w:val="0"/>
          <w:i w:val="0"/>
        </w:rPr>
        <w:t xml:space="preserve">; </w:t>
      </w:r>
      <w:hyperlink w:anchor="latin-record-0219">
        <w:r>
          <w:rPr>
            <w:color w:val="000000"/>
          </w:rPr>
          <w:t xml:space="preserve">conciliare</w:t>
        </w:r>
      </w:hyperlink>
      <w:r>
        <w:rPr>
          <w:b w:val="0"/>
          <w:i w:val="0"/>
        </w:rPr>
        <w:t xml:space="preserve">; </w:t>
      </w:r>
      <w:hyperlink w:anchor="latin-record-0367">
        <w:r>
          <w:rPr>
            <w:color w:val="000000"/>
          </w:rPr>
          <w:t xml:space="preserve">egere / indigere</w:t>
        </w:r>
      </w:hyperlink>
      <w:r>
        <w:rPr>
          <w:b w:val="0"/>
          <w:i w:val="0"/>
        </w:rPr>
        <w:t xml:space="preserve">; </w:t>
      </w:r>
      <w:hyperlink w:anchor="latin-record-0741">
        <w:r>
          <w:rPr>
            <w:color w:val="000000"/>
          </w:rPr>
          <w:t xml:space="preserve">natura / naturalis</w:t>
        </w:r>
      </w:hyperlink>
      <w:r>
        <w:rPr>
          <w:b w:val="0"/>
          <w:i w:val="0"/>
        </w:rPr>
        <w:t xml:space="preserve">; </w:t>
      </w:r>
      <w:hyperlink w:anchor="latin-record-0824">
        <w:r>
          <w:rPr>
            <w:color w:val="000000"/>
          </w:rPr>
          <w:t xml:space="preserve">pars / totus</w:t>
        </w:r>
      </w:hyperlink>
      <w:r>
        <w:rPr>
          <w:b w:val="0"/>
          <w:i w:val="0"/>
        </w:rPr>
        <w:t xml:space="preserve">; </w:t>
      </w:r>
      <w:hyperlink w:anchor="latin-record-0845">
        <w:r>
          <w:rPr>
            <w:color w:val="000000"/>
          </w:rPr>
          <w:t xml:space="preserve">pendere / dependere</w:t>
        </w:r>
      </w:hyperlink>
      <w:r>
        <w:rPr>
          <w:b w:val="0"/>
          <w:i w:val="0"/>
        </w:rPr>
        <w:t xml:space="preserve">; </w:t>
      </w:r>
      <w:hyperlink w:anchor="latin-record-0965">
        <w:r>
          <w:rPr>
            <w:color w:val="000000"/>
          </w:rPr>
          <w:t xml:space="preserve">proprius / proprietas</w:t>
        </w:r>
      </w:hyperlink>
      <w:r>
        <w:rPr>
          <w:b w:val="0"/>
          <w:i w:val="0"/>
        </w:rPr>
        <w:t xml:space="preserve">; </w:t>
      </w:r>
      <w:hyperlink w:anchor="latin-record-1164">
        <w:r>
          <w:rPr>
            <w:color w:val="000000"/>
          </w:rPr>
          <w:t xml:space="preserve">sufficere / sufficientia</w:t>
        </w:r>
      </w:hyperlink>
      <w:r>
        <w:rPr>
          <w:b w:val="0"/>
          <w:i w:val="0"/>
        </w:rPr>
        <w:t>.</w:t>
      </w:r>
    </w:p>
    <w:p>
      <w:pPr>
        <w:widowControl/>
      </w:pPr>
      <w:bookmarkStart w:id="1707" w:name="passage-ii-2-4"/>
      <w:bookmarkEnd w:id="1707"/>
      <w:r>
        <w:rPr>
          <w:b/>
          <w:i w:val="0"/>
        </w:rPr>
        <w:t>II.2.4</w:t>
      </w:r>
      <w:r>
        <w:rPr>
          <w:b/>
          <w:i w:val="0"/>
        </w:rPr>
        <w:t>, source pp. 106–107.</w:t>
      </w:r>
      <w:r>
        <w:rPr>
          <w:b w:val="0"/>
          <w:i w:val="0"/>
        </w:rPr>
        <w:t xml:space="preserve"> Articles: </w:t>
      </w:r>
      <w:hyperlink w:anchor="bounds-and-restriction">
        <w:r>
          <w:rPr>
            <w:color w:val="000000"/>
          </w:rPr>
          <w:t xml:space="preserve">Bounds and restriction</w:t>
        </w:r>
      </w:hyperlink>
      <w:r>
        <w:rPr>
          <w:b w:val="0"/>
          <w:i w:val="0"/>
        </w:rPr>
        <w:t xml:space="preserve">; </w:t>
      </w:r>
      <w:hyperlink w:anchor="common-and-proper">
        <w:r>
          <w:rPr>
            <w:color w:val="000000"/>
          </w:rPr>
          <w:t xml:space="preserve">Common and proper</w:t>
        </w:r>
      </w:hyperlink>
      <w:r>
        <w:rPr>
          <w:b w:val="0"/>
          <w:i w:val="0"/>
        </w:rPr>
        <w:t xml:space="preserve">; </w:t>
      </w:r>
      <w:hyperlink w:anchor="god">
        <w:r>
          <w:rPr>
            <w:color w:val="000000"/>
          </w:rPr>
          <w:t xml:space="preserve">God</w:t>
        </w:r>
      </w:hyperlink>
      <w:r>
        <w:rPr>
          <w:b w:val="0"/>
          <w:i w:val="0"/>
        </w:rPr>
        <w:t xml:space="preserve">; </w:t>
      </w:r>
      <w:hyperlink w:anchor="principle">
        <w:r>
          <w:rPr>
            <w:color w:val="000000"/>
          </w:rPr>
          <w:t xml:space="preserve">Principle</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spring-and-flow">
        <w:r>
          <w:rPr>
            <w:color w:val="000000"/>
          </w:rPr>
          <w:t xml:space="preserve">Spring and flow</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03">
        <w:r>
          <w:rPr>
            <w:color w:val="000000"/>
          </w:rPr>
          <w:t xml:space="preserve">absolutus / absolute</w:t>
        </w:r>
      </w:hyperlink>
      <w:r>
        <w:rPr>
          <w:b w:val="0"/>
          <w:i w:val="0"/>
        </w:rPr>
        <w:t xml:space="preserve">; </w:t>
      </w:r>
      <w:hyperlink w:anchor="latin-record-0020">
        <w:r>
          <w:rPr>
            <w:color w:val="000000"/>
          </w:rPr>
          <w:t xml:space="preserve">addere / accedere / advenire</w:t>
        </w:r>
      </w:hyperlink>
      <w:r>
        <w:rPr>
          <w:b w:val="0"/>
          <w:i w:val="0"/>
        </w:rPr>
        <w:t xml:space="preserve">; </w:t>
      </w:r>
      <w:hyperlink w:anchor="latin-record-0035">
        <w:r>
          <w:rPr>
            <w:color w:val="000000"/>
          </w:rPr>
          <w:t xml:space="preserve">aequalis / aeque</w:t>
        </w:r>
      </w:hyperlink>
      <w:r>
        <w:rPr>
          <w:b w:val="0"/>
          <w:i w:val="0"/>
        </w:rPr>
        <w:t xml:space="preserve">; </w:t>
      </w:r>
      <w:hyperlink w:anchor="latin-record-0169">
        <w:r>
          <w:rPr>
            <w:color w:val="000000"/>
          </w:rPr>
          <w:t xml:space="preserve">circumscribere / coarctare</w:t>
        </w:r>
      </w:hyperlink>
      <w:r>
        <w:rPr>
          <w:b w:val="0"/>
          <w:i w:val="0"/>
        </w:rPr>
        <w:t xml:space="preserve">; </w:t>
      </w:r>
      <w:hyperlink w:anchor="latin-record-0317">
        <w:r>
          <w:rPr>
            <w:color w:val="000000"/>
          </w:rPr>
          <w:t xml:space="preserve">differre / discrepare</w:t>
        </w:r>
      </w:hyperlink>
      <w:r>
        <w:rPr>
          <w:b w:val="0"/>
          <w:i w:val="0"/>
        </w:rPr>
        <w:t xml:space="preserve">; </w:t>
      </w:r>
      <w:hyperlink w:anchor="latin-record-0405">
        <w:r>
          <w:rPr>
            <w:color w:val="000000"/>
          </w:rPr>
          <w:t xml:space="preserve">existimare / opinari / arbitrari</w:t>
        </w:r>
      </w:hyperlink>
      <w:r>
        <w:rPr>
          <w:b w:val="0"/>
          <w:i w:val="0"/>
        </w:rPr>
        <w:t xml:space="preserve">; </w:t>
      </w:r>
      <w:hyperlink w:anchor="latin-record-0419">
        <w:r>
          <w:rPr>
            <w:color w:val="000000"/>
          </w:rPr>
          <w:t xml:space="preserve">extrinsecus / aliunde</w:t>
        </w:r>
      </w:hyperlink>
      <w:r>
        <w:rPr>
          <w:b w:val="0"/>
          <w:i w:val="0"/>
        </w:rPr>
        <w:t xml:space="preserve">; </w:t>
      </w:r>
      <w:hyperlink w:anchor="latin-record-0610">
        <w:r>
          <w:rPr>
            <w:color w:val="000000"/>
          </w:rPr>
          <w:t xml:space="preserve">intus / intro / extra / ultra / superne / undique</w:t>
        </w:r>
      </w:hyperlink>
      <w:r>
        <w:rPr>
          <w:b w:val="0"/>
          <w:i w:val="0"/>
        </w:rPr>
        <w:t xml:space="preserve">; </w:t>
      </w:r>
      <w:hyperlink w:anchor="latin-record-0694">
        <w:r>
          <w:rPr>
            <w:color w:val="000000"/>
          </w:rPr>
          <w:t xml:space="preserve">merus / incorruptus / revera</w:t>
        </w:r>
      </w:hyperlink>
      <w:r>
        <w:rPr>
          <w:b w:val="0"/>
          <w:i w:val="0"/>
        </w:rPr>
        <w:t xml:space="preserve">; </w:t>
      </w:r>
      <w:hyperlink w:anchor="latin-record-0881">
        <w:r>
          <w:rPr>
            <w:color w:val="000000"/>
          </w:rPr>
          <w:t xml:space="preserve">Plato / Platonici / philosophi / physici</w:t>
        </w:r>
      </w:hyperlink>
      <w:r>
        <w:rPr>
          <w:b w:val="0"/>
          <w:i w:val="0"/>
        </w:rPr>
        <w:t xml:space="preserve">; </w:t>
      </w:r>
      <w:hyperlink w:anchor="latin-record-0965">
        <w:r>
          <w:rPr>
            <w:color w:val="000000"/>
          </w:rPr>
          <w:t xml:space="preserve">proprius / proprietas</w:t>
        </w:r>
      </w:hyperlink>
      <w:r>
        <w:rPr>
          <w:b w:val="0"/>
          <w:i w:val="0"/>
        </w:rPr>
        <w:t xml:space="preserve">; </w:t>
      </w:r>
      <w:hyperlink w:anchor="latin-record-0971">
        <w:r>
          <w:rPr>
            <w:color w:val="000000"/>
          </w:rPr>
          <w:t xml:space="preserve">provenire / oriri / nasci</w:t>
        </w:r>
      </w:hyperlink>
      <w:r>
        <w:rPr>
          <w:b w:val="0"/>
          <w:i w:val="0"/>
        </w:rPr>
        <w:t xml:space="preserve">; </w:t>
      </w:r>
      <w:hyperlink w:anchor="latin-record-1071">
        <w:r>
          <w:rPr>
            <w:color w:val="000000"/>
          </w:rPr>
          <w:t xml:space="preserve">scaturire / vena</w:t>
        </w:r>
      </w:hyperlink>
      <w:r>
        <w:rPr>
          <w:b w:val="0"/>
          <w:i w:val="0"/>
        </w:rPr>
        <w:t>.</w:t>
      </w:r>
    </w:p>
    <w:p>
      <w:pPr>
        <w:widowControl/>
      </w:pPr>
      <w:bookmarkStart w:id="1708" w:name="passage-ii-2-5"/>
      <w:bookmarkEnd w:id="1708"/>
      <w:r>
        <w:rPr>
          <w:b/>
          <w:i w:val="0"/>
        </w:rPr>
        <w:t>II.2.5</w:t>
      </w:r>
      <w:r>
        <w:rPr>
          <w:b/>
          <w:i w:val="0"/>
        </w:rPr>
        <w:t>, source pp. 106–107.</w:t>
      </w:r>
      <w:r>
        <w:rPr>
          <w:b w:val="0"/>
          <w:i w:val="0"/>
        </w:rPr>
        <w:t xml:space="preserve"> Articles: </w:t>
      </w:r>
      <w:hyperlink w:anchor="dependence-and-receiving">
        <w:r>
          <w:rPr>
            <w:color w:val="000000"/>
          </w:rPr>
          <w:t xml:space="preserve">Dependence and receiving</w:t>
        </w:r>
      </w:hyperlink>
      <w:r>
        <w:rPr>
          <w:b w:val="0"/>
          <w:i w:val="0"/>
        </w:rPr>
        <w:t xml:space="preserve">; </w:t>
      </w:r>
      <w:hyperlink w:anchor="god">
        <w:r>
          <w:rPr>
            <w:color w:val="000000"/>
          </w:rPr>
          <w:t xml:space="preserve">God</w:t>
        </w:r>
      </w:hyperlink>
      <w:r>
        <w:rPr>
          <w:b w:val="0"/>
          <w:i w:val="0"/>
        </w:rPr>
        <w:t xml:space="preserve">; </w:t>
      </w:r>
      <w:hyperlink w:anchor="light-and-illumination">
        <w:r>
          <w:rPr>
            <w:color w:val="000000"/>
          </w:rPr>
          <w:t xml:space="preserve">Light and illumination</w:t>
        </w:r>
      </w:hyperlink>
      <w:r>
        <w:rPr>
          <w:b w:val="0"/>
          <w:i w:val="0"/>
        </w:rPr>
        <w:t xml:space="preserve">; </w:t>
      </w:r>
      <w:hyperlink w:anchor="perfection">
        <w:r>
          <w:rPr>
            <w:color w:val="000000"/>
          </w:rPr>
          <w:t xml:space="preserve">Perfection</w:t>
        </w:r>
      </w:hyperlink>
      <w:r>
        <w:rPr>
          <w:b w:val="0"/>
          <w:i w:val="0"/>
        </w:rPr>
        <w:t xml:space="preserve">; </w:t>
      </w:r>
      <w:hyperlink w:anchor="principle">
        <w:r>
          <w:rPr>
            <w:color w:val="000000"/>
          </w:rPr>
          <w:t xml:space="preserve">Principle</w:t>
        </w:r>
      </w:hyperlink>
      <w:r>
        <w:rPr>
          <w:b w:val="0"/>
          <w:i w:val="0"/>
        </w:rPr>
        <w:t xml:space="preserve">; </w:t>
      </w:r>
      <w:hyperlink w:anchor="purity-and-mixture">
        <w:r>
          <w:rPr>
            <w:color w:val="000000"/>
          </w:rPr>
          <w:t xml:space="preserve">Purity and mixture</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09">
        <w:r>
          <w:rPr>
            <w:color w:val="000000"/>
          </w:rPr>
          <w:t xml:space="preserve">accipere / capere / suscipere</w:t>
        </w:r>
      </w:hyperlink>
      <w:r>
        <w:rPr>
          <w:b w:val="0"/>
          <w:i w:val="0"/>
        </w:rPr>
        <w:t xml:space="preserve">; </w:t>
      </w:r>
      <w:hyperlink w:anchor="latin-record-0271">
        <w:r>
          <w:rPr>
            <w:color w:val="000000"/>
          </w:rPr>
          <w:t xml:space="preserve">convenire / congruere</w:t>
        </w:r>
      </w:hyperlink>
      <w:r>
        <w:rPr>
          <w:b w:val="0"/>
          <w:i w:val="0"/>
        </w:rPr>
        <w:t xml:space="preserve">; </w:t>
      </w:r>
      <w:hyperlink w:anchor="latin-record-0419">
        <w:r>
          <w:rPr>
            <w:color w:val="000000"/>
          </w:rPr>
          <w:t xml:space="preserve">extrinsecus / aliunde</w:t>
        </w:r>
      </w:hyperlink>
      <w:r>
        <w:rPr>
          <w:b w:val="0"/>
          <w:i w:val="0"/>
        </w:rPr>
        <w:t xml:space="preserve">; </w:t>
      </w:r>
      <w:hyperlink w:anchor="latin-record-0655">
        <w:r>
          <w:rPr>
            <w:color w:val="000000"/>
          </w:rPr>
          <w:t xml:space="preserve">lux / lumen</w:t>
        </w:r>
      </w:hyperlink>
      <w:r>
        <w:rPr>
          <w:b w:val="0"/>
          <w:i w:val="0"/>
        </w:rPr>
        <w:t xml:space="preserve">; </w:t>
      </w:r>
      <w:hyperlink w:anchor="latin-record-1121">
        <w:r>
          <w:rPr>
            <w:color w:val="000000"/>
          </w:rPr>
          <w:t xml:space="preserve">sortiri / adipisci</w:t>
        </w:r>
      </w:hyperlink>
      <w:r>
        <w:rPr>
          <w:b w:val="0"/>
          <w:i w:val="0"/>
        </w:rPr>
        <w:t xml:space="preserve">; </w:t>
      </w:r>
      <w:hyperlink w:anchor="latin-record-1169">
        <w:r>
          <w:rPr>
            <w:color w:val="000000"/>
          </w:rPr>
          <w:t xml:space="preserve">summus / summum</w:t>
        </w:r>
      </w:hyperlink>
      <w:r>
        <w:rPr>
          <w:b w:val="0"/>
          <w:i w:val="0"/>
        </w:rPr>
        <w:t>.</w:t>
      </w:r>
    </w:p>
    <w:p>
      <w:pPr>
        <w:widowControl/>
      </w:pPr>
      <w:bookmarkStart w:id="1709" w:name="passage-ii-2-6"/>
      <w:bookmarkEnd w:id="1709"/>
      <w:r>
        <w:rPr>
          <w:b/>
          <w:i w:val="0"/>
        </w:rPr>
        <w:t>II.2.6</w:t>
      </w:r>
      <w:r>
        <w:rPr>
          <w:b/>
          <w:i w:val="0"/>
        </w:rPr>
        <w:t>, source pp. 106–107.</w:t>
      </w:r>
      <w:r>
        <w:rPr>
          <w:b w:val="0"/>
          <w:i w:val="0"/>
        </w:rPr>
        <w:t xml:space="preserve"> Articles: </w:t>
      </w:r>
      <w:hyperlink w:anchor="god">
        <w:r>
          <w:rPr>
            <w:color w:val="000000"/>
          </w:rPr>
          <w:t xml:space="preserve">God</w:t>
        </w:r>
      </w:hyperlink>
      <w:r>
        <w:rPr>
          <w:b w:val="0"/>
          <w:i w:val="0"/>
        </w:rPr>
        <w:t xml:space="preserve">; </w:t>
      </w:r>
      <w:hyperlink w:anchor="light-and-illumination">
        <w:r>
          <w:rPr>
            <w:color w:val="000000"/>
          </w:rPr>
          <w:t xml:space="preserve">Light and illumination</w:t>
        </w:r>
      </w:hyperlink>
      <w:r>
        <w:rPr>
          <w:b w:val="0"/>
          <w:i w:val="0"/>
        </w:rPr>
        <w:t xml:space="preserve">; </w:t>
      </w:r>
      <w:hyperlink w:anchor="perfection">
        <w:r>
          <w:rPr>
            <w:color w:val="000000"/>
          </w:rPr>
          <w:t xml:space="preserve">Perfection</w:t>
        </w:r>
      </w:hyperlink>
      <w:r>
        <w:rPr>
          <w:b w:val="0"/>
          <w:i w:val="0"/>
        </w:rPr>
        <w:t xml:space="preserve">; </w:t>
      </w:r>
      <w:hyperlink w:anchor="principle">
        <w:r>
          <w:rPr>
            <w:color w:val="000000"/>
          </w:rPr>
          <w:t xml:space="preserve">Principle</w:t>
        </w:r>
      </w:hyperlink>
      <w:r>
        <w:rPr>
          <w:b w:val="0"/>
          <w:i w:val="0"/>
        </w:rPr>
        <w:t xml:space="preserve">; </w:t>
      </w:r>
      <w:hyperlink w:anchor="purity-and-mixture">
        <w:r>
          <w:rPr>
            <w:color w:val="000000"/>
          </w:rPr>
          <w:t xml:space="preserve">Purity and mixture</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134">
        <w:r>
          <w:rPr>
            <w:color w:val="000000"/>
          </w:rPr>
          <w:t xml:space="preserve">calor / frigus</w:t>
        </w:r>
      </w:hyperlink>
      <w:r>
        <w:rPr>
          <w:b w:val="0"/>
          <w:i w:val="0"/>
        </w:rPr>
        <w:t xml:space="preserve">; </w:t>
      </w:r>
      <w:hyperlink w:anchor="latin-record-0195">
        <w:r>
          <w:rPr>
            <w:color w:val="000000"/>
          </w:rPr>
          <w:t xml:space="preserve">commiscere / mixtio</w:t>
        </w:r>
      </w:hyperlink>
      <w:r>
        <w:rPr>
          <w:b w:val="0"/>
          <w:i w:val="0"/>
        </w:rPr>
        <w:t xml:space="preserve">; </w:t>
      </w:r>
      <w:hyperlink w:anchor="latin-record-0470">
        <w:r>
          <w:rPr>
            <w:color w:val="000000"/>
          </w:rPr>
          <w:t xml:space="preserve">fortis / vehementia / valere</w:t>
        </w:r>
      </w:hyperlink>
      <w:r>
        <w:rPr>
          <w:b w:val="0"/>
          <w:i w:val="0"/>
        </w:rPr>
        <w:t xml:space="preserve">; </w:t>
      </w:r>
      <w:hyperlink w:anchor="latin-record-0536">
        <w:r>
          <w:rPr>
            <w:color w:val="000000"/>
          </w:rPr>
          <w:t xml:space="preserve">impedire / purgare</w:t>
        </w:r>
      </w:hyperlink>
      <w:r>
        <w:rPr>
          <w:b w:val="0"/>
          <w:i w:val="0"/>
        </w:rPr>
        <w:t xml:space="preserve">; </w:t>
      </w:r>
      <w:hyperlink w:anchor="latin-record-0578">
        <w:r>
          <w:rPr>
            <w:color w:val="000000"/>
          </w:rPr>
          <w:t xml:space="preserve">inquinare / contagio</w:t>
        </w:r>
      </w:hyperlink>
      <w:r>
        <w:rPr>
          <w:b w:val="0"/>
          <w:i w:val="0"/>
        </w:rPr>
        <w:t xml:space="preserve">; </w:t>
      </w:r>
      <w:hyperlink w:anchor="latin-record-0795">
        <w:r>
          <w:rPr>
            <w:color w:val="000000"/>
          </w:rPr>
          <w:t xml:space="preserve">opacus</w:t>
        </w:r>
      </w:hyperlink>
      <w:r>
        <w:rPr>
          <w:b w:val="0"/>
          <w:i w:val="0"/>
        </w:rPr>
        <w:t xml:space="preserve">; </w:t>
      </w:r>
      <w:hyperlink w:anchor="latin-record-1169">
        <w:r>
          <w:rPr>
            <w:color w:val="000000"/>
          </w:rPr>
          <w:t xml:space="preserve">summus / summum</w:t>
        </w:r>
      </w:hyperlink>
      <w:r>
        <w:rPr>
          <w:b w:val="0"/>
          <w:i w:val="0"/>
        </w:rPr>
        <w:t>.</w:t>
      </w:r>
    </w:p>
    <w:p>
      <w:pPr>
        <w:widowControl/>
      </w:pPr>
      <w:bookmarkStart w:id="1710" w:name="passage-ii-2-7"/>
      <w:bookmarkEnd w:id="1710"/>
      <w:r>
        <w:rPr>
          <w:b/>
          <w:i w:val="0"/>
        </w:rPr>
        <w:t>II.2.7</w:t>
      </w:r>
      <w:r>
        <w:rPr>
          <w:b/>
          <w:i w:val="0"/>
        </w:rPr>
        <w:t>, source pp. 108–109.</w:t>
      </w:r>
      <w:r>
        <w:rPr>
          <w:b w:val="0"/>
          <w:i w:val="0"/>
        </w:rPr>
        <w:t xml:space="preserve"> Articles: </w:t>
      </w:r>
      <w:hyperlink w:anchor="form">
        <w:r>
          <w:rPr>
            <w:color w:val="000000"/>
          </w:rPr>
          <w:t xml:space="preserve">Form</w:t>
        </w:r>
      </w:hyperlink>
      <w:r>
        <w:rPr>
          <w:b w:val="0"/>
          <w:i w:val="0"/>
        </w:rPr>
        <w:t xml:space="preserve">; </w:t>
      </w:r>
      <w:hyperlink w:anchor="god">
        <w:r>
          <w:rPr>
            <w:color w:val="000000"/>
          </w:rPr>
          <w:t xml:space="preserve">God</w:t>
        </w:r>
      </w:hyperlink>
      <w:r>
        <w:rPr>
          <w:b w:val="0"/>
          <w:i w:val="0"/>
        </w:rPr>
        <w:t xml:space="preserve">; </w:t>
      </w:r>
      <w:hyperlink w:anchor="number">
        <w:r>
          <w:rPr>
            <w:color w:val="000000"/>
          </w:rPr>
          <w:t xml:space="preserve">Number</w:t>
        </w:r>
      </w:hyperlink>
      <w:r>
        <w:rPr>
          <w:b w:val="0"/>
          <w:i w:val="0"/>
        </w:rPr>
        <w:t xml:space="preserve">; </w:t>
      </w:r>
      <w:hyperlink w:anchor="perfection">
        <w:r>
          <w:rPr>
            <w:color w:val="000000"/>
          </w:rPr>
          <w:t xml:space="preserve">Perfection</w:t>
        </w:r>
      </w:hyperlink>
      <w:r>
        <w:rPr>
          <w:b w:val="0"/>
          <w:i w:val="0"/>
        </w:rPr>
        <w:t xml:space="preserve">; </w:t>
      </w:r>
      <w:hyperlink w:anchor="principle">
        <w:r>
          <w:rPr>
            <w:color w:val="000000"/>
          </w:rPr>
          <w:t xml:space="preserve">Principle</w:t>
        </w:r>
      </w:hyperlink>
      <w:r>
        <w:rPr>
          <w:b w:val="0"/>
          <w:i w:val="0"/>
        </w:rPr>
        <w:t xml:space="preserve">; </w:t>
      </w:r>
      <w:hyperlink w:anchor="purity-and-mixture">
        <w:r>
          <w:rPr>
            <w:color w:val="000000"/>
          </w:rPr>
          <w:t xml:space="preserve">Purity and mixture</w:t>
        </w:r>
      </w:hyperlink>
      <w:r>
        <w:rPr>
          <w:b w:val="0"/>
          <w:i w:val="0"/>
        </w:rPr>
        <w:t xml:space="preserve">; </w:t>
      </w:r>
      <w:hyperlink w:anchor="reason-and-account">
        <w:r>
          <w:rPr>
            <w:color w:val="000000"/>
          </w:rPr>
          <w:t xml:space="preserve">Reason and account</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unity-and-multiplicity">
        <w:r>
          <w:rPr>
            <w:color w:val="000000"/>
          </w:rPr>
          <w:t xml:space="preserve">Unity and multiplicity</w:t>
        </w:r>
      </w:hyperlink>
      <w:r>
        <w:rPr>
          <w:b w:val="0"/>
          <w:i w:val="0"/>
        </w:rPr>
        <w:t xml:space="preserve">; </w:t>
      </w:r>
      <w:hyperlink w:anchor="universals-and-individuals">
        <w:r>
          <w:rPr>
            <w:color w:val="000000"/>
          </w:rPr>
          <w:t xml:space="preserve">Universals and individuals</w:t>
        </w:r>
      </w:hyperlink>
      <w:r>
        <w:rPr>
          <w:b w:val="0"/>
          <w:i w:val="0"/>
        </w:rPr>
        <w:t xml:space="preserve">. Vocabulary: </w:t>
      </w:r>
      <w:hyperlink w:anchor="latin-record-0161">
        <w:r>
          <w:rPr>
            <w:color w:val="000000"/>
          </w:rPr>
          <w:t xml:space="preserve">certus / assignare / limitare</w:t>
        </w:r>
      </w:hyperlink>
      <w:r>
        <w:rPr>
          <w:b w:val="0"/>
          <w:i w:val="0"/>
        </w:rPr>
        <w:t xml:space="preserve">; </w:t>
      </w:r>
      <w:hyperlink w:anchor="latin-record-0514">
        <w:r>
          <w:rPr>
            <w:color w:val="000000"/>
          </w:rPr>
          <w:t xml:space="preserve">homo / equus</w:t>
        </w:r>
      </w:hyperlink>
      <w:r>
        <w:rPr>
          <w:b w:val="0"/>
          <w:i w:val="0"/>
        </w:rPr>
        <w:t xml:space="preserve">; </w:t>
      </w:r>
      <w:hyperlink w:anchor="latin-record-0727">
        <w:r>
          <w:rPr>
            <w:color w:val="000000"/>
          </w:rPr>
          <w:t xml:space="preserve">multitudo / multiplex</w:t>
        </w:r>
      </w:hyperlink>
      <w:r>
        <w:rPr>
          <w:b w:val="0"/>
          <w:i w:val="0"/>
        </w:rPr>
        <w:t xml:space="preserve">; </w:t>
      </w:r>
      <w:hyperlink w:anchor="latin-record-0775">
        <w:r>
          <w:rPr>
            <w:color w:val="000000"/>
          </w:rPr>
          <w:t xml:space="preserve">numerus / unicus / unire</w:t>
        </w:r>
      </w:hyperlink>
      <w:r>
        <w:rPr>
          <w:b w:val="0"/>
          <w:i w:val="0"/>
        </w:rPr>
        <w:t xml:space="preserve">; </w:t>
      </w:r>
      <w:hyperlink w:anchor="latin-record-0927">
        <w:r>
          <w:rPr>
            <w:color w:val="000000"/>
          </w:rPr>
          <w:t xml:space="preserve">principatus / gubernare / regere</w:t>
        </w:r>
      </w:hyperlink>
      <w:r>
        <w:rPr>
          <w:b w:val="0"/>
          <w:i w:val="0"/>
        </w:rPr>
        <w:t xml:space="preserve">; </w:t>
      </w:r>
      <w:hyperlink w:anchor="latin-record-1033">
        <w:r>
          <w:rPr>
            <w:color w:val="000000"/>
          </w:rPr>
          <w:t xml:space="preserve">redigere / colligere / referre</w:t>
        </w:r>
      </w:hyperlink>
      <w:r>
        <w:rPr>
          <w:b w:val="0"/>
          <w:i w:val="0"/>
        </w:rPr>
        <w:t xml:space="preserve">; </w:t>
      </w:r>
      <w:hyperlink w:anchor="latin-record-1123">
        <w:r>
          <w:rPr>
            <w:color w:val="000000"/>
          </w:rPr>
          <w:t xml:space="preserve">species / genus</w:t>
        </w:r>
      </w:hyperlink>
      <w:r>
        <w:rPr>
          <w:b w:val="0"/>
          <w:i w:val="0"/>
        </w:rPr>
        <w:t xml:space="preserve">; </w:t>
      </w:r>
      <w:hyperlink w:anchor="latin-record-1169">
        <w:r>
          <w:rPr>
            <w:color w:val="000000"/>
          </w:rPr>
          <w:t xml:space="preserve">summus / summum</w:t>
        </w:r>
      </w:hyperlink>
      <w:r>
        <w:rPr>
          <w:b w:val="0"/>
          <w:i w:val="0"/>
        </w:rPr>
        <w:t xml:space="preserve">; </w:t>
      </w:r>
      <w:hyperlink w:anchor="latin-record-1221">
        <w:r>
          <w:rPr>
            <w:color w:val="000000"/>
          </w:rPr>
          <w:t xml:space="preserve">unitas / unio</w:t>
        </w:r>
      </w:hyperlink>
      <w:r>
        <w:rPr>
          <w:b w:val="0"/>
          <w:i w:val="0"/>
        </w:rPr>
        <w:t>.</w:t>
      </w:r>
    </w:p>
    <w:p>
      <w:pPr>
        <w:widowControl/>
      </w:pPr>
      <w:bookmarkStart w:id="1711" w:name="passage-ii-2-8"/>
      <w:bookmarkEnd w:id="1711"/>
      <w:r>
        <w:rPr>
          <w:b/>
          <w:i w:val="0"/>
        </w:rPr>
        <w:t>II.2.8</w:t>
      </w:r>
      <w:r>
        <w:rPr>
          <w:b/>
          <w:i w:val="0"/>
        </w:rPr>
        <w:t>, source pp. 108–109.</w:t>
      </w:r>
      <w:r>
        <w:rPr>
          <w:b w:val="0"/>
          <w:i w:val="0"/>
        </w:rPr>
        <w:t xml:space="preserve"> Articles: </w:t>
      </w:r>
      <w:hyperlink w:anchor="army-and-commander">
        <w:r>
          <w:rPr>
            <w:color w:val="000000"/>
          </w:rPr>
          <w:t xml:space="preserve">Army and commander</w:t>
        </w:r>
      </w:hyperlink>
      <w:r>
        <w:rPr>
          <w:b w:val="0"/>
          <w:i w:val="0"/>
        </w:rPr>
        <w:t xml:space="preserve">; </w:t>
      </w:r>
      <w:hyperlink w:anchor="concord-and-convergence">
        <w:r>
          <w:rPr>
            <w:color w:val="000000"/>
          </w:rPr>
          <w:t xml:space="preserve">Concord and convergence</w:t>
        </w:r>
      </w:hyperlink>
      <w:r>
        <w:rPr>
          <w:b w:val="0"/>
          <w:i w:val="0"/>
        </w:rPr>
        <w:t xml:space="preserve">; </w:t>
      </w:r>
      <w:hyperlink w:anchor="form">
        <w:r>
          <w:rPr>
            <w:color w:val="000000"/>
          </w:rPr>
          <w:t xml:space="preserve">Form</w:t>
        </w:r>
      </w:hyperlink>
      <w:r>
        <w:rPr>
          <w:b w:val="0"/>
          <w:i w:val="0"/>
        </w:rPr>
        <w:t xml:space="preserve">; </w:t>
      </w:r>
      <w:hyperlink w:anchor="god">
        <w:r>
          <w:rPr>
            <w:color w:val="000000"/>
          </w:rPr>
          <w:t xml:space="preserve">God</w:t>
        </w:r>
      </w:hyperlink>
      <w:r>
        <w:rPr>
          <w:b w:val="0"/>
          <w:i w:val="0"/>
        </w:rPr>
        <w:t xml:space="preserve">; </w:t>
      </w:r>
      <w:hyperlink w:anchor="number">
        <w:r>
          <w:rPr>
            <w:color w:val="000000"/>
          </w:rPr>
          <w:t xml:space="preserve">Number</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rinciple">
        <w:r>
          <w:rPr>
            <w:color w:val="000000"/>
          </w:rPr>
          <w:t xml:space="preserve">Principle</w:t>
        </w:r>
      </w:hyperlink>
      <w:r>
        <w:rPr>
          <w:b w:val="0"/>
          <w:i w:val="0"/>
        </w:rPr>
        <w:t xml:space="preserve">; </w:t>
      </w:r>
      <w:hyperlink w:anchor="purity-and-mixture">
        <w:r>
          <w:rPr>
            <w:color w:val="000000"/>
          </w:rPr>
          <w:t xml:space="preserve">Purity and mixture</w:t>
        </w:r>
      </w:hyperlink>
      <w:r>
        <w:rPr>
          <w:b w:val="0"/>
          <w:i w:val="0"/>
        </w:rPr>
        <w:t xml:space="preserve">; </w:t>
      </w:r>
      <w:hyperlink w:anchor="reason-and-account">
        <w:r>
          <w:rPr>
            <w:color w:val="000000"/>
          </w:rPr>
          <w:t xml:space="preserve">Reason and account</w:t>
        </w:r>
      </w:hyperlink>
      <w:r>
        <w:rPr>
          <w:b w:val="0"/>
          <w:i w:val="0"/>
        </w:rPr>
        <w:t xml:space="preserve">; </w:t>
      </w:r>
      <w:hyperlink w:anchor="unity-and-multiplicity">
        <w:r>
          <w:rPr>
            <w:color w:val="000000"/>
          </w:rPr>
          <w:t xml:space="preserve">Unity and multiplicity</w:t>
        </w:r>
      </w:hyperlink>
      <w:r>
        <w:rPr>
          <w:b w:val="0"/>
          <w:i w:val="0"/>
        </w:rPr>
        <w:t xml:space="preserve">; </w:t>
      </w:r>
      <w:hyperlink w:anchor="universals-and-individuals">
        <w:r>
          <w:rPr>
            <w:color w:val="000000"/>
          </w:rPr>
          <w:t xml:space="preserve">Universals and individuals</w:t>
        </w:r>
      </w:hyperlink>
      <w:r>
        <w:rPr>
          <w:b w:val="0"/>
          <w:i w:val="0"/>
        </w:rPr>
        <w:t xml:space="preserve">. Vocabulary: </w:t>
      </w:r>
      <w:hyperlink w:anchor="latin-record-0152">
        <w:r>
          <w:rPr>
            <w:color w:val="000000"/>
          </w:rPr>
          <w:t xml:space="preserve">casus / contingere</w:t>
        </w:r>
      </w:hyperlink>
      <w:r>
        <w:rPr>
          <w:b w:val="0"/>
          <w:i w:val="0"/>
        </w:rPr>
        <w:t xml:space="preserve">; </w:t>
      </w:r>
      <w:hyperlink w:anchor="latin-record-0200">
        <w:r>
          <w:rPr>
            <w:color w:val="000000"/>
          </w:rPr>
          <w:t xml:space="preserve">communio</w:t>
        </w:r>
      </w:hyperlink>
      <w:r>
        <w:rPr>
          <w:b w:val="0"/>
          <w:i w:val="0"/>
        </w:rPr>
        <w:t xml:space="preserve">; </w:t>
      </w:r>
      <w:hyperlink w:anchor="latin-record-0247">
        <w:r>
          <w:rPr>
            <w:color w:val="000000"/>
          </w:rPr>
          <w:t xml:space="preserve">consequi / assequi / nancisci</w:t>
        </w:r>
      </w:hyperlink>
      <w:r>
        <w:rPr>
          <w:b w:val="0"/>
          <w:i w:val="0"/>
        </w:rPr>
        <w:t xml:space="preserve">; </w:t>
      </w:r>
      <w:hyperlink w:anchor="latin-record-0255">
        <w:r>
          <w:rPr>
            <w:color w:val="000000"/>
          </w:rPr>
          <w:t xml:space="preserve">conspirare / concurrere</w:t>
        </w:r>
      </w:hyperlink>
      <w:r>
        <w:rPr>
          <w:b w:val="0"/>
          <w:i w:val="0"/>
        </w:rPr>
        <w:t xml:space="preserve">; </w:t>
      </w:r>
      <w:hyperlink w:anchor="latin-record-0289">
        <w:r>
          <w:rPr>
            <w:color w:val="000000"/>
          </w:rPr>
          <w:t xml:space="preserve">currere / incurrere / incumbere</w:t>
        </w:r>
      </w:hyperlink>
      <w:r>
        <w:rPr>
          <w:b w:val="0"/>
          <w:i w:val="0"/>
        </w:rPr>
        <w:t xml:space="preserve">; </w:t>
      </w:r>
      <w:hyperlink w:anchor="latin-record-0332">
        <w:r>
          <w:rPr>
            <w:color w:val="000000"/>
          </w:rPr>
          <w:t xml:space="preserve">disiungere / disponere / instituere</w:t>
        </w:r>
      </w:hyperlink>
      <w:r>
        <w:rPr>
          <w:b w:val="0"/>
          <w:i w:val="0"/>
        </w:rPr>
        <w:t xml:space="preserve">; </w:t>
      </w:r>
      <w:hyperlink w:anchor="latin-record-0399">
        <w:r>
          <w:rPr>
            <w:color w:val="000000"/>
          </w:rPr>
          <w:t xml:space="preserve">exercitus / dux</w:t>
        </w:r>
      </w:hyperlink>
      <w:r>
        <w:rPr>
          <w:b w:val="0"/>
          <w:i w:val="0"/>
        </w:rPr>
        <w:t xml:space="preserve">; </w:t>
      </w:r>
      <w:hyperlink w:anchor="latin-record-0683">
        <w:r>
          <w:rPr>
            <w:color w:val="000000"/>
          </w:rPr>
          <w:t xml:space="preserve">membra / lignum / aer</w:t>
        </w:r>
      </w:hyperlink>
      <w:r>
        <w:rPr>
          <w:b w:val="0"/>
          <w:i w:val="0"/>
        </w:rPr>
        <w:t xml:space="preserve">; </w:t>
      </w:r>
      <w:hyperlink w:anchor="latin-record-0730">
        <w:r>
          <w:rPr>
            <w:color w:val="000000"/>
          </w:rPr>
          <w:t xml:space="preserve">mundus / universum</w:t>
        </w:r>
      </w:hyperlink>
      <w:r>
        <w:rPr>
          <w:b w:val="0"/>
          <w:i w:val="0"/>
        </w:rPr>
        <w:t xml:space="preserve">; </w:t>
      </w:r>
      <w:hyperlink w:anchor="latin-record-0740">
        <w:r>
          <w:rPr>
            <w:color w:val="000000"/>
          </w:rPr>
          <w:t xml:space="preserve">mutuus / invicem</w:t>
        </w:r>
      </w:hyperlink>
      <w:r>
        <w:rPr>
          <w:b w:val="0"/>
          <w:i w:val="0"/>
        </w:rPr>
        <w:t xml:space="preserve">; </w:t>
      </w:r>
      <w:hyperlink w:anchor="latin-record-0807">
        <w:r>
          <w:rPr>
            <w:color w:val="000000"/>
          </w:rPr>
          <w:t xml:space="preserve">ordinare / ordinator / ordo</w:t>
        </w:r>
      </w:hyperlink>
      <w:r>
        <w:rPr>
          <w:b w:val="0"/>
          <w:i w:val="0"/>
        </w:rPr>
        <w:t xml:space="preserve">; </w:t>
      </w:r>
      <w:hyperlink w:anchor="latin-record-0824">
        <w:r>
          <w:rPr>
            <w:color w:val="000000"/>
          </w:rPr>
          <w:t xml:space="preserve">pars / totus</w:t>
        </w:r>
      </w:hyperlink>
      <w:r>
        <w:rPr>
          <w:b w:val="0"/>
          <w:i w:val="0"/>
        </w:rPr>
        <w:t xml:space="preserve">; </w:t>
      </w:r>
      <w:hyperlink w:anchor="latin-record-0971">
        <w:r>
          <w:rPr>
            <w:color w:val="000000"/>
          </w:rPr>
          <w:t xml:space="preserve">provenire / oriri / nasci</w:t>
        </w:r>
      </w:hyperlink>
      <w:r>
        <w:rPr>
          <w:b w:val="0"/>
          <w:i w:val="0"/>
        </w:rPr>
        <w:t xml:space="preserve">; </w:t>
      </w:r>
      <w:hyperlink w:anchor="latin-record-1033">
        <w:r>
          <w:rPr>
            <w:color w:val="000000"/>
          </w:rPr>
          <w:t xml:space="preserve">redigere / colligere / referre</w:t>
        </w:r>
      </w:hyperlink>
      <w:r>
        <w:rPr>
          <w:b w:val="0"/>
          <w:i w:val="0"/>
        </w:rPr>
        <w:t xml:space="preserve">; </w:t>
      </w:r>
      <w:hyperlink w:anchor="latin-record-1123">
        <w:r>
          <w:rPr>
            <w:color w:val="000000"/>
          </w:rPr>
          <w:t xml:space="preserve">species / genus</w:t>
        </w:r>
      </w:hyperlink>
      <w:r>
        <w:rPr>
          <w:b w:val="0"/>
          <w:i w:val="0"/>
        </w:rPr>
        <w:t>.</w:t>
      </w:r>
    </w:p>
    <w:p>
      <w:pPr>
        <w:widowControl/>
      </w:pPr>
      <w:bookmarkStart w:id="1712" w:name="passage-ii-2-9"/>
      <w:bookmarkEnd w:id="1712"/>
      <w:r>
        <w:rPr>
          <w:b/>
          <w:i w:val="0"/>
        </w:rPr>
        <w:t>II.2.9</w:t>
      </w:r>
      <w:r>
        <w:rPr>
          <w:b/>
          <w:i w:val="0"/>
        </w:rPr>
        <w:t>, source pp. 110–111.</w:t>
      </w:r>
      <w:r>
        <w:rPr>
          <w:b w:val="0"/>
          <w:i w:val="0"/>
        </w:rPr>
        <w:t xml:space="preserve"> Articles: </w:t>
      </w:r>
      <w:hyperlink w:anchor="borrowing-and-assistance">
        <w:r>
          <w:rPr>
            <w:color w:val="000000"/>
          </w:rPr>
          <w:t xml:space="preserve">Borrowing and assistance</w:t>
        </w:r>
      </w:hyperlink>
      <w:r>
        <w:rPr>
          <w:b w:val="0"/>
          <w:i w:val="0"/>
        </w:rPr>
        <w:t xml:space="preserve">; </w:t>
      </w:r>
      <w:hyperlink w:anchor="concord-and-convergence">
        <w:r>
          <w:rPr>
            <w:color w:val="000000"/>
          </w:rPr>
          <w:t xml:space="preserve">Concord and convergence</w:t>
        </w:r>
      </w:hyperlink>
      <w:r>
        <w:rPr>
          <w:b w:val="0"/>
          <w:i w:val="0"/>
        </w:rPr>
        <w:t xml:space="preserve">; </w:t>
      </w:r>
      <w:hyperlink w:anchor="god">
        <w:r>
          <w:rPr>
            <w:color w:val="000000"/>
          </w:rPr>
          <w:t xml:space="preserve">God</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urity-and-mixture">
        <w:r>
          <w:rPr>
            <w:color w:val="000000"/>
          </w:rPr>
          <w:t xml:space="preserve">Purity and mixture</w:t>
        </w:r>
      </w:hyperlink>
      <w:r>
        <w:rPr>
          <w:b w:val="0"/>
          <w:i w:val="0"/>
        </w:rPr>
        <w:t xml:space="preserve">; </w:t>
      </w:r>
      <w:hyperlink w:anchor="reason-and-account">
        <w:r>
          <w:rPr>
            <w:color w:val="000000"/>
          </w:rPr>
          <w:t xml:space="preserve">Reason and account</w:t>
        </w:r>
      </w:hyperlink>
      <w:r>
        <w:rPr>
          <w:b w:val="0"/>
          <w:i w:val="0"/>
        </w:rPr>
        <w:t xml:space="preserve">; </w:t>
      </w:r>
      <w:hyperlink w:anchor="unity-and-multiplicity">
        <w:r>
          <w:rPr>
            <w:color w:val="000000"/>
          </w:rPr>
          <w:t xml:space="preserve">Unity and multiplicity</w:t>
        </w:r>
      </w:hyperlink>
      <w:r>
        <w:rPr>
          <w:b w:val="0"/>
          <w:i w:val="0"/>
        </w:rPr>
        <w:t xml:space="preserve">; </w:t>
      </w:r>
      <w:hyperlink w:anchor="weaving-and-world-fabric">
        <w:r>
          <w:rPr>
            <w:color w:val="000000"/>
          </w:rPr>
          <w:t xml:space="preserve">Weaving and world fabric</w:t>
        </w:r>
      </w:hyperlink>
      <w:r>
        <w:rPr>
          <w:b w:val="0"/>
          <w:i w:val="0"/>
        </w:rPr>
        <w:t xml:space="preserve">. Vocabulary: </w:t>
      </w:r>
      <w:hyperlink w:anchor="latin-record-0152">
        <w:r>
          <w:rPr>
            <w:color w:val="000000"/>
          </w:rPr>
          <w:t xml:space="preserve">casus / contingere</w:t>
        </w:r>
      </w:hyperlink>
      <w:r>
        <w:rPr>
          <w:b w:val="0"/>
          <w:i w:val="0"/>
        </w:rPr>
        <w:t xml:space="preserve">; </w:t>
      </w:r>
      <w:hyperlink w:anchor="latin-record-0219">
        <w:r>
          <w:rPr>
            <w:color w:val="000000"/>
          </w:rPr>
          <w:t xml:space="preserve">conciliare</w:t>
        </w:r>
      </w:hyperlink>
      <w:r>
        <w:rPr>
          <w:b w:val="0"/>
          <w:i w:val="0"/>
        </w:rPr>
        <w:t xml:space="preserve">; </w:t>
      </w:r>
      <w:hyperlink w:anchor="latin-record-0258">
        <w:r>
          <w:rPr>
            <w:color w:val="000000"/>
          </w:rPr>
          <w:t xml:space="preserve">constare / consistere / constituere</w:t>
        </w:r>
      </w:hyperlink>
      <w:r>
        <w:rPr>
          <w:b w:val="0"/>
          <w:i w:val="0"/>
        </w:rPr>
        <w:t xml:space="preserve">; </w:t>
      </w:r>
      <w:hyperlink w:anchor="latin-record-0659">
        <w:r>
          <w:rPr>
            <w:color w:val="000000"/>
          </w:rPr>
          <w:t xml:space="preserve">machina / tela / retexere</w:t>
        </w:r>
      </w:hyperlink>
      <w:r>
        <w:rPr>
          <w:b w:val="0"/>
          <w:i w:val="0"/>
        </w:rPr>
        <w:t xml:space="preserve">; </w:t>
      </w:r>
      <w:hyperlink w:anchor="latin-record-0739">
        <w:r>
          <w:rPr>
            <w:color w:val="000000"/>
          </w:rPr>
          <w:t xml:space="preserve">mutuare / mutuari</w:t>
        </w:r>
      </w:hyperlink>
      <w:r>
        <w:rPr>
          <w:b w:val="0"/>
          <w:i w:val="0"/>
        </w:rPr>
        <w:t xml:space="preserve">; </w:t>
      </w:r>
      <w:hyperlink w:anchor="latin-record-0740">
        <w:r>
          <w:rPr>
            <w:color w:val="000000"/>
          </w:rPr>
          <w:t xml:space="preserve">mutuus / invicem</w:t>
        </w:r>
      </w:hyperlink>
      <w:r>
        <w:rPr>
          <w:b w:val="0"/>
          <w:i w:val="0"/>
        </w:rPr>
        <w:t>.</w:t>
      </w:r>
    </w:p>
    <w:p>
      <w:pPr>
        <w:widowControl/>
      </w:pPr>
      <w:bookmarkStart w:id="1713" w:name="passage-ii-2-10"/>
      <w:bookmarkEnd w:id="1713"/>
      <w:r>
        <w:rPr>
          <w:b/>
          <w:i w:val="0"/>
        </w:rPr>
        <w:t>II.2.10</w:t>
      </w:r>
      <w:r>
        <w:rPr>
          <w:b/>
          <w:i w:val="0"/>
        </w:rPr>
        <w:t>, source pp. 110–111.</w:t>
      </w:r>
      <w:r>
        <w:rPr>
          <w:b w:val="0"/>
          <w:i w:val="0"/>
        </w:rPr>
        <w:t xml:space="preserve"> Articles: </w:t>
      </w:r>
      <w:hyperlink w:anchor="army-and-commander">
        <w:r>
          <w:rPr>
            <w:color w:val="000000"/>
          </w:rPr>
          <w:t xml:space="preserve">Army and commander</w:t>
        </w:r>
      </w:hyperlink>
      <w:r>
        <w:rPr>
          <w:b w:val="0"/>
          <w:i w:val="0"/>
        </w:rPr>
        <w:t xml:space="preserve">; </w:t>
      </w:r>
      <w:hyperlink w:anchor="god">
        <w:r>
          <w:rPr>
            <w:color w:val="000000"/>
          </w:rPr>
          <w:t xml:space="preserve">God</w:t>
        </w:r>
      </w:hyperlink>
      <w:r>
        <w:rPr>
          <w:b w:val="0"/>
          <w:i w:val="0"/>
        </w:rPr>
        <w:t xml:space="preserve">; </w:t>
      </w:r>
      <w:hyperlink w:anchor="perfection">
        <w:r>
          <w:rPr>
            <w:color w:val="000000"/>
          </w:rPr>
          <w:t xml:space="preserve">Perfection</w:t>
        </w:r>
      </w:hyperlink>
      <w:r>
        <w:rPr>
          <w:b w:val="0"/>
          <w:i w:val="0"/>
        </w:rPr>
        <w:t xml:space="preserve">; </w:t>
      </w:r>
      <w:hyperlink w:anchor="purity-and-mixture">
        <w:r>
          <w:rPr>
            <w:color w:val="000000"/>
          </w:rPr>
          <w:t xml:space="preserve">Purity and mixture</w:t>
        </w:r>
      </w:hyperlink>
      <w:r>
        <w:rPr>
          <w:b w:val="0"/>
          <w:i w:val="0"/>
        </w:rPr>
        <w:t xml:space="preserve">; </w:t>
      </w:r>
      <w:hyperlink w:anchor="reason-and-account">
        <w:r>
          <w:rPr>
            <w:color w:val="000000"/>
          </w:rPr>
          <w:t xml:space="preserve">Reason and account</w:t>
        </w:r>
      </w:hyperlink>
      <w:r>
        <w:rPr>
          <w:b w:val="0"/>
          <w:i w:val="0"/>
        </w:rPr>
        <w:t xml:space="preserve">; </w:t>
      </w:r>
      <w:hyperlink w:anchor="truth">
        <w:r>
          <w:rPr>
            <w:color w:val="000000"/>
          </w:rPr>
          <w:t xml:space="preserve">Truth</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150">
        <w:r>
          <w:rPr>
            <w:color w:val="000000"/>
          </w:rPr>
          <w:t xml:space="preserve">carere / deesse / destituere</w:t>
        </w:r>
      </w:hyperlink>
      <w:r>
        <w:rPr>
          <w:b w:val="0"/>
          <w:i w:val="0"/>
        </w:rPr>
        <w:t xml:space="preserve">; </w:t>
      </w:r>
      <w:hyperlink w:anchor="latin-record-0494">
        <w:r>
          <w:rPr>
            <w:color w:val="000000"/>
          </w:rPr>
          <w:t xml:space="preserve">habere / tenere / possidere</w:t>
        </w:r>
      </w:hyperlink>
      <w:r>
        <w:rPr>
          <w:b w:val="0"/>
          <w:i w:val="0"/>
        </w:rPr>
        <w:t xml:space="preserve">; </w:t>
      </w:r>
      <w:hyperlink w:anchor="latin-record-0807">
        <w:r>
          <w:rPr>
            <w:color w:val="000000"/>
          </w:rPr>
          <w:t xml:space="preserve">ordinare / ordinator / ordo</w:t>
        </w:r>
      </w:hyperlink>
      <w:r>
        <w:rPr>
          <w:b w:val="0"/>
          <w:i w:val="0"/>
        </w:rPr>
        <w:t>.</w:t>
      </w:r>
    </w:p>
    <w:p>
      <w:pPr>
        <w:widowControl/>
      </w:pPr>
      <w:bookmarkStart w:id="1714" w:name="passage-ii-2-11"/>
      <w:bookmarkEnd w:id="1714"/>
      <w:r>
        <w:rPr>
          <w:b/>
          <w:i w:val="0"/>
        </w:rPr>
        <w:t>II.2.11</w:t>
      </w:r>
      <w:r>
        <w:rPr>
          <w:b/>
          <w:i w:val="0"/>
        </w:rPr>
        <w:t>, source pp. 110–111.</w:t>
      </w:r>
      <w:r>
        <w:rPr>
          <w:b w:val="0"/>
          <w:i w:val="0"/>
        </w:rPr>
        <w:t xml:space="preserve"> Articles: </w:t>
      </w:r>
      <w:hyperlink w:anchor="god">
        <w:r>
          <w:rPr>
            <w:color w:val="000000"/>
          </w:rPr>
          <w:t xml:space="preserve">God</w:t>
        </w:r>
      </w:hyperlink>
      <w:r>
        <w:rPr>
          <w:b w:val="0"/>
          <w:i w:val="0"/>
        </w:rPr>
        <w:t xml:space="preserve">; </w:t>
      </w:r>
      <w:hyperlink w:anchor="perfection">
        <w:r>
          <w:rPr>
            <w:color w:val="000000"/>
          </w:rPr>
          <w:t xml:space="preserve">Perfection</w:t>
        </w:r>
      </w:hyperlink>
      <w:r>
        <w:rPr>
          <w:b w:val="0"/>
          <w:i w:val="0"/>
        </w:rPr>
        <w:t xml:space="preserve">; </w:t>
      </w:r>
      <w:hyperlink w:anchor="purity-and-mixture">
        <w:r>
          <w:rPr>
            <w:color w:val="000000"/>
          </w:rPr>
          <w:t xml:space="preserve">Purity and mixture</w:t>
        </w:r>
      </w:hyperlink>
      <w:r>
        <w:rPr>
          <w:b w:val="0"/>
          <w:i w:val="0"/>
        </w:rPr>
        <w:t xml:space="preserve">; </w:t>
      </w:r>
      <w:hyperlink w:anchor="reason-and-account">
        <w:r>
          <w:rPr>
            <w:color w:val="000000"/>
          </w:rPr>
          <w:t xml:space="preserve">Reason and account</w:t>
        </w:r>
      </w:hyperlink>
      <w:r>
        <w:rPr>
          <w:b w:val="0"/>
          <w:i w:val="0"/>
        </w:rPr>
        <w:t xml:space="preserve">; </w:t>
      </w:r>
      <w:hyperlink w:anchor="redundancy-and-uselessness">
        <w:r>
          <w:rPr>
            <w:color w:val="000000"/>
          </w:rPr>
          <w:t xml:space="preserve">Redundancy and uselessness</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207">
        <w:r>
          <w:rPr>
            <w:color w:val="000000"/>
          </w:rPr>
          <w:t xml:space="preserve">complecti</w:t>
        </w:r>
      </w:hyperlink>
      <w:r>
        <w:rPr>
          <w:b w:val="0"/>
          <w:i w:val="0"/>
        </w:rPr>
        <w:t xml:space="preserve">; </w:t>
      </w:r>
      <w:hyperlink w:anchor="latin-record-0476">
        <w:r>
          <w:rPr>
            <w:color w:val="000000"/>
          </w:rPr>
          <w:t xml:space="preserve">frustra / superfluus</w:t>
        </w:r>
      </w:hyperlink>
      <w:r>
        <w:rPr>
          <w:b w:val="0"/>
          <w:i w:val="0"/>
        </w:rPr>
        <w:t xml:space="preserve">; </w:t>
      </w:r>
      <w:hyperlink w:anchor="latin-record-0578">
        <w:r>
          <w:rPr>
            <w:color w:val="000000"/>
          </w:rPr>
          <w:t xml:space="preserve">inquinare / contagio</w:t>
        </w:r>
      </w:hyperlink>
      <w:r>
        <w:rPr>
          <w:b w:val="0"/>
          <w:i w:val="0"/>
        </w:rPr>
        <w:t xml:space="preserve">; </w:t>
      </w:r>
      <w:hyperlink w:anchor="latin-record-0890">
        <w:r>
          <w:rPr>
            <w:color w:val="000000"/>
          </w:rPr>
          <w:t xml:space="preserve">ponere / inducere / asserere</w:t>
        </w:r>
      </w:hyperlink>
      <w:r>
        <w:rPr>
          <w:b w:val="0"/>
          <w:i w:val="0"/>
        </w:rPr>
        <w:t>.</w:t>
      </w:r>
    </w:p>
    <w:p>
      <w:pPr>
        <w:widowControl/>
      </w:pPr>
      <w:bookmarkStart w:id="1715" w:name="passage-ii-2-12"/>
      <w:bookmarkEnd w:id="1715"/>
      <w:r>
        <w:rPr>
          <w:b/>
          <w:i w:val="0"/>
        </w:rPr>
        <w:t>II.2.12</w:t>
      </w:r>
      <w:r>
        <w:rPr>
          <w:b/>
          <w:i w:val="0"/>
        </w:rPr>
        <w:t>, source pp. 112–113.</w:t>
      </w:r>
      <w:r>
        <w:rPr>
          <w:b w:val="0"/>
          <w:i w:val="0"/>
        </w:rPr>
        <w:t xml:space="preserve"> Articles: </w:t>
      </w:r>
      <w:hyperlink w:anchor="god">
        <w:r>
          <w:rPr>
            <w:color w:val="000000"/>
          </w:rPr>
          <w:t xml:space="preserve">God</w:t>
        </w:r>
      </w:hyperlink>
      <w:r>
        <w:rPr>
          <w:b w:val="0"/>
          <w:i w:val="0"/>
        </w:rPr>
        <w:t xml:space="preserve">; </w:t>
      </w:r>
      <w:hyperlink w:anchor="order-and-harmony">
        <w:r>
          <w:rPr>
            <w:color w:val="000000"/>
          </w:rPr>
          <w:t xml:space="preserve">Order and harmony</w:t>
        </w:r>
      </w:hyperlink>
      <w:r>
        <w:rPr>
          <w:b w:val="0"/>
          <w:i w:val="0"/>
        </w:rPr>
        <w:t xml:space="preserve">; </w:t>
      </w:r>
      <w:hyperlink w:anchor="redundancy-and-uselessness">
        <w:r>
          <w:rPr>
            <w:color w:val="000000"/>
          </w:rPr>
          <w:t xml:space="preserve">Redundancy and uselessness</w:t>
        </w:r>
      </w:hyperlink>
      <w:r>
        <w:rPr>
          <w:b w:val="0"/>
          <w:i w:val="0"/>
        </w:rPr>
        <w:t xml:space="preserve">. Vocabulary: </w:t>
      </w:r>
      <w:hyperlink w:anchor="latin-record-0200">
        <w:r>
          <w:rPr>
            <w:color w:val="000000"/>
          </w:rPr>
          <w:t xml:space="preserve">communio</w:t>
        </w:r>
      </w:hyperlink>
      <w:r>
        <w:rPr>
          <w:b w:val="0"/>
          <w:i w:val="0"/>
        </w:rPr>
        <w:t xml:space="preserve">; </w:t>
      </w:r>
      <w:hyperlink w:anchor="latin-record-0255">
        <w:r>
          <w:rPr>
            <w:color w:val="000000"/>
          </w:rPr>
          <w:t xml:space="preserve">conspirare / concurrere</w:t>
        </w:r>
      </w:hyperlink>
      <w:r>
        <w:rPr>
          <w:b w:val="0"/>
          <w:i w:val="0"/>
        </w:rPr>
        <w:t xml:space="preserve">; </w:t>
      </w:r>
      <w:hyperlink w:anchor="latin-record-0352">
        <w:r>
          <w:rPr>
            <w:color w:val="000000"/>
          </w:rPr>
          <w:t xml:space="preserve">ducere / deducere / trahere</w:t>
        </w:r>
      </w:hyperlink>
      <w:r>
        <w:rPr>
          <w:b w:val="0"/>
          <w:i w:val="0"/>
        </w:rPr>
        <w:t xml:space="preserve">; </w:t>
      </w:r>
      <w:hyperlink w:anchor="latin-record-0423">
        <w:r>
          <w:rPr>
            <w:color w:val="000000"/>
          </w:rPr>
          <w:t xml:space="preserve">fabricare / construere / conficere</w:t>
        </w:r>
      </w:hyperlink>
      <w:r>
        <w:rPr>
          <w:b w:val="0"/>
          <w:i w:val="0"/>
        </w:rPr>
        <w:t xml:space="preserve">; </w:t>
      </w:r>
      <w:hyperlink w:anchor="latin-record-0470">
        <w:r>
          <w:rPr>
            <w:color w:val="000000"/>
          </w:rPr>
          <w:t xml:space="preserve">fortis / vehementia / valere</w:t>
        </w:r>
      </w:hyperlink>
      <w:r>
        <w:rPr>
          <w:b w:val="0"/>
          <w:i w:val="0"/>
        </w:rPr>
        <w:t xml:space="preserve">; </w:t>
      </w:r>
      <w:hyperlink w:anchor="latin-record-0476">
        <w:r>
          <w:rPr>
            <w:color w:val="000000"/>
          </w:rPr>
          <w:t xml:space="preserve">frustra / superfluus</w:t>
        </w:r>
      </w:hyperlink>
      <w:r>
        <w:rPr>
          <w:b w:val="0"/>
          <w:i w:val="0"/>
        </w:rPr>
        <w:t xml:space="preserve">; </w:t>
      </w:r>
      <w:hyperlink w:anchor="latin-record-0479">
        <w:r>
          <w:rPr>
            <w:color w:val="000000"/>
          </w:rPr>
          <w:t xml:space="preserve">geminus / binus</w:t>
        </w:r>
      </w:hyperlink>
      <w:r>
        <w:rPr>
          <w:b w:val="0"/>
          <w:i w:val="0"/>
        </w:rPr>
        <w:t xml:space="preserve">; </w:t>
      </w:r>
      <w:hyperlink w:anchor="latin-record-1164">
        <w:r>
          <w:rPr>
            <w:color w:val="000000"/>
          </w:rPr>
          <w:t xml:space="preserve">sufficere / sufficientia</w:t>
        </w:r>
      </w:hyperlink>
      <w:r>
        <w:rPr>
          <w:b w:val="0"/>
          <w:i w:val="0"/>
        </w:rPr>
        <w:t>.</w:t>
      </w:r>
    </w:p>
    <w:p>
      <w:pPr>
        <w:widowControl/>
      </w:pPr>
      <w:bookmarkStart w:id="1716" w:name="passage-ii-2-13"/>
      <w:bookmarkEnd w:id="1716"/>
      <w:r>
        <w:rPr>
          <w:b/>
          <w:i w:val="0"/>
        </w:rPr>
        <w:t>II.2.13</w:t>
      </w:r>
      <w:r>
        <w:rPr>
          <w:b/>
          <w:i w:val="0"/>
        </w:rPr>
        <w:t>, source pp. 112–113.</w:t>
      </w:r>
      <w:r>
        <w:rPr>
          <w:b w:val="0"/>
          <w:i w:val="0"/>
        </w:rPr>
        <w:t xml:space="preserve"> Articles: </w:t>
      </w:r>
      <w:hyperlink w:anchor="god">
        <w:r>
          <w:rPr>
            <w:color w:val="000000"/>
          </w:rPr>
          <w:t xml:space="preserve">God</w:t>
        </w:r>
      </w:hyperlink>
      <w:r>
        <w:rPr>
          <w:b w:val="0"/>
          <w:i w:val="0"/>
        </w:rPr>
        <w:t xml:space="preserve">; </w:t>
      </w:r>
      <w:hyperlink w:anchor="order-and-harmony">
        <w:r>
          <w:rPr>
            <w:color w:val="000000"/>
          </w:rPr>
          <w:t xml:space="preserve">Order and harmony</w:t>
        </w:r>
      </w:hyperlink>
      <w:r>
        <w:rPr>
          <w:b w:val="0"/>
          <w:i w:val="0"/>
        </w:rPr>
        <w:t xml:space="preserve">. Vocabulary: </w:t>
      </w:r>
      <w:hyperlink w:anchor="latin-record-0173">
        <w:r>
          <w:rPr>
            <w:color w:val="000000"/>
          </w:rPr>
          <w:t xml:space="preserve">cogere / compellere</w:t>
        </w:r>
      </w:hyperlink>
      <w:r>
        <w:rPr>
          <w:b w:val="0"/>
          <w:i w:val="0"/>
        </w:rPr>
        <w:t xml:space="preserve">; </w:t>
      </w:r>
      <w:hyperlink w:anchor="latin-record-0423">
        <w:r>
          <w:rPr>
            <w:color w:val="000000"/>
          </w:rPr>
          <w:t xml:space="preserve">fabricare / construere / conficere</w:t>
        </w:r>
      </w:hyperlink>
      <w:r>
        <w:rPr>
          <w:b w:val="0"/>
          <w:i w:val="0"/>
        </w:rPr>
        <w:t xml:space="preserve">; </w:t>
      </w:r>
      <w:hyperlink w:anchor="latin-record-0433">
        <w:r>
          <w:rPr>
            <w:color w:val="000000"/>
          </w:rPr>
          <w:t xml:space="preserve">fateri / negare / affirmare</w:t>
        </w:r>
      </w:hyperlink>
      <w:r>
        <w:rPr>
          <w:b w:val="0"/>
          <w:i w:val="0"/>
        </w:rPr>
        <w:t xml:space="preserve">; </w:t>
      </w:r>
      <w:hyperlink w:anchor="latin-record-0479">
        <w:r>
          <w:rPr>
            <w:color w:val="000000"/>
          </w:rPr>
          <w:t xml:space="preserve">geminus / binus</w:t>
        </w:r>
      </w:hyperlink>
      <w:r>
        <w:rPr>
          <w:b w:val="0"/>
          <w:i w:val="0"/>
        </w:rPr>
        <w:t xml:space="preserve">; </w:t>
      </w:r>
      <w:hyperlink w:anchor="latin-record-0801">
        <w:r>
          <w:rPr>
            <w:color w:val="000000"/>
          </w:rPr>
          <w:t xml:space="preserve">oppositus / contrarius / diversus</w:t>
        </w:r>
      </w:hyperlink>
      <w:r>
        <w:rPr>
          <w:b w:val="0"/>
          <w:i w:val="0"/>
        </w:rPr>
        <w:t xml:space="preserve">; </w:t>
      </w:r>
      <w:hyperlink w:anchor="latin-record-0890">
        <w:r>
          <w:rPr>
            <w:color w:val="000000"/>
          </w:rPr>
          <w:t xml:space="preserve">ponere / inducere / asserere</w:t>
        </w:r>
      </w:hyperlink>
      <w:r>
        <w:rPr>
          <w:b w:val="0"/>
          <w:i w:val="0"/>
        </w:rPr>
        <w:t xml:space="preserve">; </w:t>
      </w:r>
      <w:hyperlink w:anchor="latin-record-1251">
        <w:r>
          <w:rPr>
            <w:color w:val="000000"/>
          </w:rPr>
          <w:t xml:space="preserve">via / pactum / tractus</w:t>
        </w:r>
      </w:hyperlink>
      <w:r>
        <w:rPr>
          <w:b w:val="0"/>
          <w:i w:val="0"/>
        </w:rPr>
        <w:t>.</w:t>
      </w:r>
    </w:p>
    <w:p>
      <w:pPr>
        <w:widowControl/>
      </w:pPr>
      <w:bookmarkStart w:id="1717" w:name="passage-ii-2-14"/>
      <w:bookmarkEnd w:id="1717"/>
      <w:r>
        <w:rPr>
          <w:b/>
          <w:i w:val="0"/>
        </w:rPr>
        <w:t>II.2.14</w:t>
      </w:r>
      <w:r>
        <w:rPr>
          <w:b/>
          <w:i w:val="0"/>
        </w:rPr>
        <w:t>, source pp. 112–113.</w:t>
      </w:r>
      <w:r>
        <w:rPr>
          <w:b w:val="0"/>
          <w:i w:val="0"/>
        </w:rPr>
        <w:t xml:space="preserve"> Articles: </w:t>
      </w:r>
      <w:hyperlink w:anchor="choice-and-deliberation">
        <w:r>
          <w:rPr>
            <w:color w:val="000000"/>
          </w:rPr>
          <w:t xml:space="preserve">Choice and deliberation</w:t>
        </w:r>
      </w:hyperlink>
      <w:r>
        <w:rPr>
          <w:b w:val="0"/>
          <w:i w:val="0"/>
        </w:rPr>
        <w:t xml:space="preserve">; </w:t>
      </w:r>
      <w:hyperlink w:anchor="concord-and-convergence">
        <w:r>
          <w:rPr>
            <w:color w:val="000000"/>
          </w:rPr>
          <w:t xml:space="preserve">Concord and convergence</w:t>
        </w:r>
      </w:hyperlink>
      <w:r>
        <w:rPr>
          <w:b w:val="0"/>
          <w:i w:val="0"/>
        </w:rPr>
        <w:t xml:space="preserve">; </w:t>
      </w:r>
      <w:hyperlink w:anchor="god">
        <w:r>
          <w:rPr>
            <w:color w:val="000000"/>
          </w:rPr>
          <w:t xml:space="preserve">God</w:t>
        </w:r>
      </w:hyperlink>
      <w:r>
        <w:rPr>
          <w:b w:val="0"/>
          <w:i w:val="0"/>
        </w:rPr>
        <w:t xml:space="preserve">; </w:t>
      </w:r>
      <w:hyperlink w:anchor="manichaeans-and-gnostic-philosophers">
        <w:r>
          <w:rPr>
            <w:color w:val="000000"/>
          </w:rPr>
          <w:t xml:space="preserve">Manichaeans and Gnostic philosophers</w:t>
        </w:r>
      </w:hyperlink>
      <w:r>
        <w:rPr>
          <w:b w:val="0"/>
          <w:i w:val="0"/>
        </w:rPr>
        <w:t xml:space="preserve">; </w:t>
      </w:r>
      <w:hyperlink w:anchor="nothing-and-nonbeing">
        <w:r>
          <w:rPr>
            <w:color w:val="000000"/>
          </w:rPr>
          <w:t xml:space="preserve">Nothing and nonbeing</w:t>
        </w:r>
      </w:hyperlink>
      <w:r>
        <w:rPr>
          <w:b w:val="0"/>
          <w:i w:val="0"/>
        </w:rPr>
        <w:t xml:space="preserve">; </w:t>
      </w:r>
      <w:hyperlink w:anchor="order-and-harmony">
        <w:r>
          <w:rPr>
            <w:color w:val="000000"/>
          </w:rPr>
          <w:t xml:space="preserve">Order and harmony</w:t>
        </w:r>
      </w:hyperlink>
      <w:r>
        <w:rPr>
          <w:b w:val="0"/>
          <w:i w:val="0"/>
        </w:rPr>
        <w:t xml:space="preserve">. Vocabulary: </w:t>
      </w:r>
      <w:hyperlink w:anchor="latin-record-0216">
        <w:r>
          <w:rPr>
            <w:color w:val="000000"/>
          </w:rPr>
          <w:t xml:space="preserve">conatus / affectus</w:t>
        </w:r>
      </w:hyperlink>
      <w:r>
        <w:rPr>
          <w:b w:val="0"/>
          <w:i w:val="0"/>
        </w:rPr>
        <w:t xml:space="preserve">; </w:t>
      </w:r>
      <w:hyperlink w:anchor="latin-record-0246">
        <w:r>
          <w:rPr>
            <w:color w:val="000000"/>
          </w:rPr>
          <w:t xml:space="preserve">consentire / dissentire</w:t>
        </w:r>
      </w:hyperlink>
      <w:r>
        <w:rPr>
          <w:b w:val="0"/>
          <w:i w:val="0"/>
        </w:rPr>
        <w:t xml:space="preserve">; </w:t>
      </w:r>
      <w:hyperlink w:anchor="latin-record-0348">
        <w:r>
          <w:rPr>
            <w:color w:val="000000"/>
          </w:rPr>
          <w:t xml:space="preserve">dominari / praevalere</w:t>
        </w:r>
      </w:hyperlink>
      <w:r>
        <w:rPr>
          <w:b w:val="0"/>
          <w:i w:val="0"/>
        </w:rPr>
        <w:t xml:space="preserve">; </w:t>
      </w:r>
      <w:hyperlink w:anchor="latin-record-0433">
        <w:r>
          <w:rPr>
            <w:color w:val="000000"/>
          </w:rPr>
          <w:t xml:space="preserve">fateri / negare / affirmare</w:t>
        </w:r>
      </w:hyperlink>
      <w:r>
        <w:rPr>
          <w:b w:val="0"/>
          <w:i w:val="0"/>
        </w:rPr>
        <w:t xml:space="preserve">; </w:t>
      </w:r>
      <w:hyperlink w:anchor="latin-record-0669">
        <w:r>
          <w:rPr>
            <w:color w:val="000000"/>
          </w:rPr>
          <w:t xml:space="preserve">manere / exsuperare</w:t>
        </w:r>
      </w:hyperlink>
      <w:r>
        <w:rPr>
          <w:b w:val="0"/>
          <w:i w:val="0"/>
        </w:rPr>
        <w:t xml:space="preserve">; </w:t>
      </w:r>
      <w:hyperlink w:anchor="latin-record-0672">
        <w:r>
          <w:rPr>
            <w:color w:val="000000"/>
          </w:rPr>
          <w:t xml:space="preserve">Manichaei / Gnostici</w:t>
        </w:r>
      </w:hyperlink>
      <w:r>
        <w:rPr>
          <w:b w:val="0"/>
          <w:i w:val="0"/>
        </w:rPr>
        <w:t xml:space="preserve">; </w:t>
      </w:r>
      <w:hyperlink w:anchor="latin-record-1238">
        <w:r>
          <w:rPr>
            <w:color w:val="000000"/>
          </w:rPr>
          <w:t xml:space="preserve">velle / nolle</w:t>
        </w:r>
      </w:hyperlink>
      <w:r>
        <w:rPr>
          <w:b w:val="0"/>
          <w:i w:val="0"/>
        </w:rPr>
        <w:t>.</w:t>
      </w:r>
    </w:p>
    <w:p>
      <w:pPr>
        <w:widowControl/>
      </w:pPr>
      <w:bookmarkStart w:id="1718" w:name="passage-ii-2-15"/>
      <w:bookmarkEnd w:id="1718"/>
      <w:r>
        <w:rPr>
          <w:b/>
          <w:i w:val="0"/>
        </w:rPr>
        <w:t>II.2.15</w:t>
      </w:r>
      <w:r>
        <w:rPr>
          <w:b/>
          <w:i w:val="0"/>
        </w:rPr>
        <w:t>, source pp. 114–115.</w:t>
      </w:r>
      <w:r>
        <w:rPr>
          <w:b w:val="0"/>
          <w:i w:val="0"/>
        </w:rPr>
        <w:t xml:space="preserve"> Articles: </w:t>
      </w:r>
      <w:hyperlink w:anchor="god">
        <w:r>
          <w:rPr>
            <w:color w:val="000000"/>
          </w:rPr>
          <w:t xml:space="preserve">God</w:t>
        </w:r>
      </w:hyperlink>
      <w:r>
        <w:rPr>
          <w:b w:val="0"/>
          <w:i w:val="0"/>
        </w:rPr>
        <w:t xml:space="preserve">; </w:t>
      </w:r>
      <w:hyperlink w:anchor="good-and-goodness">
        <w:r>
          <w:rPr>
            <w:color w:val="000000"/>
          </w:rPr>
          <w:t xml:space="preserve">Good and goodness</w:t>
        </w:r>
      </w:hyperlink>
      <w:r>
        <w:rPr>
          <w:b w:val="0"/>
          <w:i w:val="0"/>
        </w:rPr>
        <w:t xml:space="preserve">; </w:t>
      </w:r>
      <w:hyperlink w:anchor="manichaeans-and-gnostic-philosophers">
        <w:r>
          <w:rPr>
            <w:color w:val="000000"/>
          </w:rPr>
          <w:t xml:space="preserve">Manichaeans and Gnostic philosophers</w:t>
        </w:r>
      </w:hyperlink>
      <w:r>
        <w:rPr>
          <w:b w:val="0"/>
          <w:i w:val="0"/>
        </w:rPr>
        <w:t xml:space="preserve">; </w:t>
      </w:r>
      <w:hyperlink w:anchor="nothing-and-nonbeing">
        <w:r>
          <w:rPr>
            <w:color w:val="000000"/>
          </w:rPr>
          <w:t xml:space="preserve">Nothing and nonbeing</w:t>
        </w:r>
      </w:hyperlink>
      <w:r>
        <w:rPr>
          <w:b w:val="0"/>
          <w:i w:val="0"/>
        </w:rPr>
        <w:t xml:space="preserve">. Vocabulary: </w:t>
      </w:r>
      <w:hyperlink w:anchor="latin-record-0109">
        <w:r>
          <w:rPr>
            <w:color w:val="000000"/>
          </w:rPr>
          <w:t xml:space="preserve">auctor</w:t>
        </w:r>
      </w:hyperlink>
      <w:r>
        <w:rPr>
          <w:b w:val="0"/>
          <w:i w:val="0"/>
        </w:rPr>
        <w:t xml:space="preserve">; </w:t>
      </w:r>
      <w:hyperlink w:anchor="latin-record-0409">
        <w:r>
          <w:rPr>
            <w:color w:val="000000"/>
          </w:rPr>
          <w:t xml:space="preserve">expetere / desiderare</w:t>
        </w:r>
      </w:hyperlink>
      <w:r>
        <w:rPr>
          <w:b w:val="0"/>
          <w:i w:val="0"/>
        </w:rPr>
        <w:t xml:space="preserve">; </w:t>
      </w:r>
      <w:hyperlink w:anchor="latin-record-0667">
        <w:r>
          <w:rPr>
            <w:color w:val="000000"/>
          </w:rPr>
          <w:t xml:space="preserve">malum</w:t>
        </w:r>
      </w:hyperlink>
      <w:r>
        <w:rPr>
          <w:b w:val="0"/>
          <w:i w:val="0"/>
        </w:rPr>
        <w:t xml:space="preserve">; </w:t>
      </w:r>
      <w:hyperlink w:anchor="latin-record-0801">
        <w:r>
          <w:rPr>
            <w:color w:val="000000"/>
          </w:rPr>
          <w:t xml:space="preserve">oppositus / contrarius / diversus</w:t>
        </w:r>
      </w:hyperlink>
      <w:r>
        <w:rPr>
          <w:b w:val="0"/>
          <w:i w:val="0"/>
        </w:rPr>
        <w:t xml:space="preserve">; </w:t>
      </w:r>
      <w:hyperlink w:anchor="latin-record-0933">
        <w:r>
          <w:rPr>
            <w:color w:val="000000"/>
          </w:rPr>
          <w:t xml:space="preserve">privare / expers</w:t>
        </w:r>
      </w:hyperlink>
      <w:r>
        <w:rPr>
          <w:b w:val="0"/>
          <w:i w:val="0"/>
        </w:rPr>
        <w:t>.</w:t>
      </w:r>
    </w:p>
    <w:p>
      <w:bookmarkStart w:id="1719" w:name="chapter-ii.3"/>
      <w:pPr>
        <w:pStyle w:val="Heading2"/>
      </w:pPr>
      <w:r>
        <w:rPr>
          <w:b w:val="0"/>
          <w:i w:val="0"/>
        </w:rPr>
        <w:t>Chapter II.3</w:t>
      </w:r>
      <w:bookmarkEnd w:id="1719"/>
    </w:p>
    <w:p>
      <w:pPr>
        <w:widowControl/>
      </w:pPr>
      <w:bookmarkStart w:id="1720" w:name="passage-ii-3-1"/>
      <w:bookmarkEnd w:id="1720"/>
      <w:r>
        <w:rPr>
          <w:b/>
          <w:i w:val="0"/>
        </w:rPr>
        <w:t>II.3.1</w:t>
      </w:r>
      <w:r>
        <w:rPr>
          <w:b/>
          <w:i w:val="0"/>
        </w:rPr>
        <w:t>, source pp. 116–117.</w:t>
      </w:r>
      <w:r>
        <w:rPr>
          <w:b w:val="0"/>
          <w:i w:val="0"/>
        </w:rPr>
        <w:t xml:space="preserve"> Articles: </w:t>
      </w:r>
      <w:hyperlink w:anchor="agreement-and-hypothetical-concession">
        <w:r>
          <w:rPr>
            <w:color w:val="000000"/>
          </w:rPr>
          <w:t xml:space="preserve">Agreement and hypothetical concession</w:t>
        </w:r>
      </w:hyperlink>
      <w:r>
        <w:rPr>
          <w:b w:val="0"/>
          <w:i w:val="0"/>
        </w:rPr>
        <w:t xml:space="preserve">; </w:t>
      </w:r>
      <w:hyperlink w:anchor="cause">
        <w:r>
          <w:rPr>
            <w:color w:val="000000"/>
          </w:rPr>
          <w:t xml:space="preserve">Cause</w:t>
        </w:r>
      </w:hyperlink>
      <w:r>
        <w:rPr>
          <w:b w:val="0"/>
          <w:i w:val="0"/>
        </w:rPr>
        <w:t xml:space="preserve">; </w:t>
      </w:r>
      <w:hyperlink w:anchor="infinity">
        <w:r>
          <w:rPr>
            <w:color w:val="000000"/>
          </w:rPr>
          <w:t xml:space="preserve">Infinity</w:t>
        </w:r>
      </w:hyperlink>
      <w:r>
        <w:rPr>
          <w:b w:val="0"/>
          <w:i w:val="0"/>
        </w:rPr>
        <w:t xml:space="preserve">; </w:t>
      </w:r>
      <w:hyperlink w:anchor="principle">
        <w:r>
          <w:rPr>
            <w:color w:val="000000"/>
          </w:rPr>
          <w:t xml:space="preserve">Principle</w:t>
        </w:r>
      </w:hyperlink>
      <w:r>
        <w:rPr>
          <w:b w:val="0"/>
          <w:i w:val="0"/>
        </w:rPr>
        <w:t xml:space="preserve">. Vocabulary: </w:t>
      </w:r>
      <w:hyperlink w:anchor="latin-record-0218">
        <w:r>
          <w:rPr>
            <w:color w:val="000000"/>
          </w:rPr>
          <w:t xml:space="preserve">concedere / admittere / dare as grant</w:t>
        </w:r>
      </w:hyperlink>
      <w:r>
        <w:rPr>
          <w:b w:val="0"/>
          <w:i w:val="0"/>
        </w:rPr>
        <w:t xml:space="preserve">; </w:t>
      </w:r>
      <w:hyperlink w:anchor="latin-record-0237">
        <w:r>
          <w:rPr>
            <w:color w:val="000000"/>
          </w:rPr>
          <w:t xml:space="preserve">confutare / refellere</w:t>
        </w:r>
      </w:hyperlink>
      <w:r>
        <w:rPr>
          <w:b w:val="0"/>
          <w:i w:val="0"/>
        </w:rPr>
        <w:t xml:space="preserve">; </w:t>
      </w:r>
      <w:hyperlink w:anchor="latin-record-0405">
        <w:r>
          <w:rPr>
            <w:color w:val="000000"/>
          </w:rPr>
          <w:t xml:space="preserve">existimare / opinari / arbitrari</w:t>
        </w:r>
      </w:hyperlink>
      <w:r>
        <w:rPr>
          <w:b w:val="0"/>
          <w:i w:val="0"/>
        </w:rPr>
        <w:t xml:space="preserve">; </w:t>
      </w:r>
      <w:hyperlink w:anchor="latin-record-0485">
        <w:r>
          <w:rPr>
            <w:color w:val="000000"/>
          </w:rPr>
          <w:t xml:space="preserve">gradus / gradatim</w:t>
        </w:r>
      </w:hyperlink>
      <w:r>
        <w:rPr>
          <w:b w:val="0"/>
          <w:i w:val="0"/>
        </w:rPr>
        <w:t xml:space="preserve">; </w:t>
      </w:r>
      <w:hyperlink w:anchor="latin-record-0911">
        <w:r>
          <w:rPr>
            <w:color w:val="000000"/>
          </w:rPr>
          <w:t xml:space="preserve">praeponere / praeferre</w:t>
        </w:r>
      </w:hyperlink>
      <w:r>
        <w:rPr>
          <w:b w:val="0"/>
          <w:i w:val="0"/>
        </w:rPr>
        <w:t>.</w:t>
      </w:r>
    </w:p>
    <w:p>
      <w:pPr>
        <w:widowControl/>
      </w:pPr>
      <w:bookmarkStart w:id="1721" w:name="passage-ii-3-2"/>
      <w:bookmarkEnd w:id="1721"/>
      <w:r>
        <w:rPr>
          <w:b/>
          <w:i w:val="0"/>
        </w:rPr>
        <w:t>II.3.2</w:t>
      </w:r>
      <w:r>
        <w:rPr>
          <w:b/>
          <w:i w:val="0"/>
        </w:rPr>
        <w:t>, source pp. 116–117.</w:t>
      </w:r>
      <w:r>
        <w:rPr>
          <w:b w:val="0"/>
          <w:i w:val="0"/>
        </w:rPr>
        <w:t xml:space="preserve"> Articles: </w:t>
      </w:r>
      <w:hyperlink w:anchor="cause">
        <w:r>
          <w:rPr>
            <w:color w:val="000000"/>
          </w:rPr>
          <w:t xml:space="preserve">Cause</w:t>
        </w:r>
      </w:hyperlink>
      <w:r>
        <w:rPr>
          <w:b w:val="0"/>
          <w:i w:val="0"/>
        </w:rPr>
        <w:t xml:space="preserve">; </w:t>
      </w:r>
      <w:hyperlink w:anchor="infinity">
        <w:r>
          <w:rPr>
            <w:color w:val="000000"/>
          </w:rPr>
          <w:t xml:space="preserve">Infinity</w:t>
        </w:r>
      </w:hyperlink>
      <w:r>
        <w:rPr>
          <w:b w:val="0"/>
          <w:i w:val="0"/>
        </w:rPr>
        <w:t xml:space="preserve">; </w:t>
      </w:r>
      <w:hyperlink w:anchor="principle">
        <w:r>
          <w:rPr>
            <w:color w:val="000000"/>
          </w:rPr>
          <w:t xml:space="preserve">Principle</w:t>
        </w:r>
      </w:hyperlink>
      <w:r>
        <w:rPr>
          <w:b w:val="0"/>
          <w:i w:val="0"/>
        </w:rPr>
        <w:t xml:space="preserve">. Vocabulary: </w:t>
      </w:r>
      <w:hyperlink w:anchor="latin-record-0005">
        <w:r>
          <w:rPr>
            <w:color w:val="000000"/>
          </w:rPr>
          <w:t xml:space="preserve">absurdus</w:t>
        </w:r>
      </w:hyperlink>
      <w:r>
        <w:rPr>
          <w:b w:val="0"/>
          <w:i w:val="0"/>
        </w:rPr>
        <w:t xml:space="preserve">; </w:t>
      </w:r>
      <w:hyperlink w:anchor="latin-record-0100">
        <w:r>
          <w:rPr>
            <w:color w:val="000000"/>
          </w:rPr>
          <w:t xml:space="preserve">ascendere / descendere</w:t>
        </w:r>
      </w:hyperlink>
      <w:r>
        <w:rPr>
          <w:b w:val="0"/>
          <w:i w:val="0"/>
        </w:rPr>
        <w:t xml:space="preserve">; </w:t>
      </w:r>
      <w:hyperlink w:anchor="latin-record-0153">
        <w:r>
          <w:rPr>
            <w:color w:val="000000"/>
          </w:rPr>
          <w:t xml:space="preserve">causa / effectus</w:t>
        </w:r>
      </w:hyperlink>
      <w:r>
        <w:rPr>
          <w:b w:val="0"/>
          <w:i w:val="0"/>
        </w:rPr>
        <w:t xml:space="preserve">; </w:t>
      </w:r>
      <w:hyperlink w:anchor="latin-record-0293">
        <w:r>
          <w:rPr>
            <w:color w:val="000000"/>
          </w:rPr>
          <w:t xml:space="preserve">debilitare / deficere</w:t>
        </w:r>
      </w:hyperlink>
      <w:r>
        <w:rPr>
          <w:b w:val="0"/>
          <w:i w:val="0"/>
        </w:rPr>
        <w:t xml:space="preserve">; </w:t>
      </w:r>
      <w:hyperlink w:anchor="latin-record-0352">
        <w:r>
          <w:rPr>
            <w:color w:val="000000"/>
          </w:rPr>
          <w:t xml:space="preserve">ducere / deducere / trahere</w:t>
        </w:r>
      </w:hyperlink>
      <w:r>
        <w:rPr>
          <w:b w:val="0"/>
          <w:i w:val="0"/>
        </w:rPr>
        <w:t xml:space="preserve">; </w:t>
      </w:r>
      <w:hyperlink w:anchor="latin-record-0393">
        <w:r>
          <w:rPr>
            <w:color w:val="000000"/>
          </w:rPr>
          <w:t xml:space="preserve">excedere / superare</w:t>
        </w:r>
      </w:hyperlink>
      <w:r>
        <w:rPr>
          <w:b w:val="0"/>
          <w:i w:val="0"/>
        </w:rPr>
        <w:t xml:space="preserve">; </w:t>
      </w:r>
      <w:hyperlink w:anchor="latin-record-0518">
        <w:r>
          <w:rPr>
            <w:color w:val="000000"/>
          </w:rPr>
          <w:t xml:space="preserve">iacere / iactus</w:t>
        </w:r>
      </w:hyperlink>
      <w:r>
        <w:rPr>
          <w:b w:val="0"/>
          <w:i w:val="0"/>
        </w:rPr>
        <w:t xml:space="preserve">; </w:t>
      </w:r>
      <w:hyperlink w:anchor="latin-record-0944">
        <w:r>
          <w:rPr>
            <w:color w:val="000000"/>
          </w:rPr>
          <w:t xml:space="preserve">producere / facere / gignere</w:t>
        </w:r>
      </w:hyperlink>
      <w:r>
        <w:rPr>
          <w:b w:val="0"/>
          <w:i w:val="0"/>
        </w:rPr>
        <w:t>.</w:t>
      </w:r>
    </w:p>
    <w:p>
      <w:pPr>
        <w:widowControl/>
      </w:pPr>
      <w:bookmarkStart w:id="1722" w:name="passage-ii-3-3"/>
      <w:bookmarkEnd w:id="1722"/>
      <w:r>
        <w:rPr>
          <w:b/>
          <w:i w:val="0"/>
        </w:rPr>
        <w:t>II.3.3</w:t>
      </w:r>
      <w:r>
        <w:rPr>
          <w:b/>
          <w:i w:val="0"/>
        </w:rPr>
        <w:t>, source pp. 116–117.</w:t>
      </w:r>
      <w:r>
        <w:rPr>
          <w:b w:val="0"/>
          <w:i w:val="0"/>
        </w:rPr>
        <w:t xml:space="preserve"> Articles: </w:t>
      </w:r>
      <w:hyperlink w:anchor="cause">
        <w:r>
          <w:rPr>
            <w:color w:val="000000"/>
          </w:rPr>
          <w:t xml:space="preserve">Cause</w:t>
        </w:r>
      </w:hyperlink>
      <w:r>
        <w:rPr>
          <w:b w:val="0"/>
          <w:i w:val="0"/>
        </w:rPr>
        <w:t xml:space="preserve">; </w:t>
      </w:r>
      <w:hyperlink w:anchor="failure-weariness-and-endurance">
        <w:r>
          <w:rPr>
            <w:color w:val="000000"/>
          </w:rPr>
          <w:t xml:space="preserve">Failure weariness and endurance</w:t>
        </w:r>
      </w:hyperlink>
      <w:r>
        <w:rPr>
          <w:b w:val="0"/>
          <w:i w:val="0"/>
        </w:rPr>
        <w:t xml:space="preserve">; </w:t>
      </w:r>
      <w:hyperlink w:anchor="infinity">
        <w:r>
          <w:rPr>
            <w:color w:val="000000"/>
          </w:rPr>
          <w:t xml:space="preserve">Infinity</w:t>
        </w:r>
      </w:hyperlink>
      <w:r>
        <w:rPr>
          <w:b w:val="0"/>
          <w:i w:val="0"/>
        </w:rPr>
        <w:t xml:space="preserve">; </w:t>
      </w:r>
      <w:hyperlink w:anchor="measure-and-degree">
        <w:r>
          <w:rPr>
            <w:color w:val="000000"/>
          </w:rPr>
          <w:t xml:space="preserve">Measure and degree</w:t>
        </w:r>
      </w:hyperlink>
      <w:r>
        <w:rPr>
          <w:b w:val="0"/>
          <w:i w:val="0"/>
        </w:rPr>
        <w:t xml:space="preserve">; </w:t>
      </w:r>
      <w:hyperlink w:anchor="motion-and-stability">
        <w:r>
          <w:rPr>
            <w:color w:val="000000"/>
          </w:rPr>
          <w:t xml:space="preserve">Motion and stability</w:t>
        </w:r>
      </w:hyperlink>
      <w:r>
        <w:rPr>
          <w:b w:val="0"/>
          <w:i w:val="0"/>
        </w:rPr>
        <w:t xml:space="preserve">; </w:t>
      </w:r>
      <w:hyperlink w:anchor="perfection">
        <w:r>
          <w:rPr>
            <w:color w:val="000000"/>
          </w:rPr>
          <w:t xml:space="preserve">Perfection</w:t>
        </w:r>
      </w:hyperlink>
      <w:r>
        <w:rPr>
          <w:b w:val="0"/>
          <w:i w:val="0"/>
        </w:rPr>
        <w:t xml:space="preserve">; </w:t>
      </w:r>
      <w:hyperlink w:anchor="principle">
        <w:r>
          <w:rPr>
            <w:color w:val="000000"/>
          </w:rPr>
          <w:t xml:space="preserve">Principle</w:t>
        </w:r>
      </w:hyperlink>
      <w:r>
        <w:rPr>
          <w:b w:val="0"/>
          <w:i w:val="0"/>
        </w:rPr>
        <w:t xml:space="preserve">; </w:t>
      </w:r>
      <w:hyperlink w:anchor="spring-and-flow">
        <w:r>
          <w:rPr>
            <w:color w:val="000000"/>
          </w:rPr>
          <w:t xml:space="preserve">Spring and flow</w:t>
        </w:r>
      </w:hyperlink>
      <w:r>
        <w:rPr>
          <w:b w:val="0"/>
          <w:i w:val="0"/>
        </w:rPr>
        <w:t xml:space="preserve">. Vocabulary: </w:t>
      </w:r>
      <w:hyperlink w:anchor="latin-record-0100">
        <w:r>
          <w:rPr>
            <w:color w:val="000000"/>
          </w:rPr>
          <w:t xml:space="preserve">ascendere / descendere</w:t>
        </w:r>
      </w:hyperlink>
      <w:r>
        <w:rPr>
          <w:b w:val="0"/>
          <w:i w:val="0"/>
        </w:rPr>
        <w:t xml:space="preserve">; </w:t>
      </w:r>
      <w:hyperlink w:anchor="latin-record-0284">
        <w:r>
          <w:rPr>
            <w:color w:val="000000"/>
          </w:rPr>
          <w:t xml:space="preserve">crescere / decrescere / minuere</w:t>
        </w:r>
      </w:hyperlink>
      <w:r>
        <w:rPr>
          <w:b w:val="0"/>
          <w:i w:val="0"/>
        </w:rPr>
        <w:t xml:space="preserve">; </w:t>
      </w:r>
      <w:hyperlink w:anchor="latin-record-0293">
        <w:r>
          <w:rPr>
            <w:color w:val="000000"/>
          </w:rPr>
          <w:t xml:space="preserve">debilitare / deficere</w:t>
        </w:r>
      </w:hyperlink>
      <w:r>
        <w:rPr>
          <w:b w:val="0"/>
          <w:i w:val="0"/>
        </w:rPr>
        <w:t xml:space="preserve">; </w:t>
      </w:r>
      <w:hyperlink w:anchor="latin-record-0406">
        <w:r>
          <w:rPr>
            <w:color w:val="000000"/>
          </w:rPr>
          <w:t xml:space="preserve">exordiri / prodire</w:t>
        </w:r>
      </w:hyperlink>
      <w:r>
        <w:rPr>
          <w:b w:val="0"/>
          <w:i w:val="0"/>
        </w:rPr>
        <w:t xml:space="preserve">; </w:t>
      </w:r>
      <w:hyperlink w:anchor="latin-record-0457">
        <w:r>
          <w:rPr>
            <w:color w:val="000000"/>
          </w:rPr>
          <w:t xml:space="preserve">fluere / fluitare / fluxus</w:t>
        </w:r>
      </w:hyperlink>
      <w:r>
        <w:rPr>
          <w:b w:val="0"/>
          <w:i w:val="0"/>
        </w:rPr>
        <w:t xml:space="preserve">; </w:t>
      </w:r>
      <w:hyperlink w:anchor="latin-record-0856">
        <w:r>
          <w:rPr>
            <w:color w:val="000000"/>
          </w:rPr>
          <w:t xml:space="preserve">perfectio / perfectus</w:t>
        </w:r>
      </w:hyperlink>
      <w:r>
        <w:rPr>
          <w:b w:val="0"/>
          <w:i w:val="0"/>
        </w:rPr>
        <w:t xml:space="preserve">; </w:t>
      </w:r>
      <w:hyperlink w:anchor="latin-record-1148">
        <w:r>
          <w:rPr>
            <w:color w:val="000000"/>
          </w:rPr>
          <w:t xml:space="preserve">stultus / sapienter / perspicue / vulgo / gratia / idealis</w:t>
        </w:r>
      </w:hyperlink>
      <w:r>
        <w:rPr>
          <w:b w:val="0"/>
          <w:i w:val="0"/>
        </w:rPr>
        <w:t>.</w:t>
      </w:r>
    </w:p>
    <w:p>
      <w:pPr>
        <w:widowControl/>
      </w:pPr>
      <w:bookmarkStart w:id="1723" w:name="passage-ii-3-4"/>
      <w:bookmarkEnd w:id="1723"/>
      <w:r>
        <w:rPr>
          <w:b/>
          <w:i w:val="0"/>
        </w:rPr>
        <w:t>II.3.4</w:t>
      </w:r>
      <w:r>
        <w:rPr>
          <w:b/>
          <w:i w:val="0"/>
        </w:rPr>
        <w:t>, source pp. 118–119.</w:t>
      </w:r>
      <w:r>
        <w:rPr>
          <w:b w:val="0"/>
          <w:i w:val="0"/>
        </w:rPr>
        <w:t xml:space="preserve"> Articles: </w:t>
      </w:r>
      <w:hyperlink w:anchor="infinity">
        <w:r>
          <w:rPr>
            <w:color w:val="000000"/>
          </w:rPr>
          <w:t xml:space="preserve">Infinity</w:t>
        </w:r>
      </w:hyperlink>
      <w:r>
        <w:rPr>
          <w:b w:val="0"/>
          <w:i w:val="0"/>
        </w:rPr>
        <w:t xml:space="preserve">; </w:t>
      </w:r>
      <w:hyperlink w:anchor="measure-and-degree">
        <w:r>
          <w:rPr>
            <w:color w:val="000000"/>
          </w:rPr>
          <w:t xml:space="preserve">Measure and degree</w:t>
        </w:r>
      </w:hyperlink>
      <w:r>
        <w:rPr>
          <w:b w:val="0"/>
          <w:i w:val="0"/>
        </w:rPr>
        <w:t xml:space="preserve">; </w:t>
      </w:r>
      <w:hyperlink w:anchor="perfection">
        <w:r>
          <w:rPr>
            <w:color w:val="000000"/>
          </w:rPr>
          <w:t xml:space="preserve">Perfection</w:t>
        </w:r>
      </w:hyperlink>
      <w:r>
        <w:rPr>
          <w:b w:val="0"/>
          <w:i w:val="0"/>
        </w:rPr>
        <w:t xml:space="preserve">; </w:t>
      </w:r>
      <w:hyperlink w:anchor="principle">
        <w:r>
          <w:rPr>
            <w:color w:val="000000"/>
          </w:rPr>
          <w:t xml:space="preserve">Principle</w:t>
        </w:r>
      </w:hyperlink>
      <w:r>
        <w:rPr>
          <w:b w:val="0"/>
          <w:i w:val="0"/>
        </w:rPr>
        <w:t xml:space="preserve">; </w:t>
      </w:r>
      <w:hyperlink w:anchor="surpassing-and-comparison">
        <w:r>
          <w:rPr>
            <w:color w:val="000000"/>
          </w:rPr>
          <w:t xml:space="preserve">Surpassing and comparison</w:t>
        </w:r>
      </w:hyperlink>
      <w:r>
        <w:rPr>
          <w:b w:val="0"/>
          <w:i w:val="0"/>
        </w:rPr>
        <w:t xml:space="preserve">. Vocabulary: </w:t>
      </w:r>
      <w:hyperlink w:anchor="latin-record-0069">
        <w:r>
          <w:rPr>
            <w:color w:val="000000"/>
          </w:rPr>
          <w:t xml:space="preserve">anima / animus</w:t>
        </w:r>
      </w:hyperlink>
      <w:r>
        <w:rPr>
          <w:b w:val="0"/>
          <w:i w:val="0"/>
        </w:rPr>
        <w:t xml:space="preserve">; </w:t>
      </w:r>
      <w:hyperlink w:anchor="latin-record-0338">
        <w:r>
          <w:rPr>
            <w:color w:val="000000"/>
          </w:rPr>
          <w:t xml:space="preserve">distare</w:t>
        </w:r>
      </w:hyperlink>
      <w:r>
        <w:rPr>
          <w:b w:val="0"/>
          <w:i w:val="0"/>
        </w:rPr>
        <w:t xml:space="preserve">; </w:t>
      </w:r>
      <w:hyperlink w:anchor="latin-record-0604">
        <w:r>
          <w:rPr>
            <w:color w:val="000000"/>
          </w:rPr>
          <w:t xml:space="preserve">intervallum / mensura</w:t>
        </w:r>
      </w:hyperlink>
      <w:r>
        <w:rPr>
          <w:b w:val="0"/>
          <w:i w:val="0"/>
        </w:rPr>
        <w:t xml:space="preserve">; </w:t>
      </w:r>
      <w:hyperlink w:anchor="latin-record-0619">
        <w:r>
          <w:rPr>
            <w:color w:val="000000"/>
          </w:rPr>
          <w:t xml:space="preserve">iudicare / percipere / nescire / nosse / notitia / speculari</w:t>
        </w:r>
      </w:hyperlink>
      <w:r>
        <w:rPr>
          <w:b w:val="0"/>
          <w:i w:val="0"/>
        </w:rPr>
        <w:t xml:space="preserve">; </w:t>
      </w:r>
      <w:hyperlink w:anchor="latin-record-0682">
        <w:r>
          <w:rPr>
            <w:color w:val="000000"/>
          </w:rPr>
          <w:t xml:space="preserve">melior / melius</w:t>
        </w:r>
      </w:hyperlink>
      <w:r>
        <w:rPr>
          <w:b w:val="0"/>
          <w:i w:val="0"/>
        </w:rPr>
        <w:t xml:space="preserve">; </w:t>
      </w:r>
      <w:hyperlink w:anchor="latin-record-0956">
        <w:r>
          <w:rPr>
            <w:color w:val="000000"/>
          </w:rPr>
          <w:t xml:space="preserve">propinquus / conveniens</w:t>
        </w:r>
      </w:hyperlink>
      <w:r>
        <w:rPr>
          <w:b w:val="0"/>
          <w:i w:val="0"/>
        </w:rPr>
        <w:t>.</w:t>
      </w:r>
    </w:p>
    <w:p>
      <w:pPr>
        <w:widowControl/>
      </w:pPr>
      <w:bookmarkStart w:id="1724" w:name="passage-ii-3-5"/>
      <w:bookmarkEnd w:id="1724"/>
      <w:r>
        <w:rPr>
          <w:b/>
          <w:i w:val="0"/>
        </w:rPr>
        <w:t>II.3.5</w:t>
      </w:r>
      <w:r>
        <w:rPr>
          <w:b/>
          <w:i w:val="0"/>
        </w:rPr>
        <w:t>, source pp. 118–119.</w:t>
      </w:r>
      <w:r>
        <w:rPr>
          <w:b w:val="0"/>
          <w:i w:val="0"/>
        </w:rPr>
        <w:t xml:space="preserve"> Articles: </w:t>
      </w:r>
      <w:hyperlink w:anchor="infinity">
        <w:r>
          <w:rPr>
            <w:color w:val="000000"/>
          </w:rPr>
          <w:t xml:space="preserve">Infinity</w:t>
        </w:r>
      </w:hyperlink>
      <w:r>
        <w:rPr>
          <w:b w:val="0"/>
          <w:i w:val="0"/>
        </w:rPr>
        <w:t xml:space="preserve">; </w:t>
      </w:r>
      <w:hyperlink w:anchor="measure-and-degree">
        <w:r>
          <w:rPr>
            <w:color w:val="000000"/>
          </w:rPr>
          <w:t xml:space="preserve">Measure and degree</w:t>
        </w:r>
      </w:hyperlink>
      <w:r>
        <w:rPr>
          <w:b w:val="0"/>
          <w:i w:val="0"/>
        </w:rPr>
        <w:t xml:space="preserve">; </w:t>
      </w:r>
      <w:hyperlink w:anchor="perfection">
        <w:r>
          <w:rPr>
            <w:color w:val="000000"/>
          </w:rPr>
          <w:t xml:space="preserve">Perfection</w:t>
        </w:r>
      </w:hyperlink>
      <w:r>
        <w:rPr>
          <w:b w:val="0"/>
          <w:i w:val="0"/>
        </w:rPr>
        <w:t xml:space="preserve">; </w:t>
      </w:r>
      <w:hyperlink w:anchor="principle">
        <w:r>
          <w:rPr>
            <w:color w:val="000000"/>
          </w:rPr>
          <w:t xml:space="preserve">Principle</w:t>
        </w:r>
      </w:hyperlink>
      <w:r>
        <w:rPr>
          <w:b w:val="0"/>
          <w:i w:val="0"/>
        </w:rPr>
        <w:t xml:space="preserve">; </w:t>
      </w:r>
      <w:hyperlink w:anchor="reason-and-account">
        <w:r>
          <w:rPr>
            <w:color w:val="000000"/>
          </w:rPr>
          <w:t xml:space="preserve">Reason and account</w:t>
        </w:r>
      </w:hyperlink>
      <w:r>
        <w:rPr>
          <w:b w:val="0"/>
          <w:i w:val="0"/>
        </w:rPr>
        <w:t xml:space="preserve">; </w:t>
      </w:r>
      <w:hyperlink w:anchor="surpassing-and-comparison">
        <w:r>
          <w:rPr>
            <w:color w:val="000000"/>
          </w:rPr>
          <w:t xml:space="preserve">Surpassing and comparison</w:t>
        </w:r>
      </w:hyperlink>
      <w:r>
        <w:rPr>
          <w:b w:val="0"/>
          <w:i w:val="0"/>
        </w:rPr>
        <w:t xml:space="preserve">. Vocabulary: </w:t>
      </w:r>
      <w:hyperlink w:anchor="latin-record-0604">
        <w:r>
          <w:rPr>
            <w:color w:val="000000"/>
          </w:rPr>
          <w:t xml:space="preserve">intervallum / mensura</w:t>
        </w:r>
      </w:hyperlink>
      <w:r>
        <w:rPr>
          <w:b w:val="0"/>
          <w:i w:val="0"/>
        </w:rPr>
        <w:t xml:space="preserve">; </w:t>
      </w:r>
      <w:hyperlink w:anchor="latin-record-0911">
        <w:r>
          <w:rPr>
            <w:color w:val="000000"/>
          </w:rPr>
          <w:t xml:space="preserve">praeponere / praeferre</w:t>
        </w:r>
      </w:hyperlink>
      <w:r>
        <w:rPr>
          <w:b w:val="0"/>
          <w:i w:val="0"/>
        </w:rPr>
        <w:t xml:space="preserve">; </w:t>
      </w:r>
      <w:hyperlink w:anchor="latin-record-0956">
        <w:r>
          <w:rPr>
            <w:color w:val="000000"/>
          </w:rPr>
          <w:t xml:space="preserve">propinquus / conveniens</w:t>
        </w:r>
      </w:hyperlink>
      <w:r>
        <w:rPr>
          <w:b w:val="0"/>
          <w:i w:val="0"/>
        </w:rPr>
        <w:t xml:space="preserve">; </w:t>
      </w:r>
      <w:hyperlink w:anchor="latin-record-1022">
        <w:r>
          <w:rPr>
            <w:color w:val="000000"/>
          </w:rPr>
          <w:t xml:space="preserve">ratio / rationalis</w:t>
        </w:r>
      </w:hyperlink>
      <w:r>
        <w:rPr>
          <w:b w:val="0"/>
          <w:i w:val="0"/>
        </w:rPr>
        <w:t xml:space="preserve">; </w:t>
      </w:r>
      <w:hyperlink w:anchor="latin-record-1148">
        <w:r>
          <w:rPr>
            <w:color w:val="000000"/>
          </w:rPr>
          <w:t xml:space="preserve">stultus / sapienter / perspicue / vulgo / gratia / idealis</w:t>
        </w:r>
      </w:hyperlink>
      <w:r>
        <w:rPr>
          <w:b w:val="0"/>
          <w:i w:val="0"/>
        </w:rPr>
        <w:t>.</w:t>
      </w:r>
    </w:p>
    <w:p>
      <w:pPr>
        <w:widowControl/>
      </w:pPr>
      <w:bookmarkStart w:id="1725" w:name="passage-ii-3-6"/>
      <w:bookmarkEnd w:id="1725"/>
      <w:r>
        <w:rPr>
          <w:b/>
          <w:i w:val="0"/>
        </w:rPr>
        <w:t>II.3.6</w:t>
      </w:r>
      <w:r>
        <w:rPr>
          <w:b/>
          <w:i w:val="0"/>
        </w:rPr>
        <w:t>, source pp. 118–119.</w:t>
      </w:r>
      <w:r>
        <w:rPr>
          <w:b w:val="0"/>
          <w:i w:val="0"/>
        </w:rPr>
        <w:t xml:space="preserve"> Articles: </w:t>
      </w:r>
      <w:hyperlink w:anchor="infinity">
        <w:r>
          <w:rPr>
            <w:color w:val="000000"/>
          </w:rPr>
          <w:t xml:space="preserve">Infinity</w:t>
        </w:r>
      </w:hyperlink>
      <w:r>
        <w:rPr>
          <w:b w:val="0"/>
          <w:i w:val="0"/>
        </w:rPr>
        <w:t xml:space="preserve">; </w:t>
      </w:r>
      <w:hyperlink w:anchor="measure-and-degree">
        <w:r>
          <w:rPr>
            <w:color w:val="000000"/>
          </w:rPr>
          <w:t xml:space="preserve">Measure and degree</w:t>
        </w:r>
      </w:hyperlink>
      <w:r>
        <w:rPr>
          <w:b w:val="0"/>
          <w:i w:val="0"/>
        </w:rPr>
        <w:t xml:space="preserve">; </w:t>
      </w:r>
      <w:hyperlink w:anchor="perfection">
        <w:r>
          <w:rPr>
            <w:color w:val="000000"/>
          </w:rPr>
          <w:t xml:space="preserve">Perfection</w:t>
        </w:r>
      </w:hyperlink>
      <w:r>
        <w:rPr>
          <w:b w:val="0"/>
          <w:i w:val="0"/>
        </w:rPr>
        <w:t xml:space="preserve">; </w:t>
      </w:r>
      <w:hyperlink w:anchor="principle">
        <w:r>
          <w:rPr>
            <w:color w:val="000000"/>
          </w:rPr>
          <w:t xml:space="preserve">Principle</w:t>
        </w:r>
      </w:hyperlink>
      <w:r>
        <w:rPr>
          <w:b w:val="0"/>
          <w:i w:val="0"/>
        </w:rPr>
        <w:t xml:space="preserve">; </w:t>
      </w:r>
      <w:hyperlink w:anchor="surpassing-and-comparison">
        <w:r>
          <w:rPr>
            <w:color w:val="000000"/>
          </w:rPr>
          <w:t xml:space="preserve">Surpassing and comparison</w:t>
        </w:r>
      </w:hyperlink>
      <w:r>
        <w:rPr>
          <w:b w:val="0"/>
          <w:i w:val="0"/>
        </w:rPr>
        <w:t xml:space="preserve">. Vocabulary: </w:t>
      </w:r>
      <w:hyperlink w:anchor="latin-record-0682">
        <w:r>
          <w:rPr>
            <w:color w:val="000000"/>
          </w:rPr>
          <w:t xml:space="preserve">melior / melius</w:t>
        </w:r>
      </w:hyperlink>
      <w:r>
        <w:rPr>
          <w:b w:val="0"/>
          <w:i w:val="0"/>
        </w:rPr>
        <w:t>.</w:t>
      </w:r>
    </w:p>
    <w:p>
      <w:pPr>
        <w:widowControl/>
      </w:pPr>
      <w:bookmarkStart w:id="1726" w:name="passage-ii-3-7"/>
      <w:bookmarkEnd w:id="1726"/>
      <w:r>
        <w:rPr>
          <w:b/>
          <w:i w:val="0"/>
        </w:rPr>
        <w:t>II.3.7</w:t>
      </w:r>
      <w:r>
        <w:rPr>
          <w:b/>
          <w:i w:val="0"/>
        </w:rPr>
        <w:t>, source pp. 118–119.</w:t>
      </w:r>
      <w:r>
        <w:rPr>
          <w:b w:val="0"/>
          <w:i w:val="0"/>
        </w:rPr>
        <w:t xml:space="preserve"> Articles: </w:t>
      </w:r>
      <w:hyperlink w:anchor="infinity">
        <w:r>
          <w:rPr>
            <w:color w:val="000000"/>
          </w:rPr>
          <w:t xml:space="preserve">Infinity</w:t>
        </w:r>
      </w:hyperlink>
      <w:r>
        <w:rPr>
          <w:b w:val="0"/>
          <w:i w:val="0"/>
        </w:rPr>
        <w:t xml:space="preserve">; </w:t>
      </w:r>
      <w:hyperlink w:anchor="motion-and-stability">
        <w:r>
          <w:rPr>
            <w:color w:val="000000"/>
          </w:rPr>
          <w:t xml:space="preserve">Motion and stability</w:t>
        </w:r>
      </w:hyperlink>
      <w:r>
        <w:rPr>
          <w:b w:val="0"/>
          <w:i w:val="0"/>
        </w:rPr>
        <w:t xml:space="preserve">; </w:t>
      </w:r>
      <w:hyperlink w:anchor="principle">
        <w:r>
          <w:rPr>
            <w:color w:val="000000"/>
          </w:rPr>
          <w:t xml:space="preserve">Principle</w:t>
        </w:r>
      </w:hyperlink>
      <w:r>
        <w:rPr>
          <w:b w:val="0"/>
          <w:i w:val="0"/>
        </w:rPr>
        <w:t xml:space="preserve">; </w:t>
      </w:r>
      <w:hyperlink w:anchor="spring-and-flow">
        <w:r>
          <w:rPr>
            <w:color w:val="000000"/>
          </w:rPr>
          <w:t xml:space="preserve">Spring and flow</w:t>
        </w:r>
      </w:hyperlink>
      <w:r>
        <w:rPr>
          <w:b w:val="0"/>
          <w:i w:val="0"/>
        </w:rPr>
        <w:t xml:space="preserve">. Vocabulary: </w:t>
      </w:r>
      <w:hyperlink w:anchor="latin-record-0406">
        <w:r>
          <w:rPr>
            <w:color w:val="000000"/>
          </w:rPr>
          <w:t xml:space="preserve">exordiri / prodire</w:t>
        </w:r>
      </w:hyperlink>
      <w:r>
        <w:rPr>
          <w:b w:val="0"/>
          <w:i w:val="0"/>
        </w:rPr>
        <w:t xml:space="preserve">; </w:t>
      </w:r>
      <w:hyperlink w:anchor="latin-record-0457">
        <w:r>
          <w:rPr>
            <w:color w:val="000000"/>
          </w:rPr>
          <w:t xml:space="preserve">fluere / fluitare / fluxus</w:t>
        </w:r>
      </w:hyperlink>
      <w:r>
        <w:rPr>
          <w:b w:val="0"/>
          <w:i w:val="0"/>
        </w:rPr>
        <w:t xml:space="preserve">; </w:t>
      </w:r>
      <w:hyperlink w:anchor="latin-record-0668">
        <w:r>
          <w:rPr>
            <w:color w:val="000000"/>
          </w:rPr>
          <w:t xml:space="preserve">manare / emanare</w:t>
        </w:r>
      </w:hyperlink>
      <w:r>
        <w:rPr>
          <w:b w:val="0"/>
          <w:i w:val="0"/>
        </w:rPr>
        <w:t>.</w:t>
      </w:r>
    </w:p>
    <w:p>
      <w:pPr>
        <w:widowControl/>
      </w:pPr>
      <w:bookmarkStart w:id="1727" w:name="passage-ii-3-8"/>
      <w:bookmarkEnd w:id="1727"/>
      <w:r>
        <w:rPr>
          <w:b/>
          <w:i w:val="0"/>
        </w:rPr>
        <w:t>II.3.8</w:t>
      </w:r>
      <w:r>
        <w:rPr>
          <w:b/>
          <w:i w:val="0"/>
        </w:rPr>
        <w:t>, source pp. 118–119.</w:t>
      </w:r>
      <w:r>
        <w:rPr>
          <w:b w:val="0"/>
          <w:i w:val="0"/>
        </w:rPr>
        <w:t xml:space="preserve"> Articles: </w:t>
      </w:r>
      <w:hyperlink w:anchor="infinity">
        <w:r>
          <w:rPr>
            <w:color w:val="000000"/>
          </w:rPr>
          <w:t xml:space="preserve">Infinity</w:t>
        </w:r>
      </w:hyperlink>
      <w:r>
        <w:rPr>
          <w:b w:val="0"/>
          <w:i w:val="0"/>
        </w:rPr>
        <w:t xml:space="preserve">; </w:t>
      </w:r>
      <w:hyperlink w:anchor="motion-and-stability">
        <w:r>
          <w:rPr>
            <w:color w:val="000000"/>
          </w:rPr>
          <w:t xml:space="preserve">Motion and stability</w:t>
        </w:r>
      </w:hyperlink>
      <w:r>
        <w:rPr>
          <w:b w:val="0"/>
          <w:i w:val="0"/>
        </w:rPr>
        <w:t xml:space="preserve">; </w:t>
      </w:r>
      <w:hyperlink w:anchor="principle">
        <w:r>
          <w:rPr>
            <w:color w:val="000000"/>
          </w:rPr>
          <w:t xml:space="preserve">Principle</w:t>
        </w:r>
      </w:hyperlink>
      <w:r>
        <w:rPr>
          <w:b w:val="0"/>
          <w:i w:val="0"/>
        </w:rPr>
        <w:t xml:space="preserve">; </w:t>
      </w:r>
      <w:hyperlink w:anchor="spring-and-flow">
        <w:r>
          <w:rPr>
            <w:color w:val="000000"/>
          </w:rPr>
          <w:t xml:space="preserve">Spring and flow</w:t>
        </w:r>
      </w:hyperlink>
      <w:r>
        <w:rPr>
          <w:b w:val="0"/>
          <w:i w:val="0"/>
        </w:rPr>
        <w:t xml:space="preserve">. Vocabulary: </w:t>
      </w:r>
      <w:hyperlink w:anchor="latin-record-0148">
        <w:r>
          <w:rPr>
            <w:color w:val="000000"/>
          </w:rPr>
          <w:t xml:space="preserve">cardo / liquidus / solidus</w:t>
        </w:r>
      </w:hyperlink>
      <w:r>
        <w:rPr>
          <w:b w:val="0"/>
          <w:i w:val="0"/>
        </w:rPr>
        <w:t xml:space="preserve">; </w:t>
      </w:r>
      <w:hyperlink w:anchor="latin-record-0182">
        <w:r>
          <w:rPr>
            <w:color w:val="000000"/>
          </w:rPr>
          <w:t xml:space="preserve">cohibere / detinere</w:t>
        </w:r>
      </w:hyperlink>
      <w:r>
        <w:rPr>
          <w:b w:val="0"/>
          <w:i w:val="0"/>
        </w:rPr>
        <w:t xml:space="preserve">; </w:t>
      </w:r>
      <w:hyperlink w:anchor="latin-record-0352">
        <w:r>
          <w:rPr>
            <w:color w:val="000000"/>
          </w:rPr>
          <w:t xml:space="preserve">ducere / deducere / trahere</w:t>
        </w:r>
      </w:hyperlink>
      <w:r>
        <w:rPr>
          <w:b w:val="0"/>
          <w:i w:val="0"/>
        </w:rPr>
        <w:t xml:space="preserve">; </w:t>
      </w:r>
      <w:hyperlink w:anchor="latin-record-0457">
        <w:r>
          <w:rPr>
            <w:color w:val="000000"/>
          </w:rPr>
          <w:t xml:space="preserve">fluere / fluitare / fluxus</w:t>
        </w:r>
      </w:hyperlink>
      <w:r>
        <w:rPr>
          <w:b w:val="0"/>
          <w:i w:val="0"/>
        </w:rPr>
        <w:t xml:space="preserve">; </w:t>
      </w:r>
      <w:hyperlink w:anchor="latin-record-0668">
        <w:r>
          <w:rPr>
            <w:color w:val="000000"/>
          </w:rPr>
          <w:t xml:space="preserve">manare / emanare</w:t>
        </w:r>
      </w:hyperlink>
      <w:r>
        <w:rPr>
          <w:b w:val="0"/>
          <w:i w:val="0"/>
        </w:rPr>
        <w:t xml:space="preserve">; </w:t>
      </w:r>
      <w:hyperlink w:anchor="latin-record-1037">
        <w:r>
          <w:rPr>
            <w:color w:val="000000"/>
          </w:rPr>
          <w:t xml:space="preserve">reformare / restituere</w:t>
        </w:r>
      </w:hyperlink>
      <w:r>
        <w:rPr>
          <w:b w:val="0"/>
          <w:i w:val="0"/>
        </w:rPr>
        <w:t xml:space="preserve">; </w:t>
      </w:r>
      <w:hyperlink w:anchor="latin-record-1141">
        <w:r>
          <w:rPr>
            <w:color w:val="000000"/>
          </w:rPr>
          <w:t xml:space="preserve">status / stare</w:t>
        </w:r>
      </w:hyperlink>
      <w:r>
        <w:rPr>
          <w:b w:val="0"/>
          <w:i w:val="0"/>
        </w:rPr>
        <w:t>.</w:t>
      </w:r>
    </w:p>
    <w:p>
      <w:pPr>
        <w:widowControl/>
      </w:pPr>
      <w:bookmarkStart w:id="1728" w:name="passage-ii-3-9"/>
      <w:bookmarkEnd w:id="1728"/>
      <w:r>
        <w:rPr>
          <w:b/>
          <w:i w:val="0"/>
        </w:rPr>
        <w:t>II.3.9</w:t>
      </w:r>
      <w:r>
        <w:rPr>
          <w:b/>
          <w:i w:val="0"/>
        </w:rPr>
        <w:t>, source pp. 120–121.</w:t>
      </w:r>
      <w:r>
        <w:rPr>
          <w:b w:val="0"/>
          <w:i w:val="0"/>
        </w:rPr>
        <w:t xml:space="preserve"> Articles: </w:t>
      </w:r>
      <w:hyperlink w:anchor="appetite-and-desire">
        <w:r>
          <w:rPr>
            <w:color w:val="000000"/>
          </w:rPr>
          <w:t xml:space="preserve">Appetite and desire</w:t>
        </w:r>
      </w:hyperlink>
      <w:r>
        <w:rPr>
          <w:b w:val="0"/>
          <w:i w:val="0"/>
        </w:rPr>
        <w:t xml:space="preserve">; </w:t>
      </w:r>
      <w:hyperlink w:anchor="communication-and-imparting">
        <w:r>
          <w:rPr>
            <w:color w:val="000000"/>
          </w:rPr>
          <w:t xml:space="preserve">Communication and imparting</w:t>
        </w:r>
      </w:hyperlink>
      <w:r>
        <w:rPr>
          <w:b w:val="0"/>
          <w:i w:val="0"/>
        </w:rPr>
        <w:t xml:space="preserve">; </w:t>
      </w:r>
      <w:hyperlink w:anchor="end-and-limit">
        <w:r>
          <w:rPr>
            <w:color w:val="000000"/>
          </w:rPr>
          <w:t xml:space="preserve">End and limit</w:t>
        </w:r>
      </w:hyperlink>
      <w:r>
        <w:rPr>
          <w:b w:val="0"/>
          <w:i w:val="0"/>
        </w:rPr>
        <w:t xml:space="preserve">; </w:t>
      </w:r>
      <w:hyperlink w:anchor="infinity">
        <w:r>
          <w:rPr>
            <w:color w:val="000000"/>
          </w:rPr>
          <w:t xml:space="preserve">Infinity</w:t>
        </w:r>
      </w:hyperlink>
      <w:r>
        <w:rPr>
          <w:b w:val="0"/>
          <w:i w:val="0"/>
        </w:rPr>
        <w:t xml:space="preserve">; </w:t>
      </w:r>
      <w:hyperlink w:anchor="measure-and-degree">
        <w:r>
          <w:rPr>
            <w:color w:val="000000"/>
          </w:rPr>
          <w:t xml:space="preserve">Measure and degree</w:t>
        </w:r>
      </w:hyperlink>
      <w:r>
        <w:rPr>
          <w:b w:val="0"/>
          <w:i w:val="0"/>
        </w:rPr>
        <w:t xml:space="preserve">; </w:t>
      </w:r>
      <w:hyperlink w:anchor="motion-and-stability">
        <w:r>
          <w:rPr>
            <w:color w:val="000000"/>
          </w:rPr>
          <w:t xml:space="preserve">Motion and stability</w:t>
        </w:r>
      </w:hyperlink>
      <w:r>
        <w:rPr>
          <w:b w:val="0"/>
          <w:i w:val="0"/>
        </w:rPr>
        <w:t xml:space="preserve">; </w:t>
      </w:r>
      <w:hyperlink w:anchor="principle">
        <w:r>
          <w:rPr>
            <w:color w:val="000000"/>
          </w:rPr>
          <w:t xml:space="preserve">Principle</w:t>
        </w:r>
      </w:hyperlink>
      <w:r>
        <w:rPr>
          <w:b w:val="0"/>
          <w:i w:val="0"/>
        </w:rPr>
        <w:t xml:space="preserve">. Vocabulary: </w:t>
      </w:r>
      <w:hyperlink w:anchor="latin-record-0086">
        <w:r>
          <w:rPr>
            <w:color w:val="000000"/>
          </w:rPr>
          <w:t xml:space="preserve">appetibilis / appetere</w:t>
        </w:r>
      </w:hyperlink>
      <w:r>
        <w:rPr>
          <w:b w:val="0"/>
          <w:i w:val="0"/>
        </w:rPr>
        <w:t xml:space="preserve">; </w:t>
      </w:r>
      <w:hyperlink w:anchor="latin-record-0163">
        <w:r>
          <w:rPr>
            <w:color w:val="000000"/>
          </w:rPr>
          <w:t xml:space="preserve">certus / plenus</w:t>
        </w:r>
      </w:hyperlink>
      <w:r>
        <w:rPr>
          <w:b w:val="0"/>
          <w:i w:val="0"/>
        </w:rPr>
        <w:t xml:space="preserve">; </w:t>
      </w:r>
      <w:hyperlink w:anchor="latin-record-0292">
        <w:r>
          <w:rPr>
            <w:color w:val="000000"/>
          </w:rPr>
          <w:t xml:space="preserve">dare / donare / exhibere</w:t>
        </w:r>
      </w:hyperlink>
      <w:r>
        <w:rPr>
          <w:b w:val="0"/>
          <w:i w:val="0"/>
        </w:rPr>
        <w:t xml:space="preserve">; </w:t>
      </w:r>
      <w:hyperlink w:anchor="latin-record-0393">
        <w:r>
          <w:rPr>
            <w:color w:val="000000"/>
          </w:rPr>
          <w:t xml:space="preserve">excedere / superare</w:t>
        </w:r>
      </w:hyperlink>
      <w:r>
        <w:rPr>
          <w:b w:val="0"/>
          <w:i w:val="0"/>
        </w:rPr>
        <w:t xml:space="preserve">; </w:t>
      </w:r>
      <w:hyperlink w:anchor="latin-record-0450">
        <w:r>
          <w:rPr>
            <w:color w:val="000000"/>
          </w:rPr>
          <w:t xml:space="preserve">finis / scopus</w:t>
        </w:r>
      </w:hyperlink>
      <w:r>
        <w:rPr>
          <w:b w:val="0"/>
          <w:i w:val="0"/>
        </w:rPr>
        <w:t xml:space="preserve">; </w:t>
      </w:r>
      <w:hyperlink w:anchor="latin-record-0485">
        <w:r>
          <w:rPr>
            <w:color w:val="000000"/>
          </w:rPr>
          <w:t xml:space="preserve">gradus / gradatim</w:t>
        </w:r>
      </w:hyperlink>
      <w:r>
        <w:rPr>
          <w:b w:val="0"/>
          <w:i w:val="0"/>
        </w:rPr>
        <w:t xml:space="preserve">; </w:t>
      </w:r>
      <w:hyperlink w:anchor="latin-record-0540">
        <w:r>
          <w:rPr>
            <w:color w:val="000000"/>
          </w:rPr>
          <w:t xml:space="preserve">impertire / impartire / largiri</w:t>
        </w:r>
      </w:hyperlink>
      <w:r>
        <w:rPr>
          <w:b w:val="0"/>
          <w:i w:val="0"/>
        </w:rPr>
        <w:t xml:space="preserve">; </w:t>
      </w:r>
      <w:hyperlink w:anchor="latin-record-0566">
        <w:r>
          <w:rPr>
            <w:color w:val="000000"/>
          </w:rPr>
          <w:t xml:space="preserve">infinitus / infinitas / immensus / innumerus</w:t>
        </w:r>
      </w:hyperlink>
      <w:r>
        <w:rPr>
          <w:b w:val="0"/>
          <w:i w:val="0"/>
        </w:rPr>
        <w:t xml:space="preserve">; </w:t>
      </w:r>
      <w:hyperlink w:anchor="latin-record-0679">
        <w:r>
          <w:rPr>
            <w:color w:val="000000"/>
          </w:rPr>
          <w:t xml:space="preserve">medium / particularis</w:t>
        </w:r>
      </w:hyperlink>
      <w:r>
        <w:rPr>
          <w:b w:val="0"/>
          <w:i w:val="0"/>
        </w:rPr>
        <w:t xml:space="preserve">; </w:t>
      </w:r>
      <w:hyperlink w:anchor="latin-record-0724">
        <w:r>
          <w:rPr>
            <w:color w:val="000000"/>
          </w:rPr>
          <w:t xml:space="preserve">movere / sistere / firmare</w:t>
        </w:r>
      </w:hyperlink>
      <w:r>
        <w:rPr>
          <w:b w:val="0"/>
          <w:i w:val="0"/>
        </w:rPr>
        <w:t xml:space="preserve">; </w:t>
      </w:r>
      <w:hyperlink w:anchor="latin-record-0731">
        <w:r>
          <w:rPr>
            <w:color w:val="000000"/>
          </w:rPr>
          <w:t xml:space="preserve">munus</w:t>
        </w:r>
      </w:hyperlink>
      <w:r>
        <w:rPr>
          <w:b w:val="0"/>
          <w:i w:val="0"/>
        </w:rPr>
        <w:t xml:space="preserve">; </w:t>
      </w:r>
      <w:hyperlink w:anchor="latin-record-0845">
        <w:r>
          <w:rPr>
            <w:color w:val="000000"/>
          </w:rPr>
          <w:t xml:space="preserve">pendere / dependere</w:t>
        </w:r>
      </w:hyperlink>
      <w:r>
        <w:rPr>
          <w:b w:val="0"/>
          <w:i w:val="0"/>
        </w:rPr>
        <w:t xml:space="preserve">; </w:t>
      </w:r>
      <w:hyperlink w:anchor="latin-record-0920">
        <w:r>
          <w:rPr>
            <w:color w:val="000000"/>
          </w:rPr>
          <w:t xml:space="preserve">praestare / praestans</w:t>
        </w:r>
      </w:hyperlink>
      <w:r>
        <w:rPr>
          <w:b w:val="0"/>
          <w:i w:val="0"/>
        </w:rPr>
        <w:t xml:space="preserve">; </w:t>
      </w:r>
      <w:hyperlink w:anchor="latin-record-0928">
        <w:r>
          <w:rPr>
            <w:color w:val="000000"/>
          </w:rPr>
          <w:t xml:space="preserve">principium / origo</w:t>
        </w:r>
      </w:hyperlink>
      <w:r>
        <w:rPr>
          <w:b w:val="0"/>
          <w:i w:val="0"/>
        </w:rPr>
        <w:t xml:space="preserve">; </w:t>
      </w:r>
      <w:hyperlink w:anchor="latin-record-1072">
        <w:r>
          <w:rPr>
            <w:color w:val="000000"/>
          </w:rPr>
          <w:t xml:space="preserve">scientia / comprehendere</w:t>
        </w:r>
      </w:hyperlink>
      <w:r>
        <w:rPr>
          <w:b w:val="0"/>
          <w:i w:val="0"/>
        </w:rPr>
        <w:t xml:space="preserve">; </w:t>
      </w:r>
      <w:hyperlink w:anchor="latin-record-1174">
        <w:r>
          <w:rPr>
            <w:color w:val="000000"/>
          </w:rPr>
          <w:t xml:space="preserve">superior / inferior</w:t>
        </w:r>
      </w:hyperlink>
      <w:r>
        <w:rPr>
          <w:b w:val="0"/>
          <w:i w:val="0"/>
        </w:rPr>
        <w:t>.</w:t>
      </w:r>
    </w:p>
    <w:p>
      <w:pPr>
        <w:widowControl/>
      </w:pPr>
      <w:bookmarkStart w:id="1729" w:name="passage-ii-3-10"/>
      <w:bookmarkEnd w:id="1729"/>
      <w:r>
        <w:rPr>
          <w:b/>
          <w:i w:val="0"/>
        </w:rPr>
        <w:t>II.3.10</w:t>
      </w:r>
      <w:r>
        <w:rPr>
          <w:b/>
          <w:i w:val="0"/>
        </w:rPr>
        <w:t>, source pp. 120–121.</w:t>
      </w:r>
      <w:r>
        <w:rPr>
          <w:b w:val="0"/>
          <w:i w:val="0"/>
        </w:rPr>
        <w:t xml:space="preserve"> Articles: </w:t>
      </w:r>
      <w:hyperlink w:anchor="appetite-and-desire">
        <w:r>
          <w:rPr>
            <w:color w:val="000000"/>
          </w:rPr>
          <w:t xml:space="preserve">Appetite and desire</w:t>
        </w:r>
      </w:hyperlink>
      <w:r>
        <w:rPr>
          <w:b w:val="0"/>
          <w:i w:val="0"/>
        </w:rPr>
        <w:t xml:space="preserve">; </w:t>
      </w:r>
      <w:hyperlink w:anchor="end-and-limit">
        <w:r>
          <w:rPr>
            <w:color w:val="000000"/>
          </w:rPr>
          <w:t xml:space="preserve">End and limit</w:t>
        </w:r>
      </w:hyperlink>
      <w:r>
        <w:rPr>
          <w:b w:val="0"/>
          <w:i w:val="0"/>
        </w:rPr>
        <w:t xml:space="preserve">; </w:t>
      </w:r>
      <w:hyperlink w:anchor="enfolding-and-unfolding">
        <w:r>
          <w:rPr>
            <w:color w:val="000000"/>
          </w:rPr>
          <w:t xml:space="preserve">Enfolding and unfolding</w:t>
        </w:r>
      </w:hyperlink>
      <w:r>
        <w:rPr>
          <w:b w:val="0"/>
          <w:i w:val="0"/>
        </w:rPr>
        <w:t xml:space="preserve">; </w:t>
      </w:r>
      <w:hyperlink w:anchor="god">
        <w:r>
          <w:rPr>
            <w:color w:val="000000"/>
          </w:rPr>
          <w:t xml:space="preserve">God</w:t>
        </w:r>
      </w:hyperlink>
      <w:r>
        <w:rPr>
          <w:b w:val="0"/>
          <w:i w:val="0"/>
        </w:rPr>
        <w:t xml:space="preserve">; </w:t>
      </w:r>
      <w:hyperlink w:anchor="good-and-goodness">
        <w:r>
          <w:rPr>
            <w:color w:val="000000"/>
          </w:rPr>
          <w:t xml:space="preserve">Good and goodness</w:t>
        </w:r>
      </w:hyperlink>
      <w:r>
        <w:rPr>
          <w:b w:val="0"/>
          <w:i w:val="0"/>
        </w:rPr>
        <w:t xml:space="preserve">; </w:t>
      </w:r>
      <w:hyperlink w:anchor="john-and-amelius">
        <w:r>
          <w:rPr>
            <w:color w:val="000000"/>
          </w:rPr>
          <w:t xml:space="preserve">John and Amelius</w:t>
        </w:r>
      </w:hyperlink>
      <w:r>
        <w:rPr>
          <w:b w:val="0"/>
          <w:i w:val="0"/>
        </w:rPr>
        <w:t xml:space="preserve">; </w:t>
      </w:r>
      <w:hyperlink w:anchor="motion-and-stability">
        <w:r>
          <w:rPr>
            <w:color w:val="000000"/>
          </w:rPr>
          <w:t xml:space="preserve">Motion and stability</w:t>
        </w:r>
      </w:hyperlink>
      <w:r>
        <w:rPr>
          <w:b w:val="0"/>
          <w:i w:val="0"/>
        </w:rPr>
        <w:t xml:space="preserve">; </w:t>
      </w:r>
      <w:hyperlink w:anchor="principle">
        <w:r>
          <w:rPr>
            <w:color w:val="000000"/>
          </w:rPr>
          <w:t xml:space="preserve">Principle</w:t>
        </w:r>
      </w:hyperlink>
      <w:r>
        <w:rPr>
          <w:b w:val="0"/>
          <w:i w:val="0"/>
        </w:rPr>
        <w:t xml:space="preserve">; </w:t>
      </w:r>
      <w:hyperlink w:anchor="procession-and-return">
        <w:r>
          <w:rPr>
            <w:color w:val="000000"/>
          </w:rPr>
          <w:t xml:space="preserve">Procession and return</w:t>
        </w:r>
      </w:hyperlink>
      <w:r>
        <w:rPr>
          <w:b w:val="0"/>
          <w:i w:val="0"/>
        </w:rPr>
        <w:t xml:space="preserve">; </w:t>
      </w:r>
      <w:hyperlink w:anchor="reason-and-account">
        <w:r>
          <w:rPr>
            <w:color w:val="000000"/>
          </w:rPr>
          <w:t xml:space="preserve">Reason and account</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spring-and-flow">
        <w:r>
          <w:rPr>
            <w:color w:val="000000"/>
          </w:rPr>
          <w:t xml:space="preserve">Spring and flow</w:t>
        </w:r>
      </w:hyperlink>
      <w:r>
        <w:rPr>
          <w:b w:val="0"/>
          <w:i w:val="0"/>
        </w:rPr>
        <w:t xml:space="preserve">; </w:t>
      </w:r>
      <w:hyperlink w:anchor="truth">
        <w:r>
          <w:rPr>
            <w:color w:val="000000"/>
          </w:rPr>
          <w:t xml:space="preserve">Truth</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56">
        <w:r>
          <w:rPr>
            <w:color w:val="000000"/>
          </w:rPr>
          <w:t xml:space="preserve">amare / amor</w:t>
        </w:r>
      </w:hyperlink>
      <w:r>
        <w:rPr>
          <w:b w:val="0"/>
          <w:i w:val="0"/>
        </w:rPr>
        <w:t xml:space="preserve">; </w:t>
      </w:r>
      <w:hyperlink w:anchor="latin-record-0061">
        <w:r>
          <w:rPr>
            <w:color w:val="000000"/>
          </w:rPr>
          <w:t xml:space="preserve">amplecti</w:t>
        </w:r>
      </w:hyperlink>
      <w:r>
        <w:rPr>
          <w:b w:val="0"/>
          <w:i w:val="0"/>
        </w:rPr>
        <w:t xml:space="preserve">; </w:t>
      </w:r>
      <w:hyperlink w:anchor="latin-record-0127">
        <w:r>
          <w:rPr>
            <w:color w:val="000000"/>
          </w:rPr>
          <w:t xml:space="preserve">bonitas / bonum</w:t>
        </w:r>
      </w:hyperlink>
      <w:r>
        <w:rPr>
          <w:b w:val="0"/>
          <w:i w:val="0"/>
        </w:rPr>
        <w:t xml:space="preserve">; </w:t>
      </w:r>
      <w:hyperlink w:anchor="latin-record-0394">
        <w:r>
          <w:rPr>
            <w:color w:val="000000"/>
          </w:rPr>
          <w:t xml:space="preserve">excellens / eminens / deterior / altior / remotior</w:t>
        </w:r>
      </w:hyperlink>
      <w:r>
        <w:rPr>
          <w:b w:val="0"/>
          <w:i w:val="0"/>
        </w:rPr>
        <w:t xml:space="preserve">; </w:t>
      </w:r>
      <w:hyperlink w:anchor="latin-record-0457">
        <w:r>
          <w:rPr>
            <w:color w:val="000000"/>
          </w:rPr>
          <w:t xml:space="preserve">fluere / fluitare / fluxus</w:t>
        </w:r>
      </w:hyperlink>
      <w:r>
        <w:rPr>
          <w:b w:val="0"/>
          <w:i w:val="0"/>
        </w:rPr>
        <w:t xml:space="preserve">; </w:t>
      </w:r>
      <w:hyperlink w:anchor="latin-record-0517">
        <w:r>
          <w:rPr>
            <w:color w:val="000000"/>
          </w:rPr>
          <w:t xml:space="preserve">hymnus / theologia / sacerdos</w:t>
        </w:r>
      </w:hyperlink>
      <w:r>
        <w:rPr>
          <w:b w:val="0"/>
          <w:i w:val="0"/>
        </w:rPr>
        <w:t xml:space="preserve">; </w:t>
      </w:r>
      <w:hyperlink w:anchor="latin-record-0543">
        <w:r>
          <w:rPr>
            <w:color w:val="000000"/>
          </w:rPr>
          <w:t xml:space="preserve">implicare / explicare / replicare</w:t>
        </w:r>
      </w:hyperlink>
      <w:r>
        <w:rPr>
          <w:b w:val="0"/>
          <w:i w:val="0"/>
        </w:rPr>
        <w:t xml:space="preserve">; </w:t>
      </w:r>
      <w:hyperlink w:anchor="latin-record-0614">
        <w:r>
          <w:rPr>
            <w:color w:val="000000"/>
          </w:rPr>
          <w:t xml:space="preserve">Ioannes / Amelius</w:t>
        </w:r>
      </w:hyperlink>
      <w:r>
        <w:rPr>
          <w:b w:val="0"/>
          <w:i w:val="0"/>
        </w:rPr>
        <w:t xml:space="preserve">; </w:t>
      </w:r>
      <w:hyperlink w:anchor="latin-record-0878">
        <w:r>
          <w:rPr>
            <w:color w:val="000000"/>
          </w:rPr>
          <w:t xml:space="preserve">placere / libenter</w:t>
        </w:r>
      </w:hyperlink>
      <w:r>
        <w:rPr>
          <w:b w:val="0"/>
          <w:i w:val="0"/>
        </w:rPr>
        <w:t xml:space="preserve">; </w:t>
      </w:r>
      <w:hyperlink w:anchor="latin-record-1022">
        <w:r>
          <w:rPr>
            <w:color w:val="000000"/>
          </w:rPr>
          <w:t xml:space="preserve">ratio / rationalis</w:t>
        </w:r>
      </w:hyperlink>
      <w:r>
        <w:rPr>
          <w:b w:val="0"/>
          <w:i w:val="0"/>
        </w:rPr>
        <w:t xml:space="preserve">; </w:t>
      </w:r>
      <w:hyperlink w:anchor="latin-record-1037">
        <w:r>
          <w:rPr>
            <w:color w:val="000000"/>
          </w:rPr>
          <w:t xml:space="preserve">reformare / restituere</w:t>
        </w:r>
      </w:hyperlink>
      <w:r>
        <w:rPr>
          <w:b w:val="0"/>
          <w:i w:val="0"/>
        </w:rPr>
        <w:t xml:space="preserve">; </w:t>
      </w:r>
      <w:hyperlink w:anchor="latin-record-1045">
        <w:r>
          <w:rPr>
            <w:color w:val="000000"/>
          </w:rPr>
          <w:t xml:space="preserve">repetere / revocare</w:t>
        </w:r>
      </w:hyperlink>
      <w:r>
        <w:rPr>
          <w:b w:val="0"/>
          <w:i w:val="0"/>
        </w:rPr>
        <w:t xml:space="preserve">; </w:t>
      </w:r>
      <w:hyperlink w:anchor="latin-record-1211">
        <w:r>
          <w:rPr>
            <w:color w:val="000000"/>
          </w:rPr>
          <w:t xml:space="preserve">tribuere / tradere</w:t>
        </w:r>
      </w:hyperlink>
      <w:r>
        <w:rPr>
          <w:b w:val="0"/>
          <w:i w:val="0"/>
        </w:rPr>
        <w:t>.</w:t>
      </w:r>
    </w:p>
    <w:p>
      <w:bookmarkStart w:id="1730" w:name="chapter-ii.4"/>
      <w:pPr>
        <w:pStyle w:val="Heading2"/>
      </w:pPr>
      <w:r>
        <w:rPr>
          <w:b w:val="0"/>
          <w:i w:val="0"/>
        </w:rPr>
        <w:t>Chapter II.4</w:t>
      </w:r>
      <w:bookmarkEnd w:id="1730"/>
    </w:p>
    <w:p>
      <w:pPr>
        <w:widowControl/>
      </w:pPr>
      <w:bookmarkStart w:id="1731" w:name="passage-ii-4-1"/>
      <w:bookmarkEnd w:id="1731"/>
      <w:r>
        <w:rPr>
          <w:b/>
          <w:i w:val="0"/>
        </w:rPr>
        <w:t>II.4.1</w:t>
      </w:r>
      <w:r>
        <w:rPr>
          <w:b/>
          <w:i w:val="0"/>
        </w:rPr>
        <w:t>, source pp. 122–123.</w:t>
      </w:r>
      <w:r>
        <w:rPr>
          <w:b w:val="0"/>
          <w:i w:val="0"/>
        </w:rPr>
        <w:t xml:space="preserve"> Articles: </w:t>
      </w:r>
      <w:hyperlink w:anchor="act-and-operation">
        <w:r>
          <w:rPr>
            <w:color w:val="000000"/>
          </w:rPr>
          <w:t xml:space="preserve">Act and operation</w:t>
        </w:r>
      </w:hyperlink>
      <w:r>
        <w:rPr>
          <w:b w:val="0"/>
          <w:i w:val="0"/>
        </w:rPr>
        <w:t xml:space="preserve">; </w:t>
      </w:r>
      <w:hyperlink w:anchor="bounds-and-restriction">
        <w:r>
          <w:rPr>
            <w:color w:val="000000"/>
          </w:rPr>
          <w:t xml:space="preserve">Bounds and restriction</w:t>
        </w:r>
      </w:hyperlink>
      <w:r>
        <w:rPr>
          <w:b w:val="0"/>
          <w:i w:val="0"/>
        </w:rPr>
        <w:t xml:space="preserve">; </w:t>
      </w:r>
      <w:hyperlink w:anchor="failure-weariness-and-endurance">
        <w:r>
          <w:rPr>
            <w:color w:val="000000"/>
          </w:rPr>
          <w:t xml:space="preserve">Failure weariness and endurance</w:t>
        </w:r>
      </w:hyperlink>
      <w:r>
        <w:rPr>
          <w:b w:val="0"/>
          <w:i w:val="0"/>
        </w:rPr>
        <w:t xml:space="preserve">; </w:t>
      </w:r>
      <w:hyperlink w:anchor="god">
        <w:r>
          <w:rPr>
            <w:color w:val="000000"/>
          </w:rPr>
          <w:t xml:space="preserve">God</w:t>
        </w:r>
      </w:hyperlink>
      <w:r>
        <w:rPr>
          <w:b w:val="0"/>
          <w:i w:val="0"/>
        </w:rPr>
        <w:t xml:space="preserve">; </w:t>
      </w:r>
      <w:hyperlink w:anchor="infinity">
        <w:r>
          <w:rPr>
            <w:color w:val="000000"/>
          </w:rPr>
          <w:t xml:space="preserve">Infinity</w:t>
        </w:r>
      </w:hyperlink>
      <w:r>
        <w:rPr>
          <w:b w:val="0"/>
          <w:i w:val="0"/>
        </w:rPr>
        <w:t xml:space="preserve">; </w:t>
      </w:r>
      <w:hyperlink w:anchor="matter">
        <w:r>
          <w:rPr>
            <w:color w:val="000000"/>
          </w:rPr>
          <w:t xml:space="preserve">Matter</w:t>
        </w:r>
      </w:hyperlink>
      <w:r>
        <w:rPr>
          <w:b w:val="0"/>
          <w:i w:val="0"/>
        </w:rPr>
        <w:t xml:space="preserve">; </w:t>
      </w:r>
      <w:hyperlink w:anchor="measure-and-degree">
        <w:r>
          <w:rPr>
            <w:color w:val="000000"/>
          </w:rPr>
          <w:t xml:space="preserve">Measure and degree</w:t>
        </w:r>
      </w:hyperlink>
      <w:r>
        <w:rPr>
          <w:b w:val="0"/>
          <w:i w:val="0"/>
        </w:rPr>
        <w:t xml:space="preserve">; </w:t>
      </w:r>
      <w:hyperlink w:anchor="power-and-potency">
        <w:r>
          <w:rPr>
            <w:color w:val="000000"/>
          </w:rPr>
          <w:t xml:space="preserve">Power and potency</w:t>
        </w:r>
      </w:hyperlink>
      <w:r>
        <w:rPr>
          <w:b w:val="0"/>
          <w:i w:val="0"/>
        </w:rPr>
        <w:t xml:space="preserve">; </w:t>
      </w:r>
      <w:hyperlink w:anchor="purity-and-mixture">
        <w:r>
          <w:rPr>
            <w:color w:val="000000"/>
          </w:rPr>
          <w:t xml:space="preserve">Purity and mixture</w:t>
        </w:r>
      </w:hyperlink>
      <w:r>
        <w:rPr>
          <w:b w:val="0"/>
          <w:i w:val="0"/>
        </w:rPr>
        <w:t xml:space="preserve">. Vocabulary: </w:t>
      </w:r>
      <w:hyperlink w:anchor="latin-record-0016">
        <w:r>
          <w:rPr>
            <w:color w:val="000000"/>
          </w:rPr>
          <w:t xml:space="preserve">actus / actio / agere</w:t>
        </w:r>
      </w:hyperlink>
      <w:r>
        <w:rPr>
          <w:b w:val="0"/>
          <w:i w:val="0"/>
        </w:rPr>
        <w:t xml:space="preserve">; </w:t>
      </w:r>
      <w:hyperlink w:anchor="latin-record-0334">
        <w:r>
          <w:rPr>
            <w:color w:val="000000"/>
          </w:rPr>
          <w:t xml:space="preserve">dispersio / imbecillitas</w:t>
        </w:r>
      </w:hyperlink>
      <w:r>
        <w:rPr>
          <w:b w:val="0"/>
          <w:i w:val="0"/>
        </w:rPr>
        <w:t xml:space="preserve">; </w:t>
      </w:r>
      <w:hyperlink w:anchor="latin-record-0364">
        <w:r>
          <w:rPr>
            <w:color w:val="000000"/>
          </w:rPr>
          <w:t xml:space="preserve">efficax / validus</w:t>
        </w:r>
      </w:hyperlink>
      <w:r>
        <w:rPr>
          <w:b w:val="0"/>
          <w:i w:val="0"/>
        </w:rPr>
        <w:t xml:space="preserve">; </w:t>
      </w:r>
      <w:hyperlink w:anchor="latin-record-0575">
        <w:r>
          <w:rPr>
            <w:color w:val="000000"/>
          </w:rPr>
          <w:t xml:space="preserve">inniti / subsistere</w:t>
        </w:r>
      </w:hyperlink>
      <w:r>
        <w:rPr>
          <w:b w:val="0"/>
          <w:i w:val="0"/>
        </w:rPr>
        <w:t xml:space="preserve">; </w:t>
      </w:r>
      <w:hyperlink w:anchor="latin-record-0801">
        <w:r>
          <w:rPr>
            <w:color w:val="000000"/>
          </w:rPr>
          <w:t xml:space="preserve">oppositus / contrarius / diversus</w:t>
        </w:r>
      </w:hyperlink>
      <w:r>
        <w:rPr>
          <w:b w:val="0"/>
          <w:i w:val="0"/>
        </w:rPr>
        <w:t xml:space="preserve">; </w:t>
      </w:r>
      <w:hyperlink w:anchor="latin-record-0836">
        <w:r>
          <w:rPr>
            <w:color w:val="000000"/>
          </w:rPr>
          <w:t xml:space="preserve">passio / patiens / pati</w:t>
        </w:r>
      </w:hyperlink>
      <w:r>
        <w:rPr>
          <w:b w:val="0"/>
          <w:i w:val="0"/>
        </w:rPr>
        <w:t xml:space="preserve">; </w:t>
      </w:r>
      <w:hyperlink w:anchor="latin-record-0899">
        <w:r>
          <w:rPr>
            <w:color w:val="000000"/>
          </w:rPr>
          <w:t xml:space="preserve">potentia / potestas / virtus</w:t>
        </w:r>
      </w:hyperlink>
      <w:r>
        <w:rPr>
          <w:b w:val="0"/>
          <w:i w:val="0"/>
        </w:rPr>
        <w:t xml:space="preserve">; </w:t>
      </w:r>
      <w:hyperlink w:anchor="latin-record-0948">
        <w:r>
          <w:rPr>
            <w:color w:val="000000"/>
          </w:rPr>
          <w:t xml:space="preserve">prohibere / claudere / includere</w:t>
        </w:r>
      </w:hyperlink>
      <w:r>
        <w:rPr>
          <w:b w:val="0"/>
          <w:i w:val="0"/>
        </w:rPr>
        <w:t xml:space="preserve">; </w:t>
      </w:r>
      <w:hyperlink w:anchor="latin-record-0989">
        <w:r>
          <w:rPr>
            <w:color w:val="000000"/>
          </w:rPr>
          <w:t xml:space="preserve">purus / puritas</w:t>
        </w:r>
      </w:hyperlink>
      <w:r>
        <w:rPr>
          <w:b w:val="0"/>
          <w:i w:val="0"/>
        </w:rPr>
        <w:t xml:space="preserve">; </w:t>
      </w:r>
      <w:hyperlink w:anchor="latin-record-1153">
        <w:r>
          <w:rPr>
            <w:color w:val="000000"/>
          </w:rPr>
          <w:t xml:space="preserve">subicere / tollere / removere</w:t>
        </w:r>
      </w:hyperlink>
      <w:r>
        <w:rPr>
          <w:b w:val="0"/>
          <w:i w:val="0"/>
        </w:rPr>
        <w:t xml:space="preserve">; </w:t>
      </w:r>
      <w:hyperlink w:anchor="latin-record-1154">
        <w:r>
          <w:rPr>
            <w:color w:val="000000"/>
          </w:rPr>
          <w:t xml:space="preserve">subiectum</w:t>
        </w:r>
      </w:hyperlink>
      <w:r>
        <w:rPr>
          <w:b w:val="0"/>
          <w:i w:val="0"/>
        </w:rPr>
        <w:t xml:space="preserve">; </w:t>
      </w:r>
      <w:hyperlink w:anchor="latin-record-1192">
        <w:r>
          <w:rPr>
            <w:color w:val="000000"/>
          </w:rPr>
          <w:t xml:space="preserve">terminare / finire</w:t>
        </w:r>
      </w:hyperlink>
      <w:r>
        <w:rPr>
          <w:b w:val="0"/>
          <w:i w:val="0"/>
        </w:rPr>
        <w:t>.</w:t>
      </w:r>
    </w:p>
    <w:p>
      <w:pPr>
        <w:widowControl/>
      </w:pPr>
      <w:bookmarkStart w:id="1732" w:name="passage-ii-4-2"/>
      <w:bookmarkEnd w:id="1732"/>
      <w:r>
        <w:rPr>
          <w:b/>
          <w:i w:val="0"/>
        </w:rPr>
        <w:t>II.4.2</w:t>
      </w:r>
      <w:r>
        <w:rPr>
          <w:b/>
          <w:i w:val="0"/>
        </w:rPr>
        <w:t>, source pp. 122–123.</w:t>
      </w:r>
      <w:r>
        <w:rPr>
          <w:b w:val="0"/>
          <w:i w:val="0"/>
        </w:rPr>
        <w:t xml:space="preserve"> Articles: </w:t>
      </w:r>
      <w:hyperlink w:anchor="act-and-operation">
        <w:r>
          <w:rPr>
            <w:color w:val="000000"/>
          </w:rPr>
          <w:t xml:space="preserve">Act and operation</w:t>
        </w:r>
      </w:hyperlink>
      <w:r>
        <w:rPr>
          <w:b w:val="0"/>
          <w:i w:val="0"/>
        </w:rPr>
        <w:t xml:space="preserve">; </w:t>
      </w:r>
      <w:hyperlink w:anchor="being">
        <w:r>
          <w:rPr>
            <w:color w:val="000000"/>
          </w:rPr>
          <w:t xml:space="preserve">Being</w:t>
        </w:r>
      </w:hyperlink>
      <w:r>
        <w:rPr>
          <w:b w:val="0"/>
          <w:i w:val="0"/>
        </w:rPr>
        <w:t xml:space="preserve">; </w:t>
      </w:r>
      <w:hyperlink w:anchor="bounds-and-restriction">
        <w:r>
          <w:rPr>
            <w:color w:val="000000"/>
          </w:rPr>
          <w:t xml:space="preserve">Bounds and restriction</w:t>
        </w:r>
      </w:hyperlink>
      <w:r>
        <w:rPr>
          <w:b w:val="0"/>
          <w:i w:val="0"/>
        </w:rPr>
        <w:t xml:space="preserve">; </w:t>
      </w:r>
      <w:hyperlink w:anchor="infinity">
        <w:r>
          <w:rPr>
            <w:color w:val="000000"/>
          </w:rPr>
          <w:t xml:space="preserve">Infinity</w:t>
        </w:r>
      </w:hyperlink>
      <w:r>
        <w:rPr>
          <w:b w:val="0"/>
          <w:i w:val="0"/>
        </w:rPr>
        <w:t xml:space="preserve">; </w:t>
      </w:r>
      <w:hyperlink w:anchor="matter">
        <w:r>
          <w:rPr>
            <w:color w:val="000000"/>
          </w:rPr>
          <w:t xml:space="preserve">Matter</w:t>
        </w:r>
      </w:hyperlink>
      <w:r>
        <w:rPr>
          <w:b w:val="0"/>
          <w:i w:val="0"/>
        </w:rPr>
        <w:t xml:space="preserve">; </w:t>
      </w:r>
      <w:hyperlink w:anchor="measure-and-degree">
        <w:r>
          <w:rPr>
            <w:color w:val="000000"/>
          </w:rPr>
          <w:t xml:space="preserve">Measure and degree</w:t>
        </w:r>
      </w:hyperlink>
      <w:r>
        <w:rPr>
          <w:b w:val="0"/>
          <w:i w:val="0"/>
        </w:rPr>
        <w:t xml:space="preserve">; </w:t>
      </w:r>
      <w:hyperlink w:anchor="nothing-and-nonbeing">
        <w:r>
          <w:rPr>
            <w:color w:val="000000"/>
          </w:rPr>
          <w:t xml:space="preserve">Nothing and nonbeing</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003">
        <w:r>
          <w:rPr>
            <w:color w:val="000000"/>
          </w:rPr>
          <w:t xml:space="preserve">absolutus / absolute</w:t>
        </w:r>
      </w:hyperlink>
      <w:r>
        <w:rPr>
          <w:b w:val="0"/>
          <w:i w:val="0"/>
        </w:rPr>
        <w:t xml:space="preserve">; </w:t>
      </w:r>
      <w:hyperlink w:anchor="latin-record-0249">
        <w:r>
          <w:rPr>
            <w:color w:val="000000"/>
          </w:rPr>
          <w:t xml:space="preserve">considerare / comparare</w:t>
        </w:r>
      </w:hyperlink>
      <w:r>
        <w:rPr>
          <w:b w:val="0"/>
          <w:i w:val="0"/>
        </w:rPr>
        <w:t xml:space="preserve">; </w:t>
      </w:r>
      <w:hyperlink w:anchor="latin-record-0378">
        <w:r>
          <w:rPr>
            <w:color w:val="000000"/>
          </w:rPr>
          <w:t xml:space="preserve">esse / ens / exsistere</w:t>
        </w:r>
      </w:hyperlink>
      <w:r>
        <w:rPr>
          <w:b w:val="0"/>
          <w:i w:val="0"/>
        </w:rPr>
        <w:t xml:space="preserve">; </w:t>
      </w:r>
      <w:hyperlink w:anchor="latin-record-0496">
        <w:r>
          <w:rPr>
            <w:color w:val="000000"/>
          </w:rPr>
          <w:t xml:space="preserve">habitus</w:t>
        </w:r>
      </w:hyperlink>
      <w:r>
        <w:rPr>
          <w:b w:val="0"/>
          <w:i w:val="0"/>
        </w:rPr>
        <w:t xml:space="preserve">; </w:t>
      </w:r>
      <w:hyperlink w:anchor="latin-record-0760">
        <w:r>
          <w:rPr>
            <w:color w:val="000000"/>
          </w:rPr>
          <w:t xml:space="preserve">nihil / non esse</w:t>
        </w:r>
      </w:hyperlink>
      <w:r>
        <w:rPr>
          <w:b w:val="0"/>
          <w:i w:val="0"/>
        </w:rPr>
        <w:t xml:space="preserve">; </w:t>
      </w:r>
      <w:hyperlink w:anchor="latin-record-1154">
        <w:r>
          <w:rPr>
            <w:color w:val="000000"/>
          </w:rPr>
          <w:t xml:space="preserve">subiectum</w:t>
        </w:r>
      </w:hyperlink>
      <w:r>
        <w:rPr>
          <w:b w:val="0"/>
          <w:i w:val="0"/>
        </w:rPr>
        <w:t xml:space="preserve">; </w:t>
      </w:r>
      <w:hyperlink w:anchor="latin-record-1192">
        <w:r>
          <w:rPr>
            <w:color w:val="000000"/>
          </w:rPr>
          <w:t xml:space="preserve">terminare / finire</w:t>
        </w:r>
      </w:hyperlink>
      <w:r>
        <w:rPr>
          <w:b w:val="0"/>
          <w:i w:val="0"/>
        </w:rPr>
        <w:t>.</w:t>
      </w:r>
    </w:p>
    <w:p>
      <w:pPr>
        <w:widowControl/>
      </w:pPr>
      <w:bookmarkStart w:id="1733" w:name="passage-ii-4-3"/>
      <w:bookmarkEnd w:id="1733"/>
      <w:r>
        <w:rPr>
          <w:b/>
          <w:i w:val="0"/>
        </w:rPr>
        <w:t>II.4.3</w:t>
      </w:r>
      <w:r>
        <w:rPr>
          <w:b/>
          <w:i w:val="0"/>
        </w:rPr>
        <w:t>, source pp. 122–123.</w:t>
      </w:r>
      <w:r>
        <w:rPr>
          <w:b w:val="0"/>
          <w:i w:val="0"/>
        </w:rPr>
        <w:t xml:space="preserve"> Articles: </w:t>
      </w:r>
      <w:hyperlink w:anchor="act-and-operation">
        <w:r>
          <w:rPr>
            <w:color w:val="000000"/>
          </w:rPr>
          <w:t xml:space="preserve">Act and operation</w:t>
        </w:r>
      </w:hyperlink>
      <w:r>
        <w:rPr>
          <w:b w:val="0"/>
          <w:i w:val="0"/>
        </w:rPr>
        <w:t xml:space="preserve">; </w:t>
      </w:r>
      <w:hyperlink w:anchor="being">
        <w:r>
          <w:rPr>
            <w:color w:val="000000"/>
          </w:rPr>
          <w:t xml:space="preserve">Being</w:t>
        </w:r>
      </w:hyperlink>
      <w:r>
        <w:rPr>
          <w:b w:val="0"/>
          <w:i w:val="0"/>
        </w:rPr>
        <w:t xml:space="preserve">; </w:t>
      </w:r>
      <w:hyperlink w:anchor="infinity">
        <w:r>
          <w:rPr>
            <w:color w:val="000000"/>
          </w:rPr>
          <w:t xml:space="preserve">Infinity</w:t>
        </w:r>
      </w:hyperlink>
      <w:r>
        <w:rPr>
          <w:b w:val="0"/>
          <w:i w:val="0"/>
        </w:rPr>
        <w:t xml:space="preserve">; </w:t>
      </w:r>
      <w:hyperlink w:anchor="matter">
        <w:r>
          <w:rPr>
            <w:color w:val="000000"/>
          </w:rPr>
          <w:t xml:space="preserve">Matter</w:t>
        </w:r>
      </w:hyperlink>
      <w:r>
        <w:rPr>
          <w:b w:val="0"/>
          <w:i w:val="0"/>
        </w:rPr>
        <w:t xml:space="preserve">; </w:t>
      </w:r>
      <w:hyperlink w:anchor="measure-and-degree">
        <w:r>
          <w:rPr>
            <w:color w:val="000000"/>
          </w:rPr>
          <w:t xml:space="preserve">Measure and degree</w:t>
        </w:r>
      </w:hyperlink>
      <w:r>
        <w:rPr>
          <w:b w:val="0"/>
          <w:i w:val="0"/>
        </w:rPr>
        <w:t xml:space="preserve">; </w:t>
      </w:r>
      <w:hyperlink w:anchor="nothing-and-nonbeing">
        <w:r>
          <w:rPr>
            <w:color w:val="000000"/>
          </w:rPr>
          <w:t xml:space="preserve">Nothing and nonbeing</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150">
        <w:r>
          <w:rPr>
            <w:color w:val="000000"/>
          </w:rPr>
          <w:t xml:space="preserve">carere / deesse / destituere</w:t>
        </w:r>
      </w:hyperlink>
      <w:r>
        <w:rPr>
          <w:b w:val="0"/>
          <w:i w:val="0"/>
        </w:rPr>
        <w:t xml:space="preserve">; </w:t>
      </w:r>
      <w:hyperlink w:anchor="latin-record-0175">
        <w:r>
          <w:rPr>
            <w:color w:val="000000"/>
          </w:rPr>
          <w:t xml:space="preserve">cogitare / fingere / effingere</w:t>
        </w:r>
      </w:hyperlink>
      <w:r>
        <w:rPr>
          <w:b w:val="0"/>
          <w:i w:val="0"/>
        </w:rPr>
        <w:t xml:space="preserve">; </w:t>
      </w:r>
      <w:hyperlink w:anchor="latin-record-0206">
        <w:r>
          <w:rPr>
            <w:color w:val="000000"/>
          </w:rPr>
          <w:t xml:space="preserve">competere / pertinere / spectare</w:t>
        </w:r>
      </w:hyperlink>
      <w:r>
        <w:rPr>
          <w:b w:val="0"/>
          <w:i w:val="0"/>
        </w:rPr>
        <w:t xml:space="preserve">; </w:t>
      </w:r>
      <w:hyperlink w:anchor="latin-record-0485">
        <w:r>
          <w:rPr>
            <w:color w:val="000000"/>
          </w:rPr>
          <w:t xml:space="preserve">gradus / gradatim</w:t>
        </w:r>
      </w:hyperlink>
      <w:r>
        <w:rPr>
          <w:b w:val="0"/>
          <w:i w:val="0"/>
        </w:rPr>
        <w:t xml:space="preserve">; </w:t>
      </w:r>
      <w:hyperlink w:anchor="latin-record-0760">
        <w:r>
          <w:rPr>
            <w:color w:val="000000"/>
          </w:rPr>
          <w:t xml:space="preserve">nihil / non esse</w:t>
        </w:r>
      </w:hyperlink>
      <w:r>
        <w:rPr>
          <w:b w:val="0"/>
          <w:i w:val="0"/>
        </w:rPr>
        <w:t xml:space="preserve">; </w:t>
      </w:r>
      <w:hyperlink w:anchor="latin-record-0933">
        <w:r>
          <w:rPr>
            <w:color w:val="000000"/>
          </w:rPr>
          <w:t xml:space="preserve">privare / expers</w:t>
        </w:r>
      </w:hyperlink>
      <w:r>
        <w:rPr>
          <w:b w:val="0"/>
          <w:i w:val="0"/>
        </w:rPr>
        <w:t xml:space="preserve">; </w:t>
      </w:r>
      <w:hyperlink w:anchor="latin-record-1270">
        <w:r>
          <w:rPr>
            <w:color w:val="000000"/>
          </w:rPr>
          <w:t xml:space="preserve">vis / vires</w:t>
        </w:r>
      </w:hyperlink>
      <w:r>
        <w:rPr>
          <w:b w:val="0"/>
          <w:i w:val="0"/>
        </w:rPr>
        <w:t>.</w:t>
      </w:r>
    </w:p>
    <w:p>
      <w:pPr>
        <w:widowControl/>
      </w:pPr>
      <w:bookmarkStart w:id="1734" w:name="passage-ii-4-4"/>
      <w:bookmarkEnd w:id="1734"/>
      <w:r>
        <w:rPr>
          <w:b/>
          <w:i w:val="0"/>
        </w:rPr>
        <w:t>II.4.4</w:t>
      </w:r>
      <w:r>
        <w:rPr>
          <w:b/>
          <w:i w:val="0"/>
        </w:rPr>
        <w:t>, source pp. 122–123.</w:t>
      </w:r>
      <w:r>
        <w:rPr>
          <w:b w:val="0"/>
          <w:i w:val="0"/>
        </w:rPr>
        <w:t xml:space="preserve"> Articles: </w:t>
      </w:r>
      <w:hyperlink w:anchor="act-and-operation">
        <w:r>
          <w:rPr>
            <w:color w:val="000000"/>
          </w:rPr>
          <w:t xml:space="preserve">Act and operation</w:t>
        </w:r>
      </w:hyperlink>
      <w:r>
        <w:rPr>
          <w:b w:val="0"/>
          <w:i w:val="0"/>
        </w:rPr>
        <w:t xml:space="preserve">; </w:t>
      </w:r>
      <w:hyperlink w:anchor="infinity">
        <w:r>
          <w:rPr>
            <w:color w:val="000000"/>
          </w:rPr>
          <w:t xml:space="preserve">Infinity</w:t>
        </w:r>
      </w:hyperlink>
      <w:r>
        <w:rPr>
          <w:b w:val="0"/>
          <w:i w:val="0"/>
        </w:rPr>
        <w:t xml:space="preserve">; </w:t>
      </w:r>
      <w:hyperlink w:anchor="matter">
        <w:r>
          <w:rPr>
            <w:color w:val="000000"/>
          </w:rPr>
          <w:t xml:space="preserve">Matter</w:t>
        </w:r>
      </w:hyperlink>
      <w:r>
        <w:rPr>
          <w:b w:val="0"/>
          <w:i w:val="0"/>
        </w:rPr>
        <w:t xml:space="preserve">; </w:t>
      </w:r>
      <w:hyperlink w:anchor="measure-and-degree">
        <w:r>
          <w:rPr>
            <w:color w:val="000000"/>
          </w:rPr>
          <w:t xml:space="preserve">Measure and degree</w:t>
        </w:r>
      </w:hyperlink>
      <w:r>
        <w:rPr>
          <w:b w:val="0"/>
          <w:i w:val="0"/>
        </w:rPr>
        <w:t xml:space="preserve">; </w:t>
      </w:r>
      <w:hyperlink w:anchor="nothing-and-nonbeing">
        <w:r>
          <w:rPr>
            <w:color w:val="000000"/>
          </w:rPr>
          <w:t xml:space="preserve">Nothing and nonbeing</w:t>
        </w:r>
      </w:hyperlink>
      <w:r>
        <w:rPr>
          <w:b w:val="0"/>
          <w:i w:val="0"/>
        </w:rPr>
        <w:t xml:space="preserve">; </w:t>
      </w:r>
      <w:hyperlink w:anchor="number">
        <w:r>
          <w:rPr>
            <w:color w:val="000000"/>
          </w:rPr>
          <w:t xml:space="preserve">Number</w:t>
        </w:r>
      </w:hyperlink>
      <w:r>
        <w:rPr>
          <w:b w:val="0"/>
          <w:i w:val="0"/>
        </w:rPr>
        <w:t xml:space="preserve">; </w:t>
      </w:r>
      <w:hyperlink w:anchor="power-and-potency">
        <w:r>
          <w:rPr>
            <w:color w:val="000000"/>
          </w:rPr>
          <w:t xml:space="preserve">Power and potency</w:t>
        </w:r>
      </w:hyperlink>
      <w:r>
        <w:rPr>
          <w:b w:val="0"/>
          <w:i w:val="0"/>
        </w:rPr>
        <w:t xml:space="preserve">; </w:t>
      </w:r>
      <w:hyperlink w:anchor="redundancy-and-uselessness">
        <w:r>
          <w:rPr>
            <w:color w:val="000000"/>
          </w:rPr>
          <w:t xml:space="preserve">Redundancy and uselessness</w:t>
        </w:r>
      </w:hyperlink>
      <w:r>
        <w:rPr>
          <w:b w:val="0"/>
          <w:i w:val="0"/>
        </w:rPr>
        <w:t xml:space="preserve">. Vocabulary: </w:t>
      </w:r>
      <w:hyperlink w:anchor="latin-record-0175">
        <w:r>
          <w:rPr>
            <w:color w:val="000000"/>
          </w:rPr>
          <w:t xml:space="preserve">cogitare / fingere / effingere</w:t>
        </w:r>
      </w:hyperlink>
      <w:r>
        <w:rPr>
          <w:b w:val="0"/>
          <w:i w:val="0"/>
        </w:rPr>
        <w:t xml:space="preserve">; </w:t>
      </w:r>
      <w:hyperlink w:anchor="latin-record-0412">
        <w:r>
          <w:rPr>
            <w:color w:val="000000"/>
          </w:rPr>
          <w:t xml:space="preserve">extendere / extensio</w:t>
        </w:r>
      </w:hyperlink>
      <w:r>
        <w:rPr>
          <w:b w:val="0"/>
          <w:i w:val="0"/>
        </w:rPr>
        <w:t xml:space="preserve">; </w:t>
      </w:r>
      <w:hyperlink w:anchor="latin-record-0476">
        <w:r>
          <w:rPr>
            <w:color w:val="000000"/>
          </w:rPr>
          <w:t xml:space="preserve">frustra / superfluus</w:t>
        </w:r>
      </w:hyperlink>
      <w:r>
        <w:rPr>
          <w:b w:val="0"/>
          <w:i w:val="0"/>
        </w:rPr>
        <w:t xml:space="preserve">; </w:t>
      </w:r>
      <w:hyperlink w:anchor="latin-record-0775">
        <w:r>
          <w:rPr>
            <w:color w:val="000000"/>
          </w:rPr>
          <w:t xml:space="preserve">numerus / unicus / unire</w:t>
        </w:r>
      </w:hyperlink>
      <w:r>
        <w:rPr>
          <w:b w:val="0"/>
          <w:i w:val="0"/>
        </w:rPr>
        <w:t xml:space="preserve">; </w:t>
      </w:r>
      <w:hyperlink w:anchor="latin-record-0939">
        <w:r>
          <w:rPr>
            <w:color w:val="000000"/>
          </w:rPr>
          <w:t xml:space="preserve">procedere / progredi / proficere</w:t>
        </w:r>
      </w:hyperlink>
      <w:r>
        <w:rPr>
          <w:b w:val="0"/>
          <w:i w:val="0"/>
        </w:rPr>
        <w:t xml:space="preserve">; </w:t>
      </w:r>
      <w:hyperlink w:anchor="latin-record-1043">
        <w:r>
          <w:rPr>
            <w:color w:val="000000"/>
          </w:rPr>
          <w:t xml:space="preserve">reperire / invenire</w:t>
        </w:r>
      </w:hyperlink>
      <w:r>
        <w:rPr>
          <w:b w:val="0"/>
          <w:i w:val="0"/>
        </w:rPr>
        <w:t>.</w:t>
      </w:r>
    </w:p>
    <w:p>
      <w:pPr>
        <w:widowControl/>
      </w:pPr>
      <w:bookmarkStart w:id="1735" w:name="passage-ii-4-5"/>
      <w:bookmarkEnd w:id="1735"/>
      <w:r>
        <w:rPr>
          <w:b/>
          <w:i w:val="0"/>
        </w:rPr>
        <w:t>II.4.5</w:t>
      </w:r>
      <w:r>
        <w:rPr>
          <w:b/>
          <w:i w:val="0"/>
        </w:rPr>
        <w:t>, source pp. 124–125.</w:t>
      </w:r>
      <w:r>
        <w:rPr>
          <w:b w:val="0"/>
          <w:i w:val="0"/>
        </w:rPr>
        <w:t xml:space="preserve"> Articles: </w:t>
      </w:r>
      <w:hyperlink w:anchor="act-and-operation">
        <w:r>
          <w:rPr>
            <w:color w:val="000000"/>
          </w:rPr>
          <w:t xml:space="preserve">Act and operation</w:t>
        </w:r>
      </w:hyperlink>
      <w:r>
        <w:rPr>
          <w:b w:val="0"/>
          <w:i w:val="0"/>
        </w:rPr>
        <w:t xml:space="preserve">; </w:t>
      </w:r>
      <w:hyperlink w:anchor="creation">
        <w:r>
          <w:rPr>
            <w:color w:val="000000"/>
          </w:rPr>
          <w:t xml:space="preserve">Creation</w:t>
        </w:r>
      </w:hyperlink>
      <w:r>
        <w:rPr>
          <w:b w:val="0"/>
          <w:i w:val="0"/>
        </w:rPr>
        <w:t xml:space="preserve">; </w:t>
      </w:r>
      <w:hyperlink w:anchor="infinity">
        <w:r>
          <w:rPr>
            <w:color w:val="000000"/>
          </w:rPr>
          <w:t xml:space="preserve">Infinity</w:t>
        </w:r>
      </w:hyperlink>
      <w:r>
        <w:rPr>
          <w:b w:val="0"/>
          <w:i w:val="0"/>
        </w:rPr>
        <w:t xml:space="preserve">; </w:t>
      </w:r>
      <w:hyperlink w:anchor="matter">
        <w:r>
          <w:rPr>
            <w:color w:val="000000"/>
          </w:rPr>
          <w:t xml:space="preserve">Matter</w:t>
        </w:r>
      </w:hyperlink>
      <w:r>
        <w:rPr>
          <w:b w:val="0"/>
          <w:i w:val="0"/>
        </w:rPr>
        <w:t xml:space="preserve">; </w:t>
      </w:r>
      <w:hyperlink w:anchor="measure-and-degree">
        <w:r>
          <w:rPr>
            <w:color w:val="000000"/>
          </w:rPr>
          <w:t xml:space="preserve">Measure and degree</w:t>
        </w:r>
      </w:hyperlink>
      <w:r>
        <w:rPr>
          <w:b w:val="0"/>
          <w:i w:val="0"/>
        </w:rPr>
        <w:t xml:space="preserve">; </w:t>
      </w:r>
      <w:hyperlink w:anchor="nothing-and-nonbeing">
        <w:r>
          <w:rPr>
            <w:color w:val="000000"/>
          </w:rPr>
          <w:t xml:space="preserve">Nothing and nonbeing</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009">
        <w:r>
          <w:rPr>
            <w:color w:val="000000"/>
          </w:rPr>
          <w:t xml:space="preserve">accipere / capere / suscipere</w:t>
        </w:r>
      </w:hyperlink>
      <w:r>
        <w:rPr>
          <w:b w:val="0"/>
          <w:i w:val="0"/>
        </w:rPr>
        <w:t xml:space="preserve">; </w:t>
      </w:r>
      <w:hyperlink w:anchor="latin-record-0131">
        <w:r>
          <w:rPr>
            <w:color w:val="000000"/>
          </w:rPr>
          <w:t xml:space="preserve">calefacere / aqua / aer</w:t>
        </w:r>
      </w:hyperlink>
      <w:r>
        <w:rPr>
          <w:b w:val="0"/>
          <w:i w:val="0"/>
        </w:rPr>
        <w:t xml:space="preserve">; </w:t>
      </w:r>
      <w:hyperlink w:anchor="latin-record-0338">
        <w:r>
          <w:rPr>
            <w:color w:val="000000"/>
          </w:rPr>
          <w:t xml:space="preserve">distare</w:t>
        </w:r>
      </w:hyperlink>
      <w:r>
        <w:rPr>
          <w:b w:val="0"/>
          <w:i w:val="0"/>
        </w:rPr>
        <w:t xml:space="preserve">; </w:t>
      </w:r>
      <w:hyperlink w:anchor="latin-record-0364">
        <w:r>
          <w:rPr>
            <w:color w:val="000000"/>
          </w:rPr>
          <w:t xml:space="preserve">efficax / validus</w:t>
        </w:r>
      </w:hyperlink>
      <w:r>
        <w:rPr>
          <w:b w:val="0"/>
          <w:i w:val="0"/>
        </w:rPr>
        <w:t xml:space="preserve">; </w:t>
      </w:r>
      <w:hyperlink w:anchor="latin-record-0394">
        <w:r>
          <w:rPr>
            <w:color w:val="000000"/>
          </w:rPr>
          <w:t xml:space="preserve">excellens / eminens / deterior / altior / remotior</w:t>
        </w:r>
      </w:hyperlink>
      <w:r>
        <w:rPr>
          <w:b w:val="0"/>
          <w:i w:val="0"/>
        </w:rPr>
        <w:t xml:space="preserve">; </w:t>
      </w:r>
      <w:hyperlink w:anchor="latin-record-0562">
        <w:r>
          <w:rPr>
            <w:color w:val="000000"/>
          </w:rPr>
          <w:t xml:space="preserve">inesse / insitus</w:t>
        </w:r>
      </w:hyperlink>
      <w:r>
        <w:rPr>
          <w:b w:val="0"/>
          <w:i w:val="0"/>
        </w:rPr>
        <w:t xml:space="preserve">; </w:t>
      </w:r>
      <w:hyperlink w:anchor="latin-record-0685">
        <w:r>
          <w:rPr>
            <w:color w:val="000000"/>
          </w:rPr>
          <w:t xml:space="preserve">memorare / respondere / docere</w:t>
        </w:r>
      </w:hyperlink>
      <w:r>
        <w:rPr>
          <w:b w:val="0"/>
          <w:i w:val="0"/>
        </w:rPr>
        <w:t xml:space="preserve">; </w:t>
      </w:r>
      <w:hyperlink w:anchor="latin-record-0760">
        <w:r>
          <w:rPr>
            <w:color w:val="000000"/>
          </w:rPr>
          <w:t xml:space="preserve">nihil / non esse</w:t>
        </w:r>
      </w:hyperlink>
      <w:r>
        <w:rPr>
          <w:b w:val="0"/>
          <w:i w:val="0"/>
        </w:rPr>
        <w:t xml:space="preserve">; </w:t>
      </w:r>
      <w:hyperlink w:anchor="latin-record-0836">
        <w:r>
          <w:rPr>
            <w:color w:val="000000"/>
          </w:rPr>
          <w:t xml:space="preserve">passio / patiens / pati</w:t>
        </w:r>
      </w:hyperlink>
      <w:r>
        <w:rPr>
          <w:b w:val="0"/>
          <w:i w:val="0"/>
        </w:rPr>
        <w:t xml:space="preserve">; </w:t>
      </w:r>
      <w:hyperlink w:anchor="latin-record-0899">
        <w:r>
          <w:rPr>
            <w:color w:val="000000"/>
          </w:rPr>
          <w:t xml:space="preserve">potentia / potestas / virtus</w:t>
        </w:r>
      </w:hyperlink>
      <w:r>
        <w:rPr>
          <w:b w:val="0"/>
          <w:i w:val="0"/>
        </w:rPr>
        <w:t xml:space="preserve">; </w:t>
      </w:r>
      <w:hyperlink w:anchor="latin-record-0944">
        <w:r>
          <w:rPr>
            <w:color w:val="000000"/>
          </w:rPr>
          <w:t xml:space="preserve">producere / facere / gignere</w:t>
        </w:r>
      </w:hyperlink>
      <w:r>
        <w:rPr>
          <w:b w:val="0"/>
          <w:i w:val="0"/>
        </w:rPr>
        <w:t>.</w:t>
      </w:r>
    </w:p>
    <w:p>
      <w:pPr>
        <w:widowControl/>
      </w:pPr>
      <w:bookmarkStart w:id="1736" w:name="passage-ii-4-6"/>
      <w:bookmarkEnd w:id="1736"/>
      <w:r>
        <w:rPr>
          <w:b/>
          <w:i w:val="0"/>
        </w:rPr>
        <w:t>II.4.6</w:t>
      </w:r>
      <w:r>
        <w:rPr>
          <w:b/>
          <w:i w:val="0"/>
        </w:rPr>
        <w:t>, source pp. 124–125.</w:t>
      </w:r>
      <w:r>
        <w:rPr>
          <w:b w:val="0"/>
          <w:i w:val="0"/>
        </w:rPr>
        <w:t xml:space="preserve"> Articles: </w:t>
      </w:r>
      <w:hyperlink w:anchor="act-and-operation">
        <w:r>
          <w:rPr>
            <w:color w:val="000000"/>
          </w:rPr>
          <w:t xml:space="preserve">Act and operation</w:t>
        </w:r>
      </w:hyperlink>
      <w:r>
        <w:rPr>
          <w:b w:val="0"/>
          <w:i w:val="0"/>
        </w:rPr>
        <w:t xml:space="preserve">; </w:t>
      </w:r>
      <w:hyperlink w:anchor="beginning-and-ceasing">
        <w:r>
          <w:rPr>
            <w:color w:val="000000"/>
          </w:rPr>
          <w:t xml:space="preserve">Beginning and ceasing</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creation">
        <w:r>
          <w:rPr>
            <w:color w:val="000000"/>
          </w:rPr>
          <w:t xml:space="preserve">Creation</w:t>
        </w:r>
      </w:hyperlink>
      <w:r>
        <w:rPr>
          <w:b w:val="0"/>
          <w:i w:val="0"/>
        </w:rPr>
        <w:t xml:space="preserve">; </w:t>
      </w:r>
      <w:hyperlink w:anchor="infinity">
        <w:r>
          <w:rPr>
            <w:color w:val="000000"/>
          </w:rPr>
          <w:t xml:space="preserve">Infinity</w:t>
        </w:r>
      </w:hyperlink>
      <w:r>
        <w:rPr>
          <w:b w:val="0"/>
          <w:i w:val="0"/>
        </w:rPr>
        <w:t xml:space="preserve">; </w:t>
      </w:r>
      <w:hyperlink w:anchor="matter">
        <w:r>
          <w:rPr>
            <w:color w:val="000000"/>
          </w:rPr>
          <w:t xml:space="preserve">Matter</w:t>
        </w:r>
      </w:hyperlink>
      <w:r>
        <w:rPr>
          <w:b w:val="0"/>
          <w:i w:val="0"/>
        </w:rPr>
        <w:t xml:space="preserve">; </w:t>
      </w:r>
      <w:hyperlink w:anchor="nothing-and-nonbeing">
        <w:r>
          <w:rPr>
            <w:color w:val="000000"/>
          </w:rPr>
          <w:t xml:space="preserve">Nothing and nonbeing</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069">
        <w:r>
          <w:rPr>
            <w:color w:val="000000"/>
          </w:rPr>
          <w:t xml:space="preserve">anima / animus</w:t>
        </w:r>
      </w:hyperlink>
      <w:r>
        <w:rPr>
          <w:b w:val="0"/>
          <w:i w:val="0"/>
        </w:rPr>
        <w:t xml:space="preserve">; </w:t>
      </w:r>
      <w:hyperlink w:anchor="latin-record-0283">
        <w:r>
          <w:rPr>
            <w:color w:val="000000"/>
          </w:rPr>
          <w:t xml:space="preserve">creare / ex nihilo</w:t>
        </w:r>
      </w:hyperlink>
      <w:r>
        <w:rPr>
          <w:b w:val="0"/>
          <w:i w:val="0"/>
        </w:rPr>
        <w:t xml:space="preserve">; </w:t>
      </w:r>
      <w:hyperlink w:anchor="latin-record-0358">
        <w:r>
          <w:rPr>
            <w:color w:val="000000"/>
          </w:rPr>
          <w:t xml:space="preserve">edere / servare / conservare</w:t>
        </w:r>
      </w:hyperlink>
      <w:r>
        <w:rPr>
          <w:b w:val="0"/>
          <w:i w:val="0"/>
        </w:rPr>
        <w:t xml:space="preserve">; </w:t>
      </w:r>
      <w:hyperlink w:anchor="latin-record-0383">
        <w:r>
          <w:rPr>
            <w:color w:val="000000"/>
          </w:rPr>
          <w:t xml:space="preserve">essentia / essentialis / substantia</w:t>
        </w:r>
      </w:hyperlink>
      <w:r>
        <w:rPr>
          <w:b w:val="0"/>
          <w:i w:val="0"/>
        </w:rPr>
        <w:t xml:space="preserve">; </w:t>
      </w:r>
      <w:hyperlink w:anchor="latin-record-0673">
        <w:r>
          <w:rPr>
            <w:color w:val="000000"/>
          </w:rPr>
          <w:t xml:space="preserve">materia</w:t>
        </w:r>
      </w:hyperlink>
      <w:r>
        <w:rPr>
          <w:b w:val="0"/>
          <w:i w:val="0"/>
        </w:rPr>
        <w:t xml:space="preserve">; </w:t>
      </w:r>
      <w:hyperlink w:anchor="latin-record-0777">
        <w:r>
          <w:rPr>
            <w:color w:val="000000"/>
          </w:rPr>
          <w:t xml:space="preserve">nuper / semel / diuturnior / perpetuo / generatio / successio</w:t>
        </w:r>
      </w:hyperlink>
      <w:r>
        <w:rPr>
          <w:b w:val="0"/>
          <w:i w:val="0"/>
        </w:rPr>
        <w:t xml:space="preserve">; </w:t>
      </w:r>
      <w:hyperlink w:anchor="latin-record-0845">
        <w:r>
          <w:rPr>
            <w:color w:val="000000"/>
          </w:rPr>
          <w:t xml:space="preserve">pendere / dependere</w:t>
        </w:r>
      </w:hyperlink>
      <w:r>
        <w:rPr>
          <w:b w:val="0"/>
          <w:i w:val="0"/>
        </w:rPr>
        <w:t xml:space="preserve">; </w:t>
      </w:r>
      <w:hyperlink w:anchor="latin-record-1154">
        <w:r>
          <w:rPr>
            <w:color w:val="000000"/>
          </w:rPr>
          <w:t xml:space="preserve">subiectum</w:t>
        </w:r>
      </w:hyperlink>
      <w:r>
        <w:rPr>
          <w:b w:val="0"/>
          <w:i w:val="0"/>
        </w:rPr>
        <w:t>.</w:t>
      </w:r>
    </w:p>
    <w:p>
      <w:pPr>
        <w:widowControl/>
      </w:pPr>
      <w:bookmarkStart w:id="1737" w:name="passage-ii-4-7"/>
      <w:bookmarkEnd w:id="1737"/>
      <w:r>
        <w:rPr>
          <w:b/>
          <w:i w:val="0"/>
        </w:rPr>
        <w:t>II.4.7</w:t>
      </w:r>
      <w:r>
        <w:rPr>
          <w:b/>
          <w:i w:val="0"/>
        </w:rPr>
        <w:t>, source pp. 124–125.</w:t>
      </w:r>
      <w:r>
        <w:rPr>
          <w:b w:val="0"/>
          <w:i w:val="0"/>
        </w:rPr>
        <w:t xml:space="preserve"> Articles: </w:t>
      </w:r>
      <w:hyperlink w:anchor="failure-weariness-and-endurance">
        <w:r>
          <w:rPr>
            <w:color w:val="000000"/>
          </w:rPr>
          <w:t xml:space="preserve">Failure weariness and endurance</w:t>
        </w:r>
      </w:hyperlink>
      <w:r>
        <w:rPr>
          <w:b w:val="0"/>
          <w:i w:val="0"/>
        </w:rPr>
        <w:t xml:space="preserve">; </w:t>
      </w:r>
      <w:hyperlink w:anchor="infinity">
        <w:r>
          <w:rPr>
            <w:color w:val="000000"/>
          </w:rPr>
          <w:t xml:space="preserve">Infinity</w:t>
        </w:r>
      </w:hyperlink>
      <w:r>
        <w:rPr>
          <w:b w:val="0"/>
          <w:i w:val="0"/>
        </w:rPr>
        <w:t xml:space="preserve">; </w:t>
      </w:r>
      <w:hyperlink w:anchor="matter">
        <w:r>
          <w:rPr>
            <w:color w:val="000000"/>
          </w:rPr>
          <w:t xml:space="preserve">Matter</w:t>
        </w:r>
      </w:hyperlink>
      <w:r>
        <w:rPr>
          <w:b w:val="0"/>
          <w:i w:val="0"/>
        </w:rPr>
        <w:t xml:space="preserve">; </w:t>
      </w:r>
      <w:hyperlink w:anchor="power-and-potency">
        <w:r>
          <w:rPr>
            <w:color w:val="000000"/>
          </w:rPr>
          <w:t xml:space="preserve">Power and potency</w:t>
        </w:r>
      </w:hyperlink>
      <w:r>
        <w:rPr>
          <w:b w:val="0"/>
          <w:i w:val="0"/>
        </w:rPr>
        <w:t xml:space="preserve">; </w:t>
      </w:r>
      <w:hyperlink w:anchor="weaving-and-world-fabric">
        <w:r>
          <w:rPr>
            <w:color w:val="000000"/>
          </w:rPr>
          <w:t xml:space="preserve">Weaving and world fabric</w:t>
        </w:r>
      </w:hyperlink>
      <w:r>
        <w:rPr>
          <w:b w:val="0"/>
          <w:i w:val="0"/>
        </w:rPr>
        <w:t xml:space="preserve">. Vocabulary: </w:t>
      </w:r>
      <w:hyperlink w:anchor="latin-record-0328">
        <w:r>
          <w:rPr>
            <w:color w:val="000000"/>
          </w:rPr>
          <w:t xml:space="preserve">discurrere / cursus</w:t>
        </w:r>
      </w:hyperlink>
      <w:r>
        <w:rPr>
          <w:b w:val="0"/>
          <w:i w:val="0"/>
        </w:rPr>
        <w:t xml:space="preserve">; </w:t>
      </w:r>
      <w:hyperlink w:anchor="latin-record-0435">
        <w:r>
          <w:rPr>
            <w:color w:val="000000"/>
          </w:rPr>
          <w:t xml:space="preserve">fatigare / claudicare</w:t>
        </w:r>
      </w:hyperlink>
      <w:r>
        <w:rPr>
          <w:b w:val="0"/>
          <w:i w:val="0"/>
        </w:rPr>
        <w:t xml:space="preserve">; </w:t>
      </w:r>
      <w:hyperlink w:anchor="latin-record-0659">
        <w:r>
          <w:rPr>
            <w:color w:val="000000"/>
          </w:rPr>
          <w:t xml:space="preserve">machina / tela / retexere</w:t>
        </w:r>
      </w:hyperlink>
      <w:r>
        <w:rPr>
          <w:b w:val="0"/>
          <w:i w:val="0"/>
        </w:rPr>
        <w:t xml:space="preserve">; </w:t>
      </w:r>
      <w:hyperlink w:anchor="latin-record-0720">
        <w:r>
          <w:rPr>
            <w:color w:val="000000"/>
          </w:rPr>
          <w:t xml:space="preserve">motus / motio / motor / mutare</w:t>
        </w:r>
      </w:hyperlink>
      <w:r>
        <w:rPr>
          <w:b w:val="0"/>
          <w:i w:val="0"/>
        </w:rPr>
        <w:t xml:space="preserve">; </w:t>
      </w:r>
      <w:hyperlink w:anchor="latin-record-0724">
        <w:r>
          <w:rPr>
            <w:color w:val="000000"/>
          </w:rPr>
          <w:t xml:space="preserve">movere / sistere / firmare</w:t>
        </w:r>
      </w:hyperlink>
      <w:r>
        <w:rPr>
          <w:b w:val="0"/>
          <w:i w:val="0"/>
        </w:rPr>
        <w:t xml:space="preserve">; </w:t>
      </w:r>
      <w:hyperlink w:anchor="latin-record-0927">
        <w:r>
          <w:rPr>
            <w:color w:val="000000"/>
          </w:rPr>
          <w:t xml:space="preserve">principatus / gubernare / regere</w:t>
        </w:r>
      </w:hyperlink>
      <w:r>
        <w:rPr>
          <w:b w:val="0"/>
          <w:i w:val="0"/>
        </w:rPr>
        <w:t xml:space="preserve">; </w:t>
      </w:r>
      <w:hyperlink w:anchor="latin-record-1067">
        <w:r>
          <w:rPr>
            <w:color w:val="000000"/>
          </w:rPr>
          <w:t xml:space="preserve">saeculum / duratio</w:t>
        </w:r>
      </w:hyperlink>
      <w:r>
        <w:rPr>
          <w:b w:val="0"/>
          <w:i w:val="0"/>
        </w:rPr>
        <w:t>.</w:t>
      </w:r>
    </w:p>
    <w:p>
      <w:pPr>
        <w:widowControl/>
      </w:pPr>
      <w:bookmarkStart w:id="1738" w:name="passage-ii-4-8"/>
      <w:bookmarkEnd w:id="1738"/>
      <w:r>
        <w:rPr>
          <w:b/>
          <w:i w:val="0"/>
        </w:rPr>
        <w:t>II.4.8</w:t>
      </w:r>
      <w:r>
        <w:rPr>
          <w:b/>
          <w:i w:val="0"/>
        </w:rPr>
        <w:t>, source pp. 124–125.</w:t>
      </w:r>
      <w:r>
        <w:rPr>
          <w:b w:val="0"/>
          <w:i w:val="0"/>
        </w:rPr>
        <w:t xml:space="preserve"> Articles: </w:t>
      </w:r>
      <w:hyperlink w:anchor="end-and-limit">
        <w:r>
          <w:rPr>
            <w:color w:val="000000"/>
          </w:rPr>
          <w:t xml:space="preserve">End and limit</w:t>
        </w:r>
      </w:hyperlink>
      <w:r>
        <w:rPr>
          <w:b w:val="0"/>
          <w:i w:val="0"/>
        </w:rPr>
        <w:t xml:space="preserve">; </w:t>
      </w:r>
      <w:hyperlink w:anchor="infinity">
        <w:r>
          <w:rPr>
            <w:color w:val="000000"/>
          </w:rPr>
          <w:t xml:space="preserve">Infinity</w:t>
        </w:r>
      </w:hyperlink>
      <w:r>
        <w:rPr>
          <w:b w:val="0"/>
          <w:i w:val="0"/>
        </w:rPr>
        <w:t xml:space="preserve">; </w:t>
      </w:r>
      <w:hyperlink w:anchor="matter">
        <w:r>
          <w:rPr>
            <w:color w:val="000000"/>
          </w:rPr>
          <w:t xml:space="preserve">Matter</w:t>
        </w:r>
      </w:hyperlink>
      <w:r>
        <w:rPr>
          <w:b w:val="0"/>
          <w:i w:val="0"/>
        </w:rPr>
        <w:t xml:space="preserve">; </w:t>
      </w:r>
      <w:hyperlink w:anchor="orpheus-and-divine-names">
        <w:r>
          <w:rPr>
            <w:color w:val="000000"/>
          </w:rPr>
          <w:t xml:space="preserve">Orpheus and divine names</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450">
        <w:r>
          <w:rPr>
            <w:color w:val="000000"/>
          </w:rPr>
          <w:t xml:space="preserve">finis / scopus</w:t>
        </w:r>
      </w:hyperlink>
      <w:r>
        <w:rPr>
          <w:b w:val="0"/>
          <w:i w:val="0"/>
        </w:rPr>
        <w:t xml:space="preserve">; </w:t>
      </w:r>
      <w:hyperlink w:anchor="latin-record-0480">
        <w:r>
          <w:rPr>
            <w:color w:val="000000"/>
          </w:rPr>
          <w:t xml:space="preserve">generatio / successio</w:t>
        </w:r>
      </w:hyperlink>
      <w:r>
        <w:rPr>
          <w:b w:val="0"/>
          <w:i w:val="0"/>
        </w:rPr>
        <w:t xml:space="preserve">; </w:t>
      </w:r>
      <w:hyperlink w:anchor="latin-record-0566">
        <w:r>
          <w:rPr>
            <w:color w:val="000000"/>
          </w:rPr>
          <w:t xml:space="preserve">infinitus / infinitas / immensus / innumerus</w:t>
        </w:r>
      </w:hyperlink>
      <w:r>
        <w:rPr>
          <w:b w:val="0"/>
          <w:i w:val="0"/>
        </w:rPr>
        <w:t xml:space="preserve">; </w:t>
      </w:r>
      <w:hyperlink w:anchor="latin-record-0619">
        <w:r>
          <w:rPr>
            <w:color w:val="000000"/>
          </w:rPr>
          <w:t xml:space="preserve">iudicare / percipere / nescire / nosse / notitia / speculari</w:t>
        </w:r>
      </w:hyperlink>
      <w:r>
        <w:rPr>
          <w:b w:val="0"/>
          <w:i w:val="0"/>
        </w:rPr>
        <w:t xml:space="preserve">; </w:t>
      </w:r>
      <w:hyperlink w:anchor="latin-record-0813">
        <w:r>
          <w:rPr>
            <w:color w:val="000000"/>
          </w:rPr>
          <w:t xml:space="preserve">Orpheus / Orphici</w:t>
        </w:r>
      </w:hyperlink>
      <w:r>
        <w:rPr>
          <w:b w:val="0"/>
          <w:i w:val="0"/>
        </w:rPr>
        <w:t xml:space="preserve">; </w:t>
      </w:r>
      <w:hyperlink w:anchor="latin-record-0878">
        <w:r>
          <w:rPr>
            <w:color w:val="000000"/>
          </w:rPr>
          <w:t xml:space="preserve">placere / libenter</w:t>
        </w:r>
      </w:hyperlink>
      <w:r>
        <w:rPr>
          <w:b w:val="0"/>
          <w:i w:val="0"/>
        </w:rPr>
        <w:t xml:space="preserve">; </w:t>
      </w:r>
      <w:hyperlink w:anchor="latin-record-0881">
        <w:r>
          <w:rPr>
            <w:color w:val="000000"/>
          </w:rPr>
          <w:t xml:space="preserve">Plato / Platonici / philosophi / physici</w:t>
        </w:r>
      </w:hyperlink>
      <w:r>
        <w:rPr>
          <w:b w:val="0"/>
          <w:i w:val="0"/>
        </w:rPr>
        <w:t xml:space="preserve">; </w:t>
      </w:r>
      <w:hyperlink w:anchor="greek-record-03">
        <w:r>
          <w:rPr>
            <w:color w:val="000000"/>
          </w:rPr>
          <w:t xml:space="preserve">An infinite end</w:t>
        </w:r>
      </w:hyperlink>
      <w:r>
        <w:rPr>
          <w:b w:val="0"/>
          <w:i w:val="0"/>
        </w:rPr>
        <w:t>.</w:t>
      </w:r>
    </w:p>
    <w:p>
      <w:bookmarkStart w:id="1739" w:name="chapter-ii.5"/>
      <w:pPr>
        <w:pStyle w:val="Heading2"/>
      </w:pPr>
      <w:r>
        <w:rPr>
          <w:b w:val="0"/>
          <w:i w:val="0"/>
        </w:rPr>
        <w:t>Chapter II.5</w:t>
      </w:r>
      <w:bookmarkEnd w:id="1739"/>
    </w:p>
    <w:p>
      <w:pPr>
        <w:widowControl/>
      </w:pPr>
      <w:bookmarkStart w:id="1740" w:name="passage-ii-5-1"/>
      <w:bookmarkEnd w:id="1740"/>
      <w:r>
        <w:rPr>
          <w:b/>
          <w:i w:val="0"/>
        </w:rPr>
        <w:t>II.5.1</w:t>
      </w:r>
      <w:r>
        <w:rPr>
          <w:b/>
          <w:i w:val="0"/>
        </w:rPr>
        <w:t>, source pp. 126–127.</w:t>
      </w:r>
      <w:r>
        <w:rPr>
          <w:b w:val="0"/>
          <w:i w:val="0"/>
        </w:rPr>
        <w:t xml:space="preserve"> Articles: </w:t>
      </w:r>
      <w:hyperlink w:anchor="beginning-and-ceasing">
        <w:r>
          <w:rPr>
            <w:color w:val="000000"/>
          </w:rPr>
          <w:t xml:space="preserve">Beginning and ceasing</w:t>
        </w:r>
      </w:hyperlink>
      <w:r>
        <w:rPr>
          <w:b w:val="0"/>
          <w:i w:val="0"/>
        </w:rPr>
        <w:t xml:space="preserve">; </w:t>
      </w:r>
      <w:hyperlink w:anchor="eternity-and-time">
        <w:r>
          <w:rPr>
            <w:color w:val="000000"/>
          </w:rPr>
          <w:t xml:space="preserve">Eternity and time</w:t>
        </w:r>
      </w:hyperlink>
      <w:r>
        <w:rPr>
          <w:b w:val="0"/>
          <w:i w:val="0"/>
        </w:rPr>
        <w:t xml:space="preserve">; </w:t>
      </w:r>
      <w:hyperlink w:anchor="failure-weariness-and-endurance">
        <w:r>
          <w:rPr>
            <w:color w:val="000000"/>
          </w:rPr>
          <w:t xml:space="preserve">Failure weariness and endurance</w:t>
        </w:r>
      </w:hyperlink>
      <w:r>
        <w:rPr>
          <w:b w:val="0"/>
          <w:i w:val="0"/>
        </w:rPr>
        <w:t xml:space="preserve">; </w:t>
      </w:r>
      <w:hyperlink w:anchor="freedom-and-necessity">
        <w:r>
          <w:rPr>
            <w:color w:val="000000"/>
          </w:rPr>
          <w:t xml:space="preserve">Freedom and necessity</w:t>
        </w:r>
      </w:hyperlink>
      <w:r>
        <w:rPr>
          <w:b w:val="0"/>
          <w:i w:val="0"/>
        </w:rPr>
        <w:t xml:space="preserve">; </w:t>
      </w:r>
      <w:hyperlink w:anchor="god">
        <w:r>
          <w:rPr>
            <w:color w:val="000000"/>
          </w:rPr>
          <w:t xml:space="preserve">God</w:t>
        </w:r>
      </w:hyperlink>
      <w:r>
        <w:rPr>
          <w:b w:val="0"/>
          <w:i w:val="0"/>
        </w:rPr>
        <w:t xml:space="preserve">; </w:t>
      </w:r>
      <w:hyperlink w:anchor="truth">
        <w:r>
          <w:rPr>
            <w:color w:val="000000"/>
          </w:rPr>
          <w:t xml:space="preserve">Truth</w:t>
        </w:r>
      </w:hyperlink>
      <w:r>
        <w:rPr>
          <w:b w:val="0"/>
          <w:i w:val="0"/>
        </w:rPr>
        <w:t xml:space="preserve">. Vocabulary: </w:t>
      </w:r>
      <w:hyperlink w:anchor="latin-record-0076">
        <w:r>
          <w:rPr>
            <w:color w:val="000000"/>
          </w:rPr>
          <w:t xml:space="preserve">antecedere / sequi / praecedere</w:t>
        </w:r>
      </w:hyperlink>
      <w:r>
        <w:rPr>
          <w:b w:val="0"/>
          <w:i w:val="0"/>
        </w:rPr>
        <w:t xml:space="preserve">; </w:t>
      </w:r>
      <w:hyperlink w:anchor="latin-record-0358">
        <w:r>
          <w:rPr>
            <w:color w:val="000000"/>
          </w:rPr>
          <w:t xml:space="preserve">edere / servare / conservare</w:t>
        </w:r>
      </w:hyperlink>
      <w:r>
        <w:rPr>
          <w:b w:val="0"/>
          <w:i w:val="0"/>
        </w:rPr>
        <w:t xml:space="preserve">; </w:t>
      </w:r>
      <w:hyperlink w:anchor="latin-record-0574">
        <w:r>
          <w:rPr>
            <w:color w:val="000000"/>
          </w:rPr>
          <w:t xml:space="preserve">initium / incipere / desinere</w:t>
        </w:r>
      </w:hyperlink>
      <w:r>
        <w:rPr>
          <w:b w:val="0"/>
          <w:i w:val="0"/>
        </w:rPr>
        <w:t xml:space="preserve">; </w:t>
      </w:r>
      <w:hyperlink w:anchor="latin-record-0777">
        <w:r>
          <w:rPr>
            <w:color w:val="000000"/>
          </w:rPr>
          <w:t xml:space="preserve">nuper / semel / diuturnior / perpetuo / generatio / successio</w:t>
        </w:r>
      </w:hyperlink>
      <w:r>
        <w:rPr>
          <w:b w:val="0"/>
          <w:i w:val="0"/>
        </w:rPr>
        <w:t xml:space="preserve">; </w:t>
      </w:r>
      <w:hyperlink w:anchor="latin-record-0815">
        <w:r>
          <w:rPr>
            <w:color w:val="000000"/>
          </w:rPr>
          <w:t xml:space="preserve">ostendere / monstrare / probare</w:t>
        </w:r>
      </w:hyperlink>
      <w:r>
        <w:rPr>
          <w:b w:val="0"/>
          <w:i w:val="0"/>
        </w:rPr>
        <w:t xml:space="preserve">; </w:t>
      </w:r>
      <w:hyperlink w:anchor="latin-record-0860">
        <w:r>
          <w:rPr>
            <w:color w:val="000000"/>
          </w:rPr>
          <w:t xml:space="preserve">permanere / perseverare</w:t>
        </w:r>
      </w:hyperlink>
      <w:r>
        <w:rPr>
          <w:b w:val="0"/>
          <w:i w:val="0"/>
        </w:rPr>
        <w:t xml:space="preserve">; </w:t>
      </w:r>
      <w:hyperlink w:anchor="latin-record-1050">
        <w:r>
          <w:rPr>
            <w:color w:val="000000"/>
          </w:rPr>
          <w:t xml:space="preserve">resolvi / dissolutio</w:t>
        </w:r>
      </w:hyperlink>
      <w:r>
        <w:rPr>
          <w:b w:val="0"/>
          <w:i w:val="0"/>
        </w:rPr>
        <w:t xml:space="preserve">; </w:t>
      </w:r>
      <w:hyperlink w:anchor="latin-record-1089">
        <w:r>
          <w:rPr>
            <w:color w:val="000000"/>
          </w:rPr>
          <w:t xml:space="preserve">sempiternitas / aeternitas</w:t>
        </w:r>
      </w:hyperlink>
      <w:r>
        <w:rPr>
          <w:b w:val="0"/>
          <w:i w:val="0"/>
        </w:rPr>
        <w:t xml:space="preserve">; </w:t>
      </w:r>
      <w:hyperlink w:anchor="latin-record-1187">
        <w:r>
          <w:rPr>
            <w:color w:val="000000"/>
          </w:rPr>
          <w:t xml:space="preserve">tempus / temporalis</w:t>
        </w:r>
      </w:hyperlink>
      <w:r>
        <w:rPr>
          <w:b w:val="0"/>
          <w:i w:val="0"/>
        </w:rPr>
        <w:t xml:space="preserve">; </w:t>
      </w:r>
      <w:hyperlink w:anchor="latin-record-1246">
        <w:r>
          <w:rPr>
            <w:color w:val="000000"/>
          </w:rPr>
          <w:t xml:space="preserve">veritas / verus</w:t>
        </w:r>
      </w:hyperlink>
      <w:r>
        <w:rPr>
          <w:b w:val="0"/>
          <w:i w:val="0"/>
        </w:rPr>
        <w:t>.</w:t>
      </w:r>
    </w:p>
    <w:p>
      <w:pPr>
        <w:widowControl/>
      </w:pPr>
      <w:bookmarkStart w:id="1741" w:name="passage-ii-5-2"/>
      <w:bookmarkEnd w:id="1741"/>
      <w:r>
        <w:rPr>
          <w:b/>
          <w:i w:val="0"/>
        </w:rPr>
        <w:t>II.5.2</w:t>
      </w:r>
      <w:r>
        <w:rPr>
          <w:b/>
          <w:i w:val="0"/>
        </w:rPr>
        <w:t>, source pp. 126–127.</w:t>
      </w:r>
      <w:r>
        <w:rPr>
          <w:b w:val="0"/>
          <w:i w:val="0"/>
        </w:rPr>
        <w:t xml:space="preserve"> Articles: </w:t>
      </w:r>
      <w:hyperlink w:anchor="always-and-everywhere">
        <w:r>
          <w:rPr>
            <w:color w:val="000000"/>
          </w:rPr>
          <w:t xml:space="preserve">Always and everywhere</w:t>
        </w:r>
      </w:hyperlink>
      <w:r>
        <w:rPr>
          <w:b w:val="0"/>
          <w:i w:val="0"/>
        </w:rPr>
        <w:t xml:space="preserve">; </w:t>
      </w:r>
      <w:hyperlink w:anchor="eternity-and-time">
        <w:r>
          <w:rPr>
            <w:color w:val="000000"/>
          </w:rPr>
          <w:t xml:space="preserve">Eternity and time</w:t>
        </w:r>
      </w:hyperlink>
      <w:r>
        <w:rPr>
          <w:b w:val="0"/>
          <w:i w:val="0"/>
        </w:rPr>
        <w:t xml:space="preserve">; </w:t>
      </w:r>
      <w:hyperlink w:anchor="imagination-and-deceptive-clothing">
        <w:r>
          <w:rPr>
            <w:color w:val="000000"/>
          </w:rPr>
          <w:t xml:space="preserve">Imagination and deceptive clothing</w:t>
        </w:r>
      </w:hyperlink>
      <w:r>
        <w:rPr>
          <w:b w:val="0"/>
          <w:i w:val="0"/>
        </w:rPr>
        <w:t xml:space="preserve">; </w:t>
      </w:r>
      <w:hyperlink w:anchor="motion-and-stability">
        <w:r>
          <w:rPr>
            <w:color w:val="000000"/>
          </w:rPr>
          <w:t xml:space="preserve">Motion and stability</w:t>
        </w:r>
      </w:hyperlink>
      <w:r>
        <w:rPr>
          <w:b w:val="0"/>
          <w:i w:val="0"/>
        </w:rPr>
        <w:t xml:space="preserve">; </w:t>
      </w:r>
      <w:hyperlink w:anchor="sense-and-imagination">
        <w:r>
          <w:rPr>
            <w:color w:val="000000"/>
          </w:rPr>
          <w:t xml:space="preserve">Sense and imagination</w:t>
        </w:r>
      </w:hyperlink>
      <w:r>
        <w:rPr>
          <w:b w:val="0"/>
          <w:i w:val="0"/>
        </w:rPr>
        <w:t xml:space="preserve">. Vocabulary: </w:t>
      </w:r>
      <w:hyperlink w:anchor="latin-record-0227">
        <w:r>
          <w:rPr>
            <w:color w:val="000000"/>
          </w:rPr>
          <w:t xml:space="preserve">condicio / accidens</w:t>
        </w:r>
      </w:hyperlink>
      <w:r>
        <w:rPr>
          <w:b w:val="0"/>
          <w:i w:val="0"/>
        </w:rPr>
        <w:t xml:space="preserve">; </w:t>
      </w:r>
      <w:hyperlink w:anchor="latin-record-0325">
        <w:r>
          <w:rPr>
            <w:color w:val="000000"/>
          </w:rPr>
          <w:t xml:space="preserve">discernere / animadvertere</w:t>
        </w:r>
      </w:hyperlink>
      <w:r>
        <w:rPr>
          <w:b w:val="0"/>
          <w:i w:val="0"/>
        </w:rPr>
        <w:t xml:space="preserve">; </w:t>
      </w:r>
      <w:hyperlink w:anchor="latin-record-0427">
        <w:r>
          <w:rPr>
            <w:color w:val="000000"/>
          </w:rPr>
          <w:t xml:space="preserve">fallere / praestigiae / confundere</w:t>
        </w:r>
      </w:hyperlink>
      <w:r>
        <w:rPr>
          <w:b w:val="0"/>
          <w:i w:val="0"/>
        </w:rPr>
        <w:t xml:space="preserve">; </w:t>
      </w:r>
      <w:hyperlink w:anchor="latin-record-0557">
        <w:r>
          <w:rPr>
            <w:color w:val="000000"/>
          </w:rPr>
          <w:t xml:space="preserve">induere / involvere</w:t>
        </w:r>
      </w:hyperlink>
      <w:r>
        <w:rPr>
          <w:b w:val="0"/>
          <w:i w:val="0"/>
        </w:rPr>
        <w:t xml:space="preserve">; </w:t>
      </w:r>
      <w:hyperlink w:anchor="latin-record-0869">
        <w:r>
          <w:rPr>
            <w:color w:val="000000"/>
          </w:rPr>
          <w:t xml:space="preserve">phantasia</w:t>
        </w:r>
      </w:hyperlink>
      <w:r>
        <w:rPr>
          <w:b w:val="0"/>
          <w:i w:val="0"/>
        </w:rPr>
        <w:t xml:space="preserve">; </w:t>
      </w:r>
      <w:hyperlink w:anchor="latin-record-1067">
        <w:r>
          <w:rPr>
            <w:color w:val="000000"/>
          </w:rPr>
          <w:t xml:space="preserve">saeculum / duratio</w:t>
        </w:r>
      </w:hyperlink>
      <w:r>
        <w:rPr>
          <w:b w:val="0"/>
          <w:i w:val="0"/>
        </w:rPr>
        <w:t xml:space="preserve">; </w:t>
      </w:r>
      <w:hyperlink w:anchor="latin-record-1089">
        <w:r>
          <w:rPr>
            <w:color w:val="000000"/>
          </w:rPr>
          <w:t xml:space="preserve">sempiternitas / aeternitas</w:t>
        </w:r>
      </w:hyperlink>
      <w:r>
        <w:rPr>
          <w:b w:val="0"/>
          <w:i w:val="0"/>
        </w:rPr>
        <w:t xml:space="preserve">; </w:t>
      </w:r>
      <w:hyperlink w:anchor="latin-record-1141">
        <w:r>
          <w:rPr>
            <w:color w:val="000000"/>
          </w:rPr>
          <w:t xml:space="preserve">status / stare</w:t>
        </w:r>
      </w:hyperlink>
      <w:r>
        <w:rPr>
          <w:b w:val="0"/>
          <w:i w:val="0"/>
        </w:rPr>
        <w:t>.</w:t>
      </w:r>
    </w:p>
    <w:p>
      <w:pPr>
        <w:widowControl/>
      </w:pPr>
      <w:bookmarkStart w:id="1742" w:name="passage-ii-5-3"/>
      <w:bookmarkEnd w:id="1742"/>
      <w:r>
        <w:rPr>
          <w:b/>
          <w:i w:val="0"/>
        </w:rPr>
        <w:t>II.5.3</w:t>
      </w:r>
      <w:r>
        <w:rPr>
          <w:b/>
          <w:i w:val="0"/>
        </w:rPr>
        <w:t>, source pp. 126–127.</w:t>
      </w:r>
      <w:r>
        <w:rPr>
          <w:b w:val="0"/>
          <w:i w:val="0"/>
        </w:rPr>
        <w:t xml:space="preserve"> Articles: </w:t>
      </w:r>
      <w:hyperlink w:anchor="always-and-everywhere">
        <w:r>
          <w:rPr>
            <w:color w:val="000000"/>
          </w:rPr>
          <w:t xml:space="preserve">Always and everywhere</w:t>
        </w:r>
      </w:hyperlink>
      <w:r>
        <w:rPr>
          <w:b w:val="0"/>
          <w:i w:val="0"/>
        </w:rPr>
        <w:t xml:space="preserve">; </w:t>
      </w:r>
      <w:hyperlink w:anchor="eternity-and-time">
        <w:r>
          <w:rPr>
            <w:color w:val="000000"/>
          </w:rPr>
          <w:t xml:space="preserve">Eternity and time</w:t>
        </w:r>
      </w:hyperlink>
      <w:r>
        <w:rPr>
          <w:b w:val="0"/>
          <w:i w:val="0"/>
        </w:rPr>
        <w:t xml:space="preserve">; </w:t>
      </w:r>
      <w:hyperlink w:anchor="imagination-and-deceptive-clothing">
        <w:r>
          <w:rPr>
            <w:color w:val="000000"/>
          </w:rPr>
          <w:t xml:space="preserve">Imagination and deceptive clothing</w:t>
        </w:r>
      </w:hyperlink>
      <w:r>
        <w:rPr>
          <w:b w:val="0"/>
          <w:i w:val="0"/>
        </w:rPr>
        <w:t xml:space="preserve">; </w:t>
      </w:r>
      <w:hyperlink w:anchor="sense-and-imagination">
        <w:r>
          <w:rPr>
            <w:color w:val="000000"/>
          </w:rPr>
          <w:t xml:space="preserve">Sense and imagination</w:t>
        </w:r>
      </w:hyperlink>
      <w:r>
        <w:rPr>
          <w:b w:val="0"/>
          <w:i w:val="0"/>
        </w:rPr>
        <w:t xml:space="preserve">. Vocabulary: </w:t>
      </w:r>
      <w:hyperlink w:anchor="latin-record-0292">
        <w:r>
          <w:rPr>
            <w:color w:val="000000"/>
          </w:rPr>
          <w:t xml:space="preserve">dare / donare / exhibere</w:t>
        </w:r>
      </w:hyperlink>
      <w:r>
        <w:rPr>
          <w:b w:val="0"/>
          <w:i w:val="0"/>
        </w:rPr>
        <w:t xml:space="preserve">; </w:t>
      </w:r>
      <w:hyperlink w:anchor="latin-record-0537">
        <w:r>
          <w:rPr>
            <w:color w:val="000000"/>
          </w:rPr>
          <w:t xml:space="preserve">impellere / inferre</w:t>
        </w:r>
      </w:hyperlink>
      <w:r>
        <w:rPr>
          <w:b w:val="0"/>
          <w:i w:val="0"/>
        </w:rPr>
        <w:t xml:space="preserve">; </w:t>
      </w:r>
      <w:hyperlink w:anchor="latin-record-0557">
        <w:r>
          <w:rPr>
            <w:color w:val="000000"/>
          </w:rPr>
          <w:t xml:space="preserve">induere / involvere</w:t>
        </w:r>
      </w:hyperlink>
      <w:r>
        <w:rPr>
          <w:b w:val="0"/>
          <w:i w:val="0"/>
        </w:rPr>
        <w:t>.</w:t>
      </w:r>
    </w:p>
    <w:p>
      <w:pPr>
        <w:widowControl/>
      </w:pPr>
      <w:bookmarkStart w:id="1743" w:name="passage-ii-5-4"/>
      <w:bookmarkEnd w:id="1743"/>
      <w:r>
        <w:rPr>
          <w:b/>
          <w:i w:val="0"/>
        </w:rPr>
        <w:t>II.5.4</w:t>
      </w:r>
      <w:r>
        <w:rPr>
          <w:b/>
          <w:i w:val="0"/>
        </w:rPr>
        <w:t>, source pp. 126–127.</w:t>
      </w:r>
      <w:r>
        <w:rPr>
          <w:b w:val="0"/>
          <w:i w:val="0"/>
        </w:rPr>
        <w:t xml:space="preserve"> Articles: </w:t>
      </w:r>
      <w:hyperlink w:anchor="always-and-everywhere">
        <w:r>
          <w:rPr>
            <w:color w:val="000000"/>
          </w:rPr>
          <w:t xml:space="preserve">Always and everywhere</w:t>
        </w:r>
      </w:hyperlink>
      <w:r>
        <w:rPr>
          <w:b w:val="0"/>
          <w:i w:val="0"/>
        </w:rPr>
        <w:t xml:space="preserve">; </w:t>
      </w:r>
      <w:hyperlink w:anchor="eternity-and-time">
        <w:r>
          <w:rPr>
            <w:color w:val="000000"/>
          </w:rPr>
          <w:t xml:space="preserve">Eternity and time</w:t>
        </w:r>
      </w:hyperlink>
      <w:r>
        <w:rPr>
          <w:b w:val="0"/>
          <w:i w:val="0"/>
        </w:rPr>
        <w:t xml:space="preserve">. Vocabulary: </w:t>
      </w:r>
      <w:hyperlink w:anchor="latin-record-0316">
        <w:r>
          <w:rPr>
            <w:color w:val="000000"/>
          </w:rPr>
          <w:t xml:space="preserve">dicere / vocare / appellare</w:t>
        </w:r>
      </w:hyperlink>
      <w:r>
        <w:rPr>
          <w:b w:val="0"/>
          <w:i w:val="0"/>
        </w:rPr>
        <w:t xml:space="preserve">; </w:t>
      </w:r>
      <w:hyperlink w:anchor="latin-record-0350">
        <w:r>
          <w:rPr>
            <w:color w:val="000000"/>
          </w:rPr>
          <w:t xml:space="preserve">dubitare / diffidere / difficile</w:t>
        </w:r>
      </w:hyperlink>
      <w:r>
        <w:rPr>
          <w:b w:val="0"/>
          <w:i w:val="0"/>
        </w:rPr>
        <w:t xml:space="preserve">; </w:t>
      </w:r>
      <w:hyperlink w:anchor="latin-record-0615">
        <w:r>
          <w:rPr>
            <w:color w:val="000000"/>
          </w:rPr>
          <w:t xml:space="preserve">ipsum semper</w:t>
        </w:r>
      </w:hyperlink>
      <w:r>
        <w:rPr>
          <w:b w:val="0"/>
          <w:i w:val="0"/>
        </w:rPr>
        <w:t xml:space="preserve">; </w:t>
      </w:r>
      <w:hyperlink w:anchor="latin-record-1089">
        <w:r>
          <w:rPr>
            <w:color w:val="000000"/>
          </w:rPr>
          <w:t xml:space="preserve">sempiternitas / aeternitas</w:t>
        </w:r>
      </w:hyperlink>
      <w:r>
        <w:rPr>
          <w:b w:val="0"/>
          <w:i w:val="0"/>
        </w:rPr>
        <w:t>.</w:t>
      </w:r>
    </w:p>
    <w:p>
      <w:bookmarkStart w:id="1744" w:name="chapter-ii.6"/>
      <w:pPr>
        <w:pStyle w:val="Heading2"/>
      </w:pPr>
      <w:r>
        <w:rPr>
          <w:b w:val="0"/>
          <w:i w:val="0"/>
        </w:rPr>
        <w:t>Chapter II.6</w:t>
      </w:r>
      <w:bookmarkEnd w:id="1744"/>
    </w:p>
    <w:p>
      <w:pPr>
        <w:widowControl/>
      </w:pPr>
      <w:bookmarkStart w:id="1745" w:name="passage-ii-6-1"/>
      <w:bookmarkEnd w:id="1745"/>
      <w:r>
        <w:rPr>
          <w:b/>
          <w:i w:val="0"/>
        </w:rPr>
        <w:t>II.6.1</w:t>
      </w:r>
      <w:r>
        <w:rPr>
          <w:b/>
          <w:i w:val="0"/>
        </w:rPr>
        <w:t>, source pp. 128–129.</w:t>
      </w:r>
      <w:r>
        <w:rPr>
          <w:b w:val="0"/>
          <w:i w:val="0"/>
        </w:rPr>
        <w:t xml:space="preserve"> Articles: </w:t>
      </w:r>
      <w:hyperlink w:anchor="god">
        <w:r>
          <w:rPr>
            <w:color w:val="000000"/>
          </w:rPr>
          <w:t xml:space="preserve">God</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omnipresence-and-place">
        <w:r>
          <w:rPr>
            <w:color w:val="000000"/>
          </w:rPr>
          <w:t xml:space="preserve">Omnipresence and place</w:t>
        </w:r>
      </w:hyperlink>
      <w:r>
        <w:rPr>
          <w:b w:val="0"/>
          <w:i w:val="0"/>
        </w:rPr>
        <w:t xml:space="preserve">; </w:t>
      </w:r>
      <w:hyperlink w:anchor="power-and-potency">
        <w:r>
          <w:rPr>
            <w:color w:val="000000"/>
          </w:rPr>
          <w:t xml:space="preserve">Power and potency</w:t>
        </w:r>
      </w:hyperlink>
      <w:r>
        <w:rPr>
          <w:b w:val="0"/>
          <w:i w:val="0"/>
        </w:rPr>
        <w:t xml:space="preserve">; </w:t>
      </w:r>
      <w:hyperlink w:anchor="touch-and-penetration">
        <w:r>
          <w:rPr>
            <w:color w:val="000000"/>
          </w:rPr>
          <w:t xml:space="preserve">Touch and penetration</w:t>
        </w:r>
      </w:hyperlink>
      <w:r>
        <w:rPr>
          <w:b w:val="0"/>
          <w:i w:val="0"/>
        </w:rPr>
        <w:t xml:space="preserve">. Vocabulary: </w:t>
      </w:r>
      <w:hyperlink w:anchor="latin-record-0281">
        <w:r>
          <w:rPr>
            <w:color w:val="000000"/>
          </w:rPr>
          <w:t xml:space="preserve">corpus / corporalis</w:t>
        </w:r>
      </w:hyperlink>
      <w:r>
        <w:rPr>
          <w:b w:val="0"/>
          <w:i w:val="0"/>
        </w:rPr>
        <w:t xml:space="preserve">; </w:t>
      </w:r>
      <w:hyperlink w:anchor="latin-record-0553">
        <w:r>
          <w:rPr>
            <w:color w:val="000000"/>
          </w:rPr>
          <w:t xml:space="preserve">incorporeus / incorporalis / indivisibilis</w:t>
        </w:r>
      </w:hyperlink>
      <w:r>
        <w:rPr>
          <w:b w:val="0"/>
          <w:i w:val="0"/>
        </w:rPr>
        <w:t xml:space="preserve">; </w:t>
      </w:r>
      <w:hyperlink w:anchor="latin-record-0815">
        <w:r>
          <w:rPr>
            <w:color w:val="000000"/>
          </w:rPr>
          <w:t xml:space="preserve">ostendere / monstrare / probare</w:t>
        </w:r>
      </w:hyperlink>
      <w:r>
        <w:rPr>
          <w:b w:val="0"/>
          <w:i w:val="0"/>
        </w:rPr>
        <w:t xml:space="preserve">; </w:t>
      </w:r>
      <w:hyperlink w:anchor="latin-record-1006">
        <w:r>
          <w:rPr>
            <w:color w:val="000000"/>
          </w:rPr>
          <w:t xml:space="preserve">quantitas / dimensio</w:t>
        </w:r>
      </w:hyperlink>
      <w:r>
        <w:rPr>
          <w:b w:val="0"/>
          <w:i w:val="0"/>
        </w:rPr>
        <w:t xml:space="preserve">; </w:t>
      </w:r>
      <w:hyperlink w:anchor="latin-record-1183">
        <w:r>
          <w:rPr>
            <w:color w:val="000000"/>
          </w:rPr>
          <w:t xml:space="preserve">tangere / attingere</w:t>
        </w:r>
      </w:hyperlink>
      <w:r>
        <w:rPr>
          <w:b w:val="0"/>
          <w:i w:val="0"/>
        </w:rPr>
        <w:t>.</w:t>
      </w:r>
    </w:p>
    <w:p>
      <w:pPr>
        <w:widowControl/>
      </w:pPr>
      <w:bookmarkStart w:id="1746" w:name="passage-ii-6-2"/>
      <w:bookmarkEnd w:id="1746"/>
      <w:r>
        <w:rPr>
          <w:b/>
          <w:i w:val="0"/>
        </w:rPr>
        <w:t>II.6.2</w:t>
      </w:r>
      <w:r>
        <w:rPr>
          <w:b/>
          <w:i w:val="0"/>
        </w:rPr>
        <w:t>, source pp. 128–129.</w:t>
      </w:r>
      <w:r>
        <w:rPr>
          <w:b w:val="0"/>
          <w:i w:val="0"/>
        </w:rPr>
        <w:t xml:space="preserve"> Articles: </w:t>
      </w:r>
      <w:hyperlink w:anchor="being">
        <w:r>
          <w:rPr>
            <w:color w:val="000000"/>
          </w:rPr>
          <w:t xml:space="preserve">Being</w:t>
        </w:r>
      </w:hyperlink>
      <w:r>
        <w:rPr>
          <w:b w:val="0"/>
          <w:i w:val="0"/>
        </w:rPr>
        <w:t xml:space="preserve">; </w:t>
      </w:r>
      <w:hyperlink w:anchor="cause">
        <w:r>
          <w:rPr>
            <w:color w:val="000000"/>
          </w:rPr>
          <w:t xml:space="preserve">Cause</w:t>
        </w:r>
      </w:hyperlink>
      <w:r>
        <w:rPr>
          <w:b w:val="0"/>
          <w:i w:val="0"/>
        </w:rPr>
        <w:t xml:space="preserve">; </w:t>
      </w:r>
      <w:hyperlink w:anchor="creation">
        <w:r>
          <w:rPr>
            <w:color w:val="000000"/>
          </w:rPr>
          <w:t xml:space="preserve">Creation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matter">
        <w:r>
          <w:rPr>
            <w:color w:val="000000"/>
          </w:rPr>
          <w:t xml:space="preserve">Matter</w:t>
        </w:r>
      </w:hyperlink>
      <w:r>
        <w:rPr>
          <w:b w:val="0"/>
          <w:i w:val="0"/>
        </w:rPr>
        <w:t xml:space="preserve">; </w:t>
      </w:r>
      <w:hyperlink w:anchor="omnipresence-and-place">
        <w:r>
          <w:rPr>
            <w:color w:val="000000"/>
          </w:rPr>
          <w:t xml:space="preserve">Omnipresence and place</w:t>
        </w:r>
      </w:hyperlink>
      <w:r>
        <w:rPr>
          <w:b w:val="0"/>
          <w:i w:val="0"/>
        </w:rPr>
        <w:t xml:space="preserve">. Vocabulary: </w:t>
      </w:r>
      <w:hyperlink w:anchor="latin-record-0024">
        <w:r>
          <w:rPr>
            <w:color w:val="000000"/>
          </w:rPr>
          <w:t xml:space="preserve">adesse / abesse</w:t>
        </w:r>
      </w:hyperlink>
      <w:r>
        <w:rPr>
          <w:b w:val="0"/>
          <w:i w:val="0"/>
        </w:rPr>
        <w:t xml:space="preserve">; </w:t>
      </w:r>
      <w:hyperlink w:anchor="latin-record-0153">
        <w:r>
          <w:rPr>
            <w:color w:val="000000"/>
          </w:rPr>
          <w:t xml:space="preserve">causa / effectus</w:t>
        </w:r>
      </w:hyperlink>
      <w:r>
        <w:rPr>
          <w:b w:val="0"/>
          <w:i w:val="0"/>
        </w:rPr>
        <w:t xml:space="preserve">; </w:t>
      </w:r>
      <w:hyperlink w:anchor="latin-record-0283">
        <w:r>
          <w:rPr>
            <w:color w:val="000000"/>
          </w:rPr>
          <w:t xml:space="preserve">creare / ex nihilo</w:t>
        </w:r>
      </w:hyperlink>
      <w:r>
        <w:rPr>
          <w:b w:val="0"/>
          <w:i w:val="0"/>
        </w:rPr>
        <w:t xml:space="preserve">; </w:t>
      </w:r>
      <w:hyperlink w:anchor="latin-record-0521">
        <w:r>
          <w:rPr>
            <w:color w:val="000000"/>
          </w:rPr>
          <w:t xml:space="preserve">ignis / sol / caelum / stella</w:t>
        </w:r>
      </w:hyperlink>
      <w:r>
        <w:rPr>
          <w:b w:val="0"/>
          <w:i w:val="0"/>
        </w:rPr>
        <w:t xml:space="preserve">; </w:t>
      </w:r>
      <w:hyperlink w:anchor="latin-record-0575">
        <w:r>
          <w:rPr>
            <w:color w:val="000000"/>
          </w:rPr>
          <w:t xml:space="preserve">inniti / subsistere</w:t>
        </w:r>
      </w:hyperlink>
      <w:r>
        <w:rPr>
          <w:b w:val="0"/>
          <w:i w:val="0"/>
        </w:rPr>
        <w:t xml:space="preserve">; </w:t>
      </w:r>
      <w:hyperlink w:anchor="latin-record-0673">
        <w:r>
          <w:rPr>
            <w:color w:val="000000"/>
          </w:rPr>
          <w:t xml:space="preserve">materia</w:t>
        </w:r>
      </w:hyperlink>
      <w:r>
        <w:rPr>
          <w:b w:val="0"/>
          <w:i w:val="0"/>
        </w:rPr>
        <w:t xml:space="preserve">; </w:t>
      </w:r>
      <w:hyperlink w:anchor="latin-record-0679">
        <w:r>
          <w:rPr>
            <w:color w:val="000000"/>
          </w:rPr>
          <w:t xml:space="preserve">medium / particularis</w:t>
        </w:r>
      </w:hyperlink>
      <w:r>
        <w:rPr>
          <w:b w:val="0"/>
          <w:i w:val="0"/>
        </w:rPr>
        <w:t xml:space="preserve">; </w:t>
      </w:r>
      <w:hyperlink w:anchor="latin-record-0683">
        <w:r>
          <w:rPr>
            <w:color w:val="000000"/>
          </w:rPr>
          <w:t xml:space="preserve">membra / lignum / aer</w:t>
        </w:r>
      </w:hyperlink>
      <w:r>
        <w:rPr>
          <w:b w:val="0"/>
          <w:i w:val="0"/>
        </w:rPr>
        <w:t xml:space="preserve">; </w:t>
      </w:r>
      <w:hyperlink w:anchor="latin-record-1112">
        <w:r>
          <w:rPr>
            <w:color w:val="000000"/>
          </w:rPr>
          <w:t xml:space="preserve">sine medio</w:t>
        </w:r>
      </w:hyperlink>
      <w:r>
        <w:rPr>
          <w:b w:val="0"/>
          <w:i w:val="0"/>
        </w:rPr>
        <w:t xml:space="preserve">; </w:t>
      </w:r>
      <w:hyperlink w:anchor="latin-record-1133">
        <w:r>
          <w:rPr>
            <w:color w:val="000000"/>
          </w:rPr>
          <w:t xml:space="preserve">spiritus</w:t>
        </w:r>
      </w:hyperlink>
      <w:r>
        <w:rPr>
          <w:b w:val="0"/>
          <w:i w:val="0"/>
        </w:rPr>
        <w:t xml:space="preserve">; </w:t>
      </w:r>
      <w:hyperlink w:anchor="latin-record-1223">
        <w:r>
          <w:rPr>
            <w:color w:val="000000"/>
          </w:rPr>
          <w:t xml:space="preserve">universalis / universalia</w:t>
        </w:r>
      </w:hyperlink>
      <w:r>
        <w:rPr>
          <w:b w:val="0"/>
          <w:i w:val="0"/>
        </w:rPr>
        <w:t>.</w:t>
      </w:r>
    </w:p>
    <w:p>
      <w:pPr>
        <w:widowControl/>
      </w:pPr>
      <w:bookmarkStart w:id="1747" w:name="passage-ii-6-3"/>
      <w:bookmarkEnd w:id="1747"/>
      <w:r>
        <w:rPr>
          <w:b/>
          <w:i w:val="0"/>
        </w:rPr>
        <w:t>II.6.3</w:t>
      </w:r>
      <w:r>
        <w:rPr>
          <w:b/>
          <w:i w:val="0"/>
        </w:rPr>
        <w:t>, source pp. 128–129.</w:t>
      </w:r>
      <w:r>
        <w:rPr>
          <w:b w:val="0"/>
          <w:i w:val="0"/>
        </w:rPr>
        <w:t xml:space="preserve"> Articles: </w:t>
      </w:r>
      <w:hyperlink w:anchor="omnipresence-and-place">
        <w:r>
          <w:rPr>
            <w:color w:val="000000"/>
          </w:rPr>
          <w:t xml:space="preserve">Omnipresence and place</w:t>
        </w:r>
      </w:hyperlink>
      <w:r>
        <w:rPr>
          <w:b w:val="0"/>
          <w:i w:val="0"/>
        </w:rPr>
        <w:t xml:space="preserve">; </w:t>
      </w:r>
      <w:hyperlink w:anchor="touch-and-penetration">
        <w:r>
          <w:rPr>
            <w:color w:val="000000"/>
          </w:rPr>
          <w:t xml:space="preserve">Touch and penetration</w:t>
        </w:r>
      </w:hyperlink>
      <w:r>
        <w:rPr>
          <w:b w:val="0"/>
          <w:i w:val="0"/>
        </w:rPr>
        <w:t xml:space="preserve">. Vocabulary: </w:t>
      </w:r>
      <w:hyperlink w:anchor="latin-record-0848">
        <w:r>
          <w:rPr>
            <w:color w:val="000000"/>
          </w:rPr>
          <w:t xml:space="preserve">penetrare / resistere / obstare</w:t>
        </w:r>
      </w:hyperlink>
      <w:r>
        <w:rPr>
          <w:b w:val="0"/>
          <w:i w:val="0"/>
        </w:rPr>
        <w:t xml:space="preserve">; </w:t>
      </w:r>
      <w:hyperlink w:anchor="latin-record-0948">
        <w:r>
          <w:rPr>
            <w:color w:val="000000"/>
          </w:rPr>
          <w:t xml:space="preserve">prohibere / claudere / includere</w:t>
        </w:r>
      </w:hyperlink>
      <w:r>
        <w:rPr>
          <w:b w:val="0"/>
          <w:i w:val="0"/>
        </w:rPr>
        <w:t xml:space="preserve">; </w:t>
      </w:r>
      <w:hyperlink w:anchor="latin-record-0989">
        <w:r>
          <w:rPr>
            <w:color w:val="000000"/>
          </w:rPr>
          <w:t xml:space="preserve">purus / puritas</w:t>
        </w:r>
      </w:hyperlink>
      <w:r>
        <w:rPr>
          <w:b w:val="0"/>
          <w:i w:val="0"/>
        </w:rPr>
        <w:t>.</w:t>
      </w:r>
    </w:p>
    <w:p>
      <w:pPr>
        <w:widowControl/>
      </w:pPr>
      <w:bookmarkStart w:id="1748" w:name="passage-ii-6-4"/>
      <w:bookmarkEnd w:id="1748"/>
      <w:r>
        <w:rPr>
          <w:b/>
          <w:i w:val="0"/>
        </w:rPr>
        <w:t>II.6.4</w:t>
      </w:r>
      <w:r>
        <w:rPr>
          <w:b/>
          <w:i w:val="0"/>
        </w:rPr>
        <w:t>, source pp. 128–129.</w:t>
      </w:r>
      <w:r>
        <w:rPr>
          <w:b w:val="0"/>
          <w:i w:val="0"/>
        </w:rPr>
        <w:t xml:space="preserve"> Articles: </w:t>
      </w:r>
      <w:hyperlink w:anchor="bounds-and-restriction">
        <w:r>
          <w:rPr>
            <w:color w:val="000000"/>
          </w:rPr>
          <w:t xml:space="preserve">Bounds and restriction</w:t>
        </w:r>
      </w:hyperlink>
      <w:r>
        <w:rPr>
          <w:b w:val="0"/>
          <w:i w:val="0"/>
        </w:rPr>
        <w:t xml:space="preserve">; </w:t>
      </w:r>
      <w:hyperlink w:anchor="omnipresence-and-place">
        <w:r>
          <w:rPr>
            <w:color w:val="000000"/>
          </w:rPr>
          <w:t xml:space="preserve">Omnipresence and place</w:t>
        </w:r>
      </w:hyperlink>
      <w:r>
        <w:rPr>
          <w:b w:val="0"/>
          <w:i w:val="0"/>
        </w:rPr>
        <w:t xml:space="preserve">. Vocabulary: </w:t>
      </w:r>
      <w:hyperlink w:anchor="latin-record-0281">
        <w:r>
          <w:rPr>
            <w:color w:val="000000"/>
          </w:rPr>
          <w:t xml:space="preserve">corpus / corporalis</w:t>
        </w:r>
      </w:hyperlink>
      <w:r>
        <w:rPr>
          <w:b w:val="0"/>
          <w:i w:val="0"/>
        </w:rPr>
        <w:t xml:space="preserve">; </w:t>
      </w:r>
      <w:hyperlink w:anchor="latin-record-0320">
        <w:r>
          <w:rPr>
            <w:color w:val="000000"/>
          </w:rPr>
          <w:t xml:space="preserve">dignitas</w:t>
        </w:r>
      </w:hyperlink>
      <w:r>
        <w:rPr>
          <w:b w:val="0"/>
          <w:i w:val="0"/>
        </w:rPr>
        <w:t xml:space="preserve">; </w:t>
      </w:r>
      <w:hyperlink w:anchor="latin-record-0367">
        <w:r>
          <w:rPr>
            <w:color w:val="000000"/>
          </w:rPr>
          <w:t xml:space="preserve">egere / indigere</w:t>
        </w:r>
      </w:hyperlink>
      <w:r>
        <w:rPr>
          <w:b w:val="0"/>
          <w:i w:val="0"/>
        </w:rPr>
        <w:t xml:space="preserve">; </w:t>
      </w:r>
      <w:hyperlink w:anchor="latin-record-0646">
        <w:r>
          <w:rPr>
            <w:color w:val="000000"/>
          </w:rPr>
          <w:t xml:space="preserve">locus / situs / spatium</w:t>
        </w:r>
      </w:hyperlink>
      <w:r>
        <w:rPr>
          <w:b w:val="0"/>
          <w:i w:val="0"/>
        </w:rPr>
        <w:t xml:space="preserve">; </w:t>
      </w:r>
      <w:hyperlink w:anchor="latin-record-0916">
        <w:r>
          <w:rPr>
            <w:color w:val="000000"/>
          </w:rPr>
          <w:t xml:space="preserve">praesentia</w:t>
        </w:r>
      </w:hyperlink>
      <w:r>
        <w:rPr>
          <w:b w:val="0"/>
          <w:i w:val="0"/>
        </w:rPr>
        <w:t xml:space="preserve">; </w:t>
      </w:r>
      <w:hyperlink w:anchor="latin-record-1067">
        <w:r>
          <w:rPr>
            <w:color w:val="000000"/>
          </w:rPr>
          <w:t xml:space="preserve">saeculum / duratio</w:t>
        </w:r>
      </w:hyperlink>
      <w:r>
        <w:rPr>
          <w:b w:val="0"/>
          <w:i w:val="0"/>
        </w:rPr>
        <w:t xml:space="preserve">; </w:t>
      </w:r>
      <w:hyperlink w:anchor="latin-record-1192">
        <w:r>
          <w:rPr>
            <w:color w:val="000000"/>
          </w:rPr>
          <w:t xml:space="preserve">terminare / finire</w:t>
        </w:r>
      </w:hyperlink>
      <w:r>
        <w:rPr>
          <w:b w:val="0"/>
          <w:i w:val="0"/>
        </w:rPr>
        <w:t>.</w:t>
      </w:r>
    </w:p>
    <w:p>
      <w:pPr>
        <w:widowControl/>
      </w:pPr>
      <w:bookmarkStart w:id="1749" w:name="passage-ii-6-5"/>
      <w:bookmarkEnd w:id="1749"/>
      <w:r>
        <w:rPr>
          <w:b/>
          <w:i w:val="0"/>
        </w:rPr>
        <w:t>II.6.5</w:t>
      </w:r>
      <w:r>
        <w:rPr>
          <w:b/>
          <w:i w:val="0"/>
        </w:rPr>
        <w:t>, source pp. 130–131.</w:t>
      </w:r>
      <w:r>
        <w:rPr>
          <w:b w:val="0"/>
          <w:i w:val="0"/>
        </w:rPr>
        <w:t xml:space="preserve"> Articles: </w:t>
      </w:r>
      <w:hyperlink w:anchor="good-and-goodness">
        <w:r>
          <w:rPr>
            <w:color w:val="000000"/>
          </w:rPr>
          <w:t xml:space="preserve">Good and goodness</w:t>
        </w:r>
      </w:hyperlink>
      <w:r>
        <w:rPr>
          <w:b w:val="0"/>
          <w:i w:val="0"/>
        </w:rPr>
        <w:t xml:space="preserve">; </w:t>
      </w:r>
      <w:hyperlink w:anchor="life">
        <w:r>
          <w:rPr>
            <w:color w:val="000000"/>
          </w:rPr>
          <w:t xml:space="preserve">Life</w:t>
        </w:r>
      </w:hyperlink>
      <w:r>
        <w:rPr>
          <w:b w:val="0"/>
          <w:i w:val="0"/>
        </w:rPr>
        <w:t xml:space="preserve">; </w:t>
      </w:r>
      <w:hyperlink w:anchor="matter">
        <w:r>
          <w:rPr>
            <w:color w:val="000000"/>
          </w:rPr>
          <w:t xml:space="preserve">Matter</w:t>
        </w:r>
      </w:hyperlink>
      <w:r>
        <w:rPr>
          <w:b w:val="0"/>
          <w:i w:val="0"/>
        </w:rPr>
        <w:t xml:space="preserve">; </w:t>
      </w:r>
      <w:hyperlink w:anchor="omnipresence-and-place">
        <w:r>
          <w:rPr>
            <w:color w:val="000000"/>
          </w:rPr>
          <w:t xml:space="preserve">Omnipresence and place</w:t>
        </w:r>
      </w:hyperlink>
      <w:r>
        <w:rPr>
          <w:b w:val="0"/>
          <w:i w:val="0"/>
        </w:rPr>
        <w:t xml:space="preserve">. Vocabulary: </w:t>
      </w:r>
      <w:hyperlink w:anchor="latin-record-0164">
        <w:r>
          <w:rPr>
            <w:color w:val="000000"/>
          </w:rPr>
          <w:t xml:space="preserve">cessare</w:t>
        </w:r>
      </w:hyperlink>
      <w:r>
        <w:rPr>
          <w:b w:val="0"/>
          <w:i w:val="0"/>
        </w:rPr>
        <w:t xml:space="preserve">; </w:t>
      </w:r>
      <w:hyperlink w:anchor="latin-record-0836">
        <w:r>
          <w:rPr>
            <w:color w:val="000000"/>
          </w:rPr>
          <w:t xml:space="preserve">passio / patiens / pati</w:t>
        </w:r>
      </w:hyperlink>
      <w:r>
        <w:rPr>
          <w:b w:val="0"/>
          <w:i w:val="0"/>
        </w:rPr>
        <w:t xml:space="preserve">; </w:t>
      </w:r>
      <w:hyperlink w:anchor="latin-record-0952">
        <w:r>
          <w:rPr>
            <w:color w:val="000000"/>
          </w:rPr>
          <w:t xml:space="preserve">propagare / amplificare / dilatare</w:t>
        </w:r>
      </w:hyperlink>
      <w:r>
        <w:rPr>
          <w:b w:val="0"/>
          <w:i w:val="0"/>
        </w:rPr>
        <w:t xml:space="preserve">; </w:t>
      </w:r>
      <w:hyperlink w:anchor="latin-record-1153">
        <w:r>
          <w:rPr>
            <w:color w:val="000000"/>
          </w:rPr>
          <w:t xml:space="preserve">subicere / tollere / removere</w:t>
        </w:r>
      </w:hyperlink>
      <w:r>
        <w:rPr>
          <w:b w:val="0"/>
          <w:i w:val="0"/>
        </w:rPr>
        <w:t xml:space="preserve">; </w:t>
      </w:r>
      <w:hyperlink w:anchor="latin-record-1274">
        <w:r>
          <w:rPr>
            <w:color w:val="000000"/>
          </w:rPr>
          <w:t xml:space="preserve">vita / vivere / vivificare</w:t>
        </w:r>
      </w:hyperlink>
      <w:r>
        <w:rPr>
          <w:b w:val="0"/>
          <w:i w:val="0"/>
        </w:rPr>
        <w:t>.</w:t>
      </w:r>
    </w:p>
    <w:p>
      <w:pPr>
        <w:widowControl/>
      </w:pPr>
      <w:bookmarkStart w:id="1750" w:name="passage-ii-6-6"/>
      <w:bookmarkEnd w:id="1750"/>
      <w:r>
        <w:rPr>
          <w:b/>
          <w:i w:val="0"/>
        </w:rPr>
        <w:t>II.6.6</w:t>
      </w:r>
      <w:r>
        <w:rPr>
          <w:b/>
          <w:i w:val="0"/>
        </w:rPr>
        <w:t>, source pp. 130–131.</w:t>
      </w:r>
      <w:r>
        <w:rPr>
          <w:b w:val="0"/>
          <w:i w:val="0"/>
        </w:rPr>
        <w:t xml:space="preserve"> Articles: </w:t>
      </w:r>
      <w:hyperlink w:anchor="communication-and-imparting">
        <w:r>
          <w:rPr>
            <w:color w:val="000000"/>
          </w:rPr>
          <w:t xml:space="preserve">Communication and imparting</w:t>
        </w:r>
      </w:hyperlink>
      <w:r>
        <w:rPr>
          <w:b w:val="0"/>
          <w:i w:val="0"/>
        </w:rPr>
        <w:t xml:space="preserve">; </w:t>
      </w:r>
      <w:hyperlink w:anchor="good-and-goodness">
        <w:r>
          <w:rPr>
            <w:color w:val="000000"/>
          </w:rPr>
          <w:t xml:space="preserve">Good and goodness</w:t>
        </w:r>
      </w:hyperlink>
      <w:r>
        <w:rPr>
          <w:b w:val="0"/>
          <w:i w:val="0"/>
        </w:rPr>
        <w:t xml:space="preserve">; </w:t>
      </w:r>
      <w:hyperlink w:anchor="omnipresence-and-place">
        <w:r>
          <w:rPr>
            <w:color w:val="000000"/>
          </w:rPr>
          <w:t xml:space="preserve">Omnipresence and place</w:t>
        </w:r>
      </w:hyperlink>
      <w:r>
        <w:rPr>
          <w:b w:val="0"/>
          <w:i w:val="0"/>
        </w:rPr>
        <w:t xml:space="preserve">. Vocabulary: </w:t>
      </w:r>
      <w:hyperlink w:anchor="latin-record-0150">
        <w:r>
          <w:rPr>
            <w:color w:val="000000"/>
          </w:rPr>
          <w:t xml:space="preserve">carere / deesse / destituere</w:t>
        </w:r>
      </w:hyperlink>
      <w:r>
        <w:rPr>
          <w:b w:val="0"/>
          <w:i w:val="0"/>
        </w:rPr>
        <w:t xml:space="preserve">; </w:t>
      </w:r>
      <w:hyperlink w:anchor="latin-record-0420">
        <w:r>
          <w:rPr>
            <w:color w:val="000000"/>
          </w:rPr>
          <w:t xml:space="preserve">exuberare / fundere</w:t>
        </w:r>
      </w:hyperlink>
      <w:r>
        <w:rPr>
          <w:b w:val="0"/>
          <w:i w:val="0"/>
        </w:rPr>
        <w:t xml:space="preserve">; </w:t>
      </w:r>
      <w:hyperlink w:anchor="latin-record-0566">
        <w:r>
          <w:rPr>
            <w:color w:val="000000"/>
          </w:rPr>
          <w:t xml:space="preserve">infinitus / infinitas / immensus / innumerus</w:t>
        </w:r>
      </w:hyperlink>
      <w:r>
        <w:rPr>
          <w:b w:val="0"/>
          <w:i w:val="0"/>
        </w:rPr>
        <w:t xml:space="preserve">; </w:t>
      </w:r>
      <w:hyperlink w:anchor="latin-record-0592">
        <w:r>
          <w:rPr>
            <w:color w:val="000000"/>
          </w:rPr>
          <w:t xml:space="preserve">integer / totus / plenus</w:t>
        </w:r>
      </w:hyperlink>
      <w:r>
        <w:rPr>
          <w:b w:val="0"/>
          <w:i w:val="0"/>
        </w:rPr>
        <w:t xml:space="preserve">; </w:t>
      </w:r>
      <w:hyperlink w:anchor="latin-record-0610">
        <w:r>
          <w:rPr>
            <w:color w:val="000000"/>
          </w:rPr>
          <w:t xml:space="preserve">intus / intro / extra / ultra / superne / undique</w:t>
        </w:r>
      </w:hyperlink>
      <w:r>
        <w:rPr>
          <w:b w:val="0"/>
          <w:i w:val="0"/>
        </w:rPr>
        <w:t xml:space="preserve">; </w:t>
      </w:r>
      <w:hyperlink w:anchor="latin-record-0660">
        <w:r>
          <w:rPr>
            <w:color w:val="000000"/>
          </w:rPr>
          <w:t xml:space="preserve">machinatio / machinari</w:t>
        </w:r>
      </w:hyperlink>
      <w:r>
        <w:rPr>
          <w:b w:val="0"/>
          <w:i w:val="0"/>
        </w:rPr>
        <w:t xml:space="preserve">; </w:t>
      </w:r>
      <w:hyperlink w:anchor="latin-record-0771">
        <w:r>
          <w:rPr>
            <w:color w:val="000000"/>
          </w:rPr>
          <w:t xml:space="preserve">novus / relinquere</w:t>
        </w:r>
      </w:hyperlink>
      <w:r>
        <w:rPr>
          <w:b w:val="0"/>
          <w:i w:val="0"/>
        </w:rPr>
        <w:t xml:space="preserve">; </w:t>
      </w:r>
      <w:hyperlink w:anchor="latin-record-0799">
        <w:r>
          <w:rPr>
            <w:color w:val="000000"/>
          </w:rPr>
          <w:t xml:space="preserve">oportere / debere / decere</w:t>
        </w:r>
      </w:hyperlink>
      <w:r>
        <w:rPr>
          <w:b w:val="0"/>
          <w:i w:val="0"/>
        </w:rPr>
        <w:t xml:space="preserve">; </w:t>
      </w:r>
      <w:hyperlink w:anchor="latin-record-0881">
        <w:r>
          <w:rPr>
            <w:color w:val="000000"/>
          </w:rPr>
          <w:t xml:space="preserve">Plato / Platonici / philosophi / physici</w:t>
        </w:r>
      </w:hyperlink>
      <w:r>
        <w:rPr>
          <w:b w:val="0"/>
          <w:i w:val="0"/>
        </w:rPr>
        <w:t xml:space="preserve">; </w:t>
      </w:r>
      <w:hyperlink w:anchor="latin-record-0916">
        <w:r>
          <w:rPr>
            <w:color w:val="000000"/>
          </w:rPr>
          <w:t xml:space="preserve">praesentia</w:t>
        </w:r>
      </w:hyperlink>
      <w:r>
        <w:rPr>
          <w:b w:val="0"/>
          <w:i w:val="0"/>
        </w:rPr>
        <w:t xml:space="preserve">; </w:t>
      </w:r>
      <w:hyperlink w:anchor="latin-record-0939">
        <w:r>
          <w:rPr>
            <w:color w:val="000000"/>
          </w:rPr>
          <w:t xml:space="preserve">procedere / progredi / proficere</w:t>
        </w:r>
      </w:hyperlink>
      <w:r>
        <w:rPr>
          <w:b w:val="0"/>
          <w:i w:val="0"/>
        </w:rPr>
        <w:t>.</w:t>
      </w:r>
    </w:p>
    <w:p>
      <w:pPr>
        <w:widowControl/>
      </w:pPr>
      <w:bookmarkStart w:id="1751" w:name="passage-ii-6-7"/>
      <w:bookmarkEnd w:id="1751"/>
      <w:r>
        <w:rPr>
          <w:b/>
          <w:i w:val="0"/>
        </w:rPr>
        <w:t>II.6.7</w:t>
      </w:r>
      <w:r>
        <w:rPr>
          <w:b/>
          <w:i w:val="0"/>
        </w:rPr>
        <w:t>, source pp. 130–131.</w:t>
      </w:r>
      <w:r>
        <w:rPr>
          <w:b w:val="0"/>
          <w:i w:val="0"/>
        </w:rPr>
        <w:t xml:space="preserve"> Articles: </w:t>
      </w:r>
      <w:hyperlink w:anchor="communication-and-imparting">
        <w:r>
          <w:rPr>
            <w:color w:val="000000"/>
          </w:rPr>
          <w:t xml:space="preserve">Communication and imparting</w:t>
        </w:r>
      </w:hyperlink>
      <w:r>
        <w:rPr>
          <w:b w:val="0"/>
          <w:i w:val="0"/>
        </w:rPr>
        <w:t xml:space="preserve">; </w:t>
      </w:r>
      <w:hyperlink w:anchor="good-and-goodness">
        <w:r>
          <w:rPr>
            <w:color w:val="000000"/>
          </w:rPr>
          <w:t xml:space="preserve">Good and goodness</w:t>
        </w:r>
      </w:hyperlink>
      <w:r>
        <w:rPr>
          <w:b w:val="0"/>
          <w:i w:val="0"/>
        </w:rPr>
        <w:t xml:space="preserve">; </w:t>
      </w:r>
      <w:hyperlink w:anchor="omnipresence-and-place">
        <w:r>
          <w:rPr>
            <w:color w:val="000000"/>
          </w:rPr>
          <w:t xml:space="preserve">Omnipresence and place</w:t>
        </w:r>
      </w:hyperlink>
      <w:r>
        <w:rPr>
          <w:b w:val="0"/>
          <w:i w:val="0"/>
        </w:rPr>
        <w:t xml:space="preserve">. Vocabulary: </w:t>
      </w:r>
      <w:hyperlink w:anchor="latin-record-0952">
        <w:r>
          <w:rPr>
            <w:color w:val="000000"/>
          </w:rPr>
          <w:t xml:space="preserve">propagare / amplificare / dilatare</w:t>
        </w:r>
      </w:hyperlink>
      <w:r>
        <w:rPr>
          <w:b w:val="0"/>
          <w:i w:val="0"/>
        </w:rPr>
        <w:t>.</w:t>
      </w:r>
    </w:p>
    <w:p>
      <w:pPr>
        <w:widowControl/>
      </w:pPr>
      <w:bookmarkStart w:id="1752" w:name="passage-ii-6-8"/>
      <w:bookmarkEnd w:id="1752"/>
      <w:r>
        <w:rPr>
          <w:b/>
          <w:i w:val="0"/>
        </w:rPr>
        <w:t>II.6.8</w:t>
      </w:r>
      <w:r>
        <w:rPr>
          <w:b/>
          <w:i w:val="0"/>
        </w:rPr>
        <w:t>, source pp. 130–131.</w:t>
      </w:r>
      <w:r>
        <w:rPr>
          <w:b w:val="0"/>
          <w:i w:val="0"/>
        </w:rPr>
        <w:t xml:space="preserve"> Articles: </w:t>
      </w:r>
      <w:hyperlink w:anchor="always-and-everywhere">
        <w:r>
          <w:rPr>
            <w:color w:val="000000"/>
          </w:rPr>
          <w:t xml:space="preserve">Always and everywhere</w:t>
        </w:r>
      </w:hyperlink>
      <w:r>
        <w:rPr>
          <w:b w:val="0"/>
          <w:i w:val="0"/>
        </w:rPr>
        <w:t xml:space="preserve">; </w:t>
      </w:r>
      <w:hyperlink w:anchor="omnipresence-and-place">
        <w:r>
          <w:rPr>
            <w:color w:val="000000"/>
          </w:rPr>
          <w:t xml:space="preserve">Omnipresence and place</w:t>
        </w:r>
      </w:hyperlink>
      <w:r>
        <w:rPr>
          <w:b w:val="0"/>
          <w:i w:val="0"/>
        </w:rPr>
        <w:t xml:space="preserve">. Vocabulary: </w:t>
      </w:r>
      <w:hyperlink w:anchor="latin-record-0024">
        <w:r>
          <w:rPr>
            <w:color w:val="000000"/>
          </w:rPr>
          <w:t xml:space="preserve">adesse / abesse</w:t>
        </w:r>
      </w:hyperlink>
      <w:r>
        <w:rPr>
          <w:b w:val="0"/>
          <w:i w:val="0"/>
        </w:rPr>
        <w:t xml:space="preserve">; </w:t>
      </w:r>
      <w:hyperlink w:anchor="latin-record-0182">
        <w:r>
          <w:rPr>
            <w:color w:val="000000"/>
          </w:rPr>
          <w:t xml:space="preserve">cohibere / detinere</w:t>
        </w:r>
      </w:hyperlink>
      <w:r>
        <w:rPr>
          <w:b w:val="0"/>
          <w:i w:val="0"/>
        </w:rPr>
        <w:t xml:space="preserve">; </w:t>
      </w:r>
      <w:hyperlink w:anchor="latin-record-0350">
        <w:r>
          <w:rPr>
            <w:color w:val="000000"/>
          </w:rPr>
          <w:t xml:space="preserve">dubitare / diffidere / difficile</w:t>
        </w:r>
      </w:hyperlink>
      <w:r>
        <w:rPr>
          <w:b w:val="0"/>
          <w:i w:val="0"/>
        </w:rPr>
        <w:t xml:space="preserve">; </w:t>
      </w:r>
      <w:hyperlink w:anchor="latin-record-1043">
        <w:r>
          <w:rPr>
            <w:color w:val="000000"/>
          </w:rPr>
          <w:t xml:space="preserve">reperire / invenire</w:t>
        </w:r>
      </w:hyperlink>
      <w:r>
        <w:rPr>
          <w:b w:val="0"/>
          <w:i w:val="0"/>
        </w:rPr>
        <w:t xml:space="preserve">; </w:t>
      </w:r>
      <w:hyperlink w:anchor="latin-record-1154">
        <w:r>
          <w:rPr>
            <w:color w:val="000000"/>
          </w:rPr>
          <w:t xml:space="preserve">subiectum</w:t>
        </w:r>
      </w:hyperlink>
      <w:r>
        <w:rPr>
          <w:b w:val="0"/>
          <w:i w:val="0"/>
        </w:rPr>
        <w:t xml:space="preserve">; </w:t>
      </w:r>
      <w:hyperlink w:anchor="latin-record-1214">
        <w:r>
          <w:rPr>
            <w:color w:val="000000"/>
          </w:rPr>
          <w:t xml:space="preserve">ubique / nusquam / ubi</w:t>
        </w:r>
      </w:hyperlink>
      <w:r>
        <w:rPr>
          <w:b w:val="0"/>
          <w:i w:val="0"/>
        </w:rPr>
        <w:t>.</w:t>
      </w:r>
    </w:p>
    <w:p>
      <w:pPr>
        <w:widowControl/>
      </w:pPr>
      <w:bookmarkStart w:id="1753" w:name="passage-ii-6-9"/>
      <w:bookmarkEnd w:id="1753"/>
      <w:r>
        <w:rPr>
          <w:b/>
          <w:i w:val="0"/>
        </w:rPr>
        <w:t>II.6.9</w:t>
      </w:r>
      <w:r>
        <w:rPr>
          <w:b/>
          <w:i w:val="0"/>
        </w:rPr>
        <w:t>, source pp. 130–131.</w:t>
      </w:r>
      <w:r>
        <w:rPr>
          <w:b w:val="0"/>
          <w:i w:val="0"/>
        </w:rPr>
        <w:t xml:space="preserve"> Articles: </w:t>
      </w:r>
      <w:hyperlink w:anchor="army-and-commander">
        <w:r>
          <w:rPr>
            <w:color w:val="000000"/>
          </w:rPr>
          <w:t xml:space="preserve">Army and commander</w:t>
        </w:r>
      </w:hyperlink>
      <w:r>
        <w:rPr>
          <w:b w:val="0"/>
          <w:i w:val="0"/>
        </w:rPr>
        <w:t xml:space="preserve">; </w:t>
      </w:r>
      <w:hyperlink w:anchor="omnipresence-and-place">
        <w:r>
          <w:rPr>
            <w:color w:val="000000"/>
          </w:rPr>
          <w:t xml:space="preserve">Omnipresence and place</w:t>
        </w:r>
      </w:hyperlink>
      <w:r>
        <w:rPr>
          <w:b w:val="0"/>
          <w:i w:val="0"/>
        </w:rPr>
        <w:t xml:space="preserve">. Vocabulary: </w:t>
      </w:r>
      <w:hyperlink w:anchor="latin-record-0399">
        <w:r>
          <w:rPr>
            <w:color w:val="000000"/>
          </w:rPr>
          <w:t xml:space="preserve">exercitus / dux</w:t>
        </w:r>
      </w:hyperlink>
      <w:r>
        <w:rPr>
          <w:b w:val="0"/>
          <w:i w:val="0"/>
        </w:rPr>
        <w:t>.</w:t>
      </w:r>
    </w:p>
    <w:p>
      <w:pPr>
        <w:widowControl/>
      </w:pPr>
      <w:bookmarkStart w:id="1754" w:name="passage-ii-6-10"/>
      <w:bookmarkEnd w:id="1754"/>
      <w:r>
        <w:rPr>
          <w:b/>
          <w:i w:val="0"/>
        </w:rPr>
        <w:t>II.6.10</w:t>
      </w:r>
      <w:r>
        <w:rPr>
          <w:b/>
          <w:i w:val="0"/>
        </w:rPr>
        <w:t>, source pp. 132–133.</w:t>
      </w:r>
      <w:r>
        <w:rPr>
          <w:b w:val="0"/>
          <w:i w:val="0"/>
        </w:rPr>
        <w:t xml:space="preserve"> Articles: </w:t>
      </w:r>
      <w:hyperlink w:anchor="omnipresence-and-place">
        <w:r>
          <w:rPr>
            <w:color w:val="000000"/>
          </w:rPr>
          <w:t xml:space="preserve">Omnipresence and place</w:t>
        </w:r>
      </w:hyperlink>
      <w:r>
        <w:rPr>
          <w:b w:val="0"/>
          <w:i w:val="0"/>
        </w:rPr>
        <w:t xml:space="preserve">. Vocabulary: </w:t>
      </w:r>
      <w:hyperlink w:anchor="latin-record-0063">
        <w:r>
          <w:rPr>
            <w:color w:val="000000"/>
          </w:rPr>
          <w:t xml:space="preserve">amplitudo / plenitudo / implere</w:t>
        </w:r>
      </w:hyperlink>
      <w:r>
        <w:rPr>
          <w:b w:val="0"/>
          <w:i w:val="0"/>
        </w:rPr>
        <w:t xml:space="preserve">; </w:t>
      </w:r>
      <w:hyperlink w:anchor="latin-record-0409">
        <w:r>
          <w:rPr>
            <w:color w:val="000000"/>
          </w:rPr>
          <w:t xml:space="preserve">expetere / desiderare</w:t>
        </w:r>
      </w:hyperlink>
      <w:r>
        <w:rPr>
          <w:b w:val="0"/>
          <w:i w:val="0"/>
        </w:rPr>
        <w:t xml:space="preserve">; </w:t>
      </w:r>
      <w:hyperlink w:anchor="latin-record-0900">
        <w:r>
          <w:rPr>
            <w:color w:val="000000"/>
          </w:rPr>
          <w:t xml:space="preserve">potissimum / summopere / penitus / prorsus / late</w:t>
        </w:r>
      </w:hyperlink>
      <w:r>
        <w:rPr>
          <w:b w:val="0"/>
          <w:i w:val="0"/>
        </w:rPr>
        <w:t>.</w:t>
      </w:r>
    </w:p>
    <w:p>
      <w:pPr>
        <w:widowControl/>
      </w:pPr>
      <w:bookmarkStart w:id="1755" w:name="passage-ii-6-11"/>
      <w:bookmarkEnd w:id="1755"/>
      <w:r>
        <w:rPr>
          <w:b/>
          <w:i w:val="0"/>
        </w:rPr>
        <w:t>II.6.11</w:t>
      </w:r>
      <w:r>
        <w:rPr>
          <w:b/>
          <w:i w:val="0"/>
        </w:rPr>
        <w:t>, source pp. 132–133.</w:t>
      </w:r>
      <w:r>
        <w:rPr>
          <w:b w:val="0"/>
          <w:i w:val="0"/>
        </w:rPr>
        <w:t xml:space="preserve"> Articles: </w:t>
      </w:r>
      <w:hyperlink w:anchor="conservation-and-preservation">
        <w:r>
          <w:rPr>
            <w:color w:val="000000"/>
          </w:rPr>
          <w:t xml:space="preserve">Conservation and preservation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omnipresence-and-place">
        <w:r>
          <w:rPr>
            <w:color w:val="000000"/>
          </w:rPr>
          <w:t xml:space="preserve">Omnipresence and place</w:t>
        </w:r>
      </w:hyperlink>
      <w:r>
        <w:rPr>
          <w:b w:val="0"/>
          <w:i w:val="0"/>
        </w:rPr>
        <w:t xml:space="preserve">; </w:t>
      </w:r>
      <w:hyperlink w:anchor="orpheus-and-divine-names">
        <w:r>
          <w:rPr>
            <w:color w:val="000000"/>
          </w:rPr>
          <w:t xml:space="preserve">Orpheus and divine names</w:t>
        </w:r>
      </w:hyperlink>
      <w:r>
        <w:rPr>
          <w:b w:val="0"/>
          <w:i w:val="0"/>
        </w:rPr>
        <w:t xml:space="preserve">. Vocabulary: </w:t>
      </w:r>
      <w:hyperlink w:anchor="latin-record-0024">
        <w:r>
          <w:rPr>
            <w:color w:val="000000"/>
          </w:rPr>
          <w:t xml:space="preserve">adesse / abesse</w:t>
        </w:r>
      </w:hyperlink>
      <w:r>
        <w:rPr>
          <w:b w:val="0"/>
          <w:i w:val="0"/>
        </w:rPr>
        <w:t xml:space="preserve">; </w:t>
      </w:r>
      <w:hyperlink w:anchor="latin-record-0247">
        <w:r>
          <w:rPr>
            <w:color w:val="000000"/>
          </w:rPr>
          <w:t xml:space="preserve">consequi / assequi / nancisci</w:t>
        </w:r>
      </w:hyperlink>
      <w:r>
        <w:rPr>
          <w:b w:val="0"/>
          <w:i w:val="0"/>
        </w:rPr>
        <w:t xml:space="preserve">; </w:t>
      </w:r>
      <w:hyperlink w:anchor="latin-record-0357">
        <w:r>
          <w:rPr>
            <w:color w:val="000000"/>
          </w:rPr>
          <w:t xml:space="preserve">eclipsis / nox / momentum</w:t>
        </w:r>
      </w:hyperlink>
      <w:r>
        <w:rPr>
          <w:b w:val="0"/>
          <w:i w:val="0"/>
        </w:rPr>
        <w:t xml:space="preserve">; </w:t>
      </w:r>
      <w:hyperlink w:anchor="latin-record-0495">
        <w:r>
          <w:rPr>
            <w:color w:val="000000"/>
          </w:rPr>
          <w:t xml:space="preserve">habitare</w:t>
        </w:r>
      </w:hyperlink>
      <w:r>
        <w:rPr>
          <w:b w:val="0"/>
          <w:i w:val="0"/>
        </w:rPr>
        <w:t xml:space="preserve">; </w:t>
      </w:r>
      <w:hyperlink w:anchor="latin-record-0517">
        <w:r>
          <w:rPr>
            <w:color w:val="000000"/>
          </w:rPr>
          <w:t xml:space="preserve">hymnus / theologia / sacerdos</w:t>
        </w:r>
      </w:hyperlink>
      <w:r>
        <w:rPr>
          <w:b w:val="0"/>
          <w:i w:val="0"/>
        </w:rPr>
        <w:t xml:space="preserve">; </w:t>
      </w:r>
      <w:hyperlink w:anchor="latin-record-0521">
        <w:r>
          <w:rPr>
            <w:color w:val="000000"/>
          </w:rPr>
          <w:t xml:space="preserve">ignis / sol / caelum / stella</w:t>
        </w:r>
      </w:hyperlink>
      <w:r>
        <w:rPr>
          <w:b w:val="0"/>
          <w:i w:val="0"/>
        </w:rPr>
        <w:t xml:space="preserve">; </w:t>
      </w:r>
      <w:hyperlink w:anchor="latin-record-0655">
        <w:r>
          <w:rPr>
            <w:color w:val="000000"/>
          </w:rPr>
          <w:t xml:space="preserve">lux / lumen</w:t>
        </w:r>
      </w:hyperlink>
      <w:r>
        <w:rPr>
          <w:b w:val="0"/>
          <w:i w:val="0"/>
        </w:rPr>
        <w:t xml:space="preserve">; </w:t>
      </w:r>
      <w:hyperlink w:anchor="latin-record-0813">
        <w:r>
          <w:rPr>
            <w:color w:val="000000"/>
          </w:rPr>
          <w:t xml:space="preserve">Orpheus / Orphici</w:t>
        </w:r>
      </w:hyperlink>
      <w:r>
        <w:rPr>
          <w:b w:val="0"/>
          <w:i w:val="0"/>
        </w:rPr>
        <w:t xml:space="preserve">; </w:t>
      </w:r>
      <w:hyperlink w:anchor="latin-record-0900">
        <w:r>
          <w:rPr>
            <w:color w:val="000000"/>
          </w:rPr>
          <w:t xml:space="preserve">potissimum / summopere / penitus / prorsus / late</w:t>
        </w:r>
      </w:hyperlink>
      <w:r>
        <w:rPr>
          <w:b w:val="0"/>
          <w:i w:val="0"/>
        </w:rPr>
        <w:t xml:space="preserve">; </w:t>
      </w:r>
      <w:hyperlink w:anchor="latin-record-0927">
        <w:r>
          <w:rPr>
            <w:color w:val="000000"/>
          </w:rPr>
          <w:t xml:space="preserve">principatus / gubernare / regere</w:t>
        </w:r>
      </w:hyperlink>
      <w:r>
        <w:rPr>
          <w:b w:val="0"/>
          <w:i w:val="0"/>
        </w:rPr>
        <w:t xml:space="preserve">; </w:t>
      </w:r>
      <w:hyperlink w:anchor="latin-record-0952">
        <w:r>
          <w:rPr>
            <w:color w:val="000000"/>
          </w:rPr>
          <w:t xml:space="preserve">propagare / amplificare / dilatare</w:t>
        </w:r>
      </w:hyperlink>
      <w:r>
        <w:rPr>
          <w:b w:val="0"/>
          <w:i w:val="0"/>
        </w:rPr>
        <w:t xml:space="preserve">; </w:t>
      </w:r>
      <w:hyperlink w:anchor="latin-record-1066">
        <w:r>
          <w:rPr>
            <w:color w:val="000000"/>
          </w:rPr>
          <w:t xml:space="preserve">ruere in nihilum</w:t>
        </w:r>
      </w:hyperlink>
      <w:r>
        <w:rPr>
          <w:b w:val="0"/>
          <w:i w:val="0"/>
        </w:rPr>
        <w:t xml:space="preserve">; </w:t>
      </w:r>
      <w:hyperlink w:anchor="latin-record-1075">
        <w:r>
          <w:rPr>
            <w:color w:val="000000"/>
          </w:rPr>
          <w:t xml:space="preserve">se habere</w:t>
        </w:r>
      </w:hyperlink>
      <w:r>
        <w:rPr>
          <w:b w:val="0"/>
          <w:i w:val="0"/>
        </w:rPr>
        <w:t xml:space="preserve">; </w:t>
      </w:r>
      <w:hyperlink w:anchor="latin-record-1257">
        <w:r>
          <w:rPr>
            <w:color w:val="000000"/>
          </w:rPr>
          <w:t xml:space="preserve">videre / visibilis</w:t>
        </w:r>
      </w:hyperlink>
      <w:r>
        <w:rPr>
          <w:b w:val="0"/>
          <w:i w:val="0"/>
        </w:rPr>
        <w:t xml:space="preserve">; </w:t>
      </w:r>
      <w:hyperlink w:anchor="greek-record-04">
        <w:r>
          <w:rPr>
            <w:color w:val="000000"/>
          </w:rPr>
          <w:t xml:space="preserve">Indwelling throughout the world</w:t>
        </w:r>
      </w:hyperlink>
      <w:r>
        <w:rPr>
          <w:b w:val="0"/>
          <w:i w:val="0"/>
        </w:rPr>
        <w:t>.</w:t>
      </w:r>
    </w:p>
    <w:p>
      <w:pPr>
        <w:widowControl/>
      </w:pPr>
      <w:bookmarkStart w:id="1756" w:name="passage-ii-6-12"/>
      <w:bookmarkEnd w:id="1756"/>
      <w:r>
        <w:rPr>
          <w:b/>
          <w:i w:val="0"/>
        </w:rPr>
        <w:t>II.6.12</w:t>
      </w:r>
      <w:r>
        <w:rPr>
          <w:b/>
          <w:i w:val="0"/>
        </w:rPr>
        <w:t>, source pp. 132–133.</w:t>
      </w:r>
      <w:r>
        <w:rPr>
          <w:b w:val="0"/>
          <w:i w:val="0"/>
        </w:rPr>
        <w:t xml:space="preserve"> Articles: </w:t>
      </w:r>
      <w:hyperlink w:anchor="always-and-everywhere">
        <w:r>
          <w:rPr>
            <w:color w:val="000000"/>
          </w:rPr>
          <w:t xml:space="preserve">Always and everywhere</w:t>
        </w:r>
      </w:hyperlink>
      <w:r>
        <w:rPr>
          <w:b w:val="0"/>
          <w:i w:val="0"/>
        </w:rPr>
        <w:t xml:space="preserve">; </w:t>
      </w:r>
      <w:hyperlink w:anchor="imagination-and-deceptive-clothing">
        <w:r>
          <w:rPr>
            <w:color w:val="000000"/>
          </w:rPr>
          <w:t xml:space="preserve">Imagination and deceptive clothing</w:t>
        </w:r>
      </w:hyperlink>
      <w:r>
        <w:rPr>
          <w:b w:val="0"/>
          <w:i w:val="0"/>
        </w:rPr>
        <w:t xml:space="preserve">; </w:t>
      </w:r>
      <w:hyperlink w:anchor="light-and-illumination">
        <w:r>
          <w:rPr>
            <w:color w:val="000000"/>
          </w:rPr>
          <w:t xml:space="preserve">Light and illumination</w:t>
        </w:r>
      </w:hyperlink>
      <w:r>
        <w:rPr>
          <w:b w:val="0"/>
          <w:i w:val="0"/>
        </w:rPr>
        <w:t xml:space="preserve">; </w:t>
      </w:r>
      <w:hyperlink w:anchor="matter">
        <w:r>
          <w:rPr>
            <w:color w:val="000000"/>
          </w:rPr>
          <w:t xml:space="preserve">Matter</w:t>
        </w:r>
      </w:hyperlink>
      <w:r>
        <w:rPr>
          <w:b w:val="0"/>
          <w:i w:val="0"/>
        </w:rPr>
        <w:t xml:space="preserve">; </w:t>
      </w:r>
      <w:hyperlink w:anchor="omnipresence-and-place">
        <w:r>
          <w:rPr>
            <w:color w:val="000000"/>
          </w:rPr>
          <w:t xml:space="preserve">Omnipresence and place</w:t>
        </w:r>
      </w:hyperlink>
      <w:r>
        <w:rPr>
          <w:b w:val="0"/>
          <w:i w:val="0"/>
        </w:rPr>
        <w:t xml:space="preserve">; </w:t>
      </w:r>
      <w:hyperlink w:anchor="sense-and-imagination">
        <w:r>
          <w:rPr>
            <w:color w:val="000000"/>
          </w:rPr>
          <w:t xml:space="preserve">Sense and imagination</w:t>
        </w:r>
      </w:hyperlink>
      <w:r>
        <w:rPr>
          <w:b w:val="0"/>
          <w:i w:val="0"/>
        </w:rPr>
        <w:t xml:space="preserve">. Vocabulary: </w:t>
      </w:r>
      <w:hyperlink w:anchor="latin-record-0139">
        <w:r>
          <w:rPr>
            <w:color w:val="000000"/>
          </w:rPr>
          <w:t xml:space="preserve">capacitas / capax</w:t>
        </w:r>
      </w:hyperlink>
      <w:r>
        <w:rPr>
          <w:b w:val="0"/>
          <w:i w:val="0"/>
        </w:rPr>
        <w:t xml:space="preserve">; </w:t>
      </w:r>
      <w:hyperlink w:anchor="latin-record-0161">
        <w:r>
          <w:rPr>
            <w:color w:val="000000"/>
          </w:rPr>
          <w:t xml:space="preserve">certus / assignare / limitare</w:t>
        </w:r>
      </w:hyperlink>
      <w:r>
        <w:rPr>
          <w:b w:val="0"/>
          <w:i w:val="0"/>
        </w:rPr>
        <w:t xml:space="preserve">; </w:t>
      </w:r>
      <w:hyperlink w:anchor="latin-record-0175">
        <w:r>
          <w:rPr>
            <w:color w:val="000000"/>
          </w:rPr>
          <w:t xml:space="preserve">cogitare / fingere / effingere</w:t>
        </w:r>
      </w:hyperlink>
      <w:r>
        <w:rPr>
          <w:b w:val="0"/>
          <w:i w:val="0"/>
        </w:rPr>
        <w:t xml:space="preserve">; </w:t>
      </w:r>
      <w:hyperlink w:anchor="latin-record-0325">
        <w:r>
          <w:rPr>
            <w:color w:val="000000"/>
          </w:rPr>
          <w:t xml:space="preserve">discernere / animadvertere</w:t>
        </w:r>
      </w:hyperlink>
      <w:r>
        <w:rPr>
          <w:b w:val="0"/>
          <w:i w:val="0"/>
        </w:rPr>
        <w:t xml:space="preserve">; </w:t>
      </w:r>
      <w:hyperlink w:anchor="latin-record-1043">
        <w:r>
          <w:rPr>
            <w:color w:val="000000"/>
          </w:rPr>
          <w:t xml:space="preserve">reperire / invenire</w:t>
        </w:r>
      </w:hyperlink>
      <w:r>
        <w:rPr>
          <w:b w:val="0"/>
          <w:i w:val="0"/>
        </w:rPr>
        <w:t>.</w:t>
      </w:r>
    </w:p>
    <w:p>
      <w:pPr>
        <w:widowControl/>
      </w:pPr>
      <w:bookmarkStart w:id="1757" w:name="passage-ii-6-13"/>
      <w:bookmarkEnd w:id="1757"/>
      <w:r>
        <w:rPr>
          <w:b/>
          <w:i w:val="0"/>
        </w:rPr>
        <w:t>II.6.13</w:t>
      </w:r>
      <w:r>
        <w:rPr>
          <w:b/>
          <w:i w:val="0"/>
        </w:rPr>
        <w:t>, source pp. 134–135.</w:t>
      </w:r>
      <w:r>
        <w:rPr>
          <w:b w:val="0"/>
          <w:i w:val="0"/>
        </w:rPr>
        <w:t xml:space="preserve"> Articles: </w:t>
      </w:r>
      <w:hyperlink w:anchor="always-and-everywhere">
        <w:r>
          <w:rPr>
            <w:color w:val="000000"/>
          </w:rPr>
          <w:t xml:space="preserve">Always and everywhere</w:t>
        </w:r>
      </w:hyperlink>
      <w:r>
        <w:rPr>
          <w:b w:val="0"/>
          <w:i w:val="0"/>
        </w:rPr>
        <w:t xml:space="preserve">; </w:t>
      </w:r>
      <w:hyperlink w:anchor="enfolding-and-unfolding">
        <w:r>
          <w:rPr>
            <w:color w:val="000000"/>
          </w:rPr>
          <w:t xml:space="preserve">Enfolding and unfolding</w:t>
        </w:r>
      </w:hyperlink>
      <w:r>
        <w:rPr>
          <w:b w:val="0"/>
          <w:i w:val="0"/>
        </w:rPr>
        <w:t xml:space="preserve">; </w:t>
      </w:r>
      <w:hyperlink w:anchor="imagination-and-deceptive-clothing">
        <w:r>
          <w:rPr>
            <w:color w:val="000000"/>
          </w:rPr>
          <w:t xml:space="preserve">Imagination and deceptive clothing</w:t>
        </w:r>
      </w:hyperlink>
      <w:r>
        <w:rPr>
          <w:b w:val="0"/>
          <w:i w:val="0"/>
        </w:rPr>
        <w:t xml:space="preserve">; </w:t>
      </w:r>
      <w:hyperlink w:anchor="light-and-illumination">
        <w:r>
          <w:rPr>
            <w:color w:val="000000"/>
          </w:rPr>
          <w:t xml:space="preserve">Light and illumination</w:t>
        </w:r>
      </w:hyperlink>
      <w:r>
        <w:rPr>
          <w:b w:val="0"/>
          <w:i w:val="0"/>
        </w:rPr>
        <w:t xml:space="preserve">; </w:t>
      </w:r>
      <w:hyperlink w:anchor="omnipresence-and-place">
        <w:r>
          <w:rPr>
            <w:color w:val="000000"/>
          </w:rPr>
          <w:t xml:space="preserve">Omnipresence and place</w:t>
        </w:r>
      </w:hyperlink>
      <w:r>
        <w:rPr>
          <w:b w:val="0"/>
          <w:i w:val="0"/>
        </w:rPr>
        <w:t xml:space="preserve">; </w:t>
      </w:r>
      <w:hyperlink w:anchor="reason-and-account">
        <w:r>
          <w:rPr>
            <w:color w:val="000000"/>
          </w:rPr>
          <w:t xml:space="preserve">Reason and account</w:t>
        </w:r>
      </w:hyperlink>
      <w:r>
        <w:rPr>
          <w:b w:val="0"/>
          <w:i w:val="0"/>
        </w:rPr>
        <w:t xml:space="preserve">; </w:t>
      </w:r>
      <w:hyperlink w:anchor="sense-and-imagination">
        <w:r>
          <w:rPr>
            <w:color w:val="000000"/>
          </w:rPr>
          <w:t xml:space="preserve">Sense and imagination</w:t>
        </w:r>
      </w:hyperlink>
      <w:r>
        <w:rPr>
          <w:b w:val="0"/>
          <w:i w:val="0"/>
        </w:rPr>
        <w:t xml:space="preserve">; </w:t>
      </w:r>
      <w:hyperlink w:anchor="weaving-and-world-fabric">
        <w:r>
          <w:rPr>
            <w:color w:val="000000"/>
          </w:rPr>
          <w:t xml:space="preserve">Weaving and world fabric</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063">
        <w:r>
          <w:rPr>
            <w:color w:val="000000"/>
          </w:rPr>
          <w:t xml:space="preserve">amplitudo / plenitudo / implere</w:t>
        </w:r>
      </w:hyperlink>
      <w:r>
        <w:rPr>
          <w:b w:val="0"/>
          <w:i w:val="0"/>
        </w:rPr>
        <w:t xml:space="preserve">; </w:t>
      </w:r>
      <w:hyperlink w:anchor="latin-record-0170">
        <w:r>
          <w:rPr>
            <w:color w:val="000000"/>
          </w:rPr>
          <w:t xml:space="preserve">clamare / reclamare / persuadere</w:t>
        </w:r>
      </w:hyperlink>
      <w:r>
        <w:rPr>
          <w:b w:val="0"/>
          <w:i w:val="0"/>
        </w:rPr>
        <w:t xml:space="preserve">; </w:t>
      </w:r>
      <w:hyperlink w:anchor="latin-record-0187">
        <w:r>
          <w:rPr>
            <w:color w:val="000000"/>
          </w:rPr>
          <w:t xml:space="preserve">collocare</w:t>
        </w:r>
      </w:hyperlink>
      <w:r>
        <w:rPr>
          <w:b w:val="0"/>
          <w:i w:val="0"/>
        </w:rPr>
        <w:t xml:space="preserve">; </w:t>
      </w:r>
      <w:hyperlink w:anchor="latin-record-0274">
        <w:r>
          <w:rPr>
            <w:color w:val="000000"/>
          </w:rPr>
          <w:t xml:space="preserve">convertere / reverti / converso</w:t>
        </w:r>
      </w:hyperlink>
      <w:r>
        <w:rPr>
          <w:b w:val="0"/>
          <w:i w:val="0"/>
        </w:rPr>
        <w:t xml:space="preserve">; </w:t>
      </w:r>
      <w:hyperlink w:anchor="latin-record-0340">
        <w:r>
          <w:rPr>
            <w:color w:val="000000"/>
          </w:rPr>
          <w:t xml:space="preserve">distinguere / dividere / divisio</w:t>
        </w:r>
      </w:hyperlink>
      <w:r>
        <w:rPr>
          <w:b w:val="0"/>
          <w:i w:val="0"/>
        </w:rPr>
        <w:t xml:space="preserve">; </w:t>
      </w:r>
      <w:hyperlink w:anchor="latin-record-0350">
        <w:r>
          <w:rPr>
            <w:color w:val="000000"/>
          </w:rPr>
          <w:t xml:space="preserve">dubitare / diffidere / difficile</w:t>
        </w:r>
      </w:hyperlink>
      <w:r>
        <w:rPr>
          <w:b w:val="0"/>
          <w:i w:val="0"/>
        </w:rPr>
        <w:t xml:space="preserve">; </w:t>
      </w:r>
      <w:hyperlink w:anchor="latin-record-0404">
        <w:r>
          <w:rPr>
            <w:color w:val="000000"/>
          </w:rPr>
          <w:t xml:space="preserve">exilis / exiguus / parvitas</w:t>
        </w:r>
      </w:hyperlink>
      <w:r>
        <w:rPr>
          <w:b w:val="0"/>
          <w:i w:val="0"/>
        </w:rPr>
        <w:t xml:space="preserve">; </w:t>
      </w:r>
      <w:hyperlink w:anchor="latin-record-0427">
        <w:r>
          <w:rPr>
            <w:color w:val="000000"/>
          </w:rPr>
          <w:t xml:space="preserve">fallere / praestigiae / confundere</w:t>
        </w:r>
      </w:hyperlink>
      <w:r>
        <w:rPr>
          <w:b w:val="0"/>
          <w:i w:val="0"/>
        </w:rPr>
        <w:t xml:space="preserve">; </w:t>
      </w:r>
      <w:hyperlink w:anchor="latin-record-0524">
        <w:r>
          <w:rPr>
            <w:color w:val="000000"/>
          </w:rPr>
          <w:t xml:space="preserve">illuminare / fulgere / radius / accendere</w:t>
        </w:r>
      </w:hyperlink>
      <w:r>
        <w:rPr>
          <w:b w:val="0"/>
          <w:i w:val="0"/>
        </w:rPr>
        <w:t xml:space="preserve">; </w:t>
      </w:r>
      <w:hyperlink w:anchor="latin-record-0543">
        <w:r>
          <w:rPr>
            <w:color w:val="000000"/>
          </w:rPr>
          <w:t xml:space="preserve">implicare / explicare / replicare</w:t>
        </w:r>
      </w:hyperlink>
      <w:r>
        <w:rPr>
          <w:b w:val="0"/>
          <w:i w:val="0"/>
        </w:rPr>
        <w:t xml:space="preserve">; </w:t>
      </w:r>
      <w:hyperlink w:anchor="latin-record-0550">
        <w:r>
          <w:rPr>
            <w:color w:val="000000"/>
          </w:rPr>
          <w:t xml:space="preserve">inane</w:t>
        </w:r>
      </w:hyperlink>
      <w:r>
        <w:rPr>
          <w:b w:val="0"/>
          <w:i w:val="0"/>
        </w:rPr>
        <w:t xml:space="preserve">; </w:t>
      </w:r>
      <w:hyperlink w:anchor="latin-record-0610">
        <w:r>
          <w:rPr>
            <w:color w:val="000000"/>
          </w:rPr>
          <w:t xml:space="preserve">intus / intro / extra / ultra / superne / undique</w:t>
        </w:r>
      </w:hyperlink>
      <w:r>
        <w:rPr>
          <w:b w:val="0"/>
          <w:i w:val="0"/>
        </w:rPr>
        <w:t xml:space="preserve">; </w:t>
      </w:r>
      <w:hyperlink w:anchor="latin-record-0644">
        <w:r>
          <w:rPr>
            <w:color w:val="000000"/>
          </w:rPr>
          <w:t xml:space="preserve">linea / longum / latum / profundum</w:t>
        </w:r>
      </w:hyperlink>
      <w:r>
        <w:rPr>
          <w:b w:val="0"/>
          <w:i w:val="0"/>
        </w:rPr>
        <w:t xml:space="preserve">; </w:t>
      </w:r>
      <w:hyperlink w:anchor="latin-record-0659">
        <w:r>
          <w:rPr>
            <w:color w:val="000000"/>
          </w:rPr>
          <w:t xml:space="preserve">machina / tela / retexere</w:t>
        </w:r>
      </w:hyperlink>
      <w:r>
        <w:rPr>
          <w:b w:val="0"/>
          <w:i w:val="0"/>
        </w:rPr>
        <w:t xml:space="preserve">; </w:t>
      </w:r>
      <w:hyperlink w:anchor="latin-record-0664">
        <w:r>
          <w:rPr>
            <w:color w:val="000000"/>
          </w:rPr>
          <w:t xml:space="preserve">magnum / magnitudo / maior</w:t>
        </w:r>
      </w:hyperlink>
      <w:r>
        <w:rPr>
          <w:b w:val="0"/>
          <w:i w:val="0"/>
        </w:rPr>
        <w:t xml:space="preserve">; </w:t>
      </w:r>
      <w:hyperlink w:anchor="latin-record-0679">
        <w:r>
          <w:rPr>
            <w:color w:val="000000"/>
          </w:rPr>
          <w:t xml:space="preserve">medium / particularis</w:t>
        </w:r>
      </w:hyperlink>
      <w:r>
        <w:rPr>
          <w:b w:val="0"/>
          <w:i w:val="0"/>
        </w:rPr>
        <w:t xml:space="preserve">; </w:t>
      </w:r>
      <w:hyperlink w:anchor="latin-record-0730">
        <w:r>
          <w:rPr>
            <w:color w:val="000000"/>
          </w:rPr>
          <w:t xml:space="preserve">mundus / universum</w:t>
        </w:r>
      </w:hyperlink>
      <w:r>
        <w:rPr>
          <w:b w:val="0"/>
          <w:i w:val="0"/>
        </w:rPr>
        <w:t xml:space="preserve">; </w:t>
      </w:r>
      <w:hyperlink w:anchor="latin-record-0869">
        <w:r>
          <w:rPr>
            <w:color w:val="000000"/>
          </w:rPr>
          <w:t xml:space="preserve">phantasia</w:t>
        </w:r>
      </w:hyperlink>
      <w:r>
        <w:rPr>
          <w:b w:val="0"/>
          <w:i w:val="0"/>
        </w:rPr>
        <w:t xml:space="preserve">; </w:t>
      </w:r>
      <w:hyperlink w:anchor="latin-record-0900">
        <w:r>
          <w:rPr>
            <w:color w:val="000000"/>
          </w:rPr>
          <w:t xml:space="preserve">potissimum / summopere / penitus / prorsus / late</w:t>
        </w:r>
      </w:hyperlink>
      <w:r>
        <w:rPr>
          <w:b w:val="0"/>
          <w:i w:val="0"/>
        </w:rPr>
        <w:t xml:space="preserve">; </w:t>
      </w:r>
      <w:hyperlink w:anchor="latin-record-1006">
        <w:r>
          <w:rPr>
            <w:color w:val="000000"/>
          </w:rPr>
          <w:t xml:space="preserve">quantitas / dimensio</w:t>
        </w:r>
      </w:hyperlink>
      <w:r>
        <w:rPr>
          <w:b w:val="0"/>
          <w:i w:val="0"/>
        </w:rPr>
        <w:t xml:space="preserve">; </w:t>
      </w:r>
      <w:hyperlink w:anchor="latin-record-1214">
        <w:r>
          <w:rPr>
            <w:color w:val="000000"/>
          </w:rPr>
          <w:t xml:space="preserve">ubique / nusquam / ubi</w:t>
        </w:r>
      </w:hyperlink>
      <w:r>
        <w:rPr>
          <w:b w:val="0"/>
          <w:i w:val="0"/>
        </w:rPr>
        <w:t xml:space="preserve">; </w:t>
      </w:r>
      <w:hyperlink w:anchor="latin-record-1251">
        <w:r>
          <w:rPr>
            <w:color w:val="000000"/>
          </w:rPr>
          <w:t xml:space="preserve">via / pactum / tractus</w:t>
        </w:r>
      </w:hyperlink>
      <w:r>
        <w:rPr>
          <w:b w:val="0"/>
          <w:i w:val="0"/>
        </w:rPr>
        <w:t>.</w:t>
      </w:r>
    </w:p>
    <w:p>
      <w:pPr>
        <w:widowControl/>
      </w:pPr>
      <w:bookmarkStart w:id="1758" w:name="passage-ii-6-14"/>
      <w:bookmarkEnd w:id="1758"/>
      <w:r>
        <w:rPr>
          <w:b/>
          <w:i w:val="0"/>
        </w:rPr>
        <w:t>II.6.14</w:t>
      </w:r>
      <w:r>
        <w:rPr>
          <w:b/>
          <w:i w:val="0"/>
        </w:rPr>
        <w:t>, source pp. 136–137.</w:t>
      </w:r>
      <w:r>
        <w:rPr>
          <w:b w:val="0"/>
          <w:i w:val="0"/>
        </w:rPr>
        <w:t xml:space="preserve"> Articles: </w:t>
      </w:r>
      <w:hyperlink w:anchor="anebon-abamon-and-the-mental-presence-authorities">
        <w:r>
          <w:rPr>
            <w:color w:val="000000"/>
          </w:rPr>
          <w:t xml:space="preserve">Anebon Abamon and the mental-presence authorities</w:t>
        </w:r>
      </w:hyperlink>
      <w:r>
        <w:rPr>
          <w:b w:val="0"/>
          <w:i w:val="0"/>
        </w:rPr>
        <w:t xml:space="preserve">; </w:t>
      </w:r>
      <w:hyperlink w:anchor="candles-and-the-hall">
        <w:r>
          <w:rPr>
            <w:color w:val="000000"/>
          </w:rPr>
          <w:t xml:space="preserve">Candles and the hall</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omnipresence-and-place">
        <w:r>
          <w:rPr>
            <w:color w:val="000000"/>
          </w:rPr>
          <w:t xml:space="preserve">Omnipresence and place</w:t>
        </w:r>
      </w:hyperlink>
      <w:r>
        <w:rPr>
          <w:b w:val="0"/>
          <w:i w:val="0"/>
        </w:rPr>
        <w:t xml:space="preserve">; </w:t>
      </w:r>
      <w:hyperlink w:anchor="sense-and-imagination">
        <w:r>
          <w:rPr>
            <w:color w:val="000000"/>
          </w:rPr>
          <w:t xml:space="preserve">Sense and imagination</w:t>
        </w:r>
      </w:hyperlink>
      <w:r>
        <w:rPr>
          <w:b w:val="0"/>
          <w:i w:val="0"/>
        </w:rPr>
        <w:t xml:space="preserve">; </w:t>
      </w:r>
      <w:hyperlink w:anchor="whole-and-parts">
        <w:r>
          <w:rPr>
            <w:color w:val="000000"/>
          </w:rPr>
          <w:t xml:space="preserve">Whole and parts</w:t>
        </w:r>
      </w:hyperlink>
      <w:r>
        <w:rPr>
          <w:b w:val="0"/>
          <w:i w:val="0"/>
        </w:rPr>
        <w:t xml:space="preserve">; </w:t>
      </w:r>
      <w:hyperlink w:anchor="word-and-meaning">
        <w:r>
          <w:rPr>
            <w:color w:val="000000"/>
          </w:rPr>
          <w:t xml:space="preserve">Word and meaning</w:t>
        </w:r>
      </w:hyperlink>
      <w:r>
        <w:rPr>
          <w:b w:val="0"/>
          <w:i w:val="0"/>
        </w:rPr>
        <w:t xml:space="preserve">. Vocabulary: </w:t>
      </w:r>
      <w:hyperlink w:anchor="latin-record-0066">
        <w:r>
          <w:rPr>
            <w:color w:val="000000"/>
          </w:rPr>
          <w:t xml:space="preserve">Anebon / Abamon / Plotinus / Iamblichus / Julianus</w:t>
        </w:r>
      </w:hyperlink>
      <w:r>
        <w:rPr>
          <w:b w:val="0"/>
          <w:i w:val="0"/>
        </w:rPr>
        <w:t xml:space="preserve">; </w:t>
      </w:r>
      <w:hyperlink w:anchor="latin-record-0073">
        <w:r>
          <w:rPr>
            <w:color w:val="000000"/>
          </w:rPr>
          <w:t xml:space="preserve">animalis / angelicus</w:t>
        </w:r>
      </w:hyperlink>
      <w:r>
        <w:rPr>
          <w:b w:val="0"/>
          <w:i w:val="0"/>
        </w:rPr>
        <w:t xml:space="preserve">; </w:t>
      </w:r>
      <w:hyperlink w:anchor="latin-record-0235">
        <w:r>
          <w:rPr>
            <w:color w:val="000000"/>
          </w:rPr>
          <w:t xml:space="preserve">confusio / permiscere / iungere</w:t>
        </w:r>
      </w:hyperlink>
      <w:r>
        <w:rPr>
          <w:b w:val="0"/>
          <w:i w:val="0"/>
        </w:rPr>
        <w:t xml:space="preserve">; </w:t>
      </w:r>
      <w:hyperlink w:anchor="latin-record-0247">
        <w:r>
          <w:rPr>
            <w:color w:val="000000"/>
          </w:rPr>
          <w:t xml:space="preserve">consequi / assequi / nancisci</w:t>
        </w:r>
      </w:hyperlink>
      <w:r>
        <w:rPr>
          <w:b w:val="0"/>
          <w:i w:val="0"/>
        </w:rPr>
        <w:t xml:space="preserve">; </w:t>
      </w:r>
      <w:hyperlink w:anchor="latin-record-0275">
        <w:r>
          <w:rPr>
            <w:color w:val="000000"/>
          </w:rPr>
          <w:t xml:space="preserve">convolvi / revolvi</w:t>
        </w:r>
      </w:hyperlink>
      <w:r>
        <w:rPr>
          <w:b w:val="0"/>
          <w:i w:val="0"/>
        </w:rPr>
        <w:t xml:space="preserve">; </w:t>
      </w:r>
      <w:hyperlink w:anchor="latin-record-0412">
        <w:r>
          <w:rPr>
            <w:color w:val="000000"/>
          </w:rPr>
          <w:t xml:space="preserve">extendere / extensio</w:t>
        </w:r>
      </w:hyperlink>
      <w:r>
        <w:rPr>
          <w:b w:val="0"/>
          <w:i w:val="0"/>
        </w:rPr>
        <w:t xml:space="preserve">; </w:t>
      </w:r>
      <w:hyperlink w:anchor="latin-record-0420">
        <w:r>
          <w:rPr>
            <w:color w:val="000000"/>
          </w:rPr>
          <w:t xml:space="preserve">exuberare / fundere</w:t>
        </w:r>
      </w:hyperlink>
      <w:r>
        <w:rPr>
          <w:b w:val="0"/>
          <w:i w:val="0"/>
        </w:rPr>
        <w:t xml:space="preserve">; </w:t>
      </w:r>
      <w:hyperlink w:anchor="latin-record-0496">
        <w:r>
          <w:rPr>
            <w:color w:val="000000"/>
          </w:rPr>
          <w:t xml:space="preserve">habitus</w:t>
        </w:r>
      </w:hyperlink>
      <w:r>
        <w:rPr>
          <w:b w:val="0"/>
          <w:i w:val="0"/>
        </w:rPr>
        <w:t xml:space="preserve">; </w:t>
      </w:r>
      <w:hyperlink w:anchor="latin-record-0517">
        <w:r>
          <w:rPr>
            <w:color w:val="000000"/>
          </w:rPr>
          <w:t xml:space="preserve">hymnus / theologia / sacerdos</w:t>
        </w:r>
      </w:hyperlink>
      <w:r>
        <w:rPr>
          <w:b w:val="0"/>
          <w:i w:val="0"/>
        </w:rPr>
        <w:t xml:space="preserve">; </w:t>
      </w:r>
      <w:hyperlink w:anchor="latin-record-0524">
        <w:r>
          <w:rPr>
            <w:color w:val="000000"/>
          </w:rPr>
          <w:t xml:space="preserve">illuminare / fulgere / radius / accendere</w:t>
        </w:r>
      </w:hyperlink>
      <w:r>
        <w:rPr>
          <w:b w:val="0"/>
          <w:i w:val="0"/>
        </w:rPr>
        <w:t xml:space="preserve">; </w:t>
      </w:r>
      <w:hyperlink w:anchor="latin-record-0562">
        <w:r>
          <w:rPr>
            <w:color w:val="000000"/>
          </w:rPr>
          <w:t xml:space="preserve">inesse / insitus</w:t>
        </w:r>
      </w:hyperlink>
      <w:r>
        <w:rPr>
          <w:b w:val="0"/>
          <w:i w:val="0"/>
        </w:rPr>
        <w:t xml:space="preserve">; </w:t>
      </w:r>
      <w:hyperlink w:anchor="latin-record-0592">
        <w:r>
          <w:rPr>
            <w:color w:val="000000"/>
          </w:rPr>
          <w:t xml:space="preserve">integer / totus / plenus</w:t>
        </w:r>
      </w:hyperlink>
      <w:r>
        <w:rPr>
          <w:b w:val="0"/>
          <w:i w:val="0"/>
        </w:rPr>
        <w:t xml:space="preserve">; </w:t>
      </w:r>
      <w:hyperlink w:anchor="latin-record-0646">
        <w:r>
          <w:rPr>
            <w:color w:val="000000"/>
          </w:rPr>
          <w:t xml:space="preserve">locus / situs / spatium</w:t>
        </w:r>
      </w:hyperlink>
      <w:r>
        <w:rPr>
          <w:b w:val="0"/>
          <w:i w:val="0"/>
        </w:rPr>
        <w:t xml:space="preserve">; </w:t>
      </w:r>
      <w:hyperlink w:anchor="latin-record-0683">
        <w:r>
          <w:rPr>
            <w:color w:val="000000"/>
          </w:rPr>
          <w:t xml:space="preserve">membra / lignum / aer</w:t>
        </w:r>
      </w:hyperlink>
      <w:r>
        <w:rPr>
          <w:b w:val="0"/>
          <w:i w:val="0"/>
        </w:rPr>
        <w:t xml:space="preserve">; </w:t>
      </w:r>
      <w:hyperlink w:anchor="latin-record-0686">
        <w:r>
          <w:rPr>
            <w:color w:val="000000"/>
          </w:rPr>
          <w:t xml:space="preserve">mens</w:t>
        </w:r>
      </w:hyperlink>
      <w:r>
        <w:rPr>
          <w:b w:val="0"/>
          <w:i w:val="0"/>
        </w:rPr>
        <w:t xml:space="preserve">; </w:t>
      </w:r>
      <w:hyperlink w:anchor="latin-record-0740">
        <w:r>
          <w:rPr>
            <w:color w:val="000000"/>
          </w:rPr>
          <w:t xml:space="preserve">mutuus / invicem</w:t>
        </w:r>
      </w:hyperlink>
      <w:r>
        <w:rPr>
          <w:b w:val="0"/>
          <w:i w:val="0"/>
        </w:rPr>
        <w:t xml:space="preserve">; </w:t>
      </w:r>
      <w:hyperlink w:anchor="latin-record-0915">
        <w:r>
          <w:rPr>
            <w:color w:val="000000"/>
          </w:rPr>
          <w:t xml:space="preserve">praescribere / lex</w:t>
        </w:r>
      </w:hyperlink>
      <w:r>
        <w:rPr>
          <w:b w:val="0"/>
          <w:i w:val="0"/>
        </w:rPr>
        <w:t xml:space="preserve">; </w:t>
      </w:r>
      <w:hyperlink w:anchor="latin-record-0916">
        <w:r>
          <w:rPr>
            <w:color w:val="000000"/>
          </w:rPr>
          <w:t xml:space="preserve">praesentia</w:t>
        </w:r>
      </w:hyperlink>
      <w:r>
        <w:rPr>
          <w:b w:val="0"/>
          <w:i w:val="0"/>
        </w:rPr>
        <w:t xml:space="preserve">; </w:t>
      </w:r>
      <w:hyperlink w:anchor="latin-record-1093">
        <w:r>
          <w:rPr>
            <w:color w:val="000000"/>
          </w:rPr>
          <w:t xml:space="preserve">sententia / voluerunt</w:t>
        </w:r>
      </w:hyperlink>
      <w:r>
        <w:rPr>
          <w:b w:val="0"/>
          <w:i w:val="0"/>
        </w:rPr>
        <w:t xml:space="preserve">; </w:t>
      </w:r>
      <w:hyperlink w:anchor="latin-record-1110">
        <w:r>
          <w:rPr>
            <w:color w:val="000000"/>
          </w:rPr>
          <w:t xml:space="preserve">simulacrum / color</w:t>
        </w:r>
      </w:hyperlink>
      <w:r>
        <w:rPr>
          <w:b w:val="0"/>
          <w:i w:val="0"/>
        </w:rPr>
        <w:t xml:space="preserve">; </w:t>
      </w:r>
      <w:hyperlink w:anchor="latin-record-1133">
        <w:r>
          <w:rPr>
            <w:color w:val="000000"/>
          </w:rPr>
          <w:t xml:space="preserve">spiritus</w:t>
        </w:r>
      </w:hyperlink>
      <w:r>
        <w:rPr>
          <w:b w:val="0"/>
          <w:i w:val="0"/>
        </w:rPr>
        <w:t>.</w:t>
      </w:r>
    </w:p>
    <w:p>
      <w:pPr>
        <w:widowControl/>
      </w:pPr>
      <w:bookmarkStart w:id="1759" w:name="passage-ii-6-15"/>
      <w:bookmarkEnd w:id="1759"/>
      <w:r>
        <w:rPr>
          <w:b/>
          <w:i w:val="0"/>
        </w:rPr>
        <w:t>II.6.15</w:t>
      </w:r>
      <w:r>
        <w:rPr>
          <w:b/>
          <w:i w:val="0"/>
        </w:rPr>
        <w:t>, source pp. 136–137.</w:t>
      </w:r>
      <w:r>
        <w:rPr>
          <w:b w:val="0"/>
          <w:i w:val="0"/>
        </w:rPr>
        <w:t xml:space="preserve"> Articles: </w:t>
      </w:r>
      <w:hyperlink w:anchor="anebon-abamon-and-the-mental-presence-authorities">
        <w:r>
          <w:rPr>
            <w:color w:val="000000"/>
          </w:rPr>
          <w:t xml:space="preserve">Anebon Abamon and the mental-presence authorities</w:t>
        </w:r>
      </w:hyperlink>
      <w:r>
        <w:rPr>
          <w:b w:val="0"/>
          <w:i w:val="0"/>
        </w:rPr>
        <w:t xml:space="preserve">; </w:t>
      </w:r>
      <w:hyperlink w:anchor="bounds-and-restriction">
        <w:r>
          <w:rPr>
            <w:color w:val="000000"/>
          </w:rPr>
          <w:t xml:space="preserve">Bounds and restriction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matter">
        <w:r>
          <w:rPr>
            <w:color w:val="000000"/>
          </w:rPr>
          <w:t xml:space="preserve">Matter</w:t>
        </w:r>
      </w:hyperlink>
      <w:r>
        <w:rPr>
          <w:b w:val="0"/>
          <w:i w:val="0"/>
        </w:rPr>
        <w:t xml:space="preserve">; </w:t>
      </w:r>
      <w:hyperlink w:anchor="mind">
        <w:r>
          <w:rPr>
            <w:color w:val="000000"/>
          </w:rPr>
          <w:t xml:space="preserve">Mind</w:t>
        </w:r>
      </w:hyperlink>
      <w:r>
        <w:rPr>
          <w:b w:val="0"/>
          <w:i w:val="0"/>
        </w:rPr>
        <w:t xml:space="preserve">; </w:t>
      </w:r>
      <w:hyperlink w:anchor="natural-motion-and-natural-place">
        <w:r>
          <w:rPr>
            <w:color w:val="000000"/>
          </w:rPr>
          <w:t xml:space="preserve">Natural motion and natural place</w:t>
        </w:r>
      </w:hyperlink>
      <w:r>
        <w:rPr>
          <w:b w:val="0"/>
          <w:i w:val="0"/>
        </w:rPr>
        <w:t xml:space="preserve">. Vocabulary: </w:t>
      </w:r>
      <w:hyperlink w:anchor="latin-record-0575">
        <w:r>
          <w:rPr>
            <w:color w:val="000000"/>
          </w:rPr>
          <w:t xml:space="preserve">inniti / subsistere</w:t>
        </w:r>
      </w:hyperlink>
      <w:r>
        <w:rPr>
          <w:b w:val="0"/>
          <w:i w:val="0"/>
        </w:rPr>
        <w:t xml:space="preserve">; </w:t>
      </w:r>
      <w:hyperlink w:anchor="latin-record-0971">
        <w:r>
          <w:rPr>
            <w:color w:val="000000"/>
          </w:rPr>
          <w:t xml:space="preserve">provenire / oriri / nasci</w:t>
        </w:r>
      </w:hyperlink>
      <w:r>
        <w:rPr>
          <w:b w:val="0"/>
          <w:i w:val="0"/>
        </w:rPr>
        <w:t xml:space="preserve">; </w:t>
      </w:r>
      <w:hyperlink w:anchor="latin-record-0979">
        <w:r>
          <w:rPr>
            <w:color w:val="000000"/>
          </w:rPr>
          <w:t xml:space="preserve">pullulare / alligare</w:t>
        </w:r>
      </w:hyperlink>
      <w:r>
        <w:rPr>
          <w:b w:val="0"/>
          <w:i w:val="0"/>
        </w:rPr>
        <w:t xml:space="preserve">; </w:t>
      </w:r>
      <w:hyperlink w:anchor="latin-record-1006">
        <w:r>
          <w:rPr>
            <w:color w:val="000000"/>
          </w:rPr>
          <w:t xml:space="preserve">quantitas / dimensio</w:t>
        </w:r>
      </w:hyperlink>
      <w:r>
        <w:rPr>
          <w:b w:val="0"/>
          <w:i w:val="0"/>
        </w:rPr>
        <w:t xml:space="preserve">; </w:t>
      </w:r>
      <w:hyperlink w:anchor="latin-record-1093">
        <w:r>
          <w:rPr>
            <w:color w:val="000000"/>
          </w:rPr>
          <w:t xml:space="preserve">sententia / voluerunt</w:t>
        </w:r>
      </w:hyperlink>
      <w:r>
        <w:rPr>
          <w:b w:val="0"/>
          <w:i w:val="0"/>
        </w:rPr>
        <w:t xml:space="preserve">; </w:t>
      </w:r>
      <w:hyperlink w:anchor="latin-record-1133">
        <w:r>
          <w:rPr>
            <w:color w:val="000000"/>
          </w:rPr>
          <w:t xml:space="preserve">spiritus</w:t>
        </w:r>
      </w:hyperlink>
      <w:r>
        <w:rPr>
          <w:b w:val="0"/>
          <w:i w:val="0"/>
        </w:rPr>
        <w:t>.</w:t>
      </w:r>
    </w:p>
    <w:p>
      <w:pPr>
        <w:widowControl/>
      </w:pPr>
      <w:bookmarkStart w:id="1760" w:name="passage-ii-6-16"/>
      <w:bookmarkEnd w:id="1760"/>
      <w:r>
        <w:rPr>
          <w:b/>
          <w:i w:val="0"/>
        </w:rPr>
        <w:t>II.6.16</w:t>
      </w:r>
      <w:r>
        <w:rPr>
          <w:b/>
          <w:i w:val="0"/>
        </w:rPr>
        <w:t>, source pp. 136–137.</w:t>
      </w:r>
      <w:r>
        <w:rPr>
          <w:b w:val="0"/>
          <w:i w:val="0"/>
        </w:rPr>
        <w:t xml:space="preserve"> Articles: </w:t>
      </w:r>
      <w:hyperlink w:anchor="anebon-abamon-and-the-mental-presence-authorities">
        <w:r>
          <w:rPr>
            <w:color w:val="000000"/>
          </w:rPr>
          <w:t xml:space="preserve">Anebon Abamon and the mental-presence authorities</w:t>
        </w:r>
      </w:hyperlink>
      <w:r>
        <w:rPr>
          <w:b w:val="0"/>
          <w:i w:val="0"/>
        </w:rPr>
        <w:t xml:space="preserve">; </w:t>
      </w:r>
      <w:hyperlink w:anchor="eternity-and-time">
        <w:r>
          <w:rPr>
            <w:color w:val="000000"/>
          </w:rPr>
          <w:t xml:space="preserve">Eternity and time</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atural-motion-and-natural-place">
        <w:r>
          <w:rPr>
            <w:color w:val="000000"/>
          </w:rPr>
          <w:t xml:space="preserve">Natural motion and natural place</w:t>
        </w:r>
      </w:hyperlink>
      <w:r>
        <w:rPr>
          <w:b w:val="0"/>
          <w:i w:val="0"/>
        </w:rPr>
        <w:t xml:space="preserve">. Vocabulary: </w:t>
      </w:r>
      <w:hyperlink w:anchor="latin-record-0024">
        <w:r>
          <w:rPr>
            <w:color w:val="000000"/>
          </w:rPr>
          <w:t xml:space="preserve">adesse / abesse</w:t>
        </w:r>
      </w:hyperlink>
      <w:r>
        <w:rPr>
          <w:b w:val="0"/>
          <w:i w:val="0"/>
        </w:rPr>
        <w:t xml:space="preserve">; </w:t>
      </w:r>
      <w:hyperlink w:anchor="latin-record-0553">
        <w:r>
          <w:rPr>
            <w:color w:val="000000"/>
          </w:rPr>
          <w:t xml:space="preserve">incorporeus / incorporalis / indivisibilis</w:t>
        </w:r>
      </w:hyperlink>
      <w:r>
        <w:rPr>
          <w:b w:val="0"/>
          <w:i w:val="0"/>
        </w:rPr>
        <w:t xml:space="preserve">; </w:t>
      </w:r>
      <w:hyperlink w:anchor="latin-record-0646">
        <w:r>
          <w:rPr>
            <w:color w:val="000000"/>
          </w:rPr>
          <w:t xml:space="preserve">locus / situs / spatium</w:t>
        </w:r>
      </w:hyperlink>
      <w:r>
        <w:rPr>
          <w:b w:val="0"/>
          <w:i w:val="0"/>
        </w:rPr>
        <w:t xml:space="preserve">; </w:t>
      </w:r>
      <w:hyperlink w:anchor="latin-record-0893">
        <w:r>
          <w:rPr>
            <w:color w:val="000000"/>
          </w:rPr>
          <w:t xml:space="preserve">porrigere / tendere</w:t>
        </w:r>
      </w:hyperlink>
      <w:r>
        <w:rPr>
          <w:b w:val="0"/>
          <w:i w:val="0"/>
        </w:rPr>
        <w:t xml:space="preserve">; </w:t>
      </w:r>
      <w:hyperlink w:anchor="latin-record-1053">
        <w:r>
          <w:rPr>
            <w:color w:val="000000"/>
          </w:rPr>
          <w:t xml:space="preserve">respicere</w:t>
        </w:r>
      </w:hyperlink>
      <w:r>
        <w:rPr>
          <w:b w:val="0"/>
          <w:i w:val="0"/>
        </w:rPr>
        <w:t>.</w:t>
      </w:r>
    </w:p>
    <w:p>
      <w:pPr>
        <w:widowControl/>
      </w:pPr>
      <w:bookmarkStart w:id="1761" w:name="passage-ii-6-17"/>
      <w:bookmarkEnd w:id="1761"/>
      <w:r>
        <w:rPr>
          <w:b/>
          <w:i w:val="0"/>
        </w:rPr>
        <w:t>II.6.17</w:t>
      </w:r>
      <w:r>
        <w:rPr>
          <w:b/>
          <w:i w:val="0"/>
        </w:rPr>
        <w:t>, source pp. 138–139.</w:t>
      </w:r>
      <w:r>
        <w:rPr>
          <w:b w:val="0"/>
          <w:i w:val="0"/>
        </w:rPr>
        <w:t xml:space="preserve"> Articles: </w:t>
      </w:r>
      <w:hyperlink w:anchor="eternity-and-time">
        <w:r>
          <w:rPr>
            <w:color w:val="000000"/>
          </w:rPr>
          <w:t xml:space="preserve">Eternity and time</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atural-motion-and-natural-place">
        <w:r>
          <w:rPr>
            <w:color w:val="000000"/>
          </w:rPr>
          <w:t xml:space="preserve">Natural motion and natural place</w:t>
        </w:r>
      </w:hyperlink>
      <w:r>
        <w:rPr>
          <w:b w:val="0"/>
          <w:i w:val="0"/>
        </w:rPr>
        <w:t xml:space="preserve">. Vocabulary: </w:t>
      </w:r>
      <w:hyperlink w:anchor="latin-record-0289">
        <w:r>
          <w:rPr>
            <w:color w:val="000000"/>
          </w:rPr>
          <w:t xml:space="preserve">currere / incurrere / incumbere</w:t>
        </w:r>
      </w:hyperlink>
      <w:r>
        <w:rPr>
          <w:b w:val="0"/>
          <w:i w:val="0"/>
        </w:rPr>
        <w:t xml:space="preserve">; </w:t>
      </w:r>
      <w:hyperlink w:anchor="latin-record-0328">
        <w:r>
          <w:rPr>
            <w:color w:val="000000"/>
          </w:rPr>
          <w:t xml:space="preserve">discurrere / cursus</w:t>
        </w:r>
      </w:hyperlink>
      <w:r>
        <w:rPr>
          <w:b w:val="0"/>
          <w:i w:val="0"/>
        </w:rPr>
        <w:t xml:space="preserve">; </w:t>
      </w:r>
      <w:hyperlink w:anchor="latin-record-0357">
        <w:r>
          <w:rPr>
            <w:color w:val="000000"/>
          </w:rPr>
          <w:t xml:space="preserve">eclipsis / nox / momentum</w:t>
        </w:r>
      </w:hyperlink>
      <w:r>
        <w:rPr>
          <w:b w:val="0"/>
          <w:i w:val="0"/>
        </w:rPr>
        <w:t xml:space="preserve">; </w:t>
      </w:r>
      <w:hyperlink w:anchor="latin-record-0644">
        <w:r>
          <w:rPr>
            <w:color w:val="000000"/>
          </w:rPr>
          <w:t xml:space="preserve">linea / longum / latum / profundum</w:t>
        </w:r>
      </w:hyperlink>
      <w:r>
        <w:rPr>
          <w:b w:val="0"/>
          <w:i w:val="0"/>
        </w:rPr>
        <w:t xml:space="preserve">; </w:t>
      </w:r>
      <w:hyperlink w:anchor="latin-record-0893">
        <w:r>
          <w:rPr>
            <w:color w:val="000000"/>
          </w:rPr>
          <w:t xml:space="preserve">porrigere / tendere</w:t>
        </w:r>
      </w:hyperlink>
      <w:r>
        <w:rPr>
          <w:b w:val="0"/>
          <w:i w:val="0"/>
        </w:rPr>
        <w:t xml:space="preserve">; </w:t>
      </w:r>
      <w:hyperlink w:anchor="latin-record-0983">
        <w:r>
          <w:rPr>
            <w:color w:val="000000"/>
          </w:rPr>
          <w:t xml:space="preserve">punctum</w:t>
        </w:r>
      </w:hyperlink>
      <w:r>
        <w:rPr>
          <w:b w:val="0"/>
          <w:i w:val="0"/>
        </w:rPr>
        <w:t xml:space="preserve">; </w:t>
      </w:r>
      <w:hyperlink w:anchor="latin-record-0992">
        <w:r>
          <w:rPr>
            <w:color w:val="000000"/>
          </w:rPr>
          <w:t xml:space="preserve">putare / videri as appearance</w:t>
        </w:r>
      </w:hyperlink>
      <w:r>
        <w:rPr>
          <w:b w:val="0"/>
          <w:i w:val="0"/>
        </w:rPr>
        <w:t xml:space="preserve">; </w:t>
      </w:r>
      <w:hyperlink w:anchor="latin-record-1089">
        <w:r>
          <w:rPr>
            <w:color w:val="000000"/>
          </w:rPr>
          <w:t xml:space="preserve">sempiternitas / aeternitas</w:t>
        </w:r>
      </w:hyperlink>
      <w:r>
        <w:rPr>
          <w:b w:val="0"/>
          <w:i w:val="0"/>
        </w:rPr>
        <w:t xml:space="preserve">; </w:t>
      </w:r>
      <w:hyperlink w:anchor="latin-record-1183">
        <w:r>
          <w:rPr>
            <w:color w:val="000000"/>
          </w:rPr>
          <w:t xml:space="preserve">tangere / attingere</w:t>
        </w:r>
      </w:hyperlink>
      <w:r>
        <w:rPr>
          <w:b w:val="0"/>
          <w:i w:val="0"/>
        </w:rPr>
        <w:t xml:space="preserve">; </w:t>
      </w:r>
      <w:hyperlink w:anchor="latin-record-1187">
        <w:r>
          <w:rPr>
            <w:color w:val="000000"/>
          </w:rPr>
          <w:t xml:space="preserve">tempus / temporalis</w:t>
        </w:r>
      </w:hyperlink>
      <w:r>
        <w:rPr>
          <w:b w:val="0"/>
          <w:i w:val="0"/>
        </w:rPr>
        <w:t>.</w:t>
      </w:r>
    </w:p>
    <w:p>
      <w:pPr>
        <w:widowControl/>
      </w:pPr>
      <w:bookmarkStart w:id="1762" w:name="passage-ii-6-18"/>
      <w:bookmarkEnd w:id="1762"/>
      <w:r>
        <w:rPr>
          <w:b/>
          <w:i w:val="0"/>
        </w:rPr>
        <w:t>II.6.18</w:t>
      </w:r>
      <w:r>
        <w:rPr>
          <w:b/>
          <w:i w:val="0"/>
        </w:rPr>
        <w:t>, source pp. 138–139.</w:t>
      </w:r>
      <w:r>
        <w:rPr>
          <w:b w:val="0"/>
          <w:i w:val="0"/>
        </w:rPr>
        <w:t xml:space="preserve"> Articles: </w:t>
      </w:r>
      <w:hyperlink w:anchor="eternity-and-time">
        <w:r>
          <w:rPr>
            <w:color w:val="000000"/>
          </w:rPr>
          <w:t xml:space="preserve">Eternity and time</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atural-motion-and-natural-place">
        <w:r>
          <w:rPr>
            <w:color w:val="000000"/>
          </w:rPr>
          <w:t xml:space="preserve">Natural motion and natural place</w:t>
        </w:r>
      </w:hyperlink>
      <w:r>
        <w:rPr>
          <w:b w:val="0"/>
          <w:i w:val="0"/>
        </w:rPr>
        <w:t xml:space="preserve">. Vocabulary: </w:t>
      </w:r>
      <w:hyperlink w:anchor="latin-record-0411">
        <w:r>
          <w:rPr>
            <w:color w:val="000000"/>
          </w:rPr>
          <w:t xml:space="preserve">expugnare / repugnare</w:t>
        </w:r>
      </w:hyperlink>
      <w:r>
        <w:rPr>
          <w:b w:val="0"/>
          <w:i w:val="0"/>
        </w:rPr>
        <w:t>.</w:t>
      </w:r>
    </w:p>
    <w:p>
      <w:pPr>
        <w:widowControl/>
      </w:pPr>
      <w:bookmarkStart w:id="1763" w:name="passage-ii-6-19"/>
      <w:bookmarkEnd w:id="1763"/>
      <w:r>
        <w:rPr>
          <w:b/>
          <w:i w:val="0"/>
        </w:rPr>
        <w:t>II.6.19</w:t>
      </w:r>
      <w:r>
        <w:rPr>
          <w:b/>
          <w:i w:val="0"/>
        </w:rPr>
        <w:t>, source pp. 138–139.</w:t>
      </w:r>
      <w:r>
        <w:rPr>
          <w:b w:val="0"/>
          <w:i w:val="0"/>
        </w:rPr>
        <w:t xml:space="preserve"> Articles: </w:t>
      </w:r>
      <w:hyperlink w:anchor="eternity-and-time">
        <w:r>
          <w:rPr>
            <w:color w:val="000000"/>
          </w:rPr>
          <w:t xml:space="preserve">Eternity and time</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atural-motion-and-natural-place">
        <w:r>
          <w:rPr>
            <w:color w:val="000000"/>
          </w:rPr>
          <w:t xml:space="preserve">Natural motion and natural place</w:t>
        </w:r>
      </w:hyperlink>
      <w:r>
        <w:rPr>
          <w:b w:val="0"/>
          <w:i w:val="0"/>
        </w:rPr>
        <w:t xml:space="preserve">. Vocabulary: </w:t>
      </w:r>
      <w:hyperlink w:anchor="latin-record-0206">
        <w:r>
          <w:rPr>
            <w:color w:val="000000"/>
          </w:rPr>
          <w:t xml:space="preserve">competere / pertinere / spectare</w:t>
        </w:r>
      </w:hyperlink>
      <w:r>
        <w:rPr>
          <w:b w:val="0"/>
          <w:i w:val="0"/>
        </w:rPr>
        <w:t xml:space="preserve">; </w:t>
      </w:r>
      <w:hyperlink w:anchor="latin-record-0271">
        <w:r>
          <w:rPr>
            <w:color w:val="000000"/>
          </w:rPr>
          <w:t xml:space="preserve">convenire / congruere</w:t>
        </w:r>
      </w:hyperlink>
      <w:r>
        <w:rPr>
          <w:b w:val="0"/>
          <w:i w:val="0"/>
        </w:rPr>
        <w:t xml:space="preserve">; </w:t>
      </w:r>
      <w:hyperlink w:anchor="latin-record-0364">
        <w:r>
          <w:rPr>
            <w:color w:val="000000"/>
          </w:rPr>
          <w:t xml:space="preserve">efficax / validus</w:t>
        </w:r>
      </w:hyperlink>
      <w:r>
        <w:rPr>
          <w:b w:val="0"/>
          <w:i w:val="0"/>
        </w:rPr>
        <w:t xml:space="preserve">; </w:t>
      </w:r>
      <w:hyperlink w:anchor="latin-record-0402">
        <w:r>
          <w:rPr>
            <w:color w:val="000000"/>
          </w:rPr>
          <w:t xml:space="preserve">exigere / requirere</w:t>
        </w:r>
      </w:hyperlink>
      <w:r>
        <w:rPr>
          <w:b w:val="0"/>
          <w:i w:val="0"/>
        </w:rPr>
        <w:t xml:space="preserve">; </w:t>
      </w:r>
      <w:hyperlink w:anchor="latin-record-0411">
        <w:r>
          <w:rPr>
            <w:color w:val="000000"/>
          </w:rPr>
          <w:t xml:space="preserve">expugnare / repugnare</w:t>
        </w:r>
      </w:hyperlink>
      <w:r>
        <w:rPr>
          <w:b w:val="0"/>
          <w:i w:val="0"/>
        </w:rPr>
        <w:t xml:space="preserve">; </w:t>
      </w:r>
      <w:hyperlink w:anchor="latin-record-0608">
        <w:r>
          <w:rPr>
            <w:color w:val="000000"/>
          </w:rPr>
          <w:t xml:space="preserve">intrinsecus / extrinsecus</w:t>
        </w:r>
      </w:hyperlink>
      <w:r>
        <w:rPr>
          <w:b w:val="0"/>
          <w:i w:val="0"/>
        </w:rPr>
        <w:t xml:space="preserve">; </w:t>
      </w:r>
      <w:hyperlink w:anchor="latin-record-0645">
        <w:r>
          <w:rPr>
            <w:color w:val="000000"/>
          </w:rPr>
          <w:t xml:space="preserve">locare / regio / localis</w:t>
        </w:r>
      </w:hyperlink>
      <w:r>
        <w:rPr>
          <w:b w:val="0"/>
          <w:i w:val="0"/>
        </w:rPr>
        <w:t xml:space="preserve">; </w:t>
      </w:r>
      <w:hyperlink w:anchor="latin-record-0952">
        <w:r>
          <w:rPr>
            <w:color w:val="000000"/>
          </w:rPr>
          <w:t xml:space="preserve">propagare / amplificare / dilatare</w:t>
        </w:r>
      </w:hyperlink>
      <w:r>
        <w:rPr>
          <w:b w:val="0"/>
          <w:i w:val="0"/>
        </w:rPr>
        <w:t xml:space="preserve">; </w:t>
      </w:r>
      <w:hyperlink w:anchor="latin-record-1002">
        <w:r>
          <w:rPr>
            <w:color w:val="000000"/>
          </w:rPr>
          <w:t xml:space="preserve">qualitas</w:t>
        </w:r>
      </w:hyperlink>
      <w:r>
        <w:rPr>
          <w:b w:val="0"/>
          <w:i w:val="0"/>
        </w:rPr>
        <w:t>.</w:t>
      </w:r>
    </w:p>
    <w:p>
      <w:pPr>
        <w:widowControl/>
      </w:pPr>
      <w:bookmarkStart w:id="1764" w:name="passage-ii-6-20"/>
      <w:bookmarkEnd w:id="1764"/>
      <w:r>
        <w:rPr>
          <w:b/>
          <w:i w:val="0"/>
        </w:rPr>
        <w:t>II.6.20</w:t>
      </w:r>
      <w:r>
        <w:rPr>
          <w:b/>
          <w:i w:val="0"/>
        </w:rPr>
        <w:t>, source pp. 138–139.</w:t>
      </w:r>
      <w:r>
        <w:rPr>
          <w:b w:val="0"/>
          <w:i w:val="0"/>
        </w:rPr>
        <w:t xml:space="preserve"> Articles: </w:t>
      </w:r>
      <w:hyperlink w:anchor="anebon-abamon-and-the-mental-presence-authorities">
        <w:r>
          <w:rPr>
            <w:color w:val="000000"/>
          </w:rPr>
          <w:t xml:space="preserve">Anebon Abamon and the mental-presence authorities</w:t>
        </w:r>
      </w:hyperlink>
      <w:r>
        <w:rPr>
          <w:b w:val="0"/>
          <w:i w:val="0"/>
        </w:rPr>
        <w:t xml:space="preserve">; </w:t>
      </w:r>
      <w:hyperlink w:anchor="choice-and-deliberation">
        <w:r>
          <w:rPr>
            <w:color w:val="000000"/>
          </w:rPr>
          <w:t xml:space="preserve">Choice and deliberation</w:t>
        </w:r>
      </w:hyperlink>
      <w:r>
        <w:rPr>
          <w:b w:val="0"/>
          <w:i w:val="0"/>
        </w:rPr>
        <w:t xml:space="preserve">; </w:t>
      </w:r>
      <w:hyperlink w:anchor="eternity-and-time">
        <w:r>
          <w:rPr>
            <w:color w:val="000000"/>
          </w:rPr>
          <w:t xml:space="preserve">Eternity and time</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word-and-meaning">
        <w:r>
          <w:rPr>
            <w:color w:val="000000"/>
          </w:rPr>
          <w:t xml:space="preserve">Word and meaning</w:t>
        </w:r>
      </w:hyperlink>
      <w:r>
        <w:rPr>
          <w:b w:val="0"/>
          <w:i w:val="0"/>
        </w:rPr>
        <w:t xml:space="preserve">. Vocabulary: </w:t>
      </w:r>
      <w:hyperlink w:anchor="latin-record-0216">
        <w:r>
          <w:rPr>
            <w:color w:val="000000"/>
          </w:rPr>
          <w:t xml:space="preserve">conatus / affectus</w:t>
        </w:r>
      </w:hyperlink>
      <w:r>
        <w:rPr>
          <w:b w:val="0"/>
          <w:i w:val="0"/>
        </w:rPr>
        <w:t xml:space="preserve">; </w:t>
      </w:r>
      <w:hyperlink w:anchor="latin-record-0250">
        <w:r>
          <w:rPr>
            <w:color w:val="000000"/>
          </w:rPr>
          <w:t xml:space="preserve">consilium</w:t>
        </w:r>
      </w:hyperlink>
      <w:r>
        <w:rPr>
          <w:b w:val="0"/>
          <w:i w:val="0"/>
        </w:rPr>
        <w:t xml:space="preserve">; </w:t>
      </w:r>
      <w:hyperlink w:anchor="latin-record-0406">
        <w:r>
          <w:rPr>
            <w:color w:val="000000"/>
          </w:rPr>
          <w:t xml:space="preserve">exordiri / prodire</w:t>
        </w:r>
      </w:hyperlink>
      <w:r>
        <w:rPr>
          <w:b w:val="0"/>
          <w:i w:val="0"/>
        </w:rPr>
        <w:t xml:space="preserve">; </w:t>
      </w:r>
      <w:hyperlink w:anchor="latin-record-0608">
        <w:r>
          <w:rPr>
            <w:color w:val="000000"/>
          </w:rPr>
          <w:t xml:space="preserve">intrinsecus / extrinsecus</w:t>
        </w:r>
      </w:hyperlink>
      <w:r>
        <w:rPr>
          <w:b w:val="0"/>
          <w:i w:val="0"/>
        </w:rPr>
        <w:t xml:space="preserve">; </w:t>
      </w:r>
      <w:hyperlink w:anchor="latin-record-0650">
        <w:r>
          <w:rPr>
            <w:color w:val="000000"/>
          </w:rPr>
          <w:t xml:space="preserve">loqui</w:t>
        </w:r>
      </w:hyperlink>
      <w:r>
        <w:rPr>
          <w:b w:val="0"/>
          <w:i w:val="0"/>
        </w:rPr>
        <w:t xml:space="preserve">; </w:t>
      </w:r>
      <w:hyperlink w:anchor="latin-record-0875">
        <w:r>
          <w:rPr>
            <w:color w:val="000000"/>
          </w:rPr>
          <w:t xml:space="preserve">piger</w:t>
        </w:r>
      </w:hyperlink>
      <w:r>
        <w:rPr>
          <w:b w:val="0"/>
          <w:i w:val="0"/>
        </w:rPr>
        <w:t xml:space="preserve">; </w:t>
      </w:r>
      <w:hyperlink w:anchor="latin-record-0920">
        <w:r>
          <w:rPr>
            <w:color w:val="000000"/>
          </w:rPr>
          <w:t xml:space="preserve">praestare / praestans</w:t>
        </w:r>
      </w:hyperlink>
      <w:r>
        <w:rPr>
          <w:b w:val="0"/>
          <w:i w:val="0"/>
        </w:rPr>
        <w:t xml:space="preserve">; </w:t>
      </w:r>
      <w:hyperlink w:anchor="latin-record-1243">
        <w:r>
          <w:rPr>
            <w:color w:val="000000"/>
          </w:rPr>
          <w:t xml:space="preserve">verbum / significatio / significare</w:t>
        </w:r>
      </w:hyperlink>
      <w:r>
        <w:rPr>
          <w:b w:val="0"/>
          <w:i w:val="0"/>
        </w:rPr>
        <w:t>.</w:t>
      </w:r>
    </w:p>
    <w:p>
      <w:pPr>
        <w:widowControl/>
      </w:pPr>
      <w:bookmarkStart w:id="1765" w:name="passage-ii-6-21"/>
      <w:bookmarkEnd w:id="1765"/>
      <w:r>
        <w:rPr>
          <w:b/>
          <w:i w:val="0"/>
        </w:rPr>
        <w:t>II.6.21</w:t>
      </w:r>
      <w:r>
        <w:rPr>
          <w:b/>
          <w:i w:val="0"/>
        </w:rPr>
        <w:t>, source pp. 140–141.</w:t>
      </w:r>
      <w:r>
        <w:rPr>
          <w:b w:val="0"/>
          <w:i w:val="0"/>
        </w:rPr>
        <w:t xml:space="preserve"> Articles: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word-and-meaning">
        <w:r>
          <w:rPr>
            <w:color w:val="000000"/>
          </w:rPr>
          <w:t xml:space="preserve">Word and meaning</w:t>
        </w:r>
      </w:hyperlink>
      <w:r>
        <w:rPr>
          <w:b w:val="0"/>
          <w:i w:val="0"/>
        </w:rPr>
        <w:t xml:space="preserve">. Vocabulary: </w:t>
      </w:r>
      <w:hyperlink w:anchor="latin-record-0650">
        <w:r>
          <w:rPr>
            <w:color w:val="000000"/>
          </w:rPr>
          <w:t xml:space="preserve">loqui</w:t>
        </w:r>
      </w:hyperlink>
      <w:r>
        <w:rPr>
          <w:b w:val="0"/>
          <w:i w:val="0"/>
        </w:rPr>
        <w:t xml:space="preserve">; </w:t>
      </w:r>
      <w:hyperlink w:anchor="latin-record-1243">
        <w:r>
          <w:rPr>
            <w:color w:val="000000"/>
          </w:rPr>
          <w:t xml:space="preserve">verbum / significatio / significare</w:t>
        </w:r>
      </w:hyperlink>
      <w:r>
        <w:rPr>
          <w:b w:val="0"/>
          <w:i w:val="0"/>
        </w:rPr>
        <w:t>.</w:t>
      </w:r>
    </w:p>
    <w:p>
      <w:pPr>
        <w:widowControl/>
      </w:pPr>
      <w:bookmarkStart w:id="1766" w:name="passage-ii-6-22"/>
      <w:bookmarkEnd w:id="1766"/>
      <w:r>
        <w:rPr>
          <w:b/>
          <w:i w:val="0"/>
        </w:rPr>
        <w:t>II.6.22</w:t>
      </w:r>
      <w:r>
        <w:rPr>
          <w:b/>
          <w:i w:val="0"/>
        </w:rPr>
        <w:t>, source pp. 140–141.</w:t>
      </w:r>
      <w:r>
        <w:rPr>
          <w:b w:val="0"/>
          <w:i w:val="0"/>
        </w:rPr>
        <w:t xml:space="preserve"> Articles: </w:t>
      </w:r>
      <w:hyperlink w:anchor="intuition-and-discourse">
        <w:r>
          <w:rPr>
            <w:color w:val="000000"/>
          </w:rPr>
          <w:t xml:space="preserve">Intuition and discourse</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atural-motion-and-natural-place">
        <w:r>
          <w:rPr>
            <w:color w:val="000000"/>
          </w:rPr>
          <w:t xml:space="preserve">Natural motion and natural place</w:t>
        </w:r>
      </w:hyperlink>
      <w:r>
        <w:rPr>
          <w:b w:val="0"/>
          <w:i w:val="0"/>
        </w:rPr>
        <w:t xml:space="preserve">. Vocabulary: </w:t>
      </w:r>
      <w:hyperlink w:anchor="latin-record-0216">
        <w:r>
          <w:rPr>
            <w:color w:val="000000"/>
          </w:rPr>
          <w:t xml:space="preserve">conatus / affectus</w:t>
        </w:r>
      </w:hyperlink>
      <w:r>
        <w:rPr>
          <w:b w:val="0"/>
          <w:i w:val="0"/>
        </w:rPr>
        <w:t xml:space="preserve">; </w:t>
      </w:r>
      <w:hyperlink w:anchor="latin-record-0328">
        <w:r>
          <w:rPr>
            <w:color w:val="000000"/>
          </w:rPr>
          <w:t xml:space="preserve">discurrere / cursus</w:t>
        </w:r>
      </w:hyperlink>
      <w:r>
        <w:rPr>
          <w:b w:val="0"/>
          <w:i w:val="0"/>
        </w:rPr>
        <w:t xml:space="preserve">; </w:t>
      </w:r>
      <w:hyperlink w:anchor="latin-record-0660">
        <w:r>
          <w:rPr>
            <w:color w:val="000000"/>
          </w:rPr>
          <w:t xml:space="preserve">machinatio / machinari</w:t>
        </w:r>
      </w:hyperlink>
      <w:r>
        <w:rPr>
          <w:b w:val="0"/>
          <w:i w:val="0"/>
        </w:rPr>
        <w:t xml:space="preserve">; </w:t>
      </w:r>
      <w:hyperlink w:anchor="latin-record-0686">
        <w:r>
          <w:rPr>
            <w:color w:val="000000"/>
          </w:rPr>
          <w:t xml:space="preserve">mens</w:t>
        </w:r>
      </w:hyperlink>
      <w:r>
        <w:rPr>
          <w:b w:val="0"/>
          <w:i w:val="0"/>
        </w:rPr>
        <w:t>.</w:t>
      </w:r>
    </w:p>
    <w:p>
      <w:pPr>
        <w:widowControl/>
      </w:pPr>
      <w:bookmarkStart w:id="1767" w:name="passage-ii-6-23"/>
      <w:bookmarkEnd w:id="1767"/>
      <w:r>
        <w:rPr>
          <w:b/>
          <w:i w:val="0"/>
        </w:rPr>
        <w:t>II.6.23</w:t>
      </w:r>
      <w:r>
        <w:rPr>
          <w:b/>
          <w:i w:val="0"/>
        </w:rPr>
        <w:t>, source pp. 140–141.</w:t>
      </w:r>
      <w:r>
        <w:rPr>
          <w:b w:val="0"/>
          <w:i w:val="0"/>
        </w:rPr>
        <w:t xml:space="preserve"> Articles: </w:t>
      </w:r>
      <w:hyperlink w:anchor="anebon-abamon-and-the-mental-presence-authorities">
        <w:r>
          <w:rPr>
            <w:color w:val="000000"/>
          </w:rPr>
          <w:t xml:space="preserve">Anebon Abamon and the mental-presence authorities</w:t>
        </w:r>
      </w:hyperlink>
      <w:r>
        <w:rPr>
          <w:b w:val="0"/>
          <w:i w:val="0"/>
        </w:rPr>
        <w:t xml:space="preserve">; </w:t>
      </w:r>
      <w:hyperlink w:anchor="appetite-and-desire">
        <w:r>
          <w:rPr>
            <w:color w:val="000000"/>
          </w:rPr>
          <w:t xml:space="preserve">Appetite and desire</w:t>
        </w:r>
      </w:hyperlink>
      <w:r>
        <w:rPr>
          <w:b w:val="0"/>
          <w:i w:val="0"/>
        </w:rPr>
        <w:t xml:space="preserve">; </w:t>
      </w:r>
      <w:hyperlink w:anchor="end-and-limit">
        <w:r>
          <w:rPr>
            <w:color w:val="000000"/>
          </w:rPr>
          <w:t xml:space="preserve">End and limit</w:t>
        </w:r>
      </w:hyperlink>
      <w:r>
        <w:rPr>
          <w:b w:val="0"/>
          <w:i w:val="0"/>
        </w:rPr>
        <w:t xml:space="preserve">; </w:t>
      </w:r>
      <w:hyperlink w:anchor="essence-and-substance">
        <w:r>
          <w:rPr>
            <w:color w:val="000000"/>
          </w:rPr>
          <w:t xml:space="preserve">Essence and substance</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touch-and-penetration">
        <w:r>
          <w:rPr>
            <w:color w:val="000000"/>
          </w:rPr>
          <w:t xml:space="preserve">Touch and penetration</w:t>
        </w:r>
      </w:hyperlink>
      <w:r>
        <w:rPr>
          <w:b w:val="0"/>
          <w:i w:val="0"/>
        </w:rPr>
        <w:t xml:space="preserve">. Vocabulary: </w:t>
      </w:r>
      <w:hyperlink w:anchor="latin-record-0161">
        <w:r>
          <w:rPr>
            <w:color w:val="000000"/>
          </w:rPr>
          <w:t xml:space="preserve">certus / assignare / limitare</w:t>
        </w:r>
      </w:hyperlink>
      <w:r>
        <w:rPr>
          <w:b w:val="0"/>
          <w:i w:val="0"/>
        </w:rPr>
        <w:t xml:space="preserve">; </w:t>
      </w:r>
      <w:hyperlink w:anchor="latin-record-0289">
        <w:r>
          <w:rPr>
            <w:color w:val="000000"/>
          </w:rPr>
          <w:t xml:space="preserve">currere / incurrere / incumbere</w:t>
        </w:r>
      </w:hyperlink>
      <w:r>
        <w:rPr>
          <w:b w:val="0"/>
          <w:i w:val="0"/>
        </w:rPr>
        <w:t xml:space="preserve">; </w:t>
      </w:r>
      <w:hyperlink w:anchor="latin-record-0450">
        <w:r>
          <w:rPr>
            <w:color w:val="000000"/>
          </w:rPr>
          <w:t xml:space="preserve">finis / scopus</w:t>
        </w:r>
      </w:hyperlink>
      <w:r>
        <w:rPr>
          <w:b w:val="0"/>
          <w:i w:val="0"/>
        </w:rPr>
        <w:t xml:space="preserve">; </w:t>
      </w:r>
      <w:hyperlink w:anchor="latin-record-0451">
        <w:r>
          <w:rPr>
            <w:color w:val="000000"/>
          </w:rPr>
          <w:t xml:space="preserve">flammula / concavum / evolare</w:t>
        </w:r>
      </w:hyperlink>
      <w:r>
        <w:rPr>
          <w:b w:val="0"/>
          <w:i w:val="0"/>
        </w:rPr>
        <w:t xml:space="preserve">; </w:t>
      </w:r>
      <w:hyperlink w:anchor="latin-record-0473">
        <w:r>
          <w:rPr>
            <w:color w:val="000000"/>
          </w:rPr>
          <w:t xml:space="preserve">frui</w:t>
        </w:r>
      </w:hyperlink>
      <w:r>
        <w:rPr>
          <w:b w:val="0"/>
          <w:i w:val="0"/>
        </w:rPr>
        <w:t xml:space="preserve">; </w:t>
      </w:r>
      <w:hyperlink w:anchor="latin-record-0521">
        <w:r>
          <w:rPr>
            <w:color w:val="000000"/>
          </w:rPr>
          <w:t xml:space="preserve">ignis / sol / caelum / stella</w:t>
        </w:r>
      </w:hyperlink>
      <w:r>
        <w:rPr>
          <w:b w:val="0"/>
          <w:i w:val="0"/>
        </w:rPr>
        <w:t xml:space="preserve">; </w:t>
      </w:r>
      <w:hyperlink w:anchor="latin-record-0585">
        <w:r>
          <w:rPr>
            <w:color w:val="000000"/>
          </w:rPr>
          <w:t xml:space="preserve">instinctus / niti</w:t>
        </w:r>
      </w:hyperlink>
      <w:r>
        <w:rPr>
          <w:b w:val="0"/>
          <w:i w:val="0"/>
        </w:rPr>
        <w:t xml:space="preserve">; </w:t>
      </w:r>
      <w:hyperlink w:anchor="latin-record-0848">
        <w:r>
          <w:rPr>
            <w:color w:val="000000"/>
          </w:rPr>
          <w:t xml:space="preserve">penetrare / resistere / obstare</w:t>
        </w:r>
      </w:hyperlink>
      <w:r>
        <w:rPr>
          <w:b w:val="0"/>
          <w:i w:val="0"/>
        </w:rPr>
        <w:t xml:space="preserve">; </w:t>
      </w:r>
      <w:hyperlink w:anchor="latin-record-0948">
        <w:r>
          <w:rPr>
            <w:color w:val="000000"/>
          </w:rPr>
          <w:t xml:space="preserve">prohibere / claudere / includere</w:t>
        </w:r>
      </w:hyperlink>
      <w:r>
        <w:rPr>
          <w:b w:val="0"/>
          <w:i w:val="0"/>
        </w:rPr>
        <w:t xml:space="preserve">; </w:t>
      </w:r>
      <w:hyperlink w:anchor="latin-record-0983">
        <w:r>
          <w:rPr>
            <w:color w:val="000000"/>
          </w:rPr>
          <w:t xml:space="preserve">punctum</w:t>
        </w:r>
      </w:hyperlink>
      <w:r>
        <w:rPr>
          <w:b w:val="0"/>
          <w:i w:val="0"/>
        </w:rPr>
        <w:t xml:space="preserve">; </w:t>
      </w:r>
      <w:hyperlink w:anchor="latin-record-1133">
        <w:r>
          <w:rPr>
            <w:color w:val="000000"/>
          </w:rPr>
          <w:t xml:space="preserve">spiritus</w:t>
        </w:r>
      </w:hyperlink>
      <w:r>
        <w:rPr>
          <w:b w:val="0"/>
          <w:i w:val="0"/>
        </w:rPr>
        <w:t xml:space="preserve">; </w:t>
      </w:r>
      <w:hyperlink w:anchor="latin-record-1183">
        <w:r>
          <w:rPr>
            <w:color w:val="000000"/>
          </w:rPr>
          <w:t xml:space="preserve">tangere / attingere</w:t>
        </w:r>
      </w:hyperlink>
      <w:r>
        <w:rPr>
          <w:b w:val="0"/>
          <w:i w:val="0"/>
        </w:rPr>
        <w:t xml:space="preserve">; </w:t>
      </w:r>
      <w:hyperlink w:anchor="latin-record-1274">
        <w:r>
          <w:rPr>
            <w:color w:val="000000"/>
          </w:rPr>
          <w:t xml:space="preserve">vita / vivere / vivificare</w:t>
        </w:r>
      </w:hyperlink>
      <w:r>
        <w:rPr>
          <w:b w:val="0"/>
          <w:i w:val="0"/>
        </w:rPr>
        <w:t>.</w:t>
      </w:r>
    </w:p>
    <w:p>
      <w:pPr>
        <w:widowControl/>
      </w:pPr>
      <w:bookmarkStart w:id="1768" w:name="passage-ii-6-24"/>
      <w:bookmarkEnd w:id="1768"/>
      <w:r>
        <w:rPr>
          <w:b/>
          <w:i w:val="0"/>
        </w:rPr>
        <w:t>II.6.24</w:t>
      </w:r>
      <w:r>
        <w:rPr>
          <w:b/>
          <w:i w:val="0"/>
        </w:rPr>
        <w:t>, source pp. 142–143.</w:t>
      </w:r>
      <w:r>
        <w:rPr>
          <w:b w:val="0"/>
          <w:i w:val="0"/>
        </w:rPr>
        <w:t xml:space="preserve"> Articles: </w:t>
      </w:r>
      <w:hyperlink w:anchor="anebon-abamon-and-the-mental-presence-authorities">
        <w:r>
          <w:rPr>
            <w:color w:val="000000"/>
          </w:rPr>
          <w:t xml:space="preserve">Anebon Abamon and the mental-presence authorities</w:t>
        </w:r>
      </w:hyperlink>
      <w:r>
        <w:rPr>
          <w:b w:val="0"/>
          <w:i w:val="0"/>
        </w:rPr>
        <w:t xml:space="preserve">; </w:t>
      </w:r>
      <w:hyperlink w:anchor="candles-and-the-hall">
        <w:r>
          <w:rPr>
            <w:color w:val="000000"/>
          </w:rPr>
          <w:t xml:space="preserve">Candles and the hall</w:t>
        </w:r>
      </w:hyperlink>
      <w:r>
        <w:rPr>
          <w:b w:val="0"/>
          <w:i w:val="0"/>
        </w:rPr>
        <w:t xml:space="preserve">; </w:t>
      </w:r>
      <w:hyperlink w:anchor="heart-and-mistaken-location">
        <w:r>
          <w:rPr>
            <w:color w:val="000000"/>
          </w:rPr>
          <w:t xml:space="preserve">Heart and mistaken location</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light-and-illumination">
        <w:r>
          <w:rPr>
            <w:color w:val="000000"/>
          </w:rPr>
          <w:t xml:space="preserve">Light and illumination</w:t>
        </w:r>
      </w:hyperlink>
      <w:r>
        <w:rPr>
          <w:b w:val="0"/>
          <w:i w:val="0"/>
        </w:rPr>
        <w:t xml:space="preserve">; </w:t>
      </w:r>
      <w:hyperlink w:anchor="mind">
        <w:r>
          <w:rPr>
            <w:color w:val="000000"/>
          </w:rPr>
          <w:t xml:space="preserve">Mind</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whole-and-parts">
        <w:r>
          <w:rPr>
            <w:color w:val="000000"/>
          </w:rPr>
          <w:t xml:space="preserve">Whole and parts</w:t>
        </w:r>
      </w:hyperlink>
      <w:r>
        <w:rPr>
          <w:b w:val="0"/>
          <w:i w:val="0"/>
        </w:rPr>
        <w:t xml:space="preserve">; </w:t>
      </w:r>
      <w:hyperlink w:anchor="word-and-meaning">
        <w:r>
          <w:rPr>
            <w:color w:val="000000"/>
          </w:rPr>
          <w:t xml:space="preserve">Word and meaning</w:t>
        </w:r>
      </w:hyperlink>
      <w:r>
        <w:rPr>
          <w:b w:val="0"/>
          <w:i w:val="0"/>
        </w:rPr>
        <w:t xml:space="preserve">. Vocabulary: </w:t>
      </w:r>
      <w:hyperlink w:anchor="latin-record-0073">
        <w:r>
          <w:rPr>
            <w:color w:val="000000"/>
          </w:rPr>
          <w:t xml:space="preserve">animalis / angelicus</w:t>
        </w:r>
      </w:hyperlink>
      <w:r>
        <w:rPr>
          <w:b w:val="0"/>
          <w:i w:val="0"/>
        </w:rPr>
        <w:t xml:space="preserve">; </w:t>
      </w:r>
      <w:hyperlink w:anchor="latin-record-0137">
        <w:r>
          <w:rPr>
            <w:color w:val="000000"/>
          </w:rPr>
          <w:t xml:space="preserve">candela / aula</w:t>
        </w:r>
      </w:hyperlink>
      <w:r>
        <w:rPr>
          <w:b w:val="0"/>
          <w:i w:val="0"/>
        </w:rPr>
        <w:t xml:space="preserve">; </w:t>
      </w:r>
      <w:hyperlink w:anchor="latin-record-0235">
        <w:r>
          <w:rPr>
            <w:color w:val="000000"/>
          </w:rPr>
          <w:t xml:space="preserve">confusio / permiscere / iungere</w:t>
        </w:r>
      </w:hyperlink>
      <w:r>
        <w:rPr>
          <w:b w:val="0"/>
          <w:i w:val="0"/>
        </w:rPr>
        <w:t xml:space="preserve">; </w:t>
      </w:r>
      <w:hyperlink w:anchor="latin-record-0274">
        <w:r>
          <w:rPr>
            <w:color w:val="000000"/>
          </w:rPr>
          <w:t xml:space="preserve">convertere / reverti / converso</w:t>
        </w:r>
      </w:hyperlink>
      <w:r>
        <w:rPr>
          <w:b w:val="0"/>
          <w:i w:val="0"/>
        </w:rPr>
        <w:t xml:space="preserve">; </w:t>
      </w:r>
      <w:hyperlink w:anchor="latin-record-0278">
        <w:r>
          <w:rPr>
            <w:color w:val="000000"/>
          </w:rPr>
          <w:t xml:space="preserve">cor / putare</w:t>
        </w:r>
      </w:hyperlink>
      <w:r>
        <w:rPr>
          <w:b w:val="0"/>
          <w:i w:val="0"/>
        </w:rPr>
        <w:t xml:space="preserve">; </w:t>
      </w:r>
      <w:hyperlink w:anchor="latin-record-0324">
        <w:r>
          <w:rPr>
            <w:color w:val="000000"/>
          </w:rPr>
          <w:t xml:space="preserve">dirigere / manifestus</w:t>
        </w:r>
      </w:hyperlink>
      <w:r>
        <w:rPr>
          <w:b w:val="0"/>
          <w:i w:val="0"/>
        </w:rPr>
        <w:t xml:space="preserve">; </w:t>
      </w:r>
      <w:hyperlink w:anchor="latin-record-0420">
        <w:r>
          <w:rPr>
            <w:color w:val="000000"/>
          </w:rPr>
          <w:t xml:space="preserve">exuberare / fundere</w:t>
        </w:r>
      </w:hyperlink>
      <w:r>
        <w:rPr>
          <w:b w:val="0"/>
          <w:i w:val="0"/>
        </w:rPr>
        <w:t xml:space="preserve">; </w:t>
      </w:r>
      <w:hyperlink w:anchor="latin-record-0524">
        <w:r>
          <w:rPr>
            <w:color w:val="000000"/>
          </w:rPr>
          <w:t xml:space="preserve">illuminare / fulgere / radius / accendere</w:t>
        </w:r>
      </w:hyperlink>
      <w:r>
        <w:rPr>
          <w:b w:val="0"/>
          <w:i w:val="0"/>
        </w:rPr>
        <w:t xml:space="preserve">; </w:t>
      </w:r>
      <w:hyperlink w:anchor="latin-record-0645">
        <w:r>
          <w:rPr>
            <w:color w:val="000000"/>
          </w:rPr>
          <w:t xml:space="preserve">locare / regio / localis</w:t>
        </w:r>
      </w:hyperlink>
      <w:r>
        <w:rPr>
          <w:b w:val="0"/>
          <w:i w:val="0"/>
        </w:rPr>
        <w:t xml:space="preserve">; </w:t>
      </w:r>
      <w:hyperlink w:anchor="latin-record-0927">
        <w:r>
          <w:rPr>
            <w:color w:val="000000"/>
          </w:rPr>
          <w:t xml:space="preserve">principatus / gubernare / regere</w:t>
        </w:r>
      </w:hyperlink>
      <w:r>
        <w:rPr>
          <w:b w:val="0"/>
          <w:i w:val="0"/>
        </w:rPr>
        <w:t xml:space="preserve">; </w:t>
      </w:r>
      <w:hyperlink w:anchor="latin-record-0992">
        <w:r>
          <w:rPr>
            <w:color w:val="000000"/>
          </w:rPr>
          <w:t xml:space="preserve">putare / videri as appearance</w:t>
        </w:r>
      </w:hyperlink>
      <w:r>
        <w:rPr>
          <w:b w:val="0"/>
          <w:i w:val="0"/>
        </w:rPr>
        <w:t xml:space="preserve">; </w:t>
      </w:r>
      <w:hyperlink w:anchor="latin-record-1274">
        <w:r>
          <w:rPr>
            <w:color w:val="000000"/>
          </w:rPr>
          <w:t xml:space="preserve">vita / vivere / vivificare</w:t>
        </w:r>
      </w:hyperlink>
      <w:r>
        <w:rPr>
          <w:b w:val="0"/>
          <w:i w:val="0"/>
        </w:rPr>
        <w:t>.</w:t>
      </w:r>
    </w:p>
    <w:p>
      <w:bookmarkStart w:id="1769" w:name="chapter-ii.7"/>
      <w:pPr>
        <w:pStyle w:val="Heading2"/>
      </w:pPr>
      <w:r>
        <w:rPr>
          <w:b w:val="0"/>
          <w:i w:val="0"/>
        </w:rPr>
        <w:t>Chapter II.7</w:t>
      </w:r>
      <w:bookmarkEnd w:id="1769"/>
    </w:p>
    <w:p>
      <w:pPr>
        <w:widowControl/>
      </w:pPr>
      <w:bookmarkStart w:id="1770" w:name="passage-ii-7-1"/>
      <w:bookmarkEnd w:id="1770"/>
      <w:r>
        <w:rPr>
          <w:b/>
          <w:i w:val="0"/>
        </w:rPr>
        <w:t>II.7.1</w:t>
      </w:r>
      <w:r>
        <w:rPr>
          <w:b/>
          <w:i w:val="0"/>
        </w:rPr>
        <w:t>, source pp. 144–145.</w:t>
      </w:r>
      <w:r>
        <w:rPr>
          <w:b w:val="0"/>
          <w:i w:val="0"/>
        </w:rPr>
        <w:t xml:space="preserve"> Articles: </w:t>
      </w:r>
      <w:hyperlink w:anchor="parmenides-and-the-summary-formula">
        <w:r>
          <w:rPr>
            <w:color w:val="000000"/>
          </w:rPr>
          <w:t xml:space="preserve">Parmenides and the summary formula</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211">
        <w:r>
          <w:rPr>
            <w:color w:val="000000"/>
          </w:rPr>
          <w:t xml:space="preserve">componere / compositio</w:t>
        </w:r>
      </w:hyperlink>
      <w:r>
        <w:rPr>
          <w:b w:val="0"/>
          <w:i w:val="0"/>
        </w:rPr>
        <w:t xml:space="preserve">; </w:t>
      </w:r>
      <w:hyperlink w:anchor="latin-record-0224">
        <w:r>
          <w:rPr>
            <w:color w:val="000000"/>
          </w:rPr>
          <w:t xml:space="preserve">concludere / confirmare / patere</w:t>
        </w:r>
      </w:hyperlink>
      <w:r>
        <w:rPr>
          <w:b w:val="0"/>
          <w:i w:val="0"/>
        </w:rPr>
        <w:t xml:space="preserve">; </w:t>
      </w:r>
      <w:hyperlink w:anchor="latin-record-0727">
        <w:r>
          <w:rPr>
            <w:color w:val="000000"/>
          </w:rPr>
          <w:t xml:space="preserve">multitudo / multiplex</w:t>
        </w:r>
      </w:hyperlink>
      <w:r>
        <w:rPr>
          <w:b w:val="0"/>
          <w:i w:val="0"/>
        </w:rPr>
        <w:t xml:space="preserve">; </w:t>
      </w:r>
      <w:hyperlink w:anchor="latin-record-0815">
        <w:r>
          <w:rPr>
            <w:color w:val="000000"/>
          </w:rPr>
          <w:t xml:space="preserve">ostendere / monstrare / probare</w:t>
        </w:r>
      </w:hyperlink>
      <w:r>
        <w:rPr>
          <w:b w:val="0"/>
          <w:i w:val="0"/>
        </w:rPr>
        <w:t xml:space="preserve">; </w:t>
      </w:r>
      <w:hyperlink w:anchor="latin-record-0821">
        <w:r>
          <w:rPr>
            <w:color w:val="000000"/>
          </w:rPr>
          <w:t xml:space="preserve">Parmenides / Pythagoreus</w:t>
        </w:r>
      </w:hyperlink>
      <w:r>
        <w:rPr>
          <w:b w:val="0"/>
          <w:i w:val="0"/>
        </w:rPr>
        <w:t xml:space="preserve">; </w:t>
      </w:r>
      <w:hyperlink w:anchor="greek-record-05">
        <w:r>
          <w:rPr>
            <w:color w:val="000000"/>
          </w:rPr>
          <w:t xml:space="preserve">One unmoved infinite being</w:t>
        </w:r>
      </w:hyperlink>
      <w:r>
        <w:rPr>
          <w:b w:val="0"/>
          <w:i w:val="0"/>
        </w:rPr>
        <w:t>.</w:t>
      </w:r>
    </w:p>
    <w:p>
      <w:pPr>
        <w:widowControl/>
      </w:pPr>
      <w:bookmarkStart w:id="1771" w:name="passage-ii-7-2"/>
      <w:bookmarkEnd w:id="1771"/>
      <w:r>
        <w:rPr>
          <w:b/>
          <w:i w:val="0"/>
        </w:rPr>
        <w:t>II.7.2</w:t>
      </w:r>
      <w:r>
        <w:rPr>
          <w:b/>
          <w:i w:val="0"/>
        </w:rPr>
        <w:t>, source pp. 144–145.</w:t>
      </w:r>
      <w:r>
        <w:rPr>
          <w:b w:val="0"/>
          <w:i w:val="0"/>
        </w:rPr>
        <w:t xml:space="preserve"> Articles: </w:t>
      </w:r>
      <w:hyperlink w:anchor="simplicity-and-composition">
        <w:r>
          <w:rPr>
            <w:color w:val="000000"/>
          </w:rPr>
          <w:t xml:space="preserve">Simplicity and composition</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100">
        <w:r>
          <w:rPr>
            <w:color w:val="000000"/>
          </w:rPr>
          <w:t xml:space="preserve">ascendere / descendere</w:t>
        </w:r>
      </w:hyperlink>
      <w:r>
        <w:rPr>
          <w:b w:val="0"/>
          <w:i w:val="0"/>
        </w:rPr>
        <w:t xml:space="preserve">; </w:t>
      </w:r>
      <w:hyperlink w:anchor="latin-record-0211">
        <w:r>
          <w:rPr>
            <w:color w:val="000000"/>
          </w:rPr>
          <w:t xml:space="preserve">componere / compositio</w:t>
        </w:r>
      </w:hyperlink>
      <w:r>
        <w:rPr>
          <w:b w:val="0"/>
          <w:i w:val="0"/>
        </w:rPr>
        <w:t>.</w:t>
      </w:r>
    </w:p>
    <w:p>
      <w:pPr>
        <w:widowControl/>
      </w:pPr>
      <w:bookmarkStart w:id="1772" w:name="passage-ii-7-3"/>
      <w:bookmarkEnd w:id="1772"/>
      <w:r>
        <w:rPr>
          <w:b/>
          <w:i w:val="0"/>
        </w:rPr>
        <w:t>II.7.3</w:t>
      </w:r>
      <w:r>
        <w:rPr>
          <w:b/>
          <w:i w:val="0"/>
        </w:rPr>
        <w:t>, source pp. 144–145.</w:t>
      </w:r>
      <w:r>
        <w:rPr>
          <w:b w:val="0"/>
          <w:i w:val="0"/>
        </w:rPr>
        <w:t xml:space="preserve"> Articles: </w:t>
      </w:r>
      <w:hyperlink w:anchor="truth">
        <w:r>
          <w:rPr>
            <w:color w:val="000000"/>
          </w:rPr>
          <w:t xml:space="preserve">Truth</w:t>
        </w:r>
      </w:hyperlink>
      <w:r>
        <w:rPr>
          <w:b w:val="0"/>
          <w:i w:val="0"/>
        </w:rPr>
        <w:t xml:space="preserve">. Vocabulary: </w:t>
      </w:r>
      <w:hyperlink w:anchor="latin-record-0694">
        <w:r>
          <w:rPr>
            <w:color w:val="000000"/>
          </w:rPr>
          <w:t xml:space="preserve">merus / incorruptus / revera</w:t>
        </w:r>
      </w:hyperlink>
      <w:r>
        <w:rPr>
          <w:b w:val="0"/>
          <w:i w:val="0"/>
        </w:rPr>
        <w:t xml:space="preserve">; </w:t>
      </w:r>
      <w:hyperlink w:anchor="latin-record-0946">
        <w:r>
          <w:rPr>
            <w:color w:val="000000"/>
          </w:rPr>
          <w:t xml:space="preserve">proficisci</w:t>
        </w:r>
      </w:hyperlink>
      <w:r>
        <w:rPr>
          <w:b w:val="0"/>
          <w:i w:val="0"/>
        </w:rPr>
        <w:t xml:space="preserve">; </w:t>
      </w:r>
      <w:hyperlink w:anchor="latin-record-1246">
        <w:r>
          <w:rPr>
            <w:color w:val="000000"/>
          </w:rPr>
          <w:t xml:space="preserve">veritas / verus</w:t>
        </w:r>
      </w:hyperlink>
      <w:r>
        <w:rPr>
          <w:b w:val="0"/>
          <w:i w:val="0"/>
        </w:rPr>
        <w:t>.</w:t>
      </w:r>
    </w:p>
    <w:p>
      <w:pPr>
        <w:widowControl/>
      </w:pPr>
      <w:bookmarkStart w:id="1773" w:name="passage-ii-7-4"/>
      <w:bookmarkEnd w:id="1773"/>
      <w:r>
        <w:rPr>
          <w:b/>
          <w:i w:val="0"/>
        </w:rPr>
        <w:t>II.7.4</w:t>
      </w:r>
      <w:r>
        <w:rPr>
          <w:b/>
          <w:i w:val="0"/>
        </w:rPr>
        <w:t>, source pp. 144–145.</w:t>
      </w:r>
      <w:r>
        <w:rPr>
          <w:b w:val="0"/>
          <w:i w:val="0"/>
        </w:rPr>
        <w:t xml:space="preserve"> Articles: </w:t>
      </w:r>
      <w:hyperlink w:anchor="appetite-and-desire">
        <w:r>
          <w:rPr>
            <w:color w:val="000000"/>
          </w:rPr>
          <w:t xml:space="preserve">Appetite and desire</w:t>
        </w:r>
      </w:hyperlink>
      <w:r>
        <w:rPr>
          <w:b w:val="0"/>
          <w:i w:val="0"/>
        </w:rPr>
        <w:t xml:space="preserve">; </w:t>
      </w:r>
      <w:hyperlink w:anchor="communication-and-imparting">
        <w:r>
          <w:rPr>
            <w:color w:val="000000"/>
          </w:rPr>
          <w:t xml:space="preserve">Communication and imparting</w:t>
        </w:r>
      </w:hyperlink>
      <w:r>
        <w:rPr>
          <w:b w:val="0"/>
          <w:i w:val="0"/>
        </w:rPr>
        <w:t xml:space="preserve">; </w:t>
      </w:r>
      <w:hyperlink w:anchor="good-and-goodness">
        <w:r>
          <w:rPr>
            <w:color w:val="000000"/>
          </w:rPr>
          <w:t xml:space="preserve">Good and goodness</w:t>
        </w:r>
      </w:hyperlink>
      <w:r>
        <w:rPr>
          <w:b w:val="0"/>
          <w:i w:val="0"/>
        </w:rPr>
        <w:t xml:space="preserve">. Vocabulary: </w:t>
      </w:r>
      <w:hyperlink w:anchor="latin-record-0198">
        <w:r>
          <w:rPr>
            <w:color w:val="000000"/>
          </w:rPr>
          <w:t xml:space="preserve">communicare</w:t>
        </w:r>
      </w:hyperlink>
      <w:r>
        <w:rPr>
          <w:b w:val="0"/>
          <w:i w:val="0"/>
        </w:rPr>
        <w:t xml:space="preserve">; </w:t>
      </w:r>
      <w:hyperlink w:anchor="latin-record-0540">
        <w:r>
          <w:rPr>
            <w:color w:val="000000"/>
          </w:rPr>
          <w:t xml:space="preserve">impertire / impartire / largiri</w:t>
        </w:r>
      </w:hyperlink>
      <w:r>
        <w:rPr>
          <w:b w:val="0"/>
          <w:i w:val="0"/>
        </w:rPr>
        <w:t xml:space="preserve">; </w:t>
      </w:r>
      <w:hyperlink w:anchor="latin-record-0900">
        <w:r>
          <w:rPr>
            <w:color w:val="000000"/>
          </w:rPr>
          <w:t xml:space="preserve">potissimum / summopere / penitus / prorsus / late</w:t>
        </w:r>
      </w:hyperlink>
      <w:r>
        <w:rPr>
          <w:b w:val="0"/>
          <w:i w:val="0"/>
        </w:rPr>
        <w:t xml:space="preserve">; </w:t>
      </w:r>
      <w:hyperlink w:anchor="latin-record-1045">
        <w:r>
          <w:rPr>
            <w:color w:val="000000"/>
          </w:rPr>
          <w:t xml:space="preserve">repetere / revocare</w:t>
        </w:r>
      </w:hyperlink>
      <w:r>
        <w:rPr>
          <w:b w:val="0"/>
          <w:i w:val="0"/>
        </w:rPr>
        <w:t>.</w:t>
      </w:r>
    </w:p>
    <w:p>
      <w:pPr>
        <w:widowControl/>
      </w:pPr>
      <w:bookmarkStart w:id="1774" w:name="passage-ii-7-5"/>
      <w:bookmarkEnd w:id="1774"/>
      <w:r>
        <w:rPr>
          <w:b/>
          <w:i w:val="0"/>
        </w:rPr>
        <w:t>II.7.5</w:t>
      </w:r>
      <w:r>
        <w:rPr>
          <w:b/>
          <w:i w:val="0"/>
        </w:rPr>
        <w:t>, source pp. 144–145.</w:t>
      </w:r>
      <w:r>
        <w:rPr>
          <w:b w:val="0"/>
          <w:i w:val="0"/>
        </w:rPr>
        <w:t xml:space="preserve"> Articles: </w:t>
      </w:r>
      <w:hyperlink w:anchor="appetite-and-desire">
        <w:r>
          <w:rPr>
            <w:color w:val="000000"/>
          </w:rPr>
          <w:t xml:space="preserve">Appetite and desire</w:t>
        </w:r>
      </w:hyperlink>
      <w:r>
        <w:rPr>
          <w:b w:val="0"/>
          <w:i w:val="0"/>
        </w:rPr>
        <w:t xml:space="preserve">; </w:t>
      </w:r>
      <w:hyperlink w:anchor="communication-and-imparting">
        <w:r>
          <w:rPr>
            <w:color w:val="000000"/>
          </w:rPr>
          <w:t xml:space="preserve">Communication and imparting</w:t>
        </w:r>
      </w:hyperlink>
      <w:r>
        <w:rPr>
          <w:b w:val="0"/>
          <w:i w:val="0"/>
        </w:rPr>
        <w:t xml:space="preserve">; </w:t>
      </w:r>
      <w:hyperlink w:anchor="good-and-goodness">
        <w:r>
          <w:rPr>
            <w:color w:val="000000"/>
          </w:rPr>
          <w:t xml:space="preserve">Good and goodness</w:t>
        </w:r>
      </w:hyperlink>
      <w:r>
        <w:rPr>
          <w:b w:val="0"/>
          <w:i w:val="0"/>
        </w:rPr>
        <w:t xml:space="preserve">. Vocabulary: </w:t>
      </w:r>
      <w:hyperlink w:anchor="latin-record-0682">
        <w:r>
          <w:rPr>
            <w:color w:val="000000"/>
          </w:rPr>
          <w:t xml:space="preserve">melior / melius</w:t>
        </w:r>
      </w:hyperlink>
      <w:r>
        <w:rPr>
          <w:b w:val="0"/>
          <w:i w:val="0"/>
        </w:rPr>
        <w:t xml:space="preserve">; </w:t>
      </w:r>
      <w:hyperlink w:anchor="latin-record-1107">
        <w:r>
          <w:rPr>
            <w:color w:val="000000"/>
          </w:rPr>
          <w:t xml:space="preserve">similis / similitudo</w:t>
        </w:r>
      </w:hyperlink>
      <w:r>
        <w:rPr>
          <w:b w:val="0"/>
          <w:i w:val="0"/>
        </w:rPr>
        <w:t xml:space="preserve">; </w:t>
      </w:r>
      <w:hyperlink w:anchor="latin-record-1148">
        <w:r>
          <w:rPr>
            <w:color w:val="000000"/>
          </w:rPr>
          <w:t xml:space="preserve">stultus / sapienter / perspicue / vulgo / gratia / idealis</w:t>
        </w:r>
      </w:hyperlink>
      <w:r>
        <w:rPr>
          <w:b w:val="0"/>
          <w:i w:val="0"/>
        </w:rPr>
        <w:t>.</w:t>
      </w:r>
    </w:p>
    <w:p>
      <w:pPr>
        <w:widowControl/>
      </w:pPr>
      <w:bookmarkStart w:id="1775" w:name="passage-ii-7-6"/>
      <w:bookmarkEnd w:id="1775"/>
      <w:r>
        <w:rPr>
          <w:b/>
          <w:i w:val="0"/>
        </w:rPr>
        <w:t>II.7.6</w:t>
      </w:r>
      <w:r>
        <w:rPr>
          <w:b/>
          <w:i w:val="0"/>
        </w:rPr>
        <w:t>, source pp. 146–147.</w:t>
      </w:r>
      <w:r>
        <w:rPr>
          <w:b w:val="0"/>
          <w:i w:val="0"/>
        </w:rPr>
        <w:t xml:space="preserve"> Articles: </w:t>
      </w:r>
      <w:hyperlink w:anchor="army-and-commander">
        <w:r>
          <w:rPr>
            <w:color w:val="000000"/>
          </w:rPr>
          <w:t xml:space="preserve">Army and commander</w:t>
        </w:r>
      </w:hyperlink>
      <w:r>
        <w:rPr>
          <w:b w:val="0"/>
          <w:i w:val="0"/>
        </w:rPr>
        <w:t xml:space="preserve">; </w:t>
      </w:r>
      <w:hyperlink w:anchor="being">
        <w:r>
          <w:rPr>
            <w:color w:val="000000"/>
          </w:rPr>
          <w:t xml:space="preserve">Being</w:t>
        </w:r>
      </w:hyperlink>
      <w:r>
        <w:rPr>
          <w:b w:val="0"/>
          <w:i w:val="0"/>
        </w:rPr>
        <w:t xml:space="preserve">; </w:t>
      </w:r>
      <w:hyperlink w:anchor="common-and-proper">
        <w:r>
          <w:rPr>
            <w:color w:val="000000"/>
          </w:rPr>
          <w:t xml:space="preserve">Common and proper</w:t>
        </w:r>
      </w:hyperlink>
      <w:r>
        <w:rPr>
          <w:b w:val="0"/>
          <w:i w:val="0"/>
        </w:rPr>
        <w:t xml:space="preserve">; </w:t>
      </w:r>
      <w:hyperlink w:anchor="communication-and-imparting">
        <w:r>
          <w:rPr>
            <w:color w:val="000000"/>
          </w:rPr>
          <w:t xml:space="preserve">Communication and imparting</w:t>
        </w:r>
      </w:hyperlink>
      <w:r>
        <w:rPr>
          <w:b w:val="0"/>
          <w:i w:val="0"/>
        </w:rPr>
        <w:t xml:space="preserve">. Vocabulary: </w:t>
      </w:r>
      <w:hyperlink w:anchor="latin-record-0201">
        <w:r>
          <w:rPr>
            <w:color w:val="000000"/>
          </w:rPr>
          <w:t xml:space="preserve">communis</w:t>
        </w:r>
      </w:hyperlink>
      <w:r>
        <w:rPr>
          <w:b w:val="0"/>
          <w:i w:val="0"/>
        </w:rPr>
        <w:t xml:space="preserve">; </w:t>
      </w:r>
      <w:hyperlink w:anchor="latin-record-0399">
        <w:r>
          <w:rPr>
            <w:color w:val="000000"/>
          </w:rPr>
          <w:t xml:space="preserve">exercitus / dux</w:t>
        </w:r>
      </w:hyperlink>
      <w:r>
        <w:rPr>
          <w:b w:val="0"/>
          <w:i w:val="0"/>
        </w:rPr>
        <w:t xml:space="preserve">; </w:t>
      </w:r>
      <w:hyperlink w:anchor="latin-record-0731">
        <w:r>
          <w:rPr>
            <w:color w:val="000000"/>
          </w:rPr>
          <w:t xml:space="preserve">munus</w:t>
        </w:r>
      </w:hyperlink>
      <w:r>
        <w:rPr>
          <w:b w:val="0"/>
          <w:i w:val="0"/>
        </w:rPr>
        <w:t>.</w:t>
      </w:r>
    </w:p>
    <w:p>
      <w:pPr>
        <w:widowControl/>
      </w:pPr>
      <w:bookmarkStart w:id="1776" w:name="passage-ii-7-7"/>
      <w:bookmarkEnd w:id="1776"/>
      <w:r>
        <w:rPr>
          <w:b/>
          <w:i w:val="0"/>
        </w:rPr>
        <w:t>II.7.7</w:t>
      </w:r>
      <w:r>
        <w:rPr>
          <w:b/>
          <w:i w:val="0"/>
        </w:rPr>
        <w:t>, source pp. 146–147.</w:t>
      </w:r>
      <w:r>
        <w:rPr>
          <w:b w:val="0"/>
          <w:i w:val="0"/>
        </w:rPr>
        <w:t xml:space="preserve"> Articles: </w:t>
      </w:r>
      <w:hyperlink w:anchor="being">
        <w:r>
          <w:rPr>
            <w:color w:val="000000"/>
          </w:rPr>
          <w:t xml:space="preserve">Being</w:t>
        </w:r>
      </w:hyperlink>
      <w:r>
        <w:rPr>
          <w:b w:val="0"/>
          <w:i w:val="0"/>
        </w:rPr>
        <w:t xml:space="preserve">; </w:t>
      </w:r>
      <w:hyperlink w:anchor="hermetic-theologians-and-the-magi">
        <w:r>
          <w:rPr>
            <w:color w:val="000000"/>
          </w:rPr>
          <w:t xml:space="preserve">Hermetic theologians and the Magi</w:t>
        </w:r>
      </w:hyperlink>
      <w:r>
        <w:rPr>
          <w:b w:val="0"/>
          <w:i w:val="0"/>
        </w:rPr>
        <w:t xml:space="preserve">; </w:t>
      </w:r>
      <w:hyperlink w:anchor="motion-and-stability">
        <w:r>
          <w:rPr>
            <w:color w:val="000000"/>
          </w:rPr>
          <w:t xml:space="preserve">Motion and stability</w:t>
        </w:r>
      </w:hyperlink>
      <w:r>
        <w:rPr>
          <w:b w:val="0"/>
          <w:i w:val="0"/>
        </w:rPr>
        <w:t xml:space="preserve">; </w:t>
      </w:r>
      <w:hyperlink w:anchor="nothing-and-nonbeing">
        <w:r>
          <w:rPr>
            <w:color w:val="000000"/>
          </w:rPr>
          <w:t xml:space="preserve">Nothing and nonbeing</w:t>
        </w:r>
      </w:hyperlink>
      <w:r>
        <w:rPr>
          <w:b w:val="0"/>
          <w:i w:val="0"/>
        </w:rPr>
        <w:t xml:space="preserve">. Vocabulary: </w:t>
      </w:r>
      <w:hyperlink w:anchor="latin-record-0106">
        <w:r>
          <w:rPr>
            <w:color w:val="000000"/>
          </w:rPr>
          <w:t xml:space="preserve">attingere / tetigit</w:t>
        </w:r>
      </w:hyperlink>
      <w:r>
        <w:rPr>
          <w:b w:val="0"/>
          <w:i w:val="0"/>
        </w:rPr>
        <w:t xml:space="preserve">; </w:t>
      </w:r>
      <w:hyperlink w:anchor="latin-record-0517">
        <w:r>
          <w:rPr>
            <w:color w:val="000000"/>
          </w:rPr>
          <w:t xml:space="preserve">hymnus / theologia / sacerdos</w:t>
        </w:r>
      </w:hyperlink>
      <w:r>
        <w:rPr>
          <w:b w:val="0"/>
          <w:i w:val="0"/>
        </w:rPr>
        <w:t xml:space="preserve">; </w:t>
      </w:r>
      <w:hyperlink w:anchor="latin-record-0698">
        <w:r>
          <w:rPr>
            <w:color w:val="000000"/>
          </w:rPr>
          <w:t xml:space="preserve">migrare / transire</w:t>
        </w:r>
      </w:hyperlink>
      <w:r>
        <w:rPr>
          <w:b w:val="0"/>
          <w:i w:val="0"/>
        </w:rPr>
        <w:t xml:space="preserve">; </w:t>
      </w:r>
      <w:hyperlink w:anchor="latin-record-1289">
        <w:r>
          <w:rPr>
            <w:color w:val="000000"/>
          </w:rPr>
          <w:t xml:space="preserve">Zoroaster / ignis unus</w:t>
        </w:r>
      </w:hyperlink>
      <w:r>
        <w:rPr>
          <w:b w:val="0"/>
          <w:i w:val="0"/>
        </w:rPr>
        <w:t xml:space="preserve">; </w:t>
      </w:r>
      <w:hyperlink w:anchor="greek-record-06">
        <w:r>
          <w:rPr>
            <w:color w:val="000000"/>
          </w:rPr>
          <w:t xml:space="preserve">Generated from one fire</w:t>
        </w:r>
      </w:hyperlink>
      <w:r>
        <w:rPr>
          <w:b w:val="0"/>
          <w:i w:val="0"/>
        </w:rPr>
        <w:t>.</w:t>
      </w:r>
    </w:p>
    <w:p>
      <w:pPr>
        <w:widowControl/>
      </w:pPr>
      <w:bookmarkStart w:id="1777" w:name="passage-ii-7-8"/>
      <w:bookmarkEnd w:id="1777"/>
      <w:r>
        <w:rPr>
          <w:b/>
          <w:i w:val="0"/>
        </w:rPr>
        <w:t>II.7.8</w:t>
      </w:r>
      <w:r>
        <w:rPr>
          <w:b/>
          <w:i w:val="0"/>
        </w:rPr>
        <w:t>, source pp. 146–147.</w:t>
      </w:r>
      <w:r>
        <w:rPr>
          <w:b w:val="0"/>
          <w:i w:val="0"/>
        </w:rPr>
        <w:t xml:space="preserve"> Articles: </w:t>
      </w:r>
      <w:hyperlink w:anchor="being">
        <w:r>
          <w:rPr>
            <w:color w:val="000000"/>
          </w:rPr>
          <w:t xml:space="preserve">Being</w:t>
        </w:r>
      </w:hyperlink>
      <w:r>
        <w:rPr>
          <w:b w:val="0"/>
          <w:i w:val="0"/>
        </w:rPr>
        <w:t xml:space="preserve">; </w:t>
      </w:r>
      <w:hyperlink w:anchor="freedom-and-necessity">
        <w:r>
          <w:rPr>
            <w:color w:val="000000"/>
          </w:rPr>
          <w:t xml:space="preserve">Freedom and necessity</w:t>
        </w:r>
      </w:hyperlink>
      <w:r>
        <w:rPr>
          <w:b w:val="0"/>
          <w:i w:val="0"/>
        </w:rPr>
        <w:t xml:space="preserve">; </w:t>
      </w:r>
      <w:hyperlink w:anchor="motion-and-stability">
        <w:r>
          <w:rPr>
            <w:color w:val="000000"/>
          </w:rPr>
          <w:t xml:space="preserve">Motion and stability</w:t>
        </w:r>
      </w:hyperlink>
      <w:r>
        <w:rPr>
          <w:b w:val="0"/>
          <w:i w:val="0"/>
        </w:rPr>
        <w:t xml:space="preserve">; </w:t>
      </w:r>
      <w:hyperlink w:anchor="nothing-and-nonbeing">
        <w:r>
          <w:rPr>
            <w:color w:val="000000"/>
          </w:rPr>
          <w:t xml:space="preserve">Nothing and nonbeing</w:t>
        </w:r>
      </w:hyperlink>
      <w:r>
        <w:rPr>
          <w:b w:val="0"/>
          <w:i w:val="0"/>
        </w:rPr>
        <w:t xml:space="preserve">. Vocabulary: </w:t>
      </w:r>
      <w:hyperlink w:anchor="latin-record-0035">
        <w:r>
          <w:rPr>
            <w:color w:val="000000"/>
          </w:rPr>
          <w:t xml:space="preserve">aequalis / aeque</w:t>
        </w:r>
      </w:hyperlink>
      <w:r>
        <w:rPr>
          <w:b w:val="0"/>
          <w:i w:val="0"/>
        </w:rPr>
        <w:t xml:space="preserve">; </w:t>
      </w:r>
      <w:hyperlink w:anchor="latin-record-0182">
        <w:r>
          <w:rPr>
            <w:color w:val="000000"/>
          </w:rPr>
          <w:t xml:space="preserve">cohibere / detinere</w:t>
        </w:r>
      </w:hyperlink>
      <w:r>
        <w:rPr>
          <w:b w:val="0"/>
          <w:i w:val="0"/>
        </w:rPr>
        <w:t xml:space="preserve">; </w:t>
      </w:r>
      <w:hyperlink w:anchor="latin-record-0281">
        <w:r>
          <w:rPr>
            <w:color w:val="000000"/>
          </w:rPr>
          <w:t xml:space="preserve">corpus / corporalis</w:t>
        </w:r>
      </w:hyperlink>
      <w:r>
        <w:rPr>
          <w:b w:val="0"/>
          <w:i w:val="0"/>
        </w:rPr>
        <w:t xml:space="preserve">; </w:t>
      </w:r>
      <w:hyperlink w:anchor="latin-record-0381">
        <w:r>
          <w:rPr>
            <w:color w:val="000000"/>
          </w:rPr>
          <w:t xml:space="preserve">essendi modus</w:t>
        </w:r>
      </w:hyperlink>
      <w:r>
        <w:rPr>
          <w:b w:val="0"/>
          <w:i w:val="0"/>
        </w:rPr>
        <w:t xml:space="preserve">; </w:t>
      </w:r>
      <w:hyperlink w:anchor="latin-record-0553">
        <w:r>
          <w:rPr>
            <w:color w:val="000000"/>
          </w:rPr>
          <w:t xml:space="preserve">incorporeus / incorporalis / indivisibilis</w:t>
        </w:r>
      </w:hyperlink>
      <w:r>
        <w:rPr>
          <w:b w:val="0"/>
          <w:i w:val="0"/>
        </w:rPr>
        <w:t xml:space="preserve">; </w:t>
      </w:r>
      <w:hyperlink w:anchor="latin-record-0707">
        <w:r>
          <w:rPr>
            <w:color w:val="000000"/>
          </w:rPr>
          <w:t xml:space="preserve">modus / modo</w:t>
        </w:r>
      </w:hyperlink>
      <w:r>
        <w:rPr>
          <w:b w:val="0"/>
          <w:i w:val="0"/>
        </w:rPr>
        <w:t xml:space="preserve">; </w:t>
      </w:r>
      <w:hyperlink w:anchor="latin-record-0720">
        <w:r>
          <w:rPr>
            <w:color w:val="000000"/>
          </w:rPr>
          <w:t xml:space="preserve">motus / motio / motor / mutare</w:t>
        </w:r>
      </w:hyperlink>
      <w:r>
        <w:rPr>
          <w:b w:val="0"/>
          <w:i w:val="0"/>
        </w:rPr>
        <w:t xml:space="preserve">; </w:t>
      </w:r>
      <w:hyperlink w:anchor="latin-record-1141">
        <w:r>
          <w:rPr>
            <w:color w:val="000000"/>
          </w:rPr>
          <w:t xml:space="preserve">status / stare</w:t>
        </w:r>
      </w:hyperlink>
      <w:r>
        <w:rPr>
          <w:b w:val="0"/>
          <w:i w:val="0"/>
        </w:rPr>
        <w:t>.</w:t>
      </w:r>
    </w:p>
    <w:p>
      <w:pPr>
        <w:widowControl/>
      </w:pPr>
      <w:bookmarkStart w:id="1778" w:name="passage-ii-7-9"/>
      <w:bookmarkEnd w:id="1778"/>
      <w:r>
        <w:rPr>
          <w:b/>
          <w:i w:val="0"/>
        </w:rPr>
        <w:t>II.7.9</w:t>
      </w:r>
      <w:r>
        <w:rPr>
          <w:b/>
          <w:i w:val="0"/>
        </w:rPr>
        <w:t>, source pp. 146–147.</w:t>
      </w:r>
      <w:r>
        <w:rPr>
          <w:b w:val="0"/>
          <w:i w:val="0"/>
        </w:rPr>
        <w:t xml:space="preserve"> Articles: </w:t>
      </w:r>
      <w:hyperlink w:anchor="being">
        <w:r>
          <w:rPr>
            <w:color w:val="000000"/>
          </w:rPr>
          <w:t xml:space="preserve">Being</w:t>
        </w:r>
      </w:hyperlink>
      <w:r>
        <w:rPr>
          <w:b w:val="0"/>
          <w:i w:val="0"/>
        </w:rPr>
        <w:t xml:space="preserve">; </w:t>
      </w:r>
      <w:hyperlink w:anchor="concord-and-convergence">
        <w:r>
          <w:rPr>
            <w:color w:val="000000"/>
          </w:rPr>
          <w:t xml:space="preserve">Concord and convergence</w:t>
        </w:r>
      </w:hyperlink>
      <w:r>
        <w:rPr>
          <w:b w:val="0"/>
          <w:i w:val="0"/>
        </w:rPr>
        <w:t xml:space="preserve">; </w:t>
      </w:r>
      <w:hyperlink w:anchor="essence-and-substance">
        <w:r>
          <w:rPr>
            <w:color w:val="000000"/>
          </w:rPr>
          <w:t xml:space="preserve">Essence and substance</w:t>
        </w:r>
      </w:hyperlink>
      <w:r>
        <w:rPr>
          <w:b w:val="0"/>
          <w:i w:val="0"/>
        </w:rPr>
        <w:t xml:space="preserve">; </w:t>
      </w:r>
      <w:hyperlink w:anchor="freedom-and-necessity">
        <w:r>
          <w:rPr>
            <w:color w:val="000000"/>
          </w:rPr>
          <w:t xml:space="preserve">Freedom and necessity</w:t>
        </w:r>
      </w:hyperlink>
      <w:r>
        <w:rPr>
          <w:b w:val="0"/>
          <w:i w:val="0"/>
        </w:rPr>
        <w:t xml:space="preserve">; </w:t>
      </w:r>
      <w:hyperlink w:anchor="motion-and-stability">
        <w:r>
          <w:rPr>
            <w:color w:val="000000"/>
          </w:rPr>
          <w:t xml:space="preserve">Motion and stability</w:t>
        </w:r>
      </w:hyperlink>
      <w:r>
        <w:rPr>
          <w:b w:val="0"/>
          <w:i w:val="0"/>
        </w:rPr>
        <w:t xml:space="preserve">; </w:t>
      </w:r>
      <w:hyperlink w:anchor="nothing-and-nonbeing">
        <w:r>
          <w:rPr>
            <w:color w:val="000000"/>
          </w:rPr>
          <w:t xml:space="preserve">Nothing and nonbeing</w:t>
        </w:r>
      </w:hyperlink>
      <w:r>
        <w:rPr>
          <w:b w:val="0"/>
          <w:i w:val="0"/>
        </w:rPr>
        <w:t xml:space="preserve">; </w:t>
      </w:r>
      <w:hyperlink w:anchor="simplicity-and-composition">
        <w:r>
          <w:rPr>
            <w:color w:val="000000"/>
          </w:rPr>
          <w:t xml:space="preserve">Simplicity and composition</w:t>
        </w:r>
      </w:hyperlink>
      <w:r>
        <w:rPr>
          <w:b w:val="0"/>
          <w:i w:val="0"/>
        </w:rPr>
        <w:t xml:space="preserve">. Vocabulary: </w:t>
      </w:r>
      <w:hyperlink w:anchor="latin-record-0211">
        <w:r>
          <w:rPr>
            <w:color w:val="000000"/>
          </w:rPr>
          <w:t xml:space="preserve">componere / compositio</w:t>
        </w:r>
      </w:hyperlink>
      <w:r>
        <w:rPr>
          <w:b w:val="0"/>
          <w:i w:val="0"/>
        </w:rPr>
        <w:t xml:space="preserve">; </w:t>
      </w:r>
      <w:hyperlink w:anchor="latin-record-0219">
        <w:r>
          <w:rPr>
            <w:color w:val="000000"/>
          </w:rPr>
          <w:t xml:space="preserve">conciliare</w:t>
        </w:r>
      </w:hyperlink>
      <w:r>
        <w:rPr>
          <w:b w:val="0"/>
          <w:i w:val="0"/>
        </w:rPr>
        <w:t xml:space="preserve">; </w:t>
      </w:r>
      <w:hyperlink w:anchor="latin-record-0748">
        <w:r>
          <w:rPr>
            <w:color w:val="000000"/>
          </w:rPr>
          <w:t xml:space="preserve">necessitas / necessario</w:t>
        </w:r>
      </w:hyperlink>
      <w:r>
        <w:rPr>
          <w:b w:val="0"/>
          <w:i w:val="0"/>
        </w:rPr>
        <w:t xml:space="preserve">; </w:t>
      </w:r>
      <w:hyperlink w:anchor="latin-record-1108">
        <w:r>
          <w:rPr>
            <w:color w:val="000000"/>
          </w:rPr>
          <w:t xml:space="preserve">simplex / simplicitas</w:t>
        </w:r>
      </w:hyperlink>
      <w:r>
        <w:rPr>
          <w:b w:val="0"/>
          <w:i w:val="0"/>
        </w:rPr>
        <w:t>.</w:t>
      </w:r>
    </w:p>
    <w:p>
      <w:pPr>
        <w:widowControl/>
      </w:pPr>
      <w:bookmarkStart w:id="1779" w:name="passage-ii-7-10"/>
      <w:bookmarkEnd w:id="1779"/>
      <w:r>
        <w:rPr>
          <w:b/>
          <w:i w:val="0"/>
        </w:rPr>
        <w:t>II.7.10</w:t>
      </w:r>
      <w:r>
        <w:rPr>
          <w:b/>
          <w:i w:val="0"/>
        </w:rPr>
        <w:t>, source pp. 148–149.</w:t>
      </w:r>
      <w:r>
        <w:rPr>
          <w:b w:val="0"/>
          <w:i w:val="0"/>
        </w:rPr>
        <w:t xml:space="preserve"> Articles: </w:t>
      </w:r>
      <w:hyperlink w:anchor="essence-and-substance">
        <w:r>
          <w:rPr>
            <w:color w:val="000000"/>
          </w:rPr>
          <w:t xml:space="preserve">Essence and substance</w:t>
        </w:r>
      </w:hyperlink>
      <w:r>
        <w:rPr>
          <w:b w:val="0"/>
          <w:i w:val="0"/>
        </w:rPr>
        <w:t xml:space="preserve">; </w:t>
      </w:r>
      <w:hyperlink w:anchor="freedom-and-necessity">
        <w:r>
          <w:rPr>
            <w:color w:val="000000"/>
          </w:rPr>
          <w:t xml:space="preserve">Freedom and necessity</w:t>
        </w:r>
      </w:hyperlink>
      <w:r>
        <w:rPr>
          <w:b w:val="0"/>
          <w:i w:val="0"/>
        </w:rPr>
        <w:t xml:space="preserve">; </w:t>
      </w:r>
      <w:hyperlink w:anchor="nothing-and-nonbeing">
        <w:r>
          <w:rPr>
            <w:color w:val="000000"/>
          </w:rPr>
          <w:t xml:space="preserve">Nothing and nonbeing</w:t>
        </w:r>
      </w:hyperlink>
      <w:r>
        <w:rPr>
          <w:b w:val="0"/>
          <w:i w:val="0"/>
        </w:rPr>
        <w:t xml:space="preserve">; </w:t>
      </w:r>
      <w:hyperlink w:anchor="simplicity-and-composition">
        <w:r>
          <w:rPr>
            <w:color w:val="000000"/>
          </w:rPr>
          <w:t xml:space="preserve">Simplicity and composition</w:t>
        </w:r>
      </w:hyperlink>
      <w:r>
        <w:rPr>
          <w:b w:val="0"/>
          <w:i w:val="0"/>
        </w:rPr>
        <w:t xml:space="preserve">. Vocabulary: </w:t>
      </w:r>
      <w:hyperlink w:anchor="latin-record-0242">
        <w:r>
          <w:rPr>
            <w:color w:val="000000"/>
          </w:rPr>
          <w:t xml:space="preserve">connexio</w:t>
        </w:r>
      </w:hyperlink>
      <w:r>
        <w:rPr>
          <w:b w:val="0"/>
          <w:i w:val="0"/>
        </w:rPr>
        <w:t xml:space="preserve">; </w:t>
      </w:r>
      <w:hyperlink w:anchor="latin-record-0575">
        <w:r>
          <w:rPr>
            <w:color w:val="000000"/>
          </w:rPr>
          <w:t xml:space="preserve">inniti / subsistere</w:t>
        </w:r>
      </w:hyperlink>
      <w:r>
        <w:rPr>
          <w:b w:val="0"/>
          <w:i w:val="0"/>
        </w:rPr>
        <w:t xml:space="preserve">; </w:t>
      </w:r>
      <w:hyperlink w:anchor="latin-record-1050">
        <w:r>
          <w:rPr>
            <w:color w:val="000000"/>
          </w:rPr>
          <w:t xml:space="preserve">resolvi / dissolutio</w:t>
        </w:r>
      </w:hyperlink>
      <w:r>
        <w:rPr>
          <w:b w:val="0"/>
          <w:i w:val="0"/>
        </w:rPr>
        <w:t>.</w:t>
      </w:r>
    </w:p>
    <w:p>
      <w:pPr>
        <w:widowControl/>
      </w:pPr>
      <w:bookmarkStart w:id="1780" w:name="passage-ii-7-11"/>
      <w:bookmarkEnd w:id="1780"/>
      <w:r>
        <w:rPr>
          <w:b/>
          <w:i w:val="0"/>
        </w:rPr>
        <w:t>II.7.11</w:t>
      </w:r>
      <w:r>
        <w:rPr>
          <w:b/>
          <w:i w:val="0"/>
        </w:rPr>
        <w:t>, source pp. 148–149.</w:t>
      </w:r>
      <w:r>
        <w:rPr>
          <w:b w:val="0"/>
          <w:i w:val="0"/>
        </w:rPr>
        <w:t xml:space="preserve"> Articles: </w:t>
      </w:r>
      <w:hyperlink w:anchor="essence-and-substance">
        <w:r>
          <w:rPr>
            <w:color w:val="000000"/>
          </w:rPr>
          <w:t xml:space="preserve">Essence and substance</w:t>
        </w:r>
      </w:hyperlink>
      <w:r>
        <w:rPr>
          <w:b w:val="0"/>
          <w:i w:val="0"/>
        </w:rPr>
        <w:t xml:space="preserve">; </w:t>
      </w:r>
      <w:hyperlink w:anchor="freedom-and-necessity">
        <w:r>
          <w:rPr>
            <w:color w:val="000000"/>
          </w:rPr>
          <w:t xml:space="preserve">Freedom and necessity</w:t>
        </w:r>
      </w:hyperlink>
      <w:r>
        <w:rPr>
          <w:b w:val="0"/>
          <w:i w:val="0"/>
        </w:rPr>
        <w:t xml:space="preserve">; </w:t>
      </w:r>
      <w:hyperlink w:anchor="orpheus-and-divine-names">
        <w:r>
          <w:rPr>
            <w:color w:val="000000"/>
          </w:rPr>
          <w:t xml:space="preserve">Orpheus and divine names</w:t>
        </w:r>
      </w:hyperlink>
      <w:r>
        <w:rPr>
          <w:b w:val="0"/>
          <w:i w:val="0"/>
        </w:rPr>
        <w:t xml:space="preserve">. Vocabulary: </w:t>
      </w:r>
      <w:hyperlink w:anchor="latin-record-0316">
        <w:r>
          <w:rPr>
            <w:color w:val="000000"/>
          </w:rPr>
          <w:t xml:space="preserve">dicere / vocare / appellare</w:t>
        </w:r>
      </w:hyperlink>
      <w:r>
        <w:rPr>
          <w:b w:val="0"/>
          <w:i w:val="0"/>
        </w:rPr>
        <w:t xml:space="preserve">; </w:t>
      </w:r>
      <w:hyperlink w:anchor="latin-record-0348">
        <w:r>
          <w:rPr>
            <w:color w:val="000000"/>
          </w:rPr>
          <w:t xml:space="preserve">dominari / praevalere</w:t>
        </w:r>
      </w:hyperlink>
      <w:r>
        <w:rPr>
          <w:b w:val="0"/>
          <w:i w:val="0"/>
        </w:rPr>
        <w:t xml:space="preserve">; </w:t>
      </w:r>
      <w:hyperlink w:anchor="latin-record-0748">
        <w:r>
          <w:rPr>
            <w:color w:val="000000"/>
          </w:rPr>
          <w:t xml:space="preserve">necessitas / necessario</w:t>
        </w:r>
      </w:hyperlink>
      <w:r>
        <w:rPr>
          <w:b w:val="0"/>
          <w:i w:val="0"/>
        </w:rPr>
        <w:t xml:space="preserve">; </w:t>
      </w:r>
      <w:hyperlink w:anchor="latin-record-0813">
        <w:r>
          <w:rPr>
            <w:color w:val="000000"/>
          </w:rPr>
          <w:t xml:space="preserve">Orpheus / Orphici</w:t>
        </w:r>
      </w:hyperlink>
      <w:r>
        <w:rPr>
          <w:b w:val="0"/>
          <w:i w:val="0"/>
        </w:rPr>
        <w:t xml:space="preserve">; </w:t>
      </w:r>
      <w:hyperlink w:anchor="greek-record-07">
        <w:r>
          <w:rPr>
            <w:color w:val="000000"/>
          </w:rPr>
          <w:t xml:space="preserve">Necessity ruling all things</w:t>
        </w:r>
      </w:hyperlink>
      <w:r>
        <w:rPr>
          <w:b w:val="0"/>
          <w:i w:val="0"/>
        </w:rPr>
        <w:t>.</w:t>
      </w:r>
    </w:p>
    <w:p>
      <w:pPr>
        <w:widowControl/>
      </w:pPr>
      <w:bookmarkStart w:id="1781" w:name="passage-ii-7-12"/>
      <w:bookmarkEnd w:id="1781"/>
      <w:r>
        <w:rPr>
          <w:b/>
          <w:i w:val="0"/>
        </w:rPr>
        <w:t>II.7.12</w:t>
      </w:r>
      <w:r>
        <w:rPr>
          <w:b/>
          <w:i w:val="0"/>
        </w:rPr>
        <w:t>, source pp. 148–149.</w:t>
      </w:r>
      <w:r>
        <w:rPr>
          <w:b w:val="0"/>
          <w:i w:val="0"/>
        </w:rPr>
        <w:t xml:space="preserve"> Articles: </w:t>
      </w:r>
      <w:hyperlink w:anchor="essence-and-substance">
        <w:r>
          <w:rPr>
            <w:color w:val="000000"/>
          </w:rPr>
          <w:t xml:space="preserve">Essence and substance</w:t>
        </w:r>
      </w:hyperlink>
      <w:r>
        <w:rPr>
          <w:b w:val="0"/>
          <w:i w:val="0"/>
        </w:rPr>
        <w:t xml:space="preserve">; </w:t>
      </w:r>
      <w:hyperlink w:anchor="freedom-and-necessity">
        <w:r>
          <w:rPr>
            <w:color w:val="000000"/>
          </w:rPr>
          <w:t xml:space="preserve">Freedom and necessity</w:t>
        </w:r>
      </w:hyperlink>
      <w:r>
        <w:rPr>
          <w:b w:val="0"/>
          <w:i w:val="0"/>
        </w:rPr>
        <w:t xml:space="preserve">; </w:t>
      </w:r>
      <w:hyperlink w:anchor="purity-and-mixture">
        <w:r>
          <w:rPr>
            <w:color w:val="000000"/>
          </w:rPr>
          <w:t xml:space="preserve">Purity and mixture</w:t>
        </w:r>
      </w:hyperlink>
      <w:r>
        <w:rPr>
          <w:b w:val="0"/>
          <w:i w:val="0"/>
        </w:rPr>
        <w:t xml:space="preserve">. Vocabulary: </w:t>
      </w:r>
      <w:hyperlink w:anchor="latin-record-0067">
        <w:r>
          <w:rPr>
            <w:color w:val="000000"/>
          </w:rPr>
          <w:t xml:space="preserve">angelus</w:t>
        </w:r>
      </w:hyperlink>
      <w:r>
        <w:rPr>
          <w:b w:val="0"/>
          <w:i w:val="0"/>
        </w:rPr>
        <w:t xml:space="preserve">; </w:t>
      </w:r>
      <w:hyperlink w:anchor="latin-record-0173">
        <w:r>
          <w:rPr>
            <w:color w:val="000000"/>
          </w:rPr>
          <w:t xml:space="preserve">cogere / compellere</w:t>
        </w:r>
      </w:hyperlink>
      <w:r>
        <w:rPr>
          <w:b w:val="0"/>
          <w:i w:val="0"/>
        </w:rPr>
        <w:t xml:space="preserve">; </w:t>
      </w:r>
      <w:hyperlink w:anchor="latin-record-0317">
        <w:r>
          <w:rPr>
            <w:color w:val="000000"/>
          </w:rPr>
          <w:t xml:space="preserve">differre / discrepare</w:t>
        </w:r>
      </w:hyperlink>
      <w:r>
        <w:rPr>
          <w:b w:val="0"/>
          <w:i w:val="0"/>
        </w:rPr>
        <w:t xml:space="preserve">; </w:t>
      </w:r>
      <w:hyperlink w:anchor="latin-record-0890">
        <w:r>
          <w:rPr>
            <w:color w:val="000000"/>
          </w:rPr>
          <w:t xml:space="preserve">ponere / inducere / asserere</w:t>
        </w:r>
      </w:hyperlink>
      <w:r>
        <w:rPr>
          <w:b w:val="0"/>
          <w:i w:val="0"/>
        </w:rPr>
        <w:t>.</w:t>
      </w:r>
    </w:p>
    <w:p>
      <w:pPr>
        <w:widowControl/>
      </w:pPr>
      <w:bookmarkStart w:id="1782" w:name="passage-ii-7-13"/>
      <w:bookmarkEnd w:id="1782"/>
      <w:r>
        <w:rPr>
          <w:b/>
          <w:i w:val="0"/>
        </w:rPr>
        <w:t>II.7.13</w:t>
      </w:r>
      <w:r>
        <w:rPr>
          <w:b/>
          <w:i w:val="0"/>
        </w:rPr>
        <w:t>, source pp. 148–149.</w:t>
      </w:r>
      <w:r>
        <w:rPr>
          <w:b w:val="0"/>
          <w:i w:val="0"/>
        </w:rPr>
        <w:t xml:space="preserve"> Articles: </w:t>
      </w:r>
      <w:hyperlink w:anchor="essence-and-substance">
        <w:r>
          <w:rPr>
            <w:color w:val="000000"/>
          </w:rPr>
          <w:t xml:space="preserve">Essence and substance</w:t>
        </w:r>
      </w:hyperlink>
      <w:r>
        <w:rPr>
          <w:b w:val="0"/>
          <w:i w:val="0"/>
        </w:rPr>
        <w:t xml:space="preserve">; </w:t>
      </w:r>
      <w:hyperlink w:anchor="freedom-and-necessity">
        <w:r>
          <w:rPr>
            <w:color w:val="000000"/>
          </w:rPr>
          <w:t xml:space="preserve">Freedom and necessity</w:t>
        </w:r>
      </w:hyperlink>
      <w:r>
        <w:rPr>
          <w:b w:val="0"/>
          <w:i w:val="0"/>
        </w:rPr>
        <w:t xml:space="preserve">; </w:t>
      </w:r>
      <w:hyperlink w:anchor="purity-and-mixture">
        <w:r>
          <w:rPr>
            <w:color w:val="000000"/>
          </w:rPr>
          <w:t xml:space="preserve">Purity and mixture</w:t>
        </w:r>
      </w:hyperlink>
      <w:r>
        <w:rPr>
          <w:b w:val="0"/>
          <w:i w:val="0"/>
        </w:rPr>
        <w:t xml:space="preserve">. Vocabulary: </w:t>
      </w:r>
      <w:hyperlink w:anchor="latin-record-0195">
        <w:r>
          <w:rPr>
            <w:color w:val="000000"/>
          </w:rPr>
          <w:t xml:space="preserve">commiscere / mixtio</w:t>
        </w:r>
      </w:hyperlink>
      <w:r>
        <w:rPr>
          <w:b w:val="0"/>
          <w:i w:val="0"/>
        </w:rPr>
        <w:t xml:space="preserve">; </w:t>
      </w:r>
      <w:hyperlink w:anchor="latin-record-0284">
        <w:r>
          <w:rPr>
            <w:color w:val="000000"/>
          </w:rPr>
          <w:t xml:space="preserve">crescere / decrescere / minuere</w:t>
        </w:r>
      </w:hyperlink>
      <w:r>
        <w:rPr>
          <w:b w:val="0"/>
          <w:i w:val="0"/>
        </w:rPr>
        <w:t>.</w:t>
      </w:r>
    </w:p>
    <w:p>
      <w:pPr>
        <w:widowControl/>
      </w:pPr>
      <w:bookmarkStart w:id="1783" w:name="passage-ii-7-14"/>
      <w:bookmarkEnd w:id="1783"/>
      <w:r>
        <w:rPr>
          <w:b/>
          <w:i w:val="0"/>
        </w:rPr>
        <w:t>II.7.14</w:t>
      </w:r>
      <w:r>
        <w:rPr>
          <w:b/>
          <w:i w:val="0"/>
        </w:rPr>
        <w:t>, source pp. 148–149.</w:t>
      </w:r>
      <w:r>
        <w:rPr>
          <w:b w:val="0"/>
          <w:i w:val="0"/>
        </w:rPr>
        <w:t xml:space="preserve"> Articles: </w:t>
      </w:r>
      <w:hyperlink w:anchor="agreement-and-hypothetical-concession">
        <w:r>
          <w:rPr>
            <w:color w:val="000000"/>
          </w:rPr>
          <w:t xml:space="preserve">Agreement and hypothetical concession</w:t>
        </w:r>
      </w:hyperlink>
      <w:r>
        <w:rPr>
          <w:b w:val="0"/>
          <w:i w:val="0"/>
        </w:rPr>
        <w:t xml:space="preserve">; </w:t>
      </w:r>
      <w:hyperlink w:anchor="dependence-and-receiving">
        <w:r>
          <w:rPr>
            <w:color w:val="000000"/>
          </w:rPr>
          <w:t xml:space="preserve">Dependence and receiving</w:t>
        </w:r>
      </w:hyperlink>
      <w:r>
        <w:rPr>
          <w:b w:val="0"/>
          <w:i w:val="0"/>
        </w:rPr>
        <w:t xml:space="preserve">; </w:t>
      </w:r>
      <w:hyperlink w:anchor="essence-and-substance">
        <w:r>
          <w:rPr>
            <w:color w:val="000000"/>
          </w:rPr>
          <w:t xml:space="preserve">Essence and substance</w:t>
        </w:r>
      </w:hyperlink>
      <w:r>
        <w:rPr>
          <w:b w:val="0"/>
          <w:i w:val="0"/>
        </w:rPr>
        <w:t xml:space="preserve">; </w:t>
      </w:r>
      <w:hyperlink w:anchor="freedom-and-necessity">
        <w:r>
          <w:rPr>
            <w:color w:val="000000"/>
          </w:rPr>
          <w:t xml:space="preserve">Freedom and necessity</w:t>
        </w:r>
      </w:hyperlink>
      <w:r>
        <w:rPr>
          <w:b w:val="0"/>
          <w:i w:val="0"/>
        </w:rPr>
        <w:t xml:space="preserve">; </w:t>
      </w:r>
      <w:hyperlink w:anchor="purity-and-mixture">
        <w:r>
          <w:rPr>
            <w:color w:val="000000"/>
          </w:rPr>
          <w:t xml:space="preserve">Purity and mixture</w:t>
        </w:r>
      </w:hyperlink>
      <w:r>
        <w:rPr>
          <w:b w:val="0"/>
          <w:i w:val="0"/>
        </w:rPr>
        <w:t xml:space="preserve">. Vocabulary: </w:t>
      </w:r>
      <w:hyperlink w:anchor="latin-record-0020">
        <w:r>
          <w:rPr>
            <w:color w:val="000000"/>
          </w:rPr>
          <w:t xml:space="preserve">addere / accedere / advenire</w:t>
        </w:r>
      </w:hyperlink>
      <w:r>
        <w:rPr>
          <w:b w:val="0"/>
          <w:i w:val="0"/>
        </w:rPr>
        <w:t xml:space="preserve">; </w:t>
      </w:r>
      <w:hyperlink w:anchor="latin-record-0218">
        <w:r>
          <w:rPr>
            <w:color w:val="000000"/>
          </w:rPr>
          <w:t xml:space="preserve">concedere / admittere / dare as grant</w:t>
        </w:r>
      </w:hyperlink>
      <w:r>
        <w:rPr>
          <w:b w:val="0"/>
          <w:i w:val="0"/>
        </w:rPr>
        <w:t xml:space="preserve">; </w:t>
      </w:r>
      <w:hyperlink w:anchor="latin-record-0419">
        <w:r>
          <w:rPr>
            <w:color w:val="000000"/>
          </w:rPr>
          <w:t xml:space="preserve">extrinsecus / aliunde</w:t>
        </w:r>
      </w:hyperlink>
      <w:r>
        <w:rPr>
          <w:b w:val="0"/>
          <w:i w:val="0"/>
        </w:rPr>
        <w:t xml:space="preserve">; </w:t>
      </w:r>
      <w:hyperlink w:anchor="latin-record-0685">
        <w:r>
          <w:rPr>
            <w:color w:val="000000"/>
          </w:rPr>
          <w:t xml:space="preserve">memorare / respondere / docere</w:t>
        </w:r>
      </w:hyperlink>
      <w:r>
        <w:rPr>
          <w:b w:val="0"/>
          <w:i w:val="0"/>
        </w:rPr>
        <w:t xml:space="preserve">; </w:t>
      </w:r>
      <w:hyperlink w:anchor="latin-record-0965">
        <w:r>
          <w:rPr>
            <w:color w:val="000000"/>
          </w:rPr>
          <w:t xml:space="preserve">proprius / proprietas</w:t>
        </w:r>
      </w:hyperlink>
      <w:r>
        <w:rPr>
          <w:b w:val="0"/>
          <w:i w:val="0"/>
        </w:rPr>
        <w:t xml:space="preserve">; </w:t>
      </w:r>
      <w:hyperlink w:anchor="latin-record-0971">
        <w:r>
          <w:rPr>
            <w:color w:val="000000"/>
          </w:rPr>
          <w:t xml:space="preserve">provenire / oriri / nasci</w:t>
        </w:r>
      </w:hyperlink>
      <w:r>
        <w:rPr>
          <w:b w:val="0"/>
          <w:i w:val="0"/>
        </w:rPr>
        <w:t xml:space="preserve">; </w:t>
      </w:r>
      <w:hyperlink w:anchor="latin-record-1121">
        <w:r>
          <w:rPr>
            <w:color w:val="000000"/>
          </w:rPr>
          <w:t xml:space="preserve">sortiri / adipisci</w:t>
        </w:r>
      </w:hyperlink>
      <w:r>
        <w:rPr>
          <w:b w:val="0"/>
          <w:i w:val="0"/>
        </w:rPr>
        <w:t>.</w:t>
      </w:r>
    </w:p>
    <w:p>
      <w:pPr>
        <w:widowControl/>
      </w:pPr>
      <w:bookmarkStart w:id="1784" w:name="passage-ii-7-15"/>
      <w:bookmarkEnd w:id="1784"/>
      <w:r>
        <w:rPr>
          <w:b/>
          <w:i w:val="0"/>
        </w:rPr>
        <w:t>II.7.15</w:t>
      </w:r>
      <w:r>
        <w:rPr>
          <w:b/>
          <w:i w:val="0"/>
        </w:rPr>
        <w:t>, source pp. 150–151.</w:t>
      </w:r>
      <w:r>
        <w:rPr>
          <w:b w:val="0"/>
          <w:i w:val="0"/>
        </w:rPr>
        <w:t xml:space="preserve"> Articles: </w:t>
      </w:r>
      <w:hyperlink w:anchor="dependence-and-receiving">
        <w:r>
          <w:rPr>
            <w:color w:val="000000"/>
          </w:rPr>
          <w:t xml:space="preserve">Dependence and receiving</w:t>
        </w:r>
      </w:hyperlink>
      <w:r>
        <w:rPr>
          <w:b w:val="0"/>
          <w:i w:val="0"/>
        </w:rPr>
        <w:t xml:space="preserve">; </w:t>
      </w:r>
      <w:hyperlink w:anchor="essence-and-substance">
        <w:r>
          <w:rPr>
            <w:color w:val="000000"/>
          </w:rPr>
          <w:t xml:space="preserve">Essence and substance</w:t>
        </w:r>
      </w:hyperlink>
      <w:r>
        <w:rPr>
          <w:b w:val="0"/>
          <w:i w:val="0"/>
        </w:rPr>
        <w:t xml:space="preserve">; </w:t>
      </w:r>
      <w:hyperlink w:anchor="freedom-and-necessity">
        <w:r>
          <w:rPr>
            <w:color w:val="000000"/>
          </w:rPr>
          <w:t xml:space="preserve">Freedom and necessity</w:t>
        </w:r>
      </w:hyperlink>
      <w:r>
        <w:rPr>
          <w:b w:val="0"/>
          <w:i w:val="0"/>
        </w:rPr>
        <w:t xml:space="preserve">. Vocabulary: </w:t>
      </w:r>
      <w:hyperlink w:anchor="latin-record-0311">
        <w:r>
          <w:rPr>
            <w:color w:val="000000"/>
          </w:rPr>
          <w:t xml:space="preserve">Deus / divinus</w:t>
        </w:r>
      </w:hyperlink>
      <w:r>
        <w:rPr>
          <w:b w:val="0"/>
          <w:i w:val="0"/>
        </w:rPr>
        <w:t xml:space="preserve">; </w:t>
      </w:r>
      <w:hyperlink w:anchor="latin-record-0375">
        <w:r>
          <w:rPr>
            <w:color w:val="000000"/>
          </w:rPr>
          <w:t xml:space="preserve">error / impius / profanus</w:t>
        </w:r>
      </w:hyperlink>
      <w:r>
        <w:rPr>
          <w:b w:val="0"/>
          <w:i w:val="0"/>
        </w:rPr>
        <w:t xml:space="preserve">; </w:t>
      </w:r>
      <w:hyperlink w:anchor="latin-record-0383">
        <w:r>
          <w:rPr>
            <w:color w:val="000000"/>
          </w:rPr>
          <w:t xml:space="preserve">essentia / essentialis / substantia</w:t>
        </w:r>
      </w:hyperlink>
      <w:r>
        <w:rPr>
          <w:b w:val="0"/>
          <w:i w:val="0"/>
        </w:rPr>
        <w:t xml:space="preserve">; </w:t>
      </w:r>
      <w:hyperlink w:anchor="latin-record-0405">
        <w:r>
          <w:rPr>
            <w:color w:val="000000"/>
          </w:rPr>
          <w:t xml:space="preserve">existimare / opinari / arbitrari</w:t>
        </w:r>
      </w:hyperlink>
      <w:r>
        <w:rPr>
          <w:b w:val="0"/>
          <w:i w:val="0"/>
        </w:rPr>
        <w:t xml:space="preserve">; </w:t>
      </w:r>
      <w:hyperlink w:anchor="latin-record-0748">
        <w:r>
          <w:rPr>
            <w:color w:val="000000"/>
          </w:rPr>
          <w:t xml:space="preserve">necessitas / necessario</w:t>
        </w:r>
      </w:hyperlink>
      <w:r>
        <w:rPr>
          <w:b w:val="0"/>
          <w:i w:val="0"/>
        </w:rPr>
        <w:t xml:space="preserve">; </w:t>
      </w:r>
      <w:hyperlink w:anchor="latin-record-0845">
        <w:r>
          <w:rPr>
            <w:color w:val="000000"/>
          </w:rPr>
          <w:t xml:space="preserve">pendere / dependere</w:t>
        </w:r>
      </w:hyperlink>
      <w:r>
        <w:rPr>
          <w:b w:val="0"/>
          <w:i w:val="0"/>
        </w:rPr>
        <w:t xml:space="preserve">; </w:t>
      </w:r>
      <w:hyperlink w:anchor="latin-record-1081">
        <w:r>
          <w:rPr>
            <w:color w:val="000000"/>
          </w:rPr>
          <w:t xml:space="preserve">secundum se / per se</w:t>
        </w:r>
      </w:hyperlink>
      <w:r>
        <w:rPr>
          <w:b w:val="0"/>
          <w:i w:val="0"/>
        </w:rPr>
        <w:t xml:space="preserve">; </w:t>
      </w:r>
      <w:hyperlink w:anchor="latin-record-1093">
        <w:r>
          <w:rPr>
            <w:color w:val="000000"/>
          </w:rPr>
          <w:t xml:space="preserve">sententia / voluerunt</w:t>
        </w:r>
      </w:hyperlink>
      <w:r>
        <w:rPr>
          <w:b w:val="0"/>
          <w:i w:val="0"/>
        </w:rPr>
        <w:t xml:space="preserve">; </w:t>
      </w:r>
      <w:hyperlink w:anchor="latin-record-1247">
        <w:r>
          <w:rPr>
            <w:color w:val="000000"/>
          </w:rPr>
          <w:t xml:space="preserve">vero / verum: connectives</w:t>
        </w:r>
      </w:hyperlink>
      <w:r>
        <w:rPr>
          <w:b w:val="0"/>
          <w:i w:val="0"/>
        </w:rPr>
        <w:t>.</w:t>
      </w:r>
    </w:p>
    <w:p>
      <w:pPr>
        <w:widowControl/>
      </w:pPr>
      <w:bookmarkStart w:id="1785" w:name="passage-ii-7-16"/>
      <w:bookmarkEnd w:id="1785"/>
      <w:r>
        <w:rPr>
          <w:b/>
          <w:i w:val="0"/>
        </w:rPr>
        <w:t>II.7.16</w:t>
      </w:r>
      <w:r>
        <w:rPr>
          <w:b/>
          <w:i w:val="0"/>
        </w:rPr>
        <w:t>, source pp. 150–151.</w:t>
      </w:r>
      <w:r>
        <w:rPr>
          <w:b w:val="0"/>
          <w:i w:val="0"/>
        </w:rPr>
        <w:t xml:space="preserve"> Articles: </w:t>
      </w:r>
      <w:hyperlink w:anchor="end-and-limit">
        <w:r>
          <w:rPr>
            <w:color w:val="000000"/>
          </w:rPr>
          <w:t xml:space="preserve">End and limit</w:t>
        </w:r>
      </w:hyperlink>
      <w:r>
        <w:rPr>
          <w:b w:val="0"/>
          <w:i w:val="0"/>
        </w:rPr>
        <w:t xml:space="preserve">; </w:t>
      </w:r>
      <w:hyperlink w:anchor="essence-and-substance">
        <w:r>
          <w:rPr>
            <w:color w:val="000000"/>
          </w:rPr>
          <w:t xml:space="preserve">Essence and substance</w:t>
        </w:r>
      </w:hyperlink>
      <w:r>
        <w:rPr>
          <w:b w:val="0"/>
          <w:i w:val="0"/>
        </w:rPr>
        <w:t xml:space="preserve">; </w:t>
      </w:r>
      <w:hyperlink w:anchor="freedom-and-necessity">
        <w:r>
          <w:rPr>
            <w:color w:val="000000"/>
          </w:rPr>
          <w:t xml:space="preserve">Freedom and necessity</w:t>
        </w:r>
      </w:hyperlink>
      <w:r>
        <w:rPr>
          <w:b w:val="0"/>
          <w:i w:val="0"/>
        </w:rPr>
        <w:t xml:space="preserve">; </w:t>
      </w:r>
      <w:hyperlink w:anchor="need-and-sufficiency">
        <w:r>
          <w:rPr>
            <w:color w:val="000000"/>
          </w:rPr>
          <w:t xml:space="preserve">Need and sufficiency</w:t>
        </w:r>
      </w:hyperlink>
      <w:r>
        <w:rPr>
          <w:b w:val="0"/>
          <w:i w:val="0"/>
        </w:rPr>
        <w:t xml:space="preserve">; </w:t>
      </w:r>
      <w:hyperlink w:anchor="perfection">
        <w:r>
          <w:rPr>
            <w:color w:val="000000"/>
          </w:rPr>
          <w:t xml:space="preserve">Perfection</w:t>
        </w:r>
      </w:hyperlink>
      <w:r>
        <w:rPr>
          <w:b w:val="0"/>
          <w:i w:val="0"/>
        </w:rPr>
        <w:t xml:space="preserve">; </w:t>
      </w:r>
      <w:hyperlink w:anchor="principle">
        <w:r>
          <w:rPr>
            <w:color w:val="000000"/>
          </w:rPr>
          <w:t xml:space="preserve">Principle</w:t>
        </w:r>
      </w:hyperlink>
      <w:r>
        <w:rPr>
          <w:b w:val="0"/>
          <w:i w:val="0"/>
        </w:rPr>
        <w:t xml:space="preserve">; </w:t>
      </w:r>
      <w:hyperlink w:anchor="spring-and-flow">
        <w:r>
          <w:rPr>
            <w:color w:val="000000"/>
          </w:rPr>
          <w:t xml:space="preserve">Spring and flow</w:t>
        </w:r>
      </w:hyperlink>
      <w:r>
        <w:rPr>
          <w:b w:val="0"/>
          <w:i w:val="0"/>
        </w:rPr>
        <w:t xml:space="preserve">. Vocabulary: </w:t>
      </w:r>
      <w:hyperlink w:anchor="latin-record-0274">
        <w:r>
          <w:rPr>
            <w:color w:val="000000"/>
          </w:rPr>
          <w:t xml:space="preserve">convertere / reverti / converso</w:t>
        </w:r>
      </w:hyperlink>
      <w:r>
        <w:rPr>
          <w:b w:val="0"/>
          <w:i w:val="0"/>
        </w:rPr>
        <w:t xml:space="preserve">; </w:t>
      </w:r>
      <w:hyperlink w:anchor="latin-record-0367">
        <w:r>
          <w:rPr>
            <w:color w:val="000000"/>
          </w:rPr>
          <w:t xml:space="preserve">egere / indigere</w:t>
        </w:r>
      </w:hyperlink>
      <w:r>
        <w:rPr>
          <w:b w:val="0"/>
          <w:i w:val="0"/>
        </w:rPr>
        <w:t xml:space="preserve">; </w:t>
      </w:r>
      <w:hyperlink w:anchor="latin-record-0402">
        <w:r>
          <w:rPr>
            <w:color w:val="000000"/>
          </w:rPr>
          <w:t xml:space="preserve">exigere / requirere</w:t>
        </w:r>
      </w:hyperlink>
      <w:r>
        <w:rPr>
          <w:b w:val="0"/>
          <w:i w:val="0"/>
        </w:rPr>
        <w:t xml:space="preserve">; </w:t>
      </w:r>
      <w:hyperlink w:anchor="latin-record-0414">
        <w:r>
          <w:rPr>
            <w:color w:val="000000"/>
          </w:rPr>
          <w:t xml:space="preserve">exterior / externus</w:t>
        </w:r>
      </w:hyperlink>
      <w:r>
        <w:rPr>
          <w:b w:val="0"/>
          <w:i w:val="0"/>
        </w:rPr>
        <w:t xml:space="preserve">; </w:t>
      </w:r>
      <w:hyperlink w:anchor="latin-record-0419">
        <w:r>
          <w:rPr>
            <w:color w:val="000000"/>
          </w:rPr>
          <w:t xml:space="preserve">extrinsecus / aliunde</w:t>
        </w:r>
      </w:hyperlink>
      <w:r>
        <w:rPr>
          <w:b w:val="0"/>
          <w:i w:val="0"/>
        </w:rPr>
        <w:t xml:space="preserve">; </w:t>
      </w:r>
      <w:hyperlink w:anchor="latin-record-0433">
        <w:r>
          <w:rPr>
            <w:color w:val="000000"/>
          </w:rPr>
          <w:t xml:space="preserve">fateri / negare / affirmare</w:t>
        </w:r>
      </w:hyperlink>
      <w:r>
        <w:rPr>
          <w:b w:val="0"/>
          <w:i w:val="0"/>
        </w:rPr>
        <w:t xml:space="preserve">; </w:t>
      </w:r>
      <w:hyperlink w:anchor="latin-record-0460">
        <w:r>
          <w:rPr>
            <w:color w:val="000000"/>
          </w:rPr>
          <w:t xml:space="preserve">fons / influxus</w:t>
        </w:r>
      </w:hyperlink>
      <w:r>
        <w:rPr>
          <w:b w:val="0"/>
          <w:i w:val="0"/>
        </w:rPr>
        <w:t xml:space="preserve">; </w:t>
      </w:r>
      <w:hyperlink w:anchor="latin-record-0856">
        <w:r>
          <w:rPr>
            <w:color w:val="000000"/>
          </w:rPr>
          <w:t xml:space="preserve">perfectio / perfectus</w:t>
        </w:r>
      </w:hyperlink>
      <w:r>
        <w:rPr>
          <w:b w:val="0"/>
          <w:i w:val="0"/>
        </w:rPr>
        <w:t xml:space="preserve">; </w:t>
      </w:r>
      <w:hyperlink w:anchor="latin-record-0858">
        <w:r>
          <w:rPr>
            <w:color w:val="000000"/>
          </w:rPr>
          <w:t xml:space="preserve">perficere / efficere</w:t>
        </w:r>
      </w:hyperlink>
      <w:r>
        <w:rPr>
          <w:b w:val="0"/>
          <w:i w:val="0"/>
        </w:rPr>
        <w:t xml:space="preserve">; </w:t>
      </w:r>
      <w:hyperlink w:anchor="latin-record-1164">
        <w:r>
          <w:rPr>
            <w:color w:val="000000"/>
          </w:rPr>
          <w:t xml:space="preserve">sufficere / sufficientia</w:t>
        </w:r>
      </w:hyperlink>
      <w:r>
        <w:rPr>
          <w:b w:val="0"/>
          <w:i w:val="0"/>
        </w:rPr>
        <w:t>.</w:t>
      </w:r>
    </w:p>
    <w:p>
      <w:pPr>
        <w:widowControl/>
      </w:pPr>
      <w:bookmarkStart w:id="1786" w:name="passage-ii-7-17"/>
      <w:bookmarkEnd w:id="1786"/>
      <w:r>
        <w:rPr>
          <w:b/>
          <w:i w:val="0"/>
        </w:rPr>
        <w:t>II.7.17</w:t>
      </w:r>
      <w:r>
        <w:rPr>
          <w:b/>
          <w:i w:val="0"/>
        </w:rPr>
        <w:t>, source pp. 150–151.</w:t>
      </w:r>
      <w:r>
        <w:rPr>
          <w:b w:val="0"/>
          <w:i w:val="0"/>
        </w:rPr>
        <w:t xml:space="preserve"> Articles: </w:t>
      </w:r>
      <w:hyperlink w:anchor="conservation-and-preservation">
        <w:r>
          <w:rPr>
            <w:color w:val="000000"/>
          </w:rPr>
          <w:t xml:space="preserve">Conservation and preservation</w:t>
        </w:r>
      </w:hyperlink>
      <w:r>
        <w:rPr>
          <w:b w:val="0"/>
          <w:i w:val="0"/>
        </w:rPr>
        <w:t xml:space="preserve">; </w:t>
      </w:r>
      <w:hyperlink w:anchor="spring-and-flow">
        <w:r>
          <w:rPr>
            <w:color w:val="000000"/>
          </w:rPr>
          <w:t xml:space="preserve">Spring and flow</w:t>
        </w:r>
      </w:hyperlink>
      <w:r>
        <w:rPr>
          <w:b w:val="0"/>
          <w:i w:val="0"/>
        </w:rPr>
        <w:t xml:space="preserve">; </w:t>
      </w:r>
      <w:hyperlink w:anchor="statue-and-solidity">
        <w:r>
          <w:rPr>
            <w:color w:val="000000"/>
          </w:rPr>
          <w:t xml:space="preserve">Statue and solidity</w:t>
        </w:r>
      </w:hyperlink>
      <w:r>
        <w:rPr>
          <w:b w:val="0"/>
          <w:i w:val="0"/>
        </w:rPr>
        <w:t xml:space="preserve">. Vocabulary: </w:t>
      </w:r>
      <w:hyperlink w:anchor="latin-record-0096">
        <w:r>
          <w:rPr>
            <w:color w:val="000000"/>
          </w:rPr>
          <w:t xml:space="preserve">ars / artificium</w:t>
        </w:r>
      </w:hyperlink>
      <w:r>
        <w:rPr>
          <w:b w:val="0"/>
          <w:i w:val="0"/>
        </w:rPr>
        <w:t xml:space="preserve">; </w:t>
      </w:r>
      <w:hyperlink w:anchor="latin-record-0148">
        <w:r>
          <w:rPr>
            <w:color w:val="000000"/>
          </w:rPr>
          <w:t xml:space="preserve">cardo / liquidus / solidus</w:t>
        </w:r>
      </w:hyperlink>
      <w:r>
        <w:rPr>
          <w:b w:val="0"/>
          <w:i w:val="0"/>
        </w:rPr>
        <w:t xml:space="preserve">; </w:t>
      </w:r>
      <w:hyperlink w:anchor="latin-record-0258">
        <w:r>
          <w:rPr>
            <w:color w:val="000000"/>
          </w:rPr>
          <w:t xml:space="preserve">constare / consistere / constituere</w:t>
        </w:r>
      </w:hyperlink>
      <w:r>
        <w:rPr>
          <w:b w:val="0"/>
          <w:i w:val="0"/>
        </w:rPr>
        <w:t xml:space="preserve">; </w:t>
      </w:r>
      <w:hyperlink w:anchor="latin-record-0292">
        <w:r>
          <w:rPr>
            <w:color w:val="000000"/>
          </w:rPr>
          <w:t xml:space="preserve">dare / donare / exhibere</w:t>
        </w:r>
      </w:hyperlink>
      <w:r>
        <w:rPr>
          <w:b w:val="0"/>
          <w:i w:val="0"/>
        </w:rPr>
        <w:t xml:space="preserve">; </w:t>
      </w:r>
      <w:hyperlink w:anchor="latin-record-0460">
        <w:r>
          <w:rPr>
            <w:color w:val="000000"/>
          </w:rPr>
          <w:t xml:space="preserve">fons / influxus</w:t>
        </w:r>
      </w:hyperlink>
      <w:r>
        <w:rPr>
          <w:b w:val="0"/>
          <w:i w:val="0"/>
        </w:rPr>
        <w:t xml:space="preserve">; </w:t>
      </w:r>
      <w:hyperlink w:anchor="latin-record-0537">
        <w:r>
          <w:rPr>
            <w:color w:val="000000"/>
          </w:rPr>
          <w:t xml:space="preserve">impellere / inferre</w:t>
        </w:r>
      </w:hyperlink>
      <w:r>
        <w:rPr>
          <w:b w:val="0"/>
          <w:i w:val="0"/>
        </w:rPr>
        <w:t xml:space="preserve">; </w:t>
      </w:r>
      <w:hyperlink w:anchor="latin-record-0694">
        <w:r>
          <w:rPr>
            <w:color w:val="000000"/>
          </w:rPr>
          <w:t xml:space="preserve">merus / incorruptus / revera</w:t>
        </w:r>
      </w:hyperlink>
      <w:r>
        <w:rPr>
          <w:b w:val="0"/>
          <w:i w:val="0"/>
        </w:rPr>
        <w:t xml:space="preserve">; </w:t>
      </w:r>
      <w:hyperlink w:anchor="latin-record-0741">
        <w:r>
          <w:rPr>
            <w:color w:val="000000"/>
          </w:rPr>
          <w:t xml:space="preserve">natura / naturalis</w:t>
        </w:r>
      </w:hyperlink>
      <w:r>
        <w:rPr>
          <w:b w:val="0"/>
          <w:i w:val="0"/>
        </w:rPr>
        <w:t xml:space="preserve">; </w:t>
      </w:r>
      <w:hyperlink w:anchor="latin-record-0860">
        <w:r>
          <w:rPr>
            <w:color w:val="000000"/>
          </w:rPr>
          <w:t xml:space="preserve">permanere / perseverare</w:t>
        </w:r>
      </w:hyperlink>
      <w:r>
        <w:rPr>
          <w:b w:val="0"/>
          <w:i w:val="0"/>
        </w:rPr>
        <w:t xml:space="preserve">; </w:t>
      </w:r>
      <w:hyperlink w:anchor="latin-record-1140">
        <w:r>
          <w:rPr>
            <w:color w:val="000000"/>
          </w:rPr>
          <w:t xml:space="preserve">statua / lapis / aes</w:t>
        </w:r>
      </w:hyperlink>
      <w:r>
        <w:rPr>
          <w:b w:val="0"/>
          <w:i w:val="0"/>
        </w:rPr>
        <w:t>.</w:t>
      </w:r>
    </w:p>
    <w:p>
      <w:pPr>
        <w:widowControl/>
      </w:pPr>
      <w:bookmarkStart w:id="1787" w:name="passage-ii-7-18"/>
      <w:bookmarkEnd w:id="1787"/>
      <w:r>
        <w:rPr>
          <w:b/>
          <w:i w:val="0"/>
        </w:rPr>
        <w:t>II.7.18</w:t>
      </w:r>
      <w:r>
        <w:rPr>
          <w:b/>
          <w:i w:val="0"/>
        </w:rPr>
        <w:t>, source pp. 152–153.</w:t>
      </w:r>
      <w:r>
        <w:rPr>
          <w:b w:val="0"/>
          <w:i w:val="0"/>
        </w:rPr>
        <w:t xml:space="preserve"> Articles: </w:t>
      </w:r>
      <w:hyperlink w:anchor="before-and-after-in-nature">
        <w:r>
          <w:rPr>
            <w:color w:val="000000"/>
          </w:rPr>
          <w:t xml:space="preserve">Before and after in nature</w:t>
        </w:r>
      </w:hyperlink>
      <w:r>
        <w:rPr>
          <w:b w:val="0"/>
          <w:i w:val="0"/>
        </w:rPr>
        <w:t xml:space="preserve">; </w:t>
      </w:r>
      <w:hyperlink w:anchor="beginning-and-ceasing">
        <w:r>
          <w:rPr>
            <w:color w:val="000000"/>
          </w:rPr>
          <w:t xml:space="preserve">Beginning and ceasing</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creation">
        <w:r>
          <w:rPr>
            <w:color w:val="000000"/>
          </w:rPr>
          <w:t xml:space="preserve">Creation</w:t>
        </w:r>
      </w:hyperlink>
      <w:r>
        <w:rPr>
          <w:b w:val="0"/>
          <w:i w:val="0"/>
        </w:rPr>
        <w:t xml:space="preserve">; </w:t>
      </w:r>
      <w:hyperlink w:anchor="eternity-and-time">
        <w:r>
          <w:rPr>
            <w:color w:val="000000"/>
          </w:rPr>
          <w:t xml:space="preserve">Eternity and time</w:t>
        </w:r>
      </w:hyperlink>
      <w:r>
        <w:rPr>
          <w:b w:val="0"/>
          <w:i w:val="0"/>
        </w:rPr>
        <w:t xml:space="preserve">; </w:t>
      </w:r>
      <w:hyperlink w:anchor="god">
        <w:r>
          <w:rPr>
            <w:color w:val="000000"/>
          </w:rPr>
          <w:t xml:space="preserve">God</w:t>
        </w:r>
      </w:hyperlink>
      <w:r>
        <w:rPr>
          <w:b w:val="0"/>
          <w:i w:val="0"/>
        </w:rPr>
        <w:t xml:space="preserve">; </w:t>
      </w:r>
      <w:hyperlink w:anchor="statue-and-solidity">
        <w:r>
          <w:rPr>
            <w:color w:val="000000"/>
          </w:rPr>
          <w:t xml:space="preserve">Statue and solidity</w:t>
        </w:r>
      </w:hyperlink>
      <w:r>
        <w:rPr>
          <w:b w:val="0"/>
          <w:i w:val="0"/>
        </w:rPr>
        <w:t xml:space="preserve">. Vocabulary: </w:t>
      </w:r>
      <w:hyperlink w:anchor="latin-record-0009">
        <w:r>
          <w:rPr>
            <w:color w:val="000000"/>
          </w:rPr>
          <w:t xml:space="preserve">accipere / capere / suscipere</w:t>
        </w:r>
      </w:hyperlink>
      <w:r>
        <w:rPr>
          <w:b w:val="0"/>
          <w:i w:val="0"/>
        </w:rPr>
        <w:t xml:space="preserve">; </w:t>
      </w:r>
      <w:hyperlink w:anchor="latin-record-0161">
        <w:r>
          <w:rPr>
            <w:color w:val="000000"/>
          </w:rPr>
          <w:t xml:space="preserve">certus / assignare / limitare</w:t>
        </w:r>
      </w:hyperlink>
      <w:r>
        <w:rPr>
          <w:b w:val="0"/>
          <w:i w:val="0"/>
        </w:rPr>
        <w:t xml:space="preserve">; </w:t>
      </w:r>
      <w:hyperlink w:anchor="latin-record-0357">
        <w:r>
          <w:rPr>
            <w:color w:val="000000"/>
          </w:rPr>
          <w:t xml:space="preserve">eclipsis / nox / momentum</w:t>
        </w:r>
      </w:hyperlink>
      <w:r>
        <w:rPr>
          <w:b w:val="0"/>
          <w:i w:val="0"/>
        </w:rPr>
        <w:t xml:space="preserve">; </w:t>
      </w:r>
      <w:hyperlink w:anchor="latin-record-0429">
        <w:r>
          <w:rPr>
            <w:color w:val="000000"/>
          </w:rPr>
          <w:t xml:space="preserve">falsus / falsum</w:t>
        </w:r>
      </w:hyperlink>
      <w:r>
        <w:rPr>
          <w:b w:val="0"/>
          <w:i w:val="0"/>
        </w:rPr>
        <w:t xml:space="preserve">; </w:t>
      </w:r>
      <w:hyperlink w:anchor="latin-record-0574">
        <w:r>
          <w:rPr>
            <w:color w:val="000000"/>
          </w:rPr>
          <w:t xml:space="preserve">initium / incipere / desinere</w:t>
        </w:r>
      </w:hyperlink>
      <w:r>
        <w:rPr>
          <w:b w:val="0"/>
          <w:i w:val="0"/>
        </w:rPr>
        <w:t xml:space="preserve">; </w:t>
      </w:r>
      <w:hyperlink w:anchor="latin-record-0730">
        <w:r>
          <w:rPr>
            <w:color w:val="000000"/>
          </w:rPr>
          <w:t xml:space="preserve">mundus / universum</w:t>
        </w:r>
      </w:hyperlink>
      <w:r>
        <w:rPr>
          <w:b w:val="0"/>
          <w:i w:val="0"/>
        </w:rPr>
        <w:t>.</w:t>
      </w:r>
    </w:p>
    <w:p>
      <w:pPr>
        <w:widowControl/>
      </w:pPr>
      <w:bookmarkStart w:id="1788" w:name="passage-ii-7-19"/>
      <w:bookmarkEnd w:id="1788"/>
      <w:r>
        <w:rPr>
          <w:b/>
          <w:i w:val="0"/>
        </w:rPr>
        <w:t>II.7.19</w:t>
      </w:r>
      <w:r>
        <w:rPr>
          <w:b/>
          <w:i w:val="0"/>
        </w:rPr>
        <w:t>, source pp. 152–153.</w:t>
      </w:r>
      <w:r>
        <w:rPr>
          <w:b w:val="0"/>
          <w:i w:val="0"/>
        </w:rPr>
        <w:t xml:space="preserve"> Articles: </w:t>
      </w:r>
      <w:hyperlink w:anchor="beginning-and-ceasing">
        <w:r>
          <w:rPr>
            <w:color w:val="000000"/>
          </w:rPr>
          <w:t xml:space="preserve">Beginning and ceasing</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creation">
        <w:r>
          <w:rPr>
            <w:color w:val="000000"/>
          </w:rPr>
          <w:t xml:space="preserve">Creation</w:t>
        </w:r>
      </w:hyperlink>
      <w:r>
        <w:rPr>
          <w:b w:val="0"/>
          <w:i w:val="0"/>
        </w:rPr>
        <w:t xml:space="preserve">; </w:t>
      </w:r>
      <w:hyperlink w:anchor="eternity-and-time">
        <w:r>
          <w:rPr>
            <w:color w:val="000000"/>
          </w:rPr>
          <w:t xml:space="preserve">Eternity and time</w:t>
        </w:r>
      </w:hyperlink>
      <w:r>
        <w:rPr>
          <w:b w:val="0"/>
          <w:i w:val="0"/>
        </w:rPr>
        <w:t xml:space="preserve">; </w:t>
      </w:r>
      <w:hyperlink w:anchor="god">
        <w:r>
          <w:rPr>
            <w:color w:val="000000"/>
          </w:rPr>
          <w:t xml:space="preserve">God</w:t>
        </w:r>
      </w:hyperlink>
      <w:r>
        <w:rPr>
          <w:b w:val="0"/>
          <w:i w:val="0"/>
        </w:rPr>
        <w:t xml:space="preserve">. Vocabulary: </w:t>
      </w:r>
      <w:hyperlink w:anchor="latin-record-0264">
        <w:r>
          <w:rPr>
            <w:color w:val="000000"/>
          </w:rPr>
          <w:t xml:space="preserve">continuus / assiduus</w:t>
        </w:r>
      </w:hyperlink>
      <w:r>
        <w:rPr>
          <w:b w:val="0"/>
          <w:i w:val="0"/>
        </w:rPr>
        <w:t xml:space="preserve">; </w:t>
      </w:r>
      <w:hyperlink w:anchor="latin-record-0358">
        <w:r>
          <w:rPr>
            <w:color w:val="000000"/>
          </w:rPr>
          <w:t xml:space="preserve">edere / servare / conservare</w:t>
        </w:r>
      </w:hyperlink>
      <w:r>
        <w:rPr>
          <w:b w:val="0"/>
          <w:i w:val="0"/>
        </w:rPr>
        <w:t xml:space="preserve">; </w:t>
      </w:r>
      <w:hyperlink w:anchor="latin-record-0890">
        <w:r>
          <w:rPr>
            <w:color w:val="000000"/>
          </w:rPr>
          <w:t xml:space="preserve">ponere / inducere / asserere</w:t>
        </w:r>
      </w:hyperlink>
      <w:r>
        <w:rPr>
          <w:b w:val="0"/>
          <w:i w:val="0"/>
        </w:rPr>
        <w:t>.</w:t>
      </w:r>
    </w:p>
    <w:p>
      <w:pPr>
        <w:widowControl/>
      </w:pPr>
      <w:bookmarkStart w:id="1789" w:name="passage-ii-7-20"/>
      <w:bookmarkEnd w:id="1789"/>
      <w:r>
        <w:rPr>
          <w:b/>
          <w:i w:val="0"/>
        </w:rPr>
        <w:t>II.7.20</w:t>
      </w:r>
      <w:r>
        <w:rPr>
          <w:b/>
          <w:i w:val="0"/>
        </w:rPr>
        <w:t>, source pp. 152–153.</w:t>
      </w:r>
      <w:r>
        <w:rPr>
          <w:b w:val="0"/>
          <w:i w:val="0"/>
        </w:rPr>
        <w:t xml:space="preserve"> Articles: </w:t>
      </w:r>
      <w:hyperlink w:anchor="before-and-after-in-nature">
        <w:r>
          <w:rPr>
            <w:color w:val="000000"/>
          </w:rPr>
          <w:t xml:space="preserve">Before and after in nature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creation">
        <w:r>
          <w:rPr>
            <w:color w:val="000000"/>
          </w:rPr>
          <w:t xml:space="preserve">Creation</w:t>
        </w:r>
      </w:hyperlink>
      <w:r>
        <w:rPr>
          <w:b w:val="0"/>
          <w:i w:val="0"/>
        </w:rPr>
        <w:t xml:space="preserve">; </w:t>
      </w:r>
      <w:hyperlink w:anchor="nothing-and-nonbeing">
        <w:r>
          <w:rPr>
            <w:color w:val="000000"/>
          </w:rPr>
          <w:t xml:space="preserve">Nothing and nonbeing</w:t>
        </w:r>
      </w:hyperlink>
      <w:r>
        <w:rPr>
          <w:b w:val="0"/>
          <w:i w:val="0"/>
        </w:rPr>
        <w:t xml:space="preserve">. Vocabulary: </w:t>
      </w:r>
      <w:hyperlink w:anchor="latin-record-0020">
        <w:r>
          <w:rPr>
            <w:color w:val="000000"/>
          </w:rPr>
          <w:t xml:space="preserve">addere / accedere / advenire</w:t>
        </w:r>
      </w:hyperlink>
      <w:r>
        <w:rPr>
          <w:b w:val="0"/>
          <w:i w:val="0"/>
        </w:rPr>
        <w:t xml:space="preserve">; </w:t>
      </w:r>
      <w:hyperlink w:anchor="latin-record-0271">
        <w:r>
          <w:rPr>
            <w:color w:val="000000"/>
          </w:rPr>
          <w:t xml:space="preserve">convenire / congruere</w:t>
        </w:r>
      </w:hyperlink>
      <w:r>
        <w:rPr>
          <w:b w:val="0"/>
          <w:i w:val="0"/>
        </w:rPr>
        <w:t xml:space="preserve">; </w:t>
      </w:r>
      <w:hyperlink w:anchor="latin-record-0760">
        <w:r>
          <w:rPr>
            <w:color w:val="000000"/>
          </w:rPr>
          <w:t xml:space="preserve">nihil / non esse</w:t>
        </w:r>
      </w:hyperlink>
      <w:r>
        <w:rPr>
          <w:b w:val="0"/>
          <w:i w:val="0"/>
        </w:rPr>
        <w:t xml:space="preserve">; </w:t>
      </w:r>
      <w:hyperlink w:anchor="latin-record-0932">
        <w:r>
          <w:rPr>
            <w:color w:val="000000"/>
          </w:rPr>
          <w:t xml:space="preserve">prius / posterius / deinde</w:t>
        </w:r>
      </w:hyperlink>
      <w:r>
        <w:rPr>
          <w:b w:val="0"/>
          <w:i w:val="0"/>
        </w:rPr>
        <w:t xml:space="preserve">; </w:t>
      </w:r>
      <w:hyperlink w:anchor="latin-record-1081">
        <w:r>
          <w:rPr>
            <w:color w:val="000000"/>
          </w:rPr>
          <w:t xml:space="preserve">secundum se / per se</w:t>
        </w:r>
      </w:hyperlink>
      <w:r>
        <w:rPr>
          <w:b w:val="0"/>
          <w:i w:val="0"/>
        </w:rPr>
        <w:t>.</w:t>
      </w:r>
    </w:p>
    <w:p>
      <w:pPr>
        <w:widowControl/>
      </w:pPr>
      <w:bookmarkStart w:id="1790" w:name="passage-ii-7-21"/>
      <w:bookmarkEnd w:id="1790"/>
      <w:r>
        <w:rPr>
          <w:b/>
          <w:i w:val="0"/>
        </w:rPr>
        <w:t>II.7.21</w:t>
      </w:r>
      <w:r>
        <w:rPr>
          <w:b/>
          <w:i w:val="0"/>
        </w:rPr>
        <w:t>, source pp. 152–153.</w:t>
      </w:r>
      <w:r>
        <w:rPr>
          <w:b w:val="0"/>
          <w:i w:val="0"/>
        </w:rPr>
        <w:t xml:space="preserve"> Articles: </w:t>
      </w:r>
      <w:hyperlink w:anchor="before-and-after-in-nature">
        <w:r>
          <w:rPr>
            <w:color w:val="000000"/>
          </w:rPr>
          <w:t xml:space="preserve">Before and after in nature</w:t>
        </w:r>
      </w:hyperlink>
      <w:r>
        <w:rPr>
          <w:b w:val="0"/>
          <w:i w:val="0"/>
        </w:rPr>
        <w:t xml:space="preserve">; </w:t>
      </w:r>
      <w:hyperlink w:anchor="borrowing-and-assistance">
        <w:r>
          <w:rPr>
            <w:color w:val="000000"/>
          </w:rPr>
          <w:t xml:space="preserve">Borrowing and assistance</w:t>
        </w:r>
      </w:hyperlink>
      <w:r>
        <w:rPr>
          <w:b w:val="0"/>
          <w:i w:val="0"/>
        </w:rPr>
        <w:t xml:space="preserve">; </w:t>
      </w:r>
      <w:hyperlink w:anchor="cause">
        <w:r>
          <w:rPr>
            <w:color w:val="000000"/>
          </w:rPr>
          <w:t xml:space="preserve">Cause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creation">
        <w:r>
          <w:rPr>
            <w:color w:val="000000"/>
          </w:rPr>
          <w:t xml:space="preserve">Creation</w:t>
        </w:r>
      </w:hyperlink>
      <w:r>
        <w:rPr>
          <w:b w:val="0"/>
          <w:i w:val="0"/>
        </w:rPr>
        <w:t xml:space="preserve">; </w:t>
      </w:r>
      <w:hyperlink w:anchor="nothing-and-nonbeing">
        <w:r>
          <w:rPr>
            <w:color w:val="000000"/>
          </w:rPr>
          <w:t xml:space="preserve">Nothing and nonbeing</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059">
        <w:r>
          <w:rPr>
            <w:color w:val="000000"/>
          </w:rPr>
          <w:t xml:space="preserve">amittere / delere</w:t>
        </w:r>
      </w:hyperlink>
      <w:r>
        <w:rPr>
          <w:b w:val="0"/>
          <w:i w:val="0"/>
        </w:rPr>
        <w:t xml:space="preserve">; </w:t>
      </w:r>
      <w:hyperlink w:anchor="latin-record-0118">
        <w:r>
          <w:rPr>
            <w:color w:val="000000"/>
          </w:rPr>
          <w:t xml:space="preserve">auxilium / subsidium</w:t>
        </w:r>
      </w:hyperlink>
      <w:r>
        <w:rPr>
          <w:b w:val="0"/>
          <w:i w:val="0"/>
        </w:rPr>
        <w:t xml:space="preserve">; </w:t>
      </w:r>
      <w:hyperlink w:anchor="latin-record-0406">
        <w:r>
          <w:rPr>
            <w:color w:val="000000"/>
          </w:rPr>
          <w:t xml:space="preserve">exordiri / prodire</w:t>
        </w:r>
      </w:hyperlink>
      <w:r>
        <w:rPr>
          <w:b w:val="0"/>
          <w:i w:val="0"/>
        </w:rPr>
        <w:t xml:space="preserve">; </w:t>
      </w:r>
      <w:hyperlink w:anchor="latin-record-0739">
        <w:r>
          <w:rPr>
            <w:color w:val="000000"/>
          </w:rPr>
          <w:t xml:space="preserve">mutuare / mutuari</w:t>
        </w:r>
      </w:hyperlink>
      <w:r>
        <w:rPr>
          <w:b w:val="0"/>
          <w:i w:val="0"/>
        </w:rPr>
        <w:t xml:space="preserve">; </w:t>
      </w:r>
      <w:hyperlink w:anchor="latin-record-0824">
        <w:r>
          <w:rPr>
            <w:color w:val="000000"/>
          </w:rPr>
          <w:t xml:space="preserve">pars / totus</w:t>
        </w:r>
      </w:hyperlink>
      <w:r>
        <w:rPr>
          <w:b w:val="0"/>
          <w:i w:val="0"/>
        </w:rPr>
        <w:t xml:space="preserve">; </w:t>
      </w:r>
      <w:hyperlink w:anchor="latin-record-0858">
        <w:r>
          <w:rPr>
            <w:color w:val="000000"/>
          </w:rPr>
          <w:t xml:space="preserve">perficere / efficere</w:t>
        </w:r>
      </w:hyperlink>
      <w:r>
        <w:rPr>
          <w:b w:val="0"/>
          <w:i w:val="0"/>
        </w:rPr>
        <w:t xml:space="preserve">; </w:t>
      </w:r>
      <w:hyperlink w:anchor="latin-record-0860">
        <w:r>
          <w:rPr>
            <w:color w:val="000000"/>
          </w:rPr>
          <w:t xml:space="preserve">permanere / perseverare</w:t>
        </w:r>
      </w:hyperlink>
      <w:r>
        <w:rPr>
          <w:b w:val="0"/>
          <w:i w:val="0"/>
        </w:rPr>
        <w:t xml:space="preserve">; </w:t>
      </w:r>
      <w:hyperlink w:anchor="latin-record-1153">
        <w:r>
          <w:rPr>
            <w:color w:val="000000"/>
          </w:rPr>
          <w:t xml:space="preserve">subicere / tollere / removere</w:t>
        </w:r>
      </w:hyperlink>
      <w:r>
        <w:rPr>
          <w:b w:val="0"/>
          <w:i w:val="0"/>
        </w:rPr>
        <w:t>.</w:t>
      </w:r>
    </w:p>
    <w:p>
      <w:pPr>
        <w:widowControl/>
      </w:pPr>
      <w:bookmarkStart w:id="1791" w:name="passage-ii-7-22"/>
      <w:bookmarkEnd w:id="1791"/>
      <w:r>
        <w:rPr>
          <w:b/>
          <w:i w:val="0"/>
        </w:rPr>
        <w:t>II.7.22</w:t>
      </w:r>
      <w:r>
        <w:rPr>
          <w:b/>
          <w:i w:val="0"/>
        </w:rPr>
        <w:t>, source pp. 154–155.</w:t>
      </w:r>
      <w:r>
        <w:rPr>
          <w:b w:val="0"/>
          <w:i w:val="0"/>
        </w:rPr>
        <w:t xml:space="preserve"> Articles: </w:t>
      </w:r>
      <w:hyperlink w:anchor="borrowing-and-assistance">
        <w:r>
          <w:rPr>
            <w:color w:val="000000"/>
          </w:rPr>
          <w:t xml:space="preserve">Borrowing and assistance</w:t>
        </w:r>
      </w:hyperlink>
      <w:r>
        <w:rPr>
          <w:b w:val="0"/>
          <w:i w:val="0"/>
        </w:rPr>
        <w:t xml:space="preserve">; </w:t>
      </w:r>
      <w:hyperlink w:anchor="cause">
        <w:r>
          <w:rPr>
            <w:color w:val="000000"/>
          </w:rPr>
          <w:t xml:space="preserve">Cause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image-and-likeness">
        <w:r>
          <w:rPr>
            <w:color w:val="000000"/>
          </w:rPr>
          <w:t xml:space="preserve">Image and likeness</w:t>
        </w:r>
      </w:hyperlink>
      <w:r>
        <w:rPr>
          <w:b w:val="0"/>
          <w:i w:val="0"/>
        </w:rPr>
        <w:t xml:space="preserve">; </w:t>
      </w:r>
      <w:hyperlink w:anchor="nothing-and-nonbeing">
        <w:r>
          <w:rPr>
            <w:color w:val="000000"/>
          </w:rPr>
          <w:t xml:space="preserve">Nothing and nonbeing</w:t>
        </w:r>
      </w:hyperlink>
      <w:r>
        <w:rPr>
          <w:b w:val="0"/>
          <w:i w:val="0"/>
        </w:rPr>
        <w:t xml:space="preserve">; </w:t>
      </w:r>
      <w:hyperlink w:anchor="shadow-and-mirror">
        <w:r>
          <w:rPr>
            <w:color w:val="000000"/>
          </w:rPr>
          <w:t xml:space="preserve">Shadow and mirror</w:t>
        </w:r>
      </w:hyperlink>
      <w:r>
        <w:rPr>
          <w:b w:val="0"/>
          <w:i w:val="0"/>
        </w:rPr>
        <w:t xml:space="preserve">; </w:t>
      </w:r>
      <w:hyperlink w:anchor="surpassing-and-comparison">
        <w:r>
          <w:rPr>
            <w:color w:val="000000"/>
          </w:rPr>
          <w:t xml:space="preserve">Surpassing and comparison</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118">
        <w:r>
          <w:rPr>
            <w:color w:val="000000"/>
          </w:rPr>
          <w:t xml:space="preserve">auxilium / subsidium</w:t>
        </w:r>
      </w:hyperlink>
      <w:r>
        <w:rPr>
          <w:b w:val="0"/>
          <w:i w:val="0"/>
        </w:rPr>
        <w:t xml:space="preserve">; </w:t>
      </w:r>
      <w:hyperlink w:anchor="latin-record-0249">
        <w:r>
          <w:rPr>
            <w:color w:val="000000"/>
          </w:rPr>
          <w:t xml:space="preserve">considerare / comparare</w:t>
        </w:r>
      </w:hyperlink>
      <w:r>
        <w:rPr>
          <w:b w:val="0"/>
          <w:i w:val="0"/>
        </w:rPr>
        <w:t xml:space="preserve">; </w:t>
      </w:r>
      <w:hyperlink w:anchor="latin-record-0264">
        <w:r>
          <w:rPr>
            <w:color w:val="000000"/>
          </w:rPr>
          <w:t xml:space="preserve">continuus / assiduus</w:t>
        </w:r>
      </w:hyperlink>
      <w:r>
        <w:rPr>
          <w:b w:val="0"/>
          <w:i w:val="0"/>
        </w:rPr>
        <w:t xml:space="preserve">; </w:t>
      </w:r>
      <w:hyperlink w:anchor="latin-record-0367">
        <w:r>
          <w:rPr>
            <w:color w:val="000000"/>
          </w:rPr>
          <w:t xml:space="preserve">egere / indigere</w:t>
        </w:r>
      </w:hyperlink>
      <w:r>
        <w:rPr>
          <w:b w:val="0"/>
          <w:i w:val="0"/>
        </w:rPr>
        <w:t xml:space="preserve">; </w:t>
      </w:r>
      <w:hyperlink w:anchor="latin-record-1217">
        <w:r>
          <w:rPr>
            <w:color w:val="000000"/>
          </w:rPr>
          <w:t xml:space="preserve">umbra / umbratilis / vanus</w:t>
        </w:r>
      </w:hyperlink>
      <w:r>
        <w:rPr>
          <w:b w:val="0"/>
          <w:i w:val="0"/>
        </w:rPr>
        <w:t>.</w:t>
      </w:r>
    </w:p>
    <w:p>
      <w:pPr>
        <w:widowControl/>
      </w:pPr>
      <w:bookmarkStart w:id="1792" w:name="passage-ii-7-23"/>
      <w:bookmarkEnd w:id="1792"/>
      <w:r>
        <w:rPr>
          <w:b/>
          <w:i w:val="0"/>
        </w:rPr>
        <w:t>II.7.23</w:t>
      </w:r>
      <w:r>
        <w:rPr>
          <w:b/>
          <w:i w:val="0"/>
        </w:rPr>
        <w:t>, source pp. 154–155.</w:t>
      </w:r>
      <w:r>
        <w:rPr>
          <w:b w:val="0"/>
          <w:i w:val="0"/>
        </w:rPr>
        <w:t xml:space="preserve"> Articles: </w:t>
      </w:r>
      <w:hyperlink w:anchor="cause">
        <w:r>
          <w:rPr>
            <w:color w:val="000000"/>
          </w:rPr>
          <w:t xml:space="preserve">Cause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dependence-and-receiving">
        <w:r>
          <w:rPr>
            <w:color w:val="000000"/>
          </w:rPr>
          <w:t xml:space="preserve">Dependence and receiving</w:t>
        </w:r>
      </w:hyperlink>
      <w:r>
        <w:rPr>
          <w:b w:val="0"/>
          <w:i w:val="0"/>
        </w:rPr>
        <w:t xml:space="preserve">; </w:t>
      </w:r>
      <w:hyperlink w:anchor="image-and-likeness">
        <w:r>
          <w:rPr>
            <w:color w:val="000000"/>
          </w:rPr>
          <w:t xml:space="preserve">Image and likeness</w:t>
        </w:r>
      </w:hyperlink>
      <w:r>
        <w:rPr>
          <w:b w:val="0"/>
          <w:i w:val="0"/>
        </w:rPr>
        <w:t xml:space="preserve">; </w:t>
      </w:r>
      <w:hyperlink w:anchor="instrument">
        <w:r>
          <w:rPr>
            <w:color w:val="000000"/>
          </w:rPr>
          <w:t xml:space="preserve">Instrument</w:t>
        </w:r>
      </w:hyperlink>
      <w:r>
        <w:rPr>
          <w:b w:val="0"/>
          <w:i w:val="0"/>
        </w:rPr>
        <w:t xml:space="preserve">; </w:t>
      </w:r>
      <w:hyperlink w:anchor="motion-and-stability">
        <w:r>
          <w:rPr>
            <w:color w:val="000000"/>
          </w:rPr>
          <w:t xml:space="preserve">Motion and stability</w:t>
        </w:r>
      </w:hyperlink>
      <w:r>
        <w:rPr>
          <w:b w:val="0"/>
          <w:i w:val="0"/>
        </w:rPr>
        <w:t xml:space="preserve">; </w:t>
      </w:r>
      <w:hyperlink w:anchor="nothing-and-nonbeing">
        <w:r>
          <w:rPr>
            <w:color w:val="000000"/>
          </w:rPr>
          <w:t xml:space="preserve">Nothing and nonbeing</w:t>
        </w:r>
      </w:hyperlink>
      <w:r>
        <w:rPr>
          <w:b w:val="0"/>
          <w:i w:val="0"/>
        </w:rPr>
        <w:t xml:space="preserve">; </w:t>
      </w:r>
      <w:hyperlink w:anchor="power-and-potency">
        <w:r>
          <w:rPr>
            <w:color w:val="000000"/>
          </w:rPr>
          <w:t xml:space="preserve">Power and potency</w:t>
        </w:r>
      </w:hyperlink>
      <w:r>
        <w:rPr>
          <w:b w:val="0"/>
          <w:i w:val="0"/>
        </w:rPr>
        <w:t xml:space="preserve">; </w:t>
      </w:r>
      <w:hyperlink w:anchor="shadow-and-mirror">
        <w:r>
          <w:rPr>
            <w:color w:val="000000"/>
          </w:rPr>
          <w:t xml:space="preserve">Shadow and mirror</w:t>
        </w:r>
      </w:hyperlink>
      <w:r>
        <w:rPr>
          <w:b w:val="0"/>
          <w:i w:val="0"/>
        </w:rPr>
        <w:t xml:space="preserve">; </w:t>
      </w:r>
      <w:hyperlink w:anchor="surpassing-and-comparison">
        <w:r>
          <w:rPr>
            <w:color w:val="000000"/>
          </w:rPr>
          <w:t xml:space="preserve">Surpassing and comparison</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076">
        <w:r>
          <w:rPr>
            <w:color w:val="000000"/>
          </w:rPr>
          <w:t xml:space="preserve">antecedere / sequi / praecedere</w:t>
        </w:r>
      </w:hyperlink>
      <w:r>
        <w:rPr>
          <w:b w:val="0"/>
          <w:i w:val="0"/>
        </w:rPr>
        <w:t xml:space="preserve">; </w:t>
      </w:r>
      <w:hyperlink w:anchor="latin-record-0264">
        <w:r>
          <w:rPr>
            <w:color w:val="000000"/>
          </w:rPr>
          <w:t xml:space="preserve">continuus / assiduus</w:t>
        </w:r>
      </w:hyperlink>
      <w:r>
        <w:rPr>
          <w:b w:val="0"/>
          <w:i w:val="0"/>
        </w:rPr>
        <w:t xml:space="preserve">; </w:t>
      </w:r>
      <w:hyperlink w:anchor="latin-record-0358">
        <w:r>
          <w:rPr>
            <w:color w:val="000000"/>
          </w:rPr>
          <w:t xml:space="preserve">edere / servare / conservare</w:t>
        </w:r>
      </w:hyperlink>
      <w:r>
        <w:rPr>
          <w:b w:val="0"/>
          <w:i w:val="0"/>
        </w:rPr>
        <w:t xml:space="preserve">; </w:t>
      </w:r>
      <w:hyperlink w:anchor="latin-record-0540">
        <w:r>
          <w:rPr>
            <w:color w:val="000000"/>
          </w:rPr>
          <w:t xml:space="preserve">impertire / impartire / largiri</w:t>
        </w:r>
      </w:hyperlink>
      <w:r>
        <w:rPr>
          <w:b w:val="0"/>
          <w:i w:val="0"/>
        </w:rPr>
        <w:t xml:space="preserve">; </w:t>
      </w:r>
      <w:hyperlink w:anchor="latin-record-0668">
        <w:r>
          <w:rPr>
            <w:color w:val="000000"/>
          </w:rPr>
          <w:t xml:space="preserve">manare / emanare</w:t>
        </w:r>
      </w:hyperlink>
      <w:r>
        <w:rPr>
          <w:b w:val="0"/>
          <w:i w:val="0"/>
        </w:rPr>
        <w:t xml:space="preserve">; </w:t>
      </w:r>
      <w:hyperlink w:anchor="latin-record-0777">
        <w:r>
          <w:rPr>
            <w:color w:val="000000"/>
          </w:rPr>
          <w:t xml:space="preserve">nuper / semel / diuturnior / perpetuo / generatio / successio</w:t>
        </w:r>
      </w:hyperlink>
      <w:r>
        <w:rPr>
          <w:b w:val="0"/>
          <w:i w:val="0"/>
        </w:rPr>
        <w:t xml:space="preserve">; </w:t>
      </w:r>
      <w:hyperlink w:anchor="latin-record-0804">
        <w:r>
          <w:rPr>
            <w:color w:val="000000"/>
          </w:rPr>
          <w:t xml:space="preserve">opus / operari / operatio</w:t>
        </w:r>
      </w:hyperlink>
      <w:r>
        <w:rPr>
          <w:b w:val="0"/>
          <w:i w:val="0"/>
        </w:rPr>
        <w:t xml:space="preserve">; </w:t>
      </w:r>
      <w:hyperlink w:anchor="latin-record-0899">
        <w:r>
          <w:rPr>
            <w:color w:val="000000"/>
          </w:rPr>
          <w:t xml:space="preserve">potentia / potestas / virtus</w:t>
        </w:r>
      </w:hyperlink>
      <w:r>
        <w:rPr>
          <w:b w:val="0"/>
          <w:i w:val="0"/>
        </w:rPr>
        <w:t xml:space="preserve">; </w:t>
      </w:r>
      <w:hyperlink w:anchor="latin-record-1128">
        <w:r>
          <w:rPr>
            <w:color w:val="000000"/>
          </w:rPr>
          <w:t xml:space="preserve">speculum / imago</w:t>
        </w:r>
      </w:hyperlink>
      <w:r>
        <w:rPr>
          <w:b w:val="0"/>
          <w:i w:val="0"/>
        </w:rPr>
        <w:t xml:space="preserve">; </w:t>
      </w:r>
      <w:hyperlink w:anchor="latin-record-1217">
        <w:r>
          <w:rPr>
            <w:color w:val="000000"/>
          </w:rPr>
          <w:t xml:space="preserve">umbra / umbratilis / vanus</w:t>
        </w:r>
      </w:hyperlink>
      <w:r>
        <w:rPr>
          <w:b w:val="0"/>
          <w:i w:val="0"/>
        </w:rPr>
        <w:t>.</w:t>
      </w:r>
    </w:p>
    <w:p>
      <w:pPr>
        <w:widowControl/>
      </w:pPr>
      <w:bookmarkStart w:id="1793" w:name="passage-ii-7-24"/>
      <w:bookmarkEnd w:id="1793"/>
      <w:r>
        <w:rPr>
          <w:b/>
          <w:i w:val="0"/>
        </w:rPr>
        <w:t>II.7.24</w:t>
      </w:r>
      <w:r>
        <w:rPr>
          <w:b/>
          <w:i w:val="0"/>
        </w:rPr>
        <w:t>, source pp. 154–155.</w:t>
      </w:r>
      <w:r>
        <w:rPr>
          <w:b w:val="0"/>
          <w:i w:val="0"/>
        </w:rPr>
        <w:t xml:space="preserve"> Articles: </w:t>
      </w:r>
      <w:hyperlink w:anchor="cause">
        <w:r>
          <w:rPr>
            <w:color w:val="000000"/>
          </w:rPr>
          <w:t xml:space="preserve">Cause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dependence-and-receiving">
        <w:r>
          <w:rPr>
            <w:color w:val="000000"/>
          </w:rPr>
          <w:t xml:space="preserve">Dependence and receiving</w:t>
        </w:r>
      </w:hyperlink>
      <w:r>
        <w:rPr>
          <w:b w:val="0"/>
          <w:i w:val="0"/>
        </w:rPr>
        <w:t xml:space="preserve">; </w:t>
      </w:r>
      <w:hyperlink w:anchor="instrument">
        <w:r>
          <w:rPr>
            <w:color w:val="000000"/>
          </w:rPr>
          <w:t xml:space="preserve">Instrument</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067">
        <w:r>
          <w:rPr>
            <w:color w:val="000000"/>
          </w:rPr>
          <w:t xml:space="preserve">angelus</w:t>
        </w:r>
      </w:hyperlink>
      <w:r>
        <w:rPr>
          <w:b w:val="0"/>
          <w:i w:val="0"/>
        </w:rPr>
        <w:t xml:space="preserve">; </w:t>
      </w:r>
      <w:hyperlink w:anchor="latin-record-0590">
        <w:r>
          <w:rPr>
            <w:color w:val="000000"/>
          </w:rPr>
          <w:t xml:space="preserve">instrumentum / opifex</w:t>
        </w:r>
      </w:hyperlink>
      <w:r>
        <w:rPr>
          <w:b w:val="0"/>
          <w:i w:val="0"/>
        </w:rPr>
        <w:t>.</w:t>
      </w:r>
    </w:p>
    <w:p>
      <w:pPr>
        <w:widowControl/>
      </w:pPr>
      <w:bookmarkStart w:id="1794" w:name="passage-ii-7-25"/>
      <w:bookmarkEnd w:id="1794"/>
      <w:r>
        <w:rPr>
          <w:b/>
          <w:i w:val="0"/>
        </w:rPr>
        <w:t>II.7.25</w:t>
      </w:r>
      <w:r>
        <w:rPr>
          <w:b/>
          <w:i w:val="0"/>
        </w:rPr>
        <w:t>, source pp. 154–155.</w:t>
      </w:r>
      <w:r>
        <w:rPr>
          <w:b w:val="0"/>
          <w:i w:val="0"/>
        </w:rPr>
        <w:t xml:space="preserve"> Articles: </w:t>
      </w:r>
      <w:hyperlink w:anchor="cause">
        <w:r>
          <w:rPr>
            <w:color w:val="000000"/>
          </w:rPr>
          <w:t xml:space="preserve">Cause</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dependence-and-receiving">
        <w:r>
          <w:rPr>
            <w:color w:val="000000"/>
          </w:rPr>
          <w:t xml:space="preserve">Dependence and receiving</w:t>
        </w:r>
      </w:hyperlink>
      <w:r>
        <w:rPr>
          <w:b w:val="0"/>
          <w:i w:val="0"/>
        </w:rPr>
        <w:t xml:space="preserve">; </w:t>
      </w:r>
      <w:hyperlink w:anchor="instrument">
        <w:r>
          <w:rPr>
            <w:color w:val="000000"/>
          </w:rPr>
          <w:t xml:space="preserve">Instrument</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016">
        <w:r>
          <w:rPr>
            <w:color w:val="000000"/>
          </w:rPr>
          <w:t xml:space="preserve">actus / actio / agere</w:t>
        </w:r>
      </w:hyperlink>
      <w:r>
        <w:rPr>
          <w:b w:val="0"/>
          <w:i w:val="0"/>
        </w:rPr>
        <w:t xml:space="preserve">; </w:t>
      </w:r>
      <w:hyperlink w:anchor="latin-record-0858">
        <w:r>
          <w:rPr>
            <w:color w:val="000000"/>
          </w:rPr>
          <w:t xml:space="preserve">perficere / efficere</w:t>
        </w:r>
      </w:hyperlink>
      <w:r>
        <w:rPr>
          <w:b w:val="0"/>
          <w:i w:val="0"/>
        </w:rPr>
        <w:t xml:space="preserve">; </w:t>
      </w:r>
      <w:hyperlink w:anchor="latin-record-0928">
        <w:r>
          <w:rPr>
            <w:color w:val="000000"/>
          </w:rPr>
          <w:t xml:space="preserve">principium / origo</w:t>
        </w:r>
      </w:hyperlink>
      <w:r>
        <w:rPr>
          <w:b w:val="0"/>
          <w:i w:val="0"/>
        </w:rPr>
        <w:t xml:space="preserve">; </w:t>
      </w:r>
      <w:hyperlink w:anchor="latin-record-0944">
        <w:r>
          <w:rPr>
            <w:color w:val="000000"/>
          </w:rPr>
          <w:t xml:space="preserve">producere / facere / gignere</w:t>
        </w:r>
      </w:hyperlink>
      <w:r>
        <w:rPr>
          <w:b w:val="0"/>
          <w:i w:val="0"/>
        </w:rPr>
        <w:t>.</w:t>
      </w:r>
    </w:p>
    <w:p>
      <w:pPr>
        <w:widowControl/>
      </w:pPr>
      <w:bookmarkStart w:id="1795" w:name="passage-ii-7-26"/>
      <w:bookmarkEnd w:id="1795"/>
      <w:r>
        <w:rPr>
          <w:b/>
          <w:i w:val="0"/>
        </w:rPr>
        <w:t>II.7.26</w:t>
      </w:r>
      <w:r>
        <w:rPr>
          <w:b/>
          <w:i w:val="0"/>
        </w:rPr>
        <w:t>, source pp. 154–155.</w:t>
      </w:r>
      <w:r>
        <w:rPr>
          <w:b w:val="0"/>
          <w:i w:val="0"/>
        </w:rPr>
        <w:t xml:space="preserve"> Articles: </w:t>
      </w:r>
      <w:hyperlink w:anchor="being">
        <w:r>
          <w:rPr>
            <w:color w:val="000000"/>
          </w:rPr>
          <w:t xml:space="preserve">Being</w:t>
        </w:r>
      </w:hyperlink>
      <w:r>
        <w:rPr>
          <w:b w:val="0"/>
          <w:i w:val="0"/>
        </w:rPr>
        <w:t xml:space="preserve">; </w:t>
      </w:r>
      <w:hyperlink w:anchor="cause">
        <w:r>
          <w:rPr>
            <w:color w:val="000000"/>
          </w:rPr>
          <w:t xml:space="preserve">Cause</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903">
        <w:r>
          <w:rPr>
            <w:color w:val="000000"/>
          </w:rPr>
          <w:t xml:space="preserve">praebere / conducere</w:t>
        </w:r>
      </w:hyperlink>
      <w:r>
        <w:rPr>
          <w:b w:val="0"/>
          <w:i w:val="0"/>
        </w:rPr>
        <w:t>.</w:t>
      </w:r>
    </w:p>
    <w:p>
      <w:pPr>
        <w:widowControl/>
      </w:pPr>
      <w:bookmarkStart w:id="1796" w:name="passage-ii-7-27"/>
      <w:bookmarkEnd w:id="1796"/>
      <w:r>
        <w:rPr>
          <w:b/>
          <w:i w:val="0"/>
        </w:rPr>
        <w:t>II.7.27</w:t>
      </w:r>
      <w:r>
        <w:rPr>
          <w:b/>
          <w:i w:val="0"/>
        </w:rPr>
        <w:t>, source pp. 156–157.</w:t>
      </w:r>
      <w:r>
        <w:rPr>
          <w:b w:val="0"/>
          <w:i w:val="0"/>
        </w:rPr>
        <w:t xml:space="preserve"> Articles: </w:t>
      </w:r>
      <w:hyperlink w:anchor="being">
        <w:r>
          <w:rPr>
            <w:color w:val="000000"/>
          </w:rPr>
          <w:t xml:space="preserve">Being</w:t>
        </w:r>
      </w:hyperlink>
      <w:r>
        <w:rPr>
          <w:b w:val="0"/>
          <w:i w:val="0"/>
        </w:rPr>
        <w:t xml:space="preserve">; </w:t>
      </w:r>
      <w:hyperlink w:anchor="cause">
        <w:r>
          <w:rPr>
            <w:color w:val="000000"/>
          </w:rPr>
          <w:t xml:space="preserve">Cause</w:t>
        </w:r>
      </w:hyperlink>
      <w:r>
        <w:rPr>
          <w:b w:val="0"/>
          <w:i w:val="0"/>
        </w:rPr>
        <w:t xml:space="preserve">; </w:t>
      </w:r>
      <w:hyperlink w:anchor="concord-and-convergence">
        <w:r>
          <w:rPr>
            <w:color w:val="000000"/>
          </w:rPr>
          <w:t xml:space="preserve">Concord and convergence</w:t>
        </w:r>
      </w:hyperlink>
      <w:r>
        <w:rPr>
          <w:b w:val="0"/>
          <w:i w:val="0"/>
        </w:rPr>
        <w:t xml:space="preserve">; </w:t>
      </w:r>
      <w:hyperlink w:anchor="instrument">
        <w:r>
          <w:rPr>
            <w:color w:val="000000"/>
          </w:rPr>
          <w:t xml:space="preserve">Instrument</w:t>
        </w:r>
      </w:hyperlink>
      <w:r>
        <w:rPr>
          <w:b w:val="0"/>
          <w:i w:val="0"/>
        </w:rPr>
        <w:t xml:space="preserve">; </w:t>
      </w:r>
      <w:hyperlink w:anchor="order-and-harmony">
        <w:r>
          <w:rPr>
            <w:color w:val="000000"/>
          </w:rPr>
          <w:t xml:space="preserve">Order and harmony</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255">
        <w:r>
          <w:rPr>
            <w:color w:val="000000"/>
          </w:rPr>
          <w:t xml:space="preserve">conspirare / concurrere</w:t>
        </w:r>
      </w:hyperlink>
      <w:r>
        <w:rPr>
          <w:b w:val="0"/>
          <w:i w:val="0"/>
        </w:rPr>
        <w:t xml:space="preserve">; </w:t>
      </w:r>
      <w:hyperlink w:anchor="latin-record-0801">
        <w:r>
          <w:rPr>
            <w:color w:val="000000"/>
          </w:rPr>
          <w:t xml:space="preserve">oppositus / contrarius / diversus</w:t>
        </w:r>
      </w:hyperlink>
      <w:r>
        <w:rPr>
          <w:b w:val="0"/>
          <w:i w:val="0"/>
        </w:rPr>
        <w:t>.</w:t>
      </w:r>
    </w:p>
    <w:p>
      <w:pPr>
        <w:widowControl/>
      </w:pPr>
      <w:bookmarkStart w:id="1797" w:name="passage-ii-7-28"/>
      <w:bookmarkEnd w:id="1797"/>
      <w:r>
        <w:rPr>
          <w:b/>
          <w:i w:val="0"/>
        </w:rPr>
        <w:t>II.7.28</w:t>
      </w:r>
      <w:r>
        <w:rPr>
          <w:b/>
          <w:i w:val="0"/>
        </w:rPr>
        <w:t>, source pp. 156–157.</w:t>
      </w:r>
      <w:r>
        <w:rPr>
          <w:b w:val="0"/>
          <w:i w:val="0"/>
        </w:rPr>
        <w:t xml:space="preserve"> Articles: </w:t>
      </w:r>
      <w:hyperlink w:anchor="before-and-after-in-nature">
        <w:r>
          <w:rPr>
            <w:color w:val="000000"/>
          </w:rPr>
          <w:t xml:space="preserve">Before and after in nature</w:t>
        </w:r>
      </w:hyperlink>
      <w:r>
        <w:rPr>
          <w:b w:val="0"/>
          <w:i w:val="0"/>
        </w:rPr>
        <w:t xml:space="preserve">; </w:t>
      </w:r>
      <w:hyperlink w:anchor="being">
        <w:r>
          <w:rPr>
            <w:color w:val="000000"/>
          </w:rPr>
          <w:t xml:space="preserve">Being</w:t>
        </w:r>
      </w:hyperlink>
      <w:r>
        <w:rPr>
          <w:b w:val="0"/>
          <w:i w:val="0"/>
        </w:rPr>
        <w:t xml:space="preserve">; </w:t>
      </w:r>
      <w:hyperlink w:anchor="cause">
        <w:r>
          <w:rPr>
            <w:color w:val="000000"/>
          </w:rPr>
          <w:t xml:space="preserve">Cause</w:t>
        </w:r>
      </w:hyperlink>
      <w:r>
        <w:rPr>
          <w:b w:val="0"/>
          <w:i w:val="0"/>
        </w:rPr>
        <w:t xml:space="preserve">; </w:t>
      </w:r>
      <w:hyperlink w:anchor="impression-and-effacement">
        <w:r>
          <w:rPr>
            <w:color w:val="000000"/>
          </w:rPr>
          <w:t xml:space="preserve">Impression and effacement</w:t>
        </w:r>
      </w:hyperlink>
      <w:r>
        <w:rPr>
          <w:b w:val="0"/>
          <w:i w:val="0"/>
        </w:rPr>
        <w:t xml:space="preserve">; </w:t>
      </w:r>
      <w:hyperlink w:anchor="instrument">
        <w:r>
          <w:rPr>
            <w:color w:val="000000"/>
          </w:rPr>
          <w:t xml:space="preserve">Instrument</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309">
        <w:r>
          <w:rPr>
            <w:color w:val="000000"/>
          </w:rPr>
          <w:t xml:space="preserve">determinatio / affectio</w:t>
        </w:r>
      </w:hyperlink>
      <w:r>
        <w:rPr>
          <w:b w:val="0"/>
          <w:i w:val="0"/>
        </w:rPr>
        <w:t xml:space="preserve">; </w:t>
      </w:r>
      <w:hyperlink w:anchor="latin-record-0332">
        <w:r>
          <w:rPr>
            <w:color w:val="000000"/>
          </w:rPr>
          <w:t xml:space="preserve">disiungere / disponere / instituere</w:t>
        </w:r>
      </w:hyperlink>
      <w:r>
        <w:rPr>
          <w:b w:val="0"/>
          <w:i w:val="0"/>
        </w:rPr>
        <w:t xml:space="preserve">; </w:t>
      </w:r>
      <w:hyperlink w:anchor="latin-record-0378">
        <w:r>
          <w:rPr>
            <w:color w:val="000000"/>
          </w:rPr>
          <w:t xml:space="preserve">esse / ens / exsistere</w:t>
        </w:r>
      </w:hyperlink>
      <w:r>
        <w:rPr>
          <w:b w:val="0"/>
          <w:i w:val="0"/>
        </w:rPr>
        <w:t xml:space="preserve">; </w:t>
      </w:r>
      <w:hyperlink w:anchor="latin-record-0807">
        <w:r>
          <w:rPr>
            <w:color w:val="000000"/>
          </w:rPr>
          <w:t xml:space="preserve">ordinare / ordinator / ordo</w:t>
        </w:r>
      </w:hyperlink>
      <w:r>
        <w:rPr>
          <w:b w:val="0"/>
          <w:i w:val="0"/>
        </w:rPr>
        <w:t xml:space="preserve">; </w:t>
      </w:r>
      <w:hyperlink w:anchor="latin-record-0932">
        <w:r>
          <w:rPr>
            <w:color w:val="000000"/>
          </w:rPr>
          <w:t xml:space="preserve">prius / posterius / deinde</w:t>
        </w:r>
      </w:hyperlink>
      <w:r>
        <w:rPr>
          <w:b w:val="0"/>
          <w:i w:val="0"/>
        </w:rPr>
        <w:t>.</w:t>
      </w:r>
    </w:p>
    <w:p>
      <w:pPr>
        <w:widowControl/>
      </w:pPr>
      <w:bookmarkStart w:id="1798" w:name="passage-ii-7-29"/>
      <w:bookmarkEnd w:id="1798"/>
      <w:r>
        <w:rPr>
          <w:b/>
          <w:i w:val="0"/>
        </w:rPr>
        <w:t>II.7.29</w:t>
      </w:r>
      <w:r>
        <w:rPr>
          <w:b/>
          <w:i w:val="0"/>
        </w:rPr>
        <w:t>, source pp. 156–157.</w:t>
      </w:r>
      <w:r>
        <w:rPr>
          <w:b w:val="0"/>
          <w:i w:val="0"/>
        </w:rPr>
        <w:t xml:space="preserve"> Articles: </w:t>
      </w:r>
      <w:hyperlink w:anchor="before-and-after-in-nature">
        <w:r>
          <w:rPr>
            <w:color w:val="000000"/>
          </w:rPr>
          <w:t xml:space="preserve">Before and after in nature</w:t>
        </w:r>
      </w:hyperlink>
      <w:r>
        <w:rPr>
          <w:b w:val="0"/>
          <w:i w:val="0"/>
        </w:rPr>
        <w:t xml:space="preserve">; </w:t>
      </w:r>
      <w:hyperlink w:anchor="being">
        <w:r>
          <w:rPr>
            <w:color w:val="000000"/>
          </w:rPr>
          <w:t xml:space="preserve">Being</w:t>
        </w:r>
      </w:hyperlink>
      <w:r>
        <w:rPr>
          <w:b w:val="0"/>
          <w:i w:val="0"/>
        </w:rPr>
        <w:t xml:space="preserve">; </w:t>
      </w:r>
      <w:hyperlink w:anchor="cause">
        <w:r>
          <w:rPr>
            <w:color w:val="000000"/>
          </w:rPr>
          <w:t xml:space="preserve">Cause</w:t>
        </w:r>
      </w:hyperlink>
      <w:r>
        <w:rPr>
          <w:b w:val="0"/>
          <w:i w:val="0"/>
        </w:rPr>
        <w:t xml:space="preserve">; </w:t>
      </w:r>
      <w:hyperlink w:anchor="common-and-proper">
        <w:r>
          <w:rPr>
            <w:color w:val="000000"/>
          </w:rPr>
          <w:t xml:space="preserve">Common and proper</w:t>
        </w:r>
      </w:hyperlink>
      <w:r>
        <w:rPr>
          <w:b w:val="0"/>
          <w:i w:val="0"/>
        </w:rPr>
        <w:t xml:space="preserve">; </w:t>
      </w:r>
      <w:hyperlink w:anchor="end-and-limit">
        <w:r>
          <w:rPr>
            <w:color w:val="000000"/>
          </w:rPr>
          <w:t xml:space="preserve">End and limit</w:t>
        </w:r>
      </w:hyperlink>
      <w:r>
        <w:rPr>
          <w:b w:val="0"/>
          <w:i w:val="0"/>
        </w:rPr>
        <w:t xml:space="preserve">; </w:t>
      </w:r>
      <w:hyperlink w:anchor="impression-and-effacement">
        <w:r>
          <w:rPr>
            <w:color w:val="000000"/>
          </w:rPr>
          <w:t xml:space="preserve">Impression and effacement</w:t>
        </w:r>
      </w:hyperlink>
      <w:r>
        <w:rPr>
          <w:b w:val="0"/>
          <w:i w:val="0"/>
        </w:rPr>
        <w:t xml:space="preserve">; </w:t>
      </w:r>
      <w:hyperlink w:anchor="instrument">
        <w:r>
          <w:rPr>
            <w:color w:val="000000"/>
          </w:rPr>
          <w:t xml:space="preserve">Instrument</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059">
        <w:r>
          <w:rPr>
            <w:color w:val="000000"/>
          </w:rPr>
          <w:t xml:space="preserve">amittere / delere</w:t>
        </w:r>
      </w:hyperlink>
      <w:r>
        <w:rPr>
          <w:b w:val="0"/>
          <w:i w:val="0"/>
        </w:rPr>
        <w:t xml:space="preserve">; </w:t>
      </w:r>
      <w:hyperlink w:anchor="latin-record-0378">
        <w:r>
          <w:rPr>
            <w:color w:val="000000"/>
          </w:rPr>
          <w:t xml:space="preserve">esse / ens / exsistere</w:t>
        </w:r>
      </w:hyperlink>
      <w:r>
        <w:rPr>
          <w:b w:val="0"/>
          <w:i w:val="0"/>
        </w:rPr>
        <w:t xml:space="preserve">; </w:t>
      </w:r>
      <w:hyperlink w:anchor="latin-record-0903">
        <w:r>
          <w:rPr>
            <w:color w:val="000000"/>
          </w:rPr>
          <w:t xml:space="preserve">praebere / conducere</w:t>
        </w:r>
      </w:hyperlink>
      <w:r>
        <w:rPr>
          <w:b w:val="0"/>
          <w:i w:val="0"/>
        </w:rPr>
        <w:t xml:space="preserve">; </w:t>
      </w:r>
      <w:hyperlink w:anchor="latin-record-0932">
        <w:r>
          <w:rPr>
            <w:color w:val="000000"/>
          </w:rPr>
          <w:t xml:space="preserve">prius / posterius / deinde</w:t>
        </w:r>
      </w:hyperlink>
      <w:r>
        <w:rPr>
          <w:b w:val="0"/>
          <w:i w:val="0"/>
        </w:rPr>
        <w:t>.</w:t>
      </w:r>
    </w:p>
    <w:p>
      <w:pPr>
        <w:widowControl/>
      </w:pPr>
      <w:bookmarkStart w:id="1799" w:name="passage-ii-7-30"/>
      <w:bookmarkEnd w:id="1799"/>
      <w:r>
        <w:rPr>
          <w:b/>
          <w:i w:val="0"/>
        </w:rPr>
        <w:t>II.7.30</w:t>
      </w:r>
      <w:r>
        <w:rPr>
          <w:b/>
          <w:i w:val="0"/>
        </w:rPr>
        <w:t>, source pp. 156–157.</w:t>
      </w:r>
      <w:r>
        <w:rPr>
          <w:b w:val="0"/>
          <w:i w:val="0"/>
        </w:rPr>
        <w:t xml:space="preserve"> Articles: </w:t>
      </w:r>
      <w:hyperlink w:anchor="being">
        <w:r>
          <w:rPr>
            <w:color w:val="000000"/>
          </w:rPr>
          <w:t xml:space="preserve">Being</w:t>
        </w:r>
      </w:hyperlink>
      <w:r>
        <w:rPr>
          <w:b w:val="0"/>
          <w:i w:val="0"/>
        </w:rPr>
        <w:t xml:space="preserve">; </w:t>
      </w:r>
      <w:hyperlink w:anchor="borrowing-and-assistance">
        <w:r>
          <w:rPr>
            <w:color w:val="000000"/>
          </w:rPr>
          <w:t xml:space="preserve">Borrowing and assistance</w:t>
        </w:r>
      </w:hyperlink>
      <w:r>
        <w:rPr>
          <w:b w:val="0"/>
          <w:i w:val="0"/>
        </w:rPr>
        <w:t xml:space="preserve">; </w:t>
      </w:r>
      <w:hyperlink w:anchor="cause">
        <w:r>
          <w:rPr>
            <w:color w:val="000000"/>
          </w:rPr>
          <w:t xml:space="preserve">Cause</w:t>
        </w:r>
      </w:hyperlink>
      <w:r>
        <w:rPr>
          <w:b w:val="0"/>
          <w:i w:val="0"/>
        </w:rPr>
        <w:t xml:space="preserve">; </w:t>
      </w:r>
      <w:hyperlink w:anchor="glass-and-colored-radiance">
        <w:r>
          <w:rPr>
            <w:color w:val="000000"/>
          </w:rPr>
          <w:t xml:space="preserve">Glass and colored radiance</w:t>
        </w:r>
      </w:hyperlink>
      <w:r>
        <w:rPr>
          <w:b w:val="0"/>
          <w:i w:val="0"/>
        </w:rPr>
        <w:t xml:space="preserve">; </w:t>
      </w:r>
      <w:hyperlink w:anchor="instrument">
        <w:r>
          <w:rPr>
            <w:color w:val="000000"/>
          </w:rPr>
          <w:t xml:space="preserve">Instrument</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118">
        <w:r>
          <w:rPr>
            <w:color w:val="000000"/>
          </w:rPr>
          <w:t xml:space="preserve">auxilium / subsidium</w:t>
        </w:r>
      </w:hyperlink>
      <w:r>
        <w:rPr>
          <w:b w:val="0"/>
          <w:i w:val="0"/>
        </w:rPr>
        <w:t xml:space="preserve">; </w:t>
      </w:r>
      <w:hyperlink w:anchor="latin-record-0309">
        <w:r>
          <w:rPr>
            <w:color w:val="000000"/>
          </w:rPr>
          <w:t xml:space="preserve">determinatio / affectio</w:t>
        </w:r>
      </w:hyperlink>
      <w:r>
        <w:rPr>
          <w:b w:val="0"/>
          <w:i w:val="0"/>
        </w:rPr>
        <w:t xml:space="preserve">; </w:t>
      </w:r>
      <w:hyperlink w:anchor="latin-record-0340">
        <w:r>
          <w:rPr>
            <w:color w:val="000000"/>
          </w:rPr>
          <w:t xml:space="preserve">distinguere / dividere / divisio</w:t>
        </w:r>
      </w:hyperlink>
      <w:r>
        <w:rPr>
          <w:b w:val="0"/>
          <w:i w:val="0"/>
        </w:rPr>
        <w:t xml:space="preserve">; </w:t>
      </w:r>
      <w:hyperlink w:anchor="latin-record-0538">
        <w:r>
          <w:rPr>
            <w:color w:val="000000"/>
          </w:rPr>
          <w:t xml:space="preserve">imperium</w:t>
        </w:r>
      </w:hyperlink>
      <w:r>
        <w:rPr>
          <w:b w:val="0"/>
          <w:i w:val="0"/>
        </w:rPr>
        <w:t xml:space="preserve">; </w:t>
      </w:r>
      <w:hyperlink w:anchor="latin-record-0835">
        <w:r>
          <w:rPr>
            <w:color w:val="000000"/>
          </w:rPr>
          <w:t xml:space="preserve">passim</w:t>
        </w:r>
      </w:hyperlink>
      <w:r>
        <w:rPr>
          <w:b w:val="0"/>
          <w:i w:val="0"/>
        </w:rPr>
        <w:t xml:space="preserve">; </w:t>
      </w:r>
      <w:hyperlink w:anchor="latin-record-1223">
        <w:r>
          <w:rPr>
            <w:color w:val="000000"/>
          </w:rPr>
          <w:t xml:space="preserve">universalis / universalia</w:t>
        </w:r>
      </w:hyperlink>
      <w:r>
        <w:rPr>
          <w:b w:val="0"/>
          <w:i w:val="0"/>
        </w:rPr>
        <w:t xml:space="preserve">; </w:t>
      </w:r>
      <w:hyperlink w:anchor="latin-record-1270">
        <w:r>
          <w:rPr>
            <w:color w:val="000000"/>
          </w:rPr>
          <w:t xml:space="preserve">vis / vires</w:t>
        </w:r>
      </w:hyperlink>
      <w:r>
        <w:rPr>
          <w:b w:val="0"/>
          <w:i w:val="0"/>
        </w:rPr>
        <w:t>.</w:t>
      </w:r>
    </w:p>
    <w:p>
      <w:pPr>
        <w:widowControl/>
      </w:pPr>
      <w:bookmarkStart w:id="1800" w:name="passage-ii-7-31"/>
      <w:bookmarkEnd w:id="1800"/>
      <w:r>
        <w:rPr>
          <w:b/>
          <w:i w:val="0"/>
        </w:rPr>
        <w:t>II.7.31</w:t>
      </w:r>
      <w:r>
        <w:rPr>
          <w:b/>
          <w:i w:val="0"/>
        </w:rPr>
        <w:t>, source pp. 158–159.</w:t>
      </w:r>
      <w:r>
        <w:rPr>
          <w:b w:val="0"/>
          <w:i w:val="0"/>
        </w:rPr>
        <w:t xml:space="preserve"> Articles: </w:t>
      </w:r>
      <w:hyperlink w:anchor="being">
        <w:r>
          <w:rPr>
            <w:color w:val="000000"/>
          </w:rPr>
          <w:t xml:space="preserve">Being</w:t>
        </w:r>
      </w:hyperlink>
      <w:r>
        <w:rPr>
          <w:b w:val="0"/>
          <w:i w:val="0"/>
        </w:rPr>
        <w:t xml:space="preserve">; </w:t>
      </w:r>
      <w:hyperlink w:anchor="borrowing-and-assistance">
        <w:r>
          <w:rPr>
            <w:color w:val="000000"/>
          </w:rPr>
          <w:t xml:space="preserve">Borrowing and assistance</w:t>
        </w:r>
      </w:hyperlink>
      <w:r>
        <w:rPr>
          <w:b w:val="0"/>
          <w:i w:val="0"/>
        </w:rPr>
        <w:t xml:space="preserve">; </w:t>
      </w:r>
      <w:hyperlink w:anchor="cause">
        <w:r>
          <w:rPr>
            <w:color w:val="000000"/>
          </w:rPr>
          <w:t xml:space="preserve">Cause</w:t>
        </w:r>
      </w:hyperlink>
      <w:r>
        <w:rPr>
          <w:b w:val="0"/>
          <w:i w:val="0"/>
        </w:rPr>
        <w:t xml:space="preserve">; </w:t>
      </w:r>
      <w:hyperlink w:anchor="glass-and-colored-radiance">
        <w:r>
          <w:rPr>
            <w:color w:val="000000"/>
          </w:rPr>
          <w:t xml:space="preserve">Glass and colored radiance</w:t>
        </w:r>
      </w:hyperlink>
      <w:r>
        <w:rPr>
          <w:b w:val="0"/>
          <w:i w:val="0"/>
        </w:rPr>
        <w:t xml:space="preserve">; </w:t>
      </w:r>
      <w:hyperlink w:anchor="instrument">
        <w:r>
          <w:rPr>
            <w:color w:val="000000"/>
          </w:rPr>
          <w:t xml:space="preserve">Instrument</w:t>
        </w:r>
      </w:hyperlink>
      <w:r>
        <w:rPr>
          <w:b w:val="0"/>
          <w:i w:val="0"/>
        </w:rPr>
        <w:t xml:space="preserve">; </w:t>
      </w:r>
      <w:hyperlink w:anchor="light-and-illumination">
        <w:r>
          <w:rPr>
            <w:color w:val="000000"/>
          </w:rPr>
          <w:t xml:space="preserve">Light and illumination</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655">
        <w:r>
          <w:rPr>
            <w:color w:val="000000"/>
          </w:rPr>
          <w:t xml:space="preserve">lux / lumen</w:t>
        </w:r>
      </w:hyperlink>
      <w:r>
        <w:rPr>
          <w:b w:val="0"/>
          <w:i w:val="0"/>
        </w:rPr>
        <w:t xml:space="preserve">; </w:t>
      </w:r>
      <w:hyperlink w:anchor="latin-record-1065">
        <w:r>
          <w:rPr>
            <w:color w:val="000000"/>
          </w:rPr>
          <w:t xml:space="preserve">ruber / viridis / splendor</w:t>
        </w:r>
      </w:hyperlink>
      <w:r>
        <w:rPr>
          <w:b w:val="0"/>
          <w:i w:val="0"/>
        </w:rPr>
        <w:t xml:space="preserve">; </w:t>
      </w:r>
      <w:hyperlink w:anchor="latin-record-1110">
        <w:r>
          <w:rPr>
            <w:color w:val="000000"/>
          </w:rPr>
          <w:t xml:space="preserve">simulacrum / color</w:t>
        </w:r>
      </w:hyperlink>
      <w:r>
        <w:rPr>
          <w:b w:val="0"/>
          <w:i w:val="0"/>
        </w:rPr>
        <w:t xml:space="preserve">; </w:t>
      </w:r>
      <w:hyperlink w:anchor="latin-record-1278">
        <w:r>
          <w:rPr>
            <w:color w:val="000000"/>
          </w:rPr>
          <w:t xml:space="preserve">vitrum / fenestra / pavimentum</w:t>
        </w:r>
      </w:hyperlink>
      <w:r>
        <w:rPr>
          <w:b w:val="0"/>
          <w:i w:val="0"/>
        </w:rPr>
        <w:t>.</w:t>
      </w:r>
    </w:p>
    <w:p>
      <w:pPr>
        <w:widowControl/>
      </w:pPr>
      <w:bookmarkStart w:id="1801" w:name="passage-ii-7-32"/>
      <w:bookmarkEnd w:id="1801"/>
      <w:r>
        <w:rPr>
          <w:b/>
          <w:i w:val="0"/>
        </w:rPr>
        <w:t>II.7.32</w:t>
      </w:r>
      <w:r>
        <w:rPr>
          <w:b/>
          <w:i w:val="0"/>
        </w:rPr>
        <w:t>, source pp. 158–159.</w:t>
      </w:r>
      <w:r>
        <w:rPr>
          <w:b w:val="0"/>
          <w:i w:val="0"/>
        </w:rPr>
        <w:t xml:space="preserve"> Articles: </w:t>
      </w:r>
      <w:hyperlink w:anchor="before-and-after-in-nature">
        <w:r>
          <w:rPr>
            <w:color w:val="000000"/>
          </w:rPr>
          <w:t xml:space="preserve">Before and after in nature</w:t>
        </w:r>
      </w:hyperlink>
      <w:r>
        <w:rPr>
          <w:b w:val="0"/>
          <w:i w:val="0"/>
        </w:rPr>
        <w:t xml:space="preserve">; </w:t>
      </w:r>
      <w:hyperlink w:anchor="being">
        <w:r>
          <w:rPr>
            <w:color w:val="000000"/>
          </w:rPr>
          <w:t xml:space="preserve">Being</w:t>
        </w:r>
      </w:hyperlink>
      <w:r>
        <w:rPr>
          <w:b w:val="0"/>
          <w:i w:val="0"/>
        </w:rPr>
        <w:t xml:space="preserve">; </w:t>
      </w:r>
      <w:hyperlink w:anchor="cause">
        <w:r>
          <w:rPr>
            <w:color w:val="000000"/>
          </w:rPr>
          <w:t xml:space="preserve">Cause</w:t>
        </w:r>
      </w:hyperlink>
      <w:r>
        <w:rPr>
          <w:b w:val="0"/>
          <w:i w:val="0"/>
        </w:rPr>
        <w:t xml:space="preserve">; </w:t>
      </w:r>
      <w:hyperlink w:anchor="glass-and-colored-radiance">
        <w:r>
          <w:rPr>
            <w:color w:val="000000"/>
          </w:rPr>
          <w:t xml:space="preserve">Glass and colored radiance</w:t>
        </w:r>
      </w:hyperlink>
      <w:r>
        <w:rPr>
          <w:b w:val="0"/>
          <w:i w:val="0"/>
        </w:rPr>
        <w:t xml:space="preserve">; </w:t>
      </w:r>
      <w:hyperlink w:anchor="impression-and-effacement">
        <w:r>
          <w:rPr>
            <w:color w:val="000000"/>
          </w:rPr>
          <w:t xml:space="preserve">Impression and effacement</w:t>
        </w:r>
      </w:hyperlink>
      <w:r>
        <w:rPr>
          <w:b w:val="0"/>
          <w:i w:val="0"/>
        </w:rPr>
        <w:t xml:space="preserve">; </w:t>
      </w:r>
      <w:hyperlink w:anchor="instrument">
        <w:r>
          <w:rPr>
            <w:color w:val="000000"/>
          </w:rPr>
          <w:t xml:space="preserve">Instrument</w:t>
        </w:r>
      </w:hyperlink>
      <w:r>
        <w:rPr>
          <w:b w:val="0"/>
          <w:i w:val="0"/>
        </w:rPr>
        <w:t xml:space="preserve">; </w:t>
      </w:r>
      <w:hyperlink w:anchor="participation">
        <w:r>
          <w:rPr>
            <w:color w:val="000000"/>
          </w:rPr>
          <w:t xml:space="preserve">Participation</w:t>
        </w:r>
      </w:hyperlink>
      <w:r>
        <w:rPr>
          <w:b w:val="0"/>
          <w:i w:val="0"/>
        </w:rPr>
        <w:t xml:space="preserve">; </w:t>
      </w:r>
      <w:hyperlink w:anchor="power-and-potency">
        <w:r>
          <w:rPr>
            <w:color w:val="000000"/>
          </w:rPr>
          <w:t xml:space="preserve">Power and potency</w:t>
        </w:r>
      </w:hyperlink>
      <w:r>
        <w:rPr>
          <w:b w:val="0"/>
          <w:i w:val="0"/>
        </w:rPr>
        <w:t xml:space="preserve">; </w:t>
      </w:r>
      <w:hyperlink w:anchor="traces">
        <w:r>
          <w:rPr>
            <w:color w:val="000000"/>
          </w:rPr>
          <w:t xml:space="preserve">Traces</w:t>
        </w:r>
      </w:hyperlink>
      <w:r>
        <w:rPr>
          <w:b w:val="0"/>
          <w:i w:val="0"/>
        </w:rPr>
        <w:t xml:space="preserve">. Vocabulary: </w:t>
      </w:r>
      <w:hyperlink w:anchor="latin-record-0059">
        <w:r>
          <w:rPr>
            <w:color w:val="000000"/>
          </w:rPr>
          <w:t xml:space="preserve">amittere / delere</w:t>
        </w:r>
      </w:hyperlink>
      <w:r>
        <w:rPr>
          <w:b w:val="0"/>
          <w:i w:val="0"/>
        </w:rPr>
        <w:t xml:space="preserve">; </w:t>
      </w:r>
      <w:hyperlink w:anchor="latin-record-0153">
        <w:r>
          <w:rPr>
            <w:color w:val="000000"/>
          </w:rPr>
          <w:t xml:space="preserve">causa / effectus</w:t>
        </w:r>
      </w:hyperlink>
      <w:r>
        <w:rPr>
          <w:b w:val="0"/>
          <w:i w:val="0"/>
        </w:rPr>
        <w:t xml:space="preserve">; </w:t>
      </w:r>
      <w:hyperlink w:anchor="latin-record-0224">
        <w:r>
          <w:rPr>
            <w:color w:val="000000"/>
          </w:rPr>
          <w:t xml:space="preserve">concludere / confirmare / patere</w:t>
        </w:r>
      </w:hyperlink>
      <w:r>
        <w:rPr>
          <w:b w:val="0"/>
          <w:i w:val="0"/>
        </w:rPr>
        <w:t xml:space="preserve">; </w:t>
      </w:r>
      <w:hyperlink w:anchor="latin-record-0470">
        <w:r>
          <w:rPr>
            <w:color w:val="000000"/>
          </w:rPr>
          <w:t xml:space="preserve">fortis / vehementia / valere</w:t>
        </w:r>
      </w:hyperlink>
      <w:r>
        <w:rPr>
          <w:b w:val="0"/>
          <w:i w:val="0"/>
        </w:rPr>
        <w:t xml:space="preserve">; </w:t>
      </w:r>
      <w:hyperlink w:anchor="latin-record-0544">
        <w:r>
          <w:rPr>
            <w:color w:val="000000"/>
          </w:rPr>
          <w:t xml:space="preserve">imprimere / fundare / stabilire</w:t>
        </w:r>
      </w:hyperlink>
      <w:r>
        <w:rPr>
          <w:b w:val="0"/>
          <w:i w:val="0"/>
        </w:rPr>
        <w:t xml:space="preserve">; </w:t>
      </w:r>
      <w:hyperlink w:anchor="latin-record-0724">
        <w:r>
          <w:rPr>
            <w:color w:val="000000"/>
          </w:rPr>
          <w:t xml:space="preserve">movere / sistere / firmare</w:t>
        </w:r>
      </w:hyperlink>
      <w:r>
        <w:rPr>
          <w:b w:val="0"/>
          <w:i w:val="0"/>
        </w:rPr>
        <w:t xml:space="preserve">; </w:t>
      </w:r>
      <w:hyperlink w:anchor="latin-record-0932">
        <w:r>
          <w:rPr>
            <w:color w:val="000000"/>
          </w:rPr>
          <w:t xml:space="preserve">prius / posterius / deinde</w:t>
        </w:r>
      </w:hyperlink>
      <w:r>
        <w:rPr>
          <w:b w:val="0"/>
          <w:i w:val="0"/>
        </w:rPr>
        <w:t xml:space="preserve">; </w:t>
      </w:r>
      <w:hyperlink w:anchor="latin-record-1249">
        <w:r>
          <w:rPr>
            <w:color w:val="000000"/>
          </w:rPr>
          <w:t xml:space="preserve">vestigium</w:t>
        </w:r>
      </w:hyperlink>
      <w:r>
        <w:rPr>
          <w:b w:val="0"/>
          <w:i w:val="0"/>
        </w:rPr>
        <w:t>.</w:t>
      </w:r>
    </w:p>
    <w:p>
      <w:bookmarkStart w:id="1802" w:name="chapter-ii.8"/>
      <w:pPr>
        <w:pStyle w:val="Heading2"/>
      </w:pPr>
      <w:r>
        <w:rPr>
          <w:b w:val="0"/>
          <w:i w:val="0"/>
        </w:rPr>
        <w:t>Chapter II.8</w:t>
      </w:r>
      <w:bookmarkEnd w:id="1802"/>
    </w:p>
    <w:p>
      <w:pPr>
        <w:widowControl/>
      </w:pPr>
      <w:bookmarkStart w:id="1803" w:name="passage-ii-8-1"/>
      <w:bookmarkEnd w:id="1803"/>
      <w:r>
        <w:rPr>
          <w:b/>
          <w:i w:val="0"/>
        </w:rPr>
        <w:t>II.8.1</w:t>
      </w:r>
      <w:r>
        <w:rPr>
          <w:b/>
          <w:i w:val="0"/>
        </w:rPr>
        <w:t>, source pp. 160–161.</w:t>
      </w:r>
      <w:r>
        <w:rPr>
          <w:b w:val="0"/>
          <w:i w:val="0"/>
        </w:rPr>
        <w:t xml:space="preserve"> Articles: </w:t>
      </w:r>
      <w:hyperlink w:anchor="burden-labor-and-ease">
        <w:r>
          <w:rPr>
            <w:color w:val="000000"/>
          </w:rPr>
          <w:t xml:space="preserve">Burden labor and ease</w:t>
        </w:r>
      </w:hyperlink>
      <w:r>
        <w:rPr>
          <w:b w:val="0"/>
          <w:i w:val="0"/>
        </w:rPr>
        <w:t xml:space="preserve">; </w:t>
      </w:r>
      <w:hyperlink w:anchor="choice-and-deliberation">
        <w:r>
          <w:rPr>
            <w:color w:val="000000"/>
          </w:rPr>
          <w:t xml:space="preserve">Choice and deliberation</w:t>
        </w:r>
      </w:hyperlink>
      <w:r>
        <w:rPr>
          <w:b w:val="0"/>
          <w:i w:val="0"/>
        </w:rPr>
        <w:t xml:space="preserve">. Vocabulary: </w:t>
      </w:r>
      <w:hyperlink w:anchor="latin-record-0043">
        <w:r>
          <w:rPr>
            <w:color w:val="000000"/>
          </w:rPr>
          <w:t xml:space="preserve">agere: egerit</w:t>
        </w:r>
      </w:hyperlink>
      <w:r>
        <w:rPr>
          <w:b w:val="0"/>
          <w:i w:val="0"/>
        </w:rPr>
        <w:t xml:space="preserve">; </w:t>
      </w:r>
      <w:hyperlink w:anchor="latin-record-0250">
        <w:r>
          <w:rPr>
            <w:color w:val="000000"/>
          </w:rPr>
          <w:t xml:space="preserve">consilium</w:t>
        </w:r>
      </w:hyperlink>
      <w:r>
        <w:rPr>
          <w:b w:val="0"/>
          <w:i w:val="0"/>
        </w:rPr>
        <w:t xml:space="preserve">; </w:t>
      </w:r>
      <w:hyperlink w:anchor="latin-record-0368">
        <w:r>
          <w:rPr>
            <w:color w:val="000000"/>
          </w:rPr>
          <w:t xml:space="preserve">electio / eligere</w:t>
        </w:r>
      </w:hyperlink>
      <w:r>
        <w:rPr>
          <w:b w:val="0"/>
          <w:i w:val="0"/>
        </w:rPr>
        <w:t xml:space="preserve">; </w:t>
      </w:r>
      <w:hyperlink w:anchor="latin-record-0374">
        <w:r>
          <w:rPr>
            <w:color w:val="000000"/>
          </w:rPr>
          <w:t xml:space="preserve">Epicureus / Epicurus / Averroes</w:t>
        </w:r>
      </w:hyperlink>
      <w:r>
        <w:rPr>
          <w:b w:val="0"/>
          <w:i w:val="0"/>
        </w:rPr>
        <w:t xml:space="preserve">; </w:t>
      </w:r>
      <w:hyperlink w:anchor="latin-record-0685">
        <w:r>
          <w:rPr>
            <w:color w:val="000000"/>
          </w:rPr>
          <w:t xml:space="preserve">memorare / respondere / docere</w:t>
        </w:r>
      </w:hyperlink>
      <w:r>
        <w:rPr>
          <w:b w:val="0"/>
          <w:i w:val="0"/>
        </w:rPr>
        <w:t xml:space="preserve">; </w:t>
      </w:r>
      <w:hyperlink w:anchor="latin-record-1117">
        <w:r>
          <w:rPr>
            <w:color w:val="000000"/>
          </w:rPr>
          <w:t xml:space="preserve">sollicitare / sollicitudo / onerare</w:t>
        </w:r>
      </w:hyperlink>
      <w:r>
        <w:rPr>
          <w:b w:val="0"/>
          <w:i w:val="0"/>
        </w:rPr>
        <w:t>.</w:t>
      </w:r>
    </w:p>
    <w:p>
      <w:pPr>
        <w:widowControl/>
      </w:pPr>
      <w:bookmarkStart w:id="1804" w:name="passage-ii-8-2"/>
      <w:bookmarkEnd w:id="1804"/>
      <w:r>
        <w:rPr>
          <w:b/>
          <w:i w:val="0"/>
        </w:rPr>
        <w:t>II.8.2</w:t>
      </w:r>
      <w:r>
        <w:rPr>
          <w:b/>
          <w:i w:val="0"/>
        </w:rPr>
        <w:t>, source pp. 160–161.</w:t>
      </w:r>
      <w:r>
        <w:rPr>
          <w:b w:val="0"/>
          <w:i w:val="0"/>
        </w:rPr>
        <w:t xml:space="preserve"> Articles: </w:t>
      </w:r>
      <w:hyperlink w:anchor="choice-and-deliberation">
        <w:r>
          <w:rPr>
            <w:color w:val="000000"/>
          </w:rPr>
          <w:t xml:space="preserve">Choice and deliberation</w:t>
        </w:r>
      </w:hyperlink>
      <w:r>
        <w:rPr>
          <w:b w:val="0"/>
          <w:i w:val="0"/>
        </w:rPr>
        <w:t xml:space="preserve">; </w:t>
      </w:r>
      <w:hyperlink w:anchor="nourishment-digestion-and-growth">
        <w:r>
          <w:rPr>
            <w:color w:val="000000"/>
          </w:rPr>
          <w:t xml:space="preserve">Nourishment, digestion and growth</w:t>
        </w:r>
      </w:hyperlink>
      <w:r>
        <w:rPr>
          <w:b w:val="0"/>
          <w:i w:val="0"/>
        </w:rPr>
        <w:t xml:space="preserve">. Vocabulary: </w:t>
      </w:r>
      <w:hyperlink w:anchor="latin-record-0047">
        <w:r>
          <w:rPr>
            <w:color w:val="000000"/>
          </w:rPr>
          <w:t xml:space="preserve">alere / nutrire / digerere</w:t>
        </w:r>
      </w:hyperlink>
      <w:r>
        <w:rPr>
          <w:b w:val="0"/>
          <w:i w:val="0"/>
        </w:rPr>
        <w:t xml:space="preserve">; </w:t>
      </w:r>
      <w:hyperlink w:anchor="latin-record-0131">
        <w:r>
          <w:rPr>
            <w:color w:val="000000"/>
          </w:rPr>
          <w:t xml:space="preserve">calefacere / aqua / aer</w:t>
        </w:r>
      </w:hyperlink>
      <w:r>
        <w:rPr>
          <w:b w:val="0"/>
          <w:i w:val="0"/>
        </w:rPr>
        <w:t xml:space="preserve">; </w:t>
      </w:r>
      <w:hyperlink w:anchor="latin-record-0562">
        <w:r>
          <w:rPr>
            <w:color w:val="000000"/>
          </w:rPr>
          <w:t xml:space="preserve">inesse / insitus</w:t>
        </w:r>
      </w:hyperlink>
      <w:r>
        <w:rPr>
          <w:b w:val="0"/>
          <w:i w:val="0"/>
        </w:rPr>
        <w:t xml:space="preserve">; </w:t>
      </w:r>
      <w:hyperlink w:anchor="latin-record-1002">
        <w:r>
          <w:rPr>
            <w:color w:val="000000"/>
          </w:rPr>
          <w:t xml:space="preserve">qualitas</w:t>
        </w:r>
      </w:hyperlink>
      <w:r>
        <w:rPr>
          <w:b w:val="0"/>
          <w:i w:val="0"/>
        </w:rPr>
        <w:t>.</w:t>
      </w:r>
    </w:p>
    <w:p>
      <w:pPr>
        <w:widowControl/>
      </w:pPr>
      <w:bookmarkStart w:id="1805" w:name="passage-ii-8-3"/>
      <w:bookmarkEnd w:id="1805"/>
      <w:r>
        <w:rPr>
          <w:b/>
          <w:i w:val="0"/>
        </w:rPr>
        <w:t>II.8.3</w:t>
      </w:r>
      <w:r>
        <w:rPr>
          <w:b/>
          <w:i w:val="0"/>
        </w:rPr>
        <w:t>, source pp. 160–161.</w:t>
      </w:r>
      <w:r>
        <w:rPr>
          <w:b w:val="0"/>
          <w:i w:val="0"/>
        </w:rPr>
        <w:t xml:space="preserve"> Articles: </w:t>
      </w:r>
      <w:hyperlink w:anchor="choice-and-deliberation">
        <w:r>
          <w:rPr>
            <w:color w:val="000000"/>
          </w:rPr>
          <w:t xml:space="preserve">Choice and deliberation</w:t>
        </w:r>
      </w:hyperlink>
      <w:r>
        <w:rPr>
          <w:b w:val="0"/>
          <w:i w:val="0"/>
        </w:rPr>
        <w:t xml:space="preserve">; </w:t>
      </w:r>
      <w:hyperlink w:anchor="life">
        <w:r>
          <w:rPr>
            <w:color w:val="000000"/>
          </w:rPr>
          <w:t xml:space="preserve">Life</w:t>
        </w:r>
      </w:hyperlink>
      <w:r>
        <w:rPr>
          <w:b w:val="0"/>
          <w:i w:val="0"/>
        </w:rPr>
        <w:t xml:space="preserve">; </w:t>
      </w:r>
      <w:hyperlink w:anchor="nourishment-digestion-and-growth">
        <w:r>
          <w:rPr>
            <w:color w:val="000000"/>
          </w:rPr>
          <w:t xml:space="preserve">Nourishment, digestion and growth</w:t>
        </w:r>
      </w:hyperlink>
      <w:r>
        <w:rPr>
          <w:b w:val="0"/>
          <w:i w:val="0"/>
        </w:rPr>
        <w:t xml:space="preserve">; </w:t>
      </w:r>
      <w:hyperlink w:anchor="redundancy-and-uselessness">
        <w:r>
          <w:rPr>
            <w:color w:val="000000"/>
          </w:rPr>
          <w:t xml:space="preserve">Redundancy and uselessness</w:t>
        </w:r>
      </w:hyperlink>
      <w:r>
        <w:rPr>
          <w:b w:val="0"/>
          <w:i w:val="0"/>
        </w:rPr>
        <w:t xml:space="preserve">. Vocabulary: </w:t>
      </w:r>
      <w:hyperlink w:anchor="latin-record-0069">
        <w:r>
          <w:rPr>
            <w:color w:val="000000"/>
          </w:rPr>
          <w:t xml:space="preserve">anima / animus</w:t>
        </w:r>
      </w:hyperlink>
      <w:r>
        <w:rPr>
          <w:b w:val="0"/>
          <w:i w:val="0"/>
        </w:rPr>
        <w:t xml:space="preserve">; </w:t>
      </w:r>
      <w:hyperlink w:anchor="latin-record-0076">
        <w:r>
          <w:rPr>
            <w:color w:val="000000"/>
          </w:rPr>
          <w:t xml:space="preserve">antecedere / sequi / praecedere</w:t>
        </w:r>
      </w:hyperlink>
      <w:r>
        <w:rPr>
          <w:b w:val="0"/>
          <w:i w:val="0"/>
        </w:rPr>
        <w:t xml:space="preserve">; </w:t>
      </w:r>
      <w:hyperlink w:anchor="latin-record-0368">
        <w:r>
          <w:rPr>
            <w:color w:val="000000"/>
          </w:rPr>
          <w:t xml:space="preserve">electio / eligere</w:t>
        </w:r>
      </w:hyperlink>
      <w:r>
        <w:rPr>
          <w:b w:val="0"/>
          <w:i w:val="0"/>
        </w:rPr>
        <w:t xml:space="preserve">; </w:t>
      </w:r>
      <w:hyperlink w:anchor="latin-record-0402">
        <w:r>
          <w:rPr>
            <w:color w:val="000000"/>
          </w:rPr>
          <w:t xml:space="preserve">exigere / requirere</w:t>
        </w:r>
      </w:hyperlink>
      <w:r>
        <w:rPr>
          <w:b w:val="0"/>
          <w:i w:val="0"/>
        </w:rPr>
        <w:t xml:space="preserve">; </w:t>
      </w:r>
      <w:hyperlink w:anchor="latin-record-0574">
        <w:r>
          <w:rPr>
            <w:color w:val="000000"/>
          </w:rPr>
          <w:t xml:space="preserve">initium / incipere / desinere</w:t>
        </w:r>
      </w:hyperlink>
      <w:r>
        <w:rPr>
          <w:b w:val="0"/>
          <w:i w:val="0"/>
        </w:rPr>
        <w:t xml:space="preserve">; </w:t>
      </w:r>
      <w:hyperlink w:anchor="latin-record-0698">
        <w:r>
          <w:rPr>
            <w:color w:val="000000"/>
          </w:rPr>
          <w:t xml:space="preserve">migrare / transire</w:t>
        </w:r>
      </w:hyperlink>
      <w:r>
        <w:rPr>
          <w:b w:val="0"/>
          <w:i w:val="0"/>
        </w:rPr>
        <w:t xml:space="preserve">; </w:t>
      </w:r>
      <w:hyperlink w:anchor="latin-record-1274">
        <w:r>
          <w:rPr>
            <w:color w:val="000000"/>
          </w:rPr>
          <w:t xml:space="preserve">vita / vivere / vivificare</w:t>
        </w:r>
      </w:hyperlink>
      <w:r>
        <w:rPr>
          <w:b w:val="0"/>
          <w:i w:val="0"/>
        </w:rPr>
        <w:t>.</w:t>
      </w:r>
    </w:p>
    <w:p>
      <w:pPr>
        <w:widowControl/>
      </w:pPr>
      <w:bookmarkStart w:id="1806" w:name="passage-ii-8-4"/>
      <w:bookmarkEnd w:id="1806"/>
      <w:r>
        <w:rPr>
          <w:b/>
          <w:i w:val="0"/>
        </w:rPr>
        <w:t>II.8.4</w:t>
      </w:r>
      <w:r>
        <w:rPr>
          <w:b/>
          <w:i w:val="0"/>
        </w:rPr>
        <w:t>, source pp. 160–161.</w:t>
      </w:r>
      <w:r>
        <w:rPr>
          <w:b w:val="0"/>
          <w:i w:val="0"/>
        </w:rPr>
        <w:t xml:space="preserve"> Articles: </w:t>
      </w:r>
      <w:hyperlink w:anchor="act-and-operation">
        <w:r>
          <w:rPr>
            <w:color w:val="000000"/>
          </w:rPr>
          <w:t xml:space="preserve">Act and operation</w:t>
        </w:r>
      </w:hyperlink>
      <w:r>
        <w:rPr>
          <w:b w:val="0"/>
          <w:i w:val="0"/>
        </w:rPr>
        <w:t xml:space="preserve">; </w:t>
      </w:r>
      <w:hyperlink w:anchor="burden-labor-and-ease">
        <w:r>
          <w:rPr>
            <w:color w:val="000000"/>
          </w:rPr>
          <w:t xml:space="preserve">Burden labor and ease</w:t>
        </w:r>
      </w:hyperlink>
      <w:r>
        <w:rPr>
          <w:b w:val="0"/>
          <w:i w:val="0"/>
        </w:rPr>
        <w:t xml:space="preserve">; </w:t>
      </w:r>
      <w:hyperlink w:anchor="choice-and-deliberation">
        <w:r>
          <w:rPr>
            <w:color w:val="000000"/>
          </w:rPr>
          <w:t xml:space="preserve">Choice and deliberation</w:t>
        </w:r>
      </w:hyperlink>
      <w:r>
        <w:rPr>
          <w:b w:val="0"/>
          <w:i w:val="0"/>
        </w:rPr>
        <w:t xml:space="preserve">. Vocabulary: </w:t>
      </w:r>
      <w:hyperlink w:anchor="latin-record-0016">
        <w:r>
          <w:rPr>
            <w:color w:val="000000"/>
          </w:rPr>
          <w:t xml:space="preserve">actus / actio / agere</w:t>
        </w:r>
      </w:hyperlink>
      <w:r>
        <w:rPr>
          <w:b w:val="0"/>
          <w:i w:val="0"/>
        </w:rPr>
        <w:t xml:space="preserve">; </w:t>
      </w:r>
      <w:hyperlink w:anchor="latin-record-0131">
        <w:r>
          <w:rPr>
            <w:color w:val="000000"/>
          </w:rPr>
          <w:t xml:space="preserve">calefacere / aqua / aer</w:t>
        </w:r>
      </w:hyperlink>
      <w:r>
        <w:rPr>
          <w:b w:val="0"/>
          <w:i w:val="0"/>
        </w:rPr>
        <w:t xml:space="preserve">; </w:t>
      </w:r>
      <w:hyperlink w:anchor="latin-record-0250">
        <w:r>
          <w:rPr>
            <w:color w:val="000000"/>
          </w:rPr>
          <w:t xml:space="preserve">consilium</w:t>
        </w:r>
      </w:hyperlink>
      <w:r>
        <w:rPr>
          <w:b w:val="0"/>
          <w:i w:val="0"/>
        </w:rPr>
        <w:t xml:space="preserve">; </w:t>
      </w:r>
      <w:hyperlink w:anchor="latin-record-0288">
        <w:r>
          <w:rPr>
            <w:color w:val="000000"/>
          </w:rPr>
          <w:t xml:space="preserve">cura / labor / facilis</w:t>
        </w:r>
      </w:hyperlink>
      <w:r>
        <w:rPr>
          <w:b w:val="0"/>
          <w:i w:val="0"/>
        </w:rPr>
        <w:t xml:space="preserve">; </w:t>
      </w:r>
      <w:hyperlink w:anchor="latin-record-0368">
        <w:r>
          <w:rPr>
            <w:color w:val="000000"/>
          </w:rPr>
          <w:t xml:space="preserve">electio / eligere</w:t>
        </w:r>
      </w:hyperlink>
      <w:r>
        <w:rPr>
          <w:b w:val="0"/>
          <w:i w:val="0"/>
        </w:rPr>
        <w:t xml:space="preserve">; </w:t>
      </w:r>
      <w:hyperlink w:anchor="latin-record-0524">
        <w:r>
          <w:rPr>
            <w:color w:val="000000"/>
          </w:rPr>
          <w:t xml:space="preserve">illuminare / fulgere / radius / accendere</w:t>
        </w:r>
      </w:hyperlink>
      <w:r>
        <w:rPr>
          <w:b w:val="0"/>
          <w:i w:val="0"/>
        </w:rPr>
        <w:t xml:space="preserve">; </w:t>
      </w:r>
      <w:hyperlink w:anchor="latin-record-0741">
        <w:r>
          <w:rPr>
            <w:color w:val="000000"/>
          </w:rPr>
          <w:t xml:space="preserve">natura / naturalis</w:t>
        </w:r>
      </w:hyperlink>
      <w:r>
        <w:rPr>
          <w:b w:val="0"/>
          <w:i w:val="0"/>
        </w:rPr>
        <w:t xml:space="preserve">; </w:t>
      </w:r>
      <w:hyperlink w:anchor="latin-record-0853">
        <w:r>
          <w:rPr>
            <w:color w:val="000000"/>
          </w:rPr>
          <w:t xml:space="preserve">peragere / explere</w:t>
        </w:r>
      </w:hyperlink>
      <w:r>
        <w:rPr>
          <w:b w:val="0"/>
          <w:i w:val="0"/>
        </w:rPr>
        <w:t xml:space="preserve">; </w:t>
      </w:r>
      <w:hyperlink w:anchor="latin-record-0944">
        <w:r>
          <w:rPr>
            <w:color w:val="000000"/>
          </w:rPr>
          <w:t xml:space="preserve">producere / facere / gignere</w:t>
        </w:r>
      </w:hyperlink>
      <w:r>
        <w:rPr>
          <w:b w:val="0"/>
          <w:i w:val="0"/>
        </w:rPr>
        <w:t>.</w:t>
      </w:r>
    </w:p>
    <w:p>
      <w:pPr>
        <w:widowControl/>
      </w:pPr>
      <w:bookmarkStart w:id="1807" w:name="passage-ii-8-5"/>
      <w:bookmarkEnd w:id="1807"/>
      <w:r>
        <w:rPr>
          <w:b/>
          <w:i w:val="0"/>
        </w:rPr>
        <w:t>II.8.5</w:t>
      </w:r>
      <w:r>
        <w:rPr>
          <w:b/>
          <w:i w:val="0"/>
        </w:rPr>
        <w:t>, source pp. 162–163.</w:t>
      </w:r>
      <w:r>
        <w:rPr>
          <w:b w:val="0"/>
          <w:i w:val="0"/>
        </w:rPr>
        <w:t xml:space="preserve"> Articles: </w:t>
      </w:r>
      <w:hyperlink w:anchor="act-and-operation">
        <w:r>
          <w:rPr>
            <w:color w:val="000000"/>
          </w:rPr>
          <w:t xml:space="preserve">Act and operation</w:t>
        </w:r>
      </w:hyperlink>
      <w:r>
        <w:rPr>
          <w:b w:val="0"/>
          <w:i w:val="0"/>
        </w:rPr>
        <w:t xml:space="preserve">; </w:t>
      </w:r>
      <w:hyperlink w:anchor="being">
        <w:r>
          <w:rPr>
            <w:color w:val="000000"/>
          </w:rPr>
          <w:t xml:space="preserve">Being</w:t>
        </w:r>
      </w:hyperlink>
      <w:r>
        <w:rPr>
          <w:b w:val="0"/>
          <w:i w:val="0"/>
        </w:rPr>
        <w:t xml:space="preserve">; </w:t>
      </w:r>
      <w:hyperlink w:anchor="burden-labor-and-ease">
        <w:r>
          <w:rPr>
            <w:color w:val="000000"/>
          </w:rPr>
          <w:t xml:space="preserve">Burden labor and ease</w:t>
        </w:r>
      </w:hyperlink>
      <w:r>
        <w:rPr>
          <w:b w:val="0"/>
          <w:i w:val="0"/>
        </w:rPr>
        <w:t xml:space="preserve">; </w:t>
      </w:r>
      <w:hyperlink w:anchor="choice-and-deliberation">
        <w:r>
          <w:rPr>
            <w:color w:val="000000"/>
          </w:rPr>
          <w:t xml:space="preserve">Choice and deliberation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hinge-and-center">
        <w:r>
          <w:rPr>
            <w:color w:val="000000"/>
          </w:rPr>
          <w:t xml:space="preserve">Hinge and center</w:t>
        </w:r>
      </w:hyperlink>
      <w:r>
        <w:rPr>
          <w:b w:val="0"/>
          <w:i w:val="0"/>
        </w:rPr>
        <w:t xml:space="preserve">; </w:t>
      </w:r>
      <w:hyperlink w:anchor="nourishment-digestion-and-growth">
        <w:r>
          <w:rPr>
            <w:color w:val="000000"/>
          </w:rPr>
          <w:t xml:space="preserve">Nourishment, digestion and growth</w:t>
        </w:r>
      </w:hyperlink>
      <w:r>
        <w:rPr>
          <w:b w:val="0"/>
          <w:i w:val="0"/>
        </w:rPr>
        <w:t xml:space="preserve">. Vocabulary: </w:t>
      </w:r>
      <w:hyperlink w:anchor="latin-record-0047">
        <w:r>
          <w:rPr>
            <w:color w:val="000000"/>
          </w:rPr>
          <w:t xml:space="preserve">alere / nutrire / digerere</w:t>
        </w:r>
      </w:hyperlink>
      <w:r>
        <w:rPr>
          <w:b w:val="0"/>
          <w:i w:val="0"/>
        </w:rPr>
        <w:t xml:space="preserve">; </w:t>
      </w:r>
      <w:hyperlink w:anchor="latin-record-0288">
        <w:r>
          <w:rPr>
            <w:color w:val="000000"/>
          </w:rPr>
          <w:t xml:space="preserve">cura / labor / facilis</w:t>
        </w:r>
      </w:hyperlink>
      <w:r>
        <w:rPr>
          <w:b w:val="0"/>
          <w:i w:val="0"/>
        </w:rPr>
        <w:t xml:space="preserve">; </w:t>
      </w:r>
      <w:hyperlink w:anchor="latin-record-0352">
        <w:r>
          <w:rPr>
            <w:color w:val="000000"/>
          </w:rPr>
          <w:t xml:space="preserve">ducere / deducere / trahere</w:t>
        </w:r>
      </w:hyperlink>
      <w:r>
        <w:rPr>
          <w:b w:val="0"/>
          <w:i w:val="0"/>
        </w:rPr>
        <w:t xml:space="preserve">; </w:t>
      </w:r>
      <w:hyperlink w:anchor="latin-record-0644">
        <w:r>
          <w:rPr>
            <w:color w:val="000000"/>
          </w:rPr>
          <w:t xml:space="preserve">linea / longum / latum / profundum</w:t>
        </w:r>
      </w:hyperlink>
      <w:r>
        <w:rPr>
          <w:b w:val="0"/>
          <w:i w:val="0"/>
        </w:rPr>
        <w:t xml:space="preserve">; </w:t>
      </w:r>
      <w:hyperlink w:anchor="latin-record-0783">
        <w:r>
          <w:rPr>
            <w:color w:val="000000"/>
          </w:rPr>
          <w:t xml:space="preserve">nutus / vibrare / centrum</w:t>
        </w:r>
      </w:hyperlink>
      <w:r>
        <w:rPr>
          <w:b w:val="0"/>
          <w:i w:val="0"/>
        </w:rPr>
        <w:t xml:space="preserve">; </w:t>
      </w:r>
      <w:hyperlink w:anchor="latin-record-0804">
        <w:r>
          <w:rPr>
            <w:color w:val="000000"/>
          </w:rPr>
          <w:t xml:space="preserve">opus / operari / operatio</w:t>
        </w:r>
      </w:hyperlink>
      <w:r>
        <w:rPr>
          <w:b w:val="0"/>
          <w:i w:val="0"/>
        </w:rPr>
        <w:t xml:space="preserve">; </w:t>
      </w:r>
      <w:hyperlink w:anchor="latin-record-0853">
        <w:r>
          <w:rPr>
            <w:color w:val="000000"/>
          </w:rPr>
          <w:t xml:space="preserve">peragere / explere</w:t>
        </w:r>
      </w:hyperlink>
      <w:r>
        <w:rPr>
          <w:b w:val="0"/>
          <w:i w:val="0"/>
        </w:rPr>
        <w:t xml:space="preserve">; </w:t>
      </w:r>
      <w:hyperlink w:anchor="latin-record-0946">
        <w:r>
          <w:rPr>
            <w:color w:val="000000"/>
          </w:rPr>
          <w:t xml:space="preserve">proficisci</w:t>
        </w:r>
      </w:hyperlink>
      <w:r>
        <w:rPr>
          <w:b w:val="0"/>
          <w:i w:val="0"/>
        </w:rPr>
        <w:t xml:space="preserve">; </w:t>
      </w:r>
      <w:hyperlink w:anchor="latin-record-1117">
        <w:r>
          <w:rPr>
            <w:color w:val="000000"/>
          </w:rPr>
          <w:t xml:space="preserve">sollicitare / sollicitudo / onerare</w:t>
        </w:r>
      </w:hyperlink>
      <w:r>
        <w:rPr>
          <w:b w:val="0"/>
          <w:i w:val="0"/>
        </w:rPr>
        <w:t>.</w:t>
      </w:r>
    </w:p>
    <w:p>
      <w:bookmarkStart w:id="1808" w:name="chapter-ii.9"/>
      <w:pPr>
        <w:pStyle w:val="Heading2"/>
      </w:pPr>
      <w:r>
        <w:rPr>
          <w:b w:val="0"/>
          <w:i w:val="0"/>
        </w:rPr>
        <w:t>Chapter II.9</w:t>
      </w:r>
      <w:bookmarkEnd w:id="1808"/>
    </w:p>
    <w:p>
      <w:pPr>
        <w:widowControl/>
      </w:pPr>
      <w:bookmarkStart w:id="1809" w:name="passage-ii-9-1"/>
      <w:bookmarkEnd w:id="1809"/>
      <w:r>
        <w:rPr>
          <w:b/>
          <w:i w:val="0"/>
        </w:rPr>
        <w:t>II.9.1</w:t>
      </w:r>
      <w:r>
        <w:rPr>
          <w:b/>
          <w:i w:val="0"/>
        </w:rPr>
        <w:t>, source pp. 164–165.</w:t>
      </w:r>
      <w:r>
        <w:rPr>
          <w:b w:val="0"/>
          <w:i w:val="0"/>
        </w:rPr>
        <w:t xml:space="preserve"> Articles: </w:t>
      </w:r>
      <w:hyperlink w:anchor="form">
        <w:r>
          <w:rPr>
            <w:color w:val="000000"/>
          </w:rPr>
          <w:t xml:space="preserve">Form</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kinship-and-separation">
        <w:r>
          <w:rPr>
            <w:color w:val="000000"/>
          </w:rPr>
          <w:t xml:space="preserve">Kinship and separation</w:t>
        </w:r>
      </w:hyperlink>
      <w:r>
        <w:rPr>
          <w:b w:val="0"/>
          <w:i w:val="0"/>
        </w:rPr>
        <w:t xml:space="preserve">; </w:t>
      </w:r>
      <w:hyperlink w:anchor="matter">
        <w:r>
          <w:rPr>
            <w:color w:val="000000"/>
          </w:rPr>
          <w:t xml:space="preserve">Matter</w:t>
        </w:r>
      </w:hyperlink>
      <w:r>
        <w:rPr>
          <w:b w:val="0"/>
          <w:i w:val="0"/>
        </w:rPr>
        <w:t xml:space="preserve">. Vocabulary: </w:t>
      </w:r>
      <w:hyperlink w:anchor="latin-record-0139">
        <w:r>
          <w:rPr>
            <w:color w:val="000000"/>
          </w:rPr>
          <w:t xml:space="preserve">capacitas / capax</w:t>
        </w:r>
      </w:hyperlink>
      <w:r>
        <w:rPr>
          <w:b w:val="0"/>
          <w:i w:val="0"/>
        </w:rPr>
        <w:t xml:space="preserve">; </w:t>
      </w:r>
      <w:hyperlink w:anchor="latin-record-0177">
        <w:r>
          <w:rPr>
            <w:color w:val="000000"/>
          </w:rPr>
          <w:t xml:space="preserve">cognatio</w:t>
        </w:r>
      </w:hyperlink>
      <w:r>
        <w:rPr>
          <w:b w:val="0"/>
          <w:i w:val="0"/>
        </w:rPr>
        <w:t xml:space="preserve">; </w:t>
      </w:r>
      <w:hyperlink w:anchor="latin-record-0227">
        <w:r>
          <w:rPr>
            <w:color w:val="000000"/>
          </w:rPr>
          <w:t xml:space="preserve">condicio / accidens</w:t>
        </w:r>
      </w:hyperlink>
      <w:r>
        <w:rPr>
          <w:b w:val="0"/>
          <w:i w:val="0"/>
        </w:rPr>
        <w:t xml:space="preserve">; </w:t>
      </w:r>
      <w:hyperlink w:anchor="latin-record-0326">
        <w:r>
          <w:rPr>
            <w:color w:val="000000"/>
          </w:rPr>
          <w:t xml:space="preserve">discessus / seorsum / semovere</w:t>
        </w:r>
      </w:hyperlink>
      <w:r>
        <w:rPr>
          <w:b w:val="0"/>
          <w:i w:val="0"/>
        </w:rPr>
        <w:t xml:space="preserve">; </w:t>
      </w:r>
      <w:hyperlink w:anchor="latin-record-0463">
        <w:r>
          <w:rPr>
            <w:color w:val="000000"/>
          </w:rPr>
          <w:t xml:space="preserve">forma / formare</w:t>
        </w:r>
      </w:hyperlink>
      <w:r>
        <w:rPr>
          <w:b w:val="0"/>
          <w:i w:val="0"/>
        </w:rPr>
        <w:t xml:space="preserve">; </w:t>
      </w:r>
      <w:hyperlink w:anchor="latin-record-0596">
        <w:r>
          <w:rPr>
            <w:color w:val="000000"/>
          </w:rPr>
          <w:t xml:space="preserve">intellectus / intelligere</w:t>
        </w:r>
      </w:hyperlink>
      <w:r>
        <w:rPr>
          <w:b w:val="0"/>
          <w:i w:val="0"/>
        </w:rPr>
        <w:t xml:space="preserve">; </w:t>
      </w:r>
      <w:hyperlink w:anchor="latin-record-0598">
        <w:r>
          <w:rPr>
            <w:color w:val="000000"/>
          </w:rPr>
          <w:t xml:space="preserve">intelligibilis / intelligendus / intelligens</w:t>
        </w:r>
      </w:hyperlink>
      <w:r>
        <w:rPr>
          <w:b w:val="0"/>
          <w:i w:val="0"/>
        </w:rPr>
        <w:t xml:space="preserve">; </w:t>
      </w:r>
      <w:hyperlink w:anchor="latin-record-0939">
        <w:r>
          <w:rPr>
            <w:color w:val="000000"/>
          </w:rPr>
          <w:t xml:space="preserve">procedere / progredi / proficere</w:t>
        </w:r>
      </w:hyperlink>
      <w:r>
        <w:rPr>
          <w:b w:val="0"/>
          <w:i w:val="0"/>
        </w:rPr>
        <w:t xml:space="preserve">; </w:t>
      </w:r>
      <w:hyperlink w:anchor="latin-record-1121">
        <w:r>
          <w:rPr>
            <w:color w:val="000000"/>
          </w:rPr>
          <w:t xml:space="preserve">sortiri / adipisci</w:t>
        </w:r>
      </w:hyperlink>
      <w:r>
        <w:rPr>
          <w:b w:val="0"/>
          <w:i w:val="0"/>
        </w:rPr>
        <w:t xml:space="preserve">; </w:t>
      </w:r>
      <w:hyperlink w:anchor="latin-record-1251">
        <w:r>
          <w:rPr>
            <w:color w:val="000000"/>
          </w:rPr>
          <w:t xml:space="preserve">via / pactum / tractus</w:t>
        </w:r>
      </w:hyperlink>
      <w:r>
        <w:rPr>
          <w:b w:val="0"/>
          <w:i w:val="0"/>
        </w:rPr>
        <w:t>.</w:t>
      </w:r>
    </w:p>
    <w:p>
      <w:pPr>
        <w:widowControl/>
      </w:pPr>
      <w:bookmarkStart w:id="1810" w:name="passage-ii-9-2"/>
      <w:bookmarkEnd w:id="1810"/>
      <w:r>
        <w:rPr>
          <w:b/>
          <w:i w:val="0"/>
        </w:rPr>
        <w:t>II.9.2</w:t>
      </w:r>
      <w:r>
        <w:rPr>
          <w:b/>
          <w:i w:val="0"/>
        </w:rPr>
        <w:t>, source pp. 164–165.</w:t>
      </w:r>
      <w:r>
        <w:rPr>
          <w:b w:val="0"/>
          <w:i w:val="0"/>
        </w:rPr>
        <w:t xml:space="preserve"> Articles: </w:t>
      </w:r>
      <w:hyperlink w:anchor="form">
        <w:r>
          <w:rPr>
            <w:color w:val="000000"/>
          </w:rPr>
          <w:t xml:space="preserve">Form</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kinship-and-separation">
        <w:r>
          <w:rPr>
            <w:color w:val="000000"/>
          </w:rPr>
          <w:t xml:space="preserve">Kinship and separation</w:t>
        </w:r>
      </w:hyperlink>
      <w:r>
        <w:rPr>
          <w:b w:val="0"/>
          <w:i w:val="0"/>
        </w:rPr>
        <w:t xml:space="preserve">; </w:t>
      </w:r>
      <w:hyperlink w:anchor="love-and-pleasure">
        <w:r>
          <w:rPr>
            <w:color w:val="000000"/>
          </w:rPr>
          <w:t xml:space="preserve">Love and pleasure</w:t>
        </w:r>
      </w:hyperlink>
      <w:r>
        <w:rPr>
          <w:b w:val="0"/>
          <w:i w:val="0"/>
        </w:rPr>
        <w:t xml:space="preserve">. Vocabulary: </w:t>
      </w:r>
      <w:hyperlink w:anchor="latin-record-0086">
        <w:r>
          <w:rPr>
            <w:color w:val="000000"/>
          </w:rPr>
          <w:t xml:space="preserve">appetibilis / appetere</w:t>
        </w:r>
      </w:hyperlink>
      <w:r>
        <w:rPr>
          <w:b w:val="0"/>
          <w:i w:val="0"/>
        </w:rPr>
        <w:t xml:space="preserve">; </w:t>
      </w:r>
      <w:hyperlink w:anchor="latin-record-0465">
        <w:r>
          <w:rPr>
            <w:color w:val="000000"/>
          </w:rPr>
          <w:t xml:space="preserve">formosus / exactus / ars</w:t>
        </w:r>
      </w:hyperlink>
      <w:r>
        <w:rPr>
          <w:b w:val="0"/>
          <w:i w:val="0"/>
        </w:rPr>
        <w:t xml:space="preserve">; </w:t>
      </w:r>
      <w:hyperlink w:anchor="latin-record-0473">
        <w:r>
          <w:rPr>
            <w:color w:val="000000"/>
          </w:rPr>
          <w:t xml:space="preserve">frui</w:t>
        </w:r>
      </w:hyperlink>
      <w:r>
        <w:rPr>
          <w:b w:val="0"/>
          <w:i w:val="0"/>
        </w:rPr>
        <w:t>.</w:t>
      </w:r>
    </w:p>
    <w:p>
      <w:pPr>
        <w:widowControl/>
      </w:pPr>
      <w:bookmarkStart w:id="1811" w:name="passage-ii-9-3"/>
      <w:bookmarkEnd w:id="1811"/>
      <w:r>
        <w:rPr>
          <w:b/>
          <w:i w:val="0"/>
        </w:rPr>
        <w:t>II.9.3</w:t>
      </w:r>
      <w:r>
        <w:rPr>
          <w:b/>
          <w:i w:val="0"/>
        </w:rPr>
        <w:t>, source pp. 164–165.</w:t>
      </w:r>
      <w:r>
        <w:rPr>
          <w:b w:val="0"/>
          <w:i w:val="0"/>
        </w:rPr>
        <w:t xml:space="preserve"> Articles: </w:t>
      </w:r>
      <w:hyperlink w:anchor="form">
        <w:r>
          <w:rPr>
            <w:color w:val="000000"/>
          </w:rPr>
          <w:t xml:space="preserve">Form</w:t>
        </w:r>
      </w:hyperlink>
      <w:r>
        <w:rPr>
          <w:b w:val="0"/>
          <w:i w:val="0"/>
        </w:rPr>
        <w:t xml:space="preserve">; </w:t>
      </w:r>
      <w:hyperlink w:anchor="intellect-and-intellection">
        <w:r>
          <w:rPr>
            <w:color w:val="000000"/>
          </w:rPr>
          <w:t xml:space="preserve">Intellect and intellection</w:t>
        </w:r>
      </w:hyperlink>
      <w:r>
        <w:rPr>
          <w:b w:val="0"/>
          <w:i w:val="0"/>
        </w:rPr>
        <w:t>.</w:t>
      </w:r>
    </w:p>
    <w:p>
      <w:pPr>
        <w:widowControl/>
      </w:pPr>
      <w:bookmarkStart w:id="1812" w:name="passage-ii-9-4"/>
      <w:bookmarkEnd w:id="1812"/>
      <w:r>
        <w:rPr>
          <w:b/>
          <w:i w:val="0"/>
        </w:rPr>
        <w:t>II.9.4</w:t>
      </w:r>
      <w:r>
        <w:rPr>
          <w:b/>
          <w:i w:val="0"/>
        </w:rPr>
        <w:t>, source pp. 164–165.</w:t>
      </w:r>
      <w:r>
        <w:rPr>
          <w:b w:val="0"/>
          <w:i w:val="0"/>
        </w:rPr>
        <w:t xml:space="preserve"> Articles: </w:t>
      </w:r>
      <w:hyperlink w:anchor="form">
        <w:r>
          <w:rPr>
            <w:color w:val="000000"/>
          </w:rPr>
          <w:t xml:space="preserve">Form</w:t>
        </w:r>
      </w:hyperlink>
      <w:r>
        <w:rPr>
          <w:b w:val="0"/>
          <w:i w:val="0"/>
        </w:rPr>
        <w:t xml:space="preserve">; </w:t>
      </w:r>
      <w:hyperlink w:anchor="intellect-and-intellection">
        <w:r>
          <w:rPr>
            <w:color w:val="000000"/>
          </w:rPr>
          <w:t xml:space="preserve">Intellect and intellection</w:t>
        </w:r>
      </w:hyperlink>
      <w:r>
        <w:rPr>
          <w:b w:val="0"/>
          <w:i w:val="0"/>
        </w:rPr>
        <w:t xml:space="preserve">. Vocabulary: </w:t>
      </w:r>
      <w:hyperlink w:anchor="latin-record-0064">
        <w:r>
          <w:rPr>
            <w:color w:val="000000"/>
          </w:rPr>
          <w:t xml:space="preserve">amplus / amplior</w:t>
        </w:r>
      </w:hyperlink>
      <w:r>
        <w:rPr>
          <w:b w:val="0"/>
          <w:i w:val="0"/>
        </w:rPr>
        <w:t xml:space="preserve">; </w:t>
      </w:r>
      <w:hyperlink w:anchor="latin-record-0463">
        <w:r>
          <w:rPr>
            <w:color w:val="000000"/>
          </w:rPr>
          <w:t xml:space="preserve">forma / formare</w:t>
        </w:r>
      </w:hyperlink>
      <w:r>
        <w:rPr>
          <w:b w:val="0"/>
          <w:i w:val="0"/>
        </w:rPr>
        <w:t xml:space="preserve">; </w:t>
      </w:r>
      <w:hyperlink w:anchor="latin-record-0494">
        <w:r>
          <w:rPr>
            <w:color w:val="000000"/>
          </w:rPr>
          <w:t xml:space="preserve">habere / tenere / possidere</w:t>
        </w:r>
      </w:hyperlink>
      <w:r>
        <w:rPr>
          <w:b w:val="0"/>
          <w:i w:val="0"/>
        </w:rPr>
        <w:t>.</w:t>
      </w:r>
    </w:p>
    <w:p>
      <w:pPr>
        <w:widowControl/>
      </w:pPr>
      <w:bookmarkStart w:id="1813" w:name="passage-ii-9-5"/>
      <w:bookmarkEnd w:id="1813"/>
      <w:r>
        <w:rPr>
          <w:b/>
          <w:i w:val="0"/>
        </w:rPr>
        <w:t>II.9.5</w:t>
      </w:r>
      <w:r>
        <w:rPr>
          <w:b/>
          <w:i w:val="0"/>
        </w:rPr>
        <w:t>, source pp. 166–167.</w:t>
      </w:r>
      <w:r>
        <w:rPr>
          <w:b w:val="0"/>
          <w:i w:val="0"/>
        </w:rPr>
        <w:t xml:space="preserve"> Articles: </w:t>
      </w:r>
      <w:hyperlink w:anchor="act-and-operation">
        <w:r>
          <w:rPr>
            <w:color w:val="000000"/>
          </w:rPr>
          <w:t xml:space="preserve">Act and operation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instrument">
        <w:r>
          <w:rPr>
            <w:color w:val="000000"/>
          </w:rPr>
          <w:t xml:space="preserve">Instrument</w:t>
        </w:r>
      </w:hyperlink>
      <w:r>
        <w:rPr>
          <w:b w:val="0"/>
          <w:i w:val="0"/>
        </w:rPr>
        <w:t xml:space="preserve">; </w:t>
      </w:r>
      <w:hyperlink w:anchor="intellect-and-intellection">
        <w:r>
          <w:rPr>
            <w:color w:val="000000"/>
          </w:rPr>
          <w:t xml:space="preserve">Intellect and intellection</w:t>
        </w:r>
      </w:hyperlink>
      <w:r>
        <w:rPr>
          <w:b w:val="0"/>
          <w:i w:val="0"/>
        </w:rPr>
        <w:t xml:space="preserve">. Vocabulary: </w:t>
      </w:r>
      <w:hyperlink w:anchor="latin-record-0016">
        <w:r>
          <w:rPr>
            <w:color w:val="000000"/>
          </w:rPr>
          <w:t xml:space="preserve">actus / actio / agere</w:t>
        </w:r>
      </w:hyperlink>
      <w:r>
        <w:rPr>
          <w:b w:val="0"/>
          <w:i w:val="0"/>
        </w:rPr>
        <w:t xml:space="preserve">; </w:t>
      </w:r>
      <w:hyperlink w:anchor="latin-record-0150">
        <w:r>
          <w:rPr>
            <w:color w:val="000000"/>
          </w:rPr>
          <w:t xml:space="preserve">carere / deesse / destituere</w:t>
        </w:r>
      </w:hyperlink>
      <w:r>
        <w:rPr>
          <w:b w:val="0"/>
          <w:i w:val="0"/>
        </w:rPr>
        <w:t xml:space="preserve">; </w:t>
      </w:r>
      <w:hyperlink w:anchor="latin-record-0179">
        <w:r>
          <w:rPr>
            <w:color w:val="000000"/>
          </w:rPr>
          <w:t xml:space="preserve">cognitio / intelligentia</w:t>
        </w:r>
      </w:hyperlink>
      <w:r>
        <w:rPr>
          <w:b w:val="0"/>
          <w:i w:val="0"/>
        </w:rPr>
        <w:t xml:space="preserve">; </w:t>
      </w:r>
      <w:hyperlink w:anchor="latin-record-0224">
        <w:r>
          <w:rPr>
            <w:color w:val="000000"/>
          </w:rPr>
          <w:t xml:space="preserve">concludere / confirmare / patere</w:t>
        </w:r>
      </w:hyperlink>
      <w:r>
        <w:rPr>
          <w:b w:val="0"/>
          <w:i w:val="0"/>
        </w:rPr>
        <w:t xml:space="preserve">; </w:t>
      </w:r>
      <w:hyperlink w:anchor="latin-record-0247">
        <w:r>
          <w:rPr>
            <w:color w:val="000000"/>
          </w:rPr>
          <w:t xml:space="preserve">consequi / assequi / nancisci</w:t>
        </w:r>
      </w:hyperlink>
      <w:r>
        <w:rPr>
          <w:b w:val="0"/>
          <w:i w:val="0"/>
        </w:rPr>
        <w:t xml:space="preserve">; </w:t>
      </w:r>
      <w:hyperlink w:anchor="latin-record-0383">
        <w:r>
          <w:rPr>
            <w:color w:val="000000"/>
          </w:rPr>
          <w:t xml:space="preserve">essentia / essentialis / substantia</w:t>
        </w:r>
      </w:hyperlink>
      <w:r>
        <w:rPr>
          <w:b w:val="0"/>
          <w:i w:val="0"/>
        </w:rPr>
        <w:t xml:space="preserve">; </w:t>
      </w:r>
      <w:hyperlink w:anchor="latin-record-0414">
        <w:r>
          <w:rPr>
            <w:color w:val="000000"/>
          </w:rPr>
          <w:t xml:space="preserve">exterior / externus</w:t>
        </w:r>
      </w:hyperlink>
      <w:r>
        <w:rPr>
          <w:b w:val="0"/>
          <w:i w:val="0"/>
        </w:rPr>
        <w:t xml:space="preserve">; </w:t>
      </w:r>
      <w:hyperlink w:anchor="latin-record-0590">
        <w:r>
          <w:rPr>
            <w:color w:val="000000"/>
          </w:rPr>
          <w:t xml:space="preserve">instrumentum / opifex</w:t>
        </w:r>
      </w:hyperlink>
      <w:r>
        <w:rPr>
          <w:b w:val="0"/>
          <w:i w:val="0"/>
        </w:rPr>
        <w:t xml:space="preserve">; </w:t>
      </w:r>
      <w:hyperlink w:anchor="latin-record-0671">
        <w:r>
          <w:rPr>
            <w:color w:val="000000"/>
          </w:rPr>
          <w:t xml:space="preserve">manere in agente</w:t>
        </w:r>
      </w:hyperlink>
      <w:r>
        <w:rPr>
          <w:b w:val="0"/>
          <w:i w:val="0"/>
        </w:rPr>
        <w:t xml:space="preserve">; </w:t>
      </w:r>
      <w:hyperlink w:anchor="latin-record-0698">
        <w:r>
          <w:rPr>
            <w:color w:val="000000"/>
          </w:rPr>
          <w:t xml:space="preserve">migrare / transire</w:t>
        </w:r>
      </w:hyperlink>
      <w:r>
        <w:rPr>
          <w:b w:val="0"/>
          <w:i w:val="0"/>
        </w:rPr>
        <w:t xml:space="preserve">; </w:t>
      </w:r>
      <w:hyperlink w:anchor="latin-record-0720">
        <w:r>
          <w:rPr>
            <w:color w:val="000000"/>
          </w:rPr>
          <w:t xml:space="preserve">motus / motio / motor / mutare</w:t>
        </w:r>
      </w:hyperlink>
      <w:r>
        <w:rPr>
          <w:b w:val="0"/>
          <w:i w:val="0"/>
        </w:rPr>
        <w:t xml:space="preserve">; </w:t>
      </w:r>
      <w:hyperlink w:anchor="latin-record-0799">
        <w:r>
          <w:rPr>
            <w:color w:val="000000"/>
          </w:rPr>
          <w:t xml:space="preserve">oportere / debere / decere</w:t>
        </w:r>
      </w:hyperlink>
      <w:r>
        <w:rPr>
          <w:b w:val="0"/>
          <w:i w:val="0"/>
        </w:rPr>
        <w:t xml:space="preserve">; </w:t>
      </w:r>
      <w:hyperlink w:anchor="latin-record-0804">
        <w:r>
          <w:rPr>
            <w:color w:val="000000"/>
          </w:rPr>
          <w:t xml:space="preserve">opus / operari / operatio</w:t>
        </w:r>
      </w:hyperlink>
      <w:r>
        <w:rPr>
          <w:b w:val="0"/>
          <w:i w:val="0"/>
        </w:rPr>
        <w:t>.</w:t>
      </w:r>
    </w:p>
    <w:p>
      <w:pPr>
        <w:widowControl/>
      </w:pPr>
      <w:bookmarkStart w:id="1814" w:name="passage-ii-9-6"/>
      <w:bookmarkEnd w:id="1814"/>
      <w:r>
        <w:rPr>
          <w:b/>
          <w:i w:val="0"/>
        </w:rPr>
        <w:t>II.9.6</w:t>
      </w:r>
      <w:r>
        <w:rPr>
          <w:b/>
          <w:i w:val="0"/>
        </w:rPr>
        <w:t>, source pp. 166–167.</w:t>
      </w:r>
      <w:r>
        <w:rPr>
          <w:b w:val="0"/>
          <w:i w:val="0"/>
        </w:rPr>
        <w:t xml:space="preserve"> Articles: </w:t>
      </w:r>
      <w:hyperlink w:anchor="act-and-operation">
        <w:r>
          <w:rPr>
            <w:color w:val="000000"/>
          </w:rPr>
          <w:t xml:space="preserve">Act and operation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naming-by-cause">
        <w:r>
          <w:rPr>
            <w:color w:val="000000"/>
          </w:rPr>
          <w:t xml:space="preserve">Naming by cause</w:t>
        </w:r>
      </w:hyperlink>
      <w:r>
        <w:rPr>
          <w:b w:val="0"/>
          <w:i w:val="0"/>
        </w:rPr>
        <w:t xml:space="preserve">. Vocabulary: </w:t>
      </w:r>
      <w:hyperlink w:anchor="latin-record-0179">
        <w:r>
          <w:rPr>
            <w:color w:val="000000"/>
          </w:rPr>
          <w:t xml:space="preserve">cognitio / intelligentia</w:t>
        </w:r>
      </w:hyperlink>
      <w:r>
        <w:rPr>
          <w:b w:val="0"/>
          <w:i w:val="0"/>
        </w:rPr>
        <w:t xml:space="preserve">; </w:t>
      </w:r>
      <w:hyperlink w:anchor="latin-record-0394">
        <w:r>
          <w:rPr>
            <w:color w:val="000000"/>
          </w:rPr>
          <w:t xml:space="preserve">excellens / eminens / deterior / altior / remotior</w:t>
        </w:r>
      </w:hyperlink>
      <w:r>
        <w:rPr>
          <w:b w:val="0"/>
          <w:i w:val="0"/>
        </w:rPr>
        <w:t>.</w:t>
      </w:r>
    </w:p>
    <w:p>
      <w:pPr>
        <w:widowControl/>
      </w:pPr>
      <w:bookmarkStart w:id="1815" w:name="passage-ii-9-7"/>
      <w:bookmarkEnd w:id="1815"/>
      <w:r>
        <w:rPr>
          <w:b/>
          <w:i w:val="0"/>
        </w:rPr>
        <w:t>II.9.7</w:t>
      </w:r>
      <w:r>
        <w:rPr>
          <w:b/>
          <w:i w:val="0"/>
        </w:rPr>
        <w:t>, source pp. 166–167.</w:t>
      </w:r>
      <w:r>
        <w:rPr>
          <w:b w:val="0"/>
          <w:i w:val="0"/>
        </w:rPr>
        <w:t xml:space="preserve"> Articles: </w:t>
      </w:r>
      <w:hyperlink w:anchor="act-and-operation">
        <w:r>
          <w:rPr>
            <w:color w:val="000000"/>
          </w:rPr>
          <w:t xml:space="preserve">Act and operation</w:t>
        </w:r>
      </w:hyperlink>
      <w:r>
        <w:rPr>
          <w:b w:val="0"/>
          <w:i w:val="0"/>
        </w:rPr>
        <w:t xml:space="preserve">; </w:t>
      </w:r>
      <w:hyperlink w:anchor="being">
        <w:r>
          <w:rPr>
            <w:color w:val="000000"/>
          </w:rPr>
          <w:t xml:space="preserve">Being</w:t>
        </w:r>
      </w:hyperlink>
      <w:r>
        <w:rPr>
          <w:b w:val="0"/>
          <w:i w:val="0"/>
        </w:rPr>
        <w:t xml:space="preserve">; </w:t>
      </w:r>
      <w:hyperlink w:anchor="essence-and-substance">
        <w:r>
          <w:rPr>
            <w:color w:val="000000"/>
          </w:rPr>
          <w:t xml:space="preserve">Essence and substance</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perfection">
        <w:r>
          <w:rPr>
            <w:color w:val="000000"/>
          </w:rPr>
          <w:t xml:space="preserve">Perfection</w:t>
        </w:r>
      </w:hyperlink>
      <w:r>
        <w:rPr>
          <w:b w:val="0"/>
          <w:i w:val="0"/>
        </w:rPr>
        <w:t xml:space="preserve">; </w:t>
      </w:r>
      <w:hyperlink w:anchor="self-knowledge">
        <w:r>
          <w:rPr>
            <w:color w:val="000000"/>
          </w:rPr>
          <w:t xml:space="preserve">Self knowledge</w:t>
        </w:r>
      </w:hyperlink>
      <w:r>
        <w:rPr>
          <w:b w:val="0"/>
          <w:i w:val="0"/>
        </w:rPr>
        <w:t xml:space="preserve">; </w:t>
      </w:r>
      <w:hyperlink w:anchor="simplicity-and-composition">
        <w:r>
          <w:rPr>
            <w:color w:val="000000"/>
          </w:rPr>
          <w:t xml:space="preserve">Simplicity and composition</w:t>
        </w:r>
      </w:hyperlink>
      <w:r>
        <w:rPr>
          <w:b w:val="0"/>
          <w:i w:val="0"/>
        </w:rPr>
        <w:t xml:space="preserve">. Vocabulary: </w:t>
      </w:r>
      <w:hyperlink w:anchor="latin-record-0179">
        <w:r>
          <w:rPr>
            <w:color w:val="000000"/>
          </w:rPr>
          <w:t xml:space="preserve">cognitio / intelligentia</w:t>
        </w:r>
      </w:hyperlink>
      <w:r>
        <w:rPr>
          <w:b w:val="0"/>
          <w:i w:val="0"/>
        </w:rPr>
        <w:t xml:space="preserve">; </w:t>
      </w:r>
      <w:hyperlink w:anchor="latin-record-0187">
        <w:r>
          <w:rPr>
            <w:color w:val="000000"/>
          </w:rPr>
          <w:t xml:space="preserve">collocare</w:t>
        </w:r>
      </w:hyperlink>
      <w:r>
        <w:rPr>
          <w:b w:val="0"/>
          <w:i w:val="0"/>
        </w:rPr>
        <w:t xml:space="preserve">; </w:t>
      </w:r>
      <w:hyperlink w:anchor="latin-record-0596">
        <w:r>
          <w:rPr>
            <w:color w:val="000000"/>
          </w:rPr>
          <w:t xml:space="preserve">intellectus / intelligere</w:t>
        </w:r>
      </w:hyperlink>
      <w:r>
        <w:rPr>
          <w:b w:val="0"/>
          <w:i w:val="0"/>
        </w:rPr>
        <w:t xml:space="preserve">; </w:t>
      </w:r>
      <w:hyperlink w:anchor="latin-record-0598">
        <w:r>
          <w:rPr>
            <w:color w:val="000000"/>
          </w:rPr>
          <w:t xml:space="preserve">intelligibilis / intelligendus / intelligens</w:t>
        </w:r>
      </w:hyperlink>
      <w:r>
        <w:rPr>
          <w:b w:val="0"/>
          <w:i w:val="0"/>
        </w:rPr>
        <w:t>.</w:t>
      </w:r>
    </w:p>
    <w:p>
      <w:pPr>
        <w:widowControl/>
      </w:pPr>
      <w:bookmarkStart w:id="1816" w:name="passage-ii-9-8"/>
      <w:bookmarkEnd w:id="1816"/>
      <w:r>
        <w:rPr>
          <w:b/>
          <w:i w:val="0"/>
        </w:rPr>
        <w:t>II.9.8</w:t>
      </w:r>
      <w:r>
        <w:rPr>
          <w:b/>
          <w:i w:val="0"/>
        </w:rPr>
        <w:t>, source pp. 166–167.</w:t>
      </w:r>
      <w:r>
        <w:rPr>
          <w:b w:val="0"/>
          <w:i w:val="0"/>
        </w:rPr>
        <w:t xml:space="preserve"> Articles: </w:t>
      </w:r>
      <w:hyperlink w:anchor="act-and-operation">
        <w:r>
          <w:rPr>
            <w:color w:val="000000"/>
          </w:rPr>
          <w:t xml:space="preserve">Act and operation</w:t>
        </w:r>
      </w:hyperlink>
      <w:r>
        <w:rPr>
          <w:b w:val="0"/>
          <w:i w:val="0"/>
        </w:rPr>
        <w:t xml:space="preserve">; </w:t>
      </w:r>
      <w:hyperlink w:anchor="common-and-proper">
        <w:r>
          <w:rPr>
            <w:color w:val="000000"/>
          </w:rPr>
          <w:t xml:space="preserve">Common and proper</w:t>
        </w:r>
      </w:hyperlink>
      <w:r>
        <w:rPr>
          <w:b w:val="0"/>
          <w:i w:val="0"/>
        </w:rPr>
        <w:t xml:space="preserve">; </w:t>
      </w:r>
      <w:hyperlink w:anchor="essence-and-substance">
        <w:r>
          <w:rPr>
            <w:color w:val="000000"/>
          </w:rPr>
          <w:t xml:space="preserve">Essence and substance</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need-and-sufficiency">
        <w:r>
          <w:rPr>
            <w:color w:val="000000"/>
          </w:rPr>
          <w:t xml:space="preserve">Need and sufficiency</w:t>
        </w:r>
      </w:hyperlink>
      <w:r>
        <w:rPr>
          <w:b w:val="0"/>
          <w:i w:val="0"/>
        </w:rPr>
        <w:t xml:space="preserve">; </w:t>
      </w:r>
      <w:hyperlink w:anchor="object-and-adequate-object">
        <w:r>
          <w:rPr>
            <w:color w:val="000000"/>
          </w:rPr>
          <w:t xml:space="preserve">Object and adequate object</w:t>
        </w:r>
      </w:hyperlink>
      <w:r>
        <w:rPr>
          <w:b w:val="0"/>
          <w:i w:val="0"/>
        </w:rPr>
        <w:t xml:space="preserve">; </w:t>
      </w:r>
      <w:hyperlink w:anchor="perfection">
        <w:r>
          <w:rPr>
            <w:color w:val="000000"/>
          </w:rPr>
          <w:t xml:space="preserve">Perfection</w:t>
        </w:r>
      </w:hyperlink>
      <w:r>
        <w:rPr>
          <w:b w:val="0"/>
          <w:i w:val="0"/>
        </w:rPr>
        <w:t xml:space="preserve">; </w:t>
      </w:r>
      <w:hyperlink w:anchor="self-knowledge">
        <w:r>
          <w:rPr>
            <w:color w:val="000000"/>
          </w:rPr>
          <w:t xml:space="preserve">Self knowledge</w:t>
        </w:r>
      </w:hyperlink>
      <w:r>
        <w:rPr>
          <w:b w:val="0"/>
          <w:i w:val="0"/>
        </w:rPr>
        <w:t xml:space="preserve">; </w:t>
      </w:r>
      <w:hyperlink w:anchor="simplicity-and-composition">
        <w:r>
          <w:rPr>
            <w:color w:val="000000"/>
          </w:rPr>
          <w:t xml:space="preserve">Simplicity and composition</w:t>
        </w:r>
      </w:hyperlink>
      <w:r>
        <w:rPr>
          <w:b w:val="0"/>
          <w:i w:val="0"/>
        </w:rPr>
        <w:t xml:space="preserve">. Vocabulary: </w:t>
      </w:r>
      <w:hyperlink w:anchor="latin-record-0163">
        <w:r>
          <w:rPr>
            <w:color w:val="000000"/>
          </w:rPr>
          <w:t xml:space="preserve">certus / plenus</w:t>
        </w:r>
      </w:hyperlink>
      <w:r>
        <w:rPr>
          <w:b w:val="0"/>
          <w:i w:val="0"/>
        </w:rPr>
        <w:t xml:space="preserve">; </w:t>
      </w:r>
      <w:hyperlink w:anchor="latin-record-0592">
        <w:r>
          <w:rPr>
            <w:color w:val="000000"/>
          </w:rPr>
          <w:t xml:space="preserve">integer / totus / plenus</w:t>
        </w:r>
      </w:hyperlink>
      <w:r>
        <w:rPr>
          <w:b w:val="0"/>
          <w:i w:val="0"/>
        </w:rPr>
        <w:t xml:space="preserve">; </w:t>
      </w:r>
      <w:hyperlink w:anchor="latin-record-0598">
        <w:r>
          <w:rPr>
            <w:color w:val="000000"/>
          </w:rPr>
          <w:t xml:space="preserve">intelligibilis / intelligendus / intelligens</w:t>
        </w:r>
      </w:hyperlink>
      <w:r>
        <w:rPr>
          <w:b w:val="0"/>
          <w:i w:val="0"/>
        </w:rPr>
        <w:t xml:space="preserve">; </w:t>
      </w:r>
      <w:hyperlink w:anchor="latin-record-0785">
        <w:r>
          <w:rPr>
            <w:color w:val="000000"/>
          </w:rPr>
          <w:t xml:space="preserve">obiectum / proximus</w:t>
        </w:r>
      </w:hyperlink>
      <w:r>
        <w:rPr>
          <w:b w:val="0"/>
          <w:i w:val="0"/>
        </w:rPr>
        <w:t xml:space="preserve">; </w:t>
      </w:r>
      <w:hyperlink w:anchor="latin-record-0856">
        <w:r>
          <w:rPr>
            <w:color w:val="000000"/>
          </w:rPr>
          <w:t xml:space="preserve">perfectio / perfectus</w:t>
        </w:r>
      </w:hyperlink>
      <w:r>
        <w:rPr>
          <w:b w:val="0"/>
          <w:i w:val="0"/>
        </w:rPr>
        <w:t xml:space="preserve">; </w:t>
      </w:r>
      <w:hyperlink w:anchor="latin-record-0965">
        <w:r>
          <w:rPr>
            <w:color w:val="000000"/>
          </w:rPr>
          <w:t xml:space="preserve">proprius / proprietas</w:t>
        </w:r>
      </w:hyperlink>
      <w:r>
        <w:rPr>
          <w:b w:val="0"/>
          <w:i w:val="0"/>
        </w:rPr>
        <w:t>.</w:t>
      </w:r>
    </w:p>
    <w:p>
      <w:pPr>
        <w:widowControl/>
      </w:pPr>
      <w:bookmarkStart w:id="1817" w:name="passage-ii-9-9"/>
      <w:bookmarkEnd w:id="1817"/>
      <w:r>
        <w:rPr>
          <w:b/>
          <w:i w:val="0"/>
        </w:rPr>
        <w:t>II.9.9</w:t>
      </w:r>
      <w:r>
        <w:rPr>
          <w:b/>
          <w:i w:val="0"/>
        </w:rPr>
        <w:t>, source pp. 166–167.</w:t>
      </w:r>
      <w:r>
        <w:rPr>
          <w:b w:val="0"/>
          <w:i w:val="0"/>
        </w:rPr>
        <w:t xml:space="preserve"> Articles: </w:t>
      </w:r>
      <w:hyperlink w:anchor="intellect-and-intellection">
        <w:r>
          <w:rPr>
            <w:color w:val="000000"/>
          </w:rPr>
          <w:t xml:space="preserve">Intellect and intellection</w:t>
        </w:r>
      </w:hyperlink>
      <w:r>
        <w:rPr>
          <w:b w:val="0"/>
          <w:i w:val="0"/>
        </w:rPr>
        <w:t xml:space="preserve">; </w:t>
      </w:r>
      <w:hyperlink w:anchor="object-and-adequate-object">
        <w:r>
          <w:rPr>
            <w:color w:val="000000"/>
          </w:rPr>
          <w:t xml:space="preserve">Object and adequate object</w:t>
        </w:r>
      </w:hyperlink>
      <w:r>
        <w:rPr>
          <w:b w:val="0"/>
          <w:i w:val="0"/>
        </w:rPr>
        <w:t xml:space="preserve">; </w:t>
      </w:r>
      <w:hyperlink w:anchor="self-knowledge">
        <w:r>
          <w:rPr>
            <w:color w:val="000000"/>
          </w:rPr>
          <w:t xml:space="preserve">Self knowledge</w:t>
        </w:r>
      </w:hyperlink>
      <w:r>
        <w:rPr>
          <w:b w:val="0"/>
          <w:i w:val="0"/>
        </w:rPr>
        <w:t xml:space="preserve">; </w:t>
      </w:r>
      <w:hyperlink w:anchor="simplicity-and-composition">
        <w:r>
          <w:rPr>
            <w:color w:val="000000"/>
          </w:rPr>
          <w:t xml:space="preserve">Simplicity and composition</w:t>
        </w:r>
      </w:hyperlink>
      <w:r>
        <w:rPr>
          <w:b w:val="0"/>
          <w:i w:val="0"/>
        </w:rPr>
        <w:t xml:space="preserve">. Vocabulary: </w:t>
      </w:r>
      <w:hyperlink w:anchor="latin-record-0173">
        <w:r>
          <w:rPr>
            <w:color w:val="000000"/>
          </w:rPr>
          <w:t xml:space="preserve">cogere / compellere</w:t>
        </w:r>
      </w:hyperlink>
      <w:r>
        <w:rPr>
          <w:b w:val="0"/>
          <w:i w:val="0"/>
        </w:rPr>
        <w:t xml:space="preserve">; </w:t>
      </w:r>
      <w:hyperlink w:anchor="latin-record-0414">
        <w:r>
          <w:rPr>
            <w:color w:val="000000"/>
          </w:rPr>
          <w:t xml:space="preserve">exterior / externus</w:t>
        </w:r>
      </w:hyperlink>
      <w:r>
        <w:rPr>
          <w:b w:val="0"/>
          <w:i w:val="0"/>
        </w:rPr>
        <w:t xml:space="preserve">; </w:t>
      </w:r>
      <w:hyperlink w:anchor="latin-record-1096">
        <w:r>
          <w:rPr>
            <w:color w:val="000000"/>
          </w:rPr>
          <w:t xml:space="preserve">sequi</w:t>
        </w:r>
      </w:hyperlink>
      <w:r>
        <w:rPr>
          <w:b w:val="0"/>
          <w:i w:val="0"/>
        </w:rPr>
        <w:t>.</w:t>
      </w:r>
    </w:p>
    <w:p>
      <w:pPr>
        <w:widowControl/>
      </w:pPr>
      <w:bookmarkStart w:id="1818" w:name="passage-ii-9-10"/>
      <w:bookmarkEnd w:id="1818"/>
      <w:r>
        <w:rPr>
          <w:b/>
          <w:i w:val="0"/>
        </w:rPr>
        <w:t>II.9.10</w:t>
      </w:r>
      <w:r>
        <w:rPr>
          <w:b/>
          <w:i w:val="0"/>
        </w:rPr>
        <w:t>, source pp. 168–169.</w:t>
      </w:r>
      <w:r>
        <w:rPr>
          <w:b w:val="0"/>
          <w:i w:val="0"/>
        </w:rPr>
        <w:t xml:space="preserve"> Articles: </w:t>
      </w:r>
      <w:hyperlink w:anchor="common-and-proper">
        <w:r>
          <w:rPr>
            <w:color w:val="000000"/>
          </w:rPr>
          <w:t xml:space="preserve">Common and proper</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object-and-adequate-object">
        <w:r>
          <w:rPr>
            <w:color w:val="000000"/>
          </w:rPr>
          <w:t xml:space="preserve">Object and adequate object</w:t>
        </w:r>
      </w:hyperlink>
      <w:r>
        <w:rPr>
          <w:b w:val="0"/>
          <w:i w:val="0"/>
        </w:rPr>
        <w:t xml:space="preserve">; </w:t>
      </w:r>
      <w:hyperlink w:anchor="self-knowledge">
        <w:r>
          <w:rPr>
            <w:color w:val="000000"/>
          </w:rPr>
          <w:t xml:space="preserve">Self knowledge</w:t>
        </w:r>
      </w:hyperlink>
      <w:r>
        <w:rPr>
          <w:b w:val="0"/>
          <w:i w:val="0"/>
        </w:rPr>
        <w:t xml:space="preserve">; </w:t>
      </w:r>
      <w:hyperlink w:anchor="simplicity-and-composition">
        <w:r>
          <w:rPr>
            <w:color w:val="000000"/>
          </w:rPr>
          <w:t xml:space="preserve">Simplicity and composition</w:t>
        </w:r>
      </w:hyperlink>
      <w:r>
        <w:rPr>
          <w:b w:val="0"/>
          <w:i w:val="0"/>
        </w:rPr>
        <w:t xml:space="preserve">. Vocabulary: </w:t>
      </w:r>
      <w:hyperlink w:anchor="latin-record-0785">
        <w:r>
          <w:rPr>
            <w:color w:val="000000"/>
          </w:rPr>
          <w:t xml:space="preserve">obiectum / proximus</w:t>
        </w:r>
      </w:hyperlink>
      <w:r>
        <w:rPr>
          <w:b w:val="0"/>
          <w:i w:val="0"/>
        </w:rPr>
        <w:t>.</w:t>
      </w:r>
    </w:p>
    <w:p>
      <w:pPr>
        <w:widowControl/>
      </w:pPr>
      <w:bookmarkStart w:id="1819" w:name="passage-ii-9-11"/>
      <w:bookmarkEnd w:id="1819"/>
      <w:r>
        <w:rPr>
          <w:b/>
          <w:i w:val="0"/>
        </w:rPr>
        <w:t>II.9.11</w:t>
      </w:r>
      <w:r>
        <w:rPr>
          <w:b/>
          <w:i w:val="0"/>
        </w:rPr>
        <w:t>, source pp. 168–169.</w:t>
      </w:r>
      <w:r>
        <w:rPr>
          <w:b w:val="0"/>
          <w:i w:val="0"/>
        </w:rPr>
        <w:t xml:space="preserve"> Articles: </w:t>
      </w:r>
      <w:hyperlink w:anchor="intellect-and-intellection">
        <w:r>
          <w:rPr>
            <w:color w:val="000000"/>
          </w:rPr>
          <w:t xml:space="preserve">Intellect and intellection</w:t>
        </w:r>
      </w:hyperlink>
      <w:r>
        <w:rPr>
          <w:b w:val="0"/>
          <w:i w:val="0"/>
        </w:rPr>
        <w:t xml:space="preserve">; </w:t>
      </w:r>
      <w:hyperlink w:anchor="object-and-adequate-object">
        <w:r>
          <w:rPr>
            <w:color w:val="000000"/>
          </w:rPr>
          <w:t xml:space="preserve">Object and adequate object</w:t>
        </w:r>
      </w:hyperlink>
      <w:r>
        <w:rPr>
          <w:b w:val="0"/>
          <w:i w:val="0"/>
        </w:rPr>
        <w:t xml:space="preserve">; </w:t>
      </w:r>
      <w:hyperlink w:anchor="self-knowledge">
        <w:r>
          <w:rPr>
            <w:color w:val="000000"/>
          </w:rPr>
          <w:t xml:space="preserve">Self knowledge</w:t>
        </w:r>
      </w:hyperlink>
      <w:r>
        <w:rPr>
          <w:b w:val="0"/>
          <w:i w:val="0"/>
        </w:rPr>
        <w:t xml:space="preserve">; </w:t>
      </w:r>
      <w:hyperlink w:anchor="simplicity-and-composition">
        <w:r>
          <w:rPr>
            <w:color w:val="000000"/>
          </w:rPr>
          <w:t xml:space="preserve">Simplicity and composition</w:t>
        </w:r>
      </w:hyperlink>
      <w:r>
        <w:rPr>
          <w:b w:val="0"/>
          <w:i w:val="0"/>
        </w:rPr>
        <w:t xml:space="preserve">. Vocabulary: </w:t>
      </w:r>
      <w:hyperlink w:anchor="latin-record-0393">
        <w:r>
          <w:rPr>
            <w:color w:val="000000"/>
          </w:rPr>
          <w:t xml:space="preserve">excedere / superare</w:t>
        </w:r>
      </w:hyperlink>
      <w:r>
        <w:rPr>
          <w:b w:val="0"/>
          <w:i w:val="0"/>
        </w:rPr>
        <w:t>.</w:t>
      </w:r>
    </w:p>
    <w:p>
      <w:pPr>
        <w:widowControl/>
      </w:pPr>
      <w:bookmarkStart w:id="1820" w:name="passage-ii-9-12"/>
      <w:bookmarkEnd w:id="1820"/>
      <w:r>
        <w:rPr>
          <w:b/>
          <w:i w:val="0"/>
        </w:rPr>
        <w:t>II.9.12</w:t>
      </w:r>
      <w:r>
        <w:rPr>
          <w:b/>
          <w:i w:val="0"/>
        </w:rPr>
        <w:t>, source pp. 168–169.</w:t>
      </w:r>
      <w:r>
        <w:rPr>
          <w:b w:val="0"/>
          <w:i w:val="0"/>
        </w:rPr>
        <w:t xml:space="preserve"> Articles: </w:t>
      </w:r>
      <w:hyperlink w:anchor="form">
        <w:r>
          <w:rPr>
            <w:color w:val="000000"/>
          </w:rPr>
          <w:t xml:space="preserve">Form</w:t>
        </w:r>
      </w:hyperlink>
      <w:r>
        <w:rPr>
          <w:b w:val="0"/>
          <w:i w:val="0"/>
        </w:rPr>
        <w:t xml:space="preserve">; </w:t>
      </w:r>
      <w:hyperlink w:anchor="god">
        <w:r>
          <w:rPr>
            <w:color w:val="000000"/>
          </w:rPr>
          <w:t xml:space="preserve">God</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mind">
        <w:r>
          <w:rPr>
            <w:color w:val="000000"/>
          </w:rPr>
          <w:t xml:space="preserve">Mind</w:t>
        </w:r>
      </w:hyperlink>
      <w:r>
        <w:rPr>
          <w:b w:val="0"/>
          <w:i w:val="0"/>
        </w:rPr>
        <w:t xml:space="preserve">; </w:t>
      </w:r>
      <w:hyperlink w:anchor="naming-by-cause">
        <w:r>
          <w:rPr>
            <w:color w:val="000000"/>
          </w:rPr>
          <w:t xml:space="preserve">Naming by cause</w:t>
        </w:r>
      </w:hyperlink>
      <w:r>
        <w:rPr>
          <w:b w:val="0"/>
          <w:i w:val="0"/>
        </w:rPr>
        <w:t xml:space="preserve">; </w:t>
      </w:r>
      <w:hyperlink w:anchor="object-and-adequate-object">
        <w:r>
          <w:rPr>
            <w:color w:val="000000"/>
          </w:rPr>
          <w:t xml:space="preserve">Object and adequate object</w:t>
        </w:r>
      </w:hyperlink>
      <w:r>
        <w:rPr>
          <w:b w:val="0"/>
          <w:i w:val="0"/>
        </w:rPr>
        <w:t xml:space="preserve">; </w:t>
      </w:r>
      <w:hyperlink w:anchor="self-knowledge">
        <w:r>
          <w:rPr>
            <w:color w:val="000000"/>
          </w:rPr>
          <w:t xml:space="preserve">Self knowledge</w:t>
        </w:r>
      </w:hyperlink>
      <w:r>
        <w:rPr>
          <w:b w:val="0"/>
          <w:i w:val="0"/>
        </w:rPr>
        <w:t xml:space="preserve">; </w:t>
      </w:r>
      <w:hyperlink w:anchor="simplicity-and-composition">
        <w:r>
          <w:rPr>
            <w:color w:val="000000"/>
          </w:rPr>
          <w:t xml:space="preserve">Simplicity and composition</w:t>
        </w:r>
      </w:hyperlink>
      <w:r>
        <w:rPr>
          <w:b w:val="0"/>
          <w:i w:val="0"/>
        </w:rPr>
        <w:t xml:space="preserve">. Vocabulary: </w:t>
      </w:r>
      <w:hyperlink w:anchor="latin-record-0084">
        <w:r>
          <w:rPr>
            <w:color w:val="000000"/>
          </w:rPr>
          <w:t xml:space="preserve">appellatio / nomen / proprie</w:t>
        </w:r>
      </w:hyperlink>
      <w:r>
        <w:rPr>
          <w:b w:val="0"/>
          <w:i w:val="0"/>
        </w:rPr>
        <w:t xml:space="preserve">; </w:t>
      </w:r>
      <w:hyperlink w:anchor="latin-record-0316">
        <w:r>
          <w:rPr>
            <w:color w:val="000000"/>
          </w:rPr>
          <w:t xml:space="preserve">dicere / vocare / appellare</w:t>
        </w:r>
      </w:hyperlink>
      <w:r>
        <w:rPr>
          <w:b w:val="0"/>
          <w:i w:val="0"/>
        </w:rPr>
        <w:t xml:space="preserve">; </w:t>
      </w:r>
      <w:hyperlink w:anchor="latin-record-0596">
        <w:r>
          <w:rPr>
            <w:color w:val="000000"/>
          </w:rPr>
          <w:t xml:space="preserve">intellectus / intelligere</w:t>
        </w:r>
      </w:hyperlink>
      <w:r>
        <w:rPr>
          <w:b w:val="0"/>
          <w:i w:val="0"/>
        </w:rPr>
        <w:t xml:space="preserve">; </w:t>
      </w:r>
      <w:hyperlink w:anchor="latin-record-0686">
        <w:r>
          <w:rPr>
            <w:color w:val="000000"/>
          </w:rPr>
          <w:t xml:space="preserve">mens</w:t>
        </w:r>
      </w:hyperlink>
      <w:r>
        <w:rPr>
          <w:b w:val="0"/>
          <w:i w:val="0"/>
        </w:rPr>
        <w:t xml:space="preserve">; </w:t>
      </w:r>
      <w:hyperlink w:anchor="latin-record-1079">
        <w:r>
          <w:rPr>
            <w:color w:val="000000"/>
          </w:rPr>
          <w:t xml:space="preserve">secundum causam / per formam</w:t>
        </w:r>
      </w:hyperlink>
      <w:r>
        <w:rPr>
          <w:b w:val="0"/>
          <w:i w:val="0"/>
        </w:rPr>
        <w:t xml:space="preserve">; </w:t>
      </w:r>
      <w:hyperlink w:anchor="latin-record-1211">
        <w:r>
          <w:rPr>
            <w:color w:val="000000"/>
          </w:rPr>
          <w:t xml:space="preserve">tribuere / tradere</w:t>
        </w:r>
      </w:hyperlink>
      <w:r>
        <w:rPr>
          <w:b w:val="0"/>
          <w:i w:val="0"/>
        </w:rPr>
        <w:t>.</w:t>
      </w:r>
    </w:p>
    <w:p>
      <w:pPr>
        <w:widowControl/>
      </w:pPr>
      <w:bookmarkStart w:id="1821" w:name="passage-ii-9-13"/>
      <w:bookmarkEnd w:id="1821"/>
      <w:r>
        <w:rPr>
          <w:b/>
          <w:i w:val="0"/>
        </w:rPr>
        <w:t>II.9.13</w:t>
      </w:r>
      <w:r>
        <w:rPr>
          <w:b/>
          <w:i w:val="0"/>
        </w:rPr>
        <w:t>, source pp. 168–169.</w:t>
      </w:r>
      <w:r>
        <w:rPr>
          <w:b w:val="0"/>
          <w:i w:val="0"/>
        </w:rPr>
        <w:t xml:space="preserve"> Articles: </w:t>
      </w:r>
      <w:hyperlink w:anchor="act-and-operation">
        <w:r>
          <w:rPr>
            <w:color w:val="000000"/>
          </w:rPr>
          <w:t xml:space="preserve">Act and operation</w:t>
        </w:r>
      </w:hyperlink>
      <w:r>
        <w:rPr>
          <w:b w:val="0"/>
          <w:i w:val="0"/>
        </w:rPr>
        <w:t xml:space="preserve">; </w:t>
      </w:r>
      <w:hyperlink w:anchor="being">
        <w:r>
          <w:rPr>
            <w:color w:val="000000"/>
          </w:rPr>
          <w:t xml:space="preserve">Being</w:t>
        </w:r>
      </w:hyperlink>
      <w:r>
        <w:rPr>
          <w:b w:val="0"/>
          <w:i w:val="0"/>
        </w:rPr>
        <w:t xml:space="preserve">; </w:t>
      </w:r>
      <w:hyperlink w:anchor="burden-labor-and-ease">
        <w:r>
          <w:rPr>
            <w:color w:val="000000"/>
          </w:rPr>
          <w:t xml:space="preserve">Burden labor and ease</w:t>
        </w:r>
      </w:hyperlink>
      <w:r>
        <w:rPr>
          <w:b w:val="0"/>
          <w:i w:val="0"/>
        </w:rPr>
        <w:t xml:space="preserve">; </w:t>
      </w:r>
      <w:hyperlink w:anchor="choice-and-deliberation">
        <w:r>
          <w:rPr>
            <w:color w:val="000000"/>
          </w:rPr>
          <w:t xml:space="preserve">Choice and deliberation</w:t>
        </w:r>
      </w:hyperlink>
      <w:r>
        <w:rPr>
          <w:b w:val="0"/>
          <w:i w:val="0"/>
        </w:rPr>
        <w:t xml:space="preserve">; </w:t>
      </w:r>
      <w:hyperlink w:anchor="form">
        <w:r>
          <w:rPr>
            <w:color w:val="000000"/>
          </w:rPr>
          <w:t xml:space="preserve">Form</w:t>
        </w:r>
      </w:hyperlink>
      <w:r>
        <w:rPr>
          <w:b w:val="0"/>
          <w:i w:val="0"/>
        </w:rPr>
        <w:t xml:space="preserve">; </w:t>
      </w:r>
      <w:hyperlink w:anchor="god">
        <w:r>
          <w:rPr>
            <w:color w:val="000000"/>
          </w:rPr>
          <w:t xml:space="preserve">God</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naming-by-cause">
        <w:r>
          <w:rPr>
            <w:color w:val="000000"/>
          </w:rPr>
          <w:t xml:space="preserve">Naming by cause</w:t>
        </w:r>
      </w:hyperlink>
      <w:r>
        <w:rPr>
          <w:b w:val="0"/>
          <w:i w:val="0"/>
        </w:rPr>
        <w:t xml:space="preserve">; </w:t>
      </w:r>
      <w:hyperlink w:anchor="object-and-adequate-object">
        <w:r>
          <w:rPr>
            <w:color w:val="000000"/>
          </w:rPr>
          <w:t xml:space="preserve">Object and adequate object</w:t>
        </w:r>
      </w:hyperlink>
      <w:r>
        <w:rPr>
          <w:b w:val="0"/>
          <w:i w:val="0"/>
        </w:rPr>
        <w:t xml:space="preserve">; </w:t>
      </w:r>
      <w:hyperlink w:anchor="self-knowledge">
        <w:r>
          <w:rPr>
            <w:color w:val="000000"/>
          </w:rPr>
          <w:t xml:space="preserve">Self knowledge</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universals-and-individuals">
        <w:r>
          <w:rPr>
            <w:color w:val="000000"/>
          </w:rPr>
          <w:t xml:space="preserve">Universals and individuals</w:t>
        </w:r>
      </w:hyperlink>
      <w:r>
        <w:rPr>
          <w:b w:val="0"/>
          <w:i w:val="0"/>
        </w:rPr>
        <w:t xml:space="preserve">. Vocabulary: </w:t>
      </w:r>
      <w:hyperlink w:anchor="latin-record-0096">
        <w:r>
          <w:rPr>
            <w:color w:val="000000"/>
          </w:rPr>
          <w:t xml:space="preserve">ars / artificium</w:t>
        </w:r>
      </w:hyperlink>
      <w:r>
        <w:rPr>
          <w:b w:val="0"/>
          <w:i w:val="0"/>
        </w:rPr>
        <w:t xml:space="preserve">; </w:t>
      </w:r>
      <w:hyperlink w:anchor="latin-record-0179">
        <w:r>
          <w:rPr>
            <w:color w:val="000000"/>
          </w:rPr>
          <w:t xml:space="preserve">cognitio / intelligentia</w:t>
        </w:r>
      </w:hyperlink>
      <w:r>
        <w:rPr>
          <w:b w:val="0"/>
          <w:i w:val="0"/>
        </w:rPr>
        <w:t xml:space="preserve">; </w:t>
      </w:r>
      <w:hyperlink w:anchor="latin-record-0224">
        <w:r>
          <w:rPr>
            <w:color w:val="000000"/>
          </w:rPr>
          <w:t xml:space="preserve">concludere / confirmare / patere</w:t>
        </w:r>
      </w:hyperlink>
      <w:r>
        <w:rPr>
          <w:b w:val="0"/>
          <w:i w:val="0"/>
        </w:rPr>
        <w:t xml:space="preserve">; </w:t>
      </w:r>
      <w:hyperlink w:anchor="latin-record-0311">
        <w:r>
          <w:rPr>
            <w:color w:val="000000"/>
          </w:rPr>
          <w:t xml:space="preserve">Deus / divinus</w:t>
        </w:r>
      </w:hyperlink>
      <w:r>
        <w:rPr>
          <w:b w:val="0"/>
          <w:i w:val="0"/>
        </w:rPr>
        <w:t xml:space="preserve">; </w:t>
      </w:r>
      <w:hyperlink w:anchor="latin-record-0412">
        <w:r>
          <w:rPr>
            <w:color w:val="000000"/>
          </w:rPr>
          <w:t xml:space="preserve">extendere / extensio</w:t>
        </w:r>
      </w:hyperlink>
      <w:r>
        <w:rPr>
          <w:b w:val="0"/>
          <w:i w:val="0"/>
        </w:rPr>
        <w:t xml:space="preserve">; </w:t>
      </w:r>
      <w:hyperlink w:anchor="latin-record-0688">
        <w:r>
          <w:rPr>
            <w:color w:val="000000"/>
          </w:rPr>
          <w:t xml:space="preserve">mens mentium / lumen luminum</w:t>
        </w:r>
      </w:hyperlink>
      <w:r>
        <w:rPr>
          <w:b w:val="0"/>
          <w:i w:val="0"/>
        </w:rPr>
        <w:t xml:space="preserve">; </w:t>
      </w:r>
      <w:hyperlink w:anchor="latin-record-0707">
        <w:r>
          <w:rPr>
            <w:color w:val="000000"/>
          </w:rPr>
          <w:t xml:space="preserve">modus / modo</w:t>
        </w:r>
      </w:hyperlink>
      <w:r>
        <w:rPr>
          <w:b w:val="0"/>
          <w:i w:val="0"/>
        </w:rPr>
        <w:t xml:space="preserve">; </w:t>
      </w:r>
      <w:hyperlink w:anchor="latin-record-1108">
        <w:r>
          <w:rPr>
            <w:color w:val="000000"/>
          </w:rPr>
          <w:t xml:space="preserve">simplex / simplicitas</w:t>
        </w:r>
      </w:hyperlink>
      <w:r>
        <w:rPr>
          <w:b w:val="0"/>
          <w:i w:val="0"/>
        </w:rPr>
        <w:t xml:space="preserve">; </w:t>
      </w:r>
      <w:hyperlink w:anchor="latin-record-1113">
        <w:r>
          <w:rPr>
            <w:color w:val="000000"/>
          </w:rPr>
          <w:t xml:space="preserve">singulus / minimus / infimus</w:t>
        </w:r>
      </w:hyperlink>
      <w:r>
        <w:rPr>
          <w:b w:val="0"/>
          <w:i w:val="0"/>
        </w:rPr>
        <w:t xml:space="preserve">; </w:t>
      </w:r>
      <w:hyperlink w:anchor="latin-record-1238">
        <w:r>
          <w:rPr>
            <w:color w:val="000000"/>
          </w:rPr>
          <w:t xml:space="preserve">velle / nolle</w:t>
        </w:r>
      </w:hyperlink>
      <w:r>
        <w:rPr>
          <w:b w:val="0"/>
          <w:i w:val="0"/>
        </w:rPr>
        <w:t>.</w:t>
      </w:r>
    </w:p>
    <w:p>
      <w:pPr>
        <w:widowControl/>
      </w:pPr>
      <w:bookmarkStart w:id="1822" w:name="passage-ii-9-14"/>
      <w:bookmarkEnd w:id="1822"/>
      <w:r>
        <w:rPr>
          <w:b/>
          <w:i w:val="0"/>
        </w:rPr>
        <w:t>II.9.14</w:t>
      </w:r>
      <w:r>
        <w:rPr>
          <w:b/>
          <w:i w:val="0"/>
        </w:rPr>
        <w:t>, source pp. 170–171.</w:t>
      </w:r>
      <w:r>
        <w:rPr>
          <w:b w:val="0"/>
          <w:i w:val="0"/>
        </w:rPr>
        <w:t xml:space="preserve"> Articles: </w:t>
      </w:r>
      <w:hyperlink w:anchor="cause">
        <w:r>
          <w:rPr>
            <w:color w:val="000000"/>
          </w:rPr>
          <w:t xml:space="preserve">Cause</w:t>
        </w:r>
      </w:hyperlink>
      <w:r>
        <w:rPr>
          <w:b w:val="0"/>
          <w:i w:val="0"/>
        </w:rPr>
        <w:t xml:space="preserve">; </w:t>
      </w:r>
      <w:hyperlink w:anchor="form">
        <w:r>
          <w:rPr>
            <w:color w:val="000000"/>
          </w:rPr>
          <w:t xml:space="preserve">Form</w:t>
        </w:r>
      </w:hyperlink>
      <w:r>
        <w:rPr>
          <w:b w:val="0"/>
          <w:i w:val="0"/>
        </w:rPr>
        <w:t xml:space="preserve">; </w:t>
      </w:r>
      <w:hyperlink w:anchor="self-knowledge">
        <w:r>
          <w:rPr>
            <w:color w:val="000000"/>
          </w:rPr>
          <w:t xml:space="preserve">Self knowledge</w:t>
        </w:r>
      </w:hyperlink>
      <w:r>
        <w:rPr>
          <w:b w:val="0"/>
          <w:i w:val="0"/>
        </w:rPr>
        <w:t xml:space="preserve">; </w:t>
      </w:r>
      <w:hyperlink w:anchor="universals-and-individuals">
        <w:r>
          <w:rPr>
            <w:color w:val="000000"/>
          </w:rPr>
          <w:t xml:space="preserve">Universals and individuals</w:t>
        </w:r>
      </w:hyperlink>
      <w:r>
        <w:rPr>
          <w:b w:val="0"/>
          <w:i w:val="0"/>
        </w:rPr>
        <w:t xml:space="preserve">. Vocabulary: </w:t>
      </w:r>
      <w:hyperlink w:anchor="latin-record-0153">
        <w:r>
          <w:rPr>
            <w:color w:val="000000"/>
          </w:rPr>
          <w:t xml:space="preserve">causa / effectus</w:t>
        </w:r>
      </w:hyperlink>
      <w:r>
        <w:rPr>
          <w:b w:val="0"/>
          <w:i w:val="0"/>
        </w:rPr>
        <w:t xml:space="preserve">; </w:t>
      </w:r>
      <w:hyperlink w:anchor="latin-record-0339">
        <w:r>
          <w:rPr>
            <w:color w:val="000000"/>
          </w:rPr>
          <w:t xml:space="preserve">distincte / clare / plane</w:t>
        </w:r>
      </w:hyperlink>
      <w:r>
        <w:rPr>
          <w:b w:val="0"/>
          <w:i w:val="0"/>
        </w:rPr>
        <w:t xml:space="preserve">; </w:t>
      </w:r>
      <w:hyperlink w:anchor="latin-record-0494">
        <w:r>
          <w:rPr>
            <w:color w:val="000000"/>
          </w:rPr>
          <w:t xml:space="preserve">habere / tenere / possidere</w:t>
        </w:r>
      </w:hyperlink>
      <w:r>
        <w:rPr>
          <w:b w:val="0"/>
          <w:i w:val="0"/>
        </w:rPr>
        <w:t xml:space="preserve">; </w:t>
      </w:r>
      <w:hyperlink w:anchor="latin-record-0679">
        <w:r>
          <w:rPr>
            <w:color w:val="000000"/>
          </w:rPr>
          <w:t xml:space="preserve">medium / particularis</w:t>
        </w:r>
      </w:hyperlink>
      <w:r>
        <w:rPr>
          <w:b w:val="0"/>
          <w:i w:val="0"/>
        </w:rPr>
        <w:t xml:space="preserve">; </w:t>
      </w:r>
      <w:hyperlink w:anchor="latin-record-0770">
        <w:r>
          <w:rPr>
            <w:color w:val="000000"/>
          </w:rPr>
          <w:t xml:space="preserve">noscere / cognoscere / dinoscere</w:t>
        </w:r>
      </w:hyperlink>
      <w:r>
        <w:rPr>
          <w:b w:val="0"/>
          <w:i w:val="0"/>
        </w:rPr>
        <w:t xml:space="preserve">; </w:t>
      </w:r>
      <w:hyperlink w:anchor="latin-record-1047">
        <w:r>
          <w:rPr>
            <w:color w:val="000000"/>
          </w:rPr>
          <w:t xml:space="preserve">res</w:t>
        </w:r>
      </w:hyperlink>
      <w:r>
        <w:rPr>
          <w:b w:val="0"/>
          <w:i w:val="0"/>
        </w:rPr>
        <w:t xml:space="preserve">; </w:t>
      </w:r>
      <w:hyperlink w:anchor="latin-record-1113">
        <w:r>
          <w:rPr>
            <w:color w:val="000000"/>
          </w:rPr>
          <w:t xml:space="preserve">singulus / minimus / infimus</w:t>
        </w:r>
      </w:hyperlink>
      <w:r>
        <w:rPr>
          <w:b w:val="0"/>
          <w:i w:val="0"/>
        </w:rPr>
        <w:t>.</w:t>
      </w:r>
    </w:p>
    <w:p>
      <w:pPr>
        <w:widowControl/>
      </w:pPr>
      <w:bookmarkStart w:id="1823" w:name="passage-ii-9-15"/>
      <w:bookmarkEnd w:id="1823"/>
      <w:r>
        <w:rPr>
          <w:b/>
          <w:i w:val="0"/>
        </w:rPr>
        <w:t>II.9.15</w:t>
      </w:r>
      <w:r>
        <w:rPr>
          <w:b/>
          <w:i w:val="0"/>
        </w:rPr>
        <w:t>, source pp. 170–171.</w:t>
      </w:r>
      <w:r>
        <w:rPr>
          <w:b w:val="0"/>
          <w:i w:val="0"/>
        </w:rPr>
        <w:t xml:space="preserve"> Articles: </w:t>
      </w:r>
      <w:hyperlink w:anchor="cause">
        <w:r>
          <w:rPr>
            <w:color w:val="000000"/>
          </w:rPr>
          <w:t xml:space="preserve">Cause</w:t>
        </w:r>
      </w:hyperlink>
      <w:r>
        <w:rPr>
          <w:b w:val="0"/>
          <w:i w:val="0"/>
        </w:rPr>
        <w:t xml:space="preserve">; </w:t>
      </w:r>
      <w:hyperlink w:anchor="communication-and-imparting">
        <w:r>
          <w:rPr>
            <w:color w:val="000000"/>
          </w:rPr>
          <w:t xml:space="preserve">Communication and imparting</w:t>
        </w:r>
      </w:hyperlink>
      <w:r>
        <w:rPr>
          <w:b w:val="0"/>
          <w:i w:val="0"/>
        </w:rPr>
        <w:t xml:space="preserve">; </w:t>
      </w:r>
      <w:hyperlink w:anchor="form">
        <w:r>
          <w:rPr>
            <w:color w:val="000000"/>
          </w:rPr>
          <w:t xml:space="preserve">Form</w:t>
        </w:r>
      </w:hyperlink>
      <w:r>
        <w:rPr>
          <w:b w:val="0"/>
          <w:i w:val="0"/>
        </w:rPr>
        <w:t xml:space="preserve">; </w:t>
      </w:r>
      <w:hyperlink w:anchor="god">
        <w:r>
          <w:rPr>
            <w:color w:val="000000"/>
          </w:rPr>
          <w:t xml:space="preserve">God</w:t>
        </w:r>
      </w:hyperlink>
      <w:r>
        <w:rPr>
          <w:b w:val="0"/>
          <w:i w:val="0"/>
        </w:rPr>
        <w:t xml:space="preserve">; </w:t>
      </w:r>
      <w:hyperlink w:anchor="self-knowledge">
        <w:r>
          <w:rPr>
            <w:color w:val="000000"/>
          </w:rPr>
          <w:t xml:space="preserve">Self knowledge</w:t>
        </w:r>
      </w:hyperlink>
      <w:r>
        <w:rPr>
          <w:b w:val="0"/>
          <w:i w:val="0"/>
        </w:rPr>
        <w:t xml:space="preserve">; </w:t>
      </w:r>
      <w:hyperlink w:anchor="universals-and-individuals">
        <w:r>
          <w:rPr>
            <w:color w:val="000000"/>
          </w:rPr>
          <w:t xml:space="preserve">Universals and individuals</w:t>
        </w:r>
      </w:hyperlink>
      <w:r>
        <w:rPr>
          <w:b w:val="0"/>
          <w:i w:val="0"/>
        </w:rPr>
        <w:t xml:space="preserve">. Vocabulary: </w:t>
      </w:r>
      <w:hyperlink w:anchor="latin-record-0198">
        <w:r>
          <w:rPr>
            <w:color w:val="000000"/>
          </w:rPr>
          <w:t xml:space="preserve">communicare</w:t>
        </w:r>
      </w:hyperlink>
      <w:r>
        <w:rPr>
          <w:b w:val="0"/>
          <w:i w:val="0"/>
        </w:rPr>
        <w:t xml:space="preserve">; </w:t>
      </w:r>
      <w:hyperlink w:anchor="latin-record-0339">
        <w:r>
          <w:rPr>
            <w:color w:val="000000"/>
          </w:rPr>
          <w:t xml:space="preserve">distincte / clare / plane</w:t>
        </w:r>
      </w:hyperlink>
      <w:r>
        <w:rPr>
          <w:b w:val="0"/>
          <w:i w:val="0"/>
        </w:rPr>
        <w:t xml:space="preserve">; </w:t>
      </w:r>
      <w:hyperlink w:anchor="latin-record-0610">
        <w:r>
          <w:rPr>
            <w:color w:val="000000"/>
          </w:rPr>
          <w:t xml:space="preserve">intus / intro / extra / ultra / superne / undique</w:t>
        </w:r>
      </w:hyperlink>
      <w:r>
        <w:rPr>
          <w:b w:val="0"/>
          <w:i w:val="0"/>
        </w:rPr>
        <w:t xml:space="preserve">; </w:t>
      </w:r>
      <w:hyperlink w:anchor="latin-record-0770">
        <w:r>
          <w:rPr>
            <w:color w:val="000000"/>
          </w:rPr>
          <w:t xml:space="preserve">noscere / cognoscere / dinoscere</w:t>
        </w:r>
      </w:hyperlink>
      <w:r>
        <w:rPr>
          <w:b w:val="0"/>
          <w:i w:val="0"/>
        </w:rPr>
        <w:t xml:space="preserve">; </w:t>
      </w:r>
      <w:hyperlink w:anchor="latin-record-0799">
        <w:r>
          <w:rPr>
            <w:color w:val="000000"/>
          </w:rPr>
          <w:t xml:space="preserve">oportere / debere / decere</w:t>
        </w:r>
      </w:hyperlink>
      <w:r>
        <w:rPr>
          <w:b w:val="0"/>
          <w:i w:val="0"/>
        </w:rPr>
        <w:t xml:space="preserve">; </w:t>
      </w:r>
      <w:hyperlink w:anchor="latin-record-1072">
        <w:r>
          <w:rPr>
            <w:color w:val="000000"/>
          </w:rPr>
          <w:t xml:space="preserve">scientia / comprehendere</w:t>
        </w:r>
      </w:hyperlink>
      <w:r>
        <w:rPr>
          <w:b w:val="0"/>
          <w:i w:val="0"/>
        </w:rPr>
        <w:t xml:space="preserve">; </w:t>
      </w:r>
      <w:hyperlink w:anchor="latin-record-1123">
        <w:r>
          <w:rPr>
            <w:color w:val="000000"/>
          </w:rPr>
          <w:t xml:space="preserve">species / genus</w:t>
        </w:r>
      </w:hyperlink>
      <w:r>
        <w:rPr>
          <w:b w:val="0"/>
          <w:i w:val="0"/>
        </w:rPr>
        <w:t xml:space="preserve">; </w:t>
      </w:r>
      <w:hyperlink w:anchor="latin-record-1257">
        <w:r>
          <w:rPr>
            <w:color w:val="000000"/>
          </w:rPr>
          <w:t xml:space="preserve">videre / visibilis</w:t>
        </w:r>
      </w:hyperlink>
      <w:r>
        <w:rPr>
          <w:b w:val="0"/>
          <w:i w:val="0"/>
        </w:rPr>
        <w:t>.</w:t>
      </w:r>
    </w:p>
    <w:p>
      <w:pPr>
        <w:widowControl/>
      </w:pPr>
      <w:bookmarkStart w:id="1824" w:name="passage-ii-9-16"/>
      <w:bookmarkEnd w:id="1824"/>
      <w:r>
        <w:rPr>
          <w:b/>
          <w:i w:val="0"/>
        </w:rPr>
        <w:t>II.9.16</w:t>
      </w:r>
      <w:r>
        <w:rPr>
          <w:b/>
          <w:i w:val="0"/>
        </w:rPr>
        <w:t>, source pp. 172–173.</w:t>
      </w:r>
      <w:r>
        <w:rPr>
          <w:b w:val="0"/>
          <w:i w:val="0"/>
        </w:rPr>
        <w:t xml:space="preserve"> Articles: </w:t>
      </w:r>
      <w:hyperlink w:anchor="imagination-and-deceptive-clothing">
        <w:r>
          <w:rPr>
            <w:color w:val="000000"/>
          </w:rPr>
          <w:t xml:space="preserve">Imagination and deceptive clothing</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reason-and-account">
        <w:r>
          <w:rPr>
            <w:color w:val="000000"/>
          </w:rPr>
          <w:t xml:space="preserve">Reason and account</w:t>
        </w:r>
      </w:hyperlink>
      <w:r>
        <w:rPr>
          <w:b w:val="0"/>
          <w:i w:val="0"/>
        </w:rPr>
        <w:t xml:space="preserve">; </w:t>
      </w:r>
      <w:hyperlink w:anchor="sense-and-imagination">
        <w:r>
          <w:rPr>
            <w:color w:val="000000"/>
          </w:rPr>
          <w:t xml:space="preserve">Sense and imagination</w:t>
        </w:r>
      </w:hyperlink>
      <w:r>
        <w:rPr>
          <w:b w:val="0"/>
          <w:i w:val="0"/>
        </w:rPr>
        <w:t xml:space="preserve">; </w:t>
      </w:r>
      <w:hyperlink w:anchor="universals-and-individuals">
        <w:r>
          <w:rPr>
            <w:color w:val="000000"/>
          </w:rPr>
          <w:t xml:space="preserve">Universals and individuals</w:t>
        </w:r>
      </w:hyperlink>
      <w:r>
        <w:rPr>
          <w:b w:val="0"/>
          <w:i w:val="0"/>
        </w:rPr>
        <w:t xml:space="preserve">. Vocabulary: </w:t>
      </w:r>
      <w:hyperlink w:anchor="latin-record-0325">
        <w:r>
          <w:rPr>
            <w:color w:val="000000"/>
          </w:rPr>
          <w:t xml:space="preserve">discernere / animadvertere</w:t>
        </w:r>
      </w:hyperlink>
      <w:r>
        <w:rPr>
          <w:b w:val="0"/>
          <w:i w:val="0"/>
        </w:rPr>
        <w:t xml:space="preserve">; </w:t>
      </w:r>
      <w:hyperlink w:anchor="latin-record-0394">
        <w:r>
          <w:rPr>
            <w:color w:val="000000"/>
          </w:rPr>
          <w:t xml:space="preserve">excellens / eminens / deterior / altior / remotior</w:t>
        </w:r>
      </w:hyperlink>
      <w:r>
        <w:rPr>
          <w:b w:val="0"/>
          <w:i w:val="0"/>
        </w:rPr>
        <w:t xml:space="preserve">; </w:t>
      </w:r>
      <w:hyperlink w:anchor="latin-record-0619">
        <w:r>
          <w:rPr>
            <w:color w:val="000000"/>
          </w:rPr>
          <w:t xml:space="preserve">iudicare / percipere / nescire / nosse / notitia / speculari</w:t>
        </w:r>
      </w:hyperlink>
      <w:r>
        <w:rPr>
          <w:b w:val="0"/>
          <w:i w:val="0"/>
        </w:rPr>
        <w:t xml:space="preserve">; </w:t>
      </w:r>
      <w:hyperlink w:anchor="latin-record-0869">
        <w:r>
          <w:rPr>
            <w:color w:val="000000"/>
          </w:rPr>
          <w:t xml:space="preserve">phantasia</w:t>
        </w:r>
      </w:hyperlink>
      <w:r>
        <w:rPr>
          <w:b w:val="0"/>
          <w:i w:val="0"/>
        </w:rPr>
        <w:t xml:space="preserve">; </w:t>
      </w:r>
      <w:hyperlink w:anchor="latin-record-1014">
        <w:r>
          <w:rPr>
            <w:color w:val="000000"/>
          </w:rPr>
          <w:t xml:space="preserve">quinque sensus / singulatim / summatim</w:t>
        </w:r>
      </w:hyperlink>
      <w:r>
        <w:rPr>
          <w:b w:val="0"/>
          <w:i w:val="0"/>
        </w:rPr>
        <w:t xml:space="preserve">; </w:t>
      </w:r>
      <w:hyperlink w:anchor="latin-record-1022">
        <w:r>
          <w:rPr>
            <w:color w:val="000000"/>
          </w:rPr>
          <w:t xml:space="preserve">ratio / rationalis</w:t>
        </w:r>
      </w:hyperlink>
      <w:r>
        <w:rPr>
          <w:b w:val="0"/>
          <w:i w:val="0"/>
        </w:rPr>
        <w:t xml:space="preserve">; </w:t>
      </w:r>
      <w:hyperlink w:anchor="latin-record-1223">
        <w:r>
          <w:rPr>
            <w:color w:val="000000"/>
          </w:rPr>
          <w:t xml:space="preserve">universalis / universalia</w:t>
        </w:r>
      </w:hyperlink>
      <w:r>
        <w:rPr>
          <w:b w:val="0"/>
          <w:i w:val="0"/>
        </w:rPr>
        <w:t xml:space="preserve">; </w:t>
      </w:r>
      <w:hyperlink w:anchor="latin-record-1257">
        <w:r>
          <w:rPr>
            <w:color w:val="000000"/>
          </w:rPr>
          <w:t xml:space="preserve">videre / visibilis</w:t>
        </w:r>
      </w:hyperlink>
      <w:r>
        <w:rPr>
          <w:b w:val="0"/>
          <w:i w:val="0"/>
        </w:rPr>
        <w:t>.</w:t>
      </w:r>
    </w:p>
    <w:p>
      <w:pPr>
        <w:widowControl/>
      </w:pPr>
      <w:bookmarkStart w:id="1825" w:name="passage-ii-9-17"/>
      <w:bookmarkEnd w:id="1825"/>
      <w:r>
        <w:rPr>
          <w:b/>
          <w:i w:val="0"/>
        </w:rPr>
        <w:t>II.9.17</w:t>
      </w:r>
      <w:r>
        <w:rPr>
          <w:b/>
          <w:i w:val="0"/>
        </w:rPr>
        <w:t>, source pp. 172–173.</w:t>
      </w:r>
      <w:r>
        <w:rPr>
          <w:b w:val="0"/>
          <w:i w:val="0"/>
        </w:rPr>
        <w:t xml:space="preserve"> Articles: </w:t>
      </w:r>
      <w:hyperlink w:anchor="intellect-and-intellection">
        <w:r>
          <w:rPr>
            <w:color w:val="000000"/>
          </w:rPr>
          <w:t xml:space="preserve">Intellect and intellection</w:t>
        </w:r>
      </w:hyperlink>
      <w:r>
        <w:rPr>
          <w:b w:val="0"/>
          <w:i w:val="0"/>
        </w:rPr>
        <w:t xml:space="preserve">; </w:t>
      </w:r>
      <w:hyperlink w:anchor="sense-and-imagination">
        <w:r>
          <w:rPr>
            <w:color w:val="000000"/>
          </w:rPr>
          <w:t xml:space="preserve">Sense and imagination</w:t>
        </w:r>
      </w:hyperlink>
      <w:r>
        <w:rPr>
          <w:b w:val="0"/>
          <w:i w:val="0"/>
        </w:rPr>
        <w:t xml:space="preserve">; </w:t>
      </w:r>
      <w:hyperlink w:anchor="universals-and-individuals">
        <w:r>
          <w:rPr>
            <w:color w:val="000000"/>
          </w:rPr>
          <w:t xml:space="preserve">Universals and individuals</w:t>
        </w:r>
      </w:hyperlink>
      <w:r>
        <w:rPr>
          <w:b w:val="0"/>
          <w:i w:val="0"/>
        </w:rPr>
        <w:t xml:space="preserve">. Vocabulary: </w:t>
      </w:r>
      <w:hyperlink w:anchor="latin-record-0340">
        <w:r>
          <w:rPr>
            <w:color w:val="000000"/>
          </w:rPr>
          <w:t xml:space="preserve">distinguere / dividere / divisio</w:t>
        </w:r>
      </w:hyperlink>
      <w:r>
        <w:rPr>
          <w:b w:val="0"/>
          <w:i w:val="0"/>
        </w:rPr>
        <w:t xml:space="preserve">; </w:t>
      </w:r>
      <w:hyperlink w:anchor="latin-record-0381">
        <w:r>
          <w:rPr>
            <w:color w:val="000000"/>
          </w:rPr>
          <w:t xml:space="preserve">essendi modus</w:t>
        </w:r>
      </w:hyperlink>
      <w:r>
        <w:rPr>
          <w:b w:val="0"/>
          <w:i w:val="0"/>
        </w:rPr>
        <w:t xml:space="preserve">; </w:t>
      </w:r>
      <w:hyperlink w:anchor="latin-record-1223">
        <w:r>
          <w:rPr>
            <w:color w:val="000000"/>
          </w:rPr>
          <w:t xml:space="preserve">universalis / universalia</w:t>
        </w:r>
      </w:hyperlink>
      <w:r>
        <w:rPr>
          <w:b w:val="0"/>
          <w:i w:val="0"/>
        </w:rPr>
        <w:t>.</w:t>
      </w:r>
    </w:p>
    <w:p>
      <w:pPr>
        <w:widowControl/>
      </w:pPr>
      <w:bookmarkStart w:id="1826" w:name="passage-ii-9-18"/>
      <w:bookmarkEnd w:id="1826"/>
      <w:r>
        <w:rPr>
          <w:b/>
          <w:i w:val="0"/>
        </w:rPr>
        <w:t>II.9.18</w:t>
      </w:r>
      <w:r>
        <w:rPr>
          <w:b/>
          <w:i w:val="0"/>
        </w:rPr>
        <w:t>, source pp. 172–173.</w:t>
      </w:r>
      <w:r>
        <w:rPr>
          <w:b w:val="0"/>
          <w:i w:val="0"/>
        </w:rPr>
        <w:t xml:space="preserve"> Articles: </w:t>
      </w:r>
      <w:hyperlink w:anchor="eye-and-gaze">
        <w:r>
          <w:rPr>
            <w:color w:val="000000"/>
          </w:rPr>
          <w:t xml:space="preserve">Eye and gaze</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orpheus-and-divine-names">
        <w:r>
          <w:rPr>
            <w:color w:val="000000"/>
          </w:rPr>
          <w:t xml:space="preserve">Orpheus and divine names</w:t>
        </w:r>
      </w:hyperlink>
      <w:r>
        <w:rPr>
          <w:b w:val="0"/>
          <w:i w:val="0"/>
        </w:rPr>
        <w:t xml:space="preserve">; </w:t>
      </w:r>
      <w:hyperlink w:anchor="universals-and-individuals">
        <w:r>
          <w:rPr>
            <w:color w:val="000000"/>
          </w:rPr>
          <w:t xml:space="preserve">Universals and individuals</w:t>
        </w:r>
      </w:hyperlink>
      <w:r>
        <w:rPr>
          <w:b w:val="0"/>
          <w:i w:val="0"/>
        </w:rPr>
        <w:t xml:space="preserve">. Vocabulary: </w:t>
      </w:r>
      <w:hyperlink w:anchor="latin-record-0624">
        <w:r>
          <w:rPr>
            <w:color w:val="000000"/>
          </w:rPr>
          <w:t xml:space="preserve">Iuppiter / oculus</w:t>
        </w:r>
      </w:hyperlink>
      <w:r>
        <w:rPr>
          <w:b w:val="0"/>
          <w:i w:val="0"/>
        </w:rPr>
        <w:t xml:space="preserve">; </w:t>
      </w:r>
      <w:hyperlink w:anchor="greek-record-08">
        <w:r>
          <w:rPr>
            <w:color w:val="000000"/>
          </w:rPr>
          <w:t xml:space="preserve">The perfect eye of Jupiter</w:t>
        </w:r>
      </w:hyperlink>
      <w:r>
        <w:rPr>
          <w:b w:val="0"/>
          <w:i w:val="0"/>
        </w:rPr>
        <w:t>.</w:t>
      </w:r>
    </w:p>
    <w:p>
      <w:pPr>
        <w:widowControl/>
      </w:pPr>
      <w:bookmarkStart w:id="1827" w:name="passage-ii-9-19"/>
      <w:bookmarkEnd w:id="1827"/>
      <w:r>
        <w:rPr>
          <w:b/>
          <w:i w:val="0"/>
        </w:rPr>
        <w:t>II.9.19</w:t>
      </w:r>
      <w:r>
        <w:rPr>
          <w:b/>
          <w:i w:val="0"/>
        </w:rPr>
        <w:t>, source pp. 172–173.</w:t>
      </w:r>
      <w:r>
        <w:rPr>
          <w:b w:val="0"/>
          <w:i w:val="0"/>
        </w:rPr>
        <w:t xml:space="preserve"> Articles: </w:t>
      </w:r>
      <w:hyperlink w:anchor="eye-and-gaze">
        <w:r>
          <w:rPr>
            <w:color w:val="000000"/>
          </w:rPr>
          <w:t xml:space="preserve">Eye and gaze</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orpheus-and-divine-names">
        <w:r>
          <w:rPr>
            <w:color w:val="000000"/>
          </w:rPr>
          <w:t xml:space="preserve">Orpheus and divine names</w:t>
        </w:r>
      </w:hyperlink>
      <w:r>
        <w:rPr>
          <w:b w:val="0"/>
          <w:i w:val="0"/>
        </w:rPr>
        <w:t xml:space="preserve">; </w:t>
      </w:r>
      <w:hyperlink w:anchor="universals-and-individuals">
        <w:r>
          <w:rPr>
            <w:color w:val="000000"/>
          </w:rPr>
          <w:t xml:space="preserve">Universals and individuals</w:t>
        </w:r>
      </w:hyperlink>
      <w:r>
        <w:rPr>
          <w:b w:val="0"/>
          <w:i w:val="0"/>
        </w:rPr>
        <w:t xml:space="preserve">. Vocabulary: </w:t>
      </w:r>
      <w:hyperlink w:anchor="latin-record-0436">
        <w:r>
          <w:rPr>
            <w:color w:val="000000"/>
          </w:rPr>
          <w:t xml:space="preserve">fatum</w:t>
        </w:r>
      </w:hyperlink>
      <w:r>
        <w:rPr>
          <w:b w:val="0"/>
          <w:i w:val="0"/>
        </w:rPr>
        <w:t xml:space="preserve">; </w:t>
      </w:r>
      <w:hyperlink w:anchor="latin-record-0624">
        <w:r>
          <w:rPr>
            <w:color w:val="000000"/>
          </w:rPr>
          <w:t xml:space="preserve">Iuppiter / oculus</w:t>
        </w:r>
      </w:hyperlink>
      <w:r>
        <w:rPr>
          <w:b w:val="0"/>
          <w:i w:val="0"/>
        </w:rPr>
        <w:t>.</w:t>
      </w:r>
    </w:p>
    <w:p>
      <w:pPr>
        <w:widowControl/>
      </w:pPr>
      <w:bookmarkStart w:id="1828" w:name="passage-ii-9-20"/>
      <w:bookmarkEnd w:id="1828"/>
      <w:r>
        <w:rPr>
          <w:b/>
          <w:i w:val="0"/>
        </w:rPr>
        <w:t>II.9.20</w:t>
      </w:r>
      <w:r>
        <w:rPr>
          <w:b/>
          <w:i w:val="0"/>
        </w:rPr>
        <w:t>, source pp. 172–173.</w:t>
      </w:r>
      <w:r>
        <w:rPr>
          <w:b w:val="0"/>
          <w:i w:val="0"/>
        </w:rPr>
        <w:t xml:space="preserve"> Articles: </w:t>
      </w:r>
      <w:hyperlink w:anchor="image-and-likeness">
        <w:r>
          <w:rPr>
            <w:color w:val="000000"/>
          </w:rPr>
          <w:t xml:space="preserve">Image and likeness</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intuition-and-discourse">
        <w:r>
          <w:rPr>
            <w:color w:val="000000"/>
          </w:rPr>
          <w:t xml:space="preserve">Intuition and discourse</w:t>
        </w:r>
      </w:hyperlink>
      <w:r>
        <w:rPr>
          <w:b w:val="0"/>
          <w:i w:val="0"/>
        </w:rPr>
        <w:t xml:space="preserve">; </w:t>
      </w:r>
      <w:hyperlink w:anchor="precious-and-lowly">
        <w:r>
          <w:rPr>
            <w:color w:val="000000"/>
          </w:rPr>
          <w:t xml:space="preserve">Precious and lowly</w:t>
        </w:r>
      </w:hyperlink>
      <w:r>
        <w:rPr>
          <w:b w:val="0"/>
          <w:i w:val="0"/>
        </w:rPr>
        <w:t xml:space="preserve">; </w:t>
      </w:r>
      <w:hyperlink w:anchor="seeking-possessing-and-distraction">
        <w:r>
          <w:rPr>
            <w:color w:val="000000"/>
          </w:rPr>
          <w:t xml:space="preserve">Seeking possessing and distraction</w:t>
        </w:r>
      </w:hyperlink>
      <w:r>
        <w:rPr>
          <w:b w:val="0"/>
          <w:i w:val="0"/>
        </w:rPr>
        <w:t xml:space="preserve">; </w:t>
      </w:r>
      <w:hyperlink w:anchor="self-knowledge">
        <w:r>
          <w:rPr>
            <w:color w:val="000000"/>
          </w:rPr>
          <w:t xml:space="preserve">Self knowledge</w:t>
        </w:r>
      </w:hyperlink>
      <w:r>
        <w:rPr>
          <w:b w:val="0"/>
          <w:i w:val="0"/>
        </w:rPr>
        <w:t xml:space="preserve">; </w:t>
      </w:r>
      <w:hyperlink w:anchor="universals-and-individuals">
        <w:r>
          <w:rPr>
            <w:color w:val="000000"/>
          </w:rPr>
          <w:t xml:space="preserve">Universals and individuals</w:t>
        </w:r>
      </w:hyperlink>
      <w:r>
        <w:rPr>
          <w:b w:val="0"/>
          <w:i w:val="0"/>
        </w:rPr>
        <w:t xml:space="preserve">. Vocabulary: </w:t>
      </w:r>
      <w:hyperlink w:anchor="latin-record-0288">
        <w:r>
          <w:rPr>
            <w:color w:val="000000"/>
          </w:rPr>
          <w:t xml:space="preserve">cura / labor / facilis</w:t>
        </w:r>
      </w:hyperlink>
      <w:r>
        <w:rPr>
          <w:b w:val="0"/>
          <w:i w:val="0"/>
        </w:rPr>
        <w:t xml:space="preserve">; </w:t>
      </w:r>
      <w:hyperlink w:anchor="latin-record-0342">
        <w:r>
          <w:rPr>
            <w:color w:val="000000"/>
          </w:rPr>
          <w:t xml:space="preserve">distrahere / divertere / possidere</w:t>
        </w:r>
      </w:hyperlink>
      <w:r>
        <w:rPr>
          <w:b w:val="0"/>
          <w:i w:val="0"/>
        </w:rPr>
        <w:t xml:space="preserve">; </w:t>
      </w:r>
      <w:hyperlink w:anchor="latin-record-0374">
        <w:r>
          <w:rPr>
            <w:color w:val="000000"/>
          </w:rPr>
          <w:t xml:space="preserve">Epicureus / Epicurus / Averroes</w:t>
        </w:r>
      </w:hyperlink>
      <w:r>
        <w:rPr>
          <w:b w:val="0"/>
          <w:i w:val="0"/>
        </w:rPr>
        <w:t xml:space="preserve">; </w:t>
      </w:r>
      <w:hyperlink w:anchor="latin-record-0443">
        <w:r>
          <w:rPr>
            <w:color w:val="000000"/>
          </w:rPr>
          <w:t xml:space="preserve">fides adhibita</w:t>
        </w:r>
      </w:hyperlink>
      <w:r>
        <w:rPr>
          <w:b w:val="0"/>
          <w:i w:val="0"/>
        </w:rPr>
        <w:t xml:space="preserve">; </w:t>
      </w:r>
      <w:hyperlink w:anchor="latin-record-0490">
        <w:r>
          <w:rPr>
            <w:color w:val="000000"/>
          </w:rPr>
          <w:t xml:space="preserve">gravior / levior</w:t>
        </w:r>
      </w:hyperlink>
      <w:r>
        <w:rPr>
          <w:b w:val="0"/>
          <w:i w:val="0"/>
        </w:rPr>
        <w:t xml:space="preserve">; </w:t>
      </w:r>
      <w:hyperlink w:anchor="latin-record-0609">
        <w:r>
          <w:rPr>
            <w:color w:val="000000"/>
          </w:rPr>
          <w:t xml:space="preserve">intuitus / intueri / conspicere</w:t>
        </w:r>
      </w:hyperlink>
      <w:r>
        <w:rPr>
          <w:b w:val="0"/>
          <w:i w:val="0"/>
        </w:rPr>
        <w:t xml:space="preserve">; </w:t>
      </w:r>
      <w:hyperlink w:anchor="latin-record-0619">
        <w:r>
          <w:rPr>
            <w:color w:val="000000"/>
          </w:rPr>
          <w:t xml:space="preserve">iudicare / percipere / nescire / nosse / notitia / speculari</w:t>
        </w:r>
      </w:hyperlink>
      <w:r>
        <w:rPr>
          <w:b w:val="0"/>
          <w:i w:val="0"/>
        </w:rPr>
        <w:t xml:space="preserve">; </w:t>
      </w:r>
      <w:hyperlink w:anchor="latin-record-0665">
        <w:r>
          <w:rPr>
            <w:color w:val="000000"/>
          </w:rPr>
          <w:t xml:space="preserve">maiestas / indignus</w:t>
        </w:r>
      </w:hyperlink>
      <w:r>
        <w:rPr>
          <w:b w:val="0"/>
          <w:i w:val="0"/>
        </w:rPr>
        <w:t xml:space="preserve">; </w:t>
      </w:r>
      <w:hyperlink w:anchor="latin-record-0999">
        <w:r>
          <w:rPr>
            <w:color w:val="000000"/>
          </w:rPr>
          <w:t xml:space="preserve">quaerere / interrogare</w:t>
        </w:r>
      </w:hyperlink>
      <w:r>
        <w:rPr>
          <w:b w:val="0"/>
          <w:i w:val="0"/>
        </w:rPr>
        <w:t xml:space="preserve">; </w:t>
      </w:r>
      <w:hyperlink w:anchor="latin-record-1128">
        <w:r>
          <w:rPr>
            <w:color w:val="000000"/>
          </w:rPr>
          <w:t xml:space="preserve">speculum / imago</w:t>
        </w:r>
      </w:hyperlink>
      <w:r>
        <w:rPr>
          <w:b w:val="0"/>
          <w:i w:val="0"/>
        </w:rPr>
        <w:t xml:space="preserve">; </w:t>
      </w:r>
      <w:hyperlink w:anchor="latin-record-1261">
        <w:r>
          <w:rPr>
            <w:color w:val="000000"/>
          </w:rPr>
          <w:t xml:space="preserve">vilis / pretiosus / nobilis</w:t>
        </w:r>
      </w:hyperlink>
      <w:r>
        <w:rPr>
          <w:b w:val="0"/>
          <w:i w:val="0"/>
        </w:rPr>
        <w:t>.</w:t>
      </w:r>
    </w:p>
    <w:p>
      <w:pPr>
        <w:widowControl/>
      </w:pPr>
      <w:bookmarkStart w:id="1829" w:name="passage-ii-9-21"/>
      <w:bookmarkEnd w:id="1829"/>
      <w:r>
        <w:rPr>
          <w:b/>
          <w:i w:val="0"/>
        </w:rPr>
        <w:t>II.9.21</w:t>
      </w:r>
      <w:r>
        <w:rPr>
          <w:b/>
          <w:i w:val="0"/>
        </w:rPr>
        <w:t>, source pp. 174–175.</w:t>
      </w:r>
      <w:r>
        <w:rPr>
          <w:b w:val="0"/>
          <w:i w:val="0"/>
        </w:rPr>
        <w:t xml:space="preserve"> Articles: </w:t>
      </w:r>
      <w:hyperlink w:anchor="eye-and-gaze">
        <w:r>
          <w:rPr>
            <w:color w:val="000000"/>
          </w:rPr>
          <w:t xml:space="preserve">Eye and gaze</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order-and-harmony">
        <w:r>
          <w:rPr>
            <w:color w:val="000000"/>
          </w:rPr>
          <w:t xml:space="preserve">Order and harmony</w:t>
        </w:r>
      </w:hyperlink>
      <w:r>
        <w:rPr>
          <w:b w:val="0"/>
          <w:i w:val="0"/>
        </w:rPr>
        <w:t xml:space="preserve">; </w:t>
      </w:r>
      <w:hyperlink w:anchor="precious-and-lowly">
        <w:r>
          <w:rPr>
            <w:color w:val="000000"/>
          </w:rPr>
          <w:t xml:space="preserve">Precious and lowly</w:t>
        </w:r>
      </w:hyperlink>
      <w:r>
        <w:rPr>
          <w:b w:val="0"/>
          <w:i w:val="0"/>
        </w:rPr>
        <w:t xml:space="preserve">; </w:t>
      </w:r>
      <w:hyperlink w:anchor="seeking-possessing-and-distraction">
        <w:r>
          <w:rPr>
            <w:color w:val="000000"/>
          </w:rPr>
          <w:t xml:space="preserve">Seeking possessing and distraction</w:t>
        </w:r>
      </w:hyperlink>
      <w:r>
        <w:rPr>
          <w:b w:val="0"/>
          <w:i w:val="0"/>
        </w:rPr>
        <w:t xml:space="preserve">; </w:t>
      </w:r>
      <w:hyperlink w:anchor="self-knowledge">
        <w:r>
          <w:rPr>
            <w:color w:val="000000"/>
          </w:rPr>
          <w:t xml:space="preserve">Self knowledge</w:t>
        </w:r>
      </w:hyperlink>
      <w:r>
        <w:rPr>
          <w:b w:val="0"/>
          <w:i w:val="0"/>
        </w:rPr>
        <w:t xml:space="preserve">; </w:t>
      </w:r>
      <w:hyperlink w:anchor="universals-and-individuals">
        <w:r>
          <w:rPr>
            <w:color w:val="000000"/>
          </w:rPr>
          <w:t xml:space="preserve">Universals and individuals</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095">
        <w:r>
          <w:rPr>
            <w:color w:val="000000"/>
          </w:rPr>
          <w:t xml:space="preserve">Aristoteles / Divinorum</w:t>
        </w:r>
      </w:hyperlink>
      <w:r>
        <w:rPr>
          <w:b w:val="0"/>
          <w:i w:val="0"/>
        </w:rPr>
        <w:t xml:space="preserve">; </w:t>
      </w:r>
      <w:hyperlink w:anchor="latin-record-0258">
        <w:r>
          <w:rPr>
            <w:color w:val="000000"/>
          </w:rPr>
          <w:t xml:space="preserve">constare / consistere / constituere</w:t>
        </w:r>
      </w:hyperlink>
      <w:r>
        <w:rPr>
          <w:b w:val="0"/>
          <w:i w:val="0"/>
        </w:rPr>
        <w:t xml:space="preserve">; </w:t>
      </w:r>
      <w:hyperlink w:anchor="latin-record-0374">
        <w:r>
          <w:rPr>
            <w:color w:val="000000"/>
          </w:rPr>
          <w:t xml:space="preserve">Epicureus / Epicurus / Averroes</w:t>
        </w:r>
      </w:hyperlink>
      <w:r>
        <w:rPr>
          <w:b w:val="0"/>
          <w:i w:val="0"/>
        </w:rPr>
        <w:t xml:space="preserve">; </w:t>
      </w:r>
      <w:hyperlink w:anchor="latin-record-0375">
        <w:r>
          <w:rPr>
            <w:color w:val="000000"/>
          </w:rPr>
          <w:t xml:space="preserve">error / impius / profanus</w:t>
        </w:r>
      </w:hyperlink>
      <w:r>
        <w:rPr>
          <w:b w:val="0"/>
          <w:i w:val="0"/>
        </w:rPr>
        <w:t xml:space="preserve">; </w:t>
      </w:r>
      <w:hyperlink w:anchor="latin-record-0433">
        <w:r>
          <w:rPr>
            <w:color w:val="000000"/>
          </w:rPr>
          <w:t xml:space="preserve">fateri / negare / affirmare</w:t>
        </w:r>
      </w:hyperlink>
      <w:r>
        <w:rPr>
          <w:b w:val="0"/>
          <w:i w:val="0"/>
        </w:rPr>
        <w:t xml:space="preserve">; </w:t>
      </w:r>
      <w:hyperlink w:anchor="latin-record-0521">
        <w:r>
          <w:rPr>
            <w:color w:val="000000"/>
          </w:rPr>
          <w:t xml:space="preserve">ignis / sol / caelum / stella</w:t>
        </w:r>
      </w:hyperlink>
      <w:r>
        <w:rPr>
          <w:b w:val="0"/>
          <w:i w:val="0"/>
        </w:rPr>
        <w:t xml:space="preserve">; </w:t>
      </w:r>
      <w:hyperlink w:anchor="latin-record-0604">
        <w:r>
          <w:rPr>
            <w:color w:val="000000"/>
          </w:rPr>
          <w:t xml:space="preserve">intervallum / mensura</w:t>
        </w:r>
      </w:hyperlink>
      <w:r>
        <w:rPr>
          <w:b w:val="0"/>
          <w:i w:val="0"/>
        </w:rPr>
        <w:t xml:space="preserve">; </w:t>
      </w:r>
      <w:hyperlink w:anchor="latin-record-0609">
        <w:r>
          <w:rPr>
            <w:color w:val="000000"/>
          </w:rPr>
          <w:t xml:space="preserve">intuitus / intueri / conspicere</w:t>
        </w:r>
      </w:hyperlink>
      <w:r>
        <w:rPr>
          <w:b w:val="0"/>
          <w:i w:val="0"/>
        </w:rPr>
        <w:t xml:space="preserve">; </w:t>
      </w:r>
      <w:hyperlink w:anchor="latin-record-0624">
        <w:r>
          <w:rPr>
            <w:color w:val="000000"/>
          </w:rPr>
          <w:t xml:space="preserve">Iuppiter / oculus</w:t>
        </w:r>
      </w:hyperlink>
      <w:r>
        <w:rPr>
          <w:b w:val="0"/>
          <w:i w:val="0"/>
        </w:rPr>
        <w:t xml:space="preserve">; </w:t>
      </w:r>
      <w:hyperlink w:anchor="latin-record-0824">
        <w:r>
          <w:rPr>
            <w:color w:val="000000"/>
          </w:rPr>
          <w:t xml:space="preserve">pars / totus</w:t>
        </w:r>
      </w:hyperlink>
      <w:r>
        <w:rPr>
          <w:b w:val="0"/>
          <w:i w:val="0"/>
        </w:rPr>
        <w:t xml:space="preserve">; </w:t>
      </w:r>
      <w:hyperlink w:anchor="latin-record-0958">
        <w:r>
          <w:rPr>
            <w:color w:val="000000"/>
          </w:rPr>
          <w:t xml:space="preserve">proportio / consonare</w:t>
        </w:r>
      </w:hyperlink>
      <w:r>
        <w:rPr>
          <w:b w:val="0"/>
          <w:i w:val="0"/>
        </w:rPr>
        <w:t xml:space="preserve">; </w:t>
      </w:r>
      <w:hyperlink w:anchor="latin-record-1033">
        <w:r>
          <w:rPr>
            <w:color w:val="000000"/>
          </w:rPr>
          <w:t xml:space="preserve">redigere / colligere / referre</w:t>
        </w:r>
      </w:hyperlink>
      <w:r>
        <w:rPr>
          <w:b w:val="0"/>
          <w:i w:val="0"/>
        </w:rPr>
        <w:t xml:space="preserve">; </w:t>
      </w:r>
      <w:hyperlink w:anchor="latin-record-1261">
        <w:r>
          <w:rPr>
            <w:color w:val="000000"/>
          </w:rPr>
          <w:t xml:space="preserve">vilis / pretiosus / nobilis</w:t>
        </w:r>
      </w:hyperlink>
      <w:r>
        <w:rPr>
          <w:b w:val="0"/>
          <w:i w:val="0"/>
        </w:rPr>
        <w:t>.</w:t>
      </w:r>
    </w:p>
    <w:p>
      <w:pPr>
        <w:widowControl/>
      </w:pPr>
      <w:bookmarkStart w:id="1830" w:name="passage-ii-9-22"/>
      <w:bookmarkEnd w:id="1830"/>
      <w:r>
        <w:rPr>
          <w:b/>
          <w:i w:val="0"/>
        </w:rPr>
        <w:t>II.9.22</w:t>
      </w:r>
      <w:r>
        <w:rPr>
          <w:b/>
          <w:i w:val="0"/>
        </w:rPr>
        <w:t>, source pp. 174–175.</w:t>
      </w:r>
      <w:r>
        <w:rPr>
          <w:b w:val="0"/>
          <w:i w:val="0"/>
        </w:rPr>
        <w:t xml:space="preserve"> Articles: </w:t>
      </w:r>
      <w:hyperlink w:anchor="intuition-and-comprehension">
        <w:r>
          <w:rPr>
            <w:color w:val="000000"/>
          </w:rPr>
          <w:t xml:space="preserve">Intuition and comprehension</w:t>
        </w:r>
      </w:hyperlink>
      <w:r>
        <w:rPr>
          <w:b w:val="0"/>
          <w:i w:val="0"/>
        </w:rPr>
        <w:t xml:space="preserve">; </w:t>
      </w:r>
      <w:hyperlink w:anchor="order-and-harmony">
        <w:r>
          <w:rPr>
            <w:color w:val="000000"/>
          </w:rPr>
          <w:t xml:space="preserve">Order and harmony</w:t>
        </w:r>
      </w:hyperlink>
      <w:r>
        <w:rPr>
          <w:b w:val="0"/>
          <w:i w:val="0"/>
        </w:rPr>
        <w:t xml:space="preserve">; </w:t>
      </w:r>
      <w:hyperlink w:anchor="orpheus-and-divine-names">
        <w:r>
          <w:rPr>
            <w:color w:val="000000"/>
          </w:rPr>
          <w:t xml:space="preserve">Orpheus and divine names</w:t>
        </w:r>
      </w:hyperlink>
      <w:r>
        <w:rPr>
          <w:b w:val="0"/>
          <w:i w:val="0"/>
        </w:rPr>
        <w:t xml:space="preserve">; </w:t>
      </w:r>
      <w:hyperlink w:anchor="precious-and-lowly">
        <w:r>
          <w:rPr>
            <w:color w:val="000000"/>
          </w:rPr>
          <w:t xml:space="preserve">Precious and lowly</w:t>
        </w:r>
      </w:hyperlink>
      <w:r>
        <w:rPr>
          <w:b w:val="0"/>
          <w:i w:val="0"/>
        </w:rPr>
        <w:t xml:space="preserve">; </w:t>
      </w:r>
      <w:hyperlink w:anchor="universals-and-individuals">
        <w:r>
          <w:rPr>
            <w:color w:val="000000"/>
          </w:rPr>
          <w:t xml:space="preserve">Universals and individuals</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081">
        <w:r>
          <w:rPr>
            <w:color w:val="000000"/>
          </w:rPr>
          <w:t xml:space="preserve">Apollo / cithara / contemperare</w:t>
        </w:r>
      </w:hyperlink>
      <w:r>
        <w:rPr>
          <w:b w:val="0"/>
          <w:i w:val="0"/>
        </w:rPr>
        <w:t xml:space="preserve">; </w:t>
      </w:r>
      <w:hyperlink w:anchor="latin-record-0249">
        <w:r>
          <w:rPr>
            <w:color w:val="000000"/>
          </w:rPr>
          <w:t xml:space="preserve">considerare / comparare</w:t>
        </w:r>
      </w:hyperlink>
      <w:r>
        <w:rPr>
          <w:b w:val="0"/>
          <w:i w:val="0"/>
        </w:rPr>
        <w:t xml:space="preserve">; </w:t>
      </w:r>
      <w:hyperlink w:anchor="latin-record-0316">
        <w:r>
          <w:rPr>
            <w:color w:val="000000"/>
          </w:rPr>
          <w:t xml:space="preserve">dicere / vocare / appellare</w:t>
        </w:r>
      </w:hyperlink>
      <w:r>
        <w:rPr>
          <w:b w:val="0"/>
          <w:i w:val="0"/>
        </w:rPr>
        <w:t xml:space="preserve">; </w:t>
      </w:r>
      <w:hyperlink w:anchor="latin-record-0423">
        <w:r>
          <w:rPr>
            <w:color w:val="000000"/>
          </w:rPr>
          <w:t xml:space="preserve">fabricare / construere / conficere</w:t>
        </w:r>
      </w:hyperlink>
      <w:r>
        <w:rPr>
          <w:b w:val="0"/>
          <w:i w:val="0"/>
        </w:rPr>
        <w:t xml:space="preserve">; </w:t>
      </w:r>
      <w:hyperlink w:anchor="latin-record-0453">
        <w:r>
          <w:rPr>
            <w:color w:val="000000"/>
          </w:rPr>
          <w:t xml:space="preserve">florere / virescere</w:t>
        </w:r>
      </w:hyperlink>
      <w:r>
        <w:rPr>
          <w:b w:val="0"/>
          <w:i w:val="0"/>
        </w:rPr>
        <w:t xml:space="preserve">; </w:t>
      </w:r>
      <w:hyperlink w:anchor="latin-record-0465">
        <w:r>
          <w:rPr>
            <w:color w:val="000000"/>
          </w:rPr>
          <w:t xml:space="preserve">formosus / exactus / ars</w:t>
        </w:r>
      </w:hyperlink>
      <w:r>
        <w:rPr>
          <w:b w:val="0"/>
          <w:i w:val="0"/>
        </w:rPr>
        <w:t xml:space="preserve">; </w:t>
      </w:r>
      <w:hyperlink w:anchor="latin-record-0517">
        <w:r>
          <w:rPr>
            <w:color w:val="000000"/>
          </w:rPr>
          <w:t xml:space="preserve">hymnus / theologia / sacerdos</w:t>
        </w:r>
      </w:hyperlink>
      <w:r>
        <w:rPr>
          <w:b w:val="0"/>
          <w:i w:val="0"/>
        </w:rPr>
        <w:t xml:space="preserve">; </w:t>
      </w:r>
      <w:hyperlink w:anchor="latin-record-0685">
        <w:r>
          <w:rPr>
            <w:color w:val="000000"/>
          </w:rPr>
          <w:t xml:space="preserve">memorare / respondere / docere</w:t>
        </w:r>
      </w:hyperlink>
      <w:r>
        <w:rPr>
          <w:b w:val="0"/>
          <w:i w:val="0"/>
        </w:rPr>
        <w:t xml:space="preserve">; </w:t>
      </w:r>
      <w:hyperlink w:anchor="latin-record-0807">
        <w:r>
          <w:rPr>
            <w:color w:val="000000"/>
          </w:rPr>
          <w:t xml:space="preserve">ordinare / ordinator / ordo</w:t>
        </w:r>
      </w:hyperlink>
      <w:r>
        <w:rPr>
          <w:b w:val="0"/>
          <w:i w:val="0"/>
        </w:rPr>
        <w:t xml:space="preserve">; </w:t>
      </w:r>
      <w:hyperlink w:anchor="latin-record-0958">
        <w:r>
          <w:rPr>
            <w:color w:val="000000"/>
          </w:rPr>
          <w:t xml:space="preserve">proportio / consonare</w:t>
        </w:r>
      </w:hyperlink>
      <w:r>
        <w:rPr>
          <w:b w:val="0"/>
          <w:i w:val="0"/>
        </w:rPr>
        <w:t xml:space="preserve">; </w:t>
      </w:r>
      <w:hyperlink w:anchor="latin-record-0992">
        <w:r>
          <w:rPr>
            <w:color w:val="000000"/>
          </w:rPr>
          <w:t xml:space="preserve">putare / videri as appearance</w:t>
        </w:r>
      </w:hyperlink>
      <w:r>
        <w:rPr>
          <w:b w:val="0"/>
          <w:i w:val="0"/>
        </w:rPr>
        <w:t xml:space="preserve">; </w:t>
      </w:r>
      <w:hyperlink w:anchor="latin-record-1129">
        <w:r>
          <w:rPr>
            <w:color w:val="000000"/>
          </w:rPr>
          <w:t xml:space="preserve">sphaera</w:t>
        </w:r>
      </w:hyperlink>
      <w:r>
        <w:rPr>
          <w:b w:val="0"/>
          <w:i w:val="0"/>
        </w:rPr>
        <w:t xml:space="preserve">; </w:t>
      </w:r>
      <w:hyperlink w:anchor="latin-record-1148">
        <w:r>
          <w:rPr>
            <w:color w:val="000000"/>
          </w:rPr>
          <w:t xml:space="preserve">stultus / sapienter / perspicue / vulgo / gratia / idealis</w:t>
        </w:r>
      </w:hyperlink>
      <w:r>
        <w:rPr>
          <w:b w:val="0"/>
          <w:i w:val="0"/>
        </w:rPr>
        <w:t xml:space="preserve">; </w:t>
      </w:r>
      <w:hyperlink w:anchor="latin-record-1261">
        <w:r>
          <w:rPr>
            <w:color w:val="000000"/>
          </w:rPr>
          <w:t xml:space="preserve">vilis / pretiosus / nobilis</w:t>
        </w:r>
      </w:hyperlink>
      <w:r>
        <w:rPr>
          <w:b w:val="0"/>
          <w:i w:val="0"/>
        </w:rPr>
        <w:t xml:space="preserve">; </w:t>
      </w:r>
      <w:hyperlink w:anchor="greek-record-09">
        <w:r>
          <w:rPr>
            <w:color w:val="000000"/>
          </w:rPr>
          <w:t xml:space="preserve">The bounds of the world and cosmic tuning</w:t>
        </w:r>
      </w:hyperlink>
      <w:r>
        <w:rPr>
          <w:b w:val="0"/>
          <w:i w:val="0"/>
        </w:rPr>
        <w:t>.</w:t>
      </w:r>
    </w:p>
    <w:p>
      <w:bookmarkStart w:id="1831" w:name="chapter-ii.10"/>
      <w:pPr>
        <w:pStyle w:val="Heading2"/>
      </w:pPr>
      <w:r>
        <w:rPr>
          <w:b w:val="0"/>
          <w:i w:val="0"/>
        </w:rPr>
        <w:t>Chapter II.10</w:t>
      </w:r>
      <w:bookmarkEnd w:id="1831"/>
    </w:p>
    <w:p>
      <w:pPr>
        <w:widowControl/>
      </w:pPr>
      <w:bookmarkStart w:id="1832" w:name="passage-ii-10-1"/>
      <w:bookmarkEnd w:id="1832"/>
      <w:r>
        <w:rPr>
          <w:b/>
          <w:i w:val="0"/>
        </w:rPr>
        <w:t>II.10.1</w:t>
      </w:r>
      <w:r>
        <w:rPr>
          <w:b/>
          <w:i w:val="0"/>
        </w:rPr>
        <w:t>, source pp. 176–177.</w:t>
      </w:r>
      <w:r>
        <w:rPr>
          <w:b w:val="0"/>
          <w:i w:val="0"/>
        </w:rPr>
        <w:t xml:space="preserve"> Articles: </w:t>
      </w:r>
      <w:hyperlink w:anchor="god">
        <w:r>
          <w:rPr>
            <w:color w:val="000000"/>
          </w:rPr>
          <w:t xml:space="preserve">God</w:t>
        </w:r>
      </w:hyperlink>
      <w:r>
        <w:rPr>
          <w:b w:val="0"/>
          <w:i w:val="0"/>
        </w:rPr>
        <w:t xml:space="preserve">; </w:t>
      </w:r>
      <w:hyperlink w:anchor="infinity">
        <w:r>
          <w:rPr>
            <w:color w:val="000000"/>
          </w:rPr>
          <w:t xml:space="preserve">Infinity</w:t>
        </w:r>
      </w:hyperlink>
      <w:r>
        <w:rPr>
          <w:b w:val="0"/>
          <w:i w:val="0"/>
        </w:rPr>
        <w:t xml:space="preserve">; </w:t>
      </w:r>
      <w:hyperlink w:anchor="universals-and-individuals">
        <w:r>
          <w:rPr>
            <w:color w:val="000000"/>
          </w:rPr>
          <w:t xml:space="preserve">Universals and individuals</w:t>
        </w:r>
      </w:hyperlink>
      <w:r>
        <w:rPr>
          <w:b w:val="0"/>
          <w:i w:val="0"/>
        </w:rPr>
        <w:t xml:space="preserve">. Vocabulary: </w:t>
      </w:r>
      <w:hyperlink w:anchor="latin-record-1113">
        <w:r>
          <w:rPr>
            <w:color w:val="000000"/>
          </w:rPr>
          <w:t xml:space="preserve">singulus / minimus / infimus</w:t>
        </w:r>
      </w:hyperlink>
      <w:r>
        <w:rPr>
          <w:b w:val="0"/>
          <w:i w:val="0"/>
        </w:rPr>
        <w:t xml:space="preserve">; </w:t>
      </w:r>
      <w:hyperlink w:anchor="latin-record-1247">
        <w:r>
          <w:rPr>
            <w:color w:val="000000"/>
          </w:rPr>
          <w:t xml:space="preserve">vero / verum: connectives</w:t>
        </w:r>
      </w:hyperlink>
      <w:r>
        <w:rPr>
          <w:b w:val="0"/>
          <w:i w:val="0"/>
        </w:rPr>
        <w:t>.</w:t>
      </w:r>
    </w:p>
    <w:p>
      <w:pPr>
        <w:widowControl/>
      </w:pPr>
      <w:bookmarkStart w:id="1833" w:name="passage-ii-10-2"/>
      <w:bookmarkEnd w:id="1833"/>
      <w:r>
        <w:rPr>
          <w:b/>
          <w:i w:val="0"/>
        </w:rPr>
        <w:t>II.10.2</w:t>
      </w:r>
      <w:r>
        <w:rPr>
          <w:b/>
          <w:i w:val="0"/>
        </w:rPr>
        <w:t>, source pp. 176–177.</w:t>
      </w:r>
      <w:r>
        <w:rPr>
          <w:b w:val="0"/>
          <w:i w:val="0"/>
        </w:rPr>
        <w:t xml:space="preserve"> Articles: </w:t>
      </w:r>
      <w:hyperlink w:anchor="infinity">
        <w:r>
          <w:rPr>
            <w:color w:val="000000"/>
          </w:rPr>
          <w:t xml:space="preserve">Infinity</w:t>
        </w:r>
      </w:hyperlink>
      <w:r>
        <w:rPr>
          <w:b w:val="0"/>
          <w:i w:val="0"/>
        </w:rPr>
        <w:t xml:space="preserve">; </w:t>
      </w:r>
      <w:hyperlink w:anchor="power-and-potency">
        <w:r>
          <w:rPr>
            <w:color w:val="000000"/>
          </w:rPr>
          <w:t xml:space="preserve">Power and potency</w:t>
        </w:r>
      </w:hyperlink>
      <w:r>
        <w:rPr>
          <w:b w:val="0"/>
          <w:i w:val="0"/>
        </w:rPr>
        <w:t xml:space="preserve">; </w:t>
      </w:r>
      <w:hyperlink w:anchor="self-knowledge">
        <w:r>
          <w:rPr>
            <w:color w:val="000000"/>
          </w:rPr>
          <w:t xml:space="preserve">Self knowledge</w:t>
        </w:r>
      </w:hyperlink>
      <w:r>
        <w:rPr>
          <w:b w:val="0"/>
          <w:i w:val="0"/>
        </w:rPr>
        <w:t xml:space="preserve">. Vocabulary: </w:t>
      </w:r>
      <w:hyperlink w:anchor="latin-record-0249">
        <w:r>
          <w:rPr>
            <w:color w:val="000000"/>
          </w:rPr>
          <w:t xml:space="preserve">considerare / comparare</w:t>
        </w:r>
      </w:hyperlink>
      <w:r>
        <w:rPr>
          <w:b w:val="0"/>
          <w:i w:val="0"/>
        </w:rPr>
        <w:t xml:space="preserve">; </w:t>
      </w:r>
      <w:hyperlink w:anchor="latin-record-0412">
        <w:r>
          <w:rPr>
            <w:color w:val="000000"/>
          </w:rPr>
          <w:t xml:space="preserve">extendere / extensio</w:t>
        </w:r>
      </w:hyperlink>
      <w:r>
        <w:rPr>
          <w:b w:val="0"/>
          <w:i w:val="0"/>
        </w:rPr>
        <w:t xml:space="preserve">; </w:t>
      </w:r>
      <w:hyperlink w:anchor="latin-record-0770">
        <w:r>
          <w:rPr>
            <w:color w:val="000000"/>
          </w:rPr>
          <w:t xml:space="preserve">noscere / cognoscere / dinoscere</w:t>
        </w:r>
      </w:hyperlink>
      <w:r>
        <w:rPr>
          <w:b w:val="0"/>
          <w:i w:val="0"/>
        </w:rPr>
        <w:t xml:space="preserve">; </w:t>
      </w:r>
      <w:hyperlink w:anchor="latin-record-0899">
        <w:r>
          <w:rPr>
            <w:color w:val="000000"/>
          </w:rPr>
          <w:t xml:space="preserve">potentia / potestas / virtus</w:t>
        </w:r>
      </w:hyperlink>
      <w:r>
        <w:rPr>
          <w:b w:val="0"/>
          <w:i w:val="0"/>
        </w:rPr>
        <w:t>.</w:t>
      </w:r>
    </w:p>
    <w:p>
      <w:pPr>
        <w:widowControl/>
      </w:pPr>
      <w:bookmarkStart w:id="1834" w:name="passage-ii-10-3"/>
      <w:bookmarkEnd w:id="1834"/>
      <w:r>
        <w:rPr>
          <w:b/>
          <w:i w:val="0"/>
        </w:rPr>
        <w:t>II.10.3</w:t>
      </w:r>
      <w:r>
        <w:rPr>
          <w:b/>
          <w:i w:val="0"/>
        </w:rPr>
        <w:t>, source pp. 176–177.</w:t>
      </w:r>
      <w:r>
        <w:rPr>
          <w:b w:val="0"/>
          <w:i w:val="0"/>
        </w:rPr>
        <w:t xml:space="preserve"> Articles: </w:t>
      </w:r>
      <w:hyperlink w:anchor="infinity">
        <w:r>
          <w:rPr>
            <w:color w:val="000000"/>
          </w:rPr>
          <w:t xml:space="preserve">Infinity</w:t>
        </w:r>
      </w:hyperlink>
      <w:r>
        <w:rPr>
          <w:b w:val="0"/>
          <w:i w:val="0"/>
        </w:rPr>
        <w:t xml:space="preserve">; </w:t>
      </w:r>
      <w:hyperlink w:anchor="matter">
        <w:r>
          <w:rPr>
            <w:color w:val="000000"/>
          </w:rPr>
          <w:t xml:space="preserve">Matter</w:t>
        </w:r>
      </w:hyperlink>
      <w:r>
        <w:rPr>
          <w:b w:val="0"/>
          <w:i w:val="0"/>
        </w:rPr>
        <w:t xml:space="preserve">; </w:t>
      </w:r>
      <w:hyperlink w:anchor="number">
        <w:r>
          <w:rPr>
            <w:color w:val="000000"/>
          </w:rPr>
          <w:t xml:space="preserve">Number</w:t>
        </w:r>
      </w:hyperlink>
      <w:r>
        <w:rPr>
          <w:b w:val="0"/>
          <w:i w:val="0"/>
        </w:rPr>
        <w:t xml:space="preserve">; </w:t>
      </w:r>
      <w:hyperlink w:anchor="power-and-potency">
        <w:r>
          <w:rPr>
            <w:color w:val="000000"/>
          </w:rPr>
          <w:t xml:space="preserve">Power and potency</w:t>
        </w:r>
      </w:hyperlink>
      <w:r>
        <w:rPr>
          <w:b w:val="0"/>
          <w:i w:val="0"/>
        </w:rPr>
        <w:t xml:space="preserve">; </w:t>
      </w:r>
      <w:hyperlink w:anchor="self-knowledge">
        <w:r>
          <w:rPr>
            <w:color w:val="000000"/>
          </w:rPr>
          <w:t xml:space="preserve">Self knowledge</w:t>
        </w:r>
      </w:hyperlink>
      <w:r>
        <w:rPr>
          <w:b w:val="0"/>
          <w:i w:val="0"/>
        </w:rPr>
        <w:t xml:space="preserve">. Vocabulary: </w:t>
      </w:r>
      <w:hyperlink w:anchor="latin-record-0139">
        <w:r>
          <w:rPr>
            <w:color w:val="000000"/>
          </w:rPr>
          <w:t xml:space="preserve">capacitas / capax</w:t>
        </w:r>
      </w:hyperlink>
      <w:r>
        <w:rPr>
          <w:b w:val="0"/>
          <w:i w:val="0"/>
        </w:rPr>
        <w:t xml:space="preserve">; </w:t>
      </w:r>
      <w:hyperlink w:anchor="latin-record-0140">
        <w:r>
          <w:rPr>
            <w:color w:val="000000"/>
          </w:rPr>
          <w:t xml:space="preserve">capacitas materiae / continuum / multiplicatio</w:t>
        </w:r>
      </w:hyperlink>
      <w:r>
        <w:rPr>
          <w:b w:val="0"/>
          <w:i w:val="0"/>
        </w:rPr>
        <w:t xml:space="preserve">; </w:t>
      </w:r>
      <w:hyperlink w:anchor="latin-record-0339">
        <w:r>
          <w:rPr>
            <w:color w:val="000000"/>
          </w:rPr>
          <w:t xml:space="preserve">distincte / clare / plane</w:t>
        </w:r>
      </w:hyperlink>
      <w:r>
        <w:rPr>
          <w:b w:val="0"/>
          <w:i w:val="0"/>
        </w:rPr>
        <w:t xml:space="preserve">; </w:t>
      </w:r>
      <w:hyperlink w:anchor="latin-record-0378">
        <w:r>
          <w:rPr>
            <w:color w:val="000000"/>
          </w:rPr>
          <w:t xml:space="preserve">esse / ens / exsistere</w:t>
        </w:r>
      </w:hyperlink>
      <w:r>
        <w:rPr>
          <w:b w:val="0"/>
          <w:i w:val="0"/>
        </w:rPr>
        <w:t xml:space="preserve">; </w:t>
      </w:r>
      <w:hyperlink w:anchor="latin-record-0480">
        <w:r>
          <w:rPr>
            <w:color w:val="000000"/>
          </w:rPr>
          <w:t xml:space="preserve">generatio / successio</w:t>
        </w:r>
      </w:hyperlink>
      <w:r>
        <w:rPr>
          <w:b w:val="0"/>
          <w:i w:val="0"/>
        </w:rPr>
        <w:t xml:space="preserve">; </w:t>
      </w:r>
      <w:hyperlink w:anchor="latin-record-0566">
        <w:r>
          <w:rPr>
            <w:color w:val="000000"/>
          </w:rPr>
          <w:t xml:space="preserve">infinitus / infinitas / immensus / innumerus</w:t>
        </w:r>
      </w:hyperlink>
      <w:r>
        <w:rPr>
          <w:b w:val="0"/>
          <w:i w:val="0"/>
        </w:rPr>
        <w:t xml:space="preserve">; </w:t>
      </w:r>
      <w:hyperlink w:anchor="latin-record-0673">
        <w:r>
          <w:rPr>
            <w:color w:val="000000"/>
          </w:rPr>
          <w:t xml:space="preserve">materia</w:t>
        </w:r>
      </w:hyperlink>
      <w:r>
        <w:rPr>
          <w:b w:val="0"/>
          <w:i w:val="0"/>
        </w:rPr>
        <w:t xml:space="preserve">; </w:t>
      </w:r>
      <w:hyperlink w:anchor="latin-record-0777">
        <w:r>
          <w:rPr>
            <w:color w:val="000000"/>
          </w:rPr>
          <w:t xml:space="preserve">nuper / semel / diuturnior / perpetuo / generatio / successio</w:t>
        </w:r>
      </w:hyperlink>
      <w:r>
        <w:rPr>
          <w:b w:val="0"/>
          <w:i w:val="0"/>
        </w:rPr>
        <w:t xml:space="preserve">; </w:t>
      </w:r>
      <w:hyperlink w:anchor="latin-record-1047">
        <w:r>
          <w:rPr>
            <w:color w:val="000000"/>
          </w:rPr>
          <w:t xml:space="preserve">res</w:t>
        </w:r>
      </w:hyperlink>
      <w:r>
        <w:rPr>
          <w:b w:val="0"/>
          <w:i w:val="0"/>
        </w:rPr>
        <w:t xml:space="preserve">; </w:t>
      </w:r>
      <w:hyperlink w:anchor="latin-record-1187">
        <w:r>
          <w:rPr>
            <w:color w:val="000000"/>
          </w:rPr>
          <w:t xml:space="preserve">tempus / temporalis</w:t>
        </w:r>
      </w:hyperlink>
      <w:r>
        <w:rPr>
          <w:b w:val="0"/>
          <w:i w:val="0"/>
        </w:rPr>
        <w:t>.</w:t>
      </w:r>
    </w:p>
    <w:p>
      <w:pPr>
        <w:widowControl/>
      </w:pPr>
      <w:bookmarkStart w:id="1835" w:name="passage-ii-10-4"/>
      <w:bookmarkEnd w:id="1835"/>
      <w:r>
        <w:rPr>
          <w:b/>
          <w:i w:val="0"/>
        </w:rPr>
        <w:t>II.10.4</w:t>
      </w:r>
      <w:r>
        <w:rPr>
          <w:b/>
          <w:i w:val="0"/>
        </w:rPr>
        <w:t>, source pp. 176–177.</w:t>
      </w:r>
      <w:r>
        <w:rPr>
          <w:b w:val="0"/>
          <w:i w:val="0"/>
        </w:rPr>
        <w:t xml:space="preserve"> Articles: </w:t>
      </w:r>
      <w:hyperlink w:anchor="infinity">
        <w:r>
          <w:rPr>
            <w:color w:val="000000"/>
          </w:rPr>
          <w:t xml:space="preserve">Infinity</w:t>
        </w:r>
      </w:hyperlink>
      <w:r>
        <w:rPr>
          <w:b w:val="0"/>
          <w:i w:val="0"/>
        </w:rPr>
        <w:t xml:space="preserve">; </w:t>
      </w:r>
      <w:hyperlink w:anchor="number">
        <w:r>
          <w:rPr>
            <w:color w:val="000000"/>
          </w:rPr>
          <w:t xml:space="preserve">Number</w:t>
        </w:r>
      </w:hyperlink>
      <w:r>
        <w:rPr>
          <w:b w:val="0"/>
          <w:i w:val="0"/>
        </w:rPr>
        <w:t xml:space="preserve">; </w:t>
      </w:r>
      <w:hyperlink w:anchor="power-and-potency">
        <w:r>
          <w:rPr>
            <w:color w:val="000000"/>
          </w:rPr>
          <w:t xml:space="preserve">Power and potency</w:t>
        </w:r>
      </w:hyperlink>
      <w:r>
        <w:rPr>
          <w:b w:val="0"/>
          <w:i w:val="0"/>
        </w:rPr>
        <w:t xml:space="preserve">; </w:t>
      </w:r>
      <w:hyperlink w:anchor="self-knowledge">
        <w:r>
          <w:rPr>
            <w:color w:val="000000"/>
          </w:rPr>
          <w:t xml:space="preserve">Self knowledge</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140">
        <w:r>
          <w:rPr>
            <w:color w:val="000000"/>
          </w:rPr>
          <w:t xml:space="preserve">capacitas materiae / continuum / multiplicatio</w:t>
        </w:r>
      </w:hyperlink>
      <w:r>
        <w:rPr>
          <w:b w:val="0"/>
          <w:i w:val="0"/>
        </w:rPr>
        <w:t xml:space="preserve">; </w:t>
      </w:r>
      <w:hyperlink w:anchor="latin-record-0340">
        <w:r>
          <w:rPr>
            <w:color w:val="000000"/>
          </w:rPr>
          <w:t xml:space="preserve">distinguere / dividere / divisio</w:t>
        </w:r>
      </w:hyperlink>
      <w:r>
        <w:rPr>
          <w:b w:val="0"/>
          <w:i w:val="0"/>
        </w:rPr>
        <w:t xml:space="preserve">; </w:t>
      </w:r>
      <w:hyperlink w:anchor="latin-record-0775">
        <w:r>
          <w:rPr>
            <w:color w:val="000000"/>
          </w:rPr>
          <w:t xml:space="preserve">numerus / unicus / unire</w:t>
        </w:r>
      </w:hyperlink>
      <w:r>
        <w:rPr>
          <w:b w:val="0"/>
          <w:i w:val="0"/>
        </w:rPr>
        <w:t>.</w:t>
      </w:r>
    </w:p>
    <w:p>
      <w:pPr>
        <w:widowControl/>
      </w:pPr>
      <w:bookmarkStart w:id="1836" w:name="passage-ii-10-5"/>
      <w:bookmarkEnd w:id="1836"/>
      <w:r>
        <w:rPr>
          <w:b/>
          <w:i w:val="0"/>
        </w:rPr>
        <w:t>II.10.5</w:t>
      </w:r>
      <w:r>
        <w:rPr>
          <w:b/>
          <w:i w:val="0"/>
        </w:rPr>
        <w:t>, source pp. 176–177.</w:t>
      </w:r>
      <w:r>
        <w:rPr>
          <w:b w:val="0"/>
          <w:i w:val="0"/>
        </w:rPr>
        <w:t xml:space="preserve"> Articles: </w:t>
      </w:r>
      <w:hyperlink w:anchor="ideas-and-exemplars">
        <w:r>
          <w:rPr>
            <w:color w:val="000000"/>
          </w:rPr>
          <w:t xml:space="preserve">Ideas and exemplars</w:t>
        </w:r>
      </w:hyperlink>
      <w:r>
        <w:rPr>
          <w:b w:val="0"/>
          <w:i w:val="0"/>
        </w:rPr>
        <w:t xml:space="preserve">; </w:t>
      </w:r>
      <w:hyperlink w:anchor="image-and-likeness">
        <w:r>
          <w:rPr>
            <w:color w:val="000000"/>
          </w:rPr>
          <w:t xml:space="preserve">Image and likeness</w:t>
        </w:r>
      </w:hyperlink>
      <w:r>
        <w:rPr>
          <w:b w:val="0"/>
          <w:i w:val="0"/>
        </w:rPr>
        <w:t xml:space="preserve">; </w:t>
      </w:r>
      <w:hyperlink w:anchor="infinity">
        <w:r>
          <w:rPr>
            <w:color w:val="000000"/>
          </w:rPr>
          <w:t xml:space="preserve">Infinity</w:t>
        </w:r>
      </w:hyperlink>
      <w:r>
        <w:rPr>
          <w:b w:val="0"/>
          <w:i w:val="0"/>
        </w:rPr>
        <w:t xml:space="preserve">; </w:t>
      </w:r>
      <w:hyperlink w:anchor="measure-and-degree">
        <w:r>
          <w:rPr>
            <w:color w:val="000000"/>
          </w:rPr>
          <w:t xml:space="preserve">Measure and degree</w:t>
        </w:r>
      </w:hyperlink>
      <w:r>
        <w:rPr>
          <w:b w:val="0"/>
          <w:i w:val="0"/>
        </w:rPr>
        <w:t xml:space="preserve">; </w:t>
      </w:r>
      <w:hyperlink w:anchor="perfection">
        <w:r>
          <w:rPr>
            <w:color w:val="000000"/>
          </w:rPr>
          <w:t xml:space="preserve">Perfection</w:t>
        </w:r>
      </w:hyperlink>
      <w:r>
        <w:rPr>
          <w:b w:val="0"/>
          <w:i w:val="0"/>
        </w:rPr>
        <w:t xml:space="preserve">; </w:t>
      </w:r>
      <w:hyperlink w:anchor="power-and-potency">
        <w:r>
          <w:rPr>
            <w:color w:val="000000"/>
          </w:rPr>
          <w:t xml:space="preserve">Power and potency</w:t>
        </w:r>
      </w:hyperlink>
      <w:r>
        <w:rPr>
          <w:b w:val="0"/>
          <w:i w:val="0"/>
        </w:rPr>
        <w:t xml:space="preserve">; </w:t>
      </w:r>
      <w:hyperlink w:anchor="self-knowledge">
        <w:r>
          <w:rPr>
            <w:color w:val="000000"/>
          </w:rPr>
          <w:t xml:space="preserve">Self knowledge</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396">
        <w:r>
          <w:rPr>
            <w:color w:val="000000"/>
          </w:rPr>
          <w:t xml:space="preserve">exemplar / exprimere / imitari</w:t>
        </w:r>
      </w:hyperlink>
      <w:r>
        <w:rPr>
          <w:b w:val="0"/>
          <w:i w:val="0"/>
        </w:rPr>
        <w:t xml:space="preserve">; </w:t>
      </w:r>
      <w:hyperlink w:anchor="latin-record-0463">
        <w:r>
          <w:rPr>
            <w:color w:val="000000"/>
          </w:rPr>
          <w:t xml:space="preserve">forma / formare</w:t>
        </w:r>
      </w:hyperlink>
      <w:r>
        <w:rPr>
          <w:b w:val="0"/>
          <w:i w:val="0"/>
        </w:rPr>
        <w:t xml:space="preserve">; </w:t>
      </w:r>
      <w:hyperlink w:anchor="latin-record-0592">
        <w:r>
          <w:rPr>
            <w:color w:val="000000"/>
          </w:rPr>
          <w:t xml:space="preserve">integer / totus / plenus</w:t>
        </w:r>
      </w:hyperlink>
      <w:r>
        <w:rPr>
          <w:b w:val="0"/>
          <w:i w:val="0"/>
        </w:rPr>
        <w:t xml:space="preserve">; </w:t>
      </w:r>
      <w:hyperlink w:anchor="latin-record-0609">
        <w:r>
          <w:rPr>
            <w:color w:val="000000"/>
          </w:rPr>
          <w:t xml:space="preserve">intuitus / intueri / conspicere</w:t>
        </w:r>
      </w:hyperlink>
      <w:r>
        <w:rPr>
          <w:b w:val="0"/>
          <w:i w:val="0"/>
        </w:rPr>
        <w:t xml:space="preserve">; </w:t>
      </w:r>
      <w:hyperlink w:anchor="latin-record-0664">
        <w:r>
          <w:rPr>
            <w:color w:val="000000"/>
          </w:rPr>
          <w:t xml:space="preserve">magnum / magnitudo / maior</w:t>
        </w:r>
      </w:hyperlink>
      <w:r>
        <w:rPr>
          <w:b w:val="0"/>
          <w:i w:val="0"/>
        </w:rPr>
        <w:t xml:space="preserve">; </w:t>
      </w:r>
      <w:hyperlink w:anchor="latin-record-0707">
        <w:r>
          <w:rPr>
            <w:color w:val="000000"/>
          </w:rPr>
          <w:t xml:space="preserve">modus / modo</w:t>
        </w:r>
      </w:hyperlink>
      <w:r>
        <w:rPr>
          <w:b w:val="0"/>
          <w:i w:val="0"/>
        </w:rPr>
        <w:t xml:space="preserve">; </w:t>
      </w:r>
      <w:hyperlink w:anchor="latin-record-0771">
        <w:r>
          <w:rPr>
            <w:color w:val="000000"/>
          </w:rPr>
          <w:t xml:space="preserve">novus / relinquere</w:t>
        </w:r>
      </w:hyperlink>
      <w:r>
        <w:rPr>
          <w:b w:val="0"/>
          <w:i w:val="0"/>
        </w:rPr>
        <w:t xml:space="preserve">; </w:t>
      </w:r>
      <w:hyperlink w:anchor="latin-record-0856">
        <w:r>
          <w:rPr>
            <w:color w:val="000000"/>
          </w:rPr>
          <w:t xml:space="preserve">perfectio / perfectus</w:t>
        </w:r>
      </w:hyperlink>
      <w:r>
        <w:rPr>
          <w:b w:val="0"/>
          <w:i w:val="0"/>
        </w:rPr>
        <w:t xml:space="preserve">; </w:t>
      </w:r>
      <w:hyperlink w:anchor="latin-record-0939">
        <w:r>
          <w:rPr>
            <w:color w:val="000000"/>
          </w:rPr>
          <w:t xml:space="preserve">procedere / progredi / proficere</w:t>
        </w:r>
      </w:hyperlink>
      <w:r>
        <w:rPr>
          <w:b w:val="0"/>
          <w:i w:val="0"/>
        </w:rPr>
        <w:t xml:space="preserve">; </w:t>
      </w:r>
      <w:hyperlink w:anchor="latin-record-1107">
        <w:r>
          <w:rPr>
            <w:color w:val="000000"/>
          </w:rPr>
          <w:t xml:space="preserve">similis / similitudo</w:t>
        </w:r>
      </w:hyperlink>
      <w:r>
        <w:rPr>
          <w:b w:val="0"/>
          <w:i w:val="0"/>
        </w:rPr>
        <w:t xml:space="preserve">; </w:t>
      </w:r>
      <w:hyperlink w:anchor="latin-record-1128">
        <w:r>
          <w:rPr>
            <w:color w:val="000000"/>
          </w:rPr>
          <w:t xml:space="preserve">speculum / imago</w:t>
        </w:r>
      </w:hyperlink>
      <w:r>
        <w:rPr>
          <w:b w:val="0"/>
          <w:i w:val="0"/>
        </w:rPr>
        <w:t xml:space="preserve">; </w:t>
      </w:r>
      <w:hyperlink w:anchor="latin-record-1228">
        <w:r>
          <w:rPr>
            <w:color w:val="000000"/>
          </w:rPr>
          <w:t xml:space="preserve">usurpare / superesse</w:t>
        </w:r>
      </w:hyperlink>
      <w:r>
        <w:rPr>
          <w:b w:val="0"/>
          <w:i w:val="0"/>
        </w:rPr>
        <w:t>.</w:t>
      </w:r>
    </w:p>
    <w:p>
      <w:pPr>
        <w:widowControl/>
      </w:pPr>
      <w:bookmarkStart w:id="1837" w:name="passage-ii-10-6"/>
      <w:bookmarkEnd w:id="1837"/>
      <w:r>
        <w:rPr>
          <w:b/>
          <w:i w:val="0"/>
        </w:rPr>
        <w:t>II.10.6</w:t>
      </w:r>
      <w:r>
        <w:rPr>
          <w:b/>
          <w:i w:val="0"/>
        </w:rPr>
        <w:t>, source pp. 178–179.</w:t>
      </w:r>
      <w:r>
        <w:rPr>
          <w:b w:val="0"/>
          <w:i w:val="0"/>
        </w:rPr>
        <w:t xml:space="preserve"> Articles: </w:t>
      </w:r>
      <w:hyperlink w:anchor="infinity">
        <w:r>
          <w:rPr>
            <w:color w:val="000000"/>
          </w:rPr>
          <w:t xml:space="preserve">Infinity</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power-and-potency">
        <w:r>
          <w:rPr>
            <w:color w:val="000000"/>
          </w:rPr>
          <w:t xml:space="preserve">Power and potency</w:t>
        </w:r>
      </w:hyperlink>
      <w:r>
        <w:rPr>
          <w:b w:val="0"/>
          <w:i w:val="0"/>
        </w:rPr>
        <w:t xml:space="preserve">; </w:t>
      </w:r>
      <w:hyperlink w:anchor="self-knowledge">
        <w:r>
          <w:rPr>
            <w:color w:val="000000"/>
          </w:rPr>
          <w:t xml:space="preserve">Self knowledge</w:t>
        </w:r>
      </w:hyperlink>
      <w:r>
        <w:rPr>
          <w:b w:val="0"/>
          <w:i w:val="0"/>
        </w:rPr>
        <w:t>.</w:t>
      </w:r>
    </w:p>
    <w:p>
      <w:pPr>
        <w:widowControl/>
      </w:pPr>
      <w:bookmarkStart w:id="1838" w:name="passage-ii-10-7"/>
      <w:bookmarkEnd w:id="1838"/>
      <w:r>
        <w:rPr>
          <w:b/>
          <w:i w:val="0"/>
        </w:rPr>
        <w:t>II.10.7</w:t>
      </w:r>
      <w:r>
        <w:rPr>
          <w:b/>
          <w:i w:val="0"/>
        </w:rPr>
        <w:t>, source pp. 178–179.</w:t>
      </w:r>
      <w:r>
        <w:rPr>
          <w:b w:val="0"/>
          <w:i w:val="0"/>
        </w:rPr>
        <w:t xml:space="preserve"> Articles: </w:t>
      </w:r>
      <w:hyperlink w:anchor="eye-and-gaze">
        <w:r>
          <w:rPr>
            <w:color w:val="000000"/>
          </w:rPr>
          <w:t xml:space="preserve">Eye and gaze</w:t>
        </w:r>
      </w:hyperlink>
      <w:r>
        <w:rPr>
          <w:b w:val="0"/>
          <w:i w:val="0"/>
        </w:rPr>
        <w:t xml:space="preserve">; </w:t>
      </w:r>
      <w:hyperlink w:anchor="infinity">
        <w:r>
          <w:rPr>
            <w:color w:val="000000"/>
          </w:rPr>
          <w:t xml:space="preserve">Infinity</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number">
        <w:r>
          <w:rPr>
            <w:color w:val="000000"/>
          </w:rPr>
          <w:t xml:space="preserve">Number</w:t>
        </w:r>
      </w:hyperlink>
      <w:r>
        <w:rPr>
          <w:b w:val="0"/>
          <w:i w:val="0"/>
        </w:rPr>
        <w:t xml:space="preserve">; </w:t>
      </w:r>
      <w:hyperlink w:anchor="orpheus-and-divine-names">
        <w:r>
          <w:rPr>
            <w:color w:val="000000"/>
          </w:rPr>
          <w:t xml:space="preserve">Orpheus and divine names</w:t>
        </w:r>
      </w:hyperlink>
      <w:r>
        <w:rPr>
          <w:b w:val="0"/>
          <w:i w:val="0"/>
        </w:rPr>
        <w:t xml:space="preserve">; </w:t>
      </w:r>
      <w:hyperlink w:anchor="power-and-potency">
        <w:r>
          <w:rPr>
            <w:color w:val="000000"/>
          </w:rPr>
          <w:t xml:space="preserve">Power and potency</w:t>
        </w:r>
      </w:hyperlink>
      <w:r>
        <w:rPr>
          <w:b w:val="0"/>
          <w:i w:val="0"/>
        </w:rPr>
        <w:t xml:space="preserve">; </w:t>
      </w:r>
      <w:hyperlink w:anchor="self-knowledge">
        <w:r>
          <w:rPr>
            <w:color w:val="000000"/>
          </w:rPr>
          <w:t xml:space="preserve">Self knowledge</w:t>
        </w:r>
      </w:hyperlink>
      <w:r>
        <w:rPr>
          <w:b w:val="0"/>
          <w:i w:val="0"/>
        </w:rPr>
        <w:t xml:space="preserve">. Vocabulary: </w:t>
      </w:r>
      <w:hyperlink w:anchor="latin-record-0005">
        <w:r>
          <w:rPr>
            <w:color w:val="000000"/>
          </w:rPr>
          <w:t xml:space="preserve">absurdus</w:t>
        </w:r>
      </w:hyperlink>
      <w:r>
        <w:rPr>
          <w:b w:val="0"/>
          <w:i w:val="0"/>
        </w:rPr>
        <w:t xml:space="preserve">; </w:t>
      </w:r>
      <w:hyperlink w:anchor="latin-record-0470">
        <w:r>
          <w:rPr>
            <w:color w:val="000000"/>
          </w:rPr>
          <w:t xml:space="preserve">fortis / vehementia / valere</w:t>
        </w:r>
      </w:hyperlink>
      <w:r>
        <w:rPr>
          <w:b w:val="0"/>
          <w:i w:val="0"/>
        </w:rPr>
        <w:t xml:space="preserve">; </w:t>
      </w:r>
      <w:hyperlink w:anchor="latin-record-0494">
        <w:r>
          <w:rPr>
            <w:color w:val="000000"/>
          </w:rPr>
          <w:t xml:space="preserve">habere / tenere / possidere</w:t>
        </w:r>
      </w:hyperlink>
      <w:r>
        <w:rPr>
          <w:b w:val="0"/>
          <w:i w:val="0"/>
        </w:rPr>
        <w:t xml:space="preserve">; </w:t>
      </w:r>
      <w:hyperlink w:anchor="latin-record-0596">
        <w:r>
          <w:rPr>
            <w:color w:val="000000"/>
          </w:rPr>
          <w:t xml:space="preserve">intellectus / intelligere</w:t>
        </w:r>
      </w:hyperlink>
      <w:r>
        <w:rPr>
          <w:b w:val="0"/>
          <w:i w:val="0"/>
        </w:rPr>
        <w:t xml:space="preserve">; </w:t>
      </w:r>
      <w:hyperlink w:anchor="latin-record-0624">
        <w:r>
          <w:rPr>
            <w:color w:val="000000"/>
          </w:rPr>
          <w:t xml:space="preserve">Iuppiter / oculus</w:t>
        </w:r>
      </w:hyperlink>
      <w:r>
        <w:rPr>
          <w:b w:val="0"/>
          <w:i w:val="0"/>
        </w:rPr>
        <w:t xml:space="preserve">; </w:t>
      </w:r>
      <w:hyperlink w:anchor="latin-record-0775">
        <w:r>
          <w:rPr>
            <w:color w:val="000000"/>
          </w:rPr>
          <w:t xml:space="preserve">numerus / unicus / unire</w:t>
        </w:r>
      </w:hyperlink>
      <w:r>
        <w:rPr>
          <w:b w:val="0"/>
          <w:i w:val="0"/>
        </w:rPr>
        <w:t xml:space="preserve">; </w:t>
      </w:r>
      <w:hyperlink w:anchor="latin-record-0813">
        <w:r>
          <w:rPr>
            <w:color w:val="000000"/>
          </w:rPr>
          <w:t xml:space="preserve">Orpheus / Orphici</w:t>
        </w:r>
      </w:hyperlink>
      <w:r>
        <w:rPr>
          <w:b w:val="0"/>
          <w:i w:val="0"/>
        </w:rPr>
        <w:t xml:space="preserve">; </w:t>
      </w:r>
      <w:hyperlink w:anchor="latin-record-0935">
        <w:r>
          <w:rPr>
            <w:color w:val="000000"/>
          </w:rPr>
          <w:t xml:space="preserve">pro arbitrio</w:t>
        </w:r>
      </w:hyperlink>
      <w:r>
        <w:rPr>
          <w:b w:val="0"/>
          <w:i w:val="0"/>
        </w:rPr>
        <w:t xml:space="preserve">; </w:t>
      </w:r>
      <w:hyperlink w:anchor="greek-record-10">
        <w:r>
          <w:rPr>
            <w:color w:val="000000"/>
          </w:rPr>
          <w:t xml:space="preserve">The infinite eye</w:t>
        </w:r>
      </w:hyperlink>
      <w:r>
        <w:rPr>
          <w:b w:val="0"/>
          <w:i w:val="0"/>
        </w:rPr>
        <w:t>.</w:t>
      </w:r>
    </w:p>
    <w:p>
      <w:pPr>
        <w:widowControl/>
      </w:pPr>
      <w:bookmarkStart w:id="1839" w:name="passage-ii-10-8"/>
      <w:bookmarkEnd w:id="1839"/>
      <w:r>
        <w:rPr>
          <w:b/>
          <w:i w:val="0"/>
        </w:rPr>
        <w:t>II.10.8</w:t>
      </w:r>
      <w:r>
        <w:rPr>
          <w:b/>
          <w:i w:val="0"/>
        </w:rPr>
        <w:t>, source pp. 178–179.</w:t>
      </w:r>
      <w:r>
        <w:rPr>
          <w:b w:val="0"/>
          <w:i w:val="0"/>
        </w:rPr>
        <w:t xml:space="preserve"> Articles: </w:t>
      </w:r>
      <w:hyperlink w:anchor="counting-and-collective-intuition">
        <w:r>
          <w:rPr>
            <w:color w:val="000000"/>
          </w:rPr>
          <w:t xml:space="preserve">Counting and collective intuition</w:t>
        </w:r>
      </w:hyperlink>
      <w:r>
        <w:rPr>
          <w:b w:val="0"/>
          <w:i w:val="0"/>
        </w:rPr>
        <w:t xml:space="preserve">; </w:t>
      </w:r>
      <w:hyperlink w:anchor="infinity">
        <w:r>
          <w:rPr>
            <w:color w:val="000000"/>
          </w:rPr>
          <w:t xml:space="preserve">Infinity</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number">
        <w:r>
          <w:rPr>
            <w:color w:val="000000"/>
          </w:rPr>
          <w:t xml:space="preserve">Number</w:t>
        </w:r>
      </w:hyperlink>
      <w:r>
        <w:rPr>
          <w:b w:val="0"/>
          <w:i w:val="0"/>
        </w:rPr>
        <w:t xml:space="preserve">; </w:t>
      </w:r>
      <w:hyperlink w:anchor="self-knowledge">
        <w:r>
          <w:rPr>
            <w:color w:val="000000"/>
          </w:rPr>
          <w:t xml:space="preserve">Self knowledge</w:t>
        </w:r>
      </w:hyperlink>
      <w:r>
        <w:rPr>
          <w:b w:val="0"/>
          <w:i w:val="0"/>
        </w:rPr>
        <w:t xml:space="preserve">. Vocabulary: </w:t>
      </w:r>
      <w:hyperlink w:anchor="latin-record-0092">
        <w:r>
          <w:rPr>
            <w:color w:val="000000"/>
          </w:rPr>
          <w:t xml:space="preserve">argumentum / arguere</w:t>
        </w:r>
      </w:hyperlink>
      <w:r>
        <w:rPr>
          <w:b w:val="0"/>
          <w:i w:val="0"/>
        </w:rPr>
        <w:t xml:space="preserve">; </w:t>
      </w:r>
      <w:hyperlink w:anchor="latin-record-0375">
        <w:r>
          <w:rPr>
            <w:color w:val="000000"/>
          </w:rPr>
          <w:t xml:space="preserve">error / impius / profanus</w:t>
        </w:r>
      </w:hyperlink>
      <w:r>
        <w:rPr>
          <w:b w:val="0"/>
          <w:i w:val="0"/>
        </w:rPr>
        <w:t xml:space="preserve">; </w:t>
      </w:r>
      <w:hyperlink w:anchor="latin-record-0405">
        <w:r>
          <w:rPr>
            <w:color w:val="000000"/>
          </w:rPr>
          <w:t xml:space="preserve">existimare / opinari / arbitrari</w:t>
        </w:r>
      </w:hyperlink>
      <w:r>
        <w:rPr>
          <w:b w:val="0"/>
          <w:i w:val="0"/>
        </w:rPr>
        <w:t xml:space="preserve">; </w:t>
      </w:r>
      <w:hyperlink w:anchor="latin-record-0685">
        <w:r>
          <w:rPr>
            <w:color w:val="000000"/>
          </w:rPr>
          <w:t xml:space="preserve">memorare / respondere / docere</w:t>
        </w:r>
      </w:hyperlink>
      <w:r>
        <w:rPr>
          <w:b w:val="0"/>
          <w:i w:val="0"/>
        </w:rPr>
        <w:t xml:space="preserve">; </w:t>
      </w:r>
      <w:hyperlink w:anchor="latin-record-1072">
        <w:r>
          <w:rPr>
            <w:color w:val="000000"/>
          </w:rPr>
          <w:t xml:space="preserve">scientia / comprehendere</w:t>
        </w:r>
      </w:hyperlink>
      <w:r>
        <w:rPr>
          <w:b w:val="0"/>
          <w:i w:val="0"/>
        </w:rPr>
        <w:t>.</w:t>
      </w:r>
    </w:p>
    <w:p>
      <w:pPr>
        <w:widowControl/>
      </w:pPr>
      <w:bookmarkStart w:id="1840" w:name="passage-ii-10-9"/>
      <w:bookmarkEnd w:id="1840"/>
      <w:r>
        <w:rPr>
          <w:b/>
          <w:i w:val="0"/>
        </w:rPr>
        <w:t>II.10.9</w:t>
      </w:r>
      <w:r>
        <w:rPr>
          <w:b/>
          <w:i w:val="0"/>
        </w:rPr>
        <w:t>, source pp. 178–179.</w:t>
      </w:r>
      <w:r>
        <w:rPr>
          <w:b w:val="0"/>
          <w:i w:val="0"/>
        </w:rPr>
        <w:t xml:space="preserve"> Articles: </w:t>
      </w:r>
      <w:hyperlink w:anchor="counting-and-collective-intuition">
        <w:r>
          <w:rPr>
            <w:color w:val="000000"/>
          </w:rPr>
          <w:t xml:space="preserve">Counting and collective intuition</w:t>
        </w:r>
      </w:hyperlink>
      <w:r>
        <w:rPr>
          <w:b w:val="0"/>
          <w:i w:val="0"/>
        </w:rPr>
        <w:t xml:space="preserve">; </w:t>
      </w:r>
      <w:hyperlink w:anchor="infinity">
        <w:r>
          <w:rPr>
            <w:color w:val="000000"/>
          </w:rPr>
          <w:t xml:space="preserve">Infinity</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number">
        <w:r>
          <w:rPr>
            <w:color w:val="000000"/>
          </w:rPr>
          <w:t xml:space="preserve">Number</w:t>
        </w:r>
      </w:hyperlink>
      <w:r>
        <w:rPr>
          <w:b w:val="0"/>
          <w:i w:val="0"/>
        </w:rPr>
        <w:t xml:space="preserve">; </w:t>
      </w:r>
      <w:hyperlink w:anchor="self-knowledge">
        <w:r>
          <w:rPr>
            <w:color w:val="000000"/>
          </w:rPr>
          <w:t xml:space="preserve">Self knowledge</w:t>
        </w:r>
      </w:hyperlink>
      <w:r>
        <w:rPr>
          <w:b w:val="0"/>
          <w:i w:val="0"/>
        </w:rPr>
        <w:t xml:space="preserve">. Vocabulary: </w:t>
      </w:r>
      <w:hyperlink w:anchor="latin-record-1072">
        <w:r>
          <w:rPr>
            <w:color w:val="000000"/>
          </w:rPr>
          <w:t xml:space="preserve">scientia / comprehendere</w:t>
        </w:r>
      </w:hyperlink>
      <w:r>
        <w:rPr>
          <w:b w:val="0"/>
          <w:i w:val="0"/>
        </w:rPr>
        <w:t>.</w:t>
      </w:r>
    </w:p>
    <w:p>
      <w:pPr>
        <w:widowControl/>
      </w:pPr>
      <w:bookmarkStart w:id="1841" w:name="passage-ii-10-10"/>
      <w:bookmarkEnd w:id="1841"/>
      <w:r>
        <w:rPr>
          <w:b/>
          <w:i w:val="0"/>
        </w:rPr>
        <w:t>II.10.10</w:t>
      </w:r>
      <w:r>
        <w:rPr>
          <w:b/>
          <w:i w:val="0"/>
        </w:rPr>
        <w:t>, source pp. 180–181.</w:t>
      </w:r>
      <w:r>
        <w:rPr>
          <w:b w:val="0"/>
          <w:i w:val="0"/>
        </w:rPr>
        <w:t xml:space="preserve"> Articles: </w:t>
      </w:r>
      <w:hyperlink w:anchor="counting-and-collective-intuition">
        <w:r>
          <w:rPr>
            <w:color w:val="000000"/>
          </w:rPr>
          <w:t xml:space="preserve">Counting and collective intuition</w:t>
        </w:r>
      </w:hyperlink>
      <w:r>
        <w:rPr>
          <w:b w:val="0"/>
          <w:i w:val="0"/>
        </w:rPr>
        <w:t xml:space="preserve">; </w:t>
      </w:r>
      <w:hyperlink w:anchor="eye-and-gaze">
        <w:r>
          <w:rPr>
            <w:color w:val="000000"/>
          </w:rPr>
          <w:t xml:space="preserve">Eye and gaze</w:t>
        </w:r>
      </w:hyperlink>
      <w:r>
        <w:rPr>
          <w:b w:val="0"/>
          <w:i w:val="0"/>
        </w:rPr>
        <w:t xml:space="preserve">; </w:t>
      </w:r>
      <w:hyperlink w:anchor="form">
        <w:r>
          <w:rPr>
            <w:color w:val="000000"/>
          </w:rPr>
          <w:t xml:space="preserve">Form</w:t>
        </w:r>
      </w:hyperlink>
      <w:r>
        <w:rPr>
          <w:b w:val="0"/>
          <w:i w:val="0"/>
        </w:rPr>
        <w:t xml:space="preserve">; </w:t>
      </w:r>
      <w:hyperlink w:anchor="image-and-likeness">
        <w:r>
          <w:rPr>
            <w:color w:val="000000"/>
          </w:rPr>
          <w:t xml:space="preserve">Image and likeness</w:t>
        </w:r>
      </w:hyperlink>
      <w:r>
        <w:rPr>
          <w:b w:val="0"/>
          <w:i w:val="0"/>
        </w:rPr>
        <w:t xml:space="preserve">; </w:t>
      </w:r>
      <w:hyperlink w:anchor="infinity">
        <w:r>
          <w:rPr>
            <w:color w:val="000000"/>
          </w:rPr>
          <w:t xml:space="preserve">Infinity</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number">
        <w:r>
          <w:rPr>
            <w:color w:val="000000"/>
          </w:rPr>
          <w:t xml:space="preserve">Number</w:t>
        </w:r>
      </w:hyperlink>
      <w:r>
        <w:rPr>
          <w:b w:val="0"/>
          <w:i w:val="0"/>
        </w:rPr>
        <w:t xml:space="preserve">; </w:t>
      </w:r>
      <w:hyperlink w:anchor="reason-and-account">
        <w:r>
          <w:rPr>
            <w:color w:val="000000"/>
          </w:rPr>
          <w:t xml:space="preserve">Reason and account</w:t>
        </w:r>
      </w:hyperlink>
      <w:r>
        <w:rPr>
          <w:b w:val="0"/>
          <w:i w:val="0"/>
        </w:rPr>
        <w:t xml:space="preserve">; </w:t>
      </w:r>
      <w:hyperlink w:anchor="self-knowledge">
        <w:r>
          <w:rPr>
            <w:color w:val="000000"/>
          </w:rPr>
          <w:t xml:space="preserve">Self knowledge</w:t>
        </w:r>
      </w:hyperlink>
      <w:r>
        <w:rPr>
          <w:b w:val="0"/>
          <w:i w:val="0"/>
        </w:rPr>
        <w:t xml:space="preserve">; </w:t>
      </w:r>
      <w:hyperlink w:anchor="sense-and-imagination">
        <w:r>
          <w:rPr>
            <w:color w:val="000000"/>
          </w:rPr>
          <w:t xml:space="preserve">Sense and imagination</w:t>
        </w:r>
      </w:hyperlink>
      <w:r>
        <w:rPr>
          <w:b w:val="0"/>
          <w:i w:val="0"/>
        </w:rPr>
        <w:t xml:space="preserve">; </w:t>
      </w:r>
      <w:hyperlink w:anchor="simplicity-and-composition">
        <w:r>
          <w:rPr>
            <w:color w:val="000000"/>
          </w:rPr>
          <w:t xml:space="preserve">Simplicity and composition</w:t>
        </w:r>
      </w:hyperlink>
      <w:r>
        <w:rPr>
          <w:b w:val="0"/>
          <w:i w:val="0"/>
        </w:rPr>
        <w:t xml:space="preserve">. Vocabulary: </w:t>
      </w:r>
      <w:hyperlink w:anchor="latin-record-0018">
        <w:r>
          <w:rPr>
            <w:color w:val="000000"/>
          </w:rPr>
          <w:t xml:space="preserve">adaequare / sibimet</w:t>
        </w:r>
      </w:hyperlink>
      <w:r>
        <w:rPr>
          <w:b w:val="0"/>
          <w:i w:val="0"/>
        </w:rPr>
        <w:t xml:space="preserve">; </w:t>
      </w:r>
      <w:hyperlink w:anchor="latin-record-0224">
        <w:r>
          <w:rPr>
            <w:color w:val="000000"/>
          </w:rPr>
          <w:t xml:space="preserve">concludere / confirmare / patere</w:t>
        </w:r>
      </w:hyperlink>
      <w:r>
        <w:rPr>
          <w:b w:val="0"/>
          <w:i w:val="0"/>
        </w:rPr>
        <w:t xml:space="preserve">; </w:t>
      </w:r>
      <w:hyperlink w:anchor="latin-record-0373">
        <w:r>
          <w:rPr>
            <w:color w:val="000000"/>
          </w:rPr>
          <w:t xml:space="preserve">enumerare / gradatim / summatim</w:t>
        </w:r>
      </w:hyperlink>
      <w:r>
        <w:rPr>
          <w:b w:val="0"/>
          <w:i w:val="0"/>
        </w:rPr>
        <w:t xml:space="preserve">; </w:t>
      </w:r>
      <w:hyperlink w:anchor="latin-record-0485">
        <w:r>
          <w:rPr>
            <w:color w:val="000000"/>
          </w:rPr>
          <w:t xml:space="preserve">gradus / gradatim</w:t>
        </w:r>
      </w:hyperlink>
      <w:r>
        <w:rPr>
          <w:b w:val="0"/>
          <w:i w:val="0"/>
        </w:rPr>
        <w:t xml:space="preserve">; </w:t>
      </w:r>
      <w:hyperlink w:anchor="latin-record-0609">
        <w:r>
          <w:rPr>
            <w:color w:val="000000"/>
          </w:rPr>
          <w:t xml:space="preserve">intuitus / intueri / conspicere</w:t>
        </w:r>
      </w:hyperlink>
      <w:r>
        <w:rPr>
          <w:b w:val="0"/>
          <w:i w:val="0"/>
        </w:rPr>
        <w:t xml:space="preserve">; </w:t>
      </w:r>
      <w:hyperlink w:anchor="latin-record-0619">
        <w:r>
          <w:rPr>
            <w:color w:val="000000"/>
          </w:rPr>
          <w:t xml:space="preserve">iudicare / percipere / nescire / nosse / notitia / speculari</w:t>
        </w:r>
      </w:hyperlink>
      <w:r>
        <w:rPr>
          <w:b w:val="0"/>
          <w:i w:val="0"/>
        </w:rPr>
        <w:t xml:space="preserve">; </w:t>
      </w:r>
      <w:hyperlink w:anchor="latin-record-0727">
        <w:r>
          <w:rPr>
            <w:color w:val="000000"/>
          </w:rPr>
          <w:t xml:space="preserve">multitudo / multiplex</w:t>
        </w:r>
      </w:hyperlink>
      <w:r>
        <w:rPr>
          <w:b w:val="0"/>
          <w:i w:val="0"/>
        </w:rPr>
        <w:t xml:space="preserve">; </w:t>
      </w:r>
      <w:hyperlink w:anchor="latin-record-0893">
        <w:r>
          <w:rPr>
            <w:color w:val="000000"/>
          </w:rPr>
          <w:t xml:space="preserve">porrigere / tendere</w:t>
        </w:r>
      </w:hyperlink>
      <w:r>
        <w:rPr>
          <w:b w:val="0"/>
          <w:i w:val="0"/>
        </w:rPr>
        <w:t xml:space="preserve">; </w:t>
      </w:r>
      <w:hyperlink w:anchor="latin-record-1014">
        <w:r>
          <w:rPr>
            <w:color w:val="000000"/>
          </w:rPr>
          <w:t xml:space="preserve">quinque sensus / singulatim / summatim</w:t>
        </w:r>
      </w:hyperlink>
      <w:r>
        <w:rPr>
          <w:b w:val="0"/>
          <w:i w:val="0"/>
        </w:rPr>
        <w:t xml:space="preserve">; </w:t>
      </w:r>
      <w:hyperlink w:anchor="latin-record-1192">
        <w:r>
          <w:rPr>
            <w:color w:val="000000"/>
          </w:rPr>
          <w:t xml:space="preserve">terminare / finire</w:t>
        </w:r>
      </w:hyperlink>
      <w:r>
        <w:rPr>
          <w:b w:val="0"/>
          <w:i w:val="0"/>
        </w:rPr>
        <w:t>.</w:t>
      </w:r>
    </w:p>
    <w:p>
      <w:pPr>
        <w:widowControl/>
      </w:pPr>
      <w:bookmarkStart w:id="1842" w:name="passage-ii-10-11"/>
      <w:bookmarkEnd w:id="1842"/>
      <w:r>
        <w:rPr>
          <w:b/>
          <w:i w:val="0"/>
        </w:rPr>
        <w:t>II.10.11</w:t>
      </w:r>
      <w:r>
        <w:rPr>
          <w:b/>
          <w:i w:val="0"/>
        </w:rPr>
        <w:t>, source pp. 180–181.</w:t>
      </w:r>
      <w:r>
        <w:rPr>
          <w:b w:val="0"/>
          <w:i w:val="0"/>
        </w:rPr>
        <w:t xml:space="preserve"> Articles: </w:t>
      </w:r>
      <w:hyperlink w:anchor="counting-and-collective-intuition">
        <w:r>
          <w:rPr>
            <w:color w:val="000000"/>
          </w:rPr>
          <w:t xml:space="preserve">Counting and collective intuition</w:t>
        </w:r>
      </w:hyperlink>
      <w:r>
        <w:rPr>
          <w:b w:val="0"/>
          <w:i w:val="0"/>
        </w:rPr>
        <w:t xml:space="preserve">; </w:t>
      </w:r>
      <w:hyperlink w:anchor="form">
        <w:r>
          <w:rPr>
            <w:color w:val="000000"/>
          </w:rPr>
          <w:t xml:space="preserve">Form</w:t>
        </w:r>
      </w:hyperlink>
      <w:r>
        <w:rPr>
          <w:b w:val="0"/>
          <w:i w:val="0"/>
        </w:rPr>
        <w:t xml:space="preserve">; </w:t>
      </w:r>
      <w:hyperlink w:anchor="image-and-likeness">
        <w:r>
          <w:rPr>
            <w:color w:val="000000"/>
          </w:rPr>
          <w:t xml:space="preserve">Image and likeness</w:t>
        </w:r>
      </w:hyperlink>
      <w:r>
        <w:rPr>
          <w:b w:val="0"/>
          <w:i w:val="0"/>
        </w:rPr>
        <w:t xml:space="preserve">; </w:t>
      </w:r>
      <w:hyperlink w:anchor="infinity">
        <w:r>
          <w:rPr>
            <w:color w:val="000000"/>
          </w:rPr>
          <w:t xml:space="preserve">Infinity</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self-knowledge">
        <w:r>
          <w:rPr>
            <w:color w:val="000000"/>
          </w:rPr>
          <w:t xml:space="preserve">Self knowledge</w:t>
        </w:r>
      </w:hyperlink>
      <w:r>
        <w:rPr>
          <w:b w:val="0"/>
          <w:i w:val="0"/>
        </w:rPr>
        <w:t xml:space="preserve">; </w:t>
      </w:r>
      <w:hyperlink w:anchor="simplicity-and-composition">
        <w:r>
          <w:rPr>
            <w:color w:val="000000"/>
          </w:rPr>
          <w:t xml:space="preserve">Simplicity and composition</w:t>
        </w:r>
      </w:hyperlink>
      <w:r>
        <w:rPr>
          <w:b w:val="0"/>
          <w:i w:val="0"/>
        </w:rPr>
        <w:t xml:space="preserve">. Vocabulary: </w:t>
      </w:r>
      <w:hyperlink w:anchor="latin-record-0792">
        <w:r>
          <w:rPr>
            <w:color w:val="000000"/>
          </w:rPr>
          <w:t xml:space="preserve">omniformis / unicolor / omnicolor</w:t>
        </w:r>
      </w:hyperlink>
      <w:r>
        <w:rPr>
          <w:b w:val="0"/>
          <w:i w:val="0"/>
        </w:rPr>
        <w:t xml:space="preserve">; </w:t>
      </w:r>
      <w:hyperlink w:anchor="latin-record-1052">
        <w:r>
          <w:rPr>
            <w:color w:val="000000"/>
          </w:rPr>
          <w:t xml:space="preserve">respectus / vigor</w:t>
        </w:r>
      </w:hyperlink>
      <w:r>
        <w:rPr>
          <w:b w:val="0"/>
          <w:i w:val="0"/>
        </w:rPr>
        <w:t>.</w:t>
      </w:r>
    </w:p>
    <w:p>
      <w:pPr>
        <w:widowControl/>
      </w:pPr>
      <w:bookmarkStart w:id="1843" w:name="passage-ii-10-12"/>
      <w:bookmarkEnd w:id="1843"/>
      <w:r>
        <w:rPr>
          <w:b/>
          <w:i w:val="0"/>
        </w:rPr>
        <w:t>II.10.12</w:t>
      </w:r>
      <w:r>
        <w:rPr>
          <w:b/>
          <w:i w:val="0"/>
        </w:rPr>
        <w:t>, source pp. 180–181.</w:t>
      </w:r>
      <w:r>
        <w:rPr>
          <w:b w:val="0"/>
          <w:i w:val="0"/>
        </w:rPr>
        <w:t xml:space="preserve"> Articles: </w:t>
      </w:r>
      <w:hyperlink w:anchor="counting-and-collective-intuition">
        <w:r>
          <w:rPr>
            <w:color w:val="000000"/>
          </w:rPr>
          <w:t xml:space="preserve">Counting and collective intuition</w:t>
        </w:r>
      </w:hyperlink>
      <w:r>
        <w:rPr>
          <w:b w:val="0"/>
          <w:i w:val="0"/>
        </w:rPr>
        <w:t xml:space="preserve">; </w:t>
      </w:r>
      <w:hyperlink w:anchor="form">
        <w:r>
          <w:rPr>
            <w:color w:val="000000"/>
          </w:rPr>
          <w:t xml:space="preserve">Form</w:t>
        </w:r>
      </w:hyperlink>
      <w:r>
        <w:rPr>
          <w:b w:val="0"/>
          <w:i w:val="0"/>
        </w:rPr>
        <w:t xml:space="preserve">; </w:t>
      </w:r>
      <w:hyperlink w:anchor="image-and-likeness">
        <w:r>
          <w:rPr>
            <w:color w:val="000000"/>
          </w:rPr>
          <w:t xml:space="preserve">Image and likeness</w:t>
        </w:r>
      </w:hyperlink>
      <w:r>
        <w:rPr>
          <w:b w:val="0"/>
          <w:i w:val="0"/>
        </w:rPr>
        <w:t xml:space="preserve">; </w:t>
      </w:r>
      <w:hyperlink w:anchor="infinity">
        <w:r>
          <w:rPr>
            <w:color w:val="000000"/>
          </w:rPr>
          <w:t xml:space="preserve">Infinity</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self-knowledge">
        <w:r>
          <w:rPr>
            <w:color w:val="000000"/>
          </w:rPr>
          <w:t xml:space="preserve">Self knowledge</w:t>
        </w:r>
      </w:hyperlink>
      <w:r>
        <w:rPr>
          <w:b w:val="0"/>
          <w:i w:val="0"/>
        </w:rPr>
        <w:t xml:space="preserve">; </w:t>
      </w:r>
      <w:hyperlink w:anchor="simplicity-and-composition">
        <w:r>
          <w:rPr>
            <w:color w:val="000000"/>
          </w:rPr>
          <w:t xml:space="preserve">Simplicity and composition</w:t>
        </w:r>
      </w:hyperlink>
      <w:r>
        <w:rPr>
          <w:b w:val="0"/>
          <w:i w:val="0"/>
        </w:rPr>
        <w:t xml:space="preserve">. Vocabulary: </w:t>
      </w:r>
      <w:hyperlink w:anchor="latin-record-0460">
        <w:r>
          <w:rPr>
            <w:color w:val="000000"/>
          </w:rPr>
          <w:t xml:space="preserve">fons / influxus</w:t>
        </w:r>
      </w:hyperlink>
      <w:r>
        <w:rPr>
          <w:b w:val="0"/>
          <w:i w:val="0"/>
        </w:rPr>
        <w:t xml:space="preserve">; </w:t>
      </w:r>
      <w:hyperlink w:anchor="latin-record-0619">
        <w:r>
          <w:rPr>
            <w:color w:val="000000"/>
          </w:rPr>
          <w:t xml:space="preserve">iudicare / percipere / nescire / nosse / notitia / speculari</w:t>
        </w:r>
      </w:hyperlink>
      <w:r>
        <w:rPr>
          <w:b w:val="0"/>
          <w:i w:val="0"/>
        </w:rPr>
        <w:t xml:space="preserve">; </w:t>
      </w:r>
      <w:hyperlink w:anchor="latin-record-0655">
        <w:r>
          <w:rPr>
            <w:color w:val="000000"/>
          </w:rPr>
          <w:t xml:space="preserve">lux / lumen</w:t>
        </w:r>
      </w:hyperlink>
      <w:r>
        <w:rPr>
          <w:b w:val="0"/>
          <w:i w:val="0"/>
        </w:rPr>
        <w:t xml:space="preserve">; </w:t>
      </w:r>
      <w:hyperlink w:anchor="latin-record-0792">
        <w:r>
          <w:rPr>
            <w:color w:val="000000"/>
          </w:rPr>
          <w:t xml:space="preserve">omniformis / unicolor / omnicolor</w:t>
        </w:r>
      </w:hyperlink>
      <w:r>
        <w:rPr>
          <w:b w:val="0"/>
          <w:i w:val="0"/>
        </w:rPr>
        <w:t xml:space="preserve">; </w:t>
      </w:r>
      <w:hyperlink w:anchor="latin-record-1110">
        <w:r>
          <w:rPr>
            <w:color w:val="000000"/>
          </w:rPr>
          <w:t xml:space="preserve">simulacrum / color</w:t>
        </w:r>
      </w:hyperlink>
      <w:r>
        <w:rPr>
          <w:b w:val="0"/>
          <w:i w:val="0"/>
        </w:rPr>
        <w:t>.</w:t>
      </w:r>
    </w:p>
    <w:p>
      <w:bookmarkStart w:id="1844" w:name="chapter-ii.11"/>
      <w:pPr>
        <w:pStyle w:val="Heading2"/>
      </w:pPr>
      <w:r>
        <w:rPr>
          <w:b w:val="0"/>
          <w:i w:val="0"/>
        </w:rPr>
        <w:t>Chapter II.11</w:t>
      </w:r>
      <w:bookmarkEnd w:id="1844"/>
    </w:p>
    <w:p>
      <w:pPr>
        <w:widowControl/>
      </w:pPr>
      <w:bookmarkStart w:id="1845" w:name="passage-ii-11-1"/>
      <w:bookmarkEnd w:id="1845"/>
      <w:r>
        <w:rPr>
          <w:b/>
          <w:i w:val="0"/>
        </w:rPr>
        <w:t>II.11.1</w:t>
      </w:r>
      <w:r>
        <w:rPr>
          <w:b/>
          <w:i w:val="0"/>
        </w:rPr>
        <w:t>, source pp. 182–183.</w:t>
      </w:r>
      <w:r>
        <w:rPr>
          <w:b w:val="0"/>
          <w:i w:val="0"/>
        </w:rPr>
        <w:t xml:space="preserve"> Articles: </w:t>
      </w:r>
      <w:hyperlink w:anchor="act-and-operation">
        <w:r>
          <w:rPr>
            <w:color w:val="000000"/>
          </w:rPr>
          <w:t xml:space="preserve">Act and operation</w:t>
        </w:r>
      </w:hyperlink>
      <w:r>
        <w:rPr>
          <w:b w:val="0"/>
          <w:i w:val="0"/>
        </w:rPr>
        <w:t xml:space="preserve">; </w:t>
      </w:r>
      <w:hyperlink w:anchor="cause">
        <w:r>
          <w:rPr>
            <w:color w:val="000000"/>
          </w:rPr>
          <w:t xml:space="preserve">Cause</w:t>
        </w:r>
      </w:hyperlink>
      <w:r>
        <w:rPr>
          <w:b w:val="0"/>
          <w:i w:val="0"/>
        </w:rPr>
        <w:t xml:space="preserve">; </w:t>
      </w:r>
      <w:hyperlink w:anchor="form">
        <w:r>
          <w:rPr>
            <w:color w:val="000000"/>
          </w:rPr>
          <w:t xml:space="preserve">Form</w:t>
        </w:r>
      </w:hyperlink>
      <w:r>
        <w:rPr>
          <w:b w:val="0"/>
          <w:i w:val="0"/>
        </w:rPr>
        <w:t xml:space="preserve">. Vocabulary: </w:t>
      </w:r>
      <w:hyperlink w:anchor="latin-record-0042">
        <w:r>
          <w:rPr>
            <w:color w:val="000000"/>
          </w:rPr>
          <w:t xml:space="preserve">agere / actio / agens</w:t>
        </w:r>
      </w:hyperlink>
      <w:r>
        <w:rPr>
          <w:b w:val="0"/>
          <w:i w:val="0"/>
        </w:rPr>
        <w:t xml:space="preserve">; </w:t>
      </w:r>
      <w:hyperlink w:anchor="latin-record-0153">
        <w:r>
          <w:rPr>
            <w:color w:val="000000"/>
          </w:rPr>
          <w:t xml:space="preserve">causa / effectus</w:t>
        </w:r>
      </w:hyperlink>
      <w:r>
        <w:rPr>
          <w:b w:val="0"/>
          <w:i w:val="0"/>
        </w:rPr>
        <w:t xml:space="preserve">; </w:t>
      </w:r>
      <w:hyperlink w:anchor="latin-record-0215">
        <w:r>
          <w:rPr>
            <w:color w:val="000000"/>
          </w:rPr>
          <w:t xml:space="preserve">comprehendere</w:t>
        </w:r>
      </w:hyperlink>
      <w:r>
        <w:rPr>
          <w:b w:val="0"/>
          <w:i w:val="0"/>
        </w:rPr>
        <w:t xml:space="preserve">; </w:t>
      </w:r>
      <w:hyperlink w:anchor="latin-record-0236">
        <w:r>
          <w:rPr>
            <w:color w:val="000000"/>
          </w:rPr>
          <w:t xml:space="preserve">confusus / distinctus</w:t>
        </w:r>
      </w:hyperlink>
      <w:r>
        <w:rPr>
          <w:b w:val="0"/>
          <w:i w:val="0"/>
        </w:rPr>
        <w:t xml:space="preserve">; </w:t>
      </w:r>
      <w:hyperlink w:anchor="latin-record-0311">
        <w:r>
          <w:rPr>
            <w:color w:val="000000"/>
          </w:rPr>
          <w:t xml:space="preserve">Deus / divinus</w:t>
        </w:r>
      </w:hyperlink>
      <w:r>
        <w:rPr>
          <w:b w:val="0"/>
          <w:i w:val="0"/>
        </w:rPr>
        <w:t xml:space="preserve">; </w:t>
      </w:r>
      <w:hyperlink w:anchor="latin-record-0464">
        <w:r>
          <w:rPr>
            <w:color w:val="000000"/>
          </w:rPr>
          <w:t xml:space="preserve">forma / species</w:t>
        </w:r>
      </w:hyperlink>
      <w:r>
        <w:rPr>
          <w:b w:val="0"/>
          <w:i w:val="0"/>
        </w:rPr>
        <w:t xml:space="preserve">; </w:t>
      </w:r>
      <w:hyperlink w:anchor="latin-record-0623">
        <w:r>
          <w:rPr>
            <w:color w:val="000000"/>
          </w:rPr>
          <w:t xml:space="preserve">Iupiter</w:t>
        </w:r>
      </w:hyperlink>
      <w:r>
        <w:rPr>
          <w:b w:val="0"/>
          <w:i w:val="0"/>
        </w:rPr>
        <w:t xml:space="preserve">; </w:t>
      </w:r>
      <w:hyperlink w:anchor="latin-record-0747">
        <w:r>
          <w:rPr>
            <w:color w:val="000000"/>
          </w:rPr>
          <w:t xml:space="preserve">necesse / oportere</w:t>
        </w:r>
      </w:hyperlink>
      <w:r>
        <w:rPr>
          <w:b w:val="0"/>
          <w:i w:val="0"/>
        </w:rPr>
        <w:t xml:space="preserve">; </w:t>
      </w:r>
      <w:hyperlink w:anchor="latin-record-0751">
        <w:r>
          <w:rPr>
            <w:color w:val="000000"/>
          </w:rPr>
          <w:t xml:space="preserve">necessitas naturae</w:t>
        </w:r>
      </w:hyperlink>
      <w:r>
        <w:rPr>
          <w:b w:val="0"/>
          <w:i w:val="0"/>
        </w:rPr>
        <w:t xml:space="preserve">; </w:t>
      </w:r>
      <w:hyperlink w:anchor="latin-record-0793">
        <w:r>
          <w:rPr>
            <w:color w:val="000000"/>
          </w:rPr>
          <w:t xml:space="preserve">omniformis / uniformis</w:t>
        </w:r>
      </w:hyperlink>
      <w:r>
        <w:rPr>
          <w:b w:val="0"/>
          <w:i w:val="0"/>
        </w:rPr>
        <w:t xml:space="preserve">; </w:t>
      </w:r>
      <w:hyperlink w:anchor="latin-record-0814">
        <w:r>
          <w:rPr>
            <w:color w:val="000000"/>
          </w:rPr>
          <w:t xml:space="preserve">Orpheus / Orphicus</w:t>
        </w:r>
      </w:hyperlink>
      <w:r>
        <w:rPr>
          <w:b w:val="0"/>
          <w:i w:val="0"/>
        </w:rPr>
        <w:t xml:space="preserve">; </w:t>
      </w:r>
      <w:hyperlink w:anchor="latin-record-1106">
        <w:r>
          <w:rPr>
            <w:color w:val="000000"/>
          </w:rPr>
          <w:t xml:space="preserve">similis / dissimilis / similitudo</w:t>
        </w:r>
      </w:hyperlink>
      <w:r>
        <w:rPr>
          <w:b w:val="0"/>
          <w:i w:val="0"/>
        </w:rPr>
        <w:t xml:space="preserve">; </w:t>
      </w:r>
      <w:hyperlink w:anchor="greek-record-11">
        <w:r>
          <w:rPr>
            <w:color w:val="000000"/>
          </w:rPr>
          <w:t xml:space="preserve">Jupiter as the form of all things</w:t>
        </w:r>
      </w:hyperlink>
      <w:r>
        <w:rPr>
          <w:b w:val="0"/>
          <w:i w:val="0"/>
        </w:rPr>
        <w:t>.</w:t>
      </w:r>
    </w:p>
    <w:p>
      <w:pPr>
        <w:widowControl/>
      </w:pPr>
      <w:bookmarkStart w:id="1846" w:name="passage-ii-11-2"/>
      <w:bookmarkEnd w:id="1846"/>
      <w:r>
        <w:rPr>
          <w:b/>
          <w:i w:val="0"/>
        </w:rPr>
        <w:t>II.11.2</w:t>
      </w:r>
      <w:r>
        <w:rPr>
          <w:b/>
          <w:i w:val="0"/>
        </w:rPr>
        <w:t>, source pp. 182–183.</w:t>
      </w:r>
      <w:r>
        <w:rPr>
          <w:b w:val="0"/>
          <w:i w:val="0"/>
        </w:rPr>
        <w:t xml:space="preserve"> Articles: </w:t>
      </w:r>
      <w:hyperlink w:anchor="essence-and-substance">
        <w:r>
          <w:rPr>
            <w:color w:val="000000"/>
          </w:rPr>
          <w:t xml:space="preserve">Essence and substance</w:t>
        </w:r>
      </w:hyperlink>
      <w:r>
        <w:rPr>
          <w:b w:val="0"/>
          <w:i w:val="0"/>
        </w:rPr>
        <w:t xml:space="preserve">; </w:t>
      </w:r>
      <w:hyperlink w:anchor="form">
        <w:r>
          <w:rPr>
            <w:color w:val="000000"/>
          </w:rPr>
          <w:t xml:space="preserve">Form</w:t>
        </w:r>
      </w:hyperlink>
      <w:r>
        <w:rPr>
          <w:b w:val="0"/>
          <w:i w:val="0"/>
        </w:rPr>
        <w:t xml:space="preserve">; </w:t>
      </w:r>
      <w:hyperlink w:anchor="quality">
        <w:r>
          <w:rPr>
            <w:color w:val="000000"/>
          </w:rPr>
          <w:t xml:space="preserve">Quality</w:t>
        </w:r>
      </w:hyperlink>
      <w:r>
        <w:rPr>
          <w:b w:val="0"/>
          <w:i w:val="0"/>
        </w:rPr>
        <w:t xml:space="preserve">. Vocabulary: </w:t>
      </w:r>
      <w:hyperlink w:anchor="latin-record-0388">
        <w:r>
          <w:rPr>
            <w:color w:val="000000"/>
          </w:rPr>
          <w:t xml:space="preserve">essentialis / accidentalis</w:t>
        </w:r>
      </w:hyperlink>
      <w:r>
        <w:rPr>
          <w:b w:val="0"/>
          <w:i w:val="0"/>
        </w:rPr>
        <w:t xml:space="preserve">; </w:t>
      </w:r>
      <w:hyperlink w:anchor="latin-record-0726">
        <w:r>
          <w:rPr>
            <w:color w:val="000000"/>
          </w:rPr>
          <w:t xml:space="preserve">multiplex / compositus</w:t>
        </w:r>
      </w:hyperlink>
      <w:r>
        <w:rPr>
          <w:b w:val="0"/>
          <w:i w:val="0"/>
        </w:rPr>
        <w:t xml:space="preserve">; </w:t>
      </w:r>
      <w:hyperlink w:anchor="latin-record-1020">
        <w:r>
          <w:rPr>
            <w:color w:val="000000"/>
          </w:rPr>
          <w:t xml:space="preserve">ratio</w:t>
        </w:r>
      </w:hyperlink>
      <w:r>
        <w:rPr>
          <w:b w:val="0"/>
          <w:i w:val="0"/>
        </w:rPr>
        <w:t>.</w:t>
      </w:r>
    </w:p>
    <w:p>
      <w:pPr>
        <w:widowControl/>
      </w:pPr>
      <w:bookmarkStart w:id="1847" w:name="passage-ii-11-3"/>
      <w:bookmarkEnd w:id="1847"/>
      <w:r>
        <w:rPr>
          <w:b/>
          <w:i w:val="0"/>
        </w:rPr>
        <w:t>II.11.3</w:t>
      </w:r>
      <w:r>
        <w:rPr>
          <w:b/>
          <w:i w:val="0"/>
        </w:rPr>
        <w:t>, source pp. 182–183.</w:t>
      </w:r>
      <w:r>
        <w:rPr>
          <w:b w:val="0"/>
          <w:i w:val="0"/>
        </w:rPr>
        <w:t xml:space="preserve"> Articles: </w:t>
      </w:r>
      <w:hyperlink w:anchor="essence-and-substance">
        <w:r>
          <w:rPr>
            <w:color w:val="000000"/>
          </w:rPr>
          <w:t xml:space="preserve">Essence and substance</w:t>
        </w:r>
      </w:hyperlink>
      <w:r>
        <w:rPr>
          <w:b w:val="0"/>
          <w:i w:val="0"/>
        </w:rPr>
        <w:t xml:space="preserve">; </w:t>
      </w:r>
      <w:hyperlink w:anchor="form">
        <w:r>
          <w:rPr>
            <w:color w:val="000000"/>
          </w:rPr>
          <w:t xml:space="preserve">Form</w:t>
        </w:r>
      </w:hyperlink>
      <w:r>
        <w:rPr>
          <w:b w:val="0"/>
          <w:i w:val="0"/>
        </w:rPr>
        <w:t xml:space="preserve">; </w:t>
      </w:r>
      <w:hyperlink w:anchor="quality">
        <w:r>
          <w:rPr>
            <w:color w:val="000000"/>
          </w:rPr>
          <w:t xml:space="preserve">Quality</w:t>
        </w:r>
      </w:hyperlink>
      <w:r>
        <w:rPr>
          <w:b w:val="0"/>
          <w:i w:val="0"/>
        </w:rPr>
        <w:t xml:space="preserve">; </w:t>
      </w:r>
      <w:hyperlink w:anchor="receiving-and-giving">
        <w:r>
          <w:rPr>
            <w:color w:val="000000"/>
          </w:rPr>
          <w:t xml:space="preserve">Receiving and giving</w:t>
        </w:r>
      </w:hyperlink>
      <w:r>
        <w:rPr>
          <w:b w:val="0"/>
          <w:i w:val="0"/>
        </w:rPr>
        <w:t xml:space="preserve">. Vocabulary: </w:t>
      </w:r>
      <w:hyperlink w:anchor="latin-record-0008">
        <w:r>
          <w:rPr>
            <w:color w:val="000000"/>
          </w:rPr>
          <w:t xml:space="preserve">accipere</w:t>
        </w:r>
      </w:hyperlink>
      <w:r>
        <w:rPr>
          <w:b w:val="0"/>
          <w:i w:val="0"/>
        </w:rPr>
        <w:t xml:space="preserve">; </w:t>
      </w:r>
      <w:hyperlink w:anchor="latin-record-0142">
        <w:r>
          <w:rPr>
            <w:color w:val="000000"/>
          </w:rPr>
          <w:t xml:space="preserve">capere</w:t>
        </w:r>
      </w:hyperlink>
      <w:r>
        <w:rPr>
          <w:b w:val="0"/>
          <w:i w:val="0"/>
        </w:rPr>
        <w:t xml:space="preserve">; </w:t>
      </w:r>
      <w:hyperlink w:anchor="latin-record-0291">
        <w:r>
          <w:rPr>
            <w:color w:val="000000"/>
          </w:rPr>
          <w:t xml:space="preserve">dare</w:t>
        </w:r>
      </w:hyperlink>
      <w:r>
        <w:rPr>
          <w:b w:val="0"/>
          <w:i w:val="0"/>
        </w:rPr>
        <w:t xml:space="preserve">; </w:t>
      </w:r>
      <w:hyperlink w:anchor="latin-record-1154">
        <w:r>
          <w:rPr>
            <w:color w:val="000000"/>
          </w:rPr>
          <w:t xml:space="preserve">subiectum</w:t>
        </w:r>
      </w:hyperlink>
      <w:r>
        <w:rPr>
          <w:b w:val="0"/>
          <w:i w:val="0"/>
        </w:rPr>
        <w:t xml:space="preserve">; </w:t>
      </w:r>
      <w:hyperlink w:anchor="latin-record-1253">
        <w:r>
          <w:rPr>
            <w:color w:val="000000"/>
          </w:rPr>
          <w:t xml:space="preserve">vicem gerere</w:t>
        </w:r>
      </w:hyperlink>
      <w:r>
        <w:rPr>
          <w:b w:val="0"/>
          <w:i w:val="0"/>
        </w:rPr>
        <w:t>.</w:t>
      </w:r>
    </w:p>
    <w:p>
      <w:pPr>
        <w:widowControl/>
      </w:pPr>
      <w:bookmarkStart w:id="1848" w:name="passage-ii-11-4"/>
      <w:bookmarkEnd w:id="1848"/>
      <w:r>
        <w:rPr>
          <w:b/>
          <w:i w:val="0"/>
        </w:rPr>
        <w:t>II.11.4</w:t>
      </w:r>
      <w:r>
        <w:rPr>
          <w:b/>
          <w:i w:val="0"/>
        </w:rPr>
        <w:t>, source pp. 182–183.</w:t>
      </w:r>
      <w:r>
        <w:rPr>
          <w:b w:val="0"/>
          <w:i w:val="0"/>
        </w:rPr>
        <w:t xml:space="preserve"> Articles: </w:t>
      </w:r>
      <w:hyperlink w:anchor="essence-and-substance">
        <w:r>
          <w:rPr>
            <w:color w:val="000000"/>
          </w:rPr>
          <w:t xml:space="preserve">Essence and substance</w:t>
        </w:r>
      </w:hyperlink>
      <w:r>
        <w:rPr>
          <w:b w:val="0"/>
          <w:i w:val="0"/>
        </w:rPr>
        <w:t xml:space="preserve">; </w:t>
      </w:r>
      <w:hyperlink w:anchor="form">
        <w:r>
          <w:rPr>
            <w:color w:val="000000"/>
          </w:rPr>
          <w:t xml:space="preserve">Form</w:t>
        </w:r>
      </w:hyperlink>
      <w:r>
        <w:rPr>
          <w:b w:val="0"/>
          <w:i w:val="0"/>
        </w:rPr>
        <w:t xml:space="preserve">; </w:t>
      </w:r>
      <w:hyperlink w:anchor="quality">
        <w:r>
          <w:rPr>
            <w:color w:val="000000"/>
          </w:rPr>
          <w:t xml:space="preserve">Quality</w:t>
        </w:r>
      </w:hyperlink>
      <w:r>
        <w:rPr>
          <w:b w:val="0"/>
          <w:i w:val="0"/>
        </w:rPr>
        <w:t xml:space="preserve">. Vocabulary: </w:t>
      </w:r>
      <w:hyperlink w:anchor="latin-record-0305">
        <w:r>
          <w:rPr>
            <w:color w:val="000000"/>
          </w:rPr>
          <w:t xml:space="preserve">dependere / pendere</w:t>
        </w:r>
      </w:hyperlink>
      <w:r>
        <w:rPr>
          <w:b w:val="0"/>
          <w:i w:val="0"/>
        </w:rPr>
        <w:t xml:space="preserve">; </w:t>
      </w:r>
      <w:hyperlink w:anchor="latin-record-1156">
        <w:r>
          <w:rPr>
            <w:color w:val="000000"/>
          </w:rPr>
          <w:t xml:space="preserve">subire</w:t>
        </w:r>
      </w:hyperlink>
      <w:r>
        <w:rPr>
          <w:b w:val="0"/>
          <w:i w:val="0"/>
        </w:rPr>
        <w:t>.</w:t>
      </w:r>
    </w:p>
    <w:p>
      <w:pPr>
        <w:widowControl/>
      </w:pPr>
      <w:bookmarkStart w:id="1849" w:name="passage-ii-11-5"/>
      <w:bookmarkEnd w:id="1849"/>
      <w:r>
        <w:rPr>
          <w:b/>
          <w:i w:val="0"/>
        </w:rPr>
        <w:t>II.11.5</w:t>
      </w:r>
      <w:r>
        <w:rPr>
          <w:b/>
          <w:i w:val="0"/>
        </w:rPr>
        <w:t>, source pp. 182–183.</w:t>
      </w:r>
      <w:r>
        <w:rPr>
          <w:b w:val="0"/>
          <w:i w:val="0"/>
        </w:rPr>
        <w:t xml:space="preserve"> Articles: </w:t>
      </w:r>
      <w:hyperlink w:anchor="essence-and-substance">
        <w:r>
          <w:rPr>
            <w:color w:val="000000"/>
          </w:rPr>
          <w:t xml:space="preserve">Essence and substance</w:t>
        </w:r>
      </w:hyperlink>
      <w:r>
        <w:rPr>
          <w:b w:val="0"/>
          <w:i w:val="0"/>
        </w:rPr>
        <w:t xml:space="preserve">; </w:t>
      </w:r>
      <w:hyperlink w:anchor="form">
        <w:r>
          <w:rPr>
            <w:color w:val="000000"/>
          </w:rPr>
          <w:t xml:space="preserve">Form</w:t>
        </w:r>
      </w:hyperlink>
      <w:r>
        <w:rPr>
          <w:b w:val="0"/>
          <w:i w:val="0"/>
        </w:rPr>
        <w:t xml:space="preserve">; </w:t>
      </w:r>
      <w:hyperlink w:anchor="quality">
        <w:r>
          <w:rPr>
            <w:color w:val="000000"/>
          </w:rPr>
          <w:t xml:space="preserve">Quality</w:t>
        </w:r>
      </w:hyperlink>
      <w:r>
        <w:rPr>
          <w:b w:val="0"/>
          <w:i w:val="0"/>
        </w:rPr>
        <w:t xml:space="preserve">. Vocabulary: </w:t>
      </w:r>
      <w:hyperlink w:anchor="latin-record-0305">
        <w:r>
          <w:rPr>
            <w:color w:val="000000"/>
          </w:rPr>
          <w:t xml:space="preserve">dependere / pendere</w:t>
        </w:r>
      </w:hyperlink>
      <w:r>
        <w:rPr>
          <w:b w:val="0"/>
          <w:i w:val="0"/>
        </w:rPr>
        <w:t xml:space="preserve">; </w:t>
      </w:r>
      <w:hyperlink w:anchor="latin-record-1005">
        <w:r>
          <w:rPr>
            <w:color w:val="000000"/>
          </w:rPr>
          <w:t xml:space="preserve">quandoque</w:t>
        </w:r>
      </w:hyperlink>
      <w:r>
        <w:rPr>
          <w:b w:val="0"/>
          <w:i w:val="0"/>
        </w:rPr>
        <w:t xml:space="preserve">; </w:t>
      </w:r>
      <w:hyperlink w:anchor="latin-record-1094">
        <w:r>
          <w:rPr>
            <w:color w:val="000000"/>
          </w:rPr>
          <w:t xml:space="preserve">seorsum</w:t>
        </w:r>
      </w:hyperlink>
      <w:r>
        <w:rPr>
          <w:b w:val="0"/>
          <w:i w:val="0"/>
        </w:rPr>
        <w:t>.</w:t>
      </w:r>
    </w:p>
    <w:p>
      <w:pPr>
        <w:widowControl/>
      </w:pPr>
      <w:bookmarkStart w:id="1850" w:name="passage-ii-11-6"/>
      <w:bookmarkEnd w:id="1850"/>
      <w:r>
        <w:rPr>
          <w:b/>
          <w:i w:val="0"/>
        </w:rPr>
        <w:t>II.11.6</w:t>
      </w:r>
      <w:r>
        <w:rPr>
          <w:b/>
          <w:i w:val="0"/>
        </w:rPr>
        <w:t>, source pp. 184–185.</w:t>
      </w:r>
      <w:r>
        <w:rPr>
          <w:b w:val="0"/>
          <w:i w:val="0"/>
        </w:rPr>
        <w:t xml:space="preserve"> Articles: </w:t>
      </w:r>
      <w:hyperlink w:anchor="essence-and-substance">
        <w:r>
          <w:rPr>
            <w:color w:val="000000"/>
          </w:rPr>
          <w:t xml:space="preserve">Essence and substance</w:t>
        </w:r>
      </w:hyperlink>
      <w:r>
        <w:rPr>
          <w:b w:val="0"/>
          <w:i w:val="0"/>
        </w:rPr>
        <w:t xml:space="preserve">; </w:t>
      </w:r>
      <w:hyperlink w:anchor="form">
        <w:r>
          <w:rPr>
            <w:color w:val="000000"/>
          </w:rPr>
          <w:t xml:space="preserve">Form</w:t>
        </w:r>
      </w:hyperlink>
      <w:r>
        <w:rPr>
          <w:b w:val="0"/>
          <w:i w:val="0"/>
        </w:rPr>
        <w:t xml:space="preserve">; </w:t>
      </w:r>
      <w:hyperlink w:anchor="quality">
        <w:r>
          <w:rPr>
            <w:color w:val="000000"/>
          </w:rPr>
          <w:t xml:space="preserve">Quality</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918">
        <w:r>
          <w:rPr>
            <w:color w:val="000000"/>
          </w:rPr>
          <w:t xml:space="preserve">praestantior</w:t>
        </w:r>
      </w:hyperlink>
      <w:r>
        <w:rPr>
          <w:b w:val="0"/>
          <w:i w:val="0"/>
        </w:rPr>
        <w:t>.</w:t>
      </w:r>
    </w:p>
    <w:p>
      <w:pPr>
        <w:widowControl/>
      </w:pPr>
      <w:bookmarkStart w:id="1851" w:name="passage-ii-11-7"/>
      <w:bookmarkEnd w:id="1851"/>
      <w:r>
        <w:rPr>
          <w:b/>
          <w:i w:val="0"/>
        </w:rPr>
        <w:t>II.11.7</w:t>
      </w:r>
      <w:r>
        <w:rPr>
          <w:b/>
          <w:i w:val="0"/>
        </w:rPr>
        <w:t>, source pp. 184–185.</w:t>
      </w:r>
      <w:r>
        <w:rPr>
          <w:b w:val="0"/>
          <w:i w:val="0"/>
        </w:rPr>
        <w:t xml:space="preserve"> Articles: </w:t>
      </w:r>
      <w:hyperlink w:anchor="essence-and-substance">
        <w:r>
          <w:rPr>
            <w:color w:val="000000"/>
          </w:rPr>
          <w:t xml:space="preserve">Essence and substance</w:t>
        </w:r>
      </w:hyperlink>
      <w:r>
        <w:rPr>
          <w:b w:val="0"/>
          <w:i w:val="0"/>
        </w:rPr>
        <w:t xml:space="preserve">; </w:t>
      </w:r>
      <w:hyperlink w:anchor="form">
        <w:r>
          <w:rPr>
            <w:color w:val="000000"/>
          </w:rPr>
          <w:t xml:space="preserve">Form</w:t>
        </w:r>
      </w:hyperlink>
      <w:r>
        <w:rPr>
          <w:b w:val="0"/>
          <w:i w:val="0"/>
        </w:rPr>
        <w:t xml:space="preserve">; </w:t>
      </w:r>
      <w:hyperlink w:anchor="quality">
        <w:r>
          <w:rPr>
            <w:color w:val="000000"/>
          </w:rPr>
          <w:t xml:space="preserve">Quality</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191">
        <w:r>
          <w:rPr>
            <w:color w:val="000000"/>
          </w:rPr>
          <w:t xml:space="preserve">comburere / calefacere</w:t>
        </w:r>
      </w:hyperlink>
      <w:r>
        <w:rPr>
          <w:b w:val="0"/>
          <w:i w:val="0"/>
        </w:rPr>
        <w:t xml:space="preserve">; </w:t>
      </w:r>
      <w:hyperlink w:anchor="latin-record-0751">
        <w:r>
          <w:rPr>
            <w:color w:val="000000"/>
          </w:rPr>
          <w:t xml:space="preserve">necessitas naturae</w:t>
        </w:r>
      </w:hyperlink>
      <w:r>
        <w:rPr>
          <w:b w:val="0"/>
          <w:i w:val="0"/>
        </w:rPr>
        <w:t xml:space="preserve">; </w:t>
      </w:r>
      <w:hyperlink w:anchor="latin-record-1220">
        <w:r>
          <w:rPr>
            <w:color w:val="000000"/>
          </w:rPr>
          <w:t xml:space="preserve">unire</w:t>
        </w:r>
      </w:hyperlink>
      <w:r>
        <w:rPr>
          <w:b w:val="0"/>
          <w:i w:val="0"/>
        </w:rPr>
        <w:t>.</w:t>
      </w:r>
    </w:p>
    <w:p>
      <w:pPr>
        <w:widowControl/>
      </w:pPr>
      <w:bookmarkStart w:id="1852" w:name="passage-ii-11-8"/>
      <w:bookmarkEnd w:id="1852"/>
      <w:r>
        <w:rPr>
          <w:b/>
          <w:i w:val="0"/>
        </w:rPr>
        <w:t>II.11.8</w:t>
      </w:r>
      <w:r>
        <w:rPr>
          <w:b/>
          <w:i w:val="0"/>
        </w:rPr>
        <w:t>, source pp. 184–185.</w:t>
      </w:r>
      <w:r>
        <w:rPr>
          <w:b w:val="0"/>
          <w:i w:val="0"/>
        </w:rPr>
        <w:t xml:space="preserve"> Articles: </w:t>
      </w:r>
      <w:hyperlink w:anchor="art-and-nature">
        <w:r>
          <w:rPr>
            <w:color w:val="000000"/>
          </w:rPr>
          <w:t xml:space="preserve">Art and nature</w:t>
        </w:r>
      </w:hyperlink>
      <w:r>
        <w:rPr>
          <w:b w:val="0"/>
          <w:i w:val="0"/>
        </w:rPr>
        <w:t xml:space="preserve">; </w:t>
      </w:r>
      <w:hyperlink w:anchor="fire-and-variable-materials">
        <w:r>
          <w:rPr>
            <w:color w:val="000000"/>
          </w:rPr>
          <w:t xml:space="preserve">Fire and variable materials</w:t>
        </w:r>
      </w:hyperlink>
      <w:r>
        <w:rPr>
          <w:b w:val="0"/>
          <w:i w:val="0"/>
        </w:rPr>
        <w:t xml:space="preserve">; </w:t>
      </w:r>
      <w:hyperlink w:anchor="form">
        <w:r>
          <w:rPr>
            <w:color w:val="000000"/>
          </w:rPr>
          <w:t xml:space="preserve">Form</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order-and-harmony">
        <w:r>
          <w:rPr>
            <w:color w:val="000000"/>
          </w:rPr>
          <w:t xml:space="preserve">Order and harmony</w:t>
        </w:r>
      </w:hyperlink>
      <w:r>
        <w:rPr>
          <w:b w:val="0"/>
          <w:i w:val="0"/>
        </w:rPr>
        <w:t xml:space="preserve">; </w:t>
      </w:r>
      <w:hyperlink w:anchor="quality">
        <w:r>
          <w:rPr>
            <w:color w:val="000000"/>
          </w:rPr>
          <w:t xml:space="preserve">Quality</w:t>
        </w:r>
      </w:hyperlink>
      <w:r>
        <w:rPr>
          <w:b w:val="0"/>
          <w:i w:val="0"/>
        </w:rPr>
        <w:t xml:space="preserve">. Vocabulary: </w:t>
      </w:r>
      <w:hyperlink w:anchor="latin-record-0191">
        <w:r>
          <w:rPr>
            <w:color w:val="000000"/>
          </w:rPr>
          <w:t xml:space="preserve">comburere / calefacere</w:t>
        </w:r>
      </w:hyperlink>
      <w:r>
        <w:rPr>
          <w:b w:val="0"/>
          <w:i w:val="0"/>
        </w:rPr>
        <w:t xml:space="preserve">; </w:t>
      </w:r>
      <w:hyperlink w:anchor="latin-record-0347">
        <w:r>
          <w:rPr>
            <w:color w:val="000000"/>
          </w:rPr>
          <w:t xml:space="preserve">dominari</w:t>
        </w:r>
      </w:hyperlink>
      <w:r>
        <w:rPr>
          <w:b w:val="0"/>
          <w:i w:val="0"/>
        </w:rPr>
        <w:t xml:space="preserve">; </w:t>
      </w:r>
      <w:hyperlink w:anchor="latin-record-0486">
        <w:r>
          <w:rPr>
            <w:color w:val="000000"/>
          </w:rPr>
          <w:t xml:space="preserve">gradus / mensura / proportio</w:t>
        </w:r>
      </w:hyperlink>
      <w:r>
        <w:rPr>
          <w:b w:val="0"/>
          <w:i w:val="0"/>
        </w:rPr>
        <w:t xml:space="preserve">; </w:t>
      </w:r>
      <w:hyperlink w:anchor="latin-record-0541">
        <w:r>
          <w:rPr>
            <w:color w:val="000000"/>
          </w:rPr>
          <w:t xml:space="preserve">impetus</w:t>
        </w:r>
      </w:hyperlink>
      <w:r>
        <w:rPr>
          <w:b w:val="0"/>
          <w:i w:val="0"/>
        </w:rPr>
        <w:t xml:space="preserve">; </w:t>
      </w:r>
      <w:hyperlink w:anchor="latin-record-0910">
        <w:r>
          <w:rPr>
            <w:color w:val="000000"/>
          </w:rPr>
          <w:t xml:space="preserve">praeparatio</w:t>
        </w:r>
      </w:hyperlink>
      <w:r>
        <w:rPr>
          <w:b w:val="0"/>
          <w:i w:val="0"/>
        </w:rPr>
        <w:t xml:space="preserve">; </w:t>
      </w:r>
      <w:hyperlink w:anchor="latin-record-1189">
        <w:r>
          <w:rPr>
            <w:color w:val="000000"/>
          </w:rPr>
          <w:t xml:space="preserve">tenor</w:t>
        </w:r>
      </w:hyperlink>
      <w:r>
        <w:rPr>
          <w:b w:val="0"/>
          <w:i w:val="0"/>
        </w:rPr>
        <w:t>.</w:t>
      </w:r>
    </w:p>
    <w:p>
      <w:pPr>
        <w:widowControl/>
      </w:pPr>
      <w:bookmarkStart w:id="1853" w:name="passage-ii-11-9"/>
      <w:bookmarkEnd w:id="1853"/>
      <w:r>
        <w:rPr>
          <w:b/>
          <w:i w:val="0"/>
        </w:rPr>
        <w:t>II.11.9</w:t>
      </w:r>
      <w:r>
        <w:rPr>
          <w:b/>
          <w:i w:val="0"/>
        </w:rPr>
        <w:t>, source pp. 186–187.</w:t>
      </w:r>
      <w:r>
        <w:rPr>
          <w:b w:val="0"/>
          <w:i w:val="0"/>
        </w:rPr>
        <w:t xml:space="preserve"> Articles: </w:t>
      </w:r>
      <w:hyperlink w:anchor="art-and-nature">
        <w:r>
          <w:rPr>
            <w:color w:val="000000"/>
          </w:rPr>
          <w:t xml:space="preserve">Art and nature</w:t>
        </w:r>
      </w:hyperlink>
      <w:r>
        <w:rPr>
          <w:b w:val="0"/>
          <w:i w:val="0"/>
        </w:rPr>
        <w:t xml:space="preserve">; </w:t>
      </w:r>
      <w:hyperlink w:anchor="fire-and-variable-materials">
        <w:r>
          <w:rPr>
            <w:color w:val="000000"/>
          </w:rPr>
          <w:t xml:space="preserve">Fire and variable materials</w:t>
        </w:r>
      </w:hyperlink>
      <w:r>
        <w:rPr>
          <w:b w:val="0"/>
          <w:i w:val="0"/>
        </w:rPr>
        <w:t xml:space="preserve">; </w:t>
      </w:r>
      <w:hyperlink w:anchor="form">
        <w:r>
          <w:rPr>
            <w:color w:val="000000"/>
          </w:rPr>
          <w:t xml:space="preserve">Form</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order-and-harmony">
        <w:r>
          <w:rPr>
            <w:color w:val="000000"/>
          </w:rPr>
          <w:t xml:space="preserve">Order and harmony</w:t>
        </w:r>
      </w:hyperlink>
      <w:r>
        <w:rPr>
          <w:b w:val="0"/>
          <w:i w:val="0"/>
        </w:rPr>
        <w:t xml:space="preserve">. Vocabulary: </w:t>
      </w:r>
      <w:hyperlink w:anchor="latin-record-0327">
        <w:r>
          <w:rPr>
            <w:color w:val="000000"/>
          </w:rPr>
          <w:t xml:space="preserve">discretus</w:t>
        </w:r>
      </w:hyperlink>
      <w:r>
        <w:rPr>
          <w:b w:val="0"/>
          <w:i w:val="0"/>
        </w:rPr>
        <w:t xml:space="preserve">; </w:t>
      </w:r>
      <w:hyperlink w:anchor="latin-record-0677">
        <w:r>
          <w:rPr>
            <w:color w:val="000000"/>
          </w:rPr>
          <w:t xml:space="preserve">medium</w:t>
        </w:r>
      </w:hyperlink>
      <w:r>
        <w:rPr>
          <w:b w:val="0"/>
          <w:i w:val="0"/>
        </w:rPr>
        <w:t xml:space="preserve">; </w:t>
      </w:r>
      <w:hyperlink w:anchor="latin-record-0896">
        <w:r>
          <w:rPr>
            <w:color w:val="000000"/>
          </w:rPr>
          <w:t xml:space="preserve">posse / nequire</w:t>
        </w:r>
      </w:hyperlink>
      <w:r>
        <w:rPr>
          <w:b w:val="0"/>
          <w:i w:val="0"/>
        </w:rPr>
        <w:t xml:space="preserve">; </w:t>
      </w:r>
      <w:hyperlink w:anchor="latin-record-1077">
        <w:r>
          <w:rPr>
            <w:color w:val="000000"/>
          </w:rPr>
          <w:t xml:space="preserve">se toto</w:t>
        </w:r>
      </w:hyperlink>
      <w:r>
        <w:rPr>
          <w:b w:val="0"/>
          <w:i w:val="0"/>
        </w:rPr>
        <w:t xml:space="preserve">; </w:t>
      </w:r>
      <w:hyperlink w:anchor="latin-record-1106">
        <w:r>
          <w:rPr>
            <w:color w:val="000000"/>
          </w:rPr>
          <w:t xml:space="preserve">similis / dissimilis / similitudo</w:t>
        </w:r>
      </w:hyperlink>
      <w:r>
        <w:rPr>
          <w:b w:val="0"/>
          <w:i w:val="0"/>
        </w:rPr>
        <w:t xml:space="preserve">; </w:t>
      </w:r>
      <w:hyperlink w:anchor="latin-record-1118">
        <w:r>
          <w:rPr>
            <w:color w:val="000000"/>
          </w:rPr>
          <w:t xml:space="preserve">solus / solum</w:t>
        </w:r>
      </w:hyperlink>
      <w:r>
        <w:rPr>
          <w:b w:val="0"/>
          <w:i w:val="0"/>
        </w:rPr>
        <w:t xml:space="preserve">; </w:t>
      </w:r>
      <w:hyperlink w:anchor="latin-record-1154">
        <w:r>
          <w:rPr>
            <w:color w:val="000000"/>
          </w:rPr>
          <w:t xml:space="preserve">subiectum</w:t>
        </w:r>
      </w:hyperlink>
      <w:r>
        <w:rPr>
          <w:b w:val="0"/>
          <w:i w:val="0"/>
        </w:rPr>
        <w:t xml:space="preserve">; </w:t>
      </w:r>
      <w:hyperlink w:anchor="latin-record-1158">
        <w:r>
          <w:rPr>
            <w:color w:val="000000"/>
          </w:rPr>
          <w:t xml:space="preserve">sublatus</w:t>
        </w:r>
      </w:hyperlink>
      <w:r>
        <w:rPr>
          <w:b w:val="0"/>
          <w:i w:val="0"/>
        </w:rPr>
        <w:t>.</w:t>
      </w:r>
    </w:p>
    <w:p>
      <w:pPr>
        <w:widowControl/>
      </w:pPr>
      <w:bookmarkStart w:id="1854" w:name="passage-ii-11-10"/>
      <w:bookmarkEnd w:id="1854"/>
      <w:r>
        <w:rPr>
          <w:b/>
          <w:i w:val="0"/>
        </w:rPr>
        <w:t>II.11.10</w:t>
      </w:r>
      <w:r>
        <w:rPr>
          <w:b/>
          <w:i w:val="0"/>
        </w:rPr>
        <w:t>, source pp. 186–187.</w:t>
      </w:r>
      <w:r>
        <w:rPr>
          <w:b w:val="0"/>
          <w:i w:val="0"/>
        </w:rPr>
        <w:t xml:space="preserve"> Articles: </w:t>
      </w:r>
      <w:hyperlink w:anchor="art-and-nature">
        <w:r>
          <w:rPr>
            <w:color w:val="000000"/>
          </w:rPr>
          <w:t xml:space="preserve">Art and nature</w:t>
        </w:r>
      </w:hyperlink>
      <w:r>
        <w:rPr>
          <w:b w:val="0"/>
          <w:i w:val="0"/>
        </w:rPr>
        <w:t xml:space="preserve">; </w:t>
      </w:r>
      <w:hyperlink w:anchor="form">
        <w:r>
          <w:rPr>
            <w:color w:val="000000"/>
          </w:rPr>
          <w:t xml:space="preserve">Form</w:t>
        </w:r>
      </w:hyperlink>
      <w:r>
        <w:rPr>
          <w:b w:val="0"/>
          <w:i w:val="0"/>
        </w:rPr>
        <w:t xml:space="preserve">; </w:t>
      </w:r>
      <w:hyperlink w:anchor="order-and-harmony">
        <w:r>
          <w:rPr>
            <w:color w:val="000000"/>
          </w:rPr>
          <w:t xml:space="preserve">Order and harmony</w:t>
        </w:r>
      </w:hyperlink>
      <w:r>
        <w:rPr>
          <w:b w:val="0"/>
          <w:i w:val="0"/>
        </w:rPr>
        <w:t xml:space="preserve">. Vocabulary: </w:t>
      </w:r>
      <w:hyperlink w:anchor="latin-record-0347">
        <w:r>
          <w:rPr>
            <w:color w:val="000000"/>
          </w:rPr>
          <w:t xml:space="preserve">dominari</w:t>
        </w:r>
      </w:hyperlink>
      <w:r>
        <w:rPr>
          <w:b w:val="0"/>
          <w:i w:val="0"/>
        </w:rPr>
        <w:t xml:space="preserve">; </w:t>
      </w:r>
      <w:hyperlink w:anchor="latin-record-0584">
        <w:r>
          <w:rPr>
            <w:color w:val="000000"/>
          </w:rPr>
          <w:t xml:space="preserve">instinctus</w:t>
        </w:r>
      </w:hyperlink>
      <w:r>
        <w:rPr>
          <w:b w:val="0"/>
          <w:i w:val="0"/>
        </w:rPr>
        <w:t xml:space="preserve">; </w:t>
      </w:r>
      <w:hyperlink w:anchor="latin-record-1118">
        <w:r>
          <w:rPr>
            <w:color w:val="000000"/>
          </w:rPr>
          <w:t xml:space="preserve">solus / solum</w:t>
        </w:r>
      </w:hyperlink>
      <w:r>
        <w:rPr>
          <w:b w:val="0"/>
          <w:i w:val="0"/>
        </w:rPr>
        <w:t>.</w:t>
      </w:r>
    </w:p>
    <w:p>
      <w:pPr>
        <w:widowControl/>
      </w:pPr>
      <w:bookmarkStart w:id="1855" w:name="passage-ii-11-11"/>
      <w:bookmarkEnd w:id="1855"/>
      <w:r>
        <w:rPr>
          <w:b/>
          <w:i w:val="0"/>
        </w:rPr>
        <w:t>II.11.11</w:t>
      </w:r>
      <w:r>
        <w:rPr>
          <w:b/>
          <w:i w:val="0"/>
        </w:rPr>
        <w:t>, source pp. 186–187.</w:t>
      </w:r>
      <w:r>
        <w:rPr>
          <w:b w:val="0"/>
          <w:i w:val="0"/>
        </w:rPr>
        <w:t xml:space="preserve"> Articles: </w:t>
      </w:r>
      <w:hyperlink w:anchor="art-and-nature">
        <w:r>
          <w:rPr>
            <w:color w:val="000000"/>
          </w:rPr>
          <w:t xml:space="preserve">Art and nature</w:t>
        </w:r>
      </w:hyperlink>
      <w:r>
        <w:rPr>
          <w:b w:val="0"/>
          <w:i w:val="0"/>
        </w:rPr>
        <w:t xml:space="preserve">; </w:t>
      </w:r>
      <w:hyperlink w:anchor="form">
        <w:r>
          <w:rPr>
            <w:color w:val="000000"/>
          </w:rPr>
          <w:t xml:space="preserve">Form</w:t>
        </w:r>
      </w:hyperlink>
      <w:r>
        <w:rPr>
          <w:b w:val="0"/>
          <w:i w:val="0"/>
        </w:rPr>
        <w:t xml:space="preserve">; </w:t>
      </w:r>
      <w:hyperlink w:anchor="intellect-and-intellection">
        <w:r>
          <w:rPr>
            <w:color w:val="000000"/>
          </w:rPr>
          <w:t xml:space="preserve">Intellect and intellection</w:t>
        </w:r>
      </w:hyperlink>
      <w:r>
        <w:rPr>
          <w:b w:val="0"/>
          <w:i w:val="0"/>
        </w:rPr>
        <w:t xml:space="preserve">. Vocabulary: </w:t>
      </w:r>
      <w:hyperlink w:anchor="latin-record-0053">
        <w:r>
          <w:rPr>
            <w:color w:val="000000"/>
          </w:rPr>
          <w:t xml:space="preserve">alius / idem / uterque — explanatory distinction</w:t>
        </w:r>
      </w:hyperlink>
      <w:r>
        <w:rPr>
          <w:b w:val="0"/>
          <w:i w:val="0"/>
        </w:rPr>
        <w:t xml:space="preserve">; </w:t>
      </w:r>
      <w:hyperlink w:anchor="latin-record-0362">
        <w:r>
          <w:rPr>
            <w:color w:val="000000"/>
          </w:rPr>
          <w:t xml:space="preserve">efficax</w:t>
        </w:r>
      </w:hyperlink>
      <w:r>
        <w:rPr>
          <w:b w:val="0"/>
          <w:i w:val="0"/>
        </w:rPr>
        <w:t xml:space="preserve">; </w:t>
      </w:r>
      <w:hyperlink w:anchor="latin-record-0595">
        <w:r>
          <w:rPr>
            <w:color w:val="000000"/>
          </w:rPr>
          <w:t xml:space="preserve">intellectus / intelligentia / intelligere</w:t>
        </w:r>
      </w:hyperlink>
      <w:r>
        <w:rPr>
          <w:b w:val="0"/>
          <w:i w:val="0"/>
        </w:rPr>
        <w:t>.</w:t>
      </w:r>
    </w:p>
    <w:p>
      <w:pPr>
        <w:widowControl/>
      </w:pPr>
      <w:bookmarkStart w:id="1856" w:name="passage-ii-11-12"/>
      <w:bookmarkEnd w:id="1856"/>
      <w:r>
        <w:rPr>
          <w:b/>
          <w:i w:val="0"/>
        </w:rPr>
        <w:t>II.11.12</w:t>
      </w:r>
      <w:r>
        <w:rPr>
          <w:b/>
          <w:i w:val="0"/>
        </w:rPr>
        <w:t>, source pp. 188–189.</w:t>
      </w:r>
      <w:r>
        <w:rPr>
          <w:b w:val="0"/>
          <w:i w:val="0"/>
        </w:rPr>
        <w:t xml:space="preserve"> Articles: </w:t>
      </w:r>
      <w:hyperlink w:anchor="art-and-nature">
        <w:r>
          <w:rPr>
            <w:color w:val="000000"/>
          </w:rPr>
          <w:t xml:space="preserve">Art and nature</w:t>
        </w:r>
      </w:hyperlink>
      <w:r>
        <w:rPr>
          <w:b w:val="0"/>
          <w:i w:val="0"/>
        </w:rPr>
        <w:t xml:space="preserve">; </w:t>
      </w:r>
      <w:hyperlink w:anchor="form">
        <w:r>
          <w:rPr>
            <w:color w:val="000000"/>
          </w:rPr>
          <w:t xml:space="preserve">Form</w:t>
        </w:r>
      </w:hyperlink>
      <w:r>
        <w:rPr>
          <w:b w:val="0"/>
          <w:i w:val="0"/>
        </w:rPr>
        <w:t xml:space="preserve">; </w:t>
      </w:r>
      <w:hyperlink w:anchor="intellect-and-intellection">
        <w:r>
          <w:rPr>
            <w:color w:val="000000"/>
          </w:rPr>
          <w:t xml:space="preserve">Intellect and intellection</w:t>
        </w:r>
      </w:hyperlink>
      <w:r>
        <w:rPr>
          <w:b w:val="0"/>
          <w:i w:val="0"/>
        </w:rPr>
        <w:t xml:space="preserve">. Vocabulary: </w:t>
      </w:r>
      <w:hyperlink w:anchor="latin-record-0354">
        <w:r>
          <w:rPr>
            <w:color w:val="000000"/>
          </w:rPr>
          <w:t xml:space="preserve">dumtaxat</w:t>
        </w:r>
      </w:hyperlink>
      <w:r>
        <w:rPr>
          <w:b w:val="0"/>
          <w:i w:val="0"/>
        </w:rPr>
        <w:t xml:space="preserve">; </w:t>
      </w:r>
      <w:hyperlink w:anchor="latin-record-0532">
        <w:r>
          <w:rPr>
            <w:color w:val="000000"/>
          </w:rPr>
          <w:t xml:space="preserve">immo / potius / minime</w:t>
        </w:r>
      </w:hyperlink>
      <w:r>
        <w:rPr>
          <w:b w:val="0"/>
          <w:i w:val="0"/>
        </w:rPr>
        <w:t xml:space="preserve">; </w:t>
      </w:r>
      <w:hyperlink w:anchor="latin-record-0774">
        <w:r>
          <w:rPr>
            <w:color w:val="000000"/>
          </w:rPr>
          <w:t xml:space="preserve">nudus / adventitius</w:t>
        </w:r>
      </w:hyperlink>
      <w:r>
        <w:rPr>
          <w:b w:val="0"/>
          <w:i w:val="0"/>
        </w:rPr>
        <w:t xml:space="preserve">; </w:t>
      </w:r>
      <w:hyperlink w:anchor="latin-record-0929">
        <w:r>
          <w:rPr>
            <w:color w:val="000000"/>
          </w:rPr>
          <w:t xml:space="preserve">prior dignitate / tempore</w:t>
        </w:r>
      </w:hyperlink>
      <w:r>
        <w:rPr>
          <w:b w:val="0"/>
          <w:i w:val="0"/>
        </w:rPr>
        <w:t>.</w:t>
      </w:r>
    </w:p>
    <w:p>
      <w:pPr>
        <w:widowControl/>
      </w:pPr>
      <w:bookmarkStart w:id="1857" w:name="passage-ii-11-13"/>
      <w:bookmarkEnd w:id="1857"/>
      <w:r>
        <w:rPr>
          <w:b/>
          <w:i w:val="0"/>
        </w:rPr>
        <w:t>II.11.13</w:t>
      </w:r>
      <w:r>
        <w:rPr>
          <w:b/>
          <w:i w:val="0"/>
        </w:rPr>
        <w:t>, source pp. 188–189.</w:t>
      </w:r>
      <w:r>
        <w:rPr>
          <w:b w:val="0"/>
          <w:i w:val="0"/>
        </w:rPr>
        <w:t xml:space="preserve"> Articles: </w:t>
      </w:r>
      <w:hyperlink w:anchor="art-and-nature">
        <w:r>
          <w:rPr>
            <w:color w:val="000000"/>
          </w:rPr>
          <w:t xml:space="preserve">Art and nature</w:t>
        </w:r>
      </w:hyperlink>
      <w:r>
        <w:rPr>
          <w:b w:val="0"/>
          <w:i w:val="0"/>
        </w:rPr>
        <w:t xml:space="preserve">; </w:t>
      </w:r>
      <w:hyperlink w:anchor="form">
        <w:r>
          <w:rPr>
            <w:color w:val="000000"/>
          </w:rPr>
          <w:t xml:space="preserve">Form</w:t>
        </w:r>
      </w:hyperlink>
      <w:r>
        <w:rPr>
          <w:b w:val="0"/>
          <w:i w:val="0"/>
        </w:rPr>
        <w:t xml:space="preserve">; </w:t>
      </w:r>
      <w:hyperlink w:anchor="good-and-goodness">
        <w:r>
          <w:rPr>
            <w:color w:val="000000"/>
          </w:rPr>
          <w:t xml:space="preserve">Good and goodness</w:t>
        </w:r>
      </w:hyperlink>
      <w:r>
        <w:rPr>
          <w:b w:val="0"/>
          <w:i w:val="0"/>
        </w:rPr>
        <w:t xml:space="preserve">; </w:t>
      </w:r>
      <w:hyperlink w:anchor="intellect-and-intellection">
        <w:r>
          <w:rPr>
            <w:color w:val="000000"/>
          </w:rPr>
          <w:t xml:space="preserve">Intellect and intellection</w:t>
        </w:r>
      </w:hyperlink>
      <w:r>
        <w:rPr>
          <w:b w:val="0"/>
          <w:i w:val="0"/>
        </w:rPr>
        <w:t>.</w:t>
      </w:r>
    </w:p>
    <w:p>
      <w:pPr>
        <w:widowControl/>
      </w:pPr>
      <w:bookmarkStart w:id="1858" w:name="passage-ii-11-14"/>
      <w:bookmarkEnd w:id="1858"/>
      <w:r>
        <w:rPr>
          <w:b/>
          <w:i w:val="0"/>
        </w:rPr>
        <w:t>II.11.14</w:t>
      </w:r>
      <w:r>
        <w:rPr>
          <w:b/>
          <w:i w:val="0"/>
        </w:rPr>
        <w:t>, source pp. 188–189.</w:t>
      </w:r>
      <w:r>
        <w:rPr>
          <w:b w:val="0"/>
          <w:i w:val="0"/>
        </w:rPr>
        <w:t xml:space="preserve"> Articles: </w:t>
      </w:r>
      <w:hyperlink w:anchor="architect-and-house">
        <w:r>
          <w:rPr>
            <w:color w:val="000000"/>
          </w:rPr>
          <w:t xml:space="preserve">Architect, house and decoration</w:t>
        </w:r>
      </w:hyperlink>
      <w:r>
        <w:rPr>
          <w:b w:val="0"/>
          <w:i w:val="0"/>
        </w:rPr>
        <w:t xml:space="preserve">; </w:t>
      </w:r>
      <w:hyperlink w:anchor="art-and-nature">
        <w:r>
          <w:rPr>
            <w:color w:val="000000"/>
          </w:rPr>
          <w:t xml:space="preserve">Art and nature</w:t>
        </w:r>
      </w:hyperlink>
      <w:r>
        <w:rPr>
          <w:b w:val="0"/>
          <w:i w:val="0"/>
        </w:rPr>
        <w:t xml:space="preserve">; </w:t>
      </w:r>
      <w:hyperlink w:anchor="form">
        <w:r>
          <w:rPr>
            <w:color w:val="000000"/>
          </w:rPr>
          <w:t xml:space="preserve">Form</w:t>
        </w:r>
      </w:hyperlink>
      <w:r>
        <w:rPr>
          <w:b w:val="0"/>
          <w:i w:val="0"/>
        </w:rPr>
        <w:t xml:space="preserve">; </w:t>
      </w:r>
      <w:hyperlink w:anchor="good-and-goodness">
        <w:r>
          <w:rPr>
            <w:color w:val="000000"/>
          </w:rPr>
          <w:t xml:space="preserve">Good and goodness</w:t>
        </w:r>
      </w:hyperlink>
      <w:r>
        <w:rPr>
          <w:b w:val="0"/>
          <w:i w:val="0"/>
        </w:rPr>
        <w:t xml:space="preserve">; </w:t>
      </w:r>
      <w:hyperlink w:anchor="intellect-and-intellection">
        <w:r>
          <w:rPr>
            <w:color w:val="000000"/>
          </w:rPr>
          <w:t xml:space="preserve">Intellect and intellection</w:t>
        </w:r>
      </w:hyperlink>
      <w:r>
        <w:rPr>
          <w:b w:val="0"/>
          <w:i w:val="0"/>
        </w:rPr>
        <w:t xml:space="preserve">. Vocabulary: </w:t>
      </w:r>
      <w:hyperlink w:anchor="latin-record-0053">
        <w:r>
          <w:rPr>
            <w:color w:val="000000"/>
          </w:rPr>
          <w:t xml:space="preserve">alius / idem / uterque — explanatory distinction</w:t>
        </w:r>
      </w:hyperlink>
      <w:r>
        <w:rPr>
          <w:b w:val="0"/>
          <w:i w:val="0"/>
        </w:rPr>
        <w:t xml:space="preserve">; </w:t>
      </w:r>
      <w:hyperlink w:anchor="latin-record-0135">
        <w:r>
          <w:rPr>
            <w:color w:val="000000"/>
          </w:rPr>
          <w:t xml:space="preserve">calor / ignis / lignum</w:t>
        </w:r>
      </w:hyperlink>
      <w:r>
        <w:rPr>
          <w:b w:val="0"/>
          <w:i w:val="0"/>
        </w:rPr>
        <w:t xml:space="preserve">; </w:t>
      </w:r>
      <w:hyperlink w:anchor="latin-record-0625">
        <w:r>
          <w:rPr>
            <w:color w:val="000000"/>
          </w:rPr>
          <w:t xml:space="preserve">labi</w:t>
        </w:r>
      </w:hyperlink>
      <w:r>
        <w:rPr>
          <w:b w:val="0"/>
          <w:i w:val="0"/>
        </w:rPr>
        <w:t xml:space="preserve">; </w:t>
      </w:r>
      <w:hyperlink w:anchor="latin-record-0699">
        <w:r>
          <w:rPr>
            <w:color w:val="000000"/>
          </w:rPr>
          <w:t xml:space="preserve">minister / architectus</w:t>
        </w:r>
      </w:hyperlink>
      <w:r>
        <w:rPr>
          <w:b w:val="0"/>
          <w:i w:val="0"/>
        </w:rPr>
        <w:t xml:space="preserve">; </w:t>
      </w:r>
      <w:hyperlink w:anchor="latin-record-0744">
        <w:r>
          <w:rPr>
            <w:color w:val="000000"/>
          </w:rPr>
          <w:t xml:space="preserve">naturalis / natura</w:t>
        </w:r>
      </w:hyperlink>
      <w:r>
        <w:rPr>
          <w:b w:val="0"/>
          <w:i w:val="0"/>
        </w:rPr>
        <w:t xml:space="preserve">; </w:t>
      </w:r>
      <w:hyperlink w:anchor="latin-record-1195">
        <w:r>
          <w:rPr>
            <w:color w:val="000000"/>
          </w:rPr>
          <w:t xml:space="preserve">terminus operationis</w:t>
        </w:r>
      </w:hyperlink>
      <w:r>
        <w:rPr>
          <w:b w:val="0"/>
          <w:i w:val="0"/>
        </w:rPr>
        <w:t>.</w:t>
      </w:r>
    </w:p>
    <w:p>
      <w:pPr>
        <w:widowControl/>
      </w:pPr>
      <w:bookmarkStart w:id="1859" w:name="passage-ii-11-15"/>
      <w:bookmarkEnd w:id="1859"/>
      <w:r>
        <w:rPr>
          <w:b/>
          <w:i w:val="0"/>
        </w:rPr>
        <w:t>II.11.15</w:t>
      </w:r>
      <w:r>
        <w:rPr>
          <w:b/>
          <w:i w:val="0"/>
        </w:rPr>
        <w:t>, source pp. 188–189.</w:t>
      </w:r>
      <w:r>
        <w:rPr>
          <w:b w:val="0"/>
          <w:i w:val="0"/>
        </w:rPr>
        <w:t xml:space="preserve"> Articles: </w:t>
      </w:r>
      <w:hyperlink w:anchor="art-and-nature">
        <w:r>
          <w:rPr>
            <w:color w:val="000000"/>
          </w:rPr>
          <w:t xml:space="preserve">Art and nature</w:t>
        </w:r>
      </w:hyperlink>
      <w:r>
        <w:rPr>
          <w:b w:val="0"/>
          <w:i w:val="0"/>
        </w:rPr>
        <w:t xml:space="preserve">; </w:t>
      </w:r>
      <w:hyperlink w:anchor="form">
        <w:r>
          <w:rPr>
            <w:color w:val="000000"/>
          </w:rPr>
          <w:t xml:space="preserve">Form</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turning-and-direction">
        <w:r>
          <w:rPr>
            <w:color w:val="000000"/>
          </w:rPr>
          <w:t xml:space="preserve">Turning and direction</w:t>
        </w:r>
      </w:hyperlink>
      <w:r>
        <w:rPr>
          <w:b w:val="0"/>
          <w:i w:val="0"/>
        </w:rPr>
        <w:t xml:space="preserve">. Vocabulary: </w:t>
      </w:r>
      <w:hyperlink w:anchor="latin-record-1126">
        <w:r>
          <w:rPr>
            <w:color w:val="000000"/>
          </w:rPr>
          <w:t xml:space="preserve">speculari</w:t>
        </w:r>
      </w:hyperlink>
      <w:r>
        <w:rPr>
          <w:b w:val="0"/>
          <w:i w:val="0"/>
        </w:rPr>
        <w:t xml:space="preserve">; </w:t>
      </w:r>
      <w:hyperlink w:anchor="latin-record-1248">
        <w:r>
          <w:rPr>
            <w:color w:val="000000"/>
          </w:rPr>
          <w:t xml:space="preserve">versari / versare</w:t>
        </w:r>
      </w:hyperlink>
      <w:r>
        <w:rPr>
          <w:b w:val="0"/>
          <w:i w:val="0"/>
        </w:rPr>
        <w:t>.</w:t>
      </w:r>
    </w:p>
    <w:p>
      <w:pPr>
        <w:widowControl/>
      </w:pPr>
      <w:bookmarkStart w:id="1860" w:name="passage-ii-11-16"/>
      <w:bookmarkEnd w:id="1860"/>
      <w:r>
        <w:rPr>
          <w:b/>
          <w:i w:val="0"/>
        </w:rPr>
        <w:t>II.11.16</w:t>
      </w:r>
      <w:r>
        <w:rPr>
          <w:b/>
          <w:i w:val="0"/>
        </w:rPr>
        <w:t>, source pp. 188–189.</w:t>
      </w:r>
      <w:r>
        <w:rPr>
          <w:b w:val="0"/>
          <w:i w:val="0"/>
        </w:rPr>
        <w:t xml:space="preserve"> Articles: </w:t>
      </w:r>
      <w:hyperlink w:anchor="art-and-nature">
        <w:r>
          <w:rPr>
            <w:color w:val="000000"/>
          </w:rPr>
          <w:t xml:space="preserve">Art and nature</w:t>
        </w:r>
      </w:hyperlink>
      <w:r>
        <w:rPr>
          <w:b w:val="0"/>
          <w:i w:val="0"/>
        </w:rPr>
        <w:t xml:space="preserve">; </w:t>
      </w:r>
      <w:hyperlink w:anchor="form">
        <w:r>
          <w:rPr>
            <w:color w:val="000000"/>
          </w:rPr>
          <w:t xml:space="preserve">Form</w:t>
        </w:r>
      </w:hyperlink>
      <w:r>
        <w:rPr>
          <w:b w:val="0"/>
          <w:i w:val="0"/>
        </w:rPr>
        <w:t xml:space="preserve">; </w:t>
      </w:r>
      <w:hyperlink w:anchor="intellect-and-intellection">
        <w:r>
          <w:rPr>
            <w:color w:val="000000"/>
          </w:rPr>
          <w:t xml:space="preserve">Intellect and intellection</w:t>
        </w:r>
      </w:hyperlink>
      <w:r>
        <w:rPr>
          <w:b w:val="0"/>
          <w:i w:val="0"/>
        </w:rPr>
        <w:t xml:space="preserve">. Vocabulary: </w:t>
      </w:r>
      <w:hyperlink w:anchor="latin-record-0822">
        <w:r>
          <w:rPr>
            <w:color w:val="000000"/>
          </w:rPr>
          <w:t xml:space="preserve">Parmenides Pythagoreus</w:t>
        </w:r>
      </w:hyperlink>
      <w:r>
        <w:rPr>
          <w:b w:val="0"/>
          <w:i w:val="0"/>
        </w:rPr>
        <w:t xml:space="preserve">; </w:t>
      </w:r>
      <w:hyperlink w:anchor="latin-record-1063">
        <w:r>
          <w:rPr>
            <w:color w:val="000000"/>
          </w:rPr>
          <w:t xml:space="preserve">rotare</w:t>
        </w:r>
      </w:hyperlink>
      <w:r>
        <w:rPr>
          <w:b w:val="0"/>
          <w:i w:val="0"/>
        </w:rPr>
        <w:t>.</w:t>
      </w:r>
    </w:p>
    <w:p>
      <w:pPr>
        <w:widowControl/>
      </w:pPr>
      <w:bookmarkStart w:id="1861" w:name="passage-ii-11-17"/>
      <w:bookmarkEnd w:id="1861"/>
      <w:r>
        <w:rPr>
          <w:b/>
          <w:i w:val="0"/>
        </w:rPr>
        <w:t>II.11.17</w:t>
      </w:r>
      <w:r>
        <w:rPr>
          <w:b/>
          <w:i w:val="0"/>
        </w:rPr>
        <w:t>, source pp. 190–191.</w:t>
      </w:r>
      <w:r>
        <w:rPr>
          <w:b w:val="0"/>
          <w:i w:val="0"/>
        </w:rPr>
        <w:t xml:space="preserve"> Articles: </w:t>
      </w:r>
      <w:hyperlink w:anchor="chance">
        <w:r>
          <w:rPr>
            <w:color w:val="000000"/>
          </w:rPr>
          <w:t xml:space="preserve">Chance</w:t>
        </w:r>
      </w:hyperlink>
      <w:r>
        <w:rPr>
          <w:b w:val="0"/>
          <w:i w:val="0"/>
        </w:rPr>
        <w:t xml:space="preserve">;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w:t>
      </w:r>
      <w:hyperlink w:anchor="image-and-likeness">
        <w:r>
          <w:rPr>
            <w:color w:val="000000"/>
          </w:rPr>
          <w:t xml:space="preserve">Image and likeness</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reason-and-account">
        <w:r>
          <w:rPr>
            <w:color w:val="000000"/>
          </w:rPr>
          <w:t xml:space="preserve">Reason and account</w:t>
        </w:r>
      </w:hyperlink>
      <w:r>
        <w:rPr>
          <w:b w:val="0"/>
          <w:i w:val="0"/>
        </w:rPr>
        <w:t xml:space="preserve">. Vocabulary: </w:t>
      </w:r>
      <w:hyperlink w:anchor="latin-record-0528">
        <w:r>
          <w:rPr>
            <w:color w:val="000000"/>
          </w:rPr>
          <w:t xml:space="preserve">imitari / deficere</w:t>
        </w:r>
      </w:hyperlink>
      <w:r>
        <w:rPr>
          <w:b w:val="0"/>
          <w:i w:val="0"/>
        </w:rPr>
        <w:t xml:space="preserve">; </w:t>
      </w:r>
      <w:hyperlink w:anchor="latin-record-0793">
        <w:r>
          <w:rPr>
            <w:color w:val="000000"/>
          </w:rPr>
          <w:t xml:space="preserve">omniformis / uniformis</w:t>
        </w:r>
      </w:hyperlink>
      <w:r>
        <w:rPr>
          <w:b w:val="0"/>
          <w:i w:val="0"/>
        </w:rPr>
        <w:t xml:space="preserve">; </w:t>
      </w:r>
      <w:hyperlink w:anchor="latin-record-0879">
        <w:r>
          <w:rPr>
            <w:color w:val="000000"/>
          </w:rPr>
          <w:t xml:space="preserve">planta / animal</w:t>
        </w:r>
      </w:hyperlink>
      <w:r>
        <w:rPr>
          <w:b w:val="0"/>
          <w:i w:val="0"/>
        </w:rPr>
        <w:t xml:space="preserve">; </w:t>
      </w:r>
      <w:hyperlink w:anchor="latin-record-0959">
        <w:r>
          <w:rPr>
            <w:color w:val="000000"/>
          </w:rPr>
          <w:t xml:space="preserve">propositum</w:t>
        </w:r>
      </w:hyperlink>
      <w:r>
        <w:rPr>
          <w:b w:val="0"/>
          <w:i w:val="0"/>
        </w:rPr>
        <w:t>.</w:t>
      </w:r>
    </w:p>
    <w:p>
      <w:pPr>
        <w:widowControl/>
      </w:pPr>
      <w:bookmarkStart w:id="1862" w:name="passage-ii-11-18"/>
      <w:bookmarkEnd w:id="1862"/>
      <w:r>
        <w:rPr>
          <w:b/>
          <w:i w:val="0"/>
        </w:rPr>
        <w:t>II.11.18</w:t>
      </w:r>
      <w:r>
        <w:rPr>
          <w:b/>
          <w:i w:val="0"/>
        </w:rPr>
        <w:t>, source pp. 190–191.</w:t>
      </w:r>
      <w:r>
        <w:rPr>
          <w:b w:val="0"/>
          <w:i w:val="0"/>
        </w:rPr>
        <w:t xml:space="preserve"> Articles: </w:t>
      </w:r>
      <w:hyperlink w:anchor="architect-and-house">
        <w:r>
          <w:rPr>
            <w:color w:val="000000"/>
          </w:rPr>
          <w:t xml:space="preserve">Architect, house and decoration</w:t>
        </w:r>
      </w:hyperlink>
      <w:r>
        <w:rPr>
          <w:b w:val="0"/>
          <w:i w:val="0"/>
        </w:rPr>
        <w:t xml:space="preserve">; </w:t>
      </w:r>
      <w:hyperlink w:anchor="chance">
        <w:r>
          <w:rPr>
            <w:color w:val="000000"/>
          </w:rPr>
          <w:t xml:space="preserve">Chance</w:t>
        </w:r>
      </w:hyperlink>
      <w:r>
        <w:rPr>
          <w:b w:val="0"/>
          <w:i w:val="0"/>
        </w:rPr>
        <w:t xml:space="preserve">;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w:t>
      </w:r>
      <w:hyperlink w:anchor="image-and-likeness">
        <w:r>
          <w:rPr>
            <w:color w:val="000000"/>
          </w:rPr>
          <w:t xml:space="preserve">Image and likeness</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intuition-and-discourse">
        <w:r>
          <w:rPr>
            <w:color w:val="000000"/>
          </w:rPr>
          <w:t xml:space="preserve">Intuition and discourse</w:t>
        </w:r>
      </w:hyperlink>
      <w:r>
        <w:rPr>
          <w:b w:val="0"/>
          <w:i w:val="0"/>
        </w:rPr>
        <w:t xml:space="preserve">; </w:t>
      </w:r>
      <w:hyperlink w:anchor="reason-and-account">
        <w:r>
          <w:rPr>
            <w:color w:val="000000"/>
          </w:rPr>
          <w:t xml:space="preserve">Reason and account</w:t>
        </w:r>
      </w:hyperlink>
      <w:r>
        <w:rPr>
          <w:b w:val="0"/>
          <w:i w:val="0"/>
        </w:rPr>
        <w:t xml:space="preserve">; </w:t>
      </w:r>
      <w:hyperlink w:anchor="relations-and-respects">
        <w:r>
          <w:rPr>
            <w:color w:val="000000"/>
          </w:rPr>
          <w:t xml:space="preserve">Relations and respects</w:t>
        </w:r>
      </w:hyperlink>
      <w:r>
        <w:rPr>
          <w:b w:val="0"/>
          <w:i w:val="0"/>
        </w:rPr>
        <w:t xml:space="preserve">. Vocabulary: </w:t>
      </w:r>
      <w:hyperlink w:anchor="latin-record-0033">
        <w:r>
          <w:rPr>
            <w:color w:val="000000"/>
          </w:rPr>
          <w:t xml:space="preserve">aedificium / domus</w:t>
        </w:r>
      </w:hyperlink>
      <w:r>
        <w:rPr>
          <w:b w:val="0"/>
          <w:i w:val="0"/>
        </w:rPr>
        <w:t xml:space="preserve">; </w:t>
      </w:r>
      <w:hyperlink w:anchor="latin-record-0269">
        <w:r>
          <w:rPr>
            <w:color w:val="000000"/>
          </w:rPr>
          <w:t xml:space="preserve">contueri / intueri / intuitus</w:t>
        </w:r>
      </w:hyperlink>
      <w:r>
        <w:rPr>
          <w:b w:val="0"/>
          <w:i w:val="0"/>
        </w:rPr>
        <w:t xml:space="preserve">; </w:t>
      </w:r>
      <w:hyperlink w:anchor="latin-record-0797">
        <w:r>
          <w:rPr>
            <w:color w:val="000000"/>
          </w:rPr>
          <w:t xml:space="preserve">opifex</w:t>
        </w:r>
      </w:hyperlink>
      <w:r>
        <w:rPr>
          <w:b w:val="0"/>
          <w:i w:val="0"/>
        </w:rPr>
        <w:t xml:space="preserve">; </w:t>
      </w:r>
      <w:hyperlink w:anchor="latin-record-0808">
        <w:r>
          <w:rPr>
            <w:color w:val="000000"/>
          </w:rPr>
          <w:t xml:space="preserve">ordo / ordinare</w:t>
        </w:r>
      </w:hyperlink>
      <w:r>
        <w:rPr>
          <w:b w:val="0"/>
          <w:i w:val="0"/>
        </w:rPr>
        <w:t xml:space="preserve">; </w:t>
      </w:r>
      <w:hyperlink w:anchor="latin-record-0959">
        <w:r>
          <w:rPr>
            <w:color w:val="000000"/>
          </w:rPr>
          <w:t xml:space="preserve">propositum</w:t>
        </w:r>
      </w:hyperlink>
      <w:r>
        <w:rPr>
          <w:b w:val="0"/>
          <w:i w:val="0"/>
        </w:rPr>
        <w:t xml:space="preserve">; </w:t>
      </w:r>
      <w:hyperlink w:anchor="latin-record-0962">
        <w:r>
          <w:rPr>
            <w:color w:val="000000"/>
          </w:rPr>
          <w:t xml:space="preserve">proprius</w:t>
        </w:r>
      </w:hyperlink>
      <w:r>
        <w:rPr>
          <w:b w:val="0"/>
          <w:i w:val="0"/>
        </w:rPr>
        <w:t xml:space="preserve">; </w:t>
      </w:r>
      <w:hyperlink w:anchor="latin-record-1008">
        <w:r>
          <w:rPr>
            <w:color w:val="000000"/>
          </w:rPr>
          <w:t xml:space="preserve">quantum / quatenus / eatenus</w:t>
        </w:r>
      </w:hyperlink>
      <w:r>
        <w:rPr>
          <w:b w:val="0"/>
          <w:i w:val="0"/>
        </w:rPr>
        <w:t xml:space="preserve">; </w:t>
      </w:r>
      <w:hyperlink w:anchor="latin-record-1020">
        <w:r>
          <w:rPr>
            <w:color w:val="000000"/>
          </w:rPr>
          <w:t xml:space="preserve">ratio</w:t>
        </w:r>
      </w:hyperlink>
      <w:r>
        <w:rPr>
          <w:b w:val="0"/>
          <w:i w:val="0"/>
        </w:rPr>
        <w:t xml:space="preserve">; </w:t>
      </w:r>
      <w:hyperlink w:anchor="latin-record-1108">
        <w:r>
          <w:rPr>
            <w:color w:val="000000"/>
          </w:rPr>
          <w:t xml:space="preserve">simplex / simplicitas</w:t>
        </w:r>
      </w:hyperlink>
      <w:r>
        <w:rPr>
          <w:b w:val="0"/>
          <w:i w:val="0"/>
        </w:rPr>
        <w:t xml:space="preserve">; </w:t>
      </w:r>
      <w:hyperlink w:anchor="latin-record-1124">
        <w:r>
          <w:rPr>
            <w:color w:val="000000"/>
          </w:rPr>
          <w:t xml:space="preserve">species / idea</w:t>
        </w:r>
      </w:hyperlink>
      <w:r>
        <w:rPr>
          <w:b w:val="0"/>
          <w:i w:val="0"/>
        </w:rPr>
        <w:t>.</w:t>
      </w:r>
    </w:p>
    <w:p>
      <w:pPr>
        <w:widowControl/>
      </w:pPr>
      <w:bookmarkStart w:id="1863" w:name="passage-ii-11-19"/>
      <w:bookmarkEnd w:id="1863"/>
      <w:r>
        <w:rPr>
          <w:b/>
          <w:i w:val="0"/>
        </w:rPr>
        <w:t>II.11.19</w:t>
      </w:r>
      <w:r>
        <w:rPr>
          <w:b/>
          <w:i w:val="0"/>
        </w:rPr>
        <w:t>, source pp. 192–193.</w:t>
      </w:r>
      <w:r>
        <w:rPr>
          <w:b w:val="0"/>
          <w:i w:val="0"/>
        </w:rPr>
        <w:t xml:space="preserve"> Articles: </w:t>
      </w:r>
      <w:hyperlink w:anchor="form">
        <w:r>
          <w:rPr>
            <w:color w:val="000000"/>
          </w:rPr>
          <w:t xml:space="preserve">Form</w:t>
        </w:r>
      </w:hyperlink>
      <w:r>
        <w:rPr>
          <w:b w:val="0"/>
          <w:i w:val="0"/>
        </w:rPr>
        <w:t xml:space="preserve">; </w:t>
      </w:r>
      <w:hyperlink w:anchor="good-and-goodness">
        <w:r>
          <w:rPr>
            <w:color w:val="000000"/>
          </w:rPr>
          <w:t xml:space="preserve">Good and goodness</w:t>
        </w:r>
      </w:hyperlink>
      <w:r>
        <w:rPr>
          <w:b w:val="0"/>
          <w:i w:val="0"/>
        </w:rPr>
        <w:t xml:space="preserve">; </w:t>
      </w:r>
      <w:hyperlink w:anchor="ideas-and-exemplars">
        <w:r>
          <w:rPr>
            <w:color w:val="000000"/>
          </w:rPr>
          <w:t xml:space="preserve">Ideas and exemplars</w:t>
        </w:r>
      </w:hyperlink>
      <w:r>
        <w:rPr>
          <w:b w:val="0"/>
          <w:i w:val="0"/>
        </w:rPr>
        <w:t xml:space="preserve">; </w:t>
      </w:r>
      <w:hyperlink w:anchor="possession-and-privation">
        <w:r>
          <w:rPr>
            <w:color w:val="000000"/>
          </w:rPr>
          <w:t xml:space="preserve">Possession and privation</w:t>
        </w:r>
      </w:hyperlink>
      <w:r>
        <w:rPr>
          <w:b w:val="0"/>
          <w:i w:val="0"/>
        </w:rPr>
        <w:t xml:space="preserve">; </w:t>
      </w:r>
      <w:hyperlink w:anchor="qualification-and-attribution">
        <w:r>
          <w:rPr>
            <w:color w:val="000000"/>
          </w:rPr>
          <w:t xml:space="preserve">Qualification and attribution</w:t>
        </w:r>
      </w:hyperlink>
      <w:r>
        <w:rPr>
          <w:b w:val="0"/>
          <w:i w:val="0"/>
        </w:rPr>
        <w:t xml:space="preserve">; </w:t>
      </w:r>
      <w:hyperlink w:anchor="reason-and-account">
        <w:r>
          <w:rPr>
            <w:color w:val="000000"/>
          </w:rPr>
          <w:t xml:space="preserve">Reason and account</w:t>
        </w:r>
      </w:hyperlink>
      <w:r>
        <w:rPr>
          <w:b w:val="0"/>
          <w:i w:val="0"/>
        </w:rPr>
        <w:t xml:space="preserve">; </w:t>
      </w:r>
      <w:hyperlink w:anchor="relations-and-respects">
        <w:r>
          <w:rPr>
            <w:color w:val="000000"/>
          </w:rPr>
          <w:t xml:space="preserve">Relations and respects</w:t>
        </w:r>
      </w:hyperlink>
      <w:r>
        <w:rPr>
          <w:b w:val="0"/>
          <w:i w:val="0"/>
        </w:rPr>
        <w:t xml:space="preserve">. Vocabulary: </w:t>
      </w:r>
      <w:hyperlink w:anchor="latin-record-0203">
        <w:r>
          <w:rPr>
            <w:color w:val="000000"/>
          </w:rPr>
          <w:t xml:space="preserve">comparare</w:t>
        </w:r>
      </w:hyperlink>
      <w:r>
        <w:rPr>
          <w:b w:val="0"/>
          <w:i w:val="0"/>
        </w:rPr>
        <w:t xml:space="preserve">; </w:t>
      </w:r>
      <w:hyperlink w:anchor="latin-record-0499">
        <w:r>
          <w:rPr>
            <w:color w:val="000000"/>
          </w:rPr>
          <w:t xml:space="preserve">habitus — possession</w:t>
        </w:r>
      </w:hyperlink>
      <w:r>
        <w:rPr>
          <w:b w:val="0"/>
          <w:i w:val="0"/>
        </w:rPr>
        <w:t xml:space="preserve">; </w:t>
      </w:r>
      <w:hyperlink w:anchor="latin-record-0934">
        <w:r>
          <w:rPr>
            <w:color w:val="000000"/>
          </w:rPr>
          <w:t xml:space="preserve">privatio / malum</w:t>
        </w:r>
      </w:hyperlink>
      <w:r>
        <w:rPr>
          <w:b w:val="0"/>
          <w:i w:val="0"/>
        </w:rPr>
        <w:t xml:space="preserve">; </w:t>
      </w:r>
      <w:hyperlink w:anchor="latin-record-0961">
        <w:r>
          <w:rPr>
            <w:color w:val="000000"/>
          </w:rPr>
          <w:t xml:space="preserve">proprietas</w:t>
        </w:r>
      </w:hyperlink>
      <w:r>
        <w:rPr>
          <w:b w:val="0"/>
          <w:i w:val="0"/>
        </w:rPr>
        <w:t xml:space="preserve">; </w:t>
      </w:r>
      <w:hyperlink w:anchor="latin-record-0991">
        <w:r>
          <w:rPr>
            <w:color w:val="000000"/>
          </w:rPr>
          <w:t xml:space="preserve">putare / arbitrari</w:t>
        </w:r>
      </w:hyperlink>
      <w:r>
        <w:rPr>
          <w:b w:val="0"/>
          <w:i w:val="0"/>
        </w:rPr>
        <w:t xml:space="preserve">; </w:t>
      </w:r>
      <w:hyperlink w:anchor="latin-record-1028">
        <w:r>
          <w:rPr>
            <w:color w:val="000000"/>
          </w:rPr>
          <w:t xml:space="preserve">realis / intellectus (adjectival)</w:t>
        </w:r>
      </w:hyperlink>
      <w:r>
        <w:rPr>
          <w:b w:val="0"/>
          <w:i w:val="0"/>
        </w:rPr>
        <w:t xml:space="preserve">; </w:t>
      </w:r>
      <w:hyperlink w:anchor="latin-record-1051">
        <w:r>
          <w:rPr>
            <w:color w:val="000000"/>
          </w:rPr>
          <w:t xml:space="preserve">respectus</w:t>
        </w:r>
      </w:hyperlink>
      <w:r>
        <w:rPr>
          <w:b w:val="0"/>
          <w:i w:val="0"/>
        </w:rPr>
        <w:t>.</w:t>
      </w:r>
    </w:p>
    <w:p>
      <w:pPr>
        <w:widowControl/>
      </w:pPr>
      <w:bookmarkStart w:id="1864" w:name="passage-ii-11-20"/>
      <w:bookmarkEnd w:id="1864"/>
      <w:r>
        <w:rPr>
          <w:b/>
          <w:i w:val="0"/>
        </w:rPr>
        <w:t>II.11.20</w:t>
      </w:r>
      <w:r>
        <w:rPr>
          <w:b/>
          <w:i w:val="0"/>
        </w:rPr>
        <w:t>, source pp. 192–193.</w:t>
      </w:r>
      <w:r>
        <w:rPr>
          <w:b w:val="0"/>
          <w:i w:val="0"/>
        </w:rPr>
        <w:t xml:space="preserve"> Articles: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Vocabulary: </w:t>
      </w:r>
      <w:hyperlink w:anchor="latin-record-0307">
        <w:r>
          <w:rPr>
            <w:color w:val="000000"/>
          </w:rPr>
          <w:t xml:space="preserve">designare</w:t>
        </w:r>
      </w:hyperlink>
      <w:r>
        <w:rPr>
          <w:b w:val="0"/>
          <w:i w:val="0"/>
        </w:rPr>
        <w:t xml:space="preserve">; </w:t>
      </w:r>
      <w:hyperlink w:anchor="latin-record-0961">
        <w:r>
          <w:rPr>
            <w:color w:val="000000"/>
          </w:rPr>
          <w:t xml:space="preserve">proprietas</w:t>
        </w:r>
      </w:hyperlink>
      <w:r>
        <w:rPr>
          <w:b w:val="0"/>
          <w:i w:val="0"/>
        </w:rPr>
        <w:t>.</w:t>
      </w:r>
    </w:p>
    <w:p>
      <w:pPr>
        <w:widowControl/>
      </w:pPr>
      <w:bookmarkStart w:id="1865" w:name="passage-ii-11-21"/>
      <w:bookmarkEnd w:id="1865"/>
      <w:r>
        <w:rPr>
          <w:b/>
          <w:i w:val="0"/>
        </w:rPr>
        <w:t>II.11.21</w:t>
      </w:r>
      <w:r>
        <w:rPr>
          <w:b/>
          <w:i w:val="0"/>
        </w:rPr>
        <w:t>, source pp. 192–193.</w:t>
      </w:r>
      <w:r>
        <w:rPr>
          <w:b w:val="0"/>
          <w:i w:val="0"/>
        </w:rPr>
        <w:t xml:space="preserve"> Articles: </w:t>
      </w:r>
      <w:hyperlink w:anchor="architect-and-house">
        <w:r>
          <w:rPr>
            <w:color w:val="000000"/>
          </w:rPr>
          <w:t xml:space="preserve">Architect, house and decoration</w:t>
        </w:r>
      </w:hyperlink>
      <w:r>
        <w:rPr>
          <w:b w:val="0"/>
          <w:i w:val="0"/>
        </w:rPr>
        <w:t xml:space="preserve">;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Vocabulary: </w:t>
      </w:r>
      <w:hyperlink w:anchor="latin-record-0033">
        <w:r>
          <w:rPr>
            <w:color w:val="000000"/>
          </w:rPr>
          <w:t xml:space="preserve">aedificium / domus</w:t>
        </w:r>
      </w:hyperlink>
      <w:r>
        <w:rPr>
          <w:b w:val="0"/>
          <w:i w:val="0"/>
        </w:rPr>
        <w:t xml:space="preserve">; </w:t>
      </w:r>
      <w:hyperlink w:anchor="latin-record-0193">
        <w:r>
          <w:rPr>
            <w:color w:val="000000"/>
          </w:rPr>
          <w:t xml:space="preserve">comitari / contingere</w:t>
        </w:r>
      </w:hyperlink>
      <w:r>
        <w:rPr>
          <w:b w:val="0"/>
          <w:i w:val="0"/>
        </w:rPr>
        <w:t xml:space="preserve">; </w:t>
      </w:r>
      <w:hyperlink w:anchor="latin-record-0789">
        <w:r>
          <w:rPr>
            <w:color w:val="000000"/>
          </w:rPr>
          <w:t xml:space="preserve">occasio / nancisci</w:t>
        </w:r>
      </w:hyperlink>
      <w:r>
        <w:rPr>
          <w:b w:val="0"/>
          <w:i w:val="0"/>
        </w:rPr>
        <w:t xml:space="preserve">; </w:t>
      </w:r>
      <w:hyperlink w:anchor="latin-record-0873">
        <w:r>
          <w:rPr>
            <w:color w:val="000000"/>
          </w:rPr>
          <w:t xml:space="preserve">pictura</w:t>
        </w:r>
      </w:hyperlink>
      <w:r>
        <w:rPr>
          <w:b w:val="0"/>
          <w:i w:val="0"/>
        </w:rPr>
        <w:t xml:space="preserve">; </w:t>
      </w:r>
      <w:hyperlink w:anchor="latin-record-0959">
        <w:r>
          <w:rPr>
            <w:color w:val="000000"/>
          </w:rPr>
          <w:t xml:space="preserve">propositum</w:t>
        </w:r>
      </w:hyperlink>
      <w:r>
        <w:rPr>
          <w:b w:val="0"/>
          <w:i w:val="0"/>
        </w:rPr>
        <w:t>.</w:t>
      </w:r>
    </w:p>
    <w:p>
      <w:pPr>
        <w:widowControl/>
      </w:pPr>
      <w:bookmarkStart w:id="1866" w:name="passage-ii-11-22"/>
      <w:bookmarkEnd w:id="1866"/>
      <w:r>
        <w:rPr>
          <w:b/>
          <w:i w:val="0"/>
        </w:rPr>
        <w:t>II.11.22</w:t>
      </w:r>
      <w:r>
        <w:rPr>
          <w:b/>
          <w:i w:val="0"/>
        </w:rPr>
        <w:t>, source pp. 192–193.</w:t>
      </w:r>
      <w:r>
        <w:rPr>
          <w:b w:val="0"/>
          <w:i w:val="0"/>
        </w:rPr>
        <w:t xml:space="preserve"> Articles: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w:t>
      </w:r>
      <w:hyperlink w:anchor="insults-and-rebuke">
        <w:r>
          <w:rPr>
            <w:color w:val="000000"/>
          </w:rPr>
          <w:t xml:space="preserve">Insults and rebuke</w:t>
        </w:r>
      </w:hyperlink>
      <w:r>
        <w:rPr>
          <w:b w:val="0"/>
          <w:i w:val="0"/>
        </w:rPr>
        <w:t xml:space="preserve">. Vocabulary: </w:t>
      </w:r>
      <w:hyperlink w:anchor="latin-record-0138">
        <w:r>
          <w:rPr>
            <w:color w:val="000000"/>
          </w:rPr>
          <w:t xml:space="preserve">canis / latrare</w:t>
        </w:r>
      </w:hyperlink>
      <w:r>
        <w:rPr>
          <w:b w:val="0"/>
          <w:i w:val="0"/>
        </w:rPr>
        <w:t xml:space="preserve">; </w:t>
      </w:r>
      <w:hyperlink w:anchor="latin-record-0880">
        <w:r>
          <w:rPr>
            <w:color w:val="000000"/>
          </w:rPr>
          <w:t xml:space="preserve">Plato / Platonici</w:t>
        </w:r>
      </w:hyperlink>
      <w:r>
        <w:rPr>
          <w:b w:val="0"/>
          <w:i w:val="0"/>
        </w:rPr>
        <w:t xml:space="preserve">; </w:t>
      </w:r>
      <w:hyperlink w:anchor="latin-record-1092">
        <w:r>
          <w:rPr>
            <w:color w:val="000000"/>
          </w:rPr>
          <w:t xml:space="preserve">sententia</w:t>
        </w:r>
      </w:hyperlink>
      <w:r>
        <w:rPr>
          <w:b w:val="0"/>
          <w:i w:val="0"/>
        </w:rPr>
        <w:t>.</w:t>
      </w:r>
    </w:p>
    <w:p>
      <w:pPr>
        <w:widowControl/>
      </w:pPr>
      <w:bookmarkStart w:id="1867" w:name="passage-ii-11-23"/>
      <w:bookmarkEnd w:id="1867"/>
      <w:r>
        <w:rPr>
          <w:b/>
          <w:i w:val="0"/>
        </w:rPr>
        <w:t>II.11.23</w:t>
      </w:r>
      <w:r>
        <w:rPr>
          <w:b/>
          <w:i w:val="0"/>
        </w:rPr>
        <w:t>, source pp. 192–193.</w:t>
      </w:r>
      <w:r>
        <w:rPr>
          <w:b w:val="0"/>
          <w:i w:val="0"/>
        </w:rPr>
        <w:t xml:space="preserve"> Articles: </w:t>
      </w:r>
      <w:hyperlink w:anchor="form">
        <w:r>
          <w:rPr>
            <w:color w:val="000000"/>
          </w:rPr>
          <w:t xml:space="preserve">Form</w:t>
        </w:r>
      </w:hyperlink>
      <w:r>
        <w:rPr>
          <w:b w:val="0"/>
          <w:i w:val="0"/>
        </w:rPr>
        <w:t xml:space="preserve">. Vocabulary: </w:t>
      </w:r>
      <w:hyperlink w:anchor="latin-record-1069">
        <w:r>
          <w:rPr>
            <w:color w:val="000000"/>
          </w:rPr>
          <w:t xml:space="preserve">sapientia / sapiens</w:t>
        </w:r>
      </w:hyperlink>
      <w:r>
        <w:rPr>
          <w:b w:val="0"/>
          <w:i w:val="0"/>
        </w:rPr>
        <w:t>.</w:t>
      </w:r>
    </w:p>
    <w:p>
      <w:pPr>
        <w:widowControl/>
      </w:pPr>
      <w:bookmarkStart w:id="1868" w:name="passage-ii-11-24"/>
      <w:bookmarkEnd w:id="1868"/>
      <w:r>
        <w:rPr>
          <w:b/>
          <w:i w:val="0"/>
        </w:rPr>
        <w:t>II.11.24</w:t>
      </w:r>
      <w:r>
        <w:rPr>
          <w:b/>
          <w:i w:val="0"/>
        </w:rPr>
        <w:t>, source pp. 194–195.</w:t>
      </w:r>
      <w:r>
        <w:rPr>
          <w:b w:val="0"/>
          <w:i w:val="0"/>
        </w:rPr>
        <w:t xml:space="preserve"> Articles: </w:t>
      </w:r>
      <w:hyperlink w:anchor="assent-and-approval">
        <w:r>
          <w:rPr>
            <w:color w:val="000000"/>
          </w:rPr>
          <w:t xml:space="preserve">Assent of will</w:t>
        </w:r>
      </w:hyperlink>
      <w:r>
        <w:rPr>
          <w:b w:val="0"/>
          <w:i w:val="0"/>
        </w:rPr>
        <w:t xml:space="preserve">; </w:t>
      </w:r>
      <w:hyperlink w:anchor="will">
        <w:r>
          <w:rPr>
            <w:color w:val="000000"/>
          </w:rPr>
          <w:t xml:space="preserve">Will</w:t>
        </w:r>
      </w:hyperlink>
      <w:r>
        <w:rPr>
          <w:b w:val="0"/>
          <w:i w:val="0"/>
        </w:rPr>
        <w:t xml:space="preserve">. Vocabulary: </w:t>
      </w:r>
      <w:hyperlink w:anchor="latin-record-0103">
        <w:r>
          <w:rPr>
            <w:color w:val="000000"/>
          </w:rPr>
          <w:t xml:space="preserve">assensus</w:t>
        </w:r>
      </w:hyperlink>
      <w:r>
        <w:rPr>
          <w:b w:val="0"/>
          <w:i w:val="0"/>
        </w:rPr>
        <w:t xml:space="preserve">; </w:t>
      </w:r>
      <w:hyperlink w:anchor="latin-record-0959">
        <w:r>
          <w:rPr>
            <w:color w:val="000000"/>
          </w:rPr>
          <w:t xml:space="preserve">propositum</w:t>
        </w:r>
      </w:hyperlink>
      <w:r>
        <w:rPr>
          <w:b w:val="0"/>
          <w:i w:val="0"/>
        </w:rPr>
        <w:t xml:space="preserve">; </w:t>
      </w:r>
      <w:hyperlink w:anchor="latin-record-1280">
        <w:r>
          <w:rPr>
            <w:color w:val="000000"/>
          </w:rPr>
          <w:t xml:space="preserve">volente Deo</w:t>
        </w:r>
      </w:hyperlink>
      <w:r>
        <w:rPr>
          <w:b w:val="0"/>
          <w:i w:val="0"/>
        </w:rPr>
        <w:t>.</w:t>
      </w:r>
    </w:p>
    <w:p>
      <w:pPr>
        <w:widowControl/>
      </w:pPr>
      <w:bookmarkStart w:id="1869" w:name="passage-ii-11-25"/>
      <w:bookmarkEnd w:id="1869"/>
      <w:r>
        <w:rPr>
          <w:b/>
          <w:i w:val="0"/>
        </w:rPr>
        <w:t>II.11.25</w:t>
      </w:r>
      <w:r>
        <w:rPr>
          <w:b/>
          <w:i w:val="0"/>
        </w:rPr>
        <w:t>, source pp. 194–195.</w:t>
      </w:r>
      <w:r>
        <w:rPr>
          <w:b w:val="0"/>
          <w:i w:val="0"/>
        </w:rPr>
        <w:t xml:space="preserve"> Articles: </w:t>
      </w:r>
      <w:hyperlink w:anchor="assent-and-approval">
        <w:r>
          <w:rPr>
            <w:color w:val="000000"/>
          </w:rPr>
          <w:t xml:space="preserve">Assent of will</w:t>
        </w:r>
      </w:hyperlink>
      <w:r>
        <w:rPr>
          <w:b w:val="0"/>
          <w:i w:val="0"/>
        </w:rPr>
        <w:t xml:space="preserve">; </w:t>
      </w:r>
      <w:hyperlink w:anchor="end-and-limit">
        <w:r>
          <w:rPr>
            <w:color w:val="000000"/>
          </w:rPr>
          <w:t xml:space="preserve">End and limit</w:t>
        </w:r>
      </w:hyperlink>
      <w:r>
        <w:rPr>
          <w:b w:val="0"/>
          <w:i w:val="0"/>
        </w:rPr>
        <w:t xml:space="preserve">; </w:t>
      </w:r>
      <w:hyperlink w:anchor="paths-and-prescribed-ends">
        <w:r>
          <w:rPr>
            <w:color w:val="000000"/>
          </w:rPr>
          <w:t xml:space="preserve">Paths and prescribed ends</w:t>
        </w:r>
      </w:hyperlink>
      <w:r>
        <w:rPr>
          <w:b w:val="0"/>
          <w:i w:val="0"/>
        </w:rPr>
        <w:t xml:space="preserve">; </w:t>
      </w:r>
      <w:hyperlink w:anchor="will">
        <w:r>
          <w:rPr>
            <w:color w:val="000000"/>
          </w:rPr>
          <w:t xml:space="preserve">Will</w:t>
        </w:r>
      </w:hyperlink>
      <w:r>
        <w:rPr>
          <w:b w:val="0"/>
          <w:i w:val="0"/>
        </w:rPr>
        <w:t xml:space="preserve">. Vocabulary: </w:t>
      </w:r>
      <w:hyperlink w:anchor="latin-record-0077">
        <w:r>
          <w:rPr>
            <w:color w:val="000000"/>
          </w:rPr>
          <w:t xml:space="preserve">anticipare / discernere / metiri</w:t>
        </w:r>
      </w:hyperlink>
      <w:r>
        <w:rPr>
          <w:b w:val="0"/>
          <w:i w:val="0"/>
        </w:rPr>
        <w:t xml:space="preserve">; </w:t>
      </w:r>
      <w:hyperlink w:anchor="latin-record-0088">
        <w:r>
          <w:rPr>
            <w:color w:val="000000"/>
          </w:rPr>
          <w:t xml:space="preserve">approbare / eligere</w:t>
        </w:r>
      </w:hyperlink>
      <w:r>
        <w:rPr>
          <w:b w:val="0"/>
          <w:i w:val="0"/>
        </w:rPr>
        <w:t xml:space="preserve">; </w:t>
      </w:r>
      <w:hyperlink w:anchor="latin-record-0486">
        <w:r>
          <w:rPr>
            <w:color w:val="000000"/>
          </w:rPr>
          <w:t xml:space="preserve">gradus / mensura / proportio</w:t>
        </w:r>
      </w:hyperlink>
      <w:r>
        <w:rPr>
          <w:b w:val="0"/>
          <w:i w:val="0"/>
        </w:rPr>
        <w:t xml:space="preserve">; </w:t>
      </w:r>
      <w:hyperlink w:anchor="latin-record-0896">
        <w:r>
          <w:rPr>
            <w:color w:val="000000"/>
          </w:rPr>
          <w:t xml:space="preserve">posse / nequire</w:t>
        </w:r>
      </w:hyperlink>
      <w:r>
        <w:rPr>
          <w:b w:val="0"/>
          <w:i w:val="0"/>
        </w:rPr>
        <w:t xml:space="preserve">; </w:t>
      </w:r>
      <w:hyperlink w:anchor="latin-record-1250">
        <w:r>
          <w:rPr>
            <w:color w:val="000000"/>
          </w:rPr>
          <w:t xml:space="preserve">via</w:t>
        </w:r>
      </w:hyperlink>
      <w:r>
        <w:rPr>
          <w:b w:val="0"/>
          <w:i w:val="0"/>
        </w:rPr>
        <w:t>.</w:t>
      </w:r>
    </w:p>
    <w:p>
      <w:pPr>
        <w:widowControl/>
      </w:pPr>
      <w:bookmarkStart w:id="1870" w:name="passage-ii-11-26"/>
      <w:bookmarkEnd w:id="1870"/>
      <w:r>
        <w:rPr>
          <w:b/>
          <w:i w:val="0"/>
        </w:rPr>
        <w:t>II.11.26</w:t>
      </w:r>
      <w:r>
        <w:rPr>
          <w:b/>
          <w:i w:val="0"/>
        </w:rPr>
        <w:t>, source pp. 194–195.</w:t>
      </w:r>
      <w:r>
        <w:rPr>
          <w:b w:val="0"/>
          <w:i w:val="0"/>
        </w:rPr>
        <w:t xml:space="preserve"> Articles: </w:t>
      </w:r>
      <w:hyperlink w:anchor="assent-and-approval">
        <w:r>
          <w:rPr>
            <w:color w:val="000000"/>
          </w:rPr>
          <w:t xml:space="preserve">Assent of will</w:t>
        </w:r>
      </w:hyperlink>
      <w:r>
        <w:rPr>
          <w:b w:val="0"/>
          <w:i w:val="0"/>
        </w:rPr>
        <w:t xml:space="preserve">; </w:t>
      </w:r>
      <w:hyperlink w:anchor="end-and-limit">
        <w:r>
          <w:rPr>
            <w:color w:val="000000"/>
          </w:rPr>
          <w:t xml:space="preserve">End and limit</w:t>
        </w:r>
      </w:hyperlink>
      <w:r>
        <w:rPr>
          <w:b w:val="0"/>
          <w:i w:val="0"/>
        </w:rPr>
        <w:t xml:space="preserve">; </w:t>
      </w:r>
      <w:hyperlink w:anchor="will">
        <w:r>
          <w:rPr>
            <w:color w:val="000000"/>
          </w:rPr>
          <w:t xml:space="preserve">Will</w:t>
        </w:r>
      </w:hyperlink>
      <w:r>
        <w:rPr>
          <w:b w:val="0"/>
          <w:i w:val="0"/>
        </w:rPr>
        <w:t xml:space="preserve">. Vocabulary: </w:t>
      </w:r>
      <w:hyperlink w:anchor="latin-record-0088">
        <w:r>
          <w:rPr>
            <w:color w:val="000000"/>
          </w:rPr>
          <w:t xml:space="preserve">approbare / eligere</w:t>
        </w:r>
      </w:hyperlink>
      <w:r>
        <w:rPr>
          <w:b w:val="0"/>
          <w:i w:val="0"/>
        </w:rPr>
        <w:t xml:space="preserve">; </w:t>
      </w:r>
      <w:hyperlink w:anchor="latin-record-0310">
        <w:r>
          <w:rPr>
            <w:color w:val="000000"/>
          </w:rPr>
          <w:t xml:space="preserve">detestari</w:t>
        </w:r>
      </w:hyperlink>
      <w:r>
        <w:rPr>
          <w:b w:val="0"/>
          <w:i w:val="0"/>
        </w:rPr>
        <w:t xml:space="preserve">; </w:t>
      </w:r>
      <w:hyperlink w:anchor="latin-record-0868">
        <w:r>
          <w:rPr>
            <w:color w:val="000000"/>
          </w:rPr>
          <w:t xml:space="preserve">Phaedo / Philebus / Politicus / Phaedrus</w:t>
        </w:r>
      </w:hyperlink>
      <w:r>
        <w:rPr>
          <w:b w:val="0"/>
          <w:i w:val="0"/>
        </w:rPr>
        <w:t xml:space="preserve">; </w:t>
      </w:r>
      <w:hyperlink w:anchor="latin-record-1250">
        <w:r>
          <w:rPr>
            <w:color w:val="000000"/>
          </w:rPr>
          <w:t xml:space="preserve">via</w:t>
        </w:r>
      </w:hyperlink>
      <w:r>
        <w:rPr>
          <w:b w:val="0"/>
          <w:i w:val="0"/>
        </w:rPr>
        <w:t>.</w:t>
      </w:r>
    </w:p>
    <w:p>
      <w:pPr>
        <w:widowControl/>
      </w:pPr>
      <w:bookmarkStart w:id="1871" w:name="passage-ii-11-27"/>
      <w:bookmarkEnd w:id="1871"/>
      <w:r>
        <w:rPr>
          <w:b/>
          <w:i w:val="0"/>
        </w:rPr>
        <w:t>II.11.27</w:t>
      </w:r>
      <w:r>
        <w:rPr>
          <w:b/>
          <w:i w:val="0"/>
        </w:rPr>
        <w:t>, source pp. 194–195.</w:t>
      </w:r>
      <w:r>
        <w:rPr>
          <w:b w:val="0"/>
          <w:i w:val="0"/>
        </w:rPr>
        <w:t xml:space="preserve"> Articles: </w:t>
      </w:r>
      <w:hyperlink w:anchor="end-and-limit">
        <w:r>
          <w:rPr>
            <w:color w:val="000000"/>
          </w:rPr>
          <w:t xml:space="preserve">End and limit</w:t>
        </w:r>
      </w:hyperlink>
      <w:r>
        <w:rPr>
          <w:b w:val="0"/>
          <w:i w:val="0"/>
        </w:rPr>
        <w:t xml:space="preserve">; </w:t>
      </w:r>
      <w:hyperlink w:anchor="participation">
        <w:r>
          <w:rPr>
            <w:color w:val="000000"/>
          </w:rPr>
          <w:t xml:space="preserve">Participation</w:t>
        </w:r>
      </w:hyperlink>
      <w:r>
        <w:rPr>
          <w:b w:val="0"/>
          <w:i w:val="0"/>
        </w:rPr>
        <w:t xml:space="preserve">; </w:t>
      </w:r>
      <w:hyperlink w:anchor="will">
        <w:r>
          <w:rPr>
            <w:color w:val="000000"/>
          </w:rPr>
          <w:t xml:space="preserve">Will</w:t>
        </w:r>
      </w:hyperlink>
      <w:r>
        <w:rPr>
          <w:b w:val="0"/>
          <w:i w:val="0"/>
        </w:rPr>
        <w:t xml:space="preserve">. Vocabulary: </w:t>
      </w:r>
      <w:hyperlink w:anchor="latin-record-0489">
        <w:r>
          <w:rPr>
            <w:color w:val="000000"/>
          </w:rPr>
          <w:t xml:space="preserve">gratia — purpose</w:t>
        </w:r>
      </w:hyperlink>
      <w:r>
        <w:rPr>
          <w:b w:val="0"/>
          <w:i w:val="0"/>
        </w:rPr>
        <w:t xml:space="preserve">; </w:t>
      </w:r>
      <w:hyperlink w:anchor="latin-record-1064">
        <w:r>
          <w:rPr>
            <w:color w:val="000000"/>
          </w:rPr>
          <w:t xml:space="preserve">rotunditas</w:t>
        </w:r>
      </w:hyperlink>
      <w:r>
        <w:rPr>
          <w:b w:val="0"/>
          <w:i w:val="0"/>
        </w:rPr>
        <w:t>.</w:t>
      </w:r>
    </w:p>
    <w:p>
      <w:pPr>
        <w:widowControl/>
      </w:pPr>
      <w:bookmarkStart w:id="1872" w:name="passage-ii-11-28"/>
      <w:bookmarkEnd w:id="1872"/>
      <w:r>
        <w:rPr>
          <w:b/>
          <w:i w:val="0"/>
        </w:rPr>
        <w:t>II.11.28</w:t>
      </w:r>
      <w:r>
        <w:rPr>
          <w:b/>
          <w:i w:val="0"/>
        </w:rPr>
        <w:t>, source pp. 194–195.</w:t>
      </w:r>
      <w:r>
        <w:rPr>
          <w:b w:val="0"/>
          <w:i w:val="0"/>
        </w:rPr>
        <w:t xml:space="preserve"> Articles: </w:t>
      </w:r>
      <w:hyperlink w:anchor="will">
        <w:r>
          <w:rPr>
            <w:color w:val="000000"/>
          </w:rPr>
          <w:t xml:space="preserve">Will</w:t>
        </w:r>
      </w:hyperlink>
      <w:r>
        <w:rPr>
          <w:b w:val="0"/>
          <w:i w:val="0"/>
        </w:rPr>
        <w:t xml:space="preserve">. Vocabulary: </w:t>
      </w:r>
      <w:hyperlink w:anchor="latin-record-1009">
        <w:r>
          <w:rPr>
            <w:color w:val="000000"/>
          </w:rPr>
          <w:t xml:space="preserve">quantum ens est</w:t>
        </w:r>
      </w:hyperlink>
      <w:r>
        <w:rPr>
          <w:b w:val="0"/>
          <w:i w:val="0"/>
        </w:rPr>
        <w:t>.</w:t>
      </w:r>
    </w:p>
    <w:p>
      <w:pPr>
        <w:widowControl/>
      </w:pPr>
      <w:bookmarkStart w:id="1873" w:name="passage-ii-11-29"/>
      <w:bookmarkEnd w:id="1873"/>
      <w:r>
        <w:rPr>
          <w:b/>
          <w:i w:val="0"/>
        </w:rPr>
        <w:t>II.11.29</w:t>
      </w:r>
      <w:r>
        <w:rPr>
          <w:b/>
          <w:i w:val="0"/>
        </w:rPr>
        <w:t>, source pp. 196–197.</w:t>
      </w:r>
      <w:r>
        <w:rPr>
          <w:b w:val="0"/>
          <w:i w:val="0"/>
        </w:rPr>
        <w:t xml:space="preserve"> Articles: </w:t>
      </w:r>
      <w:hyperlink w:anchor="appetite-and-desire">
        <w:r>
          <w:rPr>
            <w:color w:val="000000"/>
          </w:rPr>
          <w:t xml:space="preserve">Appetite and desire</w:t>
        </w:r>
      </w:hyperlink>
      <w:r>
        <w:rPr>
          <w:b w:val="0"/>
          <w:i w:val="0"/>
        </w:rPr>
        <w:t xml:space="preserve">; </w:t>
      </w:r>
      <w:hyperlink w:anchor="will">
        <w:r>
          <w:rPr>
            <w:color w:val="000000"/>
          </w:rPr>
          <w:t xml:space="preserve">Will</w:t>
        </w:r>
      </w:hyperlink>
      <w:r>
        <w:rPr>
          <w:b w:val="0"/>
          <w:i w:val="0"/>
        </w:rPr>
        <w:t xml:space="preserve">. Vocabulary: </w:t>
      </w:r>
      <w:hyperlink w:anchor="latin-record-0002">
        <w:r>
          <w:rPr>
            <w:color w:val="000000"/>
          </w:rPr>
          <w:t xml:space="preserve">absens / praesens</w:t>
        </w:r>
      </w:hyperlink>
      <w:r>
        <w:rPr>
          <w:b w:val="0"/>
          <w:i w:val="0"/>
        </w:rPr>
        <w:t xml:space="preserve">; </w:t>
      </w:r>
      <w:hyperlink w:anchor="latin-record-0244">
        <w:r>
          <w:rPr>
            <w:color w:val="000000"/>
          </w:rPr>
          <w:t xml:space="preserve">conquiescere / amplecti</w:t>
        </w:r>
      </w:hyperlink>
      <w:r>
        <w:rPr>
          <w:b w:val="0"/>
          <w:i w:val="0"/>
        </w:rPr>
        <w:t xml:space="preserve">; </w:t>
      </w:r>
      <w:hyperlink w:anchor="latin-record-0552">
        <w:r>
          <w:rPr>
            <w:color w:val="000000"/>
          </w:rPr>
          <w:t xml:space="preserve">inclinatio / appetitus / voluntas</w:t>
        </w:r>
      </w:hyperlink>
      <w:r>
        <w:rPr>
          <w:b w:val="0"/>
          <w:i w:val="0"/>
        </w:rPr>
        <w:t xml:space="preserve">; </w:t>
      </w:r>
      <w:hyperlink w:anchor="latin-record-0595">
        <w:r>
          <w:rPr>
            <w:color w:val="000000"/>
          </w:rPr>
          <w:t xml:space="preserve">intellectus / intelligentia / intelligere</w:t>
        </w:r>
      </w:hyperlink>
      <w:r>
        <w:rPr>
          <w:b w:val="0"/>
          <w:i w:val="0"/>
        </w:rPr>
        <w:t>.</w:t>
      </w:r>
    </w:p>
    <w:p>
      <w:pPr>
        <w:widowControl/>
      </w:pPr>
      <w:bookmarkStart w:id="1874" w:name="passage-ii-11-30"/>
      <w:bookmarkEnd w:id="1874"/>
      <w:r>
        <w:rPr>
          <w:b/>
          <w:i w:val="0"/>
        </w:rPr>
        <w:t>II.11.30</w:t>
      </w:r>
      <w:r>
        <w:rPr>
          <w:b/>
          <w:i w:val="0"/>
        </w:rPr>
        <w:t>, source pp. 196–197.</w:t>
      </w:r>
      <w:r>
        <w:rPr>
          <w:b w:val="0"/>
          <w:i w:val="0"/>
        </w:rPr>
        <w:t xml:space="preserve"> Articles: </w:t>
      </w:r>
      <w:hyperlink w:anchor="appetite-and-desire">
        <w:r>
          <w:rPr>
            <w:color w:val="000000"/>
          </w:rPr>
          <w:t xml:space="preserve">Appetite and desire</w:t>
        </w:r>
      </w:hyperlink>
      <w:r>
        <w:rPr>
          <w:b w:val="0"/>
          <w:i w:val="0"/>
        </w:rPr>
        <w:t xml:space="preserve">; </w:t>
      </w:r>
      <w:hyperlink w:anchor="light-and-illumination">
        <w:r>
          <w:rPr>
            <w:color w:val="000000"/>
          </w:rPr>
          <w:t xml:space="preserve">Light and illumination</w:t>
        </w:r>
      </w:hyperlink>
      <w:r>
        <w:rPr>
          <w:b w:val="0"/>
          <w:i w:val="0"/>
        </w:rPr>
        <w:t xml:space="preserve">; </w:t>
      </w:r>
      <w:hyperlink w:anchor="love-and-pleasure">
        <w:r>
          <w:rPr>
            <w:color w:val="000000"/>
          </w:rPr>
          <w:t xml:space="preserve">Love and pleasure</w:t>
        </w:r>
      </w:hyperlink>
      <w:r>
        <w:rPr>
          <w:b w:val="0"/>
          <w:i w:val="0"/>
        </w:rPr>
        <w:t xml:space="preserve">; </w:t>
      </w:r>
      <w:hyperlink w:anchor="will">
        <w:r>
          <w:rPr>
            <w:color w:val="000000"/>
          </w:rPr>
          <w:t xml:space="preserve">Will</w:t>
        </w:r>
      </w:hyperlink>
      <w:r>
        <w:rPr>
          <w:b w:val="0"/>
          <w:i w:val="0"/>
        </w:rPr>
        <w:t xml:space="preserve">. Vocabulary: </w:t>
      </w:r>
      <w:hyperlink w:anchor="latin-record-0244">
        <w:r>
          <w:rPr>
            <w:color w:val="000000"/>
          </w:rPr>
          <w:t xml:space="preserve">conquiescere / amplecti</w:t>
        </w:r>
      </w:hyperlink>
      <w:r>
        <w:rPr>
          <w:b w:val="0"/>
          <w:i w:val="0"/>
        </w:rPr>
        <w:t xml:space="preserve">; </w:t>
      </w:r>
      <w:hyperlink w:anchor="latin-record-0319">
        <w:r>
          <w:rPr>
            <w:color w:val="000000"/>
          </w:rPr>
          <w:t xml:space="preserve">diffusio</w:t>
        </w:r>
      </w:hyperlink>
      <w:r>
        <w:rPr>
          <w:b w:val="0"/>
          <w:i w:val="0"/>
        </w:rPr>
        <w:t xml:space="preserve">; </w:t>
      </w:r>
      <w:hyperlink w:anchor="latin-record-0686">
        <w:r>
          <w:rPr>
            <w:color w:val="000000"/>
          </w:rPr>
          <w:t xml:space="preserve">mens</w:t>
        </w:r>
      </w:hyperlink>
      <w:r>
        <w:rPr>
          <w:b w:val="0"/>
          <w:i w:val="0"/>
        </w:rPr>
        <w:t xml:space="preserve">; </w:t>
      </w:r>
      <w:hyperlink w:anchor="latin-record-1046">
        <w:r>
          <w:rPr>
            <w:color w:val="000000"/>
          </w:rPr>
          <w:t xml:space="preserve">replicare / explicare</w:t>
        </w:r>
      </w:hyperlink>
      <w:r>
        <w:rPr>
          <w:b w:val="0"/>
          <w:i w:val="0"/>
        </w:rPr>
        <w:t>.</w:t>
      </w:r>
    </w:p>
    <w:p>
      <w:pPr>
        <w:widowControl/>
      </w:pPr>
      <w:bookmarkStart w:id="1875" w:name="passage-ii-11-31"/>
      <w:bookmarkEnd w:id="1875"/>
      <w:r>
        <w:rPr>
          <w:b/>
          <w:i w:val="0"/>
        </w:rPr>
        <w:t>II.11.31</w:t>
      </w:r>
      <w:r>
        <w:rPr>
          <w:b/>
          <w:i w:val="0"/>
        </w:rPr>
        <w:t>, source pp. 196–197.</w:t>
      </w:r>
      <w:r>
        <w:rPr>
          <w:b w:val="0"/>
          <w:i w:val="0"/>
        </w:rPr>
        <w:t xml:space="preserve"> Articles: </w:t>
      </w:r>
      <w:hyperlink w:anchor="affect">
        <w:r>
          <w:rPr>
            <w:color w:val="000000"/>
          </w:rPr>
          <w:t xml:space="preserve">Affect</w:t>
        </w:r>
      </w:hyperlink>
      <w:r>
        <w:rPr>
          <w:b w:val="0"/>
          <w:i w:val="0"/>
        </w:rPr>
        <w:t xml:space="preserve">; </w:t>
      </w:r>
      <w:hyperlink w:anchor="love-and-pleasure">
        <w:r>
          <w:rPr>
            <w:color w:val="000000"/>
          </w:rPr>
          <w:t xml:space="preserve">Love and pleasure</w:t>
        </w:r>
      </w:hyperlink>
      <w:r>
        <w:rPr>
          <w:b w:val="0"/>
          <w:i w:val="0"/>
        </w:rPr>
        <w:t xml:space="preserve">; </w:t>
      </w:r>
      <w:hyperlink w:anchor="ostrich-and-egg">
        <w:r>
          <w:rPr>
            <w:color w:val="000000"/>
          </w:rPr>
          <w:t xml:space="preserve">Ostrich and egg</w:t>
        </w:r>
      </w:hyperlink>
      <w:r>
        <w:rPr>
          <w:b w:val="0"/>
          <w:i w:val="0"/>
        </w:rPr>
        <w:t xml:space="preserve">; </w:t>
      </w:r>
      <w:hyperlink w:anchor="will">
        <w:r>
          <w:rPr>
            <w:color w:val="000000"/>
          </w:rPr>
          <w:t xml:space="preserve">Will</w:t>
        </w:r>
      </w:hyperlink>
      <w:r>
        <w:rPr>
          <w:b w:val="0"/>
          <w:i w:val="0"/>
        </w:rPr>
        <w:t xml:space="preserve">. Vocabulary: </w:t>
      </w:r>
      <w:hyperlink w:anchor="latin-record-0038">
        <w:r>
          <w:rPr>
            <w:color w:val="000000"/>
          </w:rPr>
          <w:t xml:space="preserve">affectus / afficere</w:t>
        </w:r>
      </w:hyperlink>
      <w:r>
        <w:rPr>
          <w:b w:val="0"/>
          <w:i w:val="0"/>
        </w:rPr>
        <w:t xml:space="preserve">; </w:t>
      </w:r>
      <w:hyperlink w:anchor="latin-record-0122">
        <w:r>
          <w:rPr>
            <w:color w:val="000000"/>
          </w:rPr>
          <w:t xml:space="preserve">avidus / intentus</w:t>
        </w:r>
      </w:hyperlink>
      <w:r>
        <w:rPr>
          <w:b w:val="0"/>
          <w:i w:val="0"/>
        </w:rPr>
        <w:t xml:space="preserve">; </w:t>
      </w:r>
      <w:hyperlink w:anchor="latin-record-0180">
        <w:r>
          <w:rPr>
            <w:color w:val="000000"/>
          </w:rPr>
          <w:t xml:space="preserve">cognoscere / cognitio</w:t>
        </w:r>
      </w:hyperlink>
      <w:r>
        <w:rPr>
          <w:b w:val="0"/>
          <w:i w:val="0"/>
        </w:rPr>
        <w:t xml:space="preserve">; </w:t>
      </w:r>
      <w:hyperlink w:anchor="latin-record-0398">
        <w:r>
          <w:rPr>
            <w:color w:val="000000"/>
          </w:rPr>
          <w:t xml:space="preserve">exemplum / signum / indicare</w:t>
        </w:r>
      </w:hyperlink>
      <w:r>
        <w:rPr>
          <w:b w:val="0"/>
          <w:i w:val="0"/>
        </w:rPr>
        <w:t xml:space="preserve">; </w:t>
      </w:r>
      <w:hyperlink w:anchor="latin-record-0818">
        <w:r>
          <w:rPr>
            <w:color w:val="000000"/>
          </w:rPr>
          <w:t xml:space="preserve">ovum / fovere</w:t>
        </w:r>
      </w:hyperlink>
      <w:r>
        <w:rPr>
          <w:b w:val="0"/>
          <w:i w:val="0"/>
        </w:rPr>
        <w:t xml:space="preserve">; </w:t>
      </w:r>
      <w:hyperlink w:anchor="latin-record-1146">
        <w:r>
          <w:rPr>
            <w:color w:val="000000"/>
          </w:rPr>
          <w:t xml:space="preserve">struthii oculus</w:t>
        </w:r>
      </w:hyperlink>
      <w:r>
        <w:rPr>
          <w:b w:val="0"/>
          <w:i w:val="0"/>
        </w:rPr>
        <w:t>.</w:t>
      </w:r>
    </w:p>
    <w:p>
      <w:pPr>
        <w:widowControl/>
      </w:pPr>
      <w:bookmarkStart w:id="1876" w:name="passage-ii-11-32"/>
      <w:bookmarkEnd w:id="1876"/>
      <w:r>
        <w:rPr>
          <w:b/>
          <w:i w:val="0"/>
        </w:rPr>
        <w:t>II.11.32</w:t>
      </w:r>
      <w:r>
        <w:rPr>
          <w:b/>
          <w:i w:val="0"/>
        </w:rPr>
        <w:t>, source pp. 196–197.</w:t>
      </w:r>
      <w:r>
        <w:rPr>
          <w:b w:val="0"/>
          <w:i w:val="0"/>
        </w:rPr>
        <w:t xml:space="preserve"> Articles: </w:t>
      </w:r>
      <w:hyperlink w:anchor="affect">
        <w:r>
          <w:rPr>
            <w:color w:val="000000"/>
          </w:rPr>
          <w:t xml:space="preserve">Affect</w:t>
        </w:r>
      </w:hyperlink>
      <w:r>
        <w:rPr>
          <w:b w:val="0"/>
          <w:i w:val="0"/>
        </w:rPr>
        <w:t xml:space="preserve">; </w:t>
      </w:r>
      <w:hyperlink w:anchor="love-and-pleasure">
        <w:r>
          <w:rPr>
            <w:color w:val="000000"/>
          </w:rPr>
          <w:t xml:space="preserve">Love and pleasure</w:t>
        </w:r>
      </w:hyperlink>
      <w:r>
        <w:rPr>
          <w:b w:val="0"/>
          <w:i w:val="0"/>
        </w:rPr>
        <w:t xml:space="preserve">; </w:t>
      </w:r>
      <w:hyperlink w:anchor="ostrich-and-egg">
        <w:r>
          <w:rPr>
            <w:color w:val="000000"/>
          </w:rPr>
          <w:t xml:space="preserve">Ostrich and egg</w:t>
        </w:r>
      </w:hyperlink>
      <w:r>
        <w:rPr>
          <w:b w:val="0"/>
          <w:i w:val="0"/>
        </w:rPr>
        <w:t xml:space="preserve">; </w:t>
      </w:r>
      <w:hyperlink w:anchor="will">
        <w:r>
          <w:rPr>
            <w:color w:val="000000"/>
          </w:rPr>
          <w:t xml:space="preserve">Will</w:t>
        </w:r>
      </w:hyperlink>
      <w:r>
        <w:rPr>
          <w:b w:val="0"/>
          <w:i w:val="0"/>
        </w:rPr>
        <w:t xml:space="preserve">. Vocabulary: </w:t>
      </w:r>
      <w:hyperlink w:anchor="latin-record-0038">
        <w:r>
          <w:rPr>
            <w:color w:val="000000"/>
          </w:rPr>
          <w:t xml:space="preserve">affectus / afficere</w:t>
        </w:r>
      </w:hyperlink>
      <w:r>
        <w:rPr>
          <w:b w:val="0"/>
          <w:i w:val="0"/>
        </w:rPr>
        <w:t xml:space="preserve">; </w:t>
      </w:r>
      <w:hyperlink w:anchor="latin-record-0240">
        <w:r>
          <w:rPr>
            <w:color w:val="000000"/>
          </w:rPr>
          <w:t xml:space="preserve">coniectari</w:t>
        </w:r>
      </w:hyperlink>
      <w:r>
        <w:rPr>
          <w:b w:val="0"/>
          <w:i w:val="0"/>
        </w:rPr>
        <w:t xml:space="preserve">; </w:t>
      </w:r>
      <w:hyperlink w:anchor="latin-record-0473">
        <w:r>
          <w:rPr>
            <w:color w:val="000000"/>
          </w:rPr>
          <w:t xml:space="preserve">frui</w:t>
        </w:r>
      </w:hyperlink>
      <w:r>
        <w:rPr>
          <w:b w:val="0"/>
          <w:i w:val="0"/>
        </w:rPr>
        <w:t xml:space="preserve">; </w:t>
      </w:r>
      <w:hyperlink w:anchor="latin-record-0784">
        <w:r>
          <w:rPr>
            <w:color w:val="000000"/>
          </w:rPr>
          <w:t xml:space="preserve">obiectum</w:t>
        </w:r>
      </w:hyperlink>
      <w:r>
        <w:rPr>
          <w:b w:val="0"/>
          <w:i w:val="0"/>
        </w:rPr>
        <w:t xml:space="preserve">; </w:t>
      </w:r>
      <w:hyperlink w:anchor="latin-record-0818">
        <w:r>
          <w:rPr>
            <w:color w:val="000000"/>
          </w:rPr>
          <w:t xml:space="preserve">ovum / fovere</w:t>
        </w:r>
      </w:hyperlink>
      <w:r>
        <w:rPr>
          <w:b w:val="0"/>
          <w:i w:val="0"/>
        </w:rPr>
        <w:t xml:space="preserve">; </w:t>
      </w:r>
      <w:hyperlink w:anchor="latin-record-1146">
        <w:r>
          <w:rPr>
            <w:color w:val="000000"/>
          </w:rPr>
          <w:t xml:space="preserve">struthii oculus</w:t>
        </w:r>
      </w:hyperlink>
      <w:r>
        <w:rPr>
          <w:b w:val="0"/>
          <w:i w:val="0"/>
        </w:rPr>
        <w:t>.</w:t>
      </w:r>
    </w:p>
    <w:p>
      <w:pPr>
        <w:widowControl/>
      </w:pPr>
      <w:bookmarkStart w:id="1877" w:name="passage-ii-11-33"/>
      <w:bookmarkEnd w:id="1877"/>
      <w:r>
        <w:rPr>
          <w:b/>
          <w:i w:val="0"/>
        </w:rPr>
        <w:t>II.11.33</w:t>
      </w:r>
      <w:r>
        <w:rPr>
          <w:b/>
          <w:i w:val="0"/>
        </w:rPr>
        <w:t>, source pp. 198–199.</w:t>
      </w:r>
      <w:r>
        <w:rPr>
          <w:b w:val="0"/>
          <w:i w:val="0"/>
        </w:rPr>
        <w:t xml:space="preserve"> Articles: </w:t>
      </w:r>
      <w:hyperlink w:anchor="affect">
        <w:r>
          <w:rPr>
            <w:color w:val="000000"/>
          </w:rPr>
          <w:t xml:space="preserve">Affect</w:t>
        </w:r>
      </w:hyperlink>
      <w:r>
        <w:rPr>
          <w:b w:val="0"/>
          <w:i w:val="0"/>
        </w:rPr>
        <w:t xml:space="preserve">; </w:t>
      </w:r>
      <w:hyperlink w:anchor="love-and-pleasure">
        <w:r>
          <w:rPr>
            <w:color w:val="000000"/>
          </w:rPr>
          <w:t xml:space="preserve">Love and pleasure</w:t>
        </w:r>
      </w:hyperlink>
      <w:r>
        <w:rPr>
          <w:b w:val="0"/>
          <w:i w:val="0"/>
        </w:rPr>
        <w:t xml:space="preserve">; </w:t>
      </w:r>
      <w:hyperlink w:anchor="will">
        <w:r>
          <w:rPr>
            <w:color w:val="000000"/>
          </w:rPr>
          <w:t xml:space="preserve">Will</w:t>
        </w:r>
      </w:hyperlink>
      <w:r>
        <w:rPr>
          <w:b w:val="0"/>
          <w:i w:val="0"/>
        </w:rPr>
        <w:t xml:space="preserve">. Vocabulary: </w:t>
      </w:r>
      <w:hyperlink w:anchor="latin-record-1283">
        <w:r>
          <w:rPr>
            <w:color w:val="000000"/>
          </w:rPr>
          <w:t xml:space="preserve">voluptas / dilatatio</w:t>
        </w:r>
      </w:hyperlink>
      <w:r>
        <w:rPr>
          <w:b w:val="0"/>
          <w:i w:val="0"/>
        </w:rPr>
        <w:t>.</w:t>
      </w:r>
    </w:p>
    <w:p>
      <w:pPr>
        <w:widowControl/>
      </w:pPr>
      <w:bookmarkStart w:id="1878" w:name="passage-ii-11-34"/>
      <w:bookmarkEnd w:id="1878"/>
      <w:r>
        <w:rPr>
          <w:b/>
          <w:i w:val="0"/>
        </w:rPr>
        <w:t>II.11.34</w:t>
      </w:r>
      <w:r>
        <w:rPr>
          <w:b/>
          <w:i w:val="0"/>
        </w:rPr>
        <w:t>, source pp. 198–199.</w:t>
      </w:r>
      <w:r>
        <w:rPr>
          <w:b w:val="0"/>
          <w:i w:val="0"/>
        </w:rPr>
        <w:t xml:space="preserve"> Articles: </w:t>
      </w:r>
      <w:hyperlink w:anchor="love-and-pleasure">
        <w:r>
          <w:rPr>
            <w:color w:val="000000"/>
          </w:rPr>
          <w:t xml:space="preserve">Love and pleasure</w:t>
        </w:r>
      </w:hyperlink>
      <w:r>
        <w:rPr>
          <w:b w:val="0"/>
          <w:i w:val="0"/>
        </w:rPr>
        <w:t xml:space="preserve">; </w:t>
      </w:r>
      <w:hyperlink w:anchor="will">
        <w:r>
          <w:rPr>
            <w:color w:val="000000"/>
          </w:rPr>
          <w:t xml:space="preserve">Will</w:t>
        </w:r>
      </w:hyperlink>
      <w:r>
        <w:rPr>
          <w:b w:val="0"/>
          <w:i w:val="0"/>
        </w:rPr>
        <w:t>.</w:t>
      </w:r>
    </w:p>
    <w:p>
      <w:pPr>
        <w:widowControl/>
      </w:pPr>
      <w:bookmarkStart w:id="1879" w:name="passage-ii-11-35"/>
      <w:bookmarkEnd w:id="1879"/>
      <w:r>
        <w:rPr>
          <w:b/>
          <w:i w:val="0"/>
        </w:rPr>
        <w:t>II.11.35</w:t>
      </w:r>
      <w:r>
        <w:rPr>
          <w:b/>
          <w:i w:val="0"/>
        </w:rPr>
        <w:t>, source pp. 198–199.</w:t>
      </w:r>
      <w:r>
        <w:rPr>
          <w:b w:val="0"/>
          <w:i w:val="0"/>
        </w:rPr>
        <w:t xml:space="preserve"> Articles: </w:t>
      </w:r>
      <w:hyperlink w:anchor="love-and-pleasure">
        <w:r>
          <w:rPr>
            <w:color w:val="000000"/>
          </w:rPr>
          <w:t xml:space="preserve">Love and pleasure</w:t>
        </w:r>
      </w:hyperlink>
      <w:r>
        <w:rPr>
          <w:b w:val="0"/>
          <w:i w:val="0"/>
        </w:rPr>
        <w:t xml:space="preserve">; </w:t>
      </w:r>
      <w:hyperlink w:anchor="will">
        <w:r>
          <w:rPr>
            <w:color w:val="000000"/>
          </w:rPr>
          <w:t xml:space="preserve">Will</w:t>
        </w:r>
      </w:hyperlink>
      <w:r>
        <w:rPr>
          <w:b w:val="0"/>
          <w:i w:val="0"/>
        </w:rPr>
        <w:t xml:space="preserve">. Vocabulary: </w:t>
      </w:r>
      <w:hyperlink w:anchor="latin-record-0924">
        <w:r>
          <w:rPr>
            <w:color w:val="000000"/>
          </w:rPr>
          <w:t xml:space="preserve">primum / summum / ultimum</w:t>
        </w:r>
      </w:hyperlink>
      <w:r>
        <w:rPr>
          <w:b w:val="0"/>
          <w:i w:val="0"/>
        </w:rPr>
        <w:t xml:space="preserve">; </w:t>
      </w:r>
      <w:hyperlink w:anchor="latin-record-1100">
        <w:r>
          <w:rPr>
            <w:color w:val="000000"/>
          </w:rPr>
          <w:t xml:space="preserve">servire / alienus</w:t>
        </w:r>
      </w:hyperlink>
      <w:r>
        <w:rPr>
          <w:b w:val="0"/>
          <w:i w:val="0"/>
        </w:rPr>
        <w:t>.</w:t>
      </w:r>
    </w:p>
    <w:p>
      <w:pPr>
        <w:widowControl/>
      </w:pPr>
      <w:bookmarkStart w:id="1880" w:name="passage-ii-11-36"/>
      <w:bookmarkEnd w:id="1880"/>
      <w:r>
        <w:rPr>
          <w:b/>
          <w:i w:val="0"/>
        </w:rPr>
        <w:t>II.11.36</w:t>
      </w:r>
      <w:r>
        <w:rPr>
          <w:b/>
          <w:i w:val="0"/>
        </w:rPr>
        <w:t>, source pp. 198–199.</w:t>
      </w:r>
      <w:r>
        <w:rPr>
          <w:b w:val="0"/>
          <w:i w:val="0"/>
        </w:rPr>
        <w:t xml:space="preserve"> Articles: </w:t>
      </w:r>
      <w:hyperlink w:anchor="love-and-pleasure">
        <w:r>
          <w:rPr>
            <w:color w:val="000000"/>
          </w:rPr>
          <w:t xml:space="preserve">Love and pleasure</w:t>
        </w:r>
      </w:hyperlink>
      <w:r>
        <w:rPr>
          <w:b w:val="0"/>
          <w:i w:val="0"/>
        </w:rPr>
        <w:t xml:space="preserve">; </w:t>
      </w:r>
      <w:hyperlink w:anchor="will">
        <w:r>
          <w:rPr>
            <w:color w:val="000000"/>
          </w:rPr>
          <w:t xml:space="preserve">Will</w:t>
        </w:r>
      </w:hyperlink>
      <w:r>
        <w:rPr>
          <w:b w:val="0"/>
          <w:i w:val="0"/>
        </w:rPr>
        <w:t xml:space="preserve">. Vocabulary: </w:t>
      </w:r>
      <w:hyperlink w:anchor="latin-record-0321">
        <w:r>
          <w:rPr>
            <w:color w:val="000000"/>
          </w:rPr>
          <w:t xml:space="preserve">dilectio / diligere</w:t>
        </w:r>
      </w:hyperlink>
      <w:r>
        <w:rPr>
          <w:b w:val="0"/>
          <w:i w:val="0"/>
        </w:rPr>
        <w:t>.</w:t>
      </w:r>
    </w:p>
    <w:p>
      <w:pPr>
        <w:widowControl/>
      </w:pPr>
      <w:bookmarkStart w:id="1881" w:name="passage-ii-11-37"/>
      <w:bookmarkEnd w:id="1881"/>
      <w:r>
        <w:rPr>
          <w:b/>
          <w:i w:val="0"/>
        </w:rPr>
        <w:t>II.11.37</w:t>
      </w:r>
      <w:r>
        <w:rPr>
          <w:b/>
          <w:i w:val="0"/>
        </w:rPr>
        <w:t>, source pp. 200–201.</w:t>
      </w:r>
      <w:r>
        <w:rPr>
          <w:b w:val="0"/>
          <w:i w:val="0"/>
        </w:rPr>
        <w:t xml:space="preserve"> Articles: </w:t>
      </w:r>
      <w:hyperlink w:anchor="love-and-pleasure">
        <w:r>
          <w:rPr>
            <w:color w:val="000000"/>
          </w:rPr>
          <w:t xml:space="preserve">Love and pleasure</w:t>
        </w:r>
      </w:hyperlink>
      <w:r>
        <w:rPr>
          <w:b w:val="0"/>
          <w:i w:val="0"/>
        </w:rPr>
        <w:t xml:space="preserve">; </w:t>
      </w:r>
      <w:hyperlink w:anchor="will">
        <w:r>
          <w:rPr>
            <w:color w:val="000000"/>
          </w:rPr>
          <w:t xml:space="preserve">Will</w:t>
        </w:r>
      </w:hyperlink>
      <w:r>
        <w:rPr>
          <w:b w:val="0"/>
          <w:i w:val="0"/>
        </w:rPr>
        <w:t xml:space="preserve">. Vocabulary: </w:t>
      </w:r>
      <w:hyperlink w:anchor="latin-record-0321">
        <w:r>
          <w:rPr>
            <w:color w:val="000000"/>
          </w:rPr>
          <w:t xml:space="preserve">dilectio / diligere</w:t>
        </w:r>
      </w:hyperlink>
      <w:r>
        <w:rPr>
          <w:b w:val="0"/>
          <w:i w:val="0"/>
        </w:rPr>
        <w:t xml:space="preserve">; </w:t>
      </w:r>
      <w:hyperlink w:anchor="latin-record-0576">
        <w:r>
          <w:rPr>
            <w:color w:val="000000"/>
          </w:rPr>
          <w:t xml:space="preserve">inquam / inquit</w:t>
        </w:r>
      </w:hyperlink>
      <w:r>
        <w:rPr>
          <w:b w:val="0"/>
          <w:i w:val="0"/>
        </w:rPr>
        <w:t>.</w:t>
      </w:r>
    </w:p>
    <w:p>
      <w:pPr>
        <w:widowControl/>
      </w:pPr>
      <w:bookmarkStart w:id="1882" w:name="passage-ii-11-38"/>
      <w:bookmarkEnd w:id="1882"/>
      <w:r>
        <w:rPr>
          <w:b/>
          <w:i w:val="0"/>
        </w:rPr>
        <w:t>II.11.38</w:t>
      </w:r>
      <w:r>
        <w:rPr>
          <w:b/>
          <w:i w:val="0"/>
        </w:rPr>
        <w:t>, source pp. 200–201.</w:t>
      </w:r>
      <w:r>
        <w:rPr>
          <w:b w:val="0"/>
          <w:i w:val="0"/>
        </w:rPr>
        <w:t xml:space="preserve"> Articles: </w:t>
      </w:r>
      <w:hyperlink w:anchor="governing-serving-and-dominion">
        <w:r>
          <w:rPr>
            <w:color w:val="000000"/>
          </w:rPr>
          <w:t xml:space="preserve">Governing, serving and dominion</w:t>
        </w:r>
      </w:hyperlink>
      <w:r>
        <w:rPr>
          <w:b w:val="0"/>
          <w:i w:val="0"/>
        </w:rPr>
        <w:t xml:space="preserve">; </w:t>
      </w:r>
      <w:hyperlink w:anchor="love-and-pleasure">
        <w:r>
          <w:rPr>
            <w:color w:val="000000"/>
          </w:rPr>
          <w:t xml:space="preserve">Love and pleasure</w:t>
        </w:r>
      </w:hyperlink>
      <w:r>
        <w:rPr>
          <w:b w:val="0"/>
          <w:i w:val="0"/>
        </w:rPr>
        <w:t xml:space="preserve">; </w:t>
      </w:r>
      <w:hyperlink w:anchor="will">
        <w:r>
          <w:rPr>
            <w:color w:val="000000"/>
          </w:rPr>
          <w:t xml:space="preserve">Will</w:t>
        </w:r>
      </w:hyperlink>
      <w:r>
        <w:rPr>
          <w:b w:val="0"/>
          <w:i w:val="0"/>
        </w:rPr>
        <w:t xml:space="preserve">. Vocabulary: </w:t>
      </w:r>
      <w:hyperlink w:anchor="latin-record-0576">
        <w:r>
          <w:rPr>
            <w:color w:val="000000"/>
          </w:rPr>
          <w:t xml:space="preserve">inquam / inquit</w:t>
        </w:r>
      </w:hyperlink>
      <w:r>
        <w:rPr>
          <w:b w:val="0"/>
          <w:i w:val="0"/>
        </w:rPr>
        <w:t xml:space="preserve">; </w:t>
      </w:r>
      <w:hyperlink w:anchor="latin-record-0642">
        <w:r>
          <w:rPr>
            <w:color w:val="000000"/>
          </w:rPr>
          <w:t xml:space="preserve">libera voluntate disponere</w:t>
        </w:r>
      </w:hyperlink>
      <w:r>
        <w:rPr>
          <w:b w:val="0"/>
          <w:i w:val="0"/>
        </w:rPr>
        <w:t xml:space="preserve">; </w:t>
      </w:r>
      <w:hyperlink w:anchor="latin-record-0691">
        <w:r>
          <w:rPr>
            <w:color w:val="000000"/>
          </w:rPr>
          <w:t xml:space="preserve">Mercurius — Hermetic authority</w:t>
        </w:r>
      </w:hyperlink>
      <w:r>
        <w:rPr>
          <w:b w:val="0"/>
          <w:i w:val="0"/>
        </w:rPr>
        <w:t xml:space="preserve">; </w:t>
      </w:r>
      <w:hyperlink w:anchor="latin-record-1018">
        <w:r>
          <w:rPr>
            <w:color w:val="000000"/>
          </w:rPr>
          <w:t xml:space="preserve">raptare</w:t>
        </w:r>
      </w:hyperlink>
      <w:r>
        <w:rPr>
          <w:b w:val="0"/>
          <w:i w:val="0"/>
        </w:rPr>
        <w:t>.</w:t>
      </w:r>
    </w:p>
    <w:p>
      <w:bookmarkStart w:id="1883" w:name="chapter-ii.12"/>
      <w:pPr>
        <w:pStyle w:val="Heading2"/>
      </w:pPr>
      <w:r>
        <w:rPr>
          <w:b w:val="0"/>
          <w:i w:val="0"/>
        </w:rPr>
        <w:t>Chapter II.12</w:t>
      </w:r>
      <w:bookmarkEnd w:id="1883"/>
    </w:p>
    <w:p>
      <w:pPr>
        <w:widowControl/>
      </w:pPr>
      <w:bookmarkStart w:id="1884" w:name="passage-ii-12-1"/>
      <w:bookmarkEnd w:id="1884"/>
      <w:r>
        <w:rPr>
          <w:b/>
          <w:i w:val="0"/>
        </w:rPr>
        <w:t>II.12.1</w:t>
      </w:r>
      <w:r>
        <w:rPr>
          <w:b/>
          <w:i w:val="0"/>
        </w:rPr>
        <w:t>, source pp. 202–203.</w:t>
      </w:r>
      <w:r>
        <w:rPr>
          <w:b w:val="0"/>
          <w:i w:val="0"/>
        </w:rPr>
        <w:t xml:space="preserve"> Articles: </w:t>
      </w:r>
      <w:hyperlink w:anchor="freedom-and-necessity">
        <w:r>
          <w:rPr>
            <w:color w:val="000000"/>
          </w:rPr>
          <w:t xml:space="preserve">Freedom and necessity</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will">
        <w:r>
          <w:rPr>
            <w:color w:val="000000"/>
          </w:rPr>
          <w:t xml:space="preserve">Will</w:t>
        </w:r>
      </w:hyperlink>
      <w:r>
        <w:rPr>
          <w:b w:val="0"/>
          <w:i w:val="0"/>
        </w:rPr>
        <w:t xml:space="preserve">. Vocabulary: </w:t>
      </w:r>
      <w:hyperlink w:anchor="latin-record-0538">
        <w:r>
          <w:rPr>
            <w:color w:val="000000"/>
          </w:rPr>
          <w:t xml:space="preserve">imperium</w:t>
        </w:r>
      </w:hyperlink>
      <w:r>
        <w:rPr>
          <w:b w:val="0"/>
          <w:i w:val="0"/>
        </w:rPr>
        <w:t xml:space="preserve">; </w:t>
      </w:r>
      <w:hyperlink w:anchor="latin-record-0937">
        <w:r>
          <w:rPr>
            <w:color w:val="000000"/>
          </w:rPr>
          <w:t xml:space="preserve">probare / ostendere / demonstrare</w:t>
        </w:r>
      </w:hyperlink>
      <w:r>
        <w:rPr>
          <w:b w:val="0"/>
          <w:i w:val="0"/>
        </w:rPr>
        <w:t>.</w:t>
      </w:r>
    </w:p>
    <w:p>
      <w:pPr>
        <w:widowControl/>
      </w:pPr>
      <w:bookmarkStart w:id="1885" w:name="passage-ii-12-2"/>
      <w:bookmarkEnd w:id="1885"/>
      <w:r>
        <w:rPr>
          <w:b/>
          <w:i w:val="0"/>
        </w:rPr>
        <w:t>II.12.2</w:t>
      </w:r>
      <w:r>
        <w:rPr>
          <w:b/>
          <w:i w:val="0"/>
        </w:rPr>
        <w:t>, source pp. 202–203.</w:t>
      </w:r>
      <w:r>
        <w:rPr>
          <w:b w:val="0"/>
          <w:i w:val="0"/>
        </w:rPr>
        <w:t xml:space="preserve"> Articles: </w:t>
      </w:r>
      <w:hyperlink w:anchor="chance">
        <w:r>
          <w:rPr>
            <w:color w:val="000000"/>
          </w:rPr>
          <w:t xml:space="preserve">Chance</w:t>
        </w:r>
      </w:hyperlink>
      <w:r>
        <w:rPr>
          <w:b w:val="0"/>
          <w:i w:val="0"/>
        </w:rPr>
        <w:t xml:space="preserve">; </w:t>
      </w:r>
      <w:hyperlink w:anchor="contingency">
        <w:r>
          <w:rPr>
            <w:color w:val="000000"/>
          </w:rPr>
          <w:t xml:space="preserve">Contingency</w:t>
        </w:r>
      </w:hyperlink>
      <w:r>
        <w:rPr>
          <w:b w:val="0"/>
          <w:i w:val="0"/>
        </w:rPr>
        <w:t xml:space="preserve">; </w:t>
      </w:r>
      <w:hyperlink w:anchor="freedom-and-necessity">
        <w:r>
          <w:rPr>
            <w:color w:val="000000"/>
          </w:rPr>
          <w:t xml:space="preserve">Freedom and necessity</w:t>
        </w:r>
      </w:hyperlink>
      <w:r>
        <w:rPr>
          <w:b w:val="0"/>
          <w:i w:val="0"/>
        </w:rPr>
        <w:t xml:space="preserve">; </w:t>
      </w:r>
      <w:hyperlink w:anchor="possession-and-privation">
        <w:r>
          <w:rPr>
            <w:color w:val="000000"/>
          </w:rPr>
          <w:t xml:space="preserve">Possession and privation</w:t>
        </w:r>
      </w:hyperlink>
      <w:r>
        <w:rPr>
          <w:b w:val="0"/>
          <w:i w:val="0"/>
        </w:rPr>
        <w:t xml:space="preserve">; </w:t>
      </w:r>
      <w:hyperlink w:anchor="reason-and-account">
        <w:r>
          <w:rPr>
            <w:color w:val="000000"/>
          </w:rPr>
          <w:t xml:space="preserve">Reason and account</w:t>
        </w:r>
      </w:hyperlink>
      <w:r>
        <w:rPr>
          <w:b w:val="0"/>
          <w:i w:val="0"/>
        </w:rPr>
        <w:t xml:space="preserve">; </w:t>
      </w:r>
      <w:hyperlink w:anchor="will">
        <w:r>
          <w:rPr>
            <w:color w:val="000000"/>
          </w:rPr>
          <w:t xml:space="preserve">Will</w:t>
        </w:r>
      </w:hyperlink>
      <w:r>
        <w:rPr>
          <w:b w:val="0"/>
          <w:i w:val="0"/>
        </w:rPr>
        <w:t xml:space="preserve">. Vocabulary: </w:t>
      </w:r>
      <w:hyperlink w:anchor="latin-record-0468">
        <w:r>
          <w:rPr>
            <w:color w:val="000000"/>
          </w:rPr>
          <w:t xml:space="preserve">forte / fortuitus / sors</w:t>
        </w:r>
      </w:hyperlink>
      <w:r>
        <w:rPr>
          <w:b w:val="0"/>
          <w:i w:val="0"/>
        </w:rPr>
        <w:t xml:space="preserve">; </w:t>
      </w:r>
      <w:hyperlink w:anchor="latin-record-1179">
        <w:r>
          <w:rPr>
            <w:color w:val="000000"/>
          </w:rPr>
          <w:t xml:space="preserve">suspicari</w:t>
        </w:r>
      </w:hyperlink>
      <w:r>
        <w:rPr>
          <w:b w:val="0"/>
          <w:i w:val="0"/>
        </w:rPr>
        <w:t>.</w:t>
      </w:r>
    </w:p>
    <w:p>
      <w:pPr>
        <w:widowControl/>
      </w:pPr>
      <w:bookmarkStart w:id="1886" w:name="passage-ii-12-3"/>
      <w:bookmarkEnd w:id="1886"/>
      <w:r>
        <w:rPr>
          <w:b/>
          <w:i w:val="0"/>
        </w:rPr>
        <w:t>II.12.3</w:t>
      </w:r>
      <w:r>
        <w:rPr>
          <w:b/>
          <w:i w:val="0"/>
        </w:rPr>
        <w:t>, source pp. 202–203.</w:t>
      </w:r>
      <w:r>
        <w:rPr>
          <w:b w:val="0"/>
          <w:i w:val="0"/>
        </w:rPr>
        <w:t xml:space="preserve"> Articles: </w:t>
      </w:r>
      <w:hyperlink w:anchor="beauty-and-fittingness">
        <w:r>
          <w:rPr>
            <w:color w:val="000000"/>
          </w:rPr>
          <w:t xml:space="preserve">Beauty and fittingness</w:t>
        </w:r>
      </w:hyperlink>
      <w:r>
        <w:rPr>
          <w:b w:val="0"/>
          <w:i w:val="0"/>
        </w:rPr>
        <w:t xml:space="preserve">; </w:t>
      </w:r>
      <w:hyperlink w:anchor="chance">
        <w:r>
          <w:rPr>
            <w:color w:val="000000"/>
          </w:rPr>
          <w:t xml:space="preserve">Chance</w:t>
        </w:r>
      </w:hyperlink>
      <w:r>
        <w:rPr>
          <w:b w:val="0"/>
          <w:i w:val="0"/>
        </w:rPr>
        <w:t xml:space="preserve">; </w:t>
      </w:r>
      <w:hyperlink w:anchor="contingency">
        <w:r>
          <w:rPr>
            <w:color w:val="000000"/>
          </w:rPr>
          <w:t xml:space="preserve">Contingency</w:t>
        </w:r>
      </w:hyperlink>
      <w:r>
        <w:rPr>
          <w:b w:val="0"/>
          <w:i w:val="0"/>
        </w:rPr>
        <w:t xml:space="preserve">;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will">
        <w:r>
          <w:rPr>
            <w:color w:val="000000"/>
          </w:rPr>
          <w:t xml:space="preserve">Will</w:t>
        </w:r>
      </w:hyperlink>
      <w:r>
        <w:rPr>
          <w:b w:val="0"/>
          <w:i w:val="0"/>
        </w:rPr>
        <w:t xml:space="preserve">. Vocabulary: </w:t>
      </w:r>
      <w:hyperlink w:anchor="latin-record-0295">
        <w:r>
          <w:rPr>
            <w:color w:val="000000"/>
          </w:rPr>
          <w:t xml:space="preserve">decet / decor</w:t>
        </w:r>
      </w:hyperlink>
      <w:r>
        <w:rPr>
          <w:b w:val="0"/>
          <w:i w:val="0"/>
        </w:rPr>
        <w:t xml:space="preserve">; </w:t>
      </w:r>
      <w:hyperlink w:anchor="latin-record-0641">
        <w:r>
          <w:rPr>
            <w:color w:val="000000"/>
          </w:rPr>
          <w:t xml:space="preserve">liber / libertas</w:t>
        </w:r>
      </w:hyperlink>
      <w:r>
        <w:rPr>
          <w:b w:val="0"/>
          <w:i w:val="0"/>
        </w:rPr>
        <w:t xml:space="preserve">; </w:t>
      </w:r>
      <w:hyperlink w:anchor="latin-record-1039">
        <w:r>
          <w:rPr>
            <w:color w:val="000000"/>
          </w:rPr>
          <w:t xml:space="preserve">regula</w:t>
        </w:r>
      </w:hyperlink>
      <w:r>
        <w:rPr>
          <w:b w:val="0"/>
          <w:i w:val="0"/>
        </w:rPr>
        <w:t>.</w:t>
      </w:r>
    </w:p>
    <w:p>
      <w:pPr>
        <w:widowControl/>
      </w:pPr>
      <w:bookmarkStart w:id="1887" w:name="passage-ii-12-4"/>
      <w:bookmarkEnd w:id="1887"/>
      <w:r>
        <w:rPr>
          <w:b/>
          <w:i w:val="0"/>
        </w:rPr>
        <w:t>II.12.4</w:t>
      </w:r>
      <w:r>
        <w:rPr>
          <w:b/>
          <w:i w:val="0"/>
        </w:rPr>
        <w:t>, source pp. 202–203.</w:t>
      </w:r>
      <w:r>
        <w:rPr>
          <w:b w:val="0"/>
          <w:i w:val="0"/>
        </w:rPr>
        <w:t xml:space="preserve"> Articles: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love-and-pleasure">
        <w:r>
          <w:rPr>
            <w:color w:val="000000"/>
          </w:rPr>
          <w:t xml:space="preserve">Love and pleasure</w:t>
        </w:r>
      </w:hyperlink>
      <w:r>
        <w:rPr>
          <w:b w:val="0"/>
          <w:i w:val="0"/>
        </w:rPr>
        <w:t xml:space="preserve">; </w:t>
      </w:r>
      <w:hyperlink w:anchor="will">
        <w:r>
          <w:rPr>
            <w:color w:val="000000"/>
          </w:rPr>
          <w:t xml:space="preserve">Will</w:t>
        </w:r>
      </w:hyperlink>
      <w:r>
        <w:rPr>
          <w:b w:val="0"/>
          <w:i w:val="0"/>
        </w:rPr>
        <w:t xml:space="preserve">. Vocabulary: </w:t>
      </w:r>
      <w:hyperlink w:anchor="latin-record-0641">
        <w:r>
          <w:rPr>
            <w:color w:val="000000"/>
          </w:rPr>
          <w:t xml:space="preserve">liber / libertas</w:t>
        </w:r>
      </w:hyperlink>
      <w:r>
        <w:rPr>
          <w:b w:val="0"/>
          <w:i w:val="0"/>
        </w:rPr>
        <w:t xml:space="preserve">; </w:t>
      </w:r>
      <w:hyperlink w:anchor="latin-record-1279">
        <w:r>
          <w:rPr>
            <w:color w:val="000000"/>
          </w:rPr>
          <w:t xml:space="preserve">vivere ut vult</w:t>
        </w:r>
      </w:hyperlink>
      <w:r>
        <w:rPr>
          <w:b w:val="0"/>
          <w:i w:val="0"/>
        </w:rPr>
        <w:t>.</w:t>
      </w:r>
    </w:p>
    <w:p>
      <w:pPr>
        <w:widowControl/>
      </w:pPr>
      <w:bookmarkStart w:id="1888" w:name="passage-ii-12-5"/>
      <w:bookmarkEnd w:id="1888"/>
      <w:r>
        <w:rPr>
          <w:b/>
          <w:i w:val="0"/>
        </w:rPr>
        <w:t>II.12.5</w:t>
      </w:r>
      <w:r>
        <w:rPr>
          <w:b/>
          <w:i w:val="0"/>
        </w:rPr>
        <w:t>, source pp. 204–205.</w:t>
      </w:r>
      <w:r>
        <w:rPr>
          <w:b w:val="0"/>
          <w:i w:val="0"/>
        </w:rPr>
        <w:t xml:space="preserve"> Articles: </w:t>
      </w:r>
      <w:hyperlink w:anchor="appetite-and-desire">
        <w:r>
          <w:rPr>
            <w:color w:val="000000"/>
          </w:rPr>
          <w:t xml:space="preserve">Appetite and desire</w:t>
        </w:r>
      </w:hyperlink>
      <w:r>
        <w:rPr>
          <w:b w:val="0"/>
          <w:i w:val="0"/>
        </w:rPr>
        <w:t xml:space="preserve">;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love-and-pleasure">
        <w:r>
          <w:rPr>
            <w:color w:val="000000"/>
          </w:rPr>
          <w:t xml:space="preserve">Love and pleasure</w:t>
        </w:r>
      </w:hyperlink>
      <w:r>
        <w:rPr>
          <w:b w:val="0"/>
          <w:i w:val="0"/>
        </w:rPr>
        <w:t xml:space="preserve">; </w:t>
      </w:r>
      <w:hyperlink w:anchor="will">
        <w:r>
          <w:rPr>
            <w:color w:val="000000"/>
          </w:rPr>
          <w:t xml:space="preserve">Will</w:t>
        </w:r>
      </w:hyperlink>
      <w:r>
        <w:rPr>
          <w:b w:val="0"/>
          <w:i w:val="0"/>
        </w:rPr>
        <w:t xml:space="preserve">. Vocabulary: </w:t>
      </w:r>
      <w:hyperlink w:anchor="latin-record-0245">
        <w:r>
          <w:rPr>
            <w:color w:val="000000"/>
          </w:rPr>
          <w:t xml:space="preserve">consentire / confirmare</w:t>
        </w:r>
      </w:hyperlink>
      <w:r>
        <w:rPr>
          <w:b w:val="0"/>
          <w:i w:val="0"/>
        </w:rPr>
        <w:t xml:space="preserve">; </w:t>
      </w:r>
      <w:hyperlink w:anchor="latin-record-0380">
        <w:r>
          <w:rPr>
            <w:color w:val="000000"/>
          </w:rPr>
          <w:t xml:space="preserve">esse — existence and predication</w:t>
        </w:r>
      </w:hyperlink>
      <w:r>
        <w:rPr>
          <w:b w:val="0"/>
          <w:i w:val="0"/>
        </w:rPr>
        <w:t xml:space="preserve">; </w:t>
      </w:r>
      <w:hyperlink w:anchor="latin-record-0526">
        <w:r>
          <w:rPr>
            <w:color w:val="000000"/>
          </w:rPr>
          <w:t xml:space="preserve">imbecillitas / insipientia</w:t>
        </w:r>
      </w:hyperlink>
      <w:r>
        <w:rPr>
          <w:b w:val="0"/>
          <w:i w:val="0"/>
        </w:rPr>
        <w:t xml:space="preserve">; </w:t>
      </w:r>
      <w:hyperlink w:anchor="latin-record-1136">
        <w:r>
          <w:rPr>
            <w:color w:val="000000"/>
          </w:rPr>
          <w:t xml:space="preserve">spontaneus / voluntarius</w:t>
        </w:r>
      </w:hyperlink>
      <w:r>
        <w:rPr>
          <w:b w:val="0"/>
          <w:i w:val="0"/>
        </w:rPr>
        <w:t>.</w:t>
      </w:r>
    </w:p>
    <w:p>
      <w:pPr>
        <w:widowControl/>
      </w:pPr>
      <w:bookmarkStart w:id="1889" w:name="passage-ii-12-6"/>
      <w:bookmarkEnd w:id="1889"/>
      <w:r>
        <w:rPr>
          <w:b/>
          <w:i w:val="0"/>
        </w:rPr>
        <w:t>II.12.6</w:t>
      </w:r>
      <w:r>
        <w:rPr>
          <w:b/>
          <w:i w:val="0"/>
        </w:rPr>
        <w:t>, source pp. 204–205.</w:t>
      </w:r>
      <w:r>
        <w:rPr>
          <w:b w:val="0"/>
          <w:i w:val="0"/>
        </w:rPr>
        <w:t xml:space="preserve"> Articles: </w:t>
      </w:r>
      <w:hyperlink w:anchor="appetite-and-desire">
        <w:r>
          <w:rPr>
            <w:color w:val="000000"/>
          </w:rPr>
          <w:t xml:space="preserve">Appetite and desire</w:t>
        </w:r>
      </w:hyperlink>
      <w:r>
        <w:rPr>
          <w:b w:val="0"/>
          <w:i w:val="0"/>
        </w:rPr>
        <w:t xml:space="preserve">;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love-and-pleasure">
        <w:r>
          <w:rPr>
            <w:color w:val="000000"/>
          </w:rPr>
          <w:t xml:space="preserve">Love and pleasure</w:t>
        </w:r>
      </w:hyperlink>
      <w:r>
        <w:rPr>
          <w:b w:val="0"/>
          <w:i w:val="0"/>
        </w:rPr>
        <w:t xml:space="preserve">; </w:t>
      </w:r>
      <w:hyperlink w:anchor="participation">
        <w:r>
          <w:rPr>
            <w:color w:val="000000"/>
          </w:rPr>
          <w:t xml:space="preserve">Participation</w:t>
        </w:r>
      </w:hyperlink>
      <w:r>
        <w:rPr>
          <w:b w:val="0"/>
          <w:i w:val="0"/>
        </w:rPr>
        <w:t xml:space="preserve">; </w:t>
      </w:r>
      <w:hyperlink w:anchor="will">
        <w:r>
          <w:rPr>
            <w:color w:val="000000"/>
          </w:rPr>
          <w:t xml:space="preserve">Will</w:t>
        </w:r>
      </w:hyperlink>
      <w:r>
        <w:rPr>
          <w:b w:val="0"/>
          <w:i w:val="0"/>
        </w:rPr>
        <w:t xml:space="preserve">. Vocabulary: </w:t>
      </w:r>
      <w:hyperlink w:anchor="latin-record-0826">
        <w:r>
          <w:rPr>
            <w:color w:val="000000"/>
          </w:rPr>
          <w:t xml:space="preserve">participare / particeps</w:t>
        </w:r>
      </w:hyperlink>
      <w:r>
        <w:rPr>
          <w:b w:val="0"/>
          <w:i w:val="0"/>
        </w:rPr>
        <w:t xml:space="preserve">; </w:t>
      </w:r>
      <w:hyperlink w:anchor="latin-record-0877">
        <w:r>
          <w:rPr>
            <w:color w:val="000000"/>
          </w:rPr>
          <w:t xml:space="preserve">placere / displicere</w:t>
        </w:r>
      </w:hyperlink>
      <w:r>
        <w:rPr>
          <w:b w:val="0"/>
          <w:i w:val="0"/>
        </w:rPr>
        <w:t xml:space="preserve">; </w:t>
      </w:r>
      <w:hyperlink w:anchor="latin-record-1048">
        <w:r>
          <w:rPr>
            <w:color w:val="000000"/>
          </w:rPr>
          <w:t xml:space="preserve">res / re ipsa</w:t>
        </w:r>
      </w:hyperlink>
      <w:r>
        <w:rPr>
          <w:b w:val="0"/>
          <w:i w:val="0"/>
        </w:rPr>
        <w:t>.</w:t>
      </w:r>
    </w:p>
    <w:p>
      <w:pPr>
        <w:widowControl/>
      </w:pPr>
      <w:bookmarkStart w:id="1890" w:name="passage-ii-12-7"/>
      <w:bookmarkEnd w:id="1890"/>
      <w:r>
        <w:rPr>
          <w:b/>
          <w:i w:val="0"/>
        </w:rPr>
        <w:t>II.12.7</w:t>
      </w:r>
      <w:r>
        <w:rPr>
          <w:b/>
          <w:i w:val="0"/>
        </w:rPr>
        <w:t>, source pp. 204–205.</w:t>
      </w:r>
      <w:r>
        <w:rPr>
          <w:b w:val="0"/>
          <w:i w:val="0"/>
        </w:rPr>
        <w:t xml:space="preserve"> Articles: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love-and-pleasure">
        <w:r>
          <w:rPr>
            <w:color w:val="000000"/>
          </w:rPr>
          <w:t xml:space="preserve">Love and pleasure</w:t>
        </w:r>
      </w:hyperlink>
      <w:r>
        <w:rPr>
          <w:b w:val="0"/>
          <w:i w:val="0"/>
        </w:rPr>
        <w:t xml:space="preserve">; </w:t>
      </w:r>
      <w:hyperlink w:anchor="will">
        <w:r>
          <w:rPr>
            <w:color w:val="000000"/>
          </w:rPr>
          <w:t xml:space="preserve">Will</w:t>
        </w:r>
      </w:hyperlink>
      <w:r>
        <w:rPr>
          <w:b w:val="0"/>
          <w:i w:val="0"/>
        </w:rPr>
        <w:t xml:space="preserve">. Vocabulary: </w:t>
      </w:r>
      <w:hyperlink w:anchor="latin-record-0913">
        <w:r>
          <w:rPr>
            <w:color w:val="000000"/>
          </w:rPr>
          <w:t xml:space="preserve">praescribere</w:t>
        </w:r>
      </w:hyperlink>
      <w:r>
        <w:rPr>
          <w:b w:val="0"/>
          <w:i w:val="0"/>
        </w:rPr>
        <w:t xml:space="preserve">; </w:t>
      </w:r>
      <w:hyperlink w:anchor="latin-record-1167">
        <w:r>
          <w:rPr>
            <w:color w:val="000000"/>
          </w:rPr>
          <w:t xml:space="preserve">sui iuris</w:t>
        </w:r>
      </w:hyperlink>
      <w:r>
        <w:rPr>
          <w:b w:val="0"/>
          <w:i w:val="0"/>
        </w:rPr>
        <w:t>.</w:t>
      </w:r>
    </w:p>
    <w:p>
      <w:pPr>
        <w:widowControl/>
      </w:pPr>
      <w:bookmarkStart w:id="1891" w:name="passage-ii-12-8"/>
      <w:bookmarkEnd w:id="1891"/>
      <w:r>
        <w:rPr>
          <w:b/>
          <w:i w:val="0"/>
        </w:rPr>
        <w:t>II.12.8</w:t>
      </w:r>
      <w:r>
        <w:rPr>
          <w:b/>
          <w:i w:val="0"/>
        </w:rPr>
        <w:t>, source pp. 206–207.</w:t>
      </w:r>
      <w:r>
        <w:rPr>
          <w:b w:val="0"/>
          <w:i w:val="0"/>
        </w:rPr>
        <w:t xml:space="preserve"> Articles: </w:t>
      </w:r>
      <w:hyperlink w:anchor="essence-and-substance">
        <w:r>
          <w:rPr>
            <w:color w:val="000000"/>
          </w:rPr>
          <w:t xml:space="preserve">Essence and substance</w:t>
        </w:r>
      </w:hyperlink>
      <w:r>
        <w:rPr>
          <w:b w:val="0"/>
          <w:i w:val="0"/>
        </w:rPr>
        <w:t xml:space="preserve">; </w:t>
      </w:r>
      <w:hyperlink w:anchor="freedom-and-necessity">
        <w:r>
          <w:rPr>
            <w:color w:val="000000"/>
          </w:rPr>
          <w:t xml:space="preserve">Freedom and necessity</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good-and-goodness">
        <w:r>
          <w:rPr>
            <w:color w:val="000000"/>
          </w:rPr>
          <w:t xml:space="preserve">Good and goodness</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qualification-and-attribution">
        <w:r>
          <w:rPr>
            <w:color w:val="000000"/>
          </w:rPr>
          <w:t xml:space="preserve">Qualification and attribution</w:t>
        </w:r>
      </w:hyperlink>
      <w:r>
        <w:rPr>
          <w:b w:val="0"/>
          <w:i w:val="0"/>
        </w:rPr>
        <w:t xml:space="preserve">; </w:t>
      </w:r>
      <w:hyperlink w:anchor="self-production-and-reservation">
        <w:r>
          <w:rPr>
            <w:color w:val="000000"/>
          </w:rPr>
          <w:t xml:space="preserve">Self-production and reservation</w:t>
        </w:r>
      </w:hyperlink>
      <w:r>
        <w:rPr>
          <w:b w:val="0"/>
          <w:i w:val="0"/>
        </w:rPr>
        <w:t xml:space="preserve">; </w:t>
      </w:r>
      <w:hyperlink w:anchor="will">
        <w:r>
          <w:rPr>
            <w:color w:val="000000"/>
          </w:rPr>
          <w:t xml:space="preserve">Will</w:t>
        </w:r>
      </w:hyperlink>
      <w:r>
        <w:rPr>
          <w:b w:val="0"/>
          <w:i w:val="0"/>
        </w:rPr>
        <w:t xml:space="preserve">. Vocabulary: </w:t>
      </w:r>
      <w:hyperlink w:anchor="latin-record-0213">
        <w:r>
          <w:rPr>
            <w:color w:val="000000"/>
          </w:rPr>
          <w:t xml:space="preserve">compos</w:t>
        </w:r>
      </w:hyperlink>
      <w:r>
        <w:rPr>
          <w:b w:val="0"/>
          <w:i w:val="0"/>
        </w:rPr>
        <w:t xml:space="preserve">; </w:t>
      </w:r>
      <w:hyperlink w:anchor="latin-record-0291">
        <w:r>
          <w:rPr>
            <w:color w:val="000000"/>
          </w:rPr>
          <w:t xml:space="preserve">dare</w:t>
        </w:r>
      </w:hyperlink>
      <w:r>
        <w:rPr>
          <w:b w:val="0"/>
          <w:i w:val="0"/>
        </w:rPr>
        <w:t xml:space="preserve">; </w:t>
      </w:r>
      <w:hyperlink w:anchor="latin-record-0467">
        <w:r>
          <w:rPr>
            <w:color w:val="000000"/>
          </w:rPr>
          <w:t xml:space="preserve">forsitan / quodammodo</w:t>
        </w:r>
      </w:hyperlink>
      <w:r>
        <w:rPr>
          <w:b w:val="0"/>
          <w:i w:val="0"/>
        </w:rPr>
        <w:t xml:space="preserve">; </w:t>
      </w:r>
      <w:hyperlink w:anchor="latin-record-0595">
        <w:r>
          <w:rPr>
            <w:color w:val="000000"/>
          </w:rPr>
          <w:t xml:space="preserve">intellectus / intelligentia / intelligere</w:t>
        </w:r>
      </w:hyperlink>
      <w:r>
        <w:rPr>
          <w:b w:val="0"/>
          <w:i w:val="0"/>
        </w:rPr>
        <w:t xml:space="preserve">; </w:t>
      </w:r>
      <w:hyperlink w:anchor="latin-record-0768">
        <w:r>
          <w:rPr>
            <w:color w:val="000000"/>
          </w:rPr>
          <w:t xml:space="preserve">norma / condicio</w:t>
        </w:r>
      </w:hyperlink>
      <w:r>
        <w:rPr>
          <w:b w:val="0"/>
          <w:i w:val="0"/>
        </w:rPr>
        <w:t xml:space="preserve">; </w:t>
      </w:r>
      <w:hyperlink w:anchor="latin-record-1048">
        <w:r>
          <w:rPr>
            <w:color w:val="000000"/>
          </w:rPr>
          <w:t xml:space="preserve">res / re ipsa</w:t>
        </w:r>
      </w:hyperlink>
      <w:r>
        <w:rPr>
          <w:b w:val="0"/>
          <w:i w:val="0"/>
        </w:rPr>
        <w:t xml:space="preserve">; </w:t>
      </w:r>
      <w:hyperlink w:anchor="latin-record-1291">
        <w:r>
          <w:rPr>
            <w:color w:val="000000"/>
          </w:rPr>
          <w:t xml:space="preserve">Zoroastris sectatores</w:t>
        </w:r>
      </w:hyperlink>
      <w:r>
        <w:rPr>
          <w:b w:val="0"/>
          <w:i w:val="0"/>
        </w:rPr>
        <w:t>.</w:t>
      </w:r>
    </w:p>
    <w:p>
      <w:pPr>
        <w:widowControl/>
      </w:pPr>
      <w:bookmarkStart w:id="1892" w:name="passage-ii-12-9"/>
      <w:bookmarkEnd w:id="1892"/>
      <w:r>
        <w:rPr>
          <w:b/>
          <w:i w:val="0"/>
        </w:rPr>
        <w:t>II.12.9</w:t>
      </w:r>
      <w:r>
        <w:rPr>
          <w:b/>
          <w:i w:val="0"/>
        </w:rPr>
        <w:t>, source pp. 206–207.</w:t>
      </w:r>
      <w:r>
        <w:rPr>
          <w:b w:val="0"/>
          <w:i w:val="0"/>
        </w:rPr>
        <w:t xml:space="preserve"> Articles: </w:t>
      </w:r>
      <w:hyperlink w:anchor="freedom-and-necessity">
        <w:r>
          <w:rPr>
            <w:color w:val="000000"/>
          </w:rPr>
          <w:t xml:space="preserve">Freedom and necessity</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good-and-goodness">
        <w:r>
          <w:rPr>
            <w:color w:val="000000"/>
          </w:rPr>
          <w:t xml:space="preserve">Good and goodness</w:t>
        </w:r>
      </w:hyperlink>
      <w:r>
        <w:rPr>
          <w:b w:val="0"/>
          <w:i w:val="0"/>
        </w:rPr>
        <w:t xml:space="preserve">; </w:t>
      </w:r>
      <w:hyperlink w:anchor="self-production-and-reservation">
        <w:r>
          <w:rPr>
            <w:color w:val="000000"/>
          </w:rPr>
          <w:t xml:space="preserve">Self-production and reservation</w:t>
        </w:r>
      </w:hyperlink>
      <w:r>
        <w:rPr>
          <w:b w:val="0"/>
          <w:i w:val="0"/>
        </w:rPr>
        <w:t xml:space="preserve">; </w:t>
      </w:r>
      <w:hyperlink w:anchor="will">
        <w:r>
          <w:rPr>
            <w:color w:val="000000"/>
          </w:rPr>
          <w:t xml:space="preserve">Will</w:t>
        </w:r>
      </w:hyperlink>
      <w:r>
        <w:rPr>
          <w:b w:val="0"/>
          <w:i w:val="0"/>
        </w:rPr>
        <w:t xml:space="preserve">. Vocabulary: </w:t>
      </w:r>
      <w:hyperlink w:anchor="latin-record-0017">
        <w:r>
          <w:rPr>
            <w:color w:val="000000"/>
          </w:rPr>
          <w:t xml:space="preserve">actus / actum (product)</w:t>
        </w:r>
      </w:hyperlink>
      <w:r>
        <w:rPr>
          <w:b w:val="0"/>
          <w:i w:val="0"/>
        </w:rPr>
        <w:t xml:space="preserve">; </w:t>
      </w:r>
      <w:hyperlink w:anchor="latin-record-0884">
        <w:r>
          <w:rPr>
            <w:color w:val="000000"/>
          </w:rPr>
          <w:t xml:space="preserve">Plotinus</w:t>
        </w:r>
      </w:hyperlink>
      <w:r>
        <w:rPr>
          <w:b w:val="0"/>
          <w:i w:val="0"/>
        </w:rPr>
        <w:t>.</w:t>
      </w:r>
    </w:p>
    <w:p>
      <w:pPr>
        <w:widowControl/>
      </w:pPr>
      <w:bookmarkStart w:id="1893" w:name="passage-ii-12-10"/>
      <w:bookmarkEnd w:id="1893"/>
      <w:r>
        <w:rPr>
          <w:b/>
          <w:i w:val="0"/>
        </w:rPr>
        <w:t>II.12.10</w:t>
      </w:r>
      <w:r>
        <w:rPr>
          <w:b/>
          <w:i w:val="0"/>
        </w:rPr>
        <w:t>, source pp. 206–207.</w:t>
      </w:r>
      <w:r>
        <w:rPr>
          <w:b w:val="0"/>
          <w:i w:val="0"/>
        </w:rPr>
        <w:t xml:space="preserve"> Articles: </w:t>
      </w:r>
      <w:hyperlink w:anchor="freedom-and-necessity">
        <w:r>
          <w:rPr>
            <w:color w:val="000000"/>
          </w:rPr>
          <w:t xml:space="preserve">Freedom and necessity</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good-and-goodness">
        <w:r>
          <w:rPr>
            <w:color w:val="000000"/>
          </w:rPr>
          <w:t xml:space="preserve">Good and goodness</w:t>
        </w:r>
      </w:hyperlink>
      <w:r>
        <w:rPr>
          <w:b w:val="0"/>
          <w:i w:val="0"/>
        </w:rPr>
        <w:t xml:space="preserve">; </w:t>
      </w:r>
      <w:hyperlink w:anchor="self-production-and-reservation">
        <w:r>
          <w:rPr>
            <w:color w:val="000000"/>
          </w:rPr>
          <w:t xml:space="preserve">Self-production and reservation</w:t>
        </w:r>
      </w:hyperlink>
      <w:r>
        <w:rPr>
          <w:b w:val="0"/>
          <w:i w:val="0"/>
        </w:rPr>
        <w:t xml:space="preserve">; </w:t>
      </w:r>
      <w:hyperlink w:anchor="will">
        <w:r>
          <w:rPr>
            <w:color w:val="000000"/>
          </w:rPr>
          <w:t xml:space="preserve">Will</w:t>
        </w:r>
      </w:hyperlink>
      <w:r>
        <w:rPr>
          <w:b w:val="0"/>
          <w:i w:val="0"/>
        </w:rPr>
        <w:t xml:space="preserve">. Vocabulary: </w:t>
      </w:r>
      <w:hyperlink w:anchor="latin-record-0017">
        <w:r>
          <w:rPr>
            <w:color w:val="000000"/>
          </w:rPr>
          <w:t xml:space="preserve">actus / actum (product)</w:t>
        </w:r>
      </w:hyperlink>
      <w:r>
        <w:rPr>
          <w:b w:val="0"/>
          <w:i w:val="0"/>
        </w:rPr>
        <w:t xml:space="preserve">; </w:t>
      </w:r>
      <w:hyperlink w:anchor="latin-record-0439">
        <w:r>
          <w:rPr>
            <w:color w:val="000000"/>
          </w:rPr>
          <w:t xml:space="preserve">fecundus</w:t>
        </w:r>
      </w:hyperlink>
      <w:r>
        <w:rPr>
          <w:b w:val="0"/>
          <w:i w:val="0"/>
        </w:rPr>
        <w:t xml:space="preserve">; </w:t>
      </w:r>
      <w:hyperlink w:anchor="latin-record-0484">
        <w:r>
          <w:rPr>
            <w:color w:val="000000"/>
          </w:rPr>
          <w:t xml:space="preserve">gignere / producere</w:t>
        </w:r>
      </w:hyperlink>
      <w:r>
        <w:rPr>
          <w:b w:val="0"/>
          <w:i w:val="0"/>
        </w:rPr>
        <w:t xml:space="preserve">; </w:t>
      </w:r>
      <w:hyperlink w:anchor="latin-record-0762">
        <w:r>
          <w:rPr>
            <w:color w:val="000000"/>
          </w:rPr>
          <w:t xml:space="preserve">nixus / inniti</w:t>
        </w:r>
      </w:hyperlink>
      <w:r>
        <w:rPr>
          <w:b w:val="0"/>
          <w:i w:val="0"/>
        </w:rPr>
        <w:t xml:space="preserve">; </w:t>
      </w:r>
      <w:hyperlink w:anchor="latin-record-0867">
        <w:r>
          <w:rPr>
            <w:color w:val="000000"/>
          </w:rPr>
          <w:t xml:space="preserve">pervigil / vigilare</w:t>
        </w:r>
      </w:hyperlink>
      <w:r>
        <w:rPr>
          <w:b w:val="0"/>
          <w:i w:val="0"/>
        </w:rPr>
        <w:t>.</w:t>
      </w:r>
    </w:p>
    <w:p>
      <w:pPr>
        <w:widowControl/>
      </w:pPr>
      <w:bookmarkStart w:id="1894" w:name="passage-ii-12-11"/>
      <w:bookmarkEnd w:id="1894"/>
      <w:r>
        <w:rPr>
          <w:b/>
          <w:i w:val="0"/>
        </w:rPr>
        <w:t>II.12.11</w:t>
      </w:r>
      <w:r>
        <w:rPr>
          <w:b/>
          <w:i w:val="0"/>
        </w:rPr>
        <w:t>, source pp. 208–209.</w:t>
      </w:r>
      <w:r>
        <w:rPr>
          <w:b w:val="0"/>
          <w:i w:val="0"/>
        </w:rPr>
        <w:t xml:space="preserve"> Articles: </w:t>
      </w:r>
      <w:hyperlink w:anchor="freedom-and-necessity">
        <w:r>
          <w:rPr>
            <w:color w:val="000000"/>
          </w:rPr>
          <w:t xml:space="preserve">Freedom and necessity</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good-and-goodness">
        <w:r>
          <w:rPr>
            <w:color w:val="000000"/>
          </w:rPr>
          <w:t xml:space="preserve">Good and goodness</w:t>
        </w:r>
      </w:hyperlink>
      <w:r>
        <w:rPr>
          <w:b w:val="0"/>
          <w:i w:val="0"/>
        </w:rPr>
        <w:t xml:space="preserve">; </w:t>
      </w:r>
      <w:hyperlink w:anchor="self-production-and-reservation">
        <w:r>
          <w:rPr>
            <w:color w:val="000000"/>
          </w:rPr>
          <w:t xml:space="preserve">Self-production and reservation</w:t>
        </w:r>
      </w:hyperlink>
      <w:r>
        <w:rPr>
          <w:b w:val="0"/>
          <w:i w:val="0"/>
        </w:rPr>
        <w:t xml:space="preserve">; </w:t>
      </w:r>
      <w:hyperlink w:anchor="will">
        <w:r>
          <w:rPr>
            <w:color w:val="000000"/>
          </w:rPr>
          <w:t xml:space="preserve">Will</w:t>
        </w:r>
      </w:hyperlink>
      <w:r>
        <w:rPr>
          <w:b w:val="0"/>
          <w:i w:val="0"/>
        </w:rPr>
        <w:t xml:space="preserve">. Vocabulary: </w:t>
      </w:r>
      <w:hyperlink w:anchor="latin-record-0312">
        <w:r>
          <w:rPr>
            <w:color w:val="000000"/>
          </w:rPr>
          <w:t xml:space="preserve">Deus ipse viderit</w:t>
        </w:r>
      </w:hyperlink>
      <w:r>
        <w:rPr>
          <w:b w:val="0"/>
          <w:i w:val="0"/>
        </w:rPr>
        <w:t xml:space="preserve">; </w:t>
      </w:r>
      <w:hyperlink w:anchor="latin-record-0484">
        <w:r>
          <w:rPr>
            <w:color w:val="000000"/>
          </w:rPr>
          <w:t xml:space="preserve">gignere / producere</w:t>
        </w:r>
      </w:hyperlink>
      <w:r>
        <w:rPr>
          <w:b w:val="0"/>
          <w:i w:val="0"/>
        </w:rPr>
        <w:t xml:space="preserve">; </w:t>
      </w:r>
      <w:hyperlink w:anchor="latin-record-0762">
        <w:r>
          <w:rPr>
            <w:color w:val="000000"/>
          </w:rPr>
          <w:t xml:space="preserve">nixus / inniti</w:t>
        </w:r>
      </w:hyperlink>
      <w:r>
        <w:rPr>
          <w:b w:val="0"/>
          <w:i w:val="0"/>
        </w:rPr>
        <w:t xml:space="preserve">; </w:t>
      </w:r>
      <w:hyperlink w:anchor="latin-record-0884">
        <w:r>
          <w:rPr>
            <w:color w:val="000000"/>
          </w:rPr>
          <w:t xml:space="preserve">Plotinus</w:t>
        </w:r>
      </w:hyperlink>
      <w:r>
        <w:rPr>
          <w:b w:val="0"/>
          <w:i w:val="0"/>
        </w:rPr>
        <w:t xml:space="preserve">; </w:t>
      </w:r>
      <w:hyperlink w:anchor="latin-record-0891">
        <w:r>
          <w:rPr>
            <w:color w:val="000000"/>
          </w:rPr>
          <w:t xml:space="preserve">ponere / signare in esse</w:t>
        </w:r>
      </w:hyperlink>
      <w:r>
        <w:rPr>
          <w:b w:val="0"/>
          <w:i w:val="0"/>
        </w:rPr>
        <w:t>.</w:t>
      </w:r>
    </w:p>
    <w:p>
      <w:pPr>
        <w:widowControl/>
      </w:pPr>
      <w:bookmarkStart w:id="1895" w:name="passage-ii-12-12"/>
      <w:bookmarkEnd w:id="1895"/>
      <w:r>
        <w:rPr>
          <w:b/>
          <w:i w:val="0"/>
        </w:rPr>
        <w:t>II.12.12</w:t>
      </w:r>
      <w:r>
        <w:rPr>
          <w:b/>
          <w:i w:val="0"/>
        </w:rPr>
        <w:t>, source pp. 208–209.</w:t>
      </w:r>
      <w:r>
        <w:rPr>
          <w:b w:val="0"/>
          <w:i w:val="0"/>
        </w:rPr>
        <w:t xml:space="preserve"> Articles: </w:t>
      </w:r>
      <w:hyperlink w:anchor="end-and-limit">
        <w:r>
          <w:rPr>
            <w:color w:val="000000"/>
          </w:rPr>
          <w:t xml:space="preserve">End and limit</w:t>
        </w:r>
      </w:hyperlink>
      <w:r>
        <w:rPr>
          <w:b w:val="0"/>
          <w:i w:val="0"/>
        </w:rPr>
        <w:t xml:space="preserve">;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image-and-likeness">
        <w:r>
          <w:rPr>
            <w:color w:val="000000"/>
          </w:rPr>
          <w:t xml:space="preserve">Image and likeness</w:t>
        </w:r>
      </w:hyperlink>
      <w:r>
        <w:rPr>
          <w:b w:val="0"/>
          <w:i w:val="0"/>
        </w:rPr>
        <w:t xml:space="preserve">; </w:t>
      </w:r>
      <w:hyperlink w:anchor="object-and-adequate-object">
        <w:r>
          <w:rPr>
            <w:color w:val="000000"/>
          </w:rPr>
          <w:t xml:space="preserve">Object and adequate object</w:t>
        </w:r>
      </w:hyperlink>
      <w:r>
        <w:rPr>
          <w:b w:val="0"/>
          <w:i w:val="0"/>
        </w:rPr>
        <w:t xml:space="preserve">; </w:t>
      </w:r>
      <w:hyperlink w:anchor="will">
        <w:r>
          <w:rPr>
            <w:color w:val="000000"/>
          </w:rPr>
          <w:t xml:space="preserve">Will</w:t>
        </w:r>
      </w:hyperlink>
      <w:r>
        <w:rPr>
          <w:b w:val="0"/>
          <w:i w:val="0"/>
        </w:rPr>
        <w:t xml:space="preserve">. Vocabulary: </w:t>
      </w:r>
      <w:hyperlink w:anchor="latin-record-0128">
        <w:r>
          <w:rPr>
            <w:color w:val="000000"/>
          </w:rPr>
          <w:t xml:space="preserve">bonum / bonitas</w:t>
        </w:r>
      </w:hyperlink>
      <w:r>
        <w:rPr>
          <w:b w:val="0"/>
          <w:i w:val="0"/>
        </w:rPr>
        <w:t xml:space="preserve">; </w:t>
      </w:r>
      <w:hyperlink w:anchor="latin-record-0492">
        <w:r>
          <w:rPr>
            <w:color w:val="000000"/>
          </w:rPr>
          <w:t xml:space="preserve">gustus</w:t>
        </w:r>
      </w:hyperlink>
      <w:r>
        <w:rPr>
          <w:b w:val="0"/>
          <w:i w:val="0"/>
        </w:rPr>
        <w:t xml:space="preserve">; </w:t>
      </w:r>
      <w:hyperlink w:anchor="latin-record-0924">
        <w:r>
          <w:rPr>
            <w:color w:val="000000"/>
          </w:rPr>
          <w:t xml:space="preserve">primum / summum / ultimum</w:t>
        </w:r>
      </w:hyperlink>
      <w:r>
        <w:rPr>
          <w:b w:val="0"/>
          <w:i w:val="0"/>
        </w:rPr>
        <w:t xml:space="preserve">; </w:t>
      </w:r>
      <w:hyperlink w:anchor="latin-record-0970">
        <w:r>
          <w:rPr>
            <w:color w:val="000000"/>
          </w:rPr>
          <w:t xml:space="preserve">prout</w:t>
        </w:r>
      </w:hyperlink>
      <w:r>
        <w:rPr>
          <w:b w:val="0"/>
          <w:i w:val="0"/>
        </w:rPr>
        <w:t xml:space="preserve">; </w:t>
      </w:r>
      <w:hyperlink w:anchor="latin-record-1287">
        <w:r>
          <w:rPr>
            <w:color w:val="000000"/>
          </w:rPr>
          <w:t xml:space="preserve">vultus / imago</w:t>
        </w:r>
      </w:hyperlink>
      <w:r>
        <w:rPr>
          <w:b w:val="0"/>
          <w:i w:val="0"/>
        </w:rPr>
        <w:t>.</w:t>
      </w:r>
    </w:p>
    <w:p>
      <w:pPr>
        <w:widowControl/>
      </w:pPr>
      <w:bookmarkStart w:id="1896" w:name="passage-ii-12-13"/>
      <w:bookmarkEnd w:id="1896"/>
      <w:r>
        <w:rPr>
          <w:b/>
          <w:i w:val="0"/>
        </w:rPr>
        <w:t>II.12.13</w:t>
      </w:r>
      <w:r>
        <w:rPr>
          <w:b/>
          <w:i w:val="0"/>
        </w:rPr>
        <w:t>, source pp. 208–209.</w:t>
      </w:r>
      <w:r>
        <w:rPr>
          <w:b w:val="0"/>
          <w:i w:val="0"/>
        </w:rPr>
        <w:t xml:space="preserve"> Articles: </w:t>
      </w:r>
      <w:hyperlink w:anchor="end-and-limit">
        <w:r>
          <w:rPr>
            <w:color w:val="000000"/>
          </w:rPr>
          <w:t xml:space="preserve">End and limit</w:t>
        </w:r>
      </w:hyperlink>
      <w:r>
        <w:rPr>
          <w:b w:val="0"/>
          <w:i w:val="0"/>
        </w:rPr>
        <w:t xml:space="preserve">;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image-and-likeness">
        <w:r>
          <w:rPr>
            <w:color w:val="000000"/>
          </w:rPr>
          <w:t xml:space="preserve">Image and likeness</w:t>
        </w:r>
      </w:hyperlink>
      <w:r>
        <w:rPr>
          <w:b w:val="0"/>
          <w:i w:val="0"/>
        </w:rPr>
        <w:t xml:space="preserve">; </w:t>
      </w:r>
      <w:hyperlink w:anchor="relations-and-respects">
        <w:r>
          <w:rPr>
            <w:color w:val="000000"/>
          </w:rPr>
          <w:t xml:space="preserve">Relations and respects</w:t>
        </w:r>
      </w:hyperlink>
      <w:r>
        <w:rPr>
          <w:b w:val="0"/>
          <w:i w:val="0"/>
        </w:rPr>
        <w:t xml:space="preserve">; </w:t>
      </w:r>
      <w:hyperlink w:anchor="turning-and-direction">
        <w:r>
          <w:rPr>
            <w:color w:val="000000"/>
          </w:rPr>
          <w:t xml:space="preserve">Turning and direction</w:t>
        </w:r>
      </w:hyperlink>
      <w:r>
        <w:rPr>
          <w:b w:val="0"/>
          <w:i w:val="0"/>
        </w:rPr>
        <w:t xml:space="preserve">; </w:t>
      </w:r>
      <w:hyperlink w:anchor="will">
        <w:r>
          <w:rPr>
            <w:color w:val="000000"/>
          </w:rPr>
          <w:t xml:space="preserve">Will</w:t>
        </w:r>
      </w:hyperlink>
      <w:r>
        <w:rPr>
          <w:b w:val="0"/>
          <w:i w:val="0"/>
        </w:rPr>
        <w:t xml:space="preserve">. Vocabulary: </w:t>
      </w:r>
      <w:hyperlink w:anchor="latin-record-0970">
        <w:r>
          <w:rPr>
            <w:color w:val="000000"/>
          </w:rPr>
          <w:t xml:space="preserve">prout</w:t>
        </w:r>
      </w:hyperlink>
      <w:r>
        <w:rPr>
          <w:b w:val="0"/>
          <w:i w:val="0"/>
        </w:rPr>
        <w:t>.</w:t>
      </w:r>
    </w:p>
    <w:p>
      <w:pPr>
        <w:widowControl/>
      </w:pPr>
      <w:bookmarkStart w:id="1897" w:name="passage-ii-12-14"/>
      <w:bookmarkEnd w:id="1897"/>
      <w:r>
        <w:rPr>
          <w:b/>
          <w:i w:val="0"/>
        </w:rPr>
        <w:t>II.12.14</w:t>
      </w:r>
      <w:r>
        <w:rPr>
          <w:b/>
          <w:i w:val="0"/>
        </w:rPr>
        <w:t>, source pp. 210–211.</w:t>
      </w:r>
      <w:r>
        <w:rPr>
          <w:b w:val="0"/>
          <w:i w:val="0"/>
        </w:rPr>
        <w:t xml:space="preserve"> Articles: </w:t>
      </w:r>
      <w:hyperlink w:anchor="end-and-limit">
        <w:r>
          <w:rPr>
            <w:color w:val="000000"/>
          </w:rPr>
          <w:t xml:space="preserve">End and limit</w:t>
        </w:r>
      </w:hyperlink>
      <w:r>
        <w:rPr>
          <w:b w:val="0"/>
          <w:i w:val="0"/>
        </w:rPr>
        <w:t xml:space="preserve">;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image-and-likeness">
        <w:r>
          <w:rPr>
            <w:color w:val="000000"/>
          </w:rPr>
          <w:t xml:space="preserve">Image and likeness</w:t>
        </w:r>
      </w:hyperlink>
      <w:r>
        <w:rPr>
          <w:b w:val="0"/>
          <w:i w:val="0"/>
        </w:rPr>
        <w:t xml:space="preserve">; </w:t>
      </w:r>
      <w:hyperlink w:anchor="need-and-sufficiency">
        <w:r>
          <w:rPr>
            <w:color w:val="000000"/>
          </w:rPr>
          <w:t xml:space="preserve">Need and sufficiency</w:t>
        </w:r>
      </w:hyperlink>
      <w:r>
        <w:rPr>
          <w:b w:val="0"/>
          <w:i w:val="0"/>
        </w:rPr>
        <w:t xml:space="preserve">; </w:t>
      </w:r>
      <w:hyperlink w:anchor="will">
        <w:r>
          <w:rPr>
            <w:color w:val="000000"/>
          </w:rPr>
          <w:t xml:space="preserve">Will</w:t>
        </w:r>
      </w:hyperlink>
      <w:r>
        <w:rPr>
          <w:b w:val="0"/>
          <w:i w:val="0"/>
        </w:rPr>
        <w:t xml:space="preserve">. Vocabulary: </w:t>
      </w:r>
      <w:hyperlink w:anchor="latin-record-0128">
        <w:r>
          <w:rPr>
            <w:color w:val="000000"/>
          </w:rPr>
          <w:t xml:space="preserve">bonum / bonitas</w:t>
        </w:r>
      </w:hyperlink>
      <w:r>
        <w:rPr>
          <w:b w:val="0"/>
          <w:i w:val="0"/>
        </w:rPr>
        <w:t xml:space="preserve">; </w:t>
      </w:r>
      <w:hyperlink w:anchor="latin-record-0229">
        <w:r>
          <w:rPr>
            <w:color w:val="000000"/>
          </w:rPr>
          <w:t xml:space="preserve">conditionali necessitate</w:t>
        </w:r>
      </w:hyperlink>
      <w:r>
        <w:rPr>
          <w:b w:val="0"/>
          <w:i w:val="0"/>
        </w:rPr>
        <w:t xml:space="preserve">; </w:t>
      </w:r>
      <w:hyperlink w:anchor="latin-record-0493">
        <w:r>
          <w:rPr>
            <w:color w:val="000000"/>
          </w:rPr>
          <w:t xml:space="preserve">habere / possidere</w:t>
        </w:r>
      </w:hyperlink>
      <w:r>
        <w:rPr>
          <w:b w:val="0"/>
          <w:i w:val="0"/>
        </w:rPr>
        <w:t>.</w:t>
      </w:r>
    </w:p>
    <w:p>
      <w:pPr>
        <w:widowControl/>
      </w:pPr>
      <w:bookmarkStart w:id="1898" w:name="passage-ii-12-15"/>
      <w:bookmarkEnd w:id="1898"/>
      <w:r>
        <w:rPr>
          <w:b/>
          <w:i w:val="0"/>
        </w:rPr>
        <w:t>II.12.15</w:t>
      </w:r>
      <w:r>
        <w:rPr>
          <w:b/>
          <w:i w:val="0"/>
        </w:rPr>
        <w:t>, source pp. 210–211.</w:t>
      </w:r>
      <w:r>
        <w:rPr>
          <w:b w:val="0"/>
          <w:i w:val="0"/>
        </w:rPr>
        <w:t xml:space="preserve"> Articles: </w:t>
      </w:r>
      <w:hyperlink w:anchor="choice-and-free-judgment">
        <w:r>
          <w:rPr>
            <w:color w:val="000000"/>
          </w:rPr>
          <w:t xml:space="preserve">Choice and free judgment</w:t>
        </w:r>
      </w:hyperlink>
      <w:r>
        <w:rPr>
          <w:b w:val="0"/>
          <w:i w:val="0"/>
        </w:rPr>
        <w:t xml:space="preserve">; </w:t>
      </w:r>
      <w:hyperlink w:anchor="end-and-limit">
        <w:r>
          <w:rPr>
            <w:color w:val="000000"/>
          </w:rPr>
          <w:t xml:space="preserve">End and limit</w:t>
        </w:r>
      </w:hyperlink>
      <w:r>
        <w:rPr>
          <w:b w:val="0"/>
          <w:i w:val="0"/>
        </w:rPr>
        <w:t xml:space="preserve">;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ideas-and-exemplars">
        <w:r>
          <w:rPr>
            <w:color w:val="000000"/>
          </w:rPr>
          <w:t xml:space="preserve">Ideas and exemplars</w:t>
        </w:r>
      </w:hyperlink>
      <w:r>
        <w:rPr>
          <w:b w:val="0"/>
          <w:i w:val="0"/>
        </w:rPr>
        <w:t xml:space="preserve">; </w:t>
      </w:r>
      <w:hyperlink w:anchor="image-and-likeness">
        <w:r>
          <w:rPr>
            <w:color w:val="000000"/>
          </w:rPr>
          <w:t xml:space="preserve">Image and likeness</w:t>
        </w:r>
      </w:hyperlink>
      <w:r>
        <w:rPr>
          <w:b w:val="0"/>
          <w:i w:val="0"/>
        </w:rPr>
        <w:t xml:space="preserve">; </w:t>
      </w:r>
      <w:hyperlink w:anchor="infinity">
        <w:r>
          <w:rPr>
            <w:color w:val="000000"/>
          </w:rPr>
          <w:t xml:space="preserve">Infinity</w:t>
        </w:r>
      </w:hyperlink>
      <w:r>
        <w:rPr>
          <w:b w:val="0"/>
          <w:i w:val="0"/>
        </w:rPr>
        <w:t xml:space="preserve">; </w:t>
      </w:r>
      <w:hyperlink w:anchor="motion-and-stability">
        <w:r>
          <w:rPr>
            <w:color w:val="000000"/>
          </w:rPr>
          <w:t xml:space="preserve">Motion and stability</w:t>
        </w:r>
      </w:hyperlink>
      <w:r>
        <w:rPr>
          <w:b w:val="0"/>
          <w:i w:val="0"/>
        </w:rPr>
        <w:t xml:space="preserve">; </w:t>
      </w:r>
      <w:hyperlink w:anchor="perfection">
        <w:r>
          <w:rPr>
            <w:color w:val="000000"/>
          </w:rPr>
          <w:t xml:space="preserve">Perfection</w:t>
        </w:r>
      </w:hyperlink>
      <w:r>
        <w:rPr>
          <w:b w:val="0"/>
          <w:i w:val="0"/>
        </w:rPr>
        <w:t xml:space="preserve">; </w:t>
      </w:r>
      <w:hyperlink w:anchor="power-and-potency">
        <w:r>
          <w:rPr>
            <w:color w:val="000000"/>
          </w:rPr>
          <w:t xml:space="preserve">Power and potency</w:t>
        </w:r>
      </w:hyperlink>
      <w:r>
        <w:rPr>
          <w:b w:val="0"/>
          <w:i w:val="0"/>
        </w:rPr>
        <w:t xml:space="preserve">; </w:t>
      </w:r>
      <w:hyperlink w:anchor="relations-and-respects">
        <w:r>
          <w:rPr>
            <w:color w:val="000000"/>
          </w:rPr>
          <w:t xml:space="preserve">Relations and respects</w:t>
        </w:r>
      </w:hyperlink>
      <w:r>
        <w:rPr>
          <w:b w:val="0"/>
          <w:i w:val="0"/>
        </w:rPr>
        <w:t xml:space="preserve">; </w:t>
      </w:r>
      <w:hyperlink w:anchor="will">
        <w:r>
          <w:rPr>
            <w:color w:val="000000"/>
          </w:rPr>
          <w:t xml:space="preserve">Will</w:t>
        </w:r>
      </w:hyperlink>
      <w:r>
        <w:rPr>
          <w:b w:val="0"/>
          <w:i w:val="0"/>
        </w:rPr>
        <w:t xml:space="preserve">. Vocabulary: </w:t>
      </w:r>
      <w:hyperlink w:anchor="latin-record-0062">
        <w:r>
          <w:rPr>
            <w:color w:val="000000"/>
          </w:rPr>
          <w:t xml:space="preserve">amplificare / porrigere</w:t>
        </w:r>
      </w:hyperlink>
      <w:r>
        <w:rPr>
          <w:b w:val="0"/>
          <w:i w:val="0"/>
        </w:rPr>
        <w:t xml:space="preserve">; </w:t>
      </w:r>
      <w:hyperlink w:anchor="latin-record-0128">
        <w:r>
          <w:rPr>
            <w:color w:val="000000"/>
          </w:rPr>
          <w:t xml:space="preserve">bonum / bonitas</w:t>
        </w:r>
      </w:hyperlink>
      <w:r>
        <w:rPr>
          <w:b w:val="0"/>
          <w:i w:val="0"/>
        </w:rPr>
        <w:t xml:space="preserve">; </w:t>
      </w:r>
      <w:hyperlink w:anchor="latin-record-0365">
        <w:r>
          <w:rPr>
            <w:color w:val="000000"/>
          </w:rPr>
          <w:t xml:space="preserve">effingere</w:t>
        </w:r>
      </w:hyperlink>
      <w:r>
        <w:rPr>
          <w:b w:val="0"/>
          <w:i w:val="0"/>
        </w:rPr>
        <w:t xml:space="preserve">; </w:t>
      </w:r>
      <w:hyperlink w:anchor="latin-record-0895">
        <w:r>
          <w:rPr>
            <w:color w:val="000000"/>
          </w:rPr>
          <w:t xml:space="preserve">positio</w:t>
        </w:r>
      </w:hyperlink>
      <w:r>
        <w:rPr>
          <w:b w:val="0"/>
          <w:i w:val="0"/>
        </w:rPr>
        <w:t xml:space="preserve">; </w:t>
      </w:r>
      <w:hyperlink w:anchor="latin-record-1199">
        <w:r>
          <w:rPr>
            <w:color w:val="000000"/>
          </w:rPr>
          <w:t xml:space="preserve">Thomas Aquinas</w:t>
        </w:r>
      </w:hyperlink>
      <w:r>
        <w:rPr>
          <w:b w:val="0"/>
          <w:i w:val="0"/>
        </w:rPr>
        <w:t>.</w:t>
      </w:r>
    </w:p>
    <w:p>
      <w:pPr>
        <w:widowControl/>
      </w:pPr>
      <w:bookmarkStart w:id="1899" w:name="passage-ii-12-16"/>
      <w:bookmarkEnd w:id="1899"/>
      <w:r>
        <w:rPr>
          <w:b/>
          <w:i w:val="0"/>
        </w:rPr>
        <w:t>II.12.16</w:t>
      </w:r>
      <w:r>
        <w:rPr>
          <w:b/>
          <w:i w:val="0"/>
        </w:rPr>
        <w:t>, source pp. 210–211.</w:t>
      </w:r>
      <w:r>
        <w:rPr>
          <w:b w:val="0"/>
          <w:i w:val="0"/>
        </w:rPr>
        <w:t xml:space="preserve"> Articles: </w:t>
      </w:r>
      <w:hyperlink w:anchor="choice-and-free-judgment">
        <w:r>
          <w:rPr>
            <w:color w:val="000000"/>
          </w:rPr>
          <w:t xml:space="preserve">Choice and free judgment</w:t>
        </w:r>
      </w:hyperlink>
      <w:r>
        <w:rPr>
          <w:b w:val="0"/>
          <w:i w:val="0"/>
        </w:rPr>
        <w:t xml:space="preserve">; </w:t>
      </w:r>
      <w:hyperlink w:anchor="contradiction-and-possibility">
        <w:r>
          <w:rPr>
            <w:color w:val="000000"/>
          </w:rPr>
          <w:t xml:space="preserve">Contradiction and possibility</w:t>
        </w:r>
      </w:hyperlink>
      <w:r>
        <w:rPr>
          <w:b w:val="0"/>
          <w:i w:val="0"/>
        </w:rPr>
        <w:t xml:space="preserve">;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infinity">
        <w:r>
          <w:rPr>
            <w:color w:val="000000"/>
          </w:rPr>
          <w:t xml:space="preserve">Infinity</w:t>
        </w:r>
      </w:hyperlink>
      <w:r>
        <w:rPr>
          <w:b w:val="0"/>
          <w:i w:val="0"/>
        </w:rPr>
        <w:t xml:space="preserve">; </w:t>
      </w:r>
      <w:hyperlink w:anchor="nothing-and-nonbeing">
        <w:r>
          <w:rPr>
            <w:color w:val="000000"/>
          </w:rPr>
          <w:t xml:space="preserve">Nothing and nonbeing</w:t>
        </w:r>
      </w:hyperlink>
      <w:r>
        <w:rPr>
          <w:b w:val="0"/>
          <w:i w:val="0"/>
        </w:rPr>
        <w:t xml:space="preserve">; </w:t>
      </w:r>
      <w:hyperlink w:anchor="perfection">
        <w:r>
          <w:rPr>
            <w:color w:val="000000"/>
          </w:rPr>
          <w:t xml:space="preserve">Perfection</w:t>
        </w:r>
      </w:hyperlink>
      <w:r>
        <w:rPr>
          <w:b w:val="0"/>
          <w:i w:val="0"/>
        </w:rPr>
        <w:t xml:space="preserve">; </w:t>
      </w:r>
      <w:hyperlink w:anchor="power-and-potency">
        <w:r>
          <w:rPr>
            <w:color w:val="000000"/>
          </w:rPr>
          <w:t xml:space="preserve">Power and potency</w:t>
        </w:r>
      </w:hyperlink>
      <w:r>
        <w:rPr>
          <w:b w:val="0"/>
          <w:i w:val="0"/>
        </w:rPr>
        <w:t xml:space="preserve">; </w:t>
      </w:r>
      <w:hyperlink w:anchor="productive-and-designing-power">
        <w:r>
          <w:rPr>
            <w:color w:val="000000"/>
          </w:rPr>
          <w:t xml:space="preserve">Productive and designing power</w:t>
        </w:r>
      </w:hyperlink>
      <w:r>
        <w:rPr>
          <w:b w:val="0"/>
          <w:i w:val="0"/>
        </w:rPr>
        <w:t xml:space="preserve">; </w:t>
      </w:r>
      <w:hyperlink w:anchor="reason-and-account">
        <w:r>
          <w:rPr>
            <w:color w:val="000000"/>
          </w:rPr>
          <w:t xml:space="preserve">Reason and account</w:t>
        </w:r>
      </w:hyperlink>
      <w:r>
        <w:rPr>
          <w:b w:val="0"/>
          <w:i w:val="0"/>
        </w:rPr>
        <w:t xml:space="preserve">; </w:t>
      </w:r>
      <w:hyperlink w:anchor="will">
        <w:r>
          <w:rPr>
            <w:color w:val="000000"/>
          </w:rPr>
          <w:t xml:space="preserve">Will</w:t>
        </w:r>
      </w:hyperlink>
      <w:r>
        <w:rPr>
          <w:b w:val="0"/>
          <w:i w:val="0"/>
        </w:rPr>
        <w:t xml:space="preserve">. Vocabulary: </w:t>
      </w:r>
      <w:hyperlink w:anchor="latin-record-0031">
        <w:r>
          <w:rPr>
            <w:color w:val="000000"/>
          </w:rPr>
          <w:t xml:space="preserve">adversari / repugnare</w:t>
        </w:r>
      </w:hyperlink>
      <w:r>
        <w:rPr>
          <w:b w:val="0"/>
          <w:i w:val="0"/>
        </w:rPr>
        <w:t xml:space="preserve">; </w:t>
      </w:r>
      <w:hyperlink w:anchor="latin-record-0759">
        <w:r>
          <w:rPr>
            <w:color w:val="000000"/>
          </w:rPr>
          <w:t xml:space="preserve">nihil / non ens</w:t>
        </w:r>
      </w:hyperlink>
      <w:r>
        <w:rPr>
          <w:b w:val="0"/>
          <w:i w:val="0"/>
        </w:rPr>
        <w:t>.</w:t>
      </w:r>
    </w:p>
    <w:p>
      <w:pPr>
        <w:widowControl/>
      </w:pPr>
      <w:bookmarkStart w:id="1900" w:name="passage-ii-12-17"/>
      <w:bookmarkEnd w:id="1900"/>
      <w:r>
        <w:rPr>
          <w:b/>
          <w:i w:val="0"/>
        </w:rPr>
        <w:t>II.12.17</w:t>
      </w:r>
      <w:r>
        <w:rPr>
          <w:b/>
          <w:i w:val="0"/>
        </w:rPr>
        <w:t>, source pp. 212–213.</w:t>
      </w:r>
      <w:r>
        <w:rPr>
          <w:b w:val="0"/>
          <w:i w:val="0"/>
        </w:rPr>
        <w:t xml:space="preserve"> Articles: </w:t>
      </w:r>
      <w:hyperlink w:anchor="choice-and-free-judgment">
        <w:r>
          <w:rPr>
            <w:color w:val="000000"/>
          </w:rPr>
          <w:t xml:space="preserve">Choice and free judgment</w:t>
        </w:r>
      </w:hyperlink>
      <w:r>
        <w:rPr>
          <w:b w:val="0"/>
          <w:i w:val="0"/>
        </w:rPr>
        <w:t xml:space="preserve">; </w:t>
      </w:r>
      <w:hyperlink w:anchor="contradiction-and-possibility">
        <w:r>
          <w:rPr>
            <w:color w:val="000000"/>
          </w:rPr>
          <w:t xml:space="preserve">Contradiction and possibility</w:t>
        </w:r>
      </w:hyperlink>
      <w:r>
        <w:rPr>
          <w:b w:val="0"/>
          <w:i w:val="0"/>
        </w:rPr>
        <w:t xml:space="preserve">;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infinity">
        <w:r>
          <w:rPr>
            <w:color w:val="000000"/>
          </w:rPr>
          <w:t xml:space="preserve">Infinity</w:t>
        </w:r>
      </w:hyperlink>
      <w:r>
        <w:rPr>
          <w:b w:val="0"/>
          <w:i w:val="0"/>
        </w:rPr>
        <w:t xml:space="preserve">; </w:t>
      </w:r>
      <w:hyperlink w:anchor="nothing-and-nonbeing">
        <w:r>
          <w:rPr>
            <w:color w:val="000000"/>
          </w:rPr>
          <w:t xml:space="preserve">Nothing and nonbeing</w:t>
        </w:r>
      </w:hyperlink>
      <w:r>
        <w:rPr>
          <w:b w:val="0"/>
          <w:i w:val="0"/>
        </w:rPr>
        <w:t xml:space="preserve">; </w:t>
      </w:r>
      <w:hyperlink w:anchor="perfection">
        <w:r>
          <w:rPr>
            <w:color w:val="000000"/>
          </w:rPr>
          <w:t xml:space="preserve">Perfection</w:t>
        </w:r>
      </w:hyperlink>
      <w:r>
        <w:rPr>
          <w:b w:val="0"/>
          <w:i w:val="0"/>
        </w:rPr>
        <w:t xml:space="preserve">; </w:t>
      </w:r>
      <w:hyperlink w:anchor="power-and-potency">
        <w:r>
          <w:rPr>
            <w:color w:val="000000"/>
          </w:rPr>
          <w:t xml:space="preserve">Power and potency</w:t>
        </w:r>
      </w:hyperlink>
      <w:r>
        <w:rPr>
          <w:b w:val="0"/>
          <w:i w:val="0"/>
        </w:rPr>
        <w:t xml:space="preserve">; </w:t>
      </w:r>
      <w:hyperlink w:anchor="productive-and-designing-power">
        <w:r>
          <w:rPr>
            <w:color w:val="000000"/>
          </w:rPr>
          <w:t xml:space="preserve">Productive and designing power</w:t>
        </w:r>
      </w:hyperlink>
      <w:r>
        <w:rPr>
          <w:b w:val="0"/>
          <w:i w:val="0"/>
        </w:rPr>
        <w:t xml:space="preserve">; </w:t>
      </w:r>
      <w:hyperlink w:anchor="reason-and-account">
        <w:r>
          <w:rPr>
            <w:color w:val="000000"/>
          </w:rPr>
          <w:t xml:space="preserve">Reason and account</w:t>
        </w:r>
      </w:hyperlink>
      <w:r>
        <w:rPr>
          <w:b w:val="0"/>
          <w:i w:val="0"/>
        </w:rPr>
        <w:t xml:space="preserve">; </w:t>
      </w:r>
      <w:hyperlink w:anchor="will">
        <w:r>
          <w:rPr>
            <w:color w:val="000000"/>
          </w:rPr>
          <w:t xml:space="preserve">Will</w:t>
        </w:r>
      </w:hyperlink>
      <w:r>
        <w:rPr>
          <w:b w:val="0"/>
          <w:i w:val="0"/>
        </w:rPr>
        <w:t xml:space="preserve">. Vocabulary: </w:t>
      </w:r>
      <w:hyperlink w:anchor="latin-record-0062">
        <w:r>
          <w:rPr>
            <w:color w:val="000000"/>
          </w:rPr>
          <w:t xml:space="preserve">amplificare / porrigere</w:t>
        </w:r>
      </w:hyperlink>
      <w:r>
        <w:rPr>
          <w:b w:val="0"/>
          <w:i w:val="0"/>
        </w:rPr>
        <w:t xml:space="preserve">; </w:t>
      </w:r>
      <w:hyperlink w:anchor="latin-record-0266">
        <w:r>
          <w:rPr>
            <w:color w:val="000000"/>
          </w:rPr>
          <w:t xml:space="preserve">contradictio</w:t>
        </w:r>
      </w:hyperlink>
      <w:r>
        <w:rPr>
          <w:b w:val="0"/>
          <w:i w:val="0"/>
        </w:rPr>
        <w:t xml:space="preserve">; </w:t>
      </w:r>
      <w:hyperlink w:anchor="latin-record-0360">
        <w:r>
          <w:rPr>
            <w:color w:val="000000"/>
          </w:rPr>
          <w:t xml:space="preserve">effectrix / machinatrix</w:t>
        </w:r>
      </w:hyperlink>
      <w:r>
        <w:rPr>
          <w:b w:val="0"/>
          <w:i w:val="0"/>
        </w:rPr>
        <w:t xml:space="preserve">; </w:t>
      </w:r>
      <w:hyperlink w:anchor="latin-record-0759">
        <w:r>
          <w:rPr>
            <w:color w:val="000000"/>
          </w:rPr>
          <w:t xml:space="preserve">nihil / non ens</w:t>
        </w:r>
      </w:hyperlink>
      <w:r>
        <w:rPr>
          <w:b w:val="0"/>
          <w:i w:val="0"/>
        </w:rPr>
        <w:t xml:space="preserve">; </w:t>
      </w:r>
      <w:hyperlink w:anchor="latin-record-0896">
        <w:r>
          <w:rPr>
            <w:color w:val="000000"/>
          </w:rPr>
          <w:t xml:space="preserve">posse / nequire</w:t>
        </w:r>
      </w:hyperlink>
      <w:r>
        <w:rPr>
          <w:b w:val="0"/>
          <w:i w:val="0"/>
        </w:rPr>
        <w:t xml:space="preserve">; </w:t>
      </w:r>
      <w:hyperlink w:anchor="latin-record-1012">
        <w:r>
          <w:rPr>
            <w:color w:val="000000"/>
          </w:rPr>
          <w:t xml:space="preserve">qui / quod — scope of a condition</w:t>
        </w:r>
      </w:hyperlink>
      <w:r>
        <w:rPr>
          <w:b w:val="0"/>
          <w:i w:val="0"/>
        </w:rPr>
        <w:t>.</w:t>
      </w:r>
    </w:p>
    <w:p>
      <w:pPr>
        <w:widowControl/>
      </w:pPr>
      <w:bookmarkStart w:id="1901" w:name="passage-ii-12-18"/>
      <w:bookmarkEnd w:id="1901"/>
      <w:r>
        <w:rPr>
          <w:b/>
          <w:i w:val="0"/>
        </w:rPr>
        <w:t>II.12.18</w:t>
      </w:r>
      <w:r>
        <w:rPr>
          <w:b/>
          <w:i w:val="0"/>
        </w:rPr>
        <w:t>, source pp. 212–213.</w:t>
      </w:r>
      <w:r>
        <w:rPr>
          <w:b w:val="0"/>
          <w:i w:val="0"/>
        </w:rPr>
        <w:t xml:space="preserve"> Articles: </w:t>
      </w:r>
      <w:hyperlink w:anchor="choice-and-free-judgment">
        <w:r>
          <w:rPr>
            <w:color w:val="000000"/>
          </w:rPr>
          <w:t xml:space="preserve">Choice and free judgment</w:t>
        </w:r>
      </w:hyperlink>
      <w:r>
        <w:rPr>
          <w:b w:val="0"/>
          <w:i w:val="0"/>
        </w:rPr>
        <w:t xml:space="preserve">; </w:t>
      </w:r>
      <w:hyperlink w:anchor="contradiction-and-possibility">
        <w:r>
          <w:rPr>
            <w:color w:val="000000"/>
          </w:rPr>
          <w:t xml:space="preserve">Contradiction and possibility</w:t>
        </w:r>
      </w:hyperlink>
      <w:r>
        <w:rPr>
          <w:b w:val="0"/>
          <w:i w:val="0"/>
        </w:rPr>
        <w:t xml:space="preserve">;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infinity">
        <w:r>
          <w:rPr>
            <w:color w:val="000000"/>
          </w:rPr>
          <w:t xml:space="preserve">Infinity</w:t>
        </w:r>
      </w:hyperlink>
      <w:r>
        <w:rPr>
          <w:b w:val="0"/>
          <w:i w:val="0"/>
        </w:rPr>
        <w:t xml:space="preserve">; </w:t>
      </w:r>
      <w:hyperlink w:anchor="nothing-and-nonbeing">
        <w:r>
          <w:rPr>
            <w:color w:val="000000"/>
          </w:rPr>
          <w:t xml:space="preserve">Nothing and nonbeing</w:t>
        </w:r>
      </w:hyperlink>
      <w:r>
        <w:rPr>
          <w:b w:val="0"/>
          <w:i w:val="0"/>
        </w:rPr>
        <w:t xml:space="preserve">; </w:t>
      </w:r>
      <w:hyperlink w:anchor="perfection">
        <w:r>
          <w:rPr>
            <w:color w:val="000000"/>
          </w:rPr>
          <w:t xml:space="preserve">Perfection</w:t>
        </w:r>
      </w:hyperlink>
      <w:r>
        <w:rPr>
          <w:b w:val="0"/>
          <w:i w:val="0"/>
        </w:rPr>
        <w:t xml:space="preserve">; </w:t>
      </w:r>
      <w:hyperlink w:anchor="power-and-potency">
        <w:r>
          <w:rPr>
            <w:color w:val="000000"/>
          </w:rPr>
          <w:t xml:space="preserve">Power and potency</w:t>
        </w:r>
      </w:hyperlink>
      <w:r>
        <w:rPr>
          <w:b w:val="0"/>
          <w:i w:val="0"/>
        </w:rPr>
        <w:t xml:space="preserve">; </w:t>
      </w:r>
      <w:hyperlink w:anchor="productive-and-designing-power">
        <w:r>
          <w:rPr>
            <w:color w:val="000000"/>
          </w:rPr>
          <w:t xml:space="preserve">Productive and designing power</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turning-and-direction">
        <w:r>
          <w:rPr>
            <w:color w:val="000000"/>
          </w:rPr>
          <w:t xml:space="preserve">Turning and direction</w:t>
        </w:r>
      </w:hyperlink>
      <w:r>
        <w:rPr>
          <w:b w:val="0"/>
          <w:i w:val="0"/>
        </w:rPr>
        <w:t xml:space="preserve">; </w:t>
      </w:r>
      <w:hyperlink w:anchor="will">
        <w:r>
          <w:rPr>
            <w:color w:val="000000"/>
          </w:rPr>
          <w:t xml:space="preserve">Will</w:t>
        </w:r>
      </w:hyperlink>
      <w:r>
        <w:rPr>
          <w:b w:val="0"/>
          <w:i w:val="0"/>
        </w:rPr>
        <w:t xml:space="preserve">. Vocabulary: </w:t>
      </w:r>
      <w:hyperlink w:anchor="latin-record-0266">
        <w:r>
          <w:rPr>
            <w:color w:val="000000"/>
          </w:rPr>
          <w:t xml:space="preserve">contradictio</w:t>
        </w:r>
      </w:hyperlink>
      <w:r>
        <w:rPr>
          <w:b w:val="0"/>
          <w:i w:val="0"/>
        </w:rPr>
        <w:t xml:space="preserve">; </w:t>
      </w:r>
      <w:hyperlink w:anchor="latin-record-0603">
        <w:r>
          <w:rPr>
            <w:color w:val="000000"/>
          </w:rPr>
          <w:t xml:space="preserve">intervallum</w:t>
        </w:r>
      </w:hyperlink>
      <w:r>
        <w:rPr>
          <w:b w:val="0"/>
          <w:i w:val="0"/>
        </w:rPr>
        <w:t xml:space="preserve">; </w:t>
      </w:r>
      <w:hyperlink w:anchor="latin-record-1012">
        <w:r>
          <w:rPr>
            <w:color w:val="000000"/>
          </w:rPr>
          <w:t xml:space="preserve">qui / quod — scope of a condition</w:t>
        </w:r>
      </w:hyperlink>
      <w:r>
        <w:rPr>
          <w:b w:val="0"/>
          <w:i w:val="0"/>
        </w:rPr>
        <w:t xml:space="preserve">; </w:t>
      </w:r>
      <w:hyperlink w:anchor="latin-record-1016">
        <w:r>
          <w:rPr>
            <w:color w:val="000000"/>
          </w:rPr>
          <w:t xml:space="preserve">quorsum</w:t>
        </w:r>
      </w:hyperlink>
      <w:r>
        <w:rPr>
          <w:b w:val="0"/>
          <w:i w:val="0"/>
        </w:rPr>
        <w:t>.</w:t>
      </w:r>
    </w:p>
    <w:p>
      <w:pPr>
        <w:widowControl/>
      </w:pPr>
      <w:bookmarkStart w:id="1902" w:name="passage-ii-12-19"/>
      <w:bookmarkEnd w:id="1902"/>
      <w:r>
        <w:rPr>
          <w:b/>
          <w:i w:val="0"/>
        </w:rPr>
        <w:t>II.12.19</w:t>
      </w:r>
      <w:r>
        <w:rPr>
          <w:b/>
          <w:i w:val="0"/>
        </w:rPr>
        <w:t>, source pp. 212–213.</w:t>
      </w:r>
      <w:r>
        <w:rPr>
          <w:b w:val="0"/>
          <w:i w:val="0"/>
        </w:rPr>
        <w:t xml:space="preserve"> Articles: </w:t>
      </w:r>
      <w:hyperlink w:anchor="choice-and-free-judgment">
        <w:r>
          <w:rPr>
            <w:color w:val="000000"/>
          </w:rPr>
          <w:t xml:space="preserve">Choice and free judgment</w:t>
        </w:r>
      </w:hyperlink>
      <w:r>
        <w:rPr>
          <w:b w:val="0"/>
          <w:i w:val="0"/>
        </w:rPr>
        <w:t xml:space="preserve">; </w:t>
      </w:r>
      <w:hyperlink w:anchor="freedom-and-necessity">
        <w:r>
          <w:rPr>
            <w:color w:val="000000"/>
          </w:rPr>
          <w:t xml:space="preserve">Freedom and necessity</w:t>
        </w:r>
      </w:hyperlink>
      <w:r>
        <w:rPr>
          <w:b w:val="0"/>
          <w:i w:val="0"/>
        </w:rPr>
        <w:t xml:space="preserve">; </w:t>
      </w:r>
      <w:hyperlink w:anchor="good-and-goodness">
        <w:r>
          <w:rPr>
            <w:color w:val="000000"/>
          </w:rPr>
          <w:t xml:space="preserve">Good and goodness</w:t>
        </w:r>
      </w:hyperlink>
      <w:r>
        <w:rPr>
          <w:b w:val="0"/>
          <w:i w:val="0"/>
        </w:rPr>
        <w:t xml:space="preserve">; </w:t>
      </w:r>
      <w:hyperlink w:anchor="need-and-sufficiency">
        <w:r>
          <w:rPr>
            <w:color w:val="000000"/>
          </w:rPr>
          <w:t xml:space="preserve">Need and sufficiency</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will">
        <w:r>
          <w:rPr>
            <w:color w:val="000000"/>
          </w:rPr>
          <w:t xml:space="preserve">Will</w:t>
        </w:r>
      </w:hyperlink>
      <w:r>
        <w:rPr>
          <w:b w:val="0"/>
          <w:i w:val="0"/>
        </w:rPr>
        <w:t xml:space="preserve">. Vocabulary: </w:t>
      </w:r>
      <w:hyperlink w:anchor="latin-record-0196">
        <w:r>
          <w:rPr>
            <w:color w:val="000000"/>
          </w:rPr>
          <w:t xml:space="preserve">commodum / apparens</w:t>
        </w:r>
      </w:hyperlink>
      <w:r>
        <w:rPr>
          <w:b w:val="0"/>
          <w:i w:val="0"/>
        </w:rPr>
        <w:t xml:space="preserve">; </w:t>
      </w:r>
      <w:hyperlink w:anchor="latin-record-0730">
        <w:r>
          <w:rPr>
            <w:color w:val="000000"/>
          </w:rPr>
          <w:t xml:space="preserve">mundus / universum</w:t>
        </w:r>
      </w:hyperlink>
      <w:r>
        <w:rPr>
          <w:b w:val="0"/>
          <w:i w:val="0"/>
        </w:rPr>
        <w:t xml:space="preserve">; </w:t>
      </w:r>
      <w:hyperlink w:anchor="latin-record-0828">
        <w:r>
          <w:rPr>
            <w:color w:val="000000"/>
          </w:rPr>
          <w:t xml:space="preserve">particula / particularis</w:t>
        </w:r>
      </w:hyperlink>
      <w:r>
        <w:rPr>
          <w:b w:val="0"/>
          <w:i w:val="0"/>
        </w:rPr>
        <w:t xml:space="preserve">; </w:t>
      </w:r>
      <w:hyperlink w:anchor="latin-record-1239">
        <w:r>
          <w:rPr>
            <w:color w:val="000000"/>
          </w:rPr>
          <w:t xml:space="preserve">velle / nolle / malle</w:t>
        </w:r>
      </w:hyperlink>
      <w:r>
        <w:rPr>
          <w:b w:val="0"/>
          <w:i w:val="0"/>
        </w:rPr>
        <w:t xml:space="preserve">; </w:t>
      </w:r>
      <w:hyperlink w:anchor="latin-record-1262">
        <w:r>
          <w:rPr>
            <w:color w:val="000000"/>
          </w:rPr>
          <w:t xml:space="preserve">vim inferre</w:t>
        </w:r>
      </w:hyperlink>
      <w:r>
        <w:rPr>
          <w:b w:val="0"/>
          <w:i w:val="0"/>
        </w:rPr>
        <w:t>.</w:t>
      </w:r>
    </w:p>
    <w:p>
      <w:pPr>
        <w:widowControl/>
      </w:pPr>
      <w:bookmarkStart w:id="1903" w:name="passage-ii-12-20"/>
      <w:bookmarkEnd w:id="1903"/>
      <w:r>
        <w:rPr>
          <w:b/>
          <w:i w:val="0"/>
        </w:rPr>
        <w:t>II.12.20</w:t>
      </w:r>
      <w:r>
        <w:rPr>
          <w:b/>
          <w:i w:val="0"/>
        </w:rPr>
        <w:t>, source pp. 214–215.</w:t>
      </w:r>
      <w:r>
        <w:rPr>
          <w:b w:val="0"/>
          <w:i w:val="0"/>
        </w:rPr>
        <w:t xml:space="preserve"> Articles: </w:t>
      </w:r>
      <w:hyperlink w:anchor="cause">
        <w:r>
          <w:rPr>
            <w:color w:val="000000"/>
          </w:rPr>
          <w:t xml:space="preserve">Cause</w:t>
        </w:r>
      </w:hyperlink>
      <w:r>
        <w:rPr>
          <w:b w:val="0"/>
          <w:i w:val="0"/>
        </w:rPr>
        <w:t xml:space="preserve">; </w:t>
      </w:r>
      <w:hyperlink w:anchor="chance">
        <w:r>
          <w:rPr>
            <w:color w:val="000000"/>
          </w:rPr>
          <w:t xml:space="preserve">Chance</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contingency">
        <w:r>
          <w:rPr>
            <w:color w:val="000000"/>
          </w:rPr>
          <w:t xml:space="preserve">Contingency</w:t>
        </w:r>
      </w:hyperlink>
      <w:r>
        <w:rPr>
          <w:b w:val="0"/>
          <w:i w:val="0"/>
        </w:rPr>
        <w:t xml:space="preserve">; </w:t>
      </w:r>
      <w:hyperlink w:anchor="freedom-and-necessity">
        <w:r>
          <w:rPr>
            <w:color w:val="000000"/>
          </w:rPr>
          <w:t xml:space="preserve">Freedom and necessity</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will">
        <w:r>
          <w:rPr>
            <w:color w:val="000000"/>
          </w:rPr>
          <w:t xml:space="preserve">Will</w:t>
        </w:r>
      </w:hyperlink>
      <w:r>
        <w:rPr>
          <w:b w:val="0"/>
          <w:i w:val="0"/>
        </w:rPr>
        <w:t xml:space="preserve">. Vocabulary: </w:t>
      </w:r>
      <w:hyperlink w:anchor="latin-record-0808">
        <w:r>
          <w:rPr>
            <w:color w:val="000000"/>
          </w:rPr>
          <w:t xml:space="preserve">ordo / ordinare</w:t>
        </w:r>
      </w:hyperlink>
      <w:r>
        <w:rPr>
          <w:b w:val="0"/>
          <w:i w:val="0"/>
        </w:rPr>
        <w:t xml:space="preserve">; </w:t>
      </w:r>
      <w:hyperlink w:anchor="latin-record-0975">
        <w:r>
          <w:rPr>
            <w:color w:val="000000"/>
          </w:rPr>
          <w:t xml:space="preserve">proximus / remotus</w:t>
        </w:r>
      </w:hyperlink>
      <w:r>
        <w:rPr>
          <w:b w:val="0"/>
          <w:i w:val="0"/>
        </w:rPr>
        <w:t xml:space="preserve">; </w:t>
      </w:r>
      <w:hyperlink w:anchor="latin-record-1234">
        <w:r>
          <w:rPr>
            <w:color w:val="000000"/>
          </w:rPr>
          <w:t xml:space="preserve">vagus / variabilis</w:t>
        </w:r>
      </w:hyperlink>
      <w:r>
        <w:rPr>
          <w:b w:val="0"/>
          <w:i w:val="0"/>
        </w:rPr>
        <w:t>.</w:t>
      </w:r>
    </w:p>
    <w:p>
      <w:pPr>
        <w:widowControl/>
      </w:pPr>
      <w:bookmarkStart w:id="1904" w:name="passage-ii-12-21"/>
      <w:bookmarkEnd w:id="1904"/>
      <w:r>
        <w:rPr>
          <w:b/>
          <w:i w:val="0"/>
        </w:rPr>
        <w:t>II.12.21</w:t>
      </w:r>
      <w:r>
        <w:rPr>
          <w:b/>
          <w:i w:val="0"/>
        </w:rPr>
        <w:t>, source pp. 214–215.</w:t>
      </w:r>
      <w:r>
        <w:rPr>
          <w:b w:val="0"/>
          <w:i w:val="0"/>
        </w:rPr>
        <w:t xml:space="preserve"> Articles: </w:t>
      </w:r>
      <w:hyperlink w:anchor="chance">
        <w:r>
          <w:rPr>
            <w:color w:val="000000"/>
          </w:rPr>
          <w:t xml:space="preserve">Chance</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contingency">
        <w:r>
          <w:rPr>
            <w:color w:val="000000"/>
          </w:rPr>
          <w:t xml:space="preserve">Contingency</w:t>
        </w:r>
      </w:hyperlink>
      <w:r>
        <w:rPr>
          <w:b w:val="0"/>
          <w:i w:val="0"/>
        </w:rPr>
        <w:t xml:space="preserve">; </w:t>
      </w:r>
      <w:hyperlink w:anchor="freedom-and-necessity">
        <w:r>
          <w:rPr>
            <w:color w:val="000000"/>
          </w:rPr>
          <w:t xml:space="preserve">Freedom and necessity</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rovidence">
        <w:r>
          <w:rPr>
            <w:color w:val="000000"/>
          </w:rPr>
          <w:t xml:space="preserve">Providence</w:t>
        </w:r>
      </w:hyperlink>
      <w:r>
        <w:rPr>
          <w:b w:val="0"/>
          <w:i w:val="0"/>
        </w:rPr>
        <w:t xml:space="preserve">; </w:t>
      </w:r>
      <w:hyperlink w:anchor="will">
        <w:r>
          <w:rPr>
            <w:color w:val="000000"/>
          </w:rPr>
          <w:t xml:space="preserve">Will</w:t>
        </w:r>
      </w:hyperlink>
      <w:r>
        <w:rPr>
          <w:b w:val="0"/>
          <w:i w:val="0"/>
        </w:rPr>
        <w:t xml:space="preserve">. Vocabulary: </w:t>
      </w:r>
      <w:hyperlink w:anchor="latin-record-0922">
        <w:r>
          <w:rPr>
            <w:color w:val="000000"/>
          </w:rPr>
          <w:t xml:space="preserve">praevaricari / effugere</w:t>
        </w:r>
      </w:hyperlink>
      <w:r>
        <w:rPr>
          <w:b w:val="0"/>
          <w:i w:val="0"/>
        </w:rPr>
        <w:t>.</w:t>
      </w:r>
    </w:p>
    <w:p>
      <w:bookmarkStart w:id="1905" w:name="chapter-ii.13"/>
      <w:pPr>
        <w:pStyle w:val="Heading2"/>
      </w:pPr>
      <w:r>
        <w:rPr>
          <w:b w:val="0"/>
          <w:i w:val="0"/>
        </w:rPr>
        <w:t>Chapter II.13</w:t>
      </w:r>
      <w:bookmarkEnd w:id="1905"/>
    </w:p>
    <w:p>
      <w:pPr>
        <w:widowControl/>
      </w:pPr>
      <w:bookmarkStart w:id="1906" w:name="passage-ii-13-1"/>
      <w:bookmarkEnd w:id="1906"/>
      <w:r>
        <w:rPr>
          <w:b/>
          <w:i w:val="0"/>
        </w:rPr>
        <w:t>II.13.1</w:t>
      </w:r>
      <w:r>
        <w:rPr>
          <w:b/>
          <w:i w:val="0"/>
        </w:rPr>
        <w:t>, source pp. 216–217.</w:t>
      </w:r>
      <w:r>
        <w:rPr>
          <w:b w:val="0"/>
          <w:i w:val="0"/>
        </w:rPr>
        <w:t xml:space="preserve"> Articles: </w:t>
      </w:r>
      <w:hyperlink w:anchor="craftsman-and-father">
        <w:r>
          <w:rPr>
            <w:color w:val="000000"/>
          </w:rPr>
          <w:t xml:space="preserve">Craftsman and father</w:t>
        </w:r>
      </w:hyperlink>
      <w:r>
        <w:rPr>
          <w:b w:val="0"/>
          <w:i w:val="0"/>
        </w:rPr>
        <w:t xml:space="preserve">; </w:t>
      </w:r>
      <w:hyperlink w:anchor="good-and-goodness">
        <w:r>
          <w:rPr>
            <w:color w:val="000000"/>
          </w:rPr>
          <w:t xml:space="preserve">Good and goodness</w:t>
        </w:r>
      </w:hyperlink>
      <w:r>
        <w:rPr>
          <w:b w:val="0"/>
          <w:i w:val="0"/>
        </w:rPr>
        <w:t xml:space="preserve">; </w:t>
      </w:r>
      <w:hyperlink w:anchor="image-and-likeness">
        <w:r>
          <w:rPr>
            <w:color w:val="000000"/>
          </w:rPr>
          <w:t xml:space="preserve">Image and likeness</w:t>
        </w:r>
      </w:hyperlink>
      <w:r>
        <w:rPr>
          <w:b w:val="0"/>
          <w:i w:val="0"/>
        </w:rPr>
        <w:t xml:space="preserve">; </w:t>
      </w:r>
      <w:hyperlink w:anchor="love-and-pleasure">
        <w:r>
          <w:rPr>
            <w:color w:val="000000"/>
          </w:rPr>
          <w:t xml:space="preserve">Love and pleasure</w:t>
        </w:r>
      </w:hyperlink>
      <w:r>
        <w:rPr>
          <w:b w:val="0"/>
          <w:i w:val="0"/>
        </w:rPr>
        <w:t xml:space="preserve">; </w:t>
      </w:r>
      <w:hyperlink w:anchor="providence">
        <w:r>
          <w:rPr>
            <w:color w:val="000000"/>
          </w:rPr>
          <w:t xml:space="preserve">Providence</w:t>
        </w:r>
      </w:hyperlink>
      <w:r>
        <w:rPr>
          <w:b w:val="0"/>
          <w:i w:val="0"/>
        </w:rPr>
        <w:t>.</w:t>
      </w:r>
    </w:p>
    <w:p>
      <w:pPr>
        <w:widowControl/>
      </w:pPr>
      <w:bookmarkStart w:id="1907" w:name="passage-ii-13-2"/>
      <w:bookmarkEnd w:id="1907"/>
      <w:r>
        <w:rPr>
          <w:b/>
          <w:i w:val="0"/>
        </w:rPr>
        <w:t>II.13.2</w:t>
      </w:r>
      <w:r>
        <w:rPr>
          <w:b/>
          <w:i w:val="0"/>
        </w:rPr>
        <w:t>, source pp. 216–217.</w:t>
      </w:r>
      <w:r>
        <w:rPr>
          <w:b w:val="0"/>
          <w:i w:val="0"/>
        </w:rPr>
        <w:t xml:space="preserve"> Articles: </w:t>
      </w:r>
      <w:hyperlink w:anchor="art-and-nature">
        <w:r>
          <w:rPr>
            <w:color w:val="000000"/>
          </w:rPr>
          <w:t xml:space="preserve">Art and nature</w:t>
        </w:r>
      </w:hyperlink>
      <w:r>
        <w:rPr>
          <w:b w:val="0"/>
          <w:i w:val="0"/>
        </w:rPr>
        <w:t xml:space="preserve">; </w:t>
      </w:r>
      <w:hyperlink w:anchor="care-and-custody">
        <w:r>
          <w:rPr>
            <w:color w:val="000000"/>
          </w:rPr>
          <w:t xml:space="preserve">Care and custody</w:t>
        </w:r>
      </w:hyperlink>
      <w:r>
        <w:rPr>
          <w:b w:val="0"/>
          <w:i w:val="0"/>
        </w:rPr>
        <w:t xml:space="preserve">; </w:t>
      </w:r>
      <w:hyperlink w:anchor="cause">
        <w:r>
          <w:rPr>
            <w:color w:val="000000"/>
          </w:rPr>
          <w:t xml:space="preserve">Cause</w:t>
        </w:r>
      </w:hyperlink>
      <w:r>
        <w:rPr>
          <w:b w:val="0"/>
          <w:i w:val="0"/>
        </w:rPr>
        <w:t xml:space="preserve">; </w:t>
      </w:r>
      <w:hyperlink w:anchor="craftsman-and-father">
        <w:r>
          <w:rPr>
            <w:color w:val="000000"/>
          </w:rPr>
          <w:t xml:space="preserve">Craftsman and father</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good-and-goodness">
        <w:r>
          <w:rPr>
            <w:color w:val="000000"/>
          </w:rPr>
          <w:t xml:space="preserve">Good and goodness</w:t>
        </w:r>
      </w:hyperlink>
      <w:r>
        <w:rPr>
          <w:b w:val="0"/>
          <w:i w:val="0"/>
        </w:rPr>
        <w:t xml:space="preserve">; </w:t>
      </w:r>
      <w:hyperlink w:anchor="love-and-pleasure">
        <w:r>
          <w:rPr>
            <w:color w:val="000000"/>
          </w:rPr>
          <w:t xml:space="preserve">Love and pleasure</w:t>
        </w:r>
      </w:hyperlink>
      <w:r>
        <w:rPr>
          <w:b w:val="0"/>
          <w:i w:val="0"/>
        </w:rPr>
        <w:t xml:space="preserve">; </w:t>
      </w:r>
      <w:hyperlink w:anchor="providence">
        <w:r>
          <w:rPr>
            <w:color w:val="000000"/>
          </w:rPr>
          <w:t xml:space="preserve">Providence</w:t>
        </w:r>
      </w:hyperlink>
      <w:r>
        <w:rPr>
          <w:b w:val="0"/>
          <w:i w:val="0"/>
        </w:rPr>
        <w:t xml:space="preserve">. Vocabulary: </w:t>
      </w:r>
      <w:hyperlink w:anchor="latin-record-0008">
        <w:r>
          <w:rPr>
            <w:color w:val="000000"/>
          </w:rPr>
          <w:t xml:space="preserve">accipere</w:t>
        </w:r>
      </w:hyperlink>
      <w:r>
        <w:rPr>
          <w:b w:val="0"/>
          <w:i w:val="0"/>
        </w:rPr>
        <w:t xml:space="preserve">; </w:t>
      </w:r>
      <w:hyperlink w:anchor="latin-record-0290">
        <w:r>
          <w:rPr>
            <w:color w:val="000000"/>
          </w:rPr>
          <w:t xml:space="preserve">custodire / cura</w:t>
        </w:r>
      </w:hyperlink>
      <w:r>
        <w:rPr>
          <w:b w:val="0"/>
          <w:i w:val="0"/>
        </w:rPr>
        <w:t xml:space="preserve">; </w:t>
      </w:r>
      <w:hyperlink w:anchor="latin-record-0322">
        <w:r>
          <w:rPr>
            <w:color w:val="000000"/>
          </w:rPr>
          <w:t xml:space="preserve">diligentia / procurator</w:t>
        </w:r>
      </w:hyperlink>
      <w:r>
        <w:rPr>
          <w:b w:val="0"/>
          <w:i w:val="0"/>
        </w:rPr>
        <w:t xml:space="preserve">; </w:t>
      </w:r>
      <w:hyperlink w:anchor="latin-record-0421">
        <w:r>
          <w:rPr>
            <w:color w:val="000000"/>
          </w:rPr>
          <w:t xml:space="preserve">faber / genitor / filius</w:t>
        </w:r>
      </w:hyperlink>
      <w:r>
        <w:rPr>
          <w:b w:val="0"/>
          <w:i w:val="0"/>
        </w:rPr>
        <w:t xml:space="preserve">; </w:t>
      </w:r>
      <w:hyperlink w:anchor="latin-record-0424">
        <w:r>
          <w:rPr>
            <w:color w:val="000000"/>
          </w:rPr>
          <w:t xml:space="preserve">facere / efficere</w:t>
        </w:r>
      </w:hyperlink>
      <w:r>
        <w:rPr>
          <w:b w:val="0"/>
          <w:i w:val="0"/>
        </w:rPr>
        <w:t xml:space="preserve">; </w:t>
      </w:r>
      <w:hyperlink w:anchor="latin-record-0437">
        <w:r>
          <w:rPr>
            <w:color w:val="000000"/>
          </w:rPr>
          <w:t xml:space="preserve">fecunditas</w:t>
        </w:r>
      </w:hyperlink>
      <w:r>
        <w:rPr>
          <w:b w:val="0"/>
          <w:i w:val="0"/>
        </w:rPr>
        <w:t xml:space="preserve">; </w:t>
      </w:r>
      <w:hyperlink w:anchor="latin-record-0673">
        <w:r>
          <w:rPr>
            <w:color w:val="000000"/>
          </w:rPr>
          <w:t xml:space="preserve">materia</w:t>
        </w:r>
      </w:hyperlink>
      <w:r>
        <w:rPr>
          <w:b w:val="0"/>
          <w:i w:val="0"/>
        </w:rPr>
        <w:t xml:space="preserve">; </w:t>
      </w:r>
      <w:hyperlink w:anchor="latin-record-0803">
        <w:r>
          <w:rPr>
            <w:color w:val="000000"/>
          </w:rPr>
          <w:t xml:space="preserve">opus</w:t>
        </w:r>
      </w:hyperlink>
      <w:r>
        <w:rPr>
          <w:b w:val="0"/>
          <w:i w:val="0"/>
        </w:rPr>
        <w:t xml:space="preserve">; </w:t>
      </w:r>
      <w:hyperlink w:anchor="latin-record-0940">
        <w:r>
          <w:rPr>
            <w:color w:val="000000"/>
          </w:rPr>
          <w:t xml:space="preserve">proclivitas</w:t>
        </w:r>
      </w:hyperlink>
      <w:r>
        <w:rPr>
          <w:b w:val="0"/>
          <w:i w:val="0"/>
        </w:rPr>
        <w:t>.</w:t>
      </w:r>
    </w:p>
    <w:p>
      <w:pPr>
        <w:widowControl/>
      </w:pPr>
      <w:bookmarkStart w:id="1908" w:name="passage-ii-13-3"/>
      <w:bookmarkEnd w:id="1908"/>
      <w:r>
        <w:rPr>
          <w:b/>
          <w:i w:val="0"/>
        </w:rPr>
        <w:t>II.13.3</w:t>
      </w:r>
      <w:r>
        <w:rPr>
          <w:b/>
          <w:i w:val="0"/>
        </w:rPr>
        <w:t>, source pp. 216–217.</w:t>
      </w:r>
      <w:r>
        <w:rPr>
          <w:b w:val="0"/>
          <w:i w:val="0"/>
        </w:rPr>
        <w:t xml:space="preserve"> Articles: </w:t>
      </w:r>
      <w:hyperlink w:anchor="cause">
        <w:r>
          <w:rPr>
            <w:color w:val="000000"/>
          </w:rPr>
          <w:t xml:space="preserve">Cause</w:t>
        </w:r>
      </w:hyperlink>
      <w:r>
        <w:rPr>
          <w:b w:val="0"/>
          <w:i w:val="0"/>
        </w:rPr>
        <w:t xml:space="preserve">; </w:t>
      </w:r>
      <w:hyperlink w:anchor="end-and-limit">
        <w:r>
          <w:rPr>
            <w:color w:val="000000"/>
          </w:rPr>
          <w:t xml:space="preserve">End and limit</w:t>
        </w:r>
      </w:hyperlink>
      <w:r>
        <w:rPr>
          <w:b w:val="0"/>
          <w:i w:val="0"/>
        </w:rPr>
        <w:t xml:space="preserve">; </w:t>
      </w:r>
      <w:hyperlink w:anchor="good-and-goodness">
        <w:r>
          <w:rPr>
            <w:color w:val="000000"/>
          </w:rPr>
          <w:t xml:space="preserve">Good and goodness</w:t>
        </w:r>
      </w:hyperlink>
      <w:r>
        <w:rPr>
          <w:b w:val="0"/>
          <w:i w:val="0"/>
        </w:rPr>
        <w:t xml:space="preserve">; </w:t>
      </w:r>
      <w:hyperlink w:anchor="love-and-pleasure">
        <w:r>
          <w:rPr>
            <w:color w:val="000000"/>
          </w:rPr>
          <w:t xml:space="preserve">Love and pleasure</w:t>
        </w:r>
      </w:hyperlink>
      <w:r>
        <w:rPr>
          <w:b w:val="0"/>
          <w:i w:val="0"/>
        </w:rPr>
        <w:t xml:space="preserve">; </w:t>
      </w:r>
      <w:hyperlink w:anchor="providence">
        <w:r>
          <w:rPr>
            <w:color w:val="000000"/>
          </w:rPr>
          <w:t xml:space="preserve">Providence</w:t>
        </w:r>
      </w:hyperlink>
      <w:r>
        <w:rPr>
          <w:b w:val="0"/>
          <w:i w:val="0"/>
        </w:rPr>
        <w:t xml:space="preserve">; </w:t>
      </w:r>
      <w:hyperlink w:anchor="receiving-and-giving">
        <w:r>
          <w:rPr>
            <w:color w:val="000000"/>
          </w:rPr>
          <w:t xml:space="preserve">Receiving and giving</w:t>
        </w:r>
      </w:hyperlink>
      <w:r>
        <w:rPr>
          <w:b w:val="0"/>
          <w:i w:val="0"/>
        </w:rPr>
        <w:t xml:space="preserve">. Vocabulary: </w:t>
      </w:r>
      <w:hyperlink w:anchor="latin-record-0489">
        <w:r>
          <w:rPr>
            <w:color w:val="000000"/>
          </w:rPr>
          <w:t xml:space="preserve">gratia — purpose</w:t>
        </w:r>
      </w:hyperlink>
      <w:r>
        <w:rPr>
          <w:b w:val="0"/>
          <w:i w:val="0"/>
        </w:rPr>
        <w:t xml:space="preserve">; </w:t>
      </w:r>
      <w:hyperlink w:anchor="latin-record-0523">
        <w:r>
          <w:rPr>
            <w:color w:val="000000"/>
          </w:rPr>
          <w:t xml:space="preserve">illicere</w:t>
        </w:r>
      </w:hyperlink>
      <w:r>
        <w:rPr>
          <w:b w:val="0"/>
          <w:i w:val="0"/>
        </w:rPr>
        <w:t>.</w:t>
      </w:r>
    </w:p>
    <w:p>
      <w:pPr>
        <w:widowControl/>
      </w:pPr>
      <w:bookmarkStart w:id="1909" w:name="passage-ii-13-4"/>
      <w:bookmarkEnd w:id="1909"/>
      <w:r>
        <w:rPr>
          <w:b/>
          <w:i w:val="0"/>
        </w:rPr>
        <w:t>II.13.4</w:t>
      </w:r>
      <w:r>
        <w:rPr>
          <w:b/>
          <w:i w:val="0"/>
        </w:rPr>
        <w:t>, source pp. 218–219.</w:t>
      </w:r>
      <w:r>
        <w:rPr>
          <w:b w:val="0"/>
          <w:i w:val="0"/>
        </w:rPr>
        <w:t xml:space="preserve"> Articles: </w:t>
      </w:r>
      <w:hyperlink w:anchor="cause">
        <w:r>
          <w:rPr>
            <w:color w:val="000000"/>
          </w:rPr>
          <w:t xml:space="preserve">Cause</w:t>
        </w:r>
      </w:hyperlink>
      <w:r>
        <w:rPr>
          <w:b w:val="0"/>
          <w:i w:val="0"/>
        </w:rPr>
        <w:t xml:space="preserve">; </w:t>
      </w:r>
      <w:hyperlink w:anchor="exchange-and-reconciliation">
        <w:r>
          <w:rPr>
            <w:color w:val="000000"/>
          </w:rPr>
          <w:t xml:space="preserve">Exchange and reconciliation</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 xml:space="preserve">. Vocabulary: </w:t>
      </w:r>
      <w:hyperlink w:anchor="latin-record-0739">
        <w:r>
          <w:rPr>
            <w:color w:val="000000"/>
          </w:rPr>
          <w:t xml:space="preserve">mutuare / mutuari</w:t>
        </w:r>
      </w:hyperlink>
      <w:r>
        <w:rPr>
          <w:b w:val="0"/>
          <w:i w:val="0"/>
        </w:rPr>
        <w:t xml:space="preserve">; </w:t>
      </w:r>
      <w:hyperlink w:anchor="latin-record-0889">
        <w:r>
          <w:rPr>
            <w:color w:val="000000"/>
          </w:rPr>
          <w:t xml:space="preserve">pondus / librare</w:t>
        </w:r>
      </w:hyperlink>
      <w:r>
        <w:rPr>
          <w:b w:val="0"/>
          <w:i w:val="0"/>
        </w:rPr>
        <w:t xml:space="preserve">; </w:t>
      </w:r>
      <w:hyperlink w:anchor="latin-record-1254">
        <w:r>
          <w:rPr>
            <w:color w:val="000000"/>
          </w:rPr>
          <w:t xml:space="preserve">vicissim / invicem</w:t>
        </w:r>
      </w:hyperlink>
      <w:r>
        <w:rPr>
          <w:b w:val="0"/>
          <w:i w:val="0"/>
        </w:rPr>
        <w:t>.</w:t>
      </w:r>
    </w:p>
    <w:p>
      <w:pPr>
        <w:widowControl/>
      </w:pPr>
      <w:bookmarkStart w:id="1910" w:name="passage-ii-13-5"/>
      <w:bookmarkEnd w:id="1910"/>
      <w:r>
        <w:rPr>
          <w:b/>
          <w:i w:val="0"/>
        </w:rPr>
        <w:t>II.13.5</w:t>
      </w:r>
      <w:r>
        <w:rPr>
          <w:b/>
          <w:i w:val="0"/>
        </w:rPr>
        <w:t>, source pp. 218–219.</w:t>
      </w:r>
      <w:r>
        <w:rPr>
          <w:b w:val="0"/>
          <w:i w:val="0"/>
        </w:rPr>
        <w:t xml:space="preserve"> Articles: </w:t>
      </w:r>
      <w:hyperlink w:anchor="art-and-nature">
        <w:r>
          <w:rPr>
            <w:color w:val="000000"/>
          </w:rPr>
          <w:t xml:space="preserve">Art and nature</w:t>
        </w:r>
      </w:hyperlink>
      <w:r>
        <w:rPr>
          <w:b w:val="0"/>
          <w:i w:val="0"/>
        </w:rPr>
        <w:t xml:space="preserve">; </w:t>
      </w:r>
      <w:hyperlink w:anchor="cause">
        <w:r>
          <w:rPr>
            <w:color w:val="000000"/>
          </w:rPr>
          <w:t xml:space="preserve">Cause</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 xml:space="preserve">. Vocabulary: </w:t>
      </w:r>
      <w:hyperlink w:anchor="latin-record-0133">
        <w:r>
          <w:rPr>
            <w:color w:val="000000"/>
          </w:rPr>
          <w:t xml:space="preserve">calidus / frigidus / siccus / humidus</w:t>
        </w:r>
      </w:hyperlink>
      <w:r>
        <w:rPr>
          <w:b w:val="0"/>
          <w:i w:val="0"/>
        </w:rPr>
        <w:t xml:space="preserve">; </w:t>
      </w:r>
      <w:hyperlink w:anchor="latin-record-0174">
        <w:r>
          <w:rPr>
            <w:color w:val="000000"/>
          </w:rPr>
          <w:t xml:space="preserve">cogitare / cogitatio</w:t>
        </w:r>
      </w:hyperlink>
      <w:r>
        <w:rPr>
          <w:b w:val="0"/>
          <w:i w:val="0"/>
        </w:rPr>
        <w:t xml:space="preserve">; </w:t>
      </w:r>
      <w:hyperlink w:anchor="latin-record-1019">
        <w:r>
          <w:rPr>
            <w:color w:val="000000"/>
          </w:rPr>
          <w:t xml:space="preserve">rarus / densus</w:t>
        </w:r>
      </w:hyperlink>
      <w:r>
        <w:rPr>
          <w:b w:val="0"/>
          <w:i w:val="0"/>
        </w:rPr>
        <w:t>.</w:t>
      </w:r>
    </w:p>
    <w:p>
      <w:pPr>
        <w:widowControl/>
      </w:pPr>
      <w:bookmarkStart w:id="1911" w:name="passage-ii-13-6"/>
      <w:bookmarkEnd w:id="1911"/>
      <w:r>
        <w:rPr>
          <w:b/>
          <w:i w:val="0"/>
        </w:rPr>
        <w:t>II.13.6</w:t>
      </w:r>
      <w:r>
        <w:rPr>
          <w:b/>
          <w:i w:val="0"/>
        </w:rPr>
        <w:t>, source pp. 218–219.</w:t>
      </w:r>
      <w:r>
        <w:rPr>
          <w:b w:val="0"/>
          <w:i w:val="0"/>
        </w:rPr>
        <w:t xml:space="preserve"> Articles: </w:t>
      </w:r>
      <w:hyperlink w:anchor="art-and-nature">
        <w:r>
          <w:rPr>
            <w:color w:val="000000"/>
          </w:rPr>
          <w:t xml:space="preserve">Art and nature</w:t>
        </w:r>
      </w:hyperlink>
      <w:r>
        <w:rPr>
          <w:b w:val="0"/>
          <w:i w:val="0"/>
        </w:rPr>
        <w:t xml:space="preserve">; </w:t>
      </w:r>
      <w:hyperlink w:anchor="cause">
        <w:r>
          <w:rPr>
            <w:color w:val="000000"/>
          </w:rPr>
          <w:t xml:space="preserve">Cause</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w:t>
      </w:r>
    </w:p>
    <w:p>
      <w:pPr>
        <w:widowControl/>
      </w:pPr>
      <w:bookmarkStart w:id="1912" w:name="passage-ii-13-7"/>
      <w:bookmarkEnd w:id="1912"/>
      <w:r>
        <w:rPr>
          <w:b/>
          <w:i w:val="0"/>
        </w:rPr>
        <w:t>II.13.7</w:t>
      </w:r>
      <w:r>
        <w:rPr>
          <w:b/>
          <w:i w:val="0"/>
        </w:rPr>
        <w:t>, source pp. 218–219.</w:t>
      </w:r>
      <w:r>
        <w:rPr>
          <w:b w:val="0"/>
          <w:i w:val="0"/>
        </w:rPr>
        <w:t xml:space="preserve"> Articles: </w:t>
      </w:r>
      <w:hyperlink w:anchor="art-and-nature">
        <w:r>
          <w:rPr>
            <w:color w:val="000000"/>
          </w:rPr>
          <w:t xml:space="preserve">Art and nature</w:t>
        </w:r>
      </w:hyperlink>
      <w:r>
        <w:rPr>
          <w:b w:val="0"/>
          <w:i w:val="0"/>
        </w:rPr>
        <w:t xml:space="preserve">; </w:t>
      </w:r>
      <w:hyperlink w:anchor="cause">
        <w:r>
          <w:rPr>
            <w:color w:val="000000"/>
          </w:rPr>
          <w:t xml:space="preserve">Cause</w:t>
        </w:r>
      </w:hyperlink>
      <w:r>
        <w:rPr>
          <w:b w:val="0"/>
          <w:i w:val="0"/>
        </w:rPr>
        <w:t xml:space="preserve">; </w:t>
      </w:r>
      <w:hyperlink w:anchor="exchange-and-reconciliation">
        <w:r>
          <w:rPr>
            <w:color w:val="000000"/>
          </w:rPr>
          <w:t xml:space="preserve">Exchange and reconciliation</w:t>
        </w:r>
      </w:hyperlink>
      <w:r>
        <w:rPr>
          <w:b w:val="0"/>
          <w:i w:val="0"/>
        </w:rPr>
        <w:t xml:space="preserve">; </w:t>
      </w:r>
      <w:hyperlink w:anchor="fire-and-variable-materials">
        <w:r>
          <w:rPr>
            <w:color w:val="000000"/>
          </w:rPr>
          <w:t xml:space="preserve">Fire and variable materials</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 xml:space="preserve">. Vocabulary: </w:t>
      </w:r>
      <w:hyperlink w:anchor="latin-record-0337">
        <w:r>
          <w:rPr>
            <w:color w:val="000000"/>
          </w:rPr>
          <w:t xml:space="preserve">dissolvere / condensare</w:t>
        </w:r>
      </w:hyperlink>
      <w:r>
        <w:rPr>
          <w:b w:val="0"/>
          <w:i w:val="0"/>
        </w:rPr>
        <w:t xml:space="preserve">; </w:t>
      </w:r>
      <w:hyperlink w:anchor="latin-record-0486">
        <w:r>
          <w:rPr>
            <w:color w:val="000000"/>
          </w:rPr>
          <w:t xml:space="preserve">gradus / mensura / proportio</w:t>
        </w:r>
      </w:hyperlink>
      <w:r>
        <w:rPr>
          <w:b w:val="0"/>
          <w:i w:val="0"/>
        </w:rPr>
        <w:t xml:space="preserve">; </w:t>
      </w:r>
      <w:hyperlink w:anchor="latin-record-1077">
        <w:r>
          <w:rPr>
            <w:color w:val="000000"/>
          </w:rPr>
          <w:t xml:space="preserve">se toto</w:t>
        </w:r>
      </w:hyperlink>
      <w:r>
        <w:rPr>
          <w:b w:val="0"/>
          <w:i w:val="0"/>
        </w:rPr>
        <w:t>.</w:t>
      </w:r>
    </w:p>
    <w:p>
      <w:pPr>
        <w:widowControl/>
      </w:pPr>
      <w:bookmarkStart w:id="1913" w:name="passage-ii-13-8"/>
      <w:bookmarkEnd w:id="1913"/>
      <w:r>
        <w:rPr>
          <w:b/>
          <w:i w:val="0"/>
        </w:rPr>
        <w:t>II.13.8</w:t>
      </w:r>
      <w:r>
        <w:rPr>
          <w:b/>
          <w:i w:val="0"/>
        </w:rPr>
        <w:t>, source pp. 220–221.</w:t>
      </w:r>
      <w:r>
        <w:rPr>
          <w:b w:val="0"/>
          <w:i w:val="0"/>
        </w:rPr>
        <w:t xml:space="preserve"> Articles: </w:t>
      </w:r>
      <w:hyperlink w:anchor="army-and-commander">
        <w:r>
          <w:rPr>
            <w:color w:val="000000"/>
          </w:rPr>
          <w:t xml:space="preserve">Army and commander</w:t>
        </w:r>
      </w:hyperlink>
      <w:r>
        <w:rPr>
          <w:b w:val="0"/>
          <w:i w:val="0"/>
        </w:rPr>
        <w:t xml:space="preserve">; </w:t>
      </w:r>
      <w:hyperlink w:anchor="art-and-nature">
        <w:r>
          <w:rPr>
            <w:color w:val="000000"/>
          </w:rPr>
          <w:t xml:space="preserve">Art and nature</w:t>
        </w:r>
      </w:hyperlink>
      <w:r>
        <w:rPr>
          <w:b w:val="0"/>
          <w:i w:val="0"/>
        </w:rPr>
        <w:t xml:space="preserve">; </w:t>
      </w:r>
      <w:hyperlink w:anchor="cause">
        <w:r>
          <w:rPr>
            <w:color w:val="000000"/>
          </w:rPr>
          <w:t xml:space="preserve">Cause</w:t>
        </w:r>
      </w:hyperlink>
      <w:r>
        <w:rPr>
          <w:b w:val="0"/>
          <w:i w:val="0"/>
        </w:rPr>
        <w:t xml:space="preserve">; </w:t>
      </w:r>
      <w:hyperlink w:anchor="fire-and-variable-materials">
        <w:r>
          <w:rPr>
            <w:color w:val="000000"/>
          </w:rPr>
          <w:t xml:space="preserve">Fire and variable materials</w:t>
        </w:r>
      </w:hyperlink>
      <w:r>
        <w:rPr>
          <w:b w:val="0"/>
          <w:i w:val="0"/>
        </w:rPr>
        <w:t xml:space="preserve">; </w:t>
      </w:r>
      <w:hyperlink w:anchor="intention">
        <w:r>
          <w:rPr>
            <w:color w:val="000000"/>
          </w:rPr>
          <w:t xml:space="preserve">Intention</w:t>
        </w:r>
      </w:hyperlink>
      <w:r>
        <w:rPr>
          <w:b w:val="0"/>
          <w:i w:val="0"/>
        </w:rPr>
        <w:t xml:space="preserve">; </w:t>
      </w:r>
      <w:hyperlink w:anchor="order-and-harmony">
        <w:r>
          <w:rPr>
            <w:color w:val="000000"/>
          </w:rPr>
          <w:t xml:space="preserve">Order and harmony</w:t>
        </w:r>
      </w:hyperlink>
      <w:r>
        <w:rPr>
          <w:b w:val="0"/>
          <w:i w:val="0"/>
        </w:rPr>
        <w:t xml:space="preserve">; </w:t>
      </w:r>
      <w:hyperlink w:anchor="possession-and-privation">
        <w:r>
          <w:rPr>
            <w:color w:val="000000"/>
          </w:rPr>
          <w:t xml:space="preserve">Possession and privation</w:t>
        </w:r>
      </w:hyperlink>
      <w:r>
        <w:rPr>
          <w:b w:val="0"/>
          <w:i w:val="0"/>
        </w:rPr>
        <w:t xml:space="preserve">; </w:t>
      </w:r>
      <w:hyperlink w:anchor="providence">
        <w:r>
          <w:rPr>
            <w:color w:val="000000"/>
          </w:rPr>
          <w:t xml:space="preserve">Providence</w:t>
        </w:r>
      </w:hyperlink>
      <w:r>
        <w:rPr>
          <w:b w:val="0"/>
          <w:i w:val="0"/>
        </w:rPr>
        <w:t xml:space="preserve">. Vocabulary: </w:t>
      </w:r>
      <w:hyperlink w:anchor="latin-record-0094">
        <w:r>
          <w:rPr>
            <w:color w:val="000000"/>
          </w:rPr>
          <w:t xml:space="preserve">Aristoteles</w:t>
        </w:r>
      </w:hyperlink>
      <w:r>
        <w:rPr>
          <w:b w:val="0"/>
          <w:i w:val="0"/>
        </w:rPr>
        <w:t xml:space="preserve">; </w:t>
      </w:r>
      <w:hyperlink w:anchor="latin-record-0400">
        <w:r>
          <w:rPr>
            <w:color w:val="000000"/>
          </w:rPr>
          <w:t xml:space="preserve">exercitus / dux / princeps</w:t>
        </w:r>
      </w:hyperlink>
      <w:r>
        <w:rPr>
          <w:b w:val="0"/>
          <w:i w:val="0"/>
        </w:rPr>
        <w:t xml:space="preserve">; </w:t>
      </w:r>
      <w:hyperlink w:anchor="latin-record-0500">
        <w:r>
          <w:rPr>
            <w:color w:val="000000"/>
          </w:rPr>
          <w:t xml:space="preserve">habitus — present state</w:t>
        </w:r>
      </w:hyperlink>
      <w:r>
        <w:rPr>
          <w:b w:val="0"/>
          <w:i w:val="0"/>
        </w:rPr>
        <w:t>.</w:t>
      </w:r>
    </w:p>
    <w:p>
      <w:pPr>
        <w:widowControl/>
      </w:pPr>
      <w:bookmarkStart w:id="1914" w:name="passage-ii-13-9"/>
      <w:bookmarkEnd w:id="1914"/>
      <w:r>
        <w:rPr>
          <w:b/>
          <w:i w:val="0"/>
        </w:rPr>
        <w:t>II.13.9</w:t>
      </w:r>
      <w:r>
        <w:rPr>
          <w:b/>
          <w:i w:val="0"/>
        </w:rPr>
        <w:t>, source pp. 220–221.</w:t>
      </w:r>
      <w:r>
        <w:rPr>
          <w:b w:val="0"/>
          <w:i w:val="0"/>
        </w:rPr>
        <w:t xml:space="preserve"> Articles: </w:t>
      </w:r>
      <w:hyperlink w:anchor="archer-and-target">
        <w:r>
          <w:rPr>
            <w:color w:val="000000"/>
          </w:rPr>
          <w:t xml:space="preserve">Archer and target</w:t>
        </w:r>
      </w:hyperlink>
      <w:r>
        <w:rPr>
          <w:b w:val="0"/>
          <w:i w:val="0"/>
        </w:rPr>
        <w:t xml:space="preserve">; </w:t>
      </w:r>
      <w:hyperlink w:anchor="army-and-commander">
        <w:r>
          <w:rPr>
            <w:color w:val="000000"/>
          </w:rPr>
          <w:t xml:space="preserve">Army and commander</w:t>
        </w:r>
      </w:hyperlink>
      <w:r>
        <w:rPr>
          <w:b w:val="0"/>
          <w:i w:val="0"/>
        </w:rPr>
        <w:t xml:space="preserve">; </w:t>
      </w:r>
      <w:hyperlink w:anchor="art-and-nature">
        <w:r>
          <w:rPr>
            <w:color w:val="000000"/>
          </w:rPr>
          <w:t xml:space="preserve">Art and nature</w:t>
        </w:r>
      </w:hyperlink>
      <w:r>
        <w:rPr>
          <w:b w:val="0"/>
          <w:i w:val="0"/>
        </w:rPr>
        <w:t xml:space="preserve">; </w:t>
      </w:r>
      <w:hyperlink w:anchor="cause">
        <w:r>
          <w:rPr>
            <w:color w:val="000000"/>
          </w:rPr>
          <w:t xml:space="preserve">Cause</w:t>
        </w:r>
      </w:hyperlink>
      <w:r>
        <w:rPr>
          <w:b w:val="0"/>
          <w:i w:val="0"/>
        </w:rPr>
        <w:t xml:space="preserve">; </w:t>
      </w:r>
      <w:hyperlink w:anchor="order-and-harmony">
        <w:r>
          <w:rPr>
            <w:color w:val="000000"/>
          </w:rPr>
          <w:t xml:space="preserve">Order and harmony</w:t>
        </w:r>
      </w:hyperlink>
      <w:r>
        <w:rPr>
          <w:b w:val="0"/>
          <w:i w:val="0"/>
        </w:rPr>
        <w:t xml:space="preserve">; </w:t>
      </w:r>
      <w:hyperlink w:anchor="paths-and-prescribed-ends">
        <w:r>
          <w:rPr>
            <w:color w:val="000000"/>
          </w:rPr>
          <w:t xml:space="preserve">Paths and prescribed ends</w:t>
        </w:r>
      </w:hyperlink>
      <w:r>
        <w:rPr>
          <w:b w:val="0"/>
          <w:i w:val="0"/>
        </w:rPr>
        <w:t xml:space="preserve">; </w:t>
      </w:r>
      <w:hyperlink w:anchor="providence">
        <w:r>
          <w:rPr>
            <w:color w:val="000000"/>
          </w:rPr>
          <w:t xml:space="preserve">Providence</w:t>
        </w:r>
      </w:hyperlink>
      <w:r>
        <w:rPr>
          <w:b w:val="0"/>
          <w:i w:val="0"/>
        </w:rPr>
        <w:t xml:space="preserve">. Vocabulary: </w:t>
      </w:r>
      <w:hyperlink w:anchor="latin-record-0117">
        <w:r>
          <w:rPr>
            <w:color w:val="000000"/>
          </w:rPr>
          <w:t xml:space="preserve">aut semper aut plurimum</w:t>
        </w:r>
      </w:hyperlink>
      <w:r>
        <w:rPr>
          <w:b w:val="0"/>
          <w:i w:val="0"/>
        </w:rPr>
        <w:t xml:space="preserve">; </w:t>
      </w:r>
      <w:hyperlink w:anchor="latin-record-0223">
        <w:r>
          <w:rPr>
            <w:color w:val="000000"/>
          </w:rPr>
          <w:t xml:space="preserve">concludere / colligere</w:t>
        </w:r>
      </w:hyperlink>
      <w:r>
        <w:rPr>
          <w:b w:val="0"/>
          <w:i w:val="0"/>
        </w:rPr>
        <w:t xml:space="preserve">; </w:t>
      </w:r>
      <w:hyperlink w:anchor="latin-record-0400">
        <w:r>
          <w:rPr>
            <w:color w:val="000000"/>
          </w:rPr>
          <w:t xml:space="preserve">exercitus / dux / princeps</w:t>
        </w:r>
      </w:hyperlink>
      <w:r>
        <w:rPr>
          <w:b w:val="0"/>
          <w:i w:val="0"/>
        </w:rPr>
        <w:t xml:space="preserve">; </w:t>
      </w:r>
      <w:hyperlink w:anchor="latin-record-0520">
        <w:r>
          <w:rPr>
            <w:color w:val="000000"/>
          </w:rPr>
          <w:t xml:space="preserve">ignarus / nescire</w:t>
        </w:r>
      </w:hyperlink>
      <w:r>
        <w:rPr>
          <w:b w:val="0"/>
          <w:i w:val="0"/>
        </w:rPr>
        <w:t xml:space="preserve">; </w:t>
      </w:r>
      <w:hyperlink w:anchor="latin-record-0852">
        <w:r>
          <w:rPr>
            <w:color w:val="000000"/>
          </w:rPr>
          <w:t xml:space="preserve">peragere</w:t>
        </w:r>
      </w:hyperlink>
      <w:r>
        <w:rPr>
          <w:b w:val="0"/>
          <w:i w:val="0"/>
        </w:rPr>
        <w:t xml:space="preserve">; </w:t>
      </w:r>
      <w:hyperlink w:anchor="latin-record-0913">
        <w:r>
          <w:rPr>
            <w:color w:val="000000"/>
          </w:rPr>
          <w:t xml:space="preserve">praescribere</w:t>
        </w:r>
      </w:hyperlink>
      <w:r>
        <w:rPr>
          <w:b w:val="0"/>
          <w:i w:val="0"/>
        </w:rPr>
        <w:t xml:space="preserve">; </w:t>
      </w:r>
      <w:hyperlink w:anchor="latin-record-0977">
        <w:r>
          <w:rPr>
            <w:color w:val="000000"/>
          </w:rPr>
          <w:t xml:space="preserve">prudentia</w:t>
        </w:r>
      </w:hyperlink>
      <w:r>
        <w:rPr>
          <w:b w:val="0"/>
          <w:i w:val="0"/>
        </w:rPr>
        <w:t xml:space="preserve">; </w:t>
      </w:r>
      <w:hyperlink w:anchor="latin-record-1068">
        <w:r>
          <w:rPr>
            <w:color w:val="000000"/>
          </w:rPr>
          <w:t xml:space="preserve">sagitta / sagittarius / signum</w:t>
        </w:r>
      </w:hyperlink>
      <w:r>
        <w:rPr>
          <w:b w:val="0"/>
          <w:i w:val="0"/>
        </w:rPr>
        <w:t>.</w:t>
      </w:r>
    </w:p>
    <w:p>
      <w:pPr>
        <w:widowControl/>
      </w:pPr>
      <w:bookmarkStart w:id="1915" w:name="passage-ii-13-10"/>
      <w:bookmarkEnd w:id="1915"/>
      <w:r>
        <w:rPr>
          <w:b/>
          <w:i w:val="0"/>
        </w:rPr>
        <w:t>II.13.10</w:t>
      </w:r>
      <w:r>
        <w:rPr>
          <w:b/>
          <w:i w:val="0"/>
        </w:rPr>
        <w:t>, source pp. 222–223.</w:t>
      </w:r>
      <w:r>
        <w:rPr>
          <w:b w:val="0"/>
          <w:i w:val="0"/>
        </w:rPr>
        <w:t xml:space="preserve"> Articles: </w:t>
      </w:r>
      <w:hyperlink w:anchor="army-and-commander">
        <w:r>
          <w:rPr>
            <w:color w:val="000000"/>
          </w:rPr>
          <w:t xml:space="preserve">Army and commander</w:t>
        </w:r>
      </w:hyperlink>
      <w:r>
        <w:rPr>
          <w:b w:val="0"/>
          <w:i w:val="0"/>
        </w:rPr>
        <w:t xml:space="preserve">; </w:t>
      </w:r>
      <w:hyperlink w:anchor="art-and-nature">
        <w:r>
          <w:rPr>
            <w:color w:val="000000"/>
          </w:rPr>
          <w:t xml:space="preserve">Art and nature</w:t>
        </w:r>
      </w:hyperlink>
      <w:r>
        <w:rPr>
          <w:b w:val="0"/>
          <w:i w:val="0"/>
        </w:rPr>
        <w:t xml:space="preserve">; </w:t>
      </w:r>
      <w:hyperlink w:anchor="cause">
        <w:r>
          <w:rPr>
            <w:color w:val="000000"/>
          </w:rPr>
          <w:t xml:space="preserve">Cause</w:t>
        </w:r>
      </w:hyperlink>
      <w:r>
        <w:rPr>
          <w:b w:val="0"/>
          <w:i w:val="0"/>
        </w:rPr>
        <w:t xml:space="preserve">; </w:t>
      </w:r>
      <w:hyperlink w:anchor="exchange-and-reconciliation">
        <w:r>
          <w:rPr>
            <w:color w:val="000000"/>
          </w:rPr>
          <w:t xml:space="preserve">Exchange and reconciliation</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 xml:space="preserve">. Vocabulary: </w:t>
      </w:r>
      <w:hyperlink w:anchor="latin-record-0220">
        <w:r>
          <w:rPr>
            <w:color w:val="000000"/>
          </w:rPr>
          <w:t xml:space="preserve">conciliare / interimere</w:t>
        </w:r>
      </w:hyperlink>
      <w:r>
        <w:rPr>
          <w:b w:val="0"/>
          <w:i w:val="0"/>
        </w:rPr>
        <w:t>.</w:t>
      </w:r>
    </w:p>
    <w:p>
      <w:pPr>
        <w:widowControl/>
      </w:pPr>
      <w:bookmarkStart w:id="1916" w:name="passage-ii-13-11"/>
      <w:bookmarkEnd w:id="1916"/>
      <w:r>
        <w:rPr>
          <w:b/>
          <w:i w:val="0"/>
        </w:rPr>
        <w:t>II.13.11</w:t>
      </w:r>
      <w:r>
        <w:rPr>
          <w:b/>
          <w:i w:val="0"/>
        </w:rPr>
        <w:t>, source pp. 222–223.</w:t>
      </w:r>
      <w:r>
        <w:rPr>
          <w:b w:val="0"/>
          <w:i w:val="0"/>
        </w:rPr>
        <w:t xml:space="preserve"> Articles: </w:t>
      </w:r>
      <w:hyperlink w:anchor="art-and-nature">
        <w:r>
          <w:rPr>
            <w:color w:val="000000"/>
          </w:rPr>
          <w:t xml:space="preserve">Art and nature</w:t>
        </w:r>
      </w:hyperlink>
      <w:r>
        <w:rPr>
          <w:b w:val="0"/>
          <w:i w:val="0"/>
        </w:rPr>
        <w:t xml:space="preserve">; </w:t>
      </w:r>
      <w:hyperlink w:anchor="care-and-custody">
        <w:r>
          <w:rPr>
            <w:color w:val="000000"/>
          </w:rPr>
          <w:t xml:space="preserve">Care and custody</w:t>
        </w:r>
      </w:hyperlink>
      <w:r>
        <w:rPr>
          <w:b w:val="0"/>
          <w:i w:val="0"/>
        </w:rPr>
        <w:t xml:space="preserve">; </w:t>
      </w:r>
      <w:hyperlink w:anchor="cause">
        <w:r>
          <w:rPr>
            <w:color w:val="000000"/>
          </w:rPr>
          <w:t xml:space="preserve">Cause</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 xml:space="preserve">. Vocabulary: </w:t>
      </w:r>
      <w:hyperlink w:anchor="latin-record-0290">
        <w:r>
          <w:rPr>
            <w:color w:val="000000"/>
          </w:rPr>
          <w:t xml:space="preserve">custodire / cura</w:t>
        </w:r>
      </w:hyperlink>
      <w:r>
        <w:rPr>
          <w:b w:val="0"/>
          <w:i w:val="0"/>
        </w:rPr>
        <w:t xml:space="preserve">; </w:t>
      </w:r>
      <w:hyperlink w:anchor="latin-record-0424">
        <w:r>
          <w:rPr>
            <w:color w:val="000000"/>
          </w:rPr>
          <w:t xml:space="preserve">facere / efficere</w:t>
        </w:r>
      </w:hyperlink>
      <w:r>
        <w:rPr>
          <w:b w:val="0"/>
          <w:i w:val="0"/>
        </w:rPr>
        <w:t xml:space="preserve">; </w:t>
      </w:r>
      <w:hyperlink w:anchor="latin-record-0613">
        <w:r>
          <w:rPr>
            <w:color w:val="000000"/>
          </w:rPr>
          <w:t xml:space="preserve">invidere</w:t>
        </w:r>
      </w:hyperlink>
      <w:r>
        <w:rPr>
          <w:b w:val="0"/>
          <w:i w:val="0"/>
        </w:rPr>
        <w:t xml:space="preserve">; </w:t>
      </w:r>
      <w:hyperlink w:anchor="latin-record-0732">
        <w:r>
          <w:rPr>
            <w:color w:val="000000"/>
          </w:rPr>
          <w:t xml:space="preserve">munus / donum</w:t>
        </w:r>
      </w:hyperlink>
      <w:r>
        <w:rPr>
          <w:b w:val="0"/>
          <w:i w:val="0"/>
        </w:rPr>
        <w:t xml:space="preserve">; </w:t>
      </w:r>
      <w:hyperlink w:anchor="latin-record-1030">
        <w:r>
          <w:rPr>
            <w:color w:val="000000"/>
          </w:rPr>
          <w:t xml:space="preserve">rector / gubernare / regere</w:t>
        </w:r>
      </w:hyperlink>
      <w:r>
        <w:rPr>
          <w:b w:val="0"/>
          <w:i w:val="0"/>
        </w:rPr>
        <w:t>.</w:t>
      </w:r>
    </w:p>
    <w:p>
      <w:pPr>
        <w:widowControl/>
      </w:pPr>
      <w:bookmarkStart w:id="1917" w:name="passage-ii-13-12"/>
      <w:bookmarkEnd w:id="1917"/>
      <w:r>
        <w:rPr>
          <w:b/>
          <w:i w:val="0"/>
        </w:rPr>
        <w:t>II.13.12</w:t>
      </w:r>
      <w:r>
        <w:rPr>
          <w:b/>
          <w:i w:val="0"/>
        </w:rPr>
        <w:t>, source pp. 224–225.</w:t>
      </w:r>
      <w:r>
        <w:rPr>
          <w:b w:val="0"/>
          <w:i w:val="0"/>
        </w:rPr>
        <w:t xml:space="preserve"> Articles: </w:t>
      </w:r>
      <w:hyperlink w:anchor="archer-and-target">
        <w:r>
          <w:rPr>
            <w:color w:val="000000"/>
          </w:rPr>
          <w:t xml:space="preserve">Archer and target</w:t>
        </w:r>
      </w:hyperlink>
      <w:r>
        <w:rPr>
          <w:b w:val="0"/>
          <w:i w:val="0"/>
        </w:rPr>
        <w:t xml:space="preserve">; </w:t>
      </w:r>
      <w:hyperlink w:anchor="art-and-nature">
        <w:r>
          <w:rPr>
            <w:color w:val="000000"/>
          </w:rPr>
          <w:t xml:space="preserve">Art and nature</w:t>
        </w:r>
      </w:hyperlink>
      <w:r>
        <w:rPr>
          <w:b w:val="0"/>
          <w:i w:val="0"/>
        </w:rPr>
        <w:t xml:space="preserve">; </w:t>
      </w:r>
      <w:hyperlink w:anchor="cause">
        <w:r>
          <w:rPr>
            <w:color w:val="000000"/>
          </w:rPr>
          <w:t xml:space="preserve">Cause</w:t>
        </w:r>
      </w:hyperlink>
      <w:r>
        <w:rPr>
          <w:b w:val="0"/>
          <w:i w:val="0"/>
        </w:rPr>
        <w:t xml:space="preserve">; </w:t>
      </w:r>
      <w:hyperlink w:anchor="hinge-and-center">
        <w:r>
          <w:rPr>
            <w:color w:val="000000"/>
          </w:rPr>
          <w:t xml:space="preserve">Hinge and center</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 xml:space="preserve">. Vocabulary: </w:t>
      </w:r>
      <w:hyperlink w:anchor="latin-record-0094">
        <w:r>
          <w:rPr>
            <w:color w:val="000000"/>
          </w:rPr>
          <w:t xml:space="preserve">Aristoteles</w:t>
        </w:r>
      </w:hyperlink>
      <w:r>
        <w:rPr>
          <w:b w:val="0"/>
          <w:i w:val="0"/>
        </w:rPr>
        <w:t xml:space="preserve">; </w:t>
      </w:r>
      <w:hyperlink w:anchor="latin-record-0146">
        <w:r>
          <w:rPr>
            <w:color w:val="000000"/>
          </w:rPr>
          <w:t xml:space="preserve">cardo</w:t>
        </w:r>
      </w:hyperlink>
      <w:r>
        <w:rPr>
          <w:b w:val="0"/>
          <w:i w:val="0"/>
        </w:rPr>
        <w:t xml:space="preserve">; </w:t>
      </w:r>
      <w:hyperlink w:anchor="latin-record-0311">
        <w:r>
          <w:rPr>
            <w:color w:val="000000"/>
          </w:rPr>
          <w:t xml:space="preserve">Deus / divinus</w:t>
        </w:r>
      </w:hyperlink>
      <w:r>
        <w:rPr>
          <w:b w:val="0"/>
          <w:i w:val="0"/>
        </w:rPr>
        <w:t xml:space="preserve">; </w:t>
      </w:r>
      <w:hyperlink w:anchor="latin-record-0608">
        <w:r>
          <w:rPr>
            <w:color w:val="000000"/>
          </w:rPr>
          <w:t xml:space="preserve">intrinsecus / extrinsecus</w:t>
        </w:r>
      </w:hyperlink>
      <w:r>
        <w:rPr>
          <w:b w:val="0"/>
          <w:i w:val="0"/>
        </w:rPr>
        <w:t xml:space="preserve">; </w:t>
      </w:r>
      <w:hyperlink w:anchor="latin-record-0757">
        <w:r>
          <w:rPr>
            <w:color w:val="000000"/>
          </w:rPr>
          <w:t xml:space="preserve">nervus / nucha</w:t>
        </w:r>
      </w:hyperlink>
      <w:r>
        <w:rPr>
          <w:b w:val="0"/>
          <w:i w:val="0"/>
        </w:rPr>
        <w:t xml:space="preserve">; </w:t>
      </w:r>
      <w:hyperlink w:anchor="latin-record-0808">
        <w:r>
          <w:rPr>
            <w:color w:val="000000"/>
          </w:rPr>
          <w:t xml:space="preserve">ordo / ordinare</w:t>
        </w:r>
      </w:hyperlink>
      <w:r>
        <w:rPr>
          <w:b w:val="0"/>
          <w:i w:val="0"/>
        </w:rPr>
        <w:t xml:space="preserve">; </w:t>
      </w:r>
      <w:hyperlink w:anchor="latin-record-0814">
        <w:r>
          <w:rPr>
            <w:color w:val="000000"/>
          </w:rPr>
          <w:t xml:space="preserve">Orpheus / Orphicus</w:t>
        </w:r>
      </w:hyperlink>
      <w:r>
        <w:rPr>
          <w:b w:val="0"/>
          <w:i w:val="0"/>
        </w:rPr>
        <w:t xml:space="preserve">; </w:t>
      </w:r>
      <w:hyperlink w:anchor="latin-record-0846">
        <w:r>
          <w:rPr>
            <w:color w:val="000000"/>
          </w:rPr>
          <w:t xml:space="preserve">penetralia</w:t>
        </w:r>
      </w:hyperlink>
      <w:r>
        <w:rPr>
          <w:b w:val="0"/>
          <w:i w:val="0"/>
        </w:rPr>
        <w:t xml:space="preserve">; </w:t>
      </w:r>
      <w:hyperlink w:anchor="latin-record-1204">
        <w:r>
          <w:rPr>
            <w:color w:val="000000"/>
          </w:rPr>
          <w:t xml:space="preserve">tractus / trahere</w:t>
        </w:r>
      </w:hyperlink>
      <w:r>
        <w:rPr>
          <w:b w:val="0"/>
          <w:i w:val="0"/>
        </w:rPr>
        <w:t xml:space="preserve">; </w:t>
      </w:r>
      <w:hyperlink w:anchor="greek-record-12">
        <w:r>
          <w:rPr>
            <w:color w:val="000000"/>
          </w:rPr>
          <w:t xml:space="preserve">Turning through an everlasting pivot</w:t>
        </w:r>
      </w:hyperlink>
      <w:r>
        <w:rPr>
          <w:b w:val="0"/>
          <w:i w:val="0"/>
        </w:rPr>
        <w:t>.</w:t>
      </w:r>
    </w:p>
    <w:p>
      <w:pPr>
        <w:widowControl/>
      </w:pPr>
      <w:bookmarkStart w:id="1918" w:name="passage-ii-13-13"/>
      <w:bookmarkEnd w:id="1918"/>
      <w:r>
        <w:rPr>
          <w:b/>
          <w:i w:val="0"/>
        </w:rPr>
        <w:t>II.13.13</w:t>
      </w:r>
      <w:r>
        <w:rPr>
          <w:b/>
          <w:i w:val="0"/>
        </w:rPr>
        <w:t>, source pp. 224–225.</w:t>
      </w:r>
      <w:r>
        <w:rPr>
          <w:b w:val="0"/>
          <w:i w:val="0"/>
        </w:rPr>
        <w:t xml:space="preserve"> Articles: </w:t>
      </w:r>
      <w:hyperlink w:anchor="art-and-nature">
        <w:r>
          <w:rPr>
            <w:color w:val="000000"/>
          </w:rPr>
          <w:t xml:space="preserve">Art and nature</w:t>
        </w:r>
      </w:hyperlink>
      <w:r>
        <w:rPr>
          <w:b w:val="0"/>
          <w:i w:val="0"/>
        </w:rPr>
        <w:t xml:space="preserve">; </w:t>
      </w:r>
      <w:hyperlink w:anchor="florentine-mechanism">
        <w:r>
          <w:rPr>
            <w:color w:val="000000"/>
          </w:rPr>
          <w:t xml:space="preserve">Florentine mechanism</w:t>
        </w:r>
      </w:hyperlink>
      <w:r>
        <w:rPr>
          <w:b w:val="0"/>
          <w:i w:val="0"/>
        </w:rPr>
        <w:t xml:space="preserve">; </w:t>
      </w:r>
      <w:hyperlink w:anchor="hinge-and-center">
        <w:r>
          <w:rPr>
            <w:color w:val="000000"/>
          </w:rPr>
          <w:t xml:space="preserve">Hinge and center</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 xml:space="preserve">. Vocabulary: </w:t>
      </w:r>
      <w:hyperlink w:anchor="latin-record-0104">
        <w:r>
          <w:rPr>
            <w:color w:val="000000"/>
          </w:rPr>
          <w:t xml:space="preserve">assurgere / inclinari</w:t>
        </w:r>
      </w:hyperlink>
      <w:r>
        <w:rPr>
          <w:b w:val="0"/>
          <w:i w:val="0"/>
        </w:rPr>
        <w:t xml:space="preserve">; </w:t>
      </w:r>
      <w:hyperlink w:anchor="latin-record-0280">
        <w:r>
          <w:rPr>
            <w:color w:val="000000"/>
          </w:rPr>
          <w:t xml:space="preserve">coronare / vulnerare</w:t>
        </w:r>
      </w:hyperlink>
      <w:r>
        <w:rPr>
          <w:b w:val="0"/>
          <w:i w:val="0"/>
        </w:rPr>
        <w:t xml:space="preserve">; </w:t>
      </w:r>
      <w:hyperlink w:anchor="latin-record-0313">
        <w:r>
          <w:rPr>
            <w:color w:val="000000"/>
          </w:rPr>
          <w:t xml:space="preserve">dextra / sinistra / sursum / deorsum</w:t>
        </w:r>
      </w:hyperlink>
      <w:r>
        <w:rPr>
          <w:b w:val="0"/>
          <w:i w:val="0"/>
        </w:rPr>
        <w:t xml:space="preserve">; </w:t>
      </w:r>
      <w:hyperlink w:anchor="latin-record-0452">
        <w:r>
          <w:rPr>
            <w:color w:val="000000"/>
          </w:rPr>
          <w:t xml:space="preserve">Florentia / Germanus</w:t>
        </w:r>
      </w:hyperlink>
      <w:r>
        <w:rPr>
          <w:b w:val="0"/>
          <w:i w:val="0"/>
        </w:rPr>
        <w:t xml:space="preserve">; </w:t>
      </w:r>
      <w:hyperlink w:anchor="latin-record-1180">
        <w:r>
          <w:rPr>
            <w:color w:val="000000"/>
          </w:rPr>
          <w:t xml:space="preserve">tabernaculum / statua / pila</w:t>
        </w:r>
      </w:hyperlink>
      <w:r>
        <w:rPr>
          <w:b w:val="0"/>
          <w:i w:val="0"/>
        </w:rPr>
        <w:t xml:space="preserve">; </w:t>
      </w:r>
      <w:hyperlink w:anchor="latin-record-1212">
        <w:r>
          <w:rPr>
            <w:color w:val="000000"/>
          </w:rPr>
          <w:t xml:space="preserve">tuba / cornu / cantus</w:t>
        </w:r>
      </w:hyperlink>
      <w:r>
        <w:rPr>
          <w:b w:val="0"/>
          <w:i w:val="0"/>
        </w:rPr>
        <w:t>.</w:t>
      </w:r>
    </w:p>
    <w:p>
      <w:pPr>
        <w:widowControl/>
      </w:pPr>
      <w:bookmarkStart w:id="1919" w:name="passage-ii-13-14"/>
      <w:bookmarkEnd w:id="1919"/>
      <w:r>
        <w:rPr>
          <w:b/>
          <w:i w:val="0"/>
        </w:rPr>
        <w:t>II.13.14</w:t>
      </w:r>
      <w:r>
        <w:rPr>
          <w:b/>
          <w:i w:val="0"/>
        </w:rPr>
        <w:t>, source pp. 226–227.</w:t>
      </w:r>
      <w:r>
        <w:rPr>
          <w:b w:val="0"/>
          <w:i w:val="0"/>
        </w:rPr>
        <w:t xml:space="preserve"> Articles: </w:t>
      </w:r>
      <w:hyperlink w:anchor="art-and-nature">
        <w:r>
          <w:rPr>
            <w:color w:val="000000"/>
          </w:rPr>
          <w:t xml:space="preserve">Art and nature</w:t>
        </w:r>
      </w:hyperlink>
      <w:r>
        <w:rPr>
          <w:b w:val="0"/>
          <w:i w:val="0"/>
        </w:rPr>
        <w:t xml:space="preserve">; </w:t>
      </w:r>
      <w:hyperlink w:anchor="beauty-and-fittingness">
        <w:r>
          <w:rPr>
            <w:color w:val="000000"/>
          </w:rPr>
          <w:t xml:space="preserve">Beauty and fittingness</w:t>
        </w:r>
      </w:hyperlink>
      <w:r>
        <w:rPr>
          <w:b w:val="0"/>
          <w:i w:val="0"/>
        </w:rPr>
        <w:t xml:space="preserve">; </w:t>
      </w:r>
      <w:hyperlink w:anchor="chance">
        <w:r>
          <w:rPr>
            <w:color w:val="000000"/>
          </w:rPr>
          <w:t xml:space="preserve">Chance</w:t>
        </w:r>
      </w:hyperlink>
      <w:r>
        <w:rPr>
          <w:b w:val="0"/>
          <w:i w:val="0"/>
        </w:rPr>
        <w:t xml:space="preserve">; </w:t>
      </w:r>
      <w:hyperlink w:anchor="florentine-mechanism">
        <w:r>
          <w:rPr>
            <w:color w:val="000000"/>
          </w:rPr>
          <w:t xml:space="preserve">Florentine mechanism</w:t>
        </w:r>
      </w:hyperlink>
      <w:r>
        <w:rPr>
          <w:b w:val="0"/>
          <w:i w:val="0"/>
        </w:rPr>
        <w:t xml:space="preserve">; </w:t>
      </w:r>
      <w:hyperlink w:anchor="hinge-and-center">
        <w:r>
          <w:rPr>
            <w:color w:val="000000"/>
          </w:rPr>
          <w:t xml:space="preserve">Hinge and center</w:t>
        </w:r>
      </w:hyperlink>
      <w:r>
        <w:rPr>
          <w:b w:val="0"/>
          <w:i w:val="0"/>
        </w:rPr>
        <w:t xml:space="preserve">; </w:t>
      </w:r>
      <w:hyperlink w:anchor="insults-and-rebuke">
        <w:r>
          <w:rPr>
            <w:color w:val="000000"/>
          </w:rPr>
          <w:t xml:space="preserve">Insults and rebuke</w:t>
        </w:r>
      </w:hyperlink>
      <w:r>
        <w:rPr>
          <w:b w:val="0"/>
          <w:i w:val="0"/>
        </w:rPr>
        <w:t xml:space="preserve">; </w:t>
      </w:r>
      <w:hyperlink w:anchor="lucretius">
        <w:r>
          <w:rPr>
            <w:color w:val="000000"/>
          </w:rPr>
          <w:t xml:space="preserve">Lucretius</w:t>
        </w:r>
      </w:hyperlink>
      <w:r>
        <w:rPr>
          <w:b w:val="0"/>
          <w:i w:val="0"/>
        </w:rPr>
        <w:t xml:space="preserve">; </w:t>
      </w:r>
      <w:hyperlink w:anchor="order-and-harmony">
        <w:r>
          <w:rPr>
            <w:color w:val="000000"/>
          </w:rPr>
          <w:t xml:space="preserve">Order and harmony</w:t>
        </w:r>
      </w:hyperlink>
      <w:r>
        <w:rPr>
          <w:b w:val="0"/>
          <w:i w:val="0"/>
        </w:rPr>
        <w:t xml:space="preserve">; </w:t>
      </w:r>
      <w:hyperlink w:anchor="providence">
        <w:r>
          <w:rPr>
            <w:color w:val="000000"/>
          </w:rPr>
          <w:t xml:space="preserve">Providence</w:t>
        </w:r>
      </w:hyperlink>
      <w:r>
        <w:rPr>
          <w:b w:val="0"/>
          <w:i w:val="0"/>
        </w:rPr>
        <w:t xml:space="preserve">. Vocabulary: </w:t>
      </w:r>
      <w:hyperlink w:anchor="latin-record-0652">
        <w:r>
          <w:rPr>
            <w:color w:val="000000"/>
          </w:rPr>
          <w:t xml:space="preserve">Lucretius / taceat</w:t>
        </w:r>
      </w:hyperlink>
      <w:r>
        <w:rPr>
          <w:b w:val="0"/>
          <w:i w:val="0"/>
        </w:rPr>
        <w:t xml:space="preserve">; </w:t>
      </w:r>
      <w:hyperlink w:anchor="latin-record-0711">
        <w:r>
          <w:rPr>
            <w:color w:val="000000"/>
          </w:rPr>
          <w:t xml:space="preserve">momentum</w:t>
        </w:r>
      </w:hyperlink>
      <w:r>
        <w:rPr>
          <w:b w:val="0"/>
          <w:i w:val="0"/>
        </w:rPr>
        <w:t xml:space="preserve">; </w:t>
      </w:r>
      <w:hyperlink w:anchor="latin-record-0782">
        <w:r>
          <w:rPr>
            <w:color w:val="000000"/>
          </w:rPr>
          <w:t xml:space="preserve">nutus / vibrare</w:t>
        </w:r>
      </w:hyperlink>
      <w:r>
        <w:rPr>
          <w:b w:val="0"/>
          <w:i w:val="0"/>
        </w:rPr>
        <w:t>.</w:t>
      </w:r>
    </w:p>
    <w:p>
      <w:pPr>
        <w:widowControl/>
      </w:pPr>
      <w:bookmarkStart w:id="1920" w:name="passage-ii-13-15"/>
      <w:bookmarkEnd w:id="1920"/>
      <w:r>
        <w:rPr>
          <w:b/>
          <w:i w:val="0"/>
        </w:rPr>
        <w:t>II.13.15</w:t>
      </w:r>
      <w:r>
        <w:rPr>
          <w:b/>
          <w:i w:val="0"/>
        </w:rPr>
        <w:t>, source pp. 226–227.</w:t>
      </w:r>
      <w:r>
        <w:rPr>
          <w:b w:val="0"/>
          <w:i w:val="0"/>
        </w:rPr>
        <w:t xml:space="preserve"> Articles: </w:t>
      </w:r>
      <w:hyperlink w:anchor="architect-and-house">
        <w:r>
          <w:rPr>
            <w:color w:val="000000"/>
          </w:rPr>
          <w:t xml:space="preserve">Architect, house and decoration</w:t>
        </w:r>
      </w:hyperlink>
      <w:r>
        <w:rPr>
          <w:b w:val="0"/>
          <w:i w:val="0"/>
        </w:rPr>
        <w:t xml:space="preserve">; </w:t>
      </w:r>
      <w:hyperlink w:anchor="art-and-nature">
        <w:r>
          <w:rPr>
            <w:color w:val="000000"/>
          </w:rPr>
          <w:t xml:space="preserve">Art and nature</w:t>
        </w:r>
      </w:hyperlink>
      <w:r>
        <w:rPr>
          <w:b w:val="0"/>
          <w:i w:val="0"/>
        </w:rPr>
        <w:t xml:space="preserve">; </w:t>
      </w:r>
      <w:hyperlink w:anchor="chance">
        <w:r>
          <w:rPr>
            <w:color w:val="000000"/>
          </w:rPr>
          <w:t xml:space="preserve">Chance</w:t>
        </w:r>
      </w:hyperlink>
      <w:r>
        <w:rPr>
          <w:b w:val="0"/>
          <w:i w:val="0"/>
        </w:rPr>
        <w:t xml:space="preserve">; </w:t>
      </w:r>
      <w:hyperlink w:anchor="lucretius">
        <w:r>
          <w:rPr>
            <w:color w:val="000000"/>
          </w:rPr>
          <w:t xml:space="preserve">Lucretius</w:t>
        </w:r>
      </w:hyperlink>
      <w:r>
        <w:rPr>
          <w:b w:val="0"/>
          <w:i w:val="0"/>
        </w:rPr>
        <w:t xml:space="preserve">; </w:t>
      </w:r>
      <w:hyperlink w:anchor="order-and-harmony">
        <w:r>
          <w:rPr>
            <w:color w:val="000000"/>
          </w:rPr>
          <w:t xml:space="preserve">Order and harmony</w:t>
        </w:r>
      </w:hyperlink>
      <w:r>
        <w:rPr>
          <w:b w:val="0"/>
          <w:i w:val="0"/>
        </w:rPr>
        <w:t xml:space="preserve">; </w:t>
      </w:r>
      <w:hyperlink w:anchor="paths-and-prescribed-ends">
        <w:r>
          <w:rPr>
            <w:color w:val="000000"/>
          </w:rPr>
          <w:t xml:space="preserve">Paths and prescribed ends</w:t>
        </w:r>
      </w:hyperlink>
      <w:r>
        <w:rPr>
          <w:b w:val="0"/>
          <w:i w:val="0"/>
        </w:rPr>
        <w:t xml:space="preserve">; </w:t>
      </w:r>
      <w:hyperlink w:anchor="providence">
        <w:r>
          <w:rPr>
            <w:color w:val="000000"/>
          </w:rPr>
          <w:t xml:space="preserve">Providence</w:t>
        </w:r>
      </w:hyperlink>
      <w:r>
        <w:rPr>
          <w:b w:val="0"/>
          <w:i w:val="0"/>
        </w:rPr>
        <w:t xml:space="preserve">. Vocabulary: </w:t>
      </w:r>
      <w:hyperlink w:anchor="latin-record-0627">
        <w:r>
          <w:rPr>
            <w:color w:val="000000"/>
          </w:rPr>
          <w:t xml:space="preserve">lapis / paries / congeries</w:t>
        </w:r>
      </w:hyperlink>
      <w:r>
        <w:rPr>
          <w:b w:val="0"/>
          <w:i w:val="0"/>
        </w:rPr>
        <w:t xml:space="preserve">; </w:t>
      </w:r>
      <w:hyperlink w:anchor="latin-record-0652">
        <w:r>
          <w:rPr>
            <w:color w:val="000000"/>
          </w:rPr>
          <w:t xml:space="preserve">Lucretius / taceat</w:t>
        </w:r>
      </w:hyperlink>
      <w:r>
        <w:rPr>
          <w:b w:val="0"/>
          <w:i w:val="0"/>
        </w:rPr>
        <w:t xml:space="preserve">; </w:t>
      </w:r>
      <w:hyperlink w:anchor="latin-record-1206">
        <w:r>
          <w:rPr>
            <w:color w:val="000000"/>
          </w:rPr>
          <w:t xml:space="preserve">trames / oberrare</w:t>
        </w:r>
      </w:hyperlink>
      <w:r>
        <w:rPr>
          <w:b w:val="0"/>
          <w:i w:val="0"/>
        </w:rPr>
        <w:t>.</w:t>
      </w:r>
    </w:p>
    <w:p>
      <w:pPr>
        <w:widowControl/>
      </w:pPr>
      <w:bookmarkStart w:id="1921" w:name="passage-ii-13-16"/>
      <w:bookmarkEnd w:id="1921"/>
      <w:r>
        <w:rPr>
          <w:b/>
          <w:i w:val="0"/>
        </w:rPr>
        <w:t>II.13.16</w:t>
      </w:r>
      <w:r>
        <w:rPr>
          <w:b/>
          <w:i w:val="0"/>
        </w:rPr>
        <w:t>, source pp. 226–227.</w:t>
      </w:r>
      <w:r>
        <w:rPr>
          <w:b w:val="0"/>
          <w:i w:val="0"/>
        </w:rPr>
        <w:t xml:space="preserve"> Articles: </w:t>
      </w:r>
      <w:hyperlink w:anchor="art-and-nature">
        <w:r>
          <w:rPr>
            <w:color w:val="000000"/>
          </w:rPr>
          <w:t xml:space="preserve">Art and nature</w:t>
        </w:r>
      </w:hyperlink>
      <w:r>
        <w:rPr>
          <w:b w:val="0"/>
          <w:i w:val="0"/>
        </w:rPr>
        <w:t xml:space="preserve">; </w:t>
      </w:r>
      <w:hyperlink w:anchor="chance">
        <w:r>
          <w:rPr>
            <w:color w:val="000000"/>
          </w:rPr>
          <w:t xml:space="preserve">Chance</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rovidence">
        <w:r>
          <w:rPr>
            <w:color w:val="000000"/>
          </w:rPr>
          <w:t xml:space="preserve">Providence</w:t>
        </w:r>
      </w:hyperlink>
      <w:r>
        <w:rPr>
          <w:b w:val="0"/>
          <w:i w:val="0"/>
        </w:rPr>
        <w:t xml:space="preserve">; </w:t>
      </w:r>
      <w:hyperlink w:anchor="nourishment-and-provision">
        <w:r>
          <w:rPr>
            <w:color w:val="000000"/>
          </w:rPr>
          <w:t xml:space="preserve">Providential provision</w:t>
        </w:r>
      </w:hyperlink>
      <w:r>
        <w:rPr>
          <w:b w:val="0"/>
          <w:i w:val="0"/>
        </w:rPr>
        <w:t xml:space="preserve">. Vocabulary: </w:t>
      </w:r>
      <w:hyperlink w:anchor="latin-record-0050">
        <w:r>
          <w:rPr>
            <w:color w:val="000000"/>
          </w:rPr>
          <w:t xml:space="preserve">alimentum / providere</w:t>
        </w:r>
      </w:hyperlink>
      <w:r>
        <w:rPr>
          <w:b w:val="0"/>
          <w:i w:val="0"/>
        </w:rPr>
        <w:t xml:space="preserve">; </w:t>
      </w:r>
      <w:hyperlink w:anchor="latin-record-0202">
        <w:r>
          <w:rPr>
            <w:color w:val="000000"/>
          </w:rPr>
          <w:t xml:space="preserve">compago / membrum</w:t>
        </w:r>
      </w:hyperlink>
      <w:r>
        <w:rPr>
          <w:b w:val="0"/>
          <w:i w:val="0"/>
        </w:rPr>
        <w:t xml:space="preserve">; </w:t>
      </w:r>
      <w:hyperlink w:anchor="latin-record-0588">
        <w:r>
          <w:rPr>
            <w:color w:val="000000"/>
          </w:rPr>
          <w:t xml:space="preserve">instruere / instrumentum</w:t>
        </w:r>
      </w:hyperlink>
      <w:r>
        <w:rPr>
          <w:b w:val="0"/>
          <w:i w:val="0"/>
        </w:rPr>
        <w:t xml:space="preserve">; </w:t>
      </w:r>
      <w:hyperlink w:anchor="latin-record-0627">
        <w:r>
          <w:rPr>
            <w:color w:val="000000"/>
          </w:rPr>
          <w:t xml:space="preserve">lapis / paries / congeries</w:t>
        </w:r>
      </w:hyperlink>
      <w:r>
        <w:rPr>
          <w:b w:val="0"/>
          <w:i w:val="0"/>
        </w:rPr>
        <w:t xml:space="preserve">; </w:t>
      </w:r>
      <w:hyperlink w:anchor="latin-record-1185">
        <w:r>
          <w:rPr>
            <w:color w:val="000000"/>
          </w:rPr>
          <w:t xml:space="preserve">temperare</w:t>
        </w:r>
      </w:hyperlink>
      <w:r>
        <w:rPr>
          <w:b w:val="0"/>
          <w:i w:val="0"/>
        </w:rPr>
        <w:t>.</w:t>
      </w:r>
    </w:p>
    <w:p>
      <w:pPr>
        <w:widowControl/>
      </w:pPr>
      <w:bookmarkStart w:id="1922" w:name="passage-ii-13-17"/>
      <w:bookmarkEnd w:id="1922"/>
      <w:r>
        <w:rPr>
          <w:b/>
          <w:i w:val="0"/>
        </w:rPr>
        <w:t>II.13.17</w:t>
      </w:r>
      <w:r>
        <w:rPr>
          <w:b/>
          <w:i w:val="0"/>
        </w:rPr>
        <w:t>, source pp. 228–229.</w:t>
      </w:r>
      <w:r>
        <w:rPr>
          <w:b w:val="0"/>
          <w:i w:val="0"/>
        </w:rPr>
        <w:t xml:space="preserve"> Articles: </w:t>
      </w:r>
      <w:hyperlink w:anchor="art-and-nature">
        <w:r>
          <w:rPr>
            <w:color w:val="000000"/>
          </w:rPr>
          <w:t xml:space="preserve">Art and nature</w:t>
        </w:r>
      </w:hyperlink>
      <w:r>
        <w:rPr>
          <w:b w:val="0"/>
          <w:i w:val="0"/>
        </w:rPr>
        <w:t xml:space="preserve">; </w:t>
      </w:r>
      <w:hyperlink w:anchor="beauty-and-fittingness">
        <w:r>
          <w:rPr>
            <w:color w:val="000000"/>
          </w:rPr>
          <w:t xml:space="preserve">Beauty and fittingness</w:t>
        </w:r>
      </w:hyperlink>
      <w:r>
        <w:rPr>
          <w:b w:val="0"/>
          <w:i w:val="0"/>
        </w:rPr>
        <w:t xml:space="preserve">; </w:t>
      </w:r>
      <w:hyperlink w:anchor="chance">
        <w:r>
          <w:rPr>
            <w:color w:val="000000"/>
          </w:rPr>
          <w:t xml:space="preserve">Chance</w:t>
        </w:r>
      </w:hyperlink>
      <w:r>
        <w:rPr>
          <w:b w:val="0"/>
          <w:i w:val="0"/>
        </w:rPr>
        <w:t xml:space="preserve">; </w:t>
      </w:r>
      <w:hyperlink w:anchor="counsel-and-settled-skill">
        <w:r>
          <w:rPr>
            <w:color w:val="000000"/>
          </w:rPr>
          <w:t xml:space="preserve">Counsel and settled skill</w:t>
        </w:r>
      </w:hyperlink>
      <w:r>
        <w:rPr>
          <w:b w:val="0"/>
          <w:i w:val="0"/>
        </w:rPr>
        <w:t xml:space="preserve">; </w:t>
      </w:r>
      <w:hyperlink w:anchor="intuition-and-discourse">
        <w:r>
          <w:rPr>
            <w:color w:val="000000"/>
          </w:rPr>
          <w:t xml:space="preserve">Intuition and discourse</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rovidence">
        <w:r>
          <w:rPr>
            <w:color w:val="000000"/>
          </w:rPr>
          <w:t xml:space="preserve">Providence</w:t>
        </w:r>
      </w:hyperlink>
      <w:r>
        <w:rPr>
          <w:b w:val="0"/>
          <w:i w:val="0"/>
        </w:rPr>
        <w:t xml:space="preserve">; </w:t>
      </w:r>
      <w:hyperlink w:anchor="nourishment-and-provision">
        <w:r>
          <w:rPr>
            <w:color w:val="000000"/>
          </w:rPr>
          <w:t xml:space="preserve">Providential provision</w:t>
        </w:r>
      </w:hyperlink>
      <w:r>
        <w:rPr>
          <w:b w:val="0"/>
          <w:i w:val="0"/>
        </w:rPr>
        <w:t xml:space="preserve">. Vocabulary: </w:t>
      </w:r>
      <w:hyperlink w:anchor="latin-record-0050">
        <w:r>
          <w:rPr>
            <w:color w:val="000000"/>
          </w:rPr>
          <w:t xml:space="preserve">alimentum / providere</w:t>
        </w:r>
      </w:hyperlink>
      <w:r>
        <w:rPr>
          <w:b w:val="0"/>
          <w:i w:val="0"/>
        </w:rPr>
        <w:t xml:space="preserve">; </w:t>
      </w:r>
      <w:hyperlink w:anchor="latin-record-0251">
        <w:r>
          <w:rPr>
            <w:color w:val="000000"/>
          </w:rPr>
          <w:t xml:space="preserve">consilium / consultare</w:t>
        </w:r>
      </w:hyperlink>
      <w:r>
        <w:rPr>
          <w:b w:val="0"/>
          <w:i w:val="0"/>
        </w:rPr>
        <w:t xml:space="preserve">; </w:t>
      </w:r>
      <w:hyperlink w:anchor="latin-record-1084">
        <w:r>
          <w:rPr>
            <w:color w:val="000000"/>
          </w:rPr>
          <w:t xml:space="preserve">semen</w:t>
        </w:r>
      </w:hyperlink>
      <w:r>
        <w:rPr>
          <w:b w:val="0"/>
          <w:i w:val="0"/>
        </w:rPr>
        <w:t>.</w:t>
      </w:r>
    </w:p>
    <w:p>
      <w:pPr>
        <w:widowControl/>
      </w:pPr>
      <w:bookmarkStart w:id="1923" w:name="passage-ii-13-18"/>
      <w:bookmarkEnd w:id="1923"/>
      <w:r>
        <w:rPr>
          <w:b/>
          <w:i w:val="0"/>
        </w:rPr>
        <w:t>II.13.18</w:t>
      </w:r>
      <w:r>
        <w:rPr>
          <w:b/>
          <w:i w:val="0"/>
        </w:rPr>
        <w:t>, source pp. 228–229.</w:t>
      </w:r>
      <w:r>
        <w:rPr>
          <w:b w:val="0"/>
          <w:i w:val="0"/>
        </w:rPr>
        <w:t xml:space="preserve"> Articles: </w:t>
      </w:r>
      <w:hyperlink w:anchor="art-and-nature">
        <w:r>
          <w:rPr>
            <w:color w:val="000000"/>
          </w:rPr>
          <w:t xml:space="preserve">Art and nature</w:t>
        </w:r>
      </w:hyperlink>
      <w:r>
        <w:rPr>
          <w:b w:val="0"/>
          <w:i w:val="0"/>
        </w:rPr>
        <w:t xml:space="preserve">; </w:t>
      </w:r>
      <w:hyperlink w:anchor="chance">
        <w:r>
          <w:rPr>
            <w:color w:val="000000"/>
          </w:rPr>
          <w:t xml:space="preserve">Chance</w:t>
        </w:r>
      </w:hyperlink>
      <w:r>
        <w:rPr>
          <w:b w:val="0"/>
          <w:i w:val="0"/>
        </w:rPr>
        <w:t xml:space="preserve">; </w:t>
      </w:r>
      <w:hyperlink w:anchor="counsel-and-settled-skill">
        <w:r>
          <w:rPr>
            <w:color w:val="000000"/>
          </w:rPr>
          <w:t xml:space="preserve">Counsel and settled skill</w:t>
        </w:r>
      </w:hyperlink>
      <w:r>
        <w:rPr>
          <w:b w:val="0"/>
          <w:i w:val="0"/>
        </w:rPr>
        <w:t xml:space="preserve">; </w:t>
      </w:r>
      <w:hyperlink w:anchor="intuition-and-discourse">
        <w:r>
          <w:rPr>
            <w:color w:val="000000"/>
          </w:rPr>
          <w:t xml:space="preserve">Intuition and discourse</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rovidence">
        <w:r>
          <w:rPr>
            <w:color w:val="000000"/>
          </w:rPr>
          <w:t xml:space="preserve">Providence</w:t>
        </w:r>
      </w:hyperlink>
      <w:r>
        <w:rPr>
          <w:b w:val="0"/>
          <w:i w:val="0"/>
        </w:rPr>
        <w:t xml:space="preserve">. Vocabulary: </w:t>
      </w:r>
      <w:hyperlink w:anchor="latin-record-0251">
        <w:r>
          <w:rPr>
            <w:color w:val="000000"/>
          </w:rPr>
          <w:t xml:space="preserve">consilium / consultare</w:t>
        </w:r>
      </w:hyperlink>
      <w:r>
        <w:rPr>
          <w:b w:val="0"/>
          <w:i w:val="0"/>
        </w:rPr>
        <w:t xml:space="preserve">; </w:t>
      </w:r>
      <w:hyperlink w:anchor="latin-record-0269">
        <w:r>
          <w:rPr>
            <w:color w:val="000000"/>
          </w:rPr>
          <w:t xml:space="preserve">contueri / intueri / intuitus</w:t>
        </w:r>
      </w:hyperlink>
      <w:r>
        <w:rPr>
          <w:b w:val="0"/>
          <w:i w:val="0"/>
        </w:rPr>
        <w:t xml:space="preserve">; </w:t>
      </w:r>
      <w:hyperlink w:anchor="latin-record-0501">
        <w:r>
          <w:rPr>
            <w:color w:val="000000"/>
          </w:rPr>
          <w:t xml:space="preserve">habitus — settled skill</w:t>
        </w:r>
      </w:hyperlink>
      <w:r>
        <w:rPr>
          <w:b w:val="0"/>
          <w:i w:val="0"/>
        </w:rPr>
        <w:t xml:space="preserve">; </w:t>
      </w:r>
      <w:hyperlink w:anchor="latin-record-0560">
        <w:r>
          <w:rPr>
            <w:color w:val="000000"/>
          </w:rPr>
          <w:t xml:space="preserve">iners / callere</w:t>
        </w:r>
      </w:hyperlink>
      <w:r>
        <w:rPr>
          <w:b w:val="0"/>
          <w:i w:val="0"/>
        </w:rPr>
        <w:t xml:space="preserve">; </w:t>
      </w:r>
      <w:hyperlink w:anchor="latin-record-0713">
        <w:r>
          <w:rPr>
            <w:color w:val="000000"/>
          </w:rPr>
          <w:t xml:space="preserve">mora / transgressio / retractatio</w:t>
        </w:r>
      </w:hyperlink>
      <w:r>
        <w:rPr>
          <w:b w:val="0"/>
          <w:i w:val="0"/>
        </w:rPr>
        <w:t xml:space="preserve">; </w:t>
      </w:r>
      <w:hyperlink w:anchor="latin-record-0808">
        <w:r>
          <w:rPr>
            <w:color w:val="000000"/>
          </w:rPr>
          <w:t xml:space="preserve">ordo / ordinare</w:t>
        </w:r>
      </w:hyperlink>
      <w:r>
        <w:rPr>
          <w:b w:val="0"/>
          <w:i w:val="0"/>
        </w:rPr>
        <w:t xml:space="preserve">; </w:t>
      </w:r>
      <w:hyperlink w:anchor="latin-record-1210">
        <w:r>
          <w:rPr>
            <w:color w:val="000000"/>
          </w:rPr>
          <w:t xml:space="preserve">translatio</w:t>
        </w:r>
      </w:hyperlink>
      <w:r>
        <w:rPr>
          <w:b w:val="0"/>
          <w:i w:val="0"/>
        </w:rPr>
        <w:t>.</w:t>
      </w:r>
    </w:p>
    <w:p>
      <w:pPr>
        <w:widowControl/>
      </w:pPr>
      <w:bookmarkStart w:id="1924" w:name="passage-ii-13-19"/>
      <w:bookmarkEnd w:id="1924"/>
      <w:r>
        <w:rPr>
          <w:b/>
          <w:i w:val="0"/>
        </w:rPr>
        <w:t>II.13.19</w:t>
      </w:r>
      <w:r>
        <w:rPr>
          <w:b/>
          <w:i w:val="0"/>
        </w:rPr>
        <w:t>, source pp. 228–229.</w:t>
      </w:r>
      <w:r>
        <w:rPr>
          <w:b w:val="0"/>
          <w:i w:val="0"/>
        </w:rPr>
        <w:t xml:space="preserve"> Articles: </w:t>
      </w:r>
      <w:hyperlink w:anchor="art-and-nature">
        <w:r>
          <w:rPr>
            <w:color w:val="000000"/>
          </w:rPr>
          <w:t xml:space="preserve">Art and nature</w:t>
        </w:r>
      </w:hyperlink>
      <w:r>
        <w:rPr>
          <w:b w:val="0"/>
          <w:i w:val="0"/>
        </w:rPr>
        <w:t xml:space="preserve">; </w:t>
      </w:r>
      <w:hyperlink w:anchor="chance">
        <w:r>
          <w:rPr>
            <w:color w:val="000000"/>
          </w:rPr>
          <w:t xml:space="preserve">Chance</w:t>
        </w:r>
      </w:hyperlink>
      <w:r>
        <w:rPr>
          <w:b w:val="0"/>
          <w:i w:val="0"/>
        </w:rPr>
        <w:t xml:space="preserve">; </w:t>
      </w:r>
      <w:hyperlink w:anchor="insults-and-rebuke">
        <w:r>
          <w:rPr>
            <w:color w:val="000000"/>
          </w:rPr>
          <w:t xml:space="preserve">Insults and rebuke</w:t>
        </w:r>
      </w:hyperlink>
      <w:r>
        <w:rPr>
          <w:b w:val="0"/>
          <w:i w:val="0"/>
        </w:rPr>
        <w:t xml:space="preserve">; </w:t>
      </w:r>
      <w:hyperlink w:anchor="intuition-and-discourse">
        <w:r>
          <w:rPr>
            <w:color w:val="000000"/>
          </w:rPr>
          <w:t xml:space="preserve">Intuition and discourse</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rovidence">
        <w:r>
          <w:rPr>
            <w:color w:val="000000"/>
          </w:rPr>
          <w:t xml:space="preserve">Providence</w:t>
        </w:r>
      </w:hyperlink>
      <w:r>
        <w:rPr>
          <w:b w:val="0"/>
          <w:i w:val="0"/>
        </w:rPr>
        <w:t xml:space="preserve">; </w:t>
      </w:r>
      <w:hyperlink w:anchor="wonder-and-familiarity">
        <w:r>
          <w:rPr>
            <w:color w:val="000000"/>
          </w:rPr>
          <w:t xml:space="preserve">Wonder and familiarity</w:t>
        </w:r>
      </w:hyperlink>
      <w:r>
        <w:rPr>
          <w:b w:val="0"/>
          <w:i w:val="0"/>
        </w:rPr>
        <w:t xml:space="preserve">. Vocabulary: </w:t>
      </w:r>
      <w:hyperlink w:anchor="latin-record-0027">
        <w:r>
          <w:rPr>
            <w:color w:val="000000"/>
          </w:rPr>
          <w:t xml:space="preserve">admiratio / consuetudo</w:t>
        </w:r>
      </w:hyperlink>
      <w:r>
        <w:rPr>
          <w:b w:val="0"/>
          <w:i w:val="0"/>
        </w:rPr>
        <w:t xml:space="preserve">; </w:t>
      </w:r>
      <w:hyperlink w:anchor="latin-record-1091">
        <w:r>
          <w:rPr>
            <w:color w:val="000000"/>
          </w:rPr>
          <w:t xml:space="preserve">sensus rationalis</w:t>
        </w:r>
      </w:hyperlink>
      <w:r>
        <w:rPr>
          <w:b w:val="0"/>
          <w:i w:val="0"/>
        </w:rPr>
        <w:t>.</w:t>
      </w:r>
    </w:p>
    <w:p>
      <w:pPr>
        <w:widowControl/>
      </w:pPr>
      <w:bookmarkStart w:id="1925" w:name="passage-ii-13-20"/>
      <w:bookmarkEnd w:id="1925"/>
      <w:r>
        <w:rPr>
          <w:b/>
          <w:i w:val="0"/>
        </w:rPr>
        <w:t>II.13.20</w:t>
      </w:r>
      <w:r>
        <w:rPr>
          <w:b/>
          <w:i w:val="0"/>
        </w:rPr>
        <w:t>, source pp. 230–231.</w:t>
      </w:r>
      <w:r>
        <w:rPr>
          <w:b w:val="0"/>
          <w:i w:val="0"/>
        </w:rPr>
        <w:t xml:space="preserve"> Articles: </w:t>
      </w:r>
      <w:hyperlink w:anchor="chance">
        <w:r>
          <w:rPr>
            <w:color w:val="000000"/>
          </w:rPr>
          <w:t xml:space="preserve">Chance</w:t>
        </w:r>
      </w:hyperlink>
      <w:r>
        <w:rPr>
          <w:b w:val="0"/>
          <w:i w:val="0"/>
        </w:rPr>
        <w:t xml:space="preserve">; </w:t>
      </w:r>
      <w:hyperlink w:anchor="life">
        <w:r>
          <w:rPr>
            <w:color w:val="000000"/>
          </w:rPr>
          <w:t xml:space="preserve">Life</w:t>
        </w:r>
      </w:hyperlink>
      <w:r>
        <w:rPr>
          <w:b w:val="0"/>
          <w:i w:val="0"/>
        </w:rPr>
        <w:t xml:space="preserve">; </w:t>
      </w:r>
      <w:hyperlink w:anchor="lucretius">
        <w:r>
          <w:rPr>
            <w:color w:val="000000"/>
          </w:rPr>
          <w:t xml:space="preserve">Lucretius</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rovidence">
        <w:r>
          <w:rPr>
            <w:color w:val="000000"/>
          </w:rPr>
          <w:t xml:space="preserve">Providence</w:t>
        </w:r>
      </w:hyperlink>
      <w:r>
        <w:rPr>
          <w:b w:val="0"/>
          <w:i w:val="0"/>
        </w:rPr>
        <w:t xml:space="preserve">; </w:t>
      </w:r>
      <w:hyperlink w:anchor="wonder-and-familiarity">
        <w:r>
          <w:rPr>
            <w:color w:val="000000"/>
          </w:rPr>
          <w:t xml:space="preserve">Wonder and familiarity</w:t>
        </w:r>
      </w:hyperlink>
      <w:r>
        <w:rPr>
          <w:b w:val="0"/>
          <w:i w:val="0"/>
        </w:rPr>
        <w:t xml:space="preserve">. Vocabulary: </w:t>
      </w:r>
      <w:hyperlink w:anchor="latin-record-0027">
        <w:r>
          <w:rPr>
            <w:color w:val="000000"/>
          </w:rPr>
          <w:t xml:space="preserve">admiratio / consuetudo</w:t>
        </w:r>
      </w:hyperlink>
      <w:r>
        <w:rPr>
          <w:b w:val="0"/>
          <w:i w:val="0"/>
        </w:rPr>
        <w:t xml:space="preserve">; </w:t>
      </w:r>
      <w:hyperlink w:anchor="latin-record-0057">
        <w:r>
          <w:rPr>
            <w:color w:val="000000"/>
          </w:rPr>
          <w:t xml:space="preserve">ambigere</w:t>
        </w:r>
      </w:hyperlink>
      <w:r>
        <w:rPr>
          <w:b w:val="0"/>
          <w:i w:val="0"/>
        </w:rPr>
        <w:t xml:space="preserve">; </w:t>
      </w:r>
      <w:hyperlink w:anchor="latin-record-0359">
        <w:r>
          <w:rPr>
            <w:color w:val="000000"/>
          </w:rPr>
          <w:t xml:space="preserve">educare / spectaculum</w:t>
        </w:r>
      </w:hyperlink>
      <w:r>
        <w:rPr>
          <w:b w:val="0"/>
          <w:i w:val="0"/>
        </w:rPr>
        <w:t xml:space="preserve">; </w:t>
      </w:r>
      <w:hyperlink w:anchor="latin-record-1038">
        <w:r>
          <w:rPr>
            <w:color w:val="000000"/>
          </w:rPr>
          <w:t xml:space="preserve">regina / pedisequa</w:t>
        </w:r>
      </w:hyperlink>
      <w:r>
        <w:rPr>
          <w:b w:val="0"/>
          <w:i w:val="0"/>
        </w:rPr>
        <w:t xml:space="preserve">; </w:t>
      </w:r>
      <w:hyperlink w:anchor="latin-record-1069">
        <w:r>
          <w:rPr>
            <w:color w:val="000000"/>
          </w:rPr>
          <w:t xml:space="preserve">sapientia / sapiens</w:t>
        </w:r>
      </w:hyperlink>
      <w:r>
        <w:rPr>
          <w:b w:val="0"/>
          <w:i w:val="0"/>
        </w:rPr>
        <w:t>.</w:t>
      </w:r>
    </w:p>
    <w:p>
      <w:pPr>
        <w:widowControl/>
      </w:pPr>
      <w:bookmarkStart w:id="1926" w:name="passage-ii-13-21"/>
      <w:bookmarkEnd w:id="1926"/>
      <w:r>
        <w:rPr>
          <w:b/>
          <w:i w:val="0"/>
        </w:rPr>
        <w:t>II.13.21</w:t>
      </w:r>
      <w:r>
        <w:rPr>
          <w:b/>
          <w:i w:val="0"/>
        </w:rPr>
        <w:t>, source pp. 230–231.</w:t>
      </w:r>
      <w:r>
        <w:rPr>
          <w:b w:val="0"/>
          <w:i w:val="0"/>
        </w:rPr>
        <w:t xml:space="preserve"> Articles: </w:t>
      </w:r>
      <w:hyperlink w:anchor="care-and-custody">
        <w:r>
          <w:rPr>
            <w:color w:val="000000"/>
          </w:rPr>
          <w:t xml:space="preserve">Care and custody</w:t>
        </w:r>
      </w:hyperlink>
      <w:r>
        <w:rPr>
          <w:b w:val="0"/>
          <w:i w:val="0"/>
        </w:rPr>
        <w:t xml:space="preserve">; </w:t>
      </w:r>
      <w:hyperlink w:anchor="life">
        <w:r>
          <w:rPr>
            <w:color w:val="000000"/>
          </w:rPr>
          <w:t xml:space="preserve">Life</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rovidence">
        <w:r>
          <w:rPr>
            <w:color w:val="000000"/>
          </w:rPr>
          <w:t xml:space="preserve">Providence</w:t>
        </w:r>
      </w:hyperlink>
      <w:r>
        <w:rPr>
          <w:b w:val="0"/>
          <w:i w:val="0"/>
        </w:rPr>
        <w:t xml:space="preserve">. Vocabulary: </w:t>
      </w:r>
      <w:hyperlink w:anchor="latin-record-0257">
        <w:r>
          <w:rPr>
            <w:color w:val="000000"/>
          </w:rPr>
          <w:t xml:space="preserve">constare / consistere</w:t>
        </w:r>
      </w:hyperlink>
      <w:r>
        <w:rPr>
          <w:b w:val="0"/>
          <w:i w:val="0"/>
        </w:rPr>
        <w:t xml:space="preserve">; </w:t>
      </w:r>
      <w:hyperlink w:anchor="latin-record-0290">
        <w:r>
          <w:rPr>
            <w:color w:val="000000"/>
          </w:rPr>
          <w:t xml:space="preserve">custodire / cura</w:t>
        </w:r>
      </w:hyperlink>
      <w:r>
        <w:rPr>
          <w:b w:val="0"/>
          <w:i w:val="0"/>
        </w:rPr>
        <w:t xml:space="preserve">; </w:t>
      </w:r>
      <w:hyperlink w:anchor="latin-record-0498">
        <w:r>
          <w:rPr>
            <w:color w:val="000000"/>
          </w:rPr>
          <w:t xml:space="preserve">habitus — condition of the whole</w:t>
        </w:r>
      </w:hyperlink>
      <w:r>
        <w:rPr>
          <w:b w:val="0"/>
          <w:i w:val="0"/>
        </w:rPr>
        <w:t xml:space="preserve">; </w:t>
      </w:r>
      <w:hyperlink w:anchor="latin-record-0754">
        <w:r>
          <w:rPr>
            <w:color w:val="000000"/>
          </w:rPr>
          <w:t xml:space="preserve">neglegere</w:t>
        </w:r>
      </w:hyperlink>
      <w:r>
        <w:rPr>
          <w:b w:val="0"/>
          <w:i w:val="0"/>
        </w:rPr>
        <w:t xml:space="preserve">; </w:t>
      </w:r>
      <w:hyperlink w:anchor="greek-record-13">
        <w:r>
          <w:rPr>
            <w:color w:val="000000"/>
          </w:rPr>
          <w:t xml:space="preserve">Begetter beginning and end</w:t>
        </w:r>
      </w:hyperlink>
      <w:r>
        <w:rPr>
          <w:b w:val="0"/>
          <w:i w:val="0"/>
        </w:rPr>
        <w:t>.</w:t>
      </w:r>
    </w:p>
    <w:p>
      <w:pPr>
        <w:widowControl/>
      </w:pPr>
      <w:bookmarkStart w:id="1927" w:name="passage-ii-13-22"/>
      <w:bookmarkEnd w:id="1927"/>
      <w:r>
        <w:rPr>
          <w:b/>
          <w:i w:val="0"/>
        </w:rPr>
        <w:t>II.13.22</w:t>
      </w:r>
      <w:r>
        <w:rPr>
          <w:b/>
          <w:i w:val="0"/>
        </w:rPr>
        <w:t>, source pp. 230–231.</w:t>
      </w:r>
      <w:r>
        <w:rPr>
          <w:b w:val="0"/>
          <w:i w:val="0"/>
        </w:rPr>
        <w:t xml:space="preserve"> Articles: </w:t>
      </w:r>
      <w:hyperlink w:anchor="life">
        <w:r>
          <w:rPr>
            <w:color w:val="000000"/>
          </w:rPr>
          <w:t xml:space="preserve">Life</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rovidence">
        <w:r>
          <w:rPr>
            <w:color w:val="000000"/>
          </w:rPr>
          <w:t xml:space="preserve">Providence</w:t>
        </w:r>
      </w:hyperlink>
      <w:r>
        <w:rPr>
          <w:b w:val="0"/>
          <w:i w:val="0"/>
        </w:rPr>
        <w:t xml:space="preserve">. Vocabulary: </w:t>
      </w:r>
      <w:hyperlink w:anchor="latin-record-0814">
        <w:r>
          <w:rPr>
            <w:color w:val="000000"/>
          </w:rPr>
          <w:t xml:space="preserve">Orpheus / Orphicus</w:t>
        </w:r>
      </w:hyperlink>
      <w:r>
        <w:rPr>
          <w:b w:val="0"/>
          <w:i w:val="0"/>
        </w:rPr>
        <w:t xml:space="preserve">; </w:t>
      </w:r>
      <w:hyperlink w:anchor="greek-record-14">
        <w:r>
          <w:rPr>
            <w:color w:val="000000"/>
          </w:rPr>
          <w:t xml:space="preserve">Seeing hearing and distributing</w:t>
        </w:r>
      </w:hyperlink>
      <w:r>
        <w:rPr>
          <w:b w:val="0"/>
          <w:i w:val="0"/>
        </w:rPr>
        <w:t>.</w:t>
      </w:r>
    </w:p>
    <w:p>
      <w:pPr>
        <w:widowControl/>
      </w:pPr>
      <w:bookmarkStart w:id="1928" w:name="passage-ii-13-23"/>
      <w:bookmarkEnd w:id="1928"/>
      <w:r>
        <w:rPr>
          <w:b/>
          <w:i w:val="0"/>
        </w:rPr>
        <w:t>II.13.23</w:t>
      </w:r>
      <w:r>
        <w:rPr>
          <w:b/>
          <w:i w:val="0"/>
        </w:rPr>
        <w:t>, source pp. 232–233.</w:t>
      </w:r>
      <w:r>
        <w:rPr>
          <w:b w:val="0"/>
          <w:i w:val="0"/>
        </w:rPr>
        <w:t xml:space="preserve"> Articles: </w:t>
      </w:r>
      <w:hyperlink w:anchor="care-and-custody">
        <w:r>
          <w:rPr>
            <w:color w:val="000000"/>
          </w:rPr>
          <w:t xml:space="preserve">Care and custody</w:t>
        </w:r>
      </w:hyperlink>
      <w:r>
        <w:rPr>
          <w:b w:val="0"/>
          <w:i w:val="0"/>
        </w:rPr>
        <w:t xml:space="preserve">; </w:t>
      </w:r>
      <w:hyperlink w:anchor="life">
        <w:r>
          <w:rPr>
            <w:color w:val="000000"/>
          </w:rPr>
          <w:t xml:space="preserve">Life</w:t>
        </w:r>
      </w:hyperlink>
      <w:r>
        <w:rPr>
          <w:b w:val="0"/>
          <w:i w:val="0"/>
        </w:rPr>
        <w:t xml:space="preserve">; </w:t>
      </w:r>
      <w:hyperlink w:anchor="need-and-sufficiency">
        <w:r>
          <w:rPr>
            <w:color w:val="000000"/>
          </w:rPr>
          <w:t xml:space="preserve">Need and sufficiency</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rovidence">
        <w:r>
          <w:rPr>
            <w:color w:val="000000"/>
          </w:rPr>
          <w:t xml:space="preserve">Providence</w:t>
        </w:r>
      </w:hyperlink>
      <w:r>
        <w:rPr>
          <w:b w:val="0"/>
          <w:i w:val="0"/>
        </w:rPr>
        <w:t xml:space="preserve">. Vocabulary: </w:t>
      </w:r>
      <w:hyperlink w:anchor="latin-record-0203">
        <w:r>
          <w:rPr>
            <w:color w:val="000000"/>
          </w:rPr>
          <w:t xml:space="preserve">comparare</w:t>
        </w:r>
      </w:hyperlink>
      <w:r>
        <w:rPr>
          <w:b w:val="0"/>
          <w:i w:val="0"/>
        </w:rPr>
        <w:t xml:space="preserve">; </w:t>
      </w:r>
      <w:hyperlink w:anchor="latin-record-0222">
        <w:r>
          <w:rPr>
            <w:color w:val="000000"/>
          </w:rPr>
          <w:t xml:space="preserve">concinere / conducere</w:t>
        </w:r>
      </w:hyperlink>
      <w:r>
        <w:rPr>
          <w:b w:val="0"/>
          <w:i w:val="0"/>
        </w:rPr>
        <w:t xml:space="preserve">; </w:t>
      </w:r>
      <w:hyperlink w:anchor="latin-record-0285">
        <w:r>
          <w:rPr>
            <w:color w:val="000000"/>
          </w:rPr>
          <w:t xml:space="preserve">culpare / deformis</w:t>
        </w:r>
      </w:hyperlink>
      <w:r>
        <w:rPr>
          <w:b w:val="0"/>
          <w:i w:val="0"/>
        </w:rPr>
        <w:t xml:space="preserve">; </w:t>
      </w:r>
      <w:hyperlink w:anchor="latin-record-0730">
        <w:r>
          <w:rPr>
            <w:color w:val="000000"/>
          </w:rPr>
          <w:t xml:space="preserve">mundus / universum</w:t>
        </w:r>
      </w:hyperlink>
      <w:r>
        <w:rPr>
          <w:b w:val="0"/>
          <w:i w:val="0"/>
        </w:rPr>
        <w:t xml:space="preserve">; </w:t>
      </w:r>
      <w:hyperlink w:anchor="latin-record-0823">
        <w:r>
          <w:rPr>
            <w:color w:val="000000"/>
          </w:rPr>
          <w:t xml:space="preserve">pars / totum</w:t>
        </w:r>
      </w:hyperlink>
      <w:r>
        <w:rPr>
          <w:b w:val="0"/>
          <w:i w:val="0"/>
        </w:rPr>
        <w:t xml:space="preserve">; </w:t>
      </w:r>
      <w:hyperlink w:anchor="latin-record-0828">
        <w:r>
          <w:rPr>
            <w:color w:val="000000"/>
          </w:rPr>
          <w:t xml:space="preserve">particula / particularis</w:t>
        </w:r>
      </w:hyperlink>
      <w:r>
        <w:rPr>
          <w:b w:val="0"/>
          <w:i w:val="0"/>
        </w:rPr>
        <w:t xml:space="preserve">; </w:t>
      </w:r>
      <w:hyperlink w:anchor="latin-record-0857">
        <w:r>
          <w:rPr>
            <w:color w:val="000000"/>
          </w:rPr>
          <w:t xml:space="preserve">perfectus / perficere</w:t>
        </w:r>
      </w:hyperlink>
      <w:r>
        <w:rPr>
          <w:b w:val="0"/>
          <w:i w:val="0"/>
        </w:rPr>
        <w:t>.</w:t>
      </w:r>
    </w:p>
    <w:p>
      <w:pPr>
        <w:widowControl/>
      </w:pPr>
      <w:bookmarkStart w:id="1929" w:name="passage-ii-13-24"/>
      <w:bookmarkEnd w:id="1929"/>
      <w:r>
        <w:rPr>
          <w:b/>
          <w:i w:val="0"/>
        </w:rPr>
        <w:t>II.13.24</w:t>
      </w:r>
      <w:r>
        <w:rPr>
          <w:b/>
          <w:i w:val="0"/>
        </w:rPr>
        <w:t>, source pp. 232–233.</w:t>
      </w:r>
      <w:r>
        <w:rPr>
          <w:b w:val="0"/>
          <w:i w:val="0"/>
        </w:rPr>
        <w:t xml:space="preserve"> Articles: </w:t>
      </w:r>
      <w:hyperlink w:anchor="beauty-and-fittingness">
        <w:r>
          <w:rPr>
            <w:color w:val="000000"/>
          </w:rPr>
          <w:t xml:space="preserve">Beauty and fittingness</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foreknowledge">
        <w:r>
          <w:rPr>
            <w:color w:val="000000"/>
          </w:rPr>
          <w:t xml:space="preserve">Foreknowledge</w:t>
        </w:r>
      </w:hyperlink>
      <w:r>
        <w:rPr>
          <w:b w:val="0"/>
          <w:i w:val="0"/>
        </w:rPr>
        <w:t xml:space="preserve">; </w:t>
      </w:r>
      <w:hyperlink w:anchor="freedom-and-necessity">
        <w:r>
          <w:rPr>
            <w:color w:val="000000"/>
          </w:rPr>
          <w:t xml:space="preserve">Freedom and necessity</w:t>
        </w:r>
      </w:hyperlink>
      <w:r>
        <w:rPr>
          <w:b w:val="0"/>
          <w:i w:val="0"/>
        </w:rPr>
        <w:t xml:space="preserve">; </w:t>
      </w:r>
      <w:hyperlink w:anchor="life">
        <w:r>
          <w:rPr>
            <w:color w:val="000000"/>
          </w:rPr>
          <w:t xml:space="preserve">Life</w:t>
        </w:r>
      </w:hyperlink>
      <w:r>
        <w:rPr>
          <w:b w:val="0"/>
          <w:i w:val="0"/>
        </w:rPr>
        <w:t xml:space="preserve">; </w:t>
      </w:r>
      <w:hyperlink w:anchor="order-and-harmony">
        <w:r>
          <w:rPr>
            <w:color w:val="000000"/>
          </w:rPr>
          <w:t xml:space="preserve">Order and harmony</w:t>
        </w:r>
      </w:hyperlink>
      <w:r>
        <w:rPr>
          <w:b w:val="0"/>
          <w:i w:val="0"/>
        </w:rPr>
        <w:t xml:space="preserve">; </w:t>
      </w:r>
      <w:hyperlink w:anchor="perfection">
        <w:r>
          <w:rPr>
            <w:color w:val="000000"/>
          </w:rPr>
          <w:t xml:space="preserve">Perfection</w:t>
        </w:r>
      </w:hyperlink>
      <w:r>
        <w:rPr>
          <w:b w:val="0"/>
          <w:i w:val="0"/>
        </w:rPr>
        <w:t xml:space="preserve">; </w:t>
      </w:r>
      <w:hyperlink w:anchor="providence">
        <w:r>
          <w:rPr>
            <w:color w:val="000000"/>
          </w:rPr>
          <w:t xml:space="preserve">Providence</w:t>
        </w:r>
      </w:hyperlink>
      <w:r>
        <w:rPr>
          <w:b w:val="0"/>
          <w:i w:val="0"/>
        </w:rPr>
        <w:t xml:space="preserve">; </w:t>
      </w:r>
      <w:hyperlink w:anchor="will">
        <w:r>
          <w:rPr>
            <w:color w:val="000000"/>
          </w:rPr>
          <w:t xml:space="preserve">Will</w:t>
        </w:r>
      </w:hyperlink>
      <w:r>
        <w:rPr>
          <w:b w:val="0"/>
          <w:i w:val="0"/>
        </w:rPr>
        <w:t xml:space="preserve">. Vocabulary: </w:t>
      </w:r>
      <w:hyperlink w:anchor="latin-record-0285">
        <w:r>
          <w:rPr>
            <w:color w:val="000000"/>
          </w:rPr>
          <w:t xml:space="preserve">culpare / deformis</w:t>
        </w:r>
      </w:hyperlink>
      <w:r>
        <w:rPr>
          <w:b w:val="0"/>
          <w:i w:val="0"/>
        </w:rPr>
        <w:t xml:space="preserve">; </w:t>
      </w:r>
      <w:hyperlink w:anchor="latin-record-0634">
        <w:r>
          <w:rPr>
            <w:color w:val="000000"/>
          </w:rPr>
          <w:t xml:space="preserve">leges / respublica / regnum / Critias (titles)</w:t>
        </w:r>
      </w:hyperlink>
      <w:r>
        <w:rPr>
          <w:b w:val="0"/>
          <w:i w:val="0"/>
        </w:rPr>
        <w:t xml:space="preserve">; </w:t>
      </w:r>
      <w:hyperlink w:anchor="latin-record-0691">
        <w:r>
          <w:rPr>
            <w:color w:val="000000"/>
          </w:rPr>
          <w:t xml:space="preserve">Mercurius — Hermetic authority</w:t>
        </w:r>
      </w:hyperlink>
      <w:r>
        <w:rPr>
          <w:b w:val="0"/>
          <w:i w:val="0"/>
        </w:rPr>
        <w:t xml:space="preserve">; </w:t>
      </w:r>
      <w:hyperlink w:anchor="latin-record-0780">
        <w:r>
          <w:rPr>
            <w:color w:val="000000"/>
          </w:rPr>
          <w:t xml:space="preserve">nutrix</w:t>
        </w:r>
      </w:hyperlink>
      <w:r>
        <w:rPr>
          <w:b w:val="0"/>
          <w:i w:val="0"/>
        </w:rPr>
        <w:t xml:space="preserve">; </w:t>
      </w:r>
      <w:hyperlink w:anchor="latin-record-0814">
        <w:r>
          <w:rPr>
            <w:color w:val="000000"/>
          </w:rPr>
          <w:t xml:space="preserve">Orpheus / Orphicus</w:t>
        </w:r>
      </w:hyperlink>
      <w:r>
        <w:rPr>
          <w:b w:val="0"/>
          <w:i w:val="0"/>
        </w:rPr>
        <w:t xml:space="preserve">; </w:t>
      </w:r>
      <w:hyperlink w:anchor="latin-record-0823">
        <w:r>
          <w:rPr>
            <w:color w:val="000000"/>
          </w:rPr>
          <w:t xml:space="preserve">pars / totum</w:t>
        </w:r>
      </w:hyperlink>
      <w:r>
        <w:rPr>
          <w:b w:val="0"/>
          <w:i w:val="0"/>
        </w:rPr>
        <w:t xml:space="preserve">; </w:t>
      </w:r>
      <w:hyperlink w:anchor="latin-record-0880">
        <w:r>
          <w:rPr>
            <w:color w:val="000000"/>
          </w:rPr>
          <w:t xml:space="preserve">Plato / Platonici</w:t>
        </w:r>
      </w:hyperlink>
      <w:r>
        <w:rPr>
          <w:b w:val="0"/>
          <w:i w:val="0"/>
        </w:rPr>
        <w:t xml:space="preserve">; </w:t>
      </w:r>
      <w:hyperlink w:anchor="latin-record-0957">
        <w:r>
          <w:rPr>
            <w:color w:val="000000"/>
          </w:rPr>
          <w:t xml:space="preserve">propitius / punire</w:t>
        </w:r>
      </w:hyperlink>
      <w:r>
        <w:rPr>
          <w:b w:val="0"/>
          <w:i w:val="0"/>
        </w:rPr>
        <w:t xml:space="preserve">; </w:t>
      </w:r>
      <w:hyperlink w:anchor="greek-record-15">
        <w:r>
          <w:rPr>
            <w:color w:val="000000"/>
          </w:rPr>
          <w:t xml:space="preserve">Everlasting life and immortal providence</w:t>
        </w:r>
      </w:hyperlink>
      <w:r>
        <w:rPr>
          <w:b w:val="0"/>
          <w:i w:val="0"/>
        </w:rPr>
        <w:t>.</w:t>
      </w:r>
    </w:p>
    <w:p>
      <w:pPr>
        <w:widowControl/>
      </w:pPr>
      <w:bookmarkStart w:id="1930" w:name="passage-ii-13-25"/>
      <w:bookmarkEnd w:id="1930"/>
      <w:r>
        <w:rPr>
          <w:b/>
          <w:i w:val="0"/>
        </w:rPr>
        <w:t>II.13.25</w:t>
      </w:r>
      <w:r>
        <w:rPr>
          <w:b/>
          <w:i w:val="0"/>
        </w:rPr>
        <w:t>, source pp. 234–235.</w:t>
      </w:r>
      <w:r>
        <w:rPr>
          <w:b w:val="0"/>
          <w:i w:val="0"/>
        </w:rPr>
        <w:t xml:space="preserve"> Articles: </w:t>
      </w:r>
      <w:hyperlink w:anchor="choice-and-free-judgment">
        <w:r>
          <w:rPr>
            <w:color w:val="000000"/>
          </w:rPr>
          <w:t xml:space="preserve">Choice and free judgment</w:t>
        </w:r>
      </w:hyperlink>
      <w:r>
        <w:rPr>
          <w:b w:val="0"/>
          <w:i w:val="0"/>
        </w:rPr>
        <w:t xml:space="preserve">; </w:t>
      </w:r>
      <w:hyperlink w:anchor="contingency">
        <w:r>
          <w:rPr>
            <w:color w:val="000000"/>
          </w:rPr>
          <w:t xml:space="preserve">Contingency</w:t>
        </w:r>
      </w:hyperlink>
      <w:r>
        <w:rPr>
          <w:b w:val="0"/>
          <w:i w:val="0"/>
        </w:rPr>
        <w:t xml:space="preserve">; </w:t>
      </w:r>
      <w:hyperlink w:anchor="foreknowledge">
        <w:r>
          <w:rPr>
            <w:color w:val="000000"/>
          </w:rPr>
          <w:t xml:space="preserve">Foreknowledge</w:t>
        </w:r>
      </w:hyperlink>
      <w:r>
        <w:rPr>
          <w:b w:val="0"/>
          <w:i w:val="0"/>
        </w:rPr>
        <w:t xml:space="preserve">; </w:t>
      </w:r>
      <w:hyperlink w:anchor="freedom-and-necessity">
        <w:r>
          <w:rPr>
            <w:color w:val="000000"/>
          </w:rPr>
          <w:t xml:space="preserve">Freedom and necessity</w:t>
        </w:r>
      </w:hyperlink>
      <w:r>
        <w:rPr>
          <w:b w:val="0"/>
          <w:i w:val="0"/>
        </w:rPr>
        <w:t xml:space="preserve">; </w:t>
      </w:r>
      <w:hyperlink w:anchor="providence">
        <w:r>
          <w:rPr>
            <w:color w:val="000000"/>
          </w:rPr>
          <w:t xml:space="preserve">Providence</w:t>
        </w:r>
      </w:hyperlink>
      <w:r>
        <w:rPr>
          <w:b w:val="0"/>
          <w:i w:val="0"/>
        </w:rPr>
        <w:t xml:space="preserve">; </w:t>
      </w:r>
      <w:hyperlink w:anchor="soul">
        <w:r>
          <w:rPr>
            <w:color w:val="000000"/>
          </w:rPr>
          <w:t xml:space="preserve">Soul</w:t>
        </w:r>
      </w:hyperlink>
      <w:r>
        <w:rPr>
          <w:b w:val="0"/>
          <w:i w:val="0"/>
        </w:rPr>
        <w:t xml:space="preserve">; </w:t>
      </w:r>
      <w:hyperlink w:anchor="will">
        <w:r>
          <w:rPr>
            <w:color w:val="000000"/>
          </w:rPr>
          <w:t xml:space="preserve">Will</w:t>
        </w:r>
      </w:hyperlink>
      <w:r>
        <w:rPr>
          <w:b w:val="0"/>
          <w:i w:val="0"/>
        </w:rPr>
        <w:t xml:space="preserve">. Vocabulary: </w:t>
      </w:r>
      <w:hyperlink w:anchor="latin-record-0706">
        <w:r>
          <w:rPr>
            <w:color w:val="000000"/>
          </w:rPr>
          <w:t xml:space="preserve">modus</w:t>
        </w:r>
      </w:hyperlink>
      <w:r>
        <w:rPr>
          <w:b w:val="0"/>
          <w:i w:val="0"/>
        </w:rPr>
        <w:t xml:space="preserve">; </w:t>
      </w:r>
      <w:hyperlink w:anchor="latin-record-0912">
        <w:r>
          <w:rPr>
            <w:color w:val="000000"/>
          </w:rPr>
          <w:t xml:space="preserve">praescientia / praevisio</w:t>
        </w:r>
      </w:hyperlink>
      <w:r>
        <w:rPr>
          <w:b w:val="0"/>
          <w:i w:val="0"/>
        </w:rPr>
        <w:t xml:space="preserve">; </w:t>
      </w:r>
      <w:hyperlink w:anchor="latin-record-1074">
        <w:r>
          <w:rPr>
            <w:color w:val="000000"/>
          </w:rPr>
          <w:t xml:space="preserve">scribere</w:t>
        </w:r>
      </w:hyperlink>
      <w:r>
        <w:rPr>
          <w:b w:val="0"/>
          <w:i w:val="0"/>
        </w:rPr>
        <w:t>.</w:t>
      </w:r>
    </w:p>
    <w:p>
      <w:pPr>
        <w:widowControl/>
      </w:pPr>
      <w:bookmarkStart w:id="1931" w:name="passage-ii-13-26"/>
      <w:bookmarkEnd w:id="1931"/>
      <w:r>
        <w:rPr>
          <w:b/>
          <w:i w:val="0"/>
        </w:rPr>
        <w:t>II.13.26</w:t>
      </w:r>
      <w:r>
        <w:rPr>
          <w:b/>
          <w:i w:val="0"/>
        </w:rPr>
        <w:t>, source pp. 234–235.</w:t>
      </w:r>
      <w:r>
        <w:rPr>
          <w:b w:val="0"/>
          <w:i w:val="0"/>
        </w:rPr>
        <w:t xml:space="preserve"> Articles: </w:t>
      </w:r>
      <w:hyperlink w:anchor="archer-and-target">
        <w:r>
          <w:rPr>
            <w:color w:val="000000"/>
          </w:rPr>
          <w:t xml:space="preserve">Archer and target</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contingency">
        <w:r>
          <w:rPr>
            <w:color w:val="000000"/>
          </w:rPr>
          <w:t xml:space="preserve">Contingency</w:t>
        </w:r>
      </w:hyperlink>
      <w:r>
        <w:rPr>
          <w:b w:val="0"/>
          <w:i w:val="0"/>
        </w:rPr>
        <w:t xml:space="preserve">; </w:t>
      </w:r>
      <w:hyperlink w:anchor="foreknowledge">
        <w:r>
          <w:rPr>
            <w:color w:val="000000"/>
          </w:rPr>
          <w:t xml:space="preserve">Foreknowledge</w:t>
        </w:r>
      </w:hyperlink>
      <w:r>
        <w:rPr>
          <w:b w:val="0"/>
          <w:i w:val="0"/>
        </w:rPr>
        <w:t xml:space="preserve">; </w:t>
      </w:r>
      <w:hyperlink w:anchor="freedom-and-necessity">
        <w:r>
          <w:rPr>
            <w:color w:val="000000"/>
          </w:rPr>
          <w:t xml:space="preserve">Freedom and necessity</w:t>
        </w:r>
      </w:hyperlink>
      <w:r>
        <w:rPr>
          <w:b w:val="0"/>
          <w:i w:val="0"/>
        </w:rPr>
        <w:t xml:space="preserve">; </w:t>
      </w:r>
      <w:hyperlink w:anchor="persuasion-and-compulsion">
        <w:r>
          <w:rPr>
            <w:color w:val="000000"/>
          </w:rPr>
          <w:t xml:space="preserve">Persuasion and compulsion</w:t>
        </w:r>
      </w:hyperlink>
      <w:r>
        <w:rPr>
          <w:b w:val="0"/>
          <w:i w:val="0"/>
        </w:rPr>
        <w:t xml:space="preserve">; </w:t>
      </w:r>
      <w:hyperlink w:anchor="providence">
        <w:r>
          <w:rPr>
            <w:color w:val="000000"/>
          </w:rPr>
          <w:t xml:space="preserve">Providence</w:t>
        </w:r>
      </w:hyperlink>
      <w:r>
        <w:rPr>
          <w:b w:val="0"/>
          <w:i w:val="0"/>
        </w:rPr>
        <w:t xml:space="preserve">; </w:t>
      </w:r>
      <w:hyperlink w:anchor="soul">
        <w:r>
          <w:rPr>
            <w:color w:val="000000"/>
          </w:rPr>
          <w:t xml:space="preserve">Soul</w:t>
        </w:r>
      </w:hyperlink>
      <w:r>
        <w:rPr>
          <w:b w:val="0"/>
          <w:i w:val="0"/>
        </w:rPr>
        <w:t xml:space="preserve">; </w:t>
      </w:r>
      <w:hyperlink w:anchor="turning-and-direction">
        <w:r>
          <w:rPr>
            <w:color w:val="000000"/>
          </w:rPr>
          <w:t xml:space="preserve">Turning and direction</w:t>
        </w:r>
      </w:hyperlink>
      <w:r>
        <w:rPr>
          <w:b w:val="0"/>
          <w:i w:val="0"/>
        </w:rPr>
        <w:t xml:space="preserve">; </w:t>
      </w:r>
      <w:hyperlink w:anchor="will">
        <w:r>
          <w:rPr>
            <w:color w:val="000000"/>
          </w:rPr>
          <w:t xml:space="preserve">Will</w:t>
        </w:r>
      </w:hyperlink>
      <w:r>
        <w:rPr>
          <w:b w:val="0"/>
          <w:i w:val="0"/>
        </w:rPr>
        <w:t xml:space="preserve">. Vocabulary: </w:t>
      </w:r>
      <w:hyperlink w:anchor="latin-record-0054">
        <w:r>
          <w:rPr>
            <w:color w:val="000000"/>
          </w:rPr>
          <w:t xml:space="preserve">allicere / cogere / persuadere</w:t>
        </w:r>
      </w:hyperlink>
      <w:r>
        <w:rPr>
          <w:b w:val="0"/>
          <w:i w:val="0"/>
        </w:rPr>
        <w:t xml:space="preserve">; </w:t>
      </w:r>
      <w:hyperlink w:anchor="latin-record-0069">
        <w:r>
          <w:rPr>
            <w:color w:val="000000"/>
          </w:rPr>
          <w:t xml:space="preserve">anima / animus</w:t>
        </w:r>
      </w:hyperlink>
      <w:r>
        <w:rPr>
          <w:b w:val="0"/>
          <w:i w:val="0"/>
        </w:rPr>
        <w:t xml:space="preserve">; </w:t>
      </w:r>
      <w:hyperlink w:anchor="latin-record-0744">
        <w:r>
          <w:rPr>
            <w:color w:val="000000"/>
          </w:rPr>
          <w:t xml:space="preserve">naturalis / natura</w:t>
        </w:r>
      </w:hyperlink>
      <w:r>
        <w:rPr>
          <w:b w:val="0"/>
          <w:i w:val="0"/>
        </w:rPr>
        <w:t xml:space="preserve">; </w:t>
      </w:r>
      <w:hyperlink w:anchor="latin-record-0794">
        <w:r>
          <w:rPr>
            <w:color w:val="000000"/>
          </w:rPr>
          <w:t xml:space="preserve">omnis / cunctus / singulus</w:t>
        </w:r>
      </w:hyperlink>
      <w:r>
        <w:rPr>
          <w:b w:val="0"/>
          <w:i w:val="0"/>
        </w:rPr>
        <w:t xml:space="preserve">; </w:t>
      </w:r>
      <w:hyperlink w:anchor="latin-record-0981">
        <w:r>
          <w:rPr>
            <w:color w:val="000000"/>
          </w:rPr>
          <w:t xml:space="preserve">pulsare</w:t>
        </w:r>
      </w:hyperlink>
      <w:r>
        <w:rPr>
          <w:b w:val="0"/>
          <w:i w:val="0"/>
        </w:rPr>
        <w:t xml:space="preserve">; </w:t>
      </w:r>
      <w:hyperlink w:anchor="latin-record-1204">
        <w:r>
          <w:rPr>
            <w:color w:val="000000"/>
          </w:rPr>
          <w:t xml:space="preserve">tractus / trahere</w:t>
        </w:r>
      </w:hyperlink>
      <w:r>
        <w:rPr>
          <w:b w:val="0"/>
          <w:i w:val="0"/>
        </w:rPr>
        <w:t>.</w:t>
      </w:r>
    </w:p>
    <w:p>
      <w:pPr>
        <w:widowControl/>
      </w:pPr>
      <w:bookmarkStart w:id="1932" w:name="passage-ii-13-27"/>
      <w:bookmarkEnd w:id="1932"/>
      <w:r>
        <w:rPr>
          <w:b/>
          <w:i w:val="0"/>
        </w:rPr>
        <w:t>II.13.27</w:t>
      </w:r>
      <w:r>
        <w:rPr>
          <w:b/>
          <w:i w:val="0"/>
        </w:rPr>
        <w:t>, source pp. 234–235.</w:t>
      </w:r>
      <w:r>
        <w:rPr>
          <w:b w:val="0"/>
          <w:i w:val="0"/>
        </w:rPr>
        <w:t xml:space="preserve"> Articles: </w:t>
      </w:r>
      <w:hyperlink w:anchor="choice-and-free-judgment">
        <w:r>
          <w:rPr>
            <w:color w:val="000000"/>
          </w:rPr>
          <w:t xml:space="preserve">Choice and free judgment</w:t>
        </w:r>
      </w:hyperlink>
      <w:r>
        <w:rPr>
          <w:b w:val="0"/>
          <w:i w:val="0"/>
        </w:rPr>
        <w:t xml:space="preserve">; </w:t>
      </w:r>
      <w:hyperlink w:anchor="contingency">
        <w:r>
          <w:rPr>
            <w:color w:val="000000"/>
          </w:rPr>
          <w:t xml:space="preserve">Contingency</w:t>
        </w:r>
      </w:hyperlink>
      <w:r>
        <w:rPr>
          <w:b w:val="0"/>
          <w:i w:val="0"/>
        </w:rPr>
        <w:t xml:space="preserve">; </w:t>
      </w:r>
      <w:hyperlink w:anchor="foreknowledge">
        <w:r>
          <w:rPr>
            <w:color w:val="000000"/>
          </w:rPr>
          <w:t xml:space="preserve">Foreknowledge</w:t>
        </w:r>
      </w:hyperlink>
      <w:r>
        <w:rPr>
          <w:b w:val="0"/>
          <w:i w:val="0"/>
        </w:rPr>
        <w:t xml:space="preserve">; </w:t>
      </w:r>
      <w:hyperlink w:anchor="freedom-and-necessity">
        <w:r>
          <w:rPr>
            <w:color w:val="000000"/>
          </w:rPr>
          <w:t xml:space="preserve">Freedom and necessity</w:t>
        </w:r>
      </w:hyperlink>
      <w:r>
        <w:rPr>
          <w:b w:val="0"/>
          <w:i w:val="0"/>
        </w:rPr>
        <w:t xml:space="preserve">; </w:t>
      </w:r>
      <w:hyperlink w:anchor="persuasion-and-compulsion">
        <w:r>
          <w:rPr>
            <w:color w:val="000000"/>
          </w:rPr>
          <w:t xml:space="preserve">Persuasion and compulsion</w:t>
        </w:r>
      </w:hyperlink>
      <w:r>
        <w:rPr>
          <w:b w:val="0"/>
          <w:i w:val="0"/>
        </w:rPr>
        <w:t xml:space="preserve">; </w:t>
      </w:r>
      <w:hyperlink w:anchor="providence">
        <w:r>
          <w:rPr>
            <w:color w:val="000000"/>
          </w:rPr>
          <w:t xml:space="preserve">Providence</w:t>
        </w:r>
      </w:hyperlink>
      <w:r>
        <w:rPr>
          <w:b w:val="0"/>
          <w:i w:val="0"/>
        </w:rPr>
        <w:t xml:space="preserve">; </w:t>
      </w:r>
      <w:hyperlink w:anchor="soul">
        <w:r>
          <w:rPr>
            <w:color w:val="000000"/>
          </w:rPr>
          <w:t xml:space="preserve">Soul</w:t>
        </w:r>
      </w:hyperlink>
      <w:r>
        <w:rPr>
          <w:b w:val="0"/>
          <w:i w:val="0"/>
        </w:rPr>
        <w:t xml:space="preserve">; </w:t>
      </w:r>
      <w:hyperlink w:anchor="will">
        <w:r>
          <w:rPr>
            <w:color w:val="000000"/>
          </w:rPr>
          <w:t xml:space="preserve">Will</w:t>
        </w:r>
      </w:hyperlink>
      <w:r>
        <w:rPr>
          <w:b w:val="0"/>
          <w:i w:val="0"/>
        </w:rPr>
        <w:t xml:space="preserve">. Vocabulary: </w:t>
      </w:r>
      <w:hyperlink w:anchor="latin-record-0697">
        <w:r>
          <w:rPr>
            <w:color w:val="000000"/>
          </w:rPr>
          <w:t xml:space="preserve">metus / persuasio</w:t>
        </w:r>
      </w:hyperlink>
      <w:r>
        <w:rPr>
          <w:b w:val="0"/>
          <w:i w:val="0"/>
        </w:rPr>
        <w:t xml:space="preserve">; </w:t>
      </w:r>
      <w:hyperlink w:anchor="greek-record-16">
        <w:r>
          <w:rPr>
            <w:color w:val="000000"/>
          </w:rPr>
          <w:t xml:space="preserve">Persuasion rather than fear</w:t>
        </w:r>
      </w:hyperlink>
      <w:r>
        <w:rPr>
          <w:b w:val="0"/>
          <w:i w:val="0"/>
        </w:rPr>
        <w:t>.</w:t>
      </w:r>
    </w:p>
    <w:p>
      <w:pPr>
        <w:widowControl/>
      </w:pPr>
      <w:bookmarkStart w:id="1933" w:name="passage-ii-13-28"/>
      <w:bookmarkEnd w:id="1933"/>
      <w:r>
        <w:rPr>
          <w:b/>
          <w:i w:val="0"/>
        </w:rPr>
        <w:t>II.13.28</w:t>
      </w:r>
      <w:r>
        <w:rPr>
          <w:b/>
          <w:i w:val="0"/>
        </w:rPr>
        <w:t>, source pp. 234–235.</w:t>
      </w:r>
      <w:r>
        <w:rPr>
          <w:b w:val="0"/>
          <w:i w:val="0"/>
        </w:rPr>
        <w:t xml:space="preserve"> Articles: </w:t>
      </w:r>
      <w:hyperlink w:anchor="choice-and-free-judgment">
        <w:r>
          <w:rPr>
            <w:color w:val="000000"/>
          </w:rPr>
          <w:t xml:space="preserve">Choice and free judgment</w:t>
        </w:r>
      </w:hyperlink>
      <w:r>
        <w:rPr>
          <w:b w:val="0"/>
          <w:i w:val="0"/>
        </w:rPr>
        <w:t xml:space="preserve">; </w:t>
      </w:r>
      <w:hyperlink w:anchor="contingency">
        <w:r>
          <w:rPr>
            <w:color w:val="000000"/>
          </w:rPr>
          <w:t xml:space="preserve">Contingency</w:t>
        </w:r>
      </w:hyperlink>
      <w:r>
        <w:rPr>
          <w:b w:val="0"/>
          <w:i w:val="0"/>
        </w:rPr>
        <w:t xml:space="preserve">; </w:t>
      </w:r>
      <w:hyperlink w:anchor="foreknowledge">
        <w:r>
          <w:rPr>
            <w:color w:val="000000"/>
          </w:rPr>
          <w:t xml:space="preserve">Foreknowledge</w:t>
        </w:r>
      </w:hyperlink>
      <w:r>
        <w:rPr>
          <w:b w:val="0"/>
          <w:i w:val="0"/>
        </w:rPr>
        <w:t xml:space="preserve">; </w:t>
      </w:r>
      <w:hyperlink w:anchor="freedom-and-necessity">
        <w:r>
          <w:rPr>
            <w:color w:val="000000"/>
          </w:rPr>
          <w:t xml:space="preserve">Freedom and necessity</w:t>
        </w:r>
      </w:hyperlink>
      <w:r>
        <w:rPr>
          <w:b w:val="0"/>
          <w:i w:val="0"/>
        </w:rPr>
        <w:t xml:space="preserve">; </w:t>
      </w:r>
      <w:hyperlink w:anchor="persuasion-and-compulsion">
        <w:r>
          <w:rPr>
            <w:color w:val="000000"/>
          </w:rPr>
          <w:t xml:space="preserve">Persuasion and compulsion</w:t>
        </w:r>
      </w:hyperlink>
      <w:r>
        <w:rPr>
          <w:b w:val="0"/>
          <w:i w:val="0"/>
        </w:rPr>
        <w:t xml:space="preserve">; </w:t>
      </w:r>
      <w:hyperlink w:anchor="providence">
        <w:r>
          <w:rPr>
            <w:color w:val="000000"/>
          </w:rPr>
          <w:t xml:space="preserve">Providence</w:t>
        </w:r>
      </w:hyperlink>
      <w:r>
        <w:rPr>
          <w:b w:val="0"/>
          <w:i w:val="0"/>
        </w:rPr>
        <w:t xml:space="preserve">; </w:t>
      </w:r>
      <w:hyperlink w:anchor="soul">
        <w:r>
          <w:rPr>
            <w:color w:val="000000"/>
          </w:rPr>
          <w:t xml:space="preserve">Soul</w:t>
        </w:r>
      </w:hyperlink>
      <w:r>
        <w:rPr>
          <w:b w:val="0"/>
          <w:i w:val="0"/>
        </w:rPr>
        <w:t xml:space="preserve">; </w:t>
      </w:r>
      <w:hyperlink w:anchor="will">
        <w:r>
          <w:rPr>
            <w:color w:val="000000"/>
          </w:rPr>
          <w:t xml:space="preserve">Will</w:t>
        </w:r>
      </w:hyperlink>
      <w:r>
        <w:rPr>
          <w:b w:val="0"/>
          <w:i w:val="0"/>
        </w:rPr>
        <w:t xml:space="preserve">. Vocabulary: </w:t>
      </w:r>
      <w:hyperlink w:anchor="latin-record-0054">
        <w:r>
          <w:rPr>
            <w:color w:val="000000"/>
          </w:rPr>
          <w:t xml:space="preserve">allicere / cogere / persuadere</w:t>
        </w:r>
      </w:hyperlink>
      <w:r>
        <w:rPr>
          <w:b w:val="0"/>
          <w:i w:val="0"/>
        </w:rPr>
        <w:t xml:space="preserve">; </w:t>
      </w:r>
      <w:hyperlink w:anchor="latin-record-1239">
        <w:r>
          <w:rPr>
            <w:color w:val="000000"/>
          </w:rPr>
          <w:t xml:space="preserve">velle / nolle / malle</w:t>
        </w:r>
      </w:hyperlink>
      <w:r>
        <w:rPr>
          <w:b w:val="0"/>
          <w:i w:val="0"/>
        </w:rPr>
        <w:t>.</w:t>
      </w:r>
    </w:p>
    <w:p>
      <w:pPr>
        <w:widowControl/>
      </w:pPr>
      <w:bookmarkStart w:id="1934" w:name="passage-ii-13-29"/>
      <w:bookmarkEnd w:id="1934"/>
      <w:r>
        <w:rPr>
          <w:b/>
          <w:i w:val="0"/>
        </w:rPr>
        <w:t>II.13.29</w:t>
      </w:r>
      <w:r>
        <w:rPr>
          <w:b/>
          <w:i w:val="0"/>
        </w:rPr>
        <w:t>, source pp. 236–237.</w:t>
      </w:r>
      <w:r>
        <w:rPr>
          <w:b w:val="0"/>
          <w:i w:val="0"/>
        </w:rPr>
        <w:t xml:space="preserve"> Articles: </w:t>
      </w:r>
      <w:hyperlink w:anchor="appetite-and-desire">
        <w:r>
          <w:rPr>
            <w:color w:val="000000"/>
          </w:rPr>
          <w:t xml:space="preserve">Appetite and desire</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contingency">
        <w:r>
          <w:rPr>
            <w:color w:val="000000"/>
          </w:rPr>
          <w:t xml:space="preserve">Contingency</w:t>
        </w:r>
      </w:hyperlink>
      <w:r>
        <w:rPr>
          <w:b w:val="0"/>
          <w:i w:val="0"/>
        </w:rPr>
        <w:t xml:space="preserve">; </w:t>
      </w:r>
      <w:hyperlink w:anchor="foreknowledge">
        <w:r>
          <w:rPr>
            <w:color w:val="000000"/>
          </w:rPr>
          <w:t xml:space="preserve">Foreknowledge</w:t>
        </w:r>
      </w:hyperlink>
      <w:r>
        <w:rPr>
          <w:b w:val="0"/>
          <w:i w:val="0"/>
        </w:rPr>
        <w:t xml:space="preserve">; </w:t>
      </w:r>
      <w:hyperlink w:anchor="freedom-and-necessity">
        <w:r>
          <w:rPr>
            <w:color w:val="000000"/>
          </w:rPr>
          <w:t xml:space="preserve">Freedom and necessity</w:t>
        </w:r>
      </w:hyperlink>
      <w:r>
        <w:rPr>
          <w:b w:val="0"/>
          <w:i w:val="0"/>
        </w:rPr>
        <w:t xml:space="preserve">; </w:t>
      </w:r>
      <w:hyperlink w:anchor="object-and-adequate-object">
        <w:r>
          <w:rPr>
            <w:color w:val="000000"/>
          </w:rPr>
          <w:t xml:space="preserve">Object and adequate object</w:t>
        </w:r>
      </w:hyperlink>
      <w:r>
        <w:rPr>
          <w:b w:val="0"/>
          <w:i w:val="0"/>
        </w:rPr>
        <w:t xml:space="preserve">; </w:t>
      </w:r>
      <w:hyperlink w:anchor="providence">
        <w:r>
          <w:rPr>
            <w:color w:val="000000"/>
          </w:rPr>
          <w:t xml:space="preserve">Providence</w:t>
        </w:r>
      </w:hyperlink>
      <w:r>
        <w:rPr>
          <w:b w:val="0"/>
          <w:i w:val="0"/>
        </w:rPr>
        <w:t xml:space="preserve">; </w:t>
      </w:r>
      <w:hyperlink w:anchor="reason-and-account">
        <w:r>
          <w:rPr>
            <w:color w:val="000000"/>
          </w:rPr>
          <w:t xml:space="preserve">Reason and account</w:t>
        </w:r>
      </w:hyperlink>
      <w:r>
        <w:rPr>
          <w:b w:val="0"/>
          <w:i w:val="0"/>
        </w:rPr>
        <w:t xml:space="preserve">; </w:t>
      </w:r>
      <w:hyperlink w:anchor="soul">
        <w:r>
          <w:rPr>
            <w:color w:val="000000"/>
          </w:rPr>
          <w:t xml:space="preserve">Soul</w:t>
        </w:r>
      </w:hyperlink>
      <w:r>
        <w:rPr>
          <w:b w:val="0"/>
          <w:i w:val="0"/>
        </w:rPr>
        <w:t xml:space="preserve">; </w:t>
      </w:r>
      <w:hyperlink w:anchor="will">
        <w:r>
          <w:rPr>
            <w:color w:val="000000"/>
          </w:rPr>
          <w:t xml:space="preserve">Will</w:t>
        </w:r>
      </w:hyperlink>
      <w:r>
        <w:rPr>
          <w:b w:val="0"/>
          <w:i w:val="0"/>
        </w:rPr>
        <w:t xml:space="preserve">. Vocabulary: </w:t>
      </w:r>
      <w:hyperlink w:anchor="latin-record-0019">
        <w:r>
          <w:rPr>
            <w:color w:val="000000"/>
          </w:rPr>
          <w:t xml:space="preserve">adaequatus</w:t>
        </w:r>
      </w:hyperlink>
      <w:r>
        <w:rPr>
          <w:b w:val="0"/>
          <w:i w:val="0"/>
        </w:rPr>
        <w:t xml:space="preserve">; </w:t>
      </w:r>
      <w:hyperlink w:anchor="latin-record-0784">
        <w:r>
          <w:rPr>
            <w:color w:val="000000"/>
          </w:rPr>
          <w:t xml:space="preserve">obiectum</w:t>
        </w:r>
      </w:hyperlink>
      <w:r>
        <w:rPr>
          <w:b w:val="0"/>
          <w:i w:val="0"/>
        </w:rPr>
        <w:t xml:space="preserve">; </w:t>
      </w:r>
      <w:hyperlink w:anchor="latin-record-1231">
        <w:r>
          <w:rPr>
            <w:color w:val="000000"/>
          </w:rPr>
          <w:t xml:space="preserve">vacatio appetendi</w:t>
        </w:r>
      </w:hyperlink>
      <w:r>
        <w:rPr>
          <w:b w:val="0"/>
          <w:i w:val="0"/>
        </w:rPr>
        <w:t xml:space="preserve">; </w:t>
      </w:r>
      <w:hyperlink w:anchor="latin-record-1239">
        <w:r>
          <w:rPr>
            <w:color w:val="000000"/>
          </w:rPr>
          <w:t xml:space="preserve">velle / nolle / malle</w:t>
        </w:r>
      </w:hyperlink>
      <w:r>
        <w:rPr>
          <w:b w:val="0"/>
          <w:i w:val="0"/>
        </w:rPr>
        <w:t>.</w:t>
      </w:r>
    </w:p>
    <w:p>
      <w:pPr>
        <w:widowControl/>
      </w:pPr>
      <w:bookmarkStart w:id="1935" w:name="passage-ii-13-30"/>
      <w:bookmarkEnd w:id="1935"/>
      <w:r>
        <w:rPr>
          <w:b/>
          <w:i w:val="0"/>
        </w:rPr>
        <w:t>II.13.30</w:t>
      </w:r>
      <w:r>
        <w:rPr>
          <w:b/>
          <w:i w:val="0"/>
        </w:rPr>
        <w:t>, source pp. 236–237.</w:t>
      </w:r>
      <w:r>
        <w:rPr>
          <w:b w:val="0"/>
          <w:i w:val="0"/>
        </w:rPr>
        <w:t xml:space="preserve"> Articles: </w:t>
      </w:r>
      <w:hyperlink w:anchor="appetite-and-desire">
        <w:r>
          <w:rPr>
            <w:color w:val="000000"/>
          </w:rPr>
          <w:t xml:space="preserve">Appetite and desire</w:t>
        </w:r>
      </w:hyperlink>
      <w:r>
        <w:rPr>
          <w:b w:val="0"/>
          <w:i w:val="0"/>
        </w:rPr>
        <w:t xml:space="preserve">; </w:t>
      </w:r>
      <w:hyperlink w:anchor="assent-and-approval">
        <w:r>
          <w:rPr>
            <w:color w:val="000000"/>
          </w:rPr>
          <w:t xml:space="preserve">Assent of will</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contingency">
        <w:r>
          <w:rPr>
            <w:color w:val="000000"/>
          </w:rPr>
          <w:t xml:space="preserve">Contingency</w:t>
        </w:r>
      </w:hyperlink>
      <w:r>
        <w:rPr>
          <w:b w:val="0"/>
          <w:i w:val="0"/>
        </w:rPr>
        <w:t xml:space="preserve">; </w:t>
      </w:r>
      <w:hyperlink w:anchor="end-and-limit">
        <w:r>
          <w:rPr>
            <w:color w:val="000000"/>
          </w:rPr>
          <w:t xml:space="preserve">End and limit</w:t>
        </w:r>
      </w:hyperlink>
      <w:r>
        <w:rPr>
          <w:b w:val="0"/>
          <w:i w:val="0"/>
        </w:rPr>
        <w:t xml:space="preserve">; </w:t>
      </w:r>
      <w:hyperlink w:anchor="foreknowledge">
        <w:r>
          <w:rPr>
            <w:color w:val="000000"/>
          </w:rPr>
          <w:t xml:space="preserve">Foreknowledge</w:t>
        </w:r>
      </w:hyperlink>
      <w:r>
        <w:rPr>
          <w:b w:val="0"/>
          <w:i w:val="0"/>
        </w:rPr>
        <w:t xml:space="preserve">; </w:t>
      </w:r>
      <w:hyperlink w:anchor="freedom-and-necessity">
        <w:r>
          <w:rPr>
            <w:color w:val="000000"/>
          </w:rPr>
          <w:t xml:space="preserve">Freedom and necessity</w:t>
        </w:r>
      </w:hyperlink>
      <w:r>
        <w:rPr>
          <w:b w:val="0"/>
          <w:i w:val="0"/>
        </w:rPr>
        <w:t xml:space="preserve">; </w:t>
      </w:r>
      <w:hyperlink w:anchor="persuasion-and-compulsion">
        <w:r>
          <w:rPr>
            <w:color w:val="000000"/>
          </w:rPr>
          <w:t xml:space="preserve">Persuasion and compulsion</w:t>
        </w:r>
      </w:hyperlink>
      <w:r>
        <w:rPr>
          <w:b w:val="0"/>
          <w:i w:val="0"/>
        </w:rPr>
        <w:t xml:space="preserve">; </w:t>
      </w:r>
      <w:hyperlink w:anchor="providence">
        <w:r>
          <w:rPr>
            <w:color w:val="000000"/>
          </w:rPr>
          <w:t xml:space="preserve">Providence</w:t>
        </w:r>
      </w:hyperlink>
      <w:r>
        <w:rPr>
          <w:b w:val="0"/>
          <w:i w:val="0"/>
        </w:rPr>
        <w:t xml:space="preserve">; </w:t>
      </w:r>
      <w:hyperlink w:anchor="soul">
        <w:r>
          <w:rPr>
            <w:color w:val="000000"/>
          </w:rPr>
          <w:t xml:space="preserve">Soul</w:t>
        </w:r>
      </w:hyperlink>
      <w:r>
        <w:rPr>
          <w:b w:val="0"/>
          <w:i w:val="0"/>
        </w:rPr>
        <w:t xml:space="preserve">; </w:t>
      </w:r>
      <w:hyperlink w:anchor="will">
        <w:r>
          <w:rPr>
            <w:color w:val="000000"/>
          </w:rPr>
          <w:t xml:space="preserve">Will</w:t>
        </w:r>
      </w:hyperlink>
      <w:r>
        <w:rPr>
          <w:b w:val="0"/>
          <w:i w:val="0"/>
        </w:rPr>
        <w:t xml:space="preserve">. Vocabulary: </w:t>
      </w:r>
      <w:hyperlink w:anchor="latin-record-0089">
        <w:r>
          <w:rPr>
            <w:color w:val="000000"/>
          </w:rPr>
          <w:t xml:space="preserve">aptus / convenire / congruere</w:t>
        </w:r>
      </w:hyperlink>
      <w:r>
        <w:rPr>
          <w:b w:val="0"/>
          <w:i w:val="0"/>
        </w:rPr>
        <w:t xml:space="preserve">; </w:t>
      </w:r>
      <w:hyperlink w:anchor="latin-record-0620">
        <w:r>
          <w:rPr>
            <w:color w:val="000000"/>
          </w:rPr>
          <w:t xml:space="preserve">iudicium / censere</w:t>
        </w:r>
      </w:hyperlink>
      <w:r>
        <w:rPr>
          <w:b w:val="0"/>
          <w:i w:val="0"/>
        </w:rPr>
        <w:t>.</w:t>
      </w:r>
    </w:p>
    <w:p>
      <w:bookmarkStart w:id="1936" w:name="chapter-iii.1"/>
      <w:pPr>
        <w:pStyle w:val="Heading2"/>
      </w:pPr>
      <w:r>
        <w:rPr>
          <w:b w:val="0"/>
          <w:i w:val="0"/>
        </w:rPr>
        <w:t>Chapter III.1</w:t>
      </w:r>
      <w:bookmarkEnd w:id="1936"/>
    </w:p>
    <w:p>
      <w:pPr>
        <w:widowControl/>
      </w:pPr>
      <w:bookmarkStart w:id="1937" w:name="passage-iii-1-1"/>
      <w:bookmarkEnd w:id="1937"/>
      <w:r>
        <w:rPr>
          <w:b/>
          <w:i w:val="0"/>
        </w:rPr>
        <w:t>III.1.1</w:t>
      </w:r>
      <w:r>
        <w:rPr>
          <w:b/>
          <w:i w:val="0"/>
        </w:rPr>
        <w:t>, source pp. 240–241.</w:t>
      </w:r>
      <w:r>
        <w:rPr>
          <w:b w:val="0"/>
          <w:i w:val="0"/>
        </w:rPr>
        <w:t xml:space="preserve"> Articles: </w:t>
      </w:r>
      <w:hyperlink w:anchor="body-and-bulk">
        <w:r>
          <w:rPr>
            <w:color w:val="000000"/>
          </w:rPr>
          <w:t xml:space="preserve">Body and bulk</w:t>
        </w:r>
      </w:hyperlink>
      <w:r>
        <w:rPr>
          <w:b w:val="0"/>
          <w:i w:val="0"/>
        </w:rPr>
        <w:t xml:space="preserve">; </w:t>
      </w:r>
      <w:hyperlink w:anchor="degree-and-mediation">
        <w:r>
          <w:rPr>
            <w:color w:val="000000"/>
          </w:rPr>
          <w:t xml:space="preserve">Degree and mediation</w:t>
        </w:r>
      </w:hyperlink>
      <w:r>
        <w:rPr>
          <w:b w:val="0"/>
          <w:i w:val="0"/>
        </w:rPr>
        <w:t xml:space="preserve">; </w:t>
      </w:r>
      <w:hyperlink w:anchor="number">
        <w:r>
          <w:rPr>
            <w:color w:val="000000"/>
          </w:rPr>
          <w:t xml:space="preserve">Number</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315">
        <w:r>
          <w:rPr>
            <w:color w:val="000000"/>
          </w:rPr>
          <w:t xml:space="preserve">dicere / appellare / vocare</w:t>
        </w:r>
      </w:hyperlink>
      <w:r>
        <w:rPr>
          <w:b w:val="0"/>
          <w:i w:val="0"/>
        </w:rPr>
        <w:t xml:space="preserve">; </w:t>
      </w:r>
      <w:hyperlink w:anchor="latin-record-0995">
        <w:r>
          <w:rPr>
            <w:color w:val="000000"/>
          </w:rPr>
          <w:t xml:space="preserve">Pythagorici</w:t>
        </w:r>
      </w:hyperlink>
      <w:r>
        <w:rPr>
          <w:b w:val="0"/>
          <w:i w:val="0"/>
        </w:rPr>
        <w:t xml:space="preserve">; </w:t>
      </w:r>
      <w:hyperlink w:anchor="latin-record-1226">
        <w:r>
          <w:rPr>
            <w:color w:val="000000"/>
          </w:rPr>
          <w:t xml:space="preserve">unus / unitas / multitudo</w:t>
        </w:r>
      </w:hyperlink>
      <w:r>
        <w:rPr>
          <w:b w:val="0"/>
          <w:i w:val="0"/>
        </w:rPr>
        <w:t>.</w:t>
      </w:r>
    </w:p>
    <w:p>
      <w:pPr>
        <w:widowControl/>
      </w:pPr>
      <w:bookmarkStart w:id="1938" w:name="passage-iii-1-2"/>
      <w:bookmarkEnd w:id="1938"/>
      <w:r>
        <w:rPr>
          <w:b/>
          <w:i w:val="0"/>
        </w:rPr>
        <w:t>III.1.2</w:t>
      </w:r>
      <w:r>
        <w:rPr>
          <w:b/>
          <w:i w:val="0"/>
        </w:rPr>
        <w:t>, source pp. 240–241.</w:t>
      </w:r>
      <w:r>
        <w:rPr>
          <w:b w:val="0"/>
          <w:i w:val="0"/>
        </w:rPr>
        <w:t xml:space="preserve"> Articles: </w:t>
      </w:r>
      <w:hyperlink w:anchor="body-and-bulk">
        <w:r>
          <w:rPr>
            <w:color w:val="000000"/>
          </w:rPr>
          <w:t xml:space="preserve">Body and bulk</w:t>
        </w:r>
      </w:hyperlink>
      <w:r>
        <w:rPr>
          <w:b w:val="0"/>
          <w:i w:val="0"/>
        </w:rPr>
        <w:t xml:space="preserve">; </w:t>
      </w:r>
      <w:hyperlink w:anchor="degree-and-mediation">
        <w:r>
          <w:rPr>
            <w:color w:val="000000"/>
          </w:rPr>
          <w:t xml:space="preserve">Degree and mediation</w:t>
        </w:r>
      </w:hyperlink>
      <w:r>
        <w:rPr>
          <w:b w:val="0"/>
          <w:i w:val="0"/>
        </w:rPr>
        <w:t xml:space="preserve">; </w:t>
      </w:r>
      <w:hyperlink w:anchor="form">
        <w:r>
          <w:rPr>
            <w:color w:val="000000"/>
          </w:rPr>
          <w:t xml:space="preserve">Form</w:t>
        </w:r>
      </w:hyperlink>
      <w:r>
        <w:rPr>
          <w:b w:val="0"/>
          <w:i w:val="0"/>
        </w:rPr>
        <w:t xml:space="preserve">; </w:t>
      </w:r>
      <w:hyperlink w:anchor="indivisibility">
        <w:r>
          <w:rPr>
            <w:color w:val="000000"/>
          </w:rPr>
          <w:t xml:space="preserve">Indivisibility</w:t>
        </w:r>
      </w:hyperlink>
      <w:r>
        <w:rPr>
          <w:b w:val="0"/>
          <w:i w:val="0"/>
        </w:rPr>
        <w:t xml:space="preserve">; </w:t>
      </w:r>
      <w:hyperlink w:anchor="number">
        <w:r>
          <w:rPr>
            <w:color w:val="000000"/>
          </w:rPr>
          <w:t xml:space="preserve">Number</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315">
        <w:r>
          <w:rPr>
            <w:color w:val="000000"/>
          </w:rPr>
          <w:t xml:space="preserve">dicere / appellare / vocare</w:t>
        </w:r>
      </w:hyperlink>
      <w:r>
        <w:rPr>
          <w:b w:val="0"/>
          <w:i w:val="0"/>
        </w:rPr>
        <w:t xml:space="preserve">; </w:t>
      </w:r>
      <w:hyperlink w:anchor="latin-record-0725">
        <w:r>
          <w:rPr>
            <w:color w:val="000000"/>
          </w:rPr>
          <w:t xml:space="preserve">multa et unum / unum et multa / unum multa</w:t>
        </w:r>
      </w:hyperlink>
      <w:r>
        <w:rPr>
          <w:b w:val="0"/>
          <w:i w:val="0"/>
        </w:rPr>
        <w:t xml:space="preserve">; </w:t>
      </w:r>
      <w:hyperlink w:anchor="latin-record-0995">
        <w:r>
          <w:rPr>
            <w:color w:val="000000"/>
          </w:rPr>
          <w:t xml:space="preserve">Pythagorici</w:t>
        </w:r>
      </w:hyperlink>
      <w:r>
        <w:rPr>
          <w:b w:val="0"/>
          <w:i w:val="0"/>
        </w:rPr>
        <w:t xml:space="preserve">; </w:t>
      </w:r>
      <w:hyperlink w:anchor="latin-record-1226">
        <w:r>
          <w:rPr>
            <w:color w:val="000000"/>
          </w:rPr>
          <w:t xml:space="preserve">unus / unitas / multitudo</w:t>
        </w:r>
      </w:hyperlink>
      <w:r>
        <w:rPr>
          <w:b w:val="0"/>
          <w:i w:val="0"/>
        </w:rPr>
        <w:t>.</w:t>
      </w:r>
    </w:p>
    <w:p>
      <w:pPr>
        <w:widowControl/>
      </w:pPr>
      <w:bookmarkStart w:id="1939" w:name="passage-iii-1-3"/>
      <w:bookmarkEnd w:id="1939"/>
      <w:r>
        <w:rPr>
          <w:b/>
          <w:i w:val="0"/>
        </w:rPr>
        <w:t>III.1.3</w:t>
      </w:r>
      <w:r>
        <w:rPr>
          <w:b/>
          <w:i w:val="0"/>
        </w:rPr>
        <w:t>, source pp. 240–241.</w:t>
      </w:r>
      <w:r>
        <w:rPr>
          <w:b w:val="0"/>
          <w:i w:val="0"/>
        </w:rPr>
        <w:t xml:space="preserve"> Articles: </w:t>
      </w:r>
      <w:hyperlink w:anchor="body-and-bulk">
        <w:r>
          <w:rPr>
            <w:color w:val="000000"/>
          </w:rPr>
          <w:t xml:space="preserve">Body and bulk</w:t>
        </w:r>
      </w:hyperlink>
      <w:r>
        <w:rPr>
          <w:b w:val="0"/>
          <w:i w:val="0"/>
        </w:rPr>
        <w:t xml:space="preserve">; </w:t>
      </w:r>
      <w:hyperlink w:anchor="degree-and-mediation">
        <w:r>
          <w:rPr>
            <w:color w:val="000000"/>
          </w:rPr>
          <w:t xml:space="preserve">Degree and mediation</w:t>
        </w:r>
      </w:hyperlink>
      <w:r>
        <w:rPr>
          <w:b w:val="0"/>
          <w:i w:val="0"/>
        </w:rPr>
        <w:t xml:space="preserve">; </w:t>
      </w:r>
      <w:hyperlink w:anchor="form">
        <w:r>
          <w:rPr>
            <w:color w:val="000000"/>
          </w:rPr>
          <w:t xml:space="preserve">Form</w:t>
        </w:r>
      </w:hyperlink>
      <w:r>
        <w:rPr>
          <w:b w:val="0"/>
          <w:i w:val="0"/>
        </w:rPr>
        <w:t xml:space="preserve">; </w:t>
      </w:r>
      <w:hyperlink w:anchor="indivisibility">
        <w:r>
          <w:rPr>
            <w:color w:val="000000"/>
          </w:rPr>
          <w:t xml:space="preserve">Indivisibility</w:t>
        </w:r>
      </w:hyperlink>
      <w:r>
        <w:rPr>
          <w:b w:val="0"/>
          <w:i w:val="0"/>
        </w:rPr>
        <w:t xml:space="preserve">; </w:t>
      </w:r>
      <w:hyperlink w:anchor="number">
        <w:r>
          <w:rPr>
            <w:color w:val="000000"/>
          </w:rPr>
          <w:t xml:space="preserve">Number</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28">
        <w:r>
          <w:rPr>
            <w:color w:val="000000"/>
          </w:rPr>
          <w:t xml:space="preserve">admixtio / inquinatio</w:t>
        </w:r>
      </w:hyperlink>
      <w:r>
        <w:rPr>
          <w:b w:val="0"/>
          <w:i w:val="0"/>
        </w:rPr>
        <w:t>.</w:t>
      </w:r>
    </w:p>
    <w:p>
      <w:pPr>
        <w:widowControl/>
      </w:pPr>
      <w:bookmarkStart w:id="1940" w:name="passage-iii-1-4"/>
      <w:bookmarkEnd w:id="1940"/>
      <w:r>
        <w:rPr>
          <w:b/>
          <w:i w:val="0"/>
        </w:rPr>
        <w:t>III.1.4</w:t>
      </w:r>
      <w:r>
        <w:rPr>
          <w:b/>
          <w:i w:val="0"/>
        </w:rPr>
        <w:t>, source pp. 240–241.</w:t>
      </w:r>
      <w:r>
        <w:rPr>
          <w:b w:val="0"/>
          <w:i w:val="0"/>
        </w:rPr>
        <w:t xml:space="preserve"> Articles: </w:t>
      </w:r>
      <w:hyperlink w:anchor="degree-and-mediation">
        <w:r>
          <w:rPr>
            <w:color w:val="000000"/>
          </w:rPr>
          <w:t xml:space="preserve">Degree and mediation</w:t>
        </w:r>
      </w:hyperlink>
      <w:r>
        <w:rPr>
          <w:b w:val="0"/>
          <w:i w:val="0"/>
        </w:rPr>
        <w:t xml:space="preserve">; </w:t>
      </w:r>
      <w:hyperlink w:anchor="form">
        <w:r>
          <w:rPr>
            <w:color w:val="000000"/>
          </w:rPr>
          <w:t xml:space="preserve">Form</w:t>
        </w:r>
      </w:hyperlink>
      <w:r>
        <w:rPr>
          <w:b w:val="0"/>
          <w:i w:val="0"/>
        </w:rPr>
        <w:t xml:space="preserve">; </w:t>
      </w:r>
      <w:hyperlink w:anchor="indivisibility">
        <w:r>
          <w:rPr>
            <w:color w:val="000000"/>
          </w:rPr>
          <w:t xml:space="preserve">Indivisibility</w:t>
        </w:r>
      </w:hyperlink>
      <w:r>
        <w:rPr>
          <w:b w:val="0"/>
          <w:i w:val="0"/>
        </w:rPr>
        <w:t xml:space="preserve">; </w:t>
      </w:r>
      <w:hyperlink w:anchor="number">
        <w:r>
          <w:rPr>
            <w:color w:val="000000"/>
          </w:rPr>
          <w:t xml:space="preserve">Number</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67">
        <w:r>
          <w:rPr>
            <w:color w:val="000000"/>
          </w:rPr>
          <w:t xml:space="preserve">angelus</w:t>
        </w:r>
      </w:hyperlink>
      <w:r>
        <w:rPr>
          <w:b w:val="0"/>
          <w:i w:val="0"/>
        </w:rPr>
        <w:t xml:space="preserve">; </w:t>
      </w:r>
      <w:hyperlink w:anchor="latin-record-1029">
        <w:r>
          <w:rPr>
            <w:color w:val="000000"/>
          </w:rPr>
          <w:t xml:space="preserve">receptaculum</w:t>
        </w:r>
      </w:hyperlink>
      <w:r>
        <w:rPr>
          <w:b w:val="0"/>
          <w:i w:val="0"/>
        </w:rPr>
        <w:t xml:space="preserve">; </w:t>
      </w:r>
      <w:hyperlink w:anchor="latin-record-1226">
        <w:r>
          <w:rPr>
            <w:color w:val="000000"/>
          </w:rPr>
          <w:t xml:space="preserve">unus / unitas / multitudo</w:t>
        </w:r>
      </w:hyperlink>
      <w:r>
        <w:rPr>
          <w:b w:val="0"/>
          <w:i w:val="0"/>
        </w:rPr>
        <w:t>.</w:t>
      </w:r>
    </w:p>
    <w:p>
      <w:pPr>
        <w:widowControl/>
      </w:pPr>
      <w:bookmarkStart w:id="1941" w:name="passage-iii-1-5"/>
      <w:bookmarkEnd w:id="1941"/>
      <w:r>
        <w:rPr>
          <w:b/>
          <w:i w:val="0"/>
        </w:rPr>
        <w:t>III.1.5</w:t>
      </w:r>
      <w:r>
        <w:rPr>
          <w:b/>
          <w:i w:val="0"/>
        </w:rPr>
        <w:t>, source pp. 240–241.</w:t>
      </w:r>
      <w:r>
        <w:rPr>
          <w:b w:val="0"/>
          <w:i w:val="0"/>
        </w:rPr>
        <w:t xml:space="preserve"> Articles: </w:t>
      </w:r>
      <w:hyperlink w:anchor="bond-knot-and-chain">
        <w:r>
          <w:rPr>
            <w:color w:val="000000"/>
          </w:rPr>
          <w:t xml:space="preserve">Bond knot and chain</w:t>
        </w:r>
      </w:hyperlink>
      <w:r>
        <w:rPr>
          <w:b w:val="0"/>
          <w:i w:val="0"/>
        </w:rPr>
        <w:t xml:space="preserve">; </w:t>
      </w:r>
      <w:hyperlink w:anchor="degree-and-mediation">
        <w:r>
          <w:rPr>
            <w:color w:val="000000"/>
          </w:rPr>
          <w:t xml:space="preserve">Degree and mediation</w:t>
        </w:r>
      </w:hyperlink>
      <w:r>
        <w:rPr>
          <w:b w:val="0"/>
          <w:i w:val="0"/>
        </w:rPr>
        <w:t xml:space="preserve">; </w:t>
      </w:r>
      <w:hyperlink w:anchor="immortality">
        <w:r>
          <w:rPr>
            <w:color w:val="000000"/>
          </w:rPr>
          <w:t xml:space="preserve">Immortality</w:t>
        </w:r>
      </w:hyperlink>
      <w:r>
        <w:rPr>
          <w:b w:val="0"/>
          <w:i w:val="0"/>
        </w:rPr>
        <w:t xml:space="preserve">; </w:t>
      </w:r>
      <w:hyperlink w:anchor="indivisibility">
        <w:r>
          <w:rPr>
            <w:color w:val="000000"/>
          </w:rPr>
          <w:t xml:space="preserve">Indivisibility</w:t>
        </w:r>
      </w:hyperlink>
      <w:r>
        <w:rPr>
          <w:b w:val="0"/>
          <w:i w:val="0"/>
        </w:rPr>
        <w:t xml:space="preserve">; </w:t>
      </w:r>
      <w:hyperlink w:anchor="motion-and-stability">
        <w:r>
          <w:rPr>
            <w:color w:val="000000"/>
          </w:rPr>
          <w:t xml:space="preserve">Motion and stability</w:t>
        </w:r>
      </w:hyperlink>
      <w:r>
        <w:rPr>
          <w:b w:val="0"/>
          <w:i w:val="0"/>
        </w:rPr>
        <w:t xml:space="preserve">; </w:t>
      </w:r>
      <w:hyperlink w:anchor="number">
        <w:r>
          <w:rPr>
            <w:color w:val="000000"/>
          </w:rPr>
          <w:t xml:space="preserve">Number</w:t>
        </w:r>
      </w:hyperlink>
      <w:r>
        <w:rPr>
          <w:b w:val="0"/>
          <w:i w:val="0"/>
        </w:rPr>
        <w:t xml:space="preserve">; </w:t>
      </w:r>
      <w:hyperlink w:anchor="soul">
        <w:r>
          <w:rPr>
            <w:color w:val="000000"/>
          </w:rPr>
          <w:t xml:space="preserve">Soul</w:t>
        </w:r>
      </w:hyperlink>
      <w:r>
        <w:rPr>
          <w:b w:val="0"/>
          <w:i w:val="0"/>
        </w:rPr>
        <w:t xml:space="preserve">; </w:t>
      </w:r>
      <w:hyperlink w:anchor="staying-and-preserving">
        <w:r>
          <w:rPr>
            <w:color w:val="000000"/>
          </w:rPr>
          <w:t xml:space="preserve">Staying and preserving</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336">
        <w:r>
          <w:rPr>
            <w:color w:val="000000"/>
          </w:rPr>
          <w:t xml:space="preserve">dissolubilis / indissolubilis</w:t>
        </w:r>
      </w:hyperlink>
      <w:r>
        <w:rPr>
          <w:b w:val="0"/>
          <w:i w:val="0"/>
        </w:rPr>
        <w:t xml:space="preserve">; </w:t>
      </w:r>
      <w:hyperlink w:anchor="latin-record-0766">
        <w:r>
          <w:rPr>
            <w:color w:val="000000"/>
          </w:rPr>
          <w:t xml:space="preserve">nodus divinus</w:t>
        </w:r>
      </w:hyperlink>
      <w:r>
        <w:rPr>
          <w:b w:val="0"/>
          <w:i w:val="0"/>
        </w:rPr>
        <w:t xml:space="preserve">; </w:t>
      </w:r>
      <w:hyperlink w:anchor="latin-record-1200">
        <w:r>
          <w:rPr>
            <w:color w:val="000000"/>
          </w:rPr>
          <w:t xml:space="preserve">Timaeus / Timaeus Locrus</w:t>
        </w:r>
      </w:hyperlink>
      <w:r>
        <w:rPr>
          <w:b w:val="0"/>
          <w:i w:val="0"/>
        </w:rPr>
        <w:t xml:space="preserve">; </w:t>
      </w:r>
      <w:hyperlink w:anchor="latin-record-1226">
        <w:r>
          <w:rPr>
            <w:color w:val="000000"/>
          </w:rPr>
          <w:t xml:space="preserve">unus / unitas / multitudo</w:t>
        </w:r>
      </w:hyperlink>
      <w:r>
        <w:rPr>
          <w:b w:val="0"/>
          <w:i w:val="0"/>
        </w:rPr>
        <w:t>.</w:t>
      </w:r>
    </w:p>
    <w:p>
      <w:pPr>
        <w:widowControl/>
      </w:pPr>
      <w:bookmarkStart w:id="1942" w:name="passage-iii-1-6"/>
      <w:bookmarkEnd w:id="1942"/>
      <w:r>
        <w:rPr>
          <w:b/>
          <w:i w:val="0"/>
        </w:rPr>
        <w:t>III.1.6</w:t>
      </w:r>
      <w:r>
        <w:rPr>
          <w:b/>
          <w:i w:val="0"/>
        </w:rPr>
        <w:t>, source pp. 242–243.</w:t>
      </w:r>
      <w:r>
        <w:rPr>
          <w:b w:val="0"/>
          <w:i w:val="0"/>
        </w:rPr>
        <w:t xml:space="preserve"> Articles: </w:t>
      </w:r>
      <w:hyperlink w:anchor="motion-and-stability">
        <w:r>
          <w:rPr>
            <w:color w:val="000000"/>
          </w:rPr>
          <w:t xml:space="preserve">Motion and stability</w:t>
        </w:r>
      </w:hyperlink>
      <w:r>
        <w:rPr>
          <w:b w:val="0"/>
          <w:i w:val="0"/>
        </w:rPr>
        <w:t xml:space="preserve">; </w:t>
      </w:r>
      <w:hyperlink w:anchor="number">
        <w:r>
          <w:rPr>
            <w:color w:val="000000"/>
          </w:rPr>
          <w:t xml:space="preserve">Number</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493">
        <w:r>
          <w:rPr>
            <w:color w:val="000000"/>
          </w:rPr>
          <w:t xml:space="preserve">habere / possidere</w:t>
        </w:r>
      </w:hyperlink>
      <w:r>
        <w:rPr>
          <w:b w:val="0"/>
          <w:i w:val="0"/>
        </w:rPr>
        <w:t xml:space="preserve">; </w:t>
      </w:r>
      <w:hyperlink w:anchor="latin-record-0533">
        <w:r>
          <w:rPr>
            <w:color w:val="000000"/>
          </w:rPr>
          <w:t xml:space="preserve">immutabilis / immobilis</w:t>
        </w:r>
      </w:hyperlink>
      <w:r>
        <w:rPr>
          <w:b w:val="0"/>
          <w:i w:val="0"/>
        </w:rPr>
        <w:t xml:space="preserve">; </w:t>
      </w:r>
      <w:hyperlink w:anchor="latin-record-0773">
        <w:r>
          <w:rPr>
            <w:color w:val="000000"/>
          </w:rPr>
          <w:t xml:space="preserve">novus / vetus</w:t>
        </w:r>
      </w:hyperlink>
      <w:r>
        <w:rPr>
          <w:b w:val="0"/>
          <w:i w:val="0"/>
        </w:rPr>
        <w:t xml:space="preserve">; </w:t>
      </w:r>
      <w:hyperlink w:anchor="latin-record-1139">
        <w:r>
          <w:rPr>
            <w:color w:val="000000"/>
          </w:rPr>
          <w:t xml:space="preserve">stare / status</w:t>
        </w:r>
      </w:hyperlink>
      <w:r>
        <w:rPr>
          <w:b w:val="0"/>
          <w:i w:val="0"/>
        </w:rPr>
        <w:t xml:space="preserve">; </w:t>
      </w:r>
      <w:hyperlink w:anchor="latin-record-1208">
        <w:r>
          <w:rPr>
            <w:color w:val="000000"/>
          </w:rPr>
          <w:t xml:space="preserve">transferre / assequi</w:t>
        </w:r>
      </w:hyperlink>
      <w:r>
        <w:rPr>
          <w:b w:val="0"/>
          <w:i w:val="0"/>
        </w:rPr>
        <w:t>.</w:t>
      </w:r>
    </w:p>
    <w:p>
      <w:pPr>
        <w:widowControl/>
      </w:pPr>
      <w:bookmarkStart w:id="1943" w:name="passage-iii-1-7"/>
      <w:bookmarkEnd w:id="1943"/>
      <w:r>
        <w:rPr>
          <w:b/>
          <w:i w:val="0"/>
        </w:rPr>
        <w:t>III.1.7</w:t>
      </w:r>
      <w:r>
        <w:rPr>
          <w:b/>
          <w:i w:val="0"/>
        </w:rPr>
        <w:t>, source pp. 242–243.</w:t>
      </w:r>
      <w:r>
        <w:rPr>
          <w:b w:val="0"/>
          <w:i w:val="0"/>
        </w:rPr>
        <w:t xml:space="preserve"> Articles: </w:t>
      </w:r>
      <w:hyperlink w:anchor="eternity-and-time">
        <w:r>
          <w:rPr>
            <w:color w:val="000000"/>
          </w:rPr>
          <w:t xml:space="preserve">Eternity and time</w:t>
        </w:r>
      </w:hyperlink>
      <w:r>
        <w:rPr>
          <w:b w:val="0"/>
          <w:i w:val="0"/>
        </w:rPr>
        <w:t xml:space="preserve">; </w:t>
      </w:r>
      <w:hyperlink w:anchor="motion-and-stability">
        <w:r>
          <w:rPr>
            <w:color w:val="000000"/>
          </w:rPr>
          <w:t xml:space="preserve">Motion and stability</w:t>
        </w:r>
      </w:hyperlink>
      <w:r>
        <w:rPr>
          <w:b w:val="0"/>
          <w:i w:val="0"/>
        </w:rPr>
        <w:t xml:space="preserve">; </w:t>
      </w:r>
      <w:hyperlink w:anchor="number">
        <w:r>
          <w:rPr>
            <w:color w:val="000000"/>
          </w:rPr>
          <w:t xml:space="preserve">Number</w:t>
        </w:r>
      </w:hyperlink>
      <w:r>
        <w:rPr>
          <w:b w:val="0"/>
          <w:i w:val="0"/>
        </w:rPr>
        <w:t xml:space="preserve">; </w:t>
      </w:r>
      <w:hyperlink w:anchor="possession-and-privation">
        <w:r>
          <w:rPr>
            <w:color w:val="000000"/>
          </w:rPr>
          <w:t xml:space="preserve">Possession and privation</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509">
        <w:r>
          <w:rPr>
            <w:color w:val="000000"/>
          </w:rPr>
          <w:t xml:space="preserve">haurire / implere</w:t>
        </w:r>
      </w:hyperlink>
      <w:r>
        <w:rPr>
          <w:b w:val="0"/>
          <w:i w:val="0"/>
        </w:rPr>
        <w:t xml:space="preserve">; </w:t>
      </w:r>
      <w:hyperlink w:anchor="latin-record-0533">
        <w:r>
          <w:rPr>
            <w:color w:val="000000"/>
          </w:rPr>
          <w:t xml:space="preserve">immutabilis / immobilis</w:t>
        </w:r>
      </w:hyperlink>
      <w:r>
        <w:rPr>
          <w:b w:val="0"/>
          <w:i w:val="0"/>
        </w:rPr>
        <w:t xml:space="preserve">; </w:t>
      </w:r>
      <w:hyperlink w:anchor="latin-record-0670">
        <w:r>
          <w:rPr>
            <w:color w:val="000000"/>
          </w:rPr>
          <w:t xml:space="preserve">manere / permanere / remanere</w:t>
        </w:r>
      </w:hyperlink>
      <w:r>
        <w:rPr>
          <w:b w:val="0"/>
          <w:i w:val="0"/>
        </w:rPr>
        <w:t xml:space="preserve">; </w:t>
      </w:r>
      <w:hyperlink w:anchor="latin-record-0921">
        <w:r>
          <w:rPr>
            <w:color w:val="000000"/>
          </w:rPr>
          <w:t xml:space="preserve">praeteritum / futurum</w:t>
        </w:r>
      </w:hyperlink>
      <w:r>
        <w:rPr>
          <w:b w:val="0"/>
          <w:i w:val="0"/>
        </w:rPr>
        <w:t xml:space="preserve">; </w:t>
      </w:r>
      <w:hyperlink w:anchor="latin-record-1059">
        <w:r>
          <w:rPr>
            <w:color w:val="000000"/>
          </w:rPr>
          <w:t xml:space="preserve">retinere / amittere</w:t>
        </w:r>
      </w:hyperlink>
      <w:r>
        <w:rPr>
          <w:b w:val="0"/>
          <w:i w:val="0"/>
        </w:rPr>
        <w:t xml:space="preserve">; </w:t>
      </w:r>
      <w:hyperlink w:anchor="latin-record-1088">
        <w:r>
          <w:rPr>
            <w:color w:val="000000"/>
          </w:rPr>
          <w:t xml:space="preserve">semper / simul / aliquando / nondum / amplius</w:t>
        </w:r>
      </w:hyperlink>
      <w:r>
        <w:rPr>
          <w:b w:val="0"/>
          <w:i w:val="0"/>
        </w:rPr>
        <w:t>.</w:t>
      </w:r>
    </w:p>
    <w:p>
      <w:pPr>
        <w:widowControl/>
      </w:pPr>
      <w:bookmarkStart w:id="1944" w:name="passage-iii-1-8"/>
      <w:bookmarkEnd w:id="1944"/>
      <w:r>
        <w:rPr>
          <w:b/>
          <w:i w:val="0"/>
        </w:rPr>
        <w:t>III.1.8</w:t>
      </w:r>
      <w:r>
        <w:rPr>
          <w:b/>
          <w:i w:val="0"/>
        </w:rPr>
        <w:t>, source pp. 244–245.</w:t>
      </w:r>
      <w:r>
        <w:rPr>
          <w:b w:val="0"/>
          <w:i w:val="0"/>
        </w:rPr>
        <w:t xml:space="preserve"> Articles: </w:t>
      </w:r>
      <w:hyperlink w:anchor="motion-and-stability">
        <w:r>
          <w:rPr>
            <w:color w:val="000000"/>
          </w:rPr>
          <w:t xml:space="preserve">Motion and stability</w:t>
        </w:r>
      </w:hyperlink>
      <w:r>
        <w:rPr>
          <w:b w:val="0"/>
          <w:i w:val="0"/>
        </w:rPr>
        <w:t xml:space="preserve">; </w:t>
      </w:r>
      <w:hyperlink w:anchor="number">
        <w:r>
          <w:rPr>
            <w:color w:val="000000"/>
          </w:rPr>
          <w:t xml:space="preserve">Number</w:t>
        </w:r>
      </w:hyperlink>
      <w:r>
        <w:rPr>
          <w:b w:val="0"/>
          <w:i w:val="0"/>
        </w:rPr>
        <w:t xml:space="preserve">; </w:t>
      </w:r>
      <w:hyperlink w:anchor="soul">
        <w:r>
          <w:rPr>
            <w:color w:val="000000"/>
          </w:rPr>
          <w:t xml:space="preserve">Soul</w:t>
        </w:r>
      </w:hyperlink>
      <w:r>
        <w:rPr>
          <w:b w:val="0"/>
          <w:i w:val="0"/>
        </w:rPr>
        <w:t xml:space="preserve">; </w:t>
      </w:r>
      <w:hyperlink w:anchor="staying-and-preserving">
        <w:r>
          <w:rPr>
            <w:color w:val="000000"/>
          </w:rPr>
          <w:t xml:space="preserve">Staying and preserving</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296">
        <w:r>
          <w:rPr>
            <w:color w:val="000000"/>
          </w:rPr>
          <w:t xml:space="preserve">decidere</w:t>
        </w:r>
      </w:hyperlink>
      <w:r>
        <w:rPr>
          <w:b w:val="0"/>
          <w:i w:val="0"/>
        </w:rPr>
        <w:t xml:space="preserve">; </w:t>
      </w:r>
      <w:hyperlink w:anchor="latin-record-1059">
        <w:r>
          <w:rPr>
            <w:color w:val="000000"/>
          </w:rPr>
          <w:t xml:space="preserve">retinere / amittere</w:t>
        </w:r>
      </w:hyperlink>
      <w:r>
        <w:rPr>
          <w:b w:val="0"/>
          <w:i w:val="0"/>
        </w:rPr>
        <w:t xml:space="preserve">; </w:t>
      </w:r>
      <w:hyperlink w:anchor="latin-record-1106">
        <w:r>
          <w:rPr>
            <w:color w:val="000000"/>
          </w:rPr>
          <w:t xml:space="preserve">similis / dissimilis / similitudo</w:t>
        </w:r>
      </w:hyperlink>
      <w:r>
        <w:rPr>
          <w:b w:val="0"/>
          <w:i w:val="0"/>
        </w:rPr>
        <w:t>.</w:t>
      </w:r>
    </w:p>
    <w:p>
      <w:pPr>
        <w:widowControl/>
      </w:pPr>
      <w:bookmarkStart w:id="1945" w:name="passage-iii-1-9"/>
      <w:bookmarkEnd w:id="1945"/>
      <w:r>
        <w:rPr>
          <w:b/>
          <w:i w:val="0"/>
        </w:rPr>
        <w:t>III.1.9</w:t>
      </w:r>
      <w:r>
        <w:rPr>
          <w:b/>
          <w:i w:val="0"/>
        </w:rPr>
        <w:t>, source pp. 244–245.</w:t>
      </w:r>
      <w:r>
        <w:rPr>
          <w:b w:val="0"/>
          <w:i w:val="0"/>
        </w:rPr>
        <w:t xml:space="preserve"> Articles: </w:t>
      </w:r>
      <w:hyperlink w:anchor="act-and-operation">
        <w:r>
          <w:rPr>
            <w:color w:val="000000"/>
          </w:rPr>
          <w:t xml:space="preserve">Act and operation</w:t>
        </w:r>
      </w:hyperlink>
      <w:r>
        <w:rPr>
          <w:b w:val="0"/>
          <w:i w:val="0"/>
        </w:rPr>
        <w:t xml:space="preserve">; </w:t>
      </w:r>
      <w:hyperlink w:anchor="infinity">
        <w:r>
          <w:rPr>
            <w:color w:val="000000"/>
          </w:rPr>
          <w:t xml:space="preserve">Infinity</w:t>
        </w:r>
      </w:hyperlink>
      <w:r>
        <w:rPr>
          <w:b w:val="0"/>
          <w:i w:val="0"/>
        </w:rPr>
        <w:t xml:space="preserve">; </w:t>
      </w:r>
      <w:hyperlink w:anchor="quality">
        <w:r>
          <w:rPr>
            <w:color w:val="000000"/>
          </w:rPr>
          <w:t xml:space="preserve">Quality</w:t>
        </w:r>
      </w:hyperlink>
      <w:r>
        <w:rPr>
          <w:b w:val="0"/>
          <w:i w:val="0"/>
        </w:rPr>
        <w:t xml:space="preserve">; </w:t>
      </w:r>
      <w:hyperlink w:anchor="receiving-and-giving">
        <w:r>
          <w:rPr>
            <w:color w:val="000000"/>
          </w:rPr>
          <w:t xml:space="preserve">Receiving and giving</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839">
        <w:r>
          <w:rPr>
            <w:color w:val="000000"/>
          </w:rPr>
          <w:t xml:space="preserve">pati / passio</w:t>
        </w:r>
      </w:hyperlink>
      <w:r>
        <w:rPr>
          <w:b w:val="0"/>
          <w:i w:val="0"/>
        </w:rPr>
        <w:t xml:space="preserve">; </w:t>
      </w:r>
      <w:hyperlink w:anchor="latin-record-1177">
        <w:r>
          <w:rPr>
            <w:color w:val="000000"/>
          </w:rPr>
          <w:t xml:space="preserve">susceptivus / passivus</w:t>
        </w:r>
      </w:hyperlink>
      <w:r>
        <w:rPr>
          <w:b w:val="0"/>
          <w:i w:val="0"/>
        </w:rPr>
        <w:t xml:space="preserve">; </w:t>
      </w:r>
      <w:hyperlink w:anchor="latin-record-1178">
        <w:r>
          <w:rPr>
            <w:color w:val="000000"/>
          </w:rPr>
          <w:t xml:space="preserve">suscipere</w:t>
        </w:r>
      </w:hyperlink>
      <w:r>
        <w:rPr>
          <w:b w:val="0"/>
          <w:i w:val="0"/>
        </w:rPr>
        <w:t xml:space="preserve">; </w:t>
      </w:r>
      <w:hyperlink w:anchor="latin-record-1271">
        <w:r>
          <w:rPr>
            <w:color w:val="000000"/>
          </w:rPr>
          <w:t xml:space="preserve">vis / virtus / potestas</w:t>
        </w:r>
      </w:hyperlink>
      <w:r>
        <w:rPr>
          <w:b w:val="0"/>
          <w:i w:val="0"/>
        </w:rPr>
        <w:t>.</w:t>
      </w:r>
    </w:p>
    <w:p>
      <w:pPr>
        <w:widowControl/>
      </w:pPr>
      <w:bookmarkStart w:id="1946" w:name="passage-iii-1-10"/>
      <w:bookmarkEnd w:id="1946"/>
      <w:r>
        <w:rPr>
          <w:b/>
          <w:i w:val="0"/>
        </w:rPr>
        <w:t>III.1.10</w:t>
      </w:r>
      <w:r>
        <w:rPr>
          <w:b/>
          <w:i w:val="0"/>
        </w:rPr>
        <w:t>, source pp. 246–247.</w:t>
      </w:r>
      <w:r>
        <w:rPr>
          <w:b w:val="0"/>
          <w:i w:val="0"/>
        </w:rPr>
        <w:t xml:space="preserve"> Articles: </w:t>
      </w:r>
      <w:hyperlink w:anchor="act-and-operation">
        <w:r>
          <w:rPr>
            <w:color w:val="000000"/>
          </w:rPr>
          <w:t xml:space="preserve">Act and operation</w:t>
        </w:r>
      </w:hyperlink>
      <w:r>
        <w:rPr>
          <w:b w:val="0"/>
          <w:i w:val="0"/>
        </w:rPr>
        <w:t xml:space="preserve">; </w:t>
      </w:r>
      <w:hyperlink w:anchor="infinity">
        <w:r>
          <w:rPr>
            <w:color w:val="000000"/>
          </w:rPr>
          <w:t xml:space="preserve">Infinity</w:t>
        </w:r>
      </w:hyperlink>
      <w:r>
        <w:rPr>
          <w:b w:val="0"/>
          <w:i w:val="0"/>
        </w:rPr>
        <w:t xml:space="preserve">; </w:t>
      </w:r>
      <w:hyperlink w:anchor="purity-and-mixture">
        <w:r>
          <w:rPr>
            <w:color w:val="000000"/>
          </w:rPr>
          <w:t xml:space="preserve">Purity and mixture</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22">
        <w:r>
          <w:rPr>
            <w:color w:val="000000"/>
          </w:rPr>
          <w:t xml:space="preserve">additamentum / permixtio</w:t>
        </w:r>
      </w:hyperlink>
      <w:r>
        <w:rPr>
          <w:b w:val="0"/>
          <w:i w:val="0"/>
        </w:rPr>
        <w:t xml:space="preserve">; </w:t>
      </w:r>
      <w:hyperlink w:anchor="latin-record-0067">
        <w:r>
          <w:rPr>
            <w:color w:val="000000"/>
          </w:rPr>
          <w:t xml:space="preserve">angelus</w:t>
        </w:r>
      </w:hyperlink>
      <w:r>
        <w:rPr>
          <w:b w:val="0"/>
          <w:i w:val="0"/>
        </w:rPr>
        <w:t xml:space="preserve">; </w:t>
      </w:r>
      <w:hyperlink w:anchor="latin-record-0839">
        <w:r>
          <w:rPr>
            <w:color w:val="000000"/>
          </w:rPr>
          <w:t xml:space="preserve">pati / passio</w:t>
        </w:r>
      </w:hyperlink>
      <w:r>
        <w:rPr>
          <w:b w:val="0"/>
          <w:i w:val="0"/>
        </w:rPr>
        <w:t xml:space="preserve">; </w:t>
      </w:r>
      <w:hyperlink w:anchor="latin-record-0988">
        <w:r>
          <w:rPr>
            <w:color w:val="000000"/>
          </w:rPr>
          <w:t xml:space="preserve">purus / merus</w:t>
        </w:r>
      </w:hyperlink>
      <w:r>
        <w:rPr>
          <w:b w:val="0"/>
          <w:i w:val="0"/>
        </w:rPr>
        <w:t xml:space="preserve">; </w:t>
      </w:r>
      <w:hyperlink w:anchor="latin-record-1177">
        <w:r>
          <w:rPr>
            <w:color w:val="000000"/>
          </w:rPr>
          <w:t xml:space="preserve">susceptivus / passivus</w:t>
        </w:r>
      </w:hyperlink>
      <w:r>
        <w:rPr>
          <w:b w:val="0"/>
          <w:i w:val="0"/>
        </w:rPr>
        <w:t xml:space="preserve">; </w:t>
      </w:r>
      <w:hyperlink w:anchor="latin-record-1260">
        <w:r>
          <w:rPr>
            <w:color w:val="000000"/>
          </w:rPr>
          <w:t xml:space="preserve">vigor</w:t>
        </w:r>
      </w:hyperlink>
      <w:r>
        <w:rPr>
          <w:b w:val="0"/>
          <w:i w:val="0"/>
        </w:rPr>
        <w:t xml:space="preserve">; </w:t>
      </w:r>
      <w:hyperlink w:anchor="latin-record-1268">
        <w:r>
          <w:rPr>
            <w:color w:val="000000"/>
          </w:rPr>
          <w:t xml:space="preserve">viridis / rubens</w:t>
        </w:r>
      </w:hyperlink>
      <w:r>
        <w:rPr>
          <w:b w:val="0"/>
          <w:i w:val="0"/>
        </w:rPr>
        <w:t>.</w:t>
      </w:r>
    </w:p>
    <w:p>
      <w:pPr>
        <w:widowControl/>
      </w:pPr>
      <w:bookmarkStart w:id="1947" w:name="passage-iii-1-11"/>
      <w:bookmarkEnd w:id="1947"/>
      <w:r>
        <w:rPr>
          <w:b/>
          <w:i w:val="0"/>
        </w:rPr>
        <w:t>III.1.11</w:t>
      </w:r>
      <w:r>
        <w:rPr>
          <w:b/>
          <w:i w:val="0"/>
        </w:rPr>
        <w:t>, source pp. 246–247.</w:t>
      </w:r>
      <w:r>
        <w:rPr>
          <w:b w:val="0"/>
          <w:i w:val="0"/>
        </w:rPr>
        <w:t xml:space="preserve"> Articles: </w:t>
      </w:r>
      <w:hyperlink w:anchor="act-and-operation">
        <w:r>
          <w:rPr>
            <w:color w:val="000000"/>
          </w:rPr>
          <w:t xml:space="preserve">Act and operation</w:t>
        </w:r>
      </w:hyperlink>
      <w:r>
        <w:rPr>
          <w:b w:val="0"/>
          <w:i w:val="0"/>
        </w:rPr>
        <w:t xml:space="preserve">; </w:t>
      </w:r>
      <w:hyperlink w:anchor="infinity">
        <w:r>
          <w:rPr>
            <w:color w:val="000000"/>
          </w:rPr>
          <w:t xml:space="preserve">Infinity</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868">
        <w:r>
          <w:rPr>
            <w:color w:val="000000"/>
          </w:rPr>
          <w:t xml:space="preserve">Phaedo / Philebus / Politicus / Phaedrus</w:t>
        </w:r>
      </w:hyperlink>
      <w:r>
        <w:rPr>
          <w:b w:val="0"/>
          <w:i w:val="0"/>
        </w:rPr>
        <w:t xml:space="preserve">; </w:t>
      </w:r>
      <w:hyperlink w:anchor="latin-record-1194">
        <w:r>
          <w:rPr>
            <w:color w:val="000000"/>
          </w:rPr>
          <w:t xml:space="preserve">terminus / infinitum</w:t>
        </w:r>
      </w:hyperlink>
      <w:r>
        <w:rPr>
          <w:b w:val="0"/>
          <w:i w:val="0"/>
        </w:rPr>
        <w:t>.</w:t>
      </w:r>
    </w:p>
    <w:p>
      <w:pPr>
        <w:widowControl/>
      </w:pPr>
      <w:bookmarkStart w:id="1948" w:name="passage-iii-1-12"/>
      <w:bookmarkEnd w:id="1948"/>
      <w:r>
        <w:rPr>
          <w:b/>
          <w:i w:val="0"/>
        </w:rPr>
        <w:t>III.1.12</w:t>
      </w:r>
      <w:r>
        <w:rPr>
          <w:b/>
          <w:i w:val="0"/>
        </w:rPr>
        <w:t>, source pp. 248–249.</w:t>
      </w:r>
      <w:r>
        <w:rPr>
          <w:b w:val="0"/>
          <w:i w:val="0"/>
        </w:rPr>
        <w:t xml:space="preserve"> Articles: </w:t>
      </w:r>
      <w:hyperlink w:anchor="act-and-operation">
        <w:r>
          <w:rPr>
            <w:color w:val="000000"/>
          </w:rPr>
          <w:t xml:space="preserve">Act and operation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ideas-and-exemplars">
        <w:r>
          <w:rPr>
            <w:color w:val="000000"/>
          </w:rPr>
          <w:t xml:space="preserve">Ideas and exemplars</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ght-and-illumination">
        <w:r>
          <w:rPr>
            <w:color w:val="000000"/>
          </w:rPr>
          <w:t xml:space="preserve">Light and illumination</w:t>
        </w:r>
      </w:hyperlink>
      <w:r>
        <w:rPr>
          <w:b w:val="0"/>
          <w:i w:val="0"/>
        </w:rPr>
        <w:t xml:space="preserve">; </w:t>
      </w:r>
      <w:hyperlink w:anchor="receiving-and-giving">
        <w:r>
          <w:rPr>
            <w:color w:val="000000"/>
          </w:rPr>
          <w:t xml:space="preserve">Receiving and giving</w:t>
        </w:r>
      </w:hyperlink>
      <w:r>
        <w:rPr>
          <w:b w:val="0"/>
          <w:i w:val="0"/>
        </w:rPr>
        <w:t xml:space="preserve">; </w:t>
      </w:r>
      <w:hyperlink w:anchor="second-mind">
        <w:r>
          <w:rPr>
            <w:color w:val="000000"/>
          </w:rPr>
          <w:t xml:space="preserve">Second mind</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67">
        <w:r>
          <w:rPr>
            <w:color w:val="000000"/>
          </w:rPr>
          <w:t xml:space="preserve">angelus</w:t>
        </w:r>
      </w:hyperlink>
      <w:r>
        <w:rPr>
          <w:b w:val="0"/>
          <w:i w:val="0"/>
        </w:rPr>
        <w:t xml:space="preserve">; </w:t>
      </w:r>
      <w:hyperlink w:anchor="latin-record-0570">
        <w:r>
          <w:rPr>
            <w:color w:val="000000"/>
          </w:rPr>
          <w:t xml:space="preserve">informis / ornatus</w:t>
        </w:r>
      </w:hyperlink>
      <w:r>
        <w:rPr>
          <w:b w:val="0"/>
          <w:i w:val="0"/>
        </w:rPr>
        <w:t xml:space="preserve">; </w:t>
      </w:r>
      <w:hyperlink w:anchor="latin-record-0656">
        <w:r>
          <w:rPr>
            <w:color w:val="000000"/>
          </w:rPr>
          <w:t xml:space="preserve">lux / lumen / illuminare</w:t>
        </w:r>
      </w:hyperlink>
      <w:r>
        <w:rPr>
          <w:b w:val="0"/>
          <w:i w:val="0"/>
        </w:rPr>
        <w:t xml:space="preserve">; </w:t>
      </w:r>
      <w:hyperlink w:anchor="latin-record-0686">
        <w:r>
          <w:rPr>
            <w:color w:val="000000"/>
          </w:rPr>
          <w:t xml:space="preserve">mens</w:t>
        </w:r>
      </w:hyperlink>
      <w:r>
        <w:rPr>
          <w:b w:val="0"/>
          <w:i w:val="0"/>
        </w:rPr>
        <w:t xml:space="preserve">; </w:t>
      </w:r>
      <w:hyperlink w:anchor="latin-record-0689">
        <w:r>
          <w:rPr>
            <w:color w:val="000000"/>
          </w:rPr>
          <w:t xml:space="preserve">mens secunda</w:t>
        </w:r>
      </w:hyperlink>
      <w:r>
        <w:rPr>
          <w:b w:val="0"/>
          <w:i w:val="0"/>
        </w:rPr>
        <w:t xml:space="preserve">; </w:t>
      </w:r>
      <w:hyperlink w:anchor="latin-record-0857">
        <w:r>
          <w:rPr>
            <w:color w:val="000000"/>
          </w:rPr>
          <w:t xml:space="preserve">perfectus / perficere</w:t>
        </w:r>
      </w:hyperlink>
      <w:r>
        <w:rPr>
          <w:b w:val="0"/>
          <w:i w:val="0"/>
        </w:rPr>
        <w:t xml:space="preserve">; </w:t>
      </w:r>
      <w:hyperlink w:anchor="greek-record-17">
        <w:r>
          <w:rPr>
            <w:color w:val="000000"/>
          </w:rPr>
          <w:t xml:space="preserve">Giving to the second mind</w:t>
        </w:r>
      </w:hyperlink>
      <w:r>
        <w:rPr>
          <w:b w:val="0"/>
          <w:i w:val="0"/>
        </w:rPr>
        <w:t>.</w:t>
      </w:r>
    </w:p>
    <w:p>
      <w:pPr>
        <w:widowControl/>
      </w:pPr>
      <w:bookmarkStart w:id="1949" w:name="passage-iii-1-13"/>
      <w:bookmarkEnd w:id="1949"/>
      <w:r>
        <w:rPr>
          <w:b/>
          <w:i w:val="0"/>
        </w:rPr>
        <w:t>III.1.13</w:t>
      </w:r>
      <w:r>
        <w:rPr>
          <w:b/>
          <w:i w:val="0"/>
        </w:rPr>
        <w:t>, source pp. 248–249.</w:t>
      </w:r>
      <w:r>
        <w:rPr>
          <w:b w:val="0"/>
          <w:i w:val="0"/>
        </w:rPr>
        <w:t xml:space="preserve"> Articles: </w:t>
      </w:r>
      <w:hyperlink w:anchor="essence-and-substance">
        <w:r>
          <w:rPr>
            <w:color w:val="000000"/>
          </w:rPr>
          <w:t xml:space="preserve">Essence and substance</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441">
        <w:r>
          <w:rPr>
            <w:color w:val="000000"/>
          </w:rPr>
          <w:t xml:space="preserve">ferme / ut ita loquar</w:t>
        </w:r>
      </w:hyperlink>
      <w:r>
        <w:rPr>
          <w:b w:val="0"/>
          <w:i w:val="0"/>
        </w:rPr>
        <w:t>.</w:t>
      </w:r>
    </w:p>
    <w:p>
      <w:pPr>
        <w:widowControl/>
      </w:pPr>
      <w:bookmarkStart w:id="1950" w:name="passage-iii-1-14"/>
      <w:bookmarkEnd w:id="1950"/>
      <w:r>
        <w:rPr>
          <w:b/>
          <w:i w:val="0"/>
        </w:rPr>
        <w:t>III.1.14</w:t>
      </w:r>
      <w:r>
        <w:rPr>
          <w:b/>
          <w:i w:val="0"/>
        </w:rPr>
        <w:t>, source pp. 248–249.</w:t>
      </w:r>
      <w:r>
        <w:rPr>
          <w:b w:val="0"/>
          <w:i w:val="0"/>
        </w:rPr>
        <w:t xml:space="preserve"> Articles: </w:t>
      </w:r>
      <w:hyperlink w:anchor="essence-and-substance">
        <w:r>
          <w:rPr>
            <w:color w:val="000000"/>
          </w:rPr>
          <w:t xml:space="preserve">Essence and substance</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1175">
        <w:r>
          <w:rPr>
            <w:color w:val="000000"/>
          </w:rPr>
          <w:t xml:space="preserve">superior / inferior / propinquus</w:t>
        </w:r>
      </w:hyperlink>
      <w:r>
        <w:rPr>
          <w:b w:val="0"/>
          <w:i w:val="0"/>
        </w:rPr>
        <w:t>.</w:t>
      </w:r>
    </w:p>
    <w:p>
      <w:pPr>
        <w:widowControl/>
      </w:pPr>
      <w:bookmarkStart w:id="1951" w:name="passage-iii-1-15"/>
      <w:bookmarkEnd w:id="1951"/>
      <w:r>
        <w:rPr>
          <w:b/>
          <w:i w:val="0"/>
        </w:rPr>
        <w:t>III.1.15</w:t>
      </w:r>
      <w:r>
        <w:rPr>
          <w:b/>
          <w:i w:val="0"/>
        </w:rPr>
        <w:t>, source pp. 248–249.</w:t>
      </w:r>
      <w:r>
        <w:rPr>
          <w:b w:val="0"/>
          <w:i w:val="0"/>
        </w:rPr>
        <w:t xml:space="preserve"> Articles: </w:t>
      </w:r>
      <w:hyperlink w:anchor="essence-and-substance">
        <w:r>
          <w:rPr>
            <w:color w:val="000000"/>
          </w:rPr>
          <w:t xml:space="preserve">Essence and substance</w:t>
        </w:r>
      </w:hyperlink>
      <w:r>
        <w:rPr>
          <w:b w:val="0"/>
          <w:i w:val="0"/>
        </w:rPr>
        <w:t xml:space="preserve">; </w:t>
      </w:r>
      <w:hyperlink w:anchor="soul">
        <w:r>
          <w:rPr>
            <w:color w:val="000000"/>
          </w:rPr>
          <w:t xml:space="preserve">Soul</w:t>
        </w:r>
      </w:hyperlink>
      <w:r>
        <w:rPr>
          <w:b w:val="0"/>
          <w:i w:val="0"/>
        </w:rPr>
        <w:t xml:space="preserve">; </w:t>
      </w:r>
      <w:hyperlink w:anchor="staying-and-preserving">
        <w:r>
          <w:rPr>
            <w:color w:val="000000"/>
          </w:rPr>
          <w:t xml:space="preserve">Staying and preserving</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384">
        <w:r>
          <w:rPr>
            <w:color w:val="000000"/>
          </w:rPr>
          <w:t xml:space="preserve">essentia / substantia</w:t>
        </w:r>
      </w:hyperlink>
      <w:r>
        <w:rPr>
          <w:b w:val="0"/>
          <w:i w:val="0"/>
        </w:rPr>
        <w:t xml:space="preserve">; </w:t>
      </w:r>
      <w:hyperlink w:anchor="latin-record-0736">
        <w:r>
          <w:rPr>
            <w:color w:val="000000"/>
          </w:rPr>
          <w:t xml:space="preserve">mutare / mutatio</w:t>
        </w:r>
      </w:hyperlink>
      <w:r>
        <w:rPr>
          <w:b w:val="0"/>
          <w:i w:val="0"/>
        </w:rPr>
        <w:t xml:space="preserve">; </w:t>
      </w:r>
      <w:hyperlink w:anchor="latin-record-0830">
        <w:r>
          <w:rPr>
            <w:color w:val="000000"/>
          </w:rPr>
          <w:t xml:space="preserve">partim</w:t>
        </w:r>
      </w:hyperlink>
      <w:r>
        <w:rPr>
          <w:b w:val="0"/>
          <w:i w:val="0"/>
        </w:rPr>
        <w:t>.</w:t>
      </w:r>
    </w:p>
    <w:p>
      <w:pPr>
        <w:widowControl/>
      </w:pPr>
      <w:bookmarkStart w:id="1952" w:name="passage-iii-1-16"/>
      <w:bookmarkEnd w:id="1952"/>
      <w:r>
        <w:rPr>
          <w:b/>
          <w:i w:val="0"/>
        </w:rPr>
        <w:t>III.1.16</w:t>
      </w:r>
      <w:r>
        <w:rPr>
          <w:b/>
          <w:i w:val="0"/>
        </w:rPr>
        <w:t>, source pp. 250–251.</w:t>
      </w:r>
      <w:r>
        <w:rPr>
          <w:b w:val="0"/>
          <w:i w:val="0"/>
        </w:rPr>
        <w:t xml:space="preserve"> Articles: </w:t>
      </w:r>
      <w:hyperlink w:anchor="essence-and-substance">
        <w:r>
          <w:rPr>
            <w:color w:val="000000"/>
          </w:rPr>
          <w:t xml:space="preserve">Essence and substance</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456">
        <w:r>
          <w:rPr>
            <w:color w:val="000000"/>
          </w:rPr>
          <w:t xml:space="preserve">fluere</w:t>
        </w:r>
      </w:hyperlink>
      <w:r>
        <w:rPr>
          <w:b w:val="0"/>
          <w:i w:val="0"/>
        </w:rPr>
        <w:t xml:space="preserve">; </w:t>
      </w:r>
      <w:hyperlink w:anchor="latin-record-0736">
        <w:r>
          <w:rPr>
            <w:color w:val="000000"/>
          </w:rPr>
          <w:t xml:space="preserve">mutare / mutatio</w:t>
        </w:r>
      </w:hyperlink>
      <w:r>
        <w:rPr>
          <w:b w:val="0"/>
          <w:i w:val="0"/>
        </w:rPr>
        <w:t>.</w:t>
      </w:r>
    </w:p>
    <w:p>
      <w:pPr>
        <w:widowControl/>
      </w:pPr>
      <w:bookmarkStart w:id="1953" w:name="passage-iii-1-17"/>
      <w:bookmarkEnd w:id="1953"/>
      <w:r>
        <w:rPr>
          <w:b/>
          <w:i w:val="0"/>
        </w:rPr>
        <w:t>III.1.17</w:t>
      </w:r>
      <w:r>
        <w:rPr>
          <w:b/>
          <w:i w:val="0"/>
        </w:rPr>
        <w:t>, source pp. 250–251.</w:t>
      </w:r>
      <w:r>
        <w:rPr>
          <w:b w:val="0"/>
          <w:i w:val="0"/>
        </w:rPr>
        <w:t xml:space="preserve"> Articles: </w:t>
      </w:r>
      <w:hyperlink w:anchor="art-and-nature">
        <w:r>
          <w:rPr>
            <w:color w:val="000000"/>
          </w:rPr>
          <w:t xml:space="preserve">Art and nature</w:t>
        </w:r>
      </w:hyperlink>
      <w:r>
        <w:rPr>
          <w:b w:val="0"/>
          <w:i w:val="0"/>
        </w:rPr>
        <w:t xml:space="preserve">; </w:t>
      </w:r>
      <w:hyperlink w:anchor="essence-and-substance">
        <w:r>
          <w:rPr>
            <w:color w:val="000000"/>
          </w:rPr>
          <w:t xml:space="preserve">Essence and substance</w:t>
        </w:r>
      </w:hyperlink>
      <w:r>
        <w:rPr>
          <w:b w:val="0"/>
          <w:i w:val="0"/>
        </w:rPr>
        <w:t xml:space="preserve">; </w:t>
      </w:r>
      <w:hyperlink w:anchor="motion-and-stability">
        <w:r>
          <w:rPr>
            <w:color w:val="000000"/>
          </w:rPr>
          <w:t xml:space="preserve">Motion and stability</w:t>
        </w:r>
      </w:hyperlink>
      <w:r>
        <w:rPr>
          <w:b w:val="0"/>
          <w:i w:val="0"/>
        </w:rPr>
        <w:t xml:space="preserve">; </w:t>
      </w:r>
      <w:hyperlink w:anchor="shadows-and-dependence">
        <w:r>
          <w:rPr>
            <w:color w:val="000000"/>
          </w:rPr>
          <w:t xml:space="preserve">Shadows and dependence</w:t>
        </w:r>
      </w:hyperlink>
      <w:r>
        <w:rPr>
          <w:b w:val="0"/>
          <w:i w:val="0"/>
        </w:rPr>
        <w:t xml:space="preserve">; </w:t>
      </w:r>
      <w:hyperlink w:anchor="soul">
        <w:r>
          <w:rPr>
            <w:color w:val="000000"/>
          </w:rPr>
          <w:t xml:space="preserve">Soul</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301">
        <w:r>
          <w:rPr>
            <w:color w:val="000000"/>
          </w:rPr>
          <w:t xml:space="preserve">degenerare</w:t>
        </w:r>
      </w:hyperlink>
      <w:r>
        <w:rPr>
          <w:b w:val="0"/>
          <w:i w:val="0"/>
        </w:rPr>
        <w:t xml:space="preserve">; </w:t>
      </w:r>
      <w:hyperlink w:anchor="latin-record-0736">
        <w:r>
          <w:rPr>
            <w:color w:val="000000"/>
          </w:rPr>
          <w:t xml:space="preserve">mutare / mutatio</w:t>
        </w:r>
      </w:hyperlink>
      <w:r>
        <w:rPr>
          <w:b w:val="0"/>
          <w:i w:val="0"/>
        </w:rPr>
        <w:t xml:space="preserve">; </w:t>
      </w:r>
      <w:hyperlink w:anchor="latin-record-1215">
        <w:r>
          <w:rPr>
            <w:color w:val="000000"/>
          </w:rPr>
          <w:t xml:space="preserve">umbra</w:t>
        </w:r>
      </w:hyperlink>
      <w:r>
        <w:rPr>
          <w:b w:val="0"/>
          <w:i w:val="0"/>
        </w:rPr>
        <w:t>.</w:t>
      </w:r>
    </w:p>
    <w:p>
      <w:pPr>
        <w:widowControl/>
      </w:pPr>
      <w:bookmarkStart w:id="1954" w:name="passage-iii-1-18"/>
      <w:bookmarkEnd w:id="1954"/>
      <w:r>
        <w:rPr>
          <w:b/>
          <w:i w:val="0"/>
        </w:rPr>
        <w:t>III.1.18</w:t>
      </w:r>
      <w:r>
        <w:rPr>
          <w:b/>
          <w:i w:val="0"/>
        </w:rPr>
        <w:t>, source pp. 250–251.</w:t>
      </w:r>
      <w:r>
        <w:rPr>
          <w:b w:val="0"/>
          <w:i w:val="0"/>
        </w:rPr>
        <w:t xml:space="preserve"> Articles: </w:t>
      </w:r>
      <w:hyperlink w:anchor="art-and-nature">
        <w:r>
          <w:rPr>
            <w:color w:val="000000"/>
          </w:rPr>
          <w:t xml:space="preserve">Art and nature</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unity-and-multiplicity">
        <w:r>
          <w:rPr>
            <w:color w:val="000000"/>
          </w:rPr>
          <w:t xml:space="preserve">Unity and multiplicity</w:t>
        </w:r>
      </w:hyperlink>
      <w:r>
        <w:rPr>
          <w:b w:val="0"/>
          <w:i w:val="0"/>
        </w:rPr>
        <w:t>.</w:t>
      </w:r>
    </w:p>
    <w:p>
      <w:pPr>
        <w:widowControl/>
      </w:pPr>
      <w:bookmarkStart w:id="1955" w:name="passage-iii-1-19"/>
      <w:bookmarkEnd w:id="1955"/>
      <w:r>
        <w:rPr>
          <w:b/>
          <w:i w:val="0"/>
        </w:rPr>
        <w:t>III.1.19</w:t>
      </w:r>
      <w:r>
        <w:rPr>
          <w:b/>
          <w:i w:val="0"/>
        </w:rPr>
        <w:t>, source pp. 250–251.</w:t>
      </w:r>
      <w:r>
        <w:rPr>
          <w:b w:val="0"/>
          <w:i w:val="0"/>
        </w:rPr>
        <w:t xml:space="preserve"> Articles: </w:t>
      </w:r>
      <w:hyperlink w:anchor="art-and-nature">
        <w:r>
          <w:rPr>
            <w:color w:val="000000"/>
          </w:rPr>
          <w:t xml:space="preserve">Art and nature</w:t>
        </w:r>
      </w:hyperlink>
      <w:r>
        <w:rPr>
          <w:b w:val="0"/>
          <w:i w:val="0"/>
        </w:rPr>
        <w:t xml:space="preserve">; </w:t>
      </w:r>
      <w:hyperlink w:anchor="motion-and-stability">
        <w:r>
          <w:rPr>
            <w:color w:val="000000"/>
          </w:rPr>
          <w:t xml:space="preserve">Motion and stability</w:t>
        </w:r>
      </w:hyperlink>
      <w:r>
        <w:rPr>
          <w:b w:val="0"/>
          <w:i w:val="0"/>
        </w:rPr>
        <w:t xml:space="preserve">; </w:t>
      </w:r>
      <w:hyperlink w:anchor="shadows-and-dependence">
        <w:r>
          <w:rPr>
            <w:color w:val="000000"/>
          </w:rPr>
          <w:t xml:space="preserve">Shadows and dependence</w:t>
        </w:r>
      </w:hyperlink>
      <w:r>
        <w:rPr>
          <w:b w:val="0"/>
          <w:i w:val="0"/>
        </w:rPr>
        <w:t xml:space="preserve">; </w:t>
      </w:r>
      <w:hyperlink w:anchor="soul">
        <w:r>
          <w:rPr>
            <w:color w:val="000000"/>
          </w:rPr>
          <w:t xml:space="preserve">Soul</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839">
        <w:r>
          <w:rPr>
            <w:color w:val="000000"/>
          </w:rPr>
          <w:t xml:space="preserve">pati / passio</w:t>
        </w:r>
      </w:hyperlink>
      <w:r>
        <w:rPr>
          <w:b w:val="0"/>
          <w:i w:val="0"/>
        </w:rPr>
        <w:t xml:space="preserve">; </w:t>
      </w:r>
      <w:hyperlink w:anchor="latin-record-1215">
        <w:r>
          <w:rPr>
            <w:color w:val="000000"/>
          </w:rPr>
          <w:t xml:space="preserve">umbra</w:t>
        </w:r>
      </w:hyperlink>
      <w:r>
        <w:rPr>
          <w:b w:val="0"/>
          <w:i w:val="0"/>
        </w:rPr>
        <w:t>.</w:t>
      </w:r>
    </w:p>
    <w:p>
      <w:pPr>
        <w:widowControl/>
      </w:pPr>
      <w:bookmarkStart w:id="1956" w:name="passage-iii-1-20"/>
      <w:bookmarkEnd w:id="1956"/>
      <w:r>
        <w:rPr>
          <w:b/>
          <w:i w:val="0"/>
        </w:rPr>
        <w:t>III.1.20</w:t>
      </w:r>
      <w:r>
        <w:rPr>
          <w:b/>
          <w:i w:val="0"/>
        </w:rPr>
        <w:t>, source pp. 252–253.</w:t>
      </w:r>
      <w:r>
        <w:rPr>
          <w:b w:val="0"/>
          <w:i w:val="0"/>
        </w:rPr>
        <w:t xml:space="preserve"> Articles: </w:t>
      </w:r>
      <w:hyperlink w:anchor="art-and-nature">
        <w:r>
          <w:rPr>
            <w:color w:val="000000"/>
          </w:rPr>
          <w:t xml:space="preserve">Art and nature</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154">
        <w:r>
          <w:rPr>
            <w:color w:val="000000"/>
          </w:rPr>
          <w:t xml:space="preserve">cedere / excedere</w:t>
        </w:r>
      </w:hyperlink>
      <w:r>
        <w:rPr>
          <w:b w:val="0"/>
          <w:i w:val="0"/>
        </w:rPr>
        <w:t>.</w:t>
      </w:r>
    </w:p>
    <w:p>
      <w:pPr>
        <w:widowControl/>
      </w:pPr>
      <w:bookmarkStart w:id="1957" w:name="passage-iii-1-21"/>
      <w:bookmarkEnd w:id="1957"/>
      <w:r>
        <w:rPr>
          <w:b/>
          <w:i w:val="0"/>
        </w:rPr>
        <w:t>III.1.21</w:t>
      </w:r>
      <w:r>
        <w:rPr>
          <w:b/>
          <w:i w:val="0"/>
        </w:rPr>
        <w:t>, source pp. 252–253.</w:t>
      </w:r>
      <w:r>
        <w:rPr>
          <w:b w:val="0"/>
          <w:i w:val="0"/>
        </w:rPr>
        <w:t xml:space="preserve"> Articles: </w:t>
      </w:r>
      <w:hyperlink w:anchor="art-and-nature">
        <w:r>
          <w:rPr>
            <w:color w:val="000000"/>
          </w:rPr>
          <w:t xml:space="preserve">Art and nature</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53">
        <w:r>
          <w:rPr>
            <w:color w:val="000000"/>
          </w:rPr>
          <w:t xml:space="preserve">alius / idem / uterque — explanatory distinction</w:t>
        </w:r>
      </w:hyperlink>
      <w:r>
        <w:rPr>
          <w:b w:val="0"/>
          <w:i w:val="0"/>
        </w:rPr>
        <w:t xml:space="preserve">; </w:t>
      </w:r>
      <w:hyperlink w:anchor="latin-record-1017">
        <w:r>
          <w:rPr>
            <w:color w:val="000000"/>
          </w:rPr>
          <w:t xml:space="preserve">rapere / includere</w:t>
        </w:r>
      </w:hyperlink>
      <w:r>
        <w:rPr>
          <w:b w:val="0"/>
          <w:i w:val="0"/>
        </w:rPr>
        <w:t xml:space="preserve">; </w:t>
      </w:r>
      <w:hyperlink w:anchor="greek-record-18">
        <w:r>
          <w:rPr>
            <w:color w:val="000000"/>
          </w:rPr>
          <w:t xml:space="preserve">The father withdrawing himself</w:t>
        </w:r>
      </w:hyperlink>
      <w:r>
        <w:rPr>
          <w:b w:val="0"/>
          <w:i w:val="0"/>
        </w:rPr>
        <w:t>.</w:t>
      </w:r>
    </w:p>
    <w:p>
      <w:pPr>
        <w:widowControl/>
      </w:pPr>
      <w:bookmarkStart w:id="1958" w:name="passage-iii-1-22"/>
      <w:bookmarkEnd w:id="1958"/>
      <w:r>
        <w:rPr>
          <w:b/>
          <w:i w:val="0"/>
        </w:rPr>
        <w:t>III.1.22</w:t>
      </w:r>
      <w:r>
        <w:rPr>
          <w:b/>
          <w:i w:val="0"/>
        </w:rPr>
        <w:t>, source pp. 252–253.</w:t>
      </w:r>
      <w:r>
        <w:rPr>
          <w:b w:val="0"/>
          <w:i w:val="0"/>
        </w:rPr>
        <w:t xml:space="preserve"> Articles: </w:t>
      </w:r>
      <w:hyperlink w:anchor="art-and-nature">
        <w:r>
          <w:rPr>
            <w:color w:val="000000"/>
          </w:rPr>
          <w:t xml:space="preserve">Art and nature</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staying-and-preserving">
        <w:r>
          <w:rPr>
            <w:color w:val="000000"/>
          </w:rPr>
          <w:t xml:space="preserve">Staying and preserving</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863">
        <w:r>
          <w:rPr>
            <w:color w:val="000000"/>
          </w:rPr>
          <w:t xml:space="preserve">perseverare</w:t>
        </w:r>
      </w:hyperlink>
      <w:r>
        <w:rPr>
          <w:b w:val="0"/>
          <w:i w:val="0"/>
        </w:rPr>
        <w:t xml:space="preserve">; </w:t>
      </w:r>
      <w:hyperlink w:anchor="latin-record-1035">
        <w:r>
          <w:rPr>
            <w:color w:val="000000"/>
          </w:rPr>
          <w:t xml:space="preserve">reducere / referre</w:t>
        </w:r>
      </w:hyperlink>
      <w:r>
        <w:rPr>
          <w:b w:val="0"/>
          <w:i w:val="0"/>
        </w:rPr>
        <w:t xml:space="preserve">; </w:t>
      </w:r>
      <w:hyperlink w:anchor="latin-record-1139">
        <w:r>
          <w:rPr>
            <w:color w:val="000000"/>
          </w:rPr>
          <w:t xml:space="preserve">stare / status</w:t>
        </w:r>
      </w:hyperlink>
      <w:r>
        <w:rPr>
          <w:b w:val="0"/>
          <w:i w:val="0"/>
        </w:rPr>
        <w:t>.</w:t>
      </w:r>
    </w:p>
    <w:p>
      <w:pPr>
        <w:widowControl/>
      </w:pPr>
      <w:bookmarkStart w:id="1959" w:name="passage-iii-1-23"/>
      <w:bookmarkEnd w:id="1959"/>
      <w:r>
        <w:rPr>
          <w:b/>
          <w:i w:val="0"/>
        </w:rPr>
        <w:t>III.1.23</w:t>
      </w:r>
      <w:r>
        <w:rPr>
          <w:b/>
          <w:i w:val="0"/>
        </w:rPr>
        <w:t>, source pp. 254–255.</w:t>
      </w:r>
      <w:r>
        <w:rPr>
          <w:b w:val="0"/>
          <w:i w:val="0"/>
        </w:rPr>
        <w:t xml:space="preserve"> Articles: </w:t>
      </w:r>
      <w:hyperlink w:anchor="art-and-nature">
        <w:r>
          <w:rPr>
            <w:color w:val="000000"/>
          </w:rPr>
          <w:t xml:space="preserve">Art and nature</w:t>
        </w:r>
      </w:hyperlink>
      <w:r>
        <w:rPr>
          <w:b w:val="0"/>
          <w:i w:val="0"/>
        </w:rPr>
        <w:t xml:space="preserve">; </w:t>
      </w:r>
      <w:hyperlink w:anchor="first-movable">
        <w:r>
          <w:rPr>
            <w:color w:val="000000"/>
          </w:rPr>
          <w:t xml:space="preserve">First movable</w:t>
        </w:r>
      </w:hyperlink>
      <w:r>
        <w:rPr>
          <w:b w:val="0"/>
          <w:i w:val="0"/>
        </w:rPr>
        <w:t xml:space="preserve">; </w:t>
      </w:r>
      <w:hyperlink w:anchor="image-and-likeness">
        <w:r>
          <w:rPr>
            <w:color w:val="000000"/>
          </w:rPr>
          <w:t xml:space="preserve">Image and likeness</w:t>
        </w:r>
      </w:hyperlink>
      <w:r>
        <w:rPr>
          <w:b w:val="0"/>
          <w:i w:val="0"/>
        </w:rPr>
        <w:t xml:space="preserve">; </w:t>
      </w:r>
      <w:hyperlink w:anchor="life">
        <w:r>
          <w:rPr>
            <w:color w:val="000000"/>
          </w:rPr>
          <w:t xml:space="preserve">Life</w:t>
        </w:r>
      </w:hyperlink>
      <w:r>
        <w:rPr>
          <w:b w:val="0"/>
          <w:i w:val="0"/>
        </w:rPr>
        <w:t xml:space="preserve">; </w:t>
      </w:r>
      <w:hyperlink w:anchor="motion-and-stability">
        <w:r>
          <w:rPr>
            <w:color w:val="000000"/>
          </w:rPr>
          <w:t xml:space="preserve">Motion and stability</w:t>
        </w:r>
      </w:hyperlink>
      <w:r>
        <w:rPr>
          <w:b w:val="0"/>
          <w:i w:val="0"/>
        </w:rPr>
        <w:t xml:space="preserve">; </w:t>
      </w:r>
      <w:hyperlink w:anchor="number">
        <w:r>
          <w:rPr>
            <w:color w:val="000000"/>
          </w:rPr>
          <w:t xml:space="preserve">Number</w:t>
        </w:r>
      </w:hyperlink>
      <w:r>
        <w:rPr>
          <w:b w:val="0"/>
          <w:i w:val="0"/>
        </w:rPr>
        <w:t xml:space="preserve">; </w:t>
      </w:r>
      <w:hyperlink w:anchor="qualification-and-attribution">
        <w:r>
          <w:rPr>
            <w:color w:val="000000"/>
          </w:rPr>
          <w:t xml:space="preserve">Qualification and attribution</w:t>
        </w:r>
      </w:hyperlink>
      <w:r>
        <w:rPr>
          <w:b w:val="0"/>
          <w:i w:val="0"/>
        </w:rPr>
        <w:t xml:space="preserve">; </w:t>
      </w:r>
      <w:hyperlink w:anchor="soul">
        <w:r>
          <w:rPr>
            <w:color w:val="000000"/>
          </w:rPr>
          <w:t xml:space="preserve">Soul</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xenocrates-and-the-riddle">
        <w:r>
          <w:rPr>
            <w:color w:val="000000"/>
          </w:rPr>
          <w:t xml:space="preserve">Xenocrates and the riddle</w:t>
        </w:r>
      </w:hyperlink>
      <w:r>
        <w:rPr>
          <w:b w:val="0"/>
          <w:i w:val="0"/>
        </w:rPr>
        <w:t xml:space="preserve">. Vocabulary: </w:t>
      </w:r>
      <w:hyperlink w:anchor="latin-record-0034">
        <w:r>
          <w:rPr>
            <w:color w:val="000000"/>
          </w:rPr>
          <w:t xml:space="preserve">aenigma / Xenocrates</w:t>
        </w:r>
      </w:hyperlink>
      <w:r>
        <w:rPr>
          <w:b w:val="0"/>
          <w:i w:val="0"/>
        </w:rPr>
        <w:t xml:space="preserve">; </w:t>
      </w:r>
      <w:hyperlink w:anchor="latin-record-0456">
        <w:r>
          <w:rPr>
            <w:color w:val="000000"/>
          </w:rPr>
          <w:t xml:space="preserve">fluere</w:t>
        </w:r>
      </w:hyperlink>
      <w:r>
        <w:rPr>
          <w:b w:val="0"/>
          <w:i w:val="0"/>
        </w:rPr>
        <w:t xml:space="preserve">; </w:t>
      </w:r>
      <w:hyperlink w:anchor="latin-record-0546">
        <w:r>
          <w:rPr>
            <w:color w:val="000000"/>
          </w:rPr>
          <w:t xml:space="preserve">impulsus / sua sponte</w:t>
        </w:r>
      </w:hyperlink>
      <w:r>
        <w:rPr>
          <w:b w:val="0"/>
          <w:i w:val="0"/>
        </w:rPr>
        <w:t xml:space="preserve">; </w:t>
      </w:r>
      <w:hyperlink w:anchor="latin-record-0776">
        <w:r>
          <w:rPr>
            <w:color w:val="000000"/>
          </w:rPr>
          <w:t xml:space="preserve">numerus se movens</w:t>
        </w:r>
      </w:hyperlink>
      <w:r>
        <w:rPr>
          <w:b w:val="0"/>
          <w:i w:val="0"/>
        </w:rPr>
        <w:t xml:space="preserve">; </w:t>
      </w:r>
      <w:hyperlink w:anchor="latin-record-0924">
        <w:r>
          <w:rPr>
            <w:color w:val="000000"/>
          </w:rPr>
          <w:t xml:space="preserve">primum / summum / ultimum</w:t>
        </w:r>
      </w:hyperlink>
      <w:r>
        <w:rPr>
          <w:b w:val="0"/>
          <w:i w:val="0"/>
        </w:rPr>
        <w:t xml:space="preserve">; </w:t>
      </w:r>
      <w:hyperlink w:anchor="latin-record-0990">
        <w:r>
          <w:rPr>
            <w:color w:val="000000"/>
          </w:rPr>
          <w:t xml:space="preserve">puta</w:t>
        </w:r>
      </w:hyperlink>
      <w:r>
        <w:rPr>
          <w:b w:val="0"/>
          <w:i w:val="0"/>
        </w:rPr>
        <w:t xml:space="preserve">; </w:t>
      </w:r>
      <w:hyperlink w:anchor="latin-record-0991">
        <w:r>
          <w:rPr>
            <w:color w:val="000000"/>
          </w:rPr>
          <w:t xml:space="preserve">putare / arbitrari</w:t>
        </w:r>
      </w:hyperlink>
      <w:r>
        <w:rPr>
          <w:b w:val="0"/>
          <w:i w:val="0"/>
        </w:rPr>
        <w:t xml:space="preserve">; </w:t>
      </w:r>
      <w:hyperlink w:anchor="latin-record-1035">
        <w:r>
          <w:rPr>
            <w:color w:val="000000"/>
          </w:rPr>
          <w:t xml:space="preserve">reducere / referre</w:t>
        </w:r>
      </w:hyperlink>
      <w:r>
        <w:rPr>
          <w:b w:val="0"/>
          <w:i w:val="0"/>
        </w:rPr>
        <w:t>.</w:t>
      </w:r>
    </w:p>
    <w:p>
      <w:pPr>
        <w:widowControl/>
      </w:pPr>
      <w:bookmarkStart w:id="1960" w:name="passage-iii-1-24"/>
      <w:bookmarkEnd w:id="1960"/>
      <w:r>
        <w:rPr>
          <w:b/>
          <w:i w:val="0"/>
        </w:rPr>
        <w:t>III.1.24</w:t>
      </w:r>
      <w:r>
        <w:rPr>
          <w:b/>
          <w:i w:val="0"/>
        </w:rPr>
        <w:t>, source pp. 254–255.</w:t>
      </w:r>
      <w:r>
        <w:rPr>
          <w:b w:val="0"/>
          <w:i w:val="0"/>
        </w:rPr>
        <w:t xml:space="preserve"> Articles: </w:t>
      </w:r>
      <w:hyperlink w:anchor="first-movable">
        <w:r>
          <w:rPr>
            <w:color w:val="000000"/>
          </w:rPr>
          <w:t xml:space="preserve">First movable</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xenocrates-and-the-riddle">
        <w:r>
          <w:rPr>
            <w:color w:val="000000"/>
          </w:rPr>
          <w:t xml:space="preserve">Xenocrates and the riddle</w:t>
        </w:r>
      </w:hyperlink>
      <w:r>
        <w:rPr>
          <w:b w:val="0"/>
          <w:i w:val="0"/>
        </w:rPr>
        <w:t>.</w:t>
      </w:r>
    </w:p>
    <w:p>
      <w:pPr>
        <w:widowControl/>
      </w:pPr>
      <w:bookmarkStart w:id="1961" w:name="passage-iii-1-25"/>
      <w:bookmarkEnd w:id="1961"/>
      <w:r>
        <w:rPr>
          <w:b/>
          <w:i w:val="0"/>
        </w:rPr>
        <w:t>III.1.25</w:t>
      </w:r>
      <w:r>
        <w:rPr>
          <w:b/>
          <w:i w:val="0"/>
        </w:rPr>
        <w:t>, source pp. 254–255.</w:t>
      </w:r>
      <w:r>
        <w:rPr>
          <w:b w:val="0"/>
          <w:i w:val="0"/>
        </w:rPr>
        <w:t xml:space="preserve"> Articles: </w:t>
      </w:r>
      <w:hyperlink w:anchor="first-movable">
        <w:r>
          <w:rPr>
            <w:color w:val="000000"/>
          </w:rPr>
          <w:t xml:space="preserve">First movable</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xenocrates-and-the-riddle">
        <w:r>
          <w:rPr>
            <w:color w:val="000000"/>
          </w:rPr>
          <w:t xml:space="preserve">Xenocrates and the riddle</w:t>
        </w:r>
      </w:hyperlink>
      <w:r>
        <w:rPr>
          <w:b w:val="0"/>
          <w:i w:val="0"/>
        </w:rPr>
        <w:t xml:space="preserve">. Vocabulary: </w:t>
      </w:r>
      <w:hyperlink w:anchor="latin-record-0549">
        <w:r>
          <w:rPr>
            <w:color w:val="000000"/>
          </w:rPr>
          <w:t xml:space="preserve">in infinitum vagari / circulo revolvi</w:t>
        </w:r>
      </w:hyperlink>
      <w:r>
        <w:rPr>
          <w:b w:val="0"/>
          <w:i w:val="0"/>
        </w:rPr>
        <w:t>.</w:t>
      </w:r>
    </w:p>
    <w:p>
      <w:pPr>
        <w:widowControl/>
      </w:pPr>
      <w:bookmarkStart w:id="1962" w:name="passage-iii-1-26"/>
      <w:bookmarkEnd w:id="1962"/>
      <w:r>
        <w:rPr>
          <w:b/>
          <w:i w:val="0"/>
        </w:rPr>
        <w:t>III.1.26</w:t>
      </w:r>
      <w:r>
        <w:rPr>
          <w:b/>
          <w:i w:val="0"/>
        </w:rPr>
        <w:t>, source pp. 256–257.</w:t>
      </w:r>
      <w:r>
        <w:rPr>
          <w:b w:val="0"/>
          <w:i w:val="0"/>
        </w:rPr>
        <w:t xml:space="preserve"> Articles: </w:t>
      </w:r>
      <w:hyperlink w:anchor="first-movable">
        <w:r>
          <w:rPr>
            <w:color w:val="000000"/>
          </w:rPr>
          <w:t xml:space="preserve">First movable</w:t>
        </w:r>
      </w:hyperlink>
      <w:r>
        <w:rPr>
          <w:b w:val="0"/>
          <w:i w:val="0"/>
        </w:rPr>
        <w:t xml:space="preserve">; </w:t>
      </w:r>
      <w:hyperlink w:anchor="motion-and-stability">
        <w:r>
          <w:rPr>
            <w:color w:val="000000"/>
          </w:rPr>
          <w:t xml:space="preserve">Motion and stability</w:t>
        </w:r>
      </w:hyperlink>
      <w:r>
        <w:rPr>
          <w:b w:val="0"/>
          <w:i w:val="0"/>
        </w:rPr>
        <w:t xml:space="preserve">; </w:t>
      </w:r>
      <w:hyperlink w:anchor="principle">
        <w:r>
          <w:rPr>
            <w:color w:val="000000"/>
          </w:rPr>
          <w:t xml:space="preserve">Principle</w:t>
        </w:r>
      </w:hyperlink>
      <w:r>
        <w:rPr>
          <w:b w:val="0"/>
          <w:i w:val="0"/>
        </w:rPr>
        <w:t xml:space="preserve">; </w:t>
      </w:r>
      <w:hyperlink w:anchor="soul">
        <w:r>
          <w:rPr>
            <w:color w:val="000000"/>
          </w:rPr>
          <w:t xml:space="preserve">Soul</w:t>
        </w:r>
      </w:hyperlink>
      <w:r>
        <w:rPr>
          <w:b w:val="0"/>
          <w:i w:val="0"/>
        </w:rPr>
        <w:t xml:space="preserve">; </w:t>
      </w:r>
      <w:hyperlink w:anchor="through-itself-and-through-another">
        <w:r>
          <w:rPr>
            <w:color w:val="000000"/>
          </w:rPr>
          <w:t xml:space="preserve">Through itself and through another</w:t>
        </w:r>
      </w:hyperlink>
      <w:r>
        <w:rPr>
          <w:b w:val="0"/>
          <w:i w:val="0"/>
        </w:rPr>
        <w:t xml:space="preserve">. Vocabulary: </w:t>
      </w:r>
      <w:hyperlink w:anchor="latin-record-0408">
        <w:r>
          <w:rPr>
            <w:color w:val="000000"/>
          </w:rPr>
          <w:t xml:space="preserve">experiri / edere</w:t>
        </w:r>
      </w:hyperlink>
      <w:r>
        <w:rPr>
          <w:b w:val="0"/>
          <w:i w:val="0"/>
        </w:rPr>
        <w:t xml:space="preserve">; </w:t>
      </w:r>
      <w:hyperlink w:anchor="latin-record-0461">
        <w:r>
          <w:rPr>
            <w:color w:val="000000"/>
          </w:rPr>
          <w:t xml:space="preserve">fons / principium</w:t>
        </w:r>
      </w:hyperlink>
      <w:r>
        <w:rPr>
          <w:b w:val="0"/>
          <w:i w:val="0"/>
        </w:rPr>
        <w:t xml:space="preserve">; </w:t>
      </w:r>
      <w:hyperlink w:anchor="latin-record-0634">
        <w:r>
          <w:rPr>
            <w:color w:val="000000"/>
          </w:rPr>
          <w:t xml:space="preserve">leges / respublica / regnum / Critias (titles)</w:t>
        </w:r>
      </w:hyperlink>
      <w:r>
        <w:rPr>
          <w:b w:val="0"/>
          <w:i w:val="0"/>
        </w:rPr>
        <w:t xml:space="preserve">; </w:t>
      </w:r>
      <w:hyperlink w:anchor="latin-record-0867">
        <w:r>
          <w:rPr>
            <w:color w:val="000000"/>
          </w:rPr>
          <w:t xml:space="preserve">pervigil / vigilare</w:t>
        </w:r>
      </w:hyperlink>
      <w:r>
        <w:rPr>
          <w:b w:val="0"/>
          <w:i w:val="0"/>
        </w:rPr>
        <w:t xml:space="preserve">; </w:t>
      </w:r>
      <w:hyperlink w:anchor="latin-record-0868">
        <w:r>
          <w:rPr>
            <w:color w:val="000000"/>
          </w:rPr>
          <w:t xml:space="preserve">Phaedo / Philebus / Politicus / Phaedrus</w:t>
        </w:r>
      </w:hyperlink>
      <w:r>
        <w:rPr>
          <w:b w:val="0"/>
          <w:i w:val="0"/>
        </w:rPr>
        <w:t xml:space="preserve">; </w:t>
      </w:r>
      <w:hyperlink w:anchor="latin-record-1175">
        <w:r>
          <w:rPr>
            <w:color w:val="000000"/>
          </w:rPr>
          <w:t xml:space="preserve">superior / inferior / propinquus</w:t>
        </w:r>
      </w:hyperlink>
      <w:r>
        <w:rPr>
          <w:b w:val="0"/>
          <w:i w:val="0"/>
        </w:rPr>
        <w:t xml:space="preserve">; </w:t>
      </w:r>
      <w:hyperlink w:anchor="latin-record-1202">
        <w:r>
          <w:rPr>
            <w:color w:val="000000"/>
          </w:rPr>
          <w:t xml:space="preserve">torpere / suscitare</w:t>
        </w:r>
      </w:hyperlink>
      <w:r>
        <w:rPr>
          <w:b w:val="0"/>
          <w:i w:val="0"/>
        </w:rPr>
        <w:t>.</w:t>
      </w:r>
    </w:p>
    <w:p>
      <w:pPr>
        <w:widowControl/>
      </w:pPr>
      <w:bookmarkStart w:id="1963" w:name="passage-iii-1-27"/>
      <w:bookmarkEnd w:id="1963"/>
      <w:r>
        <w:rPr>
          <w:b/>
          <w:i w:val="0"/>
        </w:rPr>
        <w:t>III.1.27</w:t>
      </w:r>
      <w:r>
        <w:rPr>
          <w:b/>
          <w:i w:val="0"/>
        </w:rPr>
        <w:t>, source pp. 256–257.</w:t>
      </w:r>
      <w:r>
        <w:rPr>
          <w:b w:val="0"/>
          <w:i w:val="0"/>
        </w:rPr>
        <w:t xml:space="preserve"> Articles: </w:t>
      </w:r>
      <w:hyperlink w:anchor="apelles-and-the-meadow">
        <w:r>
          <w:rPr>
            <w:color w:val="000000"/>
          </w:rPr>
          <w:t xml:space="preserve">Apelles and the meadow</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through-itself-and-through-another">
        <w:r>
          <w:rPr>
            <w:color w:val="000000"/>
          </w:rPr>
          <w:t xml:space="preserve">Through itself and through another</w:t>
        </w:r>
      </w:hyperlink>
      <w:r>
        <w:rPr>
          <w:b w:val="0"/>
          <w:i w:val="0"/>
        </w:rPr>
        <w:t xml:space="preserve">. Vocabulary: </w:t>
      </w:r>
      <w:hyperlink w:anchor="latin-record-0007">
        <w:r>
          <w:rPr>
            <w:color w:val="000000"/>
          </w:rPr>
          <w:t xml:space="preserve">accendere / accensio</w:t>
        </w:r>
      </w:hyperlink>
      <w:r>
        <w:rPr>
          <w:b w:val="0"/>
          <w:i w:val="0"/>
        </w:rPr>
        <w:t xml:space="preserve">; </w:t>
      </w:r>
      <w:hyperlink w:anchor="latin-record-0079">
        <w:r>
          <w:rPr>
            <w:color w:val="000000"/>
          </w:rPr>
          <w:t xml:space="preserve">Apelles / pratum</w:t>
        </w:r>
      </w:hyperlink>
      <w:r>
        <w:rPr>
          <w:b w:val="0"/>
          <w:i w:val="0"/>
        </w:rPr>
        <w:t xml:space="preserve">; </w:t>
      </w:r>
      <w:hyperlink w:anchor="latin-record-0351">
        <w:r>
          <w:rPr>
            <w:color w:val="000000"/>
          </w:rPr>
          <w:t xml:space="preserve">dubitatio / respondere</w:t>
        </w:r>
      </w:hyperlink>
      <w:r>
        <w:rPr>
          <w:b w:val="0"/>
          <w:i w:val="0"/>
        </w:rPr>
        <w:t xml:space="preserve">; </w:t>
      </w:r>
      <w:hyperlink w:anchor="latin-record-1157">
        <w:r>
          <w:rPr>
            <w:color w:val="000000"/>
          </w:rPr>
          <w:t xml:space="preserve">subito / paulatim</w:t>
        </w:r>
      </w:hyperlink>
      <w:r>
        <w:rPr>
          <w:b w:val="0"/>
          <w:i w:val="0"/>
        </w:rPr>
        <w:t xml:space="preserve">; </w:t>
      </w:r>
      <w:hyperlink w:anchor="latin-record-1181">
        <w:r>
          <w:rPr>
            <w:color w:val="000000"/>
          </w:rPr>
          <w:t xml:space="preserve">tabula / pingere / color</w:t>
        </w:r>
      </w:hyperlink>
      <w:r>
        <w:rPr>
          <w:b w:val="0"/>
          <w:i w:val="0"/>
        </w:rPr>
        <w:t>.</w:t>
      </w:r>
    </w:p>
    <w:p>
      <w:pPr>
        <w:widowControl/>
      </w:pPr>
      <w:bookmarkStart w:id="1964" w:name="passage-iii-1-28"/>
      <w:bookmarkEnd w:id="1964"/>
      <w:r>
        <w:rPr>
          <w:b/>
          <w:i w:val="0"/>
        </w:rPr>
        <w:t>III.1.28</w:t>
      </w:r>
      <w:r>
        <w:rPr>
          <w:b/>
          <w:i w:val="0"/>
        </w:rPr>
        <w:t>, source pp. 258–259.</w:t>
      </w:r>
      <w:r>
        <w:rPr>
          <w:b w:val="0"/>
          <w:i w:val="0"/>
        </w:rPr>
        <w:t xml:space="preserve"> Articles: </w:t>
      </w:r>
      <w:hyperlink w:anchor="apelles-and-the-meadow">
        <w:r>
          <w:rPr>
            <w:color w:val="000000"/>
          </w:rPr>
          <w:t xml:space="preserve">Apelles and the meadow</w:t>
        </w:r>
      </w:hyperlink>
      <w:r>
        <w:rPr>
          <w:b w:val="0"/>
          <w:i w:val="0"/>
        </w:rPr>
        <w:t xml:space="preserve">; </w:t>
      </w:r>
      <w:hyperlink w:anchor="first-movable">
        <w:r>
          <w:rPr>
            <w:color w:val="000000"/>
          </w:rPr>
          <w:t xml:space="preserve">First movable</w:t>
        </w:r>
      </w:hyperlink>
      <w:r>
        <w:rPr>
          <w:b w:val="0"/>
          <w:i w:val="0"/>
        </w:rPr>
        <w:t xml:space="preserve">; </w:t>
      </w:r>
      <w:hyperlink w:anchor="intuition-and-discourse">
        <w:r>
          <w:rPr>
            <w:color w:val="000000"/>
          </w:rPr>
          <w:t xml:space="preserve">Intuition and discourse</w:t>
        </w:r>
      </w:hyperlink>
      <w:r>
        <w:rPr>
          <w:b w:val="0"/>
          <w:i w:val="0"/>
        </w:rPr>
        <w:t xml:space="preserve">; </w:t>
      </w:r>
      <w:hyperlink w:anchor="looking-and-recognizing">
        <w:r>
          <w:rPr>
            <w:color w:val="000000"/>
          </w:rPr>
          <w:t xml:space="preserve">Looking and recognizing</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Vocabulary: </w:t>
      </w:r>
      <w:hyperlink w:anchor="latin-record-0007">
        <w:r>
          <w:rPr>
            <w:color w:val="000000"/>
          </w:rPr>
          <w:t xml:space="preserve">accendere / accensio</w:t>
        </w:r>
      </w:hyperlink>
      <w:r>
        <w:rPr>
          <w:b w:val="0"/>
          <w:i w:val="0"/>
        </w:rPr>
        <w:t xml:space="preserve">; </w:t>
      </w:r>
      <w:hyperlink w:anchor="latin-record-0042">
        <w:r>
          <w:rPr>
            <w:color w:val="000000"/>
          </w:rPr>
          <w:t xml:space="preserve">agere / actio / agens</w:t>
        </w:r>
      </w:hyperlink>
      <w:r>
        <w:rPr>
          <w:b w:val="0"/>
          <w:i w:val="0"/>
        </w:rPr>
        <w:t xml:space="preserve">; </w:t>
      </w:r>
      <w:hyperlink w:anchor="latin-record-0331">
        <w:r>
          <w:rPr>
            <w:color w:val="000000"/>
          </w:rPr>
          <w:t xml:space="preserve">discursus / discurrere</w:t>
        </w:r>
      </w:hyperlink>
      <w:r>
        <w:rPr>
          <w:b w:val="0"/>
          <w:i w:val="0"/>
        </w:rPr>
        <w:t xml:space="preserve">; </w:t>
      </w:r>
      <w:hyperlink w:anchor="latin-record-0454">
        <w:r>
          <w:rPr>
            <w:color w:val="000000"/>
          </w:rPr>
          <w:t xml:space="preserve">flos / herba</w:t>
        </w:r>
      </w:hyperlink>
      <w:r>
        <w:rPr>
          <w:b w:val="0"/>
          <w:i w:val="0"/>
        </w:rPr>
        <w:t xml:space="preserve">; </w:t>
      </w:r>
      <w:hyperlink w:anchor="latin-record-0721">
        <w:r>
          <w:rPr>
            <w:color w:val="000000"/>
          </w:rPr>
          <w:t xml:space="preserve">motus / motio / operatio</w:t>
        </w:r>
      </w:hyperlink>
      <w:r>
        <w:rPr>
          <w:b w:val="0"/>
          <w:i w:val="0"/>
        </w:rPr>
        <w:t xml:space="preserve">; </w:t>
      </w:r>
      <w:hyperlink w:anchor="latin-record-1054">
        <w:r>
          <w:rPr>
            <w:color w:val="000000"/>
          </w:rPr>
          <w:t xml:space="preserve">respicere / suspicere / inspicere</w:t>
        </w:r>
      </w:hyperlink>
      <w:r>
        <w:rPr>
          <w:b w:val="0"/>
          <w:i w:val="0"/>
        </w:rPr>
        <w:t xml:space="preserve">; </w:t>
      </w:r>
      <w:hyperlink w:anchor="latin-record-1157">
        <w:r>
          <w:rPr>
            <w:color w:val="000000"/>
          </w:rPr>
          <w:t xml:space="preserve">subito / paulatim</w:t>
        </w:r>
      </w:hyperlink>
      <w:r>
        <w:rPr>
          <w:b w:val="0"/>
          <w:i w:val="0"/>
        </w:rPr>
        <w:t xml:space="preserve">; </w:t>
      </w:r>
      <w:hyperlink w:anchor="latin-record-1181">
        <w:r>
          <w:rPr>
            <w:color w:val="000000"/>
          </w:rPr>
          <w:t xml:space="preserve">tabula / pingere / color</w:t>
        </w:r>
      </w:hyperlink>
      <w:r>
        <w:rPr>
          <w:b w:val="0"/>
          <w:i w:val="0"/>
        </w:rPr>
        <w:t xml:space="preserve">; </w:t>
      </w:r>
      <w:hyperlink w:anchor="latin-record-1187">
        <w:r>
          <w:rPr>
            <w:color w:val="000000"/>
          </w:rPr>
          <w:t xml:space="preserve">tempus / temporalis</w:t>
        </w:r>
      </w:hyperlink>
      <w:r>
        <w:rPr>
          <w:b w:val="0"/>
          <w:i w:val="0"/>
        </w:rPr>
        <w:t>.</w:t>
      </w:r>
    </w:p>
    <w:p>
      <w:pPr>
        <w:widowControl/>
      </w:pPr>
      <w:bookmarkStart w:id="1965" w:name="passage-iii-1-29"/>
      <w:bookmarkEnd w:id="1965"/>
      <w:r>
        <w:rPr>
          <w:b/>
          <w:i w:val="0"/>
        </w:rPr>
        <w:t>III.1.29</w:t>
      </w:r>
      <w:r>
        <w:rPr>
          <w:b/>
          <w:i w:val="0"/>
        </w:rPr>
        <w:t>, source pp. 258–259.</w:t>
      </w:r>
      <w:r>
        <w:rPr>
          <w:b w:val="0"/>
          <w:i w:val="0"/>
        </w:rPr>
        <w:t xml:space="preserve"> Articles: </w:t>
      </w:r>
      <w:hyperlink w:anchor="first-movable">
        <w:r>
          <w:rPr>
            <w:color w:val="000000"/>
          </w:rPr>
          <w:t xml:space="preserve">First movable</w:t>
        </w:r>
      </w:hyperlink>
      <w:r>
        <w:rPr>
          <w:b w:val="0"/>
          <w:i w:val="0"/>
        </w:rPr>
        <w:t xml:space="preserve">; </w:t>
      </w:r>
      <w:hyperlink w:anchor="intuition-and-discourse">
        <w:r>
          <w:rPr>
            <w:color w:val="000000"/>
          </w:rPr>
          <w:t xml:space="preserve">Intuition and discourse</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Vocabulary: </w:t>
      </w:r>
      <w:hyperlink w:anchor="latin-record-0079">
        <w:r>
          <w:rPr>
            <w:color w:val="000000"/>
          </w:rPr>
          <w:t xml:space="preserve">Apelles / pratum</w:t>
        </w:r>
      </w:hyperlink>
      <w:r>
        <w:rPr>
          <w:b w:val="0"/>
          <w:i w:val="0"/>
        </w:rPr>
        <w:t xml:space="preserve">; </w:t>
      </w:r>
      <w:hyperlink w:anchor="latin-record-0410">
        <w:r>
          <w:rPr>
            <w:color w:val="000000"/>
          </w:rPr>
          <w:t xml:space="preserve">exprimere / referre</w:t>
        </w:r>
      </w:hyperlink>
      <w:r>
        <w:rPr>
          <w:b w:val="0"/>
          <w:i w:val="0"/>
        </w:rPr>
        <w:t xml:space="preserve">; </w:t>
      </w:r>
      <w:hyperlink w:anchor="latin-record-0454">
        <w:r>
          <w:rPr>
            <w:color w:val="000000"/>
          </w:rPr>
          <w:t xml:space="preserve">flos / herba</w:t>
        </w:r>
      </w:hyperlink>
      <w:r>
        <w:rPr>
          <w:b w:val="0"/>
          <w:i w:val="0"/>
        </w:rPr>
        <w:t>.</w:t>
      </w:r>
    </w:p>
    <w:p>
      <w:pPr>
        <w:widowControl/>
      </w:pPr>
      <w:bookmarkStart w:id="1966" w:name="passage-iii-1-30"/>
      <w:bookmarkEnd w:id="1966"/>
      <w:r>
        <w:rPr>
          <w:b/>
          <w:i w:val="0"/>
        </w:rPr>
        <w:t>III.1.30</w:t>
      </w:r>
      <w:r>
        <w:rPr>
          <w:b/>
          <w:i w:val="0"/>
        </w:rPr>
        <w:t>, source pp. 258–259.</w:t>
      </w:r>
      <w:r>
        <w:rPr>
          <w:b w:val="0"/>
          <w:i w:val="0"/>
        </w:rPr>
        <w:t xml:space="preserve"> Articles: </w:t>
      </w:r>
      <w:hyperlink w:anchor="apelles-and-the-meadow">
        <w:r>
          <w:rPr>
            <w:color w:val="000000"/>
          </w:rPr>
          <w:t xml:space="preserve">Apelles and the meadow</w:t>
        </w:r>
      </w:hyperlink>
      <w:r>
        <w:rPr>
          <w:b w:val="0"/>
          <w:i w:val="0"/>
        </w:rPr>
        <w:t xml:space="preserve">; </w:t>
      </w:r>
      <w:hyperlink w:anchor="first-movable">
        <w:r>
          <w:rPr>
            <w:color w:val="000000"/>
          </w:rPr>
          <w:t xml:space="preserve">First movable</w:t>
        </w:r>
      </w:hyperlink>
      <w:r>
        <w:rPr>
          <w:b w:val="0"/>
          <w:i w:val="0"/>
        </w:rPr>
        <w:t xml:space="preserve">; </w:t>
      </w:r>
      <w:hyperlink w:anchor="intuition-and-discourse">
        <w:r>
          <w:rPr>
            <w:color w:val="000000"/>
          </w:rPr>
          <w:t xml:space="preserve">Intuition and discourse</w:t>
        </w:r>
      </w:hyperlink>
      <w:r>
        <w:rPr>
          <w:b w:val="0"/>
          <w:i w:val="0"/>
        </w:rPr>
        <w:t xml:space="preserve">; </w:t>
      </w:r>
      <w:hyperlink w:anchor="motion-and-stability">
        <w:r>
          <w:rPr>
            <w:color w:val="000000"/>
          </w:rPr>
          <w:t xml:space="preserve">Motion and stability</w:t>
        </w:r>
      </w:hyperlink>
      <w:r>
        <w:rPr>
          <w:b w:val="0"/>
          <w:i w:val="0"/>
        </w:rPr>
        <w:t xml:space="preserve">; </w:t>
      </w:r>
      <w:hyperlink w:anchor="principle">
        <w:r>
          <w:rPr>
            <w:color w:val="000000"/>
          </w:rPr>
          <w:t xml:space="preserve">Principle</w:t>
        </w:r>
      </w:hyperlink>
      <w:r>
        <w:rPr>
          <w:b w:val="0"/>
          <w:i w:val="0"/>
        </w:rPr>
        <w:t xml:space="preserve">; </w:t>
      </w:r>
      <w:hyperlink w:anchor="soul">
        <w:r>
          <w:rPr>
            <w:color w:val="000000"/>
          </w:rPr>
          <w:t xml:space="preserve">Soul</w:t>
        </w:r>
      </w:hyperlink>
      <w:r>
        <w:rPr>
          <w:b w:val="0"/>
          <w:i w:val="0"/>
        </w:rPr>
        <w:t>.</w:t>
      </w:r>
    </w:p>
    <w:p>
      <w:pPr>
        <w:widowControl/>
      </w:pPr>
      <w:bookmarkStart w:id="1967" w:name="passage-iii-1-31"/>
      <w:bookmarkEnd w:id="1967"/>
      <w:r>
        <w:rPr>
          <w:b/>
          <w:i w:val="0"/>
        </w:rPr>
        <w:t>III.1.31</w:t>
      </w:r>
      <w:r>
        <w:rPr>
          <w:b/>
          <w:i w:val="0"/>
        </w:rPr>
        <w:t>, source pp. 258–259.</w:t>
      </w:r>
      <w:r>
        <w:rPr>
          <w:b w:val="0"/>
          <w:i w:val="0"/>
        </w:rPr>
        <w:t xml:space="preserve"> Articles: </w:t>
      </w:r>
      <w:hyperlink w:anchor="apelles-and-the-meadow">
        <w:r>
          <w:rPr>
            <w:color w:val="000000"/>
          </w:rPr>
          <w:t xml:space="preserve">Apelles and the meadow</w:t>
        </w:r>
      </w:hyperlink>
      <w:r>
        <w:rPr>
          <w:b w:val="0"/>
          <w:i w:val="0"/>
        </w:rPr>
        <w:t xml:space="preserve">; </w:t>
      </w:r>
      <w:hyperlink w:anchor="first-movable">
        <w:r>
          <w:rPr>
            <w:color w:val="000000"/>
          </w:rPr>
          <w:t xml:space="preserve">First movable</w:t>
        </w:r>
      </w:hyperlink>
      <w:r>
        <w:rPr>
          <w:b w:val="0"/>
          <w:i w:val="0"/>
        </w:rPr>
        <w:t xml:space="preserve">; </w:t>
      </w:r>
      <w:hyperlink w:anchor="intuition-and-discourse">
        <w:r>
          <w:rPr>
            <w:color w:val="000000"/>
          </w:rPr>
          <w:t xml:space="preserve">Intuition and discourse</w:t>
        </w:r>
      </w:hyperlink>
      <w:r>
        <w:rPr>
          <w:b w:val="0"/>
          <w:i w:val="0"/>
        </w:rPr>
        <w:t xml:space="preserve">; </w:t>
      </w:r>
      <w:hyperlink w:anchor="looking-and-recognizing">
        <w:r>
          <w:rPr>
            <w:color w:val="000000"/>
          </w:rPr>
          <w:t xml:space="preserve">Looking and recognizing</w:t>
        </w:r>
      </w:hyperlink>
      <w:r>
        <w:rPr>
          <w:b w:val="0"/>
          <w:i w:val="0"/>
        </w:rPr>
        <w:t xml:space="preserve">; </w:t>
      </w:r>
      <w:hyperlink w:anchor="motion-and-stability">
        <w:r>
          <w:rPr>
            <w:color w:val="000000"/>
          </w:rPr>
          <w:t xml:space="preserve">Motion and stability</w:t>
        </w:r>
      </w:hyperlink>
      <w:r>
        <w:rPr>
          <w:b w:val="0"/>
          <w:i w:val="0"/>
        </w:rPr>
        <w:t xml:space="preserve">; </w:t>
      </w:r>
      <w:hyperlink w:anchor="self-knowledge">
        <w:r>
          <w:rPr>
            <w:color w:val="000000"/>
          </w:rPr>
          <w:t xml:space="preserve">Self knowledge</w:t>
        </w:r>
      </w:hyperlink>
      <w:r>
        <w:rPr>
          <w:b w:val="0"/>
          <w:i w:val="0"/>
        </w:rPr>
        <w:t xml:space="preserve">; </w:t>
      </w:r>
      <w:hyperlink w:anchor="soul">
        <w:r>
          <w:rPr>
            <w:color w:val="000000"/>
          </w:rPr>
          <w:t xml:space="preserve">Soul</w:t>
        </w:r>
      </w:hyperlink>
      <w:r>
        <w:rPr>
          <w:b w:val="0"/>
          <w:i w:val="0"/>
        </w:rPr>
        <w:t xml:space="preserve">. Vocabulary: </w:t>
      </w:r>
      <w:hyperlink w:anchor="latin-record-0114">
        <w:r>
          <w:rPr>
            <w:color w:val="000000"/>
          </w:rPr>
          <w:t xml:space="preserve">augurari</w:t>
        </w:r>
      </w:hyperlink>
      <w:r>
        <w:rPr>
          <w:b w:val="0"/>
          <w:i w:val="0"/>
        </w:rPr>
        <w:t xml:space="preserve">; </w:t>
      </w:r>
      <w:hyperlink w:anchor="latin-record-0174">
        <w:r>
          <w:rPr>
            <w:color w:val="000000"/>
          </w:rPr>
          <w:t xml:space="preserve">cogitare / cogitatio</w:t>
        </w:r>
      </w:hyperlink>
      <w:r>
        <w:rPr>
          <w:b w:val="0"/>
          <w:i w:val="0"/>
        </w:rPr>
        <w:t xml:space="preserve">; </w:t>
      </w:r>
      <w:hyperlink w:anchor="latin-record-0571">
        <w:r>
          <w:rPr>
            <w:color w:val="000000"/>
          </w:rPr>
          <w:t xml:space="preserve">infusio / infundere</w:t>
        </w:r>
      </w:hyperlink>
      <w:r>
        <w:rPr>
          <w:b w:val="0"/>
          <w:i w:val="0"/>
        </w:rPr>
        <w:t xml:space="preserve">; </w:t>
      </w:r>
      <w:hyperlink w:anchor="latin-record-0715">
        <w:r>
          <w:rPr>
            <w:color w:val="000000"/>
          </w:rPr>
          <w:t xml:space="preserve">mores</w:t>
        </w:r>
      </w:hyperlink>
      <w:r>
        <w:rPr>
          <w:b w:val="0"/>
          <w:i w:val="0"/>
        </w:rPr>
        <w:t xml:space="preserve">; </w:t>
      </w:r>
      <w:hyperlink w:anchor="latin-record-0721">
        <w:r>
          <w:rPr>
            <w:color w:val="000000"/>
          </w:rPr>
          <w:t xml:space="preserve">motus / motio / operatio</w:t>
        </w:r>
      </w:hyperlink>
      <w:r>
        <w:rPr>
          <w:b w:val="0"/>
          <w:i w:val="0"/>
        </w:rPr>
        <w:t xml:space="preserve">; </w:t>
      </w:r>
      <w:hyperlink w:anchor="latin-record-1181">
        <w:r>
          <w:rPr>
            <w:color w:val="000000"/>
          </w:rPr>
          <w:t xml:space="preserve">tabula / pingere / color</w:t>
        </w:r>
      </w:hyperlink>
      <w:r>
        <w:rPr>
          <w:b w:val="0"/>
          <w:i w:val="0"/>
        </w:rPr>
        <w:t>.</w:t>
      </w:r>
    </w:p>
    <w:p>
      <w:pPr>
        <w:widowControl/>
      </w:pPr>
      <w:bookmarkStart w:id="1968" w:name="passage-iii-1-32"/>
      <w:bookmarkEnd w:id="1968"/>
      <w:r>
        <w:rPr>
          <w:b/>
          <w:i w:val="0"/>
        </w:rPr>
        <w:t>III.1.32</w:t>
      </w:r>
      <w:r>
        <w:rPr>
          <w:b/>
          <w:i w:val="0"/>
        </w:rPr>
        <w:t>, source pp. 260–261.</w:t>
      </w:r>
      <w:r>
        <w:rPr>
          <w:b w:val="0"/>
          <w:i w:val="0"/>
        </w:rPr>
        <w:t xml:space="preserve"> Articles: </w:t>
      </w:r>
      <w:hyperlink w:anchor="motion-and-stability">
        <w:r>
          <w:rPr>
            <w:color w:val="000000"/>
          </w:rPr>
          <w:t xml:space="preserve">Motion and stability</w:t>
        </w:r>
      </w:hyperlink>
      <w:r>
        <w:rPr>
          <w:b w:val="0"/>
          <w:i w:val="0"/>
        </w:rPr>
        <w:t xml:space="preserve">; </w:t>
      </w:r>
      <w:hyperlink w:anchor="receiving-and-giving">
        <w:r>
          <w:rPr>
            <w:color w:val="000000"/>
          </w:rPr>
          <w:t xml:space="preserve">Receiving and giving</w:t>
        </w:r>
      </w:hyperlink>
      <w:r>
        <w:rPr>
          <w:b w:val="0"/>
          <w:i w:val="0"/>
        </w:rPr>
        <w:t xml:space="preserve">; </w:t>
      </w:r>
      <w:hyperlink w:anchor="soul">
        <w:r>
          <w:rPr>
            <w:color w:val="000000"/>
          </w:rPr>
          <w:t xml:space="preserve">Soul</w:t>
        </w:r>
      </w:hyperlink>
      <w:r>
        <w:rPr>
          <w:b w:val="0"/>
          <w:i w:val="0"/>
        </w:rPr>
        <w:t xml:space="preserve">; </w:t>
      </w:r>
      <w:hyperlink w:anchor="sun-mercury-and-moon">
        <w:r>
          <w:rPr>
            <w:color w:val="000000"/>
          </w:rPr>
          <w:t xml:space="preserve">Sun, Mercury and moon</w:t>
        </w:r>
      </w:hyperlink>
      <w:r>
        <w:rPr>
          <w:b w:val="0"/>
          <w:i w:val="0"/>
        </w:rPr>
        <w:t xml:space="preserve">. Vocabulary: </w:t>
      </w:r>
      <w:hyperlink w:anchor="latin-record-0130">
        <w:r>
          <w:rPr>
            <w:color w:val="000000"/>
          </w:rPr>
          <w:t xml:space="preserve">caelum / sphaera / stella</w:t>
        </w:r>
      </w:hyperlink>
      <w:r>
        <w:rPr>
          <w:b w:val="0"/>
          <w:i w:val="0"/>
        </w:rPr>
        <w:t xml:space="preserve">; </w:t>
      </w:r>
      <w:hyperlink w:anchor="latin-record-0398">
        <w:r>
          <w:rPr>
            <w:color w:val="000000"/>
          </w:rPr>
          <w:t xml:space="preserve">exemplum / signum / indicare</w:t>
        </w:r>
      </w:hyperlink>
      <w:r>
        <w:rPr>
          <w:b w:val="0"/>
          <w:i w:val="0"/>
        </w:rPr>
        <w:t xml:space="preserve">; </w:t>
      </w:r>
      <w:hyperlink w:anchor="latin-record-0571">
        <w:r>
          <w:rPr>
            <w:color w:val="000000"/>
          </w:rPr>
          <w:t xml:space="preserve">infusio / infundere</w:t>
        </w:r>
      </w:hyperlink>
      <w:r>
        <w:rPr>
          <w:b w:val="0"/>
          <w:i w:val="0"/>
        </w:rPr>
        <w:t xml:space="preserve">; </w:t>
      </w:r>
      <w:hyperlink w:anchor="latin-record-0656">
        <w:r>
          <w:rPr>
            <w:color w:val="000000"/>
          </w:rPr>
          <w:t xml:space="preserve">lux / lumen / illuminare</w:t>
        </w:r>
      </w:hyperlink>
      <w:r>
        <w:rPr>
          <w:b w:val="0"/>
          <w:i w:val="0"/>
        </w:rPr>
        <w:t xml:space="preserve">; </w:t>
      </w:r>
      <w:hyperlink w:anchor="latin-record-0692">
        <w:r>
          <w:rPr>
            <w:color w:val="000000"/>
          </w:rPr>
          <w:t xml:space="preserve">Mercurius — planet</w:t>
        </w:r>
      </w:hyperlink>
      <w:r>
        <w:rPr>
          <w:b w:val="0"/>
          <w:i w:val="0"/>
        </w:rPr>
        <w:t xml:space="preserve">; </w:t>
      </w:r>
      <w:hyperlink w:anchor="latin-record-0711">
        <w:r>
          <w:rPr>
            <w:color w:val="000000"/>
          </w:rPr>
          <w:t xml:space="preserve">momentum</w:t>
        </w:r>
      </w:hyperlink>
      <w:r>
        <w:rPr>
          <w:b w:val="0"/>
          <w:i w:val="0"/>
        </w:rPr>
        <w:t xml:space="preserve">; </w:t>
      </w:r>
      <w:hyperlink w:anchor="latin-record-1115">
        <w:r>
          <w:rPr>
            <w:color w:val="000000"/>
          </w:rPr>
          <w:t xml:space="preserve">sol / luna</w:t>
        </w:r>
      </w:hyperlink>
      <w:r>
        <w:rPr>
          <w:b w:val="0"/>
          <w:i w:val="0"/>
        </w:rPr>
        <w:t xml:space="preserve">; </w:t>
      </w:r>
      <w:hyperlink w:anchor="latin-record-1178">
        <w:r>
          <w:rPr>
            <w:color w:val="000000"/>
          </w:rPr>
          <w:t xml:space="preserve">suscipere</w:t>
        </w:r>
      </w:hyperlink>
      <w:r>
        <w:rPr>
          <w:b w:val="0"/>
          <w:i w:val="0"/>
        </w:rPr>
        <w:t xml:space="preserve">; </w:t>
      </w:r>
      <w:hyperlink w:anchor="latin-record-1255">
        <w:r>
          <w:rPr>
            <w:color w:val="000000"/>
          </w:rPr>
          <w:t xml:space="preserve">vicissitudo</w:t>
        </w:r>
      </w:hyperlink>
      <w:r>
        <w:rPr>
          <w:b w:val="0"/>
          <w:i w:val="0"/>
        </w:rPr>
        <w:t>.</w:t>
      </w:r>
    </w:p>
    <w:p>
      <w:bookmarkStart w:id="1969" w:name="chapter-iii.2"/>
      <w:pPr>
        <w:pStyle w:val="Heading2"/>
      </w:pPr>
      <w:r>
        <w:rPr>
          <w:b w:val="0"/>
          <w:i w:val="0"/>
        </w:rPr>
        <w:t>Chapter III.2</w:t>
      </w:r>
      <w:bookmarkEnd w:id="1969"/>
    </w:p>
    <w:p>
      <w:pPr>
        <w:widowControl/>
      </w:pPr>
      <w:bookmarkStart w:id="1970" w:name="passage-iii-2-1"/>
      <w:bookmarkEnd w:id="1970"/>
      <w:r>
        <w:rPr>
          <w:b/>
          <w:i w:val="0"/>
        </w:rPr>
        <w:t>III.2.1</w:t>
      </w:r>
      <w:r>
        <w:rPr>
          <w:b/>
          <w:i w:val="0"/>
        </w:rPr>
        <w:t>, source pp. 262–263.</w:t>
      </w:r>
      <w:r>
        <w:rPr>
          <w:b w:val="0"/>
          <w:i w:val="0"/>
        </w:rPr>
        <w:t xml:space="preserve"> Articles: </w:t>
      </w:r>
      <w:hyperlink w:anchor="degree-and-mediation">
        <w:r>
          <w:rPr>
            <w:color w:val="000000"/>
          </w:rPr>
          <w:t xml:space="preserve">Degree and mediation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Vocabulary: </w:t>
      </w:r>
      <w:hyperlink w:anchor="latin-record-0099">
        <w:r>
          <w:rPr>
            <w:color w:val="000000"/>
          </w:rPr>
          <w:t xml:space="preserve">arx / tertius / medius</w:t>
        </w:r>
      </w:hyperlink>
      <w:r>
        <w:rPr>
          <w:b w:val="0"/>
          <w:i w:val="0"/>
        </w:rPr>
        <w:t xml:space="preserve">; </w:t>
      </w:r>
      <w:hyperlink w:anchor="latin-record-0315">
        <w:r>
          <w:rPr>
            <w:color w:val="000000"/>
          </w:rPr>
          <w:t xml:space="preserve">dicere / appellare / vocare</w:t>
        </w:r>
      </w:hyperlink>
      <w:r>
        <w:rPr>
          <w:b w:val="0"/>
          <w:i w:val="0"/>
        </w:rPr>
        <w:t xml:space="preserve">; </w:t>
      </w:r>
      <w:hyperlink w:anchor="latin-record-0384">
        <w:r>
          <w:rPr>
            <w:color w:val="000000"/>
          </w:rPr>
          <w:t xml:space="preserve">essentia / substantia</w:t>
        </w:r>
      </w:hyperlink>
      <w:r>
        <w:rPr>
          <w:b w:val="0"/>
          <w:i w:val="0"/>
        </w:rPr>
        <w:t xml:space="preserve">; </w:t>
      </w:r>
      <w:hyperlink w:anchor="latin-record-1005">
        <w:r>
          <w:rPr>
            <w:color w:val="000000"/>
          </w:rPr>
          <w:t xml:space="preserve">quandoque</w:t>
        </w:r>
      </w:hyperlink>
      <w:r>
        <w:rPr>
          <w:b w:val="0"/>
          <w:i w:val="0"/>
        </w:rPr>
        <w:t>.</w:t>
      </w:r>
    </w:p>
    <w:p>
      <w:pPr>
        <w:widowControl/>
      </w:pPr>
      <w:bookmarkStart w:id="1971" w:name="passage-iii-2-2"/>
      <w:bookmarkEnd w:id="1971"/>
      <w:r>
        <w:rPr>
          <w:b/>
          <w:i w:val="0"/>
        </w:rPr>
        <w:t>III.2.2</w:t>
      </w:r>
      <w:r>
        <w:rPr>
          <w:b/>
          <w:i w:val="0"/>
        </w:rPr>
        <w:t>, source pp. 262–263.</w:t>
      </w:r>
      <w:r>
        <w:rPr>
          <w:b w:val="0"/>
          <w:i w:val="0"/>
        </w:rPr>
        <w:t xml:space="preserve"> Articles: </w:t>
      </w:r>
      <w:hyperlink w:anchor="degree-and-mediation">
        <w:r>
          <w:rPr>
            <w:color w:val="000000"/>
          </w:rPr>
          <w:t xml:space="preserve">Degree and mediation</w:t>
        </w:r>
      </w:hyperlink>
      <w:r>
        <w:rPr>
          <w:b w:val="0"/>
          <w:i w:val="0"/>
        </w:rPr>
        <w:t xml:space="preserve">; </w:t>
      </w:r>
      <w:hyperlink w:anchor="essence-and-substance">
        <w:r>
          <w:rPr>
            <w:color w:val="000000"/>
          </w:rPr>
          <w:t xml:space="preserve">Essence and substance</w:t>
        </w:r>
      </w:hyperlink>
      <w:r>
        <w:rPr>
          <w:b w:val="0"/>
          <w:i w:val="0"/>
        </w:rPr>
        <w:t xml:space="preserve">; </w:t>
      </w:r>
      <w:hyperlink w:anchor="eternity-and-time">
        <w:r>
          <w:rPr>
            <w:color w:val="000000"/>
          </w:rPr>
          <w:t xml:space="preserve">Eternity and time</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Vocabulary: </w:t>
      </w:r>
      <w:hyperlink w:anchor="latin-record-0089">
        <w:r>
          <w:rPr>
            <w:color w:val="000000"/>
          </w:rPr>
          <w:t xml:space="preserve">aptus / convenire / congruere</w:t>
        </w:r>
      </w:hyperlink>
      <w:r>
        <w:rPr>
          <w:b w:val="0"/>
          <w:i w:val="0"/>
        </w:rPr>
        <w:t xml:space="preserve">; </w:t>
      </w:r>
      <w:hyperlink w:anchor="latin-record-0379">
        <w:r>
          <w:rPr>
            <w:color w:val="000000"/>
          </w:rPr>
          <w:t xml:space="preserve">esse / fieri</w:t>
        </w:r>
      </w:hyperlink>
      <w:r>
        <w:rPr>
          <w:b w:val="0"/>
          <w:i w:val="0"/>
        </w:rPr>
        <w:t xml:space="preserve">; </w:t>
      </w:r>
      <w:hyperlink w:anchor="latin-record-0380">
        <w:r>
          <w:rPr>
            <w:color w:val="000000"/>
          </w:rPr>
          <w:t xml:space="preserve">esse — existence and predication</w:t>
        </w:r>
      </w:hyperlink>
      <w:r>
        <w:rPr>
          <w:b w:val="0"/>
          <w:i w:val="0"/>
        </w:rPr>
        <w:t xml:space="preserve">; </w:t>
      </w:r>
      <w:hyperlink w:anchor="latin-record-0803">
        <w:r>
          <w:rPr>
            <w:color w:val="000000"/>
          </w:rPr>
          <w:t xml:space="preserve">opus</w:t>
        </w:r>
      </w:hyperlink>
      <w:r>
        <w:rPr>
          <w:b w:val="0"/>
          <w:i w:val="0"/>
        </w:rPr>
        <w:t xml:space="preserve">; </w:t>
      </w:r>
      <w:hyperlink w:anchor="latin-record-0880">
        <w:r>
          <w:rPr>
            <w:color w:val="000000"/>
          </w:rPr>
          <w:t xml:space="preserve">Plato / Platonici</w:t>
        </w:r>
      </w:hyperlink>
      <w:r>
        <w:rPr>
          <w:b w:val="0"/>
          <w:i w:val="0"/>
        </w:rPr>
        <w:t xml:space="preserve">; </w:t>
      </w:r>
      <w:hyperlink w:anchor="latin-record-1088">
        <w:r>
          <w:rPr>
            <w:color w:val="000000"/>
          </w:rPr>
          <w:t xml:space="preserve">semper / simul / aliquando / nondum / amplius</w:t>
        </w:r>
      </w:hyperlink>
      <w:r>
        <w:rPr>
          <w:b w:val="0"/>
          <w:i w:val="0"/>
        </w:rPr>
        <w:t>.</w:t>
      </w:r>
    </w:p>
    <w:p>
      <w:pPr>
        <w:widowControl/>
      </w:pPr>
      <w:bookmarkStart w:id="1972" w:name="passage-iii-2-3"/>
      <w:bookmarkEnd w:id="1972"/>
      <w:r>
        <w:rPr>
          <w:b/>
          <w:i w:val="0"/>
        </w:rPr>
        <w:t>III.2.3</w:t>
      </w:r>
      <w:r>
        <w:rPr>
          <w:b/>
          <w:i w:val="0"/>
        </w:rPr>
        <w:t>, source pp. 262–263.</w:t>
      </w:r>
      <w:r>
        <w:rPr>
          <w:b w:val="0"/>
          <w:i w:val="0"/>
        </w:rPr>
        <w:t xml:space="preserve"> Articles: </w:t>
      </w:r>
      <w:hyperlink w:anchor="bond-knot-and-chain">
        <w:r>
          <w:rPr>
            <w:color w:val="000000"/>
          </w:rPr>
          <w:t xml:space="preserve">Bond knot and chain</w:t>
        </w:r>
      </w:hyperlink>
      <w:r>
        <w:rPr>
          <w:b w:val="0"/>
          <w:i w:val="0"/>
        </w:rPr>
        <w:t xml:space="preserve">; </w:t>
      </w:r>
      <w:hyperlink w:anchor="degree-and-mediation">
        <w:r>
          <w:rPr>
            <w:color w:val="000000"/>
          </w:rPr>
          <w:t xml:space="preserve">Degree and mediation</w:t>
        </w:r>
      </w:hyperlink>
      <w:r>
        <w:rPr>
          <w:b w:val="0"/>
          <w:i w:val="0"/>
        </w:rPr>
        <w:t xml:space="preserve">; </w:t>
      </w:r>
      <w:hyperlink w:anchor="empyrean-heaven">
        <w:r>
          <w:rPr>
            <w:color w:val="000000"/>
          </w:rPr>
          <w:t xml:space="preserve">Empyrean heaven</w:t>
        </w:r>
      </w:hyperlink>
      <w:r>
        <w:rPr>
          <w:b w:val="0"/>
          <w:i w:val="0"/>
        </w:rPr>
        <w:t xml:space="preserve">; </w:t>
      </w:r>
      <w:hyperlink w:anchor="eternity-and-time">
        <w:r>
          <w:rPr>
            <w:color w:val="000000"/>
          </w:rPr>
          <w:t xml:space="preserve">Eternity and time</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spheres-and-stars">
        <w:r>
          <w:rPr>
            <w:color w:val="000000"/>
          </w:rPr>
          <w:t xml:space="preserve">Spheres and stars</w:t>
        </w:r>
      </w:hyperlink>
      <w:r>
        <w:rPr>
          <w:b w:val="0"/>
          <w:i w:val="0"/>
        </w:rPr>
        <w:t xml:space="preserve">. Vocabulary: </w:t>
      </w:r>
      <w:hyperlink w:anchor="latin-record-0037">
        <w:r>
          <w:rPr>
            <w:color w:val="000000"/>
          </w:rPr>
          <w:t xml:space="preserve">aevum</w:t>
        </w:r>
      </w:hyperlink>
      <w:r>
        <w:rPr>
          <w:b w:val="0"/>
          <w:i w:val="0"/>
        </w:rPr>
        <w:t>.</w:t>
      </w:r>
    </w:p>
    <w:p>
      <w:pPr>
        <w:widowControl/>
      </w:pPr>
      <w:bookmarkStart w:id="1973" w:name="passage-iii-2-4"/>
      <w:bookmarkEnd w:id="1973"/>
      <w:r>
        <w:rPr>
          <w:b/>
          <w:i w:val="0"/>
        </w:rPr>
        <w:t>III.2.4</w:t>
      </w:r>
      <w:r>
        <w:rPr>
          <w:b/>
          <w:i w:val="0"/>
        </w:rPr>
        <w:t>, source pp. 262–263.</w:t>
      </w:r>
      <w:r>
        <w:rPr>
          <w:b w:val="0"/>
          <w:i w:val="0"/>
        </w:rPr>
        <w:t xml:space="preserve"> Articles: </w:t>
      </w:r>
      <w:hyperlink w:anchor="degree-and-mediation">
        <w:r>
          <w:rPr>
            <w:color w:val="000000"/>
          </w:rPr>
          <w:t xml:space="preserve">Degree and mediation</w:t>
        </w:r>
      </w:hyperlink>
      <w:r>
        <w:rPr>
          <w:b w:val="0"/>
          <w:i w:val="0"/>
        </w:rPr>
        <w:t xml:space="preserve">; </w:t>
      </w:r>
      <w:hyperlink w:anchor="empyrean-heaven">
        <w:r>
          <w:rPr>
            <w:color w:val="000000"/>
          </w:rPr>
          <w:t xml:space="preserve">Empyrean heaven</w:t>
        </w:r>
      </w:hyperlink>
      <w:r>
        <w:rPr>
          <w:b w:val="0"/>
          <w:i w:val="0"/>
        </w:rPr>
        <w:t xml:space="preserve">; </w:t>
      </w:r>
      <w:hyperlink w:anchor="eternity-and-time">
        <w:r>
          <w:rPr>
            <w:color w:val="000000"/>
          </w:rPr>
          <w:t xml:space="preserve">Eternity and time</w:t>
        </w:r>
      </w:hyperlink>
      <w:r>
        <w:rPr>
          <w:b w:val="0"/>
          <w:i w:val="0"/>
        </w:rPr>
        <w:t xml:space="preserve">; </w:t>
      </w:r>
      <w:hyperlink w:anchor="qualification-and-attribution">
        <w:r>
          <w:rPr>
            <w:color w:val="000000"/>
          </w:rPr>
          <w:t xml:space="preserve">Qualification and attribution</w:t>
        </w:r>
      </w:hyperlink>
      <w:r>
        <w:rPr>
          <w:b w:val="0"/>
          <w:i w:val="0"/>
        </w:rPr>
        <w:t xml:space="preserve">; </w:t>
      </w:r>
      <w:hyperlink w:anchor="soul">
        <w:r>
          <w:rPr>
            <w:color w:val="000000"/>
          </w:rPr>
          <w:t xml:space="preserve">Soul</w:t>
        </w:r>
      </w:hyperlink>
      <w:r>
        <w:rPr>
          <w:b w:val="0"/>
          <w:i w:val="0"/>
        </w:rPr>
        <w:t xml:space="preserve">; </w:t>
      </w:r>
      <w:hyperlink w:anchor="spheres-and-stars">
        <w:r>
          <w:rPr>
            <w:color w:val="000000"/>
          </w:rPr>
          <w:t xml:space="preserve">Spheres and stars</w:t>
        </w:r>
      </w:hyperlink>
      <w:r>
        <w:rPr>
          <w:b w:val="0"/>
          <w:i w:val="0"/>
        </w:rPr>
        <w:t xml:space="preserve">. Vocabulary: </w:t>
      </w:r>
      <w:hyperlink w:anchor="latin-record-0130">
        <w:r>
          <w:rPr>
            <w:color w:val="000000"/>
          </w:rPr>
          <w:t xml:space="preserve">caelum / sphaera / stella</w:t>
        </w:r>
      </w:hyperlink>
      <w:r>
        <w:rPr>
          <w:b w:val="0"/>
          <w:i w:val="0"/>
        </w:rPr>
        <w:t xml:space="preserve">; </w:t>
      </w:r>
      <w:hyperlink w:anchor="latin-record-0371">
        <w:r>
          <w:rPr>
            <w:color w:val="000000"/>
          </w:rPr>
          <w:t xml:space="preserve">empyreus / prorsus immobile</w:t>
        </w:r>
      </w:hyperlink>
      <w:r>
        <w:rPr>
          <w:b w:val="0"/>
          <w:i w:val="0"/>
        </w:rPr>
        <w:t xml:space="preserve">; </w:t>
      </w:r>
      <w:hyperlink w:anchor="latin-record-0533">
        <w:r>
          <w:rPr>
            <w:color w:val="000000"/>
          </w:rPr>
          <w:t xml:space="preserve">immutabilis / immobilis</w:t>
        </w:r>
      </w:hyperlink>
      <w:r>
        <w:rPr>
          <w:b w:val="0"/>
          <w:i w:val="0"/>
        </w:rPr>
        <w:t>.</w:t>
      </w:r>
    </w:p>
    <w:p>
      <w:pPr>
        <w:widowControl/>
      </w:pPr>
      <w:bookmarkStart w:id="1974" w:name="passage-iii-2-5"/>
      <w:bookmarkEnd w:id="1974"/>
      <w:r>
        <w:rPr>
          <w:b/>
          <w:i w:val="0"/>
        </w:rPr>
        <w:t>III.2.5</w:t>
      </w:r>
      <w:r>
        <w:rPr>
          <w:b/>
          <w:i w:val="0"/>
        </w:rPr>
        <w:t>, source pp. 264–265.</w:t>
      </w:r>
      <w:r>
        <w:rPr>
          <w:b w:val="0"/>
          <w:i w:val="0"/>
        </w:rPr>
        <w:t xml:space="preserve"> Articles: </w:t>
      </w:r>
      <w:hyperlink w:anchor="degree-and-mediation">
        <w:r>
          <w:rPr>
            <w:color w:val="000000"/>
          </w:rPr>
          <w:t xml:space="preserve">Degree and mediation</w:t>
        </w:r>
      </w:hyperlink>
      <w:r>
        <w:rPr>
          <w:b w:val="0"/>
          <w:i w:val="0"/>
        </w:rPr>
        <w:t xml:space="preserve">; </w:t>
      </w:r>
      <w:hyperlink w:anchor="empyrean-heaven">
        <w:r>
          <w:rPr>
            <w:color w:val="000000"/>
          </w:rPr>
          <w:t xml:space="preserve">Empyrean heaven</w:t>
        </w:r>
      </w:hyperlink>
      <w:r>
        <w:rPr>
          <w:b w:val="0"/>
          <w:i w:val="0"/>
        </w:rPr>
        <w:t xml:space="preserve">; </w:t>
      </w:r>
      <w:hyperlink w:anchor="eternity-and-time">
        <w:r>
          <w:rPr>
            <w:color w:val="000000"/>
          </w:rPr>
          <w:t xml:space="preserve">Eternity and time</w:t>
        </w:r>
      </w:hyperlink>
      <w:r>
        <w:rPr>
          <w:b w:val="0"/>
          <w:i w:val="0"/>
        </w:rPr>
        <w:t xml:space="preserve">; </w:t>
      </w:r>
      <w:hyperlink w:anchor="soul">
        <w:r>
          <w:rPr>
            <w:color w:val="000000"/>
          </w:rPr>
          <w:t xml:space="preserve">Soul</w:t>
        </w:r>
      </w:hyperlink>
      <w:r>
        <w:rPr>
          <w:b w:val="0"/>
          <w:i w:val="0"/>
        </w:rPr>
        <w:t xml:space="preserve">; </w:t>
      </w:r>
      <w:hyperlink w:anchor="spheres-and-stars">
        <w:r>
          <w:rPr>
            <w:color w:val="000000"/>
          </w:rPr>
          <w:t xml:space="preserve">Spheres and stars</w:t>
        </w:r>
      </w:hyperlink>
      <w:r>
        <w:rPr>
          <w:b w:val="0"/>
          <w:i w:val="0"/>
        </w:rPr>
        <w:t xml:space="preserve">. Vocabulary: </w:t>
      </w:r>
      <w:hyperlink w:anchor="latin-record-0130">
        <w:r>
          <w:rPr>
            <w:color w:val="000000"/>
          </w:rPr>
          <w:t xml:space="preserve">caelum / sphaera / stella</w:t>
        </w:r>
      </w:hyperlink>
      <w:r>
        <w:rPr>
          <w:b w:val="0"/>
          <w:i w:val="0"/>
        </w:rPr>
        <w:t xml:space="preserve">; </w:t>
      </w:r>
      <w:hyperlink w:anchor="latin-record-0597">
        <w:r>
          <w:rPr>
            <w:color w:val="000000"/>
          </w:rPr>
          <w:t xml:space="preserve">intellectus animales / animae corporales</w:t>
        </w:r>
      </w:hyperlink>
      <w:r>
        <w:rPr>
          <w:b w:val="0"/>
          <w:i w:val="0"/>
        </w:rPr>
        <w:t>.</w:t>
      </w:r>
    </w:p>
    <w:p>
      <w:pPr>
        <w:widowControl/>
      </w:pPr>
      <w:bookmarkStart w:id="1975" w:name="passage-iii-2-6"/>
      <w:bookmarkEnd w:id="1975"/>
      <w:r>
        <w:rPr>
          <w:b/>
          <w:i w:val="0"/>
        </w:rPr>
        <w:t>III.2.6</w:t>
      </w:r>
      <w:r>
        <w:rPr>
          <w:b/>
          <w:i w:val="0"/>
        </w:rPr>
        <w:t>, source pp. 264–265.</w:t>
      </w:r>
      <w:r>
        <w:rPr>
          <w:b w:val="0"/>
          <w:i w:val="0"/>
        </w:rPr>
        <w:t xml:space="preserve"> Articles: </w:t>
      </w:r>
      <w:hyperlink w:anchor="bond-knot-and-chain">
        <w:r>
          <w:rPr>
            <w:color w:val="000000"/>
          </w:rPr>
          <w:t xml:space="preserve">Bond knot and chain</w:t>
        </w:r>
      </w:hyperlink>
      <w:r>
        <w:rPr>
          <w:b w:val="0"/>
          <w:i w:val="0"/>
        </w:rPr>
        <w:t xml:space="preserve">; </w:t>
      </w:r>
      <w:hyperlink w:anchor="degree-and-mediation">
        <w:r>
          <w:rPr>
            <w:color w:val="000000"/>
          </w:rPr>
          <w:t xml:space="preserve">Degree and mediation</w:t>
        </w:r>
      </w:hyperlink>
      <w:r>
        <w:rPr>
          <w:b w:val="0"/>
          <w:i w:val="0"/>
        </w:rPr>
        <w:t xml:space="preserve">; </w:t>
      </w:r>
      <w:hyperlink w:anchor="empyrean-heaven">
        <w:r>
          <w:rPr>
            <w:color w:val="000000"/>
          </w:rPr>
          <w:t xml:space="preserve">Empyrean heaven</w:t>
        </w:r>
      </w:hyperlink>
      <w:r>
        <w:rPr>
          <w:b w:val="0"/>
          <w:i w:val="0"/>
        </w:rPr>
        <w:t xml:space="preserve">; </w:t>
      </w:r>
      <w:hyperlink w:anchor="perfection">
        <w:r>
          <w:rPr>
            <w:color w:val="000000"/>
          </w:rPr>
          <w:t xml:space="preserve">Perfection</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36">
        <w:r>
          <w:rPr>
            <w:color w:val="000000"/>
          </w:rPr>
          <w:t xml:space="preserve">aer / aqua / terra</w:t>
        </w:r>
      </w:hyperlink>
      <w:r>
        <w:rPr>
          <w:b w:val="0"/>
          <w:i w:val="0"/>
        </w:rPr>
        <w:t xml:space="preserve">; </w:t>
      </w:r>
      <w:hyperlink w:anchor="latin-record-0238">
        <w:r>
          <w:rPr>
            <w:color w:val="000000"/>
          </w:rPr>
          <w:t xml:space="preserve">conglutinare / consonare</w:t>
        </w:r>
      </w:hyperlink>
      <w:r>
        <w:rPr>
          <w:b w:val="0"/>
          <w:i w:val="0"/>
        </w:rPr>
        <w:t xml:space="preserve">; </w:t>
      </w:r>
      <w:hyperlink w:anchor="latin-record-0257">
        <w:r>
          <w:rPr>
            <w:color w:val="000000"/>
          </w:rPr>
          <w:t xml:space="preserve">constare / consistere</w:t>
        </w:r>
      </w:hyperlink>
      <w:r>
        <w:rPr>
          <w:b w:val="0"/>
          <w:i w:val="0"/>
        </w:rPr>
        <w:t xml:space="preserve">; </w:t>
      </w:r>
      <w:hyperlink w:anchor="latin-record-0597">
        <w:r>
          <w:rPr>
            <w:color w:val="000000"/>
          </w:rPr>
          <w:t xml:space="preserve">intellectus animales / animae corporales</w:t>
        </w:r>
      </w:hyperlink>
      <w:r>
        <w:rPr>
          <w:b w:val="0"/>
          <w:i w:val="0"/>
        </w:rPr>
        <w:t xml:space="preserve">; </w:t>
      </w:r>
      <w:hyperlink w:anchor="latin-record-0803">
        <w:r>
          <w:rPr>
            <w:color w:val="000000"/>
          </w:rPr>
          <w:t xml:space="preserve">opus</w:t>
        </w:r>
      </w:hyperlink>
      <w:r>
        <w:rPr>
          <w:b w:val="0"/>
          <w:i w:val="0"/>
        </w:rPr>
        <w:t>.</w:t>
      </w:r>
    </w:p>
    <w:p>
      <w:pPr>
        <w:widowControl/>
      </w:pPr>
      <w:bookmarkStart w:id="1976" w:name="passage-iii-2-7"/>
      <w:bookmarkEnd w:id="1976"/>
      <w:r>
        <w:rPr>
          <w:b/>
          <w:i w:val="0"/>
        </w:rPr>
        <w:t>III.2.7</w:t>
      </w:r>
      <w:r>
        <w:rPr>
          <w:b/>
          <w:i w:val="0"/>
        </w:rPr>
        <w:t>, source pp. 264–265.</w:t>
      </w:r>
      <w:r>
        <w:rPr>
          <w:b w:val="0"/>
          <w:i w:val="0"/>
        </w:rPr>
        <w:t xml:space="preserve"> Articles: </w:t>
      </w:r>
      <w:hyperlink w:anchor="degree-and-mediation">
        <w:r>
          <w:rPr>
            <w:color w:val="000000"/>
          </w:rPr>
          <w:t xml:space="preserve">Degree and mediation</w:t>
        </w:r>
      </w:hyperlink>
      <w:r>
        <w:rPr>
          <w:b w:val="0"/>
          <w:i w:val="0"/>
        </w:rPr>
        <w:t xml:space="preserve">; </w:t>
      </w:r>
      <w:hyperlink w:anchor="perfection">
        <w:r>
          <w:rPr>
            <w:color w:val="000000"/>
          </w:rPr>
          <w:t xml:space="preserve">Perfection</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417">
        <w:r>
          <w:rPr>
            <w:color w:val="000000"/>
          </w:rPr>
          <w:t xml:space="preserve">extremum</w:t>
        </w:r>
      </w:hyperlink>
      <w:r>
        <w:rPr>
          <w:b w:val="0"/>
          <w:i w:val="0"/>
        </w:rPr>
        <w:t xml:space="preserve">; </w:t>
      </w:r>
      <w:hyperlink w:anchor="latin-record-0803">
        <w:r>
          <w:rPr>
            <w:color w:val="000000"/>
          </w:rPr>
          <w:t xml:space="preserve">opus</w:t>
        </w:r>
      </w:hyperlink>
      <w:r>
        <w:rPr>
          <w:b w:val="0"/>
          <w:i w:val="0"/>
        </w:rPr>
        <w:t>.</w:t>
      </w:r>
    </w:p>
    <w:p>
      <w:pPr>
        <w:widowControl/>
      </w:pPr>
      <w:bookmarkStart w:id="1977" w:name="passage-iii-2-8"/>
      <w:bookmarkEnd w:id="1977"/>
      <w:r>
        <w:rPr>
          <w:b/>
          <w:i w:val="0"/>
        </w:rPr>
        <w:t>III.2.8</w:t>
      </w:r>
      <w:r>
        <w:rPr>
          <w:b/>
          <w:i w:val="0"/>
        </w:rPr>
        <w:t>, source pp. 266–267.</w:t>
      </w:r>
      <w:r>
        <w:rPr>
          <w:b w:val="0"/>
          <w:i w:val="0"/>
        </w:rPr>
        <w:t xml:space="preserve"> Articles: </w:t>
      </w:r>
      <w:hyperlink w:anchor="bond-knot-and-chain">
        <w:r>
          <w:rPr>
            <w:color w:val="000000"/>
          </w:rPr>
          <w:t xml:space="preserve">Bond knot and chain</w:t>
        </w:r>
      </w:hyperlink>
      <w:r>
        <w:rPr>
          <w:b w:val="0"/>
          <w:i w:val="0"/>
        </w:rPr>
        <w:t xml:space="preserve">; </w:t>
      </w:r>
      <w:hyperlink w:anchor="degree-and-mediation">
        <w:r>
          <w:rPr>
            <w:color w:val="000000"/>
          </w:rPr>
          <w:t xml:space="preserve">Degree and mediation</w:t>
        </w:r>
      </w:hyperlink>
      <w:r>
        <w:rPr>
          <w:b w:val="0"/>
          <w:i w:val="0"/>
        </w:rPr>
        <w:t xml:space="preserve">; </w:t>
      </w:r>
      <w:hyperlink w:anchor="image-and-likeness">
        <w:r>
          <w:rPr>
            <w:color w:val="000000"/>
          </w:rPr>
          <w:t xml:space="preserve">Image and likeness</w:t>
        </w:r>
      </w:hyperlink>
      <w:r>
        <w:rPr>
          <w:b w:val="0"/>
          <w:i w:val="0"/>
        </w:rPr>
        <w:t xml:space="preserve">; </w:t>
      </w:r>
      <w:hyperlink w:anchor="light-and-illumination">
        <w:r>
          <w:rPr>
            <w:color w:val="000000"/>
          </w:rPr>
          <w:t xml:space="preserve">Light and illumination</w:t>
        </w:r>
      </w:hyperlink>
      <w:r>
        <w:rPr>
          <w:b w:val="0"/>
          <w:i w:val="0"/>
        </w:rPr>
        <w:t xml:space="preserve">; </w:t>
      </w:r>
      <w:hyperlink w:anchor="perfection">
        <w:r>
          <w:rPr>
            <w:color w:val="000000"/>
          </w:rPr>
          <w:t xml:space="preserve">Perfection</w:t>
        </w:r>
      </w:hyperlink>
      <w:r>
        <w:rPr>
          <w:b w:val="0"/>
          <w:i w:val="0"/>
        </w:rPr>
        <w:t xml:space="preserve">; </w:t>
      </w:r>
      <w:hyperlink w:anchor="soul">
        <w:r>
          <w:rPr>
            <w:color w:val="000000"/>
          </w:rPr>
          <w:t xml:space="preserve">Soul</w:t>
        </w:r>
      </w:hyperlink>
      <w:r>
        <w:rPr>
          <w:b w:val="0"/>
          <w:i w:val="0"/>
        </w:rPr>
        <w:t xml:space="preserve">; </w:t>
      </w:r>
      <w:hyperlink w:anchor="spiritual-union">
        <w:r>
          <w:rPr>
            <w:color w:val="000000"/>
          </w:rPr>
          <w:t xml:space="preserve">Spiritual union</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36">
        <w:r>
          <w:rPr>
            <w:color w:val="000000"/>
          </w:rPr>
          <w:t xml:space="preserve">aer / aqua / terra</w:t>
        </w:r>
      </w:hyperlink>
      <w:r>
        <w:rPr>
          <w:b w:val="0"/>
          <w:i w:val="0"/>
        </w:rPr>
        <w:t xml:space="preserve">; </w:t>
      </w:r>
      <w:hyperlink w:anchor="latin-record-0241">
        <w:r>
          <w:rPr>
            <w:color w:val="000000"/>
          </w:rPr>
          <w:t xml:space="preserve">connectere / copulare / colligare</w:t>
        </w:r>
      </w:hyperlink>
      <w:r>
        <w:rPr>
          <w:b w:val="0"/>
          <w:i w:val="0"/>
        </w:rPr>
        <w:t xml:space="preserve">; </w:t>
      </w:r>
      <w:hyperlink w:anchor="latin-record-0306">
        <w:r>
          <w:rPr>
            <w:color w:val="000000"/>
          </w:rPr>
          <w:t xml:space="preserve">deserere / relinquere</w:t>
        </w:r>
      </w:hyperlink>
      <w:r>
        <w:rPr>
          <w:b w:val="0"/>
          <w:i w:val="0"/>
        </w:rPr>
        <w:t xml:space="preserve">; </w:t>
      </w:r>
      <w:hyperlink w:anchor="latin-record-0417">
        <w:r>
          <w:rPr>
            <w:color w:val="000000"/>
          </w:rPr>
          <w:t xml:space="preserve">extremum</w:t>
        </w:r>
      </w:hyperlink>
      <w:r>
        <w:rPr>
          <w:b w:val="0"/>
          <w:i w:val="0"/>
        </w:rPr>
        <w:t xml:space="preserve">; </w:t>
      </w:r>
      <w:hyperlink w:anchor="latin-record-0504">
        <w:r>
          <w:rPr>
            <w:color w:val="000000"/>
          </w:rPr>
          <w:t xml:space="preserve">haerere</w:t>
        </w:r>
      </w:hyperlink>
      <w:r>
        <w:rPr>
          <w:b w:val="0"/>
          <w:i w:val="0"/>
        </w:rPr>
        <w:t xml:space="preserve">; </w:t>
      </w:r>
      <w:hyperlink w:anchor="latin-record-0584">
        <w:r>
          <w:rPr>
            <w:color w:val="000000"/>
          </w:rPr>
          <w:t xml:space="preserve">instinctus</w:t>
        </w:r>
      </w:hyperlink>
      <w:r>
        <w:rPr>
          <w:b w:val="0"/>
          <w:i w:val="0"/>
        </w:rPr>
        <w:t xml:space="preserve">; </w:t>
      </w:r>
      <w:hyperlink w:anchor="latin-record-0747">
        <w:r>
          <w:rPr>
            <w:color w:val="000000"/>
          </w:rPr>
          <w:t xml:space="preserve">necesse / oportere</w:t>
        </w:r>
      </w:hyperlink>
      <w:r>
        <w:rPr>
          <w:b w:val="0"/>
          <w:i w:val="0"/>
        </w:rPr>
        <w:t xml:space="preserve">; </w:t>
      </w:r>
      <w:hyperlink w:anchor="latin-record-1127">
        <w:r>
          <w:rPr>
            <w:color w:val="000000"/>
          </w:rPr>
          <w:t xml:space="preserve">speculum</w:t>
        </w:r>
      </w:hyperlink>
      <w:r>
        <w:rPr>
          <w:b w:val="0"/>
          <w:i w:val="0"/>
        </w:rPr>
        <w:t xml:space="preserve">; </w:t>
      </w:r>
      <w:hyperlink w:anchor="latin-record-1191">
        <w:r>
          <w:rPr>
            <w:color w:val="000000"/>
          </w:rPr>
          <w:t xml:space="preserve">tenuari / clarescere / hebescere</w:t>
        </w:r>
      </w:hyperlink>
      <w:r>
        <w:rPr>
          <w:b w:val="0"/>
          <w:i w:val="0"/>
        </w:rPr>
        <w:t>.</w:t>
      </w:r>
    </w:p>
    <w:p>
      <w:pPr>
        <w:widowControl/>
      </w:pPr>
      <w:bookmarkStart w:id="1978" w:name="passage-iii-2-9"/>
      <w:bookmarkEnd w:id="1978"/>
      <w:r>
        <w:rPr>
          <w:b/>
          <w:i w:val="0"/>
        </w:rPr>
        <w:t>III.2.9</w:t>
      </w:r>
      <w:r>
        <w:rPr>
          <w:b/>
          <w:i w:val="0"/>
        </w:rPr>
        <w:t>, source pp. 268–269.</w:t>
      </w:r>
      <w:r>
        <w:rPr>
          <w:b w:val="0"/>
          <w:i w:val="0"/>
        </w:rPr>
        <w:t xml:space="preserve"> Articles: </w:t>
      </w:r>
      <w:hyperlink w:anchor="body-and-bulk">
        <w:r>
          <w:rPr>
            <w:color w:val="000000"/>
          </w:rPr>
          <w:t xml:space="preserve">Body and bulk</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point-and-position">
        <w:r>
          <w:rPr>
            <w:color w:val="000000"/>
          </w:rPr>
          <w:t xml:space="preserve">Point and position</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Vocabulary: </w:t>
      </w:r>
      <w:hyperlink w:anchor="latin-record-0281">
        <w:r>
          <w:rPr>
            <w:color w:val="000000"/>
          </w:rPr>
          <w:t xml:space="preserve">corpus / corporalis</w:t>
        </w:r>
      </w:hyperlink>
      <w:r>
        <w:rPr>
          <w:b w:val="0"/>
          <w:i w:val="0"/>
        </w:rPr>
        <w:t xml:space="preserve">; </w:t>
      </w:r>
      <w:hyperlink w:anchor="latin-record-1182">
        <w:r>
          <w:rPr>
            <w:color w:val="000000"/>
          </w:rPr>
          <w:t xml:space="preserve">tangere</w:t>
        </w:r>
      </w:hyperlink>
      <w:r>
        <w:rPr>
          <w:b w:val="0"/>
          <w:i w:val="0"/>
        </w:rPr>
        <w:t>.</w:t>
      </w:r>
    </w:p>
    <w:p>
      <w:pPr>
        <w:widowControl/>
      </w:pPr>
      <w:bookmarkStart w:id="1979" w:name="passage-iii-2-10"/>
      <w:bookmarkEnd w:id="1979"/>
      <w:r>
        <w:rPr>
          <w:b/>
          <w:i w:val="0"/>
        </w:rPr>
        <w:t>III.2.10</w:t>
      </w:r>
      <w:r>
        <w:rPr>
          <w:b/>
          <w:i w:val="0"/>
        </w:rPr>
        <w:t>, source pp. 268–269.</w:t>
      </w:r>
      <w:r>
        <w:rPr>
          <w:b w:val="0"/>
          <w:i w:val="0"/>
        </w:rPr>
        <w:t xml:space="preserve"> Articles: </w:t>
      </w:r>
      <w:hyperlink w:anchor="body-and-bulk">
        <w:r>
          <w:rPr>
            <w:color w:val="000000"/>
          </w:rPr>
          <w:t xml:space="preserve">Body and bulk</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Vocabulary: </w:t>
      </w:r>
      <w:hyperlink w:anchor="latin-record-0045">
        <w:r>
          <w:rPr>
            <w:color w:val="000000"/>
          </w:rPr>
          <w:t xml:space="preserve">albedo / caro</w:t>
        </w:r>
      </w:hyperlink>
      <w:r>
        <w:rPr>
          <w:b w:val="0"/>
          <w:i w:val="0"/>
        </w:rPr>
        <w:t xml:space="preserve">; </w:t>
      </w:r>
      <w:hyperlink w:anchor="latin-record-0532">
        <w:r>
          <w:rPr>
            <w:color w:val="000000"/>
          </w:rPr>
          <w:t xml:space="preserve">immo / potius / minime</w:t>
        </w:r>
      </w:hyperlink>
      <w:r>
        <w:rPr>
          <w:b w:val="0"/>
          <w:i w:val="0"/>
        </w:rPr>
        <w:t xml:space="preserve">; </w:t>
      </w:r>
      <w:hyperlink w:anchor="latin-record-1002">
        <w:r>
          <w:rPr>
            <w:color w:val="000000"/>
          </w:rPr>
          <w:t xml:space="preserve">qualitas</w:t>
        </w:r>
      </w:hyperlink>
      <w:r>
        <w:rPr>
          <w:b w:val="0"/>
          <w:i w:val="0"/>
        </w:rPr>
        <w:t>.</w:t>
      </w:r>
    </w:p>
    <w:p>
      <w:pPr>
        <w:widowControl/>
      </w:pPr>
      <w:bookmarkStart w:id="1980" w:name="passage-iii-2-11"/>
      <w:bookmarkEnd w:id="1980"/>
      <w:r>
        <w:rPr>
          <w:b/>
          <w:i w:val="0"/>
        </w:rPr>
        <w:t>III.2.11</w:t>
      </w:r>
      <w:r>
        <w:rPr>
          <w:b/>
          <w:i w:val="0"/>
        </w:rPr>
        <w:t>, source pp. 268–269.</w:t>
      </w:r>
      <w:r>
        <w:rPr>
          <w:b w:val="0"/>
          <w:i w:val="0"/>
        </w:rPr>
        <w:t xml:space="preserve"> Articles: </w:t>
      </w:r>
      <w:hyperlink w:anchor="body-and-bulk">
        <w:r>
          <w:rPr>
            <w:color w:val="000000"/>
          </w:rPr>
          <w:t xml:space="preserve">Body and bulk</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Vocabulary: </w:t>
      </w:r>
      <w:hyperlink w:anchor="latin-record-0045">
        <w:r>
          <w:rPr>
            <w:color w:val="000000"/>
          </w:rPr>
          <w:t xml:space="preserve">albedo / caro</w:t>
        </w:r>
      </w:hyperlink>
      <w:r>
        <w:rPr>
          <w:b w:val="0"/>
          <w:i w:val="0"/>
        </w:rPr>
        <w:t xml:space="preserve">; </w:t>
      </w:r>
      <w:hyperlink w:anchor="latin-record-0281">
        <w:r>
          <w:rPr>
            <w:color w:val="000000"/>
          </w:rPr>
          <w:t xml:space="preserve">corpus / corporalis</w:t>
        </w:r>
      </w:hyperlink>
      <w:r>
        <w:rPr>
          <w:b w:val="0"/>
          <w:i w:val="0"/>
        </w:rPr>
        <w:t xml:space="preserve">; </w:t>
      </w:r>
      <w:hyperlink w:anchor="latin-record-1002">
        <w:r>
          <w:rPr>
            <w:color w:val="000000"/>
          </w:rPr>
          <w:t xml:space="preserve">qualitas</w:t>
        </w:r>
      </w:hyperlink>
      <w:r>
        <w:rPr>
          <w:b w:val="0"/>
          <w:i w:val="0"/>
        </w:rPr>
        <w:t>.</w:t>
      </w:r>
    </w:p>
    <w:p>
      <w:pPr>
        <w:widowControl/>
      </w:pPr>
      <w:bookmarkStart w:id="1981" w:name="passage-iii-2-12"/>
      <w:bookmarkEnd w:id="1981"/>
      <w:r>
        <w:rPr>
          <w:b/>
          <w:i w:val="0"/>
        </w:rPr>
        <w:t>III.2.12</w:t>
      </w:r>
      <w:r>
        <w:rPr>
          <w:b/>
          <w:i w:val="0"/>
        </w:rPr>
        <w:t>, source pp. 268–269.</w:t>
      </w:r>
      <w:r>
        <w:rPr>
          <w:b w:val="0"/>
          <w:i w:val="0"/>
        </w:rPr>
        <w:t xml:space="preserve"> Articles: </w:t>
      </w:r>
      <w:hyperlink w:anchor="body-and-bulk">
        <w:r>
          <w:rPr>
            <w:color w:val="000000"/>
          </w:rPr>
          <w:t xml:space="preserve">Body and bulk</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point-and-position">
        <w:r>
          <w:rPr>
            <w:color w:val="000000"/>
          </w:rPr>
          <w:t xml:space="preserve">Point and position</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Vocabulary: </w:t>
      </w:r>
      <w:hyperlink w:anchor="latin-record-0341">
        <w:r>
          <w:rPr>
            <w:color w:val="000000"/>
          </w:rPr>
          <w:t xml:space="preserve">distrahere / adstare</w:t>
        </w:r>
      </w:hyperlink>
      <w:r>
        <w:rPr>
          <w:b w:val="0"/>
          <w:i w:val="0"/>
        </w:rPr>
        <w:t xml:space="preserve">; </w:t>
      </w:r>
      <w:hyperlink w:anchor="latin-record-0670">
        <w:r>
          <w:rPr>
            <w:color w:val="000000"/>
          </w:rPr>
          <w:t xml:space="preserve">manere / permanere / remanere</w:t>
        </w:r>
      </w:hyperlink>
      <w:r>
        <w:rPr>
          <w:b w:val="0"/>
          <w:i w:val="0"/>
        </w:rPr>
        <w:t xml:space="preserve">; </w:t>
      </w:r>
      <w:hyperlink w:anchor="latin-record-1271">
        <w:r>
          <w:rPr>
            <w:color w:val="000000"/>
          </w:rPr>
          <w:t xml:space="preserve">vis / virtus / potestas</w:t>
        </w:r>
      </w:hyperlink>
      <w:r>
        <w:rPr>
          <w:b w:val="0"/>
          <w:i w:val="0"/>
        </w:rPr>
        <w:t>.</w:t>
      </w:r>
    </w:p>
    <w:p>
      <w:pPr>
        <w:widowControl/>
      </w:pPr>
      <w:bookmarkStart w:id="1982" w:name="passage-iii-2-13"/>
      <w:bookmarkEnd w:id="1982"/>
      <w:r>
        <w:rPr>
          <w:b/>
          <w:i w:val="0"/>
        </w:rPr>
        <w:t>III.2.13</w:t>
      </w:r>
      <w:r>
        <w:rPr>
          <w:b/>
          <w:i w:val="0"/>
        </w:rPr>
        <w:t>, source pp. 270–271.</w:t>
      </w:r>
      <w:r>
        <w:rPr>
          <w:b w:val="0"/>
          <w:i w:val="0"/>
        </w:rPr>
        <w:t xml:space="preserve"> Articles: </w:t>
      </w:r>
      <w:hyperlink w:anchor="body-and-bulk">
        <w:r>
          <w:rPr>
            <w:color w:val="000000"/>
          </w:rPr>
          <w:t xml:space="preserve">Body and bulk</w:t>
        </w:r>
      </w:hyperlink>
      <w:r>
        <w:rPr>
          <w:b w:val="0"/>
          <w:i w:val="0"/>
        </w:rPr>
        <w:t xml:space="preserve">; </w:t>
      </w:r>
      <w:hyperlink w:anchor="hinge-and-center">
        <w:r>
          <w:rPr>
            <w:color w:val="000000"/>
          </w:rPr>
          <w:t xml:space="preserve">Hinge and center</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w:t>
      </w:r>
      <w:hyperlink w:anchor="utterance-and-meaning">
        <w:r>
          <w:rPr>
            <w:color w:val="000000"/>
          </w:rPr>
          <w:t xml:space="preserve">Utterance and meaning</w:t>
        </w:r>
      </w:hyperlink>
      <w:r>
        <w:rPr>
          <w:b w:val="0"/>
          <w:i w:val="0"/>
        </w:rPr>
        <w:t xml:space="preserve">. Vocabulary: </w:t>
      </w:r>
      <w:hyperlink w:anchor="latin-record-0040">
        <w:r>
          <w:rPr>
            <w:color w:val="000000"/>
          </w:rPr>
          <w:t xml:space="preserve">affixus / situs</w:t>
        </w:r>
      </w:hyperlink>
      <w:r>
        <w:rPr>
          <w:b w:val="0"/>
          <w:i w:val="0"/>
        </w:rPr>
        <w:t xml:space="preserve">; </w:t>
      </w:r>
      <w:hyperlink w:anchor="latin-record-0819">
        <w:r>
          <w:rPr>
            <w:color w:val="000000"/>
          </w:rPr>
          <w:t xml:space="preserve">paene / quodammodo</w:t>
        </w:r>
      </w:hyperlink>
      <w:r>
        <w:rPr>
          <w:b w:val="0"/>
          <w:i w:val="0"/>
        </w:rPr>
        <w:t xml:space="preserve">; </w:t>
      </w:r>
      <w:hyperlink w:anchor="latin-record-1007">
        <w:r>
          <w:rPr>
            <w:color w:val="000000"/>
          </w:rPr>
          <w:t xml:space="preserve">quantitas / extensio / dimensio</w:t>
        </w:r>
      </w:hyperlink>
      <w:r>
        <w:rPr>
          <w:b w:val="0"/>
          <w:i w:val="0"/>
        </w:rPr>
        <w:t xml:space="preserve">; </w:t>
      </w:r>
      <w:hyperlink w:anchor="latin-record-1088">
        <w:r>
          <w:rPr>
            <w:color w:val="000000"/>
          </w:rPr>
          <w:t xml:space="preserve">semper / simul / aliquando / nondum / amplius</w:t>
        </w:r>
      </w:hyperlink>
      <w:r>
        <w:rPr>
          <w:b w:val="0"/>
          <w:i w:val="0"/>
        </w:rPr>
        <w:t xml:space="preserve">; </w:t>
      </w:r>
      <w:hyperlink w:anchor="latin-record-1285">
        <w:r>
          <w:rPr>
            <w:color w:val="000000"/>
          </w:rPr>
          <w:t xml:space="preserve">vox / significatio</w:t>
        </w:r>
      </w:hyperlink>
      <w:r>
        <w:rPr>
          <w:b w:val="0"/>
          <w:i w:val="0"/>
        </w:rPr>
        <w:t>.</w:t>
      </w:r>
    </w:p>
    <w:p>
      <w:pPr>
        <w:widowControl/>
      </w:pPr>
      <w:bookmarkStart w:id="1983" w:name="passage-iii-2-14"/>
      <w:bookmarkEnd w:id="1983"/>
      <w:r>
        <w:rPr>
          <w:b/>
          <w:i w:val="0"/>
        </w:rPr>
        <w:t>III.2.14</w:t>
      </w:r>
      <w:r>
        <w:rPr>
          <w:b/>
          <w:i w:val="0"/>
        </w:rPr>
        <w:t>, source pp. 270–271.</w:t>
      </w:r>
      <w:r>
        <w:rPr>
          <w:b w:val="0"/>
          <w:i w:val="0"/>
        </w:rPr>
        <w:t xml:space="preserve"> Articles: </w:t>
      </w:r>
      <w:hyperlink w:anchor="body-and-bulk">
        <w:r>
          <w:rPr>
            <w:color w:val="000000"/>
          </w:rPr>
          <w:t xml:space="preserve">Body and bulk</w:t>
        </w:r>
      </w:hyperlink>
      <w:r>
        <w:rPr>
          <w:b w:val="0"/>
          <w:i w:val="0"/>
        </w:rPr>
        <w:t xml:space="preserve">; </w:t>
      </w:r>
      <w:hyperlink w:anchor="hinge-and-center">
        <w:r>
          <w:rPr>
            <w:color w:val="000000"/>
          </w:rPr>
          <w:t xml:space="preserve">Hinge and center</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Vocabulary: </w:t>
      </w:r>
      <w:hyperlink w:anchor="latin-record-0985">
        <w:r>
          <w:rPr>
            <w:color w:val="000000"/>
          </w:rPr>
          <w:t xml:space="preserve">punctum / linea / circumferentia</w:t>
        </w:r>
      </w:hyperlink>
      <w:r>
        <w:rPr>
          <w:b w:val="0"/>
          <w:i w:val="0"/>
        </w:rPr>
        <w:t>.</w:t>
      </w:r>
    </w:p>
    <w:p>
      <w:pPr>
        <w:widowControl/>
      </w:pPr>
      <w:bookmarkStart w:id="1984" w:name="passage-iii-2-15"/>
      <w:bookmarkEnd w:id="1984"/>
      <w:r>
        <w:rPr>
          <w:b/>
          <w:i w:val="0"/>
        </w:rPr>
        <w:t>III.2.15</w:t>
      </w:r>
      <w:r>
        <w:rPr>
          <w:b/>
          <w:i w:val="0"/>
        </w:rPr>
        <w:t>, source pp. 270–271.</w:t>
      </w:r>
      <w:r>
        <w:rPr>
          <w:b w:val="0"/>
          <w:i w:val="0"/>
        </w:rPr>
        <w:t xml:space="preserve"> Articles: </w:t>
      </w:r>
      <w:hyperlink w:anchor="body-and-bulk">
        <w:r>
          <w:rPr>
            <w:color w:val="000000"/>
          </w:rPr>
          <w:t xml:space="preserve">Body and bulk</w:t>
        </w:r>
      </w:hyperlink>
      <w:r>
        <w:rPr>
          <w:b w:val="0"/>
          <w:i w:val="0"/>
        </w:rPr>
        <w:t xml:space="preserve">; </w:t>
      </w:r>
      <w:hyperlink w:anchor="hinge-and-center">
        <w:r>
          <w:rPr>
            <w:color w:val="000000"/>
          </w:rPr>
          <w:t xml:space="preserve">Hinge and center</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point-and-position">
        <w:r>
          <w:rPr>
            <w:color w:val="000000"/>
          </w:rPr>
          <w:t xml:space="preserve">Point and position</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Vocabulary: </w:t>
      </w:r>
      <w:hyperlink w:anchor="latin-record-0157">
        <w:r>
          <w:rPr>
            <w:color w:val="000000"/>
          </w:rPr>
          <w:t xml:space="preserve">centrum / circumspicere</w:t>
        </w:r>
      </w:hyperlink>
      <w:r>
        <w:rPr>
          <w:b w:val="0"/>
          <w:i w:val="0"/>
        </w:rPr>
        <w:t xml:space="preserve">; </w:t>
      </w:r>
      <w:hyperlink w:anchor="latin-record-0962">
        <w:r>
          <w:rPr>
            <w:color w:val="000000"/>
          </w:rPr>
          <w:t xml:space="preserve">proprius</w:t>
        </w:r>
      </w:hyperlink>
      <w:r>
        <w:rPr>
          <w:b w:val="0"/>
          <w:i w:val="0"/>
        </w:rPr>
        <w:t xml:space="preserve">; </w:t>
      </w:r>
      <w:hyperlink w:anchor="latin-record-0985">
        <w:r>
          <w:rPr>
            <w:color w:val="000000"/>
          </w:rPr>
          <w:t xml:space="preserve">punctum / linea / circumferentia</w:t>
        </w:r>
      </w:hyperlink>
      <w:r>
        <w:rPr>
          <w:b w:val="0"/>
          <w:i w:val="0"/>
        </w:rPr>
        <w:t>.</w:t>
      </w:r>
    </w:p>
    <w:p>
      <w:pPr>
        <w:widowControl/>
      </w:pPr>
      <w:bookmarkStart w:id="1985" w:name="passage-iii-2-16"/>
      <w:bookmarkEnd w:id="1985"/>
      <w:r>
        <w:rPr>
          <w:b/>
          <w:i w:val="0"/>
        </w:rPr>
        <w:t>III.2.16</w:t>
      </w:r>
      <w:r>
        <w:rPr>
          <w:b/>
          <w:i w:val="0"/>
        </w:rPr>
        <w:t>, source pp. 270–271.</w:t>
      </w:r>
      <w:r>
        <w:rPr>
          <w:b w:val="0"/>
          <w:i w:val="0"/>
        </w:rPr>
        <w:t xml:space="preserve"> Articles: </w:t>
      </w:r>
      <w:hyperlink w:anchor="body-and-bulk">
        <w:r>
          <w:rPr>
            <w:color w:val="000000"/>
          </w:rPr>
          <w:t xml:space="preserve">Body and bulk</w:t>
        </w:r>
      </w:hyperlink>
      <w:r>
        <w:rPr>
          <w:b w:val="0"/>
          <w:i w:val="0"/>
        </w:rPr>
        <w:t xml:space="preserve">; </w:t>
      </w:r>
      <w:hyperlink w:anchor="hinge-and-center">
        <w:r>
          <w:rPr>
            <w:color w:val="000000"/>
          </w:rPr>
          <w:t xml:space="preserve">Hinge and center</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Vocabulary: </w:t>
      </w:r>
      <w:hyperlink w:anchor="latin-record-0040">
        <w:r>
          <w:rPr>
            <w:color w:val="000000"/>
          </w:rPr>
          <w:t xml:space="preserve">affixus / situs</w:t>
        </w:r>
      </w:hyperlink>
      <w:r>
        <w:rPr>
          <w:b w:val="0"/>
          <w:i w:val="0"/>
        </w:rPr>
        <w:t xml:space="preserve">; </w:t>
      </w:r>
      <w:hyperlink w:anchor="latin-record-1007">
        <w:r>
          <w:rPr>
            <w:color w:val="000000"/>
          </w:rPr>
          <w:t xml:space="preserve">quantitas / extensio / dimensio</w:t>
        </w:r>
      </w:hyperlink>
      <w:r>
        <w:rPr>
          <w:b w:val="0"/>
          <w:i w:val="0"/>
        </w:rPr>
        <w:t>.</w:t>
      </w:r>
    </w:p>
    <w:p>
      <w:pPr>
        <w:widowControl/>
      </w:pPr>
      <w:bookmarkStart w:id="1986" w:name="passage-iii-2-17"/>
      <w:bookmarkEnd w:id="1986"/>
      <w:r>
        <w:rPr>
          <w:b/>
          <w:i w:val="0"/>
        </w:rPr>
        <w:t>III.2.17</w:t>
      </w:r>
      <w:r>
        <w:rPr>
          <w:b/>
          <w:i w:val="0"/>
        </w:rPr>
        <w:t>, source pp. 270–271.</w:t>
      </w:r>
      <w:r>
        <w:rPr>
          <w:b w:val="0"/>
          <w:i w:val="0"/>
        </w:rPr>
        <w:t xml:space="preserve"> Articles: </w:t>
      </w:r>
      <w:hyperlink w:anchor="body-and-bulk">
        <w:r>
          <w:rPr>
            <w:color w:val="000000"/>
          </w:rPr>
          <w:t xml:space="preserve">Body and bulk</w:t>
        </w:r>
      </w:hyperlink>
      <w:r>
        <w:rPr>
          <w:b w:val="0"/>
          <w:i w:val="0"/>
        </w:rPr>
        <w:t xml:space="preserve">; </w:t>
      </w:r>
      <w:hyperlink w:anchor="hinge-and-center">
        <w:r>
          <w:rPr>
            <w:color w:val="000000"/>
          </w:rPr>
          <w:t xml:space="preserve">Hinge and center</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quality">
        <w:r>
          <w:rPr>
            <w:color w:val="000000"/>
          </w:rPr>
          <w:t xml:space="preserve">Quality</w:t>
        </w:r>
      </w:hyperlink>
      <w:r>
        <w:rPr>
          <w:b w:val="0"/>
          <w:i w:val="0"/>
        </w:rPr>
        <w:t xml:space="preserve">; </w:t>
      </w:r>
      <w:hyperlink w:anchor="soul">
        <w:r>
          <w:rPr>
            <w:color w:val="000000"/>
          </w:rPr>
          <w:t xml:space="preserve">Soul</w:t>
        </w:r>
      </w:hyperlink>
      <w:r>
        <w:rPr>
          <w:b w:val="0"/>
          <w:i w:val="0"/>
        </w:rPr>
        <w:t xml:space="preserve">. Vocabulary: </w:t>
      </w:r>
      <w:hyperlink w:anchor="latin-record-1007">
        <w:r>
          <w:rPr>
            <w:color w:val="000000"/>
          </w:rPr>
          <w:t xml:space="preserve">quantitas / extensio / dimensio</w:t>
        </w:r>
      </w:hyperlink>
      <w:r>
        <w:rPr>
          <w:b w:val="0"/>
          <w:i w:val="0"/>
        </w:rPr>
        <w:t>.</w:t>
      </w:r>
    </w:p>
    <w:p>
      <w:pPr>
        <w:widowControl/>
      </w:pPr>
      <w:bookmarkStart w:id="1987" w:name="passage-iii-2-18"/>
      <w:bookmarkEnd w:id="1987"/>
      <w:r>
        <w:rPr>
          <w:b/>
          <w:i w:val="0"/>
        </w:rPr>
        <w:t>III.2.18</w:t>
      </w:r>
      <w:r>
        <w:rPr>
          <w:b/>
          <w:i w:val="0"/>
        </w:rPr>
        <w:t>, source pp. 272–273.</w:t>
      </w:r>
      <w:r>
        <w:rPr>
          <w:b w:val="0"/>
          <w:i w:val="0"/>
        </w:rPr>
        <w:t xml:space="preserve"> Articles: </w:t>
      </w:r>
      <w:hyperlink w:anchor="body-and-bulk">
        <w:r>
          <w:rPr>
            <w:color w:val="000000"/>
          </w:rPr>
          <w:t xml:space="preserve">Body and bulk</w:t>
        </w:r>
      </w:hyperlink>
      <w:r>
        <w:rPr>
          <w:b w:val="0"/>
          <w:i w:val="0"/>
        </w:rPr>
        <w:t xml:space="preserve">; </w:t>
      </w:r>
      <w:hyperlink w:anchor="hinge-and-center">
        <w:r>
          <w:rPr>
            <w:color w:val="000000"/>
          </w:rPr>
          <w:t xml:space="preserve">Hinge and center</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point-and-position">
        <w:r>
          <w:rPr>
            <w:color w:val="000000"/>
          </w:rPr>
          <w:t xml:space="preserve">Point and position</w:t>
        </w:r>
      </w:hyperlink>
      <w:r>
        <w:rPr>
          <w:b w:val="0"/>
          <w:i w:val="0"/>
        </w:rPr>
        <w:t xml:space="preserve">; </w:t>
      </w:r>
      <w:hyperlink w:anchor="soul">
        <w:r>
          <w:rPr>
            <w:color w:val="000000"/>
          </w:rPr>
          <w:t xml:space="preserve">Soul</w:t>
        </w:r>
      </w:hyperlink>
      <w:r>
        <w:rPr>
          <w:b w:val="0"/>
          <w:i w:val="0"/>
        </w:rPr>
        <w:t xml:space="preserve">. Vocabulary: </w:t>
      </w:r>
      <w:hyperlink w:anchor="latin-record-0040">
        <w:r>
          <w:rPr>
            <w:color w:val="000000"/>
          </w:rPr>
          <w:t xml:space="preserve">affixus / situs</w:t>
        </w:r>
      </w:hyperlink>
      <w:r>
        <w:rPr>
          <w:b w:val="0"/>
          <w:i w:val="0"/>
        </w:rPr>
        <w:t xml:space="preserve">; </w:t>
      </w:r>
      <w:hyperlink w:anchor="latin-record-0583">
        <w:r>
          <w:rPr>
            <w:color w:val="000000"/>
          </w:rPr>
          <w:t xml:space="preserve">instar</w:t>
        </w:r>
      </w:hyperlink>
      <w:r>
        <w:rPr>
          <w:b w:val="0"/>
          <w:i w:val="0"/>
        </w:rPr>
        <w:t>.</w:t>
      </w:r>
    </w:p>
    <w:p>
      <w:pPr>
        <w:widowControl/>
      </w:pPr>
      <w:bookmarkStart w:id="1988" w:name="passage-iii-2-19"/>
      <w:bookmarkEnd w:id="1988"/>
      <w:r>
        <w:rPr>
          <w:b/>
          <w:i w:val="0"/>
        </w:rPr>
        <w:t>III.2.19</w:t>
      </w:r>
      <w:r>
        <w:rPr>
          <w:b/>
          <w:i w:val="0"/>
        </w:rPr>
        <w:t>, source pp. 272–273.</w:t>
      </w:r>
      <w:r>
        <w:rPr>
          <w:b w:val="0"/>
          <w:i w:val="0"/>
        </w:rPr>
        <w:t xml:space="preserve"> Articles: </w:t>
      </w:r>
      <w:hyperlink w:anchor="hinge-and-center">
        <w:r>
          <w:rPr>
            <w:color w:val="000000"/>
          </w:rPr>
          <w:t xml:space="preserve">Hinge and center</w:t>
        </w:r>
      </w:hyperlink>
      <w:r>
        <w:rPr>
          <w:b w:val="0"/>
          <w:i w:val="0"/>
        </w:rPr>
        <w:t xml:space="preserve">;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shadows-and-dependence">
        <w:r>
          <w:rPr>
            <w:color w:val="000000"/>
          </w:rPr>
          <w:t xml:space="preserve">Shadows and dependence</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341">
        <w:r>
          <w:rPr>
            <w:color w:val="000000"/>
          </w:rPr>
          <w:t xml:space="preserve">distrahere / adstare</w:t>
        </w:r>
      </w:hyperlink>
      <w:r>
        <w:rPr>
          <w:b w:val="0"/>
          <w:i w:val="0"/>
        </w:rPr>
        <w:t xml:space="preserve">; </w:t>
      </w:r>
      <w:hyperlink w:anchor="latin-record-0344">
        <w:r>
          <w:rPr>
            <w:color w:val="000000"/>
          </w:rPr>
          <w:t xml:space="preserve">dividuus / individuus</w:t>
        </w:r>
      </w:hyperlink>
      <w:r>
        <w:rPr>
          <w:b w:val="0"/>
          <w:i w:val="0"/>
        </w:rPr>
        <w:t xml:space="preserve">; </w:t>
      </w:r>
      <w:hyperlink w:anchor="latin-record-1054">
        <w:r>
          <w:rPr>
            <w:color w:val="000000"/>
          </w:rPr>
          <w:t xml:space="preserve">respicere / suspicere / inspicere</w:t>
        </w:r>
      </w:hyperlink>
      <w:r>
        <w:rPr>
          <w:b w:val="0"/>
          <w:i w:val="0"/>
        </w:rPr>
        <w:t xml:space="preserve">; </w:t>
      </w:r>
      <w:hyperlink w:anchor="latin-record-1182">
        <w:r>
          <w:rPr>
            <w:color w:val="000000"/>
          </w:rPr>
          <w:t xml:space="preserve">tangere</w:t>
        </w:r>
      </w:hyperlink>
      <w:r>
        <w:rPr>
          <w:b w:val="0"/>
          <w:i w:val="0"/>
        </w:rPr>
        <w:t xml:space="preserve">; </w:t>
      </w:r>
      <w:hyperlink w:anchor="latin-record-1215">
        <w:r>
          <w:rPr>
            <w:color w:val="000000"/>
          </w:rPr>
          <w:t xml:space="preserve">umbra</w:t>
        </w:r>
      </w:hyperlink>
      <w:r>
        <w:rPr>
          <w:b w:val="0"/>
          <w:i w:val="0"/>
        </w:rPr>
        <w:t>.</w:t>
      </w:r>
    </w:p>
    <w:p>
      <w:pPr>
        <w:widowControl/>
      </w:pPr>
      <w:bookmarkStart w:id="1989" w:name="passage-iii-2-20"/>
      <w:bookmarkEnd w:id="1989"/>
      <w:r>
        <w:rPr>
          <w:b/>
          <w:i w:val="0"/>
        </w:rPr>
        <w:t>III.2.20</w:t>
      </w:r>
      <w:r>
        <w:rPr>
          <w:b/>
          <w:i w:val="0"/>
        </w:rPr>
        <w:t>, source pp. 272–273.</w:t>
      </w:r>
      <w:r>
        <w:rPr>
          <w:b w:val="0"/>
          <w:i w:val="0"/>
        </w:rPr>
        <w:t xml:space="preserve"> Articles: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901">
        <w:r>
          <w:rPr>
            <w:color w:val="000000"/>
          </w:rPr>
          <w:t xml:space="preserve">prae / post / infra / supra</w:t>
        </w:r>
      </w:hyperlink>
      <w:r>
        <w:rPr>
          <w:b w:val="0"/>
          <w:i w:val="0"/>
        </w:rPr>
        <w:t>.</w:t>
      </w:r>
    </w:p>
    <w:p>
      <w:pPr>
        <w:widowControl/>
      </w:pPr>
      <w:bookmarkStart w:id="1990" w:name="passage-iii-2-21"/>
      <w:bookmarkEnd w:id="1990"/>
      <w:r>
        <w:rPr>
          <w:b/>
          <w:i w:val="0"/>
        </w:rPr>
        <w:t>III.2.21</w:t>
      </w:r>
      <w:r>
        <w:rPr>
          <w:b/>
          <w:i w:val="0"/>
        </w:rPr>
        <w:t>, source pp. 272–273.</w:t>
      </w:r>
      <w:r>
        <w:rPr>
          <w:b w:val="0"/>
          <w:i w:val="0"/>
        </w:rPr>
        <w:t xml:space="preserve"> Articles: </w:t>
      </w:r>
      <w:hyperlink w:anchor="indivisibility">
        <w:r>
          <w:rPr>
            <w:color w:val="000000"/>
          </w:rPr>
          <w:t xml:space="preserve">Indivisibility</w:t>
        </w:r>
      </w:hyperlink>
      <w:r>
        <w:rPr>
          <w:b w:val="0"/>
          <w:i w:val="0"/>
        </w:rPr>
        <w:t xml:space="preserve">; </w:t>
      </w:r>
      <w:hyperlink w:anchor="indwelling-and-presence">
        <w:r>
          <w:rPr>
            <w:color w:val="000000"/>
          </w:rPr>
          <w:t xml:space="preserve">Indwelling and presence</w:t>
        </w:r>
      </w:hyperlink>
      <w:r>
        <w:rPr>
          <w:b w:val="0"/>
          <w:i w:val="0"/>
        </w:rPr>
        <w:t xml:space="preserve">; </w:t>
      </w:r>
      <w:hyperlink w:anchor="intuition-and-discourse">
        <w:r>
          <w:rPr>
            <w:color w:val="000000"/>
          </w:rPr>
          <w:t xml:space="preserve">Intuition and discourse</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330">
        <w:r>
          <w:rPr>
            <w:color w:val="000000"/>
          </w:rPr>
          <w:t xml:space="preserve">discursio / discerptio family</w:t>
        </w:r>
      </w:hyperlink>
      <w:r>
        <w:rPr>
          <w:b w:val="0"/>
          <w:i w:val="0"/>
        </w:rPr>
        <w:t xml:space="preserve">; </w:t>
      </w:r>
      <w:hyperlink w:anchor="latin-record-1187">
        <w:r>
          <w:rPr>
            <w:color w:val="000000"/>
          </w:rPr>
          <w:t xml:space="preserve">tempus / temporalis</w:t>
        </w:r>
      </w:hyperlink>
      <w:r>
        <w:rPr>
          <w:b w:val="0"/>
          <w:i w:val="0"/>
        </w:rPr>
        <w:t>.</w:t>
      </w:r>
    </w:p>
    <w:p>
      <w:pPr>
        <w:widowControl/>
      </w:pPr>
      <w:bookmarkStart w:id="1991" w:name="passage-iii-2-22"/>
      <w:bookmarkEnd w:id="1991"/>
      <w:r>
        <w:rPr>
          <w:b/>
          <w:i w:val="0"/>
        </w:rPr>
        <w:t>III.2.22</w:t>
      </w:r>
      <w:r>
        <w:rPr>
          <w:b/>
          <w:i w:val="0"/>
        </w:rPr>
        <w:t>, source pp. 274–275.</w:t>
      </w:r>
      <w:r>
        <w:rPr>
          <w:b w:val="0"/>
          <w:i w:val="0"/>
        </w:rPr>
        <w:t xml:space="preserve"> Articles: </w:t>
      </w:r>
      <w:hyperlink w:anchor="immortality">
        <w:r>
          <w:rPr>
            <w:color w:val="000000"/>
          </w:rPr>
          <w:t xml:space="preserve">Immortality</w:t>
        </w:r>
      </w:hyperlink>
      <w:r>
        <w:rPr>
          <w:b w:val="0"/>
          <w:i w:val="0"/>
        </w:rPr>
        <w:t xml:space="preserve">; </w:t>
      </w:r>
      <w:hyperlink w:anchor="indivisibility">
        <w:r>
          <w:rPr>
            <w:color w:val="000000"/>
          </w:rPr>
          <w:t xml:space="preserve">Indivisibility</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330">
        <w:r>
          <w:rPr>
            <w:color w:val="000000"/>
          </w:rPr>
          <w:t xml:space="preserve">discursio / discerptio family</w:t>
        </w:r>
      </w:hyperlink>
      <w:r>
        <w:rPr>
          <w:b w:val="0"/>
          <w:i w:val="0"/>
        </w:rPr>
        <w:t xml:space="preserve">; </w:t>
      </w:r>
      <w:hyperlink w:anchor="latin-record-0346">
        <w:r>
          <w:rPr>
            <w:color w:val="000000"/>
          </w:rPr>
          <w:t xml:space="preserve">domina / comes</w:t>
        </w:r>
      </w:hyperlink>
      <w:r>
        <w:rPr>
          <w:b w:val="0"/>
          <w:i w:val="0"/>
        </w:rPr>
        <w:t xml:space="preserve">; </w:t>
      </w:r>
      <w:hyperlink w:anchor="latin-record-0580">
        <w:r>
          <w:rPr>
            <w:color w:val="000000"/>
          </w:rPr>
          <w:t xml:space="preserve">inserere / retrahere</w:t>
        </w:r>
      </w:hyperlink>
      <w:r>
        <w:rPr>
          <w:b w:val="0"/>
          <w:i w:val="0"/>
        </w:rPr>
        <w:t xml:space="preserve">; </w:t>
      </w:r>
      <w:hyperlink w:anchor="latin-record-0702">
        <w:r>
          <w:rPr>
            <w:color w:val="000000"/>
          </w:rPr>
          <w:t xml:space="preserve">miraculum</w:t>
        </w:r>
      </w:hyperlink>
      <w:r>
        <w:rPr>
          <w:b w:val="0"/>
          <w:i w:val="0"/>
        </w:rPr>
        <w:t xml:space="preserve">; </w:t>
      </w:r>
      <w:hyperlink w:anchor="latin-record-1200">
        <w:r>
          <w:rPr>
            <w:color w:val="000000"/>
          </w:rPr>
          <w:t xml:space="preserve">Timaeus / Timaeus Locrus</w:t>
        </w:r>
      </w:hyperlink>
      <w:r>
        <w:rPr>
          <w:b w:val="0"/>
          <w:i w:val="0"/>
        </w:rPr>
        <w:t>.</w:t>
      </w:r>
    </w:p>
    <w:p>
      <w:pPr>
        <w:widowControl/>
      </w:pPr>
      <w:bookmarkStart w:id="1992" w:name="passage-iii-2-23"/>
      <w:bookmarkEnd w:id="1992"/>
      <w:r>
        <w:rPr>
          <w:b/>
          <w:i w:val="0"/>
        </w:rPr>
        <w:t>III.2.23</w:t>
      </w:r>
      <w:r>
        <w:rPr>
          <w:b/>
          <w:i w:val="0"/>
        </w:rPr>
        <w:t>, source pp. 274–275.</w:t>
      </w:r>
      <w:r>
        <w:rPr>
          <w:b w:val="0"/>
          <w:i w:val="0"/>
        </w:rPr>
        <w:t xml:space="preserve"> Articles: </w:t>
      </w:r>
      <w:hyperlink w:anchor="bond-knot-and-chain">
        <w:r>
          <w:rPr>
            <w:color w:val="000000"/>
          </w:rPr>
          <w:t xml:space="preserve">Bond knot and chain</w:t>
        </w:r>
      </w:hyperlink>
      <w:r>
        <w:rPr>
          <w:b w:val="0"/>
          <w:i w:val="0"/>
        </w:rPr>
        <w:t xml:space="preserve">; </w:t>
      </w:r>
      <w:hyperlink w:anchor="hinge-and-center">
        <w:r>
          <w:rPr>
            <w:color w:val="000000"/>
          </w:rPr>
          <w:t xml:space="preserve">Hinge and center</w:t>
        </w:r>
      </w:hyperlink>
      <w:r>
        <w:rPr>
          <w:b w:val="0"/>
          <w:i w:val="0"/>
        </w:rPr>
        <w:t xml:space="preserve">; </w:t>
      </w:r>
      <w:hyperlink w:anchor="ideas-and-exemplars">
        <w:r>
          <w:rPr>
            <w:color w:val="000000"/>
          </w:rPr>
          <w:t xml:space="preserve">Ideas and exemplars</w:t>
        </w:r>
      </w:hyperlink>
      <w:r>
        <w:rPr>
          <w:b w:val="0"/>
          <w:i w:val="0"/>
        </w:rPr>
        <w:t xml:space="preserve">; </w:t>
      </w:r>
      <w:hyperlink w:anchor="image-and-likeness">
        <w:r>
          <w:rPr>
            <w:color w:val="000000"/>
          </w:rPr>
          <w:t xml:space="preserve">Image and likeness</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intuition-and-discourse">
        <w:r>
          <w:rPr>
            <w:color w:val="000000"/>
          </w:rPr>
          <w:t xml:space="preserve">Intuition and discourse</w:t>
        </w:r>
      </w:hyperlink>
      <w:r>
        <w:rPr>
          <w:b w:val="0"/>
          <w:i w:val="0"/>
        </w:rPr>
        <w:t xml:space="preserve">; </w:t>
      </w:r>
      <w:hyperlink w:anchor="life">
        <w:r>
          <w:rPr>
            <w:color w:val="000000"/>
          </w:rPr>
          <w:t xml:space="preserve">Life</w:t>
        </w:r>
      </w:hyperlink>
      <w:r>
        <w:rPr>
          <w:b w:val="0"/>
          <w:i w:val="0"/>
        </w:rPr>
        <w:t xml:space="preserve">; </w:t>
      </w:r>
      <w:hyperlink w:anchor="reason-and-account">
        <w:r>
          <w:rPr>
            <w:color w:val="000000"/>
          </w:rPr>
          <w:t xml:space="preserve">Reason and account</w:t>
        </w:r>
      </w:hyperlink>
      <w:r>
        <w:rPr>
          <w:b w:val="0"/>
          <w:i w:val="0"/>
        </w:rPr>
        <w:t xml:space="preserve">; </w:t>
      </w:r>
      <w:hyperlink w:anchor="soul">
        <w:r>
          <w:rPr>
            <w:color w:val="000000"/>
          </w:rPr>
          <w:t xml:space="preserve">Soul</w:t>
        </w:r>
      </w:hyperlink>
      <w:r>
        <w:rPr>
          <w:b w:val="0"/>
          <w:i w:val="0"/>
        </w:rPr>
        <w:t xml:space="preserve">; </w:t>
      </w:r>
      <w:hyperlink w:anchor="unity-and-multiplicity">
        <w:r>
          <w:rPr>
            <w:color w:val="000000"/>
          </w:rPr>
          <w:t xml:space="preserve">Unity and multiplicity</w:t>
        </w:r>
      </w:hyperlink>
      <w:r>
        <w:rPr>
          <w:b w:val="0"/>
          <w:i w:val="0"/>
        </w:rPr>
        <w:t xml:space="preserve">. Vocabulary: </w:t>
      </w:r>
      <w:hyperlink w:anchor="latin-record-0069">
        <w:r>
          <w:rPr>
            <w:color w:val="000000"/>
          </w:rPr>
          <w:t xml:space="preserve">anima / animus</w:t>
        </w:r>
      </w:hyperlink>
      <w:r>
        <w:rPr>
          <w:b w:val="0"/>
          <w:i w:val="0"/>
        </w:rPr>
        <w:t xml:space="preserve">; </w:t>
      </w:r>
      <w:hyperlink w:anchor="latin-record-0241">
        <w:r>
          <w:rPr>
            <w:color w:val="000000"/>
          </w:rPr>
          <w:t xml:space="preserve">connectere / copulare / colligare</w:t>
        </w:r>
      </w:hyperlink>
      <w:r>
        <w:rPr>
          <w:b w:val="0"/>
          <w:i w:val="0"/>
        </w:rPr>
        <w:t xml:space="preserve">; </w:t>
      </w:r>
      <w:hyperlink w:anchor="latin-record-0300">
        <w:r>
          <w:rPr>
            <w:color w:val="000000"/>
          </w:rPr>
          <w:t xml:space="preserve">definitio</w:t>
        </w:r>
      </w:hyperlink>
      <w:r>
        <w:rPr>
          <w:b w:val="0"/>
          <w:i w:val="0"/>
        </w:rPr>
        <w:t xml:space="preserve">; </w:t>
      </w:r>
      <w:hyperlink w:anchor="latin-record-0607">
        <w:r>
          <w:rPr>
            <w:color w:val="000000"/>
          </w:rPr>
          <w:t xml:space="preserve">intimus / communis</w:t>
        </w:r>
      </w:hyperlink>
      <w:r>
        <w:rPr>
          <w:b w:val="0"/>
          <w:i w:val="0"/>
        </w:rPr>
        <w:t xml:space="preserve">; </w:t>
      </w:r>
      <w:hyperlink w:anchor="latin-record-0698">
        <w:r>
          <w:rPr>
            <w:color w:val="000000"/>
          </w:rPr>
          <w:t xml:space="preserve">migrare / transire</w:t>
        </w:r>
      </w:hyperlink>
      <w:r>
        <w:rPr>
          <w:b w:val="0"/>
          <w:i w:val="0"/>
        </w:rPr>
        <w:t xml:space="preserve">; </w:t>
      </w:r>
      <w:hyperlink w:anchor="latin-record-0729">
        <w:r>
          <w:rPr>
            <w:color w:val="000000"/>
          </w:rPr>
          <w:t xml:space="preserve">mundi series / vultus omnium</w:t>
        </w:r>
      </w:hyperlink>
      <w:r>
        <w:rPr>
          <w:b w:val="0"/>
          <w:i w:val="0"/>
        </w:rPr>
        <w:t xml:space="preserve">; </w:t>
      </w:r>
      <w:hyperlink w:anchor="latin-record-1274">
        <w:r>
          <w:rPr>
            <w:color w:val="000000"/>
          </w:rPr>
          <w:t xml:space="preserve">vita / vivere / vivificare</w:t>
        </w:r>
      </w:hyperlink>
      <w:r>
        <w:rPr>
          <w:b w:val="0"/>
          <w:i w:val="0"/>
        </w:rPr>
        <w:t>.</w:t>
      </w:r>
    </w:p>
    <w:p>
      <w:pPr>
        <w:widowControl/>
      </w:pPr>
      <w:bookmarkStart w:id="1993" w:name="passage-iii-2-24"/>
      <w:bookmarkEnd w:id="1993"/>
      <w:r>
        <w:rPr>
          <w:b/>
          <w:i w:val="0"/>
        </w:rPr>
        <w:t>III.2.24</w:t>
      </w:r>
      <w:r>
        <w:rPr>
          <w:b/>
          <w:i w:val="0"/>
        </w:rPr>
        <w:t>, source pp. 274–275.</w:t>
      </w:r>
      <w:r>
        <w:rPr>
          <w:b w:val="0"/>
          <w:i w:val="0"/>
        </w:rPr>
        <w:t xml:space="preserve"> Articles: </w:t>
      </w:r>
      <w:hyperlink w:anchor="intellect-and-intellection">
        <w:r>
          <w:rPr>
            <w:color w:val="000000"/>
          </w:rPr>
          <w:t xml:space="preserve">Intellect and intellection</w:t>
        </w:r>
      </w:hyperlink>
      <w:r>
        <w:rPr>
          <w:b w:val="0"/>
          <w:i w:val="0"/>
        </w:rPr>
        <w:t xml:space="preserve">; </w:t>
      </w:r>
      <w:hyperlink w:anchor="life">
        <w:r>
          <w:rPr>
            <w:color w:val="000000"/>
          </w:rPr>
          <w:t xml:space="preserve">Life</w:t>
        </w:r>
      </w:hyperlink>
      <w:r>
        <w:rPr>
          <w:b w:val="0"/>
          <w:i w:val="0"/>
        </w:rPr>
        <w:t xml:space="preserve">; </w:t>
      </w:r>
      <w:hyperlink w:anchor="participation">
        <w:r>
          <w:rPr>
            <w:color w:val="000000"/>
          </w:rPr>
          <w:t xml:space="preserve">Participation</w:t>
        </w:r>
      </w:hyperlink>
      <w:r>
        <w:rPr>
          <w:b w:val="0"/>
          <w:i w:val="0"/>
        </w:rPr>
        <w:t xml:space="preserve">; </w:t>
      </w:r>
      <w:hyperlink w:anchor="soul">
        <w:r>
          <w:rPr>
            <w:color w:val="000000"/>
          </w:rPr>
          <w:t xml:space="preserve">Soul</w:t>
        </w:r>
      </w:hyperlink>
      <w:r>
        <w:rPr>
          <w:b w:val="0"/>
          <w:i w:val="0"/>
        </w:rPr>
        <w:t xml:space="preserve">. Vocabulary: </w:t>
      </w:r>
      <w:hyperlink w:anchor="latin-record-0607">
        <w:r>
          <w:rPr>
            <w:color w:val="000000"/>
          </w:rPr>
          <w:t xml:space="preserve">intimus / communis</w:t>
        </w:r>
      </w:hyperlink>
      <w:r>
        <w:rPr>
          <w:b w:val="0"/>
          <w:i w:val="0"/>
        </w:rPr>
        <w:t xml:space="preserve">; </w:t>
      </w:r>
      <w:hyperlink w:anchor="latin-record-0826">
        <w:r>
          <w:rPr>
            <w:color w:val="000000"/>
          </w:rPr>
          <w:t xml:space="preserve">participare / particeps</w:t>
        </w:r>
      </w:hyperlink>
      <w:r>
        <w:rPr>
          <w:b w:val="0"/>
          <w:i w:val="0"/>
        </w:rPr>
        <w:t xml:space="preserve">; </w:t>
      </w:r>
      <w:hyperlink w:anchor="latin-record-1271">
        <w:r>
          <w:rPr>
            <w:color w:val="000000"/>
          </w:rPr>
          <w:t xml:space="preserve">vis / virtus / potestas</w:t>
        </w:r>
      </w:hyperlink>
      <w:r>
        <w:rPr>
          <w:b w:val="0"/>
          <w:i w:val="0"/>
        </w:rPr>
        <w:t xml:space="preserve">; </w:t>
      </w:r>
      <w:hyperlink w:anchor="latin-record-1274">
        <w:r>
          <w:rPr>
            <w:color w:val="000000"/>
          </w:rPr>
          <w:t xml:space="preserve">vita / vivere / vivificare</w:t>
        </w:r>
      </w:hyperlink>
      <w:r>
        <w:rPr>
          <w:b w:val="0"/>
          <w:i w:val="0"/>
        </w:rPr>
        <w:t>.</w:t>
      </w:r>
    </w:p>
    <w:p>
      <w:pPr>
        <w:widowControl/>
      </w:pPr>
      <w:bookmarkStart w:id="1994" w:name="passage-iii-2-25"/>
      <w:bookmarkEnd w:id="1994"/>
      <w:r>
        <w:rPr>
          <w:b/>
          <w:i w:val="0"/>
        </w:rPr>
        <w:t>III.2.25</w:t>
      </w:r>
      <w:r>
        <w:rPr>
          <w:b/>
          <w:i w:val="0"/>
        </w:rPr>
        <w:t>, source pp. 276–277.</w:t>
      </w:r>
      <w:r>
        <w:rPr>
          <w:b w:val="0"/>
          <w:i w:val="0"/>
        </w:rPr>
        <w:t xml:space="preserve"> Articles: </w:t>
      </w:r>
      <w:hyperlink w:anchor="circularity-and-return">
        <w:r>
          <w:rPr>
            <w:color w:val="000000"/>
          </w:rPr>
          <w:t xml:space="preserve">Circularity and return</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fe">
        <w:r>
          <w:rPr>
            <w:color w:val="000000"/>
          </w:rPr>
          <w:t xml:space="preserve">Life</w:t>
        </w:r>
      </w:hyperlink>
      <w:r>
        <w:rPr>
          <w:b w:val="0"/>
          <w:i w:val="0"/>
        </w:rPr>
        <w:t xml:space="preserve">; </w:t>
      </w:r>
      <w:hyperlink w:anchor="soul">
        <w:r>
          <w:rPr>
            <w:color w:val="000000"/>
          </w:rPr>
          <w:t xml:space="preserve">Soul</w:t>
        </w:r>
      </w:hyperlink>
      <w:r>
        <w:rPr>
          <w:b w:val="0"/>
          <w:i w:val="0"/>
        </w:rPr>
        <w:t xml:space="preserve">. Vocabulary: </w:t>
      </w:r>
      <w:hyperlink w:anchor="latin-record-0166">
        <w:r>
          <w:rPr>
            <w:color w:val="000000"/>
          </w:rPr>
          <w:t xml:space="preserve">circuitus</w:t>
        </w:r>
      </w:hyperlink>
      <w:r>
        <w:rPr>
          <w:b w:val="0"/>
          <w:i w:val="0"/>
        </w:rPr>
        <w:t>.</w:t>
      </w:r>
    </w:p>
    <w:p>
      <w:pPr>
        <w:widowControl/>
      </w:pPr>
      <w:bookmarkStart w:id="1995" w:name="passage-iii-2-26"/>
      <w:bookmarkEnd w:id="1995"/>
      <w:r>
        <w:rPr>
          <w:b/>
          <w:i w:val="0"/>
        </w:rPr>
        <w:t>III.2.26</w:t>
      </w:r>
      <w:r>
        <w:rPr>
          <w:b/>
          <w:i w:val="0"/>
        </w:rPr>
        <w:t>, source pp. 276–277.</w:t>
      </w:r>
      <w:r>
        <w:rPr>
          <w:b w:val="0"/>
          <w:i w:val="0"/>
        </w:rPr>
        <w:t xml:space="preserve"> Articles: </w:t>
      </w:r>
      <w:hyperlink w:anchor="circularity-and-return">
        <w:r>
          <w:rPr>
            <w:color w:val="000000"/>
          </w:rPr>
          <w:t xml:space="preserve">Circularity and return</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fe">
        <w:r>
          <w:rPr>
            <w:color w:val="000000"/>
          </w:rPr>
          <w:t xml:space="preserve">Life</w:t>
        </w:r>
      </w:hyperlink>
      <w:r>
        <w:rPr>
          <w:b w:val="0"/>
          <w:i w:val="0"/>
        </w:rPr>
        <w:t xml:space="preserve">; </w:t>
      </w:r>
      <w:hyperlink w:anchor="paths-and-prescribed-ends">
        <w:r>
          <w:rPr>
            <w:color w:val="000000"/>
          </w:rPr>
          <w:t xml:space="preserve">Paths and prescribed ends</w:t>
        </w:r>
      </w:hyperlink>
      <w:r>
        <w:rPr>
          <w:b w:val="0"/>
          <w:i w:val="0"/>
        </w:rPr>
        <w:t xml:space="preserve">; </w:t>
      </w:r>
      <w:hyperlink w:anchor="soul">
        <w:r>
          <w:rPr>
            <w:color w:val="000000"/>
          </w:rPr>
          <w:t xml:space="preserve">Soul</w:t>
        </w:r>
      </w:hyperlink>
      <w:r>
        <w:rPr>
          <w:b w:val="0"/>
          <w:i w:val="0"/>
        </w:rPr>
        <w:t xml:space="preserve">. Vocabulary: </w:t>
      </w:r>
      <w:hyperlink w:anchor="latin-record-0166">
        <w:r>
          <w:rPr>
            <w:color w:val="000000"/>
          </w:rPr>
          <w:t xml:space="preserve">circuitus</w:t>
        </w:r>
      </w:hyperlink>
      <w:r>
        <w:rPr>
          <w:b w:val="0"/>
          <w:i w:val="0"/>
        </w:rPr>
        <w:t xml:space="preserve">; </w:t>
      </w:r>
      <w:hyperlink w:anchor="latin-record-0449">
        <w:r>
          <w:rPr>
            <w:color w:val="000000"/>
          </w:rPr>
          <w:t xml:space="preserve">finis</w:t>
        </w:r>
      </w:hyperlink>
      <w:r>
        <w:rPr>
          <w:b w:val="0"/>
          <w:i w:val="0"/>
        </w:rPr>
        <w:t xml:space="preserve">; </w:t>
      </w:r>
      <w:hyperlink w:anchor="latin-record-1044">
        <w:r>
          <w:rPr>
            <w:color w:val="000000"/>
          </w:rPr>
          <w:t xml:space="preserve">repetere / reflectere</w:t>
        </w:r>
      </w:hyperlink>
      <w:r>
        <w:rPr>
          <w:b w:val="0"/>
          <w:i w:val="0"/>
        </w:rPr>
        <w:t>.</w:t>
      </w:r>
    </w:p>
    <w:p>
      <w:pPr>
        <w:widowControl/>
      </w:pPr>
      <w:bookmarkStart w:id="1996" w:name="passage-iii-2-27"/>
      <w:bookmarkEnd w:id="1996"/>
      <w:r>
        <w:rPr>
          <w:b/>
          <w:i w:val="0"/>
        </w:rPr>
        <w:t>III.2.27</w:t>
      </w:r>
      <w:r>
        <w:rPr>
          <w:b/>
          <w:i w:val="0"/>
        </w:rPr>
        <w:t>, source pp. 276–277.</w:t>
      </w:r>
      <w:r>
        <w:rPr>
          <w:b w:val="0"/>
          <w:i w:val="0"/>
        </w:rPr>
        <w:t xml:space="preserve"> Articles: </w:t>
      </w:r>
      <w:hyperlink w:anchor="circularity-and-return">
        <w:r>
          <w:rPr>
            <w:color w:val="000000"/>
          </w:rPr>
          <w:t xml:space="preserve">Circularity and return</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fe">
        <w:r>
          <w:rPr>
            <w:color w:val="000000"/>
          </w:rPr>
          <w:t xml:space="preserve">Life</w:t>
        </w:r>
      </w:hyperlink>
      <w:r>
        <w:rPr>
          <w:b w:val="0"/>
          <w:i w:val="0"/>
        </w:rPr>
        <w:t xml:space="preserve">; </w:t>
      </w:r>
      <w:hyperlink w:anchor="soul">
        <w:r>
          <w:rPr>
            <w:color w:val="000000"/>
          </w:rPr>
          <w:t xml:space="preserve">Soul</w:t>
        </w:r>
      </w:hyperlink>
      <w:r>
        <w:rPr>
          <w:b w:val="0"/>
          <w:i w:val="0"/>
        </w:rPr>
        <w:t xml:space="preserve">; </w:t>
      </w:r>
      <w:hyperlink w:anchor="turning-and-direction">
        <w:r>
          <w:rPr>
            <w:color w:val="000000"/>
          </w:rPr>
          <w:t xml:space="preserve">Turning and direction</w:t>
        </w:r>
      </w:hyperlink>
      <w:r>
        <w:rPr>
          <w:b w:val="0"/>
          <w:i w:val="0"/>
        </w:rPr>
        <w:t xml:space="preserve">. Vocabulary: </w:t>
      </w:r>
      <w:hyperlink w:anchor="latin-record-1046">
        <w:r>
          <w:rPr>
            <w:color w:val="000000"/>
          </w:rPr>
          <w:t xml:space="preserve">replicare / explicare</w:t>
        </w:r>
      </w:hyperlink>
      <w:r>
        <w:rPr>
          <w:b w:val="0"/>
          <w:i w:val="0"/>
        </w:rPr>
        <w:t>.</w:t>
      </w:r>
    </w:p>
    <w:p>
      <w:pPr>
        <w:widowControl/>
      </w:pPr>
      <w:bookmarkStart w:id="1997" w:name="passage-iii-2-28"/>
      <w:bookmarkEnd w:id="1997"/>
      <w:r>
        <w:rPr>
          <w:b/>
          <w:i w:val="0"/>
        </w:rPr>
        <w:t>III.2.28</w:t>
      </w:r>
      <w:r>
        <w:rPr>
          <w:b/>
          <w:i w:val="0"/>
        </w:rPr>
        <w:t>, source pp. 276–277.</w:t>
      </w:r>
      <w:r>
        <w:rPr>
          <w:b w:val="0"/>
          <w:i w:val="0"/>
        </w:rPr>
        <w:t xml:space="preserve"> Articles: </w:t>
      </w:r>
      <w:hyperlink w:anchor="circularity-and-return">
        <w:r>
          <w:rPr>
            <w:color w:val="000000"/>
          </w:rPr>
          <w:t xml:space="preserve">Circularity and return</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fe">
        <w:r>
          <w:rPr>
            <w:color w:val="000000"/>
          </w:rPr>
          <w:t xml:space="preserve">Life</w:t>
        </w:r>
      </w:hyperlink>
      <w:r>
        <w:rPr>
          <w:b w:val="0"/>
          <w:i w:val="0"/>
        </w:rPr>
        <w:t xml:space="preserve">; </w:t>
      </w:r>
      <w:hyperlink w:anchor="looking-and-recognizing">
        <w:r>
          <w:rPr>
            <w:color w:val="000000"/>
          </w:rPr>
          <w:t xml:space="preserve">Looking and recognizing</w:t>
        </w:r>
      </w:hyperlink>
      <w:r>
        <w:rPr>
          <w:b w:val="0"/>
          <w:i w:val="0"/>
        </w:rPr>
        <w:t xml:space="preserve">; </w:t>
      </w:r>
      <w:hyperlink w:anchor="self-knowledge">
        <w:r>
          <w:rPr>
            <w:color w:val="000000"/>
          </w:rPr>
          <w:t xml:space="preserve">Self knowledge</w:t>
        </w:r>
      </w:hyperlink>
      <w:r>
        <w:rPr>
          <w:b w:val="0"/>
          <w:i w:val="0"/>
        </w:rPr>
        <w:t xml:space="preserve">; </w:t>
      </w:r>
      <w:hyperlink w:anchor="soul">
        <w:r>
          <w:rPr>
            <w:color w:val="000000"/>
          </w:rPr>
          <w:t xml:space="preserve">Soul</w:t>
        </w:r>
      </w:hyperlink>
      <w:r>
        <w:rPr>
          <w:b w:val="0"/>
          <w:i w:val="0"/>
        </w:rPr>
        <w:t xml:space="preserve">; </w:t>
      </w:r>
      <w:hyperlink w:anchor="spiritual-union">
        <w:r>
          <w:rPr>
            <w:color w:val="000000"/>
          </w:rPr>
          <w:t xml:space="preserve">Spiritual union</w:t>
        </w:r>
      </w:hyperlink>
      <w:r>
        <w:rPr>
          <w:b w:val="0"/>
          <w:i w:val="0"/>
        </w:rPr>
        <w:t xml:space="preserve">. Vocabulary: </w:t>
      </w:r>
      <w:hyperlink w:anchor="latin-record-0071">
        <w:r>
          <w:rPr>
            <w:color w:val="000000"/>
          </w:rPr>
          <w:t xml:space="preserve">animadvertere / agnoscere</w:t>
        </w:r>
      </w:hyperlink>
      <w:r>
        <w:rPr>
          <w:b w:val="0"/>
          <w:i w:val="0"/>
        </w:rPr>
        <w:t xml:space="preserve">; </w:t>
      </w:r>
      <w:hyperlink w:anchor="latin-record-0180">
        <w:r>
          <w:rPr>
            <w:color w:val="000000"/>
          </w:rPr>
          <w:t xml:space="preserve">cognoscere / cognitio</w:t>
        </w:r>
      </w:hyperlink>
      <w:r>
        <w:rPr>
          <w:b w:val="0"/>
          <w:i w:val="0"/>
        </w:rPr>
        <w:t xml:space="preserve">; </w:t>
      </w:r>
      <w:hyperlink w:anchor="latin-record-1046">
        <w:r>
          <w:rPr>
            <w:color w:val="000000"/>
          </w:rPr>
          <w:t xml:space="preserve">replicare / explicare</w:t>
        </w:r>
      </w:hyperlink>
      <w:r>
        <w:rPr>
          <w:b w:val="0"/>
          <w:i w:val="0"/>
        </w:rPr>
        <w:t>.</w:t>
      </w:r>
    </w:p>
    <w:p>
      <w:pPr>
        <w:widowControl/>
      </w:pPr>
      <w:bookmarkStart w:id="1998" w:name="passage-iii-2-29"/>
      <w:bookmarkEnd w:id="1998"/>
      <w:r>
        <w:rPr>
          <w:b/>
          <w:i w:val="0"/>
        </w:rPr>
        <w:t>III.2.29</w:t>
      </w:r>
      <w:r>
        <w:rPr>
          <w:b/>
          <w:i w:val="0"/>
        </w:rPr>
        <w:t>, source pp. 278–279.</w:t>
      </w:r>
      <w:r>
        <w:rPr>
          <w:b w:val="0"/>
          <w:i w:val="0"/>
        </w:rPr>
        <w:t xml:space="preserve"> Articles: </w:t>
      </w:r>
      <w:hyperlink w:anchor="circularity-and-return">
        <w:r>
          <w:rPr>
            <w:color w:val="000000"/>
          </w:rPr>
          <w:t xml:space="preserve">Circularity and return</w:t>
        </w:r>
      </w:hyperlink>
      <w:r>
        <w:rPr>
          <w:b w:val="0"/>
          <w:i w:val="0"/>
        </w:rPr>
        <w:t xml:space="preserve">; </w:t>
      </w:r>
      <w:hyperlink w:anchor="counsel-and-settled-skill">
        <w:r>
          <w:rPr>
            <w:color w:val="000000"/>
          </w:rPr>
          <w:t xml:space="preserve">Counsel and settled skill</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fe">
        <w:r>
          <w:rPr>
            <w:color w:val="000000"/>
          </w:rPr>
          <w:t xml:space="preserve">Life</w:t>
        </w:r>
      </w:hyperlink>
      <w:r>
        <w:rPr>
          <w:b w:val="0"/>
          <w:i w:val="0"/>
        </w:rPr>
        <w:t xml:space="preserve">; </w:t>
      </w:r>
      <w:hyperlink w:anchor="looking-and-recognizing">
        <w:r>
          <w:rPr>
            <w:color w:val="000000"/>
          </w:rPr>
          <w:t xml:space="preserve">Looking and recognizing</w:t>
        </w:r>
      </w:hyperlink>
      <w:r>
        <w:rPr>
          <w:b w:val="0"/>
          <w:i w:val="0"/>
        </w:rPr>
        <w:t xml:space="preserve">; </w:t>
      </w:r>
      <w:hyperlink w:anchor="reason-and-account">
        <w:r>
          <w:rPr>
            <w:color w:val="000000"/>
          </w:rPr>
          <w:t xml:space="preserve">Reason and account</w:t>
        </w:r>
      </w:hyperlink>
      <w:r>
        <w:rPr>
          <w:b w:val="0"/>
          <w:i w:val="0"/>
        </w:rPr>
        <w:t xml:space="preserve">; </w:t>
      </w:r>
      <w:hyperlink w:anchor="soul">
        <w:r>
          <w:rPr>
            <w:color w:val="000000"/>
          </w:rPr>
          <w:t xml:space="preserve">Soul</w:t>
        </w:r>
      </w:hyperlink>
      <w:r>
        <w:rPr>
          <w:b w:val="0"/>
          <w:i w:val="0"/>
        </w:rPr>
        <w:t xml:space="preserve">; </w:t>
      </w:r>
      <w:hyperlink w:anchor="spiritual-union">
        <w:r>
          <w:rPr>
            <w:color w:val="000000"/>
          </w:rPr>
          <w:t xml:space="preserve">Spiritual union</w:t>
        </w:r>
      </w:hyperlink>
      <w:r>
        <w:rPr>
          <w:b w:val="0"/>
          <w:i w:val="0"/>
        </w:rPr>
        <w:t xml:space="preserve">. Vocabulary: </w:t>
      </w:r>
      <w:hyperlink w:anchor="latin-record-0014">
        <w:r>
          <w:rPr>
            <w:color w:val="000000"/>
          </w:rPr>
          <w:t xml:space="preserve">acies oculorum</w:t>
        </w:r>
      </w:hyperlink>
      <w:r>
        <w:rPr>
          <w:b w:val="0"/>
          <w:i w:val="0"/>
        </w:rPr>
        <w:t xml:space="preserve">; </w:t>
      </w:r>
      <w:hyperlink w:anchor="latin-record-0180">
        <w:r>
          <w:rPr>
            <w:color w:val="000000"/>
          </w:rPr>
          <w:t xml:space="preserve">cognoscere / cognitio</w:t>
        </w:r>
      </w:hyperlink>
      <w:r>
        <w:rPr>
          <w:b w:val="0"/>
          <w:i w:val="0"/>
        </w:rPr>
        <w:t xml:space="preserve">; </w:t>
      </w:r>
      <w:hyperlink w:anchor="latin-record-0223">
        <w:r>
          <w:rPr>
            <w:color w:val="000000"/>
          </w:rPr>
          <w:t xml:space="preserve">concludere / colligere</w:t>
        </w:r>
      </w:hyperlink>
      <w:r>
        <w:rPr>
          <w:b w:val="0"/>
          <w:i w:val="0"/>
        </w:rPr>
        <w:t xml:space="preserve">; </w:t>
      </w:r>
      <w:hyperlink w:anchor="latin-record-0281">
        <w:r>
          <w:rPr>
            <w:color w:val="000000"/>
          </w:rPr>
          <w:t xml:space="preserve">corpus / corporalis</w:t>
        </w:r>
      </w:hyperlink>
      <w:r>
        <w:rPr>
          <w:b w:val="0"/>
          <w:i w:val="0"/>
        </w:rPr>
        <w:t xml:space="preserve">; </w:t>
      </w:r>
      <w:hyperlink w:anchor="latin-record-0300">
        <w:r>
          <w:rPr>
            <w:color w:val="000000"/>
          </w:rPr>
          <w:t xml:space="preserve">definitio</w:t>
        </w:r>
      </w:hyperlink>
      <w:r>
        <w:rPr>
          <w:b w:val="0"/>
          <w:i w:val="0"/>
        </w:rPr>
        <w:t xml:space="preserve">; </w:t>
      </w:r>
      <w:hyperlink w:anchor="latin-record-0331">
        <w:r>
          <w:rPr>
            <w:color w:val="000000"/>
          </w:rPr>
          <w:t xml:space="preserve">discursus / discurrere</w:t>
        </w:r>
      </w:hyperlink>
      <w:r>
        <w:rPr>
          <w:b w:val="0"/>
          <w:i w:val="0"/>
        </w:rPr>
        <w:t xml:space="preserve">; </w:t>
      </w:r>
      <w:hyperlink w:anchor="latin-record-0464">
        <w:r>
          <w:rPr>
            <w:color w:val="000000"/>
          </w:rPr>
          <w:t xml:space="preserve">forma / species</w:t>
        </w:r>
      </w:hyperlink>
      <w:r>
        <w:rPr>
          <w:b w:val="0"/>
          <w:i w:val="0"/>
        </w:rPr>
        <w:t xml:space="preserve">; </w:t>
      </w:r>
      <w:hyperlink w:anchor="latin-record-0548">
        <w:r>
          <w:rPr>
            <w:color w:val="000000"/>
          </w:rPr>
          <w:t xml:space="preserve">in corporalibus rerum speciebus rationibusque</w:t>
        </w:r>
      </w:hyperlink>
      <w:r>
        <w:rPr>
          <w:b w:val="0"/>
          <w:i w:val="0"/>
        </w:rPr>
        <w:t xml:space="preserve">; </w:t>
      </w:r>
      <w:hyperlink w:anchor="latin-record-1134">
        <w:r>
          <w:rPr>
            <w:color w:val="000000"/>
          </w:rPr>
          <w:t xml:space="preserve">spiritus / spiritalis</w:t>
        </w:r>
      </w:hyperlink>
      <w:r>
        <w:rPr>
          <w:b w:val="0"/>
          <w:i w:val="0"/>
        </w:rPr>
        <w:t xml:space="preserve">; </w:t>
      </w:r>
      <w:hyperlink w:anchor="latin-record-1273">
        <w:r>
          <w:rPr>
            <w:color w:val="000000"/>
          </w:rPr>
          <w:t xml:space="preserve">visus / videre</w:t>
        </w:r>
      </w:hyperlink>
      <w:r>
        <w:rPr>
          <w:b w:val="0"/>
          <w:i w:val="0"/>
        </w:rPr>
        <w:t xml:space="preserve">; </w:t>
      </w:r>
      <w:hyperlink w:anchor="latin-record-1274">
        <w:r>
          <w:rPr>
            <w:color w:val="000000"/>
          </w:rPr>
          <w:t xml:space="preserve">vita / vivere / vivificare</w:t>
        </w:r>
      </w:hyperlink>
      <w:r>
        <w:rPr>
          <w:b w:val="0"/>
          <w:i w:val="0"/>
        </w:rPr>
        <w:t>.</w:t>
      </w:r>
    </w:p>
    <w:p>
      <w:pPr>
        <w:widowControl/>
      </w:pPr>
      <w:bookmarkStart w:id="1999" w:name="passage-iii-2-30"/>
      <w:bookmarkEnd w:id="1999"/>
      <w:r>
        <w:rPr>
          <w:b/>
          <w:i w:val="0"/>
        </w:rPr>
        <w:t>III.2.30</w:t>
      </w:r>
      <w:r>
        <w:rPr>
          <w:b/>
          <w:i w:val="0"/>
        </w:rPr>
        <w:t>, source pp. 278–279.</w:t>
      </w:r>
      <w:r>
        <w:rPr>
          <w:b w:val="0"/>
          <w:i w:val="0"/>
        </w:rPr>
        <w:t xml:space="preserve"> Articles: </w:t>
      </w:r>
      <w:hyperlink w:anchor="circularity-and-return">
        <w:r>
          <w:rPr>
            <w:color w:val="000000"/>
          </w:rPr>
          <w:t xml:space="preserve">Circularity and return</w:t>
        </w:r>
      </w:hyperlink>
      <w:r>
        <w:rPr>
          <w:b w:val="0"/>
          <w:i w:val="0"/>
        </w:rPr>
        <w:t xml:space="preserve">; </w:t>
      </w:r>
      <w:hyperlink w:anchor="insults-and-rebuke">
        <w:r>
          <w:rPr>
            <w:color w:val="000000"/>
          </w:rPr>
          <w:t xml:space="preserve">Insults and rebuke</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life">
        <w:r>
          <w:rPr>
            <w:color w:val="000000"/>
          </w:rPr>
          <w:t xml:space="preserve">Life</w:t>
        </w:r>
      </w:hyperlink>
      <w:r>
        <w:rPr>
          <w:b w:val="0"/>
          <w:i w:val="0"/>
        </w:rPr>
        <w:t xml:space="preserve">; </w:t>
      </w:r>
      <w:hyperlink w:anchor="soul">
        <w:r>
          <w:rPr>
            <w:color w:val="000000"/>
          </w:rPr>
          <w:t xml:space="preserve">Soul</w:t>
        </w:r>
      </w:hyperlink>
      <w:r>
        <w:rPr>
          <w:b w:val="0"/>
          <w:i w:val="0"/>
        </w:rPr>
        <w:t xml:space="preserve">; </w:t>
      </w:r>
      <w:hyperlink w:anchor="spiritual-union">
        <w:r>
          <w:rPr>
            <w:color w:val="000000"/>
          </w:rPr>
          <w:t xml:space="preserve">Spiritual union</w:t>
        </w:r>
      </w:hyperlink>
      <w:r>
        <w:rPr>
          <w:b w:val="0"/>
          <w:i w:val="0"/>
        </w:rPr>
        <w:t xml:space="preserve">. Vocabulary: </w:t>
      </w:r>
      <w:hyperlink w:anchor="latin-record-0241">
        <w:r>
          <w:rPr>
            <w:color w:val="000000"/>
          </w:rPr>
          <w:t xml:space="preserve">connectere / copulare / colligare</w:t>
        </w:r>
      </w:hyperlink>
      <w:r>
        <w:rPr>
          <w:b w:val="0"/>
          <w:i w:val="0"/>
        </w:rPr>
        <w:t xml:space="preserve">; </w:t>
      </w:r>
      <w:hyperlink w:anchor="latin-record-0300">
        <w:r>
          <w:rPr>
            <w:color w:val="000000"/>
          </w:rPr>
          <w:t xml:space="preserve">definitio</w:t>
        </w:r>
      </w:hyperlink>
      <w:r>
        <w:rPr>
          <w:b w:val="0"/>
          <w:i w:val="0"/>
        </w:rPr>
        <w:t xml:space="preserve">; </w:t>
      </w:r>
      <w:hyperlink w:anchor="latin-record-0331">
        <w:r>
          <w:rPr>
            <w:color w:val="000000"/>
          </w:rPr>
          <w:t xml:space="preserve">discursus / discurrere</w:t>
        </w:r>
      </w:hyperlink>
      <w:r>
        <w:rPr>
          <w:b w:val="0"/>
          <w:i w:val="0"/>
        </w:rPr>
        <w:t xml:space="preserve">; </w:t>
      </w:r>
      <w:hyperlink w:anchor="latin-record-1082">
        <w:r>
          <w:rPr>
            <w:color w:val="000000"/>
          </w:rPr>
          <w:t xml:space="preserve">sedes / regio</w:t>
        </w:r>
      </w:hyperlink>
      <w:r>
        <w:rPr>
          <w:b w:val="0"/>
          <w:i w:val="0"/>
        </w:rPr>
        <w:t>.</w:t>
      </w:r>
    </w:p>
    <w:p>
      <w:bookmarkStart w:id="2000" w:name="chapter-iv.1"/>
      <w:pPr>
        <w:pStyle w:val="Heading2"/>
      </w:pPr>
      <w:r>
        <w:rPr>
          <w:b w:val="0"/>
          <w:i w:val="0"/>
        </w:rPr>
        <w:t>Chapter IV.1</w:t>
      </w:r>
      <w:bookmarkEnd w:id="2000"/>
    </w:p>
    <w:p>
      <w:pPr>
        <w:widowControl/>
      </w:pPr>
      <w:bookmarkStart w:id="2001" w:name="passage-iv-1-1"/>
      <w:bookmarkEnd w:id="2001"/>
      <w:r>
        <w:rPr>
          <w:b/>
          <w:i w:val="0"/>
        </w:rPr>
        <w:t>IV.1.1</w:t>
      </w:r>
      <w:r>
        <w:rPr>
          <w:b/>
          <w:i w:val="0"/>
        </w:rPr>
        <w:t>, source pp. 282–283.</w:t>
      </w:r>
      <w:r>
        <w:rPr>
          <w:b w:val="0"/>
          <w:i w:val="0"/>
        </w:rPr>
        <w:t xml:space="preserve"> Articles: </w:t>
      </w:r>
      <w:hyperlink w:anchor="earth-soul">
        <w:r>
          <w:rPr>
            <w:color w:val="000000"/>
          </w:rPr>
          <w:t xml:space="preserve">Earth soul</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hermetic-theologians-and-the-magi">
        <w:r>
          <w:rPr>
            <w:color w:val="000000"/>
          </w:rPr>
          <w:t xml:space="preserve">Hermetic theologians and the Magi</w:t>
        </w:r>
      </w:hyperlink>
      <w:r>
        <w:rPr>
          <w:b w:val="0"/>
          <w:i w:val="0"/>
        </w:rPr>
        <w:t xml:space="preserve">; </w:t>
      </w:r>
      <w:hyperlink w:anchor="life">
        <w:r>
          <w:rPr>
            <w:color w:val="000000"/>
          </w:rPr>
          <w:t xml:space="preserve">Life</w:t>
        </w:r>
      </w:hyperlink>
      <w:r>
        <w:rPr>
          <w:b w:val="0"/>
          <w:i w:val="0"/>
        </w:rPr>
        <w:t xml:space="preserve">; </w:t>
      </w:r>
      <w:hyperlink w:anchor="nourishment-digestion-and-growth">
        <w:r>
          <w:rPr>
            <w:color w:val="000000"/>
          </w:rPr>
          <w:t xml:space="preserve">Nourishment, digestion and growth</w:t>
        </w:r>
      </w:hyperlink>
      <w:r>
        <w:rPr>
          <w:b w:val="0"/>
          <w:i w:val="0"/>
        </w:rPr>
        <w:t xml:space="preserve">; </w:t>
      </w:r>
      <w:hyperlink w:anchor="soul">
        <w:r>
          <w:rPr>
            <w:color w:val="000000"/>
          </w:rPr>
          <w:t xml:space="preserve">Soul</w:t>
        </w:r>
      </w:hyperlink>
      <w:r>
        <w:rPr>
          <w:b w:val="0"/>
          <w:i w:val="0"/>
        </w:rPr>
        <w:t xml:space="preserve">. Vocabulary: </w:t>
      </w:r>
      <w:hyperlink w:anchor="latin-record-0010">
        <w:r>
          <w:rPr>
            <w:color w:val="000000"/>
          </w:rPr>
          <w:t xml:space="preserve">accipere / concedere</w:t>
        </w:r>
      </w:hyperlink>
      <w:r>
        <w:rPr>
          <w:b w:val="0"/>
          <w:i w:val="0"/>
        </w:rPr>
        <w:t xml:space="preserve">; </w:t>
      </w:r>
      <w:hyperlink w:anchor="latin-record-0113">
        <w:r>
          <w:rPr>
            <w:color w:val="000000"/>
          </w:rPr>
          <w:t xml:space="preserve">augere / augmentum</w:t>
        </w:r>
      </w:hyperlink>
      <w:r>
        <w:rPr>
          <w:b w:val="0"/>
          <w:i w:val="0"/>
        </w:rPr>
        <w:t xml:space="preserve">; </w:t>
      </w:r>
      <w:hyperlink w:anchor="latin-record-0188">
        <w:r>
          <w:rPr>
            <w:color w:val="000000"/>
          </w:rPr>
          <w:t xml:space="preserve">collocare / assignare</w:t>
        </w:r>
      </w:hyperlink>
      <w:r>
        <w:rPr>
          <w:b w:val="0"/>
          <w:i w:val="0"/>
        </w:rPr>
        <w:t xml:space="preserve">; </w:t>
      </w:r>
      <w:hyperlink w:anchor="latin-record-0204">
        <w:r>
          <w:rPr>
            <w:color w:val="000000"/>
          </w:rPr>
          <w:t xml:space="preserve">comparare / proportio</w:t>
        </w:r>
      </w:hyperlink>
      <w:r>
        <w:rPr>
          <w:b w:val="0"/>
          <w:i w:val="0"/>
        </w:rPr>
        <w:t xml:space="preserve">; </w:t>
      </w:r>
      <w:hyperlink w:anchor="latin-record-0561">
        <w:r>
          <w:rPr>
            <w:color w:val="000000"/>
          </w:rPr>
          <w:t xml:space="preserve">inesse / adesse / insitus</w:t>
        </w:r>
      </w:hyperlink>
      <w:r>
        <w:rPr>
          <w:b w:val="0"/>
          <w:i w:val="0"/>
        </w:rPr>
        <w:t xml:space="preserve">; </w:t>
      </w:r>
      <w:hyperlink w:anchor="latin-record-0779">
        <w:r>
          <w:rPr>
            <w:color w:val="000000"/>
          </w:rPr>
          <w:t xml:space="preserve">nutrire / nutritio</w:t>
        </w:r>
      </w:hyperlink>
      <w:r>
        <w:rPr>
          <w:b w:val="0"/>
          <w:i w:val="0"/>
        </w:rPr>
        <w:t xml:space="preserve">; </w:t>
      </w:r>
      <w:hyperlink w:anchor="latin-record-0861">
        <w:r>
          <w:rPr>
            <w:color w:val="000000"/>
          </w:rPr>
          <w:t xml:space="preserve">perscrutari</w:t>
        </w:r>
      </w:hyperlink>
      <w:r>
        <w:rPr>
          <w:b w:val="0"/>
          <w:i w:val="0"/>
        </w:rPr>
        <w:t>.</w:t>
      </w:r>
    </w:p>
    <w:p>
      <w:pPr>
        <w:widowControl/>
      </w:pPr>
      <w:bookmarkStart w:id="2002" w:name="passage-iv-1-2"/>
      <w:bookmarkEnd w:id="2002"/>
      <w:r>
        <w:rPr>
          <w:b/>
          <w:i w:val="0"/>
        </w:rPr>
        <w:t>IV.1.2</w:t>
      </w:r>
      <w:r>
        <w:rPr>
          <w:b/>
          <w:i w:val="0"/>
        </w:rPr>
        <w:t>, source pp. 282–283.</w:t>
      </w:r>
      <w:r>
        <w:rPr>
          <w:b w:val="0"/>
          <w:i w:val="0"/>
        </w:rPr>
        <w:t xml:space="preserve"> Articles: </w:t>
      </w:r>
      <w:hyperlink w:anchor="earth-as-mother">
        <w:r>
          <w:rPr>
            <w:color w:val="000000"/>
          </w:rPr>
          <w:t xml:space="preserve">Earth as mother</w:t>
        </w:r>
      </w:hyperlink>
      <w:r>
        <w:rPr>
          <w:b w:val="0"/>
          <w:i w:val="0"/>
        </w:rPr>
        <w:t xml:space="preserve">; </w:t>
      </w:r>
      <w:hyperlink w:anchor="earth-soul">
        <w:r>
          <w:rPr>
            <w:color w:val="000000"/>
          </w:rPr>
          <w:t xml:space="preserve">Earth soul</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life">
        <w:r>
          <w:rPr>
            <w:color w:val="000000"/>
          </w:rPr>
          <w:t xml:space="preserve">Life</w:t>
        </w:r>
      </w:hyperlink>
      <w:r>
        <w:rPr>
          <w:b w:val="0"/>
          <w:i w:val="0"/>
        </w:rPr>
        <w:t xml:space="preserve">; </w:t>
      </w:r>
      <w:hyperlink w:anchor="nourishment-digestion-and-growth">
        <w:r>
          <w:rPr>
            <w:color w:val="000000"/>
          </w:rPr>
          <w:t xml:space="preserve">Nourishment, digestion and growth</w:t>
        </w:r>
      </w:hyperlink>
      <w:r>
        <w:rPr>
          <w:b w:val="0"/>
          <w:i w:val="0"/>
        </w:rPr>
        <w:t xml:space="preserve">. Vocabulary: </w:t>
      </w:r>
      <w:hyperlink w:anchor="latin-record-0046">
        <w:r>
          <w:rPr>
            <w:color w:val="000000"/>
          </w:rPr>
          <w:t xml:space="preserve">alere</w:t>
        </w:r>
      </w:hyperlink>
      <w:r>
        <w:rPr>
          <w:b w:val="0"/>
          <w:i w:val="0"/>
        </w:rPr>
        <w:t xml:space="preserve">; </w:t>
      </w:r>
      <w:hyperlink w:anchor="latin-record-0149">
        <w:r>
          <w:rPr>
            <w:color w:val="000000"/>
          </w:rPr>
          <w:t xml:space="preserve">careo / expers</w:t>
        </w:r>
      </w:hyperlink>
      <w:r>
        <w:rPr>
          <w:b w:val="0"/>
          <w:i w:val="0"/>
        </w:rPr>
        <w:t xml:space="preserve">; </w:t>
      </w:r>
      <w:hyperlink w:anchor="latin-record-0304">
        <w:r>
          <w:rPr>
            <w:color w:val="000000"/>
          </w:rPr>
          <w:t xml:space="preserve">dens / pilus</w:t>
        </w:r>
      </w:hyperlink>
      <w:r>
        <w:rPr>
          <w:b w:val="0"/>
          <w:i w:val="0"/>
        </w:rPr>
        <w:t xml:space="preserve">; </w:t>
      </w:r>
      <w:hyperlink w:anchor="latin-record-0390">
        <w:r>
          <w:rPr>
            <w:color w:val="000000"/>
          </w:rPr>
          <w:t xml:space="preserve">evellere / extirpare</w:t>
        </w:r>
      </w:hyperlink>
      <w:r>
        <w:rPr>
          <w:b w:val="0"/>
          <w:i w:val="0"/>
        </w:rPr>
        <w:t xml:space="preserve">; </w:t>
      </w:r>
      <w:hyperlink w:anchor="latin-record-1242">
        <w:r>
          <w:rPr>
            <w:color w:val="000000"/>
          </w:rPr>
          <w:t xml:space="preserve">venter / fetus</w:t>
        </w:r>
      </w:hyperlink>
      <w:r>
        <w:rPr>
          <w:b w:val="0"/>
          <w:i w:val="0"/>
        </w:rPr>
        <w:t>.</w:t>
      </w:r>
    </w:p>
    <w:p>
      <w:pPr>
        <w:widowControl/>
      </w:pPr>
      <w:bookmarkStart w:id="2003" w:name="passage-iv-1-3"/>
      <w:bookmarkEnd w:id="2003"/>
      <w:r>
        <w:rPr>
          <w:b/>
          <w:i w:val="0"/>
        </w:rPr>
        <w:t>IV.1.3</w:t>
      </w:r>
      <w:r>
        <w:rPr>
          <w:b/>
          <w:i w:val="0"/>
        </w:rPr>
        <w:t>, source pp. 282–283.</w:t>
      </w:r>
      <w:r>
        <w:rPr>
          <w:b w:val="0"/>
          <w:i w:val="0"/>
        </w:rPr>
        <w:t xml:space="preserve"> Articles: </w:t>
      </w:r>
      <w:hyperlink w:anchor="celestial-influence">
        <w:r>
          <w:rPr>
            <w:color w:val="000000"/>
          </w:rPr>
          <w:t xml:space="preserve">Celestial influence</w:t>
        </w:r>
      </w:hyperlink>
      <w:r>
        <w:rPr>
          <w:b w:val="0"/>
          <w:i w:val="0"/>
        </w:rPr>
        <w:t xml:space="preserve">; </w:t>
      </w:r>
      <w:hyperlink w:anchor="earth-soul">
        <w:r>
          <w:rPr>
            <w:color w:val="000000"/>
          </w:rPr>
          <w:t xml:space="preserve">Earth soul</w:t>
        </w:r>
      </w:hyperlink>
      <w:r>
        <w:rPr>
          <w:b w:val="0"/>
          <w:i w:val="0"/>
        </w:rPr>
        <w:t xml:space="preserve">; </w:t>
      </w:r>
      <w:hyperlink w:anchor="instrument">
        <w:r>
          <w:rPr>
            <w:color w:val="000000"/>
          </w:rPr>
          <w:t xml:space="preserve">Instrument</w:t>
        </w:r>
      </w:hyperlink>
      <w:r>
        <w:rPr>
          <w:b w:val="0"/>
          <w:i w:val="0"/>
        </w:rPr>
        <w:t xml:space="preserve">; </w:t>
      </w:r>
      <w:hyperlink w:anchor="proximity-and-causal-presence">
        <w:r>
          <w:rPr>
            <w:color w:val="000000"/>
          </w:rPr>
          <w:t xml:space="preserve">Proximity and causal presence</w:t>
        </w:r>
      </w:hyperlink>
      <w:r>
        <w:rPr>
          <w:b w:val="0"/>
          <w:i w:val="0"/>
        </w:rPr>
        <w:t xml:space="preserve">; </w:t>
      </w:r>
      <w:hyperlink w:anchor="putrefaction-and-propagation">
        <w:r>
          <w:rPr>
            <w:color w:val="000000"/>
          </w:rPr>
          <w:t xml:space="preserve">Putrefaction and propagation</w:t>
        </w:r>
      </w:hyperlink>
      <w:r>
        <w:rPr>
          <w:b w:val="0"/>
          <w:i w:val="0"/>
        </w:rPr>
        <w:t xml:space="preserve">; </w:t>
      </w:r>
      <w:hyperlink w:anchor="seeming-and-evidence">
        <w:r>
          <w:rPr>
            <w:color w:val="000000"/>
          </w:rPr>
          <w:t xml:space="preserve">Seeming and evidence</w:t>
        </w:r>
      </w:hyperlink>
      <w:r>
        <w:rPr>
          <w:b w:val="0"/>
          <w:i w:val="0"/>
        </w:rPr>
        <w:t xml:space="preserve">; </w:t>
      </w:r>
      <w:hyperlink w:anchor="substance-and-accident">
        <w:r>
          <w:rPr>
            <w:color w:val="000000"/>
          </w:rPr>
          <w:t xml:space="preserve">Substance and accident</w:t>
        </w:r>
      </w:hyperlink>
      <w:r>
        <w:rPr>
          <w:b w:val="0"/>
          <w:i w:val="0"/>
        </w:rPr>
        <w:t xml:space="preserve">. Vocabulary: </w:t>
      </w:r>
      <w:hyperlink w:anchor="latin-record-0568">
        <w:r>
          <w:rPr>
            <w:color w:val="000000"/>
          </w:rPr>
          <w:t xml:space="preserve">influxus / instinctus</w:t>
        </w:r>
      </w:hyperlink>
      <w:r>
        <w:rPr>
          <w:b w:val="0"/>
          <w:i w:val="0"/>
        </w:rPr>
        <w:t xml:space="preserve">; </w:t>
      </w:r>
      <w:hyperlink w:anchor="latin-record-0974">
        <w:r>
          <w:rPr>
            <w:color w:val="000000"/>
          </w:rPr>
          <w:t xml:space="preserve">proximus</w:t>
        </w:r>
      </w:hyperlink>
      <w:r>
        <w:rPr>
          <w:b w:val="0"/>
          <w:i w:val="0"/>
        </w:rPr>
        <w:t xml:space="preserve">; </w:t>
      </w:r>
      <w:hyperlink w:anchor="latin-record-1094">
        <w:r>
          <w:rPr>
            <w:color w:val="000000"/>
          </w:rPr>
          <w:t xml:space="preserve">seorsum</w:t>
        </w:r>
      </w:hyperlink>
      <w:r>
        <w:rPr>
          <w:b w:val="0"/>
          <w:i w:val="0"/>
        </w:rPr>
        <w:t xml:space="preserve">; </w:t>
      </w:r>
      <w:hyperlink w:anchor="latin-record-1152">
        <w:r>
          <w:rPr>
            <w:color w:val="000000"/>
          </w:rPr>
          <w:t xml:space="preserve">subdere / subicere</w:t>
        </w:r>
      </w:hyperlink>
      <w:r>
        <w:rPr>
          <w:b w:val="0"/>
          <w:i w:val="0"/>
        </w:rPr>
        <w:t>.</w:t>
      </w:r>
    </w:p>
    <w:p>
      <w:pPr>
        <w:widowControl/>
      </w:pPr>
      <w:bookmarkStart w:id="2004" w:name="passage-iv-1-4"/>
      <w:bookmarkEnd w:id="2004"/>
      <w:r>
        <w:rPr>
          <w:b/>
          <w:i w:val="0"/>
        </w:rPr>
        <w:t>IV.1.4</w:t>
      </w:r>
      <w:r>
        <w:rPr>
          <w:b/>
          <w:i w:val="0"/>
        </w:rPr>
        <w:t>, source pp. 282–283.</w:t>
      </w:r>
      <w:r>
        <w:rPr>
          <w:b w:val="0"/>
          <w:i w:val="0"/>
        </w:rPr>
        <w:t xml:space="preserve"> Articles: </w:t>
      </w:r>
      <w:hyperlink w:anchor="celestial-influence">
        <w:r>
          <w:rPr>
            <w:color w:val="000000"/>
          </w:rPr>
          <w:t xml:space="preserve">Celestial influence</w:t>
        </w:r>
      </w:hyperlink>
      <w:r>
        <w:rPr>
          <w:b w:val="0"/>
          <w:i w:val="0"/>
        </w:rPr>
        <w:t xml:space="preserve">; </w:t>
      </w:r>
      <w:hyperlink w:anchor="contraction-and-determination">
        <w:r>
          <w:rPr>
            <w:color w:val="000000"/>
          </w:rPr>
          <w:t xml:space="preserve">Contraction and determination</w:t>
        </w:r>
      </w:hyperlink>
      <w:r>
        <w:rPr>
          <w:b w:val="0"/>
          <w:i w:val="0"/>
        </w:rPr>
        <w:t xml:space="preserve">; </w:t>
      </w:r>
      <w:hyperlink w:anchor="earth-soul">
        <w:r>
          <w:rPr>
            <w:color w:val="000000"/>
          </w:rPr>
          <w:t xml:space="preserve">Earth soul</w:t>
        </w:r>
      </w:hyperlink>
      <w:r>
        <w:rPr>
          <w:b w:val="0"/>
          <w:i w:val="0"/>
        </w:rPr>
        <w:t xml:space="preserve">; </w:t>
      </w:r>
      <w:hyperlink w:anchor="instrument">
        <w:r>
          <w:rPr>
            <w:color w:val="000000"/>
          </w:rPr>
          <w:t xml:space="preserve">Instrument</w:t>
        </w:r>
      </w:hyperlink>
      <w:r>
        <w:rPr>
          <w:b w:val="0"/>
          <w:i w:val="0"/>
        </w:rPr>
        <w:t xml:space="preserve">; </w:t>
      </w:r>
      <w:hyperlink w:anchor="proximity-and-causal-presence">
        <w:r>
          <w:rPr>
            <w:color w:val="000000"/>
          </w:rPr>
          <w:t xml:space="preserve">Proximity and causal presence</w:t>
        </w:r>
      </w:hyperlink>
      <w:r>
        <w:rPr>
          <w:b w:val="0"/>
          <w:i w:val="0"/>
        </w:rPr>
        <w:t xml:space="preserve">; </w:t>
      </w:r>
      <w:hyperlink w:anchor="substance-and-accident">
        <w:r>
          <w:rPr>
            <w:color w:val="000000"/>
          </w:rPr>
          <w:t xml:space="preserve">Substance and accident</w:t>
        </w:r>
      </w:hyperlink>
      <w:r>
        <w:rPr>
          <w:b w:val="0"/>
          <w:i w:val="0"/>
        </w:rPr>
        <w:t xml:space="preserve">. Vocabulary: </w:t>
      </w:r>
      <w:hyperlink w:anchor="latin-record-0308">
        <w:r>
          <w:rPr>
            <w:color w:val="000000"/>
          </w:rPr>
          <w:t xml:space="preserve">determinare</w:t>
        </w:r>
      </w:hyperlink>
      <w:r>
        <w:rPr>
          <w:b w:val="0"/>
          <w:i w:val="0"/>
        </w:rPr>
        <w:t xml:space="preserve">; </w:t>
      </w:r>
      <w:hyperlink w:anchor="latin-record-0568">
        <w:r>
          <w:rPr>
            <w:color w:val="000000"/>
          </w:rPr>
          <w:t xml:space="preserve">influxus / instinctus</w:t>
        </w:r>
      </w:hyperlink>
      <w:r>
        <w:rPr>
          <w:b w:val="0"/>
          <w:i w:val="0"/>
        </w:rPr>
        <w:t xml:space="preserve">; </w:t>
      </w:r>
      <w:hyperlink w:anchor="latin-record-1152">
        <w:r>
          <w:rPr>
            <w:color w:val="000000"/>
          </w:rPr>
          <w:t xml:space="preserve">subdere / subicere</w:t>
        </w:r>
      </w:hyperlink>
      <w:r>
        <w:rPr>
          <w:b w:val="0"/>
          <w:i w:val="0"/>
        </w:rPr>
        <w:t>.</w:t>
      </w:r>
    </w:p>
    <w:p>
      <w:pPr>
        <w:widowControl/>
      </w:pPr>
      <w:bookmarkStart w:id="2005" w:name="passage-iv-1-5"/>
      <w:bookmarkEnd w:id="2005"/>
      <w:r>
        <w:rPr>
          <w:b/>
          <w:i w:val="0"/>
        </w:rPr>
        <w:t>IV.1.5</w:t>
      </w:r>
      <w:r>
        <w:rPr>
          <w:b/>
          <w:i w:val="0"/>
        </w:rPr>
        <w:t>, source pp. 284–285.</w:t>
      </w:r>
      <w:r>
        <w:rPr>
          <w:b w:val="0"/>
          <w:i w:val="0"/>
        </w:rPr>
        <w:t xml:space="preserve"> Articles: </w:t>
      </w:r>
      <w:hyperlink w:anchor="celestial-influence">
        <w:r>
          <w:rPr>
            <w:color w:val="000000"/>
          </w:rPr>
          <w:t xml:space="preserve">Celestial influence</w:t>
        </w:r>
      </w:hyperlink>
      <w:r>
        <w:rPr>
          <w:b w:val="0"/>
          <w:i w:val="0"/>
        </w:rPr>
        <w:t xml:space="preserve">; </w:t>
      </w:r>
      <w:hyperlink w:anchor="earth-soul">
        <w:r>
          <w:rPr>
            <w:color w:val="000000"/>
          </w:rPr>
          <w:t xml:space="preserve">Earth soul</w:t>
        </w:r>
      </w:hyperlink>
      <w:r>
        <w:rPr>
          <w:b w:val="0"/>
          <w:i w:val="0"/>
        </w:rPr>
        <w:t xml:space="preserve">; </w:t>
      </w:r>
      <w:hyperlink w:anchor="indwelling-and-presence">
        <w:r>
          <w:rPr>
            <w:color w:val="000000"/>
          </w:rPr>
          <w:t xml:space="preserve">Indwelling and presence</w:t>
        </w:r>
      </w:hyperlink>
      <w:r>
        <w:rPr>
          <w:b w:val="0"/>
          <w:i w:val="0"/>
        </w:rPr>
        <w:t xml:space="preserve">; </w:t>
      </w:r>
      <w:hyperlink w:anchor="proximity-and-causal-presence">
        <w:r>
          <w:rPr>
            <w:color w:val="000000"/>
          </w:rPr>
          <w:t xml:space="preserve">Proximity and causal presence</w:t>
        </w:r>
      </w:hyperlink>
      <w:r>
        <w:rPr>
          <w:b w:val="0"/>
          <w:i w:val="0"/>
        </w:rPr>
        <w:t xml:space="preserve">; </w:t>
      </w:r>
      <w:hyperlink w:anchor="substance-and-accident">
        <w:r>
          <w:rPr>
            <w:color w:val="000000"/>
          </w:rPr>
          <w:t xml:space="preserve">Substance and accident</w:t>
        </w:r>
      </w:hyperlink>
      <w:r>
        <w:rPr>
          <w:b w:val="0"/>
          <w:i w:val="0"/>
        </w:rPr>
        <w:t xml:space="preserve">; </w:t>
      </w:r>
      <w:hyperlink w:anchor="surface-and-depth">
        <w:r>
          <w:rPr>
            <w:color w:val="000000"/>
          </w:rPr>
          <w:t xml:space="preserve">Surface and depth</w:t>
        </w:r>
      </w:hyperlink>
      <w:r>
        <w:rPr>
          <w:b w:val="0"/>
          <w:i w:val="0"/>
        </w:rPr>
        <w:t xml:space="preserve">. Vocabulary: </w:t>
      </w:r>
      <w:hyperlink w:anchor="latin-record-0611">
        <w:r>
          <w:rPr>
            <w:color w:val="000000"/>
          </w:rPr>
          <w:t xml:space="preserve">intus / intro / intimus</w:t>
        </w:r>
      </w:hyperlink>
      <w:r>
        <w:rPr>
          <w:b w:val="0"/>
          <w:i w:val="0"/>
        </w:rPr>
        <w:t xml:space="preserve">; </w:t>
      </w:r>
      <w:hyperlink w:anchor="latin-record-0847">
        <w:r>
          <w:rPr>
            <w:color w:val="000000"/>
          </w:rPr>
          <w:t xml:space="preserve">penetrare</w:t>
        </w:r>
      </w:hyperlink>
      <w:r>
        <w:rPr>
          <w:b w:val="0"/>
          <w:i w:val="0"/>
        </w:rPr>
        <w:t xml:space="preserve">; </w:t>
      </w:r>
      <w:hyperlink w:anchor="latin-record-0917">
        <w:r>
          <w:rPr>
            <w:color w:val="000000"/>
          </w:rPr>
          <w:t xml:space="preserve">praesentia / admovere</w:t>
        </w:r>
      </w:hyperlink>
      <w:r>
        <w:rPr>
          <w:b w:val="0"/>
          <w:i w:val="0"/>
        </w:rPr>
        <w:t xml:space="preserve">; </w:t>
      </w:r>
      <w:hyperlink w:anchor="latin-record-1000">
        <w:r>
          <w:rPr>
            <w:color w:val="000000"/>
          </w:rPr>
          <w:t xml:space="preserve">quaerere / persuadere</w:t>
        </w:r>
      </w:hyperlink>
      <w:r>
        <w:rPr>
          <w:b w:val="0"/>
          <w:i w:val="0"/>
        </w:rPr>
        <w:t>.</w:t>
      </w:r>
    </w:p>
    <w:p>
      <w:pPr>
        <w:widowControl/>
      </w:pPr>
      <w:bookmarkStart w:id="2006" w:name="passage-iv-1-6"/>
      <w:bookmarkEnd w:id="2006"/>
      <w:r>
        <w:rPr>
          <w:b/>
          <w:i w:val="0"/>
        </w:rPr>
        <w:t>IV.1.6</w:t>
      </w:r>
      <w:r>
        <w:rPr>
          <w:b/>
          <w:i w:val="0"/>
        </w:rPr>
        <w:t>, source pp. 284–285.</w:t>
      </w:r>
      <w:r>
        <w:rPr>
          <w:b w:val="0"/>
          <w:i w:val="0"/>
        </w:rPr>
        <w:t xml:space="preserve"> Articles: </w:t>
      </w:r>
      <w:hyperlink w:anchor="celestial-influence">
        <w:r>
          <w:rPr>
            <w:color w:val="000000"/>
          </w:rPr>
          <w:t xml:space="preserve">Celestial influence</w:t>
        </w:r>
      </w:hyperlink>
      <w:r>
        <w:rPr>
          <w:b w:val="0"/>
          <w:i w:val="0"/>
        </w:rPr>
        <w:t xml:space="preserve">; </w:t>
      </w:r>
      <w:hyperlink w:anchor="earth-soul">
        <w:r>
          <w:rPr>
            <w:color w:val="000000"/>
          </w:rPr>
          <w:t xml:space="preserve">Earth soul</w:t>
        </w:r>
      </w:hyperlink>
      <w:r>
        <w:rPr>
          <w:b w:val="0"/>
          <w:i w:val="0"/>
        </w:rPr>
        <w:t xml:space="preserve">; </w:t>
      </w:r>
      <w:hyperlink w:anchor="fitting-and-correspondence">
        <w:r>
          <w:rPr>
            <w:color w:val="000000"/>
          </w:rPr>
          <w:t xml:space="preserve">Fitting and correspondence</w:t>
        </w:r>
      </w:hyperlink>
      <w:r>
        <w:rPr>
          <w:b w:val="0"/>
          <w:i w:val="0"/>
        </w:rPr>
        <w:t xml:space="preserve">. Vocabulary: </w:t>
      </w:r>
      <w:hyperlink w:anchor="latin-record-0160">
        <w:r>
          <w:rPr>
            <w:color w:val="000000"/>
          </w:rPr>
          <w:t xml:space="preserve">certo / certus</w:t>
        </w:r>
      </w:hyperlink>
      <w:r>
        <w:rPr>
          <w:b w:val="0"/>
          <w:i w:val="0"/>
        </w:rPr>
        <w:t xml:space="preserve">; </w:t>
      </w:r>
      <w:hyperlink w:anchor="latin-record-0442">
        <w:r>
          <w:rPr>
            <w:color w:val="000000"/>
          </w:rPr>
          <w:t xml:space="preserve">ferre</w:t>
        </w:r>
      </w:hyperlink>
      <w:r>
        <w:rPr>
          <w:b w:val="0"/>
          <w:i w:val="0"/>
        </w:rPr>
        <w:t xml:space="preserve">; </w:t>
      </w:r>
      <w:hyperlink w:anchor="latin-record-0998">
        <w:r>
          <w:rPr>
            <w:color w:val="000000"/>
          </w:rPr>
          <w:t xml:space="preserve">quadrare</w:t>
        </w:r>
      </w:hyperlink>
      <w:r>
        <w:rPr>
          <w:b w:val="0"/>
          <w:i w:val="0"/>
        </w:rPr>
        <w:t xml:space="preserve">; </w:t>
      </w:r>
      <w:hyperlink w:anchor="latin-record-1244">
        <w:r>
          <w:rPr>
            <w:color w:val="000000"/>
          </w:rPr>
          <w:t xml:space="preserve">vergere</w:t>
        </w:r>
      </w:hyperlink>
      <w:r>
        <w:rPr>
          <w:b w:val="0"/>
          <w:i w:val="0"/>
        </w:rPr>
        <w:t>.</w:t>
      </w:r>
    </w:p>
    <w:p>
      <w:pPr>
        <w:widowControl/>
      </w:pPr>
      <w:bookmarkStart w:id="2007" w:name="passage-iv-1-7"/>
      <w:bookmarkEnd w:id="2007"/>
      <w:r>
        <w:rPr>
          <w:b/>
          <w:i w:val="0"/>
        </w:rPr>
        <w:t>IV.1.7</w:t>
      </w:r>
      <w:r>
        <w:rPr>
          <w:b/>
          <w:i w:val="0"/>
        </w:rPr>
        <w:t>, source pp. 284–285.</w:t>
      </w:r>
      <w:r>
        <w:rPr>
          <w:b w:val="0"/>
          <w:i w:val="0"/>
        </w:rPr>
        <w:t xml:space="preserve"> Articles: </w:t>
      </w:r>
      <w:hyperlink w:anchor="celestial-influence">
        <w:r>
          <w:rPr>
            <w:color w:val="000000"/>
          </w:rPr>
          <w:t xml:space="preserve">Celestial influence</w:t>
        </w:r>
      </w:hyperlink>
      <w:r>
        <w:rPr>
          <w:b w:val="0"/>
          <w:i w:val="0"/>
        </w:rPr>
        <w:t xml:space="preserve">; </w:t>
      </w:r>
      <w:hyperlink w:anchor="common-and-proper">
        <w:r>
          <w:rPr>
            <w:color w:val="000000"/>
          </w:rPr>
          <w:t xml:space="preserve">Common and proper</w:t>
        </w:r>
      </w:hyperlink>
      <w:r>
        <w:rPr>
          <w:b w:val="0"/>
          <w:i w:val="0"/>
        </w:rPr>
        <w:t xml:space="preserve">; </w:t>
      </w:r>
      <w:hyperlink w:anchor="contraction-and-determination">
        <w:r>
          <w:rPr>
            <w:color w:val="000000"/>
          </w:rPr>
          <w:t xml:space="preserve">Contraction and determination</w:t>
        </w:r>
      </w:hyperlink>
      <w:r>
        <w:rPr>
          <w:b w:val="0"/>
          <w:i w:val="0"/>
        </w:rPr>
        <w:t xml:space="preserve">; </w:t>
      </w:r>
      <w:hyperlink w:anchor="degree-and-mediation">
        <w:r>
          <w:rPr>
            <w:color w:val="000000"/>
          </w:rPr>
          <w:t xml:space="preserve">Degree and mediation</w:t>
        </w:r>
      </w:hyperlink>
      <w:r>
        <w:rPr>
          <w:b w:val="0"/>
          <w:i w:val="0"/>
        </w:rPr>
        <w:t xml:space="preserve">; </w:t>
      </w:r>
      <w:hyperlink w:anchor="earth-soul">
        <w:r>
          <w:rPr>
            <w:color w:val="000000"/>
          </w:rPr>
          <w:t xml:space="preserve">Earth soul</w:t>
        </w:r>
      </w:hyperlink>
      <w:r>
        <w:rPr>
          <w:b w:val="0"/>
          <w:i w:val="0"/>
        </w:rPr>
        <w:t xml:space="preserve">; </w:t>
      </w:r>
      <w:hyperlink w:anchor="fitting-and-correspondence">
        <w:r>
          <w:rPr>
            <w:color w:val="000000"/>
          </w:rPr>
          <w:t xml:space="preserve">Fitting and correspondence</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putrefaction-and-propagation">
        <w:r>
          <w:rPr>
            <w:color w:val="000000"/>
          </w:rPr>
          <w:t xml:space="preserve">Putrefaction and propagation</w:t>
        </w:r>
      </w:hyperlink>
      <w:r>
        <w:rPr>
          <w:b w:val="0"/>
          <w:i w:val="0"/>
        </w:rPr>
        <w:t xml:space="preserve">; </w:t>
      </w:r>
      <w:hyperlink w:anchor="seeming-and-evidence">
        <w:r>
          <w:rPr>
            <w:color w:val="000000"/>
          </w:rPr>
          <w:t xml:space="preserve">Seeming and evidence</w:t>
        </w:r>
      </w:hyperlink>
      <w:r>
        <w:rPr>
          <w:b w:val="0"/>
          <w:i w:val="0"/>
        </w:rPr>
        <w:t xml:space="preserve">. Vocabulary: </w:t>
      </w:r>
      <w:hyperlink w:anchor="latin-record-0108">
        <w:r>
          <w:rPr>
            <w:color w:val="000000"/>
          </w:rPr>
          <w:t xml:space="preserve">attribuere / dare</w:t>
        </w:r>
      </w:hyperlink>
      <w:r>
        <w:rPr>
          <w:b w:val="0"/>
          <w:i w:val="0"/>
        </w:rPr>
        <w:t xml:space="preserve">; </w:t>
      </w:r>
      <w:hyperlink w:anchor="latin-record-0267">
        <w:r>
          <w:rPr>
            <w:color w:val="000000"/>
          </w:rPr>
          <w:t xml:space="preserve">contrahere</w:t>
        </w:r>
      </w:hyperlink>
      <w:r>
        <w:rPr>
          <w:b w:val="0"/>
          <w:i w:val="0"/>
        </w:rPr>
        <w:t xml:space="preserve">; </w:t>
      </w:r>
      <w:hyperlink w:anchor="latin-record-0680">
        <w:r>
          <w:rPr>
            <w:color w:val="000000"/>
          </w:rPr>
          <w:t xml:space="preserve">medium competens</w:t>
        </w:r>
      </w:hyperlink>
      <w:r>
        <w:rPr>
          <w:b w:val="0"/>
          <w:i w:val="0"/>
        </w:rPr>
        <w:t xml:space="preserve">; </w:t>
      </w:r>
      <w:hyperlink w:anchor="latin-record-0993">
        <w:r>
          <w:rPr>
            <w:color w:val="000000"/>
          </w:rPr>
          <w:t xml:space="preserve">putrefactio / propagatio</w:t>
        </w:r>
      </w:hyperlink>
      <w:r>
        <w:rPr>
          <w:b w:val="0"/>
          <w:i w:val="0"/>
        </w:rPr>
        <w:t>.</w:t>
      </w:r>
    </w:p>
    <w:p>
      <w:pPr>
        <w:widowControl/>
      </w:pPr>
      <w:bookmarkStart w:id="2008" w:name="passage-iv-1-8"/>
      <w:bookmarkEnd w:id="2008"/>
      <w:r>
        <w:rPr>
          <w:b/>
          <w:i w:val="0"/>
        </w:rPr>
        <w:t>IV.1.8</w:t>
      </w:r>
      <w:r>
        <w:rPr>
          <w:b/>
          <w:i w:val="0"/>
        </w:rPr>
        <w:t>, source pp. 284–285.</w:t>
      </w:r>
      <w:r>
        <w:rPr>
          <w:b w:val="0"/>
          <w:i w:val="0"/>
        </w:rPr>
        <w:t xml:space="preserve"> Articles: </w:t>
      </w:r>
      <w:hyperlink w:anchor="celestial-influence">
        <w:r>
          <w:rPr>
            <w:color w:val="000000"/>
          </w:rPr>
          <w:t xml:space="preserve">Celestial influence</w:t>
        </w:r>
      </w:hyperlink>
      <w:r>
        <w:rPr>
          <w:b w:val="0"/>
          <w:i w:val="0"/>
        </w:rPr>
        <w:t xml:space="preserve">; </w:t>
      </w:r>
      <w:hyperlink w:anchor="common-and-proper">
        <w:r>
          <w:rPr>
            <w:color w:val="000000"/>
          </w:rPr>
          <w:t xml:space="preserve">Common and proper</w:t>
        </w:r>
      </w:hyperlink>
      <w:r>
        <w:rPr>
          <w:b w:val="0"/>
          <w:i w:val="0"/>
        </w:rPr>
        <w:t xml:space="preserve">; </w:t>
      </w:r>
      <w:hyperlink w:anchor="contraction-and-determination">
        <w:r>
          <w:rPr>
            <w:color w:val="000000"/>
          </w:rPr>
          <w:t xml:space="preserve">Contraction and determination</w:t>
        </w:r>
      </w:hyperlink>
      <w:r>
        <w:rPr>
          <w:b w:val="0"/>
          <w:i w:val="0"/>
        </w:rPr>
        <w:t xml:space="preserve">; </w:t>
      </w:r>
      <w:hyperlink w:anchor="earth-soul">
        <w:r>
          <w:rPr>
            <w:color w:val="000000"/>
          </w:rPr>
          <w:t xml:space="preserve">Earth soul</w:t>
        </w:r>
      </w:hyperlink>
      <w:r>
        <w:rPr>
          <w:b w:val="0"/>
          <w:i w:val="0"/>
        </w:rPr>
        <w:t xml:space="preserve">; </w:t>
      </w:r>
      <w:hyperlink w:anchor="order-and-harmony">
        <w:r>
          <w:rPr>
            <w:color w:val="000000"/>
          </w:rPr>
          <w:t xml:space="preserve">Order and harmony</w:t>
        </w:r>
      </w:hyperlink>
      <w:r>
        <w:rPr>
          <w:b w:val="0"/>
          <w:i w:val="0"/>
        </w:rPr>
        <w:t xml:space="preserve">. Vocabulary: </w:t>
      </w:r>
      <w:hyperlink w:anchor="latin-record-0173">
        <w:r>
          <w:rPr>
            <w:color w:val="000000"/>
          </w:rPr>
          <w:t xml:space="preserve">cogere / compellere</w:t>
        </w:r>
      </w:hyperlink>
      <w:r>
        <w:rPr>
          <w:b w:val="0"/>
          <w:i w:val="0"/>
        </w:rPr>
        <w:t xml:space="preserve">; </w:t>
      </w:r>
      <w:hyperlink w:anchor="latin-record-0188">
        <w:r>
          <w:rPr>
            <w:color w:val="000000"/>
          </w:rPr>
          <w:t xml:space="preserve">collocare / assignare</w:t>
        </w:r>
      </w:hyperlink>
      <w:r>
        <w:rPr>
          <w:b w:val="0"/>
          <w:i w:val="0"/>
        </w:rPr>
        <w:t xml:space="preserve">; </w:t>
      </w:r>
      <w:hyperlink w:anchor="latin-record-0226">
        <w:r>
          <w:rPr>
            <w:color w:val="000000"/>
          </w:rPr>
          <w:t xml:space="preserve">concursus / confluere</w:t>
        </w:r>
      </w:hyperlink>
      <w:r>
        <w:rPr>
          <w:b w:val="0"/>
          <w:i w:val="0"/>
        </w:rPr>
        <w:t xml:space="preserve">; </w:t>
      </w:r>
      <w:hyperlink w:anchor="latin-record-0308">
        <w:r>
          <w:rPr>
            <w:color w:val="000000"/>
          </w:rPr>
          <w:t xml:space="preserve">determinare</w:t>
        </w:r>
      </w:hyperlink>
      <w:r>
        <w:rPr>
          <w:b w:val="0"/>
          <w:i w:val="0"/>
        </w:rPr>
        <w:t xml:space="preserve">; </w:t>
      </w:r>
      <w:hyperlink w:anchor="latin-record-0806">
        <w:r>
          <w:rPr>
            <w:color w:val="000000"/>
          </w:rPr>
          <w:t xml:space="preserve">ordinare</w:t>
        </w:r>
      </w:hyperlink>
      <w:r>
        <w:rPr>
          <w:b w:val="0"/>
          <w:i w:val="0"/>
        </w:rPr>
        <w:t>.</w:t>
      </w:r>
    </w:p>
    <w:p>
      <w:pPr>
        <w:widowControl/>
      </w:pPr>
      <w:bookmarkStart w:id="2009" w:name="passage-iv-1-9"/>
      <w:bookmarkEnd w:id="2009"/>
      <w:r>
        <w:rPr>
          <w:b/>
          <w:i w:val="0"/>
        </w:rPr>
        <w:t>IV.1.9</w:t>
      </w:r>
      <w:r>
        <w:rPr>
          <w:b/>
          <w:i w:val="0"/>
        </w:rPr>
        <w:t>, source pp. 286–287.</w:t>
      </w:r>
      <w:r>
        <w:rPr>
          <w:b w:val="0"/>
          <w:i w:val="0"/>
        </w:rPr>
        <w:t xml:space="preserve"> Articles: </w:t>
      </w:r>
      <w:hyperlink w:anchor="art-and-nature">
        <w:r>
          <w:rPr>
            <w:color w:val="000000"/>
          </w:rPr>
          <w:t xml:space="preserve">Art and nature</w:t>
        </w:r>
      </w:hyperlink>
      <w:r>
        <w:rPr>
          <w:b w:val="0"/>
          <w:i w:val="0"/>
        </w:rPr>
        <w:t xml:space="preserve">; </w:t>
      </w:r>
      <w:hyperlink w:anchor="celestial-influence">
        <w:r>
          <w:rPr>
            <w:color w:val="000000"/>
          </w:rPr>
          <w:t xml:space="preserve">Celestial influence</w:t>
        </w:r>
      </w:hyperlink>
      <w:r>
        <w:rPr>
          <w:b w:val="0"/>
          <w:i w:val="0"/>
        </w:rPr>
        <w:t xml:space="preserve">; </w:t>
      </w:r>
      <w:hyperlink w:anchor="common-and-proper">
        <w:r>
          <w:rPr>
            <w:color w:val="000000"/>
          </w:rPr>
          <w:t xml:space="preserve">Common and proper</w:t>
        </w:r>
      </w:hyperlink>
      <w:r>
        <w:rPr>
          <w:b w:val="0"/>
          <w:i w:val="0"/>
        </w:rPr>
        <w:t xml:space="preserve">; </w:t>
      </w:r>
      <w:hyperlink w:anchor="contraction-and-determination">
        <w:r>
          <w:rPr>
            <w:color w:val="000000"/>
          </w:rPr>
          <w:t xml:space="preserve">Contraction and determination</w:t>
        </w:r>
      </w:hyperlink>
      <w:r>
        <w:rPr>
          <w:b w:val="0"/>
          <w:i w:val="0"/>
        </w:rPr>
        <w:t xml:space="preserve">; </w:t>
      </w:r>
      <w:hyperlink w:anchor="earth-soul">
        <w:r>
          <w:rPr>
            <w:color w:val="000000"/>
          </w:rPr>
          <w:t xml:space="preserve">Earth soul</w:t>
        </w:r>
      </w:hyperlink>
      <w:r>
        <w:rPr>
          <w:b w:val="0"/>
          <w:i w:val="0"/>
        </w:rPr>
        <w:t xml:space="preserve">; </w:t>
      </w:r>
      <w:hyperlink w:anchor="ideas-and-exemplars">
        <w:r>
          <w:rPr>
            <w:color w:val="000000"/>
          </w:rPr>
          <w:t xml:space="preserve">Ideas and exemplars</w:t>
        </w:r>
      </w:hyperlink>
      <w:r>
        <w:rPr>
          <w:b w:val="0"/>
          <w:i w:val="0"/>
        </w:rPr>
        <w:t xml:space="preserve">; </w:t>
      </w:r>
      <w:hyperlink w:anchor="seeds">
        <w:r>
          <w:rPr>
            <w:color w:val="000000"/>
          </w:rPr>
          <w:t xml:space="preserve">Seeds</w:t>
        </w:r>
      </w:hyperlink>
      <w:r>
        <w:rPr>
          <w:b w:val="0"/>
          <w:i w:val="0"/>
        </w:rPr>
        <w:t xml:space="preserve">; </w:t>
      </w:r>
      <w:hyperlink w:anchor="vine-and-grape-seed">
        <w:r>
          <w:rPr>
            <w:color w:val="000000"/>
          </w:rPr>
          <w:t xml:space="preserve">Vine and grape seed</w:t>
        </w:r>
      </w:hyperlink>
      <w:r>
        <w:rPr>
          <w:b w:val="0"/>
          <w:i w:val="0"/>
        </w:rPr>
        <w:t xml:space="preserve">. Vocabulary: </w:t>
      </w:r>
      <w:hyperlink w:anchor="latin-record-0267">
        <w:r>
          <w:rPr>
            <w:color w:val="000000"/>
          </w:rPr>
          <w:t xml:space="preserve">contrahere</w:t>
        </w:r>
      </w:hyperlink>
      <w:r>
        <w:rPr>
          <w:b w:val="0"/>
          <w:i w:val="0"/>
        </w:rPr>
        <w:t xml:space="preserve">; </w:t>
      </w:r>
      <w:hyperlink w:anchor="latin-record-0335">
        <w:r>
          <w:rPr>
            <w:color w:val="000000"/>
          </w:rPr>
          <w:t xml:space="preserve">disponere</w:t>
        </w:r>
      </w:hyperlink>
      <w:r>
        <w:rPr>
          <w:b w:val="0"/>
          <w:i w:val="0"/>
        </w:rPr>
        <w:t xml:space="preserve">; </w:t>
      </w:r>
      <w:hyperlink w:anchor="latin-record-0735">
        <w:r>
          <w:rPr>
            <w:color w:val="000000"/>
          </w:rPr>
          <w:t xml:space="preserve">musca</w:t>
        </w:r>
      </w:hyperlink>
      <w:r>
        <w:rPr>
          <w:b w:val="0"/>
          <w:i w:val="0"/>
        </w:rPr>
        <w:t xml:space="preserve">; </w:t>
      </w:r>
      <w:hyperlink w:anchor="latin-record-1277">
        <w:r>
          <w:rPr>
            <w:color w:val="000000"/>
          </w:rPr>
          <w:t xml:space="preserve">vitis / vinaceus</w:t>
        </w:r>
      </w:hyperlink>
      <w:r>
        <w:rPr>
          <w:b w:val="0"/>
          <w:i w:val="0"/>
        </w:rPr>
        <w:t>.</w:t>
      </w:r>
    </w:p>
    <w:p>
      <w:pPr>
        <w:widowControl/>
      </w:pPr>
      <w:bookmarkStart w:id="2010" w:name="passage-iv-1-10"/>
      <w:bookmarkEnd w:id="2010"/>
      <w:r>
        <w:rPr>
          <w:b/>
          <w:i w:val="0"/>
        </w:rPr>
        <w:t>IV.1.10</w:t>
      </w:r>
      <w:r>
        <w:rPr>
          <w:b/>
          <w:i w:val="0"/>
        </w:rPr>
        <w:t>, source pp. 286–287.</w:t>
      </w:r>
      <w:r>
        <w:rPr>
          <w:b w:val="0"/>
          <w:i w:val="0"/>
        </w:rPr>
        <w:t xml:space="preserve"> Articles: </w:t>
      </w:r>
      <w:hyperlink w:anchor="art-and-nature">
        <w:r>
          <w:rPr>
            <w:color w:val="000000"/>
          </w:rPr>
          <w:t xml:space="preserve">Art and nature</w:t>
        </w:r>
      </w:hyperlink>
      <w:r>
        <w:rPr>
          <w:b w:val="0"/>
          <w:i w:val="0"/>
        </w:rPr>
        <w:t xml:space="preserve">; </w:t>
      </w:r>
      <w:hyperlink w:anchor="artifact-and-natural-work">
        <w:r>
          <w:rPr>
            <w:color w:val="000000"/>
          </w:rPr>
          <w:t xml:space="preserve">Artifact and natural work</w:t>
        </w:r>
      </w:hyperlink>
      <w:r>
        <w:rPr>
          <w:b w:val="0"/>
          <w:i w:val="0"/>
        </w:rPr>
        <w:t xml:space="preserve">; </w:t>
      </w:r>
      <w:hyperlink w:anchor="carpenter-and-geometer">
        <w:r>
          <w:rPr>
            <w:color w:val="000000"/>
          </w:rPr>
          <w:t xml:space="preserve">Carpenter and geometer</w:t>
        </w:r>
      </w:hyperlink>
      <w:r>
        <w:rPr>
          <w:b w:val="0"/>
          <w:i w:val="0"/>
        </w:rPr>
        <w:t xml:space="preserve">;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w:t>
      </w:r>
      <w:hyperlink w:anchor="proportion-and-analogy">
        <w:r>
          <w:rPr>
            <w:color w:val="000000"/>
          </w:rPr>
          <w:t xml:space="preserve">Proportion and analogy</w:t>
        </w:r>
      </w:hyperlink>
      <w:r>
        <w:rPr>
          <w:b w:val="0"/>
          <w:i w:val="0"/>
        </w:rPr>
        <w:t xml:space="preserve">; </w:t>
      </w:r>
      <w:hyperlink w:anchor="seeds">
        <w:r>
          <w:rPr>
            <w:color w:val="000000"/>
          </w:rPr>
          <w:t xml:space="preserve">Seeds</w:t>
        </w:r>
      </w:hyperlink>
      <w:r>
        <w:rPr>
          <w:b w:val="0"/>
          <w:i w:val="0"/>
        </w:rPr>
        <w:t xml:space="preserve">. Vocabulary: </w:t>
      </w:r>
      <w:hyperlink w:anchor="latin-record-0529">
        <w:r>
          <w:rPr>
            <w:color w:val="000000"/>
          </w:rPr>
          <w:t xml:space="preserve">imitatio / imitari</w:t>
        </w:r>
      </w:hyperlink>
      <w:r>
        <w:rPr>
          <w:b w:val="0"/>
          <w:i w:val="0"/>
        </w:rPr>
        <w:t>.</w:t>
      </w:r>
    </w:p>
    <w:p>
      <w:pPr>
        <w:widowControl/>
      </w:pPr>
      <w:bookmarkStart w:id="2011" w:name="passage-iv-1-11"/>
      <w:bookmarkEnd w:id="2011"/>
      <w:r>
        <w:rPr>
          <w:b/>
          <w:i w:val="0"/>
        </w:rPr>
        <w:t>IV.1.11</w:t>
      </w:r>
      <w:r>
        <w:rPr>
          <w:b/>
          <w:i w:val="0"/>
        </w:rPr>
        <w:t>, source pp. 286–287.</w:t>
      </w:r>
      <w:r>
        <w:rPr>
          <w:b w:val="0"/>
          <w:i w:val="0"/>
        </w:rPr>
        <w:t xml:space="preserve"> Articles: </w:t>
      </w:r>
      <w:hyperlink w:anchor="art-and-nature">
        <w:r>
          <w:rPr>
            <w:color w:val="000000"/>
          </w:rPr>
          <w:t xml:space="preserve">Art and nature</w:t>
        </w:r>
      </w:hyperlink>
      <w:r>
        <w:rPr>
          <w:b w:val="0"/>
          <w:i w:val="0"/>
        </w:rPr>
        <w:t xml:space="preserve">; </w:t>
      </w:r>
      <w:hyperlink w:anchor="artifact-and-natural-work">
        <w:r>
          <w:rPr>
            <w:color w:val="000000"/>
          </w:rPr>
          <w:t xml:space="preserve">Artifact and natural work</w:t>
        </w:r>
      </w:hyperlink>
      <w:r>
        <w:rPr>
          <w:b w:val="0"/>
          <w:i w:val="0"/>
        </w:rPr>
        <w:t xml:space="preserve">; </w:t>
      </w:r>
      <w:hyperlink w:anchor="carpenter-and-geometer">
        <w:r>
          <w:rPr>
            <w:color w:val="000000"/>
          </w:rPr>
          <w:t xml:space="preserve">Carpenter and geometer</w:t>
        </w:r>
      </w:hyperlink>
      <w:r>
        <w:rPr>
          <w:b w:val="0"/>
          <w:i w:val="0"/>
        </w:rPr>
        <w:t xml:space="preserve">; </w:t>
      </w:r>
      <w:hyperlink w:anchor="euclid-and-the-lantern">
        <w:r>
          <w:rPr>
            <w:color w:val="000000"/>
          </w:rPr>
          <w:t xml:space="preserve">Euclid and the lantern</w:t>
        </w:r>
      </w:hyperlink>
      <w:r>
        <w:rPr>
          <w:b w:val="0"/>
          <w:i w:val="0"/>
        </w:rPr>
        <w:t xml:space="preserve">;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proportion-and-analogy">
        <w:r>
          <w:rPr>
            <w:color w:val="000000"/>
          </w:rPr>
          <w:t xml:space="preserve">Proportion and analogy</w:t>
        </w:r>
      </w:hyperlink>
      <w:r>
        <w:rPr>
          <w:b w:val="0"/>
          <w:i w:val="0"/>
        </w:rPr>
        <w:t xml:space="preserve">; </w:t>
      </w:r>
      <w:hyperlink w:anchor="seeds">
        <w:r>
          <w:rPr>
            <w:color w:val="000000"/>
          </w:rPr>
          <w:t xml:space="preserve">Seeds</w:t>
        </w:r>
      </w:hyperlink>
      <w:r>
        <w:rPr>
          <w:b w:val="0"/>
          <w:i w:val="0"/>
        </w:rPr>
        <w:t xml:space="preserve">; </w:t>
      </w:r>
      <w:hyperlink w:anchor="sense-and-imagination">
        <w:r>
          <w:rPr>
            <w:color w:val="000000"/>
          </w:rPr>
          <w:t xml:space="preserve">Sense and imagination</w:t>
        </w:r>
      </w:hyperlink>
      <w:r>
        <w:rPr>
          <w:b w:val="0"/>
          <w:i w:val="0"/>
        </w:rPr>
        <w:t xml:space="preserve">; </w:t>
      </w:r>
      <w:hyperlink w:anchor="spirit">
        <w:r>
          <w:rPr>
            <w:color w:val="000000"/>
          </w:rPr>
          <w:t xml:space="preserve">Spirit</w:t>
        </w:r>
      </w:hyperlink>
      <w:r>
        <w:rPr>
          <w:b w:val="0"/>
          <w:i w:val="0"/>
        </w:rPr>
        <w:t xml:space="preserve">; </w:t>
      </w:r>
      <w:hyperlink w:anchor="surface-and-depth">
        <w:r>
          <w:rPr>
            <w:color w:val="000000"/>
          </w:rPr>
          <w:t xml:space="preserve">Surface and depth</w:t>
        </w:r>
      </w:hyperlink>
      <w:r>
        <w:rPr>
          <w:b w:val="0"/>
          <w:i w:val="0"/>
        </w:rPr>
        <w:t xml:space="preserve">. Vocabulary: </w:t>
      </w:r>
      <w:hyperlink w:anchor="latin-record-0160">
        <w:r>
          <w:rPr>
            <w:color w:val="000000"/>
          </w:rPr>
          <w:t xml:space="preserve">certo / certus</w:t>
        </w:r>
      </w:hyperlink>
      <w:r>
        <w:rPr>
          <w:b w:val="0"/>
          <w:i w:val="0"/>
        </w:rPr>
        <w:t xml:space="preserve">; </w:t>
      </w:r>
      <w:hyperlink w:anchor="latin-record-0252">
        <w:r>
          <w:rPr>
            <w:color w:val="000000"/>
          </w:rPr>
          <w:t xml:space="preserve">consilium / propositum</w:t>
        </w:r>
      </w:hyperlink>
      <w:r>
        <w:rPr>
          <w:b w:val="0"/>
          <w:i w:val="0"/>
        </w:rPr>
        <w:t xml:space="preserve">; </w:t>
      </w:r>
      <w:hyperlink w:anchor="latin-record-0422">
        <w:r>
          <w:rPr>
            <w:color w:val="000000"/>
          </w:rPr>
          <w:t xml:space="preserve">faber lignarius</w:t>
        </w:r>
      </w:hyperlink>
      <w:r>
        <w:rPr>
          <w:b w:val="0"/>
          <w:i w:val="0"/>
        </w:rPr>
        <w:t xml:space="preserve">; </w:t>
      </w:r>
      <w:hyperlink w:anchor="latin-record-0482">
        <w:r>
          <w:rPr>
            <w:color w:val="000000"/>
          </w:rPr>
          <w:t xml:space="preserve">geometra / geometrica mens</w:t>
        </w:r>
      </w:hyperlink>
      <w:r>
        <w:rPr>
          <w:b w:val="0"/>
          <w:i w:val="0"/>
        </w:rPr>
        <w:t xml:space="preserve">; </w:t>
      </w:r>
      <w:hyperlink w:anchor="latin-record-0527">
        <w:r>
          <w:rPr>
            <w:color w:val="000000"/>
          </w:rPr>
          <w:t xml:space="preserve">imbuere</w:t>
        </w:r>
      </w:hyperlink>
      <w:r>
        <w:rPr>
          <w:b w:val="0"/>
          <w:i w:val="0"/>
        </w:rPr>
        <w:t xml:space="preserve">; </w:t>
      </w:r>
      <w:hyperlink w:anchor="latin-record-0982">
        <w:r>
          <w:rPr>
            <w:color w:val="000000"/>
          </w:rPr>
          <w:t xml:space="preserve">pulvis / describere</w:t>
        </w:r>
      </w:hyperlink>
      <w:r>
        <w:rPr>
          <w:b w:val="0"/>
          <w:i w:val="0"/>
        </w:rPr>
        <w:t xml:space="preserve">; </w:t>
      </w:r>
      <w:hyperlink w:anchor="latin-record-1185">
        <w:r>
          <w:rPr>
            <w:color w:val="000000"/>
          </w:rPr>
          <w:t xml:space="preserve">temperare</w:t>
        </w:r>
      </w:hyperlink>
      <w:r>
        <w:rPr>
          <w:b w:val="0"/>
          <w:i w:val="0"/>
        </w:rPr>
        <w:t xml:space="preserve">; </w:t>
      </w:r>
      <w:hyperlink w:anchor="latin-record-1284">
        <w:r>
          <w:rPr>
            <w:color w:val="000000"/>
          </w:rPr>
          <w:t xml:space="preserve">volutare secum</w:t>
        </w:r>
      </w:hyperlink>
      <w:r>
        <w:rPr>
          <w:b w:val="0"/>
          <w:i w:val="0"/>
        </w:rPr>
        <w:t>.</w:t>
      </w:r>
    </w:p>
    <w:p>
      <w:pPr>
        <w:widowControl/>
      </w:pPr>
      <w:bookmarkStart w:id="2012" w:name="passage-iv-1-12"/>
      <w:bookmarkEnd w:id="2012"/>
      <w:r>
        <w:rPr>
          <w:b/>
          <w:i w:val="0"/>
        </w:rPr>
        <w:t>IV.1.12</w:t>
      </w:r>
      <w:r>
        <w:rPr>
          <w:b/>
          <w:i w:val="0"/>
        </w:rPr>
        <w:t>, source pp. 288–289.</w:t>
      </w:r>
      <w:r>
        <w:rPr>
          <w:b w:val="0"/>
          <w:i w:val="0"/>
        </w:rPr>
        <w:t xml:space="preserve"> Articles: </w:t>
      </w:r>
      <w:hyperlink w:anchor="art-and-nature">
        <w:r>
          <w:rPr>
            <w:color w:val="000000"/>
          </w:rPr>
          <w:t xml:space="preserve">Art and nature</w:t>
        </w:r>
      </w:hyperlink>
      <w:r>
        <w:rPr>
          <w:b w:val="0"/>
          <w:i w:val="0"/>
        </w:rPr>
        <w:t xml:space="preserve">; </w:t>
      </w:r>
      <w:hyperlink w:anchor="artifact-and-natural-work">
        <w:r>
          <w:rPr>
            <w:color w:val="000000"/>
          </w:rPr>
          <w:t xml:space="preserve">Artifact and natural work</w:t>
        </w:r>
      </w:hyperlink>
      <w:r>
        <w:rPr>
          <w:b w:val="0"/>
          <w:i w:val="0"/>
        </w:rPr>
        <w:t xml:space="preserve">; </w:t>
      </w:r>
      <w:hyperlink w:anchor="carpenter-and-geometer">
        <w:r>
          <w:rPr>
            <w:color w:val="000000"/>
          </w:rPr>
          <w:t xml:space="preserve">Carpenter and geometer</w:t>
        </w:r>
      </w:hyperlink>
      <w:r>
        <w:rPr>
          <w:b w:val="0"/>
          <w:i w:val="0"/>
        </w:rPr>
        <w:t xml:space="preserve">;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w:t>
      </w:r>
      <w:hyperlink w:anchor="proportion-and-analogy">
        <w:r>
          <w:rPr>
            <w:color w:val="000000"/>
          </w:rPr>
          <w:t xml:space="preserve">Proportion and analogy</w:t>
        </w:r>
      </w:hyperlink>
      <w:r>
        <w:rPr>
          <w:b w:val="0"/>
          <w:i w:val="0"/>
        </w:rPr>
        <w:t xml:space="preserve">; </w:t>
      </w:r>
      <w:hyperlink w:anchor="seeds">
        <w:r>
          <w:rPr>
            <w:color w:val="000000"/>
          </w:rPr>
          <w:t xml:space="preserve">Seeds</w:t>
        </w:r>
      </w:hyperlink>
      <w:r>
        <w:rPr>
          <w:b w:val="0"/>
          <w:i w:val="0"/>
        </w:rPr>
        <w:t xml:space="preserve">; </w:t>
      </w:r>
      <w:hyperlink w:anchor="surface-and-depth">
        <w:r>
          <w:rPr>
            <w:color w:val="000000"/>
          </w:rPr>
          <w:t xml:space="preserve">Surface and depth</w:t>
        </w:r>
      </w:hyperlink>
      <w:r>
        <w:rPr>
          <w:b w:val="0"/>
          <w:i w:val="0"/>
        </w:rPr>
        <w:t xml:space="preserve">. Vocabulary: </w:t>
      </w:r>
      <w:hyperlink w:anchor="latin-record-0097">
        <w:r>
          <w:rPr>
            <w:color w:val="000000"/>
          </w:rPr>
          <w:t xml:space="preserve">artificium / opus</w:t>
        </w:r>
      </w:hyperlink>
      <w:r>
        <w:rPr>
          <w:b w:val="0"/>
          <w:i w:val="0"/>
        </w:rPr>
        <w:t xml:space="preserve">; </w:t>
      </w:r>
      <w:hyperlink w:anchor="latin-record-0160">
        <w:r>
          <w:rPr>
            <w:color w:val="000000"/>
          </w:rPr>
          <w:t xml:space="preserve">certo / certus</w:t>
        </w:r>
      </w:hyperlink>
      <w:r>
        <w:rPr>
          <w:b w:val="0"/>
          <w:i w:val="0"/>
        </w:rPr>
        <w:t xml:space="preserve">; </w:t>
      </w:r>
      <w:hyperlink w:anchor="latin-record-0347">
        <w:r>
          <w:rPr>
            <w:color w:val="000000"/>
          </w:rPr>
          <w:t xml:space="preserve">dominari</w:t>
        </w:r>
      </w:hyperlink>
      <w:r>
        <w:rPr>
          <w:b w:val="0"/>
          <w:i w:val="0"/>
        </w:rPr>
        <w:t xml:space="preserve">; </w:t>
      </w:r>
      <w:hyperlink w:anchor="latin-record-0445">
        <w:r>
          <w:rPr>
            <w:color w:val="000000"/>
          </w:rPr>
          <w:t xml:space="preserve">figere / ponere</w:t>
        </w:r>
      </w:hyperlink>
      <w:r>
        <w:rPr>
          <w:b w:val="0"/>
          <w:i w:val="0"/>
        </w:rPr>
        <w:t>.</w:t>
      </w:r>
    </w:p>
    <w:p>
      <w:pPr>
        <w:widowControl/>
      </w:pPr>
      <w:bookmarkStart w:id="2013" w:name="passage-iv-1-13"/>
      <w:bookmarkEnd w:id="2013"/>
      <w:r>
        <w:rPr>
          <w:b/>
          <w:i w:val="0"/>
        </w:rPr>
        <w:t>IV.1.13</w:t>
      </w:r>
      <w:r>
        <w:rPr>
          <w:b/>
          <w:i w:val="0"/>
        </w:rPr>
        <w:t>, source pp. 288–289.</w:t>
      </w:r>
      <w:r>
        <w:rPr>
          <w:b w:val="0"/>
          <w:i w:val="0"/>
        </w:rPr>
        <w:t xml:space="preserve"> Articles: </w:t>
      </w:r>
      <w:hyperlink w:anchor="art-and-nature">
        <w:r>
          <w:rPr>
            <w:color w:val="000000"/>
          </w:rPr>
          <w:t xml:space="preserve">Art and nature</w:t>
        </w:r>
      </w:hyperlink>
      <w:r>
        <w:rPr>
          <w:b w:val="0"/>
          <w:i w:val="0"/>
        </w:rPr>
        <w:t xml:space="preserve">; </w:t>
      </w:r>
      <w:hyperlink w:anchor="artifact-and-natural-work">
        <w:r>
          <w:rPr>
            <w:color w:val="000000"/>
          </w:rPr>
          <w:t xml:space="preserve">Artifact and natural work</w:t>
        </w:r>
      </w:hyperlink>
      <w:r>
        <w:rPr>
          <w:b w:val="0"/>
          <w:i w:val="0"/>
        </w:rPr>
        <w:t xml:space="preserve">; </w:t>
      </w:r>
      <w:hyperlink w:anchor="carpenter-and-geometer">
        <w:r>
          <w:rPr>
            <w:color w:val="000000"/>
          </w:rPr>
          <w:t xml:space="preserve">Carpenter and geometer</w:t>
        </w:r>
      </w:hyperlink>
      <w:r>
        <w:rPr>
          <w:b w:val="0"/>
          <w:i w:val="0"/>
        </w:rPr>
        <w:t xml:space="preserve">;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w:t>
      </w:r>
      <w:hyperlink w:anchor="seeds">
        <w:r>
          <w:rPr>
            <w:color w:val="000000"/>
          </w:rPr>
          <w:t xml:space="preserve">Seeds</w:t>
        </w:r>
      </w:hyperlink>
      <w:r>
        <w:rPr>
          <w:b w:val="0"/>
          <w:i w:val="0"/>
        </w:rPr>
        <w:t xml:space="preserve">; </w:t>
      </w:r>
      <w:hyperlink w:anchor="surface-and-depth">
        <w:r>
          <w:rPr>
            <w:color w:val="000000"/>
          </w:rPr>
          <w:t xml:space="preserve">Surface and depth</w:t>
        </w:r>
      </w:hyperlink>
      <w:r>
        <w:rPr>
          <w:b w:val="0"/>
          <w:i w:val="0"/>
        </w:rPr>
        <w:t xml:space="preserve">. Vocabulary: </w:t>
      </w:r>
      <w:hyperlink w:anchor="latin-record-0262">
        <w:r>
          <w:rPr>
            <w:color w:val="000000"/>
          </w:rPr>
          <w:t xml:space="preserve">contingens / essentialis</w:t>
        </w:r>
      </w:hyperlink>
      <w:r>
        <w:rPr>
          <w:b w:val="0"/>
          <w:i w:val="0"/>
        </w:rPr>
        <w:t xml:space="preserve">; </w:t>
      </w:r>
      <w:hyperlink w:anchor="latin-record-0377">
        <w:r>
          <w:rPr>
            <w:color w:val="000000"/>
          </w:rPr>
          <w:t xml:space="preserve">eruere / educere</w:t>
        </w:r>
      </w:hyperlink>
      <w:r>
        <w:rPr>
          <w:b w:val="0"/>
          <w:i w:val="0"/>
        </w:rPr>
        <w:t xml:space="preserve">; </w:t>
      </w:r>
      <w:hyperlink w:anchor="latin-record-1173">
        <w:r>
          <w:rPr>
            <w:color w:val="000000"/>
          </w:rPr>
          <w:t xml:space="preserve">superficies / fundus</w:t>
        </w:r>
      </w:hyperlink>
      <w:r>
        <w:rPr>
          <w:b w:val="0"/>
          <w:i w:val="0"/>
        </w:rPr>
        <w:t xml:space="preserve">; </w:t>
      </w:r>
      <w:hyperlink w:anchor="latin-record-1183">
        <w:r>
          <w:rPr>
            <w:color w:val="000000"/>
          </w:rPr>
          <w:t xml:space="preserve">tangere / attingere</w:t>
        </w:r>
      </w:hyperlink>
      <w:r>
        <w:rPr>
          <w:b w:val="0"/>
          <w:i w:val="0"/>
        </w:rPr>
        <w:t>.</w:t>
      </w:r>
    </w:p>
    <w:p>
      <w:pPr>
        <w:widowControl/>
      </w:pPr>
      <w:bookmarkStart w:id="2014" w:name="passage-iv-1-14"/>
      <w:bookmarkEnd w:id="2014"/>
      <w:r>
        <w:rPr>
          <w:b/>
          <w:i w:val="0"/>
        </w:rPr>
        <w:t>IV.1.14</w:t>
      </w:r>
      <w:r>
        <w:rPr>
          <w:b/>
          <w:i w:val="0"/>
        </w:rPr>
        <w:t>, source pp. 288–289.</w:t>
      </w:r>
      <w:r>
        <w:rPr>
          <w:b w:val="0"/>
          <w:i w:val="0"/>
        </w:rPr>
        <w:t xml:space="preserve"> Articles: </w:t>
      </w:r>
      <w:hyperlink w:anchor="generation-and-corruption">
        <w:r>
          <w:rPr>
            <w:color w:val="000000"/>
          </w:rPr>
          <w:t xml:space="preserve">Generation and corruption</w:t>
        </w:r>
      </w:hyperlink>
      <w:r>
        <w:rPr>
          <w:b w:val="0"/>
          <w:i w:val="0"/>
        </w:rPr>
        <w:t xml:space="preserve">; </w:t>
      </w:r>
      <w:hyperlink w:anchor="nourishment-digestion-and-growth">
        <w:r>
          <w:rPr>
            <w:color w:val="000000"/>
          </w:rPr>
          <w:t xml:space="preserve">Nourishment, digestion and growth</w:t>
        </w:r>
      </w:hyperlink>
      <w:r>
        <w:rPr>
          <w:b w:val="0"/>
          <w:i w:val="0"/>
        </w:rPr>
        <w:t xml:space="preserve">; </w:t>
      </w:r>
      <w:hyperlink w:anchor="putrefaction-and-propagation">
        <w:r>
          <w:rPr>
            <w:color w:val="000000"/>
          </w:rPr>
          <w:t xml:space="preserve">Putrefaction and propagation</w:t>
        </w:r>
      </w:hyperlink>
      <w:r>
        <w:rPr>
          <w:b w:val="0"/>
          <w:i w:val="0"/>
        </w:rPr>
        <w:t xml:space="preserve">; </w:t>
      </w:r>
      <w:hyperlink w:anchor="seeds">
        <w:r>
          <w:rPr>
            <w:color w:val="000000"/>
          </w:rPr>
          <w:t xml:space="preserve">Seeds</w:t>
        </w:r>
      </w:hyperlink>
      <w:r>
        <w:rPr>
          <w:b w:val="0"/>
          <w:i w:val="0"/>
        </w:rPr>
        <w:t xml:space="preserve">. Vocabulary: </w:t>
      </w:r>
      <w:hyperlink w:anchor="latin-record-0021">
        <w:r>
          <w:rPr>
            <w:color w:val="000000"/>
          </w:rPr>
          <w:t xml:space="preserve">addere / mittere / omittere</w:t>
        </w:r>
      </w:hyperlink>
      <w:r>
        <w:rPr>
          <w:b w:val="0"/>
          <w:i w:val="0"/>
        </w:rPr>
        <w:t xml:space="preserve">; </w:t>
      </w:r>
      <w:hyperlink w:anchor="latin-record-0459">
        <w:r>
          <w:rPr>
            <w:color w:val="000000"/>
          </w:rPr>
          <w:t xml:space="preserve">fomentum / fovere</w:t>
        </w:r>
      </w:hyperlink>
      <w:r>
        <w:rPr>
          <w:b w:val="0"/>
          <w:i w:val="0"/>
        </w:rPr>
        <w:t xml:space="preserve">; </w:t>
      </w:r>
      <w:hyperlink w:anchor="latin-record-0483">
        <w:r>
          <w:rPr>
            <w:color w:val="000000"/>
          </w:rPr>
          <w:t xml:space="preserve">germen / corporale semen</w:t>
        </w:r>
      </w:hyperlink>
      <w:r>
        <w:rPr>
          <w:b w:val="0"/>
          <w:i w:val="0"/>
        </w:rPr>
        <w:t xml:space="preserve">; </w:t>
      </w:r>
      <w:hyperlink w:anchor="latin-record-0978">
        <w:r>
          <w:rPr>
            <w:color w:val="000000"/>
          </w:rPr>
          <w:t xml:space="preserve">pullulare</w:t>
        </w:r>
      </w:hyperlink>
      <w:r>
        <w:rPr>
          <w:b w:val="0"/>
          <w:i w:val="0"/>
        </w:rPr>
        <w:t xml:space="preserve">; </w:t>
      </w:r>
      <w:hyperlink w:anchor="latin-record-0993">
        <w:r>
          <w:rPr>
            <w:color w:val="000000"/>
          </w:rPr>
          <w:t xml:space="preserve">putrefactio / propagatio</w:t>
        </w:r>
      </w:hyperlink>
      <w:r>
        <w:rPr>
          <w:b w:val="0"/>
          <w:i w:val="0"/>
        </w:rPr>
        <w:t xml:space="preserve">; </w:t>
      </w:r>
      <w:hyperlink w:anchor="latin-record-1098">
        <w:r>
          <w:rPr>
            <w:color w:val="000000"/>
          </w:rPr>
          <w:t xml:space="preserve">serere / plantare</w:t>
        </w:r>
      </w:hyperlink>
      <w:r>
        <w:rPr>
          <w:b w:val="0"/>
          <w:i w:val="0"/>
        </w:rPr>
        <w:t>.</w:t>
      </w:r>
    </w:p>
    <w:p>
      <w:pPr>
        <w:widowControl/>
      </w:pPr>
      <w:bookmarkStart w:id="2015" w:name="passage-iv-1-15"/>
      <w:bookmarkEnd w:id="2015"/>
      <w:r>
        <w:rPr>
          <w:b/>
          <w:i w:val="0"/>
        </w:rPr>
        <w:t>IV.1.15</w:t>
      </w:r>
      <w:r>
        <w:rPr>
          <w:b/>
          <w:i w:val="0"/>
        </w:rPr>
        <w:t>, source pp. 288–289.</w:t>
      </w:r>
      <w:r>
        <w:rPr>
          <w:b w:val="0"/>
          <w:i w:val="0"/>
        </w:rPr>
        <w:t xml:space="preserve"> Articles: </w:t>
      </w:r>
      <w:hyperlink w:anchor="act-and-operation">
        <w:r>
          <w:rPr>
            <w:color w:val="000000"/>
          </w:rPr>
          <w:t xml:space="preserve">Act and operation</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nourishment-digestion-and-growth">
        <w:r>
          <w:rPr>
            <w:color w:val="000000"/>
          </w:rPr>
          <w:t xml:space="preserve">Nourishment, digestion and growth</w:t>
        </w:r>
      </w:hyperlink>
      <w:r>
        <w:rPr>
          <w:b w:val="0"/>
          <w:i w:val="0"/>
        </w:rPr>
        <w:t xml:space="preserve">; </w:t>
      </w:r>
      <w:hyperlink w:anchor="putrefaction-and-propagation">
        <w:r>
          <w:rPr>
            <w:color w:val="000000"/>
          </w:rPr>
          <w:t xml:space="preserve">Putrefaction and propagation</w:t>
        </w:r>
      </w:hyperlink>
      <w:r>
        <w:rPr>
          <w:b w:val="0"/>
          <w:i w:val="0"/>
        </w:rPr>
        <w:t xml:space="preserve">; </w:t>
      </w:r>
      <w:hyperlink w:anchor="seeds">
        <w:r>
          <w:rPr>
            <w:color w:val="000000"/>
          </w:rPr>
          <w:t xml:space="preserve">Seeds</w:t>
        </w:r>
      </w:hyperlink>
      <w:r>
        <w:rPr>
          <w:b w:val="0"/>
          <w:i w:val="0"/>
        </w:rPr>
        <w:t xml:space="preserve">. Vocabulary: </w:t>
      </w:r>
      <w:hyperlink w:anchor="latin-record-0749">
        <w:r>
          <w:rPr>
            <w:color w:val="000000"/>
          </w:rPr>
          <w:t xml:space="preserve">necessitas / oportere</w:t>
        </w:r>
      </w:hyperlink>
      <w:r>
        <w:rPr>
          <w:b w:val="0"/>
          <w:i w:val="0"/>
        </w:rPr>
        <w:t xml:space="preserve">; </w:t>
      </w:r>
      <w:hyperlink w:anchor="latin-record-0855">
        <w:r>
          <w:rPr>
            <w:color w:val="000000"/>
          </w:rPr>
          <w:t xml:space="preserve">perducere in actum</w:t>
        </w:r>
      </w:hyperlink>
      <w:r>
        <w:rPr>
          <w:b w:val="0"/>
          <w:i w:val="0"/>
        </w:rPr>
        <w:t>.</w:t>
      </w:r>
    </w:p>
    <w:p>
      <w:pPr>
        <w:widowControl/>
      </w:pPr>
      <w:bookmarkStart w:id="2016" w:name="passage-iv-1-16"/>
      <w:bookmarkEnd w:id="2016"/>
      <w:r>
        <w:rPr>
          <w:b/>
          <w:i w:val="0"/>
        </w:rPr>
        <w:t>IV.1.16</w:t>
      </w:r>
      <w:r>
        <w:rPr>
          <w:b/>
          <w:i w:val="0"/>
        </w:rPr>
        <w:t>, source pp. 290–291.</w:t>
      </w:r>
      <w:r>
        <w:rPr>
          <w:b w:val="0"/>
          <w:i w:val="0"/>
        </w:rPr>
        <w:t xml:space="preserve"> Articles: </w:t>
      </w:r>
      <w:hyperlink w:anchor="generation-and-corruption">
        <w:r>
          <w:rPr>
            <w:color w:val="000000"/>
          </w:rPr>
          <w:t xml:space="preserve">Generation and corruption</w:t>
        </w:r>
      </w:hyperlink>
      <w:r>
        <w:rPr>
          <w:b w:val="0"/>
          <w:i w:val="0"/>
        </w:rPr>
        <w:t xml:space="preserve">; </w:t>
      </w:r>
      <w:hyperlink w:anchor="nourishment-digestion-and-growth">
        <w:r>
          <w:rPr>
            <w:color w:val="000000"/>
          </w:rPr>
          <w:t xml:space="preserve">Nourishment, digestion and growth</w:t>
        </w:r>
      </w:hyperlink>
      <w:r>
        <w:rPr>
          <w:b w:val="0"/>
          <w:i w:val="0"/>
        </w:rPr>
        <w:t xml:space="preserve">; </w:t>
      </w:r>
      <w:hyperlink w:anchor="putrefaction-and-propagation">
        <w:r>
          <w:rPr>
            <w:color w:val="000000"/>
          </w:rPr>
          <w:t xml:space="preserve">Putrefaction and propagation</w:t>
        </w:r>
      </w:hyperlink>
      <w:r>
        <w:rPr>
          <w:b w:val="0"/>
          <w:i w:val="0"/>
        </w:rPr>
        <w:t xml:space="preserve">; </w:t>
      </w:r>
      <w:hyperlink w:anchor="seeds">
        <w:r>
          <w:rPr>
            <w:color w:val="000000"/>
          </w:rPr>
          <w:t xml:space="preserve">Seeds</w:t>
        </w:r>
      </w:hyperlink>
      <w:r>
        <w:rPr>
          <w:b w:val="0"/>
          <w:i w:val="0"/>
        </w:rPr>
        <w:t xml:space="preserve">; </w:t>
      </w:r>
      <w:hyperlink w:anchor="spirit">
        <w:r>
          <w:rPr>
            <w:color w:val="000000"/>
          </w:rPr>
          <w:t xml:space="preserve">Spirit</w:t>
        </w:r>
      </w:hyperlink>
      <w:r>
        <w:rPr>
          <w:b w:val="0"/>
          <w:i w:val="0"/>
        </w:rPr>
        <w:t xml:space="preserve">; </w:t>
      </w:r>
      <w:hyperlink w:anchor="vine-and-grape-seed">
        <w:r>
          <w:rPr>
            <w:color w:val="000000"/>
          </w:rPr>
          <w:t xml:space="preserve">Vine and grape seed</w:t>
        </w:r>
      </w:hyperlink>
      <w:r>
        <w:rPr>
          <w:b w:val="0"/>
          <w:i w:val="0"/>
        </w:rPr>
        <w:t xml:space="preserve">. Vocabulary: </w:t>
      </w:r>
      <w:hyperlink w:anchor="latin-record-0459">
        <w:r>
          <w:rPr>
            <w:color w:val="000000"/>
          </w:rPr>
          <w:t xml:space="preserve">fomentum / fovere</w:t>
        </w:r>
      </w:hyperlink>
      <w:r>
        <w:rPr>
          <w:b w:val="0"/>
          <w:i w:val="0"/>
        </w:rPr>
        <w:t xml:space="preserve">; </w:t>
      </w:r>
      <w:hyperlink w:anchor="latin-record-0561">
        <w:r>
          <w:rPr>
            <w:color w:val="000000"/>
          </w:rPr>
          <w:t xml:space="preserve">inesse / adesse / insitus</w:t>
        </w:r>
      </w:hyperlink>
      <w:r>
        <w:rPr>
          <w:b w:val="0"/>
          <w:i w:val="0"/>
        </w:rPr>
        <w:t xml:space="preserve">; </w:t>
      </w:r>
      <w:hyperlink w:anchor="latin-record-1131">
        <w:r>
          <w:rPr>
            <w:color w:val="000000"/>
          </w:rPr>
          <w:t xml:space="preserve">spiritalia et vivifica semina</w:t>
        </w:r>
      </w:hyperlink>
      <w:r>
        <w:rPr>
          <w:b w:val="0"/>
          <w:i w:val="0"/>
        </w:rPr>
        <w:t>.</w:t>
      </w:r>
    </w:p>
    <w:p>
      <w:pPr>
        <w:widowControl/>
      </w:pPr>
      <w:bookmarkStart w:id="2017" w:name="passage-iv-1-17"/>
      <w:bookmarkEnd w:id="2017"/>
      <w:r>
        <w:rPr>
          <w:b/>
          <w:i w:val="0"/>
        </w:rPr>
        <w:t>IV.1.17</w:t>
      </w:r>
      <w:r>
        <w:rPr>
          <w:b/>
          <w:i w:val="0"/>
        </w:rPr>
        <w:t>, source pp. 290–291.</w:t>
      </w:r>
      <w:r>
        <w:rPr>
          <w:b w:val="0"/>
          <w:i w:val="0"/>
        </w:rPr>
        <w:t xml:space="preserve"> Articles: </w:t>
      </w:r>
      <w:hyperlink w:anchor="generation-and-corruption">
        <w:r>
          <w:rPr>
            <w:color w:val="000000"/>
          </w:rPr>
          <w:t xml:space="preserve">Generation and corruption</w:t>
        </w:r>
      </w:hyperlink>
      <w:r>
        <w:rPr>
          <w:b w:val="0"/>
          <w:i w:val="0"/>
        </w:rPr>
        <w:t xml:space="preserve">; </w:t>
      </w:r>
      <w:hyperlink w:anchor="ideas-and-exemplars">
        <w:r>
          <w:rPr>
            <w:color w:val="000000"/>
          </w:rPr>
          <w:t xml:space="preserve">Ideas and exemplars</w:t>
        </w:r>
      </w:hyperlink>
      <w:r>
        <w:rPr>
          <w:b w:val="0"/>
          <w:i w:val="0"/>
        </w:rPr>
        <w:t xml:space="preserve">; </w:t>
      </w:r>
      <w:hyperlink w:anchor="seeds">
        <w:r>
          <w:rPr>
            <w:color w:val="000000"/>
          </w:rPr>
          <w:t xml:space="preserve">Seeds</w:t>
        </w:r>
      </w:hyperlink>
      <w:r>
        <w:rPr>
          <w:b w:val="0"/>
          <w:i w:val="0"/>
        </w:rPr>
        <w:t xml:space="preserve">; </w:t>
      </w:r>
      <w:hyperlink w:anchor="vine-and-grape-seed">
        <w:r>
          <w:rPr>
            <w:color w:val="000000"/>
          </w:rPr>
          <w:t xml:space="preserve">Vine and grape seed</w:t>
        </w:r>
      </w:hyperlink>
      <w:r>
        <w:rPr>
          <w:b w:val="0"/>
          <w:i w:val="0"/>
        </w:rPr>
        <w:t xml:space="preserve">. Vocabulary: </w:t>
      </w:r>
      <w:hyperlink w:anchor="latin-record-0994">
        <w:r>
          <w:rPr>
            <w:color w:val="000000"/>
          </w:rPr>
          <w:t xml:space="preserve">putridus / vilis / pretiosus</w:t>
        </w:r>
      </w:hyperlink>
      <w:r>
        <w:rPr>
          <w:b w:val="0"/>
          <w:i w:val="0"/>
        </w:rPr>
        <w:t xml:space="preserve">; </w:t>
      </w:r>
      <w:hyperlink w:anchor="latin-record-1277">
        <w:r>
          <w:rPr>
            <w:color w:val="000000"/>
          </w:rPr>
          <w:t xml:space="preserve">vitis / vinaceus</w:t>
        </w:r>
      </w:hyperlink>
      <w:r>
        <w:rPr>
          <w:b w:val="0"/>
          <w:i w:val="0"/>
        </w:rPr>
        <w:t>.</w:t>
      </w:r>
    </w:p>
    <w:p>
      <w:pPr>
        <w:widowControl/>
      </w:pPr>
      <w:bookmarkStart w:id="2018" w:name="passage-iv-1-18"/>
      <w:bookmarkEnd w:id="2018"/>
      <w:r>
        <w:rPr>
          <w:b/>
          <w:i w:val="0"/>
        </w:rPr>
        <w:t>IV.1.18</w:t>
      </w:r>
      <w:r>
        <w:rPr>
          <w:b/>
          <w:i w:val="0"/>
        </w:rPr>
        <w:t>, source pp. 290–291.</w:t>
      </w:r>
      <w:r>
        <w:rPr>
          <w:b w:val="0"/>
          <w:i w:val="0"/>
        </w:rPr>
        <w:t xml:space="preserve"> Articles: </w:t>
      </w:r>
      <w:hyperlink w:anchor="generation-and-corruption">
        <w:r>
          <w:rPr>
            <w:color w:val="000000"/>
          </w:rPr>
          <w:t xml:space="preserve">Generation and corruption</w:t>
        </w:r>
      </w:hyperlink>
      <w:r>
        <w:rPr>
          <w:b w:val="0"/>
          <w:i w:val="0"/>
        </w:rPr>
        <w:t xml:space="preserve">; </w:t>
      </w:r>
      <w:hyperlink w:anchor="seeds">
        <w:r>
          <w:rPr>
            <w:color w:val="000000"/>
          </w:rPr>
          <w:t xml:space="preserve">Seeds</w:t>
        </w:r>
      </w:hyperlink>
      <w:r>
        <w:rPr>
          <w:b w:val="0"/>
          <w:i w:val="0"/>
        </w:rPr>
        <w:t xml:space="preserve">; </w:t>
      </w:r>
      <w:hyperlink w:anchor="surface-and-depth">
        <w:r>
          <w:rPr>
            <w:color w:val="000000"/>
          </w:rPr>
          <w:t xml:space="preserve">Surface and depth</w:t>
        </w:r>
      </w:hyperlink>
      <w:r>
        <w:rPr>
          <w:b w:val="0"/>
          <w:i w:val="0"/>
        </w:rPr>
        <w:t xml:space="preserve">. Vocabulary: </w:t>
      </w:r>
      <w:hyperlink w:anchor="latin-record-0377">
        <w:r>
          <w:rPr>
            <w:color w:val="000000"/>
          </w:rPr>
          <w:t xml:space="preserve">eruere / educere</w:t>
        </w:r>
      </w:hyperlink>
      <w:r>
        <w:rPr>
          <w:b w:val="0"/>
          <w:i w:val="0"/>
        </w:rPr>
        <w:t xml:space="preserve">; </w:t>
      </w:r>
      <w:hyperlink w:anchor="latin-record-0847">
        <w:r>
          <w:rPr>
            <w:color w:val="000000"/>
          </w:rPr>
          <w:t xml:space="preserve">penetrare</w:t>
        </w:r>
      </w:hyperlink>
      <w:r>
        <w:rPr>
          <w:b w:val="0"/>
          <w:i w:val="0"/>
        </w:rPr>
        <w:t xml:space="preserve">; </w:t>
      </w:r>
      <w:hyperlink w:anchor="latin-record-1227">
        <w:r>
          <w:rPr>
            <w:color w:val="000000"/>
          </w:rPr>
          <w:t xml:space="preserve">urere / frigefacere</w:t>
        </w:r>
      </w:hyperlink>
      <w:r>
        <w:rPr>
          <w:b w:val="0"/>
          <w:i w:val="0"/>
        </w:rPr>
        <w:t>.</w:t>
      </w:r>
    </w:p>
    <w:p>
      <w:pPr>
        <w:widowControl/>
      </w:pPr>
      <w:bookmarkStart w:id="2019" w:name="passage-iv-1-19"/>
      <w:bookmarkEnd w:id="2019"/>
      <w:r>
        <w:rPr>
          <w:b/>
          <w:i w:val="0"/>
        </w:rPr>
        <w:t>IV.1.19</w:t>
      </w:r>
      <w:r>
        <w:rPr>
          <w:b/>
          <w:i w:val="0"/>
        </w:rPr>
        <w:t>, source pp. 290–291.</w:t>
      </w:r>
      <w:r>
        <w:rPr>
          <w:b w:val="0"/>
          <w:i w:val="0"/>
        </w:rPr>
        <w:t xml:space="preserve"> Articles: </w:t>
      </w:r>
      <w:hyperlink w:anchor="act-and-operation">
        <w:r>
          <w:rPr>
            <w:color w:val="000000"/>
          </w:rPr>
          <w:t xml:space="preserve">Act and operation</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hierobotanum-and-mineral-powers">
        <w:r>
          <w:rPr>
            <w:color w:val="000000"/>
          </w:rPr>
          <w:t xml:space="preserve">Hierobotanum and mineral powers</w:t>
        </w:r>
      </w:hyperlink>
      <w:r>
        <w:rPr>
          <w:b w:val="0"/>
          <w:i w:val="0"/>
        </w:rPr>
        <w:t xml:space="preserve">; </w:t>
      </w:r>
      <w:hyperlink w:anchor="power-and-potency">
        <w:r>
          <w:rPr>
            <w:color w:val="000000"/>
          </w:rPr>
          <w:t xml:space="preserve">Power and potency</w:t>
        </w:r>
      </w:hyperlink>
      <w:r>
        <w:rPr>
          <w:b w:val="0"/>
          <w:i w:val="0"/>
        </w:rPr>
        <w:t xml:space="preserve">; </w:t>
      </w:r>
      <w:hyperlink w:anchor="seeds">
        <w:r>
          <w:rPr>
            <w:color w:val="000000"/>
          </w:rPr>
          <w:t xml:space="preserve">Seeds</w:t>
        </w:r>
      </w:hyperlink>
      <w:r>
        <w:rPr>
          <w:b w:val="0"/>
          <w:i w:val="0"/>
        </w:rPr>
        <w:t xml:space="preserve">; </w:t>
      </w:r>
      <w:hyperlink w:anchor="substance-and-accident">
        <w:r>
          <w:rPr>
            <w:color w:val="000000"/>
          </w:rPr>
          <w:t xml:space="preserve">Substance and accident</w:t>
        </w:r>
      </w:hyperlink>
      <w:r>
        <w:rPr>
          <w:b w:val="0"/>
          <w:i w:val="0"/>
        </w:rPr>
        <w:t xml:space="preserve">; </w:t>
      </w:r>
      <w:hyperlink w:anchor="surface-and-depth">
        <w:r>
          <w:rPr>
            <w:color w:val="000000"/>
          </w:rPr>
          <w:t xml:space="preserve">Surface and depth</w:t>
        </w:r>
      </w:hyperlink>
      <w:r>
        <w:rPr>
          <w:b w:val="0"/>
          <w:i w:val="0"/>
        </w:rPr>
        <w:t xml:space="preserve">. Vocabulary: </w:t>
      </w:r>
      <w:hyperlink w:anchor="latin-record-0185">
        <w:r>
          <w:rPr>
            <w:color w:val="000000"/>
          </w:rPr>
          <w:t xml:space="preserve">collisio</w:t>
        </w:r>
      </w:hyperlink>
      <w:r>
        <w:rPr>
          <w:b w:val="0"/>
          <w:i w:val="0"/>
        </w:rPr>
        <w:t xml:space="preserve">; </w:t>
      </w:r>
      <w:hyperlink w:anchor="latin-record-0232">
        <w:r>
          <w:rPr>
            <w:color w:val="000000"/>
          </w:rPr>
          <w:t xml:space="preserve">conferre / conducere</w:t>
        </w:r>
      </w:hyperlink>
      <w:r>
        <w:rPr>
          <w:b w:val="0"/>
          <w:i w:val="0"/>
        </w:rPr>
        <w:t xml:space="preserve">; </w:t>
      </w:r>
      <w:hyperlink w:anchor="latin-record-0431">
        <w:r>
          <w:rPr>
            <w:color w:val="000000"/>
          </w:rPr>
          <w:t xml:space="preserve">fascinare / roborare</w:t>
        </w:r>
      </w:hyperlink>
      <w:r>
        <w:rPr>
          <w:b w:val="0"/>
          <w:i w:val="0"/>
        </w:rPr>
        <w:t xml:space="preserve">; </w:t>
      </w:r>
      <w:hyperlink w:anchor="latin-record-0703">
        <w:r>
          <w:rPr>
            <w:color w:val="000000"/>
          </w:rPr>
          <w:t xml:space="preserve">mirari / mirabilis</w:t>
        </w:r>
      </w:hyperlink>
      <w:r>
        <w:rPr>
          <w:b w:val="0"/>
          <w:i w:val="0"/>
        </w:rPr>
        <w:t xml:space="preserve">; </w:t>
      </w:r>
      <w:hyperlink w:anchor="latin-record-1253">
        <w:r>
          <w:rPr>
            <w:color w:val="000000"/>
          </w:rPr>
          <w:t xml:space="preserve">vicem gerere</w:t>
        </w:r>
      </w:hyperlink>
      <w:r>
        <w:rPr>
          <w:b w:val="0"/>
          <w:i w:val="0"/>
        </w:rPr>
        <w:t>.</w:t>
      </w:r>
    </w:p>
    <w:p>
      <w:pPr>
        <w:widowControl/>
      </w:pPr>
      <w:bookmarkStart w:id="2020" w:name="passage-iv-1-20"/>
      <w:bookmarkEnd w:id="2020"/>
      <w:r>
        <w:rPr>
          <w:b/>
          <w:i w:val="0"/>
        </w:rPr>
        <w:t>IV.1.20</w:t>
      </w:r>
      <w:r>
        <w:rPr>
          <w:b/>
          <w:i w:val="0"/>
        </w:rPr>
        <w:t>, source pp. 292–293.</w:t>
      </w:r>
      <w:r>
        <w:rPr>
          <w:b w:val="0"/>
          <w:i w:val="0"/>
        </w:rPr>
        <w:t xml:space="preserve"> Articles: </w:t>
      </w:r>
      <w:hyperlink w:anchor="hermetic-theologians-and-the-magi">
        <w:r>
          <w:rPr>
            <w:color w:val="000000"/>
          </w:rPr>
          <w:t xml:space="preserve">Hermetic theologians and the Magi</w:t>
        </w:r>
      </w:hyperlink>
      <w:r>
        <w:rPr>
          <w:b w:val="0"/>
          <w:i w:val="0"/>
        </w:rPr>
        <w:t xml:space="preserve">; </w:t>
      </w:r>
      <w:hyperlink w:anchor="hidden-mover-and-magnet">
        <w:r>
          <w:rPr>
            <w:color w:val="000000"/>
          </w:rPr>
          <w:t xml:space="preserve">Hidden mover and magnet</w:t>
        </w:r>
      </w:hyperlink>
      <w:r>
        <w:rPr>
          <w:b w:val="0"/>
          <w:i w:val="0"/>
        </w:rPr>
        <w:t xml:space="preserve">; </w:t>
      </w:r>
      <w:hyperlink w:anchor="hierobotanum-and-mineral-powers">
        <w:r>
          <w:rPr>
            <w:color w:val="000000"/>
          </w:rPr>
          <w:t xml:space="preserve">Hierobotanum and mineral powers</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012">
        <w:r>
          <w:rPr>
            <w:color w:val="000000"/>
          </w:rPr>
          <w:t xml:space="preserve">Achates / adamas</w:t>
        </w:r>
      </w:hyperlink>
      <w:r>
        <w:rPr>
          <w:b w:val="0"/>
          <w:i w:val="0"/>
        </w:rPr>
        <w:t xml:space="preserve">; </w:t>
      </w:r>
      <w:hyperlink w:anchor="latin-record-0459">
        <w:r>
          <w:rPr>
            <w:color w:val="000000"/>
          </w:rPr>
          <w:t xml:space="preserve">fomentum / fovere</w:t>
        </w:r>
      </w:hyperlink>
      <w:r>
        <w:rPr>
          <w:b w:val="0"/>
          <w:i w:val="0"/>
        </w:rPr>
        <w:t xml:space="preserve">; </w:t>
      </w:r>
      <w:hyperlink w:anchor="latin-record-0513">
        <w:r>
          <w:rPr>
            <w:color w:val="000000"/>
          </w:rPr>
          <w:t xml:space="preserve">hierobotanum</w:t>
        </w:r>
      </w:hyperlink>
      <w:r>
        <w:rPr>
          <w:b w:val="0"/>
          <w:i w:val="0"/>
        </w:rPr>
        <w:t xml:space="preserve">; </w:t>
      </w:r>
      <w:hyperlink w:anchor="latin-record-0788">
        <w:r>
          <w:rPr>
            <w:color w:val="000000"/>
          </w:rPr>
          <w:t xml:space="preserve">obtundere / fecundia</w:t>
        </w:r>
      </w:hyperlink>
      <w:r>
        <w:rPr>
          <w:b w:val="0"/>
          <w:i w:val="0"/>
        </w:rPr>
        <w:t xml:space="preserve">; </w:t>
      </w:r>
      <w:hyperlink w:anchor="latin-record-0919">
        <w:r>
          <w:rPr>
            <w:color w:val="000000"/>
          </w:rPr>
          <w:t xml:space="preserve">praestare</w:t>
        </w:r>
      </w:hyperlink>
      <w:r>
        <w:rPr>
          <w:b w:val="0"/>
          <w:i w:val="0"/>
        </w:rPr>
        <w:t>.</w:t>
      </w:r>
    </w:p>
    <w:p>
      <w:pPr>
        <w:widowControl/>
      </w:pPr>
      <w:bookmarkStart w:id="2021" w:name="passage-iv-1-21"/>
      <w:bookmarkEnd w:id="2021"/>
      <w:r>
        <w:rPr>
          <w:b/>
          <w:i w:val="0"/>
        </w:rPr>
        <w:t>IV.1.21</w:t>
      </w:r>
      <w:r>
        <w:rPr>
          <w:b/>
          <w:i w:val="0"/>
        </w:rPr>
        <w:t>, source pp. 292–293.</w:t>
      </w:r>
      <w:r>
        <w:rPr>
          <w:b w:val="0"/>
          <w:i w:val="0"/>
        </w:rPr>
        <w:t xml:space="preserve"> Articles: </w:t>
      </w:r>
      <w:hyperlink w:anchor="hierobotanum-and-mineral-powers">
        <w:r>
          <w:rPr>
            <w:color w:val="000000"/>
          </w:rPr>
          <w:t xml:space="preserve">Hierobotanum and mineral powers</w:t>
        </w:r>
      </w:hyperlink>
      <w:r>
        <w:rPr>
          <w:b w:val="0"/>
          <w:i w:val="0"/>
        </w:rPr>
        <w:t xml:space="preserve">; </w:t>
      </w:r>
      <w:hyperlink w:anchor="power-and-potency">
        <w:r>
          <w:rPr>
            <w:color w:val="000000"/>
          </w:rPr>
          <w:t xml:space="preserve">Power and potency</w:t>
        </w:r>
      </w:hyperlink>
      <w:r>
        <w:rPr>
          <w:b w:val="0"/>
          <w:i w:val="0"/>
        </w:rPr>
        <w:t xml:space="preserve">. Vocabulary: </w:t>
      </w:r>
      <w:hyperlink w:anchor="latin-record-0279">
        <w:r>
          <w:rPr>
            <w:color w:val="000000"/>
          </w:rPr>
          <w:t xml:space="preserve">Corneola / Onyx / Corallus</w:t>
        </w:r>
      </w:hyperlink>
      <w:r>
        <w:rPr>
          <w:b w:val="0"/>
          <w:i w:val="0"/>
        </w:rPr>
        <w:t xml:space="preserve">; </w:t>
      </w:r>
      <w:hyperlink w:anchor="latin-record-0696">
        <w:r>
          <w:rPr>
            <w:color w:val="000000"/>
          </w:rPr>
          <w:t xml:space="preserve">Metrodorus / Zoroaster</w:t>
        </w:r>
      </w:hyperlink>
      <w:r>
        <w:rPr>
          <w:b w:val="0"/>
          <w:i w:val="0"/>
        </w:rPr>
        <w:t xml:space="preserve">; </w:t>
      </w:r>
      <w:hyperlink w:anchor="latin-record-0919">
        <w:r>
          <w:rPr>
            <w:color w:val="000000"/>
          </w:rPr>
          <w:t xml:space="preserve">praestare</w:t>
        </w:r>
      </w:hyperlink>
      <w:r>
        <w:rPr>
          <w:b w:val="0"/>
          <w:i w:val="0"/>
        </w:rPr>
        <w:t xml:space="preserve">; </w:t>
      </w:r>
      <w:hyperlink w:anchor="latin-record-1114">
        <w:r>
          <w:rPr>
            <w:color w:val="000000"/>
          </w:rPr>
          <w:t xml:space="preserve">sistere / mitigare / repellere</w:t>
        </w:r>
      </w:hyperlink>
      <w:r>
        <w:rPr>
          <w:b w:val="0"/>
          <w:i w:val="0"/>
        </w:rPr>
        <w:t>.</w:t>
      </w:r>
    </w:p>
    <w:p>
      <w:pPr>
        <w:widowControl/>
      </w:pPr>
      <w:bookmarkStart w:id="2022" w:name="passage-iv-1-22"/>
      <w:bookmarkEnd w:id="2022"/>
      <w:r>
        <w:rPr>
          <w:b/>
          <w:i w:val="0"/>
        </w:rPr>
        <w:t>IV.1.22</w:t>
      </w:r>
      <w:r>
        <w:rPr>
          <w:b/>
          <w:i w:val="0"/>
        </w:rPr>
        <w:t>, source pp. 292–293.</w:t>
      </w:r>
      <w:r>
        <w:rPr>
          <w:b w:val="0"/>
          <w:i w:val="0"/>
        </w:rPr>
        <w:t xml:space="preserve"> Articles: </w:t>
      </w:r>
      <w:hyperlink w:anchor="hierobotanum-and-mineral-powers">
        <w:r>
          <w:rPr>
            <w:color w:val="000000"/>
          </w:rPr>
          <w:t xml:space="preserve">Hierobotanum and mineral powers</w:t>
        </w:r>
      </w:hyperlink>
      <w:r>
        <w:rPr>
          <w:b w:val="0"/>
          <w:i w:val="0"/>
        </w:rPr>
        <w:t xml:space="preserve">; </w:t>
      </w:r>
      <w:hyperlink w:anchor="indwelling-and-presence">
        <w:r>
          <w:rPr>
            <w:color w:val="000000"/>
          </w:rPr>
          <w:t xml:space="preserve">Indwelling and presence</w:t>
        </w:r>
      </w:hyperlink>
      <w:r>
        <w:rPr>
          <w:b w:val="0"/>
          <w:i w:val="0"/>
        </w:rPr>
        <w:t xml:space="preserve">; </w:t>
      </w:r>
      <w:hyperlink w:anchor="life">
        <w:r>
          <w:rPr>
            <w:color w:val="000000"/>
          </w:rPr>
          <w:t xml:space="preserve">Life</w:t>
        </w:r>
      </w:hyperlink>
      <w:r>
        <w:rPr>
          <w:b w:val="0"/>
          <w:i w:val="0"/>
        </w:rPr>
        <w:t xml:space="preserve">; </w:t>
      </w:r>
      <w:hyperlink w:anchor="power-and-potency">
        <w:r>
          <w:rPr>
            <w:color w:val="000000"/>
          </w:rPr>
          <w:t xml:space="preserve">Power and potency</w:t>
        </w:r>
      </w:hyperlink>
      <w:r>
        <w:rPr>
          <w:b w:val="0"/>
          <w:i w:val="0"/>
        </w:rPr>
        <w:t xml:space="preserve">; </w:t>
      </w:r>
      <w:hyperlink w:anchor="strato-chrysippus-and-almariani">
        <w:r>
          <w:rPr>
            <w:color w:val="000000"/>
          </w:rPr>
          <w:t xml:space="preserve">Strato, Chrysippus, and the Almariani</w:t>
        </w:r>
      </w:hyperlink>
      <w:r>
        <w:rPr>
          <w:b w:val="0"/>
          <w:i w:val="0"/>
        </w:rPr>
        <w:t xml:space="preserve">; </w:t>
      </w:r>
      <w:hyperlink w:anchor="world-soul">
        <w:r>
          <w:rPr>
            <w:color w:val="000000"/>
          </w:rPr>
          <w:t xml:space="preserve">World soul</w:t>
        </w:r>
      </w:hyperlink>
      <w:r>
        <w:rPr>
          <w:b w:val="0"/>
          <w:i w:val="0"/>
        </w:rPr>
        <w:t xml:space="preserve">. Vocabulary: </w:t>
      </w:r>
      <w:hyperlink w:anchor="latin-record-0233">
        <w:r>
          <w:rPr>
            <w:color w:val="000000"/>
          </w:rPr>
          <w:t xml:space="preserve">confiteri / asseverare</w:t>
        </w:r>
      </w:hyperlink>
      <w:r>
        <w:rPr>
          <w:b w:val="0"/>
          <w:i w:val="0"/>
        </w:rPr>
        <w:t xml:space="preserve">; </w:t>
      </w:r>
      <w:hyperlink w:anchor="latin-record-0753">
        <w:r>
          <w:rPr>
            <w:color w:val="000000"/>
          </w:rPr>
          <w:t xml:space="preserve">negare</w:t>
        </w:r>
      </w:hyperlink>
      <w:r>
        <w:rPr>
          <w:b w:val="0"/>
          <w:i w:val="0"/>
        </w:rPr>
        <w:t xml:space="preserve">; </w:t>
      </w:r>
      <w:hyperlink w:anchor="latin-record-1145">
        <w:r>
          <w:rPr>
            <w:color w:val="000000"/>
          </w:rPr>
          <w:t xml:space="preserve">Strato / Chrysippus</w:t>
        </w:r>
      </w:hyperlink>
      <w:r>
        <w:rPr>
          <w:b w:val="0"/>
          <w:i w:val="0"/>
        </w:rPr>
        <w:t>.</w:t>
      </w:r>
    </w:p>
    <w:p>
      <w:pPr>
        <w:widowControl/>
      </w:pPr>
      <w:bookmarkStart w:id="2023" w:name="passage-iv-1-23"/>
      <w:bookmarkEnd w:id="2023"/>
      <w:r>
        <w:rPr>
          <w:b/>
          <w:i w:val="0"/>
        </w:rPr>
        <w:t>IV.1.23</w:t>
      </w:r>
      <w:r>
        <w:rPr>
          <w:b/>
          <w:i w:val="0"/>
        </w:rPr>
        <w:t>, source pp. 292–293.</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good-and-goodness">
        <w:r>
          <w:rPr>
            <w:color w:val="000000"/>
          </w:rPr>
          <w:t xml:space="preserve">Good and goodness</w:t>
        </w:r>
      </w:hyperlink>
      <w:r>
        <w:rPr>
          <w:b w:val="0"/>
          <w:i w:val="0"/>
        </w:rPr>
        <w:t xml:space="preserve">; </w:t>
      </w:r>
      <w:hyperlink w:anchor="indwelling-and-presence">
        <w:r>
          <w:rPr>
            <w:color w:val="000000"/>
          </w:rPr>
          <w:t xml:space="preserve">Indwelling and presence</w:t>
        </w:r>
      </w:hyperlink>
      <w:r>
        <w:rPr>
          <w:b w:val="0"/>
          <w:i w:val="0"/>
        </w:rPr>
        <w:t xml:space="preserve">; </w:t>
      </w:r>
      <w:hyperlink w:anchor="strato-chrysippus-and-almariani">
        <w:r>
          <w:rPr>
            <w:color w:val="000000"/>
          </w:rPr>
          <w:t xml:space="preserve">Strato, Chrysippus, and the Almariani</w:t>
        </w:r>
      </w:hyperlink>
      <w:r>
        <w:rPr>
          <w:b w:val="0"/>
          <w:i w:val="0"/>
        </w:rPr>
        <w:t xml:space="preserve">; </w:t>
      </w:r>
      <w:hyperlink w:anchor="world-soul">
        <w:r>
          <w:rPr>
            <w:color w:val="000000"/>
          </w:rPr>
          <w:t xml:space="preserve">World soul</w:t>
        </w:r>
      </w:hyperlink>
      <w:r>
        <w:rPr>
          <w:b w:val="0"/>
          <w:i w:val="0"/>
        </w:rPr>
        <w:t xml:space="preserve">. Vocabulary: </w:t>
      </w:r>
      <w:hyperlink w:anchor="latin-record-0466">
        <w:r>
          <w:rPr>
            <w:color w:val="000000"/>
          </w:rPr>
          <w:t xml:space="preserve">forsitan / forte</w:t>
        </w:r>
      </w:hyperlink>
      <w:r>
        <w:rPr>
          <w:b w:val="0"/>
          <w:i w:val="0"/>
        </w:rPr>
        <w:t>.</w:t>
      </w:r>
    </w:p>
    <w:p>
      <w:pPr>
        <w:widowControl/>
      </w:pPr>
      <w:bookmarkStart w:id="2024" w:name="passage-iv-1-24"/>
      <w:bookmarkEnd w:id="2024"/>
      <w:r>
        <w:rPr>
          <w:b/>
          <w:i w:val="0"/>
        </w:rPr>
        <w:t>IV.1.24</w:t>
      </w:r>
      <w:r>
        <w:rPr>
          <w:b/>
          <w:i w:val="0"/>
        </w:rPr>
        <w:t>, source pp. 292–293.</w:t>
      </w:r>
      <w:r>
        <w:rPr>
          <w:b w:val="0"/>
          <w:i w:val="0"/>
        </w:rPr>
        <w:t xml:space="preserve"> Articles: </w:t>
      </w:r>
      <w:hyperlink w:anchor="good-and-goodness">
        <w:r>
          <w:rPr>
            <w:color w:val="000000"/>
          </w:rPr>
          <w:t xml:space="preserve">Good and goodness</w:t>
        </w:r>
      </w:hyperlink>
      <w:r>
        <w:rPr>
          <w:b w:val="0"/>
          <w:i w:val="0"/>
        </w:rPr>
        <w:t xml:space="preserve">; </w:t>
      </w:r>
      <w:hyperlink w:anchor="indwelling-and-presence">
        <w:r>
          <w:rPr>
            <w:color w:val="000000"/>
          </w:rPr>
          <w:t xml:space="preserve">Indwelling and presence</w:t>
        </w:r>
      </w:hyperlink>
      <w:r>
        <w:rPr>
          <w:b w:val="0"/>
          <w:i w:val="0"/>
        </w:rPr>
        <w:t xml:space="preserve">; </w:t>
      </w:r>
      <w:hyperlink w:anchor="strato-chrysippus-and-almariani">
        <w:r>
          <w:rPr>
            <w:color w:val="000000"/>
          </w:rPr>
          <w:t xml:space="preserve">Strato, Chrysippus, and the Almariani</w:t>
        </w:r>
      </w:hyperlink>
      <w:r>
        <w:rPr>
          <w:b w:val="0"/>
          <w:i w:val="0"/>
        </w:rPr>
        <w:t xml:space="preserve">; </w:t>
      </w:r>
      <w:hyperlink w:anchor="world-soul">
        <w:r>
          <w:rPr>
            <w:color w:val="000000"/>
          </w:rPr>
          <w:t xml:space="preserve">World soul</w:t>
        </w:r>
      </w:hyperlink>
      <w:r>
        <w:rPr>
          <w:b w:val="0"/>
          <w:i w:val="0"/>
        </w:rPr>
        <w:t xml:space="preserve">. Vocabulary: </w:t>
      </w:r>
      <w:hyperlink w:anchor="latin-record-0973">
        <w:r>
          <w:rPr>
            <w:color w:val="000000"/>
          </w:rPr>
          <w:t xml:space="preserve">proximum bonitati</w:t>
        </w:r>
      </w:hyperlink>
      <w:r>
        <w:rPr>
          <w:b w:val="0"/>
          <w:i w:val="0"/>
        </w:rPr>
        <w:t>.</w:t>
      </w:r>
    </w:p>
    <w:p>
      <w:pPr>
        <w:widowControl/>
      </w:pPr>
      <w:bookmarkStart w:id="2025" w:name="passage-iv-1-25"/>
      <w:bookmarkEnd w:id="2025"/>
      <w:r>
        <w:rPr>
          <w:b/>
          <w:i w:val="0"/>
        </w:rPr>
        <w:t>IV.1.25</w:t>
      </w:r>
      <w:r>
        <w:rPr>
          <w:b/>
          <w:i w:val="0"/>
        </w:rPr>
        <w:t>, source pp. 294–295.</w:t>
      </w:r>
      <w:r>
        <w:rPr>
          <w:b w:val="0"/>
          <w:i w:val="0"/>
        </w:rPr>
        <w:t xml:space="preserve"> Articles: </w:t>
      </w:r>
      <w:hyperlink w:anchor="form">
        <w:r>
          <w:rPr>
            <w:color w:val="000000"/>
          </w:rPr>
          <w:t xml:space="preserve">Form</w:t>
        </w:r>
      </w:hyperlink>
      <w:r>
        <w:rPr>
          <w:b w:val="0"/>
          <w:i w:val="0"/>
        </w:rPr>
        <w:t xml:space="preserve">; </w:t>
      </w:r>
      <w:hyperlink w:anchor="good-and-goodness">
        <w:r>
          <w:rPr>
            <w:color w:val="000000"/>
          </w:rPr>
          <w:t xml:space="preserve">Good and goodness</w:t>
        </w:r>
      </w:hyperlink>
      <w:r>
        <w:rPr>
          <w:b w:val="0"/>
          <w:i w:val="0"/>
        </w:rPr>
        <w:t xml:space="preserve">; </w:t>
      </w:r>
      <w:hyperlink w:anchor="indwelling-and-presence">
        <w:r>
          <w:rPr>
            <w:color w:val="000000"/>
          </w:rPr>
          <w:t xml:space="preserve">Indwelling and presence</w:t>
        </w:r>
      </w:hyperlink>
      <w:r>
        <w:rPr>
          <w:b w:val="0"/>
          <w:i w:val="0"/>
        </w:rPr>
        <w:t xml:space="preserve">; </w:t>
      </w:r>
      <w:hyperlink w:anchor="strato-chrysippus-and-almariani">
        <w:r>
          <w:rPr>
            <w:color w:val="000000"/>
          </w:rPr>
          <w:t xml:space="preserve">Strato, Chrysippus, and the Almariani</w:t>
        </w:r>
      </w:hyperlink>
      <w:r>
        <w:rPr>
          <w:b w:val="0"/>
          <w:i w:val="0"/>
        </w:rPr>
        <w:t xml:space="preserve">; </w:t>
      </w:r>
      <w:hyperlink w:anchor="world-soul">
        <w:r>
          <w:rPr>
            <w:color w:val="000000"/>
          </w:rPr>
          <w:t xml:space="preserve">World soul</w:t>
        </w:r>
      </w:hyperlink>
      <w:r>
        <w:rPr>
          <w:b w:val="0"/>
          <w:i w:val="0"/>
        </w:rPr>
        <w:t xml:space="preserve">. Vocabulary: </w:t>
      </w:r>
      <w:hyperlink w:anchor="latin-record-0382">
        <w:r>
          <w:rPr>
            <w:color w:val="000000"/>
          </w:rPr>
          <w:t xml:space="preserve">essendi principium</w:t>
        </w:r>
      </w:hyperlink>
      <w:r>
        <w:rPr>
          <w:b w:val="0"/>
          <w:i w:val="0"/>
        </w:rPr>
        <w:t>.</w:t>
      </w:r>
    </w:p>
    <w:p>
      <w:pPr>
        <w:widowControl/>
      </w:pPr>
      <w:bookmarkStart w:id="2026" w:name="passage-iv-1-26"/>
      <w:bookmarkEnd w:id="2026"/>
      <w:r>
        <w:rPr>
          <w:b/>
          <w:i w:val="0"/>
        </w:rPr>
        <w:t>IV.1.26</w:t>
      </w:r>
      <w:r>
        <w:rPr>
          <w:b/>
          <w:i w:val="0"/>
        </w:rPr>
        <w:t>, source pp. 294–295.</w:t>
      </w:r>
      <w:r>
        <w:rPr>
          <w:b w:val="0"/>
          <w:i w:val="0"/>
        </w:rPr>
        <w:t xml:space="preserve"> Articles: </w:t>
      </w:r>
      <w:hyperlink w:anchor="form">
        <w:r>
          <w:rPr>
            <w:color w:val="000000"/>
          </w:rPr>
          <w:t xml:space="preserve">Form</w:t>
        </w:r>
      </w:hyperlink>
      <w:r>
        <w:rPr>
          <w:b w:val="0"/>
          <w:i w:val="0"/>
        </w:rPr>
        <w:t xml:space="preserve">; </w:t>
      </w:r>
      <w:hyperlink w:anchor="good-and-goodness">
        <w:r>
          <w:rPr>
            <w:color w:val="000000"/>
          </w:rPr>
          <w:t xml:space="preserve">Good and goodness</w:t>
        </w:r>
      </w:hyperlink>
      <w:r>
        <w:rPr>
          <w:b w:val="0"/>
          <w:i w:val="0"/>
        </w:rPr>
        <w:t xml:space="preserve">; </w:t>
      </w:r>
      <w:hyperlink w:anchor="indwelling-and-presence">
        <w:r>
          <w:rPr>
            <w:color w:val="000000"/>
          </w:rPr>
          <w:t xml:space="preserve">Indwelling and presence</w:t>
        </w:r>
      </w:hyperlink>
      <w:r>
        <w:rPr>
          <w:b w:val="0"/>
          <w:i w:val="0"/>
        </w:rPr>
        <w:t xml:space="preserve">; </w:t>
      </w:r>
      <w:hyperlink w:anchor="strato-chrysippus-and-almariani">
        <w:r>
          <w:rPr>
            <w:color w:val="000000"/>
          </w:rPr>
          <w:t xml:space="preserve">Strato, Chrysippus, and the Almariani</w:t>
        </w:r>
      </w:hyperlink>
      <w:r>
        <w:rPr>
          <w:b w:val="0"/>
          <w:i w:val="0"/>
        </w:rPr>
        <w:t xml:space="preserve">; </w:t>
      </w:r>
      <w:hyperlink w:anchor="world-soul">
        <w:r>
          <w:rPr>
            <w:color w:val="000000"/>
          </w:rPr>
          <w:t xml:space="preserve">World soul</w:t>
        </w:r>
      </w:hyperlink>
      <w:r>
        <w:rPr>
          <w:b w:val="0"/>
          <w:i w:val="0"/>
        </w:rPr>
        <w:t xml:space="preserve">. Vocabulary: </w:t>
      </w:r>
      <w:hyperlink w:anchor="latin-record-0923">
        <w:r>
          <w:rPr>
            <w:color w:val="000000"/>
          </w:rPr>
          <w:t xml:space="preserve">primo agere</w:t>
        </w:r>
      </w:hyperlink>
      <w:r>
        <w:rPr>
          <w:b w:val="0"/>
          <w:i w:val="0"/>
        </w:rPr>
        <w:t>.</w:t>
      </w:r>
    </w:p>
    <w:p>
      <w:pPr>
        <w:widowControl/>
      </w:pPr>
      <w:bookmarkStart w:id="2027" w:name="passage-iv-1-27"/>
      <w:bookmarkEnd w:id="2027"/>
      <w:r>
        <w:rPr>
          <w:b/>
          <w:i w:val="0"/>
        </w:rPr>
        <w:t>IV.1.27</w:t>
      </w:r>
      <w:r>
        <w:rPr>
          <w:b/>
          <w:i w:val="0"/>
        </w:rPr>
        <w:t>, source pp. 294–295.</w:t>
      </w:r>
      <w:r>
        <w:rPr>
          <w:b w:val="0"/>
          <w:i w:val="0"/>
        </w:rPr>
        <w:t xml:space="preserve"> Articles: </w:t>
      </w:r>
      <w:hyperlink w:anchor="form">
        <w:r>
          <w:rPr>
            <w:color w:val="000000"/>
          </w:rPr>
          <w:t xml:space="preserve">Form</w:t>
        </w:r>
      </w:hyperlink>
      <w:r>
        <w:rPr>
          <w:b w:val="0"/>
          <w:i w:val="0"/>
        </w:rPr>
        <w:t xml:space="preserve">; </w:t>
      </w:r>
      <w:hyperlink w:anchor="good-and-goodness">
        <w:r>
          <w:rPr>
            <w:color w:val="000000"/>
          </w:rPr>
          <w:t xml:space="preserve">Good and goodness</w:t>
        </w:r>
      </w:hyperlink>
      <w:r>
        <w:rPr>
          <w:b w:val="0"/>
          <w:i w:val="0"/>
        </w:rPr>
        <w:t xml:space="preserve">; </w:t>
      </w:r>
      <w:hyperlink w:anchor="indwelling-and-presence">
        <w:r>
          <w:rPr>
            <w:color w:val="000000"/>
          </w:rPr>
          <w:t xml:space="preserve">Indwelling and presence</w:t>
        </w:r>
      </w:hyperlink>
      <w:r>
        <w:rPr>
          <w:b w:val="0"/>
          <w:i w:val="0"/>
        </w:rPr>
        <w:t xml:space="preserve">; </w:t>
      </w:r>
      <w:hyperlink w:anchor="strato-chrysippus-and-almariani">
        <w:r>
          <w:rPr>
            <w:color w:val="000000"/>
          </w:rPr>
          <w:t xml:space="preserve">Strato, Chrysippus, and the Almariani</w:t>
        </w:r>
      </w:hyperlink>
      <w:r>
        <w:rPr>
          <w:b w:val="0"/>
          <w:i w:val="0"/>
        </w:rPr>
        <w:t xml:space="preserve">; </w:t>
      </w:r>
      <w:hyperlink w:anchor="world-soul">
        <w:r>
          <w:rPr>
            <w:color w:val="000000"/>
          </w:rPr>
          <w:t xml:space="preserve">World soul</w:t>
        </w:r>
      </w:hyperlink>
      <w:r>
        <w:rPr>
          <w:b w:val="0"/>
          <w:i w:val="0"/>
        </w:rPr>
        <w:t xml:space="preserve">. Vocabulary: </w:t>
      </w:r>
      <w:hyperlink w:anchor="latin-record-0055">
        <w:r>
          <w:rPr>
            <w:color w:val="000000"/>
          </w:rPr>
          <w:t xml:space="preserve">Almariani</w:t>
        </w:r>
      </w:hyperlink>
      <w:r>
        <w:rPr>
          <w:b w:val="0"/>
          <w:i w:val="0"/>
        </w:rPr>
        <w:t>.</w:t>
      </w:r>
    </w:p>
    <w:p>
      <w:pPr>
        <w:widowControl/>
      </w:pPr>
      <w:bookmarkStart w:id="2028" w:name="passage-iv-1-28"/>
      <w:bookmarkEnd w:id="2028"/>
      <w:r>
        <w:rPr>
          <w:b/>
          <w:i w:val="0"/>
        </w:rPr>
        <w:t>IV.1.28</w:t>
      </w:r>
      <w:r>
        <w:rPr>
          <w:b/>
          <w:i w:val="0"/>
        </w:rPr>
        <w:t>, source pp. 294–295.</w:t>
      </w:r>
      <w:r>
        <w:rPr>
          <w:b w:val="0"/>
          <w:i w:val="0"/>
        </w:rPr>
        <w:t xml:space="preserve"> Articles: </w:t>
      </w:r>
      <w:hyperlink w:anchor="good-and-goodness">
        <w:r>
          <w:rPr>
            <w:color w:val="000000"/>
          </w:rPr>
          <w:t xml:space="preserve">Good and goodness</w:t>
        </w:r>
      </w:hyperlink>
      <w:r>
        <w:rPr>
          <w:b w:val="0"/>
          <w:i w:val="0"/>
        </w:rPr>
        <w:t xml:space="preserve">; </w:t>
      </w:r>
      <w:hyperlink w:anchor="indwelling-and-presence">
        <w:r>
          <w:rPr>
            <w:color w:val="000000"/>
          </w:rPr>
          <w:t xml:space="preserve">Indwelling and presence</w:t>
        </w:r>
      </w:hyperlink>
      <w:r>
        <w:rPr>
          <w:b w:val="0"/>
          <w:i w:val="0"/>
        </w:rPr>
        <w:t xml:space="preserve">; </w:t>
      </w:r>
      <w:hyperlink w:anchor="strato-chrysippus-and-almariani">
        <w:r>
          <w:rPr>
            <w:color w:val="000000"/>
          </w:rPr>
          <w:t xml:space="preserve">Strato, Chrysippus, and the Almariani</w:t>
        </w:r>
      </w:hyperlink>
      <w:r>
        <w:rPr>
          <w:b w:val="0"/>
          <w:i w:val="0"/>
        </w:rPr>
        <w:t xml:space="preserve">; </w:t>
      </w:r>
      <w:hyperlink w:anchor="world-soul">
        <w:r>
          <w:rPr>
            <w:color w:val="000000"/>
          </w:rPr>
          <w:t xml:space="preserve">World soul</w:t>
        </w:r>
      </w:hyperlink>
      <w:r>
        <w:rPr>
          <w:b w:val="0"/>
          <w:i w:val="0"/>
        </w:rPr>
        <w:t xml:space="preserve">. Vocabulary: </w:t>
      </w:r>
      <w:hyperlink w:anchor="latin-record-0355">
        <w:r>
          <w:rPr>
            <w:color w:val="000000"/>
          </w:rPr>
          <w:t xml:space="preserve">dux / lex superioris</w:t>
        </w:r>
      </w:hyperlink>
      <w:r>
        <w:rPr>
          <w:b w:val="0"/>
          <w:i w:val="0"/>
        </w:rPr>
        <w:t xml:space="preserve">; </w:t>
      </w:r>
      <w:hyperlink w:anchor="latin-record-0638">
        <w:r>
          <w:rPr>
            <w:color w:val="000000"/>
          </w:rPr>
          <w:t xml:space="preserve">lex</w:t>
        </w:r>
      </w:hyperlink>
      <w:r>
        <w:rPr>
          <w:b w:val="0"/>
          <w:i w:val="0"/>
        </w:rPr>
        <w:t xml:space="preserve">; </w:t>
      </w:r>
      <w:hyperlink w:anchor="latin-record-1240">
        <w:r>
          <w:rPr>
            <w:color w:val="000000"/>
          </w:rPr>
          <w:t xml:space="preserve">velox / tardus</w:t>
        </w:r>
      </w:hyperlink>
      <w:r>
        <w:rPr>
          <w:b w:val="0"/>
          <w:i w:val="0"/>
        </w:rPr>
        <w:t>.</w:t>
      </w:r>
    </w:p>
    <w:p>
      <w:pPr>
        <w:widowControl/>
      </w:pPr>
      <w:bookmarkStart w:id="2029" w:name="passage-iv-1-29"/>
      <w:bookmarkEnd w:id="2029"/>
      <w:r>
        <w:rPr>
          <w:b/>
          <w:i w:val="0"/>
        </w:rPr>
        <w:t>IV.1.29</w:t>
      </w:r>
      <w:r>
        <w:rPr>
          <w:b/>
          <w:i w:val="0"/>
        </w:rPr>
        <w:t>, source pp. 296–297.</w:t>
      </w:r>
      <w:r>
        <w:rPr>
          <w:b w:val="0"/>
          <w:i w:val="0"/>
        </w:rPr>
        <w:t xml:space="preserve"> Articles: </w:t>
      </w:r>
      <w:hyperlink w:anchor="angel">
        <w:r>
          <w:rPr>
            <w:color w:val="000000"/>
          </w:rPr>
          <w:t xml:space="preserve">Angel</w:t>
        </w:r>
      </w:hyperlink>
      <w:r>
        <w:rPr>
          <w:b w:val="0"/>
          <w:i w:val="0"/>
        </w:rPr>
        <w:t xml:space="preserve">; </w:t>
      </w:r>
      <w:hyperlink w:anchor="degree-and-mediation">
        <w:r>
          <w:rPr>
            <w:color w:val="000000"/>
          </w:rPr>
          <w:t xml:space="preserve">Degree and mediation</w:t>
        </w:r>
      </w:hyperlink>
      <w:r>
        <w:rPr>
          <w:b w:val="0"/>
          <w:i w:val="0"/>
        </w:rPr>
        <w:t xml:space="preserve">; </w:t>
      </w:r>
      <w:hyperlink w:anchor="proximity-and-causal-presence">
        <w:r>
          <w:rPr>
            <w:color w:val="000000"/>
          </w:rPr>
          <w:t xml:space="preserve">Proximity and causal presence</w:t>
        </w:r>
      </w:hyperlink>
      <w:r>
        <w:rPr>
          <w:b w:val="0"/>
          <w:i w:val="0"/>
        </w:rPr>
        <w:t xml:space="preserve">; </w:t>
      </w:r>
      <w:hyperlink w:anchor="transparency-and-opacity">
        <w:r>
          <w:rPr>
            <w:color w:val="000000"/>
          </w:rPr>
          <w:t xml:space="preserve">Transparency and opacity</w:t>
        </w:r>
      </w:hyperlink>
      <w:r>
        <w:rPr>
          <w:b w:val="0"/>
          <w:i w:val="0"/>
        </w:rPr>
        <w:t xml:space="preserve">. Vocabulary: </w:t>
      </w:r>
      <w:hyperlink w:anchor="latin-record-0010">
        <w:r>
          <w:rPr>
            <w:color w:val="000000"/>
          </w:rPr>
          <w:t xml:space="preserve">accipere / concedere</w:t>
        </w:r>
      </w:hyperlink>
      <w:r>
        <w:rPr>
          <w:b w:val="0"/>
          <w:i w:val="0"/>
        </w:rPr>
        <w:t xml:space="preserve">; </w:t>
      </w:r>
      <w:hyperlink w:anchor="latin-record-0149">
        <w:r>
          <w:rPr>
            <w:color w:val="000000"/>
          </w:rPr>
          <w:t xml:space="preserve">careo / expers</w:t>
        </w:r>
      </w:hyperlink>
      <w:r>
        <w:rPr>
          <w:b w:val="0"/>
          <w:i w:val="0"/>
        </w:rPr>
        <w:t xml:space="preserve">; </w:t>
      </w:r>
      <w:hyperlink w:anchor="latin-record-0535">
        <w:r>
          <w:rPr>
            <w:color w:val="000000"/>
          </w:rPr>
          <w:t xml:space="preserve">impedire / obesse</w:t>
        </w:r>
      </w:hyperlink>
      <w:r>
        <w:rPr>
          <w:b w:val="0"/>
          <w:i w:val="0"/>
        </w:rPr>
        <w:t xml:space="preserve">; </w:t>
      </w:r>
      <w:hyperlink w:anchor="latin-record-0796">
        <w:r>
          <w:rPr>
            <w:color w:val="000000"/>
          </w:rPr>
          <w:t xml:space="preserve">opacus / clarus</w:t>
        </w:r>
      </w:hyperlink>
      <w:r>
        <w:rPr>
          <w:b w:val="0"/>
          <w:i w:val="0"/>
        </w:rPr>
        <w:t xml:space="preserve">; </w:t>
      </w:r>
      <w:hyperlink w:anchor="latin-record-0866">
        <w:r>
          <w:rPr>
            <w:color w:val="000000"/>
          </w:rPr>
          <w:t xml:space="preserve">perspicuus / diaphanus</w:t>
        </w:r>
      </w:hyperlink>
      <w:r>
        <w:rPr>
          <w:b w:val="0"/>
          <w:i w:val="0"/>
        </w:rPr>
        <w:t xml:space="preserve">; </w:t>
      </w:r>
      <w:hyperlink w:anchor="latin-record-0909">
        <w:r>
          <w:rPr>
            <w:color w:val="000000"/>
          </w:rPr>
          <w:t xml:space="preserve">praeparare / offerre</w:t>
        </w:r>
      </w:hyperlink>
      <w:r>
        <w:rPr>
          <w:b w:val="0"/>
          <w:i w:val="0"/>
        </w:rPr>
        <w:t>.</w:t>
      </w:r>
    </w:p>
    <w:p>
      <w:pPr>
        <w:widowControl/>
      </w:pPr>
      <w:bookmarkStart w:id="2030" w:name="passage-iv-1-30"/>
      <w:bookmarkEnd w:id="2030"/>
      <w:r>
        <w:rPr>
          <w:b/>
          <w:i w:val="0"/>
        </w:rPr>
        <w:t>IV.1.30</w:t>
      </w:r>
      <w:r>
        <w:rPr>
          <w:b/>
          <w:i w:val="0"/>
        </w:rPr>
        <w:t>, source pp. 296–297.</w:t>
      </w:r>
      <w:r>
        <w:rPr>
          <w:b w:val="0"/>
          <w:i w:val="0"/>
        </w:rPr>
        <w:t xml:space="preserve"> Articles: </w:t>
      </w:r>
      <w:hyperlink w:anchor="angel">
        <w:r>
          <w:rPr>
            <w:color w:val="000000"/>
          </w:rPr>
          <w:t xml:space="preserve">Angel</w:t>
        </w:r>
      </w:hyperlink>
      <w:r>
        <w:rPr>
          <w:b w:val="0"/>
          <w:i w:val="0"/>
        </w:rPr>
        <w:t xml:space="preserve">; </w:t>
      </w:r>
      <w:hyperlink w:anchor="degree-and-mediation">
        <w:r>
          <w:rPr>
            <w:color w:val="000000"/>
          </w:rPr>
          <w:t xml:space="preserve">Degree and mediation</w:t>
        </w:r>
      </w:hyperlink>
      <w:r>
        <w:rPr>
          <w:b w:val="0"/>
          <w:i w:val="0"/>
        </w:rPr>
        <w:t xml:space="preserve">; </w:t>
      </w:r>
      <w:hyperlink w:anchor="proximity-and-causal-presence">
        <w:r>
          <w:rPr>
            <w:color w:val="000000"/>
          </w:rPr>
          <w:t xml:space="preserve">Proximity and causal presence</w:t>
        </w:r>
      </w:hyperlink>
      <w:r>
        <w:rPr>
          <w:b w:val="0"/>
          <w:i w:val="0"/>
        </w:rPr>
        <w:t xml:space="preserve">. Vocabulary: </w:t>
      </w:r>
      <w:hyperlink w:anchor="latin-record-0477">
        <w:r>
          <w:rPr>
            <w:color w:val="000000"/>
          </w:rPr>
          <w:t xml:space="preserve">fugere materiam</w:t>
        </w:r>
      </w:hyperlink>
      <w:r>
        <w:rPr>
          <w:b w:val="0"/>
          <w:i w:val="0"/>
        </w:rPr>
        <w:t xml:space="preserve">; </w:t>
      </w:r>
      <w:hyperlink w:anchor="latin-record-0974">
        <w:r>
          <w:rPr>
            <w:color w:val="000000"/>
          </w:rPr>
          <w:t xml:space="preserve">proximus</w:t>
        </w:r>
      </w:hyperlink>
      <w:r>
        <w:rPr>
          <w:b w:val="0"/>
          <w:i w:val="0"/>
        </w:rPr>
        <w:t>.</w:t>
      </w:r>
    </w:p>
    <w:p>
      <w:pPr>
        <w:widowControl/>
      </w:pPr>
      <w:bookmarkStart w:id="2031" w:name="passage-iv-1-31"/>
      <w:bookmarkEnd w:id="2031"/>
      <w:r>
        <w:rPr>
          <w:b/>
          <w:i w:val="0"/>
        </w:rPr>
        <w:t>IV.1.31</w:t>
      </w:r>
      <w:r>
        <w:rPr>
          <w:b/>
          <w:i w:val="0"/>
        </w:rPr>
        <w:t>, source pp. 296–297.</w:t>
      </w:r>
      <w:r>
        <w:rPr>
          <w:b w:val="0"/>
          <w:i w:val="0"/>
        </w:rPr>
        <w:t xml:space="preserve"> Articles: </w:t>
      </w:r>
      <w:hyperlink w:anchor="angel">
        <w:r>
          <w:rPr>
            <w:color w:val="000000"/>
          </w:rPr>
          <w:t xml:space="preserve">Angel</w:t>
        </w:r>
      </w:hyperlink>
      <w:r>
        <w:rPr>
          <w:b w:val="0"/>
          <w:i w:val="0"/>
        </w:rPr>
        <w:t xml:space="preserve">; </w:t>
      </w:r>
      <w:hyperlink w:anchor="animating-and-animal">
        <w:r>
          <w:rPr>
            <w:color w:val="000000"/>
          </w:rPr>
          <w:t xml:space="preserve">Animating and animal</w:t>
        </w:r>
      </w:hyperlink>
      <w:r>
        <w:rPr>
          <w:b w:val="0"/>
          <w:i w:val="0"/>
        </w:rPr>
        <w:t xml:space="preserve">; </w:t>
      </w:r>
      <w:hyperlink w:anchor="common-and-proper">
        <w:r>
          <w:rPr>
            <w:color w:val="000000"/>
          </w:rPr>
          <w:t xml:space="preserve">Common and proper</w:t>
        </w:r>
      </w:hyperlink>
      <w:r>
        <w:rPr>
          <w:b w:val="0"/>
          <w:i w:val="0"/>
        </w:rPr>
        <w:t xml:space="preserve">; </w:t>
      </w:r>
      <w:hyperlink w:anchor="degree-and-mediation">
        <w:r>
          <w:rPr>
            <w:color w:val="000000"/>
          </w:rPr>
          <w:t xml:space="preserve">Degree and mediation</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life">
        <w:r>
          <w:rPr>
            <w:color w:val="000000"/>
          </w:rPr>
          <w:t xml:space="preserve">Life</w:t>
        </w:r>
      </w:hyperlink>
      <w:r>
        <w:rPr>
          <w:b w:val="0"/>
          <w:i w:val="0"/>
        </w:rPr>
        <w:t xml:space="preserve">; </w:t>
      </w:r>
      <w:hyperlink w:anchor="proximity-and-causal-presence">
        <w:r>
          <w:rPr>
            <w:color w:val="000000"/>
          </w:rPr>
          <w:t xml:space="preserve">Proximity and causal presence</w:t>
        </w:r>
      </w:hyperlink>
      <w:r>
        <w:rPr>
          <w:b w:val="0"/>
          <w:i w:val="0"/>
        </w:rPr>
        <w:t xml:space="preserve">. Vocabulary: </w:t>
      </w:r>
      <w:hyperlink w:anchor="latin-record-0074">
        <w:r>
          <w:rPr>
            <w:color w:val="000000"/>
          </w:rPr>
          <w:t xml:space="preserve">animalis / animales vires</w:t>
        </w:r>
      </w:hyperlink>
      <w:r>
        <w:rPr>
          <w:b w:val="0"/>
          <w:i w:val="0"/>
        </w:rPr>
        <w:t xml:space="preserve">; </w:t>
      </w:r>
      <w:hyperlink w:anchor="latin-record-0208">
        <w:r>
          <w:rPr>
            <w:color w:val="000000"/>
          </w:rPr>
          <w:t xml:space="preserve">complecti / comprehendere</w:t>
        </w:r>
      </w:hyperlink>
      <w:r>
        <w:rPr>
          <w:b w:val="0"/>
          <w:i w:val="0"/>
        </w:rPr>
        <w:t xml:space="preserve">; </w:t>
      </w:r>
      <w:hyperlink w:anchor="latin-record-0294">
        <w:r>
          <w:rPr>
            <w:color w:val="000000"/>
          </w:rPr>
          <w:t xml:space="preserve">decere / dignitas</w:t>
        </w:r>
      </w:hyperlink>
      <w:r>
        <w:rPr>
          <w:b w:val="0"/>
          <w:i w:val="0"/>
        </w:rPr>
        <w:t xml:space="preserve">; </w:t>
      </w:r>
      <w:hyperlink w:anchor="latin-record-1183">
        <w:r>
          <w:rPr>
            <w:color w:val="000000"/>
          </w:rPr>
          <w:t xml:space="preserve">tangere / attingere</w:t>
        </w:r>
      </w:hyperlink>
      <w:r>
        <w:rPr>
          <w:b w:val="0"/>
          <w:i w:val="0"/>
        </w:rPr>
        <w:t xml:space="preserve">; </w:t>
      </w:r>
      <w:hyperlink w:anchor="latin-record-1276">
        <w:r>
          <w:rPr>
            <w:color w:val="000000"/>
          </w:rPr>
          <w:t xml:space="preserve">vita vitarum</w:t>
        </w:r>
      </w:hyperlink>
      <w:r>
        <w:rPr>
          <w:b w:val="0"/>
          <w:i w:val="0"/>
        </w:rPr>
        <w:t>.</w:t>
      </w:r>
    </w:p>
    <w:p>
      <w:pPr>
        <w:widowControl/>
      </w:pPr>
      <w:bookmarkStart w:id="2032" w:name="passage-iv-1-32"/>
      <w:bookmarkEnd w:id="2032"/>
      <w:r>
        <w:rPr>
          <w:b/>
          <w:i w:val="0"/>
        </w:rPr>
        <w:t>IV.1.32</w:t>
      </w:r>
      <w:r>
        <w:rPr>
          <w:b/>
          <w:i w:val="0"/>
        </w:rPr>
        <w:t>, source pp. 298–299.</w:t>
      </w:r>
      <w:r>
        <w:rPr>
          <w:b w:val="0"/>
          <w:i w:val="0"/>
        </w:rPr>
        <w:t xml:space="preserve"> Articles: </w:t>
      </w:r>
      <w:hyperlink w:anchor="angel">
        <w:r>
          <w:rPr>
            <w:color w:val="000000"/>
          </w:rPr>
          <w:t xml:space="preserve">Angel</w:t>
        </w:r>
      </w:hyperlink>
      <w:r>
        <w:rPr>
          <w:b w:val="0"/>
          <w:i w:val="0"/>
        </w:rPr>
        <w:t xml:space="preserve">; </w:t>
      </w:r>
      <w:hyperlink w:anchor="degree-and-mediation">
        <w:r>
          <w:rPr>
            <w:color w:val="000000"/>
          </w:rPr>
          <w:t xml:space="preserve">Degree and mediation</w:t>
        </w:r>
      </w:hyperlink>
      <w:r>
        <w:rPr>
          <w:b w:val="0"/>
          <w:i w:val="0"/>
        </w:rPr>
        <w:t xml:space="preserve">; </w:t>
      </w:r>
      <w:hyperlink w:anchor="fitting-and-correspondence">
        <w:r>
          <w:rPr>
            <w:color w:val="000000"/>
          </w:rPr>
          <w:t xml:space="preserve">Fitting and correspondence</w:t>
        </w:r>
      </w:hyperlink>
      <w:r>
        <w:rPr>
          <w:b w:val="0"/>
          <w:i w:val="0"/>
        </w:rPr>
        <w:t xml:space="preserve">; </w:t>
      </w:r>
      <w:hyperlink w:anchor="form">
        <w:r>
          <w:rPr>
            <w:color w:val="000000"/>
          </w:rPr>
          <w:t xml:space="preserve">Form</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proximity-and-causal-presence">
        <w:r>
          <w:rPr>
            <w:color w:val="000000"/>
          </w:rPr>
          <w:t xml:space="preserve">Proximity and causal presence</w:t>
        </w:r>
      </w:hyperlink>
      <w:r>
        <w:rPr>
          <w:b w:val="0"/>
          <w:i w:val="0"/>
        </w:rPr>
        <w:t xml:space="preserve">; </w:t>
      </w:r>
      <w:hyperlink w:anchor="transparency-and-opacity">
        <w:r>
          <w:rPr>
            <w:color w:val="000000"/>
          </w:rPr>
          <w:t xml:space="preserve">Transparency and opacity</w:t>
        </w:r>
      </w:hyperlink>
      <w:r>
        <w:rPr>
          <w:b w:val="0"/>
          <w:i w:val="0"/>
        </w:rPr>
        <w:t xml:space="preserve">. Vocabulary: </w:t>
      </w:r>
      <w:hyperlink w:anchor="latin-record-0021">
        <w:r>
          <w:rPr>
            <w:color w:val="000000"/>
          </w:rPr>
          <w:t xml:space="preserve">addere / mittere / omittere</w:t>
        </w:r>
      </w:hyperlink>
      <w:r>
        <w:rPr>
          <w:b w:val="0"/>
          <w:i w:val="0"/>
        </w:rPr>
        <w:t xml:space="preserve">; </w:t>
      </w:r>
      <w:hyperlink w:anchor="latin-record-0425">
        <w:r>
          <w:rPr>
            <w:color w:val="000000"/>
          </w:rPr>
          <w:t xml:space="preserve">facile / difficilis</w:t>
        </w:r>
      </w:hyperlink>
      <w:r>
        <w:rPr>
          <w:b w:val="0"/>
          <w:i w:val="0"/>
        </w:rPr>
        <w:t xml:space="preserve">; </w:t>
      </w:r>
      <w:hyperlink w:anchor="latin-record-0600">
        <w:r>
          <w:rPr>
            <w:color w:val="000000"/>
          </w:rPr>
          <w:t xml:space="preserve">intercedere</w:t>
        </w:r>
      </w:hyperlink>
      <w:r>
        <w:rPr>
          <w:b w:val="0"/>
          <w:i w:val="0"/>
        </w:rPr>
        <w:t xml:space="preserve">; </w:t>
      </w:r>
      <w:hyperlink w:anchor="latin-record-0601">
        <w:r>
          <w:rPr>
            <w:color w:val="000000"/>
          </w:rPr>
          <w:t xml:space="preserve">intercedere / deducere</w:t>
        </w:r>
      </w:hyperlink>
      <w:r>
        <w:rPr>
          <w:b w:val="0"/>
          <w:i w:val="0"/>
        </w:rPr>
        <w:t xml:space="preserve">; </w:t>
      </w:r>
      <w:hyperlink w:anchor="latin-record-0998">
        <w:r>
          <w:rPr>
            <w:color w:val="000000"/>
          </w:rPr>
          <w:t xml:space="preserve">quadrare</w:t>
        </w:r>
      </w:hyperlink>
      <w:r>
        <w:rPr>
          <w:b w:val="0"/>
          <w:i w:val="0"/>
        </w:rPr>
        <w:t>.</w:t>
      </w:r>
    </w:p>
    <w:p>
      <w:pPr>
        <w:widowControl/>
      </w:pPr>
      <w:bookmarkStart w:id="2033" w:name="passage-iv-1-33"/>
      <w:bookmarkEnd w:id="2033"/>
      <w:r>
        <w:rPr>
          <w:b/>
          <w:i w:val="0"/>
        </w:rPr>
        <w:t>IV.1.33</w:t>
      </w:r>
      <w:r>
        <w:rPr>
          <w:b/>
          <w:i w:val="0"/>
        </w:rPr>
        <w:t>, source pp. 298–299.</w:t>
      </w:r>
      <w:r>
        <w:rPr>
          <w:b w:val="0"/>
          <w:i w:val="0"/>
        </w:rPr>
        <w:t xml:space="preserve"> Articles: </w:t>
      </w:r>
      <w:hyperlink w:anchor="angel">
        <w:r>
          <w:rPr>
            <w:color w:val="000000"/>
          </w:rPr>
          <w:t xml:space="preserve">Angel</w:t>
        </w:r>
      </w:hyperlink>
      <w:r>
        <w:rPr>
          <w:b w:val="0"/>
          <w:i w:val="0"/>
        </w:rPr>
        <w:t xml:space="preserve">; </w:t>
      </w:r>
      <w:hyperlink w:anchor="assertion-report-and-reservation">
        <w:r>
          <w:rPr>
            <w:color w:val="000000"/>
          </w:rPr>
          <w:t xml:space="preserve">Assertion, report, and reservation</w:t>
        </w:r>
      </w:hyperlink>
      <w:r>
        <w:rPr>
          <w:b w:val="0"/>
          <w:i w:val="0"/>
        </w:rPr>
        <w:t xml:space="preserve">; </w:t>
      </w:r>
      <w:hyperlink w:anchor="degree-and-mediation">
        <w:r>
          <w:rPr>
            <w:color w:val="000000"/>
          </w:rPr>
          <w:t xml:space="preserve">Degree and mediation</w:t>
        </w:r>
      </w:hyperlink>
      <w:r>
        <w:rPr>
          <w:b w:val="0"/>
          <w:i w:val="0"/>
        </w:rPr>
        <w:t xml:space="preserve">; </w:t>
      </w:r>
      <w:hyperlink w:anchor="form">
        <w:r>
          <w:rPr>
            <w:color w:val="000000"/>
          </w:rPr>
          <w:t xml:space="preserve">Form</w:t>
        </w:r>
      </w:hyperlink>
      <w:r>
        <w:rPr>
          <w:b w:val="0"/>
          <w:i w:val="0"/>
        </w:rPr>
        <w:t xml:space="preserve">; </w:t>
      </w:r>
      <w:hyperlink w:anchor="transparency-and-opacity">
        <w:r>
          <w:rPr>
            <w:color w:val="000000"/>
          </w:rPr>
          <w:t xml:space="preserve">Transparency and opacity</w:t>
        </w:r>
      </w:hyperlink>
      <w:r>
        <w:rPr>
          <w:b w:val="0"/>
          <w:i w:val="0"/>
        </w:rPr>
        <w:t xml:space="preserve">. Vocabulary: </w:t>
      </w:r>
      <w:hyperlink w:anchor="latin-record-0301">
        <w:r>
          <w:rPr>
            <w:color w:val="000000"/>
          </w:rPr>
          <w:t xml:space="preserve">degenerare</w:t>
        </w:r>
      </w:hyperlink>
      <w:r>
        <w:rPr>
          <w:b w:val="0"/>
          <w:i w:val="0"/>
        </w:rPr>
        <w:t xml:space="preserve">; </w:t>
      </w:r>
      <w:hyperlink w:anchor="latin-record-0840">
        <w:r>
          <w:rPr>
            <w:color w:val="000000"/>
          </w:rPr>
          <w:t xml:space="preserve">pati / passivus</w:t>
        </w:r>
      </w:hyperlink>
      <w:r>
        <w:rPr>
          <w:b w:val="0"/>
          <w:i w:val="0"/>
        </w:rPr>
        <w:t>.</w:t>
      </w:r>
    </w:p>
    <w:p>
      <w:pPr>
        <w:widowControl/>
      </w:pPr>
      <w:bookmarkStart w:id="2034" w:name="passage-iv-1-34"/>
      <w:bookmarkEnd w:id="2034"/>
      <w:r>
        <w:rPr>
          <w:b/>
          <w:i w:val="0"/>
        </w:rPr>
        <w:t>IV.1.34</w:t>
      </w:r>
      <w:r>
        <w:rPr>
          <w:b/>
          <w:i w:val="0"/>
        </w:rPr>
        <w:t>, source pp. 298–299.</w:t>
      </w:r>
      <w:r>
        <w:rPr>
          <w:b w:val="0"/>
          <w:i w:val="0"/>
        </w:rPr>
        <w:t xml:space="preserve"> Articles: </w:t>
      </w:r>
      <w:hyperlink w:anchor="transparency-and-opacity">
        <w:r>
          <w:rPr>
            <w:color w:val="000000"/>
          </w:rPr>
          <w:t xml:space="preserve">Transparency and opacity</w:t>
        </w:r>
      </w:hyperlink>
      <w:r>
        <w:rPr>
          <w:b w:val="0"/>
          <w:i w:val="0"/>
        </w:rPr>
        <w:t xml:space="preserve">. Vocabulary: </w:t>
      </w:r>
      <w:hyperlink w:anchor="latin-record-0248">
        <w:r>
          <w:rPr>
            <w:color w:val="000000"/>
          </w:rPr>
          <w:t xml:space="preserve">consequi / consequens</w:t>
        </w:r>
      </w:hyperlink>
      <w:r>
        <w:rPr>
          <w:b w:val="0"/>
          <w:i w:val="0"/>
        </w:rPr>
        <w:t xml:space="preserve">; </w:t>
      </w:r>
      <w:hyperlink w:anchor="latin-record-0561">
        <w:r>
          <w:rPr>
            <w:color w:val="000000"/>
          </w:rPr>
          <w:t xml:space="preserve">inesse / adesse / insitus</w:t>
        </w:r>
      </w:hyperlink>
      <w:r>
        <w:rPr>
          <w:b w:val="0"/>
          <w:i w:val="0"/>
        </w:rPr>
        <w:t xml:space="preserve">; </w:t>
      </w:r>
      <w:hyperlink w:anchor="latin-record-0876">
        <w:r>
          <w:rPr>
            <w:color w:val="000000"/>
          </w:rPr>
          <w:t xml:space="preserve">pingere / figurare</w:t>
        </w:r>
      </w:hyperlink>
      <w:r>
        <w:rPr>
          <w:b w:val="0"/>
          <w:i w:val="0"/>
        </w:rPr>
        <w:t>.</w:t>
      </w:r>
    </w:p>
    <w:p>
      <w:pPr>
        <w:widowControl/>
      </w:pPr>
      <w:bookmarkStart w:id="2035" w:name="passage-iv-1-35"/>
      <w:bookmarkEnd w:id="2035"/>
      <w:r>
        <w:rPr>
          <w:b/>
          <w:i w:val="0"/>
        </w:rPr>
        <w:t>IV.1.35</w:t>
      </w:r>
      <w:r>
        <w:rPr>
          <w:b/>
          <w:i w:val="0"/>
        </w:rPr>
        <w:t>, source pp. 298–299.</w:t>
      </w:r>
      <w:r>
        <w:rPr>
          <w:b w:val="0"/>
          <w:i w:val="0"/>
        </w:rPr>
        <w:t xml:space="preserve"> Articles: </w:t>
      </w:r>
      <w:hyperlink w:anchor="common-and-proper">
        <w:r>
          <w:rPr>
            <w:color w:val="000000"/>
          </w:rPr>
          <w:t xml:space="preserve">Common and proper</w:t>
        </w:r>
      </w:hyperlink>
      <w:r>
        <w:rPr>
          <w:b w:val="0"/>
          <w:i w:val="0"/>
        </w:rPr>
        <w:t xml:space="preserve">; </w:t>
      </w:r>
      <w:hyperlink w:anchor="earth-soul">
        <w:r>
          <w:rPr>
            <w:color w:val="000000"/>
          </w:rPr>
          <w:t xml:space="preserve">Earth soul</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spheres-and-stars">
        <w:r>
          <w:rPr>
            <w:color w:val="000000"/>
          </w:rPr>
          <w:t xml:space="preserve">Spheres and stars</w:t>
        </w:r>
      </w:hyperlink>
      <w:r>
        <w:rPr>
          <w:b w:val="0"/>
          <w:i w:val="0"/>
        </w:rPr>
        <w:t xml:space="preserve">. Vocabulary: </w:t>
      </w:r>
      <w:hyperlink w:anchor="latin-record-0265">
        <w:r>
          <w:rPr>
            <w:color w:val="000000"/>
          </w:rPr>
          <w:t xml:space="preserve">continuus / continuare / continuatio</w:t>
        </w:r>
      </w:hyperlink>
      <w:r>
        <w:rPr>
          <w:b w:val="0"/>
          <w:i w:val="0"/>
        </w:rPr>
        <w:t xml:space="preserve">; </w:t>
      </w:r>
      <w:hyperlink w:anchor="latin-record-1163">
        <w:r>
          <w:rPr>
            <w:color w:val="000000"/>
          </w:rPr>
          <w:t xml:space="preserve">sufficere / geminus</w:t>
        </w:r>
      </w:hyperlink>
      <w:r>
        <w:rPr>
          <w:b w:val="0"/>
          <w:i w:val="0"/>
        </w:rPr>
        <w:t>.</w:t>
      </w:r>
    </w:p>
    <w:p>
      <w:pPr>
        <w:widowControl/>
      </w:pPr>
      <w:bookmarkStart w:id="2036" w:name="passage-iv-1-36"/>
      <w:bookmarkEnd w:id="2036"/>
      <w:r>
        <w:rPr>
          <w:b/>
          <w:i w:val="0"/>
        </w:rPr>
        <w:t>IV.1.36</w:t>
      </w:r>
      <w:r>
        <w:rPr>
          <w:b/>
          <w:i w:val="0"/>
        </w:rPr>
        <w:t>, source pp. 300–301.</w:t>
      </w:r>
      <w:r>
        <w:rPr>
          <w:b w:val="0"/>
          <w:i w:val="0"/>
        </w:rPr>
        <w:t xml:space="preserve"> Articles: </w:t>
      </w:r>
      <w:hyperlink w:anchor="common-and-proper">
        <w:r>
          <w:rPr>
            <w:color w:val="000000"/>
          </w:rPr>
          <w:t xml:space="preserve">Common and proper</w:t>
        </w:r>
      </w:hyperlink>
      <w:r>
        <w:rPr>
          <w:b w:val="0"/>
          <w:i w:val="0"/>
        </w:rPr>
        <w:t xml:space="preserve">; </w:t>
      </w:r>
      <w:hyperlink w:anchor="earth-as-mother">
        <w:r>
          <w:rPr>
            <w:color w:val="000000"/>
          </w:rPr>
          <w:t xml:space="preserve">Earth as mother</w:t>
        </w:r>
      </w:hyperlink>
      <w:r>
        <w:rPr>
          <w:b w:val="0"/>
          <w:i w:val="0"/>
        </w:rPr>
        <w:t xml:space="preserve">; </w:t>
      </w:r>
      <w:hyperlink w:anchor="earth-soul">
        <w:r>
          <w:rPr>
            <w:color w:val="000000"/>
          </w:rPr>
          <w:t xml:space="preserve">Earth soul</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proportion-and-analogy">
        <w:r>
          <w:rPr>
            <w:color w:val="000000"/>
          </w:rPr>
          <w:t xml:space="preserve">Proportion and analogy</w:t>
        </w:r>
      </w:hyperlink>
      <w:r>
        <w:rPr>
          <w:b w:val="0"/>
          <w:i w:val="0"/>
        </w:rPr>
        <w:t xml:space="preserve">; </w:t>
      </w:r>
      <w:hyperlink w:anchor="purity-and-mixture">
        <w:r>
          <w:rPr>
            <w:color w:val="000000"/>
          </w:rPr>
          <w:t xml:space="preserve">Purity and mixture</w:t>
        </w:r>
      </w:hyperlink>
      <w:r>
        <w:rPr>
          <w:b w:val="0"/>
          <w:i w:val="0"/>
        </w:rPr>
        <w:t xml:space="preserve">; </w:t>
      </w:r>
      <w:hyperlink w:anchor="spheres-and-stars">
        <w:r>
          <w:rPr>
            <w:color w:val="000000"/>
          </w:rPr>
          <w:t xml:space="preserve">Spheres and stars</w:t>
        </w:r>
      </w:hyperlink>
      <w:r>
        <w:rPr>
          <w:b w:val="0"/>
          <w:i w:val="0"/>
        </w:rPr>
        <w:t xml:space="preserve">; </w:t>
      </w:r>
      <w:hyperlink w:anchor="twelve">
        <w:r>
          <w:rPr>
            <w:color w:val="000000"/>
          </w:rPr>
          <w:t xml:space="preserve">Twelve</w:t>
        </w:r>
      </w:hyperlink>
      <w:r>
        <w:rPr>
          <w:b w:val="0"/>
          <w:i w:val="0"/>
        </w:rPr>
        <w:t xml:space="preserve">. Vocabulary: </w:t>
      </w:r>
      <w:hyperlink w:anchor="latin-record-0833">
        <w:r>
          <w:rPr>
            <w:color w:val="000000"/>
          </w:rPr>
          <w:t xml:space="preserve">parturire</w:t>
        </w:r>
      </w:hyperlink>
      <w:r>
        <w:rPr>
          <w:b w:val="0"/>
          <w:i w:val="0"/>
        </w:rPr>
        <w:t>.</w:t>
      </w:r>
    </w:p>
    <w:p>
      <w:pPr>
        <w:widowControl/>
      </w:pPr>
      <w:bookmarkStart w:id="2037" w:name="passage-iv-1-37"/>
      <w:bookmarkEnd w:id="2037"/>
      <w:r>
        <w:rPr>
          <w:b/>
          <w:i w:val="0"/>
        </w:rPr>
        <w:t>IV.1.37</w:t>
      </w:r>
      <w:r>
        <w:rPr>
          <w:b/>
          <w:i w:val="0"/>
        </w:rPr>
        <w:t>, source pp. 300–301.</w:t>
      </w:r>
      <w:r>
        <w:rPr>
          <w:b w:val="0"/>
          <w:i w:val="0"/>
        </w:rPr>
        <w:t xml:space="preserve"> Articles: </w:t>
      </w:r>
      <w:hyperlink w:anchor="animating-and-animal">
        <w:r>
          <w:rPr>
            <w:color w:val="000000"/>
          </w:rPr>
          <w:t xml:space="preserve">Animating and animal</w:t>
        </w:r>
      </w:hyperlink>
      <w:r>
        <w:rPr>
          <w:b w:val="0"/>
          <w:i w:val="0"/>
        </w:rPr>
        <w:t xml:space="preserve">; </w:t>
      </w:r>
      <w:hyperlink w:anchor="common-and-proper">
        <w:r>
          <w:rPr>
            <w:color w:val="000000"/>
          </w:rPr>
          <w:t xml:space="preserve">Common and proper</w:t>
        </w:r>
      </w:hyperlink>
      <w:r>
        <w:rPr>
          <w:b w:val="0"/>
          <w:i w:val="0"/>
        </w:rPr>
        <w:t xml:space="preserve">; </w:t>
      </w:r>
      <w:hyperlink w:anchor="earth-soul">
        <w:r>
          <w:rPr>
            <w:color w:val="000000"/>
          </w:rPr>
          <w:t xml:space="preserve">Earth soul</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purity-and-mixture">
        <w:r>
          <w:rPr>
            <w:color w:val="000000"/>
          </w:rPr>
          <w:t xml:space="preserve">Purity and mixture</w:t>
        </w:r>
      </w:hyperlink>
      <w:r>
        <w:rPr>
          <w:b w:val="0"/>
          <w:i w:val="0"/>
        </w:rPr>
        <w:t xml:space="preserve">; </w:t>
      </w:r>
      <w:hyperlink w:anchor="soul">
        <w:r>
          <w:rPr>
            <w:color w:val="000000"/>
          </w:rPr>
          <w:t xml:space="preserve">Soul</w:t>
        </w:r>
      </w:hyperlink>
      <w:r>
        <w:rPr>
          <w:b w:val="0"/>
          <w:i w:val="0"/>
        </w:rPr>
        <w:t xml:space="preserve">; </w:t>
      </w:r>
      <w:hyperlink w:anchor="spheres-and-stars">
        <w:r>
          <w:rPr>
            <w:color w:val="000000"/>
          </w:rPr>
          <w:t xml:space="preserve">Spheres and stars</w:t>
        </w:r>
      </w:hyperlink>
      <w:r>
        <w:rPr>
          <w:b w:val="0"/>
          <w:i w:val="0"/>
        </w:rPr>
        <w:t xml:space="preserve">. Vocabulary: </w:t>
      </w:r>
      <w:hyperlink w:anchor="latin-record-0032">
        <w:r>
          <w:rPr>
            <w:color w:val="000000"/>
          </w:rPr>
          <w:t xml:space="preserve">aedificia / machinae</w:t>
        </w:r>
      </w:hyperlink>
      <w:r>
        <w:rPr>
          <w:b w:val="0"/>
          <w:i w:val="0"/>
        </w:rPr>
        <w:t xml:space="preserve">; </w:t>
      </w:r>
      <w:hyperlink w:anchor="latin-record-0963">
        <w:r>
          <w:rPr>
            <w:color w:val="000000"/>
          </w:rPr>
          <w:t xml:space="preserve">proprius / communis</w:t>
        </w:r>
      </w:hyperlink>
      <w:r>
        <w:rPr>
          <w:b w:val="0"/>
          <w:i w:val="0"/>
        </w:rPr>
        <w:t>.</w:t>
      </w:r>
    </w:p>
    <w:p>
      <w:pPr>
        <w:widowControl/>
      </w:pPr>
      <w:bookmarkStart w:id="2038" w:name="passage-iv-1-38"/>
      <w:bookmarkEnd w:id="2038"/>
      <w:r>
        <w:rPr>
          <w:b/>
          <w:i w:val="0"/>
        </w:rPr>
        <w:t>IV.1.38</w:t>
      </w:r>
      <w:r>
        <w:rPr>
          <w:b/>
          <w:i w:val="0"/>
        </w:rPr>
        <w:t>, source pp. 300–301.</w:t>
      </w:r>
      <w:r>
        <w:rPr>
          <w:b w:val="0"/>
          <w:i w:val="0"/>
        </w:rPr>
        <w:t xml:space="preserve"> Articles: </w:t>
      </w:r>
      <w:hyperlink w:anchor="animating-and-animal">
        <w:r>
          <w:rPr>
            <w:color w:val="000000"/>
          </w:rPr>
          <w:t xml:space="preserve">Animating and animal</w:t>
        </w:r>
      </w:hyperlink>
      <w:r>
        <w:rPr>
          <w:b w:val="0"/>
          <w:i w:val="0"/>
        </w:rPr>
        <w:t xml:space="preserve">; </w:t>
      </w:r>
      <w:hyperlink w:anchor="common-and-proper">
        <w:r>
          <w:rPr>
            <w:color w:val="000000"/>
          </w:rPr>
          <w:t xml:space="preserve">Common and proper</w:t>
        </w:r>
      </w:hyperlink>
      <w:r>
        <w:rPr>
          <w:b w:val="0"/>
          <w:i w:val="0"/>
        </w:rPr>
        <w:t xml:space="preserve">; </w:t>
      </w:r>
      <w:hyperlink w:anchor="daemons">
        <w:r>
          <w:rPr>
            <w:color w:val="000000"/>
          </w:rPr>
          <w:t xml:space="preserve">Daemons</w:t>
        </w:r>
      </w:hyperlink>
      <w:r>
        <w:rPr>
          <w:b w:val="0"/>
          <w:i w:val="0"/>
        </w:rPr>
        <w:t xml:space="preserve">; </w:t>
      </w:r>
      <w:hyperlink w:anchor="earth-soul">
        <w:r>
          <w:rPr>
            <w:color w:val="000000"/>
          </w:rPr>
          <w:t xml:space="preserve">Earth soul</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purity-and-mixture">
        <w:r>
          <w:rPr>
            <w:color w:val="000000"/>
          </w:rPr>
          <w:t xml:space="preserve">Purity and mixture</w:t>
        </w:r>
      </w:hyperlink>
      <w:r>
        <w:rPr>
          <w:b w:val="0"/>
          <w:i w:val="0"/>
        </w:rPr>
        <w:t xml:space="preserve">; </w:t>
      </w:r>
      <w:hyperlink w:anchor="seeming-and-evidence">
        <w:r>
          <w:rPr>
            <w:color w:val="000000"/>
          </w:rPr>
          <w:t xml:space="preserve">Seeming and evidence</w:t>
        </w:r>
      </w:hyperlink>
      <w:r>
        <w:rPr>
          <w:b w:val="0"/>
          <w:i w:val="0"/>
        </w:rPr>
        <w:t xml:space="preserve">; </w:t>
      </w:r>
      <w:hyperlink w:anchor="spheres-and-stars">
        <w:r>
          <w:rPr>
            <w:color w:val="000000"/>
          </w:rPr>
          <w:t xml:space="preserve">Spheres and stars</w:t>
        </w:r>
      </w:hyperlink>
      <w:r>
        <w:rPr>
          <w:b w:val="0"/>
          <w:i w:val="0"/>
        </w:rPr>
        <w:t xml:space="preserve">. Vocabulary: </w:t>
      </w:r>
      <w:hyperlink w:anchor="latin-record-0125">
        <w:r>
          <w:rPr>
            <w:color w:val="000000"/>
          </w:rPr>
          <w:t xml:space="preserve">beneficium</w:t>
        </w:r>
      </w:hyperlink>
      <w:r>
        <w:rPr>
          <w:b w:val="0"/>
          <w:i w:val="0"/>
        </w:rPr>
        <w:t xml:space="preserve">; </w:t>
      </w:r>
      <w:hyperlink w:anchor="latin-record-0865">
        <w:r>
          <w:rPr>
            <w:color w:val="000000"/>
          </w:rPr>
          <w:t xml:space="preserve">perspicere / cernere</w:t>
        </w:r>
      </w:hyperlink>
      <w:r>
        <w:rPr>
          <w:b w:val="0"/>
          <w:i w:val="0"/>
        </w:rPr>
        <w:t>.</w:t>
      </w:r>
    </w:p>
    <w:p>
      <w:pPr>
        <w:widowControl/>
      </w:pPr>
      <w:bookmarkStart w:id="2039" w:name="passage-iv-1-39"/>
      <w:bookmarkEnd w:id="2039"/>
      <w:r>
        <w:rPr>
          <w:b/>
          <w:i w:val="0"/>
        </w:rPr>
        <w:t>IV.1.39</w:t>
      </w:r>
      <w:r>
        <w:rPr>
          <w:b/>
          <w:i w:val="0"/>
        </w:rPr>
        <w:t>, source pp. 302–303.</w:t>
      </w:r>
      <w:r>
        <w:rPr>
          <w:b w:val="0"/>
          <w:i w:val="0"/>
        </w:rPr>
        <w:t xml:space="preserve"> Articles: </w:t>
      </w:r>
      <w:hyperlink w:anchor="common-and-proper">
        <w:r>
          <w:rPr>
            <w:color w:val="000000"/>
          </w:rPr>
          <w:t xml:space="preserve">Common and proper</w:t>
        </w:r>
      </w:hyperlink>
      <w:r>
        <w:rPr>
          <w:b w:val="0"/>
          <w:i w:val="0"/>
        </w:rPr>
        <w:t xml:space="preserve">; </w:t>
      </w:r>
      <w:hyperlink w:anchor="daemons">
        <w:r>
          <w:rPr>
            <w:color w:val="000000"/>
          </w:rPr>
          <w:t xml:space="preserve">Daemons</w:t>
        </w:r>
      </w:hyperlink>
      <w:r>
        <w:rPr>
          <w:b w:val="0"/>
          <w:i w:val="0"/>
        </w:rPr>
        <w:t xml:space="preserve">; </w:t>
      </w:r>
      <w:hyperlink w:anchor="earth-soul">
        <w:r>
          <w:rPr>
            <w:color w:val="000000"/>
          </w:rPr>
          <w:t xml:space="preserve">Earth soul</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hermetic-theologians-and-the-magi">
        <w:r>
          <w:rPr>
            <w:color w:val="000000"/>
          </w:rPr>
          <w:t xml:space="preserve">Hermetic theologians and the Magi</w:t>
        </w:r>
      </w:hyperlink>
      <w:r>
        <w:rPr>
          <w:b w:val="0"/>
          <w:i w:val="0"/>
        </w:rPr>
        <w:t xml:space="preserve">; </w:t>
      </w:r>
      <w:hyperlink w:anchor="purity-and-mixture">
        <w:r>
          <w:rPr>
            <w:color w:val="000000"/>
          </w:rPr>
          <w:t xml:space="preserve">Purity and mixture</w:t>
        </w:r>
      </w:hyperlink>
      <w:r>
        <w:rPr>
          <w:b w:val="0"/>
          <w:i w:val="0"/>
        </w:rPr>
        <w:t xml:space="preserve">; </w:t>
      </w:r>
      <w:hyperlink w:anchor="seeming-and-evidence">
        <w:r>
          <w:rPr>
            <w:color w:val="000000"/>
          </w:rPr>
          <w:t xml:space="preserve">Seeming and evidence</w:t>
        </w:r>
      </w:hyperlink>
      <w:r>
        <w:rPr>
          <w:b w:val="0"/>
          <w:i w:val="0"/>
        </w:rPr>
        <w:t xml:space="preserve">; </w:t>
      </w:r>
      <w:hyperlink w:anchor="spheres-and-stars">
        <w:r>
          <w:rPr>
            <w:color w:val="000000"/>
          </w:rPr>
          <w:t xml:space="preserve">Spheres and stars</w:t>
        </w:r>
      </w:hyperlink>
      <w:r>
        <w:rPr>
          <w:b w:val="0"/>
          <w:i w:val="0"/>
        </w:rPr>
        <w:t xml:space="preserve">. Vocabulary: </w:t>
      </w:r>
      <w:hyperlink w:anchor="latin-record-0214">
        <w:r>
          <w:rPr>
            <w:color w:val="000000"/>
          </w:rPr>
          <w:t xml:space="preserve">compos rationis / ratione captus</w:t>
        </w:r>
      </w:hyperlink>
      <w:r>
        <w:rPr>
          <w:b w:val="0"/>
          <w:i w:val="0"/>
        </w:rPr>
        <w:t xml:space="preserve">; </w:t>
      </w:r>
      <w:hyperlink w:anchor="latin-record-0401">
        <w:r>
          <w:rPr>
            <w:color w:val="000000"/>
          </w:rPr>
          <w:t xml:space="preserve">exhalatio</w:t>
        </w:r>
      </w:hyperlink>
      <w:r>
        <w:rPr>
          <w:b w:val="0"/>
          <w:i w:val="0"/>
        </w:rPr>
        <w:t xml:space="preserve">; </w:t>
      </w:r>
      <w:hyperlink w:anchor="latin-record-0616">
        <w:r>
          <w:rPr>
            <w:color w:val="000000"/>
          </w:rPr>
          <w:t xml:space="preserve">irrationalis</w:t>
        </w:r>
      </w:hyperlink>
      <w:r>
        <w:rPr>
          <w:b w:val="0"/>
          <w:i w:val="0"/>
        </w:rPr>
        <w:t xml:space="preserve">; </w:t>
      </w:r>
      <w:hyperlink w:anchor="latin-record-0756">
        <w:r>
          <w:rPr>
            <w:color w:val="000000"/>
          </w:rPr>
          <w:t xml:space="preserve">Nereides</w:t>
        </w:r>
      </w:hyperlink>
      <w:r>
        <w:rPr>
          <w:b w:val="0"/>
          <w:i w:val="0"/>
        </w:rPr>
        <w:t xml:space="preserve">; </w:t>
      </w:r>
      <w:hyperlink w:anchor="latin-record-0892">
        <w:r>
          <w:rPr>
            <w:color w:val="000000"/>
          </w:rPr>
          <w:t xml:space="preserve">Porphyrius / Persis / Tusci</w:t>
        </w:r>
      </w:hyperlink>
      <w:r>
        <w:rPr>
          <w:b w:val="0"/>
          <w:i w:val="0"/>
        </w:rPr>
        <w:t xml:space="preserve">; </w:t>
      </w:r>
      <w:hyperlink w:anchor="latin-record-1027">
        <w:r>
          <w:rPr>
            <w:color w:val="000000"/>
          </w:rPr>
          <w:t xml:space="preserve">rationis compos / expers</w:t>
        </w:r>
      </w:hyperlink>
      <w:r>
        <w:rPr>
          <w:b w:val="0"/>
          <w:i w:val="0"/>
        </w:rPr>
        <w:t xml:space="preserve">; </w:t>
      </w:r>
      <w:hyperlink w:anchor="latin-record-1183">
        <w:r>
          <w:rPr>
            <w:color w:val="000000"/>
          </w:rPr>
          <w:t xml:space="preserve">tangere / attingere</w:t>
        </w:r>
      </w:hyperlink>
      <w:r>
        <w:rPr>
          <w:b w:val="0"/>
          <w:i w:val="0"/>
        </w:rPr>
        <w:t>.</w:t>
      </w:r>
    </w:p>
    <w:p>
      <w:pPr>
        <w:widowControl/>
      </w:pPr>
      <w:bookmarkStart w:id="2040" w:name="passage-iv-1-40"/>
      <w:bookmarkEnd w:id="2040"/>
      <w:r>
        <w:rPr>
          <w:b/>
          <w:i w:val="0"/>
        </w:rPr>
        <w:t>IV.1.40</w:t>
      </w:r>
      <w:r>
        <w:rPr>
          <w:b/>
          <w:i w:val="0"/>
        </w:rPr>
        <w:t>, source pp. 302–303.</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daemons">
        <w:r>
          <w:rPr>
            <w:color w:val="000000"/>
          </w:rPr>
          <w:t xml:space="preserve">Daemons</w:t>
        </w:r>
      </w:hyperlink>
      <w:r>
        <w:rPr>
          <w:b w:val="0"/>
          <w:i w:val="0"/>
        </w:rPr>
        <w:t xml:space="preserve">; </w:t>
      </w:r>
      <w:hyperlink w:anchor="spheres-and-stars">
        <w:r>
          <w:rPr>
            <w:color w:val="000000"/>
          </w:rPr>
          <w:t xml:space="preserve">Spheres and stars</w:t>
        </w:r>
      </w:hyperlink>
      <w:r>
        <w:rPr>
          <w:b w:val="0"/>
          <w:i w:val="0"/>
        </w:rPr>
        <w:t xml:space="preserve">; </w:t>
      </w:r>
      <w:hyperlink w:anchor="twelve">
        <w:r>
          <w:rPr>
            <w:color w:val="000000"/>
          </w:rPr>
          <w:t xml:space="preserve">Twelve</w:t>
        </w:r>
      </w:hyperlink>
      <w:r>
        <w:rPr>
          <w:b w:val="0"/>
          <w:i w:val="0"/>
        </w:rPr>
        <w:t xml:space="preserve">. Vocabulary: </w:t>
      </w:r>
      <w:hyperlink w:anchor="latin-record-0231">
        <w:r>
          <w:rPr>
            <w:color w:val="000000"/>
          </w:rPr>
          <w:t xml:space="preserve">confabulari</w:t>
        </w:r>
      </w:hyperlink>
      <w:r>
        <w:rPr>
          <w:b w:val="0"/>
          <w:i w:val="0"/>
        </w:rPr>
        <w:t>.</w:t>
      </w:r>
    </w:p>
    <w:p>
      <w:pPr>
        <w:widowControl/>
      </w:pPr>
      <w:bookmarkStart w:id="2041" w:name="passage-iv-1-41"/>
      <w:bookmarkEnd w:id="2041"/>
      <w:r>
        <w:rPr>
          <w:b/>
          <w:i w:val="0"/>
        </w:rPr>
        <w:t>IV.1.41</w:t>
      </w:r>
      <w:r>
        <w:rPr>
          <w:b/>
          <w:i w:val="0"/>
        </w:rPr>
        <w:t>, source pp. 302–303.</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spheres-and-stars">
        <w:r>
          <w:rPr>
            <w:color w:val="000000"/>
          </w:rPr>
          <w:t xml:space="preserve">Spheres and stars</w:t>
        </w:r>
      </w:hyperlink>
      <w:r>
        <w:rPr>
          <w:b w:val="0"/>
          <w:i w:val="0"/>
        </w:rPr>
        <w:t xml:space="preserve">; </w:t>
      </w:r>
      <w:hyperlink w:anchor="twelve">
        <w:r>
          <w:rPr>
            <w:color w:val="000000"/>
          </w:rPr>
          <w:t xml:space="preserve">Twelve</w:t>
        </w:r>
      </w:hyperlink>
      <w:r>
        <w:rPr>
          <w:b w:val="0"/>
          <w:i w:val="0"/>
        </w:rPr>
        <w:t xml:space="preserve">. Vocabulary: </w:t>
      </w:r>
      <w:hyperlink w:anchor="latin-record-0184">
        <w:r>
          <w:rPr>
            <w:color w:val="000000"/>
          </w:rPr>
          <w:t xml:space="preserve">colligere / reducere</w:t>
        </w:r>
      </w:hyperlink>
      <w:r>
        <w:rPr>
          <w:b w:val="0"/>
          <w:i w:val="0"/>
        </w:rPr>
        <w:t xml:space="preserve">; </w:t>
      </w:r>
      <w:hyperlink w:anchor="latin-record-0926">
        <w:r>
          <w:rPr>
            <w:color w:val="000000"/>
          </w:rPr>
          <w:t xml:space="preserve">princeps</w:t>
        </w:r>
      </w:hyperlink>
      <w:r>
        <w:rPr>
          <w:b w:val="0"/>
          <w:i w:val="0"/>
        </w:rPr>
        <w:t>.</w:t>
      </w:r>
    </w:p>
    <w:p>
      <w:pPr>
        <w:widowControl/>
      </w:pPr>
      <w:bookmarkStart w:id="2042" w:name="passage-iv-1-42"/>
      <w:bookmarkEnd w:id="2042"/>
      <w:r>
        <w:rPr>
          <w:b/>
          <w:i w:val="0"/>
        </w:rPr>
        <w:t>IV.1.42</w:t>
      </w:r>
      <w:r>
        <w:rPr>
          <w:b/>
          <w:i w:val="0"/>
        </w:rPr>
        <w:t>, source pp. 302–303.</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head-heart-and-members">
        <w:r>
          <w:rPr>
            <w:color w:val="000000"/>
          </w:rPr>
          <w:t xml:space="preserve">Head, heart, and members</w:t>
        </w:r>
      </w:hyperlink>
      <w:r>
        <w:rPr>
          <w:b w:val="0"/>
          <w:i w:val="0"/>
        </w:rPr>
        <w:t xml:space="preserve">; </w:t>
      </w:r>
      <w:hyperlink w:anchor="spheres-and-stars">
        <w:r>
          <w:rPr>
            <w:color w:val="000000"/>
          </w:rPr>
          <w:t xml:space="preserve">Spheres and stars</w:t>
        </w:r>
      </w:hyperlink>
      <w:r>
        <w:rPr>
          <w:b w:val="0"/>
          <w:i w:val="0"/>
        </w:rPr>
        <w:t xml:space="preserve">; </w:t>
      </w:r>
      <w:hyperlink w:anchor="twelve">
        <w:r>
          <w:rPr>
            <w:color w:val="000000"/>
          </w:rPr>
          <w:t xml:space="preserve">Twelve</w:t>
        </w:r>
      </w:hyperlink>
      <w:r>
        <w:rPr>
          <w:b w:val="0"/>
          <w:i w:val="0"/>
        </w:rPr>
        <w:t xml:space="preserve">; </w:t>
      </w:r>
      <w:hyperlink w:anchor="zodiac">
        <w:r>
          <w:rPr>
            <w:color w:val="000000"/>
          </w:rPr>
          <w:t xml:space="preserve">Zodiac</w:t>
        </w:r>
      </w:hyperlink>
      <w:r>
        <w:rPr>
          <w:b w:val="0"/>
          <w:i w:val="0"/>
        </w:rPr>
        <w:t xml:space="preserve">. Vocabulary: </w:t>
      </w:r>
      <w:hyperlink w:anchor="latin-record-0098">
        <w:r>
          <w:rPr>
            <w:color w:val="000000"/>
          </w:rPr>
          <w:t xml:space="preserve">artus / articulus</w:t>
        </w:r>
      </w:hyperlink>
      <w:r>
        <w:rPr>
          <w:b w:val="0"/>
          <w:i w:val="0"/>
        </w:rPr>
        <w:t xml:space="preserve">; </w:t>
      </w:r>
      <w:hyperlink w:anchor="latin-record-1032">
        <w:r>
          <w:rPr>
            <w:color w:val="000000"/>
          </w:rPr>
          <w:t xml:space="preserve">recurrere in duodenarium</w:t>
        </w:r>
      </w:hyperlink>
      <w:r>
        <w:rPr>
          <w:b w:val="0"/>
          <w:i w:val="0"/>
        </w:rPr>
        <w:t>.</w:t>
      </w:r>
    </w:p>
    <w:p>
      <w:pPr>
        <w:widowControl/>
      </w:pPr>
      <w:bookmarkStart w:id="2043" w:name="passage-iv-1-43"/>
      <w:bookmarkEnd w:id="2043"/>
      <w:r>
        <w:rPr>
          <w:b/>
          <w:i w:val="0"/>
        </w:rPr>
        <w:t>IV.1.43</w:t>
      </w:r>
      <w:r>
        <w:rPr>
          <w:b/>
          <w:i w:val="0"/>
        </w:rPr>
        <w:t>, source pp. 304–305.</w:t>
      </w:r>
      <w:r>
        <w:rPr>
          <w:b w:val="0"/>
          <w:i w:val="0"/>
        </w:rPr>
        <w:t xml:space="preserve"> Articles: </w:t>
      </w:r>
      <w:hyperlink w:anchor="apollo">
        <w:r>
          <w:rPr>
            <w:color w:val="000000"/>
          </w:rPr>
          <w:t xml:space="preserve">Apollo</w:t>
        </w:r>
      </w:hyperlink>
      <w:r>
        <w:rPr>
          <w:b w:val="0"/>
          <w:i w:val="0"/>
        </w:rPr>
        <w:t xml:space="preserve">; </w:t>
      </w:r>
      <w:hyperlink w:anchor="assertion-report-and-reservation">
        <w:r>
          <w:rPr>
            <w:color w:val="000000"/>
          </w:rPr>
          <w:t xml:space="preserve">Assertion, report, and reservation</w:t>
        </w:r>
      </w:hyperlink>
      <w:r>
        <w:rPr>
          <w:b w:val="0"/>
          <w:i w:val="0"/>
        </w:rPr>
        <w:t xml:space="preserve">; </w:t>
      </w:r>
      <w:hyperlink w:anchor="common-and-proper">
        <w:r>
          <w:rPr>
            <w:color w:val="000000"/>
          </w:rPr>
          <w:t xml:space="preserve">Common and proper</w:t>
        </w:r>
      </w:hyperlink>
      <w:r>
        <w:rPr>
          <w:b w:val="0"/>
          <w:i w:val="0"/>
        </w:rPr>
        <w:t xml:space="preserve">; </w:t>
      </w:r>
      <w:hyperlink w:anchor="head-heart-and-members">
        <w:r>
          <w:rPr>
            <w:color w:val="000000"/>
          </w:rPr>
          <w:t xml:space="preserve">Head, heart, and members</w:t>
        </w:r>
      </w:hyperlink>
      <w:r>
        <w:rPr>
          <w:b w:val="0"/>
          <w:i w:val="0"/>
        </w:rPr>
        <w:t xml:space="preserve">; </w:t>
      </w:r>
      <w:hyperlink w:anchor="spheres-and-stars">
        <w:r>
          <w:rPr>
            <w:color w:val="000000"/>
          </w:rPr>
          <w:t xml:space="preserve">Spheres and stars</w:t>
        </w:r>
      </w:hyperlink>
      <w:r>
        <w:rPr>
          <w:b w:val="0"/>
          <w:i w:val="0"/>
        </w:rPr>
        <w:t xml:space="preserve">; </w:t>
      </w:r>
      <w:hyperlink w:anchor="twelve">
        <w:r>
          <w:rPr>
            <w:color w:val="000000"/>
          </w:rPr>
          <w:t xml:space="preserve">Twelve</w:t>
        </w:r>
      </w:hyperlink>
      <w:r>
        <w:rPr>
          <w:b w:val="0"/>
          <w:i w:val="0"/>
        </w:rPr>
        <w:t xml:space="preserve">; </w:t>
      </w:r>
      <w:hyperlink w:anchor="zodiac">
        <w:r>
          <w:rPr>
            <w:color w:val="000000"/>
          </w:rPr>
          <w:t xml:space="preserve">Zodiac</w:t>
        </w:r>
      </w:hyperlink>
      <w:r>
        <w:rPr>
          <w:b w:val="0"/>
          <w:i w:val="0"/>
        </w:rPr>
        <w:t xml:space="preserve">. Vocabulary: </w:t>
      </w:r>
      <w:hyperlink w:anchor="latin-record-0277">
        <w:r>
          <w:rPr>
            <w:color w:val="000000"/>
          </w:rPr>
          <w:t xml:space="preserve">cor / principalis stella</w:t>
        </w:r>
      </w:hyperlink>
      <w:r>
        <w:rPr>
          <w:b w:val="0"/>
          <w:i w:val="0"/>
        </w:rPr>
        <w:t xml:space="preserve">; </w:t>
      </w:r>
      <w:hyperlink w:anchor="latin-record-0871">
        <w:r>
          <w:rPr>
            <w:color w:val="000000"/>
          </w:rPr>
          <w:t xml:space="preserve">Phoebus particularis / Iupiter particularis</w:t>
        </w:r>
      </w:hyperlink>
      <w:r>
        <w:rPr>
          <w:b w:val="0"/>
          <w:i w:val="0"/>
        </w:rPr>
        <w:t xml:space="preserve">; </w:t>
      </w:r>
      <w:hyperlink w:anchor="latin-record-1104">
        <w:r>
          <w:rPr>
            <w:color w:val="000000"/>
          </w:rPr>
          <w:t xml:space="preserve">signum</w:t>
        </w:r>
      </w:hyperlink>
      <w:r>
        <w:rPr>
          <w:b w:val="0"/>
          <w:i w:val="0"/>
        </w:rPr>
        <w:t>.</w:t>
      </w:r>
    </w:p>
    <w:p>
      <w:pPr>
        <w:widowControl/>
      </w:pPr>
      <w:bookmarkStart w:id="2044" w:name="passage-iv-1-44"/>
      <w:bookmarkEnd w:id="2044"/>
      <w:r>
        <w:rPr>
          <w:b/>
          <w:i w:val="0"/>
        </w:rPr>
        <w:t>IV.1.44</w:t>
      </w:r>
      <w:r>
        <w:rPr>
          <w:b/>
          <w:i w:val="0"/>
        </w:rPr>
        <w:t>, source pp. 304–305.</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head-heart-and-members">
        <w:r>
          <w:rPr>
            <w:color w:val="000000"/>
          </w:rPr>
          <w:t xml:space="preserve">Head, heart, and members</w:t>
        </w:r>
      </w:hyperlink>
      <w:r>
        <w:rPr>
          <w:b w:val="0"/>
          <w:i w:val="0"/>
        </w:rPr>
        <w:t xml:space="preserve">; </w:t>
      </w:r>
      <w:hyperlink w:anchor="reason-anger-and-desire">
        <w:r>
          <w:rPr>
            <w:color w:val="000000"/>
          </w:rPr>
          <w:t xml:space="preserve">Reason anger and desire</w:t>
        </w:r>
      </w:hyperlink>
      <w:r>
        <w:rPr>
          <w:b w:val="0"/>
          <w:i w:val="0"/>
        </w:rPr>
        <w:t xml:space="preserve">; </w:t>
      </w:r>
      <w:hyperlink w:anchor="twelve">
        <w:r>
          <w:rPr>
            <w:color w:val="000000"/>
          </w:rPr>
          <w:t xml:space="preserve">Twelve</w:t>
        </w:r>
      </w:hyperlink>
      <w:r>
        <w:rPr>
          <w:b w:val="0"/>
          <w:i w:val="0"/>
        </w:rPr>
        <w:t xml:space="preserve">. Vocabulary: </w:t>
      </w:r>
      <w:hyperlink w:anchor="latin-record-0158">
        <w:r>
          <w:rPr>
            <w:color w:val="000000"/>
          </w:rPr>
          <w:t xml:space="preserve">cerebrum / cor / iecur</w:t>
        </w:r>
      </w:hyperlink>
      <w:r>
        <w:rPr>
          <w:b w:val="0"/>
          <w:i w:val="0"/>
        </w:rPr>
        <w:t xml:space="preserve">; </w:t>
      </w:r>
      <w:hyperlink w:anchor="latin-record-0188">
        <w:r>
          <w:rPr>
            <w:color w:val="000000"/>
          </w:rPr>
          <w:t xml:space="preserve">collocare / assignare</w:t>
        </w:r>
      </w:hyperlink>
      <w:r>
        <w:rPr>
          <w:b w:val="0"/>
          <w:i w:val="0"/>
        </w:rPr>
        <w:t xml:space="preserve">; </w:t>
      </w:r>
      <w:hyperlink w:anchor="latin-record-0749">
        <w:r>
          <w:rPr>
            <w:color w:val="000000"/>
          </w:rPr>
          <w:t xml:space="preserve">necessitas / oportere</w:t>
        </w:r>
      </w:hyperlink>
      <w:r>
        <w:rPr>
          <w:b w:val="0"/>
          <w:i w:val="0"/>
        </w:rPr>
        <w:t xml:space="preserve">; </w:t>
      </w:r>
      <w:hyperlink w:anchor="latin-record-1101">
        <w:r>
          <w:rPr>
            <w:color w:val="000000"/>
          </w:rPr>
          <w:t xml:space="preserve">servire / depravare</w:t>
        </w:r>
      </w:hyperlink>
      <w:r>
        <w:rPr>
          <w:b w:val="0"/>
          <w:i w:val="0"/>
        </w:rPr>
        <w:t xml:space="preserve">; </w:t>
      </w:r>
      <w:hyperlink w:anchor="latin-record-1130">
        <w:r>
          <w:rPr>
            <w:color w:val="000000"/>
          </w:rPr>
          <w:t xml:space="preserve">spirare</w:t>
        </w:r>
      </w:hyperlink>
      <w:r>
        <w:rPr>
          <w:b w:val="0"/>
          <w:i w:val="0"/>
        </w:rPr>
        <w:t xml:space="preserve">; </w:t>
      </w:r>
      <w:hyperlink w:anchor="latin-record-1230">
        <w:r>
          <w:rPr>
            <w:color w:val="000000"/>
          </w:rPr>
          <w:t xml:space="preserve">uti / usus</w:t>
        </w:r>
      </w:hyperlink>
      <w:r>
        <w:rPr>
          <w:b w:val="0"/>
          <w:i w:val="0"/>
        </w:rPr>
        <w:t>.</w:t>
      </w:r>
    </w:p>
    <w:p>
      <w:pPr>
        <w:widowControl/>
      </w:pPr>
      <w:bookmarkStart w:id="2045" w:name="passage-iv-1-45"/>
      <w:bookmarkEnd w:id="2045"/>
      <w:r>
        <w:rPr>
          <w:b/>
          <w:i w:val="0"/>
        </w:rPr>
        <w:t>IV.1.45</w:t>
      </w:r>
      <w:r>
        <w:rPr>
          <w:b/>
          <w:i w:val="0"/>
        </w:rPr>
        <w:t>, source pp. 304–305.</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reason-anger-and-desire">
        <w:r>
          <w:rPr>
            <w:color w:val="000000"/>
          </w:rPr>
          <w:t xml:space="preserve">Reason anger and desire</w:t>
        </w:r>
      </w:hyperlink>
      <w:r>
        <w:rPr>
          <w:b w:val="0"/>
          <w:i w:val="0"/>
        </w:rPr>
        <w:t xml:space="preserve">; </w:t>
      </w:r>
      <w:hyperlink w:anchor="twelve">
        <w:r>
          <w:rPr>
            <w:color w:val="000000"/>
          </w:rPr>
          <w:t xml:space="preserve">Twelve</w:t>
        </w:r>
      </w:hyperlink>
      <w:r>
        <w:rPr>
          <w:b w:val="0"/>
          <w:i w:val="0"/>
        </w:rPr>
        <w:t xml:space="preserve">. Vocabulary: </w:t>
      </w:r>
      <w:hyperlink w:anchor="latin-record-0662">
        <w:r>
          <w:rPr>
            <w:color w:val="000000"/>
          </w:rPr>
          <w:t xml:space="preserve">magis / minus / minime</w:t>
        </w:r>
      </w:hyperlink>
      <w:r>
        <w:rPr>
          <w:b w:val="0"/>
          <w:i w:val="0"/>
        </w:rPr>
        <w:t xml:space="preserve">; </w:t>
      </w:r>
      <w:hyperlink w:anchor="latin-record-1230">
        <w:r>
          <w:rPr>
            <w:color w:val="000000"/>
          </w:rPr>
          <w:t xml:space="preserve">uti / usus</w:t>
        </w:r>
      </w:hyperlink>
      <w:r>
        <w:rPr>
          <w:b w:val="0"/>
          <w:i w:val="0"/>
        </w:rPr>
        <w:t>.</w:t>
      </w:r>
    </w:p>
    <w:p>
      <w:pPr>
        <w:widowControl/>
      </w:pPr>
      <w:bookmarkStart w:id="2046" w:name="passage-iv-1-46"/>
      <w:bookmarkEnd w:id="2046"/>
      <w:r>
        <w:rPr>
          <w:b/>
          <w:i w:val="0"/>
        </w:rPr>
        <w:t>IV.1.46</w:t>
      </w:r>
      <w:r>
        <w:rPr>
          <w:b/>
          <w:i w:val="0"/>
        </w:rPr>
        <w:t>, source pp. 304–305.</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reason-anger-and-desire">
        <w:r>
          <w:rPr>
            <w:color w:val="000000"/>
          </w:rPr>
          <w:t xml:space="preserve">Reason anger and desire</w:t>
        </w:r>
      </w:hyperlink>
      <w:r>
        <w:rPr>
          <w:b w:val="0"/>
          <w:i w:val="0"/>
        </w:rPr>
        <w:t xml:space="preserve">; </w:t>
      </w:r>
      <w:hyperlink w:anchor="twelve">
        <w:r>
          <w:rPr>
            <w:color w:val="000000"/>
          </w:rPr>
          <w:t xml:space="preserve">Twelve</w:t>
        </w:r>
      </w:hyperlink>
      <w:r>
        <w:rPr>
          <w:b w:val="0"/>
          <w:i w:val="0"/>
        </w:rPr>
        <w:t xml:space="preserve">. Vocabulary: </w:t>
      </w:r>
      <w:hyperlink w:anchor="latin-record-0662">
        <w:r>
          <w:rPr>
            <w:color w:val="000000"/>
          </w:rPr>
          <w:t xml:space="preserve">magis / minus / minime</w:t>
        </w:r>
      </w:hyperlink>
      <w:r>
        <w:rPr>
          <w:b w:val="0"/>
          <w:i w:val="0"/>
        </w:rPr>
        <w:t>.</w:t>
      </w:r>
    </w:p>
    <w:p>
      <w:pPr>
        <w:widowControl/>
      </w:pPr>
      <w:bookmarkStart w:id="2047" w:name="passage-iv-1-47"/>
      <w:bookmarkEnd w:id="2047"/>
      <w:r>
        <w:rPr>
          <w:b/>
          <w:i w:val="0"/>
        </w:rPr>
        <w:t>IV.1.47</w:t>
      </w:r>
      <w:r>
        <w:rPr>
          <w:b/>
          <w:i w:val="0"/>
        </w:rPr>
        <w:t>, source pp. 304–305.</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reason-anger-and-desire">
        <w:r>
          <w:rPr>
            <w:color w:val="000000"/>
          </w:rPr>
          <w:t xml:space="preserve">Reason anger and desire</w:t>
        </w:r>
      </w:hyperlink>
      <w:r>
        <w:rPr>
          <w:b w:val="0"/>
          <w:i w:val="0"/>
        </w:rPr>
        <w:t xml:space="preserve">; </w:t>
      </w:r>
      <w:hyperlink w:anchor="twelve">
        <w:r>
          <w:rPr>
            <w:color w:val="000000"/>
          </w:rPr>
          <w:t xml:space="preserve">Twelve</w:t>
        </w:r>
      </w:hyperlink>
      <w:r>
        <w:rPr>
          <w:b w:val="0"/>
          <w:i w:val="0"/>
        </w:rPr>
        <w:t xml:space="preserve">. Vocabulary: </w:t>
      </w:r>
      <w:hyperlink w:anchor="latin-record-0834">
        <w:r>
          <w:rPr>
            <w:color w:val="000000"/>
          </w:rPr>
          <w:t xml:space="preserve">parum / paululum / paulum</w:t>
        </w:r>
      </w:hyperlink>
      <w:r>
        <w:rPr>
          <w:b w:val="0"/>
          <w:i w:val="0"/>
        </w:rPr>
        <w:t xml:space="preserve">; </w:t>
      </w:r>
      <w:hyperlink w:anchor="latin-record-1230">
        <w:r>
          <w:rPr>
            <w:color w:val="000000"/>
          </w:rPr>
          <w:t xml:space="preserve">uti / usus</w:t>
        </w:r>
      </w:hyperlink>
      <w:r>
        <w:rPr>
          <w:b w:val="0"/>
          <w:i w:val="0"/>
        </w:rPr>
        <w:t>.</w:t>
      </w:r>
    </w:p>
    <w:p>
      <w:pPr>
        <w:widowControl/>
      </w:pPr>
      <w:bookmarkStart w:id="2048" w:name="passage-iv-1-48"/>
      <w:bookmarkEnd w:id="2048"/>
      <w:r>
        <w:rPr>
          <w:b/>
          <w:i w:val="0"/>
        </w:rPr>
        <w:t>IV.1.48</w:t>
      </w:r>
      <w:r>
        <w:rPr>
          <w:b/>
          <w:i w:val="0"/>
        </w:rPr>
        <w:t>, source pp. 306–307.</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reason-anger-and-desire">
        <w:r>
          <w:rPr>
            <w:color w:val="000000"/>
          </w:rPr>
          <w:t xml:space="preserve">Reason anger and desire</w:t>
        </w:r>
      </w:hyperlink>
      <w:r>
        <w:rPr>
          <w:b w:val="0"/>
          <w:i w:val="0"/>
        </w:rPr>
        <w:t xml:space="preserve">; </w:t>
      </w:r>
      <w:hyperlink w:anchor="twelve">
        <w:r>
          <w:rPr>
            <w:color w:val="000000"/>
          </w:rPr>
          <w:t xml:space="preserve">Twelve</w:t>
        </w:r>
      </w:hyperlink>
      <w:r>
        <w:rPr>
          <w:b w:val="0"/>
          <w:i w:val="0"/>
        </w:rPr>
        <w:t xml:space="preserve">. Vocabulary: </w:t>
      </w:r>
      <w:hyperlink w:anchor="latin-record-1171">
        <w:r>
          <w:rPr>
            <w:color w:val="000000"/>
          </w:rPr>
          <w:t xml:space="preserve">superare / e converso</w:t>
        </w:r>
      </w:hyperlink>
      <w:r>
        <w:rPr>
          <w:b w:val="0"/>
          <w:i w:val="0"/>
        </w:rPr>
        <w:t>.</w:t>
      </w:r>
    </w:p>
    <w:p>
      <w:pPr>
        <w:widowControl/>
      </w:pPr>
      <w:bookmarkStart w:id="2049" w:name="passage-iv-1-49"/>
      <w:bookmarkEnd w:id="2049"/>
      <w:r>
        <w:rPr>
          <w:b/>
          <w:i w:val="0"/>
        </w:rPr>
        <w:t>IV.1.49</w:t>
      </w:r>
      <w:r>
        <w:rPr>
          <w:b/>
          <w:i w:val="0"/>
        </w:rPr>
        <w:t>, source pp. 306–307.</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reason-anger-and-desire">
        <w:r>
          <w:rPr>
            <w:color w:val="000000"/>
          </w:rPr>
          <w:t xml:space="preserve">Reason anger and desire</w:t>
        </w:r>
      </w:hyperlink>
      <w:r>
        <w:rPr>
          <w:b w:val="0"/>
          <w:i w:val="0"/>
        </w:rPr>
        <w:t xml:space="preserve">; </w:t>
      </w:r>
      <w:hyperlink w:anchor="twelve">
        <w:r>
          <w:rPr>
            <w:color w:val="000000"/>
          </w:rPr>
          <w:t xml:space="preserve">Twelve</w:t>
        </w:r>
      </w:hyperlink>
      <w:r>
        <w:rPr>
          <w:b w:val="0"/>
          <w:i w:val="0"/>
        </w:rPr>
        <w:t xml:space="preserve">. Vocabulary: </w:t>
      </w:r>
      <w:hyperlink w:anchor="latin-record-0347">
        <w:r>
          <w:rPr>
            <w:color w:val="000000"/>
          </w:rPr>
          <w:t xml:space="preserve">dominari</w:t>
        </w:r>
      </w:hyperlink>
      <w:r>
        <w:rPr>
          <w:b w:val="0"/>
          <w:i w:val="0"/>
        </w:rPr>
        <w:t xml:space="preserve">; </w:t>
      </w:r>
      <w:hyperlink w:anchor="latin-record-1171">
        <w:r>
          <w:rPr>
            <w:color w:val="000000"/>
          </w:rPr>
          <w:t xml:space="preserve">superare / e converso</w:t>
        </w:r>
      </w:hyperlink>
      <w:r>
        <w:rPr>
          <w:b w:val="0"/>
          <w:i w:val="0"/>
        </w:rPr>
        <w:t>.</w:t>
      </w:r>
    </w:p>
    <w:p>
      <w:pPr>
        <w:widowControl/>
      </w:pPr>
      <w:bookmarkStart w:id="2050" w:name="passage-iv-1-50"/>
      <w:bookmarkEnd w:id="2050"/>
      <w:r>
        <w:rPr>
          <w:b/>
          <w:i w:val="0"/>
        </w:rPr>
        <w:t>IV.1.50</w:t>
      </w:r>
      <w:r>
        <w:rPr>
          <w:b/>
          <w:i w:val="0"/>
        </w:rPr>
        <w:t>, source pp. 306–307.</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reason-anger-and-desire">
        <w:r>
          <w:rPr>
            <w:color w:val="000000"/>
          </w:rPr>
          <w:t xml:space="preserve">Reason anger and desire</w:t>
        </w:r>
      </w:hyperlink>
      <w:r>
        <w:rPr>
          <w:b w:val="0"/>
          <w:i w:val="0"/>
        </w:rPr>
        <w:t xml:space="preserve">; </w:t>
      </w:r>
      <w:hyperlink w:anchor="soul">
        <w:r>
          <w:rPr>
            <w:color w:val="000000"/>
          </w:rPr>
          <w:t xml:space="preserve">Soul</w:t>
        </w:r>
      </w:hyperlink>
      <w:r>
        <w:rPr>
          <w:b w:val="0"/>
          <w:i w:val="0"/>
        </w:rPr>
        <w:t xml:space="preserve">; </w:t>
      </w:r>
      <w:hyperlink w:anchor="twelve">
        <w:r>
          <w:rPr>
            <w:color w:val="000000"/>
          </w:rPr>
          <w:t xml:space="preserve">Twelve</w:t>
        </w:r>
      </w:hyperlink>
      <w:r>
        <w:rPr>
          <w:b w:val="0"/>
          <w:i w:val="0"/>
        </w:rPr>
        <w:t xml:space="preserve">; </w:t>
      </w:r>
      <w:hyperlink w:anchor="world-soul">
        <w:r>
          <w:rPr>
            <w:color w:val="000000"/>
          </w:rPr>
          <w:t xml:space="preserve">World soul</w:t>
        </w:r>
      </w:hyperlink>
      <w:r>
        <w:rPr>
          <w:b w:val="0"/>
          <w:i w:val="0"/>
        </w:rPr>
        <w:t xml:space="preserve">. Vocabulary: </w:t>
      </w:r>
      <w:hyperlink w:anchor="latin-record-0010">
        <w:r>
          <w:rPr>
            <w:color w:val="000000"/>
          </w:rPr>
          <w:t xml:space="preserve">accipere / concedere</w:t>
        </w:r>
      </w:hyperlink>
      <w:r>
        <w:rPr>
          <w:b w:val="0"/>
          <w:i w:val="0"/>
        </w:rPr>
        <w:t xml:space="preserve">; </w:t>
      </w:r>
      <w:hyperlink w:anchor="latin-record-0184">
        <w:r>
          <w:rPr>
            <w:color w:val="000000"/>
          </w:rPr>
          <w:t xml:space="preserve">colligere / reducere</w:t>
        </w:r>
      </w:hyperlink>
      <w:r>
        <w:rPr>
          <w:b w:val="0"/>
          <w:i w:val="0"/>
        </w:rPr>
        <w:t xml:space="preserve">; </w:t>
      </w:r>
      <w:hyperlink w:anchor="latin-record-1035">
        <w:r>
          <w:rPr>
            <w:color w:val="000000"/>
          </w:rPr>
          <w:t xml:space="preserve">reducere / referre</w:t>
        </w:r>
      </w:hyperlink>
      <w:r>
        <w:rPr>
          <w:b w:val="0"/>
          <w:i w:val="0"/>
        </w:rPr>
        <w:t>.</w:t>
      </w:r>
    </w:p>
    <w:p>
      <w:pPr>
        <w:widowControl/>
      </w:pPr>
      <w:bookmarkStart w:id="2051" w:name="passage-iv-1-51"/>
      <w:bookmarkEnd w:id="2051"/>
      <w:r>
        <w:rPr>
          <w:b/>
          <w:i w:val="0"/>
        </w:rPr>
        <w:t>IV.1.51</w:t>
      </w:r>
      <w:r>
        <w:rPr>
          <w:b/>
          <w:i w:val="0"/>
        </w:rPr>
        <w:t>, source pp. 306–307.</w:t>
      </w:r>
      <w:r>
        <w:rPr>
          <w:b w:val="0"/>
          <w:i w:val="0"/>
        </w:rPr>
        <w:t xml:space="preserve"> Articles: </w:t>
      </w:r>
      <w:hyperlink w:anchor="apollo">
        <w:r>
          <w:rPr>
            <w:color w:val="000000"/>
          </w:rPr>
          <w:t xml:space="preserve">Apollo</w:t>
        </w:r>
      </w:hyperlink>
      <w:r>
        <w:rPr>
          <w:b w:val="0"/>
          <w:i w:val="0"/>
        </w:rPr>
        <w:t xml:space="preserve">; </w:t>
      </w:r>
      <w:hyperlink w:anchor="assertion-report-and-reservation">
        <w:r>
          <w:rPr>
            <w:color w:val="000000"/>
          </w:rPr>
          <w:t xml:space="preserve">Assertion, report, and reservation</w:t>
        </w:r>
      </w:hyperlink>
      <w:r>
        <w:rPr>
          <w:b w:val="0"/>
          <w:i w:val="0"/>
        </w:rPr>
        <w:t xml:space="preserve">; </w:t>
      </w:r>
      <w:hyperlink w:anchor="good-and-goodness">
        <w:r>
          <w:rPr>
            <w:color w:val="000000"/>
          </w:rPr>
          <w:t xml:space="preserve">Good and goodness</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soul">
        <w:r>
          <w:rPr>
            <w:color w:val="000000"/>
          </w:rPr>
          <w:t xml:space="preserve">Soul</w:t>
        </w:r>
      </w:hyperlink>
      <w:r>
        <w:rPr>
          <w:b w:val="0"/>
          <w:i w:val="0"/>
        </w:rPr>
        <w:t xml:space="preserve">; </w:t>
      </w:r>
      <w:hyperlink w:anchor="twelve">
        <w:r>
          <w:rPr>
            <w:color w:val="000000"/>
          </w:rPr>
          <w:t xml:space="preserve">Twelve</w:t>
        </w:r>
      </w:hyperlink>
      <w:r>
        <w:rPr>
          <w:b w:val="0"/>
          <w:i w:val="0"/>
        </w:rPr>
        <w:t xml:space="preserve">; </w:t>
      </w:r>
      <w:hyperlink w:anchor="world-soul">
        <w:r>
          <w:rPr>
            <w:color w:val="000000"/>
          </w:rPr>
          <w:t xml:space="preserve">World soul</w:t>
        </w:r>
      </w:hyperlink>
      <w:r>
        <w:rPr>
          <w:b w:val="0"/>
          <w:i w:val="0"/>
        </w:rPr>
        <w:t xml:space="preserve">. Vocabulary: </w:t>
      </w:r>
      <w:hyperlink w:anchor="latin-record-0082">
        <w:r>
          <w:rPr>
            <w:color w:val="000000"/>
          </w:rPr>
          <w:t xml:space="preserve">Apollo / simplex et semotus</w:t>
        </w:r>
      </w:hyperlink>
      <w:r>
        <w:rPr>
          <w:b w:val="0"/>
          <w:i w:val="0"/>
        </w:rPr>
        <w:t xml:space="preserve">; </w:t>
      </w:r>
      <w:hyperlink w:anchor="latin-record-1224">
        <w:r>
          <w:rPr>
            <w:color w:val="000000"/>
          </w:rPr>
          <w:t xml:space="preserve">unum simpliciter</w:t>
        </w:r>
      </w:hyperlink>
      <w:r>
        <w:rPr>
          <w:b w:val="0"/>
          <w:i w:val="0"/>
        </w:rPr>
        <w:t xml:space="preserve">; </w:t>
      </w:r>
      <w:hyperlink w:anchor="greek-record-19">
        <w:r>
          <w:rPr>
            <w:color w:val="000000"/>
          </w:rPr>
          <w:t xml:space="preserve">Apollo simplicity and the good</w:t>
        </w:r>
      </w:hyperlink>
      <w:r>
        <w:rPr>
          <w:b w:val="0"/>
          <w:i w:val="0"/>
        </w:rPr>
        <w:t>.</w:t>
      </w:r>
    </w:p>
    <w:p>
      <w:pPr>
        <w:widowControl/>
      </w:pPr>
      <w:bookmarkStart w:id="2052" w:name="passage-iv-1-52"/>
      <w:bookmarkEnd w:id="2052"/>
      <w:r>
        <w:rPr>
          <w:b/>
          <w:i w:val="0"/>
        </w:rPr>
        <w:t>IV.1.52</w:t>
      </w:r>
      <w:r>
        <w:rPr>
          <w:b/>
          <w:i w:val="0"/>
        </w:rPr>
        <w:t>, source pp. 308–309.</w:t>
      </w:r>
      <w:r>
        <w:rPr>
          <w:b w:val="0"/>
          <w:i w:val="0"/>
        </w:rPr>
        <w:t xml:space="preserve"> Articles: </w:t>
      </w:r>
      <w:hyperlink w:anchor="apollo">
        <w:r>
          <w:rPr>
            <w:color w:val="000000"/>
          </w:rPr>
          <w:t xml:space="preserve">Apollo</w:t>
        </w:r>
      </w:hyperlink>
      <w:r>
        <w:rPr>
          <w:b w:val="0"/>
          <w:i w:val="0"/>
        </w:rPr>
        <w:t xml:space="preserve">; </w:t>
      </w:r>
      <w:hyperlink w:anchor="assertion-report-and-reservation">
        <w:r>
          <w:rPr>
            <w:color w:val="000000"/>
          </w:rPr>
          <w:t xml:space="preserve">Assertion, report, and reservation</w:t>
        </w:r>
      </w:hyperlink>
      <w:r>
        <w:rPr>
          <w:b w:val="0"/>
          <w:i w:val="0"/>
        </w:rPr>
        <w:t xml:space="preserve">; </w:t>
      </w:r>
      <w:hyperlink w:anchor="bacchus-and-the-muses">
        <w:r>
          <w:rPr>
            <w:color w:val="000000"/>
          </w:rPr>
          <w:t xml:space="preserve">Bacchus and the Muses</w:t>
        </w:r>
      </w:hyperlink>
      <w:r>
        <w:rPr>
          <w:b w:val="0"/>
          <w:i w:val="0"/>
        </w:rPr>
        <w:t xml:space="preserve">; </w:t>
      </w:r>
      <w:hyperlink w:anchor="good-and-goodness">
        <w:r>
          <w:rPr>
            <w:color w:val="000000"/>
          </w:rPr>
          <w:t xml:space="preserve">Good and goodness</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soul">
        <w:r>
          <w:rPr>
            <w:color w:val="000000"/>
          </w:rPr>
          <w:t xml:space="preserve">Soul</w:t>
        </w:r>
      </w:hyperlink>
      <w:r>
        <w:rPr>
          <w:b w:val="0"/>
          <w:i w:val="0"/>
        </w:rPr>
        <w:t xml:space="preserve">; </w:t>
      </w:r>
      <w:hyperlink w:anchor="twelve">
        <w:r>
          <w:rPr>
            <w:color w:val="000000"/>
          </w:rPr>
          <w:t xml:space="preserve">Twelve</w:t>
        </w:r>
      </w:hyperlink>
      <w:r>
        <w:rPr>
          <w:b w:val="0"/>
          <w:i w:val="0"/>
        </w:rPr>
        <w:t xml:space="preserve">; </w:t>
      </w:r>
      <w:hyperlink w:anchor="world-soul">
        <w:r>
          <w:rPr>
            <w:color w:val="000000"/>
          </w:rPr>
          <w:t xml:space="preserve">World soul</w:t>
        </w:r>
      </w:hyperlink>
      <w:r>
        <w:rPr>
          <w:b w:val="0"/>
          <w:i w:val="0"/>
        </w:rPr>
        <w:t xml:space="preserve">. Vocabulary: </w:t>
      </w:r>
      <w:hyperlink w:anchor="latin-record-0165">
        <w:r>
          <w:rPr>
            <w:color w:val="000000"/>
          </w:rPr>
          <w:t xml:space="preserve">chorea / modulus / cithara</w:t>
        </w:r>
      </w:hyperlink>
      <w:r>
        <w:rPr>
          <w:b w:val="0"/>
          <w:i w:val="0"/>
        </w:rPr>
        <w:t xml:space="preserve">; </w:t>
      </w:r>
      <w:hyperlink w:anchor="latin-record-0231">
        <w:r>
          <w:rPr>
            <w:color w:val="000000"/>
          </w:rPr>
          <w:t xml:space="preserve">confabulari</w:t>
        </w:r>
      </w:hyperlink>
      <w:r>
        <w:rPr>
          <w:b w:val="0"/>
          <w:i w:val="0"/>
        </w:rPr>
        <w:t xml:space="preserve">; </w:t>
      </w:r>
      <w:hyperlink w:anchor="latin-record-0466">
        <w:r>
          <w:rPr>
            <w:color w:val="000000"/>
          </w:rPr>
          <w:t xml:space="preserve">forsitan / forte</w:t>
        </w:r>
      </w:hyperlink>
      <w:r>
        <w:rPr>
          <w:b w:val="0"/>
          <w:i w:val="0"/>
        </w:rPr>
        <w:t xml:space="preserve">; </w:t>
      </w:r>
      <w:hyperlink w:anchor="latin-record-0907">
        <w:r>
          <w:rPr>
            <w:color w:val="000000"/>
          </w:rPr>
          <w:t xml:space="preserve">praeesse</w:t>
        </w:r>
      </w:hyperlink>
      <w:r>
        <w:rPr>
          <w:b w:val="0"/>
          <w:i w:val="0"/>
        </w:rPr>
        <w:t xml:space="preserve">; </w:t>
      </w:r>
      <w:hyperlink w:anchor="latin-record-0960">
        <w:r>
          <w:rPr>
            <w:color w:val="000000"/>
          </w:rPr>
          <w:t xml:space="preserve">propositum / institutum</w:t>
        </w:r>
      </w:hyperlink>
      <w:r>
        <w:rPr>
          <w:b w:val="0"/>
          <w:i w:val="0"/>
        </w:rPr>
        <w:t xml:space="preserve">; </w:t>
      </w:r>
      <w:hyperlink w:anchor="latin-record-1185">
        <w:r>
          <w:rPr>
            <w:color w:val="000000"/>
          </w:rPr>
          <w:t xml:space="preserve">temperare</w:t>
        </w:r>
      </w:hyperlink>
      <w:r>
        <w:rPr>
          <w:b w:val="0"/>
          <w:i w:val="0"/>
        </w:rPr>
        <w:t xml:space="preserve">; </w:t>
      </w:r>
      <w:hyperlink w:anchor="greek-record-20">
        <w:r>
          <w:rPr>
            <w:color w:val="000000"/>
          </w:rPr>
          <w:t xml:space="preserve">Tuning the whole heaven</w:t>
        </w:r>
      </w:hyperlink>
      <w:r>
        <w:rPr>
          <w:b w:val="0"/>
          <w:i w:val="0"/>
        </w:rPr>
        <w:t>.</w:t>
      </w:r>
    </w:p>
    <w:p>
      <w:pPr>
        <w:widowControl/>
      </w:pPr>
      <w:bookmarkStart w:id="2053" w:name="passage-iv-1-53"/>
      <w:bookmarkEnd w:id="2053"/>
      <w:r>
        <w:rPr>
          <w:b/>
          <w:i w:val="0"/>
        </w:rPr>
        <w:t>IV.1.53</w:t>
      </w:r>
      <w:r>
        <w:rPr>
          <w:b/>
          <w:i w:val="0"/>
        </w:rPr>
        <w:t>, source pp. 308–309.</w:t>
      </w:r>
      <w:r>
        <w:rPr>
          <w:b w:val="0"/>
          <w:i w:val="0"/>
        </w:rPr>
        <w:t xml:space="preserve"> Articles: </w:t>
      </w:r>
      <w:hyperlink w:anchor="motion-and-stability">
        <w:r>
          <w:rPr>
            <w:color w:val="000000"/>
          </w:rPr>
          <w:t xml:space="preserve">Motion and stability</w:t>
        </w:r>
      </w:hyperlink>
      <w:r>
        <w:rPr>
          <w:b w:val="0"/>
          <w:i w:val="0"/>
        </w:rPr>
        <w:t xml:space="preserve">. Vocabulary: </w:t>
      </w:r>
      <w:hyperlink w:anchor="latin-record-0173">
        <w:r>
          <w:rPr>
            <w:color w:val="000000"/>
          </w:rPr>
          <w:t xml:space="preserve">cogere / compellere</w:t>
        </w:r>
      </w:hyperlink>
      <w:r>
        <w:rPr>
          <w:b w:val="0"/>
          <w:i w:val="0"/>
        </w:rPr>
        <w:t xml:space="preserve">; </w:t>
      </w:r>
      <w:hyperlink w:anchor="latin-record-0392">
        <w:r>
          <w:rPr>
            <w:color w:val="000000"/>
          </w:rPr>
          <w:t xml:space="preserve">ex-cogitare / fateri</w:t>
        </w:r>
      </w:hyperlink>
      <w:r>
        <w:rPr>
          <w:b w:val="0"/>
          <w:i w:val="0"/>
        </w:rPr>
        <w:t xml:space="preserve">; </w:t>
      </w:r>
      <w:hyperlink w:anchor="latin-record-1035">
        <w:r>
          <w:rPr>
            <w:color w:val="000000"/>
          </w:rPr>
          <w:t xml:space="preserve">reducere / referre</w:t>
        </w:r>
      </w:hyperlink>
      <w:r>
        <w:rPr>
          <w:b w:val="0"/>
          <w:i w:val="0"/>
        </w:rPr>
        <w:t>.</w:t>
      </w:r>
    </w:p>
    <w:p>
      <w:pPr>
        <w:widowControl/>
      </w:pPr>
      <w:bookmarkStart w:id="2054" w:name="passage-iv-1-54"/>
      <w:bookmarkEnd w:id="2054"/>
      <w:r>
        <w:rPr>
          <w:b/>
          <w:i w:val="0"/>
        </w:rPr>
        <w:t>IV.1.54</w:t>
      </w:r>
      <w:r>
        <w:rPr>
          <w:b/>
          <w:i w:val="0"/>
        </w:rPr>
        <w:t>, source pp. 308–309.</w:t>
      </w:r>
      <w:r>
        <w:rPr>
          <w:b w:val="0"/>
          <w:i w:val="0"/>
        </w:rPr>
        <w:t xml:space="preserve"> Articles: </w:t>
      </w:r>
      <w:hyperlink w:anchor="motion-and-stability">
        <w:r>
          <w:rPr>
            <w:color w:val="000000"/>
          </w:rPr>
          <w:t xml:space="preserve">Motion and stability</w:t>
        </w:r>
      </w:hyperlink>
      <w:r>
        <w:rPr>
          <w:b w:val="0"/>
          <w:i w:val="0"/>
        </w:rPr>
        <w:t xml:space="preserve">; </w:t>
      </w:r>
      <w:hyperlink w:anchor="proximity-and-causal-presence">
        <w:r>
          <w:rPr>
            <w:color w:val="000000"/>
          </w:rPr>
          <w:t xml:space="preserve">Proximity and causal presence</w:t>
        </w:r>
      </w:hyperlink>
      <w:r>
        <w:rPr>
          <w:b w:val="0"/>
          <w:i w:val="0"/>
        </w:rPr>
        <w:t xml:space="preserve">. Vocabulary: </w:t>
      </w:r>
      <w:hyperlink w:anchor="latin-record-0430">
        <w:r>
          <w:rPr>
            <w:color w:val="000000"/>
          </w:rPr>
          <w:t xml:space="preserve">familiarissimus</w:t>
        </w:r>
      </w:hyperlink>
      <w:r>
        <w:rPr>
          <w:b w:val="0"/>
          <w:i w:val="0"/>
        </w:rPr>
        <w:t xml:space="preserve">; </w:t>
      </w:r>
      <w:hyperlink w:anchor="latin-record-1267">
        <w:r>
          <w:rPr>
            <w:color w:val="000000"/>
          </w:rPr>
          <w:t xml:space="preserve">violentus / violentia</w:t>
        </w:r>
      </w:hyperlink>
      <w:r>
        <w:rPr>
          <w:b w:val="0"/>
          <w:i w:val="0"/>
        </w:rPr>
        <w:t>.</w:t>
      </w:r>
    </w:p>
    <w:p>
      <w:pPr>
        <w:widowControl/>
      </w:pPr>
      <w:bookmarkStart w:id="2055" w:name="passage-iv-1-55"/>
      <w:bookmarkEnd w:id="2055"/>
      <w:r>
        <w:rPr>
          <w:b/>
          <w:i w:val="0"/>
        </w:rPr>
        <w:t>IV.1.55</w:t>
      </w:r>
      <w:r>
        <w:rPr>
          <w:b/>
          <w:i w:val="0"/>
        </w:rPr>
        <w:t>, source pp. 310–311.</w:t>
      </w:r>
      <w:r>
        <w:rPr>
          <w:b w:val="0"/>
          <w:i w:val="0"/>
        </w:rPr>
        <w:t xml:space="preserve"> Articles: </w:t>
      </w:r>
      <w:hyperlink w:anchor="motion-and-stability">
        <w:r>
          <w:rPr>
            <w:color w:val="000000"/>
          </w:rPr>
          <w:t xml:space="preserve">Motion and stability</w:t>
        </w:r>
      </w:hyperlink>
      <w:r>
        <w:rPr>
          <w:b w:val="0"/>
          <w:i w:val="0"/>
        </w:rPr>
        <w:t xml:space="preserve">; </w:t>
      </w:r>
      <w:hyperlink w:anchor="weariness-and-agility">
        <w:r>
          <w:rPr>
            <w:color w:val="000000"/>
          </w:rPr>
          <w:t xml:space="preserve">Weariness and agility</w:t>
        </w:r>
      </w:hyperlink>
      <w:r>
        <w:rPr>
          <w:b w:val="0"/>
          <w:i w:val="0"/>
        </w:rPr>
        <w:t xml:space="preserve">. Vocabulary: </w:t>
      </w:r>
      <w:hyperlink w:anchor="latin-record-0434">
        <w:r>
          <w:rPr>
            <w:color w:val="000000"/>
          </w:rPr>
          <w:t xml:space="preserve">fatigare</w:t>
        </w:r>
      </w:hyperlink>
      <w:r>
        <w:rPr>
          <w:b w:val="0"/>
          <w:i w:val="0"/>
        </w:rPr>
        <w:t xml:space="preserve">; </w:t>
      </w:r>
      <w:hyperlink w:anchor="latin-record-0491">
        <w:r>
          <w:rPr>
            <w:color w:val="000000"/>
          </w:rPr>
          <w:t xml:space="preserve">gravitas / levitas</w:t>
        </w:r>
      </w:hyperlink>
      <w:r>
        <w:rPr>
          <w:b w:val="0"/>
          <w:i w:val="0"/>
        </w:rPr>
        <w:t>.</w:t>
      </w:r>
    </w:p>
    <w:p>
      <w:pPr>
        <w:widowControl/>
      </w:pPr>
      <w:bookmarkStart w:id="2056" w:name="passage-iv-1-56"/>
      <w:bookmarkEnd w:id="2056"/>
      <w:r>
        <w:rPr>
          <w:b/>
          <w:i w:val="0"/>
        </w:rPr>
        <w:t>IV.1.56</w:t>
      </w:r>
      <w:r>
        <w:rPr>
          <w:b/>
          <w:i w:val="0"/>
        </w:rPr>
        <w:t>, source pp. 310–311.</w:t>
      </w:r>
      <w:r>
        <w:rPr>
          <w:b w:val="0"/>
          <w:i w:val="0"/>
        </w:rPr>
        <w:t xml:space="preserve"> Articles: </w:t>
      </w:r>
      <w:hyperlink w:anchor="art-and-nature">
        <w:r>
          <w:rPr>
            <w:color w:val="000000"/>
          </w:rPr>
          <w:t xml:space="preserve">Art and nature</w:t>
        </w:r>
      </w:hyperlink>
      <w:r>
        <w:rPr>
          <w:b w:val="0"/>
          <w:i w:val="0"/>
        </w:rPr>
        <w:t xml:space="preserve">; </w:t>
      </w:r>
      <w:hyperlink w:anchor="circularity-and-return">
        <w:r>
          <w:rPr>
            <w:color w:val="000000"/>
          </w:rPr>
          <w:t xml:space="preserve">Circularity and return</w:t>
        </w:r>
      </w:hyperlink>
      <w:r>
        <w:rPr>
          <w:b w:val="0"/>
          <w:i w:val="0"/>
        </w:rPr>
        <w:t xml:space="preserve">; </w:t>
      </w:r>
      <w:hyperlink w:anchor="motion-and-stability">
        <w:r>
          <w:rPr>
            <w:color w:val="000000"/>
          </w:rPr>
          <w:t xml:space="preserve">Motion and stability</w:t>
        </w:r>
      </w:hyperlink>
      <w:r>
        <w:rPr>
          <w:b w:val="0"/>
          <w:i w:val="0"/>
        </w:rPr>
        <w:t xml:space="preserve">; </w:t>
      </w:r>
      <w:hyperlink w:anchor="weariness-and-agility">
        <w:r>
          <w:rPr>
            <w:color w:val="000000"/>
          </w:rPr>
          <w:t xml:space="preserve">Weariness and agility</w:t>
        </w:r>
      </w:hyperlink>
      <w:r>
        <w:rPr>
          <w:b w:val="0"/>
          <w:i w:val="0"/>
        </w:rPr>
        <w:t xml:space="preserve">. Vocabulary: </w:t>
      </w:r>
      <w:hyperlink w:anchor="latin-record-0006">
        <w:r>
          <w:rPr>
            <w:color w:val="000000"/>
          </w:rPr>
          <w:t xml:space="preserve">accedere / recedere</w:t>
        </w:r>
      </w:hyperlink>
      <w:r>
        <w:rPr>
          <w:b w:val="0"/>
          <w:i w:val="0"/>
        </w:rPr>
        <w:t xml:space="preserve">; </w:t>
      </w:r>
      <w:hyperlink w:anchor="latin-record-0491">
        <w:r>
          <w:rPr>
            <w:color w:val="000000"/>
          </w:rPr>
          <w:t xml:space="preserve">gravitas / levitas</w:t>
        </w:r>
      </w:hyperlink>
      <w:r>
        <w:rPr>
          <w:b w:val="0"/>
          <w:i w:val="0"/>
        </w:rPr>
        <w:t xml:space="preserve">; </w:t>
      </w:r>
      <w:hyperlink w:anchor="latin-record-0772">
        <w:r>
          <w:rPr>
            <w:color w:val="000000"/>
          </w:rPr>
          <w:t xml:space="preserve">novus / varius</w:t>
        </w:r>
      </w:hyperlink>
      <w:r>
        <w:rPr>
          <w:b w:val="0"/>
          <w:i w:val="0"/>
        </w:rPr>
        <w:t xml:space="preserve">; </w:t>
      </w:r>
      <w:hyperlink w:anchor="latin-record-1267">
        <w:r>
          <w:rPr>
            <w:color w:val="000000"/>
          </w:rPr>
          <w:t xml:space="preserve">violentus / violentia</w:t>
        </w:r>
      </w:hyperlink>
      <w:r>
        <w:rPr>
          <w:b w:val="0"/>
          <w:i w:val="0"/>
        </w:rPr>
        <w:t>.</w:t>
      </w:r>
    </w:p>
    <w:p>
      <w:pPr>
        <w:widowControl/>
      </w:pPr>
      <w:bookmarkStart w:id="2057" w:name="passage-iv-1-57"/>
      <w:bookmarkEnd w:id="2057"/>
      <w:r>
        <w:rPr>
          <w:b/>
          <w:i w:val="0"/>
        </w:rPr>
        <w:t>IV.1.57</w:t>
      </w:r>
      <w:r>
        <w:rPr>
          <w:b/>
          <w:i w:val="0"/>
        </w:rPr>
        <w:t>, source pp. 310–311.</w:t>
      </w:r>
      <w:r>
        <w:rPr>
          <w:b w:val="0"/>
          <w:i w:val="0"/>
        </w:rPr>
        <w:t xml:space="preserve"> Articles: </w:t>
      </w:r>
      <w:hyperlink w:anchor="circularity-and-return">
        <w:r>
          <w:rPr>
            <w:color w:val="000000"/>
          </w:rPr>
          <w:t xml:space="preserve">Circularity and return</w:t>
        </w:r>
      </w:hyperlink>
      <w:r>
        <w:rPr>
          <w:b w:val="0"/>
          <w:i w:val="0"/>
        </w:rPr>
        <w:t xml:space="preserve">; </w:t>
      </w:r>
      <w:hyperlink w:anchor="motion-and-stability">
        <w:r>
          <w:rPr>
            <w:color w:val="000000"/>
          </w:rPr>
          <w:t xml:space="preserve">Motion and stability</w:t>
        </w:r>
      </w:hyperlink>
      <w:r>
        <w:rPr>
          <w:b w:val="0"/>
          <w:i w:val="0"/>
        </w:rPr>
        <w:t xml:space="preserve">. Vocabulary: </w:t>
      </w:r>
      <w:hyperlink w:anchor="latin-record-1036">
        <w:r>
          <w:rPr>
            <w:color w:val="000000"/>
          </w:rPr>
          <w:t xml:space="preserve">reflectere</w:t>
        </w:r>
      </w:hyperlink>
      <w:r>
        <w:rPr>
          <w:b w:val="0"/>
          <w:i w:val="0"/>
        </w:rPr>
        <w:t>.</w:t>
      </w:r>
    </w:p>
    <w:p>
      <w:pPr>
        <w:widowControl/>
      </w:pPr>
      <w:bookmarkStart w:id="2058" w:name="passage-iv-1-58"/>
      <w:bookmarkEnd w:id="2058"/>
      <w:r>
        <w:rPr>
          <w:b/>
          <w:i w:val="0"/>
        </w:rPr>
        <w:t>IV.1.58</w:t>
      </w:r>
      <w:r>
        <w:rPr>
          <w:b/>
          <w:i w:val="0"/>
        </w:rPr>
        <w:t>, source pp. 312–313.</w:t>
      </w:r>
      <w:r>
        <w:rPr>
          <w:b w:val="0"/>
          <w:i w:val="0"/>
        </w:rPr>
        <w:t xml:space="preserve"> Articles: </w:t>
      </w:r>
      <w:hyperlink w:anchor="motion-and-stability">
        <w:r>
          <w:rPr>
            <w:color w:val="000000"/>
          </w:rPr>
          <w:t xml:space="preserve">Motion and stability</w:t>
        </w:r>
      </w:hyperlink>
      <w:r>
        <w:rPr>
          <w:b w:val="0"/>
          <w:i w:val="0"/>
        </w:rPr>
        <w:t xml:space="preserve">. Vocabulary: </w:t>
      </w:r>
      <w:hyperlink w:anchor="latin-record-0052">
        <w:r>
          <w:rPr>
            <w:color w:val="000000"/>
          </w:rPr>
          <w:t xml:space="preserve">aliunde</w:t>
        </w:r>
      </w:hyperlink>
      <w:r>
        <w:rPr>
          <w:b w:val="0"/>
          <w:i w:val="0"/>
        </w:rPr>
        <w:t>.</w:t>
      </w:r>
    </w:p>
    <w:p>
      <w:pPr>
        <w:widowControl/>
      </w:pPr>
      <w:bookmarkStart w:id="2059" w:name="passage-iv-1-59"/>
      <w:bookmarkEnd w:id="2059"/>
      <w:r>
        <w:rPr>
          <w:b/>
          <w:i w:val="0"/>
        </w:rPr>
        <w:t>IV.1.59</w:t>
      </w:r>
      <w:r>
        <w:rPr>
          <w:b/>
          <w:i w:val="0"/>
        </w:rPr>
        <w:t>, source pp. 312–313.</w:t>
      </w:r>
      <w:r>
        <w:rPr>
          <w:b w:val="0"/>
          <w:i w:val="0"/>
        </w:rPr>
        <w:t xml:space="preserve"> Articles: </w:t>
      </w:r>
      <w:hyperlink w:anchor="common-and-proper">
        <w:r>
          <w:rPr>
            <w:color w:val="000000"/>
          </w:rPr>
          <w:t xml:space="preserve">Common and proper</w:t>
        </w:r>
      </w:hyperlink>
      <w:r>
        <w:rPr>
          <w:b w:val="0"/>
          <w:i w:val="0"/>
        </w:rPr>
        <w:t xml:space="preserve">; </w:t>
      </w:r>
      <w:hyperlink w:anchor="fitting-and-correspondence">
        <w:r>
          <w:rPr>
            <w:color w:val="000000"/>
          </w:rPr>
          <w:t xml:space="preserve">Fitting and correspondence</w:t>
        </w:r>
      </w:hyperlink>
      <w:r>
        <w:rPr>
          <w:b w:val="0"/>
          <w:i w:val="0"/>
        </w:rPr>
        <w:t xml:space="preserve">; </w:t>
      </w:r>
      <w:hyperlink w:anchor="good-and-goodness">
        <w:r>
          <w:rPr>
            <w:color w:val="000000"/>
          </w:rPr>
          <w:t xml:space="preserve">Good and goodness</w:t>
        </w:r>
      </w:hyperlink>
      <w:r>
        <w:rPr>
          <w:b w:val="0"/>
          <w:i w:val="0"/>
        </w:rPr>
        <w:t xml:space="preserve">; </w:t>
      </w:r>
      <w:hyperlink w:anchor="motion-and-stability">
        <w:r>
          <w:rPr>
            <w:color w:val="000000"/>
          </w:rPr>
          <w:t xml:space="preserve">Motion and stability</w:t>
        </w:r>
      </w:hyperlink>
      <w:r>
        <w:rPr>
          <w:b w:val="0"/>
          <w:i w:val="0"/>
        </w:rPr>
        <w:t xml:space="preserve">; </w:t>
      </w:r>
      <w:hyperlink w:anchor="proportion-and-analogy">
        <w:r>
          <w:rPr>
            <w:color w:val="000000"/>
          </w:rPr>
          <w:t xml:space="preserve">Proportion and analogy</w:t>
        </w:r>
      </w:hyperlink>
      <w:r>
        <w:rPr>
          <w:b w:val="0"/>
          <w:i w:val="0"/>
        </w:rPr>
        <w:t xml:space="preserve">; </w:t>
      </w:r>
      <w:hyperlink w:anchor="proximity-and-causal-presence">
        <w:r>
          <w:rPr>
            <w:color w:val="000000"/>
          </w:rPr>
          <w:t xml:space="preserve">Proximity and causal presence</w:t>
        </w:r>
      </w:hyperlink>
      <w:r>
        <w:rPr>
          <w:b w:val="0"/>
          <w:i w:val="0"/>
        </w:rPr>
        <w:t xml:space="preserve">. Vocabulary: </w:t>
      </w:r>
      <w:hyperlink w:anchor="latin-record-0204">
        <w:r>
          <w:rPr>
            <w:color w:val="000000"/>
          </w:rPr>
          <w:t xml:space="preserve">comparare / proportio</w:t>
        </w:r>
      </w:hyperlink>
      <w:r>
        <w:rPr>
          <w:b w:val="0"/>
          <w:i w:val="0"/>
        </w:rPr>
        <w:t xml:space="preserve">; </w:t>
      </w:r>
      <w:hyperlink w:anchor="latin-record-0430">
        <w:r>
          <w:rPr>
            <w:color w:val="000000"/>
          </w:rPr>
          <w:t xml:space="preserve">familiarissimus</w:t>
        </w:r>
      </w:hyperlink>
      <w:r>
        <w:rPr>
          <w:b w:val="0"/>
          <w:i w:val="0"/>
        </w:rPr>
        <w:t xml:space="preserve">; </w:t>
      </w:r>
      <w:hyperlink w:anchor="latin-record-1031">
        <w:r>
          <w:rPr>
            <w:color w:val="000000"/>
          </w:rPr>
          <w:t xml:space="preserve">rector proprius</w:t>
        </w:r>
      </w:hyperlink>
      <w:r>
        <w:rPr>
          <w:b w:val="0"/>
          <w:i w:val="0"/>
        </w:rPr>
        <w:t>.</w:t>
      </w:r>
    </w:p>
    <w:p>
      <w:pPr>
        <w:widowControl/>
      </w:pPr>
      <w:bookmarkStart w:id="2060" w:name="passage-iv-1-60"/>
      <w:bookmarkEnd w:id="2060"/>
      <w:r>
        <w:rPr>
          <w:b/>
          <w:i w:val="0"/>
        </w:rPr>
        <w:t>IV.1.60</w:t>
      </w:r>
      <w:r>
        <w:rPr>
          <w:b/>
          <w:i w:val="0"/>
        </w:rPr>
        <w:t>, source pp. 312–313.</w:t>
      </w:r>
      <w:r>
        <w:rPr>
          <w:b w:val="0"/>
          <w:i w:val="0"/>
        </w:rPr>
        <w:t xml:space="preserve"> Articles: </w:t>
      </w:r>
      <w:hyperlink w:anchor="fitting-and-correspondence">
        <w:r>
          <w:rPr>
            <w:color w:val="000000"/>
          </w:rPr>
          <w:t xml:space="preserve">Fitting and correspondence</w:t>
        </w:r>
      </w:hyperlink>
      <w:r>
        <w:rPr>
          <w:b w:val="0"/>
          <w:i w:val="0"/>
        </w:rPr>
        <w:t xml:space="preserve">; </w:t>
      </w:r>
      <w:hyperlink w:anchor="good-and-goodness">
        <w:r>
          <w:rPr>
            <w:color w:val="000000"/>
          </w:rPr>
          <w:t xml:space="preserve">Good and goodness</w:t>
        </w:r>
      </w:hyperlink>
      <w:r>
        <w:rPr>
          <w:b w:val="0"/>
          <w:i w:val="0"/>
        </w:rPr>
        <w:t xml:space="preserve">; </w:t>
      </w:r>
      <w:hyperlink w:anchor="motion-and-stability">
        <w:r>
          <w:rPr>
            <w:color w:val="000000"/>
          </w:rPr>
          <w:t xml:space="preserve">Motion and stability</w:t>
        </w:r>
      </w:hyperlink>
      <w:r>
        <w:rPr>
          <w:b w:val="0"/>
          <w:i w:val="0"/>
        </w:rPr>
        <w:t xml:space="preserve">; </w:t>
      </w:r>
      <w:hyperlink w:anchor="proportion-and-analogy">
        <w:r>
          <w:rPr>
            <w:color w:val="000000"/>
          </w:rPr>
          <w:t xml:space="preserve">Proportion and analogy</w:t>
        </w:r>
      </w:hyperlink>
      <w:r>
        <w:rPr>
          <w:b w:val="0"/>
          <w:i w:val="0"/>
        </w:rPr>
        <w:t xml:space="preserve">; </w:t>
      </w:r>
      <w:hyperlink w:anchor="proximity-and-causal-presence">
        <w:r>
          <w:rPr>
            <w:color w:val="000000"/>
          </w:rPr>
          <w:t xml:space="preserve">Proximity and causal presence</w:t>
        </w:r>
      </w:hyperlink>
      <w:r>
        <w:rPr>
          <w:b w:val="0"/>
          <w:i w:val="0"/>
        </w:rPr>
        <w:t xml:space="preserve">. Vocabulary: </w:t>
      </w:r>
      <w:hyperlink w:anchor="latin-record-0742">
        <w:r>
          <w:rPr>
            <w:color w:val="000000"/>
          </w:rPr>
          <w:t xml:space="preserve">natura communis / propria</w:t>
        </w:r>
      </w:hyperlink>
      <w:r>
        <w:rPr>
          <w:b w:val="0"/>
          <w:i w:val="0"/>
        </w:rPr>
        <w:t>.</w:t>
      </w:r>
    </w:p>
    <w:p>
      <w:pPr>
        <w:widowControl/>
      </w:pPr>
      <w:bookmarkStart w:id="2061" w:name="passage-iv-1-61"/>
      <w:bookmarkEnd w:id="2061"/>
      <w:r>
        <w:rPr>
          <w:b/>
          <w:i w:val="0"/>
        </w:rPr>
        <w:t>IV.1.61</w:t>
      </w:r>
      <w:r>
        <w:rPr>
          <w:b/>
          <w:i w:val="0"/>
        </w:rPr>
        <w:t>, source pp. 312–313.</w:t>
      </w:r>
      <w:r>
        <w:rPr>
          <w:b w:val="0"/>
          <w:i w:val="0"/>
        </w:rPr>
        <w:t xml:space="preserve"> Articles: </w:t>
      </w:r>
      <w:hyperlink w:anchor="appetite-and-desire">
        <w:r>
          <w:rPr>
            <w:color w:val="000000"/>
          </w:rPr>
          <w:t xml:space="preserve">Appetite and desire</w:t>
        </w:r>
      </w:hyperlink>
      <w:r>
        <w:rPr>
          <w:b w:val="0"/>
          <w:i w:val="0"/>
        </w:rPr>
        <w:t xml:space="preserve">; </w:t>
      </w:r>
      <w:hyperlink w:anchor="end-and-limit">
        <w:r>
          <w:rPr>
            <w:color w:val="000000"/>
          </w:rPr>
          <w:t xml:space="preserve">End and limit</w:t>
        </w:r>
      </w:hyperlink>
      <w:r>
        <w:rPr>
          <w:b w:val="0"/>
          <w:i w:val="0"/>
        </w:rPr>
        <w:t xml:space="preserve">; </w:t>
      </w:r>
      <w:hyperlink w:anchor="motion-and-stability">
        <w:r>
          <w:rPr>
            <w:color w:val="000000"/>
          </w:rPr>
          <w:t xml:space="preserve">Motion and stability</w:t>
        </w:r>
      </w:hyperlink>
      <w:r>
        <w:rPr>
          <w:b w:val="0"/>
          <w:i w:val="0"/>
        </w:rPr>
        <w:t xml:space="preserve">; </w:t>
      </w:r>
      <w:hyperlink w:anchor="proximity-and-causal-presence">
        <w:r>
          <w:rPr>
            <w:color w:val="000000"/>
          </w:rPr>
          <w:t xml:space="preserve">Proximity and causal presence</w:t>
        </w:r>
      </w:hyperlink>
      <w:r>
        <w:rPr>
          <w:b w:val="0"/>
          <w:i w:val="0"/>
        </w:rPr>
        <w:t xml:space="preserve">. Vocabulary: </w:t>
      </w:r>
      <w:hyperlink w:anchor="latin-record-0085">
        <w:r>
          <w:rPr>
            <w:color w:val="000000"/>
          </w:rPr>
          <w:t xml:space="preserve">appetibile / effectrix</w:t>
        </w:r>
      </w:hyperlink>
      <w:r>
        <w:rPr>
          <w:b w:val="0"/>
          <w:i w:val="0"/>
        </w:rPr>
        <w:t xml:space="preserve">; </w:t>
      </w:r>
      <w:hyperlink w:anchor="latin-record-0561">
        <w:r>
          <w:rPr>
            <w:color w:val="000000"/>
          </w:rPr>
          <w:t xml:space="preserve">inesse / adesse / insitus</w:t>
        </w:r>
      </w:hyperlink>
      <w:r>
        <w:rPr>
          <w:b w:val="0"/>
          <w:i w:val="0"/>
        </w:rPr>
        <w:t>.</w:t>
      </w:r>
    </w:p>
    <w:p>
      <w:pPr>
        <w:widowControl/>
      </w:pPr>
      <w:bookmarkStart w:id="2062" w:name="passage-iv-1-62"/>
      <w:bookmarkEnd w:id="2062"/>
      <w:r>
        <w:rPr>
          <w:b/>
          <w:i w:val="0"/>
        </w:rPr>
        <w:t>IV.1.62</w:t>
      </w:r>
      <w:r>
        <w:rPr>
          <w:b/>
          <w:i w:val="0"/>
        </w:rPr>
        <w:t>, source pp. 314–315.</w:t>
      </w:r>
      <w:r>
        <w:rPr>
          <w:b w:val="0"/>
          <w:i w:val="0"/>
        </w:rPr>
        <w:t xml:space="preserve"> Articles: </w:t>
      </w:r>
      <w:hyperlink w:anchor="appetite-and-desire">
        <w:r>
          <w:rPr>
            <w:color w:val="000000"/>
          </w:rPr>
          <w:t xml:space="preserve">Appetite and desire</w:t>
        </w:r>
      </w:hyperlink>
      <w:r>
        <w:rPr>
          <w:b w:val="0"/>
          <w:i w:val="0"/>
        </w:rPr>
        <w:t xml:space="preserve">; </w:t>
      </w:r>
      <w:hyperlink w:anchor="end-and-limit">
        <w:r>
          <w:rPr>
            <w:color w:val="000000"/>
          </w:rPr>
          <w:t xml:space="preserve">End and limit</w:t>
        </w:r>
      </w:hyperlink>
      <w:r>
        <w:rPr>
          <w:b w:val="0"/>
          <w:i w:val="0"/>
        </w:rPr>
        <w:t xml:space="preserve">; </w:t>
      </w:r>
      <w:hyperlink w:anchor="motion-and-stability">
        <w:r>
          <w:rPr>
            <w:color w:val="000000"/>
          </w:rPr>
          <w:t xml:space="preserve">Motion and stability</w:t>
        </w:r>
      </w:hyperlink>
      <w:r>
        <w:rPr>
          <w:b w:val="0"/>
          <w:i w:val="0"/>
        </w:rPr>
        <w:t xml:space="preserve">; </w:t>
      </w:r>
      <w:hyperlink w:anchor="proximity-and-causal-presence">
        <w:r>
          <w:rPr>
            <w:color w:val="000000"/>
          </w:rPr>
          <w:t xml:space="preserve">Proximity and causal presence</w:t>
        </w:r>
      </w:hyperlink>
      <w:r>
        <w:rPr>
          <w:b w:val="0"/>
          <w:i w:val="0"/>
        </w:rPr>
        <w:t xml:space="preserve">. Vocabulary: </w:t>
      </w:r>
      <w:hyperlink w:anchor="latin-record-0121">
        <w:r>
          <w:rPr>
            <w:color w:val="000000"/>
          </w:rPr>
          <w:t xml:space="preserve">aviditas caeca</w:t>
        </w:r>
      </w:hyperlink>
      <w:r>
        <w:rPr>
          <w:b w:val="0"/>
          <w:i w:val="0"/>
        </w:rPr>
        <w:t xml:space="preserve">; </w:t>
      </w:r>
      <w:hyperlink w:anchor="latin-record-0214">
        <w:r>
          <w:rPr>
            <w:color w:val="000000"/>
          </w:rPr>
          <w:t xml:space="preserve">compos rationis / ratione captus</w:t>
        </w:r>
      </w:hyperlink>
      <w:r>
        <w:rPr>
          <w:b w:val="0"/>
          <w:i w:val="0"/>
        </w:rPr>
        <w:t xml:space="preserve">; </w:t>
      </w:r>
      <w:hyperlink w:anchor="latin-record-0616">
        <w:r>
          <w:rPr>
            <w:color w:val="000000"/>
          </w:rPr>
          <w:t xml:space="preserve">irrationalis</w:t>
        </w:r>
      </w:hyperlink>
      <w:r>
        <w:rPr>
          <w:b w:val="0"/>
          <w:i w:val="0"/>
        </w:rPr>
        <w:t>.</w:t>
      </w:r>
    </w:p>
    <w:p>
      <w:pPr>
        <w:widowControl/>
      </w:pPr>
      <w:bookmarkStart w:id="2063" w:name="passage-iv-1-63"/>
      <w:bookmarkEnd w:id="2063"/>
      <w:r>
        <w:rPr>
          <w:b/>
          <w:i w:val="0"/>
        </w:rPr>
        <w:t>IV.1.63</w:t>
      </w:r>
      <w:r>
        <w:rPr>
          <w:b/>
          <w:i w:val="0"/>
        </w:rPr>
        <w:t>, source pp. 314–315.</w:t>
      </w:r>
      <w:r>
        <w:rPr>
          <w:b w:val="0"/>
          <w:i w:val="0"/>
        </w:rPr>
        <w:t xml:space="preserve"> Articles: </w:t>
      </w:r>
      <w:hyperlink w:anchor="archimedes-and-bronze-spheres">
        <w:r>
          <w:rPr>
            <w:color w:val="000000"/>
          </w:rPr>
          <w:t xml:space="preserve">Archimedes and the bronze spheres</w:t>
        </w:r>
      </w:hyperlink>
      <w:r>
        <w:rPr>
          <w:b w:val="0"/>
          <w:i w:val="0"/>
        </w:rPr>
        <w:t xml:space="preserve">; </w:t>
      </w:r>
      <w:hyperlink w:anchor="motion-and-stability">
        <w:r>
          <w:rPr>
            <w:color w:val="000000"/>
          </w:rPr>
          <w:t xml:space="preserve">Motion and stability</w:t>
        </w:r>
      </w:hyperlink>
      <w:r>
        <w:rPr>
          <w:b w:val="0"/>
          <w:i w:val="0"/>
        </w:rPr>
        <w:t xml:space="preserve">; </w:t>
      </w:r>
      <w:hyperlink w:anchor="proximity-and-causal-presence">
        <w:r>
          <w:rPr>
            <w:color w:val="000000"/>
          </w:rPr>
          <w:t xml:space="preserve">Proximity and causal presence</w:t>
        </w:r>
      </w:hyperlink>
      <w:r>
        <w:rPr>
          <w:b w:val="0"/>
          <w:i w:val="0"/>
        </w:rPr>
        <w:t xml:space="preserve">; </w:t>
      </w:r>
      <w:hyperlink w:anchor="purity-and-mixture">
        <w:r>
          <w:rPr>
            <w:color w:val="000000"/>
          </w:rPr>
          <w:t xml:space="preserve">Purity and mixture</w:t>
        </w:r>
      </w:hyperlink>
      <w:r>
        <w:rPr>
          <w:b w:val="0"/>
          <w:i w:val="0"/>
        </w:rPr>
        <w:t xml:space="preserve">. Vocabulary: </w:t>
      </w:r>
      <w:hyperlink w:anchor="latin-record-0091">
        <w:r>
          <w:rPr>
            <w:color w:val="000000"/>
          </w:rPr>
          <w:t xml:space="preserve">Archimedes / aeneus</w:t>
        </w:r>
      </w:hyperlink>
      <w:r>
        <w:rPr>
          <w:b w:val="0"/>
          <w:i w:val="0"/>
        </w:rPr>
        <w:t xml:space="preserve">; </w:t>
      </w:r>
      <w:hyperlink w:anchor="latin-record-0173">
        <w:r>
          <w:rPr>
            <w:color w:val="000000"/>
          </w:rPr>
          <w:t xml:space="preserve">cogere / compellere</w:t>
        </w:r>
      </w:hyperlink>
      <w:r>
        <w:rPr>
          <w:b w:val="0"/>
          <w:i w:val="0"/>
        </w:rPr>
        <w:t xml:space="preserve">; </w:t>
      </w:r>
      <w:hyperlink w:anchor="latin-record-1186">
        <w:r>
          <w:rPr>
            <w:color w:val="000000"/>
          </w:rPr>
          <w:t xml:space="preserve">temperatio / aequabilis</w:t>
        </w:r>
      </w:hyperlink>
      <w:r>
        <w:rPr>
          <w:b w:val="0"/>
          <w:i w:val="0"/>
        </w:rPr>
        <w:t>.</w:t>
      </w:r>
    </w:p>
    <w:p>
      <w:pPr>
        <w:widowControl/>
      </w:pPr>
      <w:bookmarkStart w:id="2064" w:name="passage-iv-1-64"/>
      <w:bookmarkEnd w:id="2064"/>
      <w:r>
        <w:rPr>
          <w:b/>
          <w:i w:val="0"/>
        </w:rPr>
        <w:t>IV.1.64</w:t>
      </w:r>
      <w:r>
        <w:rPr>
          <w:b/>
          <w:i w:val="0"/>
        </w:rPr>
        <w:t>, source pp. 314–315.</w:t>
      </w:r>
      <w:r>
        <w:rPr>
          <w:b w:val="0"/>
          <w:i w:val="0"/>
        </w:rPr>
        <w:t xml:space="preserve"> Articles: </w:t>
      </w:r>
      <w:hyperlink w:anchor="angel">
        <w:r>
          <w:rPr>
            <w:color w:val="000000"/>
          </w:rPr>
          <w:t xml:space="preserve">Angel</w:t>
        </w:r>
      </w:hyperlink>
      <w:r>
        <w:rPr>
          <w:b w:val="0"/>
          <w:i w:val="0"/>
        </w:rPr>
        <w:t xml:space="preserve">; </w:t>
      </w:r>
      <w:hyperlink w:anchor="archimedes-and-bronze-spheres">
        <w:r>
          <w:rPr>
            <w:color w:val="000000"/>
          </w:rPr>
          <w:t xml:space="preserve">Archimedes and the bronze spheres</w:t>
        </w:r>
      </w:hyperlink>
      <w:r>
        <w:rPr>
          <w:b w:val="0"/>
          <w:i w:val="0"/>
        </w:rPr>
        <w:t xml:space="preserve">; </w:t>
      </w:r>
      <w:hyperlink w:anchor="motion-and-stability">
        <w:r>
          <w:rPr>
            <w:color w:val="000000"/>
          </w:rPr>
          <w:t xml:space="preserve">Motion and stability</w:t>
        </w:r>
      </w:hyperlink>
      <w:r>
        <w:rPr>
          <w:b w:val="0"/>
          <w:i w:val="0"/>
        </w:rPr>
        <w:t xml:space="preserve">; </w:t>
      </w:r>
      <w:hyperlink w:anchor="proximity-and-causal-presence">
        <w:r>
          <w:rPr>
            <w:color w:val="000000"/>
          </w:rPr>
          <w:t xml:space="preserve">Proximity and causal presence</w:t>
        </w:r>
      </w:hyperlink>
      <w:r>
        <w:rPr>
          <w:b w:val="0"/>
          <w:i w:val="0"/>
        </w:rPr>
        <w:t xml:space="preserve">. Vocabulary: </w:t>
      </w:r>
      <w:hyperlink w:anchor="latin-record-0168">
        <w:r>
          <w:rPr>
            <w:color w:val="000000"/>
          </w:rPr>
          <w:t xml:space="preserve">circumcurrere</w:t>
        </w:r>
      </w:hyperlink>
      <w:r>
        <w:rPr>
          <w:b w:val="0"/>
          <w:i w:val="0"/>
        </w:rPr>
        <w:t>.</w:t>
      </w:r>
    </w:p>
    <w:p>
      <w:pPr>
        <w:widowControl/>
      </w:pPr>
      <w:bookmarkStart w:id="2065" w:name="passage-iv-1-65"/>
      <w:bookmarkEnd w:id="2065"/>
      <w:r>
        <w:rPr>
          <w:b/>
          <w:i w:val="0"/>
        </w:rPr>
        <w:t>IV.1.65</w:t>
      </w:r>
      <w:r>
        <w:rPr>
          <w:b/>
          <w:i w:val="0"/>
        </w:rPr>
        <w:t>, source pp. 314–315.</w:t>
      </w:r>
      <w:r>
        <w:rPr>
          <w:b w:val="0"/>
          <w:i w:val="0"/>
        </w:rPr>
        <w:t xml:space="preserve"> Articles: </w:t>
      </w:r>
      <w:hyperlink w:anchor="angel">
        <w:r>
          <w:rPr>
            <w:color w:val="000000"/>
          </w:rPr>
          <w:t xml:space="preserve">Angel</w:t>
        </w:r>
      </w:hyperlink>
      <w:r>
        <w:rPr>
          <w:b w:val="0"/>
          <w:i w:val="0"/>
        </w:rPr>
        <w:t xml:space="preserve">; </w:t>
      </w:r>
      <w:hyperlink w:anchor="archimedes-and-bronze-spheres">
        <w:r>
          <w:rPr>
            <w:color w:val="000000"/>
          </w:rPr>
          <w:t xml:space="preserve">Archimedes and the bronze spheres</w:t>
        </w:r>
      </w:hyperlink>
      <w:r>
        <w:rPr>
          <w:b w:val="0"/>
          <w:i w:val="0"/>
        </w:rPr>
        <w:t xml:space="preserve">; </w:t>
      </w:r>
      <w:hyperlink w:anchor="degree-and-mediation">
        <w:r>
          <w:rPr>
            <w:color w:val="000000"/>
          </w:rPr>
          <w:t xml:space="preserve">Degree and mediation</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motion-and-stability">
        <w:r>
          <w:rPr>
            <w:color w:val="000000"/>
          </w:rPr>
          <w:t xml:space="preserve">Motion and stability</w:t>
        </w:r>
      </w:hyperlink>
      <w:r>
        <w:rPr>
          <w:b w:val="0"/>
          <w:i w:val="0"/>
        </w:rPr>
        <w:t xml:space="preserve">. Vocabulary: </w:t>
      </w:r>
      <w:hyperlink w:anchor="latin-record-1076">
        <w:r>
          <w:rPr>
            <w:color w:val="000000"/>
          </w:rPr>
          <w:t xml:space="preserve">se regere / se sistere</w:t>
        </w:r>
      </w:hyperlink>
      <w:r>
        <w:rPr>
          <w:b w:val="0"/>
          <w:i w:val="0"/>
        </w:rPr>
        <w:t>.</w:t>
      </w:r>
    </w:p>
    <w:p>
      <w:pPr>
        <w:widowControl/>
      </w:pPr>
      <w:bookmarkStart w:id="2066" w:name="passage-iv-1-66"/>
      <w:bookmarkEnd w:id="2066"/>
      <w:r>
        <w:rPr>
          <w:b/>
          <w:i w:val="0"/>
        </w:rPr>
        <w:t>IV.1.66</w:t>
      </w:r>
      <w:r>
        <w:rPr>
          <w:b/>
          <w:i w:val="0"/>
        </w:rPr>
        <w:t>, source pp. 316–317.</w:t>
      </w:r>
      <w:r>
        <w:rPr>
          <w:b w:val="0"/>
          <w:i w:val="0"/>
        </w:rPr>
        <w:t xml:space="preserve"> Articles: </w:t>
      </w:r>
      <w:hyperlink w:anchor="angel">
        <w:r>
          <w:rPr>
            <w:color w:val="000000"/>
          </w:rPr>
          <w:t xml:space="preserve">Angel</w:t>
        </w:r>
      </w:hyperlink>
      <w:r>
        <w:rPr>
          <w:b w:val="0"/>
          <w:i w:val="0"/>
        </w:rPr>
        <w:t xml:space="preserve">; </w:t>
      </w:r>
      <w:hyperlink w:anchor="archimedes-and-bronze-spheres">
        <w:r>
          <w:rPr>
            <w:color w:val="000000"/>
          </w:rPr>
          <w:t xml:space="preserve">Archimedes and the bronze spheres</w:t>
        </w:r>
      </w:hyperlink>
      <w:r>
        <w:rPr>
          <w:b w:val="0"/>
          <w:i w:val="0"/>
        </w:rPr>
        <w:t xml:space="preserve">; </w:t>
      </w:r>
      <w:hyperlink w:anchor="degree-and-mediation">
        <w:r>
          <w:rPr>
            <w:color w:val="000000"/>
          </w:rPr>
          <w:t xml:space="preserve">Degree and mediation</w:t>
        </w:r>
      </w:hyperlink>
      <w:r>
        <w:rPr>
          <w:b w:val="0"/>
          <w:i w:val="0"/>
        </w:rPr>
        <w:t xml:space="preserve">; </w:t>
      </w:r>
      <w:hyperlink w:anchor="motion-and-stability">
        <w:r>
          <w:rPr>
            <w:color w:val="000000"/>
          </w:rPr>
          <w:t xml:space="preserve">Motion and stability</w:t>
        </w:r>
      </w:hyperlink>
      <w:r>
        <w:rPr>
          <w:b w:val="0"/>
          <w:i w:val="0"/>
        </w:rPr>
        <w:t xml:space="preserve">; </w:t>
      </w:r>
      <w:hyperlink w:anchor="proximity-and-causal-presence">
        <w:r>
          <w:rPr>
            <w:color w:val="000000"/>
          </w:rPr>
          <w:t xml:space="preserve">Proximity and causal presence</w:t>
        </w:r>
      </w:hyperlink>
      <w:r>
        <w:rPr>
          <w:b w:val="0"/>
          <w:i w:val="0"/>
        </w:rPr>
        <w:t xml:space="preserve">. Vocabulary: </w:t>
      </w:r>
      <w:hyperlink w:anchor="latin-record-0108">
        <w:r>
          <w:rPr>
            <w:color w:val="000000"/>
          </w:rPr>
          <w:t xml:space="preserve">attribuere / dare</w:t>
        </w:r>
      </w:hyperlink>
      <w:r>
        <w:rPr>
          <w:b w:val="0"/>
          <w:i w:val="0"/>
        </w:rPr>
        <w:t xml:space="preserve">; </w:t>
      </w:r>
      <w:hyperlink w:anchor="latin-record-0919">
        <w:r>
          <w:rPr>
            <w:color w:val="000000"/>
          </w:rPr>
          <w:t xml:space="preserve">praestare</w:t>
        </w:r>
      </w:hyperlink>
      <w:r>
        <w:rPr>
          <w:b w:val="0"/>
          <w:i w:val="0"/>
        </w:rPr>
        <w:t xml:space="preserve">; </w:t>
      </w:r>
      <w:hyperlink w:anchor="latin-record-1086">
        <w:r>
          <w:rPr>
            <w:color w:val="000000"/>
          </w:rPr>
          <w:t xml:space="preserve">semotus motor</w:t>
        </w:r>
      </w:hyperlink>
      <w:r>
        <w:rPr>
          <w:b w:val="0"/>
          <w:i w:val="0"/>
        </w:rPr>
        <w:t>.</w:t>
      </w:r>
    </w:p>
    <w:p>
      <w:pPr>
        <w:widowControl/>
      </w:pPr>
      <w:bookmarkStart w:id="2067" w:name="passage-iv-1-67"/>
      <w:bookmarkEnd w:id="2067"/>
      <w:r>
        <w:rPr>
          <w:b/>
          <w:i w:val="0"/>
        </w:rPr>
        <w:t>IV.1.67</w:t>
      </w:r>
      <w:r>
        <w:rPr>
          <w:b/>
          <w:i w:val="0"/>
        </w:rPr>
        <w:t>, source pp. 316–317.</w:t>
      </w:r>
      <w:r>
        <w:rPr>
          <w:b w:val="0"/>
          <w:i w:val="0"/>
        </w:rPr>
        <w:t xml:space="preserve"> Articles: </w:t>
      </w:r>
      <w:hyperlink w:anchor="angel">
        <w:r>
          <w:rPr>
            <w:color w:val="000000"/>
          </w:rPr>
          <w:t xml:space="preserve">Angel</w:t>
        </w:r>
      </w:hyperlink>
      <w:r>
        <w:rPr>
          <w:b w:val="0"/>
          <w:i w:val="0"/>
        </w:rPr>
        <w:t xml:space="preserve">; </w:t>
      </w:r>
      <w:hyperlink w:anchor="archimedes-and-bronze-spheres">
        <w:r>
          <w:rPr>
            <w:color w:val="000000"/>
          </w:rPr>
          <w:t xml:space="preserve">Archimedes and the bronze spheres</w:t>
        </w:r>
      </w:hyperlink>
      <w:r>
        <w:rPr>
          <w:b w:val="0"/>
          <w:i w:val="0"/>
        </w:rPr>
        <w:t xml:space="preserve">; </w:t>
      </w:r>
      <w:hyperlink w:anchor="degree-and-mediation">
        <w:r>
          <w:rPr>
            <w:color w:val="000000"/>
          </w:rPr>
          <w:t xml:space="preserve">Degree and mediation</w:t>
        </w:r>
      </w:hyperlink>
      <w:r>
        <w:rPr>
          <w:b w:val="0"/>
          <w:i w:val="0"/>
        </w:rPr>
        <w:t xml:space="preserve">; </w:t>
      </w:r>
      <w:hyperlink w:anchor="indwelling-and-presence">
        <w:r>
          <w:rPr>
            <w:color w:val="000000"/>
          </w:rPr>
          <w:t xml:space="preserve">Indwelling and presence</w:t>
        </w:r>
      </w:hyperlink>
      <w:r>
        <w:rPr>
          <w:b w:val="0"/>
          <w:i w:val="0"/>
        </w:rPr>
        <w:t xml:space="preserve">; </w:t>
      </w:r>
      <w:hyperlink w:anchor="motion-and-stability">
        <w:r>
          <w:rPr>
            <w:color w:val="000000"/>
          </w:rPr>
          <w:t xml:space="preserve">Motion and stability</w:t>
        </w:r>
      </w:hyperlink>
      <w:r>
        <w:rPr>
          <w:b w:val="0"/>
          <w:i w:val="0"/>
        </w:rPr>
        <w:t xml:space="preserve">; </w:t>
      </w:r>
      <w:hyperlink w:anchor="proximity-and-causal-presence">
        <w:r>
          <w:rPr>
            <w:color w:val="000000"/>
          </w:rPr>
          <w:t xml:space="preserve">Proximity and causal presence</w:t>
        </w:r>
      </w:hyperlink>
      <w:r>
        <w:rPr>
          <w:b w:val="0"/>
          <w:i w:val="0"/>
        </w:rPr>
        <w:t xml:space="preserve">. Vocabulary: </w:t>
      </w:r>
      <w:hyperlink w:anchor="latin-record-0984">
        <w:r>
          <w:rPr>
            <w:color w:val="000000"/>
          </w:rPr>
          <w:t xml:space="preserve">punctum / adstrictus dimensionibus</w:t>
        </w:r>
      </w:hyperlink>
      <w:r>
        <w:rPr>
          <w:b w:val="0"/>
          <w:i w:val="0"/>
        </w:rPr>
        <w:t>.</w:t>
      </w:r>
    </w:p>
    <w:p>
      <w:pPr>
        <w:widowControl/>
      </w:pPr>
      <w:bookmarkStart w:id="2068" w:name="passage-iv-1-68"/>
      <w:bookmarkEnd w:id="2068"/>
      <w:r>
        <w:rPr>
          <w:b/>
          <w:i w:val="0"/>
        </w:rPr>
        <w:t>IV.1.68</w:t>
      </w:r>
      <w:r>
        <w:rPr>
          <w:b/>
          <w:i w:val="0"/>
        </w:rPr>
        <w:t>, source pp. 316–317.</w:t>
      </w:r>
      <w:r>
        <w:rPr>
          <w:b w:val="0"/>
          <w:i w:val="0"/>
        </w:rPr>
        <w:t xml:space="preserve"> Articles: </w:t>
      </w:r>
      <w:hyperlink w:anchor="instrument">
        <w:r>
          <w:rPr>
            <w:color w:val="000000"/>
          </w:rPr>
          <w:t xml:space="preserve">Instrument</w:t>
        </w:r>
      </w:hyperlink>
      <w:r>
        <w:rPr>
          <w:b w:val="0"/>
          <w:i w:val="0"/>
        </w:rPr>
        <w:t xml:space="preserve">; </w:t>
      </w:r>
      <w:hyperlink w:anchor="motion-and-stability">
        <w:r>
          <w:rPr>
            <w:color w:val="000000"/>
          </w:rPr>
          <w:t xml:space="preserve">Motion and stability</w:t>
        </w:r>
      </w:hyperlink>
      <w:r>
        <w:rPr>
          <w:b w:val="0"/>
          <w:i w:val="0"/>
        </w:rPr>
        <w:t xml:space="preserve">; </w:t>
      </w:r>
      <w:hyperlink w:anchor="proportion-and-analogy">
        <w:r>
          <w:rPr>
            <w:color w:val="000000"/>
          </w:rPr>
          <w:t xml:space="preserve">Proportion and analogy</w:t>
        </w:r>
      </w:hyperlink>
      <w:r>
        <w:rPr>
          <w:b w:val="0"/>
          <w:i w:val="0"/>
        </w:rPr>
        <w:t xml:space="preserve">. Vocabulary: </w:t>
      </w:r>
      <w:hyperlink w:anchor="latin-record-0591">
        <w:r>
          <w:rPr>
            <w:color w:val="000000"/>
          </w:rPr>
          <w:t xml:space="preserve">instrumentum vitae</w:t>
        </w:r>
      </w:hyperlink>
      <w:r>
        <w:rPr>
          <w:b w:val="0"/>
          <w:i w:val="0"/>
        </w:rPr>
        <w:t>.</w:t>
      </w:r>
    </w:p>
    <w:p>
      <w:pPr>
        <w:widowControl/>
      </w:pPr>
      <w:bookmarkStart w:id="2069" w:name="passage-iv-1-69"/>
      <w:bookmarkEnd w:id="2069"/>
      <w:r>
        <w:rPr>
          <w:b/>
          <w:i w:val="0"/>
        </w:rPr>
        <w:t>IV.1.69</w:t>
      </w:r>
      <w:r>
        <w:rPr>
          <w:b/>
          <w:i w:val="0"/>
        </w:rPr>
        <w:t>, source pp. 316–317.</w:t>
      </w:r>
      <w:r>
        <w:rPr>
          <w:b w:val="0"/>
          <w:i w:val="0"/>
        </w:rPr>
        <w:t xml:space="preserve"> Articles: </w:t>
      </w:r>
      <w:hyperlink w:anchor="life">
        <w:r>
          <w:rPr>
            <w:color w:val="000000"/>
          </w:rPr>
          <w:t xml:space="preserve">Life</w:t>
        </w:r>
      </w:hyperlink>
      <w:r>
        <w:rPr>
          <w:b w:val="0"/>
          <w:i w:val="0"/>
        </w:rPr>
        <w:t xml:space="preserve">; </w:t>
      </w:r>
      <w:hyperlink w:anchor="motion-and-stability">
        <w:r>
          <w:rPr>
            <w:color w:val="000000"/>
          </w:rPr>
          <w:t xml:space="preserve">Motion and stability</w:t>
        </w:r>
      </w:hyperlink>
      <w:r>
        <w:rPr>
          <w:b w:val="0"/>
          <w:i w:val="0"/>
        </w:rPr>
        <w:t xml:space="preserve">. Vocabulary: </w:t>
      </w:r>
      <w:hyperlink w:anchor="latin-record-1104">
        <w:r>
          <w:rPr>
            <w:color w:val="000000"/>
          </w:rPr>
          <w:t xml:space="preserve">signum</w:t>
        </w:r>
      </w:hyperlink>
      <w:r>
        <w:rPr>
          <w:b w:val="0"/>
          <w:i w:val="0"/>
        </w:rPr>
        <w:t xml:space="preserve">; </w:t>
      </w:r>
      <w:hyperlink w:anchor="latin-record-1135">
        <w:r>
          <w:rPr>
            <w:color w:val="000000"/>
          </w:rPr>
          <w:t xml:space="preserve">spontaneus / sponte</w:t>
        </w:r>
      </w:hyperlink>
      <w:r>
        <w:rPr>
          <w:b w:val="0"/>
          <w:i w:val="0"/>
        </w:rPr>
        <w:t>.</w:t>
      </w:r>
    </w:p>
    <w:p>
      <w:pPr>
        <w:widowControl/>
      </w:pPr>
      <w:bookmarkStart w:id="2070" w:name="passage-iv-1-70"/>
      <w:bookmarkEnd w:id="2070"/>
      <w:r>
        <w:rPr>
          <w:b/>
          <w:i w:val="0"/>
        </w:rPr>
        <w:t>IV.1.70</w:t>
      </w:r>
      <w:r>
        <w:rPr>
          <w:b/>
          <w:i w:val="0"/>
        </w:rPr>
        <w:t>, source pp. 316–317.</w:t>
      </w:r>
      <w:r>
        <w:rPr>
          <w:b w:val="0"/>
          <w:i w:val="0"/>
        </w:rPr>
        <w:t xml:space="preserve"> Articles: </w:t>
      </w:r>
      <w:hyperlink w:anchor="life">
        <w:r>
          <w:rPr>
            <w:color w:val="000000"/>
          </w:rPr>
          <w:t xml:space="preserve">Life</w:t>
        </w:r>
      </w:hyperlink>
      <w:r>
        <w:rPr>
          <w:b w:val="0"/>
          <w:i w:val="0"/>
        </w:rPr>
        <w:t xml:space="preserve">; </w:t>
      </w:r>
      <w:hyperlink w:anchor="motion-and-stability">
        <w:r>
          <w:rPr>
            <w:color w:val="000000"/>
          </w:rPr>
          <w:t xml:space="preserve">Motion and stability</w:t>
        </w:r>
      </w:hyperlink>
      <w:r>
        <w:rPr>
          <w:b w:val="0"/>
          <w:i w:val="0"/>
        </w:rPr>
        <w:t xml:space="preserve">. Vocabulary: </w:t>
      </w:r>
      <w:hyperlink w:anchor="latin-record-1135">
        <w:r>
          <w:rPr>
            <w:color w:val="000000"/>
          </w:rPr>
          <w:t xml:space="preserve">spontaneus / sponte</w:t>
        </w:r>
      </w:hyperlink>
      <w:r>
        <w:rPr>
          <w:b w:val="0"/>
          <w:i w:val="0"/>
        </w:rPr>
        <w:t>.</w:t>
      </w:r>
    </w:p>
    <w:p>
      <w:pPr>
        <w:widowControl/>
      </w:pPr>
      <w:bookmarkStart w:id="2071" w:name="passage-iv-1-71"/>
      <w:bookmarkEnd w:id="2071"/>
      <w:r>
        <w:rPr>
          <w:b/>
          <w:i w:val="0"/>
        </w:rPr>
        <w:t>IV.1.71</w:t>
      </w:r>
      <w:r>
        <w:rPr>
          <w:b/>
          <w:i w:val="0"/>
        </w:rPr>
        <w:t>, source pp. 318–319.</w:t>
      </w:r>
      <w:r>
        <w:rPr>
          <w:b w:val="0"/>
          <w:i w:val="0"/>
        </w:rPr>
        <w:t xml:space="preserve"> Articles: </w:t>
      </w:r>
      <w:hyperlink w:anchor="animating-and-animal">
        <w:r>
          <w:rPr>
            <w:color w:val="000000"/>
          </w:rPr>
          <w:t xml:space="preserve">Animating and animal</w:t>
        </w:r>
      </w:hyperlink>
      <w:r>
        <w:rPr>
          <w:b w:val="0"/>
          <w:i w:val="0"/>
        </w:rPr>
        <w:t xml:space="preserve">; </w:t>
      </w:r>
      <w:hyperlink w:anchor="spheres-and-stars">
        <w:r>
          <w:rPr>
            <w:color w:val="000000"/>
          </w:rPr>
          <w:t xml:space="preserve">Spheres and stars</w:t>
        </w:r>
      </w:hyperlink>
      <w:r>
        <w:rPr>
          <w:b w:val="0"/>
          <w:i w:val="0"/>
        </w:rPr>
        <w:t xml:space="preserve">. Vocabulary: </w:t>
      </w:r>
      <w:hyperlink w:anchor="latin-record-0029">
        <w:r>
          <w:rPr>
            <w:color w:val="000000"/>
          </w:rPr>
          <w:t xml:space="preserve">adsciscere / complecti</w:t>
        </w:r>
      </w:hyperlink>
      <w:r>
        <w:rPr>
          <w:b w:val="0"/>
          <w:i w:val="0"/>
        </w:rPr>
        <w:t xml:space="preserve">; </w:t>
      </w:r>
      <w:hyperlink w:anchor="latin-record-0753">
        <w:r>
          <w:rPr>
            <w:color w:val="000000"/>
          </w:rPr>
          <w:t xml:space="preserve">negare</w:t>
        </w:r>
      </w:hyperlink>
      <w:r>
        <w:rPr>
          <w:b w:val="0"/>
          <w:i w:val="0"/>
        </w:rPr>
        <w:t>.</w:t>
      </w:r>
    </w:p>
    <w:p>
      <w:pPr>
        <w:widowControl/>
      </w:pPr>
      <w:bookmarkStart w:id="2072" w:name="passage-iv-1-72"/>
      <w:bookmarkEnd w:id="2072"/>
      <w:r>
        <w:rPr>
          <w:b/>
          <w:i w:val="0"/>
        </w:rPr>
        <w:t>IV.1.72</w:t>
      </w:r>
      <w:r>
        <w:rPr>
          <w:b/>
          <w:i w:val="0"/>
        </w:rPr>
        <w:t>, source pp. 318–319.</w:t>
      </w:r>
      <w:r>
        <w:rPr>
          <w:b w:val="0"/>
          <w:i w:val="0"/>
        </w:rPr>
        <w:t xml:space="preserve"> Articles: </w:t>
      </w:r>
      <w:hyperlink w:anchor="animating-and-animal">
        <w:r>
          <w:rPr>
            <w:color w:val="000000"/>
          </w:rPr>
          <w:t xml:space="preserve">Animating and animal</w:t>
        </w:r>
      </w:hyperlink>
      <w:r>
        <w:rPr>
          <w:b w:val="0"/>
          <w:i w:val="0"/>
        </w:rPr>
        <w:t xml:space="preserve">; </w:t>
      </w:r>
      <w:hyperlink w:anchor="purity-and-mixture">
        <w:r>
          <w:rPr>
            <w:color w:val="000000"/>
          </w:rPr>
          <w:t xml:space="preserve">Purity and mixture</w:t>
        </w:r>
      </w:hyperlink>
      <w:r>
        <w:rPr>
          <w:b w:val="0"/>
          <w:i w:val="0"/>
        </w:rPr>
        <w:t xml:space="preserve">; </w:t>
      </w:r>
      <w:hyperlink w:anchor="spheres-and-stars">
        <w:r>
          <w:rPr>
            <w:color w:val="000000"/>
          </w:rPr>
          <w:t xml:space="preserve">Spheres and stars</w:t>
        </w:r>
      </w:hyperlink>
      <w:r>
        <w:rPr>
          <w:b w:val="0"/>
          <w:i w:val="0"/>
        </w:rPr>
        <w:t xml:space="preserve">; </w:t>
      </w:r>
      <w:hyperlink w:anchor="spirit">
        <w:r>
          <w:rPr>
            <w:color w:val="000000"/>
          </w:rPr>
          <w:t xml:space="preserve">Spirit</w:t>
        </w:r>
      </w:hyperlink>
      <w:r>
        <w:rPr>
          <w:b w:val="0"/>
          <w:i w:val="0"/>
        </w:rPr>
        <w:t xml:space="preserve">. Vocabulary: </w:t>
      </w:r>
      <w:hyperlink w:anchor="latin-record-0703">
        <w:r>
          <w:rPr>
            <w:color w:val="000000"/>
          </w:rPr>
          <w:t xml:space="preserve">mirari / mirabilis</w:t>
        </w:r>
      </w:hyperlink>
      <w:r>
        <w:rPr>
          <w:b w:val="0"/>
          <w:i w:val="0"/>
        </w:rPr>
        <w:t xml:space="preserve">; </w:t>
      </w:r>
      <w:hyperlink w:anchor="latin-record-1168">
        <w:r>
          <w:rPr>
            <w:color w:val="000000"/>
          </w:rPr>
          <w:t xml:space="preserve">sulfur / quasi spiritalia</w:t>
        </w:r>
      </w:hyperlink>
      <w:r>
        <w:rPr>
          <w:b w:val="0"/>
          <w:i w:val="0"/>
        </w:rPr>
        <w:t>.</w:t>
      </w:r>
    </w:p>
    <w:p>
      <w:pPr>
        <w:widowControl/>
      </w:pPr>
      <w:bookmarkStart w:id="2073" w:name="passage-iv-1-73"/>
      <w:bookmarkEnd w:id="2073"/>
      <w:r>
        <w:rPr>
          <w:b/>
          <w:i w:val="0"/>
        </w:rPr>
        <w:t>IV.1.73</w:t>
      </w:r>
      <w:r>
        <w:rPr>
          <w:b/>
          <w:i w:val="0"/>
        </w:rPr>
        <w:t>, source pp. 318–319.</w:t>
      </w:r>
      <w:r>
        <w:rPr>
          <w:b w:val="0"/>
          <w:i w:val="0"/>
        </w:rPr>
        <w:t xml:space="preserve"> Articles: </w:t>
      </w:r>
      <w:hyperlink w:anchor="animating-and-animal">
        <w:r>
          <w:rPr>
            <w:color w:val="000000"/>
          </w:rPr>
          <w:t xml:space="preserve">Animating and animal</w:t>
        </w:r>
      </w:hyperlink>
      <w:r>
        <w:rPr>
          <w:b w:val="0"/>
          <w:i w:val="0"/>
        </w:rPr>
        <w:t xml:space="preserve">; </w:t>
      </w:r>
      <w:hyperlink w:anchor="purity-and-mixture">
        <w:r>
          <w:rPr>
            <w:color w:val="000000"/>
          </w:rPr>
          <w:t xml:space="preserve">Purity and mixture</w:t>
        </w:r>
      </w:hyperlink>
      <w:r>
        <w:rPr>
          <w:b w:val="0"/>
          <w:i w:val="0"/>
        </w:rPr>
        <w:t xml:space="preserve">; </w:t>
      </w:r>
      <w:hyperlink w:anchor="spheres-and-stars">
        <w:r>
          <w:rPr>
            <w:color w:val="000000"/>
          </w:rPr>
          <w:t xml:space="preserve">Spheres and stars</w:t>
        </w:r>
      </w:hyperlink>
      <w:r>
        <w:rPr>
          <w:b w:val="0"/>
          <w:i w:val="0"/>
        </w:rPr>
        <w:t xml:space="preserve">. Vocabulary: </w:t>
      </w:r>
      <w:hyperlink w:anchor="latin-record-0178">
        <w:r>
          <w:rPr>
            <w:color w:val="000000"/>
          </w:rPr>
          <w:t xml:space="preserve">cognatus</w:t>
        </w:r>
      </w:hyperlink>
      <w:r>
        <w:rPr>
          <w:b w:val="0"/>
          <w:i w:val="0"/>
        </w:rPr>
        <w:t xml:space="preserve">; </w:t>
      </w:r>
      <w:hyperlink w:anchor="latin-record-1184">
        <w:r>
          <w:rPr>
            <w:color w:val="000000"/>
          </w:rPr>
          <w:t xml:space="preserve">temperantia / intemperantia</w:t>
        </w:r>
      </w:hyperlink>
      <w:r>
        <w:rPr>
          <w:b w:val="0"/>
          <w:i w:val="0"/>
        </w:rPr>
        <w:t>.</w:t>
      </w:r>
    </w:p>
    <w:p>
      <w:pPr>
        <w:widowControl/>
      </w:pPr>
      <w:bookmarkStart w:id="2074" w:name="passage-iv-1-74"/>
      <w:bookmarkEnd w:id="2074"/>
      <w:r>
        <w:rPr>
          <w:b/>
          <w:i w:val="0"/>
        </w:rPr>
        <w:t>IV.1.74</w:t>
      </w:r>
      <w:r>
        <w:rPr>
          <w:b/>
          <w:i w:val="0"/>
        </w:rPr>
        <w:t>, source pp. 320–321.</w:t>
      </w:r>
      <w:r>
        <w:rPr>
          <w:b w:val="0"/>
          <w:i w:val="0"/>
        </w:rPr>
        <w:t xml:space="preserve"> Articles: </w:t>
      </w:r>
      <w:hyperlink w:anchor="earth-soul">
        <w:r>
          <w:rPr>
            <w:color w:val="000000"/>
          </w:rPr>
          <w:t xml:space="preserve">Earth soul</w:t>
        </w:r>
      </w:hyperlink>
      <w:r>
        <w:rPr>
          <w:b w:val="0"/>
          <w:i w:val="0"/>
        </w:rPr>
        <w:t xml:space="preserve">; </w:t>
      </w:r>
      <w:hyperlink w:anchor="hidden-mover-and-magnet">
        <w:r>
          <w:rPr>
            <w:color w:val="000000"/>
          </w:rPr>
          <w:t xml:space="preserve">Hidden mover and magnet</w:t>
        </w:r>
      </w:hyperlink>
      <w:r>
        <w:rPr>
          <w:b w:val="0"/>
          <w:i w:val="0"/>
        </w:rPr>
        <w:t xml:space="preserve">; </w:t>
      </w:r>
      <w:hyperlink w:anchor="hierobotanum-and-mineral-powers">
        <w:r>
          <w:rPr>
            <w:color w:val="000000"/>
          </w:rPr>
          <w:t xml:space="preserve">Hierobotanum and mineral powers</w:t>
        </w:r>
      </w:hyperlink>
      <w:r>
        <w:rPr>
          <w:b w:val="0"/>
          <w:i w:val="0"/>
        </w:rPr>
        <w:t xml:space="preserve">; </w:t>
      </w:r>
      <w:hyperlink w:anchor="motion-and-stability">
        <w:r>
          <w:rPr>
            <w:color w:val="000000"/>
          </w:rPr>
          <w:t xml:space="preserve">Motion and stability</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seeming-and-evidence">
        <w:r>
          <w:rPr>
            <w:color w:val="000000"/>
          </w:rPr>
          <w:t xml:space="preserve">Seeming and evidence</w:t>
        </w:r>
      </w:hyperlink>
      <w:r>
        <w:rPr>
          <w:b w:val="0"/>
          <w:i w:val="0"/>
        </w:rPr>
        <w:t xml:space="preserve">. Vocabulary: </w:t>
      </w:r>
      <w:hyperlink w:anchor="latin-record-0376">
        <w:r>
          <w:rPr>
            <w:color w:val="000000"/>
          </w:rPr>
          <w:t xml:space="preserve">errāre / iudicare</w:t>
        </w:r>
      </w:hyperlink>
      <w:r>
        <w:rPr>
          <w:b w:val="0"/>
          <w:i w:val="0"/>
        </w:rPr>
        <w:t xml:space="preserve">; </w:t>
      </w:r>
      <w:hyperlink w:anchor="latin-record-0663">
        <w:r>
          <w:rPr>
            <w:color w:val="000000"/>
          </w:rPr>
          <w:t xml:space="preserve">magnes / ferrum</w:t>
        </w:r>
      </w:hyperlink>
      <w:r>
        <w:rPr>
          <w:b w:val="0"/>
          <w:i w:val="0"/>
        </w:rPr>
        <w:t xml:space="preserve">; </w:t>
      </w:r>
      <w:hyperlink w:anchor="latin-record-1000">
        <w:r>
          <w:rPr>
            <w:color w:val="000000"/>
          </w:rPr>
          <w:t xml:space="preserve">quaerere / persuadere</w:t>
        </w:r>
      </w:hyperlink>
      <w:r>
        <w:rPr>
          <w:b w:val="0"/>
          <w:i w:val="0"/>
        </w:rPr>
        <w:t xml:space="preserve">; </w:t>
      </w:r>
      <w:hyperlink w:anchor="latin-record-1061">
        <w:r>
          <w:rPr>
            <w:color w:val="000000"/>
          </w:rPr>
          <w:t xml:space="preserve">revocare / rapere</w:t>
        </w:r>
      </w:hyperlink>
      <w:r>
        <w:rPr>
          <w:b w:val="0"/>
          <w:i w:val="0"/>
        </w:rPr>
        <w:t xml:space="preserve">; </w:t>
      </w:r>
      <w:hyperlink w:anchor="latin-record-1240">
        <w:r>
          <w:rPr>
            <w:color w:val="000000"/>
          </w:rPr>
          <w:t xml:space="preserve">velox / tardus</w:t>
        </w:r>
      </w:hyperlink>
      <w:r>
        <w:rPr>
          <w:b w:val="0"/>
          <w:i w:val="0"/>
        </w:rPr>
        <w:t>.</w:t>
      </w:r>
    </w:p>
    <w:p>
      <w:pPr>
        <w:widowControl/>
      </w:pPr>
      <w:bookmarkStart w:id="2075" w:name="passage-iv-1-75"/>
      <w:bookmarkEnd w:id="2075"/>
      <w:r>
        <w:rPr>
          <w:b/>
          <w:i w:val="0"/>
        </w:rPr>
        <w:t>IV.1.75</w:t>
      </w:r>
      <w:r>
        <w:rPr>
          <w:b/>
          <w:i w:val="0"/>
        </w:rPr>
        <w:t>, source pp. 320–321.</w:t>
      </w:r>
      <w:r>
        <w:rPr>
          <w:b w:val="0"/>
          <w:i w:val="0"/>
        </w:rPr>
        <w:t xml:space="preserve"> Articles: </w:t>
      </w:r>
      <w:hyperlink w:anchor="art-and-nature">
        <w:r>
          <w:rPr>
            <w:color w:val="000000"/>
          </w:rPr>
          <w:t xml:space="preserve">Art and nature</w:t>
        </w:r>
      </w:hyperlink>
      <w:r>
        <w:rPr>
          <w:b w:val="0"/>
          <w:i w:val="0"/>
        </w:rPr>
        <w:t xml:space="preserve">; </w:t>
      </w:r>
      <w:hyperlink w:anchor="earth-soul">
        <w:r>
          <w:rPr>
            <w:color w:val="000000"/>
          </w:rPr>
          <w:t xml:space="preserve">Earth soul</w:t>
        </w:r>
      </w:hyperlink>
      <w:r>
        <w:rPr>
          <w:b w:val="0"/>
          <w:i w:val="0"/>
        </w:rPr>
        <w:t xml:space="preserve">; </w:t>
      </w:r>
      <w:hyperlink w:anchor="hidden-mover-and-magnet">
        <w:r>
          <w:rPr>
            <w:color w:val="000000"/>
          </w:rPr>
          <w:t xml:space="preserve">Hidden mover and magnet</w:t>
        </w:r>
      </w:hyperlink>
      <w:r>
        <w:rPr>
          <w:b w:val="0"/>
          <w:i w:val="0"/>
        </w:rPr>
        <w:t xml:space="preserve">; </w:t>
      </w:r>
      <w:hyperlink w:anchor="motion-and-stability">
        <w:r>
          <w:rPr>
            <w:color w:val="000000"/>
          </w:rPr>
          <w:t xml:space="preserve">Motion and stability</w:t>
        </w:r>
      </w:hyperlink>
      <w:r>
        <w:rPr>
          <w:b w:val="0"/>
          <w:i w:val="0"/>
        </w:rPr>
        <w:t xml:space="preserve">; </w:t>
      </w:r>
      <w:hyperlink w:anchor="natural-motion-and-natural-place">
        <w:r>
          <w:rPr>
            <w:color w:val="000000"/>
          </w:rPr>
          <w:t xml:space="preserve">Natural motion and natural place</w:t>
        </w:r>
      </w:hyperlink>
      <w:r>
        <w:rPr>
          <w:b w:val="0"/>
          <w:i w:val="0"/>
        </w:rPr>
        <w:t xml:space="preserve">. Vocabulary: </w:t>
      </w:r>
      <w:hyperlink w:anchor="latin-record-0075">
        <w:r>
          <w:rPr>
            <w:color w:val="000000"/>
          </w:rPr>
          <w:t xml:space="preserve">annixus / coartare</w:t>
        </w:r>
      </w:hyperlink>
      <w:r>
        <w:rPr>
          <w:b w:val="0"/>
          <w:i w:val="0"/>
        </w:rPr>
        <w:t xml:space="preserve">; </w:t>
      </w:r>
      <w:hyperlink w:anchor="latin-record-0136">
        <w:r>
          <w:rPr>
            <w:color w:val="000000"/>
          </w:rPr>
          <w:t xml:space="preserve">cancelli / restitutio</w:t>
        </w:r>
      </w:hyperlink>
      <w:r>
        <w:rPr>
          <w:b w:val="0"/>
          <w:i w:val="0"/>
        </w:rPr>
        <w:t xml:space="preserve">; </w:t>
      </w:r>
      <w:hyperlink w:anchor="latin-record-0366">
        <w:r>
          <w:rPr>
            <w:color w:val="000000"/>
          </w:rPr>
          <w:t xml:space="preserve">Egelias / crinitae</w:t>
        </w:r>
      </w:hyperlink>
      <w:r>
        <w:rPr>
          <w:b w:val="0"/>
          <w:i w:val="0"/>
        </w:rPr>
        <w:t>.</w:t>
      </w:r>
    </w:p>
    <w:p>
      <w:pPr>
        <w:widowControl/>
      </w:pPr>
      <w:bookmarkStart w:id="2076" w:name="passage-iv-1-76"/>
      <w:bookmarkEnd w:id="2076"/>
      <w:r>
        <w:rPr>
          <w:b/>
          <w:i w:val="0"/>
        </w:rPr>
        <w:t>IV.1.76</w:t>
      </w:r>
      <w:r>
        <w:rPr>
          <w:b/>
          <w:i w:val="0"/>
        </w:rPr>
        <w:t>, source pp. 322–323.</w:t>
      </w:r>
      <w:r>
        <w:rPr>
          <w:b w:val="0"/>
          <w:i w:val="0"/>
        </w:rPr>
        <w:t xml:space="preserve"> Articles: </w:t>
      </w:r>
      <w:hyperlink w:anchor="earth-soul">
        <w:r>
          <w:rPr>
            <w:color w:val="000000"/>
          </w:rPr>
          <w:t xml:space="preserve">Earth soul</w:t>
        </w:r>
      </w:hyperlink>
      <w:r>
        <w:rPr>
          <w:b w:val="0"/>
          <w:i w:val="0"/>
        </w:rPr>
        <w:t xml:space="preserve">; </w:t>
      </w:r>
      <w:hyperlink w:anchor="hidden-mover-and-magnet">
        <w:r>
          <w:rPr>
            <w:color w:val="000000"/>
          </w:rPr>
          <w:t xml:space="preserve">Hidden mover and magnet</w:t>
        </w:r>
      </w:hyperlink>
      <w:r>
        <w:rPr>
          <w:b w:val="0"/>
          <w:i w:val="0"/>
        </w:rPr>
        <w:t xml:space="preserve">; </w:t>
      </w:r>
      <w:hyperlink w:anchor="motion-and-stability">
        <w:r>
          <w:rPr>
            <w:color w:val="000000"/>
          </w:rPr>
          <w:t xml:space="preserve">Motion and stability</w:t>
        </w:r>
      </w:hyperlink>
      <w:r>
        <w:rPr>
          <w:b w:val="0"/>
          <w:i w:val="0"/>
        </w:rPr>
        <w:t xml:space="preserve">; </w:t>
      </w:r>
      <w:hyperlink w:anchor="natural-motion-and-natural-place">
        <w:r>
          <w:rPr>
            <w:color w:val="000000"/>
          </w:rPr>
          <w:t xml:space="preserve">Natural motion and natural place</w:t>
        </w:r>
      </w:hyperlink>
      <w:r>
        <w:rPr>
          <w:b w:val="0"/>
          <w:i w:val="0"/>
        </w:rPr>
        <w:t xml:space="preserve">. Vocabulary: </w:t>
      </w:r>
      <w:hyperlink w:anchor="latin-record-1205">
        <w:r>
          <w:rPr>
            <w:color w:val="000000"/>
          </w:rPr>
          <w:t xml:space="preserve">trames</w:t>
        </w:r>
      </w:hyperlink>
      <w:r>
        <w:rPr>
          <w:b w:val="0"/>
          <w:i w:val="0"/>
        </w:rPr>
        <w:t>.</w:t>
      </w:r>
    </w:p>
    <w:p>
      <w:pPr>
        <w:widowControl/>
      </w:pPr>
      <w:bookmarkStart w:id="2077" w:name="passage-iv-1-77"/>
      <w:bookmarkEnd w:id="2077"/>
      <w:r>
        <w:rPr>
          <w:b/>
          <w:i w:val="0"/>
        </w:rPr>
        <w:t>IV.1.77</w:t>
      </w:r>
      <w:r>
        <w:rPr>
          <w:b/>
          <w:i w:val="0"/>
        </w:rPr>
        <w:t>, source pp. 322–323.</w:t>
      </w:r>
      <w:r>
        <w:rPr>
          <w:b w:val="0"/>
          <w:i w:val="0"/>
        </w:rPr>
        <w:t xml:space="preserve"> Articles: </w:t>
      </w:r>
      <w:hyperlink w:anchor="earth-soul">
        <w:r>
          <w:rPr>
            <w:color w:val="000000"/>
          </w:rPr>
          <w:t xml:space="preserve">Earth soul</w:t>
        </w:r>
      </w:hyperlink>
      <w:r>
        <w:rPr>
          <w:b w:val="0"/>
          <w:i w:val="0"/>
        </w:rPr>
        <w:t xml:space="preserve">; </w:t>
      </w:r>
      <w:hyperlink w:anchor="hidden-mover-and-magnet">
        <w:r>
          <w:rPr>
            <w:color w:val="000000"/>
          </w:rPr>
          <w:t xml:space="preserve">Hidden mover and magnet</w:t>
        </w:r>
      </w:hyperlink>
      <w:r>
        <w:rPr>
          <w:b w:val="0"/>
          <w:i w:val="0"/>
        </w:rPr>
        <w:t xml:space="preserve">; </w:t>
      </w:r>
      <w:hyperlink w:anchor="motion-and-stability">
        <w:r>
          <w:rPr>
            <w:color w:val="000000"/>
          </w:rPr>
          <w:t xml:space="preserve">Motion and stability</w:t>
        </w:r>
      </w:hyperlink>
      <w:r>
        <w:rPr>
          <w:b w:val="0"/>
          <w:i w:val="0"/>
        </w:rPr>
        <w:t xml:space="preserve">; </w:t>
      </w:r>
      <w:hyperlink w:anchor="natural-motion-and-natural-place">
        <w:r>
          <w:rPr>
            <w:color w:val="000000"/>
          </w:rPr>
          <w:t xml:space="preserve">Natural motion and natural place</w:t>
        </w:r>
      </w:hyperlink>
      <w:r>
        <w:rPr>
          <w:b w:val="0"/>
          <w:i w:val="0"/>
        </w:rPr>
        <w:t xml:space="preserve">. Vocabulary: </w:t>
      </w:r>
      <w:hyperlink w:anchor="latin-record-0905">
        <w:r>
          <w:rPr>
            <w:color w:val="000000"/>
          </w:rPr>
          <w:t xml:space="preserve">praecipitium / tenor</w:t>
        </w:r>
      </w:hyperlink>
      <w:r>
        <w:rPr>
          <w:b w:val="0"/>
          <w:i w:val="0"/>
        </w:rPr>
        <w:t>.</w:t>
      </w:r>
    </w:p>
    <w:p>
      <w:pPr>
        <w:widowControl/>
      </w:pPr>
      <w:bookmarkStart w:id="2078" w:name="passage-iv-1-78"/>
      <w:bookmarkEnd w:id="2078"/>
      <w:r>
        <w:rPr>
          <w:b/>
          <w:i w:val="0"/>
        </w:rPr>
        <w:t>IV.1.78</w:t>
      </w:r>
      <w:r>
        <w:rPr>
          <w:b/>
          <w:i w:val="0"/>
        </w:rPr>
        <w:t>, source pp. 322–323.</w:t>
      </w:r>
      <w:r>
        <w:rPr>
          <w:b w:val="0"/>
          <w:i w:val="0"/>
        </w:rPr>
        <w:t xml:space="preserve"> Articles: </w:t>
      </w:r>
      <w:hyperlink w:anchor="earth-soul">
        <w:r>
          <w:rPr>
            <w:color w:val="000000"/>
          </w:rPr>
          <w:t xml:space="preserve">Earth soul</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nourishment-digestion-and-growth">
        <w:r>
          <w:rPr>
            <w:color w:val="000000"/>
          </w:rPr>
          <w:t xml:space="preserve">Nourishment, digestion and growth</w:t>
        </w:r>
      </w:hyperlink>
      <w:r>
        <w:rPr>
          <w:b w:val="0"/>
          <w:i w:val="0"/>
        </w:rPr>
        <w:t xml:space="preserve">. Vocabulary: </w:t>
      </w:r>
      <w:hyperlink w:anchor="latin-record-0505">
        <w:r>
          <w:rPr>
            <w:color w:val="000000"/>
          </w:rPr>
          <w:t xml:space="preserve">haerere / seiunctus</w:t>
        </w:r>
      </w:hyperlink>
      <w:r>
        <w:rPr>
          <w:b w:val="0"/>
          <w:i w:val="0"/>
        </w:rPr>
        <w:t>.</w:t>
      </w:r>
    </w:p>
    <w:p>
      <w:pPr>
        <w:widowControl/>
      </w:pPr>
      <w:bookmarkStart w:id="2079" w:name="passage-iv-1-79"/>
      <w:bookmarkEnd w:id="2079"/>
      <w:r>
        <w:rPr>
          <w:b/>
          <w:i w:val="0"/>
        </w:rPr>
        <w:t>IV.1.79</w:t>
      </w:r>
      <w:r>
        <w:rPr>
          <w:b/>
          <w:i w:val="0"/>
        </w:rPr>
        <w:t>, source pp. 322–323.</w:t>
      </w:r>
      <w:r>
        <w:rPr>
          <w:b w:val="0"/>
          <w:i w:val="0"/>
        </w:rPr>
        <w:t xml:space="preserve"> Articles: </w:t>
      </w:r>
      <w:hyperlink w:anchor="earth-soul">
        <w:r>
          <w:rPr>
            <w:color w:val="000000"/>
          </w:rPr>
          <w:t xml:space="preserve">Earth soul</w:t>
        </w:r>
      </w:hyperlink>
      <w:r>
        <w:rPr>
          <w:b w:val="0"/>
          <w:i w:val="0"/>
        </w:rPr>
        <w:t xml:space="preserve">; </w:t>
      </w:r>
      <w:hyperlink w:anchor="head-heart-and-members">
        <w:r>
          <w:rPr>
            <w:color w:val="000000"/>
          </w:rPr>
          <w:t xml:space="preserve">Head, heart, and members</w:t>
        </w:r>
      </w:hyperlink>
      <w:r>
        <w:rPr>
          <w:b w:val="0"/>
          <w:i w:val="0"/>
        </w:rPr>
        <w:t xml:space="preserve">; </w:t>
      </w:r>
      <w:hyperlink w:anchor="life">
        <w:r>
          <w:rPr>
            <w:color w:val="000000"/>
          </w:rPr>
          <w:t xml:space="preserve">Life</w:t>
        </w:r>
      </w:hyperlink>
      <w:r>
        <w:rPr>
          <w:b w:val="0"/>
          <w:i w:val="0"/>
        </w:rPr>
        <w:t xml:space="preserve">; </w:t>
      </w:r>
      <w:hyperlink w:anchor="proportion-and-analogy">
        <w:r>
          <w:rPr>
            <w:color w:val="000000"/>
          </w:rPr>
          <w:t xml:space="preserve">Proportion and analogy</w:t>
        </w:r>
      </w:hyperlink>
      <w:r>
        <w:rPr>
          <w:b w:val="0"/>
          <w:i w:val="0"/>
        </w:rPr>
        <w:t xml:space="preserve">; </w:t>
      </w:r>
      <w:hyperlink w:anchor="purity-and-mixture">
        <w:r>
          <w:rPr>
            <w:color w:val="000000"/>
          </w:rPr>
          <w:t xml:space="preserve">Purity and mixture</w:t>
        </w:r>
      </w:hyperlink>
      <w:r>
        <w:rPr>
          <w:b w:val="0"/>
          <w:i w:val="0"/>
        </w:rPr>
        <w:t xml:space="preserve">; </w:t>
      </w:r>
      <w:hyperlink w:anchor="seeming-and-evidence">
        <w:r>
          <w:rPr>
            <w:color w:val="000000"/>
          </w:rPr>
          <w:t xml:space="preserve">Seeming and evidence</w:t>
        </w:r>
      </w:hyperlink>
      <w:r>
        <w:rPr>
          <w:b w:val="0"/>
          <w:i w:val="0"/>
        </w:rPr>
        <w:t xml:space="preserve">; </w:t>
      </w:r>
      <w:hyperlink w:anchor="world-soul">
        <w:r>
          <w:rPr>
            <w:color w:val="000000"/>
          </w:rPr>
          <w:t xml:space="preserve">World soul</w:t>
        </w:r>
      </w:hyperlink>
      <w:r>
        <w:rPr>
          <w:b w:val="0"/>
          <w:i w:val="0"/>
        </w:rPr>
        <w:t xml:space="preserve">. Vocabulary: </w:t>
      </w:r>
      <w:hyperlink w:anchor="latin-record-0210">
        <w:r>
          <w:rPr>
            <w:color w:val="000000"/>
          </w:rPr>
          <w:t xml:space="preserve">complexio / instrumenta</w:t>
        </w:r>
      </w:hyperlink>
      <w:r>
        <w:rPr>
          <w:b w:val="0"/>
          <w:i w:val="0"/>
        </w:rPr>
        <w:t>.</w:t>
      </w:r>
    </w:p>
    <w:p>
      <w:pPr>
        <w:widowControl/>
      </w:pPr>
      <w:bookmarkStart w:id="2080" w:name="passage-iv-1-80"/>
      <w:bookmarkEnd w:id="2080"/>
      <w:r>
        <w:rPr>
          <w:b/>
          <w:i w:val="0"/>
        </w:rPr>
        <w:t>IV.1.80</w:t>
      </w:r>
      <w:r>
        <w:rPr>
          <w:b/>
          <w:i w:val="0"/>
        </w:rPr>
        <w:t>, source pp. 322–323.</w:t>
      </w:r>
      <w:r>
        <w:rPr>
          <w:b w:val="0"/>
          <w:i w:val="0"/>
        </w:rPr>
        <w:t xml:space="preserve"> Articles: </w:t>
      </w:r>
      <w:hyperlink w:anchor="earth-soul">
        <w:r>
          <w:rPr>
            <w:color w:val="000000"/>
          </w:rPr>
          <w:t xml:space="preserve">Earth soul</w:t>
        </w:r>
      </w:hyperlink>
      <w:r>
        <w:rPr>
          <w:b w:val="0"/>
          <w:i w:val="0"/>
        </w:rPr>
        <w:t xml:space="preserve">; </w:t>
      </w:r>
      <w:hyperlink w:anchor="life">
        <w:r>
          <w:rPr>
            <w:color w:val="000000"/>
          </w:rPr>
          <w:t xml:space="preserve">Life</w:t>
        </w:r>
      </w:hyperlink>
      <w:r>
        <w:rPr>
          <w:b w:val="0"/>
          <w:i w:val="0"/>
        </w:rPr>
        <w:t xml:space="preserve">; </w:t>
      </w:r>
      <w:hyperlink w:anchor="proportion-and-analogy">
        <w:r>
          <w:rPr>
            <w:color w:val="000000"/>
          </w:rPr>
          <w:t xml:space="preserve">Proportion and analogy</w:t>
        </w:r>
      </w:hyperlink>
      <w:r>
        <w:rPr>
          <w:b w:val="0"/>
          <w:i w:val="0"/>
        </w:rPr>
        <w:t xml:space="preserve">; </w:t>
      </w:r>
      <w:hyperlink w:anchor="world-soul">
        <w:r>
          <w:rPr>
            <w:color w:val="000000"/>
          </w:rPr>
          <w:t xml:space="preserve">World soul</w:t>
        </w:r>
      </w:hyperlink>
      <w:r>
        <w:rPr>
          <w:b w:val="0"/>
          <w:i w:val="0"/>
        </w:rPr>
        <w:t xml:space="preserve">. Vocabulary: </w:t>
      </w:r>
      <w:hyperlink w:anchor="latin-record-1225">
        <w:r>
          <w:rPr>
            <w:color w:val="000000"/>
          </w:rPr>
          <w:t xml:space="preserve">unum vivens</w:t>
        </w:r>
      </w:hyperlink>
      <w:r>
        <w:rPr>
          <w:b w:val="0"/>
          <w:i w:val="0"/>
        </w:rPr>
        <w:t>.</w:t>
      </w:r>
    </w:p>
    <w:p>
      <w:pPr>
        <w:widowControl/>
      </w:pPr>
      <w:bookmarkStart w:id="2081" w:name="passage-iv-1-81"/>
      <w:bookmarkEnd w:id="2081"/>
      <w:r>
        <w:rPr>
          <w:b/>
          <w:i w:val="0"/>
        </w:rPr>
        <w:t>IV.1.81</w:t>
      </w:r>
      <w:r>
        <w:rPr>
          <w:b/>
          <w:i w:val="0"/>
        </w:rPr>
        <w:t>, source pp. 324–325.</w:t>
      </w:r>
      <w:r>
        <w:rPr>
          <w:b w:val="0"/>
          <w:i w:val="0"/>
        </w:rPr>
        <w:t xml:space="preserve"> Articles: </w:t>
      </w:r>
      <w:hyperlink w:anchor="life">
        <w:r>
          <w:rPr>
            <w:color w:val="000000"/>
          </w:rPr>
          <w:t xml:space="preserve">Life</w:t>
        </w:r>
      </w:hyperlink>
      <w:r>
        <w:rPr>
          <w:b w:val="0"/>
          <w:i w:val="0"/>
        </w:rPr>
        <w:t xml:space="preserve">; </w:t>
      </w:r>
      <w:hyperlink w:anchor="matter">
        <w:r>
          <w:rPr>
            <w:color w:val="000000"/>
          </w:rPr>
          <w:t xml:space="preserve">Matter</w:t>
        </w:r>
      </w:hyperlink>
      <w:r>
        <w:rPr>
          <w:b w:val="0"/>
          <w:i w:val="0"/>
        </w:rPr>
        <w:t xml:space="preserve">; </w:t>
      </w:r>
      <w:hyperlink w:anchor="proportion-and-analogy">
        <w:r>
          <w:rPr>
            <w:color w:val="000000"/>
          </w:rPr>
          <w:t xml:space="preserve">Proportion and analogy</w:t>
        </w:r>
      </w:hyperlink>
      <w:r>
        <w:rPr>
          <w:b w:val="0"/>
          <w:i w:val="0"/>
        </w:rPr>
        <w:t xml:space="preserve">; </w:t>
      </w:r>
      <w:hyperlink w:anchor="world-soul">
        <w:r>
          <w:rPr>
            <w:color w:val="000000"/>
          </w:rPr>
          <w:t xml:space="preserve">World soul</w:t>
        </w:r>
      </w:hyperlink>
      <w:r>
        <w:rPr>
          <w:b w:val="0"/>
          <w:i w:val="0"/>
        </w:rPr>
        <w:t xml:space="preserve">. Vocabulary: </w:t>
      </w:r>
      <w:hyperlink w:anchor="latin-record-0631">
        <w:r>
          <w:rPr>
            <w:color w:val="000000"/>
          </w:rPr>
          <w:t xml:space="preserve">latere / informis</w:t>
        </w:r>
      </w:hyperlink>
      <w:r>
        <w:rPr>
          <w:b w:val="0"/>
          <w:i w:val="0"/>
        </w:rPr>
        <w:t>.</w:t>
      </w:r>
    </w:p>
    <w:p>
      <w:pPr>
        <w:widowControl/>
      </w:pPr>
      <w:bookmarkStart w:id="2082" w:name="passage-iv-1-82"/>
      <w:bookmarkEnd w:id="2082"/>
      <w:r>
        <w:rPr>
          <w:b/>
          <w:i w:val="0"/>
        </w:rPr>
        <w:t>IV.1.82</w:t>
      </w:r>
      <w:r>
        <w:rPr>
          <w:b/>
          <w:i w:val="0"/>
        </w:rPr>
        <w:t>, source pp. 324–325.</w:t>
      </w:r>
      <w:r>
        <w:rPr>
          <w:b w:val="0"/>
          <w:i w:val="0"/>
        </w:rPr>
        <w:t xml:space="preserve"> Articles: </w:t>
      </w:r>
      <w:hyperlink w:anchor="animating-and-animal">
        <w:r>
          <w:rPr>
            <w:color w:val="000000"/>
          </w:rPr>
          <w:t xml:space="preserve">Animating and animal</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head-heart-and-members">
        <w:r>
          <w:rPr>
            <w:color w:val="000000"/>
          </w:rPr>
          <w:t xml:space="preserve">Head, heart, and members</w:t>
        </w:r>
      </w:hyperlink>
      <w:r>
        <w:rPr>
          <w:b w:val="0"/>
          <w:i w:val="0"/>
        </w:rPr>
        <w:t xml:space="preserve">; </w:t>
      </w:r>
      <w:hyperlink w:anchor="life">
        <w:r>
          <w:rPr>
            <w:color w:val="000000"/>
          </w:rPr>
          <w:t xml:space="preserve">Life</w:t>
        </w:r>
      </w:hyperlink>
      <w:r>
        <w:rPr>
          <w:b w:val="0"/>
          <w:i w:val="0"/>
        </w:rPr>
        <w:t xml:space="preserve">; </w:t>
      </w:r>
      <w:hyperlink w:anchor="proportion-and-analogy">
        <w:r>
          <w:rPr>
            <w:color w:val="000000"/>
          </w:rPr>
          <w:t xml:space="preserve">Proportion and analogy</w:t>
        </w:r>
      </w:hyperlink>
      <w:r>
        <w:rPr>
          <w:b w:val="0"/>
          <w:i w:val="0"/>
        </w:rPr>
        <w:t xml:space="preserve">; </w:t>
      </w:r>
      <w:hyperlink w:anchor="sympathy">
        <w:r>
          <w:rPr>
            <w:color w:val="000000"/>
          </w:rPr>
          <w:t xml:space="preserve">Sympathy</w:t>
        </w:r>
      </w:hyperlink>
      <w:r>
        <w:rPr>
          <w:b w:val="0"/>
          <w:i w:val="0"/>
        </w:rPr>
        <w:t xml:space="preserve">; </w:t>
      </w:r>
      <w:hyperlink w:anchor="world-soul">
        <w:r>
          <w:rPr>
            <w:color w:val="000000"/>
          </w:rPr>
          <w:t xml:space="preserve">World soul</w:t>
        </w:r>
      </w:hyperlink>
      <w:r>
        <w:rPr>
          <w:b w:val="0"/>
          <w:i w:val="0"/>
        </w:rPr>
        <w:t xml:space="preserve">. Vocabulary: </w:t>
      </w:r>
      <w:hyperlink w:anchor="latin-record-0199">
        <w:r>
          <w:rPr>
            <w:color w:val="000000"/>
          </w:rPr>
          <w:t xml:space="preserve">communicare — imparting and sharing</w:t>
        </w:r>
      </w:hyperlink>
      <w:r>
        <w:rPr>
          <w:b w:val="0"/>
          <w:i w:val="0"/>
        </w:rPr>
        <w:t xml:space="preserve">; </w:t>
      </w:r>
      <w:hyperlink w:anchor="latin-record-0254">
        <w:r>
          <w:rPr>
            <w:color w:val="000000"/>
          </w:rPr>
          <w:t xml:space="preserve">conspirare / compati</w:t>
        </w:r>
      </w:hyperlink>
      <w:r>
        <w:rPr>
          <w:b w:val="0"/>
          <w:i w:val="0"/>
        </w:rPr>
        <w:t xml:space="preserve">; </w:t>
      </w:r>
      <w:hyperlink w:anchor="latin-record-0259">
        <w:r>
          <w:rPr>
            <w:color w:val="000000"/>
          </w:rPr>
          <w:t xml:space="preserve">contemperare / continuare</w:t>
        </w:r>
      </w:hyperlink>
      <w:r>
        <w:rPr>
          <w:b w:val="0"/>
          <w:i w:val="0"/>
        </w:rPr>
        <w:t xml:space="preserve">; </w:t>
      </w:r>
      <w:hyperlink w:anchor="latin-record-0516">
        <w:r>
          <w:rPr>
            <w:color w:val="000000"/>
          </w:rPr>
          <w:t xml:space="preserve">humor / humores</w:t>
        </w:r>
      </w:hyperlink>
      <w:r>
        <w:rPr>
          <w:b w:val="0"/>
          <w:i w:val="0"/>
        </w:rPr>
        <w:t>.</w:t>
      </w:r>
    </w:p>
    <w:p>
      <w:pPr>
        <w:widowControl/>
      </w:pPr>
      <w:bookmarkStart w:id="2083" w:name="passage-iv-1-83"/>
      <w:bookmarkEnd w:id="2083"/>
      <w:r>
        <w:rPr>
          <w:b/>
          <w:i w:val="0"/>
        </w:rPr>
        <w:t>IV.1.83</w:t>
      </w:r>
      <w:r>
        <w:rPr>
          <w:b/>
          <w:i w:val="0"/>
        </w:rPr>
        <w:t>, source pp. 324–325.</w:t>
      </w:r>
      <w:r>
        <w:rPr>
          <w:b w:val="0"/>
          <w:i w:val="0"/>
        </w:rPr>
        <w:t xml:space="preserve"> Articles: </w:t>
      </w:r>
      <w:hyperlink w:anchor="animating-and-animal">
        <w:r>
          <w:rPr>
            <w:color w:val="000000"/>
          </w:rPr>
          <w:t xml:space="preserve">Animating and animal</w:t>
        </w:r>
      </w:hyperlink>
      <w:r>
        <w:rPr>
          <w:b w:val="0"/>
          <w:i w:val="0"/>
        </w:rPr>
        <w:t xml:space="preserve">; </w:t>
      </w:r>
      <w:hyperlink w:anchor="head-heart-and-members">
        <w:r>
          <w:rPr>
            <w:color w:val="000000"/>
          </w:rPr>
          <w:t xml:space="preserve">Head, heart, and members</w:t>
        </w:r>
      </w:hyperlink>
      <w:r>
        <w:rPr>
          <w:b w:val="0"/>
          <w:i w:val="0"/>
        </w:rPr>
        <w:t xml:space="preserve">; </w:t>
      </w:r>
      <w:hyperlink w:anchor="life">
        <w:r>
          <w:rPr>
            <w:color w:val="000000"/>
          </w:rPr>
          <w:t xml:space="preserve">Life</w:t>
        </w:r>
      </w:hyperlink>
      <w:r>
        <w:rPr>
          <w:b w:val="0"/>
          <w:i w:val="0"/>
        </w:rPr>
        <w:t xml:space="preserve">; </w:t>
      </w:r>
      <w:hyperlink w:anchor="proportion-and-analogy">
        <w:r>
          <w:rPr>
            <w:color w:val="000000"/>
          </w:rPr>
          <w:t xml:space="preserve">Proportion and analogy</w:t>
        </w:r>
      </w:hyperlink>
      <w:r>
        <w:rPr>
          <w:b w:val="0"/>
          <w:i w:val="0"/>
        </w:rPr>
        <w:t xml:space="preserve">; </w:t>
      </w:r>
      <w:hyperlink w:anchor="sympathy">
        <w:r>
          <w:rPr>
            <w:color w:val="000000"/>
          </w:rPr>
          <w:t xml:space="preserve">Sympathy</w:t>
        </w:r>
      </w:hyperlink>
      <w:r>
        <w:rPr>
          <w:b w:val="0"/>
          <w:i w:val="0"/>
        </w:rPr>
        <w:t xml:space="preserve">; </w:t>
      </w:r>
      <w:hyperlink w:anchor="world-soul">
        <w:r>
          <w:rPr>
            <w:color w:val="000000"/>
          </w:rPr>
          <w:t xml:space="preserve">World soul</w:t>
        </w:r>
      </w:hyperlink>
      <w:r>
        <w:rPr>
          <w:b w:val="0"/>
          <w:i w:val="0"/>
        </w:rPr>
        <w:t xml:space="preserve">. Vocabulary: </w:t>
      </w:r>
      <w:hyperlink w:anchor="latin-record-1263">
        <w:r>
          <w:rPr>
            <w:color w:val="000000"/>
          </w:rPr>
          <w:t xml:space="preserve">vincire / connectere</w:t>
        </w:r>
      </w:hyperlink>
      <w:r>
        <w:rPr>
          <w:b w:val="0"/>
          <w:i w:val="0"/>
        </w:rPr>
        <w:t>.</w:t>
      </w:r>
    </w:p>
    <w:p>
      <w:pPr>
        <w:widowControl/>
      </w:pPr>
      <w:bookmarkStart w:id="2084" w:name="passage-iv-1-84"/>
      <w:bookmarkEnd w:id="2084"/>
      <w:r>
        <w:rPr>
          <w:b/>
          <w:i w:val="0"/>
        </w:rPr>
        <w:t>IV.1.84</w:t>
      </w:r>
      <w:r>
        <w:rPr>
          <w:b/>
          <w:i w:val="0"/>
        </w:rPr>
        <w:t>, source pp. 324–325.</w:t>
      </w:r>
      <w:r>
        <w:rPr>
          <w:b w:val="0"/>
          <w:i w:val="0"/>
        </w:rPr>
        <w:t xml:space="preserve"> Articles: </w:t>
      </w:r>
      <w:hyperlink w:anchor="fate">
        <w:r>
          <w:rPr>
            <w:color w:val="000000"/>
          </w:rPr>
          <w:t xml:space="preserve">Fate</w:t>
        </w:r>
      </w:hyperlink>
      <w:r>
        <w:rPr>
          <w:b w:val="0"/>
          <w:i w:val="0"/>
        </w:rPr>
        <w:t xml:space="preserve">; </w:t>
      </w:r>
      <w:hyperlink w:anchor="life">
        <w:r>
          <w:rPr>
            <w:color w:val="000000"/>
          </w:rPr>
          <w:t xml:space="preserve">Life</w:t>
        </w:r>
      </w:hyperlink>
      <w:r>
        <w:rPr>
          <w:b w:val="0"/>
          <w:i w:val="0"/>
        </w:rPr>
        <w:t xml:space="preserve">; </w:t>
      </w:r>
      <w:hyperlink w:anchor="order-and-harmony">
        <w:r>
          <w:rPr>
            <w:color w:val="000000"/>
          </w:rPr>
          <w:t xml:space="preserve">Order and harmony</w:t>
        </w:r>
      </w:hyperlink>
      <w:r>
        <w:rPr>
          <w:b w:val="0"/>
          <w:i w:val="0"/>
        </w:rPr>
        <w:t xml:space="preserve">; </w:t>
      </w:r>
      <w:hyperlink w:anchor="seeming-and-evidence">
        <w:r>
          <w:rPr>
            <w:color w:val="000000"/>
          </w:rPr>
          <w:t xml:space="preserve">Seeming and evidence</w:t>
        </w:r>
      </w:hyperlink>
      <w:r>
        <w:rPr>
          <w:b w:val="0"/>
          <w:i w:val="0"/>
        </w:rPr>
        <w:t xml:space="preserve">; </w:t>
      </w:r>
      <w:hyperlink w:anchor="world-soul">
        <w:r>
          <w:rPr>
            <w:color w:val="000000"/>
          </w:rPr>
          <w:t xml:space="preserve">World soul</w:t>
        </w:r>
      </w:hyperlink>
      <w:r>
        <w:rPr>
          <w:b w:val="0"/>
          <w:i w:val="0"/>
        </w:rPr>
        <w:t xml:space="preserve">. Vocabulary: </w:t>
      </w:r>
      <w:hyperlink w:anchor="latin-record-0376">
        <w:r>
          <w:rPr>
            <w:color w:val="000000"/>
          </w:rPr>
          <w:t xml:space="preserve">errāre / iudicare</w:t>
        </w:r>
      </w:hyperlink>
      <w:r>
        <w:rPr>
          <w:b w:val="0"/>
          <w:i w:val="0"/>
        </w:rPr>
        <w:t xml:space="preserve">; </w:t>
      </w:r>
      <w:hyperlink w:anchor="latin-record-0611">
        <w:r>
          <w:rPr>
            <w:color w:val="000000"/>
          </w:rPr>
          <w:t xml:space="preserve">intus / intro / intimus</w:t>
        </w:r>
      </w:hyperlink>
      <w:r>
        <w:rPr>
          <w:b w:val="0"/>
          <w:i w:val="0"/>
        </w:rPr>
        <w:t xml:space="preserve">; </w:t>
      </w:r>
      <w:hyperlink w:anchor="latin-record-0749">
        <w:r>
          <w:rPr>
            <w:color w:val="000000"/>
          </w:rPr>
          <w:t xml:space="preserve">necessitas / oportere</w:t>
        </w:r>
      </w:hyperlink>
      <w:r>
        <w:rPr>
          <w:b w:val="0"/>
          <w:i w:val="0"/>
        </w:rPr>
        <w:t xml:space="preserve">; </w:t>
      </w:r>
      <w:hyperlink w:anchor="latin-record-1233">
        <w:r>
          <w:rPr>
            <w:color w:val="000000"/>
          </w:rPr>
          <w:t xml:space="preserve">vagari / consultare</w:t>
        </w:r>
      </w:hyperlink>
      <w:r>
        <w:rPr>
          <w:b w:val="0"/>
          <w:i w:val="0"/>
        </w:rPr>
        <w:t xml:space="preserve">; </w:t>
      </w:r>
      <w:hyperlink w:anchor="latin-record-1240">
        <w:r>
          <w:rPr>
            <w:color w:val="000000"/>
          </w:rPr>
          <w:t xml:space="preserve">velox / tardus</w:t>
        </w:r>
      </w:hyperlink>
      <w:r>
        <w:rPr>
          <w:b w:val="0"/>
          <w:i w:val="0"/>
        </w:rPr>
        <w:t>.</w:t>
      </w:r>
    </w:p>
    <w:p>
      <w:pPr>
        <w:widowControl/>
      </w:pPr>
      <w:bookmarkStart w:id="2085" w:name="passage-iv-1-85"/>
      <w:bookmarkEnd w:id="2085"/>
      <w:r>
        <w:rPr>
          <w:b/>
          <w:i w:val="0"/>
        </w:rPr>
        <w:t>IV.1.85</w:t>
      </w:r>
      <w:r>
        <w:rPr>
          <w:b/>
          <w:i w:val="0"/>
        </w:rPr>
        <w:t>, source pp. 326–327.</w:t>
      </w:r>
      <w:r>
        <w:rPr>
          <w:b w:val="0"/>
          <w:i w:val="0"/>
        </w:rPr>
        <w:t xml:space="preserve"> Articles: </w:t>
      </w:r>
      <w:hyperlink w:anchor="contraction-and-determination">
        <w:r>
          <w:rPr>
            <w:color w:val="000000"/>
          </w:rPr>
          <w:t xml:space="preserve">Contraction and determination</w:t>
        </w:r>
      </w:hyperlink>
      <w:r>
        <w:rPr>
          <w:b w:val="0"/>
          <w:i w:val="0"/>
        </w:rPr>
        <w:t xml:space="preserve">; </w:t>
      </w:r>
      <w:hyperlink w:anchor="instrument">
        <w:r>
          <w:rPr>
            <w:color w:val="000000"/>
          </w:rPr>
          <w:t xml:space="preserve">Instrument</w:t>
        </w:r>
      </w:hyperlink>
      <w:r>
        <w:rPr>
          <w:b w:val="0"/>
          <w:i w:val="0"/>
        </w:rPr>
        <w:t xml:space="preserve">; </w:t>
      </w:r>
      <w:hyperlink w:anchor="order-and-harmony">
        <w:r>
          <w:rPr>
            <w:color w:val="000000"/>
          </w:rPr>
          <w:t xml:space="preserve">Order and harmony</w:t>
        </w:r>
      </w:hyperlink>
      <w:r>
        <w:rPr>
          <w:b w:val="0"/>
          <w:i w:val="0"/>
        </w:rPr>
        <w:t xml:space="preserve">; </w:t>
      </w:r>
      <w:hyperlink w:anchor="seeming-and-evidence">
        <w:r>
          <w:rPr>
            <w:color w:val="000000"/>
          </w:rPr>
          <w:t xml:space="preserve">Seeming and evidence</w:t>
        </w:r>
      </w:hyperlink>
      <w:r>
        <w:rPr>
          <w:b w:val="0"/>
          <w:i w:val="0"/>
        </w:rPr>
        <w:t xml:space="preserve">; </w:t>
      </w:r>
      <w:hyperlink w:anchor="world-soul">
        <w:r>
          <w:rPr>
            <w:color w:val="000000"/>
          </w:rPr>
          <w:t xml:space="preserve">World soul</w:t>
        </w:r>
      </w:hyperlink>
      <w:r>
        <w:rPr>
          <w:b w:val="0"/>
          <w:i w:val="0"/>
        </w:rPr>
        <w:t xml:space="preserve">. Vocabulary: </w:t>
      </w:r>
      <w:hyperlink w:anchor="latin-record-0230">
        <w:r>
          <w:rPr>
            <w:color w:val="000000"/>
          </w:rPr>
          <w:t xml:space="preserve">conducere ad speciem</w:t>
        </w:r>
      </w:hyperlink>
      <w:r>
        <w:rPr>
          <w:b w:val="0"/>
          <w:i w:val="0"/>
        </w:rPr>
        <w:t>.</w:t>
      </w:r>
    </w:p>
    <w:p>
      <w:pPr>
        <w:widowControl/>
      </w:pPr>
      <w:bookmarkStart w:id="2086" w:name="passage-iv-1-86"/>
      <w:bookmarkEnd w:id="2086"/>
      <w:r>
        <w:rPr>
          <w:b/>
          <w:i w:val="0"/>
        </w:rPr>
        <w:t>IV.1.86</w:t>
      </w:r>
      <w:r>
        <w:rPr>
          <w:b/>
          <w:i w:val="0"/>
        </w:rPr>
        <w:t>, source pp. 326–327.</w:t>
      </w:r>
      <w:r>
        <w:rPr>
          <w:b w:val="0"/>
          <w:i w:val="0"/>
        </w:rPr>
        <w:t xml:space="preserve"> Articles: </w:t>
      </w:r>
      <w:hyperlink w:anchor="artifact-and-natural-work">
        <w:r>
          <w:rPr>
            <w:color w:val="000000"/>
          </w:rPr>
          <w:t xml:space="preserve">Artifact and natural work</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hermetic-theologians-and-the-magi">
        <w:r>
          <w:rPr>
            <w:color w:val="000000"/>
          </w:rPr>
          <w:t xml:space="preserve">Hermetic theologians and the Magi</w:t>
        </w:r>
      </w:hyperlink>
      <w:r>
        <w:rPr>
          <w:b w:val="0"/>
          <w:i w:val="0"/>
        </w:rPr>
        <w:t xml:space="preserve">; </w:t>
      </w:r>
      <w:hyperlink w:anchor="natural-species-and-succession">
        <w:r>
          <w:rPr>
            <w:color w:val="000000"/>
          </w:rPr>
          <w:t xml:space="preserve">Natural species and succession</w:t>
        </w:r>
      </w:hyperlink>
      <w:r>
        <w:rPr>
          <w:b w:val="0"/>
          <w:i w:val="0"/>
        </w:rPr>
        <w:t xml:space="preserve">; </w:t>
      </w:r>
      <w:hyperlink w:anchor="order-and-harmony">
        <w:r>
          <w:rPr>
            <w:color w:val="000000"/>
          </w:rPr>
          <w:t xml:space="preserve">Order and harmony</w:t>
        </w:r>
      </w:hyperlink>
      <w:r>
        <w:rPr>
          <w:b w:val="0"/>
          <w:i w:val="0"/>
        </w:rPr>
        <w:t xml:space="preserve">; </w:t>
      </w:r>
      <w:hyperlink w:anchor="traces">
        <w:r>
          <w:rPr>
            <w:color w:val="000000"/>
          </w:rPr>
          <w:t xml:space="preserve">Traces</w:t>
        </w:r>
      </w:hyperlink>
      <w:r>
        <w:rPr>
          <w:b w:val="0"/>
          <w:i w:val="0"/>
        </w:rPr>
        <w:t xml:space="preserve">; </w:t>
      </w:r>
      <w:hyperlink w:anchor="world-soul">
        <w:r>
          <w:rPr>
            <w:color w:val="000000"/>
          </w:rPr>
          <w:t xml:space="preserve">World soul</w:t>
        </w:r>
      </w:hyperlink>
      <w:r>
        <w:rPr>
          <w:b w:val="0"/>
          <w:i w:val="0"/>
        </w:rPr>
        <w:t xml:space="preserve">. Vocabulary: </w:t>
      </w:r>
      <w:hyperlink w:anchor="latin-record-0021">
        <w:r>
          <w:rPr>
            <w:color w:val="000000"/>
          </w:rPr>
          <w:t xml:space="preserve">addere / mittere / omittere</w:t>
        </w:r>
      </w:hyperlink>
      <w:r>
        <w:rPr>
          <w:b w:val="0"/>
          <w:i w:val="0"/>
        </w:rPr>
        <w:t xml:space="preserve">; </w:t>
      </w:r>
      <w:hyperlink w:anchor="latin-record-0791">
        <w:r>
          <w:rPr>
            <w:color w:val="000000"/>
          </w:rPr>
          <w:t xml:space="preserve">officium / perseverare</w:t>
        </w:r>
      </w:hyperlink>
      <w:r>
        <w:rPr>
          <w:b w:val="0"/>
          <w:i w:val="0"/>
        </w:rPr>
        <w:t xml:space="preserve">; </w:t>
      </w:r>
      <w:hyperlink w:anchor="latin-record-0812">
        <w:r>
          <w:rPr>
            <w:color w:val="000000"/>
          </w:rPr>
          <w:t xml:space="preserve">Oromasis / Mitris / Arimanis</w:t>
        </w:r>
      </w:hyperlink>
      <w:r>
        <w:rPr>
          <w:b w:val="0"/>
          <w:i w:val="0"/>
        </w:rPr>
        <w:t xml:space="preserve">; </w:t>
      </w:r>
      <w:hyperlink w:anchor="latin-record-0926">
        <w:r>
          <w:rPr>
            <w:color w:val="000000"/>
          </w:rPr>
          <w:t xml:space="preserve">princeps</w:t>
        </w:r>
      </w:hyperlink>
      <w:r>
        <w:rPr>
          <w:b w:val="0"/>
          <w:i w:val="0"/>
        </w:rPr>
        <w:t>.</w:t>
      </w:r>
    </w:p>
    <w:p>
      <w:pPr>
        <w:widowControl/>
      </w:pPr>
      <w:bookmarkStart w:id="2087" w:name="passage-iv-1-87"/>
      <w:bookmarkEnd w:id="2087"/>
      <w:r>
        <w:rPr>
          <w:b/>
          <w:i w:val="0"/>
        </w:rPr>
        <w:t>IV.1.87</w:t>
      </w:r>
      <w:r>
        <w:rPr>
          <w:b/>
          <w:i w:val="0"/>
        </w:rPr>
        <w:t>, source pp. 326–327.</w:t>
      </w:r>
      <w:r>
        <w:rPr>
          <w:b w:val="0"/>
          <w:i w:val="0"/>
        </w:rPr>
        <w:t xml:space="preserve"> Articles: </w:t>
      </w:r>
      <w:hyperlink w:anchor="act-and-operation">
        <w:r>
          <w:rPr>
            <w:color w:val="000000"/>
          </w:rPr>
          <w:t xml:space="preserve">Act and operation</w:t>
        </w:r>
      </w:hyperlink>
      <w:r>
        <w:rPr>
          <w:b w:val="0"/>
          <w:i w:val="0"/>
        </w:rPr>
        <w:t xml:space="preserve">; </w:t>
      </w:r>
      <w:hyperlink w:anchor="artifact-and-natural-work">
        <w:r>
          <w:rPr>
            <w:color w:val="000000"/>
          </w:rPr>
          <w:t xml:space="preserve">Artifact and natural work</w:t>
        </w:r>
      </w:hyperlink>
      <w:r>
        <w:rPr>
          <w:b w:val="0"/>
          <w:i w:val="0"/>
        </w:rPr>
        <w:t xml:space="preserve">; </w:t>
      </w:r>
      <w:hyperlink w:anchor="motion-and-stability">
        <w:r>
          <w:rPr>
            <w:color w:val="000000"/>
          </w:rPr>
          <w:t xml:space="preserve">Motion and stability</w:t>
        </w:r>
      </w:hyperlink>
      <w:r>
        <w:rPr>
          <w:b w:val="0"/>
          <w:i w:val="0"/>
        </w:rPr>
        <w:t xml:space="preserve">; </w:t>
      </w:r>
      <w:hyperlink w:anchor="natural-species-and-succession">
        <w:r>
          <w:rPr>
            <w:color w:val="000000"/>
          </w:rPr>
          <w:t xml:space="preserve">Natural species and succession</w:t>
        </w:r>
      </w:hyperlink>
      <w:r>
        <w:rPr>
          <w:b w:val="0"/>
          <w:i w:val="0"/>
        </w:rPr>
        <w:t xml:space="preserve">; </w:t>
      </w:r>
      <w:hyperlink w:anchor="order-and-harmony">
        <w:r>
          <w:rPr>
            <w:color w:val="000000"/>
          </w:rPr>
          <w:t xml:space="preserve">Order and harmony</w:t>
        </w:r>
      </w:hyperlink>
      <w:r>
        <w:rPr>
          <w:b w:val="0"/>
          <w:i w:val="0"/>
        </w:rPr>
        <w:t xml:space="preserve">; </w:t>
      </w:r>
      <w:hyperlink w:anchor="world-soul">
        <w:r>
          <w:rPr>
            <w:color w:val="000000"/>
          </w:rPr>
          <w:t xml:space="preserve">World soul</w:t>
        </w:r>
      </w:hyperlink>
      <w:r>
        <w:rPr>
          <w:b w:val="0"/>
          <w:i w:val="0"/>
        </w:rPr>
        <w:t xml:space="preserve">. Vocabulary: </w:t>
      </w:r>
      <w:hyperlink w:anchor="latin-record-0265">
        <w:r>
          <w:rPr>
            <w:color w:val="000000"/>
          </w:rPr>
          <w:t xml:space="preserve">continuus / continuare / continuatio</w:t>
        </w:r>
      </w:hyperlink>
      <w:r>
        <w:rPr>
          <w:b w:val="0"/>
          <w:i w:val="0"/>
        </w:rPr>
        <w:t xml:space="preserve">; </w:t>
      </w:r>
      <w:hyperlink w:anchor="latin-record-1161">
        <w:r>
          <w:rPr>
            <w:color w:val="000000"/>
          </w:rPr>
          <w:t xml:space="preserve">successio singulorum</w:t>
        </w:r>
      </w:hyperlink>
      <w:r>
        <w:rPr>
          <w:b w:val="0"/>
          <w:i w:val="0"/>
        </w:rPr>
        <w:t>.</w:t>
      </w:r>
    </w:p>
    <w:p>
      <w:pPr>
        <w:widowControl/>
      </w:pPr>
      <w:bookmarkStart w:id="2088" w:name="passage-iv-1-88"/>
      <w:bookmarkEnd w:id="2088"/>
      <w:r>
        <w:rPr>
          <w:b/>
          <w:i w:val="0"/>
        </w:rPr>
        <w:t>IV.1.88</w:t>
      </w:r>
      <w:r>
        <w:rPr>
          <w:b/>
          <w:i w:val="0"/>
        </w:rPr>
        <w:t>, source pp. 328–329.</w:t>
      </w:r>
      <w:r>
        <w:rPr>
          <w:b w:val="0"/>
          <w:i w:val="0"/>
        </w:rPr>
        <w:t xml:space="preserve"> Articles: </w:t>
      </w:r>
      <w:hyperlink w:anchor="assertion-report-and-reservation">
        <w:r>
          <w:rPr>
            <w:color w:val="000000"/>
          </w:rPr>
          <w:t xml:space="preserve">Assertion, report, and reservation</w:t>
        </w:r>
      </w:hyperlink>
      <w:r>
        <w:rPr>
          <w:b w:val="0"/>
          <w:i w:val="0"/>
        </w:rPr>
        <w:t xml:space="preserve">. Vocabulary: </w:t>
      </w:r>
      <w:hyperlink w:anchor="latin-record-0234">
        <w:r>
          <w:rPr>
            <w:color w:val="000000"/>
          </w:rPr>
          <w:t xml:space="preserve">confiteri / tradere</w:t>
        </w:r>
      </w:hyperlink>
      <w:r>
        <w:rPr>
          <w:b w:val="0"/>
          <w:i w:val="0"/>
        </w:rPr>
        <w:t>.</w:t>
      </w:r>
    </w:p>
    <w:p>
      <w:pPr>
        <w:widowControl/>
      </w:pPr>
      <w:bookmarkStart w:id="2089" w:name="passage-iv-1-89"/>
      <w:bookmarkEnd w:id="2089"/>
      <w:r>
        <w:rPr>
          <w:b/>
          <w:i w:val="0"/>
        </w:rPr>
        <w:t>IV.1.89</w:t>
      </w:r>
      <w:r>
        <w:rPr>
          <w:b/>
          <w:i w:val="0"/>
        </w:rPr>
        <w:t>, source pp. 328–329.</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purity-and-mixture">
        <w:r>
          <w:rPr>
            <w:color w:val="000000"/>
          </w:rPr>
          <w:t xml:space="preserve">Purity and mixture</w:t>
        </w:r>
      </w:hyperlink>
      <w:r>
        <w:rPr>
          <w:b w:val="0"/>
          <w:i w:val="0"/>
        </w:rPr>
        <w:t xml:space="preserve">. Vocabulary: </w:t>
      </w:r>
      <w:hyperlink w:anchor="latin-record-0058">
        <w:r>
          <w:rPr>
            <w:color w:val="000000"/>
          </w:rPr>
          <w:t xml:space="preserve">ambigere / disserere</w:t>
        </w:r>
      </w:hyperlink>
      <w:r>
        <w:rPr>
          <w:b w:val="0"/>
          <w:i w:val="0"/>
        </w:rPr>
        <w:t>.</w:t>
      </w:r>
    </w:p>
    <w:p>
      <w:pPr>
        <w:widowControl/>
      </w:pPr>
      <w:bookmarkStart w:id="2090" w:name="passage-iv-1-90"/>
      <w:bookmarkEnd w:id="2090"/>
      <w:r>
        <w:rPr>
          <w:b/>
          <w:i w:val="0"/>
        </w:rPr>
        <w:t>IV.1.90</w:t>
      </w:r>
      <w:r>
        <w:rPr>
          <w:b/>
          <w:i w:val="0"/>
        </w:rPr>
        <w:t>, source pp. 328–329.</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purity-and-mixture">
        <w:r>
          <w:rPr>
            <w:color w:val="000000"/>
          </w:rPr>
          <w:t xml:space="preserve">Purity and mixture</w:t>
        </w:r>
      </w:hyperlink>
      <w:r>
        <w:rPr>
          <w:b w:val="0"/>
          <w:i w:val="0"/>
        </w:rPr>
        <w:t xml:space="preserve">. Vocabulary: </w:t>
      </w:r>
      <w:hyperlink w:anchor="latin-record-0488">
        <w:r>
          <w:rPr>
            <w:color w:val="000000"/>
          </w:rPr>
          <w:t xml:space="preserve">gratia / causa with genitive</w:t>
        </w:r>
      </w:hyperlink>
      <w:r>
        <w:rPr>
          <w:b w:val="0"/>
          <w:i w:val="0"/>
        </w:rPr>
        <w:t xml:space="preserve">; </w:t>
      </w:r>
      <w:hyperlink w:anchor="latin-record-1055">
        <w:r>
          <w:rPr>
            <w:color w:val="000000"/>
          </w:rPr>
          <w:t xml:space="preserve">respondere</w:t>
        </w:r>
      </w:hyperlink>
      <w:r>
        <w:rPr>
          <w:b w:val="0"/>
          <w:i w:val="0"/>
        </w:rPr>
        <w:t>.</w:t>
      </w:r>
    </w:p>
    <w:p>
      <w:pPr>
        <w:widowControl/>
      </w:pPr>
      <w:bookmarkStart w:id="2091" w:name="passage-iv-1-91"/>
      <w:bookmarkEnd w:id="2091"/>
      <w:r>
        <w:rPr>
          <w:b/>
          <w:i w:val="0"/>
        </w:rPr>
        <w:t>IV.1.91</w:t>
      </w:r>
      <w:r>
        <w:rPr>
          <w:b/>
          <w:i w:val="0"/>
        </w:rPr>
        <w:t>, source pp. 328–329.</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celestial-influence">
        <w:r>
          <w:rPr>
            <w:color w:val="000000"/>
          </w:rPr>
          <w:t xml:space="preserve">Celestial influence</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purity-and-mixture">
        <w:r>
          <w:rPr>
            <w:color w:val="000000"/>
          </w:rPr>
          <w:t xml:space="preserve">Purity and mixture</w:t>
        </w:r>
      </w:hyperlink>
      <w:r>
        <w:rPr>
          <w:b w:val="0"/>
          <w:i w:val="0"/>
        </w:rPr>
        <w:t xml:space="preserve">. Vocabulary: </w:t>
      </w:r>
      <w:hyperlink w:anchor="latin-record-0252">
        <w:r>
          <w:rPr>
            <w:color w:val="000000"/>
          </w:rPr>
          <w:t xml:space="preserve">consilium / propositum</w:t>
        </w:r>
      </w:hyperlink>
      <w:r>
        <w:rPr>
          <w:b w:val="0"/>
          <w:i w:val="0"/>
        </w:rPr>
        <w:t xml:space="preserve">; </w:t>
      </w:r>
      <w:hyperlink w:anchor="latin-record-0294">
        <w:r>
          <w:rPr>
            <w:color w:val="000000"/>
          </w:rPr>
          <w:t xml:space="preserve">decere / dignitas</w:t>
        </w:r>
      </w:hyperlink>
      <w:r>
        <w:rPr>
          <w:b w:val="0"/>
          <w:i w:val="0"/>
        </w:rPr>
        <w:t xml:space="preserve">; </w:t>
      </w:r>
      <w:hyperlink w:anchor="latin-record-0488">
        <w:r>
          <w:rPr>
            <w:color w:val="000000"/>
          </w:rPr>
          <w:t xml:space="preserve">gratia / causa with genitive</w:t>
        </w:r>
      </w:hyperlink>
      <w:r>
        <w:rPr>
          <w:b w:val="0"/>
          <w:i w:val="0"/>
        </w:rPr>
        <w:t xml:space="preserve">; </w:t>
      </w:r>
      <w:hyperlink w:anchor="latin-record-0593">
        <w:r>
          <w:rPr>
            <w:color w:val="000000"/>
          </w:rPr>
          <w:t xml:space="preserve">integritas / segregare</w:t>
        </w:r>
      </w:hyperlink>
      <w:r>
        <w:rPr>
          <w:b w:val="0"/>
          <w:i w:val="0"/>
        </w:rPr>
        <w:t xml:space="preserve">; </w:t>
      </w:r>
      <w:hyperlink w:anchor="latin-record-1029">
        <w:r>
          <w:rPr>
            <w:color w:val="000000"/>
          </w:rPr>
          <w:t xml:space="preserve">receptaculum</w:t>
        </w:r>
      </w:hyperlink>
      <w:r>
        <w:rPr>
          <w:b w:val="0"/>
          <w:i w:val="0"/>
        </w:rPr>
        <w:t>.</w:t>
      </w:r>
    </w:p>
    <w:p>
      <w:pPr>
        <w:widowControl/>
      </w:pPr>
      <w:bookmarkStart w:id="2092" w:name="passage-iv-1-92"/>
      <w:bookmarkEnd w:id="2092"/>
      <w:r>
        <w:rPr>
          <w:b/>
          <w:i w:val="0"/>
        </w:rPr>
        <w:t>IV.1.92</w:t>
      </w:r>
      <w:r>
        <w:rPr>
          <w:b/>
          <w:i w:val="0"/>
        </w:rPr>
        <w:t>, source pp. 330–331.</w:t>
      </w:r>
      <w:r>
        <w:rPr>
          <w:b w:val="0"/>
          <w:i w:val="0"/>
        </w:rPr>
        <w:t xml:space="preserve"> Articles: </w:t>
      </w:r>
      <w:hyperlink w:anchor="celestial-influence">
        <w:r>
          <w:rPr>
            <w:color w:val="000000"/>
          </w:rPr>
          <w:t xml:space="preserve">Celestial influence</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purity-and-mixture">
        <w:r>
          <w:rPr>
            <w:color w:val="000000"/>
          </w:rPr>
          <w:t xml:space="preserve">Purity and mixture</w:t>
        </w:r>
      </w:hyperlink>
      <w:r>
        <w:rPr>
          <w:b w:val="0"/>
          <w:i w:val="0"/>
        </w:rPr>
        <w:t xml:space="preserve">; </w:t>
      </w:r>
      <w:hyperlink w:anchor="transparency-and-opacity">
        <w:r>
          <w:rPr>
            <w:color w:val="000000"/>
          </w:rPr>
          <w:t xml:space="preserve">Transparency and opacity</w:t>
        </w:r>
      </w:hyperlink>
      <w:r>
        <w:rPr>
          <w:b w:val="0"/>
          <w:i w:val="0"/>
        </w:rPr>
        <w:t xml:space="preserve">. Vocabulary: </w:t>
      </w:r>
      <w:hyperlink w:anchor="latin-record-0356">
        <w:r>
          <w:rPr>
            <w:color w:val="000000"/>
          </w:rPr>
          <w:t xml:space="preserve">e regione / suscipere</w:t>
        </w:r>
      </w:hyperlink>
      <w:r>
        <w:rPr>
          <w:b w:val="0"/>
          <w:i w:val="0"/>
        </w:rPr>
        <w:t xml:space="preserve">; </w:t>
      </w:r>
      <w:hyperlink w:anchor="latin-record-0909">
        <w:r>
          <w:rPr>
            <w:color w:val="000000"/>
          </w:rPr>
          <w:t xml:space="preserve">praeparare / offerre</w:t>
        </w:r>
      </w:hyperlink>
      <w:r>
        <w:rPr>
          <w:b w:val="0"/>
          <w:i w:val="0"/>
        </w:rPr>
        <w:t xml:space="preserve">; </w:t>
      </w:r>
      <w:hyperlink w:anchor="latin-record-1055">
        <w:r>
          <w:rPr>
            <w:color w:val="000000"/>
          </w:rPr>
          <w:t xml:space="preserve">respondere</w:t>
        </w:r>
      </w:hyperlink>
      <w:r>
        <w:rPr>
          <w:b w:val="0"/>
          <w:i w:val="0"/>
        </w:rPr>
        <w:t>.</w:t>
      </w:r>
    </w:p>
    <w:p>
      <w:pPr>
        <w:widowControl/>
      </w:pPr>
      <w:bookmarkStart w:id="2093" w:name="passage-iv-1-93"/>
      <w:bookmarkEnd w:id="2093"/>
      <w:r>
        <w:rPr>
          <w:b/>
          <w:i w:val="0"/>
        </w:rPr>
        <w:t>IV.1.93</w:t>
      </w:r>
      <w:r>
        <w:rPr>
          <w:b/>
          <w:i w:val="0"/>
        </w:rPr>
        <w:t>, source pp. 330–331.</w:t>
      </w:r>
      <w:r>
        <w:rPr>
          <w:b w:val="0"/>
          <w:i w:val="0"/>
        </w:rPr>
        <w:t xml:space="preserve"> Articles: </w:t>
      </w:r>
      <w:hyperlink w:anchor="celestial-influence">
        <w:r>
          <w:rPr>
            <w:color w:val="000000"/>
          </w:rPr>
          <w:t xml:space="preserve">Celestial influence</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purity-and-mixture">
        <w:r>
          <w:rPr>
            <w:color w:val="000000"/>
          </w:rPr>
          <w:t xml:space="preserve">Purity and mixture</w:t>
        </w:r>
      </w:hyperlink>
      <w:r>
        <w:rPr>
          <w:b w:val="0"/>
          <w:i w:val="0"/>
        </w:rPr>
        <w:t xml:space="preserve">. Vocabulary: </w:t>
      </w:r>
      <w:hyperlink w:anchor="latin-record-0248">
        <w:r>
          <w:rPr>
            <w:color w:val="000000"/>
          </w:rPr>
          <w:t xml:space="preserve">consequi / consequens</w:t>
        </w:r>
      </w:hyperlink>
      <w:r>
        <w:rPr>
          <w:b w:val="0"/>
          <w:i w:val="0"/>
        </w:rPr>
        <w:t xml:space="preserve">; </w:t>
      </w:r>
      <w:hyperlink w:anchor="latin-record-0294">
        <w:r>
          <w:rPr>
            <w:color w:val="000000"/>
          </w:rPr>
          <w:t xml:space="preserve">decere / dignitas</w:t>
        </w:r>
      </w:hyperlink>
      <w:r>
        <w:rPr>
          <w:b w:val="0"/>
          <w:i w:val="0"/>
        </w:rPr>
        <w:t xml:space="preserve">; </w:t>
      </w:r>
      <w:hyperlink w:anchor="latin-record-0593">
        <w:r>
          <w:rPr>
            <w:color w:val="000000"/>
          </w:rPr>
          <w:t xml:space="preserve">integritas / segregare</w:t>
        </w:r>
      </w:hyperlink>
      <w:r>
        <w:rPr>
          <w:b w:val="0"/>
          <w:i w:val="0"/>
        </w:rPr>
        <w:t xml:space="preserve">; </w:t>
      </w:r>
      <w:hyperlink w:anchor="latin-record-0693">
        <w:r>
          <w:rPr>
            <w:color w:val="000000"/>
          </w:rPr>
          <w:t xml:space="preserve">mereri / aequalitatem recuperare</w:t>
        </w:r>
      </w:hyperlink>
      <w:r>
        <w:rPr>
          <w:b w:val="0"/>
          <w:i w:val="0"/>
        </w:rPr>
        <w:t>.</w:t>
      </w:r>
    </w:p>
    <w:p>
      <w:pPr>
        <w:widowControl/>
      </w:pPr>
      <w:bookmarkStart w:id="2094" w:name="passage-iv-1-94"/>
      <w:bookmarkEnd w:id="2094"/>
      <w:r>
        <w:rPr>
          <w:b/>
          <w:i w:val="0"/>
        </w:rPr>
        <w:t>IV.1.94</w:t>
      </w:r>
      <w:r>
        <w:rPr>
          <w:b/>
          <w:i w:val="0"/>
        </w:rPr>
        <w:t>, source pp. 330–331.</w:t>
      </w:r>
      <w:r>
        <w:rPr>
          <w:b w:val="0"/>
          <w:i w:val="0"/>
        </w:rPr>
        <w:t xml:space="preserve"> Articles: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world-soul">
        <w:r>
          <w:rPr>
            <w:color w:val="000000"/>
          </w:rPr>
          <w:t xml:space="preserve">World soul</w:t>
        </w:r>
      </w:hyperlink>
      <w:r>
        <w:rPr>
          <w:b w:val="0"/>
          <w:i w:val="0"/>
        </w:rPr>
        <w:t xml:space="preserve">. Vocabulary: </w:t>
      </w:r>
      <w:hyperlink w:anchor="latin-record-0110">
        <w:r>
          <w:rPr>
            <w:color w:val="000000"/>
          </w:rPr>
          <w:t xml:space="preserve">auctor / auctoritas role</w:t>
        </w:r>
      </w:hyperlink>
      <w:r>
        <w:rPr>
          <w:b w:val="0"/>
          <w:i w:val="0"/>
        </w:rPr>
        <w:t xml:space="preserve">; </w:t>
      </w:r>
      <w:hyperlink w:anchor="latin-record-0790">
        <w:r>
          <w:rPr>
            <w:color w:val="000000"/>
          </w:rPr>
          <w:t xml:space="preserve">Oceanus / Thetis</w:t>
        </w:r>
      </w:hyperlink>
      <w:r>
        <w:rPr>
          <w:b w:val="0"/>
          <w:i w:val="0"/>
        </w:rPr>
        <w:t xml:space="preserve">; </w:t>
      </w:r>
      <w:hyperlink w:anchor="latin-record-0886">
        <w:r>
          <w:rPr>
            <w:color w:val="000000"/>
          </w:rPr>
          <w:t xml:space="preserve">Pluto / Proserpina</w:t>
        </w:r>
      </w:hyperlink>
      <w:r>
        <w:rPr>
          <w:b w:val="0"/>
          <w:i w:val="0"/>
        </w:rPr>
        <w:t xml:space="preserve">; </w:t>
      </w:r>
      <w:hyperlink w:anchor="latin-record-1272">
        <w:r>
          <w:rPr>
            <w:color w:val="000000"/>
          </w:rPr>
          <w:t xml:space="preserve">vis gemina</w:t>
        </w:r>
      </w:hyperlink>
      <w:r>
        <w:rPr>
          <w:b w:val="0"/>
          <w:i w:val="0"/>
        </w:rPr>
        <w:t>.</w:t>
      </w:r>
    </w:p>
    <w:p>
      <w:pPr>
        <w:widowControl/>
      </w:pPr>
      <w:bookmarkStart w:id="2095" w:name="passage-iv-1-95"/>
      <w:bookmarkEnd w:id="2095"/>
      <w:r>
        <w:rPr>
          <w:b/>
          <w:i w:val="0"/>
        </w:rPr>
        <w:t>IV.1.95</w:t>
      </w:r>
      <w:r>
        <w:rPr>
          <w:b/>
          <w:i w:val="0"/>
        </w:rPr>
        <w:t>, source pp. 332–333.</w:t>
      </w:r>
      <w:r>
        <w:rPr>
          <w:b w:val="0"/>
          <w:i w:val="0"/>
        </w:rPr>
        <w:t xml:space="preserve"> Articles: </w:t>
      </w:r>
      <w:hyperlink w:anchor="apollo">
        <w:r>
          <w:rPr>
            <w:color w:val="000000"/>
          </w:rPr>
          <w:t xml:space="preserve">Apollo</w:t>
        </w:r>
      </w:hyperlink>
      <w:r>
        <w:rPr>
          <w:b w:val="0"/>
          <w:i w:val="0"/>
        </w:rPr>
        <w:t xml:space="preserve">; </w:t>
      </w:r>
      <w:hyperlink w:anchor="bacchus-and-the-muses">
        <w:r>
          <w:rPr>
            <w:color w:val="000000"/>
          </w:rPr>
          <w:t xml:space="preserve">Bacchus and the Muses</w:t>
        </w:r>
      </w:hyperlink>
      <w:r>
        <w:rPr>
          <w:b w:val="0"/>
          <w:i w:val="0"/>
        </w:rPr>
        <w:t xml:space="preserve">; </w:t>
      </w:r>
      <w:hyperlink w:anchor="world-soul">
        <w:r>
          <w:rPr>
            <w:color w:val="000000"/>
          </w:rPr>
          <w:t xml:space="preserve">World soul</w:t>
        </w:r>
      </w:hyperlink>
      <w:r>
        <w:rPr>
          <w:b w:val="0"/>
          <w:i w:val="0"/>
        </w:rPr>
        <w:t xml:space="preserve">. Vocabulary: </w:t>
      </w:r>
      <w:hyperlink w:anchor="latin-record-0752">
        <w:r>
          <w:rPr>
            <w:color w:val="000000"/>
          </w:rPr>
          <w:t xml:space="preserve">nectar / ebrius / debacchari</w:t>
        </w:r>
      </w:hyperlink>
      <w:r>
        <w:rPr>
          <w:b w:val="0"/>
          <w:i w:val="0"/>
        </w:rPr>
        <w:t>.</w:t>
      </w:r>
    </w:p>
    <w:p>
      <w:pPr>
        <w:widowControl/>
      </w:pPr>
      <w:bookmarkStart w:id="2096" w:name="passage-iv-1-96"/>
      <w:bookmarkEnd w:id="2096"/>
      <w:r>
        <w:rPr>
          <w:b/>
          <w:i w:val="0"/>
        </w:rPr>
        <w:t>IV.1.96</w:t>
      </w:r>
      <w:r>
        <w:rPr>
          <w:b/>
          <w:i w:val="0"/>
        </w:rPr>
        <w:t>, source pp. 332–333.</w:t>
      </w:r>
      <w:r>
        <w:rPr>
          <w:b w:val="0"/>
          <w:i w:val="0"/>
        </w:rPr>
        <w:t xml:space="preserve"> Articles: </w:t>
      </w:r>
      <w:hyperlink w:anchor="assertion-report-and-reservation">
        <w:r>
          <w:rPr>
            <w:color w:val="000000"/>
          </w:rPr>
          <w:t xml:space="preserve">Assertion, report, and reservation</w:t>
        </w:r>
      </w:hyperlink>
      <w:r>
        <w:rPr>
          <w:b w:val="0"/>
          <w:i w:val="0"/>
        </w:rPr>
        <w:t xml:space="preserve">; </w:t>
      </w:r>
      <w:hyperlink w:anchor="celestial-influence">
        <w:r>
          <w:rPr>
            <w:color w:val="000000"/>
          </w:rPr>
          <w:t xml:space="preserve">Celestial influence</w:t>
        </w:r>
      </w:hyperlink>
      <w:r>
        <w:rPr>
          <w:b w:val="0"/>
          <w:i w:val="0"/>
        </w:rPr>
        <w:t xml:space="preserve">; </w:t>
      </w:r>
      <w:hyperlink w:anchor="daemons">
        <w:r>
          <w:rPr>
            <w:color w:val="000000"/>
          </w:rPr>
          <w:t xml:space="preserve">Daemons</w:t>
        </w:r>
      </w:hyperlink>
      <w:r>
        <w:rPr>
          <w:b w:val="0"/>
          <w:i w:val="0"/>
        </w:rPr>
        <w:t xml:space="preserve">; </w:t>
      </w:r>
      <w:hyperlink w:anchor="earth-soul">
        <w:r>
          <w:rPr>
            <w:color w:val="000000"/>
          </w:rPr>
          <w:t xml:space="preserve">Earth soul</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indwelling-and-presence">
        <w:r>
          <w:rPr>
            <w:color w:val="000000"/>
          </w:rPr>
          <w:t xml:space="preserve">Indwelling and presence</w:t>
        </w:r>
      </w:hyperlink>
      <w:r>
        <w:rPr>
          <w:b w:val="0"/>
          <w:i w:val="0"/>
        </w:rPr>
        <w:t xml:space="preserve">; </w:t>
      </w:r>
      <w:hyperlink w:anchor="putrefaction-and-propagation">
        <w:r>
          <w:rPr>
            <w:color w:val="000000"/>
          </w:rPr>
          <w:t xml:space="preserve">Putrefaction and propagation</w:t>
        </w:r>
      </w:hyperlink>
      <w:r>
        <w:rPr>
          <w:b w:val="0"/>
          <w:i w:val="0"/>
        </w:rPr>
        <w:t xml:space="preserve">; </w:t>
      </w:r>
      <w:hyperlink w:anchor="soul">
        <w:r>
          <w:rPr>
            <w:color w:val="000000"/>
          </w:rPr>
          <w:t xml:space="preserve">Soul</w:t>
        </w:r>
      </w:hyperlink>
      <w:r>
        <w:rPr>
          <w:b w:val="0"/>
          <w:i w:val="0"/>
        </w:rPr>
        <w:t xml:space="preserve">; </w:t>
      </w:r>
      <w:hyperlink w:anchor="spheres-and-stars">
        <w:r>
          <w:rPr>
            <w:color w:val="000000"/>
          </w:rPr>
          <w:t xml:space="preserve">Spheres and stars</w:t>
        </w:r>
      </w:hyperlink>
      <w:r>
        <w:rPr>
          <w:b w:val="0"/>
          <w:i w:val="0"/>
        </w:rPr>
        <w:t xml:space="preserve">; </w:t>
      </w:r>
      <w:hyperlink w:anchor="twelve">
        <w:r>
          <w:rPr>
            <w:color w:val="000000"/>
          </w:rPr>
          <w:t xml:space="preserve">Twelve</w:t>
        </w:r>
      </w:hyperlink>
      <w:r>
        <w:rPr>
          <w:b w:val="0"/>
          <w:i w:val="0"/>
        </w:rPr>
        <w:t xml:space="preserve">; </w:t>
      </w:r>
      <w:hyperlink w:anchor="world-soul">
        <w:r>
          <w:rPr>
            <w:color w:val="000000"/>
          </w:rPr>
          <w:t xml:space="preserve">World soul</w:t>
        </w:r>
      </w:hyperlink>
      <w:r>
        <w:rPr>
          <w:b w:val="0"/>
          <w:i w:val="0"/>
        </w:rPr>
        <w:t xml:space="preserve">. Vocabulary: </w:t>
      </w:r>
      <w:hyperlink w:anchor="latin-record-0025">
        <w:r>
          <w:rPr>
            <w:color w:val="000000"/>
          </w:rPr>
          <w:t xml:space="preserve">adesse / inesse</w:t>
        </w:r>
      </w:hyperlink>
      <w:r>
        <w:rPr>
          <w:b w:val="0"/>
          <w:i w:val="0"/>
        </w:rPr>
        <w:t xml:space="preserve">; </w:t>
      </w:r>
      <w:hyperlink w:anchor="latin-record-0108">
        <w:r>
          <w:rPr>
            <w:color w:val="000000"/>
          </w:rPr>
          <w:t xml:space="preserve">attribuere / dare</w:t>
        </w:r>
      </w:hyperlink>
      <w:r>
        <w:rPr>
          <w:b w:val="0"/>
          <w:i w:val="0"/>
        </w:rPr>
        <w:t xml:space="preserve">; </w:t>
      </w:r>
      <w:hyperlink w:anchor="latin-record-0753">
        <w:r>
          <w:rPr>
            <w:color w:val="000000"/>
          </w:rPr>
          <w:t xml:space="preserve">negare</w:t>
        </w:r>
      </w:hyperlink>
      <w:r>
        <w:rPr>
          <w:b w:val="0"/>
          <w:i w:val="0"/>
        </w:rPr>
        <w:t xml:space="preserve">; </w:t>
      </w:r>
      <w:hyperlink w:anchor="latin-record-1151">
        <w:r>
          <w:rPr>
            <w:color w:val="000000"/>
          </w:rPr>
          <w:t xml:space="preserve">sub propria persona</w:t>
        </w:r>
      </w:hyperlink>
      <w:r>
        <w:rPr>
          <w:b w:val="0"/>
          <w:i w:val="0"/>
        </w:rPr>
        <w:t xml:space="preserve">; </w:t>
      </w:r>
      <w:hyperlink w:anchor="latin-record-1213">
        <w:r>
          <w:rPr>
            <w:color w:val="000000"/>
          </w:rPr>
          <w:t xml:space="preserve">tunc demum affirmanda</w:t>
        </w:r>
      </w:hyperlink>
      <w:r>
        <w:rPr>
          <w:b w:val="0"/>
          <w:i w:val="0"/>
        </w:rPr>
        <w:t>.</w:t>
      </w:r>
    </w:p>
    <w:p>
      <w:bookmarkStart w:id="2097" w:name="chapter-iv.2"/>
      <w:pPr>
        <w:pStyle w:val="Heading2"/>
      </w:pPr>
      <w:r>
        <w:rPr>
          <w:b w:val="0"/>
          <w:i w:val="0"/>
        </w:rPr>
        <w:t>Chapter IV.2</w:t>
      </w:r>
      <w:bookmarkEnd w:id="2097"/>
    </w:p>
    <w:p>
      <w:pPr>
        <w:widowControl/>
      </w:pPr>
      <w:bookmarkStart w:id="2098" w:name="passage-iv-2-1"/>
      <w:bookmarkEnd w:id="2098"/>
      <w:r>
        <w:rPr>
          <w:b/>
          <w:i w:val="0"/>
        </w:rPr>
        <w:t>IV.2.1</w:t>
      </w:r>
      <w:r>
        <w:rPr>
          <w:b/>
          <w:i w:val="0"/>
        </w:rPr>
        <w:t>, source pp. 334–335.</w:t>
      </w:r>
      <w:r>
        <w:rPr>
          <w:b w:val="0"/>
          <w:i w:val="0"/>
        </w:rPr>
        <w:t xml:space="preserve"> Articles: </w:t>
      </w:r>
      <w:hyperlink w:anchor="appetite-and-desire">
        <w:r>
          <w:rPr>
            <w:color w:val="000000"/>
          </w:rPr>
          <w:t xml:space="preserve">Appetite and desire</w:t>
        </w:r>
      </w:hyperlink>
      <w:r>
        <w:rPr>
          <w:b w:val="0"/>
          <w:i w:val="0"/>
        </w:rPr>
        <w:t xml:space="preserve">; </w:t>
      </w:r>
      <w:hyperlink w:anchor="fate">
        <w:r>
          <w:rPr>
            <w:color w:val="000000"/>
          </w:rPr>
          <w:t xml:space="preserve">Fate</w:t>
        </w:r>
      </w:hyperlink>
      <w:r>
        <w:rPr>
          <w:b w:val="0"/>
          <w:i w:val="0"/>
        </w:rPr>
        <w:t xml:space="preserve">. Vocabulary: </w:t>
      </w:r>
      <w:hyperlink w:anchor="latin-record-0087">
        <w:r>
          <w:rPr>
            <w:color w:val="000000"/>
          </w:rPr>
          <w:t xml:space="preserve">appetitus excitatus</w:t>
        </w:r>
      </w:hyperlink>
      <w:r>
        <w:rPr>
          <w:b w:val="0"/>
          <w:i w:val="0"/>
        </w:rPr>
        <w:t>.</w:t>
      </w:r>
    </w:p>
    <w:p>
      <w:pPr>
        <w:widowControl/>
      </w:pPr>
      <w:bookmarkStart w:id="2099" w:name="passage-iv-2-2"/>
      <w:bookmarkEnd w:id="2099"/>
      <w:r>
        <w:rPr>
          <w:b/>
          <w:i w:val="0"/>
        </w:rPr>
        <w:t>IV.2.2</w:t>
      </w:r>
      <w:r>
        <w:rPr>
          <w:b/>
          <w:i w:val="0"/>
        </w:rPr>
        <w:t>, source pp. 334–335.</w:t>
      </w:r>
      <w:r>
        <w:rPr>
          <w:b w:val="0"/>
          <w:i w:val="0"/>
        </w:rPr>
        <w:t xml:space="preserve"> Articles: </w:t>
      </w:r>
      <w:hyperlink w:anchor="appetite-and-desire">
        <w:r>
          <w:rPr>
            <w:color w:val="000000"/>
          </w:rPr>
          <w:t xml:space="preserve">Appetite and desire</w:t>
        </w:r>
      </w:hyperlink>
      <w:r>
        <w:rPr>
          <w:b w:val="0"/>
          <w:i w:val="0"/>
        </w:rPr>
        <w:t xml:space="preserve">; </w:t>
      </w:r>
      <w:hyperlink w:anchor="fate">
        <w:r>
          <w:rPr>
            <w:color w:val="000000"/>
          </w:rPr>
          <w:t xml:space="preserve">Fate</w:t>
        </w:r>
      </w:hyperlink>
      <w:r>
        <w:rPr>
          <w:b w:val="0"/>
          <w:i w:val="0"/>
        </w:rPr>
        <w:t xml:space="preserve">; </w:t>
      </w:r>
      <w:hyperlink w:anchor="hermetic-theologians-and-the-magi">
        <w:r>
          <w:rPr>
            <w:color w:val="000000"/>
          </w:rPr>
          <w:t xml:space="preserve">Hermetic theologians and the Magi</w:t>
        </w:r>
      </w:hyperlink>
      <w:r>
        <w:rPr>
          <w:b w:val="0"/>
          <w:i w:val="0"/>
        </w:rPr>
        <w:t xml:space="preserve">. Vocabulary: </w:t>
      </w:r>
      <w:hyperlink w:anchor="latin-record-0432">
        <w:r>
          <w:rPr>
            <w:color w:val="000000"/>
          </w:rPr>
          <w:t xml:space="preserve">fatalis lex / innata cupiditas</w:t>
        </w:r>
      </w:hyperlink>
      <w:r>
        <w:rPr>
          <w:b w:val="0"/>
          <w:i w:val="0"/>
        </w:rPr>
        <w:t xml:space="preserve">; </w:t>
      </w:r>
      <w:hyperlink w:anchor="latin-record-0442">
        <w:r>
          <w:rPr>
            <w:color w:val="000000"/>
          </w:rPr>
          <w:t xml:space="preserve">ferre</w:t>
        </w:r>
      </w:hyperlink>
      <w:r>
        <w:rPr>
          <w:b w:val="0"/>
          <w:i w:val="0"/>
        </w:rPr>
        <w:t xml:space="preserve">; </w:t>
      </w:r>
      <w:hyperlink w:anchor="latin-record-0749">
        <w:r>
          <w:rPr>
            <w:color w:val="000000"/>
          </w:rPr>
          <w:t xml:space="preserve">necessitas / oportere</w:t>
        </w:r>
      </w:hyperlink>
      <w:r>
        <w:rPr>
          <w:b w:val="0"/>
          <w:i w:val="0"/>
        </w:rPr>
        <w:t xml:space="preserve">; </w:t>
      </w:r>
      <w:hyperlink w:anchor="greek-record-21">
        <w:r>
          <w:rPr>
            <w:color w:val="000000"/>
          </w:rPr>
          <w:t xml:space="preserve">Everlasting will and the work of necessity</w:t>
        </w:r>
      </w:hyperlink>
      <w:r>
        <w:rPr>
          <w:b w:val="0"/>
          <w:i w:val="0"/>
        </w:rPr>
        <w:t>.</w:t>
      </w:r>
    </w:p>
    <w:p>
      <w:pPr>
        <w:widowControl/>
      </w:pPr>
      <w:bookmarkStart w:id="2100" w:name="passage-iv-2-3"/>
      <w:bookmarkEnd w:id="2100"/>
      <w:r>
        <w:rPr>
          <w:b/>
          <w:i w:val="0"/>
        </w:rPr>
        <w:t>IV.2.3</w:t>
      </w:r>
      <w:r>
        <w:rPr>
          <w:b/>
          <w:i w:val="0"/>
        </w:rPr>
        <w:t>, source pp. 334–335.</w:t>
      </w:r>
      <w:r>
        <w:rPr>
          <w:b w:val="0"/>
          <w:i w:val="0"/>
        </w:rPr>
        <w:t xml:space="preserve"> Articles: </w:t>
      </w:r>
      <w:hyperlink w:anchor="good-and-goodness">
        <w:r>
          <w:rPr>
            <w:color w:val="000000"/>
          </w:rPr>
          <w:t xml:space="preserve">Good and goodness</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1170">
        <w:r>
          <w:rPr>
            <w:color w:val="000000"/>
          </w:rPr>
          <w:t xml:space="preserve">super omne / sub omni</w:t>
        </w:r>
      </w:hyperlink>
      <w:r>
        <w:rPr>
          <w:b w:val="0"/>
          <w:i w:val="0"/>
        </w:rPr>
        <w:t>.</w:t>
      </w:r>
    </w:p>
    <w:p>
      <w:pPr>
        <w:widowControl/>
      </w:pPr>
      <w:bookmarkStart w:id="2101" w:name="passage-iv-2-4"/>
      <w:bookmarkEnd w:id="2101"/>
      <w:r>
        <w:rPr>
          <w:b/>
          <w:i w:val="0"/>
        </w:rPr>
        <w:t>IV.2.4</w:t>
      </w:r>
      <w:r>
        <w:rPr>
          <w:b/>
          <w:i w:val="0"/>
        </w:rPr>
        <w:t>, source pp. 334–335.</w:t>
      </w:r>
      <w:r>
        <w:rPr>
          <w:b w:val="0"/>
          <w:i w:val="0"/>
        </w:rPr>
        <w:t xml:space="preserve"> Articles: </w:t>
      </w:r>
      <w:hyperlink w:anchor="good-and-goodness">
        <w:r>
          <w:rPr>
            <w:color w:val="000000"/>
          </w:rPr>
          <w:t xml:space="preserve">Good and goodness</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286">
        <w:r>
          <w:rPr>
            <w:color w:val="000000"/>
          </w:rPr>
          <w:t xml:space="preserve">cumulus</w:t>
        </w:r>
      </w:hyperlink>
      <w:r>
        <w:rPr>
          <w:b w:val="0"/>
          <w:i w:val="0"/>
        </w:rPr>
        <w:t>.</w:t>
      </w:r>
    </w:p>
    <w:p>
      <w:pPr>
        <w:widowControl/>
      </w:pPr>
      <w:bookmarkStart w:id="2102" w:name="passage-iv-2-5"/>
      <w:bookmarkEnd w:id="2102"/>
      <w:r>
        <w:rPr>
          <w:b/>
          <w:i w:val="0"/>
        </w:rPr>
        <w:t>IV.2.5</w:t>
      </w:r>
      <w:r>
        <w:rPr>
          <w:b/>
          <w:i w:val="0"/>
        </w:rPr>
        <w:t>, source pp. 334–335.</w:t>
      </w:r>
      <w:r>
        <w:rPr>
          <w:b w:val="0"/>
          <w:i w:val="0"/>
        </w:rPr>
        <w:t xml:space="preserve"> Articles: </w:t>
      </w:r>
      <w:hyperlink w:anchor="eternity-and-time">
        <w:r>
          <w:rPr>
            <w:color w:val="000000"/>
          </w:rPr>
          <w:t xml:space="preserve">Eternity and time</w:t>
        </w:r>
      </w:hyperlink>
      <w:r>
        <w:rPr>
          <w:b w:val="0"/>
          <w:i w:val="0"/>
        </w:rPr>
        <w:t xml:space="preserve">; </w:t>
      </w:r>
      <w:hyperlink w:anchor="good-and-goodness">
        <w:r>
          <w:rPr>
            <w:color w:val="000000"/>
          </w:rPr>
          <w:t xml:space="preserve">Good and goodness</w:t>
        </w:r>
      </w:hyperlink>
      <w:r>
        <w:rPr>
          <w:b w:val="0"/>
          <w:i w:val="0"/>
        </w:rPr>
        <w:t xml:space="preserve">; </w:t>
      </w:r>
      <w:hyperlink w:anchor="matter">
        <w:r>
          <w:rPr>
            <w:color w:val="000000"/>
          </w:rPr>
          <w:t xml:space="preserve">Matter</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387">
        <w:r>
          <w:rPr>
            <w:color w:val="000000"/>
          </w:rPr>
          <w:t xml:space="preserve">essentia puncto momento</w:t>
        </w:r>
      </w:hyperlink>
      <w:r>
        <w:rPr>
          <w:b w:val="0"/>
          <w:i w:val="0"/>
        </w:rPr>
        <w:t xml:space="preserve">; </w:t>
      </w:r>
      <w:hyperlink w:anchor="latin-record-0708">
        <w:r>
          <w:rPr>
            <w:color w:val="000000"/>
          </w:rPr>
          <w:t xml:space="preserve">modus unitatis</w:t>
        </w:r>
      </w:hyperlink>
      <w:r>
        <w:rPr>
          <w:b w:val="0"/>
          <w:i w:val="0"/>
        </w:rPr>
        <w:t xml:space="preserve">; </w:t>
      </w:r>
      <w:hyperlink w:anchor="latin-record-0781">
        <w:r>
          <w:rPr>
            <w:color w:val="000000"/>
          </w:rPr>
          <w:t xml:space="preserve">nutu oculi</w:t>
        </w:r>
      </w:hyperlink>
      <w:r>
        <w:rPr>
          <w:b w:val="0"/>
          <w:i w:val="0"/>
        </w:rPr>
        <w:t>.</w:t>
      </w:r>
    </w:p>
    <w:p>
      <w:pPr>
        <w:widowControl/>
      </w:pPr>
      <w:bookmarkStart w:id="2103" w:name="passage-iv-2-6"/>
      <w:bookmarkEnd w:id="2103"/>
      <w:r>
        <w:rPr>
          <w:b/>
          <w:i w:val="0"/>
        </w:rPr>
        <w:t>IV.2.6</w:t>
      </w:r>
      <w:r>
        <w:rPr>
          <w:b/>
          <w:i w:val="0"/>
        </w:rPr>
        <w:t>, source pp. 336–337.</w:t>
      </w:r>
      <w:r>
        <w:rPr>
          <w:b w:val="0"/>
          <w:i w:val="0"/>
        </w:rPr>
        <w:t xml:space="preserve"> Articles: </w:t>
      </w:r>
      <w:hyperlink w:anchor="angel">
        <w:r>
          <w:rPr>
            <w:color w:val="000000"/>
          </w:rPr>
          <w:t xml:space="preserve">Angel</w:t>
        </w:r>
      </w:hyperlink>
      <w:r>
        <w:rPr>
          <w:b w:val="0"/>
          <w:i w:val="0"/>
        </w:rPr>
        <w:t xml:space="preserve">; </w:t>
      </w:r>
      <w:hyperlink w:anchor="circularity-and-return">
        <w:r>
          <w:rPr>
            <w:color w:val="000000"/>
          </w:rPr>
          <w:t xml:space="preserve">Circularity and return</w:t>
        </w:r>
      </w:hyperlink>
      <w:r>
        <w:rPr>
          <w:b w:val="0"/>
          <w:i w:val="0"/>
        </w:rPr>
        <w:t xml:space="preserve">; </w:t>
      </w:r>
      <w:hyperlink w:anchor="eternity-and-time">
        <w:r>
          <w:rPr>
            <w:color w:val="000000"/>
          </w:rPr>
          <w:t xml:space="preserve">Eternity and time</w:t>
        </w:r>
      </w:hyperlink>
      <w:r>
        <w:rPr>
          <w:b w:val="0"/>
          <w:i w:val="0"/>
        </w:rPr>
        <w:t xml:space="preserve">; </w:t>
      </w:r>
      <w:hyperlink w:anchor="good-and-goodness">
        <w:r>
          <w:rPr>
            <w:color w:val="000000"/>
          </w:rPr>
          <w:t xml:space="preserve">Good and goodness</w:t>
        </w:r>
      </w:hyperlink>
      <w:r>
        <w:rPr>
          <w:b w:val="0"/>
          <w:i w:val="0"/>
        </w:rPr>
        <w:t xml:space="preserve">; </w:t>
      </w:r>
      <w:hyperlink w:anchor="matter">
        <w:r>
          <w:rPr>
            <w:color w:val="000000"/>
          </w:rPr>
          <w:t xml:space="preserve">Matter</w:t>
        </w:r>
      </w:hyperlink>
      <w:r>
        <w:rPr>
          <w:b w:val="0"/>
          <w:i w:val="0"/>
        </w:rPr>
        <w:t xml:space="preserve">; </w:t>
      </w:r>
      <w:hyperlink w:anchor="motion-and-stability">
        <w:r>
          <w:rPr>
            <w:color w:val="000000"/>
          </w:rPr>
          <w:t xml:space="preserve">Motion and stability</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844">
        <w:r>
          <w:rPr>
            <w:color w:val="000000"/>
          </w:rPr>
          <w:t xml:space="preserve">pendere / converti</w:t>
        </w:r>
      </w:hyperlink>
      <w:r>
        <w:rPr>
          <w:b w:val="0"/>
          <w:i w:val="0"/>
        </w:rPr>
        <w:t>.</w:t>
      </w:r>
    </w:p>
    <w:p>
      <w:pPr>
        <w:widowControl/>
      </w:pPr>
      <w:bookmarkStart w:id="2104" w:name="passage-iv-2-7"/>
      <w:bookmarkEnd w:id="2104"/>
      <w:r>
        <w:rPr>
          <w:b/>
          <w:i w:val="0"/>
        </w:rPr>
        <w:t>IV.2.7</w:t>
      </w:r>
      <w:r>
        <w:rPr>
          <w:b/>
          <w:i w:val="0"/>
        </w:rPr>
        <w:t>, source pp. 336–337.</w:t>
      </w:r>
      <w:r>
        <w:rPr>
          <w:b w:val="0"/>
          <w:i w:val="0"/>
        </w:rPr>
        <w:t xml:space="preserve"> Articles: </w:t>
      </w:r>
      <w:hyperlink w:anchor="angel">
        <w:r>
          <w:rPr>
            <w:color w:val="000000"/>
          </w:rPr>
          <w:t xml:space="preserve">Angel</w:t>
        </w:r>
      </w:hyperlink>
      <w:r>
        <w:rPr>
          <w:b w:val="0"/>
          <w:i w:val="0"/>
        </w:rPr>
        <w:t xml:space="preserve">; </w:t>
      </w:r>
      <w:hyperlink w:anchor="eternity-and-time">
        <w:r>
          <w:rPr>
            <w:color w:val="000000"/>
          </w:rPr>
          <w:t xml:space="preserve">Eternity and time</w:t>
        </w:r>
      </w:hyperlink>
      <w:r>
        <w:rPr>
          <w:b w:val="0"/>
          <w:i w:val="0"/>
        </w:rPr>
        <w:t xml:space="preserve">; </w:t>
      </w:r>
      <w:hyperlink w:anchor="intention">
        <w:r>
          <w:rPr>
            <w:color w:val="000000"/>
          </w:rPr>
          <w:t xml:space="preserve">Intention</w:t>
        </w:r>
      </w:hyperlink>
      <w:r>
        <w:rPr>
          <w:b w:val="0"/>
          <w:i w:val="0"/>
        </w:rPr>
        <w:t xml:space="preserve">; </w:t>
      </w:r>
      <w:hyperlink w:anchor="matter">
        <w:r>
          <w:rPr>
            <w:color w:val="000000"/>
          </w:rPr>
          <w:t xml:space="preserve">Matter</w:t>
        </w:r>
      </w:hyperlink>
      <w:r>
        <w:rPr>
          <w:b w:val="0"/>
          <w:i w:val="0"/>
        </w:rPr>
        <w:t xml:space="preserve">; </w:t>
      </w:r>
      <w:hyperlink w:anchor="motion-and-stability">
        <w:r>
          <w:rPr>
            <w:color w:val="000000"/>
          </w:rPr>
          <w:t xml:space="preserve">Motion and stability</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708">
        <w:r>
          <w:rPr>
            <w:color w:val="000000"/>
          </w:rPr>
          <w:t xml:space="preserve">modus unitatis</w:t>
        </w:r>
      </w:hyperlink>
      <w:r>
        <w:rPr>
          <w:b w:val="0"/>
          <w:i w:val="0"/>
        </w:rPr>
        <w:t xml:space="preserve">; </w:t>
      </w:r>
      <w:hyperlink w:anchor="latin-record-0772">
        <w:r>
          <w:rPr>
            <w:color w:val="000000"/>
          </w:rPr>
          <w:t xml:space="preserve">novus / varius</w:t>
        </w:r>
      </w:hyperlink>
      <w:r>
        <w:rPr>
          <w:b w:val="0"/>
          <w:i w:val="0"/>
        </w:rPr>
        <w:t xml:space="preserve">; </w:t>
      </w:r>
      <w:hyperlink w:anchor="latin-record-1078">
        <w:r>
          <w:rPr>
            <w:color w:val="000000"/>
          </w:rPr>
          <w:t xml:space="preserve">secunda intentio</w:t>
        </w:r>
      </w:hyperlink>
      <w:r>
        <w:rPr>
          <w:b w:val="0"/>
          <w:i w:val="0"/>
        </w:rPr>
        <w:t>.</w:t>
      </w:r>
    </w:p>
    <w:p>
      <w:pPr>
        <w:widowControl/>
      </w:pPr>
      <w:bookmarkStart w:id="2105" w:name="passage-iv-2-8"/>
      <w:bookmarkEnd w:id="2105"/>
      <w:r>
        <w:rPr>
          <w:b/>
          <w:i w:val="0"/>
        </w:rPr>
        <w:t>IV.2.8</w:t>
      </w:r>
      <w:r>
        <w:rPr>
          <w:b/>
          <w:i w:val="0"/>
        </w:rPr>
        <w:t>, source pp. 336–337.</w:t>
      </w:r>
      <w:r>
        <w:rPr>
          <w:b w:val="0"/>
          <w:i w:val="0"/>
        </w:rPr>
        <w:t xml:space="preserve"> Articles: </w:t>
      </w:r>
      <w:hyperlink w:anchor="angel">
        <w:r>
          <w:rPr>
            <w:color w:val="000000"/>
          </w:rPr>
          <w:t xml:space="preserve">Angel</w:t>
        </w:r>
      </w:hyperlink>
      <w:r>
        <w:rPr>
          <w:b w:val="0"/>
          <w:i w:val="0"/>
        </w:rPr>
        <w:t xml:space="preserve">; </w:t>
      </w:r>
      <w:hyperlink w:anchor="eternity-and-time">
        <w:r>
          <w:rPr>
            <w:color w:val="000000"/>
          </w:rPr>
          <w:t xml:space="preserve">Eternity and time</w:t>
        </w:r>
      </w:hyperlink>
      <w:r>
        <w:rPr>
          <w:b w:val="0"/>
          <w:i w:val="0"/>
        </w:rPr>
        <w:t xml:space="preserve">; </w:t>
      </w:r>
      <w:hyperlink w:anchor="matter">
        <w:r>
          <w:rPr>
            <w:color w:val="000000"/>
          </w:rPr>
          <w:t xml:space="preserve">Matter</w:t>
        </w:r>
      </w:hyperlink>
      <w:r>
        <w:rPr>
          <w:b w:val="0"/>
          <w:i w:val="0"/>
        </w:rPr>
        <w:t xml:space="preserve">; </w:t>
      </w:r>
      <w:hyperlink w:anchor="motion-and-stability">
        <w:r>
          <w:rPr>
            <w:color w:val="000000"/>
          </w:rPr>
          <w:t xml:space="preserve">Motion and stability</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192">
        <w:r>
          <w:rPr>
            <w:color w:val="000000"/>
          </w:rPr>
          <w:t xml:space="preserve">comes</w:t>
        </w:r>
      </w:hyperlink>
      <w:r>
        <w:rPr>
          <w:b w:val="0"/>
          <w:i w:val="0"/>
        </w:rPr>
        <w:t xml:space="preserve">; </w:t>
      </w:r>
      <w:hyperlink w:anchor="latin-record-0612">
        <w:r>
          <w:rPr>
            <w:color w:val="000000"/>
          </w:rPr>
          <w:t xml:space="preserve">invenire-related reperire</w:t>
        </w:r>
      </w:hyperlink>
      <w:r>
        <w:rPr>
          <w:b w:val="0"/>
          <w:i w:val="0"/>
        </w:rPr>
        <w:t xml:space="preserve">; </w:t>
      </w:r>
      <w:hyperlink w:anchor="latin-record-0840">
        <w:r>
          <w:rPr>
            <w:color w:val="000000"/>
          </w:rPr>
          <w:t xml:space="preserve">pati / passivus</w:t>
        </w:r>
      </w:hyperlink>
      <w:r>
        <w:rPr>
          <w:b w:val="0"/>
          <w:i w:val="0"/>
        </w:rPr>
        <w:t>.</w:t>
      </w:r>
    </w:p>
    <w:p>
      <w:pPr>
        <w:widowControl/>
      </w:pPr>
      <w:bookmarkStart w:id="2106" w:name="passage-iv-2-9"/>
      <w:bookmarkEnd w:id="2106"/>
      <w:r>
        <w:rPr>
          <w:b/>
          <w:i w:val="0"/>
        </w:rPr>
        <w:t>IV.2.9</w:t>
      </w:r>
      <w:r>
        <w:rPr>
          <w:b/>
          <w:i w:val="0"/>
        </w:rPr>
        <w:t>, source pp. 336–337.</w:t>
      </w:r>
      <w:r>
        <w:rPr>
          <w:b w:val="0"/>
          <w:i w:val="0"/>
        </w:rPr>
        <w:t xml:space="preserve"> Articles: </w:t>
      </w:r>
      <w:hyperlink w:anchor="act-and-operation">
        <w:r>
          <w:rPr>
            <w:color w:val="000000"/>
          </w:rPr>
          <w:t xml:space="preserve">Act and operation</w:t>
        </w:r>
      </w:hyperlink>
      <w:r>
        <w:rPr>
          <w:b w:val="0"/>
          <w:i w:val="0"/>
        </w:rPr>
        <w:t xml:space="preserve">; </w:t>
      </w:r>
      <w:hyperlink w:anchor="angel">
        <w:r>
          <w:rPr>
            <w:color w:val="000000"/>
          </w:rPr>
          <w:t xml:space="preserve">Angel</w:t>
        </w:r>
      </w:hyperlink>
      <w:r>
        <w:rPr>
          <w:b w:val="0"/>
          <w:i w:val="0"/>
        </w:rPr>
        <w:t xml:space="preserve">; </w:t>
      </w:r>
      <w:hyperlink w:anchor="eternity-and-time">
        <w:r>
          <w:rPr>
            <w:color w:val="000000"/>
          </w:rPr>
          <w:t xml:space="preserve">Eternity and time</w:t>
        </w:r>
      </w:hyperlink>
      <w:r>
        <w:rPr>
          <w:b w:val="0"/>
          <w:i w:val="0"/>
        </w:rPr>
        <w:t xml:space="preserve">; </w:t>
      </w:r>
      <w:hyperlink w:anchor="habitual-possession">
        <w:r>
          <w:rPr>
            <w:color w:val="000000"/>
          </w:rPr>
          <w:t xml:space="preserve">Habitual possession</w:t>
        </w:r>
      </w:hyperlink>
      <w:r>
        <w:rPr>
          <w:b w:val="0"/>
          <w:i w:val="0"/>
        </w:rPr>
        <w:t xml:space="preserve">; </w:t>
      </w:r>
      <w:hyperlink w:anchor="ideas-and-exemplars">
        <w:r>
          <w:rPr>
            <w:color w:val="000000"/>
          </w:rPr>
          <w:t xml:space="preserve">Ideas and exemplars</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matter">
        <w:r>
          <w:rPr>
            <w:color w:val="000000"/>
          </w:rPr>
          <w:t xml:space="preserve">Matter</w:t>
        </w:r>
      </w:hyperlink>
      <w:r>
        <w:rPr>
          <w:b w:val="0"/>
          <w:i w:val="0"/>
        </w:rPr>
        <w:t xml:space="preserve">; </w:t>
      </w:r>
      <w:hyperlink w:anchor="mind">
        <w:r>
          <w:rPr>
            <w:color w:val="000000"/>
          </w:rPr>
          <w:t xml:space="preserve">Mind</w:t>
        </w:r>
      </w:hyperlink>
      <w:r>
        <w:rPr>
          <w:b w:val="0"/>
          <w:i w:val="0"/>
        </w:rPr>
        <w:t xml:space="preserve">; </w:t>
      </w:r>
      <w:hyperlink w:anchor="motion-and-stability">
        <w:r>
          <w:rPr>
            <w:color w:val="000000"/>
          </w:rPr>
          <w:t xml:space="preserve">Motion and stability</w:t>
        </w:r>
      </w:hyperlink>
      <w:r>
        <w:rPr>
          <w:b w:val="0"/>
          <w:i w:val="0"/>
        </w:rPr>
        <w:t xml:space="preserve">; </w:t>
      </w:r>
      <w:hyperlink w:anchor="soul">
        <w:r>
          <w:rPr>
            <w:color w:val="000000"/>
          </w:rPr>
          <w:t xml:space="preserve">Soul</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497">
        <w:r>
          <w:rPr>
            <w:color w:val="000000"/>
          </w:rPr>
          <w:t xml:space="preserve">habitus / actus / potentia</w:t>
        </w:r>
      </w:hyperlink>
      <w:r>
        <w:rPr>
          <w:b w:val="0"/>
          <w:i w:val="0"/>
        </w:rPr>
        <w:t xml:space="preserve">; </w:t>
      </w:r>
      <w:hyperlink w:anchor="latin-record-1109">
        <w:r>
          <w:rPr>
            <w:color w:val="000000"/>
          </w:rPr>
          <w:t xml:space="preserve">simul</w:t>
        </w:r>
      </w:hyperlink>
      <w:r>
        <w:rPr>
          <w:b w:val="0"/>
          <w:i w:val="0"/>
        </w:rPr>
        <w:t>.</w:t>
      </w:r>
    </w:p>
    <w:p>
      <w:pPr>
        <w:widowControl/>
      </w:pPr>
      <w:bookmarkStart w:id="2107" w:name="passage-iv-2-10"/>
      <w:bookmarkEnd w:id="2107"/>
      <w:r>
        <w:rPr>
          <w:b/>
          <w:i w:val="0"/>
        </w:rPr>
        <w:t>IV.2.10</w:t>
      </w:r>
      <w:r>
        <w:rPr>
          <w:b/>
          <w:i w:val="0"/>
        </w:rPr>
        <w:t>, source pp. 338–339.</w:t>
      </w:r>
      <w:r>
        <w:rPr>
          <w:b w:val="0"/>
          <w:i w:val="0"/>
        </w:rPr>
        <w:t xml:space="preserve"> Articles: </w:t>
      </w:r>
      <w:hyperlink w:anchor="act-and-operation">
        <w:r>
          <w:rPr>
            <w:color w:val="000000"/>
          </w:rPr>
          <w:t xml:space="preserve">Act and operation</w:t>
        </w:r>
      </w:hyperlink>
      <w:r>
        <w:rPr>
          <w:b w:val="0"/>
          <w:i w:val="0"/>
        </w:rPr>
        <w:t xml:space="preserve">; </w:t>
      </w:r>
      <w:hyperlink w:anchor="angel">
        <w:r>
          <w:rPr>
            <w:color w:val="000000"/>
          </w:rPr>
          <w:t xml:space="preserve">Angel</w:t>
        </w:r>
      </w:hyperlink>
      <w:r>
        <w:rPr>
          <w:b w:val="0"/>
          <w:i w:val="0"/>
        </w:rPr>
        <w:t xml:space="preserve">; </w:t>
      </w:r>
      <w:hyperlink w:anchor="eternity-and-time">
        <w:r>
          <w:rPr>
            <w:color w:val="000000"/>
          </w:rPr>
          <w:t xml:space="preserve">Eternity and time</w:t>
        </w:r>
      </w:hyperlink>
      <w:r>
        <w:rPr>
          <w:b w:val="0"/>
          <w:i w:val="0"/>
        </w:rPr>
        <w:t xml:space="preserve">; </w:t>
      </w:r>
      <w:hyperlink w:anchor="habitual-possession">
        <w:r>
          <w:rPr>
            <w:color w:val="000000"/>
          </w:rPr>
          <w:t xml:space="preserve">Habitual possession</w:t>
        </w:r>
      </w:hyperlink>
      <w:r>
        <w:rPr>
          <w:b w:val="0"/>
          <w:i w:val="0"/>
        </w:rPr>
        <w:t xml:space="preserve">; </w:t>
      </w:r>
      <w:hyperlink w:anchor="ideas-and-exemplars">
        <w:r>
          <w:rPr>
            <w:color w:val="000000"/>
          </w:rPr>
          <w:t xml:space="preserve">Ideas and exemplars</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mind">
        <w:r>
          <w:rPr>
            <w:color w:val="000000"/>
          </w:rPr>
          <w:t xml:space="preserve">Mind</w:t>
        </w:r>
      </w:hyperlink>
      <w:r>
        <w:rPr>
          <w:b w:val="0"/>
          <w:i w:val="0"/>
        </w:rPr>
        <w:t xml:space="preserve">; </w:t>
      </w:r>
      <w:hyperlink w:anchor="motion-and-stability">
        <w:r>
          <w:rPr>
            <w:color w:val="000000"/>
          </w:rPr>
          <w:t xml:space="preserve">Motion and stability</w:t>
        </w:r>
      </w:hyperlink>
      <w:r>
        <w:rPr>
          <w:b w:val="0"/>
          <w:i w:val="0"/>
        </w:rPr>
        <w:t xml:space="preserve">; </w:t>
      </w:r>
      <w:hyperlink w:anchor="proteus">
        <w:r>
          <w:rPr>
            <w:color w:val="000000"/>
          </w:rPr>
          <w:t xml:space="preserve">Proteus</w:t>
        </w:r>
      </w:hyperlink>
      <w:r>
        <w:rPr>
          <w:b w:val="0"/>
          <w:i w:val="0"/>
        </w:rPr>
        <w:t xml:space="preserve">; </w:t>
      </w:r>
      <w:hyperlink w:anchor="seeds">
        <w:r>
          <w:rPr>
            <w:color w:val="000000"/>
          </w:rPr>
          <w:t xml:space="preserve">Seeds</w:t>
        </w:r>
      </w:hyperlink>
      <w:r>
        <w:rPr>
          <w:b w:val="0"/>
          <w:i w:val="0"/>
        </w:rPr>
        <w:t xml:space="preserve">; </w:t>
      </w:r>
      <w:hyperlink w:anchor="soul">
        <w:r>
          <w:rPr>
            <w:color w:val="000000"/>
          </w:rPr>
          <w:t xml:space="preserve">Soul</w:t>
        </w:r>
      </w:hyperlink>
      <w:r>
        <w:rPr>
          <w:b w:val="0"/>
          <w:i w:val="0"/>
        </w:rPr>
        <w:t xml:space="preserve">; </w:t>
      </w:r>
      <w:hyperlink w:anchor="sowing-and-weaving">
        <w:r>
          <w:rPr>
            <w:color w:val="000000"/>
          </w:rPr>
          <w:t xml:space="preserve">Sowing and weaving</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199">
        <w:r>
          <w:rPr>
            <w:color w:val="000000"/>
          </w:rPr>
          <w:t xml:space="preserve">communicare — imparting and sharing</w:t>
        </w:r>
      </w:hyperlink>
      <w:r>
        <w:rPr>
          <w:b w:val="0"/>
          <w:i w:val="0"/>
        </w:rPr>
        <w:t xml:space="preserve">; </w:t>
      </w:r>
      <w:hyperlink w:anchor="latin-record-0208">
        <w:r>
          <w:rPr>
            <w:color w:val="000000"/>
          </w:rPr>
          <w:t xml:space="preserve">complecti / comprehendere</w:t>
        </w:r>
      </w:hyperlink>
      <w:r>
        <w:rPr>
          <w:b w:val="0"/>
          <w:i w:val="0"/>
        </w:rPr>
        <w:t xml:space="preserve">; </w:t>
      </w:r>
      <w:hyperlink w:anchor="latin-record-0733">
        <w:r>
          <w:rPr>
            <w:color w:val="000000"/>
          </w:rPr>
          <w:t xml:space="preserve">munus / imago / exemplar</w:t>
        </w:r>
      </w:hyperlink>
      <w:r>
        <w:rPr>
          <w:b w:val="0"/>
          <w:i w:val="0"/>
        </w:rPr>
        <w:t xml:space="preserve">; </w:t>
      </w:r>
      <w:hyperlink w:anchor="latin-record-1109">
        <w:r>
          <w:rPr>
            <w:color w:val="000000"/>
          </w:rPr>
          <w:t xml:space="preserve">simul</w:t>
        </w:r>
      </w:hyperlink>
      <w:r>
        <w:rPr>
          <w:b w:val="0"/>
          <w:i w:val="0"/>
        </w:rPr>
        <w:t xml:space="preserve">; </w:t>
      </w:r>
      <w:hyperlink w:anchor="greek-record-22">
        <w:r>
          <w:rPr>
            <w:color w:val="000000"/>
          </w:rPr>
          <w:t xml:space="preserve">The world’s many fullnesses</w:t>
        </w:r>
      </w:hyperlink>
      <w:r>
        <w:rPr>
          <w:b w:val="0"/>
          <w:i w:val="0"/>
        </w:rPr>
        <w:t>.</w:t>
      </w:r>
    </w:p>
    <w:p>
      <w:pPr>
        <w:widowControl/>
      </w:pPr>
      <w:bookmarkStart w:id="2108" w:name="passage-iv-2-11"/>
      <w:bookmarkEnd w:id="2108"/>
      <w:r>
        <w:rPr>
          <w:b/>
          <w:i w:val="0"/>
        </w:rPr>
        <w:t>IV.2.11</w:t>
      </w:r>
      <w:r>
        <w:rPr>
          <w:b/>
          <w:i w:val="0"/>
        </w:rPr>
        <w:t>, source pp. 338–339.</w:t>
      </w:r>
      <w:r>
        <w:rPr>
          <w:b w:val="0"/>
          <w:i w:val="0"/>
        </w:rPr>
        <w:t xml:space="preserve"> Articles: </w:t>
      </w:r>
      <w:hyperlink w:anchor="act-and-operation">
        <w:r>
          <w:rPr>
            <w:color w:val="000000"/>
          </w:rPr>
          <w:t xml:space="preserve">Act and operation</w:t>
        </w:r>
      </w:hyperlink>
      <w:r>
        <w:rPr>
          <w:b w:val="0"/>
          <w:i w:val="0"/>
        </w:rPr>
        <w:t xml:space="preserve">; </w:t>
      </w:r>
      <w:hyperlink w:anchor="angel">
        <w:r>
          <w:rPr>
            <w:color w:val="000000"/>
          </w:rPr>
          <w:t xml:space="preserve">Angel</w:t>
        </w:r>
      </w:hyperlink>
      <w:r>
        <w:rPr>
          <w:b w:val="0"/>
          <w:i w:val="0"/>
        </w:rPr>
        <w:t xml:space="preserve">; </w:t>
      </w:r>
      <w:hyperlink w:anchor="circularity-and-return">
        <w:r>
          <w:rPr>
            <w:color w:val="000000"/>
          </w:rPr>
          <w:t xml:space="preserve">Circularity and return</w:t>
        </w:r>
      </w:hyperlink>
      <w:r>
        <w:rPr>
          <w:b w:val="0"/>
          <w:i w:val="0"/>
        </w:rPr>
        <w:t xml:space="preserve">; </w:t>
      </w:r>
      <w:hyperlink w:anchor="eternity-and-time">
        <w:r>
          <w:rPr>
            <w:color w:val="000000"/>
          </w:rPr>
          <w:t xml:space="preserve">Eternity and time</w:t>
        </w:r>
      </w:hyperlink>
      <w:r>
        <w:rPr>
          <w:b w:val="0"/>
          <w:i w:val="0"/>
        </w:rPr>
        <w:t xml:space="preserve">; </w:t>
      </w:r>
      <w:hyperlink w:anchor="habitual-possession">
        <w:r>
          <w:rPr>
            <w:color w:val="000000"/>
          </w:rPr>
          <w:t xml:space="preserve">Habitual possession</w:t>
        </w:r>
      </w:hyperlink>
      <w:r>
        <w:rPr>
          <w:b w:val="0"/>
          <w:i w:val="0"/>
        </w:rPr>
        <w:t xml:space="preserve">; </w:t>
      </w:r>
      <w:hyperlink w:anchor="head-heart-and-members">
        <w:r>
          <w:rPr>
            <w:color w:val="000000"/>
          </w:rPr>
          <w:t xml:space="preserve">Head, heart, and members</w:t>
        </w:r>
      </w:hyperlink>
      <w:r>
        <w:rPr>
          <w:b w:val="0"/>
          <w:i w:val="0"/>
        </w:rPr>
        <w:t xml:space="preserve">; </w:t>
      </w:r>
      <w:hyperlink w:anchor="ideas-and-exemplars">
        <w:r>
          <w:rPr>
            <w:color w:val="000000"/>
          </w:rPr>
          <w:t xml:space="preserve">Ideas and exemplars</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intuition-and-discourse">
        <w:r>
          <w:rPr>
            <w:color w:val="000000"/>
          </w:rPr>
          <w:t xml:space="preserve">Intuition and discourse</w:t>
        </w:r>
      </w:hyperlink>
      <w:r>
        <w:rPr>
          <w:b w:val="0"/>
          <w:i w:val="0"/>
        </w:rPr>
        <w:t xml:space="preserve">; </w:t>
      </w:r>
      <w:hyperlink w:anchor="leisure">
        <w:r>
          <w:rPr>
            <w:color w:val="000000"/>
          </w:rPr>
          <w:t xml:space="preserve">Leisure</w:t>
        </w:r>
      </w:hyperlink>
      <w:r>
        <w:rPr>
          <w:b w:val="0"/>
          <w:i w:val="0"/>
        </w:rPr>
        <w:t xml:space="preserve">; </w:t>
      </w:r>
      <w:hyperlink w:anchor="life">
        <w:r>
          <w:rPr>
            <w:color w:val="000000"/>
          </w:rPr>
          <w:t xml:space="preserve">Life</w:t>
        </w:r>
      </w:hyperlink>
      <w:r>
        <w:rPr>
          <w:b w:val="0"/>
          <w:i w:val="0"/>
        </w:rPr>
        <w:t xml:space="preserve">; </w:t>
      </w:r>
      <w:hyperlink w:anchor="mind">
        <w:r>
          <w:rPr>
            <w:color w:val="000000"/>
          </w:rPr>
          <w:t xml:space="preserve">Mind</w:t>
        </w:r>
      </w:hyperlink>
      <w:r>
        <w:rPr>
          <w:b w:val="0"/>
          <w:i w:val="0"/>
        </w:rPr>
        <w:t xml:space="preserve">; </w:t>
      </w:r>
      <w:hyperlink w:anchor="motion-and-stability">
        <w:r>
          <w:rPr>
            <w:color w:val="000000"/>
          </w:rPr>
          <w:t xml:space="preserve">Motion and stability</w:t>
        </w:r>
      </w:hyperlink>
      <w:r>
        <w:rPr>
          <w:b w:val="0"/>
          <w:i w:val="0"/>
        </w:rPr>
        <w:t xml:space="preserve">; </w:t>
      </w:r>
      <w:hyperlink w:anchor="proteus">
        <w:r>
          <w:rPr>
            <w:color w:val="000000"/>
          </w:rPr>
          <w:t xml:space="preserve">Proteus</w:t>
        </w:r>
      </w:hyperlink>
      <w:r>
        <w:rPr>
          <w:b w:val="0"/>
          <w:i w:val="0"/>
        </w:rPr>
        <w:t xml:space="preserve">; </w:t>
      </w:r>
      <w:hyperlink w:anchor="seeds">
        <w:r>
          <w:rPr>
            <w:color w:val="000000"/>
          </w:rPr>
          <w:t xml:space="preserve">Seeds</w:t>
        </w:r>
      </w:hyperlink>
      <w:r>
        <w:rPr>
          <w:b w:val="0"/>
          <w:i w:val="0"/>
        </w:rPr>
        <w:t xml:space="preserve">; </w:t>
      </w:r>
      <w:hyperlink w:anchor="soul">
        <w:r>
          <w:rPr>
            <w:color w:val="000000"/>
          </w:rPr>
          <w:t xml:space="preserve">Soul</w:t>
        </w:r>
      </w:hyperlink>
      <w:r>
        <w:rPr>
          <w:b w:val="0"/>
          <w:i w:val="0"/>
        </w:rPr>
        <w:t xml:space="preserve">; </w:t>
      </w:r>
      <w:hyperlink w:anchor="sowing-and-weaving">
        <w:r>
          <w:rPr>
            <w:color w:val="000000"/>
          </w:rPr>
          <w:t xml:space="preserve">Sowing and weaving</w:t>
        </w:r>
      </w:hyperlink>
      <w:r>
        <w:rPr>
          <w:b w:val="0"/>
          <w:i w:val="0"/>
        </w:rPr>
        <w:t xml:space="preserve">; </w:t>
      </w:r>
      <w:hyperlink w:anchor="weariness-and-agility">
        <w:r>
          <w:rPr>
            <w:color w:val="000000"/>
          </w:rPr>
          <w:t xml:space="preserve">Weariness and agility</w:t>
        </w:r>
      </w:hyperlink>
      <w:r>
        <w:rPr>
          <w:b w:val="0"/>
          <w:i w:val="0"/>
        </w:rPr>
        <w:t xml:space="preserve">; </w:t>
      </w:r>
      <w:hyperlink w:anchor="whole-and-parts">
        <w:r>
          <w:rPr>
            <w:color w:val="000000"/>
          </w:rPr>
          <w:t xml:space="preserve">Whole and parts</w:t>
        </w:r>
      </w:hyperlink>
      <w:r>
        <w:rPr>
          <w:b w:val="0"/>
          <w:i w:val="0"/>
        </w:rPr>
        <w:t xml:space="preserve">. Vocabulary: </w:t>
      </w:r>
      <w:hyperlink w:anchor="latin-record-0144">
        <w:r>
          <w:rPr>
            <w:color w:val="000000"/>
          </w:rPr>
          <w:t xml:space="preserve">caput mentis / rationis</w:t>
        </w:r>
      </w:hyperlink>
      <w:r>
        <w:rPr>
          <w:b w:val="0"/>
          <w:i w:val="0"/>
        </w:rPr>
        <w:t xml:space="preserve">; </w:t>
      </w:r>
      <w:hyperlink w:anchor="latin-record-0173">
        <w:r>
          <w:rPr>
            <w:color w:val="000000"/>
          </w:rPr>
          <w:t xml:space="preserve">cogere / compellere</w:t>
        </w:r>
      </w:hyperlink>
      <w:r>
        <w:rPr>
          <w:b w:val="0"/>
          <w:i w:val="0"/>
        </w:rPr>
        <w:t xml:space="preserve">; </w:t>
      </w:r>
      <w:hyperlink w:anchor="latin-record-0248">
        <w:r>
          <w:rPr>
            <w:color w:val="000000"/>
          </w:rPr>
          <w:t xml:space="preserve">consequi / consequens</w:t>
        </w:r>
      </w:hyperlink>
      <w:r>
        <w:rPr>
          <w:b w:val="0"/>
          <w:i w:val="0"/>
        </w:rPr>
        <w:t xml:space="preserve">; </w:t>
      </w:r>
      <w:hyperlink w:anchor="latin-record-0425">
        <w:r>
          <w:rPr>
            <w:color w:val="000000"/>
          </w:rPr>
          <w:t xml:space="preserve">facile / difficilis</w:t>
        </w:r>
      </w:hyperlink>
      <w:r>
        <w:rPr>
          <w:b w:val="0"/>
          <w:i w:val="0"/>
        </w:rPr>
        <w:t xml:space="preserve">; </w:t>
      </w:r>
      <w:hyperlink w:anchor="latin-record-0722">
        <w:r>
          <w:rPr>
            <w:color w:val="000000"/>
          </w:rPr>
          <w:t xml:space="preserve">motus aeternus</w:t>
        </w:r>
      </w:hyperlink>
      <w:r>
        <w:rPr>
          <w:b w:val="0"/>
          <w:i w:val="0"/>
        </w:rPr>
        <w:t xml:space="preserve">; </w:t>
      </w:r>
      <w:hyperlink w:anchor="latin-record-0817">
        <w:r>
          <w:rPr>
            <w:color w:val="000000"/>
          </w:rPr>
          <w:t xml:space="preserve">otium / administratio</w:t>
        </w:r>
      </w:hyperlink>
      <w:r>
        <w:rPr>
          <w:b w:val="0"/>
          <w:i w:val="0"/>
        </w:rPr>
        <w:t xml:space="preserve">; </w:t>
      </w:r>
      <w:hyperlink w:anchor="latin-record-1286">
        <w:r>
          <w:rPr>
            <w:color w:val="000000"/>
          </w:rPr>
          <w:t xml:space="preserve">vult / lubet</w:t>
        </w:r>
      </w:hyperlink>
      <w:r>
        <w:rPr>
          <w:b w:val="0"/>
          <w:i w:val="0"/>
        </w:rPr>
        <w:t>.</w:t>
      </w:r>
    </w:p>
    <w:p>
      <w:pPr>
        <w:widowControl/>
      </w:pPr>
      <w:bookmarkStart w:id="2109" w:name="passage-iv-2-12"/>
      <w:bookmarkEnd w:id="2109"/>
      <w:r>
        <w:rPr>
          <w:b/>
          <w:i w:val="0"/>
        </w:rPr>
        <w:t>IV.2.12</w:t>
      </w:r>
      <w:r>
        <w:rPr>
          <w:b/>
          <w:i w:val="0"/>
        </w:rPr>
        <w:t>, source pp. 340–341.</w:t>
      </w:r>
      <w:r>
        <w:rPr>
          <w:b w:val="0"/>
          <w:i w:val="0"/>
        </w:rPr>
        <w:t xml:space="preserve"> Articles: </w:t>
      </w:r>
      <w:hyperlink w:anchor="act-and-operation">
        <w:r>
          <w:rPr>
            <w:color w:val="000000"/>
          </w:rPr>
          <w:t xml:space="preserve">Act and operation</w:t>
        </w:r>
      </w:hyperlink>
      <w:r>
        <w:rPr>
          <w:b w:val="0"/>
          <w:i w:val="0"/>
        </w:rPr>
        <w:t xml:space="preserve">; </w:t>
      </w:r>
      <w:hyperlink w:anchor="assertion-report-and-reservation">
        <w:r>
          <w:rPr>
            <w:color w:val="000000"/>
          </w:rPr>
          <w:t xml:space="preserve">Assertion, report, and reservation</w:t>
        </w:r>
      </w:hyperlink>
      <w:r>
        <w:rPr>
          <w:b w:val="0"/>
          <w:i w:val="0"/>
        </w:rPr>
        <w:t xml:space="preserve">; </w:t>
      </w:r>
      <w:hyperlink w:anchor="circularity-and-return">
        <w:r>
          <w:rPr>
            <w:color w:val="000000"/>
          </w:rPr>
          <w:t xml:space="preserve">Circularity and return</w:t>
        </w:r>
      </w:hyperlink>
      <w:r>
        <w:rPr>
          <w:b w:val="0"/>
          <w:i w:val="0"/>
        </w:rPr>
        <w:t xml:space="preserve">; </w:t>
      </w:r>
      <w:hyperlink w:anchor="eternity-and-time">
        <w:r>
          <w:rPr>
            <w:color w:val="000000"/>
          </w:rPr>
          <w:t xml:space="preserve">Eternity and time</w:t>
        </w:r>
      </w:hyperlink>
      <w:r>
        <w:rPr>
          <w:b w:val="0"/>
          <w:i w:val="0"/>
        </w:rPr>
        <w:t xml:space="preserve">; </w:t>
      </w:r>
      <w:hyperlink w:anchor="fate">
        <w:r>
          <w:rPr>
            <w:color w:val="000000"/>
          </w:rPr>
          <w:t xml:space="preserve">Fate</w:t>
        </w:r>
      </w:hyperlink>
      <w:r>
        <w:rPr>
          <w:b w:val="0"/>
          <w:i w:val="0"/>
        </w:rPr>
        <w:t xml:space="preserve">; </w:t>
      </w:r>
      <w:hyperlink w:anchor="great-year">
        <w:r>
          <w:rPr>
            <w:color w:val="000000"/>
          </w:rPr>
          <w:t xml:space="preserve">Great year</w:t>
        </w:r>
      </w:hyperlink>
      <w:r>
        <w:rPr>
          <w:b w:val="0"/>
          <w:i w:val="0"/>
        </w:rPr>
        <w:t xml:space="preserve">; </w:t>
      </w:r>
      <w:hyperlink w:anchor="habitual-possession">
        <w:r>
          <w:rPr>
            <w:color w:val="000000"/>
          </w:rPr>
          <w:t xml:space="preserve">Habitual possession</w:t>
        </w:r>
      </w:hyperlink>
      <w:r>
        <w:rPr>
          <w:b w:val="0"/>
          <w:i w:val="0"/>
        </w:rPr>
        <w:t xml:space="preserve">; </w:t>
      </w:r>
      <w:hyperlink w:anchor="ideas-and-exemplars">
        <w:r>
          <w:rPr>
            <w:color w:val="000000"/>
          </w:rPr>
          <w:t xml:space="preserve">Ideas and exemplars</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mind">
        <w:r>
          <w:rPr>
            <w:color w:val="000000"/>
          </w:rPr>
          <w:t xml:space="preserve">Mind</w:t>
        </w:r>
      </w:hyperlink>
      <w:r>
        <w:rPr>
          <w:b w:val="0"/>
          <w:i w:val="0"/>
        </w:rPr>
        <w:t xml:space="preserve">; </w:t>
      </w:r>
      <w:hyperlink w:anchor="motion-and-stability">
        <w:r>
          <w:rPr>
            <w:color w:val="000000"/>
          </w:rPr>
          <w:t xml:space="preserve">Motion and stability</w:t>
        </w:r>
      </w:hyperlink>
      <w:r>
        <w:rPr>
          <w:b w:val="0"/>
          <w:i w:val="0"/>
        </w:rPr>
        <w:t xml:space="preserve">; </w:t>
      </w:r>
      <w:hyperlink w:anchor="proteus">
        <w:r>
          <w:rPr>
            <w:color w:val="000000"/>
          </w:rPr>
          <w:t xml:space="preserve">Proteus</w:t>
        </w:r>
      </w:hyperlink>
      <w:r>
        <w:rPr>
          <w:b w:val="0"/>
          <w:i w:val="0"/>
        </w:rPr>
        <w:t xml:space="preserve">; </w:t>
      </w:r>
      <w:hyperlink w:anchor="seeds">
        <w:r>
          <w:rPr>
            <w:color w:val="000000"/>
          </w:rPr>
          <w:t xml:space="preserve">Seeds</w:t>
        </w:r>
      </w:hyperlink>
      <w:r>
        <w:rPr>
          <w:b w:val="0"/>
          <w:i w:val="0"/>
        </w:rPr>
        <w:t xml:space="preserve">; </w:t>
      </w:r>
      <w:hyperlink w:anchor="sowing-and-weaving">
        <w:r>
          <w:rPr>
            <w:color w:val="000000"/>
          </w:rPr>
          <w:t xml:space="preserve">Sowing and weaving</w:t>
        </w:r>
      </w:hyperlink>
      <w:r>
        <w:rPr>
          <w:b w:val="0"/>
          <w:i w:val="0"/>
        </w:rPr>
        <w:t xml:space="preserve">; </w:t>
      </w:r>
      <w:hyperlink w:anchor="striving-and-enjoyment">
        <w:r>
          <w:rPr>
            <w:color w:val="000000"/>
          </w:rPr>
          <w:t xml:space="preserve">Striving and enjoyment</w:t>
        </w:r>
      </w:hyperlink>
      <w:r>
        <w:rPr>
          <w:b w:val="0"/>
          <w:i w:val="0"/>
        </w:rPr>
        <w:t xml:space="preserve">. Vocabulary: </w:t>
      </w:r>
      <w:hyperlink w:anchor="latin-record-0160">
        <w:r>
          <w:rPr>
            <w:color w:val="000000"/>
          </w:rPr>
          <w:t xml:space="preserve">certo / certus</w:t>
        </w:r>
      </w:hyperlink>
      <w:r>
        <w:rPr>
          <w:b w:val="0"/>
          <w:i w:val="0"/>
        </w:rPr>
        <w:t xml:space="preserve">; </w:t>
      </w:r>
      <w:hyperlink w:anchor="latin-record-0178">
        <w:r>
          <w:rPr>
            <w:color w:val="000000"/>
          </w:rPr>
          <w:t xml:space="preserve">cognatus</w:t>
        </w:r>
      </w:hyperlink>
      <w:r>
        <w:rPr>
          <w:b w:val="0"/>
          <w:i w:val="0"/>
        </w:rPr>
        <w:t xml:space="preserve">; </w:t>
      </w:r>
      <w:hyperlink w:anchor="latin-record-0208">
        <w:r>
          <w:rPr>
            <w:color w:val="000000"/>
          </w:rPr>
          <w:t xml:space="preserve">complecti / comprehendere</w:t>
        </w:r>
      </w:hyperlink>
      <w:r>
        <w:rPr>
          <w:b w:val="0"/>
          <w:i w:val="0"/>
        </w:rPr>
        <w:t xml:space="preserve">; </w:t>
      </w:r>
      <w:hyperlink w:anchor="latin-record-0273">
        <w:r>
          <w:rPr>
            <w:color w:val="000000"/>
          </w:rPr>
          <w:t xml:space="preserve">convertere / reverti</w:t>
        </w:r>
      </w:hyperlink>
      <w:r>
        <w:rPr>
          <w:b w:val="0"/>
          <w:i w:val="0"/>
        </w:rPr>
        <w:t xml:space="preserve">; </w:t>
      </w:r>
      <w:hyperlink w:anchor="latin-record-0442">
        <w:r>
          <w:rPr>
            <w:color w:val="000000"/>
          </w:rPr>
          <w:t xml:space="preserve">ferre</w:t>
        </w:r>
      </w:hyperlink>
      <w:r>
        <w:rPr>
          <w:b w:val="0"/>
          <w:i w:val="0"/>
        </w:rPr>
        <w:t xml:space="preserve">; </w:t>
      </w:r>
      <w:hyperlink w:anchor="latin-record-0606">
        <w:r>
          <w:rPr>
            <w:color w:val="000000"/>
          </w:rPr>
          <w:t xml:space="preserve">intervallum / tempus primum</w:t>
        </w:r>
      </w:hyperlink>
      <w:r>
        <w:rPr>
          <w:b w:val="0"/>
          <w:i w:val="0"/>
        </w:rPr>
        <w:t xml:space="preserve">; </w:t>
      </w:r>
      <w:hyperlink w:anchor="latin-record-0763">
        <w:r>
          <w:rPr>
            <w:color w:val="000000"/>
          </w:rPr>
          <w:t xml:space="preserve">nixus / niti</w:t>
        </w:r>
      </w:hyperlink>
      <w:r>
        <w:rPr>
          <w:b w:val="0"/>
          <w:i w:val="0"/>
        </w:rPr>
        <w:t xml:space="preserve">; </w:t>
      </w:r>
      <w:hyperlink w:anchor="latin-record-1058">
        <w:r>
          <w:rPr>
            <w:color w:val="000000"/>
          </w:rPr>
          <w:t xml:space="preserve">retexere telam</w:t>
        </w:r>
      </w:hyperlink>
      <w:r>
        <w:rPr>
          <w:b w:val="0"/>
          <w:i w:val="0"/>
        </w:rPr>
        <w:t xml:space="preserve">; </w:t>
      </w:r>
      <w:hyperlink w:anchor="latin-record-1090">
        <w:r>
          <w:rPr>
            <w:color w:val="000000"/>
          </w:rPr>
          <w:t xml:space="preserve">senium / restitutio mundi</w:t>
        </w:r>
      </w:hyperlink>
      <w:r>
        <w:rPr>
          <w:b w:val="0"/>
          <w:i w:val="0"/>
        </w:rPr>
        <w:t>.</w:t>
      </w:r>
    </w:p>
    <w:p>
      <w:pPr>
        <w:widowControl/>
      </w:pPr>
      <w:bookmarkStart w:id="2110" w:name="passage-iv-2-13"/>
      <w:bookmarkEnd w:id="2110"/>
      <w:r>
        <w:rPr>
          <w:b/>
          <w:i w:val="0"/>
        </w:rPr>
        <w:t>IV.2.13</w:t>
      </w:r>
      <w:r>
        <w:rPr>
          <w:b/>
          <w:i w:val="0"/>
        </w:rPr>
        <w:t>, source pp. 340–341.</w:t>
      </w:r>
      <w:r>
        <w:rPr>
          <w:b w:val="0"/>
          <w:i w:val="0"/>
        </w:rPr>
        <w:t xml:space="preserve"> Articles: </w:t>
      </w:r>
      <w:hyperlink w:anchor="appetite-and-desire">
        <w:r>
          <w:rPr>
            <w:color w:val="000000"/>
          </w:rPr>
          <w:t xml:space="preserve">Appetite and desire</w:t>
        </w:r>
      </w:hyperlink>
      <w:r>
        <w:rPr>
          <w:b w:val="0"/>
          <w:i w:val="0"/>
        </w:rPr>
        <w:t xml:space="preserve">; </w:t>
      </w:r>
      <w:hyperlink w:anchor="carpenter-and-geometer">
        <w:r>
          <w:rPr>
            <w:color w:val="000000"/>
          </w:rPr>
          <w:t xml:space="preserve">Carpenter and geometer</w:t>
        </w:r>
      </w:hyperlink>
      <w:r>
        <w:rPr>
          <w:b w:val="0"/>
          <w:i w:val="0"/>
        </w:rPr>
        <w:t xml:space="preserve">; </w:t>
      </w:r>
      <w:hyperlink w:anchor="common-and-proper">
        <w:r>
          <w:rPr>
            <w:color w:val="000000"/>
          </w:rPr>
          <w:t xml:space="preserve">Common and proper</w:t>
        </w:r>
      </w:hyperlink>
      <w:r>
        <w:rPr>
          <w:b w:val="0"/>
          <w:i w:val="0"/>
        </w:rPr>
        <w:t xml:space="preserve">; </w:t>
      </w:r>
      <w:hyperlink w:anchor="euclid-and-the-lantern">
        <w:r>
          <w:rPr>
            <w:color w:val="000000"/>
          </w:rPr>
          <w:t xml:space="preserve">Euclid and the lantern</w:t>
        </w:r>
      </w:hyperlink>
      <w:r>
        <w:rPr>
          <w:b w:val="0"/>
          <w:i w:val="0"/>
        </w:rPr>
        <w:t xml:space="preserve">; </w:t>
      </w:r>
      <w:hyperlink w:anchor="fate">
        <w:r>
          <w:rPr>
            <w:color w:val="000000"/>
          </w:rPr>
          <w:t xml:space="preserve">Fate</w:t>
        </w:r>
      </w:hyperlink>
      <w:r>
        <w:rPr>
          <w:b w:val="0"/>
          <w:i w:val="0"/>
        </w:rPr>
        <w:t xml:space="preserve">; </w:t>
      </w:r>
      <w:hyperlink w:anchor="ideas-and-exemplars">
        <w:r>
          <w:rPr>
            <w:color w:val="000000"/>
          </w:rPr>
          <w:t xml:space="preserve">Ideas and exemplars</w:t>
        </w:r>
      </w:hyperlink>
      <w:r>
        <w:rPr>
          <w:b w:val="0"/>
          <w:i w:val="0"/>
        </w:rPr>
        <w:t xml:space="preserve">; </w:t>
      </w:r>
      <w:hyperlink w:anchor="proportion-and-analogy">
        <w:r>
          <w:rPr>
            <w:color w:val="000000"/>
          </w:rPr>
          <w:t xml:space="preserve">Proportion and analogy</w:t>
        </w:r>
      </w:hyperlink>
      <w:r>
        <w:rPr>
          <w:b w:val="0"/>
          <w:i w:val="0"/>
        </w:rPr>
        <w:t xml:space="preserve">; </w:t>
      </w:r>
      <w:hyperlink w:anchor="seeds">
        <w:r>
          <w:rPr>
            <w:color w:val="000000"/>
          </w:rPr>
          <w:t xml:space="preserve">Seeds</w:t>
        </w:r>
      </w:hyperlink>
      <w:r>
        <w:rPr>
          <w:b w:val="0"/>
          <w:i w:val="0"/>
        </w:rPr>
        <w:t xml:space="preserve">; </w:t>
      </w:r>
      <w:hyperlink w:anchor="sense-and-imagination">
        <w:r>
          <w:rPr>
            <w:color w:val="000000"/>
          </w:rPr>
          <w:t xml:space="preserve">Sense and imagination</w:t>
        </w:r>
      </w:hyperlink>
      <w:r>
        <w:rPr>
          <w:b w:val="0"/>
          <w:i w:val="0"/>
        </w:rPr>
        <w:t xml:space="preserve">. Vocabulary: </w:t>
      </w:r>
      <w:hyperlink w:anchor="latin-record-0011">
        <w:r>
          <w:rPr>
            <w:color w:val="000000"/>
          </w:rPr>
          <w:t xml:space="preserve">accipere — example and lantern</w:t>
        </w:r>
      </w:hyperlink>
      <w:r>
        <w:rPr>
          <w:b w:val="0"/>
          <w:i w:val="0"/>
        </w:rPr>
        <w:t xml:space="preserve">; </w:t>
      </w:r>
      <w:hyperlink w:anchor="latin-record-0389">
        <w:r>
          <w:rPr>
            <w:color w:val="000000"/>
          </w:rPr>
          <w:t xml:space="preserve">Euclides / Megara / Athenae / Socrates</w:t>
        </w:r>
      </w:hyperlink>
      <w:r>
        <w:rPr>
          <w:b w:val="0"/>
          <w:i w:val="0"/>
        </w:rPr>
        <w:t xml:space="preserve">; </w:t>
      </w:r>
      <w:hyperlink w:anchor="latin-record-0397">
        <w:r>
          <w:rPr>
            <w:color w:val="000000"/>
          </w:rPr>
          <w:t xml:space="preserve">exemplum / instar</w:t>
        </w:r>
      </w:hyperlink>
      <w:r>
        <w:rPr>
          <w:b w:val="0"/>
          <w:i w:val="0"/>
        </w:rPr>
        <w:t xml:space="preserve">; </w:t>
      </w:r>
      <w:hyperlink w:anchor="latin-record-0618">
        <w:r>
          <w:rPr>
            <w:color w:val="000000"/>
          </w:rPr>
          <w:t xml:space="preserve">iter / passus</w:t>
        </w:r>
      </w:hyperlink>
      <w:r>
        <w:rPr>
          <w:b w:val="0"/>
          <w:i w:val="0"/>
        </w:rPr>
        <w:t xml:space="preserve">; </w:t>
      </w:r>
      <w:hyperlink w:anchor="latin-record-0632">
        <w:r>
          <w:rPr>
            <w:color w:val="000000"/>
          </w:rPr>
          <w:t xml:space="preserve">laterna</w:t>
        </w:r>
      </w:hyperlink>
      <w:r>
        <w:rPr>
          <w:b w:val="0"/>
          <w:i w:val="0"/>
        </w:rPr>
        <w:t xml:space="preserve">; </w:t>
      </w:r>
      <w:hyperlink w:anchor="latin-record-0914">
        <w:r>
          <w:rPr>
            <w:color w:val="000000"/>
          </w:rPr>
          <w:t xml:space="preserve">praescribere / designare</w:t>
        </w:r>
      </w:hyperlink>
      <w:r>
        <w:rPr>
          <w:b w:val="0"/>
          <w:i w:val="0"/>
        </w:rPr>
        <w:t>.</w:t>
      </w:r>
    </w:p>
    <w:p>
      <w:pPr>
        <w:widowControl/>
      </w:pPr>
      <w:bookmarkStart w:id="2111" w:name="passage-iv-2-14"/>
      <w:bookmarkEnd w:id="2111"/>
      <w:r>
        <w:rPr>
          <w:b/>
          <w:i w:val="0"/>
        </w:rPr>
        <w:t>IV.2.14</w:t>
      </w:r>
      <w:r>
        <w:rPr>
          <w:b/>
          <w:i w:val="0"/>
        </w:rPr>
        <w:t>, source pp. 340–341.</w:t>
      </w:r>
      <w:r>
        <w:rPr>
          <w:b w:val="0"/>
          <w:i w:val="0"/>
        </w:rPr>
        <w:t xml:space="preserve"> Articles: </w:t>
      </w:r>
      <w:hyperlink w:anchor="appetite-and-desire">
        <w:r>
          <w:rPr>
            <w:color w:val="000000"/>
          </w:rPr>
          <w:t xml:space="preserve">Appetite and desire</w:t>
        </w:r>
      </w:hyperlink>
      <w:r>
        <w:rPr>
          <w:b w:val="0"/>
          <w:i w:val="0"/>
        </w:rPr>
        <w:t xml:space="preserve">; </w:t>
      </w:r>
      <w:hyperlink w:anchor="carpenter-and-geometer">
        <w:r>
          <w:rPr>
            <w:color w:val="000000"/>
          </w:rPr>
          <w:t xml:space="preserve">Carpenter and geometer</w:t>
        </w:r>
      </w:hyperlink>
      <w:r>
        <w:rPr>
          <w:b w:val="0"/>
          <w:i w:val="0"/>
        </w:rPr>
        <w:t xml:space="preserve">; </w:t>
      </w:r>
      <w:hyperlink w:anchor="common-and-proper">
        <w:r>
          <w:rPr>
            <w:color w:val="000000"/>
          </w:rPr>
          <w:t xml:space="preserve">Common and proper</w:t>
        </w:r>
      </w:hyperlink>
      <w:r>
        <w:rPr>
          <w:b w:val="0"/>
          <w:i w:val="0"/>
        </w:rPr>
        <w:t xml:space="preserve">; </w:t>
      </w:r>
      <w:hyperlink w:anchor="euclid-and-the-lantern">
        <w:r>
          <w:rPr>
            <w:color w:val="000000"/>
          </w:rPr>
          <w:t xml:space="preserve">Euclid and the lantern</w:t>
        </w:r>
      </w:hyperlink>
      <w:r>
        <w:rPr>
          <w:b w:val="0"/>
          <w:i w:val="0"/>
        </w:rPr>
        <w:t xml:space="preserve">; </w:t>
      </w:r>
      <w:hyperlink w:anchor="fate">
        <w:r>
          <w:rPr>
            <w:color w:val="000000"/>
          </w:rPr>
          <w:t xml:space="preserve">Fate</w:t>
        </w:r>
      </w:hyperlink>
      <w:r>
        <w:rPr>
          <w:b w:val="0"/>
          <w:i w:val="0"/>
        </w:rPr>
        <w:t xml:space="preserve">; </w:t>
      </w:r>
      <w:hyperlink w:anchor="ideas-and-exemplars">
        <w:r>
          <w:rPr>
            <w:color w:val="000000"/>
          </w:rPr>
          <w:t xml:space="preserve">Ideas and exemplars</w:t>
        </w:r>
      </w:hyperlink>
      <w:r>
        <w:rPr>
          <w:b w:val="0"/>
          <w:i w:val="0"/>
        </w:rPr>
        <w:t xml:space="preserve">; </w:t>
      </w:r>
      <w:hyperlink w:anchor="proportion-and-analogy">
        <w:r>
          <w:rPr>
            <w:color w:val="000000"/>
          </w:rPr>
          <w:t xml:space="preserve">Proportion and analogy</w:t>
        </w:r>
      </w:hyperlink>
      <w:r>
        <w:rPr>
          <w:b w:val="0"/>
          <w:i w:val="0"/>
        </w:rPr>
        <w:t xml:space="preserve">; </w:t>
      </w:r>
      <w:hyperlink w:anchor="seeds">
        <w:r>
          <w:rPr>
            <w:color w:val="000000"/>
          </w:rPr>
          <w:t xml:space="preserve">Seeds</w:t>
        </w:r>
      </w:hyperlink>
      <w:r>
        <w:rPr>
          <w:b w:val="0"/>
          <w:i w:val="0"/>
        </w:rPr>
        <w:t xml:space="preserve">; </w:t>
      </w:r>
      <w:hyperlink w:anchor="sense-and-imagination">
        <w:r>
          <w:rPr>
            <w:color w:val="000000"/>
          </w:rPr>
          <w:t xml:space="preserve">Sense and imagination</w:t>
        </w:r>
      </w:hyperlink>
      <w:r>
        <w:rPr>
          <w:b w:val="0"/>
          <w:i w:val="0"/>
        </w:rPr>
        <w:t xml:space="preserve">. Vocabulary: </w:t>
      </w:r>
      <w:hyperlink w:anchor="latin-record-0252">
        <w:r>
          <w:rPr>
            <w:color w:val="000000"/>
          </w:rPr>
          <w:t xml:space="preserve">consilium / propositum</w:t>
        </w:r>
      </w:hyperlink>
      <w:r>
        <w:rPr>
          <w:b w:val="0"/>
          <w:i w:val="0"/>
        </w:rPr>
        <w:t xml:space="preserve">; </w:t>
      </w:r>
      <w:hyperlink w:anchor="latin-record-0369">
        <w:r>
          <w:rPr>
            <w:color w:val="000000"/>
          </w:rPr>
          <w:t xml:space="preserve">eligere / peragere</w:t>
        </w:r>
      </w:hyperlink>
      <w:r>
        <w:rPr>
          <w:b w:val="0"/>
          <w:i w:val="0"/>
        </w:rPr>
        <w:t xml:space="preserve">; </w:t>
      </w:r>
      <w:hyperlink w:anchor="latin-record-0600">
        <w:r>
          <w:rPr>
            <w:color w:val="000000"/>
          </w:rPr>
          <w:t xml:space="preserve">intercedere</w:t>
        </w:r>
      </w:hyperlink>
      <w:r>
        <w:rPr>
          <w:b w:val="0"/>
          <w:i w:val="0"/>
        </w:rPr>
        <w:t xml:space="preserve">; </w:t>
      </w:r>
      <w:hyperlink w:anchor="latin-record-0618">
        <w:r>
          <w:rPr>
            <w:color w:val="000000"/>
          </w:rPr>
          <w:t xml:space="preserve">iter / passus</w:t>
        </w:r>
      </w:hyperlink>
      <w:r>
        <w:rPr>
          <w:b w:val="0"/>
          <w:i w:val="0"/>
        </w:rPr>
        <w:t xml:space="preserve">; </w:t>
      </w:r>
      <w:hyperlink w:anchor="latin-record-0632">
        <w:r>
          <w:rPr>
            <w:color w:val="000000"/>
          </w:rPr>
          <w:t xml:space="preserve">laterna</w:t>
        </w:r>
      </w:hyperlink>
      <w:r>
        <w:rPr>
          <w:b w:val="0"/>
          <w:i w:val="0"/>
        </w:rPr>
        <w:t xml:space="preserve">; </w:t>
      </w:r>
      <w:hyperlink w:anchor="latin-record-0914">
        <w:r>
          <w:rPr>
            <w:color w:val="000000"/>
          </w:rPr>
          <w:t xml:space="preserve">praescribere / designare</w:t>
        </w:r>
      </w:hyperlink>
      <w:r>
        <w:rPr>
          <w:b w:val="0"/>
          <w:i w:val="0"/>
        </w:rPr>
        <w:t xml:space="preserve">; </w:t>
      </w:r>
      <w:hyperlink w:anchor="latin-record-0960">
        <w:r>
          <w:rPr>
            <w:color w:val="000000"/>
          </w:rPr>
          <w:t xml:space="preserve">propositum / institutum</w:t>
        </w:r>
      </w:hyperlink>
      <w:r>
        <w:rPr>
          <w:b w:val="0"/>
          <w:i w:val="0"/>
        </w:rPr>
        <w:t>.</w:t>
      </w:r>
    </w:p>
    <w:p>
      <w:pPr>
        <w:widowControl/>
      </w:pPr>
      <w:bookmarkStart w:id="2112" w:name="passage-iv-2-15"/>
      <w:bookmarkEnd w:id="2112"/>
      <w:r>
        <w:rPr>
          <w:b/>
          <w:i w:val="0"/>
        </w:rPr>
        <w:t>IV.2.15</w:t>
      </w:r>
      <w:r>
        <w:rPr>
          <w:b/>
          <w:i w:val="0"/>
        </w:rPr>
        <w:t>, source pp. 342–343.</w:t>
      </w:r>
      <w:r>
        <w:rPr>
          <w:b w:val="0"/>
          <w:i w:val="0"/>
        </w:rPr>
        <w:t xml:space="preserve"> Articles: </w:t>
      </w:r>
      <w:hyperlink w:anchor="affect">
        <w:r>
          <w:rPr>
            <w:color w:val="000000"/>
          </w:rPr>
          <w:t xml:space="preserve">Affect</w:t>
        </w:r>
      </w:hyperlink>
      <w:r>
        <w:rPr>
          <w:b w:val="0"/>
          <w:i w:val="0"/>
        </w:rPr>
        <w:t xml:space="preserve">; </w:t>
      </w:r>
      <w:hyperlink w:anchor="appetite-and-desire">
        <w:r>
          <w:rPr>
            <w:color w:val="000000"/>
          </w:rPr>
          <w:t xml:space="preserve">Appetite and desire</w:t>
        </w:r>
      </w:hyperlink>
      <w:r>
        <w:rPr>
          <w:b w:val="0"/>
          <w:i w:val="0"/>
        </w:rPr>
        <w:t xml:space="preserve">; </w:t>
      </w:r>
      <w:hyperlink w:anchor="artifact-and-natural-work">
        <w:r>
          <w:rPr>
            <w:color w:val="000000"/>
          </w:rPr>
          <w:t xml:space="preserve">Artifact and natural work</w:t>
        </w:r>
      </w:hyperlink>
      <w:r>
        <w:rPr>
          <w:b w:val="0"/>
          <w:i w:val="0"/>
        </w:rPr>
        <w:t xml:space="preserve">; </w:t>
      </w:r>
      <w:hyperlink w:anchor="carpenter-and-geometer">
        <w:r>
          <w:rPr>
            <w:color w:val="000000"/>
          </w:rPr>
          <w:t xml:space="preserve">Carpenter and geometer</w:t>
        </w:r>
      </w:hyperlink>
      <w:r>
        <w:rPr>
          <w:b w:val="0"/>
          <w:i w:val="0"/>
        </w:rPr>
        <w:t xml:space="preserve">; </w:t>
      </w:r>
      <w:hyperlink w:anchor="common-and-proper">
        <w:r>
          <w:rPr>
            <w:color w:val="000000"/>
          </w:rPr>
          <w:t xml:space="preserve">Common and proper</w:t>
        </w:r>
      </w:hyperlink>
      <w:r>
        <w:rPr>
          <w:b w:val="0"/>
          <w:i w:val="0"/>
        </w:rPr>
        <w:t xml:space="preserve">; </w:t>
      </w:r>
      <w:hyperlink w:anchor="contraction-and-determination">
        <w:r>
          <w:rPr>
            <w:color w:val="000000"/>
          </w:rPr>
          <w:t xml:space="preserve">Contraction and determination</w:t>
        </w:r>
      </w:hyperlink>
      <w:r>
        <w:rPr>
          <w:b w:val="0"/>
          <w:i w:val="0"/>
        </w:rPr>
        <w:t xml:space="preserve">; </w:t>
      </w:r>
      <w:hyperlink w:anchor="euclid-and-the-lantern">
        <w:r>
          <w:rPr>
            <w:color w:val="000000"/>
          </w:rPr>
          <w:t xml:space="preserve">Euclid and the lantern</w:t>
        </w:r>
      </w:hyperlink>
      <w:r>
        <w:rPr>
          <w:b w:val="0"/>
          <w:i w:val="0"/>
        </w:rPr>
        <w:t xml:space="preserve">; </w:t>
      </w:r>
      <w:hyperlink w:anchor="fate">
        <w:r>
          <w:rPr>
            <w:color w:val="000000"/>
          </w:rPr>
          <w:t xml:space="preserve">Fate</w:t>
        </w:r>
      </w:hyperlink>
      <w:r>
        <w:rPr>
          <w:b w:val="0"/>
          <w:i w:val="0"/>
        </w:rPr>
        <w:t xml:space="preserve">;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w:t>
      </w:r>
      <w:hyperlink w:anchor="proportion-and-analogy">
        <w:r>
          <w:rPr>
            <w:color w:val="000000"/>
          </w:rPr>
          <w:t xml:space="preserve">Proportion and analogy</w:t>
        </w:r>
      </w:hyperlink>
      <w:r>
        <w:rPr>
          <w:b w:val="0"/>
          <w:i w:val="0"/>
        </w:rPr>
        <w:t xml:space="preserve">; </w:t>
      </w:r>
      <w:hyperlink w:anchor="seeds">
        <w:r>
          <w:rPr>
            <w:color w:val="000000"/>
          </w:rPr>
          <w:t xml:space="preserve">Seeds</w:t>
        </w:r>
      </w:hyperlink>
      <w:r>
        <w:rPr>
          <w:b w:val="0"/>
          <w:i w:val="0"/>
        </w:rPr>
        <w:t xml:space="preserve">; </w:t>
      </w:r>
      <w:hyperlink w:anchor="sense-and-imagination">
        <w:r>
          <w:rPr>
            <w:color w:val="000000"/>
          </w:rPr>
          <w:t xml:space="preserve">Sense and imagination</w:t>
        </w:r>
      </w:hyperlink>
      <w:r>
        <w:rPr>
          <w:b w:val="0"/>
          <w:i w:val="0"/>
        </w:rPr>
        <w:t xml:space="preserve">; </w:t>
      </w:r>
      <w:hyperlink w:anchor="sowing-and-weaving">
        <w:r>
          <w:rPr>
            <w:color w:val="000000"/>
          </w:rPr>
          <w:t xml:space="preserve">Sowing and weaving</w:t>
        </w:r>
      </w:hyperlink>
      <w:r>
        <w:rPr>
          <w:b w:val="0"/>
          <w:i w:val="0"/>
        </w:rPr>
        <w:t xml:space="preserve">. Vocabulary: </w:t>
      </w:r>
      <w:hyperlink w:anchor="latin-record-0529">
        <w:r>
          <w:rPr>
            <w:color w:val="000000"/>
          </w:rPr>
          <w:t xml:space="preserve">imitatio / imitari</w:t>
        </w:r>
      </w:hyperlink>
      <w:r>
        <w:rPr>
          <w:b w:val="0"/>
          <w:i w:val="0"/>
        </w:rPr>
        <w:t xml:space="preserve">; </w:t>
      </w:r>
      <w:hyperlink w:anchor="latin-record-0909">
        <w:r>
          <w:rPr>
            <w:color w:val="000000"/>
          </w:rPr>
          <w:t xml:space="preserve">praeparare / offerre</w:t>
        </w:r>
      </w:hyperlink>
      <w:r>
        <w:rPr>
          <w:b w:val="0"/>
          <w:i w:val="0"/>
        </w:rPr>
        <w:t xml:space="preserve">; </w:t>
      </w:r>
      <w:hyperlink w:anchor="latin-record-0950">
        <w:r>
          <w:rPr>
            <w:color w:val="000000"/>
          </w:rPr>
          <w:t xml:space="preserve">promere / praevalere</w:t>
        </w:r>
      </w:hyperlink>
      <w:r>
        <w:rPr>
          <w:b w:val="0"/>
          <w:i w:val="0"/>
        </w:rPr>
        <w:t xml:space="preserve">; </w:t>
      </w:r>
      <w:hyperlink w:anchor="latin-record-1097">
        <w:r>
          <w:rPr>
            <w:color w:val="000000"/>
          </w:rPr>
          <w:t xml:space="preserve">serere / parere / explicare</w:t>
        </w:r>
      </w:hyperlink>
      <w:r>
        <w:rPr>
          <w:b w:val="0"/>
          <w:i w:val="0"/>
        </w:rPr>
        <w:t>.</w:t>
      </w:r>
    </w:p>
    <w:p>
      <w:pPr>
        <w:widowControl/>
      </w:pPr>
      <w:bookmarkStart w:id="2113" w:name="passage-iv-2-16"/>
      <w:bookmarkEnd w:id="2113"/>
      <w:r>
        <w:rPr>
          <w:b/>
          <w:i w:val="0"/>
        </w:rPr>
        <w:t>IV.2.16</w:t>
      </w:r>
      <w:r>
        <w:rPr>
          <w:b/>
          <w:i w:val="0"/>
        </w:rPr>
        <w:t>, source pp. 342–343.</w:t>
      </w:r>
      <w:r>
        <w:rPr>
          <w:b w:val="0"/>
          <w:i w:val="0"/>
        </w:rPr>
        <w:t xml:space="preserve"> Articles: </w:t>
      </w:r>
      <w:hyperlink w:anchor="affect">
        <w:r>
          <w:rPr>
            <w:color w:val="000000"/>
          </w:rPr>
          <w:t xml:space="preserve">Affect</w:t>
        </w:r>
      </w:hyperlink>
      <w:r>
        <w:rPr>
          <w:b w:val="0"/>
          <w:i w:val="0"/>
        </w:rPr>
        <w:t xml:space="preserve">; </w:t>
      </w:r>
      <w:hyperlink w:anchor="appetite-and-desire">
        <w:r>
          <w:rPr>
            <w:color w:val="000000"/>
          </w:rPr>
          <w:t xml:space="preserve">Appetite and desire</w:t>
        </w:r>
      </w:hyperlink>
      <w:r>
        <w:rPr>
          <w:b w:val="0"/>
          <w:i w:val="0"/>
        </w:rPr>
        <w:t xml:space="preserve">; </w:t>
      </w:r>
      <w:hyperlink w:anchor="euclid-and-the-lantern">
        <w:r>
          <w:rPr>
            <w:color w:val="000000"/>
          </w:rPr>
          <w:t xml:space="preserve">Euclid and the lantern</w:t>
        </w:r>
      </w:hyperlink>
      <w:r>
        <w:rPr>
          <w:b w:val="0"/>
          <w:i w:val="0"/>
        </w:rPr>
        <w:t xml:space="preserve">; </w:t>
      </w:r>
      <w:hyperlink w:anchor="fate">
        <w:r>
          <w:rPr>
            <w:color w:val="000000"/>
          </w:rPr>
          <w:t xml:space="preserve">Fate</w:t>
        </w:r>
      </w:hyperlink>
      <w:r>
        <w:rPr>
          <w:b w:val="0"/>
          <w:i w:val="0"/>
        </w:rPr>
        <w:t xml:space="preserve">; </w:t>
      </w:r>
      <w:hyperlink w:anchor="proportion-and-analogy">
        <w:r>
          <w:rPr>
            <w:color w:val="000000"/>
          </w:rPr>
          <w:t xml:space="preserve">Proportion and analogy</w:t>
        </w:r>
      </w:hyperlink>
      <w:r>
        <w:rPr>
          <w:b w:val="0"/>
          <w:i w:val="0"/>
        </w:rPr>
        <w:t xml:space="preserve">; </w:t>
      </w:r>
      <w:hyperlink w:anchor="seeds">
        <w:r>
          <w:rPr>
            <w:color w:val="000000"/>
          </w:rPr>
          <w:t xml:space="preserve">Seeds</w:t>
        </w:r>
      </w:hyperlink>
      <w:r>
        <w:rPr>
          <w:b w:val="0"/>
          <w:i w:val="0"/>
        </w:rPr>
        <w:t xml:space="preserve">; </w:t>
      </w:r>
      <w:hyperlink w:anchor="sense-and-imagination">
        <w:r>
          <w:rPr>
            <w:color w:val="000000"/>
          </w:rPr>
          <w:t xml:space="preserve">Sense and imagination</w:t>
        </w:r>
      </w:hyperlink>
      <w:r>
        <w:rPr>
          <w:b w:val="0"/>
          <w:i w:val="0"/>
        </w:rPr>
        <w:t xml:space="preserve">; </w:t>
      </w:r>
      <w:hyperlink w:anchor="sowing-and-weaving">
        <w:r>
          <w:rPr>
            <w:color w:val="000000"/>
          </w:rPr>
          <w:t xml:space="preserve">Sowing and weaving</w:t>
        </w:r>
      </w:hyperlink>
      <w:r>
        <w:rPr>
          <w:b w:val="0"/>
          <w:i w:val="0"/>
        </w:rPr>
        <w:t xml:space="preserve">; </w:t>
      </w:r>
      <w:hyperlink w:anchor="spirit">
        <w:r>
          <w:rPr>
            <w:color w:val="000000"/>
          </w:rPr>
          <w:t xml:space="preserve">Spirit</w:t>
        </w:r>
      </w:hyperlink>
      <w:r>
        <w:rPr>
          <w:b w:val="0"/>
          <w:i w:val="0"/>
        </w:rPr>
        <w:t xml:space="preserve">. Vocabulary: </w:t>
      </w:r>
      <w:hyperlink w:anchor="latin-record-0516">
        <w:r>
          <w:rPr>
            <w:color w:val="000000"/>
          </w:rPr>
          <w:t xml:space="preserve">humor / humores</w:t>
        </w:r>
      </w:hyperlink>
      <w:r>
        <w:rPr>
          <w:b w:val="0"/>
          <w:i w:val="0"/>
        </w:rPr>
        <w:t xml:space="preserve">; </w:t>
      </w:r>
      <w:hyperlink w:anchor="latin-record-0638">
        <w:r>
          <w:rPr>
            <w:color w:val="000000"/>
          </w:rPr>
          <w:t xml:space="preserve">lex</w:t>
        </w:r>
      </w:hyperlink>
      <w:r>
        <w:rPr>
          <w:b w:val="0"/>
          <w:i w:val="0"/>
        </w:rPr>
        <w:t xml:space="preserve">; </w:t>
      </w:r>
      <w:hyperlink w:anchor="latin-record-0772">
        <w:r>
          <w:rPr>
            <w:color w:val="000000"/>
          </w:rPr>
          <w:t xml:space="preserve">novus / varius</w:t>
        </w:r>
      </w:hyperlink>
      <w:r>
        <w:rPr>
          <w:b w:val="0"/>
          <w:i w:val="0"/>
        </w:rPr>
        <w:t xml:space="preserve">; </w:t>
      </w:r>
      <w:hyperlink w:anchor="latin-record-1099">
        <w:r>
          <w:rPr>
            <w:color w:val="000000"/>
          </w:rPr>
          <w:t xml:space="preserve">series successionis</w:t>
        </w:r>
      </w:hyperlink>
      <w:r>
        <w:rPr>
          <w:b w:val="0"/>
          <w:i w:val="0"/>
        </w:rPr>
        <w:t xml:space="preserve">; </w:t>
      </w:r>
      <w:hyperlink w:anchor="latin-record-1252">
        <w:r>
          <w:rPr>
            <w:color w:val="000000"/>
          </w:rPr>
          <w:t xml:space="preserve">vibrare / affectio</w:t>
        </w:r>
      </w:hyperlink>
      <w:r>
        <w:rPr>
          <w:b w:val="0"/>
          <w:i w:val="0"/>
        </w:rPr>
        <w:t>.</w:t>
      </w:r>
    </w:p>
    <w:p>
      <w:pPr>
        <w:widowControl/>
      </w:pPr>
      <w:bookmarkStart w:id="2114" w:name="passage-iv-2-17"/>
      <w:bookmarkEnd w:id="2114"/>
      <w:r>
        <w:rPr>
          <w:b/>
          <w:i w:val="0"/>
        </w:rPr>
        <w:t>IV.2.17</w:t>
      </w:r>
      <w:r>
        <w:rPr>
          <w:b/>
          <w:i w:val="0"/>
        </w:rPr>
        <w:t>, source pp. 342–343.</w:t>
      </w:r>
      <w:r>
        <w:rPr>
          <w:b w:val="0"/>
          <w:i w:val="0"/>
        </w:rPr>
        <w:t xml:space="preserve"> Articles: </w:t>
      </w:r>
      <w:hyperlink w:anchor="affect">
        <w:r>
          <w:rPr>
            <w:color w:val="000000"/>
          </w:rPr>
          <w:t xml:space="preserve">Affect</w:t>
        </w:r>
      </w:hyperlink>
      <w:r>
        <w:rPr>
          <w:b w:val="0"/>
          <w:i w:val="0"/>
        </w:rPr>
        <w:t xml:space="preserve">; </w:t>
      </w:r>
      <w:hyperlink w:anchor="fate">
        <w:r>
          <w:rPr>
            <w:color w:val="000000"/>
          </w:rPr>
          <w:t xml:space="preserve">Fate</w:t>
        </w:r>
      </w:hyperlink>
      <w:r>
        <w:rPr>
          <w:b w:val="0"/>
          <w:i w:val="0"/>
        </w:rPr>
        <w:t xml:space="preserve">. Vocabulary: </w:t>
      </w:r>
      <w:hyperlink w:anchor="latin-record-1138">
        <w:r>
          <w:rPr>
            <w:color w:val="000000"/>
          </w:rPr>
          <w:t xml:space="preserve">stabilis causa / opus</w:t>
        </w:r>
      </w:hyperlink>
      <w:r>
        <w:rPr>
          <w:b w:val="0"/>
          <w:i w:val="0"/>
        </w:rPr>
        <w:t>.</w:t>
      </w:r>
    </w:p>
    <w:p>
      <w:pPr>
        <w:widowControl/>
      </w:pPr>
      <w:bookmarkStart w:id="2115" w:name="passage-iv-2-18"/>
      <w:bookmarkEnd w:id="2115"/>
      <w:r>
        <w:rPr>
          <w:b/>
          <w:i w:val="0"/>
        </w:rPr>
        <w:t>IV.2.18</w:t>
      </w:r>
      <w:r>
        <w:rPr>
          <w:b/>
          <w:i w:val="0"/>
        </w:rPr>
        <w:t>, source pp. 342–343.</w:t>
      </w:r>
      <w:r>
        <w:rPr>
          <w:b w:val="0"/>
          <w:i w:val="0"/>
        </w:rPr>
        <w:t xml:space="preserve"> Articles: </w:t>
      </w:r>
      <w:hyperlink w:anchor="affect">
        <w:r>
          <w:rPr>
            <w:color w:val="000000"/>
          </w:rPr>
          <w:t xml:space="preserve">Affect</w:t>
        </w:r>
      </w:hyperlink>
      <w:r>
        <w:rPr>
          <w:b w:val="0"/>
          <w:i w:val="0"/>
        </w:rPr>
        <w:t xml:space="preserve">; </w:t>
      </w:r>
      <w:hyperlink w:anchor="end-and-limit">
        <w:r>
          <w:rPr>
            <w:color w:val="000000"/>
          </w:rPr>
          <w:t xml:space="preserve">End and limit</w:t>
        </w:r>
      </w:hyperlink>
      <w:r>
        <w:rPr>
          <w:b w:val="0"/>
          <w:i w:val="0"/>
        </w:rPr>
        <w:t xml:space="preserve">; </w:t>
      </w:r>
      <w:hyperlink w:anchor="motion-and-stability">
        <w:r>
          <w:rPr>
            <w:color w:val="000000"/>
          </w:rPr>
          <w:t xml:space="preserve">Motion and stability</w:t>
        </w:r>
      </w:hyperlink>
      <w:r>
        <w:rPr>
          <w:b w:val="0"/>
          <w:i w:val="0"/>
        </w:rPr>
        <w:t xml:space="preserve">; </w:t>
      </w:r>
      <w:hyperlink w:anchor="weariness-and-agility">
        <w:r>
          <w:rPr>
            <w:color w:val="000000"/>
          </w:rPr>
          <w:t xml:space="preserve">Weariness and agility</w:t>
        </w:r>
      </w:hyperlink>
      <w:r>
        <w:rPr>
          <w:b w:val="0"/>
          <w:i w:val="0"/>
        </w:rPr>
        <w:t xml:space="preserve">. Vocabulary: </w:t>
      </w:r>
      <w:hyperlink w:anchor="latin-record-0434">
        <w:r>
          <w:rPr>
            <w:color w:val="000000"/>
          </w:rPr>
          <w:t xml:space="preserve">fatigare</w:t>
        </w:r>
      </w:hyperlink>
      <w:r>
        <w:rPr>
          <w:b w:val="0"/>
          <w:i w:val="0"/>
        </w:rPr>
        <w:t xml:space="preserve">; </w:t>
      </w:r>
      <w:hyperlink w:anchor="latin-record-0559">
        <w:r>
          <w:rPr>
            <w:color w:val="000000"/>
          </w:rPr>
          <w:t xml:space="preserve">ineptus / agilis</w:t>
        </w:r>
      </w:hyperlink>
      <w:r>
        <w:rPr>
          <w:b w:val="0"/>
          <w:i w:val="0"/>
        </w:rPr>
        <w:t>.</w:t>
      </w:r>
    </w:p>
    <w:p>
      <w:pPr>
        <w:widowControl/>
      </w:pPr>
      <w:bookmarkStart w:id="2116" w:name="passage-iv-2-19"/>
      <w:bookmarkEnd w:id="2116"/>
      <w:r>
        <w:rPr>
          <w:b/>
          <w:i w:val="0"/>
        </w:rPr>
        <w:t>IV.2.19</w:t>
      </w:r>
      <w:r>
        <w:rPr>
          <w:b/>
          <w:i w:val="0"/>
        </w:rPr>
        <w:t>, source pp. 344–345.</w:t>
      </w:r>
      <w:r>
        <w:rPr>
          <w:b w:val="0"/>
          <w:i w:val="0"/>
        </w:rPr>
        <w:t xml:space="preserve"> Articles: </w:t>
      </w:r>
      <w:hyperlink w:anchor="act-and-operation">
        <w:r>
          <w:rPr>
            <w:color w:val="000000"/>
          </w:rPr>
          <w:t xml:space="preserve">Act and operation</w:t>
        </w:r>
      </w:hyperlink>
      <w:r>
        <w:rPr>
          <w:b w:val="0"/>
          <w:i w:val="0"/>
        </w:rPr>
        <w:t xml:space="preserve">; </w:t>
      </w:r>
      <w:hyperlink w:anchor="earth-as-mother">
        <w:r>
          <w:rPr>
            <w:color w:val="000000"/>
          </w:rPr>
          <w:t xml:space="preserve">Earth as mother</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matter">
        <w:r>
          <w:rPr>
            <w:color w:val="000000"/>
          </w:rPr>
          <w:t xml:space="preserve">Matter</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weariness-and-agility">
        <w:r>
          <w:rPr>
            <w:color w:val="000000"/>
          </w:rPr>
          <w:t xml:space="preserve">Weariness and agility</w:t>
        </w:r>
      </w:hyperlink>
      <w:r>
        <w:rPr>
          <w:b w:val="0"/>
          <w:i w:val="0"/>
        </w:rPr>
        <w:t xml:space="preserve">. Vocabulary: </w:t>
      </w:r>
      <w:hyperlink w:anchor="latin-record-0115">
        <w:r>
          <w:rPr>
            <w:color w:val="000000"/>
          </w:rPr>
          <w:t xml:space="preserve">aura / viscera / quassare</w:t>
        </w:r>
      </w:hyperlink>
      <w:r>
        <w:rPr>
          <w:b w:val="0"/>
          <w:i w:val="0"/>
        </w:rPr>
        <w:t xml:space="preserve">; </w:t>
      </w:r>
      <w:hyperlink w:anchor="latin-record-0173">
        <w:r>
          <w:rPr>
            <w:color w:val="000000"/>
          </w:rPr>
          <w:t xml:space="preserve">cogere / compellere</w:t>
        </w:r>
      </w:hyperlink>
      <w:r>
        <w:rPr>
          <w:b w:val="0"/>
          <w:i w:val="0"/>
        </w:rPr>
        <w:t xml:space="preserve">; </w:t>
      </w:r>
      <w:hyperlink w:anchor="latin-record-0232">
        <w:r>
          <w:rPr>
            <w:color w:val="000000"/>
          </w:rPr>
          <w:t xml:space="preserve">conferre / conducere</w:t>
        </w:r>
      </w:hyperlink>
      <w:r>
        <w:rPr>
          <w:b w:val="0"/>
          <w:i w:val="0"/>
        </w:rPr>
        <w:t xml:space="preserve">; </w:t>
      </w:r>
      <w:hyperlink w:anchor="latin-record-0425">
        <w:r>
          <w:rPr>
            <w:color w:val="000000"/>
          </w:rPr>
          <w:t xml:space="preserve">facile / difficilis</w:t>
        </w:r>
      </w:hyperlink>
      <w:r>
        <w:rPr>
          <w:b w:val="0"/>
          <w:i w:val="0"/>
        </w:rPr>
        <w:t xml:space="preserve">; </w:t>
      </w:r>
      <w:hyperlink w:anchor="latin-record-0703">
        <w:r>
          <w:rPr>
            <w:color w:val="000000"/>
          </w:rPr>
          <w:t xml:space="preserve">mirari / mirabilis</w:t>
        </w:r>
      </w:hyperlink>
      <w:r>
        <w:rPr>
          <w:b w:val="0"/>
          <w:i w:val="0"/>
        </w:rPr>
        <w:t xml:space="preserve">; </w:t>
      </w:r>
      <w:hyperlink w:anchor="latin-record-0840">
        <w:r>
          <w:rPr>
            <w:color w:val="000000"/>
          </w:rPr>
          <w:t xml:space="preserve">pati / passivus</w:t>
        </w:r>
      </w:hyperlink>
      <w:r>
        <w:rPr>
          <w:b w:val="0"/>
          <w:i w:val="0"/>
        </w:rPr>
        <w:t xml:space="preserve">; </w:t>
      </w:r>
      <w:hyperlink w:anchor="latin-record-0941">
        <w:r>
          <w:rPr>
            <w:color w:val="000000"/>
          </w:rPr>
          <w:t xml:space="preserve">proclivitas / efficacia</w:t>
        </w:r>
      </w:hyperlink>
      <w:r>
        <w:rPr>
          <w:b w:val="0"/>
          <w:i w:val="0"/>
        </w:rPr>
        <w:t>.</w:t>
      </w:r>
    </w:p>
    <w:p>
      <w:pPr>
        <w:widowControl/>
      </w:pPr>
      <w:bookmarkStart w:id="2117" w:name="passage-iv-2-20"/>
      <w:bookmarkEnd w:id="2117"/>
      <w:r>
        <w:rPr>
          <w:b/>
          <w:i w:val="0"/>
        </w:rPr>
        <w:t>IV.2.20</w:t>
      </w:r>
      <w:r>
        <w:rPr>
          <w:b/>
          <w:i w:val="0"/>
        </w:rPr>
        <w:t>, source pp. 344–345.</w:t>
      </w:r>
      <w:r>
        <w:rPr>
          <w:b w:val="0"/>
          <w:i w:val="0"/>
        </w:rPr>
        <w:t xml:space="preserve"> Articles: </w:t>
      </w:r>
      <w:hyperlink w:anchor="appetite-and-desire">
        <w:r>
          <w:rPr>
            <w:color w:val="000000"/>
          </w:rPr>
          <w:t xml:space="preserve">Appetite and desire</w:t>
        </w:r>
      </w:hyperlink>
      <w:r>
        <w:rPr>
          <w:b w:val="0"/>
          <w:i w:val="0"/>
        </w:rPr>
        <w:t xml:space="preserve">; </w:t>
      </w:r>
      <w:hyperlink w:anchor="matter">
        <w:r>
          <w:rPr>
            <w:color w:val="000000"/>
          </w:rPr>
          <w:t xml:space="preserve">Matter</w:t>
        </w:r>
      </w:hyperlink>
      <w:r>
        <w:rPr>
          <w:b w:val="0"/>
          <w:i w:val="0"/>
        </w:rPr>
        <w:t xml:space="preserve">; </w:t>
      </w:r>
      <w:hyperlink w:anchor="natural-species-and-succession">
        <w:r>
          <w:rPr>
            <w:color w:val="000000"/>
          </w:rPr>
          <w:t xml:space="preserve">Natural species and succession</w:t>
        </w:r>
      </w:hyperlink>
      <w:r>
        <w:rPr>
          <w:b w:val="0"/>
          <w:i w:val="0"/>
        </w:rPr>
        <w:t xml:space="preserve">; </w:t>
      </w:r>
      <w:hyperlink w:anchor="nourishment-digestion-and-growth">
        <w:r>
          <w:rPr>
            <w:color w:val="000000"/>
          </w:rPr>
          <w:t xml:space="preserve">Nourishment, digestion and growth</w:t>
        </w:r>
      </w:hyperlink>
      <w:r>
        <w:rPr>
          <w:b w:val="0"/>
          <w:i w:val="0"/>
        </w:rPr>
        <w:t xml:space="preserve">; </w:t>
      </w:r>
      <w:hyperlink w:anchor="sowing-and-weaving">
        <w:r>
          <w:rPr>
            <w:color w:val="000000"/>
          </w:rPr>
          <w:t xml:space="preserve">Sowing and weaving</w:t>
        </w:r>
      </w:hyperlink>
      <w:r>
        <w:rPr>
          <w:b w:val="0"/>
          <w:i w:val="0"/>
        </w:rPr>
        <w:t xml:space="preserve">; </w:t>
      </w:r>
      <w:hyperlink w:anchor="striving-and-enjoyment">
        <w:r>
          <w:rPr>
            <w:color w:val="000000"/>
          </w:rPr>
          <w:t xml:space="preserve">Striving and enjoyment</w:t>
        </w:r>
      </w:hyperlink>
      <w:r>
        <w:rPr>
          <w:b w:val="0"/>
          <w:i w:val="0"/>
        </w:rPr>
        <w:t xml:space="preserve">. Vocabulary: </w:t>
      </w:r>
      <w:hyperlink w:anchor="latin-record-0173">
        <w:r>
          <w:rPr>
            <w:color w:val="000000"/>
          </w:rPr>
          <w:t xml:space="preserve">cogere / compellere</w:t>
        </w:r>
      </w:hyperlink>
      <w:r>
        <w:rPr>
          <w:b w:val="0"/>
          <w:i w:val="0"/>
        </w:rPr>
        <w:t xml:space="preserve">; </w:t>
      </w:r>
      <w:hyperlink w:anchor="latin-record-0232">
        <w:r>
          <w:rPr>
            <w:color w:val="000000"/>
          </w:rPr>
          <w:t xml:space="preserve">conferre / conducere</w:t>
        </w:r>
      </w:hyperlink>
      <w:r>
        <w:rPr>
          <w:b w:val="0"/>
          <w:i w:val="0"/>
        </w:rPr>
        <w:t xml:space="preserve">; </w:t>
      </w:r>
      <w:hyperlink w:anchor="latin-record-1162">
        <w:r>
          <w:rPr>
            <w:color w:val="000000"/>
          </w:rPr>
          <w:t xml:space="preserve">successione saltem</w:t>
        </w:r>
      </w:hyperlink>
      <w:r>
        <w:rPr>
          <w:b w:val="0"/>
          <w:i w:val="0"/>
        </w:rPr>
        <w:t xml:space="preserve">; </w:t>
      </w:r>
      <w:hyperlink w:anchor="latin-record-1255">
        <w:r>
          <w:rPr>
            <w:color w:val="000000"/>
          </w:rPr>
          <w:t xml:space="preserve">vicissitudo</w:t>
        </w:r>
      </w:hyperlink>
      <w:r>
        <w:rPr>
          <w:b w:val="0"/>
          <w:i w:val="0"/>
        </w:rPr>
        <w:t>.</w:t>
      </w:r>
    </w:p>
    <w:p>
      <w:pPr>
        <w:widowControl/>
      </w:pPr>
      <w:bookmarkStart w:id="2118" w:name="passage-iv-2-21"/>
      <w:bookmarkEnd w:id="2118"/>
      <w:r>
        <w:rPr>
          <w:b/>
          <w:i w:val="0"/>
        </w:rPr>
        <w:t>IV.2.21</w:t>
      </w:r>
      <w:r>
        <w:rPr>
          <w:b/>
          <w:i w:val="0"/>
        </w:rPr>
        <w:t>, source pp. 346–347.</w:t>
      </w:r>
      <w:r>
        <w:rPr>
          <w:b w:val="0"/>
          <w:i w:val="0"/>
        </w:rPr>
        <w:t xml:space="preserve"> Articles: </w:t>
      </w:r>
      <w:hyperlink w:anchor="circularity-and-return">
        <w:r>
          <w:rPr>
            <w:color w:val="000000"/>
          </w:rPr>
          <w:t xml:space="preserve">Circularity and return</w:t>
        </w:r>
      </w:hyperlink>
      <w:r>
        <w:rPr>
          <w:b w:val="0"/>
          <w:i w:val="0"/>
        </w:rPr>
        <w:t xml:space="preserve">. Vocabulary: </w:t>
      </w:r>
      <w:hyperlink w:anchor="latin-record-0110">
        <w:r>
          <w:rPr>
            <w:color w:val="000000"/>
          </w:rPr>
          <w:t xml:space="preserve">auctor / auctoritas role</w:t>
        </w:r>
      </w:hyperlink>
      <w:r>
        <w:rPr>
          <w:b w:val="0"/>
          <w:i w:val="0"/>
        </w:rPr>
        <w:t xml:space="preserve">; </w:t>
      </w:r>
      <w:hyperlink w:anchor="latin-record-0167">
        <w:r>
          <w:rPr>
            <w:color w:val="000000"/>
          </w:rPr>
          <w:t xml:space="preserve">circulus / circuitus</w:t>
        </w:r>
      </w:hyperlink>
      <w:r>
        <w:rPr>
          <w:b w:val="0"/>
          <w:i w:val="0"/>
        </w:rPr>
        <w:t xml:space="preserve">; </w:t>
      </w:r>
      <w:hyperlink w:anchor="latin-record-0263">
        <w:r>
          <w:rPr>
            <w:color w:val="000000"/>
          </w:rPr>
          <w:t xml:space="preserve">continuatio / reflectere in gyrum</w:t>
        </w:r>
      </w:hyperlink>
      <w:r>
        <w:rPr>
          <w:b w:val="0"/>
          <w:i w:val="0"/>
        </w:rPr>
        <w:t xml:space="preserve">; </w:t>
      </w:r>
      <w:hyperlink w:anchor="latin-record-0397">
        <w:r>
          <w:rPr>
            <w:color w:val="000000"/>
          </w:rPr>
          <w:t xml:space="preserve">exemplum / instar</w:t>
        </w:r>
      </w:hyperlink>
      <w:r>
        <w:rPr>
          <w:b w:val="0"/>
          <w:i w:val="0"/>
        </w:rPr>
        <w:t xml:space="preserve">; </w:t>
      </w:r>
      <w:hyperlink w:anchor="latin-record-0535">
        <w:r>
          <w:rPr>
            <w:color w:val="000000"/>
          </w:rPr>
          <w:t xml:space="preserve">impedire / obesse</w:t>
        </w:r>
      </w:hyperlink>
      <w:r>
        <w:rPr>
          <w:b w:val="0"/>
          <w:i w:val="0"/>
        </w:rPr>
        <w:t xml:space="preserve">; </w:t>
      </w:r>
      <w:hyperlink w:anchor="latin-record-0843">
        <w:r>
          <w:rPr>
            <w:color w:val="000000"/>
          </w:rPr>
          <w:t xml:space="preserve">pellere</w:t>
        </w:r>
      </w:hyperlink>
      <w:r>
        <w:rPr>
          <w:b w:val="0"/>
          <w:i w:val="0"/>
        </w:rPr>
        <w:t>.</w:t>
      </w:r>
    </w:p>
    <w:p>
      <w:pPr>
        <w:widowControl/>
      </w:pPr>
      <w:bookmarkStart w:id="2119" w:name="passage-iv-2-22"/>
      <w:bookmarkEnd w:id="2119"/>
      <w:r>
        <w:rPr>
          <w:b/>
          <w:i w:val="0"/>
        </w:rPr>
        <w:t>IV.2.22</w:t>
      </w:r>
      <w:r>
        <w:rPr>
          <w:b/>
          <w:i w:val="0"/>
        </w:rPr>
        <w:t>, source pp. 346–347.</w:t>
      </w:r>
      <w:r>
        <w:rPr>
          <w:b w:val="0"/>
          <w:i w:val="0"/>
        </w:rPr>
        <w:t xml:space="preserve"> Articles: </w:t>
      </w:r>
      <w:hyperlink w:anchor="circularity-and-return">
        <w:r>
          <w:rPr>
            <w:color w:val="000000"/>
          </w:rPr>
          <w:t xml:space="preserve">Circularity and return</w:t>
        </w:r>
      </w:hyperlink>
      <w:r>
        <w:rPr>
          <w:b w:val="0"/>
          <w:i w:val="0"/>
        </w:rPr>
        <w:t xml:space="preserve">; </w:t>
      </w:r>
      <w:hyperlink w:anchor="here-there-and-antipodes">
        <w:r>
          <w:rPr>
            <w:color w:val="000000"/>
          </w:rPr>
          <w:t xml:space="preserve">Here, there, and the Antipodes</w:t>
        </w:r>
      </w:hyperlink>
      <w:r>
        <w:rPr>
          <w:b w:val="0"/>
          <w:i w:val="0"/>
        </w:rPr>
        <w:t xml:space="preserve">; </w:t>
      </w:r>
      <w:hyperlink w:anchor="natural-motion-and-natural-place">
        <w:r>
          <w:rPr>
            <w:color w:val="000000"/>
          </w:rPr>
          <w:t xml:space="preserve">Natural motion and natural place</w:t>
        </w:r>
      </w:hyperlink>
      <w:r>
        <w:rPr>
          <w:b w:val="0"/>
          <w:i w:val="0"/>
        </w:rPr>
        <w:t xml:space="preserve">. Vocabulary: </w:t>
      </w:r>
      <w:hyperlink w:anchor="latin-record-0149">
        <w:r>
          <w:rPr>
            <w:color w:val="000000"/>
          </w:rPr>
          <w:t xml:space="preserve">careo / expers</w:t>
        </w:r>
      </w:hyperlink>
      <w:r>
        <w:rPr>
          <w:b w:val="0"/>
          <w:i w:val="0"/>
        </w:rPr>
        <w:t xml:space="preserve">; </w:t>
      </w:r>
      <w:hyperlink w:anchor="latin-record-0273">
        <w:r>
          <w:rPr>
            <w:color w:val="000000"/>
          </w:rPr>
          <w:t xml:space="preserve">convertere / reverti</w:t>
        </w:r>
      </w:hyperlink>
      <w:r>
        <w:rPr>
          <w:b w:val="0"/>
          <w:i w:val="0"/>
        </w:rPr>
        <w:t xml:space="preserve">; </w:t>
      </w:r>
      <w:hyperlink w:anchor="latin-record-0758">
        <w:r>
          <w:rPr>
            <w:color w:val="000000"/>
          </w:rPr>
          <w:t xml:space="preserve">nescire quiescere</w:t>
        </w:r>
      </w:hyperlink>
      <w:r>
        <w:rPr>
          <w:b w:val="0"/>
          <w:i w:val="0"/>
        </w:rPr>
        <w:t>.</w:t>
      </w:r>
    </w:p>
    <w:p>
      <w:pPr>
        <w:widowControl/>
      </w:pPr>
      <w:bookmarkStart w:id="2120" w:name="passage-iv-2-23"/>
      <w:bookmarkEnd w:id="2120"/>
      <w:r>
        <w:rPr>
          <w:b/>
          <w:i w:val="0"/>
        </w:rPr>
        <w:t>IV.2.23</w:t>
      </w:r>
      <w:r>
        <w:rPr>
          <w:b/>
          <w:i w:val="0"/>
        </w:rPr>
        <w:t>, source pp. 346–347.</w:t>
      </w:r>
      <w:r>
        <w:rPr>
          <w:b w:val="0"/>
          <w:i w:val="0"/>
        </w:rPr>
        <w:t xml:space="preserve"> Articles: </w:t>
      </w:r>
      <w:hyperlink w:anchor="circularity-and-return">
        <w:r>
          <w:rPr>
            <w:color w:val="000000"/>
          </w:rPr>
          <w:t xml:space="preserve">Circularity and return</w:t>
        </w:r>
      </w:hyperlink>
      <w:r>
        <w:rPr>
          <w:b w:val="0"/>
          <w:i w:val="0"/>
        </w:rPr>
        <w:t xml:space="preserve">; </w:t>
      </w:r>
      <w:hyperlink w:anchor="here-there-and-antipodes">
        <w:r>
          <w:rPr>
            <w:color w:val="000000"/>
          </w:rPr>
          <w:t xml:space="preserve">Here, there, and the Antipodes</w:t>
        </w:r>
      </w:hyperlink>
      <w:r>
        <w:rPr>
          <w:b w:val="0"/>
          <w:i w:val="0"/>
        </w:rPr>
        <w:t xml:space="preserve">; </w:t>
      </w:r>
      <w:hyperlink w:anchor="motion-and-stability">
        <w:r>
          <w:rPr>
            <w:color w:val="000000"/>
          </w:rPr>
          <w:t xml:space="preserve">Motion and stability</w:t>
        </w:r>
      </w:hyperlink>
      <w:r>
        <w:rPr>
          <w:b w:val="0"/>
          <w:i w:val="0"/>
        </w:rPr>
        <w:t xml:space="preserve">; </w:t>
      </w:r>
      <w:hyperlink w:anchor="natural-motion-and-natural-place">
        <w:r>
          <w:rPr>
            <w:color w:val="000000"/>
          </w:rPr>
          <w:t xml:space="preserve">Natural motion and natural place</w:t>
        </w:r>
      </w:hyperlink>
      <w:r>
        <w:rPr>
          <w:b w:val="0"/>
          <w:i w:val="0"/>
        </w:rPr>
        <w:t xml:space="preserve">. Vocabulary: </w:t>
      </w:r>
      <w:hyperlink w:anchor="latin-record-0265">
        <w:r>
          <w:rPr>
            <w:color w:val="000000"/>
          </w:rPr>
          <w:t xml:space="preserve">continuus / continuare / continuatio</w:t>
        </w:r>
      </w:hyperlink>
      <w:r>
        <w:rPr>
          <w:b w:val="0"/>
          <w:i w:val="0"/>
        </w:rPr>
        <w:t xml:space="preserve">; </w:t>
      </w:r>
      <w:hyperlink w:anchor="latin-record-0301">
        <w:r>
          <w:rPr>
            <w:color w:val="000000"/>
          </w:rPr>
          <w:t xml:space="preserve">degenerare</w:t>
        </w:r>
      </w:hyperlink>
      <w:r>
        <w:rPr>
          <w:b w:val="0"/>
          <w:i w:val="0"/>
        </w:rPr>
        <w:t xml:space="preserve">; </w:t>
      </w:r>
      <w:hyperlink w:anchor="latin-record-1010">
        <w:r>
          <w:rPr>
            <w:color w:val="000000"/>
          </w:rPr>
          <w:t xml:space="preserve">quasi non motus</w:t>
        </w:r>
      </w:hyperlink>
      <w:r>
        <w:rPr>
          <w:b w:val="0"/>
          <w:i w:val="0"/>
        </w:rPr>
        <w:t>.</w:t>
      </w:r>
    </w:p>
    <w:p>
      <w:pPr>
        <w:widowControl/>
      </w:pPr>
      <w:bookmarkStart w:id="2121" w:name="passage-iv-2-24"/>
      <w:bookmarkEnd w:id="2121"/>
      <w:r>
        <w:rPr>
          <w:b/>
          <w:i w:val="0"/>
        </w:rPr>
        <w:t>IV.2.24</w:t>
      </w:r>
      <w:r>
        <w:rPr>
          <w:b/>
          <w:i w:val="0"/>
        </w:rPr>
        <w:t>, source pp. 348–349.</w:t>
      </w:r>
      <w:r>
        <w:rPr>
          <w:b w:val="0"/>
          <w:i w:val="0"/>
        </w:rPr>
        <w:t xml:space="preserve"> Articles: </w:t>
      </w:r>
      <w:hyperlink w:anchor="circularity-and-return">
        <w:r>
          <w:rPr>
            <w:color w:val="000000"/>
          </w:rPr>
          <w:t xml:space="preserve">Circularity and return</w:t>
        </w:r>
      </w:hyperlink>
      <w:r>
        <w:rPr>
          <w:b w:val="0"/>
          <w:i w:val="0"/>
        </w:rPr>
        <w:t xml:space="preserve">; </w:t>
      </w:r>
      <w:hyperlink w:anchor="fitting-and-correspondence">
        <w:r>
          <w:rPr>
            <w:color w:val="000000"/>
          </w:rPr>
          <w:t xml:space="preserve">Fitting and correspondence</w:t>
        </w:r>
      </w:hyperlink>
      <w:r>
        <w:rPr>
          <w:b w:val="0"/>
          <w:i w:val="0"/>
        </w:rPr>
        <w:t xml:space="preserve">; </w:t>
      </w:r>
      <w:hyperlink w:anchor="here-there-and-antipodes">
        <w:r>
          <w:rPr>
            <w:color w:val="000000"/>
          </w:rPr>
          <w:t xml:space="preserve">Here, there, and the Antipodes</w:t>
        </w:r>
      </w:hyperlink>
      <w:r>
        <w:rPr>
          <w:b w:val="0"/>
          <w:i w:val="0"/>
        </w:rPr>
        <w:t xml:space="preserve">; </w:t>
      </w:r>
      <w:hyperlink w:anchor="motion-and-stability">
        <w:r>
          <w:rPr>
            <w:color w:val="000000"/>
          </w:rPr>
          <w:t xml:space="preserve">Motion and stability</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spheres-and-stars">
        <w:r>
          <w:rPr>
            <w:color w:val="000000"/>
          </w:rPr>
          <w:t xml:space="preserve">Spheres and stars</w:t>
        </w:r>
      </w:hyperlink>
      <w:r>
        <w:rPr>
          <w:b w:val="0"/>
          <w:i w:val="0"/>
        </w:rPr>
        <w:t xml:space="preserve">; </w:t>
      </w:r>
      <w:hyperlink w:anchor="striving-and-enjoyment">
        <w:r>
          <w:rPr>
            <w:color w:val="000000"/>
          </w:rPr>
          <w:t xml:space="preserve">Striving and enjoyment</w:t>
        </w:r>
      </w:hyperlink>
      <w:r>
        <w:rPr>
          <w:b w:val="0"/>
          <w:i w:val="0"/>
        </w:rPr>
        <w:t xml:space="preserve">. Vocabulary: </w:t>
      </w:r>
      <w:hyperlink w:anchor="latin-record-0078">
        <w:r>
          <w:rPr>
            <w:color w:val="000000"/>
          </w:rPr>
          <w:t xml:space="preserve">Antipodes / semicirculus</w:t>
        </w:r>
      </w:hyperlink>
      <w:r>
        <w:rPr>
          <w:b w:val="0"/>
          <w:i w:val="0"/>
        </w:rPr>
        <w:t xml:space="preserve">; </w:t>
      </w:r>
      <w:hyperlink w:anchor="latin-record-0445">
        <w:r>
          <w:rPr>
            <w:color w:val="000000"/>
          </w:rPr>
          <w:t xml:space="preserve">figere / ponere</w:t>
        </w:r>
      </w:hyperlink>
      <w:r>
        <w:rPr>
          <w:b w:val="0"/>
          <w:i w:val="0"/>
        </w:rPr>
        <w:t xml:space="preserve">; </w:t>
      </w:r>
      <w:hyperlink w:anchor="latin-record-0511">
        <w:r>
          <w:rPr>
            <w:color w:val="000000"/>
          </w:rPr>
          <w:t xml:space="preserve">hic / illic</w:t>
        </w:r>
      </w:hyperlink>
      <w:r>
        <w:rPr>
          <w:b w:val="0"/>
          <w:i w:val="0"/>
        </w:rPr>
        <w:t xml:space="preserve">; </w:t>
      </w:r>
      <w:hyperlink w:anchor="latin-record-1286">
        <w:r>
          <w:rPr>
            <w:color w:val="000000"/>
          </w:rPr>
          <w:t xml:space="preserve">vult / lubet</w:t>
        </w:r>
      </w:hyperlink>
      <w:r>
        <w:rPr>
          <w:b w:val="0"/>
          <w:i w:val="0"/>
        </w:rPr>
        <w:t>.</w:t>
      </w:r>
    </w:p>
    <w:p>
      <w:pPr>
        <w:widowControl/>
      </w:pPr>
      <w:bookmarkStart w:id="2122" w:name="passage-iv-2-25"/>
      <w:bookmarkEnd w:id="2122"/>
      <w:r>
        <w:rPr>
          <w:b/>
          <w:i w:val="0"/>
        </w:rPr>
        <w:t>IV.2.25</w:t>
      </w:r>
      <w:r>
        <w:rPr>
          <w:b/>
          <w:i w:val="0"/>
        </w:rPr>
        <w:t>, source pp. 348–349.</w:t>
      </w:r>
      <w:r>
        <w:rPr>
          <w:b w:val="0"/>
          <w:i w:val="0"/>
        </w:rPr>
        <w:t xml:space="preserve"> Articles: </w:t>
      </w:r>
      <w:hyperlink w:anchor="appetite-and-desire">
        <w:r>
          <w:rPr>
            <w:color w:val="000000"/>
          </w:rPr>
          <w:t xml:space="preserve">Appetite and desire</w:t>
        </w:r>
      </w:hyperlink>
      <w:r>
        <w:rPr>
          <w:b w:val="0"/>
          <w:i w:val="0"/>
        </w:rPr>
        <w:t xml:space="preserve">; </w:t>
      </w:r>
      <w:hyperlink w:anchor="circularity-and-return">
        <w:r>
          <w:rPr>
            <w:color w:val="000000"/>
          </w:rPr>
          <w:t xml:space="preserve">Circularity and return</w:t>
        </w:r>
      </w:hyperlink>
      <w:r>
        <w:rPr>
          <w:b w:val="0"/>
          <w:i w:val="0"/>
        </w:rPr>
        <w:t xml:space="preserve">; </w:t>
      </w:r>
      <w:hyperlink w:anchor="fitting-and-correspondence">
        <w:r>
          <w:rPr>
            <w:color w:val="000000"/>
          </w:rPr>
          <w:t xml:space="preserve">Fitting and correspondence</w:t>
        </w:r>
      </w:hyperlink>
      <w:r>
        <w:rPr>
          <w:b w:val="0"/>
          <w:i w:val="0"/>
        </w:rPr>
        <w:t xml:space="preserve">; </w:t>
      </w:r>
      <w:hyperlink w:anchor="here-there-and-antipodes">
        <w:r>
          <w:rPr>
            <w:color w:val="000000"/>
          </w:rPr>
          <w:t xml:space="preserve">Here, there, and the Antipodes</w:t>
        </w:r>
      </w:hyperlink>
      <w:r>
        <w:rPr>
          <w:b w:val="0"/>
          <w:i w:val="0"/>
        </w:rPr>
        <w:t xml:space="preserve">; </w:t>
      </w:r>
      <w:hyperlink w:anchor="motion-and-stability">
        <w:r>
          <w:rPr>
            <w:color w:val="000000"/>
          </w:rPr>
          <w:t xml:space="preserve">Motion and stability</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spheres-and-stars">
        <w:r>
          <w:rPr>
            <w:color w:val="000000"/>
          </w:rPr>
          <w:t xml:space="preserve">Spheres and stars</w:t>
        </w:r>
      </w:hyperlink>
      <w:r>
        <w:rPr>
          <w:b w:val="0"/>
          <w:i w:val="0"/>
        </w:rPr>
        <w:t xml:space="preserve">; </w:t>
      </w:r>
      <w:hyperlink w:anchor="striving-and-enjoyment">
        <w:r>
          <w:rPr>
            <w:color w:val="000000"/>
          </w:rPr>
          <w:t xml:space="preserve">Striving and enjoyment</w:t>
        </w:r>
      </w:hyperlink>
      <w:r>
        <w:rPr>
          <w:b w:val="0"/>
          <w:i w:val="0"/>
        </w:rPr>
        <w:t xml:space="preserve">. Vocabulary: </w:t>
      </w:r>
      <w:hyperlink w:anchor="latin-record-0105">
        <w:r>
          <w:rPr>
            <w:color w:val="000000"/>
          </w:rPr>
          <w:t xml:space="preserve">attingere / affectare</w:t>
        </w:r>
      </w:hyperlink>
      <w:r>
        <w:rPr>
          <w:b w:val="0"/>
          <w:i w:val="0"/>
        </w:rPr>
        <w:t xml:space="preserve">; </w:t>
      </w:r>
      <w:hyperlink w:anchor="latin-record-0217">
        <w:r>
          <w:rPr>
            <w:color w:val="000000"/>
          </w:rPr>
          <w:t xml:space="preserve">concava superficies</w:t>
        </w:r>
      </w:hyperlink>
      <w:r>
        <w:rPr>
          <w:b w:val="0"/>
          <w:i w:val="0"/>
        </w:rPr>
        <w:t xml:space="preserve">; </w:t>
      </w:r>
      <w:hyperlink w:anchor="latin-record-0440">
        <w:r>
          <w:rPr>
            <w:color w:val="000000"/>
          </w:rPr>
          <w:t xml:space="preserve">ferme / quoad fieri potest</w:t>
        </w:r>
      </w:hyperlink>
      <w:r>
        <w:rPr>
          <w:b w:val="0"/>
          <w:i w:val="0"/>
        </w:rPr>
        <w:t xml:space="preserve">; </w:t>
      </w:r>
      <w:hyperlink w:anchor="latin-record-0474">
        <w:r>
          <w:rPr>
            <w:color w:val="000000"/>
          </w:rPr>
          <w:t xml:space="preserve">frui / perfrui</w:t>
        </w:r>
      </w:hyperlink>
      <w:r>
        <w:rPr>
          <w:b w:val="0"/>
          <w:i w:val="0"/>
        </w:rPr>
        <w:t xml:space="preserve">; </w:t>
      </w:r>
      <w:hyperlink w:anchor="latin-record-0843">
        <w:r>
          <w:rPr>
            <w:color w:val="000000"/>
          </w:rPr>
          <w:t xml:space="preserve">pellere</w:t>
        </w:r>
      </w:hyperlink>
      <w:r>
        <w:rPr>
          <w:b w:val="0"/>
          <w:i w:val="0"/>
        </w:rPr>
        <w:t xml:space="preserve">; </w:t>
      </w:r>
      <w:hyperlink w:anchor="latin-record-1109">
        <w:r>
          <w:rPr>
            <w:color w:val="000000"/>
          </w:rPr>
          <w:t xml:space="preserve">simul</w:t>
        </w:r>
      </w:hyperlink>
      <w:r>
        <w:rPr>
          <w:b w:val="0"/>
          <w:i w:val="0"/>
        </w:rPr>
        <w:t xml:space="preserve">; </w:t>
      </w:r>
      <w:hyperlink w:anchor="latin-record-1183">
        <w:r>
          <w:rPr>
            <w:color w:val="000000"/>
          </w:rPr>
          <w:t xml:space="preserve">tangere / attingere</w:t>
        </w:r>
      </w:hyperlink>
      <w:r>
        <w:rPr>
          <w:b w:val="0"/>
          <w:i w:val="0"/>
        </w:rPr>
        <w:t>.</w:t>
      </w:r>
    </w:p>
    <w:p>
      <w:pPr>
        <w:widowControl/>
      </w:pPr>
      <w:bookmarkStart w:id="2123" w:name="passage-iv-2-26"/>
      <w:bookmarkEnd w:id="2123"/>
      <w:r>
        <w:rPr>
          <w:b/>
          <w:i w:val="0"/>
        </w:rPr>
        <w:t>IV.2.26</w:t>
      </w:r>
      <w:r>
        <w:rPr>
          <w:b/>
          <w:i w:val="0"/>
        </w:rPr>
        <w:t>, source pp. 348–349.</w:t>
      </w:r>
      <w:r>
        <w:rPr>
          <w:b w:val="0"/>
          <w:i w:val="0"/>
        </w:rPr>
        <w:t xml:space="preserve"> Articles: </w:t>
      </w:r>
      <w:hyperlink w:anchor="circularity-and-return">
        <w:r>
          <w:rPr>
            <w:color w:val="000000"/>
          </w:rPr>
          <w:t xml:space="preserve">Circularity and return</w:t>
        </w:r>
      </w:hyperlink>
      <w:r>
        <w:rPr>
          <w:b w:val="0"/>
          <w:i w:val="0"/>
        </w:rPr>
        <w:t xml:space="preserve">; </w:t>
      </w:r>
      <w:hyperlink w:anchor="daemons">
        <w:r>
          <w:rPr>
            <w:color w:val="000000"/>
          </w:rPr>
          <w:t xml:space="preserve">Daemons</w:t>
        </w:r>
      </w:hyperlink>
      <w:r>
        <w:rPr>
          <w:b w:val="0"/>
          <w:i w:val="0"/>
        </w:rPr>
        <w:t xml:space="preserve">; </w:t>
      </w:r>
      <w:hyperlink w:anchor="ethereal-garment">
        <w:r>
          <w:rPr>
            <w:color w:val="000000"/>
          </w:rPr>
          <w:t xml:space="preserve">Ethereal garment</w:t>
        </w:r>
      </w:hyperlink>
      <w:r>
        <w:rPr>
          <w:b w:val="0"/>
          <w:i w:val="0"/>
        </w:rPr>
        <w:t xml:space="preserve">; </w:t>
      </w:r>
      <w:hyperlink w:anchor="motion-and-stability">
        <w:r>
          <w:rPr>
            <w:color w:val="000000"/>
          </w:rPr>
          <w:t xml:space="preserve">Motion and stability</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spirit">
        <w:r>
          <w:rPr>
            <w:color w:val="000000"/>
          </w:rPr>
          <w:t xml:space="preserve">Spirit</w:t>
        </w:r>
      </w:hyperlink>
      <w:r>
        <w:rPr>
          <w:b w:val="0"/>
          <w:i w:val="0"/>
        </w:rPr>
        <w:t xml:space="preserve">; </w:t>
      </w:r>
      <w:hyperlink w:anchor="striving-and-enjoyment">
        <w:r>
          <w:rPr>
            <w:color w:val="000000"/>
          </w:rPr>
          <w:t xml:space="preserve">Striving and enjoyment</w:t>
        </w:r>
      </w:hyperlink>
      <w:r>
        <w:rPr>
          <w:b w:val="0"/>
          <w:i w:val="0"/>
        </w:rPr>
        <w:t xml:space="preserve">. Vocabulary: </w:t>
      </w:r>
      <w:hyperlink w:anchor="latin-record-0558">
        <w:r>
          <w:rPr>
            <w:color w:val="000000"/>
          </w:rPr>
          <w:t xml:space="preserve">indumentum aethereum</w:t>
        </w:r>
      </w:hyperlink>
      <w:r>
        <w:rPr>
          <w:b w:val="0"/>
          <w:i w:val="0"/>
        </w:rPr>
        <w:t xml:space="preserve">; </w:t>
      </w:r>
      <w:hyperlink w:anchor="latin-record-0612">
        <w:r>
          <w:rPr>
            <w:color w:val="000000"/>
          </w:rPr>
          <w:t xml:space="preserve">invenire-related reperire</w:t>
        </w:r>
      </w:hyperlink>
      <w:r>
        <w:rPr>
          <w:b w:val="0"/>
          <w:i w:val="0"/>
        </w:rPr>
        <w:t>.</w:t>
      </w:r>
    </w:p>
    <w:p>
      <w:pPr>
        <w:widowControl/>
      </w:pPr>
      <w:bookmarkStart w:id="2124" w:name="passage-iv-2-27"/>
      <w:bookmarkEnd w:id="2124"/>
      <w:r>
        <w:rPr>
          <w:b/>
          <w:i w:val="0"/>
        </w:rPr>
        <w:t>IV.2.27</w:t>
      </w:r>
      <w:r>
        <w:rPr>
          <w:b/>
          <w:i w:val="0"/>
        </w:rPr>
        <w:t>, source pp. 350–351.</w:t>
      </w:r>
      <w:r>
        <w:rPr>
          <w:b w:val="0"/>
          <w:i w:val="0"/>
        </w:rPr>
        <w:t xml:space="preserve"> Articles: </w:t>
      </w:r>
      <w:hyperlink w:anchor="circularity-and-return">
        <w:r>
          <w:rPr>
            <w:color w:val="000000"/>
          </w:rPr>
          <w:t xml:space="preserve">Circularity and return</w:t>
        </w:r>
      </w:hyperlink>
      <w:r>
        <w:rPr>
          <w:b w:val="0"/>
          <w:i w:val="0"/>
        </w:rPr>
        <w:t xml:space="preserve">; </w:t>
      </w:r>
      <w:hyperlink w:anchor="end-and-limit">
        <w:r>
          <w:rPr>
            <w:color w:val="000000"/>
          </w:rPr>
          <w:t xml:space="preserve">End and limit</w:t>
        </w:r>
      </w:hyperlink>
      <w:r>
        <w:rPr>
          <w:b w:val="0"/>
          <w:i w:val="0"/>
        </w:rPr>
        <w:t xml:space="preserve">; </w:t>
      </w:r>
      <w:hyperlink w:anchor="ethereal-garment">
        <w:r>
          <w:rPr>
            <w:color w:val="000000"/>
          </w:rPr>
          <w:t xml:space="preserve">Ethereal garment</w:t>
        </w:r>
      </w:hyperlink>
      <w:r>
        <w:rPr>
          <w:b w:val="0"/>
          <w:i w:val="0"/>
        </w:rPr>
        <w:t xml:space="preserve">; </w:t>
      </w:r>
      <w:hyperlink w:anchor="fate">
        <w:r>
          <w:rPr>
            <w:color w:val="000000"/>
          </w:rPr>
          <w:t xml:space="preserve">Fate</w:t>
        </w:r>
      </w:hyperlink>
      <w:r>
        <w:rPr>
          <w:b w:val="0"/>
          <w:i w:val="0"/>
        </w:rPr>
        <w:t xml:space="preserve">; </w:t>
      </w:r>
      <w:hyperlink w:anchor="motion-and-stability">
        <w:r>
          <w:rPr>
            <w:color w:val="000000"/>
          </w:rPr>
          <w:t xml:space="preserve">Motion and stability</w:t>
        </w:r>
      </w:hyperlink>
      <w:r>
        <w:rPr>
          <w:b w:val="0"/>
          <w:i w:val="0"/>
        </w:rPr>
        <w:t xml:space="preserve">; </w:t>
      </w:r>
      <w:hyperlink w:anchor="spirit">
        <w:r>
          <w:rPr>
            <w:color w:val="000000"/>
          </w:rPr>
          <w:t xml:space="preserve">Spirit</w:t>
        </w:r>
      </w:hyperlink>
      <w:r>
        <w:rPr>
          <w:b w:val="0"/>
          <w:i w:val="0"/>
        </w:rPr>
        <w:t xml:space="preserve">; </w:t>
      </w:r>
      <w:hyperlink w:anchor="weariness-and-agility">
        <w:r>
          <w:rPr>
            <w:color w:val="000000"/>
          </w:rPr>
          <w:t xml:space="preserve">Weariness and agility</w:t>
        </w:r>
      </w:hyperlink>
      <w:r>
        <w:rPr>
          <w:b w:val="0"/>
          <w:i w:val="0"/>
        </w:rPr>
        <w:t xml:space="preserve">. Vocabulary: </w:t>
      </w:r>
      <w:hyperlink w:anchor="latin-record-0626">
        <w:r>
          <w:rPr>
            <w:color w:val="000000"/>
          </w:rPr>
          <w:t xml:space="preserve">labor / transgressio</w:t>
        </w:r>
      </w:hyperlink>
      <w:r>
        <w:rPr>
          <w:b w:val="0"/>
          <w:i w:val="0"/>
        </w:rPr>
        <w:t xml:space="preserve">; </w:t>
      </w:r>
      <w:hyperlink w:anchor="latin-record-0926">
        <w:r>
          <w:rPr>
            <w:color w:val="000000"/>
          </w:rPr>
          <w:t xml:space="preserve">princeps</w:t>
        </w:r>
      </w:hyperlink>
      <w:r>
        <w:rPr>
          <w:b w:val="0"/>
          <w:i w:val="0"/>
        </w:rPr>
        <w:t>.</w:t>
      </w:r>
    </w:p>
    <w:p>
      <w:bookmarkStart w:id="2125" w:name="alternative-lookup-terms"/>
      <w:pPr>
        <w:pStyle w:val="Heading1"/>
      </w:pPr>
      <w:r>
        <w:rPr>
          <w:b w:val="0"/>
          <w:i w:val="0"/>
        </w:rPr>
        <w:t>Alternative lookup terms</w:t>
      </w:r>
      <w:bookmarkEnd w:id="2125"/>
    </w:p>
    <w:p>
      <w:bookmarkStart w:id="2126" w:name="consolidated-article-headings"/>
      <w:pPr>
        <w:pStyle w:val="Heading2"/>
      </w:pPr>
      <w:r>
        <w:rPr>
          <w:b w:val="0"/>
          <w:i w:val="0"/>
        </w:rPr>
        <w:t>Consolidated article headings</w:t>
      </w:r>
      <w:bookmarkEnd w:id="2126"/>
    </w:p>
    <w:p>
      <w:pPr>
        <w:widowControl/>
      </w:pPr>
      <w:r>
        <w:rPr>
          <w:b/>
          <w:i w:val="0"/>
        </w:rPr>
        <w:t>Proper and common.</w:t>
      </w:r>
      <w:r>
        <w:rPr>
          <w:b w:val="0"/>
          <w:i w:val="0"/>
        </w:rPr>
        <w:t xml:space="preserve"> </w:t>
      </w:r>
      <w:hyperlink w:anchor="common-and-proper">
        <w:r>
          <w:rPr>
            <w:color w:val="000000"/>
          </w:rPr>
          <w:t xml:space="preserve">Common and proper</w:t>
        </w:r>
      </w:hyperlink>
      <w:r>
        <w:rPr>
          <w:b w:val="0"/>
          <w:i w:val="0"/>
        </w:rPr>
        <w:t>.</w:t>
      </w:r>
    </w:p>
    <w:p>
      <w:pPr>
        <w:widowControl/>
      </w:pPr>
      <w:r>
        <w:rPr>
          <w:b/>
          <w:i w:val="0"/>
        </w:rPr>
        <w:t>Digestion nourishment and reconciliation.</w:t>
      </w:r>
      <w:r>
        <w:rPr>
          <w:b w:val="0"/>
          <w:i w:val="0"/>
        </w:rPr>
        <w:t xml:space="preserve"> </w:t>
      </w:r>
      <w:hyperlink w:anchor="nourishment-digestion-and-growth">
        <w:r>
          <w:rPr>
            <w:color w:val="000000"/>
          </w:rPr>
          <w:t xml:space="preserve">Nourishment, digestion and growth</w:t>
        </w:r>
      </w:hyperlink>
      <w:r>
        <w:rPr>
          <w:b w:val="0"/>
          <w:i w:val="0"/>
        </w:rPr>
        <w:t>.</w:t>
      </w:r>
    </w:p>
    <w:p>
      <w:pPr>
        <w:widowControl/>
      </w:pPr>
      <w:r>
        <w:rPr>
          <w:b/>
          <w:i w:val="0"/>
        </w:rPr>
        <w:t>Nutrition and digestion.</w:t>
      </w:r>
      <w:r>
        <w:rPr>
          <w:b w:val="0"/>
          <w:i w:val="0"/>
        </w:rPr>
        <w:t xml:space="preserve"> </w:t>
      </w:r>
      <w:hyperlink w:anchor="nourishment-digestion-and-growth">
        <w:r>
          <w:rPr>
            <w:color w:val="000000"/>
          </w:rPr>
          <w:t xml:space="preserve">Nourishment, digestion and growth</w:t>
        </w:r>
      </w:hyperlink>
      <w:r>
        <w:rPr>
          <w:b w:val="0"/>
          <w:i w:val="0"/>
        </w:rPr>
        <w:t>.</w:t>
      </w:r>
    </w:p>
    <w:p>
      <w:pPr>
        <w:widowControl/>
      </w:pPr>
      <w:r>
        <w:rPr>
          <w:b/>
          <w:i w:val="0"/>
        </w:rPr>
        <w:t>Nourishment and growth.</w:t>
      </w:r>
      <w:r>
        <w:rPr>
          <w:b w:val="0"/>
          <w:i w:val="0"/>
        </w:rPr>
        <w:t xml:space="preserve"> </w:t>
      </w:r>
      <w:hyperlink w:anchor="nourishment-digestion-and-growth">
        <w:r>
          <w:rPr>
            <w:color w:val="000000"/>
          </w:rPr>
          <w:t xml:space="preserve">Nourishment, digestion and growth</w:t>
        </w:r>
      </w:hyperlink>
      <w:r>
        <w:rPr>
          <w:b w:val="0"/>
          <w:i w:val="0"/>
        </w:rPr>
        <w:t>.</w:t>
      </w:r>
    </w:p>
    <w:p>
      <w:pPr>
        <w:widowControl/>
      </w:pPr>
      <w:r>
        <w:rPr>
          <w:b/>
          <w:i w:val="0"/>
        </w:rPr>
        <w:t>Ruling and following.</w:t>
      </w:r>
      <w:r>
        <w:rPr>
          <w:b w:val="0"/>
          <w:i w:val="0"/>
        </w:rPr>
        <w:t xml:space="preserve"> </w:t>
      </w:r>
      <w:hyperlink w:anchor="governing-serving-and-dominion">
        <w:r>
          <w:rPr>
            <w:color w:val="000000"/>
          </w:rPr>
          <w:t xml:space="preserve">Governing, serving and dominion</w:t>
        </w:r>
      </w:hyperlink>
      <w:r>
        <w:rPr>
          <w:b w:val="0"/>
          <w:i w:val="0"/>
        </w:rPr>
        <w:t>.</w:t>
      </w:r>
    </w:p>
    <w:p>
      <w:pPr>
        <w:widowControl/>
      </w:pPr>
      <w:r>
        <w:rPr>
          <w:b/>
          <w:i w:val="0"/>
        </w:rPr>
        <w:t>Mastery and service.</w:t>
      </w:r>
      <w:r>
        <w:rPr>
          <w:b w:val="0"/>
          <w:i w:val="0"/>
        </w:rPr>
        <w:t xml:space="preserve"> </w:t>
      </w:r>
      <w:hyperlink w:anchor="governing-serving-and-dominion">
        <w:r>
          <w:rPr>
            <w:color w:val="000000"/>
          </w:rPr>
          <w:t xml:space="preserve">Governing, serving and dominion</w:t>
        </w:r>
      </w:hyperlink>
      <w:r>
        <w:rPr>
          <w:b w:val="0"/>
          <w:i w:val="0"/>
        </w:rPr>
        <w:t>.</w:t>
      </w:r>
    </w:p>
    <w:p>
      <w:pPr>
        <w:widowControl/>
      </w:pPr>
      <w:r>
        <w:rPr>
          <w:b w:val="0"/>
          <w:i w:val="0"/>
        </w:rPr>
        <w:t>These alternative English labels lead to the main entries. Latin forms and phrases appear in the next index.</w:t>
      </w:r>
    </w:p>
    <w:p>
      <w:pPr>
        <w:ind w:left="187" w:hanging="187"/>
      </w:pPr>
      <w:r>
        <w:t xml:space="preserve">• </w:t>
      </w:r>
      <w:r>
        <w:rPr>
          <w:b w:val="0"/>
          <w:i w:val="0"/>
        </w:rPr>
        <w:t xml:space="preserve">Absolute — </w:t>
      </w:r>
      <w:hyperlink w:anchor="separation-and-abstraction">
        <w:r>
          <w:rPr>
            <w:color w:val="000000"/>
          </w:rPr>
          <w:t xml:space="preserve">Separation and abstraction</w:t>
        </w:r>
      </w:hyperlink>
    </w:p>
    <w:p>
      <w:pPr>
        <w:ind w:left="187" w:hanging="187"/>
      </w:pPr>
      <w:r>
        <w:t xml:space="preserve">• </w:t>
      </w:r>
      <w:r>
        <w:rPr>
          <w:b w:val="0"/>
          <w:i w:val="0"/>
        </w:rPr>
        <w:t xml:space="preserve">Accident — </w:t>
      </w:r>
      <w:hyperlink w:anchor="substance-and-accident">
        <w:r>
          <w:rPr>
            <w:color w:val="000000"/>
          </w:rPr>
          <w:t xml:space="preserve">Substance and accident</w:t>
        </w:r>
      </w:hyperlink>
    </w:p>
    <w:p>
      <w:pPr>
        <w:ind w:left="187" w:hanging="187"/>
      </w:pPr>
      <w:r>
        <w:t xml:space="preserve">• </w:t>
      </w:r>
      <w:r>
        <w:rPr>
          <w:b w:val="0"/>
          <w:i w:val="0"/>
        </w:rPr>
        <w:t xml:space="preserve">Acquired power — </w:t>
      </w:r>
      <w:hyperlink w:anchor="power-and-potency">
        <w:r>
          <w:rPr>
            <w:color w:val="000000"/>
          </w:rPr>
          <w:t xml:space="preserve">Power and potency</w:t>
        </w:r>
      </w:hyperlink>
    </w:p>
    <w:p>
      <w:pPr>
        <w:ind w:left="187" w:hanging="187"/>
      </w:pPr>
      <w:r>
        <w:t xml:space="preserve">• </w:t>
      </w:r>
      <w:r>
        <w:rPr>
          <w:b w:val="0"/>
          <w:i w:val="0"/>
        </w:rPr>
        <w:t xml:space="preserve">Act — </w:t>
      </w:r>
      <w:hyperlink w:anchor="act-and-operation">
        <w:r>
          <w:rPr>
            <w:color w:val="000000"/>
          </w:rPr>
          <w:t xml:space="preserve">Act and operation</w:t>
        </w:r>
      </w:hyperlink>
    </w:p>
    <w:p>
      <w:pPr>
        <w:ind w:left="187" w:hanging="187"/>
      </w:pPr>
      <w:r>
        <w:t xml:space="preserve">• </w:t>
      </w:r>
      <w:r>
        <w:rPr>
          <w:b w:val="0"/>
          <w:i w:val="0"/>
        </w:rPr>
        <w:t xml:space="preserve">Act and potency — </w:t>
      </w:r>
      <w:hyperlink w:anchor="act-and-operation">
        <w:r>
          <w:rPr>
            <w:color w:val="000000"/>
          </w:rPr>
          <w:t xml:space="preserve">Act and operation</w:t>
        </w:r>
      </w:hyperlink>
    </w:p>
    <w:p>
      <w:pPr>
        <w:ind w:left="187" w:hanging="187"/>
      </w:pPr>
      <w:r>
        <w:t xml:space="preserve">• </w:t>
      </w:r>
      <w:r>
        <w:rPr>
          <w:b w:val="0"/>
          <w:i w:val="0"/>
        </w:rPr>
        <w:t xml:space="preserve">Act, action, and operation — </w:t>
      </w:r>
      <w:hyperlink w:anchor="act-and-operation">
        <w:r>
          <w:rPr>
            <w:color w:val="000000"/>
          </w:rPr>
          <w:t xml:space="preserve">Act and operation</w:t>
        </w:r>
      </w:hyperlink>
    </w:p>
    <w:p>
      <w:pPr>
        <w:ind w:left="187" w:hanging="187"/>
      </w:pPr>
      <w:r>
        <w:t xml:space="preserve">• </w:t>
      </w:r>
      <w:r>
        <w:rPr>
          <w:b w:val="0"/>
          <w:i w:val="0"/>
        </w:rPr>
        <w:t xml:space="preserve">Act, action, operation — </w:t>
      </w:r>
      <w:hyperlink w:anchor="act-and-operation">
        <w:r>
          <w:rPr>
            <w:color w:val="000000"/>
          </w:rPr>
          <w:t xml:space="preserve">Act and operation</w:t>
        </w:r>
      </w:hyperlink>
    </w:p>
    <w:p>
      <w:pPr>
        <w:ind w:left="187" w:hanging="187"/>
      </w:pPr>
      <w:r>
        <w:t xml:space="preserve">• </w:t>
      </w:r>
      <w:r>
        <w:rPr>
          <w:b w:val="0"/>
          <w:i w:val="0"/>
        </w:rPr>
        <w:t xml:space="preserve">Actuality — </w:t>
      </w:r>
      <w:hyperlink w:anchor="act-and-operation">
        <w:r>
          <w:rPr>
            <w:color w:val="000000"/>
          </w:rPr>
          <w:t xml:space="preserve">Act and operation</w:t>
        </w:r>
      </w:hyperlink>
    </w:p>
    <w:p>
      <w:pPr>
        <w:ind w:left="187" w:hanging="187"/>
      </w:pPr>
      <w:r>
        <w:t xml:space="preserve">• </w:t>
      </w:r>
      <w:r>
        <w:rPr>
          <w:b w:val="0"/>
          <w:i w:val="0"/>
        </w:rPr>
        <w:t xml:space="preserve">Actuality and potency — </w:t>
      </w:r>
      <w:hyperlink w:anchor="act-and-operation">
        <w:r>
          <w:rPr>
            <w:color w:val="000000"/>
          </w:rPr>
          <w:t xml:space="preserve">Act and operation</w:t>
        </w:r>
      </w:hyperlink>
    </w:p>
    <w:p>
      <w:pPr>
        <w:ind w:left="187" w:hanging="187"/>
      </w:pPr>
      <w:r>
        <w:t xml:space="preserve">• </w:t>
      </w:r>
      <w:r>
        <w:rPr>
          <w:b w:val="0"/>
          <w:i w:val="0"/>
        </w:rPr>
        <w:t xml:space="preserve">Affection — </w:t>
      </w:r>
      <w:hyperlink w:anchor="affection-and-passivity">
        <w:r>
          <w:rPr>
            <w:color w:val="000000"/>
          </w:rPr>
          <w:t xml:space="preserve">Affection and passivity</w:t>
        </w:r>
      </w:hyperlink>
      <w:r>
        <w:rPr>
          <w:b w:val="0"/>
          <w:i w:val="0"/>
        </w:rPr>
        <w:t xml:space="preserve">; </w:t>
      </w:r>
      <w:hyperlink w:anchor="affect">
        <w:r>
          <w:rPr>
            <w:color w:val="000000"/>
          </w:rPr>
          <w:t xml:space="preserve">Affect</w:t>
        </w:r>
      </w:hyperlink>
    </w:p>
    <w:p>
      <w:pPr>
        <w:ind w:left="187" w:hanging="187"/>
      </w:pPr>
      <w:r>
        <w:t xml:space="preserve">• </w:t>
      </w:r>
      <w:r>
        <w:rPr>
          <w:b w:val="0"/>
          <w:i w:val="0"/>
        </w:rPr>
        <w:t xml:space="preserve">Agent — </w:t>
      </w:r>
      <w:hyperlink w:anchor="cause">
        <w:r>
          <w:rPr>
            <w:color w:val="000000"/>
          </w:rPr>
          <w:t xml:space="preserve">Cause</w:t>
        </w:r>
      </w:hyperlink>
    </w:p>
    <w:p>
      <w:pPr>
        <w:ind w:left="187" w:hanging="187"/>
      </w:pPr>
      <w:r>
        <w:t xml:space="preserve">• </w:t>
      </w:r>
      <w:r>
        <w:rPr>
          <w:b w:val="0"/>
          <w:i w:val="0"/>
        </w:rPr>
        <w:t xml:space="preserve">Angelic mind — </w:t>
      </w:r>
      <w:hyperlink w:anchor="angel">
        <w:r>
          <w:rPr>
            <w:color w:val="000000"/>
          </w:rPr>
          <w:t xml:space="preserve">Angel</w:t>
        </w:r>
      </w:hyperlink>
    </w:p>
    <w:p>
      <w:pPr>
        <w:ind w:left="187" w:hanging="187"/>
      </w:pPr>
      <w:r>
        <w:t xml:space="preserve">• </w:t>
      </w:r>
      <w:r>
        <w:rPr>
          <w:b w:val="0"/>
          <w:i w:val="0"/>
        </w:rPr>
        <w:t xml:space="preserve">Animating; animal — </w:t>
      </w:r>
      <w:hyperlink w:anchor="animating-and-animal">
        <w:r>
          <w:rPr>
            <w:color w:val="000000"/>
          </w:rPr>
          <w:t xml:space="preserve">Animating and animal</w:t>
        </w:r>
      </w:hyperlink>
    </w:p>
    <w:p>
      <w:pPr>
        <w:ind w:left="187" w:hanging="187"/>
      </w:pPr>
      <w:r>
        <w:t xml:space="preserve">• </w:t>
      </w:r>
      <w:r>
        <w:rPr>
          <w:b w:val="0"/>
          <w:i w:val="0"/>
        </w:rPr>
        <w:t xml:space="preserve">Appetite — </w:t>
      </w:r>
      <w:hyperlink w:anchor="appetite-and-desire">
        <w:r>
          <w:rPr>
            <w:color w:val="000000"/>
          </w:rPr>
          <w:t xml:space="preserve">Appetite and desire</w:t>
        </w:r>
      </w:hyperlink>
    </w:p>
    <w:p>
      <w:pPr>
        <w:ind w:left="187" w:hanging="187"/>
      </w:pPr>
      <w:r>
        <w:t xml:space="preserve">• </w:t>
      </w:r>
      <w:r>
        <w:rPr>
          <w:b w:val="0"/>
          <w:i w:val="0"/>
        </w:rPr>
        <w:t xml:space="preserve">Appetite and inclination — </w:t>
      </w:r>
      <w:hyperlink w:anchor="appetite-and-desire">
        <w:r>
          <w:rPr>
            <w:color w:val="000000"/>
          </w:rPr>
          <w:t xml:space="preserve">Appetite and desire</w:t>
        </w:r>
      </w:hyperlink>
    </w:p>
    <w:p>
      <w:pPr>
        <w:ind w:left="187" w:hanging="187"/>
      </w:pPr>
      <w:r>
        <w:t xml:space="preserve">• </w:t>
      </w:r>
      <w:r>
        <w:rPr>
          <w:b w:val="0"/>
          <w:i w:val="0"/>
        </w:rPr>
        <w:t xml:space="preserve">Apprehension — </w:t>
      </w:r>
      <w:hyperlink w:anchor="intellect-and-intellection">
        <w:r>
          <w:rPr>
            <w:color w:val="000000"/>
          </w:rPr>
          <w:t xml:space="preserve">Intellect and intellection</w:t>
        </w:r>
      </w:hyperlink>
    </w:p>
    <w:p>
      <w:pPr>
        <w:ind w:left="187" w:hanging="187"/>
      </w:pPr>
      <w:r>
        <w:t xml:space="preserve">• </w:t>
      </w:r>
      <w:r>
        <w:rPr>
          <w:b w:val="0"/>
          <w:i w:val="0"/>
        </w:rPr>
        <w:t xml:space="preserve">Art — </w:t>
      </w:r>
      <w:hyperlink w:anchor="art-and-nature">
        <w:r>
          <w:rPr>
            <w:color w:val="000000"/>
          </w:rPr>
          <w:t xml:space="preserve">Art and nature</w:t>
        </w:r>
      </w:hyperlink>
    </w:p>
    <w:p>
      <w:pPr>
        <w:ind w:left="187" w:hanging="187"/>
      </w:pPr>
      <w:r>
        <w:t xml:space="preserve">• </w:t>
      </w:r>
      <w:r>
        <w:rPr>
          <w:b w:val="0"/>
          <w:i w:val="0"/>
        </w:rPr>
        <w:t xml:space="preserve">Art, craft, and architect — </w:t>
      </w:r>
      <w:hyperlink w:anchor="art-and-nature">
        <w:r>
          <w:rPr>
            <w:color w:val="000000"/>
          </w:rPr>
          <w:t xml:space="preserve">Art and nature</w:t>
        </w:r>
      </w:hyperlink>
    </w:p>
    <w:p>
      <w:pPr>
        <w:ind w:left="187" w:hanging="187"/>
      </w:pPr>
      <w:r>
        <w:t xml:space="preserve">• </w:t>
      </w:r>
      <w:r>
        <w:rPr>
          <w:b w:val="0"/>
          <w:i w:val="0"/>
        </w:rPr>
        <w:t xml:space="preserve">Bare nature — </w:t>
      </w:r>
      <w:hyperlink w:anchor="art-and-nature">
        <w:r>
          <w:rPr>
            <w:color w:val="000000"/>
          </w:rPr>
          <w:t xml:space="preserve">Art and nature</w:t>
        </w:r>
      </w:hyperlink>
    </w:p>
    <w:p>
      <w:pPr>
        <w:ind w:left="187" w:hanging="187"/>
      </w:pPr>
      <w:r>
        <w:t xml:space="preserve">• </w:t>
      </w:r>
      <w:r>
        <w:rPr>
          <w:b w:val="0"/>
          <w:i w:val="0"/>
        </w:rPr>
        <w:t xml:space="preserve">Being well — </w:t>
      </w:r>
      <w:hyperlink w:anchor="good-and-goodness">
        <w:r>
          <w:rPr>
            <w:color w:val="000000"/>
          </w:rPr>
          <w:t xml:space="preserve">Good and goodness</w:t>
        </w:r>
      </w:hyperlink>
    </w:p>
    <w:p>
      <w:pPr>
        <w:ind w:left="187" w:hanging="187"/>
      </w:pPr>
      <w:r>
        <w:t xml:space="preserve">• </w:t>
      </w:r>
      <w:r>
        <w:rPr>
          <w:b w:val="0"/>
          <w:i w:val="0"/>
        </w:rPr>
        <w:t xml:space="preserve">Body — </w:t>
      </w:r>
      <w:hyperlink w:anchor="body-and-bulk">
        <w:r>
          <w:rPr>
            <w:color w:val="000000"/>
          </w:rPr>
          <w:t xml:space="preserve">Body and bulk</w:t>
        </w:r>
      </w:hyperlink>
    </w:p>
    <w:p>
      <w:pPr>
        <w:ind w:left="187" w:hanging="187"/>
      </w:pPr>
      <w:r>
        <w:t xml:space="preserve">• </w:t>
      </w:r>
      <w:r>
        <w:rPr>
          <w:b w:val="0"/>
          <w:i w:val="0"/>
        </w:rPr>
        <w:t xml:space="preserve">Cause and principle — </w:t>
      </w:r>
      <w:hyperlink w:anchor="cause">
        <w:r>
          <w:rPr>
            <w:color w:val="000000"/>
          </w:rPr>
          <w:t xml:space="preserve">Cause</w:t>
        </w:r>
      </w:hyperlink>
    </w:p>
    <w:p>
      <w:pPr>
        <w:ind w:left="187" w:hanging="187"/>
      </w:pPr>
      <w:r>
        <w:t xml:space="preserve">• </w:t>
      </w:r>
      <w:r>
        <w:rPr>
          <w:b w:val="0"/>
          <w:i w:val="0"/>
        </w:rPr>
        <w:t xml:space="preserve">Choice — </w:t>
      </w:r>
      <w:hyperlink w:anchor="choice-and-free-judgment">
        <w:r>
          <w:rPr>
            <w:color w:val="000000"/>
          </w:rPr>
          <w:t xml:space="preserve">Choice and free judgment</w:t>
        </w:r>
      </w:hyperlink>
    </w:p>
    <w:p>
      <w:pPr>
        <w:ind w:left="187" w:hanging="187"/>
      </w:pPr>
      <w:r>
        <w:t xml:space="preserve">• </w:t>
      </w:r>
      <w:r>
        <w:rPr>
          <w:b w:val="0"/>
          <w:i w:val="0"/>
        </w:rPr>
        <w:t xml:space="preserve">Church approval — </w:t>
      </w:r>
      <w:hyperlink w:anchor="philosophy-and-theology">
        <w:r>
          <w:rPr>
            <w:color w:val="000000"/>
          </w:rPr>
          <w:t xml:space="preserve">Philosophy and theology</w:t>
        </w:r>
      </w:hyperlink>
    </w:p>
    <w:p>
      <w:pPr>
        <w:ind w:left="187" w:hanging="187"/>
      </w:pPr>
      <w:r>
        <w:t xml:space="preserve">• </w:t>
      </w:r>
      <w:r>
        <w:rPr>
          <w:b w:val="0"/>
          <w:i w:val="0"/>
        </w:rPr>
        <w:t xml:space="preserve">Circle — </w:t>
      </w:r>
      <w:hyperlink w:anchor="circularity-and-return">
        <w:r>
          <w:rPr>
            <w:color w:val="000000"/>
          </w:rPr>
          <w:t xml:space="preserve">Circularity and return</w:t>
        </w:r>
      </w:hyperlink>
    </w:p>
    <w:p>
      <w:pPr>
        <w:ind w:left="187" w:hanging="187"/>
      </w:pPr>
      <w:r>
        <w:t xml:space="preserve">• </w:t>
      </w:r>
      <w:r>
        <w:rPr>
          <w:b w:val="0"/>
          <w:i w:val="0"/>
        </w:rPr>
        <w:t xml:space="preserve">Circle and circuit — </w:t>
      </w:r>
      <w:hyperlink w:anchor="circularity-and-return">
        <w:r>
          <w:rPr>
            <w:color w:val="000000"/>
          </w:rPr>
          <w:t xml:space="preserve">Circularity and return</w:t>
        </w:r>
      </w:hyperlink>
    </w:p>
    <w:p>
      <w:pPr>
        <w:ind w:left="187" w:hanging="187"/>
      </w:pPr>
      <w:r>
        <w:t xml:space="preserve">• </w:t>
      </w:r>
      <w:r>
        <w:rPr>
          <w:b w:val="0"/>
          <w:i w:val="0"/>
        </w:rPr>
        <w:t xml:space="preserve">Circularity and reflection — </w:t>
      </w:r>
      <w:hyperlink w:anchor="circularity-and-return">
        <w:r>
          <w:rPr>
            <w:color w:val="000000"/>
          </w:rPr>
          <w:t xml:space="preserve">Circularity and return</w:t>
        </w:r>
      </w:hyperlink>
    </w:p>
    <w:p>
      <w:pPr>
        <w:ind w:left="187" w:hanging="187"/>
      </w:pPr>
      <w:r>
        <w:t xml:space="preserve">• </w:t>
      </w:r>
      <w:r>
        <w:rPr>
          <w:b w:val="0"/>
          <w:i w:val="0"/>
        </w:rPr>
        <w:t xml:space="preserve">Cognition — </w:t>
      </w:r>
      <w:hyperlink w:anchor="intellect-and-intellection">
        <w:r>
          <w:rPr>
            <w:color w:val="000000"/>
          </w:rPr>
          <w:t xml:space="preserve">Intellect and intellection</w:t>
        </w:r>
      </w:hyperlink>
    </w:p>
    <w:p>
      <w:pPr>
        <w:ind w:left="187" w:hanging="187"/>
      </w:pPr>
      <w:r>
        <w:t xml:space="preserve">• </w:t>
      </w:r>
      <w:r>
        <w:rPr>
          <w:b w:val="0"/>
          <w:i w:val="0"/>
        </w:rPr>
        <w:t xml:space="preserve">Common — </w:t>
      </w:r>
      <w:hyperlink w:anchor="simplicity-and-composition">
        <w:r>
          <w:rPr>
            <w:color w:val="000000"/>
          </w:rPr>
          <w:t xml:space="preserve">Simplicity and composition</w:t>
        </w:r>
      </w:hyperlink>
    </w:p>
    <w:p>
      <w:pPr>
        <w:ind w:left="187" w:hanging="187"/>
      </w:pPr>
      <w:r>
        <w:t xml:space="preserve">• </w:t>
      </w:r>
      <w:r>
        <w:rPr>
          <w:b w:val="0"/>
          <w:i w:val="0"/>
        </w:rPr>
        <w:t xml:space="preserve">Common qualities — </w:t>
      </w:r>
      <w:hyperlink w:anchor="ideas-and-exemplars">
        <w:r>
          <w:rPr>
            <w:color w:val="000000"/>
          </w:rPr>
          <w:t xml:space="preserve">Ideas and exemplars</w:t>
        </w:r>
      </w:hyperlink>
    </w:p>
    <w:p>
      <w:pPr>
        <w:ind w:left="187" w:hanging="187"/>
      </w:pPr>
      <w:r>
        <w:t xml:space="preserve">• </w:t>
      </w:r>
      <w:r>
        <w:rPr>
          <w:b w:val="0"/>
          <w:i w:val="0"/>
        </w:rPr>
        <w:t xml:space="preserve">Considered in itself — </w:t>
      </w:r>
      <w:hyperlink w:anchor="body-and-bulk">
        <w:r>
          <w:rPr>
            <w:color w:val="000000"/>
          </w:rPr>
          <w:t xml:space="preserve">Body and bulk</w:t>
        </w:r>
      </w:hyperlink>
    </w:p>
    <w:p>
      <w:pPr>
        <w:ind w:left="187" w:hanging="187"/>
      </w:pPr>
      <w:r>
        <w:t xml:space="preserve">• </w:t>
      </w:r>
      <w:r>
        <w:rPr>
          <w:b w:val="0"/>
          <w:i w:val="0"/>
        </w:rPr>
        <w:t xml:space="preserve">Contemplation (attentive intellectual consideration) — </w:t>
      </w:r>
      <w:hyperlink w:anchor="philosophy-and-theology">
        <w:r>
          <w:rPr>
            <w:color w:val="000000"/>
          </w:rPr>
          <w:t xml:space="preserve">Philosophy and theology</w:t>
        </w:r>
      </w:hyperlink>
    </w:p>
    <w:p>
      <w:pPr>
        <w:ind w:left="187" w:hanging="187"/>
      </w:pPr>
      <w:r>
        <w:t xml:space="preserve">• </w:t>
      </w:r>
      <w:r>
        <w:rPr>
          <w:b w:val="0"/>
          <w:i w:val="0"/>
        </w:rPr>
        <w:t xml:space="preserve">Continuum — </w:t>
      </w:r>
      <w:hyperlink w:anchor="infinity">
        <w:r>
          <w:rPr>
            <w:color w:val="000000"/>
          </w:rPr>
          <w:t xml:space="preserve">Infinity</w:t>
        </w:r>
      </w:hyperlink>
    </w:p>
    <w:p>
      <w:pPr>
        <w:ind w:left="187" w:hanging="187"/>
      </w:pPr>
      <w:r>
        <w:t xml:space="preserve">• </w:t>
      </w:r>
      <w:r>
        <w:rPr>
          <w:b w:val="0"/>
          <w:i w:val="0"/>
        </w:rPr>
        <w:t xml:space="preserve">Contracted — </w:t>
      </w:r>
      <w:hyperlink w:anchor="separation-and-abstraction">
        <w:r>
          <w:rPr>
            <w:color w:val="000000"/>
          </w:rPr>
          <w:t xml:space="preserve">Separation and abstraction</w:t>
        </w:r>
      </w:hyperlink>
    </w:p>
    <w:p>
      <w:pPr>
        <w:ind w:left="187" w:hanging="187"/>
      </w:pPr>
      <w:r>
        <w:t xml:space="preserve">• </w:t>
      </w:r>
      <w:r>
        <w:rPr>
          <w:b w:val="0"/>
          <w:i w:val="0"/>
        </w:rPr>
        <w:t xml:space="preserve">Contradiction — </w:t>
      </w:r>
      <w:hyperlink w:anchor="infinity">
        <w:r>
          <w:rPr>
            <w:color w:val="000000"/>
          </w:rPr>
          <w:t xml:space="preserve">Infinity</w:t>
        </w:r>
      </w:hyperlink>
    </w:p>
    <w:p>
      <w:pPr>
        <w:ind w:left="187" w:hanging="187"/>
      </w:pPr>
      <w:r>
        <w:t xml:space="preserve">• </w:t>
      </w:r>
      <w:r>
        <w:rPr>
          <w:b w:val="0"/>
          <w:i w:val="0"/>
        </w:rPr>
        <w:t xml:space="preserve">Creation and generation — </w:t>
      </w:r>
      <w:hyperlink w:anchor="generation-and-corruption">
        <w:r>
          <w:rPr>
            <w:color w:val="000000"/>
          </w:rPr>
          <w:t xml:space="preserve">Generation and corruption</w:t>
        </w:r>
      </w:hyperlink>
    </w:p>
    <w:p>
      <w:pPr>
        <w:ind w:left="187" w:hanging="187"/>
      </w:pPr>
      <w:r>
        <w:t xml:space="preserve">• </w:t>
      </w:r>
      <w:r>
        <w:rPr>
          <w:b w:val="0"/>
          <w:i w:val="0"/>
        </w:rPr>
        <w:t xml:space="preserve">Decrease — </w:t>
      </w:r>
      <w:hyperlink w:anchor="form">
        <w:r>
          <w:rPr>
            <w:color w:val="000000"/>
          </w:rPr>
          <w:t xml:space="preserve">Form</w:t>
        </w:r>
      </w:hyperlink>
    </w:p>
    <w:p>
      <w:pPr>
        <w:ind w:left="187" w:hanging="187"/>
      </w:pPr>
      <w:r>
        <w:t xml:space="preserve">• </w:t>
      </w:r>
      <w:r>
        <w:rPr>
          <w:b w:val="0"/>
          <w:i w:val="0"/>
        </w:rPr>
        <w:t xml:space="preserve">Degree and middle — </w:t>
      </w:r>
      <w:hyperlink w:anchor="degree-and-mediation">
        <w:r>
          <w:rPr>
            <w:color w:val="000000"/>
          </w:rPr>
          <w:t xml:space="preserve">Degree and mediation</w:t>
        </w:r>
      </w:hyperlink>
    </w:p>
    <w:p>
      <w:pPr>
        <w:ind w:left="187" w:hanging="187"/>
      </w:pPr>
      <w:r>
        <w:t xml:space="preserve">• </w:t>
      </w:r>
      <w:r>
        <w:rPr>
          <w:b w:val="0"/>
          <w:i w:val="0"/>
        </w:rPr>
        <w:t xml:space="preserve">Determinate matter — </w:t>
      </w:r>
      <w:hyperlink w:anchor="separation-and-abstraction">
        <w:r>
          <w:rPr>
            <w:color w:val="000000"/>
          </w:rPr>
          <w:t xml:space="preserve">Separation and abstraction</w:t>
        </w:r>
      </w:hyperlink>
    </w:p>
    <w:p>
      <w:pPr>
        <w:ind w:left="187" w:hanging="187"/>
      </w:pPr>
      <w:r>
        <w:t xml:space="preserve">• </w:t>
      </w:r>
      <w:r>
        <w:rPr>
          <w:b w:val="0"/>
          <w:i w:val="0"/>
        </w:rPr>
        <w:t xml:space="preserve">Dignity (rank and fullness of being in the hierarchy) — </w:t>
      </w:r>
      <w:hyperlink w:anchor="degree-and-mediation">
        <w:r>
          <w:rPr>
            <w:color w:val="000000"/>
          </w:rPr>
          <w:t xml:space="preserve">Degree and mediation</w:t>
        </w:r>
      </w:hyperlink>
    </w:p>
    <w:p>
      <w:pPr>
        <w:ind w:left="187" w:hanging="187"/>
      </w:pPr>
      <w:r>
        <w:t xml:space="preserve">• </w:t>
      </w:r>
      <w:r>
        <w:rPr>
          <w:b w:val="0"/>
          <w:i w:val="0"/>
        </w:rPr>
        <w:t xml:space="preserve">Discourse — </w:t>
      </w:r>
      <w:hyperlink w:anchor="intuition-and-discourse">
        <w:r>
          <w:rPr>
            <w:color w:val="000000"/>
          </w:rPr>
          <w:t xml:space="preserve">Intuition and discourse</w:t>
        </w:r>
      </w:hyperlink>
    </w:p>
    <w:p>
      <w:pPr>
        <w:ind w:left="187" w:hanging="187"/>
      </w:pPr>
      <w:r>
        <w:t xml:space="preserve">• </w:t>
      </w:r>
      <w:r>
        <w:rPr>
          <w:b w:val="0"/>
          <w:i w:val="0"/>
        </w:rPr>
        <w:t xml:space="preserve">Discursive succession — </w:t>
      </w:r>
      <w:hyperlink w:anchor="intuition-and-discourse">
        <w:r>
          <w:rPr>
            <w:color w:val="000000"/>
          </w:rPr>
          <w:t xml:space="preserve">Intuition and discourse</w:t>
        </w:r>
      </w:hyperlink>
    </w:p>
    <w:p>
      <w:pPr>
        <w:ind w:left="187" w:hanging="187"/>
      </w:pPr>
      <w:r>
        <w:t xml:space="preserve">• </w:t>
      </w:r>
      <w:r>
        <w:rPr>
          <w:b w:val="0"/>
          <w:i w:val="0"/>
        </w:rPr>
        <w:t xml:space="preserve">Disposition — </w:t>
      </w:r>
      <w:hyperlink w:anchor="habitual-possession">
        <w:r>
          <w:rPr>
            <w:color w:val="000000"/>
          </w:rPr>
          <w:t xml:space="preserve">Habitual possession</w:t>
        </w:r>
      </w:hyperlink>
    </w:p>
    <w:p>
      <w:pPr>
        <w:ind w:left="187" w:hanging="187"/>
      </w:pPr>
      <w:r>
        <w:t xml:space="preserve">• </w:t>
      </w:r>
      <w:r>
        <w:rPr>
          <w:b w:val="0"/>
          <w:i w:val="0"/>
        </w:rPr>
        <w:t xml:space="preserve">Divine law — </w:t>
      </w:r>
      <w:hyperlink w:anchor="philosophy-and-theology">
        <w:r>
          <w:rPr>
            <w:color w:val="000000"/>
          </w:rPr>
          <w:t xml:space="preserve">Philosophy and theology</w:t>
        </w:r>
      </w:hyperlink>
    </w:p>
    <w:p>
      <w:pPr>
        <w:ind w:left="187" w:hanging="187"/>
      </w:pPr>
      <w:r>
        <w:t xml:space="preserve">• </w:t>
      </w:r>
      <w:r>
        <w:rPr>
          <w:b w:val="0"/>
          <w:i w:val="0"/>
        </w:rPr>
        <w:t xml:space="preserve">Divisibility — </w:t>
      </w:r>
      <w:hyperlink w:anchor="indivisibility">
        <w:r>
          <w:rPr>
            <w:color w:val="000000"/>
          </w:rPr>
          <w:t xml:space="preserve">Indivisibility</w:t>
        </w:r>
      </w:hyperlink>
    </w:p>
    <w:p>
      <w:pPr>
        <w:ind w:left="187" w:hanging="187"/>
      </w:pPr>
      <w:r>
        <w:t xml:space="preserve">• </w:t>
      </w:r>
      <w:r>
        <w:rPr>
          <w:b w:val="0"/>
          <w:i w:val="0"/>
        </w:rPr>
        <w:t xml:space="preserve">Divisibility and indivisibility — </w:t>
      </w:r>
      <w:hyperlink w:anchor="indivisibility">
        <w:r>
          <w:rPr>
            <w:color w:val="000000"/>
          </w:rPr>
          <w:t xml:space="preserve">Indivisibility</w:t>
        </w:r>
      </w:hyperlink>
    </w:p>
    <w:p>
      <w:pPr>
        <w:ind w:left="187" w:hanging="187"/>
      </w:pPr>
      <w:r>
        <w:t xml:space="preserve">• </w:t>
      </w:r>
      <w:r>
        <w:rPr>
          <w:b w:val="0"/>
          <w:i w:val="0"/>
        </w:rPr>
        <w:t xml:space="preserve">Earth-soul — </w:t>
      </w:r>
      <w:hyperlink w:anchor="earth-soul">
        <w:r>
          <w:rPr>
            <w:color w:val="000000"/>
          </w:rPr>
          <w:t xml:space="preserve">Earth soul</w:t>
        </w:r>
      </w:hyperlink>
    </w:p>
    <w:p>
      <w:pPr>
        <w:ind w:left="187" w:hanging="187"/>
      </w:pPr>
      <w:r>
        <w:t xml:space="preserve">• </w:t>
      </w:r>
      <w:r>
        <w:rPr>
          <w:b w:val="0"/>
          <w:i w:val="0"/>
        </w:rPr>
        <w:t xml:space="preserve">Efficacy — </w:t>
      </w:r>
      <w:hyperlink w:anchor="power-and-potency">
        <w:r>
          <w:rPr>
            <w:color w:val="000000"/>
          </w:rPr>
          <w:t xml:space="preserve">Power and potency</w:t>
        </w:r>
      </w:hyperlink>
    </w:p>
    <w:p>
      <w:pPr>
        <w:ind w:left="187" w:hanging="187"/>
      </w:pPr>
      <w:r>
        <w:t xml:space="preserve">• </w:t>
      </w:r>
      <w:r>
        <w:rPr>
          <w:b w:val="0"/>
          <w:i w:val="0"/>
        </w:rPr>
        <w:t xml:space="preserve">Emanation — </w:t>
      </w:r>
      <w:hyperlink w:anchor="procession-and-return">
        <w:r>
          <w:rPr>
            <w:color w:val="000000"/>
          </w:rPr>
          <w:t xml:space="preserve">Procession and return</w:t>
        </w:r>
      </w:hyperlink>
    </w:p>
    <w:p>
      <w:pPr>
        <w:ind w:left="187" w:hanging="187"/>
      </w:pPr>
      <w:r>
        <w:t xml:space="preserve">• </w:t>
      </w:r>
      <w:r>
        <w:rPr>
          <w:b w:val="0"/>
          <w:i w:val="0"/>
        </w:rPr>
        <w:t xml:space="preserve">Eminent power — </w:t>
      </w:r>
      <w:hyperlink w:anchor="participation">
        <w:r>
          <w:rPr>
            <w:color w:val="000000"/>
          </w:rPr>
          <w:t xml:space="preserve">Participation</w:t>
        </w:r>
      </w:hyperlink>
    </w:p>
    <w:p>
      <w:pPr>
        <w:ind w:left="187" w:hanging="187"/>
      </w:pPr>
      <w:r>
        <w:t xml:space="preserve">• </w:t>
      </w:r>
      <w:r>
        <w:rPr>
          <w:b w:val="0"/>
          <w:i w:val="0"/>
        </w:rPr>
        <w:t xml:space="preserve">Empyrean heaven — </w:t>
      </w:r>
      <w:hyperlink w:anchor="spheres-and-stars">
        <w:r>
          <w:rPr>
            <w:color w:val="000000"/>
          </w:rPr>
          <w:t xml:space="preserve">Spheres and stars</w:t>
        </w:r>
      </w:hyperlink>
    </w:p>
    <w:p>
      <w:pPr>
        <w:ind w:left="187" w:hanging="187"/>
      </w:pPr>
      <w:r>
        <w:t xml:space="preserve">• </w:t>
      </w:r>
      <w:r>
        <w:rPr>
          <w:b w:val="0"/>
          <w:i w:val="0"/>
        </w:rPr>
        <w:t xml:space="preserve">End — </w:t>
      </w:r>
      <w:hyperlink w:anchor="end-and-limit">
        <w:r>
          <w:rPr>
            <w:color w:val="000000"/>
          </w:rPr>
          <w:t xml:space="preserve">End and limit</w:t>
        </w:r>
      </w:hyperlink>
    </w:p>
    <w:p>
      <w:pPr>
        <w:ind w:left="187" w:hanging="187"/>
      </w:pPr>
      <w:r>
        <w:t xml:space="preserve">• </w:t>
      </w:r>
      <w:r>
        <w:rPr>
          <w:b w:val="0"/>
          <w:i w:val="0"/>
        </w:rPr>
        <w:t xml:space="preserve">Enfolding and unfolding — </w:t>
      </w:r>
      <w:hyperlink w:anchor="unity-and-multiplicity">
        <w:r>
          <w:rPr>
            <w:color w:val="000000"/>
          </w:rPr>
          <w:t xml:space="preserve">Unity and multiplicity</w:t>
        </w:r>
      </w:hyperlink>
    </w:p>
    <w:p>
      <w:pPr>
        <w:ind w:left="187" w:hanging="187"/>
      </w:pPr>
      <w:r>
        <w:t xml:space="preserve">• </w:t>
      </w:r>
      <w:r>
        <w:rPr>
          <w:b w:val="0"/>
          <w:i w:val="0"/>
        </w:rPr>
        <w:t xml:space="preserve">Essence — </w:t>
      </w:r>
      <w:hyperlink w:anchor="essence-and-substance">
        <w:r>
          <w:rPr>
            <w:color w:val="000000"/>
          </w:rPr>
          <w:t xml:space="preserve">Essence and substance</w:t>
        </w:r>
      </w:hyperlink>
    </w:p>
    <w:p>
      <w:pPr>
        <w:ind w:left="187" w:hanging="187"/>
      </w:pPr>
      <w:r>
        <w:t xml:space="preserve">• </w:t>
      </w:r>
      <w:r>
        <w:rPr>
          <w:b w:val="0"/>
          <w:i w:val="0"/>
        </w:rPr>
        <w:t xml:space="preserve">Essence and being — </w:t>
      </w:r>
      <w:hyperlink w:anchor="essence-and-substance">
        <w:r>
          <w:rPr>
            <w:color w:val="000000"/>
          </w:rPr>
          <w:t xml:space="preserve">Essence and substance</w:t>
        </w:r>
      </w:hyperlink>
    </w:p>
    <w:p>
      <w:pPr>
        <w:ind w:left="187" w:hanging="187"/>
      </w:pPr>
      <w:r>
        <w:t xml:space="preserve">• </w:t>
      </w:r>
      <w:r>
        <w:rPr>
          <w:b w:val="0"/>
          <w:i w:val="0"/>
        </w:rPr>
        <w:t xml:space="preserve">Essential instinct — </w:t>
      </w:r>
      <w:hyperlink w:anchor="appetite-and-desire">
        <w:r>
          <w:rPr>
            <w:color w:val="000000"/>
          </w:rPr>
          <w:t xml:space="preserve">Appetite and desire</w:t>
        </w:r>
      </w:hyperlink>
    </w:p>
    <w:p>
      <w:pPr>
        <w:ind w:left="187" w:hanging="187"/>
      </w:pPr>
      <w:r>
        <w:t xml:space="preserve">• </w:t>
      </w:r>
      <w:r>
        <w:rPr>
          <w:b w:val="0"/>
          <w:i w:val="0"/>
        </w:rPr>
        <w:t xml:space="preserve">Eternal age — </w:t>
      </w:r>
      <w:hyperlink w:anchor="eternity-and-time">
        <w:r>
          <w:rPr>
            <w:color w:val="000000"/>
          </w:rPr>
          <w:t xml:space="preserve">Eternity and time</w:t>
        </w:r>
      </w:hyperlink>
    </w:p>
    <w:p>
      <w:pPr>
        <w:ind w:left="187" w:hanging="187"/>
      </w:pPr>
      <w:r>
        <w:t xml:space="preserve">• </w:t>
      </w:r>
      <w:r>
        <w:rPr>
          <w:b w:val="0"/>
          <w:i w:val="0"/>
        </w:rPr>
        <w:t xml:space="preserve">Eternal motion — </w:t>
      </w:r>
      <w:hyperlink w:anchor="motion-and-stability">
        <w:r>
          <w:rPr>
            <w:color w:val="000000"/>
          </w:rPr>
          <w:t xml:space="preserve">Motion and stability</w:t>
        </w:r>
      </w:hyperlink>
    </w:p>
    <w:p>
      <w:pPr>
        <w:ind w:left="187" w:hanging="187"/>
      </w:pPr>
      <w:r>
        <w:t xml:space="preserve">• </w:t>
      </w:r>
      <w:r>
        <w:rPr>
          <w:b w:val="0"/>
          <w:i w:val="0"/>
        </w:rPr>
        <w:t xml:space="preserve">Eternity and always — </w:t>
      </w:r>
      <w:hyperlink w:anchor="eternity-and-time">
        <w:r>
          <w:rPr>
            <w:color w:val="000000"/>
          </w:rPr>
          <w:t xml:space="preserve">Eternity and time</w:t>
        </w:r>
      </w:hyperlink>
    </w:p>
    <w:p>
      <w:pPr>
        <w:ind w:left="187" w:hanging="187"/>
      </w:pPr>
      <w:r>
        <w:t xml:space="preserve">• </w:t>
      </w:r>
      <w:r>
        <w:rPr>
          <w:b w:val="0"/>
          <w:i w:val="0"/>
        </w:rPr>
        <w:t xml:space="preserve">Exemplar — </w:t>
      </w:r>
      <w:hyperlink w:anchor="ideas-and-exemplars">
        <w:r>
          <w:rPr>
            <w:color w:val="000000"/>
          </w:rPr>
          <w:t xml:space="preserve">Ideas and exemplars</w:t>
        </w:r>
      </w:hyperlink>
    </w:p>
    <w:p>
      <w:pPr>
        <w:ind w:left="187" w:hanging="187"/>
      </w:pPr>
      <w:r>
        <w:t xml:space="preserve">• </w:t>
      </w:r>
      <w:r>
        <w:rPr>
          <w:b w:val="0"/>
          <w:i w:val="0"/>
        </w:rPr>
        <w:t xml:space="preserve">Exemplar and image — </w:t>
      </w:r>
      <w:hyperlink w:anchor="image-and-likeness">
        <w:r>
          <w:rPr>
            <w:color w:val="000000"/>
          </w:rPr>
          <w:t xml:space="preserve">Image and likeness</w:t>
        </w:r>
      </w:hyperlink>
    </w:p>
    <w:p>
      <w:pPr>
        <w:ind w:left="187" w:hanging="187"/>
      </w:pPr>
      <w:r>
        <w:t xml:space="preserve">• </w:t>
      </w:r>
      <w:r>
        <w:rPr>
          <w:b w:val="0"/>
          <w:i w:val="0"/>
        </w:rPr>
        <w:t xml:space="preserve">First act — </w:t>
      </w:r>
      <w:hyperlink w:anchor="act-and-operation">
        <w:r>
          <w:rPr>
            <w:color w:val="000000"/>
          </w:rPr>
          <w:t xml:space="preserve">Act and operation</w:t>
        </w:r>
      </w:hyperlink>
    </w:p>
    <w:p>
      <w:pPr>
        <w:ind w:left="187" w:hanging="187"/>
      </w:pPr>
      <w:r>
        <w:t xml:space="preserve">• </w:t>
      </w:r>
      <w:r>
        <w:rPr>
          <w:b w:val="0"/>
          <w:i w:val="0"/>
        </w:rPr>
        <w:t xml:space="preserve">First time — </w:t>
      </w:r>
      <w:hyperlink w:anchor="eternity-and-time">
        <w:r>
          <w:rPr>
            <w:color w:val="000000"/>
          </w:rPr>
          <w:t xml:space="preserve">Eternity and time</w:t>
        </w:r>
      </w:hyperlink>
    </w:p>
    <w:p>
      <w:pPr>
        <w:ind w:left="187" w:hanging="187"/>
      </w:pPr>
      <w:r>
        <w:t xml:space="preserve">• </w:t>
      </w:r>
      <w:r>
        <w:rPr>
          <w:b w:val="0"/>
          <w:i w:val="0"/>
        </w:rPr>
        <w:t xml:space="preserve">Flux — </w:t>
      </w:r>
      <w:hyperlink w:anchor="motion-and-stability">
        <w:r>
          <w:rPr>
            <w:color w:val="000000"/>
          </w:rPr>
          <w:t xml:space="preserve">Motion and stability</w:t>
        </w:r>
      </w:hyperlink>
    </w:p>
    <w:p>
      <w:pPr>
        <w:ind w:left="187" w:hanging="187"/>
      </w:pPr>
      <w:r>
        <w:t xml:space="preserve">• </w:t>
      </w:r>
      <w:r>
        <w:rPr>
          <w:b w:val="0"/>
          <w:i w:val="0"/>
        </w:rPr>
        <w:t xml:space="preserve">Flux and stability — </w:t>
      </w:r>
      <w:hyperlink w:anchor="motion-and-stability">
        <w:r>
          <w:rPr>
            <w:color w:val="000000"/>
          </w:rPr>
          <w:t xml:space="preserve">Motion and stability</w:t>
        </w:r>
      </w:hyperlink>
    </w:p>
    <w:p>
      <w:pPr>
        <w:ind w:left="187" w:hanging="187"/>
      </w:pPr>
      <w:r>
        <w:t xml:space="preserve">• </w:t>
      </w:r>
      <w:r>
        <w:rPr>
          <w:b w:val="0"/>
          <w:i w:val="0"/>
        </w:rPr>
        <w:t xml:space="preserve">Form and species — </w:t>
      </w:r>
      <w:hyperlink w:anchor="form">
        <w:r>
          <w:rPr>
            <w:color w:val="000000"/>
          </w:rPr>
          <w:t xml:space="preserve">Form</w:t>
        </w:r>
      </w:hyperlink>
    </w:p>
    <w:p>
      <w:pPr>
        <w:ind w:left="187" w:hanging="187"/>
      </w:pPr>
      <w:r>
        <w:t xml:space="preserve">• </w:t>
      </w:r>
      <w:r>
        <w:rPr>
          <w:b w:val="0"/>
          <w:i w:val="0"/>
        </w:rPr>
        <w:t xml:space="preserve">Fountain — </w:t>
      </w:r>
      <w:hyperlink w:anchor="principle">
        <w:r>
          <w:rPr>
            <w:color w:val="000000"/>
          </w:rPr>
          <w:t xml:space="preserve">Principle</w:t>
        </w:r>
      </w:hyperlink>
    </w:p>
    <w:p>
      <w:pPr>
        <w:ind w:left="187" w:hanging="187"/>
      </w:pPr>
      <w:r>
        <w:t xml:space="preserve">• </w:t>
      </w:r>
      <w:r>
        <w:rPr>
          <w:b w:val="0"/>
          <w:i w:val="0"/>
        </w:rPr>
        <w:t xml:space="preserve">Free judgment — </w:t>
      </w:r>
      <w:hyperlink w:anchor="choice-and-free-judgment">
        <w:r>
          <w:rPr>
            <w:color w:val="000000"/>
          </w:rPr>
          <w:t xml:space="preserve">Choice and free judgment</w:t>
        </w:r>
      </w:hyperlink>
    </w:p>
    <w:p>
      <w:pPr>
        <w:ind w:left="187" w:hanging="187"/>
      </w:pPr>
      <w:r>
        <w:t xml:space="preserve">• </w:t>
      </w:r>
      <w:r>
        <w:rPr>
          <w:b w:val="0"/>
          <w:i w:val="0"/>
        </w:rPr>
        <w:t xml:space="preserve">Freedom — </w:t>
      </w:r>
      <w:hyperlink w:anchor="freedom-and-necessity">
        <w:r>
          <w:rPr>
            <w:color w:val="000000"/>
          </w:rPr>
          <w:t xml:space="preserve">Freedom and necessity</w:t>
        </w:r>
      </w:hyperlink>
    </w:p>
    <w:p>
      <w:pPr>
        <w:ind w:left="187" w:hanging="187"/>
      </w:pPr>
      <w:r>
        <w:t xml:space="preserve">• </w:t>
      </w:r>
      <w:r>
        <w:rPr>
          <w:b w:val="0"/>
          <w:i w:val="0"/>
        </w:rPr>
        <w:t xml:space="preserve">Generation — </w:t>
      </w:r>
      <w:hyperlink w:anchor="generation-and-corruption">
        <w:r>
          <w:rPr>
            <w:color w:val="000000"/>
          </w:rPr>
          <w:t xml:space="preserve">Generation and corruption</w:t>
        </w:r>
      </w:hyperlink>
    </w:p>
    <w:p>
      <w:pPr>
        <w:ind w:left="187" w:hanging="187"/>
      </w:pPr>
      <w:r>
        <w:t xml:space="preserve">• </w:t>
      </w:r>
      <w:r>
        <w:rPr>
          <w:b w:val="0"/>
          <w:i w:val="0"/>
        </w:rPr>
        <w:t xml:space="preserve">Generation and putrefaction — </w:t>
      </w:r>
      <w:hyperlink w:anchor="generation-and-corruption">
        <w:r>
          <w:rPr>
            <w:color w:val="000000"/>
          </w:rPr>
          <w:t xml:space="preserve">Generation and corruption</w:t>
        </w:r>
      </w:hyperlink>
    </w:p>
    <w:p>
      <w:pPr>
        <w:ind w:left="187" w:hanging="187"/>
      </w:pPr>
      <w:r>
        <w:t xml:space="preserve">• </w:t>
      </w:r>
      <w:r>
        <w:rPr>
          <w:b w:val="0"/>
          <w:i w:val="0"/>
        </w:rPr>
        <w:t xml:space="preserve">Good — </w:t>
      </w:r>
      <w:hyperlink w:anchor="good-and-goodness">
        <w:r>
          <w:rPr>
            <w:color w:val="000000"/>
          </w:rPr>
          <w:t xml:space="preserve">Good and goodness</w:t>
        </w:r>
      </w:hyperlink>
    </w:p>
    <w:p>
      <w:pPr>
        <w:ind w:left="187" w:hanging="187"/>
      </w:pPr>
      <w:r>
        <w:t xml:space="preserve">• </w:t>
      </w:r>
      <w:r>
        <w:rPr>
          <w:b w:val="0"/>
          <w:i w:val="0"/>
        </w:rPr>
        <w:t xml:space="preserve">Grade — </w:t>
      </w:r>
      <w:hyperlink w:anchor="degree-and-mediation">
        <w:r>
          <w:rPr>
            <w:color w:val="000000"/>
          </w:rPr>
          <w:t xml:space="preserve">Degree and mediation</w:t>
        </w:r>
      </w:hyperlink>
    </w:p>
    <w:p>
      <w:pPr>
        <w:ind w:left="187" w:hanging="187"/>
      </w:pPr>
      <w:r>
        <w:t xml:space="preserve">• </w:t>
      </w:r>
      <w:r>
        <w:rPr>
          <w:b w:val="0"/>
          <w:i w:val="0"/>
        </w:rPr>
        <w:t xml:space="preserve">Grade and middle — </w:t>
      </w:r>
      <w:hyperlink w:anchor="degree-and-mediation">
        <w:r>
          <w:rPr>
            <w:color w:val="000000"/>
          </w:rPr>
          <w:t xml:space="preserve">Degree and mediation</w:t>
        </w:r>
      </w:hyperlink>
    </w:p>
    <w:p>
      <w:pPr>
        <w:ind w:left="187" w:hanging="187"/>
      </w:pPr>
      <w:r>
        <w:t xml:space="preserve">• </w:t>
      </w:r>
      <w:r>
        <w:rPr>
          <w:b w:val="0"/>
          <w:i w:val="0"/>
        </w:rPr>
        <w:t xml:space="preserve">Habit — </w:t>
      </w:r>
      <w:hyperlink w:anchor="habitual-possession">
        <w:r>
          <w:rPr>
            <w:color w:val="000000"/>
          </w:rPr>
          <w:t xml:space="preserve">Habitual possession</w:t>
        </w:r>
      </w:hyperlink>
    </w:p>
    <w:p>
      <w:pPr>
        <w:ind w:left="187" w:hanging="187"/>
      </w:pPr>
      <w:r>
        <w:t xml:space="preserve">• </w:t>
      </w:r>
      <w:r>
        <w:rPr>
          <w:b w:val="0"/>
          <w:i w:val="0"/>
        </w:rPr>
        <w:t xml:space="preserve">Idea — </w:t>
      </w:r>
      <w:hyperlink w:anchor="ideas-and-exemplars">
        <w:r>
          <w:rPr>
            <w:color w:val="000000"/>
          </w:rPr>
          <w:t xml:space="preserve">Ideas and exemplars</w:t>
        </w:r>
      </w:hyperlink>
    </w:p>
    <w:p>
      <w:pPr>
        <w:ind w:left="187" w:hanging="187"/>
      </w:pPr>
      <w:r>
        <w:t xml:space="preserve">• </w:t>
      </w:r>
      <w:r>
        <w:rPr>
          <w:b w:val="0"/>
          <w:i w:val="0"/>
        </w:rPr>
        <w:t xml:space="preserve">Idea and exemplar — </w:t>
      </w:r>
      <w:hyperlink w:anchor="ideas-and-exemplars">
        <w:r>
          <w:rPr>
            <w:color w:val="000000"/>
          </w:rPr>
          <w:t xml:space="preserve">Ideas and exemplars</w:t>
        </w:r>
      </w:hyperlink>
    </w:p>
    <w:p>
      <w:pPr>
        <w:ind w:left="187" w:hanging="187"/>
      </w:pPr>
      <w:r>
        <w:t xml:space="preserve">• </w:t>
      </w:r>
      <w:r>
        <w:rPr>
          <w:b w:val="0"/>
          <w:i w:val="0"/>
        </w:rPr>
        <w:t xml:space="preserve">Ideas — </w:t>
      </w:r>
      <w:hyperlink w:anchor="ideas-and-exemplars">
        <w:r>
          <w:rPr>
            <w:color w:val="000000"/>
          </w:rPr>
          <w:t xml:space="preserve">Ideas and exemplars</w:t>
        </w:r>
      </w:hyperlink>
    </w:p>
    <w:p>
      <w:pPr>
        <w:ind w:left="187" w:hanging="187"/>
      </w:pPr>
      <w:r>
        <w:t xml:space="preserve">• </w:t>
      </w:r>
      <w:r>
        <w:rPr>
          <w:b w:val="0"/>
          <w:i w:val="0"/>
        </w:rPr>
        <w:t xml:space="preserve">Illumination, light, and shadow — </w:t>
      </w:r>
      <w:hyperlink w:anchor="light-and-illumination">
        <w:r>
          <w:rPr>
            <w:color w:val="000000"/>
          </w:rPr>
          <w:t xml:space="preserve">Light and illumination</w:t>
        </w:r>
      </w:hyperlink>
    </w:p>
    <w:p>
      <w:pPr>
        <w:ind w:left="187" w:hanging="187"/>
      </w:pPr>
      <w:r>
        <w:t xml:space="preserve">• </w:t>
      </w:r>
      <w:r>
        <w:rPr>
          <w:b w:val="0"/>
          <w:i w:val="0"/>
        </w:rPr>
        <w:t xml:space="preserve">Image, likeness, and shadow — </w:t>
      </w:r>
      <w:hyperlink w:anchor="image-and-likeness">
        <w:r>
          <w:rPr>
            <w:color w:val="000000"/>
          </w:rPr>
          <w:t xml:space="preserve">Image and likeness</w:t>
        </w:r>
      </w:hyperlink>
    </w:p>
    <w:p>
      <w:pPr>
        <w:ind w:left="187" w:hanging="187"/>
      </w:pPr>
      <w:r>
        <w:t xml:space="preserve">• </w:t>
      </w:r>
      <w:r>
        <w:rPr>
          <w:b w:val="0"/>
          <w:i w:val="0"/>
        </w:rPr>
        <w:t xml:space="preserve">Imagination — </w:t>
      </w:r>
      <w:hyperlink w:anchor="sense-and-imagination">
        <w:r>
          <w:rPr>
            <w:color w:val="000000"/>
          </w:rPr>
          <w:t xml:space="preserve">Sense and imagination</w:t>
        </w:r>
      </w:hyperlink>
    </w:p>
    <w:p>
      <w:pPr>
        <w:ind w:left="187" w:hanging="187"/>
      </w:pPr>
      <w:r>
        <w:t xml:space="preserve">• </w:t>
      </w:r>
      <w:r>
        <w:rPr>
          <w:b w:val="0"/>
          <w:i w:val="0"/>
        </w:rPr>
        <w:t xml:space="preserve">Imaginative matter — </w:t>
      </w:r>
      <w:hyperlink w:anchor="sense-and-imagination">
        <w:r>
          <w:rPr>
            <w:color w:val="000000"/>
          </w:rPr>
          <w:t xml:space="preserve">Sense and imagination</w:t>
        </w:r>
      </w:hyperlink>
    </w:p>
    <w:p>
      <w:pPr>
        <w:ind w:left="187" w:hanging="187"/>
      </w:pPr>
      <w:r>
        <w:t xml:space="preserve">• </w:t>
      </w:r>
      <w:r>
        <w:rPr>
          <w:b w:val="0"/>
          <w:i w:val="0"/>
        </w:rPr>
        <w:t xml:space="preserve">Imaginative spirit — </w:t>
      </w:r>
      <w:hyperlink w:anchor="spirit">
        <w:r>
          <w:rPr>
            <w:color w:val="000000"/>
          </w:rPr>
          <w:t xml:space="preserve">Spirit</w:t>
        </w:r>
      </w:hyperlink>
    </w:p>
    <w:p>
      <w:pPr>
        <w:ind w:left="187" w:hanging="187"/>
      </w:pPr>
      <w:r>
        <w:t xml:space="preserve">• </w:t>
      </w:r>
      <w:r>
        <w:rPr>
          <w:b w:val="0"/>
          <w:i w:val="0"/>
        </w:rPr>
        <w:t xml:space="preserve">Immanent action — </w:t>
      </w:r>
      <w:hyperlink w:anchor="act-and-operation">
        <w:r>
          <w:rPr>
            <w:color w:val="000000"/>
          </w:rPr>
          <w:t xml:space="preserve">Act and operation</w:t>
        </w:r>
      </w:hyperlink>
    </w:p>
    <w:p>
      <w:pPr>
        <w:ind w:left="187" w:hanging="187"/>
      </w:pPr>
      <w:r>
        <w:t xml:space="preserve">• </w:t>
      </w:r>
      <w:r>
        <w:rPr>
          <w:b w:val="0"/>
          <w:i w:val="0"/>
        </w:rPr>
        <w:t xml:space="preserve">Immutability — </w:t>
      </w:r>
      <w:hyperlink w:anchor="motion-and-stability">
        <w:r>
          <w:rPr>
            <w:color w:val="000000"/>
          </w:rPr>
          <w:t xml:space="preserve">Motion and stability</w:t>
        </w:r>
      </w:hyperlink>
    </w:p>
    <w:p>
      <w:pPr>
        <w:ind w:left="187" w:hanging="187"/>
      </w:pPr>
      <w:r>
        <w:t xml:space="preserve">• </w:t>
      </w:r>
      <w:r>
        <w:rPr>
          <w:b w:val="0"/>
          <w:i w:val="0"/>
        </w:rPr>
        <w:t xml:space="preserve">Immutability and stability — </w:t>
      </w:r>
      <w:hyperlink w:anchor="motion-and-stability">
        <w:r>
          <w:rPr>
            <w:color w:val="000000"/>
          </w:rPr>
          <w:t xml:space="preserve">Motion and stability</w:t>
        </w:r>
      </w:hyperlink>
    </w:p>
    <w:p>
      <w:pPr>
        <w:ind w:left="187" w:hanging="187"/>
      </w:pPr>
      <w:r>
        <w:t xml:space="preserve">• </w:t>
      </w:r>
      <w:r>
        <w:rPr>
          <w:b w:val="0"/>
          <w:i w:val="0"/>
        </w:rPr>
        <w:t xml:space="preserve">Indeterminate matter — </w:t>
      </w:r>
      <w:hyperlink w:anchor="separation-and-abstraction">
        <w:r>
          <w:rPr>
            <w:color w:val="000000"/>
          </w:rPr>
          <w:t xml:space="preserve">Separation and abstraction</w:t>
        </w:r>
      </w:hyperlink>
    </w:p>
    <w:p>
      <w:pPr>
        <w:ind w:left="187" w:hanging="187"/>
      </w:pPr>
      <w:r>
        <w:t xml:space="preserve">• </w:t>
      </w:r>
      <w:r>
        <w:rPr>
          <w:b w:val="0"/>
          <w:i w:val="0"/>
        </w:rPr>
        <w:t xml:space="preserve">Indivisible — </w:t>
      </w:r>
      <w:hyperlink w:anchor="indivisibility">
        <w:r>
          <w:rPr>
            <w:color w:val="000000"/>
          </w:rPr>
          <w:t xml:space="preserve">Indivisibility</w:t>
        </w:r>
      </w:hyperlink>
    </w:p>
    <w:p>
      <w:pPr>
        <w:ind w:left="187" w:hanging="187"/>
      </w:pPr>
      <w:r>
        <w:t xml:space="preserve">• </w:t>
      </w:r>
      <w:r>
        <w:rPr>
          <w:b w:val="0"/>
          <w:i w:val="0"/>
        </w:rPr>
        <w:t xml:space="preserve">Indivisible presence — </w:t>
      </w:r>
      <w:hyperlink w:anchor="indwelling-and-presence">
        <w:r>
          <w:rPr>
            <w:color w:val="000000"/>
          </w:rPr>
          <w:t xml:space="preserve">Indwelling and presence</w:t>
        </w:r>
      </w:hyperlink>
    </w:p>
    <w:p>
      <w:pPr>
        <w:ind w:left="187" w:hanging="187"/>
      </w:pPr>
      <w:r>
        <w:t xml:space="preserve">• </w:t>
      </w:r>
      <w:r>
        <w:rPr>
          <w:b w:val="0"/>
          <w:i w:val="0"/>
        </w:rPr>
        <w:t xml:space="preserve">Indwelling — </w:t>
      </w:r>
      <w:hyperlink w:anchor="indwelling-and-presence">
        <w:r>
          <w:rPr>
            <w:color w:val="000000"/>
          </w:rPr>
          <w:t xml:space="preserve">Indwelling and presence</w:t>
        </w:r>
      </w:hyperlink>
    </w:p>
    <w:p>
      <w:pPr>
        <w:ind w:left="187" w:hanging="187"/>
      </w:pPr>
      <w:r>
        <w:t xml:space="preserve">• </w:t>
      </w:r>
      <w:r>
        <w:rPr>
          <w:b w:val="0"/>
          <w:i w:val="0"/>
        </w:rPr>
        <w:t xml:space="preserve">Infinite and finite — </w:t>
      </w:r>
      <w:hyperlink w:anchor="infinity">
        <w:r>
          <w:rPr>
            <w:color w:val="000000"/>
          </w:rPr>
          <w:t xml:space="preserve">Infinity</w:t>
        </w:r>
      </w:hyperlink>
    </w:p>
    <w:p>
      <w:pPr>
        <w:ind w:left="187" w:hanging="187"/>
      </w:pPr>
      <w:r>
        <w:t xml:space="preserve">• </w:t>
      </w:r>
      <w:r>
        <w:rPr>
          <w:b w:val="0"/>
          <w:i w:val="0"/>
        </w:rPr>
        <w:t xml:space="preserve">Infinite end — </w:t>
      </w:r>
      <w:hyperlink w:anchor="end-and-limit">
        <w:r>
          <w:rPr>
            <w:color w:val="000000"/>
          </w:rPr>
          <w:t xml:space="preserve">End and limit</w:t>
        </w:r>
      </w:hyperlink>
    </w:p>
    <w:p>
      <w:pPr>
        <w:ind w:left="187" w:hanging="187"/>
      </w:pPr>
      <w:r>
        <w:t xml:space="preserve">• </w:t>
      </w:r>
      <w:r>
        <w:rPr>
          <w:b w:val="0"/>
          <w:i w:val="0"/>
        </w:rPr>
        <w:t xml:space="preserve">Intellect — </w:t>
      </w:r>
      <w:hyperlink w:anchor="intellect-and-intellection">
        <w:r>
          <w:rPr>
            <w:color w:val="000000"/>
          </w:rPr>
          <w:t xml:space="preserve">Intellect and intellection</w:t>
        </w:r>
      </w:hyperlink>
    </w:p>
    <w:p>
      <w:pPr>
        <w:ind w:left="187" w:hanging="187"/>
      </w:pPr>
      <w:r>
        <w:t xml:space="preserve">• </w:t>
      </w:r>
      <w:r>
        <w:rPr>
          <w:b w:val="0"/>
          <w:i w:val="0"/>
        </w:rPr>
        <w:t xml:space="preserve">Intellect and intelligence — </w:t>
      </w:r>
      <w:hyperlink w:anchor="intellect-and-intellection">
        <w:r>
          <w:rPr>
            <w:color w:val="000000"/>
          </w:rPr>
          <w:t xml:space="preserve">Intellect and intellection</w:t>
        </w:r>
      </w:hyperlink>
    </w:p>
    <w:p>
      <w:pPr>
        <w:ind w:left="187" w:hanging="187"/>
      </w:pPr>
      <w:r>
        <w:t xml:space="preserve">• </w:t>
      </w:r>
      <w:r>
        <w:rPr>
          <w:b w:val="0"/>
          <w:i w:val="0"/>
        </w:rPr>
        <w:t xml:space="preserve">Intellect, intelligible, and intellection — </w:t>
      </w:r>
      <w:hyperlink w:anchor="intellect-and-intellection">
        <w:r>
          <w:rPr>
            <w:color w:val="000000"/>
          </w:rPr>
          <w:t xml:space="preserve">Intellect and intellection</w:t>
        </w:r>
      </w:hyperlink>
    </w:p>
    <w:p>
      <w:pPr>
        <w:ind w:left="187" w:hanging="187"/>
      </w:pPr>
      <w:r>
        <w:t xml:space="preserve">• </w:t>
      </w:r>
      <w:r>
        <w:rPr>
          <w:b w:val="0"/>
          <w:i w:val="0"/>
        </w:rPr>
        <w:t xml:space="preserve">Intellectual nature — </w:t>
      </w:r>
      <w:hyperlink w:anchor="art-and-nature">
        <w:r>
          <w:rPr>
            <w:color w:val="000000"/>
          </w:rPr>
          <w:t xml:space="preserve">Art and nature</w:t>
        </w:r>
      </w:hyperlink>
    </w:p>
    <w:p>
      <w:pPr>
        <w:ind w:left="187" w:hanging="187"/>
      </w:pPr>
      <w:r>
        <w:t xml:space="preserve">• </w:t>
      </w:r>
      <w:r>
        <w:rPr>
          <w:b w:val="0"/>
          <w:i w:val="0"/>
        </w:rPr>
        <w:t xml:space="preserve">Intuition — </w:t>
      </w:r>
      <w:hyperlink w:anchor="intuition-and-comprehension">
        <w:r>
          <w:rPr>
            <w:color w:val="000000"/>
          </w:rPr>
          <w:t xml:space="preserve">Intuition and comprehension</w:t>
        </w:r>
      </w:hyperlink>
    </w:p>
    <w:p>
      <w:pPr>
        <w:ind w:left="187" w:hanging="187"/>
      </w:pPr>
      <w:r>
        <w:t xml:space="preserve">• </w:t>
      </w:r>
      <w:r>
        <w:rPr>
          <w:b w:val="0"/>
          <w:i w:val="0"/>
        </w:rPr>
        <w:t xml:space="preserve">Know thyself — </w:t>
      </w:r>
      <w:hyperlink w:anchor="self-knowledge">
        <w:r>
          <w:rPr>
            <w:color w:val="000000"/>
          </w:rPr>
          <w:t xml:space="preserve">Self knowledge</w:t>
        </w:r>
      </w:hyperlink>
    </w:p>
    <w:p>
      <w:pPr>
        <w:ind w:left="187" w:hanging="187"/>
      </w:pPr>
      <w:r>
        <w:t xml:space="preserve">• </w:t>
      </w:r>
      <w:r>
        <w:rPr>
          <w:b w:val="0"/>
          <w:i w:val="0"/>
        </w:rPr>
        <w:t xml:space="preserve">Lethe — </w:t>
      </w:r>
      <w:hyperlink w:anchor="quality">
        <w:r>
          <w:rPr>
            <w:color w:val="000000"/>
          </w:rPr>
          <w:t xml:space="preserve">Quality</w:t>
        </w:r>
      </w:hyperlink>
    </w:p>
    <w:p>
      <w:pPr>
        <w:ind w:left="187" w:hanging="187"/>
      </w:pPr>
      <w:r>
        <w:t xml:space="preserve">• </w:t>
      </w:r>
      <w:r>
        <w:rPr>
          <w:b w:val="0"/>
          <w:i w:val="0"/>
        </w:rPr>
        <w:t xml:space="preserve">Life and living power — </w:t>
      </w:r>
      <w:hyperlink w:anchor="life">
        <w:r>
          <w:rPr>
            <w:color w:val="000000"/>
          </w:rPr>
          <w:t xml:space="preserve">Life</w:t>
        </w:r>
      </w:hyperlink>
    </w:p>
    <w:p>
      <w:pPr>
        <w:ind w:left="187" w:hanging="187"/>
      </w:pPr>
      <w:r>
        <w:t xml:space="preserve">• </w:t>
      </w:r>
      <w:r>
        <w:rPr>
          <w:b w:val="0"/>
          <w:i w:val="0"/>
        </w:rPr>
        <w:t xml:space="preserve">Light — </w:t>
      </w:r>
      <w:hyperlink w:anchor="light-and-illumination">
        <w:r>
          <w:rPr>
            <w:color w:val="000000"/>
          </w:rPr>
          <w:t xml:space="preserve">Light and illumination</w:t>
        </w:r>
      </w:hyperlink>
    </w:p>
    <w:p>
      <w:pPr>
        <w:ind w:left="187" w:hanging="187"/>
      </w:pPr>
      <w:r>
        <w:t xml:space="preserve">• </w:t>
      </w:r>
      <w:r>
        <w:rPr>
          <w:b w:val="0"/>
          <w:i w:val="0"/>
        </w:rPr>
        <w:t xml:space="preserve">Light and vision — </w:t>
      </w:r>
      <w:hyperlink w:anchor="light-and-illumination">
        <w:r>
          <w:rPr>
            <w:color w:val="000000"/>
          </w:rPr>
          <w:t xml:space="preserve">Light and illumination</w:t>
        </w:r>
      </w:hyperlink>
    </w:p>
    <w:p>
      <w:pPr>
        <w:ind w:left="187" w:hanging="187"/>
      </w:pPr>
      <w:r>
        <w:t xml:space="preserve">• </w:t>
      </w:r>
      <w:r>
        <w:rPr>
          <w:b w:val="0"/>
          <w:i w:val="0"/>
        </w:rPr>
        <w:t xml:space="preserve">Limit and infinite — </w:t>
      </w:r>
      <w:hyperlink w:anchor="infinity">
        <w:r>
          <w:rPr>
            <w:color w:val="000000"/>
          </w:rPr>
          <w:t xml:space="preserve">Infinity</w:t>
        </w:r>
      </w:hyperlink>
    </w:p>
    <w:p>
      <w:pPr>
        <w:ind w:left="187" w:hanging="187"/>
      </w:pPr>
      <w:r>
        <w:t xml:space="preserve">• </w:t>
      </w:r>
      <w:r>
        <w:rPr>
          <w:b w:val="0"/>
          <w:i w:val="0"/>
        </w:rPr>
        <w:t xml:space="preserve">Living point — </w:t>
      </w:r>
      <w:hyperlink w:anchor="indwelling-and-presence">
        <w:r>
          <w:rPr>
            <w:color w:val="000000"/>
          </w:rPr>
          <w:t xml:space="preserve">Indwelling and presence</w:t>
        </w:r>
      </w:hyperlink>
    </w:p>
    <w:p>
      <w:pPr>
        <w:ind w:left="187" w:hanging="187"/>
      </w:pPr>
      <w:r>
        <w:t xml:space="preserve">• </w:t>
      </w:r>
      <w:r>
        <w:rPr>
          <w:b w:val="0"/>
          <w:i w:val="0"/>
        </w:rPr>
        <w:t xml:space="preserve">Love — </w:t>
      </w:r>
      <w:hyperlink w:anchor="love-and-pleasure">
        <w:r>
          <w:rPr>
            <w:color w:val="000000"/>
          </w:rPr>
          <w:t xml:space="preserve">Love and pleasure</w:t>
        </w:r>
      </w:hyperlink>
    </w:p>
    <w:p>
      <w:pPr>
        <w:ind w:left="187" w:hanging="187"/>
      </w:pPr>
      <w:r>
        <w:t xml:space="preserve">• </w:t>
      </w:r>
      <w:r>
        <w:rPr>
          <w:b w:val="0"/>
          <w:i w:val="0"/>
        </w:rPr>
        <w:t xml:space="preserve">Matter and subject — </w:t>
      </w:r>
      <w:hyperlink w:anchor="matter">
        <w:r>
          <w:rPr>
            <w:color w:val="000000"/>
          </w:rPr>
          <w:t xml:space="preserve">Matter</w:t>
        </w:r>
      </w:hyperlink>
    </w:p>
    <w:p>
      <w:pPr>
        <w:ind w:left="187" w:hanging="187"/>
      </w:pPr>
      <w:r>
        <w:t xml:space="preserve">• </w:t>
      </w:r>
      <w:r>
        <w:rPr>
          <w:b w:val="0"/>
          <w:i w:val="0"/>
        </w:rPr>
        <w:t xml:space="preserve">Mediation — </w:t>
      </w:r>
      <w:hyperlink w:anchor="degree-and-mediation">
        <w:r>
          <w:rPr>
            <w:color w:val="000000"/>
          </w:rPr>
          <w:t xml:space="preserve">Degree and mediation</w:t>
        </w:r>
      </w:hyperlink>
    </w:p>
    <w:p>
      <w:pPr>
        <w:ind w:left="187" w:hanging="187"/>
      </w:pPr>
      <w:r>
        <w:t xml:space="preserve">• </w:t>
      </w:r>
      <w:r>
        <w:rPr>
          <w:b w:val="0"/>
          <w:i w:val="0"/>
        </w:rPr>
        <w:t xml:space="preserve">Memory — </w:t>
      </w:r>
      <w:hyperlink w:anchor="will">
        <w:r>
          <w:rPr>
            <w:color w:val="000000"/>
          </w:rPr>
          <w:t xml:space="preserve">Will</w:t>
        </w:r>
      </w:hyperlink>
    </w:p>
    <w:p>
      <w:pPr>
        <w:ind w:left="187" w:hanging="187"/>
      </w:pPr>
      <w:r>
        <w:t xml:space="preserve">• </w:t>
      </w:r>
      <w:r>
        <w:rPr>
          <w:b w:val="0"/>
          <w:i w:val="0"/>
        </w:rPr>
        <w:t xml:space="preserve">Middle — </w:t>
      </w:r>
      <w:hyperlink w:anchor="degree-and-mediation">
        <w:r>
          <w:rPr>
            <w:color w:val="000000"/>
          </w:rPr>
          <w:t xml:space="preserve">Degree and mediation</w:t>
        </w:r>
      </w:hyperlink>
    </w:p>
    <w:p>
      <w:pPr>
        <w:ind w:left="187" w:hanging="187"/>
      </w:pPr>
      <w:r>
        <w:t xml:space="preserve">• </w:t>
      </w:r>
      <w:r>
        <w:rPr>
          <w:b w:val="0"/>
          <w:i w:val="0"/>
        </w:rPr>
        <w:t xml:space="preserve">Mind and universal presence — </w:t>
      </w:r>
      <w:hyperlink w:anchor="mind">
        <w:r>
          <w:rPr>
            <w:color w:val="000000"/>
          </w:rPr>
          <w:t xml:space="preserve">Mind</w:t>
        </w:r>
      </w:hyperlink>
    </w:p>
    <w:p>
      <w:pPr>
        <w:ind w:left="187" w:hanging="187"/>
      </w:pPr>
      <w:r>
        <w:t xml:space="preserve">• </w:t>
      </w:r>
      <w:r>
        <w:rPr>
          <w:b w:val="0"/>
          <w:i w:val="0"/>
        </w:rPr>
        <w:t xml:space="preserve">Mode of being — </w:t>
      </w:r>
      <w:hyperlink w:anchor="being">
        <w:r>
          <w:rPr>
            <w:color w:val="000000"/>
          </w:rPr>
          <w:t xml:space="preserve">Being</w:t>
        </w:r>
      </w:hyperlink>
    </w:p>
    <w:p>
      <w:pPr>
        <w:ind w:left="187" w:hanging="187"/>
      </w:pPr>
      <w:r>
        <w:t xml:space="preserve">• </w:t>
      </w:r>
      <w:r>
        <w:rPr>
          <w:b w:val="0"/>
          <w:i w:val="0"/>
        </w:rPr>
        <w:t xml:space="preserve">Motion — </w:t>
      </w:r>
      <w:hyperlink w:anchor="motion-and-stability">
        <w:r>
          <w:rPr>
            <w:color w:val="000000"/>
          </w:rPr>
          <w:t xml:space="preserve">Motion and stability</w:t>
        </w:r>
      </w:hyperlink>
    </w:p>
    <w:p>
      <w:pPr>
        <w:ind w:left="187" w:hanging="187"/>
      </w:pPr>
      <w:r>
        <w:t xml:space="preserve">• </w:t>
      </w:r>
      <w:r>
        <w:rPr>
          <w:b w:val="0"/>
          <w:i w:val="0"/>
        </w:rPr>
        <w:t xml:space="preserve">Motion and self-motion — </w:t>
      </w:r>
      <w:hyperlink w:anchor="motion-and-stability">
        <w:r>
          <w:rPr>
            <w:color w:val="000000"/>
          </w:rPr>
          <w:t xml:space="preserve">Motion and stability</w:t>
        </w:r>
      </w:hyperlink>
    </w:p>
    <w:p>
      <w:pPr>
        <w:ind w:left="187" w:hanging="187"/>
      </w:pPr>
      <w:r>
        <w:t xml:space="preserve">• </w:t>
      </w:r>
      <w:r>
        <w:rPr>
          <w:b w:val="0"/>
          <w:i w:val="0"/>
        </w:rPr>
        <w:t xml:space="preserve">Natural intelligence — </w:t>
      </w:r>
      <w:hyperlink w:anchor="art-and-nature">
        <w:r>
          <w:rPr>
            <w:color w:val="000000"/>
          </w:rPr>
          <w:t xml:space="preserve">Art and nature</w:t>
        </w:r>
      </w:hyperlink>
    </w:p>
    <w:p>
      <w:pPr>
        <w:ind w:left="187" w:hanging="187"/>
      </w:pPr>
      <w:r>
        <w:t xml:space="preserve">• </w:t>
      </w:r>
      <w:r>
        <w:rPr>
          <w:b w:val="0"/>
          <w:i w:val="0"/>
        </w:rPr>
        <w:t xml:space="preserve">Natural place — </w:t>
      </w:r>
      <w:hyperlink w:anchor="natural-motion-and-natural-place">
        <w:r>
          <w:rPr>
            <w:color w:val="000000"/>
          </w:rPr>
          <w:t xml:space="preserve">Natural motion and natural place</w:t>
        </w:r>
      </w:hyperlink>
    </w:p>
    <w:p>
      <w:pPr>
        <w:ind w:left="187" w:hanging="187"/>
      </w:pPr>
      <w:r>
        <w:t xml:space="preserve">• </w:t>
      </w:r>
      <w:r>
        <w:rPr>
          <w:b w:val="0"/>
          <w:i w:val="0"/>
        </w:rPr>
        <w:t xml:space="preserve">Natural power — </w:t>
      </w:r>
      <w:hyperlink w:anchor="power-and-potency">
        <w:r>
          <w:rPr>
            <w:color w:val="000000"/>
          </w:rPr>
          <w:t xml:space="preserve">Power and potency</w:t>
        </w:r>
      </w:hyperlink>
    </w:p>
    <w:p>
      <w:pPr>
        <w:ind w:left="187" w:hanging="187"/>
      </w:pPr>
      <w:r>
        <w:t xml:space="preserve">• </w:t>
      </w:r>
      <w:r>
        <w:rPr>
          <w:b w:val="0"/>
          <w:i w:val="0"/>
        </w:rPr>
        <w:t xml:space="preserve">Nature — </w:t>
      </w:r>
      <w:hyperlink w:anchor="art-and-nature">
        <w:r>
          <w:rPr>
            <w:color w:val="000000"/>
          </w:rPr>
          <w:t xml:space="preserve">Art and nature</w:t>
        </w:r>
      </w:hyperlink>
    </w:p>
    <w:p>
      <w:pPr>
        <w:ind w:left="187" w:hanging="187"/>
      </w:pPr>
      <w:r>
        <w:t xml:space="preserve">• </w:t>
      </w:r>
      <w:r>
        <w:rPr>
          <w:b w:val="0"/>
          <w:i w:val="0"/>
        </w:rPr>
        <w:t xml:space="preserve">Nature and art — </w:t>
      </w:r>
      <w:hyperlink w:anchor="art-and-nature">
        <w:r>
          <w:rPr>
            <w:color w:val="000000"/>
          </w:rPr>
          <w:t xml:space="preserve">Art and nature</w:t>
        </w:r>
      </w:hyperlink>
    </w:p>
    <w:p>
      <w:pPr>
        <w:ind w:left="187" w:hanging="187"/>
      </w:pPr>
      <w:r>
        <w:t xml:space="preserve">• </w:t>
      </w:r>
      <w:r>
        <w:rPr>
          <w:b w:val="0"/>
          <w:i w:val="0"/>
        </w:rPr>
        <w:t xml:space="preserve">Necessity — </w:t>
      </w:r>
      <w:hyperlink w:anchor="freedom-and-necessity">
        <w:r>
          <w:rPr>
            <w:color w:val="000000"/>
          </w:rPr>
          <w:t xml:space="preserve">Freedom and necessity</w:t>
        </w:r>
      </w:hyperlink>
    </w:p>
    <w:p>
      <w:pPr>
        <w:ind w:left="187" w:hanging="187"/>
      </w:pPr>
      <w:r>
        <w:t xml:space="preserve">• </w:t>
      </w:r>
      <w:r>
        <w:rPr>
          <w:b w:val="0"/>
          <w:i w:val="0"/>
        </w:rPr>
        <w:t xml:space="preserve">Next to nothing — </w:t>
      </w:r>
      <w:hyperlink w:anchor="matter">
        <w:r>
          <w:rPr>
            <w:color w:val="000000"/>
          </w:rPr>
          <w:t xml:space="preserve">Matter</w:t>
        </w:r>
      </w:hyperlink>
    </w:p>
    <w:p>
      <w:pPr>
        <w:ind w:left="187" w:hanging="187"/>
      </w:pPr>
      <w:r>
        <w:t xml:space="preserve">• </w:t>
      </w:r>
      <w:r>
        <w:rPr>
          <w:b w:val="0"/>
          <w:i w:val="0"/>
        </w:rPr>
        <w:t xml:space="preserve">Nothing and non-being — </w:t>
      </w:r>
      <w:hyperlink w:anchor="nothing-and-nonbeing">
        <w:r>
          <w:rPr>
            <w:color w:val="000000"/>
          </w:rPr>
          <w:t xml:space="preserve">Nothing and nonbeing</w:t>
        </w:r>
      </w:hyperlink>
    </w:p>
    <w:p>
      <w:pPr>
        <w:ind w:left="187" w:hanging="187"/>
      </w:pPr>
      <w:r>
        <w:t xml:space="preserve">• </w:t>
      </w:r>
      <w:r>
        <w:rPr>
          <w:b w:val="0"/>
          <w:i w:val="0"/>
        </w:rPr>
        <w:t xml:space="preserve">One and Good — </w:t>
      </w:r>
      <w:hyperlink w:anchor="good-and-goodness">
        <w:r>
          <w:rPr>
            <w:color w:val="000000"/>
          </w:rPr>
          <w:t xml:space="preserve">Good and goodness</w:t>
        </w:r>
      </w:hyperlink>
    </w:p>
    <w:p>
      <w:pPr>
        <w:ind w:left="187" w:hanging="187"/>
      </w:pPr>
      <w:r>
        <w:t xml:space="preserve">• </w:t>
      </w:r>
      <w:r>
        <w:rPr>
          <w:b w:val="0"/>
          <w:i w:val="0"/>
        </w:rPr>
        <w:t xml:space="preserve">One in essence point and moment — </w:t>
      </w:r>
      <w:hyperlink w:anchor="whole-and-parts">
        <w:r>
          <w:rPr>
            <w:color w:val="000000"/>
          </w:rPr>
          <w:t xml:space="preserve">Whole and parts</w:t>
        </w:r>
      </w:hyperlink>
    </w:p>
    <w:p>
      <w:pPr>
        <w:ind w:left="187" w:hanging="187"/>
      </w:pPr>
      <w:r>
        <w:t xml:space="preserve">• </w:t>
      </w:r>
      <w:r>
        <w:rPr>
          <w:b w:val="0"/>
          <w:i w:val="0"/>
        </w:rPr>
        <w:t xml:space="preserve">Order — </w:t>
      </w:r>
      <w:hyperlink w:anchor="order-and-harmony">
        <w:r>
          <w:rPr>
            <w:color w:val="000000"/>
          </w:rPr>
          <w:t xml:space="preserve">Order and harmony</w:t>
        </w:r>
      </w:hyperlink>
    </w:p>
    <w:p>
      <w:pPr>
        <w:ind w:left="187" w:hanging="187"/>
      </w:pPr>
      <w:r>
        <w:t xml:space="preserve">• </w:t>
      </w:r>
      <w:r>
        <w:rPr>
          <w:b w:val="0"/>
          <w:i w:val="0"/>
        </w:rPr>
        <w:t xml:space="preserve">Outflow — </w:t>
      </w:r>
      <w:hyperlink w:anchor="procession-and-return">
        <w:r>
          <w:rPr>
            <w:color w:val="000000"/>
          </w:rPr>
          <w:t xml:space="preserve">Procession and return</w:t>
        </w:r>
      </w:hyperlink>
    </w:p>
    <w:p>
      <w:pPr>
        <w:ind w:left="187" w:hanging="187"/>
      </w:pPr>
      <w:r>
        <w:t xml:space="preserve">• </w:t>
      </w:r>
      <w:r>
        <w:rPr>
          <w:b w:val="0"/>
          <w:i w:val="0"/>
        </w:rPr>
        <w:t xml:space="preserve">Participation by form — </w:t>
      </w:r>
      <w:hyperlink w:anchor="participation">
        <w:r>
          <w:rPr>
            <w:color w:val="000000"/>
          </w:rPr>
          <w:t xml:space="preserve">Participation</w:t>
        </w:r>
      </w:hyperlink>
    </w:p>
    <w:p>
      <w:pPr>
        <w:ind w:left="187" w:hanging="187"/>
      </w:pPr>
      <w:r>
        <w:t xml:space="preserve">• </w:t>
      </w:r>
      <w:r>
        <w:rPr>
          <w:b w:val="0"/>
          <w:i w:val="0"/>
        </w:rPr>
        <w:t xml:space="preserve">Particular — </w:t>
      </w:r>
      <w:hyperlink w:anchor="universals-and-individuals">
        <w:r>
          <w:rPr>
            <w:color w:val="000000"/>
          </w:rPr>
          <w:t xml:space="preserve">Universals and individuals</w:t>
        </w:r>
      </w:hyperlink>
    </w:p>
    <w:p>
      <w:pPr>
        <w:ind w:left="187" w:hanging="187"/>
      </w:pPr>
      <w:r>
        <w:t xml:space="preserve">• </w:t>
      </w:r>
      <w:r>
        <w:rPr>
          <w:b w:val="0"/>
          <w:i w:val="0"/>
        </w:rPr>
        <w:t xml:space="preserve">Patient — </w:t>
      </w:r>
      <w:hyperlink w:anchor="affection-and-passivity">
        <w:r>
          <w:rPr>
            <w:color w:val="000000"/>
          </w:rPr>
          <w:t xml:space="preserve">Affection and passivity</w:t>
        </w:r>
      </w:hyperlink>
    </w:p>
    <w:p>
      <w:pPr>
        <w:ind w:left="187" w:hanging="187"/>
      </w:pPr>
      <w:r>
        <w:t xml:space="preserve">• </w:t>
      </w:r>
      <w:r>
        <w:rPr>
          <w:b w:val="0"/>
          <w:i w:val="0"/>
        </w:rPr>
        <w:t xml:space="preserve">Perfection and supremacy — </w:t>
      </w:r>
      <w:hyperlink w:anchor="perfection">
        <w:r>
          <w:rPr>
            <w:color w:val="000000"/>
          </w:rPr>
          <w:t xml:space="preserve">Perfection</w:t>
        </w:r>
      </w:hyperlink>
    </w:p>
    <w:p>
      <w:pPr>
        <w:ind w:left="187" w:hanging="187"/>
      </w:pPr>
      <w:r>
        <w:t xml:space="preserve">• </w:t>
      </w:r>
      <w:r>
        <w:rPr>
          <w:b w:val="0"/>
          <w:i w:val="0"/>
        </w:rPr>
        <w:t xml:space="preserve">Perfection of whole and part — </w:t>
      </w:r>
      <w:hyperlink w:anchor="perfection">
        <w:r>
          <w:rPr>
            <w:color w:val="000000"/>
          </w:rPr>
          <w:t xml:space="preserve">Perfection</w:t>
        </w:r>
      </w:hyperlink>
    </w:p>
    <w:p>
      <w:pPr>
        <w:ind w:left="187" w:hanging="187"/>
      </w:pPr>
      <w:r>
        <w:t xml:space="preserve">• </w:t>
      </w:r>
      <w:r>
        <w:rPr>
          <w:b w:val="0"/>
          <w:i w:val="0"/>
        </w:rPr>
        <w:t xml:space="preserve">Pleasure — </w:t>
      </w:r>
      <w:hyperlink w:anchor="love-and-pleasure">
        <w:r>
          <w:rPr>
            <w:color w:val="000000"/>
          </w:rPr>
          <w:t xml:space="preserve">Love and pleasure</w:t>
        </w:r>
      </w:hyperlink>
    </w:p>
    <w:p>
      <w:pPr>
        <w:ind w:left="187" w:hanging="187"/>
      </w:pPr>
      <w:r>
        <w:t xml:space="preserve">• </w:t>
      </w:r>
      <w:r>
        <w:rPr>
          <w:b w:val="0"/>
          <w:i w:val="0"/>
        </w:rPr>
        <w:t xml:space="preserve">Posited condition (a supposition in an argument, rather than a spatial position) — </w:t>
      </w:r>
      <w:hyperlink w:anchor="freedom-and-necessity">
        <w:r>
          <w:rPr>
            <w:color w:val="000000"/>
          </w:rPr>
          <w:t xml:space="preserve">Freedom and necessity</w:t>
        </w:r>
      </w:hyperlink>
    </w:p>
    <w:p>
      <w:pPr>
        <w:ind w:left="187" w:hanging="187"/>
      </w:pPr>
      <w:r>
        <w:t xml:space="preserve">• </w:t>
      </w:r>
      <w:r>
        <w:rPr>
          <w:b w:val="0"/>
          <w:i w:val="0"/>
        </w:rPr>
        <w:t xml:space="preserve">Possibility — </w:t>
      </w:r>
      <w:hyperlink w:anchor="infinity">
        <w:r>
          <w:rPr>
            <w:color w:val="000000"/>
          </w:rPr>
          <w:t xml:space="preserve">Infinity</w:t>
        </w:r>
      </w:hyperlink>
    </w:p>
    <w:p>
      <w:pPr>
        <w:ind w:left="187" w:hanging="187"/>
      </w:pPr>
      <w:r>
        <w:t xml:space="preserve">• </w:t>
      </w:r>
      <w:r>
        <w:rPr>
          <w:b w:val="0"/>
          <w:i w:val="0"/>
        </w:rPr>
        <w:t xml:space="preserve">Possibility, infinity, and contradiction — </w:t>
      </w:r>
      <w:hyperlink w:anchor="infinity">
        <w:r>
          <w:rPr>
            <w:color w:val="000000"/>
          </w:rPr>
          <w:t xml:space="preserve">Infinity</w:t>
        </w:r>
      </w:hyperlink>
    </w:p>
    <w:p>
      <w:pPr>
        <w:ind w:left="187" w:hanging="187"/>
      </w:pPr>
      <w:r>
        <w:t xml:space="preserve">• </w:t>
      </w:r>
      <w:r>
        <w:rPr>
          <w:b w:val="0"/>
          <w:i w:val="0"/>
        </w:rPr>
        <w:t xml:space="preserve">Potency — </w:t>
      </w:r>
      <w:hyperlink w:anchor="power-and-potency">
        <w:r>
          <w:rPr>
            <w:color w:val="000000"/>
          </w:rPr>
          <w:t xml:space="preserve">Power and potency</w:t>
        </w:r>
      </w:hyperlink>
    </w:p>
    <w:p>
      <w:pPr>
        <w:ind w:left="187" w:hanging="187"/>
      </w:pPr>
      <w:r>
        <w:t xml:space="preserve">• </w:t>
      </w:r>
      <w:r>
        <w:rPr>
          <w:b w:val="0"/>
          <w:i w:val="0"/>
        </w:rPr>
        <w:t xml:space="preserve">Power — </w:t>
      </w:r>
      <w:hyperlink w:anchor="power-and-potency">
        <w:r>
          <w:rPr>
            <w:color w:val="000000"/>
          </w:rPr>
          <w:t xml:space="preserve">Power and potency</w:t>
        </w:r>
      </w:hyperlink>
    </w:p>
    <w:p>
      <w:pPr>
        <w:ind w:left="187" w:hanging="187"/>
      </w:pPr>
      <w:r>
        <w:t xml:space="preserve">• </w:t>
      </w:r>
      <w:r>
        <w:rPr>
          <w:b w:val="0"/>
          <w:i w:val="0"/>
        </w:rPr>
        <w:t xml:space="preserve">Power and the virtues of natural things — </w:t>
      </w:r>
      <w:hyperlink w:anchor="power-and-potency">
        <w:r>
          <w:rPr>
            <w:color w:val="000000"/>
          </w:rPr>
          <w:t xml:space="preserve">Power and potency</w:t>
        </w:r>
      </w:hyperlink>
    </w:p>
    <w:p>
      <w:pPr>
        <w:ind w:left="187" w:hanging="187"/>
      </w:pPr>
      <w:r>
        <w:t xml:space="preserve">• </w:t>
      </w:r>
      <w:r>
        <w:rPr>
          <w:b w:val="0"/>
          <w:i w:val="0"/>
        </w:rPr>
        <w:t xml:space="preserve">Principles and Ideas — </w:t>
      </w:r>
      <w:hyperlink w:anchor="ideas-and-exemplars">
        <w:r>
          <w:rPr>
            <w:color w:val="000000"/>
          </w:rPr>
          <w:t xml:space="preserve">Ideas and exemplars</w:t>
        </w:r>
      </w:hyperlink>
    </w:p>
    <w:p>
      <w:pPr>
        <w:ind w:left="187" w:hanging="187"/>
      </w:pPr>
      <w:r>
        <w:t xml:space="preserve">• </w:t>
      </w:r>
      <w:r>
        <w:rPr>
          <w:b w:val="0"/>
          <w:i w:val="0"/>
        </w:rPr>
        <w:t xml:space="preserve">Priority by nature — </w:t>
      </w:r>
      <w:hyperlink w:anchor="cause">
        <w:r>
          <w:rPr>
            <w:color w:val="000000"/>
          </w:rPr>
          <w:t xml:space="preserve">Cause</w:t>
        </w:r>
      </w:hyperlink>
    </w:p>
    <w:p>
      <w:pPr>
        <w:ind w:left="187" w:hanging="187"/>
      </w:pPr>
      <w:r>
        <w:t xml:space="preserve">• </w:t>
      </w:r>
      <w:r>
        <w:rPr>
          <w:b w:val="0"/>
          <w:i w:val="0"/>
        </w:rPr>
        <w:t xml:space="preserve">Proper (characteristic or specifically appropriate, rather than morally respectable) — </w:t>
      </w:r>
      <w:hyperlink w:anchor="cause">
        <w:r>
          <w:rPr>
            <w:color w:val="000000"/>
          </w:rPr>
          <w:t xml:space="preserve">Cause</w:t>
        </w:r>
      </w:hyperlink>
    </w:p>
    <w:p>
      <w:pPr>
        <w:ind w:left="187" w:hanging="187"/>
      </w:pPr>
      <w:r>
        <w:t xml:space="preserve">• </w:t>
      </w:r>
      <w:r>
        <w:rPr>
          <w:b w:val="0"/>
          <w:i w:val="0"/>
        </w:rPr>
        <w:t xml:space="preserve">Pure — </w:t>
      </w:r>
      <w:hyperlink w:anchor="purity-and-mixture">
        <w:r>
          <w:rPr>
            <w:color w:val="000000"/>
          </w:rPr>
          <w:t xml:space="preserve">Purity and mixture</w:t>
        </w:r>
      </w:hyperlink>
    </w:p>
    <w:p>
      <w:pPr>
        <w:ind w:left="187" w:hanging="187"/>
      </w:pPr>
      <w:r>
        <w:t xml:space="preserve">• </w:t>
      </w:r>
      <w:r>
        <w:rPr>
          <w:b w:val="0"/>
          <w:i w:val="0"/>
        </w:rPr>
        <w:t xml:space="preserve">Purification — </w:t>
      </w:r>
      <w:hyperlink w:anchor="worship-and-piety">
        <w:r>
          <w:rPr>
            <w:color w:val="000000"/>
          </w:rPr>
          <w:t xml:space="preserve">Worship and piety</w:t>
        </w:r>
      </w:hyperlink>
    </w:p>
    <w:p>
      <w:pPr>
        <w:ind w:left="187" w:hanging="187"/>
      </w:pPr>
      <w:r>
        <w:t xml:space="preserve">• </w:t>
      </w:r>
      <w:r>
        <w:rPr>
          <w:b w:val="0"/>
          <w:i w:val="0"/>
        </w:rPr>
        <w:t xml:space="preserve">Purity and tempering — </w:t>
      </w:r>
      <w:hyperlink w:anchor="purity-and-mixture">
        <w:r>
          <w:rPr>
            <w:color w:val="000000"/>
          </w:rPr>
          <w:t xml:space="preserve">Purity and mixture</w:t>
        </w:r>
      </w:hyperlink>
    </w:p>
    <w:p>
      <w:pPr>
        <w:ind w:left="187" w:hanging="187"/>
      </w:pPr>
      <w:r>
        <w:t xml:space="preserve">• </w:t>
      </w:r>
      <w:r>
        <w:rPr>
          <w:b w:val="0"/>
          <w:i w:val="0"/>
        </w:rPr>
        <w:t xml:space="preserve">Real relations — </w:t>
      </w:r>
      <w:hyperlink w:anchor="ideas-and-exemplars">
        <w:r>
          <w:rPr>
            <w:color w:val="000000"/>
          </w:rPr>
          <w:t xml:space="preserve">Ideas and exemplars</w:t>
        </w:r>
      </w:hyperlink>
    </w:p>
    <w:p>
      <w:pPr>
        <w:ind w:left="187" w:hanging="187"/>
      </w:pPr>
      <w:r>
        <w:t xml:space="preserve">• </w:t>
      </w:r>
      <w:r>
        <w:rPr>
          <w:b w:val="0"/>
          <w:i w:val="0"/>
        </w:rPr>
        <w:t xml:space="preserve">Reason — </w:t>
      </w:r>
      <w:hyperlink w:anchor="reason-and-account">
        <w:r>
          <w:rPr>
            <w:color w:val="000000"/>
          </w:rPr>
          <w:t xml:space="preserve">Reason and account</w:t>
        </w:r>
      </w:hyperlink>
    </w:p>
    <w:p>
      <w:pPr>
        <w:ind w:left="187" w:hanging="187"/>
      </w:pPr>
      <w:r>
        <w:t xml:space="preserve">• </w:t>
      </w:r>
      <w:r>
        <w:rPr>
          <w:b w:val="0"/>
          <w:i w:val="0"/>
        </w:rPr>
        <w:t xml:space="preserve">Reason, anger, and desire — </w:t>
      </w:r>
      <w:hyperlink w:anchor="reason-anger-and-desire">
        <w:r>
          <w:rPr>
            <w:color w:val="000000"/>
          </w:rPr>
          <w:t xml:space="preserve">Reason anger and desire</w:t>
        </w:r>
      </w:hyperlink>
    </w:p>
    <w:p>
      <w:pPr>
        <w:ind w:left="187" w:hanging="187"/>
      </w:pPr>
      <w:r>
        <w:t xml:space="preserve">• </w:t>
      </w:r>
      <w:r>
        <w:rPr>
          <w:b w:val="0"/>
          <w:i w:val="0"/>
        </w:rPr>
        <w:t xml:space="preserve">Recipient — </w:t>
      </w:r>
      <w:hyperlink w:anchor="affection-and-passivity">
        <w:r>
          <w:rPr>
            <w:color w:val="000000"/>
          </w:rPr>
          <w:t xml:space="preserve">Affection and passivity</w:t>
        </w:r>
      </w:hyperlink>
    </w:p>
    <w:p>
      <w:pPr>
        <w:ind w:left="187" w:hanging="187"/>
      </w:pPr>
      <w:r>
        <w:t xml:space="preserve">• </w:t>
      </w:r>
      <w:r>
        <w:rPr>
          <w:b w:val="0"/>
          <w:i w:val="0"/>
        </w:rPr>
        <w:t xml:space="preserve">Relations of thought — </w:t>
      </w:r>
      <w:hyperlink w:anchor="ideas-and-exemplars">
        <w:r>
          <w:rPr>
            <w:color w:val="000000"/>
          </w:rPr>
          <w:t xml:space="preserve">Ideas and exemplars</w:t>
        </w:r>
      </w:hyperlink>
    </w:p>
    <w:p>
      <w:pPr>
        <w:ind w:left="187" w:hanging="187"/>
      </w:pPr>
      <w:r>
        <w:t xml:space="preserve">• </w:t>
      </w:r>
      <w:r>
        <w:rPr>
          <w:b w:val="0"/>
          <w:i w:val="0"/>
        </w:rPr>
        <w:t xml:space="preserve">Remission — </w:t>
      </w:r>
      <w:hyperlink w:anchor="form">
        <w:r>
          <w:rPr>
            <w:color w:val="000000"/>
          </w:rPr>
          <w:t xml:space="preserve">Form</w:t>
        </w:r>
      </w:hyperlink>
    </w:p>
    <w:p>
      <w:pPr>
        <w:ind w:left="187" w:hanging="187"/>
      </w:pPr>
      <w:r>
        <w:t xml:space="preserve">• </w:t>
      </w:r>
      <w:r>
        <w:rPr>
          <w:b w:val="0"/>
          <w:i w:val="0"/>
        </w:rPr>
        <w:t xml:space="preserve">Restoration — </w:t>
      </w:r>
      <w:hyperlink w:anchor="natural-motion-and-natural-place">
        <w:r>
          <w:rPr>
            <w:color w:val="000000"/>
          </w:rPr>
          <w:t xml:space="preserve">Natural motion and natural place</w:t>
        </w:r>
      </w:hyperlink>
    </w:p>
    <w:p>
      <w:pPr>
        <w:ind w:left="187" w:hanging="187"/>
      </w:pPr>
      <w:r>
        <w:t xml:space="preserve">• </w:t>
      </w:r>
      <w:r>
        <w:rPr>
          <w:b w:val="0"/>
          <w:i w:val="0"/>
        </w:rPr>
        <w:t xml:space="preserve">Return — </w:t>
      </w:r>
      <w:hyperlink w:anchor="circularity-and-return">
        <w:r>
          <w:rPr>
            <w:color w:val="000000"/>
          </w:rPr>
          <w:t xml:space="preserve">Circularity and return</w:t>
        </w:r>
      </w:hyperlink>
    </w:p>
    <w:p>
      <w:pPr>
        <w:ind w:left="187" w:hanging="187"/>
      </w:pPr>
      <w:r>
        <w:t xml:space="preserve">• </w:t>
      </w:r>
      <w:r>
        <w:rPr>
          <w:b w:val="0"/>
          <w:i w:val="0"/>
        </w:rPr>
        <w:t xml:space="preserve">Self motion — </w:t>
      </w:r>
      <w:hyperlink w:anchor="motion-and-stability">
        <w:r>
          <w:rPr>
            <w:color w:val="000000"/>
          </w:rPr>
          <w:t xml:space="preserve">Motion and stability</w:t>
        </w:r>
      </w:hyperlink>
    </w:p>
    <w:p>
      <w:pPr>
        <w:ind w:left="187" w:hanging="187"/>
      </w:pPr>
      <w:r>
        <w:t xml:space="preserve">• </w:t>
      </w:r>
      <w:r>
        <w:rPr>
          <w:b w:val="0"/>
          <w:i w:val="0"/>
        </w:rPr>
        <w:t xml:space="preserve">Self moving number — </w:t>
      </w:r>
      <w:hyperlink w:anchor="number">
        <w:r>
          <w:rPr>
            <w:color w:val="000000"/>
          </w:rPr>
          <w:t xml:space="preserve">Number</w:t>
        </w:r>
      </w:hyperlink>
    </w:p>
    <w:p>
      <w:pPr>
        <w:ind w:left="187" w:hanging="187"/>
      </w:pPr>
      <w:r>
        <w:t xml:space="preserve">• </w:t>
      </w:r>
      <w:r>
        <w:rPr>
          <w:b w:val="0"/>
          <w:i w:val="0"/>
        </w:rPr>
        <w:t xml:space="preserve">Self-knowledge — </w:t>
      </w:r>
      <w:hyperlink w:anchor="self-knowledge">
        <w:r>
          <w:rPr>
            <w:color w:val="000000"/>
          </w:rPr>
          <w:t xml:space="preserve">Self knowledge</w:t>
        </w:r>
      </w:hyperlink>
    </w:p>
    <w:p>
      <w:pPr>
        <w:ind w:left="187" w:hanging="187"/>
      </w:pPr>
      <w:r>
        <w:t xml:space="preserve">• </w:t>
      </w:r>
      <w:r>
        <w:rPr>
          <w:b w:val="0"/>
          <w:i w:val="0"/>
        </w:rPr>
        <w:t xml:space="preserve">Self-motion — </w:t>
      </w:r>
      <w:hyperlink w:anchor="motion-and-stability">
        <w:r>
          <w:rPr>
            <w:color w:val="000000"/>
          </w:rPr>
          <w:t xml:space="preserve">Motion and stability</w:t>
        </w:r>
      </w:hyperlink>
    </w:p>
    <w:p>
      <w:pPr>
        <w:ind w:left="187" w:hanging="187"/>
      </w:pPr>
      <w:r>
        <w:t xml:space="preserve">• </w:t>
      </w:r>
      <w:r>
        <w:rPr>
          <w:b w:val="0"/>
          <w:i w:val="0"/>
        </w:rPr>
        <w:t xml:space="preserve">Seminal principle — </w:t>
      </w:r>
      <w:hyperlink w:anchor="seeds">
        <w:r>
          <w:rPr>
            <w:color w:val="000000"/>
          </w:rPr>
          <w:t xml:space="preserve">Seeds</w:t>
        </w:r>
      </w:hyperlink>
    </w:p>
    <w:p>
      <w:pPr>
        <w:ind w:left="187" w:hanging="187"/>
      </w:pPr>
      <w:r>
        <w:t xml:space="preserve">• </w:t>
      </w:r>
      <w:r>
        <w:rPr>
          <w:b w:val="0"/>
          <w:i w:val="0"/>
        </w:rPr>
        <w:t xml:space="preserve">Sense — </w:t>
      </w:r>
      <w:hyperlink w:anchor="sense-and-imagination">
        <w:r>
          <w:rPr>
            <w:color w:val="000000"/>
          </w:rPr>
          <w:t xml:space="preserve">Sense and imagination</w:t>
        </w:r>
      </w:hyperlink>
    </w:p>
    <w:p>
      <w:pPr>
        <w:ind w:left="187" w:hanging="187"/>
      </w:pPr>
      <w:r>
        <w:t xml:space="preserve">• </w:t>
      </w:r>
      <w:r>
        <w:rPr>
          <w:b w:val="0"/>
          <w:i w:val="0"/>
        </w:rPr>
        <w:t xml:space="preserve">Soul, three ranks — </w:t>
      </w:r>
      <w:hyperlink w:anchor="soul">
        <w:r>
          <w:rPr>
            <w:color w:val="000000"/>
          </w:rPr>
          <w:t xml:space="preserve">Soul</w:t>
        </w:r>
      </w:hyperlink>
    </w:p>
    <w:p>
      <w:pPr>
        <w:ind w:left="187" w:hanging="187"/>
      </w:pPr>
      <w:r>
        <w:t xml:space="preserve">• </w:t>
      </w:r>
      <w:r>
        <w:rPr>
          <w:b w:val="0"/>
          <w:i w:val="0"/>
        </w:rPr>
        <w:t xml:space="preserve">Species and succession — </w:t>
      </w:r>
      <w:hyperlink w:anchor="natural-species-and-succession">
        <w:r>
          <w:rPr>
            <w:color w:val="000000"/>
          </w:rPr>
          <w:t xml:space="preserve">Natural species and succession</w:t>
        </w:r>
      </w:hyperlink>
    </w:p>
    <w:p>
      <w:pPr>
        <w:ind w:left="187" w:hanging="187"/>
      </w:pPr>
      <w:r>
        <w:t xml:space="preserve">• </w:t>
      </w:r>
      <w:r>
        <w:rPr>
          <w:b w:val="0"/>
          <w:i w:val="0"/>
        </w:rPr>
        <w:t xml:space="preserve">Spiritual presence — </w:t>
      </w:r>
      <w:hyperlink w:anchor="indwelling-and-presence">
        <w:r>
          <w:rPr>
            <w:color w:val="000000"/>
          </w:rPr>
          <w:t xml:space="preserve">Indwelling and presence</w:t>
        </w:r>
      </w:hyperlink>
    </w:p>
    <w:p>
      <w:pPr>
        <w:ind w:left="187" w:hanging="187"/>
      </w:pPr>
      <w:r>
        <w:t xml:space="preserve">• </w:t>
      </w:r>
      <w:r>
        <w:rPr>
          <w:b w:val="0"/>
          <w:i w:val="0"/>
        </w:rPr>
        <w:t xml:space="preserve">Stability — </w:t>
      </w:r>
      <w:hyperlink w:anchor="motion-and-stability">
        <w:r>
          <w:rPr>
            <w:color w:val="000000"/>
          </w:rPr>
          <w:t xml:space="preserve">Motion and stability</w:t>
        </w:r>
      </w:hyperlink>
    </w:p>
    <w:p>
      <w:pPr>
        <w:ind w:left="187" w:hanging="187"/>
      </w:pPr>
      <w:r>
        <w:t xml:space="preserve">• </w:t>
      </w:r>
      <w:r>
        <w:rPr>
          <w:b w:val="0"/>
          <w:i w:val="0"/>
        </w:rPr>
        <w:t xml:space="preserve">Subject — </w:t>
      </w:r>
      <w:hyperlink w:anchor="matter">
        <w:r>
          <w:rPr>
            <w:color w:val="000000"/>
          </w:rPr>
          <w:t xml:space="preserve">Matter</w:t>
        </w:r>
      </w:hyperlink>
    </w:p>
    <w:p>
      <w:pPr>
        <w:ind w:left="187" w:hanging="187"/>
      </w:pPr>
      <w:r>
        <w:t xml:space="preserve">• </w:t>
      </w:r>
      <w:r>
        <w:rPr>
          <w:b w:val="0"/>
          <w:i w:val="0"/>
        </w:rPr>
        <w:t xml:space="preserve">Substance — </w:t>
      </w:r>
      <w:hyperlink w:anchor="substance-and-accident">
        <w:r>
          <w:rPr>
            <w:color w:val="000000"/>
          </w:rPr>
          <w:t xml:space="preserve">Substance and accident</w:t>
        </w:r>
      </w:hyperlink>
    </w:p>
    <w:p>
      <w:pPr>
        <w:ind w:left="187" w:hanging="187"/>
      </w:pPr>
      <w:r>
        <w:t xml:space="preserve">• </w:t>
      </w:r>
      <w:r>
        <w:rPr>
          <w:b w:val="0"/>
          <w:i w:val="0"/>
        </w:rPr>
        <w:t xml:space="preserve">Substrate — </w:t>
      </w:r>
      <w:hyperlink w:anchor="matter">
        <w:r>
          <w:rPr>
            <w:color w:val="000000"/>
          </w:rPr>
          <w:t xml:space="preserve">Matter</w:t>
        </w:r>
      </w:hyperlink>
    </w:p>
    <w:p>
      <w:pPr>
        <w:ind w:left="187" w:hanging="187"/>
      </w:pPr>
      <w:r>
        <w:t xml:space="preserve">• </w:t>
      </w:r>
      <w:r>
        <w:rPr>
          <w:b w:val="0"/>
          <w:i w:val="0"/>
        </w:rPr>
        <w:t xml:space="preserve">Temperament — </w:t>
      </w:r>
      <w:hyperlink w:anchor="purity-and-mixture">
        <w:r>
          <w:rPr>
            <w:color w:val="000000"/>
          </w:rPr>
          <w:t xml:space="preserve">Purity and mixture</w:t>
        </w:r>
      </w:hyperlink>
    </w:p>
    <w:p>
      <w:pPr>
        <w:ind w:left="187" w:hanging="187"/>
      </w:pPr>
      <w:r>
        <w:t xml:space="preserve">• </w:t>
      </w:r>
      <w:r>
        <w:rPr>
          <w:b w:val="0"/>
          <w:i w:val="0"/>
        </w:rPr>
        <w:t xml:space="preserve">Tempering — </w:t>
      </w:r>
      <w:hyperlink w:anchor="purity-and-mixture">
        <w:r>
          <w:rPr>
            <w:color w:val="000000"/>
          </w:rPr>
          <w:t xml:space="preserve">Purity and mixture</w:t>
        </w:r>
      </w:hyperlink>
    </w:p>
    <w:p>
      <w:pPr>
        <w:ind w:left="187" w:hanging="187"/>
      </w:pPr>
      <w:r>
        <w:t xml:space="preserve">• </w:t>
      </w:r>
      <w:r>
        <w:rPr>
          <w:b w:val="0"/>
          <w:i w:val="0"/>
        </w:rPr>
        <w:t xml:space="preserve">Theological reservation — </w:t>
      </w:r>
      <w:hyperlink w:anchor="philosophy-and-theology">
        <w:r>
          <w:rPr>
            <w:color w:val="000000"/>
          </w:rPr>
          <w:t xml:space="preserve">Philosophy and theology</w:t>
        </w:r>
      </w:hyperlink>
    </w:p>
    <w:p>
      <w:pPr>
        <w:ind w:left="187" w:hanging="187"/>
      </w:pPr>
      <w:r>
        <w:t xml:space="preserve">• </w:t>
      </w:r>
      <w:r>
        <w:rPr>
          <w:b w:val="0"/>
          <w:i w:val="0"/>
        </w:rPr>
        <w:t xml:space="preserve">Time — </w:t>
      </w:r>
      <w:hyperlink w:anchor="eternity-and-time">
        <w:r>
          <w:rPr>
            <w:color w:val="000000"/>
          </w:rPr>
          <w:t xml:space="preserve">Eternity and time</w:t>
        </w:r>
      </w:hyperlink>
    </w:p>
    <w:p>
      <w:pPr>
        <w:ind w:left="187" w:hanging="187"/>
      </w:pPr>
      <w:r>
        <w:t xml:space="preserve">• </w:t>
      </w:r>
      <w:r>
        <w:rPr>
          <w:b w:val="0"/>
          <w:i w:val="0"/>
        </w:rPr>
        <w:t xml:space="preserve">Time and eternity — </w:t>
      </w:r>
      <w:hyperlink w:anchor="eternity-and-time">
        <w:r>
          <w:rPr>
            <w:color w:val="000000"/>
          </w:rPr>
          <w:t xml:space="preserve">Eternity and time</w:t>
        </w:r>
      </w:hyperlink>
    </w:p>
    <w:p>
      <w:pPr>
        <w:ind w:left="187" w:hanging="187"/>
      </w:pPr>
      <w:r>
        <w:t xml:space="preserve">• </w:t>
      </w:r>
      <w:r>
        <w:rPr>
          <w:b w:val="0"/>
          <w:i w:val="0"/>
        </w:rPr>
        <w:t xml:space="preserve">Unity — </w:t>
      </w:r>
      <w:hyperlink w:anchor="unity-and-multiplicity">
        <w:r>
          <w:rPr>
            <w:color w:val="000000"/>
          </w:rPr>
          <w:t xml:space="preserve">Unity and multiplicity</w:t>
        </w:r>
      </w:hyperlink>
    </w:p>
    <w:p>
      <w:pPr>
        <w:ind w:left="187" w:hanging="187"/>
      </w:pPr>
      <w:r>
        <w:t xml:space="preserve">• </w:t>
      </w:r>
      <w:r>
        <w:rPr>
          <w:b w:val="0"/>
          <w:i w:val="0"/>
        </w:rPr>
        <w:t xml:space="preserve">Universal — </w:t>
      </w:r>
      <w:hyperlink w:anchor="universals-and-individuals">
        <w:r>
          <w:rPr>
            <w:color w:val="000000"/>
          </w:rPr>
          <w:t xml:space="preserve">Universals and individuals</w:t>
        </w:r>
      </w:hyperlink>
    </w:p>
    <w:p>
      <w:pPr>
        <w:ind w:left="187" w:hanging="187"/>
      </w:pPr>
      <w:r>
        <w:t xml:space="preserve">• </w:t>
      </w:r>
      <w:r>
        <w:rPr>
          <w:b w:val="0"/>
          <w:i w:val="0"/>
        </w:rPr>
        <w:t xml:space="preserve">Unmixed — </w:t>
      </w:r>
      <w:hyperlink w:anchor="purity-and-mixture">
        <w:r>
          <w:rPr>
            <w:color w:val="000000"/>
          </w:rPr>
          <w:t xml:space="preserve">Purity and mixture</w:t>
        </w:r>
      </w:hyperlink>
    </w:p>
    <w:p>
      <w:pPr>
        <w:ind w:left="187" w:hanging="187"/>
      </w:pPr>
      <w:r>
        <w:t xml:space="preserve">• </w:t>
      </w:r>
      <w:r>
        <w:rPr>
          <w:b w:val="0"/>
          <w:i w:val="0"/>
        </w:rPr>
        <w:t xml:space="preserve">Vegetative life — </w:t>
      </w:r>
      <w:hyperlink w:anchor="life">
        <w:r>
          <w:rPr>
            <w:color w:val="000000"/>
          </w:rPr>
          <w:t xml:space="preserve">Life</w:t>
        </w:r>
      </w:hyperlink>
    </w:p>
    <w:p>
      <w:pPr>
        <w:ind w:left="187" w:hanging="187"/>
      </w:pPr>
      <w:r>
        <w:t xml:space="preserve">• </w:t>
      </w:r>
      <w:r>
        <w:rPr>
          <w:b w:val="0"/>
          <w:i w:val="0"/>
        </w:rPr>
        <w:t xml:space="preserve">Virtue — </w:t>
      </w:r>
      <w:hyperlink w:anchor="power-and-potency">
        <w:r>
          <w:rPr>
            <w:color w:val="000000"/>
          </w:rPr>
          <w:t xml:space="preserve">Power and potency</w:t>
        </w:r>
      </w:hyperlink>
    </w:p>
    <w:p>
      <w:pPr>
        <w:ind w:left="187" w:hanging="187"/>
      </w:pPr>
      <w:r>
        <w:t xml:space="preserve">• </w:t>
      </w:r>
      <w:r>
        <w:rPr>
          <w:b w:val="0"/>
          <w:i w:val="0"/>
        </w:rPr>
        <w:t xml:space="preserve">Well being — </w:t>
      </w:r>
      <w:hyperlink w:anchor="good-and-goodness">
        <w:r>
          <w:rPr>
            <w:color w:val="000000"/>
          </w:rPr>
          <w:t xml:space="preserve">Good and goodness</w:t>
        </w:r>
      </w:hyperlink>
    </w:p>
    <w:p>
      <w:pPr>
        <w:ind w:left="187" w:hanging="187"/>
      </w:pPr>
      <w:r>
        <w:t xml:space="preserve">• </w:t>
      </w:r>
      <w:r>
        <w:rPr>
          <w:b w:val="0"/>
          <w:i w:val="0"/>
        </w:rPr>
        <w:t xml:space="preserve">Whiteness — </w:t>
      </w:r>
      <w:hyperlink w:anchor="quality">
        <w:r>
          <w:rPr>
            <w:color w:val="000000"/>
          </w:rPr>
          <w:t xml:space="preserve">Quality</w:t>
        </w:r>
      </w:hyperlink>
    </w:p>
    <w:p>
      <w:pPr>
        <w:ind w:left="187" w:hanging="187"/>
      </w:pPr>
      <w:r>
        <w:t xml:space="preserve">• </w:t>
      </w:r>
      <w:r>
        <w:rPr>
          <w:b w:val="0"/>
          <w:i w:val="0"/>
        </w:rPr>
        <w:t xml:space="preserve">Whole — </w:t>
      </w:r>
      <w:hyperlink w:anchor="whole-and-parts">
        <w:r>
          <w:rPr>
            <w:color w:val="000000"/>
          </w:rPr>
          <w:t xml:space="preserve">Whole and parts</w:t>
        </w:r>
      </w:hyperlink>
    </w:p>
    <w:p>
      <w:pPr>
        <w:ind w:left="187" w:hanging="187"/>
      </w:pPr>
      <w:r>
        <w:t xml:space="preserve">• </w:t>
      </w:r>
      <w:r>
        <w:rPr>
          <w:b w:val="0"/>
          <w:i w:val="0"/>
        </w:rPr>
        <w:t xml:space="preserve">Whole in each part — </w:t>
      </w:r>
      <w:hyperlink w:anchor="indwelling-and-presence">
        <w:r>
          <w:rPr>
            <w:color w:val="000000"/>
          </w:rPr>
          <w:t xml:space="preserve">Indwelling and presence</w:t>
        </w:r>
      </w:hyperlink>
    </w:p>
    <w:p>
      <w:pPr>
        <w:ind w:left="187" w:hanging="187"/>
      </w:pPr>
      <w:r>
        <w:t xml:space="preserve">• </w:t>
      </w:r>
      <w:r>
        <w:rPr>
          <w:b w:val="0"/>
          <w:i w:val="0"/>
        </w:rPr>
        <w:t xml:space="preserve">Will and memory — </w:t>
      </w:r>
      <w:hyperlink w:anchor="will">
        <w:r>
          <w:rPr>
            <w:color w:val="000000"/>
          </w:rPr>
          <w:t xml:space="preserve">Will</w:t>
        </w:r>
      </w:hyperlink>
    </w:p>
    <w:p>
      <w:pPr>
        <w:ind w:left="187" w:hanging="187"/>
      </w:pPr>
      <w:r>
        <w:t xml:space="preserve">• </w:t>
      </w:r>
      <w:r>
        <w:rPr>
          <w:b w:val="0"/>
          <w:i w:val="0"/>
        </w:rPr>
        <w:t xml:space="preserve">World — </w:t>
      </w:r>
      <w:hyperlink w:anchor="world-and-universe">
        <w:r>
          <w:rPr>
            <w:color w:val="000000"/>
          </w:rPr>
          <w:t xml:space="preserve">World and universe</w:t>
        </w:r>
      </w:hyperlink>
    </w:p>
    <w:p>
      <w:pPr>
        <w:ind w:left="187" w:hanging="187"/>
      </w:pPr>
      <w:r>
        <w:t xml:space="preserve">• </w:t>
      </w:r>
      <w:r>
        <w:rPr>
          <w:b w:val="0"/>
          <w:i w:val="0"/>
        </w:rPr>
        <w:t xml:space="preserve">World-soul — </w:t>
      </w:r>
      <w:hyperlink w:anchor="world-soul">
        <w:r>
          <w:rPr>
            <w:color w:val="000000"/>
          </w:rPr>
          <w:t xml:space="preserve">World soul</w:t>
        </w:r>
      </w:hyperlink>
    </w:p>
    <w:p>
      <w:bookmarkStart w:id="2127" w:name="latin-word-and-phrase-index"/>
      <w:pPr>
        <w:pStyle w:val="Heading1"/>
      </w:pPr>
      <w:r>
        <w:rPr>
          <w:b w:val="0"/>
          <w:i w:val="0"/>
        </w:rPr>
        <w:t>Latin word and phrase index</w:t>
      </w:r>
      <w:bookmarkEnd w:id="2127"/>
    </w:p>
    <w:p>
      <w:pPr>
        <w:widowControl/>
      </w:pPr>
      <w:r>
        <w:rPr>
          <w:b w:val="0"/>
          <w:i w:val="0"/>
        </w:rPr>
        <w:t>The index reproduces the Latin lookup forms and phrases supplied in the entries, including significant inflections. It is not a complete morphological concordance of the text.</w:t>
      </w:r>
    </w:p>
    <w:p>
      <w:pPr>
        <w:ind w:left="187" w:hanging="187"/>
      </w:pPr>
      <w:r>
        <w:t xml:space="preserve">• </w:t>
      </w:r>
      <w:r>
        <w:rPr>
          <w:b w:val="0"/>
          <w:i/>
        </w:rPr>
        <w:t>ab alio</w:t>
      </w:r>
      <w:r>
        <w:rPr>
          <w:b w:val="0"/>
          <w:i w:val="0"/>
        </w:rPr>
        <w:t xml:space="preserve"> — </w:t>
      </w:r>
      <w:hyperlink w:anchor="through-itself-and-through-another">
        <w:r>
          <w:rPr>
            <w:color w:val="000000"/>
          </w:rPr>
          <w:t xml:space="preserve">Through itself and through another</w:t>
        </w:r>
      </w:hyperlink>
    </w:p>
    <w:p>
      <w:pPr>
        <w:ind w:left="187" w:hanging="187"/>
      </w:pPr>
      <w:r>
        <w:t xml:space="preserve">• </w:t>
      </w:r>
      <w:r>
        <w:rPr>
          <w:b w:val="0"/>
          <w:i/>
        </w:rPr>
        <w:t>absolutum obiectum</w:t>
      </w:r>
      <w:r>
        <w:rPr>
          <w:b w:val="0"/>
          <w:i w:val="0"/>
        </w:rPr>
        <w:t xml:space="preserve"> — </w:t>
      </w:r>
      <w:hyperlink w:anchor="object-and-adequate-object">
        <w:r>
          <w:rPr>
            <w:color w:val="000000"/>
          </w:rPr>
          <w:t xml:space="preserve">Object and adequate object</w:t>
        </w:r>
      </w:hyperlink>
    </w:p>
    <w:p>
      <w:pPr>
        <w:ind w:left="187" w:hanging="187"/>
      </w:pPr>
      <w:r>
        <w:t xml:space="preserve">• </w:t>
      </w:r>
      <w:r>
        <w:rPr>
          <w:b w:val="0"/>
          <w:i/>
        </w:rPr>
        <w:t>absolutus</w:t>
      </w:r>
      <w:r>
        <w:rPr>
          <w:b w:val="0"/>
          <w:i w:val="0"/>
        </w:rPr>
        <w:t xml:space="preserve"> — </w:t>
      </w:r>
      <w:hyperlink w:anchor="separation-and-abstraction">
        <w:r>
          <w:rPr>
            <w:color w:val="000000"/>
          </w:rPr>
          <w:t xml:space="preserve">Separation and abstraction</w:t>
        </w:r>
      </w:hyperlink>
    </w:p>
    <w:p>
      <w:pPr>
        <w:ind w:left="187" w:hanging="187"/>
      </w:pPr>
      <w:r>
        <w:t xml:space="preserve">• </w:t>
      </w:r>
      <w:r>
        <w:rPr>
          <w:b w:val="0"/>
          <w:i/>
        </w:rPr>
        <w:t>absque dimensione</w:t>
      </w:r>
      <w:r>
        <w:rPr>
          <w:b w:val="0"/>
          <w:i w:val="0"/>
        </w:rPr>
        <w:t xml:space="preserve"> — </w:t>
      </w:r>
      <w:hyperlink w:anchor="incorporeal-and-immaterial">
        <w:r>
          <w:rPr>
            <w:color w:val="000000"/>
          </w:rPr>
          <w:t xml:space="preserve">Incorporeal and immaterial</w:t>
        </w:r>
      </w:hyperlink>
    </w:p>
    <w:p>
      <w:pPr>
        <w:ind w:left="187" w:hanging="187"/>
      </w:pPr>
      <w:r>
        <w:t xml:space="preserve">• </w:t>
      </w:r>
      <w:r>
        <w:rPr>
          <w:b w:val="0"/>
          <w:i/>
        </w:rPr>
        <w:t>absque fine</w:t>
      </w:r>
      <w:r>
        <w:rPr>
          <w:b w:val="0"/>
          <w:i w:val="0"/>
        </w:rPr>
        <w:t xml:space="preserve"> — </w:t>
      </w:r>
      <w:hyperlink w:anchor="infinity">
        <w:r>
          <w:rPr>
            <w:color w:val="000000"/>
          </w:rPr>
          <w:t xml:space="preserve">Infinity</w:t>
        </w:r>
      </w:hyperlink>
    </w:p>
    <w:p>
      <w:pPr>
        <w:ind w:left="187" w:hanging="187"/>
      </w:pPr>
      <w:r>
        <w:t xml:space="preserve">• </w:t>
      </w:r>
      <w:r>
        <w:rPr>
          <w:b w:val="0"/>
          <w:i/>
        </w:rPr>
        <w:t>absque termino</w:t>
      </w:r>
      <w:r>
        <w:rPr>
          <w:b w:val="0"/>
          <w:i w:val="0"/>
        </w:rPr>
        <w:t xml:space="preserve"> — </w:t>
      </w:r>
      <w:hyperlink w:anchor="infinity">
        <w:r>
          <w:rPr>
            <w:color w:val="000000"/>
          </w:rPr>
          <w:t xml:space="preserve">Infinity</w:t>
        </w:r>
      </w:hyperlink>
    </w:p>
    <w:p>
      <w:pPr>
        <w:ind w:left="187" w:hanging="187"/>
      </w:pPr>
      <w:r>
        <w:t xml:space="preserve">• </w:t>
      </w:r>
      <w:r>
        <w:rPr>
          <w:b w:val="0"/>
          <w:i/>
        </w:rPr>
        <w:t>accidens</w:t>
      </w:r>
      <w:r>
        <w:rPr>
          <w:b w:val="0"/>
          <w:i w:val="0"/>
        </w:rPr>
        <w:t xml:space="preserve"> — </w:t>
      </w:r>
      <w:hyperlink w:anchor="essence-and-substance">
        <w:r>
          <w:rPr>
            <w:color w:val="000000"/>
          </w:rPr>
          <w:t xml:space="preserve">Essence and substance</w:t>
        </w:r>
      </w:hyperlink>
      <w:r>
        <w:rPr>
          <w:b w:val="0"/>
          <w:i w:val="0"/>
        </w:rPr>
        <w:t xml:space="preserve">; </w:t>
      </w:r>
      <w:hyperlink w:anchor="substance-and-accident">
        <w:r>
          <w:rPr>
            <w:color w:val="000000"/>
          </w:rPr>
          <w:t xml:space="preserve">Substance and accident</w:t>
        </w:r>
      </w:hyperlink>
    </w:p>
    <w:p>
      <w:pPr>
        <w:ind w:left="187" w:hanging="187"/>
      </w:pPr>
      <w:r>
        <w:t xml:space="preserve">• </w:t>
      </w:r>
      <w:r>
        <w:rPr>
          <w:b w:val="0"/>
          <w:i/>
        </w:rPr>
        <w:t>accidentale</w:t>
      </w:r>
      <w:r>
        <w:rPr>
          <w:b w:val="0"/>
          <w:i w:val="0"/>
        </w:rPr>
        <w:t xml:space="preserve"> — </w:t>
      </w:r>
      <w:hyperlink w:anchor="substance-and-accident">
        <w:r>
          <w:rPr>
            <w:color w:val="000000"/>
          </w:rPr>
          <w:t xml:space="preserve">Substance and accident</w:t>
        </w:r>
      </w:hyperlink>
    </w:p>
    <w:p>
      <w:pPr>
        <w:ind w:left="187" w:hanging="187"/>
      </w:pPr>
      <w:r>
        <w:t xml:space="preserve">• </w:t>
      </w:r>
      <w:r>
        <w:rPr>
          <w:b w:val="0"/>
          <w:i/>
        </w:rPr>
        <w:t>accidentalis</w:t>
      </w:r>
      <w:r>
        <w:rPr>
          <w:b w:val="0"/>
          <w:i w:val="0"/>
        </w:rPr>
        <w:t xml:space="preserve"> — </w:t>
      </w:r>
      <w:hyperlink w:anchor="substance-and-accident">
        <w:r>
          <w:rPr>
            <w:color w:val="000000"/>
          </w:rPr>
          <w:t xml:space="preserve">Substance and accident</w:t>
        </w:r>
      </w:hyperlink>
    </w:p>
    <w:p>
      <w:pPr>
        <w:ind w:left="187" w:hanging="187"/>
      </w:pPr>
      <w:r>
        <w:t xml:space="preserve">• </w:t>
      </w:r>
      <w:r>
        <w:rPr>
          <w:b w:val="0"/>
          <w:i/>
        </w:rPr>
        <w:t>accidentia</w:t>
      </w:r>
      <w:r>
        <w:rPr>
          <w:b w:val="0"/>
          <w:i w:val="0"/>
        </w:rPr>
        <w:t xml:space="preserve"> — </w:t>
      </w:r>
      <w:hyperlink w:anchor="essence-and-substance">
        <w:r>
          <w:rPr>
            <w:color w:val="000000"/>
          </w:rPr>
          <w:t xml:space="preserve">Essence and substance</w:t>
        </w:r>
      </w:hyperlink>
      <w:r>
        <w:rPr>
          <w:b w:val="0"/>
          <w:i w:val="0"/>
        </w:rPr>
        <w:t xml:space="preserve">; </w:t>
      </w:r>
      <w:hyperlink w:anchor="quality">
        <w:r>
          <w:rPr>
            <w:color w:val="000000"/>
          </w:rPr>
          <w:t xml:space="preserve">Quality</w:t>
        </w:r>
      </w:hyperlink>
      <w:r>
        <w:rPr>
          <w:b w:val="0"/>
          <w:i w:val="0"/>
        </w:rPr>
        <w:t xml:space="preserve">; </w:t>
      </w:r>
      <w:hyperlink w:anchor="substance-and-accident">
        <w:r>
          <w:rPr>
            <w:color w:val="000000"/>
          </w:rPr>
          <w:t xml:space="preserve">Substance and accident</w:t>
        </w:r>
      </w:hyperlink>
    </w:p>
    <w:p>
      <w:pPr>
        <w:ind w:left="187" w:hanging="187"/>
      </w:pPr>
      <w:r>
        <w:t xml:space="preserve">• </w:t>
      </w:r>
      <w:r>
        <w:rPr>
          <w:b w:val="0"/>
          <w:i/>
        </w:rPr>
        <w:t>acies</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actio</w:t>
      </w:r>
      <w:r>
        <w:rPr>
          <w:b w:val="0"/>
          <w:i w:val="0"/>
        </w:rPr>
        <w:t xml:space="preserve"> — </w:t>
      </w:r>
      <w:hyperlink w:anchor="act-and-operation">
        <w:r>
          <w:rPr>
            <w:color w:val="000000"/>
          </w:rPr>
          <w:t xml:space="preserve">Act and operation</w:t>
        </w:r>
      </w:hyperlink>
    </w:p>
    <w:p>
      <w:pPr>
        <w:ind w:left="187" w:hanging="187"/>
      </w:pPr>
      <w:r>
        <w:t xml:space="preserve">• </w:t>
      </w:r>
      <w:r>
        <w:rPr>
          <w:b w:val="0"/>
          <w:i/>
        </w:rPr>
        <w:t>actu</w:t>
      </w:r>
      <w:r>
        <w:rPr>
          <w:b w:val="0"/>
          <w:i w:val="0"/>
        </w:rPr>
        <w:t xml:space="preserve"> — </w:t>
      </w:r>
      <w:hyperlink w:anchor="act-and-operation">
        <w:r>
          <w:rPr>
            <w:color w:val="000000"/>
          </w:rPr>
          <w:t xml:space="preserve">Act and operation</w:t>
        </w:r>
      </w:hyperlink>
      <w:r>
        <w:rPr>
          <w:b w:val="0"/>
          <w:i w:val="0"/>
        </w:rPr>
        <w:t xml:space="preserve">; </w:t>
      </w:r>
      <w:hyperlink w:anchor="habitual-possession">
        <w:r>
          <w:rPr>
            <w:color w:val="000000"/>
          </w:rPr>
          <w:t xml:space="preserve">Habitual possession</w:t>
        </w:r>
      </w:hyperlink>
      <w:r>
        <w:rPr>
          <w:b w:val="0"/>
          <w:i w:val="0"/>
        </w:rPr>
        <w:t xml:space="preserve">; </w:t>
      </w:r>
      <w:hyperlink w:anchor="infinity">
        <w:r>
          <w:rPr>
            <w:color w:val="000000"/>
          </w:rPr>
          <w:t xml:space="preserve">Infinity</w:t>
        </w:r>
      </w:hyperlink>
    </w:p>
    <w:p>
      <w:pPr>
        <w:ind w:left="187" w:hanging="187"/>
      </w:pPr>
      <w:r>
        <w:t xml:space="preserve">• </w:t>
      </w:r>
      <w:r>
        <w:rPr>
          <w:b w:val="0"/>
          <w:i/>
        </w:rPr>
        <w:t>actum</w:t>
      </w:r>
      <w:r>
        <w:rPr>
          <w:b w:val="0"/>
          <w:i w:val="0"/>
        </w:rPr>
        <w:t xml:space="preserve"> — </w:t>
      </w:r>
      <w:hyperlink w:anchor="act-and-operation">
        <w:r>
          <w:rPr>
            <w:color w:val="000000"/>
          </w:rPr>
          <w:t xml:space="preserve">Act and operation</w:t>
        </w:r>
      </w:hyperlink>
    </w:p>
    <w:p>
      <w:pPr>
        <w:ind w:left="187" w:hanging="187"/>
      </w:pPr>
      <w:r>
        <w:t xml:space="preserve">• </w:t>
      </w:r>
      <w:r>
        <w:rPr>
          <w:b w:val="0"/>
          <w:i/>
        </w:rPr>
        <w:t>actus</w:t>
      </w:r>
      <w:r>
        <w:rPr>
          <w:b w:val="0"/>
          <w:i w:val="0"/>
        </w:rPr>
        <w:t xml:space="preserve"> — </w:t>
      </w:r>
      <w:hyperlink w:anchor="act-and-operation">
        <w:r>
          <w:rPr>
            <w:color w:val="000000"/>
          </w:rPr>
          <w:t xml:space="preserve">Act and operation</w:t>
        </w:r>
      </w:hyperlink>
    </w:p>
    <w:p>
      <w:pPr>
        <w:ind w:left="187" w:hanging="187"/>
      </w:pPr>
      <w:r>
        <w:t xml:space="preserve">• </w:t>
      </w:r>
      <w:r>
        <w:rPr>
          <w:b w:val="0"/>
          <w:i/>
        </w:rPr>
        <w:t>actus intra se manens</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actus primus</w:t>
      </w:r>
      <w:r>
        <w:rPr>
          <w:b w:val="0"/>
          <w:i w:val="0"/>
        </w:rPr>
        <w:t xml:space="preserve"> — </w:t>
      </w:r>
      <w:hyperlink w:anchor="act-and-operation">
        <w:r>
          <w:rPr>
            <w:color w:val="000000"/>
          </w:rPr>
          <w:t xml:space="preserve">Act and operation</w:t>
        </w:r>
      </w:hyperlink>
    </w:p>
    <w:p>
      <w:pPr>
        <w:ind w:left="187" w:hanging="187"/>
      </w:pPr>
      <w:r>
        <w:t xml:space="preserve">• </w:t>
      </w:r>
      <w:r>
        <w:rPr>
          <w:b w:val="0"/>
          <w:i/>
        </w:rPr>
        <w:t>ad finem</w:t>
      </w:r>
      <w:r>
        <w:rPr>
          <w:b w:val="0"/>
          <w:i w:val="0"/>
        </w:rPr>
        <w:t xml:space="preserve"> — </w:t>
      </w:r>
      <w:hyperlink w:anchor="end-and-limit">
        <w:r>
          <w:rPr>
            <w:color w:val="000000"/>
          </w:rPr>
          <w:t xml:space="preserve">End and limit</w:t>
        </w:r>
      </w:hyperlink>
    </w:p>
    <w:p>
      <w:pPr>
        <w:ind w:left="187" w:hanging="187"/>
      </w:pPr>
      <w:r>
        <w:t xml:space="preserve">• </w:t>
      </w:r>
      <w:r>
        <w:rPr>
          <w:b w:val="0"/>
          <w:i/>
        </w:rPr>
        <w:t>adaequatum appetitus obiectum</w:t>
      </w:r>
      <w:r>
        <w:rPr>
          <w:b w:val="0"/>
          <w:i w:val="0"/>
        </w:rPr>
        <w:t xml:space="preserve"> — </w:t>
      </w:r>
      <w:hyperlink w:anchor="object-and-adequate-object">
        <w:r>
          <w:rPr>
            <w:color w:val="000000"/>
          </w:rPr>
          <w:t xml:space="preserve">Object and adequate object</w:t>
        </w:r>
      </w:hyperlink>
    </w:p>
    <w:p>
      <w:pPr>
        <w:ind w:left="187" w:hanging="187"/>
      </w:pPr>
      <w:r>
        <w:t xml:space="preserve">• </w:t>
      </w:r>
      <w:r>
        <w:rPr>
          <w:b w:val="0"/>
          <w:i/>
        </w:rPr>
        <w:t>adsit aut insit</w:t>
      </w:r>
      <w:r>
        <w:rPr>
          <w:b w:val="0"/>
          <w:i w:val="0"/>
        </w:rPr>
        <w:t xml:space="preserve"> — </w:t>
      </w:r>
      <w:hyperlink w:anchor="indwelling-and-presence">
        <w:r>
          <w:rPr>
            <w:color w:val="000000"/>
          </w:rPr>
          <w:t xml:space="preserve">Indwelling and presence</w:t>
        </w:r>
      </w:hyperlink>
    </w:p>
    <w:p>
      <w:pPr>
        <w:ind w:left="187" w:hanging="187"/>
      </w:pPr>
      <w:r>
        <w:t xml:space="preserve">• </w:t>
      </w:r>
      <w:r>
        <w:rPr>
          <w:b w:val="0"/>
          <w:i/>
        </w:rPr>
        <w:t>aequalitas</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aeternitas</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aeternitatis punctum</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aethereo animae indumento</w:t>
      </w:r>
      <w:r>
        <w:rPr>
          <w:b w:val="0"/>
          <w:i w:val="0"/>
        </w:rPr>
        <w:t xml:space="preserve"> — </w:t>
      </w:r>
      <w:hyperlink w:anchor="ethereal-garment">
        <w:r>
          <w:rPr>
            <w:color w:val="000000"/>
          </w:rPr>
          <w:t xml:space="preserve">Ethereal garment</w:t>
        </w:r>
      </w:hyperlink>
    </w:p>
    <w:p>
      <w:pPr>
        <w:ind w:left="187" w:hanging="187"/>
      </w:pPr>
      <w:r>
        <w:t xml:space="preserve">• </w:t>
      </w:r>
      <w:r>
        <w:rPr>
          <w:b w:val="0"/>
          <w:i/>
        </w:rPr>
        <w:t>aevum</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affectio</w:t>
      </w:r>
      <w:r>
        <w:rPr>
          <w:b w:val="0"/>
          <w:i w:val="0"/>
        </w:rPr>
        <w:t xml:space="preserve"> — </w:t>
      </w:r>
      <w:hyperlink w:anchor="affection-and-passivity">
        <w:r>
          <w:rPr>
            <w:color w:val="000000"/>
          </w:rPr>
          <w:t xml:space="preserve">Affection and passivity</w:t>
        </w:r>
      </w:hyperlink>
    </w:p>
    <w:p>
      <w:pPr>
        <w:ind w:left="187" w:hanging="187"/>
      </w:pPr>
      <w:r>
        <w:t xml:space="preserve">• </w:t>
      </w:r>
      <w:r>
        <w:rPr>
          <w:b w:val="0"/>
          <w:i/>
        </w:rPr>
        <w:t>affectiones</w:t>
      </w:r>
      <w:r>
        <w:rPr>
          <w:b w:val="0"/>
          <w:i w:val="0"/>
        </w:rPr>
        <w:t xml:space="preserve"> — </w:t>
      </w:r>
      <w:hyperlink w:anchor="affect">
        <w:r>
          <w:rPr>
            <w:color w:val="000000"/>
          </w:rPr>
          <w:t xml:space="preserve">Affect</w:t>
        </w:r>
      </w:hyperlink>
    </w:p>
    <w:p>
      <w:pPr>
        <w:ind w:left="187" w:hanging="187"/>
      </w:pPr>
      <w:r>
        <w:t xml:space="preserve">• </w:t>
      </w:r>
      <w:r>
        <w:rPr>
          <w:b w:val="0"/>
          <w:i/>
        </w:rPr>
        <w:t>affectu</w:t>
      </w:r>
      <w:r>
        <w:rPr>
          <w:b w:val="0"/>
          <w:i w:val="0"/>
        </w:rPr>
        <w:t xml:space="preserve"> — </w:t>
      </w:r>
      <w:hyperlink w:anchor="affect">
        <w:r>
          <w:rPr>
            <w:color w:val="000000"/>
          </w:rPr>
          <w:t xml:space="preserve">Affect</w:t>
        </w:r>
      </w:hyperlink>
    </w:p>
    <w:p>
      <w:pPr>
        <w:ind w:left="187" w:hanging="187"/>
      </w:pPr>
      <w:r>
        <w:t xml:space="preserve">• </w:t>
      </w:r>
      <w:r>
        <w:rPr>
          <w:b w:val="0"/>
          <w:i/>
        </w:rPr>
        <w:t>affectum</w:t>
      </w:r>
      <w:r>
        <w:rPr>
          <w:b w:val="0"/>
          <w:i w:val="0"/>
        </w:rPr>
        <w:t xml:space="preserve"> — </w:t>
      </w:r>
      <w:hyperlink w:anchor="affect">
        <w:r>
          <w:rPr>
            <w:color w:val="000000"/>
          </w:rPr>
          <w:t xml:space="preserve">Affect</w:t>
        </w:r>
      </w:hyperlink>
    </w:p>
    <w:p>
      <w:pPr>
        <w:ind w:left="187" w:hanging="187"/>
      </w:pPr>
      <w:r>
        <w:t xml:space="preserve">• </w:t>
      </w:r>
      <w:r>
        <w:rPr>
          <w:b w:val="0"/>
          <w:i/>
        </w:rPr>
        <w:t>affectus</w:t>
      </w:r>
      <w:r>
        <w:rPr>
          <w:b w:val="0"/>
          <w:i w:val="0"/>
        </w:rPr>
        <w:t xml:space="preserve"> — </w:t>
      </w:r>
      <w:hyperlink w:anchor="affect">
        <w:r>
          <w:rPr>
            <w:color w:val="000000"/>
          </w:rPr>
          <w:t xml:space="preserve">Affect</w:t>
        </w:r>
      </w:hyperlink>
    </w:p>
    <w:p>
      <w:pPr>
        <w:ind w:left="187" w:hanging="187"/>
      </w:pPr>
      <w:r>
        <w:t xml:space="preserve">• </w:t>
      </w:r>
      <w:r>
        <w:rPr>
          <w:b w:val="0"/>
          <w:i/>
        </w:rPr>
        <w:t>affici</w:t>
      </w:r>
      <w:r>
        <w:rPr>
          <w:b w:val="0"/>
          <w:i w:val="0"/>
        </w:rPr>
        <w:t xml:space="preserve"> — </w:t>
      </w:r>
      <w:hyperlink w:anchor="affection-and-passivity">
        <w:r>
          <w:rPr>
            <w:color w:val="000000"/>
          </w:rPr>
          <w:t xml:space="preserve">Affection and passivity</w:t>
        </w:r>
      </w:hyperlink>
    </w:p>
    <w:p>
      <w:pPr>
        <w:ind w:left="187" w:hanging="187"/>
      </w:pPr>
      <w:r>
        <w:t xml:space="preserve">• </w:t>
      </w:r>
      <w:r>
        <w:rPr>
          <w:b w:val="0"/>
          <w:i/>
        </w:rPr>
        <w:t>afficit</w:t>
      </w:r>
      <w:r>
        <w:rPr>
          <w:b w:val="0"/>
          <w:i w:val="0"/>
        </w:rPr>
        <w:t xml:space="preserve"> — </w:t>
      </w:r>
      <w:hyperlink w:anchor="affect">
        <w:r>
          <w:rPr>
            <w:color w:val="000000"/>
          </w:rPr>
          <w:t xml:space="preserve">Affect</w:t>
        </w:r>
      </w:hyperlink>
    </w:p>
    <w:p>
      <w:pPr>
        <w:ind w:left="187" w:hanging="187"/>
      </w:pPr>
      <w:r>
        <w:t xml:space="preserve">• </w:t>
      </w:r>
      <w:r>
        <w:rPr>
          <w:b w:val="0"/>
          <w:i/>
        </w:rPr>
        <w:t>agens</w:t>
      </w:r>
      <w:r>
        <w:rPr>
          <w:b w:val="0"/>
          <w:i w:val="0"/>
        </w:rPr>
        <w:t xml:space="preserve"> — </w:t>
      </w:r>
      <w:hyperlink w:anchor="cause">
        <w:r>
          <w:rPr>
            <w:color w:val="000000"/>
          </w:rPr>
          <w:t xml:space="preserve">Cause</w:t>
        </w:r>
      </w:hyperlink>
      <w:r>
        <w:rPr>
          <w:b w:val="0"/>
          <w:i w:val="0"/>
        </w:rPr>
        <w:t xml:space="preserve">; </w:t>
      </w:r>
      <w:hyperlink w:anchor="instrument">
        <w:r>
          <w:rPr>
            <w:color w:val="000000"/>
          </w:rPr>
          <w:t xml:space="preserve">Instrument</w:t>
        </w:r>
      </w:hyperlink>
    </w:p>
    <w:p>
      <w:pPr>
        <w:ind w:left="187" w:hanging="187"/>
      </w:pPr>
      <w:r>
        <w:t xml:space="preserve">• </w:t>
      </w:r>
      <w:r>
        <w:rPr>
          <w:b w:val="0"/>
          <w:i/>
        </w:rPr>
        <w:t>agentia</w:t>
      </w:r>
      <w:r>
        <w:rPr>
          <w:b w:val="0"/>
          <w:i w:val="0"/>
        </w:rPr>
        <w:t xml:space="preserve"> — </w:t>
      </w:r>
      <w:hyperlink w:anchor="instrument">
        <w:r>
          <w:rPr>
            <w:color w:val="000000"/>
          </w:rPr>
          <w:t xml:space="preserve">Instrument</w:t>
        </w:r>
      </w:hyperlink>
    </w:p>
    <w:p>
      <w:pPr>
        <w:ind w:left="187" w:hanging="187"/>
      </w:pPr>
      <w:r>
        <w:t xml:space="preserve">• </w:t>
      </w:r>
      <w:r>
        <w:rPr>
          <w:b w:val="0"/>
          <w:i/>
        </w:rPr>
        <w:t>agere</w:t>
      </w:r>
      <w:r>
        <w:rPr>
          <w:b w:val="0"/>
          <w:i w:val="0"/>
        </w:rPr>
        <w:t xml:space="preserve"> — </w:t>
      </w:r>
      <w:hyperlink w:anchor="act-and-operation">
        <w:r>
          <w:rPr>
            <w:color w:val="000000"/>
          </w:rPr>
          <w:t xml:space="preserve">Act and operation</w:t>
        </w:r>
      </w:hyperlink>
    </w:p>
    <w:p>
      <w:pPr>
        <w:ind w:left="187" w:hanging="187"/>
      </w:pPr>
      <w:r>
        <w:t xml:space="preserve">• </w:t>
      </w:r>
      <w:r>
        <w:rPr>
          <w:b w:val="0"/>
          <w:i/>
        </w:rPr>
        <w:t>albedo</w:t>
      </w:r>
      <w:r>
        <w:rPr>
          <w:b w:val="0"/>
          <w:i w:val="0"/>
        </w:rPr>
        <w:t xml:space="preserve"> — </w:t>
      </w:r>
      <w:hyperlink w:anchor="quality">
        <w:r>
          <w:rPr>
            <w:color w:val="000000"/>
          </w:rPr>
          <w:t xml:space="preserve">Quality</w:t>
        </w:r>
      </w:hyperlink>
    </w:p>
    <w:p>
      <w:pPr>
        <w:ind w:left="187" w:hanging="187"/>
      </w:pPr>
      <w:r>
        <w:t xml:space="preserve">• </w:t>
      </w:r>
      <w:r>
        <w:rPr>
          <w:b w:val="0"/>
          <w:i/>
        </w:rPr>
        <w:t>amare</w:t>
      </w:r>
      <w:r>
        <w:rPr>
          <w:b w:val="0"/>
          <w:i w:val="0"/>
        </w:rPr>
        <w:t xml:space="preserve"> — </w:t>
      </w:r>
      <w:hyperlink w:anchor="love-and-pleasure">
        <w:r>
          <w:rPr>
            <w:color w:val="000000"/>
          </w:rPr>
          <w:t xml:space="preserve">Love and pleasure</w:t>
        </w:r>
      </w:hyperlink>
    </w:p>
    <w:p>
      <w:pPr>
        <w:ind w:left="187" w:hanging="187"/>
      </w:pPr>
      <w:r>
        <w:t xml:space="preserve">• </w:t>
      </w:r>
      <w:r>
        <w:rPr>
          <w:b w:val="0"/>
          <w:i/>
        </w:rPr>
        <w:t>amor</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amor sapientiae</w:t>
      </w:r>
      <w:r>
        <w:rPr>
          <w:b w:val="0"/>
          <w:i w:val="0"/>
        </w:rPr>
        <w:t xml:space="preserve"> — </w:t>
      </w:r>
      <w:hyperlink w:anchor="philosophy-and-theology">
        <w:r>
          <w:rPr>
            <w:color w:val="000000"/>
          </w:rPr>
          <w:t xml:space="preserve">Philosophy and theology</w:t>
        </w:r>
      </w:hyperlink>
    </w:p>
    <w:p>
      <w:pPr>
        <w:ind w:left="187" w:hanging="187"/>
      </w:pPr>
      <w:r>
        <w:t xml:space="preserve">• </w:t>
      </w:r>
      <w:r>
        <w:rPr>
          <w:b w:val="0"/>
          <w:i/>
        </w:rPr>
        <w:t>amplitudo</w:t>
      </w:r>
      <w:r>
        <w:rPr>
          <w:b w:val="0"/>
          <w:i w:val="0"/>
        </w:rPr>
        <w:t xml:space="preserve"> — </w:t>
      </w:r>
      <w:hyperlink w:anchor="quantity-and-dimension">
        <w:r>
          <w:rPr>
            <w:color w:val="000000"/>
          </w:rPr>
          <w:t xml:space="preserve">Quantity and dimension</w:t>
        </w:r>
      </w:hyperlink>
    </w:p>
    <w:p>
      <w:pPr>
        <w:ind w:left="187" w:hanging="187"/>
      </w:pPr>
      <w:r>
        <w:t xml:space="preserve">• </w:t>
      </w:r>
      <w:r>
        <w:rPr>
          <w:b w:val="0"/>
          <w:i/>
        </w:rPr>
        <w:t>angeli</w:t>
      </w:r>
      <w:r>
        <w:rPr>
          <w:b w:val="0"/>
          <w:i w:val="0"/>
        </w:rPr>
        <w:t xml:space="preserve"> — </w:t>
      </w:r>
      <w:hyperlink w:anchor="angel">
        <w:r>
          <w:rPr>
            <w:color w:val="000000"/>
          </w:rPr>
          <w:t xml:space="preserve">Angel</w:t>
        </w:r>
      </w:hyperlink>
    </w:p>
    <w:p>
      <w:pPr>
        <w:ind w:left="187" w:hanging="187"/>
      </w:pPr>
      <w:r>
        <w:t xml:space="preserve">• </w:t>
      </w:r>
      <w:r>
        <w:rPr>
          <w:b w:val="0"/>
          <w:i/>
        </w:rPr>
        <w:t>angelicae vitae</w:t>
      </w:r>
      <w:r>
        <w:rPr>
          <w:b w:val="0"/>
          <w:i w:val="0"/>
        </w:rPr>
        <w:t xml:space="preserve"> — </w:t>
      </w:r>
      <w:hyperlink w:anchor="angel">
        <w:r>
          <w:rPr>
            <w:color w:val="000000"/>
          </w:rPr>
          <w:t xml:space="preserve">Angel</w:t>
        </w:r>
      </w:hyperlink>
    </w:p>
    <w:p>
      <w:pPr>
        <w:ind w:left="187" w:hanging="187"/>
      </w:pPr>
      <w:r>
        <w:t xml:space="preserve">• </w:t>
      </w:r>
      <w:r>
        <w:rPr>
          <w:b w:val="0"/>
          <w:i/>
        </w:rPr>
        <w:t>angelus</w:t>
      </w:r>
      <w:r>
        <w:rPr>
          <w:b w:val="0"/>
          <w:i w:val="0"/>
        </w:rPr>
        <w:t xml:space="preserve"> — </w:t>
      </w:r>
      <w:hyperlink w:anchor="angel">
        <w:r>
          <w:rPr>
            <w:color w:val="000000"/>
          </w:rPr>
          <w:t xml:space="preserve">Angel</w:t>
        </w:r>
      </w:hyperlink>
    </w:p>
    <w:p>
      <w:pPr>
        <w:ind w:left="187" w:hanging="187"/>
      </w:pPr>
      <w:r>
        <w:t xml:space="preserve">• </w:t>
      </w:r>
      <w:r>
        <w:rPr>
          <w:b w:val="0"/>
          <w:i/>
        </w:rPr>
        <w:t>anima</w:t>
      </w:r>
      <w:r>
        <w:rPr>
          <w:b w:val="0"/>
          <w:i w:val="0"/>
        </w:rPr>
        <w:t xml:space="preserve"> — </w:t>
      </w:r>
      <w:hyperlink w:anchor="soul">
        <w:r>
          <w:rPr>
            <w:color w:val="000000"/>
          </w:rPr>
          <w:t xml:space="preserve">Soul</w:t>
        </w:r>
      </w:hyperlink>
    </w:p>
    <w:p>
      <w:pPr>
        <w:ind w:left="187" w:hanging="187"/>
      </w:pPr>
      <w:r>
        <w:t xml:space="preserve">• </w:t>
      </w:r>
      <w:r>
        <w:rPr>
          <w:b w:val="0"/>
          <w:i/>
        </w:rPr>
        <w:t>anima irrationalis</w:t>
      </w:r>
      <w:r>
        <w:rPr>
          <w:b w:val="0"/>
          <w:i w:val="0"/>
        </w:rPr>
        <w:t xml:space="preserve"> — </w:t>
      </w:r>
      <w:hyperlink w:anchor="soul">
        <w:r>
          <w:rPr>
            <w:color w:val="000000"/>
          </w:rPr>
          <w:t xml:space="preserve">Soul</w:t>
        </w:r>
      </w:hyperlink>
    </w:p>
    <w:p>
      <w:pPr>
        <w:ind w:left="187" w:hanging="187"/>
      </w:pPr>
      <w:r>
        <w:t xml:space="preserve">• </w:t>
      </w:r>
      <w:r>
        <w:rPr>
          <w:b w:val="0"/>
          <w:i/>
        </w:rPr>
        <w:t>anima mundi</w:t>
      </w:r>
      <w:r>
        <w:rPr>
          <w:b w:val="0"/>
          <w:i w:val="0"/>
        </w:rPr>
        <w:t xml:space="preserve"> — </w:t>
      </w:r>
      <w:hyperlink w:anchor="soul">
        <w:r>
          <w:rPr>
            <w:color w:val="000000"/>
          </w:rPr>
          <w:t xml:space="preserve">Soul</w:t>
        </w:r>
      </w:hyperlink>
      <w:r>
        <w:rPr>
          <w:b w:val="0"/>
          <w:i w:val="0"/>
        </w:rPr>
        <w:t xml:space="preserve">; </w:t>
      </w:r>
      <w:hyperlink w:anchor="world-soul">
        <w:r>
          <w:rPr>
            <w:color w:val="000000"/>
          </w:rPr>
          <w:t xml:space="preserve">World soul</w:t>
        </w:r>
      </w:hyperlink>
    </w:p>
    <w:p>
      <w:pPr>
        <w:ind w:left="187" w:hanging="187"/>
      </w:pPr>
      <w:r>
        <w:t xml:space="preserve">• </w:t>
      </w:r>
      <w:r>
        <w:rPr>
          <w:b w:val="0"/>
          <w:i/>
        </w:rPr>
        <w:t>anima perspicua</w:t>
      </w:r>
      <w:r>
        <w:rPr>
          <w:b w:val="0"/>
          <w:i w:val="0"/>
        </w:rPr>
        <w:t xml:space="preserve"> — </w:t>
      </w:r>
      <w:hyperlink w:anchor="degree-and-mediation">
        <w:r>
          <w:rPr>
            <w:color w:val="000000"/>
          </w:rPr>
          <w:t xml:space="preserve">Degree and mediation</w:t>
        </w:r>
      </w:hyperlink>
    </w:p>
    <w:p>
      <w:pPr>
        <w:ind w:left="187" w:hanging="187"/>
      </w:pPr>
      <w:r>
        <w:t xml:space="preserve">• </w:t>
      </w:r>
      <w:r>
        <w:rPr>
          <w:b w:val="0"/>
          <w:i/>
        </w:rPr>
        <w:t>anima principalis</w:t>
      </w:r>
      <w:r>
        <w:rPr>
          <w:b w:val="0"/>
          <w:i w:val="0"/>
        </w:rPr>
        <w:t xml:space="preserve"> — </w:t>
      </w:r>
      <w:hyperlink w:anchor="zodiac">
        <w:r>
          <w:rPr>
            <w:color w:val="000000"/>
          </w:rPr>
          <w:t xml:space="preserve">Zodiac</w:t>
        </w:r>
      </w:hyperlink>
    </w:p>
    <w:p>
      <w:pPr>
        <w:ind w:left="187" w:hanging="187"/>
      </w:pPr>
      <w:r>
        <w:t xml:space="preserve">• </w:t>
      </w:r>
      <w:r>
        <w:rPr>
          <w:b w:val="0"/>
          <w:i/>
        </w:rPr>
        <w:t>anima rationalis</w:t>
      </w:r>
      <w:r>
        <w:rPr>
          <w:b w:val="0"/>
          <w:i w:val="0"/>
        </w:rPr>
        <w:t xml:space="preserve"> — </w:t>
      </w:r>
      <w:hyperlink w:anchor="soul">
        <w:r>
          <w:rPr>
            <w:color w:val="000000"/>
          </w:rPr>
          <w:t xml:space="preserve">Soul</w:t>
        </w:r>
      </w:hyperlink>
    </w:p>
    <w:p>
      <w:pPr>
        <w:ind w:left="187" w:hanging="187"/>
      </w:pPr>
      <w:r>
        <w:t xml:space="preserve">• </w:t>
      </w:r>
      <w:r>
        <w:rPr>
          <w:b w:val="0"/>
          <w:i/>
        </w:rPr>
        <w:t>anima terrae</w:t>
      </w:r>
      <w:r>
        <w:rPr>
          <w:b w:val="0"/>
          <w:i w:val="0"/>
        </w:rPr>
        <w:t xml:space="preserve"> — </w:t>
      </w:r>
      <w:hyperlink w:anchor="earth-soul">
        <w:r>
          <w:rPr>
            <w:color w:val="000000"/>
          </w:rPr>
          <w:t xml:space="preserve">Earth soul</w:t>
        </w:r>
      </w:hyperlink>
    </w:p>
    <w:p>
      <w:pPr>
        <w:ind w:left="187" w:hanging="187"/>
      </w:pPr>
      <w:r>
        <w:t xml:space="preserve">• </w:t>
      </w:r>
      <w:r>
        <w:rPr>
          <w:b w:val="0"/>
          <w:i/>
        </w:rPr>
        <w:t>animae … in sphaeris</w:t>
      </w:r>
      <w:r>
        <w:rPr>
          <w:b w:val="0"/>
          <w:i w:val="0"/>
        </w:rPr>
        <w:t xml:space="preserve"> — </w:t>
      </w:r>
      <w:hyperlink w:anchor="soul">
        <w:r>
          <w:rPr>
            <w:color w:val="000000"/>
          </w:rPr>
          <w:t xml:space="preserve">Soul</w:t>
        </w:r>
      </w:hyperlink>
    </w:p>
    <w:p>
      <w:pPr>
        <w:ind w:left="187" w:hanging="187"/>
      </w:pPr>
      <w:r>
        <w:t xml:space="preserve">• </w:t>
      </w:r>
      <w:r>
        <w:rPr>
          <w:b w:val="0"/>
          <w:i/>
        </w:rPr>
        <w:t>animal</w:t>
      </w:r>
      <w:r>
        <w:rPr>
          <w:b w:val="0"/>
          <w:i w:val="0"/>
        </w:rPr>
        <w:t xml:space="preserve"> — </w:t>
      </w:r>
      <w:hyperlink w:anchor="animating-and-animal">
        <w:r>
          <w:rPr>
            <w:color w:val="000000"/>
          </w:rPr>
          <w:t xml:space="preserve">Animating and animal</w:t>
        </w:r>
      </w:hyperlink>
    </w:p>
    <w:p>
      <w:pPr>
        <w:ind w:left="187" w:hanging="187"/>
      </w:pPr>
      <w:r>
        <w:t xml:space="preserve">• </w:t>
      </w:r>
      <w:r>
        <w:rPr>
          <w:b w:val="0"/>
          <w:i/>
        </w:rPr>
        <w:t>animales vires</w:t>
      </w:r>
      <w:r>
        <w:rPr>
          <w:b w:val="0"/>
          <w:i w:val="0"/>
        </w:rPr>
        <w:t xml:space="preserve"> — </w:t>
      </w:r>
      <w:hyperlink w:anchor="animating-and-animal">
        <w:r>
          <w:rPr>
            <w:color w:val="000000"/>
          </w:rPr>
          <w:t xml:space="preserve">Animating and animal</w:t>
        </w:r>
      </w:hyperlink>
    </w:p>
    <w:p>
      <w:pPr>
        <w:ind w:left="187" w:hanging="187"/>
      </w:pPr>
      <w:r>
        <w:t xml:space="preserve">• </w:t>
      </w:r>
      <w:r>
        <w:rPr>
          <w:b w:val="0"/>
          <w:i/>
        </w:rPr>
        <w:t>animalia</w:t>
      </w:r>
      <w:r>
        <w:rPr>
          <w:b w:val="0"/>
          <w:i w:val="0"/>
        </w:rPr>
        <w:t xml:space="preserve"> — </w:t>
      </w:r>
      <w:hyperlink w:anchor="animating-and-animal">
        <w:r>
          <w:rPr>
            <w:color w:val="000000"/>
          </w:rPr>
          <w:t xml:space="preserve">Animating and animal</w:t>
        </w:r>
      </w:hyperlink>
    </w:p>
    <w:p>
      <w:pPr>
        <w:ind w:left="187" w:hanging="187"/>
      </w:pPr>
      <w:r>
        <w:t xml:space="preserve">• </w:t>
      </w:r>
      <w:r>
        <w:rPr>
          <w:b w:val="0"/>
          <w:i/>
        </w:rPr>
        <w:t>animalia siderea</w:t>
      </w:r>
      <w:r>
        <w:rPr>
          <w:b w:val="0"/>
          <w:i w:val="0"/>
        </w:rPr>
        <w:t xml:space="preserve"> — </w:t>
      </w:r>
      <w:hyperlink w:anchor="zodiac">
        <w:r>
          <w:rPr>
            <w:color w:val="000000"/>
          </w:rPr>
          <w:t xml:space="preserve">Zodiac</w:t>
        </w:r>
      </w:hyperlink>
    </w:p>
    <w:p>
      <w:pPr>
        <w:ind w:left="187" w:hanging="187"/>
      </w:pPr>
      <w:r>
        <w:t xml:space="preserve">• </w:t>
      </w:r>
      <w:r>
        <w:rPr>
          <w:b w:val="0"/>
          <w:i/>
        </w:rPr>
        <w:t>animalis</w:t>
      </w:r>
      <w:r>
        <w:rPr>
          <w:b w:val="0"/>
          <w:i w:val="0"/>
        </w:rPr>
        <w:t xml:space="preserve"> — </w:t>
      </w:r>
      <w:hyperlink w:anchor="animating-and-animal">
        <w:r>
          <w:rPr>
            <w:color w:val="000000"/>
          </w:rPr>
          <w:t xml:space="preserve">Animating and animal</w:t>
        </w:r>
      </w:hyperlink>
    </w:p>
    <w:p>
      <w:pPr>
        <w:ind w:left="187" w:hanging="187"/>
      </w:pPr>
      <w:r>
        <w:t xml:space="preserve">• </w:t>
      </w:r>
      <w:r>
        <w:rPr>
          <w:b w:val="0"/>
          <w:i/>
        </w:rPr>
        <w:t>animantes</w:t>
      </w:r>
      <w:r>
        <w:rPr>
          <w:b w:val="0"/>
          <w:i w:val="0"/>
        </w:rPr>
        <w:t xml:space="preserve"> — </w:t>
      </w:r>
      <w:hyperlink w:anchor="animating-and-animal">
        <w:r>
          <w:rPr>
            <w:color w:val="000000"/>
          </w:rPr>
          <w:t xml:space="preserve">Animating and animal</w:t>
        </w:r>
      </w:hyperlink>
    </w:p>
    <w:p>
      <w:pPr>
        <w:ind w:left="187" w:hanging="187"/>
      </w:pPr>
      <w:r>
        <w:t xml:space="preserve">• </w:t>
      </w:r>
      <w:r>
        <w:rPr>
          <w:b w:val="0"/>
          <w:i/>
        </w:rPr>
        <w:t>animorum divinitas</w:t>
      </w:r>
      <w:r>
        <w:rPr>
          <w:b w:val="0"/>
          <w:i w:val="0"/>
        </w:rPr>
        <w:t xml:space="preserve"> — </w:t>
      </w:r>
      <w:hyperlink w:anchor="divinity-and-the-divine">
        <w:r>
          <w:rPr>
            <w:color w:val="000000"/>
          </w:rPr>
          <w:t xml:space="preserve">Divinity and the divine</w:t>
        </w:r>
      </w:hyperlink>
    </w:p>
    <w:p>
      <w:pPr>
        <w:ind w:left="187" w:hanging="187"/>
      </w:pPr>
      <w:r>
        <w:t xml:space="preserve">• </w:t>
      </w:r>
      <w:r>
        <w:rPr>
          <w:b w:val="0"/>
          <w:i/>
        </w:rPr>
        <w:t>animus</w:t>
      </w:r>
      <w:r>
        <w:rPr>
          <w:b w:val="0"/>
          <w:i w:val="0"/>
        </w:rPr>
        <w:t xml:space="preserve"> — </w:t>
      </w:r>
      <w:hyperlink w:anchor="soul">
        <w:r>
          <w:rPr>
            <w:color w:val="000000"/>
          </w:rPr>
          <w:t xml:space="preserve">Soul</w:t>
        </w:r>
      </w:hyperlink>
    </w:p>
    <w:p>
      <w:pPr>
        <w:ind w:left="187" w:hanging="187"/>
      </w:pPr>
      <w:r>
        <w:t xml:space="preserve">• </w:t>
      </w:r>
      <w:r>
        <w:rPr>
          <w:b w:val="0"/>
          <w:i/>
        </w:rPr>
        <w:t>Apollinem</w:t>
      </w:r>
      <w:r>
        <w:rPr>
          <w:b w:val="0"/>
          <w:i w:val="0"/>
        </w:rPr>
        <w:t xml:space="preserve"> — </w:t>
      </w:r>
      <w:hyperlink w:anchor="apollo">
        <w:r>
          <w:rPr>
            <w:color w:val="000000"/>
          </w:rPr>
          <w:t xml:space="preserve">Apollo</w:t>
        </w:r>
      </w:hyperlink>
    </w:p>
    <w:p>
      <w:pPr>
        <w:ind w:left="187" w:hanging="187"/>
      </w:pPr>
      <w:r>
        <w:t xml:space="preserve">• </w:t>
      </w:r>
      <w:r>
        <w:rPr>
          <w:b w:val="0"/>
          <w:i/>
        </w:rPr>
        <w:t>appetere</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appetibile</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appetit</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appetitio</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appetitus</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arbitrii libertas</w:t>
      </w:r>
      <w:r>
        <w:rPr>
          <w:b w:val="0"/>
          <w:i w:val="0"/>
        </w:rPr>
        <w:t xml:space="preserve"> — </w:t>
      </w:r>
      <w:hyperlink w:anchor="choice-and-free-judgment">
        <w:r>
          <w:rPr>
            <w:color w:val="000000"/>
          </w:rPr>
          <w:t xml:space="preserve">Choice and free judgment</w:t>
        </w:r>
      </w:hyperlink>
    </w:p>
    <w:p>
      <w:pPr>
        <w:ind w:left="187" w:hanging="187"/>
      </w:pPr>
      <w:r>
        <w:t xml:space="preserve">• </w:t>
      </w:r>
      <w:r>
        <w:rPr>
          <w:b w:val="0"/>
          <w:i/>
        </w:rPr>
        <w:t>architectus</w:t>
      </w:r>
      <w:r>
        <w:rPr>
          <w:b w:val="0"/>
          <w:i w:val="0"/>
        </w:rPr>
        <w:t xml:space="preserve"> — </w:t>
      </w:r>
      <w:hyperlink w:anchor="art-and-nature">
        <w:r>
          <w:rPr>
            <w:color w:val="000000"/>
          </w:rPr>
          <w:t xml:space="preserve">Art and nature</w:t>
        </w:r>
      </w:hyperlink>
    </w:p>
    <w:p>
      <w:pPr>
        <w:ind w:left="187" w:hanging="187"/>
      </w:pPr>
      <w:r>
        <w:t xml:space="preserve">• </w:t>
      </w:r>
      <w:r>
        <w:rPr>
          <w:b w:val="0"/>
          <w:i/>
        </w:rPr>
        <w:t>argumentatio</w:t>
      </w:r>
      <w:r>
        <w:rPr>
          <w:b w:val="0"/>
          <w:i w:val="0"/>
        </w:rPr>
        <w:t xml:space="preserve"> — </w:t>
      </w:r>
      <w:hyperlink w:anchor="reason-and-account">
        <w:r>
          <w:rPr>
            <w:color w:val="000000"/>
          </w:rPr>
          <w:t xml:space="preserve">Reason and account</w:t>
        </w:r>
      </w:hyperlink>
    </w:p>
    <w:p>
      <w:pPr>
        <w:ind w:left="187" w:hanging="187"/>
      </w:pPr>
      <w:r>
        <w:t xml:space="preserve">• </w:t>
      </w:r>
      <w:r>
        <w:rPr>
          <w:b w:val="0"/>
          <w:i/>
        </w:rPr>
        <w:t>Arimanis</w:t>
      </w:r>
      <w:r>
        <w:rPr>
          <w:b w:val="0"/>
          <w:i w:val="0"/>
        </w:rPr>
        <w:t xml:space="preserve"> — </w:t>
      </w:r>
      <w:hyperlink w:anchor="hermetic-theologians-and-the-magi">
        <w:r>
          <w:rPr>
            <w:color w:val="000000"/>
          </w:rPr>
          <w:t xml:space="preserve">Hermetic theologians and the Magi</w:t>
        </w:r>
      </w:hyperlink>
    </w:p>
    <w:p>
      <w:pPr>
        <w:ind w:left="187" w:hanging="187"/>
      </w:pPr>
      <w:r>
        <w:t xml:space="preserve">• </w:t>
      </w:r>
      <w:r>
        <w:rPr>
          <w:b w:val="0"/>
          <w:i/>
        </w:rPr>
        <w:t>ars</w:t>
      </w:r>
      <w:r>
        <w:rPr>
          <w:b w:val="0"/>
          <w:i w:val="0"/>
        </w:rPr>
        <w:t xml:space="preserve"> — </w:t>
      </w:r>
      <w:hyperlink w:anchor="art-and-nature">
        <w:r>
          <w:rPr>
            <w:color w:val="000000"/>
          </w:rPr>
          <w:t xml:space="preserve">Art and nature</w:t>
        </w:r>
      </w:hyperlink>
    </w:p>
    <w:p>
      <w:pPr>
        <w:ind w:left="187" w:hanging="187"/>
      </w:pPr>
      <w:r>
        <w:t xml:space="preserve">• </w:t>
      </w:r>
      <w:r>
        <w:rPr>
          <w:b w:val="0"/>
          <w:i/>
        </w:rPr>
        <w:t>ars humana</w:t>
      </w:r>
      <w:r>
        <w:rPr>
          <w:b w:val="0"/>
          <w:i w:val="0"/>
        </w:rPr>
        <w:t xml:space="preserve"> — </w:t>
      </w:r>
      <w:hyperlink w:anchor="art-and-nature">
        <w:r>
          <w:rPr>
            <w:color w:val="000000"/>
          </w:rPr>
          <w:t xml:space="preserve">Art and nature</w:t>
        </w:r>
      </w:hyperlink>
    </w:p>
    <w:p>
      <w:pPr>
        <w:ind w:left="187" w:hanging="187"/>
      </w:pPr>
      <w:r>
        <w:t xml:space="preserve">• </w:t>
      </w:r>
      <w:r>
        <w:rPr>
          <w:b w:val="0"/>
          <w:i/>
        </w:rPr>
        <w:t>ars integra</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ars naturalis</w:t>
      </w:r>
      <w:r>
        <w:rPr>
          <w:b w:val="0"/>
          <w:i w:val="0"/>
        </w:rPr>
        <w:t xml:space="preserve"> — </w:t>
      </w:r>
      <w:hyperlink w:anchor="art-and-nature">
        <w:r>
          <w:rPr>
            <w:color w:val="000000"/>
          </w:rPr>
          <w:t xml:space="preserve">Art and nature</w:t>
        </w:r>
      </w:hyperlink>
    </w:p>
    <w:p>
      <w:pPr>
        <w:ind w:left="187" w:hanging="187"/>
      </w:pPr>
      <w:r>
        <w:t xml:space="preserve">• </w:t>
      </w:r>
      <w:r>
        <w:rPr>
          <w:b w:val="0"/>
          <w:i/>
        </w:rPr>
        <w:t>artifex</w:t>
      </w:r>
      <w:r>
        <w:rPr>
          <w:b w:val="0"/>
          <w:i w:val="0"/>
        </w:rPr>
        <w:t xml:space="preserve"> — </w:t>
      </w:r>
      <w:hyperlink w:anchor="art-and-nature">
        <w:r>
          <w:rPr>
            <w:color w:val="000000"/>
          </w:rPr>
          <w:t xml:space="preserve">Art and nature</w:t>
        </w:r>
      </w:hyperlink>
      <w:r>
        <w:rPr>
          <w:b w:val="0"/>
          <w:i w:val="0"/>
        </w:rPr>
        <w:t xml:space="preserve">; </w:t>
      </w:r>
      <w:hyperlink w:anchor="instrument">
        <w:r>
          <w:rPr>
            <w:color w:val="000000"/>
          </w:rPr>
          <w:t xml:space="preserve">Instrument</w:t>
        </w:r>
      </w:hyperlink>
    </w:p>
    <w:p>
      <w:pPr>
        <w:ind w:left="187" w:hanging="187"/>
      </w:pPr>
      <w:r>
        <w:t xml:space="preserve">• </w:t>
      </w:r>
      <w:r>
        <w:rPr>
          <w:b w:val="0"/>
          <w:i/>
        </w:rPr>
        <w:t>artificium</w:t>
      </w:r>
      <w:r>
        <w:rPr>
          <w:b w:val="0"/>
          <w:i w:val="0"/>
        </w:rPr>
        <w:t xml:space="preserve"> — </w:t>
      </w:r>
      <w:hyperlink w:anchor="art-and-nature">
        <w:r>
          <w:rPr>
            <w:color w:val="000000"/>
          </w:rPr>
          <w:t xml:space="preserve">Art and nature</w:t>
        </w:r>
      </w:hyperlink>
    </w:p>
    <w:p>
      <w:pPr>
        <w:ind w:left="187" w:hanging="187"/>
      </w:pPr>
      <w:r>
        <w:t xml:space="preserve">• </w:t>
      </w:r>
      <w:r>
        <w:rPr>
          <w:b w:val="0"/>
          <w:i/>
        </w:rPr>
        <w:t>ascendere</w:t>
      </w:r>
      <w:r>
        <w:rPr>
          <w:b w:val="0"/>
          <w:i w:val="0"/>
        </w:rPr>
        <w:t xml:space="preserve"> — </w:t>
      </w:r>
      <w:hyperlink w:anchor="ascent">
        <w:r>
          <w:rPr>
            <w:color w:val="000000"/>
          </w:rPr>
          <w:t xml:space="preserve">Ascent</w:t>
        </w:r>
      </w:hyperlink>
    </w:p>
    <w:p>
      <w:pPr>
        <w:ind w:left="187" w:hanging="187"/>
      </w:pPr>
      <w:r>
        <w:t xml:space="preserve">• </w:t>
      </w:r>
      <w:r>
        <w:rPr>
          <w:b w:val="0"/>
          <w:i/>
        </w:rPr>
        <w:t>ascensus</w:t>
      </w:r>
      <w:r>
        <w:rPr>
          <w:b w:val="0"/>
          <w:i w:val="0"/>
        </w:rPr>
        <w:t xml:space="preserve"> — </w:t>
      </w:r>
      <w:hyperlink w:anchor="ascent">
        <w:r>
          <w:rPr>
            <w:color w:val="000000"/>
          </w:rPr>
          <w:t xml:space="preserve">Ascent</w:t>
        </w:r>
      </w:hyperlink>
      <w:r>
        <w:rPr>
          <w:b w:val="0"/>
          <w:i w:val="0"/>
        </w:rPr>
        <w:t xml:space="preserve">; </w:t>
      </w:r>
      <w:hyperlink w:anchor="natural-motion-and-natural-place">
        <w:r>
          <w:rPr>
            <w:color w:val="000000"/>
          </w:rPr>
          <w:t xml:space="preserve">Natural motion and natural place</w:t>
        </w:r>
      </w:hyperlink>
    </w:p>
    <w:p>
      <w:pPr>
        <w:ind w:left="187" w:hanging="187"/>
      </w:pPr>
      <w:r>
        <w:t xml:space="preserve">• </w:t>
      </w:r>
      <w:r>
        <w:rPr>
          <w:b w:val="0"/>
          <w:i/>
        </w:rPr>
        <w:t>augmentum</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aviditas</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Bacchus</w:t>
      </w:r>
      <w:r>
        <w:rPr>
          <w:b w:val="0"/>
          <w:i w:val="0"/>
        </w:rPr>
        <w:t xml:space="preserve"> — </w:t>
      </w:r>
      <w:hyperlink w:anchor="bacchus-and-the-muses">
        <w:r>
          <w:rPr>
            <w:color w:val="000000"/>
          </w:rPr>
          <w:t xml:space="preserve">Bacchus and the Muses</w:t>
        </w:r>
      </w:hyperlink>
    </w:p>
    <w:p>
      <w:pPr>
        <w:ind w:left="187" w:hanging="187"/>
      </w:pPr>
      <w:r>
        <w:t xml:space="preserve">• </w:t>
      </w:r>
      <w:r>
        <w:rPr>
          <w:b w:val="0"/>
          <w:i/>
        </w:rPr>
        <w:t>beatissimus</w:t>
      </w:r>
      <w:r>
        <w:rPr>
          <w:b w:val="0"/>
          <w:i w:val="0"/>
        </w:rPr>
        <w:t xml:space="preserve"> — </w:t>
      </w:r>
      <w:hyperlink w:anchor="blessedness">
        <w:r>
          <w:rPr>
            <w:color w:val="000000"/>
          </w:rPr>
          <w:t xml:space="preserve">Blessedness</w:t>
        </w:r>
      </w:hyperlink>
    </w:p>
    <w:p>
      <w:pPr>
        <w:ind w:left="187" w:hanging="187"/>
      </w:pPr>
      <w:r>
        <w:t xml:space="preserve">• </w:t>
      </w:r>
      <w:r>
        <w:rPr>
          <w:b w:val="0"/>
          <w:i/>
        </w:rPr>
        <w:t>beatitudo</w:t>
      </w:r>
      <w:r>
        <w:rPr>
          <w:b w:val="0"/>
          <w:i w:val="0"/>
        </w:rPr>
        <w:t xml:space="preserve"> — </w:t>
      </w:r>
      <w:hyperlink w:anchor="blessedness">
        <w:r>
          <w:rPr>
            <w:color w:val="000000"/>
          </w:rPr>
          <w:t xml:space="preserve">Blessedness</w:t>
        </w:r>
      </w:hyperlink>
    </w:p>
    <w:p>
      <w:pPr>
        <w:ind w:left="187" w:hanging="187"/>
      </w:pPr>
      <w:r>
        <w:t xml:space="preserve">• </w:t>
      </w:r>
      <w:r>
        <w:rPr>
          <w:b w:val="0"/>
          <w:i/>
        </w:rPr>
        <w:t>beatus</w:t>
      </w:r>
      <w:r>
        <w:rPr>
          <w:b w:val="0"/>
          <w:i w:val="0"/>
        </w:rPr>
        <w:t xml:space="preserve"> — </w:t>
      </w:r>
      <w:hyperlink w:anchor="blessedness">
        <w:r>
          <w:rPr>
            <w:color w:val="000000"/>
          </w:rPr>
          <w:t xml:space="preserve">Blessedness</w:t>
        </w:r>
      </w:hyperlink>
    </w:p>
    <w:p>
      <w:pPr>
        <w:ind w:left="187" w:hanging="187"/>
      </w:pPr>
      <w:r>
        <w:t xml:space="preserve">• </w:t>
      </w:r>
      <w:r>
        <w:rPr>
          <w:b w:val="0"/>
          <w:i/>
        </w:rPr>
        <w:t>bene esse</w:t>
      </w:r>
      <w:r>
        <w:rPr>
          <w:b w:val="0"/>
          <w:i w:val="0"/>
        </w:rPr>
        <w:t xml:space="preserve"> — </w:t>
      </w:r>
      <w:hyperlink w:anchor="good-and-goodness">
        <w:r>
          <w:rPr>
            <w:color w:val="000000"/>
          </w:rPr>
          <w:t xml:space="preserve">Good and goodness</w:t>
        </w:r>
      </w:hyperlink>
    </w:p>
    <w:p>
      <w:pPr>
        <w:ind w:left="187" w:hanging="187"/>
      </w:pPr>
      <w:r>
        <w:t xml:space="preserve">• </w:t>
      </w:r>
      <w:r>
        <w:rPr>
          <w:b w:val="0"/>
          <w:i/>
        </w:rPr>
        <w:t>bona particularia</w:t>
      </w:r>
      <w:r>
        <w:rPr>
          <w:b w:val="0"/>
          <w:i w:val="0"/>
        </w:rPr>
        <w:t xml:space="preserve"> — </w:t>
      </w:r>
      <w:hyperlink w:anchor="good-and-goodness">
        <w:r>
          <w:rPr>
            <w:color w:val="000000"/>
          </w:rPr>
          <w:t xml:space="preserve">Good and goodness</w:t>
        </w:r>
      </w:hyperlink>
    </w:p>
    <w:p>
      <w:pPr>
        <w:ind w:left="187" w:hanging="187"/>
      </w:pPr>
      <w:r>
        <w:t xml:space="preserve">• </w:t>
      </w:r>
      <w:r>
        <w:rPr>
          <w:b w:val="0"/>
          <w:i/>
        </w:rPr>
        <w:t>bonitas</w:t>
      </w:r>
      <w:r>
        <w:rPr>
          <w:b w:val="0"/>
          <w:i w:val="0"/>
        </w:rPr>
        <w:t xml:space="preserve"> — </w:t>
      </w:r>
      <w:hyperlink w:anchor="good-and-goodness">
        <w:r>
          <w:rPr>
            <w:color w:val="000000"/>
          </w:rPr>
          <w:t xml:space="preserve">Good and goodness</w:t>
        </w:r>
      </w:hyperlink>
    </w:p>
    <w:p>
      <w:pPr>
        <w:ind w:left="187" w:hanging="187"/>
      </w:pPr>
      <w:r>
        <w:t xml:space="preserve">• </w:t>
      </w:r>
      <w:r>
        <w:rPr>
          <w:b w:val="0"/>
          <w:i/>
        </w:rPr>
        <w:t>bonum</w:t>
      </w:r>
      <w:r>
        <w:rPr>
          <w:b w:val="0"/>
          <w:i w:val="0"/>
        </w:rPr>
        <w:t xml:space="preserve"> — </w:t>
      </w:r>
      <w:hyperlink w:anchor="end-and-limit">
        <w:r>
          <w:rPr>
            <w:color w:val="000000"/>
          </w:rPr>
          <w:t xml:space="preserve">End and limit</w:t>
        </w:r>
      </w:hyperlink>
      <w:r>
        <w:rPr>
          <w:b w:val="0"/>
          <w:i w:val="0"/>
        </w:rPr>
        <w:t xml:space="preserve">; </w:t>
      </w:r>
      <w:hyperlink w:anchor="good-and-goodness">
        <w:r>
          <w:rPr>
            <w:color w:val="000000"/>
          </w:rPr>
          <w:t xml:space="preserve">Good and goodness</w:t>
        </w:r>
      </w:hyperlink>
    </w:p>
    <w:p>
      <w:pPr>
        <w:ind w:left="187" w:hanging="187"/>
      </w:pPr>
      <w:r>
        <w:t xml:space="preserve">• </w:t>
      </w:r>
      <w:r>
        <w:rPr>
          <w:b w:val="0"/>
          <w:i/>
        </w:rPr>
        <w:t>bonum ipsum</w:t>
      </w:r>
      <w:r>
        <w:rPr>
          <w:b w:val="0"/>
          <w:i w:val="0"/>
        </w:rPr>
        <w:t xml:space="preserve"> — </w:t>
      </w:r>
      <w:hyperlink w:anchor="good-and-goodness">
        <w:r>
          <w:rPr>
            <w:color w:val="000000"/>
          </w:rPr>
          <w:t xml:space="preserve">Good and goodness</w:t>
        </w:r>
      </w:hyperlink>
    </w:p>
    <w:p>
      <w:pPr>
        <w:ind w:left="187" w:hanging="187"/>
      </w:pPr>
      <w:r>
        <w:t xml:space="preserve">• </w:t>
      </w:r>
      <w:r>
        <w:rPr>
          <w:b w:val="0"/>
          <w:i/>
        </w:rPr>
        <w:t>caelestis instinctus</w:t>
      </w:r>
      <w:r>
        <w:rPr>
          <w:b w:val="0"/>
          <w:i w:val="0"/>
        </w:rPr>
        <w:t xml:space="preserve"> — </w:t>
      </w:r>
      <w:hyperlink w:anchor="celestial-influence">
        <w:r>
          <w:rPr>
            <w:color w:val="000000"/>
          </w:rPr>
          <w:t xml:space="preserve">Celestial influence</w:t>
        </w:r>
      </w:hyperlink>
    </w:p>
    <w:p>
      <w:pPr>
        <w:ind w:left="187" w:hanging="187"/>
      </w:pPr>
      <w:r>
        <w:t xml:space="preserve">• </w:t>
      </w:r>
      <w:r>
        <w:rPr>
          <w:b w:val="0"/>
          <w:i/>
        </w:rPr>
        <w:t>caeli</w:t>
      </w:r>
      <w:r>
        <w:rPr>
          <w:b w:val="0"/>
          <w:i w:val="0"/>
        </w:rPr>
        <w:t xml:space="preserve"> — </w:t>
      </w:r>
      <w:hyperlink w:anchor="spheres-and-stars">
        <w:r>
          <w:rPr>
            <w:color w:val="000000"/>
          </w:rPr>
          <w:t xml:space="preserve">Spheres and stars</w:t>
        </w:r>
      </w:hyperlink>
    </w:p>
    <w:p>
      <w:pPr>
        <w:ind w:left="187" w:hanging="187"/>
      </w:pPr>
      <w:r>
        <w:t xml:space="preserve">• </w:t>
      </w:r>
      <w:r>
        <w:rPr>
          <w:b w:val="0"/>
          <w:i/>
        </w:rPr>
        <w:t>caelum</w:t>
      </w:r>
      <w:r>
        <w:rPr>
          <w:b w:val="0"/>
          <w:i w:val="0"/>
        </w:rPr>
        <w:t xml:space="preserve"> — </w:t>
      </w:r>
      <w:hyperlink w:anchor="world-and-universe">
        <w:r>
          <w:rPr>
            <w:color w:val="000000"/>
          </w:rPr>
          <w:t xml:space="preserve">World and universe</w:t>
        </w:r>
      </w:hyperlink>
    </w:p>
    <w:p>
      <w:pPr>
        <w:ind w:left="187" w:hanging="187"/>
      </w:pPr>
      <w:r>
        <w:t xml:space="preserve">• </w:t>
      </w:r>
      <w:r>
        <w:rPr>
          <w:b w:val="0"/>
          <w:i/>
        </w:rPr>
        <w:t>caelum empyreum</w:t>
      </w:r>
      <w:r>
        <w:rPr>
          <w:b w:val="0"/>
          <w:i w:val="0"/>
        </w:rPr>
        <w:t xml:space="preserve"> — </w:t>
      </w:r>
      <w:hyperlink w:anchor="spheres-and-stars">
        <w:r>
          <w:rPr>
            <w:color w:val="000000"/>
          </w:rPr>
          <w:t xml:space="preserve">Spheres and stars</w:t>
        </w:r>
      </w:hyperlink>
    </w:p>
    <w:p>
      <w:pPr>
        <w:ind w:left="187" w:hanging="187"/>
      </w:pPr>
      <w:r>
        <w:t xml:space="preserve">• </w:t>
      </w:r>
      <w:r>
        <w:rPr>
          <w:b w:val="0"/>
          <w:i/>
        </w:rPr>
        <w:t>calor</w:t>
      </w:r>
      <w:r>
        <w:rPr>
          <w:b w:val="0"/>
          <w:i w:val="0"/>
        </w:rPr>
        <w:t xml:space="preserve"> — </w:t>
      </w:r>
      <w:hyperlink w:anchor="quality">
        <w:r>
          <w:rPr>
            <w:color w:val="000000"/>
          </w:rPr>
          <w:t xml:space="preserve">Quality</w:t>
        </w:r>
      </w:hyperlink>
    </w:p>
    <w:p>
      <w:pPr>
        <w:ind w:left="187" w:hanging="187"/>
      </w:pPr>
      <w:r>
        <w:t xml:space="preserve">• </w:t>
      </w:r>
      <w:r>
        <w:rPr>
          <w:b w:val="0"/>
          <w:i/>
        </w:rPr>
        <w:t>capacitas</w:t>
      </w:r>
      <w:r>
        <w:rPr>
          <w:b w:val="0"/>
          <w:i w:val="0"/>
        </w:rPr>
        <w:t xml:space="preserve"> — </w:t>
      </w:r>
      <w:hyperlink w:anchor="matter">
        <w:r>
          <w:rPr>
            <w:color w:val="000000"/>
          </w:rPr>
          <w:t xml:space="preserve">Matter</w:t>
        </w:r>
      </w:hyperlink>
    </w:p>
    <w:p>
      <w:pPr>
        <w:ind w:left="187" w:hanging="187"/>
      </w:pPr>
      <w:r>
        <w:t xml:space="preserve">• </w:t>
      </w:r>
      <w:r>
        <w:rPr>
          <w:b w:val="0"/>
          <w:i/>
        </w:rPr>
        <w:t>carcer</w:t>
      </w:r>
      <w:r>
        <w:rPr>
          <w:b w:val="0"/>
          <w:i w:val="0"/>
        </w:rPr>
        <w:t xml:space="preserve"> — </w:t>
      </w:r>
      <w:hyperlink w:anchor="prison-and-homeland">
        <w:r>
          <w:rPr>
            <w:color w:val="000000"/>
          </w:rPr>
          <w:t xml:space="preserve">Prison and homeland</w:t>
        </w:r>
      </w:hyperlink>
    </w:p>
    <w:p>
      <w:pPr>
        <w:ind w:left="187" w:hanging="187"/>
      </w:pPr>
      <w:r>
        <w:t xml:space="preserve">• </w:t>
      </w:r>
      <w:r>
        <w:rPr>
          <w:b w:val="0"/>
          <w:i/>
        </w:rPr>
        <w:t>cardo</w:t>
      </w:r>
      <w:r>
        <w:rPr>
          <w:b w:val="0"/>
          <w:i w:val="0"/>
        </w:rPr>
        <w:t xml:space="preserve"> — </w:t>
      </w:r>
      <w:hyperlink w:anchor="hinge-and-center">
        <w:r>
          <w:rPr>
            <w:color w:val="000000"/>
          </w:rPr>
          <w:t xml:space="preserve">Hinge and center</w:t>
        </w:r>
      </w:hyperlink>
      <w:r>
        <w:rPr>
          <w:b w:val="0"/>
          <w:i w:val="0"/>
        </w:rPr>
        <w:t xml:space="preserve">; </w:t>
      </w:r>
      <w:hyperlink w:anchor="motion-and-stability">
        <w:r>
          <w:rPr>
            <w:color w:val="000000"/>
          </w:rPr>
          <w:t xml:space="preserve">Motion and stability</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principle">
        <w:r>
          <w:rPr>
            <w:color w:val="000000"/>
          </w:rPr>
          <w:t xml:space="preserve">Principle</w:t>
        </w:r>
      </w:hyperlink>
    </w:p>
    <w:p>
      <w:pPr>
        <w:ind w:left="187" w:hanging="187"/>
      </w:pPr>
      <w:r>
        <w:t xml:space="preserve">• </w:t>
      </w:r>
      <w:r>
        <w:rPr>
          <w:b w:val="0"/>
          <w:i/>
        </w:rPr>
        <w:t>casus</w:t>
      </w:r>
      <w:r>
        <w:rPr>
          <w:b w:val="0"/>
          <w:i w:val="0"/>
        </w:rPr>
        <w:t xml:space="preserve"> — </w:t>
      </w:r>
      <w:hyperlink w:anchor="chance">
        <w:r>
          <w:rPr>
            <w:color w:val="000000"/>
          </w:rPr>
          <w:t xml:space="preserve">Chance</w:t>
        </w:r>
      </w:hyperlink>
    </w:p>
    <w:p>
      <w:pPr>
        <w:ind w:left="187" w:hanging="187"/>
      </w:pPr>
      <w:r>
        <w:t xml:space="preserve">• </w:t>
      </w:r>
      <w:r>
        <w:rPr>
          <w:b w:val="0"/>
          <w:i/>
        </w:rPr>
        <w:t>causa</w:t>
      </w:r>
      <w:r>
        <w:rPr>
          <w:b w:val="0"/>
          <w:i w:val="0"/>
        </w:rPr>
        <w:t xml:space="preserve"> — </w:t>
      </w:r>
      <w:hyperlink w:anchor="cause">
        <w:r>
          <w:rPr>
            <w:color w:val="000000"/>
          </w:rPr>
          <w:t xml:space="preserve">Cause</w:t>
        </w:r>
      </w:hyperlink>
    </w:p>
    <w:p>
      <w:pPr>
        <w:ind w:left="187" w:hanging="187"/>
      </w:pPr>
      <w:r>
        <w:t xml:space="preserve">• </w:t>
      </w:r>
      <w:r>
        <w:rPr>
          <w:b w:val="0"/>
          <w:i/>
        </w:rPr>
        <w:t>causa prima</w:t>
      </w:r>
      <w:r>
        <w:rPr>
          <w:b w:val="0"/>
          <w:i w:val="0"/>
        </w:rPr>
        <w:t xml:space="preserve"> — </w:t>
      </w:r>
      <w:hyperlink w:anchor="cause">
        <w:r>
          <w:rPr>
            <w:color w:val="000000"/>
          </w:rPr>
          <w:t xml:space="preserve">Cause</w:t>
        </w:r>
      </w:hyperlink>
    </w:p>
    <w:p>
      <w:pPr>
        <w:ind w:left="187" w:hanging="187"/>
      </w:pPr>
      <w:r>
        <w:t xml:space="preserve">• </w:t>
      </w:r>
      <w:r>
        <w:rPr>
          <w:b w:val="0"/>
          <w:i/>
        </w:rPr>
        <w:t>causa superior</w:t>
      </w:r>
      <w:r>
        <w:rPr>
          <w:b w:val="0"/>
          <w:i w:val="0"/>
        </w:rPr>
        <w:t xml:space="preserve"> — </w:t>
      </w:r>
      <w:hyperlink w:anchor="cause">
        <w:r>
          <w:rPr>
            <w:color w:val="000000"/>
          </w:rPr>
          <w:t xml:space="preserve">Cause</w:t>
        </w:r>
      </w:hyperlink>
    </w:p>
    <w:p>
      <w:pPr>
        <w:ind w:left="187" w:hanging="187"/>
      </w:pPr>
      <w:r>
        <w:t xml:space="preserve">• </w:t>
      </w:r>
      <w:r>
        <w:rPr>
          <w:b w:val="0"/>
          <w:i/>
        </w:rPr>
        <w:t>causa universalis</w:t>
      </w:r>
      <w:r>
        <w:rPr>
          <w:b w:val="0"/>
          <w:i w:val="0"/>
        </w:rPr>
        <w:t xml:space="preserve"> — </w:t>
      </w:r>
      <w:hyperlink w:anchor="cause">
        <w:r>
          <w:rPr>
            <w:color w:val="000000"/>
          </w:rPr>
          <w:t xml:space="preserve">Cause</w:t>
        </w:r>
      </w:hyperlink>
    </w:p>
    <w:p>
      <w:pPr>
        <w:ind w:left="187" w:hanging="187"/>
      </w:pPr>
      <w:r>
        <w:t xml:space="preserve">• </w:t>
      </w:r>
      <w:r>
        <w:rPr>
          <w:b w:val="0"/>
          <w:i/>
        </w:rPr>
        <w:t>causae mediae atque proximae</w:t>
      </w:r>
      <w:r>
        <w:rPr>
          <w:b w:val="0"/>
          <w:i w:val="0"/>
        </w:rPr>
        <w:t xml:space="preserve"> — </w:t>
      </w:r>
      <w:hyperlink w:anchor="cause">
        <w:r>
          <w:rPr>
            <w:color w:val="000000"/>
          </w:rPr>
          <w:t xml:space="preserve">Cause</w:t>
        </w:r>
      </w:hyperlink>
    </w:p>
    <w:p>
      <w:pPr>
        <w:ind w:left="187" w:hanging="187"/>
      </w:pPr>
      <w:r>
        <w:t xml:space="preserve">• </w:t>
      </w:r>
      <w:r>
        <w:rPr>
          <w:b w:val="0"/>
          <w:i/>
        </w:rPr>
        <w:t>centrum</w:t>
      </w:r>
      <w:r>
        <w:rPr>
          <w:b w:val="0"/>
          <w:i w:val="0"/>
        </w:rPr>
        <w:t xml:space="preserve"> — </w:t>
      </w:r>
      <w:hyperlink w:anchor="hinge-and-center">
        <w:r>
          <w:rPr>
            <w:color w:val="000000"/>
          </w:rPr>
          <w:t xml:space="preserve">Hinge and center</w:t>
        </w:r>
      </w:hyperlink>
      <w:r>
        <w:rPr>
          <w:b w:val="0"/>
          <w:i w:val="0"/>
        </w:rPr>
        <w:t xml:space="preserve">; </w:t>
      </w:r>
      <w:hyperlink w:anchor="indwelling-and-presence">
        <w:r>
          <w:rPr>
            <w:color w:val="000000"/>
          </w:rPr>
          <w:t xml:space="preserve">Indwelling and presence</w:t>
        </w:r>
      </w:hyperlink>
    </w:p>
    <w:p>
      <w:pPr>
        <w:ind w:left="187" w:hanging="187"/>
      </w:pPr>
      <w:r>
        <w:t xml:space="preserve">• </w:t>
      </w:r>
      <w:r>
        <w:rPr>
          <w:b w:val="0"/>
          <w:i/>
        </w:rPr>
        <w:t>cernere</w:t>
      </w:r>
      <w:r>
        <w:rPr>
          <w:b w:val="0"/>
          <w:i w:val="0"/>
        </w:rPr>
        <w:t xml:space="preserve"> — </w:t>
      </w:r>
      <w:hyperlink w:anchor="intuition-and-comprehension">
        <w:r>
          <w:rPr>
            <w:color w:val="000000"/>
          </w:rPr>
          <w:t xml:space="preserve">Intuition and comprehension</w:t>
        </w:r>
      </w:hyperlink>
    </w:p>
    <w:p>
      <w:pPr>
        <w:ind w:left="187" w:hanging="187"/>
      </w:pPr>
      <w:r>
        <w:t xml:space="preserve">• </w:t>
      </w:r>
      <w:r>
        <w:rPr>
          <w:b w:val="0"/>
          <w:i/>
        </w:rPr>
        <w:t>certa materia</w:t>
      </w:r>
      <w:r>
        <w:rPr>
          <w:b w:val="0"/>
          <w:i w:val="0"/>
        </w:rPr>
        <w:t xml:space="preserve"> — </w:t>
      </w:r>
      <w:hyperlink w:anchor="separation-and-abstraction">
        <w:r>
          <w:rPr>
            <w:color w:val="000000"/>
          </w:rPr>
          <w:t xml:space="preserve">Separation and abstraction</w:t>
        </w:r>
      </w:hyperlink>
    </w:p>
    <w:p>
      <w:pPr>
        <w:ind w:left="187" w:hanging="187"/>
      </w:pPr>
      <w:r>
        <w:t xml:space="preserve">• </w:t>
      </w:r>
      <w:r>
        <w:rPr>
          <w:b w:val="0"/>
          <w:i/>
        </w:rPr>
        <w:t>circuitus</w:t>
      </w:r>
      <w:r>
        <w:rPr>
          <w:b w:val="0"/>
          <w:i w:val="0"/>
        </w:rPr>
        <w:t xml:space="preserve"> — </w:t>
      </w:r>
      <w:hyperlink w:anchor="circularity-and-return">
        <w:r>
          <w:rPr>
            <w:color w:val="000000"/>
          </w:rPr>
          <w:t xml:space="preserve">Circularity and return</w:t>
        </w:r>
      </w:hyperlink>
    </w:p>
    <w:p>
      <w:pPr>
        <w:ind w:left="187" w:hanging="187"/>
      </w:pPr>
      <w:r>
        <w:t xml:space="preserve">• </w:t>
      </w:r>
      <w:r>
        <w:rPr>
          <w:b w:val="0"/>
          <w:i/>
        </w:rPr>
        <w:t>circulo reflectatur</w:t>
      </w:r>
      <w:r>
        <w:rPr>
          <w:b w:val="0"/>
          <w:i w:val="0"/>
        </w:rPr>
        <w:t xml:space="preserve"> — </w:t>
      </w:r>
      <w:hyperlink w:anchor="circularity-and-return">
        <w:r>
          <w:rPr>
            <w:color w:val="000000"/>
          </w:rPr>
          <w:t xml:space="preserve">Circularity and return</w:t>
        </w:r>
      </w:hyperlink>
    </w:p>
    <w:p>
      <w:pPr>
        <w:ind w:left="187" w:hanging="187"/>
      </w:pPr>
      <w:r>
        <w:t xml:space="preserve">• </w:t>
      </w:r>
      <w:r>
        <w:rPr>
          <w:b w:val="0"/>
          <w:i/>
        </w:rPr>
        <w:t>circulus</w:t>
      </w:r>
      <w:r>
        <w:rPr>
          <w:b w:val="0"/>
          <w:i w:val="0"/>
        </w:rPr>
        <w:t xml:space="preserve"> — </w:t>
      </w:r>
      <w:hyperlink w:anchor="circularity-and-return">
        <w:r>
          <w:rPr>
            <w:color w:val="000000"/>
          </w:rPr>
          <w:t xml:space="preserve">Circularity and return</w:t>
        </w:r>
      </w:hyperlink>
    </w:p>
    <w:p>
      <w:pPr>
        <w:ind w:left="187" w:hanging="187"/>
      </w:pPr>
      <w:r>
        <w:t xml:space="preserve">• </w:t>
      </w:r>
      <w:r>
        <w:rPr>
          <w:b w:val="0"/>
          <w:i/>
        </w:rPr>
        <w:t>circumferentia</w:t>
      </w:r>
      <w:r>
        <w:rPr>
          <w:b w:val="0"/>
          <w:i w:val="0"/>
        </w:rPr>
        <w:t xml:space="preserve"> — </w:t>
      </w:r>
      <w:hyperlink w:anchor="hinge-and-center">
        <w:r>
          <w:rPr>
            <w:color w:val="000000"/>
          </w:rPr>
          <w:t xml:space="preserve">Hinge and center</w:t>
        </w:r>
      </w:hyperlink>
    </w:p>
    <w:p>
      <w:pPr>
        <w:ind w:left="187" w:hanging="187"/>
      </w:pPr>
      <w:r>
        <w:t xml:space="preserve">• </w:t>
      </w:r>
      <w:r>
        <w:rPr>
          <w:b w:val="0"/>
          <w:i/>
        </w:rPr>
        <w:t>claustra</w:t>
      </w:r>
      <w:r>
        <w:rPr>
          <w:b w:val="0"/>
          <w:i w:val="0"/>
        </w:rPr>
        <w:t xml:space="preserve"> — </w:t>
      </w:r>
      <w:hyperlink w:anchor="prison-and-homeland">
        <w:r>
          <w:rPr>
            <w:color w:val="000000"/>
          </w:rPr>
          <w:t xml:space="preserve">Prison and homeland</w:t>
        </w:r>
      </w:hyperlink>
    </w:p>
    <w:p>
      <w:pPr>
        <w:ind w:left="187" w:hanging="187"/>
      </w:pPr>
      <w:r>
        <w:t xml:space="preserve">• </w:t>
      </w:r>
      <w:r>
        <w:rPr>
          <w:b w:val="0"/>
          <w:i/>
        </w:rPr>
        <w:t>cognitio</w:t>
      </w:r>
      <w:r>
        <w:rPr>
          <w:b w:val="0"/>
          <w:i w:val="0"/>
        </w:rPr>
        <w:t xml:space="preserve"> — </w:t>
      </w:r>
      <w:hyperlink w:anchor="intellect-and-intellection">
        <w:r>
          <w:rPr>
            <w:color w:val="000000"/>
          </w:rPr>
          <w:t xml:space="preserve">Intellect and intellection</w:t>
        </w:r>
      </w:hyperlink>
      <w:r>
        <w:rPr>
          <w:b w:val="0"/>
          <w:i w:val="0"/>
        </w:rPr>
        <w:t xml:space="preserve">; </w:t>
      </w:r>
      <w:hyperlink w:anchor="spiritual-union">
        <w:r>
          <w:rPr>
            <w:color w:val="000000"/>
          </w:rPr>
          <w:t xml:space="preserve">Spiritual union</w:t>
        </w:r>
      </w:hyperlink>
    </w:p>
    <w:p>
      <w:pPr>
        <w:ind w:left="187" w:hanging="187"/>
      </w:pPr>
      <w:r>
        <w:t xml:space="preserve">• </w:t>
      </w:r>
      <w:r>
        <w:rPr>
          <w:b w:val="0"/>
          <w:i/>
        </w:rPr>
        <w:t>cognoscendo</w:t>
      </w:r>
      <w:r>
        <w:rPr>
          <w:b w:val="0"/>
          <w:i w:val="0"/>
        </w:rPr>
        <w:t xml:space="preserve"> — </w:t>
      </w:r>
      <w:hyperlink w:anchor="bacchus-and-the-muses">
        <w:r>
          <w:rPr>
            <w:color w:val="000000"/>
          </w:rPr>
          <w:t xml:space="preserve">Bacchus and the Muses</w:t>
        </w:r>
      </w:hyperlink>
    </w:p>
    <w:p>
      <w:pPr>
        <w:ind w:left="187" w:hanging="187"/>
      </w:pPr>
      <w:r>
        <w:t xml:space="preserve">• </w:t>
      </w:r>
      <w:r>
        <w:rPr>
          <w:b w:val="0"/>
          <w:i/>
        </w:rPr>
        <w:t>cognoscere</w:t>
      </w:r>
      <w:r>
        <w:rPr>
          <w:b w:val="0"/>
          <w:i w:val="0"/>
        </w:rPr>
        <w:t xml:space="preserve"> — </w:t>
      </w:r>
      <w:hyperlink w:anchor="intuition-and-discourse">
        <w:r>
          <w:rPr>
            <w:color w:val="000000"/>
          </w:rPr>
          <w:t xml:space="preserve">Intuition and discourse</w:t>
        </w:r>
      </w:hyperlink>
    </w:p>
    <w:p>
      <w:pPr>
        <w:ind w:left="187" w:hanging="187"/>
      </w:pPr>
      <w:r>
        <w:t xml:space="preserve">• </w:t>
      </w:r>
      <w:r>
        <w:rPr>
          <w:b w:val="0"/>
          <w:i/>
        </w:rPr>
        <w:t>colere</w:t>
      </w:r>
      <w:r>
        <w:rPr>
          <w:b w:val="0"/>
          <w:i w:val="0"/>
        </w:rPr>
        <w:t xml:space="preserve"> — </w:t>
      </w:r>
      <w:hyperlink w:anchor="worship-and-piety">
        <w:r>
          <w:rPr>
            <w:color w:val="000000"/>
          </w:rPr>
          <w:t xml:space="preserve">Worship and piety</w:t>
        </w:r>
      </w:hyperlink>
    </w:p>
    <w:p>
      <w:pPr>
        <w:ind w:left="187" w:hanging="187"/>
      </w:pPr>
      <w:r>
        <w:t xml:space="preserve">• </w:t>
      </w:r>
      <w:r>
        <w:rPr>
          <w:b w:val="0"/>
          <w:i/>
        </w:rPr>
        <w:t>commiscere</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commixtio</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communicare</w:t>
      </w:r>
      <w:r>
        <w:rPr>
          <w:b w:val="0"/>
          <w:i w:val="0"/>
        </w:rPr>
        <w:t xml:space="preserve"> — </w:t>
      </w:r>
      <w:hyperlink w:anchor="communication-and-imparting">
        <w:r>
          <w:rPr>
            <w:color w:val="000000"/>
          </w:rPr>
          <w:t xml:space="preserve">Communication and imparting</w:t>
        </w:r>
      </w:hyperlink>
    </w:p>
    <w:p>
      <w:pPr>
        <w:ind w:left="187" w:hanging="187"/>
      </w:pPr>
      <w:r>
        <w:t xml:space="preserve">• </w:t>
      </w:r>
      <w:r>
        <w:rPr>
          <w:b w:val="0"/>
          <w:i/>
        </w:rPr>
        <w:t>communicare vires</w:t>
      </w:r>
      <w:r>
        <w:rPr>
          <w:b w:val="0"/>
          <w:i w:val="0"/>
        </w:rPr>
        <w:t xml:space="preserve"> — </w:t>
      </w:r>
      <w:hyperlink w:anchor="sympathy">
        <w:r>
          <w:rPr>
            <w:color w:val="000000"/>
          </w:rPr>
          <w:t xml:space="preserve">Sympathy</w:t>
        </w:r>
      </w:hyperlink>
    </w:p>
    <w:p>
      <w:pPr>
        <w:ind w:left="187" w:hanging="187"/>
      </w:pPr>
      <w:r>
        <w:t xml:space="preserve">• </w:t>
      </w:r>
      <w:r>
        <w:rPr>
          <w:b w:val="0"/>
          <w:i/>
        </w:rPr>
        <w:t>communio</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communis</w:t>
      </w:r>
      <w:r>
        <w:rPr>
          <w:b w:val="0"/>
          <w:i w:val="0"/>
        </w:rPr>
        <w:t xml:space="preserve"> — </w:t>
      </w:r>
      <w:hyperlink w:anchor="communication-and-imparting">
        <w:r>
          <w:rPr>
            <w:color w:val="000000"/>
          </w:rPr>
          <w:t xml:space="preserve">Communication and imparting</w:t>
        </w:r>
      </w:hyperlink>
    </w:p>
    <w:p>
      <w:pPr>
        <w:ind w:left="187" w:hanging="187"/>
      </w:pPr>
      <w:r>
        <w:t xml:space="preserve">• </w:t>
      </w:r>
      <w:r>
        <w:rPr>
          <w:b w:val="0"/>
          <w:i/>
        </w:rPr>
        <w:t>compago</w:t>
      </w:r>
      <w:r>
        <w:rPr>
          <w:b w:val="0"/>
          <w:i w:val="0"/>
        </w:rPr>
        <w:t xml:space="preserve"> — </w:t>
      </w:r>
      <w:hyperlink w:anchor="perfection">
        <w:r>
          <w:rPr>
            <w:color w:val="000000"/>
          </w:rPr>
          <w:t xml:space="preserve">Perfection</w:t>
        </w:r>
      </w:hyperlink>
    </w:p>
    <w:p>
      <w:pPr>
        <w:ind w:left="187" w:hanging="187"/>
      </w:pPr>
      <w:r>
        <w:t xml:space="preserve">• </w:t>
      </w:r>
      <w:r>
        <w:rPr>
          <w:b w:val="0"/>
          <w:i/>
        </w:rPr>
        <w:t>compatiantur</w:t>
      </w:r>
      <w:r>
        <w:rPr>
          <w:b w:val="0"/>
          <w:i w:val="0"/>
        </w:rPr>
        <w:t xml:space="preserve"> — </w:t>
      </w:r>
      <w:hyperlink w:anchor="sympathy">
        <w:r>
          <w:rPr>
            <w:color w:val="000000"/>
          </w:rPr>
          <w:t xml:space="preserve">Sympathy</w:t>
        </w:r>
      </w:hyperlink>
    </w:p>
    <w:p>
      <w:pPr>
        <w:ind w:left="187" w:hanging="187"/>
      </w:pPr>
      <w:r>
        <w:t xml:space="preserve">• </w:t>
      </w:r>
      <w:r>
        <w:rPr>
          <w:b w:val="0"/>
          <w:i/>
        </w:rPr>
        <w:t>compedes</w:t>
      </w:r>
      <w:r>
        <w:rPr>
          <w:b w:val="0"/>
          <w:i w:val="0"/>
        </w:rPr>
        <w:t xml:space="preserve"> — </w:t>
      </w:r>
      <w:hyperlink w:anchor="prison-and-homeland">
        <w:r>
          <w:rPr>
            <w:color w:val="000000"/>
          </w:rPr>
          <w:t xml:space="preserve">Prison and homeland</w:t>
        </w:r>
      </w:hyperlink>
    </w:p>
    <w:p>
      <w:pPr>
        <w:ind w:left="187" w:hanging="187"/>
      </w:pPr>
      <w:r>
        <w:t xml:space="preserve">• </w:t>
      </w:r>
      <w:r>
        <w:rPr>
          <w:b w:val="0"/>
          <w:i/>
        </w:rPr>
        <w:t>complexio</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compositio</w:t>
      </w:r>
      <w:r>
        <w:rPr>
          <w:b w:val="0"/>
          <w:i w:val="0"/>
        </w:rPr>
        <w:t xml:space="preserve"> — </w:t>
      </w:r>
      <w:hyperlink w:anchor="simplicity-and-composition">
        <w:r>
          <w:rPr>
            <w:color w:val="000000"/>
          </w:rPr>
          <w:t xml:space="preserve">Simplicity and composition</w:t>
        </w:r>
      </w:hyperlink>
    </w:p>
    <w:p>
      <w:pPr>
        <w:ind w:left="187" w:hanging="187"/>
      </w:pPr>
      <w:r>
        <w:t xml:space="preserve">• </w:t>
      </w:r>
      <w:r>
        <w:rPr>
          <w:b w:val="0"/>
          <w:i/>
        </w:rPr>
        <w:t>compositum</w:t>
      </w:r>
      <w:r>
        <w:rPr>
          <w:b w:val="0"/>
          <w:i w:val="0"/>
        </w:rPr>
        <w:t xml:space="preserve"> — </w:t>
      </w:r>
      <w:hyperlink w:anchor="perfection">
        <w:r>
          <w:rPr>
            <w:color w:val="000000"/>
          </w:rPr>
          <w:t xml:space="preserve">Perfection</w:t>
        </w:r>
      </w:hyperlink>
    </w:p>
    <w:p>
      <w:pPr>
        <w:ind w:left="187" w:hanging="187"/>
      </w:pPr>
      <w:r>
        <w:t xml:space="preserve">• </w:t>
      </w:r>
      <w:r>
        <w:rPr>
          <w:b w:val="0"/>
          <w:i/>
        </w:rPr>
        <w:t>compositus</w:t>
      </w:r>
      <w:r>
        <w:rPr>
          <w:b w:val="0"/>
          <w:i w:val="0"/>
        </w:rPr>
        <w:t xml:space="preserve"> — </w:t>
      </w:r>
      <w:hyperlink w:anchor="simplicity-and-composition">
        <w:r>
          <w:rPr>
            <w:color w:val="000000"/>
          </w:rPr>
          <w:t xml:space="preserve">Simplicity and composition</w:t>
        </w:r>
      </w:hyperlink>
    </w:p>
    <w:p>
      <w:pPr>
        <w:ind w:left="187" w:hanging="187"/>
      </w:pPr>
      <w:r>
        <w:t xml:space="preserve">• </w:t>
      </w:r>
      <w:r>
        <w:rPr>
          <w:b w:val="0"/>
          <w:i/>
        </w:rPr>
        <w:t>comprehendere</w:t>
      </w:r>
      <w:r>
        <w:rPr>
          <w:b w:val="0"/>
          <w:i w:val="0"/>
        </w:rPr>
        <w:t xml:space="preserve"> — </w:t>
      </w:r>
      <w:hyperlink w:anchor="intuition-and-comprehension">
        <w:r>
          <w:rPr>
            <w:color w:val="000000"/>
          </w:rPr>
          <w:t xml:space="preserve">Intuition and comprehension</w:t>
        </w:r>
      </w:hyperlink>
    </w:p>
    <w:p>
      <w:pPr>
        <w:ind w:left="187" w:hanging="187"/>
      </w:pPr>
      <w:r>
        <w:t xml:space="preserve">• </w:t>
      </w:r>
      <w:r>
        <w:rPr>
          <w:b w:val="0"/>
          <w:i/>
        </w:rPr>
        <w:t>conceptus</w:t>
      </w:r>
      <w:r>
        <w:rPr>
          <w:b w:val="0"/>
          <w:i w:val="0"/>
        </w:rPr>
        <w:t xml:space="preserve"> — </w:t>
      </w:r>
      <w:hyperlink w:anchor="ideas-and-exemplars">
        <w:r>
          <w:rPr>
            <w:color w:val="000000"/>
          </w:rPr>
          <w:t xml:space="preserve">Ideas and exemplars</w:t>
        </w:r>
      </w:hyperlink>
    </w:p>
    <w:p>
      <w:pPr>
        <w:ind w:left="187" w:hanging="187"/>
      </w:pPr>
      <w:r>
        <w:t xml:space="preserve">• </w:t>
      </w:r>
      <w:r>
        <w:rPr>
          <w:b w:val="0"/>
          <w:i/>
        </w:rPr>
        <w:t>concinat</w:t>
      </w:r>
      <w:r>
        <w:rPr>
          <w:b w:val="0"/>
          <w:i w:val="0"/>
        </w:rPr>
        <w:t xml:space="preserve"> — </w:t>
      </w:r>
      <w:hyperlink w:anchor="perfection">
        <w:r>
          <w:rPr>
            <w:color w:val="000000"/>
          </w:rPr>
          <w:t xml:space="preserve">Perfection</w:t>
        </w:r>
      </w:hyperlink>
    </w:p>
    <w:p>
      <w:pPr>
        <w:ind w:left="187" w:hanging="187"/>
      </w:pPr>
      <w:r>
        <w:t xml:space="preserve">• </w:t>
      </w:r>
      <w:r>
        <w:rPr>
          <w:b w:val="0"/>
          <w:i/>
        </w:rPr>
        <w:t>concordia</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concupiscentia</w:t>
      </w:r>
      <w:r>
        <w:rPr>
          <w:b w:val="0"/>
          <w:i w:val="0"/>
        </w:rPr>
        <w:t xml:space="preserve"> — </w:t>
      </w:r>
      <w:hyperlink w:anchor="reason-anger-and-desire">
        <w:r>
          <w:rPr>
            <w:color w:val="000000"/>
          </w:rPr>
          <w:t xml:space="preserve">Reason anger and desire</w:t>
        </w:r>
      </w:hyperlink>
    </w:p>
    <w:p>
      <w:pPr>
        <w:ind w:left="187" w:hanging="187"/>
      </w:pPr>
      <w:r>
        <w:t xml:space="preserve">• </w:t>
      </w:r>
      <w:r>
        <w:rPr>
          <w:b w:val="0"/>
          <w:i/>
        </w:rPr>
        <w:t>conditionali quadam necessitate</w:t>
      </w:r>
      <w:r>
        <w:rPr>
          <w:b w:val="0"/>
          <w:i w:val="0"/>
        </w:rPr>
        <w:t xml:space="preserve"> — </w:t>
      </w:r>
      <w:hyperlink w:anchor="freedom-and-necessity">
        <w:r>
          <w:rPr>
            <w:color w:val="000000"/>
          </w:rPr>
          <w:t xml:space="preserve">Freedom and necessity</w:t>
        </w:r>
      </w:hyperlink>
    </w:p>
    <w:p>
      <w:pPr>
        <w:ind w:left="187" w:hanging="187"/>
      </w:pPr>
      <w:r>
        <w:t xml:space="preserve">• </w:t>
      </w:r>
      <w:r>
        <w:rPr>
          <w:b w:val="0"/>
          <w:i/>
        </w:rPr>
        <w:t>conditionis alicuius positione</w:t>
      </w:r>
      <w:r>
        <w:rPr>
          <w:b w:val="0"/>
          <w:i w:val="0"/>
        </w:rPr>
        <w:t xml:space="preserve"> — </w:t>
      </w:r>
      <w:hyperlink w:anchor="foreknowledge">
        <w:r>
          <w:rPr>
            <w:color w:val="000000"/>
          </w:rPr>
          <w:t xml:space="preserve">Foreknowledge</w:t>
        </w:r>
      </w:hyperlink>
    </w:p>
    <w:p>
      <w:pPr>
        <w:ind w:left="187" w:hanging="187"/>
      </w:pPr>
      <w:r>
        <w:t xml:space="preserve">• </w:t>
      </w:r>
      <w:r>
        <w:rPr>
          <w:b w:val="0"/>
          <w:i/>
        </w:rPr>
        <w:t>conducat</w:t>
      </w:r>
      <w:r>
        <w:rPr>
          <w:b w:val="0"/>
          <w:i w:val="0"/>
        </w:rPr>
        <w:t xml:space="preserve"> — </w:t>
      </w:r>
      <w:hyperlink w:anchor="perfection">
        <w:r>
          <w:rPr>
            <w:color w:val="000000"/>
          </w:rPr>
          <w:t xml:space="preserve">Perfection</w:t>
        </w:r>
      </w:hyperlink>
    </w:p>
    <w:p>
      <w:pPr>
        <w:ind w:left="187" w:hanging="187"/>
      </w:pPr>
      <w:r>
        <w:t xml:space="preserve">• </w:t>
      </w:r>
      <w:r>
        <w:rPr>
          <w:b w:val="0"/>
          <w:i/>
        </w:rPr>
        <w:t>coniungi</w:t>
      </w:r>
      <w:r>
        <w:rPr>
          <w:b w:val="0"/>
          <w:i w:val="0"/>
        </w:rPr>
        <w:t xml:space="preserve"> — </w:t>
      </w:r>
      <w:hyperlink w:anchor="spiritual-union">
        <w:r>
          <w:rPr>
            <w:color w:val="000000"/>
          </w:rPr>
          <w:t xml:space="preserve">Spiritual union</w:t>
        </w:r>
      </w:hyperlink>
    </w:p>
    <w:p>
      <w:pPr>
        <w:ind w:left="187" w:hanging="187"/>
      </w:pPr>
      <w:r>
        <w:t xml:space="preserve">• </w:t>
      </w:r>
      <w:r>
        <w:rPr>
          <w:b w:val="0"/>
          <w:i/>
        </w:rPr>
        <w:t>connexio</w:t>
      </w:r>
      <w:r>
        <w:rPr>
          <w:b w:val="0"/>
          <w:i w:val="0"/>
        </w:rPr>
        <w:t xml:space="preserve"> — </w:t>
      </w:r>
      <w:hyperlink w:anchor="bond-knot-and-chain">
        <w:r>
          <w:rPr>
            <w:color w:val="000000"/>
          </w:rPr>
          <w:t xml:space="preserve">Bond knot and chain</w:t>
        </w:r>
      </w:hyperlink>
      <w:r>
        <w:rPr>
          <w:b w:val="0"/>
          <w:i w:val="0"/>
        </w:rPr>
        <w:t xml:space="preserve">; </w:t>
      </w:r>
      <w:hyperlink w:anchor="soul">
        <w:r>
          <w:rPr>
            <w:color w:val="000000"/>
          </w:rPr>
          <w:t xml:space="preserve">Soul</w:t>
        </w:r>
      </w:hyperlink>
    </w:p>
    <w:p>
      <w:pPr>
        <w:ind w:left="187" w:hanging="187"/>
      </w:pPr>
      <w:r>
        <w:t xml:space="preserve">• </w:t>
      </w:r>
      <w:r>
        <w:rPr>
          <w:b w:val="0"/>
          <w:i/>
        </w:rPr>
        <w:t>conservare</w:t>
      </w:r>
      <w:r>
        <w:rPr>
          <w:b w:val="0"/>
          <w:i w:val="0"/>
        </w:rPr>
        <w:t xml:space="preserve"> — </w:t>
      </w:r>
      <w:hyperlink w:anchor="conservation-and-preservation">
        <w:r>
          <w:rPr>
            <w:color w:val="000000"/>
          </w:rPr>
          <w:t xml:space="preserve">Conservation and preservation</w:t>
        </w:r>
      </w:hyperlink>
    </w:p>
    <w:p>
      <w:pPr>
        <w:ind w:left="187" w:hanging="187"/>
      </w:pPr>
      <w:r>
        <w:t xml:space="preserve">• </w:t>
      </w:r>
      <w:r>
        <w:rPr>
          <w:b w:val="0"/>
          <w:i/>
        </w:rPr>
        <w:t>conservator</w:t>
      </w:r>
      <w:r>
        <w:rPr>
          <w:b w:val="0"/>
          <w:i w:val="0"/>
        </w:rPr>
        <w:t xml:space="preserve"> — </w:t>
      </w:r>
      <w:hyperlink w:anchor="conservation-and-preservation">
        <w:r>
          <w:rPr>
            <w:color w:val="000000"/>
          </w:rPr>
          <w:t xml:space="preserve">Conservation and preservation</w:t>
        </w:r>
      </w:hyperlink>
    </w:p>
    <w:p>
      <w:pPr>
        <w:ind w:left="187" w:hanging="187"/>
      </w:pPr>
      <w:r>
        <w:t xml:space="preserve">• </w:t>
      </w:r>
      <w:r>
        <w:rPr>
          <w:b w:val="0"/>
          <w:i/>
        </w:rPr>
        <w:t>consilium</w:t>
      </w:r>
      <w:r>
        <w:rPr>
          <w:b w:val="0"/>
          <w:i w:val="0"/>
        </w:rPr>
        <w:t xml:space="preserve"> — </w:t>
      </w:r>
      <w:hyperlink w:anchor="art-and-nature">
        <w:r>
          <w:rPr>
            <w:color w:val="000000"/>
          </w:rPr>
          <w:t xml:space="preserve">Art and nature</w:t>
        </w:r>
      </w:hyperlink>
      <w:r>
        <w:rPr>
          <w:b w:val="0"/>
          <w:i w:val="0"/>
        </w:rPr>
        <w:t xml:space="preserve">; </w:t>
      </w:r>
      <w:hyperlink w:anchor="choice-and-deliberation">
        <w:r>
          <w:rPr>
            <w:color w:val="000000"/>
          </w:rPr>
          <w:t xml:space="preserve">Choice and deliberation</w:t>
        </w:r>
      </w:hyperlink>
      <w:r>
        <w:rPr>
          <w:b w:val="0"/>
          <w:i w:val="0"/>
        </w:rPr>
        <w:t xml:space="preserve">; </w:t>
      </w:r>
      <w:hyperlink w:anchor="intuition-and-discourse">
        <w:r>
          <w:rPr>
            <w:color w:val="000000"/>
          </w:rPr>
          <w:t xml:space="preserve">Intuition and discourse</w:t>
        </w:r>
      </w:hyperlink>
    </w:p>
    <w:p>
      <w:pPr>
        <w:ind w:left="187" w:hanging="187"/>
      </w:pPr>
      <w:r>
        <w:t xml:space="preserve">• </w:t>
      </w:r>
      <w:r>
        <w:rPr>
          <w:b w:val="0"/>
          <w:i/>
        </w:rPr>
        <w:t>conspirant</w:t>
      </w:r>
      <w:r>
        <w:rPr>
          <w:b w:val="0"/>
          <w:i w:val="0"/>
        </w:rPr>
        <w:t xml:space="preserve"> — </w:t>
      </w:r>
      <w:hyperlink w:anchor="sympathy">
        <w:r>
          <w:rPr>
            <w:color w:val="000000"/>
          </w:rPr>
          <w:t xml:space="preserve">Sympathy</w:t>
        </w:r>
      </w:hyperlink>
    </w:p>
    <w:p>
      <w:pPr>
        <w:ind w:left="187" w:hanging="187"/>
      </w:pPr>
      <w:r>
        <w:t xml:space="preserve">• </w:t>
      </w:r>
      <w:r>
        <w:rPr>
          <w:b w:val="0"/>
          <w:i/>
        </w:rPr>
        <w:t>conspirare</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conspiratio</w:t>
      </w:r>
      <w:r>
        <w:rPr>
          <w:b w:val="0"/>
          <w:i w:val="0"/>
        </w:rPr>
        <w:t xml:space="preserve"> — </w:t>
      </w:r>
      <w:hyperlink w:anchor="sympathy">
        <w:r>
          <w:rPr>
            <w:color w:val="000000"/>
          </w:rPr>
          <w:t xml:space="preserve">Sympathy</w:t>
        </w:r>
      </w:hyperlink>
    </w:p>
    <w:p>
      <w:pPr>
        <w:ind w:left="187" w:hanging="187"/>
      </w:pPr>
      <w:r>
        <w:t xml:space="preserve">• </w:t>
      </w:r>
      <w:r>
        <w:rPr>
          <w:b w:val="0"/>
          <w:i/>
        </w:rPr>
        <w:t>contagio</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contemperat</w:t>
      </w:r>
      <w:r>
        <w:rPr>
          <w:b w:val="0"/>
          <w:i w:val="0"/>
        </w:rPr>
        <w:t xml:space="preserve"> — </w:t>
      </w:r>
      <w:hyperlink w:anchor="sympathy">
        <w:r>
          <w:rPr>
            <w:color w:val="000000"/>
          </w:rPr>
          <w:t xml:space="preserve">Sympathy</w:t>
        </w:r>
      </w:hyperlink>
    </w:p>
    <w:p>
      <w:pPr>
        <w:ind w:left="187" w:hanging="187"/>
      </w:pPr>
      <w:r>
        <w:t xml:space="preserve">• </w:t>
      </w:r>
      <w:r>
        <w:rPr>
          <w:b w:val="0"/>
          <w:i/>
        </w:rPr>
        <w:t>contingentes</w:t>
      </w:r>
      <w:r>
        <w:rPr>
          <w:b w:val="0"/>
          <w:i w:val="0"/>
        </w:rPr>
        <w:t xml:space="preserve"> — </w:t>
      </w:r>
      <w:hyperlink w:anchor="contingency">
        <w:r>
          <w:rPr>
            <w:color w:val="000000"/>
          </w:rPr>
          <w:t xml:space="preserve">Contingency</w:t>
        </w:r>
      </w:hyperlink>
    </w:p>
    <w:p>
      <w:pPr>
        <w:ind w:left="187" w:hanging="187"/>
      </w:pPr>
      <w:r>
        <w:t xml:space="preserve">• </w:t>
      </w:r>
      <w:r>
        <w:rPr>
          <w:b w:val="0"/>
          <w:i/>
        </w:rPr>
        <w:t>contingentia</w:t>
      </w:r>
      <w:r>
        <w:rPr>
          <w:b w:val="0"/>
          <w:i w:val="0"/>
        </w:rPr>
        <w:t xml:space="preserve"> — </w:t>
      </w:r>
      <w:hyperlink w:anchor="contingency">
        <w:r>
          <w:rPr>
            <w:color w:val="000000"/>
          </w:rPr>
          <w:t xml:space="preserve">Contingency</w:t>
        </w:r>
      </w:hyperlink>
    </w:p>
    <w:p>
      <w:pPr>
        <w:ind w:left="187" w:hanging="187"/>
      </w:pPr>
      <w:r>
        <w:t xml:space="preserve">• </w:t>
      </w:r>
      <w:r>
        <w:rPr>
          <w:b w:val="0"/>
          <w:i/>
        </w:rPr>
        <w:t>continua singulorum successio</w:t>
      </w:r>
      <w:r>
        <w:rPr>
          <w:b w:val="0"/>
          <w:i w:val="0"/>
        </w:rPr>
        <w:t xml:space="preserve"> — </w:t>
      </w:r>
      <w:hyperlink w:anchor="natural-species-and-succession">
        <w:r>
          <w:rPr>
            <w:color w:val="000000"/>
          </w:rPr>
          <w:t xml:space="preserve">Natural species and succession</w:t>
        </w:r>
      </w:hyperlink>
    </w:p>
    <w:p>
      <w:pPr>
        <w:ind w:left="187" w:hanging="187"/>
      </w:pPr>
      <w:r>
        <w:t xml:space="preserve">• </w:t>
      </w:r>
      <w:r>
        <w:rPr>
          <w:b w:val="0"/>
          <w:i/>
        </w:rPr>
        <w:t>contradictio</w:t>
      </w:r>
      <w:r>
        <w:rPr>
          <w:b w:val="0"/>
          <w:i w:val="0"/>
        </w:rPr>
        <w:t xml:space="preserve"> — </w:t>
      </w:r>
      <w:hyperlink w:anchor="infinity">
        <w:r>
          <w:rPr>
            <w:color w:val="000000"/>
          </w:rPr>
          <w:t xml:space="preserve">Infinity</w:t>
        </w:r>
      </w:hyperlink>
    </w:p>
    <w:p>
      <w:pPr>
        <w:ind w:left="187" w:hanging="187"/>
      </w:pPr>
      <w:r>
        <w:t xml:space="preserve">• </w:t>
      </w:r>
      <w:r>
        <w:rPr>
          <w:b w:val="0"/>
          <w:i/>
        </w:rPr>
        <w:t>contraria</w:t>
      </w:r>
      <w:r>
        <w:rPr>
          <w:b w:val="0"/>
          <w:i w:val="0"/>
        </w:rPr>
        <w:t xml:space="preserve"> — </w:t>
      </w:r>
      <w:hyperlink w:anchor="contraries-and-opposition">
        <w:r>
          <w:rPr>
            <w:color w:val="000000"/>
          </w:rPr>
          <w:t xml:space="preserve">Contraries and opposition</w:t>
        </w:r>
      </w:hyperlink>
    </w:p>
    <w:p>
      <w:pPr>
        <w:ind w:left="187" w:hanging="187"/>
      </w:pPr>
      <w:r>
        <w:t xml:space="preserve">• </w:t>
      </w:r>
      <w:r>
        <w:rPr>
          <w:b w:val="0"/>
          <w:i/>
        </w:rPr>
        <w:t>contrarium</w:t>
      </w:r>
      <w:r>
        <w:rPr>
          <w:b w:val="0"/>
          <w:i w:val="0"/>
        </w:rPr>
        <w:t xml:space="preserve"> — </w:t>
      </w:r>
      <w:hyperlink w:anchor="contraries-and-opposition">
        <w:r>
          <w:rPr>
            <w:color w:val="000000"/>
          </w:rPr>
          <w:t xml:space="preserve">Contraries and opposition</w:t>
        </w:r>
      </w:hyperlink>
    </w:p>
    <w:p>
      <w:pPr>
        <w:ind w:left="187" w:hanging="187"/>
      </w:pPr>
      <w:r>
        <w:t xml:space="preserve">• </w:t>
      </w:r>
      <w:r>
        <w:rPr>
          <w:b w:val="0"/>
          <w:i/>
        </w:rPr>
        <w:t>conversio</w:t>
      </w:r>
      <w:r>
        <w:rPr>
          <w:b w:val="0"/>
          <w:i w:val="0"/>
        </w:rPr>
        <w:t xml:space="preserve"> — </w:t>
      </w:r>
      <w:hyperlink w:anchor="procession-and-return">
        <w:r>
          <w:rPr>
            <w:color w:val="000000"/>
          </w:rPr>
          <w:t xml:space="preserve">Procession and return</w:t>
        </w:r>
      </w:hyperlink>
    </w:p>
    <w:p>
      <w:pPr>
        <w:ind w:left="187" w:hanging="187"/>
      </w:pPr>
      <w:r>
        <w:t xml:space="preserve">• </w:t>
      </w:r>
      <w:r>
        <w:rPr>
          <w:b w:val="0"/>
          <w:i/>
        </w:rPr>
        <w:t>converti</w:t>
      </w:r>
      <w:r>
        <w:rPr>
          <w:b w:val="0"/>
          <w:i w:val="0"/>
        </w:rPr>
        <w:t xml:space="preserve"> — </w:t>
      </w:r>
      <w:hyperlink w:anchor="procession-and-return">
        <w:r>
          <w:rPr>
            <w:color w:val="000000"/>
          </w:rPr>
          <w:t xml:space="preserve">Procession and return</w:t>
        </w:r>
      </w:hyperlink>
    </w:p>
    <w:p>
      <w:pPr>
        <w:ind w:left="187" w:hanging="187"/>
      </w:pPr>
      <w:r>
        <w:t xml:space="preserve">• </w:t>
      </w:r>
      <w:r>
        <w:rPr>
          <w:b w:val="0"/>
          <w:i/>
        </w:rPr>
        <w:t>convertitur</w:t>
      </w:r>
      <w:r>
        <w:rPr>
          <w:b w:val="0"/>
          <w:i w:val="0"/>
        </w:rPr>
        <w:t xml:space="preserve"> — </w:t>
      </w:r>
      <w:hyperlink w:anchor="circularity-and-return">
        <w:r>
          <w:rPr>
            <w:color w:val="000000"/>
          </w:rPr>
          <w:t xml:space="preserve">Circularity and return</w:t>
        </w:r>
      </w:hyperlink>
    </w:p>
    <w:p>
      <w:pPr>
        <w:ind w:left="187" w:hanging="187"/>
      </w:pPr>
      <w:r>
        <w:t xml:space="preserve">• </w:t>
      </w:r>
      <w:r>
        <w:rPr>
          <w:b w:val="0"/>
          <w:i/>
        </w:rPr>
        <w:t>copula mundi</w:t>
      </w:r>
      <w:r>
        <w:rPr>
          <w:b w:val="0"/>
          <w:i w:val="0"/>
        </w:rPr>
        <w:t xml:space="preserve"> — </w:t>
      </w:r>
      <w:hyperlink w:anchor="bond-knot-and-chain">
        <w:r>
          <w:rPr>
            <w:color w:val="000000"/>
          </w:rPr>
          <w:t xml:space="preserve">Bond knot and chain</w:t>
        </w:r>
      </w:hyperlink>
      <w:r>
        <w:rPr>
          <w:b w:val="0"/>
          <w:i w:val="0"/>
        </w:rPr>
        <w:t xml:space="preserve">; </w:t>
      </w:r>
      <w:hyperlink w:anchor="soul">
        <w:r>
          <w:rPr>
            <w:color w:val="000000"/>
          </w:rPr>
          <w:t xml:space="preserve">Soul</w:t>
        </w:r>
      </w:hyperlink>
    </w:p>
    <w:p>
      <w:pPr>
        <w:ind w:left="187" w:hanging="187"/>
      </w:pPr>
      <w:r>
        <w:t xml:space="preserve">• </w:t>
      </w:r>
      <w:r>
        <w:rPr>
          <w:b w:val="0"/>
          <w:i/>
        </w:rPr>
        <w:t>cor</w:t>
      </w:r>
      <w:r>
        <w:rPr>
          <w:b w:val="0"/>
          <w:i w:val="0"/>
        </w:rPr>
        <w:t xml:space="preserve"> — </w:t>
      </w:r>
      <w:hyperlink w:anchor="zodiac">
        <w:r>
          <w:rPr>
            <w:color w:val="000000"/>
          </w:rPr>
          <w:t xml:space="preserve">Zodiac</w:t>
        </w:r>
      </w:hyperlink>
    </w:p>
    <w:p>
      <w:pPr>
        <w:ind w:left="187" w:hanging="187"/>
      </w:pPr>
      <w:r>
        <w:t xml:space="preserve">• </w:t>
      </w:r>
      <w:r>
        <w:rPr>
          <w:b w:val="0"/>
          <w:i/>
        </w:rPr>
        <w:t>corpora</w:t>
      </w:r>
      <w:r>
        <w:rPr>
          <w:b w:val="0"/>
          <w:i w:val="0"/>
        </w:rPr>
        <w:t xml:space="preserve"> — </w:t>
      </w:r>
      <w:hyperlink w:anchor="body-and-bulk">
        <w:r>
          <w:rPr>
            <w:color w:val="000000"/>
          </w:rPr>
          <w:t xml:space="preserve">Body and bulk</w:t>
        </w:r>
      </w:hyperlink>
    </w:p>
    <w:p>
      <w:pPr>
        <w:ind w:left="187" w:hanging="187"/>
      </w:pPr>
      <w:r>
        <w:t xml:space="preserve">• </w:t>
      </w:r>
      <w:r>
        <w:rPr>
          <w:b w:val="0"/>
          <w:i/>
        </w:rPr>
        <w:t>corporalis</w:t>
      </w:r>
      <w:r>
        <w:rPr>
          <w:b w:val="0"/>
          <w:i w:val="0"/>
        </w:rPr>
        <w:t xml:space="preserve"> — </w:t>
      </w:r>
      <w:hyperlink w:anchor="body-and-bulk">
        <w:r>
          <w:rPr>
            <w:color w:val="000000"/>
          </w:rPr>
          <w:t xml:space="preserve">Body and bulk</w:t>
        </w:r>
      </w:hyperlink>
    </w:p>
    <w:p>
      <w:pPr>
        <w:ind w:left="187" w:hanging="187"/>
      </w:pPr>
      <w:r>
        <w:t xml:space="preserve">• </w:t>
      </w:r>
      <w:r>
        <w:rPr>
          <w:b w:val="0"/>
          <w:i/>
        </w:rPr>
        <w:t>corporeus</w:t>
      </w:r>
      <w:r>
        <w:rPr>
          <w:b w:val="0"/>
          <w:i w:val="0"/>
        </w:rPr>
        <w:t xml:space="preserve"> — </w:t>
      </w:r>
      <w:hyperlink w:anchor="body-and-bulk">
        <w:r>
          <w:rPr>
            <w:color w:val="000000"/>
          </w:rPr>
          <w:t xml:space="preserve">Body and bulk</w:t>
        </w:r>
      </w:hyperlink>
    </w:p>
    <w:p>
      <w:pPr>
        <w:ind w:left="187" w:hanging="187"/>
      </w:pPr>
      <w:r>
        <w:t xml:space="preserve">• </w:t>
      </w:r>
      <w:r>
        <w:rPr>
          <w:b w:val="0"/>
          <w:i/>
        </w:rPr>
        <w:t>corporis moles</w:t>
      </w:r>
      <w:r>
        <w:rPr>
          <w:b w:val="0"/>
          <w:i w:val="0"/>
        </w:rPr>
        <w:t xml:space="preserve"> — </w:t>
      </w:r>
      <w:hyperlink w:anchor="body-and-bulk">
        <w:r>
          <w:rPr>
            <w:color w:val="000000"/>
          </w:rPr>
          <w:t xml:space="preserve">Body and bulk</w:t>
        </w:r>
      </w:hyperlink>
    </w:p>
    <w:p>
      <w:pPr>
        <w:ind w:left="187" w:hanging="187"/>
      </w:pPr>
      <w:r>
        <w:t xml:space="preserve">• </w:t>
      </w:r>
      <w:r>
        <w:rPr>
          <w:b w:val="0"/>
          <w:i/>
        </w:rPr>
        <w:t>corpus</w:t>
      </w:r>
      <w:r>
        <w:rPr>
          <w:b w:val="0"/>
          <w:i w:val="0"/>
        </w:rPr>
        <w:t xml:space="preserve"> — </w:t>
      </w:r>
      <w:hyperlink w:anchor="body-and-bulk">
        <w:r>
          <w:rPr>
            <w:color w:val="000000"/>
          </w:rPr>
          <w:t xml:space="preserve">Body and bulk</w:t>
        </w:r>
      </w:hyperlink>
    </w:p>
    <w:p>
      <w:pPr>
        <w:ind w:left="187" w:hanging="187"/>
      </w:pPr>
      <w:r>
        <w:t xml:space="preserve">• </w:t>
      </w:r>
      <w:r>
        <w:rPr>
          <w:b w:val="0"/>
          <w:i/>
        </w:rPr>
        <w:t>corrumpere</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corruptio</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crassitudo</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creare</w:t>
      </w:r>
      <w:r>
        <w:rPr>
          <w:b w:val="0"/>
          <w:i w:val="0"/>
        </w:rPr>
        <w:t xml:space="preserve"> — </w:t>
      </w:r>
      <w:hyperlink w:anchor="creation">
        <w:r>
          <w:rPr>
            <w:color w:val="000000"/>
          </w:rPr>
          <w:t xml:space="preserve">Creation</w:t>
        </w:r>
      </w:hyperlink>
      <w:r>
        <w:rPr>
          <w:b w:val="0"/>
          <w:i w:val="0"/>
        </w:rPr>
        <w:t xml:space="preserve">; </w:t>
      </w:r>
      <w:hyperlink w:anchor="generation-and-corruption">
        <w:r>
          <w:rPr>
            <w:color w:val="000000"/>
          </w:rPr>
          <w:t xml:space="preserve">Generation and corruption</w:t>
        </w:r>
      </w:hyperlink>
    </w:p>
    <w:p>
      <w:pPr>
        <w:ind w:left="187" w:hanging="187"/>
      </w:pPr>
      <w:r>
        <w:t xml:space="preserve">• </w:t>
      </w:r>
      <w:r>
        <w:rPr>
          <w:b w:val="0"/>
          <w:i/>
        </w:rPr>
        <w:t>creatae mentis divinitas</w:t>
      </w:r>
      <w:r>
        <w:rPr>
          <w:b w:val="0"/>
          <w:i w:val="0"/>
        </w:rPr>
        <w:t xml:space="preserve"> — </w:t>
      </w:r>
      <w:hyperlink w:anchor="divinity-and-the-divine">
        <w:r>
          <w:rPr>
            <w:color w:val="000000"/>
          </w:rPr>
          <w:t xml:space="preserve">Divinity and the divine</w:t>
        </w:r>
      </w:hyperlink>
    </w:p>
    <w:p>
      <w:pPr>
        <w:ind w:left="187" w:hanging="187"/>
      </w:pPr>
      <w:r>
        <w:t xml:space="preserve">• </w:t>
      </w:r>
      <w:r>
        <w:rPr>
          <w:b w:val="0"/>
          <w:i/>
        </w:rPr>
        <w:t>creatio</w:t>
      </w:r>
      <w:r>
        <w:rPr>
          <w:b w:val="0"/>
          <w:i w:val="0"/>
        </w:rPr>
        <w:t xml:space="preserve"> — </w:t>
      </w:r>
      <w:hyperlink w:anchor="creation">
        <w:r>
          <w:rPr>
            <w:color w:val="000000"/>
          </w:rPr>
          <w:t xml:space="preserve">Creation</w:t>
        </w:r>
      </w:hyperlink>
      <w:r>
        <w:rPr>
          <w:b w:val="0"/>
          <w:i w:val="0"/>
        </w:rPr>
        <w:t xml:space="preserve">; </w:t>
      </w:r>
      <w:hyperlink w:anchor="generation-and-corruption">
        <w:r>
          <w:rPr>
            <w:color w:val="000000"/>
          </w:rPr>
          <w:t xml:space="preserve">Generation and corruption</w:t>
        </w:r>
      </w:hyperlink>
    </w:p>
    <w:p>
      <w:pPr>
        <w:ind w:left="187" w:hanging="187"/>
      </w:pPr>
      <w:r>
        <w:t xml:space="preserve">• </w:t>
      </w:r>
      <w:r>
        <w:rPr>
          <w:b w:val="0"/>
          <w:i/>
        </w:rPr>
        <w:t>creator</w:t>
      </w:r>
      <w:r>
        <w:rPr>
          <w:b w:val="0"/>
          <w:i w:val="0"/>
        </w:rPr>
        <w:t xml:space="preserve"> — </w:t>
      </w:r>
      <w:hyperlink w:anchor="god">
        <w:r>
          <w:rPr>
            <w:color w:val="000000"/>
          </w:rPr>
          <w:t xml:space="preserve">God</w:t>
        </w:r>
      </w:hyperlink>
    </w:p>
    <w:p>
      <w:pPr>
        <w:ind w:left="187" w:hanging="187"/>
      </w:pPr>
      <w:r>
        <w:t xml:space="preserve">• </w:t>
      </w:r>
      <w:r>
        <w:rPr>
          <w:b w:val="0"/>
          <w:i/>
        </w:rPr>
        <w:t>cuius gratia</w:t>
      </w:r>
      <w:r>
        <w:rPr>
          <w:b w:val="0"/>
          <w:i w:val="0"/>
        </w:rPr>
        <w:t xml:space="preserve"> — </w:t>
      </w:r>
      <w:hyperlink w:anchor="end-and-limit">
        <w:r>
          <w:rPr>
            <w:color w:val="000000"/>
          </w:rPr>
          <w:t xml:space="preserve">End and limit</w:t>
        </w:r>
      </w:hyperlink>
    </w:p>
    <w:p>
      <w:pPr>
        <w:ind w:left="187" w:hanging="187"/>
      </w:pPr>
      <w:r>
        <w:t xml:space="preserve">• </w:t>
      </w:r>
      <w:r>
        <w:rPr>
          <w:b w:val="0"/>
          <w:i/>
        </w:rPr>
        <w:t>cultus</w:t>
      </w:r>
      <w:r>
        <w:rPr>
          <w:b w:val="0"/>
          <w:i w:val="0"/>
        </w:rPr>
        <w:t xml:space="preserve"> — </w:t>
      </w:r>
      <w:hyperlink w:anchor="worship-and-piety">
        <w:r>
          <w:rPr>
            <w:color w:val="000000"/>
          </w:rPr>
          <w:t xml:space="preserve">Worship and piety</w:t>
        </w:r>
      </w:hyperlink>
    </w:p>
    <w:p>
      <w:pPr>
        <w:ind w:left="187" w:hanging="187"/>
      </w:pPr>
      <w:r>
        <w:t xml:space="preserve">• </w:t>
      </w:r>
      <w:r>
        <w:rPr>
          <w:b w:val="0"/>
          <w:i/>
        </w:rPr>
        <w:t>cupere</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cupiditas</w:t>
      </w:r>
      <w:r>
        <w:rPr>
          <w:b w:val="0"/>
          <w:i w:val="0"/>
        </w:rPr>
        <w:t xml:space="preserve"> — </w:t>
      </w:r>
      <w:hyperlink w:anchor="appetite-and-desire">
        <w:r>
          <w:rPr>
            <w:color w:val="000000"/>
          </w:rPr>
          <w:t xml:space="preserve">Appetite and desire</w:t>
        </w:r>
      </w:hyperlink>
      <w:r>
        <w:rPr>
          <w:b w:val="0"/>
          <w:i w:val="0"/>
        </w:rPr>
        <w:t xml:space="preserve">; </w:t>
      </w:r>
      <w:hyperlink w:anchor="reason-anger-and-desire">
        <w:r>
          <w:rPr>
            <w:color w:val="000000"/>
          </w:rPr>
          <w:t xml:space="preserve">Reason anger and desire</w:t>
        </w:r>
      </w:hyperlink>
    </w:p>
    <w:p>
      <w:pPr>
        <w:ind w:left="187" w:hanging="187"/>
      </w:pPr>
      <w:r>
        <w:t xml:space="preserve">• </w:t>
      </w:r>
      <w:r>
        <w:rPr>
          <w:b w:val="0"/>
          <w:i/>
        </w:rPr>
        <w:t>cura</w:t>
      </w:r>
      <w:r>
        <w:rPr>
          <w:b w:val="0"/>
          <w:i w:val="0"/>
        </w:rPr>
        <w:t xml:space="preserve"> — </w:t>
      </w:r>
      <w:hyperlink w:anchor="providence">
        <w:r>
          <w:rPr>
            <w:color w:val="000000"/>
          </w:rPr>
          <w:t xml:space="preserve">Providence</w:t>
        </w:r>
      </w:hyperlink>
    </w:p>
    <w:p>
      <w:pPr>
        <w:ind w:left="187" w:hanging="187"/>
      </w:pPr>
      <w:r>
        <w:t xml:space="preserve">• </w:t>
      </w:r>
      <w:r>
        <w:rPr>
          <w:b w:val="0"/>
          <w:i/>
        </w:rPr>
        <w:t>custodire</w:t>
      </w:r>
      <w:r>
        <w:rPr>
          <w:b w:val="0"/>
          <w:i w:val="0"/>
        </w:rPr>
        <w:t xml:space="preserve"> — </w:t>
      </w:r>
      <w:hyperlink w:anchor="providence">
        <w:r>
          <w:rPr>
            <w:color w:val="000000"/>
          </w:rPr>
          <w:t xml:space="preserve">Providence</w:t>
        </w:r>
      </w:hyperlink>
    </w:p>
    <w:p>
      <w:pPr>
        <w:ind w:left="187" w:hanging="187"/>
      </w:pPr>
      <w:r>
        <w:t xml:space="preserve">• </w:t>
      </w:r>
      <w:r>
        <w:rPr>
          <w:b w:val="0"/>
          <w:i/>
        </w:rPr>
        <w:t>daemones</w:t>
      </w:r>
      <w:r>
        <w:rPr>
          <w:b w:val="0"/>
          <w:i w:val="0"/>
        </w:rPr>
        <w:t xml:space="preserve"> — </w:t>
      </w:r>
      <w:hyperlink w:anchor="daemons">
        <w:r>
          <w:rPr>
            <w:color w:val="000000"/>
          </w:rPr>
          <w:t xml:space="preserve">Daemons</w:t>
        </w:r>
      </w:hyperlink>
    </w:p>
    <w:p>
      <w:pPr>
        <w:ind w:left="187" w:hanging="187"/>
      </w:pPr>
      <w:r>
        <w:t xml:space="preserve">• </w:t>
      </w:r>
      <w:r>
        <w:rPr>
          <w:b w:val="0"/>
          <w:i/>
        </w:rPr>
        <w:t>daemones aquei</w:t>
      </w:r>
      <w:r>
        <w:rPr>
          <w:b w:val="0"/>
          <w:i w:val="0"/>
        </w:rPr>
        <w:t xml:space="preserve"> — </w:t>
      </w:r>
      <w:hyperlink w:anchor="daemons">
        <w:r>
          <w:rPr>
            <w:color w:val="000000"/>
          </w:rPr>
          <w:t xml:space="preserve">Daemons</w:t>
        </w:r>
      </w:hyperlink>
    </w:p>
    <w:p>
      <w:pPr>
        <w:ind w:left="187" w:hanging="187"/>
      </w:pPr>
      <w:r>
        <w:t xml:space="preserve">• </w:t>
      </w:r>
      <w:r>
        <w:rPr>
          <w:b w:val="0"/>
          <w:i/>
        </w:rPr>
        <w:t>daemonum</w:t>
      </w:r>
      <w:r>
        <w:rPr>
          <w:b w:val="0"/>
          <w:i w:val="0"/>
        </w:rPr>
        <w:t xml:space="preserve"> — </w:t>
      </w:r>
      <w:hyperlink w:anchor="daemons">
        <w:r>
          <w:rPr>
            <w:color w:val="000000"/>
          </w:rPr>
          <w:t xml:space="preserve">Daemons</w:t>
        </w:r>
      </w:hyperlink>
    </w:p>
    <w:p>
      <w:pPr>
        <w:ind w:left="187" w:hanging="187"/>
      </w:pPr>
      <w:r>
        <w:t xml:space="preserve">• </w:t>
      </w:r>
      <w:r>
        <w:rPr>
          <w:b w:val="0"/>
          <w:i/>
        </w:rPr>
        <w:t>decentia</w:t>
      </w:r>
      <w:r>
        <w:rPr>
          <w:b w:val="0"/>
          <w:i w:val="0"/>
        </w:rPr>
        <w:t xml:space="preserve"> — </w:t>
      </w:r>
      <w:hyperlink w:anchor="beauty-and-fittingness">
        <w:r>
          <w:rPr>
            <w:color w:val="000000"/>
          </w:rPr>
          <w:t xml:space="preserve">Beauty and fittingness</w:t>
        </w:r>
      </w:hyperlink>
    </w:p>
    <w:p>
      <w:pPr>
        <w:ind w:left="187" w:hanging="187"/>
      </w:pPr>
      <w:r>
        <w:t xml:space="preserve">• </w:t>
      </w:r>
      <w:r>
        <w:rPr>
          <w:b w:val="0"/>
          <w:i/>
        </w:rPr>
        <w:t>decet</w:t>
      </w:r>
      <w:r>
        <w:rPr>
          <w:b w:val="0"/>
          <w:i w:val="0"/>
        </w:rPr>
        <w:t xml:space="preserve"> — </w:t>
      </w:r>
      <w:hyperlink w:anchor="beauty-and-fittingness">
        <w:r>
          <w:rPr>
            <w:color w:val="000000"/>
          </w:rPr>
          <w:t xml:space="preserve">Beauty and fittingness</w:t>
        </w:r>
      </w:hyperlink>
    </w:p>
    <w:p>
      <w:pPr>
        <w:ind w:left="187" w:hanging="187"/>
      </w:pPr>
      <w:r>
        <w:t xml:space="preserve">• </w:t>
      </w:r>
      <w:r>
        <w:rPr>
          <w:b w:val="0"/>
          <w:i/>
        </w:rPr>
        <w:t>decor</w:t>
      </w:r>
      <w:r>
        <w:rPr>
          <w:b w:val="0"/>
          <w:i w:val="0"/>
        </w:rPr>
        <w:t xml:space="preserve"> — </w:t>
      </w:r>
      <w:hyperlink w:anchor="beauty-and-fittingness">
        <w:r>
          <w:rPr>
            <w:color w:val="000000"/>
          </w:rPr>
          <w:t xml:space="preserve">Beauty and fittingness</w:t>
        </w:r>
      </w:hyperlink>
    </w:p>
    <w:p>
      <w:pPr>
        <w:ind w:left="187" w:hanging="187"/>
      </w:pPr>
      <w:r>
        <w:t xml:space="preserve">• </w:t>
      </w:r>
      <w:r>
        <w:rPr>
          <w:b w:val="0"/>
          <w:i/>
        </w:rPr>
        <w:t>decorum</w:t>
      </w:r>
      <w:r>
        <w:rPr>
          <w:b w:val="0"/>
          <w:i w:val="0"/>
        </w:rPr>
        <w:t xml:space="preserve"> — </w:t>
      </w:r>
      <w:hyperlink w:anchor="beauty-and-fittingness">
        <w:r>
          <w:rPr>
            <w:color w:val="000000"/>
          </w:rPr>
          <w:t xml:space="preserve">Beauty and fittingness</w:t>
        </w:r>
      </w:hyperlink>
    </w:p>
    <w:p>
      <w:pPr>
        <w:ind w:left="187" w:hanging="187"/>
      </w:pPr>
      <w:r>
        <w:t xml:space="preserve">• </w:t>
      </w:r>
      <w:r>
        <w:rPr>
          <w:b w:val="0"/>
          <w:i/>
        </w:rPr>
        <w:t>decrementum</w:t>
      </w:r>
      <w:r>
        <w:rPr>
          <w:b w:val="0"/>
          <w:i w:val="0"/>
        </w:rPr>
        <w:t xml:space="preserve"> — </w:t>
      </w:r>
      <w:hyperlink w:anchor="form">
        <w:r>
          <w:rPr>
            <w:color w:val="000000"/>
          </w:rPr>
          <w:t xml:space="preserve">Form</w:t>
        </w:r>
      </w:hyperlink>
      <w:r>
        <w:rPr>
          <w:b w:val="0"/>
          <w:i w:val="0"/>
        </w:rPr>
        <w:t xml:space="preserve">; </w:t>
      </w:r>
      <w:hyperlink w:anchor="quantity-and-dimension">
        <w:r>
          <w:rPr>
            <w:color w:val="000000"/>
          </w:rPr>
          <w:t xml:space="preserve">Quantity and dimension</w:t>
        </w:r>
      </w:hyperlink>
    </w:p>
    <w:p>
      <w:pPr>
        <w:ind w:left="187" w:hanging="187"/>
      </w:pPr>
      <w:r>
        <w:t xml:space="preserve">• </w:t>
      </w:r>
      <w:r>
        <w:rPr>
          <w:b w:val="0"/>
          <w:i/>
        </w:rPr>
        <w:t>descensus</w:t>
      </w:r>
      <w:r>
        <w:rPr>
          <w:b w:val="0"/>
          <w:i w:val="0"/>
        </w:rPr>
        <w:t xml:space="preserve"> — </w:t>
      </w:r>
      <w:hyperlink w:anchor="natural-motion-and-natural-place">
        <w:r>
          <w:rPr>
            <w:color w:val="000000"/>
          </w:rPr>
          <w:t xml:space="preserve">Natural motion and natural place</w:t>
        </w:r>
      </w:hyperlink>
    </w:p>
    <w:p>
      <w:pPr>
        <w:ind w:left="187" w:hanging="187"/>
      </w:pPr>
      <w:r>
        <w:t xml:space="preserve">• </w:t>
      </w:r>
      <w:r>
        <w:rPr>
          <w:b w:val="0"/>
          <w:i/>
        </w:rPr>
        <w:t>determinare</w:t>
      </w:r>
      <w:r>
        <w:rPr>
          <w:b w:val="0"/>
          <w:i w:val="0"/>
        </w:rPr>
        <w:t xml:space="preserve"> — </w:t>
      </w:r>
      <w:hyperlink w:anchor="end-and-limit">
        <w:r>
          <w:rPr>
            <w:color w:val="000000"/>
          </w:rPr>
          <w:t xml:space="preserve">End and limit</w:t>
        </w:r>
      </w:hyperlink>
    </w:p>
    <w:p>
      <w:pPr>
        <w:ind w:left="187" w:hanging="187"/>
      </w:pPr>
      <w:r>
        <w:t xml:space="preserve">• </w:t>
      </w:r>
      <w:r>
        <w:rPr>
          <w:b w:val="0"/>
          <w:i/>
        </w:rPr>
        <w:t>Deus</w:t>
      </w:r>
      <w:r>
        <w:rPr>
          <w:b w:val="0"/>
          <w:i w:val="0"/>
        </w:rPr>
        <w:t xml:space="preserve"> — </w:t>
      </w:r>
      <w:hyperlink w:anchor="god">
        <w:r>
          <w:rPr>
            <w:color w:val="000000"/>
          </w:rPr>
          <w:t xml:space="preserve">God</w:t>
        </w:r>
      </w:hyperlink>
    </w:p>
    <w:p>
      <w:pPr>
        <w:ind w:left="187" w:hanging="187"/>
      </w:pPr>
      <w:r>
        <w:t xml:space="preserve">• </w:t>
      </w:r>
      <w:r>
        <w:rPr>
          <w:b w:val="0"/>
          <w:i/>
        </w:rPr>
        <w:t>Deus unus, verusque et bonus</w:t>
      </w:r>
      <w:r>
        <w:rPr>
          <w:b w:val="0"/>
          <w:i w:val="0"/>
        </w:rPr>
        <w:t xml:space="preserve"> — </w:t>
      </w:r>
      <w:hyperlink w:anchor="god">
        <w:r>
          <w:rPr>
            <w:color w:val="000000"/>
          </w:rPr>
          <w:t xml:space="preserve">God</w:t>
        </w:r>
      </w:hyperlink>
    </w:p>
    <w:p>
      <w:pPr>
        <w:ind w:left="187" w:hanging="187"/>
      </w:pPr>
      <w:r>
        <w:t xml:space="preserve">• </w:t>
      </w:r>
      <w:r>
        <w:rPr>
          <w:b w:val="0"/>
          <w:i/>
        </w:rPr>
        <w:t>dilatatio voluntatis in bonum</w:t>
      </w:r>
      <w:r>
        <w:rPr>
          <w:b w:val="0"/>
          <w:i w:val="0"/>
        </w:rPr>
        <w:t xml:space="preserve"> — </w:t>
      </w:r>
      <w:hyperlink w:anchor="love-and-pleasure">
        <w:r>
          <w:rPr>
            <w:color w:val="000000"/>
          </w:rPr>
          <w:t xml:space="preserve">Love and pleasure</w:t>
        </w:r>
      </w:hyperlink>
    </w:p>
    <w:p>
      <w:pPr>
        <w:ind w:left="187" w:hanging="187"/>
      </w:pPr>
      <w:r>
        <w:t xml:space="preserve">• </w:t>
      </w:r>
      <w:r>
        <w:rPr>
          <w:b w:val="0"/>
          <w:i/>
        </w:rPr>
        <w:t>dilectio</w:t>
      </w:r>
      <w:r>
        <w:rPr>
          <w:b w:val="0"/>
          <w:i w:val="0"/>
        </w:rPr>
        <w:t xml:space="preserve"> — </w:t>
      </w:r>
      <w:hyperlink w:anchor="love-and-pleasure">
        <w:r>
          <w:rPr>
            <w:color w:val="000000"/>
          </w:rPr>
          <w:t xml:space="preserve">Love and pleasure</w:t>
        </w:r>
      </w:hyperlink>
    </w:p>
    <w:p>
      <w:pPr>
        <w:ind w:left="187" w:hanging="187"/>
      </w:pPr>
      <w:r>
        <w:t xml:space="preserve">• </w:t>
      </w:r>
      <w:r>
        <w:rPr>
          <w:b w:val="0"/>
          <w:i/>
        </w:rPr>
        <w:t>diligere</w:t>
      </w:r>
      <w:r>
        <w:rPr>
          <w:b w:val="0"/>
          <w:i w:val="0"/>
        </w:rPr>
        <w:t xml:space="preserve"> — </w:t>
      </w:r>
      <w:hyperlink w:anchor="love-and-pleasure">
        <w:r>
          <w:rPr>
            <w:color w:val="000000"/>
          </w:rPr>
          <w:t xml:space="preserve">Love and pleasure</w:t>
        </w:r>
      </w:hyperlink>
    </w:p>
    <w:p>
      <w:pPr>
        <w:ind w:left="187" w:hanging="187"/>
      </w:pPr>
      <w:r>
        <w:t xml:space="preserve">• </w:t>
      </w:r>
      <w:r>
        <w:rPr>
          <w:b w:val="0"/>
          <w:i/>
        </w:rPr>
        <w:t>dimensio</w:t>
      </w:r>
      <w:r>
        <w:rPr>
          <w:b w:val="0"/>
          <w:i w:val="0"/>
        </w:rPr>
        <w:t xml:space="preserve"> — </w:t>
      </w:r>
      <w:hyperlink w:anchor="omnipresence-and-place">
        <w:r>
          <w:rPr>
            <w:color w:val="000000"/>
          </w:rPr>
          <w:t xml:space="preserve">Omnipresence and place</w:t>
        </w:r>
      </w:hyperlink>
      <w:r>
        <w:rPr>
          <w:b w:val="0"/>
          <w:i w:val="0"/>
        </w:rPr>
        <w:t xml:space="preserve">; </w:t>
      </w:r>
      <w:hyperlink w:anchor="quantity-and-dimension">
        <w:r>
          <w:rPr>
            <w:color w:val="000000"/>
          </w:rPr>
          <w:t xml:space="preserve">Quantity and dimension</w:t>
        </w:r>
      </w:hyperlink>
    </w:p>
    <w:p>
      <w:pPr>
        <w:ind w:left="187" w:hanging="187"/>
      </w:pPr>
      <w:r>
        <w:t xml:space="preserve">• </w:t>
      </w:r>
      <w:r>
        <w:rPr>
          <w:b w:val="0"/>
          <w:i/>
        </w:rPr>
        <w:t>dimensione</w:t>
      </w:r>
      <w:r>
        <w:rPr>
          <w:b w:val="0"/>
          <w:i w:val="0"/>
        </w:rPr>
        <w:t xml:space="preserve"> — </w:t>
      </w:r>
      <w:hyperlink w:anchor="indivisibility">
        <w:r>
          <w:rPr>
            <w:color w:val="000000"/>
          </w:rPr>
          <w:t xml:space="preserve">Indivisibility</w:t>
        </w:r>
      </w:hyperlink>
    </w:p>
    <w:p>
      <w:pPr>
        <w:ind w:left="187" w:hanging="187"/>
      </w:pPr>
      <w:r>
        <w:t xml:space="preserve">• </w:t>
      </w:r>
      <w:r>
        <w:rPr>
          <w:b w:val="0"/>
          <w:i/>
        </w:rPr>
        <w:t>discurrendo</w:t>
      </w:r>
      <w:r>
        <w:rPr>
          <w:b w:val="0"/>
          <w:i w:val="0"/>
        </w:rPr>
        <w:t xml:space="preserve"> — </w:t>
      </w:r>
      <w:hyperlink w:anchor="intuition-and-discourse">
        <w:r>
          <w:rPr>
            <w:color w:val="000000"/>
          </w:rPr>
          <w:t xml:space="preserve">Intuition and discourse</w:t>
        </w:r>
      </w:hyperlink>
    </w:p>
    <w:p>
      <w:pPr>
        <w:ind w:left="187" w:hanging="187"/>
      </w:pPr>
      <w:r>
        <w:t xml:space="preserve">• </w:t>
      </w:r>
      <w:r>
        <w:rPr>
          <w:b w:val="0"/>
          <w:i/>
        </w:rPr>
        <w:t>discursus</w:t>
      </w:r>
      <w:r>
        <w:rPr>
          <w:b w:val="0"/>
          <w:i w:val="0"/>
        </w:rPr>
        <w:t xml:space="preserve"> — </w:t>
      </w:r>
      <w:hyperlink w:anchor="intuition-and-discourse">
        <w:r>
          <w:rPr>
            <w:color w:val="000000"/>
          </w:rPr>
          <w:t xml:space="preserve">Intuition and discourse</w:t>
        </w:r>
      </w:hyperlink>
    </w:p>
    <w:p>
      <w:pPr>
        <w:ind w:left="187" w:hanging="187"/>
      </w:pPr>
      <w:r>
        <w:t xml:space="preserve">• </w:t>
      </w:r>
      <w:r>
        <w:rPr>
          <w:b w:val="0"/>
          <w:i/>
        </w:rPr>
        <w:t>dispositio</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dividuus</w:t>
      </w:r>
      <w:r>
        <w:rPr>
          <w:b w:val="0"/>
          <w:i w:val="0"/>
        </w:rPr>
        <w:t xml:space="preserve"> — </w:t>
      </w:r>
      <w:hyperlink w:anchor="indivisibility">
        <w:r>
          <w:rPr>
            <w:color w:val="000000"/>
          </w:rPr>
          <w:t xml:space="preserve">Indivisibility</w:t>
        </w:r>
      </w:hyperlink>
    </w:p>
    <w:p>
      <w:pPr>
        <w:ind w:left="187" w:hanging="187"/>
      </w:pPr>
      <w:r>
        <w:t xml:space="preserve">• </w:t>
      </w:r>
      <w:r>
        <w:rPr>
          <w:b w:val="0"/>
          <w:i/>
        </w:rPr>
        <w:t>divinitas</w:t>
      </w:r>
      <w:r>
        <w:rPr>
          <w:b w:val="0"/>
          <w:i w:val="0"/>
        </w:rPr>
        <w:t xml:space="preserve"> — </w:t>
      </w:r>
      <w:hyperlink w:anchor="divinity-and-the-divine">
        <w:r>
          <w:rPr>
            <w:color w:val="000000"/>
          </w:rPr>
          <w:t xml:space="preserve">Divinity and the divine</w:t>
        </w:r>
      </w:hyperlink>
    </w:p>
    <w:p>
      <w:pPr>
        <w:ind w:left="187" w:hanging="187"/>
      </w:pPr>
      <w:r>
        <w:t xml:space="preserve">• </w:t>
      </w:r>
      <w:r>
        <w:rPr>
          <w:b w:val="0"/>
          <w:i/>
        </w:rPr>
        <w:t>divinus</w:t>
      </w:r>
      <w:r>
        <w:rPr>
          <w:b w:val="0"/>
          <w:i w:val="0"/>
        </w:rPr>
        <w:t xml:space="preserve"> — </w:t>
      </w:r>
      <w:hyperlink w:anchor="divinity-and-the-divine">
        <w:r>
          <w:rPr>
            <w:color w:val="000000"/>
          </w:rPr>
          <w:t xml:space="preserve">Divinity and the divine</w:t>
        </w:r>
      </w:hyperlink>
    </w:p>
    <w:p>
      <w:pPr>
        <w:ind w:left="187" w:hanging="187"/>
      </w:pPr>
      <w:r>
        <w:t xml:space="preserve">• </w:t>
      </w:r>
      <w:r>
        <w:rPr>
          <w:b w:val="0"/>
          <w:i/>
        </w:rPr>
        <w:t>divisibilis</w:t>
      </w:r>
      <w:r>
        <w:rPr>
          <w:b w:val="0"/>
          <w:i w:val="0"/>
        </w:rPr>
        <w:t xml:space="preserve"> — </w:t>
      </w:r>
      <w:hyperlink w:anchor="indivisibility">
        <w:r>
          <w:rPr>
            <w:color w:val="000000"/>
          </w:rPr>
          <w:t xml:space="preserve">Indivisibility</w:t>
        </w:r>
      </w:hyperlink>
    </w:p>
    <w:p>
      <w:pPr>
        <w:ind w:left="187" w:hanging="187"/>
      </w:pPr>
      <w:r>
        <w:t xml:space="preserve">• </w:t>
      </w:r>
      <w:r>
        <w:rPr>
          <w:b w:val="0"/>
          <w:i/>
        </w:rPr>
        <w:t>divisio</w:t>
      </w:r>
      <w:r>
        <w:rPr>
          <w:b w:val="0"/>
          <w:i w:val="0"/>
        </w:rPr>
        <w:t xml:space="preserve"> — </w:t>
      </w:r>
      <w:hyperlink w:anchor="indivisibility">
        <w:r>
          <w:rPr>
            <w:color w:val="000000"/>
          </w:rPr>
          <w:t xml:space="preserve">Indivisibility</w:t>
        </w:r>
      </w:hyperlink>
    </w:p>
    <w:p>
      <w:pPr>
        <w:ind w:left="187" w:hanging="187"/>
      </w:pPr>
      <w:r>
        <w:t xml:space="preserve">• </w:t>
      </w:r>
      <w:r>
        <w:rPr>
          <w:b w:val="0"/>
          <w:i/>
        </w:rPr>
        <w:t>divisus</w:t>
      </w:r>
      <w:r>
        <w:rPr>
          <w:b w:val="0"/>
          <w:i w:val="0"/>
        </w:rPr>
        <w:t xml:space="preserve"> — </w:t>
      </w:r>
      <w:hyperlink w:anchor="indivisibility">
        <w:r>
          <w:rPr>
            <w:color w:val="000000"/>
          </w:rPr>
          <w:t xml:space="preserve">Indivisibility</w:t>
        </w:r>
      </w:hyperlink>
    </w:p>
    <w:p>
      <w:pPr>
        <w:ind w:left="187" w:hanging="187"/>
      </w:pPr>
      <w:r>
        <w:t xml:space="preserve">• </w:t>
      </w:r>
      <w:r>
        <w:rPr>
          <w:b w:val="0"/>
          <w:i/>
        </w:rPr>
        <w:t>duodecim</w:t>
      </w:r>
      <w:r>
        <w:rPr>
          <w:b w:val="0"/>
          <w:i w:val="0"/>
        </w:rPr>
        <w:t xml:space="preserve"> — </w:t>
      </w:r>
      <w:hyperlink w:anchor="twelve">
        <w:r>
          <w:rPr>
            <w:color w:val="000000"/>
          </w:rPr>
          <w:t xml:space="preserve">Twelve</w:t>
        </w:r>
      </w:hyperlink>
    </w:p>
    <w:p>
      <w:pPr>
        <w:ind w:left="187" w:hanging="187"/>
      </w:pPr>
      <w:r>
        <w:t xml:space="preserve">• </w:t>
      </w:r>
      <w:r>
        <w:rPr>
          <w:b w:val="0"/>
          <w:i/>
        </w:rPr>
        <w:t>duodenarii</w:t>
      </w:r>
      <w:r>
        <w:rPr>
          <w:b w:val="0"/>
          <w:i w:val="0"/>
        </w:rPr>
        <w:t xml:space="preserve"> — </w:t>
      </w:r>
      <w:hyperlink w:anchor="twelve">
        <w:r>
          <w:rPr>
            <w:color w:val="000000"/>
          </w:rPr>
          <w:t xml:space="preserve">Twelve</w:t>
        </w:r>
      </w:hyperlink>
    </w:p>
    <w:p>
      <w:pPr>
        <w:ind w:left="187" w:hanging="187"/>
      </w:pPr>
      <w:r>
        <w:t xml:space="preserve">• </w:t>
      </w:r>
      <w:r>
        <w:rPr>
          <w:b w:val="0"/>
          <w:i/>
        </w:rPr>
        <w:t>duodenario</w:t>
      </w:r>
      <w:r>
        <w:rPr>
          <w:b w:val="0"/>
          <w:i w:val="0"/>
        </w:rPr>
        <w:t xml:space="preserve"> — </w:t>
      </w:r>
      <w:hyperlink w:anchor="number">
        <w:r>
          <w:rPr>
            <w:color w:val="000000"/>
          </w:rPr>
          <w:t xml:space="preserve">Number</w:t>
        </w:r>
      </w:hyperlink>
    </w:p>
    <w:p>
      <w:pPr>
        <w:ind w:left="187" w:hanging="187"/>
      </w:pPr>
      <w:r>
        <w:t xml:space="preserve">• </w:t>
      </w:r>
      <w:r>
        <w:rPr>
          <w:b w:val="0"/>
          <w:i/>
        </w:rPr>
        <w:t>duodenarius numerus</w:t>
      </w:r>
      <w:r>
        <w:rPr>
          <w:b w:val="0"/>
          <w:i w:val="0"/>
        </w:rPr>
        <w:t xml:space="preserve"> — </w:t>
      </w:r>
      <w:hyperlink w:anchor="twelve">
        <w:r>
          <w:rPr>
            <w:color w:val="000000"/>
          </w:rPr>
          <w:t xml:space="preserve">Twelve</w:t>
        </w:r>
      </w:hyperlink>
    </w:p>
    <w:p>
      <w:pPr>
        <w:ind w:left="187" w:hanging="187"/>
      </w:pPr>
      <w:r>
        <w:t xml:space="preserve">• </w:t>
      </w:r>
      <w:r>
        <w:rPr>
          <w:b w:val="0"/>
          <w:i/>
        </w:rPr>
        <w:t>duratio</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effectrix Dei potestas</w:t>
      </w:r>
      <w:r>
        <w:rPr>
          <w:b w:val="0"/>
          <w:i w:val="0"/>
        </w:rPr>
        <w:t xml:space="preserve"> — </w:t>
      </w:r>
      <w:hyperlink w:anchor="productive-and-designing-power">
        <w:r>
          <w:rPr>
            <w:color w:val="000000"/>
          </w:rPr>
          <w:t xml:space="preserve">Productive and designing power</w:t>
        </w:r>
      </w:hyperlink>
    </w:p>
    <w:p>
      <w:pPr>
        <w:ind w:left="187" w:hanging="187"/>
      </w:pPr>
      <w:r>
        <w:t xml:space="preserve">• </w:t>
      </w:r>
      <w:r>
        <w:rPr>
          <w:b w:val="0"/>
          <w:i/>
        </w:rPr>
        <w:t>effectus</w:t>
      </w:r>
      <w:r>
        <w:rPr>
          <w:b w:val="0"/>
          <w:i w:val="0"/>
        </w:rPr>
        <w:t xml:space="preserve"> — </w:t>
      </w:r>
      <w:hyperlink w:anchor="cause">
        <w:r>
          <w:rPr>
            <w:color w:val="000000"/>
          </w:rPr>
          <w:t xml:space="preserve">Cause</w:t>
        </w:r>
      </w:hyperlink>
    </w:p>
    <w:p>
      <w:pPr>
        <w:ind w:left="187" w:hanging="187"/>
      </w:pPr>
      <w:r>
        <w:t xml:space="preserve">• </w:t>
      </w:r>
      <w:r>
        <w:rPr>
          <w:b w:val="0"/>
          <w:i/>
        </w:rPr>
        <w:t>efficacia</w:t>
      </w:r>
      <w:r>
        <w:rPr>
          <w:b w:val="0"/>
          <w:i w:val="0"/>
        </w:rPr>
        <w:t xml:space="preserve"> — </w:t>
      </w:r>
      <w:hyperlink w:anchor="power-and-potency">
        <w:r>
          <w:rPr>
            <w:color w:val="000000"/>
          </w:rPr>
          <w:t xml:space="preserve">Power and potency</w:t>
        </w:r>
      </w:hyperlink>
    </w:p>
    <w:p>
      <w:pPr>
        <w:ind w:left="187" w:hanging="187"/>
      </w:pPr>
      <w:r>
        <w:t xml:space="preserve">• </w:t>
      </w:r>
      <w:r>
        <w:rPr>
          <w:b w:val="0"/>
          <w:i/>
        </w:rPr>
        <w:t>efficere</w:t>
      </w:r>
      <w:r>
        <w:rPr>
          <w:b w:val="0"/>
          <w:i w:val="0"/>
        </w:rPr>
        <w:t xml:space="preserve"> — </w:t>
      </w:r>
      <w:hyperlink w:anchor="creation">
        <w:r>
          <w:rPr>
            <w:color w:val="000000"/>
          </w:rPr>
          <w:t xml:space="preserve">Creation</w:t>
        </w:r>
      </w:hyperlink>
      <w:r>
        <w:rPr>
          <w:b w:val="0"/>
          <w:i w:val="0"/>
        </w:rPr>
        <w:t xml:space="preserve">; </w:t>
      </w:r>
      <w:hyperlink w:anchor="perfection">
        <w:r>
          <w:rPr>
            <w:color w:val="000000"/>
          </w:rPr>
          <w:t xml:space="preserve">Perfection</w:t>
        </w:r>
      </w:hyperlink>
    </w:p>
    <w:p>
      <w:pPr>
        <w:ind w:left="187" w:hanging="187"/>
      </w:pPr>
      <w:r>
        <w:t xml:space="preserve">• </w:t>
      </w:r>
      <w:r>
        <w:rPr>
          <w:b w:val="0"/>
          <w:i/>
        </w:rPr>
        <w:t>efficiens</w:t>
      </w:r>
      <w:r>
        <w:rPr>
          <w:b w:val="0"/>
          <w:i w:val="0"/>
        </w:rPr>
        <w:t xml:space="preserve"> — </w:t>
      </w:r>
      <w:hyperlink w:anchor="cause">
        <w:r>
          <w:rPr>
            <w:color w:val="000000"/>
          </w:rPr>
          <w:t xml:space="preserve">Cause</w:t>
        </w:r>
      </w:hyperlink>
    </w:p>
    <w:p>
      <w:pPr>
        <w:ind w:left="187" w:hanging="187"/>
      </w:pPr>
      <w:r>
        <w:t xml:space="preserve">• </w:t>
      </w:r>
      <w:r>
        <w:rPr>
          <w:b w:val="0"/>
          <w:i/>
        </w:rPr>
        <w:t>effluxus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effundere</w:t>
      </w:r>
      <w:r>
        <w:rPr>
          <w:b w:val="0"/>
          <w:i w:val="0"/>
        </w:rPr>
        <w:t xml:space="preserve"> — </w:t>
      </w:r>
      <w:hyperlink w:anchor="procession-and-return">
        <w:r>
          <w:rPr>
            <w:color w:val="000000"/>
          </w:rPr>
          <w:t xml:space="preserve">Procession and return</w:t>
        </w:r>
      </w:hyperlink>
    </w:p>
    <w:p>
      <w:pPr>
        <w:ind w:left="187" w:hanging="187"/>
      </w:pPr>
      <w:r>
        <w:t xml:space="preserve">• </w:t>
      </w:r>
      <w:r>
        <w:rPr>
          <w:b w:val="0"/>
          <w:i/>
        </w:rPr>
        <w:t>egere</w:t>
      </w:r>
      <w:r>
        <w:rPr>
          <w:b w:val="0"/>
          <w:i w:val="0"/>
        </w:rPr>
        <w:t xml:space="preserve"> — </w:t>
      </w:r>
      <w:hyperlink w:anchor="need-and-sufficiency">
        <w:r>
          <w:rPr>
            <w:color w:val="000000"/>
          </w:rPr>
          <w:t xml:space="preserve">Need and sufficiency</w:t>
        </w:r>
      </w:hyperlink>
    </w:p>
    <w:p>
      <w:pPr>
        <w:ind w:left="187" w:hanging="187"/>
      </w:pPr>
      <w:r>
        <w:t xml:space="preserve">• </w:t>
      </w:r>
      <w:r>
        <w:rPr>
          <w:b w:val="0"/>
          <w:i/>
        </w:rPr>
        <w:t>electio</w:t>
      </w:r>
      <w:r>
        <w:rPr>
          <w:b w:val="0"/>
          <w:i w:val="0"/>
        </w:rPr>
        <w:t xml:space="preserve"> — </w:t>
      </w:r>
      <w:hyperlink w:anchor="choice-and-deliberation">
        <w:r>
          <w:rPr>
            <w:color w:val="000000"/>
          </w:rPr>
          <w:t xml:space="preserve">Choice and deliberation</w:t>
        </w:r>
      </w:hyperlink>
      <w:r>
        <w:rPr>
          <w:b w:val="0"/>
          <w:i w:val="0"/>
        </w:rPr>
        <w:t xml:space="preserve">; </w:t>
      </w:r>
      <w:hyperlink w:anchor="choice-and-free-judgment">
        <w:r>
          <w:rPr>
            <w:color w:val="000000"/>
          </w:rPr>
          <w:t xml:space="preserve">Choice and free judgment</w:t>
        </w:r>
      </w:hyperlink>
    </w:p>
    <w:p>
      <w:pPr>
        <w:ind w:left="187" w:hanging="187"/>
      </w:pPr>
      <w:r>
        <w:t xml:space="preserve">• </w:t>
      </w:r>
      <w:r>
        <w:rPr>
          <w:b w:val="0"/>
          <w:i/>
        </w:rPr>
        <w:t>elementa</w:t>
      </w:r>
      <w:r>
        <w:rPr>
          <w:b w:val="0"/>
          <w:i w:val="0"/>
        </w:rPr>
        <w:t xml:space="preserve"> — </w:t>
      </w:r>
      <w:hyperlink w:anchor="elements-and-their-spheres">
        <w:r>
          <w:rPr>
            <w:color w:val="000000"/>
          </w:rPr>
          <w:t xml:space="preserve">Elements and their spheres</w:t>
        </w:r>
      </w:hyperlink>
    </w:p>
    <w:p>
      <w:pPr>
        <w:ind w:left="187" w:hanging="187"/>
      </w:pPr>
      <w:r>
        <w:t xml:space="preserve">• </w:t>
      </w:r>
      <w:r>
        <w:rPr>
          <w:b w:val="0"/>
          <w:i/>
        </w:rPr>
        <w:t>eligere</w:t>
      </w:r>
      <w:r>
        <w:rPr>
          <w:b w:val="0"/>
          <w:i w:val="0"/>
        </w:rPr>
        <w:t xml:space="preserve"> — </w:t>
      </w:r>
      <w:hyperlink w:anchor="choice-and-free-judgment">
        <w:r>
          <w:rPr>
            <w:color w:val="000000"/>
          </w:rPr>
          <w:t xml:space="preserve">Choice and free judgment</w:t>
        </w:r>
      </w:hyperlink>
      <w:r>
        <w:rPr>
          <w:b w:val="0"/>
          <w:i w:val="0"/>
        </w:rPr>
        <w:t xml:space="preserve">; </w:t>
      </w:r>
      <w:hyperlink w:anchor="will">
        <w:r>
          <w:rPr>
            <w:color w:val="000000"/>
          </w:rPr>
          <w:t xml:space="preserve">Will</w:t>
        </w:r>
      </w:hyperlink>
    </w:p>
    <w:p>
      <w:pPr>
        <w:ind w:left="187" w:hanging="187"/>
      </w:pPr>
      <w:r>
        <w:t xml:space="preserve">• </w:t>
      </w:r>
      <w:r>
        <w:rPr>
          <w:b w:val="0"/>
          <w:i/>
        </w:rPr>
        <w:t>emanare</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enumerare</w:t>
      </w:r>
      <w:r>
        <w:rPr>
          <w:b w:val="0"/>
          <w:i w:val="0"/>
        </w:rPr>
        <w:t xml:space="preserve"> — </w:t>
      </w:r>
      <w:hyperlink w:anchor="number">
        <w:r>
          <w:rPr>
            <w:color w:val="000000"/>
          </w:rPr>
          <w:t xml:space="preserve">Number</w:t>
        </w:r>
      </w:hyperlink>
    </w:p>
    <w:p>
      <w:pPr>
        <w:ind w:left="187" w:hanging="187"/>
      </w:pPr>
      <w:r>
        <w:t xml:space="preserve">• </w:t>
      </w:r>
      <w:r>
        <w:rPr>
          <w:b w:val="0"/>
          <w:i/>
        </w:rPr>
        <w:t>esse</w:t>
      </w:r>
      <w:r>
        <w:rPr>
          <w:b w:val="0"/>
          <w:i w:val="0"/>
        </w:rPr>
        <w:t xml:space="preserve"> — </w:t>
      </w:r>
      <w:hyperlink w:anchor="being">
        <w:r>
          <w:rPr>
            <w:color w:val="000000"/>
          </w:rPr>
          <w:t xml:space="preserve">Being</w:t>
        </w:r>
      </w:hyperlink>
      <w:r>
        <w:rPr>
          <w:b w:val="0"/>
          <w:i w:val="0"/>
        </w:rPr>
        <w:t xml:space="preserve">; </w:t>
      </w:r>
      <w:hyperlink w:anchor="essence-and-substance">
        <w:r>
          <w:rPr>
            <w:color w:val="000000"/>
          </w:rPr>
          <w:t xml:space="preserve">Essence and substance</w:t>
        </w:r>
      </w:hyperlink>
    </w:p>
    <w:p>
      <w:pPr>
        <w:ind w:left="187" w:hanging="187"/>
      </w:pPr>
      <w:r>
        <w:t xml:space="preserve">• </w:t>
      </w:r>
      <w:r>
        <w:rPr>
          <w:b w:val="0"/>
          <w:i/>
        </w:rPr>
        <w:t>esse ipsum</w:t>
      </w:r>
      <w:r>
        <w:rPr>
          <w:b w:val="0"/>
          <w:i w:val="0"/>
        </w:rPr>
        <w:t xml:space="preserve"> — </w:t>
      </w:r>
      <w:hyperlink w:anchor="being">
        <w:r>
          <w:rPr>
            <w:color w:val="000000"/>
          </w:rPr>
          <w:t xml:space="preserve">Being</w:t>
        </w:r>
      </w:hyperlink>
    </w:p>
    <w:p>
      <w:pPr>
        <w:ind w:left="187" w:hanging="187"/>
      </w:pPr>
      <w:r>
        <w:t xml:space="preserve">• </w:t>
      </w:r>
      <w:r>
        <w:rPr>
          <w:b w:val="0"/>
          <w:i/>
        </w:rPr>
        <w:t>esse purum</w:t>
      </w:r>
      <w:r>
        <w:rPr>
          <w:b w:val="0"/>
          <w:i w:val="0"/>
        </w:rPr>
        <w:t xml:space="preserve"> — </w:t>
      </w:r>
      <w:hyperlink w:anchor="being">
        <w:r>
          <w:rPr>
            <w:color w:val="000000"/>
          </w:rPr>
          <w:t xml:space="preserve">Being</w:t>
        </w:r>
      </w:hyperlink>
    </w:p>
    <w:p>
      <w:pPr>
        <w:ind w:left="187" w:hanging="187"/>
      </w:pPr>
      <w:r>
        <w:t xml:space="preserve">• </w:t>
      </w:r>
      <w:r>
        <w:rPr>
          <w:b w:val="0"/>
          <w:i/>
        </w:rPr>
        <w:t>esse tale</w:t>
      </w:r>
      <w:r>
        <w:rPr>
          <w:b w:val="0"/>
          <w:i w:val="0"/>
        </w:rPr>
        <w:t xml:space="preserve"> — </w:t>
      </w:r>
      <w:hyperlink w:anchor="being">
        <w:r>
          <w:rPr>
            <w:color w:val="000000"/>
          </w:rPr>
          <w:t xml:space="preserve">Being</w:t>
        </w:r>
      </w:hyperlink>
    </w:p>
    <w:p>
      <w:pPr>
        <w:ind w:left="187" w:hanging="187"/>
      </w:pPr>
      <w:r>
        <w:t xml:space="preserve">• </w:t>
      </w:r>
      <w:r>
        <w:rPr>
          <w:b w:val="0"/>
          <w:i/>
        </w:rPr>
        <w:t>essendi modos</w:t>
      </w:r>
      <w:r>
        <w:rPr>
          <w:b w:val="0"/>
          <w:i w:val="0"/>
        </w:rPr>
        <w:t xml:space="preserve"> — </w:t>
      </w:r>
      <w:hyperlink w:anchor="contingency">
        <w:r>
          <w:rPr>
            <w:color w:val="000000"/>
          </w:rPr>
          <w:t xml:space="preserve">Contingency</w:t>
        </w:r>
      </w:hyperlink>
    </w:p>
    <w:p>
      <w:pPr>
        <w:ind w:left="187" w:hanging="187"/>
      </w:pPr>
      <w:r>
        <w:t xml:space="preserve">• </w:t>
      </w:r>
      <w:r>
        <w:rPr>
          <w:b w:val="0"/>
          <w:i/>
        </w:rPr>
        <w:t>essendi modus</w:t>
      </w:r>
      <w:r>
        <w:rPr>
          <w:b w:val="0"/>
          <w:i w:val="0"/>
        </w:rPr>
        <w:t xml:space="preserve"> — </w:t>
      </w:r>
      <w:hyperlink w:anchor="being">
        <w:r>
          <w:rPr>
            <w:color w:val="000000"/>
          </w:rPr>
          <w:t xml:space="preserve">Being</w:t>
        </w:r>
      </w:hyperlink>
    </w:p>
    <w:p>
      <w:pPr>
        <w:ind w:left="187" w:hanging="187"/>
      </w:pPr>
      <w:r>
        <w:t xml:space="preserve">• </w:t>
      </w:r>
      <w:r>
        <w:rPr>
          <w:b w:val="0"/>
          <w:i/>
        </w:rPr>
        <w:t>essendi necessitas</w:t>
      </w:r>
      <w:r>
        <w:rPr>
          <w:b w:val="0"/>
          <w:i w:val="0"/>
        </w:rPr>
        <w:t xml:space="preserve"> — </w:t>
      </w:r>
      <w:hyperlink w:anchor="freedom-and-necessity">
        <w:r>
          <w:rPr>
            <w:color w:val="000000"/>
          </w:rPr>
          <w:t xml:space="preserve">Freedom and necessity</w:t>
        </w:r>
      </w:hyperlink>
    </w:p>
    <w:p>
      <w:pPr>
        <w:ind w:left="187" w:hanging="187"/>
      </w:pPr>
      <w:r>
        <w:t xml:space="preserve">• </w:t>
      </w:r>
      <w:r>
        <w:rPr>
          <w:b w:val="0"/>
          <w:i/>
        </w:rPr>
        <w:t>essentia</w:t>
      </w:r>
      <w:r>
        <w:rPr>
          <w:b w:val="0"/>
          <w:i w:val="0"/>
        </w:rPr>
        <w:t xml:space="preserve"> — </w:t>
      </w:r>
      <w:hyperlink w:anchor="essence-and-substance">
        <w:r>
          <w:rPr>
            <w:color w:val="000000"/>
          </w:rPr>
          <w:t xml:space="preserve">Essence and substance</w:t>
        </w:r>
      </w:hyperlink>
    </w:p>
    <w:p>
      <w:pPr>
        <w:ind w:left="187" w:hanging="187"/>
      </w:pPr>
      <w:r>
        <w:t xml:space="preserve">• </w:t>
      </w:r>
      <w:r>
        <w:rPr>
          <w:b w:val="0"/>
          <w:i/>
        </w:rPr>
        <w:t>essentia tertia</w:t>
      </w:r>
      <w:r>
        <w:rPr>
          <w:b w:val="0"/>
          <w:i w:val="0"/>
        </w:rPr>
        <w:t xml:space="preserve"> — </w:t>
      </w:r>
      <w:hyperlink w:anchor="essence-and-substance">
        <w:r>
          <w:rPr>
            <w:color w:val="000000"/>
          </w:rPr>
          <w:t xml:space="preserve">Essence and substance</w:t>
        </w:r>
      </w:hyperlink>
      <w:r>
        <w:rPr>
          <w:b w:val="0"/>
          <w:i w:val="0"/>
        </w:rPr>
        <w:t xml:space="preserve">; </w:t>
      </w:r>
      <w:hyperlink w:anchor="soul">
        <w:r>
          <w:rPr>
            <w:color w:val="000000"/>
          </w:rPr>
          <w:t xml:space="preserve">Soul</w:t>
        </w:r>
      </w:hyperlink>
    </w:p>
    <w:p>
      <w:pPr>
        <w:ind w:left="187" w:hanging="187"/>
      </w:pPr>
      <w:r>
        <w:t xml:space="preserve">• </w:t>
      </w:r>
      <w:r>
        <w:rPr>
          <w:b w:val="0"/>
          <w:i/>
        </w:rPr>
        <w:t>essentia tertia ac media</w:t>
      </w:r>
      <w:r>
        <w:rPr>
          <w:b w:val="0"/>
          <w:i w:val="0"/>
        </w:rPr>
        <w:t xml:space="preserve"> — </w:t>
      </w:r>
      <w:hyperlink w:anchor="degree-and-mediation">
        <w:r>
          <w:rPr>
            <w:color w:val="000000"/>
          </w:rPr>
          <w:t xml:space="preserve">Degree and mediation</w:t>
        </w:r>
      </w:hyperlink>
    </w:p>
    <w:p>
      <w:pPr>
        <w:ind w:left="187" w:hanging="187"/>
      </w:pPr>
      <w:r>
        <w:t xml:space="preserve">• </w:t>
      </w:r>
      <w:r>
        <w:rPr>
          <w:b w:val="0"/>
          <w:i/>
        </w:rPr>
        <w:t>essentiali quodam instinctu</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essentialis</w:t>
      </w:r>
      <w:r>
        <w:rPr>
          <w:b w:val="0"/>
          <w:i w:val="0"/>
        </w:rPr>
        <w:t xml:space="preserve"> — </w:t>
      </w:r>
      <w:hyperlink w:anchor="essence-and-substance">
        <w:r>
          <w:rPr>
            <w:color w:val="000000"/>
          </w:rPr>
          <w:t xml:space="preserve">Essence and substance</w:t>
        </w:r>
      </w:hyperlink>
    </w:p>
    <w:p>
      <w:pPr>
        <w:ind w:left="187" w:hanging="187"/>
      </w:pPr>
      <w:r>
        <w:t xml:space="preserve">• </w:t>
      </w:r>
      <w:r>
        <w:rPr>
          <w:b w:val="0"/>
          <w:i/>
        </w:rPr>
        <w:t>ex nihilo</w:t>
      </w:r>
      <w:r>
        <w:rPr>
          <w:b w:val="0"/>
          <w:i w:val="0"/>
        </w:rPr>
        <w:t xml:space="preserve"> — </w:t>
      </w:r>
      <w:hyperlink w:anchor="creation">
        <w:r>
          <w:rPr>
            <w:color w:val="000000"/>
          </w:rPr>
          <w:t xml:space="preserve">Creation</w:t>
        </w:r>
      </w:hyperlink>
    </w:p>
    <w:p>
      <w:pPr>
        <w:ind w:left="187" w:hanging="187"/>
      </w:pPr>
      <w:r>
        <w:t xml:space="preserve">• </w:t>
      </w:r>
      <w:r>
        <w:rPr>
          <w:b w:val="0"/>
          <w:i/>
        </w:rPr>
        <w:t>ex nullo antiquiore subiecto</w:t>
      </w:r>
      <w:r>
        <w:rPr>
          <w:b w:val="0"/>
          <w:i w:val="0"/>
        </w:rPr>
        <w:t xml:space="preserve"> — </w:t>
      </w:r>
      <w:hyperlink w:anchor="creation">
        <w:r>
          <w:rPr>
            <w:color w:val="000000"/>
          </w:rPr>
          <w:t xml:space="preserve">Creation</w:t>
        </w:r>
      </w:hyperlink>
    </w:p>
    <w:p>
      <w:pPr>
        <w:ind w:left="187" w:hanging="187"/>
      </w:pPr>
      <w:r>
        <w:t xml:space="preserve">• </w:t>
      </w:r>
      <w:r>
        <w:rPr>
          <w:b w:val="0"/>
          <w:i/>
        </w:rPr>
        <w:t>ex se ipso</w:t>
      </w:r>
      <w:r>
        <w:rPr>
          <w:b w:val="0"/>
          <w:i w:val="0"/>
        </w:rPr>
        <w:t xml:space="preserve"> — </w:t>
      </w:r>
      <w:hyperlink w:anchor="through-itself-and-through-another">
        <w:r>
          <w:rPr>
            <w:color w:val="000000"/>
          </w:rPr>
          <w:t xml:space="preserve">Through itself and through another</w:t>
        </w:r>
      </w:hyperlink>
    </w:p>
    <w:p>
      <w:pPr>
        <w:ind w:left="187" w:hanging="187"/>
      </w:pPr>
      <w:r>
        <w:t xml:space="preserve">• </w:t>
      </w:r>
      <w:r>
        <w:rPr>
          <w:b w:val="0"/>
          <w:i/>
        </w:rPr>
        <w:t>exemplar</w:t>
      </w:r>
      <w:r>
        <w:rPr>
          <w:b w:val="0"/>
          <w:i w:val="0"/>
        </w:rPr>
        <w:t xml:space="preserve"> — </w:t>
      </w:r>
      <w:hyperlink w:anchor="ideas-and-exemplars">
        <w:r>
          <w:rPr>
            <w:color w:val="000000"/>
          </w:rPr>
          <w:t xml:space="preserve">Ideas and exemplars</w:t>
        </w:r>
      </w:hyperlink>
      <w:r>
        <w:rPr>
          <w:b w:val="0"/>
          <w:i w:val="0"/>
        </w:rPr>
        <w:t xml:space="preserve">; </w:t>
      </w:r>
      <w:hyperlink w:anchor="image-and-likeness">
        <w:r>
          <w:rPr>
            <w:color w:val="000000"/>
          </w:rPr>
          <w:t xml:space="preserve">Image and likeness</w:t>
        </w:r>
      </w:hyperlink>
    </w:p>
    <w:p>
      <w:pPr>
        <w:ind w:left="187" w:hanging="187"/>
      </w:pPr>
      <w:r>
        <w:t xml:space="preserve">• </w:t>
      </w:r>
      <w:r>
        <w:rPr>
          <w:b w:val="0"/>
          <w:i/>
        </w:rPr>
        <w:t>exemplaria</w:t>
      </w:r>
      <w:r>
        <w:rPr>
          <w:b w:val="0"/>
          <w:i w:val="0"/>
        </w:rPr>
        <w:t xml:space="preserve"> — </w:t>
      </w:r>
      <w:hyperlink w:anchor="ideas-and-exemplars">
        <w:r>
          <w:rPr>
            <w:color w:val="000000"/>
          </w:rPr>
          <w:t xml:space="preserve">Ideas and exemplars</w:t>
        </w:r>
      </w:hyperlink>
    </w:p>
    <w:p>
      <w:pPr>
        <w:ind w:left="187" w:hanging="187"/>
      </w:pPr>
      <w:r>
        <w:t xml:space="preserve">• </w:t>
      </w:r>
      <w:r>
        <w:rPr>
          <w:b w:val="0"/>
          <w:i/>
        </w:rPr>
        <w:t>expetere</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explicando</w:t>
      </w:r>
      <w:r>
        <w:rPr>
          <w:b w:val="0"/>
          <w:i w:val="0"/>
        </w:rPr>
        <w:t xml:space="preserve"> — </w:t>
      </w:r>
      <w:hyperlink w:anchor="circularity-and-return">
        <w:r>
          <w:rPr>
            <w:color w:val="000000"/>
          </w:rPr>
          <w:t xml:space="preserve">Circularity and return</w:t>
        </w:r>
      </w:hyperlink>
    </w:p>
    <w:p>
      <w:pPr>
        <w:ind w:left="187" w:hanging="187"/>
      </w:pPr>
      <w:r>
        <w:t xml:space="preserve">• </w:t>
      </w:r>
      <w:r>
        <w:rPr>
          <w:b w:val="0"/>
          <w:i/>
        </w:rPr>
        <w:t>explicare</w:t>
      </w:r>
      <w:r>
        <w:rPr>
          <w:b w:val="0"/>
          <w:i w:val="0"/>
        </w:rPr>
        <w:t xml:space="preserve"> — </w:t>
      </w:r>
      <w:hyperlink w:anchor="procession-and-return">
        <w:r>
          <w:rPr>
            <w:color w:val="000000"/>
          </w:rPr>
          <w:t xml:space="preserve">Procession and return</w:t>
        </w:r>
      </w:hyperlink>
    </w:p>
    <w:p>
      <w:pPr>
        <w:ind w:left="187" w:hanging="187"/>
      </w:pPr>
      <w:r>
        <w:t xml:space="preserve">• </w:t>
      </w:r>
      <w:r>
        <w:rPr>
          <w:b w:val="0"/>
          <w:i/>
        </w:rPr>
        <w:t>exprimere</w:t>
      </w:r>
      <w:r>
        <w:rPr>
          <w:b w:val="0"/>
          <w:i w:val="0"/>
        </w:rPr>
        <w:t xml:space="preserve"> — </w:t>
      </w:r>
      <w:hyperlink w:anchor="image-and-likeness">
        <w:r>
          <w:rPr>
            <w:color w:val="000000"/>
          </w:rPr>
          <w:t xml:space="preserve">Image and likeness</w:t>
        </w:r>
      </w:hyperlink>
    </w:p>
    <w:p>
      <w:pPr>
        <w:ind w:left="187" w:hanging="187"/>
      </w:pPr>
      <w:r>
        <w:t xml:space="preserve">• </w:t>
      </w:r>
      <w:r>
        <w:rPr>
          <w:b w:val="0"/>
          <w:i/>
        </w:rPr>
        <w:t>exsistere</w:t>
      </w:r>
      <w:r>
        <w:rPr>
          <w:b w:val="0"/>
          <w:i w:val="0"/>
        </w:rPr>
        <w:t xml:space="preserve"> — </w:t>
      </w:r>
      <w:hyperlink w:anchor="essence-and-substance">
        <w:r>
          <w:rPr>
            <w:color w:val="000000"/>
          </w:rPr>
          <w:t xml:space="preserve">Essence and substance</w:t>
        </w:r>
      </w:hyperlink>
    </w:p>
    <w:p>
      <w:pPr>
        <w:ind w:left="187" w:hanging="187"/>
      </w:pPr>
      <w:r>
        <w:t xml:space="preserve">• </w:t>
      </w:r>
      <w:r>
        <w:rPr>
          <w:b w:val="0"/>
          <w:i/>
        </w:rPr>
        <w:t>extensio</w:t>
      </w:r>
      <w:r>
        <w:rPr>
          <w:b w:val="0"/>
          <w:i w:val="0"/>
        </w:rPr>
        <w:t xml:space="preserve"> — </w:t>
      </w:r>
      <w:hyperlink w:anchor="quantity-and-dimension">
        <w:r>
          <w:rPr>
            <w:color w:val="000000"/>
          </w:rPr>
          <w:t xml:space="preserve">Quantity and dimension</w:t>
        </w:r>
      </w:hyperlink>
    </w:p>
    <w:p>
      <w:pPr>
        <w:ind w:left="187" w:hanging="187"/>
      </w:pPr>
      <w:r>
        <w:t xml:space="preserve">• </w:t>
      </w:r>
      <w:r>
        <w:rPr>
          <w:b w:val="0"/>
          <w:i/>
        </w:rPr>
        <w:t>extrema</w:t>
      </w:r>
      <w:r>
        <w:rPr>
          <w:b w:val="0"/>
          <w:i w:val="0"/>
        </w:rPr>
        <w:t xml:space="preserve"> — </w:t>
      </w:r>
      <w:hyperlink w:anchor="degree-and-mediation">
        <w:r>
          <w:rPr>
            <w:color w:val="000000"/>
          </w:rPr>
          <w:t xml:space="preserve">Degree and mediation</w:t>
        </w:r>
      </w:hyperlink>
    </w:p>
    <w:p>
      <w:pPr>
        <w:ind w:left="187" w:hanging="187"/>
      </w:pPr>
      <w:r>
        <w:t xml:space="preserve">• </w:t>
      </w:r>
      <w:r>
        <w:rPr>
          <w:b w:val="0"/>
          <w:i/>
        </w:rPr>
        <w:t>extremum</w:t>
      </w:r>
      <w:r>
        <w:rPr>
          <w:b w:val="0"/>
          <w:i w:val="0"/>
        </w:rPr>
        <w:t xml:space="preserve"> — </w:t>
      </w:r>
      <w:hyperlink w:anchor="degree-and-mediation">
        <w:r>
          <w:rPr>
            <w:color w:val="000000"/>
          </w:rPr>
          <w:t xml:space="preserve">Degree and mediation</w:t>
        </w:r>
      </w:hyperlink>
    </w:p>
    <w:p>
      <w:pPr>
        <w:ind w:left="187" w:hanging="187"/>
      </w:pPr>
      <w:r>
        <w:t xml:space="preserve">• </w:t>
      </w:r>
      <w:r>
        <w:rPr>
          <w:b w:val="0"/>
          <w:i/>
        </w:rPr>
        <w:t>faber</w:t>
      </w:r>
      <w:r>
        <w:rPr>
          <w:b w:val="0"/>
          <w:i w:val="0"/>
        </w:rPr>
        <w:t xml:space="preserve"> — </w:t>
      </w:r>
      <w:hyperlink w:anchor="art-and-nature">
        <w:r>
          <w:rPr>
            <w:color w:val="000000"/>
          </w:rPr>
          <w:t xml:space="preserve">Art and nature</w:t>
        </w:r>
      </w:hyperlink>
    </w:p>
    <w:p>
      <w:pPr>
        <w:ind w:left="187" w:hanging="187"/>
      </w:pPr>
      <w:r>
        <w:t xml:space="preserve">• </w:t>
      </w:r>
      <w:r>
        <w:rPr>
          <w:b w:val="0"/>
          <w:i/>
        </w:rPr>
        <w:t>facultas</w:t>
      </w:r>
      <w:r>
        <w:rPr>
          <w:b w:val="0"/>
          <w:i w:val="0"/>
        </w:rPr>
        <w:t xml:space="preserve"> — </w:t>
      </w:r>
      <w:hyperlink w:anchor="power-and-potency">
        <w:r>
          <w:rPr>
            <w:color w:val="000000"/>
          </w:rPr>
          <w:t xml:space="preserve">Power and potency</w:t>
        </w:r>
      </w:hyperlink>
    </w:p>
    <w:p>
      <w:pPr>
        <w:ind w:left="187" w:hanging="187"/>
      </w:pPr>
      <w:r>
        <w:t xml:space="preserve">• </w:t>
      </w:r>
      <w:r>
        <w:rPr>
          <w:b w:val="0"/>
          <w:i/>
        </w:rPr>
        <w:t>falsum</w:t>
      </w:r>
      <w:r>
        <w:rPr>
          <w:b w:val="0"/>
          <w:i w:val="0"/>
        </w:rPr>
        <w:t xml:space="preserve"> — </w:t>
      </w:r>
      <w:hyperlink w:anchor="truth">
        <w:r>
          <w:rPr>
            <w:color w:val="000000"/>
          </w:rPr>
          <w:t xml:space="preserve">Truth</w:t>
        </w:r>
      </w:hyperlink>
    </w:p>
    <w:p>
      <w:pPr>
        <w:ind w:left="187" w:hanging="187"/>
      </w:pPr>
      <w:r>
        <w:t xml:space="preserve">• </w:t>
      </w:r>
      <w:r>
        <w:rPr>
          <w:b w:val="0"/>
          <w:i/>
        </w:rPr>
        <w:t>falsus</w:t>
      </w:r>
      <w:r>
        <w:rPr>
          <w:b w:val="0"/>
          <w:i w:val="0"/>
        </w:rPr>
        <w:t xml:space="preserve"> — </w:t>
      </w:r>
      <w:hyperlink w:anchor="truth">
        <w:r>
          <w:rPr>
            <w:color w:val="000000"/>
          </w:rPr>
          <w:t xml:space="preserve">Truth</w:t>
        </w:r>
      </w:hyperlink>
    </w:p>
    <w:p>
      <w:pPr>
        <w:ind w:left="187" w:hanging="187"/>
      </w:pPr>
      <w:r>
        <w:t xml:space="preserve">• </w:t>
      </w:r>
      <w:r>
        <w:rPr>
          <w:b w:val="0"/>
          <w:i/>
        </w:rPr>
        <w:t>fascinandos</w:t>
      </w:r>
      <w:r>
        <w:rPr>
          <w:b w:val="0"/>
          <w:i w:val="0"/>
        </w:rPr>
        <w:t xml:space="preserve"> — </w:t>
      </w:r>
      <w:hyperlink w:anchor="power-and-potency">
        <w:r>
          <w:rPr>
            <w:color w:val="000000"/>
          </w:rPr>
          <w:t xml:space="preserve">Power and potency</w:t>
        </w:r>
      </w:hyperlink>
    </w:p>
    <w:p>
      <w:pPr>
        <w:ind w:left="187" w:hanging="187"/>
      </w:pPr>
      <w:r>
        <w:t xml:space="preserve">• </w:t>
      </w:r>
      <w:r>
        <w:rPr>
          <w:b w:val="0"/>
          <w:i/>
        </w:rPr>
        <w:t>fatali … lege</w:t>
      </w:r>
      <w:r>
        <w:rPr>
          <w:b w:val="0"/>
          <w:i w:val="0"/>
        </w:rPr>
        <w:t xml:space="preserve"> — </w:t>
      </w:r>
      <w:hyperlink w:anchor="fate">
        <w:r>
          <w:rPr>
            <w:color w:val="000000"/>
          </w:rPr>
          <w:t xml:space="preserve">Fate</w:t>
        </w:r>
      </w:hyperlink>
    </w:p>
    <w:p>
      <w:pPr>
        <w:ind w:left="187" w:hanging="187"/>
      </w:pPr>
      <w:r>
        <w:t xml:space="preserve">• </w:t>
      </w:r>
      <w:r>
        <w:rPr>
          <w:b w:val="0"/>
          <w:i/>
        </w:rPr>
        <w:t>fatum</w:t>
      </w:r>
      <w:r>
        <w:rPr>
          <w:b w:val="0"/>
          <w:i w:val="0"/>
        </w:rPr>
        <w:t xml:space="preserve"> — </w:t>
      </w:r>
      <w:hyperlink w:anchor="fate">
        <w:r>
          <w:rPr>
            <w:color w:val="000000"/>
          </w:rPr>
          <w:t xml:space="preserve">Fate</w:t>
        </w:r>
      </w:hyperlink>
    </w:p>
    <w:p>
      <w:pPr>
        <w:ind w:left="187" w:hanging="187"/>
      </w:pPr>
      <w:r>
        <w:t xml:space="preserve">• </w:t>
      </w:r>
      <w:r>
        <w:rPr>
          <w:b w:val="0"/>
          <w:i/>
        </w:rPr>
        <w:t>felicitas</w:t>
      </w:r>
      <w:r>
        <w:rPr>
          <w:b w:val="0"/>
          <w:i w:val="0"/>
        </w:rPr>
        <w:t xml:space="preserve"> — </w:t>
      </w:r>
      <w:hyperlink w:anchor="blessedness">
        <w:r>
          <w:rPr>
            <w:color w:val="000000"/>
          </w:rPr>
          <w:t xml:space="preserve">Blessedness</w:t>
        </w:r>
      </w:hyperlink>
    </w:p>
    <w:p>
      <w:pPr>
        <w:ind w:left="187" w:hanging="187"/>
      </w:pPr>
      <w:r>
        <w:t xml:space="preserve">• </w:t>
      </w:r>
      <w:r>
        <w:rPr>
          <w:b w:val="0"/>
          <w:i/>
        </w:rPr>
        <w:t>felix</w:t>
      </w:r>
      <w:r>
        <w:rPr>
          <w:b w:val="0"/>
          <w:i w:val="0"/>
        </w:rPr>
        <w:t xml:space="preserve"> — </w:t>
      </w:r>
      <w:hyperlink w:anchor="blessedness">
        <w:r>
          <w:rPr>
            <w:color w:val="000000"/>
          </w:rPr>
          <w:t xml:space="preserve">Blessedness</w:t>
        </w:r>
      </w:hyperlink>
    </w:p>
    <w:p>
      <w:pPr>
        <w:ind w:left="187" w:hanging="187"/>
      </w:pPr>
      <w:r>
        <w:t xml:space="preserve">• </w:t>
      </w:r>
      <w:r>
        <w:rPr>
          <w:b w:val="0"/>
          <w:i/>
        </w:rPr>
        <w:t>figurationes</w:t>
      </w:r>
      <w:r>
        <w:rPr>
          <w:b w:val="0"/>
          <w:i w:val="0"/>
        </w:rPr>
        <w:t xml:space="preserve"> — </w:t>
      </w:r>
      <w:hyperlink w:anchor="form">
        <w:r>
          <w:rPr>
            <w:color w:val="000000"/>
          </w:rPr>
          <w:t xml:space="preserve">Form</w:t>
        </w:r>
      </w:hyperlink>
    </w:p>
    <w:p>
      <w:pPr>
        <w:ind w:left="187" w:hanging="187"/>
      </w:pPr>
      <w:r>
        <w:t xml:space="preserve">• </w:t>
      </w:r>
      <w:r>
        <w:rPr>
          <w:b w:val="0"/>
          <w:i/>
        </w:rPr>
        <w:t>finalem, efficientem, formalem causam</w:t>
      </w:r>
      <w:r>
        <w:rPr>
          <w:b w:val="0"/>
          <w:i w:val="0"/>
        </w:rPr>
        <w:t xml:space="preserve"> — </w:t>
      </w:r>
      <w:hyperlink w:anchor="cause">
        <w:r>
          <w:rPr>
            <w:color w:val="000000"/>
          </w:rPr>
          <w:t xml:space="preserve">Cause</w:t>
        </w:r>
      </w:hyperlink>
    </w:p>
    <w:p>
      <w:pPr>
        <w:ind w:left="187" w:hanging="187"/>
      </w:pPr>
      <w:r>
        <w:t xml:space="preserve">• </w:t>
      </w:r>
      <w:r>
        <w:rPr>
          <w:b w:val="0"/>
          <w:i/>
        </w:rPr>
        <w:t>finis</w:t>
      </w:r>
      <w:r>
        <w:rPr>
          <w:b w:val="0"/>
          <w:i w:val="0"/>
        </w:rPr>
        <w:t xml:space="preserve"> — </w:t>
      </w:r>
      <w:hyperlink w:anchor="end-and-limit">
        <w:r>
          <w:rPr>
            <w:color w:val="000000"/>
          </w:rPr>
          <w:t xml:space="preserve">End and limit</w:t>
        </w:r>
      </w:hyperlink>
    </w:p>
    <w:p>
      <w:pPr>
        <w:ind w:left="187" w:hanging="187"/>
      </w:pPr>
      <w:r>
        <w:t xml:space="preserve">• </w:t>
      </w:r>
      <w:r>
        <w:rPr>
          <w:b w:val="0"/>
          <w:i/>
        </w:rPr>
        <w:t>finis ultimus</w:t>
      </w:r>
      <w:r>
        <w:rPr>
          <w:b w:val="0"/>
          <w:i w:val="0"/>
        </w:rPr>
        <w:t xml:space="preserve"> — </w:t>
      </w:r>
      <w:hyperlink w:anchor="end-and-limit">
        <w:r>
          <w:rPr>
            <w:color w:val="000000"/>
          </w:rPr>
          <w:t xml:space="preserve">End and limit</w:t>
        </w:r>
      </w:hyperlink>
    </w:p>
    <w:p>
      <w:pPr>
        <w:ind w:left="187" w:hanging="187"/>
      </w:pPr>
      <w:r>
        <w:t xml:space="preserve">• </w:t>
      </w:r>
      <w:r>
        <w:rPr>
          <w:b w:val="0"/>
          <w:i/>
        </w:rPr>
        <w:t>finitus</w:t>
      </w:r>
      <w:r>
        <w:rPr>
          <w:b w:val="0"/>
          <w:i w:val="0"/>
        </w:rPr>
        <w:t xml:space="preserve"> — </w:t>
      </w:r>
      <w:hyperlink w:anchor="infinity">
        <w:r>
          <w:rPr>
            <w:color w:val="000000"/>
          </w:rPr>
          <w:t xml:space="preserve">Infinity</w:t>
        </w:r>
      </w:hyperlink>
    </w:p>
    <w:p>
      <w:pPr>
        <w:ind w:left="187" w:hanging="187"/>
      </w:pPr>
      <w:r>
        <w:t xml:space="preserve">• </w:t>
      </w:r>
      <w:r>
        <w:rPr>
          <w:b w:val="0"/>
          <w:i/>
        </w:rPr>
        <w:t>fluere</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fluitare</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fluxus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fons</w:t>
      </w:r>
      <w:r>
        <w:rPr>
          <w:b w:val="0"/>
          <w:i w:val="0"/>
        </w:rPr>
        <w:t xml:space="preserve"> — </w:t>
      </w:r>
      <w:hyperlink w:anchor="principle">
        <w:r>
          <w:rPr>
            <w:color w:val="000000"/>
          </w:rPr>
          <w:t xml:space="preserve">Principle</w:t>
        </w:r>
      </w:hyperlink>
    </w:p>
    <w:p>
      <w:pPr>
        <w:ind w:left="187" w:hanging="187"/>
      </w:pPr>
      <w:r>
        <w:t xml:space="preserve">• </w:t>
      </w:r>
      <w:r>
        <w:rPr>
          <w:b w:val="0"/>
          <w:i/>
        </w:rPr>
        <w:t>fons et principium motionis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forma</w:t>
      </w:r>
      <w:r>
        <w:rPr>
          <w:b w:val="0"/>
          <w:i w:val="0"/>
        </w:rPr>
        <w:t xml:space="preserve"> — </w:t>
      </w:r>
      <w:hyperlink w:anchor="form">
        <w:r>
          <w:rPr>
            <w:color w:val="000000"/>
          </w:rPr>
          <w:t xml:space="preserve">Form</w:t>
        </w:r>
      </w:hyperlink>
    </w:p>
    <w:p>
      <w:pPr>
        <w:ind w:left="187" w:hanging="187"/>
      </w:pPr>
      <w:r>
        <w:t xml:space="preserve">• </w:t>
      </w:r>
      <w:r>
        <w:rPr>
          <w:b w:val="0"/>
          <w:i/>
        </w:rPr>
        <w:t>forma corporea</w:t>
      </w:r>
      <w:r>
        <w:rPr>
          <w:b w:val="0"/>
          <w:i w:val="0"/>
        </w:rPr>
        <w:t xml:space="preserve"> — </w:t>
      </w:r>
      <w:hyperlink w:anchor="form">
        <w:r>
          <w:rPr>
            <w:color w:val="000000"/>
          </w:rPr>
          <w:t xml:space="preserve">Form</w:t>
        </w:r>
      </w:hyperlink>
    </w:p>
    <w:p>
      <w:pPr>
        <w:ind w:left="187" w:hanging="187"/>
      </w:pPr>
      <w:r>
        <w:t xml:space="preserve">• </w:t>
      </w:r>
      <w:r>
        <w:rPr>
          <w:b w:val="0"/>
          <w:i/>
        </w:rPr>
        <w:t>forma divisa in corpore</w:t>
      </w:r>
      <w:r>
        <w:rPr>
          <w:b w:val="0"/>
          <w:i w:val="0"/>
        </w:rPr>
        <w:t xml:space="preserve"> — </w:t>
      </w:r>
      <w:hyperlink w:anchor="quality">
        <w:r>
          <w:rPr>
            <w:color w:val="000000"/>
          </w:rPr>
          <w:t xml:space="preserve">Quality</w:t>
        </w:r>
      </w:hyperlink>
    </w:p>
    <w:p>
      <w:pPr>
        <w:ind w:left="187" w:hanging="187"/>
      </w:pPr>
      <w:r>
        <w:t xml:space="preserve">• </w:t>
      </w:r>
      <w:r>
        <w:rPr>
          <w:b w:val="0"/>
          <w:i/>
        </w:rPr>
        <w:t>forma individua</w:t>
      </w:r>
      <w:r>
        <w:rPr>
          <w:b w:val="0"/>
          <w:i w:val="0"/>
        </w:rPr>
        <w:t xml:space="preserve"> — </w:t>
      </w:r>
      <w:hyperlink w:anchor="form">
        <w:r>
          <w:rPr>
            <w:color w:val="000000"/>
          </w:rPr>
          <w:t xml:space="preserve">Form</w:t>
        </w:r>
      </w:hyperlink>
    </w:p>
    <w:p>
      <w:pPr>
        <w:ind w:left="187" w:hanging="187"/>
      </w:pPr>
      <w:r>
        <w:t xml:space="preserve">• </w:t>
      </w:r>
      <w:r>
        <w:rPr>
          <w:b w:val="0"/>
          <w:i/>
        </w:rPr>
        <w:t>forma materiae</w:t>
      </w:r>
      <w:r>
        <w:rPr>
          <w:b w:val="0"/>
          <w:i w:val="0"/>
        </w:rPr>
        <w:t xml:space="preserve"> — </w:t>
      </w:r>
      <w:hyperlink w:anchor="form">
        <w:r>
          <w:rPr>
            <w:color w:val="000000"/>
          </w:rPr>
          <w:t xml:space="preserve">Form</w:t>
        </w:r>
      </w:hyperlink>
    </w:p>
    <w:p>
      <w:pPr>
        <w:ind w:left="187" w:hanging="187"/>
      </w:pPr>
      <w:r>
        <w:t xml:space="preserve">• </w:t>
      </w:r>
      <w:r>
        <w:rPr>
          <w:b w:val="0"/>
          <w:i/>
        </w:rPr>
        <w:t>forma substantialis</w:t>
      </w:r>
      <w:r>
        <w:rPr>
          <w:b w:val="0"/>
          <w:i w:val="0"/>
        </w:rPr>
        <w:t xml:space="preserve"> — </w:t>
      </w:r>
      <w:hyperlink w:anchor="form">
        <w:r>
          <w:rPr>
            <w:color w:val="000000"/>
          </w:rPr>
          <w:t xml:space="preserve">Form</w:t>
        </w:r>
      </w:hyperlink>
    </w:p>
    <w:p>
      <w:pPr>
        <w:ind w:left="187" w:hanging="187"/>
      </w:pPr>
      <w:r>
        <w:t xml:space="preserve">• </w:t>
      </w:r>
      <w:r>
        <w:rPr>
          <w:b w:val="0"/>
          <w:i/>
        </w:rPr>
        <w:t>formae contingentes</w:t>
      </w:r>
      <w:r>
        <w:rPr>
          <w:b w:val="0"/>
          <w:i w:val="0"/>
        </w:rPr>
        <w:t xml:space="preserve"> — </w:t>
      </w:r>
      <w:hyperlink w:anchor="form">
        <w:r>
          <w:rPr>
            <w:color w:val="000000"/>
          </w:rPr>
          <w:t xml:space="preserve">Form</w:t>
        </w:r>
      </w:hyperlink>
    </w:p>
    <w:p>
      <w:pPr>
        <w:ind w:left="187" w:hanging="187"/>
      </w:pPr>
      <w:r>
        <w:t xml:space="preserve">• </w:t>
      </w:r>
      <w:r>
        <w:rPr>
          <w:b w:val="0"/>
          <w:i/>
        </w:rPr>
        <w:t>formae naturales</w:t>
      </w:r>
      <w:r>
        <w:rPr>
          <w:b w:val="0"/>
          <w:i w:val="0"/>
        </w:rPr>
        <w:t xml:space="preserve"> — </w:t>
      </w:r>
      <w:hyperlink w:anchor="separation-and-abstraction">
        <w:r>
          <w:rPr>
            <w:color w:val="000000"/>
          </w:rPr>
          <w:t xml:space="preserve">Separation and abstraction</w:t>
        </w:r>
      </w:hyperlink>
    </w:p>
    <w:p>
      <w:pPr>
        <w:ind w:left="187" w:hanging="187"/>
      </w:pPr>
      <w:r>
        <w:t xml:space="preserve">• </w:t>
      </w:r>
      <w:r>
        <w:rPr>
          <w:b w:val="0"/>
          <w:i/>
        </w:rPr>
        <w:t>formae substantiales</w:t>
      </w:r>
      <w:r>
        <w:rPr>
          <w:b w:val="0"/>
          <w:i w:val="0"/>
        </w:rPr>
        <w:t xml:space="preserve"> — </w:t>
      </w:r>
      <w:hyperlink w:anchor="form">
        <w:r>
          <w:rPr>
            <w:color w:val="000000"/>
          </w:rPr>
          <w:t xml:space="preserve">Form</w:t>
        </w:r>
      </w:hyperlink>
    </w:p>
    <w:p>
      <w:pPr>
        <w:ind w:left="187" w:hanging="187"/>
      </w:pPr>
      <w:r>
        <w:t xml:space="preserve">• </w:t>
      </w:r>
      <w:r>
        <w:rPr>
          <w:b w:val="0"/>
          <w:i/>
        </w:rPr>
        <w:t>formare</w:t>
      </w:r>
      <w:r>
        <w:rPr>
          <w:b w:val="0"/>
          <w:i w:val="0"/>
        </w:rPr>
        <w:t xml:space="preserve"> — </w:t>
      </w:r>
      <w:hyperlink w:anchor="form">
        <w:r>
          <w:rPr>
            <w:color w:val="000000"/>
          </w:rPr>
          <w:t xml:space="preserve">Form</w:t>
        </w:r>
      </w:hyperlink>
    </w:p>
    <w:p>
      <w:pPr>
        <w:ind w:left="187" w:hanging="187"/>
      </w:pPr>
      <w:r>
        <w:t xml:space="preserve">• </w:t>
      </w:r>
      <w:r>
        <w:rPr>
          <w:b w:val="0"/>
          <w:i/>
        </w:rPr>
        <w:t>formarum semina</w:t>
      </w:r>
      <w:r>
        <w:rPr>
          <w:b w:val="0"/>
          <w:i w:val="0"/>
        </w:rPr>
        <w:t xml:space="preserve"> — </w:t>
      </w:r>
      <w:hyperlink w:anchor="seeds">
        <w:r>
          <w:rPr>
            <w:color w:val="000000"/>
          </w:rPr>
          <w:t xml:space="preserve">Seeds</w:t>
        </w:r>
      </w:hyperlink>
    </w:p>
    <w:p>
      <w:pPr>
        <w:ind w:left="187" w:hanging="187"/>
      </w:pPr>
      <w:r>
        <w:t xml:space="preserve">• </w:t>
      </w:r>
      <w:r>
        <w:rPr>
          <w:b w:val="0"/>
          <w:i/>
        </w:rPr>
        <w:t>formosissimi ordinis</w:t>
      </w:r>
      <w:r>
        <w:rPr>
          <w:b w:val="0"/>
          <w:i w:val="0"/>
        </w:rPr>
        <w:t xml:space="preserve"> — </w:t>
      </w:r>
      <w:hyperlink w:anchor="beauty-and-fittingness">
        <w:r>
          <w:rPr>
            <w:color w:val="000000"/>
          </w:rPr>
          <w:t xml:space="preserve">Beauty and fittingness</w:t>
        </w:r>
      </w:hyperlink>
    </w:p>
    <w:p>
      <w:pPr>
        <w:ind w:left="187" w:hanging="187"/>
      </w:pPr>
      <w:r>
        <w:t xml:space="preserve">• </w:t>
      </w:r>
      <w:r>
        <w:rPr>
          <w:b w:val="0"/>
          <w:i/>
        </w:rPr>
        <w:t>fortuitum</w:t>
      </w:r>
      <w:r>
        <w:rPr>
          <w:b w:val="0"/>
          <w:i w:val="0"/>
        </w:rPr>
        <w:t xml:space="preserve"> — </w:t>
      </w:r>
      <w:hyperlink w:anchor="chance">
        <w:r>
          <w:rPr>
            <w:color w:val="000000"/>
          </w:rPr>
          <w:t xml:space="preserve">Chance</w:t>
        </w:r>
      </w:hyperlink>
    </w:p>
    <w:p>
      <w:pPr>
        <w:ind w:left="187" w:hanging="187"/>
      </w:pPr>
      <w:r>
        <w:t xml:space="preserve">• </w:t>
      </w:r>
      <w:r>
        <w:rPr>
          <w:b w:val="0"/>
          <w:i/>
        </w:rPr>
        <w:t>fortuna</w:t>
      </w:r>
      <w:r>
        <w:rPr>
          <w:b w:val="0"/>
          <w:i w:val="0"/>
        </w:rPr>
        <w:t xml:space="preserve"> — </w:t>
      </w:r>
      <w:hyperlink w:anchor="chance">
        <w:r>
          <w:rPr>
            <w:color w:val="000000"/>
          </w:rPr>
          <w:t xml:space="preserve">Chance</w:t>
        </w:r>
      </w:hyperlink>
    </w:p>
    <w:p>
      <w:pPr>
        <w:ind w:left="187" w:hanging="187"/>
      </w:pPr>
      <w:r>
        <w:t xml:space="preserve">• </w:t>
      </w:r>
      <w:r>
        <w:rPr>
          <w:b w:val="0"/>
          <w:i/>
        </w:rPr>
        <w:t>genera</w:t>
      </w:r>
      <w:r>
        <w:rPr>
          <w:b w:val="0"/>
          <w:i w:val="0"/>
        </w:rPr>
        <w:t xml:space="preserve"> — </w:t>
      </w:r>
      <w:hyperlink w:anchor="universals-and-individuals">
        <w:r>
          <w:rPr>
            <w:color w:val="000000"/>
          </w:rPr>
          <w:t xml:space="preserve">Universals and individuals</w:t>
        </w:r>
      </w:hyperlink>
    </w:p>
    <w:p>
      <w:pPr>
        <w:ind w:left="187" w:hanging="187"/>
      </w:pPr>
      <w:r>
        <w:t xml:space="preserve">• </w:t>
      </w:r>
      <w:r>
        <w:rPr>
          <w:b w:val="0"/>
          <w:i/>
        </w:rPr>
        <w:t>generandorum semina</w:t>
      </w:r>
      <w:r>
        <w:rPr>
          <w:b w:val="0"/>
          <w:i w:val="0"/>
        </w:rPr>
        <w:t xml:space="preserve"> — </w:t>
      </w:r>
      <w:hyperlink w:anchor="seeds">
        <w:r>
          <w:rPr>
            <w:color w:val="000000"/>
          </w:rPr>
          <w:t xml:space="preserve">Seeds</w:t>
        </w:r>
      </w:hyperlink>
    </w:p>
    <w:p>
      <w:pPr>
        <w:ind w:left="187" w:hanging="187"/>
      </w:pPr>
      <w:r>
        <w:t xml:space="preserve">• </w:t>
      </w:r>
      <w:r>
        <w:rPr>
          <w:b w:val="0"/>
          <w:i/>
        </w:rPr>
        <w:t>generare</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generatio</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generationis successio</w:t>
      </w:r>
      <w:r>
        <w:rPr>
          <w:b w:val="0"/>
          <w:i w:val="0"/>
        </w:rPr>
        <w:t xml:space="preserve"> — </w:t>
      </w:r>
      <w:hyperlink w:anchor="natural-species-and-succession">
        <w:r>
          <w:rPr>
            <w:color w:val="000000"/>
          </w:rPr>
          <w:t xml:space="preserve">Natural species and succession</w:t>
        </w:r>
      </w:hyperlink>
    </w:p>
    <w:p>
      <w:pPr>
        <w:ind w:left="187" w:hanging="187"/>
      </w:pPr>
      <w:r>
        <w:t xml:space="preserve">• </w:t>
      </w:r>
      <w:r>
        <w:rPr>
          <w:b w:val="0"/>
          <w:i/>
        </w:rPr>
        <w:t>genitum</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genus</w:t>
      </w:r>
      <w:r>
        <w:rPr>
          <w:b w:val="0"/>
          <w:i w:val="0"/>
        </w:rPr>
        <w:t xml:space="preserve"> — </w:t>
      </w:r>
      <w:hyperlink w:anchor="form">
        <w:r>
          <w:rPr>
            <w:color w:val="000000"/>
          </w:rPr>
          <w:t xml:space="preserve">Form</w:t>
        </w:r>
      </w:hyperlink>
    </w:p>
    <w:p>
      <w:pPr>
        <w:ind w:left="187" w:hanging="187"/>
      </w:pPr>
      <w:r>
        <w:t xml:space="preserve">• </w:t>
      </w:r>
      <w:r>
        <w:rPr>
          <w:b w:val="0"/>
          <w:i/>
        </w:rPr>
        <w:t>gignere</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gignit</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globi</w:t>
      </w:r>
      <w:r>
        <w:rPr>
          <w:b w:val="0"/>
          <w:i w:val="0"/>
        </w:rPr>
        <w:t xml:space="preserve"> — </w:t>
      </w:r>
      <w:hyperlink w:anchor="spheres-and-stars">
        <w:r>
          <w:rPr>
            <w:color w:val="000000"/>
          </w:rPr>
          <w:t xml:space="preserve">Spheres and stars</w:t>
        </w:r>
      </w:hyperlink>
    </w:p>
    <w:p>
      <w:pPr>
        <w:ind w:left="187" w:hanging="187"/>
      </w:pPr>
      <w:r>
        <w:t xml:space="preserve">• </w:t>
      </w:r>
      <w:r>
        <w:rPr>
          <w:b w:val="0"/>
          <w:i/>
        </w:rPr>
        <w:t>gradus</w:t>
      </w:r>
      <w:r>
        <w:rPr>
          <w:b w:val="0"/>
          <w:i w:val="0"/>
        </w:rPr>
        <w:t xml:space="preserve"> — </w:t>
      </w:r>
      <w:hyperlink w:anchor="ascent">
        <w:r>
          <w:rPr>
            <w:color w:val="000000"/>
          </w:rPr>
          <w:t xml:space="preserve">Ascent</w:t>
        </w:r>
      </w:hyperlink>
      <w:r>
        <w:rPr>
          <w:b w:val="0"/>
          <w:i w:val="0"/>
        </w:rPr>
        <w:t xml:space="preserve">; </w:t>
      </w:r>
      <w:hyperlink w:anchor="degree-and-mediation">
        <w:r>
          <w:rPr>
            <w:color w:val="000000"/>
          </w:rPr>
          <w:t xml:space="preserve">Degree and mediation</w:t>
        </w:r>
      </w:hyperlink>
      <w:r>
        <w:rPr>
          <w:b w:val="0"/>
          <w:i w:val="0"/>
        </w:rPr>
        <w:t xml:space="preserve">; </w:t>
      </w:r>
      <w:hyperlink w:anchor="measure-and-degree">
        <w:r>
          <w:rPr>
            <w:color w:val="000000"/>
          </w:rPr>
          <w:t xml:space="preserve">Measure and degree</w:t>
        </w:r>
      </w:hyperlink>
      <w:r>
        <w:rPr>
          <w:b w:val="0"/>
          <w:i w:val="0"/>
        </w:rPr>
        <w:t xml:space="preserve">; </w:t>
      </w:r>
      <w:hyperlink w:anchor="order-and-harmony">
        <w:r>
          <w:rPr>
            <w:color w:val="000000"/>
          </w:rPr>
          <w:t xml:space="preserve">Order and harmony</w:t>
        </w:r>
      </w:hyperlink>
    </w:p>
    <w:p>
      <w:pPr>
        <w:ind w:left="187" w:hanging="187"/>
      </w:pPr>
      <w:r>
        <w:t xml:space="preserve">• </w:t>
      </w:r>
      <w:r>
        <w:rPr>
          <w:b w:val="0"/>
          <w:i/>
        </w:rPr>
        <w:t>gradus minimus naturalis</w:t>
      </w:r>
      <w:r>
        <w:rPr>
          <w:b w:val="0"/>
          <w:i w:val="0"/>
        </w:rPr>
        <w:t xml:space="preserve"> — </w:t>
      </w:r>
      <w:hyperlink w:anchor="least-natural-degree">
        <w:r>
          <w:rPr>
            <w:color w:val="000000"/>
          </w:rPr>
          <w:t xml:space="preserve">Least natural degree</w:t>
        </w:r>
      </w:hyperlink>
    </w:p>
    <w:p>
      <w:pPr>
        <w:ind w:left="187" w:hanging="187"/>
      </w:pPr>
      <w:r>
        <w:t xml:space="preserve">• </w:t>
      </w:r>
      <w:r>
        <w:rPr>
          <w:b w:val="0"/>
          <w:i/>
        </w:rPr>
        <w:t>gubernare</w:t>
      </w:r>
      <w:r>
        <w:rPr>
          <w:b w:val="0"/>
          <w:i w:val="0"/>
        </w:rPr>
        <w:t xml:space="preserve"> — </w:t>
      </w:r>
      <w:hyperlink w:anchor="providence">
        <w:r>
          <w:rPr>
            <w:color w:val="000000"/>
          </w:rPr>
          <w:t xml:space="preserve">Providence</w:t>
        </w:r>
      </w:hyperlink>
    </w:p>
    <w:p>
      <w:pPr>
        <w:ind w:left="187" w:hanging="187"/>
      </w:pPr>
      <w:r>
        <w:t xml:space="preserve">• </w:t>
      </w:r>
      <w:r>
        <w:rPr>
          <w:b w:val="0"/>
          <w:i/>
        </w:rPr>
        <w:t>habitu</w:t>
      </w:r>
      <w:r>
        <w:rPr>
          <w:b w:val="0"/>
          <w:i w:val="0"/>
        </w:rPr>
        <w:t xml:space="preserve"> — </w:t>
      </w:r>
      <w:hyperlink w:anchor="habitual-possession">
        <w:r>
          <w:rPr>
            <w:color w:val="000000"/>
          </w:rPr>
          <w:t xml:space="preserve">Habitual possession</w:t>
        </w:r>
      </w:hyperlink>
    </w:p>
    <w:p>
      <w:pPr>
        <w:ind w:left="187" w:hanging="187"/>
      </w:pPr>
      <w:r>
        <w:t xml:space="preserve">• </w:t>
      </w:r>
      <w:r>
        <w:rPr>
          <w:b w:val="0"/>
          <w:i/>
        </w:rPr>
        <w:t>habitus</w:t>
      </w:r>
      <w:r>
        <w:rPr>
          <w:b w:val="0"/>
          <w:i w:val="0"/>
        </w:rPr>
        <w:t xml:space="preserve"> — </w:t>
      </w:r>
      <w:hyperlink w:anchor="power-and-potency">
        <w:r>
          <w:rPr>
            <w:color w:val="000000"/>
          </w:rPr>
          <w:t xml:space="preserve">Power and potency</w:t>
        </w:r>
      </w:hyperlink>
    </w:p>
    <w:p>
      <w:pPr>
        <w:ind w:left="187" w:hanging="187"/>
      </w:pPr>
      <w:r>
        <w:t xml:space="preserve">• </w:t>
      </w:r>
      <w:r>
        <w:rPr>
          <w:b w:val="0"/>
          <w:i/>
        </w:rPr>
        <w:t>idea</w:t>
      </w:r>
      <w:r>
        <w:rPr>
          <w:b w:val="0"/>
          <w:i w:val="0"/>
        </w:rPr>
        <w:t xml:space="preserve"> — </w:t>
      </w:r>
      <w:hyperlink w:anchor="ideas-and-exemplars">
        <w:r>
          <w:rPr>
            <w:color w:val="000000"/>
          </w:rPr>
          <w:t xml:space="preserve">Ideas and exemplars</w:t>
        </w:r>
      </w:hyperlink>
    </w:p>
    <w:p>
      <w:pPr>
        <w:ind w:left="187" w:hanging="187"/>
      </w:pPr>
      <w:r>
        <w:t xml:space="preserve">• </w:t>
      </w:r>
      <w:r>
        <w:rPr>
          <w:b w:val="0"/>
          <w:i/>
        </w:rPr>
        <w:t>ideae</w:t>
      </w:r>
      <w:r>
        <w:rPr>
          <w:b w:val="0"/>
          <w:i w:val="0"/>
        </w:rPr>
        <w:t xml:space="preserve"> — </w:t>
      </w:r>
      <w:hyperlink w:anchor="ideas-and-exemplars">
        <w:r>
          <w:rPr>
            <w:color w:val="000000"/>
          </w:rPr>
          <w:t xml:space="preserve">Ideas and exemplars</w:t>
        </w:r>
      </w:hyperlink>
    </w:p>
    <w:p>
      <w:pPr>
        <w:ind w:left="187" w:hanging="187"/>
      </w:pPr>
      <w:r>
        <w:t xml:space="preserve">• </w:t>
      </w:r>
      <w:r>
        <w:rPr>
          <w:b w:val="0"/>
          <w:i/>
        </w:rPr>
        <w:t>illuminare</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illustrare</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imaginatio</w:t>
      </w:r>
      <w:r>
        <w:rPr>
          <w:b w:val="0"/>
          <w:i w:val="0"/>
        </w:rPr>
        <w:t xml:space="preserve"> — </w:t>
      </w:r>
      <w:hyperlink w:anchor="sense-and-imagination">
        <w:r>
          <w:rPr>
            <w:color w:val="000000"/>
          </w:rPr>
          <w:t xml:space="preserve">Sense and imagination</w:t>
        </w:r>
      </w:hyperlink>
    </w:p>
    <w:p>
      <w:pPr>
        <w:ind w:left="187" w:hanging="187"/>
      </w:pPr>
      <w:r>
        <w:t xml:space="preserve">• </w:t>
      </w:r>
      <w:r>
        <w:rPr>
          <w:b w:val="0"/>
          <w:i/>
        </w:rPr>
        <w:t>imago</w:t>
      </w:r>
      <w:r>
        <w:rPr>
          <w:b w:val="0"/>
          <w:i w:val="0"/>
        </w:rPr>
        <w:t xml:space="preserve"> — </w:t>
      </w:r>
      <w:hyperlink w:anchor="image-and-likeness">
        <w:r>
          <w:rPr>
            <w:color w:val="000000"/>
          </w:rPr>
          <w:t xml:space="preserve">Image and likeness</w:t>
        </w:r>
      </w:hyperlink>
      <w:r>
        <w:rPr>
          <w:b w:val="0"/>
          <w:i w:val="0"/>
        </w:rPr>
        <w:t xml:space="preserve">; </w:t>
      </w:r>
      <w:hyperlink w:anchor="sense-and-imagination">
        <w:r>
          <w:rPr>
            <w:color w:val="000000"/>
          </w:rPr>
          <w:t xml:space="preserve">Sense and imagination</w:t>
        </w:r>
      </w:hyperlink>
    </w:p>
    <w:p>
      <w:pPr>
        <w:ind w:left="187" w:hanging="187"/>
      </w:pPr>
      <w:r>
        <w:t xml:space="preserve">• </w:t>
      </w:r>
      <w:r>
        <w:rPr>
          <w:b w:val="0"/>
          <w:i/>
        </w:rPr>
        <w:t>imitari</w:t>
      </w:r>
      <w:r>
        <w:rPr>
          <w:b w:val="0"/>
          <w:i w:val="0"/>
        </w:rPr>
        <w:t xml:space="preserve"> — </w:t>
      </w:r>
      <w:hyperlink w:anchor="image-and-likeness">
        <w:r>
          <w:rPr>
            <w:color w:val="000000"/>
          </w:rPr>
          <w:t xml:space="preserve">Image and likeness</w:t>
        </w:r>
      </w:hyperlink>
    </w:p>
    <w:p>
      <w:pPr>
        <w:ind w:left="187" w:hanging="187"/>
      </w:pPr>
      <w:r>
        <w:t xml:space="preserve">• </w:t>
      </w:r>
      <w:r>
        <w:rPr>
          <w:b w:val="0"/>
          <w:i/>
        </w:rPr>
        <w:t>immaterialis</w:t>
      </w:r>
      <w:r>
        <w:rPr>
          <w:b w:val="0"/>
          <w:i w:val="0"/>
        </w:rPr>
        <w:t xml:space="preserve"> — </w:t>
      </w:r>
      <w:hyperlink w:anchor="incorporeal-and-immaterial">
        <w:r>
          <w:rPr>
            <w:color w:val="000000"/>
          </w:rPr>
          <w:t xml:space="preserve">Incorporeal and immaterial</w:t>
        </w:r>
      </w:hyperlink>
    </w:p>
    <w:p>
      <w:pPr>
        <w:ind w:left="187" w:hanging="187"/>
      </w:pPr>
      <w:r>
        <w:t xml:space="preserve">• </w:t>
      </w:r>
      <w:r>
        <w:rPr>
          <w:b w:val="0"/>
          <w:i/>
        </w:rPr>
        <w:t>immensus</w:t>
      </w:r>
      <w:r>
        <w:rPr>
          <w:b w:val="0"/>
          <w:i w:val="0"/>
        </w:rPr>
        <w:t xml:space="preserve"> — </w:t>
      </w:r>
      <w:hyperlink w:anchor="infinity">
        <w:r>
          <w:rPr>
            <w:color w:val="000000"/>
          </w:rPr>
          <w:t xml:space="preserve">Infinity</w:t>
        </w:r>
      </w:hyperlink>
    </w:p>
    <w:p>
      <w:pPr>
        <w:ind w:left="187" w:hanging="187"/>
      </w:pPr>
      <w:r>
        <w:t xml:space="preserve">• </w:t>
      </w:r>
      <w:r>
        <w:rPr>
          <w:b w:val="0"/>
          <w:i/>
        </w:rPr>
        <w:t>immobilis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immobilis multitudo</w:t>
      </w:r>
      <w:r>
        <w:rPr>
          <w:b w:val="0"/>
          <w:i w:val="0"/>
        </w:rPr>
        <w:t xml:space="preserve"> — </w:t>
      </w:r>
      <w:hyperlink w:anchor="unity-and-multiplicity">
        <w:r>
          <w:rPr>
            <w:color w:val="000000"/>
          </w:rPr>
          <w:t xml:space="preserve">Unity and multiplicity</w:t>
        </w:r>
      </w:hyperlink>
    </w:p>
    <w:p>
      <w:pPr>
        <w:ind w:left="187" w:hanging="187"/>
      </w:pPr>
      <w:r>
        <w:t xml:space="preserve">• </w:t>
      </w:r>
      <w:r>
        <w:rPr>
          <w:b w:val="0"/>
          <w:i/>
        </w:rPr>
        <w:t>immobilis unitas</w:t>
      </w:r>
      <w:r>
        <w:rPr>
          <w:b w:val="0"/>
          <w:i w:val="0"/>
        </w:rPr>
        <w:t xml:space="preserve"> — </w:t>
      </w:r>
      <w:hyperlink w:anchor="god">
        <w:r>
          <w:rPr>
            <w:color w:val="000000"/>
          </w:rPr>
          <w:t xml:space="preserve">God</w:t>
        </w:r>
      </w:hyperlink>
      <w:r>
        <w:rPr>
          <w:b w:val="0"/>
          <w:i w:val="0"/>
        </w:rPr>
        <w:t xml:space="preserve">; </w:t>
      </w:r>
      <w:hyperlink w:anchor="unity-and-multiplicity">
        <w:r>
          <w:rPr>
            <w:color w:val="000000"/>
          </w:rPr>
          <w:t xml:space="preserve">Unity and multiplicity</w:t>
        </w:r>
      </w:hyperlink>
    </w:p>
    <w:p>
      <w:pPr>
        <w:ind w:left="187" w:hanging="187"/>
      </w:pPr>
      <w:r>
        <w:t xml:space="preserve">• </w:t>
      </w:r>
      <w:r>
        <w:rPr>
          <w:b w:val="0"/>
          <w:i/>
        </w:rPr>
        <w:t>immortalis</w:t>
      </w:r>
      <w:r>
        <w:rPr>
          <w:b w:val="0"/>
          <w:i w:val="0"/>
        </w:rPr>
        <w:t xml:space="preserve"> — </w:t>
      </w:r>
      <w:hyperlink w:anchor="immortality">
        <w:r>
          <w:rPr>
            <w:color w:val="000000"/>
          </w:rPr>
          <w:t xml:space="preserve">Immortality</w:t>
        </w:r>
      </w:hyperlink>
    </w:p>
    <w:p>
      <w:pPr>
        <w:ind w:left="187" w:hanging="187"/>
      </w:pPr>
      <w:r>
        <w:t xml:space="preserve">• </w:t>
      </w:r>
      <w:r>
        <w:rPr>
          <w:b w:val="0"/>
          <w:i/>
        </w:rPr>
        <w:t>immortalitas</w:t>
      </w:r>
      <w:r>
        <w:rPr>
          <w:b w:val="0"/>
          <w:i w:val="0"/>
        </w:rPr>
        <w:t xml:space="preserve"> — </w:t>
      </w:r>
      <w:hyperlink w:anchor="immortality">
        <w:r>
          <w:rPr>
            <w:color w:val="000000"/>
          </w:rPr>
          <w:t xml:space="preserve">Immortality</w:t>
        </w:r>
      </w:hyperlink>
    </w:p>
    <w:p>
      <w:pPr>
        <w:ind w:left="187" w:hanging="187"/>
      </w:pPr>
      <w:r>
        <w:t xml:space="preserve">• </w:t>
      </w:r>
      <w:r>
        <w:rPr>
          <w:b w:val="0"/>
          <w:i/>
        </w:rPr>
        <w:t>immutabilis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impartire</w:t>
      </w:r>
      <w:r>
        <w:rPr>
          <w:b w:val="0"/>
          <w:i w:val="0"/>
        </w:rPr>
        <w:t xml:space="preserve"> — </w:t>
      </w:r>
      <w:hyperlink w:anchor="communication-and-imparting">
        <w:r>
          <w:rPr>
            <w:color w:val="000000"/>
          </w:rPr>
          <w:t xml:space="preserve">Communication and imparting</w:t>
        </w:r>
      </w:hyperlink>
    </w:p>
    <w:p>
      <w:pPr>
        <w:ind w:left="187" w:hanging="187"/>
      </w:pPr>
      <w:r>
        <w:t xml:space="preserve">• </w:t>
      </w:r>
      <w:r>
        <w:rPr>
          <w:b w:val="0"/>
          <w:i/>
        </w:rPr>
        <w:t>imperfectus</w:t>
      </w:r>
      <w:r>
        <w:rPr>
          <w:b w:val="0"/>
          <w:i w:val="0"/>
        </w:rPr>
        <w:t xml:space="preserve"> — </w:t>
      </w:r>
      <w:hyperlink w:anchor="perfection">
        <w:r>
          <w:rPr>
            <w:color w:val="000000"/>
          </w:rPr>
          <w:t xml:space="preserve">Perfection</w:t>
        </w:r>
      </w:hyperlink>
    </w:p>
    <w:p>
      <w:pPr>
        <w:ind w:left="187" w:hanging="187"/>
      </w:pPr>
      <w:r>
        <w:t xml:space="preserve">• </w:t>
      </w:r>
      <w:r>
        <w:rPr>
          <w:b w:val="0"/>
          <w:i/>
        </w:rPr>
        <w:t>impertire</w:t>
      </w:r>
      <w:r>
        <w:rPr>
          <w:b w:val="0"/>
          <w:i w:val="0"/>
        </w:rPr>
        <w:t xml:space="preserve"> — </w:t>
      </w:r>
      <w:hyperlink w:anchor="communication-and-imparting">
        <w:r>
          <w:rPr>
            <w:color w:val="000000"/>
          </w:rPr>
          <w:t xml:space="preserve">Communication and imparting</w:t>
        </w:r>
      </w:hyperlink>
    </w:p>
    <w:p>
      <w:pPr>
        <w:ind w:left="187" w:hanging="187"/>
      </w:pPr>
      <w:r>
        <w:t xml:space="preserve">• </w:t>
      </w:r>
      <w:r>
        <w:rPr>
          <w:b w:val="0"/>
          <w:i/>
        </w:rPr>
        <w:t>implicare</w:t>
      </w:r>
      <w:r>
        <w:rPr>
          <w:b w:val="0"/>
          <w:i w:val="0"/>
        </w:rPr>
        <w:t xml:space="preserve"> — </w:t>
      </w:r>
      <w:hyperlink w:anchor="procession-and-return">
        <w:r>
          <w:rPr>
            <w:color w:val="000000"/>
          </w:rPr>
          <w:t xml:space="preserve">Procession and return</w:t>
        </w:r>
      </w:hyperlink>
    </w:p>
    <w:p>
      <w:pPr>
        <w:ind w:left="187" w:hanging="187"/>
      </w:pPr>
      <w:r>
        <w:t xml:space="preserve">• </w:t>
      </w:r>
      <w:r>
        <w:rPr>
          <w:b w:val="0"/>
          <w:i/>
        </w:rPr>
        <w:t>in aeternitate</w:t>
      </w:r>
      <w:r>
        <w:rPr>
          <w:b w:val="0"/>
          <w:i w:val="0"/>
        </w:rPr>
        <w:t xml:space="preserve"> — </w:t>
      </w:r>
      <w:hyperlink w:anchor="spheres-and-stars">
        <w:r>
          <w:rPr>
            <w:color w:val="000000"/>
          </w:rPr>
          <w:t xml:space="preserve">Spheres and stars</w:t>
        </w:r>
      </w:hyperlink>
    </w:p>
    <w:p>
      <w:pPr>
        <w:ind w:left="187" w:hanging="187"/>
      </w:pPr>
      <w:r>
        <w:t xml:space="preserve">• </w:t>
      </w:r>
      <w:r>
        <w:rPr>
          <w:b w:val="0"/>
          <w:i/>
        </w:rPr>
        <w:t>in circulum</w:t>
      </w:r>
      <w:r>
        <w:rPr>
          <w:b w:val="0"/>
          <w:i w:val="0"/>
        </w:rPr>
        <w:t xml:space="preserve"> — </w:t>
      </w:r>
      <w:hyperlink w:anchor="circularity-and-return">
        <w:r>
          <w:rPr>
            <w:color w:val="000000"/>
          </w:rPr>
          <w:t xml:space="preserve">Circularity and return</w:t>
        </w:r>
      </w:hyperlink>
    </w:p>
    <w:p>
      <w:pPr>
        <w:ind w:left="187" w:hanging="187"/>
      </w:pPr>
      <w:r>
        <w:t xml:space="preserve">• </w:t>
      </w:r>
      <w:r>
        <w:rPr>
          <w:b w:val="0"/>
          <w:i/>
        </w:rPr>
        <w:t>in infinitum</w:t>
      </w:r>
      <w:r>
        <w:rPr>
          <w:b w:val="0"/>
          <w:i w:val="0"/>
        </w:rPr>
        <w:t xml:space="preserve"> — </w:t>
      </w:r>
      <w:hyperlink w:anchor="infinity">
        <w:r>
          <w:rPr>
            <w:color w:val="000000"/>
          </w:rPr>
          <w:t xml:space="preserve">Infinity</w:t>
        </w:r>
      </w:hyperlink>
    </w:p>
    <w:p>
      <w:pPr>
        <w:ind w:left="187" w:hanging="187"/>
      </w:pPr>
      <w:r>
        <w:t xml:space="preserve">• </w:t>
      </w:r>
      <w:r>
        <w:rPr>
          <w:b w:val="0"/>
          <w:i/>
        </w:rPr>
        <w:t>incerta materia</w:t>
      </w:r>
      <w:r>
        <w:rPr>
          <w:b w:val="0"/>
          <w:i w:val="0"/>
        </w:rPr>
        <w:t xml:space="preserve"> — </w:t>
      </w:r>
      <w:hyperlink w:anchor="separation-and-abstraction">
        <w:r>
          <w:rPr>
            <w:color w:val="000000"/>
          </w:rPr>
          <w:t xml:space="preserve">Separation and abstraction</w:t>
        </w:r>
      </w:hyperlink>
    </w:p>
    <w:p>
      <w:pPr>
        <w:ind w:left="187" w:hanging="187"/>
      </w:pPr>
      <w:r>
        <w:t xml:space="preserve">• </w:t>
      </w:r>
      <w:r>
        <w:rPr>
          <w:b w:val="0"/>
          <w:i/>
        </w:rPr>
        <w:t>incitamentum boni</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inclinatio</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inclinatio mentis ad bonum</w:t>
      </w:r>
      <w:r>
        <w:rPr>
          <w:b w:val="0"/>
          <w:i w:val="0"/>
        </w:rPr>
        <w:t xml:space="preserve"> — </w:t>
      </w:r>
      <w:hyperlink w:anchor="will">
        <w:r>
          <w:rPr>
            <w:color w:val="000000"/>
          </w:rPr>
          <w:t xml:space="preserve">Will</w:t>
        </w:r>
      </w:hyperlink>
    </w:p>
    <w:p>
      <w:pPr>
        <w:ind w:left="187" w:hanging="187"/>
      </w:pPr>
      <w:r>
        <w:t xml:space="preserve">• </w:t>
      </w:r>
      <w:r>
        <w:rPr>
          <w:b w:val="0"/>
          <w:i/>
        </w:rPr>
        <w:t>incorporalis</w:t>
      </w:r>
      <w:r>
        <w:rPr>
          <w:b w:val="0"/>
          <w:i w:val="0"/>
        </w:rPr>
        <w:t xml:space="preserve"> — </w:t>
      </w:r>
      <w:hyperlink w:anchor="incorporeal-and-immaterial">
        <w:r>
          <w:rPr>
            <w:color w:val="000000"/>
          </w:rPr>
          <w:t xml:space="preserve">Incorporeal and immaterial</w:t>
        </w:r>
      </w:hyperlink>
    </w:p>
    <w:p>
      <w:pPr>
        <w:ind w:left="187" w:hanging="187"/>
      </w:pPr>
      <w:r>
        <w:t xml:space="preserve">• </w:t>
      </w:r>
      <w:r>
        <w:rPr>
          <w:b w:val="0"/>
          <w:i/>
        </w:rPr>
        <w:t>incorporeus</w:t>
      </w:r>
      <w:r>
        <w:rPr>
          <w:b w:val="0"/>
          <w:i w:val="0"/>
        </w:rPr>
        <w:t xml:space="preserve"> — </w:t>
      </w:r>
      <w:hyperlink w:anchor="incorporeal-and-immaterial">
        <w:r>
          <w:rPr>
            <w:color w:val="000000"/>
          </w:rPr>
          <w:t xml:space="preserve">Incorporeal and immaterial</w:t>
        </w:r>
      </w:hyperlink>
    </w:p>
    <w:p>
      <w:pPr>
        <w:ind w:left="187" w:hanging="187"/>
      </w:pPr>
      <w:r>
        <w:t xml:space="preserve">• </w:t>
      </w:r>
      <w:r>
        <w:rPr>
          <w:b w:val="0"/>
          <w:i/>
        </w:rPr>
        <w:t>indigentia</w:t>
      </w:r>
      <w:r>
        <w:rPr>
          <w:b w:val="0"/>
          <w:i w:val="0"/>
        </w:rPr>
        <w:t xml:space="preserve"> — </w:t>
      </w:r>
      <w:hyperlink w:anchor="need-and-sufficiency">
        <w:r>
          <w:rPr>
            <w:color w:val="000000"/>
          </w:rPr>
          <w:t xml:space="preserve">Need and sufficiency</w:t>
        </w:r>
      </w:hyperlink>
    </w:p>
    <w:p>
      <w:pPr>
        <w:ind w:left="187" w:hanging="187"/>
      </w:pPr>
      <w:r>
        <w:t xml:space="preserve">• </w:t>
      </w:r>
      <w:r>
        <w:rPr>
          <w:b w:val="0"/>
          <w:i/>
        </w:rPr>
        <w:t>indigere</w:t>
      </w:r>
      <w:r>
        <w:rPr>
          <w:b w:val="0"/>
          <w:i w:val="0"/>
        </w:rPr>
        <w:t xml:space="preserve"> — </w:t>
      </w:r>
      <w:hyperlink w:anchor="need-and-sufficiency">
        <w:r>
          <w:rPr>
            <w:color w:val="000000"/>
          </w:rPr>
          <w:t xml:space="preserve">Need and sufficiency</w:t>
        </w:r>
      </w:hyperlink>
    </w:p>
    <w:p>
      <w:pPr>
        <w:ind w:left="187" w:hanging="187"/>
      </w:pPr>
      <w:r>
        <w:t xml:space="preserve">• </w:t>
      </w:r>
      <w:r>
        <w:rPr>
          <w:b w:val="0"/>
          <w:i/>
        </w:rPr>
        <w:t>indissolubilis</w:t>
      </w:r>
      <w:r>
        <w:rPr>
          <w:b w:val="0"/>
          <w:i w:val="0"/>
        </w:rPr>
        <w:t xml:space="preserve"> — </w:t>
      </w:r>
      <w:hyperlink w:anchor="immortality">
        <w:r>
          <w:rPr>
            <w:color w:val="000000"/>
          </w:rPr>
          <w:t xml:space="preserve">Immortality</w:t>
        </w:r>
      </w:hyperlink>
    </w:p>
    <w:p>
      <w:pPr>
        <w:ind w:left="187" w:hanging="187"/>
      </w:pPr>
      <w:r>
        <w:t xml:space="preserve">• </w:t>
      </w:r>
      <w:r>
        <w:rPr>
          <w:b w:val="0"/>
          <w:i/>
        </w:rPr>
        <w:t>individuus</w:t>
      </w:r>
      <w:r>
        <w:rPr>
          <w:b w:val="0"/>
          <w:i w:val="0"/>
        </w:rPr>
        <w:t xml:space="preserve"> — </w:t>
      </w:r>
      <w:hyperlink w:anchor="indivisibility">
        <w:r>
          <w:rPr>
            <w:color w:val="000000"/>
          </w:rPr>
          <w:t xml:space="preserve">Indivisibility</w:t>
        </w:r>
      </w:hyperlink>
    </w:p>
    <w:p>
      <w:pPr>
        <w:ind w:left="187" w:hanging="187"/>
      </w:pPr>
      <w:r>
        <w:t xml:space="preserve">• </w:t>
      </w:r>
      <w:r>
        <w:rPr>
          <w:b w:val="0"/>
          <w:i/>
        </w:rPr>
        <w:t>indivisibilis</w:t>
      </w:r>
      <w:r>
        <w:rPr>
          <w:b w:val="0"/>
          <w:i w:val="0"/>
        </w:rPr>
        <w:t xml:space="preserve"> — </w:t>
      </w:r>
      <w:hyperlink w:anchor="indivisibility">
        <w:r>
          <w:rPr>
            <w:color w:val="000000"/>
          </w:rPr>
          <w:t xml:space="preserve">Indivisibility</w:t>
        </w:r>
      </w:hyperlink>
    </w:p>
    <w:p>
      <w:pPr>
        <w:ind w:left="187" w:hanging="187"/>
      </w:pPr>
      <w:r>
        <w:t xml:space="preserve">• </w:t>
      </w:r>
      <w:r>
        <w:rPr>
          <w:b w:val="0"/>
          <w:i/>
        </w:rPr>
        <w:t>inesse</w:t>
      </w:r>
      <w:r>
        <w:rPr>
          <w:b w:val="0"/>
          <w:i w:val="0"/>
        </w:rPr>
        <w:t xml:space="preserve"> — </w:t>
      </w:r>
      <w:hyperlink w:anchor="indwelling-and-presence">
        <w:r>
          <w:rPr>
            <w:color w:val="000000"/>
          </w:rPr>
          <w:t xml:space="preserve">Indwelling and presence</w:t>
        </w:r>
      </w:hyperlink>
    </w:p>
    <w:p>
      <w:pPr>
        <w:ind w:left="187" w:hanging="187"/>
      </w:pPr>
      <w:r>
        <w:t xml:space="preserve">• </w:t>
      </w:r>
      <w:r>
        <w:rPr>
          <w:b w:val="0"/>
          <w:i/>
        </w:rPr>
        <w:t>infelix</w:t>
      </w:r>
      <w:r>
        <w:rPr>
          <w:b w:val="0"/>
          <w:i w:val="0"/>
        </w:rPr>
        <w:t xml:space="preserve"> — </w:t>
      </w:r>
      <w:hyperlink w:anchor="blessedness">
        <w:r>
          <w:rPr>
            <w:color w:val="000000"/>
          </w:rPr>
          <w:t xml:space="preserve">Blessedness</w:t>
        </w:r>
      </w:hyperlink>
    </w:p>
    <w:p>
      <w:pPr>
        <w:ind w:left="187" w:hanging="187"/>
      </w:pPr>
      <w:r>
        <w:t xml:space="preserve">• </w:t>
      </w:r>
      <w:r>
        <w:rPr>
          <w:b w:val="0"/>
          <w:i/>
        </w:rPr>
        <w:t>inferiora</w:t>
      </w:r>
      <w:r>
        <w:rPr>
          <w:b w:val="0"/>
          <w:i w:val="0"/>
        </w:rPr>
        <w:t xml:space="preserve"> — </w:t>
      </w:r>
      <w:hyperlink w:anchor="degree-and-mediation">
        <w:r>
          <w:rPr>
            <w:color w:val="000000"/>
          </w:rPr>
          <w:t xml:space="preserve">Degree and mediation</w:t>
        </w:r>
      </w:hyperlink>
    </w:p>
    <w:p>
      <w:pPr>
        <w:ind w:left="187" w:hanging="187"/>
      </w:pPr>
      <w:r>
        <w:t xml:space="preserve">• </w:t>
      </w:r>
      <w:r>
        <w:rPr>
          <w:b w:val="0"/>
          <w:i/>
        </w:rPr>
        <w:t>infima</w:t>
      </w:r>
      <w:r>
        <w:rPr>
          <w:b w:val="0"/>
          <w:i w:val="0"/>
        </w:rPr>
        <w:t xml:space="preserve"> — </w:t>
      </w:r>
      <w:hyperlink w:anchor="universals-and-individuals">
        <w:r>
          <w:rPr>
            <w:color w:val="000000"/>
          </w:rPr>
          <w:t xml:space="preserve">Universals and individuals</w:t>
        </w:r>
      </w:hyperlink>
    </w:p>
    <w:p>
      <w:pPr>
        <w:ind w:left="187" w:hanging="187"/>
      </w:pPr>
      <w:r>
        <w:t xml:space="preserve">• </w:t>
      </w:r>
      <w:r>
        <w:rPr>
          <w:b w:val="0"/>
          <w:i/>
        </w:rPr>
        <w:t>infinita</w:t>
      </w:r>
      <w:r>
        <w:rPr>
          <w:b w:val="0"/>
          <w:i w:val="0"/>
        </w:rPr>
        <w:t xml:space="preserve"> — </w:t>
      </w:r>
      <w:hyperlink w:anchor="infinity">
        <w:r>
          <w:rPr>
            <w:color w:val="000000"/>
          </w:rPr>
          <w:t xml:space="preserve">Infinity</w:t>
        </w:r>
      </w:hyperlink>
    </w:p>
    <w:p>
      <w:pPr>
        <w:ind w:left="187" w:hanging="187"/>
      </w:pPr>
      <w:r>
        <w:t xml:space="preserve">• </w:t>
      </w:r>
      <w:r>
        <w:rPr>
          <w:b w:val="0"/>
          <w:i/>
        </w:rPr>
        <w:t>infinitas</w:t>
      </w:r>
      <w:r>
        <w:rPr>
          <w:b w:val="0"/>
          <w:i w:val="0"/>
        </w:rPr>
        <w:t xml:space="preserve"> — </w:t>
      </w:r>
      <w:hyperlink w:anchor="infinity">
        <w:r>
          <w:rPr>
            <w:color w:val="000000"/>
          </w:rPr>
          <w:t xml:space="preserve">Infinity</w:t>
        </w:r>
      </w:hyperlink>
    </w:p>
    <w:p>
      <w:pPr>
        <w:ind w:left="187" w:hanging="187"/>
      </w:pPr>
      <w:r>
        <w:t xml:space="preserve">• </w:t>
      </w:r>
      <w:r>
        <w:rPr>
          <w:b w:val="0"/>
          <w:i/>
        </w:rPr>
        <w:t>infinitum bonum</w:t>
      </w:r>
      <w:r>
        <w:rPr>
          <w:b w:val="0"/>
          <w:i w:val="0"/>
        </w:rPr>
        <w:t xml:space="preserve"> — </w:t>
      </w:r>
      <w:hyperlink w:anchor="good-and-goodness">
        <w:r>
          <w:rPr>
            <w:color w:val="000000"/>
          </w:rPr>
          <w:t xml:space="preserve">Good and goodness</w:t>
        </w:r>
      </w:hyperlink>
    </w:p>
    <w:p>
      <w:pPr>
        <w:ind w:left="187" w:hanging="187"/>
      </w:pPr>
      <w:r>
        <w:t xml:space="preserve">• </w:t>
      </w:r>
      <w:r>
        <w:rPr>
          <w:b w:val="0"/>
          <w:i/>
        </w:rPr>
        <w:t>infinitus</w:t>
      </w:r>
      <w:r>
        <w:rPr>
          <w:b w:val="0"/>
          <w:i w:val="0"/>
        </w:rPr>
        <w:t xml:space="preserve"> — </w:t>
      </w:r>
      <w:hyperlink w:anchor="infinity">
        <w:r>
          <w:rPr>
            <w:color w:val="000000"/>
          </w:rPr>
          <w:t xml:space="preserve">Infinity</w:t>
        </w:r>
      </w:hyperlink>
      <w:r>
        <w:rPr>
          <w:b w:val="0"/>
          <w:i w:val="0"/>
        </w:rPr>
        <w:t xml:space="preserve">; </w:t>
      </w:r>
      <w:hyperlink w:anchor="number">
        <w:r>
          <w:rPr>
            <w:color w:val="000000"/>
          </w:rPr>
          <w:t xml:space="preserve">Number</w:t>
        </w:r>
      </w:hyperlink>
    </w:p>
    <w:p>
      <w:pPr>
        <w:ind w:left="187" w:hanging="187"/>
      </w:pPr>
      <w:r>
        <w:t xml:space="preserve">• </w:t>
      </w:r>
      <w:r>
        <w:rPr>
          <w:b w:val="0"/>
          <w:i/>
        </w:rPr>
        <w:t>infinitus finis</w:t>
      </w:r>
      <w:r>
        <w:rPr>
          <w:b w:val="0"/>
          <w:i w:val="0"/>
        </w:rPr>
        <w:t xml:space="preserve"> — </w:t>
      </w:r>
      <w:hyperlink w:anchor="end-and-limit">
        <w:r>
          <w:rPr>
            <w:color w:val="000000"/>
          </w:rPr>
          <w:t xml:space="preserve">End and limit</w:t>
        </w:r>
      </w:hyperlink>
    </w:p>
    <w:p>
      <w:pPr>
        <w:ind w:left="187" w:hanging="187"/>
      </w:pPr>
      <w:r>
        <w:t xml:space="preserve">• </w:t>
      </w:r>
      <w:r>
        <w:rPr>
          <w:b w:val="0"/>
          <w:i/>
        </w:rPr>
        <w:t>influxibus</w:t>
      </w:r>
      <w:r>
        <w:rPr>
          <w:b w:val="0"/>
          <w:i w:val="0"/>
        </w:rPr>
        <w:t xml:space="preserve"> — </w:t>
      </w:r>
      <w:hyperlink w:anchor="celestial-influence">
        <w:r>
          <w:rPr>
            <w:color w:val="000000"/>
          </w:rPr>
          <w:t xml:space="preserve">Celestial influence</w:t>
        </w:r>
      </w:hyperlink>
    </w:p>
    <w:p>
      <w:pPr>
        <w:ind w:left="187" w:hanging="187"/>
      </w:pPr>
      <w:r>
        <w:t xml:space="preserve">• </w:t>
      </w:r>
      <w:r>
        <w:rPr>
          <w:b w:val="0"/>
          <w:i/>
        </w:rPr>
        <w:t>influxus</w:t>
      </w:r>
      <w:r>
        <w:rPr>
          <w:b w:val="0"/>
          <w:i w:val="0"/>
        </w:rPr>
        <w:t xml:space="preserve"> — </w:t>
      </w:r>
      <w:hyperlink w:anchor="celestial-influence">
        <w:r>
          <w:rPr>
            <w:color w:val="000000"/>
          </w:rPr>
          <w:t xml:space="preserve">Celestial influence</w:t>
        </w:r>
      </w:hyperlink>
      <w:r>
        <w:rPr>
          <w:b w:val="0"/>
          <w:i w:val="0"/>
        </w:rPr>
        <w:t xml:space="preserve">; </w:t>
      </w:r>
      <w:hyperlink w:anchor="conservation-and-preservation">
        <w:r>
          <w:rPr>
            <w:color w:val="000000"/>
          </w:rPr>
          <w:t xml:space="preserve">Conservation and preservation</w:t>
        </w:r>
      </w:hyperlink>
    </w:p>
    <w:p>
      <w:pPr>
        <w:ind w:left="187" w:hanging="187"/>
      </w:pPr>
      <w:r>
        <w:t xml:space="preserve">• </w:t>
      </w:r>
      <w:r>
        <w:rPr>
          <w:b w:val="0"/>
          <w:i/>
        </w:rPr>
        <w:t>infusio</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innumerabiles</w:t>
      </w:r>
      <w:r>
        <w:rPr>
          <w:b w:val="0"/>
          <w:i w:val="0"/>
        </w:rPr>
        <w:t xml:space="preserve"> — </w:t>
      </w:r>
      <w:hyperlink w:anchor="infinity">
        <w:r>
          <w:rPr>
            <w:color w:val="000000"/>
          </w:rPr>
          <w:t xml:space="preserve">Infinity</w:t>
        </w:r>
      </w:hyperlink>
    </w:p>
    <w:p>
      <w:pPr>
        <w:ind w:left="187" w:hanging="187"/>
      </w:pPr>
      <w:r>
        <w:t xml:space="preserve">• </w:t>
      </w:r>
      <w:r>
        <w:rPr>
          <w:b w:val="0"/>
          <w:i/>
        </w:rPr>
        <w:t>innumerabilis</w:t>
      </w:r>
      <w:r>
        <w:rPr>
          <w:b w:val="0"/>
          <w:i w:val="0"/>
        </w:rPr>
        <w:t xml:space="preserve"> — </w:t>
      </w:r>
      <w:hyperlink w:anchor="infinity">
        <w:r>
          <w:rPr>
            <w:color w:val="000000"/>
          </w:rPr>
          <w:t xml:space="preserve">Infinity</w:t>
        </w:r>
      </w:hyperlink>
    </w:p>
    <w:p>
      <w:pPr>
        <w:ind w:left="187" w:hanging="187"/>
      </w:pPr>
      <w:r>
        <w:t xml:space="preserve">• </w:t>
      </w:r>
      <w:r>
        <w:rPr>
          <w:b w:val="0"/>
          <w:i/>
        </w:rPr>
        <w:t>innumerus</w:t>
      </w:r>
      <w:r>
        <w:rPr>
          <w:b w:val="0"/>
          <w:i w:val="0"/>
        </w:rPr>
        <w:t xml:space="preserve"> — </w:t>
      </w:r>
      <w:hyperlink w:anchor="infinity">
        <w:r>
          <w:rPr>
            <w:color w:val="000000"/>
          </w:rPr>
          <w:t xml:space="preserve">Infinity</w:t>
        </w:r>
      </w:hyperlink>
      <w:r>
        <w:rPr>
          <w:b w:val="0"/>
          <w:i w:val="0"/>
        </w:rPr>
        <w:t xml:space="preserve">; </w:t>
      </w:r>
      <w:hyperlink w:anchor="number">
        <w:r>
          <w:rPr>
            <w:color w:val="000000"/>
          </w:rPr>
          <w:t xml:space="preserve">Number</w:t>
        </w:r>
      </w:hyperlink>
    </w:p>
    <w:p>
      <w:pPr>
        <w:ind w:left="187" w:hanging="187"/>
      </w:pPr>
      <w:r>
        <w:t xml:space="preserve">• </w:t>
      </w:r>
      <w:r>
        <w:rPr>
          <w:b w:val="0"/>
          <w:i/>
        </w:rPr>
        <w:t>inquinare</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insita</w:t>
      </w:r>
      <w:r>
        <w:rPr>
          <w:b w:val="0"/>
          <w:i w:val="0"/>
        </w:rPr>
        <w:t xml:space="preserve"> — </w:t>
      </w:r>
      <w:hyperlink w:anchor="indwelling-and-presence">
        <w:r>
          <w:rPr>
            <w:color w:val="000000"/>
          </w:rPr>
          <w:t xml:space="preserve">Indwelling and presence</w:t>
        </w:r>
      </w:hyperlink>
    </w:p>
    <w:p>
      <w:pPr>
        <w:ind w:left="187" w:hanging="187"/>
      </w:pPr>
      <w:r>
        <w:t xml:space="preserve">• </w:t>
      </w:r>
      <w:r>
        <w:rPr>
          <w:b w:val="0"/>
          <w:i/>
        </w:rPr>
        <w:t>instinctum essentialem</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instrumenta</w:t>
      </w:r>
      <w:r>
        <w:rPr>
          <w:b w:val="0"/>
          <w:i w:val="0"/>
        </w:rPr>
        <w:t xml:space="preserve"> — </w:t>
      </w:r>
      <w:hyperlink w:anchor="art-and-nature">
        <w:r>
          <w:rPr>
            <w:color w:val="000000"/>
          </w:rPr>
          <w:t xml:space="preserve">Art and nature</w:t>
        </w:r>
      </w:hyperlink>
      <w:r>
        <w:rPr>
          <w:b w:val="0"/>
          <w:i w:val="0"/>
        </w:rPr>
        <w:t xml:space="preserve">; </w:t>
      </w:r>
      <w:hyperlink w:anchor="instrument">
        <w:r>
          <w:rPr>
            <w:color w:val="000000"/>
          </w:rPr>
          <w:t xml:space="preserve">Instrument</w:t>
        </w:r>
      </w:hyperlink>
    </w:p>
    <w:p>
      <w:pPr>
        <w:ind w:left="187" w:hanging="187"/>
      </w:pPr>
      <w:r>
        <w:t xml:space="preserve">• </w:t>
      </w:r>
      <w:r>
        <w:rPr>
          <w:b w:val="0"/>
          <w:i/>
        </w:rPr>
        <w:t>instrumentum</w:t>
      </w:r>
      <w:r>
        <w:rPr>
          <w:b w:val="0"/>
          <w:i w:val="0"/>
        </w:rPr>
        <w:t xml:space="preserve"> — </w:t>
      </w:r>
      <w:hyperlink w:anchor="instrument">
        <w:r>
          <w:rPr>
            <w:color w:val="000000"/>
          </w:rPr>
          <w:t xml:space="preserve">Instrument</w:t>
        </w:r>
      </w:hyperlink>
    </w:p>
    <w:p>
      <w:pPr>
        <w:ind w:left="187" w:hanging="187"/>
      </w:pPr>
      <w:r>
        <w:t xml:space="preserve">• </w:t>
      </w:r>
      <w:r>
        <w:rPr>
          <w:b w:val="0"/>
          <w:i/>
        </w:rPr>
        <w:t>integer</w:t>
      </w:r>
      <w:r>
        <w:rPr>
          <w:b w:val="0"/>
          <w:i w:val="0"/>
        </w:rPr>
        <w:t xml:space="preserve"> — </w:t>
      </w:r>
      <w:hyperlink w:anchor="perfection">
        <w:r>
          <w:rPr>
            <w:color w:val="000000"/>
          </w:rPr>
          <w:t xml:space="preserve">Perfection</w:t>
        </w:r>
      </w:hyperlink>
    </w:p>
    <w:p>
      <w:pPr>
        <w:ind w:left="187" w:hanging="187"/>
      </w:pPr>
      <w:r>
        <w:t xml:space="preserve">• </w:t>
      </w:r>
      <w:r>
        <w:rPr>
          <w:b w:val="0"/>
          <w:i/>
        </w:rPr>
        <w:t>integerrimus</w:t>
      </w:r>
      <w:r>
        <w:rPr>
          <w:b w:val="0"/>
          <w:i w:val="0"/>
        </w:rPr>
        <w:t xml:space="preserve"> — </w:t>
      </w:r>
      <w:hyperlink w:anchor="perfection">
        <w:r>
          <w:rPr>
            <w:color w:val="000000"/>
          </w:rPr>
          <w:t xml:space="preserve">Perfection</w:t>
        </w:r>
      </w:hyperlink>
    </w:p>
    <w:p>
      <w:pPr>
        <w:ind w:left="187" w:hanging="187"/>
      </w:pPr>
      <w:r>
        <w:t xml:space="preserve">• </w:t>
      </w:r>
      <w:r>
        <w:rPr>
          <w:b w:val="0"/>
          <w:i/>
        </w:rPr>
        <w:t>integra elementa</w:t>
      </w:r>
      <w:r>
        <w:rPr>
          <w:b w:val="0"/>
          <w:i w:val="0"/>
        </w:rPr>
        <w:t xml:space="preserve"> — </w:t>
      </w:r>
      <w:hyperlink w:anchor="elements-and-their-spheres">
        <w:r>
          <w:rPr>
            <w:color w:val="000000"/>
          </w:rPr>
          <w:t xml:space="preserve">Elements and their spheres</w:t>
        </w:r>
      </w:hyperlink>
    </w:p>
    <w:p>
      <w:pPr>
        <w:ind w:left="187" w:hanging="187"/>
      </w:pPr>
      <w:r>
        <w:t xml:space="preserve">• </w:t>
      </w:r>
      <w:r>
        <w:rPr>
          <w:b w:val="0"/>
          <w:i/>
        </w:rPr>
        <w:t>integram</w:t>
      </w:r>
      <w:r>
        <w:rPr>
          <w:b w:val="0"/>
          <w:i w:val="0"/>
        </w:rPr>
        <w:t xml:space="preserve"> — </w:t>
      </w:r>
      <w:hyperlink w:anchor="whole-and-parts">
        <w:r>
          <w:rPr>
            <w:color w:val="000000"/>
          </w:rPr>
          <w:t xml:space="preserve">Whole and parts</w:t>
        </w:r>
      </w:hyperlink>
    </w:p>
    <w:p>
      <w:pPr>
        <w:ind w:left="187" w:hanging="187"/>
      </w:pPr>
      <w:r>
        <w:t xml:space="preserve">• </w:t>
      </w:r>
      <w:r>
        <w:rPr>
          <w:b w:val="0"/>
          <w:i/>
        </w:rPr>
        <w:t>integrum</w:t>
      </w:r>
      <w:r>
        <w:rPr>
          <w:b w:val="0"/>
          <w:i w:val="0"/>
        </w:rPr>
        <w:t xml:space="preserve"> — </w:t>
      </w:r>
      <w:hyperlink w:anchor="whole-and-parts">
        <w:r>
          <w:rPr>
            <w:color w:val="000000"/>
          </w:rPr>
          <w:t xml:space="preserve">Whole and parts</w:t>
        </w:r>
      </w:hyperlink>
    </w:p>
    <w:p>
      <w:pPr>
        <w:ind w:left="187" w:hanging="187"/>
      </w:pPr>
      <w:r>
        <w:t xml:space="preserve">• </w:t>
      </w:r>
      <w:r>
        <w:rPr>
          <w:b w:val="0"/>
          <w:i/>
        </w:rPr>
        <w:t>intellectio</w:t>
      </w:r>
      <w:r>
        <w:rPr>
          <w:b w:val="0"/>
          <w:i w:val="0"/>
        </w:rPr>
        <w:t xml:space="preserve"> — </w:t>
      </w:r>
      <w:hyperlink w:anchor="intellect-and-intellection">
        <w:r>
          <w:rPr>
            <w:color w:val="000000"/>
          </w:rPr>
          <w:t xml:space="preserve">Intellect and intellection</w:t>
        </w:r>
      </w:hyperlink>
      <w:r>
        <w:rPr>
          <w:b w:val="0"/>
          <w:i w:val="0"/>
        </w:rPr>
        <w:t xml:space="preserve">; </w:t>
      </w:r>
      <w:hyperlink w:anchor="spiritual-union">
        <w:r>
          <w:rPr>
            <w:color w:val="000000"/>
          </w:rPr>
          <w:t xml:space="preserve">Spiritual union</w:t>
        </w:r>
      </w:hyperlink>
    </w:p>
    <w:p>
      <w:pPr>
        <w:ind w:left="187" w:hanging="187"/>
      </w:pPr>
      <w:r>
        <w:t xml:space="preserve">• </w:t>
      </w:r>
      <w:r>
        <w:rPr>
          <w:b w:val="0"/>
          <w:i/>
        </w:rPr>
        <w:t>intellectualis</w:t>
      </w:r>
      <w:r>
        <w:rPr>
          <w:b w:val="0"/>
          <w:i w:val="0"/>
        </w:rPr>
        <w:t xml:space="preserve"> — </w:t>
      </w:r>
      <w:hyperlink w:anchor="intellect-and-intellection">
        <w:r>
          <w:rPr>
            <w:color w:val="000000"/>
          </w:rPr>
          <w:t xml:space="preserve">Intellect and intellection</w:t>
        </w:r>
      </w:hyperlink>
    </w:p>
    <w:p>
      <w:pPr>
        <w:ind w:left="187" w:hanging="187"/>
      </w:pPr>
      <w:r>
        <w:t xml:space="preserve">• </w:t>
      </w:r>
      <w:r>
        <w:rPr>
          <w:b w:val="0"/>
          <w:i/>
        </w:rPr>
        <w:t>intellectus</w:t>
      </w:r>
      <w:r>
        <w:rPr>
          <w:b w:val="0"/>
          <w:i w:val="0"/>
        </w:rPr>
        <w:t xml:space="preserve"> — </w:t>
      </w:r>
      <w:hyperlink w:anchor="intellect-and-intellection">
        <w:r>
          <w:rPr>
            <w:color w:val="000000"/>
          </w:rPr>
          <w:t xml:space="preserve">Intellect and intellection</w:t>
        </w:r>
      </w:hyperlink>
    </w:p>
    <w:p>
      <w:pPr>
        <w:ind w:left="187" w:hanging="187"/>
      </w:pPr>
      <w:r>
        <w:t xml:space="preserve">• </w:t>
      </w:r>
      <w:r>
        <w:rPr>
          <w:b w:val="0"/>
          <w:i/>
        </w:rPr>
        <w:t>intelligentia</w:t>
      </w:r>
      <w:r>
        <w:rPr>
          <w:b w:val="0"/>
          <w:i w:val="0"/>
        </w:rPr>
        <w:t xml:space="preserve"> — </w:t>
      </w:r>
      <w:hyperlink w:anchor="intellect-and-intellection">
        <w:r>
          <w:rPr>
            <w:color w:val="000000"/>
          </w:rPr>
          <w:t xml:space="preserve">Intellect and intellection</w:t>
        </w:r>
      </w:hyperlink>
    </w:p>
    <w:p>
      <w:pPr>
        <w:ind w:left="187" w:hanging="187"/>
      </w:pPr>
      <w:r>
        <w:t xml:space="preserve">• </w:t>
      </w:r>
      <w:r>
        <w:rPr>
          <w:b w:val="0"/>
          <w:i/>
        </w:rPr>
        <w:t>intelligentiam naturalem</w:t>
      </w:r>
      <w:r>
        <w:rPr>
          <w:b w:val="0"/>
          <w:i w:val="0"/>
        </w:rPr>
        <w:t xml:space="preserve"> — </w:t>
      </w:r>
      <w:hyperlink w:anchor="art-and-nature">
        <w:r>
          <w:rPr>
            <w:color w:val="000000"/>
          </w:rPr>
          <w:t xml:space="preserve">Art and nature</w:t>
        </w:r>
      </w:hyperlink>
    </w:p>
    <w:p>
      <w:pPr>
        <w:ind w:left="187" w:hanging="187"/>
      </w:pPr>
      <w:r>
        <w:t xml:space="preserve">• </w:t>
      </w:r>
      <w:r>
        <w:rPr>
          <w:b w:val="0"/>
          <w:i/>
        </w:rPr>
        <w:t>intelligere</w:t>
      </w:r>
      <w:r>
        <w:rPr>
          <w:b w:val="0"/>
          <w:i w:val="0"/>
        </w:rPr>
        <w:t xml:space="preserve"> — </w:t>
      </w:r>
      <w:hyperlink w:anchor="intellect-and-intellection">
        <w:r>
          <w:rPr>
            <w:color w:val="000000"/>
          </w:rPr>
          <w:t xml:space="preserve">Intellect and intellection</w:t>
        </w:r>
      </w:hyperlink>
    </w:p>
    <w:p>
      <w:pPr>
        <w:ind w:left="187" w:hanging="187"/>
      </w:pPr>
      <w:r>
        <w:t xml:space="preserve">• </w:t>
      </w:r>
      <w:r>
        <w:rPr>
          <w:b w:val="0"/>
          <w:i/>
        </w:rPr>
        <w:t>intelligibile</w:t>
      </w:r>
      <w:r>
        <w:rPr>
          <w:b w:val="0"/>
          <w:i w:val="0"/>
        </w:rPr>
        <w:t xml:space="preserve"> — </w:t>
      </w:r>
      <w:hyperlink w:anchor="intellect-and-intellection">
        <w:r>
          <w:rPr>
            <w:color w:val="000000"/>
          </w:rPr>
          <w:t xml:space="preserve">Intellect and intellection</w:t>
        </w:r>
      </w:hyperlink>
    </w:p>
    <w:p>
      <w:pPr>
        <w:ind w:left="187" w:hanging="187"/>
      </w:pPr>
      <w:r>
        <w:t xml:space="preserve">• </w:t>
      </w:r>
      <w:r>
        <w:rPr>
          <w:b w:val="0"/>
          <w:i/>
        </w:rPr>
        <w:t>intelligibilis</w:t>
      </w:r>
      <w:r>
        <w:rPr>
          <w:b w:val="0"/>
          <w:i w:val="0"/>
        </w:rPr>
        <w:t xml:space="preserve"> — </w:t>
      </w:r>
      <w:hyperlink w:anchor="intellect-and-intellection">
        <w:r>
          <w:rPr>
            <w:color w:val="000000"/>
          </w:rPr>
          <w:t xml:space="preserve">Intellect and intellection</w:t>
        </w:r>
      </w:hyperlink>
    </w:p>
    <w:p>
      <w:pPr>
        <w:ind w:left="187" w:hanging="187"/>
      </w:pPr>
      <w:r>
        <w:t xml:space="preserve">• </w:t>
      </w:r>
      <w:r>
        <w:rPr>
          <w:b w:val="0"/>
          <w:i/>
        </w:rPr>
        <w:t>intentio</w:t>
      </w:r>
      <w:r>
        <w:rPr>
          <w:b w:val="0"/>
          <w:i w:val="0"/>
        </w:rPr>
        <w:t xml:space="preserve"> — </w:t>
      </w:r>
      <w:hyperlink w:anchor="intention">
        <w:r>
          <w:rPr>
            <w:color w:val="000000"/>
          </w:rPr>
          <w:t xml:space="preserve">Intention</w:t>
        </w:r>
      </w:hyperlink>
    </w:p>
    <w:p>
      <w:pPr>
        <w:ind w:left="187" w:hanging="187"/>
      </w:pPr>
      <w:r>
        <w:t xml:space="preserve">• </w:t>
      </w:r>
      <w:r>
        <w:rPr>
          <w:b w:val="0"/>
          <w:i/>
        </w:rPr>
        <w:t>intentione quadam</w:t>
      </w:r>
      <w:r>
        <w:rPr>
          <w:b w:val="0"/>
          <w:i w:val="0"/>
        </w:rPr>
        <w:t xml:space="preserve"> — </w:t>
      </w:r>
      <w:hyperlink w:anchor="intention">
        <w:r>
          <w:rPr>
            <w:color w:val="000000"/>
          </w:rPr>
          <w:t xml:space="preserve">Intention</w:t>
        </w:r>
      </w:hyperlink>
    </w:p>
    <w:p>
      <w:pPr>
        <w:ind w:left="187" w:hanging="187"/>
      </w:pPr>
      <w:r>
        <w:t xml:space="preserve">• </w:t>
      </w:r>
      <w:r>
        <w:rPr>
          <w:b w:val="0"/>
          <w:i/>
        </w:rPr>
        <w:t>intercesserit</w:t>
      </w:r>
      <w:r>
        <w:rPr>
          <w:b w:val="0"/>
          <w:i w:val="0"/>
        </w:rPr>
        <w:t xml:space="preserve"> — </w:t>
      </w:r>
      <w:hyperlink w:anchor="degree-and-mediation">
        <w:r>
          <w:rPr>
            <w:color w:val="000000"/>
          </w:rPr>
          <w:t xml:space="preserve">Degree and mediation</w:t>
        </w:r>
      </w:hyperlink>
    </w:p>
    <w:p>
      <w:pPr>
        <w:ind w:left="187" w:hanging="187"/>
      </w:pPr>
      <w:r>
        <w:t xml:space="preserve">• </w:t>
      </w:r>
      <w:r>
        <w:rPr>
          <w:b w:val="0"/>
          <w:i/>
        </w:rPr>
        <w:t>interminatus</w:t>
      </w:r>
      <w:r>
        <w:rPr>
          <w:b w:val="0"/>
          <w:i w:val="0"/>
        </w:rPr>
        <w:t xml:space="preserve"> — </w:t>
      </w:r>
      <w:hyperlink w:anchor="infinity">
        <w:r>
          <w:rPr>
            <w:color w:val="000000"/>
          </w:rPr>
          <w:t xml:space="preserve">Infinity</w:t>
        </w:r>
      </w:hyperlink>
    </w:p>
    <w:p>
      <w:pPr>
        <w:ind w:left="187" w:hanging="187"/>
      </w:pPr>
      <w:r>
        <w:t xml:space="preserve">• </w:t>
      </w:r>
      <w:r>
        <w:rPr>
          <w:b w:val="0"/>
          <w:i/>
        </w:rPr>
        <w:t>intervallum</w:t>
      </w:r>
      <w:r>
        <w:rPr>
          <w:b w:val="0"/>
          <w:i w:val="0"/>
        </w:rPr>
        <w:t xml:space="preserve"> — </w:t>
      </w:r>
      <w:hyperlink w:anchor="degree-and-mediation">
        <w:r>
          <w:rPr>
            <w:color w:val="000000"/>
          </w:rPr>
          <w:t xml:space="preserve">Degree and mediation</w:t>
        </w:r>
      </w:hyperlink>
      <w:r>
        <w:rPr>
          <w:b w:val="0"/>
          <w:i w:val="0"/>
        </w:rPr>
        <w:t xml:space="preserve">; </w:t>
      </w:r>
      <w:hyperlink w:anchor="measure-and-degree">
        <w:r>
          <w:rPr>
            <w:color w:val="000000"/>
          </w:rPr>
          <w:t xml:space="preserve">Measure and degree</w:t>
        </w:r>
      </w:hyperlink>
    </w:p>
    <w:p>
      <w:pPr>
        <w:ind w:left="187" w:hanging="187"/>
      </w:pPr>
      <w:r>
        <w:t xml:space="preserve">• </w:t>
      </w:r>
      <w:r>
        <w:rPr>
          <w:b w:val="0"/>
          <w:i/>
        </w:rPr>
        <w:t>intuendo summatim</w:t>
      </w:r>
      <w:r>
        <w:rPr>
          <w:b w:val="0"/>
          <w:i w:val="0"/>
        </w:rPr>
        <w:t xml:space="preserve"> — </w:t>
      </w:r>
      <w:hyperlink w:anchor="intuition-and-comprehension">
        <w:r>
          <w:rPr>
            <w:color w:val="000000"/>
          </w:rPr>
          <w:t xml:space="preserve">Intuition and comprehension</w:t>
        </w:r>
      </w:hyperlink>
    </w:p>
    <w:p>
      <w:pPr>
        <w:ind w:left="187" w:hanging="187"/>
      </w:pPr>
      <w:r>
        <w:t xml:space="preserve">• </w:t>
      </w:r>
      <w:r>
        <w:rPr>
          <w:b w:val="0"/>
          <w:i/>
        </w:rPr>
        <w:t>intueri</w:t>
      </w:r>
      <w:r>
        <w:rPr>
          <w:b w:val="0"/>
          <w:i w:val="0"/>
        </w:rPr>
        <w:t xml:space="preserve"> — </w:t>
      </w:r>
      <w:hyperlink w:anchor="intuition-and-comprehension">
        <w:r>
          <w:rPr>
            <w:color w:val="000000"/>
          </w:rPr>
          <w:t xml:space="preserve">Intuition and comprehension</w:t>
        </w:r>
      </w:hyperlink>
    </w:p>
    <w:p>
      <w:pPr>
        <w:ind w:left="187" w:hanging="187"/>
      </w:pPr>
      <w:r>
        <w:t xml:space="preserve">• </w:t>
      </w:r>
      <w:r>
        <w:rPr>
          <w:b w:val="0"/>
          <w:i/>
        </w:rPr>
        <w:t>intuitus</w:t>
      </w:r>
      <w:r>
        <w:rPr>
          <w:b w:val="0"/>
          <w:i w:val="0"/>
        </w:rPr>
        <w:t xml:space="preserve"> — </w:t>
      </w:r>
      <w:hyperlink w:anchor="intuition-and-comprehension">
        <w:r>
          <w:rPr>
            <w:color w:val="000000"/>
          </w:rPr>
          <w:t xml:space="preserve">Intuition and comprehension</w:t>
        </w:r>
      </w:hyperlink>
      <w:r>
        <w:rPr>
          <w:b w:val="0"/>
          <w:i w:val="0"/>
        </w:rPr>
        <w:t xml:space="preserve">; </w:t>
      </w:r>
      <w:hyperlink w:anchor="intuition-and-discourse">
        <w:r>
          <w:rPr>
            <w:color w:val="000000"/>
          </w:rPr>
          <w:t xml:space="preserve">Intuition and discourse</w:t>
        </w:r>
      </w:hyperlink>
    </w:p>
    <w:p>
      <w:pPr>
        <w:ind w:left="187" w:hanging="187"/>
      </w:pPr>
      <w:r>
        <w:t xml:space="preserve">• </w:t>
      </w:r>
      <w:r>
        <w:rPr>
          <w:b w:val="0"/>
          <w:i/>
        </w:rPr>
        <w:t>ipsum bonum</w:t>
      </w:r>
      <w:r>
        <w:rPr>
          <w:b w:val="0"/>
          <w:i w:val="0"/>
        </w:rPr>
        <w:t xml:space="preserve"> — </w:t>
      </w:r>
      <w:hyperlink w:anchor="apollo">
        <w:r>
          <w:rPr>
            <w:color w:val="000000"/>
          </w:rPr>
          <w:t xml:space="preserve">Apollo</w:t>
        </w:r>
      </w:hyperlink>
      <w:r>
        <w:rPr>
          <w:b w:val="0"/>
          <w:i w:val="0"/>
        </w:rPr>
        <w:t xml:space="preserve">; </w:t>
      </w:r>
      <w:hyperlink w:anchor="good-and-goodness">
        <w:r>
          <w:rPr>
            <w:color w:val="000000"/>
          </w:rPr>
          <w:t xml:space="preserve">Good and goodness</w:t>
        </w:r>
      </w:hyperlink>
    </w:p>
    <w:p>
      <w:pPr>
        <w:ind w:left="187" w:hanging="187"/>
      </w:pPr>
      <w:r>
        <w:t xml:space="preserve">• </w:t>
      </w:r>
      <w:r>
        <w:rPr>
          <w:b w:val="0"/>
          <w:i/>
        </w:rPr>
        <w:t>ipsum esse</w:t>
      </w:r>
      <w:r>
        <w:rPr>
          <w:b w:val="0"/>
          <w:i w:val="0"/>
        </w:rPr>
        <w:t xml:space="preserve"> — </w:t>
      </w:r>
      <w:hyperlink w:anchor="being">
        <w:r>
          <w:rPr>
            <w:color w:val="000000"/>
          </w:rPr>
          <w:t xml:space="preserve">Being</w:t>
        </w:r>
      </w:hyperlink>
    </w:p>
    <w:p>
      <w:pPr>
        <w:ind w:left="187" w:hanging="187"/>
      </w:pPr>
      <w:r>
        <w:t xml:space="preserve">• </w:t>
      </w:r>
      <w:r>
        <w:rPr>
          <w:b w:val="0"/>
          <w:i/>
        </w:rPr>
        <w:t>ira</w:t>
      </w:r>
      <w:r>
        <w:rPr>
          <w:b w:val="0"/>
          <w:i w:val="0"/>
        </w:rPr>
        <w:t xml:space="preserve"> — </w:t>
      </w:r>
      <w:hyperlink w:anchor="reason-anger-and-desire">
        <w:r>
          <w:rPr>
            <w:color w:val="000000"/>
          </w:rPr>
          <w:t xml:space="preserve">Reason anger and desire</w:t>
        </w:r>
      </w:hyperlink>
    </w:p>
    <w:p>
      <w:pPr>
        <w:ind w:left="187" w:hanging="187"/>
      </w:pPr>
      <w:r>
        <w:t xml:space="preserve">• </w:t>
      </w:r>
      <w:r>
        <w:rPr>
          <w:b w:val="0"/>
          <w:i/>
        </w:rPr>
        <w:t>iudicium liberum</w:t>
      </w:r>
      <w:r>
        <w:rPr>
          <w:b w:val="0"/>
          <w:i w:val="0"/>
        </w:rPr>
        <w:t xml:space="preserve"> — </w:t>
      </w:r>
      <w:hyperlink w:anchor="choice-and-free-judgment">
        <w:r>
          <w:rPr>
            <w:color w:val="000000"/>
          </w:rPr>
          <w:t xml:space="preserve">Choice and free judgment</w:t>
        </w:r>
      </w:hyperlink>
    </w:p>
    <w:p>
      <w:pPr>
        <w:ind w:left="187" w:hanging="187"/>
      </w:pPr>
      <w:r>
        <w:t xml:space="preserve">• </w:t>
      </w:r>
      <w:r>
        <w:rPr>
          <w:b w:val="0"/>
          <w:i/>
        </w:rPr>
        <w:t>largiri</w:t>
      </w:r>
      <w:r>
        <w:rPr>
          <w:b w:val="0"/>
          <w:i w:val="0"/>
        </w:rPr>
        <w:t xml:space="preserve"> — </w:t>
      </w:r>
      <w:hyperlink w:anchor="communication-and-imparting">
        <w:r>
          <w:rPr>
            <w:color w:val="000000"/>
          </w:rPr>
          <w:t xml:space="preserve">Communication and imparting</w:t>
        </w:r>
      </w:hyperlink>
    </w:p>
    <w:p>
      <w:pPr>
        <w:ind w:left="187" w:hanging="187"/>
      </w:pPr>
      <w:r>
        <w:t xml:space="preserve">• </w:t>
      </w:r>
      <w:r>
        <w:rPr>
          <w:b w:val="0"/>
          <w:i/>
        </w:rPr>
        <w:t>latitudo quantitatis</w:t>
      </w:r>
      <w:r>
        <w:rPr>
          <w:b w:val="0"/>
          <w:i w:val="0"/>
        </w:rPr>
        <w:t xml:space="preserve"> — </w:t>
      </w:r>
      <w:hyperlink w:anchor="indwelling-and-presence">
        <w:r>
          <w:rPr>
            <w:color w:val="000000"/>
          </w:rPr>
          <w:t xml:space="preserve">Indwelling and presence</w:t>
        </w:r>
      </w:hyperlink>
    </w:p>
    <w:p>
      <w:pPr>
        <w:ind w:left="187" w:hanging="187"/>
      </w:pPr>
      <w:r>
        <w:t xml:space="preserve">• </w:t>
      </w:r>
      <w:r>
        <w:rPr>
          <w:b w:val="0"/>
          <w:i/>
        </w:rPr>
        <w:t>Letheo flumine</w:t>
      </w:r>
      <w:r>
        <w:rPr>
          <w:b w:val="0"/>
          <w:i w:val="0"/>
        </w:rPr>
        <w:t xml:space="preserve"> — </w:t>
      </w:r>
      <w:hyperlink w:anchor="quality">
        <w:r>
          <w:rPr>
            <w:color w:val="000000"/>
          </w:rPr>
          <w:t xml:space="preserve">Quality</w:t>
        </w:r>
      </w:hyperlink>
    </w:p>
    <w:p>
      <w:pPr>
        <w:ind w:left="187" w:hanging="187"/>
      </w:pPr>
      <w:r>
        <w:t xml:space="preserve">• </w:t>
      </w:r>
      <w:r>
        <w:rPr>
          <w:b w:val="0"/>
          <w:i/>
        </w:rPr>
        <w:t>lex</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lex fatalis</w:t>
      </w:r>
      <w:r>
        <w:rPr>
          <w:b w:val="0"/>
          <w:i w:val="0"/>
        </w:rPr>
        <w:t xml:space="preserve"> — </w:t>
      </w:r>
      <w:hyperlink w:anchor="fate">
        <w:r>
          <w:rPr>
            <w:color w:val="000000"/>
          </w:rPr>
          <w:t xml:space="preserve">Fate</w:t>
        </w:r>
      </w:hyperlink>
    </w:p>
    <w:p>
      <w:pPr>
        <w:ind w:left="187" w:hanging="187"/>
      </w:pPr>
      <w:r>
        <w:t xml:space="preserve">• </w:t>
      </w:r>
      <w:r>
        <w:rPr>
          <w:b w:val="0"/>
          <w:i/>
        </w:rPr>
        <w:t>liber</w:t>
      </w:r>
      <w:r>
        <w:rPr>
          <w:b w:val="0"/>
          <w:i w:val="0"/>
        </w:rPr>
        <w:t xml:space="preserve"> — </w:t>
      </w:r>
      <w:hyperlink w:anchor="freedom-and-necessity">
        <w:r>
          <w:rPr>
            <w:color w:val="000000"/>
          </w:rPr>
          <w:t xml:space="preserve">Freedom and necessity</w:t>
        </w:r>
      </w:hyperlink>
    </w:p>
    <w:p>
      <w:pPr>
        <w:ind w:left="187" w:hanging="187"/>
      </w:pPr>
      <w:r>
        <w:t xml:space="preserve">• </w:t>
      </w:r>
      <w:r>
        <w:rPr>
          <w:b w:val="0"/>
          <w:i/>
        </w:rPr>
        <w:t>libera voluntas</w:t>
      </w:r>
      <w:r>
        <w:rPr>
          <w:b w:val="0"/>
          <w:i w:val="0"/>
        </w:rPr>
        <w:t xml:space="preserve"> — </w:t>
      </w:r>
      <w:hyperlink w:anchor="freedom-and-necessity">
        <w:r>
          <w:rPr>
            <w:color w:val="000000"/>
          </w:rPr>
          <w:t xml:space="preserve">Freedom and necessity</w:t>
        </w:r>
      </w:hyperlink>
    </w:p>
    <w:p>
      <w:pPr>
        <w:ind w:left="187" w:hanging="187"/>
      </w:pPr>
      <w:r>
        <w:t xml:space="preserve">• </w:t>
      </w:r>
      <w:r>
        <w:rPr>
          <w:b w:val="0"/>
          <w:i/>
        </w:rPr>
        <w:t>libertas</w:t>
      </w:r>
      <w:r>
        <w:rPr>
          <w:b w:val="0"/>
          <w:i w:val="0"/>
        </w:rPr>
        <w:t xml:space="preserve"> — </w:t>
      </w:r>
      <w:hyperlink w:anchor="freedom-and-necessity">
        <w:r>
          <w:rPr>
            <w:color w:val="000000"/>
          </w:rPr>
          <w:t xml:space="preserve">Freedom and necessity</w:t>
        </w:r>
      </w:hyperlink>
    </w:p>
    <w:p>
      <w:pPr>
        <w:ind w:left="187" w:hanging="187"/>
      </w:pPr>
      <w:r>
        <w:t xml:space="preserve">• </w:t>
      </w:r>
      <w:r>
        <w:rPr>
          <w:b w:val="0"/>
          <w:i/>
        </w:rPr>
        <w:t>libido</w:t>
      </w:r>
      <w:r>
        <w:rPr>
          <w:b w:val="0"/>
          <w:i w:val="0"/>
        </w:rPr>
        <w:t xml:space="preserve"> — </w:t>
      </w:r>
      <w:hyperlink w:anchor="reason-anger-and-desire">
        <w:r>
          <w:rPr>
            <w:color w:val="000000"/>
          </w:rPr>
          <w:t xml:space="preserve">Reason anger and desire</w:t>
        </w:r>
      </w:hyperlink>
    </w:p>
    <w:p>
      <w:pPr>
        <w:ind w:left="187" w:hanging="187"/>
      </w:pPr>
      <w:r>
        <w:t xml:space="preserve">• </w:t>
      </w:r>
      <w:r>
        <w:rPr>
          <w:b w:val="0"/>
          <w:i/>
        </w:rPr>
        <w:t>lineae</w:t>
      </w:r>
      <w:r>
        <w:rPr>
          <w:b w:val="0"/>
          <w:i w:val="0"/>
        </w:rPr>
        <w:t xml:space="preserve"> — </w:t>
      </w:r>
      <w:hyperlink w:anchor="hinge-and-center">
        <w:r>
          <w:rPr>
            <w:color w:val="000000"/>
          </w:rPr>
          <w:t xml:space="preserve">Hinge and center</w:t>
        </w:r>
      </w:hyperlink>
    </w:p>
    <w:p>
      <w:pPr>
        <w:ind w:left="187" w:hanging="187"/>
      </w:pPr>
      <w:r>
        <w:t xml:space="preserve">• </w:t>
      </w:r>
      <w:r>
        <w:rPr>
          <w:b w:val="0"/>
          <w:i/>
        </w:rPr>
        <w:t>locus</w:t>
      </w:r>
      <w:r>
        <w:rPr>
          <w:b w:val="0"/>
          <w:i w:val="0"/>
        </w:rPr>
        <w:t xml:space="preserve"> — </w:t>
      </w:r>
      <w:hyperlink w:anchor="omnipresence-and-place">
        <w:r>
          <w:rPr>
            <w:color w:val="000000"/>
          </w:rPr>
          <w:t xml:space="preserve">Omnipresence and place</w:t>
        </w:r>
      </w:hyperlink>
    </w:p>
    <w:p>
      <w:pPr>
        <w:ind w:left="187" w:hanging="187"/>
      </w:pPr>
      <w:r>
        <w:t xml:space="preserve">• </w:t>
      </w:r>
      <w:r>
        <w:rPr>
          <w:b w:val="0"/>
          <w:i/>
        </w:rPr>
        <w:t>locus naturalis</w:t>
      </w:r>
      <w:r>
        <w:rPr>
          <w:b w:val="0"/>
          <w:i w:val="0"/>
        </w:rPr>
        <w:t xml:space="preserve"> — </w:t>
      </w:r>
      <w:hyperlink w:anchor="natural-motion-and-natural-place">
        <w:r>
          <w:rPr>
            <w:color w:val="000000"/>
          </w:rPr>
          <w:t xml:space="preserve">Natural motion and natural place</w:t>
        </w:r>
      </w:hyperlink>
    </w:p>
    <w:p>
      <w:pPr>
        <w:ind w:left="187" w:hanging="187"/>
      </w:pPr>
      <w:r>
        <w:t xml:space="preserve">• </w:t>
      </w:r>
      <w:r>
        <w:rPr>
          <w:b w:val="0"/>
          <w:i/>
        </w:rPr>
        <w:t>lumen</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lumen invisibile</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lumen luminum</w:t>
      </w:r>
      <w:r>
        <w:rPr>
          <w:b w:val="0"/>
          <w:i w:val="0"/>
        </w:rPr>
        <w:t xml:space="preserve"> — </w:t>
      </w:r>
      <w:hyperlink w:anchor="god">
        <w:r>
          <w:rPr>
            <w:color w:val="000000"/>
          </w:rPr>
          <w:t xml:space="preserve">God</w:t>
        </w:r>
      </w:hyperlink>
      <w:r>
        <w:rPr>
          <w:b w:val="0"/>
          <w:i w:val="0"/>
        </w:rPr>
        <w:t xml:space="preserve">; </w:t>
      </w:r>
      <w:hyperlink w:anchor="light-and-illumination">
        <w:r>
          <w:rPr>
            <w:color w:val="000000"/>
          </w:rPr>
          <w:t xml:space="preserve">Light and illumination</w:t>
        </w:r>
      </w:hyperlink>
    </w:p>
    <w:p>
      <w:pPr>
        <w:ind w:left="187" w:hanging="187"/>
      </w:pPr>
      <w:r>
        <w:t xml:space="preserve">• </w:t>
      </w:r>
      <w:r>
        <w:rPr>
          <w:b w:val="0"/>
          <w:i/>
        </w:rPr>
        <w:t>lux</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machina mundi</w:t>
      </w:r>
      <w:r>
        <w:rPr>
          <w:b w:val="0"/>
          <w:i w:val="0"/>
        </w:rPr>
        <w:t xml:space="preserve"> — </w:t>
      </w:r>
      <w:hyperlink w:anchor="whole-and-parts">
        <w:r>
          <w:rPr>
            <w:color w:val="000000"/>
          </w:rPr>
          <w:t xml:space="preserve">Whole and parts</w:t>
        </w:r>
      </w:hyperlink>
    </w:p>
    <w:p>
      <w:pPr>
        <w:ind w:left="187" w:hanging="187"/>
      </w:pPr>
      <w:r>
        <w:t xml:space="preserve">• </w:t>
      </w:r>
      <w:r>
        <w:rPr>
          <w:b w:val="0"/>
          <w:i/>
        </w:rPr>
        <w:t>magi</w:t>
      </w:r>
      <w:r>
        <w:rPr>
          <w:b w:val="0"/>
          <w:i w:val="0"/>
        </w:rPr>
        <w:t xml:space="preserve"> — </w:t>
      </w:r>
      <w:hyperlink w:anchor="hermetic-theologians-and-the-magi">
        <w:r>
          <w:rPr>
            <w:color w:val="000000"/>
          </w:rPr>
          <w:t xml:space="preserve">Hermetic theologians and the Magi</w:t>
        </w:r>
      </w:hyperlink>
    </w:p>
    <w:p>
      <w:pPr>
        <w:ind w:left="187" w:hanging="187"/>
      </w:pPr>
      <w:r>
        <w:t xml:space="preserve">• </w:t>
      </w:r>
      <w:r>
        <w:rPr>
          <w:b w:val="0"/>
          <w:i/>
        </w:rPr>
        <w:t>magnitudo</w:t>
      </w:r>
      <w:r>
        <w:rPr>
          <w:b w:val="0"/>
          <w:i w:val="0"/>
        </w:rPr>
        <w:t xml:space="preserve"> — </w:t>
      </w:r>
      <w:hyperlink w:anchor="quantity-and-dimension">
        <w:r>
          <w:rPr>
            <w:color w:val="000000"/>
          </w:rPr>
          <w:t xml:space="preserve">Quantity and dimension</w:t>
        </w:r>
      </w:hyperlink>
    </w:p>
    <w:p>
      <w:pPr>
        <w:ind w:left="187" w:hanging="187"/>
      </w:pPr>
      <w:r>
        <w:t xml:space="preserve">• </w:t>
      </w:r>
      <w:r>
        <w:rPr>
          <w:b w:val="0"/>
          <w:i/>
        </w:rPr>
        <w:t>magnus ac mundanus annus</w:t>
      </w:r>
      <w:r>
        <w:rPr>
          <w:b w:val="0"/>
          <w:i w:val="0"/>
        </w:rPr>
        <w:t xml:space="preserve"> — </w:t>
      </w:r>
      <w:hyperlink w:anchor="great-year">
        <w:r>
          <w:rPr>
            <w:color w:val="000000"/>
          </w:rPr>
          <w:t xml:space="preserve">Great year</w:t>
        </w:r>
      </w:hyperlink>
    </w:p>
    <w:p>
      <w:pPr>
        <w:ind w:left="187" w:hanging="187"/>
      </w:pPr>
      <w:r>
        <w:t xml:space="preserve">• </w:t>
      </w:r>
      <w:r>
        <w:rPr>
          <w:b w:val="0"/>
          <w:i/>
        </w:rPr>
        <w:t>malum</w:t>
      </w:r>
      <w:r>
        <w:rPr>
          <w:b w:val="0"/>
          <w:i w:val="0"/>
        </w:rPr>
        <w:t xml:space="preserve"> — </w:t>
      </w:r>
      <w:hyperlink w:anchor="nothing-and-nonbeing">
        <w:r>
          <w:rPr>
            <w:color w:val="000000"/>
          </w:rPr>
          <w:t xml:space="preserve">Nothing and nonbeing</w:t>
        </w:r>
      </w:hyperlink>
    </w:p>
    <w:p>
      <w:pPr>
        <w:ind w:left="187" w:hanging="187"/>
      </w:pPr>
      <w:r>
        <w:t xml:space="preserve">• </w:t>
      </w:r>
      <w:r>
        <w:rPr>
          <w:b w:val="0"/>
          <w:i/>
        </w:rPr>
        <w:t>manare</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manere</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materia</w:t>
      </w:r>
      <w:r>
        <w:rPr>
          <w:b w:val="0"/>
          <w:i w:val="0"/>
        </w:rPr>
        <w:t xml:space="preserve"> — </w:t>
      </w:r>
      <w:hyperlink w:anchor="matter">
        <w:r>
          <w:rPr>
            <w:color w:val="000000"/>
          </w:rPr>
          <w:t xml:space="preserve">Matter</w:t>
        </w:r>
      </w:hyperlink>
    </w:p>
    <w:p>
      <w:pPr>
        <w:ind w:left="187" w:hanging="187"/>
      </w:pPr>
      <w:r>
        <w:t xml:space="preserve">• </w:t>
      </w:r>
      <w:r>
        <w:rPr>
          <w:b w:val="0"/>
          <w:i/>
        </w:rPr>
        <w:t>materia mundi</w:t>
      </w:r>
      <w:r>
        <w:rPr>
          <w:b w:val="0"/>
          <w:i w:val="0"/>
        </w:rPr>
        <w:t xml:space="preserve"> — </w:t>
      </w:r>
      <w:hyperlink w:anchor="matter">
        <w:r>
          <w:rPr>
            <w:color w:val="000000"/>
          </w:rPr>
          <w:t xml:space="preserve">Matter</w:t>
        </w:r>
      </w:hyperlink>
    </w:p>
    <w:p>
      <w:pPr>
        <w:ind w:left="187" w:hanging="187"/>
      </w:pPr>
      <w:r>
        <w:t xml:space="preserve">• </w:t>
      </w:r>
      <w:r>
        <w:rPr>
          <w:b w:val="0"/>
          <w:i/>
        </w:rPr>
        <w:t>materia phantastica</w:t>
      </w:r>
      <w:r>
        <w:rPr>
          <w:b w:val="0"/>
          <w:i w:val="0"/>
        </w:rPr>
        <w:t xml:space="preserve"> — </w:t>
      </w:r>
      <w:hyperlink w:anchor="sense-and-imagination">
        <w:r>
          <w:rPr>
            <w:color w:val="000000"/>
          </w:rPr>
          <w:t xml:space="preserve">Sense and imagination</w:t>
        </w:r>
      </w:hyperlink>
    </w:p>
    <w:p>
      <w:pPr>
        <w:ind w:left="187" w:hanging="187"/>
      </w:pPr>
      <w:r>
        <w:t xml:space="preserve">• </w:t>
      </w:r>
      <w:r>
        <w:rPr>
          <w:b w:val="0"/>
          <w:i/>
        </w:rPr>
        <w:t>materia prima</w:t>
      </w:r>
      <w:r>
        <w:rPr>
          <w:b w:val="0"/>
          <w:i w:val="0"/>
        </w:rPr>
        <w:t xml:space="preserve"> — </w:t>
      </w:r>
      <w:hyperlink w:anchor="matter">
        <w:r>
          <w:rPr>
            <w:color w:val="000000"/>
          </w:rPr>
          <w:t xml:space="preserve">Matter</w:t>
        </w:r>
      </w:hyperlink>
    </w:p>
    <w:p>
      <w:pPr>
        <w:ind w:left="187" w:hanging="187"/>
      </w:pPr>
      <w:r>
        <w:t xml:space="preserve">• </w:t>
      </w:r>
      <w:r>
        <w:rPr>
          <w:b w:val="0"/>
          <w:i/>
        </w:rPr>
        <w:t>mathematicae</w:t>
      </w:r>
      <w:r>
        <w:rPr>
          <w:b w:val="0"/>
          <w:i w:val="0"/>
        </w:rPr>
        <w:t xml:space="preserve"> — </w:t>
      </w:r>
      <w:hyperlink w:anchor="separation-and-abstraction">
        <w:r>
          <w:rPr>
            <w:color w:val="000000"/>
          </w:rPr>
          <w:t xml:space="preserve">Separation and abstraction</w:t>
        </w:r>
      </w:hyperlink>
    </w:p>
    <w:p>
      <w:pPr>
        <w:ind w:left="187" w:hanging="187"/>
      </w:pPr>
      <w:r>
        <w:t xml:space="preserve">• </w:t>
      </w:r>
      <w:r>
        <w:rPr>
          <w:b w:val="0"/>
          <w:i/>
        </w:rPr>
        <w:t>media</w:t>
      </w:r>
      <w:r>
        <w:rPr>
          <w:b w:val="0"/>
          <w:i w:val="0"/>
        </w:rPr>
        <w:t xml:space="preserve"> — </w:t>
      </w:r>
      <w:hyperlink w:anchor="instrument">
        <w:r>
          <w:rPr>
            <w:color w:val="000000"/>
          </w:rPr>
          <w:t xml:space="preserve">Instrument</w:t>
        </w:r>
      </w:hyperlink>
    </w:p>
    <w:p>
      <w:pPr>
        <w:ind w:left="187" w:hanging="187"/>
      </w:pPr>
      <w:r>
        <w:t xml:space="preserve">• </w:t>
      </w:r>
      <w:r>
        <w:rPr>
          <w:b w:val="0"/>
          <w:i/>
        </w:rPr>
        <w:t>medium</w:t>
      </w:r>
      <w:r>
        <w:rPr>
          <w:b w:val="0"/>
          <w:i w:val="0"/>
        </w:rPr>
        <w:t xml:space="preserve"> — </w:t>
      </w:r>
      <w:hyperlink w:anchor="degree-and-mediation">
        <w:r>
          <w:rPr>
            <w:color w:val="000000"/>
          </w:rPr>
          <w:t xml:space="preserve">Degree and mediation</w:t>
        </w:r>
      </w:hyperlink>
      <w:r>
        <w:rPr>
          <w:b w:val="0"/>
          <w:i w:val="0"/>
        </w:rPr>
        <w:t xml:space="preserve">; </w:t>
      </w:r>
      <w:hyperlink w:anchor="instrument">
        <w:r>
          <w:rPr>
            <w:color w:val="000000"/>
          </w:rPr>
          <w:t xml:space="preserve">Instrument</w:t>
        </w:r>
      </w:hyperlink>
    </w:p>
    <w:p>
      <w:pPr>
        <w:ind w:left="187" w:hanging="187"/>
      </w:pPr>
      <w:r>
        <w:t xml:space="preserve">• </w:t>
      </w:r>
      <w:r>
        <w:rPr>
          <w:b w:val="0"/>
          <w:i/>
        </w:rPr>
        <w:t>medium competens</w:t>
      </w:r>
      <w:r>
        <w:rPr>
          <w:b w:val="0"/>
          <w:i w:val="0"/>
        </w:rPr>
        <w:t xml:space="preserve"> — </w:t>
      </w:r>
      <w:hyperlink w:anchor="degree-and-mediation">
        <w:r>
          <w:rPr>
            <w:color w:val="000000"/>
          </w:rPr>
          <w:t xml:space="preserve">Degree and mediation</w:t>
        </w:r>
      </w:hyperlink>
    </w:p>
    <w:p>
      <w:pPr>
        <w:ind w:left="187" w:hanging="187"/>
      </w:pPr>
      <w:r>
        <w:t xml:space="preserve">• </w:t>
      </w:r>
      <w:r>
        <w:rPr>
          <w:b w:val="0"/>
          <w:i/>
        </w:rPr>
        <w:t>medius</w:t>
      </w:r>
      <w:r>
        <w:rPr>
          <w:b w:val="0"/>
          <w:i w:val="0"/>
        </w:rPr>
        <w:t xml:space="preserve"> — </w:t>
      </w:r>
      <w:hyperlink w:anchor="degree-and-mediation">
        <w:r>
          <w:rPr>
            <w:color w:val="000000"/>
          </w:rPr>
          <w:t xml:space="preserve">Degree and mediation</w:t>
        </w:r>
      </w:hyperlink>
    </w:p>
    <w:p>
      <w:pPr>
        <w:ind w:left="187" w:hanging="187"/>
      </w:pPr>
      <w:r>
        <w:t xml:space="preserve">• </w:t>
      </w:r>
      <w:r>
        <w:rPr>
          <w:b w:val="0"/>
          <w:i/>
        </w:rPr>
        <w:t>memoria</w:t>
      </w:r>
      <w:r>
        <w:rPr>
          <w:b w:val="0"/>
          <w:i w:val="0"/>
        </w:rPr>
        <w:t xml:space="preserve"> — </w:t>
      </w:r>
      <w:hyperlink w:anchor="will">
        <w:r>
          <w:rPr>
            <w:color w:val="000000"/>
          </w:rPr>
          <w:t xml:space="preserve">Will</w:t>
        </w:r>
      </w:hyperlink>
    </w:p>
    <w:p>
      <w:pPr>
        <w:ind w:left="187" w:hanging="187"/>
      </w:pPr>
      <w:r>
        <w:t xml:space="preserve">• </w:t>
      </w:r>
      <w:r>
        <w:rPr>
          <w:b w:val="0"/>
          <w:i/>
        </w:rPr>
        <w:t>mens</w:t>
      </w:r>
      <w:r>
        <w:rPr>
          <w:b w:val="0"/>
          <w:i w:val="0"/>
        </w:rPr>
        <w:t xml:space="preserve"> — </w:t>
      </w:r>
      <w:hyperlink w:anchor="angel">
        <w:r>
          <w:rPr>
            <w:color w:val="000000"/>
          </w:rPr>
          <w:t xml:space="preserve">Angel</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mind">
        <w:r>
          <w:rPr>
            <w:color w:val="000000"/>
          </w:rPr>
          <w:t xml:space="preserve">Mind</w:t>
        </w:r>
      </w:hyperlink>
    </w:p>
    <w:p>
      <w:pPr>
        <w:ind w:left="187" w:hanging="187"/>
      </w:pPr>
      <w:r>
        <w:t xml:space="preserve">• </w:t>
      </w:r>
      <w:r>
        <w:rPr>
          <w:b w:val="0"/>
          <w:i/>
        </w:rPr>
        <w:t>mens angelica</w:t>
      </w:r>
      <w:r>
        <w:rPr>
          <w:b w:val="0"/>
          <w:i w:val="0"/>
        </w:rPr>
        <w:t xml:space="preserve"> — </w:t>
      </w:r>
      <w:hyperlink w:anchor="angel">
        <w:r>
          <w:rPr>
            <w:color w:val="000000"/>
          </w:rPr>
          <w:t xml:space="preserve">Angel</w:t>
        </w:r>
      </w:hyperlink>
      <w:r>
        <w:rPr>
          <w:b w:val="0"/>
          <w:i w:val="0"/>
        </w:rPr>
        <w:t xml:space="preserve">; </w:t>
      </w:r>
      <w:hyperlink w:anchor="mind">
        <w:r>
          <w:rPr>
            <w:color w:val="000000"/>
          </w:rPr>
          <w:t xml:space="preserve">Mind</w:t>
        </w:r>
      </w:hyperlink>
    </w:p>
    <w:p>
      <w:pPr>
        <w:ind w:left="187" w:hanging="187"/>
      </w:pPr>
      <w:r>
        <w:t xml:space="preserve">• </w:t>
      </w:r>
      <w:r>
        <w:rPr>
          <w:b w:val="0"/>
          <w:i/>
        </w:rPr>
        <w:t>mens humana</w:t>
      </w:r>
      <w:r>
        <w:rPr>
          <w:b w:val="0"/>
          <w:i w:val="0"/>
        </w:rPr>
        <w:t xml:space="preserve"> — </w:t>
      </w:r>
      <w:hyperlink w:anchor="mind">
        <w:r>
          <w:rPr>
            <w:color w:val="000000"/>
          </w:rPr>
          <w:t xml:space="preserve">Mind</w:t>
        </w:r>
      </w:hyperlink>
    </w:p>
    <w:p>
      <w:pPr>
        <w:ind w:left="187" w:hanging="187"/>
      </w:pPr>
      <w:r>
        <w:t xml:space="preserve">• </w:t>
      </w:r>
      <w:r>
        <w:rPr>
          <w:b w:val="0"/>
          <w:i/>
        </w:rPr>
        <w:t>mens in anima</w:t>
      </w:r>
      <w:r>
        <w:rPr>
          <w:b w:val="0"/>
          <w:i w:val="0"/>
        </w:rPr>
        <w:t xml:space="preserve"> — </w:t>
      </w:r>
      <w:hyperlink w:anchor="mind">
        <w:r>
          <w:rPr>
            <w:color w:val="000000"/>
          </w:rPr>
          <w:t xml:space="preserve">Mind</w:t>
        </w:r>
      </w:hyperlink>
    </w:p>
    <w:p>
      <w:pPr>
        <w:ind w:left="187" w:hanging="187"/>
      </w:pPr>
      <w:r>
        <w:t xml:space="preserve">• </w:t>
      </w:r>
      <w:r>
        <w:rPr>
          <w:b w:val="0"/>
          <w:i/>
        </w:rPr>
        <w:t>mens mentium</w:t>
      </w:r>
      <w:r>
        <w:rPr>
          <w:b w:val="0"/>
          <w:i w:val="0"/>
        </w:rPr>
        <w:t xml:space="preserve"> — </w:t>
      </w:r>
      <w:hyperlink w:anchor="god">
        <w:r>
          <w:rPr>
            <w:color w:val="000000"/>
          </w:rPr>
          <w:t xml:space="preserve">God</w:t>
        </w:r>
      </w:hyperlink>
    </w:p>
    <w:p>
      <w:pPr>
        <w:ind w:left="187" w:hanging="187"/>
      </w:pPr>
      <w:r>
        <w:t xml:space="preserve">• </w:t>
      </w:r>
      <w:r>
        <w:rPr>
          <w:b w:val="0"/>
          <w:i/>
        </w:rPr>
        <w:t>mens secunda</w:t>
      </w:r>
      <w:r>
        <w:rPr>
          <w:b w:val="0"/>
          <w:i w:val="0"/>
        </w:rPr>
        <w:t xml:space="preserve"> — </w:t>
      </w:r>
      <w:hyperlink w:anchor="second-mind">
        <w:r>
          <w:rPr>
            <w:color w:val="000000"/>
          </w:rPr>
          <w:t xml:space="preserve">Second mind</w:t>
        </w:r>
      </w:hyperlink>
    </w:p>
    <w:p>
      <w:pPr>
        <w:ind w:left="187" w:hanging="187"/>
      </w:pPr>
      <w:r>
        <w:t xml:space="preserve">• </w:t>
      </w:r>
      <w:r>
        <w:rPr>
          <w:b w:val="0"/>
          <w:i/>
        </w:rPr>
        <w:t>mensura</w:t>
      </w:r>
      <w:r>
        <w:rPr>
          <w:b w:val="0"/>
          <w:i w:val="0"/>
        </w:rPr>
        <w:t xml:space="preserve"> — </w:t>
      </w:r>
      <w:hyperlink w:anchor="measure-and-degree">
        <w:r>
          <w:rPr>
            <w:color w:val="000000"/>
          </w:rPr>
          <w:t xml:space="preserve">Measure and degree</w:t>
        </w:r>
      </w:hyperlink>
    </w:p>
    <w:p>
      <w:pPr>
        <w:ind w:left="187" w:hanging="187"/>
      </w:pPr>
      <w:r>
        <w:t xml:space="preserve">• </w:t>
      </w:r>
      <w:r>
        <w:rPr>
          <w:b w:val="0"/>
          <w:i/>
        </w:rPr>
        <w:t>mentes</w:t>
      </w:r>
      <w:r>
        <w:rPr>
          <w:b w:val="0"/>
          <w:i w:val="0"/>
        </w:rPr>
        <w:t xml:space="preserve"> — </w:t>
      </w:r>
      <w:hyperlink w:anchor="angel">
        <w:r>
          <w:rPr>
            <w:color w:val="000000"/>
          </w:rPr>
          <w:t xml:space="preserve">Angel</w:t>
        </w:r>
      </w:hyperlink>
    </w:p>
    <w:p>
      <w:pPr>
        <w:ind w:left="187" w:hanging="187"/>
      </w:pPr>
      <w:r>
        <w:t xml:space="preserve">• </w:t>
      </w:r>
      <w:r>
        <w:rPr>
          <w:b w:val="0"/>
          <w:i/>
        </w:rPr>
        <w:t>mentes angelicae</w:t>
      </w:r>
      <w:r>
        <w:rPr>
          <w:b w:val="0"/>
          <w:i w:val="0"/>
        </w:rPr>
        <w:t xml:space="preserve"> — </w:t>
      </w:r>
      <w:hyperlink w:anchor="mind">
        <w:r>
          <w:rPr>
            <w:color w:val="000000"/>
          </w:rPr>
          <w:t xml:space="preserve">Mind</w:t>
        </w:r>
      </w:hyperlink>
    </w:p>
    <w:p>
      <w:pPr>
        <w:ind w:left="187" w:hanging="187"/>
      </w:pPr>
      <w:r>
        <w:t xml:space="preserve">• </w:t>
      </w:r>
      <w:r>
        <w:rPr>
          <w:b w:val="0"/>
          <w:i/>
        </w:rPr>
        <w:t>mentes animales</w:t>
      </w:r>
      <w:r>
        <w:rPr>
          <w:b w:val="0"/>
          <w:i w:val="0"/>
        </w:rPr>
        <w:t xml:space="preserve"> — </w:t>
      </w:r>
      <w:hyperlink w:anchor="mind">
        <w:r>
          <w:rPr>
            <w:color w:val="000000"/>
          </w:rPr>
          <w:t xml:space="preserve">Mind</w:t>
        </w:r>
      </w:hyperlink>
    </w:p>
    <w:p>
      <w:pPr>
        <w:ind w:left="187" w:hanging="187"/>
      </w:pPr>
      <w:r>
        <w:t xml:space="preserve">• </w:t>
      </w:r>
      <w:r>
        <w:rPr>
          <w:b w:val="0"/>
          <w:i/>
        </w:rPr>
        <w:t>menti … secundae</w:t>
      </w:r>
      <w:r>
        <w:rPr>
          <w:b w:val="0"/>
          <w:i w:val="0"/>
        </w:rPr>
        <w:t xml:space="preserve"> — </w:t>
      </w:r>
      <w:hyperlink w:anchor="second-mind">
        <w:r>
          <w:rPr>
            <w:color w:val="000000"/>
          </w:rPr>
          <w:t xml:space="preserve">Second mind</w:t>
        </w:r>
      </w:hyperlink>
    </w:p>
    <w:p>
      <w:pPr>
        <w:ind w:left="187" w:hanging="187"/>
      </w:pPr>
      <w:r>
        <w:t xml:space="preserve">• </w:t>
      </w:r>
      <w:r>
        <w:rPr>
          <w:b w:val="0"/>
          <w:i/>
        </w:rPr>
        <w:t>mentis potentia machinatrix</w:t>
      </w:r>
      <w:r>
        <w:rPr>
          <w:b w:val="0"/>
          <w:i w:val="0"/>
        </w:rPr>
        <w:t xml:space="preserve"> — </w:t>
      </w:r>
      <w:hyperlink w:anchor="productive-and-designing-power">
        <w:r>
          <w:rPr>
            <w:color w:val="000000"/>
          </w:rPr>
          <w:t xml:space="preserve">Productive and designing power</w:t>
        </w:r>
      </w:hyperlink>
    </w:p>
    <w:p>
      <w:pPr>
        <w:ind w:left="187" w:hanging="187"/>
      </w:pPr>
      <w:r>
        <w:t xml:space="preserve">• </w:t>
      </w:r>
      <w:r>
        <w:rPr>
          <w:b w:val="0"/>
          <w:i/>
        </w:rPr>
        <w:t>Mercuriales theologi</w:t>
      </w:r>
      <w:r>
        <w:rPr>
          <w:b w:val="0"/>
          <w:i w:val="0"/>
        </w:rPr>
        <w:t xml:space="preserve"> — </w:t>
      </w:r>
      <w:hyperlink w:anchor="hermetic-theologians-and-the-magi">
        <w:r>
          <w:rPr>
            <w:color w:val="000000"/>
          </w:rPr>
          <w:t xml:space="preserve">Hermetic theologians and the Magi</w:t>
        </w:r>
      </w:hyperlink>
    </w:p>
    <w:p>
      <w:pPr>
        <w:ind w:left="187" w:hanging="187"/>
      </w:pPr>
      <w:r>
        <w:t xml:space="preserve">• </w:t>
      </w:r>
      <w:r>
        <w:rPr>
          <w:b w:val="0"/>
          <w:i/>
        </w:rPr>
        <w:t>merus actus</w:t>
      </w:r>
      <w:r>
        <w:rPr>
          <w:b w:val="0"/>
          <w:i w:val="0"/>
        </w:rPr>
        <w:t xml:space="preserve"> — </w:t>
      </w:r>
      <w:hyperlink w:anchor="act-and-operation">
        <w:r>
          <w:rPr>
            <w:color w:val="000000"/>
          </w:rPr>
          <w:t xml:space="preserve">Act and operation</w:t>
        </w:r>
      </w:hyperlink>
    </w:p>
    <w:p>
      <w:pPr>
        <w:ind w:left="187" w:hanging="187"/>
      </w:pPr>
      <w:r>
        <w:t xml:space="preserve">• </w:t>
      </w:r>
      <w:r>
        <w:rPr>
          <w:b w:val="0"/>
          <w:i/>
        </w:rPr>
        <w:t>metaphysicae</w:t>
      </w:r>
      <w:r>
        <w:rPr>
          <w:b w:val="0"/>
          <w:i w:val="0"/>
        </w:rPr>
        <w:t xml:space="preserve"> — </w:t>
      </w:r>
      <w:hyperlink w:anchor="separation-and-abstraction">
        <w:r>
          <w:rPr>
            <w:color w:val="000000"/>
          </w:rPr>
          <w:t xml:space="preserve">Separation and abstraction</w:t>
        </w:r>
      </w:hyperlink>
    </w:p>
    <w:p>
      <w:pPr>
        <w:ind w:left="187" w:hanging="187"/>
      </w:pPr>
      <w:r>
        <w:t xml:space="preserve">• </w:t>
      </w:r>
      <w:r>
        <w:rPr>
          <w:b w:val="0"/>
          <w:i/>
        </w:rPr>
        <w:t>minima</w:t>
      </w:r>
      <w:r>
        <w:rPr>
          <w:b w:val="0"/>
          <w:i w:val="0"/>
        </w:rPr>
        <w:t xml:space="preserve"> — </w:t>
      </w:r>
      <w:hyperlink w:anchor="universals-and-individuals">
        <w:r>
          <w:rPr>
            <w:color w:val="000000"/>
          </w:rPr>
          <w:t xml:space="preserve">Universals and individuals</w:t>
        </w:r>
      </w:hyperlink>
    </w:p>
    <w:p>
      <w:pPr>
        <w:ind w:left="187" w:hanging="187"/>
      </w:pPr>
      <w:r>
        <w:t xml:space="preserve">• </w:t>
      </w:r>
      <w:r>
        <w:rPr>
          <w:b w:val="0"/>
          <w:i/>
        </w:rPr>
        <w:t>miscere</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Mitris</w:t>
      </w:r>
      <w:r>
        <w:rPr>
          <w:b w:val="0"/>
          <w:i w:val="0"/>
        </w:rPr>
        <w:t xml:space="preserve"> — </w:t>
      </w:r>
      <w:hyperlink w:anchor="hermetic-theologians-and-the-magi">
        <w:r>
          <w:rPr>
            <w:color w:val="000000"/>
          </w:rPr>
          <w:t xml:space="preserve">Hermetic theologians and the Magi</w:t>
        </w:r>
      </w:hyperlink>
    </w:p>
    <w:p>
      <w:pPr>
        <w:ind w:left="187" w:hanging="187"/>
      </w:pPr>
      <w:r>
        <w:t xml:space="preserve">• </w:t>
      </w:r>
      <w:r>
        <w:rPr>
          <w:b w:val="0"/>
          <w:i/>
        </w:rPr>
        <w:t>mixtio</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mobile per se ipsum</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mobilis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mobilis per se</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moles</w:t>
      </w:r>
      <w:r>
        <w:rPr>
          <w:b w:val="0"/>
          <w:i w:val="0"/>
        </w:rPr>
        <w:t xml:space="preserve"> — </w:t>
      </w:r>
      <w:hyperlink w:anchor="body-and-bulk">
        <w:r>
          <w:rPr>
            <w:color w:val="000000"/>
          </w:rPr>
          <w:t xml:space="preserve">Body and bulk</w:t>
        </w:r>
      </w:hyperlink>
    </w:p>
    <w:p>
      <w:pPr>
        <w:ind w:left="187" w:hanging="187"/>
      </w:pPr>
      <w:r>
        <w:t xml:space="preserve">• </w:t>
      </w:r>
      <w:r>
        <w:rPr>
          <w:b w:val="0"/>
          <w:i/>
        </w:rPr>
        <w:t>moles corporis</w:t>
      </w:r>
      <w:r>
        <w:rPr>
          <w:b w:val="0"/>
          <w:i w:val="0"/>
        </w:rPr>
        <w:t xml:space="preserve"> — </w:t>
      </w:r>
      <w:hyperlink w:anchor="body-and-bulk">
        <w:r>
          <w:rPr>
            <w:color w:val="000000"/>
          </w:rPr>
          <w:t xml:space="preserve">Body and bulk</w:t>
        </w:r>
      </w:hyperlink>
    </w:p>
    <w:p>
      <w:pPr>
        <w:ind w:left="187" w:hanging="187"/>
      </w:pPr>
      <w:r>
        <w:t xml:space="preserve">• </w:t>
      </w:r>
      <w:r>
        <w:rPr>
          <w:b w:val="0"/>
          <w:i/>
        </w:rPr>
        <w:t>momenta</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momentum</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motio</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motionum omnium fini</w:t>
      </w:r>
      <w:r>
        <w:rPr>
          <w:b w:val="0"/>
          <w:i w:val="0"/>
        </w:rPr>
        <w:t xml:space="preserve"> — </w:t>
      </w:r>
      <w:hyperlink w:anchor="end-and-limit">
        <w:r>
          <w:rPr>
            <w:color w:val="000000"/>
          </w:rPr>
          <w:t xml:space="preserve">End and limit</w:t>
        </w:r>
      </w:hyperlink>
    </w:p>
    <w:p>
      <w:pPr>
        <w:ind w:left="187" w:hanging="187"/>
      </w:pPr>
      <w:r>
        <w:t xml:space="preserve">• </w:t>
      </w:r>
      <w:r>
        <w:rPr>
          <w:b w:val="0"/>
          <w:i/>
        </w:rPr>
        <w:t>motor immobilis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motus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motus aeternus</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motus naturalis</w:t>
      </w:r>
      <w:r>
        <w:rPr>
          <w:b w:val="0"/>
          <w:i w:val="0"/>
        </w:rPr>
        <w:t xml:space="preserve"> — </w:t>
      </w:r>
      <w:hyperlink w:anchor="natural-motion-and-natural-place">
        <w:r>
          <w:rPr>
            <w:color w:val="000000"/>
          </w:rPr>
          <w:t xml:space="preserve">Natural motion and natural place</w:t>
        </w:r>
      </w:hyperlink>
    </w:p>
    <w:p>
      <w:pPr>
        <w:ind w:left="187" w:hanging="187"/>
      </w:pPr>
      <w:r>
        <w:t xml:space="preserve">• </w:t>
      </w:r>
      <w:r>
        <w:rPr>
          <w:b w:val="0"/>
          <w:i/>
        </w:rPr>
        <w:t>motus temporalis</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motus vitalis</w:t>
      </w:r>
      <w:r>
        <w:rPr>
          <w:b w:val="0"/>
          <w:i w:val="0"/>
        </w:rPr>
        <w:t xml:space="preserve"> — </w:t>
      </w:r>
      <w:hyperlink w:anchor="life">
        <w:r>
          <w:rPr>
            <w:color w:val="000000"/>
          </w:rPr>
          <w:t xml:space="preserve">Life</w:t>
        </w:r>
      </w:hyperlink>
    </w:p>
    <w:p>
      <w:pPr>
        <w:ind w:left="187" w:hanging="187"/>
      </w:pPr>
      <w:r>
        <w:t xml:space="preserve">• </w:t>
      </w:r>
      <w:r>
        <w:rPr>
          <w:b w:val="0"/>
          <w:i/>
        </w:rPr>
        <w:t>moveri</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multa</w:t>
      </w:r>
      <w:r>
        <w:rPr>
          <w:b w:val="0"/>
          <w:i w:val="0"/>
        </w:rPr>
        <w:t xml:space="preserve"> — </w:t>
      </w:r>
      <w:hyperlink w:anchor="unity-and-multiplicity">
        <w:r>
          <w:rPr>
            <w:color w:val="000000"/>
          </w:rPr>
          <w:t xml:space="preserve">Unity and multiplicity</w:t>
        </w:r>
      </w:hyperlink>
    </w:p>
    <w:p>
      <w:pPr>
        <w:ind w:left="187" w:hanging="187"/>
      </w:pPr>
      <w:r>
        <w:t xml:space="preserve">• </w:t>
      </w:r>
      <w:r>
        <w:rPr>
          <w:b w:val="0"/>
          <w:i/>
        </w:rPr>
        <w:t>multiplicatio numeri</w:t>
      </w:r>
      <w:r>
        <w:rPr>
          <w:b w:val="0"/>
          <w:i w:val="0"/>
        </w:rPr>
        <w:t xml:space="preserve"> — </w:t>
      </w:r>
      <w:hyperlink w:anchor="number">
        <w:r>
          <w:rPr>
            <w:color w:val="000000"/>
          </w:rPr>
          <w:t xml:space="preserve">Number</w:t>
        </w:r>
      </w:hyperlink>
    </w:p>
    <w:p>
      <w:pPr>
        <w:ind w:left="187" w:hanging="187"/>
      </w:pPr>
      <w:r>
        <w:t xml:space="preserve">• </w:t>
      </w:r>
      <w:r>
        <w:rPr>
          <w:b w:val="0"/>
          <w:i/>
        </w:rPr>
        <w:t>multitudo</w:t>
      </w:r>
      <w:r>
        <w:rPr>
          <w:b w:val="0"/>
          <w:i w:val="0"/>
        </w:rPr>
        <w:t xml:space="preserve"> — </w:t>
      </w:r>
      <w:hyperlink w:anchor="number">
        <w:r>
          <w:rPr>
            <w:color w:val="000000"/>
          </w:rPr>
          <w:t xml:space="preserve">Number</w:t>
        </w:r>
      </w:hyperlink>
      <w:r>
        <w:rPr>
          <w:b w:val="0"/>
          <w:i w:val="0"/>
        </w:rPr>
        <w:t xml:space="preserve">; </w:t>
      </w:r>
      <w:hyperlink w:anchor="unity-and-multiplicity">
        <w:r>
          <w:rPr>
            <w:color w:val="000000"/>
          </w:rPr>
          <w:t xml:space="preserve">Unity and multiplicity</w:t>
        </w:r>
      </w:hyperlink>
    </w:p>
    <w:p>
      <w:pPr>
        <w:ind w:left="187" w:hanging="187"/>
      </w:pPr>
      <w:r>
        <w:t xml:space="preserve">• </w:t>
      </w:r>
      <w:r>
        <w:rPr>
          <w:b w:val="0"/>
          <w:i/>
        </w:rPr>
        <w:t>mundanos instinctus</w:t>
      </w:r>
      <w:r>
        <w:rPr>
          <w:b w:val="0"/>
          <w:i w:val="0"/>
        </w:rPr>
        <w:t xml:space="preserve"> — </w:t>
      </w:r>
      <w:hyperlink w:anchor="celestial-influence">
        <w:r>
          <w:rPr>
            <w:color w:val="000000"/>
          </w:rPr>
          <w:t xml:space="preserve">Celestial influence</w:t>
        </w:r>
      </w:hyperlink>
    </w:p>
    <w:p>
      <w:pPr>
        <w:ind w:left="187" w:hanging="187"/>
      </w:pPr>
      <w:r>
        <w:t xml:space="preserve">• </w:t>
      </w:r>
      <w:r>
        <w:rPr>
          <w:b w:val="0"/>
          <w:i/>
        </w:rPr>
        <w:t>mundi machina</w:t>
      </w:r>
      <w:r>
        <w:rPr>
          <w:b w:val="0"/>
          <w:i w:val="0"/>
        </w:rPr>
        <w:t xml:space="preserve"> — </w:t>
      </w:r>
      <w:hyperlink w:anchor="world-and-universe">
        <w:r>
          <w:rPr>
            <w:color w:val="000000"/>
          </w:rPr>
          <w:t xml:space="preserve">World and universe</w:t>
        </w:r>
      </w:hyperlink>
    </w:p>
    <w:p>
      <w:pPr>
        <w:ind w:left="187" w:hanging="187"/>
      </w:pPr>
      <w:r>
        <w:t xml:space="preserve">• </w:t>
      </w:r>
      <w:r>
        <w:rPr>
          <w:b w:val="0"/>
          <w:i/>
        </w:rPr>
        <w:t>mundi restitutio</w:t>
      </w:r>
      <w:r>
        <w:rPr>
          <w:b w:val="0"/>
          <w:i w:val="0"/>
        </w:rPr>
        <w:t xml:space="preserve"> — </w:t>
      </w:r>
      <w:hyperlink w:anchor="great-year">
        <w:r>
          <w:rPr>
            <w:color w:val="000000"/>
          </w:rPr>
          <w:t xml:space="preserve">Great year</w:t>
        </w:r>
      </w:hyperlink>
    </w:p>
    <w:p>
      <w:pPr>
        <w:ind w:left="187" w:hanging="187"/>
      </w:pPr>
      <w:r>
        <w:t xml:space="preserve">• </w:t>
      </w:r>
      <w:r>
        <w:rPr>
          <w:b w:val="0"/>
          <w:i/>
        </w:rPr>
        <w:t>mundi senium</w:t>
      </w:r>
      <w:r>
        <w:rPr>
          <w:b w:val="0"/>
          <w:i w:val="0"/>
        </w:rPr>
        <w:t xml:space="preserve"> — </w:t>
      </w:r>
      <w:hyperlink w:anchor="great-year">
        <w:r>
          <w:rPr>
            <w:color w:val="000000"/>
          </w:rPr>
          <w:t xml:space="preserve">Great year</w:t>
        </w:r>
      </w:hyperlink>
    </w:p>
    <w:p>
      <w:pPr>
        <w:ind w:left="187" w:hanging="187"/>
      </w:pPr>
      <w:r>
        <w:t xml:space="preserve">• </w:t>
      </w:r>
      <w:r>
        <w:rPr>
          <w:b w:val="0"/>
          <w:i/>
        </w:rPr>
        <w:t>mundi series</w:t>
      </w:r>
      <w:r>
        <w:rPr>
          <w:b w:val="0"/>
          <w:i w:val="0"/>
        </w:rPr>
        <w:t xml:space="preserve"> — </w:t>
      </w:r>
      <w:hyperlink w:anchor="bond-knot-and-chain">
        <w:r>
          <w:rPr>
            <w:color w:val="000000"/>
          </w:rPr>
          <w:t xml:space="preserve">Bond knot and chain</w:t>
        </w:r>
      </w:hyperlink>
    </w:p>
    <w:p>
      <w:pPr>
        <w:ind w:left="187" w:hanging="187"/>
      </w:pPr>
      <w:r>
        <w:t xml:space="preserve">• </w:t>
      </w:r>
      <w:r>
        <w:rPr>
          <w:b w:val="0"/>
          <w:i/>
        </w:rPr>
        <w:t>mundi sphaerae</w:t>
      </w:r>
      <w:r>
        <w:rPr>
          <w:b w:val="0"/>
          <w:i w:val="0"/>
        </w:rPr>
        <w:t xml:space="preserve"> — </w:t>
      </w:r>
      <w:hyperlink w:anchor="world-and-universe">
        <w:r>
          <w:rPr>
            <w:color w:val="000000"/>
          </w:rPr>
          <w:t xml:space="preserve">World and universe</w:t>
        </w:r>
      </w:hyperlink>
    </w:p>
    <w:p>
      <w:pPr>
        <w:ind w:left="187" w:hanging="187"/>
      </w:pPr>
      <w:r>
        <w:t xml:space="preserve">• </w:t>
      </w:r>
      <w:r>
        <w:rPr>
          <w:b w:val="0"/>
          <w:i/>
        </w:rPr>
        <w:t>mundus</w:t>
      </w:r>
      <w:r>
        <w:rPr>
          <w:b w:val="0"/>
          <w:i w:val="0"/>
        </w:rPr>
        <w:t xml:space="preserve"> — </w:t>
      </w:r>
      <w:hyperlink w:anchor="world-and-universe">
        <w:r>
          <w:rPr>
            <w:color w:val="000000"/>
          </w:rPr>
          <w:t xml:space="preserve">World and universe</w:t>
        </w:r>
      </w:hyperlink>
    </w:p>
    <w:p>
      <w:pPr>
        <w:ind w:left="187" w:hanging="187"/>
      </w:pPr>
      <w:r>
        <w:t xml:space="preserve">• </w:t>
      </w:r>
      <w:r>
        <w:rPr>
          <w:b w:val="0"/>
          <w:i/>
        </w:rPr>
        <w:t>munus</w:t>
      </w:r>
      <w:r>
        <w:rPr>
          <w:b w:val="0"/>
          <w:i w:val="0"/>
        </w:rPr>
        <w:t xml:space="preserve"> — </w:t>
      </w:r>
      <w:hyperlink w:anchor="communication-and-imparting">
        <w:r>
          <w:rPr>
            <w:color w:val="000000"/>
          </w:rPr>
          <w:t xml:space="preserve">Communication and imparting</w:t>
        </w:r>
      </w:hyperlink>
    </w:p>
    <w:p>
      <w:pPr>
        <w:ind w:left="187" w:hanging="187"/>
      </w:pPr>
      <w:r>
        <w:t xml:space="preserve">• </w:t>
      </w:r>
      <w:r>
        <w:rPr>
          <w:b w:val="0"/>
          <w:i/>
        </w:rPr>
        <w:t>Musae</w:t>
      </w:r>
      <w:r>
        <w:rPr>
          <w:b w:val="0"/>
          <w:i w:val="0"/>
        </w:rPr>
        <w:t xml:space="preserve"> — </w:t>
      </w:r>
      <w:hyperlink w:anchor="bacchus-and-the-muses">
        <w:r>
          <w:rPr>
            <w:color w:val="000000"/>
          </w:rPr>
          <w:t xml:space="preserve">Bacchus and the Muses</w:t>
        </w:r>
      </w:hyperlink>
    </w:p>
    <w:p>
      <w:pPr>
        <w:ind w:left="187" w:hanging="187"/>
      </w:pPr>
      <w:r>
        <w:t xml:space="preserve">• </w:t>
      </w:r>
      <w:r>
        <w:rPr>
          <w:b w:val="0"/>
          <w:i/>
        </w:rPr>
        <w:t>mutantem … formas</w:t>
      </w:r>
      <w:r>
        <w:rPr>
          <w:b w:val="0"/>
          <w:i w:val="0"/>
        </w:rPr>
        <w:t xml:space="preserve"> — </w:t>
      </w:r>
      <w:hyperlink w:anchor="proteus">
        <w:r>
          <w:rPr>
            <w:color w:val="000000"/>
          </w:rPr>
          <w:t xml:space="preserve">Proteus</w:t>
        </w:r>
      </w:hyperlink>
    </w:p>
    <w:p>
      <w:pPr>
        <w:ind w:left="187" w:hanging="187"/>
      </w:pPr>
      <w:r>
        <w:t xml:space="preserve">• </w:t>
      </w:r>
      <w:r>
        <w:rPr>
          <w:b w:val="0"/>
          <w:i/>
        </w:rPr>
        <w:t>natura</w:t>
      </w:r>
      <w:r>
        <w:rPr>
          <w:b w:val="0"/>
          <w:i w:val="0"/>
        </w:rPr>
        <w:t xml:space="preserve"> — </w:t>
      </w:r>
      <w:hyperlink w:anchor="art-and-nature">
        <w:r>
          <w:rPr>
            <w:color w:val="000000"/>
          </w:rPr>
          <w:t xml:space="preserve">Art and nature</w:t>
        </w:r>
      </w:hyperlink>
    </w:p>
    <w:p>
      <w:pPr>
        <w:ind w:left="187" w:hanging="187"/>
      </w:pPr>
      <w:r>
        <w:t xml:space="preserve">• </w:t>
      </w:r>
      <w:r>
        <w:rPr>
          <w:b w:val="0"/>
          <w:i/>
        </w:rPr>
        <w:t>natura corporalis</w:t>
      </w:r>
      <w:r>
        <w:rPr>
          <w:b w:val="0"/>
          <w:i w:val="0"/>
        </w:rPr>
        <w:t xml:space="preserve"> — </w:t>
      </w:r>
      <w:hyperlink w:anchor="body-and-bulk">
        <w:r>
          <w:rPr>
            <w:color w:val="000000"/>
          </w:rPr>
          <w:t xml:space="preserve">Body and bulk</w:t>
        </w:r>
      </w:hyperlink>
    </w:p>
    <w:p>
      <w:pPr>
        <w:ind w:left="187" w:hanging="187"/>
      </w:pPr>
      <w:r>
        <w:t xml:space="preserve">• </w:t>
      </w:r>
      <w:r>
        <w:rPr>
          <w:b w:val="0"/>
          <w:i/>
        </w:rPr>
        <w:t>natura intellectualis</w:t>
      </w:r>
      <w:r>
        <w:rPr>
          <w:b w:val="0"/>
          <w:i w:val="0"/>
        </w:rPr>
        <w:t xml:space="preserve"> — </w:t>
      </w:r>
      <w:hyperlink w:anchor="art-and-nature">
        <w:r>
          <w:rPr>
            <w:color w:val="000000"/>
          </w:rPr>
          <w:t xml:space="preserve">Art and nature</w:t>
        </w:r>
      </w:hyperlink>
    </w:p>
    <w:p>
      <w:pPr>
        <w:ind w:left="187" w:hanging="187"/>
      </w:pPr>
      <w:r>
        <w:t xml:space="preserve">• </w:t>
      </w:r>
      <w:r>
        <w:rPr>
          <w:b w:val="0"/>
          <w:i/>
        </w:rPr>
        <w:t>natura media</w:t>
      </w:r>
      <w:r>
        <w:rPr>
          <w:b w:val="0"/>
          <w:i w:val="0"/>
        </w:rPr>
        <w:t xml:space="preserve"> — </w:t>
      </w:r>
      <w:hyperlink w:anchor="degree-and-mediation">
        <w:r>
          <w:rPr>
            <w:color w:val="000000"/>
          </w:rPr>
          <w:t xml:space="preserve">Degree and mediation</w:t>
        </w:r>
      </w:hyperlink>
    </w:p>
    <w:p>
      <w:pPr>
        <w:ind w:left="187" w:hanging="187"/>
      </w:pPr>
      <w:r>
        <w:t xml:space="preserve">• </w:t>
      </w:r>
      <w:r>
        <w:rPr>
          <w:b w:val="0"/>
          <w:i/>
        </w:rPr>
        <w:t>natura nuda</w:t>
      </w:r>
      <w:r>
        <w:rPr>
          <w:b w:val="0"/>
          <w:i w:val="0"/>
        </w:rPr>
        <w:t xml:space="preserve"> — </w:t>
      </w:r>
      <w:hyperlink w:anchor="art-and-nature">
        <w:r>
          <w:rPr>
            <w:color w:val="000000"/>
          </w:rPr>
          <w:t xml:space="preserve">Art and nature</w:t>
        </w:r>
      </w:hyperlink>
    </w:p>
    <w:p>
      <w:pPr>
        <w:ind w:left="187" w:hanging="187"/>
      </w:pPr>
      <w:r>
        <w:t xml:space="preserve">• </w:t>
      </w:r>
      <w:r>
        <w:rPr>
          <w:b w:val="0"/>
          <w:i/>
        </w:rPr>
        <w:t>naturae necessitas</w:t>
      </w:r>
      <w:r>
        <w:rPr>
          <w:b w:val="0"/>
          <w:i w:val="0"/>
        </w:rPr>
        <w:t xml:space="preserve"> — </w:t>
      </w:r>
      <w:hyperlink w:anchor="art-and-nature">
        <w:r>
          <w:rPr>
            <w:color w:val="000000"/>
          </w:rPr>
          <w:t xml:space="preserve">Art and nature</w:t>
        </w:r>
      </w:hyperlink>
    </w:p>
    <w:p>
      <w:pPr>
        <w:ind w:left="187" w:hanging="187"/>
      </w:pPr>
      <w:r>
        <w:t xml:space="preserve">• </w:t>
      </w:r>
      <w:r>
        <w:rPr>
          <w:b w:val="0"/>
          <w:i/>
        </w:rPr>
        <w:t>naturae opus</w:t>
      </w:r>
      <w:r>
        <w:rPr>
          <w:b w:val="0"/>
          <w:i w:val="0"/>
        </w:rPr>
        <w:t xml:space="preserve"> — </w:t>
      </w:r>
      <w:hyperlink w:anchor="art-and-nature">
        <w:r>
          <w:rPr>
            <w:color w:val="000000"/>
          </w:rPr>
          <w:t xml:space="preserve">Art and nature</w:t>
        </w:r>
      </w:hyperlink>
    </w:p>
    <w:p>
      <w:pPr>
        <w:ind w:left="187" w:hanging="187"/>
      </w:pPr>
      <w:r>
        <w:t xml:space="preserve">• </w:t>
      </w:r>
      <w:r>
        <w:rPr>
          <w:b w:val="0"/>
          <w:i/>
        </w:rPr>
        <w:t>naturalia semina</w:t>
      </w:r>
      <w:r>
        <w:rPr>
          <w:b w:val="0"/>
          <w:i w:val="0"/>
        </w:rPr>
        <w:t xml:space="preserve"> — </w:t>
      </w:r>
      <w:hyperlink w:anchor="seeds">
        <w:r>
          <w:rPr>
            <w:color w:val="000000"/>
          </w:rPr>
          <w:t xml:space="preserve">Seeds</w:t>
        </w:r>
      </w:hyperlink>
    </w:p>
    <w:p>
      <w:pPr>
        <w:ind w:left="187" w:hanging="187"/>
      </w:pPr>
      <w:r>
        <w:t xml:space="preserve">• </w:t>
      </w:r>
      <w:r>
        <w:rPr>
          <w:b w:val="0"/>
          <w:i/>
        </w:rPr>
        <w:t>naturalis</w:t>
      </w:r>
      <w:r>
        <w:rPr>
          <w:b w:val="0"/>
          <w:i w:val="0"/>
        </w:rPr>
        <w:t xml:space="preserve"> — </w:t>
      </w:r>
      <w:hyperlink w:anchor="art-and-nature">
        <w:r>
          <w:rPr>
            <w:color w:val="000000"/>
          </w:rPr>
          <w:t xml:space="preserve">Art and nature</w:t>
        </w:r>
      </w:hyperlink>
    </w:p>
    <w:p>
      <w:pPr>
        <w:ind w:left="187" w:hanging="187"/>
      </w:pPr>
      <w:r>
        <w:t xml:space="preserve">• </w:t>
      </w:r>
      <w:r>
        <w:rPr>
          <w:b w:val="0"/>
          <w:i/>
        </w:rPr>
        <w:t>naturalis instinctus</w:t>
      </w:r>
      <w:r>
        <w:rPr>
          <w:b w:val="0"/>
          <w:i w:val="0"/>
        </w:rPr>
        <w:t xml:space="preserve"> — </w:t>
      </w:r>
      <w:hyperlink w:anchor="art-and-nature">
        <w:r>
          <w:rPr>
            <w:color w:val="000000"/>
          </w:rPr>
          <w:t xml:space="preserve">Art and nature</w:t>
        </w:r>
      </w:hyperlink>
    </w:p>
    <w:p>
      <w:pPr>
        <w:ind w:left="187" w:hanging="187"/>
      </w:pPr>
      <w:r>
        <w:t xml:space="preserve">• </w:t>
      </w:r>
      <w:r>
        <w:rPr>
          <w:b w:val="0"/>
          <w:i/>
        </w:rPr>
        <w:t>naturam multiplicem</w:t>
      </w:r>
      <w:r>
        <w:rPr>
          <w:b w:val="0"/>
          <w:i w:val="0"/>
        </w:rPr>
        <w:t xml:space="preserve"> — </w:t>
      </w:r>
      <w:hyperlink w:anchor="number">
        <w:r>
          <w:rPr>
            <w:color w:val="000000"/>
          </w:rPr>
          <w:t xml:space="preserve">Number</w:t>
        </w:r>
      </w:hyperlink>
    </w:p>
    <w:p>
      <w:pPr>
        <w:ind w:left="187" w:hanging="187"/>
      </w:pPr>
      <w:r>
        <w:t xml:space="preserve">• </w:t>
      </w:r>
      <w:r>
        <w:rPr>
          <w:b w:val="0"/>
          <w:i/>
        </w:rPr>
        <w:t>necessario per se ipsum</w:t>
      </w:r>
      <w:r>
        <w:rPr>
          <w:b w:val="0"/>
          <w:i w:val="0"/>
        </w:rPr>
        <w:t xml:space="preserve"> — </w:t>
      </w:r>
      <w:hyperlink w:anchor="freedom-and-necessity">
        <w:r>
          <w:rPr>
            <w:color w:val="000000"/>
          </w:rPr>
          <w:t xml:space="preserve">Freedom and necessity</w:t>
        </w:r>
      </w:hyperlink>
    </w:p>
    <w:p>
      <w:pPr>
        <w:ind w:left="187" w:hanging="187"/>
      </w:pPr>
      <w:r>
        <w:t xml:space="preserve">• </w:t>
      </w:r>
      <w:r>
        <w:rPr>
          <w:b w:val="0"/>
          <w:i/>
        </w:rPr>
        <w:t>necessitas</w:t>
      </w:r>
      <w:r>
        <w:rPr>
          <w:b w:val="0"/>
          <w:i w:val="0"/>
        </w:rPr>
        <w:t xml:space="preserve"> — </w:t>
      </w:r>
      <w:hyperlink w:anchor="freedom-and-necessity">
        <w:r>
          <w:rPr>
            <w:color w:val="000000"/>
          </w:rPr>
          <w:t xml:space="preserve">Freedom and necessity</w:t>
        </w:r>
      </w:hyperlink>
    </w:p>
    <w:p>
      <w:pPr>
        <w:ind w:left="187" w:hanging="187"/>
      </w:pPr>
      <w:r>
        <w:t xml:space="preserve">• </w:t>
      </w:r>
      <w:r>
        <w:rPr>
          <w:b w:val="0"/>
          <w:i/>
        </w:rPr>
        <w:t>necessitas absoluta</w:t>
      </w:r>
      <w:r>
        <w:rPr>
          <w:b w:val="0"/>
          <w:i w:val="0"/>
        </w:rPr>
        <w:t xml:space="preserve"> — </w:t>
      </w:r>
      <w:hyperlink w:anchor="freedom-and-necessity">
        <w:r>
          <w:rPr>
            <w:color w:val="000000"/>
          </w:rPr>
          <w:t xml:space="preserve">Freedom and necessity</w:t>
        </w:r>
      </w:hyperlink>
    </w:p>
    <w:p>
      <w:pPr>
        <w:ind w:left="187" w:hanging="187"/>
      </w:pPr>
      <w:r>
        <w:t xml:space="preserve">• </w:t>
      </w:r>
      <w:r>
        <w:rPr>
          <w:b w:val="0"/>
          <w:i/>
        </w:rPr>
        <w:t>Nereides</w:t>
      </w:r>
      <w:r>
        <w:rPr>
          <w:b w:val="0"/>
          <w:i w:val="0"/>
        </w:rPr>
        <w:t xml:space="preserve"> — </w:t>
      </w:r>
      <w:hyperlink w:anchor="daemons">
        <w:r>
          <w:rPr>
            <w:color w:val="000000"/>
          </w:rPr>
          <w:t xml:space="preserve">Daemons</w:t>
        </w:r>
      </w:hyperlink>
    </w:p>
    <w:p>
      <w:pPr>
        <w:ind w:left="187" w:hanging="187"/>
      </w:pPr>
      <w:r>
        <w:t xml:space="preserve">• </w:t>
      </w:r>
      <w:r>
        <w:rPr>
          <w:b w:val="0"/>
          <w:i/>
        </w:rPr>
        <w:t>nihil</w:t>
      </w:r>
      <w:r>
        <w:rPr>
          <w:b w:val="0"/>
          <w:i w:val="0"/>
        </w:rPr>
        <w:t xml:space="preserve"> — </w:t>
      </w:r>
      <w:hyperlink w:anchor="nothing-and-nonbeing">
        <w:r>
          <w:rPr>
            <w:color w:val="000000"/>
          </w:rPr>
          <w:t xml:space="preserve">Nothing and nonbeing</w:t>
        </w:r>
      </w:hyperlink>
    </w:p>
    <w:p>
      <w:pPr>
        <w:ind w:left="187" w:hanging="187"/>
      </w:pPr>
      <w:r>
        <w:t xml:space="preserve">• </w:t>
      </w:r>
      <w:r>
        <w:rPr>
          <w:b w:val="0"/>
          <w:i/>
        </w:rPr>
        <w:t>nihilum</w:t>
      </w:r>
      <w:r>
        <w:rPr>
          <w:b w:val="0"/>
          <w:i w:val="0"/>
        </w:rPr>
        <w:t xml:space="preserve"> — </w:t>
      </w:r>
      <w:hyperlink w:anchor="nothing-and-nonbeing">
        <w:r>
          <w:rPr>
            <w:color w:val="000000"/>
          </w:rPr>
          <w:t xml:space="preserve">Nothing and nonbeing</w:t>
        </w:r>
      </w:hyperlink>
    </w:p>
    <w:p>
      <w:pPr>
        <w:ind w:left="187" w:hanging="187"/>
      </w:pPr>
      <w:r>
        <w:t xml:space="preserve">• </w:t>
      </w:r>
      <w:r>
        <w:rPr>
          <w:b w:val="0"/>
          <w:i/>
        </w:rPr>
        <w:t>nixus</w:t>
      </w:r>
      <w:r>
        <w:rPr>
          <w:b w:val="0"/>
          <w:i w:val="0"/>
        </w:rPr>
        <w:t xml:space="preserve"> — </w:t>
      </w:r>
      <w:hyperlink w:anchor="appetite-and-desire">
        <w:r>
          <w:rPr>
            <w:color w:val="000000"/>
          </w:rPr>
          <w:t xml:space="preserve">Appetite and desire</w:t>
        </w:r>
      </w:hyperlink>
    </w:p>
    <w:p>
      <w:pPr>
        <w:ind w:left="187" w:hanging="187"/>
      </w:pPr>
      <w:r>
        <w:t xml:space="preserve">• </w:t>
      </w:r>
      <w:r>
        <w:rPr>
          <w:b w:val="0"/>
          <w:i/>
        </w:rPr>
        <w:t>nodus</w:t>
      </w:r>
      <w:r>
        <w:rPr>
          <w:b w:val="0"/>
          <w:i w:val="0"/>
        </w:rPr>
        <w:t xml:space="preserve"> — </w:t>
      </w:r>
      <w:hyperlink w:anchor="bond-knot-and-chain">
        <w:r>
          <w:rPr>
            <w:color w:val="000000"/>
          </w:rPr>
          <w:t xml:space="preserve">Bond knot and chain</w:t>
        </w:r>
      </w:hyperlink>
      <w:r>
        <w:rPr>
          <w:b w:val="0"/>
          <w:i w:val="0"/>
        </w:rPr>
        <w:t xml:space="preserve">; </w:t>
      </w:r>
      <w:hyperlink w:anchor="soul">
        <w:r>
          <w:rPr>
            <w:color w:val="000000"/>
          </w:rPr>
          <w:t xml:space="preserve">Soul</w:t>
        </w:r>
      </w:hyperlink>
    </w:p>
    <w:p>
      <w:pPr>
        <w:ind w:left="187" w:hanging="187"/>
      </w:pPr>
      <w:r>
        <w:t xml:space="preserve">• </w:t>
      </w:r>
      <w:r>
        <w:rPr>
          <w:b w:val="0"/>
          <w:i/>
        </w:rPr>
        <w:t>nolle</w:t>
      </w:r>
      <w:r>
        <w:rPr>
          <w:b w:val="0"/>
          <w:i w:val="0"/>
        </w:rPr>
        <w:t xml:space="preserve"> — </w:t>
      </w:r>
      <w:hyperlink w:anchor="choice-and-deliberation">
        <w:r>
          <w:rPr>
            <w:color w:val="000000"/>
          </w:rPr>
          <w:t xml:space="preserve">Choice and deliberation</w:t>
        </w:r>
      </w:hyperlink>
      <w:r>
        <w:rPr>
          <w:b w:val="0"/>
          <w:i w:val="0"/>
        </w:rPr>
        <w:t xml:space="preserve">; </w:t>
      </w:r>
      <w:hyperlink w:anchor="freedom-and-necessity">
        <w:r>
          <w:rPr>
            <w:color w:val="000000"/>
          </w:rPr>
          <w:t xml:space="preserve">Freedom and necessity</w:t>
        </w:r>
      </w:hyperlink>
      <w:r>
        <w:rPr>
          <w:b w:val="0"/>
          <w:i w:val="0"/>
        </w:rPr>
        <w:t xml:space="preserve">; </w:t>
      </w:r>
      <w:hyperlink w:anchor="will">
        <w:r>
          <w:rPr>
            <w:color w:val="000000"/>
          </w:rPr>
          <w:t xml:space="preserve">Will</w:t>
        </w:r>
      </w:hyperlink>
    </w:p>
    <w:p>
      <w:pPr>
        <w:ind w:left="187" w:hanging="187"/>
      </w:pPr>
      <w:r>
        <w:t xml:space="preserve">• </w:t>
      </w:r>
      <w:r>
        <w:rPr>
          <w:b w:val="0"/>
          <w:i/>
        </w:rPr>
        <w:t>non ens</w:t>
      </w:r>
      <w:r>
        <w:rPr>
          <w:b w:val="0"/>
          <w:i w:val="0"/>
        </w:rPr>
        <w:t xml:space="preserve"> — </w:t>
      </w:r>
      <w:hyperlink w:anchor="infinity">
        <w:r>
          <w:rPr>
            <w:color w:val="000000"/>
          </w:rPr>
          <w:t xml:space="preserve">Infinity</w:t>
        </w:r>
      </w:hyperlink>
    </w:p>
    <w:p>
      <w:pPr>
        <w:ind w:left="187" w:hanging="187"/>
      </w:pPr>
      <w:r>
        <w:t xml:space="preserve">• </w:t>
      </w:r>
      <w:r>
        <w:rPr>
          <w:b w:val="0"/>
          <w:i/>
        </w:rPr>
        <w:t>non esse</w:t>
      </w:r>
      <w:r>
        <w:rPr>
          <w:b w:val="0"/>
          <w:i w:val="0"/>
        </w:rPr>
        <w:t xml:space="preserve"> — </w:t>
      </w:r>
      <w:hyperlink w:anchor="nothing-and-nonbeing">
        <w:r>
          <w:rPr>
            <w:color w:val="000000"/>
          </w:rPr>
          <w:t xml:space="preserve">Nothing and nonbeing</w:t>
        </w:r>
      </w:hyperlink>
    </w:p>
    <w:p>
      <w:pPr>
        <w:ind w:left="187" w:hanging="187"/>
      </w:pPr>
      <w:r>
        <w:t xml:space="preserve">• </w:t>
      </w:r>
      <w:r>
        <w:rPr>
          <w:b w:val="0"/>
          <w:i/>
        </w:rPr>
        <w:t>norma</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Nosce te ipsum</w:t>
      </w:r>
      <w:r>
        <w:rPr>
          <w:b w:val="0"/>
          <w:i w:val="0"/>
        </w:rPr>
        <w:t xml:space="preserve"> — </w:t>
      </w:r>
      <w:hyperlink w:anchor="self-knowledge">
        <w:r>
          <w:rPr>
            <w:color w:val="000000"/>
          </w:rPr>
          <w:t xml:space="preserve">Self knowledge</w:t>
        </w:r>
      </w:hyperlink>
    </w:p>
    <w:p>
      <w:pPr>
        <w:ind w:left="187" w:hanging="187"/>
      </w:pPr>
      <w:r>
        <w:t xml:space="preserve">• </w:t>
      </w:r>
      <w:r>
        <w:rPr>
          <w:b w:val="0"/>
          <w:i/>
        </w:rPr>
        <w:t>nostri iudicii libertatem</w:t>
      </w:r>
      <w:r>
        <w:rPr>
          <w:b w:val="0"/>
          <w:i w:val="0"/>
        </w:rPr>
        <w:t xml:space="preserve"> — </w:t>
      </w:r>
      <w:hyperlink w:anchor="choice-and-free-judgment">
        <w:r>
          <w:rPr>
            <w:color w:val="000000"/>
          </w:rPr>
          <w:t xml:space="preserve">Choice and free judgment</w:t>
        </w:r>
      </w:hyperlink>
    </w:p>
    <w:p>
      <w:pPr>
        <w:ind w:left="187" w:hanging="187"/>
      </w:pPr>
      <w:r>
        <w:t xml:space="preserve">• </w:t>
      </w:r>
      <w:r>
        <w:rPr>
          <w:b w:val="0"/>
          <w:i/>
        </w:rPr>
        <w:t>novenario</w:t>
      </w:r>
      <w:r>
        <w:rPr>
          <w:b w:val="0"/>
          <w:i w:val="0"/>
        </w:rPr>
        <w:t xml:space="preserve"> — </w:t>
      </w:r>
      <w:hyperlink w:anchor="number">
        <w:r>
          <w:rPr>
            <w:color w:val="000000"/>
          </w:rPr>
          <w:t xml:space="preserve">Number</w:t>
        </w:r>
      </w:hyperlink>
    </w:p>
    <w:p>
      <w:pPr>
        <w:ind w:left="187" w:hanging="187"/>
      </w:pPr>
      <w:r>
        <w:t xml:space="preserve">• </w:t>
      </w:r>
      <w:r>
        <w:rPr>
          <w:b w:val="0"/>
          <w:i/>
        </w:rPr>
        <w:t>numerum se moventem</w:t>
      </w:r>
      <w:r>
        <w:rPr>
          <w:b w:val="0"/>
          <w:i w:val="0"/>
        </w:rPr>
        <w:t xml:space="preserve"> — </w:t>
      </w:r>
      <w:hyperlink w:anchor="number">
        <w:r>
          <w:rPr>
            <w:color w:val="000000"/>
          </w:rPr>
          <w:t xml:space="preserve">Number</w:t>
        </w:r>
      </w:hyperlink>
    </w:p>
    <w:p>
      <w:pPr>
        <w:ind w:left="187" w:hanging="187"/>
      </w:pPr>
      <w:r>
        <w:t xml:space="preserve">• </w:t>
      </w:r>
      <w:r>
        <w:rPr>
          <w:b w:val="0"/>
          <w:i/>
        </w:rPr>
        <w:t>numerus</w:t>
      </w:r>
      <w:r>
        <w:rPr>
          <w:b w:val="0"/>
          <w:i w:val="0"/>
        </w:rPr>
        <w:t xml:space="preserve"> — </w:t>
      </w:r>
      <w:hyperlink w:anchor="number">
        <w:r>
          <w:rPr>
            <w:color w:val="000000"/>
          </w:rPr>
          <w:t xml:space="preserve">Number</w:t>
        </w:r>
      </w:hyperlink>
      <w:r>
        <w:rPr>
          <w:b w:val="0"/>
          <w:i w:val="0"/>
        </w:rPr>
        <w:t xml:space="preserve">; </w:t>
      </w:r>
      <w:hyperlink w:anchor="separation-and-abstraction">
        <w:r>
          <w:rPr>
            <w:color w:val="000000"/>
          </w:rPr>
          <w:t xml:space="preserve">Separation and abstraction</w:t>
        </w:r>
      </w:hyperlink>
    </w:p>
    <w:p>
      <w:pPr>
        <w:ind w:left="187" w:hanging="187"/>
      </w:pPr>
      <w:r>
        <w:t xml:space="preserve">• </w:t>
      </w:r>
      <w:r>
        <w:rPr>
          <w:b w:val="0"/>
          <w:i/>
        </w:rPr>
        <w:t>nuntii</w:t>
      </w:r>
      <w:r>
        <w:rPr>
          <w:b w:val="0"/>
          <w:i w:val="0"/>
        </w:rPr>
        <w:t xml:space="preserve"> — </w:t>
      </w:r>
      <w:hyperlink w:anchor="angel">
        <w:r>
          <w:rPr>
            <w:color w:val="000000"/>
          </w:rPr>
          <w:t xml:space="preserve">Angel</w:t>
        </w:r>
      </w:hyperlink>
    </w:p>
    <w:p>
      <w:pPr>
        <w:ind w:left="187" w:hanging="187"/>
      </w:pPr>
      <w:r>
        <w:t xml:space="preserve">• </w:t>
      </w:r>
      <w:r>
        <w:rPr>
          <w:b w:val="0"/>
          <w:i/>
        </w:rPr>
        <w:t>nusquam</w:t>
      </w:r>
      <w:r>
        <w:rPr>
          <w:b w:val="0"/>
          <w:i w:val="0"/>
        </w:rPr>
        <w:t xml:space="preserve"> — </w:t>
      </w:r>
      <w:hyperlink w:anchor="omnipresence-and-place">
        <w:r>
          <w:rPr>
            <w:color w:val="000000"/>
          </w:rPr>
          <w:t xml:space="preserve">Omnipresence and place</w:t>
        </w:r>
      </w:hyperlink>
    </w:p>
    <w:p>
      <w:pPr>
        <w:ind w:left="187" w:hanging="187"/>
      </w:pPr>
      <w:r>
        <w:t xml:space="preserve">• </w:t>
      </w:r>
      <w:r>
        <w:rPr>
          <w:b w:val="0"/>
          <w:i/>
        </w:rPr>
        <w:t>nutritio</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obiectum</w:t>
      </w:r>
      <w:r>
        <w:rPr>
          <w:b w:val="0"/>
          <w:i w:val="0"/>
        </w:rPr>
        <w:t xml:space="preserve"> — </w:t>
      </w:r>
      <w:hyperlink w:anchor="object-and-adequate-object">
        <w:r>
          <w:rPr>
            <w:color w:val="000000"/>
          </w:rPr>
          <w:t xml:space="preserve">Object and adequate object</w:t>
        </w:r>
      </w:hyperlink>
      <w:r>
        <w:rPr>
          <w:b w:val="0"/>
          <w:i w:val="0"/>
        </w:rPr>
        <w:t xml:space="preserve">; </w:t>
      </w:r>
      <w:hyperlink w:anchor="self-knowledge">
        <w:r>
          <w:rPr>
            <w:color w:val="000000"/>
          </w:rPr>
          <w:t xml:space="preserve">Self knowledge</w:t>
        </w:r>
      </w:hyperlink>
    </w:p>
    <w:p>
      <w:pPr>
        <w:ind w:left="187" w:hanging="187"/>
      </w:pPr>
      <w:r>
        <w:t xml:space="preserve">• </w:t>
      </w:r>
      <w:r>
        <w:rPr>
          <w:b w:val="0"/>
          <w:i/>
        </w:rPr>
        <w:t>oculus</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omne</w:t>
      </w:r>
      <w:r>
        <w:rPr>
          <w:b w:val="0"/>
          <w:i w:val="0"/>
        </w:rPr>
        <w:t xml:space="preserve"> — </w:t>
      </w:r>
      <w:hyperlink w:anchor="whole-and-parts">
        <w:r>
          <w:rPr>
            <w:color w:val="000000"/>
          </w:rPr>
          <w:t xml:space="preserve">Whole and parts</w:t>
        </w:r>
      </w:hyperlink>
    </w:p>
    <w:p>
      <w:pPr>
        <w:ind w:left="187" w:hanging="187"/>
      </w:pPr>
      <w:r>
        <w:t xml:space="preserve">• </w:t>
      </w:r>
      <w:r>
        <w:rPr>
          <w:b w:val="0"/>
          <w:i/>
        </w:rPr>
        <w:t>omniformis</w:t>
      </w:r>
      <w:r>
        <w:rPr>
          <w:b w:val="0"/>
          <w:i w:val="0"/>
        </w:rPr>
        <w:t xml:space="preserve"> — </w:t>
      </w:r>
      <w:hyperlink w:anchor="form">
        <w:r>
          <w:rPr>
            <w:color w:val="000000"/>
          </w:rPr>
          <w:t xml:space="preserve">Form</w:t>
        </w:r>
      </w:hyperlink>
    </w:p>
    <w:p>
      <w:pPr>
        <w:ind w:left="187" w:hanging="187"/>
      </w:pPr>
      <w:r>
        <w:t xml:space="preserve">• </w:t>
      </w:r>
      <w:r>
        <w:rPr>
          <w:b w:val="0"/>
          <w:i/>
        </w:rPr>
        <w:t>operari</w:t>
      </w:r>
      <w:r>
        <w:rPr>
          <w:b w:val="0"/>
          <w:i w:val="0"/>
        </w:rPr>
        <w:t xml:space="preserve"> — </w:t>
      </w:r>
      <w:hyperlink w:anchor="act-and-operation">
        <w:r>
          <w:rPr>
            <w:color w:val="000000"/>
          </w:rPr>
          <w:t xml:space="preserve">Act and operation</w:t>
        </w:r>
      </w:hyperlink>
    </w:p>
    <w:p>
      <w:pPr>
        <w:ind w:left="187" w:hanging="187"/>
      </w:pPr>
      <w:r>
        <w:t xml:space="preserve">• </w:t>
      </w:r>
      <w:r>
        <w:rPr>
          <w:b w:val="0"/>
          <w:i/>
        </w:rPr>
        <w:t>operatio</w:t>
      </w:r>
      <w:r>
        <w:rPr>
          <w:b w:val="0"/>
          <w:i w:val="0"/>
        </w:rPr>
        <w:t xml:space="preserve"> — </w:t>
      </w:r>
      <w:hyperlink w:anchor="act-and-operation">
        <w:r>
          <w:rPr>
            <w:color w:val="000000"/>
          </w:rPr>
          <w:t xml:space="preserve">Act and operation</w:t>
        </w:r>
      </w:hyperlink>
    </w:p>
    <w:p>
      <w:pPr>
        <w:ind w:left="187" w:hanging="187"/>
      </w:pPr>
      <w:r>
        <w:t xml:space="preserve">• </w:t>
      </w:r>
      <w:r>
        <w:rPr>
          <w:b w:val="0"/>
          <w:i/>
        </w:rPr>
        <w:t>operatio temporalis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opifex</w:t>
      </w:r>
      <w:r>
        <w:rPr>
          <w:b w:val="0"/>
          <w:i w:val="0"/>
        </w:rPr>
        <w:t xml:space="preserve"> — </w:t>
      </w:r>
      <w:hyperlink w:anchor="art-and-nature">
        <w:r>
          <w:rPr>
            <w:color w:val="000000"/>
          </w:rPr>
          <w:t xml:space="preserve">Art and nature</w:t>
        </w:r>
      </w:hyperlink>
      <w:r>
        <w:rPr>
          <w:b w:val="0"/>
          <w:i w:val="0"/>
        </w:rPr>
        <w:t xml:space="preserve">; </w:t>
      </w:r>
      <w:hyperlink w:anchor="instrument">
        <w:r>
          <w:rPr>
            <w:color w:val="000000"/>
          </w:rPr>
          <w:t xml:space="preserve">Instrument</w:t>
        </w:r>
      </w:hyperlink>
    </w:p>
    <w:p>
      <w:pPr>
        <w:ind w:left="187" w:hanging="187"/>
      </w:pPr>
      <w:r>
        <w:t xml:space="preserve">• </w:t>
      </w:r>
      <w:r>
        <w:rPr>
          <w:b w:val="0"/>
          <w:i/>
        </w:rPr>
        <w:t>opponere</w:t>
      </w:r>
      <w:r>
        <w:rPr>
          <w:b w:val="0"/>
          <w:i w:val="0"/>
        </w:rPr>
        <w:t xml:space="preserve"> — </w:t>
      </w:r>
      <w:hyperlink w:anchor="contraries-and-opposition">
        <w:r>
          <w:rPr>
            <w:color w:val="000000"/>
          </w:rPr>
          <w:t xml:space="preserve">Contraries and opposition</w:t>
        </w:r>
      </w:hyperlink>
    </w:p>
    <w:p>
      <w:pPr>
        <w:ind w:left="187" w:hanging="187"/>
      </w:pPr>
      <w:r>
        <w:t xml:space="preserve">• </w:t>
      </w:r>
      <w:r>
        <w:rPr>
          <w:b w:val="0"/>
          <w:i/>
        </w:rPr>
        <w:t>oppositio</w:t>
      </w:r>
      <w:r>
        <w:rPr>
          <w:b w:val="0"/>
          <w:i w:val="0"/>
        </w:rPr>
        <w:t xml:space="preserve"> — </w:t>
      </w:r>
      <w:hyperlink w:anchor="contraries-and-opposition">
        <w:r>
          <w:rPr>
            <w:color w:val="000000"/>
          </w:rPr>
          <w:t xml:space="preserve">Contraries and opposition</w:t>
        </w:r>
      </w:hyperlink>
    </w:p>
    <w:p>
      <w:pPr>
        <w:ind w:left="187" w:hanging="187"/>
      </w:pPr>
      <w:r>
        <w:t xml:space="preserve">• </w:t>
      </w:r>
      <w:r>
        <w:rPr>
          <w:b w:val="0"/>
          <w:i/>
        </w:rPr>
        <w:t>ordinare</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ordinate</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ordinatio</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ordinatus</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ordo</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ordo universi</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origo</w:t>
      </w:r>
      <w:r>
        <w:rPr>
          <w:b w:val="0"/>
          <w:i w:val="0"/>
        </w:rPr>
        <w:t xml:space="preserve"> — </w:t>
      </w:r>
      <w:hyperlink w:anchor="principle">
        <w:r>
          <w:rPr>
            <w:color w:val="000000"/>
          </w:rPr>
          <w:t xml:space="preserve">Principle</w:t>
        </w:r>
      </w:hyperlink>
    </w:p>
    <w:p>
      <w:pPr>
        <w:ind w:left="187" w:hanging="187"/>
      </w:pPr>
      <w:r>
        <w:t xml:space="preserve">• </w:t>
      </w:r>
      <w:r>
        <w:rPr>
          <w:b w:val="0"/>
          <w:i/>
        </w:rPr>
        <w:t>oriri</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ornamentum</w:t>
      </w:r>
      <w:r>
        <w:rPr>
          <w:b w:val="0"/>
          <w:i w:val="0"/>
        </w:rPr>
        <w:t xml:space="preserve"> — </w:t>
      </w:r>
      <w:hyperlink w:anchor="beauty-and-fittingness">
        <w:r>
          <w:rPr>
            <w:color w:val="000000"/>
          </w:rPr>
          <w:t xml:space="preserve">Beauty and fittingness</w:t>
        </w:r>
      </w:hyperlink>
    </w:p>
    <w:p>
      <w:pPr>
        <w:ind w:left="187" w:hanging="187"/>
      </w:pPr>
      <w:r>
        <w:t xml:space="preserve">• </w:t>
      </w:r>
      <w:r>
        <w:rPr>
          <w:b w:val="0"/>
          <w:i/>
        </w:rPr>
        <w:t>Oromasis</w:t>
      </w:r>
      <w:r>
        <w:rPr>
          <w:b w:val="0"/>
          <w:i w:val="0"/>
        </w:rPr>
        <w:t xml:space="preserve"> — </w:t>
      </w:r>
      <w:hyperlink w:anchor="hermetic-theologians-and-the-magi">
        <w:r>
          <w:rPr>
            <w:color w:val="000000"/>
          </w:rPr>
          <w:t xml:space="preserve">Hermetic theologians and the Magi</w:t>
        </w:r>
      </w:hyperlink>
    </w:p>
    <w:p>
      <w:pPr>
        <w:ind w:left="187" w:hanging="187"/>
      </w:pPr>
      <w:r>
        <w:t xml:space="preserve">• </w:t>
      </w:r>
      <w:r>
        <w:rPr>
          <w:b w:val="0"/>
          <w:i/>
        </w:rPr>
        <w:t>otium</w:t>
      </w:r>
      <w:r>
        <w:rPr>
          <w:b w:val="0"/>
          <w:i w:val="0"/>
        </w:rPr>
        <w:t xml:space="preserve"> — </w:t>
      </w:r>
      <w:hyperlink w:anchor="leisure">
        <w:r>
          <w:rPr>
            <w:color w:val="000000"/>
          </w:rPr>
          <w:t xml:space="preserve">Leisure</w:t>
        </w:r>
      </w:hyperlink>
    </w:p>
    <w:p>
      <w:pPr>
        <w:ind w:left="187" w:hanging="187"/>
      </w:pPr>
      <w:r>
        <w:t xml:space="preserve">• </w:t>
      </w:r>
      <w:r>
        <w:rPr>
          <w:b w:val="0"/>
          <w:i/>
        </w:rPr>
        <w:t>otium agere</w:t>
      </w:r>
      <w:r>
        <w:rPr>
          <w:b w:val="0"/>
          <w:i w:val="0"/>
        </w:rPr>
        <w:t xml:space="preserve"> — </w:t>
      </w:r>
      <w:hyperlink w:anchor="leisure">
        <w:r>
          <w:rPr>
            <w:color w:val="000000"/>
          </w:rPr>
          <w:t xml:space="preserve">Leisure</w:t>
        </w:r>
      </w:hyperlink>
    </w:p>
    <w:p>
      <w:pPr>
        <w:ind w:left="187" w:hanging="187"/>
      </w:pPr>
      <w:r>
        <w:t xml:space="preserve">• </w:t>
      </w:r>
      <w:r>
        <w:rPr>
          <w:b w:val="0"/>
          <w:i/>
        </w:rPr>
        <w:t>pars</w:t>
      </w:r>
      <w:r>
        <w:rPr>
          <w:b w:val="0"/>
          <w:i w:val="0"/>
        </w:rPr>
        <w:t xml:space="preserve"> — </w:t>
      </w:r>
      <w:hyperlink w:anchor="simplicity-and-composition">
        <w:r>
          <w:rPr>
            <w:color w:val="000000"/>
          </w:rPr>
          <w:t xml:space="preserve">Simplicity and composition</w:t>
        </w:r>
      </w:hyperlink>
      <w:r>
        <w:rPr>
          <w:b w:val="0"/>
          <w:i w:val="0"/>
        </w:rPr>
        <w:t xml:space="preserve">; </w:t>
      </w:r>
      <w:hyperlink w:anchor="whole-and-parts">
        <w:r>
          <w:rPr>
            <w:color w:val="000000"/>
          </w:rPr>
          <w:t xml:space="preserve">Whole and parts</w:t>
        </w:r>
      </w:hyperlink>
    </w:p>
    <w:p>
      <w:pPr>
        <w:ind w:left="187" w:hanging="187"/>
      </w:pPr>
      <w:r>
        <w:t xml:space="preserve">• </w:t>
      </w:r>
      <w:r>
        <w:rPr>
          <w:b w:val="0"/>
          <w:i/>
        </w:rPr>
        <w:t>partes</w:t>
      </w:r>
      <w:r>
        <w:rPr>
          <w:b w:val="0"/>
          <w:i w:val="0"/>
        </w:rPr>
        <w:t xml:space="preserve"> — </w:t>
      </w:r>
      <w:hyperlink w:anchor="perfection">
        <w:r>
          <w:rPr>
            <w:color w:val="000000"/>
          </w:rPr>
          <w:t xml:space="preserve">Perfection</w:t>
        </w:r>
      </w:hyperlink>
      <w:r>
        <w:rPr>
          <w:b w:val="0"/>
          <w:i w:val="0"/>
        </w:rPr>
        <w:t xml:space="preserve">; </w:t>
      </w:r>
      <w:hyperlink w:anchor="simplicity-and-composition">
        <w:r>
          <w:rPr>
            <w:color w:val="000000"/>
          </w:rPr>
          <w:t xml:space="preserve">Simplicity and composition</w:t>
        </w:r>
      </w:hyperlink>
    </w:p>
    <w:p>
      <w:pPr>
        <w:ind w:left="187" w:hanging="187"/>
      </w:pPr>
      <w:r>
        <w:t xml:space="preserve">• </w:t>
      </w:r>
      <w:r>
        <w:rPr>
          <w:b w:val="0"/>
          <w:i/>
        </w:rPr>
        <w:t>particeps</w:t>
      </w:r>
      <w:r>
        <w:rPr>
          <w:b w:val="0"/>
          <w:i w:val="0"/>
        </w:rPr>
        <w:t xml:space="preserve"> — </w:t>
      </w:r>
      <w:hyperlink w:anchor="participation">
        <w:r>
          <w:rPr>
            <w:color w:val="000000"/>
          </w:rPr>
          <w:t xml:space="preserve">Participation</w:t>
        </w:r>
      </w:hyperlink>
    </w:p>
    <w:p>
      <w:pPr>
        <w:ind w:left="187" w:hanging="187"/>
      </w:pPr>
      <w:r>
        <w:t xml:space="preserve">• </w:t>
      </w:r>
      <w:r>
        <w:rPr>
          <w:b w:val="0"/>
          <w:i/>
        </w:rPr>
        <w:t>participare</w:t>
      </w:r>
      <w:r>
        <w:rPr>
          <w:b w:val="0"/>
          <w:i w:val="0"/>
        </w:rPr>
        <w:t xml:space="preserve"> — </w:t>
      </w:r>
      <w:hyperlink w:anchor="participation">
        <w:r>
          <w:rPr>
            <w:color w:val="000000"/>
          </w:rPr>
          <w:t xml:space="preserve">Participation</w:t>
        </w:r>
      </w:hyperlink>
    </w:p>
    <w:p>
      <w:pPr>
        <w:ind w:left="187" w:hanging="187"/>
      </w:pPr>
      <w:r>
        <w:t xml:space="preserve">• </w:t>
      </w:r>
      <w:r>
        <w:rPr>
          <w:b w:val="0"/>
          <w:i/>
        </w:rPr>
        <w:t>participatio</w:t>
      </w:r>
      <w:r>
        <w:rPr>
          <w:b w:val="0"/>
          <w:i w:val="0"/>
        </w:rPr>
        <w:t xml:space="preserve"> — </w:t>
      </w:r>
      <w:hyperlink w:anchor="participation">
        <w:r>
          <w:rPr>
            <w:color w:val="000000"/>
          </w:rPr>
          <w:t xml:space="preserve">Participation</w:t>
        </w:r>
      </w:hyperlink>
    </w:p>
    <w:p>
      <w:pPr>
        <w:ind w:left="187" w:hanging="187"/>
      </w:pPr>
      <w:r>
        <w:t xml:space="preserve">• </w:t>
      </w:r>
      <w:r>
        <w:rPr>
          <w:b w:val="0"/>
          <w:i/>
        </w:rPr>
        <w:t>participia</w:t>
      </w:r>
      <w:r>
        <w:rPr>
          <w:b w:val="0"/>
          <w:i w:val="0"/>
        </w:rPr>
        <w:t xml:space="preserve"> — </w:t>
      </w:r>
      <w:hyperlink w:anchor="participation">
        <w:r>
          <w:rPr>
            <w:color w:val="000000"/>
          </w:rPr>
          <w:t xml:space="preserve">Participation</w:t>
        </w:r>
      </w:hyperlink>
    </w:p>
    <w:p>
      <w:pPr>
        <w:ind w:left="187" w:hanging="187"/>
      </w:pPr>
      <w:r>
        <w:t xml:space="preserve">• </w:t>
      </w:r>
      <w:r>
        <w:rPr>
          <w:b w:val="0"/>
          <w:i/>
        </w:rPr>
        <w:t>particula</w:t>
      </w:r>
      <w:r>
        <w:rPr>
          <w:b w:val="0"/>
          <w:i w:val="0"/>
        </w:rPr>
        <w:t xml:space="preserve"> — </w:t>
      </w:r>
      <w:hyperlink w:anchor="perfection">
        <w:r>
          <w:rPr>
            <w:color w:val="000000"/>
          </w:rPr>
          <w:t xml:space="preserve">Perfection</w:t>
        </w:r>
      </w:hyperlink>
    </w:p>
    <w:p>
      <w:pPr>
        <w:ind w:left="187" w:hanging="187"/>
      </w:pPr>
      <w:r>
        <w:t xml:space="preserve">• </w:t>
      </w:r>
      <w:r>
        <w:rPr>
          <w:b w:val="0"/>
          <w:i/>
        </w:rPr>
        <w:t>particulae</w:t>
      </w:r>
      <w:r>
        <w:rPr>
          <w:b w:val="0"/>
          <w:i w:val="0"/>
        </w:rPr>
        <w:t xml:space="preserve"> — </w:t>
      </w:r>
      <w:hyperlink w:anchor="elements-and-their-spheres">
        <w:r>
          <w:rPr>
            <w:color w:val="000000"/>
          </w:rPr>
          <w:t xml:space="preserve">Elements and their spheres</w:t>
        </w:r>
      </w:hyperlink>
    </w:p>
    <w:p>
      <w:pPr>
        <w:ind w:left="187" w:hanging="187"/>
      </w:pPr>
      <w:r>
        <w:t xml:space="preserve">• </w:t>
      </w:r>
      <w:r>
        <w:rPr>
          <w:b w:val="0"/>
          <w:i/>
        </w:rPr>
        <w:t>passio</w:t>
      </w:r>
      <w:r>
        <w:rPr>
          <w:b w:val="0"/>
          <w:i w:val="0"/>
        </w:rPr>
        <w:t xml:space="preserve"> — </w:t>
      </w:r>
      <w:hyperlink w:anchor="affection-and-passivity">
        <w:r>
          <w:rPr>
            <w:color w:val="000000"/>
          </w:rPr>
          <w:t xml:space="preserve">Affection and passivity</w:t>
        </w:r>
      </w:hyperlink>
    </w:p>
    <w:p>
      <w:pPr>
        <w:ind w:left="187" w:hanging="187"/>
      </w:pPr>
      <w:r>
        <w:t xml:space="preserve">• </w:t>
      </w:r>
      <w:r>
        <w:rPr>
          <w:b w:val="0"/>
          <w:i/>
        </w:rPr>
        <w:t>pati</w:t>
      </w:r>
      <w:r>
        <w:rPr>
          <w:b w:val="0"/>
          <w:i w:val="0"/>
        </w:rPr>
        <w:t xml:space="preserve"> — </w:t>
      </w:r>
      <w:hyperlink w:anchor="affection-and-passivity">
        <w:r>
          <w:rPr>
            <w:color w:val="000000"/>
          </w:rPr>
          <w:t xml:space="preserve">Affection and passivity</w:t>
        </w:r>
      </w:hyperlink>
    </w:p>
    <w:p>
      <w:pPr>
        <w:ind w:left="187" w:hanging="187"/>
      </w:pPr>
      <w:r>
        <w:t xml:space="preserve">• </w:t>
      </w:r>
      <w:r>
        <w:rPr>
          <w:b w:val="0"/>
          <w:i/>
        </w:rPr>
        <w:t>patiens</w:t>
      </w:r>
      <w:r>
        <w:rPr>
          <w:b w:val="0"/>
          <w:i w:val="0"/>
        </w:rPr>
        <w:t xml:space="preserve"> — </w:t>
      </w:r>
      <w:hyperlink w:anchor="affection-and-passivity">
        <w:r>
          <w:rPr>
            <w:color w:val="000000"/>
          </w:rPr>
          <w:t xml:space="preserve">Affection and passivity</w:t>
        </w:r>
      </w:hyperlink>
      <w:r>
        <w:rPr>
          <w:b w:val="0"/>
          <w:i w:val="0"/>
        </w:rPr>
        <w:t xml:space="preserve">; </w:t>
      </w:r>
      <w:hyperlink w:anchor="matter">
        <w:r>
          <w:rPr>
            <w:color w:val="000000"/>
          </w:rPr>
          <w:t xml:space="preserve">Matter</w:t>
        </w:r>
      </w:hyperlink>
    </w:p>
    <w:p>
      <w:pPr>
        <w:ind w:left="187" w:hanging="187"/>
      </w:pPr>
      <w:r>
        <w:t xml:space="preserve">• </w:t>
      </w:r>
      <w:r>
        <w:rPr>
          <w:b w:val="0"/>
          <w:i/>
        </w:rPr>
        <w:t>patria</w:t>
      </w:r>
      <w:r>
        <w:rPr>
          <w:b w:val="0"/>
          <w:i w:val="0"/>
        </w:rPr>
        <w:t xml:space="preserve"> — </w:t>
      </w:r>
      <w:hyperlink w:anchor="prison-and-homeland">
        <w:r>
          <w:rPr>
            <w:color w:val="000000"/>
          </w:rPr>
          <w:t xml:space="preserve">Prison and homeland</w:t>
        </w:r>
      </w:hyperlink>
    </w:p>
    <w:p>
      <w:pPr>
        <w:ind w:left="187" w:hanging="187"/>
      </w:pPr>
      <w:r>
        <w:t xml:space="preserve">• </w:t>
      </w:r>
      <w:r>
        <w:rPr>
          <w:b w:val="0"/>
          <w:i/>
        </w:rPr>
        <w:t>per aliud</w:t>
      </w:r>
      <w:r>
        <w:rPr>
          <w:b w:val="0"/>
          <w:i w:val="0"/>
        </w:rPr>
        <w:t xml:space="preserve"> — </w:t>
      </w:r>
      <w:hyperlink w:anchor="through-itself-and-through-another">
        <w:r>
          <w:rPr>
            <w:color w:val="000000"/>
          </w:rPr>
          <w:t xml:space="preserve">Through itself and through another</w:t>
        </w:r>
      </w:hyperlink>
    </w:p>
    <w:p>
      <w:pPr>
        <w:ind w:left="187" w:hanging="187"/>
      </w:pPr>
      <w:r>
        <w:t xml:space="preserve">• </w:t>
      </w:r>
      <w:r>
        <w:rPr>
          <w:b w:val="0"/>
          <w:i/>
        </w:rPr>
        <w:t>per aliud mobilis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per Deum</w:t>
      </w:r>
      <w:r>
        <w:rPr>
          <w:b w:val="0"/>
          <w:i w:val="0"/>
        </w:rPr>
        <w:t xml:space="preserve"> — </w:t>
      </w:r>
      <w:hyperlink w:anchor="through-itself-and-through-another">
        <w:r>
          <w:rPr>
            <w:color w:val="000000"/>
          </w:rPr>
          <w:t xml:space="preserve">Through itself and through another</w:t>
        </w:r>
      </w:hyperlink>
    </w:p>
    <w:p>
      <w:pPr>
        <w:ind w:left="187" w:hanging="187"/>
      </w:pPr>
      <w:r>
        <w:t xml:space="preserve">• </w:t>
      </w:r>
      <w:r>
        <w:rPr>
          <w:b w:val="0"/>
          <w:i/>
        </w:rPr>
        <w:t>per immensum</w:t>
      </w:r>
      <w:r>
        <w:rPr>
          <w:b w:val="0"/>
          <w:i w:val="0"/>
        </w:rPr>
        <w:t xml:space="preserve"> — </w:t>
      </w:r>
      <w:hyperlink w:anchor="mind">
        <w:r>
          <w:rPr>
            <w:color w:val="000000"/>
          </w:rPr>
          <w:t xml:space="preserve">Mind</w:t>
        </w:r>
      </w:hyperlink>
    </w:p>
    <w:p>
      <w:pPr>
        <w:ind w:left="187" w:hanging="187"/>
      </w:pPr>
      <w:r>
        <w:t xml:space="preserve">• </w:t>
      </w:r>
      <w:r>
        <w:rPr>
          <w:b w:val="0"/>
          <w:i/>
        </w:rPr>
        <w:t>per se</w:t>
      </w:r>
      <w:r>
        <w:rPr>
          <w:b w:val="0"/>
          <w:i w:val="0"/>
        </w:rPr>
        <w:t xml:space="preserve"> — </w:t>
      </w:r>
      <w:hyperlink w:anchor="through-itself-and-through-another">
        <w:r>
          <w:rPr>
            <w:color w:val="000000"/>
          </w:rPr>
          <w:t xml:space="preserve">Through itself and through another</w:t>
        </w:r>
      </w:hyperlink>
    </w:p>
    <w:p>
      <w:pPr>
        <w:ind w:left="187" w:hanging="187"/>
      </w:pPr>
      <w:r>
        <w:t xml:space="preserve">• </w:t>
      </w:r>
      <w:r>
        <w:rPr>
          <w:b w:val="0"/>
          <w:i/>
        </w:rPr>
        <w:t>per se ipsum</w:t>
      </w:r>
      <w:r>
        <w:rPr>
          <w:b w:val="0"/>
          <w:i w:val="0"/>
        </w:rPr>
        <w:t xml:space="preserve"> — </w:t>
      </w:r>
      <w:hyperlink w:anchor="through-itself-and-through-another">
        <w:r>
          <w:rPr>
            <w:color w:val="000000"/>
          </w:rPr>
          <w:t xml:space="preserve">Through itself and through another</w:t>
        </w:r>
      </w:hyperlink>
    </w:p>
    <w:p>
      <w:pPr>
        <w:ind w:left="187" w:hanging="187"/>
      </w:pPr>
      <w:r>
        <w:t xml:space="preserve">• </w:t>
      </w:r>
      <w:r>
        <w:rPr>
          <w:b w:val="0"/>
          <w:i/>
        </w:rPr>
        <w:t>per se subsistens</w:t>
      </w:r>
      <w:r>
        <w:rPr>
          <w:b w:val="0"/>
          <w:i w:val="0"/>
        </w:rPr>
        <w:t xml:space="preserve"> — </w:t>
      </w:r>
      <w:hyperlink w:anchor="essence-and-substance">
        <w:r>
          <w:rPr>
            <w:color w:val="000000"/>
          </w:rPr>
          <w:t xml:space="preserve">Essence and substance</w:t>
        </w:r>
      </w:hyperlink>
    </w:p>
    <w:p>
      <w:pPr>
        <w:ind w:left="187" w:hanging="187"/>
      </w:pPr>
      <w:r>
        <w:t xml:space="preserve">• </w:t>
      </w:r>
      <w:r>
        <w:rPr>
          <w:b w:val="0"/>
          <w:i/>
        </w:rPr>
        <w:t>per se sufficiens</w:t>
      </w:r>
      <w:r>
        <w:rPr>
          <w:b w:val="0"/>
          <w:i w:val="0"/>
        </w:rPr>
        <w:t xml:space="preserve"> — </w:t>
      </w:r>
      <w:hyperlink w:anchor="freedom-and-necessity">
        <w:r>
          <w:rPr>
            <w:color w:val="000000"/>
          </w:rPr>
          <w:t xml:space="preserve">Freedom and necessity</w:t>
        </w:r>
      </w:hyperlink>
    </w:p>
    <w:p>
      <w:pPr>
        <w:ind w:left="187" w:hanging="187"/>
      </w:pPr>
      <w:r>
        <w:t xml:space="preserve">• </w:t>
      </w:r>
      <w:r>
        <w:rPr>
          <w:b w:val="0"/>
          <w:i/>
        </w:rPr>
        <w:t>perennis</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perfectio</w:t>
      </w:r>
      <w:r>
        <w:rPr>
          <w:b w:val="0"/>
          <w:i w:val="0"/>
        </w:rPr>
        <w:t xml:space="preserve"> — </w:t>
      </w:r>
      <w:hyperlink w:anchor="perfection">
        <w:r>
          <w:rPr>
            <w:color w:val="000000"/>
          </w:rPr>
          <w:t xml:space="preserve">Perfection</w:t>
        </w:r>
      </w:hyperlink>
    </w:p>
    <w:p>
      <w:pPr>
        <w:ind w:left="187" w:hanging="187"/>
      </w:pPr>
      <w:r>
        <w:t xml:space="preserve">• </w:t>
      </w:r>
      <w:r>
        <w:rPr>
          <w:b w:val="0"/>
          <w:i/>
        </w:rPr>
        <w:t>perfectus</w:t>
      </w:r>
      <w:r>
        <w:rPr>
          <w:b w:val="0"/>
          <w:i w:val="0"/>
        </w:rPr>
        <w:t xml:space="preserve"> — </w:t>
      </w:r>
      <w:hyperlink w:anchor="perfection">
        <w:r>
          <w:rPr>
            <w:color w:val="000000"/>
          </w:rPr>
          <w:t xml:space="preserve">Perfection</w:t>
        </w:r>
      </w:hyperlink>
    </w:p>
    <w:p>
      <w:pPr>
        <w:ind w:left="187" w:hanging="187"/>
      </w:pPr>
      <w:r>
        <w:t xml:space="preserve">• </w:t>
      </w:r>
      <w:r>
        <w:rPr>
          <w:b w:val="0"/>
          <w:i/>
        </w:rPr>
        <w:t>perficere</w:t>
      </w:r>
      <w:r>
        <w:rPr>
          <w:b w:val="0"/>
          <w:i w:val="0"/>
        </w:rPr>
        <w:t xml:space="preserve"> — </w:t>
      </w:r>
      <w:hyperlink w:anchor="perfection">
        <w:r>
          <w:rPr>
            <w:color w:val="000000"/>
          </w:rPr>
          <w:t xml:space="preserve">Perfection</w:t>
        </w:r>
      </w:hyperlink>
    </w:p>
    <w:p>
      <w:pPr>
        <w:ind w:left="187" w:hanging="187"/>
      </w:pPr>
      <w:r>
        <w:t xml:space="preserve">• </w:t>
      </w:r>
      <w:r>
        <w:rPr>
          <w:b w:val="0"/>
          <w:i/>
        </w:rPr>
        <w:t>perire</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permanere</w:t>
      </w:r>
      <w:r>
        <w:rPr>
          <w:b w:val="0"/>
          <w:i w:val="0"/>
        </w:rPr>
        <w:t xml:space="preserve"> — </w:t>
      </w:r>
      <w:hyperlink w:anchor="conservation-and-preservation">
        <w:r>
          <w:rPr>
            <w:color w:val="000000"/>
          </w:rPr>
          <w:t xml:space="preserve">Conservation and preservation</w:t>
        </w:r>
      </w:hyperlink>
    </w:p>
    <w:p>
      <w:pPr>
        <w:ind w:left="187" w:hanging="187"/>
      </w:pPr>
      <w:r>
        <w:t xml:space="preserve">• </w:t>
      </w:r>
      <w:r>
        <w:rPr>
          <w:b w:val="0"/>
          <w:i/>
        </w:rPr>
        <w:t>perpetuus</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perseverare</w:t>
      </w:r>
      <w:r>
        <w:rPr>
          <w:b w:val="0"/>
          <w:i w:val="0"/>
        </w:rPr>
        <w:t xml:space="preserve"> — </w:t>
      </w:r>
      <w:hyperlink w:anchor="conservation-and-preservation">
        <w:r>
          <w:rPr>
            <w:color w:val="000000"/>
          </w:rPr>
          <w:t xml:space="preserve">Conservation and preservation</w:t>
        </w:r>
      </w:hyperlink>
    </w:p>
    <w:p>
      <w:pPr>
        <w:ind w:left="187" w:hanging="187"/>
      </w:pPr>
      <w:r>
        <w:t xml:space="preserve">• </w:t>
      </w:r>
      <w:r>
        <w:rPr>
          <w:b w:val="0"/>
          <w:i/>
        </w:rPr>
        <w:t>perspectio</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perspicacia</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phantasia</w:t>
      </w:r>
      <w:r>
        <w:rPr>
          <w:b w:val="0"/>
          <w:i w:val="0"/>
        </w:rPr>
        <w:t xml:space="preserve"> — </w:t>
      </w:r>
      <w:hyperlink w:anchor="sense-and-imagination">
        <w:r>
          <w:rPr>
            <w:color w:val="000000"/>
          </w:rPr>
          <w:t xml:space="preserve">Sense and imagination</w:t>
        </w:r>
      </w:hyperlink>
    </w:p>
    <w:p>
      <w:pPr>
        <w:ind w:left="187" w:hanging="187"/>
      </w:pPr>
      <w:r>
        <w:t xml:space="preserve">• </w:t>
      </w:r>
      <w:r>
        <w:rPr>
          <w:b w:val="0"/>
          <w:i/>
        </w:rPr>
        <w:t>philosophari</w:t>
      </w:r>
      <w:r>
        <w:rPr>
          <w:b w:val="0"/>
          <w:i w:val="0"/>
        </w:rPr>
        <w:t xml:space="preserve"> — </w:t>
      </w:r>
      <w:hyperlink w:anchor="philosophy-and-theology">
        <w:r>
          <w:rPr>
            <w:color w:val="000000"/>
          </w:rPr>
          <w:t xml:space="preserve">Philosophy and theology</w:t>
        </w:r>
      </w:hyperlink>
    </w:p>
    <w:p>
      <w:pPr>
        <w:ind w:left="187" w:hanging="187"/>
      </w:pPr>
      <w:r>
        <w:t xml:space="preserve">• </w:t>
      </w:r>
      <w:r>
        <w:rPr>
          <w:b w:val="0"/>
          <w:i/>
        </w:rPr>
        <w:t>philosophia</w:t>
      </w:r>
      <w:r>
        <w:rPr>
          <w:b w:val="0"/>
          <w:i w:val="0"/>
        </w:rPr>
        <w:t xml:space="preserve"> — </w:t>
      </w:r>
      <w:hyperlink w:anchor="philosophy-and-theology">
        <w:r>
          <w:rPr>
            <w:color w:val="000000"/>
          </w:rPr>
          <w:t xml:space="preserve">Philosophy and theology</w:t>
        </w:r>
      </w:hyperlink>
    </w:p>
    <w:p>
      <w:pPr>
        <w:ind w:left="187" w:hanging="187"/>
      </w:pPr>
      <w:r>
        <w:t xml:space="preserve">• </w:t>
      </w:r>
      <w:r>
        <w:rPr>
          <w:b w:val="0"/>
          <w:i/>
        </w:rPr>
        <w:t>pietas</w:t>
      </w:r>
      <w:r>
        <w:rPr>
          <w:b w:val="0"/>
          <w:i w:val="0"/>
        </w:rPr>
        <w:t xml:space="preserve"> — </w:t>
      </w:r>
      <w:hyperlink w:anchor="worship-and-piety">
        <w:r>
          <w:rPr>
            <w:color w:val="000000"/>
          </w:rPr>
          <w:t xml:space="preserve">Worship and piety</w:t>
        </w:r>
      </w:hyperlink>
    </w:p>
    <w:p>
      <w:pPr>
        <w:ind w:left="187" w:hanging="187"/>
      </w:pPr>
      <w:r>
        <w:t xml:space="preserve">• </w:t>
      </w:r>
      <w:r>
        <w:rPr>
          <w:b w:val="0"/>
          <w:i/>
        </w:rPr>
        <w:t>pius</w:t>
      </w:r>
      <w:r>
        <w:rPr>
          <w:b w:val="0"/>
          <w:i w:val="0"/>
        </w:rPr>
        <w:t xml:space="preserve"> — </w:t>
      </w:r>
      <w:hyperlink w:anchor="worship-and-piety">
        <w:r>
          <w:rPr>
            <w:color w:val="000000"/>
          </w:rPr>
          <w:t xml:space="preserve">Worship and piety</w:t>
        </w:r>
      </w:hyperlink>
    </w:p>
    <w:p>
      <w:pPr>
        <w:ind w:left="187" w:hanging="187"/>
      </w:pPr>
      <w:r>
        <w:t xml:space="preserve">• </w:t>
      </w:r>
      <w:r>
        <w:rPr>
          <w:b w:val="0"/>
          <w:i/>
        </w:rPr>
        <w:t>portio</w:t>
      </w:r>
      <w:r>
        <w:rPr>
          <w:b w:val="0"/>
          <w:i w:val="0"/>
        </w:rPr>
        <w:t xml:space="preserve"> — </w:t>
      </w:r>
      <w:hyperlink w:anchor="participation">
        <w:r>
          <w:rPr>
            <w:color w:val="000000"/>
          </w:rPr>
          <w:t xml:space="preserve">Participation</w:t>
        </w:r>
      </w:hyperlink>
    </w:p>
    <w:p>
      <w:pPr>
        <w:ind w:left="187" w:hanging="187"/>
      </w:pPr>
      <w:r>
        <w:t xml:space="preserve">• </w:t>
      </w:r>
      <w:r>
        <w:rPr>
          <w:b w:val="0"/>
          <w:i/>
        </w:rPr>
        <w:t>possessione et habitu</w:t>
      </w:r>
      <w:r>
        <w:rPr>
          <w:b w:val="0"/>
          <w:i w:val="0"/>
        </w:rPr>
        <w:t xml:space="preserve"> — </w:t>
      </w:r>
      <w:hyperlink w:anchor="habitual-possession">
        <w:r>
          <w:rPr>
            <w:color w:val="000000"/>
          </w:rPr>
          <w:t xml:space="preserve">Habitual possession</w:t>
        </w:r>
      </w:hyperlink>
    </w:p>
    <w:p>
      <w:pPr>
        <w:ind w:left="187" w:hanging="187"/>
      </w:pPr>
      <w:r>
        <w:t xml:space="preserve">• </w:t>
      </w:r>
      <w:r>
        <w:rPr>
          <w:b w:val="0"/>
          <w:i/>
        </w:rPr>
        <w:t>potentia</w:t>
      </w:r>
      <w:r>
        <w:rPr>
          <w:b w:val="0"/>
          <w:i w:val="0"/>
        </w:rPr>
        <w:t xml:space="preserve"> — </w:t>
      </w:r>
      <w:hyperlink w:anchor="act-and-operation">
        <w:r>
          <w:rPr>
            <w:color w:val="000000"/>
          </w:rPr>
          <w:t xml:space="preserve">Act and operation</w:t>
        </w:r>
      </w:hyperlink>
      <w:r>
        <w:rPr>
          <w:b w:val="0"/>
          <w:i w:val="0"/>
        </w:rPr>
        <w:t xml:space="preserve">; </w:t>
      </w:r>
      <w:hyperlink w:anchor="habitual-possession">
        <w:r>
          <w:rPr>
            <w:color w:val="000000"/>
          </w:rPr>
          <w:t xml:space="preserve">Habitual possession</w:t>
        </w:r>
      </w:hyperlink>
      <w:r>
        <w:rPr>
          <w:b w:val="0"/>
          <w:i w:val="0"/>
        </w:rPr>
        <w:t xml:space="preserve">; </w:t>
      </w:r>
      <w:hyperlink w:anchor="infinity">
        <w:r>
          <w:rPr>
            <w:color w:val="000000"/>
          </w:rPr>
          <w:t xml:space="preserve">Infinity</w:t>
        </w:r>
      </w:hyperlink>
      <w:r>
        <w:rPr>
          <w:b w:val="0"/>
          <w:i w:val="0"/>
        </w:rPr>
        <w:t xml:space="preserve">; </w:t>
      </w:r>
      <w:hyperlink w:anchor="power-and-potency">
        <w:r>
          <w:rPr>
            <w:color w:val="000000"/>
          </w:rPr>
          <w:t xml:space="preserve">Power and potency</w:t>
        </w:r>
      </w:hyperlink>
    </w:p>
    <w:p>
      <w:pPr>
        <w:ind w:left="187" w:hanging="187"/>
      </w:pPr>
      <w:r>
        <w:t xml:space="preserve">• </w:t>
      </w:r>
      <w:r>
        <w:rPr>
          <w:b w:val="0"/>
          <w:i/>
        </w:rPr>
        <w:t>potentia ad non essendum</w:t>
      </w:r>
      <w:r>
        <w:rPr>
          <w:b w:val="0"/>
          <w:i w:val="0"/>
        </w:rPr>
        <w:t xml:space="preserve"> — </w:t>
      </w:r>
      <w:hyperlink w:anchor="nothing-and-nonbeing">
        <w:r>
          <w:rPr>
            <w:color w:val="000000"/>
          </w:rPr>
          <w:t xml:space="preserve">Nothing and nonbeing</w:t>
        </w:r>
      </w:hyperlink>
    </w:p>
    <w:p>
      <w:pPr>
        <w:ind w:left="187" w:hanging="187"/>
      </w:pPr>
      <w:r>
        <w:t xml:space="preserve">• </w:t>
      </w:r>
      <w:r>
        <w:rPr>
          <w:b w:val="0"/>
          <w:i/>
        </w:rPr>
        <w:t>potentia entis</w:t>
      </w:r>
      <w:r>
        <w:rPr>
          <w:b w:val="0"/>
          <w:i w:val="0"/>
        </w:rPr>
        <w:t xml:space="preserve"> — </w:t>
      </w:r>
      <w:hyperlink w:anchor="infinity">
        <w:r>
          <w:rPr>
            <w:color w:val="000000"/>
          </w:rPr>
          <w:t xml:space="preserve">Infinity</w:t>
        </w:r>
      </w:hyperlink>
    </w:p>
    <w:p>
      <w:pPr>
        <w:ind w:left="187" w:hanging="187"/>
      </w:pPr>
      <w:r>
        <w:t xml:space="preserve">• </w:t>
      </w:r>
      <w:r>
        <w:rPr>
          <w:b w:val="0"/>
          <w:i/>
        </w:rPr>
        <w:t>potentia passiva</w:t>
      </w:r>
      <w:r>
        <w:rPr>
          <w:b w:val="0"/>
          <w:i w:val="0"/>
        </w:rPr>
        <w:t xml:space="preserve"> — </w:t>
      </w:r>
      <w:hyperlink w:anchor="power-and-potency">
        <w:r>
          <w:rPr>
            <w:color w:val="000000"/>
          </w:rPr>
          <w:t xml:space="preserve">Power and potency</w:t>
        </w:r>
      </w:hyperlink>
    </w:p>
    <w:p>
      <w:pPr>
        <w:ind w:left="187" w:hanging="187"/>
      </w:pPr>
      <w:r>
        <w:t xml:space="preserve">• </w:t>
      </w:r>
      <w:r>
        <w:rPr>
          <w:b w:val="0"/>
          <w:i/>
        </w:rPr>
        <w:t>potentia susceptiva atque passiva</w:t>
      </w:r>
      <w:r>
        <w:rPr>
          <w:b w:val="0"/>
          <w:i w:val="0"/>
        </w:rPr>
        <w:t xml:space="preserve"> — </w:t>
      </w:r>
      <w:hyperlink w:anchor="act-and-operation">
        <w:r>
          <w:rPr>
            <w:color w:val="000000"/>
          </w:rPr>
          <w:t xml:space="preserve">Act and operation</w:t>
        </w:r>
      </w:hyperlink>
    </w:p>
    <w:p>
      <w:pPr>
        <w:ind w:left="187" w:hanging="187"/>
      </w:pPr>
      <w:r>
        <w:t xml:space="preserve">• </w:t>
      </w:r>
      <w:r>
        <w:rPr>
          <w:b w:val="0"/>
          <w:i/>
        </w:rPr>
        <w:t>potentiae infimae motrices corporum</w:t>
      </w:r>
      <w:r>
        <w:rPr>
          <w:b w:val="0"/>
          <w:i w:val="0"/>
        </w:rPr>
        <w:t xml:space="preserve"> — </w:t>
      </w:r>
      <w:hyperlink w:anchor="intellectual-and-animating-powers">
        <w:r>
          <w:rPr>
            <w:color w:val="000000"/>
          </w:rPr>
          <w:t xml:space="preserve">Intellectual and animating powers</w:t>
        </w:r>
      </w:hyperlink>
    </w:p>
    <w:p>
      <w:pPr>
        <w:ind w:left="187" w:hanging="187"/>
      </w:pPr>
      <w:r>
        <w:t xml:space="preserve">• </w:t>
      </w:r>
      <w:r>
        <w:rPr>
          <w:b w:val="0"/>
          <w:i/>
        </w:rPr>
        <w:t>potestas</w:t>
      </w:r>
      <w:r>
        <w:rPr>
          <w:b w:val="0"/>
          <w:i w:val="0"/>
        </w:rPr>
        <w:t xml:space="preserve"> — </w:t>
      </w:r>
      <w:hyperlink w:anchor="infinity">
        <w:r>
          <w:rPr>
            <w:color w:val="000000"/>
          </w:rPr>
          <w:t xml:space="preserve">Infinity</w:t>
        </w:r>
      </w:hyperlink>
      <w:r>
        <w:rPr>
          <w:b w:val="0"/>
          <w:i w:val="0"/>
        </w:rPr>
        <w:t xml:space="preserve">; </w:t>
      </w:r>
      <w:hyperlink w:anchor="power-and-potency">
        <w:r>
          <w:rPr>
            <w:color w:val="000000"/>
          </w:rPr>
          <w:t xml:space="preserve">Power and potency</w:t>
        </w:r>
      </w:hyperlink>
    </w:p>
    <w:p>
      <w:pPr>
        <w:ind w:left="187" w:hanging="187"/>
      </w:pPr>
      <w:r>
        <w:t xml:space="preserve">• </w:t>
      </w:r>
      <w:r>
        <w:rPr>
          <w:b w:val="0"/>
          <w:i/>
        </w:rPr>
        <w:t>praescientia</w:t>
      </w:r>
      <w:r>
        <w:rPr>
          <w:b w:val="0"/>
          <w:i w:val="0"/>
        </w:rPr>
        <w:t xml:space="preserve"> — </w:t>
      </w:r>
      <w:hyperlink w:anchor="foreknowledge">
        <w:r>
          <w:rPr>
            <w:color w:val="000000"/>
          </w:rPr>
          <w:t xml:space="preserve">Foreknowledge</w:t>
        </w:r>
      </w:hyperlink>
      <w:r>
        <w:rPr>
          <w:b w:val="0"/>
          <w:i w:val="0"/>
        </w:rPr>
        <w:t xml:space="preserve">; </w:t>
      </w:r>
      <w:hyperlink w:anchor="providence">
        <w:r>
          <w:rPr>
            <w:color w:val="000000"/>
          </w:rPr>
          <w:t xml:space="preserve">Providence</w:t>
        </w:r>
      </w:hyperlink>
    </w:p>
    <w:p>
      <w:pPr>
        <w:ind w:left="187" w:hanging="187"/>
      </w:pPr>
      <w:r>
        <w:t xml:space="preserve">• </w:t>
      </w:r>
      <w:r>
        <w:rPr>
          <w:b w:val="0"/>
          <w:i/>
        </w:rPr>
        <w:t>praesentia</w:t>
      </w:r>
      <w:r>
        <w:rPr>
          <w:b w:val="0"/>
          <w:i w:val="0"/>
        </w:rPr>
        <w:t xml:space="preserve"> — </w:t>
      </w:r>
      <w:hyperlink w:anchor="indwelling-and-presence">
        <w:r>
          <w:rPr>
            <w:color w:val="000000"/>
          </w:rPr>
          <w:t xml:space="preserve">Indwelling and presence</w:t>
        </w:r>
      </w:hyperlink>
      <w:r>
        <w:rPr>
          <w:b w:val="0"/>
          <w:i w:val="0"/>
        </w:rPr>
        <w:t xml:space="preserve">; </w:t>
      </w:r>
      <w:hyperlink w:anchor="omnipresence-and-place">
        <w:r>
          <w:rPr>
            <w:color w:val="000000"/>
          </w:rPr>
          <w:t xml:space="preserve">Omnipresence and place</w:t>
        </w:r>
      </w:hyperlink>
    </w:p>
    <w:p>
      <w:pPr>
        <w:ind w:left="187" w:hanging="187"/>
      </w:pPr>
      <w:r>
        <w:t xml:space="preserve">• </w:t>
      </w:r>
      <w:r>
        <w:rPr>
          <w:b w:val="0"/>
          <w:i/>
        </w:rPr>
        <w:t>praestantior</w:t>
      </w:r>
      <w:r>
        <w:rPr>
          <w:b w:val="0"/>
          <w:i w:val="0"/>
        </w:rPr>
        <w:t xml:space="preserve"> — </w:t>
      </w:r>
      <w:hyperlink w:anchor="perfection">
        <w:r>
          <w:rPr>
            <w:color w:val="000000"/>
          </w:rPr>
          <w:t xml:space="preserve">Perfection</w:t>
        </w:r>
      </w:hyperlink>
    </w:p>
    <w:p>
      <w:pPr>
        <w:ind w:left="187" w:hanging="187"/>
      </w:pPr>
      <w:r>
        <w:t xml:space="preserve">• </w:t>
      </w:r>
      <w:r>
        <w:rPr>
          <w:b w:val="0"/>
          <w:i/>
        </w:rPr>
        <w:t>praestigiae</w:t>
      </w:r>
      <w:r>
        <w:rPr>
          <w:b w:val="0"/>
          <w:i w:val="0"/>
        </w:rPr>
        <w:t xml:space="preserve"> — </w:t>
      </w:r>
      <w:hyperlink w:anchor="sense-and-imagination">
        <w:r>
          <w:rPr>
            <w:color w:val="000000"/>
          </w:rPr>
          <w:t xml:space="preserve">Sense and imagination</w:t>
        </w:r>
      </w:hyperlink>
    </w:p>
    <w:p>
      <w:pPr>
        <w:ind w:left="187" w:hanging="187"/>
      </w:pPr>
      <w:r>
        <w:t xml:space="preserve">• </w:t>
      </w:r>
      <w:r>
        <w:rPr>
          <w:b w:val="0"/>
          <w:i/>
        </w:rPr>
        <w:t>praevidere</w:t>
      </w:r>
      <w:r>
        <w:rPr>
          <w:b w:val="0"/>
          <w:i w:val="0"/>
        </w:rPr>
        <w:t xml:space="preserve"> — </w:t>
      </w:r>
      <w:hyperlink w:anchor="foreknowledge">
        <w:r>
          <w:rPr>
            <w:color w:val="000000"/>
          </w:rPr>
          <w:t xml:space="preserve">Foreknowledge</w:t>
        </w:r>
      </w:hyperlink>
    </w:p>
    <w:p>
      <w:pPr>
        <w:ind w:left="187" w:hanging="187"/>
      </w:pPr>
      <w:r>
        <w:t xml:space="preserve">• </w:t>
      </w:r>
      <w:r>
        <w:rPr>
          <w:b w:val="0"/>
          <w:i/>
        </w:rPr>
        <w:t>praevisio</w:t>
      </w:r>
      <w:r>
        <w:rPr>
          <w:b w:val="0"/>
          <w:i w:val="0"/>
        </w:rPr>
        <w:t xml:space="preserve"> — </w:t>
      </w:r>
      <w:hyperlink w:anchor="foreknowledge">
        <w:r>
          <w:rPr>
            <w:color w:val="000000"/>
          </w:rPr>
          <w:t xml:space="preserve">Foreknowledge</w:t>
        </w:r>
      </w:hyperlink>
      <w:r>
        <w:rPr>
          <w:b w:val="0"/>
          <w:i w:val="0"/>
        </w:rPr>
        <w:t xml:space="preserve">; </w:t>
      </w:r>
      <w:hyperlink w:anchor="providence">
        <w:r>
          <w:rPr>
            <w:color w:val="000000"/>
          </w:rPr>
          <w:t xml:space="preserve">Providence</w:t>
        </w:r>
      </w:hyperlink>
    </w:p>
    <w:p>
      <w:pPr>
        <w:ind w:left="187" w:hanging="187"/>
      </w:pPr>
      <w:r>
        <w:t xml:space="preserve">• </w:t>
      </w:r>
      <w:r>
        <w:rPr>
          <w:b w:val="0"/>
          <w:i/>
        </w:rPr>
        <w:t>prima et informis … materia</w:t>
      </w:r>
      <w:r>
        <w:rPr>
          <w:b w:val="0"/>
          <w:i w:val="0"/>
        </w:rPr>
        <w:t xml:space="preserve"> — </w:t>
      </w:r>
      <w:hyperlink w:anchor="matter">
        <w:r>
          <w:rPr>
            <w:color w:val="000000"/>
          </w:rPr>
          <w:t xml:space="preserve">Matter</w:t>
        </w:r>
      </w:hyperlink>
    </w:p>
    <w:p>
      <w:pPr>
        <w:ind w:left="187" w:hanging="187"/>
      </w:pPr>
      <w:r>
        <w:t xml:space="preserve">• </w:t>
      </w:r>
      <w:r>
        <w:rPr>
          <w:b w:val="0"/>
          <w:i/>
        </w:rPr>
        <w:t>primum</w:t>
      </w:r>
      <w:r>
        <w:rPr>
          <w:b w:val="0"/>
          <w:i w:val="0"/>
        </w:rPr>
        <w:t xml:space="preserve"> — </w:t>
      </w:r>
      <w:hyperlink w:anchor="principle">
        <w:r>
          <w:rPr>
            <w:color w:val="000000"/>
          </w:rPr>
          <w:t xml:space="preserve">Principle</w:t>
        </w:r>
      </w:hyperlink>
    </w:p>
    <w:p>
      <w:pPr>
        <w:ind w:left="187" w:hanging="187"/>
      </w:pPr>
      <w:r>
        <w:t xml:space="preserve">• </w:t>
      </w:r>
      <w:r>
        <w:rPr>
          <w:b w:val="0"/>
          <w:i/>
        </w:rPr>
        <w:t>primum mobile</w:t>
      </w:r>
      <w:r>
        <w:rPr>
          <w:b w:val="0"/>
          <w:i w:val="0"/>
        </w:rPr>
        <w:t xml:space="preserve"> — </w:t>
      </w:r>
      <w:hyperlink w:anchor="first-movable">
        <w:r>
          <w:rPr>
            <w:color w:val="000000"/>
          </w:rPr>
          <w:t xml:space="preserve">First movable</w:t>
        </w:r>
      </w:hyperlink>
    </w:p>
    <w:p>
      <w:pPr>
        <w:ind w:left="187" w:hanging="187"/>
      </w:pPr>
      <w:r>
        <w:t xml:space="preserve">• </w:t>
      </w:r>
      <w:r>
        <w:rPr>
          <w:b w:val="0"/>
          <w:i/>
        </w:rPr>
        <w:t>primum principium</w:t>
      </w:r>
      <w:r>
        <w:rPr>
          <w:b w:val="0"/>
          <w:i w:val="0"/>
        </w:rPr>
        <w:t xml:space="preserve"> — </w:t>
      </w:r>
      <w:hyperlink w:anchor="god">
        <w:r>
          <w:rPr>
            <w:color w:val="000000"/>
          </w:rPr>
          <w:t xml:space="preserve">God</w:t>
        </w:r>
      </w:hyperlink>
    </w:p>
    <w:p>
      <w:pPr>
        <w:ind w:left="187" w:hanging="187"/>
      </w:pPr>
      <w:r>
        <w:t xml:space="preserve">• </w:t>
      </w:r>
      <w:r>
        <w:rPr>
          <w:b w:val="0"/>
          <w:i/>
        </w:rPr>
        <w:t>primum quod mobile</w:t>
      </w:r>
      <w:r>
        <w:rPr>
          <w:b w:val="0"/>
          <w:i w:val="0"/>
        </w:rPr>
        <w:t xml:space="preserve"> — </w:t>
      </w:r>
      <w:hyperlink w:anchor="first-movable">
        <w:r>
          <w:rPr>
            <w:color w:val="000000"/>
          </w:rPr>
          <w:t xml:space="preserve">First movable</w:t>
        </w:r>
      </w:hyperlink>
    </w:p>
    <w:p>
      <w:pPr>
        <w:ind w:left="187" w:hanging="187"/>
      </w:pPr>
      <w:r>
        <w:t xml:space="preserve">• </w:t>
      </w:r>
      <w:r>
        <w:rPr>
          <w:b w:val="0"/>
          <w:i/>
        </w:rPr>
        <w:t>principes</w:t>
      </w:r>
      <w:r>
        <w:rPr>
          <w:b w:val="0"/>
          <w:i w:val="0"/>
        </w:rPr>
        <w:t xml:space="preserve"> — </w:t>
      </w:r>
      <w:hyperlink w:anchor="twelve">
        <w:r>
          <w:rPr>
            <w:color w:val="000000"/>
          </w:rPr>
          <w:t xml:space="preserve">Twelve</w:t>
        </w:r>
      </w:hyperlink>
    </w:p>
    <w:p>
      <w:pPr>
        <w:ind w:left="187" w:hanging="187"/>
      </w:pPr>
      <w:r>
        <w:t xml:space="preserve">• </w:t>
      </w:r>
      <w:r>
        <w:rPr>
          <w:b w:val="0"/>
          <w:i/>
        </w:rPr>
        <w:t>principium</w:t>
      </w:r>
      <w:r>
        <w:rPr>
          <w:b w:val="0"/>
          <w:i w:val="0"/>
        </w:rPr>
        <w:t xml:space="preserve"> — </w:t>
      </w:r>
      <w:hyperlink w:anchor="cause">
        <w:r>
          <w:rPr>
            <w:color w:val="000000"/>
          </w:rPr>
          <w:t xml:space="preserve">Cause</w:t>
        </w:r>
      </w:hyperlink>
      <w:r>
        <w:rPr>
          <w:b w:val="0"/>
          <w:i w:val="0"/>
        </w:rPr>
        <w:t xml:space="preserve">; </w:t>
      </w:r>
      <w:hyperlink w:anchor="principle">
        <w:r>
          <w:rPr>
            <w:color w:val="000000"/>
          </w:rPr>
          <w:t xml:space="preserve">Principle</w:t>
        </w:r>
      </w:hyperlink>
    </w:p>
    <w:p>
      <w:pPr>
        <w:ind w:left="187" w:hanging="187"/>
      </w:pPr>
      <w:r>
        <w:t xml:space="preserve">• </w:t>
      </w:r>
      <w:r>
        <w:rPr>
          <w:b w:val="0"/>
          <w:i/>
        </w:rPr>
        <w:t>privatio essendi</w:t>
      </w:r>
      <w:r>
        <w:rPr>
          <w:b w:val="0"/>
          <w:i w:val="0"/>
        </w:rPr>
        <w:t xml:space="preserve"> — </w:t>
      </w:r>
      <w:hyperlink w:anchor="nothing-and-nonbeing">
        <w:r>
          <w:rPr>
            <w:color w:val="000000"/>
          </w:rPr>
          <w:t xml:space="preserve">Nothing and nonbeing</w:t>
        </w:r>
      </w:hyperlink>
    </w:p>
    <w:p>
      <w:pPr>
        <w:ind w:left="187" w:hanging="187"/>
      </w:pPr>
      <w:r>
        <w:t xml:space="preserve">• </w:t>
      </w:r>
      <w:r>
        <w:rPr>
          <w:b w:val="0"/>
          <w:i/>
        </w:rPr>
        <w:t>privatio rationis sive defectus</w:t>
      </w:r>
      <w:r>
        <w:rPr>
          <w:b w:val="0"/>
          <w:i w:val="0"/>
        </w:rPr>
        <w:t xml:space="preserve"> — </w:t>
      </w:r>
      <w:hyperlink w:anchor="chance">
        <w:r>
          <w:rPr>
            <w:color w:val="000000"/>
          </w:rPr>
          <w:t xml:space="preserve">Chance</w:t>
        </w:r>
      </w:hyperlink>
    </w:p>
    <w:p>
      <w:pPr>
        <w:ind w:left="187" w:hanging="187"/>
      </w:pPr>
      <w:r>
        <w:t xml:space="preserve">• </w:t>
      </w:r>
      <w:r>
        <w:rPr>
          <w:b w:val="0"/>
          <w:i/>
        </w:rPr>
        <w:t>procedere</w:t>
      </w:r>
      <w:r>
        <w:rPr>
          <w:b w:val="0"/>
          <w:i w:val="0"/>
        </w:rPr>
        <w:t xml:space="preserve"> — </w:t>
      </w:r>
      <w:hyperlink w:anchor="procession-and-return">
        <w:r>
          <w:rPr>
            <w:color w:val="000000"/>
          </w:rPr>
          <w:t xml:space="preserve">Procession and return</w:t>
        </w:r>
      </w:hyperlink>
    </w:p>
    <w:p>
      <w:pPr>
        <w:ind w:left="187" w:hanging="187"/>
      </w:pPr>
      <w:r>
        <w:t xml:space="preserve">• </w:t>
      </w:r>
      <w:r>
        <w:rPr>
          <w:b w:val="0"/>
          <w:i/>
        </w:rPr>
        <w:t>procreare</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profectio</w:t>
      </w:r>
      <w:r>
        <w:rPr>
          <w:b w:val="0"/>
          <w:i w:val="0"/>
        </w:rPr>
        <w:t xml:space="preserve"> — </w:t>
      </w:r>
      <w:hyperlink w:anchor="procession-and-return">
        <w:r>
          <w:rPr>
            <w:color w:val="000000"/>
          </w:rPr>
          <w:t xml:space="preserve">Procession and return</w:t>
        </w:r>
      </w:hyperlink>
    </w:p>
    <w:p>
      <w:pPr>
        <w:ind w:left="187" w:hanging="187"/>
      </w:pPr>
      <w:r>
        <w:t xml:space="preserve">• </w:t>
      </w:r>
      <w:r>
        <w:rPr>
          <w:b w:val="0"/>
          <w:i/>
        </w:rPr>
        <w:t>propinquior</w:t>
      </w:r>
      <w:r>
        <w:rPr>
          <w:b w:val="0"/>
          <w:i w:val="0"/>
        </w:rPr>
        <w:t xml:space="preserve"> — </w:t>
      </w:r>
      <w:hyperlink w:anchor="measure-and-degree">
        <w:r>
          <w:rPr>
            <w:color w:val="000000"/>
          </w:rPr>
          <w:t xml:space="preserve">Measure and degree</w:t>
        </w:r>
      </w:hyperlink>
    </w:p>
    <w:p>
      <w:pPr>
        <w:ind w:left="187" w:hanging="187"/>
      </w:pPr>
      <w:r>
        <w:t xml:space="preserve">• </w:t>
      </w:r>
      <w:r>
        <w:rPr>
          <w:b w:val="0"/>
          <w:i/>
        </w:rPr>
        <w:t>proportio</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proprietates</w:t>
      </w:r>
      <w:r>
        <w:rPr>
          <w:b w:val="0"/>
          <w:i w:val="0"/>
        </w:rPr>
        <w:t xml:space="preserve"> — </w:t>
      </w:r>
      <w:hyperlink w:anchor="universals-and-individuals">
        <w:r>
          <w:rPr>
            <w:color w:val="000000"/>
          </w:rPr>
          <w:t xml:space="preserve">Universals and individuals</w:t>
        </w:r>
      </w:hyperlink>
    </w:p>
    <w:p>
      <w:pPr>
        <w:ind w:left="187" w:hanging="187"/>
      </w:pPr>
      <w:r>
        <w:t xml:space="preserve">• </w:t>
      </w:r>
      <w:r>
        <w:rPr>
          <w:b w:val="0"/>
          <w:i/>
        </w:rPr>
        <w:t>proprium obiectum</w:t>
      </w:r>
      <w:r>
        <w:rPr>
          <w:b w:val="0"/>
          <w:i w:val="0"/>
        </w:rPr>
        <w:t xml:space="preserve"> — </w:t>
      </w:r>
      <w:hyperlink w:anchor="object-and-adequate-object">
        <w:r>
          <w:rPr>
            <w:color w:val="000000"/>
          </w:rPr>
          <w:t xml:space="preserve">Object and adequate object</w:t>
        </w:r>
      </w:hyperlink>
    </w:p>
    <w:p>
      <w:pPr>
        <w:ind w:left="187" w:hanging="187"/>
      </w:pPr>
      <w:r>
        <w:t xml:space="preserve">• </w:t>
      </w:r>
      <w:r>
        <w:rPr>
          <w:b w:val="0"/>
          <w:i/>
        </w:rPr>
        <w:t>prorsus immobile</w:t>
      </w:r>
      <w:r>
        <w:rPr>
          <w:b w:val="0"/>
          <w:i w:val="0"/>
        </w:rPr>
        <w:t xml:space="preserve"> — </w:t>
      </w:r>
      <w:hyperlink w:anchor="spheres-and-stars">
        <w:r>
          <w:rPr>
            <w:color w:val="000000"/>
          </w:rPr>
          <w:t xml:space="preserve">Spheres and stars</w:t>
        </w:r>
      </w:hyperlink>
    </w:p>
    <w:p>
      <w:pPr>
        <w:ind w:left="187" w:hanging="187"/>
      </w:pPr>
      <w:r>
        <w:t xml:space="preserve">• </w:t>
      </w:r>
      <w:r>
        <w:rPr>
          <w:b w:val="0"/>
          <w:i/>
        </w:rPr>
        <w:t>Protea</w:t>
      </w:r>
      <w:r>
        <w:rPr>
          <w:b w:val="0"/>
          <w:i w:val="0"/>
        </w:rPr>
        <w:t xml:space="preserve"> — </w:t>
      </w:r>
      <w:hyperlink w:anchor="proteus">
        <w:r>
          <w:rPr>
            <w:color w:val="000000"/>
          </w:rPr>
          <w:t xml:space="preserve">Proteus</w:t>
        </w:r>
      </w:hyperlink>
    </w:p>
    <w:p>
      <w:pPr>
        <w:ind w:left="187" w:hanging="187"/>
      </w:pPr>
      <w:r>
        <w:t xml:space="preserve">• </w:t>
      </w:r>
      <w:r>
        <w:rPr>
          <w:b w:val="0"/>
          <w:i/>
        </w:rPr>
        <w:t>providentia</w:t>
      </w:r>
      <w:r>
        <w:rPr>
          <w:b w:val="0"/>
          <w:i w:val="0"/>
        </w:rPr>
        <w:t xml:space="preserve"> — </w:t>
      </w:r>
      <w:hyperlink w:anchor="providence">
        <w:r>
          <w:rPr>
            <w:color w:val="000000"/>
          </w:rPr>
          <w:t xml:space="preserve">Providence</w:t>
        </w:r>
      </w:hyperlink>
    </w:p>
    <w:p>
      <w:pPr>
        <w:ind w:left="187" w:hanging="187"/>
      </w:pPr>
      <w:r>
        <w:t xml:space="preserve">• </w:t>
      </w:r>
      <w:r>
        <w:rPr>
          <w:b w:val="0"/>
          <w:i/>
        </w:rPr>
        <w:t>providere</w:t>
      </w:r>
      <w:r>
        <w:rPr>
          <w:b w:val="0"/>
          <w:i w:val="0"/>
        </w:rPr>
        <w:t xml:space="preserve"> — </w:t>
      </w:r>
      <w:hyperlink w:anchor="providence">
        <w:r>
          <w:rPr>
            <w:color w:val="000000"/>
          </w:rPr>
          <w:t xml:space="preserve">Providence</w:t>
        </w:r>
      </w:hyperlink>
    </w:p>
    <w:p>
      <w:pPr>
        <w:ind w:left="187" w:hanging="187"/>
      </w:pPr>
      <w:r>
        <w:t xml:space="preserve">• </w:t>
      </w:r>
      <w:r>
        <w:rPr>
          <w:b w:val="0"/>
          <w:i/>
        </w:rPr>
        <w:t>proximarum causarum</w:t>
      </w:r>
      <w:r>
        <w:rPr>
          <w:b w:val="0"/>
          <w:i w:val="0"/>
        </w:rPr>
        <w:t xml:space="preserve"> — </w:t>
      </w:r>
      <w:hyperlink w:anchor="contingency">
        <w:r>
          <w:rPr>
            <w:color w:val="000000"/>
          </w:rPr>
          <w:t xml:space="preserve">Contingency</w:t>
        </w:r>
      </w:hyperlink>
    </w:p>
    <w:p>
      <w:pPr>
        <w:ind w:left="187" w:hanging="187"/>
      </w:pPr>
      <w:r>
        <w:t xml:space="preserve">• </w:t>
      </w:r>
      <w:r>
        <w:rPr>
          <w:b w:val="0"/>
          <w:i/>
        </w:rPr>
        <w:t>pugnantia</w:t>
      </w:r>
      <w:r>
        <w:rPr>
          <w:b w:val="0"/>
          <w:i w:val="0"/>
        </w:rPr>
        <w:t xml:space="preserve"> — </w:t>
      </w:r>
      <w:hyperlink w:anchor="contraries-and-opposition">
        <w:r>
          <w:rPr>
            <w:color w:val="000000"/>
          </w:rPr>
          <w:t xml:space="preserve">Contraries and opposition</w:t>
        </w:r>
      </w:hyperlink>
    </w:p>
    <w:p>
      <w:pPr>
        <w:ind w:left="187" w:hanging="187"/>
      </w:pPr>
      <w:r>
        <w:t xml:space="preserve">• </w:t>
      </w:r>
      <w:r>
        <w:rPr>
          <w:b w:val="0"/>
          <w:i/>
        </w:rPr>
        <w:t>pulcherrime</w:t>
      </w:r>
      <w:r>
        <w:rPr>
          <w:b w:val="0"/>
          <w:i w:val="0"/>
        </w:rPr>
        <w:t xml:space="preserve"> — </w:t>
      </w:r>
      <w:hyperlink w:anchor="beauty-and-fittingness">
        <w:r>
          <w:rPr>
            <w:color w:val="000000"/>
          </w:rPr>
          <w:t xml:space="preserve">Beauty and fittingness</w:t>
        </w:r>
      </w:hyperlink>
    </w:p>
    <w:p>
      <w:pPr>
        <w:ind w:left="187" w:hanging="187"/>
      </w:pPr>
      <w:r>
        <w:t xml:space="preserve">• </w:t>
      </w:r>
      <w:r>
        <w:rPr>
          <w:b w:val="0"/>
          <w:i/>
        </w:rPr>
        <w:t>punctum</w:t>
      </w:r>
      <w:r>
        <w:rPr>
          <w:b w:val="0"/>
          <w:i w:val="0"/>
        </w:rPr>
        <w:t xml:space="preserve"> — </w:t>
      </w:r>
      <w:hyperlink w:anchor="hinge-and-center">
        <w:r>
          <w:rPr>
            <w:color w:val="000000"/>
          </w:rPr>
          <w:t xml:space="preserve">Hinge and center</w:t>
        </w:r>
      </w:hyperlink>
      <w:r>
        <w:rPr>
          <w:b w:val="0"/>
          <w:i w:val="0"/>
        </w:rPr>
        <w:t xml:space="preserve">; </w:t>
      </w:r>
      <w:hyperlink w:anchor="indwelling-and-presence">
        <w:r>
          <w:rPr>
            <w:color w:val="000000"/>
          </w:rPr>
          <w:t xml:space="preserve">Indwelling and presence</w:t>
        </w:r>
      </w:hyperlink>
      <w:r>
        <w:rPr>
          <w:b w:val="0"/>
          <w:i w:val="0"/>
        </w:rPr>
        <w:t xml:space="preserve">; </w:t>
      </w:r>
      <w:hyperlink w:anchor="separation-and-abstraction">
        <w:r>
          <w:rPr>
            <w:color w:val="000000"/>
          </w:rPr>
          <w:t xml:space="preserve">Separation and abstraction</w:t>
        </w:r>
      </w:hyperlink>
    </w:p>
    <w:p>
      <w:pPr>
        <w:ind w:left="187" w:hanging="187"/>
      </w:pPr>
      <w:r>
        <w:t xml:space="preserve">• </w:t>
      </w:r>
      <w:r>
        <w:rPr>
          <w:b w:val="0"/>
          <w:i/>
        </w:rPr>
        <w:t>puritas</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purus</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purus actus</w:t>
      </w:r>
      <w:r>
        <w:rPr>
          <w:b w:val="0"/>
          <w:i w:val="0"/>
        </w:rPr>
        <w:t xml:space="preserve"> — </w:t>
      </w:r>
      <w:hyperlink w:anchor="act-and-operation">
        <w:r>
          <w:rPr>
            <w:color w:val="000000"/>
          </w:rPr>
          <w:t xml:space="preserve">Act and operation</w:t>
        </w:r>
      </w:hyperlink>
    </w:p>
    <w:p>
      <w:pPr>
        <w:ind w:left="187" w:hanging="187"/>
      </w:pPr>
      <w:r>
        <w:t xml:space="preserve">• </w:t>
      </w:r>
      <w:r>
        <w:rPr>
          <w:b w:val="0"/>
          <w:i/>
        </w:rPr>
        <w:t>putrefactio</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qualitas</w:t>
      </w:r>
      <w:r>
        <w:rPr>
          <w:b w:val="0"/>
          <w:i w:val="0"/>
        </w:rPr>
        <w:t xml:space="preserve"> — </w:t>
      </w:r>
      <w:hyperlink w:anchor="quality">
        <w:r>
          <w:rPr>
            <w:color w:val="000000"/>
          </w:rPr>
          <w:t xml:space="preserve">Quality</w:t>
        </w:r>
      </w:hyperlink>
    </w:p>
    <w:p>
      <w:pPr>
        <w:ind w:left="187" w:hanging="187"/>
      </w:pPr>
      <w:r>
        <w:t xml:space="preserve">• </w:t>
      </w:r>
      <w:r>
        <w:rPr>
          <w:b w:val="0"/>
          <w:i/>
        </w:rPr>
        <w:t>qualitates</w:t>
      </w:r>
      <w:r>
        <w:rPr>
          <w:b w:val="0"/>
          <w:i w:val="0"/>
        </w:rPr>
        <w:t xml:space="preserve"> — </w:t>
      </w:r>
      <w:hyperlink w:anchor="quality">
        <w:r>
          <w:rPr>
            <w:color w:val="000000"/>
          </w:rPr>
          <w:t xml:space="preserve">Quality</w:t>
        </w:r>
      </w:hyperlink>
    </w:p>
    <w:p>
      <w:pPr>
        <w:ind w:left="187" w:hanging="187"/>
      </w:pPr>
      <w:r>
        <w:t xml:space="preserve">• </w:t>
      </w:r>
      <w:r>
        <w:rPr>
          <w:b w:val="0"/>
          <w:i/>
        </w:rPr>
        <w:t>qualitates accidentales</w:t>
      </w:r>
      <w:r>
        <w:rPr>
          <w:b w:val="0"/>
          <w:i w:val="0"/>
        </w:rPr>
        <w:t xml:space="preserve"> — </w:t>
      </w:r>
      <w:hyperlink w:anchor="substance-and-accident">
        <w:r>
          <w:rPr>
            <w:color w:val="000000"/>
          </w:rPr>
          <w:t xml:space="preserve">Substance and accident</w:t>
        </w:r>
      </w:hyperlink>
    </w:p>
    <w:p>
      <w:pPr>
        <w:ind w:left="187" w:hanging="187"/>
      </w:pPr>
      <w:r>
        <w:t xml:space="preserve">• </w:t>
      </w:r>
      <w:r>
        <w:rPr>
          <w:b w:val="0"/>
          <w:i/>
        </w:rPr>
        <w:t>quantitas</w:t>
      </w:r>
      <w:r>
        <w:rPr>
          <w:b w:val="0"/>
          <w:i w:val="0"/>
        </w:rPr>
        <w:t xml:space="preserve"> — </w:t>
      </w:r>
      <w:hyperlink w:anchor="body-and-bulk">
        <w:r>
          <w:rPr>
            <w:color w:val="000000"/>
          </w:rPr>
          <w:t xml:space="preserve">Body and bulk</w:t>
        </w:r>
      </w:hyperlink>
      <w:r>
        <w:rPr>
          <w:b w:val="0"/>
          <w:i w:val="0"/>
        </w:rPr>
        <w:t xml:space="preserve">; </w:t>
      </w:r>
      <w:hyperlink w:anchor="quantity-and-dimension">
        <w:r>
          <w:rPr>
            <w:color w:val="000000"/>
          </w:rPr>
          <w:t xml:space="preserve">Quantity and dimension</w:t>
        </w:r>
      </w:hyperlink>
    </w:p>
    <w:p>
      <w:pPr>
        <w:ind w:left="187" w:hanging="187"/>
      </w:pPr>
      <w:r>
        <w:t xml:space="preserve">• </w:t>
      </w:r>
      <w:r>
        <w:rPr>
          <w:b w:val="0"/>
          <w:i/>
        </w:rPr>
        <w:t>quasi spiritalia</w:t>
      </w:r>
      <w:r>
        <w:rPr>
          <w:b w:val="0"/>
          <w:i w:val="0"/>
        </w:rPr>
        <w:t xml:space="preserve"> — </w:t>
      </w:r>
      <w:hyperlink w:anchor="spirit">
        <w:r>
          <w:rPr>
            <w:color w:val="000000"/>
          </w:rPr>
          <w:t xml:space="preserve">Spirit</w:t>
        </w:r>
      </w:hyperlink>
    </w:p>
    <w:p>
      <w:pPr>
        <w:ind w:left="187" w:hanging="187"/>
      </w:pPr>
      <w:r>
        <w:t xml:space="preserve">• </w:t>
      </w:r>
      <w:r>
        <w:rPr>
          <w:b w:val="0"/>
          <w:i/>
        </w:rPr>
        <w:t>quies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quies voluntatis in bono</w:t>
      </w:r>
      <w:r>
        <w:rPr>
          <w:b w:val="0"/>
          <w:i w:val="0"/>
        </w:rPr>
        <w:t xml:space="preserve"> — </w:t>
      </w:r>
      <w:hyperlink w:anchor="love-and-pleasure">
        <w:r>
          <w:rPr>
            <w:color w:val="000000"/>
          </w:rPr>
          <w:t xml:space="preserve">Love and pleasure</w:t>
        </w:r>
      </w:hyperlink>
    </w:p>
    <w:p>
      <w:pPr>
        <w:ind w:left="187" w:hanging="187"/>
      </w:pPr>
      <w:r>
        <w:t xml:space="preserve">• </w:t>
      </w:r>
      <w:r>
        <w:rPr>
          <w:b w:val="0"/>
          <w:i/>
        </w:rPr>
        <w:t>radii</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ratio</w:t>
      </w:r>
      <w:r>
        <w:rPr>
          <w:b w:val="0"/>
          <w:i w:val="0"/>
        </w:rPr>
        <w:t xml:space="preserve"> — </w:t>
      </w:r>
      <w:hyperlink w:anchor="ideas-and-exemplars">
        <w:r>
          <w:rPr>
            <w:color w:val="000000"/>
          </w:rPr>
          <w:t xml:space="preserve">Ideas and exemplars</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reason-and-account">
        <w:r>
          <w:rPr>
            <w:color w:val="000000"/>
          </w:rPr>
          <w:t xml:space="preserve">Reason and account</w:t>
        </w:r>
      </w:hyperlink>
      <w:r>
        <w:rPr>
          <w:b w:val="0"/>
          <w:i w:val="0"/>
        </w:rPr>
        <w:t xml:space="preserve">; </w:t>
      </w:r>
      <w:hyperlink w:anchor="reason-anger-and-desire">
        <w:r>
          <w:rPr>
            <w:color w:val="000000"/>
          </w:rPr>
          <w:t xml:space="preserve">Reason anger and desire</w:t>
        </w:r>
      </w:hyperlink>
      <w:r>
        <w:rPr>
          <w:b w:val="0"/>
          <w:i w:val="0"/>
        </w:rPr>
        <w:t xml:space="preserve">; </w:t>
      </w:r>
      <w:hyperlink w:anchor="sense-and-imagination">
        <w:r>
          <w:rPr>
            <w:color w:val="000000"/>
          </w:rPr>
          <w:t xml:space="preserve">Sense and imagination</w:t>
        </w:r>
      </w:hyperlink>
    </w:p>
    <w:p>
      <w:pPr>
        <w:ind w:left="187" w:hanging="187"/>
      </w:pPr>
      <w:r>
        <w:t xml:space="preserve">• </w:t>
      </w:r>
      <w:r>
        <w:rPr>
          <w:b w:val="0"/>
          <w:i/>
        </w:rPr>
        <w:t>ratio appetendi</w:t>
      </w:r>
      <w:r>
        <w:rPr>
          <w:b w:val="0"/>
          <w:i w:val="0"/>
        </w:rPr>
        <w:t xml:space="preserve"> — </w:t>
      </w:r>
      <w:hyperlink w:anchor="reason-and-account">
        <w:r>
          <w:rPr>
            <w:color w:val="000000"/>
          </w:rPr>
          <w:t xml:space="preserve">Reason and account</w:t>
        </w:r>
      </w:hyperlink>
    </w:p>
    <w:p>
      <w:pPr>
        <w:ind w:left="187" w:hanging="187"/>
      </w:pPr>
      <w:r>
        <w:t xml:space="preserve">• </w:t>
      </w:r>
      <w:r>
        <w:rPr>
          <w:b w:val="0"/>
          <w:i/>
        </w:rPr>
        <w:t>ratio entis</w:t>
      </w:r>
      <w:r>
        <w:rPr>
          <w:b w:val="0"/>
          <w:i w:val="0"/>
        </w:rPr>
        <w:t xml:space="preserve"> — </w:t>
      </w:r>
      <w:hyperlink w:anchor="reason-and-account">
        <w:r>
          <w:rPr>
            <w:color w:val="000000"/>
          </w:rPr>
          <w:t xml:space="preserve">Reason and account</w:t>
        </w:r>
      </w:hyperlink>
    </w:p>
    <w:p>
      <w:pPr>
        <w:ind w:left="187" w:hanging="187"/>
      </w:pPr>
      <w:r>
        <w:t xml:space="preserve">• </w:t>
      </w:r>
      <w:r>
        <w:rPr>
          <w:b w:val="0"/>
          <w:i/>
        </w:rPr>
        <w:t>ratio formarum</w:t>
      </w:r>
      <w:r>
        <w:rPr>
          <w:b w:val="0"/>
          <w:i w:val="0"/>
        </w:rPr>
        <w:t xml:space="preserve"> — </w:t>
      </w:r>
      <w:hyperlink w:anchor="form">
        <w:r>
          <w:rPr>
            <w:color w:val="000000"/>
          </w:rPr>
          <w:t xml:space="preserve">Form</w:t>
        </w:r>
      </w:hyperlink>
    </w:p>
    <w:p>
      <w:pPr>
        <w:ind w:left="187" w:hanging="187"/>
      </w:pPr>
      <w:r>
        <w:t xml:space="preserve">• </w:t>
      </w:r>
      <w:r>
        <w:rPr>
          <w:b w:val="0"/>
          <w:i/>
        </w:rPr>
        <w:t>ratio mensuraque idealis</w:t>
      </w:r>
      <w:r>
        <w:rPr>
          <w:b w:val="0"/>
          <w:i w:val="0"/>
        </w:rPr>
        <w:t xml:space="preserve"> — </w:t>
      </w:r>
      <w:hyperlink w:anchor="measure-and-degree">
        <w:r>
          <w:rPr>
            <w:color w:val="000000"/>
          </w:rPr>
          <w:t xml:space="preserve">Measure and degree</w:t>
        </w:r>
      </w:hyperlink>
    </w:p>
    <w:p>
      <w:pPr>
        <w:ind w:left="187" w:hanging="187"/>
      </w:pPr>
      <w:r>
        <w:t xml:space="preserve">• </w:t>
      </w:r>
      <w:r>
        <w:rPr>
          <w:b w:val="0"/>
          <w:i/>
        </w:rPr>
        <w:t>ratio propria</w:t>
      </w:r>
      <w:r>
        <w:rPr>
          <w:b w:val="0"/>
          <w:i w:val="0"/>
        </w:rPr>
        <w:t xml:space="preserve"> — </w:t>
      </w:r>
      <w:hyperlink w:anchor="reason-and-account">
        <w:r>
          <w:rPr>
            <w:color w:val="000000"/>
          </w:rPr>
          <w:t xml:space="preserve">Reason and account</w:t>
        </w:r>
      </w:hyperlink>
    </w:p>
    <w:p>
      <w:pPr>
        <w:ind w:left="187" w:hanging="187"/>
      </w:pPr>
      <w:r>
        <w:t xml:space="preserve">• </w:t>
      </w:r>
      <w:r>
        <w:rPr>
          <w:b w:val="0"/>
          <w:i/>
        </w:rPr>
        <w:t>rationalis</w:t>
      </w:r>
      <w:r>
        <w:rPr>
          <w:b w:val="0"/>
          <w:i w:val="0"/>
        </w:rPr>
        <w:t xml:space="preserve"> — </w:t>
      </w:r>
      <w:hyperlink w:anchor="reason-and-account">
        <w:r>
          <w:rPr>
            <w:color w:val="000000"/>
          </w:rPr>
          <w:t xml:space="preserve">Reason and account</w:t>
        </w:r>
      </w:hyperlink>
    </w:p>
    <w:p>
      <w:pPr>
        <w:ind w:left="187" w:hanging="187"/>
      </w:pPr>
      <w:r>
        <w:t xml:space="preserve">• </w:t>
      </w:r>
      <w:r>
        <w:rPr>
          <w:b w:val="0"/>
          <w:i/>
        </w:rPr>
        <w:t>rationes</w:t>
      </w:r>
      <w:r>
        <w:rPr>
          <w:b w:val="0"/>
          <w:i w:val="0"/>
        </w:rPr>
        <w:t xml:space="preserve"> — </w:t>
      </w:r>
      <w:hyperlink w:anchor="ideas-and-exemplars">
        <w:r>
          <w:rPr>
            <w:color w:val="000000"/>
          </w:rPr>
          <w:t xml:space="preserve">Ideas and exemplars</w:t>
        </w:r>
      </w:hyperlink>
      <w:r>
        <w:rPr>
          <w:b w:val="0"/>
          <w:i w:val="0"/>
        </w:rPr>
        <w:t xml:space="preserve">; </w:t>
      </w:r>
      <w:hyperlink w:anchor="reason-and-account">
        <w:r>
          <w:rPr>
            <w:color w:val="000000"/>
          </w:rPr>
          <w:t xml:space="preserve">Reason and account</w:t>
        </w:r>
      </w:hyperlink>
    </w:p>
    <w:p>
      <w:pPr>
        <w:ind w:left="187" w:hanging="187"/>
      </w:pPr>
      <w:r>
        <w:t xml:space="preserve">• </w:t>
      </w:r>
      <w:r>
        <w:rPr>
          <w:b w:val="0"/>
          <w:i/>
        </w:rPr>
        <w:t>rationes formarum</w:t>
      </w:r>
      <w:r>
        <w:rPr>
          <w:b w:val="0"/>
          <w:i w:val="0"/>
        </w:rPr>
        <w:t xml:space="preserve"> — </w:t>
      </w:r>
      <w:hyperlink w:anchor="reason-and-account">
        <w:r>
          <w:rPr>
            <w:color w:val="000000"/>
          </w:rPr>
          <w:t xml:space="preserve">Reason and account</w:t>
        </w:r>
      </w:hyperlink>
    </w:p>
    <w:p>
      <w:pPr>
        <w:ind w:left="187" w:hanging="187"/>
      </w:pPr>
      <w:r>
        <w:t xml:space="preserve">• </w:t>
      </w:r>
      <w:r>
        <w:rPr>
          <w:b w:val="0"/>
          <w:i/>
        </w:rPr>
        <w:t>rationes propriae</w:t>
      </w:r>
      <w:r>
        <w:rPr>
          <w:b w:val="0"/>
          <w:i w:val="0"/>
        </w:rPr>
        <w:t xml:space="preserve"> — </w:t>
      </w:r>
      <w:hyperlink w:anchor="ideas-and-exemplars">
        <w:r>
          <w:rPr>
            <w:color w:val="000000"/>
          </w:rPr>
          <w:t xml:space="preserve">Ideas and exemplars</w:t>
        </w:r>
      </w:hyperlink>
    </w:p>
    <w:p>
      <w:pPr>
        <w:ind w:left="187" w:hanging="187"/>
      </w:pPr>
      <w:r>
        <w:t xml:space="preserve">• </w:t>
      </w:r>
      <w:r>
        <w:rPr>
          <w:b w:val="0"/>
          <w:i/>
        </w:rPr>
        <w:t>rationi entis</w:t>
      </w:r>
      <w:r>
        <w:rPr>
          <w:b w:val="0"/>
          <w:i w:val="0"/>
        </w:rPr>
        <w:t xml:space="preserve"> — </w:t>
      </w:r>
      <w:hyperlink w:anchor="reason-and-account">
        <w:r>
          <w:rPr>
            <w:color w:val="000000"/>
          </w:rPr>
          <w:t xml:space="preserve">Reason and account</w:t>
        </w:r>
      </w:hyperlink>
    </w:p>
    <w:p>
      <w:pPr>
        <w:ind w:left="187" w:hanging="187"/>
      </w:pPr>
      <w:r>
        <w:t xml:space="preserve">• </w:t>
      </w:r>
      <w:r>
        <w:rPr>
          <w:b w:val="0"/>
          <w:i/>
        </w:rPr>
        <w:t>reales respectus</w:t>
      </w:r>
      <w:r>
        <w:rPr>
          <w:b w:val="0"/>
          <w:i w:val="0"/>
        </w:rPr>
        <w:t xml:space="preserve"> — </w:t>
      </w:r>
      <w:hyperlink w:anchor="ideas-and-exemplars">
        <w:r>
          <w:rPr>
            <w:color w:val="000000"/>
          </w:rPr>
          <w:t xml:space="preserve">Ideas and exemplars</w:t>
        </w:r>
      </w:hyperlink>
    </w:p>
    <w:p>
      <w:pPr>
        <w:ind w:left="187" w:hanging="187"/>
      </w:pPr>
      <w:r>
        <w:t xml:space="preserve">• </w:t>
      </w:r>
      <w:r>
        <w:rPr>
          <w:b w:val="0"/>
          <w:i/>
        </w:rPr>
        <w:t>recta voluntas</w:t>
      </w:r>
      <w:r>
        <w:rPr>
          <w:b w:val="0"/>
          <w:i w:val="0"/>
        </w:rPr>
        <w:t xml:space="preserve"> — </w:t>
      </w:r>
      <w:hyperlink w:anchor="will">
        <w:r>
          <w:rPr>
            <w:color w:val="000000"/>
          </w:rPr>
          <w:t xml:space="preserve">Will</w:t>
        </w:r>
      </w:hyperlink>
    </w:p>
    <w:p>
      <w:pPr>
        <w:ind w:left="187" w:hanging="187"/>
      </w:pPr>
      <w:r>
        <w:t xml:space="preserve">• </w:t>
      </w:r>
      <w:r>
        <w:rPr>
          <w:b w:val="0"/>
          <w:i/>
        </w:rPr>
        <w:t>recurrere</w:t>
      </w:r>
      <w:r>
        <w:rPr>
          <w:b w:val="0"/>
          <w:i w:val="0"/>
        </w:rPr>
        <w:t xml:space="preserve"> — </w:t>
      </w:r>
      <w:hyperlink w:anchor="circularity-and-return">
        <w:r>
          <w:rPr>
            <w:color w:val="000000"/>
          </w:rPr>
          <w:t xml:space="preserve">Circularity and return</w:t>
        </w:r>
      </w:hyperlink>
    </w:p>
    <w:p>
      <w:pPr>
        <w:ind w:left="187" w:hanging="187"/>
      </w:pPr>
      <w:r>
        <w:t xml:space="preserve">• </w:t>
      </w:r>
      <w:r>
        <w:rPr>
          <w:b w:val="0"/>
          <w:i/>
        </w:rPr>
        <w:t>redit</w:t>
      </w:r>
      <w:r>
        <w:rPr>
          <w:b w:val="0"/>
          <w:i w:val="0"/>
        </w:rPr>
        <w:t xml:space="preserve"> — </w:t>
      </w:r>
      <w:hyperlink w:anchor="circularity-and-return">
        <w:r>
          <w:rPr>
            <w:color w:val="000000"/>
          </w:rPr>
          <w:t xml:space="preserve">Circularity and return</w:t>
        </w:r>
      </w:hyperlink>
    </w:p>
    <w:p>
      <w:pPr>
        <w:ind w:left="187" w:hanging="187"/>
      </w:pPr>
      <w:r>
        <w:t xml:space="preserve">• </w:t>
      </w:r>
      <w:r>
        <w:rPr>
          <w:b w:val="0"/>
          <w:i/>
        </w:rPr>
        <w:t>refluere</w:t>
      </w:r>
      <w:r>
        <w:rPr>
          <w:b w:val="0"/>
          <w:i w:val="0"/>
        </w:rPr>
        <w:t xml:space="preserve"> — </w:t>
      </w:r>
      <w:hyperlink w:anchor="procession-and-return">
        <w:r>
          <w:rPr>
            <w:color w:val="000000"/>
          </w:rPr>
          <w:t xml:space="preserve">Procession and return</w:t>
        </w:r>
      </w:hyperlink>
    </w:p>
    <w:p>
      <w:pPr>
        <w:ind w:left="187" w:hanging="187"/>
      </w:pPr>
      <w:r>
        <w:t xml:space="preserve">• </w:t>
      </w:r>
      <w:r>
        <w:rPr>
          <w:b w:val="0"/>
          <w:i/>
        </w:rPr>
        <w:t>refluit</w:t>
      </w:r>
      <w:r>
        <w:rPr>
          <w:b w:val="0"/>
          <w:i w:val="0"/>
        </w:rPr>
        <w:t xml:space="preserve"> — </w:t>
      </w:r>
      <w:hyperlink w:anchor="circularity-and-return">
        <w:r>
          <w:rPr>
            <w:color w:val="000000"/>
          </w:rPr>
          <w:t xml:space="preserve">Circularity and return</w:t>
        </w:r>
      </w:hyperlink>
    </w:p>
    <w:p>
      <w:pPr>
        <w:ind w:left="187" w:hanging="187"/>
      </w:pPr>
      <w:r>
        <w:t xml:space="preserve">• </w:t>
      </w:r>
      <w:r>
        <w:rPr>
          <w:b w:val="0"/>
          <w:i/>
        </w:rPr>
        <w:t>reformare</w:t>
      </w:r>
      <w:r>
        <w:rPr>
          <w:b w:val="0"/>
          <w:i w:val="0"/>
        </w:rPr>
        <w:t xml:space="preserve"> — </w:t>
      </w:r>
      <w:hyperlink w:anchor="procession-and-return">
        <w:r>
          <w:rPr>
            <w:color w:val="000000"/>
          </w:rPr>
          <w:t xml:space="preserve">Procession and return</w:t>
        </w:r>
      </w:hyperlink>
    </w:p>
    <w:p>
      <w:pPr>
        <w:ind w:left="187" w:hanging="187"/>
      </w:pPr>
      <w:r>
        <w:t xml:space="preserve">• </w:t>
      </w:r>
      <w:r>
        <w:rPr>
          <w:b w:val="0"/>
          <w:i/>
        </w:rPr>
        <w:t>regere</w:t>
      </w:r>
      <w:r>
        <w:rPr>
          <w:b w:val="0"/>
          <w:i w:val="0"/>
        </w:rPr>
        <w:t xml:space="preserve"> — </w:t>
      </w:r>
      <w:hyperlink w:anchor="providence">
        <w:r>
          <w:rPr>
            <w:color w:val="000000"/>
          </w:rPr>
          <w:t xml:space="preserve">Providence</w:t>
        </w:r>
      </w:hyperlink>
    </w:p>
    <w:p>
      <w:pPr>
        <w:ind w:left="187" w:hanging="187"/>
      </w:pPr>
      <w:r>
        <w:t xml:space="preserve">• </w:t>
      </w:r>
      <w:r>
        <w:rPr>
          <w:b w:val="0"/>
          <w:i/>
        </w:rPr>
        <w:t>remissio</w:t>
      </w:r>
      <w:r>
        <w:rPr>
          <w:b w:val="0"/>
          <w:i w:val="0"/>
        </w:rPr>
        <w:t xml:space="preserve"> — </w:t>
      </w:r>
      <w:hyperlink w:anchor="form">
        <w:r>
          <w:rPr>
            <w:color w:val="000000"/>
          </w:rPr>
          <w:t xml:space="preserve">Form</w:t>
        </w:r>
      </w:hyperlink>
      <w:r>
        <w:rPr>
          <w:b w:val="0"/>
          <w:i w:val="0"/>
        </w:rPr>
        <w:t xml:space="preserve">; </w:t>
      </w:r>
      <w:hyperlink w:anchor="quantity-and-dimension">
        <w:r>
          <w:rPr>
            <w:color w:val="000000"/>
          </w:rPr>
          <w:t xml:space="preserve">Quantity and dimension</w:t>
        </w:r>
      </w:hyperlink>
    </w:p>
    <w:p>
      <w:pPr>
        <w:ind w:left="187" w:hanging="187"/>
      </w:pPr>
      <w:r>
        <w:t xml:space="preserve">• </w:t>
      </w:r>
      <w:r>
        <w:rPr>
          <w:b w:val="0"/>
          <w:i/>
        </w:rPr>
        <w:t>replicando</w:t>
      </w:r>
      <w:r>
        <w:rPr>
          <w:b w:val="0"/>
          <w:i w:val="0"/>
        </w:rPr>
        <w:t xml:space="preserve"> — </w:t>
      </w:r>
      <w:hyperlink w:anchor="circularity-and-return">
        <w:r>
          <w:rPr>
            <w:color w:val="000000"/>
          </w:rPr>
          <w:t xml:space="preserve">Circularity and return</w:t>
        </w:r>
      </w:hyperlink>
    </w:p>
    <w:p>
      <w:pPr>
        <w:ind w:left="187" w:hanging="187"/>
      </w:pPr>
      <w:r>
        <w:t xml:space="preserve">• </w:t>
      </w:r>
      <w:r>
        <w:rPr>
          <w:b w:val="0"/>
          <w:i/>
        </w:rPr>
        <w:t>rerum rationes universales</w:t>
      </w:r>
      <w:r>
        <w:rPr>
          <w:b w:val="0"/>
          <w:i w:val="0"/>
        </w:rPr>
        <w:t xml:space="preserve"> — </w:t>
      </w:r>
      <w:hyperlink w:anchor="reason-and-account">
        <w:r>
          <w:rPr>
            <w:color w:val="000000"/>
          </w:rPr>
          <w:t xml:space="preserve">Reason and account</w:t>
        </w:r>
      </w:hyperlink>
    </w:p>
    <w:p>
      <w:pPr>
        <w:ind w:left="187" w:hanging="187"/>
      </w:pPr>
      <w:r>
        <w:t xml:space="preserve">• </w:t>
      </w:r>
      <w:r>
        <w:rPr>
          <w:b w:val="0"/>
          <w:i/>
        </w:rPr>
        <w:t>res singulares</w:t>
      </w:r>
      <w:r>
        <w:rPr>
          <w:b w:val="0"/>
          <w:i w:val="0"/>
        </w:rPr>
        <w:t xml:space="preserve"> — </w:t>
      </w:r>
      <w:hyperlink w:anchor="universals-and-individuals">
        <w:r>
          <w:rPr>
            <w:color w:val="000000"/>
          </w:rPr>
          <w:t xml:space="preserve">Universals and individuals</w:t>
        </w:r>
      </w:hyperlink>
    </w:p>
    <w:p>
      <w:pPr>
        <w:ind w:left="187" w:hanging="187"/>
      </w:pPr>
      <w:r>
        <w:t xml:space="preserve">• </w:t>
      </w:r>
      <w:r>
        <w:rPr>
          <w:b w:val="0"/>
          <w:i/>
        </w:rPr>
        <w:t>respectus intellecti</w:t>
      </w:r>
      <w:r>
        <w:rPr>
          <w:b w:val="0"/>
          <w:i w:val="0"/>
        </w:rPr>
        <w:t xml:space="preserve"> — </w:t>
      </w:r>
      <w:hyperlink w:anchor="ideas-and-exemplars">
        <w:r>
          <w:rPr>
            <w:color w:val="000000"/>
          </w:rPr>
          <w:t xml:space="preserve">Ideas and exemplars</w:t>
        </w:r>
      </w:hyperlink>
    </w:p>
    <w:p>
      <w:pPr>
        <w:ind w:left="187" w:hanging="187"/>
      </w:pPr>
      <w:r>
        <w:t xml:space="preserve">• </w:t>
      </w:r>
      <w:r>
        <w:rPr>
          <w:b w:val="0"/>
          <w:i/>
        </w:rPr>
        <w:t>restituere</w:t>
      </w:r>
      <w:r>
        <w:rPr>
          <w:b w:val="0"/>
          <w:i w:val="0"/>
        </w:rPr>
        <w:t xml:space="preserve"> — </w:t>
      </w:r>
      <w:hyperlink w:anchor="procession-and-return">
        <w:r>
          <w:rPr>
            <w:color w:val="000000"/>
          </w:rPr>
          <w:t xml:space="preserve">Procession and return</w:t>
        </w:r>
      </w:hyperlink>
    </w:p>
    <w:p>
      <w:pPr>
        <w:ind w:left="187" w:hanging="187"/>
      </w:pPr>
      <w:r>
        <w:t xml:space="preserve">• </w:t>
      </w:r>
      <w:r>
        <w:rPr>
          <w:b w:val="0"/>
          <w:i/>
        </w:rPr>
        <w:t>restitutio</w:t>
      </w:r>
      <w:r>
        <w:rPr>
          <w:b w:val="0"/>
          <w:i w:val="0"/>
        </w:rPr>
        <w:t xml:space="preserve"> — </w:t>
      </w:r>
      <w:hyperlink w:anchor="natural-motion-and-natural-place">
        <w:r>
          <w:rPr>
            <w:color w:val="000000"/>
          </w:rPr>
          <w:t xml:space="preserve">Natural motion and natural place</w:t>
        </w:r>
      </w:hyperlink>
    </w:p>
    <w:p>
      <w:pPr>
        <w:ind w:left="187" w:hanging="187"/>
      </w:pPr>
      <w:r>
        <w:t xml:space="preserve">• </w:t>
      </w:r>
      <w:r>
        <w:rPr>
          <w:b w:val="0"/>
          <w:i/>
        </w:rPr>
        <w:t>revera</w:t>
      </w:r>
      <w:r>
        <w:rPr>
          <w:b w:val="0"/>
          <w:i w:val="0"/>
        </w:rPr>
        <w:t xml:space="preserve"> — </w:t>
      </w:r>
      <w:hyperlink w:anchor="truth">
        <w:r>
          <w:rPr>
            <w:color w:val="000000"/>
          </w:rPr>
          <w:t xml:space="preserve">Truth</w:t>
        </w:r>
      </w:hyperlink>
    </w:p>
    <w:p>
      <w:pPr>
        <w:ind w:left="187" w:hanging="187"/>
      </w:pPr>
      <w:r>
        <w:t xml:space="preserve">• </w:t>
      </w:r>
      <w:r>
        <w:rPr>
          <w:b w:val="0"/>
          <w:i/>
        </w:rPr>
        <w:t>revolutio</w:t>
      </w:r>
      <w:r>
        <w:rPr>
          <w:b w:val="0"/>
          <w:i w:val="0"/>
        </w:rPr>
        <w:t xml:space="preserve"> — </w:t>
      </w:r>
      <w:hyperlink w:anchor="circularity-and-return">
        <w:r>
          <w:rPr>
            <w:color w:val="000000"/>
          </w:rPr>
          <w:t xml:space="preserve">Circularity and return</w:t>
        </w:r>
      </w:hyperlink>
    </w:p>
    <w:p>
      <w:pPr>
        <w:ind w:left="187" w:hanging="187"/>
      </w:pPr>
      <w:r>
        <w:t xml:space="preserve">• </w:t>
      </w:r>
      <w:r>
        <w:rPr>
          <w:b w:val="0"/>
          <w:i/>
        </w:rPr>
        <w:t>revolvitur</w:t>
      </w:r>
      <w:r>
        <w:rPr>
          <w:b w:val="0"/>
          <w:i w:val="0"/>
        </w:rPr>
        <w:t xml:space="preserve"> — </w:t>
      </w:r>
      <w:hyperlink w:anchor="circularity-and-return">
        <w:r>
          <w:rPr>
            <w:color w:val="000000"/>
          </w:rPr>
          <w:t xml:space="preserve">Circularity and return</w:t>
        </w:r>
      </w:hyperlink>
    </w:p>
    <w:p>
      <w:pPr>
        <w:ind w:left="187" w:hanging="187"/>
      </w:pPr>
      <w:r>
        <w:t xml:space="preserve">• </w:t>
      </w:r>
      <w:r>
        <w:rPr>
          <w:b w:val="0"/>
          <w:i/>
        </w:rPr>
        <w:t>roborandos</w:t>
      </w:r>
      <w:r>
        <w:rPr>
          <w:b w:val="0"/>
          <w:i w:val="0"/>
        </w:rPr>
        <w:t xml:space="preserve"> — </w:t>
      </w:r>
      <w:hyperlink w:anchor="power-and-potency">
        <w:r>
          <w:rPr>
            <w:color w:val="000000"/>
          </w:rPr>
          <w:t xml:space="preserve">Power and potency</w:t>
        </w:r>
      </w:hyperlink>
    </w:p>
    <w:p>
      <w:pPr>
        <w:ind w:left="187" w:hanging="187"/>
      </w:pPr>
      <w:r>
        <w:t xml:space="preserve">• </w:t>
      </w:r>
      <w:r>
        <w:rPr>
          <w:b w:val="0"/>
          <w:i/>
        </w:rPr>
        <w:t>sapientia felix</w:t>
      </w:r>
      <w:r>
        <w:rPr>
          <w:b w:val="0"/>
          <w:i w:val="0"/>
        </w:rPr>
        <w:t xml:space="preserve"> — </w:t>
      </w:r>
      <w:hyperlink w:anchor="order-and-harmony">
        <w:r>
          <w:rPr>
            <w:color w:val="000000"/>
          </w:rPr>
          <w:t xml:space="preserve">Order and harmony</w:t>
        </w:r>
      </w:hyperlink>
    </w:p>
    <w:p>
      <w:pPr>
        <w:ind w:left="187" w:hanging="187"/>
      </w:pPr>
      <w:r>
        <w:t xml:space="preserve">• </w:t>
      </w:r>
      <w:r>
        <w:rPr>
          <w:b w:val="0"/>
          <w:i/>
        </w:rPr>
        <w:t>scire</w:t>
      </w:r>
      <w:r>
        <w:rPr>
          <w:b w:val="0"/>
          <w:i w:val="0"/>
        </w:rPr>
        <w:t xml:space="preserve"> — </w:t>
      </w:r>
      <w:hyperlink w:anchor="foreknowledge">
        <w:r>
          <w:rPr>
            <w:color w:val="000000"/>
          </w:rPr>
          <w:t xml:space="preserve">Foreknowledge</w:t>
        </w:r>
      </w:hyperlink>
    </w:p>
    <w:p>
      <w:pPr>
        <w:ind w:left="187" w:hanging="187"/>
      </w:pPr>
      <w:r>
        <w:t xml:space="preserve">• </w:t>
      </w:r>
      <w:r>
        <w:rPr>
          <w:b w:val="0"/>
          <w:i/>
        </w:rPr>
        <w:t>scopus</w:t>
      </w:r>
      <w:r>
        <w:rPr>
          <w:b w:val="0"/>
          <w:i w:val="0"/>
        </w:rPr>
        <w:t xml:space="preserve"> — </w:t>
      </w:r>
      <w:hyperlink w:anchor="end-and-limit">
        <w:r>
          <w:rPr>
            <w:color w:val="000000"/>
          </w:rPr>
          <w:t xml:space="preserve">End and limit</w:t>
        </w:r>
      </w:hyperlink>
    </w:p>
    <w:p>
      <w:pPr>
        <w:ind w:left="187" w:hanging="187"/>
      </w:pPr>
      <w:r>
        <w:t xml:space="preserve">• </w:t>
      </w:r>
      <w:r>
        <w:rPr>
          <w:b w:val="0"/>
          <w:i/>
        </w:rPr>
        <w:t>se inspicere</w:t>
      </w:r>
      <w:r>
        <w:rPr>
          <w:b w:val="0"/>
          <w:i w:val="0"/>
        </w:rPr>
        <w:t xml:space="preserve"> — </w:t>
      </w:r>
      <w:hyperlink w:anchor="self-knowledge">
        <w:r>
          <w:rPr>
            <w:color w:val="000000"/>
          </w:rPr>
          <w:t xml:space="preserve">Self knowledge</w:t>
        </w:r>
      </w:hyperlink>
    </w:p>
    <w:p>
      <w:pPr>
        <w:ind w:left="187" w:hanging="187"/>
      </w:pPr>
      <w:r>
        <w:t xml:space="preserve">• </w:t>
      </w:r>
      <w:r>
        <w:rPr>
          <w:b w:val="0"/>
          <w:i/>
        </w:rPr>
        <w:t>se ipsum cognoscere</w:t>
      </w:r>
      <w:r>
        <w:rPr>
          <w:b w:val="0"/>
          <w:i w:val="0"/>
        </w:rPr>
        <w:t xml:space="preserve"> — </w:t>
      </w:r>
      <w:hyperlink w:anchor="self-knowledge">
        <w:r>
          <w:rPr>
            <w:color w:val="000000"/>
          </w:rPr>
          <w:t xml:space="preserve">Self knowledge</w:t>
        </w:r>
      </w:hyperlink>
    </w:p>
    <w:p>
      <w:pPr>
        <w:ind w:left="187" w:hanging="187"/>
      </w:pPr>
      <w:r>
        <w:t xml:space="preserve">• </w:t>
      </w:r>
      <w:r>
        <w:rPr>
          <w:b w:val="0"/>
          <w:i/>
        </w:rPr>
        <w:t>se ipsum intelligere</w:t>
      </w:r>
      <w:r>
        <w:rPr>
          <w:b w:val="0"/>
          <w:i w:val="0"/>
        </w:rPr>
        <w:t xml:space="preserve"> — </w:t>
      </w:r>
      <w:hyperlink w:anchor="self-knowledge">
        <w:r>
          <w:rPr>
            <w:color w:val="000000"/>
          </w:rPr>
          <w:t xml:space="preserve">Self knowledge</w:t>
        </w:r>
      </w:hyperlink>
    </w:p>
    <w:p>
      <w:pPr>
        <w:ind w:left="187" w:hanging="187"/>
      </w:pPr>
      <w:r>
        <w:t xml:space="preserve">• </w:t>
      </w:r>
      <w:r>
        <w:rPr>
          <w:b w:val="0"/>
          <w:i/>
        </w:rPr>
        <w:t>se movens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secunda quadam intentione</w:t>
      </w:r>
      <w:r>
        <w:rPr>
          <w:b w:val="0"/>
          <w:i w:val="0"/>
        </w:rPr>
        <w:t xml:space="preserve"> — </w:t>
      </w:r>
      <w:hyperlink w:anchor="intention">
        <w:r>
          <w:rPr>
            <w:color w:val="000000"/>
          </w:rPr>
          <w:t xml:space="preserve">Intention</w:t>
        </w:r>
      </w:hyperlink>
    </w:p>
    <w:p>
      <w:pPr>
        <w:ind w:left="187" w:hanging="187"/>
      </w:pPr>
      <w:r>
        <w:t xml:space="preserve">• </w:t>
      </w:r>
      <w:r>
        <w:rPr>
          <w:b w:val="0"/>
          <w:i/>
        </w:rPr>
        <w:t>secundum contingentiam</w:t>
      </w:r>
      <w:r>
        <w:rPr>
          <w:b w:val="0"/>
          <w:i w:val="0"/>
        </w:rPr>
        <w:t xml:space="preserve"> — </w:t>
      </w:r>
      <w:hyperlink w:anchor="contingency">
        <w:r>
          <w:rPr>
            <w:color w:val="000000"/>
          </w:rPr>
          <w:t xml:space="preserve">Contingency</w:t>
        </w:r>
      </w:hyperlink>
    </w:p>
    <w:p>
      <w:pPr>
        <w:ind w:left="187" w:hanging="187"/>
      </w:pPr>
      <w:r>
        <w:t xml:space="preserve">• </w:t>
      </w:r>
      <w:r>
        <w:rPr>
          <w:b w:val="0"/>
          <w:i/>
        </w:rPr>
        <w:t>sedes aetherea</w:t>
      </w:r>
      <w:r>
        <w:rPr>
          <w:b w:val="0"/>
          <w:i w:val="0"/>
        </w:rPr>
        <w:t xml:space="preserve"> — </w:t>
      </w:r>
      <w:hyperlink w:anchor="prison-and-homeland">
        <w:r>
          <w:rPr>
            <w:color w:val="000000"/>
          </w:rPr>
          <w:t xml:space="preserve">Prison and homeland</w:t>
        </w:r>
      </w:hyperlink>
    </w:p>
    <w:p>
      <w:pPr>
        <w:ind w:left="187" w:hanging="187"/>
      </w:pPr>
      <w:r>
        <w:t xml:space="preserve">• </w:t>
      </w:r>
      <w:r>
        <w:rPr>
          <w:b w:val="0"/>
          <w:i/>
        </w:rPr>
        <w:t>seiunctus</w:t>
      </w:r>
      <w:r>
        <w:rPr>
          <w:b w:val="0"/>
          <w:i w:val="0"/>
        </w:rPr>
        <w:t xml:space="preserve"> — </w:t>
      </w:r>
      <w:hyperlink w:anchor="separation-and-abstraction">
        <w:r>
          <w:rPr>
            <w:color w:val="000000"/>
          </w:rPr>
          <w:t xml:space="preserve">Separation and abstraction</w:t>
        </w:r>
      </w:hyperlink>
    </w:p>
    <w:p>
      <w:pPr>
        <w:ind w:left="187" w:hanging="187"/>
      </w:pPr>
      <w:r>
        <w:t xml:space="preserve">• </w:t>
      </w:r>
      <w:r>
        <w:rPr>
          <w:b w:val="0"/>
          <w:i/>
        </w:rPr>
        <w:t>seiungere</w:t>
      </w:r>
      <w:r>
        <w:rPr>
          <w:b w:val="0"/>
          <w:i w:val="0"/>
        </w:rPr>
        <w:t xml:space="preserve"> — </w:t>
      </w:r>
      <w:hyperlink w:anchor="separation-and-abstraction">
        <w:r>
          <w:rPr>
            <w:color w:val="000000"/>
          </w:rPr>
          <w:t xml:space="preserve">Separation and abstraction</w:t>
        </w:r>
      </w:hyperlink>
    </w:p>
    <w:p>
      <w:pPr>
        <w:ind w:left="187" w:hanging="187"/>
      </w:pPr>
      <w:r>
        <w:t xml:space="preserve">• </w:t>
      </w:r>
      <w:r>
        <w:rPr>
          <w:b w:val="0"/>
          <w:i/>
        </w:rPr>
        <w:t>semen</w:t>
      </w:r>
      <w:r>
        <w:rPr>
          <w:b w:val="0"/>
          <w:i w:val="0"/>
        </w:rPr>
        <w:t xml:space="preserve"> — </w:t>
      </w:r>
      <w:hyperlink w:anchor="seeds">
        <w:r>
          <w:rPr>
            <w:color w:val="000000"/>
          </w:rPr>
          <w:t xml:space="preserve">Seeds</w:t>
        </w:r>
      </w:hyperlink>
    </w:p>
    <w:p>
      <w:pPr>
        <w:ind w:left="187" w:hanging="187"/>
      </w:pPr>
      <w:r>
        <w:t xml:space="preserve">• </w:t>
      </w:r>
      <w:r>
        <w:rPr>
          <w:b w:val="0"/>
          <w:i/>
        </w:rPr>
        <w:t>semina</w:t>
      </w:r>
      <w:r>
        <w:rPr>
          <w:b w:val="0"/>
          <w:i w:val="0"/>
        </w:rPr>
        <w:t xml:space="preserve"> — </w:t>
      </w:r>
      <w:hyperlink w:anchor="seeds">
        <w:r>
          <w:rPr>
            <w:color w:val="000000"/>
          </w:rPr>
          <w:t xml:space="preserve">Seeds</w:t>
        </w:r>
      </w:hyperlink>
    </w:p>
    <w:p>
      <w:pPr>
        <w:ind w:left="187" w:hanging="187"/>
      </w:pPr>
      <w:r>
        <w:t xml:space="preserve">• </w:t>
      </w:r>
      <w:r>
        <w:rPr>
          <w:b w:val="0"/>
          <w:i/>
        </w:rPr>
        <w:t>semina corporalia</w:t>
      </w:r>
      <w:r>
        <w:rPr>
          <w:b w:val="0"/>
          <w:i w:val="0"/>
        </w:rPr>
        <w:t xml:space="preserve"> — </w:t>
      </w:r>
      <w:hyperlink w:anchor="seeds">
        <w:r>
          <w:rPr>
            <w:color w:val="000000"/>
          </w:rPr>
          <w:t xml:space="preserve">Seeds</w:t>
        </w:r>
      </w:hyperlink>
    </w:p>
    <w:p>
      <w:pPr>
        <w:ind w:left="187" w:hanging="187"/>
      </w:pPr>
      <w:r>
        <w:t xml:space="preserve">• </w:t>
      </w:r>
      <w:r>
        <w:rPr>
          <w:b w:val="0"/>
          <w:i/>
        </w:rPr>
        <w:t>semper</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sempiternitas</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sempiternus</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sensibilis</w:t>
      </w:r>
      <w:r>
        <w:rPr>
          <w:b w:val="0"/>
          <w:i w:val="0"/>
        </w:rPr>
        <w:t xml:space="preserve"> — </w:t>
      </w:r>
      <w:hyperlink w:anchor="sense-and-imagination">
        <w:r>
          <w:rPr>
            <w:color w:val="000000"/>
          </w:rPr>
          <w:t xml:space="preserve">Sense and imagination</w:t>
        </w:r>
      </w:hyperlink>
    </w:p>
    <w:p>
      <w:pPr>
        <w:ind w:left="187" w:hanging="187"/>
      </w:pPr>
      <w:r>
        <w:t xml:space="preserve">• </w:t>
      </w:r>
      <w:r>
        <w:rPr>
          <w:b w:val="0"/>
          <w:i/>
        </w:rPr>
        <w:t>sensus</w:t>
      </w:r>
      <w:r>
        <w:rPr>
          <w:b w:val="0"/>
          <w:i w:val="0"/>
        </w:rPr>
        <w:t xml:space="preserve"> — </w:t>
      </w:r>
      <w:hyperlink w:anchor="sense-and-imagination">
        <w:r>
          <w:rPr>
            <w:color w:val="000000"/>
          </w:rPr>
          <w:t xml:space="preserve">Sense and imagination</w:t>
        </w:r>
      </w:hyperlink>
    </w:p>
    <w:p>
      <w:pPr>
        <w:ind w:left="187" w:hanging="187"/>
      </w:pPr>
      <w:r>
        <w:t xml:space="preserve">• </w:t>
      </w:r>
      <w:r>
        <w:rPr>
          <w:b w:val="0"/>
          <w:i/>
        </w:rPr>
        <w:t>sentire</w:t>
      </w:r>
      <w:r>
        <w:rPr>
          <w:b w:val="0"/>
          <w:i w:val="0"/>
        </w:rPr>
        <w:t xml:space="preserve"> — </w:t>
      </w:r>
      <w:hyperlink w:anchor="sense-and-imagination">
        <w:r>
          <w:rPr>
            <w:color w:val="000000"/>
          </w:rPr>
          <w:t xml:space="preserve">Sense and imagination</w:t>
        </w:r>
      </w:hyperlink>
    </w:p>
    <w:p>
      <w:pPr>
        <w:ind w:left="187" w:hanging="187"/>
      </w:pPr>
      <w:r>
        <w:t xml:space="preserve">• </w:t>
      </w:r>
      <w:r>
        <w:rPr>
          <w:b w:val="0"/>
          <w:i/>
        </w:rPr>
        <w:t>seorsum</w:t>
      </w:r>
      <w:r>
        <w:rPr>
          <w:b w:val="0"/>
          <w:i w:val="0"/>
        </w:rPr>
        <w:t xml:space="preserve"> — </w:t>
      </w:r>
      <w:hyperlink w:anchor="separation-and-abstraction">
        <w:r>
          <w:rPr>
            <w:color w:val="000000"/>
          </w:rPr>
          <w:t xml:space="preserve">Separation and abstraction</w:t>
        </w:r>
      </w:hyperlink>
    </w:p>
    <w:p>
      <w:pPr>
        <w:ind w:left="187" w:hanging="187"/>
      </w:pPr>
      <w:r>
        <w:t xml:space="preserve">• </w:t>
      </w:r>
      <w:r>
        <w:rPr>
          <w:b w:val="0"/>
          <w:i/>
        </w:rPr>
        <w:t>separare</w:t>
      </w:r>
      <w:r>
        <w:rPr>
          <w:b w:val="0"/>
          <w:i w:val="0"/>
        </w:rPr>
        <w:t xml:space="preserve"> — </w:t>
      </w:r>
      <w:hyperlink w:anchor="separation-and-abstraction">
        <w:r>
          <w:rPr>
            <w:color w:val="000000"/>
          </w:rPr>
          <w:t xml:space="preserve">Separation and abstraction</w:t>
        </w:r>
      </w:hyperlink>
    </w:p>
    <w:p>
      <w:pPr>
        <w:ind w:left="187" w:hanging="187"/>
      </w:pPr>
      <w:r>
        <w:t xml:space="preserve">• </w:t>
      </w:r>
      <w:r>
        <w:rPr>
          <w:b w:val="0"/>
          <w:i/>
        </w:rPr>
        <w:t>separatus</w:t>
      </w:r>
      <w:r>
        <w:rPr>
          <w:b w:val="0"/>
          <w:i w:val="0"/>
        </w:rPr>
        <w:t xml:space="preserve"> — </w:t>
      </w:r>
      <w:hyperlink w:anchor="separation-and-abstraction">
        <w:r>
          <w:rPr>
            <w:color w:val="000000"/>
          </w:rPr>
          <w:t xml:space="preserve">Separation and abstraction</w:t>
        </w:r>
      </w:hyperlink>
    </w:p>
    <w:p>
      <w:pPr>
        <w:ind w:left="187" w:hanging="187"/>
      </w:pPr>
      <w:r>
        <w:t xml:space="preserve">• </w:t>
      </w:r>
      <w:r>
        <w:rPr>
          <w:b w:val="0"/>
          <w:i/>
        </w:rPr>
        <w:t>septenario</w:t>
      </w:r>
      <w:r>
        <w:rPr>
          <w:b w:val="0"/>
          <w:i w:val="0"/>
        </w:rPr>
        <w:t xml:space="preserve"> — </w:t>
      </w:r>
      <w:hyperlink w:anchor="number">
        <w:r>
          <w:rPr>
            <w:color w:val="000000"/>
          </w:rPr>
          <w:t xml:space="preserve">Number</w:t>
        </w:r>
      </w:hyperlink>
    </w:p>
    <w:p>
      <w:pPr>
        <w:ind w:left="187" w:hanging="187"/>
      </w:pPr>
      <w:r>
        <w:t xml:space="preserve">• </w:t>
      </w:r>
      <w:r>
        <w:rPr>
          <w:b w:val="0"/>
          <w:i/>
        </w:rPr>
        <w:t>series successionis</w:t>
      </w:r>
      <w:r>
        <w:rPr>
          <w:b w:val="0"/>
          <w:i w:val="0"/>
        </w:rPr>
        <w:t xml:space="preserve"> — </w:t>
      </w:r>
      <w:hyperlink w:anchor="fate">
        <w:r>
          <w:rPr>
            <w:color w:val="000000"/>
          </w:rPr>
          <w:t xml:space="preserve">Fate</w:t>
        </w:r>
      </w:hyperlink>
    </w:p>
    <w:p>
      <w:pPr>
        <w:ind w:left="187" w:hanging="187"/>
      </w:pPr>
      <w:r>
        <w:t xml:space="preserve">• </w:t>
      </w:r>
      <w:r>
        <w:rPr>
          <w:b w:val="0"/>
          <w:i/>
        </w:rPr>
        <w:t>servare</w:t>
      </w:r>
      <w:r>
        <w:rPr>
          <w:b w:val="0"/>
          <w:i w:val="0"/>
        </w:rPr>
        <w:t xml:space="preserve"> — </w:t>
      </w:r>
      <w:hyperlink w:anchor="conservation-and-preservation">
        <w:r>
          <w:rPr>
            <w:color w:val="000000"/>
          </w:rPr>
          <w:t xml:space="preserve">Conservation and preservation</w:t>
        </w:r>
      </w:hyperlink>
    </w:p>
    <w:p>
      <w:pPr>
        <w:ind w:left="187" w:hanging="187"/>
      </w:pPr>
      <w:r>
        <w:t xml:space="preserve">• </w:t>
      </w:r>
      <w:r>
        <w:rPr>
          <w:b w:val="0"/>
          <w:i/>
        </w:rPr>
        <w:t>sidera</w:t>
      </w:r>
      <w:r>
        <w:rPr>
          <w:b w:val="0"/>
          <w:i w:val="0"/>
        </w:rPr>
        <w:t xml:space="preserve"> — </w:t>
      </w:r>
      <w:hyperlink w:anchor="spheres-and-stars">
        <w:r>
          <w:rPr>
            <w:color w:val="000000"/>
          </w:rPr>
          <w:t xml:space="preserve">Spheres and stars</w:t>
        </w:r>
      </w:hyperlink>
    </w:p>
    <w:p>
      <w:pPr>
        <w:ind w:left="187" w:hanging="187"/>
      </w:pPr>
      <w:r>
        <w:t xml:space="preserve">• </w:t>
      </w:r>
      <w:r>
        <w:rPr>
          <w:b w:val="0"/>
          <w:i/>
        </w:rPr>
        <w:t>signum</w:t>
      </w:r>
      <w:r>
        <w:rPr>
          <w:b w:val="0"/>
          <w:i w:val="0"/>
        </w:rPr>
        <w:t xml:space="preserve"> — </w:t>
      </w:r>
      <w:hyperlink w:anchor="separation-and-abstraction">
        <w:r>
          <w:rPr>
            <w:color w:val="000000"/>
          </w:rPr>
          <w:t xml:space="preserve">Separation and abstraction</w:t>
        </w:r>
      </w:hyperlink>
    </w:p>
    <w:p>
      <w:pPr>
        <w:ind w:left="187" w:hanging="187"/>
      </w:pPr>
      <w:r>
        <w:t xml:space="preserve">• </w:t>
      </w:r>
      <w:r>
        <w:rPr>
          <w:b w:val="0"/>
          <w:i/>
        </w:rPr>
        <w:t>similis</w:t>
      </w:r>
      <w:r>
        <w:rPr>
          <w:b w:val="0"/>
          <w:i w:val="0"/>
        </w:rPr>
        <w:t xml:space="preserve"> — </w:t>
      </w:r>
      <w:hyperlink w:anchor="image-and-likeness">
        <w:r>
          <w:rPr>
            <w:color w:val="000000"/>
          </w:rPr>
          <w:t xml:space="preserve">Image and likeness</w:t>
        </w:r>
      </w:hyperlink>
    </w:p>
    <w:p>
      <w:pPr>
        <w:ind w:left="187" w:hanging="187"/>
      </w:pPr>
      <w:r>
        <w:t xml:space="preserve">• </w:t>
      </w:r>
      <w:r>
        <w:rPr>
          <w:b w:val="0"/>
          <w:i/>
        </w:rPr>
        <w:t>similitudo</w:t>
      </w:r>
      <w:r>
        <w:rPr>
          <w:b w:val="0"/>
          <w:i w:val="0"/>
        </w:rPr>
        <w:t xml:space="preserve"> — </w:t>
      </w:r>
      <w:hyperlink w:anchor="image-and-likeness">
        <w:r>
          <w:rPr>
            <w:color w:val="000000"/>
          </w:rPr>
          <w:t xml:space="preserve">Image and likeness</w:t>
        </w:r>
      </w:hyperlink>
    </w:p>
    <w:p>
      <w:pPr>
        <w:ind w:left="187" w:hanging="187"/>
      </w:pPr>
      <w:r>
        <w:t xml:space="preserve">• </w:t>
      </w:r>
      <w:r>
        <w:rPr>
          <w:b w:val="0"/>
          <w:i/>
        </w:rPr>
        <w:t>simplex</w:t>
      </w:r>
      <w:r>
        <w:rPr>
          <w:b w:val="0"/>
          <w:i w:val="0"/>
        </w:rPr>
        <w:t xml:space="preserve"> — </w:t>
      </w:r>
      <w:hyperlink w:anchor="simplicity-and-composition">
        <w:r>
          <w:rPr>
            <w:color w:val="000000"/>
          </w:rPr>
          <w:t xml:space="preserve">Simplicity and composition</w:t>
        </w:r>
      </w:hyperlink>
      <w:r>
        <w:rPr>
          <w:b w:val="0"/>
          <w:i w:val="0"/>
        </w:rPr>
        <w:t xml:space="preserve">; </w:t>
      </w:r>
      <w:hyperlink w:anchor="unity-and-multiplicity">
        <w:r>
          <w:rPr>
            <w:color w:val="000000"/>
          </w:rPr>
          <w:t xml:space="preserve">Unity and multiplicity</w:t>
        </w:r>
      </w:hyperlink>
    </w:p>
    <w:p>
      <w:pPr>
        <w:ind w:left="187" w:hanging="187"/>
      </w:pPr>
      <w:r>
        <w:t xml:space="preserve">• </w:t>
      </w:r>
      <w:r>
        <w:rPr>
          <w:b w:val="0"/>
          <w:i/>
        </w:rPr>
        <w:t>simplicitas</w:t>
      </w:r>
      <w:r>
        <w:rPr>
          <w:b w:val="0"/>
          <w:i w:val="0"/>
        </w:rPr>
        <w:t xml:space="preserve"> — </w:t>
      </w:r>
      <w:hyperlink w:anchor="purity-and-mixture">
        <w:r>
          <w:rPr>
            <w:color w:val="000000"/>
          </w:rPr>
          <w:t xml:space="preserve">Purity and mixture</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unity-and-multiplicity">
        <w:r>
          <w:rPr>
            <w:color w:val="000000"/>
          </w:rPr>
          <w:t xml:space="preserve">Unity and multiplicity</w:t>
        </w:r>
      </w:hyperlink>
    </w:p>
    <w:p>
      <w:pPr>
        <w:ind w:left="187" w:hanging="187"/>
      </w:pPr>
      <w:r>
        <w:t xml:space="preserve">• </w:t>
      </w:r>
      <w:r>
        <w:rPr>
          <w:b w:val="0"/>
          <w:i/>
        </w:rPr>
        <w:t>simulacrum</w:t>
      </w:r>
      <w:r>
        <w:rPr>
          <w:b w:val="0"/>
          <w:i w:val="0"/>
        </w:rPr>
        <w:t xml:space="preserve"> — </w:t>
      </w:r>
      <w:hyperlink w:anchor="image-and-likeness">
        <w:r>
          <w:rPr>
            <w:color w:val="000000"/>
          </w:rPr>
          <w:t xml:space="preserve">Image and likeness</w:t>
        </w:r>
      </w:hyperlink>
    </w:p>
    <w:p>
      <w:pPr>
        <w:ind w:left="187" w:hanging="187"/>
      </w:pPr>
      <w:r>
        <w:t xml:space="preserve">• </w:t>
      </w:r>
      <w:r>
        <w:rPr>
          <w:b w:val="0"/>
          <w:i/>
        </w:rPr>
        <w:t>sine materia</w:t>
      </w:r>
      <w:r>
        <w:rPr>
          <w:b w:val="0"/>
          <w:i w:val="0"/>
        </w:rPr>
        <w:t xml:space="preserve"> — </w:t>
      </w:r>
      <w:hyperlink w:anchor="incorporeal-and-immaterial">
        <w:r>
          <w:rPr>
            <w:color w:val="000000"/>
          </w:rPr>
          <w:t xml:space="preserve">Incorporeal and immaterial</w:t>
        </w:r>
      </w:hyperlink>
    </w:p>
    <w:p>
      <w:pPr>
        <w:ind w:left="187" w:hanging="187"/>
      </w:pPr>
      <w:r>
        <w:t xml:space="preserve">• </w:t>
      </w:r>
      <w:r>
        <w:rPr>
          <w:b w:val="0"/>
          <w:i/>
        </w:rPr>
        <w:t>sine sensu</w:t>
      </w:r>
      <w:r>
        <w:rPr>
          <w:b w:val="0"/>
          <w:i w:val="0"/>
        </w:rPr>
        <w:t xml:space="preserve"> — </w:t>
      </w:r>
      <w:hyperlink w:anchor="life">
        <w:r>
          <w:rPr>
            <w:color w:val="000000"/>
          </w:rPr>
          <w:t xml:space="preserve">Life</w:t>
        </w:r>
      </w:hyperlink>
    </w:p>
    <w:p>
      <w:pPr>
        <w:ind w:left="187" w:hanging="187"/>
      </w:pPr>
      <w:r>
        <w:t xml:space="preserve">• </w:t>
      </w:r>
      <w:r>
        <w:rPr>
          <w:b w:val="0"/>
          <w:i/>
        </w:rPr>
        <w:t>singula</w:t>
      </w:r>
      <w:r>
        <w:rPr>
          <w:b w:val="0"/>
          <w:i w:val="0"/>
        </w:rPr>
        <w:t xml:space="preserve"> — </w:t>
      </w:r>
      <w:hyperlink w:anchor="natural-species-and-succession">
        <w:r>
          <w:rPr>
            <w:color w:val="000000"/>
          </w:rPr>
          <w:t xml:space="preserve">Natural species and succession</w:t>
        </w:r>
      </w:hyperlink>
      <w:r>
        <w:rPr>
          <w:b w:val="0"/>
          <w:i w:val="0"/>
        </w:rPr>
        <w:t xml:space="preserve">; </w:t>
      </w:r>
      <w:hyperlink w:anchor="universals-and-individuals">
        <w:r>
          <w:rPr>
            <w:color w:val="000000"/>
          </w:rPr>
          <w:t xml:space="preserve">Universals and individuals</w:t>
        </w:r>
      </w:hyperlink>
    </w:p>
    <w:p>
      <w:pPr>
        <w:ind w:left="187" w:hanging="187"/>
      </w:pPr>
      <w:r>
        <w:t xml:space="preserve">• </w:t>
      </w:r>
      <w:r>
        <w:rPr>
          <w:b w:val="0"/>
          <w:i/>
        </w:rPr>
        <w:t>situs</w:t>
      </w:r>
      <w:r>
        <w:rPr>
          <w:b w:val="0"/>
          <w:i w:val="0"/>
        </w:rPr>
        <w:t xml:space="preserve"> — </w:t>
      </w:r>
      <w:hyperlink w:anchor="indwelling-and-presence">
        <w:r>
          <w:rPr>
            <w:color w:val="000000"/>
          </w:rPr>
          <w:t xml:space="preserve">Indwelling and presence</w:t>
        </w:r>
      </w:hyperlink>
      <w:r>
        <w:rPr>
          <w:b w:val="0"/>
          <w:i w:val="0"/>
        </w:rPr>
        <w:t xml:space="preserve">; </w:t>
      </w:r>
      <w:hyperlink w:anchor="omnipresence-and-place">
        <w:r>
          <w:rPr>
            <w:color w:val="000000"/>
          </w:rPr>
          <w:t xml:space="preserve">Omnipresence and place</w:t>
        </w:r>
      </w:hyperlink>
      <w:r>
        <w:rPr>
          <w:b w:val="0"/>
          <w:i w:val="0"/>
        </w:rPr>
        <w:t xml:space="preserve">; </w:t>
      </w:r>
      <w:hyperlink w:anchor="separation-and-abstraction">
        <w:r>
          <w:rPr>
            <w:color w:val="000000"/>
          </w:rPr>
          <w:t xml:space="preserve">Separation and abstraction</w:t>
        </w:r>
      </w:hyperlink>
    </w:p>
    <w:p>
      <w:pPr>
        <w:ind w:left="187" w:hanging="187"/>
      </w:pPr>
      <w:r>
        <w:t xml:space="preserve">• </w:t>
      </w:r>
      <w:r>
        <w:rPr>
          <w:b w:val="0"/>
          <w:i/>
        </w:rPr>
        <w:t>sola putrefactione</w:t>
      </w:r>
      <w:r>
        <w:rPr>
          <w:b w:val="0"/>
          <w:i w:val="0"/>
        </w:rPr>
        <w:t xml:space="preserve"> — </w:t>
      </w:r>
      <w:hyperlink w:anchor="generation-and-corruption">
        <w:r>
          <w:rPr>
            <w:color w:val="000000"/>
          </w:rPr>
          <w:t xml:space="preserve">Generation and corruption</w:t>
        </w:r>
      </w:hyperlink>
    </w:p>
    <w:p>
      <w:pPr>
        <w:ind w:left="187" w:hanging="187"/>
      </w:pPr>
      <w:r>
        <w:t xml:space="preserve">• </w:t>
      </w:r>
      <w:r>
        <w:rPr>
          <w:b w:val="0"/>
          <w:i/>
        </w:rPr>
        <w:t>sors</w:t>
      </w:r>
      <w:r>
        <w:rPr>
          <w:b w:val="0"/>
          <w:i w:val="0"/>
        </w:rPr>
        <w:t xml:space="preserve"> — </w:t>
      </w:r>
      <w:hyperlink w:anchor="chance">
        <w:r>
          <w:rPr>
            <w:color w:val="000000"/>
          </w:rPr>
          <w:t xml:space="preserve">Chance</w:t>
        </w:r>
      </w:hyperlink>
    </w:p>
    <w:p>
      <w:pPr>
        <w:ind w:left="187" w:hanging="187"/>
      </w:pPr>
      <w:r>
        <w:t xml:space="preserve">• </w:t>
      </w:r>
      <w:r>
        <w:rPr>
          <w:b w:val="0"/>
          <w:i/>
        </w:rPr>
        <w:t>spatium</w:t>
      </w:r>
      <w:r>
        <w:rPr>
          <w:b w:val="0"/>
          <w:i w:val="0"/>
        </w:rPr>
        <w:t xml:space="preserve"> — </w:t>
      </w:r>
      <w:hyperlink w:anchor="omnipresence-and-place">
        <w:r>
          <w:rPr>
            <w:color w:val="000000"/>
          </w:rPr>
          <w:t xml:space="preserve">Omnipresence and place</w:t>
        </w:r>
      </w:hyperlink>
    </w:p>
    <w:p>
      <w:pPr>
        <w:ind w:left="187" w:hanging="187"/>
      </w:pPr>
      <w:r>
        <w:t xml:space="preserve">• </w:t>
      </w:r>
      <w:r>
        <w:rPr>
          <w:b w:val="0"/>
          <w:i/>
        </w:rPr>
        <w:t>species</w:t>
      </w:r>
      <w:r>
        <w:rPr>
          <w:b w:val="0"/>
          <w:i w:val="0"/>
        </w:rPr>
        <w:t xml:space="preserve"> — </w:t>
      </w:r>
      <w:hyperlink w:anchor="form">
        <w:r>
          <w:rPr>
            <w:color w:val="000000"/>
          </w:rPr>
          <w:t xml:space="preserve">Form</w:t>
        </w:r>
      </w:hyperlink>
      <w:r>
        <w:rPr>
          <w:b w:val="0"/>
          <w:i w:val="0"/>
        </w:rPr>
        <w:t xml:space="preserve">; </w:t>
      </w:r>
      <w:hyperlink w:anchor="ideas-and-exemplars">
        <w:r>
          <w:rPr>
            <w:color w:val="000000"/>
          </w:rPr>
          <w:t xml:space="preserve">Ideas and exemplars</w:t>
        </w:r>
      </w:hyperlink>
      <w:r>
        <w:rPr>
          <w:b w:val="0"/>
          <w:i w:val="0"/>
        </w:rPr>
        <w:t xml:space="preserve">; </w:t>
      </w:r>
      <w:hyperlink w:anchor="species">
        <w:r>
          <w:rPr>
            <w:color w:val="000000"/>
          </w:rPr>
          <w:t xml:space="preserve">Species</w:t>
        </w:r>
      </w:hyperlink>
      <w:r>
        <w:rPr>
          <w:b w:val="0"/>
          <w:i w:val="0"/>
        </w:rPr>
        <w:t xml:space="preserve">; </w:t>
      </w:r>
      <w:hyperlink w:anchor="universals-and-individuals">
        <w:r>
          <w:rPr>
            <w:color w:val="000000"/>
          </w:rPr>
          <w:t xml:space="preserve">Universals and individuals</w:t>
        </w:r>
      </w:hyperlink>
    </w:p>
    <w:p>
      <w:pPr>
        <w:ind w:left="187" w:hanging="187"/>
      </w:pPr>
      <w:r>
        <w:t xml:space="preserve">• </w:t>
      </w:r>
      <w:r>
        <w:rPr>
          <w:b w:val="0"/>
          <w:i/>
        </w:rPr>
        <w:t>species naturalis</w:t>
      </w:r>
      <w:r>
        <w:rPr>
          <w:b w:val="0"/>
          <w:i w:val="0"/>
        </w:rPr>
        <w:t xml:space="preserve"> — </w:t>
      </w:r>
      <w:hyperlink w:anchor="natural-species-and-succession">
        <w:r>
          <w:rPr>
            <w:color w:val="000000"/>
          </w:rPr>
          <w:t xml:space="preserve">Natural species and succession</w:t>
        </w:r>
      </w:hyperlink>
      <w:r>
        <w:rPr>
          <w:b w:val="0"/>
          <w:i w:val="0"/>
        </w:rPr>
        <w:t xml:space="preserve">; </w:t>
      </w:r>
      <w:hyperlink w:anchor="species">
        <w:r>
          <w:rPr>
            <w:color w:val="000000"/>
          </w:rPr>
          <w:t xml:space="preserve">Species</w:t>
        </w:r>
      </w:hyperlink>
    </w:p>
    <w:p>
      <w:pPr>
        <w:ind w:left="187" w:hanging="187"/>
      </w:pPr>
      <w:r>
        <w:t xml:space="preserve">• </w:t>
      </w:r>
      <w:r>
        <w:rPr>
          <w:b w:val="0"/>
          <w:i/>
        </w:rPr>
        <w:t>species numerorum</w:t>
      </w:r>
      <w:r>
        <w:rPr>
          <w:b w:val="0"/>
          <w:i w:val="0"/>
        </w:rPr>
        <w:t xml:space="preserve"> — </w:t>
      </w:r>
      <w:hyperlink w:anchor="number">
        <w:r>
          <w:rPr>
            <w:color w:val="000000"/>
          </w:rPr>
          <w:t xml:space="preserve">Number</w:t>
        </w:r>
      </w:hyperlink>
    </w:p>
    <w:p>
      <w:pPr>
        <w:ind w:left="187" w:hanging="187"/>
      </w:pPr>
      <w:r>
        <w:t xml:space="preserve">• </w:t>
      </w:r>
      <w:r>
        <w:rPr>
          <w:b w:val="0"/>
          <w:i/>
        </w:rPr>
        <w:t>species rerum intellectarum</w:t>
      </w:r>
      <w:r>
        <w:rPr>
          <w:b w:val="0"/>
          <w:i w:val="0"/>
        </w:rPr>
        <w:t xml:space="preserve"> — </w:t>
      </w:r>
      <w:hyperlink w:anchor="species">
        <w:r>
          <w:rPr>
            <w:color w:val="000000"/>
          </w:rPr>
          <w:t xml:space="preserve">Species</w:t>
        </w:r>
      </w:hyperlink>
    </w:p>
    <w:p>
      <w:pPr>
        <w:ind w:left="187" w:hanging="187"/>
      </w:pPr>
      <w:r>
        <w:t xml:space="preserve">• </w:t>
      </w:r>
      <w:r>
        <w:rPr>
          <w:b w:val="0"/>
          <w:i/>
        </w:rPr>
        <w:t>speculatio</w:t>
      </w:r>
      <w:r>
        <w:rPr>
          <w:b w:val="0"/>
          <w:i w:val="0"/>
        </w:rPr>
        <w:t xml:space="preserve"> — </w:t>
      </w:r>
      <w:hyperlink w:anchor="intuition-and-discourse">
        <w:r>
          <w:rPr>
            <w:color w:val="000000"/>
          </w:rPr>
          <w:t xml:space="preserve">Intuition and discourse</w:t>
        </w:r>
      </w:hyperlink>
    </w:p>
    <w:p>
      <w:pPr>
        <w:ind w:left="187" w:hanging="187"/>
      </w:pPr>
      <w:r>
        <w:t xml:space="preserve">• </w:t>
      </w:r>
      <w:r>
        <w:rPr>
          <w:b w:val="0"/>
          <w:i/>
        </w:rPr>
        <w:t>speculum</w:t>
      </w:r>
      <w:r>
        <w:rPr>
          <w:b w:val="0"/>
          <w:i w:val="0"/>
        </w:rPr>
        <w:t xml:space="preserve"> — </w:t>
      </w:r>
      <w:hyperlink w:anchor="image-and-likeness">
        <w:r>
          <w:rPr>
            <w:color w:val="000000"/>
          </w:rPr>
          <w:t xml:space="preserve">Image and likeness</w:t>
        </w:r>
      </w:hyperlink>
      <w:r>
        <w:rPr>
          <w:b w:val="0"/>
          <w:i w:val="0"/>
        </w:rPr>
        <w:t xml:space="preserve">; </w:t>
      </w:r>
      <w:hyperlink w:anchor="self-knowledge">
        <w:r>
          <w:rPr>
            <w:color w:val="000000"/>
          </w:rPr>
          <w:t xml:space="preserve">Self knowledge</w:t>
        </w:r>
      </w:hyperlink>
    </w:p>
    <w:p>
      <w:pPr>
        <w:ind w:left="187" w:hanging="187"/>
      </w:pPr>
      <w:r>
        <w:t xml:space="preserve">• </w:t>
      </w:r>
      <w:r>
        <w:rPr>
          <w:b w:val="0"/>
          <w:i/>
        </w:rPr>
        <w:t>sphaerae</w:t>
      </w:r>
      <w:r>
        <w:rPr>
          <w:b w:val="0"/>
          <w:i w:val="0"/>
        </w:rPr>
        <w:t xml:space="preserve"> — </w:t>
      </w:r>
      <w:hyperlink w:anchor="spheres-and-stars">
        <w:r>
          <w:rPr>
            <w:color w:val="000000"/>
          </w:rPr>
          <w:t xml:space="preserve">Spheres and stars</w:t>
        </w:r>
      </w:hyperlink>
    </w:p>
    <w:p>
      <w:pPr>
        <w:ind w:left="187" w:hanging="187"/>
      </w:pPr>
      <w:r>
        <w:t xml:space="preserve">• </w:t>
      </w:r>
      <w:r>
        <w:rPr>
          <w:b w:val="0"/>
          <w:i/>
        </w:rPr>
        <w:t>sphaerae elementorum</w:t>
      </w:r>
      <w:r>
        <w:rPr>
          <w:b w:val="0"/>
          <w:i w:val="0"/>
        </w:rPr>
        <w:t xml:space="preserve"> — </w:t>
      </w:r>
      <w:hyperlink w:anchor="elements-and-their-spheres">
        <w:r>
          <w:rPr>
            <w:color w:val="000000"/>
          </w:rPr>
          <w:t xml:space="preserve">Elements and their spheres</w:t>
        </w:r>
      </w:hyperlink>
    </w:p>
    <w:p>
      <w:pPr>
        <w:ind w:left="187" w:hanging="187"/>
      </w:pPr>
      <w:r>
        <w:t xml:space="preserve">• </w:t>
      </w:r>
      <w:r>
        <w:rPr>
          <w:b w:val="0"/>
          <w:i/>
        </w:rPr>
        <w:t>sphaerarum animae</w:t>
      </w:r>
      <w:r>
        <w:rPr>
          <w:b w:val="0"/>
          <w:i w:val="0"/>
        </w:rPr>
        <w:t xml:space="preserve"> — </w:t>
      </w:r>
      <w:hyperlink w:anchor="soul">
        <w:r>
          <w:rPr>
            <w:color w:val="000000"/>
          </w:rPr>
          <w:t xml:space="preserve">Soul</w:t>
        </w:r>
      </w:hyperlink>
    </w:p>
    <w:p>
      <w:pPr>
        <w:ind w:left="187" w:hanging="187"/>
      </w:pPr>
      <w:r>
        <w:t xml:space="preserve">• </w:t>
      </w:r>
      <w:r>
        <w:rPr>
          <w:b w:val="0"/>
          <w:i/>
        </w:rPr>
        <w:t>spiritalia et vivifica semina</w:t>
      </w:r>
      <w:r>
        <w:rPr>
          <w:b w:val="0"/>
          <w:i w:val="0"/>
        </w:rPr>
        <w:t xml:space="preserve"> — </w:t>
      </w:r>
      <w:hyperlink w:anchor="seeds">
        <w:r>
          <w:rPr>
            <w:color w:val="000000"/>
          </w:rPr>
          <w:t xml:space="preserve">Seeds</w:t>
        </w:r>
      </w:hyperlink>
    </w:p>
    <w:p>
      <w:pPr>
        <w:ind w:left="187" w:hanging="187"/>
      </w:pPr>
      <w:r>
        <w:t xml:space="preserve">• </w:t>
      </w:r>
      <w:r>
        <w:rPr>
          <w:b w:val="0"/>
          <w:i/>
        </w:rPr>
        <w:t>spiritalis</w:t>
      </w:r>
      <w:r>
        <w:rPr>
          <w:b w:val="0"/>
          <w:i w:val="0"/>
        </w:rPr>
        <w:t xml:space="preserve"> — </w:t>
      </w:r>
      <w:hyperlink w:anchor="spirit">
        <w:r>
          <w:rPr>
            <w:color w:val="000000"/>
          </w:rPr>
          <w:t xml:space="preserve">Spirit</w:t>
        </w:r>
      </w:hyperlink>
      <w:r>
        <w:rPr>
          <w:b w:val="0"/>
          <w:i w:val="0"/>
        </w:rPr>
        <w:t xml:space="preserve">; </w:t>
      </w:r>
      <w:hyperlink w:anchor="spiritual-union">
        <w:r>
          <w:rPr>
            <w:color w:val="000000"/>
          </w:rPr>
          <w:t xml:space="preserve">Spiritual union</w:t>
        </w:r>
      </w:hyperlink>
    </w:p>
    <w:p>
      <w:pPr>
        <w:ind w:left="187" w:hanging="187"/>
      </w:pPr>
      <w:r>
        <w:t xml:space="preserve">• </w:t>
      </w:r>
      <w:r>
        <w:rPr>
          <w:b w:val="0"/>
          <w:i/>
        </w:rPr>
        <w:t>spiritalis unio</w:t>
      </w:r>
      <w:r>
        <w:rPr>
          <w:b w:val="0"/>
          <w:i w:val="0"/>
        </w:rPr>
        <w:t xml:space="preserve"> — </w:t>
      </w:r>
      <w:hyperlink w:anchor="spiritual-union">
        <w:r>
          <w:rPr>
            <w:color w:val="000000"/>
          </w:rPr>
          <w:t xml:space="preserve">Spiritual union</w:t>
        </w:r>
      </w:hyperlink>
    </w:p>
    <w:p>
      <w:pPr>
        <w:ind w:left="187" w:hanging="187"/>
      </w:pPr>
      <w:r>
        <w:t xml:space="preserve">• </w:t>
      </w:r>
      <w:r>
        <w:rPr>
          <w:b w:val="0"/>
          <w:i/>
        </w:rPr>
        <w:t>spiritus</w:t>
      </w:r>
      <w:r>
        <w:rPr>
          <w:b w:val="0"/>
          <w:i w:val="0"/>
        </w:rPr>
        <w:t xml:space="preserve"> — </w:t>
      </w:r>
      <w:hyperlink w:anchor="spirit">
        <w:r>
          <w:rPr>
            <w:color w:val="000000"/>
          </w:rPr>
          <w:t xml:space="preserve">Spirit</w:t>
        </w:r>
      </w:hyperlink>
      <w:r>
        <w:rPr>
          <w:b w:val="0"/>
          <w:i w:val="0"/>
        </w:rPr>
        <w:t xml:space="preserve">; </w:t>
      </w:r>
      <w:hyperlink w:anchor="spiritual-union">
        <w:r>
          <w:rPr>
            <w:color w:val="000000"/>
          </w:rPr>
          <w:t xml:space="preserve">Spiritual union</w:t>
        </w:r>
      </w:hyperlink>
    </w:p>
    <w:p>
      <w:pPr>
        <w:ind w:left="187" w:hanging="187"/>
      </w:pPr>
      <w:r>
        <w:t xml:space="preserve">• </w:t>
      </w:r>
      <w:r>
        <w:rPr>
          <w:b w:val="0"/>
          <w:i/>
        </w:rPr>
        <w:t>spiritus phantasticus</w:t>
      </w:r>
      <w:r>
        <w:rPr>
          <w:b w:val="0"/>
          <w:i w:val="0"/>
        </w:rPr>
        <w:t xml:space="preserve"> — </w:t>
      </w:r>
      <w:hyperlink w:anchor="sense-and-imagination">
        <w:r>
          <w:rPr>
            <w:color w:val="000000"/>
          </w:rPr>
          <w:t xml:space="preserve">Sense and imagination</w:t>
        </w:r>
      </w:hyperlink>
      <w:r>
        <w:rPr>
          <w:b w:val="0"/>
          <w:i w:val="0"/>
        </w:rPr>
        <w:t xml:space="preserve">; </w:t>
      </w:r>
      <w:hyperlink w:anchor="spirit">
        <w:r>
          <w:rPr>
            <w:color w:val="000000"/>
          </w:rPr>
          <w:t xml:space="preserve">Spirit</w:t>
        </w:r>
      </w:hyperlink>
    </w:p>
    <w:p>
      <w:pPr>
        <w:ind w:left="187" w:hanging="187"/>
      </w:pPr>
      <w:r>
        <w:t xml:space="preserve">• </w:t>
      </w:r>
      <w:r>
        <w:rPr>
          <w:b w:val="0"/>
          <w:i/>
        </w:rPr>
        <w:t>spiritus rationalis</w:t>
      </w:r>
      <w:r>
        <w:rPr>
          <w:b w:val="0"/>
          <w:i w:val="0"/>
        </w:rPr>
        <w:t xml:space="preserve"> — </w:t>
      </w:r>
      <w:hyperlink w:anchor="mind">
        <w:r>
          <w:rPr>
            <w:color w:val="000000"/>
          </w:rPr>
          <w:t xml:space="preserve">Mind</w:t>
        </w:r>
      </w:hyperlink>
    </w:p>
    <w:p>
      <w:pPr>
        <w:ind w:left="187" w:hanging="187"/>
      </w:pPr>
      <w:r>
        <w:t xml:space="preserve">• </w:t>
      </w:r>
      <w:r>
        <w:rPr>
          <w:b w:val="0"/>
          <w:i/>
        </w:rPr>
        <w:t>splendor</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spontaneus</w:t>
      </w:r>
      <w:r>
        <w:rPr>
          <w:b w:val="0"/>
          <w:i w:val="0"/>
        </w:rPr>
        <w:t xml:space="preserve"> — </w:t>
      </w:r>
      <w:hyperlink w:anchor="freedom-and-necessity">
        <w:r>
          <w:rPr>
            <w:color w:val="000000"/>
          </w:rPr>
          <w:t xml:space="preserve">Freedom and necessity</w:t>
        </w:r>
      </w:hyperlink>
    </w:p>
    <w:p>
      <w:pPr>
        <w:ind w:left="187" w:hanging="187"/>
      </w:pPr>
      <w:r>
        <w:t xml:space="preserve">• </w:t>
      </w:r>
      <w:r>
        <w:rPr>
          <w:b w:val="0"/>
          <w:i/>
        </w:rPr>
        <w:t>stabilis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stabilitas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stare</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status</w:t>
      </w:r>
      <w:r>
        <w:rPr>
          <w:b w:val="0"/>
          <w:i w:val="0"/>
        </w:rPr>
        <w:t xml:space="preserve"> — </w:t>
      </w:r>
      <w:hyperlink w:anchor="motion-and-stability">
        <w:r>
          <w:rPr>
            <w:color w:val="000000"/>
          </w:rPr>
          <w:t xml:space="preserve">Motion and stability</w:t>
        </w:r>
      </w:hyperlink>
    </w:p>
    <w:p>
      <w:pPr>
        <w:ind w:left="187" w:hanging="187"/>
      </w:pPr>
      <w:r>
        <w:t xml:space="preserve">• </w:t>
      </w:r>
      <w:r>
        <w:rPr>
          <w:b w:val="0"/>
          <w:i/>
        </w:rPr>
        <w:t>stellae</w:t>
      </w:r>
      <w:r>
        <w:rPr>
          <w:b w:val="0"/>
          <w:i w:val="0"/>
        </w:rPr>
        <w:t xml:space="preserve"> — </w:t>
      </w:r>
      <w:hyperlink w:anchor="spheres-and-stars">
        <w:r>
          <w:rPr>
            <w:color w:val="000000"/>
          </w:rPr>
          <w:t xml:space="preserve">Spheres and stars</w:t>
        </w:r>
      </w:hyperlink>
    </w:p>
    <w:p>
      <w:pPr>
        <w:ind w:left="187" w:hanging="187"/>
      </w:pPr>
      <w:r>
        <w:t xml:space="preserve">• </w:t>
      </w:r>
      <w:r>
        <w:rPr>
          <w:b w:val="0"/>
          <w:i/>
        </w:rPr>
        <w:t>sub omni</w:t>
      </w:r>
      <w:r>
        <w:rPr>
          <w:b w:val="0"/>
          <w:i w:val="0"/>
        </w:rPr>
        <w:t xml:space="preserve"> — </w:t>
      </w:r>
      <w:hyperlink w:anchor="whole-and-parts">
        <w:r>
          <w:rPr>
            <w:color w:val="000000"/>
          </w:rPr>
          <w:t xml:space="preserve">Whole and parts</w:t>
        </w:r>
      </w:hyperlink>
    </w:p>
    <w:p>
      <w:pPr>
        <w:ind w:left="187" w:hanging="187"/>
      </w:pPr>
      <w:r>
        <w:t xml:space="preserve">• </w:t>
      </w:r>
      <w:r>
        <w:rPr>
          <w:b w:val="0"/>
          <w:i/>
        </w:rPr>
        <w:t>subiectum</w:t>
      </w:r>
      <w:r>
        <w:rPr>
          <w:b w:val="0"/>
          <w:i w:val="0"/>
        </w:rPr>
        <w:t xml:space="preserve"> — </w:t>
      </w:r>
      <w:hyperlink w:anchor="essence-and-substance">
        <w:r>
          <w:rPr>
            <w:color w:val="000000"/>
          </w:rPr>
          <w:t xml:space="preserve">Essence and substance</w:t>
        </w:r>
      </w:hyperlink>
      <w:r>
        <w:rPr>
          <w:b w:val="0"/>
          <w:i w:val="0"/>
        </w:rPr>
        <w:t xml:space="preserve">; </w:t>
      </w:r>
      <w:hyperlink w:anchor="matter">
        <w:r>
          <w:rPr>
            <w:color w:val="000000"/>
          </w:rPr>
          <w:t xml:space="preserve">Matter</w:t>
        </w:r>
      </w:hyperlink>
      <w:r>
        <w:rPr>
          <w:b w:val="0"/>
          <w:i w:val="0"/>
        </w:rPr>
        <w:t xml:space="preserve">; </w:t>
      </w:r>
      <w:hyperlink w:anchor="substance-and-accident">
        <w:r>
          <w:rPr>
            <w:color w:val="000000"/>
          </w:rPr>
          <w:t xml:space="preserve">Substance and accident</w:t>
        </w:r>
      </w:hyperlink>
    </w:p>
    <w:p>
      <w:pPr>
        <w:ind w:left="187" w:hanging="187"/>
      </w:pPr>
      <w:r>
        <w:t xml:space="preserve">• </w:t>
      </w:r>
      <w:r>
        <w:rPr>
          <w:b w:val="0"/>
          <w:i/>
        </w:rPr>
        <w:t>subiectum informe</w:t>
      </w:r>
      <w:r>
        <w:rPr>
          <w:b w:val="0"/>
          <w:i w:val="0"/>
        </w:rPr>
        <w:t xml:space="preserve"> — </w:t>
      </w:r>
      <w:hyperlink w:anchor="matter">
        <w:r>
          <w:rPr>
            <w:color w:val="000000"/>
          </w:rPr>
          <w:t xml:space="preserve">Matter</w:t>
        </w:r>
      </w:hyperlink>
    </w:p>
    <w:p>
      <w:pPr>
        <w:ind w:left="187" w:hanging="187"/>
      </w:pPr>
      <w:r>
        <w:t xml:space="preserve">• </w:t>
      </w:r>
      <w:r>
        <w:rPr>
          <w:b w:val="0"/>
          <w:i/>
        </w:rPr>
        <w:t>subsistere</w:t>
      </w:r>
      <w:r>
        <w:rPr>
          <w:b w:val="0"/>
          <w:i w:val="0"/>
        </w:rPr>
        <w:t xml:space="preserve"> — </w:t>
      </w:r>
      <w:hyperlink w:anchor="essence-and-substance">
        <w:r>
          <w:rPr>
            <w:color w:val="000000"/>
          </w:rPr>
          <w:t xml:space="preserve">Essence and substance</w:t>
        </w:r>
      </w:hyperlink>
    </w:p>
    <w:p>
      <w:pPr>
        <w:ind w:left="187" w:hanging="187"/>
      </w:pPr>
      <w:r>
        <w:t xml:space="preserve">• </w:t>
      </w:r>
      <w:r>
        <w:rPr>
          <w:b w:val="0"/>
          <w:i/>
        </w:rPr>
        <w:t>substantia</w:t>
      </w:r>
      <w:r>
        <w:rPr>
          <w:b w:val="0"/>
          <w:i w:val="0"/>
        </w:rPr>
        <w:t xml:space="preserve"> — </w:t>
      </w:r>
      <w:hyperlink w:anchor="essence-and-substance">
        <w:r>
          <w:rPr>
            <w:color w:val="000000"/>
          </w:rPr>
          <w:t xml:space="preserve">Essence and substance</w:t>
        </w:r>
      </w:hyperlink>
      <w:r>
        <w:rPr>
          <w:b w:val="0"/>
          <w:i w:val="0"/>
        </w:rPr>
        <w:t xml:space="preserve">; </w:t>
      </w:r>
      <w:hyperlink w:anchor="substance-and-accident">
        <w:r>
          <w:rPr>
            <w:color w:val="000000"/>
          </w:rPr>
          <w:t xml:space="preserve">Substance and accident</w:t>
        </w:r>
      </w:hyperlink>
    </w:p>
    <w:p>
      <w:pPr>
        <w:ind w:left="187" w:hanging="187"/>
      </w:pPr>
      <w:r>
        <w:t xml:space="preserve">• </w:t>
      </w:r>
      <w:r>
        <w:rPr>
          <w:b w:val="0"/>
          <w:i/>
        </w:rPr>
        <w:t>substantialis</w:t>
      </w:r>
      <w:r>
        <w:rPr>
          <w:b w:val="0"/>
          <w:i w:val="0"/>
        </w:rPr>
        <w:t xml:space="preserve"> — </w:t>
      </w:r>
      <w:hyperlink w:anchor="substance-and-accident">
        <w:r>
          <w:rPr>
            <w:color w:val="000000"/>
          </w:rPr>
          <w:t xml:space="preserve">Substance and accident</w:t>
        </w:r>
      </w:hyperlink>
    </w:p>
    <w:p>
      <w:pPr>
        <w:ind w:left="187" w:hanging="187"/>
      </w:pPr>
      <w:r>
        <w:t xml:space="preserve">• </w:t>
      </w:r>
      <w:r>
        <w:rPr>
          <w:b w:val="0"/>
          <w:i/>
        </w:rPr>
        <w:t>sufficere</w:t>
      </w:r>
      <w:r>
        <w:rPr>
          <w:b w:val="0"/>
          <w:i w:val="0"/>
        </w:rPr>
        <w:t xml:space="preserve"> — </w:t>
      </w:r>
      <w:hyperlink w:anchor="need-and-sufficiency">
        <w:r>
          <w:rPr>
            <w:color w:val="000000"/>
          </w:rPr>
          <w:t xml:space="preserve">Need and sufficiency</w:t>
        </w:r>
      </w:hyperlink>
    </w:p>
    <w:p>
      <w:pPr>
        <w:ind w:left="187" w:hanging="187"/>
      </w:pPr>
      <w:r>
        <w:t xml:space="preserve">• </w:t>
      </w:r>
      <w:r>
        <w:rPr>
          <w:b w:val="0"/>
          <w:i/>
        </w:rPr>
        <w:t>sufficientia</w:t>
      </w:r>
      <w:r>
        <w:rPr>
          <w:b w:val="0"/>
          <w:i w:val="0"/>
        </w:rPr>
        <w:t xml:space="preserve"> — </w:t>
      </w:r>
      <w:hyperlink w:anchor="need-and-sufficiency">
        <w:r>
          <w:rPr>
            <w:color w:val="000000"/>
          </w:rPr>
          <w:t xml:space="preserve">Need and sufficiency</w:t>
        </w:r>
      </w:hyperlink>
    </w:p>
    <w:p>
      <w:pPr>
        <w:ind w:left="187" w:hanging="187"/>
      </w:pPr>
      <w:r>
        <w:t xml:space="preserve">• </w:t>
      </w:r>
      <w:r>
        <w:rPr>
          <w:b w:val="0"/>
          <w:i/>
        </w:rPr>
        <w:t>sui iuris</w:t>
      </w:r>
      <w:r>
        <w:rPr>
          <w:b w:val="0"/>
          <w:i w:val="0"/>
        </w:rPr>
        <w:t xml:space="preserve"> — </w:t>
      </w:r>
      <w:hyperlink w:anchor="freedom-and-necessity">
        <w:r>
          <w:rPr>
            <w:color w:val="000000"/>
          </w:rPr>
          <w:t xml:space="preserve">Freedom and necessity</w:t>
        </w:r>
      </w:hyperlink>
    </w:p>
    <w:p>
      <w:pPr>
        <w:ind w:left="187" w:hanging="187"/>
      </w:pPr>
      <w:r>
        <w:t xml:space="preserve">• </w:t>
      </w:r>
      <w:r>
        <w:rPr>
          <w:b w:val="0"/>
          <w:i/>
        </w:rPr>
        <w:t>summa bonitas</w:t>
      </w:r>
      <w:r>
        <w:rPr>
          <w:b w:val="0"/>
          <w:i w:val="0"/>
        </w:rPr>
        <w:t xml:space="preserve"> — </w:t>
      </w:r>
      <w:hyperlink w:anchor="good-and-goodness">
        <w:r>
          <w:rPr>
            <w:color w:val="000000"/>
          </w:rPr>
          <w:t xml:space="preserve">Good and goodness</w:t>
        </w:r>
      </w:hyperlink>
    </w:p>
    <w:p>
      <w:pPr>
        <w:ind w:left="187" w:hanging="187"/>
      </w:pPr>
      <w:r>
        <w:t xml:space="preserve">• </w:t>
      </w:r>
      <w:r>
        <w:rPr>
          <w:b w:val="0"/>
          <w:i/>
        </w:rPr>
        <w:t>summa unitas</w:t>
      </w:r>
      <w:r>
        <w:rPr>
          <w:b w:val="0"/>
          <w:i w:val="0"/>
        </w:rPr>
        <w:t xml:space="preserve"> — </w:t>
      </w:r>
      <w:hyperlink w:anchor="good-and-goodness">
        <w:r>
          <w:rPr>
            <w:color w:val="000000"/>
          </w:rPr>
          <w:t xml:space="preserve">Good and goodness</w:t>
        </w:r>
      </w:hyperlink>
    </w:p>
    <w:p>
      <w:pPr>
        <w:ind w:left="187" w:hanging="187"/>
      </w:pPr>
      <w:r>
        <w:t xml:space="preserve">• </w:t>
      </w:r>
      <w:r>
        <w:rPr>
          <w:b w:val="0"/>
          <w:i/>
        </w:rPr>
        <w:t>summa veritas</w:t>
      </w:r>
      <w:r>
        <w:rPr>
          <w:b w:val="0"/>
          <w:i w:val="0"/>
        </w:rPr>
        <w:t xml:space="preserve"> — </w:t>
      </w:r>
      <w:hyperlink w:anchor="truth">
        <w:r>
          <w:rPr>
            <w:color w:val="000000"/>
          </w:rPr>
          <w:t xml:space="preserve">Truth</w:t>
        </w:r>
      </w:hyperlink>
    </w:p>
    <w:p>
      <w:pPr>
        <w:ind w:left="187" w:hanging="187"/>
      </w:pPr>
      <w:r>
        <w:t xml:space="preserve">• </w:t>
      </w:r>
      <w:r>
        <w:rPr>
          <w:b w:val="0"/>
          <w:i/>
        </w:rPr>
        <w:t>summum</w:t>
      </w:r>
      <w:r>
        <w:rPr>
          <w:b w:val="0"/>
          <w:i w:val="0"/>
        </w:rPr>
        <w:t xml:space="preserve"> — </w:t>
      </w:r>
      <w:hyperlink w:anchor="perfection">
        <w:r>
          <w:rPr>
            <w:color w:val="000000"/>
          </w:rPr>
          <w:t xml:space="preserve">Perfection</w:t>
        </w:r>
      </w:hyperlink>
    </w:p>
    <w:p>
      <w:pPr>
        <w:ind w:left="187" w:hanging="187"/>
      </w:pPr>
      <w:r>
        <w:t xml:space="preserve">• </w:t>
      </w:r>
      <w:r>
        <w:rPr>
          <w:b w:val="0"/>
          <w:i/>
        </w:rPr>
        <w:t>summum bonum</w:t>
      </w:r>
      <w:r>
        <w:rPr>
          <w:b w:val="0"/>
          <w:i w:val="0"/>
        </w:rPr>
        <w:t xml:space="preserve"> — </w:t>
      </w:r>
      <w:hyperlink w:anchor="good-and-goodness">
        <w:r>
          <w:rPr>
            <w:color w:val="000000"/>
          </w:rPr>
          <w:t xml:space="preserve">Good and goodness</w:t>
        </w:r>
      </w:hyperlink>
    </w:p>
    <w:p>
      <w:pPr>
        <w:ind w:left="187" w:hanging="187"/>
      </w:pPr>
      <w:r>
        <w:t xml:space="preserve">• </w:t>
      </w:r>
      <w:r>
        <w:rPr>
          <w:b w:val="0"/>
          <w:i/>
        </w:rPr>
        <w:t>super omne</w:t>
      </w:r>
      <w:r>
        <w:rPr>
          <w:b w:val="0"/>
          <w:i w:val="0"/>
        </w:rPr>
        <w:t xml:space="preserve"> — </w:t>
      </w:r>
      <w:hyperlink w:anchor="whole-and-parts">
        <w:r>
          <w:rPr>
            <w:color w:val="000000"/>
          </w:rPr>
          <w:t xml:space="preserve">Whole and parts</w:t>
        </w:r>
      </w:hyperlink>
    </w:p>
    <w:p>
      <w:pPr>
        <w:ind w:left="187" w:hanging="187"/>
      </w:pPr>
      <w:r>
        <w:t xml:space="preserve">• </w:t>
      </w:r>
      <w:r>
        <w:rPr>
          <w:b w:val="0"/>
          <w:i/>
        </w:rPr>
        <w:t>superiora</w:t>
      </w:r>
      <w:r>
        <w:rPr>
          <w:b w:val="0"/>
          <w:i w:val="0"/>
        </w:rPr>
        <w:t xml:space="preserve"> — </w:t>
      </w:r>
      <w:hyperlink w:anchor="degree-and-mediation">
        <w:r>
          <w:rPr>
            <w:color w:val="000000"/>
          </w:rPr>
          <w:t xml:space="preserve">Degree and mediation</w:t>
        </w:r>
      </w:hyperlink>
    </w:p>
    <w:p>
      <w:pPr>
        <w:ind w:left="187" w:hanging="187"/>
      </w:pPr>
      <w:r>
        <w:t xml:space="preserve">• </w:t>
      </w:r>
      <w:r>
        <w:rPr>
          <w:b w:val="0"/>
          <w:i/>
        </w:rPr>
        <w:t>tamquam finis</w:t>
      </w:r>
      <w:r>
        <w:rPr>
          <w:b w:val="0"/>
          <w:i w:val="0"/>
        </w:rPr>
        <w:t xml:space="preserve"> — </w:t>
      </w:r>
      <w:hyperlink w:anchor="end-and-limit">
        <w:r>
          <w:rPr>
            <w:color w:val="000000"/>
          </w:rPr>
          <w:t xml:space="preserve">End and limit</w:t>
        </w:r>
      </w:hyperlink>
    </w:p>
    <w:p>
      <w:pPr>
        <w:ind w:left="187" w:hanging="187"/>
      </w:pPr>
      <w:r>
        <w:t xml:space="preserve">• </w:t>
      </w:r>
      <w:r>
        <w:rPr>
          <w:b w:val="0"/>
          <w:i/>
        </w:rPr>
        <w:t>temperantia</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temperatio</w:t>
      </w:r>
      <w:r>
        <w:rPr>
          <w:b w:val="0"/>
          <w:i w:val="0"/>
        </w:rPr>
        <w:t xml:space="preserve"> — </w:t>
      </w:r>
      <w:hyperlink w:anchor="purity-and-mixture">
        <w:r>
          <w:rPr>
            <w:color w:val="000000"/>
          </w:rPr>
          <w:t xml:space="preserve">Purity and mixture</w:t>
        </w:r>
      </w:hyperlink>
    </w:p>
    <w:p>
      <w:pPr>
        <w:ind w:left="187" w:hanging="187"/>
      </w:pPr>
      <w:r>
        <w:t xml:space="preserve">• </w:t>
      </w:r>
      <w:r>
        <w:rPr>
          <w:b w:val="0"/>
          <w:i/>
        </w:rPr>
        <w:t>temporali discursione</w:t>
      </w:r>
      <w:r>
        <w:rPr>
          <w:b w:val="0"/>
          <w:i w:val="0"/>
        </w:rPr>
        <w:t xml:space="preserve"> — </w:t>
      </w:r>
      <w:hyperlink w:anchor="indivisibility">
        <w:r>
          <w:rPr>
            <w:color w:val="000000"/>
          </w:rPr>
          <w:t xml:space="preserve">Indivisibility</w:t>
        </w:r>
      </w:hyperlink>
    </w:p>
    <w:p>
      <w:pPr>
        <w:ind w:left="187" w:hanging="187"/>
      </w:pPr>
      <w:r>
        <w:t xml:space="preserve">• </w:t>
      </w:r>
      <w:r>
        <w:rPr>
          <w:b w:val="0"/>
          <w:i/>
        </w:rPr>
        <w:t>temporalis</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tempus</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tempus primum</w:t>
      </w:r>
      <w:r>
        <w:rPr>
          <w:b w:val="0"/>
          <w:i w:val="0"/>
        </w:rPr>
        <w:t xml:space="preserve"> — </w:t>
      </w:r>
      <w:hyperlink w:anchor="eternity-and-time">
        <w:r>
          <w:rPr>
            <w:color w:val="000000"/>
          </w:rPr>
          <w:t xml:space="preserve">Eternity and time</w:t>
        </w:r>
      </w:hyperlink>
    </w:p>
    <w:p>
      <w:pPr>
        <w:ind w:left="187" w:hanging="187"/>
      </w:pPr>
      <w:r>
        <w:t xml:space="preserve">• </w:t>
      </w:r>
      <w:r>
        <w:rPr>
          <w:b w:val="0"/>
          <w:i/>
        </w:rPr>
        <w:t>terminare</w:t>
      </w:r>
      <w:r>
        <w:rPr>
          <w:b w:val="0"/>
          <w:i w:val="0"/>
        </w:rPr>
        <w:t xml:space="preserve"> — </w:t>
      </w:r>
      <w:hyperlink w:anchor="end-and-limit">
        <w:r>
          <w:rPr>
            <w:color w:val="000000"/>
          </w:rPr>
          <w:t xml:space="preserve">End and limit</w:t>
        </w:r>
      </w:hyperlink>
    </w:p>
    <w:p>
      <w:pPr>
        <w:ind w:left="187" w:hanging="187"/>
      </w:pPr>
      <w:r>
        <w:t xml:space="preserve">• </w:t>
      </w:r>
      <w:r>
        <w:rPr>
          <w:b w:val="0"/>
          <w:i/>
        </w:rPr>
        <w:t>terminus</w:t>
      </w:r>
      <w:r>
        <w:rPr>
          <w:b w:val="0"/>
          <w:i w:val="0"/>
        </w:rPr>
        <w:t xml:space="preserve"> — </w:t>
      </w:r>
      <w:hyperlink w:anchor="end-and-limit">
        <w:r>
          <w:rPr>
            <w:color w:val="000000"/>
          </w:rPr>
          <w:t xml:space="preserve">End and limit</w:t>
        </w:r>
      </w:hyperlink>
    </w:p>
    <w:p>
      <w:pPr>
        <w:ind w:left="187" w:hanging="187"/>
      </w:pPr>
      <w:r>
        <w:t xml:space="preserve">• </w:t>
      </w:r>
      <w:r>
        <w:rPr>
          <w:b w:val="0"/>
          <w:i/>
        </w:rPr>
        <w:t>ternario</w:t>
      </w:r>
      <w:r>
        <w:rPr>
          <w:b w:val="0"/>
          <w:i w:val="0"/>
        </w:rPr>
        <w:t xml:space="preserve"> — </w:t>
      </w:r>
      <w:hyperlink w:anchor="number">
        <w:r>
          <w:rPr>
            <w:color w:val="000000"/>
          </w:rPr>
          <w:t xml:space="preserve">Number</w:t>
        </w:r>
      </w:hyperlink>
    </w:p>
    <w:p>
      <w:pPr>
        <w:ind w:left="187" w:hanging="187"/>
      </w:pPr>
      <w:r>
        <w:t xml:space="preserve">• </w:t>
      </w:r>
      <w:r>
        <w:rPr>
          <w:b w:val="0"/>
          <w:i/>
        </w:rPr>
        <w:t>terrena vita</w:t>
      </w:r>
      <w:r>
        <w:rPr>
          <w:b w:val="0"/>
          <w:i w:val="0"/>
        </w:rPr>
        <w:t xml:space="preserve"> — </w:t>
      </w:r>
      <w:hyperlink w:anchor="earth-soul">
        <w:r>
          <w:rPr>
            <w:color w:val="000000"/>
          </w:rPr>
          <w:t xml:space="preserve">Earth soul</w:t>
        </w:r>
      </w:hyperlink>
    </w:p>
    <w:p>
      <w:pPr>
        <w:ind w:left="187" w:hanging="187"/>
      </w:pPr>
      <w:r>
        <w:t xml:space="preserve">• </w:t>
      </w:r>
      <w:r>
        <w:rPr>
          <w:b w:val="0"/>
          <w:i/>
        </w:rPr>
        <w:t>tertia essentia</w:t>
      </w:r>
      <w:r>
        <w:rPr>
          <w:b w:val="0"/>
          <w:i w:val="0"/>
        </w:rPr>
        <w:t xml:space="preserve"> — </w:t>
      </w:r>
      <w:hyperlink w:anchor="soul">
        <w:r>
          <w:rPr>
            <w:color w:val="000000"/>
          </w:rPr>
          <w:t xml:space="preserve">Soul</w:t>
        </w:r>
      </w:hyperlink>
    </w:p>
    <w:p>
      <w:pPr>
        <w:ind w:left="187" w:hanging="187"/>
      </w:pPr>
      <w:r>
        <w:t xml:space="preserve">• </w:t>
      </w:r>
      <w:r>
        <w:rPr>
          <w:b w:val="0"/>
          <w:i/>
        </w:rPr>
        <w:t>theologia</w:t>
      </w:r>
      <w:r>
        <w:rPr>
          <w:b w:val="0"/>
          <w:i w:val="0"/>
        </w:rPr>
        <w:t xml:space="preserve"> — </w:t>
      </w:r>
      <w:hyperlink w:anchor="philosophy-and-theology">
        <w:r>
          <w:rPr>
            <w:color w:val="000000"/>
          </w:rPr>
          <w:t xml:space="preserve">Philosophy and theology</w:t>
        </w:r>
      </w:hyperlink>
    </w:p>
    <w:p>
      <w:pPr>
        <w:ind w:left="187" w:hanging="187"/>
      </w:pPr>
      <w:r>
        <w:t xml:space="preserve">• </w:t>
      </w:r>
      <w:r>
        <w:rPr>
          <w:b w:val="0"/>
          <w:i/>
        </w:rPr>
        <w:t>tota et indivisa</w:t>
      </w:r>
      <w:r>
        <w:rPr>
          <w:b w:val="0"/>
          <w:i w:val="0"/>
        </w:rPr>
        <w:t xml:space="preserve"> — </w:t>
      </w:r>
      <w:hyperlink w:anchor="indwelling-and-presence">
        <w:r>
          <w:rPr>
            <w:color w:val="000000"/>
          </w:rPr>
          <w:t xml:space="preserve">Indwelling and presence</w:t>
        </w:r>
      </w:hyperlink>
    </w:p>
    <w:p>
      <w:pPr>
        <w:ind w:left="187" w:hanging="187"/>
      </w:pPr>
      <w:r>
        <w:t xml:space="preserve">• </w:t>
      </w:r>
      <w:r>
        <w:rPr>
          <w:b w:val="0"/>
          <w:i/>
        </w:rPr>
        <w:t>totum</w:t>
      </w:r>
      <w:r>
        <w:rPr>
          <w:b w:val="0"/>
          <w:i w:val="0"/>
        </w:rPr>
        <w:t xml:space="preserve"> — </w:t>
      </w:r>
      <w:hyperlink w:anchor="perfection">
        <w:r>
          <w:rPr>
            <w:color w:val="000000"/>
          </w:rPr>
          <w:t xml:space="preserve">Perfection</w:t>
        </w:r>
      </w:hyperlink>
      <w:r>
        <w:rPr>
          <w:b w:val="0"/>
          <w:i w:val="0"/>
        </w:rPr>
        <w:t xml:space="preserve">; </w:t>
      </w:r>
      <w:hyperlink w:anchor="whole-and-parts">
        <w:r>
          <w:rPr>
            <w:color w:val="000000"/>
          </w:rPr>
          <w:t xml:space="preserve">Whole and parts</w:t>
        </w:r>
      </w:hyperlink>
    </w:p>
    <w:p>
      <w:pPr>
        <w:ind w:left="187" w:hanging="187"/>
      </w:pPr>
      <w:r>
        <w:t xml:space="preserve">• </w:t>
      </w:r>
      <w:r>
        <w:rPr>
          <w:b w:val="0"/>
          <w:i/>
        </w:rPr>
        <w:t>transcendere</w:t>
      </w:r>
      <w:r>
        <w:rPr>
          <w:b w:val="0"/>
          <w:i w:val="0"/>
        </w:rPr>
        <w:t xml:space="preserve"> — </w:t>
      </w:r>
      <w:hyperlink w:anchor="ascent">
        <w:r>
          <w:rPr>
            <w:color w:val="000000"/>
          </w:rPr>
          <w:t xml:space="preserve">Ascent</w:t>
        </w:r>
      </w:hyperlink>
    </w:p>
    <w:p>
      <w:pPr>
        <w:ind w:left="187" w:hanging="187"/>
      </w:pPr>
      <w:r>
        <w:t xml:space="preserve">• </w:t>
      </w:r>
      <w:r>
        <w:rPr>
          <w:b w:val="0"/>
          <w:i/>
        </w:rPr>
        <w:t>tres rationalium animarum gradus</w:t>
      </w:r>
      <w:r>
        <w:rPr>
          <w:b w:val="0"/>
          <w:i w:val="0"/>
        </w:rPr>
        <w:t xml:space="preserve"> — </w:t>
      </w:r>
      <w:hyperlink w:anchor="soul">
        <w:r>
          <w:rPr>
            <w:color w:val="000000"/>
          </w:rPr>
          <w:t xml:space="preserve">Soul</w:t>
        </w:r>
      </w:hyperlink>
    </w:p>
    <w:p>
      <w:pPr>
        <w:ind w:left="187" w:hanging="187"/>
      </w:pPr>
      <w:r>
        <w:t xml:space="preserve">• </w:t>
      </w:r>
      <w:r>
        <w:rPr>
          <w:b w:val="0"/>
          <w:i/>
        </w:rPr>
        <w:t>triplex omne</w:t>
      </w:r>
      <w:r>
        <w:rPr>
          <w:b w:val="0"/>
          <w:i w:val="0"/>
        </w:rPr>
        <w:t xml:space="preserve"> — </w:t>
      </w:r>
      <w:hyperlink w:anchor="whole-and-parts">
        <w:r>
          <w:rPr>
            <w:color w:val="000000"/>
          </w:rPr>
          <w:t xml:space="preserve">Whole and parts</w:t>
        </w:r>
      </w:hyperlink>
    </w:p>
    <w:p>
      <w:pPr>
        <w:ind w:left="187" w:hanging="187"/>
      </w:pPr>
      <w:r>
        <w:t xml:space="preserve">• </w:t>
      </w:r>
      <w:r>
        <w:rPr>
          <w:b w:val="0"/>
          <w:i/>
        </w:rPr>
        <w:t>ubique</w:t>
      </w:r>
      <w:r>
        <w:rPr>
          <w:b w:val="0"/>
          <w:i w:val="0"/>
        </w:rPr>
        <w:t xml:space="preserve"> — </w:t>
      </w:r>
      <w:hyperlink w:anchor="omnipresence-and-place">
        <w:r>
          <w:rPr>
            <w:color w:val="000000"/>
          </w:rPr>
          <w:t xml:space="preserve">Omnipresence and place</w:t>
        </w:r>
      </w:hyperlink>
    </w:p>
    <w:p>
      <w:pPr>
        <w:ind w:left="187" w:hanging="187"/>
      </w:pPr>
      <w:r>
        <w:t xml:space="preserve">• </w:t>
      </w:r>
      <w:r>
        <w:rPr>
          <w:b w:val="0"/>
          <w:i/>
        </w:rPr>
        <w:t>ultimus finis</w:t>
      </w:r>
      <w:r>
        <w:rPr>
          <w:b w:val="0"/>
          <w:i w:val="0"/>
        </w:rPr>
        <w:t xml:space="preserve"> — </w:t>
      </w:r>
      <w:hyperlink w:anchor="end-and-limit">
        <w:r>
          <w:rPr>
            <w:color w:val="000000"/>
          </w:rPr>
          <w:t xml:space="preserve">End and limit</w:t>
        </w:r>
      </w:hyperlink>
    </w:p>
    <w:p>
      <w:pPr>
        <w:ind w:left="187" w:hanging="187"/>
      </w:pPr>
      <w:r>
        <w:t xml:space="preserve">• </w:t>
      </w:r>
      <w:r>
        <w:rPr>
          <w:b w:val="0"/>
          <w:i/>
        </w:rPr>
        <w:t>umbra</w:t>
      </w:r>
      <w:r>
        <w:rPr>
          <w:b w:val="0"/>
          <w:i w:val="0"/>
        </w:rPr>
        <w:t xml:space="preserve"> — </w:t>
      </w:r>
      <w:hyperlink w:anchor="image-and-likeness">
        <w:r>
          <w:rPr>
            <w:color w:val="000000"/>
          </w:rPr>
          <w:t xml:space="preserve">Image and likeness</w:t>
        </w:r>
      </w:hyperlink>
      <w:r>
        <w:rPr>
          <w:b w:val="0"/>
          <w:i w:val="0"/>
        </w:rPr>
        <w:t xml:space="preserve">; </w:t>
      </w:r>
      <w:hyperlink w:anchor="light-and-illumination">
        <w:r>
          <w:rPr>
            <w:color w:val="000000"/>
          </w:rPr>
          <w:t xml:space="preserve">Light and illumination</w:t>
        </w:r>
      </w:hyperlink>
    </w:p>
    <w:p>
      <w:pPr>
        <w:ind w:left="187" w:hanging="187"/>
      </w:pPr>
      <w:r>
        <w:t xml:space="preserve">• </w:t>
      </w:r>
      <w:r>
        <w:rPr>
          <w:b w:val="0"/>
          <w:i/>
        </w:rPr>
        <w:t>una anima</w:t>
      </w:r>
      <w:r>
        <w:rPr>
          <w:b w:val="0"/>
          <w:i w:val="0"/>
        </w:rPr>
        <w:t xml:space="preserve"> — </w:t>
      </w:r>
      <w:hyperlink w:anchor="world-soul">
        <w:r>
          <w:rPr>
            <w:color w:val="000000"/>
          </w:rPr>
          <w:t xml:space="preserve">World soul</w:t>
        </w:r>
      </w:hyperlink>
    </w:p>
    <w:p>
      <w:pPr>
        <w:ind w:left="187" w:hanging="187"/>
      </w:pPr>
      <w:r>
        <w:t xml:space="preserve">• </w:t>
      </w:r>
      <w:r>
        <w:rPr>
          <w:b w:val="0"/>
          <w:i/>
        </w:rPr>
        <w:t>una communis natura</w:t>
      </w:r>
      <w:r>
        <w:rPr>
          <w:b w:val="0"/>
          <w:i w:val="0"/>
        </w:rPr>
        <w:t xml:space="preserve"> — </w:t>
      </w:r>
      <w:hyperlink w:anchor="world-soul">
        <w:r>
          <w:rPr>
            <w:color w:val="000000"/>
          </w:rPr>
          <w:t xml:space="preserve">World soul</w:t>
        </w:r>
      </w:hyperlink>
    </w:p>
    <w:p>
      <w:pPr>
        <w:ind w:left="187" w:hanging="187"/>
      </w:pPr>
      <w:r>
        <w:t xml:space="preserve">• </w:t>
      </w:r>
      <w:r>
        <w:rPr>
          <w:b w:val="0"/>
          <w:i/>
        </w:rPr>
        <w:t>unicus</w:t>
      </w:r>
      <w:r>
        <w:rPr>
          <w:b w:val="0"/>
          <w:i w:val="0"/>
        </w:rPr>
        <w:t xml:space="preserve"> — </w:t>
      </w:r>
      <w:hyperlink w:anchor="unity-and-multiplicity">
        <w:r>
          <w:rPr>
            <w:color w:val="000000"/>
          </w:rPr>
          <w:t xml:space="preserve">Unity and multiplicity</w:t>
        </w:r>
      </w:hyperlink>
    </w:p>
    <w:p>
      <w:pPr>
        <w:ind w:left="187" w:hanging="187"/>
      </w:pPr>
      <w:r>
        <w:t xml:space="preserve">• </w:t>
      </w:r>
      <w:r>
        <w:rPr>
          <w:b w:val="0"/>
          <w:i/>
        </w:rPr>
        <w:t>uniformis</w:t>
      </w:r>
      <w:r>
        <w:rPr>
          <w:b w:val="0"/>
          <w:i w:val="0"/>
        </w:rPr>
        <w:t xml:space="preserve"> — </w:t>
      </w:r>
      <w:hyperlink w:anchor="form">
        <w:r>
          <w:rPr>
            <w:color w:val="000000"/>
          </w:rPr>
          <w:t xml:space="preserve">Form</w:t>
        </w:r>
      </w:hyperlink>
    </w:p>
    <w:p>
      <w:pPr>
        <w:ind w:left="187" w:hanging="187"/>
      </w:pPr>
      <w:r>
        <w:t xml:space="preserve">• </w:t>
      </w:r>
      <w:r>
        <w:rPr>
          <w:b w:val="0"/>
          <w:i/>
        </w:rPr>
        <w:t>unio</w:t>
      </w:r>
      <w:r>
        <w:rPr>
          <w:b w:val="0"/>
          <w:i w:val="0"/>
        </w:rPr>
        <w:t xml:space="preserve"> — </w:t>
      </w:r>
      <w:hyperlink w:anchor="unity-and-multiplicity">
        <w:r>
          <w:rPr>
            <w:color w:val="000000"/>
          </w:rPr>
          <w:t xml:space="preserve">Unity and multiplicity</w:t>
        </w:r>
      </w:hyperlink>
    </w:p>
    <w:p>
      <w:pPr>
        <w:ind w:left="187" w:hanging="187"/>
      </w:pPr>
      <w:r>
        <w:t xml:space="preserve">• </w:t>
      </w:r>
      <w:r>
        <w:rPr>
          <w:b w:val="0"/>
          <w:i/>
        </w:rPr>
        <w:t>unitas</w:t>
      </w:r>
      <w:r>
        <w:rPr>
          <w:b w:val="0"/>
          <w:i w:val="0"/>
        </w:rPr>
        <w:t xml:space="preserve"> — </w:t>
      </w:r>
      <w:hyperlink w:anchor="number">
        <w:r>
          <w:rPr>
            <w:color w:val="000000"/>
          </w:rPr>
          <w:t xml:space="preserve">Number</w:t>
        </w:r>
      </w:hyperlink>
      <w:r>
        <w:rPr>
          <w:b w:val="0"/>
          <w:i w:val="0"/>
        </w:rPr>
        <w:t xml:space="preserve">; </w:t>
      </w:r>
      <w:hyperlink w:anchor="separation-and-abstraction">
        <w:r>
          <w:rPr>
            <w:color w:val="000000"/>
          </w:rPr>
          <w:t xml:space="preserve">Separation and abstraction</w:t>
        </w:r>
      </w:hyperlink>
      <w:r>
        <w:rPr>
          <w:b w:val="0"/>
          <w:i w:val="0"/>
        </w:rPr>
        <w:t xml:space="preserve">; </w:t>
      </w:r>
      <w:hyperlink w:anchor="unity-and-multiplicity">
        <w:r>
          <w:rPr>
            <w:color w:val="000000"/>
          </w:rPr>
          <w:t xml:space="preserve">Unity and multiplicity</w:t>
        </w:r>
      </w:hyperlink>
    </w:p>
    <w:p>
      <w:pPr>
        <w:ind w:left="187" w:hanging="187"/>
      </w:pPr>
      <w:r>
        <w:t xml:space="preserve">• </w:t>
      </w:r>
      <w:r>
        <w:rPr>
          <w:b w:val="0"/>
          <w:i/>
        </w:rPr>
        <w:t>universale bonum</w:t>
      </w:r>
      <w:r>
        <w:rPr>
          <w:b w:val="0"/>
          <w:i w:val="0"/>
        </w:rPr>
        <w:t xml:space="preserve"> — </w:t>
      </w:r>
      <w:hyperlink w:anchor="good-and-goodness">
        <w:r>
          <w:rPr>
            <w:color w:val="000000"/>
          </w:rPr>
          <w:t xml:space="preserve">Good and goodness</w:t>
        </w:r>
      </w:hyperlink>
    </w:p>
    <w:p>
      <w:pPr>
        <w:ind w:left="187" w:hanging="187"/>
      </w:pPr>
      <w:r>
        <w:t xml:space="preserve">• </w:t>
      </w:r>
      <w:r>
        <w:rPr>
          <w:b w:val="0"/>
          <w:i/>
        </w:rPr>
        <w:t>universalia</w:t>
      </w:r>
      <w:r>
        <w:rPr>
          <w:b w:val="0"/>
          <w:i w:val="0"/>
        </w:rPr>
        <w:t xml:space="preserve"> — </w:t>
      </w:r>
      <w:hyperlink w:anchor="universals-and-individuals">
        <w:r>
          <w:rPr>
            <w:color w:val="000000"/>
          </w:rPr>
          <w:t xml:space="preserve">Universals and individuals</w:t>
        </w:r>
      </w:hyperlink>
    </w:p>
    <w:p>
      <w:pPr>
        <w:ind w:left="187" w:hanging="187"/>
      </w:pPr>
      <w:r>
        <w:t xml:space="preserve">• </w:t>
      </w:r>
      <w:r>
        <w:rPr>
          <w:b w:val="0"/>
          <w:i/>
        </w:rPr>
        <w:t>universalis Apollo</w:t>
      </w:r>
      <w:r>
        <w:rPr>
          <w:b w:val="0"/>
          <w:i w:val="0"/>
        </w:rPr>
        <w:t xml:space="preserve"> — </w:t>
      </w:r>
      <w:hyperlink w:anchor="apollo">
        <w:r>
          <w:rPr>
            <w:color w:val="000000"/>
          </w:rPr>
          <w:t xml:space="preserve">Apollo</w:t>
        </w:r>
      </w:hyperlink>
    </w:p>
    <w:p>
      <w:pPr>
        <w:ind w:left="187" w:hanging="187"/>
      </w:pPr>
      <w:r>
        <w:t xml:space="preserve">• </w:t>
      </w:r>
      <w:r>
        <w:rPr>
          <w:b w:val="0"/>
          <w:i/>
        </w:rPr>
        <w:t>universalis terrae anima</w:t>
      </w:r>
      <w:r>
        <w:rPr>
          <w:b w:val="0"/>
          <w:i w:val="0"/>
        </w:rPr>
        <w:t xml:space="preserve"> — </w:t>
      </w:r>
      <w:hyperlink w:anchor="earth-soul">
        <w:r>
          <w:rPr>
            <w:color w:val="000000"/>
          </w:rPr>
          <w:t xml:space="preserve">Earth soul</w:t>
        </w:r>
      </w:hyperlink>
    </w:p>
    <w:p>
      <w:pPr>
        <w:ind w:left="187" w:hanging="187"/>
      </w:pPr>
      <w:r>
        <w:t xml:space="preserve">• </w:t>
      </w:r>
      <w:r>
        <w:rPr>
          <w:b w:val="0"/>
          <w:i/>
        </w:rPr>
        <w:t>universum</w:t>
      </w:r>
      <w:r>
        <w:rPr>
          <w:b w:val="0"/>
          <w:i w:val="0"/>
        </w:rPr>
        <w:t xml:space="preserve"> — </w:t>
      </w:r>
      <w:hyperlink w:anchor="whole-and-parts">
        <w:r>
          <w:rPr>
            <w:color w:val="000000"/>
          </w:rPr>
          <w:t xml:space="preserve">Whole and parts</w:t>
        </w:r>
      </w:hyperlink>
      <w:r>
        <w:rPr>
          <w:b w:val="0"/>
          <w:i w:val="0"/>
        </w:rPr>
        <w:t xml:space="preserve">; </w:t>
      </w:r>
      <w:hyperlink w:anchor="world-and-universe">
        <w:r>
          <w:rPr>
            <w:color w:val="000000"/>
          </w:rPr>
          <w:t xml:space="preserve">World and universe</w:t>
        </w:r>
      </w:hyperlink>
    </w:p>
    <w:p>
      <w:pPr>
        <w:ind w:left="187" w:hanging="187"/>
      </w:pPr>
      <w:r>
        <w:t xml:space="preserve">• </w:t>
      </w:r>
      <w:r>
        <w:rPr>
          <w:b w:val="0"/>
          <w:i/>
        </w:rPr>
        <w:t>unum</w:t>
      </w:r>
      <w:r>
        <w:rPr>
          <w:b w:val="0"/>
          <w:i w:val="0"/>
        </w:rPr>
        <w:t xml:space="preserve"> — </w:t>
      </w:r>
      <w:hyperlink w:anchor="unity-and-multiplicity">
        <w:r>
          <w:rPr>
            <w:color w:val="000000"/>
          </w:rPr>
          <w:t xml:space="preserve">Unity and multiplicity</w:t>
        </w:r>
      </w:hyperlink>
    </w:p>
    <w:p>
      <w:pPr>
        <w:ind w:left="187" w:hanging="187"/>
      </w:pPr>
      <w:r>
        <w:t xml:space="preserve">• </w:t>
      </w:r>
      <w:r>
        <w:rPr>
          <w:b w:val="0"/>
          <w:i/>
        </w:rPr>
        <w:t>unum et multa</w:t>
      </w:r>
      <w:r>
        <w:rPr>
          <w:b w:val="0"/>
          <w:i w:val="0"/>
        </w:rPr>
        <w:t xml:space="preserve"> — </w:t>
      </w:r>
      <w:hyperlink w:anchor="unity-and-multiplicity">
        <w:r>
          <w:rPr>
            <w:color w:val="000000"/>
          </w:rPr>
          <w:t xml:space="preserve">Unity and multiplicity</w:t>
        </w:r>
      </w:hyperlink>
    </w:p>
    <w:p>
      <w:pPr>
        <w:ind w:left="187" w:hanging="187"/>
      </w:pPr>
      <w:r>
        <w:t xml:space="preserve">• </w:t>
      </w:r>
      <w:r>
        <w:rPr>
          <w:b w:val="0"/>
          <w:i/>
        </w:rPr>
        <w:t>unum ipsum</w:t>
      </w:r>
      <w:r>
        <w:rPr>
          <w:b w:val="0"/>
          <w:i w:val="0"/>
        </w:rPr>
        <w:t xml:space="preserve"> — </w:t>
      </w:r>
      <w:hyperlink w:anchor="apollo">
        <w:r>
          <w:rPr>
            <w:color w:val="000000"/>
          </w:rPr>
          <w:t xml:space="preserve">Apollo</w:t>
        </w:r>
      </w:hyperlink>
      <w:r>
        <w:rPr>
          <w:b w:val="0"/>
          <w:i w:val="0"/>
        </w:rPr>
        <w:t xml:space="preserve">; </w:t>
      </w:r>
      <w:hyperlink w:anchor="good-and-goodness">
        <w:r>
          <w:rPr>
            <w:color w:val="000000"/>
          </w:rPr>
          <w:t xml:space="preserve">Good and goodness</w:t>
        </w:r>
      </w:hyperlink>
    </w:p>
    <w:p>
      <w:pPr>
        <w:ind w:left="187" w:hanging="187"/>
      </w:pPr>
      <w:r>
        <w:t xml:space="preserve">• </w:t>
      </w:r>
      <w:r>
        <w:rPr>
          <w:b w:val="0"/>
          <w:i/>
        </w:rPr>
        <w:t>unum multa</w:t>
      </w:r>
      <w:r>
        <w:rPr>
          <w:b w:val="0"/>
          <w:i w:val="0"/>
        </w:rPr>
        <w:t xml:space="preserve"> — </w:t>
      </w:r>
      <w:hyperlink w:anchor="unity-and-multiplicity">
        <w:r>
          <w:rPr>
            <w:color w:val="000000"/>
          </w:rPr>
          <w:t xml:space="preserve">Unity and multiplicity</w:t>
        </w:r>
      </w:hyperlink>
    </w:p>
    <w:p>
      <w:pPr>
        <w:ind w:left="187" w:hanging="187"/>
      </w:pPr>
      <w:r>
        <w:t xml:space="preserve">• </w:t>
      </w:r>
      <w:r>
        <w:rPr>
          <w:b w:val="0"/>
          <w:i/>
        </w:rPr>
        <w:t>unum simpliciter</w:t>
      </w:r>
      <w:r>
        <w:rPr>
          <w:b w:val="0"/>
          <w:i w:val="0"/>
        </w:rPr>
        <w:t xml:space="preserve"> — </w:t>
      </w:r>
      <w:hyperlink w:anchor="good-and-goodness">
        <w:r>
          <w:rPr>
            <w:color w:val="000000"/>
          </w:rPr>
          <w:t xml:space="preserve">Good and goodness</w:t>
        </w:r>
      </w:hyperlink>
    </w:p>
    <w:p>
      <w:pPr>
        <w:ind w:left="187" w:hanging="187"/>
      </w:pPr>
      <w:r>
        <w:t xml:space="preserve">• </w:t>
      </w:r>
      <w:r>
        <w:rPr>
          <w:b w:val="0"/>
          <w:i/>
        </w:rPr>
        <w:t>velle</w:t>
      </w:r>
      <w:r>
        <w:rPr>
          <w:b w:val="0"/>
          <w:i w:val="0"/>
        </w:rPr>
        <w:t xml:space="preserve"> — </w:t>
      </w:r>
      <w:hyperlink w:anchor="choice-and-deliberation">
        <w:r>
          <w:rPr>
            <w:color w:val="000000"/>
          </w:rPr>
          <w:t xml:space="preserve">Choice and deliberation</w:t>
        </w:r>
      </w:hyperlink>
      <w:r>
        <w:rPr>
          <w:b w:val="0"/>
          <w:i w:val="0"/>
        </w:rPr>
        <w:t xml:space="preserve">; </w:t>
      </w:r>
      <w:hyperlink w:anchor="freedom-and-necessity">
        <w:r>
          <w:rPr>
            <w:color w:val="000000"/>
          </w:rPr>
          <w:t xml:space="preserve">Freedom and necessity</w:t>
        </w:r>
      </w:hyperlink>
      <w:r>
        <w:rPr>
          <w:b w:val="0"/>
          <w:i w:val="0"/>
        </w:rPr>
        <w:t xml:space="preserve">; </w:t>
      </w:r>
      <w:hyperlink w:anchor="will">
        <w:r>
          <w:rPr>
            <w:color w:val="000000"/>
          </w:rPr>
          <w:t xml:space="preserve">Will</w:t>
        </w:r>
      </w:hyperlink>
    </w:p>
    <w:p>
      <w:pPr>
        <w:ind w:left="187" w:hanging="187"/>
      </w:pPr>
      <w:r>
        <w:t xml:space="preserve">• </w:t>
      </w:r>
      <w:r>
        <w:rPr>
          <w:b w:val="0"/>
          <w:i/>
        </w:rPr>
        <w:t>venerari</w:t>
      </w:r>
      <w:r>
        <w:rPr>
          <w:b w:val="0"/>
          <w:i w:val="0"/>
        </w:rPr>
        <w:t xml:space="preserve"> — </w:t>
      </w:r>
      <w:hyperlink w:anchor="worship-and-piety">
        <w:r>
          <w:rPr>
            <w:color w:val="000000"/>
          </w:rPr>
          <w:t xml:space="preserve">Worship and piety</w:t>
        </w:r>
      </w:hyperlink>
    </w:p>
    <w:p>
      <w:pPr>
        <w:ind w:left="187" w:hanging="187"/>
      </w:pPr>
      <w:r>
        <w:t xml:space="preserve">• </w:t>
      </w:r>
      <w:r>
        <w:rPr>
          <w:b w:val="0"/>
          <w:i/>
        </w:rPr>
        <w:t>veneratio</w:t>
      </w:r>
      <w:r>
        <w:rPr>
          <w:b w:val="0"/>
          <w:i w:val="0"/>
        </w:rPr>
        <w:t xml:space="preserve"> — </w:t>
      </w:r>
      <w:hyperlink w:anchor="worship-and-piety">
        <w:r>
          <w:rPr>
            <w:color w:val="000000"/>
          </w:rPr>
          <w:t xml:space="preserve">Worship and piety</w:t>
        </w:r>
      </w:hyperlink>
    </w:p>
    <w:p>
      <w:pPr>
        <w:ind w:left="187" w:hanging="187"/>
      </w:pPr>
      <w:r>
        <w:t xml:space="preserve">• </w:t>
      </w:r>
      <w:r>
        <w:rPr>
          <w:b w:val="0"/>
          <w:i/>
        </w:rPr>
        <w:t>vere</w:t>
      </w:r>
      <w:r>
        <w:rPr>
          <w:b w:val="0"/>
          <w:i w:val="0"/>
        </w:rPr>
        <w:t xml:space="preserve"> — </w:t>
      </w:r>
      <w:hyperlink w:anchor="truth">
        <w:r>
          <w:rPr>
            <w:color w:val="000000"/>
          </w:rPr>
          <w:t xml:space="preserve">Truth</w:t>
        </w:r>
      </w:hyperlink>
    </w:p>
    <w:p>
      <w:pPr>
        <w:ind w:left="187" w:hanging="187"/>
      </w:pPr>
      <w:r>
        <w:t xml:space="preserve">• </w:t>
      </w:r>
      <w:r>
        <w:rPr>
          <w:b w:val="0"/>
          <w:i/>
        </w:rPr>
        <w:t>veritas</w:t>
      </w:r>
      <w:r>
        <w:rPr>
          <w:b w:val="0"/>
          <w:i w:val="0"/>
        </w:rPr>
        <w:t xml:space="preserve"> — </w:t>
      </w:r>
      <w:hyperlink w:anchor="truth">
        <w:r>
          <w:rPr>
            <w:color w:val="000000"/>
          </w:rPr>
          <w:t xml:space="preserve">Truth</w:t>
        </w:r>
      </w:hyperlink>
    </w:p>
    <w:p>
      <w:pPr>
        <w:ind w:left="187" w:hanging="187"/>
      </w:pPr>
      <w:r>
        <w:t xml:space="preserve">• </w:t>
      </w:r>
      <w:r>
        <w:rPr>
          <w:b w:val="0"/>
          <w:i/>
        </w:rPr>
        <w:t>verum</w:t>
      </w:r>
      <w:r>
        <w:rPr>
          <w:b w:val="0"/>
          <w:i w:val="0"/>
        </w:rPr>
        <w:t xml:space="preserve"> — </w:t>
      </w:r>
      <w:hyperlink w:anchor="truth">
        <w:r>
          <w:rPr>
            <w:color w:val="000000"/>
          </w:rPr>
          <w:t xml:space="preserve">Truth</w:t>
        </w:r>
      </w:hyperlink>
    </w:p>
    <w:p>
      <w:pPr>
        <w:ind w:left="187" w:hanging="187"/>
      </w:pPr>
      <w:r>
        <w:t xml:space="preserve">• </w:t>
      </w:r>
      <w:r>
        <w:rPr>
          <w:b w:val="0"/>
          <w:i/>
        </w:rPr>
        <w:t>verus</w:t>
      </w:r>
      <w:r>
        <w:rPr>
          <w:b w:val="0"/>
          <w:i w:val="0"/>
        </w:rPr>
        <w:t xml:space="preserve"> — </w:t>
      </w:r>
      <w:hyperlink w:anchor="truth">
        <w:r>
          <w:rPr>
            <w:color w:val="000000"/>
          </w:rPr>
          <w:t xml:space="preserve">Truth</w:t>
        </w:r>
      </w:hyperlink>
    </w:p>
    <w:p>
      <w:pPr>
        <w:ind w:left="187" w:hanging="187"/>
      </w:pPr>
      <w:r>
        <w:t xml:space="preserve">• </w:t>
      </w:r>
      <w:r>
        <w:rPr>
          <w:b w:val="0"/>
          <w:i/>
        </w:rPr>
        <w:t>vestigia</w:t>
      </w:r>
      <w:r>
        <w:rPr>
          <w:b w:val="0"/>
          <w:i w:val="0"/>
        </w:rPr>
        <w:t xml:space="preserve"> — </w:t>
      </w:r>
      <w:hyperlink w:anchor="traces">
        <w:r>
          <w:rPr>
            <w:color w:val="000000"/>
          </w:rPr>
          <w:t xml:space="preserve">Traces</w:t>
        </w:r>
      </w:hyperlink>
    </w:p>
    <w:p>
      <w:pPr>
        <w:ind w:left="187" w:hanging="187"/>
      </w:pPr>
      <w:r>
        <w:t xml:space="preserve">• </w:t>
      </w:r>
      <w:r>
        <w:rPr>
          <w:b w:val="0"/>
          <w:i/>
        </w:rPr>
        <w:t>vestigium</w:t>
      </w:r>
      <w:r>
        <w:rPr>
          <w:b w:val="0"/>
          <w:i w:val="0"/>
        </w:rPr>
        <w:t xml:space="preserve"> — </w:t>
      </w:r>
      <w:hyperlink w:anchor="participation">
        <w:r>
          <w:rPr>
            <w:color w:val="000000"/>
          </w:rPr>
          <w:t xml:space="preserve">Participation</w:t>
        </w:r>
      </w:hyperlink>
      <w:r>
        <w:rPr>
          <w:b w:val="0"/>
          <w:i w:val="0"/>
        </w:rPr>
        <w:t xml:space="preserve">; </w:t>
      </w:r>
      <w:hyperlink w:anchor="traces">
        <w:r>
          <w:rPr>
            <w:color w:val="000000"/>
          </w:rPr>
          <w:t xml:space="preserve">Traces</w:t>
        </w:r>
      </w:hyperlink>
    </w:p>
    <w:p>
      <w:pPr>
        <w:ind w:left="187" w:hanging="187"/>
      </w:pPr>
      <w:r>
        <w:t xml:space="preserve">• </w:t>
      </w:r>
      <w:r>
        <w:rPr>
          <w:b w:val="0"/>
          <w:i/>
        </w:rPr>
        <w:t>vigor agendi</w:t>
      </w:r>
      <w:r>
        <w:rPr>
          <w:b w:val="0"/>
          <w:i w:val="0"/>
        </w:rPr>
        <w:t xml:space="preserve"> — </w:t>
      </w:r>
      <w:hyperlink w:anchor="act-and-operation">
        <w:r>
          <w:rPr>
            <w:color w:val="000000"/>
          </w:rPr>
          <w:t xml:space="preserve">Act and operation</w:t>
        </w:r>
      </w:hyperlink>
    </w:p>
    <w:p>
      <w:pPr>
        <w:ind w:left="187" w:hanging="187"/>
      </w:pPr>
      <w:r>
        <w:t xml:space="preserve">• </w:t>
      </w:r>
      <w:r>
        <w:rPr>
          <w:b w:val="0"/>
          <w:i/>
        </w:rPr>
        <w:t>vincula</w:t>
      </w:r>
      <w:r>
        <w:rPr>
          <w:b w:val="0"/>
          <w:i w:val="0"/>
        </w:rPr>
        <w:t xml:space="preserve"> — </w:t>
      </w:r>
      <w:hyperlink w:anchor="prison-and-homeland">
        <w:r>
          <w:rPr>
            <w:color w:val="000000"/>
          </w:rPr>
          <w:t xml:space="preserve">Prison and homeland</w:t>
        </w:r>
      </w:hyperlink>
    </w:p>
    <w:p>
      <w:pPr>
        <w:ind w:left="187" w:hanging="187"/>
      </w:pPr>
      <w:r>
        <w:t xml:space="preserve">• </w:t>
      </w:r>
      <w:r>
        <w:rPr>
          <w:b w:val="0"/>
          <w:i/>
        </w:rPr>
        <w:t>vinculum</w:t>
      </w:r>
      <w:r>
        <w:rPr>
          <w:b w:val="0"/>
          <w:i w:val="0"/>
        </w:rPr>
        <w:t xml:space="preserve"> — </w:t>
      </w:r>
      <w:hyperlink w:anchor="bond-knot-and-chain">
        <w:r>
          <w:rPr>
            <w:color w:val="000000"/>
          </w:rPr>
          <w:t xml:space="preserve">Bond knot and chain</w:t>
        </w:r>
      </w:hyperlink>
    </w:p>
    <w:p>
      <w:pPr>
        <w:ind w:left="187" w:hanging="187"/>
      </w:pPr>
      <w:r>
        <w:t xml:space="preserve">• </w:t>
      </w:r>
      <w:r>
        <w:rPr>
          <w:b w:val="0"/>
          <w:i/>
        </w:rPr>
        <w:t>vires</w:t>
      </w:r>
      <w:r>
        <w:rPr>
          <w:b w:val="0"/>
          <w:i w:val="0"/>
        </w:rPr>
        <w:t xml:space="preserve"> — </w:t>
      </w:r>
      <w:hyperlink w:anchor="power-and-potency">
        <w:r>
          <w:rPr>
            <w:color w:val="000000"/>
          </w:rPr>
          <w:t xml:space="preserve">Power and potency</w:t>
        </w:r>
      </w:hyperlink>
    </w:p>
    <w:p>
      <w:pPr>
        <w:ind w:left="187" w:hanging="187"/>
      </w:pPr>
      <w:r>
        <w:t xml:space="preserve">• </w:t>
      </w:r>
      <w:r>
        <w:rPr>
          <w:b w:val="0"/>
          <w:i/>
        </w:rPr>
        <w:t>virtus</w:t>
      </w:r>
      <w:r>
        <w:rPr>
          <w:b w:val="0"/>
          <w:i w:val="0"/>
        </w:rPr>
        <w:t xml:space="preserve"> — </w:t>
      </w:r>
      <w:hyperlink w:anchor="power-and-potency">
        <w:r>
          <w:rPr>
            <w:color w:val="000000"/>
          </w:rPr>
          <w:t xml:space="preserve">Power and potency</w:t>
        </w:r>
      </w:hyperlink>
    </w:p>
    <w:p>
      <w:pPr>
        <w:ind w:left="187" w:hanging="187"/>
      </w:pPr>
      <w:r>
        <w:t xml:space="preserve">• </w:t>
      </w:r>
      <w:r>
        <w:rPr>
          <w:b w:val="0"/>
          <w:i/>
        </w:rPr>
        <w:t>virtus acquisita</w:t>
      </w:r>
      <w:r>
        <w:rPr>
          <w:b w:val="0"/>
          <w:i w:val="0"/>
        </w:rPr>
        <w:t xml:space="preserve"> — </w:t>
      </w:r>
      <w:hyperlink w:anchor="power-and-potency">
        <w:r>
          <w:rPr>
            <w:color w:val="000000"/>
          </w:rPr>
          <w:t xml:space="preserve">Power and potency</w:t>
        </w:r>
      </w:hyperlink>
    </w:p>
    <w:p>
      <w:pPr>
        <w:ind w:left="187" w:hanging="187"/>
      </w:pPr>
      <w:r>
        <w:t xml:space="preserve">• </w:t>
      </w:r>
      <w:r>
        <w:rPr>
          <w:b w:val="0"/>
          <w:i/>
        </w:rPr>
        <w:t>virtus naturalis</w:t>
      </w:r>
      <w:r>
        <w:rPr>
          <w:b w:val="0"/>
          <w:i w:val="0"/>
        </w:rPr>
        <w:t xml:space="preserve"> — </w:t>
      </w:r>
      <w:hyperlink w:anchor="power-and-potency">
        <w:r>
          <w:rPr>
            <w:color w:val="000000"/>
          </w:rPr>
          <w:t xml:space="preserve">Power and potency</w:t>
        </w:r>
      </w:hyperlink>
    </w:p>
    <w:p>
      <w:pPr>
        <w:ind w:left="187" w:hanging="187"/>
      </w:pPr>
      <w:r>
        <w:t xml:space="preserve">• </w:t>
      </w:r>
      <w:r>
        <w:rPr>
          <w:b w:val="0"/>
          <w:i/>
        </w:rPr>
        <w:t>virtus vivifica</w:t>
      </w:r>
      <w:r>
        <w:rPr>
          <w:b w:val="0"/>
          <w:i w:val="0"/>
        </w:rPr>
        <w:t xml:space="preserve"> — </w:t>
      </w:r>
      <w:hyperlink w:anchor="life">
        <w:r>
          <w:rPr>
            <w:color w:val="000000"/>
          </w:rPr>
          <w:t xml:space="preserve">Life</w:t>
        </w:r>
      </w:hyperlink>
    </w:p>
    <w:p>
      <w:pPr>
        <w:ind w:left="187" w:hanging="187"/>
      </w:pPr>
      <w:r>
        <w:t xml:space="preserve">• </w:t>
      </w:r>
      <w:r>
        <w:rPr>
          <w:b w:val="0"/>
          <w:i/>
        </w:rPr>
        <w:t>vis</w:t>
      </w:r>
      <w:r>
        <w:rPr>
          <w:b w:val="0"/>
          <w:i w:val="0"/>
        </w:rPr>
        <w:t xml:space="preserve"> — </w:t>
      </w:r>
      <w:hyperlink w:anchor="power-and-potency">
        <w:r>
          <w:rPr>
            <w:color w:val="000000"/>
          </w:rPr>
          <w:t xml:space="preserve">Power and potency</w:t>
        </w:r>
      </w:hyperlink>
    </w:p>
    <w:p>
      <w:pPr>
        <w:ind w:left="187" w:hanging="187"/>
      </w:pPr>
      <w:r>
        <w:t xml:space="preserve">• </w:t>
      </w:r>
      <w:r>
        <w:rPr>
          <w:b w:val="0"/>
          <w:i/>
        </w:rPr>
        <w:t>vis gemina</w:t>
      </w:r>
      <w:r>
        <w:rPr>
          <w:b w:val="0"/>
          <w:i w:val="0"/>
        </w:rPr>
        <w:t xml:space="preserve"> —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p>
    <w:p>
      <w:pPr>
        <w:ind w:left="187" w:hanging="187"/>
      </w:pPr>
      <w:r>
        <w:t xml:space="preserve">• </w:t>
      </w:r>
      <w:r>
        <w:rPr>
          <w:b w:val="0"/>
          <w:i/>
        </w:rPr>
        <w:t>vis individua</w:t>
      </w:r>
      <w:r>
        <w:rPr>
          <w:b w:val="0"/>
          <w:i w:val="0"/>
        </w:rPr>
        <w:t xml:space="preserve"> — </w:t>
      </w:r>
      <w:hyperlink w:anchor="indwelling-and-presence">
        <w:r>
          <w:rPr>
            <w:color w:val="000000"/>
          </w:rPr>
          <w:t xml:space="preserve">Indwelling and presence</w:t>
        </w:r>
      </w:hyperlink>
    </w:p>
    <w:p>
      <w:pPr>
        <w:ind w:left="187" w:hanging="187"/>
      </w:pPr>
      <w:r>
        <w:t xml:space="preserve">• </w:t>
      </w:r>
      <w:r>
        <w:rPr>
          <w:b w:val="0"/>
          <w:i/>
        </w:rPr>
        <w:t>vis interna movendi</w:t>
      </w:r>
      <w:r>
        <w:rPr>
          <w:b w:val="0"/>
          <w:i w:val="0"/>
        </w:rPr>
        <w:t xml:space="preserve"> — </w:t>
      </w:r>
      <w:hyperlink w:anchor="life">
        <w:r>
          <w:rPr>
            <w:color w:val="000000"/>
          </w:rPr>
          <w:t xml:space="preserve">Life</w:t>
        </w:r>
      </w:hyperlink>
    </w:p>
    <w:p>
      <w:pPr>
        <w:ind w:left="187" w:hanging="187"/>
      </w:pPr>
      <w:r>
        <w:t xml:space="preserve">• </w:t>
      </w:r>
      <w:r>
        <w:rPr>
          <w:b w:val="0"/>
          <w:i/>
        </w:rPr>
        <w:t>vis vivifica et motrix</w:t>
      </w:r>
      <w:r>
        <w:rPr>
          <w:b w:val="0"/>
          <w:i w:val="0"/>
        </w:rPr>
        <w:t xml:space="preserve"> — </w:t>
      </w:r>
      <w:hyperlink w:anchor="intellectual-and-animating-powers">
        <w:r>
          <w:rPr>
            <w:color w:val="000000"/>
          </w:rPr>
          <w:t xml:space="preserve">Intellectual and animating powers</w:t>
        </w:r>
      </w:hyperlink>
    </w:p>
    <w:p>
      <w:pPr>
        <w:ind w:left="187" w:hanging="187"/>
      </w:pPr>
      <w:r>
        <w:t xml:space="preserve">• </w:t>
      </w:r>
      <w:r>
        <w:rPr>
          <w:b w:val="0"/>
          <w:i/>
        </w:rPr>
        <w:t>visus</w:t>
      </w:r>
      <w:r>
        <w:rPr>
          <w:b w:val="0"/>
          <w:i w:val="0"/>
        </w:rPr>
        <w:t xml:space="preserve"> — </w:t>
      </w:r>
      <w:hyperlink w:anchor="light-and-illumination">
        <w:r>
          <w:rPr>
            <w:color w:val="000000"/>
          </w:rPr>
          <w:t xml:space="preserve">Light and illumination</w:t>
        </w:r>
      </w:hyperlink>
    </w:p>
    <w:p>
      <w:pPr>
        <w:ind w:left="187" w:hanging="187"/>
      </w:pPr>
      <w:r>
        <w:t xml:space="preserve">• </w:t>
      </w:r>
      <w:r>
        <w:rPr>
          <w:b w:val="0"/>
          <w:i/>
        </w:rPr>
        <w:t>vita</w:t>
      </w:r>
      <w:r>
        <w:rPr>
          <w:b w:val="0"/>
          <w:i w:val="0"/>
        </w:rPr>
        <w:t xml:space="preserve"> — </w:t>
      </w:r>
      <w:hyperlink w:anchor="life">
        <w:r>
          <w:rPr>
            <w:color w:val="000000"/>
          </w:rPr>
          <w:t xml:space="preserve">Life</w:t>
        </w:r>
      </w:hyperlink>
    </w:p>
    <w:p>
      <w:pPr>
        <w:ind w:left="187" w:hanging="187"/>
      </w:pPr>
      <w:r>
        <w:t xml:space="preserve">• </w:t>
      </w:r>
      <w:r>
        <w:rPr>
          <w:b w:val="0"/>
          <w:i/>
        </w:rPr>
        <w:t>vita insita</w:t>
      </w:r>
      <w:r>
        <w:rPr>
          <w:b w:val="0"/>
          <w:i w:val="0"/>
        </w:rPr>
        <w:t xml:space="preserve"> — </w:t>
      </w:r>
      <w:hyperlink w:anchor="life">
        <w:r>
          <w:rPr>
            <w:color w:val="000000"/>
          </w:rPr>
          <w:t xml:space="preserve">Life</w:t>
        </w:r>
      </w:hyperlink>
    </w:p>
    <w:p>
      <w:pPr>
        <w:ind w:left="187" w:hanging="187"/>
      </w:pPr>
      <w:r>
        <w:t xml:space="preserve">• </w:t>
      </w:r>
      <w:r>
        <w:rPr>
          <w:b w:val="0"/>
          <w:i/>
        </w:rPr>
        <w:t>vita vitarum</w:t>
      </w:r>
      <w:r>
        <w:rPr>
          <w:b w:val="0"/>
          <w:i w:val="0"/>
        </w:rPr>
        <w:t xml:space="preserve"> — </w:t>
      </w:r>
      <w:hyperlink w:anchor="life">
        <w:r>
          <w:rPr>
            <w:color w:val="000000"/>
          </w:rPr>
          <w:t xml:space="preserve">Life</w:t>
        </w:r>
      </w:hyperlink>
    </w:p>
    <w:p>
      <w:pPr>
        <w:ind w:left="187" w:hanging="187"/>
      </w:pPr>
      <w:r>
        <w:t xml:space="preserve">• </w:t>
      </w:r>
      <w:r>
        <w:rPr>
          <w:b w:val="0"/>
          <w:i/>
        </w:rPr>
        <w:t>vita vivificans corpora</w:t>
      </w:r>
      <w:r>
        <w:rPr>
          <w:b w:val="0"/>
          <w:i w:val="0"/>
        </w:rPr>
        <w:t xml:space="preserve"> — </w:t>
      </w:r>
      <w:hyperlink w:anchor="life">
        <w:r>
          <w:rPr>
            <w:color w:val="000000"/>
          </w:rPr>
          <w:t xml:space="preserve">Life</w:t>
        </w:r>
      </w:hyperlink>
    </w:p>
    <w:p>
      <w:pPr>
        <w:ind w:left="187" w:hanging="187"/>
      </w:pPr>
      <w:r>
        <w:t xml:space="preserve">• </w:t>
      </w:r>
      <w:r>
        <w:rPr>
          <w:b w:val="0"/>
          <w:i/>
        </w:rPr>
        <w:t>vitalem sui umbram</w:t>
      </w:r>
      <w:r>
        <w:rPr>
          <w:b w:val="0"/>
          <w:i w:val="0"/>
        </w:rPr>
        <w:t xml:space="preserve"> — </w:t>
      </w:r>
      <w:hyperlink w:anchor="indivisibility">
        <w:r>
          <w:rPr>
            <w:color w:val="000000"/>
          </w:rPr>
          <w:t xml:space="preserve">Indivisibility</w:t>
        </w:r>
      </w:hyperlink>
    </w:p>
    <w:p>
      <w:pPr>
        <w:ind w:left="187" w:hanging="187"/>
      </w:pPr>
      <w:r>
        <w:t xml:space="preserve">• </w:t>
      </w:r>
      <w:r>
        <w:rPr>
          <w:b w:val="0"/>
          <w:i/>
        </w:rPr>
        <w:t>vitalia semina</w:t>
      </w:r>
      <w:r>
        <w:rPr>
          <w:b w:val="0"/>
          <w:i w:val="0"/>
        </w:rPr>
        <w:t xml:space="preserve"> — </w:t>
      </w:r>
      <w:hyperlink w:anchor="seeds">
        <w:r>
          <w:rPr>
            <w:color w:val="000000"/>
          </w:rPr>
          <w:t xml:space="preserve">Seeds</w:t>
        </w:r>
      </w:hyperlink>
    </w:p>
    <w:p>
      <w:pPr>
        <w:ind w:left="187" w:hanging="187"/>
      </w:pPr>
      <w:r>
        <w:t xml:space="preserve">• </w:t>
      </w:r>
      <w:r>
        <w:rPr>
          <w:b w:val="0"/>
          <w:i/>
        </w:rPr>
        <w:t>vitalis</w:t>
      </w:r>
      <w:r>
        <w:rPr>
          <w:b w:val="0"/>
          <w:i w:val="0"/>
        </w:rPr>
        <w:t xml:space="preserve"> — </w:t>
      </w:r>
      <w:hyperlink w:anchor="life">
        <w:r>
          <w:rPr>
            <w:color w:val="000000"/>
          </w:rPr>
          <w:t xml:space="preserve">Life</w:t>
        </w:r>
      </w:hyperlink>
    </w:p>
    <w:p>
      <w:pPr>
        <w:ind w:left="187" w:hanging="187"/>
      </w:pPr>
      <w:r>
        <w:t xml:space="preserve">• </w:t>
      </w:r>
      <w:r>
        <w:rPr>
          <w:b w:val="0"/>
          <w:i/>
        </w:rPr>
        <w:t>vivere</w:t>
      </w:r>
      <w:r>
        <w:rPr>
          <w:b w:val="0"/>
          <w:i w:val="0"/>
        </w:rPr>
        <w:t xml:space="preserve"> — </w:t>
      </w:r>
      <w:hyperlink w:anchor="life">
        <w:r>
          <w:rPr>
            <w:color w:val="000000"/>
          </w:rPr>
          <w:t xml:space="preserve">Life</w:t>
        </w:r>
      </w:hyperlink>
    </w:p>
    <w:p>
      <w:pPr>
        <w:ind w:left="187" w:hanging="187"/>
      </w:pPr>
      <w:r>
        <w:t xml:space="preserve">• </w:t>
      </w:r>
      <w:r>
        <w:rPr>
          <w:b w:val="0"/>
          <w:i/>
        </w:rPr>
        <w:t>vivificando atque regendo</w:t>
      </w:r>
      <w:r>
        <w:rPr>
          <w:b w:val="0"/>
          <w:i w:val="0"/>
        </w:rPr>
        <w:t xml:space="preserve"> — </w:t>
      </w:r>
      <w:hyperlink w:anchor="bacchus-and-the-muses">
        <w:r>
          <w:rPr>
            <w:color w:val="000000"/>
          </w:rPr>
          <w:t xml:space="preserve">Bacchus and the Muses</w:t>
        </w:r>
      </w:hyperlink>
    </w:p>
    <w:p>
      <w:pPr>
        <w:ind w:left="187" w:hanging="187"/>
      </w:pPr>
      <w:r>
        <w:t xml:space="preserve">• </w:t>
      </w:r>
      <w:r>
        <w:rPr>
          <w:b w:val="0"/>
          <w:i/>
        </w:rPr>
        <w:t>vivificare</w:t>
      </w:r>
      <w:r>
        <w:rPr>
          <w:b w:val="0"/>
          <w:i w:val="0"/>
        </w:rPr>
        <w:t xml:space="preserve"> — </w:t>
      </w:r>
      <w:hyperlink w:anchor="life">
        <w:r>
          <w:rPr>
            <w:color w:val="000000"/>
          </w:rPr>
          <w:t xml:space="preserve">Life</w:t>
        </w:r>
      </w:hyperlink>
    </w:p>
    <w:p>
      <w:pPr>
        <w:ind w:left="187" w:hanging="187"/>
      </w:pPr>
      <w:r>
        <w:t xml:space="preserve">• </w:t>
      </w:r>
      <w:r>
        <w:rPr>
          <w:b w:val="0"/>
          <w:i/>
        </w:rPr>
        <w:t>vivificus</w:t>
      </w:r>
      <w:r>
        <w:rPr>
          <w:b w:val="0"/>
          <w:i w:val="0"/>
        </w:rPr>
        <w:t xml:space="preserve"> — </w:t>
      </w:r>
      <w:hyperlink w:anchor="life">
        <w:r>
          <w:rPr>
            <w:color w:val="000000"/>
          </w:rPr>
          <w:t xml:space="preserve">Life</w:t>
        </w:r>
      </w:hyperlink>
    </w:p>
    <w:p>
      <w:pPr>
        <w:ind w:left="187" w:hanging="187"/>
      </w:pPr>
      <w:r>
        <w:t xml:space="preserve">• </w:t>
      </w:r>
      <w:r>
        <w:rPr>
          <w:b w:val="0"/>
          <w:i/>
        </w:rPr>
        <w:t>vivus</w:t>
      </w:r>
      <w:r>
        <w:rPr>
          <w:b w:val="0"/>
          <w:i w:val="0"/>
        </w:rPr>
        <w:t xml:space="preserve"> — </w:t>
      </w:r>
      <w:hyperlink w:anchor="life">
        <w:r>
          <w:rPr>
            <w:color w:val="000000"/>
          </w:rPr>
          <w:t xml:space="preserve">Life</w:t>
        </w:r>
      </w:hyperlink>
    </w:p>
    <w:p>
      <w:pPr>
        <w:ind w:left="187" w:hanging="187"/>
      </w:pPr>
      <w:r>
        <w:t xml:space="preserve">• </w:t>
      </w:r>
      <w:r>
        <w:rPr>
          <w:b w:val="0"/>
          <w:i/>
        </w:rPr>
        <w:t>volendo</w:t>
      </w:r>
      <w:r>
        <w:rPr>
          <w:b w:val="0"/>
          <w:i w:val="0"/>
        </w:rPr>
        <w:t xml:space="preserve"> — </w:t>
      </w:r>
      <w:hyperlink w:anchor="foreknowledge">
        <w:r>
          <w:rPr>
            <w:color w:val="000000"/>
          </w:rPr>
          <w:t xml:space="preserve">Foreknowledge</w:t>
        </w:r>
      </w:hyperlink>
    </w:p>
    <w:p>
      <w:pPr>
        <w:ind w:left="187" w:hanging="187"/>
      </w:pPr>
      <w:r>
        <w:t xml:space="preserve">• </w:t>
      </w:r>
      <w:r>
        <w:rPr>
          <w:b w:val="0"/>
          <w:i/>
        </w:rPr>
        <w:t>voluntaria cognitio</w:t>
      </w:r>
      <w:r>
        <w:rPr>
          <w:b w:val="0"/>
          <w:i w:val="0"/>
        </w:rPr>
        <w:t xml:space="preserve"> — </w:t>
      </w:r>
      <w:hyperlink w:anchor="choice-and-deliberation">
        <w:r>
          <w:rPr>
            <w:color w:val="000000"/>
          </w:rPr>
          <w:t xml:space="preserve">Choice and deliberation</w:t>
        </w:r>
      </w:hyperlink>
    </w:p>
    <w:p>
      <w:pPr>
        <w:ind w:left="187" w:hanging="187"/>
      </w:pPr>
      <w:r>
        <w:t xml:space="preserve">• </w:t>
      </w:r>
      <w:r>
        <w:rPr>
          <w:b w:val="0"/>
          <w:i/>
        </w:rPr>
        <w:t>voluntarius</w:t>
      </w:r>
      <w:r>
        <w:rPr>
          <w:b w:val="0"/>
          <w:i w:val="0"/>
        </w:rPr>
        <w:t xml:space="preserve"> — </w:t>
      </w:r>
      <w:hyperlink w:anchor="freedom-and-necessity">
        <w:r>
          <w:rPr>
            <w:color w:val="000000"/>
          </w:rPr>
          <w:t xml:space="preserve">Freedom and necessity</w:t>
        </w:r>
      </w:hyperlink>
    </w:p>
    <w:p>
      <w:pPr>
        <w:ind w:left="187" w:hanging="187"/>
      </w:pPr>
      <w:r>
        <w:t xml:space="preserve">• </w:t>
      </w:r>
      <w:r>
        <w:rPr>
          <w:b w:val="0"/>
          <w:i/>
        </w:rPr>
        <w:t>voluntas</w:t>
      </w:r>
      <w:r>
        <w:rPr>
          <w:b w:val="0"/>
          <w:i w:val="0"/>
        </w:rPr>
        <w:t xml:space="preserve"> — </w:t>
      </w:r>
      <w:hyperlink w:anchor="will">
        <w:r>
          <w:rPr>
            <w:color w:val="000000"/>
          </w:rPr>
          <w:t xml:space="preserve">Will</w:t>
        </w:r>
      </w:hyperlink>
    </w:p>
    <w:p>
      <w:pPr>
        <w:ind w:left="187" w:hanging="187"/>
      </w:pPr>
      <w:r>
        <w:t xml:space="preserve">• </w:t>
      </w:r>
      <w:r>
        <w:rPr>
          <w:b w:val="0"/>
          <w:i/>
        </w:rPr>
        <w:t>voluntatis affectum</w:t>
      </w:r>
      <w:r>
        <w:rPr>
          <w:b w:val="0"/>
          <w:i w:val="0"/>
        </w:rPr>
        <w:t xml:space="preserve"> — </w:t>
      </w:r>
      <w:hyperlink w:anchor="affect">
        <w:r>
          <w:rPr>
            <w:color w:val="000000"/>
          </w:rPr>
          <w:t xml:space="preserve">Affect</w:t>
        </w:r>
      </w:hyperlink>
    </w:p>
    <w:p>
      <w:pPr>
        <w:ind w:left="187" w:hanging="187"/>
      </w:pPr>
      <w:r>
        <w:t xml:space="preserve">• </w:t>
      </w:r>
      <w:r>
        <w:rPr>
          <w:b w:val="0"/>
          <w:i/>
        </w:rPr>
        <w:t>voluntatis assensus</w:t>
      </w:r>
      <w:r>
        <w:rPr>
          <w:b w:val="0"/>
          <w:i w:val="0"/>
        </w:rPr>
        <w:t xml:space="preserve"> — </w:t>
      </w:r>
      <w:hyperlink w:anchor="will">
        <w:r>
          <w:rPr>
            <w:color w:val="000000"/>
          </w:rPr>
          <w:t xml:space="preserve">Will</w:t>
        </w:r>
      </w:hyperlink>
    </w:p>
    <w:p>
      <w:pPr>
        <w:ind w:left="187" w:hanging="187"/>
      </w:pPr>
      <w:r>
        <w:t xml:space="preserve">• </w:t>
      </w:r>
      <w:r>
        <w:rPr>
          <w:b w:val="0"/>
          <w:i/>
        </w:rPr>
        <w:t>voluntatis imperium</w:t>
      </w:r>
      <w:r>
        <w:rPr>
          <w:b w:val="0"/>
          <w:i w:val="0"/>
        </w:rPr>
        <w:t xml:space="preserve"> — </w:t>
      </w:r>
      <w:hyperlink w:anchor="will">
        <w:r>
          <w:rPr>
            <w:color w:val="000000"/>
          </w:rPr>
          <w:t xml:space="preserve">Will</w:t>
        </w:r>
      </w:hyperlink>
    </w:p>
    <w:p>
      <w:pPr>
        <w:ind w:left="187" w:hanging="187"/>
      </w:pPr>
      <w:r>
        <w:t xml:space="preserve">• </w:t>
      </w:r>
      <w:r>
        <w:rPr>
          <w:b w:val="0"/>
          <w:i/>
        </w:rPr>
        <w:t>voluptas</w:t>
      </w:r>
      <w:r>
        <w:rPr>
          <w:b w:val="0"/>
          <w:i w:val="0"/>
        </w:rPr>
        <w:t xml:space="preserve"> — </w:t>
      </w:r>
      <w:hyperlink w:anchor="love-and-pleasure">
        <w:r>
          <w:rPr>
            <w:color w:val="000000"/>
          </w:rPr>
          <w:t xml:space="preserve">Love and pleasure</w:t>
        </w:r>
      </w:hyperlink>
    </w:p>
    <w:p>
      <w:pPr>
        <w:ind w:left="187" w:hanging="187"/>
      </w:pPr>
      <w:r>
        <w:t xml:space="preserve">• </w:t>
      </w:r>
      <w:r>
        <w:rPr>
          <w:b w:val="0"/>
          <w:i/>
        </w:rPr>
        <w:t>vultus</w:t>
      </w:r>
      <w:r>
        <w:rPr>
          <w:b w:val="0"/>
          <w:i w:val="0"/>
        </w:rPr>
        <w:t xml:space="preserve"> — </w:t>
      </w:r>
      <w:hyperlink w:anchor="image-and-likeness">
        <w:r>
          <w:rPr>
            <w:color w:val="000000"/>
          </w:rPr>
          <w:t xml:space="preserve">Image and likeness</w:t>
        </w:r>
      </w:hyperlink>
    </w:p>
    <w:p>
      <w:pPr>
        <w:ind w:left="187" w:hanging="187"/>
      </w:pPr>
      <w:r>
        <w:t xml:space="preserve">• </w:t>
      </w:r>
      <w:r>
        <w:rPr>
          <w:b w:val="0"/>
          <w:i/>
        </w:rPr>
        <w:t>Zodiacus</w:t>
      </w:r>
      <w:r>
        <w:rPr>
          <w:b w:val="0"/>
          <w:i w:val="0"/>
        </w:rPr>
        <w:t xml:space="preserve"> — </w:t>
      </w:r>
      <w:hyperlink w:anchor="zodiac">
        <w:r>
          <w:rPr>
            <w:color w:val="000000"/>
          </w:rPr>
          <w:t xml:space="preserve">Zodiac</w:t>
        </w:r>
      </w:hyperlink>
    </w:p>
    <w:p>
      <w:pPr>
        <w:ind w:left="187" w:hanging="187"/>
      </w:pPr>
      <w:r>
        <w:t xml:space="preserve">• </w:t>
      </w:r>
      <w:r>
        <w:rPr>
          <w:b w:val="0"/>
          <w:i/>
        </w:rPr>
        <w:t>Zoroaster</w:t>
      </w:r>
      <w:r>
        <w:rPr>
          <w:b w:val="0"/>
          <w:i w:val="0"/>
        </w:rPr>
        <w:t xml:space="preserve"> — </w:t>
      </w:r>
      <w:hyperlink w:anchor="hermetic-theologians-and-the-magi">
        <w:r>
          <w:rPr>
            <w:color w:val="000000"/>
          </w:rPr>
          <w:t xml:space="preserve">Hermetic theologians and the Magi</w:t>
        </w:r>
      </w:hyperlink>
    </w:p>
    <w:p>
      <w:bookmarkStart w:id="2128" w:name="mythological-and-cosmic-names"/>
      <w:pPr>
        <w:pStyle w:val="Heading1"/>
      </w:pPr>
      <w:r>
        <w:rPr>
          <w:b w:val="0"/>
          <w:i w:val="0"/>
        </w:rPr>
        <w:t>Mythological and cosmic names</w:t>
      </w:r>
      <w:bookmarkEnd w:id="2128"/>
    </w:p>
    <w:p>
      <w:pPr>
        <w:widowControl/>
      </w:pPr>
      <w:r>
        <w:rPr>
          <w:b w:val="0"/>
          <w:i w:val="0"/>
        </w:rPr>
        <w:t>This lookup index records the complete zodiacal assignments in IV.1.43 and the complete Orphic power pairs in IV.1.94, with related names from the surrounding discussion. The first belongs to the explicitly Pythagorean excursion of IV.1.40–52. The second distinguishes knowing from life giving and governing powers. The sphere soul discussion remains subject to the reservation at IV.1.96. Names and roles are those supplied in Ficino’s exposition; the same name can have more than one role.</w:t>
      </w:r>
    </w:p>
    <w:p>
      <w:pPr>
        <w:ind w:left="187" w:hanging="187"/>
      </w:pPr>
      <w:r>
        <w:t xml:space="preserve">• </w:t>
      </w:r>
      <w:r>
        <w:rPr>
          <w:b/>
          <w:i w:val="0"/>
        </w:rPr>
        <w:t>Air</w:t>
      </w:r>
      <w:r>
        <w:rPr>
          <w:b w:val="0"/>
          <w:i w:val="0"/>
        </w:rPr>
        <w:t xml:space="preserve"> (</w:t>
      </w:r>
      <w:r>
        <w:rPr>
          <w:b w:val="0"/>
          <w:i/>
        </w:rPr>
        <w:t>aere</w:t>
      </w:r>
      <w:r>
        <w:rPr>
          <w:b w:val="0"/>
          <w:i w:val="0"/>
        </w:rPr>
        <w:t xml:space="preserve">). Context in the Orphic catalogue: knowing power Jupiter; life-giving and governing power Juno. IV.1.94 (source pp. 330–331). See </w:t>
      </w:r>
      <w:hyperlink w:anchor="bacchus-and-the-muses">
        <w:r>
          <w:rPr>
            <w:color w:val="000000"/>
          </w:rPr>
          <w:t xml:space="preserve">Bacchus and the Muses</w:t>
        </w:r>
      </w:hyperlink>
      <w:r>
        <w:rPr>
          <w:b w:val="0"/>
          <w:i w:val="0"/>
        </w:rPr>
        <w:t xml:space="preserve">; </w:t>
      </w:r>
      <w:hyperlink w:anchor="elements-and-their-spheres">
        <w:r>
          <w:rPr>
            <w:color w:val="000000"/>
          </w:rPr>
          <w:t xml:space="preserve">Elements and their spheres</w:t>
        </w:r>
      </w:hyperlink>
      <w:r>
        <w:rPr>
          <w:b w:val="0"/>
          <w:i w:val="0"/>
        </w:rPr>
        <w:t>.</w:t>
      </w:r>
    </w:p>
    <w:p>
      <w:pPr>
        <w:ind w:left="187" w:hanging="187"/>
      </w:pPr>
      <w:r>
        <w:t xml:space="preserve">• </w:t>
      </w:r>
      <w:r>
        <w:rPr>
          <w:b/>
          <w:i w:val="0"/>
        </w:rPr>
        <w:t>Amphietus</w:t>
      </w:r>
      <w:r>
        <w:rPr>
          <w:b w:val="0"/>
          <w:i w:val="0"/>
        </w:rPr>
        <w:t xml:space="preserve"> (</w:t>
      </w:r>
      <w:r>
        <w:rPr>
          <w:b w:val="0"/>
          <w:i/>
        </w:rPr>
        <w:t>Amphietum</w:t>
      </w:r>
      <w:r>
        <w:rPr>
          <w:b w:val="0"/>
          <w:i w:val="0"/>
        </w:rPr>
        <w:t xml:space="preserve">). Name of the knowing power of the soul of Saturn, paired with Polyhymnia, in Ficino’s reported Orphic catalogue.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Apollo</w:t>
      </w:r>
      <w:r>
        <w:rPr>
          <w:b w:val="0"/>
          <w:i w:val="0"/>
        </w:rPr>
        <w:t xml:space="preserve"> (</w:t>
      </w:r>
      <w:r>
        <w:rPr>
          <w:b w:val="0"/>
          <w:i/>
        </w:rPr>
        <w:t>Apollinem</w:t>
      </w:r>
      <w:r>
        <w:rPr>
          <w:b w:val="0"/>
          <w:i w:val="0"/>
        </w:rPr>
        <w:t xml:space="preserve">, </w:t>
      </w:r>
      <w:r>
        <w:rPr>
          <w:b w:val="0"/>
          <w:i/>
        </w:rPr>
        <w:t>universalem Apollinem</w:t>
      </w:r>
      <w:r>
        <w:rPr>
          <w:b w:val="0"/>
          <w:i w:val="0"/>
        </w:rPr>
        <w:t xml:space="preserve">). In the Pythagorean ascent, the universal Apollo names the unqualified One; in the later image, the nine Muses and Bacchuses revel around Apollo as the splendor of the invisible sun. This universal role differs from the particular Phoebus in Gemini. IV.1.51–IV.1.52; IV.1.95 (source pp. 306–309, 332–333). See </w:t>
      </w:r>
      <w:hyperlink w:anchor="apollo">
        <w:r>
          <w:rPr>
            <w:color w:val="000000"/>
          </w:rPr>
          <w:t xml:space="preserve">Apollo</w:t>
        </w:r>
      </w:hyperlink>
      <w:r>
        <w:rPr>
          <w:b w:val="0"/>
          <w:i w:val="0"/>
        </w:rPr>
        <w:t xml:space="preserve">; </w:t>
      </w:r>
      <w:hyperlink w:anchor="bacchus-and-the-muses">
        <w:r>
          <w:rPr>
            <w:color w:val="000000"/>
          </w:rPr>
          <w:t xml:space="preserve">Bacchus and the Muses</w:t>
        </w:r>
      </w:hyperlink>
      <w:r>
        <w:rPr>
          <w:b w:val="0"/>
          <w:i w:val="0"/>
        </w:rPr>
        <w:t xml:space="preserve">; </w:t>
      </w:r>
      <w:hyperlink w:anchor="zodiac">
        <w:r>
          <w:rPr>
            <w:color w:val="000000"/>
          </w:rPr>
          <w:t xml:space="preserve">Zodiac</w:t>
        </w:r>
      </w:hyperlink>
      <w:r>
        <w:rPr>
          <w:b w:val="0"/>
          <w:i w:val="0"/>
        </w:rPr>
        <w:t>.</w:t>
      </w:r>
    </w:p>
    <w:p>
      <w:pPr>
        <w:ind w:left="187" w:hanging="187"/>
      </w:pPr>
      <w:r>
        <w:t xml:space="preserve">• </w:t>
      </w:r>
      <w:r>
        <w:rPr>
          <w:b/>
          <w:i w:val="0"/>
        </w:rPr>
        <w:t>Aquarius</w:t>
      </w:r>
      <w:r>
        <w:rPr>
          <w:b w:val="0"/>
          <w:i w:val="0"/>
        </w:rPr>
        <w:t xml:space="preserve"> (</w:t>
      </w:r>
      <w:r>
        <w:rPr>
          <w:b w:val="0"/>
          <w:i/>
        </w:rPr>
        <w:t>Aquarii</w:t>
      </w:r>
      <w:r>
        <w:rPr>
          <w:b w:val="0"/>
          <w:i w:val="0"/>
        </w:rPr>
        <w:t xml:space="preserve">). Zodiacal stellar creature whose principal divine soul is Juno; the principal star is described as its heart. IV.1.43 (source pp. 304–305). See </w:t>
      </w:r>
      <w:hyperlink w:anchor="zodiac">
        <w:r>
          <w:rPr>
            <w:color w:val="000000"/>
          </w:rPr>
          <w:t xml:space="preserve">Zodiac</w:t>
        </w:r>
      </w:hyperlink>
      <w:r>
        <w:rPr>
          <w:b w:val="0"/>
          <w:i w:val="0"/>
        </w:rPr>
        <w:t xml:space="preserve">; </w:t>
      </w:r>
      <w:hyperlink w:anchor="twelve">
        <w:r>
          <w:rPr>
            <w:color w:val="000000"/>
          </w:rPr>
          <w:t xml:space="preserve">Twelve</w:t>
        </w:r>
      </w:hyperlink>
      <w:r>
        <w:rPr>
          <w:b w:val="0"/>
          <w:i w:val="0"/>
        </w:rPr>
        <w:t>.</w:t>
      </w:r>
    </w:p>
    <w:p>
      <w:pPr>
        <w:ind w:left="187" w:hanging="187"/>
      </w:pPr>
      <w:r>
        <w:t xml:space="preserve">• </w:t>
      </w:r>
      <w:r>
        <w:rPr>
          <w:b/>
          <w:i w:val="0"/>
        </w:rPr>
        <w:t>Aries</w:t>
      </w:r>
      <w:r>
        <w:rPr>
          <w:b w:val="0"/>
          <w:i w:val="0"/>
        </w:rPr>
        <w:t xml:space="preserve"> (</w:t>
      </w:r>
      <w:r>
        <w:rPr>
          <w:b w:val="0"/>
          <w:i/>
        </w:rPr>
        <w:t>Arietis</w:t>
      </w:r>
      <w:r>
        <w:rPr>
          <w:b w:val="0"/>
          <w:i w:val="0"/>
        </w:rPr>
        <w:t xml:space="preserve">). Zodiacal stellar creature whose principal divine soul is Pallas; the principal star is described as its heart. IV.1.43 (source pp. 304–305). See </w:t>
      </w:r>
      <w:hyperlink w:anchor="zodiac">
        <w:r>
          <w:rPr>
            <w:color w:val="000000"/>
          </w:rPr>
          <w:t xml:space="preserve">Zodiac</w:t>
        </w:r>
      </w:hyperlink>
      <w:r>
        <w:rPr>
          <w:b w:val="0"/>
          <w:i w:val="0"/>
        </w:rPr>
        <w:t xml:space="preserve">; </w:t>
      </w:r>
      <w:hyperlink w:anchor="twelve">
        <w:r>
          <w:rPr>
            <w:color w:val="000000"/>
          </w:rPr>
          <w:t xml:space="preserve">Twelve</w:t>
        </w:r>
      </w:hyperlink>
      <w:r>
        <w:rPr>
          <w:b w:val="0"/>
          <w:i w:val="0"/>
        </w:rPr>
        <w:t>.</w:t>
      </w:r>
    </w:p>
    <w:p>
      <w:pPr>
        <w:ind w:left="187" w:hanging="187"/>
      </w:pPr>
      <w:r>
        <w:t xml:space="preserve">• </w:t>
      </w:r>
      <w:r>
        <w:rPr>
          <w:b/>
          <w:i w:val="0"/>
        </w:rPr>
        <w:t>Aurora</w:t>
      </w:r>
      <w:r>
        <w:rPr>
          <w:b w:val="0"/>
          <w:i w:val="0"/>
        </w:rPr>
        <w:t xml:space="preserve"> (</w:t>
      </w:r>
      <w:r>
        <w:rPr>
          <w:b w:val="0"/>
          <w:i/>
        </w:rPr>
        <w:t>Auroram</w:t>
      </w:r>
      <w:r>
        <w:rPr>
          <w:b w:val="0"/>
          <w:i w:val="0"/>
        </w:rPr>
        <w:t xml:space="preserve">). Name of the power giving life to and governing the body of fire, paired with the knowing power named Phanetas.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Bacchus</w:t>
      </w:r>
      <w:r>
        <w:rPr>
          <w:b w:val="0"/>
          <w:i w:val="0"/>
        </w:rPr>
        <w:t xml:space="preserve"> (</w:t>
      </w:r>
      <w:r>
        <w:rPr>
          <w:b w:val="0"/>
          <w:i/>
        </w:rPr>
        <w:t>Bacchum</w:t>
      </w:r>
      <w:r>
        <w:rPr>
          <w:b w:val="0"/>
          <w:i w:val="0"/>
        </w:rPr>
        <w:t xml:space="preserve">, </w:t>
      </w:r>
      <w:r>
        <w:rPr>
          <w:b w:val="0"/>
          <w:i/>
        </w:rPr>
        <w:t>Bacchis</w:t>
      </w:r>
      <w:r>
        <w:rPr>
          <w:b w:val="0"/>
          <w:i w:val="0"/>
        </w:rPr>
        <w:t xml:space="preserve">). Collective naming principle for the knowing powers paired with the nine Muses, with one Bacchus presiding over each Muse; the nine pairs comprise eight celestial spheres plus world soul. IV.1.94–IV.1.95 (source pp. 330–333).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Bacchus Eribromus</w:t>
      </w:r>
      <w:r>
        <w:rPr>
          <w:b w:val="0"/>
          <w:i w:val="0"/>
        </w:rPr>
        <w:t xml:space="preserve"> (</w:t>
      </w:r>
      <w:r>
        <w:rPr>
          <w:b w:val="0"/>
          <w:i/>
        </w:rPr>
        <w:t>Bacchum Eribromum</w:t>
      </w:r>
      <w:r>
        <w:rPr>
          <w:b w:val="0"/>
          <w:i w:val="0"/>
        </w:rPr>
        <w:t xml:space="preserve">, </w:t>
      </w:r>
      <w:r>
        <w:rPr>
          <w:b w:val="0"/>
          <w:i/>
        </w:rPr>
        <w:t>Eribromus</w:t>
      </w:r>
      <w:r>
        <w:rPr>
          <w:b w:val="0"/>
          <w:i w:val="0"/>
        </w:rPr>
        <w:t xml:space="preserve">). Name of the knowing power of the world-soul, paired with Calliope, in Ficino’s reported Orphic catalogue.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Bacchus Licnitus</w:t>
      </w:r>
      <w:r>
        <w:rPr>
          <w:b w:val="0"/>
          <w:i w:val="0"/>
        </w:rPr>
        <w:t xml:space="preserve"> (</w:t>
      </w:r>
      <w:r>
        <w:rPr>
          <w:b w:val="0"/>
          <w:i/>
        </w:rPr>
        <w:t>Bacchum Licnitum</w:t>
      </w:r>
      <w:r>
        <w:rPr>
          <w:b w:val="0"/>
          <w:i w:val="0"/>
        </w:rPr>
        <w:t xml:space="preserve">, </w:t>
      </w:r>
      <w:r>
        <w:rPr>
          <w:b w:val="0"/>
          <w:i/>
        </w:rPr>
        <w:t>Licnitus</w:t>
      </w:r>
      <w:r>
        <w:rPr>
          <w:b w:val="0"/>
          <w:i w:val="0"/>
        </w:rPr>
        <w:t xml:space="preserve">). Name of the knowing power of the soul of Moon, paired with Thalia, in Ficino’s reported Orphic catalogue.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Bacchus Silenus</w:t>
      </w:r>
      <w:r>
        <w:rPr>
          <w:b w:val="0"/>
          <w:i w:val="0"/>
        </w:rPr>
        <w:t xml:space="preserve"> (</w:t>
      </w:r>
      <w:r>
        <w:rPr>
          <w:b w:val="0"/>
          <w:i/>
        </w:rPr>
        <w:t>Bacchum Silenum</w:t>
      </w:r>
      <w:r>
        <w:rPr>
          <w:b w:val="0"/>
          <w:i w:val="0"/>
        </w:rPr>
        <w:t xml:space="preserve">, </w:t>
      </w:r>
      <w:r>
        <w:rPr>
          <w:b w:val="0"/>
          <w:i/>
        </w:rPr>
        <w:t>Silenus</w:t>
      </w:r>
      <w:r>
        <w:rPr>
          <w:b w:val="0"/>
          <w:i w:val="0"/>
        </w:rPr>
        <w:t xml:space="preserve">). Name of the knowing power of the soul of Mercury, paired with Euterpe, in Ficino’s reported Orphic catalogue.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Bassareus</w:t>
      </w:r>
      <w:r>
        <w:rPr>
          <w:b w:val="0"/>
          <w:i w:val="0"/>
        </w:rPr>
        <w:t xml:space="preserve"> (</w:t>
      </w:r>
      <w:r>
        <w:rPr>
          <w:b w:val="0"/>
          <w:i/>
        </w:rPr>
        <w:t>Bassareum</w:t>
      </w:r>
      <w:r>
        <w:rPr>
          <w:b w:val="0"/>
          <w:i w:val="0"/>
        </w:rPr>
        <w:t xml:space="preserve">). Name of the knowing power of the soul of Mars, paired with Clio, in Ficino’s reported Orphic catalogue.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Calliope</w:t>
      </w:r>
      <w:r>
        <w:rPr>
          <w:b w:val="0"/>
          <w:i w:val="0"/>
        </w:rPr>
        <w:t xml:space="preserve"> (</w:t>
      </w:r>
      <w:r>
        <w:rPr>
          <w:b w:val="0"/>
          <w:i/>
        </w:rPr>
        <w:t>Musam Calliopen</w:t>
      </w:r>
      <w:r>
        <w:rPr>
          <w:b w:val="0"/>
          <w:i w:val="0"/>
        </w:rPr>
        <w:t xml:space="preserve">). Name of the power giving life to and governing the world-soul’s body, paired with the knowing power named Bacchus Eribromus.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Cancer</w:t>
      </w:r>
      <w:r>
        <w:rPr>
          <w:b w:val="0"/>
          <w:i w:val="0"/>
        </w:rPr>
        <w:t xml:space="preserve"> (</w:t>
      </w:r>
      <w:r>
        <w:rPr>
          <w:b w:val="0"/>
          <w:i/>
        </w:rPr>
        <w:t>Cancri</w:t>
      </w:r>
      <w:r>
        <w:rPr>
          <w:b w:val="0"/>
          <w:i w:val="0"/>
        </w:rPr>
        <w:t xml:space="preserve">). Zodiacal stellar creature whose principal divine soul is Mercury; the principal star is described as its heart. IV.1.43 (source pp. 304–305). See </w:t>
      </w:r>
      <w:hyperlink w:anchor="zodiac">
        <w:r>
          <w:rPr>
            <w:color w:val="000000"/>
          </w:rPr>
          <w:t xml:space="preserve">Zodiac</w:t>
        </w:r>
      </w:hyperlink>
      <w:r>
        <w:rPr>
          <w:b w:val="0"/>
          <w:i w:val="0"/>
        </w:rPr>
        <w:t xml:space="preserve">; </w:t>
      </w:r>
      <w:hyperlink w:anchor="twelve">
        <w:r>
          <w:rPr>
            <w:color w:val="000000"/>
          </w:rPr>
          <w:t xml:space="preserve">Twelve</w:t>
        </w:r>
      </w:hyperlink>
      <w:r>
        <w:rPr>
          <w:b w:val="0"/>
          <w:i w:val="0"/>
        </w:rPr>
        <w:t>.</w:t>
      </w:r>
    </w:p>
    <w:p>
      <w:pPr>
        <w:ind w:left="187" w:hanging="187"/>
      </w:pPr>
      <w:r>
        <w:t xml:space="preserve">• </w:t>
      </w:r>
      <w:r>
        <w:rPr>
          <w:b/>
          <w:i w:val="0"/>
        </w:rPr>
        <w:t>Capricorn</w:t>
      </w:r>
      <w:r>
        <w:rPr>
          <w:b w:val="0"/>
          <w:i w:val="0"/>
        </w:rPr>
        <w:t xml:space="preserve"> (</w:t>
      </w:r>
      <w:r>
        <w:rPr>
          <w:b w:val="0"/>
          <w:i/>
        </w:rPr>
        <w:t>Capricorni</w:t>
      </w:r>
      <w:r>
        <w:rPr>
          <w:b w:val="0"/>
          <w:i w:val="0"/>
        </w:rPr>
        <w:t xml:space="preserve">). Zodiacal stellar creature whose principal divine soul is Vesta; the principal star is described as its heart. IV.1.43 (source pp. 304–305). See </w:t>
      </w:r>
      <w:hyperlink w:anchor="zodiac">
        <w:r>
          <w:rPr>
            <w:color w:val="000000"/>
          </w:rPr>
          <w:t xml:space="preserve">Zodiac</w:t>
        </w:r>
      </w:hyperlink>
      <w:r>
        <w:rPr>
          <w:b w:val="0"/>
          <w:i w:val="0"/>
        </w:rPr>
        <w:t xml:space="preserve">; </w:t>
      </w:r>
      <w:hyperlink w:anchor="twelve">
        <w:r>
          <w:rPr>
            <w:color w:val="000000"/>
          </w:rPr>
          <w:t xml:space="preserve">Twelve</w:t>
        </w:r>
      </w:hyperlink>
      <w:r>
        <w:rPr>
          <w:b w:val="0"/>
          <w:i w:val="0"/>
        </w:rPr>
        <w:t>.</w:t>
      </w:r>
    </w:p>
    <w:p>
      <w:pPr>
        <w:ind w:left="187" w:hanging="187"/>
      </w:pPr>
      <w:r>
        <w:t xml:space="preserve">• </w:t>
      </w:r>
      <w:r>
        <w:rPr>
          <w:b/>
          <w:i w:val="0"/>
        </w:rPr>
        <w:t>Ceres</w:t>
      </w:r>
      <w:r>
        <w:rPr>
          <w:b w:val="0"/>
          <w:i w:val="0"/>
        </w:rPr>
        <w:t xml:space="preserve"> (</w:t>
      </w:r>
      <w:r>
        <w:rPr>
          <w:b w:val="0"/>
          <w:i/>
        </w:rPr>
        <w:t>Ceres</w:t>
      </w:r>
      <w:r>
        <w:rPr>
          <w:b w:val="0"/>
          <w:i w:val="0"/>
        </w:rPr>
        <w:t xml:space="preserve">). Divine soul assigned to the heart of Virgo in Ficino’s reported Pythagorean catalogue. IV.1.43 (source pp. 304–305). See </w:t>
      </w:r>
      <w:hyperlink w:anchor="zodiac">
        <w:r>
          <w:rPr>
            <w:color w:val="000000"/>
          </w:rPr>
          <w:t xml:space="preserve">Zodiac</w:t>
        </w:r>
      </w:hyperlink>
      <w:r>
        <w:rPr>
          <w:b w:val="0"/>
          <w:i w:val="0"/>
        </w:rPr>
        <w:t>.</w:t>
      </w:r>
    </w:p>
    <w:p>
      <w:pPr>
        <w:ind w:left="187" w:hanging="187"/>
      </w:pPr>
      <w:r>
        <w:t xml:space="preserve">• </w:t>
      </w:r>
      <w:r>
        <w:rPr>
          <w:b/>
          <w:i w:val="0"/>
        </w:rPr>
        <w:t>Clio</w:t>
      </w:r>
      <w:r>
        <w:rPr>
          <w:b w:val="0"/>
          <w:i w:val="0"/>
        </w:rPr>
        <w:t xml:space="preserve"> (</w:t>
      </w:r>
      <w:r>
        <w:rPr>
          <w:b w:val="0"/>
          <w:i/>
        </w:rPr>
        <w:t>Clio</w:t>
      </w:r>
      <w:r>
        <w:rPr>
          <w:b w:val="0"/>
          <w:i w:val="0"/>
        </w:rPr>
        <w:t xml:space="preserve">). Name of the power giving life to and governing the body of Mars, paired with the knowing power named Bassareus.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Diana</w:t>
      </w:r>
      <w:r>
        <w:rPr>
          <w:b w:val="0"/>
          <w:i w:val="0"/>
        </w:rPr>
        <w:t xml:space="preserve"> (</w:t>
      </w:r>
      <w:r>
        <w:rPr>
          <w:b w:val="0"/>
          <w:i/>
        </w:rPr>
        <w:t>Diana</w:t>
      </w:r>
      <w:r>
        <w:rPr>
          <w:b w:val="0"/>
          <w:i w:val="0"/>
        </w:rPr>
        <w:t xml:space="preserve">). Divine soul assigned to the heart of Sagittarius in Ficino’s reported Pythagorean catalogue. IV.1.43 (source pp. 304–305). See </w:t>
      </w:r>
      <w:hyperlink w:anchor="zodiac">
        <w:r>
          <w:rPr>
            <w:color w:val="000000"/>
          </w:rPr>
          <w:t xml:space="preserve">Zodiac</w:t>
        </w:r>
      </w:hyperlink>
      <w:r>
        <w:rPr>
          <w:b w:val="0"/>
          <w:i w:val="0"/>
        </w:rPr>
        <w:t>.</w:t>
      </w:r>
    </w:p>
    <w:p>
      <w:pPr>
        <w:ind w:left="187" w:hanging="187"/>
      </w:pPr>
      <w:r>
        <w:t xml:space="preserve">• </w:t>
      </w:r>
      <w:r>
        <w:rPr>
          <w:b/>
          <w:i w:val="0"/>
        </w:rPr>
        <w:t>Earth</w:t>
      </w:r>
      <w:r>
        <w:rPr>
          <w:b w:val="0"/>
          <w:i w:val="0"/>
        </w:rPr>
        <w:t xml:space="preserve"> (</w:t>
      </w:r>
      <w:r>
        <w:rPr>
          <w:b w:val="0"/>
          <w:i/>
        </w:rPr>
        <w:t>elemento terrae</w:t>
      </w:r>
      <w:r>
        <w:rPr>
          <w:b w:val="0"/>
          <w:i w:val="0"/>
        </w:rPr>
        <w:t xml:space="preserve">). Context in the Orphic catalogue: knowing power Pluto; life-giving and governing power Proserpina. IV.1.94 (source pp. 330–331). See </w:t>
      </w:r>
      <w:hyperlink w:anchor="bacchus-and-the-muses">
        <w:r>
          <w:rPr>
            <w:color w:val="000000"/>
          </w:rPr>
          <w:t xml:space="preserve">Bacchus and the Muses</w:t>
        </w:r>
      </w:hyperlink>
      <w:r>
        <w:rPr>
          <w:b w:val="0"/>
          <w:i w:val="0"/>
        </w:rPr>
        <w:t xml:space="preserve">; </w:t>
      </w:r>
      <w:hyperlink w:anchor="earth-soul">
        <w:r>
          <w:rPr>
            <w:color w:val="000000"/>
          </w:rPr>
          <w:t xml:space="preserve">Earth soul</w:t>
        </w:r>
      </w:hyperlink>
      <w:r>
        <w:rPr>
          <w:b w:val="0"/>
          <w:i w:val="0"/>
        </w:rPr>
        <w:t xml:space="preserve">; </w:t>
      </w:r>
      <w:hyperlink w:anchor="elements-and-their-spheres">
        <w:r>
          <w:rPr>
            <w:color w:val="000000"/>
          </w:rPr>
          <w:t xml:space="preserve">Elements and their spheres</w:t>
        </w:r>
      </w:hyperlink>
      <w:r>
        <w:rPr>
          <w:b w:val="0"/>
          <w:i w:val="0"/>
        </w:rPr>
        <w:t>.</w:t>
      </w:r>
    </w:p>
    <w:p>
      <w:pPr>
        <w:ind w:left="187" w:hanging="187"/>
      </w:pPr>
      <w:r>
        <w:t xml:space="preserve">• </w:t>
      </w:r>
      <w:r>
        <w:rPr>
          <w:b/>
          <w:i w:val="0"/>
        </w:rPr>
        <w:t>Eighth sphere</w:t>
      </w:r>
      <w:r>
        <w:rPr>
          <w:b w:val="0"/>
          <w:i w:val="0"/>
        </w:rPr>
        <w:t xml:space="preserve"> (</w:t>
      </w:r>
      <w:r>
        <w:rPr>
          <w:b w:val="0"/>
          <w:i/>
        </w:rPr>
        <w:t>Octavae sphaerae</w:t>
      </w:r>
      <w:r>
        <w:rPr>
          <w:b w:val="0"/>
          <w:i w:val="0"/>
        </w:rPr>
        <w:t xml:space="preserve">). Context in the Orphic catalogue: knowing power Pericionius; life-giving and governing power Urania. IV.1.94 (source pp. 330–331). See </w:t>
      </w:r>
      <w:hyperlink w:anchor="bacchus-and-the-muses">
        <w:r>
          <w:rPr>
            <w:color w:val="000000"/>
          </w:rPr>
          <w:t xml:space="preserve">Bacchus and the Muses</w:t>
        </w:r>
      </w:hyperlink>
      <w:r>
        <w:rPr>
          <w:b w:val="0"/>
          <w:i w:val="0"/>
        </w:rPr>
        <w:t xml:space="preserve">; </w:t>
      </w:r>
      <w:hyperlink w:anchor="spheres-and-stars">
        <w:r>
          <w:rPr>
            <w:color w:val="000000"/>
          </w:rPr>
          <w:t xml:space="preserve">Spheres and stars</w:t>
        </w:r>
      </w:hyperlink>
      <w:r>
        <w:rPr>
          <w:b w:val="0"/>
          <w:i w:val="0"/>
        </w:rPr>
        <w:t>.</w:t>
      </w:r>
    </w:p>
    <w:p>
      <w:pPr>
        <w:ind w:left="187" w:hanging="187"/>
      </w:pPr>
      <w:r>
        <w:t xml:space="preserve">• </w:t>
      </w:r>
      <w:r>
        <w:rPr>
          <w:b/>
          <w:i w:val="0"/>
        </w:rPr>
        <w:t>Erato</w:t>
      </w:r>
      <w:r>
        <w:rPr>
          <w:b w:val="0"/>
          <w:i w:val="0"/>
        </w:rPr>
        <w:t xml:space="preserve"> (</w:t>
      </w:r>
      <w:r>
        <w:rPr>
          <w:b w:val="0"/>
          <w:i/>
        </w:rPr>
        <w:t>Erato</w:t>
      </w:r>
      <w:r>
        <w:rPr>
          <w:b w:val="0"/>
          <w:i w:val="0"/>
        </w:rPr>
        <w:t xml:space="preserve">). Name of the power giving life to and governing the body of Venus, paired with the knowing power named Lysius.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Euterpe</w:t>
      </w:r>
      <w:r>
        <w:rPr>
          <w:b w:val="0"/>
          <w:i w:val="0"/>
        </w:rPr>
        <w:t xml:space="preserve"> (</w:t>
      </w:r>
      <w:r>
        <w:rPr>
          <w:b w:val="0"/>
          <w:i/>
        </w:rPr>
        <w:t>Euterpen</w:t>
      </w:r>
      <w:r>
        <w:rPr>
          <w:b w:val="0"/>
          <w:i w:val="0"/>
        </w:rPr>
        <w:t xml:space="preserve">). Name of the power giving life to and governing the body of Mercury, paired with the knowing power named Bacchus Silenus.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Fire</w:t>
      </w:r>
      <w:r>
        <w:rPr>
          <w:b w:val="0"/>
          <w:i w:val="0"/>
        </w:rPr>
        <w:t xml:space="preserve"> (</w:t>
      </w:r>
      <w:r>
        <w:rPr>
          <w:b w:val="0"/>
          <w:i/>
        </w:rPr>
        <w:t>igne</w:t>
      </w:r>
      <w:r>
        <w:rPr>
          <w:b w:val="0"/>
          <w:i w:val="0"/>
        </w:rPr>
        <w:t xml:space="preserve">). Context in the Orphic catalogue: knowing power Phanetas; life-giving and governing power Aurora. IV.1.94 (source pp. 330–331). See </w:t>
      </w:r>
      <w:hyperlink w:anchor="bacchus-and-the-muses">
        <w:r>
          <w:rPr>
            <w:color w:val="000000"/>
          </w:rPr>
          <w:t xml:space="preserve">Bacchus and the Muses</w:t>
        </w:r>
      </w:hyperlink>
      <w:r>
        <w:rPr>
          <w:b w:val="0"/>
          <w:i w:val="0"/>
        </w:rPr>
        <w:t xml:space="preserve">; </w:t>
      </w:r>
      <w:hyperlink w:anchor="elements-and-their-spheres">
        <w:r>
          <w:rPr>
            <w:color w:val="000000"/>
          </w:rPr>
          <w:t xml:space="preserve">Elements and their spheres</w:t>
        </w:r>
      </w:hyperlink>
      <w:r>
        <w:rPr>
          <w:b w:val="0"/>
          <w:i w:val="0"/>
        </w:rPr>
        <w:t>.</w:t>
      </w:r>
    </w:p>
    <w:p>
      <w:pPr>
        <w:ind w:left="187" w:hanging="187"/>
      </w:pPr>
      <w:r>
        <w:t xml:space="preserve">• </w:t>
      </w:r>
      <w:r>
        <w:rPr>
          <w:b/>
          <w:i w:val="0"/>
        </w:rPr>
        <w:t>Gemini</w:t>
      </w:r>
      <w:r>
        <w:rPr>
          <w:b w:val="0"/>
          <w:i w:val="0"/>
        </w:rPr>
        <w:t xml:space="preserve"> (</w:t>
      </w:r>
      <w:r>
        <w:rPr>
          <w:b w:val="0"/>
          <w:i/>
        </w:rPr>
        <w:t>Geminorum</w:t>
      </w:r>
      <w:r>
        <w:rPr>
          <w:b w:val="0"/>
          <w:i w:val="0"/>
        </w:rPr>
        <w:t xml:space="preserve">). Zodiacal stellar creature whose principal divine soul is a particular Phoebus; the principal star is described as its heart. IV.1.43 (source pp. 304–305). See </w:t>
      </w:r>
      <w:hyperlink w:anchor="zodiac">
        <w:r>
          <w:rPr>
            <w:color w:val="000000"/>
          </w:rPr>
          <w:t xml:space="preserve">Zodiac</w:t>
        </w:r>
      </w:hyperlink>
      <w:r>
        <w:rPr>
          <w:b w:val="0"/>
          <w:i w:val="0"/>
        </w:rPr>
        <w:t xml:space="preserve">; </w:t>
      </w:r>
      <w:hyperlink w:anchor="twelve">
        <w:r>
          <w:rPr>
            <w:color w:val="000000"/>
          </w:rPr>
          <w:t xml:space="preserve">Twelve</w:t>
        </w:r>
      </w:hyperlink>
      <w:r>
        <w:rPr>
          <w:b w:val="0"/>
          <w:i w:val="0"/>
        </w:rPr>
        <w:t>.</w:t>
      </w:r>
    </w:p>
    <w:p>
      <w:pPr>
        <w:ind w:left="187" w:hanging="187"/>
      </w:pPr>
      <w:r>
        <w:t xml:space="preserve">• </w:t>
      </w:r>
      <w:r>
        <w:rPr>
          <w:b/>
          <w:i w:val="0"/>
        </w:rPr>
        <w:t>Juno</w:t>
      </w:r>
      <w:r>
        <w:rPr>
          <w:b w:val="0"/>
          <w:i w:val="0"/>
        </w:rPr>
        <w:t xml:space="preserve"> (</w:t>
      </w:r>
      <w:r>
        <w:rPr>
          <w:b w:val="0"/>
          <w:i/>
        </w:rPr>
        <w:t>Iuno</w:t>
      </w:r>
      <w:r>
        <w:rPr>
          <w:b w:val="0"/>
          <w:i w:val="0"/>
        </w:rPr>
        <w:t xml:space="preserve">, </w:t>
      </w:r>
      <w:r>
        <w:rPr>
          <w:b w:val="0"/>
          <w:i/>
        </w:rPr>
        <w:t>Iunonem</w:t>
      </w:r>
      <w:r>
        <w:rPr>
          <w:b w:val="0"/>
          <w:i w:val="0"/>
        </w:rPr>
        <w:t xml:space="preserve">). Divine soul assigned to the heart of Aquarius in Ficino’s reported Pythagorean catalogue. IV.1.43 (source pp. 304–305). Name of the power giving life to and governing the body of air, paired with the knowing power named Jupiter. IV.1.94 (source pp. 330–331). See </w:t>
      </w:r>
      <w:hyperlink w:anchor="zodiac">
        <w:r>
          <w:rPr>
            <w:color w:val="000000"/>
          </w:rPr>
          <w:t xml:space="preserve">Zodiac</w:t>
        </w:r>
      </w:hyperlink>
      <w:r>
        <w:rPr>
          <w:b w:val="0"/>
          <w:i w:val="0"/>
        </w:rPr>
        <w:t xml:space="preserv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Jupiter</w:t>
      </w:r>
      <w:r>
        <w:rPr>
          <w:b w:val="0"/>
          <w:i w:val="0"/>
        </w:rPr>
        <w:t xml:space="preserve"> (</w:t>
      </w:r>
      <w:r>
        <w:rPr>
          <w:b w:val="0"/>
          <w:i/>
        </w:rPr>
        <w:t>Iupiter particularis</w:t>
      </w:r>
      <w:r>
        <w:rPr>
          <w:b w:val="0"/>
          <w:i w:val="0"/>
        </w:rPr>
        <w:t xml:space="preserve">, </w:t>
      </w:r>
      <w:r>
        <w:rPr>
          <w:b w:val="0"/>
          <w:i/>
        </w:rPr>
        <w:t>fulminatorem Iovem</w:t>
      </w:r>
      <w:r>
        <w:rPr>
          <w:b w:val="0"/>
          <w:i w:val="0"/>
        </w:rPr>
        <w:t xml:space="preserve">, </w:t>
      </w:r>
      <w:r>
        <w:rPr>
          <w:b w:val="0"/>
          <w:i/>
        </w:rPr>
        <w:t>Jupiter the Thunderer</w:t>
      </w:r>
      <w:r>
        <w:rPr>
          <w:b w:val="0"/>
          <w:i w:val="0"/>
        </w:rPr>
        <w:t xml:space="preserve">, </w:t>
      </w:r>
      <w:r>
        <w:rPr>
          <w:b w:val="0"/>
          <w:i/>
        </w:rPr>
        <w:t>Iovis</w:t>
      </w:r>
      <w:r>
        <w:rPr>
          <w:b w:val="0"/>
          <w:i w:val="0"/>
        </w:rPr>
        <w:t xml:space="preserve">). A particular divine soul assigned to the heart of Leo in Ficino’s reported Pythagorean catalogue. IV.1.43 (source pp. 304–305). Name of the knowing power of the soul of air, paired with Juno, in Ficino’s reported Orphic catalogue. IV.1.94 (source pp. 330–331). Context in the Orphic catalogue: knowing power Sabasius; life-giving and governing power Terpsichore. IV.1.94 (source pp. 330–331). See </w:t>
      </w:r>
      <w:hyperlink w:anchor="zodiac">
        <w:r>
          <w:rPr>
            <w:color w:val="000000"/>
          </w:rPr>
          <w:t xml:space="preserve">Zodiac</w:t>
        </w:r>
      </w:hyperlink>
      <w:r>
        <w:rPr>
          <w:b w:val="0"/>
          <w:i w:val="0"/>
        </w:rPr>
        <w:t xml:space="preserv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spheres-and-stars">
        <w:r>
          <w:rPr>
            <w:color w:val="000000"/>
          </w:rPr>
          <w:t xml:space="preserve">Spheres and stars</w:t>
        </w:r>
      </w:hyperlink>
      <w:r>
        <w:rPr>
          <w:b w:val="0"/>
          <w:i w:val="0"/>
        </w:rPr>
        <w:t>.</w:t>
      </w:r>
    </w:p>
    <w:p>
      <w:pPr>
        <w:ind w:left="187" w:hanging="187"/>
      </w:pPr>
      <w:r>
        <w:t xml:space="preserve">• </w:t>
      </w:r>
      <w:r>
        <w:rPr>
          <w:b/>
          <w:i w:val="0"/>
        </w:rPr>
        <w:t>Leo</w:t>
      </w:r>
      <w:r>
        <w:rPr>
          <w:b w:val="0"/>
          <w:i w:val="0"/>
        </w:rPr>
        <w:t xml:space="preserve"> (</w:t>
      </w:r>
      <w:r>
        <w:rPr>
          <w:b w:val="0"/>
          <w:i/>
        </w:rPr>
        <w:t>Leonis</w:t>
      </w:r>
      <w:r>
        <w:rPr>
          <w:b w:val="0"/>
          <w:i w:val="0"/>
        </w:rPr>
        <w:t xml:space="preserve">). Zodiacal stellar creature whose principal divine soul is a particular Jupiter; the principal star is described as its heart. IV.1.43 (source pp. 304–305). See </w:t>
      </w:r>
      <w:hyperlink w:anchor="zodiac">
        <w:r>
          <w:rPr>
            <w:color w:val="000000"/>
          </w:rPr>
          <w:t xml:space="preserve">Zodiac</w:t>
        </w:r>
      </w:hyperlink>
      <w:r>
        <w:rPr>
          <w:b w:val="0"/>
          <w:i w:val="0"/>
        </w:rPr>
        <w:t xml:space="preserve">; </w:t>
      </w:r>
      <w:hyperlink w:anchor="twelve">
        <w:r>
          <w:rPr>
            <w:color w:val="000000"/>
          </w:rPr>
          <w:t xml:space="preserve">Twelve</w:t>
        </w:r>
      </w:hyperlink>
      <w:r>
        <w:rPr>
          <w:b w:val="0"/>
          <w:i w:val="0"/>
        </w:rPr>
        <w:t>.</w:t>
      </w:r>
    </w:p>
    <w:p>
      <w:pPr>
        <w:ind w:left="187" w:hanging="187"/>
      </w:pPr>
      <w:r>
        <w:t xml:space="preserve">• </w:t>
      </w:r>
      <w:r>
        <w:rPr>
          <w:b/>
          <w:i w:val="0"/>
        </w:rPr>
        <w:t>Libra</w:t>
      </w:r>
      <w:r>
        <w:rPr>
          <w:b w:val="0"/>
          <w:i w:val="0"/>
        </w:rPr>
        <w:t xml:space="preserve"> (</w:t>
      </w:r>
      <w:r>
        <w:rPr>
          <w:b w:val="0"/>
          <w:i/>
        </w:rPr>
        <w:t>Librae</w:t>
      </w:r>
      <w:r>
        <w:rPr>
          <w:b w:val="0"/>
          <w:i w:val="0"/>
        </w:rPr>
        <w:t xml:space="preserve">). Zodiacal stellar creature whose principal divine soul is Vulcan; the principal star is described as its heart. IV.1.43 (source pp. 304–305). See </w:t>
      </w:r>
      <w:hyperlink w:anchor="zodiac">
        <w:r>
          <w:rPr>
            <w:color w:val="000000"/>
          </w:rPr>
          <w:t xml:space="preserve">Zodiac</w:t>
        </w:r>
      </w:hyperlink>
      <w:r>
        <w:rPr>
          <w:b w:val="0"/>
          <w:i w:val="0"/>
        </w:rPr>
        <w:t xml:space="preserve">; </w:t>
      </w:r>
      <w:hyperlink w:anchor="twelve">
        <w:r>
          <w:rPr>
            <w:color w:val="000000"/>
          </w:rPr>
          <w:t xml:space="preserve">Twelve</w:t>
        </w:r>
      </w:hyperlink>
      <w:r>
        <w:rPr>
          <w:b w:val="0"/>
          <w:i w:val="0"/>
        </w:rPr>
        <w:t>.</w:t>
      </w:r>
    </w:p>
    <w:p>
      <w:pPr>
        <w:ind w:left="187" w:hanging="187"/>
      </w:pPr>
      <w:r>
        <w:t xml:space="preserve">• </w:t>
      </w:r>
      <w:r>
        <w:rPr>
          <w:b/>
          <w:i w:val="0"/>
        </w:rPr>
        <w:t>Lysius</w:t>
      </w:r>
      <w:r>
        <w:rPr>
          <w:b w:val="0"/>
          <w:i w:val="0"/>
        </w:rPr>
        <w:t xml:space="preserve"> (</w:t>
      </w:r>
      <w:r>
        <w:rPr>
          <w:b w:val="0"/>
          <w:i/>
        </w:rPr>
        <w:t>Lysium</w:t>
      </w:r>
      <w:r>
        <w:rPr>
          <w:b w:val="0"/>
          <w:i w:val="0"/>
        </w:rPr>
        <w:t xml:space="preserve">). Name of the knowing power of the soul of Venus, paired with Erato, in Ficino’s reported Orphic catalogue.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Mars</w:t>
      </w:r>
      <w:r>
        <w:rPr>
          <w:b w:val="0"/>
          <w:i w:val="0"/>
        </w:rPr>
        <w:t xml:space="preserve"> (</w:t>
      </w:r>
      <w:r>
        <w:rPr>
          <w:b w:val="0"/>
          <w:i/>
        </w:rPr>
        <w:t>Mars</w:t>
      </w:r>
      <w:r>
        <w:rPr>
          <w:b w:val="0"/>
          <w:i w:val="0"/>
        </w:rPr>
        <w:t xml:space="preserve">, </w:t>
      </w:r>
      <w:r>
        <w:rPr>
          <w:b w:val="0"/>
          <w:i/>
        </w:rPr>
        <w:t>Martis</w:t>
      </w:r>
      <w:r>
        <w:rPr>
          <w:b w:val="0"/>
          <w:i w:val="0"/>
        </w:rPr>
        <w:t xml:space="preserve">). Divine soul assigned to the heart of Scorpio in Ficino’s reported Pythagorean catalogue. IV.1.43 (source pp. 304–305). Context in the Orphic catalogue: knowing power Bassareus; life-giving and governing power Clio. IV.1.94 (source pp. 330–331). See </w:t>
      </w:r>
      <w:hyperlink w:anchor="zodiac">
        <w:r>
          <w:rPr>
            <w:color w:val="000000"/>
          </w:rPr>
          <w:t xml:space="preserve">Zodiac</w:t>
        </w:r>
      </w:hyperlink>
      <w:r>
        <w:rPr>
          <w:b w:val="0"/>
          <w:i w:val="0"/>
        </w:rPr>
        <w:t xml:space="preserve">; </w:t>
      </w:r>
      <w:hyperlink w:anchor="bacchus-and-the-muses">
        <w:r>
          <w:rPr>
            <w:color w:val="000000"/>
          </w:rPr>
          <w:t xml:space="preserve">Bacchus and the Muses</w:t>
        </w:r>
      </w:hyperlink>
      <w:r>
        <w:rPr>
          <w:b w:val="0"/>
          <w:i w:val="0"/>
        </w:rPr>
        <w:t xml:space="preserve">; </w:t>
      </w:r>
      <w:hyperlink w:anchor="spheres-and-stars">
        <w:r>
          <w:rPr>
            <w:color w:val="000000"/>
          </w:rPr>
          <w:t xml:space="preserve">Spheres and stars</w:t>
        </w:r>
      </w:hyperlink>
      <w:r>
        <w:rPr>
          <w:b w:val="0"/>
          <w:i w:val="0"/>
        </w:rPr>
        <w:t>.</w:t>
      </w:r>
    </w:p>
    <w:p>
      <w:pPr>
        <w:ind w:left="187" w:hanging="187"/>
      </w:pPr>
      <w:r>
        <w:t xml:space="preserve">• </w:t>
      </w:r>
      <w:r>
        <w:rPr>
          <w:b/>
          <w:i w:val="0"/>
        </w:rPr>
        <w:t>Melpomene</w:t>
      </w:r>
      <w:r>
        <w:rPr>
          <w:b w:val="0"/>
          <w:i w:val="0"/>
        </w:rPr>
        <w:t xml:space="preserve"> (</w:t>
      </w:r>
      <w:r>
        <w:rPr>
          <w:b w:val="0"/>
          <w:i/>
        </w:rPr>
        <w:t>Melpomenen</w:t>
      </w:r>
      <w:r>
        <w:rPr>
          <w:b w:val="0"/>
          <w:i w:val="0"/>
        </w:rPr>
        <w:t xml:space="preserve">). Name of the power giving life to and governing the body of Sun, paired with the knowing power named Trietericus.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Mercury</w:t>
      </w:r>
      <w:r>
        <w:rPr>
          <w:b w:val="0"/>
          <w:i w:val="0"/>
        </w:rPr>
        <w:t xml:space="preserve"> (</w:t>
      </w:r>
      <w:r>
        <w:rPr>
          <w:b w:val="0"/>
          <w:i/>
        </w:rPr>
        <w:t>Mercurius</w:t>
      </w:r>
      <w:r>
        <w:rPr>
          <w:b w:val="0"/>
          <w:i w:val="0"/>
        </w:rPr>
        <w:t xml:space="preserve">, </w:t>
      </w:r>
      <w:r>
        <w:rPr>
          <w:b w:val="0"/>
          <w:i/>
        </w:rPr>
        <w:t>Mercurii sphaerae</w:t>
      </w:r>
      <w:r>
        <w:rPr>
          <w:b w:val="0"/>
          <w:i w:val="0"/>
        </w:rPr>
        <w:t xml:space="preserve">). Divine soul assigned to the heart of Cancer in Ficino’s reported Pythagorean catalogue. IV.1.43 (source pp. 304–305). Context in the Orphic catalogue: knowing power Bacchus Silenus; life-giving and governing power Euterpe. IV.1.94 (source pp. 330–331). See </w:t>
      </w:r>
      <w:hyperlink w:anchor="zodiac">
        <w:r>
          <w:rPr>
            <w:color w:val="000000"/>
          </w:rPr>
          <w:t xml:space="preserve">Zodiac</w:t>
        </w:r>
      </w:hyperlink>
      <w:r>
        <w:rPr>
          <w:b w:val="0"/>
          <w:i w:val="0"/>
        </w:rPr>
        <w:t xml:space="preserve">; </w:t>
      </w:r>
      <w:hyperlink w:anchor="bacchus-and-the-muses">
        <w:r>
          <w:rPr>
            <w:color w:val="000000"/>
          </w:rPr>
          <w:t xml:space="preserve">Bacchus and the Muses</w:t>
        </w:r>
      </w:hyperlink>
      <w:r>
        <w:rPr>
          <w:b w:val="0"/>
          <w:i w:val="0"/>
        </w:rPr>
        <w:t xml:space="preserve">; </w:t>
      </w:r>
      <w:hyperlink w:anchor="spheres-and-stars">
        <w:r>
          <w:rPr>
            <w:color w:val="000000"/>
          </w:rPr>
          <w:t xml:space="preserve">Spheres and stars</w:t>
        </w:r>
      </w:hyperlink>
      <w:r>
        <w:rPr>
          <w:b w:val="0"/>
          <w:i w:val="0"/>
        </w:rPr>
        <w:t>.</w:t>
      </w:r>
    </w:p>
    <w:p>
      <w:pPr>
        <w:ind w:left="187" w:hanging="187"/>
      </w:pPr>
      <w:r>
        <w:t xml:space="preserve">• </w:t>
      </w:r>
      <w:r>
        <w:rPr>
          <w:b/>
          <w:i w:val="0"/>
        </w:rPr>
        <w:t>Moon</w:t>
      </w:r>
      <w:r>
        <w:rPr>
          <w:b w:val="0"/>
          <w:i w:val="0"/>
        </w:rPr>
        <w:t xml:space="preserve"> (</w:t>
      </w:r>
      <w:r>
        <w:rPr>
          <w:b w:val="0"/>
          <w:i/>
        </w:rPr>
        <w:t>sphaerae lunaris</w:t>
      </w:r>
      <w:r>
        <w:rPr>
          <w:b w:val="0"/>
          <w:i w:val="0"/>
        </w:rPr>
        <w:t xml:space="preserve">). Context in the Orphic catalogue: knowing power Bacchus Licnitus; life-giving and governing power Thalia. IV.1.94 (source pp. 330–331). See </w:t>
      </w:r>
      <w:hyperlink w:anchor="bacchus-and-the-muses">
        <w:r>
          <w:rPr>
            <w:color w:val="000000"/>
          </w:rPr>
          <w:t xml:space="preserve">Bacchus and the Muses</w:t>
        </w:r>
      </w:hyperlink>
      <w:r>
        <w:rPr>
          <w:b w:val="0"/>
          <w:i w:val="0"/>
        </w:rPr>
        <w:t xml:space="preserve">; </w:t>
      </w:r>
      <w:hyperlink w:anchor="spheres-and-stars">
        <w:r>
          <w:rPr>
            <w:color w:val="000000"/>
          </w:rPr>
          <w:t xml:space="preserve">Spheres and stars</w:t>
        </w:r>
      </w:hyperlink>
      <w:r>
        <w:rPr>
          <w:b w:val="0"/>
          <w:i w:val="0"/>
        </w:rPr>
        <w:t>.</w:t>
      </w:r>
    </w:p>
    <w:p>
      <w:pPr>
        <w:ind w:left="187" w:hanging="187"/>
      </w:pPr>
      <w:r>
        <w:t xml:space="preserve">• </w:t>
      </w:r>
      <w:r>
        <w:rPr>
          <w:b/>
          <w:i w:val="0"/>
        </w:rPr>
        <w:t>Muses</w:t>
      </w:r>
      <w:r>
        <w:rPr>
          <w:b w:val="0"/>
          <w:i w:val="0"/>
        </w:rPr>
        <w:t xml:space="preserve"> (</w:t>
      </w:r>
      <w:r>
        <w:rPr>
          <w:b w:val="0"/>
          <w:i/>
        </w:rPr>
        <w:t>Musae</w:t>
      </w:r>
      <w:r>
        <w:rPr>
          <w:b w:val="0"/>
          <w:i w:val="0"/>
        </w:rPr>
        <w:t xml:space="preserve">, </w:t>
      </w:r>
      <w:r>
        <w:rPr>
          <w:b w:val="0"/>
          <w:i/>
        </w:rPr>
        <w:t>Musis</w:t>
      </w:r>
      <w:r>
        <w:rPr>
          <w:b w:val="0"/>
          <w:i w:val="0"/>
        </w:rPr>
        <w:t xml:space="preserve">, </w:t>
      </w:r>
      <w:r>
        <w:rPr>
          <w:b w:val="0"/>
          <w:i/>
        </w:rPr>
        <w:t>Musarum</w:t>
      </w:r>
      <w:r>
        <w:rPr>
          <w:b w:val="0"/>
          <w:i w:val="0"/>
        </w:rPr>
        <w:t xml:space="preserve">, </w:t>
      </w:r>
      <w:r>
        <w:rPr>
          <w:b w:val="0"/>
          <w:i/>
        </w:rPr>
        <w:t>Musam</w:t>
      </w:r>
      <w:r>
        <w:rPr>
          <w:b w:val="0"/>
          <w:i w:val="0"/>
        </w:rPr>
        <w:t xml:space="preserve">). The nine life-giving/governing powers named Thalia, Euterpe, Erato, Melpomene, Clio, Terpsichore, Polyhymnia, Urania, and Calliope; their powers are described as drunk with the nectar of divine knowledge. IV.1.94–IV.1.95 (source pp. 330–333). See </w:t>
      </w:r>
      <w:hyperlink w:anchor="bacchus-and-the-muses">
        <w:r>
          <w:rPr>
            <w:color w:val="000000"/>
          </w:rPr>
          <w:t xml:space="preserve">Bacchus and the Muses</w:t>
        </w:r>
      </w:hyperlink>
      <w:r>
        <w:rPr>
          <w:b w:val="0"/>
          <w:i w:val="0"/>
        </w:rPr>
        <w:t>.</w:t>
      </w:r>
    </w:p>
    <w:p>
      <w:pPr>
        <w:ind w:left="187" w:hanging="187"/>
      </w:pPr>
      <w:r>
        <w:t xml:space="preserve">• </w:t>
      </w:r>
      <w:r>
        <w:rPr>
          <w:b/>
          <w:i w:val="0"/>
        </w:rPr>
        <w:t>Neptune</w:t>
      </w:r>
      <w:r>
        <w:rPr>
          <w:b w:val="0"/>
          <w:i w:val="0"/>
        </w:rPr>
        <w:t xml:space="preserve"> (</w:t>
      </w:r>
      <w:r>
        <w:rPr>
          <w:b w:val="0"/>
          <w:i/>
        </w:rPr>
        <w:t>Neptunus</w:t>
      </w:r>
      <w:r>
        <w:rPr>
          <w:b w:val="0"/>
          <w:i w:val="0"/>
        </w:rPr>
        <w:t xml:space="preserve">). Divine soul assigned to the heart of Pisces in Ficino’s reported Pythagorean catalogue. IV.1.43 (source pp. 304–305). See </w:t>
      </w:r>
      <w:hyperlink w:anchor="zodiac">
        <w:r>
          <w:rPr>
            <w:color w:val="000000"/>
          </w:rPr>
          <w:t xml:space="preserve">Zodiac</w:t>
        </w:r>
      </w:hyperlink>
      <w:r>
        <w:rPr>
          <w:b w:val="0"/>
          <w:i w:val="0"/>
        </w:rPr>
        <w:t>.</w:t>
      </w:r>
    </w:p>
    <w:p>
      <w:pPr>
        <w:ind w:left="187" w:hanging="187"/>
      </w:pPr>
      <w:r>
        <w:t xml:space="preserve">• </w:t>
      </w:r>
      <w:r>
        <w:rPr>
          <w:b/>
          <w:i w:val="0"/>
        </w:rPr>
        <w:t>Oceanus</w:t>
      </w:r>
      <w:r>
        <w:rPr>
          <w:b w:val="0"/>
          <w:i w:val="0"/>
        </w:rPr>
        <w:t xml:space="preserve"> (</w:t>
      </w:r>
      <w:r>
        <w:rPr>
          <w:b w:val="0"/>
          <w:i/>
        </w:rPr>
        <w:t>Oceanum</w:t>
      </w:r>
      <w:r>
        <w:rPr>
          <w:b w:val="0"/>
          <w:i w:val="0"/>
        </w:rPr>
        <w:t xml:space="preserve">). Name of the knowing power of the soul of water, paired with Thetis, in Ficino’s reported Orphic catalogue.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Orpheus</w:t>
      </w:r>
      <w:r>
        <w:rPr>
          <w:b w:val="0"/>
          <w:i w:val="0"/>
        </w:rPr>
        <w:t xml:space="preserve"> (</w:t>
      </w:r>
      <w:r>
        <w:rPr>
          <w:b w:val="0"/>
          <w:i/>
        </w:rPr>
        <w:t>Orphei</w:t>
      </w:r>
      <w:r>
        <w:rPr>
          <w:b w:val="0"/>
          <w:i w:val="0"/>
        </w:rPr>
        <w:t xml:space="preserve">, </w:t>
      </w:r>
      <w:r>
        <w:rPr>
          <w:b w:val="0"/>
          <w:i/>
        </w:rPr>
        <w:t>Orpheus</w:t>
      </w:r>
      <w:r>
        <w:rPr>
          <w:b w:val="0"/>
          <w:i w:val="0"/>
        </w:rPr>
        <w:t xml:space="preserve">, </w:t>
      </w:r>
      <w:r>
        <w:rPr>
          <w:b w:val="0"/>
          <w:i/>
        </w:rPr>
        <w:t>Orpheum</w:t>
      </w:r>
      <w:r>
        <w:rPr>
          <w:b w:val="0"/>
          <w:i w:val="0"/>
        </w:rPr>
        <w:t xml:space="preserve">). Authority to whom Ficino attributes the twofold naming of cosmic souls; in the following unit, the Bacchus/Muse relation is interpreted through divine knowledge. IV.1.94–IV.1.95 (source pp. 330–333). See </w:t>
      </w:r>
      <w:hyperlink w:anchor="bacchus-and-the-muses">
        <w:r>
          <w:rPr>
            <w:color w:val="000000"/>
          </w:rPr>
          <w:t xml:space="preserve">Bacchus and the Muses</w:t>
        </w:r>
      </w:hyperlink>
      <w:r>
        <w:rPr>
          <w:b w:val="0"/>
          <w:i w:val="0"/>
        </w:rPr>
        <w:t>.</w:t>
      </w:r>
    </w:p>
    <w:p>
      <w:pPr>
        <w:ind w:left="187" w:hanging="187"/>
      </w:pPr>
      <w:r>
        <w:t xml:space="preserve">• </w:t>
      </w:r>
      <w:r>
        <w:rPr>
          <w:b/>
          <w:i w:val="0"/>
        </w:rPr>
        <w:t>Pallas</w:t>
      </w:r>
      <w:r>
        <w:rPr>
          <w:b w:val="0"/>
          <w:i w:val="0"/>
        </w:rPr>
        <w:t xml:space="preserve"> (</w:t>
      </w:r>
      <w:r>
        <w:rPr>
          <w:b w:val="0"/>
          <w:i/>
        </w:rPr>
        <w:t>Pallas</w:t>
      </w:r>
      <w:r>
        <w:rPr>
          <w:b w:val="0"/>
          <w:i w:val="0"/>
        </w:rPr>
        <w:t xml:space="preserve">). Divine soul assigned to the heart of Aries in Ficino’s reported Pythagorean catalogue. IV.1.43 (source pp. 304–305). See </w:t>
      </w:r>
      <w:hyperlink w:anchor="zodiac">
        <w:r>
          <w:rPr>
            <w:color w:val="000000"/>
          </w:rPr>
          <w:t xml:space="preserve">Zodiac</w:t>
        </w:r>
      </w:hyperlink>
      <w:r>
        <w:rPr>
          <w:b w:val="0"/>
          <w:i w:val="0"/>
        </w:rPr>
        <w:t>.</w:t>
      </w:r>
    </w:p>
    <w:p>
      <w:pPr>
        <w:ind w:left="187" w:hanging="187"/>
      </w:pPr>
      <w:r>
        <w:t xml:space="preserve">• </w:t>
      </w:r>
      <w:r>
        <w:rPr>
          <w:b/>
          <w:i w:val="0"/>
        </w:rPr>
        <w:t>Pericionius</w:t>
      </w:r>
      <w:r>
        <w:rPr>
          <w:b w:val="0"/>
          <w:i w:val="0"/>
        </w:rPr>
        <w:t xml:space="preserve"> (</w:t>
      </w:r>
      <w:r>
        <w:rPr>
          <w:b w:val="0"/>
          <w:i/>
        </w:rPr>
        <w:t>Pericionium</w:t>
      </w:r>
      <w:r>
        <w:rPr>
          <w:b w:val="0"/>
          <w:i w:val="0"/>
        </w:rPr>
        <w:t xml:space="preserve">). Name of the knowing power of the soul of the eighth sphere, paired with Urania, in Ficino’s reported Orphic catalogue.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Phanetas</w:t>
      </w:r>
      <w:r>
        <w:rPr>
          <w:b w:val="0"/>
          <w:i w:val="0"/>
        </w:rPr>
        <w:t xml:space="preserve"> (</w:t>
      </w:r>
      <w:r>
        <w:rPr>
          <w:b w:val="0"/>
          <w:i/>
        </w:rPr>
        <w:t>Phanetam</w:t>
      </w:r>
      <w:r>
        <w:rPr>
          <w:b w:val="0"/>
          <w:i w:val="0"/>
        </w:rPr>
        <w:t xml:space="preserve">). Name of the knowing power of the soul of fire, paired with Aurora, in Ficino’s reported Orphic catalogue.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Phoebus</w:t>
      </w:r>
      <w:r>
        <w:rPr>
          <w:b w:val="0"/>
          <w:i w:val="0"/>
        </w:rPr>
        <w:t xml:space="preserve"> (</w:t>
      </w:r>
      <w:r>
        <w:rPr>
          <w:b w:val="0"/>
          <w:i/>
        </w:rPr>
        <w:t>Phoebus particularis</w:t>
      </w:r>
      <w:r>
        <w:rPr>
          <w:b w:val="0"/>
          <w:i w:val="0"/>
        </w:rPr>
        <w:t xml:space="preserve">). A particular divine soul assigned to the heart of Gemini in Ficino’s reported Pythagorean catalogue. IV.1.43 (source pp. 304–305). See </w:t>
      </w:r>
      <w:hyperlink w:anchor="zodiac">
        <w:r>
          <w:rPr>
            <w:color w:val="000000"/>
          </w:rPr>
          <w:t xml:space="preserve">Zodiac</w:t>
        </w:r>
      </w:hyperlink>
      <w:r>
        <w:rPr>
          <w:b w:val="0"/>
          <w:i w:val="0"/>
        </w:rPr>
        <w:t xml:space="preserve">; </w:t>
      </w:r>
      <w:hyperlink w:anchor="apollo">
        <w:r>
          <w:rPr>
            <w:color w:val="000000"/>
          </w:rPr>
          <w:t xml:space="preserve">Apollo</w:t>
        </w:r>
      </w:hyperlink>
      <w:r>
        <w:rPr>
          <w:b w:val="0"/>
          <w:i w:val="0"/>
        </w:rPr>
        <w:t>.</w:t>
      </w:r>
    </w:p>
    <w:p>
      <w:pPr>
        <w:ind w:left="187" w:hanging="187"/>
      </w:pPr>
      <w:r>
        <w:t xml:space="preserve">• </w:t>
      </w:r>
      <w:r>
        <w:rPr>
          <w:b/>
          <w:i w:val="0"/>
        </w:rPr>
        <w:t>Pisces</w:t>
      </w:r>
      <w:r>
        <w:rPr>
          <w:b w:val="0"/>
          <w:i w:val="0"/>
        </w:rPr>
        <w:t xml:space="preserve"> (</w:t>
      </w:r>
      <w:r>
        <w:rPr>
          <w:b w:val="0"/>
          <w:i/>
        </w:rPr>
        <w:t>Piscium</w:t>
      </w:r>
      <w:r>
        <w:rPr>
          <w:b w:val="0"/>
          <w:i w:val="0"/>
        </w:rPr>
        <w:t xml:space="preserve">). Zodiacal stellar creature whose principal divine soul is Neptune; the principal star is described as its heart. IV.1.43 (source pp. 304–305). See </w:t>
      </w:r>
      <w:hyperlink w:anchor="zodiac">
        <w:r>
          <w:rPr>
            <w:color w:val="000000"/>
          </w:rPr>
          <w:t xml:space="preserve">Zodiac</w:t>
        </w:r>
      </w:hyperlink>
      <w:r>
        <w:rPr>
          <w:b w:val="0"/>
          <w:i w:val="0"/>
        </w:rPr>
        <w:t xml:space="preserve">; </w:t>
      </w:r>
      <w:hyperlink w:anchor="twelve">
        <w:r>
          <w:rPr>
            <w:color w:val="000000"/>
          </w:rPr>
          <w:t xml:space="preserve">Twelve</w:t>
        </w:r>
      </w:hyperlink>
      <w:r>
        <w:rPr>
          <w:b w:val="0"/>
          <w:i w:val="0"/>
        </w:rPr>
        <w:t>.</w:t>
      </w:r>
    </w:p>
    <w:p>
      <w:pPr>
        <w:ind w:left="187" w:hanging="187"/>
      </w:pPr>
      <w:r>
        <w:t xml:space="preserve">• </w:t>
      </w:r>
      <w:r>
        <w:rPr>
          <w:b/>
          <w:i w:val="0"/>
        </w:rPr>
        <w:t>Pluto</w:t>
      </w:r>
      <w:r>
        <w:rPr>
          <w:b w:val="0"/>
          <w:i w:val="0"/>
        </w:rPr>
        <w:t xml:space="preserve"> (</w:t>
      </w:r>
      <w:r>
        <w:rPr>
          <w:b w:val="0"/>
          <w:i/>
        </w:rPr>
        <w:t>Plutonem</w:t>
      </w:r>
      <w:r>
        <w:rPr>
          <w:b w:val="0"/>
          <w:i w:val="0"/>
        </w:rPr>
        <w:t xml:space="preserve">). Name of the knowing power of the soul of earth, paired with Proserpina, in Ficino’s reported Orphic catalogue.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Polyhymnia</w:t>
      </w:r>
      <w:r>
        <w:rPr>
          <w:b w:val="0"/>
          <w:i w:val="0"/>
        </w:rPr>
        <w:t xml:space="preserve"> (</w:t>
      </w:r>
      <w:r>
        <w:rPr>
          <w:b w:val="0"/>
          <w:i/>
        </w:rPr>
        <w:t>Polymniamque</w:t>
      </w:r>
      <w:r>
        <w:rPr>
          <w:b w:val="0"/>
          <w:i w:val="0"/>
        </w:rPr>
        <w:t xml:space="preserve">). Name of the power giving life to and governing the body of Saturn, paired with the knowing power named Amphietus.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Proserpina</w:t>
      </w:r>
      <w:r>
        <w:rPr>
          <w:b w:val="0"/>
          <w:i w:val="0"/>
        </w:rPr>
        <w:t xml:space="preserve"> (</w:t>
      </w:r>
      <w:r>
        <w:rPr>
          <w:b w:val="0"/>
          <w:i/>
        </w:rPr>
        <w:t>Proserpinam</w:t>
      </w:r>
      <w:r>
        <w:rPr>
          <w:b w:val="0"/>
          <w:i w:val="0"/>
        </w:rPr>
        <w:t xml:space="preserve">). Name of the power giving life to and governing the body of earth, paired with the knowing power named Pluto.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Pythagoreans</w:t>
      </w:r>
      <w:r>
        <w:rPr>
          <w:b w:val="0"/>
          <w:i w:val="0"/>
        </w:rPr>
        <w:t xml:space="preserve"> (</w:t>
      </w:r>
      <w:r>
        <w:rPr>
          <w:b w:val="0"/>
          <w:i/>
        </w:rPr>
        <w:t>Pythagoricis</w:t>
      </w:r>
      <w:r>
        <w:rPr>
          <w:b w:val="0"/>
          <w:i w:val="0"/>
        </w:rPr>
        <w:t xml:space="preserve">). Group to whom Ficino attributes the zodiacal divine-soul catalogue; the wider discussion is explicitly introduced and closed as a Pythagorean excursion. IV.1.40–IV.1.52 (source pp. 302–309). See </w:t>
      </w:r>
      <w:hyperlink w:anchor="twelve">
        <w:r>
          <w:rPr>
            <w:color w:val="000000"/>
          </w:rPr>
          <w:t xml:space="preserve">Twelve</w:t>
        </w:r>
      </w:hyperlink>
      <w:r>
        <w:rPr>
          <w:b w:val="0"/>
          <w:i w:val="0"/>
        </w:rPr>
        <w:t xml:space="preserve">; </w:t>
      </w:r>
      <w:hyperlink w:anchor="zodiac">
        <w:r>
          <w:rPr>
            <w:color w:val="000000"/>
          </w:rPr>
          <w:t xml:space="preserve">Zodiac</w:t>
        </w:r>
      </w:hyperlink>
      <w:r>
        <w:rPr>
          <w:b w:val="0"/>
          <w:i w:val="0"/>
        </w:rPr>
        <w:t>.</w:t>
      </w:r>
    </w:p>
    <w:p>
      <w:pPr>
        <w:ind w:left="187" w:hanging="187"/>
      </w:pPr>
      <w:r>
        <w:t xml:space="preserve">• </w:t>
      </w:r>
      <w:r>
        <w:rPr>
          <w:b/>
          <w:i w:val="0"/>
        </w:rPr>
        <w:t>Sabasius</w:t>
      </w:r>
      <w:r>
        <w:rPr>
          <w:b w:val="0"/>
          <w:i w:val="0"/>
        </w:rPr>
        <w:t xml:space="preserve"> (</w:t>
      </w:r>
      <w:r>
        <w:rPr>
          <w:b w:val="0"/>
          <w:i/>
        </w:rPr>
        <w:t>Sabasium</w:t>
      </w:r>
      <w:r>
        <w:rPr>
          <w:b w:val="0"/>
          <w:i w:val="0"/>
        </w:rPr>
        <w:t xml:space="preserve">). Name of the knowing power of the soul of Jupiter, paired with Terpsichore, in Ficino’s reported Orphic catalogue.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Sagittarius</w:t>
      </w:r>
      <w:r>
        <w:rPr>
          <w:b w:val="0"/>
          <w:i w:val="0"/>
        </w:rPr>
        <w:t xml:space="preserve"> (</w:t>
      </w:r>
      <w:r>
        <w:rPr>
          <w:b w:val="0"/>
          <w:i/>
        </w:rPr>
        <w:t>Sagittarii</w:t>
      </w:r>
      <w:r>
        <w:rPr>
          <w:b w:val="0"/>
          <w:i w:val="0"/>
        </w:rPr>
        <w:t xml:space="preserve">). Zodiacal stellar creature whose principal divine soul is Diana; the principal star is described as its heart. IV.1.43 (source pp. 304–305). See </w:t>
      </w:r>
      <w:hyperlink w:anchor="zodiac">
        <w:r>
          <w:rPr>
            <w:color w:val="000000"/>
          </w:rPr>
          <w:t xml:space="preserve">Zodiac</w:t>
        </w:r>
      </w:hyperlink>
      <w:r>
        <w:rPr>
          <w:b w:val="0"/>
          <w:i w:val="0"/>
        </w:rPr>
        <w:t xml:space="preserve">; </w:t>
      </w:r>
      <w:hyperlink w:anchor="twelve">
        <w:r>
          <w:rPr>
            <w:color w:val="000000"/>
          </w:rPr>
          <w:t xml:space="preserve">Twelve</w:t>
        </w:r>
      </w:hyperlink>
      <w:r>
        <w:rPr>
          <w:b w:val="0"/>
          <w:i w:val="0"/>
        </w:rPr>
        <w:t>.</w:t>
      </w:r>
    </w:p>
    <w:p>
      <w:pPr>
        <w:ind w:left="187" w:hanging="187"/>
      </w:pPr>
      <w:r>
        <w:t xml:space="preserve">• </w:t>
      </w:r>
      <w:r>
        <w:rPr>
          <w:b/>
          <w:i w:val="0"/>
        </w:rPr>
        <w:t>Saturn</w:t>
      </w:r>
      <w:r>
        <w:rPr>
          <w:b w:val="0"/>
          <w:i w:val="0"/>
        </w:rPr>
        <w:t xml:space="preserve"> (</w:t>
      </w:r>
      <w:r>
        <w:rPr>
          <w:b w:val="0"/>
          <w:i/>
        </w:rPr>
        <w:t>Saturni</w:t>
      </w:r>
      <w:r>
        <w:rPr>
          <w:b w:val="0"/>
          <w:i w:val="0"/>
        </w:rPr>
        <w:t xml:space="preserve">). Context in the Orphic catalogue: knowing power Amphietus; life-giving and governing power Polyhymnia. IV.1.94 (source pp. 330–331). See </w:t>
      </w:r>
      <w:hyperlink w:anchor="bacchus-and-the-muses">
        <w:r>
          <w:rPr>
            <w:color w:val="000000"/>
          </w:rPr>
          <w:t xml:space="preserve">Bacchus and the Muses</w:t>
        </w:r>
      </w:hyperlink>
      <w:r>
        <w:rPr>
          <w:b w:val="0"/>
          <w:i w:val="0"/>
        </w:rPr>
        <w:t xml:space="preserve">; </w:t>
      </w:r>
      <w:hyperlink w:anchor="spheres-and-stars">
        <w:r>
          <w:rPr>
            <w:color w:val="000000"/>
          </w:rPr>
          <w:t xml:space="preserve">Spheres and stars</w:t>
        </w:r>
      </w:hyperlink>
      <w:r>
        <w:rPr>
          <w:b w:val="0"/>
          <w:i w:val="0"/>
        </w:rPr>
        <w:t>.</w:t>
      </w:r>
    </w:p>
    <w:p>
      <w:pPr>
        <w:ind w:left="187" w:hanging="187"/>
      </w:pPr>
      <w:r>
        <w:t xml:space="preserve">• </w:t>
      </w:r>
      <w:r>
        <w:rPr>
          <w:b/>
          <w:i w:val="0"/>
        </w:rPr>
        <w:t>Scorpio</w:t>
      </w:r>
      <w:r>
        <w:rPr>
          <w:b w:val="0"/>
          <w:i w:val="0"/>
        </w:rPr>
        <w:t xml:space="preserve"> (</w:t>
      </w:r>
      <w:r>
        <w:rPr>
          <w:b w:val="0"/>
          <w:i/>
        </w:rPr>
        <w:t>Scorpionis</w:t>
      </w:r>
      <w:r>
        <w:rPr>
          <w:b w:val="0"/>
          <w:i w:val="0"/>
        </w:rPr>
        <w:t xml:space="preserve">). Zodiacal stellar creature whose principal divine soul is Mars; the principal star is described as its heart. IV.1.43 (source pp. 304–305). See </w:t>
      </w:r>
      <w:hyperlink w:anchor="zodiac">
        <w:r>
          <w:rPr>
            <w:color w:val="000000"/>
          </w:rPr>
          <w:t xml:space="preserve">Zodiac</w:t>
        </w:r>
      </w:hyperlink>
      <w:r>
        <w:rPr>
          <w:b w:val="0"/>
          <w:i w:val="0"/>
        </w:rPr>
        <w:t xml:space="preserve">; </w:t>
      </w:r>
      <w:hyperlink w:anchor="twelve">
        <w:r>
          <w:rPr>
            <w:color w:val="000000"/>
          </w:rPr>
          <w:t xml:space="preserve">Twelve</w:t>
        </w:r>
      </w:hyperlink>
      <w:r>
        <w:rPr>
          <w:b w:val="0"/>
          <w:i w:val="0"/>
        </w:rPr>
        <w:t>.</w:t>
      </w:r>
    </w:p>
    <w:p>
      <w:pPr>
        <w:ind w:left="187" w:hanging="187"/>
      </w:pPr>
      <w:r>
        <w:t xml:space="preserve">• </w:t>
      </w:r>
      <w:r>
        <w:rPr>
          <w:b/>
          <w:i w:val="0"/>
        </w:rPr>
        <w:t>Sun</w:t>
      </w:r>
      <w:r>
        <w:rPr>
          <w:b w:val="0"/>
          <w:i w:val="0"/>
        </w:rPr>
        <w:t xml:space="preserve"> (</w:t>
      </w:r>
      <w:r>
        <w:rPr>
          <w:b w:val="0"/>
          <w:i/>
        </w:rPr>
        <w:t>Solis</w:t>
      </w:r>
      <w:r>
        <w:rPr>
          <w:b w:val="0"/>
          <w:i w:val="0"/>
        </w:rPr>
        <w:t xml:space="preserve">). Context in the Orphic catalogue: knowing power Trietericus; life-giving and governing power Melpomene. IV.1.94 (source pp. 330–331). See </w:t>
      </w:r>
      <w:hyperlink w:anchor="bacchus-and-the-muses">
        <w:r>
          <w:rPr>
            <w:color w:val="000000"/>
          </w:rPr>
          <w:t xml:space="preserve">Bacchus and the Muses</w:t>
        </w:r>
      </w:hyperlink>
      <w:r>
        <w:rPr>
          <w:b w:val="0"/>
          <w:i w:val="0"/>
        </w:rPr>
        <w:t xml:space="preserve">; </w:t>
      </w:r>
      <w:hyperlink w:anchor="spheres-and-stars">
        <w:r>
          <w:rPr>
            <w:color w:val="000000"/>
          </w:rPr>
          <w:t xml:space="preserve">Spheres and stars</w:t>
        </w:r>
      </w:hyperlink>
      <w:r>
        <w:rPr>
          <w:b w:val="0"/>
          <w:i w:val="0"/>
        </w:rPr>
        <w:t>.</w:t>
      </w:r>
    </w:p>
    <w:p>
      <w:pPr>
        <w:ind w:left="187" w:hanging="187"/>
      </w:pPr>
      <w:r>
        <w:t xml:space="preserve">• </w:t>
      </w:r>
      <w:r>
        <w:rPr>
          <w:b/>
          <w:i w:val="0"/>
        </w:rPr>
        <w:t>Taurus</w:t>
      </w:r>
      <w:r>
        <w:rPr>
          <w:b w:val="0"/>
          <w:i w:val="0"/>
        </w:rPr>
        <w:t xml:space="preserve"> (</w:t>
      </w:r>
      <w:r>
        <w:rPr>
          <w:b w:val="0"/>
          <w:i/>
        </w:rPr>
        <w:t>Tauri</w:t>
      </w:r>
      <w:r>
        <w:rPr>
          <w:b w:val="0"/>
          <w:i w:val="0"/>
        </w:rPr>
        <w:t xml:space="preserve">). Zodiacal stellar creature whose principal divine soul is Venus; the principal star is described as its heart. IV.1.43 (source pp. 304–305). See </w:t>
      </w:r>
      <w:hyperlink w:anchor="zodiac">
        <w:r>
          <w:rPr>
            <w:color w:val="000000"/>
          </w:rPr>
          <w:t xml:space="preserve">Zodiac</w:t>
        </w:r>
      </w:hyperlink>
      <w:r>
        <w:rPr>
          <w:b w:val="0"/>
          <w:i w:val="0"/>
        </w:rPr>
        <w:t xml:space="preserve">; </w:t>
      </w:r>
      <w:hyperlink w:anchor="twelve">
        <w:r>
          <w:rPr>
            <w:color w:val="000000"/>
          </w:rPr>
          <w:t xml:space="preserve">Twelve</w:t>
        </w:r>
      </w:hyperlink>
      <w:r>
        <w:rPr>
          <w:b w:val="0"/>
          <w:i w:val="0"/>
        </w:rPr>
        <w:t>.</w:t>
      </w:r>
    </w:p>
    <w:p>
      <w:pPr>
        <w:ind w:left="187" w:hanging="187"/>
      </w:pPr>
      <w:r>
        <w:t xml:space="preserve">• </w:t>
      </w:r>
      <w:r>
        <w:rPr>
          <w:b/>
          <w:i w:val="0"/>
        </w:rPr>
        <w:t>Terpsichore</w:t>
      </w:r>
      <w:r>
        <w:rPr>
          <w:b w:val="0"/>
          <w:i w:val="0"/>
        </w:rPr>
        <w:t xml:space="preserve"> (</w:t>
      </w:r>
      <w:r>
        <w:rPr>
          <w:b w:val="0"/>
          <w:i/>
        </w:rPr>
        <w:t>Terpsichorem</w:t>
      </w:r>
      <w:r>
        <w:rPr>
          <w:b w:val="0"/>
          <w:i w:val="0"/>
        </w:rPr>
        <w:t xml:space="preserve">). Name of the power giving life to and governing the body of Jupiter, paired with the knowing power named Sabasius.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Thalia</w:t>
      </w:r>
      <w:r>
        <w:rPr>
          <w:b w:val="0"/>
          <w:i w:val="0"/>
        </w:rPr>
        <w:t xml:space="preserve"> (</w:t>
      </w:r>
      <w:r>
        <w:rPr>
          <w:b w:val="0"/>
          <w:i/>
        </w:rPr>
        <w:t>Thaliam Musam</w:t>
      </w:r>
      <w:r>
        <w:rPr>
          <w:b w:val="0"/>
          <w:i w:val="0"/>
        </w:rPr>
        <w:t xml:space="preserve">). Name of the power giving life to and governing the body of Moon, paired with the knowing power named Bacchus Licnitus.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Thetis</w:t>
      </w:r>
      <w:r>
        <w:rPr>
          <w:b w:val="0"/>
          <w:i w:val="0"/>
        </w:rPr>
        <w:t xml:space="preserve"> (</w:t>
      </w:r>
      <w:r>
        <w:rPr>
          <w:b w:val="0"/>
          <w:i/>
        </w:rPr>
        <w:t>Thetin</w:t>
      </w:r>
      <w:r>
        <w:rPr>
          <w:b w:val="0"/>
          <w:i w:val="0"/>
        </w:rPr>
        <w:t xml:space="preserve">). Name of the power giving life to and governing the body of water, paired with the knowing power named Oceanus.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Trietericus</w:t>
      </w:r>
      <w:r>
        <w:rPr>
          <w:b w:val="0"/>
          <w:i w:val="0"/>
        </w:rPr>
        <w:t xml:space="preserve"> (</w:t>
      </w:r>
      <w:r>
        <w:rPr>
          <w:b w:val="0"/>
          <w:i/>
        </w:rPr>
        <w:t>Trietericum</w:t>
      </w:r>
      <w:r>
        <w:rPr>
          <w:b w:val="0"/>
          <w:i w:val="0"/>
        </w:rPr>
        <w:t xml:space="preserve">). Name of the knowing power of the soul of Sun, paired with Melpomene, in Ficino’s reported Orphic catalogue.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Urania</w:t>
      </w:r>
      <w:r>
        <w:rPr>
          <w:b w:val="0"/>
          <w:i w:val="0"/>
        </w:rPr>
        <w:t xml:space="preserve"> (</w:t>
      </w:r>
      <w:r>
        <w:rPr>
          <w:b w:val="0"/>
          <w:i/>
        </w:rPr>
        <w:t>Uraniam</w:t>
      </w:r>
      <w:r>
        <w:rPr>
          <w:b w:val="0"/>
          <w:i w:val="0"/>
        </w:rPr>
        <w:t xml:space="preserve">). Name of the power giving life to and governing the body of the eighth sphere, paired with the knowing power named Pericionius. IV.1.94 (source pp. 330–331). See </w:t>
      </w:r>
      <w:hyperlink w:anchor="bacchus-and-the-muses">
        <w:r>
          <w:rPr>
            <w:color w:val="000000"/>
          </w:rPr>
          <w:t xml:space="preserve">Bacchus and the Muses</w:t>
        </w:r>
      </w:hyperlink>
      <w:r>
        <w:rPr>
          <w:b w:val="0"/>
          <w:i w:val="0"/>
        </w:rPr>
        <w:t xml:space="preserve">; </w:t>
      </w:r>
      <w:hyperlink w:anchor="intellectual-and-animating-powers">
        <w:r>
          <w:rPr>
            <w:color w:val="000000"/>
          </w:rPr>
          <w:t xml:space="preserve">Intellectual and animating powers</w:t>
        </w:r>
      </w:hyperlink>
      <w:r>
        <w:rPr>
          <w:b w:val="0"/>
          <w:i w:val="0"/>
        </w:rPr>
        <w:t>.</w:t>
      </w:r>
    </w:p>
    <w:p>
      <w:pPr>
        <w:ind w:left="187" w:hanging="187"/>
      </w:pPr>
      <w:r>
        <w:t xml:space="preserve">• </w:t>
      </w:r>
      <w:r>
        <w:rPr>
          <w:b/>
          <w:i w:val="0"/>
        </w:rPr>
        <w:t>Venus</w:t>
      </w:r>
      <w:r>
        <w:rPr>
          <w:b w:val="0"/>
          <w:i w:val="0"/>
        </w:rPr>
        <w:t xml:space="preserve"> (</w:t>
      </w:r>
      <w:r>
        <w:rPr>
          <w:b w:val="0"/>
          <w:i/>
        </w:rPr>
        <w:t>Venus</w:t>
      </w:r>
      <w:r>
        <w:rPr>
          <w:b w:val="0"/>
          <w:i w:val="0"/>
        </w:rPr>
        <w:t xml:space="preserve">, </w:t>
      </w:r>
      <w:r>
        <w:rPr>
          <w:b w:val="0"/>
          <w:i/>
        </w:rPr>
        <w:t>Veneris</w:t>
      </w:r>
      <w:r>
        <w:rPr>
          <w:b w:val="0"/>
          <w:i w:val="0"/>
        </w:rPr>
        <w:t xml:space="preserve">). Divine soul assigned to the heart of Taurus in Ficino’s reported Pythagorean catalogue. IV.1.43 (source pp. 304–305). Context in the Orphic catalogue: knowing power Lysius; life-giving and governing power Erato. IV.1.94 (source pp. 330–331). See </w:t>
      </w:r>
      <w:hyperlink w:anchor="zodiac">
        <w:r>
          <w:rPr>
            <w:color w:val="000000"/>
          </w:rPr>
          <w:t xml:space="preserve">Zodiac</w:t>
        </w:r>
      </w:hyperlink>
      <w:r>
        <w:rPr>
          <w:b w:val="0"/>
          <w:i w:val="0"/>
        </w:rPr>
        <w:t xml:space="preserve">; </w:t>
      </w:r>
      <w:hyperlink w:anchor="bacchus-and-the-muses">
        <w:r>
          <w:rPr>
            <w:color w:val="000000"/>
          </w:rPr>
          <w:t xml:space="preserve">Bacchus and the Muses</w:t>
        </w:r>
      </w:hyperlink>
      <w:r>
        <w:rPr>
          <w:b w:val="0"/>
          <w:i w:val="0"/>
        </w:rPr>
        <w:t xml:space="preserve">; </w:t>
      </w:r>
      <w:hyperlink w:anchor="spheres-and-stars">
        <w:r>
          <w:rPr>
            <w:color w:val="000000"/>
          </w:rPr>
          <w:t xml:space="preserve">Spheres and stars</w:t>
        </w:r>
      </w:hyperlink>
      <w:r>
        <w:rPr>
          <w:b w:val="0"/>
          <w:i w:val="0"/>
        </w:rPr>
        <w:t>.</w:t>
      </w:r>
    </w:p>
    <w:p>
      <w:pPr>
        <w:ind w:left="187" w:hanging="187"/>
      </w:pPr>
      <w:r>
        <w:t xml:space="preserve">• </w:t>
      </w:r>
      <w:r>
        <w:rPr>
          <w:b/>
          <w:i w:val="0"/>
        </w:rPr>
        <w:t>Vesta</w:t>
      </w:r>
      <w:r>
        <w:rPr>
          <w:b w:val="0"/>
          <w:i w:val="0"/>
        </w:rPr>
        <w:t xml:space="preserve"> (</w:t>
      </w:r>
      <w:r>
        <w:rPr>
          <w:b w:val="0"/>
          <w:i/>
        </w:rPr>
        <w:t>Vesta</w:t>
      </w:r>
      <w:r>
        <w:rPr>
          <w:b w:val="0"/>
          <w:i w:val="0"/>
        </w:rPr>
        <w:t xml:space="preserve">). Divine soul assigned to the heart of Capricorn in Ficino’s reported Pythagorean catalogue. IV.1.43 (source pp. 304–305). See </w:t>
      </w:r>
      <w:hyperlink w:anchor="zodiac">
        <w:r>
          <w:rPr>
            <w:color w:val="000000"/>
          </w:rPr>
          <w:t xml:space="preserve">Zodiac</w:t>
        </w:r>
      </w:hyperlink>
      <w:r>
        <w:rPr>
          <w:b w:val="0"/>
          <w:i w:val="0"/>
        </w:rPr>
        <w:t>.</w:t>
      </w:r>
    </w:p>
    <w:p>
      <w:pPr>
        <w:ind w:left="187" w:hanging="187"/>
      </w:pPr>
      <w:r>
        <w:t xml:space="preserve">• </w:t>
      </w:r>
      <w:r>
        <w:rPr>
          <w:b/>
          <w:i w:val="0"/>
        </w:rPr>
        <w:t>Virgo</w:t>
      </w:r>
      <w:r>
        <w:rPr>
          <w:b w:val="0"/>
          <w:i w:val="0"/>
        </w:rPr>
        <w:t xml:space="preserve"> (</w:t>
      </w:r>
      <w:r>
        <w:rPr>
          <w:b w:val="0"/>
          <w:i/>
        </w:rPr>
        <w:t>Virginis</w:t>
      </w:r>
      <w:r>
        <w:rPr>
          <w:b w:val="0"/>
          <w:i w:val="0"/>
        </w:rPr>
        <w:t xml:space="preserve">). Zodiacal stellar creature whose principal divine soul is Ceres; the principal star is described as its heart. IV.1.43 (source pp. 304–305). See </w:t>
      </w:r>
      <w:hyperlink w:anchor="zodiac">
        <w:r>
          <w:rPr>
            <w:color w:val="000000"/>
          </w:rPr>
          <w:t xml:space="preserve">Zodiac</w:t>
        </w:r>
      </w:hyperlink>
      <w:r>
        <w:rPr>
          <w:b w:val="0"/>
          <w:i w:val="0"/>
        </w:rPr>
        <w:t xml:space="preserve">; </w:t>
      </w:r>
      <w:hyperlink w:anchor="twelve">
        <w:r>
          <w:rPr>
            <w:color w:val="000000"/>
          </w:rPr>
          <w:t xml:space="preserve">Twelve</w:t>
        </w:r>
      </w:hyperlink>
      <w:r>
        <w:rPr>
          <w:b w:val="0"/>
          <w:i w:val="0"/>
        </w:rPr>
        <w:t>.</w:t>
      </w:r>
    </w:p>
    <w:p>
      <w:pPr>
        <w:ind w:left="187" w:hanging="187"/>
      </w:pPr>
      <w:r>
        <w:t xml:space="preserve">• </w:t>
      </w:r>
      <w:r>
        <w:rPr>
          <w:b/>
          <w:i w:val="0"/>
        </w:rPr>
        <w:t>Vulcan</w:t>
      </w:r>
      <w:r>
        <w:rPr>
          <w:b w:val="0"/>
          <w:i w:val="0"/>
        </w:rPr>
        <w:t xml:space="preserve"> (</w:t>
      </w:r>
      <w:r>
        <w:rPr>
          <w:b w:val="0"/>
          <w:i/>
        </w:rPr>
        <w:t>Vulcanus</w:t>
      </w:r>
      <w:r>
        <w:rPr>
          <w:b w:val="0"/>
          <w:i w:val="0"/>
        </w:rPr>
        <w:t xml:space="preserve">). Divine soul assigned to the heart of Libra in Ficino’s reported Pythagorean catalogue. IV.1.43 (source pp. 304–305). See </w:t>
      </w:r>
      <w:hyperlink w:anchor="zodiac">
        <w:r>
          <w:rPr>
            <w:color w:val="000000"/>
          </w:rPr>
          <w:t xml:space="preserve">Zodiac</w:t>
        </w:r>
      </w:hyperlink>
      <w:r>
        <w:rPr>
          <w:b w:val="0"/>
          <w:i w:val="0"/>
        </w:rPr>
        <w:t>.</w:t>
      </w:r>
    </w:p>
    <w:p>
      <w:pPr>
        <w:ind w:left="187" w:hanging="187"/>
      </w:pPr>
      <w:r>
        <w:t xml:space="preserve">• </w:t>
      </w:r>
      <w:r>
        <w:rPr>
          <w:b/>
          <w:i w:val="0"/>
        </w:rPr>
        <w:t>Water</w:t>
      </w:r>
      <w:r>
        <w:rPr>
          <w:b w:val="0"/>
          <w:i w:val="0"/>
        </w:rPr>
        <w:t xml:space="preserve"> (</w:t>
      </w:r>
      <w:r>
        <w:rPr>
          <w:b w:val="0"/>
          <w:i/>
        </w:rPr>
        <w:t>aqua</w:t>
      </w:r>
      <w:r>
        <w:rPr>
          <w:b w:val="0"/>
          <w:i w:val="0"/>
        </w:rPr>
        <w:t xml:space="preserve">). Context in the Orphic catalogue: knowing power Oceanus; life-giving and governing power Thetis. IV.1.94 (source pp. 330–331). See </w:t>
      </w:r>
      <w:hyperlink w:anchor="bacchus-and-the-muses">
        <w:r>
          <w:rPr>
            <w:color w:val="000000"/>
          </w:rPr>
          <w:t xml:space="preserve">Bacchus and the Muses</w:t>
        </w:r>
      </w:hyperlink>
      <w:r>
        <w:rPr>
          <w:b w:val="0"/>
          <w:i w:val="0"/>
        </w:rPr>
        <w:t xml:space="preserve">; </w:t>
      </w:r>
      <w:hyperlink w:anchor="elements-and-their-spheres">
        <w:r>
          <w:rPr>
            <w:color w:val="000000"/>
          </w:rPr>
          <w:t xml:space="preserve">Elements and their spheres</w:t>
        </w:r>
      </w:hyperlink>
      <w:r>
        <w:rPr>
          <w:b w:val="0"/>
          <w:i w:val="0"/>
        </w:rPr>
        <w:t>.</w:t>
      </w:r>
    </w:p>
    <w:p>
      <w:pPr>
        <w:ind w:left="187" w:hanging="187"/>
      </w:pPr>
      <w:r>
        <w:t xml:space="preserve">• </w:t>
      </w:r>
      <w:r>
        <w:rPr>
          <w:b/>
          <w:i w:val="0"/>
        </w:rPr>
        <w:t>World soul</w:t>
      </w:r>
      <w:r>
        <w:rPr>
          <w:b w:val="0"/>
          <w:i w:val="0"/>
        </w:rPr>
        <w:t xml:space="preserve"> (</w:t>
      </w:r>
      <w:r>
        <w:rPr>
          <w:b w:val="0"/>
          <w:i/>
        </w:rPr>
        <w:t>anima … mundi</w:t>
      </w:r>
      <w:r>
        <w:rPr>
          <w:b w:val="0"/>
          <w:i w:val="0"/>
        </w:rPr>
        <w:t xml:space="preserve">). Context in the Orphic catalogue: knowing power Bacchus Eribromus; life-giving and governing power Calliope. IV.1.94 (source pp. 330–331). See </w:t>
      </w:r>
      <w:hyperlink w:anchor="bacchus-and-the-muses">
        <w:r>
          <w:rPr>
            <w:color w:val="000000"/>
          </w:rPr>
          <w:t xml:space="preserve">Bacchus and the Muses</w:t>
        </w:r>
      </w:hyperlink>
      <w:r>
        <w:rPr>
          <w:b w:val="0"/>
          <w:i w:val="0"/>
        </w:rPr>
        <w:t xml:space="preserve">; </w:t>
      </w:r>
      <w:hyperlink w:anchor="world-soul">
        <w:r>
          <w:rPr>
            <w:color w:val="000000"/>
          </w:rPr>
          <w:t xml:space="preserve">World soul</w:t>
        </w:r>
      </w:hyperlink>
      <w:r>
        <w:rPr>
          <w:b w:val="0"/>
          <w:i w:val="0"/>
        </w:rPr>
        <w:t>.</w:t>
      </w:r>
    </w:p>
    <w:p>
      <w:bookmarkStart w:id="2129" w:name="authorities-and-cited-works"/>
      <w:pPr>
        <w:pStyle w:val="Heading1"/>
      </w:pPr>
      <w:r>
        <w:rPr>
          <w:b w:val="0"/>
          <w:i w:val="0"/>
        </w:rPr>
        <w:t>Authorities and cited works</w:t>
      </w:r>
      <w:bookmarkEnd w:id="2129"/>
    </w:p>
    <w:p>
      <w:pPr>
        <w:widowControl/>
      </w:pPr>
      <w:r>
        <w:rPr>
          <w:b w:val="0"/>
          <w:i w:val="0"/>
        </w:rPr>
        <w:t>These brief notices identify the roles that names play in Ficino’s exposition. They report his attributions and classifications rather than supplying independent biographies or verifying every ancient citation. References use the comparison units of the supplied edition.</w:t>
      </w:r>
    </w:p>
    <w:p>
      <w:bookmarkStart w:id="2130" w:name="people-and-schools"/>
      <w:pPr>
        <w:pStyle w:val="Heading2"/>
      </w:pPr>
      <w:r>
        <w:rPr>
          <w:b w:val="0"/>
          <w:i w:val="0"/>
        </w:rPr>
        <w:t>People and schools</w:t>
      </w:r>
      <w:bookmarkEnd w:id="2130"/>
    </w:p>
    <w:p>
      <w:pPr>
        <w:widowControl/>
      </w:pPr>
      <w:r>
        <w:rPr>
          <w:b/>
          <w:i w:val="0"/>
        </w:rPr>
        <w:t>Abamon and Anebon.</w:t>
      </w:r>
      <w:r>
        <w:rPr>
          <w:b w:val="0"/>
          <w:i w:val="0"/>
        </w:rPr>
        <w:t xml:space="preserve"> Egyptian priests named among the authorities for the account that angelic and animating minds are present throughout immensity. Ficino closes this as their account before returning to God. II.6.14–24. See </w:t>
      </w:r>
      <w:hyperlink w:anchor="mind">
        <w:r>
          <w:rPr>
            <w:color w:val="000000"/>
          </w:rPr>
          <w:t xml:space="preserve">Mind</w:t>
        </w:r>
      </w:hyperlink>
      <w:r>
        <w:rPr>
          <w:b w:val="0"/>
          <w:i w:val="0"/>
        </w:rPr>
        <w:t xml:space="preserve">; </w:t>
      </w:r>
      <w:hyperlink w:anchor="omnipresence-and-place">
        <w:r>
          <w:rPr>
            <w:color w:val="000000"/>
          </w:rPr>
          <w:t xml:space="preserve">Omnipresence and place</w:t>
        </w:r>
      </w:hyperlink>
      <w:r>
        <w:rPr>
          <w:b w:val="0"/>
          <w:i w:val="0"/>
        </w:rPr>
        <w:t>.</w:t>
      </w:r>
    </w:p>
    <w:p>
      <w:pPr>
        <w:widowControl/>
      </w:pPr>
      <w:r>
        <w:rPr>
          <w:b/>
          <w:i w:val="0"/>
        </w:rPr>
        <w:t>Algazeles.</w:t>
      </w:r>
      <w:r>
        <w:rPr>
          <w:b w:val="0"/>
          <w:i w:val="0"/>
        </w:rPr>
        <w:t xml:space="preserve"> Named with Avicenna among those who strongly confirmed celestial animation. The source form is retained. IV.1.88. See </w:t>
      </w:r>
      <w:hyperlink w:anchor="spheres-and-stars">
        <w:r>
          <w:rPr>
            <w:color w:val="000000"/>
          </w:rPr>
          <w:t xml:space="preserve">Spheres and stars</w:t>
        </w:r>
      </w:hyperlink>
      <w:r>
        <w:rPr>
          <w:b w:val="0"/>
          <w:i w:val="0"/>
        </w:rPr>
        <w:t>.</w:t>
      </w:r>
    </w:p>
    <w:p>
      <w:pPr>
        <w:widowControl/>
      </w:pPr>
      <w:r>
        <w:rPr>
          <w:b/>
          <w:i w:val="0"/>
        </w:rPr>
        <w:t>Almariani.</w:t>
      </w:r>
      <w:r>
        <w:rPr>
          <w:b w:val="0"/>
          <w:i w:val="0"/>
        </w:rPr>
        <w:t xml:space="preserve"> Ficino’s name for the group he criticizes for making God and matter a single living being. The edition retains the term without identifying the group through a modernized name. IV.1.27. See </w:t>
      </w:r>
      <w:hyperlink w:anchor="world-soul">
        <w:r>
          <w:rPr>
            <w:color w:val="000000"/>
          </w:rPr>
          <w:t xml:space="preserve">World soul</w:t>
        </w:r>
      </w:hyperlink>
      <w:r>
        <w:rPr>
          <w:b w:val="0"/>
          <w:i w:val="0"/>
        </w:rPr>
        <w:t xml:space="preserve">; </w:t>
      </w:r>
      <w:hyperlink w:anchor="god">
        <w:r>
          <w:rPr>
            <w:color w:val="000000"/>
          </w:rPr>
          <w:t xml:space="preserve">God</w:t>
        </w:r>
      </w:hyperlink>
      <w:r>
        <w:rPr>
          <w:b w:val="0"/>
          <w:i w:val="0"/>
        </w:rPr>
        <w:t>.</w:t>
      </w:r>
    </w:p>
    <w:p>
      <w:pPr>
        <w:widowControl/>
      </w:pPr>
      <w:r>
        <w:rPr>
          <w:b/>
          <w:i w:val="0"/>
        </w:rPr>
        <w:t>Amelius.</w:t>
      </w:r>
      <w:r>
        <w:rPr>
          <w:b w:val="0"/>
          <w:i w:val="0"/>
        </w:rPr>
        <w:t xml:space="preserve"> The Platonist whom Ficino associates with the reception of John’s theology in the alignment of unity, truth, and goodness with principle, reason, and love. II.3.10. See </w:t>
      </w:r>
      <w:hyperlink w:anchor="principle">
        <w:r>
          <w:rPr>
            <w:color w:val="000000"/>
          </w:rPr>
          <w:t xml:space="preserve">Principle</w:t>
        </w:r>
      </w:hyperlink>
      <w:r>
        <w:rPr>
          <w:b w:val="0"/>
          <w:i w:val="0"/>
        </w:rPr>
        <w:t xml:space="preserve">; </w:t>
      </w:r>
      <w:hyperlink w:anchor="unity-and-multiplicity">
        <w:r>
          <w:rPr>
            <w:color w:val="000000"/>
          </w:rPr>
          <w:t xml:space="preserve">Unity and multiplicity</w:t>
        </w:r>
      </w:hyperlink>
      <w:r>
        <w:rPr>
          <w:b w:val="0"/>
          <w:i w:val="0"/>
        </w:rPr>
        <w:t>.</w:t>
      </w:r>
    </w:p>
    <w:p>
      <w:pPr>
        <w:widowControl/>
      </w:pPr>
      <w:r>
        <w:rPr>
          <w:b/>
          <w:i w:val="0"/>
        </w:rPr>
        <w:t>Anaxagoras and Hermotimus.</w:t>
      </w:r>
      <w:r>
        <w:rPr>
          <w:b w:val="0"/>
          <w:i w:val="0"/>
        </w:rPr>
        <w:t xml:space="preserve"> Ficino presents them as reaching angelic mind but stopping below the final ascent to God. I.1.5; I.6.1. See </w:t>
      </w:r>
      <w:hyperlink w:anchor="ascent">
        <w:r>
          <w:rPr>
            <w:color w:val="000000"/>
          </w:rPr>
          <w:t xml:space="preserve">Ascent</w:t>
        </w:r>
      </w:hyperlink>
      <w:r>
        <w:rPr>
          <w:b w:val="0"/>
          <w:i w:val="0"/>
        </w:rPr>
        <w:t xml:space="preserve">; </w:t>
      </w:r>
      <w:hyperlink w:anchor="angel">
        <w:r>
          <w:rPr>
            <w:color w:val="000000"/>
          </w:rPr>
          <w:t xml:space="preserve">Angel</w:t>
        </w:r>
      </w:hyperlink>
      <w:r>
        <w:rPr>
          <w:b w:val="0"/>
          <w:i w:val="0"/>
        </w:rPr>
        <w:t>.</w:t>
      </w:r>
    </w:p>
    <w:p>
      <w:pPr>
        <w:widowControl/>
      </w:pPr>
      <w:r>
        <w:rPr>
          <w:b/>
          <w:i w:val="0"/>
        </w:rPr>
        <w:t>Apelles.</w:t>
      </w:r>
      <w:r>
        <w:rPr>
          <w:b w:val="0"/>
          <w:i w:val="0"/>
        </w:rPr>
        <w:t xml:space="preserve"> The painter in the meadow example: the scene presents itself at once, while the painter’s observing and representing it proceed successively. The comparison explains how soul moves itself while receiving an external beginning and end. III.1.27–31. See </w:t>
      </w:r>
      <w:hyperlink w:anchor="motion-and-stability">
        <w:r>
          <w:rPr>
            <w:color w:val="000000"/>
          </w:rPr>
          <w:t xml:space="preserve">Motion and stability</w:t>
        </w:r>
      </w:hyperlink>
      <w:r>
        <w:rPr>
          <w:b w:val="0"/>
          <w:i w:val="0"/>
        </w:rPr>
        <w:t xml:space="preserve">; </w:t>
      </w:r>
      <w:hyperlink w:anchor="image-and-likeness">
        <w:r>
          <w:rPr>
            <w:color w:val="000000"/>
          </w:rPr>
          <w:t xml:space="preserve">Image and likeness</w:t>
        </w:r>
      </w:hyperlink>
      <w:r>
        <w:rPr>
          <w:b w:val="0"/>
          <w:i w:val="0"/>
        </w:rPr>
        <w:t>.</w:t>
      </w:r>
    </w:p>
    <w:p>
      <w:pPr>
        <w:widowControl/>
      </w:pPr>
      <w:r>
        <w:rPr>
          <w:b/>
          <w:i w:val="0"/>
        </w:rPr>
        <w:t>Archimedes.</w:t>
      </w:r>
      <w:r>
        <w:rPr>
          <w:b w:val="0"/>
          <w:i w:val="0"/>
        </w:rPr>
        <w:t xml:space="preserve"> His revolving bronze spheres enter a hypothetical comparison about the temperament that moves heaven. Ficino uses it to press the question of an inward living and rational cause. IV.1.63. See </w:t>
      </w:r>
      <w:hyperlink w:anchor="purity-and-mixture">
        <w:r>
          <w:rPr>
            <w:color w:val="000000"/>
          </w:rPr>
          <w:t xml:space="preserve">Purity and mixture</w:t>
        </w:r>
      </w:hyperlink>
      <w:r>
        <w:rPr>
          <w:b w:val="0"/>
          <w:i w:val="0"/>
        </w:rPr>
        <w:t xml:space="preserve">; </w:t>
      </w:r>
      <w:hyperlink w:anchor="motion-and-stability">
        <w:r>
          <w:rPr>
            <w:color w:val="000000"/>
          </w:rPr>
          <w:t xml:space="preserve">Motion and stability</w:t>
        </w:r>
      </w:hyperlink>
      <w:r>
        <w:rPr>
          <w:b w:val="0"/>
          <w:i w:val="0"/>
        </w:rPr>
        <w:t>.</w:t>
      </w:r>
    </w:p>
    <w:p>
      <w:pPr>
        <w:widowControl/>
      </w:pPr>
      <w:r>
        <w:rPr>
          <w:b/>
          <w:i w:val="0"/>
        </w:rPr>
        <w:t>Aristotle and the Peripatetics.</w:t>
      </w:r>
      <w:r>
        <w:rPr>
          <w:b w:val="0"/>
          <w:i w:val="0"/>
        </w:rPr>
        <w:t xml:space="preserve"> Ficino invokes their arguments concerning forms, unmoved movers, ends, cosmic order, possibility, and celestial animation. He also distinguishes their accounts from Platonist positions. His titles, book numbers, and attributions are retained as part of his exposition. I.3.19, I.3.27; I.5.20–22; II.9.21; II.12.17; II.13.8–12; IV.1.88–93. See </w:t>
      </w:r>
      <w:hyperlink w:anchor="cause">
        <w:r>
          <w:rPr>
            <w:color w:val="000000"/>
          </w:rPr>
          <w:t xml:space="preserve">Cause</w:t>
        </w:r>
      </w:hyperlink>
      <w:r>
        <w:rPr>
          <w:b w:val="0"/>
          <w:i w:val="0"/>
        </w:rPr>
        <w:t xml:space="preserve">; </w:t>
      </w:r>
      <w:hyperlink w:anchor="angel">
        <w:r>
          <w:rPr>
            <w:color w:val="000000"/>
          </w:rPr>
          <w:t xml:space="preserve">Angel</w:t>
        </w:r>
      </w:hyperlink>
      <w:r>
        <w:rPr>
          <w:b w:val="0"/>
          <w:i w:val="0"/>
        </w:rPr>
        <w:t xml:space="preserve">; </w:t>
      </w:r>
      <w:hyperlink w:anchor="order-and-harmony">
        <w:r>
          <w:rPr>
            <w:color w:val="000000"/>
          </w:rPr>
          <w:t xml:space="preserve">Order and harmony</w:t>
        </w:r>
      </w:hyperlink>
      <w:r>
        <w:rPr>
          <w:b w:val="0"/>
          <w:i w:val="0"/>
        </w:rPr>
        <w:t xml:space="preserve">; </w:t>
      </w:r>
      <w:hyperlink w:anchor="spheres-and-stars">
        <w:r>
          <w:rPr>
            <w:color w:val="000000"/>
          </w:rPr>
          <w:t xml:space="preserve">Spheres and stars</w:t>
        </w:r>
      </w:hyperlink>
      <w:r>
        <w:rPr>
          <w:b w:val="0"/>
          <w:i w:val="0"/>
        </w:rPr>
        <w:t>.</w:t>
      </w:r>
    </w:p>
    <w:p>
      <w:pPr>
        <w:widowControl/>
      </w:pPr>
      <w:r>
        <w:rPr>
          <w:b/>
          <w:i w:val="0"/>
        </w:rPr>
        <w:t>Augustine; Aurelius Augustine.</w:t>
      </w:r>
      <w:r>
        <w:rPr>
          <w:b w:val="0"/>
          <w:i w:val="0"/>
        </w:rPr>
        <w:t xml:space="preserve"> The Proem invokes his authority for the proximity of Plato to Christian truth. Later he is cited concerning the doctrinal permissibility of celestial animation. </w:t>
      </w:r>
      <w:r>
        <w:rPr>
          <w:b w:val="0"/>
          <w:i/>
        </w:rPr>
        <w:t>Aureliana auctoritas</w:t>
      </w:r>
      <w:r>
        <w:rPr>
          <w:b w:val="0"/>
          <w:i w:val="0"/>
        </w:rPr>
        <w:t xml:space="preserve"> in Proem.7 refers back to this Augustine. Proem.6–7; IV.1.88. See </w:t>
      </w:r>
      <w:hyperlink w:anchor="philosophy-and-theology">
        <w:r>
          <w:rPr>
            <w:color w:val="000000"/>
          </w:rPr>
          <w:t xml:space="preserve">Philosophy and theology</w:t>
        </w:r>
      </w:hyperlink>
      <w:r>
        <w:rPr>
          <w:b w:val="0"/>
          <w:i w:val="0"/>
        </w:rPr>
        <w:t xml:space="preserve">; </w:t>
      </w:r>
      <w:hyperlink w:anchor="spheres-and-stars">
        <w:r>
          <w:rPr>
            <w:color w:val="000000"/>
          </w:rPr>
          <w:t xml:space="preserve">Spheres and stars</w:t>
        </w:r>
      </w:hyperlink>
      <w:r>
        <w:rPr>
          <w:b w:val="0"/>
          <w:i w:val="0"/>
        </w:rPr>
        <w:t>.</w:t>
      </w:r>
    </w:p>
    <w:p>
      <w:pPr>
        <w:widowControl/>
      </w:pPr>
      <w:r>
        <w:rPr>
          <w:b/>
          <w:i w:val="0"/>
        </w:rPr>
        <w:t>Averroes.</w:t>
      </w:r>
      <w:r>
        <w:rPr>
          <w:b w:val="0"/>
          <w:i w:val="0"/>
        </w:rPr>
        <w:t xml:space="preserve"> A source for celestial form having dimension without matter, and later a target of Ficino’s polemic against restricting divine knowledge of particulars. These are two distinct uses of his name. I.3.27–28; II.9.20–22. See </w:t>
      </w:r>
      <w:hyperlink w:anchor="incorporeal-and-immaterial">
        <w:r>
          <w:rPr>
            <w:color w:val="000000"/>
          </w:rPr>
          <w:t xml:space="preserve">Incorporeal and immaterial</w:t>
        </w:r>
      </w:hyperlink>
      <w:r>
        <w:rPr>
          <w:b w:val="0"/>
          <w:i w:val="0"/>
        </w:rPr>
        <w:t xml:space="preserve">; </w:t>
      </w:r>
      <w:hyperlink w:anchor="universals-and-individuals">
        <w:r>
          <w:rPr>
            <w:color w:val="000000"/>
          </w:rPr>
          <w:t xml:space="preserve">Universals and individuals</w:t>
        </w:r>
      </w:hyperlink>
      <w:r>
        <w:rPr>
          <w:b w:val="0"/>
          <w:i w:val="0"/>
        </w:rPr>
        <w:t>.</w:t>
      </w:r>
    </w:p>
    <w:p>
      <w:pPr>
        <w:widowControl/>
      </w:pPr>
      <w:r>
        <w:rPr>
          <w:b/>
          <w:i w:val="0"/>
        </w:rPr>
        <w:t>Avicenna.</w:t>
      </w:r>
      <w:r>
        <w:rPr>
          <w:b w:val="0"/>
          <w:i w:val="0"/>
        </w:rPr>
        <w:t xml:space="preserve"> Named in the discussion of the principal angelic minds and their number, and with Algazeles in support of celestial animation. I.5.20; IV.1.88. See </w:t>
      </w:r>
      <w:hyperlink w:anchor="angel">
        <w:r>
          <w:rPr>
            <w:color w:val="000000"/>
          </w:rPr>
          <w:t xml:space="preserve">Angel</w:t>
        </w:r>
      </w:hyperlink>
      <w:r>
        <w:rPr>
          <w:b w:val="0"/>
          <w:i w:val="0"/>
        </w:rPr>
        <w:t xml:space="preserve">; </w:t>
      </w:r>
      <w:hyperlink w:anchor="number">
        <w:r>
          <w:rPr>
            <w:color w:val="000000"/>
          </w:rPr>
          <w:t xml:space="preserve">Number</w:t>
        </w:r>
      </w:hyperlink>
      <w:r>
        <w:rPr>
          <w:b w:val="0"/>
          <w:i w:val="0"/>
        </w:rPr>
        <w:t xml:space="preserve">; </w:t>
      </w:r>
      <w:hyperlink w:anchor="spheres-and-stars">
        <w:r>
          <w:rPr>
            <w:color w:val="000000"/>
          </w:rPr>
          <w:t xml:space="preserve">Spheres and stars</w:t>
        </w:r>
      </w:hyperlink>
      <w:r>
        <w:rPr>
          <w:b w:val="0"/>
          <w:i w:val="0"/>
        </w:rPr>
        <w:t>.</w:t>
      </w:r>
    </w:p>
    <w:p>
      <w:pPr>
        <w:widowControl/>
      </w:pPr>
      <w:r>
        <w:rPr>
          <w:b/>
          <w:i w:val="0"/>
        </w:rPr>
        <w:t>Chrysippus.</w:t>
      </w:r>
      <w:r>
        <w:rPr>
          <w:b w:val="0"/>
          <w:i w:val="0"/>
        </w:rPr>
        <w:t xml:space="preserve"> With Strato, represents an identification of the world’s infused life with the highest God that Ficino rejects. IV.1.22–28. See </w:t>
      </w:r>
      <w:hyperlink w:anchor="world-soul">
        <w:r>
          <w:rPr>
            <w:color w:val="000000"/>
          </w:rPr>
          <w:t xml:space="preserve">World soul</w:t>
        </w:r>
      </w:hyperlink>
      <w:r>
        <w:rPr>
          <w:b w:val="0"/>
          <w:i w:val="0"/>
        </w:rPr>
        <w:t xml:space="preserve">; </w:t>
      </w:r>
      <w:hyperlink w:anchor="life">
        <w:r>
          <w:rPr>
            <w:color w:val="000000"/>
          </w:rPr>
          <w:t xml:space="preserve">Life</w:t>
        </w:r>
      </w:hyperlink>
      <w:r>
        <w:rPr>
          <w:b w:val="0"/>
          <w:i w:val="0"/>
        </w:rPr>
        <w:t>.</w:t>
      </w:r>
    </w:p>
    <w:p>
      <w:pPr>
        <w:widowControl/>
      </w:pPr>
      <w:r>
        <w:rPr>
          <w:b/>
          <w:i w:val="0"/>
        </w:rPr>
        <w:t>Cynics.</w:t>
      </w:r>
      <w:r>
        <w:rPr>
          <w:b w:val="0"/>
          <w:i w:val="0"/>
        </w:rPr>
        <w:t xml:space="preserve"> Paired with Stoics as investigators who reached quality and effective power in Ficino’s introductory ascent. I.1.3; I.3.1. See </w:t>
      </w:r>
      <w:hyperlink w:anchor="ascent">
        <w:r>
          <w:rPr>
            <w:color w:val="000000"/>
          </w:rPr>
          <w:t xml:space="preserve">Ascent</w:t>
        </w:r>
      </w:hyperlink>
      <w:r>
        <w:rPr>
          <w:b w:val="0"/>
          <w:i w:val="0"/>
        </w:rPr>
        <w:t xml:space="preserve">; </w:t>
      </w:r>
      <w:hyperlink w:anchor="quality">
        <w:r>
          <w:rPr>
            <w:color w:val="000000"/>
          </w:rPr>
          <w:t xml:space="preserve">Quality</w:t>
        </w:r>
      </w:hyperlink>
      <w:r>
        <w:rPr>
          <w:b w:val="0"/>
          <w:i w:val="0"/>
        </w:rPr>
        <w:t>.</w:t>
      </w:r>
    </w:p>
    <w:p>
      <w:pPr>
        <w:widowControl/>
      </w:pPr>
      <w:r>
        <w:rPr>
          <w:b/>
          <w:i w:val="0"/>
        </w:rPr>
        <w:t>Cyrenaics.</w:t>
      </w:r>
      <w:r>
        <w:rPr>
          <w:b w:val="0"/>
          <w:i w:val="0"/>
        </w:rPr>
        <w:t xml:space="preserve"> Grouped with followers of Democritus and Epicurus as confining inquiry to bodily bulk. This is Ficino’s argumentative classification. I.1.3; I.2.8. See </w:t>
      </w:r>
      <w:hyperlink w:anchor="body-and-bulk">
        <w:r>
          <w:rPr>
            <w:color w:val="000000"/>
          </w:rPr>
          <w:t xml:space="preserve">Body and bulk</w:t>
        </w:r>
      </w:hyperlink>
      <w:r>
        <w:rPr>
          <w:b w:val="0"/>
          <w:i w:val="0"/>
        </w:rPr>
        <w:t xml:space="preserve">; </w:t>
      </w:r>
      <w:hyperlink w:anchor="ascent">
        <w:r>
          <w:rPr>
            <w:color w:val="000000"/>
          </w:rPr>
          <w:t xml:space="preserve">Ascent</w:t>
        </w:r>
      </w:hyperlink>
      <w:r>
        <w:rPr>
          <w:b w:val="0"/>
          <w:i w:val="0"/>
        </w:rPr>
        <w:t>.</w:t>
      </w:r>
    </w:p>
    <w:p>
      <w:pPr>
        <w:widowControl/>
      </w:pPr>
      <w:r>
        <w:rPr>
          <w:b/>
          <w:i w:val="0"/>
        </w:rPr>
        <w:t>Daniel.</w:t>
      </w:r>
      <w:r>
        <w:rPr>
          <w:b w:val="0"/>
          <w:i w:val="0"/>
        </w:rPr>
        <w:t xml:space="preserve"> The prophetic saying concerning innumerable attendants supplies support for angelic abundance. Ficino places it beside discussion of Dionysius and angelic orders. I.5.27. See </w:t>
      </w:r>
      <w:hyperlink w:anchor="angel">
        <w:r>
          <w:rPr>
            <w:color w:val="000000"/>
          </w:rPr>
          <w:t xml:space="preserve">Angel</w:t>
        </w:r>
      </w:hyperlink>
      <w:r>
        <w:rPr>
          <w:b w:val="0"/>
          <w:i w:val="0"/>
        </w:rPr>
        <w:t xml:space="preserve">; </w:t>
      </w:r>
      <w:hyperlink w:anchor="number">
        <w:r>
          <w:rPr>
            <w:color w:val="000000"/>
          </w:rPr>
          <w:t xml:space="preserve">Number</w:t>
        </w:r>
      </w:hyperlink>
      <w:r>
        <w:rPr>
          <w:b w:val="0"/>
          <w:i w:val="0"/>
        </w:rPr>
        <w:t>.</w:t>
      </w:r>
    </w:p>
    <w:p>
      <w:pPr>
        <w:widowControl/>
      </w:pPr>
      <w:r>
        <w:rPr>
          <w:b/>
          <w:i w:val="0"/>
        </w:rPr>
        <w:t>Democritus and his followers.</w:t>
      </w:r>
      <w:r>
        <w:rPr>
          <w:b w:val="0"/>
          <w:i w:val="0"/>
        </w:rPr>
        <w:t xml:space="preserve"> Assigned to the bodily stopping point in the ascent and associated with explaining bodies’ action from bulk. Ficino argues instead for the efficacy of quality and higher causes. I.1.3; I.2.8. See </w:t>
      </w:r>
      <w:hyperlink w:anchor="body-and-bulk">
        <w:r>
          <w:rPr>
            <w:color w:val="000000"/>
          </w:rPr>
          <w:t xml:space="preserve">Body and bulk</w:t>
        </w:r>
      </w:hyperlink>
      <w:r>
        <w:rPr>
          <w:b w:val="0"/>
          <w:i w:val="0"/>
        </w:rPr>
        <w:t xml:space="preserve">; </w:t>
      </w:r>
      <w:hyperlink w:anchor="quality">
        <w:r>
          <w:rPr>
            <w:color w:val="000000"/>
          </w:rPr>
          <w:t xml:space="preserve">Quality</w:t>
        </w:r>
      </w:hyperlink>
      <w:r>
        <w:rPr>
          <w:b w:val="0"/>
          <w:i w:val="0"/>
        </w:rPr>
        <w:t>.</w:t>
      </w:r>
    </w:p>
    <w:p>
      <w:pPr>
        <w:widowControl/>
      </w:pPr>
      <w:r>
        <w:rPr>
          <w:b/>
          <w:i w:val="0"/>
        </w:rPr>
        <w:t>Dionysius the Areopagite.</w:t>
      </w:r>
      <w:r>
        <w:rPr>
          <w:b w:val="0"/>
          <w:i w:val="0"/>
        </w:rPr>
        <w:t xml:space="preserve"> Cited concerning the abundance of separate intellectual species and the numerical orders of angels. Ficino’s account connects these classifications with Iamblichus and Proclus. I.5.27. See </w:t>
      </w:r>
      <w:hyperlink w:anchor="angel">
        <w:r>
          <w:rPr>
            <w:color w:val="000000"/>
          </w:rPr>
          <w:t xml:space="preserve">Angel</w:t>
        </w:r>
      </w:hyperlink>
      <w:r>
        <w:rPr>
          <w:b w:val="0"/>
          <w:i w:val="0"/>
        </w:rPr>
        <w:t xml:space="preserve">; </w:t>
      </w:r>
      <w:hyperlink w:anchor="number">
        <w:r>
          <w:rPr>
            <w:color w:val="000000"/>
          </w:rPr>
          <w:t xml:space="preserve">Number</w:t>
        </w:r>
      </w:hyperlink>
      <w:r>
        <w:rPr>
          <w:b w:val="0"/>
          <w:i w:val="0"/>
        </w:rPr>
        <w:t>.</w:t>
      </w:r>
    </w:p>
    <w:p>
      <w:pPr>
        <w:widowControl/>
      </w:pPr>
      <w:r>
        <w:rPr>
          <w:b/>
          <w:i w:val="0"/>
        </w:rPr>
        <w:t>Dionysius, King.</w:t>
      </w:r>
      <w:r>
        <w:rPr>
          <w:b w:val="0"/>
          <w:i w:val="0"/>
        </w:rPr>
        <w:t xml:space="preserve"> The addressee of the Platonic letter Ficino cites for the threefold order of divine principles and their traces. He is not the Dionysius named in the angelic-orders passage. IV.1.86. See </w:t>
      </w:r>
      <w:hyperlink w:anchor="hermetic-theologians-and-the-magi">
        <w:r>
          <w:rPr>
            <w:color w:val="000000"/>
          </w:rPr>
          <w:t xml:space="preserve">Hermetic theologians and the Magi</w:t>
        </w:r>
      </w:hyperlink>
      <w:r>
        <w:rPr>
          <w:b w:val="0"/>
          <w:i w:val="0"/>
        </w:rPr>
        <w:t xml:space="preserve">; </w:t>
      </w:r>
      <w:hyperlink w:anchor="order-and-harmony">
        <w:r>
          <w:rPr>
            <w:color w:val="000000"/>
          </w:rPr>
          <w:t xml:space="preserve">Order and harmony</w:t>
        </w:r>
      </w:hyperlink>
      <w:r>
        <w:rPr>
          <w:b w:val="0"/>
          <w:i w:val="0"/>
        </w:rPr>
        <w:t>.</w:t>
      </w:r>
    </w:p>
    <w:p>
      <w:pPr>
        <w:widowControl/>
      </w:pPr>
      <w:r>
        <w:rPr>
          <w:b/>
          <w:i w:val="0"/>
        </w:rPr>
        <w:t>Egelias.</w:t>
      </w:r>
      <w:r>
        <w:rPr>
          <w:b w:val="0"/>
          <w:i w:val="0"/>
        </w:rPr>
        <w:t xml:space="preserve"> The retained source name associated with a view that earth moves. Ficino gives the circular motion conditionally and also reports the predominant view that earth remains still. The edition does not resolve the name by conjectural correction. IV.1.75. See </w:t>
      </w:r>
      <w:hyperlink w:anchor="natural-motion-and-natural-place">
        <w:r>
          <w:rPr>
            <w:color w:val="000000"/>
          </w:rPr>
          <w:t xml:space="preserve">Natural motion and natural place</w:t>
        </w:r>
      </w:hyperlink>
      <w:r>
        <w:rPr>
          <w:b w:val="0"/>
          <w:i w:val="0"/>
        </w:rPr>
        <w:t>.</w:t>
      </w:r>
    </w:p>
    <w:p>
      <w:pPr>
        <w:widowControl/>
      </w:pPr>
      <w:r>
        <w:rPr>
          <w:b/>
          <w:i w:val="0"/>
        </w:rPr>
        <w:t>Epicurus and the Epicureans.</w:t>
      </w:r>
      <w:r>
        <w:rPr>
          <w:b w:val="0"/>
          <w:i w:val="0"/>
        </w:rPr>
        <w:t xml:space="preserve"> Appear at the bodily stopping point of the ascent, in the objection that divine activity would entail burdensome deliberation, and in the polemic about divine knowledge of lowly things. I.1.3; I.2.8; II.8.1; II.9.20. See </w:t>
      </w:r>
      <w:hyperlink w:anchor="body-and-bulk">
        <w:r>
          <w:rPr>
            <w:color w:val="000000"/>
          </w:rPr>
          <w:t xml:space="preserve">Body and bulk</w:t>
        </w:r>
      </w:hyperlink>
      <w:r>
        <w:rPr>
          <w:b w:val="0"/>
          <w:i w:val="0"/>
        </w:rPr>
        <w:t xml:space="preserve">; </w:t>
      </w:r>
      <w:hyperlink w:anchor="choice-and-deliberation">
        <w:r>
          <w:rPr>
            <w:color w:val="000000"/>
          </w:rPr>
          <w:t xml:space="preserve">Choice and deliberation</w:t>
        </w:r>
      </w:hyperlink>
      <w:r>
        <w:rPr>
          <w:b w:val="0"/>
          <w:i w:val="0"/>
        </w:rPr>
        <w:t xml:space="preserve">; </w:t>
      </w:r>
      <w:hyperlink w:anchor="universals-and-individuals">
        <w:r>
          <w:rPr>
            <w:color w:val="000000"/>
          </w:rPr>
          <w:t xml:space="preserve">Universals and individuals</w:t>
        </w:r>
      </w:hyperlink>
      <w:r>
        <w:rPr>
          <w:b w:val="0"/>
          <w:i w:val="0"/>
        </w:rPr>
        <w:t>.</w:t>
      </w:r>
    </w:p>
    <w:p>
      <w:pPr>
        <w:widowControl/>
      </w:pPr>
      <w:r>
        <w:rPr>
          <w:b/>
          <w:i w:val="0"/>
        </w:rPr>
        <w:t>Euclid.</w:t>
      </w:r>
      <w:r>
        <w:rPr>
          <w:b w:val="0"/>
          <w:i w:val="0"/>
        </w:rPr>
        <w:t xml:space="preserve"> In the lantern example, he plans to travel from Megara to Athens to hear Socrates; each step still requires a particular perception, desire, and action. The passage does not identify him as the geometer used in another analogy. IV.2.13–16. See </w:t>
      </w:r>
      <w:hyperlink w:anchor="fate">
        <w:r>
          <w:rPr>
            <w:color w:val="000000"/>
          </w:rPr>
          <w:t xml:space="preserve">Fate</w:t>
        </w:r>
      </w:hyperlink>
      <w:r>
        <w:rPr>
          <w:b w:val="0"/>
          <w:i w:val="0"/>
        </w:rPr>
        <w:t xml:space="preserve">; </w:t>
      </w:r>
      <w:hyperlink w:anchor="sense-and-imagination">
        <w:r>
          <w:rPr>
            <w:color w:val="000000"/>
          </w:rPr>
          <w:t xml:space="preserve">Sense and imagination</w:t>
        </w:r>
      </w:hyperlink>
      <w:r>
        <w:rPr>
          <w:b w:val="0"/>
          <w:i w:val="0"/>
        </w:rPr>
        <w:t>.</w:t>
      </w:r>
    </w:p>
    <w:p>
      <w:pPr>
        <w:widowControl/>
      </w:pPr>
      <w:r>
        <w:rPr>
          <w:b/>
          <w:i w:val="0"/>
        </w:rPr>
        <w:t>Gnostic philosophers.</w:t>
      </w:r>
      <w:r>
        <w:rPr>
          <w:b w:val="0"/>
          <w:i w:val="0"/>
        </w:rPr>
        <w:t xml:space="preserve"> Named with Manichaeans in Ficino’s rejection of opposed good and evil divine principles. The entry concerns this attribution in his argument, not a definition of every group called Gnostic. II.2.14–15. See </w:t>
      </w:r>
      <w:hyperlink w:anchor="god">
        <w:r>
          <w:rPr>
            <w:color w:val="000000"/>
          </w:rPr>
          <w:t xml:space="preserve">God</w:t>
        </w:r>
      </w:hyperlink>
      <w:r>
        <w:rPr>
          <w:b w:val="0"/>
          <w:i w:val="0"/>
        </w:rPr>
        <w:t xml:space="preserve">; </w:t>
      </w:r>
      <w:hyperlink w:anchor="good-and-goodness">
        <w:r>
          <w:rPr>
            <w:color w:val="000000"/>
          </w:rPr>
          <w:t xml:space="preserve">Good and goodness</w:t>
        </w:r>
      </w:hyperlink>
      <w:r>
        <w:rPr>
          <w:b w:val="0"/>
          <w:i w:val="0"/>
        </w:rPr>
        <w:t>.</w:t>
      </w:r>
    </w:p>
    <w:p>
      <w:pPr>
        <w:widowControl/>
      </w:pPr>
      <w:r>
        <w:rPr>
          <w:b/>
          <w:i w:val="0"/>
        </w:rPr>
        <w:t>Heraclitus.</w:t>
      </w:r>
      <w:r>
        <w:rPr>
          <w:b w:val="0"/>
          <w:i w:val="0"/>
        </w:rPr>
        <w:t xml:space="preserve"> Grouped with Marcus Varro and Marcus Manilius as reaching rational soul in the ascent. I.1.4; I.5.2. See </w:t>
      </w:r>
      <w:hyperlink w:anchor="ascent">
        <w:r>
          <w:rPr>
            <w:color w:val="000000"/>
          </w:rPr>
          <w:t xml:space="preserve">Ascent</w:t>
        </w:r>
      </w:hyperlink>
      <w:r>
        <w:rPr>
          <w:b w:val="0"/>
          <w:i w:val="0"/>
        </w:rPr>
        <w:t xml:space="preserve">; </w:t>
      </w:r>
      <w:hyperlink w:anchor="soul">
        <w:r>
          <w:rPr>
            <w:color w:val="000000"/>
          </w:rPr>
          <w:t xml:space="preserve">Soul</w:t>
        </w:r>
      </w:hyperlink>
      <w:r>
        <w:rPr>
          <w:b w:val="0"/>
          <w:i w:val="0"/>
        </w:rPr>
        <w:t>.</w:t>
      </w:r>
    </w:p>
    <w:p>
      <w:pPr>
        <w:widowControl/>
      </w:pPr>
      <w:r>
        <w:rPr>
          <w:b/>
          <w:i w:val="0"/>
        </w:rPr>
        <w:t>Hermes.</w:t>
      </w:r>
      <w:r>
        <w:rPr>
          <w:b w:val="0"/>
          <w:i w:val="0"/>
        </w:rPr>
        <w:t xml:space="preserve"> See Mercury Trismegistus below and </w:t>
      </w:r>
      <w:hyperlink w:anchor="hermetic-theologians-and-the-magi">
        <w:r>
          <w:rPr>
            <w:color w:val="000000"/>
          </w:rPr>
          <w:t xml:space="preserve">Hermetic theologians and the Magi</w:t>
        </w:r>
      </w:hyperlink>
      <w:r>
        <w:rPr>
          <w:b w:val="0"/>
          <w:i w:val="0"/>
        </w:rPr>
        <w:t>.</w:t>
      </w:r>
    </w:p>
    <w:p>
      <w:pPr>
        <w:widowControl/>
      </w:pPr>
      <w:r>
        <w:rPr>
          <w:b/>
          <w:i w:val="0"/>
        </w:rPr>
        <w:t>Hermotimus.</w:t>
      </w:r>
      <w:r>
        <w:rPr>
          <w:b w:val="0"/>
          <w:i w:val="0"/>
        </w:rPr>
        <w:t xml:space="preserve"> See Anaxagoras and Hermotimus above; I.1.5; I.6.1.</w:t>
      </w:r>
    </w:p>
    <w:p>
      <w:pPr>
        <w:widowControl/>
      </w:pPr>
      <w:r>
        <w:rPr>
          <w:b/>
          <w:i w:val="0"/>
        </w:rPr>
        <w:t>Iamblichus.</w:t>
      </w:r>
      <w:r>
        <w:rPr>
          <w:b w:val="0"/>
          <w:i w:val="0"/>
        </w:rPr>
        <w:t xml:space="preserve"> Appears with Proclus in the account of angelic numerical orders and among the named authorities for universal mental presence. I.5.27; II.6.14–24. See </w:t>
      </w:r>
      <w:hyperlink w:anchor="angel">
        <w:r>
          <w:rPr>
            <w:color w:val="000000"/>
          </w:rPr>
          <w:t xml:space="preserve">Angel</w:t>
        </w:r>
      </w:hyperlink>
      <w:r>
        <w:rPr>
          <w:b w:val="0"/>
          <w:i w:val="0"/>
        </w:rPr>
        <w:t xml:space="preserve">; </w:t>
      </w:r>
      <w:hyperlink w:anchor="mind">
        <w:r>
          <w:rPr>
            <w:color w:val="000000"/>
          </w:rPr>
          <w:t xml:space="preserve">Mind</w:t>
        </w:r>
      </w:hyperlink>
      <w:r>
        <w:rPr>
          <w:b w:val="0"/>
          <w:i w:val="0"/>
        </w:rPr>
        <w:t>.</w:t>
      </w:r>
    </w:p>
    <w:p>
      <w:pPr>
        <w:widowControl/>
      </w:pPr>
      <w:r>
        <w:rPr>
          <w:b/>
          <w:i w:val="0"/>
        </w:rPr>
        <w:t>John the Apostle.</w:t>
      </w:r>
      <w:r>
        <w:rPr>
          <w:b w:val="0"/>
          <w:i w:val="0"/>
        </w:rPr>
        <w:t xml:space="preserve"> Ficino attributes to his theology the principle–reason–love interpretation of unity, truth, and goodness, with Amelius named as a recipient. II.3.10. See </w:t>
      </w:r>
      <w:hyperlink w:anchor="principle">
        <w:r>
          <w:rPr>
            <w:color w:val="000000"/>
          </w:rPr>
          <w:t xml:space="preserve">Principle</w:t>
        </w:r>
      </w:hyperlink>
      <w:r>
        <w:rPr>
          <w:b w:val="0"/>
          <w:i w:val="0"/>
        </w:rPr>
        <w:t>.</w:t>
      </w:r>
    </w:p>
    <w:p>
      <w:pPr>
        <w:widowControl/>
      </w:pPr>
      <w:r>
        <w:rPr>
          <w:b/>
          <w:i w:val="0"/>
        </w:rPr>
        <w:t>Julian.</w:t>
      </w:r>
      <w:r>
        <w:rPr>
          <w:b w:val="0"/>
          <w:i w:val="0"/>
        </w:rPr>
        <w:t xml:space="preserve"> Named as a Platonist in the attributed account of all minds present throughout immensity. The local text supplies this role without requiring a more specific identification. II.6.14–24. See </w:t>
      </w:r>
      <w:hyperlink w:anchor="mind">
        <w:r>
          <w:rPr>
            <w:color w:val="000000"/>
          </w:rPr>
          <w:t xml:space="preserve">Mind</w:t>
        </w:r>
      </w:hyperlink>
      <w:r>
        <w:rPr>
          <w:b w:val="0"/>
          <w:i w:val="0"/>
        </w:rPr>
        <w:t>.</w:t>
      </w:r>
    </w:p>
    <w:p>
      <w:pPr>
        <w:widowControl/>
      </w:pPr>
      <w:r>
        <w:rPr>
          <w:b/>
          <w:i w:val="0"/>
        </w:rPr>
        <w:t>Lorenzo de’ Medici.</w:t>
      </w:r>
      <w:r>
        <w:rPr>
          <w:b w:val="0"/>
          <w:i w:val="0"/>
        </w:rPr>
        <w:t xml:space="preserve"> The dedicatee, addressed as magnanimous and praised for joining philosophy with authority in public affairs. Ficino credits his beneficence with providing philosophical leisure. Proem heading; Proem.11. See </w:t>
      </w:r>
      <w:hyperlink w:anchor="philosophy-and-theology">
        <w:r>
          <w:rPr>
            <w:color w:val="000000"/>
          </w:rPr>
          <w:t xml:space="preserve">Philosophy and theology</w:t>
        </w:r>
      </w:hyperlink>
      <w:r>
        <w:rPr>
          <w:b w:val="0"/>
          <w:i w:val="0"/>
        </w:rPr>
        <w:t>.</w:t>
      </w:r>
    </w:p>
    <w:p>
      <w:pPr>
        <w:widowControl/>
      </w:pPr>
      <w:r>
        <w:rPr>
          <w:b/>
          <w:i w:val="0"/>
        </w:rPr>
        <w:t>Lucretius.</w:t>
      </w:r>
      <w:r>
        <w:rPr>
          <w:b w:val="0"/>
          <w:i w:val="0"/>
        </w:rPr>
        <w:t xml:space="preserve"> The named Epicurean opponent in Ficino’s argument against chance as the explanation of the world’s orderly formation and governance. The direct addresses belong to Ficino’s polemical presentation. II.13.14–20. See </w:t>
      </w:r>
      <w:hyperlink w:anchor="chance">
        <w:r>
          <w:rPr>
            <w:color w:val="000000"/>
          </w:rPr>
          <w:t xml:space="preserve">Chance</w:t>
        </w:r>
      </w:hyperlink>
      <w:r>
        <w:rPr>
          <w:b w:val="0"/>
          <w:i w:val="0"/>
        </w:rPr>
        <w:t xml:space="preserve">; </w:t>
      </w:r>
      <w:hyperlink w:anchor="providence">
        <w:r>
          <w:rPr>
            <w:color w:val="000000"/>
          </w:rPr>
          <w:t xml:space="preserve">Providence</w:t>
        </w:r>
      </w:hyperlink>
      <w:r>
        <w:rPr>
          <w:b w:val="0"/>
          <w:i w:val="0"/>
        </w:rPr>
        <w:t xml:space="preserve">; </w:t>
      </w:r>
      <w:hyperlink w:anchor="art-and-nature">
        <w:r>
          <w:rPr>
            <w:color w:val="000000"/>
          </w:rPr>
          <w:t xml:space="preserve">Art and nature</w:t>
        </w:r>
      </w:hyperlink>
      <w:r>
        <w:rPr>
          <w:b w:val="0"/>
          <w:i w:val="0"/>
        </w:rPr>
        <w:t>.</w:t>
      </w:r>
    </w:p>
    <w:p>
      <w:pPr>
        <w:widowControl/>
      </w:pPr>
      <w:r>
        <w:rPr>
          <w:b/>
          <w:i w:val="0"/>
        </w:rPr>
        <w:t>Magi.</w:t>
      </w:r>
      <w:r>
        <w:rPr>
          <w:b w:val="0"/>
          <w:i w:val="0"/>
        </w:rPr>
        <w:t xml:space="preserve"> Authorities for the light riddle, natural powers, and the triad Oromasis–Mitris–Arimanis. Their appearances belong to Ficino’s presentation of ancient theology. I.5.14; IV.1.20; IV.1.86. See </w:t>
      </w:r>
      <w:hyperlink w:anchor="hermetic-theologians-and-the-magi">
        <w:r>
          <w:rPr>
            <w:color w:val="000000"/>
          </w:rPr>
          <w:t xml:space="preserve">Hermetic theologians and the Magi</w:t>
        </w:r>
      </w:hyperlink>
      <w:r>
        <w:rPr>
          <w:b w:val="0"/>
          <w:i w:val="0"/>
        </w:rPr>
        <w:t xml:space="preserve">; </w:t>
      </w:r>
      <w:hyperlink w:anchor="light-and-illumination">
        <w:r>
          <w:rPr>
            <w:color w:val="000000"/>
          </w:rPr>
          <w:t xml:space="preserve">Light and illumination</w:t>
        </w:r>
      </w:hyperlink>
      <w:r>
        <w:rPr>
          <w:b w:val="0"/>
          <w:i w:val="0"/>
        </w:rPr>
        <w:t>.</w:t>
      </w:r>
    </w:p>
    <w:p>
      <w:pPr>
        <w:widowControl/>
      </w:pPr>
      <w:r>
        <w:rPr>
          <w:b/>
          <w:i w:val="0"/>
        </w:rPr>
        <w:t>Manichaeans.</w:t>
      </w:r>
      <w:r>
        <w:rPr>
          <w:b w:val="0"/>
          <w:i w:val="0"/>
        </w:rPr>
        <w:t xml:space="preserve"> Named with Gnostic philosophers in the rejected account of a good divine principle opposed by an evil one. Ficino argues that absolute evil would lack being, life, knowledge, and action. II.2.14–15. See </w:t>
      </w:r>
      <w:hyperlink w:anchor="nothing-and-nonbeing">
        <w:r>
          <w:rPr>
            <w:color w:val="000000"/>
          </w:rPr>
          <w:t xml:space="preserve">Nothing and nonbeing</w:t>
        </w:r>
      </w:hyperlink>
      <w:r>
        <w:rPr>
          <w:b w:val="0"/>
          <w:i w:val="0"/>
        </w:rPr>
        <w:t xml:space="preserve">; </w:t>
      </w:r>
      <w:hyperlink w:anchor="good-and-goodness">
        <w:r>
          <w:rPr>
            <w:color w:val="000000"/>
          </w:rPr>
          <w:t xml:space="preserve">Good and goodness</w:t>
        </w:r>
      </w:hyperlink>
      <w:r>
        <w:rPr>
          <w:b w:val="0"/>
          <w:i w:val="0"/>
        </w:rPr>
        <w:t>.</w:t>
      </w:r>
    </w:p>
    <w:p>
      <w:pPr>
        <w:widowControl/>
      </w:pPr>
      <w:r>
        <w:rPr>
          <w:b/>
          <w:i w:val="0"/>
        </w:rPr>
        <w:t>Manilius, Marcus.</w:t>
      </w:r>
      <w:r>
        <w:rPr>
          <w:b w:val="0"/>
          <w:i w:val="0"/>
        </w:rPr>
        <w:t xml:space="preserve"> With Heraclitus and Marcus Varro, placed at the soul level in Ficino’s introductory classification. I.1.4; I.5.2. See </w:t>
      </w:r>
      <w:hyperlink w:anchor="ascent">
        <w:r>
          <w:rPr>
            <w:color w:val="000000"/>
          </w:rPr>
          <w:t xml:space="preserve">Ascent</w:t>
        </w:r>
      </w:hyperlink>
      <w:r>
        <w:rPr>
          <w:b w:val="0"/>
          <w:i w:val="0"/>
        </w:rPr>
        <w:t>.</w:t>
      </w:r>
    </w:p>
    <w:p>
      <w:pPr>
        <w:widowControl/>
      </w:pPr>
      <w:r>
        <w:rPr>
          <w:b/>
          <w:i w:val="0"/>
        </w:rPr>
        <w:t>Mercury Trismegistus; Hermes.</w:t>
      </w:r>
      <w:r>
        <w:rPr>
          <w:b w:val="0"/>
          <w:i w:val="0"/>
        </w:rPr>
        <w:t xml:space="preserve"> Cited on formless matter, divine will, providence, and the world’s old age. The Hermetic theologians frame the inquiry into grades of rational soul. Distinguish this authority from Mercury as planet or cosmic divine name. I.3.19; II.11.38; II.13.24; IV.1.1; IV.2.12. See </w:t>
      </w:r>
      <w:hyperlink w:anchor="matter">
        <w:r>
          <w:rPr>
            <w:color w:val="000000"/>
          </w:rPr>
          <w:t xml:space="preserve">Matter</w:t>
        </w:r>
      </w:hyperlink>
      <w:r>
        <w:rPr>
          <w:b w:val="0"/>
          <w:i w:val="0"/>
        </w:rPr>
        <w:t xml:space="preserve">; </w:t>
      </w:r>
      <w:hyperlink w:anchor="will">
        <w:r>
          <w:rPr>
            <w:color w:val="000000"/>
          </w:rPr>
          <w:t xml:space="preserve">Will</w:t>
        </w:r>
      </w:hyperlink>
      <w:r>
        <w:rPr>
          <w:b w:val="0"/>
          <w:i w:val="0"/>
        </w:rPr>
        <w:t xml:space="preserve">; </w:t>
      </w:r>
      <w:hyperlink w:anchor="hermetic-theologians-and-the-magi">
        <w:r>
          <w:rPr>
            <w:color w:val="000000"/>
          </w:rPr>
          <w:t xml:space="preserve">Hermetic theologians and the Magi</w:t>
        </w:r>
      </w:hyperlink>
      <w:r>
        <w:rPr>
          <w:b w:val="0"/>
          <w:i w:val="0"/>
        </w:rPr>
        <w:t xml:space="preserve">; </w:t>
      </w:r>
      <w:hyperlink w:anchor="great-year">
        <w:r>
          <w:rPr>
            <w:color w:val="000000"/>
          </w:rPr>
          <w:t xml:space="preserve">Great year</w:t>
        </w:r>
      </w:hyperlink>
      <w:r>
        <w:rPr>
          <w:b w:val="0"/>
          <w:i w:val="0"/>
        </w:rPr>
        <w:t>.</w:t>
      </w:r>
    </w:p>
    <w:p>
      <w:pPr>
        <w:widowControl/>
      </w:pPr>
      <w:r>
        <w:rPr>
          <w:b/>
          <w:i w:val="0"/>
        </w:rPr>
        <w:t>Metrodorus.</w:t>
      </w:r>
      <w:r>
        <w:rPr>
          <w:b w:val="0"/>
          <w:i w:val="0"/>
        </w:rPr>
        <w:t xml:space="preserve"> Cited with Zoroaster for coral’s alleged effects on terrors, lightning, and hail within the historical natural-lore argument. IV.1.21. See </w:t>
      </w:r>
      <w:hyperlink w:anchor="power-and-potency">
        <w:r>
          <w:rPr>
            <w:color w:val="000000"/>
          </w:rPr>
          <w:t xml:space="preserve">Power and potency</w:t>
        </w:r>
      </w:hyperlink>
      <w:r>
        <w:rPr>
          <w:b w:val="0"/>
          <w:i w:val="0"/>
        </w:rPr>
        <w:t>.</w:t>
      </w:r>
    </w:p>
    <w:p>
      <w:pPr>
        <w:widowControl/>
      </w:pPr>
      <w:r>
        <w:rPr>
          <w:b/>
          <w:i w:val="0"/>
        </w:rPr>
        <w:t>Orpheus and the Orphics.</w:t>
      </w:r>
      <w:r>
        <w:rPr>
          <w:b w:val="0"/>
          <w:i w:val="0"/>
        </w:rPr>
        <w:t xml:space="preserve"> Supply divine names, hymnic descriptions, and mythological interpretations throughout the argument: infinite end, necessity, divine sight, cosmic order, and the paired powers of souls. These are Ficino’s presented attributions. II.4.8; II.7.11; II.9.18–22; II.10.7; II.13.21–24; IV.1.94–95; IV.2.12. See </w:t>
      </w:r>
      <w:hyperlink w:anchor="end-and-limit">
        <w:r>
          <w:rPr>
            <w:color w:val="000000"/>
          </w:rPr>
          <w:t xml:space="preserve">End and limit</w:t>
        </w:r>
      </w:hyperlink>
      <w:r>
        <w:rPr>
          <w:b w:val="0"/>
          <w:i w:val="0"/>
        </w:rPr>
        <w:t xml:space="preserve">; </w:t>
      </w:r>
      <w:hyperlink w:anchor="apollo">
        <w:r>
          <w:rPr>
            <w:color w:val="000000"/>
          </w:rPr>
          <w:t xml:space="preserve">Apollo</w:t>
        </w:r>
      </w:hyperlink>
      <w:r>
        <w:rPr>
          <w:b w:val="0"/>
          <w:i w:val="0"/>
        </w:rPr>
        <w:t xml:space="preserve">; </w:t>
      </w:r>
      <w:hyperlink w:anchor="bacchus-and-the-muses">
        <w:r>
          <w:rPr>
            <w:color w:val="000000"/>
          </w:rPr>
          <w:t xml:space="preserve">Bacchus and the Muses</w:t>
        </w:r>
      </w:hyperlink>
      <w:r>
        <w:rPr>
          <w:b w:val="0"/>
          <w:i w:val="0"/>
        </w:rPr>
        <w:t xml:space="preserve">; </w:t>
      </w:r>
      <w:hyperlink w:anchor="proteus">
        <w:r>
          <w:rPr>
            <w:color w:val="000000"/>
          </w:rPr>
          <w:t xml:space="preserve">Proteus</w:t>
        </w:r>
      </w:hyperlink>
      <w:r>
        <w:rPr>
          <w:b w:val="0"/>
          <w:i w:val="0"/>
        </w:rPr>
        <w:t>.</w:t>
      </w:r>
    </w:p>
    <w:p>
      <w:pPr>
        <w:widowControl/>
      </w:pPr>
      <w:r>
        <w:rPr>
          <w:b/>
          <w:i w:val="0"/>
        </w:rPr>
        <w:t>Parmenides.</w:t>
      </w:r>
      <w:r>
        <w:rPr>
          <w:b w:val="0"/>
          <w:i w:val="0"/>
        </w:rPr>
        <w:t xml:space="preserve"> Called Pythagorean by Ficino and cited for the one, unmoved, infinite divine being and the unmoved source of the world’s turning. II.7.1; II.11.16. See </w:t>
      </w:r>
      <w:hyperlink w:anchor="god">
        <w:r>
          <w:rPr>
            <w:color w:val="000000"/>
          </w:rPr>
          <w:t xml:space="preserve">God</w:t>
        </w:r>
      </w:hyperlink>
      <w:r>
        <w:rPr>
          <w:b w:val="0"/>
          <w:i w:val="0"/>
        </w:rPr>
        <w:t xml:space="preserve">; </w:t>
      </w:r>
      <w:hyperlink w:anchor="motion-and-stability">
        <w:r>
          <w:rPr>
            <w:color w:val="000000"/>
          </w:rPr>
          <w:t xml:space="preserve">Motion and stability</w:t>
        </w:r>
      </w:hyperlink>
      <w:r>
        <w:rPr>
          <w:b w:val="0"/>
          <w:i w:val="0"/>
        </w:rPr>
        <w:t>.</w:t>
      </w:r>
    </w:p>
    <w:p>
      <w:pPr>
        <w:widowControl/>
      </w:pPr>
      <w:r>
        <w:rPr>
          <w:b/>
          <w:i w:val="0"/>
        </w:rPr>
        <w:t>Peripatetics.</w:t>
      </w:r>
      <w:r>
        <w:rPr>
          <w:b w:val="0"/>
          <w:i w:val="0"/>
        </w:rPr>
        <w:t xml:space="preserve"> See Aristotle and the Peripatetics above, especially I.3.19; II.12.17; IV.1.88–93.</w:t>
      </w:r>
    </w:p>
    <w:p>
      <w:pPr>
        <w:widowControl/>
      </w:pPr>
      <w:r>
        <w:rPr>
          <w:b/>
          <w:i w:val="0"/>
        </w:rPr>
        <w:t>Plato and the Platonists.</w:t>
      </w:r>
      <w:r>
        <w:rPr>
          <w:b w:val="0"/>
          <w:i w:val="0"/>
        </w:rPr>
        <w:t xml:space="preserve"> The principal philosophical authorities and interlocutors. Ficino presents their account in relation to Christian truth but also marks specific attributed doctrines, numerical excursions, and reservations. Proem.1–11; I.6.1; III.1–2; IV.1.40–52, IV.1.96. See </w:t>
      </w:r>
      <w:hyperlink w:anchor="philosophy-and-theology">
        <w:r>
          <w:rPr>
            <w:color w:val="000000"/>
          </w:rPr>
          <w:t xml:space="preserve">Philosophy and theology</w:t>
        </w:r>
      </w:hyperlink>
      <w:r>
        <w:rPr>
          <w:b w:val="0"/>
          <w:i w:val="0"/>
        </w:rPr>
        <w:t xml:space="preserve">; </w:t>
      </w:r>
      <w:hyperlink w:anchor="ascent">
        <w:r>
          <w:rPr>
            <w:color w:val="000000"/>
          </w:rPr>
          <w:t xml:space="preserve">Ascent</w:t>
        </w:r>
      </w:hyperlink>
      <w:r>
        <w:rPr>
          <w:b w:val="0"/>
          <w:i w:val="0"/>
        </w:rPr>
        <w:t xml:space="preserve">; </w:t>
      </w:r>
      <w:hyperlink w:anchor="soul">
        <w:r>
          <w:rPr>
            <w:color w:val="000000"/>
          </w:rPr>
          <w:t xml:space="preserve">Soul</w:t>
        </w:r>
      </w:hyperlink>
      <w:r>
        <w:rPr>
          <w:b w:val="0"/>
          <w:i w:val="0"/>
        </w:rPr>
        <w:t xml:space="preserve">; </w:t>
      </w:r>
      <w:hyperlink w:anchor="god">
        <w:r>
          <w:rPr>
            <w:color w:val="000000"/>
          </w:rPr>
          <w:t xml:space="preserve">God</w:t>
        </w:r>
      </w:hyperlink>
      <w:r>
        <w:rPr>
          <w:b w:val="0"/>
          <w:i w:val="0"/>
        </w:rPr>
        <w:t>.</w:t>
      </w:r>
    </w:p>
    <w:p>
      <w:pPr>
        <w:widowControl/>
      </w:pPr>
      <w:r>
        <w:rPr>
          <w:b/>
          <w:i w:val="0"/>
        </w:rPr>
        <w:t>Plotinus.</w:t>
      </w:r>
      <w:r>
        <w:rPr>
          <w:b w:val="0"/>
          <w:i w:val="0"/>
        </w:rPr>
        <w:t xml:space="preserve"> Invoked for matter and qualities as passive, God’s self-directed intellection, universal mental presence, divine inward self-production, and celestial reason’s motion. These passages have different attribution and qualification needs. I.3.19; I.6.12; II.6.14–24; II.12.9–11; IV.2.11. See </w:t>
      </w:r>
      <w:hyperlink w:anchor="matter">
        <w:r>
          <w:rPr>
            <w:color w:val="000000"/>
          </w:rPr>
          <w:t xml:space="preserve">Matter</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mind">
        <w:r>
          <w:rPr>
            <w:color w:val="000000"/>
          </w:rPr>
          <w:t xml:space="preserve">Mind</w:t>
        </w:r>
      </w:hyperlink>
      <w:r>
        <w:rPr>
          <w:b w:val="0"/>
          <w:i w:val="0"/>
        </w:rPr>
        <w:t xml:space="preserve">; </w:t>
      </w:r>
      <w:hyperlink w:anchor="generation-and-corruption">
        <w:r>
          <w:rPr>
            <w:color w:val="000000"/>
          </w:rPr>
          <w:t xml:space="preserve">Generation and corruption</w:t>
        </w:r>
      </w:hyperlink>
      <w:r>
        <w:rPr>
          <w:b w:val="0"/>
          <w:i w:val="0"/>
        </w:rPr>
        <w:t>.</w:t>
      </w:r>
    </w:p>
    <w:p>
      <w:pPr>
        <w:widowControl/>
      </w:pPr>
      <w:r>
        <w:rPr>
          <w:b/>
          <w:i w:val="0"/>
        </w:rPr>
        <w:t>Porphyry.</w:t>
      </w:r>
      <w:r>
        <w:rPr>
          <w:b w:val="0"/>
          <w:i w:val="0"/>
        </w:rPr>
        <w:t xml:space="preserve"> Ficino reports his explanation of daemons’ visibility and tangibility through the constituents of their bodies, including regional examples. IV.1.39. See </w:t>
      </w:r>
      <w:hyperlink w:anchor="daemons">
        <w:r>
          <w:rPr>
            <w:color w:val="000000"/>
          </w:rPr>
          <w:t xml:space="preserve">Daemons</w:t>
        </w:r>
      </w:hyperlink>
      <w:r>
        <w:rPr>
          <w:b w:val="0"/>
          <w:i w:val="0"/>
        </w:rPr>
        <w:t>.</w:t>
      </w:r>
    </w:p>
    <w:p>
      <w:pPr>
        <w:widowControl/>
      </w:pPr>
      <w:r>
        <w:rPr>
          <w:b/>
          <w:i w:val="0"/>
        </w:rPr>
        <w:t>Proclus.</w:t>
      </w:r>
      <w:r>
        <w:rPr>
          <w:b w:val="0"/>
          <w:i w:val="0"/>
        </w:rPr>
        <w:t xml:space="preserve"> A source for classifications of bodies and forms, arguments for incorporeal substance with Syrianus, and angelic numerical orders with Iamblichus. I.3.28–31; I.5.27. See </w:t>
      </w:r>
      <w:hyperlink w:anchor="form">
        <w:r>
          <w:rPr>
            <w:color w:val="000000"/>
          </w:rPr>
          <w:t xml:space="preserve">Form</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angel">
        <w:r>
          <w:rPr>
            <w:color w:val="000000"/>
          </w:rPr>
          <w:t xml:space="preserve">Angel</w:t>
        </w:r>
      </w:hyperlink>
      <w:r>
        <w:rPr>
          <w:b w:val="0"/>
          <w:i w:val="0"/>
        </w:rPr>
        <w:t>.</w:t>
      </w:r>
    </w:p>
    <w:p>
      <w:pPr>
        <w:widowControl/>
      </w:pPr>
      <w:r>
        <w:rPr>
          <w:b/>
          <w:i w:val="0"/>
        </w:rPr>
        <w:t>Pythagoras and the Pythagoreans.</w:t>
      </w:r>
      <w:r>
        <w:rPr>
          <w:b w:val="0"/>
          <w:i w:val="0"/>
        </w:rPr>
        <w:t xml:space="preserve"> Provide compact numerical descriptions of the five grades, soul as self-moving number, and the explicitly marked twelvefold excursion. Apollo’s name is interpreted through attributed wordplay. I.2.7; III.1.1–5, III.1.23; IV.1.40–52. See </w:t>
      </w:r>
      <w:hyperlink w:anchor="number">
        <w:r>
          <w:rPr>
            <w:color w:val="000000"/>
          </w:rPr>
          <w:t xml:space="preserve">Number</w:t>
        </w:r>
      </w:hyperlink>
      <w:r>
        <w:rPr>
          <w:b w:val="0"/>
          <w:i w:val="0"/>
        </w:rPr>
        <w:t xml:space="preserve">; </w:t>
      </w:r>
      <w:hyperlink w:anchor="unity-and-multiplicity">
        <w:r>
          <w:rPr>
            <w:color w:val="000000"/>
          </w:rPr>
          <w:t xml:space="preserve">Unity and multiplicity</w:t>
        </w:r>
      </w:hyperlink>
      <w:r>
        <w:rPr>
          <w:b w:val="0"/>
          <w:i w:val="0"/>
        </w:rPr>
        <w:t xml:space="preserve">; </w:t>
      </w:r>
      <w:hyperlink w:anchor="twelve">
        <w:r>
          <w:rPr>
            <w:color w:val="000000"/>
          </w:rPr>
          <w:t xml:space="preserve">Twelve</w:t>
        </w:r>
      </w:hyperlink>
      <w:r>
        <w:rPr>
          <w:b w:val="0"/>
          <w:i w:val="0"/>
        </w:rPr>
        <w:t xml:space="preserve">; </w:t>
      </w:r>
      <w:hyperlink w:anchor="apollo">
        <w:r>
          <w:rPr>
            <w:color w:val="000000"/>
          </w:rPr>
          <w:t xml:space="preserve">Apollo</w:t>
        </w:r>
      </w:hyperlink>
      <w:r>
        <w:rPr>
          <w:b w:val="0"/>
          <w:i w:val="0"/>
        </w:rPr>
        <w:t>.</w:t>
      </w:r>
    </w:p>
    <w:p>
      <w:pPr>
        <w:widowControl/>
      </w:pPr>
      <w:r>
        <w:rPr>
          <w:b/>
          <w:i w:val="0"/>
        </w:rPr>
        <w:t>Socrates.</w:t>
      </w:r>
      <w:r>
        <w:rPr>
          <w:b w:val="0"/>
          <w:i w:val="0"/>
        </w:rPr>
        <w:t xml:space="preserve"> The figure Euclid wishes to hear in Athens in the stepwise-journey example. IV.2.13. See </w:t>
      </w:r>
      <w:hyperlink w:anchor="fate">
        <w:r>
          <w:rPr>
            <w:color w:val="000000"/>
          </w:rPr>
          <w:t xml:space="preserve">Fate</w:t>
        </w:r>
      </w:hyperlink>
      <w:r>
        <w:rPr>
          <w:b w:val="0"/>
          <w:i w:val="0"/>
        </w:rPr>
        <w:t>.</w:t>
      </w:r>
    </w:p>
    <w:p>
      <w:pPr>
        <w:widowControl/>
      </w:pPr>
      <w:r>
        <w:rPr>
          <w:b/>
          <w:i w:val="0"/>
        </w:rPr>
        <w:t>Stoics.</w:t>
      </w:r>
      <w:r>
        <w:rPr>
          <w:b w:val="0"/>
          <w:i w:val="0"/>
        </w:rPr>
        <w:t xml:space="preserve"> Paired with Cynics as reaching effective quality and power, a level Ficino argues must be surpassed. I.1.3; I.3.1. See </w:t>
      </w:r>
      <w:hyperlink w:anchor="ascent">
        <w:r>
          <w:rPr>
            <w:color w:val="000000"/>
          </w:rPr>
          <w:t xml:space="preserve">Ascent</w:t>
        </w:r>
      </w:hyperlink>
      <w:r>
        <w:rPr>
          <w:b w:val="0"/>
          <w:i w:val="0"/>
        </w:rPr>
        <w:t xml:space="preserve">; </w:t>
      </w:r>
      <w:hyperlink w:anchor="quality">
        <w:r>
          <w:rPr>
            <w:color w:val="000000"/>
          </w:rPr>
          <w:t xml:space="preserve">Quality</w:t>
        </w:r>
      </w:hyperlink>
      <w:r>
        <w:rPr>
          <w:b w:val="0"/>
          <w:i w:val="0"/>
        </w:rPr>
        <w:t>.</w:t>
      </w:r>
    </w:p>
    <w:p>
      <w:pPr>
        <w:widowControl/>
      </w:pPr>
      <w:r>
        <w:rPr>
          <w:b/>
          <w:i w:val="0"/>
        </w:rPr>
        <w:t>Strato.</w:t>
      </w:r>
      <w:r>
        <w:rPr>
          <w:b w:val="0"/>
          <w:i w:val="0"/>
        </w:rPr>
        <w:t xml:space="preserve"> With Chrysippus, represents the identification of cosmic life with the highest God rejected in the sphere-soul discussion. IV.1.22–28. See </w:t>
      </w:r>
      <w:hyperlink w:anchor="world-soul">
        <w:r>
          <w:rPr>
            <w:color w:val="000000"/>
          </w:rPr>
          <w:t xml:space="preserve">World soul</w:t>
        </w:r>
      </w:hyperlink>
      <w:r>
        <w:rPr>
          <w:b w:val="0"/>
          <w:i w:val="0"/>
        </w:rPr>
        <w:t>.</w:t>
      </w:r>
    </w:p>
    <w:p>
      <w:pPr>
        <w:widowControl/>
      </w:pPr>
      <w:r>
        <w:rPr>
          <w:b/>
          <w:i w:val="0"/>
        </w:rPr>
        <w:t>Syrianus.</w:t>
      </w:r>
      <w:r>
        <w:rPr>
          <w:b w:val="0"/>
          <w:i w:val="0"/>
        </w:rPr>
        <w:t xml:space="preserve"> With Proclus, supports the argument distinguishing the extended recipient from its extending cause, and thus the case for an incorporeal principle. I.3.29–31. See </w:t>
      </w:r>
      <w:hyperlink w:anchor="incorporeal-and-immaterial">
        <w:r>
          <w:rPr>
            <w:color w:val="000000"/>
          </w:rPr>
          <w:t xml:space="preserve">Incorporeal and immaterial</w:t>
        </w:r>
      </w:hyperlink>
      <w:r>
        <w:rPr>
          <w:b w:val="0"/>
          <w:i w:val="0"/>
        </w:rPr>
        <w:t xml:space="preserve">; </w:t>
      </w:r>
      <w:hyperlink w:anchor="unity-and-multiplicity">
        <w:r>
          <w:rPr>
            <w:color w:val="000000"/>
          </w:rPr>
          <w:t xml:space="preserve">Unity and multiplicity</w:t>
        </w:r>
      </w:hyperlink>
      <w:r>
        <w:rPr>
          <w:b w:val="0"/>
          <w:i w:val="0"/>
        </w:rPr>
        <w:t>.</w:t>
      </w:r>
    </w:p>
    <w:p>
      <w:pPr>
        <w:widowControl/>
      </w:pPr>
      <w:r>
        <w:rPr>
          <w:b/>
          <w:i w:val="0"/>
        </w:rPr>
        <w:t>Theophrastus.</w:t>
      </w:r>
      <w:r>
        <w:rPr>
          <w:b w:val="0"/>
          <w:i w:val="0"/>
        </w:rPr>
        <w:t xml:space="preserve"> Named as Aristotle’s disciple and as a source for celestial animation. IV.1.88. See </w:t>
      </w:r>
      <w:hyperlink w:anchor="spheres-and-stars">
        <w:r>
          <w:rPr>
            <w:color w:val="000000"/>
          </w:rPr>
          <w:t xml:space="preserve">Spheres and stars</w:t>
        </w:r>
      </w:hyperlink>
      <w:r>
        <w:rPr>
          <w:b w:val="0"/>
          <w:i w:val="0"/>
        </w:rPr>
        <w:t>.</w:t>
      </w:r>
    </w:p>
    <w:p>
      <w:pPr>
        <w:widowControl/>
      </w:pPr>
      <w:r>
        <w:rPr>
          <w:b/>
          <w:i w:val="0"/>
        </w:rPr>
        <w:t>Thomas Aquinas.</w:t>
      </w:r>
      <w:r>
        <w:rPr>
          <w:b w:val="0"/>
          <w:i w:val="0"/>
        </w:rPr>
        <w:t xml:space="preserve"> Explicitly credited for the distinction between absolute and conditional necessity in divine willing, and later cited concerning celestial animation’s relation to Christian doctrine. II.12.15; IV.1.88. See </w:t>
      </w:r>
      <w:hyperlink w:anchor="freedom-and-necessity">
        <w:r>
          <w:rPr>
            <w:color w:val="000000"/>
          </w:rPr>
          <w:t xml:space="preserve">Freedom and necessity</w:t>
        </w:r>
      </w:hyperlink>
      <w:r>
        <w:rPr>
          <w:b w:val="0"/>
          <w:i w:val="0"/>
        </w:rPr>
        <w:t xml:space="preserve">; </w:t>
      </w:r>
      <w:hyperlink w:anchor="spheres-and-stars">
        <w:r>
          <w:rPr>
            <w:color w:val="000000"/>
          </w:rPr>
          <w:t xml:space="preserve">Spheres and stars</w:t>
        </w:r>
      </w:hyperlink>
      <w:r>
        <w:rPr>
          <w:b w:val="0"/>
          <w:i w:val="0"/>
        </w:rPr>
        <w:t>.</w:t>
      </w:r>
    </w:p>
    <w:p>
      <w:pPr>
        <w:widowControl/>
      </w:pPr>
      <w:r>
        <w:rPr>
          <w:b/>
          <w:i w:val="0"/>
        </w:rPr>
        <w:t>Timaeus; Timaeus of Locri.</w:t>
      </w:r>
      <w:r>
        <w:rPr>
          <w:b w:val="0"/>
          <w:i w:val="0"/>
        </w:rPr>
        <w:t xml:space="preserve"> An authority in the account of formless matter and the divine knot preserving otherwise dissoluble things. III.2.22 names Timaeus of Locri alongside Plato concerning soul’s divisible and indivisible nature. Distinguish these references from the dialogue title </w:t>
      </w:r>
      <w:r>
        <w:rPr>
          <w:b w:val="0"/>
          <w:i/>
        </w:rPr>
        <w:t>Timaeus</w:t>
      </w:r>
      <w:r>
        <w:rPr>
          <w:b w:val="0"/>
          <w:i w:val="0"/>
        </w:rPr>
        <w:t xml:space="preserve">. I.3.19; III.1.5; III.2.22. See </w:t>
      </w:r>
      <w:hyperlink w:anchor="matter">
        <w:r>
          <w:rPr>
            <w:color w:val="000000"/>
          </w:rPr>
          <w:t xml:space="preserve">Matter</w:t>
        </w:r>
      </w:hyperlink>
      <w:r>
        <w:rPr>
          <w:b w:val="0"/>
          <w:i w:val="0"/>
        </w:rPr>
        <w:t xml:space="preserve">; </w:t>
      </w:r>
      <w:hyperlink w:anchor="bond-knot-and-chain">
        <w:r>
          <w:rPr>
            <w:color w:val="000000"/>
          </w:rPr>
          <w:t xml:space="preserve">Bond, knot, and chain</w:t>
        </w:r>
      </w:hyperlink>
      <w:r>
        <w:rPr>
          <w:b w:val="0"/>
          <w:i w:val="0"/>
        </w:rPr>
        <w:t xml:space="preserve">; </w:t>
      </w:r>
      <w:hyperlink w:anchor="indivisibility">
        <w:r>
          <w:rPr>
            <w:color w:val="000000"/>
          </w:rPr>
          <w:t xml:space="preserve">Indivisibility</w:t>
        </w:r>
      </w:hyperlink>
      <w:r>
        <w:rPr>
          <w:b w:val="0"/>
          <w:i w:val="0"/>
        </w:rPr>
        <w:t>.</w:t>
      </w:r>
    </w:p>
    <w:p>
      <w:pPr>
        <w:widowControl/>
      </w:pPr>
      <w:r>
        <w:rPr>
          <w:b/>
          <w:i w:val="0"/>
        </w:rPr>
        <w:t>Varro, Marcus.</w:t>
      </w:r>
      <w:r>
        <w:rPr>
          <w:b w:val="0"/>
          <w:i w:val="0"/>
        </w:rPr>
        <w:t xml:space="preserve"> Grouped with Heraclitus and Marcus Manilius at the soul level of the introductory ascent. I.1.4; I.5.2. See </w:t>
      </w:r>
      <w:hyperlink w:anchor="ascent">
        <w:r>
          <w:rPr>
            <w:color w:val="000000"/>
          </w:rPr>
          <w:t xml:space="preserve">Ascent</w:t>
        </w:r>
      </w:hyperlink>
      <w:r>
        <w:rPr>
          <w:b w:val="0"/>
          <w:i w:val="0"/>
        </w:rPr>
        <w:t>.</w:t>
      </w:r>
    </w:p>
    <w:p>
      <w:pPr>
        <w:widowControl/>
      </w:pPr>
      <w:r>
        <w:rPr>
          <w:b/>
          <w:i w:val="0"/>
        </w:rPr>
        <w:t>Xenocrates.</w:t>
      </w:r>
      <w:r>
        <w:rPr>
          <w:b w:val="0"/>
          <w:i w:val="0"/>
        </w:rPr>
        <w:t xml:space="preserve"> Named as using the Pythagorean definition of soul as self-moving number. Ficino glosses number as manifold nature and self-moving as mutable through its own property. III.1.23. See </w:t>
      </w:r>
      <w:hyperlink w:anchor="number">
        <w:r>
          <w:rPr>
            <w:color w:val="000000"/>
          </w:rPr>
          <w:t xml:space="preserve">Number</w:t>
        </w:r>
      </w:hyperlink>
      <w:r>
        <w:rPr>
          <w:b w:val="0"/>
          <w:i w:val="0"/>
        </w:rPr>
        <w:t xml:space="preserve">; </w:t>
      </w:r>
      <w:hyperlink w:anchor="motion-and-stability">
        <w:r>
          <w:rPr>
            <w:color w:val="000000"/>
          </w:rPr>
          <w:t xml:space="preserve">Motion and stability</w:t>
        </w:r>
      </w:hyperlink>
      <w:r>
        <w:rPr>
          <w:b w:val="0"/>
          <w:i w:val="0"/>
        </w:rPr>
        <w:t>.</w:t>
      </w:r>
    </w:p>
    <w:p>
      <w:pPr>
        <w:widowControl/>
      </w:pPr>
      <w:r>
        <w:rPr>
          <w:b/>
          <w:i w:val="0"/>
        </w:rPr>
        <w:t>Zoroaster.</w:t>
      </w:r>
      <w:r>
        <w:rPr>
          <w:b w:val="0"/>
          <w:i w:val="0"/>
        </w:rPr>
        <w:t xml:space="preserve"> A recurrent ancient theological authority for intellectual rulers, the intelligible beyond mind, divine production and persuasion, cosmic principles, fate, recurrence, and the ethereal garment. Ficino’s claims about this authority and the origin of ancient wisdom remain attributions within the work. I.5.19; I.6.9; II.12.8–11; II.13.27; III.1.12; IV.2.2, IV.2.10–12, IV.2.27. See </w:t>
      </w:r>
      <w:hyperlink w:anchor="hermetic-theologians-and-the-magi">
        <w:r>
          <w:rPr>
            <w:color w:val="000000"/>
          </w:rPr>
          <w:t xml:space="preserve">Hermetic theologians and the Magi</w:t>
        </w:r>
      </w:hyperlink>
      <w:r>
        <w:rPr>
          <w:b w:val="0"/>
          <w:i w:val="0"/>
        </w:rPr>
        <w:t xml:space="preserve">; </w:t>
      </w:r>
      <w:hyperlink w:anchor="fate">
        <w:r>
          <w:rPr>
            <w:color w:val="000000"/>
          </w:rPr>
          <w:t xml:space="preserve">Fate</w:t>
        </w:r>
      </w:hyperlink>
      <w:r>
        <w:rPr>
          <w:b w:val="0"/>
          <w:i w:val="0"/>
        </w:rPr>
        <w:t xml:space="preserve">; </w:t>
      </w:r>
      <w:hyperlink w:anchor="great-year">
        <w:r>
          <w:rPr>
            <w:color w:val="000000"/>
          </w:rPr>
          <w:t xml:space="preserve">Great year</w:t>
        </w:r>
      </w:hyperlink>
      <w:r>
        <w:rPr>
          <w:b w:val="0"/>
          <w:i w:val="0"/>
        </w:rPr>
        <w:t xml:space="preserve">; </w:t>
      </w:r>
      <w:hyperlink w:anchor="ethereal-garment">
        <w:r>
          <w:rPr>
            <w:color w:val="000000"/>
          </w:rPr>
          <w:t xml:space="preserve">Ethereal garment</w:t>
        </w:r>
      </w:hyperlink>
      <w:r>
        <w:rPr>
          <w:b w:val="0"/>
          <w:i w:val="0"/>
        </w:rPr>
        <w:t>.</w:t>
      </w:r>
    </w:p>
    <w:p>
      <w:bookmarkStart w:id="2131" w:name="cited-works-reading-routes"/>
      <w:pPr>
        <w:pStyle w:val="Heading2"/>
      </w:pPr>
      <w:r>
        <w:rPr>
          <w:b w:val="0"/>
          <w:i w:val="0"/>
        </w:rPr>
        <w:t>Cited works: reading routes</w:t>
      </w:r>
      <w:bookmarkEnd w:id="2131"/>
    </w:p>
    <w:p>
      <w:pPr>
        <w:widowControl/>
      </w:pPr>
      <w:r>
        <w:rPr>
          <w:b/>
          <w:i w:val="0"/>
        </w:rPr>
        <w:t>Against the Gentiles.</w:t>
      </w:r>
      <w:r>
        <w:rPr>
          <w:b w:val="0"/>
          <w:i w:val="0"/>
        </w:rPr>
        <w:t xml:space="preserve"> Thomas Aquinas’s work cited in the discussion of whether celestial bodies possess souls. IV.1.88. See </w:t>
      </w:r>
      <w:hyperlink w:anchor="spheres-and-stars">
        <w:r>
          <w:rPr>
            <w:color w:val="000000"/>
          </w:rPr>
          <w:t xml:space="preserve">Spheres and stars</w:t>
        </w:r>
      </w:hyperlink>
      <w:r>
        <w:rPr>
          <w:b w:val="0"/>
          <w:i w:val="0"/>
        </w:rPr>
        <w:t>.</w:t>
      </w:r>
    </w:p>
    <w:p>
      <w:pPr>
        <w:widowControl/>
      </w:pPr>
      <w:r>
        <w:rPr>
          <w:b/>
          <w:i w:val="0"/>
        </w:rPr>
        <w:t>Book on love.</w:t>
      </w:r>
      <w:r>
        <w:rPr>
          <w:b w:val="0"/>
          <w:i w:val="0"/>
        </w:rPr>
        <w:t xml:space="preserve"> Ficino refers to his own treatment of the Platonic letter about the three principles and their traces. IV.1.86. See </w:t>
      </w:r>
      <w:hyperlink w:anchor="hermetic-theologians-and-the-magi">
        <w:r>
          <w:rPr>
            <w:color w:val="000000"/>
          </w:rPr>
          <w:t xml:space="preserve">Hermetic theologians and the Magi</w:t>
        </w:r>
      </w:hyperlink>
      <w:r>
        <w:rPr>
          <w:b w:val="0"/>
          <w:i w:val="0"/>
        </w:rPr>
        <w:t>.</w:t>
      </w:r>
    </w:p>
    <w:p>
      <w:pPr>
        <w:widowControl/>
      </w:pPr>
      <w:r>
        <w:rPr>
          <w:b/>
          <w:i w:val="0"/>
        </w:rPr>
        <w:t>Critias.</w:t>
      </w:r>
      <w:r>
        <w:rPr>
          <w:b w:val="0"/>
          <w:i w:val="0"/>
        </w:rPr>
        <w:t xml:space="preserve"> Named among Platonic texts used to support the compatibility of providence and free judgment. II.13.24. See </w:t>
      </w:r>
      <w:hyperlink w:anchor="providence">
        <w:r>
          <w:rPr>
            <w:color w:val="000000"/>
          </w:rPr>
          <w:t xml:space="preserve">Providence</w:t>
        </w:r>
      </w:hyperlink>
      <w:r>
        <w:rPr>
          <w:b w:val="0"/>
          <w:i w:val="0"/>
        </w:rPr>
        <w:t>.</w:t>
      </w:r>
    </w:p>
    <w:p>
      <w:pPr>
        <w:widowControl/>
      </w:pPr>
      <w:r>
        <w:rPr>
          <w:b/>
          <w:i w:val="0"/>
        </w:rPr>
        <w:t>Enchiridion.</w:t>
      </w:r>
      <w:r>
        <w:rPr>
          <w:b w:val="0"/>
          <w:i w:val="0"/>
        </w:rPr>
        <w:t xml:space="preserve"> Augustine’s work cited concerning celestial animation and Christian doctrine. IV.1.88. See </w:t>
      </w:r>
      <w:hyperlink w:anchor="spheres-and-stars">
        <w:r>
          <w:rPr>
            <w:color w:val="000000"/>
          </w:rPr>
          <w:t xml:space="preserve">Spheres and stars</w:t>
        </w:r>
      </w:hyperlink>
      <w:r>
        <w:rPr>
          <w:b w:val="0"/>
          <w:i w:val="0"/>
        </w:rPr>
        <w:t>.</w:t>
      </w:r>
    </w:p>
    <w:p>
      <w:pPr>
        <w:widowControl/>
      </w:pPr>
      <w:r>
        <w:rPr>
          <w:b/>
          <w:i w:val="0"/>
        </w:rPr>
        <w:t>Epinomis.</w:t>
      </w:r>
      <w:r>
        <w:rPr>
          <w:b w:val="0"/>
          <w:i w:val="0"/>
        </w:rPr>
        <w:t xml:space="preserve"> The closing quotation concerning soul present to or dwelling within cosmic bodies follows Ficino’s theological reservation. Its alternatives should remain visible. IV.1.96. See </w:t>
      </w:r>
      <w:hyperlink w:anchor="indwelling-and-presence">
        <w:r>
          <w:rPr>
            <w:color w:val="000000"/>
          </w:rPr>
          <w:t xml:space="preserve">Indwelling and presence</w:t>
        </w:r>
      </w:hyperlink>
      <w:r>
        <w:rPr>
          <w:b w:val="0"/>
          <w:i w:val="0"/>
        </w:rPr>
        <w:t>.</w:t>
      </w:r>
    </w:p>
    <w:p>
      <w:pPr>
        <w:widowControl/>
      </w:pPr>
      <w:r>
        <w:rPr>
          <w:b/>
          <w:i w:val="0"/>
        </w:rPr>
        <w:t>Ethics.</w:t>
      </w:r>
      <w:r>
        <w:rPr>
          <w:b w:val="0"/>
          <w:i w:val="0"/>
        </w:rPr>
        <w:t xml:space="preserve"> Ficino refers to the tenth book as indicating providence. II.13.12. See </w:t>
      </w:r>
      <w:hyperlink w:anchor="providence">
        <w:r>
          <w:rPr>
            <w:color w:val="000000"/>
          </w:rPr>
          <w:t xml:space="preserve">Providence</w:t>
        </w:r>
      </w:hyperlink>
      <w:r>
        <w:rPr>
          <w:b w:val="0"/>
          <w:i w:val="0"/>
        </w:rPr>
        <w:t>.</w:t>
      </w:r>
    </w:p>
    <w:p>
      <w:pPr>
        <w:widowControl/>
      </w:pPr>
      <w:r>
        <w:rPr>
          <w:b/>
          <w:i w:val="0"/>
        </w:rPr>
        <w:t>Hymns to Apollo and Saturn.</w:t>
      </w:r>
      <w:r>
        <w:rPr>
          <w:b w:val="0"/>
          <w:i w:val="0"/>
        </w:rPr>
        <w:t xml:space="preserve"> The hymnic references contribute images of universal harmony and divine presence. II.6.11; II.9.22. See </w:t>
      </w:r>
      <w:hyperlink w:anchor="light-and-illumination">
        <w:r>
          <w:rPr>
            <w:color w:val="000000"/>
          </w:rPr>
          <w:t xml:space="preserve">Light and illumination</w:t>
        </w:r>
      </w:hyperlink>
      <w:r>
        <w:rPr>
          <w:b w:val="0"/>
          <w:i w:val="0"/>
        </w:rPr>
        <w:t xml:space="preserve">; </w:t>
      </w:r>
      <w:hyperlink w:anchor="order-and-harmony">
        <w:r>
          <w:rPr>
            <w:color w:val="000000"/>
          </w:rPr>
          <w:t xml:space="preserve">Order and harmony</w:t>
        </w:r>
      </w:hyperlink>
      <w:r>
        <w:rPr>
          <w:b w:val="0"/>
          <w:i w:val="0"/>
        </w:rPr>
        <w:t>.</w:t>
      </w:r>
    </w:p>
    <w:p>
      <w:pPr>
        <w:widowControl/>
      </w:pPr>
      <w:r>
        <w:rPr>
          <w:b/>
          <w:i w:val="0"/>
        </w:rPr>
        <w:t>Laws.</w:t>
      </w:r>
      <w:r>
        <w:rPr>
          <w:b w:val="0"/>
          <w:i w:val="0"/>
        </w:rPr>
        <w:t xml:space="preserve"> Invoked for providential governance and for the source of motion when all things are imagined at rest. II.13.24; III.1.26. See </w:t>
      </w:r>
      <w:hyperlink w:anchor="providence">
        <w:r>
          <w:rPr>
            <w:color w:val="000000"/>
          </w:rPr>
          <w:t xml:space="preserve">Providence</w:t>
        </w:r>
      </w:hyperlink>
      <w:r>
        <w:rPr>
          <w:b w:val="0"/>
          <w:i w:val="0"/>
        </w:rPr>
        <w:t xml:space="preserve">; </w:t>
      </w:r>
      <w:hyperlink w:anchor="motion-and-stability">
        <w:r>
          <w:rPr>
            <w:color w:val="000000"/>
          </w:rPr>
          <w:t xml:space="preserve">Motion and stability</w:t>
        </w:r>
      </w:hyperlink>
      <w:r>
        <w:rPr>
          <w:b w:val="0"/>
          <w:i w:val="0"/>
        </w:rPr>
        <w:t>.</w:t>
      </w:r>
    </w:p>
    <w:p>
      <w:pPr>
        <w:widowControl/>
      </w:pPr>
      <w:r>
        <w:rPr>
          <w:b/>
          <w:i w:val="0"/>
        </w:rPr>
        <w:t>Letter to King Dionysius.</w:t>
      </w:r>
      <w:r>
        <w:rPr>
          <w:b w:val="0"/>
          <w:i w:val="0"/>
        </w:rPr>
        <w:t xml:space="preserve"> Cited for the three principles associated with unity, order, and motion. IV.1.86. See </w:t>
      </w:r>
      <w:hyperlink w:anchor="order-and-harmony">
        <w:r>
          <w:rPr>
            <w:color w:val="000000"/>
          </w:rPr>
          <w:t xml:space="preserve">Order and harmony</w:t>
        </w:r>
      </w:hyperlink>
      <w:r>
        <w:rPr>
          <w:b w:val="0"/>
          <w:i w:val="0"/>
        </w:rPr>
        <w:t>.</w:t>
      </w:r>
    </w:p>
    <w:p>
      <w:pPr>
        <w:widowControl/>
      </w:pPr>
      <w:r>
        <w:rPr>
          <w:b/>
          <w:i w:val="0"/>
        </w:rPr>
        <w:t>Metaphysics; divine philosophy; books on divine things.</w:t>
      </w:r>
      <w:r>
        <w:rPr>
          <w:b w:val="0"/>
          <w:i w:val="0"/>
        </w:rPr>
        <w:t xml:space="preserve"> Ficino uses these designations in arguments about unmoved movers, the good of universal order, and the world’s relation to its governor. His book numbers should not silently be treated as modern critical references. I.5.20–22; II.9.21; II.13.8; IV.1.88. See </w:t>
      </w:r>
      <w:hyperlink w:anchor="angel">
        <w:r>
          <w:rPr>
            <w:color w:val="000000"/>
          </w:rPr>
          <w:t xml:space="preserve">Angel</w:t>
        </w:r>
      </w:hyperlink>
      <w:r>
        <w:rPr>
          <w:b w:val="0"/>
          <w:i w:val="0"/>
        </w:rPr>
        <w:t xml:space="preserve">; </w:t>
      </w:r>
      <w:hyperlink w:anchor="cause">
        <w:r>
          <w:rPr>
            <w:color w:val="000000"/>
          </w:rPr>
          <w:t xml:space="preserve">Cause</w:t>
        </w:r>
      </w:hyperlink>
      <w:r>
        <w:rPr>
          <w:b w:val="0"/>
          <w:i w:val="0"/>
        </w:rPr>
        <w:t xml:space="preserve">; </w:t>
      </w:r>
      <w:hyperlink w:anchor="order-and-harmony">
        <w:r>
          <w:rPr>
            <w:color w:val="000000"/>
          </w:rPr>
          <w:t xml:space="preserve">Order and harmony</w:t>
        </w:r>
      </w:hyperlink>
      <w:r>
        <w:rPr>
          <w:b w:val="0"/>
          <w:i w:val="0"/>
        </w:rPr>
        <w:t>.</w:t>
      </w:r>
    </w:p>
    <w:p>
      <w:pPr>
        <w:widowControl/>
      </w:pPr>
      <w:r>
        <w:rPr>
          <w:b/>
          <w:i w:val="0"/>
        </w:rPr>
        <w:t>On Heaven.</w:t>
      </w:r>
      <w:r>
        <w:rPr>
          <w:b w:val="0"/>
          <w:i w:val="0"/>
        </w:rPr>
        <w:t xml:space="preserve"> Aristotle and Theophrastus are cited in support of celestial animation. IV.1.88. See </w:t>
      </w:r>
      <w:hyperlink w:anchor="spheres-and-stars">
        <w:r>
          <w:rPr>
            <w:color w:val="000000"/>
          </w:rPr>
          <w:t xml:space="preserve">Spheres and stars</w:t>
        </w:r>
      </w:hyperlink>
      <w:r>
        <w:rPr>
          <w:b w:val="0"/>
          <w:i w:val="0"/>
        </w:rPr>
        <w:t>.</w:t>
      </w:r>
    </w:p>
    <w:p>
      <w:pPr>
        <w:widowControl/>
      </w:pPr>
      <w:r>
        <w:rPr>
          <w:b/>
          <w:i w:val="0"/>
        </w:rPr>
        <w:t>On the Soul.</w:t>
      </w:r>
      <w:r>
        <w:rPr>
          <w:b w:val="0"/>
          <w:i w:val="0"/>
        </w:rPr>
        <w:t xml:space="preserve"> Named in the series of Aristotelian references supporting celestial animation. IV.1.88. See </w:t>
      </w:r>
      <w:hyperlink w:anchor="soul">
        <w:r>
          <w:rPr>
            <w:color w:val="000000"/>
          </w:rPr>
          <w:t xml:space="preserve">Soul</w:t>
        </w:r>
      </w:hyperlink>
      <w:r>
        <w:rPr>
          <w:b w:val="0"/>
          <w:i w:val="0"/>
        </w:rPr>
        <w:t xml:space="preserve">; </w:t>
      </w:r>
      <w:hyperlink w:anchor="spheres-and-stars">
        <w:r>
          <w:rPr>
            <w:color w:val="000000"/>
          </w:rPr>
          <w:t xml:space="preserve">Spheres and stars</w:t>
        </w:r>
      </w:hyperlink>
      <w:r>
        <w:rPr>
          <w:b w:val="0"/>
          <w:i w:val="0"/>
        </w:rPr>
        <w:t>.</w:t>
      </w:r>
    </w:p>
    <w:p>
      <w:pPr>
        <w:widowControl/>
      </w:pPr>
      <w:r>
        <w:rPr>
          <w:b/>
          <w:i w:val="0"/>
        </w:rPr>
        <w:t>On the World.</w:t>
      </w:r>
      <w:r>
        <w:rPr>
          <w:b w:val="0"/>
          <w:i w:val="0"/>
        </w:rPr>
        <w:t xml:space="preserve"> Ficino attributes this work to Aristotle when explaining coordinated divine governance. The supplied edition’s apparatus notes that the work is generally regarded as pseudo-Aristotelian. II.13.12; apparatus p.380. See </w:t>
      </w:r>
      <w:hyperlink w:anchor="hinge-and-center">
        <w:r>
          <w:rPr>
            <w:color w:val="000000"/>
          </w:rPr>
          <w:t xml:space="preserve">Hinge and center</w:t>
        </w:r>
      </w:hyperlink>
      <w:r>
        <w:rPr>
          <w:b w:val="0"/>
          <w:i w:val="0"/>
        </w:rPr>
        <w:t xml:space="preserve">; </w:t>
      </w:r>
      <w:hyperlink w:anchor="providence">
        <w:r>
          <w:rPr>
            <w:color w:val="000000"/>
          </w:rPr>
          <w:t xml:space="preserve">Providence</w:t>
        </w:r>
      </w:hyperlink>
      <w:r>
        <w:rPr>
          <w:b w:val="0"/>
          <w:i w:val="0"/>
        </w:rPr>
        <w:t>.</w:t>
      </w:r>
    </w:p>
    <w:p>
      <w:pPr>
        <w:widowControl/>
      </w:pPr>
      <w:r>
        <w:rPr>
          <w:b/>
          <w:i w:val="0"/>
        </w:rPr>
        <w:t>On Truth and Opinion.</w:t>
      </w:r>
      <w:r>
        <w:rPr>
          <w:b w:val="0"/>
          <w:i w:val="0"/>
        </w:rPr>
        <w:t xml:space="preserve"> The title under which Ficino cites Parmenides for one unmoved infinite being. II.7.1. See </w:t>
      </w:r>
      <w:hyperlink w:anchor="god">
        <w:r>
          <w:rPr>
            <w:color w:val="000000"/>
          </w:rPr>
          <w:t xml:space="preserve">God</w:t>
        </w:r>
      </w:hyperlink>
      <w:r>
        <w:rPr>
          <w:b w:val="0"/>
          <w:i w:val="0"/>
        </w:rPr>
        <w:t>.</w:t>
      </w:r>
    </w:p>
    <w:p>
      <w:pPr>
        <w:widowControl/>
      </w:pPr>
      <w:r>
        <w:rPr>
          <w:b/>
          <w:i w:val="0"/>
        </w:rPr>
        <w:t>Phaedo.</w:t>
      </w:r>
      <w:r>
        <w:rPr>
          <w:b w:val="0"/>
          <w:i w:val="0"/>
        </w:rPr>
        <w:t xml:space="preserve"> Listed among the dialogues supporting the priority of final, efficient, and formal explanations over chance or material necessity. II.11.26. See </w:t>
      </w:r>
      <w:hyperlink w:anchor="cause">
        <w:r>
          <w:rPr>
            <w:color w:val="000000"/>
          </w:rPr>
          <w:t xml:space="preserve">Cause</w:t>
        </w:r>
      </w:hyperlink>
      <w:r>
        <w:rPr>
          <w:b w:val="0"/>
          <w:i w:val="0"/>
        </w:rPr>
        <w:t>.</w:t>
      </w:r>
    </w:p>
    <w:p>
      <w:pPr>
        <w:widowControl/>
      </w:pPr>
      <w:r>
        <w:rPr>
          <w:b/>
          <w:i w:val="0"/>
        </w:rPr>
        <w:t>Phaedrus.</w:t>
      </w:r>
      <w:r>
        <w:rPr>
          <w:b w:val="0"/>
          <w:i w:val="0"/>
        </w:rPr>
        <w:t xml:space="preserve"> Invoked for soul as fountain and principle of motion. III.1.26. See </w:t>
      </w:r>
      <w:hyperlink w:anchor="motion-and-stability">
        <w:r>
          <w:rPr>
            <w:color w:val="000000"/>
          </w:rPr>
          <w:t xml:space="preserve">Motion and stability</w:t>
        </w:r>
      </w:hyperlink>
      <w:r>
        <w:rPr>
          <w:b w:val="0"/>
          <w:i w:val="0"/>
        </w:rPr>
        <w:t>.</w:t>
      </w:r>
    </w:p>
    <w:p>
      <w:pPr>
        <w:widowControl/>
      </w:pPr>
      <w:r>
        <w:rPr>
          <w:b/>
          <w:i w:val="0"/>
        </w:rPr>
        <w:t>Philebus.</w:t>
      </w:r>
      <w:r>
        <w:rPr>
          <w:b w:val="0"/>
          <w:i w:val="0"/>
        </w:rPr>
        <w:t xml:space="preserve"> Appears in the causal discussion and in Ficino’s explanation of limit and infinite through actuality and potency. II.11.26; III.1.11. See </w:t>
      </w:r>
      <w:hyperlink w:anchor="cause">
        <w:r>
          <w:rPr>
            <w:color w:val="000000"/>
          </w:rPr>
          <w:t xml:space="preserve">Cause</w:t>
        </w:r>
      </w:hyperlink>
      <w:r>
        <w:rPr>
          <w:b w:val="0"/>
          <w:i w:val="0"/>
        </w:rPr>
        <w:t xml:space="preserve">; </w:t>
      </w:r>
      <w:hyperlink w:anchor="infinity">
        <w:r>
          <w:rPr>
            <w:color w:val="000000"/>
          </w:rPr>
          <w:t xml:space="preserve">Infinity</w:t>
        </w:r>
      </w:hyperlink>
      <w:r>
        <w:rPr>
          <w:b w:val="0"/>
          <w:i w:val="0"/>
        </w:rPr>
        <w:t xml:space="preserve">; </w:t>
      </w:r>
      <w:hyperlink w:anchor="act-and-operation">
        <w:r>
          <w:rPr>
            <w:color w:val="000000"/>
          </w:rPr>
          <w:t xml:space="preserve">Act and operation</w:t>
        </w:r>
      </w:hyperlink>
      <w:r>
        <w:rPr>
          <w:b w:val="0"/>
          <w:i w:val="0"/>
        </w:rPr>
        <w:t>.</w:t>
      </w:r>
    </w:p>
    <w:p>
      <w:pPr>
        <w:widowControl/>
      </w:pPr>
      <w:r>
        <w:rPr>
          <w:b/>
          <w:i w:val="0"/>
        </w:rPr>
        <w:t>Physics; works on nature.</w:t>
      </w:r>
      <w:r>
        <w:rPr>
          <w:b w:val="0"/>
          <w:i w:val="0"/>
        </w:rPr>
        <w:t xml:space="preserve"> Invoked for purposive natural order and celestial animation. II.13.12; IV.1.88. See </w:t>
      </w:r>
      <w:hyperlink w:anchor="art-and-nature">
        <w:r>
          <w:rPr>
            <w:color w:val="000000"/>
          </w:rPr>
          <w:t xml:space="preserve">Art and nature</w:t>
        </w:r>
      </w:hyperlink>
      <w:r>
        <w:rPr>
          <w:b w:val="0"/>
          <w:i w:val="0"/>
        </w:rPr>
        <w:t xml:space="preserve">; </w:t>
      </w:r>
      <w:hyperlink w:anchor="spheres-and-stars">
        <w:r>
          <w:rPr>
            <w:color w:val="000000"/>
          </w:rPr>
          <w:t xml:space="preserve">Spheres and stars</w:t>
        </w:r>
      </w:hyperlink>
      <w:r>
        <w:rPr>
          <w:b w:val="0"/>
          <w:i w:val="0"/>
        </w:rPr>
        <w:t>.</w:t>
      </w:r>
    </w:p>
    <w:p>
      <w:pPr>
        <w:widowControl/>
      </w:pPr>
      <w:r>
        <w:rPr>
          <w:b/>
          <w:i w:val="0"/>
        </w:rPr>
        <w:t>Republic.</w:t>
      </w:r>
      <w:r>
        <w:rPr>
          <w:b w:val="0"/>
          <w:i w:val="0"/>
        </w:rPr>
        <w:t xml:space="preserve"> The tenth book is cited concerning providence’s preservation of free judgment. II.13.24. See </w:t>
      </w:r>
      <w:hyperlink w:anchor="choice-and-free-judgment">
        <w:r>
          <w:rPr>
            <w:color w:val="000000"/>
          </w:rPr>
          <w:t xml:space="preserve">Choice and free judgment</w:t>
        </w:r>
      </w:hyperlink>
      <w:r>
        <w:rPr>
          <w:b w:val="0"/>
          <w:i w:val="0"/>
        </w:rPr>
        <w:t>.</w:t>
      </w:r>
    </w:p>
    <w:p>
      <w:pPr>
        <w:widowControl/>
      </w:pPr>
      <w:r>
        <w:rPr>
          <w:b/>
          <w:i w:val="0"/>
        </w:rPr>
        <w:t>Statesman; Politicus; book on kingship.</w:t>
      </w:r>
      <w:r>
        <w:rPr>
          <w:b w:val="0"/>
          <w:i w:val="0"/>
        </w:rPr>
        <w:t xml:space="preserve"> Appears in arguments about ends and providence, the fated desire moving heaven, cosmic restoration, and circular motion’s proximity to stability. II.11.26; II.13.24; IV.2.2, IV.2.12, IV.2.22–23. See </w:t>
      </w:r>
      <w:hyperlink w:anchor="fate">
        <w:r>
          <w:rPr>
            <w:color w:val="000000"/>
          </w:rPr>
          <w:t xml:space="preserve">Fate</w:t>
        </w:r>
      </w:hyperlink>
      <w:r>
        <w:rPr>
          <w:b w:val="0"/>
          <w:i w:val="0"/>
        </w:rPr>
        <w:t xml:space="preserve">; </w:t>
      </w:r>
      <w:hyperlink w:anchor="great-year">
        <w:r>
          <w:rPr>
            <w:color w:val="000000"/>
          </w:rPr>
          <w:t xml:space="preserve">Great year</w:t>
        </w:r>
      </w:hyperlink>
      <w:r>
        <w:rPr>
          <w:b w:val="0"/>
          <w:i w:val="0"/>
        </w:rPr>
        <w:t xml:space="preserve">; </w:t>
      </w:r>
      <w:hyperlink w:anchor="circularity-and-return">
        <w:r>
          <w:rPr>
            <w:color w:val="000000"/>
          </w:rPr>
          <w:t xml:space="preserve">Circularity and return</w:t>
        </w:r>
      </w:hyperlink>
      <w:r>
        <w:rPr>
          <w:b w:val="0"/>
          <w:i w:val="0"/>
        </w:rPr>
        <w:t>.</w:t>
      </w:r>
    </w:p>
    <w:p>
      <w:pPr>
        <w:widowControl/>
      </w:pPr>
      <w:r>
        <w:rPr>
          <w:b/>
          <w:i w:val="0"/>
        </w:rPr>
        <w:t>Timaeus.</w:t>
      </w:r>
      <w:r>
        <w:rPr>
          <w:b w:val="0"/>
          <w:i w:val="0"/>
        </w:rPr>
        <w:t xml:space="preserve"> Invoked for divine will and goodness, intellectual ordering, the joining of mind to soul and soul to body, and soul’s intermediate composition. II.11.26–27, II.11.38; II.13.3; III.2.22; IV.1.29. See </w:t>
      </w:r>
      <w:hyperlink w:anchor="will">
        <w:r>
          <w:rPr>
            <w:color w:val="000000"/>
          </w:rPr>
          <w:t xml:space="preserve">Will</w:t>
        </w:r>
      </w:hyperlink>
      <w:r>
        <w:rPr>
          <w:b w:val="0"/>
          <w:i w:val="0"/>
        </w:rPr>
        <w:t xml:space="preserve">; </w:t>
      </w:r>
      <w:hyperlink w:anchor="indivisibility">
        <w:r>
          <w:rPr>
            <w:color w:val="000000"/>
          </w:rPr>
          <w:t xml:space="preserve">Indivisibility</w:t>
        </w:r>
      </w:hyperlink>
      <w:r>
        <w:rPr>
          <w:b w:val="0"/>
          <w:i w:val="0"/>
        </w:rPr>
        <w:t xml:space="preserve">; </w:t>
      </w:r>
      <w:hyperlink w:anchor="degree-and-mediation">
        <w:r>
          <w:rPr>
            <w:color w:val="000000"/>
          </w:rPr>
          <w:t xml:space="preserve">Degree and mediation</w:t>
        </w:r>
      </w:hyperlink>
      <w:r>
        <w:rPr>
          <w:b w:val="0"/>
          <w:i w:val="0"/>
        </w:rPr>
        <w:t>.</w:t>
      </w:r>
    </w:p>
    <w:p>
      <w:bookmarkStart w:id="2132" w:name="thematic-index"/>
      <w:pPr>
        <w:pStyle w:val="Heading1"/>
      </w:pPr>
      <w:r>
        <w:rPr>
          <w:b w:val="0"/>
          <w:i w:val="0"/>
        </w:rPr>
        <w:t>Thematic index</w:t>
      </w:r>
      <w:bookmarkEnd w:id="2132"/>
    </w:p>
    <w:p>
      <w:pPr>
        <w:widowControl/>
      </w:pPr>
      <w:r>
        <w:rPr>
          <w:b w:val="0"/>
          <w:i w:val="0"/>
        </w:rPr>
        <w:t>These overlapping reading routes group related questions, examples and contrasts. They are selective guides to the articles, not additional vocabulary entries.</w:t>
      </w:r>
    </w:p>
    <w:p>
      <w:bookmarkStart w:id="2133" w:name="god-and-the-first-principle"/>
      <w:pPr>
        <w:pStyle w:val="Heading2"/>
      </w:pPr>
      <w:r>
        <w:rPr>
          <w:b w:val="0"/>
          <w:i w:val="0"/>
        </w:rPr>
        <w:t>God and the first principle</w:t>
      </w:r>
      <w:bookmarkEnd w:id="2133"/>
    </w:p>
    <w:p>
      <w:pPr>
        <w:widowControl/>
      </w:pPr>
      <w:hyperlink w:anchor="god">
        <w:r>
          <w:rPr>
            <w:color w:val="000000"/>
          </w:rPr>
          <w:t xml:space="preserve">God</w:t>
        </w:r>
      </w:hyperlink>
      <w:r>
        <w:rPr>
          <w:b w:val="0"/>
          <w:i w:val="0"/>
        </w:rPr>
        <w:t xml:space="preserve">; </w:t>
      </w:r>
      <w:hyperlink w:anchor="unity-and-multiplicity">
        <w:r>
          <w:rPr>
            <w:color w:val="000000"/>
          </w:rPr>
          <w:t xml:space="preserve">Unity and multiplicity</w:t>
        </w:r>
      </w:hyperlink>
      <w:r>
        <w:rPr>
          <w:b w:val="0"/>
          <w:i w:val="0"/>
        </w:rPr>
        <w:t xml:space="preserve">; </w:t>
      </w:r>
      <w:hyperlink w:anchor="truth">
        <w:r>
          <w:rPr>
            <w:color w:val="000000"/>
          </w:rPr>
          <w:t xml:space="preserve">Truth</w:t>
        </w:r>
      </w:hyperlink>
      <w:r>
        <w:rPr>
          <w:b w:val="0"/>
          <w:i w:val="0"/>
        </w:rPr>
        <w:t xml:space="preserve">; </w:t>
      </w:r>
      <w:hyperlink w:anchor="good-and-goodness">
        <w:r>
          <w:rPr>
            <w:color w:val="000000"/>
          </w:rPr>
          <w:t xml:space="preserve">Good and goodness</w:t>
        </w:r>
      </w:hyperlink>
      <w:r>
        <w:rPr>
          <w:b w:val="0"/>
          <w:i w:val="0"/>
        </w:rPr>
        <w:t xml:space="preserve">; </w:t>
      </w:r>
      <w:hyperlink w:anchor="simplicity-and-composition">
        <w:r>
          <w:rPr>
            <w:color w:val="000000"/>
          </w:rPr>
          <w:t xml:space="preserve">Simplicity and composition</w:t>
        </w:r>
      </w:hyperlink>
      <w:r>
        <w:rPr>
          <w:b w:val="0"/>
          <w:i w:val="0"/>
        </w:rPr>
        <w:t xml:space="preserve">; </w:t>
      </w:r>
      <w:hyperlink w:anchor="infinity">
        <w:r>
          <w:rPr>
            <w:color w:val="000000"/>
          </w:rPr>
          <w:t xml:space="preserve">Infinity</w:t>
        </w:r>
      </w:hyperlink>
      <w:r>
        <w:rPr>
          <w:b w:val="0"/>
          <w:i w:val="0"/>
        </w:rPr>
        <w:t xml:space="preserve">; </w:t>
      </w:r>
      <w:hyperlink w:anchor="eternity-and-time">
        <w:r>
          <w:rPr>
            <w:color w:val="000000"/>
          </w:rPr>
          <w:t xml:space="preserve">Eternity and time</w:t>
        </w:r>
      </w:hyperlink>
      <w:r>
        <w:rPr>
          <w:b w:val="0"/>
          <w:i w:val="0"/>
        </w:rPr>
        <w:t xml:space="preserve">; </w:t>
      </w:r>
      <w:hyperlink w:anchor="omnipresence-and-place">
        <w:r>
          <w:rPr>
            <w:color w:val="000000"/>
          </w:rPr>
          <w:t xml:space="preserve">Omnipresence and place</w:t>
        </w:r>
      </w:hyperlink>
      <w:r>
        <w:rPr>
          <w:b w:val="0"/>
          <w:i w:val="0"/>
        </w:rPr>
        <w:t xml:space="preserve">; </w:t>
      </w:r>
      <w:hyperlink w:anchor="creation">
        <w:r>
          <w:rPr>
            <w:color w:val="000000"/>
          </w:rPr>
          <w:t xml:space="preserve">Creation</w:t>
        </w:r>
      </w:hyperlink>
      <w:r>
        <w:rPr>
          <w:b w:val="0"/>
          <w:i w:val="0"/>
        </w:rPr>
        <w:t xml:space="preserve">; </w:t>
      </w:r>
      <w:hyperlink w:anchor="providence">
        <w:r>
          <w:rPr>
            <w:color w:val="000000"/>
          </w:rPr>
          <w:t xml:space="preserve">Providence</w:t>
        </w:r>
      </w:hyperlink>
      <w:r>
        <w:rPr>
          <w:b w:val="0"/>
          <w:i w:val="0"/>
        </w:rPr>
        <w:t xml:space="preserve">; </w:t>
      </w:r>
      <w:hyperlink w:anchor="freedom-and-necessity">
        <w:r>
          <w:rPr>
            <w:color w:val="000000"/>
          </w:rPr>
          <w:t xml:space="preserve">Freedom and necessity</w:t>
        </w:r>
      </w:hyperlink>
      <w:r>
        <w:rPr>
          <w:b w:val="0"/>
          <w:i w:val="0"/>
        </w:rPr>
        <w:t xml:space="preserve">; </w:t>
      </w:r>
      <w:hyperlink w:anchor="divinity-and-the-divine">
        <w:r>
          <w:rPr>
            <w:color w:val="000000"/>
          </w:rPr>
          <w:t xml:space="preserve">Divinity and the divine</w:t>
        </w:r>
      </w:hyperlink>
      <w:r>
        <w:rPr>
          <w:b w:val="0"/>
          <w:i w:val="0"/>
        </w:rPr>
        <w:t xml:space="preserve">; </w:t>
      </w:r>
      <w:hyperlink w:anchor="self-production-and-reservation">
        <w:r>
          <w:rPr>
            <w:color w:val="000000"/>
          </w:rPr>
          <w:t xml:space="preserve">Self-production and reservation</w:t>
        </w:r>
      </w:hyperlink>
      <w:r>
        <w:rPr>
          <w:b w:val="0"/>
          <w:i w:val="0"/>
        </w:rPr>
        <w:t xml:space="preserve">; </w:t>
      </w:r>
      <w:hyperlink w:anchor="common-and-proper">
        <w:r>
          <w:rPr>
            <w:color w:val="000000"/>
          </w:rPr>
          <w:t xml:space="preserve">Common and proper</w:t>
        </w:r>
      </w:hyperlink>
      <w:r>
        <w:rPr>
          <w:b w:val="0"/>
          <w:i w:val="0"/>
        </w:rPr>
        <w:t xml:space="preserve">; </w:t>
      </w:r>
      <w:hyperlink w:anchor="parmenides-and-the-summary-formula">
        <w:r>
          <w:rPr>
            <w:color w:val="000000"/>
          </w:rPr>
          <w:t xml:space="preserve">Parmenides and the summary formula</w:t>
        </w:r>
      </w:hyperlink>
      <w:r>
        <w:rPr>
          <w:b w:val="0"/>
          <w:i w:val="0"/>
        </w:rPr>
        <w:t xml:space="preserve">; </w:t>
      </w:r>
      <w:hyperlink w:anchor="naming-by-cause">
        <w:r>
          <w:rPr>
            <w:color w:val="000000"/>
          </w:rPr>
          <w:t xml:space="preserve">Naming by cause</w:t>
        </w:r>
      </w:hyperlink>
      <w:r>
        <w:rPr>
          <w:b w:val="0"/>
          <w:i w:val="0"/>
        </w:rPr>
        <w:t xml:space="preserve">; </w:t>
      </w:r>
      <w:hyperlink w:anchor="being">
        <w:r>
          <w:rPr>
            <w:color w:val="000000"/>
          </w:rPr>
          <w:t xml:space="preserve">Being</w:t>
        </w:r>
      </w:hyperlink>
      <w:r>
        <w:rPr>
          <w:b w:val="0"/>
          <w:i w:val="0"/>
        </w:rPr>
        <w:t xml:space="preserve">; </w:t>
      </w:r>
      <w:hyperlink w:anchor="nothing-and-nonbeing">
        <w:r>
          <w:rPr>
            <w:color w:val="000000"/>
          </w:rPr>
          <w:t xml:space="preserve">Nothing and nonbeing</w:t>
        </w:r>
      </w:hyperlink>
      <w:r>
        <w:rPr>
          <w:b w:val="0"/>
          <w:i w:val="0"/>
        </w:rPr>
        <w:t>.</w:t>
      </w:r>
    </w:p>
    <w:p>
      <w:bookmarkStart w:id="2134" w:name="soul-and-mediation"/>
      <w:pPr>
        <w:pStyle w:val="Heading2"/>
      </w:pPr>
      <w:r>
        <w:rPr>
          <w:b w:val="0"/>
          <w:i w:val="0"/>
        </w:rPr>
        <w:t>Soul and mediation</w:t>
      </w:r>
      <w:bookmarkEnd w:id="2134"/>
    </w:p>
    <w:p>
      <w:pPr>
        <w:widowControl/>
      </w:pPr>
      <w:hyperlink w:anchor="soul">
        <w:r>
          <w:rPr>
            <w:color w:val="000000"/>
          </w:rPr>
          <w:t xml:space="preserve">Soul</w:t>
        </w:r>
      </w:hyperlink>
      <w:r>
        <w:rPr>
          <w:b w:val="0"/>
          <w:i w:val="0"/>
        </w:rPr>
        <w:t xml:space="preserve">; </w:t>
      </w:r>
      <w:hyperlink w:anchor="degree-and-mediation">
        <w:r>
          <w:rPr>
            <w:color w:val="000000"/>
          </w:rPr>
          <w:t xml:space="preserve">Degree and mediation</w:t>
        </w:r>
      </w:hyperlink>
      <w:r>
        <w:rPr>
          <w:b w:val="0"/>
          <w:i w:val="0"/>
        </w:rPr>
        <w:t xml:space="preserve">; </w:t>
      </w:r>
      <w:hyperlink w:anchor="bond-knot-and-chain">
        <w:r>
          <w:rPr>
            <w:color w:val="000000"/>
          </w:rPr>
          <w:t xml:space="preserve">Bond knot and chain</w:t>
        </w:r>
      </w:hyperlink>
      <w:r>
        <w:rPr>
          <w:b w:val="0"/>
          <w:i w:val="0"/>
        </w:rPr>
        <w:t xml:space="preserve">; </w:t>
      </w:r>
      <w:hyperlink w:anchor="hinge-and-center">
        <w:r>
          <w:rPr>
            <w:color w:val="000000"/>
          </w:rPr>
          <w:t xml:space="preserve">Hinge and center</w:t>
        </w:r>
      </w:hyperlink>
      <w:r>
        <w:rPr>
          <w:b w:val="0"/>
          <w:i w:val="0"/>
        </w:rPr>
        <w:t xml:space="preserve">; </w:t>
      </w:r>
      <w:hyperlink w:anchor="immortality">
        <w:r>
          <w:rPr>
            <w:color w:val="000000"/>
          </w:rPr>
          <w:t xml:space="preserve">Immortality</w:t>
        </w:r>
      </w:hyperlink>
      <w:r>
        <w:rPr>
          <w:b w:val="0"/>
          <w:i w:val="0"/>
        </w:rPr>
        <w:t xml:space="preserve">; </w:t>
      </w:r>
      <w:hyperlink w:anchor="life">
        <w:r>
          <w:rPr>
            <w:color w:val="000000"/>
          </w:rPr>
          <w:t xml:space="preserve">Life</w:t>
        </w:r>
      </w:hyperlink>
      <w:r>
        <w:rPr>
          <w:b w:val="0"/>
          <w:i w:val="0"/>
        </w:rPr>
        <w:t xml:space="preserve">; </w:t>
      </w:r>
      <w:hyperlink w:anchor="indivisibility">
        <w:r>
          <w:rPr>
            <w:color w:val="000000"/>
          </w:rPr>
          <w:t xml:space="preserve">Indivisibility</w:t>
        </w:r>
      </w:hyperlink>
      <w:r>
        <w:rPr>
          <w:b w:val="0"/>
          <w:i w:val="0"/>
        </w:rPr>
        <w:t xml:space="preserve">; </w:t>
      </w:r>
      <w:hyperlink w:anchor="spiritual-union">
        <w:r>
          <w:rPr>
            <w:color w:val="000000"/>
          </w:rPr>
          <w:t xml:space="preserve">Spiritual union</w:t>
        </w:r>
      </w:hyperlink>
      <w:r>
        <w:rPr>
          <w:b w:val="0"/>
          <w:i w:val="0"/>
        </w:rPr>
        <w:t xml:space="preserve">; </w:t>
      </w:r>
      <w:hyperlink w:anchor="indwelling-and-presence">
        <w:r>
          <w:rPr>
            <w:color w:val="000000"/>
          </w:rPr>
          <w:t xml:space="preserve">Indwelling and presence</w:t>
        </w:r>
      </w:hyperlink>
      <w:r>
        <w:rPr>
          <w:b w:val="0"/>
          <w:i w:val="0"/>
        </w:rPr>
        <w:t xml:space="preserve">; </w:t>
      </w:r>
      <w:hyperlink w:anchor="world-soul">
        <w:r>
          <w:rPr>
            <w:color w:val="000000"/>
          </w:rPr>
          <w:t xml:space="preserve">World soul</w:t>
        </w:r>
      </w:hyperlink>
      <w:r>
        <w:rPr>
          <w:b w:val="0"/>
          <w:i w:val="0"/>
        </w:rPr>
        <w:t xml:space="preserve">; </w:t>
      </w:r>
      <w:hyperlink w:anchor="earth-soul">
        <w:r>
          <w:rPr>
            <w:color w:val="000000"/>
          </w:rPr>
          <w:t xml:space="preserve">Earth soul</w:t>
        </w:r>
      </w:hyperlink>
      <w:r>
        <w:rPr>
          <w:b w:val="0"/>
          <w:i w:val="0"/>
        </w:rPr>
        <w:t xml:space="preserve">; </w:t>
      </w:r>
      <w:hyperlink w:anchor="second-mind">
        <w:r>
          <w:rPr>
            <w:color w:val="000000"/>
          </w:rPr>
          <w:t xml:space="preserve">Second mind</w:t>
        </w:r>
      </w:hyperlink>
      <w:r>
        <w:rPr>
          <w:b w:val="0"/>
          <w:i w:val="0"/>
        </w:rPr>
        <w:t xml:space="preserve">; </w:t>
      </w:r>
      <w:hyperlink w:anchor="intellectual-and-animating-powers">
        <w:r>
          <w:rPr>
            <w:color w:val="000000"/>
          </w:rPr>
          <w:t xml:space="preserve">Intellectual and animating powers</w:t>
        </w:r>
      </w:hyperlink>
      <w:r>
        <w:rPr>
          <w:b w:val="0"/>
          <w:i w:val="0"/>
        </w:rPr>
        <w:t xml:space="preserve">; </w:t>
      </w:r>
      <w:hyperlink w:anchor="common-and-proper">
        <w:r>
          <w:rPr>
            <w:color w:val="000000"/>
          </w:rPr>
          <w:t xml:space="preserve">Common and proper</w:t>
        </w:r>
      </w:hyperlink>
      <w:r>
        <w:rPr>
          <w:b w:val="0"/>
          <w:i w:val="0"/>
        </w:rPr>
        <w:t xml:space="preserve">; </w:t>
      </w:r>
      <w:hyperlink w:anchor="point-and-position">
        <w:r>
          <w:rPr>
            <w:color w:val="000000"/>
          </w:rPr>
          <w:t xml:space="preserve">Point and position</w:t>
        </w:r>
      </w:hyperlink>
      <w:r>
        <w:rPr>
          <w:b w:val="0"/>
          <w:i w:val="0"/>
        </w:rPr>
        <w:t xml:space="preserve">; </w:t>
      </w:r>
      <w:hyperlink w:anchor="transparency-and-opacity">
        <w:r>
          <w:rPr>
            <w:color w:val="000000"/>
          </w:rPr>
          <w:t xml:space="preserve">Transparency and opacity</w:t>
        </w:r>
      </w:hyperlink>
      <w:r>
        <w:rPr>
          <w:b w:val="0"/>
          <w:i w:val="0"/>
        </w:rPr>
        <w:t xml:space="preserve">; </w:t>
      </w:r>
      <w:hyperlink w:anchor="animating-and-animal">
        <w:r>
          <w:rPr>
            <w:color w:val="000000"/>
          </w:rPr>
          <w:t xml:space="preserve">Animating and animal</w:t>
        </w:r>
      </w:hyperlink>
      <w:r>
        <w:rPr>
          <w:b w:val="0"/>
          <w:i w:val="0"/>
        </w:rPr>
        <w:t xml:space="preserve">; </w:t>
      </w:r>
      <w:hyperlink w:anchor="incorporeal-and-immaterial">
        <w:r>
          <w:rPr>
            <w:color w:val="000000"/>
          </w:rPr>
          <w:t xml:space="preserve">Incorporeal and immaterial</w:t>
        </w:r>
      </w:hyperlink>
      <w:r>
        <w:rPr>
          <w:b w:val="0"/>
          <w:i w:val="0"/>
        </w:rPr>
        <w:t xml:space="preserve">; </w:t>
      </w:r>
      <w:hyperlink w:anchor="participation">
        <w:r>
          <w:rPr>
            <w:color w:val="000000"/>
          </w:rPr>
          <w:t xml:space="preserve">Participation</w:t>
        </w:r>
      </w:hyperlink>
      <w:r>
        <w:rPr>
          <w:b w:val="0"/>
          <w:i w:val="0"/>
        </w:rPr>
        <w:t>.</w:t>
      </w:r>
    </w:p>
    <w:p>
      <w:bookmarkStart w:id="2135" w:name="knowledge-and-its-objects"/>
      <w:pPr>
        <w:pStyle w:val="Heading2"/>
      </w:pPr>
      <w:r>
        <w:rPr>
          <w:b w:val="0"/>
          <w:i w:val="0"/>
        </w:rPr>
        <w:t>Knowledge and its objects</w:t>
      </w:r>
      <w:bookmarkEnd w:id="2135"/>
    </w:p>
    <w:p>
      <w:pPr>
        <w:widowControl/>
      </w:pPr>
      <w:hyperlink w:anchor="mind">
        <w:r>
          <w:rPr>
            <w:color w:val="000000"/>
          </w:rPr>
          <w:t xml:space="preserve">Mind</w:t>
        </w:r>
      </w:hyperlink>
      <w:r>
        <w:rPr>
          <w:b w:val="0"/>
          <w:i w:val="0"/>
        </w:rPr>
        <w:t xml:space="preserve">; </w:t>
      </w:r>
      <w:hyperlink w:anchor="intellect-and-intellection">
        <w:r>
          <w:rPr>
            <w:color w:val="000000"/>
          </w:rPr>
          <w:t xml:space="preserve">Intellect and intellection</w:t>
        </w:r>
      </w:hyperlink>
      <w:r>
        <w:rPr>
          <w:b w:val="0"/>
          <w:i w:val="0"/>
        </w:rPr>
        <w:t xml:space="preserve">; </w:t>
      </w:r>
      <w:hyperlink w:anchor="self-knowledge">
        <w:r>
          <w:rPr>
            <w:color w:val="000000"/>
          </w:rPr>
          <w:t xml:space="preserve">Self knowledge</w:t>
        </w:r>
      </w:hyperlink>
      <w:r>
        <w:rPr>
          <w:b w:val="0"/>
          <w:i w:val="0"/>
        </w:rPr>
        <w:t xml:space="preserve">; </w:t>
      </w:r>
      <w:hyperlink w:anchor="ideas-and-exemplars">
        <w:r>
          <w:rPr>
            <w:color w:val="000000"/>
          </w:rPr>
          <w:t xml:space="preserve">Ideas and exemplars</w:t>
        </w:r>
      </w:hyperlink>
      <w:r>
        <w:rPr>
          <w:b w:val="0"/>
          <w:i w:val="0"/>
        </w:rPr>
        <w:t xml:space="preserve">; </w:t>
      </w:r>
      <w:hyperlink w:anchor="form">
        <w:r>
          <w:rPr>
            <w:color w:val="000000"/>
          </w:rPr>
          <w:t xml:space="preserve">Form</w:t>
        </w:r>
      </w:hyperlink>
      <w:r>
        <w:rPr>
          <w:b w:val="0"/>
          <w:i w:val="0"/>
        </w:rPr>
        <w:t xml:space="preserve">; </w:t>
      </w:r>
      <w:hyperlink w:anchor="species">
        <w:r>
          <w:rPr>
            <w:color w:val="000000"/>
          </w:rPr>
          <w:t xml:space="preserve">Species</w:t>
        </w:r>
      </w:hyperlink>
      <w:r>
        <w:rPr>
          <w:b w:val="0"/>
          <w:i w:val="0"/>
        </w:rPr>
        <w:t xml:space="preserve">; </w:t>
      </w:r>
      <w:hyperlink w:anchor="reason-and-account">
        <w:r>
          <w:rPr>
            <w:color w:val="000000"/>
          </w:rPr>
          <w:t xml:space="preserve">Reason and account</w:t>
        </w:r>
      </w:hyperlink>
      <w:r>
        <w:rPr>
          <w:b w:val="0"/>
          <w:i w:val="0"/>
        </w:rPr>
        <w:t xml:space="preserve">; </w:t>
      </w:r>
      <w:hyperlink w:anchor="sense-and-imagination">
        <w:r>
          <w:rPr>
            <w:color w:val="000000"/>
          </w:rPr>
          <w:t xml:space="preserve">Sense and imagination</w:t>
        </w:r>
      </w:hyperlink>
      <w:r>
        <w:rPr>
          <w:b w:val="0"/>
          <w:i w:val="0"/>
        </w:rPr>
        <w:t xml:space="preserve">; </w:t>
      </w:r>
      <w:hyperlink w:anchor="intuition-and-discourse">
        <w:r>
          <w:rPr>
            <w:color w:val="000000"/>
          </w:rPr>
          <w:t xml:space="preserve">Intuition and discourse</w:t>
        </w:r>
      </w:hyperlink>
      <w:r>
        <w:rPr>
          <w:b w:val="0"/>
          <w:i w:val="0"/>
        </w:rPr>
        <w:t xml:space="preserve">; </w:t>
      </w:r>
      <w:hyperlink w:anchor="intuition-and-comprehension">
        <w:r>
          <w:rPr>
            <w:color w:val="000000"/>
          </w:rPr>
          <w:t xml:space="preserve">Intuition and comprehension</w:t>
        </w:r>
      </w:hyperlink>
      <w:r>
        <w:rPr>
          <w:b w:val="0"/>
          <w:i w:val="0"/>
        </w:rPr>
        <w:t xml:space="preserve">; </w:t>
      </w:r>
      <w:hyperlink w:anchor="object-and-adequate-object">
        <w:r>
          <w:rPr>
            <w:color w:val="000000"/>
          </w:rPr>
          <w:t xml:space="preserve">Object and adequate object</w:t>
        </w:r>
      </w:hyperlink>
      <w:r>
        <w:rPr>
          <w:b w:val="0"/>
          <w:i w:val="0"/>
        </w:rPr>
        <w:t xml:space="preserve">; </w:t>
      </w:r>
      <w:hyperlink w:anchor="looking-and-recognizing">
        <w:r>
          <w:rPr>
            <w:color w:val="000000"/>
          </w:rPr>
          <w:t xml:space="preserve">Looking and recognizing</w:t>
        </w:r>
      </w:hyperlink>
      <w:r>
        <w:rPr>
          <w:b w:val="0"/>
          <w:i w:val="0"/>
        </w:rPr>
        <w:t xml:space="preserve">; </w:t>
      </w:r>
      <w:hyperlink w:anchor="eye-and-gaze">
        <w:r>
          <w:rPr>
            <w:color w:val="000000"/>
          </w:rPr>
          <w:t xml:space="preserve">Eye and gaze</w:t>
        </w:r>
      </w:hyperlink>
      <w:r>
        <w:rPr>
          <w:b w:val="0"/>
          <w:i w:val="0"/>
        </w:rPr>
        <w:t xml:space="preserve">; </w:t>
      </w:r>
      <w:hyperlink w:anchor="counting-and-collective-intuition">
        <w:r>
          <w:rPr>
            <w:color w:val="000000"/>
          </w:rPr>
          <w:t xml:space="preserve">Counting and collective intuition</w:t>
        </w:r>
      </w:hyperlink>
      <w:r>
        <w:rPr>
          <w:b w:val="0"/>
          <w:i w:val="0"/>
        </w:rPr>
        <w:t xml:space="preserve">; </w:t>
      </w:r>
      <w:hyperlink w:anchor="kinship-and-separation">
        <w:r>
          <w:rPr>
            <w:color w:val="000000"/>
          </w:rPr>
          <w:t xml:space="preserve">Kinship and separation</w:t>
        </w:r>
      </w:hyperlink>
      <w:r>
        <w:rPr>
          <w:b w:val="0"/>
          <w:i w:val="0"/>
        </w:rPr>
        <w:t xml:space="preserve">; </w:t>
      </w:r>
      <w:hyperlink w:anchor="utterance-and-meaning">
        <w:r>
          <w:rPr>
            <w:color w:val="000000"/>
          </w:rPr>
          <w:t xml:space="preserve">Utterance and meaning</w:t>
        </w:r>
      </w:hyperlink>
      <w:r>
        <w:rPr>
          <w:b w:val="0"/>
          <w:i w:val="0"/>
        </w:rPr>
        <w:t xml:space="preserve">; </w:t>
      </w:r>
      <w:hyperlink w:anchor="word-and-meaning">
        <w:r>
          <w:rPr>
            <w:color w:val="000000"/>
          </w:rPr>
          <w:t xml:space="preserve">Word and meaning</w:t>
        </w:r>
      </w:hyperlink>
      <w:r>
        <w:rPr>
          <w:b w:val="0"/>
          <w:i w:val="0"/>
        </w:rPr>
        <w:t xml:space="preserve">; </w:t>
      </w:r>
      <w:hyperlink w:anchor="separation-and-abstraction">
        <w:r>
          <w:rPr>
            <w:color w:val="000000"/>
          </w:rPr>
          <w:t xml:space="preserve">Separation and abstraction</w:t>
        </w:r>
      </w:hyperlink>
      <w:r>
        <w:rPr>
          <w:b w:val="0"/>
          <w:i w:val="0"/>
        </w:rPr>
        <w:t>.</w:t>
      </w:r>
    </w:p>
    <w:p>
      <w:bookmarkStart w:id="2136" w:name="will-desire-and-freedom"/>
      <w:pPr>
        <w:pStyle w:val="Heading2"/>
      </w:pPr>
      <w:r>
        <w:rPr>
          <w:b w:val="0"/>
          <w:i w:val="0"/>
        </w:rPr>
        <w:t>Will desire and freedom</w:t>
      </w:r>
      <w:bookmarkEnd w:id="2136"/>
    </w:p>
    <w:p>
      <w:pPr>
        <w:widowControl/>
      </w:pPr>
      <w:hyperlink w:anchor="will">
        <w:r>
          <w:rPr>
            <w:color w:val="000000"/>
          </w:rPr>
          <w:t xml:space="preserve">Will</w:t>
        </w:r>
      </w:hyperlink>
      <w:r>
        <w:rPr>
          <w:b w:val="0"/>
          <w:i w:val="0"/>
        </w:rPr>
        <w:t xml:space="preserve">; </w:t>
      </w:r>
      <w:hyperlink w:anchor="appetite-and-desire">
        <w:r>
          <w:rPr>
            <w:color w:val="000000"/>
          </w:rPr>
          <w:t xml:space="preserve">Appetite and desire</w:t>
        </w:r>
      </w:hyperlink>
      <w:r>
        <w:rPr>
          <w:b w:val="0"/>
          <w:i w:val="0"/>
        </w:rPr>
        <w:t xml:space="preserve">; </w:t>
      </w:r>
      <w:hyperlink w:anchor="affect">
        <w:r>
          <w:rPr>
            <w:color w:val="000000"/>
          </w:rPr>
          <w:t xml:space="preserve">Affect</w:t>
        </w:r>
      </w:hyperlink>
      <w:r>
        <w:rPr>
          <w:b w:val="0"/>
          <w:i w:val="0"/>
        </w:rPr>
        <w:t xml:space="preserve">; </w:t>
      </w:r>
      <w:hyperlink w:anchor="love-and-pleasure">
        <w:r>
          <w:rPr>
            <w:color w:val="000000"/>
          </w:rPr>
          <w:t xml:space="preserve">Love and pleasure</w:t>
        </w:r>
      </w:hyperlink>
      <w:r>
        <w:rPr>
          <w:b w:val="0"/>
          <w:i w:val="0"/>
        </w:rPr>
        <w:t xml:space="preserve">; </w:t>
      </w:r>
      <w:hyperlink w:anchor="choice-and-deliberation">
        <w:r>
          <w:rPr>
            <w:color w:val="000000"/>
          </w:rPr>
          <w:t xml:space="preserve">Choice and deliberation</w:t>
        </w:r>
      </w:hyperlink>
      <w:r>
        <w:rPr>
          <w:b w:val="0"/>
          <w:i w:val="0"/>
        </w:rPr>
        <w:t xml:space="preserve">; </w:t>
      </w:r>
      <w:hyperlink w:anchor="choice-and-free-judgment">
        <w:r>
          <w:rPr>
            <w:color w:val="000000"/>
          </w:rPr>
          <w:t xml:space="preserve">Choice and free judgment</w:t>
        </w:r>
      </w:hyperlink>
      <w:r>
        <w:rPr>
          <w:b w:val="0"/>
          <w:i w:val="0"/>
        </w:rPr>
        <w:t xml:space="preserve">; </w:t>
      </w:r>
      <w:hyperlink w:anchor="freedom-and-necessity">
        <w:r>
          <w:rPr>
            <w:color w:val="000000"/>
          </w:rPr>
          <w:t xml:space="preserve">Freedom and necessity</w:t>
        </w:r>
      </w:hyperlink>
      <w:r>
        <w:rPr>
          <w:b w:val="0"/>
          <w:i w:val="0"/>
        </w:rPr>
        <w:t xml:space="preserve">; </w:t>
      </w:r>
      <w:hyperlink w:anchor="foreknowledge">
        <w:r>
          <w:rPr>
            <w:color w:val="000000"/>
          </w:rPr>
          <w:t xml:space="preserve">Foreknowledge</w:t>
        </w:r>
      </w:hyperlink>
      <w:r>
        <w:rPr>
          <w:b w:val="0"/>
          <w:i w:val="0"/>
        </w:rPr>
        <w:t xml:space="preserve">; </w:t>
      </w:r>
      <w:hyperlink w:anchor="contingency">
        <w:r>
          <w:rPr>
            <w:color w:val="000000"/>
          </w:rPr>
          <w:t xml:space="preserve">Contingency</w:t>
        </w:r>
      </w:hyperlink>
      <w:r>
        <w:rPr>
          <w:b w:val="0"/>
          <w:i w:val="0"/>
        </w:rPr>
        <w:t xml:space="preserve">; </w:t>
      </w:r>
      <w:hyperlink w:anchor="reason-anger-and-desire">
        <w:r>
          <w:rPr>
            <w:color w:val="000000"/>
          </w:rPr>
          <w:t xml:space="preserve">Reason anger and desire</w:t>
        </w:r>
      </w:hyperlink>
      <w:r>
        <w:rPr>
          <w:b w:val="0"/>
          <w:i w:val="0"/>
        </w:rPr>
        <w:t xml:space="preserve">; </w:t>
      </w:r>
      <w:hyperlink w:anchor="assent-and-approval">
        <w:r>
          <w:rPr>
            <w:color w:val="000000"/>
          </w:rPr>
          <w:t xml:space="preserve">Assent of will</w:t>
        </w:r>
      </w:hyperlink>
      <w:r>
        <w:rPr>
          <w:b w:val="0"/>
          <w:i w:val="0"/>
        </w:rPr>
        <w:t xml:space="preserve">; </w:t>
      </w:r>
      <w:hyperlink w:anchor="wishing-refusing-and-the-good">
        <w:r>
          <w:rPr>
            <w:color w:val="000000"/>
          </w:rPr>
          <w:t xml:space="preserve">Wishing, refusing and the good</w:t>
        </w:r>
      </w:hyperlink>
      <w:r>
        <w:rPr>
          <w:b w:val="0"/>
          <w:i w:val="0"/>
        </w:rPr>
        <w:t xml:space="preserve">; </w:t>
      </w:r>
      <w:hyperlink w:anchor="persuasion-and-compulsion">
        <w:r>
          <w:rPr>
            <w:color w:val="000000"/>
          </w:rPr>
          <w:t xml:space="preserve">Persuasion and compulsion</w:t>
        </w:r>
      </w:hyperlink>
      <w:r>
        <w:rPr>
          <w:b w:val="0"/>
          <w:i w:val="0"/>
        </w:rPr>
        <w:t xml:space="preserve">; </w:t>
      </w:r>
      <w:hyperlink w:anchor="striving-and-enjoyment">
        <w:r>
          <w:rPr>
            <w:color w:val="000000"/>
          </w:rPr>
          <w:t xml:space="preserve">Striving and enjoyment</w:t>
        </w:r>
      </w:hyperlink>
      <w:r>
        <w:rPr>
          <w:b w:val="0"/>
          <w:i w:val="0"/>
        </w:rPr>
        <w:t xml:space="preserve">; </w:t>
      </w:r>
      <w:hyperlink w:anchor="paths-and-prescribed-ends">
        <w:r>
          <w:rPr>
            <w:color w:val="000000"/>
          </w:rPr>
          <w:t xml:space="preserve">Paths and prescribed ends</w:t>
        </w:r>
      </w:hyperlink>
      <w:r>
        <w:rPr>
          <w:b w:val="0"/>
          <w:i w:val="0"/>
        </w:rPr>
        <w:t xml:space="preserve">; </w:t>
      </w:r>
      <w:hyperlink w:anchor="intention">
        <w:r>
          <w:rPr>
            <w:color w:val="000000"/>
          </w:rPr>
          <w:t xml:space="preserve">Intention</w:t>
        </w:r>
      </w:hyperlink>
      <w:r>
        <w:rPr>
          <w:b w:val="0"/>
          <w:i w:val="0"/>
        </w:rPr>
        <w:t>.</w:t>
      </w:r>
    </w:p>
    <w:p>
      <w:bookmarkStart w:id="2137" w:name="cause-dependence-and-production"/>
      <w:pPr>
        <w:pStyle w:val="Heading2"/>
      </w:pPr>
      <w:r>
        <w:rPr>
          <w:b w:val="0"/>
          <w:i w:val="0"/>
        </w:rPr>
        <w:t>Cause dependence and production</w:t>
      </w:r>
      <w:bookmarkEnd w:id="2137"/>
    </w:p>
    <w:p>
      <w:pPr>
        <w:widowControl/>
      </w:pPr>
      <w:hyperlink w:anchor="cause">
        <w:r>
          <w:rPr>
            <w:color w:val="000000"/>
          </w:rPr>
          <w:t xml:space="preserve">Cause</w:t>
        </w:r>
      </w:hyperlink>
      <w:r>
        <w:rPr>
          <w:b w:val="0"/>
          <w:i w:val="0"/>
        </w:rPr>
        <w:t xml:space="preserve">; </w:t>
      </w:r>
      <w:hyperlink w:anchor="principle">
        <w:r>
          <w:rPr>
            <w:color w:val="000000"/>
          </w:rPr>
          <w:t xml:space="preserve">Principle</w:t>
        </w:r>
      </w:hyperlink>
      <w:r>
        <w:rPr>
          <w:b w:val="0"/>
          <w:i w:val="0"/>
        </w:rPr>
        <w:t xml:space="preserve">; </w:t>
      </w:r>
      <w:hyperlink w:anchor="act-and-operation">
        <w:r>
          <w:rPr>
            <w:color w:val="000000"/>
          </w:rPr>
          <w:t xml:space="preserve">Act and operation</w:t>
        </w:r>
      </w:hyperlink>
      <w:r>
        <w:rPr>
          <w:b w:val="0"/>
          <w:i w:val="0"/>
        </w:rPr>
        <w:t xml:space="preserve">; </w:t>
      </w:r>
      <w:hyperlink w:anchor="power-and-potency">
        <w:r>
          <w:rPr>
            <w:color w:val="000000"/>
          </w:rPr>
          <w:t xml:space="preserve">Power and potency</w:t>
        </w:r>
      </w:hyperlink>
      <w:r>
        <w:rPr>
          <w:b w:val="0"/>
          <w:i w:val="0"/>
        </w:rPr>
        <w:t xml:space="preserve">; </w:t>
      </w:r>
      <w:hyperlink w:anchor="conservation-and-preservation">
        <w:r>
          <w:rPr>
            <w:color w:val="000000"/>
          </w:rPr>
          <w:t xml:space="preserve">Conservation and preservation</w:t>
        </w:r>
      </w:hyperlink>
      <w:r>
        <w:rPr>
          <w:b w:val="0"/>
          <w:i w:val="0"/>
        </w:rPr>
        <w:t xml:space="preserve">; </w:t>
      </w:r>
      <w:hyperlink w:anchor="communication-and-imparting">
        <w:r>
          <w:rPr>
            <w:color w:val="000000"/>
          </w:rPr>
          <w:t xml:space="preserve">Communication and imparting</w:t>
        </w:r>
      </w:hyperlink>
      <w:r>
        <w:rPr>
          <w:b w:val="0"/>
          <w:i w:val="0"/>
        </w:rPr>
        <w:t xml:space="preserve">; </w:t>
      </w:r>
      <w:hyperlink w:anchor="productive-and-designing-power">
        <w:r>
          <w:rPr>
            <w:color w:val="000000"/>
          </w:rPr>
          <w:t xml:space="preserve">Productive and designing power</w:t>
        </w:r>
      </w:hyperlink>
      <w:r>
        <w:rPr>
          <w:b w:val="0"/>
          <w:i w:val="0"/>
        </w:rPr>
        <w:t xml:space="preserve">; </w:t>
      </w:r>
      <w:hyperlink w:anchor="creation">
        <w:r>
          <w:rPr>
            <w:color w:val="000000"/>
          </w:rPr>
          <w:t xml:space="preserve">Creation</w:t>
        </w:r>
      </w:hyperlink>
      <w:r>
        <w:rPr>
          <w:b w:val="0"/>
          <w:i w:val="0"/>
        </w:rPr>
        <w:t xml:space="preserve">; </w:t>
      </w:r>
      <w:hyperlink w:anchor="art-and-nature">
        <w:r>
          <w:rPr>
            <w:color w:val="000000"/>
          </w:rPr>
          <w:t xml:space="preserve">Art and nature</w:t>
        </w:r>
      </w:hyperlink>
      <w:r>
        <w:rPr>
          <w:b w:val="0"/>
          <w:i w:val="0"/>
        </w:rPr>
        <w:t xml:space="preserve">; </w:t>
      </w:r>
      <w:hyperlink w:anchor="seeds">
        <w:r>
          <w:rPr>
            <w:color w:val="000000"/>
          </w:rPr>
          <w:t xml:space="preserve">Seeds</w:t>
        </w:r>
      </w:hyperlink>
      <w:r>
        <w:rPr>
          <w:b w:val="0"/>
          <w:i w:val="0"/>
        </w:rPr>
        <w:t xml:space="preserve">; </w:t>
      </w:r>
      <w:hyperlink w:anchor="instrument">
        <w:r>
          <w:rPr>
            <w:color w:val="000000"/>
          </w:rPr>
          <w:t xml:space="preserve">Instrument</w:t>
        </w:r>
      </w:hyperlink>
      <w:r>
        <w:rPr>
          <w:b w:val="0"/>
          <w:i w:val="0"/>
        </w:rPr>
        <w:t xml:space="preserve">; </w:t>
      </w:r>
      <w:hyperlink w:anchor="through-itself-and-through-another">
        <w:r>
          <w:rPr>
            <w:color w:val="000000"/>
          </w:rPr>
          <w:t xml:space="preserve">Through itself and through another</w:t>
        </w:r>
      </w:hyperlink>
      <w:r>
        <w:rPr>
          <w:b w:val="0"/>
          <w:i w:val="0"/>
        </w:rPr>
        <w:t xml:space="preserve">; </w:t>
      </w:r>
      <w:hyperlink w:anchor="precedence-and-causal-regress">
        <w:r>
          <w:rPr>
            <w:color w:val="000000"/>
          </w:rPr>
          <w:t xml:space="preserve">Precedence and causal regress</w:t>
        </w:r>
      </w:hyperlink>
      <w:r>
        <w:rPr>
          <w:b w:val="0"/>
          <w:i w:val="0"/>
        </w:rPr>
        <w:t xml:space="preserve">; </w:t>
      </w:r>
      <w:hyperlink w:anchor="receiving-and-giving">
        <w:r>
          <w:rPr>
            <w:color w:val="000000"/>
          </w:rPr>
          <w:t xml:space="preserve">Receiving and giving</w:t>
        </w:r>
      </w:hyperlink>
      <w:r>
        <w:rPr>
          <w:b w:val="0"/>
          <w:i w:val="0"/>
        </w:rPr>
        <w:t xml:space="preserve">; </w:t>
      </w:r>
      <w:hyperlink w:anchor="containing-receiving-and-lacking">
        <w:r>
          <w:rPr>
            <w:color w:val="000000"/>
          </w:rPr>
          <w:t xml:space="preserve">Containing, receiving and lacking</w:t>
        </w:r>
      </w:hyperlink>
      <w:r>
        <w:rPr>
          <w:b w:val="0"/>
          <w:i w:val="0"/>
        </w:rPr>
        <w:t xml:space="preserve">; </w:t>
      </w:r>
      <w:hyperlink w:anchor="dependence-and-receiving">
        <w:r>
          <w:rPr>
            <w:color w:val="000000"/>
          </w:rPr>
          <w:t xml:space="preserve">Dependence and receiving</w:t>
        </w:r>
      </w:hyperlink>
      <w:r>
        <w:rPr>
          <w:b w:val="0"/>
          <w:i w:val="0"/>
        </w:rPr>
        <w:t xml:space="preserve">; </w:t>
      </w:r>
      <w:hyperlink w:anchor="support-inherence-and-dependence">
        <w:r>
          <w:rPr>
            <w:color w:val="000000"/>
          </w:rPr>
          <w:t xml:space="preserve">Support, inherence and dependence</w:t>
        </w:r>
      </w:hyperlink>
      <w:r>
        <w:rPr>
          <w:b w:val="0"/>
          <w:i w:val="0"/>
        </w:rPr>
        <w:t xml:space="preserve">; </w:t>
      </w:r>
      <w:hyperlink w:anchor="proximity-and-causal-presence">
        <w:r>
          <w:rPr>
            <w:color w:val="000000"/>
          </w:rPr>
          <w:t xml:space="preserve">Proximity and causal presence</w:t>
        </w:r>
      </w:hyperlink>
      <w:r>
        <w:rPr>
          <w:b w:val="0"/>
          <w:i w:val="0"/>
        </w:rPr>
        <w:t xml:space="preserve">; </w:t>
      </w:r>
      <w:hyperlink w:anchor="staying-and-preserving">
        <w:r>
          <w:rPr>
            <w:color w:val="000000"/>
          </w:rPr>
          <w:t xml:space="preserve">Staying and preserving</w:t>
        </w:r>
      </w:hyperlink>
      <w:r>
        <w:rPr>
          <w:b w:val="0"/>
          <w:i w:val="0"/>
        </w:rPr>
        <w:t xml:space="preserve">; </w:t>
      </w:r>
      <w:hyperlink w:anchor="chance">
        <w:r>
          <w:rPr>
            <w:color w:val="000000"/>
          </w:rPr>
          <w:t xml:space="preserve">Chance</w:t>
        </w:r>
      </w:hyperlink>
      <w:r>
        <w:rPr>
          <w:b w:val="0"/>
          <w:i w:val="0"/>
        </w:rPr>
        <w:t>.</w:t>
      </w:r>
    </w:p>
    <w:p>
      <w:bookmarkStart w:id="2138" w:name="bodies-qualities-and-living-processes"/>
      <w:pPr>
        <w:pStyle w:val="Heading2"/>
      </w:pPr>
      <w:r>
        <w:rPr>
          <w:b w:val="0"/>
          <w:i w:val="0"/>
        </w:rPr>
        <w:t>Bodies qualities and living processes</w:t>
      </w:r>
      <w:bookmarkEnd w:id="2138"/>
    </w:p>
    <w:p>
      <w:pPr>
        <w:widowControl/>
      </w:pPr>
      <w:hyperlink w:anchor="body-and-bulk">
        <w:r>
          <w:rPr>
            <w:color w:val="000000"/>
          </w:rPr>
          <w:t xml:space="preserve">Body and bulk</w:t>
        </w:r>
      </w:hyperlink>
      <w:r>
        <w:rPr>
          <w:b w:val="0"/>
          <w:i w:val="0"/>
        </w:rPr>
        <w:t xml:space="preserve">; </w:t>
      </w:r>
      <w:hyperlink w:anchor="matter">
        <w:r>
          <w:rPr>
            <w:color w:val="000000"/>
          </w:rPr>
          <w:t xml:space="preserve">Matter</w:t>
        </w:r>
      </w:hyperlink>
      <w:r>
        <w:rPr>
          <w:b w:val="0"/>
          <w:i w:val="0"/>
        </w:rPr>
        <w:t xml:space="preserve">; </w:t>
      </w:r>
      <w:hyperlink w:anchor="quality">
        <w:r>
          <w:rPr>
            <w:color w:val="000000"/>
          </w:rPr>
          <w:t xml:space="preserve">Quality</w:t>
        </w:r>
      </w:hyperlink>
      <w:r>
        <w:rPr>
          <w:b w:val="0"/>
          <w:i w:val="0"/>
        </w:rPr>
        <w:t xml:space="preserve">; </w:t>
      </w:r>
      <w:hyperlink w:anchor="quantity-and-dimension">
        <w:r>
          <w:rPr>
            <w:color w:val="000000"/>
          </w:rPr>
          <w:t xml:space="preserve">Quantity and dimension</w:t>
        </w:r>
      </w:hyperlink>
      <w:r>
        <w:rPr>
          <w:b w:val="0"/>
          <w:i w:val="0"/>
        </w:rPr>
        <w:t xml:space="preserve">; </w:t>
      </w:r>
      <w:hyperlink w:anchor="substance-and-accident">
        <w:r>
          <w:rPr>
            <w:color w:val="000000"/>
          </w:rPr>
          <w:t xml:space="preserve">Substance and accident</w:t>
        </w:r>
      </w:hyperlink>
      <w:r>
        <w:rPr>
          <w:b w:val="0"/>
          <w:i w:val="0"/>
        </w:rPr>
        <w:t xml:space="preserve">; </w:t>
      </w:r>
      <w:hyperlink w:anchor="essence-and-substance">
        <w:r>
          <w:rPr>
            <w:color w:val="000000"/>
          </w:rPr>
          <w:t xml:space="preserve">Essence and substance</w:t>
        </w:r>
      </w:hyperlink>
      <w:r>
        <w:rPr>
          <w:b w:val="0"/>
          <w:i w:val="0"/>
        </w:rPr>
        <w:t xml:space="preserve">; </w:t>
      </w:r>
      <w:hyperlink w:anchor="affection-and-passivity">
        <w:r>
          <w:rPr>
            <w:color w:val="000000"/>
          </w:rPr>
          <w:t xml:space="preserve">Affection and passivity</w:t>
        </w:r>
      </w:hyperlink>
      <w:r>
        <w:rPr>
          <w:b w:val="0"/>
          <w:i w:val="0"/>
        </w:rPr>
        <w:t xml:space="preserve">; </w:t>
      </w:r>
      <w:hyperlink w:anchor="generation-and-corruption">
        <w:r>
          <w:rPr>
            <w:color w:val="000000"/>
          </w:rPr>
          <w:t xml:space="preserve">Generation and corruption</w:t>
        </w:r>
      </w:hyperlink>
      <w:r>
        <w:rPr>
          <w:b w:val="0"/>
          <w:i w:val="0"/>
        </w:rPr>
        <w:t xml:space="preserve">; </w:t>
      </w:r>
      <w:hyperlink w:anchor="natural-species-and-succession">
        <w:r>
          <w:rPr>
            <w:color w:val="000000"/>
          </w:rPr>
          <w:t xml:space="preserve">Natural species and succession</w:t>
        </w:r>
      </w:hyperlink>
      <w:r>
        <w:rPr>
          <w:b w:val="0"/>
          <w:i w:val="0"/>
        </w:rPr>
        <w:t xml:space="preserve">; </w:t>
      </w:r>
      <w:hyperlink w:anchor="nourishment-digestion-and-growth">
        <w:r>
          <w:rPr>
            <w:color w:val="000000"/>
          </w:rPr>
          <w:t xml:space="preserve">Nourishment, digestion and growth</w:t>
        </w:r>
      </w:hyperlink>
      <w:r>
        <w:rPr>
          <w:b w:val="0"/>
          <w:i w:val="0"/>
        </w:rPr>
        <w:t xml:space="preserve">; </w:t>
      </w:r>
      <w:hyperlink w:anchor="putrefaction-and-propagation">
        <w:r>
          <w:rPr>
            <w:color w:val="000000"/>
          </w:rPr>
          <w:t xml:space="preserve">Putrefaction and propagation</w:t>
        </w:r>
      </w:hyperlink>
      <w:r>
        <w:rPr>
          <w:b w:val="0"/>
          <w:i w:val="0"/>
        </w:rPr>
        <w:t xml:space="preserve">; </w:t>
      </w:r>
      <w:hyperlink w:anchor="vine-and-grape-seed">
        <w:r>
          <w:rPr>
            <w:color w:val="000000"/>
          </w:rPr>
          <w:t xml:space="preserve">Vine and grape seed</w:t>
        </w:r>
      </w:hyperlink>
      <w:r>
        <w:rPr>
          <w:b w:val="0"/>
          <w:i w:val="0"/>
        </w:rPr>
        <w:t xml:space="preserve">; </w:t>
      </w:r>
      <w:hyperlink w:anchor="spirit">
        <w:r>
          <w:rPr>
            <w:color w:val="000000"/>
          </w:rPr>
          <w:t xml:space="preserve">Spirit</w:t>
        </w:r>
      </w:hyperlink>
      <w:r>
        <w:rPr>
          <w:b w:val="0"/>
          <w:i w:val="0"/>
        </w:rPr>
        <w:t xml:space="preserve">; </w:t>
      </w:r>
      <w:hyperlink w:anchor="purity-and-mixture">
        <w:r>
          <w:rPr>
            <w:color w:val="000000"/>
          </w:rPr>
          <w:t xml:space="preserve">Purity and mixture</w:t>
        </w:r>
      </w:hyperlink>
      <w:r>
        <w:rPr>
          <w:b w:val="0"/>
          <w:i w:val="0"/>
        </w:rPr>
        <w:t xml:space="preserve">; </w:t>
      </w:r>
      <w:hyperlink w:anchor="contraction-and-determination">
        <w:r>
          <w:rPr>
            <w:color w:val="000000"/>
          </w:rPr>
          <w:t xml:space="preserve">Contraction and determination</w:t>
        </w:r>
      </w:hyperlink>
      <w:r>
        <w:rPr>
          <w:b w:val="0"/>
          <w:i w:val="0"/>
        </w:rPr>
        <w:t xml:space="preserve">; </w:t>
      </w:r>
      <w:hyperlink w:anchor="surface-and-depth">
        <w:r>
          <w:rPr>
            <w:color w:val="000000"/>
          </w:rPr>
          <w:t xml:space="preserve">Surface and depth</w:t>
        </w:r>
      </w:hyperlink>
      <w:r>
        <w:rPr>
          <w:b w:val="0"/>
          <w:i w:val="0"/>
        </w:rPr>
        <w:t xml:space="preserve">; </w:t>
      </w:r>
      <w:hyperlink w:anchor="head-heart-and-members">
        <w:r>
          <w:rPr>
            <w:color w:val="000000"/>
          </w:rPr>
          <w:t xml:space="preserve">Head, heart, and members</w:t>
        </w:r>
      </w:hyperlink>
      <w:r>
        <w:rPr>
          <w:b w:val="0"/>
          <w:i w:val="0"/>
        </w:rPr>
        <w:t>.</w:t>
      </w:r>
    </w:p>
    <w:p>
      <w:bookmarkStart w:id="2139" w:name="time-motion-and-spatial-presence"/>
      <w:pPr>
        <w:pStyle w:val="Heading2"/>
      </w:pPr>
      <w:r>
        <w:rPr>
          <w:b w:val="0"/>
          <w:i w:val="0"/>
        </w:rPr>
        <w:t>Time motion and spatial presence</w:t>
      </w:r>
      <w:bookmarkEnd w:id="2139"/>
    </w:p>
    <w:p>
      <w:pPr>
        <w:widowControl/>
      </w:pPr>
      <w:hyperlink w:anchor="motion-and-stability">
        <w:r>
          <w:rPr>
            <w:color w:val="000000"/>
          </w:rPr>
          <w:t xml:space="preserve">Motion and stability</w:t>
        </w:r>
      </w:hyperlink>
      <w:r>
        <w:rPr>
          <w:b w:val="0"/>
          <w:i w:val="0"/>
        </w:rPr>
        <w:t xml:space="preserve">; </w:t>
      </w:r>
      <w:hyperlink w:anchor="eternity-and-time">
        <w:r>
          <w:rPr>
            <w:color w:val="000000"/>
          </w:rPr>
          <w:t xml:space="preserve">Eternity and time</w:t>
        </w:r>
      </w:hyperlink>
      <w:r>
        <w:rPr>
          <w:b w:val="0"/>
          <w:i w:val="0"/>
        </w:rPr>
        <w:t xml:space="preserve">; </w:t>
      </w:r>
      <w:hyperlink w:anchor="natural-motion-and-natural-place">
        <w:r>
          <w:rPr>
            <w:color w:val="000000"/>
          </w:rPr>
          <w:t xml:space="preserve">Natural motion and natural place</w:t>
        </w:r>
      </w:hyperlink>
      <w:r>
        <w:rPr>
          <w:b w:val="0"/>
          <w:i w:val="0"/>
        </w:rPr>
        <w:t xml:space="preserve">; </w:t>
      </w:r>
      <w:hyperlink w:anchor="first-movable">
        <w:r>
          <w:rPr>
            <w:color w:val="000000"/>
          </w:rPr>
          <w:t xml:space="preserve">First movable</w:t>
        </w:r>
      </w:hyperlink>
      <w:r>
        <w:rPr>
          <w:b w:val="0"/>
          <w:i w:val="0"/>
        </w:rPr>
        <w:t xml:space="preserve">; </w:t>
      </w:r>
      <w:hyperlink w:anchor="circularity-and-return">
        <w:r>
          <w:rPr>
            <w:color w:val="000000"/>
          </w:rPr>
          <w:t xml:space="preserve">Circularity and return</w:t>
        </w:r>
      </w:hyperlink>
      <w:r>
        <w:rPr>
          <w:b w:val="0"/>
          <w:i w:val="0"/>
        </w:rPr>
        <w:t xml:space="preserve">; </w:t>
      </w:r>
      <w:hyperlink w:anchor="procession-and-return">
        <w:r>
          <w:rPr>
            <w:color w:val="000000"/>
          </w:rPr>
          <w:t xml:space="preserve">Procession and return</w:t>
        </w:r>
      </w:hyperlink>
      <w:r>
        <w:rPr>
          <w:b w:val="0"/>
          <w:i w:val="0"/>
        </w:rPr>
        <w:t xml:space="preserve">; </w:t>
      </w:r>
      <w:hyperlink w:anchor="great-year">
        <w:r>
          <w:rPr>
            <w:color w:val="000000"/>
          </w:rPr>
          <w:t xml:space="preserve">Great year</w:t>
        </w:r>
      </w:hyperlink>
      <w:r>
        <w:rPr>
          <w:b w:val="0"/>
          <w:i w:val="0"/>
        </w:rPr>
        <w:t xml:space="preserve">; </w:t>
      </w:r>
      <w:hyperlink w:anchor="always-and-everywhere">
        <w:r>
          <w:rPr>
            <w:color w:val="000000"/>
          </w:rPr>
          <w:t xml:space="preserve">Always and everywhere</w:t>
        </w:r>
      </w:hyperlink>
      <w:r>
        <w:rPr>
          <w:b w:val="0"/>
          <w:i w:val="0"/>
        </w:rPr>
        <w:t xml:space="preserve">; </w:t>
      </w:r>
      <w:hyperlink w:anchor="touch-and-penetration">
        <w:r>
          <w:rPr>
            <w:color w:val="000000"/>
          </w:rPr>
          <w:t xml:space="preserve">Touch and penetration</w:t>
        </w:r>
      </w:hyperlink>
      <w:r>
        <w:rPr>
          <w:b w:val="0"/>
          <w:i w:val="0"/>
        </w:rPr>
        <w:t xml:space="preserve">; </w:t>
      </w:r>
      <w:hyperlink w:anchor="beginning-and-ceasing">
        <w:r>
          <w:rPr>
            <w:color w:val="000000"/>
          </w:rPr>
          <w:t xml:space="preserve">Beginning and ceasing</w:t>
        </w:r>
      </w:hyperlink>
      <w:r>
        <w:rPr>
          <w:b w:val="0"/>
          <w:i w:val="0"/>
        </w:rPr>
        <w:t xml:space="preserve">; </w:t>
      </w:r>
      <w:hyperlink w:anchor="before-and-after-in-nature">
        <w:r>
          <w:rPr>
            <w:color w:val="000000"/>
          </w:rPr>
          <w:t xml:space="preserve">Before and after in nature</w:t>
        </w:r>
      </w:hyperlink>
      <w:r>
        <w:rPr>
          <w:b w:val="0"/>
          <w:i w:val="0"/>
        </w:rPr>
        <w:t xml:space="preserve">; </w:t>
      </w:r>
      <w:hyperlink w:anchor="permanence-and-the-hour-test">
        <w:r>
          <w:rPr>
            <w:color w:val="000000"/>
          </w:rPr>
          <w:t xml:space="preserve">Permanence and the hour test</w:t>
        </w:r>
      </w:hyperlink>
      <w:r>
        <w:rPr>
          <w:b w:val="0"/>
          <w:i w:val="0"/>
        </w:rPr>
        <w:t xml:space="preserve">; </w:t>
      </w:r>
      <w:hyperlink w:anchor="turning-and-direction">
        <w:r>
          <w:rPr>
            <w:color w:val="000000"/>
          </w:rPr>
          <w:t xml:space="preserve">Turning and direction</w:t>
        </w:r>
      </w:hyperlink>
      <w:r>
        <w:rPr>
          <w:b w:val="0"/>
          <w:i w:val="0"/>
        </w:rPr>
        <w:t xml:space="preserve">; </w:t>
      </w:r>
      <w:hyperlink w:anchor="here-there-and-antipodes">
        <w:r>
          <w:rPr>
            <w:color w:val="000000"/>
          </w:rPr>
          <w:t xml:space="preserve">Here, there, and the Antipodes</w:t>
        </w:r>
      </w:hyperlink>
      <w:r>
        <w:rPr>
          <w:b w:val="0"/>
          <w:i w:val="0"/>
        </w:rPr>
        <w:t xml:space="preserve">; </w:t>
      </w:r>
      <w:hyperlink w:anchor="heart-and-mistaken-location">
        <w:r>
          <w:rPr>
            <w:color w:val="000000"/>
          </w:rPr>
          <w:t xml:space="preserve">Heart and mistaken location</w:t>
        </w:r>
      </w:hyperlink>
      <w:r>
        <w:rPr>
          <w:b w:val="0"/>
          <w:i w:val="0"/>
        </w:rPr>
        <w:t xml:space="preserve">; </w:t>
      </w:r>
      <w:hyperlink w:anchor="dispersion-and-concentration">
        <w:r>
          <w:rPr>
            <w:color w:val="000000"/>
          </w:rPr>
          <w:t xml:space="preserve">Dispersion and concentration</w:t>
        </w:r>
      </w:hyperlink>
      <w:r>
        <w:rPr>
          <w:b w:val="0"/>
          <w:i w:val="0"/>
        </w:rPr>
        <w:t xml:space="preserve">; </w:t>
      </w:r>
      <w:hyperlink w:anchor="returning-referring-and-reducing">
        <w:r>
          <w:rPr>
            <w:color w:val="000000"/>
          </w:rPr>
          <w:t xml:space="preserve">Returning, referring and reducing</w:t>
        </w:r>
      </w:hyperlink>
      <w:r>
        <w:rPr>
          <w:b w:val="0"/>
          <w:i w:val="0"/>
        </w:rPr>
        <w:t>.</w:t>
      </w:r>
    </w:p>
    <w:p>
      <w:bookmarkStart w:id="2140" w:name="number-degree-and-comparison"/>
      <w:pPr>
        <w:pStyle w:val="Heading2"/>
      </w:pPr>
      <w:r>
        <w:rPr>
          <w:b w:val="0"/>
          <w:i w:val="0"/>
        </w:rPr>
        <w:t>Number degree and comparison</w:t>
      </w:r>
      <w:bookmarkEnd w:id="2140"/>
    </w:p>
    <w:p>
      <w:pPr>
        <w:widowControl/>
      </w:pPr>
      <w:hyperlink w:anchor="number">
        <w:r>
          <w:rPr>
            <w:color w:val="000000"/>
          </w:rPr>
          <w:t xml:space="preserve">Number</w:t>
        </w:r>
      </w:hyperlink>
      <w:r>
        <w:rPr>
          <w:b w:val="0"/>
          <w:i w:val="0"/>
        </w:rPr>
        <w:t xml:space="preserve">; </w:t>
      </w:r>
      <w:hyperlink w:anchor="twelve">
        <w:r>
          <w:rPr>
            <w:color w:val="000000"/>
          </w:rPr>
          <w:t xml:space="preserve">Twelve</w:t>
        </w:r>
      </w:hyperlink>
      <w:r>
        <w:rPr>
          <w:b w:val="0"/>
          <w:i w:val="0"/>
        </w:rPr>
        <w:t xml:space="preserve">; </w:t>
      </w:r>
      <w:hyperlink w:anchor="measure-and-degree">
        <w:r>
          <w:rPr>
            <w:color w:val="000000"/>
          </w:rPr>
          <w:t xml:space="preserve">Measure and degree</w:t>
        </w:r>
      </w:hyperlink>
      <w:r>
        <w:rPr>
          <w:b w:val="0"/>
          <w:i w:val="0"/>
        </w:rPr>
        <w:t xml:space="preserve">; </w:t>
      </w:r>
      <w:hyperlink w:anchor="least-natural-degree">
        <w:r>
          <w:rPr>
            <w:color w:val="000000"/>
          </w:rPr>
          <w:t xml:space="preserve">Least natural degree</w:t>
        </w:r>
      </w:hyperlink>
      <w:r>
        <w:rPr>
          <w:b w:val="0"/>
          <w:i w:val="0"/>
        </w:rPr>
        <w:t xml:space="preserve">; </w:t>
      </w:r>
      <w:hyperlink w:anchor="end-and-limit">
        <w:r>
          <w:rPr>
            <w:color w:val="000000"/>
          </w:rPr>
          <w:t xml:space="preserve">End and limit</w:t>
        </w:r>
      </w:hyperlink>
      <w:r>
        <w:rPr>
          <w:b w:val="0"/>
          <w:i w:val="0"/>
        </w:rPr>
        <w:t xml:space="preserve">; </w:t>
      </w:r>
      <w:hyperlink w:anchor="infinity">
        <w:r>
          <w:rPr>
            <w:color w:val="000000"/>
          </w:rPr>
          <w:t xml:space="preserve">Infinity</w:t>
        </w:r>
      </w:hyperlink>
      <w:r>
        <w:rPr>
          <w:b w:val="0"/>
          <w:i w:val="0"/>
        </w:rPr>
        <w:t xml:space="preserve">; </w:t>
      </w:r>
      <w:hyperlink w:anchor="whole-and-parts">
        <w:r>
          <w:rPr>
            <w:color w:val="000000"/>
          </w:rPr>
          <w:t xml:space="preserve">Whole and parts</w:t>
        </w:r>
      </w:hyperlink>
      <w:r>
        <w:rPr>
          <w:b w:val="0"/>
          <w:i w:val="0"/>
        </w:rPr>
        <w:t xml:space="preserve">; </w:t>
      </w:r>
      <w:hyperlink w:anchor="universals-and-individuals">
        <w:r>
          <w:rPr>
            <w:color w:val="000000"/>
          </w:rPr>
          <w:t xml:space="preserve">Universals and individuals</w:t>
        </w:r>
      </w:hyperlink>
      <w:r>
        <w:rPr>
          <w:b w:val="0"/>
          <w:i w:val="0"/>
        </w:rPr>
        <w:t xml:space="preserve">; </w:t>
      </w:r>
      <w:hyperlink w:anchor="contraries-and-opposition">
        <w:r>
          <w:rPr>
            <w:color w:val="000000"/>
          </w:rPr>
          <w:t xml:space="preserve">Contraries and opposition</w:t>
        </w:r>
      </w:hyperlink>
      <w:r>
        <w:rPr>
          <w:b w:val="0"/>
          <w:i w:val="0"/>
        </w:rPr>
        <w:t xml:space="preserve">; </w:t>
      </w:r>
      <w:hyperlink w:anchor="perfection">
        <w:r>
          <w:rPr>
            <w:color w:val="000000"/>
          </w:rPr>
          <w:t xml:space="preserve">Perfection</w:t>
        </w:r>
      </w:hyperlink>
      <w:r>
        <w:rPr>
          <w:b w:val="0"/>
          <w:i w:val="0"/>
        </w:rPr>
        <w:t xml:space="preserve">; </w:t>
      </w:r>
      <w:hyperlink w:anchor="comparing-resembling-and-equalling">
        <w:r>
          <w:rPr>
            <w:color w:val="000000"/>
          </w:rPr>
          <w:t xml:space="preserve">Comparing, resembling and equalling</w:t>
        </w:r>
      </w:hyperlink>
      <w:r>
        <w:rPr>
          <w:b w:val="0"/>
          <w:i w:val="0"/>
        </w:rPr>
        <w:t xml:space="preserve">; </w:t>
      </w:r>
      <w:hyperlink w:anchor="surpassing-and-comparison">
        <w:r>
          <w:rPr>
            <w:color w:val="000000"/>
          </w:rPr>
          <w:t xml:space="preserve">Surpassing and comparison</w:t>
        </w:r>
      </w:hyperlink>
      <w:r>
        <w:rPr>
          <w:b w:val="0"/>
          <w:i w:val="0"/>
        </w:rPr>
        <w:t xml:space="preserve">; </w:t>
      </w:r>
      <w:hyperlink w:anchor="proportion-and-analogy">
        <w:r>
          <w:rPr>
            <w:color w:val="000000"/>
          </w:rPr>
          <w:t xml:space="preserve">Proportion and analogy</w:t>
        </w:r>
      </w:hyperlink>
      <w:r>
        <w:rPr>
          <w:b w:val="0"/>
          <w:i w:val="0"/>
        </w:rPr>
        <w:t xml:space="preserve">; </w:t>
      </w:r>
      <w:hyperlink w:anchor="bounds-and-restriction">
        <w:r>
          <w:rPr>
            <w:color w:val="000000"/>
          </w:rPr>
          <w:t xml:space="preserve">Bounds and restriction</w:t>
        </w:r>
      </w:hyperlink>
      <w:r>
        <w:rPr>
          <w:b w:val="0"/>
          <w:i w:val="0"/>
        </w:rPr>
        <w:t xml:space="preserve">; </w:t>
      </w:r>
      <w:hyperlink w:anchor="point-position-and-mathematical-ascent">
        <w:r>
          <w:rPr>
            <w:color w:val="000000"/>
          </w:rPr>
          <w:t xml:space="preserve">Point, position and mathematical ascent</w:t>
        </w:r>
      </w:hyperlink>
      <w:r>
        <w:rPr>
          <w:b w:val="0"/>
          <w:i w:val="0"/>
        </w:rPr>
        <w:t xml:space="preserve">; </w:t>
      </w:r>
      <w:hyperlink w:anchor="dionysius-daniel-and-numerical-orders">
        <w:r>
          <w:rPr>
            <w:color w:val="000000"/>
          </w:rPr>
          <w:t xml:space="preserve">Dionysius, Daniel and numerical orders</w:t>
        </w:r>
      </w:hyperlink>
      <w:r>
        <w:rPr>
          <w:b w:val="0"/>
          <w:i w:val="0"/>
        </w:rPr>
        <w:t>.</w:t>
      </w:r>
    </w:p>
    <w:p>
      <w:bookmarkStart w:id="2141" w:name="light-appearance-and-representation"/>
      <w:pPr>
        <w:pStyle w:val="Heading2"/>
      </w:pPr>
      <w:r>
        <w:rPr>
          <w:b w:val="0"/>
          <w:i w:val="0"/>
        </w:rPr>
        <w:t>Light appearance and representation</w:t>
      </w:r>
      <w:bookmarkEnd w:id="2141"/>
    </w:p>
    <w:p>
      <w:pPr>
        <w:widowControl/>
      </w:pPr>
      <w:hyperlink w:anchor="light-and-illumination">
        <w:r>
          <w:rPr>
            <w:color w:val="000000"/>
          </w:rPr>
          <w:t xml:space="preserve">Light and illumination</w:t>
        </w:r>
      </w:hyperlink>
      <w:r>
        <w:rPr>
          <w:b w:val="0"/>
          <w:i w:val="0"/>
        </w:rPr>
        <w:t xml:space="preserve">; </w:t>
      </w:r>
      <w:hyperlink w:anchor="image-and-likeness">
        <w:r>
          <w:rPr>
            <w:color w:val="000000"/>
          </w:rPr>
          <w:t xml:space="preserve">Image and likeness</w:t>
        </w:r>
      </w:hyperlink>
      <w:r>
        <w:rPr>
          <w:b w:val="0"/>
          <w:i w:val="0"/>
        </w:rPr>
        <w:t xml:space="preserve">; </w:t>
      </w:r>
      <w:hyperlink w:anchor="traces">
        <w:r>
          <w:rPr>
            <w:color w:val="000000"/>
          </w:rPr>
          <w:t xml:space="preserve">Traces</w:t>
        </w:r>
      </w:hyperlink>
      <w:r>
        <w:rPr>
          <w:b w:val="0"/>
          <w:i w:val="0"/>
        </w:rPr>
        <w:t xml:space="preserve">; </w:t>
      </w:r>
      <w:hyperlink w:anchor="beauty-and-fittingness">
        <w:r>
          <w:rPr>
            <w:color w:val="000000"/>
          </w:rPr>
          <w:t xml:space="preserve">Beauty and fittingness</w:t>
        </w:r>
      </w:hyperlink>
      <w:r>
        <w:rPr>
          <w:b w:val="0"/>
          <w:i w:val="0"/>
        </w:rPr>
        <w:t xml:space="preserve">; </w:t>
      </w:r>
      <w:hyperlink w:anchor="eye-and-imagined-enlargement">
        <w:r>
          <w:rPr>
            <w:color w:val="000000"/>
          </w:rPr>
          <w:t xml:space="preserve">Eye and imagined enlargement</w:t>
        </w:r>
      </w:hyperlink>
      <w:r>
        <w:rPr>
          <w:b w:val="0"/>
          <w:i w:val="0"/>
        </w:rPr>
        <w:t xml:space="preserve">; </w:t>
      </w:r>
      <w:hyperlink w:anchor="shadow-and-mirror">
        <w:r>
          <w:rPr>
            <w:color w:val="000000"/>
          </w:rPr>
          <w:t xml:space="preserve">Shadow and mirror</w:t>
        </w:r>
      </w:hyperlink>
      <w:r>
        <w:rPr>
          <w:b w:val="0"/>
          <w:i w:val="0"/>
        </w:rPr>
        <w:t xml:space="preserve">; </w:t>
      </w:r>
      <w:hyperlink w:anchor="shadows-and-dependence">
        <w:r>
          <w:rPr>
            <w:color w:val="000000"/>
          </w:rPr>
          <w:t xml:space="preserve">Shadows and dependence</w:t>
        </w:r>
      </w:hyperlink>
      <w:r>
        <w:rPr>
          <w:b w:val="0"/>
          <w:i w:val="0"/>
        </w:rPr>
        <w:t xml:space="preserve">; </w:t>
      </w:r>
      <w:hyperlink w:anchor="glass-and-colored-radiance">
        <w:r>
          <w:rPr>
            <w:color w:val="000000"/>
          </w:rPr>
          <w:t xml:space="preserve">Glass and colored radiance</w:t>
        </w:r>
      </w:hyperlink>
      <w:r>
        <w:rPr>
          <w:b w:val="0"/>
          <w:i w:val="0"/>
        </w:rPr>
        <w:t xml:space="preserve">; </w:t>
      </w:r>
      <w:hyperlink w:anchor="imagination-and-deceptive-clothing">
        <w:r>
          <w:rPr>
            <w:color w:val="000000"/>
          </w:rPr>
          <w:t xml:space="preserve">Imagination and deceptive clothing</w:t>
        </w:r>
      </w:hyperlink>
      <w:r>
        <w:rPr>
          <w:b w:val="0"/>
          <w:i w:val="0"/>
        </w:rPr>
        <w:t xml:space="preserve">; </w:t>
      </w:r>
      <w:hyperlink w:anchor="impression-and-effacement">
        <w:r>
          <w:rPr>
            <w:color w:val="000000"/>
          </w:rPr>
          <w:t xml:space="preserve">Impression and effacement</w:t>
        </w:r>
      </w:hyperlink>
      <w:r>
        <w:rPr>
          <w:b w:val="0"/>
          <w:i w:val="0"/>
        </w:rPr>
        <w:t xml:space="preserve">; </w:t>
      </w:r>
      <w:hyperlink w:anchor="apelles-and-the-meadow">
        <w:r>
          <w:rPr>
            <w:color w:val="000000"/>
          </w:rPr>
          <w:t xml:space="preserve">Apelles and the meadow</w:t>
        </w:r>
      </w:hyperlink>
      <w:r>
        <w:rPr>
          <w:b w:val="0"/>
          <w:i w:val="0"/>
        </w:rPr>
        <w:t xml:space="preserve">; </w:t>
      </w:r>
      <w:hyperlink w:anchor="statue-and-solidity">
        <w:r>
          <w:rPr>
            <w:color w:val="000000"/>
          </w:rPr>
          <w:t xml:space="preserve">Statue and solidity</w:t>
        </w:r>
      </w:hyperlink>
      <w:r>
        <w:rPr>
          <w:b w:val="0"/>
          <w:i w:val="0"/>
        </w:rPr>
        <w:t xml:space="preserve">; </w:t>
      </w:r>
      <w:hyperlink w:anchor="honey-whiteness-and-the-wall">
        <w:r>
          <w:rPr>
            <w:color w:val="000000"/>
          </w:rPr>
          <w:t xml:space="preserve">Honey, whiteness and the wall</w:t>
        </w:r>
      </w:hyperlink>
      <w:r>
        <w:rPr>
          <w:b w:val="0"/>
          <w:i w:val="0"/>
        </w:rPr>
        <w:t xml:space="preserve">; </w:t>
      </w:r>
      <w:hyperlink w:anchor="euclid-and-the-lantern">
        <w:r>
          <w:rPr>
            <w:color w:val="000000"/>
          </w:rPr>
          <w:t xml:space="preserve">Euclid and the lantern</w:t>
        </w:r>
      </w:hyperlink>
      <w:r>
        <w:rPr>
          <w:b w:val="0"/>
          <w:i w:val="0"/>
        </w:rPr>
        <w:t>.</w:t>
      </w:r>
    </w:p>
    <w:p>
      <w:bookmarkStart w:id="2142" w:name="crafts-objects-and-worked-examples"/>
      <w:pPr>
        <w:pStyle w:val="Heading2"/>
      </w:pPr>
      <w:r>
        <w:rPr>
          <w:b w:val="0"/>
          <w:i w:val="0"/>
        </w:rPr>
        <w:t>Crafts objects and worked examples</w:t>
      </w:r>
      <w:bookmarkEnd w:id="2142"/>
    </w:p>
    <w:p>
      <w:pPr>
        <w:widowControl/>
      </w:pPr>
      <w:hyperlink w:anchor="architect-and-house">
        <w:r>
          <w:rPr>
            <w:color w:val="000000"/>
          </w:rPr>
          <w:t xml:space="preserve">Architect, house and decoration</w:t>
        </w:r>
      </w:hyperlink>
      <w:r>
        <w:rPr>
          <w:b w:val="0"/>
          <w:i w:val="0"/>
        </w:rPr>
        <w:t xml:space="preserve">; </w:t>
      </w:r>
      <w:hyperlink w:anchor="carpenter-and-geometer">
        <w:r>
          <w:rPr>
            <w:color w:val="000000"/>
          </w:rPr>
          <w:t xml:space="preserve">Carpenter and geometer</w:t>
        </w:r>
      </w:hyperlink>
      <w:r>
        <w:rPr>
          <w:b w:val="0"/>
          <w:i w:val="0"/>
        </w:rPr>
        <w:t xml:space="preserve">; </w:t>
      </w:r>
      <w:hyperlink w:anchor="artifact-and-natural-work">
        <w:r>
          <w:rPr>
            <w:color w:val="000000"/>
          </w:rPr>
          <w:t xml:space="preserve">Artifact and natural work</w:t>
        </w:r>
      </w:hyperlink>
      <w:r>
        <w:rPr>
          <w:b w:val="0"/>
          <w:i w:val="0"/>
        </w:rPr>
        <w:t xml:space="preserve">; </w:t>
      </w:r>
      <w:hyperlink w:anchor="craftsman-and-father">
        <w:r>
          <w:rPr>
            <w:color w:val="000000"/>
          </w:rPr>
          <w:t xml:space="preserve">Craftsman and father</w:t>
        </w:r>
      </w:hyperlink>
      <w:r>
        <w:rPr>
          <w:b w:val="0"/>
          <w:i w:val="0"/>
        </w:rPr>
        <w:t xml:space="preserve">; </w:t>
      </w:r>
      <w:hyperlink w:anchor="archimedes-and-bronze-spheres">
        <w:r>
          <w:rPr>
            <w:color w:val="000000"/>
          </w:rPr>
          <w:t xml:space="preserve">Archimedes and the bronze spheres</w:t>
        </w:r>
      </w:hyperlink>
      <w:r>
        <w:rPr>
          <w:b w:val="0"/>
          <w:i w:val="0"/>
        </w:rPr>
        <w:t xml:space="preserve">; </w:t>
      </w:r>
      <w:hyperlink w:anchor="florentine-mechanism">
        <w:r>
          <w:rPr>
            <w:color w:val="000000"/>
          </w:rPr>
          <w:t xml:space="preserve">Florentine mechanism</w:t>
        </w:r>
      </w:hyperlink>
      <w:r>
        <w:rPr>
          <w:b w:val="0"/>
          <w:i w:val="0"/>
        </w:rPr>
        <w:t xml:space="preserve">; </w:t>
      </w:r>
      <w:hyperlink w:anchor="archer-and-target">
        <w:r>
          <w:rPr>
            <w:color w:val="000000"/>
          </w:rPr>
          <w:t xml:space="preserve">Archer and target</w:t>
        </w:r>
      </w:hyperlink>
      <w:r>
        <w:rPr>
          <w:b w:val="0"/>
          <w:i w:val="0"/>
        </w:rPr>
        <w:t xml:space="preserve">; </w:t>
      </w:r>
      <w:hyperlink w:anchor="army-and-commander">
        <w:r>
          <w:rPr>
            <w:color w:val="000000"/>
          </w:rPr>
          <w:t xml:space="preserve">Army and commander</w:t>
        </w:r>
      </w:hyperlink>
      <w:r>
        <w:rPr>
          <w:b w:val="0"/>
          <w:i w:val="0"/>
        </w:rPr>
        <w:t xml:space="preserve">; </w:t>
      </w:r>
      <w:hyperlink w:anchor="weaving-and-world-fabric">
        <w:r>
          <w:rPr>
            <w:color w:val="000000"/>
          </w:rPr>
          <w:t xml:space="preserve">Weaving and world fabric</w:t>
        </w:r>
      </w:hyperlink>
      <w:r>
        <w:rPr>
          <w:b w:val="0"/>
          <w:i w:val="0"/>
        </w:rPr>
        <w:t xml:space="preserve">; </w:t>
      </w:r>
      <w:hyperlink w:anchor="sowing-and-weaving">
        <w:r>
          <w:rPr>
            <w:color w:val="000000"/>
          </w:rPr>
          <w:t xml:space="preserve">Sowing and weaving</w:t>
        </w:r>
      </w:hyperlink>
      <w:r>
        <w:rPr>
          <w:b w:val="0"/>
          <w:i w:val="0"/>
        </w:rPr>
        <w:t xml:space="preserve">; </w:t>
      </w:r>
      <w:hyperlink w:anchor="fire-spark-lightning-and-cannon">
        <w:r>
          <w:rPr>
            <w:color w:val="000000"/>
          </w:rPr>
          <w:t xml:space="preserve">Fire, spark, lightning and cannon</w:t>
        </w:r>
      </w:hyperlink>
      <w:r>
        <w:rPr>
          <w:b w:val="0"/>
          <w:i w:val="0"/>
        </w:rPr>
        <w:t xml:space="preserve">; </w:t>
      </w:r>
      <w:hyperlink w:anchor="fire-and-variable-materials">
        <w:r>
          <w:rPr>
            <w:color w:val="000000"/>
          </w:rPr>
          <w:t xml:space="preserve">Fire and variable materials</w:t>
        </w:r>
      </w:hyperlink>
      <w:r>
        <w:rPr>
          <w:b w:val="0"/>
          <w:i w:val="0"/>
        </w:rPr>
        <w:t xml:space="preserve">; </w:t>
      </w:r>
      <w:hyperlink w:anchor="candles-and-the-hall">
        <w:r>
          <w:rPr>
            <w:color w:val="000000"/>
          </w:rPr>
          <w:t xml:space="preserve">Candles and the hall</w:t>
        </w:r>
      </w:hyperlink>
      <w:r>
        <w:rPr>
          <w:b w:val="0"/>
          <w:i w:val="0"/>
        </w:rPr>
        <w:t xml:space="preserve">; </w:t>
      </w:r>
      <w:hyperlink w:anchor="hidden-mover-and-magnet">
        <w:r>
          <w:rPr>
            <w:color w:val="000000"/>
          </w:rPr>
          <w:t xml:space="preserve">Hidden mover and magnet</w:t>
        </w:r>
      </w:hyperlink>
      <w:r>
        <w:rPr>
          <w:b w:val="0"/>
          <w:i w:val="0"/>
        </w:rPr>
        <w:t xml:space="preserve">; </w:t>
      </w:r>
      <w:hyperlink w:anchor="ostrich-and-egg">
        <w:r>
          <w:rPr>
            <w:color w:val="000000"/>
          </w:rPr>
          <w:t xml:space="preserve">Ostrich and egg</w:t>
        </w:r>
      </w:hyperlink>
      <w:r>
        <w:rPr>
          <w:b w:val="0"/>
          <w:i w:val="0"/>
        </w:rPr>
        <w:t>.</w:t>
      </w:r>
    </w:p>
    <w:p>
      <w:bookmarkStart w:id="2143" w:name="argument-language-and-qualification"/>
      <w:pPr>
        <w:pStyle w:val="Heading2"/>
      </w:pPr>
      <w:r>
        <w:rPr>
          <w:b w:val="0"/>
          <w:i w:val="0"/>
        </w:rPr>
        <w:t>Argument language and qualification</w:t>
      </w:r>
      <w:bookmarkEnd w:id="2143"/>
    </w:p>
    <w:p>
      <w:pPr>
        <w:widowControl/>
      </w:pPr>
      <w:hyperlink w:anchor="proof-signs-and-qualification">
        <w:r>
          <w:rPr>
            <w:color w:val="000000"/>
          </w:rPr>
          <w:t xml:space="preserve">Proof, signs and qualification</w:t>
        </w:r>
      </w:hyperlink>
      <w:r>
        <w:rPr>
          <w:b w:val="0"/>
          <w:i w:val="0"/>
        </w:rPr>
        <w:t xml:space="preserve">; </w:t>
      </w:r>
      <w:hyperlink w:anchor="agreement-and-hypothetical-concession">
        <w:r>
          <w:rPr>
            <w:color w:val="000000"/>
          </w:rPr>
          <w:t xml:space="preserve">Agreement and hypothetical concession</w:t>
        </w:r>
      </w:hyperlink>
      <w:r>
        <w:rPr>
          <w:b w:val="0"/>
          <w:i w:val="0"/>
        </w:rPr>
        <w:t xml:space="preserve">; </w:t>
      </w:r>
      <w:hyperlink w:anchor="assent-approval-and-belief">
        <w:r>
          <w:rPr>
            <w:color w:val="000000"/>
          </w:rPr>
          <w:t xml:space="preserve">Assent, approval and belief</w:t>
        </w:r>
      </w:hyperlink>
      <w:r>
        <w:rPr>
          <w:b w:val="0"/>
          <w:i w:val="0"/>
        </w:rPr>
        <w:t xml:space="preserve">; </w:t>
      </w:r>
      <w:hyperlink w:anchor="assertion-report-and-reservation">
        <w:r>
          <w:rPr>
            <w:color w:val="000000"/>
          </w:rPr>
          <w:t xml:space="preserve">Assertion, report, and reservation</w:t>
        </w:r>
      </w:hyperlink>
      <w:r>
        <w:rPr>
          <w:b w:val="0"/>
          <w:i w:val="0"/>
        </w:rPr>
        <w:t xml:space="preserve">; </w:t>
      </w:r>
      <w:hyperlink w:anchor="qualification-and-attribution">
        <w:r>
          <w:rPr>
            <w:color w:val="000000"/>
          </w:rPr>
          <w:t xml:space="preserve">Qualification and attribution</w:t>
        </w:r>
      </w:hyperlink>
      <w:r>
        <w:rPr>
          <w:b w:val="0"/>
          <w:i w:val="0"/>
        </w:rPr>
        <w:t xml:space="preserve">; </w:t>
      </w:r>
      <w:hyperlink w:anchor="seeming-and-evidence">
        <w:r>
          <w:rPr>
            <w:color w:val="000000"/>
          </w:rPr>
          <w:t xml:space="preserve">Seeming and evidence</w:t>
        </w:r>
      </w:hyperlink>
      <w:r>
        <w:rPr>
          <w:b w:val="0"/>
          <w:i w:val="0"/>
        </w:rPr>
        <w:t xml:space="preserve">; </w:t>
      </w:r>
      <w:hyperlink w:anchor="naming-and-defining">
        <w:r>
          <w:rPr>
            <w:color w:val="000000"/>
          </w:rPr>
          <w:t xml:space="preserve">Naming and defining</w:t>
        </w:r>
      </w:hyperlink>
      <w:r>
        <w:rPr>
          <w:b w:val="0"/>
          <w:i w:val="0"/>
        </w:rPr>
        <w:t xml:space="preserve">; </w:t>
      </w:r>
      <w:hyperlink w:anchor="naming-by-cause">
        <w:r>
          <w:rPr>
            <w:color w:val="000000"/>
          </w:rPr>
          <w:t xml:space="preserve">Naming by cause</w:t>
        </w:r>
      </w:hyperlink>
      <w:r>
        <w:rPr>
          <w:b w:val="0"/>
          <w:i w:val="0"/>
        </w:rPr>
        <w:t xml:space="preserve">; </w:t>
      </w:r>
      <w:hyperlink w:anchor="relations-and-respects">
        <w:r>
          <w:rPr>
            <w:color w:val="000000"/>
          </w:rPr>
          <w:t xml:space="preserve">Relations and respects</w:t>
        </w:r>
      </w:hyperlink>
      <w:r>
        <w:rPr>
          <w:b w:val="0"/>
          <w:i w:val="0"/>
        </w:rPr>
        <w:t xml:space="preserve">; </w:t>
      </w:r>
      <w:hyperlink w:anchor="contradiction-and-possibility">
        <w:r>
          <w:rPr>
            <w:color w:val="000000"/>
          </w:rPr>
          <w:t xml:space="preserve">Contradiction and possibility</w:t>
        </w:r>
      </w:hyperlink>
      <w:r>
        <w:rPr>
          <w:b w:val="0"/>
          <w:i w:val="0"/>
        </w:rPr>
        <w:t xml:space="preserve">; </w:t>
      </w:r>
      <w:hyperlink w:anchor="redundancy-and-uselessness">
        <w:r>
          <w:rPr>
            <w:color w:val="000000"/>
          </w:rPr>
          <w:t xml:space="preserve">Redundancy and uselessness</w:t>
        </w:r>
      </w:hyperlink>
      <w:r>
        <w:rPr>
          <w:b w:val="0"/>
          <w:i w:val="0"/>
        </w:rPr>
        <w:t xml:space="preserve">; </w:t>
      </w:r>
      <w:hyperlink w:anchor="insults-and-rebuke">
        <w:r>
          <w:rPr>
            <w:color w:val="000000"/>
          </w:rPr>
          <w:t xml:space="preserve">Insults and rebuke</w:t>
        </w:r>
      </w:hyperlink>
      <w:r>
        <w:rPr>
          <w:b w:val="0"/>
          <w:i w:val="0"/>
        </w:rPr>
        <w:t xml:space="preserve">; </w:t>
      </w:r>
      <w:hyperlink w:anchor="wonder-and-familiarity">
        <w:r>
          <w:rPr>
            <w:color w:val="000000"/>
          </w:rPr>
          <w:t xml:space="preserve">Wonder and familiarity</w:t>
        </w:r>
      </w:hyperlink>
      <w:r>
        <w:rPr>
          <w:b w:val="0"/>
          <w:i w:val="0"/>
        </w:rPr>
        <w:t>.</w:t>
      </w:r>
    </w:p>
    <w:p>
      <w:bookmarkStart w:id="2144" w:name="care-order-and-governing"/>
      <w:pPr>
        <w:pStyle w:val="Heading2"/>
      </w:pPr>
      <w:r>
        <w:rPr>
          <w:b w:val="0"/>
          <w:i w:val="0"/>
        </w:rPr>
        <w:t>Care order and governing</w:t>
      </w:r>
      <w:bookmarkEnd w:id="2144"/>
    </w:p>
    <w:p>
      <w:pPr>
        <w:widowControl/>
      </w:pPr>
      <w:hyperlink w:anchor="providence">
        <w:r>
          <w:rPr>
            <w:color w:val="000000"/>
          </w:rPr>
          <w:t xml:space="preserve">Providence</w:t>
        </w:r>
      </w:hyperlink>
      <w:r>
        <w:rPr>
          <w:b w:val="0"/>
          <w:i w:val="0"/>
        </w:rPr>
        <w:t xml:space="preserve">; </w:t>
      </w:r>
      <w:hyperlink w:anchor="order-and-harmony">
        <w:r>
          <w:rPr>
            <w:color w:val="000000"/>
          </w:rPr>
          <w:t xml:space="preserve">Order and harmony</w:t>
        </w:r>
      </w:hyperlink>
      <w:r>
        <w:rPr>
          <w:b w:val="0"/>
          <w:i w:val="0"/>
        </w:rPr>
        <w:t xml:space="preserve">; </w:t>
      </w:r>
      <w:hyperlink w:anchor="governing-serving-and-dominion">
        <w:r>
          <w:rPr>
            <w:color w:val="000000"/>
          </w:rPr>
          <w:t xml:space="preserve">Governing, serving and dominion</w:t>
        </w:r>
      </w:hyperlink>
      <w:r>
        <w:rPr>
          <w:b w:val="0"/>
          <w:i w:val="0"/>
        </w:rPr>
        <w:t xml:space="preserve">; </w:t>
      </w:r>
      <w:hyperlink w:anchor="care-and-custody">
        <w:r>
          <w:rPr>
            <w:color w:val="000000"/>
          </w:rPr>
          <w:t xml:space="preserve">Care and custody</w:t>
        </w:r>
      </w:hyperlink>
      <w:r>
        <w:rPr>
          <w:b w:val="0"/>
          <w:i w:val="0"/>
        </w:rPr>
        <w:t xml:space="preserve">; </w:t>
      </w:r>
      <w:hyperlink w:anchor="nourishment-and-provision">
        <w:r>
          <w:rPr>
            <w:color w:val="000000"/>
          </w:rPr>
          <w:t xml:space="preserve">Providential provision</w:t>
        </w:r>
      </w:hyperlink>
      <w:r>
        <w:rPr>
          <w:b w:val="0"/>
          <w:i w:val="0"/>
        </w:rPr>
        <w:t xml:space="preserve">; </w:t>
      </w:r>
      <w:hyperlink w:anchor="exchange-and-reconciliation">
        <w:r>
          <w:rPr>
            <w:color w:val="000000"/>
          </w:rPr>
          <w:t xml:space="preserve">Exchange and reconciliation</w:t>
        </w:r>
      </w:hyperlink>
      <w:r>
        <w:rPr>
          <w:b w:val="0"/>
          <w:i w:val="0"/>
        </w:rPr>
        <w:t xml:space="preserve">; </w:t>
      </w:r>
      <w:hyperlink w:anchor="sympathy">
        <w:r>
          <w:rPr>
            <w:color w:val="000000"/>
          </w:rPr>
          <w:t xml:space="preserve">Sympathy</w:t>
        </w:r>
      </w:hyperlink>
      <w:r>
        <w:rPr>
          <w:b w:val="0"/>
          <w:i w:val="0"/>
        </w:rPr>
        <w:t xml:space="preserve">; </w:t>
      </w:r>
      <w:hyperlink w:anchor="fitting-and-correspondence">
        <w:r>
          <w:rPr>
            <w:color w:val="000000"/>
          </w:rPr>
          <w:t xml:space="preserve">Fitting and correspondence</w:t>
        </w:r>
      </w:hyperlink>
      <w:r>
        <w:rPr>
          <w:b w:val="0"/>
          <w:i w:val="0"/>
        </w:rPr>
        <w:t xml:space="preserve">; </w:t>
      </w:r>
      <w:hyperlink w:anchor="concord-and-convergence">
        <w:r>
          <w:rPr>
            <w:color w:val="000000"/>
          </w:rPr>
          <w:t xml:space="preserve">Concord and convergence</w:t>
        </w:r>
      </w:hyperlink>
      <w:r>
        <w:rPr>
          <w:b w:val="0"/>
          <w:i w:val="0"/>
        </w:rPr>
        <w:t xml:space="preserve">; </w:t>
      </w:r>
      <w:hyperlink w:anchor="counsel-and-settled-skill">
        <w:r>
          <w:rPr>
            <w:color w:val="000000"/>
          </w:rPr>
          <w:t xml:space="preserve">Counsel and settled skill</w:t>
        </w:r>
      </w:hyperlink>
      <w:r>
        <w:rPr>
          <w:b w:val="0"/>
          <w:i w:val="0"/>
        </w:rPr>
        <w:t xml:space="preserve">; </w:t>
      </w:r>
      <w:hyperlink w:anchor="burden-labor-and-ease">
        <w:r>
          <w:rPr>
            <w:color w:val="000000"/>
          </w:rPr>
          <w:t xml:space="preserve">Burden labor and ease</w:t>
        </w:r>
      </w:hyperlink>
      <w:r>
        <w:rPr>
          <w:b w:val="0"/>
          <w:i w:val="0"/>
        </w:rPr>
        <w:t xml:space="preserve">; </w:t>
      </w:r>
      <w:hyperlink w:anchor="failure-weariness-and-endurance">
        <w:r>
          <w:rPr>
            <w:color w:val="000000"/>
          </w:rPr>
          <w:t xml:space="preserve">Failure weariness and endurance</w:t>
        </w:r>
      </w:hyperlink>
      <w:r>
        <w:rPr>
          <w:b w:val="0"/>
          <w:i w:val="0"/>
        </w:rPr>
        <w:t xml:space="preserve">; </w:t>
      </w:r>
      <w:hyperlink w:anchor="weariness-and-agility">
        <w:r>
          <w:rPr>
            <w:color w:val="000000"/>
          </w:rPr>
          <w:t xml:space="preserve">Weariness and agility</w:t>
        </w:r>
      </w:hyperlink>
      <w:r>
        <w:rPr>
          <w:b w:val="0"/>
          <w:i w:val="0"/>
        </w:rPr>
        <w:t xml:space="preserve">; </w:t>
      </w:r>
      <w:hyperlink w:anchor="borrowing-and-assistance">
        <w:r>
          <w:rPr>
            <w:color w:val="000000"/>
          </w:rPr>
          <w:t xml:space="preserve">Borrowing and assistance</w:t>
        </w:r>
      </w:hyperlink>
      <w:r>
        <w:rPr>
          <w:b w:val="0"/>
          <w:i w:val="0"/>
        </w:rPr>
        <w:t xml:space="preserve">; </w:t>
      </w:r>
      <w:hyperlink w:anchor="habitual-possession">
        <w:r>
          <w:rPr>
            <w:color w:val="000000"/>
          </w:rPr>
          <w:t xml:space="preserve">Habitual possession</w:t>
        </w:r>
      </w:hyperlink>
      <w:r>
        <w:rPr>
          <w:b w:val="0"/>
          <w:i w:val="0"/>
        </w:rPr>
        <w:t xml:space="preserve">; </w:t>
      </w:r>
      <w:hyperlink w:anchor="possession-and-privation">
        <w:r>
          <w:rPr>
            <w:color w:val="000000"/>
          </w:rPr>
          <w:t xml:space="preserve">Possession and privation</w:t>
        </w:r>
      </w:hyperlink>
      <w:r>
        <w:rPr>
          <w:b w:val="0"/>
          <w:i w:val="0"/>
        </w:rPr>
        <w:t>.</w:t>
      </w:r>
    </w:p>
    <w:p>
      <w:bookmarkStart w:id="2145" w:name="human-orientation-and-philosophical-life"/>
      <w:pPr>
        <w:pStyle w:val="Heading2"/>
      </w:pPr>
      <w:r>
        <w:rPr>
          <w:b w:val="0"/>
          <w:i w:val="0"/>
        </w:rPr>
        <w:t>Human orientation and philosophical life</w:t>
      </w:r>
      <w:bookmarkEnd w:id="2145"/>
    </w:p>
    <w:p>
      <w:pPr>
        <w:widowControl/>
      </w:pPr>
      <w:hyperlink w:anchor="philosophy-and-theology">
        <w:r>
          <w:rPr>
            <w:color w:val="000000"/>
          </w:rPr>
          <w:t xml:space="preserve">Philosophy and theology</w:t>
        </w:r>
      </w:hyperlink>
      <w:r>
        <w:rPr>
          <w:b w:val="0"/>
          <w:i w:val="0"/>
        </w:rPr>
        <w:t xml:space="preserve">; </w:t>
      </w:r>
      <w:hyperlink w:anchor="worship-and-piety">
        <w:r>
          <w:rPr>
            <w:color w:val="000000"/>
          </w:rPr>
          <w:t xml:space="preserve">Worship and piety</w:t>
        </w:r>
      </w:hyperlink>
      <w:r>
        <w:rPr>
          <w:b w:val="0"/>
          <w:i w:val="0"/>
        </w:rPr>
        <w:t xml:space="preserve">; </w:t>
      </w:r>
      <w:hyperlink w:anchor="blessedness">
        <w:r>
          <w:rPr>
            <w:color w:val="000000"/>
          </w:rPr>
          <w:t xml:space="preserve">Blessedness</w:t>
        </w:r>
      </w:hyperlink>
      <w:r>
        <w:rPr>
          <w:b w:val="0"/>
          <w:i w:val="0"/>
        </w:rPr>
        <w:t xml:space="preserve">; </w:t>
      </w:r>
      <w:hyperlink w:anchor="ascent">
        <w:r>
          <w:rPr>
            <w:color w:val="000000"/>
          </w:rPr>
          <w:t xml:space="preserve">Ascent</w:t>
        </w:r>
      </w:hyperlink>
      <w:r>
        <w:rPr>
          <w:b w:val="0"/>
          <w:i w:val="0"/>
        </w:rPr>
        <w:t xml:space="preserve">; </w:t>
      </w:r>
      <w:hyperlink w:anchor="prison-and-homeland">
        <w:r>
          <w:rPr>
            <w:color w:val="000000"/>
          </w:rPr>
          <w:t xml:space="preserve">Prison and homeland</w:t>
        </w:r>
      </w:hyperlink>
      <w:r>
        <w:rPr>
          <w:b w:val="0"/>
          <w:i w:val="0"/>
        </w:rPr>
        <w:t xml:space="preserve">; </w:t>
      </w:r>
      <w:hyperlink w:anchor="leisure">
        <w:r>
          <w:rPr>
            <w:color w:val="000000"/>
          </w:rPr>
          <w:t xml:space="preserve">Leisure</w:t>
        </w:r>
      </w:hyperlink>
      <w:r>
        <w:rPr>
          <w:b w:val="0"/>
          <w:i w:val="0"/>
        </w:rPr>
        <w:t xml:space="preserve">; </w:t>
      </w:r>
      <w:hyperlink w:anchor="lorenzo-dedication-and-public-authority">
        <w:r>
          <w:rPr>
            <w:color w:val="000000"/>
          </w:rPr>
          <w:t xml:space="preserve">Lorenzo, dedication and public authority</w:t>
        </w:r>
      </w:hyperlink>
      <w:r>
        <w:rPr>
          <w:b w:val="0"/>
          <w:i w:val="0"/>
        </w:rPr>
        <w:t xml:space="preserve">; </w:t>
      </w:r>
      <w:hyperlink w:anchor="augustine-and-christian-proximity">
        <w:r>
          <w:rPr>
            <w:color w:val="000000"/>
          </w:rPr>
          <w:t xml:space="preserve">Augustine and Christian proximity</w:t>
        </w:r>
      </w:hyperlink>
      <w:r>
        <w:rPr>
          <w:b w:val="0"/>
          <w:i w:val="0"/>
        </w:rPr>
        <w:t xml:space="preserve">; </w:t>
      </w:r>
      <w:hyperlink w:anchor="need-and-sufficiency">
        <w:r>
          <w:rPr>
            <w:color w:val="000000"/>
          </w:rPr>
          <w:t xml:space="preserve">Need and sufficiency</w:t>
        </w:r>
      </w:hyperlink>
      <w:r>
        <w:rPr>
          <w:b w:val="0"/>
          <w:i w:val="0"/>
        </w:rPr>
        <w:t xml:space="preserve">; </w:t>
      </w:r>
      <w:hyperlink w:anchor="seeking-possessing-and-distraction">
        <w:r>
          <w:rPr>
            <w:color w:val="000000"/>
          </w:rPr>
          <w:t xml:space="preserve">Seeking possessing and distraction</w:t>
        </w:r>
      </w:hyperlink>
      <w:r>
        <w:rPr>
          <w:b w:val="0"/>
          <w:i w:val="0"/>
        </w:rPr>
        <w:t xml:space="preserve">; </w:t>
      </w:r>
      <w:hyperlink w:anchor="precious-and-lowly">
        <w:r>
          <w:rPr>
            <w:color w:val="000000"/>
          </w:rPr>
          <w:t xml:space="preserve">Precious and lowly</w:t>
        </w:r>
      </w:hyperlink>
      <w:r>
        <w:rPr>
          <w:b w:val="0"/>
          <w:i w:val="0"/>
        </w:rPr>
        <w:t xml:space="preserve">; </w:t>
      </w:r>
      <w:hyperlink w:anchor="infection-lameness-and-lethe">
        <w:r>
          <w:rPr>
            <w:color w:val="000000"/>
          </w:rPr>
          <w:t xml:space="preserve">Infection, lameness and Lethe</w:t>
        </w:r>
      </w:hyperlink>
      <w:r>
        <w:rPr>
          <w:b w:val="0"/>
          <w:i w:val="0"/>
        </w:rPr>
        <w:t>.</w:t>
      </w:r>
    </w:p>
    <w:p>
      <w:bookmarkStart w:id="2146" w:name="authorities-traditions-and-their-reception"/>
      <w:pPr>
        <w:pStyle w:val="Heading2"/>
      </w:pPr>
      <w:r>
        <w:rPr>
          <w:b w:val="0"/>
          <w:i w:val="0"/>
        </w:rPr>
        <w:t>Authorities traditions and their reception</w:t>
      </w:r>
      <w:bookmarkEnd w:id="2146"/>
    </w:p>
    <w:p>
      <w:pPr>
        <w:widowControl/>
      </w:pPr>
      <w:hyperlink w:anchor="philosophers-and-stopping-points">
        <w:r>
          <w:rPr>
            <w:color w:val="000000"/>
          </w:rPr>
          <w:t xml:space="preserve">Philosophers and stopping points</w:t>
        </w:r>
      </w:hyperlink>
      <w:r>
        <w:rPr>
          <w:b w:val="0"/>
          <w:i w:val="0"/>
        </w:rPr>
        <w:t xml:space="preserve">; </w:t>
      </w:r>
      <w:hyperlink w:anchor="aristotle-avicenna-and-counting-minds">
        <w:r>
          <w:rPr>
            <w:color w:val="000000"/>
          </w:rPr>
          <w:t xml:space="preserve">Aristotle, Avicenna and counting minds</w:t>
        </w:r>
      </w:hyperlink>
      <w:r>
        <w:rPr>
          <w:b w:val="0"/>
          <w:i w:val="0"/>
        </w:rPr>
        <w:t xml:space="preserve">; </w:t>
      </w:r>
      <w:hyperlink w:anchor="proclus-syrianus-and-extending-matter">
        <w:r>
          <w:rPr>
            <w:color w:val="000000"/>
          </w:rPr>
          <w:t xml:space="preserve">Proclus, Syrianus and extending matter</w:t>
        </w:r>
      </w:hyperlink>
      <w:r>
        <w:rPr>
          <w:b w:val="0"/>
          <w:i w:val="0"/>
        </w:rPr>
        <w:t xml:space="preserve">; </w:t>
      </w:r>
      <w:hyperlink w:anchor="anebon-abamon-and-the-mental-presence-authorities">
        <w:r>
          <w:rPr>
            <w:color w:val="000000"/>
          </w:rPr>
          <w:t xml:space="preserve">Anebon Abamon and the mental-presence authorities</w:t>
        </w:r>
      </w:hyperlink>
      <w:r>
        <w:rPr>
          <w:b w:val="0"/>
          <w:i w:val="0"/>
        </w:rPr>
        <w:t xml:space="preserve">; </w:t>
      </w:r>
      <w:hyperlink w:anchor="manichaeans-and-gnostic-philosophers">
        <w:r>
          <w:rPr>
            <w:color w:val="000000"/>
          </w:rPr>
          <w:t xml:space="preserve">Manichaeans and Gnostic philosophers</w:t>
        </w:r>
      </w:hyperlink>
      <w:r>
        <w:rPr>
          <w:b w:val="0"/>
          <w:i w:val="0"/>
        </w:rPr>
        <w:t xml:space="preserve">; </w:t>
      </w:r>
      <w:hyperlink w:anchor="john-and-amelius">
        <w:r>
          <w:rPr>
            <w:color w:val="000000"/>
          </w:rPr>
          <w:t xml:space="preserve">John and Amelius</w:t>
        </w:r>
      </w:hyperlink>
      <w:r>
        <w:rPr>
          <w:b w:val="0"/>
          <w:i w:val="0"/>
        </w:rPr>
        <w:t xml:space="preserve">; </w:t>
      </w:r>
      <w:hyperlink w:anchor="hermetic-theologians-and-the-magi">
        <w:r>
          <w:rPr>
            <w:color w:val="000000"/>
          </w:rPr>
          <w:t xml:space="preserve">Hermetic theologians and the Magi</w:t>
        </w:r>
      </w:hyperlink>
      <w:r>
        <w:rPr>
          <w:b w:val="0"/>
          <w:i w:val="0"/>
        </w:rPr>
        <w:t xml:space="preserve">; </w:t>
      </w:r>
      <w:hyperlink w:anchor="strato-chrysippus-and-almariani">
        <w:r>
          <w:rPr>
            <w:color w:val="000000"/>
          </w:rPr>
          <w:t xml:space="preserve">Strato, Chrysippus, and the Almariani</w:t>
        </w:r>
      </w:hyperlink>
      <w:r>
        <w:rPr>
          <w:b w:val="0"/>
          <w:i w:val="0"/>
        </w:rPr>
        <w:t xml:space="preserve">; </w:t>
      </w:r>
      <w:hyperlink w:anchor="lucretius">
        <w:r>
          <w:rPr>
            <w:color w:val="000000"/>
          </w:rPr>
          <w:t xml:space="preserve">Lucretius</w:t>
        </w:r>
      </w:hyperlink>
      <w:r>
        <w:rPr>
          <w:b w:val="0"/>
          <w:i w:val="0"/>
        </w:rPr>
        <w:t xml:space="preserve">; </w:t>
      </w:r>
      <w:hyperlink w:anchor="xenocrates-and-the-riddle">
        <w:r>
          <w:rPr>
            <w:color w:val="000000"/>
          </w:rPr>
          <w:t xml:space="preserve">Xenocrates and the riddle</w:t>
        </w:r>
      </w:hyperlink>
      <w:r>
        <w:rPr>
          <w:b w:val="0"/>
          <w:i w:val="0"/>
        </w:rPr>
        <w:t xml:space="preserve">; </w:t>
      </w:r>
      <w:hyperlink w:anchor="orpheus-and-divine-names">
        <w:r>
          <w:rPr>
            <w:color w:val="000000"/>
          </w:rPr>
          <w:t xml:space="preserve">Orpheus and divine names</w:t>
        </w:r>
      </w:hyperlink>
      <w:r>
        <w:rPr>
          <w:b w:val="0"/>
          <w:i w:val="0"/>
        </w:rPr>
        <w:t xml:space="preserve">; </w:t>
      </w:r>
      <w:hyperlink w:anchor="augustine-and-christian-proximity">
        <w:r>
          <w:rPr>
            <w:color w:val="000000"/>
          </w:rPr>
          <w:t xml:space="preserve">Augustine and Christian proximity</w:t>
        </w:r>
      </w:hyperlink>
      <w:r>
        <w:rPr>
          <w:b w:val="0"/>
          <w:i w:val="0"/>
        </w:rPr>
        <w:t>.</w:t>
      </w:r>
    </w:p>
    <w:p>
      <w:bookmarkStart w:id="2147" w:name="heaven-divine-names-and-cosmological-figures"/>
      <w:pPr>
        <w:pStyle w:val="Heading2"/>
      </w:pPr>
      <w:r>
        <w:rPr>
          <w:b w:val="0"/>
          <w:i w:val="0"/>
        </w:rPr>
        <w:t>Heaven divine names and cosmological figures</w:t>
      </w:r>
      <w:bookmarkEnd w:id="2147"/>
    </w:p>
    <w:p>
      <w:pPr>
        <w:widowControl/>
      </w:pPr>
      <w:hyperlink w:anchor="angel">
        <w:r>
          <w:rPr>
            <w:color w:val="000000"/>
          </w:rPr>
          <w:t xml:space="preserve">Angel</w:t>
        </w:r>
      </w:hyperlink>
      <w:r>
        <w:rPr>
          <w:b w:val="0"/>
          <w:i w:val="0"/>
        </w:rPr>
        <w:t xml:space="preserve">; </w:t>
      </w:r>
      <w:hyperlink w:anchor="world-soul">
        <w:r>
          <w:rPr>
            <w:color w:val="000000"/>
          </w:rPr>
          <w:t xml:space="preserve">World soul</w:t>
        </w:r>
      </w:hyperlink>
      <w:r>
        <w:rPr>
          <w:b w:val="0"/>
          <w:i w:val="0"/>
        </w:rPr>
        <w:t xml:space="preserve">; </w:t>
      </w:r>
      <w:hyperlink w:anchor="spheres-and-stars">
        <w:r>
          <w:rPr>
            <w:color w:val="000000"/>
          </w:rPr>
          <w:t xml:space="preserve">Spheres and stars</w:t>
        </w:r>
      </w:hyperlink>
      <w:r>
        <w:rPr>
          <w:b w:val="0"/>
          <w:i w:val="0"/>
        </w:rPr>
        <w:t xml:space="preserve">; </w:t>
      </w:r>
      <w:hyperlink w:anchor="elements-and-their-spheres">
        <w:r>
          <w:rPr>
            <w:color w:val="000000"/>
          </w:rPr>
          <w:t xml:space="preserve">Elements and their spheres</w:t>
        </w:r>
      </w:hyperlink>
      <w:r>
        <w:rPr>
          <w:b w:val="0"/>
          <w:i w:val="0"/>
        </w:rPr>
        <w:t xml:space="preserve">; </w:t>
      </w:r>
      <w:hyperlink w:anchor="celestial-influence">
        <w:r>
          <w:rPr>
            <w:color w:val="000000"/>
          </w:rPr>
          <w:t xml:space="preserve">Celestial influence</w:t>
        </w:r>
      </w:hyperlink>
      <w:r>
        <w:rPr>
          <w:b w:val="0"/>
          <w:i w:val="0"/>
        </w:rPr>
        <w:t xml:space="preserve">; </w:t>
      </w:r>
      <w:hyperlink w:anchor="daemons">
        <w:r>
          <w:rPr>
            <w:color w:val="000000"/>
          </w:rPr>
          <w:t xml:space="preserve">Daemons</w:t>
        </w:r>
      </w:hyperlink>
      <w:r>
        <w:rPr>
          <w:b w:val="0"/>
          <w:i w:val="0"/>
        </w:rPr>
        <w:t xml:space="preserve">; </w:t>
      </w:r>
      <w:hyperlink w:anchor="ethereal-garment">
        <w:r>
          <w:rPr>
            <w:color w:val="000000"/>
          </w:rPr>
          <w:t xml:space="preserve">Ethereal garment</w:t>
        </w:r>
      </w:hyperlink>
      <w:r>
        <w:rPr>
          <w:b w:val="0"/>
          <w:i w:val="0"/>
        </w:rPr>
        <w:t xml:space="preserve">; </w:t>
      </w:r>
      <w:hyperlink w:anchor="fate">
        <w:r>
          <w:rPr>
            <w:color w:val="000000"/>
          </w:rPr>
          <w:t xml:space="preserve">Fate</w:t>
        </w:r>
      </w:hyperlink>
      <w:r>
        <w:rPr>
          <w:b w:val="0"/>
          <w:i w:val="0"/>
        </w:rPr>
        <w:t xml:space="preserve">; </w:t>
      </w:r>
      <w:hyperlink w:anchor="zodiac">
        <w:r>
          <w:rPr>
            <w:color w:val="000000"/>
          </w:rPr>
          <w:t xml:space="preserve">Zodiac</w:t>
        </w:r>
      </w:hyperlink>
      <w:r>
        <w:rPr>
          <w:b w:val="0"/>
          <w:i w:val="0"/>
        </w:rPr>
        <w:t xml:space="preserve">; </w:t>
      </w:r>
      <w:hyperlink w:anchor="apollo">
        <w:r>
          <w:rPr>
            <w:color w:val="000000"/>
          </w:rPr>
          <w:t xml:space="preserve">Apollo</w:t>
        </w:r>
      </w:hyperlink>
      <w:r>
        <w:rPr>
          <w:b w:val="0"/>
          <w:i w:val="0"/>
        </w:rPr>
        <w:t xml:space="preserve">; </w:t>
      </w:r>
      <w:hyperlink w:anchor="bacchus-and-the-muses">
        <w:r>
          <w:rPr>
            <w:color w:val="000000"/>
          </w:rPr>
          <w:t xml:space="preserve">Bacchus and the Muses</w:t>
        </w:r>
      </w:hyperlink>
      <w:r>
        <w:rPr>
          <w:b w:val="0"/>
          <w:i w:val="0"/>
        </w:rPr>
        <w:t xml:space="preserve">; </w:t>
      </w:r>
      <w:hyperlink w:anchor="proteus">
        <w:r>
          <w:rPr>
            <w:color w:val="000000"/>
          </w:rPr>
          <w:t xml:space="preserve">Proteus</w:t>
        </w:r>
      </w:hyperlink>
      <w:r>
        <w:rPr>
          <w:b w:val="0"/>
          <w:i w:val="0"/>
        </w:rPr>
        <w:t xml:space="preserve">; </w:t>
      </w:r>
      <w:hyperlink w:anchor="empyrean-heaven">
        <w:r>
          <w:rPr>
            <w:color w:val="000000"/>
          </w:rPr>
          <w:t xml:space="preserve">Empyrean heaven</w:t>
        </w:r>
      </w:hyperlink>
      <w:r>
        <w:rPr>
          <w:b w:val="0"/>
          <w:i w:val="0"/>
        </w:rPr>
        <w:t xml:space="preserve">; </w:t>
      </w:r>
      <w:hyperlink w:anchor="sun-mercury-and-moon">
        <w:r>
          <w:rPr>
            <w:color w:val="000000"/>
          </w:rPr>
          <w:t xml:space="preserve">Sun, Mercury and moon</w:t>
        </w:r>
      </w:hyperlink>
      <w:r>
        <w:rPr>
          <w:b w:val="0"/>
          <w:i w:val="0"/>
        </w:rPr>
        <w:t xml:space="preserve">; </w:t>
      </w:r>
      <w:hyperlink w:anchor="hierobotanum-and-mineral-powers">
        <w:r>
          <w:rPr>
            <w:color w:val="000000"/>
          </w:rPr>
          <w:t xml:space="preserve">Hierobotanum and mineral powers</w:t>
        </w:r>
      </w:hyperlink>
      <w:r>
        <w:rPr>
          <w:b w:val="0"/>
          <w:i w:val="0"/>
        </w:rPr>
        <w:t xml:space="preserve">; </w:t>
      </w:r>
      <w:hyperlink w:anchor="earth-as-mother">
        <w:r>
          <w:rPr>
            <w:color w:val="000000"/>
          </w:rPr>
          <w:t xml:space="preserve">Earth as mother</w:t>
        </w:r>
      </w:hyperlink>
      <w:r>
        <w:rPr>
          <w:b w:val="0"/>
          <w:i w:val="0"/>
        </w:rPr>
        <w:t xml:space="preserve">; </w:t>
      </w:r>
      <w:hyperlink w:anchor="fountain-womb-and-offspring">
        <w:r>
          <w:rPr>
            <w:color w:val="000000"/>
          </w:rPr>
          <w:t xml:space="preserve">Fountain, womb and offspring</w:t>
        </w:r>
      </w:hyperlink>
      <w:r>
        <w:rPr>
          <w:b w:val="0"/>
          <w:i w:val="0"/>
        </w:rPr>
        <w:t xml:space="preserve">; </w:t>
      </w:r>
      <w:hyperlink w:anchor="spring-and-flow">
        <w:r>
          <w:rPr>
            <w:color w:val="000000"/>
          </w:rPr>
          <w:t xml:space="preserve">Spring and flow</w:t>
        </w:r>
      </w:hyperlink>
      <w:r>
        <w:rPr>
          <w:b w:val="0"/>
          <w:i w:val="0"/>
        </w:rPr>
        <w:t xml:space="preserve">; </w:t>
      </w:r>
      <w:hyperlink w:anchor="enfolding-and-unfolding">
        <w:r>
          <w:rPr>
            <w:color w:val="000000"/>
          </w:rPr>
          <w:t xml:space="preserve">Enfolding and unfolding</w:t>
        </w:r>
      </w:hyperlink>
      <w:r>
        <w:rPr>
          <w:b w:val="0"/>
          <w:i w:val="0"/>
        </w:rPr>
        <w:t xml:space="preserve">; </w:t>
      </w:r>
      <w:hyperlink w:anchor="world-and-universe">
        <w:r>
          <w:rPr>
            <w:color w:val="000000"/>
          </w:rPr>
          <w:t xml:space="preserve">World and universe</w:t>
        </w:r>
      </w:hyperlink>
      <w:r>
        <w:rPr>
          <w:b w:val="0"/>
          <w:i w:val="0"/>
        </w:rPr>
        <w:t>.</w:t>
      </w:r>
    </w:p>
    <w:p>
      <w:bookmarkStart w:id="2148" w:name="source-edition-and-editorial-notes"/>
      <w:pPr>
        <w:pStyle w:val="Heading1"/>
      </w:pPr>
      <w:r>
        <w:rPr>
          <w:b w:val="0"/>
          <w:i w:val="0"/>
        </w:rPr>
        <w:t>Source edition and editorial notes</w:t>
      </w:r>
      <w:bookmarkEnd w:id="2148"/>
    </w:p>
    <w:p>
      <w:bookmarkStart w:id="2149" w:name="edition-consulted"/>
      <w:pPr>
        <w:pStyle w:val="Heading2"/>
      </w:pPr>
      <w:r>
        <w:rPr>
          <w:b w:val="0"/>
          <w:i w:val="0"/>
        </w:rPr>
        <w:t>Edition consulted</w:t>
      </w:r>
      <w:bookmarkEnd w:id="2149"/>
    </w:p>
    <w:p>
      <w:pPr>
        <w:widowControl/>
      </w:pPr>
      <w:r>
        <w:rPr>
          <w:b w:val="0"/>
          <w:i w:val="0"/>
        </w:rPr>
        <w:t xml:space="preserve">Marsilio Ficino, </w:t>
      </w:r>
      <w:r>
        <w:rPr>
          <w:b w:val="0"/>
          <w:i/>
        </w:rPr>
        <w:t>Platonic Theology on the Immortality of Souls</w:t>
      </w:r>
      <w:r>
        <w:rPr>
          <w:b w:val="0"/>
          <w:i w:val="0"/>
        </w:rPr>
        <w:t xml:space="preserve">, Diotimos bilingual edition, Volume I, Authorial Proem and Books I–IV, </w:t>
      </w:r>
      <w:r>
        <w:t>“</w:t>
      </w:r>
      <w:r>
        <w:rPr>
          <w:b w:val="0"/>
          <w:i w:val="0"/>
        </w:rPr>
        <w:t>Complete editorial proof,</w:t>
      </w:r>
      <w:r>
        <w:t>”</w:t>
      </w:r>
      <w:r>
        <w:rPr>
          <w:b w:val="0"/>
          <w:i w:val="0"/>
        </w:rPr>
        <w:t xml:space="preserve"> August 2026, 417 PDF pages. The source describes its English as an independent translation and its Latin as a conservatively normalized reading text.</w:t>
      </w:r>
    </w:p>
    <w:p>
      <w:pPr>
        <w:widowControl/>
      </w:pPr>
      <w:r>
        <w:rPr>
          <w:b w:val="0"/>
          <w:i w:val="0"/>
        </w:rPr>
        <w:t>The edition names the Florence printing of 7 November 1482 as its base witness, the Paris printing of 1559 as its principal collating witness, and a Paris 1641 printing as a late control and OCR aid. Those are the edition’s statements. The lexicon’s evidence is the supplied bilingual proof and its apparatus; it does not certify a new collation of those historical witnesses.</w:t>
      </w:r>
    </w:p>
    <w:p>
      <w:pPr>
        <w:widowControl/>
      </w:pPr>
      <w:r>
        <w:rPr>
          <w:b w:val="0"/>
          <w:i w:val="0"/>
        </w:rPr>
        <w:t>The complete Proem and Books I–IV were reread in paired Latin and English for this revision. The editorial apparatus, comparison-unit locator register, and translation glossary were also consulted. The unit-by-unit coverage record includes all 533 comparison units. The independent source review checked the lexical and edition blocks of every article, the listed attestations against their cited units, and selected complete passages with high-risk distinctions or attributions. It was not a second complete Latin–English collation. A separate preservation review checked retained analysis and retrieval paths. Reading coverage does not mean that every ordinary word or incidental occurrence receives its own article.</w:t>
      </w:r>
    </w:p>
    <w:p>
      <w:pPr>
        <w:ind w:left="187" w:hanging="187"/>
      </w:pPr>
      <w:r>
        <w:t xml:space="preserve">• </w:t>
      </w:r>
      <w:r>
        <w:rPr>
          <w:b w:val="0"/>
          <w:i w:val="0"/>
        </w:rPr>
        <w:t>Proem: 11 comparison units</w:t>
      </w:r>
    </w:p>
    <w:p>
      <w:pPr>
        <w:ind w:left="187" w:hanging="187"/>
      </w:pPr>
      <w:r>
        <w:t xml:space="preserve">• </w:t>
      </w:r>
      <w:r>
        <w:rPr>
          <w:b w:val="0"/>
          <w:i w:val="0"/>
        </w:rPr>
        <w:t>Book I: 109 comparison units</w:t>
      </w:r>
    </w:p>
    <w:p>
      <w:pPr>
        <w:ind w:left="187" w:hanging="187"/>
      </w:pPr>
      <w:r>
        <w:t xml:space="preserve">• </w:t>
      </w:r>
      <w:r>
        <w:rPr>
          <w:b w:val="0"/>
          <w:i w:val="0"/>
        </w:rPr>
        <w:t>Book II: 228 comparison units</w:t>
      </w:r>
    </w:p>
    <w:p>
      <w:pPr>
        <w:ind w:left="187" w:hanging="187"/>
      </w:pPr>
      <w:r>
        <w:t xml:space="preserve">• </w:t>
      </w:r>
      <w:r>
        <w:rPr>
          <w:b w:val="0"/>
          <w:i w:val="0"/>
        </w:rPr>
        <w:t>Book III: 62 comparison units</w:t>
      </w:r>
    </w:p>
    <w:p>
      <w:pPr>
        <w:ind w:left="187" w:hanging="187"/>
      </w:pPr>
      <w:r>
        <w:t xml:space="preserve">• </w:t>
      </w:r>
      <w:r>
        <w:rPr>
          <w:b w:val="0"/>
          <w:i w:val="0"/>
        </w:rPr>
        <w:t>Book IV: 123 comparison units</w:t>
      </w:r>
    </w:p>
    <w:p>
      <w:bookmarkStart w:id="2150" w:name="a-confirmed-translation-discrepancy"/>
      <w:pPr>
        <w:pStyle w:val="Heading2"/>
      </w:pPr>
      <w:r>
        <w:rPr>
          <w:b w:val="0"/>
          <w:i w:val="0"/>
        </w:rPr>
        <w:t>A confirmed translation discrepancy</w:t>
      </w:r>
      <w:bookmarkEnd w:id="2150"/>
    </w:p>
    <w:p>
      <w:pPr>
        <w:widowControl/>
      </w:pPr>
      <w:r>
        <w:rPr>
          <w:b w:val="0"/>
          <w:i w:val="0"/>
        </w:rPr>
        <w:t xml:space="preserve">At </w:t>
      </w:r>
      <w:r>
        <w:rPr>
          <w:b/>
          <w:i w:val="0"/>
        </w:rPr>
        <w:t>IV.1.11</w:t>
      </w:r>
      <w:r>
        <w:rPr>
          <w:b w:val="0"/>
          <w:i w:val="0"/>
        </w:rPr>
        <w:t xml:space="preserve">, source pages </w:t>
      </w:r>
      <w:r>
        <w:rPr>
          <w:b/>
          <w:i w:val="0"/>
        </w:rPr>
        <w:t>286–287</w:t>
      </w:r>
      <w:r>
        <w:rPr>
          <w:b w:val="0"/>
          <w:i w:val="0"/>
        </w:rPr>
        <w:t xml:space="preserve">, the Latin makes </w:t>
      </w:r>
      <w:r>
        <w:rPr>
          <w:b w:val="0"/>
          <w:i/>
        </w:rPr>
        <w:t>vim ipsam vivificam et motricem</w:t>
      </w:r>
      <w:r>
        <w:rPr>
          <w:b w:val="0"/>
          <w:i w:val="0"/>
        </w:rPr>
        <w:t xml:space="preserve"> the object of </w:t>
      </w:r>
      <w:r>
        <w:rPr>
          <w:b w:val="0"/>
          <w:i/>
        </w:rPr>
        <w:t>imbuit</w:t>
      </w:r>
      <w:r>
        <w:rPr>
          <w:b w:val="0"/>
          <w:i w:val="0"/>
        </w:rPr>
        <w:t xml:space="preserve">, with </w:t>
      </w:r>
      <w:r>
        <w:rPr>
          <w:b w:val="0"/>
          <w:i/>
        </w:rPr>
        <w:t>naturalibus seminibus</w:t>
      </w:r>
      <w:r>
        <w:rPr>
          <w:b w:val="0"/>
          <w:i w:val="0"/>
        </w:rPr>
        <w:t xml:space="preserve"> naming what is supplied. Divine wisdom imbues the vivifying and motive power with natural seeds. The facing English instead says that wisdom imbues natural seeds with that power, reversing recipient and content. The entries on art, seeds, and related powers follow the relation expressed by the supplied Latin. This is a local comparison within the proof, not an independent claim about the early printed witnesses.</w:t>
      </w:r>
    </w:p>
    <w:p>
      <w:bookmarkStart w:id="2151" w:name="readings-left-unresolved"/>
      <w:pPr>
        <w:pStyle w:val="Heading2"/>
      </w:pPr>
      <w:r>
        <w:rPr>
          <w:b w:val="0"/>
          <w:i w:val="0"/>
        </w:rPr>
        <w:t>Readings left unresolved</w:t>
      </w:r>
      <w:bookmarkEnd w:id="2151"/>
    </w:p>
    <w:p>
      <w:pPr>
        <w:widowControl/>
      </w:pPr>
      <w:r>
        <w:rPr>
          <w:b w:val="0"/>
          <w:i w:val="0"/>
        </w:rPr>
        <w:t xml:space="preserve">At </w:t>
      </w:r>
      <w:r>
        <w:rPr>
          <w:b/>
          <w:i w:val="0"/>
        </w:rPr>
        <w:t>III.2.29</w:t>
      </w:r>
      <w:r>
        <w:rPr>
          <w:b w:val="0"/>
          <w:i w:val="0"/>
        </w:rPr>
        <w:t xml:space="preserve">, source pages </w:t>
      </w:r>
      <w:r>
        <w:rPr>
          <w:b/>
          <w:i w:val="0"/>
        </w:rPr>
        <w:t>278–279</w:t>
      </w:r>
      <w:r>
        <w:rPr>
          <w:b w:val="0"/>
          <w:i w:val="0"/>
        </w:rPr>
        <w:t xml:space="preserve">, the supplied Latin reads </w:t>
      </w:r>
      <w:r>
        <w:rPr>
          <w:b w:val="0"/>
          <w:i/>
        </w:rPr>
        <w:t>in corporalibus rerum speciebus rationibusque</w:t>
      </w:r>
      <w:r>
        <w:rPr>
          <w:b w:val="0"/>
          <w:i w:val="0"/>
        </w:rPr>
        <w:t xml:space="preserve">. The English construes this as the forms and principles of things </w:t>
      </w:r>
      <w:r>
        <w:t>“</w:t>
      </w:r>
      <w:r>
        <w:rPr>
          <w:b w:val="0"/>
          <w:i w:val="0"/>
        </w:rPr>
        <w:t>within bodies,</w:t>
      </w:r>
      <w:r>
        <w:t>”</w:t>
      </w:r>
      <w:r>
        <w:rPr>
          <w:b w:val="0"/>
          <w:i w:val="0"/>
        </w:rPr>
        <w:t xml:space="preserve"> and the apparatus repeats that interpretation. The lexicon preserves the printed wording without silently substituting </w:t>
      </w:r>
      <w:r>
        <w:rPr>
          <w:b w:val="0"/>
          <w:i/>
        </w:rPr>
        <w:t>incorporalibus</w:t>
      </w:r>
      <w:r>
        <w:rPr>
          <w:b w:val="0"/>
          <w:i w:val="0"/>
        </w:rPr>
        <w:t>. Its explanation of spiritual union rests on the wider passage rather than a conjectural correction.</w:t>
      </w:r>
    </w:p>
    <w:p>
      <w:pPr>
        <w:widowControl/>
      </w:pPr>
      <w:r>
        <w:rPr>
          <w:b w:val="0"/>
          <w:i w:val="0"/>
        </w:rPr>
        <w:t xml:space="preserve">At </w:t>
      </w:r>
      <w:r>
        <w:rPr>
          <w:b/>
          <w:i w:val="0"/>
        </w:rPr>
        <w:t>II.11.17</w:t>
      </w:r>
      <w:r>
        <w:rPr>
          <w:b w:val="0"/>
          <w:i w:val="0"/>
        </w:rPr>
        <w:t xml:space="preserve">, source pages </w:t>
      </w:r>
      <w:r>
        <w:rPr>
          <w:b/>
          <w:i w:val="0"/>
        </w:rPr>
        <w:t>190–191</w:t>
      </w:r>
      <w:r>
        <w:rPr>
          <w:b w:val="0"/>
          <w:i w:val="0"/>
        </w:rPr>
        <w:t xml:space="preserve">, the wording beginning </w:t>
      </w:r>
      <w:r>
        <w:rPr>
          <w:b w:val="0"/>
          <w:i/>
        </w:rPr>
        <w:t>Per hanc enim formam Dei</w:t>
      </w:r>
      <w:r>
        <w:rPr>
          <w:b w:val="0"/>
          <w:i w:val="0"/>
        </w:rPr>
        <w:t xml:space="preserve"> is difficult in the supplied Latin. The discussion of Ideas is explained through the surrounding argument without treating a proposed grammatical repair as established text.</w:t>
      </w:r>
    </w:p>
    <w:p>
      <w:pPr>
        <w:widowControl/>
      </w:pPr>
      <w:r>
        <w:rPr>
          <w:b w:val="0"/>
          <w:i w:val="0"/>
        </w:rPr>
        <w:t xml:space="preserve">At </w:t>
      </w:r>
      <w:r>
        <w:rPr>
          <w:b/>
          <w:i w:val="0"/>
        </w:rPr>
        <w:t>II.12.7</w:t>
      </w:r>
      <w:r>
        <w:rPr>
          <w:b w:val="0"/>
          <w:i w:val="0"/>
        </w:rPr>
        <w:t xml:space="preserve">, source pages </w:t>
      </w:r>
      <w:r>
        <w:rPr>
          <w:b/>
          <w:i w:val="0"/>
        </w:rPr>
        <w:t>204–205</w:t>
      </w:r>
      <w:r>
        <w:rPr>
          <w:b w:val="0"/>
          <w:i w:val="0"/>
        </w:rPr>
        <w:t xml:space="preserve">, the subject and scope of the clause beginning </w:t>
      </w:r>
      <w:r>
        <w:rPr>
          <w:b w:val="0"/>
          <w:i/>
        </w:rPr>
        <w:t>nisi principium finisque universi</w:t>
      </w:r>
      <w:r>
        <w:rPr>
          <w:b w:val="0"/>
          <w:i w:val="0"/>
        </w:rPr>
        <w:t xml:space="preserve"> require care. One reading makes the universe’s source and end the subject: no agent is free unless that first source is master of its own action and establishes its own end. The supplied English instead continues with the agent and describes being the universe’s source and end as a condition. The latter can concern the absolute freedom reserved to God, especially in light of II.12.8; the former fits the inference from lesser agents’ freedom to supreme self-mastery. This lexicon records the grammatical and argumentative alternatives without declaring a settled translation error or altering the supplied text. No new witness evidence is claimed to resolve the question.</w:t>
      </w:r>
    </w:p>
    <w:p>
      <w:bookmarkStart w:id="2152" w:name="attribution-and-source-variants"/>
      <w:pPr>
        <w:pStyle w:val="Heading2"/>
      </w:pPr>
      <w:r>
        <w:rPr>
          <w:b w:val="0"/>
          <w:i w:val="0"/>
        </w:rPr>
        <w:t>Attribution and source variants</w:t>
      </w:r>
      <w:bookmarkEnd w:id="2152"/>
    </w:p>
    <w:p>
      <w:pPr>
        <w:widowControl/>
      </w:pPr>
      <w:r>
        <w:rPr>
          <w:b w:val="0"/>
          <w:i w:val="0"/>
        </w:rPr>
        <w:t>The source apparatus distinguishes its base readings from later-witness additions. For example, it records substantial additions after IV.1.4 and IV.1.15 and the fertility/eloquence variant at IV.1.20. Entries follow the supplied reading text unless a variant is expressly identified. A later reading is not silently added as another property asserted in the base text.</w:t>
      </w:r>
    </w:p>
    <w:p>
      <w:pPr>
        <w:widowControl/>
      </w:pPr>
      <w:r>
        <w:rPr>
          <w:b w:val="0"/>
          <w:i w:val="0"/>
        </w:rPr>
        <w:t>The lexicon also retains source-specific names and designations when their modern identity has not been independently established. Ficino’s attribution of a saying, book, or doctrine to an ancient figure is identified as his attribution. The mythological and cosmological lookup index records his own presentation and does not substitute a modern handbook’s system for it.</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r>
        <w:footnoteRef/>
        <w:t xml:space="preserve"> </w:t>
      </w:r>
      <w:pPr>
        <w:widowControl/>
        <w:spacing w:after="60"/>
      </w:pPr>
      <w:r>
        <w:rPr>
          <w:b w:val="0"/>
          <w:i w:val="0"/>
          <w:sz w:val="18"/>
        </w:rPr>
        <w:t xml:space="preserve">Christopher S. Celenza, </w:t>
      </w:r>
      <w:r>
        <w:rPr>
          <w:sz w:val="18"/>
        </w:rPr>
        <w:t>“</w:t>
      </w:r>
      <w:r>
        <w:rPr>
          <w:b w:val="0"/>
          <w:i w:val="0"/>
          <w:sz w:val="18"/>
        </w:rPr>
        <w:t>Marsilio Ficino,</w:t>
      </w:r>
      <w:r>
        <w:rPr>
          <w:sz w:val="18"/>
        </w:rPr>
        <w:t>”</w:t>
      </w:r>
      <w:r>
        <w:rPr>
          <w:b w:val="0"/>
          <w:i w:val="0"/>
          <w:sz w:val="18"/>
        </w:rPr>
        <w:t xml:space="preserve"> </w:t>
      </w:r>
      <w:r>
        <w:rPr>
          <w:b w:val="0"/>
          <w:i/>
          <w:sz w:val="18"/>
        </w:rPr>
        <w:t>Stanford Encyclopedia of Philosophy</w:t>
      </w:r>
      <w:r>
        <w:rPr>
          <w:b w:val="0"/>
          <w:i w:val="0"/>
          <w:sz w:val="18"/>
        </w:rPr>
        <w:t xml:space="preserve">, substantive revision 28 May 2024, section 2.1, </w:t>
      </w:r>
      <w:r>
        <w:rPr>
          <w:b w:val="0"/>
          <w:i w:val="0"/>
          <w:sz w:val="18"/>
        </w:rPr>
        <w:t>https://plato.stanford.edu/entries/ficino/</w:t>
      </w:r>
      <w:r>
        <w:rPr>
          <w:b w:val="0"/>
          <w:i w:val="0"/>
          <w:sz w:val="18"/>
        </w:rPr>
        <w:t>. Consulted for historical orientation; the lexical explanations and editorial anchor references follow the supplied Diotimos proof.</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DejaVu Serif" w:hAnsi="DejaVu Serif"/>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erif" w:hAnsi="DejaVu Serif"/>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erif" w:hAnsi="DejaVu Serif"/>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cstheme="majorBidi" w:ascii="DejaVu Serif" w:hAnsi="DejaVu Serif"/>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cstheme="majorBidi" w:ascii="DejaVu Serif" w:hAnsi="DejaVu Serif"/>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80" w:after="160"/>
      <w:outlineLvl w:val="2"/>
    </w:pPr>
    <w:rPr>
      <w:rFonts w:cstheme="majorBidi" w:ascii="DejaVu Serif" w:hAnsi="DejaVu Serif"/>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DejaVu Serif" w:hAnsi="DejaVu Serif"/>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DejaVu Serif" w:hAnsi="DejaVu Serif"/>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DejaVu Serif" w:hAnsi="DejaVu Serif"/>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DejaVu Serif" w:hAnsi="DejaVu Serif"/>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DejaVu Serif" w:hAnsi="DejaVu Serif"/>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DejaVu Serif" w:hAnsi="DejaVu Serif"/>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DejaVu Serif" w:hAnsi="DejaVu Serif"/>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280"/>
      <w:contextualSpacing/>
    </w:pPr>
    <w:rPr>
      <w:rFonts w:cstheme="majorBidi" w:ascii="DejaVu Serif" w:hAnsi="DejaVu Serif"/>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80" w:after="160"/>
    </w:pPr>
    <w:rPr>
      <w:rFonts w:cstheme="majorBidi" w:ascii="DejaVu Serif" w:hAnsi="DejaVu Serif"/>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DejaVu Serif" w:hAnsi="DejaVu Serif"/>
      <w:color w:val="000000"/>
    </w:rPr>
  </w:style>
  <w:style w:type="paragraph" w:styleId="BodyText">
    <w:name w:val="Body Text"/>
    <w:basedOn w:val="Normal"/>
    <w:link w:val="BodyTextChar"/>
    <w:uiPriority w:val="99"/>
    <w:unhideWhenUsed/>
    <w:rsid w:val="00AA1D8D"/>
    <w:pPr>
      <w:spacing w:after="120"/>
    </w:pPr>
    <w:rPr>
      <w:rFonts w:ascii="DejaVu Serif" w:hAnsi="DejaVu Serif"/>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DejaVu Serif" w:hAnsi="DejaVu Serif"/>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DejaVu Serif" w:hAnsi="DejaVu Serif"/>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DejaVu Serif" w:hAnsi="DejaVu Serif"/>
      <w:color w:val="000000"/>
    </w:rPr>
  </w:style>
  <w:style w:type="paragraph" w:styleId="List2">
    <w:name w:val="List 2"/>
    <w:basedOn w:val="Normal"/>
    <w:uiPriority w:val="99"/>
    <w:unhideWhenUsed/>
    <w:rsid w:val="00326F90"/>
    <w:pPr>
      <w:ind w:left="720" w:hanging="360"/>
      <w:contextualSpacing/>
    </w:pPr>
    <w:rPr>
      <w:rFonts w:ascii="DejaVu Serif" w:hAnsi="DejaVu Serif"/>
      <w:color w:val="000000"/>
    </w:rPr>
  </w:style>
  <w:style w:type="paragraph" w:styleId="List3">
    <w:name w:val="List 3"/>
    <w:basedOn w:val="Normal"/>
    <w:uiPriority w:val="99"/>
    <w:unhideWhenUsed/>
    <w:rsid w:val="00326F90"/>
    <w:pPr>
      <w:ind w:left="1080" w:hanging="360"/>
      <w:contextualSpacing/>
    </w:pPr>
    <w:rPr>
      <w:rFonts w:ascii="DejaVu Serif" w:hAnsi="DejaVu Serif"/>
      <w:color w:val="000000"/>
    </w:rPr>
  </w:style>
  <w:style w:type="paragraph" w:styleId="ListBullet">
    <w:name w:val="List Bullet"/>
    <w:basedOn w:val="Normal"/>
    <w:uiPriority w:val="99"/>
    <w:unhideWhenUsed/>
    <w:rsid w:val="00326F90"/>
    <w:pPr>
      <w:numPr>
        <w:numId w:val="1"/>
      </w:numPr>
      <w:contextualSpacing/>
    </w:pPr>
    <w:rPr>
      <w:rFonts w:ascii="DejaVu Serif" w:hAnsi="DejaVu Serif"/>
      <w:color w:val="000000"/>
    </w:rPr>
  </w:style>
  <w:style w:type="paragraph" w:styleId="ListBullet2">
    <w:name w:val="List Bullet 2"/>
    <w:basedOn w:val="Normal"/>
    <w:uiPriority w:val="99"/>
    <w:unhideWhenUsed/>
    <w:rsid w:val="00326F90"/>
    <w:pPr>
      <w:numPr>
        <w:numId w:val="2"/>
      </w:numPr>
      <w:contextualSpacing/>
    </w:pPr>
    <w:rPr>
      <w:rFonts w:ascii="DejaVu Serif" w:hAnsi="DejaVu Serif"/>
      <w:color w:val="000000"/>
    </w:rPr>
  </w:style>
  <w:style w:type="paragraph" w:styleId="ListBullet3">
    <w:name w:val="List Bullet 3"/>
    <w:basedOn w:val="Normal"/>
    <w:uiPriority w:val="99"/>
    <w:unhideWhenUsed/>
    <w:rsid w:val="00326F90"/>
    <w:pPr>
      <w:numPr>
        <w:numId w:val="3"/>
      </w:numPr>
      <w:contextualSpacing/>
    </w:pPr>
    <w:rPr>
      <w:rFonts w:ascii="DejaVu Serif" w:hAnsi="DejaVu Serif"/>
      <w:color w:val="000000"/>
    </w:rPr>
  </w:style>
  <w:style w:type="paragraph" w:styleId="ListNumber">
    <w:name w:val="List Number"/>
    <w:basedOn w:val="Normal"/>
    <w:uiPriority w:val="99"/>
    <w:unhideWhenUsed/>
    <w:rsid w:val="00326F90"/>
    <w:pPr>
      <w:numPr>
        <w:numId w:val="5"/>
      </w:numPr>
      <w:contextualSpacing/>
    </w:pPr>
    <w:rPr>
      <w:rFonts w:ascii="DejaVu Serif" w:hAnsi="DejaVu Serif"/>
      <w:color w:val="000000"/>
    </w:rPr>
  </w:style>
  <w:style w:type="paragraph" w:styleId="ListNumber2">
    <w:name w:val="List Number 2"/>
    <w:basedOn w:val="Normal"/>
    <w:uiPriority w:val="99"/>
    <w:unhideWhenUsed/>
    <w:rsid w:val="0029639D"/>
    <w:pPr>
      <w:numPr>
        <w:numId w:val="6"/>
      </w:numPr>
      <w:contextualSpacing/>
    </w:pPr>
    <w:rPr>
      <w:rFonts w:ascii="DejaVu Serif" w:hAnsi="DejaVu Serif"/>
      <w:color w:val="000000"/>
    </w:rPr>
  </w:style>
  <w:style w:type="paragraph" w:styleId="ListNumber3">
    <w:name w:val="List Number 3"/>
    <w:basedOn w:val="Normal"/>
    <w:uiPriority w:val="99"/>
    <w:unhideWhenUsed/>
    <w:rsid w:val="0029639D"/>
    <w:pPr>
      <w:numPr>
        <w:numId w:val="7"/>
      </w:numPr>
      <w:contextualSpacing/>
    </w:pPr>
    <w:rPr>
      <w:rFonts w:ascii="DejaVu Serif" w:hAnsi="DejaVu Serif"/>
      <w:color w:val="000000"/>
    </w:rPr>
  </w:style>
  <w:style w:type="paragraph" w:styleId="ListContinue">
    <w:name w:val="List Continue"/>
    <w:basedOn w:val="Normal"/>
    <w:uiPriority w:val="99"/>
    <w:unhideWhenUsed/>
    <w:rsid w:val="0029639D"/>
    <w:pPr>
      <w:spacing w:after="120"/>
      <w:ind w:left="360"/>
      <w:contextualSpacing/>
    </w:pPr>
    <w:rPr>
      <w:rFonts w:ascii="DejaVu Serif" w:hAnsi="DejaVu Serif"/>
      <w:color w:val="000000"/>
    </w:rPr>
  </w:style>
  <w:style w:type="paragraph" w:styleId="ListContinue2">
    <w:name w:val="List Continue 2"/>
    <w:basedOn w:val="Normal"/>
    <w:uiPriority w:val="99"/>
    <w:unhideWhenUsed/>
    <w:rsid w:val="0029639D"/>
    <w:pPr>
      <w:spacing w:after="120"/>
      <w:ind w:left="720"/>
      <w:contextualSpacing/>
    </w:pPr>
    <w:rPr>
      <w:rFonts w:ascii="DejaVu Serif" w:hAnsi="DejaVu Serif"/>
      <w:color w:val="000000"/>
    </w:rPr>
  </w:style>
  <w:style w:type="paragraph" w:styleId="ListContinue3">
    <w:name w:val="List Continue 3"/>
    <w:basedOn w:val="Normal"/>
    <w:uiPriority w:val="99"/>
    <w:unhideWhenUsed/>
    <w:rsid w:val="0029639D"/>
    <w:pPr>
      <w:spacing w:after="120"/>
      <w:ind w:left="1080"/>
      <w:contextualSpacing/>
    </w:pPr>
    <w:rPr>
      <w:rFonts w:ascii="DejaVu Serif" w:hAnsi="DejaVu Serif"/>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DejaVu Serif" w:hAnsi="DejaVu Serif"/>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DejaVu Serif" w:hAnsi="DejaVu Serif"/>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DejaVu Serif" w:hAnsi="DejaVu Serif"/>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DejaVu Serif" w:hAnsi="DejaVu Serif"/>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DejaVu Serif" w:hAnsi="DejaVu Serif"/>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FootnotesRevision"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Ficino Platonic Theology Volume I Lexicon</dc:title>
  <dc:subject>Authorial Proem and Books I–IV; Diotimos August 2026 bilingual editorial proof</dc:subject>
  <dc:creator/>
  <cp:keywords>Ficino, Platonic Theology, Latin, lexicon</cp:keywords>
  <dc:description>Philological and philosophical reading companion; Charmides-method revision</dc:description>
  <cp:lastModifiedBy/>
  <cp:revision>2</cp:revision>
  <dcterms:created xsi:type="dcterms:W3CDTF">2026-10-14T19:36:52Z</dcterms:created>
  <dcterms:modified xsi:type="dcterms:W3CDTF">2026-10-14T19:36:52Z</dcterms:modified>
  <cp:category/>
</cp:coreProperties>
</file>